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77425"/>
      <w:bookmarkStart w:id="1" w:name="_Toc15377193"/>
      <w:bookmarkStart w:id="2" w:name="_Toc15396475"/>
      <w:bookmarkStart w:id="3" w:name="_Toc15396597"/>
      <w:bookmarkStart w:id="4" w:name="_Toc15378441"/>
      <w:bookmarkStart w:id="5" w:name="_Toc15306267"/>
    </w:p>
    <w:p>
      <w:pPr>
        <w:pStyle w:val="7"/>
        <w:spacing w:before="93"/>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2023年度</w:t>
      </w:r>
      <w:bookmarkEnd w:id="0"/>
      <w:bookmarkEnd w:id="1"/>
      <w:bookmarkEnd w:id="2"/>
      <w:bookmarkEnd w:id="3"/>
      <w:bookmarkEnd w:id="4"/>
    </w:p>
    <w:bookmarkEnd w:id="5"/>
    <w:p>
      <w:pPr>
        <w:adjustRightInd w:val="0"/>
        <w:snapToGrid w:val="0"/>
        <w:spacing w:line="360" w:lineRule="auto"/>
        <w:jc w:val="center"/>
        <w:outlineLvl w:val="0"/>
        <w:rPr>
          <w:rFonts w:ascii="方正小标宋简体" w:hAnsi="方正小标宋简体" w:eastAsia="方正小标宋简体" w:cs="方正小标宋简体"/>
          <w:sz w:val="44"/>
          <w:szCs w:val="44"/>
        </w:rPr>
      </w:pPr>
      <w:bookmarkStart w:id="6" w:name="_Toc15306268"/>
      <w:bookmarkStart w:id="7" w:name="_Toc15396598"/>
      <w:bookmarkStart w:id="8" w:name="_Toc15377194"/>
      <w:bookmarkStart w:id="9" w:name="_Toc15377426"/>
      <w:bookmarkStart w:id="10" w:name="_Toc15378442"/>
      <w:bookmarkStart w:id="11" w:name="_Toc15396476"/>
      <w:r>
        <w:rPr>
          <w:rFonts w:hint="eastAsia" w:ascii="方正小标宋简体" w:hAnsi="方正小标宋简体" w:eastAsia="方正小标宋简体" w:cs="方正小标宋简体"/>
          <w:sz w:val="44"/>
          <w:szCs w:val="44"/>
        </w:rPr>
        <w:t>盐边县养路队部门决算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sz w:val="28"/>
          <w:szCs w:val="28"/>
        </w:rPr>
      </w:pPr>
    </w:p>
    <w:p>
      <w:pPr>
        <w:pStyle w:val="14"/>
      </w:pPr>
      <w:r>
        <w:rPr>
          <w:rFonts w:hint="eastAsia"/>
        </w:rPr>
        <w:t>公开时间：2024年10月28日</w:t>
      </w:r>
    </w:p>
    <w:p/>
    <w:p>
      <w:pPr>
        <w:pStyle w:val="14"/>
        <w:adjustRightInd w:val="0"/>
        <w:snapToGrid w:val="0"/>
        <w:spacing w:before="0" w:line="440" w:lineRule="exact"/>
        <w:jc w:val="left"/>
        <w:rPr>
          <w:rFonts w:hint="eastAsia" w:ascii="黑体" w:hAnsi="黑体" w:eastAsia="黑体"/>
          <w:sz w:val="32"/>
          <w:szCs w:val="32"/>
          <w:lang w:val="en-US" w:eastAsia="zh-CN"/>
        </w:rPr>
      </w:pPr>
      <w:r>
        <w:rPr>
          <w:rFonts w:hint="eastAsia" w:ascii="黑体" w:hAnsi="黑体" w:eastAsia="黑体"/>
          <w:sz w:val="32"/>
          <w:szCs w:val="32"/>
        </w:rPr>
        <w:t>第一部分</w:t>
      </w:r>
      <w:r>
        <w:rPr>
          <w:rFonts w:ascii="黑体" w:hAnsi="黑体" w:eastAsia="黑体"/>
          <w:sz w:val="32"/>
          <w:szCs w:val="32"/>
        </w:rPr>
        <w:t xml:space="preserve"> </w:t>
      </w:r>
      <w:r>
        <w:rPr>
          <w:rFonts w:hint="eastAsia" w:ascii="黑体" w:hAnsi="黑体" w:eastAsia="黑体"/>
          <w:sz w:val="32"/>
          <w:szCs w:val="32"/>
        </w:rPr>
        <w:t>单位概况</w:t>
      </w:r>
      <w:r>
        <w:rPr>
          <w:rFonts w:ascii="黑体" w:hAnsi="黑体" w:eastAsia="黑体"/>
          <w:sz w:val="32"/>
          <w:szCs w:val="32"/>
        </w:rPr>
        <w:tab/>
      </w:r>
      <w:r>
        <w:rPr>
          <w:rFonts w:hint="eastAsia" w:ascii="黑体" w:hAnsi="黑体" w:eastAsia="黑体"/>
          <w:sz w:val="32"/>
          <w:szCs w:val="32"/>
          <w:lang w:val="en-US" w:eastAsia="zh-CN"/>
        </w:rPr>
        <w:t>1</w:t>
      </w:r>
    </w:p>
    <w:p>
      <w:pPr>
        <w:pStyle w:val="17"/>
        <w:adjustRightInd w:val="0"/>
        <w:snapToGrid w:val="0"/>
        <w:spacing w:line="440" w:lineRule="exact"/>
        <w:jc w:val="left"/>
        <w:rPr>
          <w:rFonts w:hint="eastAsia" w:eastAsia="黑体"/>
          <w:sz w:val="24"/>
          <w:lang w:val="en-US" w:eastAsia="zh-CN"/>
        </w:rPr>
      </w:pPr>
      <w:r>
        <w:rPr>
          <w:rFonts w:hint="eastAsia"/>
          <w:sz w:val="24"/>
        </w:rPr>
        <w:t>一、主要职责</w:t>
      </w:r>
      <w:r>
        <w:rPr>
          <w:rFonts w:ascii="黑体" w:hAnsi="黑体" w:eastAsia="黑体"/>
        </w:rPr>
        <w:tab/>
      </w:r>
      <w:r>
        <w:rPr>
          <w:rFonts w:hint="eastAsia" w:ascii="黑体" w:hAnsi="黑体" w:eastAsia="黑体"/>
          <w:lang w:val="en-US" w:eastAsia="zh-CN"/>
        </w:rPr>
        <w:t>1</w:t>
      </w:r>
    </w:p>
    <w:p>
      <w:pPr>
        <w:pStyle w:val="17"/>
        <w:adjustRightInd w:val="0"/>
        <w:snapToGrid w:val="0"/>
        <w:spacing w:line="440" w:lineRule="exact"/>
        <w:jc w:val="left"/>
        <w:rPr>
          <w:rFonts w:hint="eastAsia" w:eastAsia="黑体"/>
          <w:lang w:val="en-US" w:eastAsia="zh-CN"/>
        </w:rPr>
      </w:pPr>
      <w:r>
        <w:rPr>
          <w:rFonts w:hint="eastAsia"/>
          <w:sz w:val="24"/>
        </w:rPr>
        <w:t>二、机构设置</w:t>
      </w:r>
      <w:r>
        <w:rPr>
          <w:rFonts w:ascii="黑体" w:hAnsi="黑体" w:eastAsia="黑体"/>
        </w:rPr>
        <w:tab/>
      </w:r>
      <w:r>
        <w:rPr>
          <w:rFonts w:hint="eastAsia" w:ascii="黑体" w:hAnsi="黑体" w:eastAsia="黑体"/>
          <w:lang w:val="en-US" w:eastAsia="zh-CN"/>
        </w:rPr>
        <w:t>1</w:t>
      </w:r>
    </w:p>
    <w:p>
      <w:pPr>
        <w:pStyle w:val="14"/>
        <w:adjustRightInd w:val="0"/>
        <w:snapToGrid w:val="0"/>
        <w:spacing w:before="0" w:line="440" w:lineRule="exact"/>
        <w:jc w:val="left"/>
        <w:rPr>
          <w:rFonts w:hint="eastAsia" w:ascii="黑体" w:hAnsi="黑体" w:eastAsia="黑体"/>
          <w:lang w:val="en-US" w:eastAsia="zh-CN"/>
        </w:rPr>
      </w:pPr>
      <w:r>
        <w:rPr>
          <w:rFonts w:hint="eastAsia" w:ascii="黑体" w:hAnsi="黑体" w:eastAsia="黑体"/>
        </w:rPr>
        <w:t>第二部分 2023年度单位决算情况说明</w:t>
      </w:r>
      <w:r>
        <w:rPr>
          <w:rFonts w:ascii="黑体" w:hAnsi="黑体" w:eastAsia="黑体"/>
        </w:rPr>
        <w:tab/>
      </w:r>
      <w:r>
        <w:rPr>
          <w:rFonts w:hint="eastAsia" w:ascii="黑体" w:hAnsi="黑体" w:eastAsia="黑体"/>
          <w:lang w:val="en-US" w:eastAsia="zh-CN"/>
        </w:rPr>
        <w:t>1</w:t>
      </w:r>
    </w:p>
    <w:p>
      <w:pPr>
        <w:pStyle w:val="17"/>
        <w:adjustRightInd w:val="0"/>
        <w:snapToGrid w:val="0"/>
        <w:spacing w:line="440" w:lineRule="exact"/>
        <w:jc w:val="left"/>
        <w:rPr>
          <w:rFonts w:hint="eastAsia" w:ascii="仿宋" w:hAnsi="仿宋" w:eastAsia="黑体"/>
          <w:sz w:val="24"/>
          <w:lang w:val="en-US" w:eastAsia="zh-CN"/>
        </w:rPr>
      </w:pPr>
      <w:r>
        <w:rPr>
          <w:rFonts w:hint="eastAsia"/>
          <w:sz w:val="24"/>
        </w:rPr>
        <w:t>一、收入支出决算总体情况说明</w:t>
      </w:r>
      <w:r>
        <w:rPr>
          <w:rFonts w:ascii="黑体" w:hAnsi="黑体" w:eastAsia="黑体"/>
        </w:rPr>
        <w:tab/>
      </w:r>
      <w:r>
        <w:rPr>
          <w:rFonts w:hint="eastAsia" w:ascii="黑体" w:hAnsi="黑体" w:eastAsia="黑体"/>
          <w:lang w:val="en-US" w:eastAsia="zh-CN"/>
        </w:rPr>
        <w:t>1</w:t>
      </w:r>
    </w:p>
    <w:p>
      <w:pPr>
        <w:pStyle w:val="17"/>
        <w:adjustRightInd w:val="0"/>
        <w:snapToGrid w:val="0"/>
        <w:spacing w:line="440" w:lineRule="exact"/>
        <w:jc w:val="left"/>
        <w:rPr>
          <w:rFonts w:hint="eastAsia" w:ascii="仿宋" w:hAnsi="仿宋" w:eastAsia="黑体"/>
          <w:sz w:val="24"/>
          <w:lang w:val="en-US" w:eastAsia="zh-CN"/>
        </w:rPr>
      </w:pPr>
      <w:r>
        <w:rPr>
          <w:rFonts w:hint="eastAsia"/>
          <w:sz w:val="24"/>
        </w:rPr>
        <w:t>二、收入决算情况说明</w:t>
      </w:r>
      <w:r>
        <w:rPr>
          <w:rFonts w:ascii="黑体" w:hAnsi="黑体" w:eastAsia="黑体"/>
        </w:rPr>
        <w:tab/>
      </w:r>
      <w:r>
        <w:rPr>
          <w:rFonts w:hint="eastAsia" w:ascii="黑体" w:hAnsi="黑体" w:eastAsia="黑体"/>
          <w:lang w:val="en-US" w:eastAsia="zh-CN"/>
        </w:rPr>
        <w:t>2</w:t>
      </w:r>
    </w:p>
    <w:p>
      <w:pPr>
        <w:pStyle w:val="17"/>
        <w:adjustRightInd w:val="0"/>
        <w:snapToGrid w:val="0"/>
        <w:spacing w:line="440" w:lineRule="exact"/>
        <w:jc w:val="left"/>
        <w:rPr>
          <w:rFonts w:hint="eastAsia" w:ascii="仿宋" w:hAnsi="仿宋" w:eastAsia="黑体"/>
          <w:sz w:val="24"/>
          <w:lang w:val="en-US" w:eastAsia="zh-CN"/>
        </w:rPr>
      </w:pPr>
      <w:r>
        <w:rPr>
          <w:rFonts w:hint="eastAsia"/>
          <w:sz w:val="24"/>
        </w:rPr>
        <w:t>三、支出决算情况说明</w:t>
      </w:r>
      <w:r>
        <w:rPr>
          <w:rFonts w:ascii="黑体" w:hAnsi="黑体" w:eastAsia="黑体"/>
        </w:rPr>
        <w:tab/>
      </w:r>
      <w:r>
        <w:rPr>
          <w:rFonts w:hint="eastAsia" w:ascii="黑体" w:hAnsi="黑体" w:eastAsia="黑体"/>
          <w:lang w:val="en-US" w:eastAsia="zh-CN"/>
        </w:rPr>
        <w:t>2</w:t>
      </w:r>
    </w:p>
    <w:p>
      <w:pPr>
        <w:pStyle w:val="17"/>
        <w:adjustRightInd w:val="0"/>
        <w:snapToGrid w:val="0"/>
        <w:spacing w:line="440" w:lineRule="exact"/>
        <w:jc w:val="left"/>
        <w:rPr>
          <w:rFonts w:hint="eastAsia" w:ascii="仿宋" w:hAnsi="仿宋" w:eastAsia="黑体"/>
          <w:sz w:val="24"/>
          <w:lang w:val="en-US" w:eastAsia="zh-CN"/>
        </w:rPr>
      </w:pPr>
      <w:r>
        <w:rPr>
          <w:rFonts w:hint="eastAsia"/>
          <w:sz w:val="24"/>
        </w:rPr>
        <w:t>四、财政拨款收入支出决算总体情况说明</w:t>
      </w:r>
      <w:r>
        <w:rPr>
          <w:rFonts w:ascii="黑体" w:hAnsi="黑体" w:eastAsia="黑体"/>
        </w:rPr>
        <w:tab/>
      </w:r>
      <w:r>
        <w:rPr>
          <w:rFonts w:hint="eastAsia" w:ascii="黑体" w:hAnsi="黑体" w:eastAsia="黑体"/>
          <w:lang w:val="en-US" w:eastAsia="zh-CN"/>
        </w:rPr>
        <w:t>3</w:t>
      </w:r>
    </w:p>
    <w:p>
      <w:pPr>
        <w:pStyle w:val="17"/>
        <w:adjustRightInd w:val="0"/>
        <w:snapToGrid w:val="0"/>
        <w:spacing w:line="440" w:lineRule="exact"/>
        <w:jc w:val="left"/>
        <w:rPr>
          <w:rFonts w:hint="eastAsia" w:ascii="仿宋" w:hAnsi="仿宋" w:eastAsia="黑体"/>
          <w:sz w:val="24"/>
          <w:lang w:val="en-US" w:eastAsia="zh-CN"/>
        </w:rPr>
      </w:pPr>
      <w:r>
        <w:rPr>
          <w:rFonts w:hint="eastAsia"/>
          <w:sz w:val="24"/>
        </w:rPr>
        <w:t>五、一般公共预算财政拨款支出决算情况说明</w:t>
      </w:r>
      <w:r>
        <w:rPr>
          <w:rFonts w:ascii="黑体" w:hAnsi="黑体" w:eastAsia="黑体"/>
        </w:rPr>
        <w:tab/>
      </w:r>
      <w:r>
        <w:rPr>
          <w:rFonts w:hint="eastAsia" w:ascii="黑体" w:hAnsi="黑体" w:eastAsia="黑体"/>
          <w:lang w:val="en-US" w:eastAsia="zh-CN"/>
        </w:rPr>
        <w:t>4</w:t>
      </w:r>
    </w:p>
    <w:p>
      <w:pPr>
        <w:pStyle w:val="17"/>
        <w:adjustRightInd w:val="0"/>
        <w:snapToGrid w:val="0"/>
        <w:spacing w:line="440" w:lineRule="exact"/>
        <w:jc w:val="left"/>
        <w:rPr>
          <w:rFonts w:hint="eastAsia" w:ascii="仿宋" w:hAnsi="仿宋" w:eastAsia="黑体"/>
          <w:sz w:val="24"/>
          <w:lang w:val="en-US" w:eastAsia="zh-CN"/>
        </w:rPr>
      </w:pPr>
      <w:r>
        <w:rPr>
          <w:rFonts w:hint="eastAsia"/>
          <w:sz w:val="24"/>
        </w:rPr>
        <w:t>六、一般公共预算财政拨款基本支出决算情况说明</w:t>
      </w:r>
      <w:r>
        <w:rPr>
          <w:rFonts w:ascii="黑体" w:hAnsi="黑体" w:eastAsia="黑体"/>
        </w:rPr>
        <w:tab/>
      </w:r>
      <w:r>
        <w:rPr>
          <w:rFonts w:hint="eastAsia" w:ascii="黑体" w:hAnsi="黑体" w:eastAsia="黑体"/>
          <w:lang w:val="en-US" w:eastAsia="zh-CN"/>
        </w:rPr>
        <w:t>6</w:t>
      </w:r>
    </w:p>
    <w:p>
      <w:pPr>
        <w:pStyle w:val="17"/>
        <w:adjustRightInd w:val="0"/>
        <w:snapToGrid w:val="0"/>
        <w:spacing w:line="440" w:lineRule="exact"/>
        <w:jc w:val="left"/>
        <w:rPr>
          <w:rFonts w:hint="eastAsia" w:ascii="仿宋" w:hAnsi="仿宋" w:eastAsia="黑体"/>
          <w:sz w:val="24"/>
          <w:lang w:val="en-US" w:eastAsia="zh-CN"/>
        </w:rPr>
      </w:pPr>
      <w:r>
        <w:rPr>
          <w:rFonts w:hint="eastAsia"/>
          <w:sz w:val="24"/>
        </w:rPr>
        <w:t>七、财政拨款“三公”经费支出决算情况说明</w:t>
      </w:r>
      <w:r>
        <w:rPr>
          <w:rFonts w:ascii="黑体" w:hAnsi="黑体" w:eastAsia="黑体"/>
        </w:rPr>
        <w:tab/>
      </w:r>
      <w:r>
        <w:rPr>
          <w:rFonts w:hint="eastAsia" w:ascii="黑体" w:hAnsi="黑体" w:eastAsia="黑体"/>
          <w:lang w:val="en-US" w:eastAsia="zh-CN"/>
        </w:rPr>
        <w:t>6</w:t>
      </w:r>
    </w:p>
    <w:p>
      <w:pPr>
        <w:pStyle w:val="17"/>
        <w:adjustRightInd w:val="0"/>
        <w:snapToGrid w:val="0"/>
        <w:spacing w:line="440" w:lineRule="exact"/>
        <w:jc w:val="left"/>
        <w:rPr>
          <w:rFonts w:hint="eastAsia" w:ascii="仿宋" w:hAnsi="仿宋" w:eastAsia="黑体"/>
          <w:sz w:val="24"/>
          <w:lang w:val="en-US" w:eastAsia="zh-CN"/>
        </w:rPr>
      </w:pPr>
      <w:r>
        <w:rPr>
          <w:rFonts w:hint="eastAsia"/>
          <w:sz w:val="24"/>
        </w:rPr>
        <w:t>八、政府性基金预算支出决算情况说明</w:t>
      </w:r>
      <w:r>
        <w:rPr>
          <w:rFonts w:ascii="黑体" w:hAnsi="黑体" w:eastAsia="黑体"/>
        </w:rPr>
        <w:tab/>
      </w:r>
      <w:r>
        <w:rPr>
          <w:rFonts w:hint="eastAsia" w:ascii="黑体" w:hAnsi="黑体" w:eastAsia="黑体"/>
          <w:lang w:val="en-US" w:eastAsia="zh-CN"/>
        </w:rPr>
        <w:t>8</w:t>
      </w:r>
    </w:p>
    <w:p>
      <w:pPr>
        <w:pStyle w:val="17"/>
        <w:adjustRightInd w:val="0"/>
        <w:snapToGrid w:val="0"/>
        <w:spacing w:line="440" w:lineRule="exact"/>
        <w:jc w:val="left"/>
        <w:rPr>
          <w:rFonts w:hint="eastAsia" w:eastAsia="黑体"/>
          <w:sz w:val="24"/>
          <w:lang w:val="en-US" w:eastAsia="zh-CN"/>
        </w:rPr>
      </w:pPr>
      <w:r>
        <w:rPr>
          <w:rFonts w:hint="eastAsia"/>
          <w:sz w:val="24"/>
        </w:rPr>
        <w:t>九、国有资本经营预算支出决算情况说明</w:t>
      </w:r>
      <w:r>
        <w:rPr>
          <w:rFonts w:ascii="黑体" w:hAnsi="黑体" w:eastAsia="黑体"/>
        </w:rPr>
        <w:tab/>
      </w:r>
      <w:r>
        <w:rPr>
          <w:rFonts w:hint="eastAsia" w:ascii="黑体" w:hAnsi="黑体" w:eastAsia="黑体"/>
          <w:lang w:val="en-US" w:eastAsia="zh-CN"/>
        </w:rPr>
        <w:t>8</w:t>
      </w:r>
    </w:p>
    <w:p>
      <w:pPr>
        <w:pStyle w:val="17"/>
        <w:adjustRightInd w:val="0"/>
        <w:snapToGrid w:val="0"/>
        <w:spacing w:line="440" w:lineRule="exact"/>
        <w:jc w:val="left"/>
        <w:rPr>
          <w:rFonts w:hint="eastAsia" w:eastAsia="黑体"/>
          <w:sz w:val="24"/>
          <w:lang w:val="en-US" w:eastAsia="zh-CN"/>
        </w:rPr>
      </w:pPr>
      <w:r>
        <w:rPr>
          <w:rFonts w:hint="eastAsia"/>
          <w:sz w:val="24"/>
        </w:rPr>
        <w:t>十、其他重要事项的情况说明</w:t>
      </w:r>
      <w:r>
        <w:rPr>
          <w:rFonts w:ascii="黑体" w:hAnsi="黑体" w:eastAsia="黑体"/>
        </w:rPr>
        <w:tab/>
      </w:r>
      <w:r>
        <w:rPr>
          <w:rFonts w:hint="eastAsia" w:ascii="黑体" w:hAnsi="黑体" w:eastAsia="黑体"/>
          <w:lang w:val="en-US" w:eastAsia="zh-CN"/>
        </w:rPr>
        <w:t>8</w:t>
      </w:r>
    </w:p>
    <w:p>
      <w:pPr>
        <w:pStyle w:val="14"/>
        <w:adjustRightInd w:val="0"/>
        <w:snapToGrid w:val="0"/>
        <w:spacing w:before="0" w:line="440" w:lineRule="exact"/>
        <w:jc w:val="left"/>
        <w:rPr>
          <w:rFonts w:hint="default" w:ascii="黑体" w:hAnsi="黑体" w:eastAsia="黑体"/>
          <w:lang w:val="en-US" w:eastAsia="zh-CN"/>
        </w:rPr>
      </w:pPr>
      <w:r>
        <w:rPr>
          <w:rFonts w:hint="eastAsia" w:ascii="黑体" w:hAnsi="黑体" w:eastAsia="黑体"/>
        </w:rPr>
        <w:t>第三部分</w:t>
      </w:r>
      <w:r>
        <w:rPr>
          <w:rFonts w:ascii="黑体" w:hAnsi="黑体" w:eastAsia="黑体"/>
        </w:rPr>
        <w:t xml:space="preserve"> </w:t>
      </w:r>
      <w:r>
        <w:rPr>
          <w:rFonts w:hint="eastAsia" w:ascii="黑体" w:hAnsi="黑体" w:eastAsia="黑体"/>
        </w:rPr>
        <w:t>名词解释</w:t>
      </w:r>
      <w:r>
        <w:rPr>
          <w:rFonts w:ascii="黑体" w:hAnsi="黑体" w:eastAsia="黑体"/>
        </w:rPr>
        <w:tab/>
      </w:r>
      <w:r>
        <w:rPr>
          <w:rFonts w:hint="eastAsia" w:ascii="黑体" w:hAnsi="黑体" w:eastAsia="黑体"/>
          <w:lang w:val="en-US" w:eastAsia="zh-CN"/>
        </w:rPr>
        <w:t>10</w:t>
      </w:r>
    </w:p>
    <w:p>
      <w:pPr>
        <w:pStyle w:val="14"/>
        <w:adjustRightInd w:val="0"/>
        <w:snapToGrid w:val="0"/>
        <w:spacing w:before="0" w:line="440" w:lineRule="exact"/>
        <w:jc w:val="left"/>
        <w:rPr>
          <w:rFonts w:hint="default" w:ascii="黑体" w:hAnsi="黑体" w:eastAsia="黑体"/>
          <w:lang w:val="en-US" w:eastAsia="zh-CN"/>
        </w:rPr>
      </w:pPr>
      <w:r>
        <w:rPr>
          <w:rFonts w:hint="eastAsia" w:ascii="黑体" w:hAnsi="黑体" w:eastAsia="黑体"/>
        </w:rPr>
        <w:t>第四部分</w:t>
      </w:r>
      <w:r>
        <w:rPr>
          <w:rFonts w:ascii="黑体" w:hAnsi="黑体" w:eastAsia="黑体"/>
        </w:rPr>
        <w:t xml:space="preserve"> </w:t>
      </w:r>
      <w:r>
        <w:rPr>
          <w:rFonts w:hint="eastAsia" w:ascii="黑体" w:hAnsi="黑体" w:eastAsia="黑体"/>
        </w:rPr>
        <w:t>附件</w:t>
      </w:r>
      <w:r>
        <w:rPr>
          <w:rFonts w:ascii="黑体" w:hAnsi="黑体" w:eastAsia="黑体"/>
        </w:rPr>
        <w:tab/>
      </w:r>
      <w:r>
        <w:rPr>
          <w:rFonts w:hint="eastAsia" w:ascii="黑体" w:hAnsi="黑体" w:eastAsia="黑体"/>
          <w:lang w:val="en-US" w:eastAsia="zh-CN"/>
        </w:rPr>
        <w:t>12</w:t>
      </w:r>
    </w:p>
    <w:p>
      <w:pPr>
        <w:pStyle w:val="14"/>
        <w:adjustRightInd w:val="0"/>
        <w:snapToGrid w:val="0"/>
        <w:spacing w:before="0" w:line="440" w:lineRule="exact"/>
        <w:jc w:val="left"/>
        <w:rPr>
          <w:rFonts w:hint="default" w:eastAsia="黑体"/>
          <w:sz w:val="24"/>
          <w:szCs w:val="24"/>
          <w:lang w:val="en-US" w:eastAsia="zh-CN"/>
        </w:rPr>
      </w:pPr>
      <w:r>
        <w:rPr>
          <w:rFonts w:hint="eastAsia" w:ascii="黑体" w:hAnsi="黑体" w:eastAsia="黑体"/>
        </w:rPr>
        <w:t>第五部分</w:t>
      </w:r>
      <w:r>
        <w:rPr>
          <w:rFonts w:ascii="黑体" w:hAnsi="黑体" w:eastAsia="黑体"/>
        </w:rPr>
        <w:t xml:space="preserve"> </w:t>
      </w:r>
      <w:r>
        <w:rPr>
          <w:rFonts w:hint="eastAsia" w:ascii="黑体" w:hAnsi="黑体" w:eastAsia="黑体"/>
        </w:rPr>
        <w:t>附表</w:t>
      </w:r>
      <w:r>
        <w:rPr>
          <w:rFonts w:ascii="黑体" w:hAnsi="黑体" w:eastAsia="黑体"/>
        </w:rPr>
        <w:tab/>
      </w:r>
      <w:r>
        <w:rPr>
          <w:rFonts w:hint="eastAsia" w:ascii="黑体" w:hAnsi="黑体" w:eastAsia="黑体"/>
          <w:lang w:val="en-US" w:eastAsia="zh-CN"/>
        </w:rPr>
        <w:t>22</w:t>
      </w:r>
    </w:p>
    <w:p>
      <w:pPr>
        <w:pStyle w:val="17"/>
        <w:adjustRightInd w:val="0"/>
        <w:snapToGrid w:val="0"/>
        <w:spacing w:line="440" w:lineRule="exact"/>
        <w:jc w:val="left"/>
        <w:rPr>
          <w:rFonts w:hint="default" w:eastAsia="黑体"/>
          <w:sz w:val="24"/>
          <w:lang w:val="en-US" w:eastAsia="zh-CN"/>
        </w:rPr>
      </w:pPr>
      <w:r>
        <w:rPr>
          <w:rFonts w:hint="eastAsia"/>
          <w:sz w:val="24"/>
        </w:rPr>
        <w:t>一、收入支出决算总表</w:t>
      </w:r>
      <w:r>
        <w:rPr>
          <w:rFonts w:ascii="黑体" w:hAnsi="黑体" w:eastAsia="黑体"/>
        </w:rPr>
        <w:tab/>
      </w:r>
      <w:r>
        <w:rPr>
          <w:rFonts w:hint="eastAsia" w:ascii="黑体" w:hAnsi="黑体" w:eastAsia="黑体"/>
          <w:lang w:val="en-US" w:eastAsia="zh-CN"/>
        </w:rPr>
        <w:t>22</w:t>
      </w:r>
    </w:p>
    <w:p>
      <w:pPr>
        <w:pStyle w:val="17"/>
        <w:adjustRightInd w:val="0"/>
        <w:snapToGrid w:val="0"/>
        <w:spacing w:line="440" w:lineRule="exact"/>
        <w:jc w:val="left"/>
        <w:rPr>
          <w:rFonts w:hint="default" w:eastAsia="黑体"/>
          <w:sz w:val="24"/>
          <w:lang w:val="en-US" w:eastAsia="zh-CN"/>
        </w:rPr>
      </w:pPr>
      <w:r>
        <w:rPr>
          <w:rFonts w:hint="eastAsia"/>
          <w:sz w:val="24"/>
        </w:rPr>
        <w:t>二、收入决算表</w:t>
      </w:r>
      <w:r>
        <w:rPr>
          <w:rFonts w:ascii="黑体" w:hAnsi="黑体" w:eastAsia="黑体"/>
        </w:rPr>
        <w:tab/>
      </w:r>
      <w:r>
        <w:rPr>
          <w:rFonts w:hint="eastAsia" w:ascii="黑体" w:hAnsi="黑体" w:eastAsia="黑体"/>
          <w:lang w:val="en-US" w:eastAsia="zh-CN"/>
        </w:rPr>
        <w:t>22</w:t>
      </w:r>
    </w:p>
    <w:p>
      <w:pPr>
        <w:pStyle w:val="17"/>
        <w:adjustRightInd w:val="0"/>
        <w:snapToGrid w:val="0"/>
        <w:spacing w:line="440" w:lineRule="exact"/>
        <w:jc w:val="left"/>
        <w:rPr>
          <w:rFonts w:hint="default" w:eastAsia="黑体"/>
          <w:sz w:val="24"/>
          <w:lang w:val="en-US" w:eastAsia="zh-CN"/>
        </w:rPr>
      </w:pPr>
      <w:r>
        <w:rPr>
          <w:rFonts w:hint="eastAsia"/>
          <w:sz w:val="24"/>
        </w:rPr>
        <w:t>三、支出决算表</w:t>
      </w:r>
      <w:r>
        <w:rPr>
          <w:rFonts w:ascii="黑体" w:hAnsi="黑体" w:eastAsia="黑体"/>
        </w:rPr>
        <w:tab/>
      </w:r>
      <w:r>
        <w:rPr>
          <w:rFonts w:hint="eastAsia" w:ascii="黑体" w:hAnsi="黑体" w:eastAsia="黑体"/>
          <w:lang w:val="en-US" w:eastAsia="zh-CN"/>
        </w:rPr>
        <w:t>22</w:t>
      </w:r>
    </w:p>
    <w:p>
      <w:pPr>
        <w:pStyle w:val="17"/>
        <w:adjustRightInd w:val="0"/>
        <w:snapToGrid w:val="0"/>
        <w:spacing w:line="440" w:lineRule="exact"/>
        <w:jc w:val="left"/>
        <w:rPr>
          <w:rFonts w:hint="default" w:eastAsia="黑体"/>
          <w:sz w:val="24"/>
          <w:lang w:val="en-US" w:eastAsia="zh-CN"/>
        </w:rPr>
      </w:pPr>
      <w:r>
        <w:rPr>
          <w:rFonts w:hint="eastAsia"/>
          <w:sz w:val="24"/>
        </w:rPr>
        <w:t>四、财政拨款收入支出决算总表</w:t>
      </w:r>
      <w:r>
        <w:rPr>
          <w:rFonts w:ascii="黑体" w:hAnsi="黑体" w:eastAsia="黑体"/>
        </w:rPr>
        <w:tab/>
      </w:r>
      <w:r>
        <w:rPr>
          <w:rFonts w:hint="eastAsia" w:ascii="黑体" w:hAnsi="黑体" w:eastAsia="黑体"/>
          <w:lang w:val="en-US" w:eastAsia="zh-CN"/>
        </w:rPr>
        <w:t>22</w:t>
      </w:r>
    </w:p>
    <w:p>
      <w:pPr>
        <w:pStyle w:val="17"/>
        <w:adjustRightInd w:val="0"/>
        <w:snapToGrid w:val="0"/>
        <w:spacing w:line="440" w:lineRule="exact"/>
        <w:jc w:val="left"/>
        <w:rPr>
          <w:rFonts w:hint="default" w:eastAsia="黑体"/>
          <w:sz w:val="24"/>
          <w:lang w:val="en-US" w:eastAsia="zh-CN"/>
        </w:rPr>
      </w:pPr>
      <w:r>
        <w:rPr>
          <w:rFonts w:hint="eastAsia"/>
          <w:sz w:val="24"/>
        </w:rPr>
        <w:t>五、财政拨款支出决算明细表</w:t>
      </w:r>
      <w:r>
        <w:rPr>
          <w:rFonts w:ascii="黑体" w:hAnsi="黑体" w:eastAsia="黑体"/>
        </w:rPr>
        <w:tab/>
      </w:r>
      <w:r>
        <w:rPr>
          <w:rFonts w:hint="eastAsia" w:ascii="黑体" w:hAnsi="黑体" w:eastAsia="黑体"/>
          <w:lang w:val="en-US" w:eastAsia="zh-CN"/>
        </w:rPr>
        <w:t>22</w:t>
      </w:r>
    </w:p>
    <w:p>
      <w:pPr>
        <w:pStyle w:val="17"/>
        <w:adjustRightInd w:val="0"/>
        <w:snapToGrid w:val="0"/>
        <w:spacing w:line="440" w:lineRule="exact"/>
        <w:jc w:val="left"/>
        <w:rPr>
          <w:rFonts w:hint="default" w:eastAsia="黑体"/>
          <w:sz w:val="24"/>
          <w:lang w:val="en-US" w:eastAsia="zh-CN"/>
        </w:rPr>
      </w:pPr>
      <w:r>
        <w:rPr>
          <w:rFonts w:hint="eastAsia"/>
          <w:sz w:val="24"/>
        </w:rPr>
        <w:t>六、一般公共预算财政拨款支出决算表</w:t>
      </w:r>
      <w:r>
        <w:rPr>
          <w:rFonts w:ascii="黑体" w:hAnsi="黑体" w:eastAsia="黑体"/>
        </w:rPr>
        <w:tab/>
      </w:r>
      <w:r>
        <w:rPr>
          <w:rFonts w:hint="eastAsia" w:ascii="黑体" w:hAnsi="黑体" w:eastAsia="黑体"/>
          <w:lang w:val="en-US" w:eastAsia="zh-CN"/>
        </w:rPr>
        <w:t>22</w:t>
      </w:r>
    </w:p>
    <w:p>
      <w:pPr>
        <w:pStyle w:val="17"/>
        <w:adjustRightInd w:val="0"/>
        <w:snapToGrid w:val="0"/>
        <w:spacing w:line="440" w:lineRule="exact"/>
        <w:jc w:val="left"/>
        <w:rPr>
          <w:rFonts w:hint="default" w:eastAsia="黑体"/>
          <w:sz w:val="24"/>
          <w:lang w:val="en-US" w:eastAsia="zh-CN"/>
        </w:rPr>
      </w:pPr>
      <w:r>
        <w:rPr>
          <w:rFonts w:hint="eastAsia"/>
          <w:sz w:val="24"/>
        </w:rPr>
        <w:t>七、一般公共预算财政拨款支出决算明细表</w:t>
      </w:r>
      <w:r>
        <w:rPr>
          <w:rFonts w:ascii="黑体" w:hAnsi="黑体" w:eastAsia="黑体"/>
        </w:rPr>
        <w:tab/>
      </w:r>
      <w:r>
        <w:rPr>
          <w:rFonts w:hint="eastAsia" w:ascii="黑体" w:hAnsi="黑体" w:eastAsia="黑体"/>
          <w:lang w:val="en-US" w:eastAsia="zh-CN"/>
        </w:rPr>
        <w:t>22</w:t>
      </w:r>
    </w:p>
    <w:p>
      <w:pPr>
        <w:pStyle w:val="17"/>
        <w:adjustRightInd w:val="0"/>
        <w:snapToGrid w:val="0"/>
        <w:spacing w:line="440" w:lineRule="exact"/>
        <w:jc w:val="left"/>
        <w:rPr>
          <w:rFonts w:hint="default" w:eastAsia="黑体"/>
          <w:sz w:val="24"/>
          <w:lang w:val="en-US" w:eastAsia="zh-CN"/>
        </w:rPr>
      </w:pPr>
      <w:r>
        <w:rPr>
          <w:rFonts w:hint="eastAsia"/>
          <w:sz w:val="24"/>
        </w:rPr>
        <w:t>八、一般公共预算财政拨款基本支出决算明细表</w:t>
      </w:r>
      <w:r>
        <w:rPr>
          <w:rFonts w:ascii="黑体" w:hAnsi="黑体" w:eastAsia="黑体"/>
        </w:rPr>
        <w:tab/>
      </w:r>
      <w:r>
        <w:rPr>
          <w:rFonts w:hint="eastAsia" w:ascii="黑体" w:hAnsi="黑体" w:eastAsia="黑体"/>
          <w:lang w:val="en-US" w:eastAsia="zh-CN"/>
        </w:rPr>
        <w:t>22</w:t>
      </w:r>
    </w:p>
    <w:p>
      <w:pPr>
        <w:pStyle w:val="17"/>
        <w:adjustRightInd w:val="0"/>
        <w:snapToGrid w:val="0"/>
        <w:spacing w:line="440" w:lineRule="exact"/>
        <w:jc w:val="left"/>
        <w:rPr>
          <w:rFonts w:hint="default" w:eastAsia="黑体"/>
          <w:sz w:val="24"/>
          <w:lang w:val="en-US" w:eastAsia="zh-CN"/>
        </w:rPr>
      </w:pPr>
      <w:r>
        <w:rPr>
          <w:rFonts w:hint="eastAsia"/>
          <w:sz w:val="24"/>
        </w:rPr>
        <w:t>九、一般公共预算财政拨款项目支出决算表</w:t>
      </w:r>
      <w:r>
        <w:rPr>
          <w:rFonts w:ascii="黑体" w:hAnsi="黑体" w:eastAsia="黑体"/>
        </w:rPr>
        <w:tab/>
      </w:r>
      <w:r>
        <w:rPr>
          <w:rFonts w:hint="eastAsia" w:ascii="黑体" w:hAnsi="黑体" w:eastAsia="黑体"/>
          <w:lang w:val="en-US" w:eastAsia="zh-CN"/>
        </w:rPr>
        <w:t>22</w:t>
      </w:r>
    </w:p>
    <w:p>
      <w:pPr>
        <w:pStyle w:val="17"/>
        <w:adjustRightInd w:val="0"/>
        <w:snapToGrid w:val="0"/>
        <w:spacing w:line="440" w:lineRule="exact"/>
        <w:jc w:val="left"/>
        <w:rPr>
          <w:rFonts w:hint="default" w:eastAsia="黑体"/>
          <w:sz w:val="24"/>
          <w:lang w:val="en-US" w:eastAsia="zh-CN"/>
        </w:rPr>
      </w:pPr>
      <w:r>
        <w:rPr>
          <w:rFonts w:hint="eastAsia"/>
          <w:sz w:val="24"/>
        </w:rPr>
        <w:t>十、政府性基金预算财政拨款收入支出决算表</w:t>
      </w:r>
      <w:r>
        <w:rPr>
          <w:rFonts w:ascii="黑体" w:hAnsi="黑体" w:eastAsia="黑体"/>
        </w:rPr>
        <w:tab/>
      </w:r>
      <w:r>
        <w:rPr>
          <w:rFonts w:hint="eastAsia" w:ascii="黑体" w:hAnsi="黑体" w:eastAsia="黑体"/>
          <w:lang w:val="en-US" w:eastAsia="zh-CN"/>
        </w:rPr>
        <w:t>23</w:t>
      </w:r>
    </w:p>
    <w:p>
      <w:pPr>
        <w:pStyle w:val="17"/>
        <w:adjustRightInd w:val="0"/>
        <w:snapToGrid w:val="0"/>
        <w:spacing w:line="440" w:lineRule="exact"/>
        <w:jc w:val="left"/>
        <w:rPr>
          <w:rFonts w:hint="default" w:eastAsia="黑体"/>
          <w:sz w:val="24"/>
          <w:lang w:val="en-US" w:eastAsia="zh-CN"/>
        </w:rPr>
      </w:pPr>
      <w:r>
        <w:rPr>
          <w:rFonts w:hint="eastAsia"/>
          <w:sz w:val="24"/>
        </w:rPr>
        <w:t>十一、国有资本经营预算财政拨款收入支出决算表</w:t>
      </w:r>
      <w:r>
        <w:rPr>
          <w:rFonts w:ascii="黑体" w:hAnsi="黑体" w:eastAsia="黑体"/>
        </w:rPr>
        <w:tab/>
      </w:r>
      <w:r>
        <w:rPr>
          <w:rFonts w:hint="eastAsia" w:ascii="黑体" w:hAnsi="黑体" w:eastAsia="黑体"/>
          <w:lang w:val="en-US" w:eastAsia="zh-CN"/>
        </w:rPr>
        <w:t>23</w:t>
      </w:r>
    </w:p>
    <w:p>
      <w:pPr>
        <w:pStyle w:val="17"/>
        <w:adjustRightInd w:val="0"/>
        <w:snapToGrid w:val="0"/>
        <w:spacing w:line="440" w:lineRule="exact"/>
        <w:jc w:val="left"/>
        <w:rPr>
          <w:rFonts w:hint="default" w:eastAsia="黑体"/>
          <w:sz w:val="24"/>
          <w:lang w:val="en-US" w:eastAsia="zh-CN"/>
        </w:rPr>
      </w:pPr>
      <w:r>
        <w:rPr>
          <w:rFonts w:hint="eastAsia"/>
          <w:sz w:val="24"/>
        </w:rPr>
        <w:t>十二、国有资本经营预算财政拨款支出决算表</w:t>
      </w:r>
      <w:r>
        <w:rPr>
          <w:rFonts w:ascii="黑体" w:hAnsi="黑体" w:eastAsia="黑体"/>
        </w:rPr>
        <w:tab/>
      </w:r>
      <w:r>
        <w:rPr>
          <w:rFonts w:hint="eastAsia" w:ascii="黑体" w:hAnsi="黑体" w:eastAsia="黑体"/>
          <w:lang w:val="en-US" w:eastAsia="zh-CN"/>
        </w:rPr>
        <w:t>23</w:t>
      </w:r>
    </w:p>
    <w:p>
      <w:pPr>
        <w:pStyle w:val="17"/>
        <w:adjustRightInd w:val="0"/>
        <w:snapToGrid w:val="0"/>
        <w:spacing w:line="440" w:lineRule="exact"/>
        <w:jc w:val="left"/>
        <w:rPr>
          <w:rFonts w:hint="default" w:eastAsia="黑体"/>
          <w:sz w:val="24"/>
          <w:lang w:val="en-US" w:eastAsia="zh-CN"/>
        </w:rPr>
      </w:pPr>
      <w:r>
        <w:rPr>
          <w:rFonts w:hint="eastAsia"/>
          <w:sz w:val="24"/>
        </w:rPr>
        <w:t>十三、财政拨款“三公”经费支出决算表</w:t>
      </w:r>
      <w:r>
        <w:rPr>
          <w:rFonts w:ascii="黑体" w:hAnsi="黑体" w:eastAsia="黑体"/>
        </w:rPr>
        <w:tab/>
      </w:r>
      <w:r>
        <w:rPr>
          <w:rFonts w:hint="eastAsia" w:ascii="黑体" w:hAnsi="黑体" w:eastAsia="黑体"/>
          <w:lang w:val="en-US" w:eastAsia="zh-CN"/>
        </w:rPr>
        <w:t>23</w:t>
      </w:r>
    </w:p>
    <w:p>
      <w:pPr>
        <w:pStyle w:val="3"/>
        <w:jc w:val="center"/>
        <w:rPr>
          <w:rFonts w:hint="eastAsia" w:ascii="黑体" w:hAnsi="黑体" w:eastAsia="黑体"/>
          <w:b w:val="0"/>
        </w:rPr>
        <w:sectPr>
          <w:headerReference r:id="rId4" w:type="first"/>
          <w:footerReference r:id="rId6" w:type="first"/>
          <w:headerReference r:id="rId3" w:type="default"/>
          <w:footerReference r:id="rId5" w:type="default"/>
          <w:pgSz w:w="11906" w:h="16838"/>
          <w:pgMar w:top="1440" w:right="1800" w:bottom="1440" w:left="1800" w:header="851" w:footer="992" w:gutter="0"/>
          <w:pgNumType w:start="1"/>
          <w:cols w:space="425" w:num="1"/>
          <w:titlePg/>
          <w:docGrid w:type="lines" w:linePitch="312" w:charSpace="0"/>
        </w:sectPr>
      </w:pPr>
    </w:p>
    <w:p>
      <w:pPr>
        <w:pStyle w:val="3"/>
        <w:jc w:val="center"/>
        <w:rPr>
          <w:rFonts w:ascii="黑体" w:hAnsi="黑体" w:eastAsia="黑体"/>
          <w:b w:val="0"/>
        </w:rPr>
      </w:pPr>
      <w:r>
        <w:rPr>
          <w:rFonts w:hint="eastAsia" w:ascii="黑体" w:hAnsi="黑体" w:eastAsia="黑体"/>
          <w:b w:val="0"/>
        </w:rPr>
        <w:t>第一部分 单位</w:t>
      </w:r>
      <w:r>
        <w:rPr>
          <w:rStyle w:val="31"/>
          <w:rFonts w:hint="eastAsia" w:ascii="黑体" w:hAnsi="黑体" w:eastAsia="黑体"/>
          <w:b w:val="0"/>
          <w:bCs w:val="0"/>
        </w:rPr>
        <w:t>概况</w:t>
      </w:r>
    </w:p>
    <w:p>
      <w:pPr>
        <w:ind w:firstLine="643" w:firstLineChars="200"/>
        <w:rPr>
          <w:rStyle w:val="32"/>
          <w:rFonts w:ascii="黑体" w:hAnsi="黑体" w:eastAsia="黑体"/>
          <w:b w:val="0"/>
          <w:bCs w:val="0"/>
        </w:rPr>
      </w:pPr>
      <w:r>
        <w:rPr>
          <w:rStyle w:val="32"/>
          <w:rFonts w:hint="eastAsia" w:ascii="黑体" w:hAnsi="黑体" w:eastAsia="黑体"/>
        </w:rPr>
        <w:t>一、主要职责</w:t>
      </w:r>
    </w:p>
    <w:p>
      <w:pPr>
        <w:spacing w:line="360" w:lineRule="auto"/>
        <w:ind w:firstLine="640" w:firstLineChars="200"/>
        <w:rPr>
          <w:rFonts w:ascii="仿宋" w:hAnsi="仿宋" w:eastAsia="仿宋"/>
          <w:bCs/>
          <w:color w:val="000000"/>
          <w:sz w:val="32"/>
          <w:szCs w:val="32"/>
        </w:rPr>
      </w:pPr>
      <w:r>
        <w:rPr>
          <w:rFonts w:hint="eastAsia" w:ascii="仿宋" w:hAnsi="仿宋" w:eastAsia="仿宋"/>
          <w:sz w:val="32"/>
          <w:szCs w:val="32"/>
        </w:rPr>
        <w:t>盐边县养路队</w:t>
      </w:r>
      <w:r>
        <w:rPr>
          <w:rFonts w:hint="eastAsia" w:ascii="仿宋" w:hAnsi="仿宋" w:eastAsia="仿宋"/>
          <w:color w:val="000000"/>
          <w:sz w:val="32"/>
          <w:szCs w:val="32"/>
        </w:rPr>
        <w:t>主要职责</w:t>
      </w:r>
      <w:r>
        <w:rPr>
          <w:rFonts w:hint="eastAsia" w:ascii="仿宋" w:hAnsi="仿宋" w:eastAsia="仿宋"/>
          <w:bCs/>
          <w:color w:val="000000"/>
          <w:sz w:val="32"/>
          <w:szCs w:val="32"/>
        </w:rPr>
        <w:t>是承担全县辖区内省县道公路桥梁的日常养护管理工作，拟定公路养护建议计划并按批准的计划组织实施管理，具体负责辖区内省县道公路桥梁及附属设施的日常管护、组织受灾毁损道路桥梁的恢复、维护道路路产路权，为辖区内道路良好运行提供有力保障。</w:t>
      </w:r>
    </w:p>
    <w:p>
      <w:pPr>
        <w:pStyle w:val="4"/>
        <w:ind w:firstLine="640" w:firstLineChars="200"/>
        <w:rPr>
          <w:rFonts w:ascii="黑体" w:hAnsi="黑体" w:eastAsia="黑体"/>
          <w:b w:val="0"/>
          <w:color w:val="000000"/>
        </w:rPr>
      </w:pPr>
      <w:r>
        <w:rPr>
          <w:rFonts w:hint="eastAsia" w:ascii="黑体" w:hAnsi="黑体" w:eastAsia="黑体"/>
          <w:b w:val="0"/>
        </w:rPr>
        <w:t>二、机构设置</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盐边县养路队是一个独立编制、独立核算的财政全额拨款事业单位，主管部门为盐边县交通运输局。单位内设养护科、机械科、办公室、财务科。</w:t>
      </w:r>
    </w:p>
    <w:p>
      <w:pPr>
        <w:snapToGrid w:val="0"/>
        <w:spacing w:line="360" w:lineRule="auto"/>
        <w:ind w:firstLine="640" w:firstLineChars="200"/>
        <w:rPr>
          <w:rFonts w:ascii="仿宋" w:hAnsi="仿宋" w:eastAsia="仿宋"/>
          <w:sz w:val="32"/>
          <w:szCs w:val="32"/>
        </w:rPr>
      </w:pPr>
    </w:p>
    <w:p>
      <w:pPr>
        <w:snapToGrid w:val="0"/>
        <w:spacing w:line="360" w:lineRule="auto"/>
        <w:ind w:firstLine="880" w:firstLineChars="200"/>
        <w:rPr>
          <w:rStyle w:val="31"/>
          <w:rFonts w:ascii="仿宋" w:hAnsi="仿宋" w:eastAsia="仿宋"/>
          <w:b w:val="0"/>
          <w:bCs w:val="0"/>
          <w:sz w:val="32"/>
          <w:szCs w:val="32"/>
        </w:rPr>
      </w:pPr>
      <w:r>
        <w:rPr>
          <w:rFonts w:hint="eastAsia" w:ascii="黑体" w:hAnsi="黑体" w:eastAsia="黑体"/>
          <w:sz w:val="44"/>
          <w:szCs w:val="44"/>
        </w:rPr>
        <w:t>第二部分 2023年度</w:t>
      </w:r>
      <w:r>
        <w:rPr>
          <w:rStyle w:val="31"/>
          <w:rFonts w:hint="eastAsia" w:ascii="黑体" w:hAnsi="黑体" w:eastAsia="黑体"/>
        </w:rPr>
        <w:t>单位决算情况说明</w:t>
      </w:r>
    </w:p>
    <w:p/>
    <w:p>
      <w:pPr>
        <w:pStyle w:val="30"/>
        <w:spacing w:line="600" w:lineRule="exact"/>
        <w:ind w:left="640" w:firstLine="0" w:firstLineChars="0"/>
        <w:outlineLvl w:val="1"/>
        <w:rPr>
          <w:rStyle w:val="32"/>
          <w:rFonts w:ascii="黑体" w:hAnsi="黑体" w:eastAsia="黑体"/>
          <w:b w:val="0"/>
        </w:rPr>
      </w:pPr>
      <w:r>
        <w:rPr>
          <w:rFonts w:hint="eastAsia" w:ascii="黑体" w:hAnsi="黑体" w:eastAsia="黑体"/>
          <w:sz w:val="32"/>
          <w:szCs w:val="32"/>
        </w:rPr>
        <w:t>一、收</w:t>
      </w:r>
      <w:r>
        <w:rPr>
          <w:rStyle w:val="32"/>
          <w:rFonts w:hint="eastAsia" w:ascii="黑体" w:hAnsi="黑体" w:eastAsia="黑体"/>
        </w:rPr>
        <w:t>入支出决算总体情况说明</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2023年度收、支总计均为921.43万元。与2022年度相比，收、支总计各减少33.29万元，下降3.5</w:t>
      </w:r>
      <w:r>
        <w:rPr>
          <w:rFonts w:ascii="仿宋" w:hAnsi="仿宋" w:eastAsia="仿宋"/>
          <w:sz w:val="32"/>
          <w:szCs w:val="32"/>
        </w:rPr>
        <w:t>%</w:t>
      </w:r>
      <w:r>
        <w:rPr>
          <w:rFonts w:hint="eastAsia" w:ascii="仿宋" w:hAnsi="仿宋" w:eastAsia="仿宋"/>
          <w:sz w:val="32"/>
          <w:szCs w:val="32"/>
        </w:rPr>
        <w:t>。主要变动原因是</w:t>
      </w:r>
      <w:r>
        <w:rPr>
          <w:rFonts w:hint="eastAsia" w:ascii="宋体" w:hAnsi="宋体"/>
          <w:sz w:val="32"/>
          <w:szCs w:val="32"/>
        </w:rPr>
        <w:t>1</w:t>
      </w:r>
      <w:r>
        <w:rPr>
          <w:rFonts w:hint="eastAsia" w:ascii="仿宋" w:hAnsi="仿宋" w:eastAsia="仿宋"/>
          <w:sz w:val="32"/>
          <w:szCs w:val="32"/>
        </w:rPr>
        <w:t>、项目支出减少。2023年项目支出579.77万元，2022年项目支出589.67万元，2023年项目支出比2022年减少9.9万元。2、基本支出减少。2023年基本支出341.66万元，2022年基本支出</w:t>
      </w:r>
      <w:r>
        <w:rPr>
          <w:rFonts w:ascii="仿宋" w:hAnsi="仿宋" w:eastAsia="仿宋"/>
          <w:sz w:val="32"/>
          <w:szCs w:val="32"/>
        </w:rPr>
        <w:t>365</w:t>
      </w:r>
      <w:r>
        <w:rPr>
          <w:rFonts w:hint="eastAsia" w:ascii="仿宋" w:hAnsi="仿宋" w:eastAsia="仿宋"/>
          <w:sz w:val="32"/>
          <w:szCs w:val="32"/>
        </w:rPr>
        <w:t>.</w:t>
      </w:r>
      <w:r>
        <w:rPr>
          <w:rFonts w:ascii="仿宋" w:hAnsi="仿宋" w:eastAsia="仿宋"/>
          <w:sz w:val="32"/>
          <w:szCs w:val="32"/>
        </w:rPr>
        <w:t>05</w:t>
      </w:r>
      <w:r>
        <w:rPr>
          <w:rFonts w:hint="eastAsia" w:ascii="仿宋" w:hAnsi="仿宋" w:eastAsia="仿宋"/>
          <w:sz w:val="32"/>
          <w:szCs w:val="32"/>
        </w:rPr>
        <w:t>万元，2023年基本支出比2022年减少23.39万元。</w:t>
      </w:r>
    </w:p>
    <w:p>
      <w:pPr>
        <w:pStyle w:val="7"/>
        <w:spacing w:before="93"/>
      </w:pPr>
      <w:r>
        <w:drawing>
          <wp:inline distT="0" distB="0" distL="0" distR="0">
            <wp:extent cx="5086350" cy="2466975"/>
            <wp:effectExtent l="19050" t="0" r="1905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pStyle w:val="30"/>
        <w:spacing w:line="600" w:lineRule="exact"/>
        <w:ind w:left="640" w:firstLine="0" w:firstLineChars="0"/>
        <w:outlineLvl w:val="1"/>
        <w:rPr>
          <w:rStyle w:val="32"/>
          <w:rFonts w:ascii="黑体" w:hAnsi="黑体" w:eastAsia="黑体"/>
          <w:b w:val="0"/>
        </w:rPr>
      </w:pPr>
      <w:r>
        <w:rPr>
          <w:rFonts w:hint="eastAsia" w:ascii="黑体" w:hAnsi="黑体" w:eastAsia="黑体"/>
          <w:sz w:val="32"/>
          <w:szCs w:val="32"/>
        </w:rPr>
        <w:t>二、收</w:t>
      </w:r>
      <w:r>
        <w:rPr>
          <w:rStyle w:val="32"/>
          <w:rFonts w:hint="eastAsia" w:ascii="黑体" w:hAnsi="黑体" w:eastAsia="黑体"/>
        </w:rPr>
        <w:t>入决算情况说明</w:t>
      </w:r>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2023年度本年收入合计921.43万元，其中：一般公共预算财政拨款收入921.43万元，占100</w:t>
      </w:r>
      <w:r>
        <w:rPr>
          <w:rFonts w:ascii="仿宋" w:hAnsi="仿宋" w:eastAsia="仿宋"/>
          <w:sz w:val="32"/>
          <w:szCs w:val="32"/>
        </w:rPr>
        <w:t>%</w:t>
      </w:r>
      <w:r>
        <w:rPr>
          <w:rFonts w:hint="eastAsia" w:ascii="仿宋" w:hAnsi="仿宋" w:eastAsia="仿宋"/>
          <w:sz w:val="32"/>
          <w:szCs w:val="32"/>
        </w:rPr>
        <w:t>；政府性基金预算财政拨款收入0万元，占0</w:t>
      </w:r>
      <w:r>
        <w:rPr>
          <w:rFonts w:ascii="仿宋" w:hAnsi="仿宋" w:eastAsia="仿宋"/>
          <w:sz w:val="32"/>
          <w:szCs w:val="32"/>
        </w:rPr>
        <w:t>%</w:t>
      </w:r>
      <w:r>
        <w:rPr>
          <w:rFonts w:hint="eastAsia" w:ascii="仿宋" w:hAnsi="仿宋" w:eastAsia="仿宋"/>
          <w:sz w:val="32"/>
          <w:szCs w:val="32"/>
        </w:rPr>
        <w:t>；国有资本经营预算财政拨款收入0万元，占0</w:t>
      </w:r>
      <w:r>
        <w:rPr>
          <w:rFonts w:ascii="仿宋" w:hAnsi="仿宋" w:eastAsia="仿宋"/>
          <w:sz w:val="32"/>
          <w:szCs w:val="32"/>
        </w:rPr>
        <w:t>%</w:t>
      </w:r>
      <w:r>
        <w:rPr>
          <w:rFonts w:hint="eastAsia" w:ascii="仿宋" w:hAnsi="仿宋" w:eastAsia="仿宋"/>
          <w:sz w:val="32"/>
          <w:szCs w:val="32"/>
        </w:rPr>
        <w:t>；上级补助收入0万元，占0</w:t>
      </w:r>
      <w:r>
        <w:rPr>
          <w:rFonts w:ascii="仿宋" w:hAnsi="仿宋" w:eastAsia="仿宋"/>
          <w:sz w:val="32"/>
          <w:szCs w:val="32"/>
        </w:rPr>
        <w:t>%</w:t>
      </w:r>
      <w:r>
        <w:rPr>
          <w:rFonts w:hint="eastAsia" w:ascii="仿宋" w:hAnsi="仿宋" w:eastAsia="仿宋"/>
          <w:sz w:val="32"/>
          <w:szCs w:val="32"/>
        </w:rPr>
        <w:t>；事业收入0万元，占0</w:t>
      </w:r>
      <w:r>
        <w:rPr>
          <w:rFonts w:ascii="仿宋" w:hAnsi="仿宋" w:eastAsia="仿宋"/>
          <w:sz w:val="32"/>
          <w:szCs w:val="32"/>
        </w:rPr>
        <w:t>%</w:t>
      </w:r>
      <w:r>
        <w:rPr>
          <w:rFonts w:hint="eastAsia" w:ascii="仿宋" w:hAnsi="仿宋" w:eastAsia="仿宋"/>
          <w:sz w:val="32"/>
          <w:szCs w:val="32"/>
        </w:rPr>
        <w:t>；经营收入0万元，占0</w:t>
      </w:r>
      <w:r>
        <w:rPr>
          <w:rFonts w:ascii="仿宋" w:hAnsi="仿宋" w:eastAsia="仿宋"/>
          <w:sz w:val="32"/>
          <w:szCs w:val="32"/>
        </w:rPr>
        <w:t>%</w:t>
      </w:r>
      <w:r>
        <w:rPr>
          <w:rFonts w:hint="eastAsia" w:ascii="仿宋" w:hAnsi="仿宋" w:eastAsia="仿宋"/>
          <w:sz w:val="32"/>
          <w:szCs w:val="32"/>
        </w:rPr>
        <w:t>；附属单位上缴收入0万元，占0</w:t>
      </w:r>
      <w:r>
        <w:rPr>
          <w:rFonts w:ascii="仿宋" w:hAnsi="仿宋" w:eastAsia="仿宋"/>
          <w:sz w:val="32"/>
          <w:szCs w:val="32"/>
        </w:rPr>
        <w:t>%</w:t>
      </w:r>
      <w:r>
        <w:rPr>
          <w:rFonts w:hint="eastAsia" w:ascii="仿宋" w:hAnsi="仿宋" w:eastAsia="仿宋"/>
          <w:sz w:val="32"/>
          <w:szCs w:val="32"/>
        </w:rPr>
        <w:t>；其他收入0万元，占0</w:t>
      </w:r>
      <w:r>
        <w:rPr>
          <w:rFonts w:ascii="仿宋" w:hAnsi="仿宋" w:eastAsia="仿宋"/>
          <w:sz w:val="32"/>
          <w:szCs w:val="32"/>
        </w:rPr>
        <w:t>%</w:t>
      </w:r>
      <w:r>
        <w:rPr>
          <w:rFonts w:hint="eastAsia" w:ascii="仿宋" w:hAnsi="仿宋" w:eastAsia="仿宋"/>
          <w:sz w:val="32"/>
          <w:szCs w:val="32"/>
        </w:rPr>
        <w:t>。</w:t>
      </w:r>
    </w:p>
    <w:p>
      <w:pPr>
        <w:pStyle w:val="7"/>
        <w:spacing w:before="93"/>
        <w:ind w:firstLine="1800" w:firstLineChars="600"/>
      </w:pPr>
      <w:r>
        <w:drawing>
          <wp:inline distT="0" distB="0" distL="0" distR="0">
            <wp:extent cx="2874645" cy="1284605"/>
            <wp:effectExtent l="0" t="0" r="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600" w:firstLineChars="200"/>
        <w:jc w:val="center"/>
        <w:rPr>
          <w:rFonts w:ascii="仿宋" w:hAnsi="仿宋" w:eastAsia="仿宋"/>
          <w:sz w:val="30"/>
          <w:szCs w:val="30"/>
        </w:rPr>
      </w:pPr>
      <w:r>
        <w:rPr>
          <w:rFonts w:hint="eastAsia" w:ascii="仿宋" w:hAnsi="仿宋" w:eastAsia="仿宋"/>
          <w:sz w:val="30"/>
          <w:szCs w:val="30"/>
        </w:rPr>
        <w:t>（图2：收入决算结构图）（饼状图）</w:t>
      </w:r>
    </w:p>
    <w:p>
      <w:pPr>
        <w:spacing w:line="600" w:lineRule="exact"/>
        <w:ind w:firstLine="800" w:firstLineChars="250"/>
        <w:outlineLvl w:val="1"/>
        <w:rPr>
          <w:rStyle w:val="32"/>
          <w:rFonts w:ascii="黑体" w:hAnsi="黑体" w:eastAsia="黑体"/>
          <w:b w:val="0"/>
        </w:rPr>
      </w:pPr>
      <w:r>
        <w:rPr>
          <w:rFonts w:hint="eastAsia" w:ascii="黑体" w:hAnsi="黑体" w:eastAsia="黑体"/>
          <w:sz w:val="32"/>
          <w:szCs w:val="32"/>
        </w:rPr>
        <w:t>三、支</w:t>
      </w:r>
      <w:r>
        <w:rPr>
          <w:rStyle w:val="32"/>
          <w:rFonts w:hint="eastAsia" w:ascii="黑体" w:hAnsi="黑体" w:eastAsia="黑体"/>
        </w:rPr>
        <w:t>出决算情况说明</w:t>
      </w:r>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2023年度本年支出合计921.43万元，其中：基本支出341.66万元，占37.08</w:t>
      </w:r>
      <w:r>
        <w:rPr>
          <w:rFonts w:ascii="仿宋" w:hAnsi="仿宋" w:eastAsia="仿宋"/>
          <w:sz w:val="32"/>
          <w:szCs w:val="32"/>
        </w:rPr>
        <w:t>%</w:t>
      </w:r>
      <w:r>
        <w:rPr>
          <w:rFonts w:hint="eastAsia" w:ascii="仿宋" w:hAnsi="仿宋" w:eastAsia="仿宋"/>
          <w:sz w:val="32"/>
          <w:szCs w:val="32"/>
        </w:rPr>
        <w:t>；项目支出579.77万元，占62.92</w:t>
      </w:r>
      <w:r>
        <w:rPr>
          <w:rFonts w:ascii="仿宋" w:hAnsi="仿宋" w:eastAsia="仿宋"/>
          <w:sz w:val="32"/>
          <w:szCs w:val="32"/>
        </w:rPr>
        <w:t>%</w:t>
      </w:r>
      <w:r>
        <w:rPr>
          <w:rFonts w:hint="eastAsia" w:ascii="仿宋" w:hAnsi="仿宋" w:eastAsia="仿宋"/>
          <w:sz w:val="32"/>
          <w:szCs w:val="32"/>
        </w:rPr>
        <w:t>；上缴上级支出0万元，占0</w:t>
      </w:r>
      <w:r>
        <w:rPr>
          <w:rFonts w:ascii="仿宋" w:hAnsi="仿宋" w:eastAsia="仿宋"/>
          <w:sz w:val="32"/>
          <w:szCs w:val="32"/>
        </w:rPr>
        <w:t>%</w:t>
      </w:r>
      <w:r>
        <w:rPr>
          <w:rFonts w:hint="eastAsia" w:ascii="仿宋" w:hAnsi="仿宋" w:eastAsia="仿宋"/>
          <w:sz w:val="32"/>
          <w:szCs w:val="32"/>
        </w:rPr>
        <w:t>；经营支出0万元，占0</w:t>
      </w:r>
      <w:r>
        <w:rPr>
          <w:rFonts w:ascii="仿宋" w:hAnsi="仿宋" w:eastAsia="仿宋"/>
          <w:sz w:val="32"/>
          <w:szCs w:val="32"/>
        </w:rPr>
        <w:t>%</w:t>
      </w:r>
      <w:r>
        <w:rPr>
          <w:rFonts w:hint="eastAsia" w:ascii="仿宋" w:hAnsi="仿宋" w:eastAsia="仿宋"/>
          <w:sz w:val="32"/>
          <w:szCs w:val="32"/>
        </w:rPr>
        <w:t>；对附属单位补助支出0万元，占0</w:t>
      </w:r>
      <w:r>
        <w:rPr>
          <w:rFonts w:ascii="仿宋" w:hAnsi="仿宋" w:eastAsia="仿宋"/>
          <w:sz w:val="32"/>
          <w:szCs w:val="32"/>
        </w:rPr>
        <w:t>%</w:t>
      </w:r>
      <w:r>
        <w:rPr>
          <w:rFonts w:hint="eastAsia" w:ascii="仿宋" w:hAnsi="仿宋" w:eastAsia="仿宋"/>
          <w:sz w:val="32"/>
          <w:szCs w:val="32"/>
        </w:rPr>
        <w:t>。</w:t>
      </w:r>
    </w:p>
    <w:p>
      <w:pPr>
        <w:pStyle w:val="7"/>
        <w:spacing w:before="93"/>
      </w:pPr>
      <w:r>
        <w:rPr>
          <w:rFonts w:hint="eastAsia"/>
        </w:rPr>
        <w:drawing>
          <wp:inline distT="0" distB="0" distL="0" distR="0">
            <wp:extent cx="4695825" cy="1285875"/>
            <wp:effectExtent l="0" t="0" r="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（图3：支出决算结构图）（饼状图）</w:t>
      </w:r>
    </w:p>
    <w:p>
      <w:pPr>
        <w:spacing w:line="600" w:lineRule="exact"/>
        <w:ind w:firstLine="640" w:firstLineChars="200"/>
        <w:outlineLvl w:val="1"/>
        <w:rPr>
          <w:rStyle w:val="32"/>
          <w:rFonts w:ascii="黑体" w:hAnsi="黑体" w:eastAsia="黑体"/>
          <w:b w:val="0"/>
        </w:rPr>
      </w:pPr>
      <w:r>
        <w:rPr>
          <w:rFonts w:hint="eastAsia" w:ascii="黑体" w:hAnsi="黑体" w:eastAsia="黑体"/>
          <w:sz w:val="32"/>
          <w:szCs w:val="32"/>
        </w:rPr>
        <w:t>四、财</w:t>
      </w:r>
      <w:r>
        <w:rPr>
          <w:rStyle w:val="32"/>
          <w:rFonts w:hint="eastAsia" w:ascii="黑体" w:hAnsi="黑体" w:eastAsia="黑体"/>
        </w:rPr>
        <w:t>政拨款收入支出决算总体情况说明</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2023年度财政拨款收、支总计均为921.43万元。与2022年度相比，财政拨款收、支总计各减少33.29万元，下降3.5</w:t>
      </w:r>
      <w:r>
        <w:rPr>
          <w:rFonts w:ascii="仿宋" w:hAnsi="仿宋" w:eastAsia="仿宋"/>
          <w:sz w:val="32"/>
          <w:szCs w:val="32"/>
        </w:rPr>
        <w:t>%</w:t>
      </w:r>
      <w:r>
        <w:rPr>
          <w:rFonts w:hint="eastAsia" w:ascii="仿宋" w:hAnsi="仿宋" w:eastAsia="仿宋"/>
          <w:sz w:val="32"/>
          <w:szCs w:val="32"/>
        </w:rPr>
        <w:t>。主要变动原因是</w:t>
      </w:r>
      <w:r>
        <w:rPr>
          <w:rFonts w:hint="eastAsia" w:ascii="宋体" w:hAnsi="宋体"/>
          <w:sz w:val="32"/>
          <w:szCs w:val="32"/>
        </w:rPr>
        <w:t>1</w:t>
      </w:r>
      <w:r>
        <w:rPr>
          <w:rFonts w:hint="eastAsia" w:ascii="仿宋" w:hAnsi="仿宋" w:eastAsia="仿宋"/>
          <w:sz w:val="32"/>
          <w:szCs w:val="32"/>
        </w:rPr>
        <w:t>、项目支出减少。2023年项目支出579.77万元，2022年项目支出589.67万元，2023年项目支出比2022年减少9.9万元。2、基本支出减少。2023年基本支出341.66万元，2022年基本支出</w:t>
      </w:r>
      <w:r>
        <w:rPr>
          <w:rFonts w:ascii="仿宋" w:hAnsi="仿宋" w:eastAsia="仿宋"/>
          <w:sz w:val="32"/>
          <w:szCs w:val="32"/>
        </w:rPr>
        <w:t>365</w:t>
      </w:r>
      <w:r>
        <w:rPr>
          <w:rFonts w:hint="eastAsia" w:ascii="仿宋" w:hAnsi="仿宋" w:eastAsia="仿宋"/>
          <w:sz w:val="32"/>
          <w:szCs w:val="32"/>
        </w:rPr>
        <w:t>.</w:t>
      </w:r>
      <w:r>
        <w:rPr>
          <w:rFonts w:ascii="仿宋" w:hAnsi="仿宋" w:eastAsia="仿宋"/>
          <w:sz w:val="32"/>
          <w:szCs w:val="32"/>
        </w:rPr>
        <w:t>05</w:t>
      </w:r>
      <w:r>
        <w:rPr>
          <w:rFonts w:hint="eastAsia" w:ascii="仿宋" w:hAnsi="仿宋" w:eastAsia="仿宋"/>
          <w:sz w:val="32"/>
          <w:szCs w:val="32"/>
        </w:rPr>
        <w:t>万元，2023年基本支出比2022年减少23.39万元。</w:t>
      </w:r>
    </w:p>
    <w:p>
      <w:pPr>
        <w:pStyle w:val="7"/>
        <w:spacing w:before="93"/>
      </w:pPr>
      <w:r>
        <w:drawing>
          <wp:inline distT="0" distB="0" distL="0" distR="0">
            <wp:extent cx="5143500" cy="2552700"/>
            <wp:effectExtent l="19050" t="0" r="1905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spacing w:line="600" w:lineRule="exact"/>
        <w:rPr>
          <w:rFonts w:ascii="仿宋" w:hAnsi="仿宋" w:eastAsia="仿宋"/>
          <w:sz w:val="32"/>
          <w:szCs w:val="32"/>
        </w:rPr>
      </w:pPr>
      <w:r>
        <w:rPr>
          <w:rFonts w:hint="eastAsia" w:ascii="仿宋" w:hAnsi="仿宋" w:eastAsia="仿宋"/>
          <w:sz w:val="32"/>
          <w:szCs w:val="32"/>
        </w:rPr>
        <w:t>（图4：财政拨款收、支决算总计变动情况）（柱状图）</w:t>
      </w:r>
    </w:p>
    <w:p>
      <w:pPr>
        <w:spacing w:line="600" w:lineRule="exact"/>
        <w:ind w:firstLine="640" w:firstLineChars="200"/>
        <w:outlineLvl w:val="1"/>
        <w:rPr>
          <w:rStyle w:val="32"/>
          <w:rFonts w:ascii="黑体" w:hAnsi="黑体" w:eastAsia="黑体"/>
          <w:b w:val="0"/>
        </w:rPr>
      </w:pPr>
      <w:r>
        <w:rPr>
          <w:rFonts w:hint="eastAsia" w:ascii="黑体" w:hAnsi="黑体" w:eastAsia="黑体"/>
          <w:sz w:val="32"/>
          <w:szCs w:val="32"/>
        </w:rPr>
        <w:t>五、</w:t>
      </w:r>
      <w:r>
        <w:rPr>
          <w:rFonts w:hint="eastAsia" w:ascii="黑体" w:hAnsi="黑体" w:eastAsia="黑体"/>
          <w:b/>
          <w:sz w:val="32"/>
          <w:szCs w:val="32"/>
        </w:rPr>
        <w:t>一</w:t>
      </w:r>
      <w:r>
        <w:rPr>
          <w:rStyle w:val="32"/>
          <w:rFonts w:hint="eastAsia" w:ascii="黑体" w:hAnsi="黑体" w:eastAsia="黑体"/>
        </w:rPr>
        <w:t>般公共预算财政拨款支出决算情况说明</w:t>
      </w:r>
    </w:p>
    <w:p>
      <w:pPr>
        <w:spacing w:line="600" w:lineRule="exact"/>
        <w:ind w:firstLine="643" w:firstLineChars="200"/>
        <w:outlineLvl w:val="2"/>
        <w:rPr>
          <w:rFonts w:hint="eastAsia" w:ascii="仿宋" w:hAnsi="仿宋" w:eastAsia="仿宋"/>
          <w:b/>
          <w:sz w:val="32"/>
          <w:szCs w:val="32"/>
          <w:lang w:eastAsia="zh-CN"/>
        </w:rPr>
      </w:pPr>
      <w:r>
        <w:rPr>
          <w:rFonts w:hint="eastAsia" w:ascii="仿宋" w:hAnsi="仿宋" w:eastAsia="仿宋"/>
          <w:b/>
          <w:sz w:val="32"/>
          <w:szCs w:val="32"/>
        </w:rPr>
        <w:t>（一）一般公共预算财政拨款支出决算总体情况</w:t>
      </w:r>
      <w:r>
        <w:rPr>
          <w:rFonts w:hint="eastAsia" w:ascii="仿宋" w:hAnsi="仿宋" w:eastAsia="仿宋"/>
          <w:b/>
          <w:sz w:val="32"/>
          <w:szCs w:val="32"/>
          <w:lang w:eastAsia="zh-CN"/>
        </w:rPr>
        <w:t>。</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2023年度一般公共预算财政拨款支出921.43万元，占本年支出合计的100</w:t>
      </w:r>
      <w:r>
        <w:rPr>
          <w:rFonts w:ascii="仿宋" w:hAnsi="仿宋" w:eastAsia="仿宋"/>
          <w:sz w:val="32"/>
          <w:szCs w:val="32"/>
        </w:rPr>
        <w:t>%</w:t>
      </w:r>
      <w:r>
        <w:rPr>
          <w:rFonts w:hint="eastAsia" w:ascii="仿宋" w:hAnsi="仿宋" w:eastAsia="仿宋"/>
          <w:sz w:val="32"/>
          <w:szCs w:val="32"/>
        </w:rPr>
        <w:t>。与2022年度相比，一般公共预算财政拨款支出减少33.29万元，下降3.5</w:t>
      </w:r>
      <w:r>
        <w:rPr>
          <w:rFonts w:ascii="仿宋" w:hAnsi="仿宋" w:eastAsia="仿宋"/>
          <w:sz w:val="32"/>
          <w:szCs w:val="32"/>
        </w:rPr>
        <w:t>%</w:t>
      </w:r>
      <w:r>
        <w:rPr>
          <w:rFonts w:hint="eastAsia" w:ascii="仿宋" w:hAnsi="仿宋" w:eastAsia="仿宋"/>
          <w:sz w:val="32"/>
          <w:szCs w:val="32"/>
        </w:rPr>
        <w:t>。主要变动原因是</w:t>
      </w:r>
      <w:r>
        <w:rPr>
          <w:rFonts w:hint="eastAsia" w:ascii="宋体" w:hAnsi="宋体"/>
          <w:sz w:val="32"/>
          <w:szCs w:val="32"/>
        </w:rPr>
        <w:t>1</w:t>
      </w:r>
      <w:r>
        <w:rPr>
          <w:rFonts w:hint="eastAsia" w:ascii="仿宋" w:hAnsi="仿宋" w:eastAsia="仿宋"/>
          <w:sz w:val="32"/>
          <w:szCs w:val="32"/>
        </w:rPr>
        <w:t>、项目支出减少。2023年项目支出579.77万元，2022年项目支出589.67万元，2023年项目支出比2022年减少9.9万元。2、基本支出减少。2023年基本支出341.66万元，2022年基本支出</w:t>
      </w:r>
      <w:r>
        <w:rPr>
          <w:rFonts w:ascii="仿宋" w:hAnsi="仿宋" w:eastAsia="仿宋"/>
          <w:sz w:val="32"/>
          <w:szCs w:val="32"/>
        </w:rPr>
        <w:t>365</w:t>
      </w:r>
      <w:r>
        <w:rPr>
          <w:rFonts w:hint="eastAsia" w:ascii="仿宋" w:hAnsi="仿宋" w:eastAsia="仿宋"/>
          <w:sz w:val="32"/>
          <w:szCs w:val="32"/>
        </w:rPr>
        <w:t>.</w:t>
      </w:r>
      <w:r>
        <w:rPr>
          <w:rFonts w:ascii="仿宋" w:hAnsi="仿宋" w:eastAsia="仿宋"/>
          <w:sz w:val="32"/>
          <w:szCs w:val="32"/>
        </w:rPr>
        <w:t>05</w:t>
      </w:r>
      <w:r>
        <w:rPr>
          <w:rFonts w:hint="eastAsia" w:ascii="仿宋" w:hAnsi="仿宋" w:eastAsia="仿宋"/>
          <w:sz w:val="32"/>
          <w:szCs w:val="32"/>
        </w:rPr>
        <w:t>万元，2023年基本支出比2022年减少23.39万元。</w:t>
      </w:r>
    </w:p>
    <w:p>
      <w:pPr>
        <w:pStyle w:val="7"/>
        <w:spacing w:before="93"/>
      </w:pPr>
      <w:r>
        <w:drawing>
          <wp:inline distT="0" distB="0" distL="0" distR="0">
            <wp:extent cx="5143500" cy="1714500"/>
            <wp:effectExtent l="19050" t="0" r="1905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（图5：一般公共预算财政拨款支出决算变动情况）（柱状图）</w:t>
      </w:r>
    </w:p>
    <w:p>
      <w:pPr>
        <w:spacing w:line="600" w:lineRule="exact"/>
        <w:ind w:firstLine="643" w:firstLineChars="200"/>
        <w:outlineLvl w:val="2"/>
        <w:rPr>
          <w:rFonts w:hint="eastAsia" w:ascii="仿宋" w:hAnsi="仿宋" w:eastAsia="仿宋"/>
          <w:b/>
          <w:sz w:val="32"/>
          <w:szCs w:val="32"/>
          <w:lang w:eastAsia="zh-CN"/>
        </w:rPr>
      </w:pPr>
      <w:r>
        <w:rPr>
          <w:rFonts w:hint="eastAsia" w:ascii="仿宋" w:hAnsi="仿宋" w:eastAsia="仿宋"/>
          <w:b/>
          <w:sz w:val="32"/>
          <w:szCs w:val="32"/>
        </w:rPr>
        <w:t>（二）一般公共预算财政拨款支出决算结构情况</w:t>
      </w:r>
      <w:r>
        <w:rPr>
          <w:rFonts w:hint="eastAsia" w:ascii="仿宋" w:hAnsi="仿宋" w:eastAsia="仿宋"/>
          <w:b/>
          <w:sz w:val="32"/>
          <w:szCs w:val="32"/>
          <w:lang w:eastAsia="zh-CN"/>
        </w:rPr>
        <w:t>。</w:t>
      </w:r>
    </w:p>
    <w:p>
      <w:pPr>
        <w:spacing w:line="600" w:lineRule="exact"/>
        <w:ind w:firstLine="640"/>
        <w:rPr>
          <w:rFonts w:ascii="仿宋" w:hAnsi="仿宋" w:eastAsia="仿宋"/>
          <w:sz w:val="32"/>
          <w:szCs w:val="32"/>
        </w:rPr>
      </w:pPr>
      <w:r>
        <w:rPr>
          <w:rFonts w:hint="eastAsia" w:ascii="仿宋" w:hAnsi="仿宋" w:eastAsia="仿宋"/>
          <w:sz w:val="32"/>
          <w:szCs w:val="32"/>
        </w:rPr>
        <w:t>2023年度一般公共预算财政拨款支出921.43万元，主要用于以下方面</w:t>
      </w:r>
      <w:r>
        <w:rPr>
          <w:rFonts w:ascii="仿宋" w:hAnsi="仿宋" w:eastAsia="仿宋"/>
          <w:sz w:val="32"/>
          <w:szCs w:val="32"/>
        </w:rPr>
        <w:t>:</w:t>
      </w:r>
      <w:r>
        <w:rPr>
          <w:rFonts w:hint="eastAsia" w:ascii="仿宋" w:hAnsi="仿宋" w:eastAsia="仿宋"/>
          <w:sz w:val="32"/>
          <w:szCs w:val="32"/>
        </w:rPr>
        <w:t>交通运输支出782.19万元，占84.89</w:t>
      </w:r>
      <w:r>
        <w:rPr>
          <w:rFonts w:ascii="仿宋" w:hAnsi="仿宋" w:eastAsia="仿宋"/>
          <w:sz w:val="32"/>
          <w:szCs w:val="32"/>
        </w:rPr>
        <w:t>%</w:t>
      </w:r>
      <w:r>
        <w:rPr>
          <w:rFonts w:hint="eastAsia" w:ascii="仿宋" w:hAnsi="仿宋" w:eastAsia="仿宋"/>
          <w:sz w:val="32"/>
          <w:szCs w:val="32"/>
        </w:rPr>
        <w:t>；社会保障和就业支出101.3万元，占11</w:t>
      </w:r>
      <w:r>
        <w:rPr>
          <w:rFonts w:ascii="仿宋" w:hAnsi="仿宋" w:eastAsia="仿宋"/>
          <w:sz w:val="32"/>
          <w:szCs w:val="32"/>
        </w:rPr>
        <w:t>%</w:t>
      </w:r>
      <w:r>
        <w:rPr>
          <w:rFonts w:hint="eastAsia" w:ascii="仿宋" w:hAnsi="仿宋" w:eastAsia="仿宋"/>
          <w:sz w:val="32"/>
          <w:szCs w:val="32"/>
        </w:rPr>
        <w:t>；卫生健康支出19.17万元，占2.08</w:t>
      </w:r>
      <w:r>
        <w:rPr>
          <w:rFonts w:ascii="仿宋" w:hAnsi="仿宋" w:eastAsia="仿宋"/>
          <w:sz w:val="32"/>
          <w:szCs w:val="32"/>
        </w:rPr>
        <w:t>%</w:t>
      </w:r>
      <w:r>
        <w:rPr>
          <w:rFonts w:hint="eastAsia" w:ascii="仿宋" w:hAnsi="仿宋" w:eastAsia="仿宋"/>
          <w:sz w:val="32"/>
          <w:szCs w:val="32"/>
        </w:rPr>
        <w:t>；住房保障支出18.77万元，占2.03</w:t>
      </w:r>
      <w:r>
        <w:rPr>
          <w:rFonts w:ascii="仿宋" w:hAnsi="仿宋" w:eastAsia="仿宋"/>
          <w:sz w:val="32"/>
          <w:szCs w:val="32"/>
        </w:rPr>
        <w:t>%</w:t>
      </w:r>
      <w:r>
        <w:rPr>
          <w:rFonts w:hint="eastAsia" w:ascii="仿宋" w:hAnsi="仿宋" w:eastAsia="仿宋"/>
          <w:sz w:val="32"/>
          <w:szCs w:val="32"/>
        </w:rPr>
        <w:t>。</w:t>
      </w:r>
    </w:p>
    <w:p>
      <w:pPr>
        <w:pStyle w:val="7"/>
        <w:spacing w:before="93"/>
      </w:pPr>
      <w:r>
        <w:drawing>
          <wp:inline distT="0" distB="0" distL="0" distR="0">
            <wp:extent cx="5019675" cy="1752600"/>
            <wp:effectExtent l="0" t="0" r="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pPr>
        <w:spacing w:line="600" w:lineRule="exact"/>
        <w:ind w:firstLine="643" w:firstLineChars="200"/>
        <w:outlineLvl w:val="2"/>
        <w:rPr>
          <w:rFonts w:hint="eastAsia" w:ascii="仿宋" w:hAnsi="仿宋" w:eastAsia="仿宋"/>
          <w:b/>
          <w:sz w:val="32"/>
          <w:szCs w:val="32"/>
          <w:lang w:eastAsia="zh-CN"/>
        </w:rPr>
      </w:pPr>
      <w:r>
        <w:rPr>
          <w:rFonts w:hint="eastAsia" w:ascii="仿宋" w:hAnsi="仿宋" w:eastAsia="仿宋"/>
          <w:b/>
          <w:sz w:val="32"/>
          <w:szCs w:val="32"/>
        </w:rPr>
        <w:t>（三）一般公共预算财政拨款支出决算具体情况</w:t>
      </w:r>
      <w:r>
        <w:rPr>
          <w:rFonts w:hint="eastAsia" w:ascii="仿宋" w:hAnsi="仿宋" w:eastAsia="仿宋"/>
          <w:b/>
          <w:sz w:val="32"/>
          <w:szCs w:val="32"/>
          <w:lang w:eastAsia="zh-CN"/>
        </w:rPr>
        <w:t>。</w:t>
      </w:r>
    </w:p>
    <w:p>
      <w:pPr>
        <w:spacing w:line="600" w:lineRule="exact"/>
        <w:ind w:firstLine="640" w:firstLineChars="200"/>
        <w:outlineLvl w:val="2"/>
        <w:rPr>
          <w:rFonts w:ascii="仿宋" w:hAnsi="仿宋" w:eastAsia="仿宋"/>
          <w:sz w:val="32"/>
          <w:szCs w:val="32"/>
        </w:rPr>
      </w:pPr>
      <w:r>
        <w:rPr>
          <w:rFonts w:hint="eastAsia" w:ascii="仿宋" w:hAnsi="仿宋" w:eastAsia="仿宋"/>
          <w:sz w:val="32"/>
          <w:szCs w:val="32"/>
        </w:rPr>
        <w:t>2023年度一般公共预算支出决算数为921.43万元，</w:t>
      </w:r>
      <w:r>
        <w:rPr>
          <w:rStyle w:val="20"/>
          <w:rFonts w:hint="eastAsia" w:ascii="仿宋" w:hAnsi="仿宋" w:eastAsia="仿宋"/>
          <w:b w:val="0"/>
          <w:bCs/>
          <w:sz w:val="32"/>
          <w:szCs w:val="32"/>
        </w:rPr>
        <w:t>完成预算100</w:t>
      </w:r>
      <w:r>
        <w:rPr>
          <w:rStyle w:val="20"/>
          <w:rFonts w:ascii="仿宋" w:hAnsi="仿宋" w:eastAsia="仿宋"/>
          <w:b w:val="0"/>
          <w:bCs/>
          <w:sz w:val="32"/>
          <w:szCs w:val="32"/>
        </w:rPr>
        <w:t>%</w:t>
      </w:r>
      <w:r>
        <w:rPr>
          <w:rStyle w:val="20"/>
          <w:rFonts w:hint="eastAsia" w:ascii="仿宋" w:hAnsi="仿宋" w:eastAsia="仿宋"/>
          <w:b w:val="0"/>
          <w:bCs/>
          <w:sz w:val="32"/>
          <w:szCs w:val="32"/>
        </w:rPr>
        <w:t>。其中：</w:t>
      </w:r>
    </w:p>
    <w:p>
      <w:pPr>
        <w:spacing w:line="600" w:lineRule="exact"/>
        <w:ind w:firstLine="640" w:firstLineChars="200"/>
        <w:rPr>
          <w:rFonts w:ascii="仿宋" w:hAnsi="仿宋" w:eastAsia="仿宋"/>
          <w:sz w:val="32"/>
          <w:szCs w:val="32"/>
        </w:rPr>
      </w:pPr>
      <w:r>
        <w:rPr>
          <w:rStyle w:val="20"/>
          <w:rFonts w:ascii="仿宋" w:hAnsi="仿宋" w:eastAsia="仿宋"/>
          <w:b w:val="0"/>
          <w:bCs/>
          <w:sz w:val="32"/>
          <w:szCs w:val="32"/>
        </w:rPr>
        <w:t>1.</w:t>
      </w:r>
      <w:r>
        <w:rPr>
          <w:rStyle w:val="20"/>
          <w:rFonts w:hint="eastAsia" w:ascii="仿宋" w:hAnsi="仿宋" w:eastAsia="仿宋"/>
          <w:b w:val="0"/>
          <w:bCs/>
          <w:sz w:val="32"/>
          <w:szCs w:val="32"/>
        </w:rPr>
        <w:t>交通运输支出（类）公路水路运输（款）公路养护（项）</w:t>
      </w:r>
      <w:r>
        <w:rPr>
          <w:rStyle w:val="20"/>
          <w:rFonts w:ascii="仿宋" w:hAnsi="仿宋" w:eastAsia="仿宋"/>
          <w:b w:val="0"/>
          <w:bCs/>
          <w:sz w:val="32"/>
          <w:szCs w:val="32"/>
        </w:rPr>
        <w:t xml:space="preserve">: </w:t>
      </w:r>
      <w:r>
        <w:rPr>
          <w:rStyle w:val="20"/>
          <w:rFonts w:hint="eastAsia" w:ascii="仿宋" w:hAnsi="仿宋" w:eastAsia="仿宋"/>
          <w:b w:val="0"/>
          <w:bCs/>
          <w:sz w:val="32"/>
          <w:szCs w:val="32"/>
        </w:rPr>
        <w:t>支出决算为527.46万元，完成预算100</w:t>
      </w:r>
      <w:r>
        <w:rPr>
          <w:rStyle w:val="20"/>
          <w:rFonts w:ascii="仿宋" w:hAnsi="仿宋" w:eastAsia="仿宋"/>
          <w:b w:val="0"/>
          <w:bCs/>
          <w:sz w:val="32"/>
          <w:szCs w:val="32"/>
        </w:rPr>
        <w:t>%</w:t>
      </w:r>
      <w:r>
        <w:rPr>
          <w:rStyle w:val="20"/>
          <w:rFonts w:hint="eastAsia" w:ascii="仿宋" w:hAnsi="仿宋" w:eastAsia="仿宋"/>
          <w:b w:val="0"/>
          <w:bCs/>
          <w:sz w:val="32"/>
          <w:szCs w:val="32"/>
        </w:rPr>
        <w:t>，决算数等于预算数。</w:t>
      </w:r>
    </w:p>
    <w:p>
      <w:pPr>
        <w:spacing w:line="600" w:lineRule="exact"/>
        <w:ind w:firstLine="640" w:firstLineChars="200"/>
        <w:rPr>
          <w:rFonts w:ascii="仿宋" w:hAnsi="仿宋" w:eastAsia="仿宋"/>
          <w:sz w:val="32"/>
          <w:szCs w:val="32"/>
        </w:rPr>
      </w:pPr>
      <w:r>
        <w:rPr>
          <w:rStyle w:val="20"/>
          <w:rFonts w:ascii="仿宋" w:hAnsi="仿宋" w:eastAsia="仿宋"/>
          <w:b w:val="0"/>
          <w:bCs/>
          <w:sz w:val="32"/>
          <w:szCs w:val="32"/>
        </w:rPr>
        <w:t>2.</w:t>
      </w:r>
      <w:r>
        <w:rPr>
          <w:rStyle w:val="20"/>
          <w:rFonts w:hint="eastAsia" w:ascii="仿宋" w:hAnsi="仿宋" w:eastAsia="仿宋"/>
          <w:b w:val="0"/>
          <w:bCs/>
          <w:sz w:val="32"/>
          <w:szCs w:val="32"/>
        </w:rPr>
        <w:t>交</w:t>
      </w:r>
      <w:r>
        <w:rPr>
          <w:rFonts w:hint="eastAsia" w:ascii="仿宋" w:hAnsi="仿宋" w:eastAsia="仿宋"/>
          <w:sz w:val="32"/>
          <w:szCs w:val="32"/>
        </w:rPr>
        <w:t>通运输支出</w:t>
      </w:r>
      <w:r>
        <w:rPr>
          <w:rStyle w:val="20"/>
          <w:rFonts w:hint="eastAsia" w:ascii="仿宋" w:hAnsi="仿宋" w:eastAsia="仿宋"/>
          <w:b w:val="0"/>
          <w:bCs/>
          <w:sz w:val="32"/>
          <w:szCs w:val="32"/>
        </w:rPr>
        <w:t>（类）公路水路运输（款）公路和运输安全（项）</w:t>
      </w:r>
      <w:r>
        <w:rPr>
          <w:rStyle w:val="20"/>
          <w:rFonts w:ascii="仿宋" w:hAnsi="仿宋" w:eastAsia="仿宋"/>
          <w:b w:val="0"/>
          <w:bCs/>
          <w:sz w:val="32"/>
          <w:szCs w:val="32"/>
        </w:rPr>
        <w:t xml:space="preserve">: </w:t>
      </w:r>
      <w:r>
        <w:rPr>
          <w:rStyle w:val="20"/>
          <w:rFonts w:hint="eastAsia" w:ascii="仿宋" w:hAnsi="仿宋" w:eastAsia="仿宋"/>
          <w:b w:val="0"/>
          <w:bCs/>
          <w:sz w:val="32"/>
          <w:szCs w:val="32"/>
        </w:rPr>
        <w:t>支出决算为254.73万元，完成预算100</w:t>
      </w:r>
      <w:r>
        <w:rPr>
          <w:rStyle w:val="20"/>
          <w:rFonts w:ascii="仿宋" w:hAnsi="仿宋" w:eastAsia="仿宋"/>
          <w:b w:val="0"/>
          <w:bCs/>
          <w:sz w:val="32"/>
          <w:szCs w:val="32"/>
        </w:rPr>
        <w:t>%</w:t>
      </w:r>
      <w:r>
        <w:rPr>
          <w:rStyle w:val="20"/>
          <w:rFonts w:hint="eastAsia" w:ascii="仿宋" w:hAnsi="仿宋" w:eastAsia="仿宋"/>
          <w:b w:val="0"/>
          <w:bCs/>
          <w:sz w:val="32"/>
          <w:szCs w:val="32"/>
        </w:rPr>
        <w:t>，决算数等于预算数。</w:t>
      </w:r>
    </w:p>
    <w:p>
      <w:pPr>
        <w:spacing w:line="600" w:lineRule="exact"/>
        <w:ind w:firstLine="640" w:firstLineChars="200"/>
        <w:rPr>
          <w:rFonts w:ascii="仿宋" w:hAnsi="仿宋" w:eastAsia="仿宋"/>
          <w:sz w:val="32"/>
          <w:szCs w:val="32"/>
        </w:rPr>
      </w:pPr>
      <w:r>
        <w:rPr>
          <w:rStyle w:val="20"/>
          <w:rFonts w:ascii="仿宋" w:hAnsi="仿宋" w:eastAsia="仿宋"/>
          <w:b w:val="0"/>
          <w:bCs/>
          <w:sz w:val="32"/>
          <w:szCs w:val="32"/>
        </w:rPr>
        <w:t>3.</w:t>
      </w:r>
      <w:r>
        <w:rPr>
          <w:rStyle w:val="20"/>
          <w:rFonts w:hint="eastAsia" w:ascii="仿宋" w:hAnsi="仿宋" w:eastAsia="仿宋"/>
          <w:b w:val="0"/>
          <w:bCs/>
          <w:sz w:val="32"/>
          <w:szCs w:val="32"/>
        </w:rPr>
        <w:t xml:space="preserve"> 社会保障和就业支出（类）行政事业单位养老支出（款）事业单位离退休（项）</w:t>
      </w:r>
      <w:r>
        <w:rPr>
          <w:rStyle w:val="20"/>
          <w:rFonts w:ascii="仿宋" w:hAnsi="仿宋" w:eastAsia="仿宋"/>
          <w:b w:val="0"/>
          <w:bCs/>
          <w:sz w:val="32"/>
          <w:szCs w:val="32"/>
        </w:rPr>
        <w:t xml:space="preserve">: </w:t>
      </w:r>
      <w:r>
        <w:rPr>
          <w:rStyle w:val="20"/>
          <w:rFonts w:hint="eastAsia" w:ascii="仿宋" w:hAnsi="仿宋" w:eastAsia="仿宋"/>
          <w:b w:val="0"/>
          <w:bCs/>
          <w:sz w:val="32"/>
          <w:szCs w:val="32"/>
        </w:rPr>
        <w:t>支出决算为79.96万元，完成预算100</w:t>
      </w:r>
      <w:r>
        <w:rPr>
          <w:rStyle w:val="20"/>
          <w:rFonts w:ascii="仿宋" w:hAnsi="仿宋" w:eastAsia="仿宋"/>
          <w:b w:val="0"/>
          <w:bCs/>
          <w:sz w:val="32"/>
          <w:szCs w:val="32"/>
        </w:rPr>
        <w:t>%</w:t>
      </w:r>
      <w:r>
        <w:rPr>
          <w:rStyle w:val="20"/>
          <w:rFonts w:hint="eastAsia" w:ascii="仿宋" w:hAnsi="仿宋" w:eastAsia="仿宋"/>
          <w:b w:val="0"/>
          <w:bCs/>
          <w:sz w:val="32"/>
          <w:szCs w:val="32"/>
        </w:rPr>
        <w:t>，决算数等于预算数。</w:t>
      </w:r>
    </w:p>
    <w:p>
      <w:pPr>
        <w:spacing w:line="600" w:lineRule="exact"/>
        <w:ind w:firstLine="640" w:firstLineChars="200"/>
        <w:rPr>
          <w:rFonts w:ascii="仿宋" w:hAnsi="仿宋" w:eastAsia="仿宋"/>
          <w:sz w:val="32"/>
          <w:szCs w:val="32"/>
        </w:rPr>
      </w:pPr>
      <w:r>
        <w:rPr>
          <w:rStyle w:val="20"/>
          <w:rFonts w:ascii="仿宋" w:hAnsi="仿宋" w:eastAsia="仿宋"/>
          <w:b w:val="0"/>
          <w:bCs/>
          <w:sz w:val="32"/>
          <w:szCs w:val="32"/>
        </w:rPr>
        <w:t>4.</w:t>
      </w:r>
      <w:r>
        <w:rPr>
          <w:rStyle w:val="20"/>
          <w:rFonts w:hint="eastAsia" w:ascii="仿宋" w:hAnsi="仿宋" w:eastAsia="仿宋"/>
          <w:b w:val="0"/>
          <w:bCs/>
          <w:sz w:val="32"/>
          <w:szCs w:val="32"/>
        </w:rPr>
        <w:t xml:space="preserve"> 社会保障和就业支出（类）行政事业单位养老支出（款）机关事业单位养老保险缴费支出（项）</w:t>
      </w:r>
      <w:r>
        <w:rPr>
          <w:rStyle w:val="20"/>
          <w:rFonts w:ascii="仿宋" w:hAnsi="仿宋" w:eastAsia="仿宋"/>
          <w:b w:val="0"/>
          <w:bCs/>
          <w:sz w:val="32"/>
          <w:szCs w:val="32"/>
        </w:rPr>
        <w:t xml:space="preserve">: </w:t>
      </w:r>
      <w:r>
        <w:rPr>
          <w:rStyle w:val="20"/>
          <w:rFonts w:hint="eastAsia" w:ascii="仿宋" w:hAnsi="仿宋" w:eastAsia="仿宋"/>
          <w:b w:val="0"/>
          <w:bCs/>
          <w:sz w:val="32"/>
          <w:szCs w:val="32"/>
        </w:rPr>
        <w:t>支出决算为21.34万元，完成预算100</w:t>
      </w:r>
      <w:r>
        <w:rPr>
          <w:rStyle w:val="20"/>
          <w:rFonts w:ascii="仿宋" w:hAnsi="仿宋" w:eastAsia="仿宋"/>
          <w:b w:val="0"/>
          <w:bCs/>
          <w:sz w:val="32"/>
          <w:szCs w:val="32"/>
        </w:rPr>
        <w:t>%</w:t>
      </w:r>
      <w:r>
        <w:rPr>
          <w:rStyle w:val="20"/>
          <w:rFonts w:hint="eastAsia" w:ascii="仿宋" w:hAnsi="仿宋" w:eastAsia="仿宋"/>
          <w:b w:val="0"/>
          <w:bCs/>
          <w:sz w:val="32"/>
          <w:szCs w:val="32"/>
        </w:rPr>
        <w:t>，决算数等于预算数。</w:t>
      </w:r>
    </w:p>
    <w:p>
      <w:pPr>
        <w:spacing w:line="600" w:lineRule="exact"/>
        <w:ind w:firstLine="640" w:firstLineChars="200"/>
        <w:rPr>
          <w:rStyle w:val="20"/>
          <w:rFonts w:ascii="仿宋" w:hAnsi="仿宋" w:eastAsia="仿宋"/>
          <w:b w:val="0"/>
          <w:bCs/>
          <w:sz w:val="32"/>
          <w:szCs w:val="32"/>
        </w:rPr>
      </w:pPr>
      <w:r>
        <w:rPr>
          <w:rStyle w:val="20"/>
          <w:rFonts w:hint="eastAsia" w:ascii="仿宋" w:hAnsi="仿宋" w:eastAsia="仿宋"/>
          <w:b w:val="0"/>
          <w:bCs/>
          <w:sz w:val="32"/>
          <w:szCs w:val="32"/>
        </w:rPr>
        <w:t>5</w:t>
      </w:r>
      <w:r>
        <w:rPr>
          <w:rStyle w:val="20"/>
          <w:rFonts w:ascii="仿宋" w:hAnsi="仿宋" w:eastAsia="仿宋"/>
          <w:b w:val="0"/>
          <w:bCs/>
          <w:sz w:val="32"/>
          <w:szCs w:val="32"/>
        </w:rPr>
        <w:t>.</w:t>
      </w:r>
      <w:r>
        <w:rPr>
          <w:rFonts w:hint="eastAsia" w:ascii="仿宋" w:hAnsi="仿宋" w:eastAsia="仿宋"/>
          <w:bCs/>
          <w:sz w:val="32"/>
          <w:szCs w:val="32"/>
        </w:rPr>
        <w:t>卫生健康支出</w:t>
      </w:r>
      <w:r>
        <w:rPr>
          <w:rStyle w:val="20"/>
          <w:rFonts w:hint="eastAsia" w:ascii="仿宋" w:hAnsi="仿宋" w:eastAsia="仿宋"/>
          <w:b w:val="0"/>
          <w:bCs/>
          <w:sz w:val="32"/>
          <w:szCs w:val="32"/>
        </w:rPr>
        <w:t>（类）行政事业单位医疗（款）事业单位医疗（项）</w:t>
      </w:r>
      <w:r>
        <w:rPr>
          <w:rStyle w:val="20"/>
          <w:rFonts w:ascii="仿宋" w:hAnsi="仿宋" w:eastAsia="仿宋"/>
          <w:b w:val="0"/>
          <w:bCs/>
          <w:sz w:val="32"/>
          <w:szCs w:val="32"/>
        </w:rPr>
        <w:t>:</w:t>
      </w:r>
      <w:r>
        <w:rPr>
          <w:rStyle w:val="20"/>
          <w:rFonts w:hint="eastAsia" w:ascii="仿宋" w:hAnsi="仿宋" w:eastAsia="仿宋"/>
          <w:b w:val="0"/>
          <w:bCs/>
          <w:sz w:val="32"/>
          <w:szCs w:val="32"/>
        </w:rPr>
        <w:t>支出决算为11.63万元，完成预算100</w:t>
      </w:r>
      <w:r>
        <w:rPr>
          <w:rStyle w:val="20"/>
          <w:rFonts w:ascii="仿宋" w:hAnsi="仿宋" w:eastAsia="仿宋"/>
          <w:b w:val="0"/>
          <w:bCs/>
          <w:sz w:val="32"/>
          <w:szCs w:val="32"/>
        </w:rPr>
        <w:t>%</w:t>
      </w:r>
      <w:r>
        <w:rPr>
          <w:rStyle w:val="20"/>
          <w:rFonts w:hint="eastAsia" w:ascii="仿宋" w:hAnsi="仿宋" w:eastAsia="仿宋"/>
          <w:b w:val="0"/>
          <w:bCs/>
          <w:sz w:val="32"/>
          <w:szCs w:val="32"/>
        </w:rPr>
        <w:t>，决算数等于预算数。</w:t>
      </w:r>
    </w:p>
    <w:p>
      <w:pPr>
        <w:spacing w:line="600" w:lineRule="exact"/>
        <w:ind w:firstLine="420" w:firstLineChars="200"/>
        <w:rPr>
          <w:rStyle w:val="20"/>
          <w:rFonts w:ascii="仿宋" w:hAnsi="仿宋" w:eastAsia="仿宋"/>
          <w:b w:val="0"/>
          <w:bCs/>
          <w:sz w:val="32"/>
          <w:szCs w:val="32"/>
        </w:rPr>
      </w:pPr>
      <w:r>
        <w:rPr>
          <w:rFonts w:hint="eastAsia"/>
        </w:rPr>
        <w:t xml:space="preserve">  </w:t>
      </w:r>
      <w:r>
        <w:rPr>
          <w:rStyle w:val="20"/>
          <w:rFonts w:hint="eastAsia" w:ascii="仿宋" w:hAnsi="仿宋" w:eastAsia="仿宋"/>
          <w:b w:val="0"/>
          <w:bCs/>
          <w:sz w:val="32"/>
          <w:szCs w:val="32"/>
        </w:rPr>
        <w:t>6</w:t>
      </w:r>
      <w:r>
        <w:rPr>
          <w:rStyle w:val="20"/>
          <w:rFonts w:ascii="仿宋" w:hAnsi="仿宋" w:eastAsia="仿宋"/>
          <w:b w:val="0"/>
          <w:bCs/>
          <w:sz w:val="32"/>
          <w:szCs w:val="32"/>
        </w:rPr>
        <w:t>.</w:t>
      </w:r>
      <w:r>
        <w:rPr>
          <w:rFonts w:hint="eastAsia" w:ascii="仿宋" w:hAnsi="仿宋" w:eastAsia="仿宋"/>
          <w:bCs/>
          <w:sz w:val="32"/>
          <w:szCs w:val="32"/>
        </w:rPr>
        <w:t>卫生健康支出</w:t>
      </w:r>
      <w:r>
        <w:rPr>
          <w:rStyle w:val="20"/>
          <w:rFonts w:hint="eastAsia" w:ascii="仿宋" w:hAnsi="仿宋" w:eastAsia="仿宋"/>
          <w:b w:val="0"/>
          <w:bCs/>
          <w:sz w:val="32"/>
          <w:szCs w:val="32"/>
        </w:rPr>
        <w:t>（类）行政事业单位医疗（款）其他行政事业单位医疗（项）</w:t>
      </w:r>
      <w:r>
        <w:rPr>
          <w:rStyle w:val="20"/>
          <w:rFonts w:ascii="仿宋" w:hAnsi="仿宋" w:eastAsia="仿宋"/>
          <w:b w:val="0"/>
          <w:bCs/>
          <w:sz w:val="32"/>
          <w:szCs w:val="32"/>
        </w:rPr>
        <w:t>:</w:t>
      </w:r>
      <w:r>
        <w:rPr>
          <w:rStyle w:val="20"/>
          <w:rFonts w:hint="eastAsia" w:ascii="仿宋" w:hAnsi="仿宋" w:eastAsia="仿宋"/>
          <w:b w:val="0"/>
          <w:bCs/>
          <w:sz w:val="32"/>
          <w:szCs w:val="32"/>
        </w:rPr>
        <w:t>支出决算为7.54万元，完成预算100</w:t>
      </w:r>
      <w:r>
        <w:rPr>
          <w:rStyle w:val="20"/>
          <w:rFonts w:ascii="仿宋" w:hAnsi="仿宋" w:eastAsia="仿宋"/>
          <w:b w:val="0"/>
          <w:bCs/>
          <w:sz w:val="32"/>
          <w:szCs w:val="32"/>
        </w:rPr>
        <w:t>%</w:t>
      </w:r>
      <w:r>
        <w:rPr>
          <w:rStyle w:val="20"/>
          <w:rFonts w:hint="eastAsia" w:ascii="仿宋" w:hAnsi="仿宋" w:eastAsia="仿宋"/>
          <w:b w:val="0"/>
          <w:bCs/>
          <w:sz w:val="32"/>
          <w:szCs w:val="32"/>
        </w:rPr>
        <w:t>，决算数等于预算数。</w:t>
      </w:r>
    </w:p>
    <w:p>
      <w:pPr>
        <w:spacing w:line="600" w:lineRule="exact"/>
        <w:ind w:firstLine="640" w:firstLineChars="200"/>
        <w:rPr>
          <w:rFonts w:ascii="仿宋" w:hAnsi="仿宋" w:eastAsia="仿宋"/>
          <w:bCs/>
          <w:sz w:val="32"/>
          <w:szCs w:val="32"/>
        </w:rPr>
      </w:pPr>
      <w:r>
        <w:rPr>
          <w:rStyle w:val="20"/>
          <w:rFonts w:hint="eastAsia" w:ascii="仿宋" w:hAnsi="仿宋" w:eastAsia="仿宋"/>
          <w:b w:val="0"/>
          <w:bCs/>
          <w:sz w:val="32"/>
          <w:szCs w:val="32"/>
        </w:rPr>
        <w:t>7</w:t>
      </w:r>
      <w:r>
        <w:rPr>
          <w:rStyle w:val="20"/>
          <w:rFonts w:ascii="仿宋" w:hAnsi="仿宋" w:eastAsia="仿宋"/>
          <w:b w:val="0"/>
          <w:bCs/>
          <w:sz w:val="32"/>
          <w:szCs w:val="32"/>
        </w:rPr>
        <w:t>.</w:t>
      </w:r>
      <w:r>
        <w:rPr>
          <w:rFonts w:hint="eastAsia" w:ascii="仿宋" w:hAnsi="仿宋" w:eastAsia="仿宋"/>
          <w:bCs/>
          <w:sz w:val="32"/>
          <w:szCs w:val="32"/>
        </w:rPr>
        <w:t>住房保障支出</w:t>
      </w:r>
      <w:r>
        <w:rPr>
          <w:rStyle w:val="20"/>
          <w:rFonts w:hint="eastAsia" w:ascii="仿宋" w:hAnsi="仿宋" w:eastAsia="仿宋"/>
          <w:b w:val="0"/>
          <w:bCs/>
          <w:sz w:val="32"/>
          <w:szCs w:val="32"/>
        </w:rPr>
        <w:t>（类）住房改革支出（款）住房公积金（项）</w:t>
      </w:r>
      <w:r>
        <w:rPr>
          <w:rStyle w:val="20"/>
          <w:rFonts w:ascii="仿宋" w:hAnsi="仿宋" w:eastAsia="仿宋"/>
          <w:b w:val="0"/>
          <w:bCs/>
          <w:sz w:val="32"/>
          <w:szCs w:val="32"/>
        </w:rPr>
        <w:t>:</w:t>
      </w:r>
      <w:r>
        <w:rPr>
          <w:rStyle w:val="20"/>
          <w:rFonts w:hint="eastAsia" w:ascii="仿宋" w:hAnsi="仿宋" w:eastAsia="仿宋"/>
          <w:b w:val="0"/>
          <w:bCs/>
          <w:sz w:val="32"/>
          <w:szCs w:val="32"/>
        </w:rPr>
        <w:t>支出决算为18.77万元，完成预算100</w:t>
      </w:r>
      <w:r>
        <w:rPr>
          <w:rStyle w:val="20"/>
          <w:rFonts w:ascii="仿宋" w:hAnsi="仿宋" w:eastAsia="仿宋"/>
          <w:b w:val="0"/>
          <w:bCs/>
          <w:sz w:val="32"/>
          <w:szCs w:val="32"/>
        </w:rPr>
        <w:t>%</w:t>
      </w:r>
      <w:r>
        <w:rPr>
          <w:rStyle w:val="20"/>
          <w:rFonts w:hint="eastAsia" w:ascii="仿宋" w:hAnsi="仿宋" w:eastAsia="仿宋"/>
          <w:b w:val="0"/>
          <w:bCs/>
          <w:sz w:val="32"/>
          <w:szCs w:val="32"/>
        </w:rPr>
        <w:t>，决算数等于预算数。</w:t>
      </w:r>
    </w:p>
    <w:p>
      <w:pPr>
        <w:tabs>
          <w:tab w:val="right" w:pos="8306"/>
        </w:tabs>
        <w:spacing w:line="600" w:lineRule="exact"/>
        <w:ind w:firstLine="640"/>
        <w:outlineLvl w:val="1"/>
        <w:rPr>
          <w:rStyle w:val="32"/>
        </w:rPr>
      </w:pPr>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2"/>
          <w:rFonts w:hint="eastAsia" w:ascii="黑体" w:hAnsi="黑体" w:eastAsia="黑体"/>
        </w:rPr>
        <w:t>般公共预算财政拨款基本支出决算情况说明</w:t>
      </w:r>
      <w:r>
        <w:rPr>
          <w:rStyle w:val="32"/>
          <w:rFonts w:ascii="黑体" w:hAnsi="黑体" w:eastAsia="黑体"/>
        </w:rPr>
        <w:tab/>
      </w:r>
    </w:p>
    <w:p>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2023年度一般公共预算财政拨款基本支出341.66万元，其中：</w:t>
      </w:r>
    </w:p>
    <w:p>
      <w:pPr>
        <w:spacing w:line="600" w:lineRule="exact"/>
        <w:ind w:firstLine="645"/>
        <w:rPr>
          <w:rFonts w:hint="eastAsia" w:ascii="仿宋" w:hAnsi="仿宋" w:eastAsia="仿宋"/>
          <w:sz w:val="32"/>
          <w:szCs w:val="32"/>
          <w:lang w:eastAsia="zh-CN"/>
        </w:rPr>
      </w:pPr>
      <w:r>
        <w:rPr>
          <w:rFonts w:hint="eastAsia" w:ascii="仿宋" w:hAnsi="仿宋" w:eastAsia="仿宋"/>
          <w:sz w:val="32"/>
          <w:szCs w:val="32"/>
        </w:rPr>
        <w:t>人员经费323.95万元，主要包括：基本工资、津贴补贴、绩效工资、机关事业单位基本养老保险缴费、其他社会保障缴费、其他工资福利支出、生活补助、医疗费补助、住房公积金、其他对个人和家庭的补助支出。</w:t>
      </w:r>
    </w:p>
    <w:p>
      <w:pPr>
        <w:spacing w:line="600" w:lineRule="exact"/>
        <w:ind w:firstLine="645"/>
        <w:rPr>
          <w:rFonts w:ascii="仿宋" w:hAnsi="仿宋" w:eastAsia="仿宋"/>
          <w:sz w:val="32"/>
          <w:szCs w:val="32"/>
        </w:rPr>
      </w:pPr>
      <w:r>
        <w:rPr>
          <w:rFonts w:hint="eastAsia" w:ascii="仿宋" w:hAnsi="仿宋" w:eastAsia="仿宋"/>
          <w:sz w:val="32"/>
          <w:szCs w:val="32"/>
        </w:rPr>
        <w:t>　　公用经费17.71万元，主要包括：办公费、咨询费、水费、电费、邮电费、差旅费、维修（护）费、公务接待费、劳务费、工会经费、福利费、其他商品和服务支出。</w:t>
      </w:r>
    </w:p>
    <w:p>
      <w:pPr>
        <w:spacing w:line="600" w:lineRule="exact"/>
        <w:ind w:firstLine="640"/>
        <w:outlineLvl w:val="1"/>
        <w:rPr>
          <w:rStyle w:val="32"/>
          <w:rFonts w:ascii="黑体" w:hAnsi="黑体" w:eastAsia="黑体"/>
          <w:b w:val="0"/>
        </w:rPr>
      </w:pPr>
      <w:r>
        <w:rPr>
          <w:rFonts w:hint="eastAsia" w:ascii="黑体" w:eastAsia="黑体"/>
          <w:sz w:val="32"/>
          <w:szCs w:val="32"/>
        </w:rPr>
        <w:t>七、</w:t>
      </w:r>
      <w:r>
        <w:rPr>
          <w:rStyle w:val="32"/>
          <w:rFonts w:hint="eastAsia" w:ascii="黑体" w:hAnsi="黑体" w:eastAsia="黑体"/>
        </w:rPr>
        <w:t>财政拨款“三公”经费支出决算情况说明</w:t>
      </w:r>
    </w:p>
    <w:p>
      <w:pPr>
        <w:spacing w:line="600" w:lineRule="exact"/>
        <w:ind w:firstLine="640"/>
        <w:outlineLvl w:val="2"/>
        <w:rPr>
          <w:rFonts w:hint="eastAsia" w:ascii="仿宋" w:hAnsi="仿宋" w:eastAsia="仿宋"/>
          <w:b/>
          <w:sz w:val="32"/>
          <w:szCs w:val="32"/>
          <w:lang w:eastAsia="zh-CN"/>
        </w:rPr>
      </w:pPr>
      <w:r>
        <w:rPr>
          <w:rFonts w:hint="eastAsia" w:ascii="仿宋" w:hAnsi="仿宋" w:eastAsia="仿宋"/>
          <w:b/>
          <w:sz w:val="32"/>
          <w:szCs w:val="32"/>
        </w:rPr>
        <w:t>（一）“三公”经费财政拨款支出决算总体情况说明</w:t>
      </w:r>
      <w:r>
        <w:rPr>
          <w:rFonts w:hint="eastAsia" w:ascii="仿宋" w:hAnsi="仿宋" w:eastAsia="仿宋"/>
          <w:b/>
          <w:sz w:val="32"/>
          <w:szCs w:val="32"/>
          <w:lang w:eastAsia="zh-CN"/>
        </w:rPr>
        <w:t>。</w:t>
      </w:r>
    </w:p>
    <w:p>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2023年度“三公”经费财政拨款支出决算为0.06万元，完成预算100</w:t>
      </w:r>
      <w:r>
        <w:rPr>
          <w:rFonts w:ascii="仿宋" w:hAnsi="仿宋" w:eastAsia="仿宋"/>
          <w:sz w:val="32"/>
          <w:szCs w:val="32"/>
        </w:rPr>
        <w:t>%</w:t>
      </w:r>
      <w:r>
        <w:rPr>
          <w:rFonts w:hint="eastAsia" w:ascii="仿宋" w:hAnsi="仿宋" w:eastAsia="仿宋"/>
          <w:sz w:val="32"/>
          <w:szCs w:val="32"/>
        </w:rPr>
        <w:t>，较上年度减少0.0782万元，下降42.62%。决算数与预算数持平。</w:t>
      </w:r>
    </w:p>
    <w:p>
      <w:pPr>
        <w:spacing w:line="600" w:lineRule="exact"/>
        <w:ind w:firstLine="640"/>
        <w:outlineLvl w:val="2"/>
        <w:rPr>
          <w:rFonts w:hint="eastAsia" w:ascii="仿宋" w:hAnsi="仿宋" w:eastAsia="仿宋"/>
          <w:b/>
          <w:sz w:val="32"/>
          <w:szCs w:val="32"/>
          <w:lang w:eastAsia="zh-CN"/>
        </w:rPr>
      </w:pPr>
      <w:r>
        <w:rPr>
          <w:rFonts w:hint="eastAsia" w:ascii="仿宋" w:hAnsi="仿宋" w:eastAsia="仿宋"/>
          <w:b/>
          <w:sz w:val="32"/>
          <w:szCs w:val="32"/>
        </w:rPr>
        <w:t>（二）“三公”经费财政拨款支出决算具体情况说明</w:t>
      </w:r>
      <w:r>
        <w:rPr>
          <w:rFonts w:hint="eastAsia" w:ascii="仿宋" w:hAnsi="仿宋" w:eastAsia="仿宋"/>
          <w:b/>
          <w:sz w:val="32"/>
          <w:szCs w:val="32"/>
          <w:lang w:eastAsia="zh-CN"/>
        </w:rPr>
        <w:t>。</w:t>
      </w:r>
    </w:p>
    <w:p>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；公务用车购置及运行维护费支出决算0万元，占0</w:t>
      </w:r>
      <w:r>
        <w:rPr>
          <w:rFonts w:ascii="仿宋" w:hAnsi="仿宋" w:eastAsia="仿宋"/>
          <w:sz w:val="32"/>
          <w:szCs w:val="32"/>
        </w:rPr>
        <w:t>%</w:t>
      </w:r>
      <w:r>
        <w:rPr>
          <w:rFonts w:hint="eastAsia" w:ascii="仿宋" w:hAnsi="仿宋" w:eastAsia="仿宋"/>
          <w:sz w:val="32"/>
          <w:szCs w:val="32"/>
        </w:rPr>
        <w:t>；公务接待费支出决算0.06万元，占100</w:t>
      </w:r>
      <w:r>
        <w:rPr>
          <w:rFonts w:ascii="仿宋" w:hAnsi="仿宋" w:eastAsia="仿宋"/>
          <w:sz w:val="32"/>
          <w:szCs w:val="32"/>
        </w:rPr>
        <w:t>%</w:t>
      </w:r>
      <w:r>
        <w:rPr>
          <w:rFonts w:hint="eastAsia" w:ascii="仿宋" w:hAnsi="仿宋" w:eastAsia="仿宋"/>
          <w:sz w:val="32"/>
          <w:szCs w:val="32"/>
        </w:rPr>
        <w:t>。具体情况如下：</w:t>
      </w:r>
    </w:p>
    <w:p>
      <w:pPr>
        <w:pStyle w:val="7"/>
        <w:spacing w:before="93"/>
      </w:pPr>
      <w:r>
        <w:drawing>
          <wp:inline distT="0" distB="0" distL="0" distR="0">
            <wp:extent cx="4505325" cy="1628775"/>
            <wp:effectExtent l="0" t="0" r="0"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pPr>
        <w:spacing w:line="600" w:lineRule="exact"/>
        <w:ind w:firstLine="640"/>
        <w:outlineLvl w:val="2"/>
        <w:rPr>
          <w:rFonts w:ascii="仿宋" w:hAnsi="仿宋" w:eastAsia="仿宋"/>
          <w:b/>
          <w:sz w:val="32"/>
          <w:szCs w:val="32"/>
        </w:rPr>
      </w:pPr>
      <w:r>
        <w:rPr>
          <w:rFonts w:hint="eastAsia" w:ascii="仿宋" w:hAnsi="仿宋" w:eastAsia="仿宋"/>
          <w:b/>
          <w:sz w:val="32"/>
          <w:szCs w:val="32"/>
        </w:rPr>
        <w:t>1.因公出国（境）经费支出</w:t>
      </w:r>
      <w:r>
        <w:rPr>
          <w:rFonts w:hint="eastAsia" w:ascii="仿宋_GB2312" w:eastAsia="仿宋_GB2312"/>
          <w:sz w:val="32"/>
          <w:szCs w:val="32"/>
        </w:rPr>
        <w:t>0万元，</w:t>
      </w:r>
      <w:r>
        <w:rPr>
          <w:rStyle w:val="20"/>
          <w:rFonts w:hint="eastAsia" w:ascii="仿宋" w:hAnsi="仿宋" w:eastAsia="仿宋"/>
          <w:b w:val="0"/>
          <w:bCs/>
          <w:sz w:val="32"/>
          <w:szCs w:val="32"/>
        </w:rPr>
        <w:t>完成预算0</w:t>
      </w:r>
      <w:r>
        <w:rPr>
          <w:rStyle w:val="20"/>
          <w:rFonts w:ascii="仿宋" w:hAnsi="仿宋" w:eastAsia="仿宋"/>
          <w:b w:val="0"/>
          <w:bCs/>
          <w:sz w:val="32"/>
          <w:szCs w:val="32"/>
        </w:rPr>
        <w:t>%</w:t>
      </w:r>
      <w:r>
        <w:rPr>
          <w:rStyle w:val="20"/>
          <w:rFonts w:hint="eastAsia" w:ascii="仿宋" w:hAnsi="仿宋" w:eastAsia="仿宋"/>
          <w:bCs/>
          <w:sz w:val="32"/>
          <w:szCs w:val="32"/>
        </w:rPr>
        <w:t>。</w:t>
      </w:r>
      <w:r>
        <w:rPr>
          <w:rFonts w:hint="eastAsia" w:ascii="仿宋" w:hAnsi="仿宋" w:eastAsia="仿宋"/>
          <w:sz w:val="32"/>
          <w:szCs w:val="32"/>
        </w:rPr>
        <w:t>全年安排因公出国（境）团组0次，出国（境）0人。因公出国（境）支出决算与2022年度持平。</w:t>
      </w:r>
    </w:p>
    <w:p>
      <w:pPr>
        <w:spacing w:line="600" w:lineRule="exact"/>
        <w:ind w:firstLine="640"/>
        <w:rPr>
          <w:rFonts w:ascii="仿宋_GB2312" w:eastAsia="仿宋_GB2312"/>
          <w:b/>
          <w:sz w:val="32"/>
          <w:szCs w:val="32"/>
        </w:rPr>
      </w:pPr>
      <w:r>
        <w:rPr>
          <w:rFonts w:hint="eastAsia" w:ascii="仿宋" w:hAnsi="仿宋" w:eastAsia="仿宋"/>
          <w:b/>
          <w:sz w:val="32"/>
          <w:szCs w:val="32"/>
        </w:rPr>
        <w:t>2.公务用车购置及运行维护费支出0</w:t>
      </w:r>
      <w:r>
        <w:rPr>
          <w:rFonts w:hint="eastAsia" w:ascii="仿宋_GB2312" w:eastAsia="仿宋_GB2312"/>
          <w:sz w:val="32"/>
          <w:szCs w:val="32"/>
        </w:rPr>
        <w:t>万元,</w:t>
      </w:r>
      <w:r>
        <w:rPr>
          <w:rStyle w:val="20"/>
          <w:rFonts w:hint="eastAsia" w:ascii="仿宋" w:hAnsi="仿宋" w:eastAsia="仿宋"/>
          <w:b w:val="0"/>
          <w:bCs/>
          <w:sz w:val="32"/>
          <w:szCs w:val="32"/>
        </w:rPr>
        <w:t>完成预算0</w:t>
      </w:r>
      <w:r>
        <w:rPr>
          <w:rStyle w:val="20"/>
          <w:rFonts w:ascii="仿宋" w:hAnsi="仿宋" w:eastAsia="仿宋"/>
          <w:b w:val="0"/>
          <w:bCs/>
          <w:sz w:val="32"/>
          <w:szCs w:val="32"/>
        </w:rPr>
        <w:t>%</w:t>
      </w:r>
      <w:r>
        <w:rPr>
          <w:rStyle w:val="20"/>
          <w:rFonts w:hint="eastAsia" w:ascii="仿宋" w:hAnsi="仿宋" w:eastAsia="仿宋"/>
          <w:bCs/>
          <w:sz w:val="32"/>
          <w:szCs w:val="32"/>
        </w:rPr>
        <w:t>。</w:t>
      </w:r>
      <w:r>
        <w:rPr>
          <w:rFonts w:hint="eastAsia" w:ascii="仿宋" w:hAnsi="仿宋" w:eastAsia="仿宋"/>
          <w:sz w:val="32"/>
          <w:szCs w:val="32"/>
        </w:rPr>
        <w:t>公务用车购置及运行维护费支出决算与2022年度持平</w:t>
      </w:r>
      <w:r>
        <w:rPr>
          <w:rFonts w:hint="eastAsia" w:ascii="仿宋_GB2312" w:eastAsia="仿宋_GB2312"/>
          <w:sz w:val="32"/>
          <w:szCs w:val="32"/>
        </w:rPr>
        <w:t>。</w:t>
      </w:r>
    </w:p>
    <w:p>
      <w:pPr>
        <w:spacing w:line="600" w:lineRule="exact"/>
        <w:ind w:firstLine="640" w:firstLineChars="200"/>
        <w:rPr>
          <w:rFonts w:ascii="仿宋" w:hAnsi="仿宋" w:eastAsia="仿宋"/>
          <w:b/>
          <w:sz w:val="32"/>
          <w:szCs w:val="32"/>
        </w:rPr>
      </w:pPr>
      <w:r>
        <w:rPr>
          <w:rFonts w:hint="eastAsia" w:ascii="仿宋_GB2312" w:eastAsia="仿宋_GB2312"/>
          <w:sz w:val="32"/>
          <w:szCs w:val="32"/>
        </w:rPr>
        <w:t>其中</w:t>
      </w:r>
      <w:r>
        <w:rPr>
          <w:rFonts w:hint="eastAsia" w:ascii="仿宋" w:hAnsi="仿宋" w:eastAsia="仿宋"/>
          <w:b/>
          <w:sz w:val="32"/>
          <w:szCs w:val="32"/>
        </w:rPr>
        <w:t>：公务用车购置支出</w:t>
      </w:r>
      <w:r>
        <w:rPr>
          <w:rFonts w:hint="eastAsia" w:ascii="仿宋_GB2312" w:eastAsia="仿宋_GB2312"/>
          <w:sz w:val="32"/>
          <w:szCs w:val="32"/>
        </w:rPr>
        <w:t>0万元。</w:t>
      </w:r>
      <w:r>
        <w:rPr>
          <w:rFonts w:hint="eastAsia" w:ascii="仿宋" w:hAnsi="仿宋" w:eastAsia="仿宋"/>
          <w:sz w:val="32"/>
          <w:szCs w:val="32"/>
        </w:rPr>
        <w:t>全年按规定更新购置公务用车0辆，其中：轿车0辆、金额0万元，越野车0辆、金额0万元，载客汽车0辆、金额0万元。截至2023年</w:t>
      </w:r>
      <w:r>
        <w:rPr>
          <w:rFonts w:ascii="仿宋" w:hAnsi="仿宋" w:eastAsia="仿宋"/>
          <w:sz w:val="32"/>
          <w:szCs w:val="32"/>
        </w:rPr>
        <w:t>12</w:t>
      </w:r>
      <w:r>
        <w:rPr>
          <w:rFonts w:hint="eastAsia" w:ascii="仿宋" w:hAnsi="仿宋" w:eastAsia="仿宋"/>
          <w:sz w:val="32"/>
          <w:szCs w:val="32"/>
        </w:rPr>
        <w:t>月31日，单位共有公务用车0辆，其中：轿车0辆、越野车0辆、载客汽车0辆。</w:t>
      </w:r>
    </w:p>
    <w:p>
      <w:pPr>
        <w:spacing w:line="600" w:lineRule="exact"/>
        <w:ind w:firstLine="640"/>
        <w:rPr>
          <w:rFonts w:ascii="仿宋_GB2312" w:eastAsia="仿宋_GB2312"/>
          <w:sz w:val="32"/>
          <w:szCs w:val="32"/>
        </w:rPr>
      </w:pPr>
      <w:r>
        <w:rPr>
          <w:rFonts w:hint="eastAsia" w:ascii="仿宋" w:hAnsi="仿宋" w:eastAsia="仿宋"/>
          <w:b/>
          <w:sz w:val="32"/>
          <w:szCs w:val="32"/>
        </w:rPr>
        <w:t>公务用车运行维护费支出</w:t>
      </w:r>
      <w:r>
        <w:rPr>
          <w:rFonts w:hint="eastAsia" w:ascii="黑体" w:hAnsi="黑体" w:eastAsia="黑体"/>
          <w:sz w:val="32"/>
          <w:szCs w:val="32"/>
        </w:rPr>
        <w:t>0</w:t>
      </w:r>
      <w:r>
        <w:rPr>
          <w:rFonts w:hint="eastAsia" w:ascii="仿宋_GB2312" w:eastAsia="仿宋_GB2312"/>
          <w:sz w:val="32"/>
          <w:szCs w:val="32"/>
        </w:rPr>
        <w:t>万元。</w:t>
      </w:r>
    </w:p>
    <w:p>
      <w:pPr>
        <w:spacing w:line="600" w:lineRule="exact"/>
        <w:ind w:firstLine="640"/>
        <w:rPr>
          <w:rFonts w:ascii="仿宋" w:hAnsi="仿宋" w:eastAsia="仿宋"/>
          <w:sz w:val="32"/>
          <w:szCs w:val="32"/>
        </w:rPr>
      </w:pPr>
      <w:r>
        <w:rPr>
          <w:rFonts w:hint="eastAsia" w:ascii="仿宋" w:hAnsi="仿宋" w:eastAsia="仿宋"/>
          <w:b/>
          <w:sz w:val="32"/>
          <w:szCs w:val="32"/>
        </w:rPr>
        <w:t>3.公务接待费支出</w:t>
      </w:r>
      <w:r>
        <w:rPr>
          <w:rFonts w:hint="eastAsia" w:ascii="仿宋_GB2312" w:eastAsia="仿宋_GB2312"/>
          <w:sz w:val="32"/>
          <w:szCs w:val="32"/>
        </w:rPr>
        <w:t>0.06万元，</w:t>
      </w:r>
      <w:r>
        <w:rPr>
          <w:rStyle w:val="20"/>
          <w:rFonts w:hint="eastAsia" w:ascii="仿宋" w:hAnsi="仿宋" w:eastAsia="仿宋"/>
          <w:b w:val="0"/>
          <w:bCs/>
          <w:sz w:val="32"/>
          <w:szCs w:val="32"/>
        </w:rPr>
        <w:t>完成预算100</w:t>
      </w:r>
      <w:r>
        <w:rPr>
          <w:rStyle w:val="20"/>
          <w:rFonts w:ascii="仿宋" w:hAnsi="仿宋" w:eastAsia="仿宋"/>
          <w:b w:val="0"/>
          <w:bCs/>
          <w:sz w:val="32"/>
          <w:szCs w:val="32"/>
        </w:rPr>
        <w:t>%</w:t>
      </w:r>
      <w:r>
        <w:rPr>
          <w:rStyle w:val="20"/>
          <w:rFonts w:hint="eastAsia" w:ascii="仿宋" w:hAnsi="仿宋" w:eastAsia="仿宋"/>
          <w:bCs/>
          <w:sz w:val="32"/>
          <w:szCs w:val="32"/>
        </w:rPr>
        <w:t>。</w:t>
      </w:r>
      <w:r>
        <w:rPr>
          <w:rFonts w:hint="eastAsia" w:ascii="仿宋" w:hAnsi="仿宋" w:eastAsia="仿宋"/>
          <w:sz w:val="32"/>
          <w:szCs w:val="32"/>
        </w:rPr>
        <w:t>公务接待费支出决算比2022年度减少0.0782万元，下降42.62</w:t>
      </w:r>
      <w:r>
        <w:rPr>
          <w:rFonts w:ascii="仿宋" w:hAnsi="仿宋" w:eastAsia="仿宋"/>
          <w:sz w:val="32"/>
          <w:szCs w:val="32"/>
        </w:rPr>
        <w:t>%</w:t>
      </w:r>
      <w:r>
        <w:rPr>
          <w:rFonts w:hint="eastAsia" w:ascii="仿宋" w:hAnsi="仿宋" w:eastAsia="仿宋"/>
          <w:sz w:val="32"/>
          <w:szCs w:val="32"/>
        </w:rPr>
        <w:t>。主要原因是为落实政府过紧日子要求，压减了接待支出，非必要不接待。其中：</w:t>
      </w:r>
    </w:p>
    <w:p>
      <w:pPr>
        <w:spacing w:line="600" w:lineRule="exact"/>
        <w:ind w:firstLine="640"/>
        <w:rPr>
          <w:rFonts w:hint="eastAsia" w:ascii="仿宋" w:hAnsi="仿宋" w:eastAsia="仿宋"/>
          <w:sz w:val="32"/>
          <w:szCs w:val="32"/>
        </w:rPr>
      </w:pPr>
      <w:r>
        <w:rPr>
          <w:rFonts w:hint="eastAsia" w:ascii="仿宋" w:hAnsi="仿宋" w:eastAsia="仿宋"/>
          <w:b/>
          <w:sz w:val="32"/>
          <w:szCs w:val="32"/>
        </w:rPr>
        <w:t>国内公务接待支出</w:t>
      </w:r>
      <w:r>
        <w:rPr>
          <w:rFonts w:hint="eastAsia" w:ascii="仿宋" w:hAnsi="仿宋" w:eastAsia="仿宋"/>
          <w:sz w:val="32"/>
          <w:szCs w:val="32"/>
        </w:rPr>
        <w:t>0.06万元，全部用于上级部门执行公务、开展业务活动开支的用餐费。国内公务接待1批次，9人次（不包括陪同人员），共计支出0.06万元，具体内容为市公路事业发展中心2023年普通省道路况检测评定1批次共9人接待费630元。</w:t>
      </w:r>
    </w:p>
    <w:p>
      <w:pPr>
        <w:spacing w:line="600" w:lineRule="exact"/>
        <w:ind w:firstLine="640" w:firstLineChars="200"/>
        <w:rPr>
          <w:rFonts w:ascii="仿宋_GB2312" w:eastAsia="仿宋_GB2312"/>
          <w:sz w:val="32"/>
          <w:szCs w:val="32"/>
        </w:rPr>
      </w:pPr>
      <w:r>
        <w:rPr>
          <w:rFonts w:hint="eastAsia" w:ascii="仿宋" w:hAnsi="仿宋" w:eastAsia="仿宋"/>
          <w:sz w:val="32"/>
          <w:szCs w:val="32"/>
        </w:rPr>
        <w:t>外事接待支出0万元，共计支出0万元。</w:t>
      </w:r>
    </w:p>
    <w:p>
      <w:pPr>
        <w:spacing w:line="600" w:lineRule="exact"/>
        <w:ind w:firstLine="640"/>
        <w:outlineLvl w:val="1"/>
        <w:rPr>
          <w:rStyle w:val="32"/>
          <w:rFonts w:ascii="黑体" w:hAnsi="黑体" w:eastAsia="黑体"/>
        </w:rPr>
      </w:pPr>
      <w:r>
        <w:rPr>
          <w:rFonts w:hint="eastAsia" w:ascii="黑体" w:eastAsia="黑体"/>
          <w:sz w:val="32"/>
          <w:szCs w:val="32"/>
        </w:rPr>
        <w:t>八、</w:t>
      </w:r>
      <w:r>
        <w:rPr>
          <w:rStyle w:val="32"/>
          <w:rFonts w:hint="eastAsia" w:ascii="黑体" w:hAnsi="黑体" w:eastAsia="黑体"/>
        </w:rPr>
        <w:t>政府性基金预算支出决算情况说明</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2023年度政府性基金预算财政拨款支出0万元。本部门没有政府性基金拨款收入，也没有使用政府性基金安排的支出。</w:t>
      </w:r>
    </w:p>
    <w:p>
      <w:pPr>
        <w:spacing w:line="600" w:lineRule="exact"/>
        <w:ind w:firstLine="643" w:firstLineChars="200"/>
        <w:outlineLvl w:val="1"/>
        <w:rPr>
          <w:rStyle w:val="32"/>
          <w:rFonts w:ascii="黑体" w:hAnsi="黑体" w:eastAsia="黑体"/>
          <w:b w:val="0"/>
        </w:rPr>
      </w:pPr>
      <w:r>
        <w:rPr>
          <w:rStyle w:val="32"/>
          <w:rFonts w:hint="eastAsia" w:ascii="黑体" w:hAnsi="黑体" w:eastAsia="黑体"/>
        </w:rPr>
        <w:t>九、国有资本经营预算支出决算情况说明</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2023年度国有资本经营预算财政拨款支出0万元。本部门没有国有资本经营预算拨款收入，也没有使用国有资本经营预算拨款安排的支出。</w:t>
      </w:r>
    </w:p>
    <w:p>
      <w:pPr>
        <w:spacing w:line="600" w:lineRule="exact"/>
        <w:ind w:firstLine="643" w:firstLineChars="200"/>
        <w:outlineLvl w:val="1"/>
        <w:rPr>
          <w:rStyle w:val="32"/>
          <w:rFonts w:ascii="黑体" w:hAnsi="黑体" w:eastAsia="黑体"/>
          <w:b w:val="0"/>
        </w:rPr>
      </w:pPr>
      <w:r>
        <w:rPr>
          <w:rStyle w:val="32"/>
          <w:rFonts w:hint="eastAsia" w:ascii="黑体" w:hAnsi="黑体" w:eastAsia="黑体"/>
        </w:rPr>
        <w:t>十、其他重要事项的情况说明</w:t>
      </w:r>
    </w:p>
    <w:p>
      <w:pPr>
        <w:spacing w:line="600" w:lineRule="exact"/>
        <w:ind w:firstLine="643" w:firstLineChars="200"/>
        <w:outlineLvl w:val="2"/>
        <w:rPr>
          <w:rFonts w:hint="eastAsia" w:ascii="仿宋" w:hAnsi="仿宋" w:eastAsia="仿宋"/>
          <w:sz w:val="32"/>
          <w:szCs w:val="32"/>
          <w:lang w:eastAsia="zh-CN"/>
        </w:rPr>
      </w:pPr>
      <w:r>
        <w:rPr>
          <w:rFonts w:hint="eastAsia" w:ascii="仿宋" w:hAnsi="仿宋" w:eastAsia="仿宋"/>
          <w:b/>
          <w:sz w:val="32"/>
          <w:szCs w:val="32"/>
        </w:rPr>
        <w:t>（一）机关运行经费支出情况</w:t>
      </w:r>
      <w:r>
        <w:rPr>
          <w:rFonts w:hint="eastAsia" w:ascii="仿宋" w:hAnsi="仿宋" w:eastAsia="仿宋"/>
          <w:b/>
          <w:sz w:val="32"/>
          <w:szCs w:val="32"/>
          <w:lang w:eastAsia="zh-CN"/>
        </w:rPr>
        <w:t>。</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2023年，养路队机关运行经费支出0万元，与2022年决算数持平。主要原因是盐边县</w:t>
      </w:r>
      <w:r>
        <w:rPr>
          <w:rFonts w:hint="eastAsia" w:ascii="仿宋" w:hAnsi="仿宋" w:eastAsia="仿宋"/>
          <w:sz w:val="32"/>
          <w:szCs w:val="32"/>
          <w:lang w:eastAsia="zh-CN"/>
        </w:rPr>
        <w:t>养路队</w:t>
      </w:r>
      <w:r>
        <w:rPr>
          <w:rFonts w:hint="eastAsia" w:ascii="仿宋" w:hAnsi="仿宋" w:eastAsia="仿宋"/>
          <w:sz w:val="32"/>
          <w:szCs w:val="32"/>
        </w:rPr>
        <w:t>为事业单位，按规定未使用机关运行的相关科目。</w:t>
      </w:r>
    </w:p>
    <w:p>
      <w:pPr>
        <w:autoSpaceDE w:val="0"/>
        <w:autoSpaceDN w:val="0"/>
        <w:adjustRightInd w:val="0"/>
        <w:spacing w:line="600" w:lineRule="exact"/>
        <w:ind w:firstLine="643" w:firstLineChars="200"/>
        <w:jc w:val="left"/>
        <w:outlineLvl w:val="2"/>
        <w:rPr>
          <w:rFonts w:hint="eastAsia" w:ascii="仿宋" w:hAnsi="仿宋" w:eastAsia="仿宋"/>
          <w:b/>
          <w:sz w:val="32"/>
          <w:szCs w:val="32"/>
          <w:lang w:eastAsia="zh-CN"/>
        </w:rPr>
      </w:pPr>
      <w:r>
        <w:rPr>
          <w:rFonts w:hint="eastAsia" w:ascii="仿宋" w:hAnsi="仿宋" w:eastAsia="仿宋"/>
          <w:b/>
          <w:sz w:val="32"/>
          <w:szCs w:val="32"/>
        </w:rPr>
        <w:t>（二）政府采购支出情况</w:t>
      </w:r>
      <w:r>
        <w:rPr>
          <w:rFonts w:hint="eastAsia" w:ascii="仿宋" w:hAnsi="仿宋" w:eastAsia="仿宋"/>
          <w:b/>
          <w:sz w:val="32"/>
          <w:szCs w:val="32"/>
          <w:lang w:eastAsia="zh-CN"/>
        </w:rPr>
        <w:t>。</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2023年度，养路队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autoSpaceDE w:val="0"/>
        <w:autoSpaceDN w:val="0"/>
        <w:adjustRightInd w:val="0"/>
        <w:spacing w:line="600" w:lineRule="exact"/>
        <w:ind w:firstLine="643" w:firstLineChars="200"/>
        <w:jc w:val="left"/>
        <w:outlineLvl w:val="2"/>
        <w:rPr>
          <w:rFonts w:hint="eastAsia" w:ascii="仿宋" w:hAnsi="仿宋" w:eastAsia="仿宋"/>
          <w:b/>
          <w:sz w:val="32"/>
          <w:szCs w:val="32"/>
          <w:lang w:eastAsia="zh-CN"/>
        </w:rPr>
      </w:pPr>
      <w:r>
        <w:rPr>
          <w:rFonts w:hint="eastAsia" w:ascii="仿宋" w:hAnsi="仿宋" w:eastAsia="仿宋"/>
          <w:b/>
          <w:sz w:val="32"/>
          <w:szCs w:val="32"/>
        </w:rPr>
        <w:t>（三）国有资产占有使用情况</w:t>
      </w:r>
      <w:r>
        <w:rPr>
          <w:rFonts w:hint="eastAsia" w:ascii="仿宋" w:hAnsi="仿宋" w:eastAsia="仿宋"/>
          <w:b/>
          <w:sz w:val="32"/>
          <w:szCs w:val="32"/>
          <w:lang w:eastAsia="zh-CN"/>
        </w:rPr>
        <w:t>。</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截至2023年12月31日，养路队共有特种专业技术用车2辆，其中：主要领导干部用车0辆、机要通信用车0辆、应急保障用车0辆、其他用车2辆，其他用车主要是用于公路养护巡查及道路抢险。单价50万元以上通用设备0台（套），单价100万元以上专用设备0台（套）。</w:t>
      </w:r>
    </w:p>
    <w:p>
      <w:pPr>
        <w:autoSpaceDE w:val="0"/>
        <w:autoSpaceDN w:val="0"/>
        <w:adjustRightInd w:val="0"/>
        <w:spacing w:line="600" w:lineRule="exact"/>
        <w:ind w:firstLine="643" w:firstLineChars="200"/>
        <w:jc w:val="left"/>
        <w:outlineLvl w:val="2"/>
        <w:rPr>
          <w:rFonts w:hint="eastAsia" w:ascii="仿宋" w:hAnsi="仿宋" w:eastAsia="仿宋"/>
          <w:b/>
          <w:sz w:val="32"/>
          <w:szCs w:val="32"/>
          <w:lang w:eastAsia="zh-CN"/>
        </w:rPr>
      </w:pPr>
      <w:r>
        <w:rPr>
          <w:rFonts w:hint="eastAsia" w:ascii="仿宋" w:hAnsi="仿宋" w:eastAsia="仿宋"/>
          <w:b/>
          <w:sz w:val="32"/>
          <w:szCs w:val="32"/>
        </w:rPr>
        <w:t>（四）预算绩效管理情况</w:t>
      </w:r>
      <w:r>
        <w:rPr>
          <w:rFonts w:hint="eastAsia" w:ascii="仿宋" w:hAnsi="仿宋" w:eastAsia="仿宋"/>
          <w:b/>
          <w:sz w:val="32"/>
          <w:szCs w:val="32"/>
          <w:lang w:eastAsia="zh-CN"/>
        </w:rPr>
        <w:t>。</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本单位在2023年度预算编制阶段，组织对2023年公路养护项目（盐财资建〔2023〕1号2023年度农村公路日常养护费用、川财建【2023】23号下达2023年中央对地方成品油税费改革转移支付（用于2023年农村公路养护））开展了预算事前绩效评估，对所有预算项目编制了绩效目标；预算执行过程中，选取盐财资建〔2023〕1号2023年度农村公路日常养护费用、川财建【2023】23号下达2023年中央对地方成品油税费改革转移支付2个项目开展绩效监控和自评，绩效自评表详见第四部分附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br w:type="page"/>
      </w:r>
    </w:p>
    <w:p>
      <w:pPr>
        <w:spacing w:line="600" w:lineRule="exact"/>
        <w:jc w:val="center"/>
        <w:outlineLvl w:val="0"/>
        <w:rPr>
          <w:rStyle w:val="31"/>
          <w:rFonts w:ascii="黑体" w:hAnsi="黑体" w:eastAsia="黑体"/>
          <w:b w:val="0"/>
        </w:rPr>
      </w:pPr>
      <w:r>
        <w:rPr>
          <w:rFonts w:hint="eastAsia" w:ascii="黑体" w:hAnsi="黑体" w:eastAsia="黑体"/>
          <w:sz w:val="44"/>
          <w:szCs w:val="44"/>
        </w:rPr>
        <w:t>第三部分  名</w:t>
      </w:r>
      <w:r>
        <w:rPr>
          <w:rStyle w:val="31"/>
          <w:rFonts w:hint="eastAsia" w:ascii="黑体" w:hAnsi="黑体" w:eastAsia="黑体"/>
        </w:rPr>
        <w:t>词解释</w:t>
      </w:r>
    </w:p>
    <w:p>
      <w:pPr>
        <w:spacing w:line="600" w:lineRule="exact"/>
        <w:jc w:val="left"/>
        <w:rPr>
          <w:rFonts w:ascii="宋体"/>
          <w:b/>
          <w:sz w:val="44"/>
          <w:szCs w:val="44"/>
        </w:rPr>
      </w:pPr>
    </w:p>
    <w:p>
      <w:pPr>
        <w:spacing w:line="560" w:lineRule="exact"/>
        <w:ind w:firstLine="640" w:firstLineChars="200"/>
        <w:rPr>
          <w:rFonts w:ascii="仿宋" w:hAnsi="仿宋" w:eastAsia="仿宋" w:cs="仿宋_GB2312"/>
          <w:sz w:val="32"/>
          <w:szCs w:val="32"/>
        </w:rPr>
      </w:pPr>
      <w:r>
        <w:rPr>
          <w:rFonts w:ascii="仿宋" w:hAnsi="仿宋" w:eastAsia="仿宋" w:cs="仿宋_GB2312"/>
          <w:sz w:val="32"/>
          <w:szCs w:val="32"/>
        </w:rPr>
        <w:t>1.</w:t>
      </w:r>
      <w:r>
        <w:rPr>
          <w:rFonts w:hint="eastAsia" w:ascii="仿宋" w:hAnsi="仿宋" w:eastAsia="仿宋" w:cs="仿宋_GB2312"/>
          <w:sz w:val="32"/>
          <w:szCs w:val="32"/>
        </w:rPr>
        <w:t>财政拨款收入：指单位从同级财政部门取得的财政预算资金。</w:t>
      </w:r>
    </w:p>
    <w:p>
      <w:pPr>
        <w:spacing w:line="560" w:lineRule="exact"/>
        <w:ind w:firstLine="640" w:firstLineChars="200"/>
        <w:rPr>
          <w:rFonts w:ascii="仿宋" w:hAnsi="仿宋" w:eastAsia="仿宋" w:cs="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事业收入：指事业单位开展专业业务活动及辅助活动取得的收入。</w:t>
      </w:r>
    </w:p>
    <w:p>
      <w:pPr>
        <w:spacing w:line="560" w:lineRule="exact"/>
        <w:ind w:firstLine="640" w:firstLineChars="200"/>
        <w:rPr>
          <w:rFonts w:ascii="仿宋" w:hAnsi="仿宋" w:eastAsia="仿宋" w:cs="仿宋_GB2312"/>
          <w:sz w:val="32"/>
          <w:szCs w:val="32"/>
        </w:rPr>
      </w:pPr>
      <w:r>
        <w:rPr>
          <w:rFonts w:ascii="仿宋" w:hAnsi="仿宋" w:eastAsia="仿宋" w:cs="仿宋_GB2312"/>
          <w:sz w:val="32"/>
          <w:szCs w:val="32"/>
        </w:rPr>
        <w:t>3.</w:t>
      </w:r>
      <w:r>
        <w:rPr>
          <w:rFonts w:hint="eastAsia" w:ascii="仿宋" w:hAnsi="仿宋" w:eastAsia="仿宋" w:cs="仿宋_GB2312"/>
          <w:sz w:val="32"/>
          <w:szCs w:val="32"/>
        </w:rPr>
        <w:t>经营收入：指事业单位在专业业务活动及其辅助活动之外开展非独立核算经营活动取得的收入。</w:t>
      </w:r>
    </w:p>
    <w:p>
      <w:pPr>
        <w:spacing w:line="560" w:lineRule="exact"/>
        <w:ind w:firstLine="640" w:firstLineChars="200"/>
        <w:rPr>
          <w:rFonts w:ascii="仿宋" w:hAnsi="仿宋" w:eastAsia="仿宋" w:cs="仿宋_GB2312"/>
          <w:sz w:val="32"/>
          <w:szCs w:val="32"/>
        </w:rPr>
      </w:pPr>
      <w:r>
        <w:rPr>
          <w:rFonts w:ascii="仿宋" w:hAnsi="仿宋" w:eastAsia="仿宋" w:cs="仿宋_GB2312"/>
          <w:sz w:val="32"/>
          <w:szCs w:val="32"/>
        </w:rPr>
        <w:t>4.</w:t>
      </w:r>
      <w:r>
        <w:rPr>
          <w:rFonts w:hint="eastAsia" w:ascii="仿宋" w:hAnsi="仿宋" w:eastAsia="仿宋" w:cs="仿宋_GB2312"/>
          <w:sz w:val="32"/>
          <w:szCs w:val="32"/>
        </w:rPr>
        <w:t>其他收入：指单位取得的除上述收入以外的各项收入。</w:t>
      </w:r>
    </w:p>
    <w:p>
      <w:pPr>
        <w:spacing w:line="560" w:lineRule="exact"/>
        <w:ind w:firstLine="640" w:firstLineChars="200"/>
        <w:rPr>
          <w:rFonts w:ascii="仿宋" w:hAnsi="仿宋" w:eastAsia="仿宋" w:cs="仿宋_GB2312"/>
          <w:sz w:val="32"/>
          <w:szCs w:val="32"/>
        </w:rPr>
      </w:pPr>
      <w:r>
        <w:rPr>
          <w:rFonts w:ascii="仿宋" w:hAnsi="仿宋" w:eastAsia="仿宋" w:cs="仿宋_GB2312"/>
          <w:sz w:val="32"/>
          <w:szCs w:val="32"/>
        </w:rPr>
        <w:t>5.</w:t>
      </w:r>
      <w:r>
        <w:rPr>
          <w:rFonts w:hint="eastAsia" w:ascii="仿宋" w:hAnsi="仿宋" w:eastAsia="仿宋" w:cs="仿宋_GB2312"/>
          <w:sz w:val="32"/>
          <w:szCs w:val="32"/>
        </w:rPr>
        <w:t>使用非财政拨款结余：指事业单位使用以前年度积累的非财政拨款结余弥补当年收支差额的金额。</w:t>
      </w:r>
    </w:p>
    <w:p>
      <w:pPr>
        <w:spacing w:line="560" w:lineRule="exact"/>
        <w:ind w:firstLine="640" w:firstLineChars="200"/>
        <w:rPr>
          <w:rFonts w:ascii="仿宋" w:hAnsi="仿宋" w:eastAsia="仿宋" w:cs="仿宋_GB2312"/>
          <w:sz w:val="32"/>
          <w:szCs w:val="32"/>
        </w:rPr>
      </w:pPr>
      <w:r>
        <w:rPr>
          <w:rFonts w:ascii="仿宋" w:hAnsi="仿宋" w:eastAsia="仿宋" w:cs="仿宋_GB2312"/>
          <w:sz w:val="32"/>
          <w:szCs w:val="32"/>
        </w:rPr>
        <w:t>6.</w:t>
      </w:r>
      <w:r>
        <w:rPr>
          <w:rFonts w:hint="eastAsia" w:ascii="仿宋" w:hAnsi="仿宋" w:eastAsia="仿宋" w:cs="仿宋_GB2312"/>
          <w:sz w:val="32"/>
          <w:szCs w:val="32"/>
        </w:rPr>
        <w:t>年初结转和结余：指以前年度尚未完成、结转到本年按有关规定继续使用的资金。</w:t>
      </w:r>
    </w:p>
    <w:p>
      <w:pPr>
        <w:spacing w:line="560" w:lineRule="exact"/>
        <w:ind w:firstLine="640" w:firstLineChars="200"/>
        <w:rPr>
          <w:rFonts w:ascii="仿宋" w:hAnsi="仿宋" w:eastAsia="仿宋" w:cs="仿宋_GB2312"/>
          <w:sz w:val="32"/>
          <w:szCs w:val="32"/>
        </w:rPr>
      </w:pPr>
      <w:r>
        <w:rPr>
          <w:rFonts w:ascii="仿宋" w:hAnsi="仿宋" w:eastAsia="仿宋" w:cs="仿宋_GB2312"/>
          <w:sz w:val="32"/>
          <w:szCs w:val="32"/>
        </w:rPr>
        <w:t>7.</w:t>
      </w:r>
      <w:r>
        <w:rPr>
          <w:rFonts w:hint="eastAsia" w:ascii="仿宋" w:hAnsi="仿宋" w:eastAsia="仿宋" w:cs="仿宋_GB2312"/>
          <w:sz w:val="32"/>
          <w:szCs w:val="32"/>
        </w:rPr>
        <w:t>结余分配：指事业单位按照会计制度规定缴纳的所得税、提取的专用结余以及转入非财政拨款结余的金额等。</w:t>
      </w:r>
    </w:p>
    <w:p>
      <w:pPr>
        <w:spacing w:line="560" w:lineRule="exact"/>
        <w:ind w:firstLine="640" w:firstLineChars="200"/>
        <w:rPr>
          <w:rFonts w:ascii="仿宋" w:hAnsi="仿宋" w:eastAsia="仿宋" w:cs="仿宋_GB2312"/>
          <w:sz w:val="32"/>
          <w:szCs w:val="32"/>
        </w:rPr>
      </w:pPr>
      <w:r>
        <w:rPr>
          <w:rFonts w:ascii="仿宋" w:hAnsi="仿宋" w:eastAsia="仿宋" w:cs="仿宋_GB2312"/>
          <w:sz w:val="32"/>
          <w:szCs w:val="32"/>
        </w:rPr>
        <w:t>8</w:t>
      </w:r>
      <w:r>
        <w:rPr>
          <w:rFonts w:hint="eastAsia" w:ascii="仿宋" w:hAnsi="仿宋" w:eastAsia="仿宋" w:cs="仿宋_GB2312"/>
          <w:sz w:val="32"/>
          <w:szCs w:val="32"/>
        </w:rPr>
        <w:t>.年末结转和结余：指单位按有关规定结转到下年或以后年度继续使用的资金。</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9.社会保障和就业支出（类）行政事业单位养老支出（款）事业单位离退休（项）：指事业单位开支的离退休经费。</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10.社会保障和就业支出（类）行政事业单位养老支出（款）机关事业单位基本养老保险缴费支出（项）：指机关事业单位实施养老保险制度由单位缴纳的基本养老保险费支出。</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11</w:t>
      </w:r>
      <w:r>
        <w:rPr>
          <w:rFonts w:ascii="仿宋" w:hAnsi="仿宋" w:eastAsia="仿宋" w:cs="仿宋_GB2312"/>
          <w:sz w:val="32"/>
          <w:szCs w:val="32"/>
        </w:rPr>
        <w:t>.</w:t>
      </w:r>
      <w:r>
        <w:rPr>
          <w:rFonts w:hint="eastAsia" w:ascii="仿宋" w:hAnsi="仿宋" w:eastAsia="仿宋" w:cs="仿宋_GB2312"/>
          <w:sz w:val="32"/>
          <w:szCs w:val="32"/>
        </w:rPr>
        <w:t>卫生健康支出（类）行政事业单位医疗（款）事业单位医疗（项）:指财政部门安排的事业单位基本医疗保险缴费经费，未参加医疗保险的事业单位的公费医疗经费，按国家规定享受离休人员待遇的医疗经费。</w:t>
      </w:r>
    </w:p>
    <w:p>
      <w:pPr>
        <w:ind w:firstLine="800" w:firstLineChars="250"/>
        <w:rPr>
          <w:rFonts w:ascii="仿宋" w:hAnsi="仿宋" w:eastAsia="仿宋" w:cs="仿宋_GB2312"/>
          <w:sz w:val="32"/>
          <w:szCs w:val="32"/>
        </w:rPr>
      </w:pPr>
      <w:r>
        <w:rPr>
          <w:rFonts w:hint="eastAsia" w:ascii="仿宋" w:hAnsi="仿宋" w:eastAsia="仿宋" w:cs="仿宋_GB2312"/>
          <w:sz w:val="32"/>
          <w:szCs w:val="32"/>
        </w:rPr>
        <w:t>12.卫生健康支出（类）行政事业单位医疗（款）其他行政事业单位医疗支出（项）:指其他用于行政事业单位医疗方面的支出。</w:t>
      </w:r>
    </w:p>
    <w:p>
      <w:pPr>
        <w:pStyle w:val="7"/>
        <w:spacing w:before="93"/>
        <w:ind w:firstLine="640" w:firstLineChars="200"/>
        <w:rPr>
          <w:rFonts w:ascii="仿宋" w:hAnsi="仿宋" w:eastAsia="仿宋" w:cs="仿宋_GB2312"/>
          <w:sz w:val="32"/>
          <w:szCs w:val="32"/>
        </w:rPr>
      </w:pPr>
      <w:r>
        <w:rPr>
          <w:rFonts w:hint="eastAsia" w:ascii="仿宋" w:hAnsi="仿宋" w:eastAsia="仿宋" w:cs="仿宋_GB2312"/>
          <w:sz w:val="32"/>
          <w:szCs w:val="32"/>
        </w:rPr>
        <w:t>13.交通运输（类）公路水路运输（款）公路养护（项）：指公路养护支出。</w:t>
      </w:r>
    </w:p>
    <w:p>
      <w:pPr>
        <w:pStyle w:val="7"/>
        <w:spacing w:before="93"/>
        <w:ind w:firstLine="640" w:firstLineChars="200"/>
        <w:rPr>
          <w:rFonts w:ascii="仿宋" w:hAnsi="仿宋" w:eastAsia="仿宋" w:cs="仿宋_GB2312"/>
          <w:sz w:val="32"/>
          <w:szCs w:val="32"/>
        </w:rPr>
      </w:pPr>
      <w:r>
        <w:rPr>
          <w:rFonts w:hint="eastAsia" w:ascii="仿宋" w:hAnsi="仿宋" w:eastAsia="仿宋" w:cs="仿宋_GB2312"/>
          <w:sz w:val="32"/>
          <w:szCs w:val="32"/>
        </w:rPr>
        <w:t>14.交通运输（类）公路水路运输支出（款）公路和运输安全（项）：指公路和运输安全支出。</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15</w:t>
      </w:r>
      <w:r>
        <w:rPr>
          <w:rFonts w:ascii="仿宋" w:hAnsi="仿宋" w:eastAsia="仿宋" w:cs="仿宋_GB2312"/>
          <w:sz w:val="32"/>
          <w:szCs w:val="32"/>
        </w:rPr>
        <w:t>.</w:t>
      </w:r>
      <w:r>
        <w:rPr>
          <w:rFonts w:hint="eastAsia" w:ascii="仿宋" w:hAnsi="仿宋" w:eastAsia="仿宋" w:cs="仿宋_GB2312"/>
          <w:sz w:val="32"/>
          <w:szCs w:val="32"/>
        </w:rPr>
        <w:t>住房保障支出（类）住房改革支出（款）-住房公积金（项）:指行政事业单位按人力资源和社会保障部、财政部规定的基本工资和津贴补贴以及规定比例为职工缴纳的住房公积金。</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16</w:t>
      </w:r>
      <w:r>
        <w:rPr>
          <w:rFonts w:ascii="仿宋" w:hAnsi="仿宋" w:eastAsia="仿宋" w:cs="仿宋_GB2312"/>
          <w:sz w:val="32"/>
          <w:szCs w:val="32"/>
        </w:rPr>
        <w:t>.</w:t>
      </w:r>
      <w:r>
        <w:rPr>
          <w:rFonts w:hint="eastAsia" w:ascii="仿宋" w:hAnsi="仿宋" w:eastAsia="仿宋" w:cs="仿宋_GB2312"/>
          <w:sz w:val="32"/>
          <w:szCs w:val="32"/>
        </w:rPr>
        <w:t>基本支出：指为保障机构正常运转、完成日常工作任务而发生的人员支出和公用支出。</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17.项目支出：指在基本支出之外为完成特定行政任务和事业发展目标所发生的支出。</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18</w:t>
      </w:r>
      <w:r>
        <w:rPr>
          <w:rFonts w:ascii="仿宋" w:hAnsi="仿宋" w:eastAsia="仿宋" w:cs="仿宋_GB2312"/>
          <w:sz w:val="32"/>
          <w:szCs w:val="32"/>
        </w:rPr>
        <w:t>.</w:t>
      </w:r>
      <w:r>
        <w:rPr>
          <w:rFonts w:hint="eastAsia" w:ascii="仿宋" w:hAnsi="仿宋" w:eastAsia="仿宋" w:cs="仿宋_GB2312"/>
          <w:sz w:val="32"/>
          <w:szCs w:val="32"/>
        </w:rPr>
        <w:t>经营支出：指事业单位在专业业务活动及其辅助活动之外开展非独立核算经营活动发生的支出。</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19</w:t>
      </w:r>
      <w:r>
        <w:rPr>
          <w:rFonts w:ascii="仿宋" w:hAnsi="仿宋" w:eastAsia="仿宋" w:cs="仿宋_GB2312"/>
          <w:sz w:val="32"/>
          <w:szCs w:val="32"/>
        </w:rPr>
        <w:t>.</w:t>
      </w:r>
      <w:r>
        <w:rPr>
          <w:rFonts w:hint="eastAsia" w:ascii="仿宋" w:hAnsi="仿宋" w:eastAsia="仿宋" w:cs="仿宋_GB2312"/>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按规定保留的公务用车燃料费、维修费、过桥过路费、保险费、安全奖励费用等支出；公务接待费反映单位按规定开支的各类公务接待（含外宾接待）支出。</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20</w:t>
      </w:r>
      <w:r>
        <w:rPr>
          <w:rFonts w:ascii="仿宋" w:hAnsi="仿宋" w:eastAsia="仿宋" w:cs="仿宋_GB2312"/>
          <w:sz w:val="32"/>
          <w:szCs w:val="32"/>
        </w:rPr>
        <w:t>.</w:t>
      </w:r>
      <w:r>
        <w:rPr>
          <w:rFonts w:hint="eastAsia" w:ascii="仿宋" w:hAnsi="仿宋" w:eastAsia="仿宋" w:cs="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560" w:lineRule="exact"/>
        <w:rPr>
          <w:rFonts w:hAnsi="仿宋"/>
          <w:sz w:val="32"/>
          <w:szCs w:val="32"/>
        </w:rPr>
      </w:pPr>
    </w:p>
    <w:p>
      <w:pPr>
        <w:pStyle w:val="29"/>
        <w:spacing w:line="560" w:lineRule="exact"/>
        <w:ind w:firstLine="640" w:firstLineChars="200"/>
        <w:rPr>
          <w:rFonts w:ascii="仿宋_GB2312" w:eastAsia="仿宋_GB2312" w:cs="黑体"/>
          <w:color w:val="auto"/>
          <w:sz w:val="32"/>
          <w:szCs w:val="32"/>
        </w:rPr>
      </w:pPr>
    </w:p>
    <w:p>
      <w:pPr>
        <w:spacing w:line="600" w:lineRule="exact"/>
        <w:jc w:val="center"/>
        <w:outlineLvl w:val="0"/>
        <w:rPr>
          <w:rStyle w:val="31"/>
          <w:rFonts w:ascii="黑体" w:hAnsi="黑体" w:eastAsia="黑体"/>
        </w:rPr>
      </w:pPr>
      <w:r>
        <w:rPr>
          <w:rFonts w:hint="eastAsia" w:ascii="黑体" w:hAnsi="黑体" w:eastAsia="黑体"/>
          <w:sz w:val="44"/>
          <w:szCs w:val="44"/>
        </w:rPr>
        <w:t>第</w:t>
      </w:r>
      <w:r>
        <w:rPr>
          <w:rStyle w:val="31"/>
          <w:rFonts w:hint="eastAsia" w:ascii="黑体" w:hAnsi="黑体" w:eastAsia="黑体"/>
        </w:rPr>
        <w:t>四部分 附件</w:t>
      </w:r>
    </w:p>
    <w:p>
      <w:pPr>
        <w:pStyle w:val="2"/>
        <w:rPr>
          <w:rFonts w:ascii="黑体" w:hAnsi="黑体"/>
          <w:sz w:val="32"/>
          <w:szCs w:val="32"/>
        </w:rPr>
      </w:pPr>
      <w:r>
        <w:rPr>
          <w:rFonts w:hint="eastAsia" w:ascii="黑体" w:hAnsi="黑体"/>
          <w:sz w:val="32"/>
          <w:szCs w:val="32"/>
        </w:rPr>
        <w:t>附件1</w:t>
      </w:r>
    </w:p>
    <w:p>
      <w:pPr>
        <w:pStyle w:val="10"/>
        <w:spacing w:line="600" w:lineRule="exact"/>
        <w:jc w:val="center"/>
        <w:rPr>
          <w:rFonts w:ascii="黑体" w:hAnsi="黑体" w:eastAsia="黑体"/>
          <w:sz w:val="36"/>
          <w:szCs w:val="36"/>
          <w:shd w:val="pct10" w:color="auto" w:fill="FFFFFF"/>
        </w:rPr>
      </w:pPr>
      <w:r>
        <w:rPr>
          <w:rFonts w:ascii="黑体" w:hAnsi="黑体" w:eastAsia="黑体"/>
          <w:sz w:val="36"/>
          <w:szCs w:val="36"/>
        </w:rPr>
        <w:t>部门预算绩效</w:t>
      </w:r>
      <w:r>
        <w:rPr>
          <w:rFonts w:hint="eastAsia" w:ascii="黑体" w:hAnsi="黑体" w:eastAsia="黑体"/>
          <w:sz w:val="36"/>
          <w:szCs w:val="36"/>
        </w:rPr>
        <w:t>评价</w:t>
      </w:r>
      <w:r>
        <w:rPr>
          <w:rFonts w:ascii="黑体" w:hAnsi="黑体" w:eastAsia="黑体"/>
          <w:sz w:val="36"/>
          <w:szCs w:val="36"/>
        </w:rPr>
        <w:t>报告</w:t>
      </w:r>
    </w:p>
    <w:p>
      <w:pPr>
        <w:pStyle w:val="10"/>
        <w:spacing w:line="600" w:lineRule="exact"/>
        <w:ind w:firstLine="640" w:firstLineChars="200"/>
        <w:jc w:val="left"/>
        <w:rPr>
          <w:rFonts w:ascii="黑体" w:hAnsi="黑体" w:eastAsia="黑体"/>
          <w:sz w:val="32"/>
          <w:szCs w:val="32"/>
        </w:rPr>
      </w:pPr>
    </w:p>
    <w:p>
      <w:pPr>
        <w:widowControl/>
        <w:numPr>
          <w:ilvl w:val="0"/>
          <w:numId w:val="1"/>
        </w:numPr>
        <w:adjustRightInd w:val="0"/>
        <w:snapToGrid w:val="0"/>
        <w:spacing w:line="360" w:lineRule="auto"/>
        <w:ind w:firstLine="640" w:firstLineChars="200"/>
        <w:contextualSpacing/>
        <w:jc w:val="left"/>
        <w:rPr>
          <w:rFonts w:eastAsia="黑体"/>
          <w:sz w:val="32"/>
          <w:szCs w:val="32"/>
        </w:rPr>
      </w:pPr>
      <w:r>
        <w:rPr>
          <w:rFonts w:eastAsia="黑体"/>
          <w:sz w:val="32"/>
          <w:szCs w:val="32"/>
        </w:rPr>
        <w:t>部门概况</w:t>
      </w:r>
    </w:p>
    <w:p>
      <w:pPr>
        <w:ind w:firstLine="643" w:firstLineChars="200"/>
        <w:rPr>
          <w:rFonts w:hint="eastAsia" w:asciiTheme="minorEastAsia" w:hAnsiTheme="minorEastAsia" w:eastAsiaTheme="minorEastAsia"/>
          <w:b/>
          <w:color w:val="000000"/>
          <w:sz w:val="32"/>
          <w:szCs w:val="32"/>
          <w:lang w:eastAsia="zh-CN"/>
        </w:rPr>
      </w:pPr>
      <w:r>
        <w:rPr>
          <w:rFonts w:hint="eastAsia" w:asciiTheme="minorEastAsia" w:hAnsiTheme="minorEastAsia" w:eastAsiaTheme="minorEastAsia"/>
          <w:b/>
          <w:color w:val="000000"/>
          <w:sz w:val="32"/>
          <w:szCs w:val="32"/>
        </w:rPr>
        <w:t>（</w:t>
      </w:r>
      <w:r>
        <w:rPr>
          <w:rFonts w:asciiTheme="minorEastAsia" w:hAnsiTheme="minorEastAsia" w:eastAsiaTheme="minorEastAsia"/>
          <w:b/>
          <w:color w:val="000000"/>
          <w:sz w:val="32"/>
          <w:szCs w:val="32"/>
        </w:rPr>
        <w:t>一）机构组成</w:t>
      </w:r>
      <w:r>
        <w:rPr>
          <w:rFonts w:hint="eastAsia" w:asciiTheme="minorEastAsia" w:hAnsiTheme="minorEastAsia" w:eastAsiaTheme="minorEastAsia"/>
          <w:b/>
          <w:color w:val="000000"/>
          <w:sz w:val="32"/>
          <w:szCs w:val="32"/>
          <w:lang w:eastAsia="zh-CN"/>
        </w:rPr>
        <w:t>。</w:t>
      </w:r>
    </w:p>
    <w:p>
      <w:pPr>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盐边县养路队是一个独立编制、独立核算的财政全额拨款事业单位，主管部门为盐边县交通运输局。队内设有养护科、机械科、办公室、财务室，队长1名、副队长2名。</w:t>
      </w:r>
    </w:p>
    <w:p>
      <w:pPr>
        <w:ind w:firstLine="643" w:firstLineChars="200"/>
        <w:rPr>
          <w:rFonts w:hint="eastAsia" w:asciiTheme="minorEastAsia" w:hAnsiTheme="minorEastAsia" w:eastAsiaTheme="minorEastAsia"/>
          <w:b/>
          <w:color w:val="000000"/>
          <w:sz w:val="32"/>
          <w:szCs w:val="32"/>
          <w:lang w:eastAsia="zh-CN"/>
        </w:rPr>
      </w:pPr>
      <w:r>
        <w:rPr>
          <w:rFonts w:asciiTheme="minorEastAsia" w:hAnsiTheme="minorEastAsia" w:eastAsiaTheme="minorEastAsia"/>
          <w:b/>
          <w:color w:val="000000"/>
          <w:sz w:val="32"/>
          <w:szCs w:val="32"/>
        </w:rPr>
        <w:t>（二）机构职能</w:t>
      </w:r>
      <w:r>
        <w:rPr>
          <w:rFonts w:hint="eastAsia" w:asciiTheme="minorEastAsia" w:hAnsiTheme="minorEastAsia" w:eastAsiaTheme="minorEastAsia"/>
          <w:b/>
          <w:color w:val="000000"/>
          <w:sz w:val="32"/>
          <w:szCs w:val="32"/>
          <w:lang w:eastAsia="zh-CN"/>
        </w:rPr>
        <w:t>。</w:t>
      </w:r>
    </w:p>
    <w:p>
      <w:pPr>
        <w:spacing w:line="360" w:lineRule="auto"/>
        <w:ind w:firstLine="640" w:firstLineChars="200"/>
        <w:rPr>
          <w:rFonts w:ascii="仿宋" w:hAnsi="仿宋" w:eastAsia="仿宋"/>
          <w:bCs/>
          <w:color w:val="000000"/>
          <w:sz w:val="32"/>
          <w:szCs w:val="32"/>
        </w:rPr>
      </w:pPr>
      <w:r>
        <w:rPr>
          <w:rFonts w:hint="eastAsia" w:ascii="仿宋" w:hAnsi="仿宋" w:eastAsia="仿宋" w:cs="仿宋_GB2312"/>
          <w:sz w:val="32"/>
          <w:szCs w:val="32"/>
        </w:rPr>
        <w:t>盐边县养路队主要职能是承担全县辖区内省县道公路桥梁的日常养护管理工作，拟定公路养护建议计划并按批准的计划组织实施管理，具体负责辖区内省县道公路桥梁及附属设施的日常管护、组织受灾毁损道路桥梁的恢复、维护道路路产路权，为辖区内道路良好运行提供有力保障。</w:t>
      </w:r>
    </w:p>
    <w:p>
      <w:pPr>
        <w:ind w:firstLine="643" w:firstLineChars="200"/>
        <w:rPr>
          <w:rFonts w:hint="eastAsia" w:asciiTheme="minorEastAsia" w:hAnsiTheme="minorEastAsia" w:eastAsiaTheme="minorEastAsia"/>
          <w:b/>
          <w:color w:val="000000"/>
          <w:sz w:val="32"/>
          <w:szCs w:val="32"/>
          <w:lang w:eastAsia="zh-CN"/>
        </w:rPr>
      </w:pPr>
      <w:r>
        <w:rPr>
          <w:rFonts w:asciiTheme="minorEastAsia" w:hAnsiTheme="minorEastAsia" w:eastAsiaTheme="minorEastAsia"/>
          <w:b/>
          <w:color w:val="000000"/>
          <w:sz w:val="32"/>
          <w:szCs w:val="32"/>
        </w:rPr>
        <w:t>（三）人员概况</w:t>
      </w:r>
      <w:r>
        <w:rPr>
          <w:rFonts w:hint="eastAsia" w:asciiTheme="minorEastAsia" w:hAnsiTheme="minorEastAsia" w:eastAsiaTheme="minorEastAsia"/>
          <w:b/>
          <w:color w:val="000000"/>
          <w:sz w:val="32"/>
          <w:szCs w:val="32"/>
          <w:lang w:eastAsia="zh-CN"/>
        </w:rPr>
        <w:t>。</w:t>
      </w:r>
    </w:p>
    <w:p>
      <w:pPr>
        <w:spacing w:line="360" w:lineRule="auto"/>
        <w:ind w:firstLine="640" w:firstLineChars="200"/>
        <w:rPr>
          <w:rFonts w:hint="eastAsia" w:ascii="仿宋" w:hAnsi="仿宋" w:eastAsia="仿宋" w:cs="仿宋_GB2312"/>
          <w:sz w:val="32"/>
          <w:szCs w:val="32"/>
        </w:rPr>
      </w:pPr>
      <w:r>
        <w:rPr>
          <w:rFonts w:hint="eastAsia" w:ascii="仿宋" w:hAnsi="仿宋" w:eastAsia="仿宋" w:cs="仿宋_GB2312"/>
          <w:sz w:val="32"/>
          <w:szCs w:val="32"/>
        </w:rPr>
        <w:t>机构核编12人，年末实有在职人员11人、退休人员30人。</w:t>
      </w:r>
    </w:p>
    <w:p>
      <w:pPr>
        <w:widowControl/>
        <w:adjustRightInd w:val="0"/>
        <w:snapToGrid w:val="0"/>
        <w:spacing w:line="360" w:lineRule="auto"/>
        <w:ind w:firstLine="640" w:firstLineChars="200"/>
        <w:contextualSpacing/>
        <w:jc w:val="left"/>
        <w:rPr>
          <w:rFonts w:ascii="Times New Roman" w:hAnsi="Times New Roman" w:eastAsia="黑体" w:cs="Times New Roman"/>
          <w:kern w:val="2"/>
          <w:sz w:val="32"/>
          <w:szCs w:val="32"/>
          <w:lang w:val="en-US" w:eastAsia="zh-CN" w:bidi="ar-SA"/>
        </w:rPr>
      </w:pPr>
      <w:r>
        <w:rPr>
          <w:rFonts w:ascii="Times New Roman" w:hAnsi="Times New Roman" w:eastAsia="黑体"/>
          <w:sz w:val="32"/>
          <w:szCs w:val="32"/>
        </w:rPr>
        <w:t>二、</w:t>
      </w:r>
      <w:r>
        <w:rPr>
          <w:rFonts w:ascii="Times New Roman" w:hAnsi="Times New Roman" w:eastAsia="黑体" w:cs="Times New Roman"/>
          <w:kern w:val="2"/>
          <w:sz w:val="32"/>
          <w:szCs w:val="32"/>
          <w:lang w:val="en-US" w:eastAsia="zh-CN" w:bidi="ar-SA"/>
        </w:rPr>
        <w:t>部门资金</w:t>
      </w:r>
      <w:r>
        <w:rPr>
          <w:rFonts w:hint="eastAsia" w:ascii="Times New Roman" w:hAnsi="Times New Roman" w:eastAsia="黑体" w:cs="Times New Roman"/>
          <w:kern w:val="2"/>
          <w:sz w:val="32"/>
          <w:szCs w:val="32"/>
          <w:lang w:val="en-US" w:eastAsia="zh-CN" w:bidi="ar-SA"/>
        </w:rPr>
        <w:t>收支</w:t>
      </w:r>
      <w:r>
        <w:rPr>
          <w:rFonts w:ascii="Times New Roman" w:hAnsi="Times New Roman" w:eastAsia="黑体" w:cs="Times New Roman"/>
          <w:kern w:val="2"/>
          <w:sz w:val="32"/>
          <w:szCs w:val="32"/>
          <w:lang w:val="en-US" w:eastAsia="zh-CN" w:bidi="ar-SA"/>
        </w:rPr>
        <w:t>情况</w:t>
      </w:r>
    </w:p>
    <w:p>
      <w:pPr>
        <w:ind w:firstLine="643" w:firstLineChars="200"/>
        <w:rPr>
          <w:rFonts w:hint="eastAsia" w:asciiTheme="minorEastAsia" w:hAnsiTheme="minorEastAsia" w:eastAsiaTheme="minorEastAsia"/>
          <w:b/>
          <w:color w:val="000000"/>
          <w:sz w:val="32"/>
          <w:szCs w:val="32"/>
          <w:lang w:eastAsia="zh-CN"/>
        </w:rPr>
      </w:pPr>
      <w:r>
        <w:rPr>
          <w:rFonts w:asciiTheme="minorEastAsia" w:hAnsiTheme="minorEastAsia" w:eastAsiaTheme="minorEastAsia"/>
          <w:b/>
          <w:color w:val="000000"/>
          <w:sz w:val="32"/>
          <w:szCs w:val="32"/>
        </w:rPr>
        <w:t>（一）收入情况</w:t>
      </w:r>
      <w:r>
        <w:rPr>
          <w:rFonts w:hint="eastAsia" w:asciiTheme="minorEastAsia" w:hAnsiTheme="minorEastAsia" w:eastAsiaTheme="minorEastAsia"/>
          <w:b/>
          <w:color w:val="000000"/>
          <w:sz w:val="32"/>
          <w:szCs w:val="32"/>
          <w:lang w:eastAsia="zh-CN"/>
        </w:rPr>
        <w:t>。</w:t>
      </w:r>
    </w:p>
    <w:p>
      <w:pPr>
        <w:spacing w:line="360" w:lineRule="auto"/>
        <w:ind w:firstLine="640" w:firstLineChars="200"/>
        <w:rPr>
          <w:rFonts w:hint="eastAsia" w:ascii="仿宋" w:hAnsi="仿宋" w:eastAsia="仿宋" w:cs="仿宋_GB2312"/>
          <w:sz w:val="32"/>
          <w:szCs w:val="32"/>
        </w:rPr>
      </w:pPr>
      <w:r>
        <w:rPr>
          <w:rFonts w:hint="eastAsia" w:ascii="仿宋" w:hAnsi="仿宋" w:eastAsia="仿宋" w:cs="仿宋_GB2312"/>
          <w:sz w:val="32"/>
          <w:szCs w:val="32"/>
        </w:rPr>
        <w:t>盐边县养路队2023年一般公共预算财政拨款收入年初预算数296.56万元，其中：基本支出预算数296.56万元，占100%、项目支出预算数0万元，占0%。基本支出中：人员经费278.41万元、公用经费18.15万元。年末决算报表一般公共预算财政拨款收入921.43万元，其中：基本支出341.66万元（人员经费323.95万元、公用经费17.71万元），占37.08%；项目支出579.77万元，占62.92%。</w:t>
      </w:r>
    </w:p>
    <w:p>
      <w:pPr>
        <w:ind w:firstLine="643" w:firstLineChars="200"/>
        <w:rPr>
          <w:rFonts w:hint="eastAsia" w:asciiTheme="minorEastAsia" w:hAnsiTheme="minorEastAsia" w:eastAsiaTheme="minorEastAsia"/>
          <w:b/>
          <w:color w:val="000000"/>
          <w:sz w:val="32"/>
          <w:szCs w:val="32"/>
          <w:lang w:eastAsia="zh-CN"/>
        </w:rPr>
      </w:pPr>
      <w:r>
        <w:rPr>
          <w:rFonts w:asciiTheme="minorEastAsia" w:hAnsiTheme="minorEastAsia" w:eastAsiaTheme="minorEastAsia"/>
          <w:b/>
          <w:color w:val="000000"/>
          <w:sz w:val="32"/>
          <w:szCs w:val="32"/>
        </w:rPr>
        <w:t>（二）支出情况</w:t>
      </w:r>
      <w:r>
        <w:rPr>
          <w:rFonts w:hint="eastAsia" w:asciiTheme="minorEastAsia" w:hAnsiTheme="minorEastAsia" w:eastAsiaTheme="minorEastAsia"/>
          <w:b/>
          <w:color w:val="000000"/>
          <w:sz w:val="32"/>
          <w:szCs w:val="32"/>
          <w:lang w:eastAsia="zh-CN"/>
        </w:rPr>
        <w:t>。</w:t>
      </w:r>
    </w:p>
    <w:p>
      <w:pPr>
        <w:widowControl/>
        <w:adjustRightInd w:val="0"/>
        <w:snapToGrid w:val="0"/>
        <w:spacing w:line="360" w:lineRule="auto"/>
        <w:ind w:firstLine="640" w:firstLineChars="200"/>
        <w:contextualSpacing/>
        <w:jc w:val="left"/>
        <w:rPr>
          <w:rFonts w:hint="eastAsia" w:ascii="仿宋" w:hAnsi="仿宋" w:eastAsia="仿宋" w:cs="仿宋_GB2312"/>
          <w:sz w:val="32"/>
          <w:szCs w:val="32"/>
        </w:rPr>
      </w:pPr>
      <w:r>
        <w:rPr>
          <w:rFonts w:hint="eastAsia" w:ascii="仿宋" w:hAnsi="仿宋" w:eastAsia="仿宋" w:cs="仿宋_GB2312"/>
          <w:sz w:val="32"/>
          <w:szCs w:val="32"/>
        </w:rPr>
        <w:t>盐边县养路队2023年一般公共预算财政拨款资支出年初预算数296.56万元，其中：基本支出预算数296.56万元，占100%、项目支出预算数0万元，占0%。基本支出中：人员经费278.41万元、公用经费18.15万元。年末决算报表一般公共预算财政拨款支出921.43万元，其中：基本支出341.66万元（人员经费323.95万元、公用经费17.71万元），占37.08%；项目支出579.77万元，占62.92%。</w:t>
      </w:r>
    </w:p>
    <w:p>
      <w:pPr>
        <w:ind w:firstLine="643" w:firstLineChars="200"/>
        <w:rPr>
          <w:rFonts w:hint="eastAsia" w:ascii="楷体_GB2312" w:eastAsiaTheme="minorEastAsia"/>
          <w:b/>
          <w:sz w:val="32"/>
          <w:szCs w:val="32"/>
          <w:lang w:eastAsia="zh-CN"/>
        </w:rPr>
      </w:pPr>
      <w:r>
        <w:rPr>
          <w:rFonts w:hint="eastAsia" w:ascii="楷体_GB2312" w:eastAsia="楷体_GB2312"/>
          <w:b/>
          <w:sz w:val="32"/>
          <w:szCs w:val="32"/>
        </w:rPr>
        <w:t>（三）</w:t>
      </w:r>
      <w:r>
        <w:rPr>
          <w:rFonts w:hint="eastAsia" w:asciiTheme="minorEastAsia" w:hAnsiTheme="minorEastAsia" w:eastAsiaTheme="minorEastAsia"/>
          <w:b/>
          <w:color w:val="000000"/>
          <w:sz w:val="32"/>
          <w:szCs w:val="32"/>
        </w:rPr>
        <w:t>结余分配和结转结余情况</w:t>
      </w:r>
      <w:r>
        <w:rPr>
          <w:rFonts w:hint="eastAsia" w:asciiTheme="minorEastAsia" w:hAnsiTheme="minorEastAsia" w:eastAsiaTheme="minorEastAsia"/>
          <w:b/>
          <w:color w:val="000000"/>
          <w:sz w:val="32"/>
          <w:szCs w:val="32"/>
          <w:lang w:eastAsia="zh-CN"/>
        </w:rPr>
        <w:t>。</w:t>
      </w:r>
    </w:p>
    <w:p>
      <w:pPr>
        <w:widowControl/>
        <w:adjustRightInd w:val="0"/>
        <w:snapToGrid w:val="0"/>
        <w:spacing w:line="360" w:lineRule="auto"/>
        <w:ind w:firstLine="640" w:firstLineChars="200"/>
        <w:contextualSpacing/>
        <w:jc w:val="left"/>
        <w:rPr>
          <w:rFonts w:hint="eastAsia" w:ascii="仿宋" w:hAnsi="仿宋" w:eastAsia="仿宋" w:cs="仿宋_GB2312"/>
          <w:sz w:val="32"/>
          <w:szCs w:val="32"/>
        </w:rPr>
      </w:pPr>
      <w:r>
        <w:rPr>
          <w:rFonts w:hint="eastAsia" w:ascii="仿宋" w:hAnsi="仿宋" w:eastAsia="仿宋" w:cs="仿宋_GB2312"/>
          <w:sz w:val="32"/>
          <w:szCs w:val="32"/>
        </w:rPr>
        <w:t>盐边县养路队2023年决算报表结转结余数为零。2023年，本单位的全部财政拨款收入支出已全部完成，年终无结转和结余资金。</w:t>
      </w:r>
    </w:p>
    <w:p>
      <w:pPr>
        <w:widowControl/>
        <w:adjustRightInd w:val="0"/>
        <w:snapToGrid w:val="0"/>
        <w:spacing w:line="360" w:lineRule="auto"/>
        <w:ind w:firstLine="640" w:firstLineChars="200"/>
        <w:contextualSpacing/>
        <w:jc w:val="left"/>
        <w:rPr>
          <w:rFonts w:ascii="Times New Roman" w:hAnsi="Times New Roman" w:eastAsia="黑体" w:cs="Times New Roman"/>
          <w:kern w:val="2"/>
          <w:sz w:val="32"/>
          <w:szCs w:val="32"/>
          <w:lang w:val="en-US" w:eastAsia="zh-CN" w:bidi="ar-SA"/>
        </w:rPr>
      </w:pPr>
      <w:r>
        <w:rPr>
          <w:rFonts w:eastAsia="黑体"/>
          <w:color w:val="000000"/>
          <w:sz w:val="32"/>
          <w:szCs w:val="32"/>
        </w:rPr>
        <w:t>三、</w:t>
      </w:r>
      <w:r>
        <w:rPr>
          <w:rFonts w:ascii="Times New Roman" w:hAnsi="Times New Roman" w:eastAsia="黑体" w:cs="Times New Roman"/>
          <w:kern w:val="2"/>
          <w:sz w:val="32"/>
          <w:szCs w:val="32"/>
          <w:lang w:val="en-US" w:eastAsia="zh-CN" w:bidi="ar-SA"/>
        </w:rPr>
        <w:t>部门预算绩效</w:t>
      </w:r>
      <w:r>
        <w:rPr>
          <w:rFonts w:hint="eastAsia" w:ascii="Times New Roman" w:hAnsi="Times New Roman" w:eastAsia="黑体" w:cs="Times New Roman"/>
          <w:kern w:val="2"/>
          <w:sz w:val="32"/>
          <w:szCs w:val="32"/>
          <w:lang w:val="en-US" w:eastAsia="zh-CN" w:bidi="ar-SA"/>
        </w:rPr>
        <w:t>分析</w:t>
      </w:r>
    </w:p>
    <w:p>
      <w:pPr>
        <w:widowControl/>
        <w:adjustRightInd w:val="0"/>
        <w:snapToGrid w:val="0"/>
        <w:spacing w:line="360" w:lineRule="auto"/>
        <w:ind w:firstLine="643" w:firstLineChars="200"/>
        <w:contextualSpacing/>
        <w:jc w:val="left"/>
        <w:rPr>
          <w:rFonts w:hint="eastAsia" w:asciiTheme="minorEastAsia" w:hAnsiTheme="minorEastAsia" w:eastAsiaTheme="minorEastAsia"/>
          <w:b/>
          <w:color w:val="000000"/>
          <w:sz w:val="32"/>
          <w:szCs w:val="32"/>
          <w:lang w:eastAsia="zh-CN"/>
        </w:rPr>
      </w:pPr>
      <w:r>
        <w:rPr>
          <w:rFonts w:asciiTheme="minorEastAsia" w:hAnsiTheme="minorEastAsia" w:eastAsiaTheme="minorEastAsia"/>
          <w:b/>
          <w:color w:val="000000"/>
          <w:sz w:val="32"/>
          <w:szCs w:val="32"/>
        </w:rPr>
        <w:t>（一）部门预算</w:t>
      </w:r>
      <w:r>
        <w:rPr>
          <w:rFonts w:hint="eastAsia" w:asciiTheme="minorEastAsia" w:hAnsiTheme="minorEastAsia" w:eastAsiaTheme="minorEastAsia"/>
          <w:b/>
          <w:color w:val="000000"/>
          <w:sz w:val="32"/>
          <w:szCs w:val="32"/>
        </w:rPr>
        <w:t>总体</w:t>
      </w:r>
      <w:r>
        <w:rPr>
          <w:rFonts w:asciiTheme="minorEastAsia" w:hAnsiTheme="minorEastAsia" w:eastAsiaTheme="minorEastAsia"/>
          <w:b/>
          <w:color w:val="000000"/>
          <w:sz w:val="32"/>
          <w:szCs w:val="32"/>
        </w:rPr>
        <w:t>绩效</w:t>
      </w:r>
      <w:r>
        <w:rPr>
          <w:rFonts w:hint="eastAsia" w:asciiTheme="minorEastAsia" w:hAnsiTheme="minorEastAsia" w:eastAsiaTheme="minorEastAsia"/>
          <w:b/>
          <w:color w:val="000000"/>
          <w:sz w:val="32"/>
          <w:szCs w:val="32"/>
        </w:rPr>
        <w:t>分析</w:t>
      </w:r>
      <w:r>
        <w:rPr>
          <w:rFonts w:hint="eastAsia" w:asciiTheme="minorEastAsia" w:hAnsiTheme="minorEastAsia" w:eastAsiaTheme="minorEastAsia"/>
          <w:b/>
          <w:color w:val="000000"/>
          <w:sz w:val="32"/>
          <w:szCs w:val="32"/>
          <w:lang w:eastAsia="zh-CN"/>
        </w:rPr>
        <w:t>。</w:t>
      </w:r>
    </w:p>
    <w:p>
      <w:pPr>
        <w:widowControl/>
        <w:adjustRightInd w:val="0"/>
        <w:snapToGrid w:val="0"/>
        <w:spacing w:line="360" w:lineRule="auto"/>
        <w:ind w:firstLine="640" w:firstLineChars="200"/>
        <w:contextualSpacing/>
        <w:jc w:val="left"/>
        <w:rPr>
          <w:rFonts w:hint="eastAsia" w:ascii="仿宋" w:hAnsi="仿宋" w:eastAsia="仿宋" w:cs="仿宋_GB2312"/>
          <w:sz w:val="32"/>
          <w:szCs w:val="32"/>
        </w:rPr>
      </w:pPr>
      <w:r>
        <w:rPr>
          <w:rFonts w:hint="eastAsia" w:ascii="仿宋" w:hAnsi="仿宋" w:eastAsia="仿宋" w:cs="仿宋_GB2312"/>
          <w:sz w:val="32"/>
          <w:szCs w:val="32"/>
        </w:rPr>
        <w:t>2023年，养路队制定了整体支出绩效目标，即完成省道185.41公里、县道545.183公里、247座桥梁的日常养护及做好汛期公路防汛保通抢险工作。全年共投入一般公共预算财政拨款资金921.43万元，年末目标任务完成良好，全面履行了道路日常养护管理职责，全县道路路容路貌整洁、舒适、畅通，道路通行状况良好，公路养护整体支出绩效目标任务完成较好，在2023年1月上旬，攀枝花市交通运输局组织对全市三区两县的国省道暨农村公路养护管理考核中名列第一，2023年7月12日--28日攀枝花市交通运输局组织联合工作组对全市三区两县2023年上半年普通公路养护管理督查绩效考核中名列第一。</w:t>
      </w:r>
    </w:p>
    <w:p>
      <w:pPr>
        <w:widowControl/>
        <w:adjustRightInd w:val="0"/>
        <w:snapToGrid w:val="0"/>
        <w:spacing w:line="360" w:lineRule="auto"/>
        <w:ind w:firstLine="640" w:firstLineChars="200"/>
        <w:contextualSpacing/>
        <w:jc w:val="left"/>
        <w:rPr>
          <w:rFonts w:hint="eastAsia" w:ascii="仿宋" w:hAnsi="仿宋" w:eastAsia="仿宋" w:cs="仿宋_GB2312"/>
          <w:sz w:val="32"/>
          <w:szCs w:val="32"/>
        </w:rPr>
      </w:pPr>
      <w:r>
        <w:rPr>
          <w:rFonts w:hint="eastAsia" w:ascii="仿宋" w:hAnsi="仿宋" w:eastAsia="仿宋" w:cs="仿宋_GB2312"/>
          <w:sz w:val="32"/>
          <w:szCs w:val="32"/>
        </w:rPr>
        <w:t>（1）产出指标完成情况分析。产出指标完成情况从数量指标来看，一般公共预算财政拨款基本支出年度指标值921.43万元，实际完成指标值921.43万元，完成率100%；年度指标值管养省道185.41公里，实际完成值管养省道185.41公里，完成率100%；年度指标值管养县道545.183公里，实际完成值管养县道545.183公里，完成率100%；年度指标值管养桥梁247座，实际完成值管养桥梁247座，完成率100%。从质量指标看，2023年道路管养工作质量完成实际完成值达到年度指标值，完成率100%。时效指标为2023年1-12月，成本指标为财政拨款支出921.43万元，时效指标、成本指标实际完成值与指标值均一致，完成率均为100%。</w:t>
      </w:r>
    </w:p>
    <w:p>
      <w:pPr>
        <w:widowControl/>
        <w:adjustRightInd w:val="0"/>
        <w:snapToGrid w:val="0"/>
        <w:spacing w:line="360" w:lineRule="auto"/>
        <w:ind w:firstLine="640" w:firstLineChars="200"/>
        <w:contextualSpacing/>
        <w:jc w:val="left"/>
        <w:rPr>
          <w:rFonts w:hint="eastAsia" w:ascii="仿宋" w:hAnsi="仿宋" w:eastAsia="仿宋" w:cs="仿宋_GB2312"/>
          <w:sz w:val="32"/>
          <w:szCs w:val="32"/>
        </w:rPr>
      </w:pPr>
      <w:r>
        <w:rPr>
          <w:rFonts w:hint="eastAsia" w:ascii="仿宋" w:hAnsi="仿宋" w:eastAsia="仿宋" w:cs="仿宋_GB2312"/>
          <w:sz w:val="32"/>
          <w:szCs w:val="32"/>
        </w:rPr>
        <w:t>（2）效益指标完成情况分析。效益指标经济效益方面：一是促进地方经济发展，年度目标值做好道路养护管理工作，保障道路良好的运行环境，方便当地农产品和货物运输及旅游业发展，振兴地方经济，提高经济效益值30%；实际完成值道路养护管理工作做得好，便利的交通运行环境方便农产品和货物运输及旅游业发展，促进沿线经济发展，提高经济效益30%，完成率100%；二是管养好道路从节约成本看年度指标值节约建设投资，降低道路运行成本及延长道路使用年限，实际完成值做好道路管护可以延长道路使用年限，节约建设投资，降低道路运行成本延长道路使用年限5-8年，完成率100%。社会效益方面：一是道路管养工作的社会价值年度指标加强道路管养，提高道路通畅能力，方便民众出行及货物农产品运输，提高民众幸福生活指数通过加强道路管养，实际完成值通过加强道路管养，提高了道路通畅能力，方便民众出行及货物农产品运输，提高民众幸福生活指数，具有较高的社会价值。二是良好的道路交通是出入盐边的门户形象，年度指标值做好道路管护，提供良好的交通运行环境，提升盐边门户形象，实际完成值通过做好道路管护，提供了良好的交通运行环境，提升了出入盐边的门户形象，指标完成率100%。生态效益方面：保护环境，改善生态。年度指标值加强道路养护，保护环境，改善生态，实际完成指标值通过道路养护，公路绿化，边坡护理等措施对于保护环境，改善生态有效率100%。可持续影响方面：道路管养工作具有影响面广、受众面大、时效长的特点，年度指标值持续影响中长期，受众面广，实际完成100%。</w:t>
      </w:r>
    </w:p>
    <w:p>
      <w:pPr>
        <w:widowControl/>
        <w:adjustRightInd w:val="0"/>
        <w:snapToGrid w:val="0"/>
        <w:spacing w:line="360" w:lineRule="auto"/>
        <w:ind w:firstLine="640" w:firstLineChars="200"/>
        <w:contextualSpacing/>
        <w:jc w:val="left"/>
        <w:rPr>
          <w:rFonts w:hint="eastAsia" w:ascii="仿宋" w:hAnsi="仿宋" w:eastAsia="仿宋" w:cs="仿宋_GB2312"/>
          <w:sz w:val="32"/>
          <w:szCs w:val="32"/>
        </w:rPr>
      </w:pPr>
      <w:r>
        <w:rPr>
          <w:rFonts w:hint="eastAsia" w:ascii="仿宋" w:hAnsi="仿宋" w:eastAsia="仿宋" w:cs="仿宋_GB2312"/>
          <w:sz w:val="32"/>
          <w:szCs w:val="32"/>
        </w:rPr>
        <w:t>（3）满意度指标完成情况分析。道路管养工作完成满意度主要根据上级管理部门检查考核来评定，年初制定年度指标值上级检查评分不得低于80分，实际指标完成全市农村公路养护检查得分91分，完成率100%。</w:t>
      </w:r>
    </w:p>
    <w:p>
      <w:pPr>
        <w:adjustRightInd w:val="0"/>
        <w:snapToGrid w:val="0"/>
        <w:spacing w:line="578" w:lineRule="exact"/>
        <w:ind w:firstLine="640" w:firstLineChars="200"/>
        <w:jc w:val="left"/>
        <w:rPr>
          <w:rFonts w:hint="eastAsia" w:cs="楷体_GB2312" w:asciiTheme="minorEastAsia" w:hAnsiTheme="minorEastAsia" w:eastAsiaTheme="minorEastAsia"/>
          <w:color w:val="000000"/>
          <w:kern w:val="0"/>
          <w:sz w:val="32"/>
          <w:szCs w:val="32"/>
          <w:shd w:val="clear" w:color="auto" w:fill="FFFFFF"/>
          <w:lang w:val="zh-CN" w:eastAsia="zh-CN"/>
        </w:rPr>
      </w:pPr>
      <w:r>
        <w:rPr>
          <w:rFonts w:hint="eastAsia" w:cs="楷体_GB2312" w:asciiTheme="minorEastAsia" w:hAnsiTheme="minorEastAsia" w:eastAsiaTheme="minorEastAsia"/>
          <w:color w:val="000000"/>
          <w:kern w:val="0"/>
          <w:sz w:val="32"/>
          <w:szCs w:val="32"/>
          <w:shd w:val="clear" w:color="auto" w:fill="FFFFFF"/>
        </w:rPr>
        <w:t>1.</w:t>
      </w:r>
      <w:r>
        <w:rPr>
          <w:rFonts w:hint="eastAsia" w:cs="楷体_GB2312" w:asciiTheme="minorEastAsia" w:hAnsiTheme="minorEastAsia" w:eastAsiaTheme="minorEastAsia"/>
          <w:color w:val="000000"/>
          <w:kern w:val="0"/>
          <w:sz w:val="32"/>
          <w:szCs w:val="32"/>
          <w:shd w:val="clear" w:color="auto" w:fill="FFFFFF"/>
          <w:lang w:val="zh-CN"/>
        </w:rPr>
        <w:t>履职</w:t>
      </w:r>
      <w:r>
        <w:rPr>
          <w:rFonts w:hint="eastAsia" w:cs="楷体_GB2312" w:asciiTheme="minorEastAsia" w:hAnsiTheme="minorEastAsia" w:eastAsiaTheme="minorEastAsia"/>
          <w:color w:val="000000"/>
          <w:kern w:val="0"/>
          <w:sz w:val="32"/>
          <w:szCs w:val="32"/>
          <w:shd w:val="clear" w:color="auto" w:fill="FFFFFF"/>
        </w:rPr>
        <w:t>效能</w:t>
      </w:r>
      <w:r>
        <w:rPr>
          <w:rFonts w:hint="eastAsia" w:cs="楷体_GB2312" w:asciiTheme="minorEastAsia" w:hAnsiTheme="minorEastAsia" w:eastAsiaTheme="minorEastAsia"/>
          <w:color w:val="000000"/>
          <w:kern w:val="0"/>
          <w:sz w:val="32"/>
          <w:szCs w:val="32"/>
          <w:shd w:val="clear" w:color="auto" w:fill="FFFFFF"/>
          <w:lang w:eastAsia="zh-CN"/>
        </w:rPr>
        <w:t>。</w:t>
      </w:r>
    </w:p>
    <w:p>
      <w:pPr>
        <w:spacing w:line="360" w:lineRule="auto"/>
        <w:ind w:firstLine="640" w:firstLineChars="200"/>
        <w:rPr>
          <w:rFonts w:hint="eastAsia" w:ascii="仿宋" w:hAnsi="仿宋" w:eastAsia="仿宋"/>
          <w:bCs/>
          <w:color w:val="000000"/>
          <w:sz w:val="32"/>
          <w:szCs w:val="32"/>
          <w:lang w:val="zh-CN"/>
        </w:rPr>
      </w:pPr>
      <w:r>
        <w:rPr>
          <w:rFonts w:hint="eastAsia" w:ascii="仿宋" w:hAnsi="仿宋" w:eastAsia="仿宋"/>
          <w:bCs/>
          <w:color w:val="000000"/>
          <w:sz w:val="32"/>
          <w:szCs w:val="32"/>
        </w:rPr>
        <w:t>养路队的职责职能是负责辖区内省县道公路桥梁及附属设施的日常管护、组织受灾毁损道路桥梁的恢复、维护道路路产路权，为辖区内道路良好运行提供有力保障。</w:t>
      </w:r>
    </w:p>
    <w:p>
      <w:pPr>
        <w:spacing w:line="360" w:lineRule="auto"/>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2023年，本单位在财政下达项目计划时就制定了相应的项目绩效目标任务，即完成1、省道185.41公里、县道545.183公里及247座桥梁日常养护管理工作，目前，目标绩效任务已全面完成，公路养护工作成效显著，得到上级部门及社会群众的广泛好评。绩效自评得分10分（满分10分）。</w:t>
      </w:r>
    </w:p>
    <w:p>
      <w:pPr>
        <w:adjustRightInd w:val="0"/>
        <w:snapToGrid w:val="0"/>
        <w:spacing w:line="578" w:lineRule="exact"/>
        <w:ind w:firstLine="640" w:firstLineChars="200"/>
        <w:jc w:val="left"/>
        <w:rPr>
          <w:rFonts w:eastAsia="仿宋_GB2312"/>
          <w:sz w:val="32"/>
          <w:szCs w:val="32"/>
          <w:lang w:val="zh-CN"/>
        </w:rPr>
      </w:pPr>
      <w:r>
        <w:rPr>
          <w:rFonts w:hint="eastAsia" w:cs="楷体_GB2312" w:asciiTheme="minorEastAsia" w:hAnsiTheme="minorEastAsia" w:eastAsiaTheme="minorEastAsia"/>
          <w:color w:val="000000"/>
          <w:kern w:val="0"/>
          <w:sz w:val="32"/>
          <w:szCs w:val="32"/>
          <w:shd w:val="clear" w:color="auto" w:fill="FFFFFF"/>
        </w:rPr>
        <w:t>2.</w:t>
      </w:r>
      <w:r>
        <w:rPr>
          <w:rFonts w:hint="eastAsia" w:cs="楷体_GB2312" w:asciiTheme="minorEastAsia" w:hAnsiTheme="minorEastAsia" w:eastAsiaTheme="minorEastAsia"/>
          <w:color w:val="000000"/>
          <w:kern w:val="0"/>
          <w:sz w:val="32"/>
          <w:szCs w:val="32"/>
          <w:shd w:val="clear" w:color="auto" w:fill="FFFFFF"/>
          <w:lang w:val="zh-CN"/>
        </w:rPr>
        <w:t>预算管理。</w:t>
      </w:r>
    </w:p>
    <w:p>
      <w:pPr>
        <w:spacing w:line="360" w:lineRule="auto"/>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养路队的预算编制程序、政策依据都严格按照县级财政部门的要求执行，财政拨款基本支出的人员经费按实际支出安排，公用经费按定额标准安排进行编制。预算编制基础数据准确完整，预算编制工作公开、透明，实行预算绩效管理制度，预算编制时即制定预算整体绩效目标，预算批复后，加强预算支出管理，严肃财经纪律，强化预算执行监督，所有支出必须严格按预算执行，严格按照批准的年度预算、实际执行进度和用款申请及时合理地支付资金。同时，做好预算执行分析工作，及时解决预算执行中的问题，确保预算顺利执行。预算在执行中原则上不予调整，因特殊情况需要调整预算的，按照规定程序报送审批。会计年度终了，由财务科组织编制决算报表并进行决算分析与评价工作，按财政要求逐步建立“预算编制有目标、预算执行有监控、预算完成有评价、评价结果有反馈、反馈结果有应用”的全过程预算管理绩效机制。</w:t>
      </w:r>
    </w:p>
    <w:p>
      <w:pPr>
        <w:adjustRightInd w:val="0"/>
        <w:snapToGrid w:val="0"/>
        <w:spacing w:line="578" w:lineRule="exact"/>
        <w:ind w:firstLine="640" w:firstLineChars="200"/>
        <w:jc w:val="left"/>
        <w:rPr>
          <w:rFonts w:ascii="仿宋" w:hAnsi="仿宋" w:eastAsia="仿宋"/>
          <w:sz w:val="32"/>
          <w:szCs w:val="32"/>
          <w:lang w:val="zh-CN"/>
        </w:rPr>
      </w:pPr>
      <w:r>
        <w:rPr>
          <w:rFonts w:hint="eastAsia" w:cs="楷体_GB2312" w:asciiTheme="minorEastAsia" w:hAnsiTheme="minorEastAsia" w:eastAsiaTheme="minorEastAsia"/>
          <w:color w:val="000000"/>
          <w:kern w:val="0"/>
          <w:sz w:val="32"/>
          <w:szCs w:val="32"/>
          <w:shd w:val="clear" w:color="auto" w:fill="FFFFFF"/>
        </w:rPr>
        <w:t>3.</w:t>
      </w:r>
      <w:r>
        <w:rPr>
          <w:rFonts w:hint="eastAsia" w:cs="楷体_GB2312" w:asciiTheme="minorEastAsia" w:hAnsiTheme="minorEastAsia" w:eastAsiaTheme="minorEastAsia"/>
          <w:color w:val="000000"/>
          <w:kern w:val="0"/>
          <w:sz w:val="32"/>
          <w:szCs w:val="32"/>
          <w:shd w:val="clear" w:color="auto" w:fill="FFFFFF"/>
          <w:lang w:val="zh-CN"/>
        </w:rPr>
        <w:t>财务管理。</w:t>
      </w:r>
    </w:p>
    <w:p>
      <w:pPr>
        <w:spacing w:line="360" w:lineRule="auto"/>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养路队根据《中华人民共和国预算法》《政府会计准则制度》等相关法律法规结合本单位实际制定了较为完善的财务管理制度，财务岗位设置规范，资金使用严格按照财政部门批复下达的指标和用途规范使用资金，支付程序规范，资金支付票据合规、手续齐全、会计核算账务处理及时，为单位履行职责职能发挥了积极作用，成效显著。</w:t>
      </w:r>
    </w:p>
    <w:p>
      <w:pPr>
        <w:adjustRightInd w:val="0"/>
        <w:snapToGrid w:val="0"/>
        <w:spacing w:line="578" w:lineRule="exact"/>
        <w:ind w:firstLine="640" w:firstLineChars="200"/>
        <w:jc w:val="left"/>
        <w:rPr>
          <w:rFonts w:asciiTheme="minorEastAsia" w:hAnsiTheme="minorEastAsia" w:eastAsiaTheme="minorEastAsia"/>
          <w:sz w:val="32"/>
          <w:szCs w:val="32"/>
          <w:lang w:val="zh-CN"/>
        </w:rPr>
      </w:pPr>
      <w:r>
        <w:rPr>
          <w:rFonts w:hint="eastAsia" w:cs="楷体_GB2312" w:asciiTheme="minorEastAsia" w:hAnsiTheme="minorEastAsia" w:eastAsiaTheme="minorEastAsia"/>
          <w:color w:val="000000"/>
          <w:kern w:val="0"/>
          <w:sz w:val="32"/>
          <w:szCs w:val="32"/>
          <w:shd w:val="clear" w:color="auto" w:fill="FFFFFF"/>
        </w:rPr>
        <w:t>4.</w:t>
      </w:r>
      <w:r>
        <w:rPr>
          <w:rFonts w:hint="eastAsia" w:cs="楷体_GB2312" w:asciiTheme="minorEastAsia" w:hAnsiTheme="minorEastAsia" w:eastAsiaTheme="minorEastAsia"/>
          <w:color w:val="000000"/>
          <w:kern w:val="0"/>
          <w:sz w:val="32"/>
          <w:szCs w:val="32"/>
          <w:shd w:val="clear" w:color="auto" w:fill="FFFFFF"/>
          <w:lang w:val="zh-CN"/>
        </w:rPr>
        <w:t>资产管理。</w:t>
      </w:r>
    </w:p>
    <w:p>
      <w:pPr>
        <w:spacing w:line="276" w:lineRule="auto"/>
        <w:ind w:firstLine="640" w:firstLineChars="200"/>
        <w:rPr>
          <w:rFonts w:ascii="仿宋" w:hAnsi="仿宋" w:eastAsia="仿宋"/>
          <w:sz w:val="32"/>
          <w:szCs w:val="32"/>
        </w:rPr>
      </w:pPr>
      <w:r>
        <w:rPr>
          <w:rFonts w:hint="eastAsia" w:ascii="仿宋" w:hAnsi="仿宋" w:eastAsia="仿宋"/>
          <w:sz w:val="32"/>
          <w:szCs w:val="32"/>
        </w:rPr>
        <w:t>2023年末资产总计74.49万元，其中流动资产0.1082万元（全部为银行存款），占整个资产总额的0.15%；固定资产净值74.38万元，占整个资产总额的99.85%，人均资产7.479万元，与2022年末相比，2023年年末资产总额减少11.07万元,减少12.94%，减少原因主要是2023年处置了一处闲置无法使用的道班房和固定资产累计折旧，资产净值减少，资产总额减少，目前，除未处理闲置一处道班房外其余资产均在正常使用，资产利用率90%。2023年末养路队流动资产余额全部为银行存款，是单位代扣暂未缴纳的工资个税和聘用人员缴存五险一金个人缴款未支部分，无盘活资产。</w:t>
      </w:r>
    </w:p>
    <w:p>
      <w:pPr>
        <w:adjustRightInd w:val="0"/>
        <w:snapToGrid w:val="0"/>
        <w:spacing w:line="578" w:lineRule="exact"/>
        <w:ind w:firstLine="640" w:firstLineChars="200"/>
        <w:jc w:val="left"/>
        <w:rPr>
          <w:rFonts w:hint="eastAsia" w:ascii="仿宋" w:hAnsi="仿宋" w:eastAsia="仿宋"/>
          <w:sz w:val="32"/>
          <w:szCs w:val="32"/>
          <w:lang w:val="zh-CN"/>
        </w:rPr>
      </w:pPr>
      <w:r>
        <w:rPr>
          <w:rFonts w:hint="eastAsia" w:cs="楷体_GB2312" w:asciiTheme="minorEastAsia" w:hAnsiTheme="minorEastAsia" w:eastAsiaTheme="minorEastAsia"/>
          <w:color w:val="000000"/>
          <w:kern w:val="0"/>
          <w:sz w:val="32"/>
          <w:szCs w:val="32"/>
          <w:shd w:val="clear" w:color="auto" w:fill="FFFFFF"/>
        </w:rPr>
        <w:t>5.</w:t>
      </w:r>
      <w:r>
        <w:rPr>
          <w:rFonts w:hint="eastAsia" w:cs="楷体_GB2312" w:asciiTheme="minorEastAsia" w:hAnsiTheme="minorEastAsia" w:eastAsiaTheme="minorEastAsia"/>
          <w:color w:val="000000"/>
          <w:kern w:val="0"/>
          <w:sz w:val="32"/>
          <w:szCs w:val="32"/>
          <w:shd w:val="clear" w:color="auto" w:fill="FFFFFF"/>
          <w:lang w:val="zh-CN"/>
        </w:rPr>
        <w:t>采购管理。</w:t>
      </w:r>
    </w:p>
    <w:p>
      <w:pPr>
        <w:spacing w:line="276" w:lineRule="auto"/>
        <w:ind w:firstLine="640" w:firstLineChars="200"/>
        <w:rPr>
          <w:rFonts w:hint="eastAsia" w:ascii="仿宋" w:hAnsi="仿宋" w:eastAsia="仿宋"/>
          <w:sz w:val="32"/>
          <w:szCs w:val="32"/>
        </w:rPr>
      </w:pPr>
      <w:r>
        <w:rPr>
          <w:rFonts w:hint="eastAsia" w:ascii="仿宋" w:hAnsi="仿宋" w:eastAsia="仿宋"/>
          <w:sz w:val="32"/>
          <w:szCs w:val="32"/>
          <w:lang w:val="zh-CN"/>
        </w:rPr>
        <w:t xml:space="preserve">     </w:t>
      </w:r>
      <w:r>
        <w:rPr>
          <w:rFonts w:hint="eastAsia" w:ascii="仿宋" w:hAnsi="仿宋" w:eastAsia="仿宋"/>
          <w:sz w:val="32"/>
          <w:szCs w:val="32"/>
        </w:rPr>
        <w:t>2023年，养路队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ind w:firstLine="643" w:firstLineChars="200"/>
        <w:rPr>
          <w:rFonts w:hint="eastAsia" w:eastAsia="楷体_GB2312"/>
          <w:sz w:val="32"/>
          <w:szCs w:val="32"/>
          <w:lang w:val="zh-CN" w:eastAsia="zh-CN"/>
        </w:rPr>
      </w:pPr>
      <w:r>
        <w:rPr>
          <w:rFonts w:hint="eastAsia" w:ascii="楷体_GB2312" w:eastAsia="楷体_GB2312"/>
          <w:b/>
          <w:sz w:val="32"/>
          <w:szCs w:val="32"/>
        </w:rPr>
        <w:t>（二）部门预算项目绩效分析</w:t>
      </w:r>
      <w:r>
        <w:rPr>
          <w:rFonts w:hint="eastAsia" w:ascii="楷体_GB2312" w:eastAsia="楷体_GB2312"/>
          <w:b/>
          <w:sz w:val="32"/>
          <w:szCs w:val="32"/>
          <w:lang w:eastAsia="zh-CN"/>
        </w:rPr>
        <w:t>。</w:t>
      </w:r>
    </w:p>
    <w:p>
      <w:pPr>
        <w:spacing w:line="276" w:lineRule="auto"/>
        <w:ind w:firstLine="640" w:firstLineChars="200"/>
        <w:rPr>
          <w:rFonts w:hint="eastAsia" w:ascii="仿宋" w:hAnsi="仿宋" w:eastAsia="仿宋"/>
          <w:sz w:val="32"/>
          <w:szCs w:val="32"/>
          <w:lang w:val="zh-CN"/>
        </w:rPr>
      </w:pPr>
      <w:r>
        <w:rPr>
          <w:rFonts w:hint="eastAsia" w:ascii="仿宋" w:hAnsi="仿宋" w:eastAsia="仿宋"/>
          <w:sz w:val="32"/>
          <w:szCs w:val="32"/>
          <w:lang w:val="zh-CN"/>
        </w:rPr>
        <w:t>2023年养路队常年项目总数 2 个，涉及预算总金额  579.77 万元，1—12月预算执行总体进度为 100  %，其中：预算结余率大于10%的项目共计  0 个。</w:t>
      </w:r>
    </w:p>
    <w:p>
      <w:pPr>
        <w:spacing w:line="276" w:lineRule="auto"/>
        <w:ind w:firstLine="640" w:firstLineChars="200"/>
        <w:rPr>
          <w:rFonts w:hint="eastAsia" w:ascii="仿宋" w:hAnsi="仿宋" w:eastAsia="仿宋"/>
          <w:sz w:val="32"/>
          <w:szCs w:val="32"/>
          <w:lang w:val="zh-CN"/>
        </w:rPr>
      </w:pPr>
      <w:r>
        <w:rPr>
          <w:rFonts w:hint="eastAsia" w:ascii="仿宋" w:hAnsi="仿宋" w:eastAsia="仿宋"/>
          <w:sz w:val="32"/>
          <w:szCs w:val="32"/>
        </w:rPr>
        <w:t>1.项目决策。</w:t>
      </w:r>
      <w:r>
        <w:rPr>
          <w:rFonts w:hint="eastAsia" w:ascii="仿宋" w:hAnsi="仿宋" w:eastAsia="仿宋"/>
          <w:sz w:val="32"/>
          <w:szCs w:val="32"/>
          <w:lang w:val="zh-CN"/>
        </w:rPr>
        <w:t>公路养护项目是一项长期性、经常性的日常养护项目，2023年</w:t>
      </w:r>
      <w:r>
        <w:rPr>
          <w:rFonts w:hint="eastAsia" w:ascii="仿宋" w:hAnsi="仿宋" w:eastAsia="仿宋"/>
          <w:sz w:val="32"/>
          <w:szCs w:val="32"/>
        </w:rPr>
        <w:t>需完成省道185.41公里、县道545.183公里、247座桥梁的日常养护及做好汛期公路防汛保通抢险任务，入库项目两个，分别为51042223T000008875452-2023年度农村公路日常养护费用（直达资金）项目和51042223T000009398112-川财建【2023】23号下达2023年中央对地方成品油税费改革转移支付（用于2023年农村公路养护）（直达资金304.4万）项目。</w:t>
      </w:r>
    </w:p>
    <w:p>
      <w:pPr>
        <w:spacing w:line="276" w:lineRule="auto"/>
        <w:ind w:firstLine="640" w:firstLineChars="200"/>
        <w:rPr>
          <w:rFonts w:hint="eastAsia" w:ascii="仿宋" w:hAnsi="仿宋" w:eastAsia="仿宋"/>
          <w:sz w:val="32"/>
          <w:szCs w:val="32"/>
          <w:lang w:val="zh-CN"/>
        </w:rPr>
      </w:pPr>
      <w:r>
        <w:rPr>
          <w:rFonts w:hint="eastAsia" w:ascii="仿宋" w:hAnsi="仿宋" w:eastAsia="仿宋"/>
          <w:sz w:val="32"/>
          <w:szCs w:val="32"/>
        </w:rPr>
        <w:t>2.项目执行。</w:t>
      </w:r>
    </w:p>
    <w:p>
      <w:pPr>
        <w:spacing w:line="276" w:lineRule="auto"/>
        <w:ind w:firstLine="640" w:firstLineChars="200"/>
        <w:rPr>
          <w:rFonts w:hint="eastAsia" w:ascii="仿宋" w:hAnsi="仿宋" w:eastAsia="仿宋"/>
          <w:sz w:val="32"/>
          <w:szCs w:val="32"/>
          <w:lang w:val="zh-CN"/>
        </w:rPr>
      </w:pPr>
      <w:r>
        <w:rPr>
          <w:rFonts w:hint="eastAsia" w:ascii="仿宋" w:hAnsi="仿宋" w:eastAsia="仿宋"/>
          <w:sz w:val="32"/>
          <w:szCs w:val="32"/>
        </w:rPr>
        <w:t>51042223T000008875452-2023年度农村公路日常养护费用（直达资金）项目入库金额329万元，调整后预算数325.03万元，预算执行数325.03万元，全部用于省道185.41公里、县道545.183公里、247座桥梁的日常养护及汛期公路防汛保通抢险任务支出。</w:t>
      </w:r>
    </w:p>
    <w:p>
      <w:pPr>
        <w:pStyle w:val="2"/>
        <w:ind w:firstLine="465"/>
        <w:rPr>
          <w:rFonts w:hint="eastAsia" w:ascii="仿宋" w:hAnsi="仿宋" w:eastAsia="仿宋" w:cs="Times New Roman"/>
          <w:b w:val="0"/>
          <w:kern w:val="2"/>
          <w:sz w:val="32"/>
          <w:szCs w:val="32"/>
          <w:lang w:val="en-US" w:eastAsia="zh-CN" w:bidi="ar-SA"/>
        </w:rPr>
      </w:pPr>
      <w:r>
        <w:rPr>
          <w:rFonts w:hint="eastAsia" w:ascii="仿宋" w:hAnsi="仿宋" w:eastAsia="仿宋" w:cs="Times New Roman"/>
          <w:b w:val="0"/>
          <w:kern w:val="2"/>
          <w:sz w:val="32"/>
          <w:szCs w:val="32"/>
          <w:lang w:val="en-US" w:eastAsia="zh-CN" w:bidi="ar-SA"/>
        </w:rPr>
        <w:t>51042223T000009398112-川财建【2023】23号下达2023年中央对地方成品油税费改革转移支付（用于2023年农村公路养护）（直达资金304.4万）项目入库金额304.4万元，调整后预算数254.73万元，预算执行数254.73万元，全部用于省道185.41公里、县道545.183公里、247座桥梁的日常养护及汛期公路防汛保通抢险任务支出。</w:t>
      </w:r>
    </w:p>
    <w:p>
      <w:pPr>
        <w:ind w:firstLine="640" w:firstLineChars="200"/>
        <w:rPr>
          <w:rFonts w:hint="eastAsia" w:ascii="仿宋" w:hAnsi="仿宋" w:eastAsia="仿宋" w:cs="Times New Roman"/>
          <w:b w:val="0"/>
          <w:kern w:val="2"/>
          <w:sz w:val="32"/>
          <w:szCs w:val="32"/>
          <w:lang w:val="zh-CN" w:eastAsia="zh-CN" w:bidi="ar-SA"/>
        </w:rPr>
      </w:pPr>
      <w:r>
        <w:rPr>
          <w:rFonts w:hint="eastAsia" w:ascii="仿宋" w:hAnsi="仿宋" w:eastAsia="仿宋" w:cs="Times New Roman"/>
          <w:b w:val="0"/>
          <w:kern w:val="2"/>
          <w:sz w:val="32"/>
          <w:szCs w:val="32"/>
          <w:lang w:val="en-US" w:eastAsia="zh-CN" w:bidi="ar-SA"/>
        </w:rPr>
        <w:t>3.目标实现。</w:t>
      </w:r>
    </w:p>
    <w:p>
      <w:pPr>
        <w:snapToGrid w:val="0"/>
        <w:spacing w:line="360" w:lineRule="auto"/>
        <w:ind w:firstLine="640" w:firstLineChars="200"/>
        <w:rPr>
          <w:rFonts w:hint="eastAsia" w:ascii="仿宋" w:hAnsi="仿宋" w:eastAsia="仿宋" w:cs="Times New Roman"/>
          <w:b w:val="0"/>
          <w:kern w:val="2"/>
          <w:sz w:val="32"/>
          <w:szCs w:val="32"/>
          <w:lang w:val="en-US" w:eastAsia="zh-CN" w:bidi="ar-SA"/>
        </w:rPr>
      </w:pPr>
      <w:r>
        <w:rPr>
          <w:rFonts w:hint="eastAsia" w:ascii="仿宋" w:hAnsi="仿宋" w:eastAsia="仿宋" w:cs="Times New Roman"/>
          <w:b w:val="0"/>
          <w:kern w:val="2"/>
          <w:sz w:val="32"/>
          <w:szCs w:val="32"/>
          <w:lang w:val="en-US" w:eastAsia="zh-CN" w:bidi="ar-SA"/>
        </w:rPr>
        <w:t>年末目标任务完成良好，无目标偏离情况，全面履行了道路日常养护管理职责，全县道路路容路貌整洁、舒适、畅通，道路通行状况良好，公路养护整体支出绩效目标任务完成较好，在2023年1月上旬，攀枝花市交通运输局组织对全市三区两县的国省道暨农村公路养护管理考核中名列第一，2023年7月12日--28日攀枝花市交通运输局组织联合工作组对全市三区两县2023年上半年普通公路养护管理督查绩效考核中取得了第一名的好成绩。</w:t>
      </w:r>
    </w:p>
    <w:p>
      <w:pPr>
        <w:ind w:firstLine="643" w:firstLineChars="200"/>
        <w:rPr>
          <w:rFonts w:hint="eastAsia" w:ascii="楷体_GB2312" w:eastAsia="楷体_GB2312"/>
          <w:b/>
          <w:sz w:val="32"/>
          <w:szCs w:val="32"/>
          <w:lang w:eastAsia="zh-CN"/>
        </w:rPr>
      </w:pPr>
      <w:r>
        <w:rPr>
          <w:rFonts w:hint="eastAsia" w:ascii="楷体_GB2312" w:eastAsia="楷体_GB2312"/>
          <w:b/>
          <w:sz w:val="32"/>
          <w:szCs w:val="32"/>
        </w:rPr>
        <w:t>（三）重点领域绩效分析</w:t>
      </w:r>
      <w:r>
        <w:rPr>
          <w:rFonts w:hint="eastAsia" w:ascii="楷体_GB2312" w:eastAsia="楷体_GB2312"/>
          <w:b/>
          <w:sz w:val="32"/>
          <w:szCs w:val="32"/>
          <w:lang w:eastAsia="zh-CN"/>
        </w:rPr>
        <w:t>。</w:t>
      </w:r>
    </w:p>
    <w:p>
      <w:pPr>
        <w:snapToGrid w:val="0"/>
        <w:spacing w:line="360" w:lineRule="auto"/>
        <w:ind w:firstLine="640" w:firstLineChars="200"/>
        <w:rPr>
          <w:rFonts w:hint="eastAsia" w:ascii="仿宋" w:hAnsi="仿宋" w:eastAsia="仿宋" w:cs="Times New Roman"/>
          <w:b w:val="0"/>
          <w:kern w:val="2"/>
          <w:sz w:val="32"/>
          <w:szCs w:val="32"/>
          <w:lang w:val="zh-CN" w:eastAsia="zh-CN" w:bidi="ar-SA"/>
        </w:rPr>
      </w:pPr>
      <w:r>
        <w:rPr>
          <w:rFonts w:hint="eastAsia" w:ascii="仿宋" w:hAnsi="仿宋" w:eastAsia="仿宋" w:cs="Times New Roman"/>
          <w:b w:val="0"/>
          <w:kern w:val="2"/>
          <w:sz w:val="32"/>
          <w:szCs w:val="32"/>
          <w:lang w:val="zh-CN" w:eastAsia="zh-CN" w:bidi="ar-SA"/>
        </w:rPr>
        <w:t>盐边县养路队2023年度不涉及国有资本、行政事业性国有资产、债券资金、政府采购和政府购买服务等重点领域项目。</w:t>
      </w:r>
    </w:p>
    <w:p>
      <w:pPr>
        <w:ind w:firstLine="643" w:firstLineChars="200"/>
        <w:rPr>
          <w:rFonts w:hint="eastAsia" w:eastAsia="楷体_GB2312"/>
          <w:sz w:val="32"/>
          <w:szCs w:val="32"/>
          <w:lang w:val="zh-CN" w:eastAsia="zh-CN"/>
        </w:rPr>
      </w:pPr>
      <w:r>
        <w:rPr>
          <w:rFonts w:hint="eastAsia" w:ascii="楷体_GB2312" w:eastAsia="楷体_GB2312"/>
          <w:b/>
          <w:sz w:val="32"/>
          <w:szCs w:val="32"/>
        </w:rPr>
        <w:t>（四）绩效结果应用情况</w:t>
      </w:r>
      <w:r>
        <w:rPr>
          <w:rFonts w:hint="eastAsia" w:ascii="楷体_GB2312" w:eastAsia="楷体_GB2312"/>
          <w:b/>
          <w:sz w:val="32"/>
          <w:szCs w:val="32"/>
          <w:lang w:eastAsia="zh-CN"/>
        </w:rPr>
        <w:t>。</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2023年，本单位的绩效目标制定和实施都能结合本单位的实际，具有较强的目标性和可操作性，绩效自评结果也可以为下一年度的绩效管理提供参考和帮助。我们将进一步加强预算绩效管理，更好地履行本部门的职能职责，提高财政资金的使用效率，将有限的财政投入发挥最大的经济效益和社会效益。同时，我单位已按要求将审核批复的2023年预算及绩效目标信息在规定时间内在盐边公众信息网上进行了公开公示，将本单位完成的工作任务及资金使用绩效情况向社会公开公示，接受社会监督和考评。</w:t>
      </w:r>
    </w:p>
    <w:p>
      <w:pPr>
        <w:ind w:firstLine="640" w:firstLineChars="200"/>
        <w:rPr>
          <w:rFonts w:ascii="Times New Roman" w:hAnsi="Times New Roman" w:eastAsia="黑体" w:cs="Times New Roman"/>
          <w:kern w:val="2"/>
          <w:sz w:val="32"/>
          <w:szCs w:val="32"/>
          <w:lang w:val="en-US" w:eastAsia="zh-CN" w:bidi="ar-SA"/>
        </w:rPr>
      </w:pPr>
      <w:r>
        <w:rPr>
          <w:rFonts w:hint="eastAsia" w:ascii="黑体" w:hAnsi="黑体" w:eastAsia="黑体"/>
          <w:sz w:val="32"/>
          <w:szCs w:val="32"/>
        </w:rPr>
        <w:t>四、</w:t>
      </w:r>
      <w:r>
        <w:rPr>
          <w:rFonts w:hint="eastAsia" w:ascii="Times New Roman" w:hAnsi="Times New Roman" w:eastAsia="黑体" w:cs="Times New Roman"/>
          <w:kern w:val="2"/>
          <w:sz w:val="32"/>
          <w:szCs w:val="32"/>
          <w:lang w:val="en-US" w:eastAsia="zh-CN" w:bidi="ar-SA"/>
        </w:rPr>
        <w:t>评价结论及建议</w:t>
      </w:r>
    </w:p>
    <w:p>
      <w:pPr>
        <w:ind w:firstLine="643" w:firstLineChars="200"/>
        <w:rPr>
          <w:rFonts w:hint="eastAsia" w:eastAsia="楷体_GB2312"/>
          <w:sz w:val="32"/>
          <w:szCs w:val="32"/>
          <w:lang w:val="zh-CN" w:eastAsia="zh-CN"/>
        </w:rPr>
      </w:pPr>
      <w:r>
        <w:rPr>
          <w:rFonts w:hint="eastAsia" w:ascii="楷体_GB2312" w:eastAsia="楷体_GB2312"/>
          <w:b/>
          <w:sz w:val="32"/>
          <w:szCs w:val="32"/>
        </w:rPr>
        <w:t>（一）评价结论</w:t>
      </w:r>
      <w:r>
        <w:rPr>
          <w:rFonts w:hint="eastAsia" w:ascii="楷体_GB2312" w:eastAsia="楷体_GB2312"/>
          <w:b/>
          <w:sz w:val="32"/>
          <w:szCs w:val="32"/>
          <w:lang w:eastAsia="zh-CN"/>
        </w:rPr>
        <w:t>。</w:t>
      </w:r>
    </w:p>
    <w:p>
      <w:pPr>
        <w:ind w:firstLine="640" w:firstLineChars="200"/>
        <w:rPr>
          <w:rFonts w:eastAsia="仿宋_GB2312"/>
          <w:sz w:val="32"/>
          <w:szCs w:val="32"/>
          <w:lang w:val="zh-CN"/>
        </w:rPr>
      </w:pPr>
      <w:r>
        <w:rPr>
          <w:rFonts w:hint="eastAsia" w:ascii="仿宋" w:hAnsi="仿宋" w:eastAsia="仿宋"/>
          <w:sz w:val="32"/>
          <w:szCs w:val="32"/>
          <w:lang w:val="zh-CN"/>
        </w:rPr>
        <w:t>2023年养路队部门预算绩效自评项目</w:t>
      </w:r>
      <w:r>
        <w:rPr>
          <w:rFonts w:hint="eastAsia" w:ascii="仿宋" w:hAnsi="仿宋" w:eastAsia="仿宋"/>
          <w:sz w:val="32"/>
          <w:szCs w:val="32"/>
          <w:lang w:val="en-US" w:eastAsia="zh-CN"/>
        </w:rPr>
        <w:t>2</w:t>
      </w:r>
      <w:r>
        <w:rPr>
          <w:rFonts w:hint="eastAsia" w:ascii="仿宋" w:hAnsi="仿宋" w:eastAsia="仿宋"/>
          <w:sz w:val="32"/>
          <w:szCs w:val="32"/>
          <w:lang w:val="zh-CN"/>
        </w:rPr>
        <w:t>个即公路养护项目、公路运输和安全项目</w:t>
      </w:r>
      <w:r>
        <w:rPr>
          <w:rFonts w:hint="eastAsia" w:ascii="仿宋" w:hAnsi="仿宋" w:eastAsia="仿宋" w:cs="宋体"/>
          <w:color w:val="000000"/>
          <w:kern w:val="0"/>
          <w:sz w:val="32"/>
          <w:szCs w:val="32"/>
        </w:rPr>
        <w:t>。公路养护项目51042223T000008875452-2023年度农村公路日常养护费用（直达资金）年初设定目标任务完成率100%，公路养护管理工作成效显著，得到上级部门及社会群众的广泛好评。项目自评得分100分；公</w:t>
      </w:r>
      <w:bookmarkStart w:id="12" w:name="_GoBack"/>
      <w:bookmarkEnd w:id="12"/>
      <w:r>
        <w:rPr>
          <w:rFonts w:hint="eastAsia" w:ascii="仿宋" w:hAnsi="仿宋" w:eastAsia="仿宋" w:cs="宋体"/>
          <w:color w:val="000000"/>
          <w:kern w:val="0"/>
          <w:sz w:val="32"/>
          <w:szCs w:val="32"/>
        </w:rPr>
        <w:t>路运输和安全项目51042223T000009398112-川财建【2023】23号下达2023年中央对地方成品油税费改革转移支付（用于2023年农村公路养护）（直达资金304.4万）年初设定目标任务完成率100%，自评得分100分。</w:t>
      </w:r>
    </w:p>
    <w:p>
      <w:pPr>
        <w:numPr>
          <w:ilvl w:val="0"/>
          <w:numId w:val="2"/>
        </w:numPr>
        <w:ind w:firstLine="643" w:firstLineChars="200"/>
        <w:rPr>
          <w:rFonts w:hint="eastAsia" w:ascii="楷体_GB2312" w:eastAsia="楷体_GB2312"/>
          <w:b/>
          <w:sz w:val="32"/>
          <w:szCs w:val="32"/>
        </w:rPr>
      </w:pPr>
      <w:r>
        <w:rPr>
          <w:rFonts w:hint="eastAsia" w:ascii="楷体_GB2312" w:eastAsia="楷体_GB2312"/>
          <w:b/>
          <w:sz w:val="32"/>
          <w:szCs w:val="32"/>
        </w:rPr>
        <w:t>存在问题</w:t>
      </w:r>
      <w:r>
        <w:rPr>
          <w:rFonts w:hint="eastAsia" w:ascii="楷体_GB2312" w:eastAsia="楷体_GB2312"/>
          <w:b/>
          <w:sz w:val="32"/>
          <w:szCs w:val="32"/>
          <w:lang w:eastAsia="zh-CN"/>
        </w:rPr>
        <w:t>。</w:t>
      </w:r>
    </w:p>
    <w:p>
      <w:pPr>
        <w:numPr>
          <w:ilvl w:val="0"/>
          <w:numId w:val="0"/>
        </w:numPr>
        <w:ind w:firstLine="640" w:firstLineChars="200"/>
        <w:rPr>
          <w:b w:val="0"/>
          <w:sz w:val="32"/>
          <w:szCs w:val="32"/>
          <w:lang w:val="zh-CN"/>
        </w:rPr>
      </w:pPr>
      <w:r>
        <w:rPr>
          <w:rFonts w:hint="eastAsia" w:ascii="仿宋" w:hAnsi="仿宋" w:eastAsia="仿宋" w:cs="宋体"/>
          <w:b w:val="0"/>
          <w:color w:val="000000"/>
          <w:kern w:val="0"/>
          <w:sz w:val="32"/>
          <w:szCs w:val="32"/>
        </w:rPr>
        <w:t>当年预算执行及绩效管理总体情况较好，已全面完成了年初预算及绩效目标，当年预算执行及绩效管理不存在问题。</w:t>
      </w:r>
    </w:p>
    <w:p>
      <w:pPr>
        <w:ind w:firstLine="643" w:firstLineChars="200"/>
        <w:rPr>
          <w:rFonts w:hint="eastAsia" w:ascii="楷体_GB2312" w:eastAsia="楷体_GB2312"/>
          <w:b/>
          <w:sz w:val="32"/>
          <w:szCs w:val="32"/>
          <w:lang w:eastAsia="zh-CN"/>
        </w:rPr>
      </w:pPr>
      <w:r>
        <w:rPr>
          <w:rFonts w:hint="eastAsia" w:ascii="楷体_GB2312" w:eastAsia="楷体_GB2312"/>
          <w:b/>
          <w:sz w:val="32"/>
          <w:szCs w:val="32"/>
        </w:rPr>
        <w:t>（三）改进建议</w:t>
      </w:r>
      <w:r>
        <w:rPr>
          <w:rFonts w:hint="eastAsia" w:ascii="楷体_GB2312" w:eastAsia="楷体_GB2312"/>
          <w:b/>
          <w:sz w:val="32"/>
          <w:szCs w:val="32"/>
          <w:lang w:eastAsia="zh-CN"/>
        </w:rPr>
        <w:t>。</w:t>
      </w:r>
    </w:p>
    <w:p>
      <w:pPr>
        <w:ind w:firstLine="640" w:firstLineChars="200"/>
        <w:rPr>
          <w:rFonts w:ascii="仿宋" w:hAnsi="仿宋" w:eastAsia="仿宋"/>
          <w:sz w:val="32"/>
          <w:szCs w:val="32"/>
          <w:lang w:val="zh-CN"/>
        </w:rPr>
      </w:pPr>
      <w:r>
        <w:rPr>
          <w:rFonts w:hint="eastAsia" w:ascii="仿宋" w:hAnsi="仿宋" w:eastAsia="仿宋"/>
          <w:sz w:val="32"/>
          <w:szCs w:val="32"/>
          <w:lang w:val="zh-CN"/>
        </w:rPr>
        <w:t>养路队认为在预算安排、完善政策、改进管理等方面的措施已比较完善，无改进建议。</w:t>
      </w:r>
    </w:p>
    <w:p>
      <w:pPr>
        <w:pStyle w:val="2"/>
        <w:rPr>
          <w:rFonts w:asciiTheme="minorEastAsia" w:hAnsiTheme="minorEastAsia" w:eastAsiaTheme="minorEastAsia"/>
          <w:sz w:val="32"/>
          <w:szCs w:val="32"/>
          <w:lang w:val="zh-CN"/>
        </w:rPr>
      </w:pPr>
      <w:r>
        <w:rPr>
          <w:rFonts w:hint="eastAsia"/>
          <w:sz w:val="32"/>
          <w:szCs w:val="32"/>
          <w:lang w:val="zh-CN"/>
        </w:rPr>
        <w:t xml:space="preserve">    </w:t>
      </w:r>
      <w:r>
        <w:rPr>
          <w:rFonts w:hint="eastAsia" w:asciiTheme="minorEastAsia" w:hAnsiTheme="minorEastAsia" w:eastAsiaTheme="minorEastAsia"/>
          <w:sz w:val="32"/>
          <w:szCs w:val="32"/>
          <w:lang w:val="zh-CN"/>
        </w:rPr>
        <w:t>附表：</w:t>
      </w:r>
      <w:r>
        <w:rPr>
          <w:rFonts w:hint="eastAsia" w:asciiTheme="minorEastAsia" w:hAnsiTheme="minorEastAsia" w:eastAsiaTheme="minorEastAsia"/>
          <w:sz w:val="32"/>
          <w:szCs w:val="32"/>
        </w:rPr>
        <w:t>部门</w:t>
      </w:r>
      <w:r>
        <w:rPr>
          <w:rFonts w:hint="eastAsia" w:asciiTheme="minorEastAsia" w:hAnsiTheme="minorEastAsia" w:eastAsiaTheme="minorEastAsia"/>
          <w:sz w:val="32"/>
          <w:szCs w:val="32"/>
          <w:lang w:val="zh-CN"/>
        </w:rPr>
        <w:t>预算项目支出绩效自评表（2023年度）</w:t>
      </w:r>
    </w:p>
    <w:p>
      <w:pPr>
        <w:widowControl/>
        <w:jc w:val="center"/>
        <w:rPr>
          <w:rFonts w:ascii="黑体" w:hAnsi="黑体" w:eastAsia="黑体"/>
        </w:rPr>
      </w:pPr>
    </w:p>
    <w:p>
      <w:pPr>
        <w:pStyle w:val="2"/>
      </w:pPr>
    </w:p>
    <w:p>
      <w:pPr>
        <w:widowControl/>
        <w:jc w:val="center"/>
        <w:rPr>
          <w:rFonts w:ascii="黑体" w:hAnsi="黑体" w:eastAsia="黑体"/>
        </w:rPr>
      </w:pPr>
    </w:p>
    <w:p>
      <w:pPr>
        <w:snapToGrid w:val="0"/>
        <w:spacing w:line="360" w:lineRule="auto"/>
        <w:ind w:firstLine="2200" w:firstLineChars="500"/>
        <w:rPr>
          <w:rFonts w:hint="eastAsia" w:ascii="黑体" w:hAnsi="黑体" w:eastAsia="黑体"/>
          <w:sz w:val="44"/>
          <w:szCs w:val="44"/>
        </w:rPr>
      </w:pPr>
      <w:r>
        <w:rPr>
          <w:rFonts w:hint="eastAsia" w:ascii="黑体" w:hAnsi="黑体" w:eastAsia="黑体"/>
          <w:sz w:val="44"/>
          <w:szCs w:val="44"/>
        </w:rPr>
        <w:t>第五部分 附表</w:t>
      </w:r>
    </w:p>
    <w:p>
      <w:pPr>
        <w:rPr>
          <w:rFonts w:ascii="仿宋" w:hAnsi="仿宋" w:eastAsia="仿宋"/>
          <w:sz w:val="32"/>
          <w:szCs w:val="32"/>
        </w:rPr>
      </w:pPr>
      <w:r>
        <w:rPr>
          <w:rFonts w:hint="eastAsia" w:ascii="仿宋" w:hAnsi="仿宋" w:eastAsia="仿宋"/>
          <w:sz w:val="32"/>
          <w:szCs w:val="32"/>
        </w:rPr>
        <w:t>一、收入支出决算总表</w:t>
      </w:r>
    </w:p>
    <w:p>
      <w:pPr>
        <w:rPr>
          <w:rFonts w:ascii="仿宋" w:hAnsi="仿宋" w:eastAsia="仿宋"/>
          <w:sz w:val="32"/>
          <w:szCs w:val="32"/>
        </w:rPr>
      </w:pPr>
      <w:r>
        <w:rPr>
          <w:rFonts w:hint="eastAsia" w:ascii="仿宋" w:hAnsi="仿宋" w:eastAsia="仿宋"/>
          <w:sz w:val="32"/>
          <w:szCs w:val="32"/>
        </w:rPr>
        <w:t>二、收入决算表</w:t>
      </w:r>
    </w:p>
    <w:p>
      <w:pPr>
        <w:rPr>
          <w:rFonts w:ascii="仿宋" w:hAnsi="仿宋" w:eastAsia="仿宋"/>
          <w:sz w:val="32"/>
          <w:szCs w:val="32"/>
        </w:rPr>
      </w:pPr>
      <w:r>
        <w:rPr>
          <w:rFonts w:hint="eastAsia" w:ascii="仿宋" w:hAnsi="仿宋" w:eastAsia="仿宋"/>
          <w:sz w:val="32"/>
          <w:szCs w:val="32"/>
        </w:rPr>
        <w:t>三、支出决算表</w:t>
      </w:r>
    </w:p>
    <w:p>
      <w:pPr>
        <w:rPr>
          <w:rFonts w:ascii="仿宋" w:hAnsi="仿宋" w:eastAsia="仿宋"/>
          <w:sz w:val="32"/>
          <w:szCs w:val="32"/>
        </w:rPr>
      </w:pPr>
      <w:r>
        <w:rPr>
          <w:rFonts w:hint="eastAsia" w:ascii="仿宋" w:hAnsi="仿宋" w:eastAsia="仿宋"/>
          <w:sz w:val="32"/>
          <w:szCs w:val="32"/>
        </w:rPr>
        <w:t>四、财政拨款收入支出决算总表</w:t>
      </w:r>
    </w:p>
    <w:p>
      <w:pPr>
        <w:rPr>
          <w:rFonts w:ascii="仿宋" w:hAnsi="仿宋" w:eastAsia="仿宋"/>
          <w:sz w:val="32"/>
          <w:szCs w:val="32"/>
        </w:rPr>
      </w:pPr>
      <w:r>
        <w:rPr>
          <w:rFonts w:hint="eastAsia" w:ascii="仿宋" w:hAnsi="仿宋" w:eastAsia="仿宋"/>
          <w:sz w:val="32"/>
          <w:szCs w:val="32"/>
        </w:rPr>
        <w:t>五、财政拨款支出决算明细表</w:t>
      </w:r>
    </w:p>
    <w:p>
      <w:pPr>
        <w:rPr>
          <w:rFonts w:ascii="仿宋" w:hAnsi="仿宋" w:eastAsia="仿宋"/>
          <w:sz w:val="32"/>
          <w:szCs w:val="32"/>
        </w:rPr>
      </w:pPr>
      <w:r>
        <w:rPr>
          <w:rFonts w:hint="eastAsia" w:ascii="仿宋" w:hAnsi="仿宋" w:eastAsia="仿宋"/>
          <w:sz w:val="32"/>
          <w:szCs w:val="32"/>
        </w:rPr>
        <w:t>六、一般公共预算财政拨款支出决算表</w:t>
      </w:r>
    </w:p>
    <w:p>
      <w:pPr>
        <w:rPr>
          <w:rFonts w:ascii="仿宋" w:hAnsi="仿宋" w:eastAsia="仿宋"/>
          <w:sz w:val="32"/>
          <w:szCs w:val="32"/>
        </w:rPr>
      </w:pPr>
      <w:r>
        <w:rPr>
          <w:rFonts w:hint="eastAsia" w:ascii="仿宋" w:hAnsi="仿宋" w:eastAsia="仿宋"/>
          <w:sz w:val="32"/>
          <w:szCs w:val="32"/>
        </w:rPr>
        <w:t>七、一般公共预算财政拨款支出决算明细表</w:t>
      </w:r>
    </w:p>
    <w:p>
      <w:pPr>
        <w:rPr>
          <w:rFonts w:ascii="仿宋" w:hAnsi="仿宋" w:eastAsia="仿宋"/>
          <w:sz w:val="32"/>
          <w:szCs w:val="32"/>
        </w:rPr>
      </w:pPr>
      <w:r>
        <w:rPr>
          <w:rFonts w:hint="eastAsia" w:ascii="仿宋" w:hAnsi="仿宋" w:eastAsia="仿宋"/>
          <w:sz w:val="32"/>
          <w:szCs w:val="32"/>
        </w:rPr>
        <w:t>八、一般公共预算财政拨款基本支出决算表</w:t>
      </w:r>
    </w:p>
    <w:p>
      <w:pPr>
        <w:rPr>
          <w:rFonts w:ascii="仿宋" w:hAnsi="仿宋" w:eastAsia="仿宋"/>
          <w:sz w:val="32"/>
          <w:szCs w:val="32"/>
        </w:rPr>
      </w:pPr>
      <w:r>
        <w:rPr>
          <w:rFonts w:hint="eastAsia" w:ascii="仿宋" w:hAnsi="仿宋" w:eastAsia="仿宋"/>
          <w:sz w:val="32"/>
          <w:szCs w:val="32"/>
        </w:rPr>
        <w:t>九、一般公共预算财政拨款项目支出决算表</w:t>
      </w:r>
    </w:p>
    <w:p>
      <w:pPr>
        <w:rPr>
          <w:rFonts w:ascii="仿宋" w:hAnsi="仿宋" w:eastAsia="仿宋"/>
          <w:sz w:val="32"/>
          <w:szCs w:val="32"/>
        </w:rPr>
      </w:pPr>
      <w:r>
        <w:rPr>
          <w:rFonts w:hint="eastAsia" w:ascii="仿宋" w:hAnsi="仿宋" w:eastAsia="仿宋"/>
          <w:sz w:val="32"/>
          <w:szCs w:val="32"/>
        </w:rPr>
        <w:t>十、政府性基金预算财政拨款收入支出决算表</w:t>
      </w:r>
    </w:p>
    <w:p>
      <w:pPr>
        <w:rPr>
          <w:rFonts w:ascii="仿宋" w:hAnsi="仿宋" w:eastAsia="仿宋"/>
          <w:sz w:val="32"/>
          <w:szCs w:val="32"/>
        </w:rPr>
      </w:pPr>
      <w:r>
        <w:rPr>
          <w:rFonts w:hint="eastAsia" w:ascii="仿宋" w:hAnsi="仿宋" w:eastAsia="仿宋"/>
          <w:sz w:val="32"/>
          <w:szCs w:val="32"/>
        </w:rPr>
        <w:t>十一、国有资本经营预算财政拨款收入支出决算表</w:t>
      </w:r>
    </w:p>
    <w:p>
      <w:pPr>
        <w:rPr>
          <w:rFonts w:ascii="仿宋" w:hAnsi="仿宋" w:eastAsia="仿宋"/>
          <w:sz w:val="32"/>
          <w:szCs w:val="32"/>
        </w:rPr>
      </w:pPr>
      <w:r>
        <w:rPr>
          <w:rFonts w:hint="eastAsia" w:ascii="仿宋" w:hAnsi="仿宋" w:eastAsia="仿宋"/>
          <w:sz w:val="32"/>
          <w:szCs w:val="32"/>
        </w:rPr>
        <w:t>十二、国有资本经营预算财政拨款支出决算表</w:t>
      </w:r>
    </w:p>
    <w:p>
      <w:pPr>
        <w:rPr>
          <w:rFonts w:ascii="仿宋" w:hAnsi="仿宋" w:eastAsia="仿宋"/>
          <w:sz w:val="32"/>
          <w:szCs w:val="32"/>
        </w:rPr>
      </w:pPr>
      <w:r>
        <w:rPr>
          <w:rFonts w:hint="eastAsia" w:ascii="仿宋" w:hAnsi="仿宋" w:eastAsia="仿宋"/>
          <w:sz w:val="32"/>
          <w:szCs w:val="32"/>
        </w:rPr>
        <w:t>十三、财政拨款“三公”经费支出决算表</w:t>
      </w:r>
    </w:p>
    <w:sectPr>
      <w:footerReference r:id="rId8" w:type="first"/>
      <w:footerReference r:id="rId7"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5C601E"/>
    <w:multiLevelType w:val="singleLevel"/>
    <w:tmpl w:val="3D5C601E"/>
    <w:lvl w:ilvl="0" w:tentative="0">
      <w:start w:val="1"/>
      <w:numFmt w:val="chineseCounting"/>
      <w:suff w:val="nothing"/>
      <w:lvlText w:val="%1、"/>
      <w:lvlJc w:val="left"/>
      <w:rPr>
        <w:rFonts w:hint="eastAsia"/>
      </w:rPr>
    </w:lvl>
  </w:abstractNum>
  <w:abstractNum w:abstractNumId="1">
    <w:nsid w:val="7F899C78"/>
    <w:multiLevelType w:val="singleLevel"/>
    <w:tmpl w:val="7F899C78"/>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E1ZWM2Mjk0MGFlMjk1MTg4MjI1ZTliYmQwMmMwYmQifQ=="/>
  </w:docVars>
  <w:rsids>
    <w:rsidRoot w:val="00F1361C"/>
    <w:rsid w:val="00003D16"/>
    <w:rsid w:val="00014A1C"/>
    <w:rsid w:val="000222C6"/>
    <w:rsid w:val="0002549F"/>
    <w:rsid w:val="00035392"/>
    <w:rsid w:val="000468DB"/>
    <w:rsid w:val="0006487A"/>
    <w:rsid w:val="00065F8F"/>
    <w:rsid w:val="00070A43"/>
    <w:rsid w:val="000768F2"/>
    <w:rsid w:val="0008058F"/>
    <w:rsid w:val="00082EAC"/>
    <w:rsid w:val="0009184B"/>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106EC9"/>
    <w:rsid w:val="00114E9B"/>
    <w:rsid w:val="00121EBD"/>
    <w:rsid w:val="00125385"/>
    <w:rsid w:val="00142216"/>
    <w:rsid w:val="00144D6A"/>
    <w:rsid w:val="0014729F"/>
    <w:rsid w:val="00157BAB"/>
    <w:rsid w:val="001654D1"/>
    <w:rsid w:val="001730E5"/>
    <w:rsid w:val="00174518"/>
    <w:rsid w:val="0018106D"/>
    <w:rsid w:val="001877A7"/>
    <w:rsid w:val="00191536"/>
    <w:rsid w:val="00196687"/>
    <w:rsid w:val="001A5875"/>
    <w:rsid w:val="001C0962"/>
    <w:rsid w:val="001C2738"/>
    <w:rsid w:val="001D7531"/>
    <w:rsid w:val="001E0564"/>
    <w:rsid w:val="001E3751"/>
    <w:rsid w:val="001E737D"/>
    <w:rsid w:val="001F0592"/>
    <w:rsid w:val="001F6419"/>
    <w:rsid w:val="001F7506"/>
    <w:rsid w:val="002006CD"/>
    <w:rsid w:val="00202B36"/>
    <w:rsid w:val="00204B7A"/>
    <w:rsid w:val="00204CDE"/>
    <w:rsid w:val="0021101A"/>
    <w:rsid w:val="00220536"/>
    <w:rsid w:val="002354EE"/>
    <w:rsid w:val="00235629"/>
    <w:rsid w:val="002509C3"/>
    <w:rsid w:val="00260289"/>
    <w:rsid w:val="00260C38"/>
    <w:rsid w:val="002616C0"/>
    <w:rsid w:val="002643DB"/>
    <w:rsid w:val="00265372"/>
    <w:rsid w:val="002662AA"/>
    <w:rsid w:val="00280496"/>
    <w:rsid w:val="00283D47"/>
    <w:rsid w:val="00294DC9"/>
    <w:rsid w:val="00295495"/>
    <w:rsid w:val="002A31DE"/>
    <w:rsid w:val="002A5C1E"/>
    <w:rsid w:val="002A62F7"/>
    <w:rsid w:val="002B2613"/>
    <w:rsid w:val="002B42E7"/>
    <w:rsid w:val="002C1468"/>
    <w:rsid w:val="002D6D05"/>
    <w:rsid w:val="002F1818"/>
    <w:rsid w:val="002F5109"/>
    <w:rsid w:val="002F567B"/>
    <w:rsid w:val="002F6F2C"/>
    <w:rsid w:val="0031397C"/>
    <w:rsid w:val="003216A9"/>
    <w:rsid w:val="00335A74"/>
    <w:rsid w:val="00351871"/>
    <w:rsid w:val="003526CB"/>
    <w:rsid w:val="0036561B"/>
    <w:rsid w:val="0037013F"/>
    <w:rsid w:val="00380C92"/>
    <w:rsid w:val="003A484F"/>
    <w:rsid w:val="003A4883"/>
    <w:rsid w:val="003B0BE0"/>
    <w:rsid w:val="003B0C1B"/>
    <w:rsid w:val="003B4FA5"/>
    <w:rsid w:val="003B688C"/>
    <w:rsid w:val="003C0291"/>
    <w:rsid w:val="003C39AE"/>
    <w:rsid w:val="003C7B60"/>
    <w:rsid w:val="003D0C0F"/>
    <w:rsid w:val="003D1FB2"/>
    <w:rsid w:val="003D2919"/>
    <w:rsid w:val="003D66DA"/>
    <w:rsid w:val="003E1310"/>
    <w:rsid w:val="003E2E6A"/>
    <w:rsid w:val="003E6F55"/>
    <w:rsid w:val="0040138C"/>
    <w:rsid w:val="00406254"/>
    <w:rsid w:val="00410559"/>
    <w:rsid w:val="004136C9"/>
    <w:rsid w:val="0041585D"/>
    <w:rsid w:val="00420B47"/>
    <w:rsid w:val="004223DE"/>
    <w:rsid w:val="00434489"/>
    <w:rsid w:val="00437085"/>
    <w:rsid w:val="004423C8"/>
    <w:rsid w:val="00443880"/>
    <w:rsid w:val="004464F4"/>
    <w:rsid w:val="00447329"/>
    <w:rsid w:val="00470183"/>
    <w:rsid w:val="00471401"/>
    <w:rsid w:val="00473F31"/>
    <w:rsid w:val="004741F5"/>
    <w:rsid w:val="0048263A"/>
    <w:rsid w:val="004826A2"/>
    <w:rsid w:val="00487E5D"/>
    <w:rsid w:val="004A711F"/>
    <w:rsid w:val="004B199D"/>
    <w:rsid w:val="004B2822"/>
    <w:rsid w:val="004B4690"/>
    <w:rsid w:val="004E0A2D"/>
    <w:rsid w:val="004E206B"/>
    <w:rsid w:val="004E3607"/>
    <w:rsid w:val="004E6DF7"/>
    <w:rsid w:val="004F0FBD"/>
    <w:rsid w:val="00505A47"/>
    <w:rsid w:val="00512FDA"/>
    <w:rsid w:val="00520DA0"/>
    <w:rsid w:val="00520E06"/>
    <w:rsid w:val="00542DEA"/>
    <w:rsid w:val="005664BB"/>
    <w:rsid w:val="00566FFA"/>
    <w:rsid w:val="0057481D"/>
    <w:rsid w:val="0058486E"/>
    <w:rsid w:val="00585B33"/>
    <w:rsid w:val="0059014D"/>
    <w:rsid w:val="005923C8"/>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172E6"/>
    <w:rsid w:val="00620030"/>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B6406"/>
    <w:rsid w:val="006C1937"/>
    <w:rsid w:val="006F020C"/>
    <w:rsid w:val="007127B7"/>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23B0"/>
    <w:rsid w:val="007E23E5"/>
    <w:rsid w:val="007E6A82"/>
    <w:rsid w:val="007F1991"/>
    <w:rsid w:val="007F2C2F"/>
    <w:rsid w:val="007F55FC"/>
    <w:rsid w:val="007F5665"/>
    <w:rsid w:val="007F7385"/>
    <w:rsid w:val="00800112"/>
    <w:rsid w:val="00813348"/>
    <w:rsid w:val="008253BB"/>
    <w:rsid w:val="0083706E"/>
    <w:rsid w:val="008408F6"/>
    <w:rsid w:val="008423A5"/>
    <w:rsid w:val="00850625"/>
    <w:rsid w:val="00853718"/>
    <w:rsid w:val="00855141"/>
    <w:rsid w:val="00855221"/>
    <w:rsid w:val="008572D1"/>
    <w:rsid w:val="00860645"/>
    <w:rsid w:val="00871F71"/>
    <w:rsid w:val="00872FD8"/>
    <w:rsid w:val="00875641"/>
    <w:rsid w:val="00876E82"/>
    <w:rsid w:val="00885AF4"/>
    <w:rsid w:val="00887F08"/>
    <w:rsid w:val="008914B9"/>
    <w:rsid w:val="008939CD"/>
    <w:rsid w:val="008A1306"/>
    <w:rsid w:val="008A3B9C"/>
    <w:rsid w:val="008B768C"/>
    <w:rsid w:val="008C4DB1"/>
    <w:rsid w:val="008C4EAF"/>
    <w:rsid w:val="008C5176"/>
    <w:rsid w:val="008C7FD0"/>
    <w:rsid w:val="008D18C7"/>
    <w:rsid w:val="008E1DE7"/>
    <w:rsid w:val="008E707C"/>
    <w:rsid w:val="00900B08"/>
    <w:rsid w:val="00902155"/>
    <w:rsid w:val="00902FA3"/>
    <w:rsid w:val="00923564"/>
    <w:rsid w:val="0092392E"/>
    <w:rsid w:val="00930E03"/>
    <w:rsid w:val="009315F9"/>
    <w:rsid w:val="00933499"/>
    <w:rsid w:val="009334F0"/>
    <w:rsid w:val="00935C98"/>
    <w:rsid w:val="00946945"/>
    <w:rsid w:val="00951248"/>
    <w:rsid w:val="0095152F"/>
    <w:rsid w:val="009546E4"/>
    <w:rsid w:val="00954C49"/>
    <w:rsid w:val="00955E37"/>
    <w:rsid w:val="00963244"/>
    <w:rsid w:val="0097099F"/>
    <w:rsid w:val="00971997"/>
    <w:rsid w:val="00971FFC"/>
    <w:rsid w:val="0098660A"/>
    <w:rsid w:val="009931C3"/>
    <w:rsid w:val="0099759B"/>
    <w:rsid w:val="009A091D"/>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37D8"/>
    <w:rsid w:val="00A25C9F"/>
    <w:rsid w:val="00A268C4"/>
    <w:rsid w:val="00A26A6E"/>
    <w:rsid w:val="00A27C77"/>
    <w:rsid w:val="00A307CD"/>
    <w:rsid w:val="00A331C8"/>
    <w:rsid w:val="00A40A00"/>
    <w:rsid w:val="00A4142F"/>
    <w:rsid w:val="00A422EB"/>
    <w:rsid w:val="00A45BB7"/>
    <w:rsid w:val="00A56DF2"/>
    <w:rsid w:val="00A56E6E"/>
    <w:rsid w:val="00A67AB5"/>
    <w:rsid w:val="00A733B2"/>
    <w:rsid w:val="00A741C2"/>
    <w:rsid w:val="00A74A9E"/>
    <w:rsid w:val="00A91760"/>
    <w:rsid w:val="00A93B00"/>
    <w:rsid w:val="00A93C21"/>
    <w:rsid w:val="00AB64C9"/>
    <w:rsid w:val="00AC2E50"/>
    <w:rsid w:val="00AC3C6A"/>
    <w:rsid w:val="00AD20D5"/>
    <w:rsid w:val="00AD5620"/>
    <w:rsid w:val="00AD656B"/>
    <w:rsid w:val="00AD7C1B"/>
    <w:rsid w:val="00AE16BA"/>
    <w:rsid w:val="00AE1EBE"/>
    <w:rsid w:val="00B03C9D"/>
    <w:rsid w:val="00B044E9"/>
    <w:rsid w:val="00B060AE"/>
    <w:rsid w:val="00B10517"/>
    <w:rsid w:val="00B12E8B"/>
    <w:rsid w:val="00B14E76"/>
    <w:rsid w:val="00B161B8"/>
    <w:rsid w:val="00B172CD"/>
    <w:rsid w:val="00B2048C"/>
    <w:rsid w:val="00B310B9"/>
    <w:rsid w:val="00B35A40"/>
    <w:rsid w:val="00B35F3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332B"/>
    <w:rsid w:val="00BC5361"/>
    <w:rsid w:val="00BC5460"/>
    <w:rsid w:val="00BC6B50"/>
    <w:rsid w:val="00BD0E25"/>
    <w:rsid w:val="00BD68A7"/>
    <w:rsid w:val="00BF5BD6"/>
    <w:rsid w:val="00C03E31"/>
    <w:rsid w:val="00C333C0"/>
    <w:rsid w:val="00C33E72"/>
    <w:rsid w:val="00C354B2"/>
    <w:rsid w:val="00C35554"/>
    <w:rsid w:val="00C42709"/>
    <w:rsid w:val="00C46119"/>
    <w:rsid w:val="00C533CC"/>
    <w:rsid w:val="00C5751C"/>
    <w:rsid w:val="00C61BFC"/>
    <w:rsid w:val="00C62B85"/>
    <w:rsid w:val="00C65438"/>
    <w:rsid w:val="00C860D5"/>
    <w:rsid w:val="00C87FD8"/>
    <w:rsid w:val="00C91381"/>
    <w:rsid w:val="00C91CBB"/>
    <w:rsid w:val="00CB083C"/>
    <w:rsid w:val="00CB4E70"/>
    <w:rsid w:val="00CB60D2"/>
    <w:rsid w:val="00CC09B6"/>
    <w:rsid w:val="00CC666F"/>
    <w:rsid w:val="00CD1E3F"/>
    <w:rsid w:val="00CE44F6"/>
    <w:rsid w:val="00CE49DA"/>
    <w:rsid w:val="00CE7B61"/>
    <w:rsid w:val="00CF336D"/>
    <w:rsid w:val="00D00095"/>
    <w:rsid w:val="00D114F0"/>
    <w:rsid w:val="00D17C25"/>
    <w:rsid w:val="00D20620"/>
    <w:rsid w:val="00D254F7"/>
    <w:rsid w:val="00D26091"/>
    <w:rsid w:val="00D2685C"/>
    <w:rsid w:val="00D34E7C"/>
    <w:rsid w:val="00D35489"/>
    <w:rsid w:val="00D36AFE"/>
    <w:rsid w:val="00D51276"/>
    <w:rsid w:val="00D7035F"/>
    <w:rsid w:val="00D741A3"/>
    <w:rsid w:val="00D77751"/>
    <w:rsid w:val="00D950A1"/>
    <w:rsid w:val="00DA634F"/>
    <w:rsid w:val="00DA65AC"/>
    <w:rsid w:val="00DB1913"/>
    <w:rsid w:val="00DC0C48"/>
    <w:rsid w:val="00DC410D"/>
    <w:rsid w:val="00DC5A81"/>
    <w:rsid w:val="00DC68CA"/>
    <w:rsid w:val="00DC7CBA"/>
    <w:rsid w:val="00DD73B7"/>
    <w:rsid w:val="00DE3AC9"/>
    <w:rsid w:val="00DF24DF"/>
    <w:rsid w:val="00DF28BC"/>
    <w:rsid w:val="00DF34B9"/>
    <w:rsid w:val="00E01053"/>
    <w:rsid w:val="00E01B70"/>
    <w:rsid w:val="00E07ACF"/>
    <w:rsid w:val="00E11813"/>
    <w:rsid w:val="00E13C5E"/>
    <w:rsid w:val="00E331A1"/>
    <w:rsid w:val="00E33202"/>
    <w:rsid w:val="00E336A9"/>
    <w:rsid w:val="00E37033"/>
    <w:rsid w:val="00E472B1"/>
    <w:rsid w:val="00E50624"/>
    <w:rsid w:val="00E568DF"/>
    <w:rsid w:val="00E64269"/>
    <w:rsid w:val="00E82267"/>
    <w:rsid w:val="00E84C20"/>
    <w:rsid w:val="00E853CE"/>
    <w:rsid w:val="00E867B6"/>
    <w:rsid w:val="00E95EBE"/>
    <w:rsid w:val="00EA010F"/>
    <w:rsid w:val="00EA77B0"/>
    <w:rsid w:val="00EB0FAE"/>
    <w:rsid w:val="00ED1B63"/>
    <w:rsid w:val="00ED1DA1"/>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17B1"/>
    <w:rsid w:val="00F42556"/>
    <w:rsid w:val="00F45853"/>
    <w:rsid w:val="00F5561B"/>
    <w:rsid w:val="00F602DF"/>
    <w:rsid w:val="00F754A1"/>
    <w:rsid w:val="00F81FD9"/>
    <w:rsid w:val="00F841AA"/>
    <w:rsid w:val="00F84A94"/>
    <w:rsid w:val="00F87E96"/>
    <w:rsid w:val="00FA23E8"/>
    <w:rsid w:val="00FA789D"/>
    <w:rsid w:val="00FC7DA4"/>
    <w:rsid w:val="00FD3CC1"/>
    <w:rsid w:val="00FF1E02"/>
    <w:rsid w:val="00FF30B4"/>
    <w:rsid w:val="015975B8"/>
    <w:rsid w:val="019517B0"/>
    <w:rsid w:val="02FEBE30"/>
    <w:rsid w:val="036F8141"/>
    <w:rsid w:val="066E0107"/>
    <w:rsid w:val="07996F6E"/>
    <w:rsid w:val="07DFD8BA"/>
    <w:rsid w:val="093F20F5"/>
    <w:rsid w:val="0A2032A3"/>
    <w:rsid w:val="0B051143"/>
    <w:rsid w:val="0D35B1ED"/>
    <w:rsid w:val="0E7ED1F5"/>
    <w:rsid w:val="0EF751C3"/>
    <w:rsid w:val="0F98263C"/>
    <w:rsid w:val="101860EC"/>
    <w:rsid w:val="10C055FF"/>
    <w:rsid w:val="118107EC"/>
    <w:rsid w:val="12DD6E8F"/>
    <w:rsid w:val="13B157A0"/>
    <w:rsid w:val="13D50BC4"/>
    <w:rsid w:val="13F5616D"/>
    <w:rsid w:val="16BB723D"/>
    <w:rsid w:val="17F9714D"/>
    <w:rsid w:val="1918F934"/>
    <w:rsid w:val="1BE8440E"/>
    <w:rsid w:val="1D155CEE"/>
    <w:rsid w:val="1DFBC4B3"/>
    <w:rsid w:val="1E740ACF"/>
    <w:rsid w:val="1F19C781"/>
    <w:rsid w:val="1F33FCE5"/>
    <w:rsid w:val="1F7F7398"/>
    <w:rsid w:val="1FD2DB6F"/>
    <w:rsid w:val="1FF35744"/>
    <w:rsid w:val="1FF6BC77"/>
    <w:rsid w:val="1FF9236D"/>
    <w:rsid w:val="2333840E"/>
    <w:rsid w:val="233C2F00"/>
    <w:rsid w:val="23860B96"/>
    <w:rsid w:val="240371BF"/>
    <w:rsid w:val="257C638F"/>
    <w:rsid w:val="28DC786F"/>
    <w:rsid w:val="29FD04D3"/>
    <w:rsid w:val="2BFF7BC6"/>
    <w:rsid w:val="2C8A61B5"/>
    <w:rsid w:val="2CA0649E"/>
    <w:rsid w:val="2CD59C95"/>
    <w:rsid w:val="2DF04E50"/>
    <w:rsid w:val="2EFD05E5"/>
    <w:rsid w:val="2F040D46"/>
    <w:rsid w:val="2F4F95CE"/>
    <w:rsid w:val="2FACAFDD"/>
    <w:rsid w:val="2FAE5751"/>
    <w:rsid w:val="2FB1A395"/>
    <w:rsid w:val="2FCF0B76"/>
    <w:rsid w:val="2FD9A7D8"/>
    <w:rsid w:val="312D6DFE"/>
    <w:rsid w:val="319F7F4E"/>
    <w:rsid w:val="32B4597B"/>
    <w:rsid w:val="3304709D"/>
    <w:rsid w:val="36AA5135"/>
    <w:rsid w:val="36BE0DA7"/>
    <w:rsid w:val="376B6AA6"/>
    <w:rsid w:val="376D39B2"/>
    <w:rsid w:val="37E16F03"/>
    <w:rsid w:val="37F53A3B"/>
    <w:rsid w:val="38D469F0"/>
    <w:rsid w:val="38F78389"/>
    <w:rsid w:val="397BAF1F"/>
    <w:rsid w:val="39E7B272"/>
    <w:rsid w:val="39F7642F"/>
    <w:rsid w:val="39FF7B37"/>
    <w:rsid w:val="3AB79AF3"/>
    <w:rsid w:val="3AFDCB77"/>
    <w:rsid w:val="3B7EF35A"/>
    <w:rsid w:val="3B9FDB6C"/>
    <w:rsid w:val="3BF5BC2F"/>
    <w:rsid w:val="3BF7C23A"/>
    <w:rsid w:val="3BFF223E"/>
    <w:rsid w:val="3C6EC0A1"/>
    <w:rsid w:val="3C710B39"/>
    <w:rsid w:val="3CDB0824"/>
    <w:rsid w:val="3CEBA265"/>
    <w:rsid w:val="3D6A7F9F"/>
    <w:rsid w:val="3D7E7F4D"/>
    <w:rsid w:val="3D98207C"/>
    <w:rsid w:val="3D9CF30A"/>
    <w:rsid w:val="3DFF5A3E"/>
    <w:rsid w:val="3E78745D"/>
    <w:rsid w:val="3EEE77E9"/>
    <w:rsid w:val="3F394AF5"/>
    <w:rsid w:val="3F975C4E"/>
    <w:rsid w:val="3FBE5714"/>
    <w:rsid w:val="3FDD8615"/>
    <w:rsid w:val="3FDFB2FF"/>
    <w:rsid w:val="3FF4CAE0"/>
    <w:rsid w:val="3FF75FAF"/>
    <w:rsid w:val="3FF7B227"/>
    <w:rsid w:val="41A16AAD"/>
    <w:rsid w:val="44E268DA"/>
    <w:rsid w:val="457F4F6B"/>
    <w:rsid w:val="46973CC8"/>
    <w:rsid w:val="4737FB58"/>
    <w:rsid w:val="47ECCB02"/>
    <w:rsid w:val="47FA6A3F"/>
    <w:rsid w:val="49D7AE48"/>
    <w:rsid w:val="4A3F6C7E"/>
    <w:rsid w:val="4A627F82"/>
    <w:rsid w:val="4B0E749A"/>
    <w:rsid w:val="4B4F25DA"/>
    <w:rsid w:val="4BBB4781"/>
    <w:rsid w:val="4BD709A5"/>
    <w:rsid w:val="4BDD9BFF"/>
    <w:rsid w:val="4BE068DB"/>
    <w:rsid w:val="4D577224"/>
    <w:rsid w:val="4DBA3ADF"/>
    <w:rsid w:val="4DBF1CEB"/>
    <w:rsid w:val="4DBF6A6B"/>
    <w:rsid w:val="4DF6A672"/>
    <w:rsid w:val="4EAB630A"/>
    <w:rsid w:val="4ECE2238"/>
    <w:rsid w:val="4F7EA413"/>
    <w:rsid w:val="4FAB812F"/>
    <w:rsid w:val="4FE9BD67"/>
    <w:rsid w:val="4FEC69AC"/>
    <w:rsid w:val="4FEE4C07"/>
    <w:rsid w:val="4FFB052F"/>
    <w:rsid w:val="528D0E70"/>
    <w:rsid w:val="530D078E"/>
    <w:rsid w:val="537E6D0A"/>
    <w:rsid w:val="53AB6B88"/>
    <w:rsid w:val="53F74C96"/>
    <w:rsid w:val="5583522D"/>
    <w:rsid w:val="57BD3DD4"/>
    <w:rsid w:val="57F9CD1E"/>
    <w:rsid w:val="5AF92295"/>
    <w:rsid w:val="5AF9D8E9"/>
    <w:rsid w:val="5BDD38BD"/>
    <w:rsid w:val="5BDD79E6"/>
    <w:rsid w:val="5BEFC772"/>
    <w:rsid w:val="5BFF5DFC"/>
    <w:rsid w:val="5CD71FC4"/>
    <w:rsid w:val="5CFC551B"/>
    <w:rsid w:val="5D1F11B5"/>
    <w:rsid w:val="5D3647F9"/>
    <w:rsid w:val="5DA644D4"/>
    <w:rsid w:val="5DAE1B18"/>
    <w:rsid w:val="5DE7D9E5"/>
    <w:rsid w:val="5ECEC941"/>
    <w:rsid w:val="5EFF8FC6"/>
    <w:rsid w:val="5F5BA39A"/>
    <w:rsid w:val="5F7D3B79"/>
    <w:rsid w:val="5F7F4610"/>
    <w:rsid w:val="5FBF9FF3"/>
    <w:rsid w:val="5FCD4E2C"/>
    <w:rsid w:val="5FEF394A"/>
    <w:rsid w:val="5FF67715"/>
    <w:rsid w:val="612D1F07"/>
    <w:rsid w:val="61CA71D5"/>
    <w:rsid w:val="627EE9EA"/>
    <w:rsid w:val="63B23AA5"/>
    <w:rsid w:val="647F5392"/>
    <w:rsid w:val="64E322C4"/>
    <w:rsid w:val="65FB93B9"/>
    <w:rsid w:val="6633C463"/>
    <w:rsid w:val="66AB7286"/>
    <w:rsid w:val="67D55B77"/>
    <w:rsid w:val="67EE7F84"/>
    <w:rsid w:val="686F5F53"/>
    <w:rsid w:val="6AFFCEAF"/>
    <w:rsid w:val="6B96E9E6"/>
    <w:rsid w:val="6BCE57B5"/>
    <w:rsid w:val="6BFEA4DB"/>
    <w:rsid w:val="6BFFB662"/>
    <w:rsid w:val="6C4A05C8"/>
    <w:rsid w:val="6CFF4FB8"/>
    <w:rsid w:val="6D6BD6E0"/>
    <w:rsid w:val="6D77E73C"/>
    <w:rsid w:val="6DBF5E93"/>
    <w:rsid w:val="6DFF077E"/>
    <w:rsid w:val="6E7E3605"/>
    <w:rsid w:val="6E7FDCC7"/>
    <w:rsid w:val="6ED6A62E"/>
    <w:rsid w:val="6EE00B15"/>
    <w:rsid w:val="6EE737B2"/>
    <w:rsid w:val="6EEB2329"/>
    <w:rsid w:val="6EECE67A"/>
    <w:rsid w:val="6F6F90A8"/>
    <w:rsid w:val="6F6FB3EB"/>
    <w:rsid w:val="6F8731EA"/>
    <w:rsid w:val="6FBC2ADD"/>
    <w:rsid w:val="6FD57C00"/>
    <w:rsid w:val="6FEFFFD8"/>
    <w:rsid w:val="6FF5CC65"/>
    <w:rsid w:val="6FFB47EC"/>
    <w:rsid w:val="6FFF034A"/>
    <w:rsid w:val="70342CA5"/>
    <w:rsid w:val="712A28F1"/>
    <w:rsid w:val="715C0E4B"/>
    <w:rsid w:val="71FFD401"/>
    <w:rsid w:val="72233669"/>
    <w:rsid w:val="72734D90"/>
    <w:rsid w:val="7332FE48"/>
    <w:rsid w:val="73AD73D5"/>
    <w:rsid w:val="73B6EB34"/>
    <w:rsid w:val="73FA497D"/>
    <w:rsid w:val="744731E5"/>
    <w:rsid w:val="74BBD01D"/>
    <w:rsid w:val="74ED5379"/>
    <w:rsid w:val="75DEEEC2"/>
    <w:rsid w:val="76336F42"/>
    <w:rsid w:val="767F479D"/>
    <w:rsid w:val="76E3355F"/>
    <w:rsid w:val="76F742AF"/>
    <w:rsid w:val="76F7BE7D"/>
    <w:rsid w:val="76FF5125"/>
    <w:rsid w:val="773570D3"/>
    <w:rsid w:val="77597F31"/>
    <w:rsid w:val="776F6FFA"/>
    <w:rsid w:val="7777A522"/>
    <w:rsid w:val="77858688"/>
    <w:rsid w:val="778769C8"/>
    <w:rsid w:val="77CB741A"/>
    <w:rsid w:val="77D7BE3A"/>
    <w:rsid w:val="77DC22F5"/>
    <w:rsid w:val="797E3A6C"/>
    <w:rsid w:val="79CF70E2"/>
    <w:rsid w:val="79D7FD79"/>
    <w:rsid w:val="79E75806"/>
    <w:rsid w:val="79EE5BA4"/>
    <w:rsid w:val="7A641148"/>
    <w:rsid w:val="7A6F8BF5"/>
    <w:rsid w:val="7A894339"/>
    <w:rsid w:val="7ACF82B5"/>
    <w:rsid w:val="7AFF28C9"/>
    <w:rsid w:val="7AFF72A0"/>
    <w:rsid w:val="7AFF7572"/>
    <w:rsid w:val="7B6C7DFB"/>
    <w:rsid w:val="7B7D76A7"/>
    <w:rsid w:val="7BAE2FE2"/>
    <w:rsid w:val="7BAF6951"/>
    <w:rsid w:val="7BBFBED0"/>
    <w:rsid w:val="7BC3E394"/>
    <w:rsid w:val="7BF3FE4C"/>
    <w:rsid w:val="7BFB5035"/>
    <w:rsid w:val="7BFDE17E"/>
    <w:rsid w:val="7C407B17"/>
    <w:rsid w:val="7CBFC87B"/>
    <w:rsid w:val="7CFE0F48"/>
    <w:rsid w:val="7D3DE31C"/>
    <w:rsid w:val="7D7EC23E"/>
    <w:rsid w:val="7D7F8A13"/>
    <w:rsid w:val="7DBBCB01"/>
    <w:rsid w:val="7DC765D0"/>
    <w:rsid w:val="7DDB0EE0"/>
    <w:rsid w:val="7DFF51D8"/>
    <w:rsid w:val="7E634199"/>
    <w:rsid w:val="7E8ADEBF"/>
    <w:rsid w:val="7EEF11D3"/>
    <w:rsid w:val="7EF78C20"/>
    <w:rsid w:val="7F3F679B"/>
    <w:rsid w:val="7F4FC4EF"/>
    <w:rsid w:val="7F5E4D54"/>
    <w:rsid w:val="7F6B75FA"/>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nhideWhenUsed="0"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5"/>
    <w:unhideWhenUsed/>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uiPriority w:val="1"/>
  </w:style>
  <w:style w:type="table" w:default="1" w:styleId="1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caption"/>
    <w:basedOn w:val="1"/>
    <w:next w:val="1"/>
    <w:qFormat/>
    <w:uiPriority w:val="0"/>
    <w:pPr>
      <w:suppressLineNumbers/>
      <w:suppressAutoHyphens/>
      <w:spacing w:before="120" w:after="120"/>
    </w:pPr>
    <w:rPr>
      <w:rFonts w:ascii="Calibri" w:hAnsi="Calibri"/>
      <w:i/>
      <w:iCs/>
      <w:sz w:val="24"/>
    </w:rPr>
  </w:style>
  <w:style w:type="paragraph" w:styleId="7">
    <w:name w:val="Body Text"/>
    <w:basedOn w:val="1"/>
    <w:link w:val="28"/>
    <w:qFormat/>
    <w:uiPriority w:val="99"/>
    <w:pPr>
      <w:spacing w:beforeLines="30"/>
    </w:pPr>
    <w:rPr>
      <w:rFonts w:ascii="仿宋_GB2312" w:eastAsia="仿宋_GB2312"/>
      <w:kern w:val="0"/>
      <w:sz w:val="30"/>
    </w:rPr>
  </w:style>
  <w:style w:type="paragraph" w:styleId="8">
    <w:name w:val="Body Text Indent"/>
    <w:basedOn w:val="1"/>
    <w:link w:val="49"/>
    <w:qFormat/>
    <w:uiPriority w:val="0"/>
    <w:pPr>
      <w:spacing w:after="120"/>
      <w:ind w:left="200" w:leftChars="200"/>
    </w:pPr>
    <w:rPr>
      <w:rFonts w:ascii="仿宋_GB2312"/>
      <w:szCs w:val="32"/>
    </w:rPr>
  </w:style>
  <w:style w:type="paragraph" w:styleId="9">
    <w:name w:val="toc 3"/>
    <w:basedOn w:val="1"/>
    <w:next w:val="1"/>
    <w:unhideWhenUsed/>
    <w:qFormat/>
    <w:uiPriority w:val="39"/>
    <w:pPr>
      <w:tabs>
        <w:tab w:val="right" w:leader="dot" w:pos="8296"/>
      </w:tabs>
      <w:ind w:left="840" w:leftChars="400"/>
    </w:pPr>
  </w:style>
  <w:style w:type="paragraph" w:styleId="10">
    <w:name w:val="Plain Text"/>
    <w:basedOn w:val="1"/>
    <w:link w:val="111"/>
    <w:qFormat/>
    <w:uiPriority w:val="0"/>
    <w:rPr>
      <w:rFonts w:ascii="宋体" w:hAnsi="Courier New"/>
    </w:rPr>
  </w:style>
  <w:style w:type="paragraph" w:styleId="11">
    <w:name w:val="Balloon Text"/>
    <w:basedOn w:val="1"/>
    <w:link w:val="34"/>
    <w:unhideWhenUsed/>
    <w:qFormat/>
    <w:uiPriority w:val="99"/>
    <w:rPr>
      <w:sz w:val="18"/>
      <w:szCs w:val="18"/>
    </w:rPr>
  </w:style>
  <w:style w:type="paragraph" w:styleId="12">
    <w:name w:val="footer"/>
    <w:basedOn w:val="1"/>
    <w:link w:val="26"/>
    <w:qFormat/>
    <w:uiPriority w:val="99"/>
    <w:pPr>
      <w:tabs>
        <w:tab w:val="center" w:pos="4153"/>
        <w:tab w:val="right" w:pos="8306"/>
      </w:tabs>
      <w:snapToGrid w:val="0"/>
      <w:jc w:val="left"/>
    </w:pPr>
    <w:rPr>
      <w:rFonts w:ascii="Calibri" w:hAnsi="Calibri"/>
      <w:kern w:val="0"/>
      <w:sz w:val="18"/>
      <w:szCs w:val="18"/>
    </w:rPr>
  </w:style>
  <w:style w:type="paragraph" w:styleId="13">
    <w:name w:val="header"/>
    <w:basedOn w:val="1"/>
    <w:link w:val="24"/>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4">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5">
    <w:name w:val="footnote text"/>
    <w:basedOn w:val="1"/>
    <w:next w:val="16"/>
    <w:link w:val="48"/>
    <w:semiHidden/>
    <w:qFormat/>
    <w:uiPriority w:val="0"/>
    <w:pPr>
      <w:suppressAutoHyphens/>
      <w:snapToGrid w:val="0"/>
      <w:jc w:val="left"/>
    </w:pPr>
    <w:rPr>
      <w:rFonts w:ascii="Calibri" w:hAnsi="Calibri"/>
      <w:sz w:val="18"/>
      <w:szCs w:val="18"/>
    </w:rPr>
  </w:style>
  <w:style w:type="paragraph" w:styleId="16">
    <w:name w:val="Body Text First Indent 2"/>
    <w:basedOn w:val="8"/>
    <w:link w:val="50"/>
    <w:unhideWhenUsed/>
    <w:qFormat/>
    <w:uiPriority w:val="99"/>
    <w:pPr>
      <w:ind w:firstLine="420" w:firstLineChars="200"/>
    </w:pPr>
  </w:style>
  <w:style w:type="paragraph" w:styleId="17">
    <w:name w:val="toc 2"/>
    <w:basedOn w:val="1"/>
    <w:next w:val="1"/>
    <w:unhideWhenUsed/>
    <w:qFormat/>
    <w:uiPriority w:val="39"/>
    <w:pPr>
      <w:tabs>
        <w:tab w:val="right" w:leader="dot" w:pos="8296"/>
      </w:tabs>
      <w:ind w:left="420" w:leftChars="200"/>
    </w:pPr>
  </w:style>
  <w:style w:type="character" w:styleId="20">
    <w:name w:val="Strong"/>
    <w:basedOn w:val="19"/>
    <w:qFormat/>
    <w:uiPriority w:val="99"/>
    <w:rPr>
      <w:b/>
    </w:rPr>
  </w:style>
  <w:style w:type="character" w:styleId="21">
    <w:name w:val="FollowedHyperlink"/>
    <w:semiHidden/>
    <w:qFormat/>
    <w:uiPriority w:val="99"/>
    <w:rPr>
      <w:color w:val="800080"/>
      <w:u w:val="single"/>
    </w:rPr>
  </w:style>
  <w:style w:type="character" w:styleId="22">
    <w:name w:val="Hyperlink"/>
    <w:basedOn w:val="19"/>
    <w:unhideWhenUsed/>
    <w:qFormat/>
    <w:uiPriority w:val="99"/>
    <w:rPr>
      <w:color w:val="0000FF" w:themeColor="hyperlink"/>
      <w:u w:val="single"/>
    </w:rPr>
  </w:style>
  <w:style w:type="character" w:customStyle="1" w:styleId="23">
    <w:name w:val="Header Char"/>
    <w:basedOn w:val="19"/>
    <w:semiHidden/>
    <w:qFormat/>
    <w:uiPriority w:val="99"/>
    <w:rPr>
      <w:rFonts w:ascii="Times New Roman" w:hAnsi="Times New Roman"/>
      <w:sz w:val="18"/>
      <w:szCs w:val="18"/>
    </w:rPr>
  </w:style>
  <w:style w:type="character" w:customStyle="1" w:styleId="24">
    <w:name w:val="页眉 Char"/>
    <w:link w:val="13"/>
    <w:qFormat/>
    <w:locked/>
    <w:uiPriority w:val="99"/>
    <w:rPr>
      <w:sz w:val="18"/>
    </w:rPr>
  </w:style>
  <w:style w:type="character" w:customStyle="1" w:styleId="25">
    <w:name w:val="Footer Char"/>
    <w:basedOn w:val="19"/>
    <w:semiHidden/>
    <w:qFormat/>
    <w:uiPriority w:val="99"/>
    <w:rPr>
      <w:rFonts w:ascii="Times New Roman" w:hAnsi="Times New Roman"/>
      <w:sz w:val="18"/>
      <w:szCs w:val="18"/>
    </w:rPr>
  </w:style>
  <w:style w:type="character" w:customStyle="1" w:styleId="26">
    <w:name w:val="页脚 Char"/>
    <w:link w:val="12"/>
    <w:qFormat/>
    <w:locked/>
    <w:uiPriority w:val="99"/>
    <w:rPr>
      <w:sz w:val="18"/>
    </w:rPr>
  </w:style>
  <w:style w:type="character" w:customStyle="1" w:styleId="27">
    <w:name w:val="Body Text Char"/>
    <w:basedOn w:val="19"/>
    <w:semiHidden/>
    <w:qFormat/>
    <w:uiPriority w:val="99"/>
    <w:rPr>
      <w:rFonts w:ascii="Times New Roman" w:hAnsi="Times New Roman"/>
      <w:szCs w:val="24"/>
    </w:rPr>
  </w:style>
  <w:style w:type="character" w:customStyle="1" w:styleId="28">
    <w:name w:val="正文文本 Char"/>
    <w:link w:val="7"/>
    <w:qFormat/>
    <w:locked/>
    <w:uiPriority w:val="99"/>
    <w:rPr>
      <w:rFonts w:ascii="仿宋_GB2312" w:hAnsi="Times New Roman" w:eastAsia="仿宋_GB2312"/>
      <w:sz w:val="24"/>
    </w:rPr>
  </w:style>
  <w:style w:type="paragraph" w:customStyle="1" w:styleId="29">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0">
    <w:name w:val="List Paragraph"/>
    <w:basedOn w:val="1"/>
    <w:qFormat/>
    <w:uiPriority w:val="34"/>
    <w:pPr>
      <w:ind w:firstLine="420" w:firstLineChars="200"/>
    </w:pPr>
  </w:style>
  <w:style w:type="character" w:customStyle="1" w:styleId="31">
    <w:name w:val="标题 1 Char"/>
    <w:basedOn w:val="19"/>
    <w:link w:val="3"/>
    <w:qFormat/>
    <w:uiPriority w:val="9"/>
    <w:rPr>
      <w:rFonts w:ascii="Times New Roman" w:hAnsi="Times New Roman"/>
      <w:b/>
      <w:bCs/>
      <w:kern w:val="44"/>
      <w:sz w:val="44"/>
      <w:szCs w:val="44"/>
    </w:rPr>
  </w:style>
  <w:style w:type="character" w:customStyle="1" w:styleId="32">
    <w:name w:val="标题 2 Char"/>
    <w:basedOn w:val="19"/>
    <w:link w:val="4"/>
    <w:qFormat/>
    <w:uiPriority w:val="9"/>
    <w:rPr>
      <w:rFonts w:asciiTheme="majorHAnsi" w:hAnsiTheme="majorHAnsi" w:eastAsiaTheme="majorEastAsia" w:cstheme="majorBidi"/>
      <w:b/>
      <w:bCs/>
      <w:kern w:val="2"/>
      <w:sz w:val="32"/>
      <w:szCs w:val="32"/>
    </w:rPr>
  </w:style>
  <w:style w:type="paragraph" w:customStyle="1" w:styleId="33">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4">
    <w:name w:val="批注框文本 Char"/>
    <w:basedOn w:val="19"/>
    <w:link w:val="11"/>
    <w:qFormat/>
    <w:uiPriority w:val="99"/>
    <w:rPr>
      <w:rFonts w:ascii="Times New Roman" w:hAnsi="Times New Roman"/>
      <w:kern w:val="2"/>
      <w:sz w:val="18"/>
      <w:szCs w:val="18"/>
    </w:rPr>
  </w:style>
  <w:style w:type="character" w:customStyle="1" w:styleId="35">
    <w:name w:val="标题 3 Char"/>
    <w:basedOn w:val="19"/>
    <w:link w:val="5"/>
    <w:qFormat/>
    <w:uiPriority w:val="0"/>
    <w:rPr>
      <w:rFonts w:ascii="Times New Roman" w:hAnsi="Times New Roman"/>
      <w:b/>
      <w:bCs/>
      <w:kern w:val="2"/>
      <w:sz w:val="32"/>
      <w:szCs w:val="32"/>
    </w:rPr>
  </w:style>
  <w:style w:type="paragraph" w:customStyle="1" w:styleId="36">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7">
    <w:name w:val="四号正文"/>
    <w:basedOn w:val="1"/>
    <w:qFormat/>
    <w:uiPriority w:val="0"/>
    <w:pPr>
      <w:spacing w:line="360" w:lineRule="auto"/>
    </w:pPr>
    <w:rPr>
      <w:rFonts w:ascii="??" w:hAnsi="??"/>
      <w:color w:val="000000"/>
      <w:kern w:val="0"/>
      <w:sz w:val="28"/>
      <w:szCs w:val="21"/>
      <w:lang w:val="zh-CN"/>
    </w:rPr>
  </w:style>
  <w:style w:type="character" w:customStyle="1" w:styleId="38">
    <w:name w:val="Subtle Emphasis"/>
    <w:basedOn w:val="19"/>
    <w:qFormat/>
    <w:uiPriority w:val="19"/>
    <w:rPr>
      <w:i/>
      <w:iCs/>
      <w:color w:val="7F7F7F" w:themeColor="text1" w:themeTint="7F"/>
    </w:rPr>
  </w:style>
  <w:style w:type="paragraph" w:customStyle="1" w:styleId="39">
    <w:name w:val="列出段落1"/>
    <w:basedOn w:val="1"/>
    <w:qFormat/>
    <w:uiPriority w:val="34"/>
    <w:pPr>
      <w:suppressAutoHyphens/>
      <w:ind w:firstLine="420" w:firstLineChars="200"/>
    </w:pPr>
    <w:rPr>
      <w:rFonts w:ascii="Calibri" w:hAnsi="Calibri"/>
    </w:rPr>
  </w:style>
  <w:style w:type="character" w:customStyle="1" w:styleId="40">
    <w:name w:val="页眉 字符"/>
    <w:qFormat/>
    <w:locked/>
    <w:uiPriority w:val="99"/>
    <w:rPr>
      <w:rFonts w:ascii="Times New Roman" w:hAnsi="Times New Roman" w:eastAsia="宋体" w:cs="Times New Roman"/>
      <w:kern w:val="0"/>
      <w:sz w:val="18"/>
      <w:szCs w:val="18"/>
    </w:rPr>
  </w:style>
  <w:style w:type="character" w:customStyle="1" w:styleId="41">
    <w:name w:val="页脚 字符"/>
    <w:qFormat/>
    <w:locked/>
    <w:uiPriority w:val="99"/>
    <w:rPr>
      <w:rFonts w:ascii="Times New Roman" w:hAnsi="Times New Roman" w:eastAsia="宋体" w:cs="Times New Roman"/>
      <w:kern w:val="0"/>
      <w:sz w:val="18"/>
      <w:szCs w:val="18"/>
    </w:rPr>
  </w:style>
  <w:style w:type="character" w:customStyle="1" w:styleId="42">
    <w:name w:val="批注框文本 字符"/>
    <w:qFormat/>
    <w:uiPriority w:val="0"/>
    <w:rPr>
      <w:rFonts w:ascii="Calibri" w:hAnsi="Calibri" w:eastAsia="宋体" w:cs="Times New Roman"/>
      <w:sz w:val="18"/>
      <w:szCs w:val="18"/>
    </w:rPr>
  </w:style>
  <w:style w:type="character" w:customStyle="1" w:styleId="43">
    <w:name w:val="Subtle Reference"/>
    <w:basedOn w:val="19"/>
    <w:qFormat/>
    <w:uiPriority w:val="31"/>
    <w:rPr>
      <w:smallCaps/>
      <w:color w:val="C0504D" w:themeColor="accent2"/>
      <w:u w:val="single"/>
    </w:rPr>
  </w:style>
  <w:style w:type="character" w:customStyle="1" w:styleId="44">
    <w:name w:val="apple-converted-space"/>
    <w:basedOn w:val="19"/>
    <w:qFormat/>
    <w:uiPriority w:val="99"/>
  </w:style>
  <w:style w:type="character" w:customStyle="1" w:styleId="45">
    <w:name w:val="页眉 Char1"/>
    <w:qFormat/>
    <w:locked/>
    <w:uiPriority w:val="99"/>
    <w:rPr>
      <w:rFonts w:ascii="Times New Roman" w:hAnsi="Times New Roman" w:eastAsia="宋体" w:cs="Times New Roman"/>
      <w:kern w:val="0"/>
      <w:sz w:val="18"/>
      <w:szCs w:val="18"/>
    </w:rPr>
  </w:style>
  <w:style w:type="character" w:customStyle="1" w:styleId="46">
    <w:name w:val="页脚 Char1"/>
    <w:qFormat/>
    <w:locked/>
    <w:uiPriority w:val="99"/>
    <w:rPr>
      <w:rFonts w:ascii="Times New Roman" w:hAnsi="Times New Roman" w:eastAsia="宋体" w:cs="Times New Roman"/>
      <w:kern w:val="0"/>
      <w:sz w:val="18"/>
      <w:szCs w:val="18"/>
    </w:rPr>
  </w:style>
  <w:style w:type="character" w:customStyle="1" w:styleId="47">
    <w:name w:val="批注框文本 Char1"/>
    <w:qFormat/>
    <w:uiPriority w:val="0"/>
    <w:rPr>
      <w:rFonts w:ascii="Calibri" w:hAnsi="Calibri" w:eastAsia="宋体" w:cs="Times New Roman"/>
      <w:sz w:val="18"/>
      <w:szCs w:val="18"/>
    </w:rPr>
  </w:style>
  <w:style w:type="character" w:customStyle="1" w:styleId="48">
    <w:name w:val="脚注文本 Char"/>
    <w:basedOn w:val="19"/>
    <w:link w:val="15"/>
    <w:semiHidden/>
    <w:qFormat/>
    <w:uiPriority w:val="0"/>
    <w:rPr>
      <w:rFonts w:ascii="Calibri" w:hAnsi="Calibri" w:eastAsia="宋体" w:cs="Times New Roman"/>
      <w:kern w:val="2"/>
      <w:sz w:val="18"/>
      <w:szCs w:val="18"/>
    </w:rPr>
  </w:style>
  <w:style w:type="character" w:customStyle="1" w:styleId="49">
    <w:name w:val="正文文本缩进 Char"/>
    <w:basedOn w:val="19"/>
    <w:link w:val="8"/>
    <w:qFormat/>
    <w:uiPriority w:val="0"/>
    <w:rPr>
      <w:rFonts w:ascii="仿宋_GB2312" w:hAnsi="Times New Roman" w:eastAsia="宋体" w:cs="Times New Roman"/>
      <w:kern w:val="2"/>
      <w:sz w:val="21"/>
      <w:szCs w:val="32"/>
    </w:rPr>
  </w:style>
  <w:style w:type="character" w:customStyle="1" w:styleId="50">
    <w:name w:val="正文首行缩进 2 Char"/>
    <w:basedOn w:val="49"/>
    <w:link w:val="16"/>
    <w:qFormat/>
    <w:uiPriority w:val="99"/>
  </w:style>
  <w:style w:type="paragraph" w:customStyle="1" w:styleId="51">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52">
    <w:name w:val="xl74"/>
    <w:basedOn w:val="1"/>
    <w:qFormat/>
    <w:uiPriority w:val="0"/>
    <w:pPr>
      <w:widowControl/>
      <w:spacing w:before="100" w:beforeAutospacing="1" w:after="100" w:afterAutospacing="1"/>
      <w:jc w:val="left"/>
      <w:textAlignment w:val="center"/>
    </w:pPr>
    <w:rPr>
      <w:rFonts w:ascii="宋体" w:hAnsi="宋体" w:cs="宋体"/>
      <w:kern w:val="0"/>
      <w:sz w:val="24"/>
    </w:rPr>
  </w:style>
  <w:style w:type="paragraph" w:customStyle="1" w:styleId="53">
    <w:name w:val="xl7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仿宋" w:hAnsi="仿宋" w:eastAsia="仿宋" w:cs="宋体"/>
      <w:i/>
      <w:iCs/>
      <w:color w:val="000000"/>
      <w:kern w:val="0"/>
      <w:sz w:val="16"/>
      <w:szCs w:val="16"/>
    </w:rPr>
  </w:style>
  <w:style w:type="paragraph" w:customStyle="1" w:styleId="54">
    <w:name w:val="xl7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55">
    <w:name w:val="xl77"/>
    <w:basedOn w:val="1"/>
    <w:qFormat/>
    <w:uiPriority w:val="0"/>
    <w:pPr>
      <w:widowControl/>
      <w:spacing w:before="100" w:beforeAutospacing="1" w:after="100" w:afterAutospacing="1"/>
      <w:jc w:val="left"/>
      <w:textAlignment w:val="center"/>
    </w:pPr>
    <w:rPr>
      <w:rFonts w:ascii="仿宋" w:hAnsi="仿宋" w:eastAsia="仿宋" w:cs="宋体"/>
      <w:color w:val="000000"/>
      <w:kern w:val="0"/>
      <w:sz w:val="16"/>
      <w:szCs w:val="16"/>
    </w:rPr>
  </w:style>
  <w:style w:type="paragraph" w:customStyle="1" w:styleId="56">
    <w:name w:val="xl7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仿宋" w:hAnsi="仿宋" w:eastAsia="仿宋" w:cs="宋体"/>
      <w:color w:val="000000"/>
      <w:kern w:val="0"/>
      <w:sz w:val="16"/>
      <w:szCs w:val="16"/>
    </w:rPr>
  </w:style>
  <w:style w:type="paragraph" w:customStyle="1" w:styleId="57">
    <w:name w:val="xl7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58">
    <w:name w:val="xl8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59">
    <w:name w:val="xl81"/>
    <w:basedOn w:val="1"/>
    <w:qFormat/>
    <w:uiPriority w:val="0"/>
    <w:pPr>
      <w:widowControl/>
      <w:pBdr>
        <w:top w:val="single" w:color="000000" w:sz="4" w:space="0"/>
        <w:left w:val="single" w:color="000000" w:sz="4" w:space="0"/>
        <w:right w:val="single" w:color="000000" w:sz="4" w:space="0"/>
      </w:pBdr>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60">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16"/>
      <w:szCs w:val="16"/>
    </w:rPr>
  </w:style>
  <w:style w:type="paragraph" w:customStyle="1" w:styleId="61">
    <w:name w:val="xl8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62">
    <w:name w:val="xl8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16"/>
      <w:szCs w:val="16"/>
    </w:rPr>
  </w:style>
  <w:style w:type="paragraph" w:customStyle="1" w:styleId="63">
    <w:name w:val="xl85"/>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64">
    <w:name w:val="xl86"/>
    <w:basedOn w:val="1"/>
    <w:qFormat/>
    <w:uiPriority w:val="0"/>
    <w:pPr>
      <w:widowControl/>
      <w:pBdr>
        <w:left w:val="single" w:color="000000" w:sz="4" w:space="0"/>
        <w:bottom w:val="single" w:color="000000" w:sz="4" w:space="0"/>
      </w:pBdr>
      <w:spacing w:before="100" w:beforeAutospacing="1" w:after="100" w:afterAutospacing="1"/>
      <w:jc w:val="center"/>
      <w:textAlignment w:val="center"/>
    </w:pPr>
    <w:rPr>
      <w:rFonts w:ascii="仿宋" w:hAnsi="仿宋" w:eastAsia="仿宋" w:cs="宋体"/>
      <w:kern w:val="0"/>
      <w:sz w:val="16"/>
      <w:szCs w:val="16"/>
    </w:rPr>
  </w:style>
  <w:style w:type="paragraph" w:customStyle="1" w:styleId="65">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16"/>
      <w:szCs w:val="16"/>
    </w:rPr>
  </w:style>
  <w:style w:type="paragraph" w:customStyle="1" w:styleId="66">
    <w:name w:val="xl88"/>
    <w:basedOn w:val="1"/>
    <w:qFormat/>
    <w:uiPriority w:val="0"/>
    <w:pPr>
      <w:widowControl/>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67">
    <w:name w:val="xl8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68">
    <w:name w:val="xl9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仿宋" w:hAnsi="仿宋" w:eastAsia="仿宋" w:cs="宋体"/>
      <w:color w:val="000000"/>
      <w:kern w:val="0"/>
      <w:sz w:val="18"/>
      <w:szCs w:val="18"/>
    </w:rPr>
  </w:style>
  <w:style w:type="paragraph" w:customStyle="1" w:styleId="69">
    <w:name w:val="xl9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仿宋" w:hAnsi="仿宋" w:eastAsia="仿宋" w:cs="宋体"/>
      <w:color w:val="000000"/>
      <w:kern w:val="0"/>
      <w:sz w:val="18"/>
      <w:szCs w:val="18"/>
    </w:rPr>
  </w:style>
  <w:style w:type="paragraph" w:customStyle="1" w:styleId="70">
    <w:name w:val="xl9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仿宋" w:hAnsi="仿宋" w:eastAsia="仿宋" w:cs="宋体"/>
      <w:color w:val="000000"/>
      <w:kern w:val="0"/>
      <w:sz w:val="18"/>
      <w:szCs w:val="18"/>
    </w:rPr>
  </w:style>
  <w:style w:type="paragraph" w:customStyle="1" w:styleId="71">
    <w:name w:val="xl9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仿宋" w:hAnsi="仿宋" w:eastAsia="仿宋" w:cs="宋体"/>
      <w:i/>
      <w:iCs/>
      <w:color w:val="000000"/>
      <w:kern w:val="0"/>
      <w:sz w:val="18"/>
      <w:szCs w:val="18"/>
    </w:rPr>
  </w:style>
  <w:style w:type="paragraph" w:customStyle="1" w:styleId="72">
    <w:name w:val="xl94"/>
    <w:basedOn w:val="1"/>
    <w:qFormat/>
    <w:uiPriority w:val="0"/>
    <w:pPr>
      <w:widowControl/>
      <w:pBdr>
        <w:top w:val="single" w:color="000000" w:sz="4" w:space="0"/>
        <w:left w:val="single" w:color="000000" w:sz="4" w:space="0"/>
        <w:right w:val="single" w:color="000000" w:sz="4" w:space="0"/>
      </w:pBdr>
      <w:spacing w:before="100" w:beforeAutospacing="1" w:after="100" w:afterAutospacing="1"/>
      <w:jc w:val="center"/>
      <w:textAlignment w:val="center"/>
    </w:pPr>
    <w:rPr>
      <w:rFonts w:ascii="仿宋" w:hAnsi="仿宋" w:eastAsia="仿宋" w:cs="宋体"/>
      <w:color w:val="000000"/>
      <w:kern w:val="0"/>
      <w:sz w:val="18"/>
      <w:szCs w:val="18"/>
    </w:rPr>
  </w:style>
  <w:style w:type="paragraph" w:customStyle="1" w:styleId="73">
    <w:name w:val="xl95"/>
    <w:basedOn w:val="1"/>
    <w:qFormat/>
    <w:uiPriority w:val="0"/>
    <w:pPr>
      <w:widowControl/>
      <w:pBdr>
        <w:bottom w:val="single" w:color="000000" w:sz="4" w:space="0"/>
      </w:pBdr>
      <w:spacing w:before="100" w:beforeAutospacing="1" w:after="100" w:afterAutospacing="1"/>
      <w:jc w:val="left"/>
      <w:textAlignment w:val="center"/>
    </w:pPr>
    <w:rPr>
      <w:rFonts w:ascii="仿宋" w:hAnsi="仿宋" w:eastAsia="仿宋" w:cs="宋体"/>
      <w:color w:val="000000"/>
      <w:kern w:val="0"/>
      <w:sz w:val="16"/>
      <w:szCs w:val="16"/>
    </w:rPr>
  </w:style>
  <w:style w:type="paragraph" w:customStyle="1" w:styleId="74">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16"/>
      <w:szCs w:val="16"/>
    </w:rPr>
  </w:style>
  <w:style w:type="paragraph" w:customStyle="1" w:styleId="75">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16"/>
      <w:szCs w:val="16"/>
    </w:rPr>
  </w:style>
  <w:style w:type="paragraph" w:customStyle="1" w:styleId="76">
    <w:name w:val="xl9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仿宋" w:hAnsi="仿宋" w:eastAsia="仿宋" w:cs="宋体"/>
      <w:kern w:val="0"/>
      <w:sz w:val="18"/>
      <w:szCs w:val="18"/>
    </w:rPr>
  </w:style>
  <w:style w:type="paragraph" w:customStyle="1" w:styleId="77">
    <w:name w:val="xl99"/>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仿宋" w:hAnsi="仿宋" w:eastAsia="仿宋" w:cs="宋体"/>
      <w:kern w:val="0"/>
      <w:sz w:val="18"/>
      <w:szCs w:val="18"/>
    </w:rPr>
  </w:style>
  <w:style w:type="paragraph" w:customStyle="1" w:styleId="78">
    <w:name w:val="xl10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18"/>
      <w:szCs w:val="18"/>
    </w:rPr>
  </w:style>
  <w:style w:type="paragraph" w:customStyle="1" w:styleId="79">
    <w:name w:val="xl101"/>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18"/>
      <w:szCs w:val="18"/>
    </w:rPr>
  </w:style>
  <w:style w:type="paragraph" w:customStyle="1" w:styleId="80">
    <w:name w:val="xl102"/>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18"/>
      <w:szCs w:val="18"/>
    </w:rPr>
  </w:style>
  <w:style w:type="paragraph" w:customStyle="1" w:styleId="81">
    <w:name w:val="xl10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18"/>
      <w:szCs w:val="18"/>
    </w:rPr>
  </w:style>
  <w:style w:type="paragraph" w:customStyle="1" w:styleId="82">
    <w:name w:val="xl10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仿宋" w:hAnsi="仿宋" w:eastAsia="仿宋" w:cs="宋体"/>
      <w:kern w:val="0"/>
      <w:sz w:val="16"/>
      <w:szCs w:val="16"/>
    </w:rPr>
  </w:style>
  <w:style w:type="paragraph" w:customStyle="1" w:styleId="83">
    <w:name w:val="xl105"/>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仿宋" w:hAnsi="仿宋" w:eastAsia="仿宋" w:cs="宋体"/>
      <w:kern w:val="0"/>
      <w:sz w:val="16"/>
      <w:szCs w:val="16"/>
    </w:rPr>
  </w:style>
  <w:style w:type="paragraph" w:customStyle="1" w:styleId="84">
    <w:name w:val="xl106"/>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16"/>
      <w:szCs w:val="16"/>
    </w:rPr>
  </w:style>
  <w:style w:type="paragraph" w:customStyle="1" w:styleId="85">
    <w:name w:val="xl107"/>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18"/>
      <w:szCs w:val="18"/>
    </w:rPr>
  </w:style>
  <w:style w:type="paragraph" w:customStyle="1" w:styleId="86">
    <w:name w:val="xl108"/>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18"/>
      <w:szCs w:val="18"/>
    </w:rPr>
  </w:style>
  <w:style w:type="paragraph" w:customStyle="1" w:styleId="87">
    <w:name w:val="xl109"/>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18"/>
      <w:szCs w:val="18"/>
    </w:rPr>
  </w:style>
  <w:style w:type="paragraph" w:customStyle="1" w:styleId="88">
    <w:name w:val="xl110"/>
    <w:basedOn w:val="1"/>
    <w:qFormat/>
    <w:uiPriority w:val="0"/>
    <w:pPr>
      <w:widowControl/>
      <w:pBdr>
        <w:left w:val="single" w:color="000000" w:sz="4" w:space="0"/>
        <w:right w:val="single" w:color="000000" w:sz="4" w:space="0"/>
      </w:pBdr>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89">
    <w:name w:val="xl111"/>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90">
    <w:name w:val="xl112"/>
    <w:basedOn w:val="1"/>
    <w:qFormat/>
    <w:uiPriority w:val="0"/>
    <w:pPr>
      <w:widowControl/>
      <w:pBdr>
        <w:top w:val="single" w:color="000000" w:sz="4" w:space="0"/>
        <w:left w:val="single" w:color="000000" w:sz="4" w:space="0"/>
      </w:pBdr>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91">
    <w:name w:val="xl113"/>
    <w:basedOn w:val="1"/>
    <w:qFormat/>
    <w:uiPriority w:val="0"/>
    <w:pPr>
      <w:widowControl/>
      <w:pBdr>
        <w:left w:val="single" w:color="000000" w:sz="4" w:space="0"/>
      </w:pBdr>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92">
    <w:name w:val="xl114"/>
    <w:basedOn w:val="1"/>
    <w:qFormat/>
    <w:uiPriority w:val="0"/>
    <w:pPr>
      <w:widowControl/>
      <w:pBdr>
        <w:left w:val="single" w:color="000000" w:sz="4" w:space="0"/>
      </w:pBdr>
      <w:spacing w:before="100" w:beforeAutospacing="1" w:after="100" w:afterAutospacing="1"/>
      <w:jc w:val="center"/>
      <w:textAlignment w:val="center"/>
    </w:pPr>
    <w:rPr>
      <w:rFonts w:ascii="仿宋" w:hAnsi="仿宋" w:eastAsia="仿宋" w:cs="宋体"/>
      <w:kern w:val="0"/>
      <w:sz w:val="16"/>
      <w:szCs w:val="16"/>
    </w:rPr>
  </w:style>
  <w:style w:type="paragraph" w:customStyle="1" w:styleId="93">
    <w:name w:val="xl115"/>
    <w:basedOn w:val="1"/>
    <w:qFormat/>
    <w:uiPriority w:val="0"/>
    <w:pPr>
      <w:widowControl/>
      <w:pBdr>
        <w:top w:val="single" w:color="000000" w:sz="4" w:space="0"/>
        <w:left w:val="single" w:color="000000" w:sz="4" w:space="0"/>
        <w:right w:val="single" w:color="auto" w:sz="4" w:space="0"/>
      </w:pBdr>
      <w:spacing w:before="100" w:beforeAutospacing="1" w:after="100" w:afterAutospacing="1"/>
      <w:jc w:val="center"/>
      <w:textAlignment w:val="center"/>
    </w:pPr>
    <w:rPr>
      <w:rFonts w:ascii="仿宋" w:hAnsi="仿宋" w:eastAsia="仿宋" w:cs="宋体"/>
      <w:kern w:val="0"/>
      <w:sz w:val="16"/>
      <w:szCs w:val="16"/>
    </w:rPr>
  </w:style>
  <w:style w:type="paragraph" w:customStyle="1" w:styleId="94">
    <w:name w:val="xl116"/>
    <w:basedOn w:val="1"/>
    <w:qFormat/>
    <w:uiPriority w:val="0"/>
    <w:pPr>
      <w:widowControl/>
      <w:pBdr>
        <w:left w:val="single" w:color="000000" w:sz="4" w:space="0"/>
        <w:right w:val="single" w:color="auto" w:sz="4" w:space="0"/>
      </w:pBdr>
      <w:spacing w:before="100" w:beforeAutospacing="1" w:after="100" w:afterAutospacing="1"/>
      <w:jc w:val="center"/>
      <w:textAlignment w:val="center"/>
    </w:pPr>
    <w:rPr>
      <w:rFonts w:ascii="仿宋" w:hAnsi="仿宋" w:eastAsia="仿宋" w:cs="宋体"/>
      <w:kern w:val="0"/>
      <w:sz w:val="16"/>
      <w:szCs w:val="16"/>
    </w:rPr>
  </w:style>
  <w:style w:type="paragraph" w:customStyle="1" w:styleId="95">
    <w:name w:val="xl117"/>
    <w:basedOn w:val="1"/>
    <w:qFormat/>
    <w:uiPriority w:val="0"/>
    <w:pPr>
      <w:widowControl/>
      <w:pBdr>
        <w:left w:val="single" w:color="000000" w:sz="4" w:space="0"/>
        <w:bottom w:val="single" w:color="000000" w:sz="4" w:space="0"/>
        <w:right w:val="single" w:color="auto" w:sz="4" w:space="0"/>
      </w:pBdr>
      <w:spacing w:before="100" w:beforeAutospacing="1" w:after="100" w:afterAutospacing="1"/>
      <w:jc w:val="center"/>
      <w:textAlignment w:val="center"/>
    </w:pPr>
    <w:rPr>
      <w:rFonts w:ascii="仿宋" w:hAnsi="仿宋" w:eastAsia="仿宋" w:cs="宋体"/>
      <w:kern w:val="0"/>
      <w:sz w:val="16"/>
      <w:szCs w:val="16"/>
    </w:rPr>
  </w:style>
  <w:style w:type="paragraph" w:customStyle="1" w:styleId="96">
    <w:name w:val="xl118"/>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黑体" w:hAnsi="黑体" w:eastAsia="黑体" w:cs="宋体"/>
      <w:b/>
      <w:bCs/>
      <w:color w:val="000000"/>
      <w:kern w:val="0"/>
      <w:sz w:val="30"/>
      <w:szCs w:val="30"/>
    </w:rPr>
  </w:style>
  <w:style w:type="paragraph" w:customStyle="1" w:styleId="97">
    <w:name w:val="xl119"/>
    <w:basedOn w:val="1"/>
    <w:uiPriority w:val="0"/>
    <w:pPr>
      <w:widowControl/>
      <w:pBdr>
        <w:top w:val="single" w:color="000000" w:sz="4" w:space="0"/>
        <w:left w:val="single" w:color="000000" w:sz="4" w:space="0"/>
        <w:bottom w:val="single" w:color="000000" w:sz="4" w:space="0"/>
      </w:pBdr>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98">
    <w:name w:val="xl120"/>
    <w:basedOn w:val="1"/>
    <w:uiPriority w:val="0"/>
    <w:pPr>
      <w:widowControl/>
      <w:pBdr>
        <w:top w:val="single" w:color="000000" w:sz="4" w:space="0"/>
        <w:bottom w:val="single" w:color="000000" w:sz="4" w:space="0"/>
      </w:pBdr>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99">
    <w:name w:val="xl121"/>
    <w:basedOn w:val="1"/>
    <w:uiPriority w:val="0"/>
    <w:pPr>
      <w:widowControl/>
      <w:pBdr>
        <w:top w:val="single" w:color="000000" w:sz="4" w:space="0"/>
        <w:bottom w:val="single" w:color="000000" w:sz="4" w:space="0"/>
        <w:right w:val="single" w:color="000000" w:sz="4" w:space="0"/>
      </w:pBdr>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100">
    <w:name w:val="xl122"/>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仿宋" w:hAnsi="仿宋" w:eastAsia="仿宋" w:cs="宋体"/>
      <w:i/>
      <w:iCs/>
      <w:color w:val="000000"/>
      <w:kern w:val="0"/>
      <w:sz w:val="18"/>
      <w:szCs w:val="18"/>
    </w:rPr>
  </w:style>
  <w:style w:type="paragraph" w:customStyle="1" w:styleId="101">
    <w:name w:val="xl123"/>
    <w:basedOn w:val="1"/>
    <w:uiPriority w:val="0"/>
    <w:pPr>
      <w:widowControl/>
      <w:pBdr>
        <w:top w:val="single" w:color="000000" w:sz="4" w:space="0"/>
        <w:left w:val="single" w:color="000000" w:sz="4" w:space="0"/>
        <w:right w:val="single" w:color="000000" w:sz="4" w:space="0"/>
      </w:pBdr>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102">
    <w:name w:val="xl124"/>
    <w:basedOn w:val="1"/>
    <w:uiPriority w:val="0"/>
    <w:pPr>
      <w:widowControl/>
      <w:pBdr>
        <w:top w:val="single" w:color="auto"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仿宋" w:hAnsi="仿宋" w:eastAsia="仿宋" w:cs="宋体"/>
      <w:color w:val="000000"/>
      <w:kern w:val="0"/>
      <w:sz w:val="16"/>
      <w:szCs w:val="16"/>
    </w:rPr>
  </w:style>
  <w:style w:type="paragraph" w:customStyle="1" w:styleId="103">
    <w:name w:val="xl125"/>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仿宋" w:hAnsi="仿宋" w:eastAsia="仿宋" w:cs="宋体"/>
      <w:i/>
      <w:iCs/>
      <w:color w:val="000000"/>
      <w:kern w:val="0"/>
      <w:sz w:val="16"/>
      <w:szCs w:val="16"/>
    </w:rPr>
  </w:style>
  <w:style w:type="paragraph" w:customStyle="1" w:styleId="104">
    <w:name w:val="xl126"/>
    <w:basedOn w:val="1"/>
    <w:uiPriority w:val="0"/>
    <w:pPr>
      <w:widowControl/>
      <w:spacing w:before="100" w:beforeAutospacing="1" w:after="100" w:afterAutospacing="1"/>
      <w:jc w:val="center"/>
      <w:textAlignment w:val="center"/>
    </w:pPr>
    <w:rPr>
      <w:rFonts w:ascii="黑体" w:hAnsi="黑体" w:eastAsia="黑体" w:cs="宋体"/>
      <w:b/>
      <w:bCs/>
      <w:color w:val="000000"/>
      <w:kern w:val="0"/>
      <w:sz w:val="30"/>
      <w:szCs w:val="30"/>
    </w:rPr>
  </w:style>
  <w:style w:type="paragraph" w:customStyle="1" w:styleId="105">
    <w:name w:val="xl127"/>
    <w:basedOn w:val="1"/>
    <w:uiPriority w:val="0"/>
    <w:pPr>
      <w:widowControl/>
      <w:spacing w:before="100" w:beforeAutospacing="1" w:after="100" w:afterAutospacing="1"/>
      <w:jc w:val="center"/>
      <w:textAlignment w:val="center"/>
    </w:pPr>
    <w:rPr>
      <w:rFonts w:ascii="黑体" w:hAnsi="黑体" w:eastAsia="黑体" w:cs="宋体"/>
      <w:b/>
      <w:bCs/>
      <w:color w:val="000000"/>
      <w:kern w:val="0"/>
      <w:sz w:val="30"/>
      <w:szCs w:val="30"/>
    </w:rPr>
  </w:style>
  <w:style w:type="paragraph" w:customStyle="1" w:styleId="106">
    <w:name w:val="xl128"/>
    <w:basedOn w:val="1"/>
    <w:uiPriority w:val="0"/>
    <w:pPr>
      <w:widowControl/>
      <w:pBdr>
        <w:top w:val="single" w:color="auto"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107">
    <w:name w:val="xl129"/>
    <w:basedOn w:val="1"/>
    <w:uiPriority w:val="0"/>
    <w:pPr>
      <w:widowControl/>
      <w:pBdr>
        <w:top w:val="single" w:color="auto" w:sz="4" w:space="0"/>
        <w:left w:val="single" w:color="000000" w:sz="4" w:space="0"/>
        <w:bottom w:val="single" w:color="000000" w:sz="4" w:space="0"/>
      </w:pBdr>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108">
    <w:name w:val="xl130"/>
    <w:basedOn w:val="1"/>
    <w:uiPriority w:val="0"/>
    <w:pPr>
      <w:widowControl/>
      <w:pBdr>
        <w:top w:val="single" w:color="auto" w:sz="4" w:space="0"/>
        <w:bottom w:val="single" w:color="000000" w:sz="4" w:space="0"/>
      </w:pBdr>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109">
    <w:name w:val="xl131"/>
    <w:basedOn w:val="1"/>
    <w:uiPriority w:val="0"/>
    <w:pPr>
      <w:widowControl/>
      <w:pBdr>
        <w:top w:val="single" w:color="auto" w:sz="4" w:space="0"/>
        <w:bottom w:val="single" w:color="000000" w:sz="4" w:space="0"/>
        <w:right w:val="single" w:color="000000" w:sz="4" w:space="0"/>
      </w:pBdr>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110">
    <w:name w:val="xl132"/>
    <w:basedOn w:val="1"/>
    <w:uiPriority w:val="0"/>
    <w:pPr>
      <w:widowControl/>
      <w:pBdr>
        <w:top w:val="single" w:color="000000" w:sz="4" w:space="0"/>
        <w:left w:val="single" w:color="000000" w:sz="4" w:space="0"/>
        <w:right w:val="single" w:color="000000" w:sz="4" w:space="0"/>
      </w:pBdr>
      <w:spacing w:before="100" w:beforeAutospacing="1" w:after="100" w:afterAutospacing="1"/>
      <w:jc w:val="left"/>
      <w:textAlignment w:val="center"/>
    </w:pPr>
    <w:rPr>
      <w:rFonts w:ascii="仿宋" w:hAnsi="仿宋" w:eastAsia="仿宋" w:cs="宋体"/>
      <w:color w:val="000000"/>
      <w:kern w:val="0"/>
      <w:sz w:val="16"/>
      <w:szCs w:val="16"/>
    </w:rPr>
  </w:style>
  <w:style w:type="character" w:customStyle="1" w:styleId="111">
    <w:name w:val="纯文本 Char"/>
    <w:basedOn w:val="19"/>
    <w:link w:val="10"/>
    <w:uiPriority w:val="0"/>
    <w:rPr>
      <w:rFonts w:ascii="宋体" w:hAnsi="Courier New" w:eastAsia="宋体" w:cs="Times New Roman"/>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embeddings/oleObject3.bin"/></Relationships>
</file>

<file path=word/charts/_rels/chart2.xml.rels><?xml version="1.0" encoding="UTF-8" standalone="yes"?>
<Relationships xmlns="http://schemas.openxmlformats.org/package/2006/relationships"><Relationship Id="rId1" Type="http://schemas.openxmlformats.org/officeDocument/2006/relationships/oleObject" Target="../embeddings/oleObject5.bin"/></Relationships>
</file>

<file path=word/charts/_rels/chart3.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4.xml.rels><?xml version="1.0" encoding="UTF-8" standalone="yes"?>
<Relationships xmlns="http://schemas.openxmlformats.org/package/2006/relationships"><Relationship Id="rId1" Type="http://schemas.openxmlformats.org/officeDocument/2006/relationships/oleObject" Target="../embeddings/oleObject2.bin"/></Relationships>
</file>

<file path=word/charts/_rels/chart5.xml.rels><?xml version="1.0" encoding="UTF-8" standalone="yes"?>
<Relationships xmlns="http://schemas.openxmlformats.org/package/2006/relationships"><Relationship Id="rId1" Type="http://schemas.openxmlformats.org/officeDocument/2006/relationships/oleObject" Target="../embeddings/oleObject4.bin"/></Relationships>
</file>

<file path=word/charts/_rels/chart6.xml.rels><?xml version="1.0" encoding="UTF-8" standalone="yes"?>
<Relationships xmlns="http://schemas.openxmlformats.org/package/2006/relationships"><Relationship Id="rId1" Type="http://schemas.openxmlformats.org/officeDocument/2006/relationships/oleObject" Target="../embeddings/oleObject7.bin"/></Relationships>
</file>

<file path=word/charts/_rels/chart7.xml.rels><?xml version="1.0" encoding="UTF-8" standalone="yes"?>
<Relationships xmlns="http://schemas.openxmlformats.org/package/2006/relationships"><Relationship Id="rId1" Type="http://schemas.openxmlformats.org/officeDocument/2006/relationships/oleObject" Target="../embeddings/oleObject6.bin"/></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Sheet1!$B$1</c:f>
              <c:strCache>
                <c:ptCount val="1"/>
                <c:pt idx="0">
                  <c:v>系列 1</c:v>
                </c:pt>
              </c:strCache>
            </c:strRef>
          </c:tx>
          <c:invertIfNegative val="0"/>
          <c:dLbls>
            <c:delete val="1"/>
          </c:dLbls>
          <c:cat>
            <c:strRef>
              <c:f>Sheet1!$A$2:$A$5</c:f>
              <c:strCache>
                <c:ptCount val="4"/>
                <c:pt idx="0">
                  <c:v>2022年收入决算总计</c:v>
                </c:pt>
                <c:pt idx="1">
                  <c:v>2023年收入总计</c:v>
                </c:pt>
                <c:pt idx="2">
                  <c:v>2022年支出总计</c:v>
                </c:pt>
                <c:pt idx="3">
                  <c:v>2023年支出总计</c:v>
                </c:pt>
              </c:strCache>
            </c:strRef>
          </c:cat>
          <c:val>
            <c:numRef>
              <c:f>Sheet1!$B$2:$B$5</c:f>
              <c:numCache>
                <c:formatCode>General</c:formatCode>
                <c:ptCount val="4"/>
                <c:pt idx="0">
                  <c:v>954.72</c:v>
                </c:pt>
                <c:pt idx="1">
                  <c:v>921.43</c:v>
                </c:pt>
                <c:pt idx="2">
                  <c:v>954.72</c:v>
                </c:pt>
                <c:pt idx="3">
                  <c:v>921.43</c:v>
                </c:pt>
              </c:numCache>
            </c:numRef>
          </c:val>
        </c:ser>
        <c:ser>
          <c:idx val="1"/>
          <c:order val="1"/>
          <c:tx>
            <c:strRef>
              <c:f>Sheet1!$C$1</c:f>
              <c:strCache>
                <c:ptCount val="1"/>
                <c:pt idx="0">
                  <c:v>系列 2</c:v>
                </c:pt>
              </c:strCache>
            </c:strRef>
          </c:tx>
          <c:invertIfNegative val="0"/>
          <c:dLbls>
            <c:delete val="1"/>
          </c:dLbls>
          <c:cat>
            <c:strRef>
              <c:f>Sheet1!$A$2:$A$5</c:f>
              <c:strCache>
                <c:ptCount val="4"/>
                <c:pt idx="0">
                  <c:v>2022年收入决算总计</c:v>
                </c:pt>
                <c:pt idx="1">
                  <c:v>2023年收入总计</c:v>
                </c:pt>
                <c:pt idx="2">
                  <c:v>2022年支出总计</c:v>
                </c:pt>
                <c:pt idx="3">
                  <c:v>2023年支出总计</c:v>
                </c:pt>
              </c:strCache>
            </c:strRef>
          </c:cat>
          <c:val>
            <c:numRef>
              <c:f>Sheet1!$C$2:$C$5</c:f>
              <c:numCache>
                <c:formatCode>General</c:formatCode>
                <c:ptCount val="4"/>
              </c:numCache>
            </c:numRef>
          </c:val>
        </c:ser>
        <c:ser>
          <c:idx val="2"/>
          <c:order val="2"/>
          <c:tx>
            <c:strRef>
              <c:f>Sheet1!$D$1</c:f>
              <c:strCache>
                <c:ptCount val="1"/>
                <c:pt idx="0">
                  <c:v>系列 3</c:v>
                </c:pt>
              </c:strCache>
            </c:strRef>
          </c:tx>
          <c:invertIfNegative val="0"/>
          <c:dLbls>
            <c:delete val="1"/>
          </c:dLbls>
          <c:cat>
            <c:strRef>
              <c:f>Sheet1!$A$2:$A$5</c:f>
              <c:strCache>
                <c:ptCount val="4"/>
                <c:pt idx="0">
                  <c:v>2022年收入决算总计</c:v>
                </c:pt>
                <c:pt idx="1">
                  <c:v>2023年收入总计</c:v>
                </c:pt>
                <c:pt idx="2">
                  <c:v>2022年支出总计</c:v>
                </c:pt>
                <c:pt idx="3">
                  <c:v>2023年支出总计</c:v>
                </c:pt>
              </c:strCache>
            </c:strRef>
          </c:cat>
          <c:val>
            <c:numRef>
              <c:f>Sheet1!$D$2:$D$5</c:f>
              <c:numCache>
                <c:formatCode>General</c:formatCode>
                <c:ptCount val="4"/>
              </c:numCache>
            </c:numRef>
          </c:val>
        </c:ser>
        <c:dLbls>
          <c:showLegendKey val="0"/>
          <c:showVal val="0"/>
          <c:showCatName val="0"/>
          <c:showSerName val="0"/>
          <c:showPercent val="0"/>
          <c:showBubbleSize val="0"/>
        </c:dLbls>
        <c:gapWidth val="150"/>
        <c:overlap val="100"/>
        <c:axId val="53497216"/>
        <c:axId val="53621888"/>
      </c:barChart>
      <c:catAx>
        <c:axId val="5349721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3621888"/>
        <c:crosses val="autoZero"/>
        <c:auto val="1"/>
        <c:lblAlgn val="ctr"/>
        <c:lblOffset val="100"/>
        <c:noMultiLvlLbl val="0"/>
      </c:catAx>
      <c:valAx>
        <c:axId val="5362188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349721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列1</c:v>
                </c:pt>
              </c:strCache>
            </c:strRef>
          </c:tx>
          <c:explosion val="0"/>
          <c:dPt>
            <c:idx val="0"/>
            <c:bubble3D val="0"/>
          </c:dPt>
          <c:dPt>
            <c:idx val="1"/>
            <c:bubble3D val="0"/>
          </c:dPt>
          <c:dPt>
            <c:idx val="2"/>
            <c:bubble3D val="0"/>
          </c:dPt>
          <c:dPt>
            <c:idx val="3"/>
            <c:bubble3D val="0"/>
          </c:dPt>
          <c:dPt>
            <c:idx val="4"/>
            <c:bubble3D val="0"/>
          </c:dPt>
          <c:dPt>
            <c:idx val="5"/>
            <c:bubble3D val="0"/>
          </c:dPt>
          <c:dLbls>
            <c:delete val="1"/>
          </c:dLbls>
          <c:cat>
            <c:strRef>
              <c:f>Sheet1!$A$2:$A$7</c:f>
              <c:strCache>
                <c:ptCount val="6"/>
                <c:pt idx="0">
                  <c:v>一般公共预算财政拨款收入</c:v>
                </c:pt>
                <c:pt idx="1">
                  <c:v>政府性基金预算财政拨款收入</c:v>
                </c:pt>
                <c:pt idx="2">
                  <c:v>国有资本经营预算财政拨款收入</c:v>
                </c:pt>
                <c:pt idx="3">
                  <c:v>上级补助收入</c:v>
                </c:pt>
                <c:pt idx="4">
                  <c:v>事业收入</c:v>
                </c:pt>
                <c:pt idx="5">
                  <c:v>经营收入</c:v>
                </c:pt>
              </c:strCache>
            </c:strRef>
          </c:cat>
          <c:val>
            <c:numRef>
              <c:f>Sheet1!$B$2:$B$7</c:f>
              <c:numCache>
                <c:formatCode>0%</c:formatCode>
                <c:ptCount val="6"/>
                <c:pt idx="0">
                  <c:v>1</c:v>
                </c:pt>
                <c:pt idx="2" c:formatCode="General">
                  <c:v>0</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9525" cap="flat" cmpd="sng" algn="ctr">
      <a:noFill/>
      <a:prstDash val="solid"/>
      <a:round/>
    </a:ln>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列1</c:v>
                </c:pt>
              </c:strCache>
            </c:strRef>
          </c:tx>
          <c:explosion val="0"/>
          <c:dPt>
            <c:idx val="0"/>
            <c:bubble3D val="0"/>
          </c:dPt>
          <c:dPt>
            <c:idx val="1"/>
            <c:bubble3D val="0"/>
          </c:dPt>
          <c:dPt>
            <c:idx val="2"/>
            <c:bubble3D val="0"/>
          </c:dPt>
          <c:dPt>
            <c:idx val="3"/>
            <c:bubble3D val="0"/>
          </c:dPt>
          <c:dLbls>
            <c:delete val="1"/>
          </c:dLbls>
          <c:cat>
            <c:strRef>
              <c:f>Sheet1!$A$2:$A$5</c:f>
              <c:strCache>
                <c:ptCount val="4"/>
                <c:pt idx="0">
                  <c:v>基本支出</c:v>
                </c:pt>
                <c:pt idx="1">
                  <c:v>项目支出</c:v>
                </c:pt>
                <c:pt idx="2">
                  <c:v>上缴上级支出</c:v>
                </c:pt>
                <c:pt idx="3">
                  <c:v>经营支出</c:v>
                </c:pt>
              </c:strCache>
            </c:strRef>
          </c:cat>
          <c:val>
            <c:numRef>
              <c:f>Sheet1!$B$2:$B$5</c:f>
              <c:numCache>
                <c:formatCode>General</c:formatCode>
                <c:ptCount val="4"/>
                <c:pt idx="0">
                  <c:v>341.66</c:v>
                </c:pt>
                <c:pt idx="1">
                  <c:v>579.770000000001</c:v>
                </c:pt>
                <c:pt idx="2">
                  <c:v>0</c:v>
                </c:pt>
                <c:pt idx="3">
                  <c:v>0</c:v>
                </c:pt>
              </c:numCache>
            </c:numRef>
          </c:val>
        </c:ser>
        <c:dLbls>
          <c:showLegendKey val="0"/>
          <c:showVal val="0"/>
          <c:showCatName val="0"/>
          <c:showSerName val="0"/>
          <c:showPercent val="0"/>
          <c:showBubbleSize val="0"/>
          <c:showLeaderLines val="1"/>
        </c:dLbls>
        <c:firstSliceAng val="0"/>
      </c:pieChart>
    </c:plotArea>
    <c:legend>
      <c:legendPos val="r"/>
      <c:legendEntry>
        <c:idx val="2"/>
        <c:delete val="1"/>
      </c:legendEntry>
      <c:legendEntry>
        <c:idx val="3"/>
        <c:delete val="1"/>
      </c:legendEntry>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noFill/>
    <a:ln w="9525" cap="flat" cmpd="sng" algn="ctr">
      <a:noFill/>
      <a:prstDash val="solid"/>
      <a:round/>
    </a:ln>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Sheet1!$B$1</c:f>
              <c:strCache>
                <c:ptCount val="1"/>
                <c:pt idx="0">
                  <c:v>系列 1</c:v>
                </c:pt>
              </c:strCache>
            </c:strRef>
          </c:tx>
          <c:invertIfNegative val="0"/>
          <c:dLbls>
            <c:delete val="1"/>
          </c:dLbls>
          <c:cat>
            <c:strRef>
              <c:f>Sheet1!$A$2:$A$5</c:f>
              <c:strCache>
                <c:ptCount val="4"/>
                <c:pt idx="0">
                  <c:v>2022年财政拨款收入总计</c:v>
                </c:pt>
                <c:pt idx="1">
                  <c:v>2023年财政拨款收入总计</c:v>
                </c:pt>
                <c:pt idx="2">
                  <c:v>2022年财政拨款支出总计</c:v>
                </c:pt>
                <c:pt idx="3">
                  <c:v>2023年财政拨款支出总计</c:v>
                </c:pt>
              </c:strCache>
            </c:strRef>
          </c:cat>
          <c:val>
            <c:numRef>
              <c:f>Sheet1!$B$2:$B$5</c:f>
              <c:numCache>
                <c:formatCode>General</c:formatCode>
                <c:ptCount val="4"/>
                <c:pt idx="0">
                  <c:v>954.72</c:v>
                </c:pt>
                <c:pt idx="1">
                  <c:v>921.43</c:v>
                </c:pt>
                <c:pt idx="2">
                  <c:v>954.72</c:v>
                </c:pt>
                <c:pt idx="3">
                  <c:v>921.43</c:v>
                </c:pt>
              </c:numCache>
            </c:numRef>
          </c:val>
        </c:ser>
        <c:ser>
          <c:idx val="1"/>
          <c:order val="1"/>
          <c:tx>
            <c:strRef>
              <c:f>Sheet1!$C$1</c:f>
              <c:strCache>
                <c:ptCount val="1"/>
                <c:pt idx="0">
                  <c:v>列1</c:v>
                </c:pt>
              </c:strCache>
            </c:strRef>
          </c:tx>
          <c:invertIfNegative val="0"/>
          <c:dLbls>
            <c:delete val="1"/>
          </c:dLbls>
          <c:cat>
            <c:strRef>
              <c:f>Sheet1!$A$2:$A$5</c:f>
              <c:strCache>
                <c:ptCount val="4"/>
                <c:pt idx="0">
                  <c:v>2022年财政拨款收入总计</c:v>
                </c:pt>
                <c:pt idx="1">
                  <c:v>2023年财政拨款收入总计</c:v>
                </c:pt>
                <c:pt idx="2">
                  <c:v>2022年财政拨款支出总计</c:v>
                </c:pt>
                <c:pt idx="3">
                  <c:v>2023年财政拨款支出总计</c:v>
                </c:pt>
              </c:strCache>
            </c:strRef>
          </c:cat>
          <c:val>
            <c:numRef>
              <c:f>Sheet1!$C$2:$C$5</c:f>
              <c:numCache>
                <c:formatCode>General</c:formatCode>
                <c:ptCount val="4"/>
              </c:numCache>
            </c:numRef>
          </c:val>
        </c:ser>
        <c:ser>
          <c:idx val="2"/>
          <c:order val="2"/>
          <c:tx>
            <c:strRef>
              <c:f>Sheet1!$D$1</c:f>
              <c:strCache>
                <c:ptCount val="1"/>
                <c:pt idx="0">
                  <c:v>列2</c:v>
                </c:pt>
              </c:strCache>
            </c:strRef>
          </c:tx>
          <c:invertIfNegative val="0"/>
          <c:dLbls>
            <c:delete val="1"/>
          </c:dLbls>
          <c:cat>
            <c:strRef>
              <c:f>Sheet1!$A$2:$A$5</c:f>
              <c:strCache>
                <c:ptCount val="4"/>
                <c:pt idx="0">
                  <c:v>2022年财政拨款收入总计</c:v>
                </c:pt>
                <c:pt idx="1">
                  <c:v>2023年财政拨款收入总计</c:v>
                </c:pt>
                <c:pt idx="2">
                  <c:v>2022年财政拨款支出总计</c:v>
                </c:pt>
                <c:pt idx="3">
                  <c:v>2023年财政拨款支出总计</c:v>
                </c:pt>
              </c:strCache>
            </c:strRef>
          </c:cat>
          <c:val>
            <c:numRef>
              <c:f>Sheet1!$D$2:$D$5</c:f>
              <c:numCache>
                <c:formatCode>General</c:formatCode>
                <c:ptCount val="4"/>
              </c:numCache>
            </c:numRef>
          </c:val>
        </c:ser>
        <c:dLbls>
          <c:showLegendKey val="0"/>
          <c:showVal val="0"/>
          <c:showCatName val="0"/>
          <c:showSerName val="0"/>
          <c:showPercent val="0"/>
          <c:showBubbleSize val="0"/>
        </c:dLbls>
        <c:gapWidth val="150"/>
        <c:overlap val="100"/>
        <c:axId val="109472000"/>
        <c:axId val="113583616"/>
      </c:barChart>
      <c:catAx>
        <c:axId val="10947200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3583616"/>
        <c:crosses val="autoZero"/>
        <c:auto val="1"/>
        <c:lblAlgn val="ctr"/>
        <c:lblOffset val="100"/>
        <c:noMultiLvlLbl val="0"/>
      </c:catAx>
      <c:valAx>
        <c:axId val="11358361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09472000"/>
        <c:crosses val="autoZero"/>
        <c:crossBetween val="between"/>
      </c:valAx>
    </c:plotArea>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Sheet1!$B$1</c:f>
              <c:strCache>
                <c:ptCount val="1"/>
                <c:pt idx="0">
                  <c:v>系列 1</c:v>
                </c:pt>
              </c:strCache>
            </c:strRef>
          </c:tx>
          <c:invertIfNegative val="0"/>
          <c:dLbls>
            <c:delete val="1"/>
          </c:dLbls>
          <c:cat>
            <c:strRef>
              <c:f>Sheet1!$A$2:$A$5</c:f>
              <c:strCache>
                <c:ptCount val="2"/>
                <c:pt idx="0">
                  <c:v>2022年一般公共预算财政拨款支出</c:v>
                </c:pt>
                <c:pt idx="1">
                  <c:v>2023年一般公共预算财政拨款支出</c:v>
                </c:pt>
              </c:strCache>
            </c:strRef>
          </c:cat>
          <c:val>
            <c:numRef>
              <c:f>Sheet1!$B$2:$B$5</c:f>
              <c:numCache>
                <c:formatCode>General</c:formatCode>
                <c:ptCount val="4"/>
                <c:pt idx="0">
                  <c:v>954.72</c:v>
                </c:pt>
                <c:pt idx="1">
                  <c:v>921.43</c:v>
                </c:pt>
              </c:numCache>
            </c:numRef>
          </c:val>
        </c:ser>
        <c:ser>
          <c:idx val="1"/>
          <c:order val="1"/>
          <c:tx>
            <c:strRef>
              <c:f>Sheet1!$C$1</c:f>
              <c:strCache>
                <c:ptCount val="1"/>
                <c:pt idx="0">
                  <c:v>系列 2</c:v>
                </c:pt>
              </c:strCache>
            </c:strRef>
          </c:tx>
          <c:invertIfNegative val="0"/>
          <c:dLbls>
            <c:delete val="1"/>
          </c:dLbls>
          <c:cat>
            <c:strRef>
              <c:f>Sheet1!$A$2:$A$5</c:f>
              <c:strCache>
                <c:ptCount val="2"/>
                <c:pt idx="0">
                  <c:v>2022年一般公共预算财政拨款支出</c:v>
                </c:pt>
                <c:pt idx="1">
                  <c:v>2023年一般公共预算财政拨款支出</c:v>
                </c:pt>
              </c:strCache>
            </c:strRef>
          </c:cat>
          <c:val>
            <c:numRef>
              <c:f>Sheet1!$C$2:$C$5</c:f>
              <c:numCache>
                <c:formatCode>General</c:formatCode>
                <c:ptCount val="4"/>
              </c:numCache>
            </c:numRef>
          </c:val>
        </c:ser>
        <c:ser>
          <c:idx val="2"/>
          <c:order val="2"/>
          <c:tx>
            <c:strRef>
              <c:f>Sheet1!$D$1</c:f>
              <c:strCache>
                <c:ptCount val="1"/>
                <c:pt idx="0">
                  <c:v>系列 3</c:v>
                </c:pt>
              </c:strCache>
            </c:strRef>
          </c:tx>
          <c:invertIfNegative val="0"/>
          <c:dLbls>
            <c:delete val="1"/>
          </c:dLbls>
          <c:cat>
            <c:strRef>
              <c:f>Sheet1!$A$2:$A$5</c:f>
              <c:strCache>
                <c:ptCount val="2"/>
                <c:pt idx="0">
                  <c:v>2022年一般公共预算财政拨款支出</c:v>
                </c:pt>
                <c:pt idx="1">
                  <c:v>2023年一般公共预算财政拨款支出</c:v>
                </c:pt>
              </c:strCache>
            </c:strRef>
          </c:cat>
          <c:val>
            <c:numRef>
              <c:f>Sheet1!$D$2:$D$5</c:f>
              <c:numCache>
                <c:formatCode>General</c:formatCode>
                <c:ptCount val="4"/>
              </c:numCache>
            </c:numRef>
          </c:val>
        </c:ser>
        <c:dLbls>
          <c:showLegendKey val="0"/>
          <c:showVal val="0"/>
          <c:showCatName val="0"/>
          <c:showSerName val="0"/>
          <c:showPercent val="0"/>
          <c:showBubbleSize val="0"/>
        </c:dLbls>
        <c:gapWidth val="150"/>
        <c:overlap val="100"/>
        <c:axId val="34672000"/>
        <c:axId val="34677888"/>
      </c:barChart>
      <c:catAx>
        <c:axId val="3467200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4677888"/>
        <c:crosses val="autoZero"/>
        <c:auto val="1"/>
        <c:lblAlgn val="ctr"/>
        <c:lblOffset val="100"/>
        <c:noMultiLvlLbl val="0"/>
      </c:catAx>
      <c:valAx>
        <c:axId val="3467788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4672000"/>
        <c:crosses val="autoZero"/>
        <c:crossBetween val="between"/>
      </c:valAx>
    </c:plotArea>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explosion val="0"/>
          <c:dPt>
            <c:idx val="0"/>
            <c:bubble3D val="0"/>
          </c:dPt>
          <c:dPt>
            <c:idx val="1"/>
            <c:bubble3D val="0"/>
          </c:dPt>
          <c:dPt>
            <c:idx val="2"/>
            <c:bubble3D val="0"/>
          </c:dPt>
          <c:dPt>
            <c:idx val="3"/>
            <c:bubble3D val="0"/>
          </c:dPt>
          <c:dLbls>
            <c:delete val="1"/>
          </c:dLbls>
          <c:cat>
            <c:strRef>
              <c:f>Sheet1!$A$2:$A$5</c:f>
              <c:strCache>
                <c:ptCount val="4"/>
                <c:pt idx="0">
                  <c:v>交通运输支出</c:v>
                </c:pt>
                <c:pt idx="1">
                  <c:v>社会保障和就业支出</c:v>
                </c:pt>
                <c:pt idx="2">
                  <c:v>卫生健康支出</c:v>
                </c:pt>
                <c:pt idx="3">
                  <c:v>住房保障支出</c:v>
                </c:pt>
              </c:strCache>
            </c:strRef>
          </c:cat>
          <c:val>
            <c:numRef>
              <c:f>Sheet1!$B$2:$B$5</c:f>
              <c:numCache>
                <c:formatCode>General</c:formatCode>
                <c:ptCount val="4"/>
                <c:pt idx="0">
                  <c:v>782.19</c:v>
                </c:pt>
                <c:pt idx="1">
                  <c:v>101.3</c:v>
                </c:pt>
                <c:pt idx="2">
                  <c:v>19.17</c:v>
                </c:pt>
                <c:pt idx="3">
                  <c:v>18.77</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9525" cap="flat" cmpd="sng" algn="ctr">
      <a:noFill/>
      <a:prstDash val="solid"/>
      <a:round/>
    </a:ln>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explosion val="0"/>
          <c:dPt>
            <c:idx val="0"/>
            <c:bubble3D val="0"/>
          </c:dPt>
          <c:dPt>
            <c:idx val="1"/>
            <c:bubble3D val="0"/>
          </c:dPt>
          <c:dPt>
            <c:idx val="2"/>
            <c:bubble3D val="0"/>
          </c:dPt>
          <c:dLbls>
            <c:delete val="1"/>
          </c:dLbls>
          <c:cat>
            <c:strRef>
              <c:f>Sheet1!$A$2:$A$4</c:f>
              <c:strCache>
                <c:ptCount val="3"/>
                <c:pt idx="0">
                  <c:v>因公出国（境）费支出</c:v>
                </c:pt>
                <c:pt idx="1">
                  <c:v>公务用车购置及运行维护费支出</c:v>
                </c:pt>
                <c:pt idx="2">
                  <c:v>公务接待费支出</c:v>
                </c:pt>
              </c:strCache>
            </c:strRef>
          </c:cat>
          <c:val>
            <c:numRef>
              <c:f>Sheet1!$B$2:$B$4</c:f>
              <c:numCache>
                <c:formatCode>General</c:formatCode>
                <c:ptCount val="3"/>
                <c:pt idx="0">
                  <c:v>0</c:v>
                </c:pt>
                <c:pt idx="1">
                  <c:v>0</c:v>
                </c:pt>
                <c:pt idx="2">
                  <c:v>0.06</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9525" cap="flat" cmpd="sng" algn="ctr">
      <a:noFill/>
      <a:prstDash val="solid"/>
      <a:round/>
    </a:ln>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8" textRotate="1"/>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32</Pages>
  <Words>2557</Words>
  <Characters>14580</Characters>
  <Lines>121</Lines>
  <Paragraphs>34</Paragraphs>
  <TotalTime>17</TotalTime>
  <ScaleCrop>false</ScaleCrop>
  <LinksUpToDate>false</LinksUpToDate>
  <CharactersWithSpaces>17103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2024-10-17T02:02:00Z</dcterms:created>
  <dc:creator>曹颖</dc:creator>
  <cp:lastModifiedBy>Admin</cp:lastModifiedBy>
  <cp:lastPrinted>2023-08-03T10:35:00Z</cp:lastPrinted>
  <dcterms:modified xsi:type="dcterms:W3CDTF">2024-10-22T08:56:22Z</dcterms:modified>
  <dc:title>四川省***</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C51A076CC0A04CDEB3A0E7CD203AE18D_12</vt:lpwstr>
  </property>
</Properties>
</file>