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A26CD3">
      <w:pPr>
        <w:pageBreakBefore w:val="0"/>
        <w:kinsoku/>
        <w:wordWrap/>
        <w:overflowPunct/>
        <w:topLinePunct w:val="0"/>
        <w:bidi w:val="0"/>
        <w:spacing w:line="560" w:lineRule="exact"/>
        <w:jc w:val="center"/>
        <w:textAlignment w:val="auto"/>
        <w:outlineLvl w:val="9"/>
        <w:rPr>
          <w:rFonts w:hint="default" w:ascii="Times New Roman" w:hAnsi="Times New Roman" w:eastAsia="方正小标宋简体" w:cs="Times New Roman"/>
          <w:sz w:val="72"/>
          <w:szCs w:val="72"/>
        </w:rPr>
      </w:pPr>
      <w:bookmarkStart w:id="0" w:name="_Toc15396597"/>
      <w:bookmarkStart w:id="1" w:name="_Toc15378441"/>
      <w:bookmarkStart w:id="2" w:name="_Toc15377425"/>
      <w:bookmarkStart w:id="3" w:name="_Toc15377193"/>
      <w:bookmarkStart w:id="4" w:name="_Toc15396475"/>
      <w:bookmarkStart w:id="5" w:name="_Toc15306267"/>
    </w:p>
    <w:p w14:paraId="708D2A21">
      <w:pPr>
        <w:pageBreakBefore w:val="0"/>
        <w:kinsoku/>
        <w:wordWrap/>
        <w:overflowPunct/>
        <w:topLinePunct w:val="0"/>
        <w:bidi w:val="0"/>
        <w:spacing w:line="560" w:lineRule="exact"/>
        <w:jc w:val="center"/>
        <w:textAlignment w:val="auto"/>
        <w:outlineLvl w:val="9"/>
        <w:rPr>
          <w:rFonts w:hint="default" w:ascii="Times New Roman" w:hAnsi="Times New Roman" w:eastAsia="方正小标宋简体" w:cs="Times New Roman"/>
          <w:sz w:val="72"/>
          <w:szCs w:val="72"/>
        </w:rPr>
      </w:pPr>
    </w:p>
    <w:p w14:paraId="401DCD76">
      <w:pPr>
        <w:keepNext w:val="0"/>
        <w:keepLines w:val="0"/>
        <w:pageBreakBefore w:val="0"/>
        <w:kinsoku/>
        <w:wordWrap/>
        <w:overflowPunct/>
        <w:topLinePunct w:val="0"/>
        <w:autoSpaceDE/>
        <w:autoSpaceDN/>
        <w:bidi w:val="0"/>
        <w:spacing w:line="960" w:lineRule="exact"/>
        <w:jc w:val="center"/>
        <w:textAlignment w:val="auto"/>
        <w:outlineLvl w:val="9"/>
        <w:rPr>
          <w:rFonts w:hint="default" w:ascii="Times New Roman" w:hAnsi="Times New Roman" w:eastAsia="方正小标宋简体" w:cs="Times New Roman"/>
          <w:sz w:val="72"/>
          <w:szCs w:val="72"/>
        </w:rPr>
      </w:pPr>
    </w:p>
    <w:p w14:paraId="35CFF332">
      <w:pPr>
        <w:keepNext w:val="0"/>
        <w:keepLines w:val="0"/>
        <w:pageBreakBefore w:val="0"/>
        <w:kinsoku/>
        <w:wordWrap/>
        <w:overflowPunct/>
        <w:topLinePunct w:val="0"/>
        <w:autoSpaceDE/>
        <w:autoSpaceDN/>
        <w:bidi w:val="0"/>
        <w:adjustRightInd w:val="0"/>
        <w:snapToGrid w:val="0"/>
        <w:spacing w:line="960" w:lineRule="exact"/>
        <w:jc w:val="center"/>
        <w:textAlignment w:val="auto"/>
        <w:outlineLvl w:val="0"/>
        <w:rPr>
          <w:rFonts w:hint="default" w:ascii="Times New Roman" w:hAnsi="Times New Roman" w:eastAsia="方正小标宋简体" w:cs="Times New Roman"/>
          <w:sz w:val="72"/>
          <w:szCs w:val="72"/>
        </w:rPr>
      </w:pPr>
      <w:bookmarkStart w:id="6" w:name="_Toc15619"/>
      <w:r>
        <w:rPr>
          <w:rFonts w:hint="default" w:ascii="Times New Roman" w:hAnsi="Times New Roman" w:eastAsia="方正小标宋简体" w:cs="Times New Roman"/>
          <w:sz w:val="72"/>
          <w:szCs w:val="72"/>
        </w:rPr>
        <w:t>202</w:t>
      </w:r>
      <w:r>
        <w:rPr>
          <w:rFonts w:hint="default" w:ascii="Times New Roman" w:hAnsi="Times New Roman" w:eastAsia="方正小标宋简体" w:cs="Times New Roman"/>
          <w:sz w:val="72"/>
          <w:szCs w:val="72"/>
          <w:lang w:val="en-US" w:eastAsia="zh-CN"/>
        </w:rPr>
        <w:t>3</w:t>
      </w:r>
      <w:r>
        <w:rPr>
          <w:rFonts w:hint="default" w:ascii="Times New Roman" w:hAnsi="Times New Roman" w:eastAsia="方正小标宋简体" w:cs="Times New Roman"/>
          <w:sz w:val="72"/>
          <w:szCs w:val="72"/>
        </w:rPr>
        <w:t>年度</w:t>
      </w:r>
      <w:bookmarkEnd w:id="0"/>
      <w:bookmarkEnd w:id="1"/>
      <w:bookmarkEnd w:id="2"/>
      <w:bookmarkEnd w:id="3"/>
      <w:bookmarkEnd w:id="4"/>
      <w:bookmarkEnd w:id="6"/>
    </w:p>
    <w:p w14:paraId="5FED5DFE">
      <w:pPr>
        <w:keepNext w:val="0"/>
        <w:keepLines w:val="0"/>
        <w:pageBreakBefore w:val="0"/>
        <w:kinsoku/>
        <w:wordWrap/>
        <w:overflowPunct/>
        <w:topLinePunct w:val="0"/>
        <w:autoSpaceDE/>
        <w:autoSpaceDN/>
        <w:bidi w:val="0"/>
        <w:adjustRightInd w:val="0"/>
        <w:snapToGrid w:val="0"/>
        <w:spacing w:line="960" w:lineRule="exact"/>
        <w:jc w:val="center"/>
        <w:textAlignment w:val="auto"/>
        <w:outlineLvl w:val="0"/>
        <w:rPr>
          <w:rFonts w:hint="default" w:ascii="Times New Roman" w:hAnsi="Times New Roman" w:eastAsia="方正小标宋简体" w:cs="Times New Roman"/>
          <w:sz w:val="72"/>
          <w:szCs w:val="72"/>
        </w:rPr>
      </w:pPr>
      <w:bookmarkStart w:id="7" w:name="_Toc15378442"/>
      <w:bookmarkStart w:id="8" w:name="_Toc15396598"/>
      <w:bookmarkStart w:id="9" w:name="_Toc15396476"/>
      <w:bookmarkStart w:id="10" w:name="_Toc4560"/>
      <w:bookmarkStart w:id="11" w:name="_Toc15377194"/>
      <w:bookmarkStart w:id="12" w:name="_Toc15377426"/>
      <w:r>
        <w:rPr>
          <w:rFonts w:hint="default" w:ascii="Times New Roman" w:hAnsi="Times New Roman" w:eastAsia="方正小标宋简体" w:cs="Times New Roman"/>
          <w:sz w:val="72"/>
          <w:szCs w:val="72"/>
        </w:rPr>
        <w:t>四川省</w:t>
      </w:r>
      <w:bookmarkEnd w:id="5"/>
      <w:bookmarkStart w:id="13" w:name="_Toc15306268"/>
      <w:r>
        <w:rPr>
          <w:rFonts w:hint="default" w:ascii="Times New Roman" w:hAnsi="Times New Roman" w:eastAsia="方正小标宋简体" w:cs="Times New Roman"/>
          <w:sz w:val="72"/>
          <w:szCs w:val="72"/>
          <w:lang w:eastAsia="zh-CN"/>
        </w:rPr>
        <w:t>盐边县行政审批局</w:t>
      </w:r>
      <w:r>
        <w:rPr>
          <w:rFonts w:hint="eastAsia" w:eastAsia="方正小标宋简体" w:cs="Times New Roman"/>
          <w:sz w:val="72"/>
          <w:szCs w:val="72"/>
          <w:lang w:eastAsia="zh-CN"/>
        </w:rPr>
        <w:t>单位</w:t>
      </w:r>
      <w:r>
        <w:rPr>
          <w:rFonts w:hint="default" w:ascii="Times New Roman" w:hAnsi="Times New Roman" w:eastAsia="方正小标宋简体" w:cs="Times New Roman"/>
          <w:sz w:val="72"/>
          <w:szCs w:val="72"/>
        </w:rPr>
        <w:t>决算</w:t>
      </w:r>
      <w:bookmarkEnd w:id="7"/>
      <w:bookmarkEnd w:id="8"/>
      <w:bookmarkEnd w:id="9"/>
      <w:bookmarkEnd w:id="10"/>
      <w:bookmarkEnd w:id="11"/>
      <w:bookmarkEnd w:id="12"/>
      <w:bookmarkEnd w:id="13"/>
    </w:p>
    <w:p w14:paraId="78D0BF30">
      <w:pPr>
        <w:keepNext w:val="0"/>
        <w:keepLines w:val="0"/>
        <w:pageBreakBefore w:val="0"/>
        <w:widowControl/>
        <w:kinsoku/>
        <w:wordWrap/>
        <w:overflowPunct/>
        <w:topLinePunct w:val="0"/>
        <w:autoSpaceDE/>
        <w:autoSpaceDN/>
        <w:bidi w:val="0"/>
        <w:spacing w:line="960" w:lineRule="exact"/>
        <w:jc w:val="center"/>
        <w:textAlignment w:val="auto"/>
        <w:rPr>
          <w:rFonts w:hint="default" w:ascii="Times New Roman" w:hAnsi="Times New Roman" w:eastAsia="方正小标宋简体" w:cs="Times New Roman"/>
          <w:sz w:val="36"/>
          <w:szCs w:val="36"/>
        </w:rPr>
      </w:pPr>
    </w:p>
    <w:p w14:paraId="75C450ED">
      <w:pPr>
        <w:pageBreakBefore w:val="0"/>
        <w:widowControl/>
        <w:kinsoku/>
        <w:wordWrap/>
        <w:overflowPunct/>
        <w:topLinePunct w:val="0"/>
        <w:bidi w:val="0"/>
        <w:spacing w:line="560" w:lineRule="exact"/>
        <w:jc w:val="center"/>
        <w:textAlignment w:val="auto"/>
        <w:rPr>
          <w:rFonts w:hint="default" w:ascii="Times New Roman" w:hAnsi="Times New Roman" w:eastAsia="方正小标宋简体" w:cs="Times New Roman"/>
          <w:sz w:val="36"/>
          <w:szCs w:val="36"/>
        </w:rPr>
      </w:pPr>
    </w:p>
    <w:p w14:paraId="0EC7B09A">
      <w:pPr>
        <w:pageBreakBefore w:val="0"/>
        <w:widowControl/>
        <w:kinsoku/>
        <w:wordWrap/>
        <w:overflowPunct/>
        <w:topLinePunct w:val="0"/>
        <w:bidi w:val="0"/>
        <w:spacing w:line="560" w:lineRule="exact"/>
        <w:jc w:val="center"/>
        <w:textAlignment w:val="auto"/>
        <w:rPr>
          <w:rFonts w:hint="default" w:ascii="Times New Roman" w:hAnsi="Times New Roman" w:eastAsia="方正小标宋简体" w:cs="Times New Roman"/>
          <w:sz w:val="36"/>
          <w:szCs w:val="36"/>
        </w:rPr>
      </w:pPr>
    </w:p>
    <w:p w14:paraId="5043FC18">
      <w:pPr>
        <w:pageBreakBefore w:val="0"/>
        <w:widowControl/>
        <w:kinsoku/>
        <w:wordWrap/>
        <w:overflowPunct/>
        <w:topLinePunct w:val="0"/>
        <w:bidi w:val="0"/>
        <w:spacing w:line="560" w:lineRule="exact"/>
        <w:jc w:val="center"/>
        <w:textAlignment w:val="auto"/>
        <w:rPr>
          <w:rFonts w:hint="default" w:ascii="Times New Roman" w:hAnsi="Times New Roman" w:eastAsia="方正小标宋简体" w:cs="Times New Roman"/>
          <w:sz w:val="36"/>
          <w:szCs w:val="36"/>
        </w:rPr>
      </w:pPr>
    </w:p>
    <w:p w14:paraId="7A188103">
      <w:pPr>
        <w:pageBreakBefore w:val="0"/>
        <w:widowControl/>
        <w:kinsoku/>
        <w:wordWrap/>
        <w:overflowPunct/>
        <w:topLinePunct w:val="0"/>
        <w:bidi w:val="0"/>
        <w:spacing w:line="560" w:lineRule="exact"/>
        <w:jc w:val="center"/>
        <w:textAlignment w:val="auto"/>
        <w:rPr>
          <w:rFonts w:hint="default" w:ascii="Times New Roman" w:hAnsi="Times New Roman" w:eastAsia="方正小标宋简体" w:cs="Times New Roman"/>
          <w:sz w:val="36"/>
          <w:szCs w:val="36"/>
        </w:rPr>
      </w:pPr>
    </w:p>
    <w:p w14:paraId="5644E3A5">
      <w:pPr>
        <w:pageBreakBefore w:val="0"/>
        <w:widowControl/>
        <w:kinsoku/>
        <w:wordWrap/>
        <w:overflowPunct/>
        <w:topLinePunct w:val="0"/>
        <w:bidi w:val="0"/>
        <w:spacing w:line="560" w:lineRule="exact"/>
        <w:jc w:val="center"/>
        <w:textAlignment w:val="auto"/>
        <w:rPr>
          <w:rFonts w:hint="default" w:ascii="Times New Roman" w:hAnsi="Times New Roman" w:eastAsia="方正小标宋简体" w:cs="Times New Roman"/>
          <w:sz w:val="36"/>
          <w:szCs w:val="36"/>
        </w:rPr>
      </w:pPr>
    </w:p>
    <w:p w14:paraId="76A362B3">
      <w:pPr>
        <w:pageBreakBefore w:val="0"/>
        <w:widowControl/>
        <w:kinsoku/>
        <w:wordWrap/>
        <w:overflowPunct/>
        <w:topLinePunct w:val="0"/>
        <w:bidi w:val="0"/>
        <w:spacing w:line="560" w:lineRule="exact"/>
        <w:jc w:val="center"/>
        <w:textAlignment w:val="auto"/>
        <w:rPr>
          <w:rFonts w:hint="default" w:ascii="Times New Roman" w:hAnsi="Times New Roman" w:eastAsia="方正小标宋简体" w:cs="Times New Roman"/>
          <w:sz w:val="36"/>
          <w:szCs w:val="36"/>
        </w:rPr>
      </w:pPr>
    </w:p>
    <w:p w14:paraId="7B8984FB">
      <w:pPr>
        <w:pageBreakBefore w:val="0"/>
        <w:widowControl/>
        <w:kinsoku/>
        <w:wordWrap/>
        <w:overflowPunct/>
        <w:topLinePunct w:val="0"/>
        <w:bidi w:val="0"/>
        <w:spacing w:line="560" w:lineRule="exact"/>
        <w:jc w:val="center"/>
        <w:textAlignment w:val="auto"/>
        <w:rPr>
          <w:rFonts w:hint="default" w:ascii="Times New Roman" w:hAnsi="Times New Roman" w:eastAsia="方正小标宋简体" w:cs="Times New Roman"/>
          <w:sz w:val="36"/>
          <w:szCs w:val="36"/>
        </w:rPr>
      </w:pPr>
    </w:p>
    <w:p w14:paraId="0C7175E8">
      <w:pPr>
        <w:pageBreakBefore w:val="0"/>
        <w:widowControl/>
        <w:kinsoku/>
        <w:wordWrap/>
        <w:overflowPunct/>
        <w:topLinePunct w:val="0"/>
        <w:bidi w:val="0"/>
        <w:spacing w:line="560" w:lineRule="exact"/>
        <w:jc w:val="center"/>
        <w:textAlignment w:val="auto"/>
        <w:rPr>
          <w:rFonts w:hint="default" w:ascii="Times New Roman" w:hAnsi="Times New Roman" w:eastAsia="方正小标宋简体" w:cs="Times New Roman"/>
          <w:sz w:val="36"/>
          <w:szCs w:val="36"/>
        </w:rPr>
      </w:pPr>
    </w:p>
    <w:p w14:paraId="1AD38567">
      <w:pPr>
        <w:pageBreakBefore w:val="0"/>
        <w:widowControl/>
        <w:kinsoku/>
        <w:wordWrap/>
        <w:overflowPunct/>
        <w:topLinePunct w:val="0"/>
        <w:bidi w:val="0"/>
        <w:spacing w:line="560" w:lineRule="exact"/>
        <w:jc w:val="center"/>
        <w:textAlignment w:val="auto"/>
        <w:rPr>
          <w:rFonts w:hint="default" w:ascii="Times New Roman" w:hAnsi="Times New Roman" w:eastAsia="方正小标宋简体" w:cs="Times New Roman"/>
          <w:sz w:val="36"/>
          <w:szCs w:val="36"/>
        </w:rPr>
      </w:pPr>
    </w:p>
    <w:p w14:paraId="36DDD5C4">
      <w:pPr>
        <w:pageBreakBefore w:val="0"/>
        <w:widowControl/>
        <w:kinsoku/>
        <w:wordWrap/>
        <w:overflowPunct/>
        <w:topLinePunct w:val="0"/>
        <w:bidi w:val="0"/>
        <w:spacing w:line="560" w:lineRule="exact"/>
        <w:jc w:val="center"/>
        <w:textAlignment w:val="auto"/>
        <w:rPr>
          <w:rFonts w:hint="default" w:ascii="Times New Roman" w:hAnsi="Times New Roman" w:eastAsia="方正小标宋简体" w:cs="Times New Roman"/>
          <w:sz w:val="36"/>
          <w:szCs w:val="36"/>
        </w:rPr>
      </w:pPr>
    </w:p>
    <w:p w14:paraId="6B75E393">
      <w:pPr>
        <w:pageBreakBefore w:val="0"/>
        <w:widowControl/>
        <w:kinsoku/>
        <w:wordWrap/>
        <w:overflowPunct/>
        <w:topLinePunct w:val="0"/>
        <w:bidi w:val="0"/>
        <w:spacing w:line="560" w:lineRule="exact"/>
        <w:jc w:val="center"/>
        <w:textAlignment w:val="auto"/>
        <w:rPr>
          <w:rFonts w:hint="default" w:ascii="Times New Roman" w:hAnsi="Times New Roman" w:eastAsia="方正小标宋简体" w:cs="Times New Roman"/>
          <w:sz w:val="36"/>
          <w:szCs w:val="36"/>
        </w:rPr>
      </w:pPr>
    </w:p>
    <w:p w14:paraId="676BA69A">
      <w:pPr>
        <w:pageBreakBefore w:val="0"/>
        <w:widowControl/>
        <w:kinsoku/>
        <w:wordWrap/>
        <w:overflowPunct/>
        <w:topLinePunct w:val="0"/>
        <w:bidi w:val="0"/>
        <w:spacing w:line="560" w:lineRule="exact"/>
        <w:jc w:val="center"/>
        <w:textAlignment w:val="auto"/>
        <w:rPr>
          <w:rFonts w:hint="default" w:ascii="Times New Roman" w:hAnsi="Times New Roman" w:eastAsia="方正小标宋简体" w:cs="Times New Roman"/>
          <w:sz w:val="36"/>
          <w:szCs w:val="36"/>
        </w:rPr>
      </w:pPr>
    </w:p>
    <w:p w14:paraId="01654483">
      <w:pPr>
        <w:pageBreakBefore w:val="0"/>
        <w:widowControl/>
        <w:kinsoku/>
        <w:wordWrap/>
        <w:overflowPunct/>
        <w:topLinePunct w:val="0"/>
        <w:bidi w:val="0"/>
        <w:spacing w:line="560" w:lineRule="exact"/>
        <w:jc w:val="center"/>
        <w:textAlignment w:val="auto"/>
        <w:rPr>
          <w:rFonts w:hint="default" w:ascii="Times New Roman" w:hAnsi="Times New Roman" w:eastAsia="方正小标宋简体" w:cs="Times New Roman"/>
          <w:sz w:val="36"/>
          <w:szCs w:val="36"/>
        </w:rPr>
      </w:pPr>
    </w:p>
    <w:p w14:paraId="60BE7230">
      <w:pPr>
        <w:pageBreakBefore w:val="0"/>
        <w:widowControl/>
        <w:kinsoku/>
        <w:wordWrap/>
        <w:overflowPunct/>
        <w:topLinePunct w:val="0"/>
        <w:bidi w:val="0"/>
        <w:spacing w:line="560" w:lineRule="exact"/>
        <w:jc w:val="center"/>
        <w:textAlignment w:val="auto"/>
        <w:rPr>
          <w:rFonts w:hint="default" w:ascii="Times New Roman" w:hAnsi="Times New Roman" w:eastAsia="黑体" w:cs="Times New Roman"/>
          <w:sz w:val="48"/>
          <w:szCs w:val="48"/>
        </w:rPr>
      </w:pPr>
      <w:r>
        <w:rPr>
          <w:rFonts w:hint="default" w:ascii="Times New Roman" w:hAnsi="Times New Roman" w:eastAsia="方正小标宋简体" w:cs="Times New Roman"/>
          <w:sz w:val="36"/>
          <w:szCs w:val="36"/>
        </w:rPr>
        <w:br w:type="page"/>
      </w:r>
      <w:r>
        <w:rPr>
          <w:rFonts w:hint="default" w:ascii="Times New Roman" w:hAnsi="Times New Roman" w:eastAsia="黑体" w:cs="Times New Roman"/>
          <w:sz w:val="48"/>
          <w:szCs w:val="48"/>
        </w:rPr>
        <w:t>目录</w:t>
      </w:r>
    </w:p>
    <w:p w14:paraId="3FA5DD04">
      <w:pPr>
        <w:pageBreakBefore w:val="0"/>
        <w:widowControl/>
        <w:kinsoku/>
        <w:wordWrap/>
        <w:overflowPunct/>
        <w:topLinePunct w:val="0"/>
        <w:bidi w:val="0"/>
        <w:spacing w:line="560" w:lineRule="exact"/>
        <w:jc w:val="center"/>
        <w:textAlignment w:val="auto"/>
        <w:rPr>
          <w:rFonts w:hint="default" w:ascii="Times New Roman" w:hAnsi="Times New Roman" w:eastAsia="黑体" w:cs="Times New Roman"/>
          <w:sz w:val="28"/>
          <w:szCs w:val="28"/>
        </w:rPr>
      </w:pPr>
    </w:p>
    <w:p w14:paraId="0BCAFDB3">
      <w:pPr>
        <w:pStyle w:val="11"/>
        <w:pageBreakBefore w:val="0"/>
        <w:kinsoku/>
        <w:wordWrap/>
        <w:overflowPunct/>
        <w:topLinePunct w:val="0"/>
        <w:bidi w:val="0"/>
        <w:spacing w:line="560" w:lineRule="exact"/>
        <w:textAlignment w:val="auto"/>
        <w:rPr>
          <w:rFonts w:hint="default" w:ascii="Times New Roman" w:hAnsi="Times New Roman" w:cs="Times New Roman"/>
        </w:rPr>
      </w:pPr>
      <w:r>
        <w:rPr>
          <w:rFonts w:hint="default" w:ascii="Times New Roman" w:hAnsi="Times New Roman" w:cs="Times New Roman"/>
        </w:rPr>
        <w:t>公开时间：202</w:t>
      </w:r>
      <w:r>
        <w:rPr>
          <w:rFonts w:hint="default" w:ascii="Times New Roman" w:hAnsi="Times New Roman" w:cs="Times New Roman"/>
          <w:lang w:val="en-US" w:eastAsia="zh-CN"/>
        </w:rPr>
        <w:t>4</w:t>
      </w:r>
      <w:r>
        <w:rPr>
          <w:rFonts w:hint="default" w:ascii="Times New Roman" w:hAnsi="Times New Roman" w:cs="Times New Roman"/>
        </w:rPr>
        <w:t>年10月2</w:t>
      </w:r>
      <w:r>
        <w:rPr>
          <w:rFonts w:hint="default" w:ascii="Times New Roman" w:hAnsi="Times New Roman" w:cs="Times New Roman"/>
          <w:lang w:val="en-US" w:eastAsia="zh-CN"/>
        </w:rPr>
        <w:t>8</w:t>
      </w:r>
      <w:r>
        <w:rPr>
          <w:rFonts w:hint="default" w:ascii="Times New Roman" w:hAnsi="Times New Roman" w:cs="Times New Roman"/>
        </w:rPr>
        <w:t>日</w:t>
      </w:r>
    </w:p>
    <w:p w14:paraId="04ACA853">
      <w:pPr>
        <w:pageBreakBefore w:val="0"/>
        <w:kinsoku/>
        <w:wordWrap/>
        <w:overflowPunct/>
        <w:topLinePunct w:val="0"/>
        <w:bidi w:val="0"/>
        <w:spacing w:line="560" w:lineRule="exact"/>
        <w:textAlignment w:val="auto"/>
        <w:rPr>
          <w:rFonts w:hint="default" w:ascii="Times New Roman" w:hAnsi="Times New Roman" w:cs="Times New Roman"/>
        </w:rPr>
      </w:pPr>
    </w:p>
    <w:sdt>
      <w:sdtPr>
        <w:rPr>
          <w:rFonts w:hint="default" w:ascii="Times New Roman" w:hAnsi="Times New Roman" w:eastAsia="宋体" w:cs="Times New Roman"/>
          <w:kern w:val="2"/>
          <w:sz w:val="21"/>
          <w:szCs w:val="24"/>
          <w:lang w:val="en-US" w:eastAsia="zh-CN" w:bidi="ar-SA"/>
        </w:rPr>
        <w:id w:val="147478199"/>
        <w15:color w:val="DBDBDB"/>
        <w:docPartObj>
          <w:docPartGallery w:val="Table of Contents"/>
          <w:docPartUnique/>
        </w:docPartObj>
      </w:sdtPr>
      <w:sdtEndPr>
        <w:rPr>
          <w:rFonts w:hint="default" w:ascii="Times New Roman" w:hAnsi="Times New Roman" w:eastAsia="宋体" w:cs="Times New Roman"/>
          <w:b/>
          <w:kern w:val="2"/>
          <w:sz w:val="21"/>
          <w:szCs w:val="24"/>
          <w:lang w:val="en-US" w:eastAsia="zh-CN" w:bidi="ar-SA"/>
        </w:rPr>
      </w:sdtEndPr>
      <w:sdtContent>
        <w:p w14:paraId="5C4915DE">
          <w:pPr>
            <w:spacing w:before="0" w:beforeLines="0" w:after="0" w:afterLines="0" w:line="240" w:lineRule="auto"/>
            <w:ind w:left="0" w:leftChars="0" w:right="0" w:rightChars="0" w:firstLine="0" w:firstLineChars="0"/>
            <w:jc w:val="center"/>
            <w:rPr>
              <w:rFonts w:hint="default" w:ascii="Times New Roman" w:hAnsi="Times New Roman" w:cs="Times New Roman"/>
            </w:rPr>
          </w:pPr>
        </w:p>
        <w:p w14:paraId="1F2981B8">
          <w:pPr>
            <w:pStyle w:val="11"/>
            <w:tabs>
              <w:tab w:val="right" w:leader="dot" w:pos="8306"/>
              <w:tab w:val="clear" w:pos="829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TOC \o "1-2" \h \u </w:instrText>
          </w:r>
          <w:r>
            <w:rPr>
              <w:rFonts w:hint="default" w:ascii="Times New Roman" w:hAnsi="Times New Roman" w:cs="Times New Roman"/>
            </w:rPr>
            <w:fldChar w:fldCharType="separate"/>
          </w:r>
          <w:r>
            <w:rPr>
              <w:rFonts w:hint="default" w:ascii="Times New Roman" w:hAnsi="Times New Roman" w:cs="Times New Roman"/>
            </w:rPr>
            <w:fldChar w:fldCharType="begin"/>
          </w:r>
          <w:r>
            <w:rPr>
              <w:rFonts w:hint="default" w:ascii="Times New Roman" w:hAnsi="Times New Roman" w:cs="Times New Roman"/>
            </w:rPr>
            <w:instrText xml:space="preserve"> HYPERLINK \l _Toc15619 </w:instrText>
          </w:r>
          <w:r>
            <w:rPr>
              <w:rFonts w:hint="default" w:ascii="Times New Roman" w:hAnsi="Times New Roman" w:cs="Times New Roman"/>
            </w:rPr>
            <w:fldChar w:fldCharType="separate"/>
          </w:r>
          <w:r>
            <w:rPr>
              <w:rFonts w:hint="default" w:ascii="Times New Roman" w:hAnsi="Times New Roman" w:eastAsia="方正小标宋简体" w:cs="Times New Roman"/>
              <w:szCs w:val="72"/>
            </w:rPr>
            <w:t>202</w:t>
          </w:r>
          <w:r>
            <w:rPr>
              <w:rFonts w:hint="default" w:ascii="Times New Roman" w:hAnsi="Times New Roman" w:eastAsia="方正小标宋简体" w:cs="Times New Roman"/>
              <w:szCs w:val="72"/>
              <w:lang w:val="en-US" w:eastAsia="zh-CN"/>
            </w:rPr>
            <w:t>3</w:t>
          </w:r>
          <w:r>
            <w:rPr>
              <w:rFonts w:hint="default" w:ascii="Times New Roman" w:hAnsi="Times New Roman" w:eastAsia="方正小标宋简体" w:cs="Times New Roman"/>
              <w:szCs w:val="72"/>
            </w:rPr>
            <w:t>年度</w:t>
          </w:r>
          <w:r>
            <w:rPr>
              <w:rFonts w:hint="default" w:ascii="Times New Roman" w:hAnsi="Times New Roman" w:cs="Times New Roman"/>
            </w:rPr>
            <w:fldChar w:fldCharType="end"/>
          </w:r>
          <w:r>
            <w:rPr>
              <w:rFonts w:hint="default" w:ascii="Times New Roman" w:hAnsi="Times New Roman" w:cs="Times New Roman"/>
            </w:rPr>
            <w:fldChar w:fldCharType="begin"/>
          </w:r>
          <w:r>
            <w:rPr>
              <w:rFonts w:hint="default" w:ascii="Times New Roman" w:hAnsi="Times New Roman" w:cs="Times New Roman"/>
            </w:rPr>
            <w:instrText xml:space="preserve"> HYPERLINK \l _Toc4560 </w:instrText>
          </w:r>
          <w:r>
            <w:rPr>
              <w:rFonts w:hint="default" w:ascii="Times New Roman" w:hAnsi="Times New Roman" w:cs="Times New Roman"/>
            </w:rPr>
            <w:fldChar w:fldCharType="separate"/>
          </w:r>
          <w:r>
            <w:rPr>
              <w:rFonts w:hint="default" w:ascii="Times New Roman" w:hAnsi="Times New Roman" w:eastAsia="方正小标宋简体" w:cs="Times New Roman"/>
              <w:szCs w:val="72"/>
            </w:rPr>
            <w:t>四川省</w:t>
          </w:r>
          <w:r>
            <w:rPr>
              <w:rFonts w:hint="default" w:ascii="Times New Roman" w:hAnsi="Times New Roman" w:eastAsia="方正小标宋简体" w:cs="Times New Roman"/>
              <w:szCs w:val="72"/>
              <w:lang w:eastAsia="zh-CN"/>
            </w:rPr>
            <w:t>盐边县行政审批局</w:t>
          </w:r>
          <w:r>
            <w:rPr>
              <w:rFonts w:hint="eastAsia" w:ascii="Times New Roman" w:hAnsi="Times New Roman" w:eastAsia="方正小标宋简体" w:cs="Times New Roman"/>
              <w:szCs w:val="72"/>
              <w:lang w:eastAsia="zh-CN"/>
            </w:rPr>
            <w:t>单位</w:t>
          </w:r>
          <w:r>
            <w:rPr>
              <w:rFonts w:hint="default" w:ascii="Times New Roman" w:hAnsi="Times New Roman" w:eastAsia="方正小标宋简体" w:cs="Times New Roman"/>
              <w:szCs w:val="72"/>
            </w:rPr>
            <w:t>决算</w:t>
          </w:r>
          <w:r>
            <w:rPr>
              <w:rFonts w:hint="default" w:ascii="Times New Roman" w:hAnsi="Times New Roman" w:cs="Times New Roman"/>
            </w:rPr>
            <w:tab/>
          </w:r>
          <w:r>
            <w:rPr>
              <w:rFonts w:hint="default" w:ascii="Times New Roman" w:hAnsi="Times New Roman" w:eastAsia="宋体" w:cs="Times New Roman"/>
              <w:kern w:val="2"/>
              <w:sz w:val="21"/>
              <w:szCs w:val="24"/>
              <w:lang w:val="en-US" w:eastAsia="zh-CN" w:bidi="ar-SA"/>
            </w:rPr>
            <w:fldChar w:fldCharType="begin"/>
          </w:r>
          <w:r>
            <w:rPr>
              <w:rFonts w:hint="default" w:ascii="Times New Roman" w:hAnsi="Times New Roman" w:eastAsia="宋体" w:cs="Times New Roman"/>
              <w:kern w:val="2"/>
              <w:sz w:val="21"/>
              <w:szCs w:val="24"/>
              <w:lang w:val="en-US" w:eastAsia="zh-CN" w:bidi="ar-SA"/>
            </w:rPr>
            <w:instrText xml:space="preserve"> PAGEREF _Toc4560 \h </w:instrText>
          </w:r>
          <w:r>
            <w:rPr>
              <w:rFonts w:hint="default" w:ascii="Times New Roman" w:hAnsi="Times New Roman" w:eastAsia="宋体" w:cs="Times New Roman"/>
              <w:kern w:val="2"/>
              <w:sz w:val="21"/>
              <w:szCs w:val="24"/>
              <w:lang w:val="en-US" w:eastAsia="zh-CN" w:bidi="ar-SA"/>
            </w:rPr>
            <w:fldChar w:fldCharType="separate"/>
          </w:r>
          <w:r>
            <w:rPr>
              <w:rFonts w:hint="default" w:ascii="Times New Roman" w:hAnsi="Times New Roman" w:eastAsia="宋体" w:cs="Times New Roman"/>
              <w:kern w:val="2"/>
              <w:sz w:val="21"/>
              <w:szCs w:val="24"/>
              <w:lang w:val="en-US" w:eastAsia="zh-CN" w:bidi="ar-SA"/>
            </w:rPr>
            <w:t>1</w:t>
          </w:r>
          <w:r>
            <w:rPr>
              <w:rFonts w:hint="default" w:ascii="Times New Roman" w:hAnsi="Times New Roman" w:eastAsia="宋体" w:cs="Times New Roman"/>
              <w:kern w:val="2"/>
              <w:sz w:val="21"/>
              <w:szCs w:val="24"/>
              <w:lang w:val="en-US" w:eastAsia="zh-CN" w:bidi="ar-SA"/>
            </w:rPr>
            <w:fldChar w:fldCharType="end"/>
          </w:r>
          <w:r>
            <w:rPr>
              <w:rFonts w:hint="default" w:ascii="Times New Roman" w:hAnsi="Times New Roman" w:cs="Times New Roman"/>
            </w:rPr>
            <w:fldChar w:fldCharType="end"/>
          </w:r>
        </w:p>
        <w:p w14:paraId="1B7F3DBD">
          <w:pPr>
            <w:pStyle w:val="11"/>
            <w:tabs>
              <w:tab w:val="right" w:leader="dot" w:pos="8306"/>
              <w:tab w:val="clear" w:pos="829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_Toc31021 </w:instrText>
          </w:r>
          <w:r>
            <w:rPr>
              <w:rFonts w:hint="default" w:ascii="Times New Roman" w:hAnsi="Times New Roman" w:cs="Times New Roman"/>
            </w:rPr>
            <w:fldChar w:fldCharType="separate"/>
          </w:r>
          <w:r>
            <w:rPr>
              <w:rFonts w:hint="default" w:ascii="Times New Roman" w:hAnsi="Times New Roman" w:eastAsia="黑体" w:cs="Times New Roman"/>
            </w:rPr>
            <w:t xml:space="preserve">第一部分 </w:t>
          </w:r>
          <w:r>
            <w:rPr>
              <w:rFonts w:hint="eastAsia" w:ascii="Times New Roman" w:hAnsi="Times New Roman" w:eastAsia="黑体" w:cs="Times New Roman"/>
              <w:bCs w:val="0"/>
              <w:lang w:eastAsia="zh-CN"/>
            </w:rPr>
            <w:t>单位</w:t>
          </w:r>
          <w:r>
            <w:rPr>
              <w:rFonts w:hint="default" w:ascii="Times New Roman" w:hAnsi="Times New Roman" w:eastAsia="黑体" w:cs="Times New Roman"/>
              <w:bCs w:val="0"/>
            </w:rPr>
            <w:t>概况</w:t>
          </w:r>
          <w:r>
            <w:rPr>
              <w:rFonts w:hint="default" w:ascii="Times New Roman" w:hAnsi="Times New Roman" w:cs="Times New Roman"/>
            </w:rPr>
            <w:tab/>
          </w:r>
          <w:r>
            <w:rPr>
              <w:rFonts w:hint="default" w:ascii="Times New Roman" w:hAnsi="Times New Roman" w:eastAsia="宋体" w:cs="Times New Roman"/>
              <w:kern w:val="2"/>
              <w:sz w:val="21"/>
              <w:szCs w:val="24"/>
              <w:lang w:val="en-US" w:eastAsia="zh-CN" w:bidi="ar-SA"/>
            </w:rPr>
            <w:fldChar w:fldCharType="begin"/>
          </w:r>
          <w:r>
            <w:rPr>
              <w:rFonts w:hint="default" w:ascii="Times New Roman" w:hAnsi="Times New Roman" w:eastAsia="宋体" w:cs="Times New Roman"/>
              <w:kern w:val="2"/>
              <w:sz w:val="21"/>
              <w:szCs w:val="24"/>
              <w:lang w:val="en-US" w:eastAsia="zh-CN" w:bidi="ar-SA"/>
            </w:rPr>
            <w:instrText xml:space="preserve"> PAGEREF _Toc31021 \h </w:instrText>
          </w:r>
          <w:r>
            <w:rPr>
              <w:rFonts w:hint="default" w:ascii="Times New Roman" w:hAnsi="Times New Roman" w:eastAsia="宋体" w:cs="Times New Roman"/>
              <w:kern w:val="2"/>
              <w:sz w:val="21"/>
              <w:szCs w:val="24"/>
              <w:lang w:val="en-US" w:eastAsia="zh-CN" w:bidi="ar-SA"/>
            </w:rPr>
            <w:fldChar w:fldCharType="separate"/>
          </w:r>
          <w:r>
            <w:rPr>
              <w:rFonts w:hint="default" w:ascii="Times New Roman" w:hAnsi="Times New Roman" w:eastAsia="宋体" w:cs="Times New Roman"/>
              <w:kern w:val="2"/>
              <w:sz w:val="21"/>
              <w:szCs w:val="24"/>
              <w:lang w:val="en-US" w:eastAsia="zh-CN" w:bidi="ar-SA"/>
            </w:rPr>
            <w:t>3</w:t>
          </w:r>
          <w:r>
            <w:rPr>
              <w:rFonts w:hint="default" w:ascii="Times New Roman" w:hAnsi="Times New Roman" w:eastAsia="宋体" w:cs="Times New Roman"/>
              <w:kern w:val="2"/>
              <w:sz w:val="21"/>
              <w:szCs w:val="24"/>
              <w:lang w:val="en-US" w:eastAsia="zh-CN" w:bidi="ar-SA"/>
            </w:rPr>
            <w:fldChar w:fldCharType="end"/>
          </w:r>
          <w:r>
            <w:rPr>
              <w:rFonts w:hint="default" w:ascii="Times New Roman" w:hAnsi="Times New Roman" w:cs="Times New Roman"/>
            </w:rPr>
            <w:fldChar w:fldCharType="end"/>
          </w:r>
        </w:p>
        <w:p w14:paraId="7A0A63AE">
          <w:pPr>
            <w:pStyle w:val="12"/>
            <w:tabs>
              <w:tab w:val="right" w:leader="dot" w:pos="8306"/>
              <w:tab w:val="clear" w:pos="829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_Toc21370 </w:instrText>
          </w:r>
          <w:r>
            <w:rPr>
              <w:rFonts w:hint="default" w:ascii="Times New Roman" w:hAnsi="Times New Roman" w:cs="Times New Roman"/>
            </w:rPr>
            <w:fldChar w:fldCharType="separate"/>
          </w:r>
          <w:r>
            <w:rPr>
              <w:rFonts w:hint="default" w:ascii="Times New Roman" w:hAnsi="Times New Roman" w:eastAsia="黑体" w:cs="Times New Roman"/>
            </w:rPr>
            <w:t>一、</w:t>
          </w:r>
          <w:r>
            <w:rPr>
              <w:rFonts w:hint="eastAsia" w:ascii="Times New Roman" w:hAnsi="Times New Roman" w:eastAsia="黑体" w:cs="Times New Roman"/>
              <w:lang w:eastAsia="zh-CN"/>
            </w:rPr>
            <w:t>单位</w:t>
          </w:r>
          <w:r>
            <w:rPr>
              <w:rFonts w:hint="default" w:ascii="Times New Roman" w:hAnsi="Times New Roman" w:eastAsia="黑体" w:cs="Times New Roman"/>
            </w:rPr>
            <w:t>职责</w:t>
          </w:r>
          <w:r>
            <w:rPr>
              <w:rFonts w:hint="default" w:ascii="Times New Roman" w:hAnsi="Times New Roman" w:cs="Times New Roman"/>
            </w:rPr>
            <w:tab/>
          </w:r>
          <w:r>
            <w:rPr>
              <w:rFonts w:hint="default" w:ascii="Times New Roman" w:hAnsi="Times New Roman" w:eastAsia="宋体" w:cs="Times New Roman"/>
              <w:kern w:val="2"/>
              <w:sz w:val="21"/>
              <w:szCs w:val="24"/>
              <w:lang w:val="en-US" w:eastAsia="zh-CN" w:bidi="ar-SA"/>
            </w:rPr>
            <w:fldChar w:fldCharType="begin"/>
          </w:r>
          <w:r>
            <w:rPr>
              <w:rFonts w:hint="default" w:ascii="Times New Roman" w:hAnsi="Times New Roman" w:eastAsia="宋体" w:cs="Times New Roman"/>
              <w:kern w:val="2"/>
              <w:sz w:val="21"/>
              <w:szCs w:val="24"/>
              <w:lang w:val="en-US" w:eastAsia="zh-CN" w:bidi="ar-SA"/>
            </w:rPr>
            <w:instrText xml:space="preserve"> PAGEREF _Toc21370 \h </w:instrText>
          </w:r>
          <w:r>
            <w:rPr>
              <w:rFonts w:hint="default" w:ascii="Times New Roman" w:hAnsi="Times New Roman" w:eastAsia="宋体" w:cs="Times New Roman"/>
              <w:kern w:val="2"/>
              <w:sz w:val="21"/>
              <w:szCs w:val="24"/>
              <w:lang w:val="en-US" w:eastAsia="zh-CN" w:bidi="ar-SA"/>
            </w:rPr>
            <w:fldChar w:fldCharType="separate"/>
          </w:r>
          <w:r>
            <w:rPr>
              <w:rFonts w:hint="default" w:ascii="Times New Roman" w:hAnsi="Times New Roman" w:eastAsia="宋体" w:cs="Times New Roman"/>
              <w:kern w:val="2"/>
              <w:sz w:val="21"/>
              <w:szCs w:val="24"/>
              <w:lang w:val="en-US" w:eastAsia="zh-CN" w:bidi="ar-SA"/>
            </w:rPr>
            <w:t>3</w:t>
          </w:r>
          <w:r>
            <w:rPr>
              <w:rFonts w:hint="default" w:ascii="Times New Roman" w:hAnsi="Times New Roman" w:eastAsia="宋体" w:cs="Times New Roman"/>
              <w:kern w:val="2"/>
              <w:sz w:val="21"/>
              <w:szCs w:val="24"/>
              <w:lang w:val="en-US" w:eastAsia="zh-CN" w:bidi="ar-SA"/>
            </w:rPr>
            <w:fldChar w:fldCharType="end"/>
          </w:r>
          <w:r>
            <w:rPr>
              <w:rFonts w:hint="default" w:ascii="Times New Roman" w:hAnsi="Times New Roman" w:cs="Times New Roman"/>
            </w:rPr>
            <w:fldChar w:fldCharType="end"/>
          </w:r>
        </w:p>
        <w:p w14:paraId="0AB53BB6">
          <w:pPr>
            <w:pStyle w:val="12"/>
            <w:tabs>
              <w:tab w:val="right" w:leader="dot" w:pos="8306"/>
              <w:tab w:val="clear" w:pos="829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_Toc3677 </w:instrText>
          </w:r>
          <w:r>
            <w:rPr>
              <w:rFonts w:hint="default" w:ascii="Times New Roman" w:hAnsi="Times New Roman" w:cs="Times New Roman"/>
            </w:rPr>
            <w:fldChar w:fldCharType="separate"/>
          </w:r>
          <w:r>
            <w:rPr>
              <w:rFonts w:hint="default" w:ascii="Times New Roman" w:hAnsi="Times New Roman" w:eastAsia="黑体" w:cs="Times New Roman"/>
            </w:rPr>
            <w:t>二、机构设置</w:t>
          </w:r>
          <w:r>
            <w:rPr>
              <w:rFonts w:hint="default" w:ascii="Times New Roman" w:hAnsi="Times New Roman" w:cs="Times New Roman"/>
            </w:rPr>
            <w:tab/>
          </w:r>
          <w:r>
            <w:rPr>
              <w:rFonts w:hint="default" w:ascii="Times New Roman" w:hAnsi="Times New Roman" w:eastAsia="宋体" w:cs="Times New Roman"/>
              <w:kern w:val="2"/>
              <w:sz w:val="21"/>
              <w:szCs w:val="24"/>
              <w:lang w:val="en-US" w:eastAsia="zh-CN" w:bidi="ar-SA"/>
            </w:rPr>
            <w:fldChar w:fldCharType="begin"/>
          </w:r>
          <w:r>
            <w:rPr>
              <w:rFonts w:hint="default" w:ascii="Times New Roman" w:hAnsi="Times New Roman" w:eastAsia="宋体" w:cs="Times New Roman"/>
              <w:kern w:val="2"/>
              <w:sz w:val="21"/>
              <w:szCs w:val="24"/>
              <w:lang w:val="en-US" w:eastAsia="zh-CN" w:bidi="ar-SA"/>
            </w:rPr>
            <w:instrText xml:space="preserve"> PAGEREF _Toc3677 \h </w:instrText>
          </w:r>
          <w:r>
            <w:rPr>
              <w:rFonts w:hint="default" w:ascii="Times New Roman" w:hAnsi="Times New Roman" w:eastAsia="宋体" w:cs="Times New Roman"/>
              <w:kern w:val="2"/>
              <w:sz w:val="21"/>
              <w:szCs w:val="24"/>
              <w:lang w:val="en-US" w:eastAsia="zh-CN" w:bidi="ar-SA"/>
            </w:rPr>
            <w:fldChar w:fldCharType="separate"/>
          </w:r>
          <w:r>
            <w:rPr>
              <w:rFonts w:hint="default" w:ascii="Times New Roman" w:hAnsi="Times New Roman" w:eastAsia="宋体" w:cs="Times New Roman"/>
              <w:kern w:val="2"/>
              <w:sz w:val="21"/>
              <w:szCs w:val="24"/>
              <w:lang w:val="en-US" w:eastAsia="zh-CN" w:bidi="ar-SA"/>
            </w:rPr>
            <w:t>4</w:t>
          </w:r>
          <w:r>
            <w:rPr>
              <w:rFonts w:hint="default" w:ascii="Times New Roman" w:hAnsi="Times New Roman" w:eastAsia="宋体" w:cs="Times New Roman"/>
              <w:kern w:val="2"/>
              <w:sz w:val="21"/>
              <w:szCs w:val="24"/>
              <w:lang w:val="en-US" w:eastAsia="zh-CN" w:bidi="ar-SA"/>
            </w:rPr>
            <w:fldChar w:fldCharType="end"/>
          </w:r>
          <w:r>
            <w:rPr>
              <w:rFonts w:hint="default" w:ascii="Times New Roman" w:hAnsi="Times New Roman" w:cs="Times New Roman"/>
            </w:rPr>
            <w:fldChar w:fldCharType="end"/>
          </w:r>
        </w:p>
        <w:p w14:paraId="3546B11D">
          <w:pPr>
            <w:pStyle w:val="11"/>
            <w:tabs>
              <w:tab w:val="right" w:leader="dot" w:pos="8306"/>
              <w:tab w:val="clear" w:pos="829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_Toc20357 </w:instrText>
          </w:r>
          <w:r>
            <w:rPr>
              <w:rFonts w:hint="default" w:ascii="Times New Roman" w:hAnsi="Times New Roman" w:cs="Times New Roman"/>
            </w:rPr>
            <w:fldChar w:fldCharType="separate"/>
          </w:r>
          <w:r>
            <w:rPr>
              <w:rFonts w:hint="default" w:ascii="Times New Roman" w:hAnsi="Times New Roman" w:eastAsia="黑体" w:cs="Times New Roman"/>
            </w:rPr>
            <w:t>第二部分 2023年度</w:t>
          </w:r>
          <w:r>
            <w:rPr>
              <w:rFonts w:hint="eastAsia" w:ascii="Times New Roman" w:hAnsi="Times New Roman" w:eastAsia="黑体" w:cs="Times New Roman"/>
              <w:bCs/>
              <w:lang w:eastAsia="zh-CN"/>
            </w:rPr>
            <w:t>单位</w:t>
          </w:r>
          <w:r>
            <w:rPr>
              <w:rFonts w:hint="default" w:ascii="Times New Roman" w:hAnsi="Times New Roman" w:eastAsia="黑体" w:cs="Times New Roman"/>
              <w:bCs/>
            </w:rPr>
            <w:t>决算情况说明</w:t>
          </w:r>
          <w:r>
            <w:rPr>
              <w:rFonts w:hint="default" w:ascii="Times New Roman" w:hAnsi="Times New Roman" w:cs="Times New Roman"/>
            </w:rPr>
            <w:tab/>
          </w:r>
          <w:r>
            <w:rPr>
              <w:rFonts w:hint="default" w:ascii="Times New Roman" w:hAnsi="Times New Roman" w:eastAsia="宋体" w:cs="Times New Roman"/>
              <w:kern w:val="2"/>
              <w:sz w:val="21"/>
              <w:szCs w:val="24"/>
              <w:lang w:val="en-US" w:eastAsia="zh-CN" w:bidi="ar-SA"/>
            </w:rPr>
            <w:fldChar w:fldCharType="begin"/>
          </w:r>
          <w:r>
            <w:rPr>
              <w:rFonts w:hint="default" w:ascii="Times New Roman" w:hAnsi="Times New Roman" w:eastAsia="宋体" w:cs="Times New Roman"/>
              <w:kern w:val="2"/>
              <w:sz w:val="21"/>
              <w:szCs w:val="24"/>
              <w:lang w:val="en-US" w:eastAsia="zh-CN" w:bidi="ar-SA"/>
            </w:rPr>
            <w:instrText xml:space="preserve"> PAGEREF _Toc20357 \h </w:instrText>
          </w:r>
          <w:r>
            <w:rPr>
              <w:rFonts w:hint="default" w:ascii="Times New Roman" w:hAnsi="Times New Roman" w:eastAsia="宋体" w:cs="Times New Roman"/>
              <w:kern w:val="2"/>
              <w:sz w:val="21"/>
              <w:szCs w:val="24"/>
              <w:lang w:val="en-US" w:eastAsia="zh-CN" w:bidi="ar-SA"/>
            </w:rPr>
            <w:fldChar w:fldCharType="separate"/>
          </w:r>
          <w:r>
            <w:rPr>
              <w:rFonts w:hint="default" w:ascii="Times New Roman" w:hAnsi="Times New Roman" w:eastAsia="宋体" w:cs="Times New Roman"/>
              <w:kern w:val="2"/>
              <w:sz w:val="21"/>
              <w:szCs w:val="24"/>
              <w:lang w:val="en-US" w:eastAsia="zh-CN" w:bidi="ar-SA"/>
            </w:rPr>
            <w:t>5</w:t>
          </w:r>
          <w:r>
            <w:rPr>
              <w:rFonts w:hint="default" w:ascii="Times New Roman" w:hAnsi="Times New Roman" w:eastAsia="宋体" w:cs="Times New Roman"/>
              <w:kern w:val="2"/>
              <w:sz w:val="21"/>
              <w:szCs w:val="24"/>
              <w:lang w:val="en-US" w:eastAsia="zh-CN" w:bidi="ar-SA"/>
            </w:rPr>
            <w:fldChar w:fldCharType="end"/>
          </w:r>
          <w:r>
            <w:rPr>
              <w:rFonts w:hint="default" w:ascii="Times New Roman" w:hAnsi="Times New Roman" w:cs="Times New Roman"/>
            </w:rPr>
            <w:fldChar w:fldCharType="end"/>
          </w:r>
        </w:p>
        <w:p w14:paraId="50BAF1D5">
          <w:pPr>
            <w:pStyle w:val="12"/>
            <w:tabs>
              <w:tab w:val="right" w:leader="dot" w:pos="8306"/>
              <w:tab w:val="clear" w:pos="829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_Toc2311 </w:instrText>
          </w:r>
          <w:r>
            <w:rPr>
              <w:rFonts w:hint="default" w:ascii="Times New Roman" w:hAnsi="Times New Roman" w:cs="Times New Roman"/>
            </w:rPr>
            <w:fldChar w:fldCharType="separate"/>
          </w:r>
          <w:r>
            <w:rPr>
              <w:rFonts w:hint="default" w:ascii="Times New Roman" w:hAnsi="Times New Roman" w:eastAsia="黑体" w:cs="Times New Roman"/>
            </w:rPr>
            <w:t>一、</w:t>
          </w:r>
          <w:r>
            <w:rPr>
              <w:rFonts w:hint="default" w:ascii="Times New Roman" w:hAnsi="Times New Roman" w:eastAsia="黑体" w:cs="Times New Roman"/>
              <w:szCs w:val="32"/>
            </w:rPr>
            <w:t>收</w:t>
          </w:r>
          <w:r>
            <w:rPr>
              <w:rFonts w:hint="default" w:ascii="Times New Roman" w:hAnsi="Times New Roman" w:eastAsia="黑体" w:cs="Times New Roman"/>
            </w:rPr>
            <w:t>入支出决算总体情况说明</w:t>
          </w:r>
          <w:r>
            <w:rPr>
              <w:rFonts w:hint="default" w:ascii="Times New Roman" w:hAnsi="Times New Roman" w:cs="Times New Roman"/>
            </w:rPr>
            <w:tab/>
          </w:r>
          <w:r>
            <w:rPr>
              <w:rFonts w:hint="default" w:ascii="Times New Roman" w:hAnsi="Times New Roman" w:eastAsia="宋体" w:cs="Times New Roman"/>
              <w:kern w:val="2"/>
              <w:sz w:val="21"/>
              <w:szCs w:val="24"/>
              <w:lang w:val="en-US" w:eastAsia="zh-CN" w:bidi="ar-SA"/>
            </w:rPr>
            <w:fldChar w:fldCharType="begin"/>
          </w:r>
          <w:r>
            <w:rPr>
              <w:rFonts w:hint="default" w:ascii="Times New Roman" w:hAnsi="Times New Roman" w:eastAsia="宋体" w:cs="Times New Roman"/>
              <w:kern w:val="2"/>
              <w:sz w:val="21"/>
              <w:szCs w:val="24"/>
              <w:lang w:val="en-US" w:eastAsia="zh-CN" w:bidi="ar-SA"/>
            </w:rPr>
            <w:instrText xml:space="preserve"> PAGEREF _Toc2311 \h </w:instrText>
          </w:r>
          <w:r>
            <w:rPr>
              <w:rFonts w:hint="default" w:ascii="Times New Roman" w:hAnsi="Times New Roman" w:eastAsia="宋体" w:cs="Times New Roman"/>
              <w:kern w:val="2"/>
              <w:sz w:val="21"/>
              <w:szCs w:val="24"/>
              <w:lang w:val="en-US" w:eastAsia="zh-CN" w:bidi="ar-SA"/>
            </w:rPr>
            <w:fldChar w:fldCharType="separate"/>
          </w:r>
          <w:r>
            <w:rPr>
              <w:rFonts w:hint="default" w:ascii="Times New Roman" w:hAnsi="Times New Roman" w:eastAsia="宋体" w:cs="Times New Roman"/>
              <w:kern w:val="2"/>
              <w:sz w:val="21"/>
              <w:szCs w:val="24"/>
              <w:lang w:val="en-US" w:eastAsia="zh-CN" w:bidi="ar-SA"/>
            </w:rPr>
            <w:t>5</w:t>
          </w:r>
          <w:r>
            <w:rPr>
              <w:rFonts w:hint="default" w:ascii="Times New Roman" w:hAnsi="Times New Roman" w:eastAsia="宋体" w:cs="Times New Roman"/>
              <w:kern w:val="2"/>
              <w:sz w:val="21"/>
              <w:szCs w:val="24"/>
              <w:lang w:val="en-US" w:eastAsia="zh-CN" w:bidi="ar-SA"/>
            </w:rPr>
            <w:fldChar w:fldCharType="end"/>
          </w:r>
          <w:r>
            <w:rPr>
              <w:rFonts w:hint="default" w:ascii="Times New Roman" w:hAnsi="Times New Roman" w:cs="Times New Roman"/>
            </w:rPr>
            <w:fldChar w:fldCharType="end"/>
          </w:r>
        </w:p>
        <w:p w14:paraId="14FEB4E6">
          <w:pPr>
            <w:pStyle w:val="12"/>
            <w:tabs>
              <w:tab w:val="right" w:leader="dot" w:pos="8306"/>
              <w:tab w:val="clear" w:pos="829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_Toc11842 </w:instrText>
          </w:r>
          <w:r>
            <w:rPr>
              <w:rFonts w:hint="default" w:ascii="Times New Roman" w:hAnsi="Times New Roman" w:cs="Times New Roman"/>
            </w:rPr>
            <w:fldChar w:fldCharType="separate"/>
          </w:r>
          <w:r>
            <w:rPr>
              <w:rFonts w:hint="default" w:ascii="Times New Roman" w:hAnsi="Times New Roman" w:eastAsia="黑体" w:cs="Times New Roman"/>
            </w:rPr>
            <w:t>二、</w:t>
          </w:r>
          <w:r>
            <w:rPr>
              <w:rFonts w:hint="default" w:ascii="Times New Roman" w:hAnsi="Times New Roman" w:eastAsia="黑体" w:cs="Times New Roman"/>
              <w:szCs w:val="32"/>
            </w:rPr>
            <w:t>收</w:t>
          </w:r>
          <w:r>
            <w:rPr>
              <w:rFonts w:hint="default" w:ascii="Times New Roman" w:hAnsi="Times New Roman" w:eastAsia="黑体" w:cs="Times New Roman"/>
            </w:rPr>
            <w:t>入决算情况说明</w:t>
          </w:r>
          <w:r>
            <w:rPr>
              <w:rFonts w:hint="default" w:ascii="Times New Roman" w:hAnsi="Times New Roman" w:cs="Times New Roman"/>
            </w:rPr>
            <w:tab/>
          </w:r>
          <w:r>
            <w:rPr>
              <w:rFonts w:hint="default" w:ascii="Times New Roman" w:hAnsi="Times New Roman" w:eastAsia="宋体" w:cs="Times New Roman"/>
              <w:kern w:val="2"/>
              <w:sz w:val="21"/>
              <w:szCs w:val="24"/>
              <w:lang w:val="en-US" w:eastAsia="zh-CN" w:bidi="ar-SA"/>
            </w:rPr>
            <w:fldChar w:fldCharType="begin"/>
          </w:r>
          <w:r>
            <w:rPr>
              <w:rFonts w:hint="default" w:ascii="Times New Roman" w:hAnsi="Times New Roman" w:eastAsia="宋体" w:cs="Times New Roman"/>
              <w:kern w:val="2"/>
              <w:sz w:val="21"/>
              <w:szCs w:val="24"/>
              <w:lang w:val="en-US" w:eastAsia="zh-CN" w:bidi="ar-SA"/>
            </w:rPr>
            <w:instrText xml:space="preserve"> PAGEREF _Toc11842 \h </w:instrText>
          </w:r>
          <w:r>
            <w:rPr>
              <w:rFonts w:hint="default" w:ascii="Times New Roman" w:hAnsi="Times New Roman" w:eastAsia="宋体" w:cs="Times New Roman"/>
              <w:kern w:val="2"/>
              <w:sz w:val="21"/>
              <w:szCs w:val="24"/>
              <w:lang w:val="en-US" w:eastAsia="zh-CN" w:bidi="ar-SA"/>
            </w:rPr>
            <w:fldChar w:fldCharType="separate"/>
          </w:r>
          <w:r>
            <w:rPr>
              <w:rFonts w:hint="default" w:ascii="Times New Roman" w:hAnsi="Times New Roman" w:eastAsia="宋体" w:cs="Times New Roman"/>
              <w:kern w:val="2"/>
              <w:sz w:val="21"/>
              <w:szCs w:val="24"/>
              <w:lang w:val="en-US" w:eastAsia="zh-CN" w:bidi="ar-SA"/>
            </w:rPr>
            <w:t>5</w:t>
          </w:r>
          <w:r>
            <w:rPr>
              <w:rFonts w:hint="default" w:ascii="Times New Roman" w:hAnsi="Times New Roman" w:eastAsia="宋体" w:cs="Times New Roman"/>
              <w:kern w:val="2"/>
              <w:sz w:val="21"/>
              <w:szCs w:val="24"/>
              <w:lang w:val="en-US" w:eastAsia="zh-CN" w:bidi="ar-SA"/>
            </w:rPr>
            <w:fldChar w:fldCharType="end"/>
          </w:r>
          <w:r>
            <w:rPr>
              <w:rFonts w:hint="default" w:ascii="Times New Roman" w:hAnsi="Times New Roman" w:cs="Times New Roman"/>
            </w:rPr>
            <w:fldChar w:fldCharType="end"/>
          </w:r>
        </w:p>
        <w:p w14:paraId="2373BE19">
          <w:pPr>
            <w:pStyle w:val="12"/>
            <w:tabs>
              <w:tab w:val="right" w:leader="dot" w:pos="8306"/>
              <w:tab w:val="clear" w:pos="829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_Toc26741 </w:instrText>
          </w:r>
          <w:r>
            <w:rPr>
              <w:rFonts w:hint="default" w:ascii="Times New Roman" w:hAnsi="Times New Roman" w:cs="Times New Roman"/>
            </w:rPr>
            <w:fldChar w:fldCharType="separate"/>
          </w:r>
          <w:r>
            <w:rPr>
              <w:rFonts w:hint="default" w:ascii="Times New Roman" w:hAnsi="Times New Roman" w:eastAsia="黑体" w:cs="Times New Roman"/>
            </w:rPr>
            <w:t>三、</w:t>
          </w:r>
          <w:r>
            <w:rPr>
              <w:rFonts w:hint="default" w:ascii="Times New Roman" w:hAnsi="Times New Roman" w:eastAsia="黑体" w:cs="Times New Roman"/>
              <w:szCs w:val="32"/>
            </w:rPr>
            <w:t>支</w:t>
          </w:r>
          <w:r>
            <w:rPr>
              <w:rFonts w:hint="default" w:ascii="Times New Roman" w:hAnsi="Times New Roman" w:eastAsia="黑体" w:cs="Times New Roman"/>
            </w:rPr>
            <w:t>出决算情况说明</w:t>
          </w:r>
          <w:r>
            <w:rPr>
              <w:rFonts w:hint="default" w:ascii="Times New Roman" w:hAnsi="Times New Roman" w:cs="Times New Roman"/>
            </w:rPr>
            <w:tab/>
          </w:r>
          <w:r>
            <w:rPr>
              <w:rFonts w:hint="default" w:ascii="Times New Roman" w:hAnsi="Times New Roman" w:eastAsia="宋体" w:cs="Times New Roman"/>
              <w:kern w:val="2"/>
              <w:sz w:val="21"/>
              <w:szCs w:val="24"/>
              <w:lang w:val="en-US" w:eastAsia="zh-CN" w:bidi="ar-SA"/>
            </w:rPr>
            <w:fldChar w:fldCharType="begin"/>
          </w:r>
          <w:r>
            <w:rPr>
              <w:rFonts w:hint="default" w:ascii="Times New Roman" w:hAnsi="Times New Roman" w:eastAsia="宋体" w:cs="Times New Roman"/>
              <w:kern w:val="2"/>
              <w:sz w:val="21"/>
              <w:szCs w:val="24"/>
              <w:lang w:val="en-US" w:eastAsia="zh-CN" w:bidi="ar-SA"/>
            </w:rPr>
            <w:instrText xml:space="preserve"> PAGEREF _Toc26741 \h </w:instrText>
          </w:r>
          <w:r>
            <w:rPr>
              <w:rFonts w:hint="default" w:ascii="Times New Roman" w:hAnsi="Times New Roman" w:eastAsia="宋体" w:cs="Times New Roman"/>
              <w:kern w:val="2"/>
              <w:sz w:val="21"/>
              <w:szCs w:val="24"/>
              <w:lang w:val="en-US" w:eastAsia="zh-CN" w:bidi="ar-SA"/>
            </w:rPr>
            <w:fldChar w:fldCharType="separate"/>
          </w:r>
          <w:r>
            <w:rPr>
              <w:rFonts w:hint="default" w:ascii="Times New Roman" w:hAnsi="Times New Roman" w:eastAsia="宋体" w:cs="Times New Roman"/>
              <w:kern w:val="2"/>
              <w:sz w:val="21"/>
              <w:szCs w:val="24"/>
              <w:lang w:val="en-US" w:eastAsia="zh-CN" w:bidi="ar-SA"/>
            </w:rPr>
            <w:t>6</w:t>
          </w:r>
          <w:r>
            <w:rPr>
              <w:rFonts w:hint="default" w:ascii="Times New Roman" w:hAnsi="Times New Roman" w:eastAsia="宋体" w:cs="Times New Roman"/>
              <w:kern w:val="2"/>
              <w:sz w:val="21"/>
              <w:szCs w:val="24"/>
              <w:lang w:val="en-US" w:eastAsia="zh-CN" w:bidi="ar-SA"/>
            </w:rPr>
            <w:fldChar w:fldCharType="end"/>
          </w:r>
          <w:r>
            <w:rPr>
              <w:rFonts w:hint="default" w:ascii="Times New Roman" w:hAnsi="Times New Roman" w:cs="Times New Roman"/>
            </w:rPr>
            <w:fldChar w:fldCharType="end"/>
          </w:r>
        </w:p>
        <w:p w14:paraId="35E61F49">
          <w:pPr>
            <w:pStyle w:val="12"/>
            <w:tabs>
              <w:tab w:val="right" w:leader="dot" w:pos="8306"/>
              <w:tab w:val="clear" w:pos="829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_Toc23175 </w:instrText>
          </w:r>
          <w:r>
            <w:rPr>
              <w:rFonts w:hint="default" w:ascii="Times New Roman" w:hAnsi="Times New Roman" w:cs="Times New Roman"/>
            </w:rPr>
            <w:fldChar w:fldCharType="separate"/>
          </w:r>
          <w:r>
            <w:rPr>
              <w:rFonts w:hint="default" w:ascii="Times New Roman" w:hAnsi="Times New Roman" w:eastAsia="黑体" w:cs="Times New Roman"/>
              <w:szCs w:val="32"/>
            </w:rPr>
            <w:t>四、财</w:t>
          </w:r>
          <w:r>
            <w:rPr>
              <w:rFonts w:hint="default" w:ascii="Times New Roman" w:hAnsi="Times New Roman" w:eastAsia="黑体" w:cs="Times New Roman"/>
            </w:rPr>
            <w:t>政拨款收入支出决算总体情况说明</w:t>
          </w:r>
          <w:r>
            <w:rPr>
              <w:rFonts w:hint="default" w:ascii="Times New Roman" w:hAnsi="Times New Roman" w:cs="Times New Roman"/>
            </w:rPr>
            <w:tab/>
          </w:r>
          <w:r>
            <w:rPr>
              <w:rFonts w:hint="default" w:ascii="Times New Roman" w:hAnsi="Times New Roman" w:eastAsia="宋体" w:cs="Times New Roman"/>
              <w:kern w:val="2"/>
              <w:sz w:val="21"/>
              <w:szCs w:val="24"/>
              <w:lang w:val="en-US" w:eastAsia="zh-CN" w:bidi="ar-SA"/>
            </w:rPr>
            <w:fldChar w:fldCharType="begin"/>
          </w:r>
          <w:r>
            <w:rPr>
              <w:rFonts w:hint="default" w:ascii="Times New Roman" w:hAnsi="Times New Roman" w:eastAsia="宋体" w:cs="Times New Roman"/>
              <w:kern w:val="2"/>
              <w:sz w:val="21"/>
              <w:szCs w:val="24"/>
              <w:lang w:val="en-US" w:eastAsia="zh-CN" w:bidi="ar-SA"/>
            </w:rPr>
            <w:instrText xml:space="preserve"> PAGEREF _Toc23175 \h </w:instrText>
          </w:r>
          <w:r>
            <w:rPr>
              <w:rFonts w:hint="default" w:ascii="Times New Roman" w:hAnsi="Times New Roman" w:eastAsia="宋体" w:cs="Times New Roman"/>
              <w:kern w:val="2"/>
              <w:sz w:val="21"/>
              <w:szCs w:val="24"/>
              <w:lang w:val="en-US" w:eastAsia="zh-CN" w:bidi="ar-SA"/>
            </w:rPr>
            <w:fldChar w:fldCharType="separate"/>
          </w:r>
          <w:r>
            <w:rPr>
              <w:rFonts w:hint="default" w:ascii="Times New Roman" w:hAnsi="Times New Roman" w:eastAsia="宋体" w:cs="Times New Roman"/>
              <w:kern w:val="2"/>
              <w:sz w:val="21"/>
              <w:szCs w:val="24"/>
              <w:lang w:val="en-US" w:eastAsia="zh-CN" w:bidi="ar-SA"/>
            </w:rPr>
            <w:t>6</w:t>
          </w:r>
          <w:r>
            <w:rPr>
              <w:rFonts w:hint="default" w:ascii="Times New Roman" w:hAnsi="Times New Roman" w:eastAsia="宋体" w:cs="Times New Roman"/>
              <w:kern w:val="2"/>
              <w:sz w:val="21"/>
              <w:szCs w:val="24"/>
              <w:lang w:val="en-US" w:eastAsia="zh-CN" w:bidi="ar-SA"/>
            </w:rPr>
            <w:fldChar w:fldCharType="end"/>
          </w:r>
          <w:r>
            <w:rPr>
              <w:rFonts w:hint="default" w:ascii="Times New Roman" w:hAnsi="Times New Roman" w:cs="Times New Roman"/>
            </w:rPr>
            <w:fldChar w:fldCharType="end"/>
          </w:r>
        </w:p>
        <w:p w14:paraId="7BEE5F52">
          <w:pPr>
            <w:pStyle w:val="12"/>
            <w:tabs>
              <w:tab w:val="right" w:leader="dot" w:pos="8306"/>
              <w:tab w:val="clear" w:pos="829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_Toc20236 </w:instrText>
          </w:r>
          <w:r>
            <w:rPr>
              <w:rFonts w:hint="default" w:ascii="Times New Roman" w:hAnsi="Times New Roman" w:cs="Times New Roman"/>
            </w:rPr>
            <w:fldChar w:fldCharType="separate"/>
          </w:r>
          <w:r>
            <w:rPr>
              <w:rFonts w:hint="default" w:ascii="Times New Roman" w:hAnsi="Times New Roman" w:eastAsia="黑体" w:cs="Times New Roman"/>
              <w:szCs w:val="32"/>
            </w:rPr>
            <w:t>五、一</w:t>
          </w:r>
          <w:r>
            <w:rPr>
              <w:rFonts w:hint="default" w:ascii="Times New Roman" w:hAnsi="Times New Roman" w:eastAsia="黑体" w:cs="Times New Roman"/>
            </w:rPr>
            <w:t>般公共预算财政拨款支出决算情况说明</w:t>
          </w:r>
          <w:r>
            <w:rPr>
              <w:rFonts w:hint="default" w:ascii="Times New Roman" w:hAnsi="Times New Roman" w:cs="Times New Roman"/>
            </w:rPr>
            <w:tab/>
          </w:r>
          <w:r>
            <w:rPr>
              <w:rFonts w:hint="default" w:ascii="Times New Roman" w:hAnsi="Times New Roman" w:eastAsia="宋体" w:cs="Times New Roman"/>
              <w:kern w:val="2"/>
              <w:sz w:val="21"/>
              <w:szCs w:val="24"/>
              <w:lang w:val="en-US" w:eastAsia="zh-CN" w:bidi="ar-SA"/>
            </w:rPr>
            <w:fldChar w:fldCharType="begin"/>
          </w:r>
          <w:r>
            <w:rPr>
              <w:rFonts w:hint="default" w:ascii="Times New Roman" w:hAnsi="Times New Roman" w:eastAsia="宋体" w:cs="Times New Roman"/>
              <w:kern w:val="2"/>
              <w:sz w:val="21"/>
              <w:szCs w:val="24"/>
              <w:lang w:val="en-US" w:eastAsia="zh-CN" w:bidi="ar-SA"/>
            </w:rPr>
            <w:instrText xml:space="preserve"> PAGEREF _Toc20236 \h </w:instrText>
          </w:r>
          <w:r>
            <w:rPr>
              <w:rFonts w:hint="default" w:ascii="Times New Roman" w:hAnsi="Times New Roman" w:eastAsia="宋体" w:cs="Times New Roman"/>
              <w:kern w:val="2"/>
              <w:sz w:val="21"/>
              <w:szCs w:val="24"/>
              <w:lang w:val="en-US" w:eastAsia="zh-CN" w:bidi="ar-SA"/>
            </w:rPr>
            <w:fldChar w:fldCharType="separate"/>
          </w:r>
          <w:r>
            <w:rPr>
              <w:rFonts w:hint="default" w:ascii="Times New Roman" w:hAnsi="Times New Roman" w:eastAsia="宋体" w:cs="Times New Roman"/>
              <w:kern w:val="2"/>
              <w:sz w:val="21"/>
              <w:szCs w:val="24"/>
              <w:lang w:val="en-US" w:eastAsia="zh-CN" w:bidi="ar-SA"/>
            </w:rPr>
            <w:t>7</w:t>
          </w:r>
          <w:r>
            <w:rPr>
              <w:rFonts w:hint="default" w:ascii="Times New Roman" w:hAnsi="Times New Roman" w:eastAsia="宋体" w:cs="Times New Roman"/>
              <w:kern w:val="2"/>
              <w:sz w:val="21"/>
              <w:szCs w:val="24"/>
              <w:lang w:val="en-US" w:eastAsia="zh-CN" w:bidi="ar-SA"/>
            </w:rPr>
            <w:fldChar w:fldCharType="end"/>
          </w:r>
          <w:r>
            <w:rPr>
              <w:rFonts w:hint="default" w:ascii="Times New Roman" w:hAnsi="Times New Roman" w:cs="Times New Roman"/>
            </w:rPr>
            <w:fldChar w:fldCharType="end"/>
          </w:r>
        </w:p>
        <w:p w14:paraId="3C1BE8D1">
          <w:pPr>
            <w:pStyle w:val="12"/>
            <w:tabs>
              <w:tab w:val="right" w:leader="dot" w:pos="8306"/>
              <w:tab w:val="clear" w:pos="829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_Toc28277 </w:instrText>
          </w:r>
          <w:r>
            <w:rPr>
              <w:rFonts w:hint="default" w:ascii="Times New Roman" w:hAnsi="Times New Roman" w:cs="Times New Roman"/>
            </w:rPr>
            <w:fldChar w:fldCharType="separate"/>
          </w:r>
          <w:r>
            <w:rPr>
              <w:rFonts w:hint="default" w:ascii="Times New Roman" w:hAnsi="Times New Roman" w:eastAsia="黑体" w:cs="Times New Roman"/>
              <w:szCs w:val="32"/>
            </w:rPr>
            <w:t>六、一</w:t>
          </w:r>
          <w:r>
            <w:rPr>
              <w:rFonts w:hint="default" w:ascii="Times New Roman" w:hAnsi="Times New Roman" w:eastAsia="黑体" w:cs="Times New Roman"/>
            </w:rPr>
            <w:t>般公共预算财政拨款基本支出决算情况说明</w:t>
          </w:r>
          <w:r>
            <w:rPr>
              <w:rFonts w:hint="default" w:ascii="Times New Roman" w:hAnsi="Times New Roman" w:cs="Times New Roman"/>
            </w:rPr>
            <w:tab/>
          </w:r>
          <w:r>
            <w:rPr>
              <w:rFonts w:hint="default" w:ascii="Times New Roman" w:hAnsi="Times New Roman" w:eastAsia="宋体" w:cs="Times New Roman"/>
              <w:kern w:val="2"/>
              <w:sz w:val="21"/>
              <w:szCs w:val="24"/>
              <w:lang w:val="en-US" w:eastAsia="zh-CN" w:bidi="ar-SA"/>
            </w:rPr>
            <w:fldChar w:fldCharType="begin"/>
          </w:r>
          <w:r>
            <w:rPr>
              <w:rFonts w:hint="default" w:ascii="Times New Roman" w:hAnsi="Times New Roman" w:eastAsia="宋体" w:cs="Times New Roman"/>
              <w:kern w:val="2"/>
              <w:sz w:val="21"/>
              <w:szCs w:val="24"/>
              <w:lang w:val="en-US" w:eastAsia="zh-CN" w:bidi="ar-SA"/>
            </w:rPr>
            <w:instrText xml:space="preserve"> PAGEREF _Toc28277 \h </w:instrText>
          </w:r>
          <w:r>
            <w:rPr>
              <w:rFonts w:hint="default" w:ascii="Times New Roman" w:hAnsi="Times New Roman" w:eastAsia="宋体" w:cs="Times New Roman"/>
              <w:kern w:val="2"/>
              <w:sz w:val="21"/>
              <w:szCs w:val="24"/>
              <w:lang w:val="en-US" w:eastAsia="zh-CN" w:bidi="ar-SA"/>
            </w:rPr>
            <w:fldChar w:fldCharType="separate"/>
          </w:r>
          <w:r>
            <w:rPr>
              <w:rFonts w:hint="default" w:ascii="Times New Roman" w:hAnsi="Times New Roman" w:eastAsia="宋体" w:cs="Times New Roman"/>
              <w:kern w:val="2"/>
              <w:sz w:val="21"/>
              <w:szCs w:val="24"/>
              <w:lang w:val="en-US" w:eastAsia="zh-CN" w:bidi="ar-SA"/>
            </w:rPr>
            <w:t>9</w:t>
          </w:r>
          <w:r>
            <w:rPr>
              <w:rFonts w:hint="default" w:ascii="Times New Roman" w:hAnsi="Times New Roman" w:eastAsia="宋体" w:cs="Times New Roman"/>
              <w:kern w:val="2"/>
              <w:sz w:val="21"/>
              <w:szCs w:val="24"/>
              <w:lang w:val="en-US" w:eastAsia="zh-CN" w:bidi="ar-SA"/>
            </w:rPr>
            <w:fldChar w:fldCharType="end"/>
          </w:r>
          <w:r>
            <w:rPr>
              <w:rFonts w:hint="default" w:ascii="Times New Roman" w:hAnsi="Times New Roman" w:cs="Times New Roman"/>
            </w:rPr>
            <w:fldChar w:fldCharType="end"/>
          </w:r>
        </w:p>
        <w:p w14:paraId="797EB05D">
          <w:pPr>
            <w:pStyle w:val="12"/>
            <w:tabs>
              <w:tab w:val="right" w:leader="dot" w:pos="8306"/>
              <w:tab w:val="clear" w:pos="829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_Toc25027 </w:instrText>
          </w:r>
          <w:r>
            <w:rPr>
              <w:rFonts w:hint="default" w:ascii="Times New Roman" w:hAnsi="Times New Roman" w:cs="Times New Roman"/>
            </w:rPr>
            <w:fldChar w:fldCharType="separate"/>
          </w:r>
          <w:r>
            <w:rPr>
              <w:rFonts w:hint="default" w:ascii="Times New Roman" w:hAnsi="Times New Roman" w:eastAsia="黑体" w:cs="Times New Roman"/>
              <w:szCs w:val="32"/>
            </w:rPr>
            <w:t>七、</w:t>
          </w:r>
          <w:r>
            <w:rPr>
              <w:rFonts w:hint="default" w:ascii="Times New Roman" w:hAnsi="Times New Roman" w:eastAsia="黑体" w:cs="Times New Roman"/>
            </w:rPr>
            <w:t>财政拨款“三公”经费支出决算情况说明</w:t>
          </w:r>
          <w:r>
            <w:rPr>
              <w:rFonts w:hint="default" w:ascii="Times New Roman" w:hAnsi="Times New Roman" w:cs="Times New Roman"/>
            </w:rPr>
            <w:tab/>
          </w:r>
          <w:r>
            <w:rPr>
              <w:rFonts w:hint="default" w:ascii="Times New Roman" w:hAnsi="Times New Roman" w:eastAsia="宋体" w:cs="Times New Roman"/>
              <w:kern w:val="2"/>
              <w:sz w:val="21"/>
              <w:szCs w:val="24"/>
              <w:lang w:val="en-US" w:eastAsia="zh-CN" w:bidi="ar-SA"/>
            </w:rPr>
            <w:fldChar w:fldCharType="begin"/>
          </w:r>
          <w:r>
            <w:rPr>
              <w:rFonts w:hint="default" w:ascii="Times New Roman" w:hAnsi="Times New Roman" w:eastAsia="宋体" w:cs="Times New Roman"/>
              <w:kern w:val="2"/>
              <w:sz w:val="21"/>
              <w:szCs w:val="24"/>
              <w:lang w:val="en-US" w:eastAsia="zh-CN" w:bidi="ar-SA"/>
            </w:rPr>
            <w:instrText xml:space="preserve"> PAGEREF _Toc25027 \h </w:instrText>
          </w:r>
          <w:r>
            <w:rPr>
              <w:rFonts w:hint="default" w:ascii="Times New Roman" w:hAnsi="Times New Roman" w:eastAsia="宋体" w:cs="Times New Roman"/>
              <w:kern w:val="2"/>
              <w:sz w:val="21"/>
              <w:szCs w:val="24"/>
              <w:lang w:val="en-US" w:eastAsia="zh-CN" w:bidi="ar-SA"/>
            </w:rPr>
            <w:fldChar w:fldCharType="separate"/>
          </w:r>
          <w:r>
            <w:rPr>
              <w:rFonts w:hint="default" w:ascii="Times New Roman" w:hAnsi="Times New Roman" w:eastAsia="宋体" w:cs="Times New Roman"/>
              <w:kern w:val="2"/>
              <w:sz w:val="21"/>
              <w:szCs w:val="24"/>
              <w:lang w:val="en-US" w:eastAsia="zh-CN" w:bidi="ar-SA"/>
            </w:rPr>
            <w:t>9</w:t>
          </w:r>
          <w:r>
            <w:rPr>
              <w:rFonts w:hint="default" w:ascii="Times New Roman" w:hAnsi="Times New Roman" w:eastAsia="宋体" w:cs="Times New Roman"/>
              <w:kern w:val="2"/>
              <w:sz w:val="21"/>
              <w:szCs w:val="24"/>
              <w:lang w:val="en-US" w:eastAsia="zh-CN" w:bidi="ar-SA"/>
            </w:rPr>
            <w:fldChar w:fldCharType="end"/>
          </w:r>
          <w:r>
            <w:rPr>
              <w:rFonts w:hint="default" w:ascii="Times New Roman" w:hAnsi="Times New Roman" w:cs="Times New Roman"/>
            </w:rPr>
            <w:fldChar w:fldCharType="end"/>
          </w:r>
        </w:p>
        <w:p w14:paraId="5DE28628">
          <w:pPr>
            <w:pStyle w:val="12"/>
            <w:tabs>
              <w:tab w:val="right" w:leader="dot" w:pos="8306"/>
              <w:tab w:val="clear" w:pos="829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_Toc31210 </w:instrText>
          </w:r>
          <w:r>
            <w:rPr>
              <w:rFonts w:hint="default" w:ascii="Times New Roman" w:hAnsi="Times New Roman" w:cs="Times New Roman"/>
            </w:rPr>
            <w:fldChar w:fldCharType="separate"/>
          </w:r>
          <w:r>
            <w:rPr>
              <w:rFonts w:hint="default" w:ascii="Times New Roman" w:hAnsi="Times New Roman" w:eastAsia="黑体" w:cs="Times New Roman"/>
              <w:szCs w:val="32"/>
            </w:rPr>
            <w:t>八、</w:t>
          </w:r>
          <w:r>
            <w:rPr>
              <w:rFonts w:hint="default" w:ascii="Times New Roman" w:hAnsi="Times New Roman" w:eastAsia="黑体" w:cs="Times New Roman"/>
            </w:rPr>
            <w:t>政府性基金预算支出决算情况说明</w:t>
          </w:r>
          <w:r>
            <w:rPr>
              <w:rFonts w:hint="default" w:ascii="Times New Roman" w:hAnsi="Times New Roman" w:cs="Times New Roman"/>
            </w:rPr>
            <w:tab/>
          </w:r>
          <w:r>
            <w:rPr>
              <w:rFonts w:hint="default" w:ascii="Times New Roman" w:hAnsi="Times New Roman" w:eastAsia="宋体" w:cs="Times New Roman"/>
              <w:kern w:val="2"/>
              <w:sz w:val="21"/>
              <w:szCs w:val="24"/>
              <w:lang w:val="en-US" w:eastAsia="zh-CN" w:bidi="ar-SA"/>
            </w:rPr>
            <w:fldChar w:fldCharType="begin"/>
          </w:r>
          <w:r>
            <w:rPr>
              <w:rFonts w:hint="default" w:ascii="Times New Roman" w:hAnsi="Times New Roman" w:eastAsia="宋体" w:cs="Times New Roman"/>
              <w:kern w:val="2"/>
              <w:sz w:val="21"/>
              <w:szCs w:val="24"/>
              <w:lang w:val="en-US" w:eastAsia="zh-CN" w:bidi="ar-SA"/>
            </w:rPr>
            <w:instrText xml:space="preserve"> PAGEREF _Toc31210 \h </w:instrText>
          </w:r>
          <w:r>
            <w:rPr>
              <w:rFonts w:hint="default" w:ascii="Times New Roman" w:hAnsi="Times New Roman" w:eastAsia="宋体" w:cs="Times New Roman"/>
              <w:kern w:val="2"/>
              <w:sz w:val="21"/>
              <w:szCs w:val="24"/>
              <w:lang w:val="en-US" w:eastAsia="zh-CN" w:bidi="ar-SA"/>
            </w:rPr>
            <w:fldChar w:fldCharType="separate"/>
          </w:r>
          <w:r>
            <w:rPr>
              <w:rFonts w:hint="default" w:ascii="Times New Roman" w:hAnsi="Times New Roman" w:eastAsia="宋体" w:cs="Times New Roman"/>
              <w:kern w:val="2"/>
              <w:sz w:val="21"/>
              <w:szCs w:val="24"/>
              <w:lang w:val="en-US" w:eastAsia="zh-CN" w:bidi="ar-SA"/>
            </w:rPr>
            <w:t>11</w:t>
          </w:r>
          <w:r>
            <w:rPr>
              <w:rFonts w:hint="default" w:ascii="Times New Roman" w:hAnsi="Times New Roman" w:eastAsia="宋体" w:cs="Times New Roman"/>
              <w:kern w:val="2"/>
              <w:sz w:val="21"/>
              <w:szCs w:val="24"/>
              <w:lang w:val="en-US" w:eastAsia="zh-CN" w:bidi="ar-SA"/>
            </w:rPr>
            <w:fldChar w:fldCharType="end"/>
          </w:r>
          <w:r>
            <w:rPr>
              <w:rFonts w:hint="default" w:ascii="Times New Roman" w:hAnsi="Times New Roman" w:cs="Times New Roman"/>
            </w:rPr>
            <w:fldChar w:fldCharType="end"/>
          </w:r>
        </w:p>
        <w:p w14:paraId="4910308E">
          <w:pPr>
            <w:pStyle w:val="12"/>
            <w:tabs>
              <w:tab w:val="right" w:leader="dot" w:pos="8306"/>
              <w:tab w:val="clear" w:pos="829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_Toc26415 </w:instrText>
          </w:r>
          <w:r>
            <w:rPr>
              <w:rFonts w:hint="default" w:ascii="Times New Roman" w:hAnsi="Times New Roman" w:cs="Times New Roman"/>
            </w:rPr>
            <w:fldChar w:fldCharType="separate"/>
          </w:r>
          <w:r>
            <w:rPr>
              <w:rFonts w:hint="default" w:ascii="Times New Roman" w:hAnsi="Times New Roman" w:eastAsia="黑体" w:cs="Times New Roman"/>
            </w:rPr>
            <w:t>九、国有资本经营预算支出决算情况说明</w:t>
          </w:r>
          <w:r>
            <w:rPr>
              <w:rFonts w:hint="default" w:ascii="Times New Roman" w:hAnsi="Times New Roman" w:cs="Times New Roman"/>
            </w:rPr>
            <w:tab/>
          </w:r>
          <w:r>
            <w:rPr>
              <w:rFonts w:hint="default" w:ascii="Times New Roman" w:hAnsi="Times New Roman" w:eastAsia="宋体" w:cs="Times New Roman"/>
              <w:kern w:val="2"/>
              <w:sz w:val="21"/>
              <w:szCs w:val="24"/>
              <w:lang w:val="en-US" w:eastAsia="zh-CN" w:bidi="ar-SA"/>
            </w:rPr>
            <w:fldChar w:fldCharType="begin"/>
          </w:r>
          <w:r>
            <w:rPr>
              <w:rFonts w:hint="default" w:ascii="Times New Roman" w:hAnsi="Times New Roman" w:eastAsia="宋体" w:cs="Times New Roman"/>
              <w:kern w:val="2"/>
              <w:sz w:val="21"/>
              <w:szCs w:val="24"/>
              <w:lang w:val="en-US" w:eastAsia="zh-CN" w:bidi="ar-SA"/>
            </w:rPr>
            <w:instrText xml:space="preserve"> PAGEREF _Toc26415 \h </w:instrText>
          </w:r>
          <w:r>
            <w:rPr>
              <w:rFonts w:hint="default" w:ascii="Times New Roman" w:hAnsi="Times New Roman" w:eastAsia="宋体" w:cs="Times New Roman"/>
              <w:kern w:val="2"/>
              <w:sz w:val="21"/>
              <w:szCs w:val="24"/>
              <w:lang w:val="en-US" w:eastAsia="zh-CN" w:bidi="ar-SA"/>
            </w:rPr>
            <w:fldChar w:fldCharType="separate"/>
          </w:r>
          <w:r>
            <w:rPr>
              <w:rFonts w:hint="default" w:ascii="Times New Roman" w:hAnsi="Times New Roman" w:eastAsia="宋体" w:cs="Times New Roman"/>
              <w:kern w:val="2"/>
              <w:sz w:val="21"/>
              <w:szCs w:val="24"/>
              <w:lang w:val="en-US" w:eastAsia="zh-CN" w:bidi="ar-SA"/>
            </w:rPr>
            <w:t>11</w:t>
          </w:r>
          <w:r>
            <w:rPr>
              <w:rFonts w:hint="default" w:ascii="Times New Roman" w:hAnsi="Times New Roman" w:eastAsia="宋体" w:cs="Times New Roman"/>
              <w:kern w:val="2"/>
              <w:sz w:val="21"/>
              <w:szCs w:val="24"/>
              <w:lang w:val="en-US" w:eastAsia="zh-CN" w:bidi="ar-SA"/>
            </w:rPr>
            <w:fldChar w:fldCharType="end"/>
          </w:r>
          <w:r>
            <w:rPr>
              <w:rFonts w:hint="default" w:ascii="Times New Roman" w:hAnsi="Times New Roman" w:cs="Times New Roman"/>
            </w:rPr>
            <w:fldChar w:fldCharType="end"/>
          </w:r>
        </w:p>
        <w:p w14:paraId="55DD6061">
          <w:pPr>
            <w:pStyle w:val="12"/>
            <w:tabs>
              <w:tab w:val="right" w:leader="dot" w:pos="8306"/>
              <w:tab w:val="clear" w:pos="829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_Toc6755 </w:instrText>
          </w:r>
          <w:r>
            <w:rPr>
              <w:rFonts w:hint="default" w:ascii="Times New Roman" w:hAnsi="Times New Roman" w:cs="Times New Roman"/>
            </w:rPr>
            <w:fldChar w:fldCharType="separate"/>
          </w:r>
          <w:r>
            <w:rPr>
              <w:rFonts w:hint="default" w:ascii="Times New Roman" w:hAnsi="Times New Roman" w:eastAsia="黑体" w:cs="Times New Roman"/>
            </w:rPr>
            <w:t>十、其他重要事项的情况说明</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_Toc6755 \h </w:instrText>
          </w:r>
          <w:r>
            <w:rPr>
              <w:rFonts w:hint="default" w:ascii="Times New Roman" w:hAnsi="Times New Roman" w:cs="Times New Roman"/>
            </w:rPr>
            <w:fldChar w:fldCharType="separate"/>
          </w:r>
          <w:r>
            <w:rPr>
              <w:rFonts w:hint="default" w:ascii="Times New Roman" w:hAnsi="Times New Roman" w:cs="Times New Roman"/>
            </w:rPr>
            <w:t>11</w:t>
          </w:r>
          <w:r>
            <w:rPr>
              <w:rFonts w:hint="default" w:ascii="Times New Roman" w:hAnsi="Times New Roman" w:cs="Times New Roman"/>
            </w:rPr>
            <w:fldChar w:fldCharType="end"/>
          </w:r>
          <w:r>
            <w:rPr>
              <w:rFonts w:hint="default" w:ascii="Times New Roman" w:hAnsi="Times New Roman" w:cs="Times New Roman"/>
            </w:rPr>
            <w:fldChar w:fldCharType="end"/>
          </w:r>
        </w:p>
        <w:p w14:paraId="0A0A5593">
          <w:pPr>
            <w:pStyle w:val="11"/>
            <w:tabs>
              <w:tab w:val="right" w:leader="dot" w:pos="8306"/>
              <w:tab w:val="clear" w:pos="829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_Toc31531 </w:instrText>
          </w:r>
          <w:r>
            <w:rPr>
              <w:rFonts w:hint="default" w:ascii="Times New Roman" w:hAnsi="Times New Roman" w:cs="Times New Roman"/>
            </w:rPr>
            <w:fldChar w:fldCharType="separate"/>
          </w:r>
          <w:r>
            <w:rPr>
              <w:rFonts w:hint="default" w:ascii="Times New Roman" w:hAnsi="Times New Roman" w:eastAsia="黑体" w:cs="Times New Roman"/>
            </w:rPr>
            <w:t>第三部分 名词解释</w:t>
          </w:r>
          <w:r>
            <w:rPr>
              <w:rFonts w:hint="default" w:ascii="Times New Roman" w:hAnsi="Times New Roman" w:cs="Times New Roman"/>
            </w:rPr>
            <w:tab/>
          </w:r>
          <w:r>
            <w:rPr>
              <w:rFonts w:hint="default" w:ascii="Times New Roman" w:hAnsi="Times New Roman" w:eastAsia="宋体" w:cs="Times New Roman"/>
              <w:kern w:val="2"/>
              <w:sz w:val="21"/>
              <w:szCs w:val="24"/>
              <w:lang w:val="en-US" w:eastAsia="zh-CN" w:bidi="ar-SA"/>
            </w:rPr>
            <w:fldChar w:fldCharType="begin"/>
          </w:r>
          <w:r>
            <w:rPr>
              <w:rFonts w:hint="default" w:ascii="Times New Roman" w:hAnsi="Times New Roman" w:eastAsia="宋体" w:cs="Times New Roman"/>
              <w:kern w:val="2"/>
              <w:sz w:val="21"/>
              <w:szCs w:val="24"/>
              <w:lang w:val="en-US" w:eastAsia="zh-CN" w:bidi="ar-SA"/>
            </w:rPr>
            <w:instrText xml:space="preserve"> PAGEREF _Toc31531 \h </w:instrText>
          </w:r>
          <w:r>
            <w:rPr>
              <w:rFonts w:hint="default" w:ascii="Times New Roman" w:hAnsi="Times New Roman" w:eastAsia="宋体" w:cs="Times New Roman"/>
              <w:kern w:val="2"/>
              <w:sz w:val="21"/>
              <w:szCs w:val="24"/>
              <w:lang w:val="en-US" w:eastAsia="zh-CN" w:bidi="ar-SA"/>
            </w:rPr>
            <w:fldChar w:fldCharType="separate"/>
          </w:r>
          <w:r>
            <w:rPr>
              <w:rFonts w:hint="default" w:ascii="Times New Roman" w:hAnsi="Times New Roman" w:eastAsia="宋体" w:cs="Times New Roman"/>
              <w:kern w:val="2"/>
              <w:sz w:val="21"/>
              <w:szCs w:val="24"/>
              <w:lang w:val="en-US" w:eastAsia="zh-CN" w:bidi="ar-SA"/>
            </w:rPr>
            <w:t>13</w:t>
          </w:r>
          <w:r>
            <w:rPr>
              <w:rFonts w:hint="default" w:ascii="Times New Roman" w:hAnsi="Times New Roman" w:eastAsia="宋体" w:cs="Times New Roman"/>
              <w:kern w:val="2"/>
              <w:sz w:val="21"/>
              <w:szCs w:val="24"/>
              <w:lang w:val="en-US" w:eastAsia="zh-CN" w:bidi="ar-SA"/>
            </w:rPr>
            <w:fldChar w:fldCharType="end"/>
          </w:r>
          <w:r>
            <w:rPr>
              <w:rFonts w:hint="default" w:ascii="Times New Roman" w:hAnsi="Times New Roman" w:cs="Times New Roman"/>
            </w:rPr>
            <w:fldChar w:fldCharType="end"/>
          </w:r>
        </w:p>
        <w:p w14:paraId="2AD5109A">
          <w:pPr>
            <w:pStyle w:val="11"/>
            <w:tabs>
              <w:tab w:val="right" w:leader="dot" w:pos="8306"/>
              <w:tab w:val="clear" w:pos="829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_Toc18529 </w:instrText>
          </w:r>
          <w:r>
            <w:rPr>
              <w:rFonts w:hint="default" w:ascii="Times New Roman" w:hAnsi="Times New Roman" w:cs="Times New Roman"/>
            </w:rPr>
            <w:fldChar w:fldCharType="separate"/>
          </w:r>
          <w:r>
            <w:rPr>
              <w:rFonts w:hint="default" w:ascii="Times New Roman" w:hAnsi="Times New Roman" w:eastAsia="黑体" w:cs="Times New Roman"/>
            </w:rPr>
            <w:t>第四部分 附件</w:t>
          </w:r>
          <w:r>
            <w:rPr>
              <w:rFonts w:hint="default" w:ascii="Times New Roman" w:hAnsi="Times New Roman" w:cs="Times New Roman"/>
            </w:rPr>
            <w:tab/>
          </w:r>
          <w:r>
            <w:rPr>
              <w:rFonts w:hint="default" w:ascii="Times New Roman" w:hAnsi="Times New Roman" w:eastAsia="宋体" w:cs="Times New Roman"/>
              <w:kern w:val="2"/>
              <w:sz w:val="21"/>
              <w:szCs w:val="24"/>
              <w:lang w:val="en-US" w:eastAsia="zh-CN" w:bidi="ar-SA"/>
            </w:rPr>
            <w:fldChar w:fldCharType="begin"/>
          </w:r>
          <w:r>
            <w:rPr>
              <w:rFonts w:hint="default" w:ascii="Times New Roman" w:hAnsi="Times New Roman" w:eastAsia="宋体" w:cs="Times New Roman"/>
              <w:kern w:val="2"/>
              <w:sz w:val="21"/>
              <w:szCs w:val="24"/>
              <w:lang w:val="en-US" w:eastAsia="zh-CN" w:bidi="ar-SA"/>
            </w:rPr>
            <w:instrText xml:space="preserve"> PAGEREF _Toc18529 \h </w:instrText>
          </w:r>
          <w:r>
            <w:rPr>
              <w:rFonts w:hint="default" w:ascii="Times New Roman" w:hAnsi="Times New Roman" w:eastAsia="宋体" w:cs="Times New Roman"/>
              <w:kern w:val="2"/>
              <w:sz w:val="21"/>
              <w:szCs w:val="24"/>
              <w:lang w:val="en-US" w:eastAsia="zh-CN" w:bidi="ar-SA"/>
            </w:rPr>
            <w:fldChar w:fldCharType="separate"/>
          </w:r>
          <w:r>
            <w:rPr>
              <w:rFonts w:hint="default" w:ascii="Times New Roman" w:hAnsi="Times New Roman" w:eastAsia="宋体" w:cs="Times New Roman"/>
              <w:kern w:val="2"/>
              <w:sz w:val="21"/>
              <w:szCs w:val="24"/>
              <w:lang w:val="en-US" w:eastAsia="zh-CN" w:bidi="ar-SA"/>
            </w:rPr>
            <w:t>16</w:t>
          </w:r>
          <w:r>
            <w:rPr>
              <w:rFonts w:hint="default" w:ascii="Times New Roman" w:hAnsi="Times New Roman" w:eastAsia="宋体" w:cs="Times New Roman"/>
              <w:kern w:val="2"/>
              <w:sz w:val="21"/>
              <w:szCs w:val="24"/>
              <w:lang w:val="en-US" w:eastAsia="zh-CN" w:bidi="ar-SA"/>
            </w:rPr>
            <w:fldChar w:fldCharType="end"/>
          </w:r>
          <w:r>
            <w:rPr>
              <w:rFonts w:hint="default" w:ascii="Times New Roman" w:hAnsi="Times New Roman" w:cs="Times New Roman"/>
            </w:rPr>
            <w:fldChar w:fldCharType="end"/>
          </w:r>
        </w:p>
        <w:p w14:paraId="007A95F3">
          <w:pPr>
            <w:pStyle w:val="11"/>
            <w:tabs>
              <w:tab w:val="right" w:leader="dot" w:pos="8306"/>
              <w:tab w:val="clear" w:pos="8296"/>
            </w:tabs>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_Toc4673 </w:instrText>
          </w:r>
          <w:r>
            <w:rPr>
              <w:rFonts w:hint="default" w:ascii="Times New Roman" w:hAnsi="Times New Roman" w:cs="Times New Roman"/>
            </w:rPr>
            <w:fldChar w:fldCharType="separate"/>
          </w:r>
          <w:r>
            <w:rPr>
              <w:rFonts w:hint="default" w:ascii="Times New Roman" w:hAnsi="Times New Roman" w:eastAsia="黑体" w:cs="Times New Roman"/>
            </w:rPr>
            <w:t>第五部分 附表</w:t>
          </w:r>
          <w:r>
            <w:rPr>
              <w:rFonts w:hint="default" w:ascii="Times New Roman" w:hAnsi="Times New Roman" w:cs="Times New Roman"/>
            </w:rPr>
            <w:tab/>
          </w:r>
          <w:r>
            <w:rPr>
              <w:rFonts w:hint="eastAsia" w:ascii="Times New Roman" w:hAnsi="Times New Roman" w:eastAsia="宋体" w:cs="Times New Roman"/>
              <w:kern w:val="2"/>
              <w:sz w:val="21"/>
              <w:szCs w:val="24"/>
              <w:lang w:val="en-US" w:eastAsia="zh-CN" w:bidi="ar-SA"/>
            </w:rPr>
            <w:t>1</w:t>
          </w:r>
          <w:r>
            <w:rPr>
              <w:rFonts w:hint="default" w:ascii="Times New Roman" w:hAnsi="Times New Roman" w:cs="Times New Roman"/>
            </w:rPr>
            <w:fldChar w:fldCharType="end"/>
          </w:r>
          <w:r>
            <w:rPr>
              <w:rFonts w:hint="eastAsia" w:ascii="Times New Roman" w:hAnsi="Times New Roman" w:eastAsia="宋体" w:cs="Times New Roman"/>
              <w:kern w:val="2"/>
              <w:sz w:val="21"/>
              <w:szCs w:val="24"/>
              <w:lang w:val="en-US" w:eastAsia="zh-CN" w:bidi="ar-SA"/>
            </w:rPr>
            <w:t>7</w:t>
          </w:r>
        </w:p>
        <w:p w14:paraId="6D62CA51">
          <w:pPr>
            <w:rPr>
              <w:rFonts w:hint="default" w:ascii="Times New Roman" w:hAnsi="Times New Roman" w:cs="Times New Roman"/>
            </w:rPr>
          </w:pPr>
          <w:r>
            <w:rPr>
              <w:rFonts w:hint="default" w:ascii="Times New Roman" w:hAnsi="Times New Roman" w:cs="Times New Roman"/>
            </w:rPr>
            <w:fldChar w:fldCharType="end"/>
          </w:r>
        </w:p>
      </w:sdtContent>
    </w:sdt>
    <w:p w14:paraId="6BC275E2">
      <w:pPr>
        <w:pageBreakBefore w:val="0"/>
        <w:widowControl/>
        <w:kinsoku/>
        <w:wordWrap/>
        <w:overflowPunct/>
        <w:topLinePunct w:val="0"/>
        <w:bidi w:val="0"/>
        <w:spacing w:line="560" w:lineRule="exact"/>
        <w:jc w:val="left"/>
        <w:textAlignment w:val="auto"/>
        <w:rPr>
          <w:rFonts w:hint="default" w:ascii="Times New Roman" w:hAnsi="Times New Roman" w:eastAsia="仿宋" w:cs="Times New Roman"/>
          <w:bCs/>
          <w:kern w:val="44"/>
          <w:sz w:val="24"/>
        </w:rPr>
      </w:pPr>
      <w:bookmarkStart w:id="14" w:name="_Toc15377196"/>
      <w:bookmarkStart w:id="15" w:name="_Toc15396599"/>
      <w:r>
        <w:rPr>
          <w:rFonts w:hint="default" w:ascii="Times New Roman" w:hAnsi="Times New Roman" w:eastAsia="仿宋" w:cs="Times New Roman"/>
          <w:b/>
          <w:sz w:val="24"/>
        </w:rPr>
        <w:br w:type="page"/>
      </w:r>
    </w:p>
    <w:bookmarkEnd w:id="14"/>
    <w:bookmarkEnd w:id="15"/>
    <w:p w14:paraId="1C279E84">
      <w:pPr>
        <w:pStyle w:val="2"/>
        <w:jc w:val="center"/>
        <w:rPr>
          <w:rStyle w:val="27"/>
          <w:rFonts w:hint="default" w:ascii="Times New Roman" w:hAnsi="Times New Roman" w:eastAsia="黑体" w:cs="Times New Roman"/>
          <w:b/>
          <w:bCs w:val="0"/>
        </w:rPr>
      </w:pPr>
      <w:bookmarkStart w:id="16" w:name="_Toc16076"/>
      <w:bookmarkStart w:id="17" w:name="_Toc31021"/>
      <w:r>
        <w:rPr>
          <w:rFonts w:hint="default" w:ascii="Times New Roman" w:hAnsi="Times New Roman" w:eastAsia="黑体" w:cs="Times New Roman"/>
          <w:b w:val="0"/>
        </w:rPr>
        <w:t xml:space="preserve">第一部分 </w:t>
      </w:r>
      <w:r>
        <w:rPr>
          <w:rStyle w:val="27"/>
          <w:rFonts w:hint="eastAsia" w:eastAsia="黑体" w:cs="Times New Roman"/>
          <w:b w:val="0"/>
          <w:bCs w:val="0"/>
          <w:lang w:eastAsia="zh-CN"/>
        </w:rPr>
        <w:t>单位</w:t>
      </w:r>
      <w:r>
        <w:rPr>
          <w:rStyle w:val="27"/>
          <w:rFonts w:hint="default" w:ascii="Times New Roman" w:hAnsi="Times New Roman" w:eastAsia="黑体" w:cs="Times New Roman"/>
          <w:b w:val="0"/>
          <w:bCs w:val="0"/>
        </w:rPr>
        <w:t>概况</w:t>
      </w:r>
      <w:bookmarkEnd w:id="16"/>
      <w:bookmarkEnd w:id="17"/>
    </w:p>
    <w:p w14:paraId="6ED44BFF">
      <w:pPr>
        <w:widowControl/>
        <w:jc w:val="left"/>
        <w:rPr>
          <w:rFonts w:hint="default" w:ascii="Times New Roman" w:hAnsi="Times New Roman" w:eastAsia="黑体" w:cs="Times New Roman"/>
          <w:sz w:val="32"/>
          <w:szCs w:val="32"/>
        </w:rPr>
      </w:pPr>
    </w:p>
    <w:p w14:paraId="47CDFCA3">
      <w:pPr>
        <w:pStyle w:val="3"/>
        <w:numPr>
          <w:ilvl w:val="0"/>
          <w:numId w:val="0"/>
        </w:numPr>
        <w:ind w:leftChars="0"/>
        <w:rPr>
          <w:rFonts w:hint="default" w:ascii="Times New Roman" w:hAnsi="Times New Roman" w:eastAsia="黑体" w:cs="Times New Roman"/>
          <w:b w:val="0"/>
        </w:rPr>
      </w:pPr>
      <w:bookmarkStart w:id="18" w:name="_Toc896"/>
      <w:bookmarkStart w:id="19" w:name="_Toc21370"/>
      <w:r>
        <w:rPr>
          <w:rFonts w:hint="eastAsia" w:ascii="Times New Roman" w:hAnsi="Times New Roman" w:eastAsia="黑体" w:cs="Times New Roman"/>
          <w:b w:val="0"/>
          <w:lang w:eastAsia="zh-CN"/>
        </w:rPr>
        <w:t>一、单位</w:t>
      </w:r>
      <w:r>
        <w:rPr>
          <w:rFonts w:hint="default" w:ascii="Times New Roman" w:hAnsi="Times New Roman" w:eastAsia="黑体" w:cs="Times New Roman"/>
          <w:b w:val="0"/>
        </w:rPr>
        <w:t>职责</w:t>
      </w:r>
      <w:bookmarkEnd w:id="18"/>
      <w:bookmarkEnd w:id="19"/>
    </w:p>
    <w:p w14:paraId="3C05B3EC">
      <w:pPr>
        <w:spacing w:line="560" w:lineRule="exact"/>
        <w:ind w:firstLine="640" w:firstLineChars="2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盐边县行政审批局为盐边县人民政府工作部门,为正科级。下属事业单位2个(盐边县政务服务中心、盐边县政府采购中心)。具有以下职能职责：</w:t>
      </w:r>
    </w:p>
    <w:p w14:paraId="14C68A6D">
      <w:pPr>
        <w:spacing w:line="560" w:lineRule="exact"/>
        <w:ind w:firstLine="663" w:firstLineChars="200"/>
        <w:rPr>
          <w:rFonts w:hint="default" w:ascii="Times New Roman" w:hAnsi="Times New Roman" w:eastAsia="仿宋_GB2312" w:cs="Times New Roman"/>
          <w:sz w:val="33"/>
          <w:szCs w:val="33"/>
        </w:rPr>
      </w:pPr>
      <w:r>
        <w:rPr>
          <w:rFonts w:hint="default" w:ascii="Times New Roman" w:hAnsi="Times New Roman" w:eastAsia="仿宋_GB2312" w:cs="Times New Roman"/>
          <w:b/>
          <w:sz w:val="33"/>
          <w:szCs w:val="33"/>
        </w:rPr>
        <w:t>（一）</w:t>
      </w:r>
      <w:r>
        <w:rPr>
          <w:rFonts w:hint="default" w:ascii="Times New Roman" w:hAnsi="Times New Roman" w:eastAsia="仿宋" w:cs="Times New Roman"/>
          <w:sz w:val="32"/>
          <w:szCs w:val="32"/>
        </w:rPr>
        <w:t>组织拟订全县行政审批制度改革及政务服务发展规划、政策、措施并组织、指导实施。</w:t>
      </w:r>
    </w:p>
    <w:p w14:paraId="426BAC36">
      <w:pPr>
        <w:spacing w:line="560" w:lineRule="exact"/>
        <w:ind w:firstLine="663" w:firstLineChars="200"/>
        <w:rPr>
          <w:rFonts w:hint="default" w:ascii="Times New Roman" w:hAnsi="Times New Roman" w:eastAsia="仿宋_GB2312" w:cs="Times New Roman"/>
          <w:sz w:val="33"/>
          <w:szCs w:val="33"/>
        </w:rPr>
      </w:pPr>
      <w:r>
        <w:rPr>
          <w:rFonts w:hint="default" w:ascii="Times New Roman" w:hAnsi="Times New Roman" w:eastAsia="仿宋_GB2312" w:cs="Times New Roman"/>
          <w:b/>
          <w:sz w:val="33"/>
          <w:szCs w:val="33"/>
        </w:rPr>
        <w:t>（二）</w:t>
      </w:r>
      <w:r>
        <w:rPr>
          <w:rFonts w:hint="default" w:ascii="Times New Roman" w:hAnsi="Times New Roman" w:eastAsia="仿宋" w:cs="Times New Roman"/>
          <w:sz w:val="32"/>
          <w:szCs w:val="32"/>
        </w:rPr>
        <w:t>负责政务服务管理工作；指导、协调并推进全县政务服务体系建设；指导、协调和监督县级部门（单位）开展政务服务工作；指导、监督政务服务网络信息平台建设和运行工作，对乡（镇）、村（社区）政务服务工作进行业务指导。</w:t>
      </w:r>
    </w:p>
    <w:p w14:paraId="4DBC0792">
      <w:pPr>
        <w:spacing w:line="560" w:lineRule="exact"/>
        <w:ind w:firstLine="663" w:firstLineChars="200"/>
        <w:rPr>
          <w:rFonts w:hint="default" w:ascii="Times New Roman" w:hAnsi="Times New Roman" w:eastAsia="仿宋_GB2312" w:cs="Times New Roman"/>
          <w:sz w:val="33"/>
          <w:szCs w:val="33"/>
        </w:rPr>
      </w:pPr>
      <w:r>
        <w:rPr>
          <w:rFonts w:hint="default" w:ascii="Times New Roman" w:hAnsi="Times New Roman" w:eastAsia="仿宋_GB2312" w:cs="Times New Roman"/>
          <w:b/>
          <w:sz w:val="33"/>
          <w:szCs w:val="33"/>
        </w:rPr>
        <w:t>（三）</w:t>
      </w:r>
      <w:r>
        <w:rPr>
          <w:rFonts w:hint="default" w:ascii="Times New Roman" w:hAnsi="Times New Roman" w:eastAsia="仿宋" w:cs="Times New Roman"/>
          <w:sz w:val="32"/>
          <w:szCs w:val="32"/>
        </w:rPr>
        <w:t>负责对相关行政审批部门划转到行政审批局的事项进行集中办理，以方便企业和群众办事为目标，规范行政审批行为，优化办事流程，督促落实审批事项事中事后监管措施，加快推进审批服务便民化相关举措，持续开展减证便民行动，积极推进政务服务“一网、一门、一次”改革。</w:t>
      </w:r>
    </w:p>
    <w:p w14:paraId="1B5E76FE">
      <w:pPr>
        <w:spacing w:line="560" w:lineRule="exact"/>
        <w:ind w:firstLine="663" w:firstLineChars="200"/>
        <w:rPr>
          <w:rFonts w:hint="default" w:ascii="Times New Roman" w:hAnsi="Times New Roman" w:eastAsia="仿宋" w:cs="Times New Roman"/>
          <w:sz w:val="32"/>
          <w:szCs w:val="32"/>
        </w:rPr>
      </w:pPr>
      <w:r>
        <w:rPr>
          <w:rFonts w:hint="default" w:ascii="Times New Roman" w:hAnsi="Times New Roman" w:eastAsia="仿宋_GB2312" w:cs="Times New Roman"/>
          <w:b/>
          <w:sz w:val="33"/>
          <w:szCs w:val="33"/>
        </w:rPr>
        <w:t>（四）</w:t>
      </w:r>
      <w:r>
        <w:rPr>
          <w:rFonts w:hint="default" w:ascii="Times New Roman" w:hAnsi="Times New Roman" w:eastAsia="仿宋" w:cs="Times New Roman"/>
          <w:sz w:val="32"/>
          <w:szCs w:val="32"/>
        </w:rPr>
        <w:t>负责县级政府集中采购工作。</w:t>
      </w:r>
    </w:p>
    <w:p w14:paraId="4C762FB1">
      <w:pPr>
        <w:spacing w:line="560" w:lineRule="exact"/>
        <w:ind w:firstLine="663" w:firstLineChars="200"/>
        <w:rPr>
          <w:rFonts w:hint="default" w:ascii="Times New Roman" w:hAnsi="Times New Roman" w:eastAsia="仿宋_GB2312" w:cs="Times New Roman"/>
          <w:sz w:val="33"/>
          <w:szCs w:val="33"/>
        </w:rPr>
      </w:pPr>
      <w:r>
        <w:rPr>
          <w:rFonts w:hint="default" w:ascii="Times New Roman" w:hAnsi="Times New Roman" w:eastAsia="仿宋_GB2312" w:cs="Times New Roman"/>
          <w:b/>
          <w:sz w:val="33"/>
          <w:szCs w:val="33"/>
        </w:rPr>
        <w:t>（五）</w:t>
      </w:r>
      <w:r>
        <w:rPr>
          <w:rFonts w:hint="default" w:ascii="Times New Roman" w:hAnsi="Times New Roman" w:eastAsia="仿宋" w:cs="Times New Roman"/>
          <w:sz w:val="32"/>
          <w:szCs w:val="32"/>
        </w:rPr>
        <w:t>负责指导、协调、监督、考核、管理进驻部门（单位）的政务服务工作，审核进驻政务服务事项。对部门（单位）独立设置的办事大厅进行业务指导和监督。</w:t>
      </w:r>
    </w:p>
    <w:p w14:paraId="78A48B4A">
      <w:pPr>
        <w:spacing w:line="560" w:lineRule="exact"/>
        <w:ind w:firstLine="663" w:firstLineChars="200"/>
        <w:rPr>
          <w:rFonts w:hint="default" w:ascii="Times New Roman" w:hAnsi="Times New Roman" w:eastAsia="仿宋_GB2312" w:cs="Times New Roman"/>
          <w:sz w:val="33"/>
          <w:szCs w:val="33"/>
        </w:rPr>
      </w:pPr>
      <w:r>
        <w:rPr>
          <w:rFonts w:hint="default" w:ascii="Times New Roman" w:hAnsi="Times New Roman" w:eastAsia="仿宋_GB2312" w:cs="Times New Roman"/>
          <w:b/>
          <w:sz w:val="33"/>
          <w:szCs w:val="33"/>
        </w:rPr>
        <w:t>（六）</w:t>
      </w:r>
      <w:r>
        <w:rPr>
          <w:rFonts w:hint="default" w:ascii="Times New Roman" w:hAnsi="Times New Roman" w:eastAsia="仿宋" w:cs="Times New Roman"/>
          <w:sz w:val="32"/>
          <w:szCs w:val="32"/>
        </w:rPr>
        <w:t>负责职责范围内的安全生产和职业健康、生态环境保护、审批服务便民化等工作。</w:t>
      </w:r>
    </w:p>
    <w:p w14:paraId="2E7171AC">
      <w:pPr>
        <w:spacing w:line="560" w:lineRule="exact"/>
        <w:ind w:firstLine="653" w:firstLineChars="197"/>
        <w:rPr>
          <w:rFonts w:hint="default" w:ascii="Times New Roman" w:hAnsi="Times New Roman" w:eastAsia="仿宋" w:cs="Times New Roman"/>
          <w:sz w:val="32"/>
          <w:szCs w:val="32"/>
        </w:rPr>
      </w:pPr>
      <w:bookmarkStart w:id="20" w:name="_Toc116980968"/>
      <w:bookmarkStart w:id="21" w:name="_Toc116649634"/>
      <w:r>
        <w:rPr>
          <w:rFonts w:hint="default" w:ascii="Times New Roman" w:hAnsi="Times New Roman" w:eastAsia="仿宋_GB2312" w:cs="Times New Roman"/>
          <w:b/>
          <w:sz w:val="33"/>
          <w:szCs w:val="33"/>
        </w:rPr>
        <w:t>（七）</w:t>
      </w:r>
      <w:r>
        <w:rPr>
          <w:rFonts w:hint="default" w:ascii="Times New Roman" w:hAnsi="Times New Roman" w:eastAsia="仿宋" w:cs="Times New Roman"/>
          <w:sz w:val="32"/>
          <w:szCs w:val="32"/>
        </w:rPr>
        <w:t>完成县委、县政府交办的其他任务。</w:t>
      </w:r>
      <w:bookmarkEnd w:id="20"/>
      <w:bookmarkEnd w:id="21"/>
    </w:p>
    <w:p w14:paraId="1EBB1771">
      <w:pPr>
        <w:pStyle w:val="3"/>
        <w:rPr>
          <w:rStyle w:val="28"/>
          <w:rFonts w:hint="default" w:ascii="Times New Roman" w:hAnsi="Times New Roman" w:cs="Times New Roman"/>
          <w:b w:val="0"/>
          <w:bCs w:val="0"/>
        </w:rPr>
      </w:pPr>
      <w:bookmarkStart w:id="22" w:name="_Toc15396601"/>
      <w:bookmarkStart w:id="23" w:name="_Toc15377200"/>
      <w:bookmarkStart w:id="24" w:name="_Toc3677"/>
      <w:bookmarkStart w:id="25" w:name="_Toc13678"/>
      <w:r>
        <w:rPr>
          <w:rFonts w:hint="default" w:ascii="Times New Roman" w:hAnsi="Times New Roman" w:eastAsia="黑体" w:cs="Times New Roman"/>
          <w:b w:val="0"/>
        </w:rPr>
        <w:t>二、机</w:t>
      </w:r>
      <w:r>
        <w:rPr>
          <w:rStyle w:val="28"/>
          <w:rFonts w:hint="default" w:ascii="Times New Roman" w:hAnsi="Times New Roman" w:eastAsia="黑体" w:cs="Times New Roman"/>
          <w:b w:val="0"/>
          <w:bCs w:val="0"/>
        </w:rPr>
        <w:t>构设置</w:t>
      </w:r>
      <w:bookmarkEnd w:id="22"/>
      <w:bookmarkEnd w:id="23"/>
      <w:bookmarkEnd w:id="24"/>
      <w:bookmarkEnd w:id="25"/>
    </w:p>
    <w:p w14:paraId="3BB9B016">
      <w:pPr>
        <w:pStyle w:val="5"/>
        <w:numPr>
          <w:ilvl w:val="0"/>
          <w:numId w:val="0"/>
        </w:numPr>
        <w:adjustRightInd w:val="0"/>
        <w:snapToGrid w:val="0"/>
        <w:spacing w:before="93" w:line="600" w:lineRule="exact"/>
        <w:ind w:firstLine="640" w:firstLineChars="200"/>
        <w:outlineLvl w:val="2"/>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盐边县行政审批局为盐边县人民政府工作部门,为正科级。下属事业单位2个(盐边县政务服务中心、盐边县政府采购中心)</w:t>
      </w:r>
      <w:r>
        <w:rPr>
          <w:rFonts w:hint="eastAsia" w:ascii="Times New Roman" w:eastAsia="仿宋" w:cs="Times New Roman"/>
          <w:sz w:val="32"/>
          <w:szCs w:val="32"/>
          <w:lang w:eastAsia="zh-CN"/>
        </w:rPr>
        <w:t>，非独立核算单位</w:t>
      </w:r>
      <w:r>
        <w:rPr>
          <w:rFonts w:hint="default" w:ascii="Times New Roman" w:hAnsi="Times New Roman" w:eastAsia="仿宋" w:cs="Times New Roman"/>
          <w:sz w:val="32"/>
          <w:szCs w:val="32"/>
        </w:rPr>
        <w:t>。</w:t>
      </w:r>
    </w:p>
    <w:p w14:paraId="36A3CA75">
      <w:pPr>
        <w:pStyle w:val="5"/>
        <w:adjustRightInd w:val="0"/>
        <w:snapToGrid w:val="0"/>
        <w:spacing w:before="93" w:line="600" w:lineRule="exact"/>
        <w:ind w:firstLine="1120" w:firstLineChars="350"/>
        <w:rPr>
          <w:rFonts w:hint="default" w:ascii="Times New Roman" w:hAnsi="Times New Roman" w:eastAsia="仿宋" w:cs="Times New Roman"/>
          <w:sz w:val="32"/>
          <w:szCs w:val="32"/>
        </w:rPr>
      </w:pPr>
    </w:p>
    <w:p w14:paraId="22DF7FFE">
      <w:pPr>
        <w:widowControl/>
        <w:jc w:val="left"/>
        <w:rPr>
          <w:rFonts w:hint="default" w:ascii="Times New Roman" w:hAnsi="Times New Roman" w:eastAsia="仿宋" w:cs="Times New Roman"/>
          <w:kern w:val="0"/>
          <w:sz w:val="32"/>
          <w:szCs w:val="32"/>
        </w:rPr>
      </w:pPr>
      <w:r>
        <w:rPr>
          <w:rFonts w:hint="default" w:ascii="Times New Roman" w:hAnsi="Times New Roman" w:eastAsia="仿宋" w:cs="Times New Roman"/>
          <w:sz w:val="32"/>
          <w:szCs w:val="32"/>
        </w:rPr>
        <w:br w:type="page"/>
      </w:r>
    </w:p>
    <w:p w14:paraId="025CFACB">
      <w:pPr>
        <w:pStyle w:val="2"/>
        <w:ind w:right="440"/>
        <w:jc w:val="center"/>
        <w:rPr>
          <w:rStyle w:val="27"/>
          <w:rFonts w:hint="default" w:ascii="Times New Roman" w:hAnsi="Times New Roman" w:eastAsia="黑体" w:cs="Times New Roman"/>
          <w:b w:val="0"/>
          <w:bCs/>
        </w:rPr>
      </w:pPr>
      <w:bookmarkStart w:id="26" w:name="_Toc20357"/>
      <w:bookmarkStart w:id="27" w:name="_Toc18295"/>
      <w:bookmarkStart w:id="28" w:name="_Toc15377204"/>
      <w:bookmarkStart w:id="29" w:name="_Toc15396602"/>
      <w:r>
        <w:rPr>
          <w:rFonts w:hint="default" w:ascii="Times New Roman" w:hAnsi="Times New Roman" w:eastAsia="黑体" w:cs="Times New Roman"/>
          <w:b w:val="0"/>
        </w:rPr>
        <w:t>第二部分 2023年度</w:t>
      </w:r>
      <w:r>
        <w:rPr>
          <w:rStyle w:val="27"/>
          <w:rFonts w:hint="eastAsia" w:eastAsia="黑体" w:cs="Times New Roman"/>
          <w:b w:val="0"/>
          <w:bCs/>
          <w:lang w:eastAsia="zh-CN"/>
        </w:rPr>
        <w:t>单位</w:t>
      </w:r>
      <w:r>
        <w:rPr>
          <w:rStyle w:val="27"/>
          <w:rFonts w:hint="default" w:ascii="Times New Roman" w:hAnsi="Times New Roman" w:eastAsia="黑体" w:cs="Times New Roman"/>
          <w:b w:val="0"/>
          <w:bCs/>
        </w:rPr>
        <w:t>决算情况说明</w:t>
      </w:r>
      <w:bookmarkEnd w:id="26"/>
      <w:bookmarkEnd w:id="27"/>
      <w:bookmarkEnd w:id="28"/>
      <w:bookmarkEnd w:id="29"/>
    </w:p>
    <w:p w14:paraId="39B52567">
      <w:pPr>
        <w:rPr>
          <w:rFonts w:hint="default" w:ascii="Times New Roman" w:hAnsi="Times New Roman" w:cs="Times New Roman"/>
        </w:rPr>
      </w:pPr>
    </w:p>
    <w:p w14:paraId="75D6C8F6">
      <w:pPr>
        <w:pStyle w:val="26"/>
        <w:numPr>
          <w:ilvl w:val="0"/>
          <w:numId w:val="0"/>
        </w:numPr>
        <w:spacing w:line="600" w:lineRule="exact"/>
        <w:ind w:left="640" w:leftChars="0"/>
        <w:outlineLvl w:val="1"/>
        <w:rPr>
          <w:rStyle w:val="28"/>
          <w:rFonts w:hint="default" w:ascii="Times New Roman" w:hAnsi="Times New Roman" w:eastAsia="黑体" w:cs="Times New Roman"/>
          <w:b w:val="0"/>
        </w:rPr>
      </w:pPr>
      <w:bookmarkStart w:id="30" w:name="_Toc15396603"/>
      <w:bookmarkStart w:id="31" w:name="_Toc2311"/>
      <w:bookmarkStart w:id="32" w:name="_Toc25103"/>
      <w:bookmarkStart w:id="33" w:name="_Toc15377205"/>
      <w:r>
        <w:rPr>
          <w:rFonts w:hint="eastAsia" w:eastAsia="黑体" w:cs="Times New Roman"/>
          <w:sz w:val="32"/>
          <w:szCs w:val="32"/>
          <w:lang w:eastAsia="zh-CN"/>
        </w:rPr>
        <w:t>一、</w:t>
      </w:r>
      <w:r>
        <w:rPr>
          <w:rFonts w:hint="default" w:ascii="Times New Roman" w:hAnsi="Times New Roman" w:eastAsia="黑体" w:cs="Times New Roman"/>
          <w:sz w:val="32"/>
          <w:szCs w:val="32"/>
        </w:rPr>
        <w:t>收</w:t>
      </w:r>
      <w:r>
        <w:rPr>
          <w:rStyle w:val="28"/>
          <w:rFonts w:hint="default" w:ascii="Times New Roman" w:hAnsi="Times New Roman" w:eastAsia="黑体" w:cs="Times New Roman"/>
          <w:b w:val="0"/>
        </w:rPr>
        <w:t>入支出决算总体情况说明</w:t>
      </w:r>
      <w:bookmarkEnd w:id="30"/>
      <w:bookmarkEnd w:id="31"/>
      <w:bookmarkEnd w:id="32"/>
      <w:bookmarkEnd w:id="33"/>
    </w:p>
    <w:p w14:paraId="7C6597A6">
      <w:pPr>
        <w:spacing w:line="600" w:lineRule="exact"/>
        <w:ind w:firstLine="640" w:firstLineChars="200"/>
        <w:jc w:val="left"/>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drawing>
          <wp:anchor distT="0" distB="0" distL="114300" distR="114300" simplePos="0" relativeHeight="251659264" behindDoc="0" locked="0" layoutInCell="1" allowOverlap="1">
            <wp:simplePos x="0" y="0"/>
            <wp:positionH relativeFrom="column">
              <wp:posOffset>85725</wp:posOffset>
            </wp:positionH>
            <wp:positionV relativeFrom="paragraph">
              <wp:posOffset>1595120</wp:posOffset>
            </wp:positionV>
            <wp:extent cx="5106670" cy="1599565"/>
            <wp:effectExtent l="0" t="0" r="17780" b="635"/>
            <wp:wrapSquare wrapText="bothSides"/>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1"/>
                    </pic:cNvPicPr>
                  </pic:nvPicPr>
                  <pic:blipFill>
                    <a:blip r:embed="rId6"/>
                    <a:stretch>
                      <a:fillRect/>
                    </a:stretch>
                  </pic:blipFill>
                  <pic:spPr>
                    <a:xfrm>
                      <a:off x="0" y="0"/>
                      <a:ext cx="5106670" cy="1599565"/>
                    </a:xfrm>
                    <a:prstGeom prst="rect">
                      <a:avLst/>
                    </a:prstGeom>
                  </pic:spPr>
                </pic:pic>
              </a:graphicData>
            </a:graphic>
          </wp:anchor>
        </w:drawing>
      </w:r>
      <w:r>
        <w:rPr>
          <w:rFonts w:hint="default" w:ascii="Times New Roman" w:hAnsi="Times New Roman" w:eastAsia="仿宋" w:cs="Times New Roman"/>
          <w:color w:val="auto"/>
          <w:kern w:val="0"/>
          <w:sz w:val="32"/>
          <w:szCs w:val="32"/>
          <w:lang w:val="en-US" w:eastAsia="zh-CN" w:bidi="ar-SA"/>
        </w:rPr>
        <w:t>2023年度收、支总计均为487.97万元。与2022年度相比，收、支总计各增加55.04万元，增长12.71%。主要变动原因是项目支出增加，将县政务服务中心职工食堂运行经费、县政务中心大厅保运转经费等费用纳入项目资金。</w:t>
      </w:r>
    </w:p>
    <w:p w14:paraId="6B816CD4">
      <w:pPr>
        <w:pStyle w:val="26"/>
        <w:numPr>
          <w:ilvl w:val="0"/>
          <w:numId w:val="0"/>
        </w:numPr>
        <w:spacing w:line="600" w:lineRule="exact"/>
        <w:ind w:left="640" w:leftChars="0"/>
        <w:outlineLvl w:val="1"/>
        <w:rPr>
          <w:rStyle w:val="28"/>
          <w:rFonts w:hint="default" w:ascii="Times New Roman" w:hAnsi="Times New Roman" w:eastAsia="黑体" w:cs="Times New Roman"/>
          <w:b w:val="0"/>
        </w:rPr>
      </w:pPr>
      <w:bookmarkStart w:id="34" w:name="_Toc15396604"/>
      <w:bookmarkStart w:id="35" w:name="_Toc15377206"/>
      <w:bookmarkStart w:id="36" w:name="_Toc11842"/>
      <w:bookmarkStart w:id="37" w:name="_Toc1949"/>
      <w:r>
        <w:rPr>
          <w:rFonts w:hint="eastAsia" w:eastAsia="黑体" w:cs="Times New Roman"/>
          <w:sz w:val="32"/>
          <w:szCs w:val="32"/>
          <w:lang w:eastAsia="zh-CN"/>
        </w:rPr>
        <w:t>二、</w:t>
      </w:r>
      <w:r>
        <w:rPr>
          <w:rFonts w:hint="default" w:ascii="Times New Roman" w:hAnsi="Times New Roman" w:eastAsia="黑体" w:cs="Times New Roman"/>
          <w:sz w:val="32"/>
          <w:szCs w:val="32"/>
        </w:rPr>
        <w:t>收</w:t>
      </w:r>
      <w:r>
        <w:rPr>
          <w:rStyle w:val="28"/>
          <w:rFonts w:hint="default" w:ascii="Times New Roman" w:hAnsi="Times New Roman" w:eastAsia="黑体" w:cs="Times New Roman"/>
          <w:b w:val="0"/>
        </w:rPr>
        <w:t>入决算情况说明</w:t>
      </w:r>
      <w:bookmarkEnd w:id="34"/>
      <w:bookmarkEnd w:id="35"/>
      <w:bookmarkEnd w:id="36"/>
      <w:bookmarkEnd w:id="37"/>
    </w:p>
    <w:p w14:paraId="04829BB1">
      <w:pPr>
        <w:spacing w:line="600" w:lineRule="exact"/>
        <w:ind w:firstLine="640" w:firstLineChars="200"/>
        <w:jc w:val="left"/>
        <w:outlineLvl w:val="1"/>
        <w:rPr>
          <w:rFonts w:hint="default" w:ascii="Times New Roman" w:hAnsi="Times New Roman" w:eastAsia="仿宋" w:cs="Times New Roman"/>
          <w:color w:val="auto"/>
          <w:kern w:val="0"/>
          <w:sz w:val="32"/>
          <w:szCs w:val="32"/>
          <w:lang w:val="en-US" w:eastAsia="zh-CN" w:bidi="ar-SA"/>
        </w:rPr>
      </w:pPr>
      <w:bookmarkStart w:id="38" w:name="_Toc25608"/>
      <w:bookmarkStart w:id="39" w:name="_Toc16543"/>
      <w:bookmarkStart w:id="40" w:name="_Toc12093"/>
      <w:r>
        <w:rPr>
          <w:rFonts w:hint="default" w:ascii="Times New Roman" w:hAnsi="Times New Roman" w:eastAsia="仿宋" w:cs="Times New Roman"/>
          <w:color w:val="auto"/>
          <w:kern w:val="0"/>
          <w:sz w:val="32"/>
          <w:szCs w:val="32"/>
          <w:lang w:val="en-US" w:eastAsia="zh-CN" w:bidi="ar-SA"/>
        </w:rPr>
        <w:drawing>
          <wp:anchor distT="0" distB="0" distL="114300" distR="114300" simplePos="0" relativeHeight="251660288" behindDoc="0" locked="0" layoutInCell="1" allowOverlap="1">
            <wp:simplePos x="0" y="0"/>
            <wp:positionH relativeFrom="column">
              <wp:posOffset>72390</wp:posOffset>
            </wp:positionH>
            <wp:positionV relativeFrom="paragraph">
              <wp:posOffset>2301240</wp:posOffset>
            </wp:positionV>
            <wp:extent cx="4879975" cy="1708150"/>
            <wp:effectExtent l="0" t="0" r="15875" b="6350"/>
            <wp:wrapSquare wrapText="bothSides"/>
            <wp:docPr id="2" name="图片 2" descr="1729589697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29589697041"/>
                    <pic:cNvPicPr>
                      <a:picLocks noChangeAspect="1"/>
                    </pic:cNvPicPr>
                  </pic:nvPicPr>
                  <pic:blipFill>
                    <a:blip r:embed="rId7"/>
                    <a:stretch>
                      <a:fillRect/>
                    </a:stretch>
                  </pic:blipFill>
                  <pic:spPr>
                    <a:xfrm>
                      <a:off x="0" y="0"/>
                      <a:ext cx="4879975" cy="1708150"/>
                    </a:xfrm>
                    <a:prstGeom prst="rect">
                      <a:avLst/>
                    </a:prstGeom>
                  </pic:spPr>
                </pic:pic>
              </a:graphicData>
            </a:graphic>
          </wp:anchor>
        </w:drawing>
      </w:r>
      <w:r>
        <w:rPr>
          <w:rFonts w:hint="default" w:ascii="Times New Roman" w:hAnsi="Times New Roman" w:eastAsia="仿宋" w:cs="Times New Roman"/>
          <w:color w:val="auto"/>
          <w:kern w:val="0"/>
          <w:sz w:val="32"/>
          <w:szCs w:val="32"/>
          <w:lang w:val="en-US" w:eastAsia="zh-CN" w:bidi="ar-SA"/>
        </w:rPr>
        <w:t>2023年度本年收入合计487.97万元，其中：一般公共预算财政拨款收入487.97万元，占100%；政府性基金预算财政拨款收入0万元，占0%；国有资本经营预算财政拨款收入0万元，占0%；上级补助收入0万元，占0%；事业收入0万元，占0%；经营收入0万元，占0%；附属单位上缴收入0万元，占0%；其他收入0万元，占0%。</w:t>
      </w:r>
      <w:bookmarkEnd w:id="38"/>
      <w:bookmarkEnd w:id="39"/>
      <w:bookmarkEnd w:id="40"/>
    </w:p>
    <w:p w14:paraId="3A369D91">
      <w:pPr>
        <w:pStyle w:val="26"/>
        <w:numPr>
          <w:ilvl w:val="0"/>
          <w:numId w:val="0"/>
        </w:numPr>
        <w:spacing w:line="600" w:lineRule="exact"/>
        <w:ind w:left="640" w:leftChars="0"/>
        <w:outlineLvl w:val="1"/>
        <w:rPr>
          <w:rStyle w:val="28"/>
          <w:rFonts w:hint="default" w:ascii="Times New Roman" w:hAnsi="Times New Roman" w:eastAsia="黑体" w:cs="Times New Roman"/>
          <w:b w:val="0"/>
        </w:rPr>
      </w:pPr>
      <w:bookmarkStart w:id="41" w:name="_Toc15396605"/>
      <w:bookmarkStart w:id="42" w:name="_Toc15377207"/>
      <w:bookmarkStart w:id="43" w:name="_Toc15238"/>
      <w:bookmarkStart w:id="44" w:name="_Toc26741"/>
      <w:r>
        <w:rPr>
          <w:rFonts w:hint="eastAsia" w:eastAsia="黑体" w:cs="Times New Roman"/>
          <w:sz w:val="32"/>
          <w:szCs w:val="32"/>
          <w:lang w:eastAsia="zh-CN"/>
        </w:rPr>
        <w:t>三、</w:t>
      </w:r>
      <w:r>
        <w:rPr>
          <w:rFonts w:hint="default" w:ascii="Times New Roman" w:hAnsi="Times New Roman" w:eastAsia="黑体" w:cs="Times New Roman"/>
          <w:sz w:val="32"/>
          <w:szCs w:val="32"/>
        </w:rPr>
        <w:t>支</w:t>
      </w:r>
      <w:r>
        <w:rPr>
          <w:rStyle w:val="28"/>
          <w:rFonts w:hint="default" w:ascii="Times New Roman" w:hAnsi="Times New Roman" w:eastAsia="黑体" w:cs="Times New Roman"/>
          <w:b w:val="0"/>
        </w:rPr>
        <w:t>出决算情况说明</w:t>
      </w:r>
      <w:bookmarkEnd w:id="41"/>
      <w:bookmarkEnd w:id="42"/>
      <w:bookmarkEnd w:id="43"/>
      <w:bookmarkEnd w:id="44"/>
    </w:p>
    <w:p w14:paraId="3A6CD65B">
      <w:pPr>
        <w:spacing w:line="600" w:lineRule="exact"/>
        <w:ind w:firstLine="640" w:firstLineChars="200"/>
        <w:outlineLvl w:val="1"/>
        <w:rPr>
          <w:rFonts w:hint="default" w:ascii="Times New Roman" w:hAnsi="Times New Roman" w:eastAsia="仿宋" w:cs="Times New Roman"/>
          <w:color w:val="auto"/>
          <w:kern w:val="0"/>
          <w:sz w:val="32"/>
          <w:szCs w:val="32"/>
          <w:lang w:val="en-US" w:eastAsia="zh-CN" w:bidi="ar-SA"/>
        </w:rPr>
      </w:pPr>
      <w:bookmarkStart w:id="45" w:name="_Toc12348"/>
      <w:bookmarkStart w:id="46" w:name="_Toc29483"/>
      <w:bookmarkStart w:id="47" w:name="_Toc7625"/>
      <w:r>
        <w:rPr>
          <w:rFonts w:hint="default" w:ascii="Times New Roman" w:hAnsi="Times New Roman" w:eastAsia="仿宋" w:cs="Times New Roman"/>
          <w:color w:val="auto"/>
          <w:kern w:val="0"/>
          <w:sz w:val="32"/>
          <w:szCs w:val="32"/>
          <w:lang w:val="en-US" w:eastAsia="zh-CN" w:bidi="ar-SA"/>
        </w:rPr>
        <w:drawing>
          <wp:anchor distT="0" distB="0" distL="114300" distR="114300" simplePos="0" relativeHeight="251661312" behindDoc="0" locked="0" layoutInCell="1" allowOverlap="1">
            <wp:simplePos x="0" y="0"/>
            <wp:positionH relativeFrom="column">
              <wp:posOffset>96520</wp:posOffset>
            </wp:positionH>
            <wp:positionV relativeFrom="paragraph">
              <wp:posOffset>1612900</wp:posOffset>
            </wp:positionV>
            <wp:extent cx="5008245" cy="2444750"/>
            <wp:effectExtent l="0" t="0" r="1905" b="12700"/>
            <wp:wrapSquare wrapText="bothSides"/>
            <wp:docPr id="4" name="图片 4" descr="1729590242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729590242399"/>
                    <pic:cNvPicPr>
                      <a:picLocks noChangeAspect="1"/>
                    </pic:cNvPicPr>
                  </pic:nvPicPr>
                  <pic:blipFill>
                    <a:blip r:embed="rId8"/>
                    <a:stretch>
                      <a:fillRect/>
                    </a:stretch>
                  </pic:blipFill>
                  <pic:spPr>
                    <a:xfrm>
                      <a:off x="0" y="0"/>
                      <a:ext cx="5008245" cy="2444750"/>
                    </a:xfrm>
                    <a:prstGeom prst="rect">
                      <a:avLst/>
                    </a:prstGeom>
                  </pic:spPr>
                </pic:pic>
              </a:graphicData>
            </a:graphic>
          </wp:anchor>
        </w:drawing>
      </w:r>
      <w:r>
        <w:rPr>
          <w:rFonts w:hint="default" w:ascii="Times New Roman" w:hAnsi="Times New Roman" w:eastAsia="仿宋" w:cs="Times New Roman"/>
          <w:color w:val="auto"/>
          <w:kern w:val="0"/>
          <w:sz w:val="32"/>
          <w:szCs w:val="32"/>
          <w:lang w:val="en-US" w:eastAsia="zh-CN" w:bidi="ar-SA"/>
        </w:rPr>
        <w:t>2023年度本年支出合计487.97万元，其中：基本支出404.16万元，占82.82%；项目支出83.81万元，占17.18%；上缴上级支出0万元，占0%；经营支出0万元，占0%；对附属单位补助支出0万元，占0%。</w:t>
      </w:r>
      <w:bookmarkEnd w:id="45"/>
      <w:bookmarkEnd w:id="46"/>
      <w:bookmarkEnd w:id="47"/>
    </w:p>
    <w:p w14:paraId="387259A8">
      <w:pPr>
        <w:spacing w:line="600" w:lineRule="exact"/>
        <w:ind w:firstLine="640" w:firstLineChars="200"/>
        <w:outlineLvl w:val="1"/>
        <w:rPr>
          <w:rStyle w:val="28"/>
          <w:rFonts w:hint="default" w:ascii="Times New Roman" w:hAnsi="Times New Roman" w:eastAsia="黑体" w:cs="Times New Roman"/>
          <w:b w:val="0"/>
        </w:rPr>
      </w:pPr>
      <w:bookmarkStart w:id="48" w:name="_Toc23623"/>
      <w:bookmarkStart w:id="49" w:name="_Toc15396606"/>
      <w:bookmarkStart w:id="50" w:name="_Toc15377208"/>
      <w:bookmarkStart w:id="51" w:name="_Toc23175"/>
      <w:r>
        <w:rPr>
          <w:rFonts w:hint="default" w:ascii="Times New Roman" w:hAnsi="Times New Roman" w:eastAsia="黑体" w:cs="Times New Roman"/>
          <w:sz w:val="32"/>
          <w:szCs w:val="32"/>
        </w:rPr>
        <w:t>四、财</w:t>
      </w:r>
      <w:r>
        <w:rPr>
          <w:rStyle w:val="28"/>
          <w:rFonts w:hint="default" w:ascii="Times New Roman" w:hAnsi="Times New Roman" w:eastAsia="黑体" w:cs="Times New Roman"/>
          <w:b w:val="0"/>
        </w:rPr>
        <w:t>政拨款收入支出决算总体情况说明</w:t>
      </w:r>
      <w:bookmarkEnd w:id="48"/>
      <w:bookmarkEnd w:id="49"/>
      <w:bookmarkEnd w:id="50"/>
      <w:bookmarkEnd w:id="51"/>
    </w:p>
    <w:p w14:paraId="29F402E5">
      <w:pPr>
        <w:spacing w:line="600" w:lineRule="exact"/>
        <w:ind w:firstLine="64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drawing>
          <wp:anchor distT="0" distB="0" distL="114300" distR="114300" simplePos="0" relativeHeight="251662336" behindDoc="0" locked="0" layoutInCell="1" allowOverlap="1">
            <wp:simplePos x="0" y="0"/>
            <wp:positionH relativeFrom="column">
              <wp:posOffset>-8890</wp:posOffset>
            </wp:positionH>
            <wp:positionV relativeFrom="paragraph">
              <wp:posOffset>1932940</wp:posOffset>
            </wp:positionV>
            <wp:extent cx="5198110" cy="2075815"/>
            <wp:effectExtent l="0" t="0" r="2540" b="635"/>
            <wp:wrapSquare wrapText="bothSides"/>
            <wp:docPr id="3" name="图片 3" descr="1729646480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729646480409"/>
                    <pic:cNvPicPr>
                      <a:picLocks noChangeAspect="1"/>
                    </pic:cNvPicPr>
                  </pic:nvPicPr>
                  <pic:blipFill>
                    <a:blip r:embed="rId9"/>
                    <a:stretch>
                      <a:fillRect/>
                    </a:stretch>
                  </pic:blipFill>
                  <pic:spPr>
                    <a:xfrm>
                      <a:off x="0" y="0"/>
                      <a:ext cx="5198110" cy="2075815"/>
                    </a:xfrm>
                    <a:prstGeom prst="rect">
                      <a:avLst/>
                    </a:prstGeom>
                  </pic:spPr>
                </pic:pic>
              </a:graphicData>
            </a:graphic>
          </wp:anchor>
        </w:drawing>
      </w:r>
      <w:r>
        <w:rPr>
          <w:rFonts w:hint="default" w:ascii="Times New Roman" w:hAnsi="Times New Roman" w:eastAsia="仿宋" w:cs="Times New Roman"/>
          <w:color w:val="auto"/>
          <w:kern w:val="0"/>
          <w:sz w:val="32"/>
          <w:szCs w:val="32"/>
          <w:lang w:val="en-US" w:eastAsia="zh-CN" w:bidi="ar-SA"/>
        </w:rPr>
        <w:t>2023年度财政拨款收、支总计均为487.97万元。与2022年度相比，财政拨款收、支总计各增加55.04万元，增长12.71%。主要变动原因是项目支出增加，将县政务服务中心职工食堂运行经费、县政务中心大厅保运转经费等费用纳入项目资金。</w:t>
      </w:r>
    </w:p>
    <w:p w14:paraId="40034F81">
      <w:pPr>
        <w:spacing w:line="600" w:lineRule="exact"/>
        <w:ind w:firstLine="640" w:firstLineChars="200"/>
        <w:outlineLvl w:val="1"/>
        <w:rPr>
          <w:rStyle w:val="28"/>
          <w:rFonts w:hint="default" w:ascii="Times New Roman" w:hAnsi="Times New Roman" w:eastAsia="黑体" w:cs="Times New Roman"/>
          <w:b w:val="0"/>
        </w:rPr>
      </w:pPr>
      <w:bookmarkStart w:id="52" w:name="_Toc19025"/>
      <w:bookmarkStart w:id="53" w:name="_Toc15377209"/>
      <w:bookmarkStart w:id="54" w:name="_Toc15396607"/>
      <w:bookmarkStart w:id="55" w:name="_Toc20236"/>
      <w:r>
        <w:rPr>
          <w:rFonts w:hint="default" w:ascii="Times New Roman" w:hAnsi="Times New Roman" w:eastAsia="黑体" w:cs="Times New Roman"/>
          <w:sz w:val="32"/>
          <w:szCs w:val="32"/>
        </w:rPr>
        <w:t>五、</w:t>
      </w:r>
      <w:r>
        <w:rPr>
          <w:rFonts w:hint="default" w:ascii="Times New Roman" w:hAnsi="Times New Roman" w:eastAsia="黑体" w:cs="Times New Roman"/>
          <w:b/>
          <w:sz w:val="32"/>
          <w:szCs w:val="32"/>
        </w:rPr>
        <w:t>一</w:t>
      </w:r>
      <w:r>
        <w:rPr>
          <w:rStyle w:val="28"/>
          <w:rFonts w:hint="default" w:ascii="Times New Roman" w:hAnsi="Times New Roman" w:eastAsia="黑体" w:cs="Times New Roman"/>
          <w:b w:val="0"/>
        </w:rPr>
        <w:t>般公共预算财政拨款支出决算情况说明</w:t>
      </w:r>
      <w:bookmarkEnd w:id="52"/>
      <w:bookmarkEnd w:id="53"/>
      <w:bookmarkEnd w:id="54"/>
      <w:bookmarkEnd w:id="55"/>
    </w:p>
    <w:p w14:paraId="31395613">
      <w:pPr>
        <w:spacing w:line="600" w:lineRule="exact"/>
        <w:ind w:firstLine="643" w:firstLineChars="200"/>
        <w:outlineLvl w:val="2"/>
        <w:rPr>
          <w:rFonts w:hint="default" w:ascii="Times New Roman" w:hAnsi="Times New Roman" w:eastAsia="仿宋" w:cs="Times New Roman"/>
          <w:b/>
          <w:sz w:val="32"/>
          <w:szCs w:val="32"/>
        </w:rPr>
      </w:pPr>
      <w:bookmarkStart w:id="56" w:name="_Toc15377210"/>
      <w:r>
        <w:rPr>
          <w:rFonts w:hint="default" w:ascii="Times New Roman" w:hAnsi="Times New Roman" w:eastAsia="仿宋" w:cs="Times New Roman"/>
          <w:b/>
          <w:sz w:val="32"/>
          <w:szCs w:val="32"/>
        </w:rPr>
        <w:t>（一）一般公共预算财政拨款支出决算总体情况</w:t>
      </w:r>
      <w:bookmarkEnd w:id="56"/>
    </w:p>
    <w:p w14:paraId="7200F8EA">
      <w:pPr>
        <w:spacing w:line="600" w:lineRule="exact"/>
        <w:ind w:firstLine="640" w:firstLineChars="20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drawing>
          <wp:anchor distT="0" distB="0" distL="114300" distR="114300" simplePos="0" relativeHeight="251663360" behindDoc="0" locked="0" layoutInCell="1" allowOverlap="1">
            <wp:simplePos x="0" y="0"/>
            <wp:positionH relativeFrom="column">
              <wp:posOffset>25400</wp:posOffset>
            </wp:positionH>
            <wp:positionV relativeFrom="paragraph">
              <wp:posOffset>1976120</wp:posOffset>
            </wp:positionV>
            <wp:extent cx="5223510" cy="2103755"/>
            <wp:effectExtent l="0" t="0" r="15240" b="10795"/>
            <wp:wrapSquare wrapText="bothSides"/>
            <wp:docPr id="5" name="图片 5" descr="1729646619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729646619688"/>
                    <pic:cNvPicPr>
                      <a:picLocks noChangeAspect="1"/>
                    </pic:cNvPicPr>
                  </pic:nvPicPr>
                  <pic:blipFill>
                    <a:blip r:embed="rId10"/>
                    <a:stretch>
                      <a:fillRect/>
                    </a:stretch>
                  </pic:blipFill>
                  <pic:spPr>
                    <a:xfrm>
                      <a:off x="0" y="0"/>
                      <a:ext cx="5223510" cy="2103755"/>
                    </a:xfrm>
                    <a:prstGeom prst="rect">
                      <a:avLst/>
                    </a:prstGeom>
                  </pic:spPr>
                </pic:pic>
              </a:graphicData>
            </a:graphic>
          </wp:anchor>
        </w:drawing>
      </w:r>
      <w:r>
        <w:rPr>
          <w:rFonts w:hint="default" w:ascii="Times New Roman" w:hAnsi="Times New Roman" w:eastAsia="仿宋" w:cs="Times New Roman"/>
          <w:color w:val="auto"/>
          <w:kern w:val="0"/>
          <w:sz w:val="32"/>
          <w:szCs w:val="32"/>
          <w:lang w:val="en-US" w:eastAsia="zh-CN" w:bidi="ar-SA"/>
        </w:rPr>
        <w:t>2023年度一般公共预算财政拨款支出487.97万元，占本年支出合计的100%。与2022年度相比增加55.04万元，增长12.71%。主要变动原因是项目支出增加，将县政务服务中心职工食堂运行经费、县政务中心大厅保运转经费等费用纳入项目资金。</w:t>
      </w:r>
    </w:p>
    <w:p w14:paraId="20DCA442">
      <w:pPr>
        <w:spacing w:line="600" w:lineRule="exact"/>
        <w:ind w:firstLine="643" w:firstLineChars="200"/>
        <w:outlineLvl w:val="2"/>
        <w:rPr>
          <w:rFonts w:hint="default" w:ascii="Times New Roman" w:hAnsi="Times New Roman" w:eastAsia="仿宋" w:cs="Times New Roman"/>
          <w:b/>
          <w:sz w:val="32"/>
          <w:szCs w:val="32"/>
        </w:rPr>
      </w:pPr>
      <w:bookmarkStart w:id="57" w:name="_Toc15377211"/>
      <w:r>
        <w:rPr>
          <w:rFonts w:hint="default" w:ascii="Times New Roman" w:hAnsi="Times New Roman" w:eastAsia="仿宋" w:cs="Times New Roman"/>
          <w:b/>
          <w:sz w:val="32"/>
          <w:szCs w:val="32"/>
        </w:rPr>
        <w:t>（二）一般公共预算财政拨款支出决算结构情况</w:t>
      </w:r>
      <w:bookmarkEnd w:id="57"/>
    </w:p>
    <w:p w14:paraId="2C683B7E">
      <w:pPr>
        <w:spacing w:line="600" w:lineRule="exact"/>
        <w:ind w:firstLine="640"/>
        <w:rPr>
          <w:rFonts w:hint="default" w:ascii="Times New Roman" w:hAnsi="Times New Roman" w:eastAsia="仿宋" w:cs="Times New Roman"/>
          <w:sz w:val="32"/>
          <w:szCs w:val="32"/>
        </w:rPr>
      </w:pPr>
      <w:r>
        <w:rPr>
          <w:rFonts w:hint="default" w:ascii="Times New Roman" w:hAnsi="Times New Roman" w:eastAsia="仿宋" w:cs="Times New Roman"/>
          <w:color w:val="auto"/>
          <w:kern w:val="0"/>
          <w:sz w:val="32"/>
          <w:szCs w:val="32"/>
          <w:lang w:val="en-US" w:eastAsia="zh-CN" w:bidi="ar-SA"/>
        </w:rPr>
        <w:drawing>
          <wp:anchor distT="0" distB="0" distL="114300" distR="114300" simplePos="0" relativeHeight="251664384" behindDoc="0" locked="0" layoutInCell="1" allowOverlap="1">
            <wp:simplePos x="0" y="0"/>
            <wp:positionH relativeFrom="column">
              <wp:posOffset>-6350</wp:posOffset>
            </wp:positionH>
            <wp:positionV relativeFrom="paragraph">
              <wp:posOffset>2319020</wp:posOffset>
            </wp:positionV>
            <wp:extent cx="5271135" cy="1649730"/>
            <wp:effectExtent l="0" t="0" r="5715" b="7620"/>
            <wp:wrapSquare wrapText="bothSides"/>
            <wp:docPr id="6" name="图片 6" descr="1729647102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729647102500"/>
                    <pic:cNvPicPr>
                      <a:picLocks noChangeAspect="1"/>
                    </pic:cNvPicPr>
                  </pic:nvPicPr>
                  <pic:blipFill>
                    <a:blip r:embed="rId11"/>
                    <a:stretch>
                      <a:fillRect/>
                    </a:stretch>
                  </pic:blipFill>
                  <pic:spPr>
                    <a:xfrm>
                      <a:off x="0" y="0"/>
                      <a:ext cx="5271135" cy="1649730"/>
                    </a:xfrm>
                    <a:prstGeom prst="rect">
                      <a:avLst/>
                    </a:prstGeom>
                  </pic:spPr>
                </pic:pic>
              </a:graphicData>
            </a:graphic>
          </wp:anchor>
        </w:drawing>
      </w:r>
      <w:r>
        <w:rPr>
          <w:rFonts w:hint="default" w:ascii="Times New Roman" w:hAnsi="Times New Roman" w:eastAsia="仿宋" w:cs="Times New Roman"/>
          <w:color w:val="auto"/>
          <w:kern w:val="0"/>
          <w:sz w:val="32"/>
          <w:szCs w:val="32"/>
          <w:lang w:val="en-US" w:eastAsia="zh-CN" w:bidi="ar-SA"/>
        </w:rPr>
        <w:t>2023年度一般公共预算财政拨款支出487.97万元，主要用于以下方面:</w:t>
      </w:r>
      <w:r>
        <w:rPr>
          <w:rFonts w:hint="default" w:ascii="Times New Roman" w:hAnsi="Times New Roman" w:eastAsia="仿宋" w:cs="Times New Roman"/>
          <w:b/>
          <w:sz w:val="32"/>
          <w:szCs w:val="32"/>
        </w:rPr>
        <w:t>一般公共服务</w:t>
      </w:r>
      <w:r>
        <w:rPr>
          <w:rFonts w:hint="default" w:ascii="Times New Roman" w:hAnsi="Times New Roman" w:eastAsia="仿宋" w:cs="Times New Roman"/>
          <w:b/>
          <w:bCs/>
          <w:sz w:val="32"/>
          <w:szCs w:val="32"/>
        </w:rPr>
        <w:t>支出</w:t>
      </w:r>
      <w:r>
        <w:rPr>
          <w:rFonts w:hint="default" w:ascii="Times New Roman" w:hAnsi="Times New Roman" w:eastAsia="仿宋" w:cs="Times New Roman"/>
          <w:color w:val="auto"/>
          <w:kern w:val="0"/>
          <w:sz w:val="32"/>
          <w:szCs w:val="32"/>
          <w:lang w:val="en-US" w:eastAsia="zh-CN" w:bidi="ar-SA"/>
        </w:rPr>
        <w:t>391.71万元，占80.27%；</w:t>
      </w:r>
      <w:r>
        <w:rPr>
          <w:rFonts w:hint="default" w:ascii="Times New Roman" w:hAnsi="Times New Roman" w:eastAsia="仿宋" w:cs="Times New Roman"/>
          <w:b/>
          <w:sz w:val="32"/>
          <w:szCs w:val="32"/>
        </w:rPr>
        <w:t>教育支出</w:t>
      </w:r>
      <w:r>
        <w:rPr>
          <w:rFonts w:hint="default" w:ascii="Times New Roman" w:hAnsi="Times New Roman" w:eastAsia="仿宋" w:cs="Times New Roman"/>
          <w:color w:val="auto"/>
          <w:kern w:val="0"/>
          <w:sz w:val="32"/>
          <w:szCs w:val="32"/>
          <w:lang w:val="en-US" w:eastAsia="zh-CN" w:bidi="ar-SA"/>
        </w:rPr>
        <w:t>0万元，占0%；</w:t>
      </w:r>
      <w:r>
        <w:rPr>
          <w:rFonts w:hint="default" w:ascii="Times New Roman" w:hAnsi="Times New Roman" w:eastAsia="仿宋" w:cs="Times New Roman"/>
          <w:b/>
          <w:sz w:val="32"/>
          <w:szCs w:val="32"/>
        </w:rPr>
        <w:t>科学技术</w:t>
      </w:r>
      <w:r>
        <w:rPr>
          <w:rFonts w:hint="default" w:ascii="Times New Roman" w:hAnsi="Times New Roman" w:eastAsia="仿宋" w:cs="Times New Roman"/>
          <w:b/>
          <w:bCs/>
          <w:sz w:val="32"/>
          <w:szCs w:val="32"/>
        </w:rPr>
        <w:t>支出</w:t>
      </w:r>
      <w:r>
        <w:rPr>
          <w:rFonts w:hint="default" w:ascii="Times New Roman" w:hAnsi="Times New Roman" w:eastAsia="仿宋" w:cs="Times New Roman"/>
          <w:color w:val="auto"/>
          <w:kern w:val="0"/>
          <w:sz w:val="32"/>
          <w:szCs w:val="32"/>
          <w:lang w:val="en-US" w:eastAsia="zh-CN" w:bidi="ar-SA"/>
        </w:rPr>
        <w:t>0万元，占0%；</w:t>
      </w:r>
      <w:r>
        <w:rPr>
          <w:rFonts w:hint="default" w:ascii="Times New Roman" w:hAnsi="Times New Roman" w:eastAsia="仿宋" w:cs="Times New Roman"/>
          <w:b/>
          <w:bCs/>
          <w:sz w:val="32"/>
          <w:szCs w:val="32"/>
        </w:rPr>
        <w:t>文化旅游体育与传媒支出</w:t>
      </w:r>
      <w:r>
        <w:rPr>
          <w:rFonts w:hint="default" w:ascii="Times New Roman" w:hAnsi="Times New Roman" w:eastAsia="仿宋" w:cs="Times New Roman"/>
          <w:color w:val="auto"/>
          <w:kern w:val="0"/>
          <w:sz w:val="32"/>
          <w:szCs w:val="32"/>
          <w:lang w:val="en-US" w:eastAsia="zh-CN" w:bidi="ar-SA"/>
        </w:rPr>
        <w:t>0万元</w:t>
      </w:r>
      <w:r>
        <w:rPr>
          <w:rFonts w:hint="default" w:ascii="Times New Roman" w:hAnsi="Times New Roman" w:eastAsia="仿宋" w:cs="Times New Roman"/>
          <w:b/>
          <w:bCs/>
          <w:sz w:val="32"/>
          <w:szCs w:val="32"/>
        </w:rPr>
        <w:t>，占0%</w:t>
      </w:r>
      <w:r>
        <w:rPr>
          <w:rFonts w:hint="default" w:ascii="Times New Roman" w:hAnsi="Times New Roman" w:eastAsia="仿宋" w:cs="Times New Roman"/>
          <w:sz w:val="32"/>
          <w:szCs w:val="32"/>
        </w:rPr>
        <w:t>；</w:t>
      </w:r>
      <w:r>
        <w:rPr>
          <w:rFonts w:hint="default" w:ascii="Times New Roman" w:hAnsi="Times New Roman" w:eastAsia="仿宋" w:cs="Times New Roman"/>
          <w:b/>
          <w:sz w:val="32"/>
          <w:szCs w:val="32"/>
        </w:rPr>
        <w:t>社会保障和就业</w:t>
      </w:r>
      <w:r>
        <w:rPr>
          <w:rFonts w:hint="default" w:ascii="Times New Roman" w:hAnsi="Times New Roman" w:eastAsia="仿宋" w:cs="Times New Roman"/>
          <w:b/>
          <w:bCs/>
          <w:sz w:val="32"/>
          <w:szCs w:val="32"/>
        </w:rPr>
        <w:t>支出</w:t>
      </w:r>
      <w:r>
        <w:rPr>
          <w:rFonts w:hint="default" w:ascii="Times New Roman" w:hAnsi="Times New Roman" w:eastAsia="仿宋" w:cs="Times New Roman"/>
          <w:color w:val="auto"/>
          <w:kern w:val="0"/>
          <w:sz w:val="32"/>
          <w:szCs w:val="32"/>
          <w:lang w:val="en-US" w:eastAsia="zh-CN" w:bidi="ar-SA"/>
        </w:rPr>
        <w:t>41.89万元，占8.58%；</w:t>
      </w:r>
      <w:r>
        <w:rPr>
          <w:rFonts w:hint="default" w:ascii="Times New Roman" w:hAnsi="Times New Roman" w:eastAsia="仿宋" w:cs="Times New Roman"/>
          <w:b/>
          <w:bCs/>
          <w:sz w:val="32"/>
          <w:szCs w:val="32"/>
        </w:rPr>
        <w:t>卫生健康支出</w:t>
      </w:r>
      <w:r>
        <w:rPr>
          <w:rFonts w:hint="default" w:ascii="Times New Roman" w:hAnsi="Times New Roman" w:eastAsia="仿宋" w:cs="Times New Roman"/>
          <w:color w:val="auto"/>
          <w:kern w:val="0"/>
          <w:sz w:val="32"/>
          <w:szCs w:val="32"/>
          <w:lang w:val="en-US" w:eastAsia="zh-CN" w:bidi="ar-SA"/>
        </w:rPr>
        <w:t>28.42万元，占5.83%；</w:t>
      </w:r>
      <w:r>
        <w:rPr>
          <w:rFonts w:hint="default" w:ascii="Times New Roman" w:hAnsi="Times New Roman" w:eastAsia="仿宋" w:cs="Times New Roman"/>
          <w:b/>
          <w:bCs/>
          <w:sz w:val="32"/>
          <w:szCs w:val="32"/>
        </w:rPr>
        <w:t>住房保障支出</w:t>
      </w:r>
      <w:r>
        <w:rPr>
          <w:rFonts w:hint="default" w:ascii="Times New Roman" w:hAnsi="Times New Roman" w:eastAsia="仿宋" w:cs="Times New Roman"/>
          <w:color w:val="auto"/>
          <w:kern w:val="0"/>
          <w:sz w:val="32"/>
          <w:szCs w:val="32"/>
          <w:lang w:val="en-US" w:eastAsia="zh-CN" w:bidi="ar-SA"/>
        </w:rPr>
        <w:t>25.95万元，占5.32%。</w:t>
      </w:r>
    </w:p>
    <w:p w14:paraId="45095F7C">
      <w:pPr>
        <w:spacing w:line="600" w:lineRule="exact"/>
        <w:ind w:firstLine="643" w:firstLineChars="200"/>
        <w:outlineLvl w:val="2"/>
        <w:rPr>
          <w:rFonts w:hint="default" w:ascii="Times New Roman" w:hAnsi="Times New Roman" w:eastAsia="仿宋" w:cs="Times New Roman"/>
          <w:b/>
          <w:sz w:val="32"/>
          <w:szCs w:val="32"/>
        </w:rPr>
      </w:pPr>
      <w:bookmarkStart w:id="58" w:name="_Toc15377212"/>
      <w:r>
        <w:rPr>
          <w:rFonts w:hint="default" w:ascii="Times New Roman" w:hAnsi="Times New Roman" w:eastAsia="仿宋" w:cs="Times New Roman"/>
          <w:b/>
          <w:sz w:val="32"/>
          <w:szCs w:val="32"/>
        </w:rPr>
        <w:t>（三）一般公共预算财政拨款支出决算具体情况</w:t>
      </w:r>
      <w:bookmarkEnd w:id="58"/>
    </w:p>
    <w:p w14:paraId="1AC02E9F">
      <w:pPr>
        <w:spacing w:line="600" w:lineRule="exact"/>
        <w:ind w:firstLine="643" w:firstLineChars="200"/>
        <w:outlineLvl w:val="2"/>
        <w:rPr>
          <w:rFonts w:hint="default" w:ascii="Times New Roman" w:hAnsi="Times New Roman" w:eastAsia="仿宋" w:cs="Times New Roman"/>
          <w:sz w:val="32"/>
          <w:szCs w:val="32"/>
        </w:rPr>
      </w:pPr>
      <w:bookmarkStart w:id="59" w:name="_Toc15377213"/>
      <w:bookmarkStart w:id="60" w:name="_Toc15378460"/>
      <w:bookmarkStart w:id="61" w:name="_Toc15377444"/>
      <w:r>
        <w:rPr>
          <w:rFonts w:hint="default" w:ascii="Times New Roman" w:hAnsi="Times New Roman" w:eastAsia="仿宋" w:cs="Times New Roman"/>
          <w:b/>
          <w:sz w:val="32"/>
          <w:szCs w:val="32"/>
        </w:rPr>
        <w:t>2023年度一般公共预算支出决算数为</w:t>
      </w:r>
      <w:r>
        <w:rPr>
          <w:rFonts w:hint="default" w:ascii="Times New Roman" w:hAnsi="Times New Roman" w:cs="Times New Roman"/>
          <w:sz w:val="32"/>
          <w:szCs w:val="32"/>
        </w:rPr>
        <w:t>487.97</w:t>
      </w:r>
      <w:r>
        <w:rPr>
          <w:rFonts w:hint="eastAsia" w:cs="Times New Roman"/>
          <w:sz w:val="32"/>
          <w:szCs w:val="32"/>
          <w:lang w:eastAsia="zh-CN"/>
        </w:rPr>
        <w:t>万元</w:t>
      </w:r>
      <w:r>
        <w:rPr>
          <w:rFonts w:hint="default" w:ascii="Times New Roman" w:hAnsi="Times New Roman" w:eastAsia="仿宋" w:cs="Times New Roman"/>
          <w:sz w:val="32"/>
          <w:szCs w:val="32"/>
        </w:rPr>
        <w:t>，</w:t>
      </w:r>
      <w:r>
        <w:rPr>
          <w:rStyle w:val="16"/>
          <w:rFonts w:hint="default" w:ascii="Times New Roman" w:hAnsi="Times New Roman" w:eastAsia="仿宋" w:cs="Times New Roman"/>
          <w:bCs/>
          <w:sz w:val="32"/>
          <w:szCs w:val="32"/>
        </w:rPr>
        <w:t>完成预算100%。其中：</w:t>
      </w:r>
      <w:bookmarkEnd w:id="59"/>
      <w:bookmarkEnd w:id="60"/>
      <w:bookmarkEnd w:id="61"/>
    </w:p>
    <w:p w14:paraId="4F35A857">
      <w:pPr>
        <w:spacing w:line="560" w:lineRule="exact"/>
        <w:ind w:firstLine="643" w:firstLineChars="200"/>
        <w:rPr>
          <w:rFonts w:hint="default" w:ascii="Times New Roman" w:hAnsi="Times New Roman" w:cs="Times New Roman"/>
        </w:rPr>
      </w:pPr>
      <w:r>
        <w:rPr>
          <w:rStyle w:val="16"/>
          <w:rFonts w:hint="default" w:ascii="Times New Roman" w:hAnsi="Times New Roman" w:eastAsia="仿宋" w:cs="Times New Roman"/>
          <w:bCs/>
          <w:sz w:val="32"/>
          <w:szCs w:val="32"/>
        </w:rPr>
        <w:t>1.</w:t>
      </w:r>
      <w:r>
        <w:rPr>
          <w:rStyle w:val="16"/>
          <w:rFonts w:hint="default" w:ascii="Times New Roman" w:hAnsi="Times New Roman" w:eastAsia="仿宋" w:cs="Times New Roman"/>
          <w:bCs/>
          <w:color w:val="000000"/>
          <w:sz w:val="32"/>
          <w:szCs w:val="32"/>
        </w:rPr>
        <w:t>一般公共服务（类）政府办公厅（室）及相关机构事务（款）</w:t>
      </w:r>
      <w:r>
        <w:rPr>
          <w:rStyle w:val="16"/>
          <w:rFonts w:hint="default" w:ascii="Times New Roman" w:hAnsi="Times New Roman" w:eastAsia="仿宋" w:cs="Times New Roman"/>
          <w:bCs/>
          <w:sz w:val="32"/>
          <w:szCs w:val="32"/>
        </w:rPr>
        <w:t>:</w:t>
      </w:r>
    </w:p>
    <w:p w14:paraId="304786B6">
      <w:pPr>
        <w:spacing w:line="560" w:lineRule="exact"/>
        <w:ind w:firstLine="643" w:firstLineChars="200"/>
        <w:rPr>
          <w:rStyle w:val="16"/>
          <w:rFonts w:hint="default" w:ascii="Times New Roman" w:hAnsi="Times New Roman" w:eastAsia="仿宋" w:cs="Times New Roman"/>
          <w:b w:val="0"/>
          <w:bCs/>
          <w:sz w:val="32"/>
          <w:szCs w:val="32"/>
        </w:rPr>
      </w:pPr>
      <w:r>
        <w:rPr>
          <w:rFonts w:hint="default" w:ascii="Times New Roman" w:hAnsi="Times New Roman" w:eastAsia="仿宋" w:cs="Times New Roman"/>
          <w:b/>
          <w:kern w:val="0"/>
          <w:sz w:val="32"/>
          <w:szCs w:val="32"/>
        </w:rPr>
        <w:t>（1）行政运行:</w:t>
      </w:r>
      <w:r>
        <w:rPr>
          <w:rFonts w:hint="default" w:ascii="Times New Roman" w:hAnsi="Times New Roman" w:eastAsia="仿宋" w:cs="Times New Roman"/>
          <w:color w:val="auto"/>
          <w:kern w:val="0"/>
          <w:sz w:val="32"/>
          <w:szCs w:val="32"/>
          <w:lang w:val="en-US" w:eastAsia="zh-CN" w:bidi="ar-SA"/>
        </w:rPr>
        <w:t>支出决算158.75万元，完成预算100%，决算数等于预算数。</w:t>
      </w:r>
    </w:p>
    <w:p w14:paraId="400CA05C">
      <w:pPr>
        <w:spacing w:line="560" w:lineRule="exact"/>
        <w:ind w:firstLine="643" w:firstLineChars="200"/>
        <w:rPr>
          <w:rStyle w:val="16"/>
          <w:rFonts w:hint="default" w:ascii="Times New Roman" w:hAnsi="Times New Roman" w:eastAsia="仿宋" w:cs="Times New Roman"/>
          <w:b w:val="0"/>
          <w:bCs/>
          <w:sz w:val="32"/>
          <w:szCs w:val="32"/>
        </w:rPr>
      </w:pPr>
      <w:r>
        <w:rPr>
          <w:rFonts w:hint="default" w:ascii="Times New Roman" w:hAnsi="Times New Roman" w:eastAsia="仿宋" w:cs="Times New Roman"/>
          <w:b/>
          <w:kern w:val="0"/>
          <w:sz w:val="32"/>
          <w:szCs w:val="32"/>
        </w:rPr>
        <w:t>（2）一般行政管理事务:</w:t>
      </w:r>
      <w:r>
        <w:rPr>
          <w:rFonts w:hint="default" w:ascii="Times New Roman" w:hAnsi="Times New Roman" w:eastAsia="仿宋" w:cs="Times New Roman"/>
          <w:color w:val="auto"/>
          <w:kern w:val="0"/>
          <w:sz w:val="32"/>
          <w:szCs w:val="32"/>
          <w:lang w:val="en-US" w:eastAsia="zh-CN" w:bidi="ar-SA"/>
        </w:rPr>
        <w:t>支出决算为83.81万元，完成预算100%，决算数等于预算数。</w:t>
      </w:r>
    </w:p>
    <w:p w14:paraId="56691624">
      <w:pPr>
        <w:spacing w:line="560" w:lineRule="exact"/>
        <w:ind w:firstLine="643" w:firstLineChars="200"/>
        <w:rPr>
          <w:rStyle w:val="16"/>
          <w:rFonts w:hint="default" w:ascii="Times New Roman" w:hAnsi="Times New Roman" w:cs="Times New Roman"/>
          <w:bCs/>
        </w:rPr>
      </w:pPr>
      <w:r>
        <w:rPr>
          <w:rFonts w:hint="default" w:ascii="Times New Roman" w:hAnsi="Times New Roman" w:eastAsia="仿宋" w:cs="Times New Roman"/>
          <w:b/>
          <w:kern w:val="0"/>
          <w:sz w:val="32"/>
          <w:szCs w:val="32"/>
        </w:rPr>
        <w:t>（3）事业运行:</w:t>
      </w:r>
      <w:r>
        <w:rPr>
          <w:rFonts w:hint="default" w:ascii="Times New Roman" w:hAnsi="Times New Roman" w:eastAsia="仿宋" w:cs="Times New Roman"/>
          <w:color w:val="auto"/>
          <w:kern w:val="0"/>
          <w:sz w:val="32"/>
          <w:szCs w:val="32"/>
          <w:lang w:val="en-US" w:eastAsia="zh-CN" w:bidi="ar-SA"/>
        </w:rPr>
        <w:t>支出决算为149.16万元，完成预算100%，决算数等于预算数。</w:t>
      </w:r>
    </w:p>
    <w:p w14:paraId="5645F6C2">
      <w:pPr>
        <w:spacing w:line="560" w:lineRule="exact"/>
        <w:ind w:firstLine="643" w:firstLineChars="200"/>
        <w:rPr>
          <w:rFonts w:hint="default" w:ascii="Times New Roman" w:hAnsi="Times New Roman" w:eastAsia="仿宋" w:cs="Times New Roman"/>
          <w:b/>
          <w:kern w:val="0"/>
          <w:sz w:val="32"/>
          <w:szCs w:val="32"/>
        </w:rPr>
      </w:pPr>
      <w:r>
        <w:rPr>
          <w:rStyle w:val="16"/>
          <w:rFonts w:hint="default" w:ascii="Times New Roman" w:hAnsi="Times New Roman" w:eastAsia="仿宋" w:cs="Times New Roman"/>
          <w:bCs/>
          <w:sz w:val="32"/>
          <w:szCs w:val="32"/>
        </w:rPr>
        <w:t>2.</w:t>
      </w:r>
      <w:r>
        <w:rPr>
          <w:rFonts w:hint="default" w:ascii="Times New Roman" w:hAnsi="Times New Roman" w:eastAsia="仿宋" w:cs="Times New Roman"/>
          <w:b/>
          <w:kern w:val="0"/>
          <w:sz w:val="32"/>
          <w:szCs w:val="32"/>
        </w:rPr>
        <w:t>社会保障和就业（类）行政事业单位离退休（款）：</w:t>
      </w:r>
    </w:p>
    <w:p w14:paraId="0607396C">
      <w:pPr>
        <w:spacing w:line="560" w:lineRule="exact"/>
        <w:ind w:firstLine="643" w:firstLineChars="200"/>
        <w:rPr>
          <w:rFonts w:hint="default" w:ascii="Times New Roman" w:hAnsi="Times New Roman" w:eastAsia="仿宋" w:cs="Times New Roman"/>
          <w:kern w:val="0"/>
          <w:sz w:val="32"/>
          <w:szCs w:val="32"/>
        </w:rPr>
      </w:pPr>
      <w:r>
        <w:rPr>
          <w:rFonts w:hint="default" w:ascii="Times New Roman" w:hAnsi="Times New Roman" w:eastAsia="仿宋" w:cs="Times New Roman"/>
          <w:b/>
          <w:kern w:val="0"/>
          <w:sz w:val="32"/>
          <w:szCs w:val="32"/>
        </w:rPr>
        <w:t>（1）行政单位离退休：</w:t>
      </w:r>
      <w:r>
        <w:rPr>
          <w:rFonts w:hint="default" w:ascii="Times New Roman" w:hAnsi="Times New Roman" w:eastAsia="仿宋" w:cs="Times New Roman"/>
          <w:color w:val="auto"/>
          <w:kern w:val="0"/>
          <w:sz w:val="32"/>
          <w:szCs w:val="32"/>
          <w:lang w:val="en-US" w:eastAsia="zh-CN" w:bidi="ar-SA"/>
        </w:rPr>
        <w:t>支出决算为6.49万元，完成预算100%，决算数等于预算数。</w:t>
      </w:r>
    </w:p>
    <w:p w14:paraId="5371D908">
      <w:pPr>
        <w:spacing w:line="600" w:lineRule="exact"/>
        <w:ind w:firstLine="643" w:firstLineChars="200"/>
        <w:rPr>
          <w:rStyle w:val="16"/>
          <w:rFonts w:hint="default" w:ascii="Times New Roman" w:hAnsi="Times New Roman" w:eastAsia="仿宋" w:cs="Times New Roman"/>
          <w:bCs/>
          <w:sz w:val="32"/>
          <w:szCs w:val="32"/>
        </w:rPr>
      </w:pPr>
      <w:r>
        <w:rPr>
          <w:rFonts w:hint="default" w:ascii="Times New Roman" w:hAnsi="Times New Roman" w:eastAsia="仿宋" w:cs="Times New Roman"/>
          <w:b/>
          <w:kern w:val="0"/>
          <w:sz w:val="32"/>
          <w:szCs w:val="32"/>
        </w:rPr>
        <w:t>（2）机关事业单位基本养老保险缴费支出：</w:t>
      </w:r>
      <w:r>
        <w:rPr>
          <w:rFonts w:hint="default" w:ascii="Times New Roman" w:hAnsi="Times New Roman" w:eastAsia="仿宋" w:cs="Times New Roman"/>
          <w:color w:val="auto"/>
          <w:kern w:val="0"/>
          <w:sz w:val="32"/>
          <w:szCs w:val="32"/>
          <w:lang w:val="en-US" w:eastAsia="zh-CN" w:bidi="ar-SA"/>
        </w:rPr>
        <w:t>支出决算为35.39元，完成预算100%，决算数等于预算数。</w:t>
      </w:r>
    </w:p>
    <w:p w14:paraId="335F3D14">
      <w:pPr>
        <w:spacing w:line="560" w:lineRule="exact"/>
        <w:ind w:firstLine="643" w:firstLineChars="200"/>
        <w:rPr>
          <w:rStyle w:val="16"/>
          <w:rFonts w:hint="default" w:ascii="Times New Roman" w:hAnsi="Times New Roman" w:eastAsia="仿宋" w:cs="Times New Roman"/>
          <w:bCs/>
          <w:sz w:val="32"/>
          <w:szCs w:val="32"/>
        </w:rPr>
      </w:pPr>
      <w:r>
        <w:rPr>
          <w:rStyle w:val="16"/>
          <w:rFonts w:hint="default" w:ascii="Times New Roman" w:hAnsi="Times New Roman" w:eastAsia="仿宋" w:cs="Times New Roman"/>
          <w:bCs/>
          <w:sz w:val="32"/>
          <w:szCs w:val="32"/>
        </w:rPr>
        <w:t>3.</w:t>
      </w:r>
      <w:r>
        <w:rPr>
          <w:rFonts w:hint="default" w:ascii="Times New Roman" w:hAnsi="Times New Roman" w:eastAsia="仿宋" w:cs="Times New Roman"/>
          <w:b/>
          <w:bCs/>
          <w:sz w:val="32"/>
          <w:szCs w:val="32"/>
        </w:rPr>
        <w:t>卫生健康</w:t>
      </w:r>
      <w:r>
        <w:rPr>
          <w:rStyle w:val="16"/>
          <w:rFonts w:hint="default" w:ascii="Times New Roman" w:hAnsi="Times New Roman" w:eastAsia="仿宋" w:cs="Times New Roman"/>
          <w:bCs/>
          <w:sz w:val="32"/>
          <w:szCs w:val="32"/>
        </w:rPr>
        <w:t>（类）行政事业单位医疗（款）：</w:t>
      </w:r>
    </w:p>
    <w:p w14:paraId="55145465">
      <w:pPr>
        <w:spacing w:line="560" w:lineRule="exact"/>
        <w:ind w:firstLine="643" w:firstLineChars="200"/>
        <w:rPr>
          <w:rFonts w:hint="default" w:ascii="Times New Roman" w:hAnsi="Times New Roman" w:eastAsia="仿宋" w:cs="Times New Roman"/>
          <w:kern w:val="0"/>
          <w:sz w:val="32"/>
          <w:szCs w:val="32"/>
        </w:rPr>
      </w:pPr>
      <w:r>
        <w:rPr>
          <w:rFonts w:hint="default" w:ascii="Times New Roman" w:hAnsi="Times New Roman" w:eastAsia="仿宋" w:cs="Times New Roman"/>
          <w:b/>
          <w:kern w:val="0"/>
          <w:sz w:val="32"/>
          <w:szCs w:val="32"/>
        </w:rPr>
        <w:t>（1）行政单位医疗:</w:t>
      </w:r>
      <w:r>
        <w:rPr>
          <w:rFonts w:hint="default" w:ascii="Times New Roman" w:hAnsi="Times New Roman" w:eastAsia="仿宋" w:cs="Times New Roman"/>
          <w:color w:val="auto"/>
          <w:kern w:val="0"/>
          <w:sz w:val="32"/>
          <w:szCs w:val="32"/>
          <w:lang w:val="en-US" w:eastAsia="zh-CN" w:bidi="ar-SA"/>
        </w:rPr>
        <w:t>支出决算为7.68万元，完成预算100%，决算数等于预算数。</w:t>
      </w:r>
    </w:p>
    <w:p w14:paraId="41228E94">
      <w:pPr>
        <w:spacing w:line="560" w:lineRule="exact"/>
        <w:ind w:firstLine="643" w:firstLineChars="200"/>
        <w:rPr>
          <w:rFonts w:hint="default" w:ascii="Times New Roman" w:hAnsi="Times New Roman" w:eastAsia="仿宋" w:cs="Times New Roman"/>
          <w:kern w:val="0"/>
          <w:sz w:val="32"/>
          <w:szCs w:val="32"/>
        </w:rPr>
      </w:pPr>
      <w:r>
        <w:rPr>
          <w:rFonts w:hint="default" w:ascii="Times New Roman" w:hAnsi="Times New Roman" w:eastAsia="仿宋" w:cs="Times New Roman"/>
          <w:b/>
          <w:kern w:val="0"/>
          <w:sz w:val="32"/>
          <w:szCs w:val="32"/>
        </w:rPr>
        <w:t>（2）事业单位医疗:</w:t>
      </w:r>
      <w:r>
        <w:rPr>
          <w:rFonts w:hint="default" w:ascii="Times New Roman" w:hAnsi="Times New Roman" w:eastAsia="仿宋" w:cs="Times New Roman"/>
          <w:color w:val="auto"/>
          <w:kern w:val="0"/>
          <w:sz w:val="32"/>
          <w:szCs w:val="32"/>
          <w:lang w:val="en-US" w:eastAsia="zh-CN" w:bidi="ar-SA"/>
        </w:rPr>
        <w:t>支出决算为9.91万元，完成预算100%，决算数等于预算数。</w:t>
      </w:r>
    </w:p>
    <w:p w14:paraId="7324D85F">
      <w:pPr>
        <w:spacing w:line="560" w:lineRule="exact"/>
        <w:ind w:firstLine="643" w:firstLineChars="200"/>
        <w:rPr>
          <w:rFonts w:hint="default" w:ascii="Times New Roman" w:hAnsi="Times New Roman" w:eastAsia="仿宋" w:cs="Times New Roman"/>
          <w:kern w:val="0"/>
          <w:sz w:val="32"/>
          <w:szCs w:val="32"/>
        </w:rPr>
      </w:pPr>
      <w:r>
        <w:rPr>
          <w:rFonts w:hint="default" w:ascii="Times New Roman" w:hAnsi="Times New Roman" w:eastAsia="仿宋" w:cs="Times New Roman"/>
          <w:b/>
          <w:kern w:val="0"/>
          <w:sz w:val="32"/>
          <w:szCs w:val="32"/>
        </w:rPr>
        <w:t>（3）公务员医疗补助:</w:t>
      </w:r>
      <w:r>
        <w:rPr>
          <w:rFonts w:hint="default" w:ascii="Times New Roman" w:hAnsi="Times New Roman" w:eastAsia="仿宋" w:cs="Times New Roman"/>
          <w:color w:val="auto"/>
          <w:kern w:val="0"/>
          <w:sz w:val="32"/>
          <w:szCs w:val="32"/>
          <w:lang w:val="en-US" w:eastAsia="zh-CN" w:bidi="ar-SA"/>
        </w:rPr>
        <w:t>支出决算为0.79万元，完成预算100%，决算数等于预算数。</w:t>
      </w:r>
    </w:p>
    <w:p w14:paraId="20EE0708">
      <w:pPr>
        <w:spacing w:line="600" w:lineRule="exact"/>
        <w:ind w:firstLine="643" w:firstLineChars="200"/>
        <w:rPr>
          <w:rFonts w:hint="default" w:ascii="Times New Roman" w:hAnsi="Times New Roman" w:eastAsia="仿宋" w:cs="Times New Roman"/>
          <w:b/>
          <w:kern w:val="0"/>
          <w:sz w:val="32"/>
          <w:szCs w:val="32"/>
        </w:rPr>
      </w:pPr>
      <w:r>
        <w:rPr>
          <w:rFonts w:hint="default" w:ascii="Times New Roman" w:hAnsi="Times New Roman" w:eastAsia="仿宋" w:cs="Times New Roman"/>
          <w:b/>
          <w:kern w:val="0"/>
          <w:sz w:val="32"/>
          <w:szCs w:val="32"/>
        </w:rPr>
        <w:t>（3）其他行政事业单位医疗支出:</w:t>
      </w:r>
      <w:r>
        <w:rPr>
          <w:rFonts w:hint="default" w:ascii="Times New Roman" w:hAnsi="Times New Roman" w:eastAsia="仿宋" w:cs="Times New Roman"/>
          <w:color w:val="auto"/>
          <w:kern w:val="0"/>
          <w:sz w:val="32"/>
          <w:szCs w:val="32"/>
          <w:lang w:val="en-US" w:eastAsia="zh-CN" w:bidi="ar-SA"/>
        </w:rPr>
        <w:t>支出决算为10.04万元，完成预算100%，决算数等于预算数。</w:t>
      </w:r>
    </w:p>
    <w:p w14:paraId="60C691DC">
      <w:pPr>
        <w:spacing w:line="560" w:lineRule="exact"/>
        <w:ind w:firstLine="643" w:firstLineChars="200"/>
        <w:rPr>
          <w:rFonts w:hint="eastAsia" w:ascii="Times New Roman" w:hAnsi="Times New Roman" w:eastAsia="仿宋" w:cs="Times New Roman"/>
          <w:b/>
          <w:kern w:val="0"/>
          <w:sz w:val="32"/>
          <w:szCs w:val="32"/>
          <w:lang w:eastAsia="zh-CN"/>
        </w:rPr>
      </w:pPr>
      <w:r>
        <w:rPr>
          <w:rStyle w:val="16"/>
          <w:rFonts w:hint="default" w:ascii="Times New Roman" w:hAnsi="Times New Roman" w:eastAsia="仿宋" w:cs="Times New Roman"/>
          <w:bCs/>
          <w:sz w:val="32"/>
          <w:szCs w:val="32"/>
        </w:rPr>
        <w:t>4.</w:t>
      </w:r>
      <w:r>
        <w:rPr>
          <w:rFonts w:hint="default" w:ascii="Times New Roman" w:hAnsi="Times New Roman" w:eastAsia="仿宋" w:cs="Times New Roman"/>
          <w:b/>
          <w:kern w:val="0"/>
          <w:sz w:val="32"/>
          <w:szCs w:val="32"/>
        </w:rPr>
        <w:t>住房保障（类）住房改革（款）</w:t>
      </w:r>
    </w:p>
    <w:p w14:paraId="3739F25F">
      <w:pPr>
        <w:pStyle w:val="5"/>
        <w:spacing w:before="93" w:line="560" w:lineRule="exact"/>
        <w:ind w:firstLine="643" w:firstLineChars="200"/>
        <w:rPr>
          <w:rFonts w:hint="default" w:ascii="Times New Roman" w:hAnsi="Times New Roman" w:eastAsia="仿宋" w:cs="Times New Roman"/>
          <w:sz w:val="32"/>
          <w:szCs w:val="32"/>
        </w:rPr>
      </w:pPr>
      <w:r>
        <w:rPr>
          <w:rFonts w:hint="default" w:ascii="Times New Roman" w:hAnsi="Times New Roman" w:eastAsia="仿宋" w:cs="Times New Roman"/>
          <w:b/>
          <w:sz w:val="32"/>
          <w:szCs w:val="32"/>
        </w:rPr>
        <w:t>（1）住房公积金:</w:t>
      </w:r>
      <w:r>
        <w:rPr>
          <w:rFonts w:hint="default" w:ascii="Times New Roman" w:hAnsi="Times New Roman" w:eastAsia="仿宋" w:cs="Times New Roman"/>
          <w:color w:val="auto"/>
          <w:kern w:val="0"/>
          <w:sz w:val="32"/>
          <w:szCs w:val="32"/>
          <w:lang w:val="en-US" w:eastAsia="zh-CN" w:bidi="ar-SA"/>
        </w:rPr>
        <w:t>支出决算为25.95万元，完成预算100%，决算数等于预算数。</w:t>
      </w:r>
    </w:p>
    <w:p w14:paraId="0BE8AA6D">
      <w:pPr>
        <w:tabs>
          <w:tab w:val="right" w:pos="8306"/>
        </w:tabs>
        <w:spacing w:line="600" w:lineRule="exact"/>
        <w:ind w:firstLine="640"/>
        <w:outlineLvl w:val="1"/>
        <w:rPr>
          <w:rStyle w:val="28"/>
          <w:rFonts w:hint="default" w:ascii="Times New Roman" w:hAnsi="Times New Roman" w:cs="Times New Roman"/>
        </w:rPr>
      </w:pPr>
      <w:bookmarkStart w:id="62" w:name="_Toc15396608"/>
      <w:bookmarkStart w:id="63" w:name="_Toc15377214"/>
      <w:bookmarkStart w:id="64" w:name="_Toc14241"/>
      <w:bookmarkStart w:id="65" w:name="_Toc28277"/>
      <w:r>
        <w:rPr>
          <w:rFonts w:hint="default" w:ascii="Times New Roman" w:hAnsi="Times New Roman" w:eastAsia="黑体" w:cs="Times New Roman"/>
          <w:sz w:val="32"/>
          <w:szCs w:val="32"/>
        </w:rPr>
        <w:t>六</w:t>
      </w:r>
      <w:r>
        <w:rPr>
          <w:rFonts w:hint="default" w:ascii="Times New Roman" w:hAnsi="Times New Roman" w:eastAsia="黑体" w:cs="Times New Roman"/>
          <w:b/>
          <w:sz w:val="32"/>
          <w:szCs w:val="32"/>
        </w:rPr>
        <w:t>、一</w:t>
      </w:r>
      <w:r>
        <w:rPr>
          <w:rStyle w:val="28"/>
          <w:rFonts w:hint="default" w:ascii="Times New Roman" w:hAnsi="Times New Roman" w:eastAsia="黑体" w:cs="Times New Roman"/>
          <w:b w:val="0"/>
        </w:rPr>
        <w:t>般公共预算财政拨款基本支出决算情况说明</w:t>
      </w:r>
      <w:bookmarkEnd w:id="62"/>
      <w:bookmarkEnd w:id="63"/>
      <w:bookmarkEnd w:id="64"/>
      <w:bookmarkEnd w:id="65"/>
      <w:r>
        <w:rPr>
          <w:rStyle w:val="28"/>
          <w:rFonts w:hint="default" w:ascii="Times New Roman" w:hAnsi="Times New Roman" w:eastAsia="黑体" w:cs="Times New Roman"/>
          <w:b w:val="0"/>
        </w:rPr>
        <w:tab/>
      </w:r>
    </w:p>
    <w:p w14:paraId="4303D4E5">
      <w:pPr>
        <w:spacing w:line="600" w:lineRule="exact"/>
        <w:ind w:firstLine="645"/>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t>2023年度一般公共预算财政拨款基本支出404.16万元，其中：</w:t>
      </w:r>
    </w:p>
    <w:p w14:paraId="65F02742">
      <w:pPr>
        <w:spacing w:line="600" w:lineRule="exact"/>
        <w:ind w:firstLine="645"/>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t>人员经费334.59万元，主要包括：基本工资、津贴补贴、奖金、绩效工资、机关事业单位基本养老保险缴费、职业年金缴费、职工基本医疗保险缴费、公务员医疗补助缴费、其他社会保障缴费、其他工资福利支出、住房公积金、医疗费、其他工资福利支出、生活补助、医疗费补助、奖励金等。</w:t>
      </w:r>
    </w:p>
    <w:p w14:paraId="4A4719D5">
      <w:pPr>
        <w:spacing w:line="600" w:lineRule="exact"/>
        <w:ind w:firstLine="640" w:firstLineChars="20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t>公用经费69.57万元，主要包括：办公费、水费、电费、邮电费、差旅费、维修（护）费、租赁费、会议费、培训费、劳务费、工会经费、福利费、其他交通费、其他商品和服务支出等。</w:t>
      </w:r>
    </w:p>
    <w:p w14:paraId="2040E274">
      <w:pPr>
        <w:spacing w:line="600" w:lineRule="exact"/>
        <w:ind w:firstLine="640"/>
        <w:outlineLvl w:val="1"/>
        <w:rPr>
          <w:rStyle w:val="28"/>
          <w:rFonts w:hint="default" w:ascii="Times New Roman" w:hAnsi="Times New Roman" w:eastAsia="黑体" w:cs="Times New Roman"/>
          <w:b w:val="0"/>
        </w:rPr>
      </w:pPr>
      <w:bookmarkStart w:id="66" w:name="_Toc15396609"/>
      <w:bookmarkStart w:id="67" w:name="_Toc24466"/>
      <w:bookmarkStart w:id="68" w:name="_Toc15377215"/>
      <w:bookmarkStart w:id="69" w:name="_Toc25027"/>
      <w:r>
        <w:rPr>
          <w:rFonts w:hint="default" w:ascii="Times New Roman" w:hAnsi="Times New Roman" w:eastAsia="黑体" w:cs="Times New Roman"/>
          <w:sz w:val="32"/>
          <w:szCs w:val="32"/>
        </w:rPr>
        <w:t>七、</w:t>
      </w:r>
      <w:r>
        <w:rPr>
          <w:rStyle w:val="28"/>
          <w:rFonts w:hint="default" w:ascii="Times New Roman" w:hAnsi="Times New Roman" w:eastAsia="黑体" w:cs="Times New Roman"/>
          <w:b w:val="0"/>
        </w:rPr>
        <w:t>财政拨款</w:t>
      </w:r>
      <w:r>
        <w:rPr>
          <w:rStyle w:val="28"/>
          <w:rFonts w:hint="default" w:ascii="Times New Roman" w:hAnsi="Times New Roman" w:eastAsia="黑体" w:cs="Times New Roman"/>
        </w:rPr>
        <w:t>“</w:t>
      </w:r>
      <w:r>
        <w:rPr>
          <w:rStyle w:val="28"/>
          <w:rFonts w:hint="default" w:ascii="Times New Roman" w:hAnsi="Times New Roman" w:eastAsia="黑体" w:cs="Times New Roman"/>
          <w:b w:val="0"/>
        </w:rPr>
        <w:t>三公”经费支出决算情况说明</w:t>
      </w:r>
      <w:bookmarkEnd w:id="66"/>
      <w:bookmarkEnd w:id="67"/>
      <w:bookmarkEnd w:id="68"/>
      <w:bookmarkEnd w:id="69"/>
    </w:p>
    <w:p w14:paraId="7258678A">
      <w:pPr>
        <w:spacing w:line="600" w:lineRule="exact"/>
        <w:ind w:firstLine="640"/>
        <w:outlineLvl w:val="2"/>
        <w:rPr>
          <w:rFonts w:hint="default" w:ascii="Times New Roman" w:hAnsi="Times New Roman" w:eastAsia="仿宋" w:cs="Times New Roman"/>
          <w:b/>
          <w:sz w:val="32"/>
          <w:szCs w:val="32"/>
        </w:rPr>
      </w:pPr>
      <w:bookmarkStart w:id="70" w:name="_Toc15377216"/>
      <w:r>
        <w:rPr>
          <w:rFonts w:hint="default" w:ascii="Times New Roman" w:hAnsi="Times New Roman" w:eastAsia="仿宋" w:cs="Times New Roman"/>
          <w:b/>
          <w:sz w:val="32"/>
          <w:szCs w:val="32"/>
        </w:rPr>
        <w:t>（一）“三公”经费财政拨款支出决算总体情况说明</w:t>
      </w:r>
      <w:bookmarkEnd w:id="70"/>
    </w:p>
    <w:p w14:paraId="78F7FE49">
      <w:pPr>
        <w:spacing w:line="600" w:lineRule="exact"/>
        <w:ind w:firstLine="64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t>2023年度“三公”经费财政拨款支出决算为0万元，完成预算0%，与上年持平度增加。决算数小于预算数的主要原因是我局无公务用车，2023年我局无因公出国（境）及公务接待活动。</w:t>
      </w:r>
    </w:p>
    <w:p w14:paraId="4AC45727">
      <w:pPr>
        <w:spacing w:line="600" w:lineRule="exact"/>
        <w:ind w:firstLine="640"/>
        <w:outlineLvl w:val="2"/>
        <w:rPr>
          <w:rFonts w:hint="default" w:ascii="Times New Roman" w:hAnsi="Times New Roman" w:eastAsia="仿宋" w:cs="Times New Roman"/>
          <w:b/>
          <w:sz w:val="32"/>
          <w:szCs w:val="32"/>
        </w:rPr>
      </w:pPr>
      <w:bookmarkStart w:id="71" w:name="_Toc15377217"/>
      <w:r>
        <w:rPr>
          <w:rFonts w:hint="default" w:ascii="Times New Roman" w:hAnsi="Times New Roman" w:eastAsia="仿宋" w:cs="Times New Roman"/>
          <w:b/>
          <w:sz w:val="32"/>
          <w:szCs w:val="32"/>
        </w:rPr>
        <w:t>（二）“三公”经费财政拨款支出决算具体情况说明</w:t>
      </w:r>
      <w:bookmarkEnd w:id="71"/>
    </w:p>
    <w:p w14:paraId="6DEB7A9B">
      <w:pPr>
        <w:spacing w:line="600" w:lineRule="exact"/>
        <w:ind w:firstLine="64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t>2023年度“三公”经费财政拨款支出决算中，因公出国（境）费支出决算0万元，占0%；公务用车购置及运行维护费支出决算0万元，占0%；公务接待费支出决算0万元，占0%。具体情况如下：</w:t>
      </w:r>
    </w:p>
    <w:p w14:paraId="6897EEB4">
      <w:pPr>
        <w:spacing w:line="600" w:lineRule="exact"/>
        <w:ind w:firstLine="640"/>
        <w:rPr>
          <w:rFonts w:hint="default" w:ascii="Times New Roman" w:hAnsi="Times New Roman" w:eastAsia="仿宋" w:cs="Times New Roman"/>
          <w:sz w:val="32"/>
          <w:szCs w:val="32"/>
        </w:rPr>
      </w:pPr>
      <w:r>
        <w:rPr>
          <w:rFonts w:hint="default" w:ascii="Times New Roman" w:hAnsi="Times New Roman" w:eastAsia="仿宋" w:cs="Times New Roman"/>
          <w:sz w:val="32"/>
          <w:szCs w:val="32"/>
        </w:rPr>
        <w:drawing>
          <wp:anchor distT="0" distB="0" distL="114300" distR="114300" simplePos="0" relativeHeight="251665408" behindDoc="0" locked="0" layoutInCell="1" allowOverlap="1">
            <wp:simplePos x="0" y="0"/>
            <wp:positionH relativeFrom="column">
              <wp:posOffset>41910</wp:posOffset>
            </wp:positionH>
            <wp:positionV relativeFrom="paragraph">
              <wp:posOffset>13335</wp:posOffset>
            </wp:positionV>
            <wp:extent cx="5271135" cy="2441575"/>
            <wp:effectExtent l="0" t="0" r="5715" b="15875"/>
            <wp:wrapSquare wrapText="bothSides"/>
            <wp:docPr id="7" name="图片 7" descr="1729647348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729647348614"/>
                    <pic:cNvPicPr>
                      <a:picLocks noChangeAspect="1"/>
                    </pic:cNvPicPr>
                  </pic:nvPicPr>
                  <pic:blipFill>
                    <a:blip r:embed="rId12"/>
                    <a:stretch>
                      <a:fillRect/>
                    </a:stretch>
                  </pic:blipFill>
                  <pic:spPr>
                    <a:xfrm>
                      <a:off x="0" y="0"/>
                      <a:ext cx="5271135" cy="2441575"/>
                    </a:xfrm>
                    <a:prstGeom prst="rect">
                      <a:avLst/>
                    </a:prstGeom>
                  </pic:spPr>
                </pic:pic>
              </a:graphicData>
            </a:graphic>
          </wp:anchor>
        </w:drawing>
      </w:r>
      <w:r>
        <w:rPr>
          <w:rFonts w:hint="default" w:ascii="Times New Roman" w:hAnsi="Times New Roman" w:eastAsia="仿宋_GB2312" w:cs="Times New Roman"/>
          <w:b/>
          <w:sz w:val="32"/>
          <w:szCs w:val="32"/>
        </w:rPr>
        <w:t>1.因公出国（境）经费支出</w:t>
      </w:r>
      <w:r>
        <w:rPr>
          <w:rFonts w:hint="default" w:ascii="Times New Roman" w:hAnsi="Times New Roman" w:eastAsia="仿宋" w:cs="Times New Roman"/>
          <w:color w:val="auto"/>
          <w:kern w:val="0"/>
          <w:sz w:val="32"/>
          <w:szCs w:val="32"/>
          <w:lang w:val="en-US" w:eastAsia="zh-CN" w:bidi="ar-SA"/>
        </w:rPr>
        <w:t>0万元，完成预算0%。全年安排因公出国（境）团组0次，出国（境）0人。因公出国（境）支出决算比2022年持平。</w:t>
      </w:r>
    </w:p>
    <w:p w14:paraId="5095059A">
      <w:pPr>
        <w:spacing w:line="600" w:lineRule="exact"/>
        <w:ind w:firstLine="640"/>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2.公务用车购置及运行维护费支出</w:t>
      </w:r>
      <w:r>
        <w:rPr>
          <w:rFonts w:hint="default" w:ascii="Times New Roman" w:hAnsi="Times New Roman" w:eastAsia="仿宋" w:cs="Times New Roman"/>
          <w:color w:val="auto"/>
          <w:kern w:val="0"/>
          <w:sz w:val="32"/>
          <w:szCs w:val="32"/>
          <w:lang w:val="en-US" w:eastAsia="zh-CN" w:bidi="ar-SA"/>
        </w:rPr>
        <w:t>0万元,完成预算0%。公务用车购置及运行维护费支出决算比2022年度持平。</w:t>
      </w:r>
    </w:p>
    <w:p w14:paraId="0EA07B46">
      <w:pPr>
        <w:spacing w:line="600" w:lineRule="exact"/>
        <w:ind w:firstLine="640" w:firstLineChars="20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t>其中：</w:t>
      </w:r>
      <w:r>
        <w:rPr>
          <w:rFonts w:hint="default" w:ascii="Times New Roman" w:hAnsi="Times New Roman" w:eastAsia="仿宋_GB2312" w:cs="Times New Roman"/>
          <w:b/>
          <w:sz w:val="32"/>
          <w:szCs w:val="32"/>
        </w:rPr>
        <w:t>公务用车购置支出</w:t>
      </w:r>
      <w:r>
        <w:rPr>
          <w:rFonts w:hint="default" w:ascii="Times New Roman" w:hAnsi="Times New Roman" w:eastAsia="仿宋" w:cs="Times New Roman"/>
          <w:color w:val="auto"/>
          <w:kern w:val="0"/>
          <w:sz w:val="32"/>
          <w:szCs w:val="32"/>
          <w:lang w:val="en-US" w:eastAsia="zh-CN" w:bidi="ar-SA"/>
        </w:rPr>
        <w:t>0万元。全年按规定更新购置公务用车0辆。截至2023年12月31日，单位共有公务用车0辆。</w:t>
      </w:r>
    </w:p>
    <w:p w14:paraId="4D27F668">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公务用车运行维护费支出</w:t>
      </w:r>
      <w:r>
        <w:rPr>
          <w:rFonts w:hint="default" w:ascii="Times New Roman" w:hAnsi="Times New Roman" w:eastAsia="仿宋" w:cs="Times New Roman"/>
          <w:color w:val="auto"/>
          <w:kern w:val="0"/>
          <w:sz w:val="32"/>
          <w:szCs w:val="32"/>
          <w:lang w:val="en-US" w:eastAsia="zh-CN" w:bidi="ar-SA"/>
        </w:rPr>
        <w:t>0万元</w:t>
      </w:r>
      <w:r>
        <w:rPr>
          <w:rFonts w:hint="default" w:ascii="Times New Roman" w:hAnsi="Times New Roman" w:eastAsia="仿宋_GB2312" w:cs="Times New Roman"/>
          <w:sz w:val="32"/>
          <w:szCs w:val="32"/>
        </w:rPr>
        <w:t>。</w:t>
      </w:r>
    </w:p>
    <w:p w14:paraId="1A9837ED">
      <w:pPr>
        <w:spacing w:line="600" w:lineRule="exact"/>
        <w:ind w:firstLine="630" w:firstLineChars="196"/>
        <w:rPr>
          <w:rFonts w:hint="default" w:ascii="Times New Roman" w:hAnsi="Times New Roman" w:eastAsia="仿宋" w:cs="Times New Roman"/>
          <w:sz w:val="32"/>
          <w:szCs w:val="32"/>
        </w:rPr>
      </w:pPr>
      <w:r>
        <w:rPr>
          <w:rFonts w:hint="default" w:ascii="Times New Roman" w:hAnsi="Times New Roman" w:eastAsia="仿宋_GB2312" w:cs="Times New Roman"/>
          <w:b/>
          <w:sz w:val="32"/>
          <w:szCs w:val="32"/>
        </w:rPr>
        <w:t>3.公务接待费支出</w:t>
      </w:r>
      <w:r>
        <w:rPr>
          <w:rFonts w:hint="default" w:ascii="Times New Roman" w:hAnsi="Times New Roman" w:eastAsia="仿宋" w:cs="Times New Roman"/>
          <w:color w:val="auto"/>
          <w:kern w:val="0"/>
          <w:sz w:val="32"/>
          <w:szCs w:val="32"/>
          <w:lang w:val="en-US" w:eastAsia="zh-CN" w:bidi="ar-SA"/>
        </w:rPr>
        <w:t>0万元，完成预算0%。公务接待费支出决算比2022年度持平。其中：</w:t>
      </w:r>
    </w:p>
    <w:p w14:paraId="4C780450">
      <w:pPr>
        <w:spacing w:line="600" w:lineRule="exact"/>
        <w:ind w:firstLine="640"/>
        <w:rPr>
          <w:rFonts w:hint="default" w:ascii="Times New Roman" w:hAnsi="Times New Roman" w:eastAsia="仿宋_GB2312" w:cs="Times New Roman"/>
          <w:sz w:val="32"/>
          <w:szCs w:val="32"/>
        </w:rPr>
      </w:pPr>
      <w:r>
        <w:rPr>
          <w:rFonts w:hint="default" w:ascii="Times New Roman" w:hAnsi="Times New Roman" w:eastAsia="仿宋" w:cs="Times New Roman"/>
          <w:b/>
          <w:sz w:val="32"/>
          <w:szCs w:val="32"/>
        </w:rPr>
        <w:t>国内公务接待支出</w:t>
      </w:r>
      <w:r>
        <w:rPr>
          <w:rFonts w:hint="default" w:ascii="Times New Roman" w:hAnsi="Times New Roman" w:eastAsia="仿宋" w:cs="Times New Roman"/>
          <w:color w:val="auto"/>
          <w:kern w:val="0"/>
          <w:sz w:val="32"/>
          <w:szCs w:val="32"/>
          <w:lang w:val="en-US" w:eastAsia="zh-CN" w:bidi="ar-SA"/>
        </w:rPr>
        <w:t>0万元</w:t>
      </w:r>
      <w:r>
        <w:rPr>
          <w:rFonts w:hint="default" w:ascii="Times New Roman" w:hAnsi="Times New Roman" w:eastAsia="仿宋_GB2312" w:cs="Times New Roman"/>
          <w:sz w:val="32"/>
          <w:szCs w:val="32"/>
        </w:rPr>
        <w:t>。</w:t>
      </w:r>
    </w:p>
    <w:p w14:paraId="3BB27D76">
      <w:pPr>
        <w:spacing w:line="600" w:lineRule="exact"/>
        <w:ind w:firstLine="643" w:firstLineChars="200"/>
        <w:rPr>
          <w:rFonts w:hint="default" w:ascii="Times New Roman" w:hAnsi="Times New Roman" w:eastAsia="仿宋_GB2312" w:cs="Times New Roman"/>
          <w:sz w:val="32"/>
          <w:szCs w:val="32"/>
        </w:rPr>
      </w:pPr>
      <w:r>
        <w:rPr>
          <w:rFonts w:hint="default" w:ascii="Times New Roman" w:hAnsi="Times New Roman" w:eastAsia="仿宋" w:cs="Times New Roman"/>
          <w:b/>
          <w:sz w:val="32"/>
          <w:szCs w:val="32"/>
        </w:rPr>
        <w:t>外事接待支出</w:t>
      </w:r>
      <w:r>
        <w:rPr>
          <w:rFonts w:hint="default" w:ascii="Times New Roman" w:hAnsi="Times New Roman" w:eastAsia="仿宋" w:cs="Times New Roman"/>
          <w:color w:val="auto"/>
          <w:kern w:val="0"/>
          <w:sz w:val="32"/>
          <w:szCs w:val="32"/>
          <w:lang w:val="en-US" w:eastAsia="zh-CN" w:bidi="ar-SA"/>
        </w:rPr>
        <w:t>0万元</w:t>
      </w:r>
      <w:r>
        <w:rPr>
          <w:rFonts w:hint="default" w:ascii="Times New Roman" w:hAnsi="Times New Roman" w:eastAsia="仿宋_GB2312" w:cs="Times New Roman"/>
          <w:sz w:val="32"/>
          <w:szCs w:val="32"/>
        </w:rPr>
        <w:t>。</w:t>
      </w:r>
    </w:p>
    <w:p w14:paraId="610A0BBE">
      <w:pPr>
        <w:spacing w:line="600" w:lineRule="exact"/>
        <w:ind w:firstLine="640"/>
        <w:outlineLvl w:val="1"/>
        <w:rPr>
          <w:rStyle w:val="28"/>
          <w:rFonts w:hint="default" w:ascii="Times New Roman" w:hAnsi="Times New Roman" w:eastAsia="黑体" w:cs="Times New Roman"/>
        </w:rPr>
      </w:pPr>
      <w:bookmarkStart w:id="72" w:name="_Toc15377218"/>
      <w:bookmarkStart w:id="73" w:name="_Toc5518"/>
      <w:bookmarkStart w:id="74" w:name="_Toc15396610"/>
      <w:bookmarkStart w:id="75" w:name="_Toc31210"/>
      <w:r>
        <w:rPr>
          <w:rFonts w:hint="default" w:ascii="Times New Roman" w:hAnsi="Times New Roman" w:eastAsia="黑体" w:cs="Times New Roman"/>
          <w:sz w:val="32"/>
          <w:szCs w:val="32"/>
        </w:rPr>
        <w:t>八、</w:t>
      </w:r>
      <w:r>
        <w:rPr>
          <w:rStyle w:val="28"/>
          <w:rFonts w:hint="default" w:ascii="Times New Roman" w:hAnsi="Times New Roman" w:eastAsia="黑体" w:cs="Times New Roman"/>
          <w:b w:val="0"/>
        </w:rPr>
        <w:t>政府性基金预算支出决算情况说明</w:t>
      </w:r>
      <w:bookmarkEnd w:id="72"/>
      <w:bookmarkEnd w:id="73"/>
      <w:bookmarkEnd w:id="74"/>
      <w:bookmarkEnd w:id="75"/>
    </w:p>
    <w:p w14:paraId="54FADA06">
      <w:pPr>
        <w:spacing w:line="600" w:lineRule="exact"/>
        <w:ind w:firstLine="64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t>2023年度政府性基金预算财政拨款支出0万元。</w:t>
      </w:r>
    </w:p>
    <w:p w14:paraId="490E4251">
      <w:pPr>
        <w:numPr>
          <w:ilvl w:val="0"/>
          <w:numId w:val="1"/>
        </w:numPr>
        <w:spacing w:line="600" w:lineRule="exact"/>
        <w:ind w:firstLine="640"/>
        <w:outlineLvl w:val="1"/>
        <w:rPr>
          <w:rStyle w:val="28"/>
          <w:rFonts w:hint="default" w:ascii="Times New Roman" w:hAnsi="Times New Roman" w:eastAsia="黑体" w:cs="Times New Roman"/>
          <w:b w:val="0"/>
        </w:rPr>
      </w:pPr>
      <w:bookmarkStart w:id="76" w:name="_Toc15377219"/>
      <w:bookmarkStart w:id="77" w:name="_Toc15396611"/>
      <w:bookmarkStart w:id="78" w:name="_Toc12769"/>
      <w:bookmarkStart w:id="79" w:name="_Toc26415"/>
      <w:r>
        <w:rPr>
          <w:rStyle w:val="28"/>
          <w:rFonts w:hint="default" w:ascii="Times New Roman" w:hAnsi="Times New Roman" w:eastAsia="黑体" w:cs="Times New Roman"/>
          <w:b w:val="0"/>
        </w:rPr>
        <w:t>国有资本经营预算支出决算情况说明</w:t>
      </w:r>
      <w:bookmarkEnd w:id="76"/>
      <w:bookmarkEnd w:id="77"/>
      <w:bookmarkEnd w:id="78"/>
      <w:bookmarkEnd w:id="79"/>
    </w:p>
    <w:p w14:paraId="5EDF17BA">
      <w:pPr>
        <w:spacing w:line="600" w:lineRule="exact"/>
        <w:ind w:firstLine="64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t>2023年度国有资本经营预算财政拨款支出0万元。</w:t>
      </w:r>
    </w:p>
    <w:p w14:paraId="16296842">
      <w:pPr>
        <w:numPr>
          <w:ilvl w:val="0"/>
          <w:numId w:val="1"/>
        </w:numPr>
        <w:spacing w:line="600" w:lineRule="exact"/>
        <w:ind w:firstLine="640"/>
        <w:outlineLvl w:val="1"/>
        <w:rPr>
          <w:rStyle w:val="28"/>
          <w:rFonts w:hint="default" w:ascii="Times New Roman" w:hAnsi="Times New Roman" w:eastAsia="黑体" w:cs="Times New Roman"/>
          <w:b w:val="0"/>
        </w:rPr>
      </w:pPr>
      <w:bookmarkStart w:id="80" w:name="_Toc15377221"/>
      <w:bookmarkStart w:id="81" w:name="_Toc2823"/>
      <w:bookmarkStart w:id="82" w:name="_Toc15396612"/>
      <w:bookmarkStart w:id="83" w:name="_Toc6755"/>
      <w:r>
        <w:rPr>
          <w:rStyle w:val="28"/>
          <w:rFonts w:hint="default" w:ascii="Times New Roman" w:hAnsi="Times New Roman" w:eastAsia="黑体" w:cs="Times New Roman"/>
          <w:b w:val="0"/>
        </w:rPr>
        <w:t>其他重要事项的情况说明</w:t>
      </w:r>
      <w:bookmarkEnd w:id="80"/>
      <w:bookmarkEnd w:id="81"/>
      <w:bookmarkEnd w:id="82"/>
      <w:bookmarkEnd w:id="83"/>
    </w:p>
    <w:p w14:paraId="59172F40">
      <w:pPr>
        <w:spacing w:line="600" w:lineRule="exact"/>
        <w:ind w:firstLine="643" w:firstLineChars="200"/>
        <w:outlineLvl w:val="2"/>
        <w:rPr>
          <w:rFonts w:hint="default" w:ascii="Times New Roman" w:hAnsi="Times New Roman" w:eastAsia="仿宋" w:cs="Times New Roman"/>
          <w:sz w:val="32"/>
          <w:szCs w:val="32"/>
        </w:rPr>
      </w:pPr>
      <w:bookmarkStart w:id="84" w:name="_Toc15377222"/>
      <w:r>
        <w:rPr>
          <w:rFonts w:hint="default" w:ascii="Times New Roman" w:hAnsi="Times New Roman" w:eastAsia="仿宋" w:cs="Times New Roman"/>
          <w:b/>
          <w:sz w:val="32"/>
          <w:szCs w:val="32"/>
        </w:rPr>
        <w:t>（一）机关运行经费支出情况</w:t>
      </w:r>
      <w:bookmarkEnd w:id="84"/>
    </w:p>
    <w:p w14:paraId="753CDDFD">
      <w:pPr>
        <w:spacing w:line="600" w:lineRule="exact"/>
        <w:ind w:firstLine="640" w:firstLineChars="20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t>2023年度，盐边县行政审批局机关运行经费支出69.56万元，比2022年度减少22.38万元，下降24.34%。主要原因是2023年将食堂以项目整体外包，劳务费支出减少。</w:t>
      </w:r>
    </w:p>
    <w:p w14:paraId="5205B383">
      <w:pPr>
        <w:autoSpaceDE w:val="0"/>
        <w:autoSpaceDN w:val="0"/>
        <w:adjustRightInd w:val="0"/>
        <w:spacing w:line="600" w:lineRule="exact"/>
        <w:ind w:firstLine="643" w:firstLineChars="200"/>
        <w:jc w:val="left"/>
        <w:outlineLvl w:val="2"/>
        <w:rPr>
          <w:rFonts w:hint="default" w:ascii="Times New Roman" w:hAnsi="Times New Roman" w:eastAsia="仿宋" w:cs="Times New Roman"/>
          <w:b/>
          <w:sz w:val="32"/>
          <w:szCs w:val="32"/>
        </w:rPr>
      </w:pPr>
      <w:bookmarkStart w:id="85" w:name="_Toc15377223"/>
      <w:r>
        <w:rPr>
          <w:rFonts w:hint="default" w:ascii="Times New Roman" w:hAnsi="Times New Roman" w:eastAsia="仿宋" w:cs="Times New Roman"/>
          <w:b/>
          <w:sz w:val="32"/>
          <w:szCs w:val="32"/>
        </w:rPr>
        <w:t>（二）政府采购支出情况</w:t>
      </w:r>
      <w:bookmarkEnd w:id="85"/>
    </w:p>
    <w:p w14:paraId="37C5833E">
      <w:pPr>
        <w:spacing w:line="600" w:lineRule="exact"/>
        <w:ind w:firstLine="640" w:firstLineChars="20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t>2023年度，盐边县行政审批局政府采购支出总额419.06万元，其中：政府采购货物支出321.06万元、政府采购工程支出0万元、政府采购服务支出98万元。主要用于：县政府采购中心代全县各单位采购货物及服务。授予中小企业合同金额419.06万元，占政府采购支出总额的100%，其中：授予小微企业合同金额101.06万元，占政府采购支出总额的24.11%。</w:t>
      </w:r>
    </w:p>
    <w:p w14:paraId="70713AA9">
      <w:pPr>
        <w:autoSpaceDE w:val="0"/>
        <w:autoSpaceDN w:val="0"/>
        <w:adjustRightInd w:val="0"/>
        <w:spacing w:line="600" w:lineRule="exact"/>
        <w:ind w:firstLine="643" w:firstLineChars="200"/>
        <w:jc w:val="left"/>
        <w:outlineLvl w:val="2"/>
        <w:rPr>
          <w:rFonts w:hint="default" w:ascii="Times New Roman" w:hAnsi="Times New Roman" w:eastAsia="仿宋" w:cs="Times New Roman"/>
          <w:b/>
          <w:sz w:val="32"/>
          <w:szCs w:val="32"/>
        </w:rPr>
      </w:pPr>
      <w:bookmarkStart w:id="86" w:name="_Toc15377224"/>
      <w:r>
        <w:rPr>
          <w:rFonts w:hint="default" w:ascii="Times New Roman" w:hAnsi="Times New Roman" w:eastAsia="仿宋" w:cs="Times New Roman"/>
          <w:b/>
          <w:sz w:val="32"/>
          <w:szCs w:val="32"/>
        </w:rPr>
        <w:t>（三）国有资产占有使用情况</w:t>
      </w:r>
      <w:bookmarkEnd w:id="86"/>
    </w:p>
    <w:p w14:paraId="0A7C0FDF">
      <w:pPr>
        <w:autoSpaceDE w:val="0"/>
        <w:autoSpaceDN w:val="0"/>
        <w:adjustRightInd w:val="0"/>
        <w:spacing w:line="600" w:lineRule="exact"/>
        <w:ind w:firstLine="640" w:firstLineChars="200"/>
        <w:jc w:val="left"/>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t>截至2023年12月31日，盐边县行政审批局共有车辆0辆，其中：主要领导干部用车0辆、机要通信用车0辆、应急保障用车0辆、其他用车0辆。单价100万元以上设备（不含车辆）0台（套）。</w:t>
      </w:r>
    </w:p>
    <w:p w14:paraId="1B004B68">
      <w:pPr>
        <w:autoSpaceDE w:val="0"/>
        <w:autoSpaceDN w:val="0"/>
        <w:adjustRightInd w:val="0"/>
        <w:spacing w:line="600" w:lineRule="exact"/>
        <w:ind w:firstLine="643" w:firstLineChars="200"/>
        <w:jc w:val="left"/>
        <w:outlineLvl w:val="2"/>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（四）预算绩效管理情况</w:t>
      </w:r>
    </w:p>
    <w:p w14:paraId="40932720">
      <w:pPr>
        <w:spacing w:line="580" w:lineRule="exact"/>
        <w:ind w:firstLine="640" w:firstLineChars="20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t>根据预算绩效管理要求，本</w:t>
      </w:r>
      <w:r>
        <w:rPr>
          <w:rFonts w:hint="eastAsia" w:eastAsia="仿宋" w:cs="Times New Roman"/>
          <w:color w:val="auto"/>
          <w:kern w:val="0"/>
          <w:sz w:val="32"/>
          <w:szCs w:val="32"/>
          <w:lang w:val="en-US" w:eastAsia="zh-CN" w:bidi="ar-SA"/>
        </w:rPr>
        <w:t>单位</w:t>
      </w:r>
      <w:r>
        <w:rPr>
          <w:rFonts w:hint="default" w:ascii="Times New Roman" w:hAnsi="Times New Roman" w:eastAsia="仿宋" w:cs="Times New Roman"/>
          <w:color w:val="auto"/>
          <w:kern w:val="0"/>
          <w:sz w:val="32"/>
          <w:szCs w:val="32"/>
          <w:lang w:val="en-US" w:eastAsia="zh-CN" w:bidi="ar-SA"/>
        </w:rPr>
        <w:t>在2023年度预算编制阶段，组织对农村产权交易平台服务费、部门进驻政务中心人员经费等9个项目开展了预算事前绩效评估，对在编人员经费（行政）、在编人员经费（事业）、工资性支出（行政）、工资性支出（事业）、网络租赁费、政府采购专家评审劳务费等39个项目编制了绩效目标，预算执行过程中，选取9个项目开展绩效监控。</w:t>
      </w:r>
    </w:p>
    <w:p w14:paraId="3FB026BE">
      <w:pPr>
        <w:spacing w:line="580" w:lineRule="exact"/>
        <w:ind w:firstLine="640" w:firstLineChars="20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t>组织对2023年度一般公共预算资金全面开展绩效自评，形成盐边县行政审批局</w:t>
      </w:r>
      <w:r>
        <w:rPr>
          <w:rFonts w:hint="eastAsia" w:eastAsia="仿宋" w:cs="Times New Roman"/>
          <w:color w:val="auto"/>
          <w:kern w:val="0"/>
          <w:sz w:val="32"/>
          <w:szCs w:val="32"/>
          <w:lang w:val="en-US" w:eastAsia="zh-CN" w:bidi="ar-SA"/>
        </w:rPr>
        <w:t>单位</w:t>
      </w:r>
      <w:r>
        <w:rPr>
          <w:rFonts w:hint="default" w:ascii="Times New Roman" w:hAnsi="Times New Roman" w:eastAsia="仿宋" w:cs="Times New Roman"/>
          <w:color w:val="auto"/>
          <w:kern w:val="0"/>
          <w:sz w:val="32"/>
          <w:szCs w:val="32"/>
          <w:lang w:val="en-US" w:eastAsia="zh-CN" w:bidi="ar-SA"/>
        </w:rPr>
        <w:t>整体（含</w:t>
      </w:r>
      <w:r>
        <w:rPr>
          <w:rFonts w:hint="eastAsia" w:eastAsia="仿宋" w:cs="Times New Roman"/>
          <w:color w:val="auto"/>
          <w:kern w:val="0"/>
          <w:sz w:val="32"/>
          <w:szCs w:val="32"/>
          <w:lang w:val="en-US" w:eastAsia="zh-CN" w:bidi="ar-SA"/>
        </w:rPr>
        <w:t>单位</w:t>
      </w:r>
      <w:r>
        <w:rPr>
          <w:rFonts w:hint="default" w:ascii="Times New Roman" w:hAnsi="Times New Roman" w:eastAsia="仿宋" w:cs="Times New Roman"/>
          <w:color w:val="auto"/>
          <w:kern w:val="0"/>
          <w:sz w:val="32"/>
          <w:szCs w:val="32"/>
          <w:lang w:val="en-US" w:eastAsia="zh-CN" w:bidi="ar-SA"/>
        </w:rPr>
        <w:t>预算项目）绩效自评报告，其中，盐边县行政审批局</w:t>
      </w:r>
      <w:r>
        <w:rPr>
          <w:rFonts w:hint="eastAsia" w:eastAsia="仿宋" w:cs="Times New Roman"/>
          <w:color w:val="auto"/>
          <w:kern w:val="0"/>
          <w:sz w:val="32"/>
          <w:szCs w:val="32"/>
          <w:lang w:val="en-US" w:eastAsia="zh-CN" w:bidi="ar-SA"/>
        </w:rPr>
        <w:t>单位</w:t>
      </w:r>
      <w:r>
        <w:rPr>
          <w:rFonts w:hint="default" w:ascii="Times New Roman" w:hAnsi="Times New Roman" w:eastAsia="仿宋" w:cs="Times New Roman"/>
          <w:color w:val="auto"/>
          <w:kern w:val="0"/>
          <w:sz w:val="32"/>
          <w:szCs w:val="32"/>
          <w:lang w:val="en-US" w:eastAsia="zh-CN" w:bidi="ar-SA"/>
        </w:rPr>
        <w:t>整体绩效自评得分为100分，绩效自评综述：</w:t>
      </w:r>
      <w:r>
        <w:rPr>
          <w:rFonts w:hint="default" w:ascii="Times New Roman" w:hAnsi="Times New Roman" w:eastAsia="仿宋" w:cs="Times New Roman"/>
          <w:color w:val="auto"/>
          <w:kern w:val="0"/>
          <w:sz w:val="32"/>
          <w:szCs w:val="32"/>
          <w:lang w:val="zh-CN" w:eastAsia="zh-CN" w:bidi="ar-SA"/>
        </w:rPr>
        <w:t>20</w:t>
      </w:r>
      <w:r>
        <w:rPr>
          <w:rFonts w:hint="default" w:ascii="Times New Roman" w:hAnsi="Times New Roman" w:eastAsia="仿宋" w:cs="Times New Roman"/>
          <w:color w:val="auto"/>
          <w:kern w:val="0"/>
          <w:sz w:val="32"/>
          <w:szCs w:val="32"/>
          <w:lang w:val="en-US" w:eastAsia="zh-CN" w:bidi="ar-SA"/>
        </w:rPr>
        <w:t>23</w:t>
      </w:r>
      <w:r>
        <w:rPr>
          <w:rFonts w:hint="default" w:ascii="Times New Roman" w:hAnsi="Times New Roman" w:eastAsia="仿宋" w:cs="Times New Roman"/>
          <w:color w:val="auto"/>
          <w:kern w:val="0"/>
          <w:sz w:val="32"/>
          <w:szCs w:val="32"/>
          <w:lang w:val="zh-CN" w:eastAsia="zh-CN" w:bidi="ar-SA"/>
        </w:rPr>
        <w:t>年，从整体情况来看，我单位在预算编制、预算执行、支出绩效方面，严格按照规定执行，涉及“三重一大”事项经局党组会讨论决定。严格按照资金管理办法，做到项目资金专款专用，无截留、无挪用等现象，使财政资金发挥最大使用效益。经综合评价，盐边县行政审批局202</w:t>
      </w:r>
      <w:r>
        <w:rPr>
          <w:rFonts w:hint="default" w:ascii="Times New Roman" w:hAnsi="Times New Roman" w:eastAsia="仿宋" w:cs="Times New Roman"/>
          <w:color w:val="auto"/>
          <w:kern w:val="0"/>
          <w:sz w:val="32"/>
          <w:szCs w:val="32"/>
          <w:lang w:val="en-US" w:eastAsia="zh-CN" w:bidi="ar-SA"/>
        </w:rPr>
        <w:t>3</w:t>
      </w:r>
      <w:r>
        <w:rPr>
          <w:rFonts w:hint="default" w:ascii="Times New Roman" w:hAnsi="Times New Roman" w:eastAsia="仿宋" w:cs="Times New Roman"/>
          <w:color w:val="auto"/>
          <w:kern w:val="0"/>
          <w:sz w:val="32"/>
          <w:szCs w:val="32"/>
          <w:lang w:val="zh-CN" w:eastAsia="zh-CN" w:bidi="ar-SA"/>
        </w:rPr>
        <w:t>年度</w:t>
      </w:r>
      <w:r>
        <w:rPr>
          <w:rFonts w:hint="eastAsia" w:eastAsia="仿宋" w:cs="Times New Roman"/>
          <w:color w:val="auto"/>
          <w:kern w:val="0"/>
          <w:sz w:val="32"/>
          <w:szCs w:val="32"/>
          <w:lang w:val="zh-CN" w:eastAsia="zh-CN" w:bidi="ar-SA"/>
        </w:rPr>
        <w:t>单位</w:t>
      </w:r>
      <w:r>
        <w:rPr>
          <w:rFonts w:hint="default" w:ascii="Times New Roman" w:hAnsi="Times New Roman" w:eastAsia="仿宋" w:cs="Times New Roman"/>
          <w:color w:val="auto"/>
          <w:kern w:val="0"/>
          <w:sz w:val="32"/>
          <w:szCs w:val="32"/>
          <w:lang w:val="zh-CN" w:eastAsia="zh-CN" w:bidi="ar-SA"/>
        </w:rPr>
        <w:t>预算整体绩效达到年初预期。</w:t>
      </w:r>
      <w:r>
        <w:rPr>
          <w:rFonts w:hint="default" w:ascii="Times New Roman" w:hAnsi="Times New Roman" w:eastAsia="仿宋" w:cs="Times New Roman"/>
          <w:color w:val="auto"/>
          <w:kern w:val="0"/>
          <w:sz w:val="32"/>
          <w:szCs w:val="32"/>
          <w:lang w:val="en-US" w:eastAsia="zh-CN" w:bidi="ar-SA"/>
        </w:rPr>
        <w:t>绩效自评报告详见附件。</w:t>
      </w:r>
    </w:p>
    <w:p w14:paraId="04C983EA">
      <w:pPr>
        <w:rPr>
          <w:rFonts w:hint="default" w:ascii="Times New Roman" w:hAnsi="Times New Roman" w:cs="Times New Roman"/>
        </w:rPr>
      </w:pPr>
    </w:p>
    <w:p w14:paraId="3F845449">
      <w:pPr>
        <w:rPr>
          <w:rFonts w:hint="default" w:ascii="Times New Roman" w:hAnsi="Times New Roman" w:cs="Times New Roman"/>
        </w:rPr>
      </w:pPr>
      <w:r>
        <w:rPr>
          <w:rFonts w:hint="default" w:ascii="Times New Roman" w:hAnsi="Times New Roman" w:cs="Times New Roman"/>
        </w:rPr>
        <w:br w:type="page"/>
      </w:r>
    </w:p>
    <w:p w14:paraId="330257FF">
      <w:pPr>
        <w:pStyle w:val="2"/>
        <w:jc w:val="center"/>
        <w:rPr>
          <w:rFonts w:hint="default" w:ascii="Times New Roman" w:hAnsi="Times New Roman" w:cs="Times New Roman"/>
        </w:rPr>
      </w:pPr>
      <w:bookmarkStart w:id="87" w:name="_Toc31333"/>
      <w:bookmarkStart w:id="88" w:name="_Toc31531"/>
      <w:r>
        <w:rPr>
          <w:rFonts w:hint="default" w:ascii="Times New Roman" w:hAnsi="Times New Roman" w:cs="Times New Roman"/>
        </w:rPr>
        <w:t>第三部分 名词解释</w:t>
      </w:r>
      <w:bookmarkEnd w:id="87"/>
      <w:bookmarkEnd w:id="88"/>
    </w:p>
    <w:p w14:paraId="5C6C34CC">
      <w:pPr>
        <w:rPr>
          <w:rFonts w:hint="default" w:ascii="Times New Roman" w:hAnsi="Times New Roman" w:cs="Times New Roman"/>
        </w:rPr>
      </w:pPr>
    </w:p>
    <w:p w14:paraId="3787A84D">
      <w:pPr>
        <w:pStyle w:val="25"/>
        <w:spacing w:line="560" w:lineRule="exact"/>
        <w:ind w:firstLine="640" w:firstLineChars="200"/>
        <w:outlineLvl w:val="1"/>
        <w:rPr>
          <w:rFonts w:hint="default" w:ascii="Times New Roman" w:hAnsi="Times New Roman" w:eastAsia="仿宋" w:cs="Times New Roman"/>
          <w:color w:val="auto"/>
          <w:kern w:val="0"/>
          <w:sz w:val="32"/>
          <w:szCs w:val="32"/>
          <w:lang w:val="en-US" w:eastAsia="zh-CN" w:bidi="ar-SA"/>
        </w:rPr>
      </w:pPr>
      <w:bookmarkStart w:id="89" w:name="_Toc23770"/>
      <w:bookmarkStart w:id="90" w:name="_Toc605"/>
      <w:bookmarkStart w:id="91" w:name="_Toc26457"/>
      <w:bookmarkStart w:id="92" w:name="_Toc27719"/>
      <w:r>
        <w:rPr>
          <w:rFonts w:hint="default" w:ascii="Times New Roman" w:hAnsi="Times New Roman" w:eastAsia="楷体_GB2312" w:cs="Times New Roman"/>
          <w:color w:val="000000"/>
          <w:kern w:val="0"/>
          <w:sz w:val="32"/>
          <w:szCs w:val="32"/>
          <w:shd w:val="clear" w:color="auto" w:fill="FFFFFF"/>
          <w:lang w:val="en-US" w:eastAsia="zh-CN" w:bidi="ar-SA"/>
        </w:rPr>
        <w:t>1.</w:t>
      </w:r>
      <w:r>
        <w:rPr>
          <w:rFonts w:hint="default" w:ascii="Times New Roman" w:hAnsi="Times New Roman" w:eastAsia="仿宋" w:cs="Times New Roman"/>
          <w:color w:val="auto"/>
          <w:kern w:val="0"/>
          <w:sz w:val="32"/>
          <w:szCs w:val="32"/>
          <w:lang w:val="en-US" w:eastAsia="zh-CN" w:bidi="ar-SA"/>
        </w:rPr>
        <w:t>财政拨款收入：指单位从同级财政部门取得的财政预算资金。</w:t>
      </w:r>
      <w:bookmarkEnd w:id="89"/>
      <w:bookmarkEnd w:id="90"/>
      <w:bookmarkEnd w:id="91"/>
      <w:bookmarkEnd w:id="92"/>
    </w:p>
    <w:p w14:paraId="7509DEFC">
      <w:pPr>
        <w:pStyle w:val="25"/>
        <w:spacing w:line="560" w:lineRule="exact"/>
        <w:ind w:firstLine="640" w:firstLineChars="200"/>
        <w:rPr>
          <w:rFonts w:hint="default" w:ascii="Times New Roman" w:hAnsi="Times New Roman" w:eastAsia="仿宋" w:cs="Times New Roman"/>
          <w:color w:val="auto"/>
          <w:kern w:val="0"/>
          <w:sz w:val="32"/>
          <w:szCs w:val="32"/>
          <w:lang w:val="en-US" w:eastAsia="zh-CN" w:bidi="ar-SA"/>
        </w:rPr>
      </w:pPr>
      <w:bookmarkStart w:id="93" w:name="_Toc24753"/>
      <w:r>
        <w:rPr>
          <w:rFonts w:hint="default" w:ascii="Times New Roman" w:hAnsi="Times New Roman" w:eastAsia="楷体_GB2312" w:cs="Times New Roman"/>
          <w:color w:val="000000"/>
          <w:kern w:val="0"/>
          <w:sz w:val="32"/>
          <w:szCs w:val="32"/>
          <w:shd w:val="clear" w:color="auto" w:fill="FFFFFF"/>
          <w:lang w:val="en-US" w:eastAsia="zh-CN" w:bidi="ar-SA"/>
        </w:rPr>
        <w:t>2.</w:t>
      </w:r>
      <w:r>
        <w:rPr>
          <w:rFonts w:hint="default" w:ascii="Times New Roman" w:hAnsi="Times New Roman" w:eastAsia="仿宋" w:cs="Times New Roman"/>
          <w:color w:val="auto"/>
          <w:kern w:val="0"/>
          <w:sz w:val="32"/>
          <w:szCs w:val="32"/>
          <w:lang w:val="en-US" w:eastAsia="zh-CN" w:bidi="ar-SA"/>
        </w:rPr>
        <w:t>一般公共服务（类）政府办公厅(室)及相关机构事务（款）</w:t>
      </w:r>
      <w:bookmarkEnd w:id="93"/>
      <w:r>
        <w:rPr>
          <w:rFonts w:hint="default" w:ascii="Times New Roman" w:hAnsi="Times New Roman" w:eastAsia="仿宋" w:cs="Times New Roman"/>
          <w:color w:val="auto"/>
          <w:kern w:val="0"/>
          <w:sz w:val="32"/>
          <w:szCs w:val="32"/>
          <w:lang w:val="en-US" w:eastAsia="zh-CN" w:bidi="ar-SA"/>
        </w:rPr>
        <w:t>行政运行（项）:指行政单位（包括实行公务员管理的事业单位）的基本支出。</w:t>
      </w:r>
    </w:p>
    <w:p w14:paraId="76E0F08A">
      <w:pPr>
        <w:pStyle w:val="25"/>
        <w:spacing w:line="560" w:lineRule="exact"/>
        <w:ind w:firstLine="640" w:firstLineChars="20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楷体_GB2312" w:cs="Times New Roman"/>
          <w:color w:val="000000"/>
          <w:kern w:val="0"/>
          <w:sz w:val="32"/>
          <w:szCs w:val="32"/>
          <w:shd w:val="clear" w:color="auto" w:fill="FFFFFF"/>
          <w:lang w:val="en-US" w:eastAsia="zh-CN" w:bidi="ar-SA"/>
        </w:rPr>
        <w:t>3.</w:t>
      </w:r>
      <w:r>
        <w:rPr>
          <w:rFonts w:hint="default" w:ascii="Times New Roman" w:hAnsi="Times New Roman" w:eastAsia="仿宋" w:cs="Times New Roman"/>
          <w:color w:val="auto"/>
          <w:kern w:val="0"/>
          <w:sz w:val="32"/>
          <w:szCs w:val="32"/>
          <w:lang w:val="en-US" w:eastAsia="zh-CN" w:bidi="ar-SA"/>
        </w:rPr>
        <w:t>一般公共服务（类）政府办公厅(室)及相关机构事务（款）一般行政管理事务（项）:指反映行政单位未单独设置项级科目的其他项目支出。</w:t>
      </w:r>
    </w:p>
    <w:p w14:paraId="4CB561E4">
      <w:pPr>
        <w:pStyle w:val="25"/>
        <w:spacing w:line="560" w:lineRule="exact"/>
        <w:ind w:firstLine="640" w:firstLineChars="20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楷体_GB2312" w:cs="Times New Roman"/>
          <w:color w:val="000000"/>
          <w:kern w:val="0"/>
          <w:sz w:val="32"/>
          <w:szCs w:val="32"/>
          <w:shd w:val="clear" w:color="auto" w:fill="FFFFFF"/>
          <w:lang w:val="en-US" w:eastAsia="zh-CN" w:bidi="ar-SA"/>
        </w:rPr>
        <w:t>4.</w:t>
      </w:r>
      <w:r>
        <w:rPr>
          <w:rFonts w:hint="default" w:ascii="Times New Roman" w:hAnsi="Times New Roman" w:eastAsia="仿宋" w:cs="Times New Roman"/>
          <w:color w:val="auto"/>
          <w:kern w:val="0"/>
          <w:sz w:val="32"/>
          <w:szCs w:val="32"/>
          <w:lang w:val="en-US" w:eastAsia="zh-CN" w:bidi="ar-SA"/>
        </w:rPr>
        <w:t>一般公共服务（类）政府办公厅(室)及相关机构事务（款）事业运行（项）：指事业单位的基本支出。不包括行政单位（包括实行公务员管理的事业单位）后勤服务中心、医务室等附属事业单位。</w:t>
      </w:r>
    </w:p>
    <w:p w14:paraId="6B87A7E1">
      <w:pPr>
        <w:pStyle w:val="25"/>
        <w:spacing w:line="560" w:lineRule="exact"/>
        <w:ind w:firstLine="640" w:firstLineChars="200"/>
        <w:outlineLvl w:val="1"/>
        <w:rPr>
          <w:rFonts w:hint="default" w:ascii="Times New Roman" w:hAnsi="Times New Roman" w:eastAsia="仿宋" w:cs="Times New Roman"/>
          <w:color w:val="auto"/>
          <w:kern w:val="0"/>
          <w:sz w:val="32"/>
          <w:szCs w:val="32"/>
          <w:lang w:val="en-US" w:eastAsia="zh-CN" w:bidi="ar-SA"/>
        </w:rPr>
      </w:pPr>
      <w:bookmarkStart w:id="94" w:name="_Toc10540"/>
      <w:bookmarkStart w:id="95" w:name="_Toc7011"/>
      <w:bookmarkStart w:id="96" w:name="_Toc1374"/>
      <w:bookmarkStart w:id="97" w:name="_Toc15919"/>
      <w:r>
        <w:rPr>
          <w:rFonts w:hint="default" w:ascii="Times New Roman" w:hAnsi="Times New Roman" w:eastAsia="楷体_GB2312" w:cs="Times New Roman"/>
          <w:color w:val="000000"/>
          <w:kern w:val="0"/>
          <w:sz w:val="32"/>
          <w:szCs w:val="32"/>
          <w:shd w:val="clear" w:color="auto" w:fill="FFFFFF"/>
          <w:lang w:val="en-US" w:eastAsia="zh-CN" w:bidi="ar-SA"/>
        </w:rPr>
        <w:t>5.</w:t>
      </w:r>
      <w:r>
        <w:rPr>
          <w:rFonts w:hint="default" w:ascii="Times New Roman" w:hAnsi="Times New Roman" w:eastAsia="仿宋" w:cs="Times New Roman"/>
          <w:color w:val="auto"/>
          <w:kern w:val="0"/>
          <w:sz w:val="32"/>
          <w:szCs w:val="32"/>
          <w:lang w:val="en-US" w:eastAsia="zh-CN" w:bidi="ar-SA"/>
        </w:rPr>
        <w:t>社会保障和就业（类）行政事业单位离退休（款）</w:t>
      </w:r>
      <w:bookmarkEnd w:id="94"/>
      <w:r>
        <w:rPr>
          <w:rFonts w:hint="default" w:ascii="Times New Roman" w:hAnsi="Times New Roman" w:eastAsia="仿宋" w:cs="Times New Roman"/>
          <w:color w:val="auto"/>
          <w:kern w:val="0"/>
          <w:sz w:val="32"/>
          <w:szCs w:val="32"/>
          <w:lang w:val="en-US" w:eastAsia="zh-CN" w:bidi="ar-SA"/>
        </w:rPr>
        <w:t>行政单位离退休（项）：反映行政单位（包括实行公务员管理的事业单位）开支的离退休经费。</w:t>
      </w:r>
      <w:bookmarkEnd w:id="95"/>
      <w:bookmarkEnd w:id="96"/>
      <w:bookmarkEnd w:id="97"/>
    </w:p>
    <w:p w14:paraId="2ABEA19B">
      <w:pPr>
        <w:pStyle w:val="25"/>
        <w:spacing w:line="560" w:lineRule="exact"/>
        <w:ind w:firstLine="640" w:firstLineChars="20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楷体_GB2312" w:cs="Times New Roman"/>
          <w:color w:val="000000"/>
          <w:kern w:val="0"/>
          <w:sz w:val="32"/>
          <w:szCs w:val="32"/>
          <w:shd w:val="clear" w:color="auto" w:fill="FFFFFF"/>
          <w:lang w:val="en-US" w:eastAsia="zh-CN" w:bidi="ar-SA"/>
        </w:rPr>
        <w:t>6.</w:t>
      </w:r>
      <w:r>
        <w:rPr>
          <w:rFonts w:hint="default" w:ascii="Times New Roman" w:hAnsi="Times New Roman" w:eastAsia="仿宋" w:cs="Times New Roman"/>
          <w:color w:val="auto"/>
          <w:kern w:val="0"/>
          <w:sz w:val="32"/>
          <w:szCs w:val="32"/>
          <w:lang w:val="en-US" w:eastAsia="zh-CN" w:bidi="ar-SA"/>
        </w:rPr>
        <w:t>社会保障和就业（类）行政事业单位离退休（款）机关事业单位基本养老保险缴费支出（项）：指机关事业单位实施养老保险制度有单位缴纳的基本养老保险费支出。</w:t>
      </w:r>
    </w:p>
    <w:p w14:paraId="00C18AED">
      <w:pPr>
        <w:spacing w:line="560" w:lineRule="exact"/>
        <w:ind w:firstLine="640" w:firstLineChars="200"/>
        <w:outlineLvl w:val="1"/>
        <w:rPr>
          <w:rFonts w:hint="default" w:ascii="Times New Roman" w:hAnsi="Times New Roman" w:eastAsia="仿宋" w:cs="Times New Roman"/>
          <w:color w:val="auto"/>
          <w:kern w:val="0"/>
          <w:sz w:val="32"/>
          <w:szCs w:val="32"/>
          <w:lang w:val="en-US" w:eastAsia="zh-CN" w:bidi="ar-SA"/>
        </w:rPr>
      </w:pPr>
      <w:bookmarkStart w:id="98" w:name="_Toc16711"/>
      <w:bookmarkStart w:id="99" w:name="_Toc15004"/>
      <w:bookmarkStart w:id="100" w:name="_Toc8660"/>
      <w:bookmarkStart w:id="101" w:name="_Toc21179"/>
      <w:r>
        <w:rPr>
          <w:rFonts w:hint="default" w:ascii="Times New Roman" w:hAnsi="Times New Roman" w:eastAsia="楷体_GB2312" w:cs="Times New Roman"/>
          <w:color w:val="000000"/>
          <w:kern w:val="0"/>
          <w:sz w:val="32"/>
          <w:szCs w:val="32"/>
          <w:shd w:val="clear" w:color="auto" w:fill="FFFFFF"/>
          <w:lang w:val="en-US" w:eastAsia="zh-CN"/>
        </w:rPr>
        <w:t>7.</w:t>
      </w:r>
      <w:r>
        <w:rPr>
          <w:rFonts w:hint="default" w:ascii="Times New Roman" w:hAnsi="Times New Roman" w:eastAsia="仿宋" w:cs="Times New Roman"/>
          <w:color w:val="auto"/>
          <w:kern w:val="0"/>
          <w:sz w:val="32"/>
          <w:szCs w:val="32"/>
          <w:lang w:val="en-US" w:eastAsia="zh-CN" w:bidi="ar-SA"/>
        </w:rPr>
        <w:t>卫生健康支出（类）行政事业单位医疗（款）</w:t>
      </w:r>
      <w:bookmarkEnd w:id="98"/>
      <w:r>
        <w:rPr>
          <w:rFonts w:hint="default" w:ascii="Times New Roman" w:hAnsi="Times New Roman" w:eastAsia="仿宋" w:cs="Times New Roman"/>
          <w:color w:val="auto"/>
          <w:kern w:val="0"/>
          <w:sz w:val="32"/>
          <w:szCs w:val="32"/>
          <w:lang w:val="en-US" w:eastAsia="zh-CN" w:bidi="ar-SA"/>
        </w:rPr>
        <w:t>行政单位医疗（款）：反映财政部门安排的行政单位（包括实行公务员管理的事业单位，下同）基本医疗保险缴费经费，未参加医疗保险的行政单位的公费医疗经费，按国家规定享受离退休人员、红军老战士待遇人员的医疗经费。</w:t>
      </w:r>
      <w:bookmarkEnd w:id="99"/>
      <w:bookmarkEnd w:id="100"/>
      <w:bookmarkEnd w:id="101"/>
    </w:p>
    <w:p w14:paraId="15FF9424">
      <w:pPr>
        <w:spacing w:line="560" w:lineRule="exact"/>
        <w:ind w:firstLine="640" w:firstLineChars="20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楷体_GB2312" w:cs="Times New Roman"/>
          <w:color w:val="000000"/>
          <w:kern w:val="0"/>
          <w:sz w:val="32"/>
          <w:szCs w:val="32"/>
          <w:shd w:val="clear" w:color="auto" w:fill="FFFFFF"/>
          <w:lang w:val="en-US" w:eastAsia="zh-CN"/>
        </w:rPr>
        <w:t>8.</w:t>
      </w:r>
      <w:r>
        <w:rPr>
          <w:rFonts w:hint="default" w:ascii="Times New Roman" w:hAnsi="Times New Roman" w:eastAsia="仿宋" w:cs="Times New Roman"/>
          <w:color w:val="auto"/>
          <w:kern w:val="0"/>
          <w:sz w:val="32"/>
          <w:szCs w:val="32"/>
          <w:lang w:val="en-US" w:eastAsia="zh-CN" w:bidi="ar-SA"/>
        </w:rPr>
        <w:t>卫生健康支出（类）行政事业单位医疗（款）事业单位医疗（项）：反映财政部门安排的事业单位基本医疗保险缴费经费，未参加医疗保险的事业单位的公费医疗经费，按国家规定享受离休人员待遇的医疗经费。</w:t>
      </w:r>
    </w:p>
    <w:p w14:paraId="6C5D2179">
      <w:pPr>
        <w:spacing w:line="560" w:lineRule="exact"/>
        <w:ind w:firstLine="640" w:firstLineChars="20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楷体_GB2312" w:cs="Times New Roman"/>
          <w:color w:val="000000"/>
          <w:kern w:val="0"/>
          <w:sz w:val="32"/>
          <w:szCs w:val="32"/>
          <w:shd w:val="clear" w:color="auto" w:fill="FFFFFF"/>
          <w:lang w:val="en-US" w:eastAsia="zh-CN"/>
        </w:rPr>
        <w:t>9.</w:t>
      </w:r>
      <w:r>
        <w:rPr>
          <w:rFonts w:hint="default" w:ascii="Times New Roman" w:hAnsi="Times New Roman" w:eastAsia="仿宋" w:cs="Times New Roman"/>
          <w:color w:val="auto"/>
          <w:kern w:val="0"/>
          <w:sz w:val="32"/>
          <w:szCs w:val="32"/>
          <w:lang w:val="en-US" w:eastAsia="zh-CN" w:bidi="ar-SA"/>
        </w:rPr>
        <w:t>卫生健康支出（类）行政事业单位医疗（款）公务员医疗补助（项）：反映财政部门安排的公务员医疗补助经费。</w:t>
      </w:r>
    </w:p>
    <w:p w14:paraId="3F61F507">
      <w:pPr>
        <w:pStyle w:val="5"/>
        <w:spacing w:before="93" w:line="560" w:lineRule="exact"/>
        <w:ind w:firstLine="640" w:firstLineChars="20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楷体_GB2312" w:cs="Times New Roman"/>
          <w:color w:val="000000"/>
          <w:kern w:val="0"/>
          <w:sz w:val="32"/>
          <w:szCs w:val="32"/>
          <w:shd w:val="clear" w:color="auto" w:fill="FFFFFF"/>
          <w:lang w:val="en-US" w:eastAsia="zh-CN" w:bidi="ar-SA"/>
        </w:rPr>
        <w:t>10.</w:t>
      </w:r>
      <w:r>
        <w:rPr>
          <w:rFonts w:hint="default" w:ascii="Times New Roman" w:hAnsi="Times New Roman" w:eastAsia="仿宋" w:cs="Times New Roman"/>
          <w:color w:val="auto"/>
          <w:kern w:val="0"/>
          <w:sz w:val="32"/>
          <w:szCs w:val="32"/>
          <w:lang w:val="en-US" w:eastAsia="zh-CN" w:bidi="ar-SA"/>
        </w:rPr>
        <w:t>卫生健康支出（类）行政事业单位医疗（款）其他行政事业单位医疗支出（项）：反映除上述项目以外的其他用于行政事业单位医疗方面的支出。</w:t>
      </w:r>
    </w:p>
    <w:p w14:paraId="0195D09A">
      <w:pPr>
        <w:spacing w:line="560" w:lineRule="exact"/>
        <w:ind w:firstLine="640" w:firstLineChars="20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楷体_GB2312" w:cs="Times New Roman"/>
          <w:color w:val="000000"/>
          <w:kern w:val="0"/>
          <w:sz w:val="32"/>
          <w:szCs w:val="32"/>
          <w:shd w:val="clear" w:color="auto" w:fill="FFFFFF"/>
          <w:lang w:val="en-US" w:eastAsia="zh-CN"/>
        </w:rPr>
        <w:t>11.</w:t>
      </w:r>
      <w:r>
        <w:rPr>
          <w:rFonts w:hint="default" w:ascii="Times New Roman" w:hAnsi="Times New Roman" w:eastAsia="仿宋" w:cs="Times New Roman"/>
          <w:color w:val="auto"/>
          <w:kern w:val="0"/>
          <w:sz w:val="32"/>
          <w:szCs w:val="32"/>
          <w:lang w:val="en-US" w:eastAsia="zh-CN" w:bidi="ar-SA"/>
        </w:rPr>
        <w:t>住房保障支出（类）住房改革支出（款）住房公积金（项）：指行政事业单位按人力资源和社会保障部、财政部规定的基本工资和津贴补贴以及规定比例为职工缴纳的住房公积金。</w:t>
      </w:r>
    </w:p>
    <w:p w14:paraId="3CB206E4">
      <w:pPr>
        <w:spacing w:line="560" w:lineRule="exact"/>
        <w:ind w:firstLine="640" w:firstLineChars="20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楷体_GB2312" w:cs="Times New Roman"/>
          <w:color w:val="000000"/>
          <w:kern w:val="0"/>
          <w:sz w:val="32"/>
          <w:szCs w:val="32"/>
          <w:shd w:val="clear" w:color="auto" w:fill="FFFFFF"/>
          <w:lang w:val="en-US" w:eastAsia="zh-CN"/>
        </w:rPr>
        <w:t>12.</w:t>
      </w:r>
      <w:r>
        <w:rPr>
          <w:rFonts w:hint="default" w:ascii="Times New Roman" w:hAnsi="Times New Roman" w:eastAsia="仿宋" w:cs="Times New Roman"/>
          <w:color w:val="auto"/>
          <w:kern w:val="0"/>
          <w:sz w:val="32"/>
          <w:szCs w:val="32"/>
          <w:lang w:val="en-US" w:eastAsia="zh-CN" w:bidi="ar-SA"/>
        </w:rPr>
        <w:t>基本支出：指为保障机构正常运转、完成日常工作任务而发生的人员支出和公用支出。</w:t>
      </w:r>
    </w:p>
    <w:p w14:paraId="11B9629D">
      <w:pPr>
        <w:spacing w:line="560" w:lineRule="exact"/>
        <w:ind w:firstLine="640" w:firstLineChars="20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楷体_GB2312" w:cs="Times New Roman"/>
          <w:color w:val="000000"/>
          <w:kern w:val="0"/>
          <w:sz w:val="32"/>
          <w:szCs w:val="32"/>
          <w:shd w:val="clear" w:color="auto" w:fill="FFFFFF"/>
          <w:lang w:val="en-US" w:eastAsia="zh-CN"/>
        </w:rPr>
        <w:t>13.</w:t>
      </w:r>
      <w:r>
        <w:rPr>
          <w:rFonts w:hint="default" w:ascii="Times New Roman" w:hAnsi="Times New Roman" w:eastAsia="仿宋" w:cs="Times New Roman"/>
          <w:color w:val="auto"/>
          <w:kern w:val="0"/>
          <w:sz w:val="32"/>
          <w:szCs w:val="32"/>
          <w:lang w:val="en-US" w:eastAsia="zh-CN" w:bidi="ar-SA"/>
        </w:rPr>
        <w:t>项目支出：指在基本支出之外为完成特定行政任务和事业发展目标所发生的支出。</w:t>
      </w:r>
    </w:p>
    <w:p w14:paraId="41BEC58C">
      <w:pPr>
        <w:pStyle w:val="25"/>
        <w:spacing w:line="560" w:lineRule="exact"/>
        <w:ind w:firstLine="640" w:firstLineChars="20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楷体_GB2312" w:cs="Times New Roman"/>
          <w:color w:val="000000"/>
          <w:kern w:val="0"/>
          <w:sz w:val="32"/>
          <w:szCs w:val="32"/>
          <w:shd w:val="clear" w:color="auto" w:fill="FFFFFF"/>
          <w:lang w:val="en-US" w:eastAsia="zh-CN" w:bidi="ar-SA"/>
        </w:rPr>
        <w:t>14.</w:t>
      </w:r>
      <w:r>
        <w:rPr>
          <w:rFonts w:hint="default" w:ascii="Times New Roman" w:hAnsi="Times New Roman" w:eastAsia="仿宋" w:cs="Times New Roman"/>
          <w:color w:val="auto"/>
          <w:kern w:val="0"/>
          <w:sz w:val="32"/>
          <w:szCs w:val="32"/>
          <w:lang w:val="en-US" w:eastAsia="zh-CN" w:bidi="ar-SA"/>
        </w:rPr>
        <w:t>“三公”经费：指部门用财政拨款安排的因公出国（境）费、公务用车购置及运行费和公务接待费。其中，因公出国（境）费反映单位公务出国（境）的国际旅费、国外城市间交通费、住宿费、伙食费、培训费、公杂费等支出；公务用车运行维护费反映单位按规定保留的公务用车燃料费、维修费、过桥过路费、保险费、安全奖励费用等支出；公务用车购置反映公务用车购置支出（含车辆购置税、牌照费）；公务接待费反映单位按规定开支的各类公务接待（含外宾接待）费用。</w:t>
      </w:r>
    </w:p>
    <w:p w14:paraId="395F281E">
      <w:pPr>
        <w:ind w:firstLine="640" w:firstLineChars="200"/>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楷体_GB2312" w:cs="Times New Roman"/>
          <w:color w:val="000000"/>
          <w:kern w:val="0"/>
          <w:sz w:val="32"/>
          <w:szCs w:val="32"/>
          <w:shd w:val="clear" w:color="auto" w:fill="FFFFFF"/>
          <w:lang w:val="en-US" w:eastAsia="zh-CN"/>
        </w:rPr>
        <w:t>15.</w:t>
      </w:r>
      <w:r>
        <w:rPr>
          <w:rFonts w:hint="default" w:ascii="Times New Roman" w:hAnsi="Times New Roman" w:eastAsia="仿宋" w:cs="Times New Roman"/>
          <w:color w:val="auto"/>
          <w:kern w:val="0"/>
          <w:sz w:val="32"/>
          <w:szCs w:val="32"/>
          <w:lang w:val="en-US" w:eastAsia="zh-CN" w:bidi="ar-SA"/>
        </w:rPr>
        <w:t>机关运行经费：为保障行政</w:t>
      </w:r>
      <w:r>
        <w:rPr>
          <w:rFonts w:hint="eastAsia" w:eastAsia="仿宋" w:cs="Times New Roman"/>
          <w:color w:val="auto"/>
          <w:kern w:val="0"/>
          <w:sz w:val="32"/>
          <w:szCs w:val="32"/>
          <w:lang w:val="en-US" w:eastAsia="zh-CN" w:bidi="ar-SA"/>
        </w:rPr>
        <w:t>部门</w:t>
      </w:r>
      <w:r>
        <w:rPr>
          <w:rFonts w:hint="default" w:ascii="Times New Roman" w:hAnsi="Times New Roman" w:eastAsia="仿宋" w:cs="Times New Roman"/>
          <w:color w:val="auto"/>
          <w:kern w:val="0"/>
          <w:sz w:val="32"/>
          <w:szCs w:val="32"/>
          <w:lang w:val="en-US" w:eastAsia="zh-CN" w:bidi="ar-SA"/>
        </w:rPr>
        <w:t>（含参照公务员法管理的事业单位）运行用于购买货物和服务的各项资金，包括办公费及印刷费、水费、电费、邮电费、差旅费、维修（护）费、租赁费、劳务费、工会经费、福利费、其他交通费用、其他商品和服务支出。</w:t>
      </w:r>
    </w:p>
    <w:p w14:paraId="10751AF9">
      <w:pPr>
        <w:ind w:firstLine="640" w:firstLineChars="200"/>
        <w:rPr>
          <w:rFonts w:hint="default" w:ascii="Times New Roman" w:hAnsi="Times New Roman" w:eastAsia="仿宋" w:cs="Times New Roman"/>
          <w:sz w:val="32"/>
          <w:szCs w:val="32"/>
        </w:rPr>
      </w:pPr>
    </w:p>
    <w:p w14:paraId="6252FA94">
      <w:pPr>
        <w:ind w:firstLine="643" w:firstLineChars="200"/>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br w:type="page"/>
      </w:r>
    </w:p>
    <w:p w14:paraId="567AAD54">
      <w:pPr>
        <w:pStyle w:val="2"/>
        <w:jc w:val="center"/>
        <w:rPr>
          <w:rFonts w:hint="default" w:ascii="Times New Roman" w:hAnsi="Times New Roman" w:eastAsia="黑体" w:cs="Times New Roman"/>
          <w:b w:val="0"/>
        </w:rPr>
      </w:pPr>
      <w:bookmarkStart w:id="102" w:name="_Toc18529"/>
      <w:bookmarkStart w:id="103" w:name="_Toc14705"/>
      <w:r>
        <w:rPr>
          <w:rFonts w:hint="default" w:ascii="Times New Roman" w:hAnsi="Times New Roman" w:eastAsia="黑体" w:cs="Times New Roman"/>
          <w:b w:val="0"/>
        </w:rPr>
        <w:t>第四部分 附件</w:t>
      </w:r>
      <w:bookmarkEnd w:id="102"/>
      <w:bookmarkEnd w:id="103"/>
    </w:p>
    <w:p w14:paraId="0D1B6497">
      <w:pPr>
        <w:rPr>
          <w:rFonts w:hint="default" w:ascii="Times New Roman" w:hAnsi="Times New Roman" w:cs="Times New Roman"/>
        </w:rPr>
      </w:pPr>
    </w:p>
    <w:p w14:paraId="370220FE">
      <w:pPr>
        <w:widowControl/>
        <w:jc w:val="left"/>
        <w:rPr>
          <w:rFonts w:hint="default" w:ascii="Times New Roman" w:hAnsi="Times New Roman" w:cs="Times New Roman"/>
        </w:rPr>
      </w:pPr>
      <w:r>
        <w:rPr>
          <w:rFonts w:hint="eastAsia" w:cs="Times New Roman" w:eastAsiaTheme="minorEastAsia"/>
          <w:sz w:val="32"/>
          <w:szCs w:val="32"/>
          <w:lang w:val="zh-CN"/>
        </w:rPr>
        <w:t>部门</w:t>
      </w:r>
      <w:bookmarkStart w:id="105" w:name="_GoBack"/>
      <w:bookmarkEnd w:id="105"/>
      <w:r>
        <w:rPr>
          <w:rFonts w:hint="default" w:ascii="Times New Roman" w:hAnsi="Times New Roman" w:cs="Times New Roman" w:eastAsiaTheme="minorEastAsia"/>
          <w:sz w:val="32"/>
          <w:szCs w:val="32"/>
          <w:lang w:val="zh-CN"/>
        </w:rPr>
        <w:t>预算项目支出绩效自评表（2023年）</w:t>
      </w:r>
    </w:p>
    <w:p w14:paraId="05BBC981">
      <w:pPr>
        <w:pStyle w:val="2"/>
        <w:jc w:val="center"/>
        <w:rPr>
          <w:rFonts w:hint="default" w:ascii="Times New Roman" w:hAnsi="Times New Roman" w:eastAsia="黑体" w:cs="Times New Roman"/>
        </w:rPr>
      </w:pPr>
      <w:bookmarkStart w:id="104" w:name="_Toc4673"/>
      <w:r>
        <w:rPr>
          <w:rFonts w:hint="default" w:ascii="Times New Roman" w:hAnsi="Times New Roman" w:eastAsia="黑体" w:cs="Times New Roman"/>
        </w:rPr>
        <w:t>第五部分 附表</w:t>
      </w:r>
      <w:bookmarkEnd w:id="104"/>
    </w:p>
    <w:p w14:paraId="2196B4F9">
      <w:pP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二、收入决算表</w:t>
      </w:r>
    </w:p>
    <w:p w14:paraId="7C06A6B1">
      <w:pP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三、支出决算表</w:t>
      </w:r>
    </w:p>
    <w:p w14:paraId="2D0D3D8E">
      <w:pP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四、财政拨款收入支出决算总表</w:t>
      </w:r>
    </w:p>
    <w:p w14:paraId="0F253548">
      <w:pP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五、财政拨款支出决算明细表</w:t>
      </w:r>
    </w:p>
    <w:p w14:paraId="552E1C97">
      <w:pP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六、一般公共预算财政拨款支出决算表</w:t>
      </w:r>
    </w:p>
    <w:p w14:paraId="6E725FE2">
      <w:pPr>
        <w:rPr>
          <w:rFonts w:hint="default" w:ascii="Times New Roman" w:hAnsi="Times New Roman" w:cs="Times New Roman"/>
        </w:rPr>
      </w:pPr>
      <w:r>
        <w:rPr>
          <w:rFonts w:hint="default" w:ascii="Times New Roman" w:hAnsi="Times New Roman" w:eastAsia="仿宋" w:cs="Times New Roman"/>
          <w:sz w:val="32"/>
          <w:szCs w:val="32"/>
        </w:rPr>
        <w:t>七、一般公共预算财政拨款支出决算明细表</w:t>
      </w:r>
    </w:p>
    <w:p w14:paraId="09ADA677">
      <w:pP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八、一般公共预算财政拨款基本支出决算明细表</w:t>
      </w:r>
    </w:p>
    <w:p w14:paraId="77AACD11">
      <w:pPr>
        <w:rPr>
          <w:rFonts w:hint="default" w:ascii="Times New Roman" w:hAnsi="Times New Roman" w:cs="Times New Roman"/>
          <w:sz w:val="24"/>
        </w:rPr>
      </w:pPr>
      <w:r>
        <w:rPr>
          <w:rFonts w:hint="default" w:ascii="Times New Roman" w:hAnsi="Times New Roman" w:eastAsia="仿宋" w:cs="Times New Roman"/>
          <w:sz w:val="32"/>
          <w:szCs w:val="32"/>
        </w:rPr>
        <w:t>九、一般公共预算财政拨款项目支出决算表</w:t>
      </w:r>
    </w:p>
    <w:p w14:paraId="73A4B0F4">
      <w:pP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十、政府性基金预算财政拨款收入支出决算表</w:t>
      </w:r>
    </w:p>
    <w:p w14:paraId="3B5A90AC">
      <w:pP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十一、国有资本经营预算财政拨款收入支出决算表</w:t>
      </w:r>
    </w:p>
    <w:p w14:paraId="456AB544">
      <w:pP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十二、国有资本经营预算财政拨款支出决算表</w:t>
      </w:r>
    </w:p>
    <w:p w14:paraId="7EDB3F91">
      <w:pPr>
        <w:rPr>
          <w:rFonts w:hint="default" w:ascii="Times New Roman" w:hAnsi="Times New Roman" w:eastAsia="仿宋" w:cs="Times New Roman"/>
        </w:rPr>
      </w:pPr>
      <w:r>
        <w:rPr>
          <w:rFonts w:hint="default" w:ascii="Times New Roman" w:hAnsi="Times New Roman" w:eastAsia="仿宋" w:cs="Times New Roman"/>
          <w:sz w:val="32"/>
          <w:szCs w:val="32"/>
        </w:rPr>
        <w:t>十三、财政拨款“三公”经费支出决算表</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14:paraId="1FC27FC0">
        <w:pPr>
          <w:pStyle w:val="9"/>
          <w:jc w:val="center"/>
        </w:pPr>
        <w:r>
          <w:fldChar w:fldCharType="begin"/>
        </w:r>
        <w:r>
          <w:instrText xml:space="preserve">PAGE   \* MERGEFORMAT</w:instrText>
        </w:r>
        <w:r>
          <w:fldChar w:fldCharType="separate"/>
        </w:r>
        <w:r>
          <w:rPr>
            <w:lang w:val="zh-CN"/>
          </w:rPr>
          <w:t>17</w:t>
        </w:r>
        <w:r>
          <w:fldChar w:fldCharType="end"/>
        </w:r>
      </w:p>
    </w:sdtContent>
  </w:sdt>
  <w:p w14:paraId="32C66B7F">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567D13">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VhMjFkZmZjZjQ1ZDc3YTExYmFkYzBmZjM3NGY1YjIifQ=="/>
  </w:docVars>
  <w:rsids>
    <w:rsidRoot w:val="00F1361C"/>
    <w:rsid w:val="000142FB"/>
    <w:rsid w:val="000222C6"/>
    <w:rsid w:val="0002549F"/>
    <w:rsid w:val="000468DB"/>
    <w:rsid w:val="0006487A"/>
    <w:rsid w:val="00065F8F"/>
    <w:rsid w:val="00070A43"/>
    <w:rsid w:val="000768F2"/>
    <w:rsid w:val="0009184B"/>
    <w:rsid w:val="00094236"/>
    <w:rsid w:val="0009593C"/>
    <w:rsid w:val="00097322"/>
    <w:rsid w:val="000A6A92"/>
    <w:rsid w:val="000B047F"/>
    <w:rsid w:val="000B1D1B"/>
    <w:rsid w:val="000B5923"/>
    <w:rsid w:val="000B5A48"/>
    <w:rsid w:val="000B6FF3"/>
    <w:rsid w:val="000B7774"/>
    <w:rsid w:val="000C3467"/>
    <w:rsid w:val="000C3CA6"/>
    <w:rsid w:val="000D1267"/>
    <w:rsid w:val="000D1D50"/>
    <w:rsid w:val="000D5782"/>
    <w:rsid w:val="000E6613"/>
    <w:rsid w:val="000E7119"/>
    <w:rsid w:val="00114E9B"/>
    <w:rsid w:val="00115EF5"/>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2527F"/>
    <w:rsid w:val="00235629"/>
    <w:rsid w:val="00260C38"/>
    <w:rsid w:val="002616C0"/>
    <w:rsid w:val="00265372"/>
    <w:rsid w:val="002662AA"/>
    <w:rsid w:val="00280496"/>
    <w:rsid w:val="00294DC9"/>
    <w:rsid w:val="00295495"/>
    <w:rsid w:val="002A31DE"/>
    <w:rsid w:val="002A66F7"/>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4B0A"/>
    <w:rsid w:val="003C6115"/>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2FBC"/>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540C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8F7771"/>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100D"/>
    <w:rsid w:val="00A331C8"/>
    <w:rsid w:val="00A40A00"/>
    <w:rsid w:val="00A4142F"/>
    <w:rsid w:val="00A422EB"/>
    <w:rsid w:val="00A45BB7"/>
    <w:rsid w:val="00A538FA"/>
    <w:rsid w:val="00A56DF2"/>
    <w:rsid w:val="00A56E6E"/>
    <w:rsid w:val="00A67AB5"/>
    <w:rsid w:val="00A733B2"/>
    <w:rsid w:val="00A741C2"/>
    <w:rsid w:val="00A9134F"/>
    <w:rsid w:val="00A91760"/>
    <w:rsid w:val="00A93B00"/>
    <w:rsid w:val="00A93C21"/>
    <w:rsid w:val="00AB64C9"/>
    <w:rsid w:val="00AC3C6A"/>
    <w:rsid w:val="00AD5620"/>
    <w:rsid w:val="00AD656B"/>
    <w:rsid w:val="00AD6763"/>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127B"/>
    <w:rsid w:val="00B77EA6"/>
    <w:rsid w:val="00B81598"/>
    <w:rsid w:val="00B841F1"/>
    <w:rsid w:val="00B90A81"/>
    <w:rsid w:val="00B944D6"/>
    <w:rsid w:val="00BB4DF0"/>
    <w:rsid w:val="00BC289F"/>
    <w:rsid w:val="00BC2D50"/>
    <w:rsid w:val="00BC5361"/>
    <w:rsid w:val="00BC5460"/>
    <w:rsid w:val="00BC6B50"/>
    <w:rsid w:val="00BD0E25"/>
    <w:rsid w:val="00BE083A"/>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CF2FD5"/>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DF49F1"/>
    <w:rsid w:val="00E01053"/>
    <w:rsid w:val="00E07ACF"/>
    <w:rsid w:val="00E331A1"/>
    <w:rsid w:val="00E33202"/>
    <w:rsid w:val="00E336A9"/>
    <w:rsid w:val="00E472B1"/>
    <w:rsid w:val="00E50624"/>
    <w:rsid w:val="00E5174E"/>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05D1B"/>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5975B8"/>
    <w:rsid w:val="02143E91"/>
    <w:rsid w:val="04FA08BE"/>
    <w:rsid w:val="066E0107"/>
    <w:rsid w:val="07416DF2"/>
    <w:rsid w:val="07996F6E"/>
    <w:rsid w:val="07EB0B8D"/>
    <w:rsid w:val="092263E9"/>
    <w:rsid w:val="0A2032A3"/>
    <w:rsid w:val="0C5400F4"/>
    <w:rsid w:val="0EA35515"/>
    <w:rsid w:val="0F98263C"/>
    <w:rsid w:val="101860EC"/>
    <w:rsid w:val="10727190"/>
    <w:rsid w:val="10C055FF"/>
    <w:rsid w:val="118107EC"/>
    <w:rsid w:val="119124D5"/>
    <w:rsid w:val="119F43A3"/>
    <w:rsid w:val="13D50BC4"/>
    <w:rsid w:val="13DC404B"/>
    <w:rsid w:val="16BB723D"/>
    <w:rsid w:val="18025D64"/>
    <w:rsid w:val="198C33B8"/>
    <w:rsid w:val="1A0E5BAF"/>
    <w:rsid w:val="1AC60397"/>
    <w:rsid w:val="1BE8440E"/>
    <w:rsid w:val="1D155CEE"/>
    <w:rsid w:val="1EB844A2"/>
    <w:rsid w:val="1FDD4551"/>
    <w:rsid w:val="1FF35744"/>
    <w:rsid w:val="23272FC5"/>
    <w:rsid w:val="23860B96"/>
    <w:rsid w:val="240371BF"/>
    <w:rsid w:val="24967F5F"/>
    <w:rsid w:val="259C160B"/>
    <w:rsid w:val="26F8584C"/>
    <w:rsid w:val="28531485"/>
    <w:rsid w:val="29FD04D3"/>
    <w:rsid w:val="2C8A61B5"/>
    <w:rsid w:val="2CD94046"/>
    <w:rsid w:val="2DA72C58"/>
    <w:rsid w:val="2DF04E50"/>
    <w:rsid w:val="2DFD72D6"/>
    <w:rsid w:val="2E671E46"/>
    <w:rsid w:val="2F040D46"/>
    <w:rsid w:val="319F7F4E"/>
    <w:rsid w:val="32F278F9"/>
    <w:rsid w:val="3304709D"/>
    <w:rsid w:val="356366BE"/>
    <w:rsid w:val="36767D38"/>
    <w:rsid w:val="36AA5135"/>
    <w:rsid w:val="3722762C"/>
    <w:rsid w:val="375D7541"/>
    <w:rsid w:val="376D39B2"/>
    <w:rsid w:val="37E16F03"/>
    <w:rsid w:val="38B818CA"/>
    <w:rsid w:val="38D469F0"/>
    <w:rsid w:val="3C485B8B"/>
    <w:rsid w:val="3D785839"/>
    <w:rsid w:val="3D98207C"/>
    <w:rsid w:val="3E78745D"/>
    <w:rsid w:val="3F0D0975"/>
    <w:rsid w:val="3F500C15"/>
    <w:rsid w:val="41D707E5"/>
    <w:rsid w:val="44E268DA"/>
    <w:rsid w:val="4A627F82"/>
    <w:rsid w:val="4B0E749A"/>
    <w:rsid w:val="4B4F25DA"/>
    <w:rsid w:val="4BE068DB"/>
    <w:rsid w:val="4D572F42"/>
    <w:rsid w:val="4D577224"/>
    <w:rsid w:val="4EAB630A"/>
    <w:rsid w:val="4ECE2238"/>
    <w:rsid w:val="537E6D0A"/>
    <w:rsid w:val="540D44CA"/>
    <w:rsid w:val="57055B91"/>
    <w:rsid w:val="58AB6E2E"/>
    <w:rsid w:val="59C96A98"/>
    <w:rsid w:val="5AF92295"/>
    <w:rsid w:val="5CA26790"/>
    <w:rsid w:val="5CD71FC4"/>
    <w:rsid w:val="5F7F3453"/>
    <w:rsid w:val="62D52E8A"/>
    <w:rsid w:val="62DE6052"/>
    <w:rsid w:val="673E742E"/>
    <w:rsid w:val="68C16E6E"/>
    <w:rsid w:val="6A0871AC"/>
    <w:rsid w:val="6C4A05C8"/>
    <w:rsid w:val="6D5C5D1A"/>
    <w:rsid w:val="6D931551"/>
    <w:rsid w:val="6E7E3605"/>
    <w:rsid w:val="6EE65F1D"/>
    <w:rsid w:val="6EF35D09"/>
    <w:rsid w:val="6FF5CC65"/>
    <w:rsid w:val="70A853F8"/>
    <w:rsid w:val="715C0E4B"/>
    <w:rsid w:val="721D0D5E"/>
    <w:rsid w:val="72734D90"/>
    <w:rsid w:val="72F83160"/>
    <w:rsid w:val="73AD73D5"/>
    <w:rsid w:val="73B6EB34"/>
    <w:rsid w:val="73F07169"/>
    <w:rsid w:val="744731E5"/>
    <w:rsid w:val="75BD14A9"/>
    <w:rsid w:val="763B483E"/>
    <w:rsid w:val="7670208A"/>
    <w:rsid w:val="76E3355F"/>
    <w:rsid w:val="77152A2E"/>
    <w:rsid w:val="778769C8"/>
    <w:rsid w:val="78EE728A"/>
    <w:rsid w:val="79A83928"/>
    <w:rsid w:val="79EE5BA4"/>
    <w:rsid w:val="7A894339"/>
    <w:rsid w:val="7DD04FD6"/>
    <w:rsid w:val="7DFF6EE8"/>
    <w:rsid w:val="7EEF11D3"/>
    <w:rsid w:val="7FA30C79"/>
    <w:rsid w:val="7FB7269E"/>
    <w:rsid w:val="7FC96657"/>
    <w:rsid w:val="D8D6DB89"/>
    <w:rsid w:val="DB6F4CAB"/>
    <w:rsid w:val="DF6F978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7"/>
    <w:autoRedefine/>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8"/>
    <w:autoRedefine/>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1"/>
    <w:autoRedefine/>
    <w:unhideWhenUsed/>
    <w:qFormat/>
    <w:uiPriority w:val="9"/>
    <w:pPr>
      <w:keepNext/>
      <w:keepLines/>
      <w:spacing w:before="260" w:after="260" w:line="416" w:lineRule="auto"/>
      <w:outlineLvl w:val="2"/>
    </w:pPr>
    <w:rPr>
      <w:b/>
      <w:bCs/>
      <w:sz w:val="32"/>
      <w:szCs w:val="32"/>
    </w:rPr>
  </w:style>
  <w:style w:type="character" w:default="1" w:styleId="15">
    <w:name w:val="Default Paragraph Font"/>
    <w:autoRedefine/>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4"/>
    <w:qFormat/>
    <w:uiPriority w:val="99"/>
    <w:pPr>
      <w:spacing w:beforeLines="30"/>
    </w:pPr>
    <w:rPr>
      <w:rFonts w:ascii="仿宋_GB2312" w:eastAsia="仿宋_GB2312"/>
      <w:kern w:val="0"/>
      <w:sz w:val="30"/>
    </w:rPr>
  </w:style>
  <w:style w:type="paragraph" w:styleId="6">
    <w:name w:val="Body Text Indent"/>
    <w:basedOn w:val="1"/>
    <w:qFormat/>
    <w:uiPriority w:val="0"/>
    <w:pPr>
      <w:spacing w:after="120"/>
      <w:ind w:left="200" w:leftChars="200"/>
    </w:pPr>
    <w:rPr>
      <w:rFonts w:ascii="仿宋_GB2312"/>
      <w:szCs w:val="32"/>
    </w:r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30"/>
    <w:semiHidden/>
    <w:unhideWhenUsed/>
    <w:qFormat/>
    <w:uiPriority w:val="99"/>
    <w:rPr>
      <w:sz w:val="18"/>
      <w:szCs w:val="18"/>
    </w:rPr>
  </w:style>
  <w:style w:type="paragraph" w:styleId="9">
    <w:name w:val="footer"/>
    <w:basedOn w:val="1"/>
    <w:link w:val="22"/>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20"/>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Body Text First Indent 2"/>
    <w:basedOn w:val="6"/>
    <w:unhideWhenUsed/>
    <w:qFormat/>
    <w:uiPriority w:val="99"/>
    <w:pPr>
      <w:ind w:firstLine="420" w:firstLineChars="200"/>
    </w:pPr>
  </w:style>
  <w:style w:type="character" w:styleId="16">
    <w:name w:val="Strong"/>
    <w:basedOn w:val="15"/>
    <w:autoRedefine/>
    <w:qFormat/>
    <w:uiPriority w:val="99"/>
    <w:rPr>
      <w:b/>
    </w:rPr>
  </w:style>
  <w:style w:type="character" w:styleId="17">
    <w:name w:val="Hyperlink"/>
    <w:basedOn w:val="15"/>
    <w:unhideWhenUsed/>
    <w:qFormat/>
    <w:uiPriority w:val="99"/>
    <w:rPr>
      <w:color w:val="0000FF" w:themeColor="hyperlink"/>
      <w:u w:val="single"/>
      <w14:textFill>
        <w14:solidFill>
          <w14:schemeClr w14:val="hlink"/>
        </w14:solidFill>
      </w14:textFill>
    </w:rPr>
  </w:style>
  <w:style w:type="paragraph" w:customStyle="1" w:styleId="18">
    <w:name w:val="标题 5（有编号）（绿盟科技）"/>
    <w:next w:val="1"/>
    <w:autoRedefine/>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19">
    <w:name w:val="Header Char"/>
    <w:basedOn w:val="15"/>
    <w:autoRedefine/>
    <w:semiHidden/>
    <w:qFormat/>
    <w:uiPriority w:val="99"/>
    <w:rPr>
      <w:rFonts w:ascii="Times New Roman" w:hAnsi="Times New Roman"/>
      <w:sz w:val="18"/>
      <w:szCs w:val="18"/>
    </w:rPr>
  </w:style>
  <w:style w:type="character" w:customStyle="1" w:styleId="20">
    <w:name w:val="页眉 Char"/>
    <w:link w:val="10"/>
    <w:autoRedefine/>
    <w:semiHidden/>
    <w:qFormat/>
    <w:locked/>
    <w:uiPriority w:val="99"/>
    <w:rPr>
      <w:sz w:val="18"/>
    </w:rPr>
  </w:style>
  <w:style w:type="character" w:customStyle="1" w:styleId="21">
    <w:name w:val="Footer Char"/>
    <w:basedOn w:val="15"/>
    <w:autoRedefine/>
    <w:semiHidden/>
    <w:qFormat/>
    <w:uiPriority w:val="99"/>
    <w:rPr>
      <w:rFonts w:ascii="Times New Roman" w:hAnsi="Times New Roman"/>
      <w:sz w:val="18"/>
      <w:szCs w:val="18"/>
    </w:rPr>
  </w:style>
  <w:style w:type="character" w:customStyle="1" w:styleId="22">
    <w:name w:val="页脚 Char"/>
    <w:link w:val="9"/>
    <w:qFormat/>
    <w:locked/>
    <w:uiPriority w:val="99"/>
    <w:rPr>
      <w:sz w:val="18"/>
    </w:rPr>
  </w:style>
  <w:style w:type="character" w:customStyle="1" w:styleId="23">
    <w:name w:val="Body Text Char"/>
    <w:basedOn w:val="15"/>
    <w:autoRedefine/>
    <w:semiHidden/>
    <w:qFormat/>
    <w:uiPriority w:val="99"/>
    <w:rPr>
      <w:rFonts w:ascii="Times New Roman" w:hAnsi="Times New Roman"/>
      <w:szCs w:val="24"/>
    </w:rPr>
  </w:style>
  <w:style w:type="character" w:customStyle="1" w:styleId="24">
    <w:name w:val="正文文本 Char"/>
    <w:link w:val="5"/>
    <w:autoRedefine/>
    <w:qFormat/>
    <w:locked/>
    <w:uiPriority w:val="99"/>
    <w:rPr>
      <w:rFonts w:ascii="仿宋_GB2312" w:hAnsi="Times New Roman" w:eastAsia="仿宋_GB2312"/>
      <w:sz w:val="24"/>
    </w:rPr>
  </w:style>
  <w:style w:type="paragraph" w:customStyle="1" w:styleId="25">
    <w:name w:val="Default"/>
    <w:autoRedefine/>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6">
    <w:name w:val="List Paragraph"/>
    <w:basedOn w:val="1"/>
    <w:autoRedefine/>
    <w:qFormat/>
    <w:uiPriority w:val="34"/>
    <w:pPr>
      <w:ind w:firstLine="420" w:firstLineChars="200"/>
    </w:pPr>
  </w:style>
  <w:style w:type="character" w:customStyle="1" w:styleId="27">
    <w:name w:val="标题 1 Char"/>
    <w:basedOn w:val="15"/>
    <w:link w:val="2"/>
    <w:qFormat/>
    <w:uiPriority w:val="9"/>
    <w:rPr>
      <w:rFonts w:ascii="Times New Roman" w:hAnsi="Times New Roman"/>
      <w:b/>
      <w:bCs/>
      <w:kern w:val="44"/>
      <w:sz w:val="44"/>
      <w:szCs w:val="44"/>
    </w:rPr>
  </w:style>
  <w:style w:type="character" w:customStyle="1" w:styleId="28">
    <w:name w:val="标题 2 Char"/>
    <w:basedOn w:val="15"/>
    <w:link w:val="3"/>
    <w:autoRedefine/>
    <w:qFormat/>
    <w:uiPriority w:val="9"/>
    <w:rPr>
      <w:rFonts w:asciiTheme="majorHAnsi" w:hAnsiTheme="majorHAnsi" w:eastAsiaTheme="majorEastAsia" w:cstheme="majorBidi"/>
      <w:b/>
      <w:bCs/>
      <w:kern w:val="2"/>
      <w:sz w:val="32"/>
      <w:szCs w:val="32"/>
    </w:rPr>
  </w:style>
  <w:style w:type="paragraph" w:customStyle="1" w:styleId="29">
    <w:name w:val="TOC 标题1"/>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0">
    <w:name w:val="批注框文本 Char"/>
    <w:basedOn w:val="15"/>
    <w:link w:val="8"/>
    <w:autoRedefine/>
    <w:semiHidden/>
    <w:qFormat/>
    <w:uiPriority w:val="99"/>
    <w:rPr>
      <w:rFonts w:ascii="Times New Roman" w:hAnsi="Times New Roman"/>
      <w:kern w:val="2"/>
      <w:sz w:val="18"/>
      <w:szCs w:val="18"/>
    </w:rPr>
  </w:style>
  <w:style w:type="character" w:customStyle="1" w:styleId="31">
    <w:name w:val="标题 3 Char"/>
    <w:basedOn w:val="15"/>
    <w:link w:val="4"/>
    <w:qFormat/>
    <w:uiPriority w:val="9"/>
    <w:rPr>
      <w:rFonts w:ascii="Times New Roman" w:hAnsi="Times New Roman"/>
      <w:b/>
      <w:bCs/>
      <w:kern w:val="2"/>
      <w:sz w:val="32"/>
      <w:szCs w:val="32"/>
    </w:rPr>
  </w:style>
  <w:style w:type="paragraph" w:customStyle="1" w:styleId="32">
    <w:name w:val="TOC 标题2"/>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3">
    <w:name w:val="四号正文"/>
    <w:basedOn w:val="1"/>
    <w:autoRedefine/>
    <w:qFormat/>
    <w:uiPriority w:val="0"/>
    <w:pPr>
      <w:spacing w:line="360" w:lineRule="auto"/>
    </w:pPr>
    <w:rPr>
      <w:rFonts w:ascii="??" w:hAnsi="??"/>
      <w:color w:val="000000"/>
      <w:kern w:val="0"/>
      <w:sz w:val="28"/>
      <w:szCs w:val="21"/>
      <w:lang w:val="zh-CN"/>
    </w:rPr>
  </w:style>
  <w:style w:type="paragraph" w:customStyle="1" w:styleId="34">
    <w:name w:val="WPSOffice手动目录 1"/>
    <w:autoRedefine/>
    <w:qFormat/>
    <w:uiPriority w:val="0"/>
    <w:pPr>
      <w:ind w:leftChars="0"/>
    </w:pPr>
    <w:rPr>
      <w:rFonts w:ascii="Times New Roman" w:hAnsi="Times New Roman" w:eastAsia="宋体" w:cs="Times New Roman"/>
      <w:sz w:val="20"/>
      <w:szCs w:val="20"/>
    </w:rPr>
  </w:style>
  <w:style w:type="paragraph" w:customStyle="1" w:styleId="35">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四川省财政厅</Company>
  <Pages>16</Pages>
  <Words>5069</Words>
  <Characters>5493</Characters>
  <Lines>57</Lines>
  <Paragraphs>16</Paragraphs>
  <TotalTime>8</TotalTime>
  <ScaleCrop>false</ScaleCrop>
  <LinksUpToDate>false</LinksUpToDate>
  <CharactersWithSpaces>5558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2023-10-11T02:25:00Z</dcterms:created>
  <dc:creator>曹颖</dc:creator>
  <cp:lastModifiedBy>lenovo</cp:lastModifiedBy>
  <cp:lastPrinted>2023-10-26T06:27:00Z</cp:lastPrinted>
  <dcterms:modified xsi:type="dcterms:W3CDTF">2024-10-28T01:41:01Z</dcterms:modified>
  <dc:title>四川省***</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03F35A47099743118082E8037CE225C8_13</vt:lpwstr>
  </property>
</Properties>
</file>