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C9F46B">
      <w:pPr>
        <w:spacing w:line="600" w:lineRule="exact"/>
        <w:jc w:val="center"/>
        <w:outlineLvl w:val="0"/>
        <w:rPr>
          <w:rFonts w:ascii="方正小标宋简体" w:hAnsi="宋体" w:eastAsia="方正小标宋简体"/>
          <w:color w:val="000000"/>
          <w:sz w:val="72"/>
          <w:szCs w:val="72"/>
        </w:rPr>
      </w:pPr>
      <w:bookmarkStart w:id="0" w:name="_Toc15306267"/>
      <w:bookmarkStart w:id="119" w:name="_GoBack"/>
      <w:bookmarkEnd w:id="119"/>
    </w:p>
    <w:p w14:paraId="2AB49CC7">
      <w:pPr>
        <w:spacing w:line="600" w:lineRule="exact"/>
        <w:jc w:val="center"/>
        <w:outlineLvl w:val="0"/>
        <w:rPr>
          <w:rFonts w:ascii="方正小标宋简体" w:hAnsi="宋体" w:eastAsia="方正小标宋简体"/>
          <w:color w:val="000000"/>
          <w:sz w:val="72"/>
          <w:szCs w:val="72"/>
        </w:rPr>
      </w:pPr>
    </w:p>
    <w:p w14:paraId="798902E6">
      <w:pPr>
        <w:spacing w:line="600" w:lineRule="exact"/>
        <w:jc w:val="center"/>
        <w:outlineLvl w:val="0"/>
        <w:rPr>
          <w:rFonts w:ascii="方正小标宋简体" w:hAnsi="宋体" w:eastAsia="方正小标宋简体"/>
          <w:color w:val="000000"/>
          <w:sz w:val="72"/>
          <w:szCs w:val="72"/>
        </w:rPr>
      </w:pPr>
    </w:p>
    <w:p w14:paraId="30C5E718">
      <w:pPr>
        <w:spacing w:line="600" w:lineRule="exact"/>
        <w:jc w:val="center"/>
        <w:outlineLvl w:val="0"/>
        <w:rPr>
          <w:rFonts w:ascii="方正小标宋简体" w:hAnsi="宋体" w:eastAsia="方正小标宋简体"/>
          <w:color w:val="000000"/>
          <w:sz w:val="72"/>
          <w:szCs w:val="72"/>
        </w:rPr>
      </w:pPr>
    </w:p>
    <w:p w14:paraId="7F3022FB">
      <w:pPr>
        <w:adjustRightInd w:val="0"/>
        <w:snapToGrid w:val="0"/>
        <w:spacing w:line="360" w:lineRule="auto"/>
        <w:jc w:val="center"/>
        <w:outlineLvl w:val="0"/>
        <w:rPr>
          <w:rFonts w:ascii="方正小标宋简体" w:hAnsi="宋体" w:eastAsia="方正小标宋简体"/>
          <w:color w:val="000000"/>
          <w:sz w:val="72"/>
          <w:szCs w:val="72"/>
        </w:rPr>
      </w:pPr>
      <w:bookmarkStart w:id="1" w:name="_Toc15396597"/>
      <w:bookmarkStart w:id="2" w:name="_Toc15377193"/>
      <w:bookmarkStart w:id="3" w:name="_Toc15377425"/>
      <w:bookmarkStart w:id="4" w:name="_Toc52180062"/>
      <w:bookmarkStart w:id="5" w:name="_Toc15378441"/>
      <w:bookmarkStart w:id="6" w:name="_Toc15396475"/>
      <w:r>
        <w:rPr>
          <w:rFonts w:ascii="黑体" w:hAnsi="黑体" w:eastAsia="黑体"/>
          <w:color w:val="000000"/>
          <w:sz w:val="72"/>
          <w:szCs w:val="72"/>
        </w:rPr>
        <w:t>201</w:t>
      </w:r>
      <w:r>
        <w:rPr>
          <w:rFonts w:hint="eastAsia" w:ascii="黑体" w:hAnsi="黑体" w:eastAsia="黑体"/>
          <w:color w:val="000000"/>
          <w:sz w:val="72"/>
          <w:szCs w:val="72"/>
        </w:rPr>
        <w:t>9</w:t>
      </w:r>
      <w:r>
        <w:rPr>
          <w:rFonts w:hint="eastAsia" w:ascii="方正小标宋简体" w:hAnsi="宋体" w:eastAsia="方正小标宋简体"/>
          <w:color w:val="000000"/>
          <w:sz w:val="72"/>
          <w:szCs w:val="72"/>
        </w:rPr>
        <w:t>年度</w:t>
      </w:r>
      <w:bookmarkEnd w:id="1"/>
      <w:bookmarkEnd w:id="2"/>
      <w:bookmarkEnd w:id="3"/>
      <w:bookmarkEnd w:id="4"/>
      <w:bookmarkEnd w:id="5"/>
      <w:bookmarkEnd w:id="6"/>
    </w:p>
    <w:p w14:paraId="4AB306D8">
      <w:pPr>
        <w:adjustRightInd w:val="0"/>
        <w:snapToGrid w:val="0"/>
        <w:spacing w:line="360" w:lineRule="auto"/>
        <w:jc w:val="center"/>
        <w:outlineLvl w:val="0"/>
        <w:rPr>
          <w:rFonts w:ascii="方正小标宋简体" w:hAnsi="宋体" w:eastAsia="方正小标宋简体"/>
          <w:color w:val="000000"/>
          <w:sz w:val="72"/>
          <w:szCs w:val="72"/>
        </w:rPr>
      </w:pPr>
      <w:bookmarkStart w:id="7" w:name="_Toc15396476"/>
      <w:bookmarkStart w:id="8" w:name="_Toc15378442"/>
      <w:bookmarkStart w:id="9" w:name="_Toc52180063"/>
      <w:bookmarkStart w:id="10" w:name="_Toc15396598"/>
      <w:bookmarkStart w:id="11" w:name="_Toc15377194"/>
      <w:bookmarkStart w:id="12" w:name="_Toc15377426"/>
      <w:r>
        <w:rPr>
          <w:rFonts w:hint="eastAsia" w:ascii="方正小标宋简体" w:hAnsi="宋体" w:eastAsia="方正小标宋简体"/>
          <w:color w:val="000000"/>
          <w:sz w:val="72"/>
          <w:szCs w:val="72"/>
        </w:rPr>
        <w:t>盐边县</w:t>
      </w:r>
      <w:bookmarkEnd w:id="0"/>
      <w:bookmarkStart w:id="13" w:name="_Toc15306268"/>
      <w:r>
        <w:rPr>
          <w:rFonts w:hint="eastAsia" w:ascii="方正小标宋简体" w:hAnsi="宋体" w:eastAsia="方正小标宋简体"/>
          <w:color w:val="000000"/>
          <w:sz w:val="72"/>
          <w:szCs w:val="72"/>
        </w:rPr>
        <w:t>永兴镇人民政府</w:t>
      </w:r>
    </w:p>
    <w:p w14:paraId="41501896">
      <w:pPr>
        <w:adjustRightInd w:val="0"/>
        <w:snapToGrid w:val="0"/>
        <w:spacing w:line="360" w:lineRule="auto"/>
        <w:jc w:val="center"/>
        <w:outlineLvl w:val="0"/>
        <w:rPr>
          <w:rFonts w:ascii="方正小标宋简体" w:hAnsi="宋体" w:eastAsia="方正小标宋简体"/>
          <w:color w:val="000000"/>
          <w:sz w:val="72"/>
          <w:szCs w:val="72"/>
        </w:rPr>
      </w:pPr>
      <w:r>
        <w:rPr>
          <w:rFonts w:hint="eastAsia" w:ascii="方正小标宋简体" w:hAnsi="宋体" w:eastAsia="方正小标宋简体"/>
          <w:color w:val="000000"/>
          <w:sz w:val="72"/>
          <w:szCs w:val="72"/>
        </w:rPr>
        <w:t>部门决算</w:t>
      </w:r>
      <w:bookmarkEnd w:id="7"/>
      <w:bookmarkEnd w:id="8"/>
      <w:bookmarkEnd w:id="9"/>
      <w:bookmarkEnd w:id="10"/>
      <w:bookmarkEnd w:id="11"/>
      <w:bookmarkEnd w:id="12"/>
      <w:bookmarkEnd w:id="13"/>
    </w:p>
    <w:p w14:paraId="7DEAC82A">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olor w:val="000000"/>
          <w:sz w:val="48"/>
          <w:szCs w:val="48"/>
        </w:rPr>
        <w:t>目录</w:t>
      </w:r>
    </w:p>
    <w:p w14:paraId="6B13E3F4">
      <w:pPr>
        <w:widowControl/>
        <w:jc w:val="center"/>
        <w:rPr>
          <w:rFonts w:ascii="黑体" w:hAnsi="黑体" w:eastAsia="黑体" w:cs="黑体"/>
          <w:sz w:val="28"/>
          <w:szCs w:val="28"/>
        </w:rPr>
      </w:pPr>
    </w:p>
    <w:p w14:paraId="21847B1F">
      <w:pPr>
        <w:pStyle w:val="11"/>
      </w:pPr>
      <w:r>
        <w:rPr>
          <w:rFonts w:hint="eastAsia"/>
        </w:rPr>
        <w:t>公开时间：2020年10月23日</w:t>
      </w:r>
    </w:p>
    <w:p w14:paraId="150D7DFE">
      <w:pPr>
        <w:pStyle w:val="2"/>
        <w:jc w:val="center"/>
        <w:rPr>
          <w:rFonts w:hint="eastAsia" w:ascii="黑体" w:hAnsi="黑体" w:eastAsia="黑体"/>
          <w:b w:val="0"/>
        </w:rPr>
      </w:pPr>
      <w:bookmarkStart w:id="14" w:name="_Toc15396599"/>
      <w:bookmarkStart w:id="15" w:name="_Toc15377196"/>
      <w:bookmarkStart w:id="16" w:name="_Toc52180065"/>
    </w:p>
    <w:p w14:paraId="784DFD75">
      <w:pPr>
        <w:pStyle w:val="2"/>
        <w:jc w:val="center"/>
        <w:rPr>
          <w:rFonts w:hint="eastAsia" w:ascii="黑体" w:hAnsi="黑体" w:eastAsia="黑体"/>
          <w:b w:val="0"/>
        </w:rPr>
      </w:pPr>
    </w:p>
    <w:p w14:paraId="3A3814CB">
      <w:pPr>
        <w:pStyle w:val="2"/>
        <w:jc w:val="center"/>
        <w:rPr>
          <w:rFonts w:hint="eastAsia" w:ascii="黑体" w:hAnsi="黑体" w:eastAsia="黑体"/>
          <w:b w:val="0"/>
        </w:rPr>
      </w:pPr>
    </w:p>
    <w:p w14:paraId="41FBBFB4">
      <w:pPr>
        <w:pStyle w:val="2"/>
        <w:jc w:val="center"/>
        <w:rPr>
          <w:rFonts w:hint="eastAsia" w:ascii="黑体" w:hAnsi="黑体" w:eastAsia="黑体"/>
          <w:b w:val="0"/>
        </w:rPr>
      </w:pPr>
    </w:p>
    <w:p w14:paraId="1C3E3A31">
      <w:pPr>
        <w:pStyle w:val="2"/>
        <w:jc w:val="center"/>
        <w:rPr>
          <w:rFonts w:hint="eastAsia" w:ascii="黑体" w:hAnsi="黑体" w:eastAsia="黑体"/>
          <w:b w:val="0"/>
        </w:rPr>
      </w:pPr>
    </w:p>
    <w:p w14:paraId="5462AD9C">
      <w:pPr>
        <w:pStyle w:val="2"/>
        <w:jc w:val="center"/>
        <w:rPr>
          <w:rFonts w:hint="eastAsia" w:ascii="黑体" w:hAnsi="黑体" w:eastAsia="黑体"/>
          <w:b w:val="0"/>
        </w:rPr>
      </w:pPr>
    </w:p>
    <w:p w14:paraId="760774DA">
      <w:pPr>
        <w:pStyle w:val="2"/>
        <w:jc w:val="center"/>
        <w:rPr>
          <w:rFonts w:hint="eastAsia" w:ascii="黑体" w:hAnsi="黑体" w:eastAsia="黑体"/>
          <w:b w:val="0"/>
        </w:rPr>
      </w:pPr>
    </w:p>
    <w:p w14:paraId="0F866DF0">
      <w:pPr>
        <w:pStyle w:val="2"/>
        <w:jc w:val="center"/>
        <w:rPr>
          <w:rFonts w:hint="eastAsia" w:ascii="黑体" w:hAnsi="黑体" w:eastAsia="黑体"/>
          <w:b w:val="0"/>
        </w:rPr>
      </w:pPr>
    </w:p>
    <w:p w14:paraId="40FFD169">
      <w:pPr>
        <w:pStyle w:val="2"/>
        <w:jc w:val="center"/>
        <w:rPr>
          <w:rFonts w:hint="eastAsia" w:ascii="黑体" w:hAnsi="黑体" w:eastAsia="黑体"/>
          <w:b w:val="0"/>
        </w:rPr>
      </w:pPr>
    </w:p>
    <w:bookmarkEnd w:id="14"/>
    <w:bookmarkEnd w:id="15"/>
    <w:bookmarkEnd w:id="16"/>
    <w:p w14:paraId="608F1E7D">
      <w:pPr>
        <w:widowControl/>
        <w:jc w:val="left"/>
        <w:rPr>
          <w:rFonts w:ascii="黑体" w:eastAsia="黑体"/>
          <w:color w:val="000000"/>
          <w:sz w:val="32"/>
          <w:szCs w:val="32"/>
        </w:rPr>
      </w:pPr>
    </w:p>
    <w:p w14:paraId="68F93BF8">
      <w:pPr>
        <w:pStyle w:val="3"/>
        <w:jc w:val="center"/>
        <w:rPr>
          <w:rStyle w:val="27"/>
          <w:rFonts w:hint="eastAsia" w:ascii="黑体" w:hAnsi="黑体" w:cs="Times New Roman"/>
          <w:b/>
          <w:bCs w:val="0"/>
        </w:rPr>
      </w:pPr>
      <w:bookmarkStart w:id="17" w:name="_Toc15396600"/>
      <w:bookmarkStart w:id="18" w:name="_Toc15377197"/>
      <w:bookmarkStart w:id="19" w:name="_Toc52180066"/>
      <w:r>
        <w:rPr>
          <w:rStyle w:val="27"/>
          <w:rFonts w:hint="eastAsia" w:ascii="黑体" w:hAnsi="黑体" w:cs="Times New Roman"/>
          <w:b/>
          <w:bCs w:val="0"/>
        </w:rPr>
        <w:t>第一部分  部门概况</w:t>
      </w:r>
    </w:p>
    <w:p w14:paraId="48DFBD91">
      <w:pPr>
        <w:pStyle w:val="3"/>
        <w:rPr>
          <w:rFonts w:hint="eastAsia" w:ascii="黑体" w:hAnsi="黑体" w:eastAsia="黑体"/>
          <w:b w:val="0"/>
          <w:color w:val="000000"/>
        </w:rPr>
      </w:pPr>
    </w:p>
    <w:p w14:paraId="3871262D">
      <w:pPr>
        <w:pStyle w:val="3"/>
        <w:rPr>
          <w:rStyle w:val="28"/>
          <w:rFonts w:ascii="仿宋" w:hAnsi="仿宋" w:eastAsia="仿宋"/>
          <w:b w:val="0"/>
          <w:bCs w:val="0"/>
        </w:rPr>
      </w:pPr>
      <w:r>
        <w:rPr>
          <w:rFonts w:hint="eastAsia" w:ascii="黑体" w:hAnsi="黑体" w:eastAsia="黑体"/>
          <w:b w:val="0"/>
          <w:color w:val="000000"/>
        </w:rPr>
        <w:t>一、基</w:t>
      </w:r>
      <w:r>
        <w:rPr>
          <w:rStyle w:val="28"/>
          <w:rFonts w:hint="eastAsia" w:ascii="黑体" w:hAnsi="黑体" w:eastAsia="黑体"/>
          <w:b w:val="0"/>
          <w:bCs w:val="0"/>
        </w:rPr>
        <w:t>本职能及主要工作</w:t>
      </w:r>
      <w:bookmarkEnd w:id="17"/>
      <w:bookmarkEnd w:id="18"/>
      <w:bookmarkEnd w:id="19"/>
    </w:p>
    <w:p w14:paraId="7ED20250">
      <w:pPr>
        <w:pStyle w:val="5"/>
        <w:adjustRightInd w:val="0"/>
        <w:snapToGrid w:val="0"/>
        <w:spacing w:before="93" w:line="600" w:lineRule="exact"/>
        <w:ind w:firstLine="672" w:firstLineChars="210"/>
        <w:outlineLvl w:val="2"/>
        <w:rPr>
          <w:rFonts w:ascii="仿宋" w:hAnsi="仿宋" w:eastAsia="仿宋"/>
          <w:bCs/>
          <w:color w:val="000000"/>
          <w:sz w:val="32"/>
          <w:szCs w:val="32"/>
        </w:rPr>
      </w:pPr>
      <w:bookmarkStart w:id="20" w:name="_Toc15377198"/>
      <w:bookmarkStart w:id="21" w:name="_Toc52180067"/>
      <w:bookmarkStart w:id="22" w:name="_Toc15378445"/>
      <w:r>
        <w:rPr>
          <w:rFonts w:hint="eastAsia" w:ascii="仿宋" w:hAnsi="仿宋" w:eastAsia="仿宋"/>
          <w:bCs/>
          <w:color w:val="000000"/>
          <w:sz w:val="32"/>
          <w:szCs w:val="32"/>
        </w:rPr>
        <w:t>（一）主要职能。</w:t>
      </w:r>
      <w:bookmarkEnd w:id="20"/>
      <w:bookmarkEnd w:id="21"/>
      <w:bookmarkEnd w:id="22"/>
    </w:p>
    <w:p w14:paraId="5F7E9415">
      <w:pPr>
        <w:ind w:firstLine="600"/>
        <w:rPr>
          <w:rFonts w:ascii="仿宋_GB2312" w:eastAsia="仿宋_GB2312"/>
          <w:color w:val="000000"/>
          <w:kern w:val="0"/>
          <w:sz w:val="32"/>
          <w:szCs w:val="32"/>
        </w:rPr>
      </w:pPr>
      <w:r>
        <w:rPr>
          <w:rFonts w:hint="eastAsia" w:ascii="仿宋_GB2312" w:eastAsia="仿宋_GB2312"/>
          <w:color w:val="000000"/>
          <w:kern w:val="0"/>
          <w:sz w:val="32"/>
          <w:szCs w:val="32"/>
        </w:rPr>
        <w:t>1.贯彻执行国家有关财政管理等方面的法律、法规和规章;拟定和执行乡镇财政发展规划及其他有关政策。</w:t>
      </w:r>
    </w:p>
    <w:p w14:paraId="0C588C45">
      <w:pPr>
        <w:ind w:firstLine="600"/>
        <w:rPr>
          <w:rFonts w:ascii="仿宋_GB2312" w:eastAsia="仿宋_GB2312"/>
          <w:color w:val="000000"/>
          <w:kern w:val="0"/>
          <w:sz w:val="32"/>
          <w:szCs w:val="32"/>
        </w:rPr>
      </w:pPr>
      <w:r>
        <w:rPr>
          <w:rFonts w:hint="eastAsia" w:ascii="仿宋_GB2312" w:eastAsia="仿宋_GB2312"/>
          <w:color w:val="000000"/>
          <w:kern w:val="0"/>
          <w:sz w:val="32"/>
          <w:szCs w:val="32"/>
        </w:rPr>
        <w:t>2.编制乡镇年度财政预算草案并组织执行;向乡镇人大报告财政决算;管理和监督乡镇各项财政收支。</w:t>
      </w:r>
    </w:p>
    <w:p w14:paraId="3E716498">
      <w:pPr>
        <w:ind w:firstLine="600"/>
        <w:rPr>
          <w:rFonts w:ascii="仿宋_GB2312" w:eastAsia="仿宋_GB2312"/>
          <w:color w:val="000000"/>
          <w:kern w:val="0"/>
          <w:sz w:val="32"/>
          <w:szCs w:val="32"/>
        </w:rPr>
      </w:pPr>
      <w:r>
        <w:rPr>
          <w:rFonts w:hint="eastAsia" w:ascii="仿宋_GB2312" w:eastAsia="仿宋_GB2312"/>
          <w:color w:val="000000"/>
          <w:kern w:val="0"/>
          <w:sz w:val="32"/>
          <w:szCs w:val="32"/>
        </w:rPr>
        <w:t>3.管理各类政策性补贴等资金，建立惠农资金补助对象管理新机制，进一步完善财政补贴农民资金“一卡(折)通”发放机制。</w:t>
      </w:r>
    </w:p>
    <w:p w14:paraId="0E24A10D">
      <w:pPr>
        <w:ind w:firstLine="600"/>
        <w:rPr>
          <w:rFonts w:ascii="仿宋_GB2312" w:eastAsia="仿宋_GB2312"/>
          <w:color w:val="000000"/>
          <w:kern w:val="0"/>
          <w:sz w:val="32"/>
          <w:szCs w:val="32"/>
        </w:rPr>
      </w:pPr>
      <w:r>
        <w:rPr>
          <w:rFonts w:hint="eastAsia" w:ascii="仿宋_GB2312" w:eastAsia="仿宋_GB2312"/>
          <w:color w:val="000000"/>
          <w:kern w:val="0"/>
          <w:sz w:val="32"/>
          <w:szCs w:val="32"/>
        </w:rPr>
        <w:t>4.负责乡镇耕地占用税和契税的征收管理;管理乡镇政府非税收入。</w:t>
      </w:r>
    </w:p>
    <w:p w14:paraId="6DEBD818">
      <w:pPr>
        <w:ind w:firstLine="600"/>
        <w:rPr>
          <w:rFonts w:ascii="仿宋_GB2312" w:eastAsia="仿宋_GB2312"/>
          <w:color w:val="000000"/>
          <w:kern w:val="0"/>
          <w:sz w:val="32"/>
          <w:szCs w:val="32"/>
        </w:rPr>
      </w:pPr>
      <w:r>
        <w:rPr>
          <w:rFonts w:hint="eastAsia" w:ascii="仿宋_GB2312" w:eastAsia="仿宋_GB2312"/>
          <w:color w:val="000000"/>
          <w:kern w:val="0"/>
          <w:sz w:val="32"/>
          <w:szCs w:val="32"/>
        </w:rPr>
        <w:t>5.负责对各类专项资金的监管，提高财政资金使用效率。</w:t>
      </w:r>
    </w:p>
    <w:p w14:paraId="0F819CAF">
      <w:pPr>
        <w:ind w:firstLine="600"/>
        <w:rPr>
          <w:rFonts w:ascii="仿宋_GB2312" w:eastAsia="仿宋_GB2312"/>
          <w:color w:val="000000"/>
          <w:kern w:val="0"/>
          <w:sz w:val="32"/>
          <w:szCs w:val="32"/>
        </w:rPr>
      </w:pPr>
      <w:r>
        <w:rPr>
          <w:rFonts w:hint="eastAsia" w:ascii="仿宋_GB2312" w:eastAsia="仿宋_GB2312"/>
          <w:color w:val="000000"/>
          <w:kern w:val="0"/>
          <w:sz w:val="32"/>
          <w:szCs w:val="32"/>
        </w:rPr>
        <w:t>6.提出加强财政管理的政策建议;负责财政、税收政策法规的宣传工作。</w:t>
      </w:r>
    </w:p>
    <w:p w14:paraId="6A19A58C">
      <w:pPr>
        <w:ind w:firstLine="600"/>
        <w:rPr>
          <w:rFonts w:ascii="仿宋_GB2312" w:eastAsia="仿宋_GB2312"/>
          <w:color w:val="000000"/>
          <w:kern w:val="0"/>
          <w:sz w:val="32"/>
          <w:szCs w:val="32"/>
        </w:rPr>
      </w:pPr>
      <w:r>
        <w:rPr>
          <w:rFonts w:hint="eastAsia" w:ascii="仿宋_GB2312" w:eastAsia="仿宋_GB2312"/>
          <w:color w:val="000000"/>
          <w:kern w:val="0"/>
          <w:sz w:val="32"/>
          <w:szCs w:val="32"/>
        </w:rPr>
        <w:t>7.执行会计集中核算，落实“乡财县管、村账乡监”、“农村三资代理服务”等管理制度，严格按照上级财政部门规定的工作程序开展工作，充分发挥财政资金效益。</w:t>
      </w:r>
    </w:p>
    <w:p w14:paraId="29B2A565">
      <w:pPr>
        <w:ind w:firstLine="600"/>
        <w:rPr>
          <w:rFonts w:ascii="仿宋_GB2312" w:eastAsia="仿宋_GB2312"/>
          <w:color w:val="000000"/>
          <w:kern w:val="0"/>
          <w:sz w:val="32"/>
          <w:szCs w:val="32"/>
        </w:rPr>
      </w:pPr>
      <w:r>
        <w:rPr>
          <w:rFonts w:hint="eastAsia" w:ascii="仿宋_GB2312" w:eastAsia="仿宋_GB2312"/>
          <w:color w:val="000000"/>
          <w:kern w:val="0"/>
          <w:sz w:val="32"/>
          <w:szCs w:val="32"/>
        </w:rPr>
        <w:t>8.负责本乡镇行政事业单位的国有资产监督管理工作。</w:t>
      </w:r>
    </w:p>
    <w:p w14:paraId="24922BE9">
      <w:pPr>
        <w:ind w:firstLine="600"/>
        <w:rPr>
          <w:rFonts w:ascii="仿宋_GB2312" w:eastAsia="仿宋_GB2312"/>
          <w:color w:val="000000"/>
          <w:kern w:val="0"/>
          <w:sz w:val="32"/>
          <w:szCs w:val="32"/>
        </w:rPr>
      </w:pPr>
      <w:r>
        <w:rPr>
          <w:rFonts w:hint="eastAsia" w:ascii="仿宋_GB2312" w:eastAsia="仿宋_GB2312"/>
          <w:color w:val="000000"/>
          <w:kern w:val="0"/>
          <w:sz w:val="32"/>
          <w:szCs w:val="32"/>
        </w:rPr>
        <w:t>9.负责做好农村综合改革和社会主义新农村建设相关工作。</w:t>
      </w:r>
    </w:p>
    <w:p w14:paraId="26E2ED0A">
      <w:pPr>
        <w:ind w:firstLine="600"/>
        <w:rPr>
          <w:rFonts w:ascii="仿宋" w:hAnsi="仿宋" w:eastAsia="仿宋"/>
          <w:bCs/>
          <w:color w:val="000000"/>
          <w:sz w:val="32"/>
          <w:szCs w:val="32"/>
        </w:rPr>
      </w:pPr>
      <w:r>
        <w:rPr>
          <w:rFonts w:hint="eastAsia" w:ascii="仿宋_GB2312" w:eastAsia="仿宋_GB2312"/>
          <w:color w:val="000000"/>
          <w:kern w:val="0"/>
          <w:sz w:val="32"/>
          <w:szCs w:val="32"/>
        </w:rPr>
        <w:t>10、承办乡镇党委、政府及上级财政部门交办的其他事项。</w:t>
      </w:r>
    </w:p>
    <w:p w14:paraId="5AE14B5D">
      <w:pPr>
        <w:pStyle w:val="5"/>
        <w:adjustRightInd w:val="0"/>
        <w:snapToGrid w:val="0"/>
        <w:spacing w:before="93" w:line="600" w:lineRule="exact"/>
        <w:ind w:firstLine="672" w:firstLineChars="210"/>
        <w:outlineLvl w:val="2"/>
        <w:rPr>
          <w:rFonts w:ascii="仿宋" w:hAnsi="仿宋" w:eastAsia="仿宋"/>
          <w:bCs/>
          <w:color w:val="000000"/>
          <w:sz w:val="32"/>
          <w:szCs w:val="32"/>
        </w:rPr>
      </w:pPr>
      <w:bookmarkStart w:id="23" w:name="_Toc52180068"/>
      <w:bookmarkStart w:id="24" w:name="_Toc15377199"/>
      <w:bookmarkStart w:id="25" w:name="_Toc15378446"/>
      <w:r>
        <w:rPr>
          <w:rFonts w:hint="eastAsia" w:ascii="仿宋" w:hAnsi="仿宋" w:eastAsia="仿宋"/>
          <w:bCs/>
          <w:color w:val="000000"/>
          <w:sz w:val="32"/>
          <w:szCs w:val="32"/>
        </w:rPr>
        <w:t>（二）</w:t>
      </w:r>
      <w:r>
        <w:rPr>
          <w:rFonts w:ascii="仿宋" w:hAnsi="仿宋" w:eastAsia="仿宋"/>
          <w:bCs/>
          <w:color w:val="000000"/>
          <w:sz w:val="32"/>
          <w:szCs w:val="32"/>
        </w:rPr>
        <w:t>201</w:t>
      </w:r>
      <w:r>
        <w:rPr>
          <w:rFonts w:hint="eastAsia" w:ascii="仿宋" w:hAnsi="仿宋" w:eastAsia="仿宋"/>
          <w:bCs/>
          <w:color w:val="000000"/>
          <w:sz w:val="32"/>
          <w:szCs w:val="32"/>
        </w:rPr>
        <w:t>9年重点工作完成情况。</w:t>
      </w:r>
      <w:bookmarkEnd w:id="23"/>
      <w:bookmarkEnd w:id="24"/>
      <w:bookmarkEnd w:id="25"/>
    </w:p>
    <w:p w14:paraId="770F9627">
      <w:pPr>
        <w:pStyle w:val="5"/>
        <w:adjustRightInd w:val="0"/>
        <w:snapToGrid w:val="0"/>
        <w:spacing w:before="93" w:line="600" w:lineRule="exact"/>
        <w:ind w:firstLine="672" w:firstLineChars="210"/>
        <w:outlineLvl w:val="2"/>
        <w:rPr>
          <w:rFonts w:ascii="仿宋" w:hAnsi="仿宋" w:eastAsia="仿宋"/>
          <w:bCs/>
          <w:color w:val="000000"/>
          <w:sz w:val="32"/>
          <w:szCs w:val="32"/>
        </w:rPr>
      </w:pPr>
    </w:p>
    <w:p w14:paraId="251670BA">
      <w:pPr>
        <w:pStyle w:val="3"/>
        <w:rPr>
          <w:rStyle w:val="28"/>
          <w:b w:val="0"/>
          <w:bCs w:val="0"/>
        </w:rPr>
      </w:pPr>
      <w:bookmarkStart w:id="26" w:name="_Toc15396601"/>
      <w:bookmarkStart w:id="27" w:name="_Toc15377200"/>
      <w:bookmarkStart w:id="28" w:name="_Toc52180069"/>
      <w:r>
        <w:rPr>
          <w:rFonts w:hint="eastAsia" w:ascii="黑体" w:eastAsia="黑体"/>
          <w:b w:val="0"/>
          <w:color w:val="000000"/>
        </w:rPr>
        <w:t>二、</w:t>
      </w:r>
      <w:r>
        <w:rPr>
          <w:rFonts w:hint="eastAsia" w:ascii="黑体" w:hAnsi="黑体" w:eastAsia="黑体"/>
          <w:b w:val="0"/>
          <w:color w:val="000000"/>
        </w:rPr>
        <w:t>机</w:t>
      </w:r>
      <w:r>
        <w:rPr>
          <w:rStyle w:val="28"/>
          <w:rFonts w:hint="eastAsia" w:ascii="黑体" w:hAnsi="黑体" w:eastAsia="黑体"/>
          <w:b w:val="0"/>
          <w:bCs w:val="0"/>
        </w:rPr>
        <w:t>构设置</w:t>
      </w:r>
      <w:bookmarkEnd w:id="26"/>
      <w:bookmarkEnd w:id="27"/>
      <w:bookmarkEnd w:id="28"/>
    </w:p>
    <w:p w14:paraId="03B688C3">
      <w:pPr>
        <w:pStyle w:val="5"/>
        <w:adjustRightInd w:val="0"/>
        <w:snapToGrid w:val="0"/>
        <w:spacing w:before="93" w:line="560" w:lineRule="exact"/>
        <w:ind w:firstLine="660" w:firstLineChars="200"/>
        <w:rPr>
          <w:rFonts w:ascii="方正仿宋_GBK" w:eastAsia="方正仿宋_GBK"/>
          <w:color w:val="000000"/>
          <w:sz w:val="33"/>
          <w:szCs w:val="33"/>
        </w:rPr>
      </w:pPr>
      <w:r>
        <w:rPr>
          <w:rFonts w:hint="eastAsia" w:ascii="方正仿宋_GBK" w:eastAsia="方正仿宋_GBK"/>
          <w:color w:val="000000"/>
          <w:sz w:val="33"/>
          <w:szCs w:val="33"/>
        </w:rPr>
        <w:t>盐边县永兴镇人民政府属于机关事业一级单位，其中行政单位1个，事业单位3个，包含：农业服务中心、宣文中心、社会保障和就业服务中心。</w:t>
      </w:r>
    </w:p>
    <w:p w14:paraId="10F5AA86">
      <w:pPr>
        <w:widowControl/>
        <w:jc w:val="left"/>
        <w:rPr>
          <w:rFonts w:ascii="仿宋" w:hAnsi="仿宋" w:eastAsia="仿宋"/>
          <w:color w:val="000000"/>
          <w:kern w:val="0"/>
          <w:sz w:val="32"/>
          <w:szCs w:val="32"/>
        </w:rPr>
      </w:pPr>
    </w:p>
    <w:p w14:paraId="4D9929AE">
      <w:pPr>
        <w:pStyle w:val="2"/>
        <w:ind w:right="440"/>
        <w:jc w:val="right"/>
        <w:rPr>
          <w:rFonts w:ascii="黑体" w:hAnsi="黑体" w:eastAsia="黑体"/>
          <w:b w:val="0"/>
          <w:color w:val="000000"/>
        </w:rPr>
      </w:pPr>
      <w:bookmarkStart w:id="29" w:name="_Toc15377204"/>
      <w:bookmarkStart w:id="30" w:name="_Toc15396602"/>
      <w:bookmarkStart w:id="31" w:name="_Toc52180073"/>
    </w:p>
    <w:p w14:paraId="617A7060">
      <w:pPr>
        <w:pStyle w:val="2"/>
        <w:ind w:right="440"/>
        <w:rPr>
          <w:rFonts w:ascii="黑体" w:hAnsi="黑体" w:eastAsia="黑体"/>
          <w:b w:val="0"/>
          <w:color w:val="000000"/>
        </w:rPr>
      </w:pPr>
    </w:p>
    <w:p w14:paraId="536F76A0">
      <w:pPr>
        <w:pStyle w:val="2"/>
        <w:ind w:right="440"/>
        <w:rPr>
          <w:rFonts w:ascii="黑体" w:hAnsi="黑体" w:eastAsia="黑体"/>
          <w:b w:val="0"/>
          <w:color w:val="000000"/>
        </w:rPr>
      </w:pPr>
    </w:p>
    <w:p w14:paraId="1ABBA346">
      <w:pPr>
        <w:pStyle w:val="2"/>
        <w:ind w:right="440"/>
        <w:rPr>
          <w:rFonts w:hint="eastAsia" w:ascii="黑体" w:hAnsi="黑体" w:eastAsia="黑体"/>
          <w:b w:val="0"/>
          <w:color w:val="000000"/>
        </w:rPr>
      </w:pPr>
    </w:p>
    <w:p w14:paraId="7E68E28A">
      <w:pPr>
        <w:pStyle w:val="2"/>
        <w:ind w:right="440"/>
        <w:rPr>
          <w:rFonts w:hint="eastAsia" w:ascii="黑体" w:hAnsi="黑体" w:eastAsia="黑体"/>
          <w:b w:val="0"/>
          <w:color w:val="000000"/>
        </w:rPr>
      </w:pPr>
    </w:p>
    <w:p w14:paraId="24A720CA">
      <w:pPr>
        <w:rPr>
          <w:rFonts w:hint="eastAsia"/>
        </w:rPr>
      </w:pPr>
    </w:p>
    <w:p w14:paraId="1AA6662E">
      <w:pPr>
        <w:pStyle w:val="2"/>
        <w:ind w:right="440"/>
        <w:rPr>
          <w:rStyle w:val="27"/>
          <w:rFonts w:ascii="黑体" w:hAnsi="黑体" w:eastAsia="黑体"/>
          <w:b w:val="0"/>
          <w:bCs w:val="0"/>
        </w:rPr>
      </w:pPr>
      <w:r>
        <w:rPr>
          <w:rFonts w:hint="eastAsia" w:ascii="黑体" w:hAnsi="黑体" w:eastAsia="黑体"/>
          <w:b w:val="0"/>
          <w:color w:val="000000"/>
        </w:rPr>
        <w:t>第二部分</w:t>
      </w:r>
      <w:r>
        <w:rPr>
          <w:rFonts w:hint="eastAsia" w:ascii="黑体" w:hAnsi="黑体" w:eastAsia="黑体"/>
          <w:color w:val="000000"/>
        </w:rPr>
        <w:t xml:space="preserve"> </w:t>
      </w:r>
      <w:r>
        <w:rPr>
          <w:rStyle w:val="27"/>
          <w:rFonts w:hint="eastAsia" w:ascii="黑体" w:hAnsi="黑体" w:eastAsia="黑体"/>
          <w:b w:val="0"/>
          <w:bCs w:val="0"/>
        </w:rPr>
        <w:t>2019年度部门决算情况说明</w:t>
      </w:r>
      <w:bookmarkEnd w:id="29"/>
      <w:bookmarkEnd w:id="30"/>
      <w:bookmarkEnd w:id="31"/>
    </w:p>
    <w:p w14:paraId="03176008"/>
    <w:p w14:paraId="35D2F23B">
      <w:pPr>
        <w:pStyle w:val="18"/>
        <w:numPr>
          <w:ilvl w:val="0"/>
          <w:numId w:val="1"/>
        </w:numPr>
        <w:spacing w:line="600" w:lineRule="exact"/>
        <w:ind w:firstLineChars="0"/>
        <w:outlineLvl w:val="1"/>
        <w:rPr>
          <w:rStyle w:val="28"/>
          <w:rFonts w:ascii="黑体" w:hAnsi="黑体" w:eastAsia="黑体"/>
          <w:b w:val="0"/>
        </w:rPr>
      </w:pPr>
      <w:bookmarkStart w:id="32" w:name="_Toc15396603"/>
      <w:bookmarkStart w:id="33" w:name="_Toc52180074"/>
      <w:bookmarkStart w:id="34" w:name="_Toc15377205"/>
      <w:r>
        <w:rPr>
          <w:rFonts w:hint="eastAsia" w:ascii="黑体" w:hAnsi="黑体" w:eastAsia="黑体"/>
          <w:color w:val="000000"/>
          <w:sz w:val="32"/>
          <w:szCs w:val="32"/>
        </w:rPr>
        <w:t>收</w:t>
      </w:r>
      <w:r>
        <w:rPr>
          <w:rStyle w:val="28"/>
          <w:rFonts w:hint="eastAsia" w:ascii="黑体" w:hAnsi="黑体" w:eastAsia="黑体"/>
          <w:b w:val="0"/>
        </w:rPr>
        <w:t>入支出决算总体情况说明</w:t>
      </w:r>
      <w:bookmarkEnd w:id="32"/>
      <w:bookmarkEnd w:id="33"/>
      <w:bookmarkEnd w:id="34"/>
    </w:p>
    <w:p w14:paraId="1AB74FB9">
      <w:pPr>
        <w:spacing w:line="600" w:lineRule="exact"/>
        <w:ind w:firstLine="640" w:firstLineChars="200"/>
        <w:rPr>
          <w:rFonts w:ascii="仿宋_GB2312" w:eastAsia="仿宋_GB2312"/>
          <w:color w:val="000000"/>
          <w:sz w:val="32"/>
          <w:szCs w:val="32"/>
        </w:rPr>
      </w:pPr>
      <w:r>
        <w:rPr>
          <w:rFonts w:hint="eastAsia" w:ascii="仿宋" w:hAnsi="仿宋" w:eastAsia="仿宋"/>
          <w:color w:val="000000"/>
          <w:sz w:val="32"/>
          <w:szCs w:val="32"/>
        </w:rPr>
        <w:t>2019年度收入1824.83万元，支出1825.34万元。与2018年相比，收支各增加204.33、212.67万元，分别增长12.6</w:t>
      </w:r>
      <w:r>
        <w:rPr>
          <w:rFonts w:ascii="仿宋" w:hAnsi="仿宋" w:eastAsia="仿宋"/>
          <w:color w:val="000000"/>
          <w:sz w:val="32"/>
          <w:szCs w:val="32"/>
        </w:rPr>
        <w:t>%</w:t>
      </w:r>
      <w:r>
        <w:rPr>
          <w:rFonts w:hint="eastAsia" w:ascii="仿宋" w:hAnsi="仿宋" w:eastAsia="仿宋"/>
          <w:color w:val="000000"/>
          <w:sz w:val="32"/>
          <w:szCs w:val="32"/>
        </w:rPr>
        <w:t>、13.2%。主要变动原因是项目经费增加</w:t>
      </w:r>
    </w:p>
    <w:p w14:paraId="4D4072BD">
      <w:pPr>
        <w:pStyle w:val="18"/>
        <w:numPr>
          <w:ilvl w:val="0"/>
          <w:numId w:val="1"/>
        </w:numPr>
        <w:spacing w:line="600" w:lineRule="exact"/>
        <w:ind w:firstLineChars="0"/>
        <w:outlineLvl w:val="1"/>
        <w:rPr>
          <w:rStyle w:val="28"/>
          <w:rFonts w:ascii="黑体" w:hAnsi="黑体" w:eastAsia="黑体"/>
          <w:b w:val="0"/>
        </w:rPr>
      </w:pPr>
      <w:bookmarkStart w:id="35" w:name="_Toc15396604"/>
      <w:bookmarkStart w:id="36" w:name="_Toc52180075"/>
      <w:bookmarkStart w:id="37" w:name="_Toc15377206"/>
      <w:r>
        <w:rPr>
          <w:rFonts w:hint="eastAsia" w:ascii="黑体" w:hAnsi="黑体" w:eastAsia="黑体"/>
          <w:color w:val="000000"/>
          <w:sz w:val="32"/>
          <w:szCs w:val="32"/>
        </w:rPr>
        <w:t>收</w:t>
      </w:r>
      <w:r>
        <w:rPr>
          <w:rStyle w:val="28"/>
          <w:rFonts w:hint="eastAsia" w:ascii="黑体" w:hAnsi="黑体" w:eastAsia="黑体"/>
          <w:b w:val="0"/>
        </w:rPr>
        <w:t>入决算情况说明</w:t>
      </w:r>
      <w:bookmarkEnd w:id="35"/>
      <w:bookmarkEnd w:id="36"/>
      <w:bookmarkEnd w:id="37"/>
    </w:p>
    <w:p w14:paraId="75A0521A">
      <w:pPr>
        <w:spacing w:line="600" w:lineRule="exact"/>
        <w:ind w:firstLine="640" w:firstLineChars="200"/>
        <w:outlineLvl w:val="1"/>
        <w:rPr>
          <w:rFonts w:ascii="仿宋_GB2312" w:eastAsia="仿宋_GB2312"/>
          <w:color w:val="FF0000"/>
          <w:sz w:val="32"/>
          <w:szCs w:val="32"/>
        </w:rPr>
      </w:pPr>
      <w:bookmarkStart w:id="38" w:name="_Toc52180076"/>
      <w:r>
        <w:rPr>
          <w:rFonts w:ascii="仿宋" w:hAnsi="仿宋" w:eastAsia="仿宋"/>
          <w:color w:val="000000"/>
          <w:sz w:val="32"/>
          <w:szCs w:val="32"/>
        </w:rPr>
        <w:t>201</w:t>
      </w:r>
      <w:r>
        <w:rPr>
          <w:rFonts w:hint="eastAsia" w:ascii="仿宋" w:hAnsi="仿宋" w:eastAsia="仿宋"/>
          <w:color w:val="000000"/>
          <w:sz w:val="32"/>
          <w:szCs w:val="32"/>
        </w:rPr>
        <w:t>9年本年收入合计1824.83万元，其中：一般公共预算财政拨款收入1824.83万元，占100</w:t>
      </w:r>
      <w:r>
        <w:rPr>
          <w:rFonts w:ascii="仿宋" w:hAnsi="仿宋" w:eastAsia="仿宋"/>
          <w:color w:val="000000"/>
          <w:sz w:val="32"/>
          <w:szCs w:val="32"/>
        </w:rPr>
        <w:t>%</w:t>
      </w:r>
      <w:r>
        <w:rPr>
          <w:rFonts w:hint="eastAsia" w:ascii="仿宋" w:hAnsi="仿宋" w:eastAsia="仿宋"/>
          <w:color w:val="000000"/>
          <w:sz w:val="32"/>
          <w:szCs w:val="32"/>
        </w:rPr>
        <w:t>。</w:t>
      </w:r>
      <w:bookmarkEnd w:id="38"/>
    </w:p>
    <w:p w14:paraId="759941D0">
      <w:pPr>
        <w:pStyle w:val="18"/>
        <w:numPr>
          <w:ilvl w:val="0"/>
          <w:numId w:val="1"/>
        </w:numPr>
        <w:spacing w:line="600" w:lineRule="exact"/>
        <w:ind w:firstLineChars="0"/>
        <w:outlineLvl w:val="1"/>
        <w:rPr>
          <w:rStyle w:val="28"/>
          <w:rFonts w:ascii="黑体" w:hAnsi="黑体" w:eastAsia="黑体"/>
          <w:b w:val="0"/>
        </w:rPr>
      </w:pPr>
      <w:bookmarkStart w:id="39" w:name="_Toc52180077"/>
      <w:bookmarkStart w:id="40" w:name="_Toc15396605"/>
      <w:bookmarkStart w:id="41" w:name="_Toc15377207"/>
      <w:r>
        <w:rPr>
          <w:rFonts w:hint="eastAsia" w:ascii="黑体" w:hAnsi="黑体" w:eastAsia="黑体"/>
          <w:color w:val="000000"/>
          <w:sz w:val="32"/>
          <w:szCs w:val="32"/>
        </w:rPr>
        <w:t>支</w:t>
      </w:r>
      <w:r>
        <w:rPr>
          <w:rStyle w:val="28"/>
          <w:rFonts w:hint="eastAsia" w:ascii="黑体" w:hAnsi="黑体" w:eastAsia="黑体"/>
          <w:b w:val="0"/>
        </w:rPr>
        <w:t>出决算情况说明</w:t>
      </w:r>
      <w:bookmarkEnd w:id="39"/>
      <w:bookmarkEnd w:id="40"/>
      <w:bookmarkEnd w:id="41"/>
    </w:p>
    <w:p w14:paraId="20B21FDE">
      <w:pPr>
        <w:spacing w:line="600" w:lineRule="exact"/>
        <w:ind w:left="636" w:leftChars="303" w:firstLine="640" w:firstLineChars="200"/>
        <w:outlineLvl w:val="1"/>
        <w:rPr>
          <w:rFonts w:ascii="仿宋" w:hAnsi="仿宋" w:eastAsia="仿宋"/>
          <w:color w:val="000000"/>
          <w:sz w:val="32"/>
          <w:szCs w:val="32"/>
        </w:rPr>
      </w:pPr>
      <w:bookmarkStart w:id="42" w:name="_Toc52180078"/>
      <w:r>
        <w:rPr>
          <w:rFonts w:ascii="仿宋" w:hAnsi="仿宋" w:eastAsia="仿宋"/>
          <w:color w:val="000000"/>
          <w:sz w:val="32"/>
          <w:szCs w:val="32"/>
        </w:rPr>
        <w:t>201</w:t>
      </w:r>
      <w:r>
        <w:rPr>
          <w:rFonts w:hint="eastAsia" w:ascii="仿宋" w:hAnsi="仿宋" w:eastAsia="仿宋"/>
          <w:color w:val="000000"/>
          <w:sz w:val="32"/>
          <w:szCs w:val="32"/>
        </w:rPr>
        <w:t>9年本年支出合计1825.34万元，其中：基本支出1001.78万元，占54.9</w:t>
      </w:r>
      <w:r>
        <w:rPr>
          <w:rFonts w:ascii="仿宋" w:hAnsi="仿宋" w:eastAsia="仿宋"/>
          <w:color w:val="000000"/>
          <w:sz w:val="32"/>
          <w:szCs w:val="32"/>
        </w:rPr>
        <w:t>%</w:t>
      </w:r>
      <w:r>
        <w:rPr>
          <w:rFonts w:hint="eastAsia" w:ascii="仿宋" w:hAnsi="仿宋" w:eastAsia="仿宋"/>
          <w:color w:val="000000"/>
          <w:sz w:val="32"/>
          <w:szCs w:val="32"/>
        </w:rPr>
        <w:t>；项目支出823.56万元，占45.1</w:t>
      </w:r>
      <w:r>
        <w:rPr>
          <w:rFonts w:ascii="仿宋" w:hAnsi="仿宋" w:eastAsia="仿宋"/>
          <w:color w:val="000000"/>
          <w:sz w:val="32"/>
          <w:szCs w:val="32"/>
        </w:rPr>
        <w:t>%</w:t>
      </w:r>
      <w:r>
        <w:rPr>
          <w:rFonts w:hint="eastAsia" w:ascii="仿宋" w:hAnsi="仿宋" w:eastAsia="仿宋"/>
          <w:color w:val="000000"/>
          <w:sz w:val="32"/>
          <w:szCs w:val="32"/>
        </w:rPr>
        <w:t>。</w:t>
      </w:r>
      <w:bookmarkEnd w:id="42"/>
    </w:p>
    <w:p w14:paraId="65E4FFF0">
      <w:pPr>
        <w:spacing w:line="600" w:lineRule="exact"/>
        <w:ind w:firstLine="640" w:firstLineChars="200"/>
        <w:outlineLvl w:val="1"/>
        <w:rPr>
          <w:rStyle w:val="28"/>
          <w:rFonts w:ascii="黑体" w:hAnsi="黑体" w:eastAsia="黑体"/>
          <w:b w:val="0"/>
        </w:rPr>
      </w:pPr>
      <w:bookmarkStart w:id="43" w:name="_Toc15377208"/>
      <w:bookmarkStart w:id="44" w:name="_Toc52180079"/>
      <w:bookmarkStart w:id="45" w:name="_Toc15396606"/>
      <w:r>
        <w:rPr>
          <w:rFonts w:hint="eastAsia" w:ascii="黑体" w:hAnsi="黑体" w:eastAsia="黑体"/>
          <w:color w:val="000000"/>
          <w:sz w:val="32"/>
          <w:szCs w:val="32"/>
        </w:rPr>
        <w:t>四、财</w:t>
      </w:r>
      <w:r>
        <w:rPr>
          <w:rStyle w:val="28"/>
          <w:rFonts w:hint="eastAsia" w:ascii="黑体" w:hAnsi="黑体" w:eastAsia="黑体"/>
          <w:b w:val="0"/>
        </w:rPr>
        <w:t>政拨款收入支出决算总体情况说明</w:t>
      </w:r>
      <w:bookmarkEnd w:id="43"/>
      <w:bookmarkEnd w:id="44"/>
      <w:bookmarkEnd w:id="45"/>
    </w:p>
    <w:p w14:paraId="7DBB5ADE">
      <w:pPr>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9年财政拨款收入1824.83万元，支出1825.34万元。与2018年相比，收支各增加204.33、212.67万元，分别增长12.6</w:t>
      </w:r>
      <w:r>
        <w:rPr>
          <w:rFonts w:ascii="仿宋" w:hAnsi="仿宋" w:eastAsia="仿宋"/>
          <w:color w:val="000000"/>
          <w:sz w:val="32"/>
          <w:szCs w:val="32"/>
        </w:rPr>
        <w:t>%</w:t>
      </w:r>
      <w:r>
        <w:rPr>
          <w:rFonts w:hint="eastAsia" w:ascii="仿宋" w:hAnsi="仿宋" w:eastAsia="仿宋"/>
          <w:color w:val="000000"/>
          <w:sz w:val="32"/>
          <w:szCs w:val="32"/>
        </w:rPr>
        <w:t>、13.2%。主要变动原因是项目经费增加</w:t>
      </w:r>
    </w:p>
    <w:p w14:paraId="271EC552">
      <w:pPr>
        <w:spacing w:line="600" w:lineRule="exact"/>
        <w:ind w:firstLine="640" w:firstLineChars="200"/>
        <w:outlineLvl w:val="1"/>
        <w:rPr>
          <w:rStyle w:val="28"/>
          <w:rFonts w:ascii="黑体" w:hAnsi="黑体" w:eastAsia="黑体"/>
          <w:b w:val="0"/>
        </w:rPr>
      </w:pPr>
      <w:bookmarkStart w:id="46" w:name="_Toc52180080"/>
      <w:bookmarkStart w:id="47" w:name="_Toc15396607"/>
      <w:bookmarkStart w:id="48" w:name="_Toc15377209"/>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28"/>
          <w:rFonts w:hint="eastAsia" w:ascii="黑体" w:hAnsi="黑体" w:eastAsia="黑体"/>
          <w:b w:val="0"/>
        </w:rPr>
        <w:t>般公共预算财政拨款支出决算情况说明</w:t>
      </w:r>
      <w:bookmarkEnd w:id="46"/>
      <w:bookmarkEnd w:id="47"/>
      <w:bookmarkEnd w:id="48"/>
    </w:p>
    <w:p w14:paraId="57DB711D">
      <w:pPr>
        <w:spacing w:line="600" w:lineRule="exact"/>
        <w:ind w:firstLine="643" w:firstLineChars="200"/>
        <w:outlineLvl w:val="2"/>
        <w:rPr>
          <w:rFonts w:ascii="仿宋" w:hAnsi="仿宋" w:eastAsia="仿宋"/>
          <w:b/>
          <w:color w:val="000000"/>
          <w:sz w:val="32"/>
          <w:szCs w:val="32"/>
        </w:rPr>
      </w:pPr>
      <w:bookmarkStart w:id="49" w:name="_Toc15377210"/>
      <w:bookmarkStart w:id="50" w:name="_Toc52180081"/>
      <w:r>
        <w:rPr>
          <w:rFonts w:hint="eastAsia" w:ascii="仿宋" w:hAnsi="仿宋" w:eastAsia="仿宋"/>
          <w:b/>
          <w:color w:val="000000"/>
          <w:sz w:val="32"/>
          <w:szCs w:val="32"/>
        </w:rPr>
        <w:t>（一）一般公共预算财政拨款支出决算总体情况</w:t>
      </w:r>
      <w:bookmarkEnd w:id="49"/>
      <w:bookmarkEnd w:id="50"/>
    </w:p>
    <w:p w14:paraId="022F62E2">
      <w:pPr>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9年一般公共预算财政拨款支出1810.19万元，占本年支出合计的99</w:t>
      </w:r>
      <w:r>
        <w:rPr>
          <w:rFonts w:ascii="仿宋" w:hAnsi="仿宋" w:eastAsia="仿宋"/>
          <w:color w:val="000000"/>
          <w:sz w:val="32"/>
          <w:szCs w:val="32"/>
        </w:rPr>
        <w:t>%</w:t>
      </w:r>
      <w:r>
        <w:rPr>
          <w:rFonts w:hint="eastAsia" w:ascii="仿宋" w:hAnsi="仿宋" w:eastAsia="仿宋"/>
          <w:color w:val="000000"/>
          <w:sz w:val="32"/>
          <w:szCs w:val="32"/>
        </w:rPr>
        <w:t>。与</w:t>
      </w:r>
      <w:r>
        <w:rPr>
          <w:rFonts w:ascii="仿宋" w:hAnsi="仿宋" w:eastAsia="仿宋"/>
          <w:color w:val="000000"/>
          <w:sz w:val="32"/>
          <w:szCs w:val="32"/>
        </w:rPr>
        <w:t>201</w:t>
      </w:r>
      <w:r>
        <w:rPr>
          <w:rFonts w:hint="eastAsia" w:ascii="仿宋" w:hAnsi="仿宋" w:eastAsia="仿宋"/>
          <w:color w:val="000000"/>
          <w:sz w:val="32"/>
          <w:szCs w:val="32"/>
        </w:rPr>
        <w:t>8年相比，一般公共预算财政拨款增加230.52万元，增长14.6</w:t>
      </w:r>
      <w:r>
        <w:rPr>
          <w:rFonts w:ascii="仿宋" w:hAnsi="仿宋" w:eastAsia="仿宋"/>
          <w:color w:val="000000"/>
          <w:sz w:val="32"/>
          <w:szCs w:val="32"/>
        </w:rPr>
        <w:t>%</w:t>
      </w:r>
      <w:r>
        <w:rPr>
          <w:rFonts w:hint="eastAsia" w:ascii="仿宋" w:hAnsi="仿宋" w:eastAsia="仿宋"/>
          <w:color w:val="000000"/>
          <w:sz w:val="32"/>
          <w:szCs w:val="32"/>
        </w:rPr>
        <w:t>。主要变动原因是基本工资增加、中途追加预算项目增加、村社经费增加。</w:t>
      </w:r>
    </w:p>
    <w:p w14:paraId="119F8BA8">
      <w:pPr>
        <w:spacing w:line="600" w:lineRule="exact"/>
        <w:ind w:firstLine="643" w:firstLineChars="200"/>
        <w:outlineLvl w:val="2"/>
        <w:rPr>
          <w:rFonts w:ascii="仿宋" w:hAnsi="仿宋" w:eastAsia="仿宋"/>
          <w:b/>
          <w:color w:val="000000"/>
          <w:sz w:val="32"/>
          <w:szCs w:val="32"/>
        </w:rPr>
      </w:pPr>
      <w:bookmarkStart w:id="51" w:name="_Toc15377211"/>
      <w:bookmarkStart w:id="52" w:name="_Toc52180082"/>
      <w:r>
        <w:rPr>
          <w:rFonts w:hint="eastAsia" w:ascii="仿宋" w:hAnsi="仿宋" w:eastAsia="仿宋"/>
          <w:b/>
          <w:color w:val="000000"/>
          <w:sz w:val="32"/>
          <w:szCs w:val="32"/>
        </w:rPr>
        <w:t>（二）一般公共预算财政拨款支出决算结构情况</w:t>
      </w:r>
      <w:bookmarkEnd w:id="51"/>
      <w:bookmarkEnd w:id="52"/>
    </w:p>
    <w:p w14:paraId="4390AF72">
      <w:pPr>
        <w:spacing w:line="600" w:lineRule="exact"/>
        <w:ind w:firstLine="64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9年一般公共预算财政拨款支出1810.19万元，主要用于以下方面</w:t>
      </w:r>
      <w:r>
        <w:rPr>
          <w:rFonts w:ascii="仿宋" w:hAnsi="仿宋" w:eastAsia="仿宋"/>
          <w:color w:val="000000"/>
          <w:sz w:val="32"/>
          <w:szCs w:val="32"/>
        </w:rPr>
        <w:t>:</w:t>
      </w:r>
      <w:r>
        <w:rPr>
          <w:rFonts w:hint="eastAsia" w:ascii="仿宋" w:hAnsi="仿宋" w:eastAsia="仿宋"/>
          <w:b/>
          <w:color w:val="000000"/>
          <w:sz w:val="32"/>
          <w:szCs w:val="32"/>
        </w:rPr>
        <w:t>一般公共服务（类）</w:t>
      </w:r>
      <w:r>
        <w:rPr>
          <w:rFonts w:hint="eastAsia" w:ascii="仿宋" w:hAnsi="仿宋" w:eastAsia="仿宋"/>
          <w:color w:val="000000"/>
          <w:sz w:val="32"/>
          <w:szCs w:val="32"/>
        </w:rPr>
        <w:t>支出633.05万元，占35</w:t>
      </w:r>
      <w:r>
        <w:rPr>
          <w:rFonts w:ascii="仿宋" w:hAnsi="仿宋" w:eastAsia="仿宋"/>
          <w:color w:val="000000"/>
          <w:sz w:val="32"/>
          <w:szCs w:val="32"/>
        </w:rPr>
        <w:t>%</w:t>
      </w:r>
      <w:r>
        <w:rPr>
          <w:rFonts w:hint="eastAsia" w:ascii="仿宋" w:hAnsi="仿宋" w:eastAsia="仿宋"/>
          <w:color w:val="000000"/>
          <w:sz w:val="32"/>
          <w:szCs w:val="32"/>
        </w:rPr>
        <w:t>；</w:t>
      </w:r>
      <w:r>
        <w:rPr>
          <w:rFonts w:hint="eastAsia" w:ascii="仿宋" w:hAnsi="仿宋" w:eastAsia="仿宋"/>
          <w:b/>
          <w:bCs/>
          <w:color w:val="000000"/>
          <w:sz w:val="32"/>
          <w:szCs w:val="32"/>
        </w:rPr>
        <w:t>文化旅游体育与传媒（类）支出36.58万元，占2</w:t>
      </w:r>
      <w:r>
        <w:rPr>
          <w:rFonts w:ascii="仿宋" w:hAnsi="仿宋" w:eastAsia="仿宋"/>
          <w:b/>
          <w:bCs/>
          <w:color w:val="000000"/>
          <w:sz w:val="32"/>
          <w:szCs w:val="32"/>
        </w:rPr>
        <w:t>%</w:t>
      </w:r>
      <w:r>
        <w:rPr>
          <w:rFonts w:hint="eastAsia" w:ascii="仿宋" w:hAnsi="仿宋" w:eastAsia="仿宋"/>
          <w:color w:val="000000"/>
          <w:sz w:val="32"/>
          <w:szCs w:val="32"/>
        </w:rPr>
        <w:t>；</w:t>
      </w:r>
      <w:r>
        <w:rPr>
          <w:rFonts w:hint="eastAsia" w:ascii="仿宋" w:hAnsi="仿宋" w:eastAsia="仿宋"/>
          <w:b/>
          <w:color w:val="000000"/>
          <w:sz w:val="32"/>
          <w:szCs w:val="32"/>
        </w:rPr>
        <w:t>社会保障和就业（类）</w:t>
      </w:r>
      <w:r>
        <w:rPr>
          <w:rFonts w:hint="eastAsia" w:ascii="仿宋" w:hAnsi="仿宋" w:eastAsia="仿宋"/>
          <w:color w:val="000000"/>
          <w:sz w:val="32"/>
          <w:szCs w:val="32"/>
        </w:rPr>
        <w:t>支出352.78万元，占19.5</w:t>
      </w:r>
      <w:r>
        <w:rPr>
          <w:rFonts w:ascii="仿宋" w:hAnsi="仿宋" w:eastAsia="仿宋"/>
          <w:color w:val="000000"/>
          <w:sz w:val="32"/>
          <w:szCs w:val="32"/>
        </w:rPr>
        <w:t>%</w:t>
      </w:r>
      <w:r>
        <w:rPr>
          <w:rFonts w:hint="eastAsia" w:ascii="仿宋" w:hAnsi="仿宋" w:eastAsia="仿宋"/>
          <w:color w:val="000000"/>
          <w:sz w:val="32"/>
          <w:szCs w:val="32"/>
        </w:rPr>
        <w:t>；</w:t>
      </w:r>
      <w:r>
        <w:rPr>
          <w:rFonts w:hint="eastAsia" w:ascii="仿宋" w:hAnsi="仿宋" w:eastAsia="仿宋"/>
          <w:b/>
          <w:bCs/>
          <w:color w:val="000000"/>
          <w:sz w:val="32"/>
          <w:szCs w:val="32"/>
        </w:rPr>
        <w:t>卫生健康支出</w:t>
      </w:r>
      <w:r>
        <w:rPr>
          <w:rFonts w:hint="eastAsia" w:ascii="仿宋" w:hAnsi="仿宋" w:eastAsia="仿宋"/>
          <w:color w:val="000000"/>
          <w:sz w:val="32"/>
          <w:szCs w:val="32"/>
        </w:rPr>
        <w:t>68.71万元，占3.8</w:t>
      </w:r>
      <w:r>
        <w:rPr>
          <w:rFonts w:ascii="仿宋" w:hAnsi="仿宋" w:eastAsia="仿宋"/>
          <w:color w:val="000000"/>
          <w:sz w:val="32"/>
          <w:szCs w:val="32"/>
        </w:rPr>
        <w:t>%</w:t>
      </w:r>
      <w:r>
        <w:rPr>
          <w:rFonts w:hint="eastAsia" w:ascii="仿宋" w:hAnsi="仿宋" w:eastAsia="仿宋"/>
          <w:color w:val="000000"/>
          <w:sz w:val="32"/>
          <w:szCs w:val="32"/>
        </w:rPr>
        <w:t>；节能环保支出20万元，占1.1%；城乡社区支出15.83万元，占0.9%；农林水支出615.99万元，占34%；自然资源海洋气象等支出0.59万元，占0%；住房保障支出63.05万元，占3.5</w:t>
      </w:r>
      <w:r>
        <w:rPr>
          <w:rFonts w:ascii="仿宋" w:hAnsi="仿宋" w:eastAsia="仿宋"/>
          <w:color w:val="000000"/>
          <w:sz w:val="32"/>
          <w:szCs w:val="32"/>
        </w:rPr>
        <w:t>%</w:t>
      </w:r>
      <w:r>
        <w:rPr>
          <w:rFonts w:hint="eastAsia" w:ascii="仿宋" w:hAnsi="仿宋" w:eastAsia="仿宋"/>
          <w:color w:val="000000"/>
          <w:sz w:val="32"/>
          <w:szCs w:val="32"/>
        </w:rPr>
        <w:t>；灾害防治及应急管理支出3.59万元，占0.2%。</w:t>
      </w:r>
    </w:p>
    <w:p w14:paraId="7F990AB3">
      <w:pPr>
        <w:spacing w:line="600" w:lineRule="exact"/>
        <w:ind w:firstLine="643" w:firstLineChars="200"/>
        <w:outlineLvl w:val="2"/>
        <w:rPr>
          <w:rFonts w:ascii="仿宋" w:hAnsi="仿宋" w:eastAsia="仿宋"/>
          <w:b/>
          <w:color w:val="000000"/>
          <w:sz w:val="32"/>
          <w:szCs w:val="32"/>
        </w:rPr>
      </w:pPr>
      <w:bookmarkStart w:id="53" w:name="_Toc15377212"/>
      <w:bookmarkStart w:id="54" w:name="_Toc52180083"/>
      <w:r>
        <w:rPr>
          <w:rFonts w:hint="eastAsia" w:ascii="仿宋" w:hAnsi="仿宋" w:eastAsia="仿宋"/>
          <w:b/>
          <w:color w:val="000000"/>
          <w:sz w:val="32"/>
          <w:szCs w:val="32"/>
        </w:rPr>
        <w:t>（三）一般公共预算财政拨款支出决算具体情况</w:t>
      </w:r>
      <w:bookmarkEnd w:id="53"/>
      <w:bookmarkEnd w:id="54"/>
    </w:p>
    <w:p w14:paraId="72C6733B">
      <w:pPr>
        <w:spacing w:line="600" w:lineRule="exact"/>
        <w:ind w:firstLine="643" w:firstLineChars="200"/>
        <w:outlineLvl w:val="2"/>
        <w:rPr>
          <w:rFonts w:ascii="仿宋" w:hAnsi="仿宋" w:eastAsia="仿宋"/>
          <w:color w:val="FF0000"/>
          <w:sz w:val="32"/>
          <w:szCs w:val="32"/>
        </w:rPr>
      </w:pPr>
      <w:bookmarkStart w:id="55" w:name="_Toc15377213"/>
      <w:bookmarkStart w:id="56" w:name="_Toc15378460"/>
      <w:bookmarkStart w:id="57" w:name="_Toc15377444"/>
      <w:bookmarkStart w:id="58" w:name="_Toc52180084"/>
      <w:r>
        <w:rPr>
          <w:rFonts w:hint="eastAsia" w:ascii="仿宋" w:hAnsi="仿宋" w:eastAsia="仿宋"/>
          <w:b/>
          <w:color w:val="000000"/>
          <w:sz w:val="32"/>
          <w:szCs w:val="32"/>
        </w:rPr>
        <w:t>2019年般公共预算支出决算数为1810.19万元</w:t>
      </w:r>
      <w:r>
        <w:rPr>
          <w:rFonts w:hint="eastAsia" w:ascii="仿宋" w:hAnsi="仿宋" w:eastAsia="仿宋"/>
          <w:color w:val="000000"/>
          <w:sz w:val="32"/>
          <w:szCs w:val="32"/>
        </w:rPr>
        <w:t>，</w:t>
      </w:r>
      <w:r>
        <w:rPr>
          <w:rStyle w:val="15"/>
          <w:rFonts w:hint="eastAsia" w:ascii="仿宋" w:hAnsi="仿宋" w:eastAsia="仿宋"/>
          <w:bCs/>
          <w:color w:val="000000"/>
          <w:sz w:val="32"/>
          <w:szCs w:val="32"/>
        </w:rPr>
        <w:t>完成预算100</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。其中：</w:t>
      </w:r>
      <w:bookmarkEnd w:id="55"/>
      <w:bookmarkEnd w:id="56"/>
      <w:bookmarkEnd w:id="57"/>
      <w:bookmarkEnd w:id="58"/>
    </w:p>
    <w:p w14:paraId="3336C77B">
      <w:pPr>
        <w:numPr>
          <w:ilvl w:val="0"/>
          <w:numId w:val="2"/>
        </w:numPr>
        <w:spacing w:line="600" w:lineRule="exact"/>
        <w:ind w:firstLine="643" w:firstLineChars="200"/>
        <w:rPr>
          <w:rFonts w:ascii="仿宋" w:hAnsi="仿宋" w:eastAsia="仿宋"/>
          <w:b/>
          <w:color w:val="000000"/>
          <w:sz w:val="32"/>
          <w:szCs w:val="32"/>
        </w:rPr>
      </w:pPr>
      <w:r>
        <w:rPr>
          <w:rStyle w:val="15"/>
          <w:rFonts w:hint="eastAsia" w:ascii="仿宋" w:hAnsi="仿宋" w:eastAsia="仿宋"/>
          <w:bCs/>
          <w:color w:val="000000"/>
          <w:sz w:val="32"/>
          <w:szCs w:val="32"/>
        </w:rPr>
        <w:t>一般公共服务</w:t>
      </w:r>
      <w:r>
        <w:rPr>
          <w:rStyle w:val="15"/>
          <w:rFonts w:ascii="仿宋" w:hAnsi="仿宋" w:eastAsia="仿宋"/>
          <w:bCs/>
          <w:color w:val="000000"/>
          <w:sz w:val="32"/>
          <w:szCs w:val="32"/>
        </w:rPr>
        <w:t>:</w:t>
      </w:r>
      <w:r>
        <w:rPr>
          <w:rStyle w:val="15"/>
          <w:rFonts w:hint="eastAsia" w:ascii="仿宋" w:hAnsi="仿宋" w:eastAsia="仿宋"/>
          <w:b w:val="0"/>
          <w:bCs/>
          <w:color w:val="000000"/>
          <w:sz w:val="32"/>
          <w:szCs w:val="32"/>
        </w:rPr>
        <w:t>2010101人大事务行政运行支出决算为25.17万元，完成预算100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；2010104人大会议支出决算为1.67万元，完成预算100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；2010108人大代表工作支出决算为1.13万元，完成预算100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；2010301政府行政运行支出决算为437.69万元，完成预算100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；2010302政府一般行政管理事务支出决算为19.16万元，完成预算100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；2010308政府信访事务支出决算为1.24万元，完成预算100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；2010350政府事业运行支出决算为12.08万元，完成预算100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；2010507统计专项普查活动支出决算为0.12万元，完成预算100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；2010601财政行政运行支出决算为32.8万元，完成预算100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；2010602财政一般行政管理事务支出决算为0.6万元，完成预算100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；2010650财政事业运行支出决算为18.02万元，完成预算100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；2010699其他财政事务支出决算为0.27万元，完成预算100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；2012304民族工作专项支出决算为30万元，完成预算100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；2012901群团行政运行支出决算为14.04万元，完成预算100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；2013101党委行政运行支出决算为36.97万元，完成预算100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；2019999其他一般公共服务支出决算为2.09万元，完成预算100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p>
    <w:p w14:paraId="2D1237E8">
      <w:pPr>
        <w:numPr>
          <w:ilvl w:val="0"/>
          <w:numId w:val="3"/>
        </w:numPr>
        <w:spacing w:line="600" w:lineRule="exact"/>
        <w:ind w:firstLine="643" w:firstLineChars="200"/>
        <w:rPr>
          <w:rStyle w:val="15"/>
          <w:rFonts w:ascii="仿宋" w:hAnsi="仿宋" w:eastAsia="仿宋"/>
          <w:bCs/>
          <w:color w:val="000000"/>
          <w:sz w:val="32"/>
          <w:szCs w:val="32"/>
        </w:rPr>
      </w:pPr>
      <w:r>
        <w:rPr>
          <w:rStyle w:val="15"/>
          <w:rFonts w:hint="eastAsia" w:ascii="仿宋" w:hAnsi="仿宋" w:eastAsia="仿宋"/>
          <w:bCs/>
          <w:color w:val="000000"/>
          <w:sz w:val="32"/>
          <w:szCs w:val="32"/>
        </w:rPr>
        <w:t>文化旅游体育与传媒</w:t>
      </w:r>
      <w:r>
        <w:rPr>
          <w:rStyle w:val="15"/>
          <w:rFonts w:ascii="仿宋" w:hAnsi="仿宋" w:eastAsia="仿宋"/>
          <w:bCs/>
          <w:color w:val="000000"/>
          <w:sz w:val="32"/>
          <w:szCs w:val="32"/>
        </w:rPr>
        <w:t>:</w:t>
      </w:r>
      <w:r>
        <w:rPr>
          <w:rStyle w:val="15"/>
          <w:rFonts w:ascii="仿宋" w:hAnsi="仿宋" w:eastAsia="仿宋"/>
          <w:b w:val="0"/>
          <w:bCs/>
          <w:color w:val="000000"/>
          <w:sz w:val="32"/>
          <w:szCs w:val="32"/>
        </w:rPr>
        <w:t xml:space="preserve"> </w:t>
      </w:r>
      <w:r>
        <w:rPr>
          <w:rStyle w:val="15"/>
          <w:rFonts w:hint="eastAsia" w:ascii="仿宋" w:hAnsi="仿宋" w:eastAsia="仿宋"/>
          <w:b w:val="0"/>
          <w:bCs/>
          <w:color w:val="000000"/>
          <w:sz w:val="32"/>
          <w:szCs w:val="32"/>
        </w:rPr>
        <w:t>2070109文化事业支出决算为36.58万元，完成预算100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p>
    <w:p w14:paraId="2F883B50">
      <w:pPr>
        <w:spacing w:line="600" w:lineRule="exact"/>
        <w:ind w:firstLine="643" w:firstLineChars="200"/>
        <w:rPr>
          <w:rFonts w:ascii="仿宋" w:hAnsi="仿宋" w:eastAsia="仿宋"/>
          <w:b/>
          <w:color w:val="000000"/>
          <w:sz w:val="32"/>
          <w:szCs w:val="32"/>
        </w:rPr>
      </w:pPr>
      <w:r>
        <w:rPr>
          <w:rStyle w:val="15"/>
          <w:rFonts w:hint="eastAsia" w:ascii="仿宋" w:hAnsi="仿宋" w:eastAsia="仿宋"/>
          <w:bCs/>
          <w:color w:val="000000"/>
          <w:sz w:val="32"/>
          <w:szCs w:val="32"/>
        </w:rPr>
        <w:t>3</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社会保障和就业</w:t>
      </w:r>
      <w:r>
        <w:rPr>
          <w:rStyle w:val="15"/>
          <w:rFonts w:ascii="仿宋" w:hAnsi="仿宋" w:eastAsia="仿宋"/>
          <w:bCs/>
          <w:color w:val="000000"/>
          <w:sz w:val="32"/>
          <w:szCs w:val="32"/>
        </w:rPr>
        <w:t>:</w:t>
      </w:r>
      <w:r>
        <w:rPr>
          <w:rStyle w:val="15"/>
          <w:rFonts w:ascii="仿宋" w:hAnsi="仿宋" w:eastAsia="仿宋"/>
          <w:b w:val="0"/>
          <w:bCs/>
          <w:color w:val="000000"/>
          <w:sz w:val="32"/>
          <w:szCs w:val="32"/>
        </w:rPr>
        <w:t xml:space="preserve"> </w:t>
      </w:r>
      <w:r>
        <w:rPr>
          <w:rStyle w:val="15"/>
          <w:rFonts w:hint="eastAsia" w:ascii="仿宋" w:hAnsi="仿宋" w:eastAsia="仿宋"/>
          <w:b w:val="0"/>
          <w:bCs/>
          <w:color w:val="000000"/>
          <w:sz w:val="32"/>
          <w:szCs w:val="32"/>
        </w:rPr>
        <w:t>2080109社会保险经办机构支出决算为24.13万元，完成预算100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；。2080208基层政权和社区建设支出决算为41.9万元，完成预算100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；2080299其他民政管理事务支出决算为59.81万元，完成预算100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；2080504行政单位离退休支出决算为14.03万元，完成预算100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；2080505机关事业单位基本养老保险缴费支出决算为57.73万元，完成预算100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；2080801死亡抚恤支出决算为23.65万元，完成预算100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；2080802伤残抚恤支出决算为1.3万元，完成预算100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；2082102农村特困人员救助供养支出决算为130.23万元，完成预算100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p>
    <w:p w14:paraId="308B9C58">
      <w:pPr>
        <w:spacing w:line="600" w:lineRule="exact"/>
        <w:ind w:firstLine="643" w:firstLineChars="200"/>
        <w:rPr>
          <w:rStyle w:val="15"/>
          <w:rFonts w:ascii="仿宋" w:hAnsi="仿宋" w:eastAsia="仿宋"/>
          <w:b w:val="0"/>
          <w:bCs/>
          <w:color w:val="000000"/>
          <w:sz w:val="32"/>
          <w:szCs w:val="32"/>
        </w:rPr>
      </w:pPr>
      <w:r>
        <w:rPr>
          <w:rStyle w:val="15"/>
          <w:rFonts w:hint="eastAsia" w:ascii="仿宋" w:hAnsi="仿宋" w:eastAsia="仿宋"/>
          <w:bCs/>
          <w:color w:val="000000"/>
          <w:sz w:val="32"/>
          <w:szCs w:val="32"/>
        </w:rPr>
        <w:t>4</w:t>
      </w:r>
      <w:r>
        <w:rPr>
          <w:rStyle w:val="15"/>
          <w:rFonts w:ascii="仿宋" w:hAnsi="仿宋" w:eastAsia="仿宋"/>
          <w:bCs/>
          <w:color w:val="000000"/>
          <w:sz w:val="32"/>
          <w:szCs w:val="32"/>
        </w:rPr>
        <w:t>.</w:t>
      </w:r>
      <w:r>
        <w:rPr>
          <w:rFonts w:hint="eastAsia" w:ascii="仿宋" w:hAnsi="仿宋" w:eastAsia="仿宋"/>
          <w:b/>
          <w:bCs/>
          <w:color w:val="000000"/>
          <w:sz w:val="32"/>
          <w:szCs w:val="32"/>
        </w:rPr>
        <w:t>卫生健康</w:t>
      </w:r>
      <w:r>
        <w:rPr>
          <w:rStyle w:val="15"/>
          <w:rFonts w:ascii="仿宋" w:hAnsi="仿宋" w:eastAsia="仿宋"/>
          <w:bCs/>
          <w:color w:val="000000"/>
          <w:sz w:val="32"/>
          <w:szCs w:val="32"/>
        </w:rPr>
        <w:t>:</w:t>
      </w:r>
      <w:r>
        <w:rPr>
          <w:rStyle w:val="15"/>
          <w:rFonts w:hint="eastAsia" w:ascii="仿宋" w:hAnsi="仿宋" w:eastAsia="仿宋"/>
          <w:b w:val="0"/>
          <w:bCs/>
          <w:color w:val="000000"/>
          <w:sz w:val="32"/>
          <w:szCs w:val="32"/>
        </w:rPr>
        <w:t>2100799其他计划生育事务支出决算为68.71万元，完成预算100%。</w:t>
      </w:r>
    </w:p>
    <w:p w14:paraId="754625AF">
      <w:pPr>
        <w:spacing w:line="600" w:lineRule="exact"/>
        <w:ind w:firstLine="640"/>
        <w:rPr>
          <w:rStyle w:val="15"/>
          <w:rFonts w:ascii="仿宋" w:hAnsi="仿宋" w:eastAsia="仿宋"/>
          <w:b w:val="0"/>
          <w:bCs/>
          <w:color w:val="000000"/>
          <w:sz w:val="32"/>
          <w:szCs w:val="32"/>
        </w:rPr>
      </w:pPr>
      <w:r>
        <w:rPr>
          <w:rFonts w:hint="eastAsia" w:ascii="仿宋" w:hAnsi="仿宋" w:eastAsia="仿宋"/>
          <w:b/>
          <w:color w:val="000000"/>
          <w:sz w:val="32"/>
          <w:szCs w:val="32"/>
        </w:rPr>
        <w:t>5.节能环保：</w:t>
      </w:r>
      <w:r>
        <w:rPr>
          <w:rFonts w:hint="eastAsia" w:ascii="仿宋" w:hAnsi="仿宋" w:eastAsia="仿宋"/>
          <w:bCs/>
          <w:color w:val="000000"/>
          <w:sz w:val="32"/>
          <w:szCs w:val="32"/>
        </w:rPr>
        <w:t>2110402农村环境保护</w:t>
      </w:r>
      <w:r>
        <w:rPr>
          <w:rStyle w:val="15"/>
          <w:rFonts w:hint="eastAsia" w:ascii="仿宋" w:hAnsi="仿宋" w:eastAsia="仿宋"/>
          <w:b w:val="0"/>
          <w:bCs/>
          <w:color w:val="000000"/>
          <w:sz w:val="32"/>
          <w:szCs w:val="32"/>
        </w:rPr>
        <w:t>支出决算为20万元，完成预算100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p>
    <w:p w14:paraId="1169F11A">
      <w:pPr>
        <w:spacing w:line="600" w:lineRule="exact"/>
        <w:ind w:firstLine="640"/>
        <w:rPr>
          <w:rStyle w:val="15"/>
          <w:rFonts w:ascii="仿宋" w:hAnsi="仿宋" w:eastAsia="仿宋"/>
          <w:b w:val="0"/>
          <w:bCs/>
          <w:color w:val="000000"/>
          <w:sz w:val="32"/>
          <w:szCs w:val="32"/>
        </w:rPr>
      </w:pPr>
      <w:r>
        <w:rPr>
          <w:rFonts w:hint="eastAsia" w:ascii="仿宋" w:hAnsi="仿宋" w:eastAsia="仿宋"/>
          <w:b/>
          <w:color w:val="000000"/>
          <w:sz w:val="32"/>
          <w:szCs w:val="32"/>
        </w:rPr>
        <w:t>6.城乡社区：</w:t>
      </w:r>
      <w:r>
        <w:rPr>
          <w:rStyle w:val="15"/>
          <w:rFonts w:hint="eastAsia" w:ascii="仿宋" w:hAnsi="仿宋" w:eastAsia="仿宋"/>
          <w:b w:val="0"/>
          <w:bCs/>
          <w:color w:val="000000"/>
          <w:sz w:val="32"/>
          <w:szCs w:val="32"/>
        </w:rPr>
        <w:t>2120501城乡社区环境卫生支出决算为15.83万元，完成预算100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p>
    <w:p w14:paraId="006DE8AF">
      <w:pPr>
        <w:spacing w:line="600" w:lineRule="exact"/>
        <w:ind w:firstLine="640"/>
        <w:rPr>
          <w:rStyle w:val="15"/>
          <w:rFonts w:ascii="仿宋" w:hAnsi="仿宋" w:eastAsia="仿宋"/>
          <w:b w:val="0"/>
          <w:bCs/>
          <w:color w:val="000000"/>
          <w:sz w:val="32"/>
          <w:szCs w:val="32"/>
        </w:rPr>
      </w:pPr>
      <w:r>
        <w:rPr>
          <w:rFonts w:hint="eastAsia" w:ascii="仿宋" w:hAnsi="仿宋" w:eastAsia="仿宋"/>
          <w:b/>
          <w:color w:val="000000"/>
          <w:sz w:val="32"/>
          <w:szCs w:val="32"/>
        </w:rPr>
        <w:t>7.农林水：</w:t>
      </w:r>
      <w:r>
        <w:rPr>
          <w:rStyle w:val="15"/>
          <w:rFonts w:hint="eastAsia" w:ascii="仿宋" w:hAnsi="仿宋" w:eastAsia="仿宋"/>
          <w:b w:val="0"/>
          <w:bCs/>
          <w:color w:val="000000"/>
          <w:sz w:val="32"/>
          <w:szCs w:val="32"/>
        </w:rPr>
        <w:t>2130104农业事业运行支出决算为156.2万元，完成预算100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；2130142农村道路建设支出决算为17.1万元，完成预算100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；2130204林业和草原事业机构支出决算为3万元，完成预算100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；2130314防汛支出决算为14.96万元，完成预算100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；2130599其他扶贫支出决算为13.47万元，完成预算100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；2130705对村民委员会和村党支部的补助支出决算为411.26万元，完成预算100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p>
    <w:p w14:paraId="1D045F16">
      <w:pPr>
        <w:spacing w:line="600" w:lineRule="exact"/>
        <w:ind w:firstLine="640"/>
        <w:rPr>
          <w:rStyle w:val="15"/>
          <w:rFonts w:ascii="仿宋" w:hAnsi="仿宋" w:eastAsia="仿宋"/>
          <w:b w:val="0"/>
          <w:bCs/>
          <w:color w:val="000000"/>
          <w:sz w:val="32"/>
          <w:szCs w:val="32"/>
        </w:rPr>
      </w:pPr>
      <w:r>
        <w:rPr>
          <w:rStyle w:val="15"/>
          <w:rFonts w:hint="eastAsia" w:ascii="仿宋" w:hAnsi="仿宋" w:eastAsia="仿宋"/>
          <w:color w:val="000000"/>
          <w:sz w:val="32"/>
          <w:szCs w:val="32"/>
        </w:rPr>
        <w:t>8.自然资源海洋气象等支出：</w:t>
      </w:r>
      <w:r>
        <w:rPr>
          <w:rStyle w:val="15"/>
          <w:rFonts w:hint="eastAsia" w:ascii="仿宋" w:hAnsi="仿宋" w:eastAsia="仿宋"/>
          <w:b w:val="0"/>
          <w:bCs/>
          <w:color w:val="000000"/>
          <w:sz w:val="32"/>
          <w:szCs w:val="32"/>
        </w:rPr>
        <w:t>2200105土地资源调查支出决算为0.59万元，完成预算100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p>
    <w:p w14:paraId="4DA3F39A">
      <w:pPr>
        <w:spacing w:line="600" w:lineRule="exact"/>
        <w:ind w:firstLine="640"/>
        <w:rPr>
          <w:rStyle w:val="15"/>
          <w:rFonts w:ascii="仿宋" w:hAnsi="仿宋" w:eastAsia="仿宋"/>
          <w:b w:val="0"/>
          <w:bCs/>
          <w:color w:val="000000"/>
          <w:sz w:val="32"/>
          <w:szCs w:val="32"/>
        </w:rPr>
      </w:pPr>
      <w:r>
        <w:rPr>
          <w:rStyle w:val="15"/>
          <w:rFonts w:hint="eastAsia" w:ascii="仿宋" w:hAnsi="仿宋" w:eastAsia="仿宋"/>
          <w:color w:val="000000"/>
          <w:sz w:val="32"/>
          <w:szCs w:val="32"/>
        </w:rPr>
        <w:t>9.住房保障支出：</w:t>
      </w:r>
      <w:r>
        <w:rPr>
          <w:rStyle w:val="15"/>
          <w:rFonts w:hint="eastAsia" w:ascii="仿宋" w:hAnsi="仿宋" w:eastAsia="仿宋"/>
          <w:b w:val="0"/>
          <w:bCs/>
          <w:color w:val="000000"/>
          <w:sz w:val="32"/>
          <w:szCs w:val="32"/>
        </w:rPr>
        <w:t>2210201住房公积金支出决算为63.05万元，完成预算100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p>
    <w:p w14:paraId="2CD5F3A7">
      <w:pPr>
        <w:spacing w:line="600" w:lineRule="exact"/>
        <w:ind w:firstLine="640"/>
        <w:rPr>
          <w:rStyle w:val="15"/>
          <w:rFonts w:ascii="仿宋" w:hAnsi="仿宋" w:eastAsia="仿宋"/>
          <w:b w:val="0"/>
          <w:bCs/>
          <w:color w:val="000000"/>
          <w:sz w:val="32"/>
          <w:szCs w:val="32"/>
        </w:rPr>
      </w:pPr>
      <w:r>
        <w:rPr>
          <w:rStyle w:val="15"/>
          <w:rFonts w:hint="eastAsia" w:ascii="仿宋" w:hAnsi="仿宋" w:eastAsia="仿宋"/>
          <w:color w:val="000000"/>
          <w:sz w:val="32"/>
          <w:szCs w:val="32"/>
        </w:rPr>
        <w:t>10.灾害防治及应急管理支出：</w:t>
      </w:r>
      <w:r>
        <w:rPr>
          <w:rStyle w:val="15"/>
          <w:rFonts w:hint="eastAsia" w:ascii="仿宋" w:hAnsi="仿宋" w:eastAsia="仿宋"/>
          <w:b w:val="0"/>
          <w:bCs/>
          <w:color w:val="000000"/>
          <w:sz w:val="32"/>
          <w:szCs w:val="32"/>
        </w:rPr>
        <w:t>2240106安全监管支出决算为3.59万元，完成预算100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p>
    <w:p w14:paraId="597BB5B5">
      <w:pPr>
        <w:tabs>
          <w:tab w:val="right" w:pos="8306"/>
        </w:tabs>
        <w:spacing w:line="600" w:lineRule="exact"/>
        <w:ind w:firstLine="640"/>
        <w:outlineLvl w:val="1"/>
        <w:rPr>
          <w:rStyle w:val="28"/>
        </w:rPr>
      </w:pPr>
      <w:bookmarkStart w:id="59" w:name="_Toc52180085"/>
      <w:bookmarkStart w:id="60" w:name="_Toc15396608"/>
      <w:bookmarkStart w:id="61" w:name="_Toc15377214"/>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28"/>
          <w:rFonts w:hint="eastAsia" w:ascii="黑体" w:hAnsi="黑体" w:eastAsia="黑体"/>
          <w:b w:val="0"/>
        </w:rPr>
        <w:t>般公共预算财政拨款基本支出决算情况说明</w:t>
      </w:r>
      <w:bookmarkEnd w:id="59"/>
      <w:bookmarkEnd w:id="60"/>
      <w:bookmarkEnd w:id="61"/>
      <w:r>
        <w:rPr>
          <w:rStyle w:val="28"/>
          <w:rFonts w:ascii="黑体" w:hAnsi="黑体" w:eastAsia="黑体"/>
          <w:b w:val="0"/>
        </w:rPr>
        <w:tab/>
      </w:r>
    </w:p>
    <w:p w14:paraId="0BBB8DCC">
      <w:pPr>
        <w:spacing w:line="600" w:lineRule="exact"/>
        <w:ind w:firstLine="645"/>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一般公共预算财政拨款基本支出1001.78万元，其中：人员经费838.79万元，主要包括：基本工资159.43万元、津贴补贴171.4万元、奖金247.81万元、绩效工资107.78万元、机关事业单位基本养老保险缴费57.73万元、其他社会保障缴费31.58万元、退休费1.81万元、抚恤金24.95万元、生活补助35.15万元、奖励金0.05万元、住房公积金63.05万元等。</w:t>
      </w:r>
      <w:r>
        <w:rPr>
          <w:rFonts w:ascii="仿宋" w:hAnsi="仿宋" w:eastAsia="仿宋"/>
          <w:color w:val="000000"/>
          <w:sz w:val="32"/>
          <w:szCs w:val="32"/>
        </w:rPr>
        <w:br w:type="textWrapping"/>
      </w:r>
      <w:r>
        <w:rPr>
          <w:rFonts w:hint="eastAsia" w:ascii="仿宋" w:hAnsi="仿宋" w:eastAsia="仿宋"/>
          <w:color w:val="000000"/>
          <w:sz w:val="32"/>
          <w:szCs w:val="32"/>
        </w:rPr>
        <w:t>　　日常公用经费101.04万元，主要包括：办公费21.28万元、水费1.01万元、电费3.52万元、邮电费3.85万元、差旅费14.72万元、会议费6.64万元、培训费0.51万元、公务接待费0.13万元、委托业务费2.6万元、工会经费7.19万元、福利费5.03万元、公务用车运行维护费6.95万元、其他交通费27.62万元等。</w:t>
      </w:r>
    </w:p>
    <w:p w14:paraId="27DF72BA">
      <w:pPr>
        <w:spacing w:line="600" w:lineRule="exact"/>
        <w:ind w:firstLine="640"/>
        <w:outlineLvl w:val="1"/>
        <w:rPr>
          <w:rStyle w:val="28"/>
          <w:rFonts w:ascii="黑体" w:hAnsi="黑体" w:eastAsia="黑体"/>
          <w:b w:val="0"/>
        </w:rPr>
      </w:pPr>
      <w:bookmarkStart w:id="62" w:name="_Toc52180086"/>
      <w:bookmarkStart w:id="63" w:name="_Toc15377215"/>
      <w:bookmarkStart w:id="64" w:name="_Toc15396609"/>
      <w:r>
        <w:rPr>
          <w:rFonts w:hint="eastAsia" w:ascii="黑体" w:eastAsia="黑体"/>
          <w:color w:val="000000"/>
          <w:sz w:val="32"/>
          <w:szCs w:val="32"/>
        </w:rPr>
        <w:t>七、</w:t>
      </w:r>
      <w:r>
        <w:rPr>
          <w:rStyle w:val="28"/>
          <w:rFonts w:hint="eastAsia" w:ascii="黑体" w:hAnsi="黑体" w:eastAsia="黑体"/>
        </w:rPr>
        <w:t>“</w:t>
      </w:r>
      <w:r>
        <w:rPr>
          <w:rStyle w:val="28"/>
          <w:rFonts w:hint="eastAsia" w:ascii="黑体" w:hAnsi="黑体" w:eastAsia="黑体"/>
          <w:b w:val="0"/>
        </w:rPr>
        <w:t>三公”经费财政拨款支出决算情况说明</w:t>
      </w:r>
      <w:bookmarkEnd w:id="62"/>
      <w:bookmarkEnd w:id="63"/>
      <w:bookmarkEnd w:id="64"/>
    </w:p>
    <w:p w14:paraId="299393B6">
      <w:pPr>
        <w:spacing w:line="600" w:lineRule="exact"/>
        <w:ind w:firstLine="640"/>
        <w:outlineLvl w:val="2"/>
        <w:rPr>
          <w:rFonts w:ascii="仿宋" w:hAnsi="仿宋" w:eastAsia="仿宋"/>
          <w:b/>
          <w:color w:val="000000"/>
          <w:sz w:val="32"/>
          <w:szCs w:val="32"/>
        </w:rPr>
      </w:pPr>
      <w:bookmarkStart w:id="65" w:name="_Toc52180087"/>
      <w:bookmarkStart w:id="66" w:name="_Toc15377216"/>
      <w:r>
        <w:rPr>
          <w:rFonts w:hint="eastAsia" w:ascii="仿宋" w:hAnsi="仿宋" w:eastAsia="仿宋"/>
          <w:b/>
          <w:color w:val="000000"/>
          <w:sz w:val="32"/>
          <w:szCs w:val="32"/>
        </w:rPr>
        <w:t>（一）“三公”经费财政拨款支出决算总体情况说明</w:t>
      </w:r>
      <w:bookmarkEnd w:id="65"/>
      <w:bookmarkEnd w:id="66"/>
    </w:p>
    <w:p w14:paraId="00E6622C">
      <w:pPr>
        <w:spacing w:line="600" w:lineRule="exact"/>
        <w:ind w:firstLine="64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9年“三公”经费财政拨款支出决算为7.08万元，完成预算100</w:t>
      </w:r>
      <w:r>
        <w:rPr>
          <w:rFonts w:ascii="仿宋" w:hAnsi="仿宋" w:eastAsia="仿宋"/>
          <w:color w:val="000000"/>
          <w:sz w:val="32"/>
          <w:szCs w:val="32"/>
        </w:rPr>
        <w:t>%</w:t>
      </w:r>
      <w:r>
        <w:rPr>
          <w:rFonts w:hint="eastAsia" w:ascii="仿宋" w:hAnsi="仿宋" w:eastAsia="仿宋"/>
          <w:color w:val="000000"/>
          <w:sz w:val="32"/>
          <w:szCs w:val="32"/>
        </w:rPr>
        <w:t>，其中：公务用车运行维护费6.95万元，公务接待费0.13万元。政府性基金支出决算为：15.15万元</w:t>
      </w:r>
    </w:p>
    <w:p w14:paraId="69E24B92">
      <w:pPr>
        <w:spacing w:line="600" w:lineRule="exact"/>
        <w:ind w:firstLine="640"/>
        <w:outlineLvl w:val="2"/>
        <w:rPr>
          <w:rFonts w:ascii="仿宋" w:hAnsi="仿宋" w:eastAsia="仿宋"/>
          <w:b/>
          <w:color w:val="000000"/>
          <w:sz w:val="32"/>
          <w:szCs w:val="32"/>
        </w:rPr>
      </w:pPr>
      <w:bookmarkStart w:id="67" w:name="_Toc52180088"/>
      <w:bookmarkStart w:id="68" w:name="_Toc15377217"/>
      <w:r>
        <w:rPr>
          <w:rFonts w:hint="eastAsia" w:ascii="仿宋" w:hAnsi="仿宋" w:eastAsia="仿宋"/>
          <w:b/>
          <w:color w:val="000000"/>
          <w:sz w:val="32"/>
          <w:szCs w:val="32"/>
        </w:rPr>
        <w:t>（二）“三公”经费财政拨款支出决算具体情况说明</w:t>
      </w:r>
      <w:bookmarkEnd w:id="67"/>
      <w:bookmarkEnd w:id="68"/>
    </w:p>
    <w:p w14:paraId="02594FDA">
      <w:pPr>
        <w:spacing w:line="600" w:lineRule="exact"/>
        <w:ind w:firstLine="64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9年“三公”经费财政拨款支出决算中，因公出国（境）费支出决算0万元；公务用车购置及运行维护费支出决算6.95万元，占98.2</w:t>
      </w:r>
      <w:r>
        <w:rPr>
          <w:rFonts w:ascii="仿宋" w:hAnsi="仿宋" w:eastAsia="仿宋"/>
          <w:color w:val="000000"/>
          <w:sz w:val="32"/>
          <w:szCs w:val="32"/>
        </w:rPr>
        <w:t>%</w:t>
      </w:r>
      <w:r>
        <w:rPr>
          <w:rFonts w:hint="eastAsia" w:ascii="仿宋" w:hAnsi="仿宋" w:eastAsia="仿宋"/>
          <w:color w:val="000000"/>
          <w:sz w:val="32"/>
          <w:szCs w:val="32"/>
        </w:rPr>
        <w:t>；公务接待费支出决算0.13万元，占1.8</w:t>
      </w:r>
      <w:r>
        <w:rPr>
          <w:rFonts w:ascii="仿宋" w:hAnsi="仿宋" w:eastAsia="仿宋"/>
          <w:color w:val="000000"/>
          <w:sz w:val="32"/>
          <w:szCs w:val="32"/>
        </w:rPr>
        <w:t>%</w:t>
      </w:r>
      <w:r>
        <w:rPr>
          <w:rFonts w:hint="eastAsia" w:ascii="仿宋" w:hAnsi="仿宋" w:eastAsia="仿宋"/>
          <w:color w:val="000000"/>
          <w:sz w:val="32"/>
          <w:szCs w:val="32"/>
        </w:rPr>
        <w:t>。具体情况如下：</w:t>
      </w:r>
    </w:p>
    <w:p w14:paraId="44586BE8">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1.</w:t>
      </w:r>
      <w:r>
        <w:rPr>
          <w:rFonts w:hint="eastAsia" w:ascii="仿宋_GB2312" w:eastAsia="仿宋_GB2312"/>
          <w:b/>
          <w:color w:val="000000"/>
          <w:sz w:val="32"/>
          <w:szCs w:val="32"/>
        </w:rPr>
        <w:t>因公出国（境）经费支出</w:t>
      </w:r>
      <w:r>
        <w:rPr>
          <w:rFonts w:hint="eastAsia" w:ascii="仿宋_GB2312" w:eastAsia="仿宋_GB2312"/>
          <w:color w:val="000000"/>
          <w:sz w:val="32"/>
          <w:szCs w:val="32"/>
        </w:rPr>
        <w:t>0万元。</w:t>
      </w:r>
    </w:p>
    <w:p w14:paraId="20934700">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hint="eastAsia" w:ascii="仿宋_GB2312" w:eastAsia="仿宋_GB2312"/>
          <w:color w:val="000000"/>
          <w:sz w:val="32"/>
          <w:szCs w:val="32"/>
        </w:rPr>
        <w:t>6.95万元,</w:t>
      </w:r>
      <w:r>
        <w:rPr>
          <w:rStyle w:val="15"/>
          <w:rFonts w:hint="eastAsia" w:ascii="仿宋" w:hAnsi="仿宋" w:eastAsia="仿宋"/>
          <w:b w:val="0"/>
          <w:bCs/>
          <w:color w:val="000000"/>
          <w:sz w:val="32"/>
          <w:szCs w:val="32"/>
        </w:rPr>
        <w:t>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公务用车购置及运行维护费支出决算比</w:t>
      </w:r>
      <w:r>
        <w:rPr>
          <w:rFonts w:ascii="仿宋_GB2312" w:eastAsia="仿宋_GB2312"/>
          <w:color w:val="000000"/>
          <w:sz w:val="32"/>
          <w:szCs w:val="32"/>
        </w:rPr>
        <w:t>201</w:t>
      </w:r>
      <w:r>
        <w:rPr>
          <w:rFonts w:hint="eastAsia" w:ascii="仿宋_GB2312" w:eastAsia="仿宋_GB2312"/>
          <w:color w:val="000000"/>
          <w:sz w:val="32"/>
          <w:szCs w:val="32"/>
        </w:rPr>
        <w:t>8年减少4.22万元，下降37.8</w:t>
      </w:r>
      <w:r>
        <w:rPr>
          <w:rFonts w:ascii="仿宋_GB2312" w:eastAsia="仿宋_GB2312"/>
          <w:color w:val="000000"/>
          <w:sz w:val="32"/>
          <w:szCs w:val="32"/>
        </w:rPr>
        <w:t>%</w:t>
      </w:r>
      <w:r>
        <w:rPr>
          <w:rFonts w:hint="eastAsia" w:ascii="仿宋_GB2312" w:eastAsia="仿宋_GB2312"/>
          <w:color w:val="000000"/>
          <w:sz w:val="32"/>
          <w:szCs w:val="32"/>
        </w:rPr>
        <w:t>。主要原因是维修费用减少。</w:t>
      </w:r>
    </w:p>
    <w:p w14:paraId="07F9251A">
      <w:pPr>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其中：</w:t>
      </w:r>
      <w:r>
        <w:rPr>
          <w:rFonts w:hint="eastAsia" w:ascii="仿宋_GB2312" w:eastAsia="仿宋_GB2312"/>
          <w:b/>
          <w:color w:val="000000"/>
          <w:sz w:val="32"/>
          <w:szCs w:val="32"/>
        </w:rPr>
        <w:t>公务用车购置支出</w:t>
      </w:r>
      <w:r>
        <w:rPr>
          <w:rFonts w:hint="eastAsia" w:ascii="仿宋_GB2312" w:eastAsia="仿宋_GB2312"/>
          <w:color w:val="000000"/>
          <w:sz w:val="32"/>
          <w:szCs w:val="32"/>
        </w:rPr>
        <w:t>0万元。全年按规定更新购置公务用车0辆，金额0</w:t>
      </w:r>
      <w:r>
        <w:rPr>
          <w:rFonts w:ascii="仿宋_GB2312" w:eastAsia="仿宋_GB2312"/>
          <w:color w:val="000000"/>
          <w:sz w:val="32"/>
          <w:szCs w:val="32"/>
        </w:rPr>
        <w:t>元。</w:t>
      </w:r>
      <w:r>
        <w:rPr>
          <w:rFonts w:hint="eastAsia" w:ascii="仿宋_GB2312" w:eastAsia="仿宋_GB2312"/>
          <w:color w:val="000000"/>
          <w:sz w:val="32"/>
          <w:szCs w:val="32"/>
        </w:rPr>
        <w:t>截至</w:t>
      </w:r>
      <w:r>
        <w:rPr>
          <w:rFonts w:ascii="仿宋_GB2312" w:eastAsia="仿宋_GB2312"/>
          <w:color w:val="000000"/>
          <w:sz w:val="32"/>
          <w:szCs w:val="32"/>
        </w:rPr>
        <w:t>201</w:t>
      </w:r>
      <w:r>
        <w:rPr>
          <w:rFonts w:hint="eastAsia" w:ascii="仿宋_GB2312" w:eastAsia="仿宋_GB2312"/>
          <w:color w:val="000000"/>
          <w:sz w:val="32"/>
          <w:szCs w:val="32"/>
        </w:rPr>
        <w:t>9年</w:t>
      </w:r>
      <w:r>
        <w:rPr>
          <w:rFonts w:ascii="仿宋_GB2312" w:eastAsia="仿宋_GB2312"/>
          <w:color w:val="000000"/>
          <w:sz w:val="32"/>
          <w:szCs w:val="32"/>
        </w:rPr>
        <w:t>12</w:t>
      </w:r>
      <w:r>
        <w:rPr>
          <w:rFonts w:hint="eastAsia" w:ascii="仿宋_GB2312" w:eastAsia="仿宋_GB2312"/>
          <w:color w:val="000000"/>
          <w:sz w:val="32"/>
          <w:szCs w:val="32"/>
        </w:rPr>
        <w:t>月底，单位共有公务用车4辆，其中：主要领导干部用车0辆、机要通信用车0辆、应急保障用车2辆、 执法执勤用车0辆、特种专业技术用车2辆。</w:t>
      </w:r>
    </w:p>
    <w:p w14:paraId="12A8C524">
      <w:pPr>
        <w:spacing w:line="600" w:lineRule="exact"/>
        <w:ind w:firstLine="640"/>
        <w:rPr>
          <w:rFonts w:ascii="仿宋_GB2312" w:eastAsia="仿宋_GB2312"/>
          <w:color w:val="000000"/>
          <w:sz w:val="32"/>
          <w:szCs w:val="32"/>
        </w:rPr>
      </w:pPr>
      <w:r>
        <w:rPr>
          <w:rFonts w:hint="eastAsia" w:ascii="仿宋_GB2312" w:eastAsia="仿宋_GB2312"/>
          <w:b/>
          <w:color w:val="000000"/>
          <w:sz w:val="32"/>
          <w:szCs w:val="32"/>
        </w:rPr>
        <w:t>公务用车运行维护费支出</w:t>
      </w:r>
      <w:r>
        <w:rPr>
          <w:rFonts w:hint="eastAsia" w:ascii="仿宋_GB2312" w:eastAsia="仿宋_GB2312"/>
          <w:color w:val="000000"/>
          <w:sz w:val="32"/>
          <w:szCs w:val="32"/>
        </w:rPr>
        <w:t>6.95万元。主要用于具体工作等所需的公务用车燃料费、维修费、过路过桥费、保险费等支出。</w:t>
      </w:r>
    </w:p>
    <w:p w14:paraId="2A464B65">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hint="eastAsia" w:ascii="仿宋_GB2312" w:eastAsia="仿宋_GB2312"/>
          <w:color w:val="000000"/>
          <w:sz w:val="32"/>
          <w:szCs w:val="32"/>
        </w:rPr>
        <w:t>0.13万元，</w:t>
      </w:r>
      <w:r>
        <w:rPr>
          <w:rStyle w:val="15"/>
          <w:rFonts w:hint="eastAsia" w:ascii="仿宋" w:hAnsi="仿宋" w:eastAsia="仿宋"/>
          <w:b w:val="0"/>
          <w:bCs/>
          <w:color w:val="000000"/>
          <w:sz w:val="32"/>
          <w:szCs w:val="32"/>
        </w:rPr>
        <w:t>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201</w:t>
      </w:r>
      <w:r>
        <w:rPr>
          <w:rFonts w:hint="eastAsia" w:ascii="仿宋_GB2312" w:eastAsia="仿宋_GB2312"/>
          <w:color w:val="000000"/>
          <w:sz w:val="32"/>
          <w:szCs w:val="32"/>
        </w:rPr>
        <w:t>8年减少0.05万元，下降27.8</w:t>
      </w:r>
      <w:r>
        <w:rPr>
          <w:rFonts w:ascii="仿宋_GB2312" w:eastAsia="仿宋_GB2312"/>
          <w:color w:val="000000"/>
          <w:sz w:val="32"/>
          <w:szCs w:val="32"/>
        </w:rPr>
        <w:t>%</w:t>
      </w:r>
      <w:r>
        <w:rPr>
          <w:rFonts w:hint="eastAsia" w:ascii="仿宋_GB2312" w:eastAsia="仿宋_GB2312"/>
          <w:color w:val="000000"/>
          <w:sz w:val="32"/>
          <w:szCs w:val="32"/>
        </w:rPr>
        <w:t>。主要原因是接待任务减少，其中：</w:t>
      </w:r>
    </w:p>
    <w:p w14:paraId="2F7B54BA">
      <w:pPr>
        <w:spacing w:line="600" w:lineRule="exact"/>
        <w:ind w:firstLine="640"/>
        <w:rPr>
          <w:rFonts w:ascii="仿宋_GB2312" w:eastAsia="仿宋_GB2312"/>
          <w:color w:val="000000"/>
          <w:sz w:val="32"/>
          <w:szCs w:val="32"/>
        </w:rPr>
      </w:pPr>
      <w:r>
        <w:rPr>
          <w:rFonts w:hint="eastAsia" w:ascii="仿宋" w:hAnsi="仿宋" w:eastAsia="仿宋"/>
          <w:b/>
          <w:color w:val="000000"/>
          <w:sz w:val="32"/>
          <w:szCs w:val="32"/>
        </w:rPr>
        <w:t>国内公务接待支出</w:t>
      </w:r>
      <w:r>
        <w:rPr>
          <w:rFonts w:hint="eastAsia" w:ascii="仿宋" w:hAnsi="仿宋" w:eastAsia="仿宋"/>
          <w:color w:val="000000"/>
          <w:sz w:val="32"/>
          <w:szCs w:val="32"/>
        </w:rPr>
        <w:t>0.13</w:t>
      </w:r>
      <w:r>
        <w:rPr>
          <w:rFonts w:hint="eastAsia" w:ascii="仿宋_GB2312" w:eastAsia="仿宋_GB2312"/>
          <w:color w:val="000000"/>
          <w:sz w:val="32"/>
          <w:szCs w:val="32"/>
        </w:rPr>
        <w:t>万元，主要用于执行公务、开展业务活动开支的交通费、住宿费、用餐费等。国内公务接待8批次，65人次（不包括陪同人员），共计支出0.13万元，具体内容包括：市、县各部门公务接待用餐。</w:t>
      </w:r>
    </w:p>
    <w:p w14:paraId="185CD0C8">
      <w:pPr>
        <w:spacing w:line="600" w:lineRule="exact"/>
        <w:ind w:firstLine="643" w:firstLineChars="200"/>
        <w:rPr>
          <w:rFonts w:ascii="黑体" w:eastAsia="黑体"/>
          <w:color w:val="000000"/>
          <w:sz w:val="32"/>
          <w:szCs w:val="32"/>
        </w:rPr>
      </w:pPr>
      <w:r>
        <w:rPr>
          <w:rFonts w:hint="eastAsia" w:ascii="仿宋" w:hAnsi="仿宋" w:eastAsia="仿宋"/>
          <w:b/>
          <w:color w:val="000000"/>
          <w:sz w:val="32"/>
          <w:szCs w:val="32"/>
        </w:rPr>
        <w:t>外事接待支出</w:t>
      </w:r>
      <w:r>
        <w:rPr>
          <w:rFonts w:hint="eastAsia" w:ascii="仿宋" w:hAnsi="仿宋" w:eastAsia="仿宋"/>
          <w:color w:val="000000"/>
          <w:sz w:val="32"/>
          <w:szCs w:val="32"/>
        </w:rPr>
        <w:t>0</w:t>
      </w:r>
      <w:r>
        <w:rPr>
          <w:rFonts w:hint="eastAsia" w:ascii="仿宋_GB2312" w:eastAsia="仿宋_GB2312"/>
          <w:color w:val="000000"/>
          <w:sz w:val="32"/>
          <w:szCs w:val="32"/>
        </w:rPr>
        <w:t>万元，外事接待0批次，0人，共计支出0万元。</w:t>
      </w:r>
      <w:bookmarkStart w:id="69" w:name="_Toc15377218"/>
      <w:bookmarkStart w:id="70" w:name="_Toc15396610"/>
    </w:p>
    <w:p w14:paraId="0E807421">
      <w:pPr>
        <w:spacing w:line="600" w:lineRule="exact"/>
        <w:ind w:firstLine="640"/>
        <w:outlineLvl w:val="1"/>
        <w:rPr>
          <w:rStyle w:val="28"/>
          <w:rFonts w:ascii="黑体" w:hAnsi="黑体" w:eastAsia="黑体"/>
        </w:rPr>
      </w:pPr>
      <w:bookmarkStart w:id="71" w:name="_Toc52180089"/>
      <w:r>
        <w:rPr>
          <w:rFonts w:hint="eastAsia" w:ascii="黑体" w:eastAsia="黑体"/>
          <w:color w:val="000000"/>
          <w:sz w:val="32"/>
          <w:szCs w:val="32"/>
        </w:rPr>
        <w:t>八、</w:t>
      </w:r>
      <w:r>
        <w:rPr>
          <w:rStyle w:val="28"/>
          <w:rFonts w:hint="eastAsia" w:ascii="黑体" w:hAnsi="黑体" w:eastAsia="黑体"/>
          <w:b w:val="0"/>
        </w:rPr>
        <w:t>政府性基金预算支出决算情况说明</w:t>
      </w:r>
      <w:bookmarkEnd w:id="69"/>
      <w:bookmarkEnd w:id="70"/>
      <w:bookmarkEnd w:id="71"/>
    </w:p>
    <w:p w14:paraId="0ABC3748">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9年政府性基金预算拨款支出15.15万元。</w:t>
      </w:r>
    </w:p>
    <w:p w14:paraId="28824F94">
      <w:pPr>
        <w:numPr>
          <w:ilvl w:val="0"/>
          <w:numId w:val="4"/>
        </w:numPr>
        <w:spacing w:line="600" w:lineRule="exact"/>
        <w:ind w:firstLine="640"/>
        <w:outlineLvl w:val="1"/>
        <w:rPr>
          <w:rStyle w:val="28"/>
          <w:rFonts w:ascii="黑体" w:hAnsi="黑体" w:eastAsia="黑体"/>
          <w:b w:val="0"/>
        </w:rPr>
      </w:pPr>
      <w:bookmarkStart w:id="72" w:name="_Toc15377219"/>
      <w:bookmarkStart w:id="73" w:name="_Toc52180090"/>
      <w:bookmarkStart w:id="74" w:name="_Toc15396611"/>
      <w:r>
        <w:rPr>
          <w:rStyle w:val="28"/>
          <w:rFonts w:hint="eastAsia" w:ascii="黑体" w:hAnsi="黑体" w:eastAsia="黑体"/>
          <w:b w:val="0"/>
        </w:rPr>
        <w:t>国有资本经营预算支出决算情况说明</w:t>
      </w:r>
      <w:bookmarkEnd w:id="72"/>
      <w:bookmarkEnd w:id="73"/>
      <w:bookmarkEnd w:id="74"/>
    </w:p>
    <w:p w14:paraId="6346711D">
      <w:pPr>
        <w:spacing w:line="600" w:lineRule="exact"/>
        <w:ind w:firstLine="640"/>
        <w:rPr>
          <w:rFonts w:ascii="方正小标宋简体" w:hAnsi="方正小标宋简体" w:eastAsia="方正小标宋简体" w:cs="方正小标宋简体"/>
          <w:sz w:val="44"/>
          <w:szCs w:val="44"/>
        </w:rPr>
      </w:pPr>
      <w:r>
        <w:rPr>
          <w:rFonts w:ascii="仿宋_GB2312" w:eastAsia="仿宋_GB2312"/>
          <w:color w:val="000000"/>
          <w:sz w:val="32"/>
          <w:szCs w:val="32"/>
        </w:rPr>
        <w:t>201</w:t>
      </w:r>
      <w:r>
        <w:rPr>
          <w:rFonts w:hint="eastAsia" w:ascii="仿宋_GB2312" w:eastAsia="仿宋_GB2312"/>
          <w:color w:val="000000"/>
          <w:sz w:val="32"/>
          <w:szCs w:val="32"/>
        </w:rPr>
        <w:t>9年国有资本经营预算拨款支出0万元。</w:t>
      </w:r>
    </w:p>
    <w:p w14:paraId="7714ACAE">
      <w:pPr>
        <w:spacing w:line="600" w:lineRule="exact"/>
        <w:ind w:firstLine="800" w:firstLineChars="250"/>
        <w:outlineLvl w:val="1"/>
        <w:rPr>
          <w:rStyle w:val="28"/>
          <w:rFonts w:ascii="黑体" w:hAnsi="黑体" w:eastAsia="黑体"/>
        </w:rPr>
      </w:pPr>
      <w:bookmarkStart w:id="75" w:name="_Toc52180091"/>
      <w:bookmarkStart w:id="76" w:name="_Toc15396612"/>
      <w:bookmarkStart w:id="77" w:name="_Toc15377221"/>
      <w:r>
        <w:rPr>
          <w:rFonts w:hint="eastAsia" w:ascii="黑体" w:hAnsi="黑体" w:eastAsia="黑体"/>
          <w:color w:val="000000"/>
          <w:sz w:val="32"/>
          <w:szCs w:val="32"/>
        </w:rPr>
        <w:t>十</w:t>
      </w:r>
      <w:r>
        <w:rPr>
          <w:rStyle w:val="28"/>
          <w:rFonts w:hint="eastAsia" w:ascii="黑体" w:hAnsi="黑体" w:eastAsia="黑体"/>
        </w:rPr>
        <w:t>、</w:t>
      </w:r>
      <w:r>
        <w:rPr>
          <w:rStyle w:val="28"/>
          <w:rFonts w:hint="eastAsia" w:ascii="黑体" w:hAnsi="黑体" w:eastAsia="黑体"/>
          <w:b w:val="0"/>
        </w:rPr>
        <w:t>其他重要事项的情况说明</w:t>
      </w:r>
      <w:bookmarkEnd w:id="75"/>
      <w:bookmarkEnd w:id="76"/>
      <w:bookmarkEnd w:id="77"/>
    </w:p>
    <w:p w14:paraId="29CD584D">
      <w:pPr>
        <w:spacing w:line="600" w:lineRule="exact"/>
        <w:ind w:firstLine="643" w:firstLineChars="200"/>
        <w:outlineLvl w:val="2"/>
        <w:rPr>
          <w:rFonts w:ascii="仿宋" w:hAnsi="仿宋" w:eastAsia="仿宋"/>
          <w:color w:val="000000"/>
          <w:sz w:val="32"/>
          <w:szCs w:val="32"/>
        </w:rPr>
      </w:pPr>
      <w:bookmarkStart w:id="78" w:name="_Toc52180092"/>
      <w:bookmarkStart w:id="79" w:name="_Toc15377222"/>
      <w:r>
        <w:rPr>
          <w:rFonts w:hint="eastAsia" w:ascii="仿宋" w:hAnsi="仿宋" w:eastAsia="仿宋"/>
          <w:b/>
          <w:color w:val="000000"/>
          <w:sz w:val="32"/>
          <w:szCs w:val="32"/>
        </w:rPr>
        <w:t>（一）机关运行经费支出情况</w:t>
      </w:r>
      <w:bookmarkEnd w:id="78"/>
      <w:bookmarkEnd w:id="79"/>
    </w:p>
    <w:p w14:paraId="431F1722">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9年，机关运行经费支出101万元，比</w:t>
      </w:r>
      <w:r>
        <w:rPr>
          <w:rFonts w:ascii="仿宋_GB2312" w:eastAsia="仿宋_GB2312"/>
          <w:color w:val="000000"/>
          <w:sz w:val="32"/>
          <w:szCs w:val="32"/>
        </w:rPr>
        <w:t>201</w:t>
      </w:r>
      <w:r>
        <w:rPr>
          <w:rFonts w:hint="eastAsia" w:ascii="仿宋_GB2312" w:eastAsia="仿宋_GB2312"/>
          <w:color w:val="000000"/>
          <w:sz w:val="32"/>
          <w:szCs w:val="32"/>
        </w:rPr>
        <w:t>8年减少12.6万元，下降11.1</w:t>
      </w:r>
      <w:r>
        <w:rPr>
          <w:rFonts w:ascii="仿宋_GB2312" w:eastAsia="仿宋_GB2312"/>
          <w:color w:val="000000"/>
          <w:sz w:val="32"/>
          <w:szCs w:val="32"/>
        </w:rPr>
        <w:t>%</w:t>
      </w:r>
      <w:r>
        <w:rPr>
          <w:rFonts w:hint="eastAsia" w:ascii="仿宋_GB2312" w:eastAsia="仿宋_GB2312"/>
          <w:color w:val="000000"/>
          <w:sz w:val="32"/>
          <w:szCs w:val="32"/>
        </w:rPr>
        <w:t>。主要原因是人员变动。</w:t>
      </w:r>
    </w:p>
    <w:p w14:paraId="5A69CE92">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80" w:name="_Toc52180093"/>
      <w:bookmarkStart w:id="81" w:name="_Toc15377223"/>
      <w:r>
        <w:rPr>
          <w:rFonts w:hint="eastAsia" w:ascii="仿宋" w:hAnsi="仿宋" w:eastAsia="仿宋"/>
          <w:b/>
          <w:color w:val="000000"/>
          <w:sz w:val="32"/>
          <w:szCs w:val="32"/>
        </w:rPr>
        <w:t>（二）政府采购支出情况</w:t>
      </w:r>
      <w:bookmarkEnd w:id="80"/>
      <w:bookmarkEnd w:id="81"/>
    </w:p>
    <w:p w14:paraId="653C6799">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9年，政府采购支出总额0万元，其中：政府采购货物支出0万元、政府采购工程支出0万元、政府采购服务支出0万元。授予中小企业合同金额0万元，占政府采购支出总额的0</w:t>
      </w:r>
      <w:r>
        <w:rPr>
          <w:rFonts w:ascii="仿宋_GB2312" w:eastAsia="仿宋_GB2312"/>
          <w:color w:val="000000"/>
          <w:sz w:val="32"/>
          <w:szCs w:val="32"/>
        </w:rPr>
        <w:t>%</w:t>
      </w:r>
      <w:r>
        <w:rPr>
          <w:rFonts w:hint="eastAsia" w:ascii="仿宋_GB2312" w:eastAsia="仿宋_GB2312"/>
          <w:color w:val="000000"/>
          <w:sz w:val="32"/>
          <w:szCs w:val="32"/>
        </w:rPr>
        <w:t>，其中：授予小微企业合同金额0万元，占政府采购支出总额的0</w:t>
      </w:r>
      <w:r>
        <w:rPr>
          <w:rFonts w:ascii="仿宋_GB2312" w:eastAsia="仿宋_GB2312"/>
          <w:color w:val="000000"/>
          <w:sz w:val="32"/>
          <w:szCs w:val="32"/>
        </w:rPr>
        <w:t>%</w:t>
      </w:r>
      <w:r>
        <w:rPr>
          <w:rFonts w:hint="eastAsia" w:ascii="仿宋_GB2312" w:eastAsia="仿宋_GB2312"/>
          <w:color w:val="000000"/>
          <w:sz w:val="32"/>
          <w:szCs w:val="32"/>
        </w:rPr>
        <w:t>。</w:t>
      </w:r>
    </w:p>
    <w:p w14:paraId="077E2C54">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82" w:name="_Toc52180094"/>
      <w:bookmarkStart w:id="83" w:name="_Toc15377224"/>
      <w:r>
        <w:rPr>
          <w:rFonts w:hint="eastAsia" w:ascii="仿宋" w:hAnsi="仿宋" w:eastAsia="仿宋"/>
          <w:b/>
          <w:color w:val="000000"/>
          <w:sz w:val="32"/>
          <w:szCs w:val="32"/>
        </w:rPr>
        <w:t>（三）国有资产占有使用情况</w:t>
      </w:r>
      <w:bookmarkEnd w:id="82"/>
      <w:bookmarkEnd w:id="83"/>
    </w:p>
    <w:p w14:paraId="19A0F532">
      <w:pPr>
        <w:autoSpaceDE w:val="0"/>
        <w:autoSpaceDN w:val="0"/>
        <w:adjustRightInd w:val="0"/>
        <w:spacing w:line="600" w:lineRule="exact"/>
        <w:ind w:firstLine="640" w:firstLineChars="200"/>
        <w:jc w:val="left"/>
        <w:rPr>
          <w:rFonts w:ascii="仿宋" w:hAnsi="仿宋" w:eastAsia="仿宋"/>
          <w:b/>
          <w:color w:val="FF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201</w:t>
      </w:r>
      <w:r>
        <w:rPr>
          <w:rFonts w:hint="eastAsia" w:ascii="仿宋_GB2312" w:eastAsia="仿宋_GB2312"/>
          <w:color w:val="000000"/>
          <w:sz w:val="32"/>
          <w:szCs w:val="32"/>
        </w:rPr>
        <w:t>9年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日，共有车辆4辆，其中：主要领导干部用车0辆、机要通信用车0辆、应急保障用车2辆、特种专业技术用车2辆，单价</w:t>
      </w:r>
      <w:r>
        <w:rPr>
          <w:rFonts w:ascii="仿宋_GB2312" w:eastAsia="仿宋_GB2312"/>
          <w:color w:val="000000"/>
          <w:sz w:val="32"/>
          <w:szCs w:val="32"/>
        </w:rPr>
        <w:t>50</w:t>
      </w:r>
      <w:r>
        <w:rPr>
          <w:rFonts w:hint="eastAsia" w:ascii="仿宋_GB2312" w:eastAsia="仿宋_GB2312"/>
          <w:color w:val="000000"/>
          <w:sz w:val="32"/>
          <w:szCs w:val="32"/>
        </w:rPr>
        <w:t>万元以上通用设备0台（套），单价</w:t>
      </w:r>
      <w:r>
        <w:rPr>
          <w:rFonts w:ascii="仿宋_GB2312" w:eastAsia="仿宋_GB2312"/>
          <w:color w:val="000000"/>
          <w:sz w:val="32"/>
          <w:szCs w:val="32"/>
        </w:rPr>
        <w:t>100</w:t>
      </w:r>
      <w:r>
        <w:rPr>
          <w:rFonts w:hint="eastAsia" w:ascii="仿宋_GB2312" w:eastAsia="仿宋_GB2312"/>
          <w:color w:val="000000"/>
          <w:sz w:val="32"/>
          <w:szCs w:val="32"/>
        </w:rPr>
        <w:t>万元以上专用设备0台（套）。</w:t>
      </w:r>
    </w:p>
    <w:p w14:paraId="00260CDC">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84" w:name="_Toc52180095"/>
      <w:r>
        <w:rPr>
          <w:rFonts w:hint="eastAsia" w:ascii="仿宋" w:hAnsi="仿宋" w:eastAsia="仿宋"/>
          <w:b/>
          <w:color w:val="000000"/>
          <w:sz w:val="32"/>
          <w:szCs w:val="32"/>
        </w:rPr>
        <w:t>（四）预算绩效管理情况。</w:t>
      </w:r>
      <w:bookmarkEnd w:id="84"/>
    </w:p>
    <w:p w14:paraId="395216E2">
      <w:pPr>
        <w:autoSpaceDE w:val="0"/>
        <w:autoSpaceDN w:val="0"/>
        <w:adjustRightInd w:val="0"/>
        <w:spacing w:line="60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根据预算绩效管理要求，本部门（单位）在年初预算编制阶段，组织对24个项目开展了预算事前绩效评估，对24个项目编制了绩效目标，预算执行过程中，选取5个项目开展绩效监控，年终执行完毕后，对5个项目开展了绩效目标完成情况梳理填报。</w:t>
      </w:r>
    </w:p>
    <w:p w14:paraId="31B23EA3">
      <w:pPr>
        <w:autoSpaceDE w:val="0"/>
        <w:autoSpaceDN w:val="0"/>
        <w:adjustRightInd w:val="0"/>
        <w:spacing w:line="60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本部门按要求对2019年部门整体支出开展绩效自评，从评价情况来看项目整体实施完成情况良好。</w:t>
      </w:r>
    </w:p>
    <w:p w14:paraId="36932B41">
      <w:pPr>
        <w:spacing w:line="580" w:lineRule="exact"/>
        <w:ind w:firstLine="643" w:firstLineChars="200"/>
        <w:rPr>
          <w:rFonts w:ascii="仿宋_GB2312" w:hAnsi="仿宋_GB2312" w:eastAsia="仿宋_GB2312" w:cs="仿宋_GB2312"/>
          <w:sz w:val="32"/>
          <w:szCs w:val="32"/>
        </w:rPr>
      </w:pPr>
      <w:r>
        <w:rPr>
          <w:rFonts w:hint="eastAsia" w:ascii="仿宋" w:hAnsi="仿宋" w:eastAsia="仿宋" w:cs="楷体_GB2312"/>
          <w:b/>
          <w:bCs/>
          <w:sz w:val="32"/>
          <w:szCs w:val="32"/>
        </w:rPr>
        <w:t>项目绩效目标完成情况。</w:t>
      </w:r>
      <w:r>
        <w:rPr>
          <w:rFonts w:hint="eastAsia" w:ascii="楷体_GB2312" w:hAnsi="楷体_GB2312" w:eastAsia="楷体_GB2312" w:cs="楷体_GB2312"/>
          <w:b/>
          <w:bCs/>
          <w:sz w:val="32"/>
          <w:szCs w:val="32"/>
        </w:rPr>
        <w:br w:type="textWrapping"/>
      </w:r>
      <w:r>
        <w:rPr>
          <w:rFonts w:hint="eastAsia" w:ascii="楷体_GB2312" w:hAnsi="楷体_GB2312" w:eastAsia="楷体_GB2312" w:cs="楷体_GB2312"/>
          <w:b/>
          <w:bCs/>
          <w:sz w:val="32"/>
          <w:szCs w:val="32"/>
        </w:rPr>
        <w:t xml:space="preserve">    </w:t>
      </w:r>
      <w:r>
        <w:rPr>
          <w:rFonts w:hint="eastAsia" w:ascii="楷体_GB2312" w:hAnsi="楷体_GB2312" w:eastAsia="楷体_GB2312" w:cs="楷体_GB2312"/>
          <w:sz w:val="32"/>
          <w:szCs w:val="32"/>
        </w:rPr>
        <w:t>1.项目绩效目标完成情况。</w:t>
      </w:r>
      <w:r>
        <w:rPr>
          <w:rFonts w:hint="eastAsia" w:ascii="楷体_GB2312" w:hAnsi="楷体_GB2312" w:eastAsia="楷体_GB2312" w:cs="楷体_GB2312"/>
          <w:sz w:val="32"/>
          <w:szCs w:val="32"/>
        </w:rPr>
        <w:br w:type="textWrapping"/>
      </w:r>
      <w:r>
        <w:rPr>
          <w:rFonts w:hint="eastAsia" w:ascii="仿宋_GB2312" w:hAnsi="仿宋_GB2312" w:eastAsia="仿宋_GB2312" w:cs="仿宋_GB2312"/>
          <w:sz w:val="32"/>
          <w:szCs w:val="32"/>
        </w:rPr>
        <w:t xml:space="preserve">    </w:t>
      </w:r>
      <w:r>
        <w:rPr>
          <w:rFonts w:hint="eastAsia" w:eastAsia="楷体_GB2312"/>
          <w:sz w:val="32"/>
          <w:szCs w:val="32"/>
        </w:rPr>
        <w:t>人大代表会议费1.67万元；“人大代表”之家建设经费1.1万元；山水文化旅游节工作经费16.72万元；政府订阅报刊杂志、印刷广告、办公耗材、电费、四害扑杀资金及水电维修欠款1.45万元；乡村治理补助0.99万元；政府维稳接待上访人员经费1.24万元；第三次全国农业普查专项经费0.12万元；乡镇财政管理系统及金财网维护费0.6万元；粮食直补和农业保险工作经费0.27万元；四川省三州开发项目补助资金用于永兴镇三虎村社道路硬化项目30万元；政府武装工作经费2.09万元；社区工资保险办公费41.9万元；敬老院工资保险办公费59.81万元；五保户生活费丧葬费130.23万元；计划生育服务员补助经费21.44万元；卫生计生工作经费1.93万元；面源整治、垃圾清运、漂浮物打捞及</w:t>
      </w:r>
      <w:r>
        <w:rPr>
          <w:rFonts w:hint="eastAsia" w:eastAsia="楷体_GB2312"/>
          <w:sz w:val="32"/>
          <w:szCs w:val="32"/>
          <w:lang w:eastAsia="zh-CN"/>
        </w:rPr>
        <w:t>环保督察</w:t>
      </w:r>
      <w:r>
        <w:rPr>
          <w:rFonts w:hint="eastAsia" w:eastAsia="楷体_GB2312"/>
          <w:sz w:val="32"/>
          <w:szCs w:val="32"/>
        </w:rPr>
        <w:t>回头看整治专项经费20万元；城乡环境综合治理经费15.83万元；土地出让金扩建征地经费15.15万元；村社社道基础设施建设经费17.1万元；防汛抢险抗旱经费14.96万元；2018年四季度非农安置移民困难补助13.47万元；基层组织活动和公共服务运行经费91万元，村社工资办公费320.26万元；第三次全国国土调查经费0.59万元；乡镇安全生产监管专项资金3.59万元。</w:t>
      </w:r>
    </w:p>
    <w:tbl>
      <w:tblPr>
        <w:tblStyle w:val="13"/>
        <w:tblpPr w:leftFromText="180" w:rightFromText="180" w:vertAnchor="text" w:horzAnchor="page" w:tblpXSpec="center" w:tblpY="100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14:paraId="69E2D809">
        <w:tblPrEx>
          <w:tblCellMar>
            <w:top w:w="0" w:type="dxa"/>
            <w:left w:w="0" w:type="dxa"/>
            <w:bottom w:w="0" w:type="dxa"/>
            <w:right w:w="0" w:type="dxa"/>
          </w:tblCellMar>
        </w:tblPrEx>
        <w:trPr>
          <w:trHeight w:val="1276" w:hRule="atLeast"/>
          <w:jc w:val="center"/>
        </w:trPr>
        <w:tc>
          <w:tcPr>
            <w:tcW w:w="9960" w:type="dxa"/>
            <w:gridSpan w:val="6"/>
            <w:tcBorders>
              <w:top w:val="nil"/>
              <w:left w:val="nil"/>
              <w:bottom w:val="nil"/>
              <w:right w:val="nil"/>
            </w:tcBorders>
            <w:tcMar>
              <w:top w:w="15" w:type="dxa"/>
              <w:left w:w="15" w:type="dxa"/>
              <w:right w:w="15" w:type="dxa"/>
            </w:tcMar>
            <w:vAlign w:val="center"/>
          </w:tcPr>
          <w:p w14:paraId="0B1C1AFA">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14:paraId="5A14B4BD">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BF9971">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4291EF">
            <w:pPr>
              <w:widowControl/>
              <w:jc w:val="center"/>
              <w:textAlignment w:val="center"/>
              <w:rPr>
                <w:rFonts w:ascii="宋体" w:hAnsi="宋体" w:cs="宋体"/>
                <w:color w:val="000000"/>
                <w:sz w:val="24"/>
              </w:rPr>
            </w:pPr>
            <w:r>
              <w:rPr>
                <w:rFonts w:hint="eastAsia" w:ascii="宋体" w:hAnsi="宋体" w:cs="宋体"/>
                <w:color w:val="000000"/>
                <w:sz w:val="24"/>
              </w:rPr>
              <w:t>四川省三州开发项目补助资金用于永兴镇三虎村社道路硬化项目</w:t>
            </w:r>
          </w:p>
        </w:tc>
      </w:tr>
      <w:tr w14:paraId="0260481C">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E4FF5F">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FA4CD8">
            <w:pPr>
              <w:widowControl/>
              <w:jc w:val="center"/>
              <w:textAlignment w:val="center"/>
              <w:rPr>
                <w:rFonts w:ascii="宋体" w:hAnsi="宋体" w:cs="宋体"/>
                <w:color w:val="000000"/>
                <w:sz w:val="24"/>
              </w:rPr>
            </w:pPr>
            <w:r>
              <w:rPr>
                <w:rFonts w:hint="eastAsia" w:ascii="宋体" w:hAnsi="宋体" w:cs="宋体"/>
                <w:color w:val="000000"/>
                <w:sz w:val="24"/>
              </w:rPr>
              <w:t>永兴镇人民政府</w:t>
            </w:r>
          </w:p>
        </w:tc>
      </w:tr>
      <w:tr w14:paraId="32D80DAC">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BE5A57">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1C1820">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88216A">
            <w:pPr>
              <w:widowControl/>
              <w:jc w:val="center"/>
              <w:textAlignment w:val="center"/>
              <w:rPr>
                <w:rFonts w:ascii="宋体" w:hAnsi="宋体" w:cs="宋体"/>
                <w:color w:val="000000"/>
                <w:sz w:val="24"/>
              </w:rPr>
            </w:pPr>
            <w:r>
              <w:rPr>
                <w:rFonts w:hint="eastAsia" w:ascii="宋体" w:hAnsi="宋体" w:cs="宋体"/>
                <w:color w:val="000000"/>
                <w:sz w:val="24"/>
              </w:rPr>
              <w:t>30万元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22FB3B">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9358D9">
            <w:pPr>
              <w:widowControl/>
              <w:jc w:val="center"/>
              <w:textAlignment w:val="center"/>
              <w:rPr>
                <w:rFonts w:ascii="宋体" w:hAnsi="宋体" w:cs="宋体"/>
                <w:color w:val="000000"/>
                <w:sz w:val="24"/>
              </w:rPr>
            </w:pPr>
            <w:r>
              <w:rPr>
                <w:rFonts w:hint="eastAsia" w:ascii="宋体" w:hAnsi="宋体" w:cs="宋体"/>
                <w:color w:val="000000"/>
                <w:sz w:val="24"/>
              </w:rPr>
              <w:t>30万元</w:t>
            </w:r>
          </w:p>
        </w:tc>
      </w:tr>
      <w:tr w14:paraId="1CA5F4CD">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870A0D">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24900D">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5DC44E">
            <w:pPr>
              <w:widowControl/>
              <w:jc w:val="center"/>
              <w:textAlignment w:val="center"/>
              <w:rPr>
                <w:rFonts w:ascii="宋体" w:hAnsi="宋体" w:cs="宋体"/>
                <w:color w:val="000000"/>
                <w:sz w:val="24"/>
              </w:rPr>
            </w:pPr>
            <w:r>
              <w:rPr>
                <w:rFonts w:hint="eastAsia" w:ascii="宋体" w:hAnsi="宋体" w:cs="宋体"/>
                <w:color w:val="000000"/>
                <w:sz w:val="24"/>
              </w:rPr>
              <w:t>30万元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F0341F">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6D8BBD">
            <w:pPr>
              <w:widowControl/>
              <w:jc w:val="center"/>
              <w:textAlignment w:val="center"/>
              <w:rPr>
                <w:rFonts w:ascii="宋体" w:hAnsi="宋体" w:cs="宋体"/>
                <w:color w:val="000000"/>
                <w:sz w:val="24"/>
              </w:rPr>
            </w:pPr>
            <w:r>
              <w:rPr>
                <w:rFonts w:hint="eastAsia" w:ascii="宋体" w:hAnsi="宋体" w:cs="宋体"/>
                <w:color w:val="000000"/>
                <w:sz w:val="24"/>
              </w:rPr>
              <w:t>30万元</w:t>
            </w:r>
          </w:p>
        </w:tc>
      </w:tr>
      <w:tr w14:paraId="6F26726A">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6D36FA">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A8E1C97">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410CD0">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0978F1">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9D7DDF">
            <w:pPr>
              <w:jc w:val="center"/>
              <w:rPr>
                <w:rFonts w:ascii="宋体" w:hAnsi="宋体" w:cs="宋体"/>
                <w:color w:val="000000"/>
                <w:sz w:val="24"/>
              </w:rPr>
            </w:pPr>
          </w:p>
        </w:tc>
      </w:tr>
      <w:tr w14:paraId="79A5D9F4">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937147">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23C327">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E749BE">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14:paraId="6B9A619D">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3A12F8">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0B0B90">
            <w:pPr>
              <w:widowControl/>
              <w:jc w:val="center"/>
              <w:textAlignment w:val="center"/>
              <w:rPr>
                <w:rFonts w:ascii="宋体" w:hAnsi="宋体" w:cs="宋体"/>
                <w:color w:val="000000"/>
                <w:sz w:val="24"/>
              </w:rPr>
            </w:pPr>
          </w:p>
          <w:p w14:paraId="3FFAB8FC">
            <w:pPr>
              <w:widowControl/>
              <w:jc w:val="center"/>
              <w:textAlignment w:val="center"/>
              <w:rPr>
                <w:rFonts w:ascii="宋体" w:hAnsi="宋体" w:cs="宋体"/>
                <w:color w:val="000000"/>
                <w:sz w:val="24"/>
              </w:rPr>
            </w:pPr>
            <w:r>
              <w:rPr>
                <w:rFonts w:hint="eastAsia" w:ascii="宋体" w:hAnsi="宋体" w:cs="宋体"/>
                <w:color w:val="000000"/>
                <w:sz w:val="24"/>
              </w:rPr>
              <w:t xml:space="preserve"> 保障村社道路日常通畅，做好村民日常出行服务</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5776E8">
            <w:pPr>
              <w:widowControl/>
              <w:jc w:val="center"/>
              <w:textAlignment w:val="center"/>
              <w:rPr>
                <w:rFonts w:ascii="宋体" w:hAnsi="宋体" w:cs="宋体"/>
                <w:color w:val="000000"/>
                <w:sz w:val="24"/>
              </w:rPr>
            </w:pPr>
            <w:r>
              <w:rPr>
                <w:rFonts w:hint="eastAsia" w:ascii="宋体" w:hAnsi="宋体" w:cs="宋体"/>
                <w:color w:val="000000"/>
                <w:sz w:val="24"/>
              </w:rPr>
              <w:t xml:space="preserve"> 保障村社道路日常通畅，做好村民日常出行服务</w:t>
            </w:r>
          </w:p>
        </w:tc>
      </w:tr>
      <w:tr w14:paraId="1B6CD3DE">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23BB4FF1">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F2EB4F">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363863">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8AC43F">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AECF0A4">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7319BB">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14:paraId="724DB33C">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776C30FD">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A92855">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2D7587">
            <w:pPr>
              <w:widowControl/>
              <w:jc w:val="center"/>
              <w:textAlignment w:val="center"/>
              <w:rPr>
                <w:rFonts w:ascii="宋体" w:hAnsi="宋体" w:cs="宋体"/>
                <w:color w:val="000000"/>
                <w:sz w:val="24"/>
              </w:rPr>
            </w:pPr>
            <w:r>
              <w:rPr>
                <w:rFonts w:hint="eastAsia" w:ascii="宋体" w:hAnsi="宋体" w:cs="宋体"/>
                <w:color w:val="000000"/>
                <w:sz w:val="24"/>
              </w:rPr>
              <w:t>保障村社3000余人日常出行</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C5F4E1">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CC6A04">
            <w:pPr>
              <w:widowControl/>
              <w:jc w:val="center"/>
              <w:textAlignment w:val="center"/>
              <w:rPr>
                <w:rFonts w:ascii="宋体" w:hAnsi="宋体" w:cs="宋体"/>
                <w:color w:val="000000"/>
                <w:sz w:val="24"/>
              </w:rPr>
            </w:pPr>
            <w:r>
              <w:rPr>
                <w:rFonts w:hint="eastAsia" w:ascii="宋体" w:hAnsi="宋体" w:cs="宋体"/>
                <w:color w:val="000000"/>
                <w:sz w:val="24"/>
              </w:rPr>
              <w:t>保障村社3000余人日常出行</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F9AA9F">
            <w:pPr>
              <w:widowControl/>
              <w:jc w:val="center"/>
              <w:textAlignment w:val="center"/>
              <w:rPr>
                <w:rFonts w:ascii="宋体" w:hAnsi="宋体" w:cs="宋体"/>
                <w:color w:val="000000"/>
                <w:sz w:val="24"/>
              </w:rPr>
            </w:pPr>
            <w:r>
              <w:rPr>
                <w:rFonts w:hint="eastAsia" w:ascii="宋体" w:hAnsi="宋体" w:cs="宋体"/>
                <w:color w:val="000000"/>
                <w:sz w:val="24"/>
              </w:rPr>
              <w:t>保障村社3000余人日常出行</w:t>
            </w:r>
          </w:p>
        </w:tc>
      </w:tr>
      <w:tr w14:paraId="36F17305">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699B0E47">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BECBFB">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483B13">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2395BF">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BCF6CC">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CE66F5">
            <w:pPr>
              <w:widowControl/>
              <w:jc w:val="center"/>
              <w:textAlignment w:val="center"/>
              <w:rPr>
                <w:rFonts w:ascii="宋体" w:hAnsi="宋体" w:cs="宋体"/>
                <w:color w:val="000000"/>
                <w:sz w:val="24"/>
              </w:rPr>
            </w:pPr>
          </w:p>
        </w:tc>
      </w:tr>
      <w:tr w14:paraId="0CC9C6B8">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2061DB0F">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DF5DBA">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BBB6D0">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6143C7">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1A9885">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959A98">
            <w:pPr>
              <w:widowControl/>
              <w:jc w:val="center"/>
              <w:textAlignment w:val="center"/>
              <w:rPr>
                <w:rFonts w:ascii="宋体" w:hAnsi="宋体" w:cs="宋体"/>
                <w:color w:val="000000"/>
                <w:sz w:val="24"/>
              </w:rPr>
            </w:pPr>
          </w:p>
        </w:tc>
      </w:tr>
      <w:tr w14:paraId="3B4BB056">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64C19383">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E5D3E2">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079162">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DCFEE2">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6E92E5">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C62A27">
            <w:pPr>
              <w:widowControl/>
              <w:jc w:val="center"/>
              <w:textAlignment w:val="center"/>
              <w:rPr>
                <w:rFonts w:ascii="宋体" w:hAnsi="宋体" w:cs="宋体"/>
                <w:color w:val="000000"/>
                <w:sz w:val="24"/>
              </w:rPr>
            </w:pPr>
          </w:p>
        </w:tc>
      </w:tr>
      <w:tr w14:paraId="7F5F1A57">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2E636046">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2A9828">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F882AB">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131E00">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FBB709">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90C7CE">
            <w:pPr>
              <w:widowControl/>
              <w:jc w:val="center"/>
              <w:textAlignment w:val="center"/>
              <w:rPr>
                <w:rFonts w:ascii="宋体" w:hAnsi="宋体" w:cs="宋体"/>
                <w:color w:val="000000"/>
                <w:sz w:val="24"/>
              </w:rPr>
            </w:pPr>
          </w:p>
        </w:tc>
      </w:tr>
      <w:tr w14:paraId="0DC76062">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6FBC26E0">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3167C0">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E7B719">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44AD90">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F4346BC">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367B30">
            <w:pPr>
              <w:widowControl/>
              <w:jc w:val="center"/>
              <w:textAlignment w:val="center"/>
              <w:rPr>
                <w:rFonts w:ascii="宋体" w:hAnsi="宋体" w:cs="宋体"/>
                <w:color w:val="000000"/>
                <w:sz w:val="24"/>
              </w:rPr>
            </w:pPr>
          </w:p>
        </w:tc>
      </w:tr>
      <w:tr w14:paraId="4399377B">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31BBB05C">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DF0AA2">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905448">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5D86F8">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603C00">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4BAA5C">
            <w:pPr>
              <w:widowControl/>
              <w:jc w:val="center"/>
              <w:textAlignment w:val="center"/>
              <w:rPr>
                <w:rFonts w:ascii="宋体" w:hAnsi="宋体" w:cs="宋体"/>
                <w:color w:val="000000"/>
                <w:sz w:val="24"/>
              </w:rPr>
            </w:pPr>
          </w:p>
        </w:tc>
      </w:tr>
      <w:tr w14:paraId="0DB589B7">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12991C47">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E0F217">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FFA41D">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AAB2AC">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9D0D97">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BA699E">
            <w:pPr>
              <w:widowControl/>
              <w:jc w:val="center"/>
              <w:textAlignment w:val="center"/>
              <w:rPr>
                <w:rFonts w:ascii="宋体" w:hAnsi="宋体" w:cs="宋体"/>
                <w:color w:val="000000"/>
                <w:sz w:val="24"/>
              </w:rPr>
            </w:pPr>
          </w:p>
        </w:tc>
      </w:tr>
      <w:tr w14:paraId="789F5D6A">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1BD4DCAA">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AB510C">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6DAF2D">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491F89">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19A4A4">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A86878B">
            <w:pPr>
              <w:widowControl/>
              <w:jc w:val="center"/>
              <w:textAlignment w:val="center"/>
              <w:rPr>
                <w:rFonts w:ascii="宋体" w:hAnsi="宋体" w:cs="宋体"/>
                <w:color w:val="000000"/>
                <w:sz w:val="24"/>
              </w:rPr>
            </w:pPr>
          </w:p>
        </w:tc>
      </w:tr>
      <w:tr w14:paraId="39FC1C0D">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5E5855BD">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F23920">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51DCFA">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6633B0F">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3AF5D4">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620778">
            <w:pPr>
              <w:widowControl/>
              <w:jc w:val="center"/>
              <w:textAlignment w:val="center"/>
              <w:rPr>
                <w:rFonts w:ascii="宋体" w:hAnsi="宋体" w:cs="宋体"/>
                <w:color w:val="000000"/>
                <w:sz w:val="24"/>
              </w:rPr>
            </w:pPr>
          </w:p>
        </w:tc>
      </w:tr>
    </w:tbl>
    <w:p w14:paraId="144CFC47">
      <w:pPr>
        <w:spacing w:line="580" w:lineRule="exact"/>
        <w:rPr>
          <w:rFonts w:ascii="仿宋_GB2312" w:hAnsi="仿宋_GB2312" w:eastAsia="仿宋_GB2312" w:cs="仿宋_GB2312"/>
          <w:sz w:val="32"/>
          <w:szCs w:val="32"/>
        </w:rPr>
      </w:pPr>
    </w:p>
    <w:tbl>
      <w:tblPr>
        <w:tblStyle w:val="13"/>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14:paraId="0D0C19AC">
        <w:tblPrEx>
          <w:tblCellMar>
            <w:top w:w="0" w:type="dxa"/>
            <w:left w:w="0" w:type="dxa"/>
            <w:bottom w:w="0" w:type="dxa"/>
            <w:right w:w="0" w:type="dxa"/>
          </w:tblCellMar>
        </w:tblPrEx>
        <w:trPr>
          <w:trHeight w:val="1276" w:hRule="atLeast"/>
          <w:jc w:val="center"/>
        </w:trPr>
        <w:tc>
          <w:tcPr>
            <w:tcW w:w="9960" w:type="dxa"/>
            <w:gridSpan w:val="6"/>
            <w:tcBorders>
              <w:top w:val="nil"/>
              <w:left w:val="nil"/>
              <w:bottom w:val="nil"/>
              <w:right w:val="nil"/>
            </w:tcBorders>
            <w:tcMar>
              <w:top w:w="15" w:type="dxa"/>
              <w:left w:w="15" w:type="dxa"/>
              <w:right w:w="15" w:type="dxa"/>
            </w:tcMar>
            <w:vAlign w:val="center"/>
          </w:tcPr>
          <w:p w14:paraId="5121C189">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14:paraId="631A9697">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E80298">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0559D8">
            <w:pPr>
              <w:widowControl/>
              <w:jc w:val="center"/>
              <w:textAlignment w:val="center"/>
              <w:rPr>
                <w:rFonts w:ascii="宋体" w:hAnsi="宋体" w:cs="宋体"/>
                <w:color w:val="000000"/>
                <w:sz w:val="24"/>
              </w:rPr>
            </w:pPr>
            <w:r>
              <w:rPr>
                <w:rFonts w:hint="eastAsia"/>
              </w:rPr>
              <w:t>永兴镇</w:t>
            </w:r>
            <w:r>
              <w:rPr>
                <w:rFonts w:hint="eastAsia"/>
                <w:lang w:eastAsia="zh-CN"/>
              </w:rPr>
              <w:t>环保督察</w:t>
            </w:r>
            <w:r>
              <w:rPr>
                <w:rFonts w:hint="eastAsia"/>
              </w:rPr>
              <w:t>“回头”整治项目，永兴砖厂场地平整复耕工程</w:t>
            </w:r>
          </w:p>
        </w:tc>
      </w:tr>
      <w:tr w14:paraId="67A97605">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F7AAB4">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4C4C27">
            <w:pPr>
              <w:widowControl/>
              <w:jc w:val="center"/>
              <w:textAlignment w:val="center"/>
              <w:rPr>
                <w:rFonts w:ascii="宋体" w:hAnsi="宋体" w:cs="宋体"/>
                <w:color w:val="000000"/>
                <w:sz w:val="24"/>
              </w:rPr>
            </w:pPr>
            <w:r>
              <w:rPr>
                <w:rFonts w:hint="eastAsia" w:ascii="宋体" w:hAnsi="宋体" w:cs="宋体"/>
                <w:color w:val="000000"/>
                <w:sz w:val="24"/>
              </w:rPr>
              <w:t>永兴镇人民政府</w:t>
            </w:r>
          </w:p>
        </w:tc>
      </w:tr>
      <w:tr w14:paraId="6A950FD9">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7208BA">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4F3955">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6CEF7A">
            <w:pPr>
              <w:widowControl/>
              <w:jc w:val="center"/>
              <w:textAlignment w:val="center"/>
              <w:rPr>
                <w:rFonts w:ascii="宋体" w:hAnsi="宋体" w:cs="宋体"/>
                <w:color w:val="000000"/>
                <w:sz w:val="24"/>
              </w:rPr>
            </w:pPr>
            <w:r>
              <w:rPr>
                <w:rFonts w:hint="eastAsia" w:ascii="宋体" w:hAnsi="宋体" w:cs="宋体"/>
                <w:color w:val="000000"/>
                <w:sz w:val="24"/>
              </w:rPr>
              <w:t>3.57万元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3FBCF8">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0C1A57">
            <w:pPr>
              <w:widowControl/>
              <w:jc w:val="center"/>
              <w:textAlignment w:val="center"/>
              <w:rPr>
                <w:rFonts w:ascii="宋体" w:hAnsi="宋体" w:cs="宋体"/>
                <w:color w:val="000000"/>
                <w:sz w:val="24"/>
              </w:rPr>
            </w:pPr>
            <w:r>
              <w:rPr>
                <w:rFonts w:hint="eastAsia" w:ascii="宋体" w:hAnsi="宋体" w:cs="宋体"/>
                <w:color w:val="000000"/>
                <w:sz w:val="24"/>
              </w:rPr>
              <w:t>3.57万元</w:t>
            </w:r>
          </w:p>
        </w:tc>
      </w:tr>
      <w:tr w14:paraId="6491EE73">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02E203">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ABC14F">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AEDBC5">
            <w:pPr>
              <w:widowControl/>
              <w:jc w:val="center"/>
              <w:textAlignment w:val="center"/>
              <w:rPr>
                <w:rFonts w:ascii="宋体" w:hAnsi="宋体" w:cs="宋体"/>
                <w:color w:val="000000"/>
                <w:sz w:val="24"/>
              </w:rPr>
            </w:pPr>
            <w:r>
              <w:rPr>
                <w:rFonts w:hint="eastAsia" w:ascii="宋体" w:hAnsi="宋体" w:cs="宋体"/>
                <w:color w:val="000000"/>
                <w:sz w:val="24"/>
              </w:rPr>
              <w:t>3.57万元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B24BE7">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FA89C3">
            <w:pPr>
              <w:widowControl/>
              <w:jc w:val="center"/>
              <w:textAlignment w:val="center"/>
              <w:rPr>
                <w:rFonts w:ascii="宋体" w:hAnsi="宋体" w:cs="宋体"/>
                <w:color w:val="000000"/>
                <w:sz w:val="24"/>
              </w:rPr>
            </w:pPr>
            <w:r>
              <w:rPr>
                <w:rFonts w:hint="eastAsia" w:ascii="宋体" w:hAnsi="宋体" w:cs="宋体"/>
                <w:color w:val="000000"/>
                <w:sz w:val="24"/>
              </w:rPr>
              <w:t>3.57万元</w:t>
            </w:r>
          </w:p>
        </w:tc>
      </w:tr>
      <w:tr w14:paraId="0A12E370">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BFD8A9">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943E71">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06E7813">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BBE90C">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C6E8D4">
            <w:pPr>
              <w:jc w:val="center"/>
              <w:rPr>
                <w:rFonts w:ascii="宋体" w:hAnsi="宋体" w:cs="宋体"/>
                <w:color w:val="000000"/>
                <w:sz w:val="24"/>
              </w:rPr>
            </w:pPr>
          </w:p>
        </w:tc>
      </w:tr>
      <w:tr w14:paraId="09334E1A">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05B8A3">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84B758">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BA7FFA">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14:paraId="61077389">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7B8712">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9C8164">
            <w:pPr>
              <w:widowControl/>
              <w:jc w:val="center"/>
              <w:textAlignment w:val="center"/>
              <w:rPr>
                <w:rFonts w:ascii="宋体" w:hAnsi="宋体" w:cs="宋体"/>
                <w:color w:val="000000"/>
                <w:sz w:val="24"/>
              </w:rPr>
            </w:pPr>
          </w:p>
          <w:p w14:paraId="0BEAE768">
            <w:pPr>
              <w:widowControl/>
              <w:jc w:val="center"/>
              <w:textAlignment w:val="center"/>
              <w:rPr>
                <w:rFonts w:ascii="宋体" w:hAnsi="宋体" w:cs="宋体"/>
                <w:color w:val="000000"/>
                <w:sz w:val="24"/>
              </w:rPr>
            </w:pPr>
          </w:p>
          <w:p w14:paraId="29ADC4E3">
            <w:pPr>
              <w:widowControl/>
              <w:jc w:val="center"/>
              <w:textAlignment w:val="center"/>
              <w:rPr>
                <w:rFonts w:ascii="宋体" w:hAnsi="宋体" w:cs="宋体"/>
                <w:color w:val="000000"/>
                <w:sz w:val="24"/>
              </w:rPr>
            </w:pPr>
            <w:r>
              <w:rPr>
                <w:rFonts w:hint="eastAsia" w:ascii="宋体" w:hAnsi="宋体" w:cs="宋体"/>
                <w:color w:val="000000"/>
                <w:sz w:val="24"/>
              </w:rPr>
              <w:t>为了完成永兴镇</w:t>
            </w:r>
            <w:r>
              <w:rPr>
                <w:rFonts w:hint="eastAsia" w:ascii="宋体" w:hAnsi="宋体" w:cs="宋体"/>
                <w:color w:val="000000"/>
                <w:sz w:val="24"/>
                <w:lang w:eastAsia="zh-CN"/>
              </w:rPr>
              <w:t>环保督察</w:t>
            </w:r>
            <w:r>
              <w:rPr>
                <w:rFonts w:hint="eastAsia" w:ascii="宋体" w:hAnsi="宋体" w:cs="宋体"/>
                <w:color w:val="000000"/>
                <w:sz w:val="24"/>
              </w:rPr>
              <w:t>“回头”整治项目，永兴砖厂场地平整复耕工程，场地长80米，宽48米，高1米。整治二滩库区鸟类湿地保护区环境差状态，切实改变永兴镇二滩库区鸟类湿地保护区环境差状态，明显改善项目区二滩库区鸟类湿地保护区环境，</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0FCE625">
            <w:pPr>
              <w:widowControl/>
              <w:jc w:val="center"/>
              <w:textAlignment w:val="center"/>
              <w:rPr>
                <w:rFonts w:ascii="宋体" w:hAnsi="宋体" w:cs="宋体"/>
                <w:color w:val="000000"/>
                <w:sz w:val="24"/>
              </w:rPr>
            </w:pPr>
            <w:r>
              <w:rPr>
                <w:rFonts w:hint="eastAsia" w:ascii="宋体" w:hAnsi="宋体" w:cs="宋体"/>
                <w:color w:val="000000"/>
                <w:sz w:val="24"/>
              </w:rPr>
              <w:t xml:space="preserve"> </w:t>
            </w:r>
          </w:p>
          <w:p w14:paraId="030A9EEE">
            <w:pPr>
              <w:widowControl/>
              <w:jc w:val="center"/>
              <w:textAlignment w:val="center"/>
              <w:rPr>
                <w:rFonts w:ascii="宋体" w:hAnsi="宋体" w:cs="宋体"/>
                <w:color w:val="000000"/>
                <w:sz w:val="24"/>
              </w:rPr>
            </w:pPr>
            <w:r>
              <w:rPr>
                <w:rFonts w:hint="eastAsia" w:ascii="宋体" w:hAnsi="宋体" w:cs="宋体"/>
                <w:color w:val="000000"/>
                <w:sz w:val="24"/>
              </w:rPr>
              <w:t>为了完成永兴镇</w:t>
            </w:r>
            <w:r>
              <w:rPr>
                <w:rFonts w:hint="eastAsia" w:ascii="宋体" w:hAnsi="宋体" w:cs="宋体"/>
                <w:color w:val="000000"/>
                <w:sz w:val="24"/>
                <w:lang w:eastAsia="zh-CN"/>
              </w:rPr>
              <w:t>环保督察</w:t>
            </w:r>
            <w:r>
              <w:rPr>
                <w:rFonts w:hint="eastAsia" w:ascii="宋体" w:hAnsi="宋体" w:cs="宋体"/>
                <w:color w:val="000000"/>
                <w:sz w:val="24"/>
              </w:rPr>
              <w:t>“回头”整治项目，永兴砖厂场地平整复耕工程，场地长80米，宽48米，高1米。整治二滩库区鸟类湿地保护区环境差状态，切实改变永兴镇二滩库区鸟类湿地保护区环境差状态，明显改善项目区二滩库区鸟类湿地保护区环境，</w:t>
            </w:r>
          </w:p>
        </w:tc>
      </w:tr>
      <w:tr w14:paraId="30124F55">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1C75FC91">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1DA4F0">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D22019">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FED6E3">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978EC22">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C239EC1">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14:paraId="6F0EDD8D">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10C807B2">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2CA081">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349724">
            <w:pPr>
              <w:widowControl/>
              <w:jc w:val="center"/>
              <w:textAlignment w:val="center"/>
              <w:rPr>
                <w:rFonts w:ascii="宋体" w:hAnsi="宋体" w:cs="宋体"/>
                <w:color w:val="000000"/>
                <w:sz w:val="24"/>
              </w:rPr>
            </w:pPr>
            <w:r>
              <w:rPr>
                <w:rFonts w:hint="eastAsia" w:ascii="宋体" w:hAnsi="宋体" w:cs="宋体"/>
                <w:color w:val="000000"/>
                <w:sz w:val="24"/>
              </w:rPr>
              <w:t>永兴砖厂场地平整复耕，场地长80米，宽48米，高1米</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6E7AD1">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1C4B24">
            <w:pPr>
              <w:widowControl/>
              <w:jc w:val="center"/>
              <w:textAlignment w:val="center"/>
              <w:rPr>
                <w:rFonts w:ascii="宋体" w:hAnsi="宋体" w:cs="宋体"/>
                <w:color w:val="000000"/>
                <w:sz w:val="24"/>
              </w:rPr>
            </w:pPr>
            <w:r>
              <w:rPr>
                <w:rFonts w:hint="eastAsia" w:ascii="宋体" w:hAnsi="宋体" w:cs="宋体"/>
                <w:color w:val="000000"/>
                <w:sz w:val="24"/>
              </w:rPr>
              <w:t>永兴砖厂场地平整复耕，场地长80米，宽48米，高1米</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B83076">
            <w:pPr>
              <w:widowControl/>
              <w:jc w:val="center"/>
              <w:textAlignment w:val="center"/>
              <w:rPr>
                <w:rFonts w:ascii="宋体" w:hAnsi="宋体" w:cs="宋体"/>
                <w:color w:val="000000"/>
                <w:sz w:val="24"/>
              </w:rPr>
            </w:pPr>
            <w:r>
              <w:rPr>
                <w:rFonts w:hint="eastAsia" w:ascii="宋体" w:hAnsi="宋体" w:cs="宋体"/>
                <w:color w:val="000000"/>
                <w:sz w:val="24"/>
              </w:rPr>
              <w:t>永兴砖厂场地平整复耕，场地长80米，宽48米，高1米</w:t>
            </w:r>
          </w:p>
        </w:tc>
      </w:tr>
      <w:tr w14:paraId="5A944C48">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5240D39C">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0D4B46">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0C1DCE">
            <w:pPr>
              <w:widowControl/>
              <w:jc w:val="center"/>
              <w:textAlignment w:val="center"/>
              <w:rPr>
                <w:rFonts w:ascii="宋体" w:hAnsi="宋体" w:cs="宋体"/>
                <w:color w:val="000000"/>
                <w:sz w:val="24"/>
              </w:rPr>
            </w:pPr>
            <w:r>
              <w:rPr>
                <w:rFonts w:hint="eastAsia" w:ascii="宋体" w:hAnsi="宋体" w:cs="宋体"/>
                <w:color w:val="000000"/>
                <w:sz w:val="24"/>
              </w:rPr>
              <w:t>挖掘机挖土37.28小时、农用车运土52车、装载机平整块地6.4小时、吊车台班2个、汽车运费台班2个、技工工资3天、小型装载机运土14.8小时、旋耕机台班1天</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82F306">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6A0778">
            <w:pPr>
              <w:widowControl/>
              <w:jc w:val="center"/>
              <w:textAlignment w:val="center"/>
              <w:rPr>
                <w:rFonts w:ascii="宋体" w:hAnsi="宋体" w:cs="宋体"/>
                <w:color w:val="000000"/>
                <w:sz w:val="24"/>
              </w:rPr>
            </w:pPr>
            <w:r>
              <w:rPr>
                <w:rFonts w:hint="eastAsia" w:ascii="宋体" w:hAnsi="宋体" w:cs="宋体"/>
                <w:color w:val="000000"/>
                <w:sz w:val="24"/>
              </w:rPr>
              <w:t>挖掘机挖土37.28小时、农用车运土52车、装载机平整块地6.4小时、吊车台班2个、汽车运费台班2个、技工工资3天、小型装载机运土14.8小时、旋耕机台班1天</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44594C">
            <w:pPr>
              <w:widowControl/>
              <w:jc w:val="center"/>
              <w:textAlignment w:val="center"/>
              <w:rPr>
                <w:rFonts w:ascii="宋体" w:hAnsi="宋体" w:cs="宋体"/>
                <w:b/>
                <w:bCs/>
                <w:color w:val="000000"/>
                <w:sz w:val="24"/>
              </w:rPr>
            </w:pPr>
            <w:r>
              <w:rPr>
                <w:rFonts w:hint="eastAsia" w:ascii="宋体" w:hAnsi="宋体" w:cs="宋体"/>
                <w:b/>
                <w:bCs/>
                <w:color w:val="000000"/>
                <w:sz w:val="24"/>
              </w:rPr>
              <w:t>挖掘机挖土37.28小时、农用车运土52车、装载机平整块地6.4小时、吊车台班2个、汽车运费台班2个、技工工资3天、小型装载机运土14.8小时、旋耕机台班1天</w:t>
            </w:r>
          </w:p>
        </w:tc>
      </w:tr>
      <w:tr w14:paraId="005E1A7A">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0F08DF28">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D13216">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F99586">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51B169">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1D1E16">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EFECAE">
            <w:pPr>
              <w:widowControl/>
              <w:jc w:val="center"/>
              <w:textAlignment w:val="center"/>
              <w:rPr>
                <w:rFonts w:ascii="宋体" w:hAnsi="宋体" w:cs="宋体"/>
                <w:color w:val="000000"/>
                <w:sz w:val="24"/>
              </w:rPr>
            </w:pPr>
          </w:p>
        </w:tc>
      </w:tr>
      <w:tr w14:paraId="7419BA8C">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7C4C94F6">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749AEF">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A99FA7">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A89EC0">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B4749A">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36753A">
            <w:pPr>
              <w:widowControl/>
              <w:jc w:val="center"/>
              <w:textAlignment w:val="center"/>
              <w:rPr>
                <w:rFonts w:ascii="宋体" w:hAnsi="宋体" w:cs="宋体"/>
                <w:color w:val="000000"/>
                <w:sz w:val="24"/>
              </w:rPr>
            </w:pPr>
          </w:p>
        </w:tc>
      </w:tr>
      <w:tr w14:paraId="39A9AC1F">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278DE895">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A3C72AA">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9718DD">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6EBD24">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7CCFC4">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A53FB4">
            <w:pPr>
              <w:widowControl/>
              <w:jc w:val="center"/>
              <w:textAlignment w:val="center"/>
              <w:rPr>
                <w:rFonts w:ascii="宋体" w:hAnsi="宋体" w:cs="宋体"/>
                <w:color w:val="000000"/>
                <w:sz w:val="24"/>
              </w:rPr>
            </w:pPr>
          </w:p>
        </w:tc>
      </w:tr>
      <w:tr w14:paraId="55C44C0B">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5B6BBB33">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ECDC11">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8DAB03">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0EAB2F">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1307D4">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B3D474">
            <w:pPr>
              <w:widowControl/>
              <w:jc w:val="center"/>
              <w:textAlignment w:val="center"/>
              <w:rPr>
                <w:rFonts w:ascii="宋体" w:hAnsi="宋体" w:cs="宋体"/>
                <w:color w:val="000000"/>
                <w:sz w:val="24"/>
              </w:rPr>
            </w:pPr>
          </w:p>
        </w:tc>
      </w:tr>
      <w:tr w14:paraId="76FDBE44">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1A58B27E">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92A6B0">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D84D4C7">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CF2863">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0CECEA">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AF90DD">
            <w:pPr>
              <w:widowControl/>
              <w:jc w:val="center"/>
              <w:textAlignment w:val="center"/>
              <w:rPr>
                <w:rFonts w:ascii="宋体" w:hAnsi="宋体" w:cs="宋体"/>
                <w:color w:val="000000"/>
                <w:sz w:val="24"/>
              </w:rPr>
            </w:pPr>
          </w:p>
        </w:tc>
      </w:tr>
      <w:tr w14:paraId="2AF893CD">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7EDEF5AE">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D64A5B">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E1873A">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92F131">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C411FC">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BFA942">
            <w:pPr>
              <w:widowControl/>
              <w:jc w:val="center"/>
              <w:textAlignment w:val="center"/>
              <w:rPr>
                <w:rFonts w:ascii="宋体" w:hAnsi="宋体" w:cs="宋体"/>
                <w:color w:val="000000"/>
                <w:sz w:val="24"/>
              </w:rPr>
            </w:pPr>
          </w:p>
        </w:tc>
      </w:tr>
      <w:tr w14:paraId="62BA45D5">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2EA20394">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9F0700">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B7A038">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B75543">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326DED">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64E483">
            <w:pPr>
              <w:widowControl/>
              <w:jc w:val="center"/>
              <w:textAlignment w:val="center"/>
              <w:rPr>
                <w:rFonts w:ascii="宋体" w:hAnsi="宋体" w:cs="宋体"/>
                <w:color w:val="000000"/>
                <w:sz w:val="24"/>
              </w:rPr>
            </w:pPr>
          </w:p>
        </w:tc>
      </w:tr>
      <w:tr w14:paraId="5B2FB242">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0D56669E">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4AC2BD">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FE4CF3">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2269D1">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8F32FD">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881A06">
            <w:pPr>
              <w:widowControl/>
              <w:jc w:val="center"/>
              <w:textAlignment w:val="center"/>
              <w:rPr>
                <w:rFonts w:ascii="宋体" w:hAnsi="宋体" w:cs="宋体"/>
                <w:color w:val="000000"/>
                <w:sz w:val="24"/>
              </w:rPr>
            </w:pPr>
          </w:p>
        </w:tc>
      </w:tr>
    </w:tbl>
    <w:p w14:paraId="51F16DA3">
      <w:pPr>
        <w:spacing w:line="580" w:lineRule="exact"/>
        <w:rPr>
          <w:rFonts w:ascii="仿宋_GB2312" w:hAnsi="仿宋_GB2312" w:eastAsia="仿宋_GB2312" w:cs="仿宋_GB2312"/>
          <w:sz w:val="32"/>
          <w:szCs w:val="32"/>
        </w:rPr>
      </w:pPr>
    </w:p>
    <w:tbl>
      <w:tblPr>
        <w:tblStyle w:val="13"/>
        <w:tblpPr w:leftFromText="180" w:rightFromText="180" w:vertAnchor="text" w:horzAnchor="page" w:tblpXSpec="center" w:tblpY="100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14:paraId="266ADF1B">
        <w:tblPrEx>
          <w:tblCellMar>
            <w:top w:w="0" w:type="dxa"/>
            <w:left w:w="0" w:type="dxa"/>
            <w:bottom w:w="0" w:type="dxa"/>
            <w:right w:w="0" w:type="dxa"/>
          </w:tblCellMar>
        </w:tblPrEx>
        <w:trPr>
          <w:trHeight w:val="1276" w:hRule="atLeast"/>
          <w:jc w:val="center"/>
        </w:trPr>
        <w:tc>
          <w:tcPr>
            <w:tcW w:w="9960" w:type="dxa"/>
            <w:gridSpan w:val="6"/>
            <w:tcBorders>
              <w:top w:val="nil"/>
              <w:left w:val="nil"/>
              <w:bottom w:val="nil"/>
              <w:right w:val="nil"/>
            </w:tcBorders>
            <w:tcMar>
              <w:top w:w="15" w:type="dxa"/>
              <w:left w:w="15" w:type="dxa"/>
              <w:right w:w="15" w:type="dxa"/>
            </w:tcMar>
            <w:vAlign w:val="center"/>
          </w:tcPr>
          <w:p w14:paraId="12FE72B3">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14:paraId="4A1FA242">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1AD207">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F56CC6">
            <w:pPr>
              <w:widowControl/>
              <w:jc w:val="center"/>
              <w:textAlignment w:val="center"/>
              <w:rPr>
                <w:rFonts w:ascii="宋体" w:hAnsi="宋体" w:cs="宋体"/>
                <w:color w:val="000000"/>
                <w:sz w:val="24"/>
              </w:rPr>
            </w:pPr>
            <w:r>
              <w:rPr>
                <w:rFonts w:hint="eastAsia" w:ascii="宋体" w:hAnsi="宋体" w:cs="宋体"/>
                <w:color w:val="000000"/>
                <w:sz w:val="24"/>
              </w:rPr>
              <w:t>2019年六合村老鹰坪子800多平方生态恢复</w:t>
            </w:r>
          </w:p>
        </w:tc>
      </w:tr>
      <w:tr w14:paraId="73366EE1">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863188">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DCF069">
            <w:pPr>
              <w:widowControl/>
              <w:jc w:val="center"/>
              <w:textAlignment w:val="center"/>
              <w:rPr>
                <w:rFonts w:ascii="宋体" w:hAnsi="宋体" w:cs="宋体"/>
                <w:color w:val="000000"/>
                <w:sz w:val="24"/>
              </w:rPr>
            </w:pPr>
            <w:r>
              <w:rPr>
                <w:rFonts w:hint="eastAsia" w:ascii="宋体" w:hAnsi="宋体" w:cs="宋体"/>
                <w:color w:val="000000"/>
                <w:sz w:val="24"/>
              </w:rPr>
              <w:t>永兴镇人民政府</w:t>
            </w:r>
          </w:p>
        </w:tc>
      </w:tr>
      <w:tr w14:paraId="61D68D75">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E7633C">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0E6A785">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31A35C">
            <w:pPr>
              <w:widowControl/>
              <w:jc w:val="center"/>
              <w:textAlignment w:val="center"/>
              <w:rPr>
                <w:rFonts w:ascii="宋体" w:hAnsi="宋体" w:cs="宋体"/>
                <w:color w:val="000000"/>
                <w:sz w:val="24"/>
              </w:rPr>
            </w:pPr>
            <w:r>
              <w:rPr>
                <w:rFonts w:hint="eastAsia" w:ascii="宋体" w:hAnsi="宋体" w:cs="宋体"/>
                <w:color w:val="000000"/>
                <w:sz w:val="24"/>
              </w:rPr>
              <w:t>0.96万元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AEE1F8">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4D2C0D">
            <w:pPr>
              <w:widowControl/>
              <w:jc w:val="center"/>
              <w:textAlignment w:val="center"/>
              <w:rPr>
                <w:rFonts w:ascii="宋体" w:hAnsi="宋体" w:cs="宋体"/>
                <w:color w:val="000000"/>
                <w:sz w:val="24"/>
              </w:rPr>
            </w:pPr>
            <w:r>
              <w:rPr>
                <w:rFonts w:hint="eastAsia" w:ascii="宋体" w:hAnsi="宋体" w:cs="宋体"/>
                <w:color w:val="000000"/>
                <w:sz w:val="24"/>
              </w:rPr>
              <w:t>0.96万元</w:t>
            </w:r>
          </w:p>
        </w:tc>
      </w:tr>
      <w:tr w14:paraId="5844EE62">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D8BE97">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809CE0">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8F1327">
            <w:pPr>
              <w:widowControl/>
              <w:jc w:val="center"/>
              <w:textAlignment w:val="center"/>
              <w:rPr>
                <w:rFonts w:ascii="宋体" w:hAnsi="宋体" w:cs="宋体"/>
                <w:color w:val="000000"/>
                <w:sz w:val="24"/>
              </w:rPr>
            </w:pPr>
            <w:r>
              <w:rPr>
                <w:rFonts w:hint="eastAsia" w:ascii="宋体" w:hAnsi="宋体" w:cs="宋体"/>
                <w:color w:val="000000"/>
                <w:sz w:val="24"/>
              </w:rPr>
              <w:t>0.96万元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422212">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950B48">
            <w:pPr>
              <w:widowControl/>
              <w:jc w:val="center"/>
              <w:textAlignment w:val="center"/>
              <w:rPr>
                <w:rFonts w:ascii="宋体" w:hAnsi="宋体" w:cs="宋体"/>
                <w:color w:val="000000"/>
                <w:sz w:val="24"/>
              </w:rPr>
            </w:pPr>
            <w:r>
              <w:rPr>
                <w:rFonts w:hint="eastAsia" w:ascii="宋体" w:hAnsi="宋体" w:cs="宋体"/>
                <w:color w:val="000000"/>
                <w:sz w:val="24"/>
              </w:rPr>
              <w:t>0.96万元</w:t>
            </w:r>
          </w:p>
        </w:tc>
      </w:tr>
      <w:tr w14:paraId="3EE98AF9">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CD89B5A">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3CD065">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23BC57">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3F0B6E">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E1025D">
            <w:pPr>
              <w:jc w:val="center"/>
              <w:rPr>
                <w:rFonts w:ascii="宋体" w:hAnsi="宋体" w:cs="宋体"/>
                <w:color w:val="000000"/>
                <w:sz w:val="24"/>
              </w:rPr>
            </w:pPr>
          </w:p>
        </w:tc>
      </w:tr>
      <w:tr w14:paraId="53D091A8">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1F8023">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737466">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2ABF54">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14:paraId="3ABFC45B">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5DE648">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7F7B71">
            <w:pPr>
              <w:widowControl/>
              <w:jc w:val="center"/>
              <w:textAlignment w:val="center"/>
              <w:rPr>
                <w:rFonts w:ascii="宋体" w:hAnsi="宋体" w:cs="宋体"/>
                <w:color w:val="000000"/>
                <w:sz w:val="24"/>
              </w:rPr>
            </w:pPr>
          </w:p>
          <w:p w14:paraId="2E604F5D">
            <w:pPr>
              <w:widowControl/>
              <w:jc w:val="center"/>
              <w:textAlignment w:val="center"/>
              <w:rPr>
                <w:rFonts w:ascii="宋体" w:hAnsi="宋体" w:cs="宋体"/>
                <w:color w:val="000000"/>
                <w:sz w:val="24"/>
              </w:rPr>
            </w:pPr>
            <w:r>
              <w:rPr>
                <w:rFonts w:hint="eastAsia" w:ascii="宋体" w:hAnsi="宋体" w:cs="宋体"/>
                <w:color w:val="000000"/>
                <w:sz w:val="24"/>
              </w:rPr>
              <w:t xml:space="preserve"> </w:t>
            </w:r>
          </w:p>
          <w:p w14:paraId="241BE7FC">
            <w:pPr>
              <w:widowControl/>
              <w:jc w:val="center"/>
              <w:textAlignment w:val="center"/>
              <w:rPr>
                <w:rFonts w:ascii="宋体" w:hAnsi="宋体" w:cs="宋体"/>
                <w:color w:val="000000"/>
                <w:sz w:val="24"/>
              </w:rPr>
            </w:pPr>
            <w:r>
              <w:rPr>
                <w:rFonts w:hint="eastAsia" w:ascii="宋体" w:hAnsi="宋体" w:cs="宋体"/>
                <w:color w:val="000000"/>
                <w:sz w:val="24"/>
              </w:rPr>
              <w:t xml:space="preserve"> 完成我镇六合村老鹰坪子800多平方生态恢复，三角梅120株，炮仗花105株。整治六合村老鹰坪子生态植被恢复，切实改变老鹰坪子生态植被面积。</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BD73DA">
            <w:pPr>
              <w:widowControl/>
              <w:jc w:val="center"/>
              <w:textAlignment w:val="center"/>
              <w:rPr>
                <w:rFonts w:ascii="宋体" w:hAnsi="宋体" w:cs="宋体"/>
                <w:color w:val="000000"/>
                <w:sz w:val="24"/>
              </w:rPr>
            </w:pPr>
            <w:r>
              <w:rPr>
                <w:rFonts w:hint="eastAsia" w:ascii="宋体" w:hAnsi="宋体" w:cs="宋体"/>
                <w:color w:val="000000"/>
                <w:sz w:val="24"/>
              </w:rPr>
              <w:t xml:space="preserve"> </w:t>
            </w:r>
          </w:p>
          <w:p w14:paraId="1268F064">
            <w:pPr>
              <w:widowControl/>
              <w:jc w:val="center"/>
              <w:textAlignment w:val="center"/>
              <w:rPr>
                <w:rFonts w:ascii="宋体" w:hAnsi="宋体" w:cs="宋体"/>
                <w:color w:val="000000"/>
                <w:sz w:val="24"/>
              </w:rPr>
            </w:pPr>
            <w:r>
              <w:rPr>
                <w:rFonts w:hint="eastAsia" w:ascii="宋体" w:hAnsi="宋体" w:cs="宋体"/>
                <w:color w:val="000000"/>
                <w:sz w:val="24"/>
              </w:rPr>
              <w:t xml:space="preserve"> 完成我镇六合村老鹰坪子800多平方生态恢复，三角梅120株，炮仗花105株。整治六合村老鹰坪子生态植被恢复，切实改变老鹰坪子生态植被面积。</w:t>
            </w:r>
          </w:p>
        </w:tc>
      </w:tr>
      <w:tr w14:paraId="5AF848A7">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701EDCC0">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3BEDAE">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BE3D7E">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254DAC">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56116A">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0BD992">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14:paraId="215BA16F">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5130321E">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1A3388">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9168CB">
            <w:pPr>
              <w:widowControl/>
              <w:jc w:val="center"/>
              <w:textAlignment w:val="center"/>
              <w:rPr>
                <w:rFonts w:ascii="宋体" w:hAnsi="宋体" w:cs="宋体"/>
                <w:color w:val="000000"/>
                <w:sz w:val="24"/>
              </w:rPr>
            </w:pPr>
            <w:r>
              <w:rPr>
                <w:rFonts w:hint="eastAsia" w:ascii="宋体" w:hAnsi="宋体" w:cs="宋体"/>
                <w:color w:val="000000"/>
                <w:sz w:val="24"/>
              </w:rPr>
              <w:t>老鹰坪子生态恢复</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38A85F">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DF7FB3">
            <w:pPr>
              <w:widowControl/>
              <w:jc w:val="center"/>
              <w:textAlignment w:val="center"/>
              <w:rPr>
                <w:rFonts w:ascii="宋体" w:hAnsi="宋体" w:cs="宋体"/>
                <w:color w:val="000000"/>
                <w:sz w:val="24"/>
              </w:rPr>
            </w:pPr>
            <w:r>
              <w:rPr>
                <w:rFonts w:hint="eastAsia" w:ascii="宋体" w:hAnsi="宋体" w:cs="宋体"/>
                <w:color w:val="000000"/>
                <w:sz w:val="24"/>
              </w:rPr>
              <w:t>老鹰坪子生态恢复</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CA2148">
            <w:pPr>
              <w:widowControl/>
              <w:jc w:val="center"/>
              <w:textAlignment w:val="center"/>
              <w:rPr>
                <w:rFonts w:ascii="宋体" w:hAnsi="宋体" w:cs="宋体"/>
                <w:color w:val="000000"/>
                <w:sz w:val="24"/>
              </w:rPr>
            </w:pPr>
            <w:r>
              <w:rPr>
                <w:rFonts w:hint="eastAsia" w:ascii="宋体" w:hAnsi="宋体" w:cs="宋体"/>
                <w:color w:val="000000"/>
                <w:sz w:val="24"/>
              </w:rPr>
              <w:t>老鹰坪子生态恢复</w:t>
            </w:r>
          </w:p>
        </w:tc>
      </w:tr>
      <w:tr w14:paraId="1F9115F5">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002C7A04">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8DB079">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62E548">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AB25D8">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09AD29">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C1E41A">
            <w:pPr>
              <w:widowControl/>
              <w:jc w:val="center"/>
              <w:textAlignment w:val="center"/>
              <w:rPr>
                <w:rFonts w:ascii="宋体" w:hAnsi="宋体" w:cs="宋体"/>
                <w:color w:val="000000"/>
                <w:sz w:val="24"/>
              </w:rPr>
            </w:pPr>
          </w:p>
        </w:tc>
      </w:tr>
      <w:tr w14:paraId="509391B3">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7E0F84DB">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E4AF4A">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580B48">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DC3BC7">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6B23C1">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45AF84">
            <w:pPr>
              <w:widowControl/>
              <w:jc w:val="center"/>
              <w:textAlignment w:val="center"/>
              <w:rPr>
                <w:rFonts w:ascii="宋体" w:hAnsi="宋体" w:cs="宋体"/>
                <w:color w:val="000000"/>
                <w:sz w:val="24"/>
              </w:rPr>
            </w:pPr>
          </w:p>
        </w:tc>
      </w:tr>
      <w:tr w14:paraId="3FE7E009">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703D7FDA">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B916C2">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EFD060">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F97415">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2538D0">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40133C">
            <w:pPr>
              <w:widowControl/>
              <w:jc w:val="center"/>
              <w:textAlignment w:val="center"/>
              <w:rPr>
                <w:rFonts w:ascii="宋体" w:hAnsi="宋体" w:cs="宋体"/>
                <w:color w:val="000000"/>
                <w:sz w:val="24"/>
              </w:rPr>
            </w:pPr>
          </w:p>
        </w:tc>
      </w:tr>
      <w:tr w14:paraId="0ED12AFA">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5C7F069E">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72E830">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73CCFD">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5559BE">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1B5BC9">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7BAAC9">
            <w:pPr>
              <w:widowControl/>
              <w:jc w:val="center"/>
              <w:textAlignment w:val="center"/>
              <w:rPr>
                <w:rFonts w:ascii="宋体" w:hAnsi="宋体" w:cs="宋体"/>
                <w:color w:val="000000"/>
                <w:sz w:val="24"/>
              </w:rPr>
            </w:pPr>
          </w:p>
        </w:tc>
      </w:tr>
      <w:tr w14:paraId="1D759BE4">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71A2E690">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28ABB1">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CD7D73F">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84BF5E">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DCE939">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61BB25">
            <w:pPr>
              <w:widowControl/>
              <w:jc w:val="center"/>
              <w:textAlignment w:val="center"/>
              <w:rPr>
                <w:rFonts w:ascii="宋体" w:hAnsi="宋体" w:cs="宋体"/>
                <w:color w:val="000000"/>
                <w:sz w:val="24"/>
              </w:rPr>
            </w:pPr>
          </w:p>
        </w:tc>
      </w:tr>
      <w:tr w14:paraId="12274014">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2ACA064D">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1F8D53">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85EB03">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EB5888">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6C7B8A">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84022C">
            <w:pPr>
              <w:widowControl/>
              <w:jc w:val="center"/>
              <w:textAlignment w:val="center"/>
              <w:rPr>
                <w:rFonts w:ascii="宋体" w:hAnsi="宋体" w:cs="宋体"/>
                <w:color w:val="000000"/>
                <w:sz w:val="24"/>
              </w:rPr>
            </w:pPr>
          </w:p>
        </w:tc>
      </w:tr>
      <w:tr w14:paraId="3B2A62ED">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63629EC7">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05A03A">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D5561C">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C84E67">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0C7DC3">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33838F">
            <w:pPr>
              <w:widowControl/>
              <w:jc w:val="center"/>
              <w:textAlignment w:val="center"/>
              <w:rPr>
                <w:rFonts w:ascii="宋体" w:hAnsi="宋体" w:cs="宋体"/>
                <w:color w:val="000000"/>
                <w:sz w:val="24"/>
              </w:rPr>
            </w:pPr>
          </w:p>
        </w:tc>
      </w:tr>
      <w:tr w14:paraId="189A3901">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260C8F99">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2B2F62">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6DA99D">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51E5F4">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F7255EC">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0B1B83">
            <w:pPr>
              <w:widowControl/>
              <w:jc w:val="center"/>
              <w:textAlignment w:val="center"/>
              <w:rPr>
                <w:rFonts w:ascii="宋体" w:hAnsi="宋体" w:cs="宋体"/>
                <w:color w:val="000000"/>
                <w:sz w:val="24"/>
              </w:rPr>
            </w:pPr>
          </w:p>
        </w:tc>
      </w:tr>
      <w:tr w14:paraId="7D3F1FC5">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35671595">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D18C2E">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BBA09B">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75DA97">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5C1C25">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15FD7D">
            <w:pPr>
              <w:widowControl/>
              <w:jc w:val="center"/>
              <w:textAlignment w:val="center"/>
              <w:rPr>
                <w:rFonts w:ascii="宋体" w:hAnsi="宋体" w:cs="宋体"/>
                <w:color w:val="000000"/>
                <w:sz w:val="24"/>
              </w:rPr>
            </w:pPr>
          </w:p>
        </w:tc>
      </w:tr>
    </w:tbl>
    <w:p w14:paraId="2FD3929B">
      <w:pPr>
        <w:spacing w:line="580" w:lineRule="exact"/>
        <w:ind w:left="630"/>
        <w:rPr>
          <w:rFonts w:ascii="仿宋_GB2312" w:hAnsi="仿宋_GB2312" w:eastAsia="仿宋_GB2312" w:cs="仿宋_GB2312"/>
          <w:sz w:val="32"/>
          <w:szCs w:val="32"/>
        </w:rPr>
      </w:pPr>
    </w:p>
    <w:tbl>
      <w:tblPr>
        <w:tblStyle w:val="13"/>
        <w:tblpPr w:leftFromText="180" w:rightFromText="180" w:vertAnchor="text" w:horzAnchor="page" w:tblpXSpec="center" w:tblpY="100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14:paraId="395753DC">
        <w:tblPrEx>
          <w:tblCellMar>
            <w:top w:w="0" w:type="dxa"/>
            <w:left w:w="0" w:type="dxa"/>
            <w:bottom w:w="0" w:type="dxa"/>
            <w:right w:w="0" w:type="dxa"/>
          </w:tblCellMar>
        </w:tblPrEx>
        <w:trPr>
          <w:trHeight w:val="1276" w:hRule="atLeast"/>
          <w:jc w:val="center"/>
        </w:trPr>
        <w:tc>
          <w:tcPr>
            <w:tcW w:w="9960" w:type="dxa"/>
            <w:gridSpan w:val="6"/>
            <w:tcBorders>
              <w:top w:val="nil"/>
              <w:left w:val="nil"/>
              <w:bottom w:val="nil"/>
              <w:right w:val="nil"/>
            </w:tcBorders>
            <w:tcMar>
              <w:top w:w="15" w:type="dxa"/>
              <w:left w:w="15" w:type="dxa"/>
              <w:right w:w="15" w:type="dxa"/>
            </w:tcMar>
            <w:vAlign w:val="center"/>
          </w:tcPr>
          <w:p w14:paraId="6F81C5B2">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14:paraId="79A220BC">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F6F5FD">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D51831">
            <w:pPr>
              <w:widowControl/>
              <w:jc w:val="center"/>
              <w:textAlignment w:val="center"/>
              <w:rPr>
                <w:rFonts w:ascii="宋体" w:hAnsi="宋体" w:cs="宋体"/>
                <w:color w:val="000000"/>
                <w:sz w:val="24"/>
              </w:rPr>
            </w:pPr>
            <w:r>
              <w:rPr>
                <w:rFonts w:hint="eastAsia" w:ascii="宋体" w:hAnsi="宋体" w:cs="宋体"/>
                <w:color w:val="000000"/>
                <w:sz w:val="24"/>
              </w:rPr>
              <w:t>四川省三州开发项目补助资金用于永兴镇三虎村社道路硬化项目</w:t>
            </w:r>
          </w:p>
        </w:tc>
      </w:tr>
      <w:tr w14:paraId="005EBE76">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B03E13">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FCA22A">
            <w:pPr>
              <w:widowControl/>
              <w:jc w:val="center"/>
              <w:textAlignment w:val="center"/>
              <w:rPr>
                <w:rFonts w:ascii="宋体" w:hAnsi="宋体" w:cs="宋体"/>
                <w:color w:val="000000"/>
                <w:sz w:val="24"/>
              </w:rPr>
            </w:pPr>
            <w:r>
              <w:rPr>
                <w:rFonts w:hint="eastAsia" w:ascii="宋体" w:hAnsi="宋体" w:cs="宋体"/>
                <w:color w:val="000000"/>
                <w:sz w:val="24"/>
              </w:rPr>
              <w:t>永兴镇人民政府</w:t>
            </w:r>
          </w:p>
        </w:tc>
      </w:tr>
      <w:tr w14:paraId="04C210C9">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F5CA09">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13E80D">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7BD17E">
            <w:pPr>
              <w:widowControl/>
              <w:jc w:val="center"/>
              <w:textAlignment w:val="center"/>
              <w:rPr>
                <w:rFonts w:ascii="宋体" w:hAnsi="宋体" w:cs="宋体"/>
                <w:color w:val="000000"/>
                <w:sz w:val="24"/>
              </w:rPr>
            </w:pPr>
            <w:r>
              <w:rPr>
                <w:rFonts w:hint="eastAsia" w:ascii="宋体" w:hAnsi="宋体" w:cs="宋体"/>
                <w:color w:val="000000"/>
                <w:sz w:val="24"/>
              </w:rPr>
              <w:t>30万元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EF1008">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AE0728">
            <w:pPr>
              <w:widowControl/>
              <w:jc w:val="center"/>
              <w:textAlignment w:val="center"/>
              <w:rPr>
                <w:rFonts w:ascii="宋体" w:hAnsi="宋体" w:cs="宋体"/>
                <w:color w:val="000000"/>
                <w:sz w:val="24"/>
              </w:rPr>
            </w:pPr>
            <w:r>
              <w:rPr>
                <w:rFonts w:hint="eastAsia" w:ascii="宋体" w:hAnsi="宋体" w:cs="宋体"/>
                <w:color w:val="000000"/>
                <w:sz w:val="24"/>
              </w:rPr>
              <w:t>0.96万元</w:t>
            </w:r>
          </w:p>
        </w:tc>
      </w:tr>
      <w:tr w14:paraId="23E2F14E">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DBE582">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748F18">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5CBFDD">
            <w:pPr>
              <w:widowControl/>
              <w:jc w:val="center"/>
              <w:textAlignment w:val="center"/>
              <w:rPr>
                <w:rFonts w:ascii="宋体" w:hAnsi="宋体" w:cs="宋体"/>
                <w:color w:val="000000"/>
                <w:sz w:val="24"/>
              </w:rPr>
            </w:pPr>
            <w:r>
              <w:rPr>
                <w:rFonts w:hint="eastAsia" w:ascii="宋体" w:hAnsi="宋体" w:cs="宋体"/>
                <w:color w:val="000000"/>
                <w:sz w:val="24"/>
              </w:rPr>
              <w:t>30万元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E4B67E">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4DEB6C">
            <w:pPr>
              <w:widowControl/>
              <w:jc w:val="center"/>
              <w:textAlignment w:val="center"/>
              <w:rPr>
                <w:rFonts w:ascii="宋体" w:hAnsi="宋体" w:cs="宋体"/>
                <w:color w:val="000000"/>
                <w:sz w:val="24"/>
              </w:rPr>
            </w:pPr>
            <w:r>
              <w:rPr>
                <w:rFonts w:hint="eastAsia" w:ascii="宋体" w:hAnsi="宋体" w:cs="宋体"/>
                <w:color w:val="000000"/>
                <w:sz w:val="24"/>
              </w:rPr>
              <w:t>0.96万元</w:t>
            </w:r>
          </w:p>
        </w:tc>
      </w:tr>
      <w:tr w14:paraId="609F6BB5">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4FD21A">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D04161">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82AF3A">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93FBC9">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F6BD9F">
            <w:pPr>
              <w:jc w:val="center"/>
              <w:rPr>
                <w:rFonts w:ascii="宋体" w:hAnsi="宋体" w:cs="宋体"/>
                <w:color w:val="000000"/>
                <w:sz w:val="24"/>
              </w:rPr>
            </w:pPr>
          </w:p>
        </w:tc>
      </w:tr>
      <w:tr w14:paraId="3F3BED8F">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2C58EF">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62E68E">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9251F4">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14:paraId="6E2FEC49">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CF3C57E">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D44707">
            <w:pPr>
              <w:widowControl/>
              <w:jc w:val="center"/>
              <w:textAlignment w:val="center"/>
              <w:rPr>
                <w:rFonts w:ascii="宋体" w:hAnsi="宋体" w:cs="宋体"/>
                <w:color w:val="000000"/>
                <w:sz w:val="24"/>
              </w:rPr>
            </w:pPr>
          </w:p>
          <w:p w14:paraId="3AE08E9D">
            <w:pPr>
              <w:widowControl/>
              <w:jc w:val="center"/>
              <w:textAlignment w:val="center"/>
              <w:rPr>
                <w:rFonts w:ascii="宋体" w:hAnsi="宋体" w:cs="宋体"/>
                <w:color w:val="000000"/>
                <w:sz w:val="24"/>
              </w:rPr>
            </w:pPr>
            <w:r>
              <w:rPr>
                <w:rFonts w:hint="eastAsia" w:ascii="宋体" w:hAnsi="宋体" w:cs="宋体"/>
                <w:color w:val="000000"/>
                <w:sz w:val="24"/>
              </w:rPr>
              <w:t xml:space="preserve"> </w:t>
            </w:r>
          </w:p>
          <w:p w14:paraId="4CC62215">
            <w:pPr>
              <w:widowControl/>
              <w:jc w:val="center"/>
              <w:textAlignment w:val="center"/>
              <w:rPr>
                <w:rFonts w:ascii="宋体" w:hAnsi="宋体" w:cs="宋体"/>
                <w:color w:val="000000"/>
                <w:sz w:val="24"/>
              </w:rPr>
            </w:pPr>
            <w:r>
              <w:rPr>
                <w:rFonts w:hint="eastAsia" w:ascii="宋体" w:hAnsi="宋体" w:cs="宋体"/>
                <w:color w:val="000000"/>
                <w:sz w:val="24"/>
              </w:rPr>
              <w:t xml:space="preserve">  保障村社道路日常通畅，做好村民日常出行服务。</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CACCE5">
            <w:pPr>
              <w:widowControl/>
              <w:jc w:val="center"/>
              <w:textAlignment w:val="center"/>
              <w:rPr>
                <w:rFonts w:ascii="宋体" w:hAnsi="宋体" w:cs="宋体"/>
                <w:color w:val="000000"/>
                <w:sz w:val="24"/>
              </w:rPr>
            </w:pPr>
            <w:r>
              <w:rPr>
                <w:rFonts w:hint="eastAsia" w:ascii="宋体" w:hAnsi="宋体" w:cs="宋体"/>
                <w:color w:val="000000"/>
                <w:sz w:val="24"/>
              </w:rPr>
              <w:t xml:space="preserve"> </w:t>
            </w:r>
          </w:p>
          <w:p w14:paraId="7C4F380A">
            <w:pPr>
              <w:widowControl/>
              <w:jc w:val="center"/>
              <w:textAlignment w:val="center"/>
              <w:rPr>
                <w:rFonts w:ascii="宋体" w:hAnsi="宋体" w:cs="宋体"/>
                <w:color w:val="000000"/>
                <w:sz w:val="24"/>
              </w:rPr>
            </w:pPr>
            <w:r>
              <w:rPr>
                <w:rFonts w:hint="eastAsia" w:ascii="宋体" w:hAnsi="宋体" w:cs="宋体"/>
                <w:color w:val="000000"/>
                <w:sz w:val="24"/>
              </w:rPr>
              <w:t xml:space="preserve">  保障村社道路日常通畅，做好村民日常出行服务。</w:t>
            </w:r>
          </w:p>
        </w:tc>
      </w:tr>
      <w:tr w14:paraId="5129075A">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4A59D5EE">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05378A">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F471B7">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6343E0">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6710F6">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21A5A6">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14:paraId="37C71742">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23C91DDE">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DDBA23">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F8C152">
            <w:pPr>
              <w:widowControl/>
              <w:jc w:val="center"/>
              <w:textAlignment w:val="center"/>
              <w:rPr>
                <w:rFonts w:ascii="宋体" w:hAnsi="宋体" w:cs="宋体"/>
                <w:color w:val="000000"/>
                <w:sz w:val="24"/>
              </w:rPr>
            </w:pPr>
            <w:r>
              <w:rPr>
                <w:rFonts w:hint="eastAsia" w:ascii="宋体" w:hAnsi="宋体" w:cs="宋体"/>
                <w:color w:val="000000"/>
                <w:sz w:val="24"/>
              </w:rPr>
              <w:t xml:space="preserve"> 保障村社道路日常通畅，做好村民日常出行服务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CD6115">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B00A5E">
            <w:pPr>
              <w:widowControl/>
              <w:jc w:val="center"/>
              <w:textAlignment w:val="center"/>
              <w:rPr>
                <w:rFonts w:ascii="宋体" w:hAnsi="宋体" w:cs="宋体"/>
                <w:color w:val="000000"/>
                <w:sz w:val="24"/>
              </w:rPr>
            </w:pPr>
            <w:r>
              <w:rPr>
                <w:rFonts w:hint="eastAsia" w:ascii="宋体" w:hAnsi="宋体" w:cs="宋体"/>
                <w:color w:val="000000"/>
                <w:sz w:val="24"/>
              </w:rPr>
              <w:t xml:space="preserve"> 保障村社道路日常通畅，做好村民日常出行服务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014A76">
            <w:pPr>
              <w:widowControl/>
              <w:jc w:val="center"/>
              <w:textAlignment w:val="center"/>
              <w:rPr>
                <w:rFonts w:ascii="宋体" w:hAnsi="宋体" w:cs="宋体"/>
                <w:color w:val="000000"/>
                <w:sz w:val="24"/>
              </w:rPr>
            </w:pPr>
            <w:r>
              <w:rPr>
                <w:rFonts w:hint="eastAsia" w:ascii="宋体" w:hAnsi="宋体" w:cs="宋体"/>
                <w:color w:val="000000"/>
                <w:sz w:val="24"/>
              </w:rPr>
              <w:t xml:space="preserve"> 保障村社道路日常通畅，做好村民日常出行服务</w:t>
            </w:r>
          </w:p>
        </w:tc>
      </w:tr>
      <w:tr w14:paraId="7F877765">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4A2B640A">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C64C67">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A0FCE1">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E67FCD">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91F81A">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882C01">
            <w:pPr>
              <w:widowControl/>
              <w:jc w:val="center"/>
              <w:textAlignment w:val="center"/>
              <w:rPr>
                <w:rFonts w:ascii="宋体" w:hAnsi="宋体" w:cs="宋体"/>
                <w:color w:val="000000"/>
                <w:sz w:val="24"/>
              </w:rPr>
            </w:pPr>
          </w:p>
        </w:tc>
      </w:tr>
      <w:tr w14:paraId="56EF67F7">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69953DEC">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581A7B">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64567B">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6A8889">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5F302D">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2829A6">
            <w:pPr>
              <w:widowControl/>
              <w:jc w:val="center"/>
              <w:textAlignment w:val="center"/>
              <w:rPr>
                <w:rFonts w:ascii="宋体" w:hAnsi="宋体" w:cs="宋体"/>
                <w:color w:val="000000"/>
                <w:sz w:val="24"/>
              </w:rPr>
            </w:pPr>
          </w:p>
        </w:tc>
      </w:tr>
      <w:tr w14:paraId="281B1AEF">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21F72CAB">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E8473B">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CB679DE">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988DC0">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2E1B40">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57B3EA">
            <w:pPr>
              <w:widowControl/>
              <w:jc w:val="center"/>
              <w:textAlignment w:val="center"/>
              <w:rPr>
                <w:rFonts w:ascii="宋体" w:hAnsi="宋体" w:cs="宋体"/>
                <w:color w:val="000000"/>
                <w:sz w:val="24"/>
              </w:rPr>
            </w:pPr>
          </w:p>
        </w:tc>
      </w:tr>
      <w:tr w14:paraId="3D7410A5">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1B53046D">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2FDC47">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01B775">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7FD234">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153CD4">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36CB1B">
            <w:pPr>
              <w:widowControl/>
              <w:jc w:val="center"/>
              <w:textAlignment w:val="center"/>
              <w:rPr>
                <w:rFonts w:ascii="宋体" w:hAnsi="宋体" w:cs="宋体"/>
                <w:color w:val="000000"/>
                <w:sz w:val="24"/>
              </w:rPr>
            </w:pPr>
          </w:p>
        </w:tc>
      </w:tr>
      <w:tr w14:paraId="0C848CA9">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7F5E0DFA">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6DCF1A">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124B72">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9CF518">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9411A3">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EF1C23">
            <w:pPr>
              <w:widowControl/>
              <w:jc w:val="center"/>
              <w:textAlignment w:val="center"/>
              <w:rPr>
                <w:rFonts w:ascii="宋体" w:hAnsi="宋体" w:cs="宋体"/>
                <w:color w:val="000000"/>
                <w:sz w:val="24"/>
              </w:rPr>
            </w:pPr>
          </w:p>
        </w:tc>
      </w:tr>
      <w:tr w14:paraId="7C56C9AF">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1985F6AE">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6354DD">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D660B3">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860EE7">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42F0B8">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FE7D50">
            <w:pPr>
              <w:widowControl/>
              <w:jc w:val="center"/>
              <w:textAlignment w:val="center"/>
              <w:rPr>
                <w:rFonts w:ascii="宋体" w:hAnsi="宋体" w:cs="宋体"/>
                <w:color w:val="000000"/>
                <w:sz w:val="24"/>
              </w:rPr>
            </w:pPr>
          </w:p>
        </w:tc>
      </w:tr>
      <w:tr w14:paraId="75AFDAFD">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0E07AF47">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B97B3B">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FBAACC">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A18CFB">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6C8B12">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D616F8">
            <w:pPr>
              <w:widowControl/>
              <w:jc w:val="center"/>
              <w:textAlignment w:val="center"/>
              <w:rPr>
                <w:rFonts w:ascii="宋体" w:hAnsi="宋体" w:cs="宋体"/>
                <w:color w:val="000000"/>
                <w:sz w:val="24"/>
              </w:rPr>
            </w:pPr>
          </w:p>
        </w:tc>
      </w:tr>
      <w:tr w14:paraId="0FF9CC2B">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0DFAB1A5">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A5DBAB">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4247BE">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10F432">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88A1B1">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1CFAC6">
            <w:pPr>
              <w:widowControl/>
              <w:jc w:val="center"/>
              <w:textAlignment w:val="center"/>
              <w:rPr>
                <w:rFonts w:ascii="宋体" w:hAnsi="宋体" w:cs="宋体"/>
                <w:color w:val="000000"/>
                <w:sz w:val="24"/>
              </w:rPr>
            </w:pPr>
          </w:p>
        </w:tc>
      </w:tr>
      <w:tr w14:paraId="05BE73AE">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6B2520AD">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984957">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0C448D">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E06037">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47A9F3">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855772">
            <w:pPr>
              <w:widowControl/>
              <w:jc w:val="center"/>
              <w:textAlignment w:val="center"/>
              <w:rPr>
                <w:rFonts w:ascii="宋体" w:hAnsi="宋体" w:cs="宋体"/>
                <w:color w:val="000000"/>
                <w:sz w:val="24"/>
              </w:rPr>
            </w:pPr>
          </w:p>
        </w:tc>
      </w:tr>
    </w:tbl>
    <w:p w14:paraId="4290CBDE">
      <w:pPr>
        <w:spacing w:line="580" w:lineRule="exact"/>
        <w:ind w:left="630"/>
        <w:rPr>
          <w:rFonts w:ascii="仿宋_GB2312" w:hAnsi="仿宋_GB2312" w:eastAsia="仿宋_GB2312" w:cs="仿宋_GB2312"/>
          <w:sz w:val="32"/>
          <w:szCs w:val="32"/>
        </w:rPr>
      </w:pPr>
    </w:p>
    <w:tbl>
      <w:tblPr>
        <w:tblStyle w:val="13"/>
        <w:tblpPr w:leftFromText="180" w:rightFromText="180" w:vertAnchor="text" w:horzAnchor="page" w:tblpXSpec="center" w:tblpY="100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14:paraId="5584C93F">
        <w:tblPrEx>
          <w:tblCellMar>
            <w:top w:w="0" w:type="dxa"/>
            <w:left w:w="0" w:type="dxa"/>
            <w:bottom w:w="0" w:type="dxa"/>
            <w:right w:w="0" w:type="dxa"/>
          </w:tblCellMar>
        </w:tblPrEx>
        <w:trPr>
          <w:trHeight w:val="1276" w:hRule="atLeast"/>
          <w:jc w:val="center"/>
        </w:trPr>
        <w:tc>
          <w:tcPr>
            <w:tcW w:w="9960" w:type="dxa"/>
            <w:gridSpan w:val="6"/>
            <w:tcBorders>
              <w:top w:val="nil"/>
              <w:left w:val="nil"/>
              <w:bottom w:val="nil"/>
              <w:right w:val="nil"/>
            </w:tcBorders>
            <w:tcMar>
              <w:top w:w="15" w:type="dxa"/>
              <w:left w:w="15" w:type="dxa"/>
              <w:right w:w="15" w:type="dxa"/>
            </w:tcMar>
            <w:vAlign w:val="center"/>
          </w:tcPr>
          <w:p w14:paraId="2DEB5F25">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14:paraId="6BB64660">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6F69E3">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559194">
            <w:pPr>
              <w:widowControl/>
              <w:jc w:val="center"/>
              <w:textAlignment w:val="center"/>
              <w:rPr>
                <w:rFonts w:ascii="宋体" w:hAnsi="宋体" w:cs="宋体"/>
                <w:color w:val="000000"/>
                <w:sz w:val="24"/>
              </w:rPr>
            </w:pPr>
            <w:r>
              <w:rPr>
                <w:rFonts w:hint="eastAsia" w:ascii="宋体" w:hAnsi="宋体" w:cs="宋体"/>
                <w:color w:val="000000"/>
                <w:sz w:val="24"/>
              </w:rPr>
              <w:t>2019年乡镇安全生产监管专项资金</w:t>
            </w:r>
          </w:p>
        </w:tc>
      </w:tr>
      <w:tr w14:paraId="3C02C9DE">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1E4A22">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A45193">
            <w:pPr>
              <w:widowControl/>
              <w:jc w:val="center"/>
              <w:textAlignment w:val="center"/>
              <w:rPr>
                <w:rFonts w:ascii="宋体" w:hAnsi="宋体" w:cs="宋体"/>
                <w:color w:val="000000"/>
                <w:sz w:val="24"/>
              </w:rPr>
            </w:pPr>
            <w:r>
              <w:rPr>
                <w:rFonts w:hint="eastAsia" w:ascii="宋体" w:hAnsi="宋体" w:cs="宋体"/>
                <w:color w:val="000000"/>
                <w:sz w:val="24"/>
              </w:rPr>
              <w:t>永兴镇人民政府</w:t>
            </w:r>
          </w:p>
        </w:tc>
      </w:tr>
      <w:tr w14:paraId="412F79B7">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3E602A">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96A0292">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1B04F4">
            <w:pPr>
              <w:widowControl/>
              <w:jc w:val="center"/>
              <w:textAlignment w:val="center"/>
              <w:rPr>
                <w:rFonts w:ascii="宋体" w:hAnsi="宋体" w:cs="宋体"/>
                <w:color w:val="000000"/>
                <w:sz w:val="24"/>
              </w:rPr>
            </w:pPr>
            <w:r>
              <w:rPr>
                <w:rFonts w:hint="eastAsia" w:ascii="宋体" w:hAnsi="宋体" w:cs="宋体"/>
                <w:color w:val="000000"/>
                <w:sz w:val="24"/>
              </w:rPr>
              <w:t>6万元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8B33C9">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A5CEA3">
            <w:pPr>
              <w:widowControl/>
              <w:jc w:val="center"/>
              <w:textAlignment w:val="center"/>
              <w:rPr>
                <w:rFonts w:ascii="宋体" w:hAnsi="宋体" w:cs="宋体"/>
                <w:color w:val="000000"/>
                <w:sz w:val="24"/>
              </w:rPr>
            </w:pPr>
            <w:r>
              <w:rPr>
                <w:rFonts w:hint="eastAsia" w:ascii="宋体" w:hAnsi="宋体" w:cs="宋体"/>
                <w:color w:val="000000"/>
                <w:sz w:val="24"/>
              </w:rPr>
              <w:t>6万元</w:t>
            </w:r>
          </w:p>
        </w:tc>
      </w:tr>
      <w:tr w14:paraId="36D1DA05">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91CB0F">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242DBF">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1B0C31">
            <w:pPr>
              <w:widowControl/>
              <w:jc w:val="center"/>
              <w:textAlignment w:val="center"/>
              <w:rPr>
                <w:rFonts w:ascii="宋体" w:hAnsi="宋体" w:cs="宋体"/>
                <w:color w:val="000000"/>
                <w:sz w:val="24"/>
              </w:rPr>
            </w:pPr>
            <w:r>
              <w:rPr>
                <w:rFonts w:hint="eastAsia" w:ascii="宋体" w:hAnsi="宋体" w:cs="宋体"/>
                <w:color w:val="000000"/>
                <w:sz w:val="24"/>
              </w:rPr>
              <w:t>6万元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D83BB7">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631A45">
            <w:pPr>
              <w:widowControl/>
              <w:jc w:val="center"/>
              <w:textAlignment w:val="center"/>
              <w:rPr>
                <w:rFonts w:ascii="宋体" w:hAnsi="宋体" w:cs="宋体"/>
                <w:color w:val="000000"/>
                <w:sz w:val="24"/>
              </w:rPr>
            </w:pPr>
            <w:r>
              <w:rPr>
                <w:rFonts w:hint="eastAsia" w:ascii="宋体" w:hAnsi="宋体" w:cs="宋体"/>
                <w:color w:val="000000"/>
                <w:sz w:val="24"/>
              </w:rPr>
              <w:t>6万元</w:t>
            </w:r>
          </w:p>
        </w:tc>
      </w:tr>
      <w:tr w14:paraId="1E125DD7">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AFFB69">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B23D08">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479CA3">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99DE70">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A2D2B0">
            <w:pPr>
              <w:jc w:val="center"/>
              <w:rPr>
                <w:rFonts w:ascii="宋体" w:hAnsi="宋体" w:cs="宋体"/>
                <w:color w:val="000000"/>
                <w:sz w:val="24"/>
              </w:rPr>
            </w:pPr>
          </w:p>
        </w:tc>
      </w:tr>
      <w:tr w14:paraId="56450419">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97388E">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87DE84">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CD13BA">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14:paraId="555EE58E">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AED512">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EA8EC0">
            <w:pPr>
              <w:widowControl/>
              <w:jc w:val="center"/>
              <w:textAlignment w:val="center"/>
              <w:rPr>
                <w:rFonts w:ascii="宋体" w:hAnsi="宋体" w:cs="宋体"/>
                <w:color w:val="000000"/>
                <w:sz w:val="24"/>
              </w:rPr>
            </w:pPr>
          </w:p>
          <w:p w14:paraId="41A10914">
            <w:pPr>
              <w:widowControl/>
              <w:jc w:val="center"/>
              <w:textAlignment w:val="center"/>
              <w:rPr>
                <w:rFonts w:ascii="宋体" w:hAnsi="宋体" w:cs="宋体"/>
                <w:color w:val="000000"/>
                <w:sz w:val="24"/>
              </w:rPr>
            </w:pPr>
            <w:r>
              <w:rPr>
                <w:rFonts w:hint="eastAsia" w:ascii="宋体" w:hAnsi="宋体" w:cs="宋体"/>
                <w:color w:val="000000"/>
                <w:sz w:val="24"/>
              </w:rPr>
              <w:t>将6万元安全资金做好量化，保证安全工作开展</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0C709D">
            <w:pPr>
              <w:widowControl/>
              <w:jc w:val="center"/>
              <w:textAlignment w:val="center"/>
              <w:rPr>
                <w:rFonts w:ascii="宋体" w:hAnsi="宋体" w:cs="宋体"/>
                <w:color w:val="000000"/>
                <w:sz w:val="24"/>
              </w:rPr>
            </w:pPr>
            <w:r>
              <w:rPr>
                <w:rFonts w:hint="eastAsia" w:ascii="宋体" w:hAnsi="宋体" w:cs="宋体"/>
                <w:color w:val="000000"/>
                <w:sz w:val="24"/>
              </w:rPr>
              <w:t xml:space="preserve"> </w:t>
            </w:r>
          </w:p>
          <w:p w14:paraId="7B7771E2">
            <w:pPr>
              <w:widowControl/>
              <w:jc w:val="center"/>
              <w:textAlignment w:val="center"/>
              <w:rPr>
                <w:rFonts w:ascii="宋体" w:hAnsi="宋体" w:cs="宋体"/>
                <w:color w:val="000000"/>
                <w:sz w:val="24"/>
              </w:rPr>
            </w:pPr>
            <w:r>
              <w:rPr>
                <w:rFonts w:hint="eastAsia" w:ascii="宋体" w:hAnsi="宋体" w:cs="宋体"/>
                <w:color w:val="000000"/>
                <w:sz w:val="24"/>
              </w:rPr>
              <w:t xml:space="preserve"> 将6万元安全资金做好量化，保证安全工作开展</w:t>
            </w:r>
          </w:p>
        </w:tc>
      </w:tr>
      <w:tr w14:paraId="1CA4A690">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378747AA">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EB9371">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0D54AC">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A001D0">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1D9AFE">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C22233">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14:paraId="42057AD7">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21452C40">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EAEEE4">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A2CA29">
            <w:pPr>
              <w:widowControl/>
              <w:jc w:val="center"/>
              <w:textAlignment w:val="center"/>
              <w:rPr>
                <w:rFonts w:ascii="宋体" w:hAnsi="宋体" w:cs="宋体"/>
                <w:color w:val="000000"/>
                <w:sz w:val="24"/>
              </w:rPr>
            </w:pPr>
            <w:r>
              <w:rPr>
                <w:rFonts w:hint="eastAsia" w:ascii="宋体" w:hAnsi="宋体" w:cs="宋体"/>
                <w:color w:val="000000"/>
                <w:sz w:val="24"/>
              </w:rPr>
              <w:t xml:space="preserve"> 将6万元安全资金做好量化，保证安全工作开展</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6639EE">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0D66FC">
            <w:pPr>
              <w:widowControl/>
              <w:jc w:val="center"/>
              <w:textAlignment w:val="center"/>
              <w:rPr>
                <w:rFonts w:ascii="宋体" w:hAnsi="宋体" w:cs="宋体"/>
                <w:color w:val="000000"/>
                <w:sz w:val="24"/>
              </w:rPr>
            </w:pPr>
            <w:r>
              <w:rPr>
                <w:rFonts w:hint="eastAsia" w:ascii="宋体" w:hAnsi="宋体" w:cs="宋体"/>
                <w:color w:val="000000"/>
                <w:sz w:val="24"/>
              </w:rPr>
              <w:t xml:space="preserve"> 将6万元安全资金做好量化，保证安全工作开展</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31A33E">
            <w:pPr>
              <w:widowControl/>
              <w:jc w:val="center"/>
              <w:textAlignment w:val="center"/>
              <w:rPr>
                <w:rFonts w:ascii="宋体" w:hAnsi="宋体" w:cs="宋体"/>
                <w:color w:val="000000"/>
                <w:sz w:val="24"/>
              </w:rPr>
            </w:pPr>
            <w:r>
              <w:rPr>
                <w:rFonts w:hint="eastAsia" w:ascii="宋体" w:hAnsi="宋体" w:cs="宋体"/>
                <w:color w:val="000000"/>
                <w:sz w:val="24"/>
              </w:rPr>
              <w:t xml:space="preserve"> 将6万元安全资金做好量化，保证安全工作开展</w:t>
            </w:r>
          </w:p>
        </w:tc>
      </w:tr>
      <w:tr w14:paraId="48870C4E">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3DA1D70C">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B2B99E">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5B4CA1">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01492F">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0E5DA7">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CE45A9">
            <w:pPr>
              <w:widowControl/>
              <w:jc w:val="center"/>
              <w:textAlignment w:val="center"/>
              <w:rPr>
                <w:rFonts w:ascii="宋体" w:hAnsi="宋体" w:cs="宋体"/>
                <w:color w:val="000000"/>
                <w:sz w:val="24"/>
              </w:rPr>
            </w:pPr>
          </w:p>
        </w:tc>
      </w:tr>
      <w:tr w14:paraId="3F5C6409">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7A27412A">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7AA673">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16BFC6">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CBDCFE">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6F0374">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7615D19">
            <w:pPr>
              <w:widowControl/>
              <w:jc w:val="center"/>
              <w:textAlignment w:val="center"/>
              <w:rPr>
                <w:rFonts w:ascii="宋体" w:hAnsi="宋体" w:cs="宋体"/>
                <w:color w:val="000000"/>
                <w:sz w:val="24"/>
              </w:rPr>
            </w:pPr>
          </w:p>
        </w:tc>
      </w:tr>
      <w:tr w14:paraId="680C6F75">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3344831F">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E06A78">
            <w:pPr>
              <w:widowControl/>
              <w:jc w:val="center"/>
              <w:textAlignment w:val="center"/>
              <w:rPr>
                <w:rFonts w:ascii="宋体" w:hAnsi="宋体" w:cs="宋体"/>
                <w:color w:val="000000"/>
                <w:kern w:val="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9BDA2E">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5E2F52">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83C5AE">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C50884">
            <w:pPr>
              <w:widowControl/>
              <w:jc w:val="center"/>
              <w:textAlignment w:val="center"/>
              <w:rPr>
                <w:rFonts w:ascii="宋体" w:hAnsi="宋体" w:cs="宋体"/>
                <w:color w:val="000000"/>
                <w:sz w:val="24"/>
              </w:rPr>
            </w:pPr>
          </w:p>
        </w:tc>
      </w:tr>
      <w:tr w14:paraId="0C1B8966">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6A7E7915">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47360A">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32037B">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C6F107">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7ED2241">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CB6D9C">
            <w:pPr>
              <w:widowControl/>
              <w:jc w:val="center"/>
              <w:textAlignment w:val="center"/>
              <w:rPr>
                <w:rFonts w:ascii="宋体" w:hAnsi="宋体" w:cs="宋体"/>
                <w:color w:val="000000"/>
                <w:sz w:val="24"/>
              </w:rPr>
            </w:pPr>
          </w:p>
        </w:tc>
      </w:tr>
      <w:tr w14:paraId="2E4F48D6">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00848667">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3F08CE">
            <w:pPr>
              <w:widowControl/>
              <w:jc w:val="center"/>
              <w:textAlignment w:val="center"/>
              <w:rPr>
                <w:rFonts w:ascii="宋体" w:hAnsi="宋体" w:cs="宋体"/>
                <w:color w:val="000000"/>
                <w:sz w:val="24"/>
              </w:rPr>
            </w:pPr>
            <w:r>
              <w:rPr>
                <w:rFonts w:hint="eastAsia" w:ascii="宋体" w:hAnsi="宋体"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7853EE">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DCEC19">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B0450A">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38AD71">
            <w:pPr>
              <w:widowControl/>
              <w:jc w:val="center"/>
              <w:textAlignment w:val="center"/>
              <w:rPr>
                <w:rFonts w:ascii="宋体" w:hAnsi="宋体" w:cs="宋体"/>
                <w:color w:val="000000"/>
                <w:sz w:val="24"/>
              </w:rPr>
            </w:pPr>
          </w:p>
        </w:tc>
      </w:tr>
      <w:tr w14:paraId="3AF354F6">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0D74455E">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06C6DF">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C17E56">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A520FA">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54BA6C">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03C43A">
            <w:pPr>
              <w:widowControl/>
              <w:jc w:val="center"/>
              <w:textAlignment w:val="center"/>
              <w:rPr>
                <w:rFonts w:ascii="宋体" w:hAnsi="宋体" w:cs="宋体"/>
                <w:color w:val="000000"/>
                <w:sz w:val="24"/>
              </w:rPr>
            </w:pPr>
          </w:p>
        </w:tc>
      </w:tr>
      <w:tr w14:paraId="20EEE6EA">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2DBABF7D">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7E00C9">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03EC00">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91DC8B">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DA62CF">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04CEBC">
            <w:pPr>
              <w:widowControl/>
              <w:jc w:val="center"/>
              <w:textAlignment w:val="center"/>
              <w:rPr>
                <w:rFonts w:ascii="宋体" w:hAnsi="宋体" w:cs="宋体"/>
                <w:color w:val="000000"/>
                <w:sz w:val="24"/>
              </w:rPr>
            </w:pPr>
          </w:p>
        </w:tc>
      </w:tr>
      <w:tr w14:paraId="2B66AD60">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14:paraId="0C36C9FC">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CE7EED">
            <w:pPr>
              <w:widowControl/>
              <w:jc w:val="center"/>
              <w:textAlignment w:val="center"/>
              <w:rPr>
                <w:rFonts w:ascii="宋体" w:hAns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CC3864">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2238A7">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D42F5C">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C66994">
            <w:pPr>
              <w:widowControl/>
              <w:jc w:val="center"/>
              <w:textAlignment w:val="center"/>
              <w:rPr>
                <w:rFonts w:ascii="宋体" w:hAnsi="宋体" w:cs="宋体"/>
                <w:color w:val="000000"/>
                <w:sz w:val="24"/>
              </w:rPr>
            </w:pPr>
          </w:p>
        </w:tc>
      </w:tr>
      <w:tr w14:paraId="50C1FBE4">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3480DC15">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775A3F">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F95410">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21637E">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B5CA90">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0CA9D9">
            <w:pPr>
              <w:widowControl/>
              <w:jc w:val="center"/>
              <w:textAlignment w:val="center"/>
              <w:rPr>
                <w:rFonts w:ascii="宋体" w:hAnsi="宋体" w:cs="宋体"/>
                <w:color w:val="000000"/>
                <w:sz w:val="24"/>
              </w:rPr>
            </w:pPr>
          </w:p>
        </w:tc>
      </w:tr>
    </w:tbl>
    <w:p w14:paraId="1A4A062B">
      <w:pPr>
        <w:spacing w:line="580" w:lineRule="exact"/>
        <w:ind w:left="630"/>
        <w:rPr>
          <w:rFonts w:ascii="楷体_GB2312" w:hAnsi="楷体_GB2312" w:eastAsia="楷体_GB2312" w:cs="楷体_GB2312"/>
          <w:sz w:val="32"/>
          <w:szCs w:val="32"/>
        </w:rPr>
      </w:pPr>
    </w:p>
    <w:p w14:paraId="35BEFE55">
      <w:pPr>
        <w:spacing w:line="580" w:lineRule="exact"/>
        <w:ind w:left="630"/>
        <w:rPr>
          <w:rFonts w:ascii="仿宋_GB2312" w:hAnsi="仿宋_GB2312" w:eastAsia="仿宋_GB2312" w:cs="仿宋_GB2312"/>
          <w:sz w:val="32"/>
          <w:szCs w:val="32"/>
        </w:rPr>
      </w:pPr>
      <w:r>
        <w:rPr>
          <w:rFonts w:hint="eastAsia" w:ascii="楷体_GB2312" w:hAnsi="楷体_GB2312" w:eastAsia="楷体_GB2312" w:cs="楷体_GB2312"/>
          <w:sz w:val="32"/>
          <w:szCs w:val="32"/>
        </w:rPr>
        <w:t>2.部门绩效评价结果。</w:t>
      </w:r>
    </w:p>
    <w:p w14:paraId="2EAD0D20">
      <w:pPr>
        <w:spacing w:line="560" w:lineRule="exact"/>
        <w:ind w:firstLine="660" w:firstLineChars="200"/>
        <w:rPr>
          <w:rFonts w:ascii="仿宋_GB2312" w:hAnsi="仿宋_GB2312" w:eastAsia="仿宋_GB2312" w:cs="仿宋_GB2312"/>
          <w:sz w:val="33"/>
          <w:szCs w:val="33"/>
        </w:rPr>
      </w:pPr>
      <w:r>
        <w:rPr>
          <w:rFonts w:hint="eastAsia" w:ascii="仿宋_GB2312" w:hAnsi="仿宋_GB2312" w:eastAsia="仿宋_GB2312" w:cs="仿宋_GB2312"/>
          <w:sz w:val="33"/>
          <w:szCs w:val="33"/>
        </w:rPr>
        <w:t>本部门按要求对2019年部门整体支出绩效评价情况开展自评，《盐边县永兴乡人民政府2019年部门整体支出绩效评价报告》见附件。</w:t>
      </w:r>
    </w:p>
    <w:p w14:paraId="42F05634">
      <w:pPr>
        <w:spacing w:line="560" w:lineRule="exact"/>
        <w:ind w:firstLine="660" w:firstLineChars="200"/>
        <w:rPr>
          <w:rFonts w:ascii="仿宋_GB2312" w:hAnsi="仿宋_GB2312" w:eastAsia="仿宋_GB2312" w:cs="仿宋_GB2312"/>
          <w:sz w:val="32"/>
          <w:szCs w:val="32"/>
        </w:rPr>
      </w:pPr>
      <w:r>
        <w:rPr>
          <w:rFonts w:hint="eastAsia" w:ascii="仿宋_GB2312" w:hAnsi="仿宋_GB2312" w:eastAsia="仿宋_GB2312" w:cs="仿宋_GB2312"/>
          <w:sz w:val="33"/>
          <w:szCs w:val="33"/>
        </w:rPr>
        <w:t>本部门自行组织对19个项目开展了绩效评价，《盐边县永兴乡人民政府项目2019年绩效评价报告》见附件</w:t>
      </w:r>
      <w:r>
        <w:rPr>
          <w:rFonts w:hint="eastAsia" w:ascii="仿宋_GB2312" w:hAnsi="仿宋_GB2312" w:eastAsia="仿宋_GB2312" w:cs="仿宋_GB2312"/>
          <w:sz w:val="32"/>
          <w:szCs w:val="32"/>
        </w:rPr>
        <w:t>。</w:t>
      </w:r>
    </w:p>
    <w:p w14:paraId="0DB87DE0">
      <w:pPr>
        <w:widowControl/>
        <w:jc w:val="left"/>
        <w:rPr>
          <w:rFonts w:ascii="仿宋_GB2312" w:eastAsia="仿宋_GB2312"/>
          <w:b/>
          <w:color w:val="000000"/>
          <w:sz w:val="32"/>
          <w:szCs w:val="32"/>
        </w:rPr>
      </w:pPr>
      <w:r>
        <w:rPr>
          <w:rFonts w:ascii="仿宋_GB2312" w:eastAsia="仿宋_GB2312"/>
          <w:b/>
          <w:color w:val="000000"/>
          <w:sz w:val="32"/>
          <w:szCs w:val="32"/>
        </w:rPr>
        <w:br w:type="page"/>
      </w:r>
    </w:p>
    <w:p w14:paraId="16BAB2B9">
      <w:pPr>
        <w:numPr>
          <w:ilvl w:val="0"/>
          <w:numId w:val="5"/>
        </w:numPr>
        <w:spacing w:line="600" w:lineRule="exact"/>
        <w:ind w:firstLine="660" w:firstLineChars="150"/>
        <w:jc w:val="center"/>
        <w:outlineLvl w:val="0"/>
        <w:rPr>
          <w:rStyle w:val="27"/>
          <w:rFonts w:ascii="黑体" w:hAnsi="黑体" w:eastAsia="黑体"/>
          <w:b w:val="0"/>
        </w:rPr>
      </w:pPr>
      <w:bookmarkStart w:id="85" w:name="_Toc15396613"/>
      <w:bookmarkStart w:id="86" w:name="_Toc15377225"/>
      <w:bookmarkStart w:id="87" w:name="_Toc52180096"/>
      <w:r>
        <w:rPr>
          <w:rFonts w:hint="eastAsia" w:ascii="黑体" w:hAnsi="黑体" w:eastAsia="黑体"/>
          <w:color w:val="000000"/>
          <w:sz w:val="44"/>
          <w:szCs w:val="44"/>
        </w:rPr>
        <w:t>名</w:t>
      </w:r>
      <w:r>
        <w:rPr>
          <w:rStyle w:val="27"/>
          <w:rFonts w:hint="eastAsia" w:ascii="黑体" w:hAnsi="黑体" w:eastAsia="黑体"/>
          <w:b w:val="0"/>
        </w:rPr>
        <w:t>词解释</w:t>
      </w:r>
      <w:bookmarkEnd w:id="85"/>
      <w:bookmarkEnd w:id="86"/>
      <w:bookmarkEnd w:id="87"/>
    </w:p>
    <w:p w14:paraId="38BB73B0">
      <w:pPr>
        <w:spacing w:line="600" w:lineRule="exact"/>
        <w:jc w:val="left"/>
        <w:rPr>
          <w:rFonts w:ascii="宋体"/>
          <w:b/>
          <w:color w:val="000000"/>
          <w:sz w:val="44"/>
          <w:szCs w:val="44"/>
        </w:rPr>
      </w:pPr>
    </w:p>
    <w:p w14:paraId="79040464">
      <w:pPr>
        <w:pStyle w:val="17"/>
        <w:spacing w:line="560" w:lineRule="exact"/>
        <w:ind w:firstLine="640" w:firstLineChars="200"/>
        <w:rPr>
          <w:rFonts w:ascii="仿宋_GB2312" w:eastAsia="仿宋_GB2312"/>
          <w:sz w:val="32"/>
          <w:szCs w:val="32"/>
        </w:rPr>
      </w:pPr>
      <w:bookmarkStart w:id="88" w:name="_Toc15377226"/>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14:paraId="4D54B444">
      <w:pPr>
        <w:pStyle w:val="17"/>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事业收入：指事业单位开展专业业务活动及辅助活动取得的收入。如…（二级预算单位事业收入情况）等。</w:t>
      </w:r>
    </w:p>
    <w:p w14:paraId="5934F3C4">
      <w:pPr>
        <w:pStyle w:val="17"/>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经营收入：指事业单位在专业业务活动及其辅助活动之外开展非独立核算经营活动取得的收入。如…（二级预算单位经营收入情况）等。</w:t>
      </w:r>
    </w:p>
    <w:p w14:paraId="0EB0CCF3">
      <w:pPr>
        <w:pStyle w:val="17"/>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其他收入：指单位取得的除上述收入以外的各项收入。主要是…（收入类型）等。</w:t>
      </w:r>
      <w:r>
        <w:rPr>
          <w:rFonts w:ascii="仿宋_GB2312" w:eastAsia="仿宋_GB2312"/>
          <w:sz w:val="32"/>
          <w:szCs w:val="32"/>
        </w:rPr>
        <w:t xml:space="preserve"> </w:t>
      </w:r>
    </w:p>
    <w:p w14:paraId="26D711F1">
      <w:pPr>
        <w:pStyle w:val="17"/>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sz w:val="32"/>
          <w:szCs w:val="32"/>
        </w:rPr>
        <w:t xml:space="preserve"> </w:t>
      </w:r>
    </w:p>
    <w:p w14:paraId="425011F2">
      <w:pPr>
        <w:pStyle w:val="17"/>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14:paraId="189474DE">
      <w:pPr>
        <w:pStyle w:val="17"/>
        <w:spacing w:line="56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结余分配：指事业单位按照事业单位会计制度的规定从非财政补助结余中分配的事业基金和职工福利基金等。</w:t>
      </w:r>
    </w:p>
    <w:p w14:paraId="23F33481">
      <w:pPr>
        <w:pStyle w:val="17"/>
        <w:spacing w:line="56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14:paraId="4C1CB7FA">
      <w:pPr>
        <w:ind w:firstLine="640" w:firstLineChars="200"/>
        <w:rPr>
          <w:rFonts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一般公共服务（类）政府办公厅及相关机构事务（款）行政运行（项）：指反映行政单位（包括实行公务员管理的事业单位）的基本支出。</w:t>
      </w:r>
    </w:p>
    <w:p w14:paraId="0B153899">
      <w:pPr>
        <w:ind w:firstLine="640" w:firstLineChars="200"/>
        <w:rPr>
          <w:rFonts w:ascii="仿宋_GB2312" w:eastAsia="仿宋_GB2312"/>
          <w:color w:val="000000"/>
          <w:sz w:val="32"/>
          <w:szCs w:val="32"/>
        </w:rPr>
      </w:pPr>
      <w:r>
        <w:rPr>
          <w:rFonts w:ascii="仿宋_GB2312" w:eastAsia="仿宋_GB2312"/>
          <w:color w:val="000000"/>
          <w:sz w:val="32"/>
          <w:szCs w:val="32"/>
        </w:rPr>
        <w:t>10.</w:t>
      </w:r>
      <w:r>
        <w:rPr>
          <w:rFonts w:hint="eastAsia" w:ascii="仿宋_GB2312" w:eastAsia="仿宋_GB2312"/>
          <w:color w:val="000000"/>
          <w:sz w:val="32"/>
          <w:szCs w:val="32"/>
        </w:rPr>
        <w:t>一般公共服务（类）政府办公厅及相关机构事务（款）财政事务（项）：指反映事业单位不包括行政单位（包括实行公务员管理的事业单位）后勤服务中心、医务室等附属事业单位。</w:t>
      </w:r>
    </w:p>
    <w:p w14:paraId="44FA85E3">
      <w:pPr>
        <w:ind w:firstLine="640" w:firstLineChars="200"/>
        <w:rPr>
          <w:rFonts w:ascii="仿宋_GB2312" w:eastAsia="仿宋_GB2312"/>
          <w:color w:val="000000"/>
          <w:sz w:val="32"/>
          <w:szCs w:val="32"/>
        </w:rPr>
      </w:pPr>
      <w:r>
        <w:rPr>
          <w:rFonts w:ascii="仿宋_GB2312" w:eastAsia="仿宋_GB2312"/>
          <w:color w:val="000000"/>
          <w:sz w:val="32"/>
          <w:szCs w:val="32"/>
        </w:rPr>
        <w:t>11.</w:t>
      </w:r>
      <w:r>
        <w:rPr>
          <w:rFonts w:hint="eastAsia" w:ascii="仿宋_GB2312" w:eastAsia="仿宋_GB2312"/>
          <w:color w:val="000000"/>
          <w:sz w:val="32"/>
          <w:szCs w:val="32"/>
        </w:rPr>
        <w:t>文化体育与传媒（类）文化旅游体育与传媒支出（款）群众文化（项）：指反映群众文化旅游方面的支出，包括基层文化馆、群众艺术馆支出等。</w:t>
      </w:r>
    </w:p>
    <w:p w14:paraId="1F99A40C">
      <w:pPr>
        <w:ind w:firstLine="640" w:firstLineChars="200"/>
        <w:rPr>
          <w:rFonts w:ascii="仿宋_GB2312" w:eastAsia="仿宋_GB2312"/>
          <w:color w:val="000000"/>
          <w:sz w:val="32"/>
          <w:szCs w:val="32"/>
        </w:rPr>
      </w:pPr>
      <w:r>
        <w:rPr>
          <w:rFonts w:ascii="仿宋_GB2312" w:eastAsia="仿宋_GB2312"/>
          <w:color w:val="000000"/>
          <w:sz w:val="32"/>
          <w:szCs w:val="32"/>
        </w:rPr>
        <w:t>12.</w:t>
      </w:r>
      <w:r>
        <w:rPr>
          <w:rFonts w:hint="eastAsia" w:ascii="仿宋_GB2312" w:eastAsia="仿宋_GB2312"/>
          <w:color w:val="000000"/>
          <w:sz w:val="32"/>
          <w:szCs w:val="32"/>
        </w:rPr>
        <w:t>社会保障和就业（类）行政事业养老支出（款）机关事业单位基本养老保险缴费支出（项）：指反映支出事业单位实施养老保险制度由单位缴纳的基本养老保险费支出。</w:t>
      </w:r>
    </w:p>
    <w:p w14:paraId="2CB5726B">
      <w:pPr>
        <w:ind w:firstLine="640" w:firstLineChars="200"/>
        <w:rPr>
          <w:rFonts w:ascii="仿宋_GB2312" w:eastAsia="仿宋_GB2312"/>
          <w:color w:val="000000"/>
          <w:sz w:val="32"/>
          <w:szCs w:val="32"/>
        </w:rPr>
      </w:pPr>
      <w:r>
        <w:rPr>
          <w:rFonts w:ascii="仿宋_GB2312" w:eastAsia="仿宋_GB2312"/>
          <w:color w:val="000000"/>
          <w:sz w:val="32"/>
          <w:szCs w:val="32"/>
        </w:rPr>
        <w:t>13.</w:t>
      </w:r>
      <w:r>
        <w:rPr>
          <w:rFonts w:hint="eastAsia" w:ascii="仿宋_GB2312" w:eastAsia="仿宋_GB2312"/>
          <w:color w:val="000000"/>
          <w:sz w:val="32"/>
          <w:szCs w:val="32"/>
        </w:rPr>
        <w:t>社会保障和就业（类）特困人员救助供养（款）农村特困人员救助供养支出（项）：指反映农村特困人员救助供养支出。</w:t>
      </w:r>
    </w:p>
    <w:p w14:paraId="4A8BBDAD">
      <w:pPr>
        <w:ind w:firstLine="640" w:firstLineChars="200"/>
        <w:rPr>
          <w:rFonts w:ascii="仿宋_GB2312" w:eastAsia="仿宋_GB2312"/>
          <w:color w:val="000000"/>
          <w:sz w:val="32"/>
          <w:szCs w:val="32"/>
        </w:rPr>
      </w:pPr>
      <w:r>
        <w:rPr>
          <w:rFonts w:ascii="仿宋_GB2312" w:eastAsia="仿宋_GB2312"/>
          <w:color w:val="000000"/>
          <w:sz w:val="32"/>
          <w:szCs w:val="32"/>
        </w:rPr>
        <w:t>14.</w:t>
      </w:r>
      <w:r>
        <w:rPr>
          <w:rFonts w:hint="eastAsia" w:ascii="仿宋_GB2312" w:eastAsia="仿宋_GB2312"/>
          <w:color w:val="000000"/>
          <w:sz w:val="32"/>
          <w:szCs w:val="32"/>
        </w:rPr>
        <w:t>社会保障和就业（类）民政管理事务（款）其他民政管理事务支出（项）：指反映民政部门接待来访、法制建设、政策宣传方面的支出，以及开展社会救助、养老服务、社会事务等方面的支出。</w:t>
      </w:r>
    </w:p>
    <w:p w14:paraId="2646790E">
      <w:pPr>
        <w:ind w:firstLine="640" w:firstLineChars="200"/>
        <w:rPr>
          <w:rFonts w:ascii="仿宋_GB2312" w:eastAsia="仿宋_GB2312"/>
          <w:color w:val="000000"/>
          <w:sz w:val="32"/>
          <w:szCs w:val="32"/>
        </w:rPr>
      </w:pPr>
      <w:r>
        <w:rPr>
          <w:rFonts w:ascii="仿宋_GB2312" w:eastAsia="仿宋_GB2312"/>
          <w:color w:val="000000"/>
          <w:sz w:val="32"/>
          <w:szCs w:val="32"/>
        </w:rPr>
        <w:t>15.</w:t>
      </w:r>
      <w:r>
        <w:rPr>
          <w:rFonts w:hint="eastAsia" w:ascii="仿宋_GB2312" w:eastAsia="仿宋_GB2312"/>
          <w:color w:val="000000"/>
          <w:sz w:val="32"/>
          <w:szCs w:val="32"/>
        </w:rPr>
        <w:t>社会保障和就业（类）抚恤（款）伤残抚恤（项）：指反映按规定用于伤残人员的抚恤金和按规定开支的各项伤残补助。</w:t>
      </w:r>
    </w:p>
    <w:p w14:paraId="0A76A626">
      <w:pPr>
        <w:ind w:firstLine="640" w:firstLineChars="200"/>
        <w:rPr>
          <w:rFonts w:ascii="仿宋_GB2312" w:eastAsia="仿宋_GB2312"/>
          <w:color w:val="000000"/>
          <w:sz w:val="32"/>
          <w:szCs w:val="32"/>
        </w:rPr>
      </w:pPr>
      <w:r>
        <w:rPr>
          <w:rFonts w:ascii="仿宋_GB2312" w:eastAsia="仿宋_GB2312"/>
          <w:color w:val="000000"/>
          <w:sz w:val="32"/>
          <w:szCs w:val="32"/>
        </w:rPr>
        <w:t>16.</w:t>
      </w:r>
      <w:r>
        <w:rPr>
          <w:rFonts w:hint="eastAsia" w:ascii="仿宋_GB2312" w:eastAsia="仿宋_GB2312"/>
          <w:color w:val="000000"/>
          <w:sz w:val="32"/>
          <w:szCs w:val="32"/>
        </w:rPr>
        <w:t>医疗卫生与计划生育（类）计划生育事务（款）其他计划生育事务支出（项）：指用于其他计划生育事务支出。</w:t>
      </w:r>
    </w:p>
    <w:p w14:paraId="42B051EB">
      <w:pPr>
        <w:ind w:firstLine="640" w:firstLineChars="200"/>
        <w:rPr>
          <w:rFonts w:ascii="仿宋_GB2312" w:eastAsia="仿宋_GB2312"/>
          <w:color w:val="000000"/>
          <w:sz w:val="32"/>
          <w:szCs w:val="32"/>
        </w:rPr>
      </w:pPr>
      <w:r>
        <w:rPr>
          <w:rFonts w:ascii="仿宋_GB2312" w:eastAsia="仿宋_GB2312"/>
          <w:color w:val="000000"/>
          <w:sz w:val="32"/>
          <w:szCs w:val="32"/>
        </w:rPr>
        <w:t>17.</w:t>
      </w:r>
      <w:r>
        <w:rPr>
          <w:rFonts w:hint="eastAsia" w:ascii="仿宋_GB2312" w:eastAsia="仿宋_GB2312"/>
          <w:color w:val="000000"/>
          <w:sz w:val="32"/>
          <w:szCs w:val="32"/>
        </w:rPr>
        <w:t>节能环保（类）节能环保支出（款）其他污染防治支出（项）：指反映用于污染防治方面的支出。</w:t>
      </w:r>
    </w:p>
    <w:p w14:paraId="027F2134">
      <w:pPr>
        <w:ind w:firstLine="640" w:firstLineChars="200"/>
        <w:rPr>
          <w:rFonts w:ascii="仿宋_GB2312" w:eastAsia="仿宋_GB2312"/>
          <w:color w:val="000000"/>
          <w:sz w:val="32"/>
          <w:szCs w:val="32"/>
        </w:rPr>
      </w:pPr>
      <w:r>
        <w:rPr>
          <w:rFonts w:ascii="仿宋_GB2312" w:eastAsia="仿宋_GB2312"/>
          <w:color w:val="000000"/>
          <w:sz w:val="32"/>
          <w:szCs w:val="32"/>
        </w:rPr>
        <w:t>18.</w:t>
      </w:r>
      <w:r>
        <w:rPr>
          <w:rFonts w:hint="eastAsia" w:ascii="仿宋_GB2312" w:eastAsia="仿宋_GB2312"/>
          <w:color w:val="000000"/>
          <w:sz w:val="32"/>
          <w:szCs w:val="32"/>
        </w:rPr>
        <w:t>城乡社区（类）城乡社区环境卫生（款）城乡社区环境卫生（项）：指反映城乡社区道路清扫、垃圾清运与处理、公厕建设与维护、园林绿化等方面的支出。</w:t>
      </w:r>
    </w:p>
    <w:p w14:paraId="66314C87">
      <w:pPr>
        <w:ind w:firstLine="640" w:firstLineChars="200"/>
        <w:rPr>
          <w:rFonts w:ascii="仿宋_GB2312" w:eastAsia="仿宋_GB2312"/>
          <w:color w:val="000000"/>
          <w:sz w:val="32"/>
          <w:szCs w:val="32"/>
        </w:rPr>
      </w:pPr>
      <w:r>
        <w:rPr>
          <w:rFonts w:ascii="仿宋_GB2312" w:eastAsia="仿宋_GB2312"/>
          <w:color w:val="000000"/>
          <w:sz w:val="32"/>
          <w:szCs w:val="32"/>
        </w:rPr>
        <w:t>19.</w:t>
      </w:r>
      <w:r>
        <w:rPr>
          <w:rFonts w:hint="eastAsia" w:ascii="仿宋_GB2312" w:eastAsia="仿宋_GB2312"/>
          <w:color w:val="000000"/>
          <w:sz w:val="32"/>
          <w:szCs w:val="32"/>
        </w:rPr>
        <w:t>农林水（类）农林水支出（款）事业运行（项）：指反映用于农业事业单位基本支出，事业单位设施、系统运行和资产维护等方面的支出。</w:t>
      </w:r>
    </w:p>
    <w:p w14:paraId="2D46D11C">
      <w:pPr>
        <w:ind w:firstLine="640" w:firstLineChars="20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rPr>
        <w:t>农林水（类）农村综合改革（款）对村级一事一议支出（项）：指反映农村税费改革后对村级公益事业一事一议的补助支出。</w:t>
      </w:r>
    </w:p>
    <w:p w14:paraId="0D13A43B">
      <w:pPr>
        <w:ind w:firstLine="640" w:firstLineChars="200"/>
        <w:rPr>
          <w:rFonts w:ascii="仿宋_GB2312" w:eastAsia="仿宋_GB2312"/>
          <w:color w:val="000000"/>
          <w:sz w:val="32"/>
          <w:szCs w:val="32"/>
        </w:rPr>
      </w:pPr>
      <w:r>
        <w:rPr>
          <w:rFonts w:ascii="仿宋_GB2312" w:eastAsia="仿宋_GB2312"/>
          <w:color w:val="000000"/>
          <w:sz w:val="32"/>
          <w:szCs w:val="32"/>
        </w:rPr>
        <w:t>21.</w:t>
      </w:r>
      <w:r>
        <w:rPr>
          <w:rFonts w:hint="eastAsia" w:ascii="仿宋_GB2312" w:eastAsia="仿宋_GB2312"/>
          <w:color w:val="000000"/>
          <w:sz w:val="32"/>
          <w:szCs w:val="32"/>
        </w:rPr>
        <w:t>农林水（类）农村综合改革（款）对村民委员会和村党支部的补助（项）：指反映各级财政对村民委员会和村党支部的补助支出，以及支持建立县级基本财力保障机制安排的村级组织运转奖补资金。</w:t>
      </w:r>
    </w:p>
    <w:p w14:paraId="650621EF">
      <w:pPr>
        <w:ind w:firstLine="640" w:firstLineChars="200"/>
        <w:rPr>
          <w:rFonts w:ascii="仿宋_GB2312" w:eastAsia="仿宋_GB2312"/>
          <w:color w:val="000000"/>
          <w:sz w:val="32"/>
          <w:szCs w:val="32"/>
        </w:rPr>
      </w:pPr>
      <w:r>
        <w:rPr>
          <w:rFonts w:ascii="仿宋_GB2312" w:eastAsia="仿宋_GB2312"/>
          <w:color w:val="000000"/>
          <w:sz w:val="32"/>
          <w:szCs w:val="32"/>
        </w:rPr>
        <w:t>22.</w:t>
      </w:r>
      <w:r>
        <w:rPr>
          <w:rFonts w:hint="eastAsia" w:ascii="仿宋_GB2312" w:eastAsia="仿宋_GB2312"/>
          <w:color w:val="000000"/>
          <w:sz w:val="32"/>
          <w:szCs w:val="32"/>
        </w:rPr>
        <w:t>住房保障（类）住房改革支出（款）住房公积金（项）：指行政事业单位按照人力资源和社会保障部、财政部规定的基本工资和津贴补贴以及规定比例为职工缴纳的住房公积金。</w:t>
      </w:r>
    </w:p>
    <w:p w14:paraId="2360EAA4">
      <w:pPr>
        <w:ind w:firstLine="640" w:firstLineChars="200"/>
        <w:rPr>
          <w:rFonts w:ascii="仿宋_GB2312" w:eastAsia="仿宋_GB2312"/>
          <w:color w:val="000000"/>
          <w:sz w:val="32"/>
          <w:szCs w:val="32"/>
        </w:rPr>
      </w:pPr>
      <w:r>
        <w:rPr>
          <w:rFonts w:ascii="仿宋_GB2312" w:eastAsia="仿宋_GB2312"/>
          <w:color w:val="000000"/>
          <w:sz w:val="32"/>
          <w:szCs w:val="32"/>
        </w:rPr>
        <w:t>23.</w:t>
      </w:r>
      <w:r>
        <w:rPr>
          <w:rFonts w:hint="eastAsia" w:ascii="仿宋_GB2312" w:eastAsia="仿宋_GB2312"/>
          <w:color w:val="000000"/>
          <w:sz w:val="32"/>
          <w:szCs w:val="32"/>
        </w:rPr>
        <w:t>灾害防治及应急管理支出（类）应急管理事务（款）安全监管（项）：指反映安全监管方面的支出。</w:t>
      </w:r>
    </w:p>
    <w:p w14:paraId="4A5AC366">
      <w:pPr>
        <w:ind w:firstLine="640" w:firstLineChars="200"/>
        <w:rPr>
          <w:rFonts w:ascii="仿宋_GB2312" w:eastAsia="仿宋_GB2312"/>
          <w:color w:val="000000"/>
          <w:sz w:val="32"/>
          <w:szCs w:val="32"/>
        </w:rPr>
      </w:pPr>
      <w:r>
        <w:rPr>
          <w:rFonts w:ascii="仿宋_GB2312" w:eastAsia="仿宋_GB2312"/>
          <w:color w:val="000000"/>
          <w:sz w:val="32"/>
          <w:szCs w:val="32"/>
        </w:rPr>
        <w:t>23.</w:t>
      </w:r>
      <w:r>
        <w:rPr>
          <w:rFonts w:hint="eastAsia" w:ascii="仿宋_GB2312" w:eastAsia="仿宋_GB2312"/>
          <w:color w:val="000000"/>
          <w:sz w:val="32"/>
          <w:szCs w:val="32"/>
        </w:rPr>
        <w:t>基本支出：指为保障机构正常运转、完成日常工作任务而发生的人员支出和公用支出。</w:t>
      </w:r>
    </w:p>
    <w:p w14:paraId="1AF96F8E">
      <w:pPr>
        <w:ind w:firstLine="640" w:firstLineChars="200"/>
        <w:rPr>
          <w:rFonts w:ascii="仿宋_GB2312" w:eastAsia="仿宋_GB2312"/>
          <w:color w:val="000000"/>
          <w:sz w:val="32"/>
          <w:szCs w:val="32"/>
        </w:rPr>
      </w:pPr>
      <w:r>
        <w:rPr>
          <w:rFonts w:ascii="仿宋_GB2312" w:eastAsia="仿宋_GB2312"/>
          <w:color w:val="000000"/>
          <w:sz w:val="32"/>
          <w:szCs w:val="32"/>
        </w:rPr>
        <w:t>24.</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14:paraId="6B1FC3A7">
      <w:pPr>
        <w:ind w:firstLine="640" w:firstLineChars="200"/>
        <w:rPr>
          <w:rFonts w:ascii="仿宋_GB2312" w:eastAsia="仿宋_GB2312"/>
          <w:color w:val="000000"/>
          <w:sz w:val="32"/>
          <w:szCs w:val="32"/>
        </w:rPr>
      </w:pPr>
      <w:r>
        <w:rPr>
          <w:rFonts w:ascii="仿宋_GB2312" w:eastAsia="仿宋_GB2312"/>
          <w:color w:val="000000"/>
          <w:sz w:val="32"/>
          <w:szCs w:val="32"/>
        </w:rPr>
        <w:t>25.</w:t>
      </w:r>
      <w:r>
        <w:rPr>
          <w:rFonts w:hint="eastAsia" w:ascii="仿宋_GB2312" w:eastAsia="仿宋_GB2312"/>
          <w:color w:val="000000"/>
          <w:sz w:val="32"/>
          <w:szCs w:val="32"/>
        </w:rPr>
        <w:t>经营支出：指事业单位在专业业务活动及其辅助活动之外开展非独立核算经营活动发生的支出。</w:t>
      </w:r>
    </w:p>
    <w:p w14:paraId="22B6FF1C">
      <w:pPr>
        <w:pStyle w:val="17"/>
        <w:spacing w:line="560" w:lineRule="exact"/>
        <w:ind w:firstLine="640" w:firstLineChars="200"/>
        <w:rPr>
          <w:rFonts w:ascii="仿宋_GB2312" w:eastAsia="仿宋_GB2312"/>
          <w:sz w:val="32"/>
          <w:szCs w:val="32"/>
        </w:rPr>
      </w:pPr>
      <w:r>
        <w:rPr>
          <w:rFonts w:ascii="仿宋_GB2312" w:eastAsia="仿宋_GB2312"/>
          <w:sz w:val="32"/>
          <w:szCs w:val="32"/>
        </w:rPr>
        <w:t>26.</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1CB2C28C">
      <w:pPr>
        <w:pStyle w:val="17"/>
        <w:spacing w:line="560" w:lineRule="exact"/>
        <w:ind w:firstLine="640" w:firstLineChars="200"/>
        <w:rPr>
          <w:rFonts w:ascii="仿宋_GB2312" w:eastAsia="仿宋_GB2312"/>
          <w:sz w:val="32"/>
          <w:szCs w:val="32"/>
        </w:rPr>
      </w:pPr>
      <w:r>
        <w:rPr>
          <w:rFonts w:ascii="仿宋_GB2312" w:eastAsia="仿宋_GB2312"/>
          <w:sz w:val="32"/>
          <w:szCs w:val="32"/>
        </w:rPr>
        <w:t>27.</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5BBD2B94">
      <w:pPr>
        <w:spacing w:line="600" w:lineRule="exact"/>
        <w:jc w:val="center"/>
        <w:outlineLvl w:val="0"/>
        <w:rPr>
          <w:rStyle w:val="27"/>
          <w:rFonts w:ascii="黑体" w:hAnsi="黑体" w:eastAsia="黑体"/>
          <w:b w:val="0"/>
        </w:rPr>
      </w:pPr>
      <w:r>
        <w:rPr>
          <w:rFonts w:ascii="宋体"/>
          <w:b/>
          <w:color w:val="000000"/>
          <w:sz w:val="44"/>
          <w:szCs w:val="44"/>
        </w:rPr>
        <w:br w:type="page"/>
      </w:r>
      <w:bookmarkStart w:id="89" w:name="_Toc52180097"/>
      <w:bookmarkStart w:id="90" w:name="_Toc15396614"/>
      <w:r>
        <w:rPr>
          <w:rFonts w:hint="eastAsia" w:ascii="黑体" w:hAnsi="黑体" w:eastAsia="黑体"/>
          <w:color w:val="000000"/>
          <w:sz w:val="44"/>
          <w:szCs w:val="44"/>
        </w:rPr>
        <w:t>第</w:t>
      </w:r>
      <w:r>
        <w:rPr>
          <w:rStyle w:val="27"/>
          <w:rFonts w:hint="eastAsia" w:ascii="黑体" w:hAnsi="黑体" w:eastAsia="黑体"/>
          <w:b w:val="0"/>
        </w:rPr>
        <w:t>四部分 附件</w:t>
      </w:r>
      <w:bookmarkEnd w:id="89"/>
      <w:bookmarkEnd w:id="90"/>
    </w:p>
    <w:p w14:paraId="1A3610F3">
      <w:pPr>
        <w:spacing w:line="580" w:lineRule="exact"/>
        <w:jc w:val="center"/>
        <w:rPr>
          <w:rFonts w:ascii="方正小标宋简体" w:hAnsi="方正小标宋简体" w:eastAsia="方正小标宋简体" w:cs="方正小标宋简体"/>
          <w:sz w:val="44"/>
          <w:szCs w:val="44"/>
        </w:rPr>
      </w:pPr>
    </w:p>
    <w:p w14:paraId="5C1F1ADE">
      <w:pPr>
        <w:spacing w:line="600" w:lineRule="exact"/>
        <w:jc w:val="center"/>
        <w:rPr>
          <w:rFonts w:ascii="方正小标宋简体" w:hAnsi="宋体" w:eastAsia="方正小标宋简体"/>
          <w:color w:val="000000"/>
          <w:kern w:val="0"/>
          <w:sz w:val="40"/>
          <w:szCs w:val="44"/>
          <w:lang w:val="zh-CN"/>
        </w:rPr>
      </w:pPr>
      <w:r>
        <w:rPr>
          <w:rFonts w:hint="eastAsia" w:ascii="方正小标宋简体" w:hAnsi="宋体" w:eastAsia="方正小标宋简体"/>
          <w:color w:val="000000"/>
          <w:kern w:val="0"/>
          <w:sz w:val="40"/>
          <w:szCs w:val="44"/>
        </w:rPr>
        <w:t xml:space="preserve">永兴镇人民政府                        </w:t>
      </w:r>
      <w:r>
        <w:rPr>
          <w:rFonts w:ascii="方正小标宋简体" w:hAnsi="宋体" w:eastAsia="方正小标宋简体"/>
          <w:color w:val="000000"/>
          <w:kern w:val="0"/>
          <w:sz w:val="40"/>
          <w:szCs w:val="44"/>
        </w:rPr>
        <w:t>2019年部门</w:t>
      </w:r>
      <w:r>
        <w:rPr>
          <w:rFonts w:hint="eastAsia" w:ascii="方正小标宋简体" w:hAnsi="宋体" w:eastAsia="方正小标宋简体"/>
          <w:color w:val="000000"/>
          <w:kern w:val="0"/>
          <w:sz w:val="40"/>
          <w:szCs w:val="44"/>
          <w:lang w:val="zh-CN"/>
        </w:rPr>
        <w:t>整体支出绩效评价报告</w:t>
      </w:r>
    </w:p>
    <w:p w14:paraId="56B7CF25">
      <w:pPr>
        <w:widowControl/>
        <w:adjustRightInd w:val="0"/>
        <w:snapToGrid w:val="0"/>
        <w:spacing w:line="580" w:lineRule="exact"/>
        <w:ind w:firstLine="480" w:firstLineChars="200"/>
        <w:contextualSpacing/>
        <w:jc w:val="left"/>
        <w:rPr>
          <w:rFonts w:ascii="黑体" w:hAnsi="宋体" w:eastAsia="黑体" w:cs="宋体"/>
          <w:color w:val="000000"/>
          <w:kern w:val="0"/>
          <w:sz w:val="24"/>
          <w:szCs w:val="32"/>
          <w:shd w:val="clear" w:color="auto" w:fill="FFFFFF"/>
        </w:rPr>
      </w:pPr>
    </w:p>
    <w:p w14:paraId="5DDE6A22">
      <w:pPr>
        <w:spacing w:line="560" w:lineRule="exact"/>
        <w:ind w:firstLine="640" w:firstLineChars="200"/>
        <w:jc w:val="left"/>
        <w:rPr>
          <w:rFonts w:eastAsia="黑体"/>
          <w:sz w:val="32"/>
          <w:szCs w:val="32"/>
        </w:rPr>
      </w:pPr>
      <w:r>
        <w:rPr>
          <w:rFonts w:eastAsia="黑体"/>
          <w:sz w:val="32"/>
          <w:szCs w:val="32"/>
        </w:rPr>
        <w:t>一、部门概况</w:t>
      </w:r>
    </w:p>
    <w:p w14:paraId="287A167D">
      <w:pPr>
        <w:widowControl/>
        <w:adjustRightInd w:val="0"/>
        <w:snapToGrid w:val="0"/>
        <w:spacing w:line="560" w:lineRule="exact"/>
        <w:ind w:firstLine="640" w:firstLineChars="200"/>
        <w:jc w:val="left"/>
        <w:rPr>
          <w:rFonts w:ascii="仿宋_GB2312" w:hAnsi="宋体" w:eastAsia="仿宋_GB2312" w:cs="仿宋_GB2312"/>
          <w:color w:val="000000"/>
          <w:kern w:val="0"/>
          <w:sz w:val="32"/>
          <w:szCs w:val="32"/>
          <w:shd w:val="clear" w:color="auto" w:fill="FFFFFF"/>
          <w:lang w:val="zh-CN"/>
        </w:rPr>
      </w:pPr>
      <w:r>
        <w:rPr>
          <w:rFonts w:hint="eastAsia" w:ascii="仿宋_GB2312" w:hAnsi="宋体" w:eastAsia="仿宋_GB2312" w:cs="仿宋_GB2312"/>
          <w:color w:val="000000"/>
          <w:kern w:val="0"/>
          <w:sz w:val="32"/>
          <w:szCs w:val="32"/>
          <w:shd w:val="clear" w:color="auto" w:fill="FFFFFF"/>
          <w:lang w:val="zh-CN"/>
        </w:rPr>
        <w:t>（一）机构组成</w:t>
      </w:r>
    </w:p>
    <w:p w14:paraId="61276EC4">
      <w:pPr>
        <w:widowControl/>
        <w:adjustRightInd w:val="0"/>
        <w:snapToGrid w:val="0"/>
        <w:spacing w:line="560" w:lineRule="exact"/>
        <w:ind w:firstLine="640" w:firstLineChars="200"/>
        <w:jc w:val="left"/>
        <w:rPr>
          <w:rFonts w:ascii="仿宋_GB2312" w:hAnsi="宋体" w:eastAsia="仿宋_GB2312" w:cs="仿宋_GB2312"/>
          <w:color w:val="000000"/>
          <w:kern w:val="0"/>
          <w:sz w:val="32"/>
          <w:szCs w:val="32"/>
          <w:shd w:val="clear" w:color="auto" w:fill="FFFFFF"/>
          <w:lang w:val="zh-CN"/>
        </w:rPr>
      </w:pPr>
      <w:r>
        <w:rPr>
          <w:rFonts w:hint="eastAsia" w:ascii="仿宋_GB2312" w:hAnsi="仿宋_GB2312" w:eastAsia="仿宋_GB2312" w:cs="仿宋_GB2312"/>
          <w:color w:val="333333"/>
          <w:sz w:val="32"/>
          <w:szCs w:val="32"/>
          <w:shd w:val="clear" w:color="auto" w:fill="FFFFFF"/>
        </w:rPr>
        <w:t>永兴镇人民政府现有10个内设机构，分别是农业服务中心、林业站、党政办、民政办、宣文中心、社会事务办、综治办、武装部、计生办、社会事务办。</w:t>
      </w:r>
    </w:p>
    <w:p w14:paraId="561677AB">
      <w:pPr>
        <w:widowControl/>
        <w:numPr>
          <w:ilvl w:val="0"/>
          <w:numId w:val="6"/>
        </w:numPr>
        <w:adjustRightInd w:val="0"/>
        <w:snapToGrid w:val="0"/>
        <w:spacing w:line="560" w:lineRule="exact"/>
        <w:ind w:firstLine="640" w:firstLineChars="200"/>
        <w:jc w:val="left"/>
        <w:rPr>
          <w:rFonts w:ascii="仿宋_GB2312" w:hAnsi="宋体" w:eastAsia="仿宋_GB2312" w:cs="仿宋_GB2312"/>
          <w:color w:val="000000"/>
          <w:kern w:val="0"/>
          <w:sz w:val="32"/>
          <w:szCs w:val="32"/>
          <w:shd w:val="clear" w:color="auto" w:fill="FFFFFF"/>
        </w:rPr>
      </w:pPr>
      <w:r>
        <w:rPr>
          <w:rFonts w:hint="eastAsia" w:ascii="仿宋_GB2312" w:hAnsi="宋体" w:eastAsia="仿宋_GB2312" w:cs="仿宋_GB2312"/>
          <w:color w:val="000000"/>
          <w:kern w:val="0"/>
          <w:sz w:val="32"/>
          <w:szCs w:val="32"/>
          <w:shd w:val="clear" w:color="auto" w:fill="FFFFFF"/>
          <w:lang w:val="zh-CN"/>
        </w:rPr>
        <w:t>机构职能</w:t>
      </w:r>
      <w:r>
        <w:rPr>
          <w:rFonts w:hint="eastAsia" w:ascii="仿宋_GB2312" w:hAnsi="宋体" w:eastAsia="仿宋_GB2312" w:cs="仿宋_GB2312"/>
          <w:color w:val="000000"/>
          <w:kern w:val="0"/>
          <w:sz w:val="32"/>
          <w:szCs w:val="32"/>
          <w:shd w:val="clear" w:color="auto" w:fill="FFFFFF"/>
        </w:rPr>
        <w:t xml:space="preserve"> </w:t>
      </w:r>
    </w:p>
    <w:p w14:paraId="61D380A0">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w:t>
      </w:r>
      <w:r>
        <w:rPr>
          <w:rFonts w:ascii="仿宋_GB2312" w:hAnsi="仿宋_GB2312" w:eastAsia="仿宋_GB2312" w:cs="仿宋_GB2312"/>
          <w:color w:val="333333"/>
          <w:sz w:val="32"/>
          <w:szCs w:val="32"/>
          <w:shd w:val="clear" w:color="auto" w:fill="FFFFFF"/>
        </w:rPr>
        <w:t>贯彻执行党的路线、方针、政策和上级党组织及党员代表大会的决议、决定。</w:t>
      </w:r>
    </w:p>
    <w:p w14:paraId="6E661337">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2.研究决定全镇经济建设和社会发展中带有全局性的</w:t>
      </w:r>
      <w:r>
        <w:rPr>
          <w:rFonts w:ascii="仿宋_GB2312" w:hAnsi="仿宋_GB2312" w:eastAsia="仿宋_GB2312" w:cs="仿宋_GB2312"/>
          <w:color w:val="333333"/>
          <w:sz w:val="32"/>
          <w:szCs w:val="32"/>
          <w:shd w:val="clear" w:color="auto" w:fill="FFFFFF"/>
        </w:rPr>
        <w:t>重大问题。</w:t>
      </w:r>
    </w:p>
    <w:p w14:paraId="35823BFC">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3.</w:t>
      </w:r>
      <w:r>
        <w:rPr>
          <w:rFonts w:hint="eastAsia" w:ascii="仿宋_GB2312" w:hAnsi="仿宋_GB2312" w:eastAsia="仿宋_GB2312" w:cs="仿宋_GB2312"/>
          <w:color w:val="333333"/>
          <w:sz w:val="32"/>
          <w:szCs w:val="32"/>
          <w:shd w:val="clear" w:color="auto" w:fill="FFFFFF"/>
        </w:rPr>
        <w:t>负责抓好所属党组织的思想建设、组织建设、作风建设。负责全面从严治党、党风廉政建设和反腐败工作。</w:t>
      </w:r>
    </w:p>
    <w:p w14:paraId="78096A9F">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4.</w:t>
      </w:r>
      <w:r>
        <w:rPr>
          <w:rFonts w:hint="eastAsia" w:ascii="仿宋_GB2312" w:hAnsi="仿宋_GB2312" w:eastAsia="仿宋_GB2312" w:cs="仿宋_GB2312"/>
          <w:color w:val="333333"/>
          <w:sz w:val="32"/>
          <w:szCs w:val="32"/>
          <w:shd w:val="clear" w:color="auto" w:fill="FFFFFF"/>
        </w:rPr>
        <w:t>按照干部管理权限，负责对干部的教育、培养、选拔任免和监督工作，向上级党组织推荐干部。</w:t>
      </w:r>
    </w:p>
    <w:p w14:paraId="6F1DDF5E">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5.</w:t>
      </w:r>
      <w:r>
        <w:rPr>
          <w:rFonts w:hint="eastAsia" w:ascii="仿宋_GB2312" w:hAnsi="仿宋_GB2312" w:eastAsia="仿宋_GB2312" w:cs="仿宋_GB2312"/>
          <w:color w:val="333333"/>
          <w:sz w:val="32"/>
          <w:szCs w:val="32"/>
          <w:shd w:val="clear" w:color="auto" w:fill="FFFFFF"/>
        </w:rPr>
        <w:t>领导工会、共青团、妇联、科协等群团组织，协调党政之间的关系。</w:t>
      </w:r>
    </w:p>
    <w:p w14:paraId="5B45FB8F">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ascii="仿宋_GB2312" w:hAnsi="仿宋_GB2312" w:eastAsia="仿宋_GB2312" w:cs="仿宋_GB2312"/>
          <w:color w:val="333333"/>
          <w:sz w:val="32"/>
          <w:szCs w:val="32"/>
          <w:shd w:val="clear" w:color="auto" w:fill="FFFFFF"/>
        </w:rPr>
        <w:t>6.</w:t>
      </w:r>
      <w:r>
        <w:rPr>
          <w:rFonts w:hint="eastAsia" w:ascii="仿宋_GB2312" w:hAnsi="仿宋_GB2312" w:eastAsia="仿宋_GB2312" w:cs="仿宋_GB2312"/>
          <w:color w:val="333333"/>
          <w:sz w:val="32"/>
          <w:szCs w:val="32"/>
          <w:shd w:val="clear" w:color="auto" w:fill="FFFFFF"/>
        </w:rPr>
        <w:t>负责本行政区域的政治思想、宣传、统战、政法、保密、武装、精神文明建设和民主法制建设等工作。</w:t>
      </w:r>
    </w:p>
    <w:p w14:paraId="6DF54ABB">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7.制定并执行本行政区域内经济和社会发展规划、计划。</w:t>
      </w:r>
    </w:p>
    <w:p w14:paraId="43DCB7AE">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8</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负责乡村振兴、新农村建设和推进城乡一体化的组织和实施。</w:t>
      </w:r>
    </w:p>
    <w:p w14:paraId="0382AF3D">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9</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负责辖区经济、文化、教育、科学、卫生健康、民政、社会保障、民族宗教、村镇建设、司法、退役军人、扶贫、信访、安全、统计等行政管理和服务工作。</w:t>
      </w:r>
    </w:p>
    <w:p w14:paraId="608ACB4E">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10</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负责农业产业结构调整和</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三农</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服务工作。</w:t>
      </w:r>
    </w:p>
    <w:p w14:paraId="4DE2CB65">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11</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建立健全社会治理防控体系，开展爱国卫生、环境</w:t>
      </w:r>
      <w:r>
        <w:rPr>
          <w:rFonts w:ascii="仿宋_GB2312" w:hAnsi="仿宋_GB2312" w:eastAsia="仿宋_GB2312" w:cs="仿宋_GB2312"/>
          <w:color w:val="333333"/>
          <w:sz w:val="32"/>
          <w:szCs w:val="32"/>
          <w:shd w:val="clear" w:color="auto" w:fill="FFFFFF"/>
        </w:rPr>
        <w:t>卫生监督检查，承担环境、资源保护等工作，促进人与自然和谐发展。</w:t>
      </w:r>
    </w:p>
    <w:p w14:paraId="35FB82BC">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12</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负责应急管理、安全生产、抢险救灾等工作，保护人民群众生命财产安全。</w:t>
      </w:r>
    </w:p>
    <w:p w14:paraId="0801F89E">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13</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完成上级党委、政府交办的其他工作。</w:t>
      </w:r>
    </w:p>
    <w:p w14:paraId="5398159C">
      <w:pPr>
        <w:widowControl/>
        <w:numPr>
          <w:ilvl w:val="0"/>
          <w:numId w:val="7"/>
        </w:numPr>
        <w:adjustRightInd w:val="0"/>
        <w:snapToGrid w:val="0"/>
        <w:spacing w:line="560" w:lineRule="exact"/>
        <w:ind w:firstLine="640" w:firstLineChars="200"/>
        <w:jc w:val="left"/>
        <w:rPr>
          <w:rFonts w:ascii="仿宋_GB2312" w:hAnsi="宋体" w:eastAsia="仿宋_GB2312" w:cs="仿宋_GB2312"/>
          <w:color w:val="000000"/>
          <w:kern w:val="0"/>
          <w:sz w:val="32"/>
          <w:szCs w:val="32"/>
          <w:shd w:val="clear" w:color="auto" w:fill="FFFFFF"/>
          <w:lang w:val="zh-CN"/>
        </w:rPr>
      </w:pPr>
      <w:r>
        <w:rPr>
          <w:rFonts w:hint="eastAsia" w:ascii="仿宋_GB2312" w:hAnsi="宋体" w:eastAsia="仿宋_GB2312" w:cs="仿宋_GB2312"/>
          <w:color w:val="000000"/>
          <w:kern w:val="0"/>
          <w:sz w:val="32"/>
          <w:szCs w:val="32"/>
          <w:shd w:val="clear" w:color="auto" w:fill="FFFFFF"/>
          <w:lang w:val="zh-CN"/>
        </w:rPr>
        <w:t>人员概况</w:t>
      </w:r>
    </w:p>
    <w:p w14:paraId="629ED0D3">
      <w:pPr>
        <w:widowControl/>
        <w:adjustRightInd w:val="0"/>
        <w:snapToGrid w:val="0"/>
        <w:spacing w:line="560" w:lineRule="exact"/>
        <w:ind w:firstLine="640" w:firstLineChars="200"/>
        <w:jc w:val="left"/>
        <w:rPr>
          <w:rFonts w:ascii="仿宋_GB2312" w:hAnsi="宋体" w:eastAsia="仿宋_GB2312" w:cs="仿宋_GB2312"/>
          <w:color w:val="000000"/>
          <w:kern w:val="0"/>
          <w:sz w:val="32"/>
          <w:szCs w:val="32"/>
          <w:shd w:val="clear" w:color="auto" w:fill="FFFFFF"/>
          <w:lang w:val="zh-CN"/>
        </w:rPr>
      </w:pPr>
      <w:r>
        <w:rPr>
          <w:rFonts w:hint="eastAsia" w:ascii="仿宋_GB2312" w:hAnsi="仿宋_GB2312" w:eastAsia="仿宋_GB2312" w:cs="仿宋_GB2312"/>
          <w:color w:val="333333"/>
          <w:sz w:val="32"/>
          <w:szCs w:val="32"/>
          <w:shd w:val="clear" w:color="auto" w:fill="FFFFFF"/>
        </w:rPr>
        <w:t>永兴镇人民政府现有编制数</w:t>
      </w:r>
      <w:r>
        <w:rPr>
          <w:rFonts w:hint="eastAsia" w:eastAsia="楷体_GB2312"/>
          <w:sz w:val="32"/>
          <w:szCs w:val="32"/>
        </w:rPr>
        <w:t>51</w:t>
      </w:r>
      <w:r>
        <w:rPr>
          <w:rFonts w:hint="eastAsia" w:ascii="仿宋_GB2312" w:hAnsi="仿宋_GB2312" w:eastAsia="仿宋_GB2312" w:cs="仿宋_GB2312"/>
          <w:color w:val="333333"/>
          <w:sz w:val="32"/>
          <w:szCs w:val="32"/>
          <w:shd w:val="clear" w:color="auto" w:fill="FFFFFF"/>
        </w:rPr>
        <w:t>人，</w:t>
      </w:r>
      <w:r>
        <w:rPr>
          <w:rFonts w:hint="eastAsia" w:ascii="仿宋_GB2312" w:hAnsi="仿宋_GB2312" w:eastAsia="仿宋_GB2312" w:cs="仿宋_GB2312"/>
          <w:color w:val="000000"/>
          <w:sz w:val="32"/>
          <w:szCs w:val="32"/>
          <w:shd w:val="clear" w:color="auto" w:fill="FFFFFF"/>
        </w:rPr>
        <w:t>其中：行政编制27人，</w:t>
      </w:r>
      <w:r>
        <w:rPr>
          <w:rFonts w:hint="eastAsia" w:ascii="仿宋_GB2312" w:hAnsi="仿宋_GB2312" w:eastAsia="仿宋_GB2312" w:cs="仿宋_GB2312"/>
          <w:color w:val="333333"/>
          <w:sz w:val="32"/>
          <w:szCs w:val="32"/>
          <w:shd w:val="clear" w:color="auto" w:fill="FFFFFF"/>
        </w:rPr>
        <w:t>工勤人员4人，事业编制20人，2019年年末在职人员43人，其中行政编制24人，工勤编制2人，事业编制17人。</w:t>
      </w:r>
    </w:p>
    <w:p w14:paraId="5BC0C937">
      <w:pPr>
        <w:pStyle w:val="7"/>
        <w:spacing w:line="560" w:lineRule="exact"/>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二、部门资金基本情况</w:t>
      </w:r>
    </w:p>
    <w:p w14:paraId="187C47D1">
      <w:pPr>
        <w:pStyle w:val="7"/>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（一）年初部门预算安排及支出情况</w:t>
      </w:r>
    </w:p>
    <w:p w14:paraId="2B3A1871">
      <w:pPr>
        <w:pStyle w:val="7"/>
        <w:spacing w:line="560" w:lineRule="exact"/>
        <w:ind w:firstLine="640" w:firstLineChars="200"/>
        <w:rPr>
          <w:rFonts w:ascii="仿宋_GB2312" w:hAnsi="仿宋_GB2312" w:eastAsia="仿宋_GB2312" w:cs="仿宋_GB2312"/>
          <w:color w:val="000000"/>
          <w:kern w:val="2"/>
          <w:sz w:val="32"/>
          <w:szCs w:val="32"/>
          <w:shd w:val="clear" w:color="auto" w:fill="FFFFFF"/>
        </w:rPr>
      </w:pPr>
      <w:r>
        <w:rPr>
          <w:rFonts w:hint="eastAsia" w:ascii="仿宋_GB2312" w:hAnsi="仿宋_GB2312" w:eastAsia="仿宋_GB2312" w:cs="仿宋_GB2312"/>
          <w:color w:val="000000"/>
          <w:kern w:val="2"/>
          <w:sz w:val="32"/>
          <w:szCs w:val="32"/>
          <w:shd w:val="clear" w:color="auto" w:fill="FFFFFF"/>
        </w:rPr>
        <w:t>2019年部门预算收入安排资金1824.83万元，较上年增加204.3万元，增长12.6%，增长原因人员经费增加，项目资金增加；支出1825.34万元，较上年增加212.67万元，增长13.2%，增长原因人员经费支出增加，项目增多。</w:t>
      </w:r>
    </w:p>
    <w:p w14:paraId="2FD15536">
      <w:pPr>
        <w:pStyle w:val="7"/>
        <w:numPr>
          <w:ilvl w:val="0"/>
          <w:numId w:val="8"/>
        </w:num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基本支出安排及使用情况</w:t>
      </w:r>
    </w:p>
    <w:p w14:paraId="768766FC">
      <w:pPr>
        <w:pStyle w:val="7"/>
        <w:widowControl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基本支出1001.78万元，主要用于基本工资、津贴补贴、办公费、差旅费、水电邮电费、车辆运行维护费等日常公用经费。其中：一般公共服务支出576.77万元，文化旅游体育与传媒支出36.58万元，社会保障和就业支出120.84万元，卫生健康支出45.34万元，农林水支出156.2万元，住房保障支出63.05万元。</w:t>
      </w:r>
    </w:p>
    <w:p w14:paraId="778401CE">
      <w:pPr>
        <w:pStyle w:val="7"/>
        <w:numPr>
          <w:ilvl w:val="0"/>
          <w:numId w:val="9"/>
        </w:num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部门预算项目安排及支出情况</w:t>
      </w:r>
    </w:p>
    <w:p w14:paraId="4AF7153B">
      <w:pPr>
        <w:pStyle w:val="7"/>
        <w:widowControl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项目支出823.56万元，主要用于一般公共服务支出56.28万元，社会保障和就业支出231.95万元，卫生健康支出23.37万元，节能环保支出20万元，城乡社区支出30.99万元，农林水支出456.79万元，自然资源海洋气象等支出0.59万元，灾害防治及应急管理支出3.59万元。</w:t>
      </w:r>
    </w:p>
    <w:p w14:paraId="50904651">
      <w:pPr>
        <w:pStyle w:val="7"/>
        <w:numPr>
          <w:ilvl w:val="0"/>
          <w:numId w:val="10"/>
        </w:num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专项资金安排及支出情况</w:t>
      </w:r>
    </w:p>
    <w:p w14:paraId="24580448">
      <w:pPr>
        <w:pStyle w:val="7"/>
        <w:widowControl w:val="0"/>
        <w:spacing w:line="560"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专项资金支出823.56万元，按项目分类：人大代表会议费1.67万元；“人大代表”之家建设经费1.1万元；山水文化旅游节工作经费16.72万元；政府订阅报刊杂志、印刷广告、办公耗材、电费、四害扑杀资金及水电维修欠款1.45万元；乡村治理补助0.99万元；政府维稳接待上访人员经费1.24万元；第三次全国农业普查专项经费0.12万元；乡镇财政管理系统及金财网维护费0.6万元；粮食直补和农业保险工作经费0.27万元；四川省三州开发项目补助资金用于永兴镇三虎村社道路硬化项目30万元；政府武装工作经费2.09万元；社区工资保险办公费41.9万元；敬老院工资保险办公费59.81万元；五保户生活费丧葬费130.23万元；计划生育服务员补助经费21.44万元；卫生计生工作经费1.93万元；面源整治、垃圾清运、漂浮物打捞及</w:t>
      </w:r>
      <w:r>
        <w:rPr>
          <w:rFonts w:hint="eastAsia" w:ascii="Times New Roman" w:hAnsi="Times New Roman" w:eastAsia="楷体_GB2312" w:cs="Times New Roman"/>
          <w:sz w:val="32"/>
          <w:szCs w:val="32"/>
          <w:lang w:eastAsia="zh-CN"/>
        </w:rPr>
        <w:t>环保督察</w:t>
      </w:r>
      <w:r>
        <w:rPr>
          <w:rFonts w:hint="eastAsia" w:ascii="Times New Roman" w:hAnsi="Times New Roman" w:eastAsia="楷体_GB2312" w:cs="Times New Roman"/>
          <w:sz w:val="32"/>
          <w:szCs w:val="32"/>
        </w:rPr>
        <w:t>回头看整治专项经费20万元；城乡环境综合治理经费15.83万元；土地出让金扩建征地经费15.15万元；村社社道基础设施建设经费17.1万元；防汛抢险抗旱经费14.96万元；2018年四季度非农安置移民困难补助13.47万元；基层组织活动和公共服务运行经费91万元，村社工资办公费320.26万元；第三次全国国土调查经费0.59万元；乡镇安全生产监管专项资金3.59万元。</w:t>
      </w:r>
    </w:p>
    <w:p w14:paraId="19EA2052">
      <w:pPr>
        <w:pStyle w:val="7"/>
        <w:spacing w:line="560" w:lineRule="exact"/>
        <w:ind w:firstLine="640" w:firstLineChars="200"/>
        <w:rPr>
          <w:rFonts w:ascii="Times New Roman" w:hAnsi="Times New Roman" w:eastAsia="楷体" w:cs="Times New Roman"/>
          <w:sz w:val="32"/>
          <w:szCs w:val="32"/>
        </w:rPr>
      </w:pPr>
      <w:r>
        <w:rPr>
          <w:rFonts w:ascii="Times New Roman" w:hAnsi="Times New Roman" w:eastAsia="黑体" w:cs="Times New Roman"/>
          <w:sz w:val="32"/>
          <w:szCs w:val="32"/>
        </w:rPr>
        <w:t>三、绩效目标完成情况分析</w:t>
      </w:r>
    </w:p>
    <w:p w14:paraId="468900B0">
      <w:pPr>
        <w:pStyle w:val="7"/>
        <w:widowControl w:val="0"/>
        <w:spacing w:line="560" w:lineRule="exact"/>
        <w:ind w:firstLine="640" w:firstLineChars="200"/>
        <w:rPr>
          <w:rFonts w:ascii="仿宋" w:hAnsi="仿宋" w:eastAsia="仿宋" w:cs="仿宋"/>
          <w:bCs/>
          <w:kern w:val="2"/>
          <w:sz w:val="32"/>
          <w:szCs w:val="32"/>
        </w:rPr>
      </w:pPr>
      <w:r>
        <w:rPr>
          <w:rFonts w:hint="eastAsia" w:ascii="仿宋" w:hAnsi="仿宋" w:eastAsia="仿宋" w:cs="仿宋"/>
          <w:bCs/>
          <w:kern w:val="2"/>
          <w:sz w:val="32"/>
          <w:szCs w:val="32"/>
        </w:rPr>
        <w:t xml:space="preserve"> 我镇按照财政预算编制规定和要求，结合单位年度工作计划采取人员经费按照县委组织部审核过的工资进行编制，公用经费按定额编制的方法按时完成人员经费、日常公用经费编制工作，切实做到数据完整和准确无误。对项目资金的预算，提出具体的项目、目标和实施计划，精准编制项目支出绩效申报表，提供准确的项目支撑依据，切实做到项目资金编制的合理化、人性化，并在规定的时限内完整、准确的报送到县级财政部门。预算资金保障了人员经费支出和单位正常运转需要，保证了单位全年工作任务的完成。</w:t>
      </w:r>
    </w:p>
    <w:p w14:paraId="1DC987F4">
      <w:pPr>
        <w:pStyle w:val="7"/>
        <w:widowControl w:val="0"/>
        <w:spacing w:line="560" w:lineRule="exact"/>
        <w:ind w:firstLine="640" w:firstLineChars="200"/>
        <w:rPr>
          <w:rFonts w:ascii="仿宋" w:hAnsi="仿宋" w:eastAsia="仿宋" w:cs="仿宋"/>
          <w:bCs/>
          <w:kern w:val="2"/>
          <w:sz w:val="32"/>
          <w:szCs w:val="32"/>
        </w:rPr>
      </w:pPr>
      <w:r>
        <w:rPr>
          <w:rFonts w:hint="eastAsia" w:ascii="仿宋" w:hAnsi="仿宋" w:eastAsia="仿宋" w:cs="仿宋"/>
          <w:bCs/>
          <w:kern w:val="2"/>
          <w:sz w:val="32"/>
          <w:szCs w:val="32"/>
        </w:rPr>
        <w:t>在资金的支出执行上严格按照预算执行，坚持“反对浪费、节约开支”的原则，专款专用，不拖欠、不挪用。在收到财政对口股室下达的各类指标后，按照资金的用途，在把好审核关的基础上，按时按量按照资金预算进度及时拨付各项款项。人员经费、日常公用是按要求和规定给予支付，保障机关正常运转，完成日常工作任务，有效推动全县经济、社会发展。特别是在“三公”经费方面加强管理，不该报销的一律不给报销，严格把支出控制在年初的预算指标内，严格按照中央八项规定、省、市“十项规定”和财务相关规定执行财政资金的管理和使用。项目资金分配严格按照实际工作需要，依据项目进度和开展情况、合理安全、资金严格按照规范程序申请、管理和使用。通过项目实施充分保障了工作需求，切实发挥工作职能，维护全镇经济、社会发展。</w:t>
      </w:r>
    </w:p>
    <w:p w14:paraId="5C5F0696">
      <w:pPr>
        <w:pStyle w:val="7"/>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（一）</w:t>
      </w:r>
      <w:r>
        <w:rPr>
          <w:rFonts w:hint="eastAsia" w:ascii="Times New Roman" w:hAnsi="Times New Roman" w:eastAsia="楷体_GB2312" w:cs="Times New Roman"/>
          <w:sz w:val="32"/>
          <w:szCs w:val="32"/>
        </w:rPr>
        <w:t>县</w:t>
      </w:r>
      <w:r>
        <w:rPr>
          <w:rFonts w:ascii="Times New Roman" w:hAnsi="Times New Roman" w:eastAsia="楷体_GB2312" w:cs="Times New Roman"/>
          <w:sz w:val="32"/>
          <w:szCs w:val="32"/>
        </w:rPr>
        <w:t>级财政资金绩效目标完成情况</w:t>
      </w:r>
    </w:p>
    <w:p w14:paraId="0B46A555">
      <w:pPr>
        <w:pStyle w:val="7"/>
        <w:spacing w:line="560" w:lineRule="exact"/>
        <w:ind w:firstLine="640" w:firstLineChars="200"/>
        <w:rPr>
          <w:rFonts w:ascii="Times New Roman" w:hAnsi="Times New Roman" w:eastAsia="楷体" w:cs="Times New Roman"/>
          <w:sz w:val="32"/>
          <w:szCs w:val="32"/>
        </w:rPr>
      </w:pPr>
      <w:r>
        <w:rPr>
          <w:rFonts w:ascii="Times New Roman" w:hAnsi="Times New Roman" w:eastAsia="仿宋_GB2312" w:cs="Times New Roman"/>
          <w:sz w:val="32"/>
          <w:szCs w:val="32"/>
        </w:rPr>
        <w:t>1.年初部门预算绩效目标完成情况</w:t>
      </w:r>
    </w:p>
    <w:p w14:paraId="220440D3">
      <w:pPr>
        <w:pStyle w:val="7"/>
        <w:spacing w:line="560" w:lineRule="exact"/>
        <w:ind w:firstLine="640" w:firstLineChars="200"/>
        <w:rPr>
          <w:rFonts w:ascii="仿宋" w:hAnsi="仿宋" w:eastAsia="仿宋" w:cs="仿宋"/>
          <w:color w:val="000000"/>
          <w:sz w:val="32"/>
          <w:szCs w:val="32"/>
        </w:rPr>
      </w:pPr>
      <w:r>
        <w:rPr>
          <w:rFonts w:ascii="Times New Roman" w:hAnsi="Times New Roman" w:eastAsia="仿宋_GB2312" w:cs="Times New Roman"/>
          <w:sz w:val="32"/>
          <w:szCs w:val="32"/>
        </w:rPr>
        <w:t>（1）产出指标完成情况分析。</w:t>
      </w:r>
      <w:r>
        <w:rPr>
          <w:rFonts w:hint="eastAsia" w:ascii="仿宋" w:hAnsi="仿宋" w:eastAsia="仿宋" w:cs="仿宋"/>
          <w:bCs/>
          <w:kern w:val="2"/>
          <w:sz w:val="32"/>
          <w:szCs w:val="32"/>
        </w:rPr>
        <w:t>我镇严格遵守各项财经纪律，加强单位财务管理，制定了相关规章制度，加强和细化了预算编制，严格按照预算执行，确保财务收支平衡。按照全年进度保证机关正常工作需要的人员经费和公用经费，保障机关正常运转，完成日常工作任务，有效推动工作的顺利开展。</w:t>
      </w:r>
    </w:p>
    <w:p w14:paraId="4C250C8E">
      <w:pPr>
        <w:spacing w:line="560" w:lineRule="exact"/>
        <w:ind w:firstLine="640" w:firstLineChars="200"/>
        <w:jc w:val="left"/>
        <w:rPr>
          <w:rFonts w:ascii="仿宋" w:hAnsi="仿宋" w:eastAsia="仿宋" w:cs="仿宋"/>
          <w:bCs/>
          <w:color w:val="000000"/>
          <w:sz w:val="32"/>
          <w:szCs w:val="32"/>
        </w:rPr>
      </w:pPr>
      <w:r>
        <w:rPr>
          <w:rFonts w:eastAsia="仿宋_GB2312"/>
          <w:color w:val="000000"/>
          <w:sz w:val="32"/>
          <w:szCs w:val="32"/>
        </w:rPr>
        <w:t>（2）效益指标完成情况分析。</w:t>
      </w:r>
      <w:r>
        <w:rPr>
          <w:rFonts w:hint="eastAsia" w:eastAsia="仿宋_GB2312"/>
          <w:color w:val="000000"/>
          <w:sz w:val="32"/>
          <w:szCs w:val="32"/>
        </w:rPr>
        <w:t>我镇主要安排用于一般公共服务支出、社会保障和就业支出、卫生健康支出、节能环保支出、城乡社区支出、农林水支出、自然资源海洋气象等支出、灾害防治及应急管理支出等。</w:t>
      </w:r>
    </w:p>
    <w:p w14:paraId="26EB88D4">
      <w:pPr>
        <w:pStyle w:val="7"/>
        <w:widowControl w:val="0"/>
        <w:spacing w:line="560" w:lineRule="exact"/>
        <w:ind w:firstLine="640" w:firstLineChars="200"/>
        <w:rPr>
          <w:rFonts w:ascii="Times New Roman" w:hAnsi="Times New Roman" w:eastAsia="楷体" w:cs="Times New Roman"/>
          <w:color w:val="000000"/>
          <w:sz w:val="32"/>
          <w:szCs w:val="32"/>
        </w:rPr>
      </w:pPr>
      <w:r>
        <w:rPr>
          <w:rFonts w:ascii="Times New Roman" w:hAnsi="Times New Roman" w:eastAsia="仿宋_GB2312" w:cs="Times New Roman"/>
          <w:color w:val="000000"/>
          <w:sz w:val="32"/>
          <w:szCs w:val="32"/>
        </w:rPr>
        <w:t>（3）满意度指标完成情况分析。</w:t>
      </w:r>
      <w:r>
        <w:rPr>
          <w:rFonts w:hint="eastAsia" w:ascii="Times New Roman" w:hAnsi="Times New Roman" w:eastAsia="仿宋_GB2312" w:cs="Times New Roman"/>
          <w:color w:val="000000"/>
          <w:sz w:val="32"/>
          <w:szCs w:val="32"/>
        </w:rPr>
        <w:t>通过财政绩效目标管理，基本达到满意。</w:t>
      </w:r>
    </w:p>
    <w:p w14:paraId="7E898404">
      <w:pPr>
        <w:pStyle w:val="7"/>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2.专项（项目）资金绩效目标完成情况</w:t>
      </w:r>
    </w:p>
    <w:p w14:paraId="2A0526CE">
      <w:pPr>
        <w:spacing w:line="560" w:lineRule="exact"/>
        <w:ind w:firstLine="640" w:firstLineChars="200"/>
        <w:jc w:val="left"/>
        <w:rPr>
          <w:rFonts w:ascii="仿宋" w:hAnsi="仿宋" w:eastAsia="仿宋" w:cs="仿宋"/>
          <w:bCs/>
          <w:sz w:val="32"/>
          <w:szCs w:val="32"/>
        </w:rPr>
      </w:pPr>
      <w:r>
        <w:rPr>
          <w:rFonts w:eastAsia="仿宋_GB2312"/>
          <w:sz w:val="32"/>
          <w:szCs w:val="32"/>
        </w:rPr>
        <w:t>（1）产出指标完成情况分析。</w:t>
      </w:r>
      <w:r>
        <w:rPr>
          <w:rFonts w:hint="eastAsia" w:ascii="仿宋" w:hAnsi="仿宋" w:eastAsia="仿宋" w:cs="仿宋"/>
          <w:bCs/>
          <w:sz w:val="32"/>
          <w:szCs w:val="32"/>
        </w:rPr>
        <w:t>对项目资金的预算，提出具体的项目、目标和实施计划，精准编制项目支出绩效申报表，提供准确的项目支撑依据，切实做到项目资金编制的合理化、人性化，并在规定的时限内完整、准确的报送到县级财政部门。</w:t>
      </w:r>
    </w:p>
    <w:p w14:paraId="51E11D07">
      <w:pPr>
        <w:spacing w:line="560" w:lineRule="exact"/>
        <w:ind w:firstLine="640" w:firstLineChars="200"/>
        <w:jc w:val="left"/>
        <w:rPr>
          <w:rFonts w:ascii="仿宋" w:hAnsi="仿宋" w:eastAsia="仿宋" w:cs="仿宋"/>
          <w:bCs/>
          <w:sz w:val="32"/>
          <w:szCs w:val="32"/>
        </w:rPr>
      </w:pPr>
      <w:r>
        <w:rPr>
          <w:rFonts w:hint="eastAsia" w:ascii="仿宋" w:hAnsi="仿宋" w:eastAsia="仿宋" w:cs="仿宋"/>
          <w:bCs/>
          <w:sz w:val="32"/>
          <w:szCs w:val="32"/>
        </w:rPr>
        <w:t xml:space="preserve">    在项目资金的支出执行上严格按照预算执行，坚持“反对浪费、节约开支”的原则，专款专用，不拖欠、不挪用。在收到财政对口股室下达的各类指标后，按照资金的用途，在把好审核关的基础上，按时按量按照资金预算进度及时拨付各项款项。项目资金分配严格按照实际工作需要，依据项目进度和开展情况、合理安全、资金严格按照规范程序申请、管理和使用。</w:t>
      </w:r>
    </w:p>
    <w:p w14:paraId="5B2A7085">
      <w:pPr>
        <w:pStyle w:val="7"/>
        <w:widowControl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效益指标完成情况分析。</w:t>
      </w:r>
      <w:r>
        <w:rPr>
          <w:rFonts w:hint="eastAsia" w:ascii="Times New Roman" w:hAnsi="Times New Roman" w:eastAsia="仿宋_GB2312" w:cs="Times New Roman"/>
          <w:sz w:val="32"/>
          <w:szCs w:val="32"/>
        </w:rPr>
        <w:t>我镇项目资金主要安排用于一般公共服务支出、社会保障和就业支出、卫生健康支出、节能环保支出、城乡社区支出、农林水支出、自然资源海洋气象等支出、灾害防治及应急管理支出等。</w:t>
      </w:r>
    </w:p>
    <w:p w14:paraId="45EBD736">
      <w:pPr>
        <w:pStyle w:val="7"/>
        <w:widowControl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（3）满意度指标完成情况分析。</w:t>
      </w:r>
      <w:r>
        <w:rPr>
          <w:rFonts w:hint="eastAsia" w:ascii="Times New Roman" w:hAnsi="Times New Roman" w:eastAsia="仿宋_GB2312" w:cs="Times New Roman"/>
          <w:sz w:val="32"/>
          <w:szCs w:val="32"/>
        </w:rPr>
        <w:t>通过财政绩效目标管理，基本达到满意。</w:t>
      </w:r>
    </w:p>
    <w:p w14:paraId="2A64F324">
      <w:pPr>
        <w:pStyle w:val="7"/>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（二）上级专项（项目）资金绩效目标完成情况</w:t>
      </w:r>
    </w:p>
    <w:p w14:paraId="3FDCA04A">
      <w:pPr>
        <w:pStyle w:val="7"/>
        <w:widowControl w:val="0"/>
        <w:spacing w:line="560" w:lineRule="exact"/>
        <w:ind w:firstLine="640" w:firstLineChars="200"/>
        <w:rPr>
          <w:rFonts w:ascii="Times New Roman" w:hAnsi="Times New Roman" w:eastAsia="楷体_GB2312" w:cs="Times New Roman"/>
          <w:sz w:val="32"/>
          <w:szCs w:val="32"/>
        </w:rPr>
      </w:pPr>
      <w:r>
        <w:rPr>
          <w:rFonts w:ascii="Times New Roman" w:hAnsi="Times New Roman" w:eastAsia="仿宋_GB2312" w:cs="Times New Roman"/>
          <w:sz w:val="32"/>
          <w:szCs w:val="32"/>
        </w:rPr>
        <w:t>（1）产出指标完成情况分析。</w:t>
      </w:r>
      <w:r>
        <w:rPr>
          <w:rFonts w:hint="eastAsia" w:ascii="Times New Roman" w:hAnsi="Times New Roman" w:eastAsia="楷体_GB2312" w:cs="Times New Roman"/>
          <w:sz w:val="32"/>
          <w:szCs w:val="32"/>
        </w:rPr>
        <w:t>人大代表会议费1.67万元；“人大代表”之家建设经费1.1万元；山水文化旅游节工作经费16.72万元；政府订阅报刊杂志、印刷广告、办公耗材、电费、四害扑杀资金及水电维修欠款1.45万元；乡村治理补助0.99万元；政府维稳接待上访人员经费1.24万元；第三次全国农业普查专项经费0.12万元；乡镇财政管理系统及金财网维护费0.6万元；粮食直补和农业保险工作经费0.27万元；四川省三州开发项目补助资金用于永兴镇三虎村社道路硬化项目30万元；政府武装工作经费2.09万元；社区工资保险办公费41.9万元；敬老院工资保险办公费59.81万元；五保户生活费丧葬费130.23万元；计划生育服务员补助经费21.44万元；卫生计生工作经费1.93万元；面源整治、垃圾清运、漂浮物打捞及</w:t>
      </w:r>
      <w:r>
        <w:rPr>
          <w:rFonts w:hint="eastAsia" w:ascii="Times New Roman" w:hAnsi="Times New Roman" w:eastAsia="楷体_GB2312" w:cs="Times New Roman"/>
          <w:sz w:val="32"/>
          <w:szCs w:val="32"/>
          <w:lang w:eastAsia="zh-CN"/>
        </w:rPr>
        <w:t>环保督察</w:t>
      </w:r>
      <w:r>
        <w:rPr>
          <w:rFonts w:hint="eastAsia" w:ascii="Times New Roman" w:hAnsi="Times New Roman" w:eastAsia="楷体_GB2312" w:cs="Times New Roman"/>
          <w:sz w:val="32"/>
          <w:szCs w:val="32"/>
        </w:rPr>
        <w:t>回头看整治专项经费20万元；城乡环境综合治理经费15.83万元；土地出让金扩建征地经费15.15万元；村社社道基础设施建设经费17.1万元；防汛抢险抗旱经费14.96万元；2018年四季度非农安置移民困难补助13.47万元；基层组织活动和公共服务运行经费91万元，村社工资办公费320.26万元；第三次全国国土调查经费0.59万元；乡镇安全生产监管专项资金3.59万元。</w:t>
      </w:r>
    </w:p>
    <w:p w14:paraId="47FD549D">
      <w:pPr>
        <w:pStyle w:val="7"/>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（2）效益指标完成情况分析。</w:t>
      </w:r>
      <w:r>
        <w:rPr>
          <w:rFonts w:hint="eastAsia" w:ascii="Times New Roman" w:hAnsi="Times New Roman" w:eastAsia="仿宋_GB2312" w:cs="Times New Roman"/>
          <w:sz w:val="32"/>
          <w:szCs w:val="32"/>
        </w:rPr>
        <w:t>我镇项目资金主要安排用于一般公共服务支出、社会保障和就业支出、卫生健康支出、节能环保支出、城乡社区支出、农林水支出、自然资源海洋气象等支出、灾害防治及应急管理支出等。</w:t>
      </w:r>
    </w:p>
    <w:p w14:paraId="2D3427C4">
      <w:pPr>
        <w:pStyle w:val="7"/>
        <w:widowControl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（3）满意度指标完成情况分析。</w:t>
      </w:r>
      <w:r>
        <w:rPr>
          <w:rFonts w:hint="eastAsia" w:ascii="Times New Roman" w:hAnsi="Times New Roman" w:eastAsia="仿宋_GB2312" w:cs="Times New Roman"/>
          <w:sz w:val="32"/>
          <w:szCs w:val="32"/>
        </w:rPr>
        <w:t>通过财政绩效目标管理，基本达到满意。</w:t>
      </w:r>
    </w:p>
    <w:p w14:paraId="227BA689">
      <w:pPr>
        <w:pStyle w:val="7"/>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（三）其他需要说明的情况</w:t>
      </w:r>
      <w:r>
        <w:rPr>
          <w:rFonts w:hint="eastAsia" w:ascii="Times New Roman" w:hAnsi="Times New Roman" w:eastAsia="楷体_GB2312" w:cs="Times New Roman"/>
          <w:sz w:val="32"/>
          <w:szCs w:val="32"/>
        </w:rPr>
        <w:t>。</w:t>
      </w:r>
    </w:p>
    <w:p w14:paraId="0202DA5B">
      <w:pPr>
        <w:pStyle w:val="7"/>
        <w:spacing w:line="560" w:lineRule="exact"/>
        <w:ind w:firstLine="640" w:firstLineChars="2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无</w:t>
      </w:r>
    </w:p>
    <w:p w14:paraId="76911282">
      <w:pPr>
        <w:pStyle w:val="7"/>
        <w:numPr>
          <w:ilvl w:val="0"/>
          <w:numId w:val="11"/>
        </w:numPr>
        <w:spacing w:line="560" w:lineRule="exact"/>
        <w:ind w:firstLine="640" w:firstLineChars="200"/>
        <w:rPr>
          <w:rFonts w:ascii="Times New Roman" w:hAnsi="Times New Roman" w:eastAsia="楷体_GB2312" w:cs="Times New Roman"/>
          <w:sz w:val="32"/>
          <w:szCs w:val="32"/>
        </w:rPr>
      </w:pPr>
      <w:r>
        <w:rPr>
          <w:rFonts w:ascii="Times New Roman" w:hAnsi="Times New Roman" w:eastAsia="楷体_GB2312" w:cs="Times New Roman"/>
          <w:sz w:val="32"/>
          <w:szCs w:val="32"/>
        </w:rPr>
        <w:t>自评结论</w:t>
      </w:r>
    </w:p>
    <w:p w14:paraId="7131540C">
      <w:pPr>
        <w:pStyle w:val="7"/>
        <w:spacing w:line="560" w:lineRule="exact"/>
        <w:ind w:firstLine="640" w:firstLineChars="200"/>
        <w:rPr>
          <w:rFonts w:ascii="Times New Roman" w:hAnsi="Times New Roman" w:eastAsia="楷体_GB2312" w:cs="Times New Roman"/>
          <w:sz w:val="32"/>
          <w:szCs w:val="32"/>
        </w:rPr>
      </w:pPr>
      <w:r>
        <w:rPr>
          <w:rFonts w:hint="eastAsia" w:ascii="仿宋" w:hAnsi="仿宋" w:eastAsia="仿宋" w:cs="仿宋"/>
          <w:bCs/>
          <w:kern w:val="2"/>
          <w:sz w:val="32"/>
          <w:szCs w:val="32"/>
        </w:rPr>
        <w:t>我镇严格按照《预算法》按时完成预决算编制。在资金预算编制方面，预算执行、综合管理、整体绩效方面，均按照国家政策规范规定，结合本单位实际情况及相关规定严格执行，并合理安排项目资金，使财政资金发挥最大的效益，确保我局各项工作高效规范有序推进，圆满完成年初下达的各项工作任务，有效推动工作开展，扎实为全县社会稳定、秩序良好更好地服务好。</w:t>
      </w:r>
    </w:p>
    <w:p w14:paraId="4ADCF5D6">
      <w:pPr>
        <w:pStyle w:val="7"/>
        <w:numPr>
          <w:ilvl w:val="0"/>
          <w:numId w:val="12"/>
        </w:num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偏离绩效目标的原因和下一步改进措施</w:t>
      </w:r>
    </w:p>
    <w:p w14:paraId="79ADB62C">
      <w:pPr>
        <w:pStyle w:val="7"/>
        <w:spacing w:line="560" w:lineRule="exact"/>
        <w:ind w:firstLine="640" w:firstLineChars="200"/>
        <w:rPr>
          <w:rFonts w:ascii="仿宋" w:hAnsi="仿宋" w:eastAsia="仿宋" w:cs="仿宋"/>
          <w:bCs/>
          <w:kern w:val="2"/>
          <w:sz w:val="32"/>
          <w:szCs w:val="32"/>
        </w:rPr>
      </w:pPr>
      <w:r>
        <w:rPr>
          <w:rFonts w:hint="eastAsia" w:ascii="仿宋" w:hAnsi="仿宋" w:eastAsia="仿宋" w:cs="仿宋"/>
          <w:bCs/>
          <w:kern w:val="2"/>
          <w:sz w:val="32"/>
          <w:szCs w:val="32"/>
        </w:rPr>
        <w:t xml:space="preserve">   （一）预算编制和预算管理还需进一步细化和加强，严禁超预算和无预算安排支出，严格开支范围和标准，严格审核各项经费的支出，提高资金使用效率。</w:t>
      </w:r>
    </w:p>
    <w:p w14:paraId="05B95400">
      <w:pPr>
        <w:pStyle w:val="7"/>
        <w:spacing w:line="560" w:lineRule="exact"/>
        <w:ind w:firstLine="640" w:firstLineChars="200"/>
        <w:rPr>
          <w:rFonts w:ascii="Times New Roman" w:hAnsi="Times New Roman" w:eastAsia="黑体" w:cs="Times New Roman"/>
          <w:sz w:val="32"/>
          <w:szCs w:val="32"/>
        </w:rPr>
      </w:pPr>
      <w:r>
        <w:rPr>
          <w:rFonts w:hint="eastAsia" w:ascii="仿宋" w:hAnsi="仿宋" w:eastAsia="仿宋" w:cs="仿宋"/>
          <w:bCs/>
          <w:kern w:val="2"/>
          <w:sz w:val="32"/>
          <w:szCs w:val="32"/>
        </w:rPr>
        <w:t xml:space="preserve">   （二）严格控制“三公”经费，认真贯彻落实中央八项规定和省、市十项规定，严格“三公”经费支出的审核和审批，合理压缩“三公”经费支出。合理、节俭、高效地利用资金，保证机关各项工作顺利有序开展。</w:t>
      </w:r>
    </w:p>
    <w:p w14:paraId="7578B00D">
      <w:pPr>
        <w:numPr>
          <w:ilvl w:val="0"/>
          <w:numId w:val="13"/>
        </w:numPr>
        <w:spacing w:line="560" w:lineRule="exact"/>
        <w:ind w:firstLine="640" w:firstLineChars="200"/>
        <w:rPr>
          <w:rFonts w:ascii="仿宋" w:hAnsi="仿宋" w:eastAsia="仿宋" w:cs="仿宋"/>
          <w:color w:val="000000"/>
          <w:kern w:val="0"/>
          <w:sz w:val="32"/>
          <w:szCs w:val="32"/>
        </w:rPr>
      </w:pPr>
      <w:r>
        <w:rPr>
          <w:rFonts w:eastAsia="黑体"/>
          <w:sz w:val="32"/>
          <w:szCs w:val="32"/>
        </w:rPr>
        <w:t>绩效自评结果拟应用和公开公示情况</w:t>
      </w:r>
      <w:r>
        <w:rPr>
          <w:rFonts w:hint="eastAsia" w:ascii="仿宋" w:hAnsi="仿宋" w:eastAsia="仿宋" w:cs="仿宋"/>
          <w:color w:val="000000"/>
          <w:kern w:val="0"/>
          <w:sz w:val="32"/>
          <w:szCs w:val="32"/>
        </w:rPr>
        <w:t xml:space="preserve">   </w:t>
      </w:r>
    </w:p>
    <w:p w14:paraId="2D99C3A9">
      <w:pPr>
        <w:spacing w:line="56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（一）绩效自评结果拟应用</w:t>
      </w:r>
    </w:p>
    <w:p w14:paraId="4619138D">
      <w:pPr>
        <w:spacing w:line="56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1.深化绩效评价工作，不断提高部门预算整体绩效目标管理水平。</w:t>
      </w:r>
      <w:r>
        <w:rPr>
          <w:rFonts w:hint="eastAsia" w:ascii="仿宋" w:hAnsi="仿宋" w:eastAsia="仿宋" w:cs="仿宋"/>
          <w:bCs/>
          <w:sz w:val="32"/>
          <w:szCs w:val="32"/>
        </w:rPr>
        <w:t xml:space="preserve">按照《预算法》按时完成预决算编制。在执行过程中有计划进行资金申报、使用，完善资金管理及内部控制制度，确保资金安全，做到账款、账实相符。 </w:t>
      </w:r>
      <w:r>
        <w:rPr>
          <w:rFonts w:hint="eastAsia" w:ascii="仿宋_GB2312" w:eastAsia="仿宋_GB2312"/>
          <w:color w:val="000000"/>
          <w:sz w:val="32"/>
          <w:szCs w:val="32"/>
        </w:rPr>
        <w:t xml:space="preserve">                </w:t>
      </w:r>
    </w:p>
    <w:p w14:paraId="19332E4A">
      <w:pPr>
        <w:spacing w:line="56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2.通过绩效自评建立机关厉行节约制度、节能降耗。</w:t>
      </w:r>
      <w:r>
        <w:rPr>
          <w:rFonts w:hint="eastAsia" w:ascii="仿宋" w:hAnsi="仿宋" w:eastAsia="仿宋" w:cs="仿宋"/>
          <w:bCs/>
          <w:sz w:val="32"/>
          <w:szCs w:val="32"/>
        </w:rPr>
        <w:t>我镇认真执行中央八项规定，秉承开源节流的宗旨，严格管控三公经费支出，厉行节约。扎实抓好机关节能降耗，一是严格用电管理。倡导在自然光照较好的条件下不使用照明灯具，使用照明工具时保证人走灯灭，杜绝“长明灯”等能耗空放现象；尽可能地减少电脑、打印机、复印机等办公设备的待机时间，不用时关闭电源或置于节能状态；天气炎热使用空调时，尽量在人离开前20分钟关闭空调。二是严格用水管理。人走时及时关闭关紧水龙头，杜绝“长流水”和“跑、冒、滴、漏”现象。三是推行无纸化办公。尽量利用网络传输文件，在电脑上修改文稿；打印材料时，提倡双面用纸；公文传阅尽量通过协同办公平台进行。四是加强车辆燃油管理。建立机关车辆燃油使用、行驶里程管理台账，定期公示燃油使用情况。同时，倡导全体干部职工绿色出行。</w:t>
      </w:r>
    </w:p>
    <w:p w14:paraId="40B9233B">
      <w:pPr>
        <w:spacing w:line="56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3.强化单位财务管理工作，提高资金使用效率。</w:t>
      </w:r>
      <w:r>
        <w:rPr>
          <w:rFonts w:hint="eastAsia" w:ascii="仿宋" w:hAnsi="仿宋" w:eastAsia="仿宋" w:cs="仿宋"/>
          <w:color w:val="000000"/>
          <w:kern w:val="0"/>
          <w:sz w:val="32"/>
          <w:szCs w:val="32"/>
        </w:rPr>
        <w:t>按照年初预算项目，在资金的管理和使用上，严守法律底线、纪律底线，严格追授财务管理、财经纪律，会计核算真实完整，项目资金支出和原定用途、预算批复用途相符，提高财政资金使用效率。严格执行机关财务管理制度，及时进行会计核算，对项目资金、政府采购进行公开公示，接受群众监督。</w:t>
      </w:r>
    </w:p>
    <w:p w14:paraId="26BF11AE">
      <w:pPr>
        <w:numPr>
          <w:ilvl w:val="0"/>
          <w:numId w:val="14"/>
        </w:numPr>
        <w:spacing w:line="560" w:lineRule="exact"/>
        <w:ind w:firstLine="643" w:firstLineChars="200"/>
        <w:rPr>
          <w:rFonts w:ascii="仿宋" w:hAnsi="仿宋" w:eastAsia="仿宋" w:cs="仿宋"/>
          <w:b/>
          <w:bCs/>
          <w:color w:val="000000"/>
          <w:kern w:val="0"/>
          <w:sz w:val="32"/>
          <w:szCs w:val="32"/>
        </w:rPr>
      </w:pPr>
      <w:r>
        <w:rPr>
          <w:rFonts w:hint="eastAsia" w:ascii="仿宋" w:hAnsi="仿宋" w:eastAsia="仿宋" w:cs="仿宋"/>
          <w:b/>
          <w:bCs/>
          <w:color w:val="000000"/>
          <w:kern w:val="0"/>
          <w:sz w:val="32"/>
          <w:szCs w:val="32"/>
        </w:rPr>
        <w:t>公开公示情况</w:t>
      </w:r>
    </w:p>
    <w:p w14:paraId="1648348D">
      <w:pPr>
        <w:spacing w:line="560" w:lineRule="exact"/>
        <w:ind w:firstLine="640" w:firstLineChars="200"/>
        <w:jc w:val="left"/>
        <w:rPr>
          <w:rFonts w:ascii="仿宋_GB2312" w:hAnsi="仿宋_GB2312" w:eastAsia="仿宋_GB2312" w:cs="仿宋_GB2312"/>
          <w:sz w:val="32"/>
          <w:szCs w:val="32"/>
        </w:rPr>
      </w:pPr>
      <w:r>
        <w:rPr>
          <w:rFonts w:hint="eastAsia" w:ascii="仿宋" w:hAnsi="仿宋" w:eastAsia="仿宋" w:cs="仿宋"/>
          <w:color w:val="000000"/>
          <w:kern w:val="0"/>
          <w:sz w:val="32"/>
          <w:szCs w:val="32"/>
        </w:rPr>
        <w:t>为深入贯彻落实《中共四川省委四川省人民政府关于全面实施预算绩效管理的实施意见》（川委发【2019】8号）文件精神，进一步深化事后绩效评价工作，不断提高部门预算整体绩效目标管理水平，按盐边财绩【2020】4号《盐边县财政局关于开展2019年度部门预算整体绩效自评工作的通知》要求，于2020年10月将《盐边县永兴镇人民政府2019年部门预算整体绩效自评表》和《盐边县永兴镇人民政府2019年度部门预算情况公开编制说明》在“盐边县公众信息网”财政信息板块下的“财政绩效评价信息专栏”进行公开公示。</w:t>
      </w:r>
    </w:p>
    <w:p w14:paraId="6AD499C0">
      <w:pPr>
        <w:spacing w:line="580" w:lineRule="exact"/>
        <w:rPr>
          <w:rFonts w:ascii="黑体" w:hAnsi="黑体" w:eastAsia="黑体" w:cs="黑体"/>
          <w:sz w:val="32"/>
          <w:szCs w:val="32"/>
        </w:rPr>
      </w:pPr>
    </w:p>
    <w:p w14:paraId="7712E37F">
      <w:pPr>
        <w:spacing w:line="580" w:lineRule="exact"/>
        <w:rPr>
          <w:rFonts w:ascii="黑体" w:hAnsi="黑体" w:eastAsia="黑体" w:cs="黑体"/>
          <w:sz w:val="32"/>
          <w:szCs w:val="32"/>
        </w:rPr>
      </w:pPr>
    </w:p>
    <w:p w14:paraId="377B8276">
      <w:pPr>
        <w:spacing w:line="580" w:lineRule="exact"/>
        <w:rPr>
          <w:rFonts w:ascii="仿宋_GB2312" w:hAnsi="仿宋_GB2312" w:eastAsia="仿宋_GB2312" w:cs="仿宋_GB2312"/>
          <w:sz w:val="32"/>
          <w:szCs w:val="32"/>
        </w:rPr>
      </w:pPr>
      <w:r>
        <w:rPr>
          <w:rFonts w:hint="eastAsia" w:ascii="黑体" w:hAnsi="黑体" w:eastAsia="黑体" w:cs="黑体"/>
          <w:sz w:val="32"/>
          <w:szCs w:val="32"/>
        </w:rPr>
        <w:t>附件2</w:t>
      </w:r>
    </w:p>
    <w:p w14:paraId="2831A685">
      <w:pPr>
        <w:spacing w:line="580" w:lineRule="exact"/>
        <w:ind w:firstLine="640" w:firstLineChars="200"/>
        <w:rPr>
          <w:rFonts w:ascii="仿宋_GB2312" w:hAnsi="仿宋_GB2312" w:eastAsia="仿宋_GB2312" w:cs="仿宋_GB2312"/>
          <w:sz w:val="32"/>
          <w:szCs w:val="32"/>
        </w:rPr>
      </w:pPr>
    </w:p>
    <w:p w14:paraId="5BD6E099">
      <w:pPr>
        <w:spacing w:line="600" w:lineRule="exact"/>
        <w:jc w:val="center"/>
        <w:rPr>
          <w:rFonts w:ascii="方正小标宋简体" w:hAnsi="宋体" w:eastAsia="方正小标宋简体"/>
          <w:color w:val="000000"/>
          <w:kern w:val="0"/>
          <w:sz w:val="44"/>
          <w:szCs w:val="44"/>
          <w:lang w:val="zh-CN"/>
        </w:rPr>
      </w:pPr>
      <w:r>
        <w:rPr>
          <w:rFonts w:hint="eastAsia" w:ascii="方正小标宋简体" w:hAnsi="宋体" w:eastAsia="方正小标宋简体"/>
          <w:color w:val="000000"/>
          <w:kern w:val="0"/>
          <w:sz w:val="44"/>
          <w:szCs w:val="44"/>
          <w:lang w:val="zh-CN"/>
        </w:rPr>
        <w:t>永兴镇环保督察“回头”整治项目</w:t>
      </w:r>
    </w:p>
    <w:p w14:paraId="3FF39CAF">
      <w:pPr>
        <w:spacing w:line="600" w:lineRule="exact"/>
        <w:jc w:val="center"/>
        <w:rPr>
          <w:rFonts w:ascii="方正小标宋简体" w:hAnsi="宋体" w:eastAsia="方正小标宋简体"/>
          <w:color w:val="000000"/>
          <w:kern w:val="0"/>
          <w:sz w:val="44"/>
          <w:szCs w:val="44"/>
          <w:lang w:val="zh-CN"/>
        </w:rPr>
      </w:pPr>
      <w:r>
        <w:rPr>
          <w:rFonts w:hint="eastAsia" w:ascii="方正小标宋简体" w:hAnsi="宋体" w:eastAsia="方正小标宋简体"/>
          <w:color w:val="000000"/>
          <w:kern w:val="0"/>
          <w:sz w:val="44"/>
          <w:szCs w:val="44"/>
          <w:lang w:val="zh-CN"/>
        </w:rPr>
        <w:t>2019年绩效评价报告</w:t>
      </w:r>
    </w:p>
    <w:p w14:paraId="33AC0E95">
      <w:pPr>
        <w:spacing w:line="600" w:lineRule="exact"/>
        <w:rPr>
          <w:rFonts w:ascii="宋体" w:hAnsi="宋体"/>
          <w:sz w:val="32"/>
          <w:szCs w:val="32"/>
          <w:lang w:val="zh-CN"/>
        </w:rPr>
      </w:pPr>
    </w:p>
    <w:p w14:paraId="2B8145A7">
      <w:pPr>
        <w:adjustRightInd w:val="0"/>
        <w:snapToGrid w:val="0"/>
        <w:spacing w:line="600"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14:paraId="207F1235">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14:paraId="553408F4">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为了完成永兴镇环保督察“回头”整治项目，永兴砖厂场地平整复耕工程，场地长80米，宽48米，高1米。整治二滩库区鸟类湿地保护区环境差状态，切实改变永兴镇二滩库区鸟类湿地保护区环境差状态，明显改善项目区二滩库区鸟类湿地保护区环境。</w:t>
      </w:r>
    </w:p>
    <w:p w14:paraId="008ED1E6">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14:paraId="6B2CAEE1">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1．项目主要内容。为了完成永兴镇环保督察“回头”整治项目，永兴砖厂场地平整复耕工程，场地长80米，宽48米，高1米。整治二滩库区鸟类湿地保护区环境差状态，切实改变永兴镇二滩库区鸟类湿地保护区环境差状态，明显改善项目区二滩库区鸟类湿地保护区环境，</w:t>
      </w:r>
    </w:p>
    <w:p w14:paraId="0B4D4FDA">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2．项目应实现的具体绩效目标，包括目标的量化、细化情况以及项目实施进度计划等。永兴砖厂场地平整复耕，场地长80米，宽48米，高1米，挖掘机挖土37.28小时、农用车运土52车、装载机平整块地6.4小时、吊车台班2个、汽车运费台班2个、技工工资3天、小型装载机运土14.8小时、旋耕机台班1天，受益群众户数≥329户。</w:t>
      </w:r>
    </w:p>
    <w:p w14:paraId="22375B99">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二、项目资金申报及使用情况</w:t>
      </w:r>
    </w:p>
    <w:p w14:paraId="5D8D78C1">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14:paraId="7A92D77C">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按照要求进资金申报。</w:t>
      </w:r>
    </w:p>
    <w:p w14:paraId="4CC08F0D">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b/>
          <w:sz w:val="32"/>
          <w:szCs w:val="32"/>
          <w:lang w:val="zh-CN"/>
        </w:rPr>
        <w:t>（二）资金计划、到位及使用情况（可用表格形式反映）。</w:t>
      </w:r>
    </w:p>
    <w:p w14:paraId="2B1904B2">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sz w:val="32"/>
          <w:szCs w:val="32"/>
          <w:lang w:val="zh-CN"/>
        </w:rPr>
        <w:t>1．资金计划。</w:t>
      </w:r>
      <w:r>
        <w:rPr>
          <w:rFonts w:hint="eastAsia" w:ascii="仿宋_GB2312" w:hAnsi="宋体" w:eastAsia="仿宋_GB2312"/>
          <w:sz w:val="32"/>
          <w:szCs w:val="32"/>
          <w:lang w:val="zh-CN"/>
        </w:rPr>
        <w:t>在说明该项目全省资金计划的基础上，分项目大类或市（州）分别说明各类资金计划情况，包括中央、省、市（州）、县（市、区）财政资金、项目单位自筹、其他渠道资金（包括银行贷款及其他资金等）。</w:t>
      </w:r>
    </w:p>
    <w:p w14:paraId="0910899E">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sz w:val="32"/>
          <w:szCs w:val="32"/>
          <w:lang w:val="zh-CN"/>
        </w:rPr>
        <w:t>2．资金到位。</w:t>
      </w:r>
      <w:r>
        <w:rPr>
          <w:rFonts w:hint="eastAsia" w:ascii="仿宋_GB2312" w:hAnsi="宋体" w:eastAsia="仿宋_GB2312"/>
          <w:sz w:val="32"/>
          <w:szCs w:val="32"/>
          <w:lang w:val="zh-CN"/>
        </w:rPr>
        <w:t>汇总统计截止评价时点该项目全省资金到位情况。在此基础上分项目大类或市（州）统计各类资金到位情况，包括中央、省、市（州）、县（市、区）财政资金、项目单位自筹及其他渠道资金（包括银行贷款及其他资金等）。将资金到位情况与资金计划进行比对，并重点围绕资金到位率、到位及时性等进行评价，对未到位或到位不及时的情况做出分析说明。</w:t>
      </w:r>
    </w:p>
    <w:p w14:paraId="19455C1E">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sz w:val="32"/>
          <w:szCs w:val="32"/>
          <w:lang w:val="zh-CN"/>
        </w:rPr>
        <w:t>3．资金使用。</w:t>
      </w:r>
      <w:r>
        <w:rPr>
          <w:rFonts w:hint="eastAsia" w:ascii="仿宋_GB2312" w:hAnsi="宋体" w:eastAsia="仿宋_GB2312"/>
          <w:sz w:val="32"/>
          <w:szCs w:val="32"/>
          <w:lang w:val="zh-CN"/>
        </w:rPr>
        <w:t>汇总统计截止评价时点该项目全省资金支出情况。在此基础上分项目大类或市（州）统计资金支出情况，并对资金使用的安全性、规范性及有效性进行重点分析，包括资金支付范围、支付标准、支付进度、支付依据等是否合规合法、是否与预算相符，并对自评中发现的相关问题进行分析说明。</w:t>
      </w:r>
    </w:p>
    <w:p w14:paraId="7B693081">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14:paraId="03FEE9BA">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总体评价各项目实施单位财务管理制度是否健全，是否严格执行财务管理制度，账务处理是否及时，会计核算是否规范等。</w:t>
      </w:r>
    </w:p>
    <w:p w14:paraId="2EC06195">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三、项目实施及管理情况</w:t>
      </w:r>
    </w:p>
    <w:p w14:paraId="093991F9">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结合项目组织实施管理办法，重点围绕以下内容进行分析评价，并对自评中发现的问题分析说明。</w:t>
      </w:r>
    </w:p>
    <w:p w14:paraId="7FBB9A1C">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（一）项目组织架构及实施流程。</w:t>
      </w:r>
    </w:p>
    <w:p w14:paraId="3782040E">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b/>
          <w:sz w:val="32"/>
          <w:szCs w:val="32"/>
          <w:lang w:val="zh-CN"/>
        </w:rPr>
        <w:t>（二）项目管理情况。</w:t>
      </w:r>
      <w:r>
        <w:rPr>
          <w:rFonts w:hint="eastAsia" w:ascii="仿宋_GB2312" w:hAnsi="宋体" w:eastAsia="仿宋_GB2312"/>
          <w:sz w:val="32"/>
          <w:szCs w:val="32"/>
          <w:lang w:val="zh-CN"/>
        </w:rPr>
        <w:t>结合项目特点，总体评价各项目实施单位执行相关法律法规及项目管理制度等情况，如招投标、政府采购、项目公示制等相关规定。</w:t>
      </w:r>
    </w:p>
    <w:p w14:paraId="5961AD44">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b/>
          <w:sz w:val="32"/>
          <w:szCs w:val="32"/>
          <w:lang w:val="zh-CN"/>
        </w:rPr>
        <w:t>（三）项目监管情况。</w:t>
      </w:r>
      <w:r>
        <w:rPr>
          <w:rFonts w:hint="eastAsia" w:ascii="仿宋_GB2312" w:hAnsi="宋体" w:eastAsia="仿宋_GB2312"/>
          <w:sz w:val="32"/>
          <w:szCs w:val="32"/>
          <w:lang w:val="zh-CN"/>
        </w:rPr>
        <w:t>说明项目主管部门为加强项目管理所采取的监管手段、监管程序、监管工作开展情况及实现的效果等。</w:t>
      </w:r>
    </w:p>
    <w:p w14:paraId="5352CCC3">
      <w:pPr>
        <w:adjustRightInd w:val="0"/>
        <w:snapToGrid w:val="0"/>
        <w:spacing w:line="600" w:lineRule="exact"/>
        <w:ind w:firstLine="720"/>
        <w:rPr>
          <w:rFonts w:ascii="仿宋_GB2312" w:hAnsi="宋体" w:eastAsia="仿宋_GB2312"/>
          <w:sz w:val="32"/>
          <w:szCs w:val="32"/>
          <w:lang w:val="zh-CN"/>
        </w:rPr>
      </w:pPr>
      <w:r>
        <w:rPr>
          <w:rFonts w:hint="eastAsia" w:ascii="黑体" w:hAnsi="宋体" w:eastAsia="黑体"/>
          <w:sz w:val="32"/>
          <w:szCs w:val="32"/>
        </w:rPr>
        <w:t>四、项目绩效情况</w:t>
      </w:r>
      <w:r>
        <w:rPr>
          <w:rFonts w:hint="eastAsia" w:ascii="仿宋_GB2312" w:hAnsi="宋体" w:eastAsia="仿宋_GB2312"/>
          <w:sz w:val="32"/>
          <w:szCs w:val="32"/>
          <w:lang w:val="zh-CN"/>
        </w:rPr>
        <w:tab/>
      </w:r>
    </w:p>
    <w:p w14:paraId="26705D23">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（一）项目完成情况。</w:t>
      </w:r>
    </w:p>
    <w:p w14:paraId="5B93BC93">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为了完成永兴镇环保督察“回头”整治项目，永兴砖厂场地平整复耕工程，场地长80米，宽48米，高1米。整治二滩库区鸟类湿地保护区环境差状态，切实改变永兴镇二滩库区鸟类湿地保护区环境差状态，明显改善项目区二滩库区鸟类湿地保护区环境。</w:t>
      </w:r>
    </w:p>
    <w:p w14:paraId="2EA2B94B">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（二）项目效益情况。</w:t>
      </w:r>
    </w:p>
    <w:p w14:paraId="429687A1">
      <w:pPr>
        <w:adjustRightInd w:val="0"/>
        <w:snapToGrid w:val="0"/>
        <w:spacing w:line="600" w:lineRule="exact"/>
        <w:ind w:firstLine="720"/>
        <w:rPr>
          <w:rFonts w:ascii="仿宋_GB2312" w:hAnsi="宋体" w:eastAsia="仿宋_GB2312"/>
          <w:sz w:val="32"/>
          <w:szCs w:val="32"/>
        </w:rPr>
      </w:pPr>
      <w:r>
        <w:rPr>
          <w:rFonts w:hint="eastAsia" w:ascii="仿宋_GB2312" w:hAnsi="宋体" w:eastAsia="仿宋_GB2312"/>
          <w:sz w:val="32"/>
          <w:szCs w:val="32"/>
          <w:lang w:val="zh-CN"/>
        </w:rPr>
        <w:t>受益群众户数≥329户，满意度达</w:t>
      </w:r>
      <w:r>
        <w:rPr>
          <w:rFonts w:hint="eastAsia" w:ascii="仿宋_GB2312" w:hAnsi="宋体" w:eastAsia="仿宋_GB2312"/>
          <w:sz w:val="32"/>
          <w:szCs w:val="32"/>
        </w:rPr>
        <w:t>99%以上。</w:t>
      </w:r>
    </w:p>
    <w:p w14:paraId="72F2C7CE">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五、评价结论及建议</w:t>
      </w:r>
    </w:p>
    <w:p w14:paraId="6B57F309">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（一）评价结论。</w:t>
      </w:r>
    </w:p>
    <w:p w14:paraId="231D0A83">
      <w:pPr>
        <w:adjustRightInd w:val="0"/>
        <w:snapToGrid w:val="0"/>
        <w:spacing w:line="600" w:lineRule="exact"/>
        <w:ind w:firstLine="640" w:firstLineChars="200"/>
        <w:rPr>
          <w:rFonts w:ascii="仿宋_GB2312" w:hAnsi="宋体" w:eastAsia="仿宋_GB2312"/>
          <w:sz w:val="32"/>
          <w:szCs w:val="32"/>
          <w:bdr w:val="single" w:color="auto" w:sz="4" w:space="0"/>
          <w:lang w:val="zh-CN"/>
        </w:rPr>
      </w:pPr>
      <w:r>
        <w:rPr>
          <w:rFonts w:hint="eastAsia" w:ascii="仿宋_GB2312" w:hAnsi="宋体" w:eastAsia="仿宋_GB2312"/>
          <w:sz w:val="32"/>
          <w:szCs w:val="32"/>
          <w:lang w:val="zh-CN"/>
        </w:rPr>
        <w:t>总体较好。</w:t>
      </w:r>
    </w:p>
    <w:p w14:paraId="05A8C9BF">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（二）存在的问题。</w:t>
      </w:r>
    </w:p>
    <w:p w14:paraId="7E4DC477">
      <w:pPr>
        <w:adjustRightInd w:val="0"/>
        <w:snapToGrid w:val="0"/>
        <w:spacing w:line="600" w:lineRule="exact"/>
        <w:ind w:firstLine="640" w:firstLineChars="200"/>
        <w:rPr>
          <w:rFonts w:ascii="仿宋_GB2312" w:hAnsi="宋体" w:eastAsia="仿宋_GB2312"/>
          <w:sz w:val="32"/>
          <w:szCs w:val="32"/>
          <w:lang w:val="zh-CN"/>
        </w:rPr>
      </w:pPr>
      <w:r>
        <w:rPr>
          <w:rFonts w:hint="eastAsia" w:ascii="仿宋_GB2312" w:hAnsi="宋体" w:eastAsia="仿宋_GB2312"/>
          <w:sz w:val="32"/>
          <w:szCs w:val="32"/>
          <w:lang w:val="zh-CN"/>
        </w:rPr>
        <w:t>无。</w:t>
      </w:r>
      <w:r>
        <w:rPr>
          <w:rFonts w:hint="eastAsia" w:ascii="仿宋_GB2312" w:hAnsi="宋体" w:eastAsia="仿宋_GB2312"/>
          <w:sz w:val="32"/>
          <w:szCs w:val="32"/>
          <w:lang w:val="zh-CN"/>
        </w:rPr>
        <w:tab/>
      </w:r>
    </w:p>
    <w:p w14:paraId="291A112D">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（三）相关建议。</w:t>
      </w:r>
    </w:p>
    <w:p w14:paraId="256F37F4">
      <w:pPr>
        <w:spacing w:line="560" w:lineRule="exact"/>
        <w:ind w:firstLine="640" w:firstLineChars="200"/>
        <w:jc w:val="left"/>
        <w:rPr>
          <w:rFonts w:eastAsia="仿宋_GB2312"/>
          <w:sz w:val="32"/>
          <w:szCs w:val="32"/>
        </w:rPr>
      </w:pPr>
      <w:r>
        <w:rPr>
          <w:rFonts w:hint="eastAsia" w:eastAsia="仿宋_GB2312"/>
          <w:sz w:val="32"/>
          <w:szCs w:val="32"/>
        </w:rPr>
        <w:t>我镇较好的执行了2019年度部门项目支出绩效目标，各项支出都严格按预算要求执行，专项资金也做到专款专用，按时按要求拨付各项费用，同时，按部门预算科学合理使用财政资金，充分发挥资金利用效率，但在预算绩效目标中仍有一些问题。下一步，我镇一是制定具体措施，确定专人负责，有效开展绩效管理工作，发现问题及时更正，保证资金安全及项目的正常运行。二是强化项目资金使用，对专项资金预算绩效目标进行及时跟踪，让资金管理人、使用人清楚明白“钱怎么花的、花的怎么样、存在什么责任”，对预算执行精细化，加快资金拨付进度。三是及时预控、查找资金使用和管理过程中的薄弱环节，对本年度尚未启用的预算资金、沉淀的资金及时安排调整，对还未拨付的资金加快拨付进度，确保后续绩效目标的实现提供有力支撑。</w:t>
      </w:r>
    </w:p>
    <w:p w14:paraId="6BB96762">
      <w:pPr>
        <w:spacing w:line="580" w:lineRule="exact"/>
        <w:ind w:firstLine="640"/>
        <w:rPr>
          <w:rFonts w:ascii="仿宋_GB2312" w:hAnsi="仿宋_GB2312" w:eastAsia="仿宋_GB2312" w:cs="仿宋_GB2312"/>
          <w:sz w:val="32"/>
          <w:szCs w:val="32"/>
        </w:rPr>
      </w:pPr>
    </w:p>
    <w:p w14:paraId="0D7B8976">
      <w:pPr>
        <w:spacing w:line="580" w:lineRule="exact"/>
        <w:ind w:firstLine="640"/>
        <w:rPr>
          <w:rFonts w:ascii="仿宋_GB2312" w:hAnsi="仿宋_GB2312" w:eastAsia="仿宋_GB2312" w:cs="仿宋_GB2312"/>
          <w:sz w:val="32"/>
          <w:szCs w:val="32"/>
        </w:rPr>
      </w:pPr>
    </w:p>
    <w:p w14:paraId="15BC130E">
      <w:pPr>
        <w:widowControl/>
        <w:jc w:val="left"/>
        <w:rPr>
          <w:rStyle w:val="27"/>
          <w:rFonts w:ascii="黑体" w:hAnsi="黑体" w:eastAsia="黑体"/>
          <w:b w:val="0"/>
        </w:rPr>
      </w:pPr>
    </w:p>
    <w:p w14:paraId="3E88CADB">
      <w:pPr>
        <w:widowControl/>
        <w:jc w:val="left"/>
        <w:rPr>
          <w:rStyle w:val="27"/>
          <w:rFonts w:ascii="黑体" w:hAnsi="黑体" w:eastAsia="黑体"/>
          <w:b w:val="0"/>
        </w:rPr>
      </w:pPr>
      <w:r>
        <w:rPr>
          <w:rStyle w:val="27"/>
          <w:rFonts w:ascii="黑体" w:hAnsi="黑体" w:eastAsia="黑体"/>
          <w:b w:val="0"/>
        </w:rPr>
        <w:br w:type="page"/>
      </w:r>
      <w:bookmarkStart w:id="91" w:name="_Toc15396618"/>
      <w:bookmarkStart w:id="92" w:name="_Toc52180099"/>
      <w:r>
        <w:rPr>
          <w:rFonts w:hint="eastAsia" w:ascii="黑体" w:hAnsi="黑体" w:eastAsia="黑体"/>
          <w:color w:val="000000"/>
          <w:sz w:val="44"/>
          <w:szCs w:val="44"/>
        </w:rPr>
        <w:t>第</w:t>
      </w:r>
      <w:r>
        <w:rPr>
          <w:rStyle w:val="27"/>
          <w:rFonts w:hint="eastAsia" w:ascii="黑体" w:hAnsi="黑体" w:eastAsia="黑体"/>
          <w:b w:val="0"/>
        </w:rPr>
        <w:t>五部分 附表</w:t>
      </w:r>
      <w:bookmarkEnd w:id="88"/>
      <w:bookmarkEnd w:id="91"/>
      <w:bookmarkEnd w:id="92"/>
    </w:p>
    <w:p w14:paraId="1E479D07">
      <w:pPr>
        <w:spacing w:line="600" w:lineRule="exact"/>
        <w:jc w:val="center"/>
        <w:outlineLvl w:val="0"/>
        <w:rPr>
          <w:rFonts w:ascii="仿宋" w:hAnsi="仿宋" w:eastAsia="仿宋"/>
          <w:b/>
          <w:color w:val="000000"/>
          <w:sz w:val="44"/>
          <w:szCs w:val="44"/>
        </w:rPr>
      </w:pPr>
    </w:p>
    <w:p w14:paraId="34CE6C1D">
      <w:pPr>
        <w:pStyle w:val="3"/>
        <w:rPr>
          <w:rFonts w:ascii="仿宋" w:hAnsi="仿宋" w:eastAsia="仿宋"/>
          <w:color w:val="000000"/>
        </w:rPr>
      </w:pPr>
      <w:bookmarkStart w:id="93" w:name="_Toc15396619"/>
      <w:bookmarkStart w:id="94" w:name="_Toc52180100"/>
      <w:r>
        <w:rPr>
          <w:rFonts w:hint="eastAsia" w:ascii="仿宋" w:hAnsi="仿宋" w:eastAsia="仿宋"/>
          <w:b w:val="0"/>
          <w:color w:val="000000"/>
        </w:rPr>
        <w:t>一、收</w:t>
      </w:r>
      <w:r>
        <w:rPr>
          <w:rStyle w:val="28"/>
          <w:rFonts w:hint="eastAsia" w:ascii="仿宋" w:hAnsi="仿宋" w:eastAsia="仿宋"/>
          <w:b w:val="0"/>
          <w:bCs w:val="0"/>
        </w:rPr>
        <w:t>入支出决算总表</w:t>
      </w:r>
      <w:bookmarkEnd w:id="93"/>
      <w:bookmarkEnd w:id="94"/>
    </w:p>
    <w:p w14:paraId="55C9F36A">
      <w:pPr>
        <w:pStyle w:val="3"/>
        <w:rPr>
          <w:rFonts w:ascii="仿宋" w:hAnsi="仿宋" w:eastAsia="仿宋"/>
          <w:color w:val="000000"/>
        </w:rPr>
      </w:pPr>
      <w:bookmarkStart w:id="95" w:name="_Toc15396620"/>
      <w:bookmarkStart w:id="96" w:name="_Toc52180101"/>
      <w:r>
        <w:rPr>
          <w:rFonts w:hint="eastAsia" w:ascii="仿宋" w:hAnsi="仿宋" w:eastAsia="仿宋"/>
          <w:b w:val="0"/>
          <w:color w:val="000000"/>
        </w:rPr>
        <w:t>二、收</w:t>
      </w:r>
      <w:r>
        <w:rPr>
          <w:rStyle w:val="28"/>
          <w:rFonts w:hint="eastAsia" w:ascii="仿宋" w:hAnsi="仿宋" w:eastAsia="仿宋"/>
          <w:b w:val="0"/>
          <w:bCs w:val="0"/>
        </w:rPr>
        <w:t>入决算表</w:t>
      </w:r>
      <w:bookmarkEnd w:id="95"/>
      <w:bookmarkEnd w:id="96"/>
    </w:p>
    <w:p w14:paraId="13DD8B0F">
      <w:pPr>
        <w:pStyle w:val="3"/>
        <w:rPr>
          <w:rFonts w:ascii="仿宋" w:hAnsi="仿宋" w:eastAsia="仿宋"/>
          <w:color w:val="000000"/>
        </w:rPr>
      </w:pPr>
      <w:bookmarkStart w:id="97" w:name="_Toc15396621"/>
      <w:bookmarkStart w:id="98" w:name="_Toc52180102"/>
      <w:r>
        <w:rPr>
          <w:rStyle w:val="28"/>
          <w:rFonts w:hint="eastAsia" w:ascii="仿宋" w:hAnsi="仿宋" w:eastAsia="仿宋"/>
          <w:b w:val="0"/>
          <w:bCs w:val="0"/>
        </w:rPr>
        <w:t>三、</w:t>
      </w:r>
      <w:r>
        <w:rPr>
          <w:rFonts w:hint="eastAsia" w:ascii="仿宋" w:hAnsi="仿宋" w:eastAsia="仿宋"/>
          <w:b w:val="0"/>
          <w:color w:val="000000"/>
        </w:rPr>
        <w:t>支</w:t>
      </w:r>
      <w:r>
        <w:rPr>
          <w:rStyle w:val="28"/>
          <w:rFonts w:hint="eastAsia" w:ascii="仿宋" w:hAnsi="仿宋" w:eastAsia="仿宋"/>
          <w:b w:val="0"/>
          <w:bCs w:val="0"/>
        </w:rPr>
        <w:t>出决算表</w:t>
      </w:r>
      <w:bookmarkEnd w:id="97"/>
      <w:bookmarkEnd w:id="98"/>
    </w:p>
    <w:p w14:paraId="21C63DDA">
      <w:pPr>
        <w:pStyle w:val="3"/>
        <w:rPr>
          <w:rFonts w:ascii="仿宋" w:hAnsi="仿宋" w:eastAsia="仿宋"/>
          <w:b w:val="0"/>
          <w:color w:val="000000"/>
        </w:rPr>
      </w:pPr>
      <w:bookmarkStart w:id="99" w:name="_Toc15396622"/>
      <w:bookmarkStart w:id="100" w:name="_Toc52180103"/>
      <w:r>
        <w:rPr>
          <w:rStyle w:val="28"/>
          <w:rFonts w:hint="eastAsia" w:ascii="仿宋" w:hAnsi="仿宋" w:eastAsia="仿宋"/>
          <w:b w:val="0"/>
          <w:bCs w:val="0"/>
        </w:rPr>
        <w:t>四、</w:t>
      </w:r>
      <w:r>
        <w:rPr>
          <w:rFonts w:hint="eastAsia" w:ascii="仿宋" w:hAnsi="仿宋" w:eastAsia="仿宋"/>
          <w:b w:val="0"/>
          <w:color w:val="000000"/>
        </w:rPr>
        <w:t>财</w:t>
      </w:r>
      <w:r>
        <w:rPr>
          <w:rStyle w:val="28"/>
          <w:rFonts w:hint="eastAsia" w:ascii="仿宋" w:hAnsi="仿宋" w:eastAsia="仿宋"/>
          <w:b w:val="0"/>
          <w:bCs w:val="0"/>
        </w:rPr>
        <w:t>政拨款收入支出决算总表</w:t>
      </w:r>
      <w:bookmarkEnd w:id="99"/>
      <w:bookmarkEnd w:id="100"/>
    </w:p>
    <w:p w14:paraId="56C0FA18">
      <w:pPr>
        <w:pStyle w:val="3"/>
        <w:rPr>
          <w:rStyle w:val="28"/>
          <w:rFonts w:ascii="仿宋" w:hAnsi="仿宋" w:eastAsia="仿宋"/>
          <w:b w:val="0"/>
          <w:bCs w:val="0"/>
        </w:rPr>
      </w:pPr>
      <w:bookmarkStart w:id="101" w:name="_Toc15396623"/>
      <w:bookmarkStart w:id="102" w:name="_Toc52180104"/>
      <w:r>
        <w:rPr>
          <w:rStyle w:val="28"/>
          <w:rFonts w:hint="eastAsia" w:ascii="仿宋" w:hAnsi="仿宋" w:eastAsia="仿宋"/>
          <w:b w:val="0"/>
          <w:bCs w:val="0"/>
        </w:rPr>
        <w:t>五、</w:t>
      </w:r>
      <w:r>
        <w:rPr>
          <w:rFonts w:hint="eastAsia" w:ascii="仿宋" w:hAnsi="仿宋" w:eastAsia="仿宋"/>
          <w:b w:val="0"/>
          <w:color w:val="000000"/>
        </w:rPr>
        <w:t>财</w:t>
      </w:r>
      <w:r>
        <w:rPr>
          <w:rStyle w:val="28"/>
          <w:rFonts w:hint="eastAsia" w:ascii="仿宋" w:hAnsi="仿宋" w:eastAsia="仿宋"/>
          <w:b w:val="0"/>
          <w:bCs w:val="0"/>
        </w:rPr>
        <w:t>政拨款支出决算明细表</w:t>
      </w:r>
      <w:bookmarkEnd w:id="101"/>
      <w:bookmarkEnd w:id="102"/>
      <w:bookmarkStart w:id="103" w:name="_Toc15396624"/>
    </w:p>
    <w:p w14:paraId="16145F1F">
      <w:pPr>
        <w:pStyle w:val="3"/>
        <w:rPr>
          <w:rFonts w:ascii="仿宋" w:hAnsi="仿宋" w:eastAsia="仿宋"/>
          <w:color w:val="000000"/>
        </w:rPr>
      </w:pPr>
      <w:bookmarkStart w:id="104" w:name="_Toc52180105"/>
      <w:r>
        <w:rPr>
          <w:rStyle w:val="28"/>
          <w:rFonts w:hint="eastAsia" w:ascii="仿宋" w:hAnsi="仿宋" w:eastAsia="仿宋"/>
          <w:b w:val="0"/>
          <w:bCs w:val="0"/>
        </w:rPr>
        <w:t>六、</w:t>
      </w:r>
      <w:r>
        <w:rPr>
          <w:rFonts w:hint="eastAsia" w:ascii="仿宋" w:hAnsi="仿宋" w:eastAsia="仿宋"/>
          <w:b w:val="0"/>
          <w:color w:val="000000"/>
        </w:rPr>
        <w:t>一</w:t>
      </w:r>
      <w:r>
        <w:rPr>
          <w:rStyle w:val="28"/>
          <w:rFonts w:hint="eastAsia" w:ascii="仿宋" w:hAnsi="仿宋" w:eastAsia="仿宋"/>
          <w:b w:val="0"/>
          <w:bCs w:val="0"/>
        </w:rPr>
        <w:t>般公共预算财政拨款支出决算表</w:t>
      </w:r>
      <w:bookmarkEnd w:id="103"/>
      <w:bookmarkEnd w:id="104"/>
    </w:p>
    <w:p w14:paraId="6643747F">
      <w:pPr>
        <w:pStyle w:val="3"/>
        <w:rPr>
          <w:rFonts w:ascii="仿宋" w:hAnsi="仿宋" w:eastAsia="仿宋"/>
          <w:color w:val="000000"/>
        </w:rPr>
      </w:pPr>
      <w:bookmarkStart w:id="105" w:name="_Toc52180106"/>
      <w:bookmarkStart w:id="106" w:name="_Toc15396625"/>
      <w:r>
        <w:rPr>
          <w:rStyle w:val="28"/>
          <w:rFonts w:hint="eastAsia" w:ascii="仿宋" w:hAnsi="仿宋" w:eastAsia="仿宋"/>
          <w:b w:val="0"/>
          <w:bCs w:val="0"/>
        </w:rPr>
        <w:t>七、</w:t>
      </w:r>
      <w:r>
        <w:rPr>
          <w:rFonts w:hint="eastAsia" w:ascii="仿宋" w:hAnsi="仿宋" w:eastAsia="仿宋"/>
          <w:b w:val="0"/>
          <w:color w:val="000000"/>
        </w:rPr>
        <w:t>一</w:t>
      </w:r>
      <w:r>
        <w:rPr>
          <w:rStyle w:val="28"/>
          <w:rFonts w:hint="eastAsia" w:ascii="仿宋" w:hAnsi="仿宋" w:eastAsia="仿宋"/>
          <w:b w:val="0"/>
          <w:bCs w:val="0"/>
        </w:rPr>
        <w:t>般公共预算财政拨款支出决算明细表</w:t>
      </w:r>
      <w:bookmarkEnd w:id="105"/>
      <w:bookmarkEnd w:id="106"/>
    </w:p>
    <w:p w14:paraId="64C3FC7B">
      <w:pPr>
        <w:pStyle w:val="3"/>
        <w:rPr>
          <w:rFonts w:ascii="仿宋" w:hAnsi="仿宋" w:eastAsia="仿宋"/>
          <w:color w:val="000000"/>
        </w:rPr>
      </w:pPr>
      <w:bookmarkStart w:id="107" w:name="_Toc15396626"/>
      <w:bookmarkStart w:id="108" w:name="_Toc52180107"/>
      <w:r>
        <w:rPr>
          <w:rStyle w:val="28"/>
          <w:rFonts w:hint="eastAsia" w:ascii="仿宋" w:hAnsi="仿宋" w:eastAsia="仿宋"/>
          <w:b w:val="0"/>
          <w:bCs w:val="0"/>
        </w:rPr>
        <w:t>八、</w:t>
      </w:r>
      <w:r>
        <w:rPr>
          <w:rFonts w:hint="eastAsia" w:ascii="仿宋" w:hAnsi="仿宋" w:eastAsia="仿宋"/>
          <w:b w:val="0"/>
          <w:color w:val="000000"/>
        </w:rPr>
        <w:t>一</w:t>
      </w:r>
      <w:r>
        <w:rPr>
          <w:rStyle w:val="28"/>
          <w:rFonts w:hint="eastAsia" w:ascii="仿宋" w:hAnsi="仿宋" w:eastAsia="仿宋"/>
          <w:b w:val="0"/>
          <w:bCs w:val="0"/>
        </w:rPr>
        <w:t>般公共预算财政拨款基本支出决算表</w:t>
      </w:r>
      <w:bookmarkEnd w:id="107"/>
      <w:bookmarkEnd w:id="108"/>
    </w:p>
    <w:p w14:paraId="0CC41CD7">
      <w:pPr>
        <w:pStyle w:val="3"/>
        <w:rPr>
          <w:rFonts w:ascii="仿宋" w:hAnsi="仿宋" w:eastAsia="仿宋"/>
          <w:color w:val="000000"/>
        </w:rPr>
      </w:pPr>
      <w:bookmarkStart w:id="109" w:name="_Toc15396627"/>
      <w:bookmarkStart w:id="110" w:name="_Toc52180108"/>
      <w:r>
        <w:rPr>
          <w:rStyle w:val="28"/>
          <w:rFonts w:hint="eastAsia" w:ascii="仿宋" w:hAnsi="仿宋" w:eastAsia="仿宋"/>
          <w:b w:val="0"/>
          <w:bCs w:val="0"/>
        </w:rPr>
        <w:t>九、</w:t>
      </w:r>
      <w:r>
        <w:rPr>
          <w:rFonts w:hint="eastAsia" w:ascii="仿宋" w:hAnsi="仿宋" w:eastAsia="仿宋"/>
          <w:b w:val="0"/>
          <w:color w:val="000000"/>
        </w:rPr>
        <w:t>一</w:t>
      </w:r>
      <w:r>
        <w:rPr>
          <w:rStyle w:val="28"/>
          <w:rFonts w:hint="eastAsia" w:ascii="仿宋" w:hAnsi="仿宋" w:eastAsia="仿宋"/>
          <w:b w:val="0"/>
          <w:bCs w:val="0"/>
        </w:rPr>
        <w:t>般公共预算财政拨款项目支出决算表</w:t>
      </w:r>
      <w:bookmarkEnd w:id="109"/>
      <w:bookmarkEnd w:id="110"/>
    </w:p>
    <w:p w14:paraId="6A57D8DC">
      <w:pPr>
        <w:pStyle w:val="3"/>
        <w:rPr>
          <w:rFonts w:ascii="仿宋" w:hAnsi="仿宋" w:eastAsia="仿宋"/>
          <w:color w:val="000000"/>
        </w:rPr>
      </w:pPr>
      <w:bookmarkStart w:id="111" w:name="_Toc15396628"/>
      <w:bookmarkStart w:id="112" w:name="_Toc52180109"/>
      <w:r>
        <w:rPr>
          <w:rStyle w:val="28"/>
          <w:rFonts w:hint="eastAsia" w:ascii="仿宋" w:hAnsi="仿宋" w:eastAsia="仿宋"/>
          <w:b w:val="0"/>
          <w:bCs w:val="0"/>
        </w:rPr>
        <w:t>十、</w:t>
      </w:r>
      <w:r>
        <w:rPr>
          <w:rFonts w:hint="eastAsia" w:ascii="仿宋" w:hAnsi="仿宋" w:eastAsia="仿宋"/>
          <w:b w:val="0"/>
          <w:color w:val="000000"/>
        </w:rPr>
        <w:t>一</w:t>
      </w:r>
      <w:r>
        <w:rPr>
          <w:rStyle w:val="28"/>
          <w:rFonts w:hint="eastAsia" w:ascii="仿宋" w:hAnsi="仿宋" w:eastAsia="仿宋"/>
          <w:b w:val="0"/>
          <w:bCs w:val="0"/>
        </w:rPr>
        <w:t>般公共预算财政拨款“三公”经费支出决算表</w:t>
      </w:r>
      <w:bookmarkEnd w:id="111"/>
      <w:bookmarkEnd w:id="112"/>
    </w:p>
    <w:p w14:paraId="3944F638">
      <w:pPr>
        <w:pStyle w:val="3"/>
        <w:rPr>
          <w:rFonts w:ascii="仿宋" w:hAnsi="仿宋" w:eastAsia="仿宋"/>
          <w:color w:val="000000"/>
        </w:rPr>
      </w:pPr>
      <w:bookmarkStart w:id="113" w:name="_Toc15396629"/>
      <w:bookmarkStart w:id="114" w:name="_Toc52180110"/>
      <w:r>
        <w:rPr>
          <w:rStyle w:val="28"/>
          <w:rFonts w:hint="eastAsia" w:ascii="仿宋" w:hAnsi="仿宋" w:eastAsia="仿宋"/>
          <w:b w:val="0"/>
          <w:bCs w:val="0"/>
        </w:rPr>
        <w:t>十一、</w:t>
      </w:r>
      <w:r>
        <w:rPr>
          <w:rFonts w:hint="eastAsia" w:ascii="仿宋" w:hAnsi="仿宋" w:eastAsia="仿宋"/>
          <w:b w:val="0"/>
          <w:color w:val="000000"/>
        </w:rPr>
        <w:t>政</w:t>
      </w:r>
      <w:r>
        <w:rPr>
          <w:rStyle w:val="28"/>
          <w:rFonts w:hint="eastAsia" w:ascii="仿宋" w:hAnsi="仿宋" w:eastAsia="仿宋"/>
          <w:b w:val="0"/>
          <w:bCs w:val="0"/>
        </w:rPr>
        <w:t>府性基金预算财政拨款收入支出决算表</w:t>
      </w:r>
      <w:bookmarkEnd w:id="113"/>
      <w:bookmarkEnd w:id="114"/>
    </w:p>
    <w:p w14:paraId="17F93414">
      <w:pPr>
        <w:pStyle w:val="3"/>
        <w:rPr>
          <w:rFonts w:ascii="仿宋" w:hAnsi="仿宋" w:eastAsia="仿宋"/>
          <w:color w:val="000000"/>
        </w:rPr>
      </w:pPr>
      <w:bookmarkStart w:id="115" w:name="_Toc15396630"/>
      <w:bookmarkStart w:id="116" w:name="_Toc52180111"/>
      <w:r>
        <w:rPr>
          <w:rStyle w:val="28"/>
          <w:rFonts w:hint="eastAsia" w:ascii="仿宋" w:hAnsi="仿宋" w:eastAsia="仿宋"/>
          <w:b w:val="0"/>
          <w:bCs w:val="0"/>
        </w:rPr>
        <w:t>十二、</w:t>
      </w:r>
      <w:r>
        <w:rPr>
          <w:rFonts w:hint="eastAsia" w:ascii="仿宋" w:hAnsi="仿宋" w:eastAsia="仿宋"/>
          <w:b w:val="0"/>
          <w:color w:val="000000"/>
        </w:rPr>
        <w:t>政</w:t>
      </w:r>
      <w:r>
        <w:rPr>
          <w:rStyle w:val="28"/>
          <w:rFonts w:hint="eastAsia" w:ascii="仿宋" w:hAnsi="仿宋" w:eastAsia="仿宋"/>
          <w:b w:val="0"/>
          <w:bCs w:val="0"/>
        </w:rPr>
        <w:t>府性基金预算财政拨款“三公”经费支出决算表</w:t>
      </w:r>
      <w:bookmarkEnd w:id="115"/>
      <w:bookmarkEnd w:id="116"/>
    </w:p>
    <w:p w14:paraId="4491EAC9">
      <w:pPr>
        <w:pStyle w:val="3"/>
        <w:rPr>
          <w:rFonts w:ascii="仿宋" w:hAnsi="仿宋" w:eastAsia="仿宋"/>
          <w:color w:val="000000"/>
        </w:rPr>
      </w:pPr>
      <w:bookmarkStart w:id="117" w:name="_Toc15396631"/>
      <w:bookmarkStart w:id="118" w:name="_Toc52180112"/>
      <w:r>
        <w:rPr>
          <w:rStyle w:val="28"/>
          <w:rFonts w:hint="eastAsia" w:ascii="仿宋" w:hAnsi="仿宋" w:eastAsia="仿宋"/>
          <w:b w:val="0"/>
          <w:bCs w:val="0"/>
        </w:rPr>
        <w:t>十三、</w:t>
      </w:r>
      <w:r>
        <w:rPr>
          <w:rFonts w:hint="eastAsia" w:ascii="仿宋" w:hAnsi="仿宋" w:eastAsia="仿宋"/>
          <w:b w:val="0"/>
          <w:color w:val="000000"/>
        </w:rPr>
        <w:t>国</w:t>
      </w:r>
      <w:r>
        <w:rPr>
          <w:rStyle w:val="28"/>
          <w:rFonts w:hint="eastAsia" w:ascii="仿宋" w:hAnsi="仿宋" w:eastAsia="仿宋"/>
          <w:b w:val="0"/>
          <w:bCs w:val="0"/>
        </w:rPr>
        <w:t>有资本经营预算支出决算表</w:t>
      </w:r>
      <w:bookmarkEnd w:id="117"/>
      <w:bookmarkEnd w:id="118"/>
    </w:p>
    <w:sectPr>
      <w:headerReference r:id="rId3" w:type="default"/>
      <w:footerReference r:id="rId4" w:type="default"/>
      <w:pgSz w:w="11906" w:h="16838"/>
      <w:pgMar w:top="1440" w:right="1800" w:bottom="1440" w:left="1800"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5BC9A2">
    <w:pPr>
      <w:pStyle w:val="9"/>
      <w:jc w:val="center"/>
    </w:pPr>
    <w:r>
      <w:fldChar w:fldCharType="begin"/>
    </w:r>
    <w:r>
      <w:instrText xml:space="preserve">PAGE   \* MERGEFORMAT</w:instrText>
    </w:r>
    <w:r>
      <w:fldChar w:fldCharType="separate"/>
    </w:r>
    <w:r>
      <w:rPr>
        <w:lang w:val="zh-CN"/>
      </w:rPr>
      <w:t>2</w:t>
    </w:r>
    <w:r>
      <w:fldChar w:fldCharType="end"/>
    </w:r>
  </w:p>
  <w:p w14:paraId="4FD4CF7D">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49CD34">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5F783726"/>
    <w:multiLevelType w:val="singleLevel"/>
    <w:tmpl w:val="5F783726"/>
    <w:lvl w:ilvl="0" w:tentative="0">
      <w:start w:val="2"/>
      <w:numFmt w:val="chineseCounting"/>
      <w:suff w:val="nothing"/>
      <w:lvlText w:val="（%1）"/>
      <w:lvlJc w:val="left"/>
    </w:lvl>
  </w:abstractNum>
  <w:abstractNum w:abstractNumId="4">
    <w:nsid w:val="5F8A4E0C"/>
    <w:multiLevelType w:val="singleLevel"/>
    <w:tmpl w:val="5F8A4E0C"/>
    <w:lvl w:ilvl="0" w:tentative="0">
      <w:start w:val="1"/>
      <w:numFmt w:val="decimal"/>
      <w:suff w:val="nothing"/>
      <w:lvlText w:val="%1."/>
      <w:lvlJc w:val="left"/>
    </w:lvl>
  </w:abstractNum>
  <w:abstractNum w:abstractNumId="5">
    <w:nsid w:val="5F8A4FFE"/>
    <w:multiLevelType w:val="singleLevel"/>
    <w:tmpl w:val="5F8A4FFE"/>
    <w:lvl w:ilvl="0" w:tentative="0">
      <w:start w:val="2"/>
      <w:numFmt w:val="decimal"/>
      <w:suff w:val="nothing"/>
      <w:lvlText w:val="%1."/>
      <w:lvlJc w:val="left"/>
    </w:lvl>
  </w:abstractNum>
  <w:abstractNum w:abstractNumId="6">
    <w:nsid w:val="5F8A5DE1"/>
    <w:multiLevelType w:val="singleLevel"/>
    <w:tmpl w:val="5F8A5DE1"/>
    <w:lvl w:ilvl="0" w:tentative="0">
      <w:start w:val="2"/>
      <w:numFmt w:val="chineseCounting"/>
      <w:suff w:val="nothing"/>
      <w:lvlText w:val="（%1）"/>
      <w:lvlJc w:val="left"/>
    </w:lvl>
  </w:abstractNum>
  <w:abstractNum w:abstractNumId="7">
    <w:nsid w:val="5F8A5E92"/>
    <w:multiLevelType w:val="singleLevel"/>
    <w:tmpl w:val="5F8A5E92"/>
    <w:lvl w:ilvl="0" w:tentative="0">
      <w:start w:val="3"/>
      <w:numFmt w:val="chineseCounting"/>
      <w:suff w:val="nothing"/>
      <w:lvlText w:val="（%1）"/>
      <w:lvlJc w:val="left"/>
    </w:lvl>
  </w:abstractNum>
  <w:abstractNum w:abstractNumId="8">
    <w:nsid w:val="5F8A6784"/>
    <w:multiLevelType w:val="singleLevel"/>
    <w:tmpl w:val="5F8A6784"/>
    <w:lvl w:ilvl="0" w:tentative="0">
      <w:start w:val="1"/>
      <w:numFmt w:val="decimal"/>
      <w:suff w:val="nothing"/>
      <w:lvlText w:val="%1."/>
      <w:lvlJc w:val="left"/>
    </w:lvl>
  </w:abstractNum>
  <w:abstractNum w:abstractNumId="9">
    <w:nsid w:val="5F8A67FA"/>
    <w:multiLevelType w:val="singleLevel"/>
    <w:tmpl w:val="5F8A67FA"/>
    <w:lvl w:ilvl="0" w:tentative="0">
      <w:start w:val="2"/>
      <w:numFmt w:val="decimal"/>
      <w:suff w:val="nothing"/>
      <w:lvlText w:val="%1."/>
      <w:lvlJc w:val="left"/>
    </w:lvl>
  </w:abstractNum>
  <w:abstractNum w:abstractNumId="10">
    <w:nsid w:val="5F8A6B90"/>
    <w:multiLevelType w:val="singleLevel"/>
    <w:tmpl w:val="5F8A6B90"/>
    <w:lvl w:ilvl="0" w:tentative="0">
      <w:start w:val="2"/>
      <w:numFmt w:val="chineseCounting"/>
      <w:suff w:val="nothing"/>
      <w:lvlText w:val="（%1）"/>
      <w:lvlJc w:val="left"/>
    </w:lvl>
  </w:abstractNum>
  <w:abstractNum w:abstractNumId="11">
    <w:nsid w:val="5F8A76BE"/>
    <w:multiLevelType w:val="singleLevel"/>
    <w:tmpl w:val="5F8A76BE"/>
    <w:lvl w:ilvl="0" w:tentative="0">
      <w:start w:val="4"/>
      <w:numFmt w:val="chineseCounting"/>
      <w:suff w:val="nothing"/>
      <w:lvlText w:val="（%1）"/>
      <w:lvlJc w:val="left"/>
    </w:lvl>
  </w:abstractNum>
  <w:abstractNum w:abstractNumId="12">
    <w:nsid w:val="5F8A76EB"/>
    <w:multiLevelType w:val="singleLevel"/>
    <w:tmpl w:val="5F8A76EB"/>
    <w:lvl w:ilvl="0" w:tentative="0">
      <w:start w:val="4"/>
      <w:numFmt w:val="chineseCounting"/>
      <w:suff w:val="nothing"/>
      <w:lvlText w:val="%1、"/>
      <w:lvlJc w:val="left"/>
    </w:lvl>
  </w:abstractNum>
  <w:abstractNum w:abstractNumId="13">
    <w:nsid w:val="5F8A7751"/>
    <w:multiLevelType w:val="singleLevel"/>
    <w:tmpl w:val="5F8A7751"/>
    <w:lvl w:ilvl="0" w:tentative="0">
      <w:start w:val="5"/>
      <w:numFmt w:val="chineseCounting"/>
      <w:suff w:val="nothing"/>
      <w:lvlText w:val="%1、"/>
      <w:lvlJc w:val="left"/>
    </w:lvl>
  </w:abstractNum>
  <w:num w:numId="1">
    <w:abstractNumId w:val="2"/>
  </w:num>
  <w:num w:numId="2">
    <w:abstractNumId w:val="4"/>
  </w:num>
  <w:num w:numId="3">
    <w:abstractNumId w:val="5"/>
  </w:num>
  <w:num w:numId="4">
    <w:abstractNumId w:val="0"/>
  </w:num>
  <w:num w:numId="5">
    <w:abstractNumId w:val="1"/>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wOWEzYWI4NmU4MDRmMzg2MThmNzE5MTE2MDU4NTkifQ=="/>
  </w:docVars>
  <w:rsids>
    <w:rsidRoot w:val="00A03114"/>
    <w:rsid w:val="00695E11"/>
    <w:rsid w:val="008A28AD"/>
    <w:rsid w:val="00A03114"/>
    <w:rsid w:val="00D33134"/>
    <w:rsid w:val="00DE3B6F"/>
    <w:rsid w:val="636259B9"/>
    <w:rsid w:val="63EA2361"/>
    <w:rsid w:val="76221B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99"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99" w:semiHidden="0" w:name="Strong"/>
    <w:lsdException w:qFormat="1" w:unhideWhenUsed="0" w:uiPriority="20" w:semiHidden="0" w:name="Emphasis"/>
    <w:lsdException w:uiPriority="0" w:name="Document Map"/>
    <w:lsdException w:qFormat="1"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unhideWhenUsed/>
    <w:qFormat/>
    <w:uiPriority w:val="9"/>
    <w:pPr>
      <w:keepNext/>
      <w:keepLines/>
      <w:spacing w:before="260" w:after="260" w:line="416" w:lineRule="auto"/>
      <w:outlineLvl w:val="1"/>
    </w:pPr>
    <w:rPr>
      <w:rFonts w:ascii="Cambria" w:hAnsi="Cambria" w:cs="黑体"/>
      <w:b/>
      <w:bCs/>
      <w:sz w:val="32"/>
      <w:szCs w:val="32"/>
    </w:rPr>
  </w:style>
  <w:style w:type="paragraph" w:styleId="4">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5">
    <w:name w:val="Body Text"/>
    <w:basedOn w:val="1"/>
    <w:link w:val="26"/>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Plain Text"/>
    <w:semiHidden/>
    <w:unhideWhenUsed/>
    <w:qFormat/>
    <w:uiPriority w:val="0"/>
    <w:rPr>
      <w:rFonts w:ascii="宋体" w:hAnsi="Courier New" w:eastAsia="宋体" w:cs="Calibri"/>
      <w:lang w:val="en-US" w:eastAsia="zh-CN" w:bidi="ar-SA"/>
    </w:rPr>
  </w:style>
  <w:style w:type="paragraph" w:styleId="8">
    <w:name w:val="Balloon Text"/>
    <w:basedOn w:val="1"/>
    <w:link w:val="29"/>
    <w:semiHidden/>
    <w:unhideWhenUsed/>
    <w:qFormat/>
    <w:uiPriority w:val="99"/>
    <w:rPr>
      <w:sz w:val="18"/>
      <w:szCs w:val="18"/>
    </w:rPr>
  </w:style>
  <w:style w:type="paragraph" w:styleId="9">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character" w:styleId="15">
    <w:name w:val="Strong"/>
    <w:basedOn w:val="14"/>
    <w:qFormat/>
    <w:uiPriority w:val="99"/>
    <w:rPr>
      <w:b/>
    </w:rPr>
  </w:style>
  <w:style w:type="character" w:styleId="16">
    <w:name w:val="Hyperlink"/>
    <w:basedOn w:val="14"/>
    <w:unhideWhenUsed/>
    <w:qFormat/>
    <w:uiPriority w:val="99"/>
    <w:rPr>
      <w:color w:val="0000FF"/>
      <w:u w:val="single"/>
    </w:rPr>
  </w:style>
  <w:style w:type="paragraph" w:customStyle="1" w:styleId="1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18">
    <w:name w:val="列出段落1"/>
    <w:basedOn w:val="1"/>
    <w:qFormat/>
    <w:uiPriority w:val="34"/>
    <w:pPr>
      <w:ind w:firstLine="420" w:firstLineChars="200"/>
    </w:pPr>
  </w:style>
  <w:style w:type="paragraph" w:customStyle="1" w:styleId="19">
    <w:name w:val="TOC 标题1"/>
    <w:basedOn w:val="2"/>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paragraph" w:customStyle="1" w:styleId="20">
    <w:name w:val="TOC 标题2"/>
    <w:basedOn w:val="2"/>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character" w:customStyle="1" w:styleId="21">
    <w:name w:val="Header Char"/>
    <w:basedOn w:val="14"/>
    <w:semiHidden/>
    <w:qFormat/>
    <w:uiPriority w:val="99"/>
    <w:rPr>
      <w:rFonts w:ascii="Times New Roman" w:hAnsi="Times New Roman"/>
      <w:sz w:val="18"/>
      <w:szCs w:val="18"/>
    </w:rPr>
  </w:style>
  <w:style w:type="character" w:customStyle="1" w:styleId="22">
    <w:name w:val="页眉 Char"/>
    <w:link w:val="10"/>
    <w:semiHidden/>
    <w:qFormat/>
    <w:locked/>
    <w:uiPriority w:val="99"/>
    <w:rPr>
      <w:sz w:val="18"/>
    </w:rPr>
  </w:style>
  <w:style w:type="character" w:customStyle="1" w:styleId="23">
    <w:name w:val="Footer Char"/>
    <w:basedOn w:val="14"/>
    <w:semiHidden/>
    <w:qFormat/>
    <w:uiPriority w:val="99"/>
    <w:rPr>
      <w:rFonts w:ascii="Times New Roman" w:hAnsi="Times New Roman"/>
      <w:sz w:val="18"/>
      <w:szCs w:val="18"/>
    </w:rPr>
  </w:style>
  <w:style w:type="character" w:customStyle="1" w:styleId="24">
    <w:name w:val="页脚 Char"/>
    <w:link w:val="9"/>
    <w:qFormat/>
    <w:locked/>
    <w:uiPriority w:val="99"/>
    <w:rPr>
      <w:sz w:val="18"/>
    </w:rPr>
  </w:style>
  <w:style w:type="character" w:customStyle="1" w:styleId="25">
    <w:name w:val="Body Text Char"/>
    <w:basedOn w:val="14"/>
    <w:semiHidden/>
    <w:qFormat/>
    <w:uiPriority w:val="99"/>
    <w:rPr>
      <w:rFonts w:ascii="Times New Roman" w:hAnsi="Times New Roman"/>
      <w:szCs w:val="24"/>
    </w:rPr>
  </w:style>
  <w:style w:type="character" w:customStyle="1" w:styleId="26">
    <w:name w:val="正文文本 Char"/>
    <w:link w:val="5"/>
    <w:qFormat/>
    <w:locked/>
    <w:uiPriority w:val="99"/>
    <w:rPr>
      <w:rFonts w:ascii="仿宋_GB2312" w:hAnsi="Times New Roman" w:eastAsia="仿宋_GB2312"/>
      <w:sz w:val="24"/>
    </w:rPr>
  </w:style>
  <w:style w:type="character" w:customStyle="1" w:styleId="27">
    <w:name w:val="标题 1 Char"/>
    <w:basedOn w:val="14"/>
    <w:link w:val="2"/>
    <w:qFormat/>
    <w:uiPriority w:val="9"/>
    <w:rPr>
      <w:rFonts w:ascii="Times New Roman" w:hAnsi="Times New Roman"/>
      <w:b/>
      <w:bCs/>
      <w:kern w:val="44"/>
      <w:sz w:val="44"/>
      <w:szCs w:val="44"/>
    </w:rPr>
  </w:style>
  <w:style w:type="character" w:customStyle="1" w:styleId="28">
    <w:name w:val="标题 2 Char"/>
    <w:basedOn w:val="14"/>
    <w:link w:val="3"/>
    <w:qFormat/>
    <w:uiPriority w:val="9"/>
    <w:rPr>
      <w:rFonts w:ascii="Cambria" w:hAnsi="Cambria" w:eastAsia="宋体" w:cs="黑体"/>
      <w:b/>
      <w:bCs/>
      <w:kern w:val="2"/>
      <w:sz w:val="32"/>
      <w:szCs w:val="32"/>
    </w:rPr>
  </w:style>
  <w:style w:type="character" w:customStyle="1" w:styleId="29">
    <w:name w:val="批注框文本 Char"/>
    <w:basedOn w:val="14"/>
    <w:link w:val="8"/>
    <w:semiHidden/>
    <w:qFormat/>
    <w:uiPriority w:val="99"/>
    <w:rPr>
      <w:rFonts w:ascii="Times New Roman" w:hAnsi="Times New Roman"/>
      <w:kern w:val="2"/>
      <w:sz w:val="18"/>
      <w:szCs w:val="18"/>
    </w:rPr>
  </w:style>
  <w:style w:type="character" w:customStyle="1" w:styleId="30">
    <w:name w:val="标题 3 Char"/>
    <w:basedOn w:val="14"/>
    <w:link w:val="4"/>
    <w:qFormat/>
    <w:uiPriority w:val="9"/>
    <w:rPr>
      <w:rFonts w:ascii="Times New Roman" w:hAnsi="Times New Roman"/>
      <w:b/>
      <w:bCs/>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四川省财政厅</Company>
  <Pages>39</Pages>
  <Words>14500</Words>
  <Characters>16074</Characters>
  <Lines>120</Lines>
  <Paragraphs>33</Paragraphs>
  <TotalTime>14</TotalTime>
  <ScaleCrop>false</ScaleCrop>
  <LinksUpToDate>false</LinksUpToDate>
  <CharactersWithSpaces>16181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2020-09-28T01:52:00Z</dcterms:created>
  <dc:creator>曹颖</dc:creator>
  <cp:lastModifiedBy>倪国梅</cp:lastModifiedBy>
  <cp:lastPrinted>2020-07-23T02:58:00Z</cp:lastPrinted>
  <dcterms:modified xsi:type="dcterms:W3CDTF">2024-08-02T02:02:47Z</dcterms:modified>
  <dc:title>四川省***</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D0309C57C71547D6984A4CC132C9DED7</vt:lpwstr>
  </property>
</Properties>
</file>