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1F89FA">
      <w:pPr>
        <w:spacing w:line="600" w:lineRule="exact"/>
        <w:jc w:val="center"/>
        <w:outlineLvl w:val="0"/>
        <w:rPr>
          <w:rFonts w:ascii="方正小标宋简体" w:hAnsi="宋体" w:eastAsia="方正小标宋简体"/>
          <w:color w:val="000000"/>
          <w:sz w:val="72"/>
          <w:szCs w:val="72"/>
        </w:rPr>
      </w:pPr>
      <w:bookmarkStart w:id="0" w:name="_Toc15306267"/>
    </w:p>
    <w:p w14:paraId="5A08F617">
      <w:pPr>
        <w:spacing w:line="600" w:lineRule="exact"/>
        <w:jc w:val="center"/>
        <w:outlineLvl w:val="0"/>
        <w:rPr>
          <w:rFonts w:ascii="方正小标宋简体" w:hAnsi="宋体" w:eastAsia="方正小标宋简体"/>
          <w:color w:val="000000"/>
          <w:sz w:val="72"/>
          <w:szCs w:val="72"/>
        </w:rPr>
      </w:pPr>
    </w:p>
    <w:p w14:paraId="7E12428B">
      <w:pPr>
        <w:spacing w:line="600" w:lineRule="exact"/>
        <w:jc w:val="center"/>
        <w:outlineLvl w:val="0"/>
        <w:rPr>
          <w:rFonts w:ascii="方正小标宋简体" w:hAnsi="宋体" w:eastAsia="方正小标宋简体"/>
          <w:color w:val="000000"/>
          <w:sz w:val="72"/>
          <w:szCs w:val="72"/>
        </w:rPr>
      </w:pPr>
    </w:p>
    <w:p w14:paraId="529016BA">
      <w:pPr>
        <w:spacing w:line="600" w:lineRule="exact"/>
        <w:jc w:val="center"/>
        <w:outlineLvl w:val="0"/>
        <w:rPr>
          <w:rFonts w:ascii="方正小标宋简体" w:hAnsi="宋体" w:eastAsia="方正小标宋简体"/>
          <w:color w:val="000000"/>
          <w:sz w:val="72"/>
          <w:szCs w:val="72"/>
        </w:rPr>
      </w:pPr>
    </w:p>
    <w:p w14:paraId="25C6FCE3">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96597"/>
      <w:bookmarkStart w:id="2" w:name="_Toc15378441"/>
      <w:bookmarkStart w:id="3" w:name="_Toc15377193"/>
      <w:bookmarkStart w:id="4" w:name="_Toc52180062"/>
      <w:bookmarkStart w:id="5" w:name="_Toc15396475"/>
      <w:bookmarkStart w:id="6" w:name="_Toc15377425"/>
      <w:r>
        <w:rPr>
          <w:rFonts w:ascii="黑体" w:hAnsi="黑体" w:eastAsia="黑体"/>
          <w:color w:val="000000"/>
          <w:sz w:val="72"/>
          <w:szCs w:val="72"/>
        </w:rPr>
        <w:t>201</w:t>
      </w:r>
      <w:r>
        <w:rPr>
          <w:rFonts w:hint="eastAsia" w:ascii="黑体" w:hAnsi="黑体" w:eastAsia="黑体"/>
          <w:color w:val="000000"/>
          <w:sz w:val="72"/>
          <w:szCs w:val="72"/>
        </w:rPr>
        <w:t>9</w:t>
      </w:r>
      <w:r>
        <w:rPr>
          <w:rFonts w:hint="eastAsia" w:ascii="方正小标宋简体" w:hAnsi="宋体" w:eastAsia="方正小标宋简体"/>
          <w:color w:val="000000"/>
          <w:sz w:val="72"/>
          <w:szCs w:val="72"/>
        </w:rPr>
        <w:t>年度</w:t>
      </w:r>
      <w:bookmarkEnd w:id="1"/>
      <w:bookmarkEnd w:id="2"/>
      <w:bookmarkEnd w:id="3"/>
      <w:bookmarkEnd w:id="4"/>
      <w:bookmarkEnd w:id="5"/>
      <w:bookmarkEnd w:id="6"/>
    </w:p>
    <w:p w14:paraId="08B371B1">
      <w:pPr>
        <w:adjustRightInd w:val="0"/>
        <w:snapToGrid w:val="0"/>
        <w:spacing w:line="360" w:lineRule="auto"/>
        <w:jc w:val="center"/>
        <w:outlineLvl w:val="0"/>
        <w:rPr>
          <w:rFonts w:ascii="方正小标宋简体" w:hAnsi="宋体" w:eastAsia="方正小标宋简体"/>
          <w:color w:val="000000"/>
          <w:sz w:val="72"/>
          <w:szCs w:val="72"/>
        </w:rPr>
      </w:pPr>
      <w:bookmarkStart w:id="7" w:name="_Toc15396598"/>
      <w:bookmarkStart w:id="8" w:name="_Toc15378442"/>
      <w:bookmarkStart w:id="9" w:name="_Toc15377426"/>
      <w:bookmarkStart w:id="10" w:name="_Toc15377194"/>
      <w:bookmarkStart w:id="11" w:name="_Toc52180063"/>
      <w:bookmarkStart w:id="12" w:name="_Toc15396476"/>
      <w:r>
        <w:rPr>
          <w:rFonts w:hint="eastAsia" w:ascii="方正小标宋简体" w:hAnsi="宋体" w:eastAsia="方正小标宋简体"/>
          <w:color w:val="000000"/>
          <w:sz w:val="72"/>
          <w:szCs w:val="72"/>
        </w:rPr>
        <w:t>盐边县</w:t>
      </w:r>
      <w:bookmarkEnd w:id="0"/>
      <w:bookmarkStart w:id="13" w:name="_Toc15306268"/>
      <w:r>
        <w:rPr>
          <w:rFonts w:hint="eastAsia" w:ascii="方正小标宋简体" w:hAnsi="宋体" w:eastAsia="方正小标宋简体"/>
          <w:color w:val="000000"/>
          <w:sz w:val="72"/>
          <w:szCs w:val="72"/>
        </w:rPr>
        <w:t>箐河乡人民政府</w:t>
      </w:r>
    </w:p>
    <w:p w14:paraId="42A6A773">
      <w:pPr>
        <w:adjustRightInd w:val="0"/>
        <w:snapToGrid w:val="0"/>
        <w:spacing w:line="360" w:lineRule="auto"/>
        <w:jc w:val="center"/>
        <w:outlineLvl w:val="0"/>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部门决算</w:t>
      </w:r>
      <w:bookmarkEnd w:id="7"/>
      <w:bookmarkEnd w:id="8"/>
      <w:bookmarkEnd w:id="9"/>
      <w:bookmarkEnd w:id="10"/>
      <w:bookmarkEnd w:id="11"/>
      <w:bookmarkEnd w:id="12"/>
      <w:bookmarkEnd w:id="13"/>
    </w:p>
    <w:p w14:paraId="214C4685">
      <w:pPr>
        <w:widowControl/>
        <w:jc w:val="center"/>
        <w:rPr>
          <w:rFonts w:ascii="黑体" w:hAnsi="黑体" w:eastAsia="黑体"/>
          <w:color w:val="000000"/>
          <w:sz w:val="48"/>
          <w:szCs w:val="48"/>
        </w:rPr>
      </w:pPr>
      <w:bookmarkStart w:id="119" w:name="_GoBack"/>
      <w:bookmarkEnd w:id="119"/>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14:paraId="0016EFEC">
      <w:pPr>
        <w:widowControl/>
        <w:jc w:val="center"/>
        <w:rPr>
          <w:rFonts w:ascii="黑体" w:hAnsi="黑体" w:eastAsia="黑体" w:cs="黑体"/>
          <w:sz w:val="28"/>
          <w:szCs w:val="28"/>
        </w:rPr>
      </w:pPr>
    </w:p>
    <w:p w14:paraId="76021E7F">
      <w:pPr>
        <w:pStyle w:val="11"/>
      </w:pPr>
      <w:r>
        <w:rPr>
          <w:rFonts w:hint="eastAsia"/>
        </w:rPr>
        <w:t>公开时间：2020年10月23日</w:t>
      </w:r>
    </w:p>
    <w:p w14:paraId="542A9B49">
      <w:pPr>
        <w:widowControl/>
        <w:spacing w:line="440" w:lineRule="exact"/>
        <w:jc w:val="left"/>
        <w:rPr>
          <w:rFonts w:ascii="仿宋" w:hAnsi="仿宋" w:eastAsia="仿宋"/>
          <w:bCs/>
          <w:kern w:val="44"/>
          <w:sz w:val="24"/>
        </w:rPr>
      </w:pPr>
      <w:bookmarkStart w:id="14" w:name="_Toc15377196"/>
      <w:bookmarkStart w:id="15" w:name="_Toc15396599"/>
      <w:r>
        <w:rPr>
          <w:rFonts w:ascii="仿宋" w:hAnsi="仿宋" w:eastAsia="仿宋"/>
          <w:b/>
          <w:sz w:val="24"/>
        </w:rPr>
        <w:br w:type="page"/>
      </w:r>
    </w:p>
    <w:p w14:paraId="340E0C69">
      <w:pPr>
        <w:pStyle w:val="2"/>
        <w:jc w:val="center"/>
        <w:rPr>
          <w:rStyle w:val="27"/>
          <w:rFonts w:ascii="黑体" w:hAnsi="黑体" w:eastAsia="黑体"/>
          <w:b/>
          <w:bCs w:val="0"/>
        </w:rPr>
      </w:pPr>
      <w:bookmarkStart w:id="16" w:name="_Toc52180065"/>
      <w:r>
        <w:rPr>
          <w:rFonts w:hint="eastAsia" w:ascii="黑体" w:hAnsi="黑体" w:eastAsia="黑体"/>
          <w:b w:val="0"/>
        </w:rPr>
        <w:t xml:space="preserve">第一部分 </w:t>
      </w:r>
      <w:r>
        <w:rPr>
          <w:rStyle w:val="27"/>
          <w:rFonts w:hint="eastAsia" w:ascii="黑体" w:hAnsi="黑体" w:eastAsia="黑体"/>
          <w:b w:val="0"/>
          <w:bCs w:val="0"/>
        </w:rPr>
        <w:t>部门概况</w:t>
      </w:r>
      <w:bookmarkEnd w:id="14"/>
      <w:bookmarkEnd w:id="15"/>
      <w:bookmarkEnd w:id="16"/>
    </w:p>
    <w:p w14:paraId="17B698BF">
      <w:pPr>
        <w:widowControl/>
        <w:jc w:val="left"/>
        <w:rPr>
          <w:rFonts w:ascii="黑体" w:eastAsia="黑体"/>
          <w:color w:val="000000"/>
          <w:sz w:val="32"/>
          <w:szCs w:val="32"/>
        </w:rPr>
      </w:pPr>
    </w:p>
    <w:p w14:paraId="584FA7AF">
      <w:pPr>
        <w:pStyle w:val="3"/>
        <w:rPr>
          <w:rStyle w:val="28"/>
          <w:rFonts w:ascii="仿宋" w:hAnsi="仿宋" w:eastAsia="仿宋"/>
          <w:b w:val="0"/>
          <w:bCs w:val="0"/>
        </w:rPr>
      </w:pPr>
      <w:bookmarkStart w:id="17" w:name="_Toc15396600"/>
      <w:bookmarkStart w:id="18" w:name="_Toc15377197"/>
      <w:bookmarkStart w:id="19" w:name="_Toc52180066"/>
      <w:r>
        <w:rPr>
          <w:rFonts w:hint="eastAsia" w:ascii="黑体" w:hAnsi="黑体" w:eastAsia="黑体"/>
          <w:b w:val="0"/>
          <w:color w:val="000000"/>
        </w:rPr>
        <w:t>一、基</w:t>
      </w:r>
      <w:r>
        <w:rPr>
          <w:rStyle w:val="28"/>
          <w:rFonts w:hint="eastAsia" w:ascii="黑体" w:hAnsi="黑体" w:eastAsia="黑体"/>
          <w:b w:val="0"/>
          <w:bCs w:val="0"/>
        </w:rPr>
        <w:t>本职能及主要工作</w:t>
      </w:r>
      <w:bookmarkEnd w:id="17"/>
      <w:bookmarkEnd w:id="18"/>
      <w:bookmarkEnd w:id="19"/>
    </w:p>
    <w:p w14:paraId="3D9BA3B9">
      <w:pPr>
        <w:pStyle w:val="5"/>
        <w:adjustRightInd w:val="0"/>
        <w:snapToGrid w:val="0"/>
        <w:spacing w:before="93" w:line="600" w:lineRule="exact"/>
        <w:ind w:firstLine="672" w:firstLineChars="210"/>
        <w:outlineLvl w:val="2"/>
        <w:rPr>
          <w:rFonts w:ascii="仿宋" w:hAnsi="仿宋" w:eastAsia="仿宋"/>
          <w:bCs/>
          <w:color w:val="000000"/>
          <w:sz w:val="32"/>
          <w:szCs w:val="32"/>
        </w:rPr>
      </w:pPr>
      <w:bookmarkStart w:id="20" w:name="_Toc15378445"/>
      <w:bookmarkStart w:id="21" w:name="_Toc15377198"/>
      <w:bookmarkStart w:id="22" w:name="_Toc52180067"/>
      <w:r>
        <w:rPr>
          <w:rFonts w:hint="eastAsia" w:ascii="仿宋" w:hAnsi="仿宋" w:eastAsia="仿宋"/>
          <w:bCs/>
          <w:color w:val="000000"/>
          <w:sz w:val="32"/>
          <w:szCs w:val="32"/>
        </w:rPr>
        <w:t>（一）主要职能。</w:t>
      </w:r>
      <w:bookmarkEnd w:id="20"/>
      <w:bookmarkEnd w:id="21"/>
      <w:bookmarkEnd w:id="22"/>
    </w:p>
    <w:p w14:paraId="4EB49348">
      <w:pPr>
        <w:ind w:firstLine="600"/>
        <w:rPr>
          <w:rFonts w:ascii="仿宋_GB2312" w:eastAsia="仿宋_GB2312"/>
          <w:color w:val="000000"/>
          <w:kern w:val="0"/>
          <w:sz w:val="32"/>
          <w:szCs w:val="32"/>
        </w:rPr>
      </w:pPr>
      <w:r>
        <w:rPr>
          <w:rFonts w:hint="eastAsia" w:ascii="仿宋_GB2312" w:eastAsia="仿宋_GB2312"/>
          <w:color w:val="000000"/>
          <w:kern w:val="0"/>
          <w:sz w:val="32"/>
          <w:szCs w:val="32"/>
        </w:rPr>
        <w:t>1.贯彻执行国家有关财政管理等方面的法律、法规和规章;拟定和执行乡镇财政发展规划及其他有关政策。</w:t>
      </w:r>
    </w:p>
    <w:p w14:paraId="637D092B">
      <w:pPr>
        <w:ind w:firstLine="600"/>
        <w:rPr>
          <w:rFonts w:ascii="仿宋_GB2312" w:eastAsia="仿宋_GB2312"/>
          <w:color w:val="000000"/>
          <w:kern w:val="0"/>
          <w:sz w:val="32"/>
          <w:szCs w:val="32"/>
        </w:rPr>
      </w:pPr>
      <w:r>
        <w:rPr>
          <w:rFonts w:hint="eastAsia" w:ascii="仿宋_GB2312" w:eastAsia="仿宋_GB2312"/>
          <w:color w:val="000000"/>
          <w:kern w:val="0"/>
          <w:sz w:val="32"/>
          <w:szCs w:val="32"/>
        </w:rPr>
        <w:t>2.编制乡镇年度财政预算草案并组织执行;向乡镇人大报告财政决算;管理和监督乡镇各项财政收支。</w:t>
      </w:r>
    </w:p>
    <w:p w14:paraId="5F62415E">
      <w:pPr>
        <w:ind w:firstLine="600"/>
        <w:rPr>
          <w:rFonts w:ascii="仿宋_GB2312" w:eastAsia="仿宋_GB2312"/>
          <w:color w:val="000000"/>
          <w:kern w:val="0"/>
          <w:sz w:val="32"/>
          <w:szCs w:val="32"/>
        </w:rPr>
      </w:pPr>
      <w:r>
        <w:rPr>
          <w:rFonts w:hint="eastAsia" w:ascii="仿宋_GB2312" w:eastAsia="仿宋_GB2312"/>
          <w:color w:val="000000"/>
          <w:kern w:val="0"/>
          <w:sz w:val="32"/>
          <w:szCs w:val="32"/>
        </w:rPr>
        <w:t>3.管理各类政策性补贴等资金，建立惠农资金补助对象管理新机制，进一步完善财政补贴农民资金“一卡(折)通”发放机制。</w:t>
      </w:r>
    </w:p>
    <w:p w14:paraId="00636E30">
      <w:pPr>
        <w:ind w:firstLine="600"/>
        <w:rPr>
          <w:rFonts w:ascii="仿宋_GB2312" w:eastAsia="仿宋_GB2312"/>
          <w:color w:val="000000"/>
          <w:kern w:val="0"/>
          <w:sz w:val="32"/>
          <w:szCs w:val="32"/>
        </w:rPr>
      </w:pPr>
      <w:r>
        <w:rPr>
          <w:rFonts w:hint="eastAsia" w:ascii="仿宋_GB2312" w:eastAsia="仿宋_GB2312"/>
          <w:color w:val="000000"/>
          <w:kern w:val="0"/>
          <w:sz w:val="32"/>
          <w:szCs w:val="32"/>
        </w:rPr>
        <w:t>4.负责乡镇耕地占用税和契税的征收管理;管理乡镇政府非税收入。</w:t>
      </w:r>
    </w:p>
    <w:p w14:paraId="3C55FD93">
      <w:pPr>
        <w:ind w:firstLine="600"/>
        <w:rPr>
          <w:rFonts w:ascii="仿宋_GB2312" w:eastAsia="仿宋_GB2312"/>
          <w:color w:val="000000"/>
          <w:kern w:val="0"/>
          <w:sz w:val="32"/>
          <w:szCs w:val="32"/>
        </w:rPr>
      </w:pPr>
      <w:r>
        <w:rPr>
          <w:rFonts w:hint="eastAsia" w:ascii="仿宋_GB2312" w:eastAsia="仿宋_GB2312"/>
          <w:color w:val="000000"/>
          <w:kern w:val="0"/>
          <w:sz w:val="32"/>
          <w:szCs w:val="32"/>
        </w:rPr>
        <w:t>5.负责对各类专项资金的监管，提高财政资金使用效率。</w:t>
      </w:r>
    </w:p>
    <w:p w14:paraId="1D059A5B">
      <w:pPr>
        <w:ind w:firstLine="600"/>
        <w:rPr>
          <w:rFonts w:ascii="仿宋_GB2312" w:eastAsia="仿宋_GB2312"/>
          <w:color w:val="000000"/>
          <w:kern w:val="0"/>
          <w:sz w:val="32"/>
          <w:szCs w:val="32"/>
        </w:rPr>
      </w:pPr>
      <w:r>
        <w:rPr>
          <w:rFonts w:hint="eastAsia" w:ascii="仿宋_GB2312" w:eastAsia="仿宋_GB2312"/>
          <w:color w:val="000000"/>
          <w:kern w:val="0"/>
          <w:sz w:val="32"/>
          <w:szCs w:val="32"/>
        </w:rPr>
        <w:t>6.提出加强财政管理的政策建议;负责财政、税收政策法规的宣传工作。</w:t>
      </w:r>
    </w:p>
    <w:p w14:paraId="48CA5527">
      <w:pPr>
        <w:ind w:firstLine="600"/>
        <w:rPr>
          <w:rFonts w:ascii="仿宋_GB2312" w:eastAsia="仿宋_GB2312"/>
          <w:color w:val="000000"/>
          <w:kern w:val="0"/>
          <w:sz w:val="32"/>
          <w:szCs w:val="32"/>
        </w:rPr>
      </w:pPr>
      <w:r>
        <w:rPr>
          <w:rFonts w:hint="eastAsia" w:ascii="仿宋_GB2312" w:eastAsia="仿宋_GB2312"/>
          <w:color w:val="000000"/>
          <w:kern w:val="0"/>
          <w:sz w:val="32"/>
          <w:szCs w:val="32"/>
        </w:rPr>
        <w:t>7.执行会计集中核算，落实“乡财县管、村帐乡监”、“农村三资代理服务”等管理制度，严格按照上级财政部门规定的工作程序开展工作，充分发挥财政资金效益。</w:t>
      </w:r>
    </w:p>
    <w:p w14:paraId="0B102545">
      <w:pPr>
        <w:ind w:firstLine="600"/>
        <w:rPr>
          <w:rFonts w:ascii="仿宋_GB2312" w:eastAsia="仿宋_GB2312"/>
          <w:color w:val="000000"/>
          <w:kern w:val="0"/>
          <w:sz w:val="32"/>
          <w:szCs w:val="32"/>
        </w:rPr>
      </w:pPr>
      <w:r>
        <w:rPr>
          <w:rFonts w:hint="eastAsia" w:ascii="仿宋_GB2312" w:eastAsia="仿宋_GB2312"/>
          <w:color w:val="000000"/>
          <w:kern w:val="0"/>
          <w:sz w:val="32"/>
          <w:szCs w:val="32"/>
        </w:rPr>
        <w:t>8.负责本乡镇行政事业单位的国有资产监督管理工作。</w:t>
      </w:r>
    </w:p>
    <w:p w14:paraId="00129977">
      <w:pPr>
        <w:ind w:firstLine="600"/>
        <w:rPr>
          <w:rFonts w:ascii="仿宋_GB2312" w:eastAsia="仿宋_GB2312"/>
          <w:color w:val="000000"/>
          <w:kern w:val="0"/>
          <w:sz w:val="32"/>
          <w:szCs w:val="32"/>
        </w:rPr>
      </w:pPr>
      <w:r>
        <w:rPr>
          <w:rFonts w:hint="eastAsia" w:ascii="仿宋_GB2312" w:eastAsia="仿宋_GB2312"/>
          <w:color w:val="000000"/>
          <w:kern w:val="0"/>
          <w:sz w:val="32"/>
          <w:szCs w:val="32"/>
        </w:rPr>
        <w:t>9.负责做好农村综合改革和社会主义新农村建设相关工作。</w:t>
      </w:r>
    </w:p>
    <w:p w14:paraId="0ECCC8F8">
      <w:pPr>
        <w:ind w:firstLine="600"/>
        <w:rPr>
          <w:rFonts w:ascii="仿宋" w:hAnsi="仿宋" w:eastAsia="仿宋"/>
          <w:bCs/>
          <w:color w:val="000000"/>
          <w:sz w:val="32"/>
          <w:szCs w:val="32"/>
        </w:rPr>
      </w:pPr>
      <w:r>
        <w:rPr>
          <w:rFonts w:hint="eastAsia" w:ascii="仿宋_GB2312" w:eastAsia="仿宋_GB2312"/>
          <w:color w:val="000000"/>
          <w:kern w:val="0"/>
          <w:sz w:val="32"/>
          <w:szCs w:val="32"/>
        </w:rPr>
        <w:t>10、承办乡镇党委、政府及上级财政部门交办的其他事项。</w:t>
      </w:r>
    </w:p>
    <w:p w14:paraId="68D1ED37">
      <w:pPr>
        <w:pStyle w:val="5"/>
        <w:adjustRightInd w:val="0"/>
        <w:snapToGrid w:val="0"/>
        <w:spacing w:before="93" w:line="600" w:lineRule="exact"/>
        <w:ind w:firstLine="672" w:firstLineChars="210"/>
        <w:outlineLvl w:val="2"/>
        <w:rPr>
          <w:rFonts w:ascii="仿宋" w:hAnsi="仿宋" w:eastAsia="仿宋"/>
          <w:bCs/>
          <w:color w:val="000000"/>
          <w:sz w:val="32"/>
          <w:szCs w:val="32"/>
        </w:rPr>
      </w:pPr>
      <w:bookmarkStart w:id="23" w:name="_Toc15378446"/>
      <w:bookmarkStart w:id="24" w:name="_Toc15377199"/>
      <w:bookmarkStart w:id="25" w:name="_Toc52180068"/>
      <w:r>
        <w:rPr>
          <w:rFonts w:hint="eastAsia" w:ascii="仿宋" w:hAnsi="仿宋" w:eastAsia="仿宋"/>
          <w:bCs/>
          <w:color w:val="000000"/>
          <w:sz w:val="32"/>
          <w:szCs w:val="32"/>
        </w:rPr>
        <w:t>（二）</w:t>
      </w:r>
      <w:r>
        <w:rPr>
          <w:rFonts w:ascii="仿宋" w:hAnsi="仿宋" w:eastAsia="仿宋"/>
          <w:bCs/>
          <w:color w:val="000000"/>
          <w:sz w:val="32"/>
          <w:szCs w:val="32"/>
        </w:rPr>
        <w:t>201</w:t>
      </w:r>
      <w:r>
        <w:rPr>
          <w:rFonts w:hint="eastAsia" w:ascii="仿宋" w:hAnsi="仿宋" w:eastAsia="仿宋"/>
          <w:bCs/>
          <w:color w:val="000000"/>
          <w:sz w:val="32"/>
          <w:szCs w:val="32"/>
        </w:rPr>
        <w:t>9年重点工作完成情况。</w:t>
      </w:r>
      <w:bookmarkEnd w:id="23"/>
      <w:bookmarkEnd w:id="24"/>
      <w:bookmarkEnd w:id="25"/>
    </w:p>
    <w:p w14:paraId="0F26BFBC">
      <w:pPr>
        <w:pStyle w:val="5"/>
        <w:adjustRightInd w:val="0"/>
        <w:snapToGrid w:val="0"/>
        <w:spacing w:before="93" w:line="600" w:lineRule="exact"/>
        <w:ind w:firstLine="672" w:firstLineChars="210"/>
        <w:outlineLvl w:val="2"/>
        <w:rPr>
          <w:rFonts w:ascii="仿宋" w:hAnsi="仿宋" w:eastAsia="仿宋"/>
          <w:bCs/>
          <w:color w:val="000000"/>
          <w:sz w:val="32"/>
          <w:szCs w:val="32"/>
        </w:rPr>
      </w:pPr>
    </w:p>
    <w:p w14:paraId="18DCB502">
      <w:pPr>
        <w:pStyle w:val="3"/>
        <w:rPr>
          <w:rStyle w:val="28"/>
          <w:b w:val="0"/>
          <w:bCs w:val="0"/>
        </w:rPr>
      </w:pPr>
      <w:bookmarkStart w:id="26" w:name="_Toc15396601"/>
      <w:bookmarkStart w:id="27" w:name="_Toc15377200"/>
      <w:bookmarkStart w:id="28" w:name="_Toc52180069"/>
      <w:r>
        <w:rPr>
          <w:rFonts w:hint="eastAsia" w:ascii="黑体" w:eastAsia="黑体"/>
          <w:b w:val="0"/>
          <w:color w:val="000000"/>
        </w:rPr>
        <w:t>二、</w:t>
      </w:r>
      <w:r>
        <w:rPr>
          <w:rFonts w:hint="eastAsia" w:ascii="黑体" w:hAnsi="黑体" w:eastAsia="黑体"/>
          <w:b w:val="0"/>
          <w:color w:val="000000"/>
        </w:rPr>
        <w:t>机</w:t>
      </w:r>
      <w:r>
        <w:rPr>
          <w:rStyle w:val="28"/>
          <w:rFonts w:hint="eastAsia" w:ascii="黑体" w:hAnsi="黑体" w:eastAsia="黑体"/>
          <w:b w:val="0"/>
          <w:bCs w:val="0"/>
        </w:rPr>
        <w:t>构设置</w:t>
      </w:r>
      <w:bookmarkEnd w:id="26"/>
      <w:bookmarkEnd w:id="27"/>
      <w:bookmarkEnd w:id="28"/>
    </w:p>
    <w:p w14:paraId="72E89327">
      <w:pPr>
        <w:pStyle w:val="5"/>
        <w:adjustRightInd w:val="0"/>
        <w:snapToGrid w:val="0"/>
        <w:spacing w:before="93" w:line="560" w:lineRule="exact"/>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盐边县箐河乡人民政府属于机关事业一级单位，其中行政单位1个，事业单位3个，包含：农业服务中心、宣文中心、社会保障和就业服务中心。</w:t>
      </w:r>
    </w:p>
    <w:p w14:paraId="058A9D8E">
      <w:pPr>
        <w:widowControl/>
        <w:jc w:val="left"/>
        <w:rPr>
          <w:rFonts w:ascii="仿宋" w:hAnsi="仿宋" w:eastAsia="仿宋"/>
          <w:color w:val="000000"/>
          <w:kern w:val="0"/>
          <w:sz w:val="32"/>
          <w:szCs w:val="32"/>
        </w:rPr>
      </w:pPr>
    </w:p>
    <w:p w14:paraId="2DE2F012">
      <w:pPr>
        <w:pStyle w:val="2"/>
        <w:ind w:right="440"/>
        <w:jc w:val="right"/>
        <w:rPr>
          <w:rFonts w:ascii="黑体" w:hAnsi="黑体" w:eastAsia="黑体"/>
          <w:b w:val="0"/>
          <w:color w:val="000000"/>
        </w:rPr>
      </w:pPr>
      <w:bookmarkStart w:id="29" w:name="_Toc15377204"/>
      <w:bookmarkStart w:id="30" w:name="_Toc15396602"/>
      <w:bookmarkStart w:id="31" w:name="_Toc52180073"/>
    </w:p>
    <w:p w14:paraId="126EE974">
      <w:pPr>
        <w:pStyle w:val="2"/>
        <w:ind w:right="440"/>
        <w:rPr>
          <w:rFonts w:ascii="黑体" w:hAnsi="黑体" w:eastAsia="黑体"/>
          <w:b w:val="0"/>
          <w:color w:val="000000"/>
        </w:rPr>
      </w:pPr>
    </w:p>
    <w:p w14:paraId="7469E390">
      <w:pPr>
        <w:pStyle w:val="2"/>
        <w:ind w:right="440"/>
        <w:rPr>
          <w:rFonts w:ascii="黑体" w:hAnsi="黑体" w:eastAsia="黑体"/>
          <w:b w:val="0"/>
          <w:color w:val="000000"/>
        </w:rPr>
      </w:pPr>
    </w:p>
    <w:p w14:paraId="7AA19B64">
      <w:pPr>
        <w:pStyle w:val="2"/>
        <w:ind w:right="440"/>
        <w:rPr>
          <w:rStyle w:val="27"/>
          <w:rFonts w:ascii="黑体" w:hAnsi="黑体" w:eastAsia="黑体"/>
          <w:b w:val="0"/>
          <w:bCs w:val="0"/>
        </w:rPr>
      </w:pPr>
      <w:r>
        <w:rPr>
          <w:rFonts w:hint="eastAsia" w:ascii="黑体" w:hAnsi="黑体" w:eastAsia="黑体"/>
          <w:b w:val="0"/>
          <w:color w:val="000000"/>
        </w:rPr>
        <w:t>第二部分</w:t>
      </w:r>
      <w:r>
        <w:rPr>
          <w:rStyle w:val="27"/>
          <w:rFonts w:hint="eastAsia" w:ascii="黑体" w:hAnsi="黑体" w:eastAsia="黑体"/>
          <w:b w:val="0"/>
          <w:bCs w:val="0"/>
        </w:rPr>
        <w:t>2019年度部门决算情况说明</w:t>
      </w:r>
      <w:bookmarkEnd w:id="29"/>
      <w:bookmarkEnd w:id="30"/>
      <w:bookmarkEnd w:id="31"/>
    </w:p>
    <w:p w14:paraId="112D6657"/>
    <w:p w14:paraId="17172580">
      <w:pPr>
        <w:pStyle w:val="18"/>
        <w:numPr>
          <w:ilvl w:val="0"/>
          <w:numId w:val="1"/>
        </w:numPr>
        <w:spacing w:line="600" w:lineRule="exact"/>
        <w:ind w:firstLineChars="0"/>
        <w:outlineLvl w:val="1"/>
        <w:rPr>
          <w:rStyle w:val="28"/>
          <w:rFonts w:ascii="黑体" w:hAnsi="黑体" w:eastAsia="黑体"/>
          <w:b w:val="0"/>
        </w:rPr>
      </w:pPr>
      <w:bookmarkStart w:id="32" w:name="_Toc15377205"/>
      <w:bookmarkStart w:id="33" w:name="_Toc52180074"/>
      <w:bookmarkStart w:id="34" w:name="_Toc15396603"/>
      <w:r>
        <w:rPr>
          <w:rFonts w:hint="eastAsia" w:ascii="黑体" w:hAnsi="黑体" w:eastAsia="黑体"/>
          <w:color w:val="000000"/>
          <w:sz w:val="32"/>
          <w:szCs w:val="32"/>
        </w:rPr>
        <w:t>收</w:t>
      </w:r>
      <w:r>
        <w:rPr>
          <w:rStyle w:val="28"/>
          <w:rFonts w:hint="eastAsia" w:ascii="黑体" w:hAnsi="黑体" w:eastAsia="黑体"/>
          <w:b w:val="0"/>
        </w:rPr>
        <w:t>入支出决算总体情况说明</w:t>
      </w:r>
      <w:bookmarkEnd w:id="32"/>
      <w:bookmarkEnd w:id="33"/>
      <w:bookmarkEnd w:id="34"/>
    </w:p>
    <w:p w14:paraId="47E3AE04">
      <w:pPr>
        <w:spacing w:line="600" w:lineRule="exact"/>
        <w:ind w:firstLine="640" w:firstLineChars="200"/>
        <w:rPr>
          <w:rFonts w:ascii="仿宋_GB2312" w:eastAsia="仿宋_GB2312"/>
          <w:color w:val="000000"/>
          <w:sz w:val="32"/>
          <w:szCs w:val="32"/>
        </w:rPr>
      </w:pPr>
      <w:r>
        <w:rPr>
          <w:rFonts w:hint="eastAsia" w:ascii="仿宋" w:hAnsi="仿宋" w:eastAsia="仿宋"/>
          <w:color w:val="000000"/>
          <w:sz w:val="32"/>
          <w:szCs w:val="32"/>
        </w:rPr>
        <w:t>2019年度收入841.57万元，支出914.24万元。与2018年相比，收、支各增加147.06、214.25万元，分别增长21.64</w:t>
      </w:r>
      <w:r>
        <w:rPr>
          <w:rFonts w:ascii="仿宋" w:hAnsi="仿宋" w:eastAsia="仿宋"/>
          <w:color w:val="000000"/>
          <w:sz w:val="32"/>
          <w:szCs w:val="32"/>
        </w:rPr>
        <w:t>%</w:t>
      </w:r>
      <w:r>
        <w:rPr>
          <w:rFonts w:hint="eastAsia" w:ascii="仿宋" w:hAnsi="仿宋" w:eastAsia="仿宋"/>
          <w:color w:val="000000"/>
          <w:sz w:val="32"/>
          <w:szCs w:val="32"/>
        </w:rPr>
        <w:t>、30.6%。主要变动原因是项目经费增加</w:t>
      </w:r>
    </w:p>
    <w:p w14:paraId="1F3BAEB8">
      <w:pPr>
        <w:pStyle w:val="18"/>
        <w:numPr>
          <w:ilvl w:val="0"/>
          <w:numId w:val="1"/>
        </w:numPr>
        <w:spacing w:line="600" w:lineRule="exact"/>
        <w:ind w:firstLineChars="0"/>
        <w:outlineLvl w:val="1"/>
        <w:rPr>
          <w:rStyle w:val="28"/>
          <w:rFonts w:ascii="黑体" w:hAnsi="黑体" w:eastAsia="黑体"/>
          <w:b w:val="0"/>
        </w:rPr>
      </w:pPr>
      <w:bookmarkStart w:id="35" w:name="_Toc15377206"/>
      <w:bookmarkStart w:id="36" w:name="_Toc15396604"/>
      <w:bookmarkStart w:id="37" w:name="_Toc52180075"/>
      <w:r>
        <w:rPr>
          <w:rFonts w:hint="eastAsia" w:ascii="黑体" w:hAnsi="黑体" w:eastAsia="黑体"/>
          <w:color w:val="000000"/>
          <w:sz w:val="32"/>
          <w:szCs w:val="32"/>
        </w:rPr>
        <w:t>收</w:t>
      </w:r>
      <w:r>
        <w:rPr>
          <w:rStyle w:val="28"/>
          <w:rFonts w:hint="eastAsia" w:ascii="黑体" w:hAnsi="黑体" w:eastAsia="黑体"/>
          <w:b w:val="0"/>
        </w:rPr>
        <w:t>入决算情况说明</w:t>
      </w:r>
      <w:bookmarkEnd w:id="35"/>
      <w:bookmarkEnd w:id="36"/>
      <w:bookmarkEnd w:id="37"/>
    </w:p>
    <w:p w14:paraId="5440A6E4">
      <w:pPr>
        <w:spacing w:line="600" w:lineRule="exact"/>
        <w:ind w:firstLine="640" w:firstLineChars="200"/>
        <w:outlineLvl w:val="1"/>
        <w:rPr>
          <w:rFonts w:ascii="仿宋_GB2312" w:eastAsia="仿宋_GB2312"/>
          <w:color w:val="FF0000"/>
          <w:sz w:val="32"/>
          <w:szCs w:val="32"/>
        </w:rPr>
      </w:pPr>
      <w:bookmarkStart w:id="38" w:name="_Toc52180076"/>
      <w:r>
        <w:rPr>
          <w:rFonts w:ascii="仿宋" w:hAnsi="仿宋" w:eastAsia="仿宋"/>
          <w:color w:val="000000"/>
          <w:sz w:val="32"/>
          <w:szCs w:val="32"/>
        </w:rPr>
        <w:t>201</w:t>
      </w:r>
      <w:r>
        <w:rPr>
          <w:rFonts w:hint="eastAsia" w:ascii="仿宋" w:hAnsi="仿宋" w:eastAsia="仿宋"/>
          <w:color w:val="000000"/>
          <w:sz w:val="32"/>
          <w:szCs w:val="32"/>
        </w:rPr>
        <w:t>9年本年收入合计841.57万元，其中：一般公共预算财政拨款收入841.57万元，占100</w:t>
      </w:r>
      <w:r>
        <w:rPr>
          <w:rFonts w:ascii="仿宋" w:hAnsi="仿宋" w:eastAsia="仿宋"/>
          <w:color w:val="000000"/>
          <w:sz w:val="32"/>
          <w:szCs w:val="32"/>
        </w:rPr>
        <w:t>%</w:t>
      </w:r>
      <w:r>
        <w:rPr>
          <w:rFonts w:hint="eastAsia" w:ascii="仿宋" w:hAnsi="仿宋" w:eastAsia="仿宋"/>
          <w:color w:val="000000"/>
          <w:sz w:val="32"/>
          <w:szCs w:val="32"/>
        </w:rPr>
        <w:t>。</w:t>
      </w:r>
      <w:bookmarkEnd w:id="38"/>
    </w:p>
    <w:p w14:paraId="17746DC0">
      <w:pPr>
        <w:pStyle w:val="18"/>
        <w:numPr>
          <w:ilvl w:val="0"/>
          <w:numId w:val="1"/>
        </w:numPr>
        <w:spacing w:line="600" w:lineRule="exact"/>
        <w:ind w:firstLineChars="0"/>
        <w:outlineLvl w:val="1"/>
        <w:rPr>
          <w:rStyle w:val="28"/>
          <w:rFonts w:ascii="黑体" w:hAnsi="黑体" w:eastAsia="黑体"/>
          <w:b w:val="0"/>
        </w:rPr>
      </w:pPr>
      <w:bookmarkStart w:id="39" w:name="_Toc15396605"/>
      <w:bookmarkStart w:id="40" w:name="_Toc52180077"/>
      <w:bookmarkStart w:id="41" w:name="_Toc15377207"/>
      <w:r>
        <w:rPr>
          <w:rFonts w:hint="eastAsia" w:ascii="黑体" w:hAnsi="黑体" w:eastAsia="黑体"/>
          <w:color w:val="000000"/>
          <w:sz w:val="32"/>
          <w:szCs w:val="32"/>
        </w:rPr>
        <w:t>支</w:t>
      </w:r>
      <w:r>
        <w:rPr>
          <w:rStyle w:val="28"/>
          <w:rFonts w:hint="eastAsia" w:ascii="黑体" w:hAnsi="黑体" w:eastAsia="黑体"/>
          <w:b w:val="0"/>
        </w:rPr>
        <w:t>出决算情况说明</w:t>
      </w:r>
      <w:bookmarkEnd w:id="39"/>
      <w:bookmarkEnd w:id="40"/>
      <w:bookmarkEnd w:id="41"/>
    </w:p>
    <w:p w14:paraId="655CA30C">
      <w:pPr>
        <w:spacing w:line="600" w:lineRule="exact"/>
        <w:ind w:left="636" w:leftChars="303" w:firstLine="640" w:firstLineChars="200"/>
        <w:outlineLvl w:val="1"/>
        <w:rPr>
          <w:rFonts w:ascii="仿宋" w:hAnsi="仿宋" w:eastAsia="仿宋"/>
          <w:color w:val="000000"/>
          <w:sz w:val="32"/>
          <w:szCs w:val="32"/>
        </w:rPr>
      </w:pPr>
      <w:bookmarkStart w:id="42" w:name="_Toc52180078"/>
      <w:r>
        <w:rPr>
          <w:rFonts w:ascii="仿宋" w:hAnsi="仿宋" w:eastAsia="仿宋"/>
          <w:color w:val="000000"/>
          <w:sz w:val="32"/>
          <w:szCs w:val="32"/>
        </w:rPr>
        <w:t>201</w:t>
      </w:r>
      <w:r>
        <w:rPr>
          <w:rFonts w:hint="eastAsia" w:ascii="仿宋" w:hAnsi="仿宋" w:eastAsia="仿宋"/>
          <w:color w:val="000000"/>
          <w:sz w:val="32"/>
          <w:szCs w:val="32"/>
        </w:rPr>
        <w:t>9年本年支出合计914.24万元，其中：基本支出620.03万元，占76.6</w:t>
      </w:r>
      <w:r>
        <w:rPr>
          <w:rFonts w:ascii="仿宋" w:hAnsi="仿宋" w:eastAsia="仿宋"/>
          <w:color w:val="000000"/>
          <w:sz w:val="32"/>
          <w:szCs w:val="32"/>
        </w:rPr>
        <w:t>%</w:t>
      </w:r>
      <w:r>
        <w:rPr>
          <w:rFonts w:hint="eastAsia" w:ascii="仿宋" w:hAnsi="仿宋" w:eastAsia="仿宋"/>
          <w:color w:val="000000"/>
          <w:sz w:val="32"/>
          <w:szCs w:val="32"/>
        </w:rPr>
        <w:t>；项目支出294.21万元，占34.95</w:t>
      </w:r>
      <w:r>
        <w:rPr>
          <w:rFonts w:ascii="仿宋" w:hAnsi="仿宋" w:eastAsia="仿宋"/>
          <w:color w:val="000000"/>
          <w:sz w:val="32"/>
          <w:szCs w:val="32"/>
        </w:rPr>
        <w:t>%</w:t>
      </w:r>
      <w:r>
        <w:rPr>
          <w:rFonts w:hint="eastAsia" w:ascii="仿宋" w:hAnsi="仿宋" w:eastAsia="仿宋"/>
          <w:color w:val="000000"/>
          <w:sz w:val="32"/>
          <w:szCs w:val="32"/>
        </w:rPr>
        <w:t>。</w:t>
      </w:r>
      <w:bookmarkEnd w:id="42"/>
    </w:p>
    <w:p w14:paraId="0848CD17">
      <w:pPr>
        <w:spacing w:line="600" w:lineRule="exact"/>
        <w:ind w:firstLine="640" w:firstLineChars="200"/>
        <w:outlineLvl w:val="1"/>
        <w:rPr>
          <w:rStyle w:val="28"/>
          <w:rFonts w:ascii="黑体" w:hAnsi="黑体" w:eastAsia="黑体"/>
          <w:b w:val="0"/>
        </w:rPr>
      </w:pPr>
      <w:bookmarkStart w:id="43" w:name="_Toc15396606"/>
      <w:bookmarkStart w:id="44" w:name="_Toc52180079"/>
      <w:bookmarkStart w:id="45" w:name="_Toc15377208"/>
      <w:r>
        <w:rPr>
          <w:rFonts w:hint="eastAsia" w:ascii="黑体" w:hAnsi="黑体" w:eastAsia="黑体"/>
          <w:color w:val="000000"/>
          <w:sz w:val="32"/>
          <w:szCs w:val="32"/>
        </w:rPr>
        <w:t>四、财</w:t>
      </w:r>
      <w:r>
        <w:rPr>
          <w:rStyle w:val="28"/>
          <w:rFonts w:hint="eastAsia" w:ascii="黑体" w:hAnsi="黑体" w:eastAsia="黑体"/>
          <w:b w:val="0"/>
        </w:rPr>
        <w:t>政拨款收入支出决算总体情况说明</w:t>
      </w:r>
      <w:bookmarkEnd w:id="43"/>
      <w:bookmarkEnd w:id="44"/>
      <w:bookmarkEnd w:id="45"/>
    </w:p>
    <w:p w14:paraId="146B0942">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2019年度收入841.57万元，支出914.24万元。与2018年相比，收、支各增加147.06、214.25万元，分别增长21.64</w:t>
      </w:r>
      <w:r>
        <w:rPr>
          <w:rFonts w:ascii="仿宋" w:hAnsi="仿宋" w:eastAsia="仿宋"/>
          <w:color w:val="000000"/>
          <w:sz w:val="32"/>
          <w:szCs w:val="32"/>
        </w:rPr>
        <w:t>%</w:t>
      </w:r>
      <w:r>
        <w:rPr>
          <w:rFonts w:hint="eastAsia" w:ascii="仿宋" w:hAnsi="仿宋" w:eastAsia="仿宋"/>
          <w:color w:val="000000"/>
          <w:sz w:val="32"/>
          <w:szCs w:val="32"/>
        </w:rPr>
        <w:t>、30.6%。主要变动原因是项目经费增加</w:t>
      </w:r>
    </w:p>
    <w:p w14:paraId="2982C8CD">
      <w:pPr>
        <w:spacing w:line="600" w:lineRule="exact"/>
        <w:ind w:firstLine="640" w:firstLineChars="200"/>
        <w:outlineLvl w:val="1"/>
        <w:rPr>
          <w:rStyle w:val="28"/>
          <w:rFonts w:ascii="黑体" w:hAnsi="黑体" w:eastAsia="黑体"/>
          <w:b w:val="0"/>
        </w:rPr>
      </w:pPr>
      <w:bookmarkStart w:id="46" w:name="_Toc52180080"/>
      <w:bookmarkStart w:id="47" w:name="_Toc15396607"/>
      <w:bookmarkStart w:id="48" w:name="_Toc15377209"/>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8"/>
          <w:rFonts w:hint="eastAsia" w:ascii="黑体" w:hAnsi="黑体" w:eastAsia="黑体"/>
          <w:b w:val="0"/>
        </w:rPr>
        <w:t>般公共预算财政拨款支出决算情况说明</w:t>
      </w:r>
      <w:bookmarkEnd w:id="46"/>
      <w:bookmarkEnd w:id="47"/>
      <w:bookmarkEnd w:id="48"/>
    </w:p>
    <w:p w14:paraId="36FECBDB">
      <w:pPr>
        <w:spacing w:line="600" w:lineRule="exact"/>
        <w:ind w:firstLine="643" w:firstLineChars="200"/>
        <w:outlineLvl w:val="2"/>
        <w:rPr>
          <w:rFonts w:ascii="仿宋" w:hAnsi="仿宋" w:eastAsia="仿宋"/>
          <w:b/>
          <w:color w:val="000000"/>
          <w:sz w:val="32"/>
          <w:szCs w:val="32"/>
        </w:rPr>
      </w:pPr>
      <w:bookmarkStart w:id="49" w:name="_Toc15377210"/>
      <w:bookmarkStart w:id="50" w:name="_Toc52180081"/>
      <w:r>
        <w:rPr>
          <w:rFonts w:hint="eastAsia" w:ascii="仿宋" w:hAnsi="仿宋" w:eastAsia="仿宋"/>
          <w:b/>
          <w:color w:val="000000"/>
          <w:sz w:val="32"/>
          <w:szCs w:val="32"/>
        </w:rPr>
        <w:t>（一）一般公共预算财政拨款支出决算总体情况</w:t>
      </w:r>
      <w:bookmarkEnd w:id="49"/>
      <w:bookmarkEnd w:id="50"/>
    </w:p>
    <w:p w14:paraId="543BDBAA">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9年一般公共预算财政拨款支出914.24万元，占本年支出合计的99</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201</w:t>
      </w:r>
      <w:r>
        <w:rPr>
          <w:rFonts w:hint="eastAsia" w:ascii="仿宋" w:hAnsi="仿宋" w:eastAsia="仿宋"/>
          <w:color w:val="000000"/>
          <w:sz w:val="32"/>
          <w:szCs w:val="32"/>
        </w:rPr>
        <w:t>8年相比，一般公共预算财政拨款增加140.06万元，增长21.64</w:t>
      </w:r>
      <w:r>
        <w:rPr>
          <w:rFonts w:ascii="仿宋" w:hAnsi="仿宋" w:eastAsia="仿宋"/>
          <w:color w:val="000000"/>
          <w:sz w:val="32"/>
          <w:szCs w:val="32"/>
        </w:rPr>
        <w:t>%</w:t>
      </w:r>
      <w:r>
        <w:rPr>
          <w:rFonts w:hint="eastAsia" w:ascii="仿宋" w:hAnsi="仿宋" w:eastAsia="仿宋"/>
          <w:color w:val="000000"/>
          <w:sz w:val="32"/>
          <w:szCs w:val="32"/>
        </w:rPr>
        <w:t>。主要变动原因是基本工资增加、中途追加预算项目增加、村社经费增加。</w:t>
      </w:r>
    </w:p>
    <w:p w14:paraId="5C94988E">
      <w:pPr>
        <w:spacing w:line="600" w:lineRule="exact"/>
        <w:ind w:firstLine="643" w:firstLineChars="200"/>
        <w:outlineLvl w:val="2"/>
        <w:rPr>
          <w:rFonts w:ascii="仿宋" w:hAnsi="仿宋" w:eastAsia="仿宋"/>
          <w:b/>
          <w:color w:val="000000"/>
          <w:sz w:val="32"/>
          <w:szCs w:val="32"/>
        </w:rPr>
      </w:pPr>
      <w:bookmarkStart w:id="51" w:name="_Toc52180082"/>
      <w:bookmarkStart w:id="52" w:name="_Toc15377211"/>
      <w:r>
        <w:rPr>
          <w:rFonts w:hint="eastAsia" w:ascii="仿宋" w:hAnsi="仿宋" w:eastAsia="仿宋"/>
          <w:b/>
          <w:color w:val="000000"/>
          <w:sz w:val="32"/>
          <w:szCs w:val="32"/>
        </w:rPr>
        <w:t>（二）一般公共预算财政拨款支出决算结构情况</w:t>
      </w:r>
      <w:bookmarkEnd w:id="51"/>
      <w:bookmarkEnd w:id="52"/>
    </w:p>
    <w:p w14:paraId="0F618F6B">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9年一般公共预算财政拨款支出914.24万元，主要用于以下方面</w:t>
      </w:r>
      <w:r>
        <w:rPr>
          <w:rFonts w:ascii="仿宋" w:hAnsi="仿宋" w:eastAsia="仿宋"/>
          <w:color w:val="000000"/>
          <w:sz w:val="32"/>
          <w:szCs w:val="32"/>
        </w:rPr>
        <w:t>:</w:t>
      </w:r>
      <w:r>
        <w:rPr>
          <w:rFonts w:hint="eastAsia" w:ascii="仿宋" w:hAnsi="仿宋" w:eastAsia="仿宋"/>
          <w:b/>
          <w:color w:val="000000"/>
          <w:sz w:val="32"/>
          <w:szCs w:val="32"/>
        </w:rPr>
        <w:t>一般公共服务（类）</w:t>
      </w:r>
      <w:r>
        <w:rPr>
          <w:rFonts w:hint="eastAsia" w:ascii="仿宋" w:hAnsi="仿宋" w:eastAsia="仿宋"/>
          <w:color w:val="000000"/>
          <w:sz w:val="32"/>
          <w:szCs w:val="32"/>
        </w:rPr>
        <w:t>支出408.98万元，占44.73</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color w:val="000000"/>
          <w:sz w:val="32"/>
          <w:szCs w:val="32"/>
        </w:rPr>
        <w:t>社会保障和就业（类）</w:t>
      </w:r>
      <w:r>
        <w:rPr>
          <w:rFonts w:hint="eastAsia" w:ascii="仿宋" w:hAnsi="仿宋" w:eastAsia="仿宋"/>
          <w:color w:val="000000"/>
          <w:sz w:val="32"/>
          <w:szCs w:val="32"/>
        </w:rPr>
        <w:t>支出107.19万元，占11.72</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bCs/>
          <w:color w:val="000000"/>
          <w:sz w:val="32"/>
          <w:szCs w:val="32"/>
        </w:rPr>
        <w:t>卫生健康支出</w:t>
      </w:r>
      <w:r>
        <w:rPr>
          <w:rFonts w:hint="eastAsia" w:ascii="仿宋" w:hAnsi="仿宋" w:eastAsia="仿宋"/>
          <w:color w:val="000000"/>
          <w:sz w:val="32"/>
          <w:szCs w:val="32"/>
        </w:rPr>
        <w:t>47.53万元，占5.1</w:t>
      </w:r>
      <w:r>
        <w:rPr>
          <w:rFonts w:ascii="仿宋" w:hAnsi="仿宋" w:eastAsia="仿宋"/>
          <w:color w:val="000000"/>
          <w:sz w:val="32"/>
          <w:szCs w:val="32"/>
        </w:rPr>
        <w:t>%</w:t>
      </w:r>
      <w:r>
        <w:rPr>
          <w:rFonts w:hint="eastAsia" w:ascii="仿宋" w:hAnsi="仿宋" w:eastAsia="仿宋"/>
          <w:color w:val="000000"/>
          <w:sz w:val="32"/>
          <w:szCs w:val="32"/>
        </w:rPr>
        <w:t>；农林水支出303.32万元，占33.18%；自然资源海洋气象等支出20.96万元，占2.3%；住房保障支出41.86万元，占4.6</w:t>
      </w:r>
      <w:r>
        <w:rPr>
          <w:rFonts w:ascii="仿宋" w:hAnsi="仿宋" w:eastAsia="仿宋"/>
          <w:color w:val="000000"/>
          <w:sz w:val="32"/>
          <w:szCs w:val="32"/>
        </w:rPr>
        <w:t>%</w:t>
      </w:r>
      <w:r>
        <w:rPr>
          <w:rFonts w:hint="eastAsia" w:ascii="仿宋" w:hAnsi="仿宋" w:eastAsia="仿宋"/>
          <w:color w:val="000000"/>
          <w:sz w:val="32"/>
          <w:szCs w:val="32"/>
        </w:rPr>
        <w:t>；灾害防治及应急管理支出5万元，占0.5%。</w:t>
      </w:r>
    </w:p>
    <w:p w14:paraId="0C476A72">
      <w:pPr>
        <w:spacing w:line="600" w:lineRule="exact"/>
        <w:ind w:firstLine="643" w:firstLineChars="200"/>
        <w:outlineLvl w:val="2"/>
        <w:rPr>
          <w:rFonts w:ascii="仿宋" w:hAnsi="仿宋" w:eastAsia="仿宋"/>
          <w:b/>
          <w:color w:val="000000"/>
          <w:sz w:val="32"/>
          <w:szCs w:val="32"/>
        </w:rPr>
      </w:pPr>
      <w:bookmarkStart w:id="53" w:name="_Toc15377212"/>
      <w:bookmarkStart w:id="54" w:name="_Toc52180083"/>
      <w:r>
        <w:rPr>
          <w:rFonts w:hint="eastAsia" w:ascii="仿宋" w:hAnsi="仿宋" w:eastAsia="仿宋"/>
          <w:b/>
          <w:color w:val="000000"/>
          <w:sz w:val="32"/>
          <w:szCs w:val="32"/>
        </w:rPr>
        <w:t>（三）一般公共预算财政拨款支出决算具体情况</w:t>
      </w:r>
      <w:bookmarkEnd w:id="53"/>
      <w:bookmarkEnd w:id="54"/>
    </w:p>
    <w:p w14:paraId="6C5CE876">
      <w:pPr>
        <w:spacing w:line="600" w:lineRule="exact"/>
        <w:ind w:firstLine="643" w:firstLineChars="200"/>
        <w:outlineLvl w:val="2"/>
        <w:rPr>
          <w:rFonts w:ascii="仿宋" w:hAnsi="仿宋" w:eastAsia="仿宋"/>
          <w:color w:val="FF0000"/>
          <w:sz w:val="32"/>
          <w:szCs w:val="32"/>
        </w:rPr>
      </w:pPr>
      <w:bookmarkStart w:id="55" w:name="_Toc15377213"/>
      <w:bookmarkStart w:id="56" w:name="_Toc15378460"/>
      <w:bookmarkStart w:id="57" w:name="_Toc15377444"/>
      <w:bookmarkStart w:id="58" w:name="_Toc52180084"/>
      <w:r>
        <w:rPr>
          <w:rFonts w:hint="eastAsia" w:ascii="仿宋" w:hAnsi="仿宋" w:eastAsia="仿宋"/>
          <w:b/>
          <w:color w:val="000000"/>
          <w:sz w:val="32"/>
          <w:szCs w:val="32"/>
        </w:rPr>
        <w:t>2019年般公共预算支出决算数为914.24万元</w:t>
      </w:r>
      <w:r>
        <w:rPr>
          <w:rFonts w:hint="eastAsia" w:ascii="仿宋" w:hAnsi="仿宋" w:eastAsia="仿宋"/>
          <w:color w:val="000000"/>
          <w:sz w:val="32"/>
          <w:szCs w:val="32"/>
        </w:rPr>
        <w:t>，</w:t>
      </w:r>
      <w:r>
        <w:rPr>
          <w:rStyle w:val="15"/>
          <w:rFonts w:hint="eastAsia" w:ascii="仿宋" w:hAnsi="仿宋" w:eastAsia="仿宋"/>
          <w:bCs/>
          <w:color w:val="000000"/>
          <w:sz w:val="32"/>
          <w:szCs w:val="32"/>
        </w:rPr>
        <w:t>完成预算100</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。其中：</w:t>
      </w:r>
      <w:bookmarkEnd w:id="55"/>
      <w:bookmarkEnd w:id="56"/>
      <w:bookmarkEnd w:id="57"/>
      <w:bookmarkEnd w:id="58"/>
    </w:p>
    <w:p w14:paraId="132822F7">
      <w:pPr>
        <w:numPr>
          <w:ilvl w:val="0"/>
          <w:numId w:val="2"/>
        </w:numPr>
        <w:spacing w:line="600" w:lineRule="exact"/>
        <w:ind w:firstLine="643" w:firstLineChars="200"/>
        <w:rPr>
          <w:rFonts w:ascii="仿宋" w:hAnsi="仿宋" w:eastAsia="仿宋"/>
          <w:b/>
          <w:color w:val="000000"/>
          <w:sz w:val="32"/>
          <w:szCs w:val="32"/>
        </w:rPr>
      </w:pPr>
      <w:r>
        <w:rPr>
          <w:rStyle w:val="15"/>
          <w:rFonts w:hint="eastAsia" w:ascii="仿宋" w:hAnsi="仿宋" w:eastAsia="仿宋"/>
          <w:bCs/>
          <w:color w:val="000000"/>
          <w:sz w:val="32"/>
          <w:szCs w:val="32"/>
        </w:rPr>
        <w:t>一般公共服务</w:t>
      </w:r>
      <w:r>
        <w:rPr>
          <w:rStyle w:val="15"/>
          <w:rFonts w:ascii="仿宋" w:hAnsi="仿宋" w:eastAsia="仿宋"/>
          <w:bCs/>
          <w:color w:val="000000"/>
          <w:sz w:val="32"/>
          <w:szCs w:val="32"/>
        </w:rPr>
        <w:t>:</w:t>
      </w:r>
      <w:r>
        <w:rPr>
          <w:rStyle w:val="15"/>
          <w:rFonts w:hint="eastAsia" w:ascii="仿宋" w:hAnsi="仿宋" w:eastAsia="仿宋"/>
          <w:b w:val="0"/>
          <w:bCs/>
          <w:color w:val="000000"/>
          <w:sz w:val="32"/>
          <w:szCs w:val="32"/>
        </w:rPr>
        <w:t>2010101人大事务行政运行支出决算为16.92万元，完成预算100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；2010108人大代表工作支出决算为3.89万元，完成预算100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；2010301政府行政运行支出决算为324.94万元，完成预算100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；2010302政府一般行政管理事务支出决算为30.3万元，完成预算100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；2010601财政行政运行支出决算为10.28万元，完成预算100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；2010602财政一般行政管理事务支出决算为0.54万元，完成预算100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；2013101党委行政运行支出决算为21.57万元，完成预算100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；2013102一般行政管理事务为0.54万元，完成预算100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14:paraId="761EE7E8">
      <w:pPr>
        <w:spacing w:line="600" w:lineRule="exact"/>
        <w:ind w:firstLine="643" w:firstLineChars="200"/>
        <w:rPr>
          <w:rFonts w:ascii="仿宋" w:hAnsi="仿宋" w:eastAsia="仿宋"/>
          <w:b/>
          <w:color w:val="000000"/>
          <w:sz w:val="32"/>
          <w:szCs w:val="32"/>
        </w:rPr>
      </w:pPr>
      <w:r>
        <w:rPr>
          <w:rStyle w:val="15"/>
          <w:rFonts w:hint="eastAsia" w:ascii="仿宋" w:hAnsi="仿宋" w:eastAsia="仿宋"/>
          <w:bCs/>
          <w:color w:val="000000"/>
          <w:sz w:val="32"/>
          <w:szCs w:val="32"/>
        </w:rPr>
        <w:t>2</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社会保障和就业</w:t>
      </w:r>
      <w:r>
        <w:rPr>
          <w:rStyle w:val="15"/>
          <w:rFonts w:ascii="仿宋" w:hAnsi="仿宋" w:eastAsia="仿宋"/>
          <w:bCs/>
          <w:color w:val="000000"/>
          <w:sz w:val="32"/>
          <w:szCs w:val="32"/>
        </w:rPr>
        <w:t>:</w:t>
      </w:r>
      <w:r>
        <w:rPr>
          <w:rStyle w:val="15"/>
          <w:rFonts w:hint="eastAsia" w:ascii="仿宋" w:hAnsi="仿宋" w:eastAsia="仿宋"/>
          <w:b w:val="0"/>
          <w:bCs/>
          <w:color w:val="000000"/>
          <w:sz w:val="32"/>
          <w:szCs w:val="32"/>
        </w:rPr>
        <w:t>2080109社会保险经办机构支出决算为44.6万元，完成预算100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；。2080504未归口管理的行政单位离退休决算为8.37万元，完成预算100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；2080505机关事业单位基本养老保险缴费支出决算为37.85万元，完成预算100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；2082102农村特困人员救助供养支出决算为16.37万元，完成预算100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14:paraId="02AC00CE">
      <w:pPr>
        <w:spacing w:line="600" w:lineRule="exact"/>
        <w:ind w:firstLine="643" w:firstLineChars="200"/>
        <w:rPr>
          <w:rStyle w:val="15"/>
          <w:rFonts w:ascii="仿宋" w:hAnsi="仿宋" w:eastAsia="仿宋"/>
          <w:b w:val="0"/>
          <w:bCs/>
          <w:color w:val="000000"/>
          <w:sz w:val="32"/>
          <w:szCs w:val="32"/>
        </w:rPr>
      </w:pPr>
      <w:r>
        <w:rPr>
          <w:rStyle w:val="15"/>
          <w:rFonts w:hint="eastAsia" w:ascii="仿宋" w:hAnsi="仿宋" w:eastAsia="仿宋"/>
          <w:bCs/>
          <w:color w:val="000000"/>
          <w:sz w:val="32"/>
          <w:szCs w:val="32"/>
        </w:rPr>
        <w:t>4</w:t>
      </w:r>
      <w:r>
        <w:rPr>
          <w:rStyle w:val="15"/>
          <w:rFonts w:ascii="仿宋" w:hAnsi="仿宋" w:eastAsia="仿宋"/>
          <w:bCs/>
          <w:color w:val="000000"/>
          <w:sz w:val="32"/>
          <w:szCs w:val="32"/>
        </w:rPr>
        <w:t>.</w:t>
      </w:r>
      <w:r>
        <w:rPr>
          <w:rFonts w:hint="eastAsia" w:ascii="仿宋" w:hAnsi="仿宋" w:eastAsia="仿宋"/>
          <w:b/>
          <w:bCs/>
          <w:color w:val="000000"/>
          <w:sz w:val="32"/>
          <w:szCs w:val="32"/>
        </w:rPr>
        <w:t>卫生健康</w:t>
      </w:r>
      <w:r>
        <w:rPr>
          <w:rStyle w:val="15"/>
          <w:rFonts w:ascii="仿宋" w:hAnsi="仿宋" w:eastAsia="仿宋"/>
          <w:bCs/>
          <w:color w:val="000000"/>
          <w:sz w:val="32"/>
          <w:szCs w:val="32"/>
        </w:rPr>
        <w:t>:</w:t>
      </w:r>
      <w:r>
        <w:rPr>
          <w:rStyle w:val="15"/>
          <w:rFonts w:hint="eastAsia" w:ascii="仿宋" w:hAnsi="仿宋" w:eastAsia="仿宋"/>
          <w:b w:val="0"/>
          <w:bCs/>
          <w:color w:val="000000"/>
          <w:sz w:val="32"/>
          <w:szCs w:val="32"/>
        </w:rPr>
        <w:t>2100799其他计划生育事务支出决算为7.15万元，完成预算100%；2109901其他卫生健康支出决算为40.38。</w:t>
      </w:r>
    </w:p>
    <w:p w14:paraId="13C329C1">
      <w:pPr>
        <w:spacing w:line="600" w:lineRule="exact"/>
        <w:ind w:firstLine="640"/>
        <w:rPr>
          <w:rStyle w:val="15"/>
          <w:rFonts w:ascii="仿宋" w:hAnsi="仿宋" w:eastAsia="仿宋"/>
          <w:b w:val="0"/>
          <w:bCs/>
          <w:color w:val="000000"/>
          <w:sz w:val="32"/>
          <w:szCs w:val="32"/>
        </w:rPr>
      </w:pPr>
      <w:r>
        <w:rPr>
          <w:rFonts w:hint="eastAsia" w:ascii="仿宋" w:hAnsi="仿宋" w:eastAsia="仿宋"/>
          <w:b/>
          <w:color w:val="000000"/>
          <w:sz w:val="32"/>
          <w:szCs w:val="32"/>
        </w:rPr>
        <w:t>5.农林水：</w:t>
      </w:r>
      <w:r>
        <w:rPr>
          <w:rStyle w:val="15"/>
          <w:rFonts w:hint="eastAsia" w:ascii="仿宋" w:hAnsi="仿宋" w:eastAsia="仿宋"/>
          <w:b w:val="0"/>
          <w:bCs/>
          <w:color w:val="000000"/>
          <w:sz w:val="32"/>
          <w:szCs w:val="32"/>
        </w:rPr>
        <w:t>2130104农业事业运行支出决算为98.25万元，完成预算100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 2130204林业和草原事业机构支出决算为15.39万元，完成预算100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；2130701  对村级一事一议的补助决算为22.43万元，完成预算100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 2130705对村民委员会和村党支部的补助支出决算为146.29万元，完成预算100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Style w:val="15"/>
          <w:rFonts w:ascii="仿宋" w:hAnsi="仿宋" w:eastAsia="仿宋"/>
          <w:b w:val="0"/>
          <w:bCs/>
          <w:color w:val="000000"/>
          <w:sz w:val="32"/>
          <w:szCs w:val="32"/>
        </w:rPr>
        <w:t>2139999</w:t>
      </w:r>
      <w:r>
        <w:rPr>
          <w:rStyle w:val="15"/>
          <w:rFonts w:hint="eastAsia" w:ascii="仿宋" w:hAnsi="仿宋" w:eastAsia="仿宋"/>
          <w:b w:val="0"/>
          <w:bCs/>
          <w:color w:val="000000"/>
          <w:sz w:val="32"/>
          <w:szCs w:val="32"/>
        </w:rPr>
        <w:t>其他农林水支出决算为20.96万元。</w:t>
      </w:r>
    </w:p>
    <w:p w14:paraId="5F44EADD">
      <w:pPr>
        <w:spacing w:line="600" w:lineRule="exact"/>
        <w:ind w:firstLine="640"/>
        <w:rPr>
          <w:rStyle w:val="15"/>
          <w:rFonts w:ascii="仿宋" w:hAnsi="仿宋" w:eastAsia="仿宋"/>
          <w:b w:val="0"/>
          <w:bCs/>
          <w:color w:val="000000"/>
          <w:sz w:val="32"/>
          <w:szCs w:val="32"/>
        </w:rPr>
      </w:pPr>
      <w:r>
        <w:rPr>
          <w:rStyle w:val="15"/>
          <w:rFonts w:hint="eastAsia" w:ascii="仿宋" w:hAnsi="仿宋" w:eastAsia="仿宋"/>
          <w:color w:val="000000"/>
          <w:sz w:val="32"/>
          <w:szCs w:val="32"/>
        </w:rPr>
        <w:t>8.自然资源海洋气象等支出：</w:t>
      </w:r>
      <w:r>
        <w:rPr>
          <w:rStyle w:val="15"/>
          <w:rFonts w:hint="eastAsia" w:ascii="仿宋" w:hAnsi="仿宋" w:eastAsia="仿宋"/>
          <w:b w:val="0"/>
          <w:bCs/>
          <w:color w:val="000000"/>
          <w:sz w:val="32"/>
          <w:szCs w:val="32"/>
        </w:rPr>
        <w:t>2200105土地资源调查支出决算为0.36万元，完成预算100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14:paraId="585C99DA">
      <w:pPr>
        <w:spacing w:line="600" w:lineRule="exact"/>
        <w:ind w:firstLine="640"/>
        <w:rPr>
          <w:rStyle w:val="15"/>
          <w:rFonts w:ascii="仿宋" w:hAnsi="仿宋" w:eastAsia="仿宋"/>
          <w:b w:val="0"/>
          <w:bCs/>
          <w:color w:val="000000"/>
          <w:sz w:val="32"/>
          <w:szCs w:val="32"/>
        </w:rPr>
      </w:pPr>
      <w:r>
        <w:rPr>
          <w:rStyle w:val="15"/>
          <w:rFonts w:hint="eastAsia" w:ascii="仿宋" w:hAnsi="仿宋" w:eastAsia="仿宋"/>
          <w:color w:val="000000"/>
          <w:sz w:val="32"/>
          <w:szCs w:val="32"/>
        </w:rPr>
        <w:t>9.住房保障支出：</w:t>
      </w:r>
      <w:r>
        <w:rPr>
          <w:rStyle w:val="15"/>
          <w:rFonts w:hint="eastAsia" w:ascii="仿宋" w:hAnsi="仿宋" w:eastAsia="仿宋"/>
          <w:b w:val="0"/>
          <w:bCs/>
          <w:color w:val="000000"/>
          <w:sz w:val="32"/>
          <w:szCs w:val="32"/>
        </w:rPr>
        <w:t>2210201住房公积金支出决算为41.86万元，完成预算100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14:paraId="44E4C4DA">
      <w:pPr>
        <w:spacing w:line="600" w:lineRule="exact"/>
        <w:ind w:firstLine="640"/>
        <w:rPr>
          <w:rStyle w:val="15"/>
          <w:rFonts w:ascii="仿宋" w:hAnsi="仿宋" w:eastAsia="仿宋"/>
          <w:b w:val="0"/>
          <w:bCs/>
          <w:color w:val="000000"/>
          <w:sz w:val="32"/>
          <w:szCs w:val="32"/>
        </w:rPr>
      </w:pPr>
      <w:r>
        <w:rPr>
          <w:rStyle w:val="15"/>
          <w:rFonts w:hint="eastAsia" w:ascii="仿宋" w:hAnsi="仿宋" w:eastAsia="仿宋"/>
          <w:color w:val="000000"/>
          <w:sz w:val="32"/>
          <w:szCs w:val="32"/>
        </w:rPr>
        <w:t>10.灾害防治及应急管理支出：</w:t>
      </w:r>
      <w:r>
        <w:rPr>
          <w:rStyle w:val="15"/>
          <w:rFonts w:hint="eastAsia" w:ascii="仿宋" w:hAnsi="仿宋" w:eastAsia="仿宋"/>
          <w:b w:val="0"/>
          <w:bCs/>
          <w:color w:val="000000"/>
          <w:sz w:val="32"/>
          <w:szCs w:val="32"/>
        </w:rPr>
        <w:t>2240106安全监管支出决算为5万元，完成预算100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14:paraId="6D12E6FF">
      <w:pPr>
        <w:tabs>
          <w:tab w:val="right" w:pos="8306"/>
        </w:tabs>
        <w:spacing w:line="600" w:lineRule="exact"/>
        <w:ind w:firstLine="640"/>
        <w:outlineLvl w:val="1"/>
        <w:rPr>
          <w:rStyle w:val="28"/>
        </w:rPr>
      </w:pPr>
      <w:bookmarkStart w:id="59" w:name="_Toc52180085"/>
      <w:bookmarkStart w:id="60" w:name="_Toc15396608"/>
      <w:bookmarkStart w:id="61" w:name="_Toc15377214"/>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8"/>
          <w:rFonts w:hint="eastAsia" w:ascii="黑体" w:hAnsi="黑体" w:eastAsia="黑体"/>
          <w:b w:val="0"/>
        </w:rPr>
        <w:t>般公共预算财政拨款基本支出决算情况说明</w:t>
      </w:r>
      <w:bookmarkEnd w:id="59"/>
      <w:bookmarkEnd w:id="60"/>
      <w:bookmarkEnd w:id="61"/>
      <w:r>
        <w:rPr>
          <w:rStyle w:val="28"/>
          <w:rFonts w:ascii="黑体" w:hAnsi="黑体" w:eastAsia="黑体"/>
          <w:b w:val="0"/>
        </w:rPr>
        <w:tab/>
      </w:r>
    </w:p>
    <w:p w14:paraId="5568AA92">
      <w:pPr>
        <w:spacing w:line="600" w:lineRule="exact"/>
        <w:ind w:firstLine="645"/>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基本支出620.03万元，其中：人员经费838.79万元，主要包括：基本工资101.96万元、津贴补贴112.81万元、奖金149.78万元、绩效工资63.22万元、机关事业单位基本养老保险缴费37.85万元、其他社会保障缴费22.51万元、生活补助13.52万元、奖励金0.05万元、住房公积金41.86万元等。</w:t>
      </w:r>
      <w:r>
        <w:rPr>
          <w:rFonts w:ascii="仿宋" w:hAnsi="仿宋" w:eastAsia="仿宋"/>
          <w:color w:val="000000"/>
          <w:sz w:val="32"/>
          <w:szCs w:val="32"/>
        </w:rPr>
        <w:br w:type="textWrapping"/>
      </w:r>
      <w:r>
        <w:rPr>
          <w:rFonts w:hint="eastAsia" w:ascii="仿宋" w:hAnsi="仿宋" w:eastAsia="仿宋"/>
          <w:color w:val="000000"/>
          <w:sz w:val="32"/>
          <w:szCs w:val="32"/>
        </w:rPr>
        <w:t>　　日常公用经费76.51万元，主要包括：办公费10.84万元、水费1.27万元、邮电费2.97万元、差旅费14.43万元、会议费6.41万元、培训费3.18万元、公务接待费0.53万元、劳务费9.19万元、工会经费2.12万元、福利费7.41万元、公务用车运行维护费3.72万元、其他交通费15.45万元等。</w:t>
      </w:r>
    </w:p>
    <w:p w14:paraId="569BBB00">
      <w:pPr>
        <w:spacing w:line="600" w:lineRule="exact"/>
        <w:ind w:firstLine="640"/>
        <w:outlineLvl w:val="1"/>
        <w:rPr>
          <w:rStyle w:val="28"/>
          <w:rFonts w:ascii="黑体" w:hAnsi="黑体" w:eastAsia="黑体"/>
          <w:b w:val="0"/>
        </w:rPr>
      </w:pPr>
      <w:bookmarkStart w:id="62" w:name="_Toc15396609"/>
      <w:bookmarkStart w:id="63" w:name="_Toc15377215"/>
      <w:bookmarkStart w:id="64" w:name="_Toc52180086"/>
      <w:r>
        <w:rPr>
          <w:rFonts w:hint="eastAsia" w:ascii="黑体" w:eastAsia="黑体"/>
          <w:color w:val="000000"/>
          <w:sz w:val="32"/>
          <w:szCs w:val="32"/>
        </w:rPr>
        <w:t>七、</w:t>
      </w:r>
      <w:r>
        <w:rPr>
          <w:rStyle w:val="28"/>
          <w:rFonts w:hint="eastAsia" w:ascii="黑体" w:hAnsi="黑体" w:eastAsia="黑体"/>
        </w:rPr>
        <w:t>“</w:t>
      </w:r>
      <w:r>
        <w:rPr>
          <w:rStyle w:val="28"/>
          <w:rFonts w:hint="eastAsia" w:ascii="黑体" w:hAnsi="黑体" w:eastAsia="黑体"/>
          <w:b w:val="0"/>
        </w:rPr>
        <w:t>三公”经费财政拨款支出决算情况说明</w:t>
      </w:r>
      <w:bookmarkEnd w:id="62"/>
      <w:bookmarkEnd w:id="63"/>
      <w:bookmarkEnd w:id="64"/>
    </w:p>
    <w:p w14:paraId="628FD842">
      <w:pPr>
        <w:spacing w:line="600" w:lineRule="exact"/>
        <w:ind w:firstLine="640"/>
        <w:outlineLvl w:val="2"/>
        <w:rPr>
          <w:rFonts w:ascii="仿宋" w:hAnsi="仿宋" w:eastAsia="仿宋"/>
          <w:b/>
          <w:color w:val="000000"/>
          <w:sz w:val="32"/>
          <w:szCs w:val="32"/>
        </w:rPr>
      </w:pPr>
      <w:bookmarkStart w:id="65" w:name="_Toc15377216"/>
      <w:bookmarkStart w:id="66" w:name="_Toc52180087"/>
      <w:r>
        <w:rPr>
          <w:rFonts w:hint="eastAsia" w:ascii="仿宋" w:hAnsi="仿宋" w:eastAsia="仿宋"/>
          <w:b/>
          <w:color w:val="000000"/>
          <w:sz w:val="32"/>
          <w:szCs w:val="32"/>
        </w:rPr>
        <w:t>（一）“三公”经费财政拨款支出决算总体情况说明</w:t>
      </w:r>
      <w:bookmarkEnd w:id="65"/>
      <w:bookmarkEnd w:id="66"/>
    </w:p>
    <w:p w14:paraId="0BB178DA">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9年“三公”经费财政拨款支出决算为4.25万元，完成预算100</w:t>
      </w:r>
      <w:r>
        <w:rPr>
          <w:rFonts w:ascii="仿宋" w:hAnsi="仿宋" w:eastAsia="仿宋"/>
          <w:color w:val="000000"/>
          <w:sz w:val="32"/>
          <w:szCs w:val="32"/>
        </w:rPr>
        <w:t>%</w:t>
      </w:r>
      <w:r>
        <w:rPr>
          <w:rFonts w:hint="eastAsia" w:ascii="仿宋" w:hAnsi="仿宋" w:eastAsia="仿宋"/>
          <w:color w:val="000000"/>
          <w:sz w:val="32"/>
          <w:szCs w:val="32"/>
        </w:rPr>
        <w:t>，其中：公务用车运行维护费3.72万元，公务接待费0.53万元、。</w:t>
      </w:r>
    </w:p>
    <w:p w14:paraId="1CEEE0C0">
      <w:pPr>
        <w:spacing w:line="600" w:lineRule="exact"/>
        <w:ind w:firstLine="640"/>
        <w:outlineLvl w:val="2"/>
        <w:rPr>
          <w:rFonts w:ascii="仿宋" w:hAnsi="仿宋" w:eastAsia="仿宋"/>
          <w:b/>
          <w:color w:val="000000"/>
          <w:sz w:val="32"/>
          <w:szCs w:val="32"/>
        </w:rPr>
      </w:pPr>
      <w:bookmarkStart w:id="67" w:name="_Toc15377217"/>
      <w:bookmarkStart w:id="68" w:name="_Toc52180088"/>
      <w:r>
        <w:rPr>
          <w:rFonts w:hint="eastAsia" w:ascii="仿宋" w:hAnsi="仿宋" w:eastAsia="仿宋"/>
          <w:b/>
          <w:color w:val="000000"/>
          <w:sz w:val="32"/>
          <w:szCs w:val="32"/>
        </w:rPr>
        <w:t>（二）“三公”经费财政拨款支出决算具体情况说明</w:t>
      </w:r>
      <w:bookmarkEnd w:id="67"/>
      <w:bookmarkEnd w:id="68"/>
    </w:p>
    <w:p w14:paraId="0E5D1C5C">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9年“三公”经费财政拨款支出决算中，因公出国（境）费支出决算0万元；公务用车购置及运行维护费支出决算3.72万元，占98.2</w:t>
      </w:r>
      <w:r>
        <w:rPr>
          <w:rFonts w:ascii="仿宋" w:hAnsi="仿宋" w:eastAsia="仿宋"/>
          <w:color w:val="000000"/>
          <w:sz w:val="32"/>
          <w:szCs w:val="32"/>
        </w:rPr>
        <w:t>%</w:t>
      </w:r>
      <w:r>
        <w:rPr>
          <w:rFonts w:hint="eastAsia" w:ascii="仿宋" w:hAnsi="仿宋" w:eastAsia="仿宋"/>
          <w:color w:val="000000"/>
          <w:sz w:val="32"/>
          <w:szCs w:val="32"/>
        </w:rPr>
        <w:t>；公务接待费支出决算0.53万元，占1.8</w:t>
      </w:r>
      <w:r>
        <w:rPr>
          <w:rFonts w:ascii="仿宋" w:hAnsi="仿宋" w:eastAsia="仿宋"/>
          <w:color w:val="000000"/>
          <w:sz w:val="32"/>
          <w:szCs w:val="32"/>
        </w:rPr>
        <w:t>%</w:t>
      </w:r>
      <w:r>
        <w:rPr>
          <w:rFonts w:hint="eastAsia" w:ascii="仿宋" w:hAnsi="仿宋" w:eastAsia="仿宋"/>
          <w:color w:val="000000"/>
          <w:sz w:val="32"/>
          <w:szCs w:val="32"/>
        </w:rPr>
        <w:t>。具体情况如下：</w:t>
      </w:r>
    </w:p>
    <w:p w14:paraId="018E70A4">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rPr>
        <w:t>0万元。</w:t>
      </w:r>
    </w:p>
    <w:p w14:paraId="5EE4DDC4">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rPr>
        <w:t>3.72万元,</w:t>
      </w:r>
      <w:r>
        <w:rPr>
          <w:rStyle w:val="15"/>
          <w:rFonts w:hint="eastAsia" w:ascii="仿宋" w:hAnsi="仿宋" w:eastAsia="仿宋"/>
          <w:b w:val="0"/>
          <w:bCs/>
          <w:color w:val="000000"/>
          <w:sz w:val="32"/>
          <w:szCs w:val="32"/>
        </w:rPr>
        <w:t>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rPr>
        <w:t>8年减少4万元，下降37.8</w:t>
      </w:r>
      <w:r>
        <w:rPr>
          <w:rFonts w:ascii="仿宋_GB2312" w:eastAsia="仿宋_GB2312"/>
          <w:color w:val="000000"/>
          <w:sz w:val="32"/>
          <w:szCs w:val="32"/>
        </w:rPr>
        <w:t>%</w:t>
      </w:r>
      <w:r>
        <w:rPr>
          <w:rFonts w:hint="eastAsia" w:ascii="仿宋_GB2312" w:eastAsia="仿宋_GB2312"/>
          <w:color w:val="000000"/>
          <w:sz w:val="32"/>
          <w:szCs w:val="32"/>
        </w:rPr>
        <w:t>。主要原因是维修费用减少。</w:t>
      </w:r>
    </w:p>
    <w:p w14:paraId="2BA43153">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color w:val="000000"/>
          <w:sz w:val="32"/>
          <w:szCs w:val="32"/>
        </w:rPr>
        <w:t>0万元。全年按规定更新购置公务用车0辆，金额0</w:t>
      </w:r>
      <w:r>
        <w:rPr>
          <w:rFonts w:ascii="仿宋_GB2312" w:eastAsia="仿宋_GB2312"/>
          <w:color w:val="000000"/>
          <w:sz w:val="32"/>
          <w:szCs w:val="32"/>
        </w:rPr>
        <w:t>元。</w:t>
      </w: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月底，单位共有公务用车4辆，其中：主要领导干部用车0辆、机要通信用车0辆、应急保障用车1辆、 执法执勤用车0辆、特种专业技术用车0辆。</w:t>
      </w:r>
    </w:p>
    <w:p w14:paraId="66A6D063">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rPr>
        <w:t>3.72万元。主要用于具体工作等所需的公务用车燃料费、维修费、过路过桥费、保险费等支出。</w:t>
      </w:r>
    </w:p>
    <w:p w14:paraId="1FFCDA1D">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rPr>
        <w:t>0.53万元，</w:t>
      </w:r>
      <w:r>
        <w:rPr>
          <w:rStyle w:val="15"/>
          <w:rFonts w:hint="eastAsia" w:ascii="仿宋" w:hAnsi="仿宋" w:eastAsia="仿宋"/>
          <w:b w:val="0"/>
          <w:bCs/>
          <w:color w:val="000000"/>
          <w:sz w:val="32"/>
          <w:szCs w:val="32"/>
        </w:rPr>
        <w:t>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w:t>
      </w:r>
      <w:r>
        <w:rPr>
          <w:rFonts w:hint="eastAsia" w:ascii="仿宋_GB2312" w:eastAsia="仿宋_GB2312"/>
          <w:color w:val="000000"/>
          <w:sz w:val="32"/>
          <w:szCs w:val="32"/>
        </w:rPr>
        <w:t>8年增加0.456万元，上升625.8</w:t>
      </w:r>
      <w:r>
        <w:rPr>
          <w:rFonts w:ascii="仿宋_GB2312" w:eastAsia="仿宋_GB2312"/>
          <w:color w:val="000000"/>
          <w:sz w:val="32"/>
          <w:szCs w:val="32"/>
        </w:rPr>
        <w:t>%</w:t>
      </w:r>
      <w:r>
        <w:rPr>
          <w:rFonts w:hint="eastAsia" w:ascii="仿宋_GB2312" w:eastAsia="仿宋_GB2312"/>
          <w:color w:val="000000"/>
          <w:sz w:val="32"/>
          <w:szCs w:val="32"/>
        </w:rPr>
        <w:t>。主要原因是接待任务增加，其中：</w:t>
      </w:r>
    </w:p>
    <w:p w14:paraId="3C1E0661">
      <w:pPr>
        <w:spacing w:line="600" w:lineRule="exact"/>
        <w:ind w:firstLine="640"/>
        <w:rPr>
          <w:rFonts w:ascii="仿宋_GB2312" w:eastAsia="仿宋_GB2312"/>
          <w:color w:val="000000"/>
          <w:sz w:val="32"/>
          <w:szCs w:val="32"/>
        </w:rPr>
      </w:pPr>
      <w:r>
        <w:rPr>
          <w:rFonts w:hint="eastAsia" w:ascii="仿宋" w:hAnsi="仿宋" w:eastAsia="仿宋"/>
          <w:b/>
          <w:color w:val="000000"/>
          <w:sz w:val="32"/>
          <w:szCs w:val="32"/>
        </w:rPr>
        <w:t>国内公务接待支出</w:t>
      </w:r>
      <w:r>
        <w:rPr>
          <w:rFonts w:hint="eastAsia" w:ascii="仿宋" w:hAnsi="仿宋" w:eastAsia="仿宋"/>
          <w:color w:val="000000"/>
          <w:sz w:val="32"/>
          <w:szCs w:val="32"/>
        </w:rPr>
        <w:t>0.53</w:t>
      </w:r>
      <w:r>
        <w:rPr>
          <w:rFonts w:hint="eastAsia" w:ascii="仿宋_GB2312" w:eastAsia="仿宋_GB2312"/>
          <w:color w:val="000000"/>
          <w:sz w:val="32"/>
          <w:szCs w:val="32"/>
        </w:rPr>
        <w:t>万元，主要用于执行公务、开展业务活动开支的交通费、住宿费、用餐费等。国内公务接待8批次，150人次（不包括陪同人员），共计支出0.53万元，具体内容包括：市、县各部门公务接待用餐。</w:t>
      </w:r>
    </w:p>
    <w:p w14:paraId="4E67B9D4">
      <w:pPr>
        <w:spacing w:line="600" w:lineRule="exact"/>
        <w:ind w:firstLine="643" w:firstLineChars="200"/>
        <w:rPr>
          <w:rFonts w:ascii="黑体" w:eastAsia="黑体"/>
          <w:color w:val="000000"/>
          <w:sz w:val="32"/>
          <w:szCs w:val="32"/>
        </w:rPr>
      </w:pPr>
      <w:r>
        <w:rPr>
          <w:rFonts w:hint="eastAsia" w:ascii="仿宋" w:hAnsi="仿宋" w:eastAsia="仿宋"/>
          <w:b/>
          <w:color w:val="000000"/>
          <w:sz w:val="32"/>
          <w:szCs w:val="32"/>
        </w:rPr>
        <w:t>外事接待支出</w:t>
      </w:r>
      <w:r>
        <w:rPr>
          <w:rFonts w:hint="eastAsia" w:ascii="仿宋" w:hAnsi="仿宋" w:eastAsia="仿宋"/>
          <w:color w:val="000000"/>
          <w:sz w:val="32"/>
          <w:szCs w:val="32"/>
        </w:rPr>
        <w:t>0</w:t>
      </w:r>
      <w:r>
        <w:rPr>
          <w:rFonts w:hint="eastAsia" w:ascii="仿宋_GB2312" w:eastAsia="仿宋_GB2312"/>
          <w:color w:val="000000"/>
          <w:sz w:val="32"/>
          <w:szCs w:val="32"/>
        </w:rPr>
        <w:t>万元，外事接待0批次，0人，共计支出0万元。</w:t>
      </w:r>
      <w:bookmarkStart w:id="69" w:name="_Toc15377218"/>
      <w:bookmarkStart w:id="70" w:name="_Toc15396610"/>
    </w:p>
    <w:p w14:paraId="6F054A58">
      <w:pPr>
        <w:spacing w:line="600" w:lineRule="exact"/>
        <w:ind w:firstLine="640"/>
        <w:outlineLvl w:val="1"/>
        <w:rPr>
          <w:rStyle w:val="28"/>
          <w:rFonts w:ascii="黑体" w:hAnsi="黑体" w:eastAsia="黑体"/>
        </w:rPr>
      </w:pPr>
      <w:bookmarkStart w:id="71" w:name="_Toc52180089"/>
      <w:r>
        <w:rPr>
          <w:rFonts w:hint="eastAsia" w:ascii="黑体" w:eastAsia="黑体"/>
          <w:color w:val="000000"/>
          <w:sz w:val="32"/>
          <w:szCs w:val="32"/>
        </w:rPr>
        <w:t>八、</w:t>
      </w:r>
      <w:r>
        <w:rPr>
          <w:rStyle w:val="28"/>
          <w:rFonts w:hint="eastAsia" w:ascii="黑体" w:hAnsi="黑体" w:eastAsia="黑体"/>
          <w:b w:val="0"/>
        </w:rPr>
        <w:t>政府性基金预算支出决算情况说明</w:t>
      </w:r>
      <w:bookmarkEnd w:id="69"/>
      <w:bookmarkEnd w:id="70"/>
      <w:bookmarkEnd w:id="71"/>
    </w:p>
    <w:p w14:paraId="4E1849E3">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9年政府性基金预算拨款支出0万元。</w:t>
      </w:r>
    </w:p>
    <w:p w14:paraId="05A7B1A1">
      <w:pPr>
        <w:numPr>
          <w:ilvl w:val="0"/>
          <w:numId w:val="3"/>
        </w:numPr>
        <w:spacing w:line="600" w:lineRule="exact"/>
        <w:ind w:firstLine="640"/>
        <w:outlineLvl w:val="1"/>
        <w:rPr>
          <w:rStyle w:val="28"/>
          <w:rFonts w:ascii="黑体" w:hAnsi="黑体" w:eastAsia="黑体"/>
          <w:b w:val="0"/>
        </w:rPr>
      </w:pPr>
      <w:bookmarkStart w:id="72" w:name="_Toc15377219"/>
      <w:bookmarkStart w:id="73" w:name="_Toc15396611"/>
      <w:bookmarkStart w:id="74" w:name="_Toc52180090"/>
      <w:r>
        <w:rPr>
          <w:rStyle w:val="28"/>
          <w:rFonts w:hint="eastAsia" w:ascii="黑体" w:hAnsi="黑体" w:eastAsia="黑体"/>
          <w:b w:val="0"/>
        </w:rPr>
        <w:t>国有资本经营预算支出决算情况说明</w:t>
      </w:r>
      <w:bookmarkEnd w:id="72"/>
      <w:bookmarkEnd w:id="73"/>
      <w:bookmarkEnd w:id="74"/>
    </w:p>
    <w:p w14:paraId="0F9146DE">
      <w:pPr>
        <w:spacing w:line="600" w:lineRule="exact"/>
        <w:ind w:firstLine="640"/>
        <w:rPr>
          <w:rFonts w:ascii="方正小标宋简体" w:hAnsi="方正小标宋简体" w:eastAsia="方正小标宋简体" w:cs="方正小标宋简体"/>
          <w:sz w:val="44"/>
          <w:szCs w:val="44"/>
        </w:rPr>
      </w:pPr>
      <w:r>
        <w:rPr>
          <w:rFonts w:ascii="仿宋_GB2312" w:eastAsia="仿宋_GB2312"/>
          <w:color w:val="000000"/>
          <w:sz w:val="32"/>
          <w:szCs w:val="32"/>
        </w:rPr>
        <w:t>201</w:t>
      </w:r>
      <w:r>
        <w:rPr>
          <w:rFonts w:hint="eastAsia" w:ascii="仿宋_GB2312" w:eastAsia="仿宋_GB2312"/>
          <w:color w:val="000000"/>
          <w:sz w:val="32"/>
          <w:szCs w:val="32"/>
        </w:rPr>
        <w:t>9年国有资本经营预算拨款支出0万元。</w:t>
      </w:r>
    </w:p>
    <w:p w14:paraId="67650A79">
      <w:pPr>
        <w:spacing w:line="600" w:lineRule="exact"/>
        <w:ind w:firstLine="800" w:firstLineChars="250"/>
        <w:outlineLvl w:val="1"/>
        <w:rPr>
          <w:rStyle w:val="28"/>
          <w:rFonts w:ascii="黑体" w:hAnsi="黑体" w:eastAsia="黑体"/>
        </w:rPr>
      </w:pPr>
      <w:bookmarkStart w:id="75" w:name="_Toc15396612"/>
      <w:bookmarkStart w:id="76" w:name="_Toc15377221"/>
      <w:bookmarkStart w:id="77" w:name="_Toc52180091"/>
      <w:r>
        <w:rPr>
          <w:rFonts w:hint="eastAsia" w:ascii="黑体" w:hAnsi="黑体" w:eastAsia="黑体"/>
          <w:color w:val="000000"/>
          <w:sz w:val="32"/>
          <w:szCs w:val="32"/>
        </w:rPr>
        <w:t>十</w:t>
      </w:r>
      <w:r>
        <w:rPr>
          <w:rStyle w:val="28"/>
          <w:rFonts w:hint="eastAsia" w:ascii="黑体" w:hAnsi="黑体" w:eastAsia="黑体"/>
        </w:rPr>
        <w:t>、</w:t>
      </w:r>
      <w:r>
        <w:rPr>
          <w:rStyle w:val="28"/>
          <w:rFonts w:hint="eastAsia" w:ascii="黑体" w:hAnsi="黑体" w:eastAsia="黑体"/>
          <w:b w:val="0"/>
        </w:rPr>
        <w:t>其他重要事项的情况说明</w:t>
      </w:r>
      <w:bookmarkEnd w:id="75"/>
      <w:bookmarkEnd w:id="76"/>
      <w:bookmarkEnd w:id="77"/>
    </w:p>
    <w:p w14:paraId="48E655C1">
      <w:pPr>
        <w:spacing w:line="600" w:lineRule="exact"/>
        <w:ind w:firstLine="643" w:firstLineChars="200"/>
        <w:outlineLvl w:val="2"/>
        <w:rPr>
          <w:rFonts w:ascii="仿宋" w:hAnsi="仿宋" w:eastAsia="仿宋"/>
          <w:color w:val="000000"/>
          <w:sz w:val="32"/>
          <w:szCs w:val="32"/>
        </w:rPr>
      </w:pPr>
      <w:bookmarkStart w:id="78" w:name="_Toc15377222"/>
      <w:bookmarkStart w:id="79" w:name="_Toc52180092"/>
      <w:r>
        <w:rPr>
          <w:rFonts w:hint="eastAsia" w:ascii="仿宋" w:hAnsi="仿宋" w:eastAsia="仿宋"/>
          <w:b/>
          <w:color w:val="000000"/>
          <w:sz w:val="32"/>
          <w:szCs w:val="32"/>
        </w:rPr>
        <w:t>（一）机关运行经费支出情况</w:t>
      </w:r>
      <w:bookmarkEnd w:id="78"/>
      <w:bookmarkEnd w:id="79"/>
    </w:p>
    <w:p w14:paraId="0469CAE7">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9年，机关运行经费支出76.5万元，比</w:t>
      </w:r>
      <w:r>
        <w:rPr>
          <w:rFonts w:ascii="仿宋_GB2312" w:eastAsia="仿宋_GB2312"/>
          <w:color w:val="000000"/>
          <w:sz w:val="32"/>
          <w:szCs w:val="32"/>
        </w:rPr>
        <w:t>201</w:t>
      </w:r>
      <w:r>
        <w:rPr>
          <w:rFonts w:hint="eastAsia" w:ascii="仿宋_GB2312" w:eastAsia="仿宋_GB2312"/>
          <w:color w:val="000000"/>
          <w:sz w:val="32"/>
          <w:szCs w:val="32"/>
        </w:rPr>
        <w:t>8年减少111.8万元，下降59.3811.1</w:t>
      </w:r>
      <w:r>
        <w:rPr>
          <w:rFonts w:ascii="仿宋_GB2312" w:eastAsia="仿宋_GB2312"/>
          <w:color w:val="000000"/>
          <w:sz w:val="32"/>
          <w:szCs w:val="32"/>
        </w:rPr>
        <w:t>%</w:t>
      </w:r>
      <w:r>
        <w:rPr>
          <w:rFonts w:hint="eastAsia" w:ascii="仿宋_GB2312" w:eastAsia="仿宋_GB2312"/>
          <w:color w:val="000000"/>
          <w:sz w:val="32"/>
          <w:szCs w:val="32"/>
        </w:rPr>
        <w:t>。主要原因是人员变动。</w:t>
      </w:r>
    </w:p>
    <w:p w14:paraId="5EB9E355">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0" w:name="_Toc15377223"/>
      <w:bookmarkStart w:id="81" w:name="_Toc52180093"/>
      <w:r>
        <w:rPr>
          <w:rFonts w:hint="eastAsia" w:ascii="仿宋" w:hAnsi="仿宋" w:eastAsia="仿宋"/>
          <w:b/>
          <w:color w:val="000000"/>
          <w:sz w:val="32"/>
          <w:szCs w:val="32"/>
        </w:rPr>
        <w:t>（二）政府采购支出情况</w:t>
      </w:r>
      <w:bookmarkEnd w:id="80"/>
      <w:bookmarkEnd w:id="81"/>
    </w:p>
    <w:p w14:paraId="1CFF690B">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9年，政府采购支出总额0万元，其中：政府采购货物支出0万元、政府采购工程支出0万元、政府采购服务支出0万元。授予中小企业合同金额0万元，占政府采购支出总额的0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，其中：授予小微企业合同金额0万元，占政府采购支出总额的0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w:t>
      </w:r>
    </w:p>
    <w:p w14:paraId="1A371AB2">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2" w:name="_Toc15377224"/>
      <w:bookmarkStart w:id="83" w:name="_Toc52180094"/>
      <w:r>
        <w:rPr>
          <w:rFonts w:hint="eastAsia" w:ascii="仿宋" w:hAnsi="仿宋" w:eastAsia="仿宋"/>
          <w:b/>
          <w:color w:val="000000"/>
          <w:sz w:val="32"/>
          <w:szCs w:val="32"/>
        </w:rPr>
        <w:t>（三）国有资产占有使用情况</w:t>
      </w:r>
      <w:bookmarkEnd w:id="82"/>
      <w:bookmarkEnd w:id="83"/>
    </w:p>
    <w:p w14:paraId="391E1A75">
      <w:pPr>
        <w:autoSpaceDE w:val="0"/>
        <w:autoSpaceDN w:val="0"/>
        <w:adjustRightInd w:val="0"/>
        <w:spacing w:line="600" w:lineRule="exact"/>
        <w:ind w:firstLine="640" w:firstLineChars="200"/>
        <w:jc w:val="left"/>
        <w:rPr>
          <w:rFonts w:ascii="仿宋" w:hAnsi="仿宋" w:eastAsia="仿宋"/>
          <w:b/>
          <w:color w:val="FF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日，共有车辆1辆，其中：主要领导干部用车0辆、机要通信用车0辆、应急保障用车1辆、特种专业技术用车0辆，单价</w:t>
      </w:r>
      <w:r>
        <w:rPr>
          <w:rFonts w:ascii="仿宋_GB2312" w:eastAsia="仿宋_GB2312"/>
          <w:color w:val="000000"/>
          <w:sz w:val="32"/>
          <w:szCs w:val="32"/>
        </w:rPr>
        <w:t>50</w:t>
      </w:r>
      <w:r>
        <w:rPr>
          <w:rFonts w:hint="eastAsia" w:ascii="仿宋_GB2312" w:eastAsia="仿宋_GB2312"/>
          <w:color w:val="000000"/>
          <w:sz w:val="32"/>
          <w:szCs w:val="32"/>
        </w:rPr>
        <w:t>万元以上通用设备0台（套），单价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万元以上专用设备0台（套）。</w:t>
      </w:r>
    </w:p>
    <w:p w14:paraId="137EDA17">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4" w:name="_Toc52180095"/>
      <w:r>
        <w:rPr>
          <w:rFonts w:hint="eastAsia" w:ascii="仿宋" w:hAnsi="仿宋" w:eastAsia="仿宋"/>
          <w:b/>
          <w:color w:val="000000"/>
          <w:sz w:val="32"/>
          <w:szCs w:val="32"/>
        </w:rPr>
        <w:t>（四）预算绩效管理情况。</w:t>
      </w:r>
      <w:bookmarkEnd w:id="84"/>
    </w:p>
    <w:p w14:paraId="0FA7E24F">
      <w:pPr>
        <w:autoSpaceDE w:val="0"/>
        <w:autoSpaceDN w:val="0"/>
        <w:adjustRightInd w:val="0"/>
        <w:spacing w:line="60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根据预算绩效管理要求，本部门（单位）在年初预算编制阶段，组织对24个项目开展了预算事前绩效评估，对24个项目编制了绩效目标，预算执行过程中，选取5个项目开展绩效监控，年终执行完毕后，对5个项目开展了绩效目标完成情况梳理填报。</w:t>
      </w:r>
    </w:p>
    <w:p w14:paraId="232FF902">
      <w:pPr>
        <w:autoSpaceDE w:val="0"/>
        <w:autoSpaceDN w:val="0"/>
        <w:adjustRightInd w:val="0"/>
        <w:spacing w:line="60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本部门按要求对2019年部门整体支出开展绩效自评，从评价情况来看项目整体实施完成情况良好。</w:t>
      </w:r>
    </w:p>
    <w:p w14:paraId="5D874A1B">
      <w:pPr>
        <w:spacing w:line="580" w:lineRule="exact"/>
        <w:ind w:firstLine="643" w:firstLineChars="200"/>
        <w:rPr>
          <w:rFonts w:ascii="仿宋_GB2312" w:hAnsi="仿宋_GB2312" w:eastAsia="仿宋_GB2312" w:cs="仿宋_GB2312"/>
          <w:sz w:val="32"/>
          <w:szCs w:val="32"/>
        </w:rPr>
      </w:pPr>
      <w:r>
        <w:rPr>
          <w:rFonts w:hint="eastAsia" w:ascii="仿宋" w:hAnsi="仿宋" w:eastAsia="仿宋" w:cs="楷体_GB2312"/>
          <w:b/>
          <w:bCs/>
          <w:sz w:val="32"/>
          <w:szCs w:val="32"/>
        </w:rPr>
        <w:t>项目绩效目标完成情况。</w:t>
      </w:r>
      <w:r>
        <w:rPr>
          <w:rFonts w:hint="eastAsia" w:ascii="楷体_GB2312" w:hAnsi="楷体_GB2312" w:eastAsia="楷体_GB2312" w:cs="楷体_GB2312"/>
          <w:b/>
          <w:bCs/>
          <w:sz w:val="32"/>
          <w:szCs w:val="32"/>
        </w:rPr>
        <w:br w:type="textWrapping"/>
      </w:r>
      <w:r>
        <w:rPr>
          <w:rFonts w:hint="eastAsia" w:ascii="楷体_GB2312" w:hAnsi="楷体_GB2312" w:eastAsia="楷体_GB2312" w:cs="楷体_GB2312"/>
          <w:sz w:val="32"/>
          <w:szCs w:val="32"/>
        </w:rPr>
        <w:t>1.项目绩效目标完成情况。</w:t>
      </w:r>
      <w:r>
        <w:rPr>
          <w:rFonts w:hint="eastAsia" w:ascii="楷体_GB2312" w:hAnsi="楷体_GB2312" w:eastAsia="楷体_GB2312" w:cs="楷体_GB2312"/>
          <w:sz w:val="32"/>
          <w:szCs w:val="32"/>
        </w:rPr>
        <w:br w:type="textWrapping"/>
      </w:r>
      <w:r>
        <w:rPr>
          <w:rFonts w:hint="eastAsia" w:eastAsia="楷体_GB2312"/>
          <w:sz w:val="32"/>
          <w:szCs w:val="32"/>
        </w:rPr>
        <w:t>人大代表公用经费0.11万元；人大之家建设经费3.89万元，2019乡村治理补助1.27万元； 2019年大平台系统维护费0.36万元；2019年A++系统维护费0.3万元；2019年五保户供养经费16.7万元，2019年五保户供养经费35.9万元，2019年五保户供养经费89.06万元，2019年村级公共运行维护费30万元，2019年村干部工资加保险补助及2018年村干部绩效(每个村28902元)3.16万元；2019年村级办公经费18万元；2019年盐财资60号下达国土三调工作经费2万元；2019年安全监管经费5万元。</w:t>
      </w:r>
    </w:p>
    <w:tbl>
      <w:tblPr>
        <w:tblStyle w:val="13"/>
        <w:tblpPr w:leftFromText="180" w:rightFromText="180" w:vertAnchor="text" w:horzAnchor="page" w:tblpXSpec="center" w:tblpY="100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14:paraId="3D38BD86">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14:paraId="489E302B">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14:paraId="2E24C874">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4F5A15">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CE06C0">
            <w:pPr>
              <w:widowControl/>
              <w:jc w:val="center"/>
              <w:textAlignment w:val="center"/>
              <w:rPr>
                <w:rFonts w:ascii="宋体" w:hAnsi="宋体" w:cs="宋体"/>
                <w:color w:val="000000"/>
                <w:sz w:val="24"/>
              </w:rPr>
            </w:pPr>
            <w:r>
              <w:rPr>
                <w:rFonts w:hint="eastAsia" w:ascii="宋体" w:hAnsi="宋体" w:cs="宋体"/>
                <w:color w:val="000000"/>
                <w:sz w:val="24"/>
              </w:rPr>
              <w:t>2019年村继公共运行维护费</w:t>
            </w:r>
          </w:p>
        </w:tc>
      </w:tr>
      <w:tr w14:paraId="60015087">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139F79">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6A1F04">
            <w:pPr>
              <w:widowControl/>
              <w:jc w:val="center"/>
              <w:textAlignment w:val="center"/>
              <w:rPr>
                <w:rFonts w:ascii="宋体" w:hAnsi="宋体" w:cs="宋体"/>
                <w:color w:val="000000"/>
                <w:sz w:val="24"/>
              </w:rPr>
            </w:pPr>
            <w:r>
              <w:rPr>
                <w:rFonts w:hint="eastAsia" w:ascii="宋体" w:hAnsi="宋体" w:cs="宋体"/>
                <w:color w:val="000000"/>
                <w:sz w:val="24"/>
              </w:rPr>
              <w:t>箐河乡人民政府</w:t>
            </w:r>
          </w:p>
        </w:tc>
      </w:tr>
      <w:tr w14:paraId="17CE089D">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0801BE">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2B5897">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8F6E9B">
            <w:pPr>
              <w:widowControl/>
              <w:jc w:val="center"/>
              <w:textAlignment w:val="center"/>
              <w:rPr>
                <w:rFonts w:ascii="宋体" w:hAnsi="宋体" w:cs="宋体"/>
                <w:color w:val="000000"/>
                <w:sz w:val="24"/>
              </w:rPr>
            </w:pPr>
            <w:r>
              <w:rPr>
                <w:rFonts w:hint="eastAsia" w:ascii="宋体" w:hAnsi="宋体" w:cs="宋体"/>
                <w:color w:val="000000"/>
                <w:sz w:val="24"/>
              </w:rPr>
              <w:t>30万元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C327F0">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F06CFA">
            <w:pPr>
              <w:widowControl/>
              <w:jc w:val="center"/>
              <w:textAlignment w:val="center"/>
              <w:rPr>
                <w:rFonts w:ascii="宋体" w:hAnsi="宋体" w:cs="宋体"/>
                <w:color w:val="000000"/>
                <w:sz w:val="24"/>
              </w:rPr>
            </w:pPr>
            <w:r>
              <w:rPr>
                <w:rFonts w:hint="eastAsia" w:ascii="宋体" w:hAnsi="宋体" w:cs="宋体"/>
                <w:color w:val="000000"/>
                <w:sz w:val="24"/>
              </w:rPr>
              <w:t>30万元</w:t>
            </w:r>
          </w:p>
        </w:tc>
      </w:tr>
      <w:tr w14:paraId="265291BC">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B88449">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589A95">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DBEBAB">
            <w:pPr>
              <w:widowControl/>
              <w:jc w:val="center"/>
              <w:textAlignment w:val="center"/>
              <w:rPr>
                <w:rFonts w:ascii="宋体" w:hAnsi="宋体" w:cs="宋体"/>
                <w:color w:val="000000"/>
                <w:sz w:val="24"/>
              </w:rPr>
            </w:pPr>
            <w:r>
              <w:rPr>
                <w:rFonts w:hint="eastAsia" w:ascii="宋体" w:hAnsi="宋体" w:cs="宋体"/>
                <w:color w:val="000000"/>
                <w:sz w:val="24"/>
              </w:rPr>
              <w:t>30万元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AFB887">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ABDEDE">
            <w:pPr>
              <w:widowControl/>
              <w:jc w:val="center"/>
              <w:textAlignment w:val="center"/>
              <w:rPr>
                <w:rFonts w:ascii="宋体" w:hAnsi="宋体" w:cs="宋体"/>
                <w:color w:val="000000"/>
                <w:sz w:val="24"/>
              </w:rPr>
            </w:pPr>
            <w:r>
              <w:rPr>
                <w:rFonts w:hint="eastAsia" w:ascii="宋体" w:hAnsi="宋体" w:cs="宋体"/>
                <w:color w:val="000000"/>
                <w:sz w:val="24"/>
              </w:rPr>
              <w:t>30万元</w:t>
            </w:r>
          </w:p>
        </w:tc>
      </w:tr>
      <w:tr w14:paraId="0F2523BF">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96E939">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4CF62F">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9B868C">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AB924F">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975197">
            <w:pPr>
              <w:jc w:val="center"/>
              <w:rPr>
                <w:rFonts w:ascii="宋体" w:hAnsi="宋体" w:cs="宋体"/>
                <w:color w:val="000000"/>
                <w:sz w:val="24"/>
              </w:rPr>
            </w:pPr>
          </w:p>
        </w:tc>
      </w:tr>
      <w:tr w14:paraId="4AB80652">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D2CA06">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79C35A">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5B3632">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14:paraId="124BB897">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6B473D">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E38FE8">
            <w:pPr>
              <w:widowControl/>
              <w:jc w:val="center"/>
              <w:textAlignment w:val="center"/>
              <w:rPr>
                <w:rFonts w:ascii="宋体" w:hAnsi="宋体" w:cs="宋体"/>
                <w:color w:val="000000"/>
                <w:sz w:val="24"/>
              </w:rPr>
            </w:pPr>
          </w:p>
          <w:p w14:paraId="1E7EDE49">
            <w:pPr>
              <w:widowControl/>
              <w:jc w:val="center"/>
              <w:textAlignment w:val="center"/>
              <w:rPr>
                <w:rFonts w:ascii="宋体" w:hAnsi="宋体" w:cs="宋体"/>
                <w:color w:val="000000"/>
                <w:sz w:val="24"/>
              </w:rPr>
            </w:pPr>
            <w:r>
              <w:rPr>
                <w:rFonts w:hint="eastAsia" w:ascii="宋体" w:hAnsi="宋体" w:cs="宋体"/>
                <w:color w:val="000000"/>
                <w:sz w:val="24"/>
              </w:rPr>
              <w:t xml:space="preserve"> 保障6个村6000余人日常出行</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97AE9C">
            <w:pPr>
              <w:widowControl/>
              <w:jc w:val="center"/>
              <w:textAlignment w:val="center"/>
              <w:rPr>
                <w:rFonts w:ascii="宋体" w:hAnsi="宋体" w:cs="宋体"/>
                <w:color w:val="000000"/>
                <w:sz w:val="24"/>
              </w:rPr>
            </w:pPr>
            <w:r>
              <w:rPr>
                <w:rFonts w:hint="eastAsia" w:ascii="宋体" w:hAnsi="宋体" w:cs="宋体"/>
                <w:color w:val="000000"/>
                <w:sz w:val="24"/>
              </w:rPr>
              <w:t xml:space="preserve"> 保障6个村道路日常通畅，做好村民日常基础设施维修维护</w:t>
            </w:r>
          </w:p>
        </w:tc>
      </w:tr>
      <w:tr w14:paraId="7D8330C5">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26CB1612">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B954A4">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6550BF">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FFC8B3">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2FF77F">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73DA16">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14:paraId="11AE0C76">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469D5DB9">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6C0E4A">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313D6D">
            <w:pPr>
              <w:widowControl/>
              <w:jc w:val="center"/>
              <w:textAlignment w:val="center"/>
              <w:rPr>
                <w:rFonts w:ascii="宋体" w:hAnsi="宋体" w:cs="宋体"/>
                <w:color w:val="000000"/>
                <w:sz w:val="24"/>
              </w:rPr>
            </w:pPr>
            <w:r>
              <w:rPr>
                <w:rFonts w:hint="eastAsia" w:ascii="宋体" w:hAnsi="宋体" w:cs="宋体"/>
                <w:color w:val="000000"/>
                <w:sz w:val="24"/>
              </w:rPr>
              <w:t>保障村社3000余人日常出行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F9DAA1">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4EB183">
            <w:pPr>
              <w:widowControl/>
              <w:jc w:val="center"/>
              <w:textAlignment w:val="center"/>
              <w:rPr>
                <w:rFonts w:ascii="宋体" w:hAnsi="宋体" w:cs="宋体"/>
                <w:color w:val="000000"/>
                <w:sz w:val="24"/>
              </w:rPr>
            </w:pPr>
            <w:r>
              <w:rPr>
                <w:rFonts w:hint="eastAsia" w:ascii="宋体" w:hAnsi="宋体" w:cs="宋体"/>
                <w:color w:val="000000"/>
                <w:sz w:val="24"/>
              </w:rPr>
              <w:t>保障村社6000余人日常出行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E3BF91">
            <w:pPr>
              <w:widowControl/>
              <w:jc w:val="center"/>
              <w:textAlignment w:val="center"/>
              <w:rPr>
                <w:rFonts w:ascii="宋体" w:hAnsi="宋体" w:cs="宋体"/>
                <w:color w:val="000000"/>
                <w:sz w:val="24"/>
              </w:rPr>
            </w:pPr>
            <w:r>
              <w:rPr>
                <w:rFonts w:hint="eastAsia" w:ascii="宋体" w:hAnsi="宋体" w:cs="宋体"/>
                <w:color w:val="000000"/>
                <w:sz w:val="24"/>
              </w:rPr>
              <w:t>保障村社6000余人日常出行</w:t>
            </w:r>
          </w:p>
        </w:tc>
      </w:tr>
      <w:tr w14:paraId="01C49F3F">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2E2BC143">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47B789">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D5E231">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689702">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39BBA9">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CC14E7">
            <w:pPr>
              <w:widowControl/>
              <w:jc w:val="center"/>
              <w:textAlignment w:val="center"/>
              <w:rPr>
                <w:rFonts w:ascii="宋体" w:hAnsi="宋体" w:cs="宋体"/>
                <w:color w:val="000000"/>
                <w:sz w:val="24"/>
              </w:rPr>
            </w:pPr>
          </w:p>
        </w:tc>
      </w:tr>
      <w:tr w14:paraId="55FDB2CD">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D353378">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3FE8D6">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723227">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AB6561">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A43136">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822243">
            <w:pPr>
              <w:widowControl/>
              <w:jc w:val="center"/>
              <w:textAlignment w:val="center"/>
              <w:rPr>
                <w:rFonts w:ascii="宋体" w:hAnsi="宋体" w:cs="宋体"/>
                <w:color w:val="000000"/>
                <w:sz w:val="24"/>
              </w:rPr>
            </w:pPr>
          </w:p>
        </w:tc>
      </w:tr>
      <w:tr w14:paraId="4EA82329">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5882E476">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959263">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EF88AD">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8D78E3">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4E4485">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88B895">
            <w:pPr>
              <w:widowControl/>
              <w:jc w:val="center"/>
              <w:textAlignment w:val="center"/>
              <w:rPr>
                <w:rFonts w:ascii="宋体" w:hAnsi="宋体" w:cs="宋体"/>
                <w:color w:val="000000"/>
                <w:sz w:val="24"/>
              </w:rPr>
            </w:pPr>
          </w:p>
        </w:tc>
      </w:tr>
      <w:tr w14:paraId="5205B9DD">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EDA7238">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4FD553">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C67D9A">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7327E1">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BEFC18">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60A30E">
            <w:pPr>
              <w:widowControl/>
              <w:jc w:val="center"/>
              <w:textAlignment w:val="center"/>
              <w:rPr>
                <w:rFonts w:ascii="宋体" w:hAnsi="宋体" w:cs="宋体"/>
                <w:color w:val="000000"/>
                <w:sz w:val="24"/>
              </w:rPr>
            </w:pPr>
          </w:p>
        </w:tc>
      </w:tr>
      <w:tr w14:paraId="43B433F3">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9842AB5">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994AA0">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9C70A6">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779EF2">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8300AF">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3811A2">
            <w:pPr>
              <w:widowControl/>
              <w:jc w:val="center"/>
              <w:textAlignment w:val="center"/>
              <w:rPr>
                <w:rFonts w:ascii="宋体" w:hAnsi="宋体" w:cs="宋体"/>
                <w:color w:val="000000"/>
                <w:sz w:val="24"/>
              </w:rPr>
            </w:pPr>
          </w:p>
        </w:tc>
      </w:tr>
      <w:tr w14:paraId="33CE7F9D">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59964404">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C8D542">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959DAE">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FD3BFE">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6254E7">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55AFA7">
            <w:pPr>
              <w:widowControl/>
              <w:jc w:val="center"/>
              <w:textAlignment w:val="center"/>
              <w:rPr>
                <w:rFonts w:ascii="宋体" w:hAnsi="宋体" w:cs="宋体"/>
                <w:color w:val="000000"/>
                <w:sz w:val="24"/>
              </w:rPr>
            </w:pPr>
          </w:p>
        </w:tc>
      </w:tr>
      <w:tr w14:paraId="6DEE5F1C">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6E05FAED">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2C2614">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EAC77F">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137ADC">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31B8FF">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2AAFFC">
            <w:pPr>
              <w:widowControl/>
              <w:jc w:val="center"/>
              <w:textAlignment w:val="center"/>
              <w:rPr>
                <w:rFonts w:ascii="宋体" w:hAnsi="宋体" w:cs="宋体"/>
                <w:color w:val="000000"/>
                <w:sz w:val="24"/>
              </w:rPr>
            </w:pPr>
          </w:p>
        </w:tc>
      </w:tr>
      <w:tr w14:paraId="5EF4E296">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5ADAFC79">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A719BC">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092A8B">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4610BA">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2333E1">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BC6F6B">
            <w:pPr>
              <w:widowControl/>
              <w:jc w:val="center"/>
              <w:textAlignment w:val="center"/>
              <w:rPr>
                <w:rFonts w:ascii="宋体" w:hAnsi="宋体" w:cs="宋体"/>
                <w:color w:val="000000"/>
                <w:sz w:val="24"/>
              </w:rPr>
            </w:pPr>
          </w:p>
        </w:tc>
      </w:tr>
      <w:tr w14:paraId="7E5E60FD">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6BA11FCA">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58D4F0">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24A351">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7DCC2B">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69B8D4">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819573">
            <w:pPr>
              <w:widowControl/>
              <w:jc w:val="center"/>
              <w:textAlignment w:val="center"/>
              <w:rPr>
                <w:rFonts w:ascii="宋体" w:hAnsi="宋体" w:cs="宋体"/>
                <w:color w:val="000000"/>
                <w:sz w:val="24"/>
              </w:rPr>
            </w:pPr>
          </w:p>
        </w:tc>
      </w:tr>
    </w:tbl>
    <w:p w14:paraId="727E2586">
      <w:pPr>
        <w:spacing w:line="580" w:lineRule="exact"/>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14:paraId="38214666">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14:paraId="676FBE08">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14:paraId="36115112">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7C526C">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C523D0">
            <w:pPr>
              <w:widowControl/>
              <w:jc w:val="center"/>
              <w:textAlignment w:val="center"/>
              <w:rPr>
                <w:rFonts w:ascii="宋体" w:hAnsi="宋体" w:cs="宋体"/>
                <w:color w:val="000000"/>
                <w:sz w:val="24"/>
              </w:rPr>
            </w:pPr>
            <w:r>
              <w:rPr>
                <w:rFonts w:hint="eastAsia"/>
              </w:rPr>
              <w:t>2019年安全监管经费</w:t>
            </w:r>
          </w:p>
        </w:tc>
      </w:tr>
      <w:tr w14:paraId="04AD83ED">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BC35DA">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29D949">
            <w:pPr>
              <w:widowControl/>
              <w:jc w:val="center"/>
              <w:textAlignment w:val="center"/>
              <w:rPr>
                <w:rFonts w:ascii="宋体" w:hAnsi="宋体" w:cs="宋体"/>
                <w:color w:val="000000"/>
                <w:sz w:val="24"/>
              </w:rPr>
            </w:pPr>
            <w:r>
              <w:rPr>
                <w:rFonts w:hint="eastAsia" w:ascii="宋体" w:hAnsi="宋体" w:cs="宋体"/>
                <w:color w:val="000000"/>
                <w:sz w:val="24"/>
              </w:rPr>
              <w:t>箐河乡人民政府</w:t>
            </w:r>
          </w:p>
        </w:tc>
      </w:tr>
      <w:tr w14:paraId="1ACCF5DD">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207337">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8D28BF">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E4F8A4">
            <w:pPr>
              <w:widowControl/>
              <w:jc w:val="center"/>
              <w:textAlignment w:val="center"/>
              <w:rPr>
                <w:rFonts w:ascii="宋体" w:hAnsi="宋体" w:cs="宋体"/>
                <w:color w:val="000000"/>
                <w:sz w:val="24"/>
              </w:rPr>
            </w:pPr>
            <w:r>
              <w:rPr>
                <w:rFonts w:hint="eastAsia" w:ascii="宋体" w:hAnsi="宋体" w:cs="宋体"/>
                <w:color w:val="000000"/>
                <w:sz w:val="24"/>
              </w:rPr>
              <w:t>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CC1612">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21D5F9">
            <w:pPr>
              <w:widowControl/>
              <w:jc w:val="center"/>
              <w:textAlignment w:val="center"/>
              <w:rPr>
                <w:rFonts w:ascii="宋体" w:hAnsi="宋体" w:cs="宋体"/>
                <w:color w:val="000000"/>
                <w:sz w:val="24"/>
              </w:rPr>
            </w:pPr>
            <w:r>
              <w:rPr>
                <w:rFonts w:hint="eastAsia" w:ascii="宋体" w:hAnsi="宋体" w:cs="宋体"/>
                <w:color w:val="000000"/>
                <w:sz w:val="24"/>
              </w:rPr>
              <w:t>5万元</w:t>
            </w:r>
          </w:p>
        </w:tc>
      </w:tr>
      <w:tr w14:paraId="623AB21B">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C1AE72">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3D7872">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08CB16">
            <w:pPr>
              <w:widowControl/>
              <w:jc w:val="center"/>
              <w:textAlignment w:val="center"/>
              <w:rPr>
                <w:rFonts w:ascii="宋体" w:hAnsi="宋体" w:cs="宋体"/>
                <w:color w:val="000000"/>
                <w:sz w:val="24"/>
              </w:rPr>
            </w:pPr>
            <w:r>
              <w:rPr>
                <w:rFonts w:hint="eastAsia" w:ascii="宋体" w:hAnsi="宋体" w:cs="宋体"/>
                <w:color w:val="000000"/>
                <w:sz w:val="24"/>
              </w:rPr>
              <w:t>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CF9123">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52D41D">
            <w:pPr>
              <w:widowControl/>
              <w:jc w:val="center"/>
              <w:textAlignment w:val="center"/>
              <w:rPr>
                <w:rFonts w:ascii="宋体" w:hAnsi="宋体" w:cs="宋体"/>
                <w:color w:val="000000"/>
                <w:sz w:val="24"/>
              </w:rPr>
            </w:pPr>
            <w:r>
              <w:rPr>
                <w:rFonts w:hint="eastAsia" w:ascii="宋体" w:hAnsi="宋体" w:cs="宋体"/>
                <w:color w:val="000000"/>
                <w:sz w:val="24"/>
              </w:rPr>
              <w:t>5万元</w:t>
            </w:r>
          </w:p>
        </w:tc>
      </w:tr>
      <w:tr w14:paraId="26BE13E7">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488C1D">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7F10DB">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0C3F9B">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D4264B">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DEDD50">
            <w:pPr>
              <w:jc w:val="center"/>
              <w:rPr>
                <w:rFonts w:ascii="宋体" w:hAnsi="宋体" w:cs="宋体"/>
                <w:color w:val="000000"/>
                <w:sz w:val="24"/>
              </w:rPr>
            </w:pPr>
          </w:p>
        </w:tc>
      </w:tr>
      <w:tr w14:paraId="18D50DA5">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5BC701">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FD3BD3">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828429">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14:paraId="2747EF6A">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6F606F">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C80CA9">
            <w:pPr>
              <w:widowControl/>
              <w:jc w:val="center"/>
              <w:textAlignment w:val="center"/>
              <w:rPr>
                <w:rFonts w:ascii="宋体" w:hAnsi="宋体" w:cs="宋体"/>
                <w:color w:val="000000"/>
                <w:sz w:val="24"/>
              </w:rPr>
            </w:pPr>
          </w:p>
          <w:p w14:paraId="6265EC1C">
            <w:pPr>
              <w:widowControl/>
              <w:jc w:val="center"/>
              <w:textAlignment w:val="center"/>
              <w:rPr>
                <w:rFonts w:ascii="宋体" w:hAnsi="宋体" w:cs="宋体"/>
                <w:color w:val="000000"/>
                <w:sz w:val="24"/>
              </w:rPr>
            </w:pPr>
          </w:p>
          <w:p w14:paraId="6D3AC889">
            <w:pPr>
              <w:widowControl/>
              <w:jc w:val="center"/>
              <w:textAlignment w:val="center"/>
              <w:rPr>
                <w:rFonts w:ascii="宋体" w:hAnsi="宋体" w:cs="宋体"/>
                <w:color w:val="000000"/>
                <w:sz w:val="24"/>
              </w:rPr>
            </w:pPr>
            <w:r>
              <w:rPr>
                <w:rFonts w:hint="eastAsia" w:ascii="宋体" w:hAnsi="宋体" w:cs="宋体"/>
                <w:color w:val="000000"/>
                <w:sz w:val="24"/>
              </w:rPr>
              <w:t>保障全乡日常安全生产工作，顺利开展，完成各级安排的安全生产任务</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A38636">
            <w:pPr>
              <w:widowControl/>
              <w:jc w:val="center"/>
              <w:textAlignment w:val="center"/>
              <w:rPr>
                <w:rFonts w:ascii="宋体" w:hAnsi="宋体" w:cs="宋体"/>
                <w:color w:val="000000"/>
                <w:sz w:val="24"/>
              </w:rPr>
            </w:pPr>
          </w:p>
          <w:p w14:paraId="4E2D1F5E">
            <w:pPr>
              <w:widowControl/>
              <w:jc w:val="center"/>
              <w:textAlignment w:val="center"/>
              <w:rPr>
                <w:rFonts w:ascii="宋体" w:hAnsi="宋体" w:cs="宋体"/>
                <w:color w:val="000000"/>
                <w:sz w:val="24"/>
              </w:rPr>
            </w:pPr>
          </w:p>
          <w:p w14:paraId="643A7383">
            <w:pPr>
              <w:widowControl/>
              <w:jc w:val="center"/>
              <w:textAlignment w:val="center"/>
              <w:rPr>
                <w:rFonts w:ascii="宋体" w:hAnsi="宋体" w:cs="宋体"/>
                <w:color w:val="000000"/>
                <w:sz w:val="24"/>
              </w:rPr>
            </w:pPr>
            <w:r>
              <w:rPr>
                <w:rFonts w:hint="eastAsia" w:ascii="宋体" w:hAnsi="宋体" w:cs="宋体"/>
                <w:color w:val="000000"/>
                <w:sz w:val="24"/>
              </w:rPr>
              <w:t>保障全乡日常安全生产工作，顺利开展，完成各级安排的安全生产任务</w:t>
            </w:r>
          </w:p>
        </w:tc>
      </w:tr>
      <w:tr w14:paraId="73F19181">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10A8F5A0">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C0517C">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F86AB4">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D30B4D">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0492A4">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705A4B">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14:paraId="23E9DF38">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4CE0EE66">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E6C5ED">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645493">
            <w:pPr>
              <w:widowControl/>
              <w:jc w:val="center"/>
              <w:textAlignment w:val="center"/>
              <w:rPr>
                <w:rFonts w:ascii="宋体" w:hAnsi="宋体" w:cs="宋体"/>
                <w:color w:val="000000"/>
                <w:sz w:val="24"/>
              </w:rPr>
            </w:pPr>
            <w:r>
              <w:rPr>
                <w:rFonts w:hint="eastAsia" w:ascii="宋体" w:hAnsi="宋体" w:cs="宋体"/>
                <w:color w:val="000000"/>
                <w:sz w:val="24"/>
              </w:rPr>
              <w:t>安全生产工作，顺利开展，完成全乡各级安排的安全生产任务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8576A6">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0204F4">
            <w:pPr>
              <w:widowControl/>
              <w:jc w:val="center"/>
              <w:textAlignment w:val="center"/>
              <w:rPr>
                <w:rFonts w:ascii="宋体" w:hAnsi="宋体" w:cs="宋体"/>
                <w:color w:val="000000"/>
                <w:sz w:val="24"/>
              </w:rPr>
            </w:pPr>
            <w:r>
              <w:rPr>
                <w:rFonts w:hint="eastAsia" w:ascii="宋体" w:hAnsi="宋体" w:cs="宋体"/>
                <w:color w:val="000000"/>
                <w:sz w:val="24"/>
              </w:rPr>
              <w:t>安全生产工作，顺利开展，完成6个村级10多家企业各级安排的安全生产任务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776F81">
            <w:pPr>
              <w:widowControl/>
              <w:jc w:val="center"/>
              <w:textAlignment w:val="center"/>
              <w:rPr>
                <w:rFonts w:ascii="宋体" w:hAnsi="宋体" w:cs="宋体"/>
                <w:color w:val="000000"/>
                <w:sz w:val="24"/>
              </w:rPr>
            </w:pPr>
            <w:r>
              <w:rPr>
                <w:rFonts w:hint="eastAsia" w:ascii="宋体" w:hAnsi="宋体" w:cs="宋体"/>
                <w:color w:val="000000"/>
                <w:sz w:val="24"/>
              </w:rPr>
              <w:t>安全生产工作，顺利开展，完成6个村级10多家企业各级安排的安全生产任务</w:t>
            </w:r>
          </w:p>
        </w:tc>
      </w:tr>
      <w:tr w14:paraId="7FCE582D">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6CA46717">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71FD13">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A70EBA">
            <w:pPr>
              <w:widowControl/>
              <w:jc w:val="center"/>
              <w:textAlignment w:val="center"/>
              <w:rPr>
                <w:rFonts w:ascii="宋体" w:hAnsi="宋体" w:cs="宋体"/>
                <w:color w:val="000000"/>
                <w:sz w:val="24"/>
              </w:rPr>
            </w:pPr>
            <w:r>
              <w:rPr>
                <w:rFonts w:hint="eastAsia" w:ascii="宋体" w:hAnsi="宋体" w:cs="宋体"/>
                <w:color w:val="000000"/>
                <w:sz w:val="24"/>
              </w:rPr>
              <w:t>安全生产工作，顺利开展，完成6个村级10多家企业各级安排的安全生产任务1天</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72D064">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C571EC">
            <w:pPr>
              <w:widowControl/>
              <w:jc w:val="center"/>
              <w:textAlignment w:val="center"/>
              <w:rPr>
                <w:rFonts w:ascii="宋体" w:hAnsi="宋体" w:cs="宋体"/>
                <w:color w:val="000000"/>
                <w:sz w:val="24"/>
              </w:rPr>
            </w:pPr>
            <w:r>
              <w:rPr>
                <w:rFonts w:hint="eastAsia" w:ascii="宋体" w:hAnsi="宋体" w:cs="宋体"/>
                <w:color w:val="000000"/>
                <w:sz w:val="24"/>
              </w:rPr>
              <w:t>安全生产工作，顺利开展，完成6个村级10多家企业各级安排的安全生产任务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34BCB8">
            <w:pPr>
              <w:widowControl/>
              <w:jc w:val="center"/>
              <w:textAlignment w:val="center"/>
              <w:rPr>
                <w:rFonts w:ascii="宋体" w:hAnsi="宋体" w:cs="宋体"/>
                <w:b/>
                <w:bCs/>
                <w:color w:val="000000"/>
                <w:sz w:val="24"/>
              </w:rPr>
            </w:pPr>
            <w:r>
              <w:rPr>
                <w:rFonts w:hint="eastAsia" w:ascii="宋体" w:hAnsi="宋体" w:cs="宋体"/>
                <w:color w:val="000000"/>
                <w:sz w:val="24"/>
              </w:rPr>
              <w:t>安全生产工作，顺利开展，完成6个村级10多家企业各级安排的安全生产任务</w:t>
            </w:r>
          </w:p>
        </w:tc>
      </w:tr>
      <w:tr w14:paraId="2D7624E1">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416DA8CD">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FC7803">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F79DE1">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0A8D51">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9038CC">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5125EA">
            <w:pPr>
              <w:widowControl/>
              <w:jc w:val="center"/>
              <w:textAlignment w:val="center"/>
              <w:rPr>
                <w:rFonts w:ascii="宋体" w:hAnsi="宋体" w:cs="宋体"/>
                <w:color w:val="000000"/>
                <w:sz w:val="24"/>
              </w:rPr>
            </w:pPr>
          </w:p>
        </w:tc>
      </w:tr>
      <w:tr w14:paraId="1A3EDDF7">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B03E631">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43BCC9">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3C964C">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4DC29B">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7C450D">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B69030">
            <w:pPr>
              <w:widowControl/>
              <w:jc w:val="center"/>
              <w:textAlignment w:val="center"/>
              <w:rPr>
                <w:rFonts w:ascii="宋体" w:hAnsi="宋体" w:cs="宋体"/>
                <w:color w:val="000000"/>
                <w:sz w:val="24"/>
              </w:rPr>
            </w:pPr>
          </w:p>
        </w:tc>
      </w:tr>
      <w:tr w14:paraId="0C688779">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AF9F4E0">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0757E4">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5E5C67">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CF0CD2">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A333F5">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C7619E">
            <w:pPr>
              <w:widowControl/>
              <w:jc w:val="center"/>
              <w:textAlignment w:val="center"/>
              <w:rPr>
                <w:rFonts w:ascii="宋体" w:hAnsi="宋体" w:cs="宋体"/>
                <w:color w:val="000000"/>
                <w:sz w:val="24"/>
              </w:rPr>
            </w:pPr>
          </w:p>
        </w:tc>
      </w:tr>
      <w:tr w14:paraId="20C7214A">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41771175">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14D3CB">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02B9B9">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74153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6469C8">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1FAA5E">
            <w:pPr>
              <w:widowControl/>
              <w:jc w:val="center"/>
              <w:textAlignment w:val="center"/>
              <w:rPr>
                <w:rFonts w:ascii="宋体" w:hAnsi="宋体" w:cs="宋体"/>
                <w:color w:val="000000"/>
                <w:sz w:val="24"/>
              </w:rPr>
            </w:pPr>
          </w:p>
        </w:tc>
      </w:tr>
      <w:tr w14:paraId="15E3C334">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8A244A8">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BBCF05">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3A38B2">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0B357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20E0AF">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05BBF0">
            <w:pPr>
              <w:widowControl/>
              <w:jc w:val="center"/>
              <w:textAlignment w:val="center"/>
              <w:rPr>
                <w:rFonts w:ascii="宋体" w:hAnsi="宋体" w:cs="宋体"/>
                <w:color w:val="000000"/>
                <w:sz w:val="24"/>
              </w:rPr>
            </w:pPr>
          </w:p>
        </w:tc>
      </w:tr>
      <w:tr w14:paraId="33F705D4">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57D9F544">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D6AFD5">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48D0B5">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888C5A">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F40044">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999622">
            <w:pPr>
              <w:widowControl/>
              <w:jc w:val="center"/>
              <w:textAlignment w:val="center"/>
              <w:rPr>
                <w:rFonts w:ascii="宋体" w:hAnsi="宋体" w:cs="宋体"/>
                <w:color w:val="000000"/>
                <w:sz w:val="24"/>
              </w:rPr>
            </w:pPr>
          </w:p>
        </w:tc>
      </w:tr>
      <w:tr w14:paraId="149AD191">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37E5D187">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862CC8">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80FADA">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439D26">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424C7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C4F900">
            <w:pPr>
              <w:widowControl/>
              <w:jc w:val="center"/>
              <w:textAlignment w:val="center"/>
              <w:rPr>
                <w:rFonts w:ascii="宋体" w:hAnsi="宋体" w:cs="宋体"/>
                <w:color w:val="000000"/>
                <w:sz w:val="24"/>
              </w:rPr>
            </w:pPr>
          </w:p>
        </w:tc>
      </w:tr>
      <w:tr w14:paraId="03DF23FE">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77E19CF9">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DA9F8C">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7B7836">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2E37CF">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AC4B47">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C2E605">
            <w:pPr>
              <w:widowControl/>
              <w:jc w:val="center"/>
              <w:textAlignment w:val="center"/>
              <w:rPr>
                <w:rFonts w:ascii="宋体" w:hAnsi="宋体" w:cs="宋体"/>
                <w:color w:val="000000"/>
                <w:sz w:val="24"/>
              </w:rPr>
            </w:pPr>
          </w:p>
        </w:tc>
      </w:tr>
    </w:tbl>
    <w:p w14:paraId="4FE45373">
      <w:pPr>
        <w:spacing w:line="580" w:lineRule="exact"/>
        <w:rPr>
          <w:rFonts w:ascii="仿宋_GB2312" w:hAnsi="仿宋_GB2312" w:eastAsia="仿宋_GB2312" w:cs="仿宋_GB2312"/>
          <w:sz w:val="32"/>
          <w:szCs w:val="32"/>
        </w:rPr>
      </w:pPr>
    </w:p>
    <w:tbl>
      <w:tblPr>
        <w:tblStyle w:val="13"/>
        <w:tblpPr w:leftFromText="180" w:rightFromText="180" w:vertAnchor="text" w:horzAnchor="page" w:tblpXSpec="center" w:tblpY="100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14:paraId="73AFE008">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14:paraId="6124F3E8">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14:paraId="0800EABE">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F79CA6">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BEEBA2">
            <w:pPr>
              <w:widowControl/>
              <w:jc w:val="center"/>
              <w:textAlignment w:val="center"/>
              <w:rPr>
                <w:rFonts w:ascii="宋体" w:hAnsi="宋体" w:cs="宋体"/>
                <w:color w:val="000000"/>
                <w:sz w:val="24"/>
              </w:rPr>
            </w:pPr>
            <w:r>
              <w:rPr>
                <w:rFonts w:hint="eastAsia" w:ascii="宋体" w:hAnsi="宋体" w:cs="宋体"/>
                <w:color w:val="000000"/>
                <w:sz w:val="24"/>
              </w:rPr>
              <w:t>人大代表之家建设</w:t>
            </w:r>
          </w:p>
        </w:tc>
      </w:tr>
      <w:tr w14:paraId="2EFA464B">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9B932A">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BDAAFD">
            <w:pPr>
              <w:widowControl/>
              <w:jc w:val="center"/>
              <w:textAlignment w:val="center"/>
              <w:rPr>
                <w:rFonts w:ascii="宋体" w:hAnsi="宋体" w:cs="宋体"/>
                <w:color w:val="000000"/>
                <w:sz w:val="24"/>
              </w:rPr>
            </w:pPr>
            <w:r>
              <w:rPr>
                <w:rFonts w:hint="eastAsia" w:ascii="宋体" w:hAnsi="宋体" w:cs="宋体"/>
                <w:color w:val="000000"/>
                <w:sz w:val="24"/>
              </w:rPr>
              <w:t>箐河镇人民政府</w:t>
            </w:r>
          </w:p>
        </w:tc>
      </w:tr>
      <w:tr w14:paraId="3D52776E">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01F958">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849D9D">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4DCB2A">
            <w:pPr>
              <w:widowControl/>
              <w:jc w:val="center"/>
              <w:textAlignment w:val="center"/>
              <w:rPr>
                <w:rFonts w:ascii="宋体" w:hAnsi="宋体" w:cs="宋体"/>
                <w:color w:val="000000"/>
                <w:sz w:val="24"/>
              </w:rPr>
            </w:pPr>
            <w:r>
              <w:rPr>
                <w:rFonts w:hint="eastAsia" w:ascii="宋体" w:hAnsi="宋体" w:cs="宋体"/>
                <w:color w:val="000000"/>
                <w:sz w:val="24"/>
              </w:rPr>
              <w:t>3.89万元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590765">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93FF1E">
            <w:pPr>
              <w:widowControl/>
              <w:jc w:val="center"/>
              <w:textAlignment w:val="center"/>
              <w:rPr>
                <w:rFonts w:ascii="宋体" w:hAnsi="宋体" w:cs="宋体"/>
                <w:color w:val="000000"/>
                <w:sz w:val="24"/>
              </w:rPr>
            </w:pPr>
            <w:r>
              <w:rPr>
                <w:rFonts w:hint="eastAsia" w:ascii="宋体" w:hAnsi="宋体" w:cs="宋体"/>
                <w:color w:val="000000"/>
                <w:sz w:val="24"/>
              </w:rPr>
              <w:t>3.89万元</w:t>
            </w:r>
          </w:p>
        </w:tc>
      </w:tr>
      <w:tr w14:paraId="4859D4C4">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7418B5">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6ECCEF">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06333B">
            <w:pPr>
              <w:widowControl/>
              <w:jc w:val="center"/>
              <w:textAlignment w:val="center"/>
              <w:rPr>
                <w:rFonts w:ascii="宋体" w:hAnsi="宋体" w:cs="宋体"/>
                <w:color w:val="000000"/>
                <w:sz w:val="24"/>
              </w:rPr>
            </w:pPr>
            <w:r>
              <w:rPr>
                <w:rFonts w:hint="eastAsia" w:ascii="宋体" w:hAnsi="宋体" w:cs="宋体"/>
                <w:color w:val="000000"/>
                <w:sz w:val="24"/>
              </w:rPr>
              <w:t>3.89万元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2E1EE9">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212C7C">
            <w:pPr>
              <w:widowControl/>
              <w:jc w:val="center"/>
              <w:textAlignment w:val="center"/>
              <w:rPr>
                <w:rFonts w:ascii="宋体" w:hAnsi="宋体" w:cs="宋体"/>
                <w:color w:val="000000"/>
                <w:sz w:val="24"/>
              </w:rPr>
            </w:pPr>
            <w:r>
              <w:rPr>
                <w:rFonts w:hint="eastAsia" w:ascii="宋体" w:hAnsi="宋体" w:cs="宋体"/>
                <w:color w:val="000000"/>
                <w:sz w:val="24"/>
              </w:rPr>
              <w:t>3.89万元</w:t>
            </w:r>
          </w:p>
        </w:tc>
      </w:tr>
      <w:tr w14:paraId="78E922AA">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88BDD6">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1BA2C8">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A96A28">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4B954A">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8761B0">
            <w:pPr>
              <w:jc w:val="center"/>
              <w:rPr>
                <w:rFonts w:ascii="宋体" w:hAnsi="宋体" w:cs="宋体"/>
                <w:color w:val="000000"/>
                <w:sz w:val="24"/>
              </w:rPr>
            </w:pPr>
          </w:p>
        </w:tc>
      </w:tr>
      <w:tr w14:paraId="3D337D44">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31C844">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7A4CEF">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9248FD">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14:paraId="0FB8C4AF">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BA3F98">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4AD4B8">
            <w:pPr>
              <w:widowControl/>
              <w:jc w:val="center"/>
              <w:textAlignment w:val="center"/>
              <w:rPr>
                <w:rFonts w:ascii="宋体" w:hAnsi="宋体" w:cs="宋体"/>
                <w:color w:val="000000"/>
                <w:sz w:val="24"/>
              </w:rPr>
            </w:pPr>
          </w:p>
          <w:p w14:paraId="51CBE1FF">
            <w:pPr>
              <w:widowControl/>
              <w:jc w:val="center"/>
              <w:textAlignment w:val="center"/>
              <w:rPr>
                <w:rFonts w:ascii="宋体" w:hAnsi="宋体" w:cs="宋体"/>
                <w:color w:val="000000"/>
                <w:sz w:val="24"/>
              </w:rPr>
            </w:pPr>
          </w:p>
          <w:p w14:paraId="0333AD9A">
            <w:pPr>
              <w:widowControl/>
              <w:jc w:val="center"/>
              <w:textAlignment w:val="center"/>
              <w:rPr>
                <w:rFonts w:ascii="宋体" w:hAnsi="宋体" w:cs="宋体"/>
                <w:color w:val="000000"/>
                <w:sz w:val="24"/>
              </w:rPr>
            </w:pPr>
            <w:r>
              <w:rPr>
                <w:rFonts w:hint="eastAsia" w:ascii="宋体" w:hAnsi="宋体" w:cs="宋体"/>
                <w:color w:val="000000"/>
                <w:sz w:val="24"/>
              </w:rPr>
              <w:t xml:space="preserve"> 完成我乡145平米人大代表之家专修及办公用品设备购买</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BD6325">
            <w:pPr>
              <w:widowControl/>
              <w:jc w:val="center"/>
              <w:textAlignment w:val="center"/>
              <w:rPr>
                <w:rFonts w:ascii="宋体" w:hAnsi="宋体" w:cs="宋体"/>
                <w:color w:val="000000"/>
                <w:sz w:val="24"/>
              </w:rPr>
            </w:pPr>
          </w:p>
          <w:p w14:paraId="317B6553">
            <w:pPr>
              <w:widowControl/>
              <w:jc w:val="center"/>
              <w:textAlignment w:val="center"/>
              <w:rPr>
                <w:rFonts w:ascii="宋体" w:hAnsi="宋体" w:cs="宋体"/>
                <w:color w:val="000000"/>
                <w:sz w:val="24"/>
              </w:rPr>
            </w:pPr>
            <w:r>
              <w:rPr>
                <w:rFonts w:hint="eastAsia" w:ascii="宋体" w:hAnsi="宋体" w:cs="宋体"/>
                <w:color w:val="000000"/>
                <w:sz w:val="24"/>
              </w:rPr>
              <w:t xml:space="preserve"> 完成我乡145平米人大代表之家专修及办公用品设备购买</w:t>
            </w:r>
          </w:p>
        </w:tc>
      </w:tr>
      <w:tr w14:paraId="1303A3B9">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529991FD">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6B8B71">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1233C5">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0A7044">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3F6823">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EF08F7">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14:paraId="714F8EF5">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29B506EA">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C5AEA3">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A0823A">
            <w:pPr>
              <w:widowControl/>
              <w:jc w:val="center"/>
              <w:textAlignment w:val="center"/>
              <w:rPr>
                <w:rFonts w:ascii="宋体" w:hAnsi="宋体" w:cs="宋体"/>
                <w:color w:val="000000"/>
                <w:sz w:val="24"/>
              </w:rPr>
            </w:pPr>
            <w:r>
              <w:rPr>
                <w:rFonts w:hint="eastAsia" w:ascii="宋体" w:hAnsi="宋体" w:cs="宋体"/>
                <w:color w:val="000000"/>
                <w:sz w:val="24"/>
              </w:rPr>
              <w:t>完成我乡145平米人大代表之家专修及办公用品设备购买复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35711F">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024DD2">
            <w:pPr>
              <w:widowControl/>
              <w:jc w:val="center"/>
              <w:textAlignment w:val="center"/>
              <w:rPr>
                <w:rFonts w:ascii="宋体" w:hAnsi="宋体" w:cs="宋体"/>
                <w:color w:val="000000"/>
                <w:sz w:val="24"/>
              </w:rPr>
            </w:pPr>
            <w:r>
              <w:rPr>
                <w:rFonts w:hint="eastAsia" w:ascii="宋体" w:hAnsi="宋体" w:cs="宋体"/>
                <w:color w:val="000000"/>
                <w:sz w:val="24"/>
              </w:rPr>
              <w:t>完成我乡145平米人大代表之家专修及办公用品设备购买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696A4C">
            <w:pPr>
              <w:widowControl/>
              <w:jc w:val="center"/>
              <w:textAlignment w:val="center"/>
              <w:rPr>
                <w:rFonts w:ascii="宋体" w:hAnsi="宋体" w:cs="宋体"/>
                <w:color w:val="000000"/>
                <w:sz w:val="24"/>
              </w:rPr>
            </w:pPr>
            <w:r>
              <w:rPr>
                <w:rFonts w:hint="eastAsia" w:ascii="宋体" w:hAnsi="宋体" w:cs="宋体"/>
                <w:color w:val="000000"/>
                <w:sz w:val="24"/>
              </w:rPr>
              <w:t>完成我乡145平米人大代表之家专修及办公用品设备购买</w:t>
            </w:r>
          </w:p>
        </w:tc>
      </w:tr>
      <w:tr w14:paraId="7C0B3492">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33A08B00">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DDE942">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B8D476">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4225A4">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0349D4">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6B26C5">
            <w:pPr>
              <w:widowControl/>
              <w:jc w:val="center"/>
              <w:textAlignment w:val="center"/>
              <w:rPr>
                <w:rFonts w:ascii="宋体" w:hAnsi="宋体" w:cs="宋体"/>
                <w:color w:val="000000"/>
                <w:sz w:val="24"/>
              </w:rPr>
            </w:pPr>
          </w:p>
        </w:tc>
      </w:tr>
      <w:tr w14:paraId="01EBDA26">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5126B001">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DD8363">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ADAAAF">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9E692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030EEF">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BF054E">
            <w:pPr>
              <w:widowControl/>
              <w:jc w:val="center"/>
              <w:textAlignment w:val="center"/>
              <w:rPr>
                <w:rFonts w:ascii="宋体" w:hAnsi="宋体" w:cs="宋体"/>
                <w:color w:val="000000"/>
                <w:sz w:val="24"/>
              </w:rPr>
            </w:pPr>
          </w:p>
        </w:tc>
      </w:tr>
      <w:tr w14:paraId="6FCF5FDF">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45D8ECC4">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D43354">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49318F">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8A1B1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6E181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7A3C9C">
            <w:pPr>
              <w:widowControl/>
              <w:jc w:val="center"/>
              <w:textAlignment w:val="center"/>
              <w:rPr>
                <w:rFonts w:ascii="宋体" w:hAnsi="宋体" w:cs="宋体"/>
                <w:color w:val="000000"/>
                <w:sz w:val="24"/>
              </w:rPr>
            </w:pPr>
          </w:p>
        </w:tc>
      </w:tr>
      <w:tr w14:paraId="7D5C3F53">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494063A">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EBDE41">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B0095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000182">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A13F58">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48B43D">
            <w:pPr>
              <w:widowControl/>
              <w:jc w:val="center"/>
              <w:textAlignment w:val="center"/>
              <w:rPr>
                <w:rFonts w:ascii="宋体" w:hAnsi="宋体" w:cs="宋体"/>
                <w:color w:val="000000"/>
                <w:sz w:val="24"/>
              </w:rPr>
            </w:pPr>
          </w:p>
        </w:tc>
      </w:tr>
      <w:tr w14:paraId="6BD49E0B">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ABB2BD6">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00FD36">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D3DDF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85528F">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5F8AD9">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C26777">
            <w:pPr>
              <w:widowControl/>
              <w:jc w:val="center"/>
              <w:textAlignment w:val="center"/>
              <w:rPr>
                <w:rFonts w:ascii="宋体" w:hAnsi="宋体" w:cs="宋体"/>
                <w:color w:val="000000"/>
                <w:sz w:val="24"/>
              </w:rPr>
            </w:pPr>
          </w:p>
        </w:tc>
      </w:tr>
      <w:tr w14:paraId="2D7F59C2">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30BA583A">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520B5C">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32880A">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96646B">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5964B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078F65">
            <w:pPr>
              <w:widowControl/>
              <w:jc w:val="center"/>
              <w:textAlignment w:val="center"/>
              <w:rPr>
                <w:rFonts w:ascii="宋体" w:hAnsi="宋体" w:cs="宋体"/>
                <w:color w:val="000000"/>
                <w:sz w:val="24"/>
              </w:rPr>
            </w:pPr>
          </w:p>
        </w:tc>
      </w:tr>
      <w:tr w14:paraId="206B016C">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AFB6388">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D3FD24">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37416C">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3897A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BADDD5">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8C6216">
            <w:pPr>
              <w:widowControl/>
              <w:jc w:val="center"/>
              <w:textAlignment w:val="center"/>
              <w:rPr>
                <w:rFonts w:ascii="宋体" w:hAnsi="宋体" w:cs="宋体"/>
                <w:color w:val="000000"/>
                <w:sz w:val="24"/>
              </w:rPr>
            </w:pPr>
          </w:p>
        </w:tc>
      </w:tr>
      <w:tr w14:paraId="359F1679">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21BD172">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C1F29C">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BA6764">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FEFF85">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8FA70D">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AF24F5">
            <w:pPr>
              <w:widowControl/>
              <w:jc w:val="center"/>
              <w:textAlignment w:val="center"/>
              <w:rPr>
                <w:rFonts w:ascii="宋体" w:hAnsi="宋体" w:cs="宋体"/>
                <w:color w:val="000000"/>
                <w:sz w:val="24"/>
              </w:rPr>
            </w:pPr>
          </w:p>
        </w:tc>
      </w:tr>
      <w:tr w14:paraId="54F8D3A7">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1C73CD07">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BD3620">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C9A9B6">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76E82E">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364C1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B4E89B">
            <w:pPr>
              <w:widowControl/>
              <w:jc w:val="center"/>
              <w:textAlignment w:val="center"/>
              <w:rPr>
                <w:rFonts w:ascii="宋体" w:hAnsi="宋体" w:cs="宋体"/>
                <w:color w:val="000000"/>
                <w:sz w:val="24"/>
              </w:rPr>
            </w:pPr>
          </w:p>
        </w:tc>
      </w:tr>
    </w:tbl>
    <w:p w14:paraId="7790DC8D">
      <w:pPr>
        <w:spacing w:line="580" w:lineRule="exact"/>
        <w:ind w:left="630"/>
        <w:rPr>
          <w:rFonts w:ascii="仿宋_GB2312" w:hAnsi="仿宋_GB2312" w:eastAsia="仿宋_GB2312" w:cs="仿宋_GB2312"/>
          <w:sz w:val="32"/>
          <w:szCs w:val="32"/>
        </w:rPr>
      </w:pPr>
    </w:p>
    <w:tbl>
      <w:tblPr>
        <w:tblStyle w:val="13"/>
        <w:tblpPr w:leftFromText="180" w:rightFromText="180" w:vertAnchor="text" w:horzAnchor="page" w:tblpXSpec="center" w:tblpY="100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14:paraId="55AB7488">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14:paraId="6E0989E9">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14:paraId="111C61DE">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C8C95C">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41C078">
            <w:pPr>
              <w:widowControl/>
              <w:jc w:val="center"/>
              <w:textAlignment w:val="center"/>
              <w:rPr>
                <w:rFonts w:ascii="宋体" w:hAnsi="宋体" w:cs="宋体"/>
                <w:color w:val="000000"/>
                <w:sz w:val="24"/>
              </w:rPr>
            </w:pPr>
            <w:r>
              <w:rPr>
                <w:rFonts w:hint="eastAsia" w:ascii="宋体" w:hAnsi="宋体" w:cs="宋体"/>
                <w:color w:val="000000"/>
                <w:sz w:val="24"/>
              </w:rPr>
              <w:t>2019年村级办公经费</w:t>
            </w:r>
          </w:p>
        </w:tc>
      </w:tr>
      <w:tr w14:paraId="4D8E826D">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1C747E">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0DCC40">
            <w:pPr>
              <w:widowControl/>
              <w:jc w:val="center"/>
              <w:textAlignment w:val="center"/>
              <w:rPr>
                <w:rFonts w:ascii="宋体" w:hAnsi="宋体" w:cs="宋体"/>
                <w:color w:val="000000"/>
                <w:sz w:val="24"/>
              </w:rPr>
            </w:pPr>
            <w:r>
              <w:rPr>
                <w:rFonts w:hint="eastAsia" w:ascii="宋体" w:hAnsi="宋体" w:cs="宋体"/>
                <w:color w:val="000000"/>
                <w:sz w:val="24"/>
              </w:rPr>
              <w:t>永兴镇人民政府</w:t>
            </w:r>
          </w:p>
        </w:tc>
      </w:tr>
      <w:tr w14:paraId="61FC2C46">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E1E244">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FB58DF">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22EFBF">
            <w:pPr>
              <w:widowControl/>
              <w:jc w:val="center"/>
              <w:textAlignment w:val="center"/>
              <w:rPr>
                <w:rFonts w:ascii="宋体" w:hAnsi="宋体" w:cs="宋体"/>
                <w:color w:val="000000"/>
                <w:sz w:val="24"/>
              </w:rPr>
            </w:pPr>
            <w:r>
              <w:rPr>
                <w:rFonts w:hint="eastAsia" w:ascii="宋体" w:hAnsi="宋体" w:cs="宋体"/>
                <w:color w:val="000000"/>
                <w:sz w:val="24"/>
              </w:rPr>
              <w:t>18万元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C8D5F1">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2F11EC">
            <w:pPr>
              <w:widowControl/>
              <w:jc w:val="center"/>
              <w:textAlignment w:val="center"/>
              <w:rPr>
                <w:rFonts w:ascii="宋体" w:hAnsi="宋体" w:cs="宋体"/>
                <w:color w:val="000000"/>
                <w:sz w:val="24"/>
              </w:rPr>
            </w:pPr>
            <w:r>
              <w:rPr>
                <w:rFonts w:hint="eastAsia" w:ascii="宋体" w:hAnsi="宋体" w:cs="宋体"/>
                <w:color w:val="000000"/>
                <w:sz w:val="24"/>
              </w:rPr>
              <w:t>18万元</w:t>
            </w:r>
          </w:p>
        </w:tc>
      </w:tr>
      <w:tr w14:paraId="3AF861DD">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CCDFB1">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1E919C">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922C08">
            <w:pPr>
              <w:widowControl/>
              <w:jc w:val="center"/>
              <w:textAlignment w:val="center"/>
              <w:rPr>
                <w:rFonts w:ascii="宋体" w:hAnsi="宋体" w:cs="宋体"/>
                <w:color w:val="000000"/>
                <w:sz w:val="24"/>
              </w:rPr>
            </w:pPr>
            <w:r>
              <w:rPr>
                <w:rFonts w:hint="eastAsia" w:ascii="宋体" w:hAnsi="宋体" w:cs="宋体"/>
                <w:color w:val="000000"/>
                <w:sz w:val="24"/>
              </w:rPr>
              <w:t>18万元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944B2C">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3B10BB">
            <w:pPr>
              <w:widowControl/>
              <w:jc w:val="center"/>
              <w:textAlignment w:val="center"/>
              <w:rPr>
                <w:rFonts w:ascii="宋体" w:hAnsi="宋体" w:cs="宋体"/>
                <w:color w:val="000000"/>
                <w:sz w:val="24"/>
              </w:rPr>
            </w:pPr>
            <w:r>
              <w:rPr>
                <w:rFonts w:hint="eastAsia" w:ascii="宋体" w:hAnsi="宋体" w:cs="宋体"/>
                <w:color w:val="000000"/>
                <w:sz w:val="24"/>
              </w:rPr>
              <w:t>18万元</w:t>
            </w:r>
          </w:p>
        </w:tc>
      </w:tr>
      <w:tr w14:paraId="0462A09D">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67DA27">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B567C6">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11C93C">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D85B7B">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411C3E">
            <w:pPr>
              <w:jc w:val="center"/>
              <w:rPr>
                <w:rFonts w:ascii="宋体" w:hAnsi="宋体" w:cs="宋体"/>
                <w:color w:val="000000"/>
                <w:sz w:val="24"/>
              </w:rPr>
            </w:pPr>
          </w:p>
        </w:tc>
      </w:tr>
      <w:tr w14:paraId="2D94BEA3">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1768B3">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17C96D">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1E3DE8">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14:paraId="42A18BFA">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09DEA8">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7B8698">
            <w:pPr>
              <w:widowControl/>
              <w:jc w:val="center"/>
              <w:textAlignment w:val="center"/>
              <w:rPr>
                <w:rFonts w:ascii="宋体" w:hAnsi="宋体" w:cs="宋体"/>
                <w:color w:val="000000"/>
                <w:sz w:val="24"/>
              </w:rPr>
            </w:pPr>
          </w:p>
          <w:p w14:paraId="4516A552">
            <w:pPr>
              <w:widowControl/>
              <w:jc w:val="center"/>
              <w:textAlignment w:val="center"/>
              <w:rPr>
                <w:rFonts w:ascii="宋体" w:hAnsi="宋体" w:cs="宋体"/>
                <w:color w:val="000000"/>
                <w:sz w:val="24"/>
              </w:rPr>
            </w:pPr>
          </w:p>
          <w:p w14:paraId="2C94B6B5">
            <w:pPr>
              <w:widowControl/>
              <w:jc w:val="center"/>
              <w:textAlignment w:val="center"/>
              <w:rPr>
                <w:rFonts w:ascii="宋体" w:hAnsi="宋体" w:cs="宋体"/>
                <w:color w:val="000000"/>
                <w:sz w:val="24"/>
              </w:rPr>
            </w:pPr>
            <w:r>
              <w:rPr>
                <w:rFonts w:hint="eastAsia" w:ascii="宋体" w:hAnsi="宋体" w:cs="宋体"/>
                <w:color w:val="000000"/>
                <w:sz w:val="24"/>
              </w:rPr>
              <w:t xml:space="preserve">  保障6个村日常村级工作正常运转</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2E9FA9">
            <w:pPr>
              <w:widowControl/>
              <w:jc w:val="center"/>
              <w:textAlignment w:val="center"/>
              <w:rPr>
                <w:rFonts w:ascii="宋体" w:hAnsi="宋体" w:cs="宋体"/>
                <w:color w:val="000000"/>
                <w:sz w:val="24"/>
              </w:rPr>
            </w:pPr>
          </w:p>
          <w:p w14:paraId="3F22A02F">
            <w:pPr>
              <w:widowControl/>
              <w:jc w:val="center"/>
              <w:textAlignment w:val="center"/>
              <w:rPr>
                <w:rFonts w:ascii="宋体" w:hAnsi="宋体" w:cs="宋体"/>
                <w:color w:val="000000"/>
                <w:sz w:val="24"/>
              </w:rPr>
            </w:pPr>
            <w:r>
              <w:rPr>
                <w:rFonts w:hint="eastAsia" w:ascii="宋体" w:hAnsi="宋体" w:cs="宋体"/>
                <w:color w:val="000000"/>
                <w:sz w:val="24"/>
              </w:rPr>
              <w:t xml:space="preserve">  保障6个村日常村级工作正常运转</w:t>
            </w:r>
          </w:p>
        </w:tc>
      </w:tr>
      <w:tr w14:paraId="61265D9B">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2B325896">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99D02E">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30F4E8">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6D15A0">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54C5BF">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D2AEA0">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14:paraId="6EDDE226">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38A3BB08">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66653D">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5A38DE">
            <w:pPr>
              <w:widowControl/>
              <w:jc w:val="center"/>
              <w:textAlignment w:val="center"/>
              <w:rPr>
                <w:rFonts w:ascii="宋体" w:hAnsi="宋体" w:cs="宋体"/>
                <w:color w:val="000000"/>
                <w:sz w:val="24"/>
              </w:rPr>
            </w:pPr>
            <w:r>
              <w:rPr>
                <w:rFonts w:hint="eastAsia" w:ascii="宋体" w:hAnsi="宋体" w:cs="宋体"/>
                <w:color w:val="000000"/>
                <w:sz w:val="24"/>
              </w:rPr>
              <w:t xml:space="preserve"> 保障村社道路日常通畅，做好村民日常出行服务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872ADD">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6CD7F6">
            <w:pPr>
              <w:widowControl/>
              <w:jc w:val="center"/>
              <w:textAlignment w:val="center"/>
              <w:rPr>
                <w:rFonts w:ascii="宋体" w:hAnsi="宋体" w:cs="宋体"/>
                <w:color w:val="000000"/>
                <w:sz w:val="24"/>
              </w:rPr>
            </w:pPr>
            <w:r>
              <w:rPr>
                <w:rFonts w:hint="eastAsia" w:ascii="宋体" w:hAnsi="宋体" w:cs="宋体"/>
                <w:color w:val="000000"/>
                <w:sz w:val="24"/>
              </w:rPr>
              <w:t xml:space="preserve"> 保障6个村日常村级工作正常运转</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8A8783">
            <w:pPr>
              <w:widowControl/>
              <w:jc w:val="center"/>
              <w:textAlignment w:val="center"/>
              <w:rPr>
                <w:rFonts w:ascii="宋体" w:hAnsi="宋体" w:cs="宋体"/>
                <w:color w:val="000000"/>
                <w:sz w:val="24"/>
              </w:rPr>
            </w:pPr>
            <w:r>
              <w:rPr>
                <w:rFonts w:hint="eastAsia" w:ascii="宋体" w:hAnsi="宋体" w:cs="宋体"/>
                <w:color w:val="000000"/>
                <w:sz w:val="24"/>
              </w:rPr>
              <w:t xml:space="preserve"> 保障6个村日常村级工作正常运转</w:t>
            </w:r>
          </w:p>
        </w:tc>
      </w:tr>
      <w:tr w14:paraId="02BB181F">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0A290F8">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CD79C5">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4FD960">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FBD28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E576D7">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601015">
            <w:pPr>
              <w:widowControl/>
              <w:jc w:val="center"/>
              <w:textAlignment w:val="center"/>
              <w:rPr>
                <w:rFonts w:ascii="宋体" w:hAnsi="宋体" w:cs="宋体"/>
                <w:color w:val="000000"/>
                <w:sz w:val="24"/>
              </w:rPr>
            </w:pPr>
          </w:p>
        </w:tc>
      </w:tr>
      <w:tr w14:paraId="3BF7D174">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5DEDB198">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07FD75">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EB4D6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297DD3">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5F542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3ACE22">
            <w:pPr>
              <w:widowControl/>
              <w:jc w:val="center"/>
              <w:textAlignment w:val="center"/>
              <w:rPr>
                <w:rFonts w:ascii="宋体" w:hAnsi="宋体" w:cs="宋体"/>
                <w:color w:val="000000"/>
                <w:sz w:val="24"/>
              </w:rPr>
            </w:pPr>
          </w:p>
        </w:tc>
      </w:tr>
      <w:tr w14:paraId="59633E0D">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A562C14">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456527">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50EBE2">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3B2121">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84B781">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1A7DC8">
            <w:pPr>
              <w:widowControl/>
              <w:jc w:val="center"/>
              <w:textAlignment w:val="center"/>
              <w:rPr>
                <w:rFonts w:ascii="宋体" w:hAnsi="宋体" w:cs="宋体"/>
                <w:color w:val="000000"/>
                <w:sz w:val="24"/>
              </w:rPr>
            </w:pPr>
          </w:p>
        </w:tc>
      </w:tr>
      <w:tr w14:paraId="3CB0B848">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5710802">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03A8CE">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8809BE">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ACE80D">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38C3AB">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7759C3">
            <w:pPr>
              <w:widowControl/>
              <w:jc w:val="center"/>
              <w:textAlignment w:val="center"/>
              <w:rPr>
                <w:rFonts w:ascii="宋体" w:hAnsi="宋体" w:cs="宋体"/>
                <w:color w:val="000000"/>
                <w:sz w:val="24"/>
              </w:rPr>
            </w:pPr>
          </w:p>
        </w:tc>
      </w:tr>
      <w:tr w14:paraId="70506C5C">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84251E7">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45917A">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EE16C1">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8A5348">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853374">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9AE059">
            <w:pPr>
              <w:widowControl/>
              <w:jc w:val="center"/>
              <w:textAlignment w:val="center"/>
              <w:rPr>
                <w:rFonts w:ascii="宋体" w:hAnsi="宋体" w:cs="宋体"/>
                <w:color w:val="000000"/>
                <w:sz w:val="24"/>
              </w:rPr>
            </w:pPr>
          </w:p>
        </w:tc>
      </w:tr>
      <w:tr w14:paraId="4E4CEBD0">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3926917C">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AE83D0">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5FCBD2">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819109">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C98E1D">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AE0C0D">
            <w:pPr>
              <w:widowControl/>
              <w:jc w:val="center"/>
              <w:textAlignment w:val="center"/>
              <w:rPr>
                <w:rFonts w:ascii="宋体" w:hAnsi="宋体" w:cs="宋体"/>
                <w:color w:val="000000"/>
                <w:sz w:val="24"/>
              </w:rPr>
            </w:pPr>
          </w:p>
        </w:tc>
      </w:tr>
      <w:tr w14:paraId="38E38EAA">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E38BA49">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DC5BB3">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002B79">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ABA34C">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50EF46">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42B008">
            <w:pPr>
              <w:widowControl/>
              <w:jc w:val="center"/>
              <w:textAlignment w:val="center"/>
              <w:rPr>
                <w:rFonts w:ascii="宋体" w:hAnsi="宋体" w:cs="宋体"/>
                <w:color w:val="000000"/>
                <w:sz w:val="24"/>
              </w:rPr>
            </w:pPr>
          </w:p>
        </w:tc>
      </w:tr>
      <w:tr w14:paraId="02DC83EF">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7AAE5F2">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B82E61">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5EF0AF">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B6DDF0">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2FD9B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77DC8D">
            <w:pPr>
              <w:widowControl/>
              <w:jc w:val="center"/>
              <w:textAlignment w:val="center"/>
              <w:rPr>
                <w:rFonts w:ascii="宋体" w:hAnsi="宋体" w:cs="宋体"/>
                <w:color w:val="000000"/>
                <w:sz w:val="24"/>
              </w:rPr>
            </w:pPr>
          </w:p>
        </w:tc>
      </w:tr>
      <w:tr w14:paraId="56C8A345">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3211CDE9">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819DFA">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811DC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4562B9">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7A6E87">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5FC606">
            <w:pPr>
              <w:widowControl/>
              <w:jc w:val="center"/>
              <w:textAlignment w:val="center"/>
              <w:rPr>
                <w:rFonts w:ascii="宋体" w:hAnsi="宋体" w:cs="宋体"/>
                <w:color w:val="000000"/>
                <w:sz w:val="24"/>
              </w:rPr>
            </w:pPr>
          </w:p>
        </w:tc>
      </w:tr>
    </w:tbl>
    <w:p w14:paraId="24FABBB7">
      <w:pPr>
        <w:spacing w:line="580" w:lineRule="exact"/>
        <w:ind w:left="630"/>
        <w:rPr>
          <w:rFonts w:ascii="仿宋_GB2312" w:hAnsi="仿宋_GB2312" w:eastAsia="仿宋_GB2312" w:cs="仿宋_GB2312"/>
          <w:sz w:val="32"/>
          <w:szCs w:val="32"/>
        </w:rPr>
      </w:pPr>
    </w:p>
    <w:tbl>
      <w:tblPr>
        <w:tblStyle w:val="13"/>
        <w:tblpPr w:leftFromText="180" w:rightFromText="180" w:vertAnchor="text" w:horzAnchor="page" w:tblpXSpec="center" w:tblpY="100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14:paraId="4429B296">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14:paraId="7658881B">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14:paraId="58E0AD83">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48921F">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D82871">
            <w:pPr>
              <w:widowControl/>
              <w:jc w:val="center"/>
              <w:textAlignment w:val="center"/>
              <w:rPr>
                <w:rFonts w:ascii="宋体" w:hAnsi="宋体" w:cs="宋体"/>
                <w:color w:val="000000"/>
                <w:sz w:val="24"/>
              </w:rPr>
            </w:pPr>
            <w:r>
              <w:rPr>
                <w:rFonts w:hint="eastAsia" w:ascii="宋体" w:hAnsi="宋体" w:cs="宋体"/>
                <w:color w:val="000000"/>
                <w:sz w:val="24"/>
              </w:rPr>
              <w:t>2019年五保户供养经费</w:t>
            </w:r>
          </w:p>
        </w:tc>
      </w:tr>
      <w:tr w14:paraId="77B11F08">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B5CB84">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9531E9">
            <w:pPr>
              <w:widowControl/>
              <w:jc w:val="center"/>
              <w:textAlignment w:val="center"/>
              <w:rPr>
                <w:rFonts w:ascii="宋体" w:hAnsi="宋体" w:cs="宋体"/>
                <w:color w:val="000000"/>
                <w:sz w:val="24"/>
              </w:rPr>
            </w:pPr>
            <w:r>
              <w:rPr>
                <w:rFonts w:hint="eastAsia" w:ascii="宋体" w:hAnsi="宋体" w:cs="宋体"/>
                <w:color w:val="000000"/>
                <w:sz w:val="24"/>
              </w:rPr>
              <w:t>箐河乡人民政府</w:t>
            </w:r>
          </w:p>
        </w:tc>
      </w:tr>
      <w:tr w14:paraId="204E4711">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A9F9D7">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EA2506">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6D9BDD">
            <w:pPr>
              <w:widowControl/>
              <w:jc w:val="center"/>
              <w:textAlignment w:val="center"/>
              <w:rPr>
                <w:rFonts w:ascii="宋体" w:hAnsi="宋体" w:cs="宋体"/>
                <w:color w:val="000000"/>
                <w:sz w:val="24"/>
              </w:rPr>
            </w:pPr>
            <w:r>
              <w:rPr>
                <w:rFonts w:hint="eastAsia" w:ascii="宋体" w:hAnsi="宋体" w:cs="宋体"/>
                <w:color w:val="000000"/>
                <w:sz w:val="24"/>
              </w:rPr>
              <w:t>16.37万元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EFA72B">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8A0BB9">
            <w:pPr>
              <w:widowControl/>
              <w:jc w:val="center"/>
              <w:textAlignment w:val="center"/>
              <w:rPr>
                <w:rFonts w:ascii="宋体" w:hAnsi="宋体" w:cs="宋体"/>
                <w:color w:val="000000"/>
                <w:sz w:val="24"/>
              </w:rPr>
            </w:pPr>
            <w:r>
              <w:rPr>
                <w:rFonts w:hint="eastAsia" w:ascii="宋体" w:hAnsi="宋体" w:cs="宋体"/>
                <w:color w:val="000000"/>
                <w:sz w:val="24"/>
              </w:rPr>
              <w:t>16.37万元</w:t>
            </w:r>
          </w:p>
        </w:tc>
      </w:tr>
      <w:tr w14:paraId="5BCDD946">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A2F3BC">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AF8D31">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254A3E">
            <w:pPr>
              <w:widowControl/>
              <w:jc w:val="center"/>
              <w:textAlignment w:val="center"/>
              <w:rPr>
                <w:rFonts w:ascii="宋体" w:hAnsi="宋体" w:cs="宋体"/>
                <w:color w:val="000000"/>
                <w:sz w:val="24"/>
              </w:rPr>
            </w:pPr>
            <w:r>
              <w:rPr>
                <w:rFonts w:hint="eastAsia" w:ascii="宋体" w:hAnsi="宋体" w:cs="宋体"/>
                <w:color w:val="000000"/>
                <w:sz w:val="24"/>
              </w:rPr>
              <w:t>16.37万元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A8A29B">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7A45E0">
            <w:pPr>
              <w:widowControl/>
              <w:jc w:val="center"/>
              <w:textAlignment w:val="center"/>
              <w:rPr>
                <w:rFonts w:ascii="宋体" w:hAnsi="宋体" w:cs="宋体"/>
                <w:color w:val="000000"/>
                <w:sz w:val="24"/>
              </w:rPr>
            </w:pPr>
            <w:r>
              <w:rPr>
                <w:rFonts w:hint="eastAsia" w:ascii="宋体" w:hAnsi="宋体" w:cs="宋体"/>
                <w:color w:val="000000"/>
                <w:sz w:val="24"/>
              </w:rPr>
              <w:t>16.37万元</w:t>
            </w:r>
          </w:p>
        </w:tc>
      </w:tr>
      <w:tr w14:paraId="363E980B">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E72518">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C05B19">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3D5E3B">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A23751">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6DEABA">
            <w:pPr>
              <w:jc w:val="center"/>
              <w:rPr>
                <w:rFonts w:ascii="宋体" w:hAnsi="宋体" w:cs="宋体"/>
                <w:color w:val="000000"/>
                <w:sz w:val="24"/>
              </w:rPr>
            </w:pPr>
          </w:p>
        </w:tc>
      </w:tr>
      <w:tr w14:paraId="2D3F2050">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DCA766">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90FA66">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0092C4">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14:paraId="7CE3F1A4">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7B2D26">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D49015">
            <w:pPr>
              <w:widowControl/>
              <w:jc w:val="center"/>
              <w:textAlignment w:val="center"/>
              <w:rPr>
                <w:rFonts w:ascii="宋体" w:hAnsi="宋体" w:cs="宋体"/>
                <w:color w:val="000000"/>
                <w:sz w:val="24"/>
              </w:rPr>
            </w:pPr>
          </w:p>
          <w:p w14:paraId="520BF911">
            <w:pPr>
              <w:widowControl/>
              <w:jc w:val="center"/>
              <w:textAlignment w:val="center"/>
              <w:rPr>
                <w:rFonts w:ascii="宋体" w:hAnsi="宋体" w:cs="宋体"/>
                <w:color w:val="000000"/>
                <w:sz w:val="24"/>
              </w:rPr>
            </w:pPr>
            <w:r>
              <w:rPr>
                <w:rFonts w:hint="eastAsia" w:ascii="宋体" w:hAnsi="宋体" w:cs="宋体"/>
                <w:color w:val="000000"/>
                <w:sz w:val="24"/>
              </w:rPr>
              <w:t>保障全乡分散供养38余人日常生活保障</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AA9AB2">
            <w:pPr>
              <w:widowControl/>
              <w:jc w:val="center"/>
              <w:textAlignment w:val="center"/>
              <w:rPr>
                <w:rFonts w:ascii="宋体" w:hAnsi="宋体" w:cs="宋体"/>
                <w:color w:val="000000"/>
                <w:sz w:val="24"/>
              </w:rPr>
            </w:pPr>
          </w:p>
          <w:p w14:paraId="108A9282">
            <w:pPr>
              <w:widowControl/>
              <w:jc w:val="center"/>
              <w:textAlignment w:val="center"/>
              <w:rPr>
                <w:rFonts w:ascii="宋体" w:hAnsi="宋体" w:cs="宋体"/>
                <w:color w:val="000000"/>
                <w:sz w:val="24"/>
              </w:rPr>
            </w:pPr>
            <w:r>
              <w:rPr>
                <w:rFonts w:hint="eastAsia" w:ascii="宋体" w:hAnsi="宋体" w:cs="宋体"/>
                <w:color w:val="000000"/>
                <w:sz w:val="24"/>
              </w:rPr>
              <w:t>保障全乡分散供养38余人日常生活保障</w:t>
            </w:r>
          </w:p>
        </w:tc>
      </w:tr>
      <w:tr w14:paraId="03B90B4A">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36F49CF0">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1906CF">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0F9F0F">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837967">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B36A73">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341F13">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14:paraId="621DEA1E">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D4F21D9">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4E2B5E">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F628B8">
            <w:pPr>
              <w:widowControl/>
              <w:jc w:val="center"/>
              <w:textAlignment w:val="center"/>
              <w:rPr>
                <w:rFonts w:ascii="宋体" w:hAnsi="宋体" w:cs="宋体"/>
                <w:color w:val="000000"/>
                <w:sz w:val="24"/>
              </w:rPr>
            </w:pPr>
            <w:r>
              <w:rPr>
                <w:rFonts w:hint="eastAsia" w:ascii="宋体" w:hAnsi="宋体" w:cs="宋体"/>
                <w:color w:val="000000"/>
                <w:sz w:val="24"/>
              </w:rPr>
              <w:t>保障全乡分散供养38余人日常生活保障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B2D6AD">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A40F63">
            <w:pPr>
              <w:widowControl/>
              <w:jc w:val="center"/>
              <w:textAlignment w:val="center"/>
              <w:rPr>
                <w:rFonts w:ascii="宋体" w:hAnsi="宋体" w:cs="宋体"/>
                <w:color w:val="000000"/>
                <w:sz w:val="24"/>
              </w:rPr>
            </w:pPr>
            <w:r>
              <w:rPr>
                <w:rFonts w:hint="eastAsia" w:ascii="宋体" w:hAnsi="宋体" w:cs="宋体"/>
                <w:color w:val="000000"/>
                <w:sz w:val="24"/>
              </w:rPr>
              <w:t xml:space="preserve"> 保障全乡分散供养38余人日常生活保障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1AE525">
            <w:pPr>
              <w:widowControl/>
              <w:jc w:val="center"/>
              <w:textAlignment w:val="center"/>
              <w:rPr>
                <w:rFonts w:ascii="宋体" w:hAnsi="宋体" w:cs="宋体"/>
                <w:color w:val="000000"/>
                <w:sz w:val="24"/>
              </w:rPr>
            </w:pPr>
            <w:r>
              <w:rPr>
                <w:rFonts w:hint="eastAsia" w:ascii="宋体" w:hAnsi="宋体" w:cs="宋体"/>
                <w:color w:val="000000"/>
                <w:sz w:val="24"/>
              </w:rPr>
              <w:t xml:space="preserve"> 保障全乡分散供养38余人日常生活保障</w:t>
            </w:r>
          </w:p>
        </w:tc>
      </w:tr>
      <w:tr w14:paraId="4BA041B2">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0D28116">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0478A1">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99C2CC">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FB24F9">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C40F5A">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392C7A">
            <w:pPr>
              <w:widowControl/>
              <w:jc w:val="center"/>
              <w:textAlignment w:val="center"/>
              <w:rPr>
                <w:rFonts w:ascii="宋体" w:hAnsi="宋体" w:cs="宋体"/>
                <w:color w:val="000000"/>
                <w:sz w:val="24"/>
              </w:rPr>
            </w:pPr>
          </w:p>
        </w:tc>
      </w:tr>
      <w:tr w14:paraId="7FB3108C">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4B173213">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6EEBBC">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C44758">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456C76">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8931CF">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75835D">
            <w:pPr>
              <w:widowControl/>
              <w:jc w:val="center"/>
              <w:textAlignment w:val="center"/>
              <w:rPr>
                <w:rFonts w:ascii="宋体" w:hAnsi="宋体" w:cs="宋体"/>
                <w:color w:val="000000"/>
                <w:sz w:val="24"/>
              </w:rPr>
            </w:pPr>
          </w:p>
        </w:tc>
      </w:tr>
      <w:tr w14:paraId="47E42440">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244CC35">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354AFC">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1AAA5A">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DA41E3">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0A2DFF">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219629">
            <w:pPr>
              <w:widowControl/>
              <w:jc w:val="center"/>
              <w:textAlignment w:val="center"/>
              <w:rPr>
                <w:rFonts w:ascii="宋体" w:hAnsi="宋体" w:cs="宋体"/>
                <w:color w:val="000000"/>
                <w:sz w:val="24"/>
              </w:rPr>
            </w:pPr>
          </w:p>
        </w:tc>
      </w:tr>
      <w:tr w14:paraId="3EEA23C1">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0BEB26D">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3DDC7E">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CFCF86">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B5E628">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5A1E19">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B037C7">
            <w:pPr>
              <w:widowControl/>
              <w:jc w:val="center"/>
              <w:textAlignment w:val="center"/>
              <w:rPr>
                <w:rFonts w:ascii="宋体" w:hAnsi="宋体" w:cs="宋体"/>
                <w:color w:val="000000"/>
                <w:sz w:val="24"/>
              </w:rPr>
            </w:pPr>
          </w:p>
        </w:tc>
      </w:tr>
      <w:tr w14:paraId="7DF6671F">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525CEC3">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FC59C9">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369E78">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54FD3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03AAFD">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FBABAB">
            <w:pPr>
              <w:widowControl/>
              <w:jc w:val="center"/>
              <w:textAlignment w:val="center"/>
              <w:rPr>
                <w:rFonts w:ascii="宋体" w:hAnsi="宋体" w:cs="宋体"/>
                <w:color w:val="000000"/>
                <w:sz w:val="24"/>
              </w:rPr>
            </w:pPr>
          </w:p>
        </w:tc>
      </w:tr>
      <w:tr w14:paraId="33AE4710">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6EEFF089">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92817C">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7F38F8">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CD493B">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5143E2">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BDEBE3">
            <w:pPr>
              <w:widowControl/>
              <w:jc w:val="center"/>
              <w:textAlignment w:val="center"/>
              <w:rPr>
                <w:rFonts w:ascii="宋体" w:hAnsi="宋体" w:cs="宋体"/>
                <w:color w:val="000000"/>
                <w:sz w:val="24"/>
              </w:rPr>
            </w:pPr>
          </w:p>
        </w:tc>
      </w:tr>
      <w:tr w14:paraId="1A8392EC">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4D075925">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F1C382">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09FD59">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501A08">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3C6B6A">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B42261">
            <w:pPr>
              <w:widowControl/>
              <w:jc w:val="center"/>
              <w:textAlignment w:val="center"/>
              <w:rPr>
                <w:rFonts w:ascii="宋体" w:hAnsi="宋体" w:cs="宋体"/>
                <w:color w:val="000000"/>
                <w:sz w:val="24"/>
              </w:rPr>
            </w:pPr>
          </w:p>
        </w:tc>
      </w:tr>
      <w:tr w14:paraId="45DC0C88">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45B85FBB">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1FBA04">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3C0C06">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F853E8">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DB9E66">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6EB097">
            <w:pPr>
              <w:widowControl/>
              <w:jc w:val="center"/>
              <w:textAlignment w:val="center"/>
              <w:rPr>
                <w:rFonts w:ascii="宋体" w:hAnsi="宋体" w:cs="宋体"/>
                <w:color w:val="000000"/>
                <w:sz w:val="24"/>
              </w:rPr>
            </w:pPr>
          </w:p>
        </w:tc>
      </w:tr>
      <w:tr w14:paraId="56C400BE">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0BB32ADB">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69B0A5">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60F0D9">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C8D9C6">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78B90F">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CDB54C">
            <w:pPr>
              <w:widowControl/>
              <w:jc w:val="center"/>
              <w:textAlignment w:val="center"/>
              <w:rPr>
                <w:rFonts w:ascii="宋体" w:hAnsi="宋体" w:cs="宋体"/>
                <w:color w:val="000000"/>
                <w:sz w:val="24"/>
              </w:rPr>
            </w:pPr>
          </w:p>
        </w:tc>
      </w:tr>
    </w:tbl>
    <w:p w14:paraId="02C3FA22">
      <w:pPr>
        <w:spacing w:line="580" w:lineRule="exact"/>
        <w:ind w:left="630"/>
        <w:rPr>
          <w:rFonts w:ascii="楷体_GB2312" w:hAnsi="楷体_GB2312" w:eastAsia="楷体_GB2312" w:cs="楷体_GB2312"/>
          <w:sz w:val="32"/>
          <w:szCs w:val="32"/>
        </w:rPr>
      </w:pPr>
    </w:p>
    <w:p w14:paraId="180B5F4B">
      <w:pPr>
        <w:spacing w:line="580" w:lineRule="exact"/>
        <w:ind w:left="630"/>
        <w:rPr>
          <w:rFonts w:ascii="仿宋_GB2312" w:hAnsi="仿宋_GB2312" w:eastAsia="仿宋_GB2312" w:cs="仿宋_GB2312"/>
          <w:sz w:val="32"/>
          <w:szCs w:val="32"/>
        </w:rPr>
      </w:pPr>
      <w:r>
        <w:rPr>
          <w:rFonts w:hint="eastAsia" w:ascii="楷体_GB2312" w:hAnsi="楷体_GB2312" w:eastAsia="楷体_GB2312" w:cs="楷体_GB2312"/>
          <w:sz w:val="32"/>
          <w:szCs w:val="32"/>
        </w:rPr>
        <w:t>2.部门绩效评价结果。</w:t>
      </w:r>
    </w:p>
    <w:p w14:paraId="3E7A6D93">
      <w:pPr>
        <w:spacing w:line="560" w:lineRule="exact"/>
        <w:ind w:firstLine="660" w:firstLineChars="200"/>
        <w:rPr>
          <w:rFonts w:ascii="仿宋_GB2312" w:hAnsi="仿宋_GB2312" w:eastAsia="仿宋_GB2312" w:cs="仿宋_GB2312"/>
          <w:sz w:val="33"/>
          <w:szCs w:val="33"/>
        </w:rPr>
      </w:pPr>
      <w:r>
        <w:rPr>
          <w:rFonts w:hint="eastAsia" w:ascii="仿宋_GB2312" w:hAnsi="仿宋_GB2312" w:eastAsia="仿宋_GB2312" w:cs="仿宋_GB2312"/>
          <w:sz w:val="33"/>
          <w:szCs w:val="33"/>
        </w:rPr>
        <w:t>本部门按要求对2019年部门整体支出绩效评价情况开展自评，《盐边县箐河人民政府2019年部门整体支出绩效评价报告》见附件。</w:t>
      </w:r>
    </w:p>
    <w:p w14:paraId="6A9628E5">
      <w:pPr>
        <w:spacing w:line="560" w:lineRule="exact"/>
        <w:ind w:firstLine="660" w:firstLineChars="200"/>
        <w:rPr>
          <w:rFonts w:ascii="仿宋_GB2312" w:hAnsi="仿宋_GB2312" w:eastAsia="仿宋_GB2312" w:cs="仿宋_GB2312"/>
          <w:sz w:val="32"/>
          <w:szCs w:val="32"/>
        </w:rPr>
      </w:pPr>
      <w:r>
        <w:rPr>
          <w:rFonts w:hint="eastAsia" w:ascii="仿宋_GB2312" w:hAnsi="仿宋_GB2312" w:eastAsia="仿宋_GB2312" w:cs="仿宋_GB2312"/>
          <w:sz w:val="33"/>
          <w:szCs w:val="33"/>
        </w:rPr>
        <w:t>本部门自行组织对19个项目开展了绩效评价，《盐边县箐河乡人民政府项目2019年绩效评价报告》见附件</w:t>
      </w:r>
      <w:r>
        <w:rPr>
          <w:rFonts w:hint="eastAsia" w:ascii="仿宋_GB2312" w:hAnsi="仿宋_GB2312" w:eastAsia="仿宋_GB2312" w:cs="仿宋_GB2312"/>
          <w:sz w:val="32"/>
          <w:szCs w:val="32"/>
        </w:rPr>
        <w:t>。</w:t>
      </w:r>
    </w:p>
    <w:p w14:paraId="6C211DED">
      <w:pPr>
        <w:widowControl/>
        <w:jc w:val="left"/>
        <w:rPr>
          <w:rFonts w:ascii="仿宋_GB2312" w:eastAsia="仿宋_GB2312"/>
          <w:b/>
          <w:color w:val="000000"/>
          <w:sz w:val="32"/>
          <w:szCs w:val="32"/>
        </w:rPr>
      </w:pPr>
      <w:r>
        <w:rPr>
          <w:rFonts w:ascii="仿宋_GB2312" w:eastAsia="仿宋_GB2312"/>
          <w:b/>
          <w:color w:val="000000"/>
          <w:sz w:val="32"/>
          <w:szCs w:val="32"/>
        </w:rPr>
        <w:br w:type="page"/>
      </w:r>
    </w:p>
    <w:p w14:paraId="60A0A870">
      <w:pPr>
        <w:numPr>
          <w:ilvl w:val="0"/>
          <w:numId w:val="4"/>
        </w:numPr>
        <w:spacing w:line="600" w:lineRule="exact"/>
        <w:ind w:firstLine="660" w:firstLineChars="150"/>
        <w:jc w:val="center"/>
        <w:outlineLvl w:val="0"/>
        <w:rPr>
          <w:rStyle w:val="27"/>
          <w:rFonts w:ascii="黑体" w:hAnsi="黑体" w:eastAsia="黑体"/>
          <w:b w:val="0"/>
        </w:rPr>
      </w:pPr>
      <w:bookmarkStart w:id="85" w:name="_Toc15396613"/>
      <w:bookmarkStart w:id="86" w:name="_Toc15377225"/>
      <w:bookmarkStart w:id="87" w:name="_Toc52180096"/>
      <w:r>
        <w:rPr>
          <w:rFonts w:hint="eastAsia" w:ascii="黑体" w:hAnsi="黑体" w:eastAsia="黑体"/>
          <w:color w:val="000000"/>
          <w:sz w:val="44"/>
          <w:szCs w:val="44"/>
        </w:rPr>
        <w:t>名</w:t>
      </w:r>
      <w:r>
        <w:rPr>
          <w:rStyle w:val="27"/>
          <w:rFonts w:hint="eastAsia" w:ascii="黑体" w:hAnsi="黑体" w:eastAsia="黑体"/>
          <w:b w:val="0"/>
        </w:rPr>
        <w:t>词解释</w:t>
      </w:r>
      <w:bookmarkEnd w:id="85"/>
      <w:bookmarkEnd w:id="86"/>
      <w:bookmarkEnd w:id="87"/>
    </w:p>
    <w:p w14:paraId="2439C46D">
      <w:pPr>
        <w:spacing w:line="600" w:lineRule="exact"/>
        <w:jc w:val="left"/>
        <w:rPr>
          <w:rFonts w:ascii="宋体"/>
          <w:b/>
          <w:color w:val="000000"/>
          <w:sz w:val="44"/>
          <w:szCs w:val="44"/>
        </w:rPr>
      </w:pPr>
    </w:p>
    <w:p w14:paraId="7D27AD2D">
      <w:pPr>
        <w:pStyle w:val="17"/>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14:paraId="326BAA97">
      <w:pPr>
        <w:pStyle w:val="17"/>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14:paraId="0EBABF24">
      <w:pPr>
        <w:pStyle w:val="17"/>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14:paraId="7A747A4A">
      <w:pPr>
        <w:pStyle w:val="17"/>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14:paraId="48E5C340">
      <w:pPr>
        <w:pStyle w:val="17"/>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14:paraId="1F31E841">
      <w:pPr>
        <w:pStyle w:val="17"/>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14:paraId="29AAFA70">
      <w:pPr>
        <w:pStyle w:val="17"/>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14:paraId="16C969CE">
      <w:pPr>
        <w:pStyle w:val="17"/>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14:paraId="22C24F1C">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一般公共服务（类）政府办公厅及相关机构事务（款）行政运行（项）：指反映行政单位（包括实行公务员管理的事业单位）的基本支出。</w:t>
      </w:r>
    </w:p>
    <w:p w14:paraId="7D4916C0">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一般公共服务（类）政府办公厅及相关机构事务（款）财政事务（项）：指反映事业单位不包括行政单位（包括实行公务员管理的事业单位）后勤服务中心、医务室等附属事业单位。</w:t>
      </w:r>
    </w:p>
    <w:p w14:paraId="5ED2C885">
      <w:pPr>
        <w:ind w:firstLine="640" w:firstLineChars="200"/>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文化体育与传媒（类）文化旅游体育与传媒支出（款）群众文化（项）：指反映群众文化旅游方面的支出，包括基层文化馆、群众艺术馆支出等。</w:t>
      </w:r>
    </w:p>
    <w:p w14:paraId="72592F5C">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社会保障和就业（类）行政事业养老支出（款）机关事业单位基本养老保险缴费支出（项）：指反映支出事业单位实施养老保险制度由单位缴纳的基本养老保险费支出。</w:t>
      </w:r>
    </w:p>
    <w:p w14:paraId="38BBB82C">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社会保障和就业（类）特困人员救助供养（款）农村特困人员救助供养支出（项）：指反映农村特困人员救助供养支出。</w:t>
      </w:r>
    </w:p>
    <w:p w14:paraId="52FAE6DC">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社会保障和就业（类）民政管理事务（款）其他民政管理事务支出（项）：指反映民政部门接待来访、法制建设、政策宣传方面的支出，以及开展社会救助、养老服务、社会事务等方面的支出。</w:t>
      </w:r>
    </w:p>
    <w:p w14:paraId="665264B4">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社会保障和就业（类）抚恤（款）伤残抚恤（项）：指反映按规定用于伤残人员的抚恤金和按规定开支的各项伤残补助。</w:t>
      </w:r>
    </w:p>
    <w:p w14:paraId="55C26102">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医疗卫生与计划生育（类）计划生育事务（款）其他计划生育事务支出（项）：指用于其他计划生育事务支出。</w:t>
      </w:r>
    </w:p>
    <w:p w14:paraId="541A0799">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节能环保（类）节能环保支出（款）其他污染防治支出（项）：指反映用于污染防治方面的支出。</w:t>
      </w:r>
    </w:p>
    <w:p w14:paraId="5AF5A61E">
      <w:pPr>
        <w:ind w:firstLine="640" w:firstLineChars="200"/>
        <w:rPr>
          <w:rFonts w:ascii="仿宋_GB2312" w:eastAsia="仿宋_GB2312"/>
          <w:color w:val="000000"/>
          <w:sz w:val="32"/>
          <w:szCs w:val="32"/>
        </w:rPr>
      </w:pPr>
      <w:r>
        <w:rPr>
          <w:rFonts w:ascii="仿宋_GB2312" w:eastAsia="仿宋_GB2312"/>
          <w:color w:val="000000"/>
          <w:sz w:val="32"/>
          <w:szCs w:val="32"/>
        </w:rPr>
        <w:t>18.</w:t>
      </w:r>
      <w:r>
        <w:rPr>
          <w:rFonts w:hint="eastAsia" w:ascii="仿宋_GB2312" w:eastAsia="仿宋_GB2312"/>
          <w:color w:val="000000"/>
          <w:sz w:val="32"/>
          <w:szCs w:val="32"/>
        </w:rPr>
        <w:t>城乡社区（类）城乡社区环境卫生（款）城乡社区环境卫生（项）：指反映城乡社区道路清扫、垃圾清运与处理、公厕建设与维护、园林绿化等方面的支出。</w:t>
      </w:r>
    </w:p>
    <w:p w14:paraId="628C4C85">
      <w:pPr>
        <w:ind w:firstLine="640" w:firstLineChars="200"/>
        <w:rPr>
          <w:rFonts w:ascii="仿宋_GB2312" w:eastAsia="仿宋_GB2312"/>
          <w:color w:val="000000"/>
          <w:sz w:val="32"/>
          <w:szCs w:val="32"/>
        </w:rPr>
      </w:pPr>
      <w:r>
        <w:rPr>
          <w:rFonts w:ascii="仿宋_GB2312" w:eastAsia="仿宋_GB2312"/>
          <w:color w:val="000000"/>
          <w:sz w:val="32"/>
          <w:szCs w:val="32"/>
        </w:rPr>
        <w:t>19.</w:t>
      </w:r>
      <w:r>
        <w:rPr>
          <w:rFonts w:hint="eastAsia" w:ascii="仿宋_GB2312" w:eastAsia="仿宋_GB2312"/>
          <w:color w:val="000000"/>
          <w:sz w:val="32"/>
          <w:szCs w:val="32"/>
        </w:rPr>
        <w:t>农林水（类）农林水支出（款）事业运行（项）：指反映用于农业事业单位基本支出，事业单位设施、系统运行和资产维护等方面的支出。</w:t>
      </w:r>
    </w:p>
    <w:p w14:paraId="60E3210D">
      <w:pPr>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农林水（类）农村综合改革（款）对村级一事一议支出（项）：指反映农村税费改革后对村级公益事业一事一议的补助支出。</w:t>
      </w:r>
    </w:p>
    <w:p w14:paraId="7FC7D2AB">
      <w:pPr>
        <w:ind w:firstLine="640" w:firstLineChars="200"/>
        <w:rPr>
          <w:rFonts w:ascii="仿宋_GB2312" w:eastAsia="仿宋_GB2312"/>
          <w:color w:val="000000"/>
          <w:sz w:val="32"/>
          <w:szCs w:val="32"/>
        </w:rPr>
      </w:pPr>
      <w:r>
        <w:rPr>
          <w:rFonts w:ascii="仿宋_GB2312" w:eastAsia="仿宋_GB2312"/>
          <w:color w:val="000000"/>
          <w:sz w:val="32"/>
          <w:szCs w:val="32"/>
        </w:rPr>
        <w:t>21.</w:t>
      </w:r>
      <w:r>
        <w:rPr>
          <w:rFonts w:hint="eastAsia" w:ascii="仿宋_GB2312" w:eastAsia="仿宋_GB2312"/>
          <w:color w:val="000000"/>
          <w:sz w:val="32"/>
          <w:szCs w:val="32"/>
        </w:rPr>
        <w:t>农林水（类）农村综合改革（款）对村民委员会和村党支部的补助（项）：指反映各级财政对村民委员会和村党支部的补助支出，以及支持建立县级基本财力保障机制安排的村级组织运转奖补资金。</w:t>
      </w:r>
    </w:p>
    <w:p w14:paraId="54F17BA4">
      <w:pPr>
        <w:ind w:firstLine="640" w:firstLineChars="200"/>
        <w:rPr>
          <w:rFonts w:ascii="仿宋_GB2312" w:eastAsia="仿宋_GB2312"/>
          <w:color w:val="000000"/>
          <w:sz w:val="32"/>
          <w:szCs w:val="32"/>
        </w:rPr>
      </w:pPr>
      <w:r>
        <w:rPr>
          <w:rFonts w:ascii="仿宋_GB2312" w:eastAsia="仿宋_GB2312"/>
          <w:color w:val="000000"/>
          <w:sz w:val="32"/>
          <w:szCs w:val="32"/>
        </w:rPr>
        <w:t>22.</w:t>
      </w:r>
      <w:r>
        <w:rPr>
          <w:rFonts w:hint="eastAsia" w:ascii="仿宋_GB2312" w:eastAsia="仿宋_GB2312"/>
          <w:color w:val="000000"/>
          <w:sz w:val="32"/>
          <w:szCs w:val="32"/>
        </w:rPr>
        <w:t>住房保障（类）住房改革支出（款）住房公积金（项）：指行政事业单位按照人力资源和社会保障部、财政部规定的基本工资和津贴补贴以及规定比例为职工缴纳的住房公积金。</w:t>
      </w:r>
    </w:p>
    <w:p w14:paraId="3F144D69">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灾害防治及应急管理支出（类）应急管理事务（款）安全监管（项）：指反映安全监管方面的支出。</w:t>
      </w:r>
    </w:p>
    <w:p w14:paraId="4030764B">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基本支出：指为保障机构正常运转、完成日常工作任务而发生的人员支出和公用支出。</w:t>
      </w:r>
    </w:p>
    <w:p w14:paraId="426DB9E2">
      <w:pPr>
        <w:ind w:firstLine="640" w:firstLineChars="200"/>
        <w:rPr>
          <w:rFonts w:ascii="仿宋_GB2312" w:eastAsia="仿宋_GB2312"/>
          <w:color w:val="000000"/>
          <w:sz w:val="32"/>
          <w:szCs w:val="32"/>
        </w:rPr>
      </w:pPr>
      <w:r>
        <w:rPr>
          <w:rFonts w:ascii="仿宋_GB2312" w:eastAsia="仿宋_GB2312"/>
          <w:color w:val="000000"/>
          <w:sz w:val="32"/>
          <w:szCs w:val="32"/>
        </w:rPr>
        <w:t>24.</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14:paraId="1DF226BC">
      <w:pPr>
        <w:ind w:firstLine="640" w:firstLineChars="200"/>
        <w:rPr>
          <w:rFonts w:ascii="仿宋_GB2312" w:eastAsia="仿宋_GB2312"/>
          <w:color w:val="000000"/>
          <w:sz w:val="32"/>
          <w:szCs w:val="32"/>
        </w:rPr>
      </w:pPr>
      <w:r>
        <w:rPr>
          <w:rFonts w:ascii="仿宋_GB2312" w:eastAsia="仿宋_GB2312"/>
          <w:color w:val="000000"/>
          <w:sz w:val="32"/>
          <w:szCs w:val="32"/>
        </w:rPr>
        <w:t>25.</w:t>
      </w:r>
      <w:r>
        <w:rPr>
          <w:rFonts w:hint="eastAsia" w:ascii="仿宋_GB2312" w:eastAsia="仿宋_GB2312"/>
          <w:color w:val="000000"/>
          <w:sz w:val="32"/>
          <w:szCs w:val="32"/>
        </w:rPr>
        <w:t>经营支出：指事业单位在专业业务活动及其辅助活动之外开展非独立核算经营活动发生的支出。</w:t>
      </w:r>
    </w:p>
    <w:p w14:paraId="5D06BB6E">
      <w:pPr>
        <w:pStyle w:val="17"/>
        <w:spacing w:line="560" w:lineRule="exact"/>
        <w:ind w:firstLine="640" w:firstLineChars="200"/>
        <w:rPr>
          <w:rFonts w:ascii="仿宋_GB2312" w:eastAsia="仿宋_GB2312"/>
          <w:sz w:val="32"/>
          <w:szCs w:val="32"/>
        </w:rPr>
      </w:pPr>
      <w:r>
        <w:rPr>
          <w:rFonts w:ascii="仿宋_GB2312" w:eastAsia="仿宋_GB2312"/>
          <w:sz w:val="32"/>
          <w:szCs w:val="32"/>
        </w:rPr>
        <w:t>26.</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2E37D749">
      <w:pPr>
        <w:pStyle w:val="17"/>
        <w:spacing w:line="560" w:lineRule="exact"/>
        <w:ind w:firstLine="640" w:firstLineChars="200"/>
        <w:rPr>
          <w:rFonts w:ascii="仿宋_GB2312" w:eastAsia="仿宋_GB2312"/>
          <w:sz w:val="32"/>
          <w:szCs w:val="32"/>
        </w:rPr>
      </w:pPr>
      <w:r>
        <w:rPr>
          <w:rFonts w:ascii="仿宋_GB2312" w:eastAsia="仿宋_GB2312"/>
          <w:sz w:val="32"/>
          <w:szCs w:val="32"/>
        </w:rPr>
        <w:t>27.</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B9D44C9">
      <w:pPr>
        <w:pStyle w:val="17"/>
        <w:spacing w:line="560" w:lineRule="exact"/>
        <w:ind w:firstLine="640" w:firstLineChars="200"/>
        <w:rPr>
          <w:rFonts w:ascii="仿宋_GB2312" w:eastAsia="仿宋_GB2312" w:cs="黑体"/>
          <w:sz w:val="32"/>
          <w:szCs w:val="32"/>
        </w:rPr>
      </w:pPr>
    </w:p>
    <w:p w14:paraId="75C493EA">
      <w:pPr>
        <w:ind w:firstLine="643" w:firstLineChars="200"/>
        <w:rPr>
          <w:rFonts w:ascii="仿宋" w:hAnsi="仿宋" w:eastAsia="仿宋"/>
          <w:b/>
          <w:color w:val="000000"/>
          <w:sz w:val="32"/>
          <w:szCs w:val="32"/>
        </w:rPr>
      </w:pPr>
      <w:r>
        <w:rPr>
          <w:rFonts w:hint="eastAsia" w:ascii="仿宋" w:hAnsi="仿宋" w:eastAsia="仿宋"/>
          <w:b/>
          <w:color w:val="000000"/>
          <w:sz w:val="32"/>
          <w:szCs w:val="32"/>
        </w:rPr>
        <w:t>（名词解释部分请根据各部门实际列支情况罗列，并根据本部门职责职能增减名词解释内容。）</w:t>
      </w:r>
    </w:p>
    <w:p w14:paraId="08E0FD25">
      <w:pPr>
        <w:spacing w:line="600" w:lineRule="exact"/>
        <w:jc w:val="center"/>
        <w:outlineLvl w:val="0"/>
        <w:rPr>
          <w:rStyle w:val="27"/>
          <w:rFonts w:ascii="黑体" w:hAnsi="黑体" w:eastAsia="黑体"/>
          <w:b w:val="0"/>
        </w:rPr>
      </w:pPr>
      <w:bookmarkStart w:id="88" w:name="_Toc15377226"/>
      <w:r>
        <w:rPr>
          <w:rFonts w:ascii="宋体"/>
          <w:b/>
          <w:color w:val="000000"/>
          <w:sz w:val="44"/>
          <w:szCs w:val="44"/>
        </w:rPr>
        <w:br w:type="page"/>
      </w:r>
      <w:bookmarkStart w:id="89" w:name="_Toc15396614"/>
      <w:bookmarkStart w:id="90" w:name="_Toc52180097"/>
      <w:r>
        <w:rPr>
          <w:rFonts w:hint="eastAsia" w:ascii="黑体" w:hAnsi="黑体" w:eastAsia="黑体"/>
          <w:color w:val="000000"/>
          <w:sz w:val="44"/>
          <w:szCs w:val="44"/>
        </w:rPr>
        <w:t>第</w:t>
      </w:r>
      <w:r>
        <w:rPr>
          <w:rStyle w:val="27"/>
          <w:rFonts w:hint="eastAsia" w:ascii="黑体" w:hAnsi="黑体" w:eastAsia="黑体"/>
          <w:b w:val="0"/>
        </w:rPr>
        <w:t>四部分 附件</w:t>
      </w:r>
      <w:bookmarkEnd w:id="89"/>
      <w:bookmarkEnd w:id="90"/>
    </w:p>
    <w:p w14:paraId="3A5E9DEE">
      <w:pPr>
        <w:spacing w:line="580" w:lineRule="exact"/>
        <w:jc w:val="center"/>
        <w:rPr>
          <w:rFonts w:ascii="方正小标宋简体" w:hAnsi="方正小标宋简体" w:eastAsia="方正小标宋简体" w:cs="方正小标宋简体"/>
          <w:sz w:val="44"/>
          <w:szCs w:val="44"/>
        </w:rPr>
      </w:pPr>
    </w:p>
    <w:p w14:paraId="66B4EAA2">
      <w:pPr>
        <w:spacing w:line="600" w:lineRule="exact"/>
        <w:jc w:val="center"/>
        <w:rPr>
          <w:rFonts w:ascii="方正小标宋简体" w:hAnsi="宋体" w:eastAsia="方正小标宋简体"/>
          <w:color w:val="000000"/>
          <w:kern w:val="0"/>
          <w:sz w:val="40"/>
          <w:szCs w:val="44"/>
          <w:lang w:val="zh-CN"/>
        </w:rPr>
      </w:pPr>
      <w:r>
        <w:rPr>
          <w:rFonts w:hint="eastAsia" w:ascii="方正小标宋简体" w:hAnsi="宋体" w:eastAsia="方正小标宋简体"/>
          <w:color w:val="000000"/>
          <w:kern w:val="0"/>
          <w:sz w:val="40"/>
          <w:szCs w:val="44"/>
        </w:rPr>
        <w:t>永兴镇人民政府</w:t>
      </w:r>
      <w:r>
        <w:rPr>
          <w:rFonts w:ascii="方正小标宋简体" w:hAnsi="宋体" w:eastAsia="方正小标宋简体"/>
          <w:color w:val="000000"/>
          <w:kern w:val="0"/>
          <w:sz w:val="40"/>
          <w:szCs w:val="44"/>
        </w:rPr>
        <w:t>2019年部门</w:t>
      </w:r>
      <w:r>
        <w:rPr>
          <w:rFonts w:hint="eastAsia" w:ascii="方正小标宋简体" w:hAnsi="宋体" w:eastAsia="方正小标宋简体"/>
          <w:color w:val="000000"/>
          <w:kern w:val="0"/>
          <w:sz w:val="40"/>
          <w:szCs w:val="44"/>
          <w:lang w:val="zh-CN"/>
        </w:rPr>
        <w:t>整体支出绩效评价报告</w:t>
      </w:r>
    </w:p>
    <w:p w14:paraId="26C74749">
      <w:pPr>
        <w:widowControl/>
        <w:adjustRightInd w:val="0"/>
        <w:snapToGrid w:val="0"/>
        <w:spacing w:line="580" w:lineRule="exact"/>
        <w:ind w:firstLine="480" w:firstLineChars="200"/>
        <w:contextualSpacing/>
        <w:jc w:val="left"/>
        <w:rPr>
          <w:rFonts w:ascii="黑体" w:hAnsi="宋体" w:eastAsia="黑体" w:cs="宋体"/>
          <w:color w:val="000000"/>
          <w:kern w:val="0"/>
          <w:sz w:val="24"/>
          <w:szCs w:val="32"/>
          <w:shd w:val="clear" w:color="auto" w:fill="FFFFFF"/>
        </w:rPr>
      </w:pPr>
    </w:p>
    <w:p w14:paraId="6E96E265">
      <w:pPr>
        <w:spacing w:line="560" w:lineRule="exact"/>
        <w:ind w:firstLine="640" w:firstLineChars="200"/>
        <w:jc w:val="left"/>
        <w:rPr>
          <w:rFonts w:eastAsia="黑体"/>
          <w:sz w:val="32"/>
          <w:szCs w:val="32"/>
        </w:rPr>
      </w:pPr>
      <w:r>
        <w:rPr>
          <w:rFonts w:eastAsia="黑体"/>
          <w:sz w:val="32"/>
          <w:szCs w:val="32"/>
        </w:rPr>
        <w:t>一、部门概况</w:t>
      </w:r>
    </w:p>
    <w:p w14:paraId="1453651F">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宋体" w:eastAsia="仿宋_GB2312" w:cs="仿宋_GB2312"/>
          <w:color w:val="000000"/>
          <w:kern w:val="0"/>
          <w:sz w:val="32"/>
          <w:szCs w:val="32"/>
          <w:shd w:val="clear" w:color="auto" w:fill="FFFFFF"/>
          <w:lang w:val="zh-CN"/>
        </w:rPr>
        <w:t>（一）机构组成</w:t>
      </w:r>
    </w:p>
    <w:p w14:paraId="1BBE69E2">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仿宋_GB2312" w:eastAsia="仿宋_GB2312" w:cs="仿宋_GB2312"/>
          <w:color w:val="333333"/>
          <w:sz w:val="32"/>
          <w:szCs w:val="32"/>
          <w:shd w:val="clear" w:color="auto" w:fill="FFFFFF"/>
        </w:rPr>
        <w:t>永兴镇人民政府现有10个内设机构，分别是农业服务中心、林业站、党政办、民政办、宣文中心、社会事务办、综治办、武装部、计生办、社会事务办。</w:t>
      </w:r>
    </w:p>
    <w:p w14:paraId="17897542">
      <w:pPr>
        <w:widowControl/>
        <w:numPr>
          <w:ilvl w:val="0"/>
          <w:numId w:val="5"/>
        </w:numPr>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rPr>
      </w:pPr>
      <w:r>
        <w:rPr>
          <w:rFonts w:hint="eastAsia" w:ascii="仿宋_GB2312" w:hAnsi="宋体" w:eastAsia="仿宋_GB2312" w:cs="仿宋_GB2312"/>
          <w:color w:val="000000"/>
          <w:kern w:val="0"/>
          <w:sz w:val="32"/>
          <w:szCs w:val="32"/>
          <w:shd w:val="clear" w:color="auto" w:fill="FFFFFF"/>
          <w:lang w:val="zh-CN"/>
        </w:rPr>
        <w:t>机构职能</w:t>
      </w:r>
    </w:p>
    <w:p w14:paraId="46EBBA91">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w:t>
      </w:r>
      <w:r>
        <w:rPr>
          <w:rFonts w:ascii="仿宋_GB2312" w:hAnsi="仿宋_GB2312" w:eastAsia="仿宋_GB2312" w:cs="仿宋_GB2312"/>
          <w:color w:val="333333"/>
          <w:sz w:val="32"/>
          <w:szCs w:val="32"/>
          <w:shd w:val="clear" w:color="auto" w:fill="FFFFFF"/>
        </w:rPr>
        <w:t>贯彻执行党的路线、方针、政策和上级党组织及党员代表大会的决议、决定。</w:t>
      </w:r>
    </w:p>
    <w:p w14:paraId="2B2C05C4">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2.研究决定全镇经济建设和社会发展中带有全局性的</w:t>
      </w:r>
      <w:r>
        <w:rPr>
          <w:rFonts w:ascii="仿宋_GB2312" w:hAnsi="仿宋_GB2312" w:eastAsia="仿宋_GB2312" w:cs="仿宋_GB2312"/>
          <w:color w:val="333333"/>
          <w:sz w:val="32"/>
          <w:szCs w:val="32"/>
          <w:shd w:val="clear" w:color="auto" w:fill="FFFFFF"/>
        </w:rPr>
        <w:t>重大问题。</w:t>
      </w:r>
    </w:p>
    <w:p w14:paraId="4E688D59">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3.</w:t>
      </w:r>
      <w:r>
        <w:rPr>
          <w:rFonts w:hint="eastAsia" w:ascii="仿宋_GB2312" w:hAnsi="仿宋_GB2312" w:eastAsia="仿宋_GB2312" w:cs="仿宋_GB2312"/>
          <w:color w:val="333333"/>
          <w:sz w:val="32"/>
          <w:szCs w:val="32"/>
          <w:shd w:val="clear" w:color="auto" w:fill="FFFFFF"/>
        </w:rPr>
        <w:t>负责抓好所属党组织的思想建设、组织建设、作风建设。负责全面从严治党、党风廉政建设和反腐败工作。</w:t>
      </w:r>
    </w:p>
    <w:p w14:paraId="17A22CBA">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4.</w:t>
      </w:r>
      <w:r>
        <w:rPr>
          <w:rFonts w:hint="eastAsia" w:ascii="仿宋_GB2312" w:hAnsi="仿宋_GB2312" w:eastAsia="仿宋_GB2312" w:cs="仿宋_GB2312"/>
          <w:color w:val="333333"/>
          <w:sz w:val="32"/>
          <w:szCs w:val="32"/>
          <w:shd w:val="clear" w:color="auto" w:fill="FFFFFF"/>
        </w:rPr>
        <w:t>按照干部管理权限，负责对干部的教育、培养、选拔任免和监督工作，向上级党组织推荐干部。</w:t>
      </w:r>
    </w:p>
    <w:p w14:paraId="1DF6F7A2">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5.</w:t>
      </w:r>
      <w:r>
        <w:rPr>
          <w:rFonts w:hint="eastAsia" w:ascii="仿宋_GB2312" w:hAnsi="仿宋_GB2312" w:eastAsia="仿宋_GB2312" w:cs="仿宋_GB2312"/>
          <w:color w:val="333333"/>
          <w:sz w:val="32"/>
          <w:szCs w:val="32"/>
          <w:shd w:val="clear" w:color="auto" w:fill="FFFFFF"/>
        </w:rPr>
        <w:t>领导工会、共青团、妇联、科协等群团组织，协调党政之间的关系。</w:t>
      </w:r>
    </w:p>
    <w:p w14:paraId="60762F05">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6.</w:t>
      </w:r>
      <w:r>
        <w:rPr>
          <w:rFonts w:hint="eastAsia" w:ascii="仿宋_GB2312" w:hAnsi="仿宋_GB2312" w:eastAsia="仿宋_GB2312" w:cs="仿宋_GB2312"/>
          <w:color w:val="333333"/>
          <w:sz w:val="32"/>
          <w:szCs w:val="32"/>
          <w:shd w:val="clear" w:color="auto" w:fill="FFFFFF"/>
        </w:rPr>
        <w:t>负责本行政区域的政治思想、宣传、统战、政法、保密、武装、精神文明建设和民主法制建设等工作。</w:t>
      </w:r>
    </w:p>
    <w:p w14:paraId="71ED5373">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7.制定并执行本行政区域内经济和社会发展规划、计划。</w:t>
      </w:r>
    </w:p>
    <w:p w14:paraId="1D71D736">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8</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负责乡村振兴、新农村建设和推进城乡一体化的组织和实施。</w:t>
      </w:r>
    </w:p>
    <w:p w14:paraId="16903CA1">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9</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负责辖区经济、文化、教育、科学、卫生健康、民政、社会保障、民族宗教、村镇建设、司法、退役军人、扶贫、信访、安全、统计等行政管理和服务工作。</w:t>
      </w:r>
    </w:p>
    <w:p w14:paraId="5F880198">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10</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负责农业产业结构调整和</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三农</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服务工作。</w:t>
      </w:r>
    </w:p>
    <w:p w14:paraId="391B5D84">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11</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建立健全社会治理防控体系，开展爱国卫生、环境</w:t>
      </w:r>
      <w:r>
        <w:rPr>
          <w:rFonts w:ascii="仿宋_GB2312" w:hAnsi="仿宋_GB2312" w:eastAsia="仿宋_GB2312" w:cs="仿宋_GB2312"/>
          <w:color w:val="333333"/>
          <w:sz w:val="32"/>
          <w:szCs w:val="32"/>
          <w:shd w:val="clear" w:color="auto" w:fill="FFFFFF"/>
        </w:rPr>
        <w:t>卫生监督检查，承担环境、资源保护等工作，促进人与自然和谐发展。</w:t>
      </w:r>
    </w:p>
    <w:p w14:paraId="25C2501A">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12</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负责应急管理、安全生产、抢险救灾等工作，保护人民群众生命财产安全。</w:t>
      </w:r>
    </w:p>
    <w:p w14:paraId="7E0C6632">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13</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完成上级党委、政府交办的其他工作。</w:t>
      </w:r>
    </w:p>
    <w:p w14:paraId="1D901131">
      <w:pPr>
        <w:widowControl/>
        <w:numPr>
          <w:ilvl w:val="0"/>
          <w:numId w:val="6"/>
        </w:numPr>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宋体" w:eastAsia="仿宋_GB2312" w:cs="仿宋_GB2312"/>
          <w:color w:val="000000"/>
          <w:kern w:val="0"/>
          <w:sz w:val="32"/>
          <w:szCs w:val="32"/>
          <w:shd w:val="clear" w:color="auto" w:fill="FFFFFF"/>
          <w:lang w:val="zh-CN"/>
        </w:rPr>
        <w:t>人员概况</w:t>
      </w:r>
    </w:p>
    <w:p w14:paraId="1AA15A90">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仿宋_GB2312" w:eastAsia="仿宋_GB2312" w:cs="仿宋_GB2312"/>
          <w:color w:val="333333"/>
          <w:sz w:val="32"/>
          <w:szCs w:val="32"/>
          <w:shd w:val="clear" w:color="auto" w:fill="FFFFFF"/>
        </w:rPr>
        <w:t>永兴镇人民政府现有编制数</w:t>
      </w:r>
      <w:r>
        <w:rPr>
          <w:rFonts w:hint="eastAsia" w:eastAsia="楷体_GB2312"/>
          <w:sz w:val="32"/>
          <w:szCs w:val="32"/>
        </w:rPr>
        <w:t>51</w:t>
      </w:r>
      <w:r>
        <w:rPr>
          <w:rFonts w:hint="eastAsia" w:ascii="仿宋_GB2312" w:hAnsi="仿宋_GB2312" w:eastAsia="仿宋_GB2312" w:cs="仿宋_GB2312"/>
          <w:color w:val="333333"/>
          <w:sz w:val="32"/>
          <w:szCs w:val="32"/>
          <w:shd w:val="clear" w:color="auto" w:fill="FFFFFF"/>
        </w:rPr>
        <w:t>人，</w:t>
      </w:r>
      <w:r>
        <w:rPr>
          <w:rFonts w:hint="eastAsia" w:ascii="仿宋_GB2312" w:hAnsi="仿宋_GB2312" w:eastAsia="仿宋_GB2312" w:cs="仿宋_GB2312"/>
          <w:color w:val="000000"/>
          <w:sz w:val="32"/>
          <w:szCs w:val="32"/>
          <w:shd w:val="clear" w:color="auto" w:fill="FFFFFF"/>
        </w:rPr>
        <w:t>其中：行政编制27人，</w:t>
      </w:r>
      <w:r>
        <w:rPr>
          <w:rFonts w:hint="eastAsia" w:ascii="仿宋_GB2312" w:hAnsi="仿宋_GB2312" w:eastAsia="仿宋_GB2312" w:cs="仿宋_GB2312"/>
          <w:color w:val="333333"/>
          <w:sz w:val="32"/>
          <w:szCs w:val="32"/>
          <w:shd w:val="clear" w:color="auto" w:fill="FFFFFF"/>
        </w:rPr>
        <w:t>工勤人员4人，事业编制20人，2019年年末在职人员43人，其中行政编制24人，工勤编制2人，事业编制17人。</w:t>
      </w:r>
    </w:p>
    <w:p w14:paraId="0E310D4A">
      <w:pPr>
        <w:pStyle w:val="7"/>
        <w:spacing w:line="56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二、部门资金基本情况</w:t>
      </w:r>
    </w:p>
    <w:p w14:paraId="181FE77F">
      <w:pPr>
        <w:pStyle w:val="7"/>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（一）年初部门预算安排及支出情况</w:t>
      </w:r>
    </w:p>
    <w:p w14:paraId="053A9613">
      <w:pPr>
        <w:pStyle w:val="7"/>
        <w:spacing w:line="560" w:lineRule="exact"/>
        <w:ind w:firstLine="640" w:firstLineChars="200"/>
        <w:rPr>
          <w:rFonts w:ascii="仿宋_GB2312" w:hAnsi="仿宋_GB2312" w:eastAsia="仿宋_GB2312" w:cs="仿宋_GB2312"/>
          <w:color w:val="000000"/>
          <w:kern w:val="2"/>
          <w:sz w:val="32"/>
          <w:szCs w:val="32"/>
          <w:shd w:val="clear" w:color="auto" w:fill="FFFFFF"/>
        </w:rPr>
      </w:pPr>
      <w:r>
        <w:rPr>
          <w:rFonts w:hint="eastAsia" w:ascii="仿宋_GB2312" w:hAnsi="仿宋_GB2312" w:eastAsia="仿宋_GB2312" w:cs="仿宋_GB2312"/>
          <w:color w:val="000000"/>
          <w:kern w:val="2"/>
          <w:sz w:val="32"/>
          <w:szCs w:val="32"/>
          <w:shd w:val="clear" w:color="auto" w:fill="FFFFFF"/>
        </w:rPr>
        <w:t>2019年部门预算收入安排资金1824.83万元，较上年增加204.3万元，增长12.6%，增长原因人员经费增加，项目资金增加；支出1825.34万元，较上年增加212.67万元，增长13.2%，增长原因人员经费支出增加，项目增多。</w:t>
      </w:r>
    </w:p>
    <w:p w14:paraId="4B15D102">
      <w:pPr>
        <w:pStyle w:val="7"/>
        <w:numPr>
          <w:ilvl w:val="0"/>
          <w:numId w:val="7"/>
        </w:num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基本支出安排及使用情况</w:t>
      </w:r>
    </w:p>
    <w:p w14:paraId="2D614379">
      <w:pPr>
        <w:pStyle w:val="7"/>
        <w:widowControl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基本支出1001.78万元，主要用于基本工资、津贴补贴、办公费、差旅费、水电邮电费、车辆运行维护费等日常公用经费。其中：一般公共服务支出576.77万元，文化旅游体育与传媒支出36.58万元，社会保障和就业支出120.84万元，卫生健康支出45.34万元，农林水支出156.2万元，住房保障支出63.05万元。</w:t>
      </w:r>
    </w:p>
    <w:p w14:paraId="3AF79E38">
      <w:pPr>
        <w:pStyle w:val="7"/>
        <w:numPr>
          <w:ilvl w:val="0"/>
          <w:numId w:val="8"/>
        </w:num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部门预算项目安排及支出情况</w:t>
      </w:r>
    </w:p>
    <w:p w14:paraId="502A170C">
      <w:pPr>
        <w:pStyle w:val="7"/>
        <w:widowControl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目支出823.56万元，主要用于一般公共服务支出56.28万元，社会保障和就业支出231.95万元，卫生健康支出23.37万元，节能环保支出20万元，城乡社区支出30.99万元，农林水支出456.79万元，自然资源海洋气象等支出0.59万元，灾害防治及应急管理支出3.59万元。</w:t>
      </w:r>
    </w:p>
    <w:p w14:paraId="5ECE35FC">
      <w:pPr>
        <w:pStyle w:val="7"/>
        <w:numPr>
          <w:ilvl w:val="0"/>
          <w:numId w:val="9"/>
        </w:num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专项资金安排及支出情况</w:t>
      </w:r>
    </w:p>
    <w:p w14:paraId="34C2A7A6">
      <w:pPr>
        <w:pStyle w:val="7"/>
        <w:widowControl w:val="0"/>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专项资金支出823.56万元，按项目分类：人大代表会议费1.67万元；“人大代表”之家建设经费1.1万元；山水文化旅游节工作经费16.72万元；政府订阅报刊杂志、印刷广告、办公耗材、电费、四害扑杀资金及水电维修欠款1.45万元；乡村治理补助0.99万元；政府维稳接待上访人员经费1.24万元；第三次全国农业普查专项经费0.12万元；乡镇财政管理系统及金财网维护费0.6万元；粮食直补和农业保险工作经费0.27万元；四川省三州开发项目补助资金用于永兴镇三虎村社道路硬化项目30万元；政府武装工作经费2.09万元；社区工资保险办公费41.9万元；敬老院工资保险办公费59.81万元；五保户生活费丧葬费130.23万元；计划生育服务员补助经费21.44万元；卫生计生工作经费1.93万元；面源整治、垃圾清运、漂浮物打捞及</w:t>
      </w:r>
      <w:r>
        <w:rPr>
          <w:rFonts w:hint="eastAsia" w:ascii="Times New Roman" w:hAnsi="Times New Roman" w:eastAsia="楷体_GB2312" w:cs="Times New Roman"/>
          <w:sz w:val="32"/>
          <w:szCs w:val="32"/>
          <w:lang w:eastAsia="zh-CN"/>
        </w:rPr>
        <w:t>环保督察</w:t>
      </w:r>
      <w:r>
        <w:rPr>
          <w:rFonts w:hint="eastAsia" w:ascii="Times New Roman" w:hAnsi="Times New Roman" w:eastAsia="楷体_GB2312" w:cs="Times New Roman"/>
          <w:sz w:val="32"/>
          <w:szCs w:val="32"/>
        </w:rPr>
        <w:t>回头看整治专项经费20万元；城乡环境综合治理经费15.83万元；土地出让金扩建征地经费15.15万元；村社社道基础设施建设经费17.1万元；防汛抢险抗旱经费14.96万元；2018年四季度非农安置移民困难补助13.47万元；基层组织活动和公共服务运行经费91万元，村社工资办公费320.26万元；第三次全国国土调查经费0.59万元；乡镇安全生产监管专项资金3.59万元。</w:t>
      </w:r>
    </w:p>
    <w:p w14:paraId="5E4D414F">
      <w:pPr>
        <w:pStyle w:val="7"/>
        <w:spacing w:line="560" w:lineRule="exact"/>
        <w:ind w:firstLine="640" w:firstLineChars="200"/>
        <w:rPr>
          <w:rFonts w:ascii="Times New Roman" w:hAnsi="Times New Roman" w:eastAsia="楷体" w:cs="Times New Roman"/>
          <w:sz w:val="32"/>
          <w:szCs w:val="32"/>
        </w:rPr>
      </w:pPr>
      <w:r>
        <w:rPr>
          <w:rFonts w:ascii="Times New Roman" w:hAnsi="Times New Roman" w:eastAsia="黑体" w:cs="Times New Roman"/>
          <w:sz w:val="32"/>
          <w:szCs w:val="32"/>
        </w:rPr>
        <w:t>三、绩效目标完成情况分析</w:t>
      </w:r>
    </w:p>
    <w:p w14:paraId="48B5DC81">
      <w:pPr>
        <w:pStyle w:val="7"/>
        <w:widowControl w:val="0"/>
        <w:spacing w:line="560" w:lineRule="exact"/>
        <w:ind w:firstLine="640" w:firstLineChars="200"/>
        <w:rPr>
          <w:rFonts w:ascii="仿宋" w:hAnsi="仿宋" w:eastAsia="仿宋" w:cs="仿宋"/>
          <w:bCs/>
          <w:kern w:val="2"/>
          <w:sz w:val="32"/>
          <w:szCs w:val="32"/>
        </w:rPr>
      </w:pPr>
      <w:r>
        <w:rPr>
          <w:rFonts w:hint="eastAsia" w:ascii="仿宋" w:hAnsi="仿宋" w:eastAsia="仿宋" w:cs="仿宋"/>
          <w:bCs/>
          <w:kern w:val="2"/>
          <w:sz w:val="32"/>
          <w:szCs w:val="32"/>
        </w:rPr>
        <w:t xml:space="preserve"> 我镇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14:paraId="6F7F517E">
      <w:pPr>
        <w:pStyle w:val="7"/>
        <w:widowControl w:val="0"/>
        <w:spacing w:line="560" w:lineRule="exact"/>
        <w:ind w:firstLine="640" w:firstLineChars="200"/>
        <w:rPr>
          <w:rFonts w:ascii="仿宋" w:hAnsi="仿宋" w:eastAsia="仿宋" w:cs="仿宋"/>
          <w:bCs/>
          <w:kern w:val="2"/>
          <w:sz w:val="32"/>
          <w:szCs w:val="32"/>
        </w:rPr>
      </w:pPr>
      <w:r>
        <w:rPr>
          <w:rFonts w:hint="eastAsia" w:ascii="仿宋" w:hAnsi="仿宋" w:eastAsia="仿宋" w:cs="仿宋"/>
          <w:bCs/>
          <w:kern w:val="2"/>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八项规定、省、市“十项规定”和财务相关规定执行财政资金的管理和使用。项目资金分配严格按照实际工作需要，依据项目进度和开展情况、合理安全、资金严格按照规范程序申请、管理和使用。通过项目实施充分保障了工作需求，切实发挥工作职能，维护全镇经济、社会发展。</w:t>
      </w:r>
    </w:p>
    <w:p w14:paraId="6B7D7615">
      <w:pPr>
        <w:pStyle w:val="7"/>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w:t>
      </w:r>
      <w:r>
        <w:rPr>
          <w:rFonts w:hint="eastAsia" w:ascii="Times New Roman" w:hAnsi="Times New Roman" w:eastAsia="楷体_GB2312" w:cs="Times New Roman"/>
          <w:sz w:val="32"/>
          <w:szCs w:val="32"/>
        </w:rPr>
        <w:t>县</w:t>
      </w:r>
      <w:r>
        <w:rPr>
          <w:rFonts w:ascii="Times New Roman" w:hAnsi="Times New Roman" w:eastAsia="楷体_GB2312" w:cs="Times New Roman"/>
          <w:sz w:val="32"/>
          <w:szCs w:val="32"/>
        </w:rPr>
        <w:t>级财政资金绩效目标完成情况</w:t>
      </w:r>
    </w:p>
    <w:p w14:paraId="25A1083C">
      <w:pPr>
        <w:pStyle w:val="7"/>
        <w:spacing w:line="560" w:lineRule="exact"/>
        <w:ind w:firstLine="640" w:firstLineChars="200"/>
        <w:rPr>
          <w:rFonts w:ascii="Times New Roman" w:hAnsi="Times New Roman" w:eastAsia="楷体" w:cs="Times New Roman"/>
          <w:sz w:val="32"/>
          <w:szCs w:val="32"/>
        </w:rPr>
      </w:pPr>
      <w:r>
        <w:rPr>
          <w:rFonts w:ascii="Times New Roman" w:hAnsi="Times New Roman" w:eastAsia="仿宋_GB2312" w:cs="Times New Roman"/>
          <w:sz w:val="32"/>
          <w:szCs w:val="32"/>
        </w:rPr>
        <w:t>1.年初部门预算绩效目标完成情况</w:t>
      </w:r>
    </w:p>
    <w:p w14:paraId="5978A294">
      <w:pPr>
        <w:pStyle w:val="7"/>
        <w:spacing w:line="560" w:lineRule="exact"/>
        <w:ind w:firstLine="640" w:firstLineChars="200"/>
        <w:rPr>
          <w:rFonts w:ascii="仿宋" w:hAnsi="仿宋" w:eastAsia="仿宋" w:cs="仿宋"/>
          <w:color w:val="000000"/>
          <w:sz w:val="32"/>
          <w:szCs w:val="32"/>
        </w:rPr>
      </w:pPr>
      <w:r>
        <w:rPr>
          <w:rFonts w:ascii="Times New Roman" w:hAnsi="Times New Roman" w:eastAsia="仿宋_GB2312" w:cs="Times New Roman"/>
          <w:sz w:val="32"/>
          <w:szCs w:val="32"/>
        </w:rPr>
        <w:t>（1）产出指标完成情况分析。</w:t>
      </w:r>
      <w:r>
        <w:rPr>
          <w:rFonts w:hint="eastAsia" w:ascii="仿宋" w:hAnsi="仿宋" w:eastAsia="仿宋" w:cs="仿宋"/>
          <w:bCs/>
          <w:kern w:val="2"/>
          <w:sz w:val="32"/>
          <w:szCs w:val="32"/>
        </w:rPr>
        <w:t>我镇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14:paraId="04CAB14F">
      <w:pPr>
        <w:spacing w:line="560" w:lineRule="exact"/>
        <w:ind w:firstLine="640" w:firstLineChars="200"/>
        <w:jc w:val="left"/>
        <w:rPr>
          <w:rFonts w:ascii="仿宋" w:hAnsi="仿宋" w:eastAsia="仿宋" w:cs="仿宋"/>
          <w:bCs/>
          <w:color w:val="000000"/>
          <w:sz w:val="32"/>
          <w:szCs w:val="32"/>
        </w:rPr>
      </w:pPr>
      <w:r>
        <w:rPr>
          <w:rFonts w:eastAsia="仿宋_GB2312"/>
          <w:color w:val="000000"/>
          <w:sz w:val="32"/>
          <w:szCs w:val="32"/>
        </w:rPr>
        <w:t>（2）效益指标完成情况分析。</w:t>
      </w:r>
      <w:r>
        <w:rPr>
          <w:rFonts w:hint="eastAsia" w:eastAsia="仿宋_GB2312"/>
          <w:color w:val="000000"/>
          <w:sz w:val="32"/>
          <w:szCs w:val="32"/>
        </w:rPr>
        <w:t>我镇主要安排用于一般公共服务支出、社会保障和就业支出、卫生健康支出、节能环保支出、城乡社区支出、农林水支出、自然资源海洋气象等支出、灾害防治及应急管理支出等。</w:t>
      </w:r>
    </w:p>
    <w:p w14:paraId="0BA2515E">
      <w:pPr>
        <w:pStyle w:val="7"/>
        <w:widowControl w:val="0"/>
        <w:spacing w:line="560" w:lineRule="exact"/>
        <w:ind w:firstLine="640" w:firstLineChars="200"/>
        <w:rPr>
          <w:rFonts w:ascii="Times New Roman" w:hAnsi="Times New Roman" w:eastAsia="楷体" w:cs="Times New Roman"/>
          <w:color w:val="000000"/>
          <w:sz w:val="32"/>
          <w:szCs w:val="32"/>
        </w:rPr>
      </w:pPr>
      <w:r>
        <w:rPr>
          <w:rFonts w:ascii="Times New Roman" w:hAnsi="Times New Roman" w:eastAsia="仿宋_GB2312" w:cs="Times New Roman"/>
          <w:color w:val="000000"/>
          <w:sz w:val="32"/>
          <w:szCs w:val="32"/>
        </w:rPr>
        <w:t>（3）满意度指标完成情况分析。</w:t>
      </w:r>
      <w:r>
        <w:rPr>
          <w:rFonts w:hint="eastAsia" w:ascii="Times New Roman" w:hAnsi="Times New Roman" w:eastAsia="仿宋_GB2312" w:cs="Times New Roman"/>
          <w:color w:val="000000"/>
          <w:sz w:val="32"/>
          <w:szCs w:val="32"/>
        </w:rPr>
        <w:t>通过财政绩效目标管理，基本达到满意。</w:t>
      </w:r>
    </w:p>
    <w:p w14:paraId="71D5CEED">
      <w:pPr>
        <w:pStyle w:val="7"/>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2.专项（项目）资金绩效目标完成情况</w:t>
      </w:r>
    </w:p>
    <w:p w14:paraId="0E233CDC">
      <w:pPr>
        <w:spacing w:line="560" w:lineRule="exact"/>
        <w:ind w:firstLine="640" w:firstLineChars="200"/>
        <w:jc w:val="left"/>
        <w:rPr>
          <w:rFonts w:ascii="仿宋" w:hAnsi="仿宋" w:eastAsia="仿宋" w:cs="仿宋"/>
          <w:bCs/>
          <w:sz w:val="32"/>
          <w:szCs w:val="32"/>
        </w:rPr>
      </w:pPr>
      <w:r>
        <w:rPr>
          <w:rFonts w:eastAsia="仿宋_GB2312"/>
          <w:sz w:val="32"/>
          <w:szCs w:val="32"/>
        </w:rPr>
        <w:t>（1）产出指标完成情况分析。</w:t>
      </w:r>
      <w:r>
        <w:rPr>
          <w:rFonts w:hint="eastAsia" w:ascii="仿宋" w:hAnsi="仿宋" w:eastAsia="仿宋" w:cs="仿宋"/>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14:paraId="0918F4CE">
      <w:pPr>
        <w:spacing w:line="560" w:lineRule="exact"/>
        <w:ind w:firstLine="640" w:firstLineChars="200"/>
        <w:jc w:val="left"/>
        <w:rPr>
          <w:rFonts w:ascii="仿宋" w:hAnsi="仿宋" w:eastAsia="仿宋" w:cs="仿宋"/>
          <w:bCs/>
          <w:sz w:val="32"/>
          <w:szCs w:val="32"/>
        </w:rPr>
      </w:pPr>
      <w:r>
        <w:rPr>
          <w:rFonts w:hint="eastAsia" w:ascii="仿宋" w:hAnsi="仿宋" w:eastAsia="仿宋" w:cs="仿宋"/>
          <w:bCs/>
          <w:sz w:val="32"/>
          <w:szCs w:val="32"/>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14:paraId="382E8C2D">
      <w:pPr>
        <w:pStyle w:val="7"/>
        <w:widowControl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效益指标完成情况分析。</w:t>
      </w:r>
      <w:r>
        <w:rPr>
          <w:rFonts w:hint="eastAsia" w:ascii="Times New Roman" w:hAnsi="Times New Roman" w:eastAsia="仿宋_GB2312" w:cs="Times New Roman"/>
          <w:sz w:val="32"/>
          <w:szCs w:val="32"/>
        </w:rPr>
        <w:t>我镇项目资金主要安排用于一般公共服务支出、社会保障和就业支出、卫生健康支出、节能环保支出、城乡社区支出、农林水支出、自然资源海洋气象等支出、灾害防治及应急管理支出等。</w:t>
      </w:r>
    </w:p>
    <w:p w14:paraId="01B8FBFA">
      <w:pPr>
        <w:pStyle w:val="7"/>
        <w:widowControl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（3）满意度指标完成情况分析。</w:t>
      </w:r>
      <w:r>
        <w:rPr>
          <w:rFonts w:hint="eastAsia" w:ascii="Times New Roman" w:hAnsi="Times New Roman" w:eastAsia="仿宋_GB2312" w:cs="Times New Roman"/>
          <w:sz w:val="32"/>
          <w:szCs w:val="32"/>
        </w:rPr>
        <w:t>通过财政绩效目标管理，基本达到满意。</w:t>
      </w:r>
    </w:p>
    <w:p w14:paraId="44EB93A3">
      <w:pPr>
        <w:pStyle w:val="7"/>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（二）上级专项（项目）资金绩效目标完成情况</w:t>
      </w:r>
    </w:p>
    <w:p w14:paraId="31C585C6">
      <w:pPr>
        <w:pStyle w:val="7"/>
        <w:widowControl w:val="0"/>
        <w:spacing w:line="560" w:lineRule="exact"/>
        <w:ind w:firstLine="640" w:firstLineChars="200"/>
        <w:rPr>
          <w:rFonts w:ascii="Times New Roman" w:hAnsi="Times New Roman" w:eastAsia="楷体_GB2312" w:cs="Times New Roman"/>
          <w:sz w:val="32"/>
          <w:szCs w:val="32"/>
        </w:rPr>
      </w:pPr>
      <w:r>
        <w:rPr>
          <w:rFonts w:ascii="Times New Roman" w:hAnsi="Times New Roman" w:eastAsia="仿宋_GB2312" w:cs="Times New Roman"/>
          <w:sz w:val="32"/>
          <w:szCs w:val="32"/>
        </w:rPr>
        <w:t>（1）产出指标完成情况分析。</w:t>
      </w:r>
      <w:r>
        <w:rPr>
          <w:rFonts w:hint="eastAsia" w:ascii="Times New Roman" w:hAnsi="Times New Roman" w:eastAsia="楷体_GB2312" w:cs="Times New Roman"/>
          <w:sz w:val="32"/>
          <w:szCs w:val="32"/>
        </w:rPr>
        <w:t>人大代表会议费1.67万元；“人大代表”之家建设经费1.1万元；山水文化旅游节工作经费16.72万元；政府订阅报刊杂志、印刷广告、办公耗材、电费、四害扑杀资金及水电维修欠款1.45万元；乡村治理补助0.99万元；政府维稳接待上访人员经费1.24万元；第三次全国农业普查专项经费0.12万元；乡镇财政管理系统及金财网维护费0.6万元；粮食直补和农业保险工作经费0.27万元；四川省三州开发项目补助资金用于永兴镇三虎村社道路硬化项目30万元；政府武装工作经费2.09万元；社区工资保险办公费41.9万元；敬老院工资保险办公费59.81万元；五保户生活费丧葬费130.23万元；计划生育服务员补助经费21.44万元；卫生计生工作经费1.93万元；面源整治、垃圾清运、漂浮物打捞及</w:t>
      </w:r>
      <w:r>
        <w:rPr>
          <w:rFonts w:hint="eastAsia" w:ascii="Times New Roman" w:hAnsi="Times New Roman" w:eastAsia="楷体_GB2312" w:cs="Times New Roman"/>
          <w:sz w:val="32"/>
          <w:szCs w:val="32"/>
          <w:lang w:eastAsia="zh-CN"/>
        </w:rPr>
        <w:t>环保督察</w:t>
      </w:r>
      <w:r>
        <w:rPr>
          <w:rFonts w:hint="eastAsia" w:ascii="Times New Roman" w:hAnsi="Times New Roman" w:eastAsia="楷体_GB2312" w:cs="Times New Roman"/>
          <w:sz w:val="32"/>
          <w:szCs w:val="32"/>
        </w:rPr>
        <w:t>回头看整治专项经费20万元；城乡环境综合治理经费15.83万元；土地出让金扩建征地经费15.15万元；村社社道基础设施建设经费17.1万元；防汛抢险抗旱经费14.96万元；2018年四季度非农安置移民困难补助13.47万元；基层组织活动和公共服务运行经费91万元，村社工资办公费320.26万元；第三次全国国土调查经费0.59万元；乡镇安全生产监管专项资金3.59万元。</w:t>
      </w:r>
    </w:p>
    <w:p w14:paraId="7C2A28FA">
      <w:pPr>
        <w:pStyle w:val="7"/>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（2）效益指标完成情况分析。</w:t>
      </w:r>
      <w:r>
        <w:rPr>
          <w:rFonts w:hint="eastAsia" w:ascii="Times New Roman" w:hAnsi="Times New Roman" w:eastAsia="仿宋_GB2312" w:cs="Times New Roman"/>
          <w:sz w:val="32"/>
          <w:szCs w:val="32"/>
        </w:rPr>
        <w:t>我镇项目资金主要安排用于一般公共服务支出、社会保障和就业支出、卫生健康支出、节能环保支出、城乡社区支出、农林水支出、自然资源海洋气象等支出、灾害防治及应急管理支出等。</w:t>
      </w:r>
    </w:p>
    <w:p w14:paraId="4EB606D4">
      <w:pPr>
        <w:pStyle w:val="7"/>
        <w:widowControl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（3）满意度指标完成情况分析。</w:t>
      </w:r>
      <w:r>
        <w:rPr>
          <w:rFonts w:hint="eastAsia" w:ascii="Times New Roman" w:hAnsi="Times New Roman" w:eastAsia="仿宋_GB2312" w:cs="Times New Roman"/>
          <w:sz w:val="32"/>
          <w:szCs w:val="32"/>
        </w:rPr>
        <w:t>通过财政绩效目标管理，基本达到满意。</w:t>
      </w:r>
    </w:p>
    <w:p w14:paraId="7FFEE068">
      <w:pPr>
        <w:pStyle w:val="7"/>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（三）其他需要说明的情况</w:t>
      </w:r>
      <w:r>
        <w:rPr>
          <w:rFonts w:hint="eastAsia" w:ascii="Times New Roman" w:hAnsi="Times New Roman" w:eastAsia="楷体_GB2312" w:cs="Times New Roman"/>
          <w:sz w:val="32"/>
          <w:szCs w:val="32"/>
        </w:rPr>
        <w:t>。</w:t>
      </w:r>
    </w:p>
    <w:p w14:paraId="76C657FD">
      <w:pPr>
        <w:pStyle w:val="7"/>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无</w:t>
      </w:r>
    </w:p>
    <w:p w14:paraId="3246DD3C">
      <w:pPr>
        <w:pStyle w:val="7"/>
        <w:numPr>
          <w:ilvl w:val="0"/>
          <w:numId w:val="10"/>
        </w:num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自评结论</w:t>
      </w:r>
    </w:p>
    <w:p w14:paraId="52CD7F92">
      <w:pPr>
        <w:pStyle w:val="7"/>
        <w:spacing w:line="560" w:lineRule="exact"/>
        <w:ind w:firstLine="640" w:firstLineChars="200"/>
        <w:rPr>
          <w:rFonts w:ascii="Times New Roman" w:hAnsi="Times New Roman" w:eastAsia="楷体_GB2312" w:cs="Times New Roman"/>
          <w:sz w:val="32"/>
          <w:szCs w:val="32"/>
        </w:rPr>
      </w:pPr>
      <w:r>
        <w:rPr>
          <w:rFonts w:hint="eastAsia" w:ascii="仿宋" w:hAnsi="仿宋" w:eastAsia="仿宋" w:cs="仿宋"/>
          <w:bCs/>
          <w:kern w:val="2"/>
          <w:sz w:val="32"/>
          <w:szCs w:val="32"/>
        </w:rPr>
        <w:t>我镇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14:paraId="76ED8CB4">
      <w:pPr>
        <w:pStyle w:val="7"/>
        <w:numPr>
          <w:ilvl w:val="0"/>
          <w:numId w:val="11"/>
        </w:num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偏离绩效目标的原因和下一步改进措施</w:t>
      </w:r>
    </w:p>
    <w:p w14:paraId="1D9E2B58">
      <w:pPr>
        <w:pStyle w:val="7"/>
        <w:spacing w:line="560" w:lineRule="exact"/>
        <w:ind w:firstLine="640" w:firstLineChars="200"/>
        <w:rPr>
          <w:rFonts w:ascii="仿宋" w:hAnsi="仿宋" w:eastAsia="仿宋" w:cs="仿宋"/>
          <w:bCs/>
          <w:kern w:val="2"/>
          <w:sz w:val="32"/>
          <w:szCs w:val="32"/>
        </w:rPr>
      </w:pPr>
      <w:r>
        <w:rPr>
          <w:rFonts w:hint="eastAsia" w:ascii="仿宋" w:hAnsi="仿宋" w:eastAsia="仿宋" w:cs="仿宋"/>
          <w:bCs/>
          <w:kern w:val="2"/>
          <w:sz w:val="32"/>
          <w:szCs w:val="32"/>
        </w:rPr>
        <w:t xml:space="preserve">   （一）预算编制和预算管理还需进一步细化和加强，严禁超预算和无预算安排支出，严格开支范围和标准，严格审核各项经费的支出，提高资金使用效率。</w:t>
      </w:r>
    </w:p>
    <w:p w14:paraId="3FF5416D">
      <w:pPr>
        <w:pStyle w:val="7"/>
        <w:spacing w:line="560" w:lineRule="exact"/>
        <w:ind w:firstLine="640" w:firstLineChars="200"/>
        <w:rPr>
          <w:rFonts w:ascii="Times New Roman" w:hAnsi="Times New Roman" w:eastAsia="黑体" w:cs="Times New Roman"/>
          <w:sz w:val="32"/>
          <w:szCs w:val="32"/>
        </w:rPr>
      </w:pPr>
      <w:r>
        <w:rPr>
          <w:rFonts w:hint="eastAsia" w:ascii="仿宋" w:hAnsi="仿宋" w:eastAsia="仿宋" w:cs="仿宋"/>
          <w:bCs/>
          <w:kern w:val="2"/>
          <w:sz w:val="32"/>
          <w:szCs w:val="32"/>
        </w:rPr>
        <w:t xml:space="preserve">   （二）严格控制“三公”经费，认真贯彻落实中央八项规定和省、市十项规定，严格“三公”经费支出的审核和审批，合理压缩“三公”经费支出。合理、节俭、高效地利用资金，保证机关各项工作顺利有序开展。</w:t>
      </w:r>
    </w:p>
    <w:p w14:paraId="059A3F44">
      <w:pPr>
        <w:numPr>
          <w:ilvl w:val="0"/>
          <w:numId w:val="12"/>
        </w:numPr>
        <w:spacing w:line="560" w:lineRule="exact"/>
        <w:ind w:firstLine="640" w:firstLineChars="200"/>
        <w:rPr>
          <w:rFonts w:ascii="仿宋" w:hAnsi="仿宋" w:eastAsia="仿宋" w:cs="仿宋"/>
          <w:color w:val="000000"/>
          <w:kern w:val="0"/>
          <w:sz w:val="32"/>
          <w:szCs w:val="32"/>
        </w:rPr>
      </w:pPr>
      <w:r>
        <w:rPr>
          <w:rFonts w:eastAsia="黑体"/>
          <w:sz w:val="32"/>
          <w:szCs w:val="32"/>
        </w:rPr>
        <w:t>绩效自评结果拟应用和公开公示情况</w:t>
      </w:r>
    </w:p>
    <w:p w14:paraId="788C5752">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（一）绩效自评结果拟应用</w:t>
      </w:r>
    </w:p>
    <w:p w14:paraId="095AF009">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1.深化绩效评价工作，不断提高部门预算整体绩效目标管理水平。</w:t>
      </w:r>
      <w:r>
        <w:rPr>
          <w:rFonts w:hint="eastAsia" w:ascii="仿宋" w:hAnsi="仿宋" w:eastAsia="仿宋" w:cs="仿宋"/>
          <w:bCs/>
          <w:sz w:val="32"/>
          <w:szCs w:val="32"/>
        </w:rPr>
        <w:t xml:space="preserve">按照《预算法》按时完成预决算编制。在执行过程中有计划进行资金申报、使用，完善资金管理及内部控制制度，确保资金安全，做到账款、账实相符。 </w:t>
      </w:r>
    </w:p>
    <w:p w14:paraId="7FD817AD">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2.通过绩效自评建立机关厉行节约制度、节能降耗。</w:t>
      </w:r>
      <w:r>
        <w:rPr>
          <w:rFonts w:hint="eastAsia" w:ascii="仿宋" w:hAnsi="仿宋" w:eastAsia="仿宋" w:cs="仿宋"/>
          <w:bCs/>
          <w:sz w:val="32"/>
          <w:szCs w:val="32"/>
        </w:rPr>
        <w:t>我镇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天气炎热使用空调时，尽量在人离开前20分钟关闭空调。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14:paraId="581FD960">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3.强化单位财务管理工作，提高资金使用效率。</w:t>
      </w:r>
      <w:r>
        <w:rPr>
          <w:rFonts w:hint="eastAsia" w:ascii="仿宋" w:hAnsi="仿宋" w:eastAsia="仿宋" w:cs="仿宋"/>
          <w:color w:val="000000"/>
          <w:kern w:val="0"/>
          <w:sz w:val="32"/>
          <w:szCs w:val="32"/>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14:paraId="4527D5D0">
      <w:pPr>
        <w:numPr>
          <w:ilvl w:val="0"/>
          <w:numId w:val="13"/>
        </w:numPr>
        <w:spacing w:line="560" w:lineRule="exact"/>
        <w:ind w:firstLine="643" w:firstLineChars="200"/>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公开公示情况</w:t>
      </w:r>
    </w:p>
    <w:p w14:paraId="0E29A385">
      <w:pPr>
        <w:spacing w:line="560" w:lineRule="exact"/>
        <w:ind w:firstLine="640" w:firstLineChars="200"/>
        <w:jc w:val="left"/>
        <w:rPr>
          <w:rFonts w:ascii="仿宋_GB2312" w:hAnsi="仿宋_GB2312" w:eastAsia="仿宋_GB2312" w:cs="仿宋_GB2312"/>
          <w:sz w:val="32"/>
          <w:szCs w:val="32"/>
        </w:rPr>
      </w:pPr>
      <w:r>
        <w:rPr>
          <w:rFonts w:hint="eastAsia" w:ascii="仿宋" w:hAnsi="仿宋" w:eastAsia="仿宋" w:cs="仿宋"/>
          <w:color w:val="000000"/>
          <w:kern w:val="0"/>
          <w:sz w:val="32"/>
          <w:szCs w:val="32"/>
        </w:rPr>
        <w:t>为深入贯彻落实《中共四川省委四川省人民政府关于全面实施预算绩效管理的实施意见》（川委发【2019】8号）文件精神，进一步深化事后绩效评价工作，不断提高部门预算整体绩效目标管理水平，按盐边财绩【2020】4号《盐边县财政局关于开展2019年度部门预算整体绩效自评工作的通知》要求，于2020年10月将《盐边县永兴镇人民政府2019年部门预算整体绩效自评表》和《盐边县永兴镇人民政府2019年度部门预算情况公开编制说明》在“盐边县公众信息网”财政信息板块下的“财政绩效评价信息专栏”进行公开公示。</w:t>
      </w:r>
    </w:p>
    <w:p w14:paraId="7DEDC28A">
      <w:pPr>
        <w:spacing w:line="580" w:lineRule="exact"/>
        <w:rPr>
          <w:rFonts w:ascii="黑体" w:hAnsi="黑体" w:eastAsia="黑体" w:cs="黑体"/>
          <w:sz w:val="32"/>
          <w:szCs w:val="32"/>
        </w:rPr>
      </w:pPr>
    </w:p>
    <w:p w14:paraId="34C797B8">
      <w:pPr>
        <w:spacing w:line="580" w:lineRule="exact"/>
        <w:rPr>
          <w:rFonts w:ascii="黑体" w:hAnsi="黑体" w:eastAsia="黑体" w:cs="黑体"/>
          <w:sz w:val="32"/>
          <w:szCs w:val="32"/>
        </w:rPr>
      </w:pPr>
    </w:p>
    <w:p w14:paraId="4EB678F5">
      <w:pPr>
        <w:spacing w:line="580" w:lineRule="exact"/>
        <w:rPr>
          <w:rFonts w:ascii="仿宋_GB2312" w:hAnsi="仿宋_GB2312" w:eastAsia="仿宋_GB2312" w:cs="仿宋_GB2312"/>
          <w:sz w:val="32"/>
          <w:szCs w:val="32"/>
        </w:rPr>
      </w:pPr>
      <w:r>
        <w:rPr>
          <w:rFonts w:hint="eastAsia" w:ascii="黑体" w:hAnsi="黑体" w:eastAsia="黑体" w:cs="黑体"/>
          <w:sz w:val="32"/>
          <w:szCs w:val="32"/>
        </w:rPr>
        <w:t>附件2</w:t>
      </w:r>
    </w:p>
    <w:p w14:paraId="1B760500">
      <w:pPr>
        <w:spacing w:line="580" w:lineRule="exact"/>
        <w:ind w:firstLine="640" w:firstLineChars="200"/>
        <w:rPr>
          <w:rFonts w:ascii="仿宋_GB2312" w:hAnsi="仿宋_GB2312" w:eastAsia="仿宋_GB2312" w:cs="仿宋_GB2312"/>
          <w:sz w:val="32"/>
          <w:szCs w:val="32"/>
        </w:rPr>
      </w:pPr>
    </w:p>
    <w:p w14:paraId="501DDF44">
      <w:pPr>
        <w:spacing w:line="60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lang w:val="zh-CN"/>
        </w:rPr>
        <w:t>永兴镇环保督察“回头”整治项目</w:t>
      </w:r>
    </w:p>
    <w:p w14:paraId="08526D0C">
      <w:pPr>
        <w:spacing w:line="60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lang w:val="zh-CN"/>
        </w:rPr>
        <w:t>2019年绩效评价报告</w:t>
      </w:r>
    </w:p>
    <w:p w14:paraId="470670BC">
      <w:pPr>
        <w:spacing w:line="600" w:lineRule="exact"/>
        <w:rPr>
          <w:rFonts w:ascii="宋体" w:hAnsi="宋体"/>
          <w:sz w:val="32"/>
          <w:szCs w:val="32"/>
          <w:lang w:val="zh-CN"/>
        </w:rPr>
      </w:pPr>
    </w:p>
    <w:p w14:paraId="76584B04">
      <w:pPr>
        <w:adjustRightInd w:val="0"/>
        <w:snapToGrid w:val="0"/>
        <w:spacing w:line="60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14:paraId="35E1F901">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14:paraId="541B5D5A">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为了完成永兴镇环保督察“回头”整治项目，永兴砖厂场地平整复耕工程，场地长80米，宽48米，高1米。整治二滩库区鸟类湿地保护区环境差状态，切实改变永兴镇二滩库区鸟类湿地保护区环境差状态，明显改善项目区二滩库区鸟类湿地保护区环境。</w:t>
      </w:r>
    </w:p>
    <w:p w14:paraId="237008EA">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14:paraId="6660C024">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项目主要内容。为了完成永兴镇环保督察“回头”整治项目，永兴砖厂场地平整复耕工程，场地长80米，宽48米，高1米。整治二滩库区鸟类湿地保护区环境差状态，切实改变永兴镇二滩库区鸟类湿地保护区环境差状态，明显改善项目区二滩库区鸟类湿地保护区环境，</w:t>
      </w:r>
    </w:p>
    <w:p w14:paraId="6F41F839">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项目应实现的具体绩效目标，包括目标的量化、细化情况以及项目实施进度计划等。永兴砖厂场地平整复耕，场地长80米，宽48米，高1米，挖掘机挖土37.28小时、农用车运土52车、装载机平整块地6.4小时、吊车台班2个、汽车运费台班2个、技工工资3天、小型装载机运土14.8小时、旋耕机台班1天，受益群众户数≥329户。</w:t>
      </w:r>
    </w:p>
    <w:p w14:paraId="15BE6328">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二、项目资金申报及使用情况</w:t>
      </w:r>
    </w:p>
    <w:p w14:paraId="7D7570EE">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14:paraId="3B592637">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按照要求进资金申报。</w:t>
      </w:r>
    </w:p>
    <w:p w14:paraId="55B1947A">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（二）资金计划、到位及使用情况（可用表格形式反映）。</w:t>
      </w:r>
    </w:p>
    <w:p w14:paraId="05D2225F">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sz w:val="32"/>
          <w:szCs w:val="32"/>
          <w:lang w:val="zh-CN"/>
        </w:rPr>
        <w:t>1．资金计划。</w:t>
      </w:r>
      <w:r>
        <w:rPr>
          <w:rFonts w:hint="eastAsia" w:ascii="仿宋_GB2312" w:hAnsi="宋体" w:eastAsia="仿宋_GB2312"/>
          <w:sz w:val="32"/>
          <w:szCs w:val="32"/>
          <w:lang w:val="zh-CN"/>
        </w:rPr>
        <w:t>在说明该项目全省资金计划的基础上，分项目大类或市（州）分别说明各类资金计划情况，包括中央、省、市（州）、县（市、区）财政资金、项目单位自筹、其他渠道资金（包括银行贷款及其他资金等）。</w:t>
      </w:r>
    </w:p>
    <w:p w14:paraId="2917FBC6">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sz w:val="32"/>
          <w:szCs w:val="32"/>
          <w:lang w:val="zh-CN"/>
        </w:rPr>
        <w:t>2．资金到位。</w:t>
      </w:r>
      <w:r>
        <w:rPr>
          <w:rFonts w:hint="eastAsia" w:ascii="仿宋_GB2312" w:hAnsi="宋体" w:eastAsia="仿宋_GB2312"/>
          <w:sz w:val="32"/>
          <w:szCs w:val="32"/>
          <w:lang w:val="zh-CN"/>
        </w:rPr>
        <w:t>汇总统计截止评价时点该项目全省资金到位情况。在此基础上分项目大类或市（州）统计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做出分析说明。</w:t>
      </w:r>
    </w:p>
    <w:p w14:paraId="33F5A056">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sz w:val="32"/>
          <w:szCs w:val="32"/>
          <w:lang w:val="zh-CN"/>
        </w:rPr>
        <w:t>3．资金使用。</w:t>
      </w:r>
      <w:r>
        <w:rPr>
          <w:rFonts w:hint="eastAsia" w:ascii="仿宋_GB2312" w:hAnsi="宋体" w:eastAsia="仿宋_GB2312"/>
          <w:sz w:val="32"/>
          <w:szCs w:val="32"/>
          <w:lang w:val="zh-CN"/>
        </w:rPr>
        <w:t>汇总统计截止评价时点该项目全省资金支出情况。在此基础上分项目大类或市（州）统计资金支出情况，并对资金使用的安全性、规范性及有效性进行重点分析，包括资金支付范围、支付标准、支付进度、支付依据等是否合规合法、是否与预算相符，并对自评中发现的相关问题进行分析说明。</w:t>
      </w:r>
    </w:p>
    <w:p w14:paraId="5A19EB4A">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14:paraId="6BB3B21A">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总体评价各项目实施单位财务管理制度是否健全，是否严格执行财务管理制度，账务处理是否及时，会计核算是否规范等。</w:t>
      </w:r>
    </w:p>
    <w:p w14:paraId="1D9CE878">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三、项目实施及管理情况</w:t>
      </w:r>
    </w:p>
    <w:p w14:paraId="7A3E958F">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结合项目组织实施管理办法，重点围绕以下内容进行分析评价，并对自评中发现的问题分析说明。</w:t>
      </w:r>
    </w:p>
    <w:p w14:paraId="082BCF63">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p>
    <w:p w14:paraId="3E9DEBC1">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（二）项目管理情况。</w:t>
      </w:r>
      <w:r>
        <w:rPr>
          <w:rFonts w:hint="eastAsia" w:ascii="仿宋_GB2312" w:hAnsi="宋体" w:eastAsia="仿宋_GB2312"/>
          <w:sz w:val="32"/>
          <w:szCs w:val="32"/>
          <w:lang w:val="zh-CN"/>
        </w:rPr>
        <w:t>结合项目特点，总体评价各项目实施单位执行相关法律法规及项目管理制度等情况，如招投标、政府采购、项目公示制等相关规定。</w:t>
      </w:r>
    </w:p>
    <w:p w14:paraId="2CEAD7A2">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（三）项目监管情况。</w:t>
      </w:r>
      <w:r>
        <w:rPr>
          <w:rFonts w:hint="eastAsia" w:ascii="仿宋_GB2312" w:hAnsi="宋体" w:eastAsia="仿宋_GB2312"/>
          <w:sz w:val="32"/>
          <w:szCs w:val="32"/>
          <w:lang w:val="zh-CN"/>
        </w:rPr>
        <w:t>说明项目主管部门为加强项目管理所采取的监管手段、监管程序、监管工作开展情况及实现的效果等。</w:t>
      </w:r>
    </w:p>
    <w:p w14:paraId="33785548">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sz w:val="32"/>
          <w:szCs w:val="32"/>
        </w:rPr>
        <w:t>四、项目绩效情况</w:t>
      </w:r>
      <w:r>
        <w:rPr>
          <w:rFonts w:hint="eastAsia" w:ascii="仿宋_GB2312" w:hAnsi="宋体" w:eastAsia="仿宋_GB2312"/>
          <w:sz w:val="32"/>
          <w:szCs w:val="32"/>
          <w:lang w:val="zh-CN"/>
        </w:rPr>
        <w:tab/>
      </w:r>
    </w:p>
    <w:p w14:paraId="5A329A1C">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14:paraId="3F990F90">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为了完成永兴镇环保督察“回头”整治项目，永兴砖厂场地平整复耕工程，场地长80米，宽48米，高1米。整治二滩库区鸟类湿地保护区环境差状态，切实改变永兴镇二滩库区鸟类湿地保护区环境差状态，明显改善项目区二滩库区鸟类湿地保护区环境。</w:t>
      </w:r>
    </w:p>
    <w:p w14:paraId="3E22D616">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14:paraId="4E03F79B">
      <w:pPr>
        <w:adjustRightInd w:val="0"/>
        <w:snapToGrid w:val="0"/>
        <w:spacing w:line="600" w:lineRule="exact"/>
        <w:ind w:firstLine="720"/>
        <w:rPr>
          <w:rFonts w:ascii="仿宋_GB2312" w:hAnsi="宋体" w:eastAsia="仿宋_GB2312"/>
          <w:sz w:val="32"/>
          <w:szCs w:val="32"/>
        </w:rPr>
      </w:pPr>
      <w:r>
        <w:rPr>
          <w:rFonts w:hint="eastAsia" w:ascii="仿宋_GB2312" w:hAnsi="宋体" w:eastAsia="仿宋_GB2312"/>
          <w:sz w:val="32"/>
          <w:szCs w:val="32"/>
          <w:lang w:val="zh-CN"/>
        </w:rPr>
        <w:t>受益群众户数≥329户，满意度达</w:t>
      </w:r>
      <w:r>
        <w:rPr>
          <w:rFonts w:hint="eastAsia" w:ascii="仿宋_GB2312" w:hAnsi="宋体" w:eastAsia="仿宋_GB2312"/>
          <w:sz w:val="32"/>
          <w:szCs w:val="32"/>
        </w:rPr>
        <w:t>99%以上。</w:t>
      </w:r>
    </w:p>
    <w:p w14:paraId="0DD23F36">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五、评价结论及建议</w:t>
      </w:r>
    </w:p>
    <w:p w14:paraId="7CA70856">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14:paraId="4B328A5B">
      <w:pPr>
        <w:adjustRightInd w:val="0"/>
        <w:snapToGrid w:val="0"/>
        <w:spacing w:line="600" w:lineRule="exact"/>
        <w:ind w:firstLine="640" w:firstLineChars="200"/>
        <w:rPr>
          <w:rFonts w:ascii="仿宋_GB2312" w:hAnsi="宋体" w:eastAsia="仿宋_GB2312"/>
          <w:sz w:val="32"/>
          <w:szCs w:val="32"/>
          <w:bdr w:val="single" w:color="auto" w:sz="4" w:space="0"/>
          <w:lang w:val="zh-CN"/>
        </w:rPr>
      </w:pPr>
      <w:r>
        <w:rPr>
          <w:rFonts w:hint="eastAsia" w:ascii="仿宋_GB2312" w:hAnsi="宋体" w:eastAsia="仿宋_GB2312"/>
          <w:sz w:val="32"/>
          <w:szCs w:val="32"/>
          <w:lang w:val="zh-CN"/>
        </w:rPr>
        <w:t>总体较好。</w:t>
      </w:r>
    </w:p>
    <w:p w14:paraId="1D756184">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14:paraId="35906645">
      <w:pPr>
        <w:adjustRightInd w:val="0"/>
        <w:snapToGrid w:val="0"/>
        <w:spacing w:line="60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无。</w:t>
      </w:r>
      <w:r>
        <w:rPr>
          <w:rFonts w:hint="eastAsia" w:ascii="仿宋_GB2312" w:hAnsi="宋体" w:eastAsia="仿宋_GB2312"/>
          <w:sz w:val="32"/>
          <w:szCs w:val="32"/>
          <w:lang w:val="zh-CN"/>
        </w:rPr>
        <w:tab/>
      </w:r>
    </w:p>
    <w:p w14:paraId="2268F40B">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14:paraId="0649C9FB">
      <w:pPr>
        <w:spacing w:line="560" w:lineRule="exact"/>
        <w:ind w:firstLine="640" w:firstLineChars="200"/>
        <w:jc w:val="left"/>
        <w:rPr>
          <w:rFonts w:eastAsia="仿宋_GB2312"/>
          <w:sz w:val="32"/>
          <w:szCs w:val="32"/>
        </w:rPr>
      </w:pPr>
      <w:r>
        <w:rPr>
          <w:rFonts w:hint="eastAsia" w:eastAsia="仿宋_GB2312"/>
          <w:sz w:val="32"/>
          <w:szCs w:val="32"/>
        </w:rPr>
        <w:t>我镇较好的执行了2019年度部门项目支出绩效目标，各项支出都严格按预算要求执行，专项资金也做到专款专用，按时按要求拨付各项费用，同时，按部门预算科学合理使用财政资金，充分发挥资金利用效率，但在预算绩效目标中仍有一些问题。下一步，我镇一是制定具体措施，确定专人负责，有效开展绩效管理工作，发现问题及时更正，保证资金安全及项目的正常运行。二是强化项目资金使用，对专项资金预算绩效目标进行及时跟踪，让资金管理人、使用人清楚明白“钱怎么花的、花的怎么样、存在什么责任”，对预算执行精细化，加快资金拨付进度。三是及时预控、查找资金使用和管理过程中的薄弱环节，对本年度尚未启用的预算资金、沉淀的资金及时安排调整，对还未拨付的资金加快拨付进度，确保后续绩效目标的实现提供有力支撑。</w:t>
      </w:r>
    </w:p>
    <w:p w14:paraId="33BF81A1">
      <w:pPr>
        <w:spacing w:line="580" w:lineRule="exact"/>
        <w:ind w:firstLine="640"/>
        <w:rPr>
          <w:rFonts w:ascii="仿宋_GB2312" w:hAnsi="仿宋_GB2312" w:eastAsia="仿宋_GB2312" w:cs="仿宋_GB2312"/>
          <w:sz w:val="32"/>
          <w:szCs w:val="32"/>
        </w:rPr>
      </w:pPr>
    </w:p>
    <w:p w14:paraId="33B396C2">
      <w:pPr>
        <w:spacing w:line="580" w:lineRule="exact"/>
        <w:ind w:firstLine="640"/>
        <w:rPr>
          <w:rFonts w:ascii="仿宋_GB2312" w:hAnsi="仿宋_GB2312" w:eastAsia="仿宋_GB2312" w:cs="仿宋_GB2312"/>
          <w:sz w:val="32"/>
          <w:szCs w:val="32"/>
        </w:rPr>
      </w:pPr>
    </w:p>
    <w:p w14:paraId="1A5F86FC">
      <w:pPr>
        <w:widowControl/>
        <w:jc w:val="left"/>
        <w:rPr>
          <w:rStyle w:val="27"/>
          <w:rFonts w:ascii="黑体" w:hAnsi="黑体" w:eastAsia="黑体"/>
          <w:b w:val="0"/>
        </w:rPr>
      </w:pPr>
    </w:p>
    <w:p w14:paraId="51C84DD7">
      <w:pPr>
        <w:widowControl/>
        <w:jc w:val="left"/>
        <w:rPr>
          <w:rStyle w:val="27"/>
          <w:rFonts w:ascii="黑体" w:hAnsi="黑体" w:eastAsia="黑体"/>
          <w:b w:val="0"/>
        </w:rPr>
      </w:pPr>
      <w:r>
        <w:rPr>
          <w:rStyle w:val="27"/>
          <w:rFonts w:ascii="黑体" w:hAnsi="黑体" w:eastAsia="黑体"/>
          <w:b w:val="0"/>
        </w:rPr>
        <w:br w:type="page"/>
      </w:r>
    </w:p>
    <w:p w14:paraId="6DB2704D">
      <w:pPr>
        <w:spacing w:line="600" w:lineRule="exact"/>
        <w:jc w:val="center"/>
        <w:outlineLvl w:val="0"/>
        <w:rPr>
          <w:rStyle w:val="27"/>
          <w:rFonts w:ascii="黑体" w:hAnsi="黑体" w:eastAsia="黑体"/>
          <w:b w:val="0"/>
        </w:rPr>
      </w:pPr>
    </w:p>
    <w:p w14:paraId="6C157A84">
      <w:pPr>
        <w:spacing w:line="600" w:lineRule="exact"/>
        <w:jc w:val="center"/>
        <w:outlineLvl w:val="0"/>
        <w:rPr>
          <w:rStyle w:val="27"/>
          <w:rFonts w:ascii="黑体" w:hAnsi="黑体" w:eastAsia="黑体"/>
          <w:b w:val="0"/>
        </w:rPr>
      </w:pPr>
      <w:bookmarkStart w:id="91" w:name="_Toc15396618"/>
      <w:bookmarkStart w:id="92" w:name="_Toc52180099"/>
      <w:r>
        <w:rPr>
          <w:rFonts w:hint="eastAsia" w:ascii="黑体" w:hAnsi="黑体" w:eastAsia="黑体"/>
          <w:color w:val="000000"/>
          <w:sz w:val="44"/>
          <w:szCs w:val="44"/>
        </w:rPr>
        <w:t>第</w:t>
      </w:r>
      <w:r>
        <w:rPr>
          <w:rStyle w:val="27"/>
          <w:rFonts w:hint="eastAsia" w:ascii="黑体" w:hAnsi="黑体" w:eastAsia="黑体"/>
          <w:b w:val="0"/>
        </w:rPr>
        <w:t>五部分 附表</w:t>
      </w:r>
      <w:bookmarkEnd w:id="88"/>
      <w:bookmarkEnd w:id="91"/>
      <w:bookmarkEnd w:id="92"/>
    </w:p>
    <w:p w14:paraId="02FE4051">
      <w:pPr>
        <w:spacing w:line="600" w:lineRule="exact"/>
        <w:jc w:val="center"/>
        <w:outlineLvl w:val="0"/>
        <w:rPr>
          <w:rFonts w:ascii="仿宋" w:hAnsi="仿宋" w:eastAsia="仿宋"/>
          <w:b/>
          <w:color w:val="000000"/>
          <w:sz w:val="44"/>
          <w:szCs w:val="44"/>
        </w:rPr>
      </w:pPr>
    </w:p>
    <w:p w14:paraId="369CF0B2">
      <w:pPr>
        <w:pStyle w:val="3"/>
        <w:rPr>
          <w:rFonts w:ascii="仿宋" w:hAnsi="仿宋" w:eastAsia="仿宋"/>
          <w:color w:val="000000"/>
        </w:rPr>
      </w:pPr>
      <w:bookmarkStart w:id="93" w:name="_Toc15396619"/>
      <w:bookmarkStart w:id="94" w:name="_Toc52180100"/>
      <w:r>
        <w:rPr>
          <w:rFonts w:hint="eastAsia" w:ascii="仿宋" w:hAnsi="仿宋" w:eastAsia="仿宋"/>
          <w:b w:val="0"/>
          <w:color w:val="000000"/>
        </w:rPr>
        <w:t>一、收</w:t>
      </w:r>
      <w:r>
        <w:rPr>
          <w:rStyle w:val="28"/>
          <w:rFonts w:hint="eastAsia" w:ascii="仿宋" w:hAnsi="仿宋" w:eastAsia="仿宋"/>
          <w:b w:val="0"/>
          <w:bCs w:val="0"/>
        </w:rPr>
        <w:t>入支出决算总表</w:t>
      </w:r>
      <w:bookmarkEnd w:id="93"/>
      <w:bookmarkEnd w:id="94"/>
    </w:p>
    <w:p w14:paraId="3D541B79">
      <w:pPr>
        <w:pStyle w:val="3"/>
        <w:rPr>
          <w:rFonts w:ascii="仿宋" w:hAnsi="仿宋" w:eastAsia="仿宋"/>
          <w:color w:val="000000"/>
        </w:rPr>
      </w:pPr>
      <w:bookmarkStart w:id="95" w:name="_Toc15396620"/>
      <w:bookmarkStart w:id="96" w:name="_Toc52180101"/>
      <w:r>
        <w:rPr>
          <w:rFonts w:hint="eastAsia" w:ascii="仿宋" w:hAnsi="仿宋" w:eastAsia="仿宋"/>
          <w:b w:val="0"/>
          <w:color w:val="000000"/>
        </w:rPr>
        <w:t>二、收</w:t>
      </w:r>
      <w:r>
        <w:rPr>
          <w:rStyle w:val="28"/>
          <w:rFonts w:hint="eastAsia" w:ascii="仿宋" w:hAnsi="仿宋" w:eastAsia="仿宋"/>
          <w:b w:val="0"/>
          <w:bCs w:val="0"/>
        </w:rPr>
        <w:t>入决算表</w:t>
      </w:r>
      <w:bookmarkEnd w:id="95"/>
      <w:bookmarkEnd w:id="96"/>
    </w:p>
    <w:p w14:paraId="169117A0">
      <w:pPr>
        <w:pStyle w:val="3"/>
        <w:rPr>
          <w:rFonts w:ascii="仿宋" w:hAnsi="仿宋" w:eastAsia="仿宋"/>
          <w:color w:val="000000"/>
        </w:rPr>
      </w:pPr>
      <w:bookmarkStart w:id="97" w:name="_Toc15396621"/>
      <w:bookmarkStart w:id="98" w:name="_Toc52180102"/>
      <w:r>
        <w:rPr>
          <w:rStyle w:val="28"/>
          <w:rFonts w:hint="eastAsia" w:ascii="仿宋" w:hAnsi="仿宋" w:eastAsia="仿宋"/>
          <w:b w:val="0"/>
          <w:bCs w:val="0"/>
        </w:rPr>
        <w:t>三、</w:t>
      </w:r>
      <w:r>
        <w:rPr>
          <w:rFonts w:hint="eastAsia" w:ascii="仿宋" w:hAnsi="仿宋" w:eastAsia="仿宋"/>
          <w:b w:val="0"/>
          <w:color w:val="000000"/>
        </w:rPr>
        <w:t>支</w:t>
      </w:r>
      <w:r>
        <w:rPr>
          <w:rStyle w:val="28"/>
          <w:rFonts w:hint="eastAsia" w:ascii="仿宋" w:hAnsi="仿宋" w:eastAsia="仿宋"/>
          <w:b w:val="0"/>
          <w:bCs w:val="0"/>
        </w:rPr>
        <w:t>出决算表</w:t>
      </w:r>
      <w:bookmarkEnd w:id="97"/>
      <w:bookmarkEnd w:id="98"/>
    </w:p>
    <w:p w14:paraId="03F5EB69">
      <w:pPr>
        <w:pStyle w:val="3"/>
        <w:rPr>
          <w:rFonts w:ascii="仿宋" w:hAnsi="仿宋" w:eastAsia="仿宋"/>
          <w:b w:val="0"/>
          <w:color w:val="000000"/>
        </w:rPr>
      </w:pPr>
      <w:bookmarkStart w:id="99" w:name="_Toc15396622"/>
      <w:bookmarkStart w:id="100" w:name="_Toc52180103"/>
      <w:r>
        <w:rPr>
          <w:rStyle w:val="28"/>
          <w:rFonts w:hint="eastAsia" w:ascii="仿宋" w:hAnsi="仿宋" w:eastAsia="仿宋"/>
          <w:b w:val="0"/>
          <w:bCs w:val="0"/>
        </w:rPr>
        <w:t>四、</w:t>
      </w:r>
      <w:r>
        <w:rPr>
          <w:rFonts w:hint="eastAsia" w:ascii="仿宋" w:hAnsi="仿宋" w:eastAsia="仿宋"/>
          <w:b w:val="0"/>
          <w:color w:val="000000"/>
        </w:rPr>
        <w:t>财</w:t>
      </w:r>
      <w:r>
        <w:rPr>
          <w:rStyle w:val="28"/>
          <w:rFonts w:hint="eastAsia" w:ascii="仿宋" w:hAnsi="仿宋" w:eastAsia="仿宋"/>
          <w:b w:val="0"/>
          <w:bCs w:val="0"/>
        </w:rPr>
        <w:t>政拨款收入支出决算总表</w:t>
      </w:r>
      <w:bookmarkEnd w:id="99"/>
      <w:bookmarkEnd w:id="100"/>
    </w:p>
    <w:p w14:paraId="36177812">
      <w:pPr>
        <w:pStyle w:val="3"/>
        <w:rPr>
          <w:rStyle w:val="28"/>
          <w:rFonts w:ascii="仿宋" w:hAnsi="仿宋" w:eastAsia="仿宋"/>
          <w:b w:val="0"/>
          <w:bCs w:val="0"/>
        </w:rPr>
      </w:pPr>
      <w:bookmarkStart w:id="101" w:name="_Toc15396623"/>
      <w:bookmarkStart w:id="102" w:name="_Toc52180104"/>
      <w:r>
        <w:rPr>
          <w:rStyle w:val="28"/>
          <w:rFonts w:hint="eastAsia" w:ascii="仿宋" w:hAnsi="仿宋" w:eastAsia="仿宋"/>
          <w:b w:val="0"/>
          <w:bCs w:val="0"/>
        </w:rPr>
        <w:t>五、</w:t>
      </w:r>
      <w:r>
        <w:rPr>
          <w:rFonts w:hint="eastAsia" w:ascii="仿宋" w:hAnsi="仿宋" w:eastAsia="仿宋"/>
          <w:b w:val="0"/>
          <w:color w:val="000000"/>
        </w:rPr>
        <w:t>财</w:t>
      </w:r>
      <w:r>
        <w:rPr>
          <w:rStyle w:val="28"/>
          <w:rFonts w:hint="eastAsia" w:ascii="仿宋" w:hAnsi="仿宋" w:eastAsia="仿宋"/>
          <w:b w:val="0"/>
          <w:bCs w:val="0"/>
        </w:rPr>
        <w:t>政拨款支出决算明细表</w:t>
      </w:r>
      <w:bookmarkEnd w:id="101"/>
      <w:bookmarkEnd w:id="102"/>
      <w:bookmarkStart w:id="103" w:name="_Toc15396624"/>
    </w:p>
    <w:p w14:paraId="34955B78">
      <w:pPr>
        <w:pStyle w:val="3"/>
        <w:rPr>
          <w:rFonts w:ascii="仿宋" w:hAnsi="仿宋" w:eastAsia="仿宋"/>
          <w:color w:val="000000"/>
        </w:rPr>
      </w:pPr>
      <w:bookmarkStart w:id="104" w:name="_Toc52180105"/>
      <w:r>
        <w:rPr>
          <w:rStyle w:val="28"/>
          <w:rFonts w:hint="eastAsia" w:ascii="仿宋" w:hAnsi="仿宋" w:eastAsia="仿宋"/>
          <w:b w:val="0"/>
          <w:bCs w:val="0"/>
        </w:rPr>
        <w:t>六、</w:t>
      </w:r>
      <w:r>
        <w:rPr>
          <w:rFonts w:hint="eastAsia" w:ascii="仿宋" w:hAnsi="仿宋" w:eastAsia="仿宋"/>
          <w:b w:val="0"/>
          <w:color w:val="000000"/>
        </w:rPr>
        <w:t>一</w:t>
      </w:r>
      <w:r>
        <w:rPr>
          <w:rStyle w:val="28"/>
          <w:rFonts w:hint="eastAsia" w:ascii="仿宋" w:hAnsi="仿宋" w:eastAsia="仿宋"/>
          <w:b w:val="0"/>
          <w:bCs w:val="0"/>
        </w:rPr>
        <w:t>般公共预算财政拨款支出决算表</w:t>
      </w:r>
      <w:bookmarkEnd w:id="103"/>
      <w:bookmarkEnd w:id="104"/>
    </w:p>
    <w:p w14:paraId="5490ACAF">
      <w:pPr>
        <w:pStyle w:val="3"/>
        <w:rPr>
          <w:rFonts w:ascii="仿宋" w:hAnsi="仿宋" w:eastAsia="仿宋"/>
          <w:color w:val="000000"/>
        </w:rPr>
      </w:pPr>
      <w:bookmarkStart w:id="105" w:name="_Toc15396625"/>
      <w:bookmarkStart w:id="106" w:name="_Toc52180106"/>
      <w:r>
        <w:rPr>
          <w:rStyle w:val="28"/>
          <w:rFonts w:hint="eastAsia" w:ascii="仿宋" w:hAnsi="仿宋" w:eastAsia="仿宋"/>
          <w:b w:val="0"/>
          <w:bCs w:val="0"/>
        </w:rPr>
        <w:t>七、</w:t>
      </w:r>
      <w:r>
        <w:rPr>
          <w:rFonts w:hint="eastAsia" w:ascii="仿宋" w:hAnsi="仿宋" w:eastAsia="仿宋"/>
          <w:b w:val="0"/>
          <w:color w:val="000000"/>
        </w:rPr>
        <w:t>一</w:t>
      </w:r>
      <w:r>
        <w:rPr>
          <w:rStyle w:val="28"/>
          <w:rFonts w:hint="eastAsia" w:ascii="仿宋" w:hAnsi="仿宋" w:eastAsia="仿宋"/>
          <w:b w:val="0"/>
          <w:bCs w:val="0"/>
        </w:rPr>
        <w:t>般公共预算财政拨款支出决算明细表</w:t>
      </w:r>
      <w:bookmarkEnd w:id="105"/>
      <w:bookmarkEnd w:id="106"/>
    </w:p>
    <w:p w14:paraId="64EF1184">
      <w:pPr>
        <w:pStyle w:val="3"/>
        <w:rPr>
          <w:rFonts w:ascii="仿宋" w:hAnsi="仿宋" w:eastAsia="仿宋"/>
          <w:color w:val="000000"/>
        </w:rPr>
      </w:pPr>
      <w:bookmarkStart w:id="107" w:name="_Toc15396626"/>
      <w:bookmarkStart w:id="108" w:name="_Toc52180107"/>
      <w:r>
        <w:rPr>
          <w:rStyle w:val="28"/>
          <w:rFonts w:hint="eastAsia" w:ascii="仿宋" w:hAnsi="仿宋" w:eastAsia="仿宋"/>
          <w:b w:val="0"/>
          <w:bCs w:val="0"/>
        </w:rPr>
        <w:t>八、</w:t>
      </w:r>
      <w:r>
        <w:rPr>
          <w:rFonts w:hint="eastAsia" w:ascii="仿宋" w:hAnsi="仿宋" w:eastAsia="仿宋"/>
          <w:b w:val="0"/>
          <w:color w:val="000000"/>
        </w:rPr>
        <w:t>一</w:t>
      </w:r>
      <w:r>
        <w:rPr>
          <w:rStyle w:val="28"/>
          <w:rFonts w:hint="eastAsia" w:ascii="仿宋" w:hAnsi="仿宋" w:eastAsia="仿宋"/>
          <w:b w:val="0"/>
          <w:bCs w:val="0"/>
        </w:rPr>
        <w:t>般公共预算财政拨款基本支出决算表</w:t>
      </w:r>
      <w:bookmarkEnd w:id="107"/>
      <w:bookmarkEnd w:id="108"/>
    </w:p>
    <w:p w14:paraId="3A20DA26">
      <w:pPr>
        <w:pStyle w:val="3"/>
        <w:rPr>
          <w:rFonts w:ascii="仿宋" w:hAnsi="仿宋" w:eastAsia="仿宋"/>
          <w:color w:val="000000"/>
        </w:rPr>
      </w:pPr>
      <w:bookmarkStart w:id="109" w:name="_Toc15396627"/>
      <w:bookmarkStart w:id="110" w:name="_Toc52180108"/>
      <w:r>
        <w:rPr>
          <w:rStyle w:val="28"/>
          <w:rFonts w:hint="eastAsia" w:ascii="仿宋" w:hAnsi="仿宋" w:eastAsia="仿宋"/>
          <w:b w:val="0"/>
          <w:bCs w:val="0"/>
        </w:rPr>
        <w:t>九、</w:t>
      </w:r>
      <w:r>
        <w:rPr>
          <w:rFonts w:hint="eastAsia" w:ascii="仿宋" w:hAnsi="仿宋" w:eastAsia="仿宋"/>
          <w:b w:val="0"/>
          <w:color w:val="000000"/>
        </w:rPr>
        <w:t>一</w:t>
      </w:r>
      <w:r>
        <w:rPr>
          <w:rStyle w:val="28"/>
          <w:rFonts w:hint="eastAsia" w:ascii="仿宋" w:hAnsi="仿宋" w:eastAsia="仿宋"/>
          <w:b w:val="0"/>
          <w:bCs w:val="0"/>
        </w:rPr>
        <w:t>般公共预算财政拨款项目支出决算表</w:t>
      </w:r>
      <w:bookmarkEnd w:id="109"/>
      <w:bookmarkEnd w:id="110"/>
    </w:p>
    <w:p w14:paraId="6A842F3B">
      <w:pPr>
        <w:pStyle w:val="3"/>
        <w:rPr>
          <w:rFonts w:ascii="仿宋" w:hAnsi="仿宋" w:eastAsia="仿宋"/>
          <w:color w:val="000000"/>
        </w:rPr>
      </w:pPr>
      <w:bookmarkStart w:id="111" w:name="_Toc15396628"/>
      <w:bookmarkStart w:id="112" w:name="_Toc52180109"/>
      <w:r>
        <w:rPr>
          <w:rStyle w:val="28"/>
          <w:rFonts w:hint="eastAsia" w:ascii="仿宋" w:hAnsi="仿宋" w:eastAsia="仿宋"/>
          <w:b w:val="0"/>
          <w:bCs w:val="0"/>
        </w:rPr>
        <w:t>十、</w:t>
      </w:r>
      <w:r>
        <w:rPr>
          <w:rFonts w:hint="eastAsia" w:ascii="仿宋" w:hAnsi="仿宋" w:eastAsia="仿宋"/>
          <w:b w:val="0"/>
          <w:color w:val="000000"/>
        </w:rPr>
        <w:t>一</w:t>
      </w:r>
      <w:r>
        <w:rPr>
          <w:rStyle w:val="28"/>
          <w:rFonts w:hint="eastAsia" w:ascii="仿宋" w:hAnsi="仿宋" w:eastAsia="仿宋"/>
          <w:b w:val="0"/>
          <w:bCs w:val="0"/>
        </w:rPr>
        <w:t>般公共预算财政拨款“三公”经费支出决算表</w:t>
      </w:r>
      <w:bookmarkEnd w:id="111"/>
      <w:bookmarkEnd w:id="112"/>
    </w:p>
    <w:p w14:paraId="5305A42B">
      <w:pPr>
        <w:pStyle w:val="3"/>
        <w:rPr>
          <w:rFonts w:ascii="仿宋" w:hAnsi="仿宋" w:eastAsia="仿宋"/>
          <w:color w:val="000000"/>
        </w:rPr>
      </w:pPr>
      <w:bookmarkStart w:id="113" w:name="_Toc15396629"/>
      <w:bookmarkStart w:id="114" w:name="_Toc52180110"/>
      <w:r>
        <w:rPr>
          <w:rStyle w:val="28"/>
          <w:rFonts w:hint="eastAsia" w:ascii="仿宋" w:hAnsi="仿宋" w:eastAsia="仿宋"/>
          <w:b w:val="0"/>
          <w:bCs w:val="0"/>
        </w:rPr>
        <w:t>十一、</w:t>
      </w:r>
      <w:r>
        <w:rPr>
          <w:rFonts w:hint="eastAsia" w:ascii="仿宋" w:hAnsi="仿宋" w:eastAsia="仿宋"/>
          <w:b w:val="0"/>
          <w:color w:val="000000"/>
        </w:rPr>
        <w:t>政</w:t>
      </w:r>
      <w:r>
        <w:rPr>
          <w:rStyle w:val="28"/>
          <w:rFonts w:hint="eastAsia" w:ascii="仿宋" w:hAnsi="仿宋" w:eastAsia="仿宋"/>
          <w:b w:val="0"/>
          <w:bCs w:val="0"/>
        </w:rPr>
        <w:t>府性基金预算财政拨款收入支出决算表</w:t>
      </w:r>
      <w:bookmarkEnd w:id="113"/>
      <w:bookmarkEnd w:id="114"/>
    </w:p>
    <w:p w14:paraId="63E8E7FE">
      <w:pPr>
        <w:pStyle w:val="3"/>
        <w:rPr>
          <w:rFonts w:ascii="仿宋" w:hAnsi="仿宋" w:eastAsia="仿宋"/>
          <w:color w:val="000000"/>
        </w:rPr>
      </w:pPr>
      <w:bookmarkStart w:id="115" w:name="_Toc15396630"/>
      <w:bookmarkStart w:id="116" w:name="_Toc52180111"/>
      <w:r>
        <w:rPr>
          <w:rStyle w:val="28"/>
          <w:rFonts w:hint="eastAsia" w:ascii="仿宋" w:hAnsi="仿宋" w:eastAsia="仿宋"/>
          <w:b w:val="0"/>
          <w:bCs w:val="0"/>
        </w:rPr>
        <w:t>十二、</w:t>
      </w:r>
      <w:r>
        <w:rPr>
          <w:rFonts w:hint="eastAsia" w:ascii="仿宋" w:hAnsi="仿宋" w:eastAsia="仿宋"/>
          <w:b w:val="0"/>
          <w:color w:val="000000"/>
        </w:rPr>
        <w:t>政</w:t>
      </w:r>
      <w:r>
        <w:rPr>
          <w:rStyle w:val="28"/>
          <w:rFonts w:hint="eastAsia" w:ascii="仿宋" w:hAnsi="仿宋" w:eastAsia="仿宋"/>
          <w:b w:val="0"/>
          <w:bCs w:val="0"/>
        </w:rPr>
        <w:t>府性基金预算财政拨款“三公”经费支出决算表</w:t>
      </w:r>
      <w:bookmarkEnd w:id="115"/>
      <w:bookmarkEnd w:id="116"/>
    </w:p>
    <w:p w14:paraId="2612D0A0">
      <w:pPr>
        <w:pStyle w:val="3"/>
        <w:rPr>
          <w:rFonts w:ascii="仿宋" w:hAnsi="仿宋" w:eastAsia="仿宋"/>
          <w:color w:val="000000"/>
        </w:rPr>
      </w:pPr>
      <w:bookmarkStart w:id="117" w:name="_Toc15396631"/>
      <w:bookmarkStart w:id="118" w:name="_Toc52180112"/>
      <w:r>
        <w:rPr>
          <w:rStyle w:val="28"/>
          <w:rFonts w:hint="eastAsia" w:ascii="仿宋" w:hAnsi="仿宋" w:eastAsia="仿宋"/>
          <w:b w:val="0"/>
          <w:bCs w:val="0"/>
        </w:rPr>
        <w:t>十三、</w:t>
      </w:r>
      <w:r>
        <w:rPr>
          <w:rFonts w:hint="eastAsia" w:ascii="仿宋" w:hAnsi="仿宋" w:eastAsia="仿宋"/>
          <w:b w:val="0"/>
          <w:color w:val="000000"/>
        </w:rPr>
        <w:t>国</w:t>
      </w:r>
      <w:r>
        <w:rPr>
          <w:rStyle w:val="28"/>
          <w:rFonts w:hint="eastAsia" w:ascii="仿宋" w:hAnsi="仿宋" w:eastAsia="仿宋"/>
          <w:b w:val="0"/>
          <w:bCs w:val="0"/>
        </w:rPr>
        <w:t>有资本经营预算支出决算表</w:t>
      </w:r>
      <w:bookmarkEnd w:id="117"/>
      <w:bookmarkEnd w:id="118"/>
    </w:p>
    <w:sectPr>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759B5">
    <w:pPr>
      <w:pStyle w:val="9"/>
      <w:jc w:val="center"/>
    </w:pPr>
    <w:r>
      <w:fldChar w:fldCharType="begin"/>
    </w:r>
    <w:r>
      <w:instrText xml:space="preserve">PAGE   \* MERGEFORMAT</w:instrText>
    </w:r>
    <w:r>
      <w:fldChar w:fldCharType="separate"/>
    </w:r>
    <w:r>
      <w:rPr>
        <w:lang w:val="zh-CN"/>
      </w:rPr>
      <w:t>29</w:t>
    </w:r>
    <w:r>
      <w:rPr>
        <w:lang w:val="zh-CN"/>
      </w:rPr>
      <w:fldChar w:fldCharType="end"/>
    </w:r>
  </w:p>
  <w:p w14:paraId="0FFA0D10">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BE2D0">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5F783726"/>
    <w:multiLevelType w:val="singleLevel"/>
    <w:tmpl w:val="5F783726"/>
    <w:lvl w:ilvl="0" w:tentative="0">
      <w:start w:val="2"/>
      <w:numFmt w:val="chineseCounting"/>
      <w:suff w:val="nothing"/>
      <w:lvlText w:val="（%1）"/>
      <w:lvlJc w:val="left"/>
    </w:lvl>
  </w:abstractNum>
  <w:abstractNum w:abstractNumId="4">
    <w:nsid w:val="5F8A4E0C"/>
    <w:multiLevelType w:val="singleLevel"/>
    <w:tmpl w:val="5F8A4E0C"/>
    <w:lvl w:ilvl="0" w:tentative="0">
      <w:start w:val="1"/>
      <w:numFmt w:val="decimal"/>
      <w:suff w:val="nothing"/>
      <w:lvlText w:val="%1."/>
      <w:lvlJc w:val="left"/>
    </w:lvl>
  </w:abstractNum>
  <w:abstractNum w:abstractNumId="5">
    <w:nsid w:val="5F8A5DE1"/>
    <w:multiLevelType w:val="singleLevel"/>
    <w:tmpl w:val="5F8A5DE1"/>
    <w:lvl w:ilvl="0" w:tentative="0">
      <w:start w:val="2"/>
      <w:numFmt w:val="chineseCounting"/>
      <w:suff w:val="nothing"/>
      <w:lvlText w:val="（%1）"/>
      <w:lvlJc w:val="left"/>
    </w:lvl>
  </w:abstractNum>
  <w:abstractNum w:abstractNumId="6">
    <w:nsid w:val="5F8A5E92"/>
    <w:multiLevelType w:val="singleLevel"/>
    <w:tmpl w:val="5F8A5E92"/>
    <w:lvl w:ilvl="0" w:tentative="0">
      <w:start w:val="3"/>
      <w:numFmt w:val="chineseCounting"/>
      <w:suff w:val="nothing"/>
      <w:lvlText w:val="（%1）"/>
      <w:lvlJc w:val="left"/>
    </w:lvl>
  </w:abstractNum>
  <w:abstractNum w:abstractNumId="7">
    <w:nsid w:val="5F8A6784"/>
    <w:multiLevelType w:val="singleLevel"/>
    <w:tmpl w:val="5F8A6784"/>
    <w:lvl w:ilvl="0" w:tentative="0">
      <w:start w:val="1"/>
      <w:numFmt w:val="decimal"/>
      <w:suff w:val="nothing"/>
      <w:lvlText w:val="%1."/>
      <w:lvlJc w:val="left"/>
    </w:lvl>
  </w:abstractNum>
  <w:abstractNum w:abstractNumId="8">
    <w:nsid w:val="5F8A67FA"/>
    <w:multiLevelType w:val="singleLevel"/>
    <w:tmpl w:val="5F8A67FA"/>
    <w:lvl w:ilvl="0" w:tentative="0">
      <w:start w:val="2"/>
      <w:numFmt w:val="decimal"/>
      <w:suff w:val="nothing"/>
      <w:lvlText w:val="%1."/>
      <w:lvlJc w:val="left"/>
    </w:lvl>
  </w:abstractNum>
  <w:abstractNum w:abstractNumId="9">
    <w:nsid w:val="5F8A6B90"/>
    <w:multiLevelType w:val="singleLevel"/>
    <w:tmpl w:val="5F8A6B90"/>
    <w:lvl w:ilvl="0" w:tentative="0">
      <w:start w:val="2"/>
      <w:numFmt w:val="chineseCounting"/>
      <w:suff w:val="nothing"/>
      <w:lvlText w:val="（%1）"/>
      <w:lvlJc w:val="left"/>
    </w:lvl>
  </w:abstractNum>
  <w:abstractNum w:abstractNumId="10">
    <w:nsid w:val="5F8A76BE"/>
    <w:multiLevelType w:val="singleLevel"/>
    <w:tmpl w:val="5F8A76BE"/>
    <w:lvl w:ilvl="0" w:tentative="0">
      <w:start w:val="4"/>
      <w:numFmt w:val="chineseCounting"/>
      <w:suff w:val="nothing"/>
      <w:lvlText w:val="（%1）"/>
      <w:lvlJc w:val="left"/>
    </w:lvl>
  </w:abstractNum>
  <w:abstractNum w:abstractNumId="11">
    <w:nsid w:val="5F8A76EB"/>
    <w:multiLevelType w:val="singleLevel"/>
    <w:tmpl w:val="5F8A76EB"/>
    <w:lvl w:ilvl="0" w:tentative="0">
      <w:start w:val="4"/>
      <w:numFmt w:val="chineseCounting"/>
      <w:suff w:val="nothing"/>
      <w:lvlText w:val="%1、"/>
      <w:lvlJc w:val="left"/>
    </w:lvl>
  </w:abstractNum>
  <w:abstractNum w:abstractNumId="12">
    <w:nsid w:val="5F8A7751"/>
    <w:multiLevelType w:val="singleLevel"/>
    <w:tmpl w:val="5F8A7751"/>
    <w:lvl w:ilvl="0" w:tentative="0">
      <w:start w:val="5"/>
      <w:numFmt w:val="chineseCounting"/>
      <w:suff w:val="nothing"/>
      <w:lvlText w:val="%1、"/>
      <w:lvlJc w:val="left"/>
    </w:lvl>
  </w:abstractNum>
  <w:num w:numId="1">
    <w:abstractNumId w:val="2"/>
  </w:num>
  <w:num w:numId="2">
    <w:abstractNumId w:val="4"/>
  </w:num>
  <w:num w:numId="3">
    <w:abstractNumId w:val="0"/>
  </w:num>
  <w:num w:numId="4">
    <w:abstractNumId w:val="1"/>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wOWEzYWI4NmU4MDRmMzg2MThmNzE5MTE2MDU4NTkifQ=="/>
  </w:docVars>
  <w:rsids>
    <w:rsidRoot w:val="00277887"/>
    <w:rsid w:val="00032090"/>
    <w:rsid w:val="00277887"/>
    <w:rsid w:val="002F5C31"/>
    <w:rsid w:val="00A36E26"/>
    <w:rsid w:val="00F9178C"/>
    <w:rsid w:val="206C46C2"/>
    <w:rsid w:val="3D4870A5"/>
    <w:rsid w:val="77E30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99" w:semiHidden="0" w:name="Strong"/>
    <w:lsdException w:qFormat="1" w:unhideWhenUsed="0" w:uiPriority="20" w:semiHidden="0" w:name="Emphasis"/>
    <w:lsdException w:uiPriority="0" w:name="Document Map"/>
    <w:lsdException w:qFormat="1"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Cambria" w:hAnsi="Cambria" w:cs="黑体"/>
      <w:b/>
      <w:bCs/>
      <w:sz w:val="32"/>
      <w:szCs w:val="32"/>
    </w:rPr>
  </w:style>
  <w:style w:type="paragraph" w:styleId="4">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6"/>
    <w:qFormat/>
    <w:uiPriority w:val="99"/>
    <w:pPr>
      <w:spacing w:beforeLines="30"/>
    </w:pPr>
    <w:rPr>
      <w:rFonts w:ascii="仿宋_GB2312" w:eastAsia="仿宋_GB2312"/>
      <w:kern w:val="0"/>
      <w:sz w:val="24"/>
      <w:szCs w:val="20"/>
    </w:rPr>
  </w:style>
  <w:style w:type="paragraph" w:styleId="6">
    <w:name w:val="toc 3"/>
    <w:basedOn w:val="1"/>
    <w:next w:val="1"/>
    <w:unhideWhenUsed/>
    <w:qFormat/>
    <w:uiPriority w:val="39"/>
    <w:pPr>
      <w:tabs>
        <w:tab w:val="right" w:leader="dot" w:pos="8296"/>
      </w:tabs>
      <w:ind w:left="840" w:leftChars="400"/>
    </w:pPr>
  </w:style>
  <w:style w:type="paragraph" w:styleId="7">
    <w:name w:val="Plain Text"/>
    <w:semiHidden/>
    <w:unhideWhenUsed/>
    <w:qFormat/>
    <w:uiPriority w:val="0"/>
    <w:rPr>
      <w:rFonts w:ascii="宋体" w:hAnsi="Courier New" w:eastAsia="宋体" w:cs="Calibri"/>
      <w:lang w:val="en-US" w:eastAsia="zh-CN" w:bidi="ar-SA"/>
    </w:rPr>
  </w:style>
  <w:style w:type="paragraph" w:styleId="8">
    <w:name w:val="Balloon Text"/>
    <w:basedOn w:val="1"/>
    <w:link w:val="29"/>
    <w:semiHidden/>
    <w:unhideWhenUsed/>
    <w:qFormat/>
    <w:uiPriority w:val="99"/>
    <w:rPr>
      <w:sz w:val="18"/>
      <w:szCs w:val="18"/>
    </w:rPr>
  </w:style>
  <w:style w:type="paragraph" w:styleId="9">
    <w:name w:val="footer"/>
    <w:basedOn w:val="1"/>
    <w:link w:val="24"/>
    <w:qFormat/>
    <w:uiPriority w:val="99"/>
    <w:pPr>
      <w:tabs>
        <w:tab w:val="center" w:pos="4153"/>
        <w:tab w:val="right" w:pos="8306"/>
      </w:tabs>
      <w:snapToGrid w:val="0"/>
      <w:jc w:val="left"/>
    </w:pPr>
    <w:rPr>
      <w:rFonts w:ascii="Calibri" w:hAnsi="Calibri"/>
      <w:kern w:val="0"/>
      <w:sz w:val="18"/>
      <w:szCs w:val="20"/>
    </w:rPr>
  </w:style>
  <w:style w:type="paragraph" w:styleId="10">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qFormat/>
    <w:uiPriority w:val="99"/>
    <w:rPr>
      <w:b/>
    </w:rPr>
  </w:style>
  <w:style w:type="character" w:styleId="16">
    <w:name w:val="Hyperlink"/>
    <w:unhideWhenUsed/>
    <w:qFormat/>
    <w:uiPriority w:val="99"/>
    <w:rPr>
      <w:color w:val="0000FF"/>
      <w:u w:val="single"/>
    </w:rPr>
  </w:style>
  <w:style w:type="paragraph" w:customStyle="1" w:styleId="1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8">
    <w:name w:val="列出段落1"/>
    <w:basedOn w:val="1"/>
    <w:qFormat/>
    <w:uiPriority w:val="34"/>
    <w:pPr>
      <w:ind w:firstLine="420" w:firstLineChars="200"/>
    </w:pPr>
  </w:style>
  <w:style w:type="paragraph" w:customStyle="1" w:styleId="19">
    <w:name w:val="TOC 标题1"/>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0">
    <w:name w:val="TOC 标题2"/>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character" w:customStyle="1" w:styleId="21">
    <w:name w:val="Header Char"/>
    <w:semiHidden/>
    <w:qFormat/>
    <w:uiPriority w:val="99"/>
    <w:rPr>
      <w:rFonts w:ascii="Times New Roman" w:hAnsi="Times New Roman"/>
      <w:sz w:val="18"/>
      <w:szCs w:val="18"/>
    </w:rPr>
  </w:style>
  <w:style w:type="character" w:customStyle="1" w:styleId="22">
    <w:name w:val="页眉 Char"/>
    <w:link w:val="10"/>
    <w:semiHidden/>
    <w:qFormat/>
    <w:locked/>
    <w:uiPriority w:val="99"/>
    <w:rPr>
      <w:sz w:val="18"/>
    </w:rPr>
  </w:style>
  <w:style w:type="character" w:customStyle="1" w:styleId="23">
    <w:name w:val="Footer Char"/>
    <w:semiHidden/>
    <w:qFormat/>
    <w:uiPriority w:val="99"/>
    <w:rPr>
      <w:rFonts w:ascii="Times New Roman" w:hAnsi="Times New Roman"/>
      <w:sz w:val="18"/>
      <w:szCs w:val="18"/>
    </w:rPr>
  </w:style>
  <w:style w:type="character" w:customStyle="1" w:styleId="24">
    <w:name w:val="页脚 Char"/>
    <w:link w:val="9"/>
    <w:qFormat/>
    <w:locked/>
    <w:uiPriority w:val="99"/>
    <w:rPr>
      <w:sz w:val="18"/>
    </w:rPr>
  </w:style>
  <w:style w:type="character" w:customStyle="1" w:styleId="25">
    <w:name w:val="Body Text Char"/>
    <w:semiHidden/>
    <w:qFormat/>
    <w:uiPriority w:val="99"/>
    <w:rPr>
      <w:rFonts w:ascii="Times New Roman" w:hAnsi="Times New Roman"/>
      <w:szCs w:val="24"/>
    </w:rPr>
  </w:style>
  <w:style w:type="character" w:customStyle="1" w:styleId="26">
    <w:name w:val="正文文本 Char"/>
    <w:link w:val="5"/>
    <w:qFormat/>
    <w:locked/>
    <w:uiPriority w:val="99"/>
    <w:rPr>
      <w:rFonts w:ascii="仿宋_GB2312" w:hAnsi="Times New Roman" w:eastAsia="仿宋_GB2312"/>
      <w:sz w:val="24"/>
    </w:rPr>
  </w:style>
  <w:style w:type="character" w:customStyle="1" w:styleId="27">
    <w:name w:val="标题 1 Char"/>
    <w:link w:val="2"/>
    <w:qFormat/>
    <w:uiPriority w:val="9"/>
    <w:rPr>
      <w:rFonts w:ascii="Times New Roman" w:hAnsi="Times New Roman"/>
      <w:b/>
      <w:bCs/>
      <w:kern w:val="44"/>
      <w:sz w:val="44"/>
      <w:szCs w:val="44"/>
    </w:rPr>
  </w:style>
  <w:style w:type="character" w:customStyle="1" w:styleId="28">
    <w:name w:val="标题 2 Char"/>
    <w:link w:val="3"/>
    <w:qFormat/>
    <w:uiPriority w:val="9"/>
    <w:rPr>
      <w:rFonts w:ascii="Cambria" w:hAnsi="Cambria" w:eastAsia="宋体" w:cs="黑体"/>
      <w:b/>
      <w:bCs/>
      <w:kern w:val="2"/>
      <w:sz w:val="32"/>
      <w:szCs w:val="32"/>
    </w:rPr>
  </w:style>
  <w:style w:type="character" w:customStyle="1" w:styleId="29">
    <w:name w:val="批注框文本 Char"/>
    <w:link w:val="8"/>
    <w:semiHidden/>
    <w:qFormat/>
    <w:uiPriority w:val="99"/>
    <w:rPr>
      <w:rFonts w:ascii="Times New Roman" w:hAnsi="Times New Roman"/>
      <w:kern w:val="2"/>
      <w:sz w:val="18"/>
      <w:szCs w:val="18"/>
    </w:rPr>
  </w:style>
  <w:style w:type="character" w:customStyle="1" w:styleId="30">
    <w:name w:val="标题 3 Char"/>
    <w:link w:val="4"/>
    <w:qFormat/>
    <w:uiPriority w:val="9"/>
    <w:rPr>
      <w:rFonts w:ascii="Times New Roman" w:hAnsi="Times New Roman"/>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39</Pages>
  <Words>13462</Words>
  <Characters>14785</Characters>
  <Lines>111</Lines>
  <Paragraphs>31</Paragraphs>
  <TotalTime>8</TotalTime>
  <ScaleCrop>false</ScaleCrop>
  <LinksUpToDate>false</LinksUpToDate>
  <CharactersWithSpaces>14833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2020-09-28T01:52:00Z</dcterms:created>
  <dc:creator>曹颖</dc:creator>
  <cp:lastModifiedBy>倪国梅</cp:lastModifiedBy>
  <cp:lastPrinted>2020-07-23T02:58:00Z</cp:lastPrinted>
  <dcterms:modified xsi:type="dcterms:W3CDTF">2024-08-02T01:57:43Z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97CCDBBC4DA94903AF9F4EC3C9193C89_13</vt:lpwstr>
  </property>
</Properties>
</file>