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475"/>
      <w:bookmarkStart w:id="2" w:name="_Toc15377425"/>
      <w:bookmarkStart w:id="3" w:name="_Toc15378441"/>
      <w:bookmarkStart w:id="4" w:name="_Toc15396597"/>
      <w:bookmarkStart w:id="5" w:name="_Toc15377193"/>
      <w:r>
        <w:rPr>
          <w:rFonts w:hint="eastAsia" w:ascii="方正小标宋简体" w:hAnsi="方正小标宋简体" w:eastAsia="方正小标宋简体" w:cs="方正小标宋简体"/>
          <w:sz w:val="72"/>
          <w:szCs w:val="72"/>
        </w:rPr>
        <w:t>2022年度</w:t>
      </w:r>
      <w:bookmarkEnd w:id="1"/>
      <w:bookmarkEnd w:id="2"/>
      <w:bookmarkEnd w:id="3"/>
      <w:bookmarkEnd w:id="4"/>
      <w:bookmarkEnd w:id="5"/>
    </w:p>
    <w:bookmarkEnd w:id="0"/>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194"/>
      <w:bookmarkStart w:id="7" w:name="_Toc15396598"/>
      <w:bookmarkStart w:id="8" w:name="_Toc15396476"/>
      <w:bookmarkStart w:id="9" w:name="_Toc15377426"/>
      <w:bookmarkStart w:id="10" w:name="_Toc15378442"/>
      <w:bookmarkStart w:id="11" w:name="_Toc15306268"/>
      <w:r>
        <w:rPr>
          <w:rFonts w:hint="eastAsia" w:ascii="方正小标宋简体" w:hAnsi="方正小标宋简体" w:eastAsia="方正小标宋简体" w:cs="方正小标宋简体"/>
          <w:sz w:val="72"/>
          <w:szCs w:val="72"/>
        </w:rPr>
        <w:t>盐边县乡镇财政事务中心单位决算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pPr>
      <w:r>
        <w:rPr>
          <w:rFonts w:hint="eastAsia"/>
        </w:rPr>
        <w:t>公开时间：2023年</w:t>
      </w:r>
      <w:r>
        <w:rPr>
          <w:rFonts w:hint="eastAsia"/>
          <w:lang w:val="en-US" w:eastAsia="zh-CN"/>
        </w:rPr>
        <w:t>10</w:t>
      </w:r>
      <w:r>
        <w:rPr>
          <w:rFonts w:hint="eastAsia"/>
        </w:rPr>
        <w:t>月</w:t>
      </w:r>
      <w:r>
        <w:rPr>
          <w:rFonts w:hint="eastAsia"/>
          <w:lang w:val="en-US" w:eastAsia="zh-CN"/>
        </w:rPr>
        <w:t>30</w:t>
      </w:r>
      <w:r>
        <w:rPr>
          <w:rFonts w:hint="eastAsia"/>
        </w:rPr>
        <w:t>日</w:t>
      </w:r>
    </w:p>
    <w:p/>
    <w:sdt>
      <w:sdtPr>
        <w:rPr>
          <w:rFonts w:ascii="宋体" w:hAnsi="宋体"/>
        </w:rPr>
        <w:id w:val="147456996"/>
        <w:docPartObj>
          <w:docPartGallery w:val="Table of Contents"/>
          <w:docPartUnique/>
        </w:docPartObj>
      </w:sdtPr>
      <w:sdtEndPr>
        <w:rPr>
          <w:rFonts w:ascii="宋体" w:hAnsi="宋体"/>
          <w:sz w:val="20"/>
          <w:szCs w:val="20"/>
        </w:rPr>
      </w:sdtEndPr>
      <w:sdtContent>
        <w:p>
          <w:pPr>
            <w:jc w:val="center"/>
          </w:pPr>
          <w:bookmarkStart w:id="12" w:name="_Toc15377196"/>
          <w:bookmarkStart w:id="13" w:name="_Toc15396599"/>
        </w:p>
        <w:p>
          <w:pPr>
            <w:pStyle w:val="36"/>
            <w:tabs>
              <w:tab w:val="right" w:leader="dot" w:pos="8306"/>
            </w:tabs>
          </w:pPr>
          <w:r>
            <w:fldChar w:fldCharType="begin"/>
          </w:r>
          <w:r>
            <w:instrText xml:space="preserve"> HYPERLINK \l "_Toc24912_WPSOffice_Level1" </w:instrText>
          </w:r>
          <w:r>
            <w:fldChar w:fldCharType="separate"/>
          </w:r>
          <w:r>
            <w:rPr>
              <w:rFonts w:hint="eastAsia" w:ascii="黑体" w:hAnsi="黑体" w:eastAsia="黑体"/>
              <w:b/>
              <w:bCs/>
            </w:rPr>
            <w:t>第一部分 单位概况</w:t>
          </w:r>
          <w:r>
            <w:rPr>
              <w:b/>
              <w:bCs/>
            </w:rPr>
            <w:tab/>
          </w:r>
          <w:bookmarkStart w:id="14" w:name="_Toc24912_WPSOffice_Level1Page"/>
          <w:r>
            <w:rPr>
              <w:b/>
              <w:bCs/>
            </w:rPr>
            <w:t>3</w:t>
          </w:r>
          <w:bookmarkEnd w:id="14"/>
          <w:r>
            <w:rPr>
              <w:b/>
              <w:bCs/>
            </w:rPr>
            <w:fldChar w:fldCharType="end"/>
          </w:r>
        </w:p>
        <w:p>
          <w:pPr>
            <w:pStyle w:val="37"/>
            <w:tabs>
              <w:tab w:val="right" w:leader="dot" w:pos="8306"/>
            </w:tabs>
            <w:ind w:left="420"/>
          </w:pPr>
          <w:r>
            <w:fldChar w:fldCharType="begin"/>
          </w:r>
          <w:r>
            <w:instrText xml:space="preserve"> HYPERLINK \l "_Toc7854_WPSOffice_Level2" </w:instrText>
          </w:r>
          <w:r>
            <w:fldChar w:fldCharType="separate"/>
          </w:r>
          <w:r>
            <w:rPr>
              <w:rFonts w:hint="eastAsia" w:ascii="黑体" w:hAnsi="黑体" w:eastAsia="黑体" w:cstheme="majorBidi"/>
            </w:rPr>
            <w:t>一、 主要职责</w:t>
          </w:r>
          <w:r>
            <w:tab/>
          </w:r>
          <w:bookmarkStart w:id="15" w:name="_Toc7854_WPSOffice_Level2Page"/>
          <w:r>
            <w:t>3</w:t>
          </w:r>
          <w:bookmarkEnd w:id="15"/>
          <w:r>
            <w:fldChar w:fldCharType="end"/>
          </w:r>
        </w:p>
        <w:p>
          <w:pPr>
            <w:pStyle w:val="37"/>
            <w:tabs>
              <w:tab w:val="right" w:leader="dot" w:pos="8306"/>
            </w:tabs>
            <w:ind w:left="420"/>
          </w:pPr>
          <w:r>
            <w:fldChar w:fldCharType="begin"/>
          </w:r>
          <w:r>
            <w:instrText xml:space="preserve"> HYPERLINK \l "_Toc17761_WPSOffice_Level2" </w:instrText>
          </w:r>
          <w:r>
            <w:fldChar w:fldCharType="separate"/>
          </w:r>
          <w:r>
            <w:rPr>
              <w:rFonts w:hint="eastAsia" w:ascii="黑体" w:hAnsi="黑体" w:eastAsia="黑体" w:cstheme="majorBidi"/>
            </w:rPr>
            <w:t>二、机构设置</w:t>
          </w:r>
          <w:r>
            <w:tab/>
          </w:r>
          <w:bookmarkStart w:id="16" w:name="_Toc17761_WPSOffice_Level2Page"/>
          <w:r>
            <w:t>3</w:t>
          </w:r>
          <w:bookmarkEnd w:id="16"/>
          <w:r>
            <w:fldChar w:fldCharType="end"/>
          </w:r>
        </w:p>
        <w:p>
          <w:pPr>
            <w:pStyle w:val="36"/>
            <w:tabs>
              <w:tab w:val="right" w:leader="dot" w:pos="8306"/>
            </w:tabs>
          </w:pPr>
          <w:r>
            <w:fldChar w:fldCharType="begin"/>
          </w:r>
          <w:r>
            <w:instrText xml:space="preserve"> HYPERLINK \l "_Toc7854_WPSOffice_Level1" </w:instrText>
          </w:r>
          <w:r>
            <w:fldChar w:fldCharType="separate"/>
          </w:r>
          <w:r>
            <w:rPr>
              <w:rFonts w:hint="eastAsia" w:ascii="黑体" w:hAnsi="黑体" w:eastAsia="黑体"/>
              <w:b/>
              <w:bCs/>
            </w:rPr>
            <w:t>第二部分 2022年度单位决算情况说明</w:t>
          </w:r>
          <w:r>
            <w:rPr>
              <w:b/>
              <w:bCs/>
            </w:rPr>
            <w:tab/>
          </w:r>
          <w:bookmarkStart w:id="17" w:name="_Toc7854_WPSOffice_Level1Page"/>
          <w:r>
            <w:rPr>
              <w:b/>
              <w:bCs/>
            </w:rPr>
            <w:t>4</w:t>
          </w:r>
          <w:bookmarkEnd w:id="17"/>
          <w:r>
            <w:rPr>
              <w:b/>
              <w:bCs/>
            </w:rPr>
            <w:fldChar w:fldCharType="end"/>
          </w:r>
        </w:p>
        <w:p>
          <w:pPr>
            <w:pStyle w:val="37"/>
            <w:tabs>
              <w:tab w:val="right" w:leader="dot" w:pos="8306"/>
            </w:tabs>
            <w:ind w:left="420"/>
          </w:pPr>
          <w:r>
            <w:fldChar w:fldCharType="begin"/>
          </w:r>
          <w:r>
            <w:instrText xml:space="preserve"> HYPERLINK \l "_Toc16054_WPSOffice_Level2" </w:instrText>
          </w:r>
          <w:r>
            <w:fldChar w:fldCharType="separate"/>
          </w:r>
          <w:r>
            <w:rPr>
              <w:rFonts w:ascii="黑体" w:hAnsi="黑体" w:eastAsia="黑体" w:cstheme="majorBidi"/>
            </w:rPr>
            <w:t xml:space="preserve">一、 </w:t>
          </w:r>
          <w:r>
            <w:rPr>
              <w:rFonts w:hint="eastAsia" w:ascii="黑体" w:hAnsi="黑体" w:eastAsia="黑体"/>
            </w:rPr>
            <w:t>收</w:t>
          </w:r>
          <w:r>
            <w:rPr>
              <w:rFonts w:hint="eastAsia" w:ascii="黑体" w:hAnsi="黑体" w:eastAsia="黑体" w:cstheme="majorBidi"/>
            </w:rPr>
            <w:t>入支出决算总体情况说明</w:t>
          </w:r>
          <w:r>
            <w:tab/>
          </w:r>
          <w:bookmarkStart w:id="18" w:name="_Toc16054_WPSOffice_Level2Page"/>
          <w:r>
            <w:t>4</w:t>
          </w:r>
          <w:bookmarkEnd w:id="18"/>
          <w:r>
            <w:fldChar w:fldCharType="end"/>
          </w:r>
        </w:p>
        <w:p>
          <w:pPr>
            <w:pStyle w:val="37"/>
            <w:tabs>
              <w:tab w:val="right" w:leader="dot" w:pos="8306"/>
            </w:tabs>
            <w:ind w:left="420"/>
          </w:pPr>
          <w:r>
            <w:fldChar w:fldCharType="begin"/>
          </w:r>
          <w:r>
            <w:instrText xml:space="preserve"> HYPERLINK \l "_Toc25692_WPSOffice_Level2" </w:instrText>
          </w:r>
          <w:r>
            <w:fldChar w:fldCharType="separate"/>
          </w:r>
          <w:r>
            <w:rPr>
              <w:rFonts w:ascii="黑体" w:hAnsi="黑体" w:eastAsia="黑体" w:cstheme="majorBidi"/>
            </w:rPr>
            <w:t xml:space="preserve">二、 </w:t>
          </w:r>
          <w:r>
            <w:rPr>
              <w:rFonts w:hint="eastAsia" w:ascii="黑体" w:hAnsi="黑体" w:eastAsia="黑体"/>
            </w:rPr>
            <w:t>收</w:t>
          </w:r>
          <w:r>
            <w:rPr>
              <w:rFonts w:hint="eastAsia" w:ascii="黑体" w:hAnsi="黑体" w:eastAsia="黑体" w:cstheme="majorBidi"/>
            </w:rPr>
            <w:t>入决算情况说明</w:t>
          </w:r>
          <w:r>
            <w:tab/>
          </w:r>
          <w:bookmarkStart w:id="19" w:name="_Toc25692_WPSOffice_Level2Page"/>
          <w:r>
            <w:t>4</w:t>
          </w:r>
          <w:bookmarkEnd w:id="19"/>
          <w:r>
            <w:fldChar w:fldCharType="end"/>
          </w:r>
        </w:p>
        <w:p>
          <w:pPr>
            <w:pStyle w:val="37"/>
            <w:tabs>
              <w:tab w:val="right" w:leader="dot" w:pos="8306"/>
            </w:tabs>
            <w:ind w:left="420"/>
          </w:pPr>
          <w:r>
            <w:fldChar w:fldCharType="begin"/>
          </w:r>
          <w:r>
            <w:instrText xml:space="preserve"> HYPERLINK \l "_Toc28839_WPSOffice_Level2" </w:instrText>
          </w:r>
          <w:r>
            <w:fldChar w:fldCharType="separate"/>
          </w:r>
          <w:r>
            <w:rPr>
              <w:rFonts w:ascii="黑体" w:hAnsi="黑体" w:eastAsia="黑体" w:cstheme="majorBidi"/>
            </w:rPr>
            <w:t xml:space="preserve">三、 </w:t>
          </w:r>
          <w:r>
            <w:rPr>
              <w:rFonts w:hint="eastAsia" w:ascii="黑体" w:hAnsi="黑体" w:eastAsia="黑体"/>
            </w:rPr>
            <w:t>支</w:t>
          </w:r>
          <w:r>
            <w:rPr>
              <w:rFonts w:hint="eastAsia" w:ascii="黑体" w:hAnsi="黑体" w:eastAsia="黑体" w:cstheme="majorBidi"/>
            </w:rPr>
            <w:t>出决算情况说明</w:t>
          </w:r>
          <w:r>
            <w:tab/>
          </w:r>
          <w:bookmarkStart w:id="20" w:name="_Toc28839_WPSOffice_Level2Page"/>
          <w:r>
            <w:t>5</w:t>
          </w:r>
          <w:bookmarkEnd w:id="20"/>
          <w:r>
            <w:fldChar w:fldCharType="end"/>
          </w:r>
        </w:p>
        <w:p>
          <w:pPr>
            <w:pStyle w:val="37"/>
            <w:tabs>
              <w:tab w:val="right" w:leader="dot" w:pos="8306"/>
            </w:tabs>
            <w:ind w:left="420"/>
          </w:pPr>
          <w:r>
            <w:fldChar w:fldCharType="begin"/>
          </w:r>
          <w:r>
            <w:instrText xml:space="preserve"> HYPERLINK \l "_Toc32131_WPSOffice_Level2" </w:instrText>
          </w:r>
          <w:r>
            <w:fldChar w:fldCharType="separate"/>
          </w:r>
          <w:r>
            <w:rPr>
              <w:rFonts w:hint="eastAsia" w:ascii="黑体" w:hAnsi="黑体" w:eastAsia="黑体"/>
            </w:rPr>
            <w:t>四、财</w:t>
          </w:r>
          <w:r>
            <w:rPr>
              <w:rFonts w:hint="eastAsia" w:ascii="黑体" w:hAnsi="黑体" w:eastAsia="黑体" w:cstheme="majorBidi"/>
            </w:rPr>
            <w:t>政拨款收入支出决算总体情况说明</w:t>
          </w:r>
          <w:r>
            <w:tab/>
          </w:r>
          <w:bookmarkStart w:id="21" w:name="_Toc32131_WPSOffice_Level2Page"/>
          <w:r>
            <w:t>6</w:t>
          </w:r>
          <w:bookmarkEnd w:id="21"/>
          <w:r>
            <w:fldChar w:fldCharType="end"/>
          </w:r>
        </w:p>
        <w:p>
          <w:pPr>
            <w:pStyle w:val="37"/>
            <w:tabs>
              <w:tab w:val="right" w:leader="dot" w:pos="8306"/>
            </w:tabs>
            <w:ind w:left="420"/>
          </w:pPr>
          <w:r>
            <w:fldChar w:fldCharType="begin"/>
          </w:r>
          <w:r>
            <w:instrText xml:space="preserve"> HYPERLINK \l "_Toc1384_WPSOffice_Level2" </w:instrText>
          </w:r>
          <w:r>
            <w:fldChar w:fldCharType="separate"/>
          </w:r>
          <w:r>
            <w:rPr>
              <w:rFonts w:hint="eastAsia" w:ascii="黑体" w:hAnsi="黑体" w:eastAsia="黑体"/>
            </w:rPr>
            <w:t>五、一</w:t>
          </w:r>
          <w:r>
            <w:rPr>
              <w:rFonts w:hint="eastAsia" w:ascii="黑体" w:hAnsi="黑体" w:eastAsia="黑体" w:cstheme="majorBidi"/>
            </w:rPr>
            <w:t>般公共预算财政拨款支出决算情况说明</w:t>
          </w:r>
          <w:r>
            <w:tab/>
          </w:r>
          <w:bookmarkStart w:id="22" w:name="_Toc1384_WPSOffice_Level2Page"/>
          <w:r>
            <w:t>6</w:t>
          </w:r>
          <w:bookmarkEnd w:id="22"/>
          <w:r>
            <w:fldChar w:fldCharType="end"/>
          </w:r>
        </w:p>
        <w:p>
          <w:pPr>
            <w:pStyle w:val="37"/>
            <w:tabs>
              <w:tab w:val="right" w:leader="dot" w:pos="8306"/>
            </w:tabs>
            <w:ind w:left="420"/>
          </w:pPr>
          <w:r>
            <w:fldChar w:fldCharType="begin"/>
          </w:r>
          <w:r>
            <w:instrText xml:space="preserve"> HYPERLINK \l "_Toc22336_WPSOffice_Level2" </w:instrText>
          </w:r>
          <w:r>
            <w:fldChar w:fldCharType="separate"/>
          </w:r>
          <w:r>
            <w:rPr>
              <w:rFonts w:hint="eastAsia" w:ascii="黑体" w:eastAsia="黑体"/>
            </w:rPr>
            <w:t>六、</w:t>
          </w:r>
          <w:r>
            <w:rPr>
              <w:rFonts w:hint="eastAsia" w:ascii="黑体" w:hAnsi="黑体" w:eastAsia="黑体"/>
            </w:rPr>
            <w:t>一</w:t>
          </w:r>
          <w:r>
            <w:rPr>
              <w:rFonts w:hint="eastAsia" w:ascii="黑体" w:hAnsi="黑体" w:eastAsia="黑体" w:cstheme="majorBidi"/>
            </w:rPr>
            <w:t>般公共预算财政拨款基本支出决算情况说明</w:t>
          </w:r>
          <w:r>
            <w:tab/>
          </w:r>
          <w:r>
            <w:rPr>
              <w:rFonts w:hint="eastAsia"/>
              <w:lang w:val="en-US" w:eastAsia="zh-CN"/>
            </w:rPr>
            <w:t>8</w:t>
          </w:r>
          <w:r>
            <w:fldChar w:fldCharType="end"/>
          </w:r>
        </w:p>
        <w:p>
          <w:pPr>
            <w:pStyle w:val="37"/>
            <w:tabs>
              <w:tab w:val="right" w:leader="dot" w:pos="8306"/>
            </w:tabs>
            <w:ind w:left="420"/>
          </w:pPr>
          <w:r>
            <w:fldChar w:fldCharType="begin"/>
          </w:r>
          <w:r>
            <w:instrText xml:space="preserve"> HYPERLINK \l "_Toc1619_WPSOffice_Level2" </w:instrText>
          </w:r>
          <w:r>
            <w:fldChar w:fldCharType="separate"/>
          </w:r>
          <w:r>
            <w:rPr>
              <w:rFonts w:hint="eastAsia" w:ascii="黑体" w:eastAsia="黑体"/>
            </w:rPr>
            <w:t>七、</w:t>
          </w:r>
          <w:r>
            <w:rPr>
              <w:rFonts w:hint="eastAsia" w:ascii="黑体" w:hAnsi="黑体" w:eastAsia="黑体" w:cstheme="majorBidi"/>
            </w:rPr>
            <w:t>财政拨款“三公”经费支出决算情况说明</w:t>
          </w:r>
          <w:r>
            <w:tab/>
          </w:r>
          <w:bookmarkStart w:id="23" w:name="_Toc1619_WPSOffice_Level2Page"/>
          <w:r>
            <w:t>9</w:t>
          </w:r>
          <w:bookmarkEnd w:id="23"/>
          <w:r>
            <w:fldChar w:fldCharType="end"/>
          </w:r>
        </w:p>
        <w:p>
          <w:pPr>
            <w:pStyle w:val="37"/>
            <w:tabs>
              <w:tab w:val="right" w:leader="dot" w:pos="8306"/>
            </w:tabs>
            <w:ind w:left="420"/>
          </w:pPr>
          <w:r>
            <w:fldChar w:fldCharType="begin"/>
          </w:r>
          <w:r>
            <w:instrText xml:space="preserve"> HYPERLINK \l "_Toc10165_WPSOffice_Level2" </w:instrText>
          </w:r>
          <w:r>
            <w:fldChar w:fldCharType="separate"/>
          </w:r>
          <w:r>
            <w:rPr>
              <w:rFonts w:hint="eastAsia" w:ascii="黑体" w:eastAsia="黑体"/>
            </w:rPr>
            <w:t>八、</w:t>
          </w:r>
          <w:r>
            <w:rPr>
              <w:rFonts w:hint="eastAsia" w:ascii="黑体" w:hAnsi="黑体" w:eastAsia="黑体" w:cstheme="majorBidi"/>
            </w:rPr>
            <w:t>政府性基金预算支出决算情况说明</w:t>
          </w:r>
          <w:r>
            <w:tab/>
          </w:r>
          <w:bookmarkStart w:id="24" w:name="_Toc10165_WPSOffice_Level2Page"/>
          <w:r>
            <w:t>1</w:t>
          </w:r>
          <w:bookmarkEnd w:id="24"/>
          <w:r>
            <w:rPr>
              <w:rFonts w:hint="eastAsia"/>
              <w:lang w:val="en-US" w:eastAsia="zh-CN"/>
            </w:rPr>
            <w:t>0</w:t>
          </w:r>
          <w:r>
            <w:fldChar w:fldCharType="end"/>
          </w:r>
        </w:p>
        <w:p>
          <w:pPr>
            <w:pStyle w:val="37"/>
            <w:tabs>
              <w:tab w:val="right" w:leader="dot" w:pos="8306"/>
            </w:tabs>
            <w:ind w:left="420"/>
          </w:pPr>
          <w:r>
            <w:fldChar w:fldCharType="begin"/>
          </w:r>
          <w:r>
            <w:instrText xml:space="preserve"> HYPERLINK \l "_Toc8816_WPSOffice_Level2" </w:instrText>
          </w:r>
          <w:r>
            <w:fldChar w:fldCharType="separate"/>
          </w:r>
          <w:r>
            <w:rPr>
              <w:rFonts w:hint="eastAsia" w:ascii="黑体" w:hAnsi="黑体" w:eastAsia="黑体" w:cstheme="majorBidi"/>
            </w:rPr>
            <w:t>九、 国有资本经营预算支出决算情况说明</w:t>
          </w:r>
          <w:r>
            <w:tab/>
          </w:r>
          <w:bookmarkStart w:id="25" w:name="_Toc8816_WPSOffice_Level2Page"/>
          <w:r>
            <w:t>1</w:t>
          </w:r>
          <w:bookmarkEnd w:id="25"/>
          <w:r>
            <w:rPr>
              <w:rFonts w:hint="eastAsia"/>
              <w:lang w:val="en-US" w:eastAsia="zh-CN"/>
            </w:rPr>
            <w:t>0</w:t>
          </w:r>
          <w:r>
            <w:fldChar w:fldCharType="end"/>
          </w:r>
        </w:p>
        <w:p>
          <w:pPr>
            <w:pStyle w:val="37"/>
            <w:tabs>
              <w:tab w:val="right" w:leader="dot" w:pos="8306"/>
            </w:tabs>
            <w:ind w:left="420"/>
          </w:pPr>
          <w:r>
            <w:fldChar w:fldCharType="begin"/>
          </w:r>
          <w:r>
            <w:instrText xml:space="preserve"> HYPERLINK \l "_Toc5520_WPSOffice_Level2" </w:instrText>
          </w:r>
          <w:r>
            <w:fldChar w:fldCharType="separate"/>
          </w:r>
          <w:r>
            <w:rPr>
              <w:rFonts w:hint="eastAsia" w:ascii="黑体" w:hAnsi="黑体" w:eastAsia="黑体" w:cstheme="majorBidi"/>
            </w:rPr>
            <w:t>十、 其他重要事项的情况说明</w:t>
          </w:r>
          <w:r>
            <w:tab/>
          </w:r>
          <w:bookmarkStart w:id="26" w:name="_Toc5520_WPSOffice_Level2Page"/>
          <w:r>
            <w:t>1</w:t>
          </w:r>
          <w:bookmarkEnd w:id="26"/>
          <w:r>
            <w:rPr>
              <w:rFonts w:hint="eastAsia"/>
              <w:lang w:val="en-US" w:eastAsia="zh-CN"/>
            </w:rPr>
            <w:t>0</w:t>
          </w:r>
          <w:r>
            <w:fldChar w:fldCharType="end"/>
          </w:r>
        </w:p>
        <w:p>
          <w:pPr>
            <w:pStyle w:val="36"/>
            <w:tabs>
              <w:tab w:val="right" w:leader="dot" w:pos="8306"/>
            </w:tabs>
          </w:pPr>
          <w:r>
            <w:fldChar w:fldCharType="begin"/>
          </w:r>
          <w:r>
            <w:instrText xml:space="preserve"> HYPERLINK \l "_Toc17761_WPSOffice_Level1" </w:instrText>
          </w:r>
          <w:r>
            <w:fldChar w:fldCharType="separate"/>
          </w:r>
          <w:r>
            <w:rPr>
              <w:rFonts w:hint="eastAsia" w:ascii="黑体" w:hAnsi="黑体" w:eastAsia="黑体" w:cs="黑体"/>
              <w:b/>
              <w:bCs/>
            </w:rPr>
            <w:t xml:space="preserve">第三部分 </w:t>
          </w:r>
          <w:r>
            <w:rPr>
              <w:rFonts w:hint="eastAsia" w:ascii="黑体" w:hAnsi="黑体" w:eastAsia="黑体"/>
              <w:b/>
              <w:bCs/>
            </w:rPr>
            <w:t>名词解释</w:t>
          </w:r>
          <w:r>
            <w:rPr>
              <w:b/>
              <w:bCs/>
            </w:rPr>
            <w:tab/>
          </w:r>
          <w:bookmarkStart w:id="27" w:name="_Toc17761_WPSOffice_Level1Page"/>
          <w:r>
            <w:rPr>
              <w:b/>
              <w:bCs/>
            </w:rPr>
            <w:t>1</w:t>
          </w:r>
          <w:bookmarkEnd w:id="27"/>
          <w:r>
            <w:rPr>
              <w:rFonts w:hint="eastAsia"/>
              <w:b/>
              <w:bCs/>
              <w:lang w:val="en-US" w:eastAsia="zh-CN"/>
            </w:rPr>
            <w:t>2</w:t>
          </w:r>
          <w:r>
            <w:rPr>
              <w:b/>
              <w:bCs/>
            </w:rPr>
            <w:fldChar w:fldCharType="end"/>
          </w:r>
        </w:p>
        <w:p>
          <w:pPr>
            <w:pStyle w:val="36"/>
            <w:tabs>
              <w:tab w:val="right" w:leader="dot" w:pos="8306"/>
            </w:tabs>
          </w:pPr>
          <w:r>
            <w:fldChar w:fldCharType="begin"/>
          </w:r>
          <w:r>
            <w:instrText xml:space="preserve"> HYPERLINK \l "_Toc16054_WPSOffice_Level1" </w:instrText>
          </w:r>
          <w:r>
            <w:fldChar w:fldCharType="separate"/>
          </w:r>
          <w:r>
            <w:rPr>
              <w:rFonts w:hint="eastAsia" w:ascii="黑体" w:hAnsi="黑体" w:eastAsia="黑体"/>
              <w:b/>
              <w:bCs/>
            </w:rPr>
            <w:t>第四部分 附件</w:t>
          </w:r>
          <w:r>
            <w:rPr>
              <w:b/>
              <w:bCs/>
            </w:rPr>
            <w:tab/>
          </w:r>
          <w:bookmarkStart w:id="28" w:name="_Toc16054_WPSOffice_Level1Page"/>
          <w:r>
            <w:rPr>
              <w:b/>
              <w:bCs/>
            </w:rPr>
            <w:t>1</w:t>
          </w:r>
          <w:bookmarkEnd w:id="28"/>
          <w:r>
            <w:rPr>
              <w:rFonts w:hint="eastAsia"/>
              <w:b/>
              <w:bCs/>
              <w:lang w:val="en-US" w:eastAsia="zh-CN"/>
            </w:rPr>
            <w:t>4</w:t>
          </w:r>
          <w:r>
            <w:rPr>
              <w:b/>
              <w:bCs/>
            </w:rPr>
            <w:fldChar w:fldCharType="end"/>
          </w:r>
        </w:p>
        <w:p>
          <w:pPr>
            <w:pStyle w:val="36"/>
            <w:tabs>
              <w:tab w:val="right" w:leader="dot" w:pos="8306"/>
            </w:tabs>
          </w:pPr>
          <w:r>
            <w:fldChar w:fldCharType="begin"/>
          </w:r>
          <w:r>
            <w:instrText xml:space="preserve"> HYPERLINK \l "_Toc25692_WPSOffice_Level1" </w:instrText>
          </w:r>
          <w:r>
            <w:fldChar w:fldCharType="separate"/>
          </w:r>
          <w:r>
            <w:rPr>
              <w:rFonts w:hint="eastAsia" w:ascii="黑体" w:hAnsi="黑体" w:eastAsia="黑体"/>
              <w:b/>
              <w:bCs/>
            </w:rPr>
            <w:t>第五部分 附表</w:t>
          </w:r>
          <w:r>
            <w:rPr>
              <w:b/>
              <w:bCs/>
            </w:rPr>
            <w:tab/>
          </w:r>
          <w:bookmarkStart w:id="29" w:name="_Toc25692_WPSOffice_Level1Page"/>
          <w:r>
            <w:rPr>
              <w:b/>
              <w:bCs/>
            </w:rPr>
            <w:t>1</w:t>
          </w:r>
          <w:bookmarkEnd w:id="29"/>
          <w:r>
            <w:rPr>
              <w:rFonts w:hint="eastAsia"/>
              <w:b/>
              <w:bCs/>
              <w:lang w:val="en-US" w:eastAsia="zh-CN"/>
            </w:rPr>
            <w:t>5</w:t>
          </w:r>
          <w:r>
            <w:rPr>
              <w:b/>
              <w:bCs/>
            </w:rPr>
            <w:fldChar w:fldCharType="end"/>
          </w:r>
        </w:p>
        <w:p>
          <w:pPr>
            <w:pStyle w:val="37"/>
            <w:tabs>
              <w:tab w:val="right" w:leader="dot" w:pos="8306"/>
            </w:tabs>
            <w:ind w:left="420"/>
          </w:pPr>
          <w:r>
            <w:fldChar w:fldCharType="begin"/>
          </w:r>
          <w:r>
            <w:instrText xml:space="preserve"> HYPERLINK \l "_Toc21096_WPSOffice_Level2" </w:instrText>
          </w:r>
          <w:r>
            <w:fldChar w:fldCharType="separate"/>
          </w:r>
          <w:r>
            <w:rPr>
              <w:rFonts w:hint="eastAsia" w:ascii="仿宋" w:hAnsi="仿宋" w:eastAsia="仿宋" w:cstheme="majorBidi"/>
            </w:rPr>
            <w:t>一、收入支出决算总表</w:t>
          </w:r>
          <w:r>
            <w:tab/>
          </w:r>
          <w:bookmarkStart w:id="30" w:name="_Toc21096_WPSOffice_Level2Page"/>
          <w:r>
            <w:t>1</w:t>
          </w:r>
          <w:bookmarkEnd w:id="30"/>
          <w:r>
            <w:rPr>
              <w:rFonts w:hint="eastAsia"/>
              <w:lang w:val="en-US" w:eastAsia="zh-CN"/>
            </w:rPr>
            <w:t>5</w:t>
          </w:r>
          <w:r>
            <w:fldChar w:fldCharType="end"/>
          </w:r>
        </w:p>
        <w:p>
          <w:pPr>
            <w:pStyle w:val="37"/>
            <w:tabs>
              <w:tab w:val="right" w:leader="dot" w:pos="8306"/>
            </w:tabs>
            <w:ind w:left="420"/>
          </w:pPr>
          <w:r>
            <w:fldChar w:fldCharType="begin"/>
          </w:r>
          <w:r>
            <w:instrText xml:space="preserve"> HYPERLINK \l "_Toc22695_WPSOffice_Level2" </w:instrText>
          </w:r>
          <w:r>
            <w:fldChar w:fldCharType="separate"/>
          </w:r>
          <w:r>
            <w:rPr>
              <w:rFonts w:hint="eastAsia" w:ascii="仿宋" w:hAnsi="仿宋" w:eastAsia="仿宋" w:cstheme="majorBidi"/>
            </w:rPr>
            <w:t>二、 收入决算表</w:t>
          </w:r>
          <w:r>
            <w:tab/>
          </w:r>
          <w:bookmarkStart w:id="31" w:name="_Toc22695_WPSOffice_Level2Page"/>
          <w:r>
            <w:t>1</w:t>
          </w:r>
          <w:bookmarkEnd w:id="31"/>
          <w:r>
            <w:rPr>
              <w:rFonts w:hint="eastAsia"/>
              <w:lang w:val="en-US" w:eastAsia="zh-CN"/>
            </w:rPr>
            <w:t>5</w:t>
          </w:r>
          <w:r>
            <w:fldChar w:fldCharType="end"/>
          </w:r>
        </w:p>
        <w:p>
          <w:pPr>
            <w:pStyle w:val="37"/>
            <w:tabs>
              <w:tab w:val="right" w:leader="dot" w:pos="8306"/>
            </w:tabs>
            <w:ind w:left="420"/>
          </w:pPr>
          <w:r>
            <w:fldChar w:fldCharType="begin"/>
          </w:r>
          <w:r>
            <w:instrText xml:space="preserve"> HYPERLINK \l "_Toc20811_WPSOffice_Level2" </w:instrText>
          </w:r>
          <w:r>
            <w:fldChar w:fldCharType="separate"/>
          </w:r>
          <w:r>
            <w:rPr>
              <w:rFonts w:hint="eastAsia" w:ascii="仿宋" w:hAnsi="仿宋" w:eastAsia="仿宋" w:cstheme="majorBidi"/>
            </w:rPr>
            <w:t>三、 支出决算表</w:t>
          </w:r>
          <w:r>
            <w:tab/>
          </w:r>
          <w:bookmarkStart w:id="32" w:name="_Toc20811_WPSOffice_Level2Page"/>
          <w:r>
            <w:t>1</w:t>
          </w:r>
          <w:bookmarkEnd w:id="32"/>
          <w:r>
            <w:rPr>
              <w:rFonts w:hint="eastAsia"/>
              <w:lang w:val="en-US" w:eastAsia="zh-CN"/>
            </w:rPr>
            <w:t>6</w:t>
          </w:r>
          <w:r>
            <w:fldChar w:fldCharType="end"/>
          </w:r>
        </w:p>
        <w:p>
          <w:pPr>
            <w:pStyle w:val="37"/>
            <w:tabs>
              <w:tab w:val="right" w:leader="dot" w:pos="8306"/>
            </w:tabs>
            <w:ind w:left="420"/>
          </w:pPr>
          <w:r>
            <w:fldChar w:fldCharType="begin"/>
          </w:r>
          <w:r>
            <w:instrText xml:space="preserve"> HYPERLINK \l "_Toc16423_WPSOffice_Level2" </w:instrText>
          </w:r>
          <w:r>
            <w:fldChar w:fldCharType="separate"/>
          </w:r>
          <w:r>
            <w:rPr>
              <w:rFonts w:hint="eastAsia" w:ascii="仿宋" w:hAnsi="仿宋" w:eastAsia="仿宋" w:cstheme="majorBidi"/>
            </w:rPr>
            <w:t>四、 财政拨款收入支出决算总表</w:t>
          </w:r>
          <w:r>
            <w:tab/>
          </w:r>
          <w:bookmarkStart w:id="33" w:name="_Toc16423_WPSOffice_Level2Page"/>
          <w:r>
            <w:t>1</w:t>
          </w:r>
          <w:bookmarkEnd w:id="33"/>
          <w:r>
            <w:rPr>
              <w:rFonts w:hint="eastAsia"/>
              <w:lang w:val="en-US" w:eastAsia="zh-CN"/>
            </w:rPr>
            <w:t>6</w:t>
          </w:r>
          <w:r>
            <w:fldChar w:fldCharType="end"/>
          </w:r>
        </w:p>
        <w:p>
          <w:pPr>
            <w:pStyle w:val="37"/>
            <w:tabs>
              <w:tab w:val="right" w:leader="dot" w:pos="8306"/>
            </w:tabs>
            <w:ind w:left="420"/>
          </w:pPr>
          <w:r>
            <w:fldChar w:fldCharType="begin"/>
          </w:r>
          <w:r>
            <w:instrText xml:space="preserve"> HYPERLINK \l "_Toc14437_WPSOffice_Level2" </w:instrText>
          </w:r>
          <w:r>
            <w:fldChar w:fldCharType="separate"/>
          </w:r>
          <w:r>
            <w:rPr>
              <w:rFonts w:hint="eastAsia" w:ascii="仿宋" w:hAnsi="仿宋" w:eastAsia="仿宋" w:cstheme="majorBidi"/>
            </w:rPr>
            <w:t>五、 财政拨款支出决算明细表</w:t>
          </w:r>
          <w:r>
            <w:tab/>
          </w:r>
          <w:bookmarkStart w:id="34" w:name="_Toc14437_WPSOffice_Level2Page"/>
          <w:r>
            <w:t>1</w:t>
          </w:r>
          <w:bookmarkEnd w:id="34"/>
          <w:r>
            <w:rPr>
              <w:rFonts w:hint="eastAsia"/>
              <w:lang w:val="en-US" w:eastAsia="zh-CN"/>
            </w:rPr>
            <w:t>6</w:t>
          </w:r>
          <w:r>
            <w:fldChar w:fldCharType="end"/>
          </w:r>
        </w:p>
        <w:p>
          <w:pPr>
            <w:pStyle w:val="37"/>
            <w:tabs>
              <w:tab w:val="right" w:leader="dot" w:pos="8306"/>
            </w:tabs>
            <w:ind w:left="420"/>
            <w:rPr>
              <w:rFonts w:hint="eastAsia" w:eastAsia="宋体"/>
              <w:lang w:val="en-US" w:eastAsia="zh-CN"/>
            </w:rPr>
          </w:pPr>
          <w:r>
            <w:fldChar w:fldCharType="begin"/>
          </w:r>
          <w:r>
            <w:instrText xml:space="preserve"> HYPERLINK \l "_Toc21414_WPSOffice_Level2" </w:instrText>
          </w:r>
          <w:r>
            <w:fldChar w:fldCharType="separate"/>
          </w:r>
          <w:r>
            <w:rPr>
              <w:rFonts w:hint="eastAsia" w:ascii="仿宋" w:hAnsi="仿宋" w:eastAsia="仿宋" w:cstheme="majorBidi"/>
            </w:rPr>
            <w:t>六、 一般公共预算财政拨款支出决算表</w:t>
          </w:r>
          <w:r>
            <w:tab/>
          </w:r>
          <w:r>
            <w:rPr>
              <w:rFonts w:hint="eastAsia"/>
              <w:lang w:val="en-US" w:eastAsia="zh-CN"/>
            </w:rPr>
            <w:t>1</w:t>
          </w:r>
          <w:r>
            <w:fldChar w:fldCharType="end"/>
          </w:r>
          <w:r>
            <w:rPr>
              <w:rFonts w:hint="eastAsia"/>
              <w:lang w:val="en-US" w:eastAsia="zh-CN"/>
            </w:rPr>
            <w:t>8</w:t>
          </w:r>
        </w:p>
        <w:p>
          <w:pPr>
            <w:pStyle w:val="37"/>
            <w:tabs>
              <w:tab w:val="right" w:leader="dot" w:pos="8306"/>
            </w:tabs>
            <w:ind w:left="420"/>
            <w:rPr>
              <w:rFonts w:hint="eastAsia" w:eastAsia="宋体"/>
              <w:lang w:val="en-US" w:eastAsia="zh-CN"/>
            </w:rPr>
          </w:pPr>
          <w:r>
            <w:fldChar w:fldCharType="begin"/>
          </w:r>
          <w:r>
            <w:instrText xml:space="preserve"> HYPERLINK \l "_Toc16037_WPSOffice_Level2" </w:instrText>
          </w:r>
          <w:r>
            <w:fldChar w:fldCharType="separate"/>
          </w:r>
          <w:r>
            <w:rPr>
              <w:rFonts w:hint="eastAsia" w:ascii="仿宋" w:hAnsi="仿宋" w:eastAsia="仿宋" w:cstheme="majorBidi"/>
            </w:rPr>
            <w:t>七、 一般公共预算财政拨款支出决算明细表</w:t>
          </w:r>
          <w:r>
            <w:tab/>
          </w:r>
          <w:r>
            <w:rPr>
              <w:rFonts w:hint="eastAsia"/>
              <w:lang w:val="en-US" w:eastAsia="zh-CN"/>
            </w:rPr>
            <w:t>1</w:t>
          </w:r>
          <w:r>
            <w:fldChar w:fldCharType="end"/>
          </w:r>
          <w:r>
            <w:rPr>
              <w:rFonts w:hint="eastAsia"/>
              <w:lang w:val="en-US" w:eastAsia="zh-CN"/>
            </w:rPr>
            <w:t>8</w:t>
          </w:r>
        </w:p>
        <w:p>
          <w:pPr>
            <w:pStyle w:val="37"/>
            <w:tabs>
              <w:tab w:val="right" w:leader="dot" w:pos="8306"/>
            </w:tabs>
            <w:ind w:left="420"/>
          </w:pPr>
          <w:r>
            <w:fldChar w:fldCharType="begin"/>
          </w:r>
          <w:r>
            <w:instrText xml:space="preserve"> HYPERLINK \l "_Toc11604_WPSOffice_Level2" </w:instrText>
          </w:r>
          <w:r>
            <w:fldChar w:fldCharType="separate"/>
          </w:r>
          <w:r>
            <w:rPr>
              <w:rFonts w:hint="eastAsia" w:ascii="仿宋" w:hAnsi="仿宋" w:eastAsia="仿宋" w:cstheme="majorBidi"/>
            </w:rPr>
            <w:t>八、 一般公共预算财政拨款基本支出决算表</w:t>
          </w:r>
          <w:r>
            <w:tab/>
          </w:r>
          <w:bookmarkStart w:id="35" w:name="_Toc11604_WPSOffice_Level2Page"/>
          <w:r>
            <w:t>2</w:t>
          </w:r>
          <w:bookmarkEnd w:id="35"/>
          <w:r>
            <w:rPr>
              <w:rFonts w:hint="eastAsia"/>
              <w:lang w:val="en-US" w:eastAsia="zh-CN"/>
            </w:rPr>
            <w:t>0</w:t>
          </w:r>
          <w:r>
            <w:fldChar w:fldCharType="end"/>
          </w:r>
        </w:p>
        <w:p>
          <w:pPr>
            <w:pStyle w:val="37"/>
            <w:tabs>
              <w:tab w:val="right" w:leader="dot" w:pos="8306"/>
            </w:tabs>
            <w:ind w:left="420"/>
          </w:pPr>
          <w:r>
            <w:fldChar w:fldCharType="begin"/>
          </w:r>
          <w:r>
            <w:instrText xml:space="preserve"> HYPERLINK \l "_Toc24686_WPSOffice_Level2" </w:instrText>
          </w:r>
          <w:r>
            <w:fldChar w:fldCharType="separate"/>
          </w:r>
          <w:r>
            <w:rPr>
              <w:rFonts w:hint="eastAsia" w:ascii="仿宋" w:hAnsi="仿宋" w:eastAsia="仿宋" w:cstheme="majorBidi"/>
            </w:rPr>
            <w:t>九、 一般公共预算财政拨款项目支出决算表</w:t>
          </w:r>
          <w:r>
            <w:tab/>
          </w:r>
          <w:bookmarkStart w:id="36" w:name="_Toc24686_WPSOffice_Level2Page"/>
          <w:r>
            <w:t>2</w:t>
          </w:r>
          <w:bookmarkEnd w:id="36"/>
          <w:r>
            <w:rPr>
              <w:rFonts w:hint="eastAsia"/>
              <w:lang w:val="en-US" w:eastAsia="zh-CN"/>
            </w:rPr>
            <w:t>0</w:t>
          </w:r>
          <w:r>
            <w:fldChar w:fldCharType="end"/>
          </w:r>
        </w:p>
        <w:p>
          <w:pPr>
            <w:pStyle w:val="37"/>
            <w:tabs>
              <w:tab w:val="right" w:leader="dot" w:pos="8306"/>
            </w:tabs>
            <w:ind w:left="420"/>
          </w:pPr>
          <w:r>
            <w:fldChar w:fldCharType="begin"/>
          </w:r>
          <w:r>
            <w:instrText xml:space="preserve"> HYPERLINK \l "_Toc24349_WPSOffice_Level2" </w:instrText>
          </w:r>
          <w:r>
            <w:fldChar w:fldCharType="separate"/>
          </w:r>
          <w:r>
            <w:rPr>
              <w:rFonts w:hint="eastAsia" w:ascii="仿宋" w:hAnsi="仿宋" w:eastAsia="仿宋" w:cstheme="majorBidi"/>
            </w:rPr>
            <w:t>十、 政府性基金预算财政拨款收入支出决算表</w:t>
          </w:r>
          <w:r>
            <w:tab/>
          </w:r>
          <w:bookmarkStart w:id="37" w:name="_Toc24349_WPSOffice_Level2Page"/>
          <w:r>
            <w:t>2</w:t>
          </w:r>
          <w:bookmarkEnd w:id="37"/>
          <w:r>
            <w:rPr>
              <w:rFonts w:hint="eastAsia"/>
              <w:lang w:val="en-US" w:eastAsia="zh-CN"/>
            </w:rPr>
            <w:t>1</w:t>
          </w:r>
          <w:r>
            <w:fldChar w:fldCharType="end"/>
          </w:r>
        </w:p>
        <w:p>
          <w:pPr>
            <w:pStyle w:val="37"/>
            <w:tabs>
              <w:tab w:val="right" w:leader="dot" w:pos="8306"/>
            </w:tabs>
            <w:ind w:left="420"/>
          </w:pPr>
          <w:r>
            <w:fldChar w:fldCharType="begin"/>
          </w:r>
          <w:r>
            <w:instrText xml:space="preserve"> HYPERLINK \l "_Toc6859_WPSOffice_Level2" </w:instrText>
          </w:r>
          <w:r>
            <w:fldChar w:fldCharType="separate"/>
          </w:r>
          <w:r>
            <w:rPr>
              <w:rFonts w:hint="eastAsia" w:ascii="仿宋" w:hAnsi="仿宋" w:eastAsia="仿宋" w:cstheme="majorBidi"/>
            </w:rPr>
            <w:t>十一、 国有资本经营预算财政拨款收入支出决算表</w:t>
          </w:r>
          <w:r>
            <w:tab/>
          </w:r>
          <w:bookmarkStart w:id="38" w:name="_Toc6859_WPSOffice_Level2Page"/>
          <w:r>
            <w:t>2</w:t>
          </w:r>
          <w:bookmarkEnd w:id="38"/>
          <w:r>
            <w:rPr>
              <w:rFonts w:hint="eastAsia"/>
              <w:lang w:val="en-US" w:eastAsia="zh-CN"/>
            </w:rPr>
            <w:t>1</w:t>
          </w:r>
          <w:r>
            <w:fldChar w:fldCharType="end"/>
          </w:r>
        </w:p>
        <w:p>
          <w:pPr>
            <w:pStyle w:val="37"/>
            <w:tabs>
              <w:tab w:val="right" w:leader="dot" w:pos="8306"/>
            </w:tabs>
            <w:ind w:left="420"/>
          </w:pPr>
          <w:r>
            <w:fldChar w:fldCharType="begin"/>
          </w:r>
          <w:r>
            <w:instrText xml:space="preserve"> HYPERLINK \l "_Toc384_WPSOffice_Level2" </w:instrText>
          </w:r>
          <w:r>
            <w:fldChar w:fldCharType="separate"/>
          </w:r>
          <w:r>
            <w:rPr>
              <w:rFonts w:hint="eastAsia" w:ascii="仿宋" w:hAnsi="仿宋" w:eastAsia="仿宋" w:cstheme="majorBidi"/>
            </w:rPr>
            <w:t>十二、 国有资本经营预算财政拨款支出决算表</w:t>
          </w:r>
          <w:r>
            <w:tab/>
          </w:r>
          <w:bookmarkStart w:id="39" w:name="_Toc384_WPSOffice_Level2Page"/>
          <w:r>
            <w:t>2</w:t>
          </w:r>
          <w:bookmarkEnd w:id="39"/>
          <w:r>
            <w:rPr>
              <w:rFonts w:hint="eastAsia"/>
              <w:lang w:val="en-US" w:eastAsia="zh-CN"/>
            </w:rPr>
            <w:t>1</w:t>
          </w:r>
          <w:r>
            <w:fldChar w:fldCharType="end"/>
          </w:r>
        </w:p>
        <w:p>
          <w:pPr>
            <w:pStyle w:val="37"/>
            <w:tabs>
              <w:tab w:val="right" w:leader="dot" w:pos="8306"/>
            </w:tabs>
            <w:ind w:left="420"/>
          </w:pPr>
          <w:r>
            <w:fldChar w:fldCharType="begin"/>
          </w:r>
          <w:r>
            <w:instrText xml:space="preserve"> HYPERLINK \l "_Toc32087_WPSOffice_Level2" </w:instrText>
          </w:r>
          <w:r>
            <w:fldChar w:fldCharType="separate"/>
          </w:r>
          <w:r>
            <w:rPr>
              <w:rFonts w:hint="eastAsia" w:ascii="仿宋" w:hAnsi="仿宋" w:eastAsia="仿宋" w:cstheme="majorBidi"/>
            </w:rPr>
            <w:t>十三、 财政拨款“三公”经费支出决算表</w:t>
          </w:r>
          <w:r>
            <w:tab/>
          </w:r>
          <w:bookmarkStart w:id="40" w:name="_Toc32087_WPSOffice_Level2Page"/>
          <w:r>
            <w:t>2</w:t>
          </w:r>
          <w:bookmarkEnd w:id="40"/>
          <w:r>
            <w:rPr>
              <w:rFonts w:hint="eastAsia"/>
              <w:lang w:val="en-US" w:eastAsia="zh-CN"/>
            </w:rPr>
            <w:t>2</w:t>
          </w:r>
          <w:r>
            <w:fldChar w:fldCharType="end"/>
          </w:r>
        </w:p>
      </w:sdtContent>
    </w:sdt>
    <w:p>
      <w:pPr>
        <w:pStyle w:val="13"/>
        <w:adjustRightInd w:val="0"/>
        <w:snapToGrid w:val="0"/>
        <w:spacing w:line="440" w:lineRule="exact"/>
        <w:jc w:val="left"/>
        <w:rPr>
          <w:rFonts w:ascii="仿宋" w:hAnsi="仿宋" w:eastAsia="仿宋"/>
          <w:bCs/>
          <w:kern w:val="44"/>
          <w:sz w:val="24"/>
        </w:rPr>
      </w:pPr>
    </w:p>
    <w:p>
      <w:pPr>
        <w:jc w:val="center"/>
        <w:rPr>
          <w:rFonts w:hint="eastAsia" w:ascii="方正小标宋_GBK" w:eastAsia="方正小标宋_GBK"/>
          <w:sz w:val="44"/>
          <w:szCs w:val="44"/>
        </w:rPr>
      </w:pPr>
      <w:bookmarkStart w:id="41" w:name="_Toc24912_WPSOffice_Level1"/>
    </w:p>
    <w:p>
      <w:pPr>
        <w:jc w:val="center"/>
        <w:rPr>
          <w:rFonts w:eastAsia="方正小标宋_GBK"/>
          <w:sz w:val="44"/>
          <w:szCs w:val="44"/>
        </w:rPr>
      </w:pPr>
      <w:r>
        <w:rPr>
          <w:rFonts w:eastAsia="方正小标宋_GBK"/>
          <w:sz w:val="44"/>
          <w:szCs w:val="44"/>
        </w:rPr>
        <w:t>第一部分 单位概况</w:t>
      </w:r>
      <w:bookmarkEnd w:id="12"/>
      <w:bookmarkEnd w:id="13"/>
      <w:bookmarkEnd w:id="41"/>
    </w:p>
    <w:p/>
    <w:p>
      <w:pPr>
        <w:spacing w:line="560" w:lineRule="exact"/>
        <w:ind w:firstLine="640" w:firstLineChars="200"/>
        <w:rPr>
          <w:rFonts w:eastAsia="黑体"/>
          <w:sz w:val="32"/>
          <w:szCs w:val="32"/>
        </w:rPr>
      </w:pPr>
      <w:bookmarkStart w:id="42" w:name="_Toc7854_WPSOffice_Level2"/>
      <w:bookmarkStart w:id="43" w:name="_Toc15377197"/>
      <w:bookmarkStart w:id="44" w:name="_Toc15396600"/>
      <w:r>
        <w:rPr>
          <w:rFonts w:eastAsia="黑体"/>
          <w:sz w:val="32"/>
          <w:szCs w:val="32"/>
        </w:rPr>
        <w:t>一、主要职责</w:t>
      </w:r>
      <w:bookmarkEnd w:id="42"/>
    </w:p>
    <w:p>
      <w:pPr>
        <w:spacing w:line="560" w:lineRule="exact"/>
        <w:ind w:firstLine="640" w:firstLineChars="200"/>
        <w:rPr>
          <w:rFonts w:eastAsia="仿宋_GB2312"/>
          <w:sz w:val="32"/>
          <w:szCs w:val="32"/>
        </w:rPr>
      </w:pPr>
      <w:r>
        <w:rPr>
          <w:rFonts w:eastAsia="仿宋_GB2312"/>
          <w:sz w:val="32"/>
          <w:szCs w:val="32"/>
        </w:rPr>
        <w:t>单位主要职责为：承担乡镇财政服务等相关事务性工作。具体负责全面了解和指导乡镇财政工作开展情况，促进乡镇完善管理制度，提高财政管理工作水平，推进对乡镇财务的抽查检查工作.</w:t>
      </w:r>
    </w:p>
    <w:p>
      <w:pPr>
        <w:spacing w:line="560" w:lineRule="exact"/>
        <w:ind w:firstLine="640" w:firstLineChars="200"/>
        <w:rPr>
          <w:rFonts w:eastAsia="黑体"/>
          <w:sz w:val="32"/>
          <w:szCs w:val="32"/>
        </w:rPr>
      </w:pPr>
      <w:bookmarkStart w:id="45" w:name="_Toc17761_WPSOffice_Level2"/>
      <w:r>
        <w:rPr>
          <w:rFonts w:eastAsia="黑体"/>
          <w:sz w:val="32"/>
          <w:szCs w:val="32"/>
        </w:rPr>
        <w:t>二、机构设置</w:t>
      </w:r>
      <w:bookmarkEnd w:id="45"/>
    </w:p>
    <w:bookmarkEnd w:id="43"/>
    <w:bookmarkEnd w:id="44"/>
    <w:p>
      <w:pPr>
        <w:spacing w:line="560" w:lineRule="exact"/>
        <w:ind w:firstLine="640" w:firstLineChars="200"/>
        <w:rPr>
          <w:rFonts w:eastAsia="仿宋_GB2312"/>
          <w:sz w:val="32"/>
          <w:szCs w:val="32"/>
        </w:rPr>
      </w:pPr>
      <w:r>
        <w:rPr>
          <w:rFonts w:eastAsia="仿宋_GB2312"/>
          <w:sz w:val="32"/>
          <w:szCs w:val="32"/>
        </w:rPr>
        <w:t>单位根据《盐边县机构编制委员会关于同意成立盐边县乡镇财政管理中心的批复》（盐边编发〔2006〕2号）文件要求，于2006年四月批准设立，为全额拨款事业单位。2019年12月根据《中共盐边县委机构编制委员会关于明确县财政局所属事业有关机构编制事项的通知》（盐边编发〔2019〕59号）更名为盐边县乡镇财政事务中心，为财政局下属事业单位，核定财政全额拨款事业编制8名，车辆编制以及实有车辆为1辆。</w:t>
      </w:r>
    </w:p>
    <w:p>
      <w:r>
        <w:br w:type="page"/>
      </w:r>
    </w:p>
    <w:p>
      <w:pPr>
        <w:spacing w:line="560" w:lineRule="exact"/>
        <w:jc w:val="center"/>
        <w:rPr>
          <w:rFonts w:eastAsia="方正小标宋_GBK"/>
          <w:sz w:val="44"/>
          <w:szCs w:val="44"/>
        </w:rPr>
      </w:pPr>
      <w:bookmarkStart w:id="46" w:name="_Toc15396602"/>
      <w:bookmarkStart w:id="47" w:name="_Toc7854_WPSOffice_Level1"/>
      <w:bookmarkStart w:id="48" w:name="_Toc15377204"/>
      <w:r>
        <w:rPr>
          <w:rFonts w:eastAsia="方正小标宋_GBK"/>
          <w:sz w:val="44"/>
          <w:szCs w:val="44"/>
        </w:rPr>
        <w:t>第二部分 2022年度单位决算情况说明</w:t>
      </w:r>
      <w:bookmarkEnd w:id="46"/>
      <w:bookmarkEnd w:id="47"/>
      <w:bookmarkEnd w:id="48"/>
    </w:p>
    <w:p>
      <w:pPr>
        <w:spacing w:line="560" w:lineRule="exact"/>
        <w:rPr>
          <w:rFonts w:eastAsia="仿宋_GB2312"/>
          <w:sz w:val="32"/>
          <w:szCs w:val="32"/>
        </w:rPr>
      </w:pPr>
    </w:p>
    <w:p>
      <w:pPr>
        <w:spacing w:line="560" w:lineRule="exact"/>
        <w:ind w:firstLine="640" w:firstLineChars="200"/>
        <w:rPr>
          <w:rFonts w:eastAsia="黑体"/>
          <w:sz w:val="32"/>
          <w:szCs w:val="32"/>
        </w:rPr>
      </w:pPr>
      <w:bookmarkStart w:id="49" w:name="_Toc15377205"/>
      <w:bookmarkStart w:id="50" w:name="_Toc16054_WPSOffice_Level2"/>
      <w:bookmarkStart w:id="51" w:name="_Toc15396603"/>
      <w:r>
        <w:rPr>
          <w:rFonts w:eastAsia="黑体"/>
          <w:sz w:val="32"/>
          <w:szCs w:val="32"/>
        </w:rPr>
        <w:t>一、收入支出决算总体情况说明</w:t>
      </w:r>
      <w:bookmarkEnd w:id="49"/>
      <w:bookmarkEnd w:id="50"/>
      <w:bookmarkEnd w:id="51"/>
    </w:p>
    <w:p>
      <w:pPr>
        <w:spacing w:line="560" w:lineRule="exact"/>
        <w:ind w:firstLine="640" w:firstLineChars="200"/>
        <w:rPr>
          <w:rFonts w:eastAsia="仿宋_GB2312"/>
          <w:sz w:val="32"/>
          <w:szCs w:val="32"/>
        </w:rPr>
      </w:pPr>
      <w:r>
        <w:rPr>
          <w:rFonts w:eastAsia="仿宋_GB2312"/>
          <w:sz w:val="32"/>
          <w:szCs w:val="32"/>
        </w:rPr>
        <w:t>2022年度收、支总计151.96万元。与2021年相比，收、支总计各减少27.17万元，下降15.2%。主要变动原因是2021年项目支出中部分经费是购置公务用费用，较上年相比2022年支出相应减少。</w:t>
      </w:r>
    </w:p>
    <w:p>
      <w:pPr>
        <w:pStyle w:val="2"/>
        <w:rPr>
          <w:rFonts w:ascii="仿宋" w:hAnsi="仿宋" w:eastAsia="仿宋"/>
          <w:sz w:val="32"/>
          <w:szCs w:val="32"/>
        </w:rPr>
      </w:pPr>
    </w:p>
    <w:p>
      <w:pPr>
        <w:rPr>
          <w:rFonts w:ascii="仿宋" w:hAnsi="仿宋" w:eastAsia="仿宋"/>
          <w:sz w:val="32"/>
          <w:szCs w:val="32"/>
        </w:rPr>
      </w:pPr>
      <w:r>
        <w:drawing>
          <wp:inline distT="0" distB="0" distL="114300" distR="114300">
            <wp:extent cx="5271135" cy="3058160"/>
            <wp:effectExtent l="4445" t="4445" r="20320" b="23495"/>
            <wp:docPr id="233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
      <w:pPr>
        <w:spacing w:line="560" w:lineRule="exact"/>
        <w:ind w:firstLine="640" w:firstLineChars="200"/>
        <w:rPr>
          <w:rFonts w:eastAsia="黑体"/>
          <w:sz w:val="32"/>
          <w:szCs w:val="32"/>
        </w:rPr>
      </w:pPr>
      <w:bookmarkStart w:id="52" w:name="_Toc15396604"/>
      <w:bookmarkStart w:id="53" w:name="_Toc15377206"/>
      <w:bookmarkStart w:id="54" w:name="_Toc25692_WPSOffice_Level2"/>
      <w:r>
        <w:rPr>
          <w:rFonts w:eastAsia="黑体"/>
          <w:sz w:val="32"/>
          <w:szCs w:val="32"/>
        </w:rPr>
        <w:t>二、收入决算情况说明</w:t>
      </w:r>
      <w:bookmarkEnd w:id="52"/>
      <w:bookmarkEnd w:id="53"/>
      <w:bookmarkEnd w:id="54"/>
    </w:p>
    <w:p>
      <w:pPr>
        <w:spacing w:line="560" w:lineRule="exact"/>
        <w:ind w:firstLine="640" w:firstLineChars="200"/>
        <w:rPr>
          <w:rFonts w:eastAsia="仿宋_GB2312"/>
          <w:sz w:val="32"/>
          <w:szCs w:val="32"/>
        </w:rPr>
      </w:pPr>
      <w:r>
        <w:rPr>
          <w:rFonts w:eastAsia="仿宋_GB2312"/>
          <w:sz w:val="32"/>
          <w:szCs w:val="32"/>
        </w:rPr>
        <w:t>2022年本年收入合计151.96万元，其中：一般公共预算财政拨款收入151.96万元，占0%；政府性基金预算财政拨款收入0万元，占0%；国有资本经营预算财政拨款收入0万元，占0%；上级补助收入0万元，占0%；事业收入0万元，占0%；经营收入0万元，占0%；附属单位上缴收入0万元，占0%；其他收入0万元，占0%。</w:t>
      </w:r>
    </w:p>
    <w:p>
      <w:pPr>
        <w:pStyle w:val="2"/>
        <w:rPr>
          <w:rFonts w:ascii="仿宋_GB2312" w:eastAsia="仿宋_GB2312"/>
          <w:sz w:val="32"/>
          <w:szCs w:val="32"/>
        </w:rPr>
      </w:pPr>
      <w:r>
        <w:drawing>
          <wp:inline distT="0" distB="0" distL="114300" distR="114300">
            <wp:extent cx="5269865" cy="2668270"/>
            <wp:effectExtent l="4445" t="4445" r="21590" b="13335"/>
            <wp:docPr id="232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560" w:lineRule="exact"/>
        <w:ind w:firstLine="640" w:firstLineChars="200"/>
        <w:rPr>
          <w:rFonts w:eastAsia="黑体"/>
          <w:sz w:val="32"/>
          <w:szCs w:val="32"/>
        </w:rPr>
      </w:pPr>
      <w:bookmarkStart w:id="55" w:name="_Toc28839_WPSOffice_Level2"/>
      <w:bookmarkStart w:id="56" w:name="_Toc15377207"/>
      <w:bookmarkStart w:id="57" w:name="_Toc15396605"/>
      <w:r>
        <w:rPr>
          <w:rFonts w:eastAsia="黑体"/>
          <w:sz w:val="32"/>
          <w:szCs w:val="32"/>
        </w:rPr>
        <w:t>三、支出决算情况说明</w:t>
      </w:r>
      <w:bookmarkEnd w:id="55"/>
      <w:bookmarkEnd w:id="56"/>
      <w:bookmarkEnd w:id="57"/>
    </w:p>
    <w:p>
      <w:pPr>
        <w:spacing w:line="560" w:lineRule="exact"/>
        <w:ind w:firstLine="640" w:firstLineChars="200"/>
        <w:rPr>
          <w:rFonts w:eastAsia="仿宋_GB2312"/>
          <w:sz w:val="32"/>
          <w:szCs w:val="32"/>
        </w:rPr>
      </w:pPr>
      <w:r>
        <w:rPr>
          <w:rFonts w:eastAsia="仿宋_GB2312"/>
          <w:sz w:val="32"/>
          <w:szCs w:val="32"/>
        </w:rPr>
        <w:t>2022年本年支出合计151.96万元，其中：基本支出143.96万元，占94.7%；项目支出8万元，占5.3%；上缴上级支出0万元，占0%；经营支出0万元，占0%；对附属单位补助支出0万元，占0%。</w:t>
      </w:r>
    </w:p>
    <w:p>
      <w:pPr>
        <w:rPr>
          <w:rFonts w:ascii="仿宋_GB2312" w:eastAsia="仿宋_GB2312"/>
          <w:sz w:val="32"/>
          <w:szCs w:val="32"/>
        </w:rPr>
      </w:pPr>
    </w:p>
    <w:p>
      <w:pPr>
        <w:pStyle w:val="2"/>
        <w:rPr>
          <w:rFonts w:ascii="仿宋_GB2312" w:eastAsia="仿宋_GB2312"/>
          <w:sz w:val="32"/>
          <w:szCs w:val="32"/>
        </w:rPr>
      </w:pPr>
      <w:r>
        <w:drawing>
          <wp:inline distT="0" distB="0" distL="114300" distR="114300">
            <wp:extent cx="5272405" cy="2961005"/>
            <wp:effectExtent l="4445" t="4445" r="19050" b="6350"/>
            <wp:docPr id="233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rPr>
          <w:rFonts w:ascii="仿宋_GB2312" w:eastAsia="仿宋_GB2312"/>
          <w:sz w:val="32"/>
          <w:szCs w:val="32"/>
        </w:rPr>
      </w:pPr>
    </w:p>
    <w:p/>
    <w:p>
      <w:pPr>
        <w:spacing w:line="560" w:lineRule="exact"/>
        <w:ind w:firstLine="640" w:firstLineChars="200"/>
        <w:rPr>
          <w:rFonts w:eastAsia="黑体"/>
          <w:sz w:val="32"/>
          <w:szCs w:val="32"/>
        </w:rPr>
      </w:pPr>
      <w:bookmarkStart w:id="58" w:name="_Toc15396606"/>
      <w:bookmarkStart w:id="59" w:name="_Toc15377208"/>
      <w:bookmarkStart w:id="60" w:name="_Toc32131_WPSOffice_Level2"/>
      <w:r>
        <w:rPr>
          <w:rFonts w:eastAsia="黑体"/>
          <w:sz w:val="32"/>
          <w:szCs w:val="32"/>
        </w:rPr>
        <w:t>四、财政拨款收入支出决算总体情况说明</w:t>
      </w:r>
      <w:bookmarkEnd w:id="58"/>
      <w:bookmarkEnd w:id="59"/>
      <w:bookmarkEnd w:id="60"/>
    </w:p>
    <w:p>
      <w:pPr>
        <w:spacing w:line="560" w:lineRule="exact"/>
        <w:ind w:firstLine="640" w:firstLineChars="200"/>
        <w:rPr>
          <w:rFonts w:eastAsia="仿宋_GB2312"/>
          <w:sz w:val="32"/>
          <w:szCs w:val="32"/>
        </w:rPr>
      </w:pPr>
      <w:r>
        <w:rPr>
          <w:rFonts w:eastAsia="仿宋_GB2312"/>
          <w:sz w:val="32"/>
          <w:szCs w:val="32"/>
        </w:rPr>
        <w:t>2022年财政拨款收、支总计151.96万元。与2021年相比，财政拨款收、支总计各增加0.83万元，增长0.5%。主要变动原因是基础性绩效纳入工资发放，人员经费支出增加。</w:t>
      </w:r>
    </w:p>
    <w:p>
      <w:pPr>
        <w:rPr>
          <w:rFonts w:ascii="仿宋" w:hAnsi="仿宋" w:eastAsia="仿宋"/>
          <w:sz w:val="32"/>
          <w:szCs w:val="32"/>
        </w:rPr>
      </w:pPr>
    </w:p>
    <w:p>
      <w:pPr>
        <w:pStyle w:val="2"/>
        <w:rPr>
          <w:rFonts w:ascii="仿宋" w:hAnsi="仿宋" w:eastAsia="仿宋"/>
          <w:sz w:val="32"/>
          <w:szCs w:val="32"/>
        </w:rPr>
      </w:pPr>
      <w:r>
        <w:drawing>
          <wp:inline distT="0" distB="0" distL="114300" distR="114300">
            <wp:extent cx="5269230" cy="2743835"/>
            <wp:effectExtent l="4445" t="4445" r="22225" b="13970"/>
            <wp:docPr id="2335"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rPr>
          <w:rFonts w:ascii="仿宋" w:hAnsi="仿宋" w:eastAsia="仿宋"/>
          <w:sz w:val="32"/>
          <w:szCs w:val="32"/>
        </w:rPr>
      </w:pPr>
    </w:p>
    <w:p>
      <w:pPr>
        <w:spacing w:line="560" w:lineRule="exact"/>
        <w:ind w:firstLine="640" w:firstLineChars="200"/>
        <w:rPr>
          <w:rFonts w:eastAsia="黑体"/>
          <w:sz w:val="32"/>
          <w:szCs w:val="32"/>
        </w:rPr>
      </w:pPr>
      <w:bookmarkStart w:id="61" w:name="_Toc1384_WPSOffice_Level2"/>
      <w:bookmarkStart w:id="62" w:name="_Toc15377209"/>
      <w:bookmarkStart w:id="63" w:name="_Toc15396607"/>
      <w:r>
        <w:rPr>
          <w:rFonts w:eastAsia="黑体"/>
          <w:sz w:val="32"/>
          <w:szCs w:val="32"/>
        </w:rPr>
        <w:t>五、一般公共预算财政拨款支出决算情况说明</w:t>
      </w:r>
      <w:bookmarkEnd w:id="61"/>
      <w:bookmarkEnd w:id="62"/>
      <w:bookmarkEnd w:id="63"/>
    </w:p>
    <w:p>
      <w:pPr>
        <w:spacing w:line="560" w:lineRule="exact"/>
        <w:ind w:firstLine="640" w:firstLineChars="200"/>
        <w:rPr>
          <w:rFonts w:eastAsia="楷体_GB2312"/>
          <w:sz w:val="32"/>
          <w:szCs w:val="32"/>
        </w:rPr>
      </w:pPr>
      <w:bookmarkStart w:id="64" w:name="_Toc15377210"/>
      <w:r>
        <w:rPr>
          <w:rFonts w:eastAsia="楷体_GB2312"/>
          <w:sz w:val="32"/>
          <w:szCs w:val="32"/>
        </w:rPr>
        <w:t>（一）一般公共预算财政拨款支出决算总体情况</w:t>
      </w:r>
      <w:bookmarkEnd w:id="64"/>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2022年一般公共预算财政拨款支出151.96万元，占本年支出合计的100%。与2021年相比，一般公共预算财政拨款支出增加0.83万元，增长0.5%。主要变动原因是基础性绩效纳入工资发放，人员经费支出增加。</w:t>
      </w:r>
    </w:p>
    <w:p>
      <w:pPr>
        <w:spacing w:line="600" w:lineRule="exact"/>
        <w:ind w:firstLine="640" w:firstLineChars="200"/>
        <w:rPr>
          <w:rFonts w:ascii="仿宋" w:hAnsi="仿宋" w:eastAsia="仿宋"/>
          <w:sz w:val="32"/>
          <w:szCs w:val="32"/>
        </w:rPr>
      </w:pPr>
    </w:p>
    <w:p>
      <w:pPr>
        <w:pStyle w:val="2"/>
        <w:rPr>
          <w:rFonts w:ascii="仿宋" w:hAnsi="仿宋" w:eastAsia="仿宋"/>
          <w:sz w:val="32"/>
          <w:szCs w:val="32"/>
        </w:rPr>
      </w:pPr>
    </w:p>
    <w:p>
      <w:pPr>
        <w:rPr>
          <w:rFonts w:ascii="仿宋" w:hAnsi="仿宋" w:eastAsia="仿宋"/>
          <w:sz w:val="32"/>
          <w:szCs w:val="32"/>
        </w:rPr>
      </w:pPr>
    </w:p>
    <w:p>
      <w:pPr>
        <w:pStyle w:val="2"/>
      </w:pPr>
      <w:r>
        <w:drawing>
          <wp:inline distT="0" distB="0" distL="114300" distR="114300">
            <wp:extent cx="5271135" cy="2699385"/>
            <wp:effectExtent l="4445" t="4445" r="20320" b="20320"/>
            <wp:docPr id="2332"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 w:hAnsi="仿宋" w:eastAsia="仿宋"/>
          <w:sz w:val="32"/>
          <w:szCs w:val="32"/>
        </w:rPr>
      </w:pPr>
    </w:p>
    <w:p>
      <w:pPr>
        <w:spacing w:line="560" w:lineRule="exact"/>
        <w:ind w:firstLine="640" w:firstLineChars="200"/>
        <w:rPr>
          <w:rFonts w:eastAsia="楷体_GB2312"/>
          <w:sz w:val="32"/>
          <w:szCs w:val="32"/>
        </w:rPr>
      </w:pPr>
      <w:bookmarkStart w:id="65" w:name="_Toc15377211"/>
      <w:r>
        <w:rPr>
          <w:rFonts w:eastAsia="楷体_GB2312"/>
          <w:sz w:val="32"/>
          <w:szCs w:val="32"/>
        </w:rPr>
        <w:t>（二）一般公共预算财政拨款支出决算结构情况</w:t>
      </w:r>
      <w:bookmarkEnd w:id="65"/>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2022年一般公共预算财政拨款支出151.96万元，主要用于以下方面:一般公共服务支出117.87万元，占77.6%；社会保障和就业支出10.37万元，占6.8%；卫生健康支出12.16万元，占8%；住房保障支出11.56万元，占7.6%。</w:t>
      </w:r>
    </w:p>
    <w:p>
      <w:pPr>
        <w:pStyle w:val="2"/>
        <w:rPr>
          <w:rFonts w:ascii="仿宋" w:hAnsi="仿宋" w:eastAsia="仿宋"/>
          <w:sz w:val="32"/>
          <w:szCs w:val="32"/>
        </w:rPr>
      </w:pPr>
      <w:r>
        <w:drawing>
          <wp:inline distT="0" distB="0" distL="114300" distR="114300">
            <wp:extent cx="5268595" cy="3237865"/>
            <wp:effectExtent l="4445" t="4445" r="22860" b="15240"/>
            <wp:docPr id="2333"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
      </w:pPr>
    </w:p>
    <w:p>
      <w:pPr>
        <w:spacing w:line="560" w:lineRule="exact"/>
        <w:ind w:firstLine="640" w:firstLineChars="200"/>
        <w:rPr>
          <w:rFonts w:eastAsia="楷体_GB2312"/>
          <w:color w:val="000000" w:themeColor="text1"/>
          <w:sz w:val="32"/>
          <w:szCs w:val="32"/>
        </w:rPr>
      </w:pPr>
      <w:bookmarkStart w:id="66" w:name="_Toc15377212"/>
      <w:r>
        <w:rPr>
          <w:rFonts w:eastAsia="楷体_GB2312"/>
          <w:color w:val="000000" w:themeColor="text1"/>
          <w:sz w:val="32"/>
          <w:szCs w:val="32"/>
        </w:rPr>
        <w:t>（三）一般公共预算财政拨款支出决算具体情况</w:t>
      </w:r>
      <w:bookmarkEnd w:id="66"/>
      <w:r>
        <w:rPr>
          <w:rFonts w:eastAsia="楷体_GB2312"/>
          <w:color w:val="000000" w:themeColor="text1"/>
          <w:sz w:val="32"/>
          <w:szCs w:val="32"/>
        </w:rPr>
        <w:t>。</w:t>
      </w:r>
    </w:p>
    <w:p>
      <w:pPr>
        <w:spacing w:line="560" w:lineRule="exact"/>
        <w:ind w:firstLine="640" w:firstLineChars="200"/>
        <w:rPr>
          <w:rFonts w:eastAsia="仿宋_GB2312"/>
          <w:color w:val="000000" w:themeColor="text1"/>
          <w:sz w:val="32"/>
          <w:szCs w:val="32"/>
        </w:rPr>
      </w:pPr>
      <w:bookmarkStart w:id="67" w:name="_Toc15377444"/>
      <w:bookmarkStart w:id="68" w:name="_Toc15378460"/>
      <w:bookmarkStart w:id="69" w:name="_Toc15377213"/>
      <w:r>
        <w:rPr>
          <w:rFonts w:eastAsia="仿宋_GB2312"/>
          <w:color w:val="000000" w:themeColor="text1"/>
          <w:sz w:val="32"/>
          <w:szCs w:val="32"/>
        </w:rPr>
        <w:t>2022年一般公共预算支出决算数为151.96万元，完成预算100%。其中：</w:t>
      </w:r>
      <w:bookmarkEnd w:id="67"/>
      <w:bookmarkEnd w:id="68"/>
      <w:bookmarkEnd w:id="69"/>
    </w:p>
    <w:p>
      <w:pPr>
        <w:spacing w:line="560" w:lineRule="exact"/>
        <w:ind w:firstLine="643" w:firstLineChars="200"/>
        <w:rPr>
          <w:rFonts w:eastAsia="仿宋_GB2312"/>
          <w:b/>
          <w:color w:val="000000" w:themeColor="text1"/>
          <w:sz w:val="32"/>
          <w:szCs w:val="32"/>
        </w:rPr>
      </w:pPr>
      <w:r>
        <w:rPr>
          <w:rFonts w:eastAsia="仿宋_GB2312"/>
          <w:b/>
          <w:color w:val="000000" w:themeColor="text1"/>
          <w:sz w:val="32"/>
          <w:szCs w:val="32"/>
        </w:rPr>
        <w:t>1.一般公共服务（类）财政事务支出（款）</w:t>
      </w:r>
    </w:p>
    <w:p>
      <w:pPr>
        <w:spacing w:line="560" w:lineRule="exact"/>
        <w:ind w:firstLine="643" w:firstLineChars="200"/>
        <w:rPr>
          <w:rFonts w:eastAsia="仿宋_GB2312"/>
          <w:color w:val="000000" w:themeColor="text1"/>
          <w:sz w:val="32"/>
          <w:szCs w:val="32"/>
        </w:rPr>
      </w:pPr>
      <w:r>
        <w:rPr>
          <w:rFonts w:eastAsia="仿宋_GB2312"/>
          <w:b/>
          <w:color w:val="000000" w:themeColor="text1"/>
          <w:sz w:val="32"/>
          <w:szCs w:val="32"/>
        </w:rPr>
        <w:t>①事业运行：</w:t>
      </w:r>
      <w:r>
        <w:rPr>
          <w:rFonts w:eastAsia="仿宋_GB2312"/>
          <w:color w:val="000000" w:themeColor="text1"/>
          <w:sz w:val="32"/>
          <w:szCs w:val="32"/>
        </w:rPr>
        <w:t>支出决算为117.87万元，完成预算100%，决算数等于预算数。</w:t>
      </w:r>
    </w:p>
    <w:p>
      <w:pPr>
        <w:spacing w:line="560" w:lineRule="exact"/>
        <w:ind w:firstLine="643" w:firstLineChars="200"/>
        <w:rPr>
          <w:rFonts w:eastAsia="仿宋_GB2312"/>
          <w:sz w:val="32"/>
          <w:szCs w:val="32"/>
        </w:rPr>
      </w:pPr>
      <w:r>
        <w:rPr>
          <w:rFonts w:eastAsia="仿宋_GB2312"/>
          <w:b/>
          <w:color w:val="000000" w:themeColor="text1"/>
          <w:sz w:val="32"/>
          <w:szCs w:val="32"/>
        </w:rPr>
        <w:t>②其他财政事务支出：</w:t>
      </w:r>
      <w:r>
        <w:rPr>
          <w:rFonts w:eastAsia="仿宋_GB2312"/>
          <w:color w:val="000000" w:themeColor="text1"/>
          <w:sz w:val="32"/>
          <w:szCs w:val="32"/>
        </w:rPr>
        <w:t>支出决算为8.00万元，完成预</w:t>
      </w:r>
      <w:r>
        <w:rPr>
          <w:rFonts w:eastAsia="仿宋_GB2312"/>
          <w:sz w:val="32"/>
          <w:szCs w:val="32"/>
        </w:rPr>
        <w:t>算100%，决算数等于预算数。</w:t>
      </w:r>
    </w:p>
    <w:p>
      <w:pPr>
        <w:spacing w:line="560" w:lineRule="exact"/>
        <w:ind w:firstLine="643" w:firstLineChars="200"/>
        <w:rPr>
          <w:rFonts w:eastAsia="仿宋_GB2312"/>
          <w:b/>
          <w:sz w:val="32"/>
          <w:szCs w:val="32"/>
        </w:rPr>
      </w:pPr>
      <w:r>
        <w:rPr>
          <w:rFonts w:eastAsia="仿宋_GB2312"/>
          <w:b/>
          <w:sz w:val="32"/>
          <w:szCs w:val="32"/>
        </w:rPr>
        <w:t xml:space="preserve">2.社会保障和就业（类）行政事业单位养老支出（款）  </w:t>
      </w:r>
    </w:p>
    <w:p>
      <w:pPr>
        <w:spacing w:line="560" w:lineRule="exact"/>
        <w:ind w:firstLine="640" w:firstLineChars="200"/>
        <w:rPr>
          <w:rFonts w:eastAsia="仿宋_GB2312"/>
          <w:sz w:val="32"/>
          <w:szCs w:val="32"/>
        </w:rPr>
      </w:pPr>
      <w:r>
        <w:rPr>
          <w:rFonts w:eastAsia="仿宋_GB2312"/>
          <w:sz w:val="32"/>
          <w:szCs w:val="32"/>
        </w:rPr>
        <w:t>机关事业单位基本养老保险缴费支出：支出决算为10.37万元，完成预算100%，决算数等于预算数。</w:t>
      </w:r>
    </w:p>
    <w:p>
      <w:pPr>
        <w:spacing w:line="560" w:lineRule="exact"/>
        <w:ind w:firstLine="643" w:firstLineChars="200"/>
        <w:rPr>
          <w:rFonts w:eastAsia="仿宋_GB2312"/>
          <w:sz w:val="32"/>
          <w:szCs w:val="32"/>
        </w:rPr>
      </w:pPr>
      <w:r>
        <w:rPr>
          <w:rFonts w:eastAsia="仿宋_GB2312"/>
          <w:b/>
          <w:sz w:val="32"/>
          <w:szCs w:val="32"/>
        </w:rPr>
        <w:t>3.住房保障支出（类）住房改革支出（款）住房公积金（项）：</w:t>
      </w:r>
      <w:r>
        <w:rPr>
          <w:rFonts w:eastAsia="仿宋_GB2312"/>
          <w:sz w:val="32"/>
          <w:szCs w:val="32"/>
        </w:rPr>
        <w:t>支出决算为11.56万元，完成预算100%，决算数等于预算数。</w:t>
      </w:r>
    </w:p>
    <w:p>
      <w:pPr>
        <w:spacing w:line="560" w:lineRule="exact"/>
        <w:ind w:firstLine="643" w:firstLineChars="200"/>
        <w:rPr>
          <w:rFonts w:eastAsia="仿宋_GB2312"/>
          <w:b/>
          <w:sz w:val="32"/>
          <w:szCs w:val="32"/>
        </w:rPr>
      </w:pPr>
      <w:r>
        <w:rPr>
          <w:rFonts w:eastAsia="仿宋_GB2312"/>
          <w:b/>
          <w:sz w:val="32"/>
          <w:szCs w:val="32"/>
        </w:rPr>
        <w:t>4.卫生健康支出（类）行政事业单位医疗（款）</w:t>
      </w:r>
    </w:p>
    <w:p>
      <w:pPr>
        <w:spacing w:line="560" w:lineRule="exact"/>
        <w:ind w:firstLine="643" w:firstLineChars="200"/>
        <w:rPr>
          <w:rFonts w:eastAsia="仿宋_GB2312"/>
          <w:sz w:val="32"/>
          <w:szCs w:val="32"/>
        </w:rPr>
      </w:pPr>
      <w:r>
        <w:rPr>
          <w:rFonts w:eastAsia="仿宋_GB2312"/>
          <w:b/>
          <w:sz w:val="32"/>
          <w:szCs w:val="32"/>
        </w:rPr>
        <w:sym w:font="Wingdings" w:char="F081"/>
      </w:r>
      <w:r>
        <w:rPr>
          <w:rFonts w:eastAsia="仿宋_GB2312"/>
          <w:b/>
          <w:sz w:val="32"/>
          <w:szCs w:val="32"/>
        </w:rPr>
        <w:t>事业单位医疗：</w:t>
      </w:r>
      <w:r>
        <w:rPr>
          <w:rFonts w:eastAsia="仿宋_GB2312"/>
          <w:sz w:val="32"/>
          <w:szCs w:val="32"/>
        </w:rPr>
        <w:t>支出决算为7.41万元，完成预算100%，决算数等于预算数。</w:t>
      </w:r>
    </w:p>
    <w:p>
      <w:pPr>
        <w:spacing w:line="560" w:lineRule="exact"/>
        <w:ind w:firstLine="643" w:firstLineChars="200"/>
        <w:rPr>
          <w:rFonts w:eastAsia="仿宋_GB2312"/>
          <w:sz w:val="32"/>
          <w:szCs w:val="32"/>
        </w:rPr>
      </w:pPr>
      <w:r>
        <w:rPr>
          <w:rFonts w:eastAsia="仿宋_GB2312"/>
          <w:b/>
          <w:sz w:val="32"/>
          <w:szCs w:val="32"/>
        </w:rPr>
        <w:sym w:font="Wingdings" w:char="F082"/>
      </w:r>
      <w:r>
        <w:rPr>
          <w:rFonts w:eastAsia="仿宋_GB2312"/>
          <w:b/>
          <w:sz w:val="32"/>
          <w:szCs w:val="32"/>
        </w:rPr>
        <w:t>其他行政事业单位医疗支出：</w:t>
      </w:r>
      <w:r>
        <w:rPr>
          <w:rFonts w:eastAsia="仿宋_GB2312"/>
          <w:sz w:val="32"/>
          <w:szCs w:val="32"/>
        </w:rPr>
        <w:t>支出决算为4.75万元，完成预算100%，决算数等于预算数。</w:t>
      </w:r>
    </w:p>
    <w:p>
      <w:pPr>
        <w:spacing w:line="560" w:lineRule="exact"/>
        <w:ind w:firstLine="640" w:firstLineChars="200"/>
        <w:rPr>
          <w:rFonts w:eastAsia="黑体"/>
          <w:sz w:val="32"/>
          <w:szCs w:val="32"/>
        </w:rPr>
      </w:pPr>
      <w:bookmarkStart w:id="70" w:name="_Toc22336_WPSOffice_Level2"/>
      <w:bookmarkStart w:id="71" w:name="_Toc15396608"/>
      <w:bookmarkStart w:id="72" w:name="_Toc15377214"/>
      <w:r>
        <w:rPr>
          <w:rFonts w:eastAsia="黑体"/>
          <w:sz w:val="32"/>
          <w:szCs w:val="32"/>
        </w:rPr>
        <w:t>六、一般公共预算财政拨款基本支出决算情况说明</w:t>
      </w:r>
      <w:bookmarkEnd w:id="70"/>
      <w:bookmarkEnd w:id="71"/>
      <w:bookmarkEnd w:id="72"/>
      <w:r>
        <w:rPr>
          <w:rFonts w:eastAsia="黑体"/>
          <w:sz w:val="32"/>
          <w:szCs w:val="32"/>
        </w:rPr>
        <w:tab/>
      </w:r>
    </w:p>
    <w:p>
      <w:pPr>
        <w:spacing w:line="560" w:lineRule="exact"/>
        <w:ind w:firstLine="640" w:firstLineChars="200"/>
        <w:rPr>
          <w:rFonts w:eastAsia="仿宋_GB2312"/>
          <w:sz w:val="32"/>
          <w:szCs w:val="32"/>
        </w:rPr>
      </w:pPr>
      <w:r>
        <w:rPr>
          <w:rFonts w:eastAsia="仿宋_GB2312"/>
          <w:sz w:val="32"/>
          <w:szCs w:val="32"/>
        </w:rPr>
        <w:t>2022年一般公共预算财政拨款基本支出143.96万元，其中：</w:t>
      </w:r>
    </w:p>
    <w:p>
      <w:pPr>
        <w:spacing w:line="560" w:lineRule="exact"/>
        <w:ind w:firstLine="640" w:firstLineChars="200"/>
        <w:rPr>
          <w:rFonts w:eastAsia="仿宋_GB2312"/>
          <w:sz w:val="32"/>
          <w:szCs w:val="32"/>
        </w:rPr>
      </w:pPr>
      <w:r>
        <w:rPr>
          <w:rFonts w:eastAsia="仿宋_GB2312"/>
          <w:sz w:val="32"/>
          <w:szCs w:val="32"/>
        </w:rPr>
        <w:t>人员经费138.49万元，主要包括：基本工资、津贴补贴、绩效工资、机关事业单位基本养老保险缴费、职工基本医疗保险缴费、公务员医疗补助缴费、其他社会保障缴费、其他工资福利支出、奖励金、住房公积金等。</w:t>
      </w:r>
      <w:r>
        <w:rPr>
          <w:rFonts w:eastAsia="仿宋_GB2312"/>
          <w:sz w:val="32"/>
          <w:szCs w:val="32"/>
        </w:rPr>
        <w:br w:type="textWrapping"/>
      </w:r>
      <w:r>
        <w:rPr>
          <w:rFonts w:eastAsia="仿宋_GB2312"/>
          <w:sz w:val="32"/>
          <w:szCs w:val="32"/>
        </w:rPr>
        <w:t>　　公用经费5.47万元，主要包括：办公费、差旅费、维修（护）费、劳务费、工会经费、福利费、公务用车运行维护费、其他商品和服务支出等。</w:t>
      </w:r>
    </w:p>
    <w:p>
      <w:pPr>
        <w:spacing w:line="560" w:lineRule="exact"/>
        <w:ind w:firstLine="640" w:firstLineChars="200"/>
        <w:rPr>
          <w:rFonts w:eastAsia="黑体"/>
          <w:sz w:val="32"/>
          <w:szCs w:val="32"/>
        </w:rPr>
      </w:pPr>
      <w:bookmarkStart w:id="73" w:name="_Toc15396609"/>
      <w:bookmarkStart w:id="74" w:name="_Toc15377215"/>
      <w:bookmarkStart w:id="75" w:name="_Toc1619_WPSOffice_Level2"/>
      <w:r>
        <w:rPr>
          <w:rFonts w:eastAsia="黑体"/>
          <w:sz w:val="32"/>
          <w:szCs w:val="32"/>
        </w:rPr>
        <w:t>七、财政拨款“三公”经费支出决算情况说明</w:t>
      </w:r>
      <w:bookmarkEnd w:id="73"/>
      <w:bookmarkEnd w:id="74"/>
      <w:bookmarkEnd w:id="75"/>
    </w:p>
    <w:p>
      <w:pPr>
        <w:spacing w:line="560" w:lineRule="exact"/>
        <w:ind w:firstLine="640" w:firstLineChars="200"/>
        <w:rPr>
          <w:rFonts w:eastAsia="楷体_GB2312"/>
          <w:sz w:val="32"/>
          <w:szCs w:val="32"/>
        </w:rPr>
      </w:pPr>
      <w:bookmarkStart w:id="76" w:name="_Toc15377216"/>
      <w:r>
        <w:rPr>
          <w:rFonts w:eastAsia="楷体_GB2312"/>
          <w:sz w:val="32"/>
          <w:szCs w:val="32"/>
        </w:rPr>
        <w:t>（一）“三公”经费财政拨款支出决算总体情况说明</w:t>
      </w:r>
      <w:bookmarkEnd w:id="76"/>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2022年“三公”经费财政拨款支出决算为0.92万元，完成预算100%，较上年减少17.08万元，下降94.9%。决算数与预算数持平。</w:t>
      </w:r>
    </w:p>
    <w:p>
      <w:pPr>
        <w:spacing w:line="560" w:lineRule="exact"/>
        <w:ind w:firstLine="640" w:firstLineChars="200"/>
        <w:rPr>
          <w:rFonts w:eastAsia="楷体_GB2312"/>
          <w:sz w:val="32"/>
          <w:szCs w:val="32"/>
        </w:rPr>
      </w:pPr>
      <w:bookmarkStart w:id="77" w:name="_Toc15377217"/>
      <w:r>
        <w:rPr>
          <w:rFonts w:eastAsia="楷体_GB2312"/>
          <w:sz w:val="32"/>
          <w:szCs w:val="32"/>
        </w:rPr>
        <w:t>（二）“三公”经费财政拨款支出决算具体情况说明</w:t>
      </w:r>
      <w:bookmarkEnd w:id="77"/>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2022年“三公”经费财政拨款支出决算中，因公出国（境）费支出决算0万元，占0%；公务用车购置及运行维护费支出决算0.92万元，占100%；公务接待费支出决算0万元，占0%。具体情况如下：</w:t>
      </w:r>
    </w:p>
    <w:p>
      <w:pPr>
        <w:pStyle w:val="2"/>
        <w:rPr>
          <w:rFonts w:ascii="仿宋" w:hAnsi="仿宋" w:eastAsia="仿宋"/>
          <w:sz w:val="32"/>
          <w:szCs w:val="32"/>
        </w:rPr>
      </w:pPr>
      <w:r>
        <w:drawing>
          <wp:inline distT="0" distB="0" distL="114300" distR="114300">
            <wp:extent cx="5268595" cy="2656205"/>
            <wp:effectExtent l="4445" t="4445" r="22860" b="6350"/>
            <wp:docPr id="2334"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556" w:lineRule="exact"/>
        <w:ind w:firstLine="643" w:firstLineChars="200"/>
        <w:rPr>
          <w:rFonts w:eastAsia="仿宋_GB2312"/>
          <w:sz w:val="32"/>
          <w:szCs w:val="32"/>
        </w:rPr>
      </w:pPr>
      <w:r>
        <w:rPr>
          <w:rFonts w:eastAsia="仿宋_GB2312"/>
          <w:b/>
          <w:sz w:val="32"/>
          <w:szCs w:val="32"/>
        </w:rPr>
        <w:t>1.因公出国（境）经费支出0万元，完成预算0%。</w:t>
      </w:r>
      <w:r>
        <w:rPr>
          <w:rFonts w:eastAsia="仿宋_GB2312"/>
          <w:sz w:val="32"/>
          <w:szCs w:val="32"/>
        </w:rPr>
        <w:t>全年安排因公出国（境）团组0次，出国（境）0人。因公出国（境）支出决算比2021年无增减变动。主要原因是单位无因公出国（境）支出。</w:t>
      </w:r>
    </w:p>
    <w:p>
      <w:pPr>
        <w:spacing w:line="556" w:lineRule="exact"/>
        <w:ind w:firstLine="643" w:firstLineChars="200"/>
        <w:rPr>
          <w:rFonts w:eastAsia="仿宋_GB2312"/>
          <w:sz w:val="32"/>
          <w:szCs w:val="32"/>
        </w:rPr>
      </w:pPr>
      <w:r>
        <w:rPr>
          <w:rFonts w:eastAsia="仿宋_GB2312"/>
          <w:b/>
          <w:sz w:val="32"/>
          <w:szCs w:val="32"/>
        </w:rPr>
        <w:t>2.公务用车购置及运行维护费支出0.92万元,完成预算100%。</w:t>
      </w:r>
      <w:r>
        <w:rPr>
          <w:rFonts w:eastAsia="仿宋_GB2312"/>
          <w:sz w:val="32"/>
          <w:szCs w:val="32"/>
        </w:rPr>
        <w:t>公务用车购置及运行维护费支出决算比2021年减少17.08万元，下降94.9%。主要原因是2021年购置公务用车，2022年无公务用车购置费用。</w:t>
      </w:r>
    </w:p>
    <w:p>
      <w:pPr>
        <w:spacing w:line="556" w:lineRule="exact"/>
        <w:ind w:firstLine="640" w:firstLineChars="200"/>
        <w:rPr>
          <w:rFonts w:eastAsia="仿宋_GB2312"/>
          <w:sz w:val="32"/>
          <w:szCs w:val="32"/>
        </w:rPr>
      </w:pPr>
      <w:r>
        <w:rPr>
          <w:rFonts w:eastAsia="仿宋_GB2312"/>
          <w:sz w:val="32"/>
          <w:szCs w:val="32"/>
        </w:rPr>
        <w:t>其中：公务用车购置支出0万元。全年按规定更新购置公务用车0辆，其中：轿车0辆、金额0万元，越野车0辆、金额0万元，载客汽车0辆、金额0万元。截至2022年12月底，单位共有公务用车1辆，其中：轿车0辆、越野车1辆、载客汽车0辆。</w:t>
      </w:r>
    </w:p>
    <w:p>
      <w:pPr>
        <w:spacing w:line="556" w:lineRule="exact"/>
        <w:ind w:firstLine="640" w:firstLineChars="200"/>
        <w:rPr>
          <w:rFonts w:eastAsia="仿宋_GB2312"/>
          <w:sz w:val="32"/>
          <w:szCs w:val="32"/>
        </w:rPr>
      </w:pPr>
      <w:r>
        <w:rPr>
          <w:rFonts w:eastAsia="仿宋_GB2312"/>
          <w:sz w:val="32"/>
          <w:szCs w:val="32"/>
        </w:rPr>
        <w:t>公务用车运行维护费支出0.92万元。主要用于推进对乡镇财务的抽查检查工作等所需的公务用车燃料费、维修费、过路过桥费、保险费等支出。</w:t>
      </w:r>
    </w:p>
    <w:p>
      <w:pPr>
        <w:spacing w:line="556" w:lineRule="exact"/>
        <w:ind w:firstLine="643" w:firstLineChars="200"/>
        <w:rPr>
          <w:rFonts w:eastAsia="仿宋_GB2312"/>
          <w:sz w:val="32"/>
          <w:szCs w:val="32"/>
        </w:rPr>
      </w:pPr>
      <w:r>
        <w:rPr>
          <w:rFonts w:eastAsia="仿宋_GB2312"/>
          <w:b/>
          <w:sz w:val="32"/>
          <w:szCs w:val="32"/>
        </w:rPr>
        <w:t>3.公务接待费支出0万元，完成预算0%。</w:t>
      </w:r>
      <w:r>
        <w:rPr>
          <w:rFonts w:eastAsia="仿宋_GB2312"/>
          <w:sz w:val="32"/>
          <w:szCs w:val="32"/>
        </w:rPr>
        <w:t>公务接待费支出决算比2021年无增减变动。主要原因是单位无公务接待费支出。其中：</w:t>
      </w:r>
    </w:p>
    <w:p>
      <w:pPr>
        <w:spacing w:line="556" w:lineRule="exact"/>
        <w:ind w:firstLine="640" w:firstLineChars="200"/>
        <w:rPr>
          <w:rFonts w:eastAsia="仿宋_GB2312"/>
          <w:sz w:val="32"/>
          <w:szCs w:val="32"/>
        </w:rPr>
      </w:pPr>
      <w:r>
        <w:rPr>
          <w:rFonts w:eastAsia="仿宋_GB2312"/>
          <w:sz w:val="32"/>
          <w:szCs w:val="32"/>
        </w:rPr>
        <w:t>国内公务接待支出0万元，。国内公务接待0批次，0人次（不包括陪同人员），共计支出0万元。</w:t>
      </w:r>
    </w:p>
    <w:p>
      <w:pPr>
        <w:spacing w:line="556" w:lineRule="exact"/>
        <w:ind w:firstLine="640" w:firstLineChars="200"/>
        <w:rPr>
          <w:rFonts w:eastAsia="仿宋_GB2312"/>
          <w:sz w:val="32"/>
          <w:szCs w:val="32"/>
        </w:rPr>
      </w:pPr>
      <w:r>
        <w:rPr>
          <w:rFonts w:eastAsia="仿宋_GB2312"/>
          <w:sz w:val="32"/>
          <w:szCs w:val="32"/>
        </w:rPr>
        <w:t>外事接待支出0万元。外事接待0批次，0人次（不包括陪同人员），共计支出0万元。</w:t>
      </w:r>
      <w:bookmarkStart w:id="78" w:name="_Toc15377218"/>
      <w:bookmarkStart w:id="79" w:name="_Toc15396610"/>
    </w:p>
    <w:p>
      <w:pPr>
        <w:spacing w:line="556" w:lineRule="exact"/>
        <w:ind w:firstLine="640" w:firstLineChars="200"/>
        <w:rPr>
          <w:rFonts w:eastAsia="黑体"/>
          <w:sz w:val="32"/>
          <w:szCs w:val="32"/>
        </w:rPr>
      </w:pPr>
      <w:bookmarkStart w:id="80" w:name="_Toc10165_WPSOffice_Level2"/>
      <w:r>
        <w:rPr>
          <w:rFonts w:eastAsia="黑体"/>
          <w:sz w:val="32"/>
          <w:szCs w:val="32"/>
        </w:rPr>
        <w:t>八、政府性基金预算支出决算情况说明</w:t>
      </w:r>
      <w:bookmarkEnd w:id="78"/>
      <w:bookmarkEnd w:id="79"/>
      <w:bookmarkEnd w:id="80"/>
    </w:p>
    <w:p>
      <w:pPr>
        <w:spacing w:line="556" w:lineRule="exact"/>
        <w:ind w:firstLine="640" w:firstLineChars="200"/>
        <w:rPr>
          <w:rFonts w:eastAsia="仿宋_GB2312"/>
          <w:sz w:val="32"/>
          <w:szCs w:val="32"/>
        </w:rPr>
      </w:pPr>
      <w:r>
        <w:rPr>
          <w:rFonts w:eastAsia="仿宋_GB2312"/>
          <w:sz w:val="32"/>
          <w:szCs w:val="32"/>
        </w:rPr>
        <w:t>2022年政府性基金预算财政拨款支出0万元。</w:t>
      </w:r>
    </w:p>
    <w:p>
      <w:pPr>
        <w:spacing w:line="556" w:lineRule="exact"/>
        <w:ind w:firstLine="640" w:firstLineChars="200"/>
        <w:rPr>
          <w:rFonts w:eastAsia="黑体"/>
          <w:sz w:val="32"/>
          <w:szCs w:val="32"/>
        </w:rPr>
      </w:pPr>
      <w:bookmarkStart w:id="81" w:name="_Toc15377219"/>
      <w:bookmarkStart w:id="82" w:name="_Toc15396611"/>
      <w:bookmarkStart w:id="83" w:name="_Toc8816_WPSOffice_Level2"/>
      <w:r>
        <w:rPr>
          <w:rFonts w:eastAsia="黑体"/>
          <w:sz w:val="32"/>
          <w:szCs w:val="32"/>
        </w:rPr>
        <w:t>九、国有资本经营预算支出决算情况说明</w:t>
      </w:r>
      <w:bookmarkEnd w:id="81"/>
      <w:bookmarkEnd w:id="82"/>
      <w:bookmarkEnd w:id="83"/>
    </w:p>
    <w:p>
      <w:pPr>
        <w:spacing w:line="556" w:lineRule="exact"/>
        <w:ind w:firstLine="640" w:firstLineChars="200"/>
        <w:rPr>
          <w:rFonts w:eastAsia="仿宋_GB2312"/>
          <w:sz w:val="32"/>
          <w:szCs w:val="32"/>
        </w:rPr>
      </w:pPr>
      <w:r>
        <w:rPr>
          <w:rFonts w:eastAsia="仿宋_GB2312"/>
          <w:sz w:val="32"/>
          <w:szCs w:val="32"/>
        </w:rPr>
        <w:t>2022年国有资本经营预算财政拨款支出0万元。</w:t>
      </w:r>
    </w:p>
    <w:p>
      <w:pPr>
        <w:spacing w:line="556" w:lineRule="exact"/>
        <w:ind w:firstLine="640" w:firstLineChars="200"/>
        <w:rPr>
          <w:rFonts w:eastAsia="黑体"/>
          <w:sz w:val="32"/>
          <w:szCs w:val="32"/>
        </w:rPr>
      </w:pPr>
      <w:bookmarkStart w:id="84" w:name="_Toc15377221"/>
      <w:bookmarkStart w:id="85" w:name="_Toc5520_WPSOffice_Level2"/>
      <w:bookmarkStart w:id="86" w:name="_Toc15396612"/>
      <w:r>
        <w:rPr>
          <w:rFonts w:eastAsia="黑体"/>
          <w:sz w:val="32"/>
          <w:szCs w:val="32"/>
        </w:rPr>
        <w:t>十、其他重要事项的情况说明</w:t>
      </w:r>
      <w:bookmarkEnd w:id="84"/>
      <w:bookmarkEnd w:id="85"/>
      <w:bookmarkEnd w:id="86"/>
    </w:p>
    <w:p>
      <w:pPr>
        <w:spacing w:line="556" w:lineRule="exact"/>
        <w:ind w:firstLine="640" w:firstLineChars="200"/>
        <w:rPr>
          <w:rFonts w:eastAsia="楷体_GB2312"/>
          <w:sz w:val="32"/>
          <w:szCs w:val="32"/>
        </w:rPr>
      </w:pPr>
      <w:bookmarkStart w:id="87" w:name="_Toc15377222"/>
      <w:r>
        <w:rPr>
          <w:rFonts w:eastAsia="楷体_GB2312"/>
          <w:sz w:val="32"/>
          <w:szCs w:val="32"/>
        </w:rPr>
        <w:t>（一）机关运行经费支出情况</w:t>
      </w:r>
      <w:bookmarkEnd w:id="87"/>
      <w:r>
        <w:rPr>
          <w:rFonts w:eastAsia="楷体_GB2312"/>
          <w:sz w:val="32"/>
          <w:szCs w:val="32"/>
        </w:rPr>
        <w:t>。</w:t>
      </w:r>
    </w:p>
    <w:p>
      <w:pPr>
        <w:spacing w:line="556" w:lineRule="exact"/>
        <w:ind w:firstLine="640" w:firstLineChars="200"/>
        <w:rPr>
          <w:rFonts w:eastAsia="仿宋_GB2312"/>
          <w:sz w:val="32"/>
          <w:szCs w:val="32"/>
        </w:rPr>
      </w:pPr>
      <w:r>
        <w:rPr>
          <w:rFonts w:eastAsia="仿宋_GB2312"/>
          <w:sz w:val="32"/>
          <w:szCs w:val="32"/>
        </w:rPr>
        <w:t>2022年，盐边县乡镇财政事务中心机关运行经费支出0万元，比2021年无增减变动，主要原因是我单位为事业单位无机关运行经费。</w:t>
      </w:r>
    </w:p>
    <w:p>
      <w:pPr>
        <w:spacing w:line="556" w:lineRule="exact"/>
        <w:ind w:firstLine="640" w:firstLineChars="200"/>
        <w:rPr>
          <w:rFonts w:eastAsia="楷体_GB2312"/>
          <w:sz w:val="32"/>
          <w:szCs w:val="32"/>
        </w:rPr>
      </w:pPr>
      <w:bookmarkStart w:id="88" w:name="_Toc15377223"/>
      <w:r>
        <w:rPr>
          <w:rFonts w:eastAsia="楷体_GB2312"/>
          <w:sz w:val="32"/>
          <w:szCs w:val="32"/>
        </w:rPr>
        <w:t>（二）政府采购支出情况</w:t>
      </w:r>
      <w:bookmarkEnd w:id="88"/>
      <w:r>
        <w:rPr>
          <w:rFonts w:eastAsia="楷体_GB2312"/>
          <w:sz w:val="32"/>
          <w:szCs w:val="32"/>
        </w:rPr>
        <w:t>。</w:t>
      </w:r>
    </w:p>
    <w:p>
      <w:pPr>
        <w:spacing w:line="556" w:lineRule="exact"/>
        <w:ind w:firstLine="640" w:firstLineChars="200"/>
        <w:rPr>
          <w:rFonts w:eastAsia="仿宋_GB2312"/>
          <w:sz w:val="32"/>
          <w:szCs w:val="32"/>
        </w:rPr>
      </w:pPr>
      <w:r>
        <w:rPr>
          <w:rFonts w:eastAsia="仿宋_GB2312"/>
          <w:sz w:val="32"/>
          <w:szCs w:val="32"/>
        </w:rPr>
        <w:t>2022年，盐边县乡镇财政事务中心政府采购支出总额5.68万元，其中：政府采购货物支出5.68万元、政府采购工程支出0万元、政府采购服务支出0万元。主要用于</w:t>
      </w:r>
      <w:r>
        <w:rPr>
          <w:rFonts w:hint="eastAsia" w:eastAsia="仿宋_GB2312"/>
          <w:sz w:val="32"/>
          <w:szCs w:val="32"/>
          <w:lang w:val="en-US" w:eastAsia="zh-CN"/>
        </w:rPr>
        <w:t>办公设备购置</w:t>
      </w:r>
      <w:bookmarkStart w:id="119" w:name="_GoBack"/>
      <w:bookmarkEnd w:id="119"/>
      <w:r>
        <w:rPr>
          <w:rFonts w:eastAsia="仿宋_GB2312"/>
          <w:sz w:val="32"/>
          <w:szCs w:val="32"/>
        </w:rPr>
        <w:t>。授予中小企业合同金额5.68万元，占政府采购支出总额的100%，其中：授予小微企业合同金额5.68万元，占政府采购支出总额的100%。</w:t>
      </w:r>
    </w:p>
    <w:p>
      <w:pPr>
        <w:spacing w:line="556" w:lineRule="exact"/>
        <w:ind w:firstLine="640" w:firstLineChars="200"/>
        <w:rPr>
          <w:rFonts w:eastAsia="楷体_GB2312"/>
          <w:sz w:val="32"/>
          <w:szCs w:val="32"/>
        </w:rPr>
      </w:pPr>
      <w:bookmarkStart w:id="89" w:name="_Toc15377224"/>
      <w:r>
        <w:rPr>
          <w:rFonts w:eastAsia="楷体_GB2312"/>
          <w:sz w:val="32"/>
          <w:szCs w:val="32"/>
        </w:rPr>
        <w:t>（三）国有资产占有使用情况</w:t>
      </w:r>
      <w:bookmarkEnd w:id="89"/>
      <w:r>
        <w:rPr>
          <w:rFonts w:eastAsia="楷体_GB2312"/>
          <w:sz w:val="32"/>
          <w:szCs w:val="32"/>
        </w:rPr>
        <w:t>。</w:t>
      </w:r>
    </w:p>
    <w:p>
      <w:pPr>
        <w:spacing w:line="556" w:lineRule="exact"/>
        <w:ind w:firstLine="640" w:firstLineChars="200"/>
        <w:rPr>
          <w:rFonts w:eastAsia="仿宋_GB2312"/>
          <w:sz w:val="32"/>
          <w:szCs w:val="32"/>
        </w:rPr>
      </w:pPr>
      <w:r>
        <w:rPr>
          <w:rFonts w:eastAsia="仿宋_GB2312"/>
          <w:sz w:val="32"/>
          <w:szCs w:val="32"/>
        </w:rPr>
        <w:t>截至2022年12月31日，盐边县乡镇财政事务中心共有车辆1辆，其中：主要领导干部用车0辆、机要通信用车0辆、应急保障用车0辆、其他用车1辆，其他用车主要是推进对乡镇财务的抽查检查工作等所需的公务用车燃料费、维修费、过路过桥费、保险费等支出。单价100万元以上专用设备0台（套）。</w:t>
      </w:r>
    </w:p>
    <w:p>
      <w:pPr>
        <w:spacing w:line="556" w:lineRule="exact"/>
        <w:ind w:firstLine="640" w:firstLineChars="200"/>
        <w:rPr>
          <w:rFonts w:eastAsia="楷体_GB2312"/>
          <w:sz w:val="32"/>
          <w:szCs w:val="32"/>
        </w:rPr>
      </w:pPr>
      <w:r>
        <w:rPr>
          <w:rFonts w:eastAsia="楷体_GB2312"/>
          <w:sz w:val="32"/>
          <w:szCs w:val="32"/>
        </w:rPr>
        <w:t>（四）预算绩效管理情况。</w:t>
      </w:r>
    </w:p>
    <w:p>
      <w:pPr>
        <w:spacing w:line="556" w:lineRule="exact"/>
        <w:ind w:firstLine="640" w:firstLineChars="200"/>
        <w:rPr>
          <w:rFonts w:hint="eastAsia" w:ascii="仿宋_GB2312" w:eastAsia="仿宋_GB2312"/>
          <w:sz w:val="32"/>
          <w:szCs w:val="32"/>
        </w:rPr>
      </w:pPr>
      <w:r>
        <w:rPr>
          <w:rFonts w:eastAsia="仿宋_GB2312"/>
          <w:sz w:val="32"/>
          <w:szCs w:val="32"/>
        </w:rPr>
        <w:t>根据预算绩效管理要求，本单位在2022年度预算编制阶段，组织对乡镇财政运行费用等1个项目开展了预算事前绩效评估，对1个项目编制了绩效目标，预算执行过程中，选取1个项目开展绩效监控,组织开展绩效自评，绩效自评表详见第四部分附件。</w:t>
      </w:r>
      <w:r>
        <w:rPr>
          <w:rFonts w:hint="eastAsia" w:ascii="仿宋_GB2312" w:eastAsia="仿宋_GB2312"/>
          <w:sz w:val="32"/>
          <w:szCs w:val="32"/>
        </w:rPr>
        <w:br w:type="page"/>
      </w:r>
    </w:p>
    <w:p>
      <w:pPr>
        <w:jc w:val="center"/>
        <w:rPr>
          <w:rFonts w:eastAsia="方正小标宋_GBK"/>
          <w:sz w:val="44"/>
          <w:szCs w:val="44"/>
        </w:rPr>
      </w:pPr>
      <w:bookmarkStart w:id="90" w:name="_Toc15396613"/>
      <w:bookmarkStart w:id="91" w:name="_Toc15377225"/>
      <w:bookmarkStart w:id="92" w:name="_Toc17761_WPSOffice_Level1"/>
      <w:r>
        <w:rPr>
          <w:rFonts w:eastAsia="方正小标宋_GBK"/>
          <w:sz w:val="44"/>
          <w:szCs w:val="44"/>
        </w:rPr>
        <w:t>第三部分 名词解释</w:t>
      </w:r>
      <w:bookmarkEnd w:id="90"/>
      <w:bookmarkEnd w:id="91"/>
      <w:bookmarkEnd w:id="92"/>
    </w:p>
    <w:p>
      <w:pPr>
        <w:spacing w:line="600" w:lineRule="exact"/>
        <w:jc w:val="left"/>
        <w:rPr>
          <w:b/>
          <w:sz w:val="44"/>
          <w:szCs w:val="44"/>
        </w:rPr>
      </w:pPr>
    </w:p>
    <w:p>
      <w:pPr>
        <w:spacing w:line="560" w:lineRule="exact"/>
        <w:ind w:firstLine="640" w:firstLineChars="200"/>
        <w:rPr>
          <w:rFonts w:eastAsia="黑体"/>
          <w:sz w:val="32"/>
          <w:szCs w:val="32"/>
        </w:rPr>
      </w:pPr>
      <w:bookmarkStart w:id="93" w:name="_Toc15377226"/>
      <w:r>
        <w:rPr>
          <w:rFonts w:eastAsia="黑体"/>
          <w:sz w:val="32"/>
          <w:szCs w:val="32"/>
        </w:rPr>
        <w:t>一、财政拨款收入</w:t>
      </w:r>
    </w:p>
    <w:p>
      <w:pPr>
        <w:spacing w:line="560" w:lineRule="exact"/>
        <w:ind w:firstLine="640" w:firstLineChars="200"/>
        <w:rPr>
          <w:rFonts w:eastAsia="仿宋_GB2312"/>
          <w:sz w:val="32"/>
          <w:szCs w:val="32"/>
        </w:rPr>
      </w:pPr>
      <w:r>
        <w:rPr>
          <w:rFonts w:eastAsia="仿宋_GB2312"/>
          <w:sz w:val="32"/>
          <w:szCs w:val="32"/>
        </w:rPr>
        <w:t>指单位从同级财政部门取得的财政预算资金。</w:t>
      </w:r>
    </w:p>
    <w:p>
      <w:pPr>
        <w:spacing w:line="560" w:lineRule="exact"/>
        <w:ind w:firstLine="640" w:firstLineChars="200"/>
        <w:rPr>
          <w:rFonts w:eastAsia="黑体"/>
          <w:sz w:val="32"/>
          <w:szCs w:val="32"/>
        </w:rPr>
      </w:pPr>
      <w:r>
        <w:rPr>
          <w:rFonts w:eastAsia="黑体"/>
          <w:sz w:val="32"/>
          <w:szCs w:val="32"/>
        </w:rPr>
        <w:t>二、一般公共服务（类）财政事务支出（款）</w:t>
      </w:r>
    </w:p>
    <w:p>
      <w:pPr>
        <w:spacing w:line="560" w:lineRule="exact"/>
        <w:ind w:firstLine="643" w:firstLineChars="200"/>
        <w:rPr>
          <w:rFonts w:eastAsia="仿宋_GB2312"/>
          <w:sz w:val="32"/>
          <w:szCs w:val="32"/>
        </w:rPr>
      </w:pPr>
      <w:r>
        <w:rPr>
          <w:rFonts w:eastAsia="仿宋_GB2312"/>
          <w:b/>
          <w:sz w:val="32"/>
          <w:szCs w:val="32"/>
        </w:rPr>
        <w:t>1.事业运行：</w:t>
      </w:r>
      <w:r>
        <w:rPr>
          <w:rFonts w:eastAsia="仿宋_GB2312"/>
          <w:sz w:val="32"/>
          <w:szCs w:val="32"/>
        </w:rPr>
        <w:t>指事业单位的基本支出。不包括行政单位（包括实行公务员管理的事业单位）后勤服务中心、医务室等附属事业单位。</w:t>
      </w:r>
    </w:p>
    <w:p>
      <w:pPr>
        <w:spacing w:line="560" w:lineRule="exact"/>
        <w:ind w:firstLine="643" w:firstLineChars="200"/>
        <w:rPr>
          <w:rFonts w:eastAsia="仿宋_GB2312"/>
          <w:sz w:val="32"/>
          <w:szCs w:val="32"/>
        </w:rPr>
      </w:pPr>
      <w:r>
        <w:rPr>
          <w:rFonts w:eastAsia="仿宋_GB2312"/>
          <w:b/>
          <w:sz w:val="32"/>
          <w:szCs w:val="32"/>
        </w:rPr>
        <w:t>2.其他财政事务支出：</w:t>
      </w:r>
      <w:r>
        <w:rPr>
          <w:rFonts w:eastAsia="仿宋_GB2312"/>
          <w:sz w:val="32"/>
          <w:szCs w:val="32"/>
        </w:rPr>
        <w:t>指除上述项目以外其他财政事务方面的支出。</w:t>
      </w:r>
    </w:p>
    <w:p>
      <w:pPr>
        <w:spacing w:line="560" w:lineRule="exact"/>
        <w:ind w:firstLine="640" w:firstLineChars="200"/>
        <w:rPr>
          <w:rFonts w:eastAsia="黑体"/>
          <w:sz w:val="32"/>
          <w:szCs w:val="32"/>
        </w:rPr>
      </w:pPr>
      <w:r>
        <w:rPr>
          <w:rFonts w:eastAsia="黑体"/>
          <w:sz w:val="32"/>
          <w:szCs w:val="32"/>
        </w:rPr>
        <w:t xml:space="preserve">三、社会保障和就业（类）行政事业单位养老支出（款）  </w:t>
      </w:r>
    </w:p>
    <w:p>
      <w:pPr>
        <w:spacing w:line="560" w:lineRule="exact"/>
        <w:ind w:firstLine="640" w:firstLineChars="200"/>
        <w:rPr>
          <w:rFonts w:eastAsia="仿宋_GB2312"/>
          <w:sz w:val="32"/>
          <w:szCs w:val="32"/>
        </w:rPr>
      </w:pPr>
      <w:r>
        <w:rPr>
          <w:rFonts w:eastAsia="仿宋_GB2312"/>
          <w:sz w:val="32"/>
          <w:szCs w:val="32"/>
        </w:rPr>
        <w:t>机关事业单位基本养老保险缴费支出：指机关事业单位实施养老保险制度有单位缴纳的基本养老保险费支出。</w:t>
      </w:r>
    </w:p>
    <w:p>
      <w:pPr>
        <w:spacing w:line="560" w:lineRule="exact"/>
        <w:ind w:firstLine="640" w:firstLineChars="200"/>
        <w:rPr>
          <w:rFonts w:eastAsia="黑体"/>
          <w:sz w:val="32"/>
          <w:szCs w:val="32"/>
        </w:rPr>
      </w:pPr>
      <w:r>
        <w:rPr>
          <w:rFonts w:eastAsia="黑体"/>
          <w:sz w:val="32"/>
          <w:szCs w:val="32"/>
        </w:rPr>
        <w:t>四、卫生健康支出（类）行政事业单位医疗（款）</w:t>
      </w:r>
    </w:p>
    <w:p>
      <w:pPr>
        <w:spacing w:line="560" w:lineRule="exact"/>
        <w:ind w:firstLine="643" w:firstLineChars="200"/>
        <w:rPr>
          <w:rFonts w:eastAsia="仿宋_GB2312"/>
          <w:sz w:val="32"/>
          <w:szCs w:val="32"/>
        </w:rPr>
      </w:pPr>
      <w:r>
        <w:rPr>
          <w:rFonts w:eastAsia="仿宋_GB2312"/>
          <w:b/>
          <w:sz w:val="32"/>
          <w:szCs w:val="32"/>
        </w:rPr>
        <w:t>1.事业单位医疗：</w:t>
      </w:r>
      <w:r>
        <w:rPr>
          <w:rFonts w:eastAsia="仿宋_GB2312"/>
          <w:sz w:val="32"/>
          <w:szCs w:val="32"/>
        </w:rPr>
        <w:t>指财政部门安排的事业单位基本医疗保险缴费经费，未参加医疗保险的事业单位的公费医疗经费，按国家规定享受离休人员医疗经费。</w:t>
      </w:r>
    </w:p>
    <w:p>
      <w:pPr>
        <w:spacing w:line="560" w:lineRule="exact"/>
        <w:ind w:firstLine="643" w:firstLineChars="200"/>
        <w:rPr>
          <w:rFonts w:eastAsia="仿宋_GB2312"/>
          <w:sz w:val="32"/>
          <w:szCs w:val="32"/>
        </w:rPr>
      </w:pPr>
      <w:r>
        <w:rPr>
          <w:rFonts w:eastAsia="仿宋_GB2312"/>
          <w:b/>
          <w:sz w:val="32"/>
          <w:szCs w:val="32"/>
        </w:rPr>
        <w:t>2.其他行政事业单位医疗支出:</w:t>
      </w:r>
      <w:r>
        <w:rPr>
          <w:rFonts w:eastAsia="仿宋_GB2312"/>
          <w:sz w:val="32"/>
          <w:szCs w:val="32"/>
        </w:rPr>
        <w:t>指在职人员公务员医疗补助缴费支出</w:t>
      </w:r>
    </w:p>
    <w:p>
      <w:pPr>
        <w:spacing w:line="560" w:lineRule="exact"/>
        <w:ind w:firstLine="640" w:firstLineChars="200"/>
        <w:rPr>
          <w:rFonts w:eastAsia="黑体"/>
          <w:sz w:val="32"/>
          <w:szCs w:val="32"/>
        </w:rPr>
      </w:pPr>
      <w:r>
        <w:rPr>
          <w:rFonts w:eastAsia="黑体"/>
          <w:sz w:val="32"/>
          <w:szCs w:val="32"/>
        </w:rPr>
        <w:t>五、住房保障支出（类）住房改革支出（款）住房公积金（项）</w:t>
      </w:r>
    </w:p>
    <w:p>
      <w:pPr>
        <w:spacing w:line="560" w:lineRule="exact"/>
        <w:ind w:firstLine="640" w:firstLineChars="200"/>
        <w:rPr>
          <w:rFonts w:eastAsia="仿宋_GB2312"/>
          <w:sz w:val="32"/>
          <w:szCs w:val="32"/>
        </w:rPr>
      </w:pPr>
      <w:r>
        <w:rPr>
          <w:rFonts w:eastAsia="仿宋_GB2312"/>
          <w:sz w:val="32"/>
          <w:szCs w:val="32"/>
        </w:rPr>
        <w:t>指行政事业单位按人力资源和社会保障部、财政部规定的基本工资和津贴补贴以及规定比例为职工缴纳的住房公积金。</w:t>
      </w:r>
    </w:p>
    <w:p>
      <w:pPr>
        <w:spacing w:line="560" w:lineRule="exact"/>
        <w:ind w:firstLine="640" w:firstLineChars="200"/>
        <w:rPr>
          <w:rFonts w:eastAsia="黑体"/>
          <w:sz w:val="32"/>
          <w:szCs w:val="32"/>
        </w:rPr>
      </w:pPr>
      <w:r>
        <w:rPr>
          <w:rFonts w:eastAsia="黑体"/>
          <w:sz w:val="32"/>
          <w:szCs w:val="32"/>
        </w:rPr>
        <w:t>六、基本支出</w:t>
      </w:r>
    </w:p>
    <w:p>
      <w:pPr>
        <w:spacing w:line="560" w:lineRule="exact"/>
        <w:ind w:firstLine="640" w:firstLineChars="200"/>
        <w:rPr>
          <w:rFonts w:eastAsia="仿宋_GB2312"/>
          <w:sz w:val="32"/>
          <w:szCs w:val="32"/>
        </w:rPr>
      </w:pPr>
      <w:r>
        <w:rPr>
          <w:rFonts w:eastAsia="仿宋_GB2312"/>
          <w:sz w:val="32"/>
          <w:szCs w:val="32"/>
        </w:rPr>
        <w:t>指为保障机构正常运转、完成日常工作任务而发生的人员支出和公用支出。</w:t>
      </w:r>
    </w:p>
    <w:p>
      <w:pPr>
        <w:spacing w:line="560" w:lineRule="exact"/>
        <w:ind w:firstLine="640" w:firstLineChars="200"/>
        <w:rPr>
          <w:rFonts w:eastAsia="黑体"/>
          <w:sz w:val="32"/>
          <w:szCs w:val="32"/>
        </w:rPr>
      </w:pPr>
      <w:r>
        <w:rPr>
          <w:rFonts w:eastAsia="黑体"/>
          <w:sz w:val="32"/>
          <w:szCs w:val="32"/>
        </w:rPr>
        <w:t>七、项目支出</w:t>
      </w:r>
    </w:p>
    <w:p>
      <w:pPr>
        <w:spacing w:line="560" w:lineRule="exact"/>
        <w:ind w:firstLine="640" w:firstLineChars="200"/>
        <w:rPr>
          <w:rFonts w:eastAsia="仿宋_GB2312"/>
          <w:sz w:val="32"/>
          <w:szCs w:val="32"/>
        </w:rPr>
      </w:pPr>
      <w:r>
        <w:rPr>
          <w:rFonts w:eastAsia="仿宋_GB2312"/>
          <w:sz w:val="32"/>
          <w:szCs w:val="32"/>
        </w:rPr>
        <w:t>指在基本支出之外为完成特定行政任务和事业发展目标所发生的支出。</w:t>
      </w:r>
    </w:p>
    <w:p>
      <w:pPr>
        <w:spacing w:line="560" w:lineRule="exact"/>
        <w:ind w:firstLine="640" w:firstLineChars="200"/>
        <w:rPr>
          <w:rFonts w:eastAsia="黑体"/>
          <w:sz w:val="32"/>
          <w:szCs w:val="32"/>
        </w:rPr>
      </w:pPr>
      <w:r>
        <w:rPr>
          <w:rFonts w:eastAsia="黑体"/>
          <w:sz w:val="32"/>
          <w:szCs w:val="32"/>
        </w:rPr>
        <w:t>八、“三公”经费</w:t>
      </w:r>
    </w:p>
    <w:p>
      <w:pPr>
        <w:spacing w:line="560" w:lineRule="exact"/>
        <w:ind w:firstLine="640" w:firstLineChars="200"/>
        <w:rPr>
          <w:rFonts w:eastAsia="仿宋_GB2312"/>
          <w:sz w:val="32"/>
          <w:szCs w:val="32"/>
        </w:rPr>
      </w:pPr>
      <w:r>
        <w:rPr>
          <w:rFonts w:eastAsia="仿宋_GB2312"/>
          <w:sz w:val="32"/>
          <w:szCs w:val="32"/>
        </w:rPr>
        <w:t>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w:t>
      </w:r>
      <w:r>
        <w:rPr>
          <w:rFonts w:hint="eastAsia" w:eastAsia="仿宋_GB2312"/>
          <w:sz w:val="32"/>
          <w:szCs w:val="32"/>
          <w:lang w:eastAsia="zh-CN"/>
        </w:rPr>
        <w:t>、牌照费</w:t>
      </w:r>
      <w:r>
        <w:rPr>
          <w:rFonts w:eastAsia="仿宋_GB2312"/>
          <w:sz w:val="32"/>
          <w:szCs w:val="32"/>
        </w:rPr>
        <w:t>）及按规定保留的公务用车燃料费、维修费、过路过桥费、保险费、安全奖励费用等支出；公务接待费反映单位按规定开支的各类公务接待（含外宾接待）支出。</w:t>
      </w:r>
    </w:p>
    <w:p>
      <w:pPr>
        <w:spacing w:line="560" w:lineRule="exact"/>
        <w:ind w:firstLine="640" w:firstLineChars="200"/>
        <w:rPr>
          <w:rFonts w:eastAsia="黑体"/>
          <w:sz w:val="32"/>
          <w:szCs w:val="32"/>
        </w:rPr>
      </w:pPr>
      <w:r>
        <w:rPr>
          <w:rFonts w:eastAsia="黑体"/>
          <w:sz w:val="32"/>
          <w:szCs w:val="32"/>
        </w:rPr>
        <w:t>九、机关运行经费</w:t>
      </w:r>
    </w:p>
    <w:p>
      <w:pPr>
        <w:spacing w:line="560" w:lineRule="exact"/>
        <w:ind w:firstLine="640" w:firstLineChars="200"/>
        <w:rPr>
          <w:rFonts w:eastAsia="仿宋_GB2312"/>
          <w:sz w:val="32"/>
          <w:szCs w:val="32"/>
        </w:rPr>
      </w:pPr>
      <w:r>
        <w:rPr>
          <w:rFonts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7"/>
          <w:rFonts w:ascii="黑体" w:hAnsi="黑体" w:eastAsia="黑体"/>
          <w:b w:val="0"/>
        </w:rPr>
      </w:pPr>
    </w:p>
    <w:p>
      <w:pPr>
        <w:spacing w:line="600" w:lineRule="exact"/>
        <w:jc w:val="center"/>
        <w:outlineLvl w:val="0"/>
        <w:rPr>
          <w:rStyle w:val="27"/>
          <w:rFonts w:ascii="黑体" w:hAnsi="黑体" w:eastAsia="黑体"/>
          <w:b w:val="0"/>
        </w:rPr>
      </w:pPr>
    </w:p>
    <w:p>
      <w:pPr>
        <w:spacing w:line="600" w:lineRule="exact"/>
        <w:outlineLvl w:val="0"/>
        <w:rPr>
          <w:rStyle w:val="27"/>
          <w:rFonts w:ascii="黑体" w:hAnsi="黑体" w:eastAsia="黑体"/>
          <w:b w:val="0"/>
        </w:rPr>
      </w:pPr>
    </w:p>
    <w:p>
      <w:pPr>
        <w:jc w:val="center"/>
        <w:rPr>
          <w:rFonts w:eastAsia="方正小标宋_GBK"/>
          <w:sz w:val="44"/>
          <w:szCs w:val="44"/>
        </w:rPr>
      </w:pPr>
      <w:bookmarkStart w:id="94" w:name="_Toc16054_WPSOffice_Level1"/>
      <w:r>
        <w:rPr>
          <w:rFonts w:eastAsia="方正小标宋_GBK"/>
          <w:sz w:val="44"/>
          <w:szCs w:val="44"/>
        </w:rPr>
        <w:t>第四部分 附件</w:t>
      </w:r>
      <w:bookmarkEnd w:id="94"/>
    </w:p>
    <w:p>
      <w:pPr>
        <w:pStyle w:val="14"/>
        <w:spacing w:line="560" w:lineRule="exact"/>
        <w:ind w:left="0" w:leftChars="0" w:firstLine="640"/>
        <w:rPr>
          <w:rFonts w:eastAsia="仿宋_GB2312"/>
          <w:sz w:val="32"/>
          <w:szCs w:val="32"/>
        </w:rPr>
      </w:pPr>
    </w:p>
    <w:p>
      <w:pPr>
        <w:ind w:firstLine="640" w:firstLineChars="200"/>
        <w:rPr>
          <w:rFonts w:eastAsia="仿宋_GB2312"/>
          <w:sz w:val="32"/>
          <w:szCs w:val="32"/>
        </w:rPr>
      </w:pPr>
      <w:r>
        <w:rPr>
          <w:rFonts w:eastAsia="仿宋_GB2312"/>
          <w:sz w:val="32"/>
          <w:szCs w:val="32"/>
        </w:rPr>
        <w:t>2022年度部门预算项目支出绩效自评表（详见附件）</w:t>
      </w:r>
    </w:p>
    <w:p>
      <w:pPr>
        <w:pStyle w:val="14"/>
        <w:spacing w:line="560" w:lineRule="exact"/>
        <w:ind w:left="0" w:leftChars="0" w:firstLine="0" w:firstLineChars="0"/>
        <w:rPr>
          <w:color w:val="000000" w:themeColor="text1"/>
          <w:sz w:val="32"/>
          <w:lang w:val="zh-CN"/>
        </w:rPr>
      </w:pPr>
    </w:p>
    <w:p>
      <w:pPr>
        <w:pStyle w:val="6"/>
        <w:spacing w:before="93"/>
        <w:rPr>
          <w:rFonts w:hAnsi="宋体" w:cs="宋体"/>
          <w:sz w:val="32"/>
          <w:szCs w:val="32"/>
          <w:shd w:val="clear" w:color="auto" w:fill="FFFFFF"/>
          <w:lang w:val="zh-CN"/>
        </w:rPr>
      </w:pPr>
    </w:p>
    <w:p>
      <w:pPr>
        <w:spacing w:line="572" w:lineRule="exact"/>
        <w:jc w:val="left"/>
        <w:outlineLvl w:val="0"/>
        <w:rPr>
          <w:rFonts w:ascii="仿宋_GB2312" w:hAnsi="仿宋_GB2312" w:eastAsia="仿宋_GB2312" w:cs="仿宋_GB2312"/>
          <w:sz w:val="32"/>
          <w:szCs w:val="32"/>
        </w:rPr>
      </w:pPr>
    </w:p>
    <w:p>
      <w:pPr>
        <w:pStyle w:val="6"/>
        <w:spacing w:before="93"/>
        <w:rPr>
          <w:rFonts w:hAnsi="Calibri" w:cs="仿宋"/>
          <w:sz w:val="32"/>
          <w:szCs w:val="32"/>
        </w:rPr>
      </w:pPr>
      <w:bookmarkStart w:id="95" w:name="_Toc15396618"/>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pStyle w:val="6"/>
        <w:spacing w:before="93"/>
        <w:rPr>
          <w:rFonts w:hAnsi="Calibri" w:cs="仿宋"/>
          <w:sz w:val="32"/>
          <w:szCs w:val="32"/>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hint="eastAsia" w:ascii="黑体" w:hAnsi="黑体" w:eastAsia="黑体"/>
          <w:sz w:val="44"/>
          <w:szCs w:val="44"/>
        </w:rPr>
      </w:pPr>
      <w:bookmarkStart w:id="96" w:name="_Toc25692_WPSOffice_Level1"/>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jc w:val="center"/>
        <w:rPr>
          <w:rFonts w:hint="eastAsia" w:ascii="方正小标宋_GBK" w:eastAsia="方正小标宋_GBK"/>
          <w:sz w:val="44"/>
          <w:szCs w:val="44"/>
        </w:rPr>
      </w:pPr>
      <w:r>
        <w:rPr>
          <w:rFonts w:hint="eastAsia" w:ascii="方正小标宋_GBK" w:eastAsia="方正小标宋_GBK"/>
          <w:sz w:val="44"/>
          <w:szCs w:val="44"/>
        </w:rPr>
        <w:t>第五部分 附表</w:t>
      </w:r>
      <w:bookmarkEnd w:id="93"/>
      <w:bookmarkEnd w:id="95"/>
      <w:bookmarkEnd w:id="96"/>
      <w:bookmarkStart w:id="97" w:name="_Toc15396619"/>
    </w:p>
    <w:p>
      <w:pPr>
        <w:ind w:firstLine="640" w:firstLineChars="200"/>
        <w:rPr>
          <w:rFonts w:hint="eastAsia" w:ascii="黑体" w:eastAsia="黑体"/>
          <w:sz w:val="32"/>
          <w:szCs w:val="32"/>
        </w:rPr>
      </w:pPr>
      <w:bookmarkStart w:id="98" w:name="_Toc21096_WPSOffice_Level2"/>
      <w:r>
        <w:rPr>
          <w:rFonts w:hint="eastAsia" w:ascii="黑体" w:eastAsia="黑体"/>
          <w:sz w:val="32"/>
          <w:szCs w:val="32"/>
        </w:rPr>
        <w:t>一、收入支出决算总表</w:t>
      </w:r>
      <w:bookmarkEnd w:id="97"/>
      <w:bookmarkEnd w:id="98"/>
    </w:p>
    <w:p>
      <w:r>
        <w:drawing>
          <wp:inline distT="0" distB="0" distL="114300" distR="114300">
            <wp:extent cx="5267960" cy="4381500"/>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267960" cy="438150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99" w:name="_Toc22695_WPSOffice_Level2"/>
      <w:bookmarkStart w:id="100" w:name="_Toc15396620"/>
    </w:p>
    <w:p>
      <w:pPr>
        <w:ind w:firstLine="640" w:firstLineChars="200"/>
        <w:rPr>
          <w:rFonts w:hint="eastAsia" w:ascii="黑体" w:eastAsia="黑体"/>
          <w:sz w:val="32"/>
          <w:szCs w:val="32"/>
        </w:rPr>
      </w:pPr>
      <w:r>
        <w:rPr>
          <w:rFonts w:hint="eastAsia" w:ascii="黑体" w:eastAsia="黑体"/>
          <w:sz w:val="32"/>
          <w:szCs w:val="32"/>
        </w:rPr>
        <w:t>二、收入决算表</w:t>
      </w:r>
      <w:bookmarkEnd w:id="99"/>
      <w:bookmarkEnd w:id="100"/>
    </w:p>
    <w:p>
      <w:r>
        <w:drawing>
          <wp:inline distT="0" distB="0" distL="114300" distR="114300">
            <wp:extent cx="5266690" cy="2167255"/>
            <wp:effectExtent l="0" t="0" r="1016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stretch>
                      <a:fillRect/>
                    </a:stretch>
                  </pic:blipFill>
                  <pic:spPr>
                    <a:xfrm>
                      <a:off x="0" y="0"/>
                      <a:ext cx="5266690" cy="2167255"/>
                    </a:xfrm>
                    <a:prstGeom prst="rect">
                      <a:avLst/>
                    </a:prstGeom>
                    <a:noFill/>
                    <a:ln>
                      <a:noFill/>
                    </a:ln>
                  </pic:spPr>
                </pic:pic>
              </a:graphicData>
            </a:graphic>
          </wp:inline>
        </w:drawing>
      </w:r>
    </w:p>
    <w:p>
      <w:pPr>
        <w:rPr>
          <w:rFonts w:hint="eastAsia" w:ascii="黑体" w:eastAsia="黑体"/>
          <w:sz w:val="32"/>
          <w:szCs w:val="32"/>
        </w:rPr>
      </w:pPr>
      <w:bookmarkStart w:id="101" w:name="_Toc20811_WPSOffice_Level2"/>
      <w:bookmarkStart w:id="102" w:name="_Toc15396621"/>
    </w:p>
    <w:p>
      <w:pPr>
        <w:ind w:firstLine="640" w:firstLineChars="200"/>
        <w:rPr>
          <w:rFonts w:hint="eastAsia" w:ascii="黑体" w:eastAsia="黑体"/>
          <w:sz w:val="32"/>
          <w:szCs w:val="32"/>
        </w:rPr>
      </w:pPr>
      <w:r>
        <w:rPr>
          <w:rFonts w:hint="eastAsia" w:ascii="黑体" w:eastAsia="黑体"/>
          <w:sz w:val="32"/>
          <w:szCs w:val="32"/>
        </w:rPr>
        <w:t>三、支出决算表</w:t>
      </w:r>
      <w:bookmarkEnd w:id="101"/>
      <w:bookmarkEnd w:id="102"/>
    </w:p>
    <w:p>
      <w:r>
        <w:drawing>
          <wp:inline distT="0" distB="0" distL="114300" distR="114300">
            <wp:extent cx="5265420" cy="2414270"/>
            <wp:effectExtent l="0" t="0" r="1143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a:stretch>
                      <a:fillRect/>
                    </a:stretch>
                  </pic:blipFill>
                  <pic:spPr>
                    <a:xfrm>
                      <a:off x="0" y="0"/>
                      <a:ext cx="5265420" cy="241427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03" w:name="_Toc16423_WPSOffice_Level2"/>
      <w:bookmarkStart w:id="104" w:name="_Toc15396622"/>
    </w:p>
    <w:p>
      <w:pPr>
        <w:ind w:firstLine="640" w:firstLineChars="200"/>
        <w:rPr>
          <w:rFonts w:hint="eastAsia" w:ascii="黑体" w:eastAsia="黑体"/>
          <w:sz w:val="32"/>
          <w:szCs w:val="32"/>
        </w:rPr>
      </w:pPr>
      <w:r>
        <w:rPr>
          <w:rFonts w:hint="eastAsia" w:ascii="黑体" w:eastAsia="黑体"/>
          <w:sz w:val="32"/>
          <w:szCs w:val="32"/>
        </w:rPr>
        <w:t>四、财政拨款收入支出决算总表</w:t>
      </w:r>
      <w:bookmarkEnd w:id="103"/>
      <w:bookmarkEnd w:id="104"/>
    </w:p>
    <w:p>
      <w:r>
        <w:drawing>
          <wp:inline distT="0" distB="0" distL="114300" distR="114300">
            <wp:extent cx="5272405" cy="3910330"/>
            <wp:effectExtent l="0" t="0" r="4445" b="139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a:stretch>
                      <a:fillRect/>
                    </a:stretch>
                  </pic:blipFill>
                  <pic:spPr>
                    <a:xfrm>
                      <a:off x="0" y="0"/>
                      <a:ext cx="5272405" cy="391033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05" w:name="_Toc15396623"/>
      <w:bookmarkStart w:id="106" w:name="_Toc14437_WPSOffice_Level2"/>
      <w:r>
        <w:rPr>
          <w:rFonts w:hint="eastAsia" w:ascii="黑体" w:eastAsia="黑体"/>
          <w:sz w:val="32"/>
          <w:szCs w:val="32"/>
        </w:rPr>
        <w:t>五、财政拨款支出决算明细表</w:t>
      </w:r>
      <w:bookmarkEnd w:id="105"/>
      <w:bookmarkEnd w:id="106"/>
      <w:bookmarkStart w:id="107" w:name="_Toc15396624"/>
    </w:p>
    <w:p>
      <w:r>
        <w:drawing>
          <wp:inline distT="0" distB="0" distL="114300" distR="114300">
            <wp:extent cx="5265420" cy="8855710"/>
            <wp:effectExtent l="0" t="0" r="1143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7"/>
                    <a:stretch>
                      <a:fillRect/>
                    </a:stretch>
                  </pic:blipFill>
                  <pic:spPr>
                    <a:xfrm>
                      <a:off x="0" y="0"/>
                      <a:ext cx="5265420" cy="885571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08" w:name="_Toc21414_WPSOffice_Level2"/>
      <w:r>
        <w:rPr>
          <w:rFonts w:hint="eastAsia" w:ascii="黑体" w:eastAsia="黑体"/>
          <w:sz w:val="32"/>
          <w:szCs w:val="32"/>
        </w:rPr>
        <w:t>六、一般公共预算财政拨款支出决算表</w:t>
      </w:r>
      <w:bookmarkEnd w:id="107"/>
      <w:bookmarkEnd w:id="108"/>
    </w:p>
    <w:p>
      <w:r>
        <w:drawing>
          <wp:inline distT="0" distB="0" distL="114300" distR="114300">
            <wp:extent cx="5267960" cy="3239135"/>
            <wp:effectExtent l="0" t="0" r="8890" b="184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8"/>
                    <a:stretch>
                      <a:fillRect/>
                    </a:stretch>
                  </pic:blipFill>
                  <pic:spPr>
                    <a:xfrm>
                      <a:off x="0" y="0"/>
                      <a:ext cx="5267960" cy="3239135"/>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09" w:name="_Toc16037_WPSOffice_Level2"/>
      <w:bookmarkStart w:id="110" w:name="_Toc15396625"/>
    </w:p>
    <w:p>
      <w:pPr>
        <w:ind w:firstLine="640" w:firstLineChars="200"/>
        <w:rPr>
          <w:rFonts w:hint="eastAsia" w:ascii="黑体" w:eastAsia="黑体"/>
          <w:sz w:val="32"/>
          <w:szCs w:val="32"/>
        </w:rPr>
      </w:pPr>
      <w:r>
        <w:rPr>
          <w:rFonts w:hint="eastAsia" w:ascii="黑体" w:eastAsia="黑体"/>
          <w:sz w:val="32"/>
          <w:szCs w:val="32"/>
        </w:rPr>
        <w:t>七、一般公共预算财政拨款支出决算明细表</w:t>
      </w:r>
      <w:bookmarkEnd w:id="109"/>
      <w:bookmarkEnd w:id="110"/>
    </w:p>
    <w:p/>
    <w:p>
      <w:pPr>
        <w:pStyle w:val="2"/>
      </w:pPr>
      <w:r>
        <w:drawing>
          <wp:inline distT="0" distB="0" distL="114300" distR="114300">
            <wp:extent cx="5273040" cy="2124075"/>
            <wp:effectExtent l="0" t="0" r="3810" b="952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9"/>
                    <a:stretch>
                      <a:fillRect/>
                    </a:stretch>
                  </pic:blipFill>
                  <pic:spPr>
                    <a:xfrm>
                      <a:off x="0" y="0"/>
                      <a:ext cx="5273040" cy="2124075"/>
                    </a:xfrm>
                    <a:prstGeom prst="rect">
                      <a:avLst/>
                    </a:prstGeom>
                    <a:noFill/>
                    <a:ln>
                      <a:noFill/>
                    </a:ln>
                  </pic:spPr>
                </pic:pic>
              </a:graphicData>
            </a:graphic>
          </wp:inline>
        </w:drawing>
      </w:r>
    </w:p>
    <w:p>
      <w:r>
        <w:drawing>
          <wp:inline distT="0" distB="0" distL="114300" distR="114300">
            <wp:extent cx="5271135" cy="2495550"/>
            <wp:effectExtent l="0" t="0" r="5715" b="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20"/>
                    <a:stretch>
                      <a:fillRect/>
                    </a:stretch>
                  </pic:blipFill>
                  <pic:spPr>
                    <a:xfrm>
                      <a:off x="0" y="0"/>
                      <a:ext cx="5271135" cy="2495550"/>
                    </a:xfrm>
                    <a:prstGeom prst="rect">
                      <a:avLst/>
                    </a:prstGeom>
                    <a:noFill/>
                    <a:ln>
                      <a:noFill/>
                    </a:ln>
                  </pic:spPr>
                </pic:pic>
              </a:graphicData>
            </a:graphic>
          </wp:inline>
        </w:drawing>
      </w:r>
    </w:p>
    <w:p>
      <w:pPr>
        <w:pStyle w:val="2"/>
      </w:pPr>
      <w:r>
        <w:drawing>
          <wp:inline distT="0" distB="0" distL="114300" distR="114300">
            <wp:extent cx="5261610" cy="2223135"/>
            <wp:effectExtent l="0" t="0" r="15240" b="5715"/>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21"/>
                    <a:stretch>
                      <a:fillRect/>
                    </a:stretch>
                  </pic:blipFill>
                  <pic:spPr>
                    <a:xfrm>
                      <a:off x="0" y="0"/>
                      <a:ext cx="5261610" cy="2223135"/>
                    </a:xfrm>
                    <a:prstGeom prst="rect">
                      <a:avLst/>
                    </a:prstGeom>
                    <a:noFill/>
                    <a:ln>
                      <a:noFill/>
                    </a:ln>
                  </pic:spPr>
                </pic:pic>
              </a:graphicData>
            </a:graphic>
          </wp:inline>
        </w:drawing>
      </w:r>
    </w:p>
    <w:p>
      <w:r>
        <w:drawing>
          <wp:inline distT="0" distB="0" distL="114300" distR="114300">
            <wp:extent cx="5266690" cy="2939415"/>
            <wp:effectExtent l="0" t="0" r="10160" b="13335"/>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22"/>
                    <a:stretch>
                      <a:fillRect/>
                    </a:stretch>
                  </pic:blipFill>
                  <pic:spPr>
                    <a:xfrm>
                      <a:off x="0" y="0"/>
                      <a:ext cx="5266690" cy="2939415"/>
                    </a:xfrm>
                    <a:prstGeom prst="rect">
                      <a:avLst/>
                    </a:prstGeom>
                    <a:noFill/>
                    <a:ln>
                      <a:noFill/>
                    </a:ln>
                  </pic:spPr>
                </pic:pic>
              </a:graphicData>
            </a:graphic>
          </wp:inline>
        </w:drawing>
      </w:r>
    </w:p>
    <w:p>
      <w:pPr>
        <w:rPr>
          <w:rFonts w:hint="eastAsia" w:ascii="黑体" w:eastAsia="黑体"/>
          <w:sz w:val="32"/>
          <w:szCs w:val="32"/>
        </w:rPr>
      </w:pPr>
      <w:bookmarkStart w:id="111" w:name="_Toc15396626"/>
      <w:bookmarkStart w:id="112" w:name="_Toc11604_WPSOffice_Level2"/>
    </w:p>
    <w:p>
      <w:pPr>
        <w:rPr>
          <w:rFonts w:hint="eastAsia" w:ascii="黑体" w:eastAsia="黑体"/>
          <w:sz w:val="32"/>
          <w:szCs w:val="32"/>
        </w:rPr>
      </w:pPr>
    </w:p>
    <w:p>
      <w:pPr>
        <w:ind w:firstLine="640" w:firstLineChars="200"/>
        <w:rPr>
          <w:rFonts w:hint="eastAsia" w:ascii="黑体" w:eastAsia="黑体"/>
          <w:sz w:val="32"/>
          <w:szCs w:val="32"/>
        </w:rPr>
      </w:pPr>
      <w:r>
        <w:rPr>
          <w:rFonts w:hint="eastAsia" w:ascii="黑体" w:eastAsia="黑体"/>
          <w:sz w:val="32"/>
          <w:szCs w:val="32"/>
        </w:rPr>
        <w:t>八、一般公共预算财政拨款基本支出决算表</w:t>
      </w:r>
      <w:bookmarkEnd w:id="111"/>
      <w:bookmarkEnd w:id="112"/>
    </w:p>
    <w:p>
      <w:pPr>
        <w:rPr>
          <w:rFonts w:hint="eastAsia"/>
        </w:rPr>
      </w:pPr>
      <w:r>
        <w:drawing>
          <wp:inline distT="0" distB="0" distL="114300" distR="114300">
            <wp:extent cx="5267960" cy="3090545"/>
            <wp:effectExtent l="0" t="0" r="8890" b="146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3"/>
                    <a:stretch>
                      <a:fillRect/>
                    </a:stretch>
                  </pic:blipFill>
                  <pic:spPr>
                    <a:xfrm>
                      <a:off x="0" y="0"/>
                      <a:ext cx="5267960" cy="3090545"/>
                    </a:xfrm>
                    <a:prstGeom prst="rect">
                      <a:avLst/>
                    </a:prstGeom>
                    <a:noFill/>
                    <a:ln>
                      <a:noFill/>
                    </a:ln>
                  </pic:spPr>
                </pic:pic>
              </a:graphicData>
            </a:graphic>
          </wp:inline>
        </w:drawing>
      </w:r>
      <w:bookmarkStart w:id="113" w:name="_Toc24686_WPSOffice_Level2"/>
      <w:bookmarkStart w:id="114" w:name="_Toc15396627"/>
    </w:p>
    <w:p>
      <w:pPr>
        <w:pStyle w:val="2"/>
        <w:rPr>
          <w:rFonts w:hint="eastAsia"/>
        </w:rPr>
      </w:pPr>
    </w:p>
    <w:p>
      <w:pPr>
        <w:ind w:firstLine="640" w:firstLineChars="200"/>
        <w:rPr>
          <w:rFonts w:hint="eastAsia" w:ascii="黑体" w:eastAsia="黑体"/>
          <w:sz w:val="32"/>
          <w:szCs w:val="32"/>
        </w:rPr>
      </w:pPr>
      <w:r>
        <w:rPr>
          <w:rFonts w:hint="eastAsia" w:ascii="黑体" w:eastAsia="黑体"/>
          <w:sz w:val="32"/>
          <w:szCs w:val="32"/>
        </w:rPr>
        <w:t>九、一般公共预算财政拨款项目支出决算表</w:t>
      </w:r>
      <w:bookmarkEnd w:id="113"/>
      <w:bookmarkEnd w:id="114"/>
    </w:p>
    <w:p>
      <w:r>
        <w:drawing>
          <wp:inline distT="0" distB="0" distL="114300" distR="114300">
            <wp:extent cx="5272405" cy="2673985"/>
            <wp:effectExtent l="0" t="0" r="4445" b="1206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4"/>
                    <a:stretch>
                      <a:fillRect/>
                    </a:stretch>
                  </pic:blipFill>
                  <pic:spPr>
                    <a:xfrm>
                      <a:off x="0" y="0"/>
                      <a:ext cx="5272405" cy="2673985"/>
                    </a:xfrm>
                    <a:prstGeom prst="rect">
                      <a:avLst/>
                    </a:prstGeom>
                    <a:noFill/>
                    <a:ln>
                      <a:noFill/>
                    </a:ln>
                  </pic:spPr>
                </pic:pic>
              </a:graphicData>
            </a:graphic>
          </wp:inline>
        </w:drawing>
      </w:r>
    </w:p>
    <w:p>
      <w:pPr>
        <w:rPr>
          <w:rFonts w:hint="eastAsia" w:ascii="黑体" w:eastAsia="黑体"/>
          <w:sz w:val="32"/>
          <w:szCs w:val="32"/>
        </w:rPr>
      </w:pPr>
      <w:bookmarkStart w:id="115" w:name="_Toc24349_WPSOffice_Level2"/>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rPr>
          <w:rFonts w:hint="eastAsia" w:ascii="黑体" w:eastAsia="黑体"/>
          <w:sz w:val="32"/>
          <w:szCs w:val="32"/>
        </w:rPr>
      </w:pPr>
    </w:p>
    <w:p>
      <w:pPr>
        <w:ind w:firstLine="640" w:firstLineChars="200"/>
        <w:rPr>
          <w:rFonts w:hint="eastAsia" w:ascii="黑体" w:eastAsia="黑体"/>
          <w:sz w:val="32"/>
          <w:szCs w:val="32"/>
        </w:rPr>
      </w:pPr>
      <w:r>
        <w:rPr>
          <w:rFonts w:hint="eastAsia" w:ascii="黑体" w:eastAsia="黑体"/>
          <w:sz w:val="32"/>
          <w:szCs w:val="32"/>
        </w:rPr>
        <w:t>十、政府性基金预算财政拨款收入支出决算表</w:t>
      </w:r>
      <w:bookmarkEnd w:id="115"/>
    </w:p>
    <w:p>
      <w:r>
        <w:drawing>
          <wp:inline distT="0" distB="0" distL="114300" distR="114300">
            <wp:extent cx="5272405" cy="1691005"/>
            <wp:effectExtent l="0" t="0" r="4445"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5"/>
                    <a:stretch>
                      <a:fillRect/>
                    </a:stretch>
                  </pic:blipFill>
                  <pic:spPr>
                    <a:xfrm>
                      <a:off x="0" y="0"/>
                      <a:ext cx="5272405" cy="1691005"/>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16" w:name="_Toc6859_WPSOffice_Level2"/>
      <w:r>
        <w:rPr>
          <w:rFonts w:hint="eastAsia" w:ascii="黑体" w:eastAsia="黑体"/>
          <w:sz w:val="32"/>
          <w:szCs w:val="32"/>
        </w:rPr>
        <w:t>十一、国有资本经营预算财政拨款收入支出决算表</w:t>
      </w:r>
      <w:bookmarkEnd w:id="116"/>
    </w:p>
    <w:p>
      <w:r>
        <w:drawing>
          <wp:inline distT="0" distB="0" distL="114300" distR="114300">
            <wp:extent cx="5271135" cy="2410460"/>
            <wp:effectExtent l="0" t="0" r="5715"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6"/>
                    <a:stretch>
                      <a:fillRect/>
                    </a:stretch>
                  </pic:blipFill>
                  <pic:spPr>
                    <a:xfrm>
                      <a:off x="0" y="0"/>
                      <a:ext cx="5271135" cy="241046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17" w:name="_Toc384_WPSOffice_Level2"/>
    </w:p>
    <w:p>
      <w:pPr>
        <w:ind w:firstLine="640" w:firstLineChars="200"/>
        <w:rPr>
          <w:rFonts w:hint="eastAsia" w:ascii="黑体" w:eastAsia="黑体"/>
          <w:sz w:val="32"/>
          <w:szCs w:val="32"/>
        </w:rPr>
      </w:pPr>
      <w:r>
        <w:rPr>
          <w:rFonts w:hint="eastAsia" w:ascii="黑体" w:eastAsia="黑体"/>
          <w:sz w:val="32"/>
          <w:szCs w:val="32"/>
        </w:rPr>
        <w:t>十二、国有资本经营预算财政拨款支出决算表</w:t>
      </w:r>
      <w:bookmarkEnd w:id="117"/>
    </w:p>
    <w:p>
      <w:r>
        <w:drawing>
          <wp:inline distT="0" distB="0" distL="114300" distR="114300">
            <wp:extent cx="5269865" cy="2543810"/>
            <wp:effectExtent l="0" t="0" r="698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7"/>
                    <a:stretch>
                      <a:fillRect/>
                    </a:stretch>
                  </pic:blipFill>
                  <pic:spPr>
                    <a:xfrm>
                      <a:off x="0" y="0"/>
                      <a:ext cx="5269865" cy="2543810"/>
                    </a:xfrm>
                    <a:prstGeom prst="rect">
                      <a:avLst/>
                    </a:prstGeom>
                    <a:noFill/>
                    <a:ln>
                      <a:noFill/>
                    </a:ln>
                  </pic:spPr>
                </pic:pic>
              </a:graphicData>
            </a:graphic>
          </wp:inline>
        </w:drawing>
      </w:r>
    </w:p>
    <w:p>
      <w:pPr>
        <w:rPr>
          <w:rFonts w:hint="eastAsia" w:ascii="黑体" w:eastAsia="黑体"/>
          <w:sz w:val="32"/>
          <w:szCs w:val="32"/>
        </w:rPr>
      </w:pPr>
      <w:bookmarkStart w:id="118" w:name="_Toc32087_WPSOffice_Level2"/>
    </w:p>
    <w:p>
      <w:pPr>
        <w:ind w:firstLine="640" w:firstLineChars="200"/>
        <w:rPr>
          <w:rFonts w:hint="eastAsia" w:ascii="黑体" w:eastAsia="黑体"/>
          <w:sz w:val="32"/>
          <w:szCs w:val="32"/>
        </w:rPr>
      </w:pPr>
      <w:r>
        <w:rPr>
          <w:rFonts w:hint="eastAsia" w:ascii="黑体" w:eastAsia="黑体"/>
          <w:sz w:val="32"/>
          <w:szCs w:val="32"/>
        </w:rPr>
        <w:t>十三、财政拨款“三公”经费支出决算表</w:t>
      </w:r>
      <w:bookmarkEnd w:id="118"/>
    </w:p>
    <w:p>
      <w:r>
        <w:drawing>
          <wp:inline distT="0" distB="0" distL="114300" distR="114300">
            <wp:extent cx="5269230" cy="1087755"/>
            <wp:effectExtent l="0" t="0" r="762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8"/>
                    <a:stretch>
                      <a:fillRect/>
                    </a:stretch>
                  </pic:blipFill>
                  <pic:spPr>
                    <a:xfrm>
                      <a:off x="0" y="0"/>
                      <a:ext cx="5269230" cy="1087755"/>
                    </a:xfrm>
                    <a:prstGeom prst="rect">
                      <a:avLst/>
                    </a:prstGeom>
                    <a:noFill/>
                    <a:ln>
                      <a:noFill/>
                    </a:ln>
                  </pic:spPr>
                </pic:pic>
              </a:graphicData>
            </a:graphic>
          </wp:inline>
        </w:drawing>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9D926C5-CA22-4D66-90D1-0E73CD40E21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2A75134-0855-42BB-B32B-869FBFA7CA5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99E0495B-1343-46EE-BE65-B4605ED5F1A5}"/>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4" w:fontKey="{D5871466-1DC2-4DE5-AB31-05E01D318962}"/>
  </w:font>
  <w:font w:name="仿宋">
    <w:panose1 w:val="02010609060101010101"/>
    <w:charset w:val="86"/>
    <w:family w:val="modern"/>
    <w:pitch w:val="default"/>
    <w:sig w:usb0="800002BF" w:usb1="38CF7CFA" w:usb2="00000016" w:usb3="00000000" w:csb0="00040001" w:csb1="00000000"/>
    <w:embedRegular r:id="rId5" w:fontKey="{AFB12624-661E-424C-BD61-110EA0C81FAC}"/>
  </w:font>
  <w:font w:name="??">
    <w:altName w:val="Times New Roman"/>
    <w:panose1 w:val="00000000000000000000"/>
    <w:charset w:val="00"/>
    <w:family w:val="roman"/>
    <w:pitch w:val="default"/>
    <w:sig w:usb0="00000000" w:usb1="00000000" w:usb2="00000000" w:usb3="00000000" w:csb0="00000000" w:csb1="00000000"/>
  </w:font>
  <w:font w:name="方正小标宋简体">
    <w:panose1 w:val="02000000000000000000"/>
    <w:charset w:val="86"/>
    <w:family w:val="script"/>
    <w:pitch w:val="default"/>
    <w:sig w:usb0="00000001" w:usb1="08000000" w:usb2="00000000" w:usb3="00000000" w:csb0="00040000" w:csb1="00000000"/>
    <w:embedRegular r:id="rId6" w:fontKey="{0A34BE76-2410-4A9E-B279-744F8C166B08}"/>
  </w:font>
  <w:font w:name="方正小标宋_GBK">
    <w:altName w:val="微软雅黑"/>
    <w:panose1 w:val="03000509000000000000"/>
    <w:charset w:val="86"/>
    <w:family w:val="script"/>
    <w:pitch w:val="default"/>
    <w:sig w:usb0="00000000" w:usb1="00000000" w:usb2="00000000" w:usb3="00000000" w:csb0="00040000" w:csb1="00000000"/>
    <w:embedRegular r:id="rId7" w:fontKey="{C18D6E34-F4CF-411F-A477-BEB5F09A135C}"/>
  </w:font>
  <w:font w:name="楷体_GB2312">
    <w:altName w:val="楷体"/>
    <w:panose1 w:val="02010609030101010101"/>
    <w:charset w:val="86"/>
    <w:family w:val="modern"/>
    <w:pitch w:val="default"/>
    <w:sig w:usb0="00000000" w:usb1="00000000" w:usb2="00000000" w:usb3="00000000" w:csb0="00040000" w:csb1="00000000"/>
    <w:embedRegular r:id="rId8" w:fontKey="{D21A1E25-EFC6-4FFD-A507-2CDE6AB88C82}"/>
  </w:font>
  <w:font w:name="Arial">
    <w:panose1 w:val="020B0604020202020204"/>
    <w:charset w:val="00"/>
    <w:family w:val=""/>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22</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4ZTMyMjMxYzZhNWY2Mjk4M2EwODJhOWQ3MTc5NG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7022"/>
    <w:rsid w:val="00142216"/>
    <w:rsid w:val="00144D6A"/>
    <w:rsid w:val="0014729F"/>
    <w:rsid w:val="00157BAB"/>
    <w:rsid w:val="001654D1"/>
    <w:rsid w:val="00174518"/>
    <w:rsid w:val="0018106D"/>
    <w:rsid w:val="001877A7"/>
    <w:rsid w:val="00191536"/>
    <w:rsid w:val="00196687"/>
    <w:rsid w:val="001C0962"/>
    <w:rsid w:val="001D1977"/>
    <w:rsid w:val="001D7531"/>
    <w:rsid w:val="001E737D"/>
    <w:rsid w:val="001F0592"/>
    <w:rsid w:val="001F7506"/>
    <w:rsid w:val="002006CD"/>
    <w:rsid w:val="00202B36"/>
    <w:rsid w:val="00204B7A"/>
    <w:rsid w:val="00204CDE"/>
    <w:rsid w:val="0021101A"/>
    <w:rsid w:val="00211033"/>
    <w:rsid w:val="00216EE4"/>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5301"/>
    <w:rsid w:val="00357FC9"/>
    <w:rsid w:val="0036561B"/>
    <w:rsid w:val="0037013F"/>
    <w:rsid w:val="00380080"/>
    <w:rsid w:val="00380C92"/>
    <w:rsid w:val="003A46D7"/>
    <w:rsid w:val="003A484F"/>
    <w:rsid w:val="003A4883"/>
    <w:rsid w:val="003B0BE0"/>
    <w:rsid w:val="003B0C1B"/>
    <w:rsid w:val="003B688C"/>
    <w:rsid w:val="003C0291"/>
    <w:rsid w:val="003C39AE"/>
    <w:rsid w:val="003C4ACF"/>
    <w:rsid w:val="003C7B60"/>
    <w:rsid w:val="003D0C0F"/>
    <w:rsid w:val="003D1FB2"/>
    <w:rsid w:val="003D66DA"/>
    <w:rsid w:val="003E1310"/>
    <w:rsid w:val="003E6F55"/>
    <w:rsid w:val="003F73E3"/>
    <w:rsid w:val="00401788"/>
    <w:rsid w:val="00406254"/>
    <w:rsid w:val="004223DE"/>
    <w:rsid w:val="00422AE2"/>
    <w:rsid w:val="00434489"/>
    <w:rsid w:val="00437085"/>
    <w:rsid w:val="00443880"/>
    <w:rsid w:val="004464F4"/>
    <w:rsid w:val="00451AFF"/>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3130"/>
    <w:rsid w:val="005664BB"/>
    <w:rsid w:val="00566FFA"/>
    <w:rsid w:val="0057481D"/>
    <w:rsid w:val="0058486E"/>
    <w:rsid w:val="00585B33"/>
    <w:rsid w:val="0059014D"/>
    <w:rsid w:val="005B42B0"/>
    <w:rsid w:val="005B5C64"/>
    <w:rsid w:val="005C5337"/>
    <w:rsid w:val="005C6BD0"/>
    <w:rsid w:val="005D1C8B"/>
    <w:rsid w:val="005D468D"/>
    <w:rsid w:val="005D5CED"/>
    <w:rsid w:val="005F1A4C"/>
    <w:rsid w:val="005F7C60"/>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1A1"/>
    <w:rsid w:val="00681A31"/>
    <w:rsid w:val="00683E73"/>
    <w:rsid w:val="00691047"/>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E4BCE"/>
    <w:rsid w:val="007F1991"/>
    <w:rsid w:val="007F2C2F"/>
    <w:rsid w:val="007F55FC"/>
    <w:rsid w:val="007F5665"/>
    <w:rsid w:val="00800112"/>
    <w:rsid w:val="00804F68"/>
    <w:rsid w:val="00813348"/>
    <w:rsid w:val="008253BB"/>
    <w:rsid w:val="0083706E"/>
    <w:rsid w:val="008408F6"/>
    <w:rsid w:val="008423A5"/>
    <w:rsid w:val="00846D6C"/>
    <w:rsid w:val="00850625"/>
    <w:rsid w:val="00853718"/>
    <w:rsid w:val="00855221"/>
    <w:rsid w:val="00860645"/>
    <w:rsid w:val="00871F71"/>
    <w:rsid w:val="00872FD8"/>
    <w:rsid w:val="00885AF4"/>
    <w:rsid w:val="008939CD"/>
    <w:rsid w:val="008B63C8"/>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C3C6A"/>
    <w:rsid w:val="00AD5620"/>
    <w:rsid w:val="00AD656B"/>
    <w:rsid w:val="00AD7C1B"/>
    <w:rsid w:val="00AE0091"/>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4E43"/>
    <w:rsid w:val="00B77EA6"/>
    <w:rsid w:val="00B81598"/>
    <w:rsid w:val="00B841F1"/>
    <w:rsid w:val="00B944D6"/>
    <w:rsid w:val="00BA696C"/>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264F"/>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67D39"/>
    <w:rsid w:val="00D7035F"/>
    <w:rsid w:val="00DA634F"/>
    <w:rsid w:val="00DA65AC"/>
    <w:rsid w:val="00DB1913"/>
    <w:rsid w:val="00DC410D"/>
    <w:rsid w:val="00DC5A81"/>
    <w:rsid w:val="00DC68CA"/>
    <w:rsid w:val="00DC7CBA"/>
    <w:rsid w:val="00DD73B7"/>
    <w:rsid w:val="00DF28BC"/>
    <w:rsid w:val="00DF34B9"/>
    <w:rsid w:val="00E01053"/>
    <w:rsid w:val="00E07ACF"/>
    <w:rsid w:val="00E11855"/>
    <w:rsid w:val="00E331A1"/>
    <w:rsid w:val="00E33202"/>
    <w:rsid w:val="00E336A9"/>
    <w:rsid w:val="00E472B1"/>
    <w:rsid w:val="00E50624"/>
    <w:rsid w:val="00E512ED"/>
    <w:rsid w:val="00E53DE4"/>
    <w:rsid w:val="00E568DF"/>
    <w:rsid w:val="00E61F0C"/>
    <w:rsid w:val="00E64269"/>
    <w:rsid w:val="00E82267"/>
    <w:rsid w:val="00E853CE"/>
    <w:rsid w:val="00E867B6"/>
    <w:rsid w:val="00EA010F"/>
    <w:rsid w:val="00EA60DA"/>
    <w:rsid w:val="00EB743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3DAB"/>
    <w:rsid w:val="00FF1E02"/>
    <w:rsid w:val="00FF30B4"/>
    <w:rsid w:val="053A62B5"/>
    <w:rsid w:val="0A2032A3"/>
    <w:rsid w:val="0B8A37D8"/>
    <w:rsid w:val="10C055FF"/>
    <w:rsid w:val="118107EC"/>
    <w:rsid w:val="11DD6519"/>
    <w:rsid w:val="16BB723D"/>
    <w:rsid w:val="18015F3F"/>
    <w:rsid w:val="1A3E6277"/>
    <w:rsid w:val="1BE8440E"/>
    <w:rsid w:val="1D155CEE"/>
    <w:rsid w:val="20F57F95"/>
    <w:rsid w:val="240371BF"/>
    <w:rsid w:val="249B354B"/>
    <w:rsid w:val="25711CC6"/>
    <w:rsid w:val="25C741E6"/>
    <w:rsid w:val="27842671"/>
    <w:rsid w:val="29FD04D3"/>
    <w:rsid w:val="2ABE7A3E"/>
    <w:rsid w:val="2CA234A8"/>
    <w:rsid w:val="2EFA178C"/>
    <w:rsid w:val="30B46D73"/>
    <w:rsid w:val="319F7F4E"/>
    <w:rsid w:val="383D272C"/>
    <w:rsid w:val="39AE70AB"/>
    <w:rsid w:val="3C0C0783"/>
    <w:rsid w:val="3F9F3A96"/>
    <w:rsid w:val="44711242"/>
    <w:rsid w:val="48BF60AB"/>
    <w:rsid w:val="493C27E9"/>
    <w:rsid w:val="496F39ED"/>
    <w:rsid w:val="49FF41D3"/>
    <w:rsid w:val="4BE068DB"/>
    <w:rsid w:val="4BF6002B"/>
    <w:rsid w:val="4ECE2238"/>
    <w:rsid w:val="4FA1607F"/>
    <w:rsid w:val="51DB4B86"/>
    <w:rsid w:val="51E6586D"/>
    <w:rsid w:val="54103BF9"/>
    <w:rsid w:val="55333C3E"/>
    <w:rsid w:val="5DC24050"/>
    <w:rsid w:val="621C12C4"/>
    <w:rsid w:val="64CA39A1"/>
    <w:rsid w:val="69630ADE"/>
    <w:rsid w:val="6C4A05C8"/>
    <w:rsid w:val="6D3B1A89"/>
    <w:rsid w:val="71BF4EC2"/>
    <w:rsid w:val="71CD428E"/>
    <w:rsid w:val="72734D90"/>
    <w:rsid w:val="73E5740B"/>
    <w:rsid w:val="7412278C"/>
    <w:rsid w:val="79E7B28D"/>
    <w:rsid w:val="7B7217EF"/>
    <w:rsid w:val="7E765359"/>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Salutation"/>
    <w:basedOn w:val="1"/>
    <w:next w:val="1"/>
    <w:autoRedefine/>
    <w:unhideWhenUsed/>
    <w:qFormat/>
    <w:uiPriority w:val="99"/>
  </w:style>
  <w:style w:type="paragraph" w:styleId="6">
    <w:name w:val="Body Text"/>
    <w:basedOn w:val="1"/>
    <w:link w:val="24"/>
    <w:autoRedefine/>
    <w:qFormat/>
    <w:uiPriority w:val="99"/>
    <w:pPr>
      <w:spacing w:beforeLines="30"/>
    </w:pPr>
    <w:rPr>
      <w:rFonts w:ascii="仿宋_GB2312" w:eastAsia="仿宋_GB2312"/>
      <w:kern w:val="0"/>
      <w:sz w:val="30"/>
    </w:rPr>
  </w:style>
  <w:style w:type="paragraph" w:styleId="7">
    <w:name w:val="Body Text Indent"/>
    <w:basedOn w:val="1"/>
    <w:link w:val="33"/>
    <w:autoRedefine/>
    <w:semiHidden/>
    <w:unhideWhenUsed/>
    <w:qFormat/>
    <w:uiPriority w:val="99"/>
    <w:pPr>
      <w:spacing w:after="120"/>
      <w:ind w:left="420" w:leftChars="200"/>
    </w:pPr>
  </w:style>
  <w:style w:type="paragraph" w:styleId="8">
    <w:name w:val="toc 3"/>
    <w:basedOn w:val="1"/>
    <w:next w:val="1"/>
    <w:autoRedefine/>
    <w:unhideWhenUsed/>
    <w:qFormat/>
    <w:uiPriority w:val="39"/>
    <w:pPr>
      <w:tabs>
        <w:tab w:val="right" w:leader="dot" w:pos="8296"/>
      </w:tabs>
      <w:ind w:left="840" w:leftChars="400"/>
    </w:pPr>
  </w:style>
  <w:style w:type="paragraph" w:styleId="9">
    <w:name w:val="Balloon Text"/>
    <w:basedOn w:val="1"/>
    <w:link w:val="30"/>
    <w:autoRedefine/>
    <w:semiHidden/>
    <w:unhideWhenUsed/>
    <w:qFormat/>
    <w:uiPriority w:val="99"/>
    <w:rPr>
      <w:sz w:val="18"/>
      <w:szCs w:val="18"/>
    </w:rPr>
  </w:style>
  <w:style w:type="paragraph" w:styleId="10">
    <w:name w:val="footer"/>
    <w:basedOn w:val="1"/>
    <w:link w:val="22"/>
    <w:autoRedefine/>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autoRedefine/>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link w:val="34"/>
    <w:autoRedefine/>
    <w:semiHidden/>
    <w:unhideWhenUsed/>
    <w:qFormat/>
    <w:uiPriority w:val="99"/>
    <w:pPr>
      <w:ind w:firstLine="420" w:firstLineChars="200"/>
    </w:pPr>
  </w:style>
  <w:style w:type="character" w:styleId="17">
    <w:name w:val="Strong"/>
    <w:basedOn w:val="16"/>
    <w:autoRedefine/>
    <w:qFormat/>
    <w:uiPriority w:val="99"/>
    <w:rPr>
      <w:b/>
    </w:rPr>
  </w:style>
  <w:style w:type="character" w:styleId="18">
    <w:name w:val="Hyperlink"/>
    <w:basedOn w:val="16"/>
    <w:autoRedefine/>
    <w:unhideWhenUsed/>
    <w:qFormat/>
    <w:uiPriority w:val="99"/>
    <w:rPr>
      <w:color w:val="0000FF" w:themeColor="hyperlink"/>
      <w:u w:val="single"/>
    </w:rPr>
  </w:style>
  <w:style w:type="character" w:customStyle="1" w:styleId="19">
    <w:name w:val="Header Char"/>
    <w:basedOn w:val="16"/>
    <w:autoRedefine/>
    <w:semiHidden/>
    <w:qFormat/>
    <w:uiPriority w:val="99"/>
    <w:rPr>
      <w:rFonts w:ascii="Times New Roman" w:hAnsi="Times New Roman"/>
      <w:sz w:val="18"/>
      <w:szCs w:val="18"/>
    </w:rPr>
  </w:style>
  <w:style w:type="character" w:customStyle="1" w:styleId="20">
    <w:name w:val="页眉 Char"/>
    <w:link w:val="11"/>
    <w:autoRedefine/>
    <w:semiHidden/>
    <w:qFormat/>
    <w:locked/>
    <w:uiPriority w:val="99"/>
    <w:rPr>
      <w:sz w:val="18"/>
    </w:rPr>
  </w:style>
  <w:style w:type="character" w:customStyle="1" w:styleId="21">
    <w:name w:val="Footer Char"/>
    <w:basedOn w:val="16"/>
    <w:autoRedefine/>
    <w:semiHidden/>
    <w:qFormat/>
    <w:uiPriority w:val="99"/>
    <w:rPr>
      <w:rFonts w:ascii="Times New Roman" w:hAnsi="Times New Roman"/>
      <w:sz w:val="18"/>
      <w:szCs w:val="18"/>
    </w:rPr>
  </w:style>
  <w:style w:type="character" w:customStyle="1" w:styleId="22">
    <w:name w:val="页脚 Char"/>
    <w:link w:val="10"/>
    <w:autoRedefine/>
    <w:qFormat/>
    <w:locked/>
    <w:uiPriority w:val="99"/>
    <w:rPr>
      <w:sz w:val="18"/>
    </w:rPr>
  </w:style>
  <w:style w:type="character" w:customStyle="1" w:styleId="23">
    <w:name w:val="Body Text Char"/>
    <w:basedOn w:val="16"/>
    <w:autoRedefine/>
    <w:semiHidden/>
    <w:qFormat/>
    <w:uiPriority w:val="99"/>
    <w:rPr>
      <w:rFonts w:ascii="Times New Roman" w:hAnsi="Times New Roman"/>
      <w:szCs w:val="24"/>
    </w:rPr>
  </w:style>
  <w:style w:type="character" w:customStyle="1" w:styleId="24">
    <w:name w:val="正文文本 Char"/>
    <w:link w:val="6"/>
    <w:autoRedefine/>
    <w:qFormat/>
    <w:locked/>
    <w:uiPriority w:val="99"/>
    <w:rPr>
      <w:rFonts w:ascii="仿宋_GB2312" w:hAnsi="Times New Roman" w:eastAsia="仿宋_GB2312"/>
      <w:sz w:val="24"/>
    </w:rPr>
  </w:style>
  <w:style w:type="paragraph" w:customStyle="1" w:styleId="25">
    <w:name w:val="Default"/>
    <w:autoRedefine/>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autoRedefine/>
    <w:qFormat/>
    <w:uiPriority w:val="34"/>
    <w:pPr>
      <w:ind w:firstLine="420" w:firstLineChars="200"/>
    </w:pPr>
  </w:style>
  <w:style w:type="character" w:customStyle="1" w:styleId="27">
    <w:name w:val="标题 1 Char"/>
    <w:basedOn w:val="16"/>
    <w:link w:val="3"/>
    <w:autoRedefine/>
    <w:qFormat/>
    <w:uiPriority w:val="9"/>
    <w:rPr>
      <w:rFonts w:ascii="Times New Roman" w:hAnsi="Times New Roman"/>
      <w:b/>
      <w:bCs/>
      <w:kern w:val="44"/>
      <w:sz w:val="44"/>
      <w:szCs w:val="44"/>
    </w:rPr>
  </w:style>
  <w:style w:type="character" w:customStyle="1" w:styleId="28">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批注框文本 Char"/>
    <w:basedOn w:val="16"/>
    <w:link w:val="9"/>
    <w:semiHidden/>
    <w:qFormat/>
    <w:uiPriority w:val="99"/>
    <w:rPr>
      <w:rFonts w:ascii="Times New Roman" w:hAnsi="Times New Roman"/>
      <w:kern w:val="2"/>
      <w:sz w:val="18"/>
      <w:szCs w:val="18"/>
    </w:rPr>
  </w:style>
  <w:style w:type="character" w:customStyle="1" w:styleId="31">
    <w:name w:val="标题 3 Char"/>
    <w:basedOn w:val="16"/>
    <w:link w:val="5"/>
    <w:autoRedefine/>
    <w:qFormat/>
    <w:uiPriority w:val="9"/>
    <w:rPr>
      <w:rFonts w:ascii="Times New Roman" w:hAnsi="Times New Roman"/>
      <w:b/>
      <w:bCs/>
      <w:kern w:val="2"/>
      <w:sz w:val="32"/>
      <w:szCs w:val="32"/>
    </w:rPr>
  </w:style>
  <w:style w:type="paragraph" w:customStyle="1" w:styleId="32">
    <w:name w:val="TOC 标题2"/>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3">
    <w:name w:val="正文文本缩进 Char"/>
    <w:basedOn w:val="16"/>
    <w:link w:val="7"/>
    <w:autoRedefine/>
    <w:semiHidden/>
    <w:qFormat/>
    <w:uiPriority w:val="99"/>
    <w:rPr>
      <w:rFonts w:ascii="Times New Roman" w:hAnsi="Times New Roman" w:eastAsia="宋体" w:cs="Times New Roman"/>
      <w:kern w:val="2"/>
      <w:sz w:val="21"/>
      <w:szCs w:val="24"/>
    </w:rPr>
  </w:style>
  <w:style w:type="character" w:customStyle="1" w:styleId="34">
    <w:name w:val="正文首行缩进 2 Char"/>
    <w:basedOn w:val="33"/>
    <w:link w:val="14"/>
    <w:autoRedefine/>
    <w:semiHidden/>
    <w:qFormat/>
    <w:uiPriority w:val="99"/>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paragraph" w:customStyle="1" w:styleId="36">
    <w:name w:val="WPSOffice手动目录 1"/>
    <w:autoRedefine/>
    <w:qFormat/>
    <w:uiPriority w:val="0"/>
    <w:rPr>
      <w:rFonts w:ascii="Times New Roman" w:hAnsi="Times New Roman" w:eastAsia="宋体" w:cs="Times New Roman"/>
      <w:lang w:val="en-US" w:eastAsia="zh-CN" w:bidi="ar-SA"/>
    </w:rPr>
  </w:style>
  <w:style w:type="paragraph" w:customStyle="1" w:styleId="37">
    <w:name w:val="WPSOffice手动目录 2"/>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H:\2023&#24180;&#24037;&#20316;\2022&#24180;&#20915;&#31639;&#20844;&#24320;\2021&#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H:\2023&#24180;&#24037;&#20316;\2022&#24180;&#20915;&#31639;&#20844;&#24320;\2021&#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H:\2023&#24180;&#24037;&#20316;\2022&#24180;&#20915;&#31639;&#20844;&#24320;\2021&#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H:\2023&#24180;&#24037;&#20316;\2022&#24180;&#20915;&#31639;&#20844;&#24320;\2021&#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H:\2023&#24180;&#24037;&#20316;\2022&#24180;&#20915;&#31639;&#20844;&#24320;\2021&#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H:\2023&#24180;&#24037;&#20316;\2022&#24180;&#20915;&#31639;&#20844;&#24320;\2021&#20915;&#31639;&#20844;&#24320;&#2227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H:\2023&#24180;&#24037;&#20316;\2022&#24180;&#20915;&#31639;&#20844;&#24320;\2021&#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[2021决算公开图表.xls]Sheet1!$A$58</c:f>
              <c:strCache>
                <c:ptCount val="1"/>
                <c:pt idx="0">
                  <c:v>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[2021决算公开图表.xls]Sheet1!$B$58:$C$58</c:f>
              <c:numCache>
                <c:formatCode>General</c:formatCode>
                <c:ptCount val="2"/>
                <c:pt idx="0">
                  <c:v>2022</c:v>
                </c:pt>
                <c:pt idx="1">
                  <c:v>2021</c:v>
                </c:pt>
              </c:numCache>
            </c:numRef>
          </c:cat>
          <c:val>
            <c:numRef>
              <c:f>[2021决算公开图表.xls]Sheet1!$B$59:$C$59</c:f>
              <c:numCache>
                <c:formatCode>General</c:formatCode>
                <c:ptCount val="2"/>
                <c:pt idx="0">
                  <c:v>151.96</c:v>
                </c:pt>
                <c:pt idx="1">
                  <c:v>179.13</c:v>
                </c:pt>
              </c:numCache>
            </c:numRef>
          </c:val>
        </c:ser>
        <c:dLbls>
          <c:showLegendKey val="0"/>
          <c:showVal val="1"/>
          <c:showCatName val="0"/>
          <c:showSerName val="0"/>
          <c:showPercent val="0"/>
          <c:showBubbleSize val="0"/>
        </c:dLbls>
        <c:gapWidth val="150"/>
        <c:axId val="83005824"/>
        <c:axId val="83007744"/>
      </c:barChart>
      <c:catAx>
        <c:axId val="83005824"/>
        <c:scaling>
          <c:orientation val="minMax"/>
        </c:scaling>
        <c:delete val="0"/>
        <c:axPos val="b"/>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83007744"/>
        <c:crosses val="autoZero"/>
        <c:auto val="1"/>
        <c:lblAlgn val="ctr"/>
        <c:lblOffset val="100"/>
        <c:noMultiLvlLbl val="0"/>
      </c:catAx>
      <c:valAx>
        <c:axId val="83007744"/>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83005824"/>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95446331767257"/>
          <c:y val="0.507475083056478"/>
          <c:w val="0.198530297554512"/>
          <c:h val="0.157599667774086"/>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manualLayout>
          <c:layoutTarget val="inner"/>
          <c:xMode val="edge"/>
          <c:yMode val="edge"/>
          <c:x val="0.162046029642126"/>
          <c:y val="0.226396953831509"/>
          <c:w val="0.336348957705748"/>
          <c:h val="0.664293193717277"/>
        </c:manualLayout>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Pt>
            <c:idx val="5"/>
            <c:bubble3D val="0"/>
            <c:spPr>
              <a:solidFill>
                <a:srgbClr val="FF8080"/>
              </a:solidFill>
              <a:ln w="12700">
                <a:solidFill>
                  <a:srgbClr val="000000">
                    <a:alpha val="100000"/>
                  </a:srgbClr>
                </a:solidFill>
                <a:prstDash val="solid"/>
              </a:ln>
              <a:effectLst/>
            </c:spPr>
          </c:dPt>
          <c:dLbls>
            <c:dLbl>
              <c:idx val="0"/>
              <c:layout>
                <c:manualLayout>
                  <c:x val="0.106055626346315"/>
                  <c:y val="-0.182468193704136"/>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altLang="en-US"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一般公共预算财政拨款收入</a:t>
                    </a:r>
                    <a:endPar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endParaRPr>
                  </a:p>
                  <a:p>
                    <a:pPr algn="ctr" defTabSz="914400">
                      <a:defRPr lang="zh-CN" sz="1000" b="0" i="0" u="none" strike="noStrike" kern="1200" baseline="0">
                        <a:solidFill>
                          <a:srgbClr val="000000">
                            <a:alpha val="100000"/>
                          </a:srgbClr>
                        </a:solidFill>
                        <a:latin typeface="+mn-lt"/>
                        <a:ea typeface="+mn-ea"/>
                        <a:cs typeface="+mn-cs"/>
                      </a:defRPr>
                    </a:pPr>
                    <a:r>
                      <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151.96</a:t>
                    </a:r>
                    <a:r>
                      <a:rPr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100</a:t>
                    </a:r>
                    <a:r>
                      <a:rPr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ysClr val="windowText" lastClr="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manualLayout>
                      <c:w val="0.27888237028845"/>
                      <c:h val="0.301688243253993"/>
                    </c:manualLayout>
                  </c15:layout>
                </c:ext>
              </c:extLst>
            </c:dLbl>
            <c:dLbl>
              <c:idx val="1"/>
              <c:layout>
                <c:manualLayout>
                  <c:x val="-0.268629245713872"/>
                  <c:y val="0.168975069252078"/>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0</a:t>
                    </a:r>
                    <a:r>
                      <a:rPr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0</a:t>
                    </a:r>
                    <a:r>
                      <a:rPr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ysClr val="windowText" lastClr="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0.286753863734181"/>
                  <c:y val="0.307466297324656"/>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285961322335244"/>
                  <c:y val="0.434890120039337"/>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08148074579202"/>
                  <c:y val="0.06092890120277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[2021决算公开图表.xls]Sheet1!$C$3:$C$8</c:f>
              <c:numCache>
                <c:formatCode>General</c:formatCode>
                <c:ptCount val="6"/>
                <c:pt idx="0">
                  <c:v>151.96</c:v>
                </c:pt>
                <c:pt idx="1">
                  <c:v>0</c:v>
                </c:pt>
                <c:pt idx="2">
                  <c:v>0</c:v>
                </c:pt>
                <c:pt idx="3">
                  <c:v>0</c:v>
                </c:pt>
                <c:pt idx="4">
                  <c:v>0</c:v>
                </c:pt>
                <c:pt idx="5">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Lbls>
            <c:delete val="1"/>
          </c:dLbls>
          <c:cat>
            <c:strRef>
              <c:f>[2021决算公开图表.xls]Sheet1!$B$3:$B$8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[2021决算公开图表.xls]Sheet1!$D$3:$D$8</c:f>
              <c:numCache>
                <c:formatCode>0.00%</c:formatCode>
                <c:ptCount val="6"/>
                <c:pt idx="0">
                  <c:v>1</c:v>
                </c:pt>
                <c:pt idx="1">
                  <c:v>0</c:v>
                </c:pt>
                <c:pt idx="2" c:formatCode="0%">
                  <c:v>0</c:v>
                </c:pt>
                <c:pt idx="3" c:formatCode="0%">
                  <c:v>0</c:v>
                </c:pt>
                <c:pt idx="4" c:formatCode="0%">
                  <c:v>0</c:v>
                </c:pt>
                <c:pt idx="5" c:formatCode="0%">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95"/>
          <c:y val="0.23575"/>
          <c:w val="0.3345"/>
          <c:h val="0.6647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Lbls>
            <c:dLbl>
              <c:idx val="0"/>
              <c:layout/>
              <c:tx>
                <c:rich>
                  <a:bodyPr rot="0" spcFirstLastPara="0" vertOverflow="ellipsis"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基本支出, 143.96, 94.7%</a:t>
                    </a:r>
                  </a:p>
                </c:rich>
              </c:tx>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项目支出, 8, 5.</a:t>
                    </a:r>
                    <a:r>
                      <a:rPr lang="en-US" altLang="zh-CN"/>
                      <a:t>3</a:t>
                    </a:r>
                    <a:r>
                      <a:t>%</a:t>
                    </a:r>
                  </a:p>
                </c:rich>
              </c:tx>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extLst>
            </c:dLbl>
            <c:dLbl>
              <c:idx val="2"/>
              <c:layout>
                <c:manualLayout>
                  <c:x val="-0.248256624825662"/>
                  <c:y val="0.191171038049501"/>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244072524407252"/>
                  <c:y val="0.160694495751755"/>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58019525801953"/>
                  <c:y val="0.349094939046915"/>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[2021决算公开图表.xls]Sheet1!$C$34:$C$38</c:f>
              <c:numCache>
                <c:formatCode>General</c:formatCode>
                <c:ptCount val="5"/>
                <c:pt idx="0">
                  <c:v>143.96</c:v>
                </c:pt>
                <c:pt idx="1">
                  <c:v>8</c:v>
                </c:pt>
                <c:pt idx="2">
                  <c:v>0</c:v>
                </c:pt>
                <c:pt idx="3">
                  <c:v>0</c:v>
                </c:pt>
                <c:pt idx="4">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delete val="1"/>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[2021决算公开图表.xls]Sheet1!$D$34:$D$38</c:f>
              <c:numCache>
                <c:formatCode>0.00%</c:formatCode>
                <c:ptCount val="5"/>
                <c:pt idx="0">
                  <c:v>0.947</c:v>
                </c:pt>
                <c:pt idx="1">
                  <c:v>0.053</c:v>
                </c:pt>
                <c:pt idx="2">
                  <c:v>0</c:v>
                </c:pt>
                <c:pt idx="3">
                  <c:v>0</c:v>
                </c:pt>
                <c:pt idx="4">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6955317355174"/>
          <c:y val="0.113636363636364"/>
          <c:w val="0.23726363964832"/>
          <c:h val="0.725837320574163"/>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[2021决算公开图表.xls]Sheet1!$A$168</c:f>
              <c:strCache>
                <c:ptCount val="1"/>
                <c:pt idx="0">
                  <c:v>财政拨款收入、支出总计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[2021决算公开图表.xls]Sheet1!$B$167:$C$167</c:f>
              <c:strCache>
                <c:ptCount val="2"/>
                <c:pt idx="0">
                  <c:v>2022年</c:v>
                </c:pt>
                <c:pt idx="1">
                  <c:v>2021年</c:v>
                </c:pt>
              </c:strCache>
            </c:strRef>
          </c:cat>
          <c:val>
            <c:numRef>
              <c:f>[2021决算公开图表.xls]Sheet1!$B$168:$C$168</c:f>
              <c:numCache>
                <c:formatCode>General</c:formatCode>
                <c:ptCount val="2"/>
                <c:pt idx="0">
                  <c:v>151.96</c:v>
                </c:pt>
                <c:pt idx="1">
                  <c:v>151.13</c:v>
                </c:pt>
              </c:numCache>
            </c:numRef>
          </c:val>
        </c:ser>
        <c:dLbls>
          <c:showLegendKey val="0"/>
          <c:showVal val="1"/>
          <c:showCatName val="0"/>
          <c:showSerName val="0"/>
          <c:showPercent val="0"/>
          <c:showBubbleSize val="0"/>
        </c:dLbls>
        <c:gapWidth val="150"/>
        <c:axId val="117388800"/>
        <c:axId val="117395840"/>
      </c:barChart>
      <c:catAx>
        <c:axId val="117388800"/>
        <c:scaling>
          <c:orientation val="minMax"/>
        </c:scaling>
        <c:delete val="0"/>
        <c:axPos val="b"/>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17395840"/>
        <c:crosses val="autoZero"/>
        <c:auto val="1"/>
        <c:lblAlgn val="ctr"/>
        <c:lblOffset val="100"/>
        <c:noMultiLvlLbl val="0"/>
      </c:catAx>
      <c:valAx>
        <c:axId val="117395840"/>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17388800"/>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02458423716558"/>
          <c:y val="0.50428141633881"/>
          <c:w val="0.290551940226561"/>
          <c:h val="0.26452210136542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[2021决算公开图表.xls]Sheet1!$A$85</c:f>
              <c:strCache>
                <c:ptCount val="1"/>
                <c:pt idx="0">
                  <c:v>一般公共预算财政拨款支出</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[2021决算公开图表.xls]Sheet1!$B$84:$C$84</c:f>
              <c:strCache>
                <c:ptCount val="2"/>
                <c:pt idx="0">
                  <c:v>2022年</c:v>
                </c:pt>
                <c:pt idx="1">
                  <c:v>2021年</c:v>
                </c:pt>
              </c:strCache>
            </c:strRef>
          </c:cat>
          <c:val>
            <c:numRef>
              <c:f>[2021决算公开图表.xls]Sheet1!$B$85:$C$85</c:f>
              <c:numCache>
                <c:formatCode>General</c:formatCode>
                <c:ptCount val="2"/>
                <c:pt idx="0">
                  <c:v>151.96</c:v>
                </c:pt>
                <c:pt idx="1">
                  <c:v>151.13</c:v>
                </c:pt>
              </c:numCache>
            </c:numRef>
          </c:val>
        </c:ser>
        <c:dLbls>
          <c:showLegendKey val="0"/>
          <c:showVal val="1"/>
          <c:showCatName val="0"/>
          <c:showSerName val="0"/>
          <c:showPercent val="0"/>
          <c:showBubbleSize val="0"/>
        </c:dLbls>
        <c:gapWidth val="150"/>
        <c:axId val="135743360"/>
        <c:axId val="135864320"/>
      </c:barChart>
      <c:catAx>
        <c:axId val="135743360"/>
        <c:scaling>
          <c:orientation val="minMax"/>
        </c:scaling>
        <c:delete val="0"/>
        <c:axPos val="b"/>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35864320"/>
        <c:crosses val="autoZero"/>
        <c:auto val="1"/>
        <c:lblAlgn val="ctr"/>
        <c:lblOffset val="100"/>
        <c:noMultiLvlLbl val="0"/>
      </c:catAx>
      <c:valAx>
        <c:axId val="135864320"/>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35743360"/>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7871340802313"/>
          <c:y val="0.505763349800047"/>
          <c:w val="0.315263221298639"/>
          <c:h val="0.178546224417784"/>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3925479618915"/>
          <c:y val="0.0179802217560683"/>
        </c:manualLayout>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chemeClr val="accent2"/>
              </a:solidFill>
              <a:ln w="12700">
                <a:solidFill>
                  <a:srgbClr val="000000">
                    <a:alpha val="100000"/>
                  </a:srgbClr>
                </a:solidFill>
                <a:prstDash val="solid"/>
              </a:ln>
              <a:effectLst/>
            </c:spPr>
          </c:dPt>
          <c:dPt>
            <c:idx val="5"/>
            <c:bubble3D val="0"/>
            <c:spPr>
              <a:solidFill>
                <a:schemeClr val="accent6"/>
              </a:solidFill>
              <a:ln w="12700">
                <a:solidFill>
                  <a:srgbClr val="000000">
                    <a:alpha val="100000"/>
                  </a:srgbClr>
                </a:solidFill>
                <a:prstDash val="solid"/>
              </a:ln>
              <a:effectLst/>
            </c:spPr>
          </c:dPt>
          <c:dLbls>
            <c:dLbl>
              <c:idx val="0"/>
              <c:layout/>
              <c:tx>
                <c:rich>
                  <a:bodyPr rot="0" spcFirstLastPara="0" vertOverflow="ellipsis"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一般公共服务支出, 117.87, 77.</a:t>
                    </a:r>
                    <a:r>
                      <a:rPr lang="en-US" altLang="zh-CN"/>
                      <a:t>6</a:t>
                    </a:r>
                    <a:r>
                      <a:t>%</a:t>
                    </a:r>
                  </a:p>
                </c:rich>
              </c:tx>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extLst>
            </c:dLbl>
            <c:dLbl>
              <c:idx val="1"/>
              <c:layout>
                <c:manualLayout>
                  <c:x val="-0.0552486187845304"/>
                  <c:y val="0.0966436919388673"/>
                </c:manualLayout>
              </c:layout>
              <c:tx>
                <c:rich>
                  <a:bodyPr rot="0" spcFirstLastPara="0" vertOverflow="ellipsis" horzOverflow="overflow"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社会保障和就业支出, 10.37, 6.8%</a:t>
                    </a:r>
                  </a:p>
                </c:rich>
              </c:tx>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205801104972376"/>
                  <c:y val="0.0179802217560683"/>
                </c:manualLayout>
              </c:layout>
              <c:tx>
                <c:rich>
                  <a:bodyPr rot="0" spcFirstLastPara="0" vertOverflow="ellipsis" horzOverflow="overflow"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住房保障支出, 11.56, 7.6%</a:t>
                    </a:r>
                  </a:p>
                </c:rich>
              </c:tx>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0276243093922652"/>
                  <c:y val="0.00899011087803417"/>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164372203675361"/>
                  <c:y val="0.0313639198527243"/>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25"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[2021决算公开图表.xls]Sheet1!$B$110:$B$115</c:f>
              <c:numCache>
                <c:formatCode>General</c:formatCode>
                <c:ptCount val="6"/>
                <c:pt idx="0">
                  <c:v>117.87</c:v>
                </c:pt>
                <c:pt idx="1">
                  <c:v>10.37</c:v>
                </c:pt>
                <c:pt idx="2">
                  <c:v>11.56</c:v>
                </c:pt>
                <c:pt idx="4">
                  <c:v>12.16</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993366"/>
              </a:solidFill>
              <a:ln w="12700">
                <a:solidFill>
                  <a:srgbClr val="000000"/>
                </a:solidFill>
                <a:prstDash val="solid"/>
              </a:ln>
              <a:effectLst/>
            </c:spPr>
          </c:dPt>
          <c:dPt>
            <c:idx val="5"/>
            <c:bubble3D val="0"/>
            <c:spPr>
              <a:solidFill>
                <a:srgbClr val="993366"/>
              </a:solidFill>
              <a:ln w="12700">
                <a:solidFill>
                  <a:srgbClr val="000000"/>
                </a:solidFill>
                <a:prstDash val="solid"/>
              </a:ln>
              <a:effectLst/>
            </c:spPr>
          </c:dPt>
          <c:dLbls>
            <c:delete val="1"/>
          </c:dLbls>
          <c:cat>
            <c:strRef>
              <c:f>[2021决算公开图表.xls]Sheet1!$A$110:$A$115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[2021决算公开图表.xls]Sheet1!$C$110:$C$115</c:f>
              <c:numCache>
                <c:formatCode>0.00%</c:formatCode>
                <c:ptCount val="6"/>
                <c:pt idx="0">
                  <c:v>0.776</c:v>
                </c:pt>
                <c:pt idx="1">
                  <c:v>0.068</c:v>
                </c:pt>
                <c:pt idx="2">
                  <c:v>0.076</c:v>
                </c:pt>
                <c:pt idx="4">
                  <c:v>0.08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egendEntry>
        <c:idx val="3"/>
        <c:delete val="1"/>
      </c:legendEntry>
      <c:legendEntry>
        <c:idx val="5"/>
        <c:delete val="1"/>
      </c:legendEntry>
      <c:layout>
        <c:manualLayout>
          <c:xMode val="edge"/>
          <c:yMode val="edge"/>
          <c:x val="0.75569482945643"/>
          <c:y val="0.230633457540694"/>
          <c:w val="0.238760997951067"/>
          <c:h val="0.624240047068053"/>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00" b="0" i="0" u="none" strike="noStrike" baseline="0">
                <a:solidFill>
                  <a:srgbClr val="333333"/>
                </a:solidFill>
                <a:latin typeface="Arial" panose="020B0604020202020204" pitchFamily="7" charset="0"/>
                <a:ea typeface="Arial" panose="020B0604020202020204" pitchFamily="7" charset="0"/>
                <a:cs typeface="Arial" panose="020B0604020202020204" pitchFamily="7" charset="0"/>
              </a:rPr>
              <a:t>7</a:t>
            </a:r>
            <a:r>
              <a:rPr sz="1400" b="0" i="0" u="none" strike="noStrike" baseline="0">
                <a:solidFill>
                  <a:srgbClr val="000000"/>
                </a:solidFill>
                <a:latin typeface="宋体" panose="02010600030101010101" charset="-122"/>
                <a:ea typeface="宋体" panose="02010600030101010101" charset="-122"/>
                <a:cs typeface="宋体" panose="02010600030101010101" charset="-122"/>
              </a:rPr>
              <a:t>  “三公”经费财政拨款支出结构</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67368596216539"/>
          <c:y val="0.0221606648199446"/>
        </c:manualLayout>
      </c:layout>
      <c:overlay val="0"/>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Lbls>
            <c:dLbl>
              <c:idx val="0"/>
              <c:layout>
                <c:manualLayout>
                  <c:x val="-0.175792507204611"/>
                  <c:y val="0.047091412742382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[2021决算公开图表.xls]Sheet1!$B$138:$B$140</c:f>
              <c:strCache>
                <c:ptCount val="3"/>
                <c:pt idx="0">
                  <c:v>因公出国（境）费支出</c:v>
                </c:pt>
                <c:pt idx="1">
                  <c:v>公务用车购置及运行维护费支出</c:v>
                </c:pt>
                <c:pt idx="2">
                  <c:v>公务接待费支出</c:v>
                </c:pt>
              </c:strCache>
            </c:strRef>
          </c:cat>
          <c:val>
            <c:numRef>
              <c:f>[2021决算公开图表.xls]Sheet1!$C$138:$C$140</c:f>
              <c:numCache>
                <c:formatCode>General</c:formatCode>
                <c:ptCount val="3"/>
                <c:pt idx="0">
                  <c:v>0</c:v>
                </c:pt>
                <c:pt idx="1">
                  <c:v>0.92</c:v>
                </c:pt>
                <c:pt idx="2">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Lbls>
            <c:delete val="1"/>
          </c:dLbls>
          <c:cat>
            <c:strRef>
              <c:f>[2021决算公开图表.xls]Sheet1!$B$138:$B$140</c:f>
              <c:strCache>
                <c:ptCount val="3"/>
                <c:pt idx="0">
                  <c:v>因公出国（境）费支出</c:v>
                </c:pt>
                <c:pt idx="1">
                  <c:v>公务用车购置及运行维护费支出</c:v>
                </c:pt>
                <c:pt idx="2">
                  <c:v>公务接待费支出</c:v>
                </c:pt>
              </c:strCache>
            </c:strRef>
          </c:cat>
          <c:val>
            <c:numRef>
              <c:f>[2021决算公开图表.xls]Sheet1!$D$138:$D$140</c:f>
              <c:numCache>
                <c:formatCode>0%</c:formatCode>
                <c:ptCount val="3"/>
                <c:pt idx="0">
                  <c:v>0</c:v>
                </c:pt>
                <c:pt idx="1">
                  <c:v>1</c:v>
                </c:pt>
                <c:pt idx="2">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3609738459685"/>
          <c:y val="0.246473822615348"/>
          <c:w val="0.338556104616126"/>
          <c:h val="0.58163997131245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22</Pages>
  <Words>944</Words>
  <Characters>5387</Characters>
  <Lines>44</Lines>
  <Paragraphs>12</Paragraphs>
  <TotalTime>184</TotalTime>
  <ScaleCrop>false</ScaleCrop>
  <LinksUpToDate>false</LinksUpToDate>
  <CharactersWithSpaces>6319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2023-10-11T02:29:00Z</dcterms:created>
  <dc:creator>曹颖</dc:creator>
  <cp:lastModifiedBy>藤藤花雨</cp:lastModifiedBy>
  <cp:lastPrinted>2023-07-31T02:35:00Z</cp:lastPrinted>
  <dcterms:modified xsi:type="dcterms:W3CDTF">2024-05-12T12:59:11Z</dcterms:modified>
  <dc:title>四川省***</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C445EBFD20404411B392E48577194A34_13</vt:lpwstr>
  </property>
</Properties>
</file>