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77425"/>
      <w:bookmarkStart w:id="2" w:name="_Toc15396475"/>
      <w:bookmarkStart w:id="3" w:name="_Toc15378441"/>
      <w:bookmarkStart w:id="4" w:name="_Toc15396597"/>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598"/>
      <w:bookmarkStart w:id="7" w:name="_Toc15377426"/>
      <w:bookmarkStart w:id="8" w:name="_Toc15378442"/>
      <w:bookmarkStart w:id="9" w:name="_Toc15377194"/>
      <w:bookmarkStart w:id="10" w:name="_Toc15396476"/>
      <w:bookmarkStart w:id="11" w:name="_Toc15306268"/>
      <w:r>
        <w:rPr>
          <w:rFonts w:hint="eastAsia" w:ascii="方正小标宋简体" w:hAnsi="方正小标宋简体" w:eastAsia="方正小标宋简体" w:cs="方正小标宋简体"/>
          <w:sz w:val="72"/>
          <w:szCs w:val="72"/>
        </w:rPr>
        <w:t>盐边县财政局</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pPr>
        <w:adjustRightInd w:val="0"/>
        <w:snapToGrid w:val="0"/>
        <w:spacing w:line="360" w:lineRule="auto"/>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5"/>
      </w:pPr>
      <w:r>
        <w:rPr>
          <w:rFonts w:hint="eastAsia"/>
        </w:rPr>
        <w:t>公开时间：2023年10月</w:t>
      </w:r>
      <w:r>
        <w:rPr>
          <w:rFonts w:hint="eastAsia"/>
          <w:lang w:val="en-US" w:eastAsia="zh-CN"/>
        </w:rPr>
        <w:t>30</w:t>
      </w:r>
      <w:r>
        <w:rPr>
          <w:rFonts w:hint="eastAsia"/>
        </w:rPr>
        <w:t>日</w:t>
      </w:r>
    </w:p>
    <w:p/>
    <w:sdt>
      <w:sdtPr>
        <w:rPr>
          <w:rFonts w:ascii="宋体" w:hAnsi="宋体" w:eastAsia="宋体" w:cs="Times New Roman"/>
          <w:kern w:val="2"/>
          <w:sz w:val="21"/>
          <w:szCs w:val="24"/>
          <w:lang w:val="en-US" w:eastAsia="zh-CN" w:bidi="ar-SA"/>
        </w:rPr>
        <w:id w:val="147482059"/>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bookmarkStart w:id="12" w:name="_Toc23931_WPSOffice_Type2"/>
          <w:bookmarkStart w:id="13" w:name="_Toc15377196"/>
          <w:bookmarkStart w:id="14" w:name="_Toc15396599"/>
          <w:r>
            <w:rPr>
              <w:rFonts w:ascii="宋体" w:hAnsi="宋体" w:eastAsia="宋体"/>
              <w:sz w:val="21"/>
            </w:rPr>
            <w:t>目录</w:t>
          </w:r>
        </w:p>
        <w:p>
          <w:pPr>
            <w:pStyle w:val="39"/>
            <w:tabs>
              <w:tab w:val="right" w:leader="dot" w:pos="8306"/>
            </w:tabs>
          </w:pPr>
          <w:r>
            <w:rPr>
              <w:b/>
              <w:bCs/>
            </w:rPr>
            <w:fldChar w:fldCharType="begin"/>
          </w:r>
          <w:r>
            <w:instrText xml:space="preserve"> HYPERLINK \l _Toc23006_WPSOffice_Level1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82059"/>
              <w:placeholder>
                <w:docPart w:val="{5a627d21-efba-4783-8c67-d7038a0fe5fb}"/>
              </w:placeholder>
              <w15:color w:val="509DF3"/>
            </w:sdtPr>
            <w:sdtEndPr>
              <w:rPr>
                <w:rFonts w:ascii="Times New Roman" w:hAnsi="Times New Roman" w:eastAsia="宋体" w:cs="Times New Roman"/>
                <w:b/>
                <w:bCs/>
                <w:kern w:val="2"/>
                <w:sz w:val="21"/>
                <w:szCs w:val="24"/>
                <w:lang w:val="en-US" w:eastAsia="zh-CN" w:bidi="ar-SA"/>
              </w:rPr>
            </w:sdtEndPr>
            <w:sdtContent>
              <w:r>
                <w:rPr>
                  <w:rFonts w:ascii="Times New Roman" w:hAnsi="Times New Roman" w:eastAsia="方正小标宋_GBK" w:cs="Times New Roman"/>
                  <w:b/>
                  <w:bCs/>
                </w:rPr>
                <w:t>第一部分 部门概况</w:t>
              </w:r>
            </w:sdtContent>
          </w:sdt>
          <w:r>
            <w:rPr>
              <w:b/>
              <w:bCs/>
            </w:rPr>
            <w:tab/>
          </w:r>
          <w:bookmarkStart w:id="15" w:name="_Toc23006_WPSOffice_Level1Page"/>
          <w:r>
            <w:rPr>
              <w:b/>
              <w:bCs/>
            </w:rPr>
            <w:t>3</w:t>
          </w:r>
          <w:bookmarkEnd w:id="15"/>
          <w:r>
            <w:rPr>
              <w:b/>
              <w:bCs/>
            </w:rPr>
            <w:fldChar w:fldCharType="end"/>
          </w:r>
        </w:p>
        <w:p>
          <w:pPr>
            <w:pStyle w:val="40"/>
            <w:tabs>
              <w:tab w:val="right" w:leader="dot" w:pos="8306"/>
            </w:tabs>
          </w:pPr>
          <w:r>
            <w:fldChar w:fldCharType="begin"/>
          </w:r>
          <w:r>
            <w:instrText xml:space="preserve"> HYPERLINK \l _Toc23931_WPSOffice_Level2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49eabc3e-9221-4013-90c4-d0468a54ff7d}"/>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一、部门职责</w:t>
              </w:r>
            </w:sdtContent>
          </w:sdt>
          <w:r>
            <w:tab/>
          </w:r>
          <w:bookmarkStart w:id="16" w:name="_Toc23931_WPSOffice_Level2Page"/>
          <w:r>
            <w:t>3</w:t>
          </w:r>
          <w:bookmarkEnd w:id="16"/>
          <w:r>
            <w:fldChar w:fldCharType="end"/>
          </w:r>
        </w:p>
        <w:p>
          <w:pPr>
            <w:pStyle w:val="40"/>
            <w:tabs>
              <w:tab w:val="right" w:leader="dot" w:pos="8306"/>
            </w:tabs>
          </w:pPr>
          <w:r>
            <w:fldChar w:fldCharType="begin"/>
          </w:r>
          <w:r>
            <w:instrText xml:space="preserve"> HYPERLINK \l _Toc25008_WPSOffice_Level2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64ddb46a-8bc4-47f1-b397-d913ba0ae736}"/>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二、机构设置</w:t>
              </w:r>
            </w:sdtContent>
          </w:sdt>
          <w:r>
            <w:tab/>
          </w:r>
          <w:bookmarkStart w:id="17" w:name="_Toc25008_WPSOffice_Level2Page"/>
          <w:r>
            <w:t>8</w:t>
          </w:r>
          <w:bookmarkEnd w:id="17"/>
          <w:r>
            <w:fldChar w:fldCharType="end"/>
          </w:r>
        </w:p>
        <w:p>
          <w:pPr>
            <w:pStyle w:val="39"/>
            <w:tabs>
              <w:tab w:val="right" w:leader="dot" w:pos="8306"/>
            </w:tabs>
          </w:pPr>
          <w:r>
            <w:rPr>
              <w:b/>
              <w:bCs/>
            </w:rPr>
            <w:fldChar w:fldCharType="begin"/>
          </w:r>
          <w:r>
            <w:instrText xml:space="preserve"> HYPERLINK \l _Toc23931_WPSOffice_Level1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82059"/>
              <w:placeholder>
                <w:docPart w:val="{8959db45-9fb9-4aed-a797-5a98ba35f74f}"/>
              </w:placeholder>
              <w15:color w:val="509DF3"/>
            </w:sdtPr>
            <w:sdtEndPr>
              <w:rPr>
                <w:rFonts w:ascii="Times New Roman" w:hAnsi="Times New Roman" w:eastAsia="宋体" w:cs="Times New Roman"/>
                <w:b/>
                <w:bCs/>
                <w:kern w:val="2"/>
                <w:sz w:val="21"/>
                <w:szCs w:val="24"/>
                <w:lang w:val="en-US" w:eastAsia="zh-CN" w:bidi="ar-SA"/>
              </w:rPr>
            </w:sdtEndPr>
            <w:sdtContent>
              <w:r>
                <w:rPr>
                  <w:rFonts w:ascii="Times New Roman" w:hAnsi="Times New Roman" w:eastAsia="方正小标宋_GBK" w:cs="Times New Roman"/>
                  <w:b/>
                  <w:bCs/>
                </w:rPr>
                <w:t>第二部分 2022年度部门决算情况说明</w:t>
              </w:r>
            </w:sdtContent>
          </w:sdt>
          <w:r>
            <w:rPr>
              <w:b/>
              <w:bCs/>
            </w:rPr>
            <w:tab/>
          </w:r>
          <w:r>
            <w:rPr>
              <w:rFonts w:hint="eastAsia"/>
              <w:b/>
              <w:bCs/>
              <w:lang w:val="en-US" w:eastAsia="zh-CN"/>
            </w:rPr>
            <w:t>9</w:t>
          </w:r>
          <w:r>
            <w:rPr>
              <w:b/>
              <w:bCs/>
            </w:rPr>
            <w:fldChar w:fldCharType="end"/>
          </w:r>
        </w:p>
        <w:p>
          <w:pPr>
            <w:pStyle w:val="40"/>
            <w:tabs>
              <w:tab w:val="right" w:leader="dot" w:pos="8306"/>
            </w:tabs>
          </w:pPr>
          <w:r>
            <w:fldChar w:fldCharType="begin"/>
          </w:r>
          <w:r>
            <w:instrText xml:space="preserve"> HYPERLINK \l _Toc29610_WPSOffice_Level2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b36a0629-69a3-4eac-9023-a5d8f6fd7a89}"/>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一、收入支出决算总体情况说明</w:t>
              </w:r>
            </w:sdtContent>
          </w:sdt>
          <w:r>
            <w:tab/>
          </w:r>
          <w:r>
            <w:rPr>
              <w:rFonts w:hint="eastAsia"/>
              <w:lang w:val="en-US" w:eastAsia="zh-CN"/>
            </w:rPr>
            <w:t>9</w:t>
          </w:r>
          <w:r>
            <w:fldChar w:fldCharType="end"/>
          </w:r>
        </w:p>
        <w:p>
          <w:pPr>
            <w:pStyle w:val="40"/>
            <w:tabs>
              <w:tab w:val="right" w:leader="dot" w:pos="8306"/>
            </w:tabs>
          </w:pPr>
          <w:r>
            <w:fldChar w:fldCharType="begin"/>
          </w:r>
          <w:r>
            <w:instrText xml:space="preserve"> HYPERLINK \l _Toc27613_WPSOffice_Level2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d4f8bc72-06b0-4c5e-abd1-e5a14cfefd45}"/>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二、收入决算情况说明</w:t>
              </w:r>
            </w:sdtContent>
          </w:sdt>
          <w:r>
            <w:tab/>
          </w:r>
          <w:bookmarkStart w:id="18" w:name="_Toc27613_WPSOffice_Level2Page"/>
          <w:r>
            <w:t>10</w:t>
          </w:r>
          <w:bookmarkEnd w:id="18"/>
          <w:r>
            <w:fldChar w:fldCharType="end"/>
          </w:r>
        </w:p>
        <w:p>
          <w:pPr>
            <w:pStyle w:val="40"/>
            <w:tabs>
              <w:tab w:val="right" w:leader="dot" w:pos="8306"/>
            </w:tabs>
          </w:pPr>
          <w:r>
            <w:fldChar w:fldCharType="begin"/>
          </w:r>
          <w:r>
            <w:instrText xml:space="preserve"> HYPERLINK \l _Toc6924_WPSOffice_Level2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87ac4d1e-7c8a-42dc-affe-354d5254f047}"/>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三、支出决算情况说明</w:t>
              </w:r>
            </w:sdtContent>
          </w:sdt>
          <w:r>
            <w:tab/>
          </w:r>
          <w:bookmarkStart w:id="19" w:name="_Toc6924_WPSOffice_Level2Page"/>
          <w:r>
            <w:t>11</w:t>
          </w:r>
          <w:bookmarkEnd w:id="19"/>
          <w:r>
            <w:fldChar w:fldCharType="end"/>
          </w:r>
        </w:p>
        <w:p>
          <w:pPr>
            <w:pStyle w:val="40"/>
            <w:tabs>
              <w:tab w:val="right" w:leader="dot" w:pos="8306"/>
            </w:tabs>
          </w:pPr>
          <w:r>
            <w:fldChar w:fldCharType="begin"/>
          </w:r>
          <w:r>
            <w:instrText xml:space="preserve"> HYPERLINK \l _Toc8087_WPSOffice_Level2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aa2b0474-8443-4906-9487-c3e53ebf70d2}"/>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四、财政拨款收入支出决算总体情况说明</w:t>
              </w:r>
            </w:sdtContent>
          </w:sdt>
          <w:r>
            <w:tab/>
          </w:r>
          <w:bookmarkStart w:id="20" w:name="_Toc8087_WPSOffice_Level2Page"/>
          <w:r>
            <w:t>1</w:t>
          </w:r>
          <w:bookmarkEnd w:id="20"/>
          <w:r>
            <w:rPr>
              <w:rFonts w:hint="eastAsia"/>
              <w:lang w:val="en-US" w:eastAsia="zh-CN"/>
            </w:rPr>
            <w:t>1</w:t>
          </w:r>
          <w:r>
            <w:fldChar w:fldCharType="end"/>
          </w:r>
        </w:p>
        <w:p>
          <w:pPr>
            <w:pStyle w:val="40"/>
            <w:tabs>
              <w:tab w:val="right" w:leader="dot" w:pos="8306"/>
            </w:tabs>
          </w:pPr>
          <w:r>
            <w:fldChar w:fldCharType="begin"/>
          </w:r>
          <w:r>
            <w:instrText xml:space="preserve"> HYPERLINK \l _Toc3932_WPSOffice_Level2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29a26bf6-0073-4993-8026-faefb3971a9a}"/>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五、一般公共预算财政拨款支出决算情况说明</w:t>
              </w:r>
            </w:sdtContent>
          </w:sdt>
          <w:r>
            <w:tab/>
          </w:r>
          <w:bookmarkStart w:id="21" w:name="_Toc3932_WPSOffice_Level2Page"/>
          <w:r>
            <w:t>1</w:t>
          </w:r>
          <w:bookmarkEnd w:id="21"/>
          <w:r>
            <w:rPr>
              <w:rFonts w:hint="eastAsia"/>
              <w:lang w:val="en-US" w:eastAsia="zh-CN"/>
            </w:rPr>
            <w:t>1</w:t>
          </w:r>
          <w:r>
            <w:fldChar w:fldCharType="end"/>
          </w:r>
        </w:p>
        <w:p>
          <w:pPr>
            <w:pStyle w:val="40"/>
            <w:tabs>
              <w:tab w:val="right" w:leader="dot" w:pos="8306"/>
            </w:tabs>
          </w:pPr>
          <w:r>
            <w:fldChar w:fldCharType="begin"/>
          </w:r>
          <w:r>
            <w:instrText xml:space="preserve"> HYPERLINK \l _Toc27857_WPSOffice_Level2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490a7766-7818-44f7-9762-10d9ed000c66}"/>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六、一般公共预算财政拨款基本支出决算情况说明</w:t>
              </w:r>
            </w:sdtContent>
          </w:sdt>
          <w:r>
            <w:tab/>
          </w:r>
          <w:bookmarkStart w:id="22" w:name="_Toc27857_WPSOffice_Level2Page"/>
          <w:r>
            <w:t>1</w:t>
          </w:r>
          <w:bookmarkEnd w:id="22"/>
          <w:r>
            <w:rPr>
              <w:rFonts w:hint="eastAsia"/>
              <w:lang w:val="en-US" w:eastAsia="zh-CN"/>
            </w:rPr>
            <w:t>5</w:t>
          </w:r>
          <w:r>
            <w:fldChar w:fldCharType="end"/>
          </w:r>
        </w:p>
        <w:p>
          <w:pPr>
            <w:pStyle w:val="40"/>
            <w:tabs>
              <w:tab w:val="right" w:leader="dot" w:pos="8306"/>
            </w:tabs>
          </w:pPr>
          <w:r>
            <w:fldChar w:fldCharType="begin"/>
          </w:r>
          <w:r>
            <w:instrText xml:space="preserve"> HYPERLINK \l _Toc8025_WPSOffice_Level2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ad3ee2be-db16-4282-a1ac-c540ba903ca2}"/>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七、财政拨款“三公”经费支出决算情况说明</w:t>
              </w:r>
            </w:sdtContent>
          </w:sdt>
          <w:r>
            <w:tab/>
          </w:r>
          <w:bookmarkStart w:id="23" w:name="_Toc8025_WPSOffice_Level2Page"/>
          <w:r>
            <w:t>1</w:t>
          </w:r>
          <w:bookmarkEnd w:id="23"/>
          <w:r>
            <w:rPr>
              <w:rFonts w:hint="eastAsia"/>
              <w:lang w:val="en-US" w:eastAsia="zh-CN"/>
            </w:rPr>
            <w:t>5</w:t>
          </w:r>
          <w:r>
            <w:fldChar w:fldCharType="end"/>
          </w:r>
        </w:p>
        <w:p>
          <w:pPr>
            <w:pStyle w:val="40"/>
            <w:tabs>
              <w:tab w:val="right" w:leader="dot" w:pos="8306"/>
            </w:tabs>
          </w:pPr>
          <w:r>
            <w:fldChar w:fldCharType="begin"/>
          </w:r>
          <w:r>
            <w:instrText xml:space="preserve"> HYPERLINK \l _Toc29560_WPSOffice_Level2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4e651f0c-b614-45c7-8874-b53d14212921}"/>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八、政府性基金预算支出决算情况说明</w:t>
              </w:r>
            </w:sdtContent>
          </w:sdt>
          <w:r>
            <w:tab/>
          </w:r>
          <w:bookmarkStart w:id="24" w:name="_Toc29560_WPSOffice_Level2Page"/>
          <w:r>
            <w:t>1</w:t>
          </w:r>
          <w:bookmarkEnd w:id="24"/>
          <w:r>
            <w:rPr>
              <w:rFonts w:hint="eastAsia"/>
              <w:lang w:val="en-US" w:eastAsia="zh-CN"/>
            </w:rPr>
            <w:t>7</w:t>
          </w:r>
          <w:r>
            <w:fldChar w:fldCharType="end"/>
          </w:r>
        </w:p>
        <w:p>
          <w:pPr>
            <w:pStyle w:val="40"/>
            <w:tabs>
              <w:tab w:val="right" w:leader="dot" w:pos="8306"/>
            </w:tabs>
          </w:pPr>
          <w:r>
            <w:fldChar w:fldCharType="begin"/>
          </w:r>
          <w:r>
            <w:instrText xml:space="preserve"> HYPERLINK \l _Toc3749_WPSOffice_Level2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e242dfd7-dc17-493d-8dee-3cba1ee56b0c}"/>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九、国有资本经营预算支出决算情况说明</w:t>
              </w:r>
            </w:sdtContent>
          </w:sdt>
          <w:r>
            <w:tab/>
          </w:r>
          <w:bookmarkStart w:id="25" w:name="_Toc3749_WPSOffice_Level2Page"/>
          <w:r>
            <w:t>1</w:t>
          </w:r>
          <w:bookmarkEnd w:id="25"/>
          <w:r>
            <w:rPr>
              <w:rFonts w:hint="eastAsia"/>
              <w:lang w:val="en-US" w:eastAsia="zh-CN"/>
            </w:rPr>
            <w:t>7</w:t>
          </w:r>
          <w:r>
            <w:fldChar w:fldCharType="end"/>
          </w:r>
        </w:p>
        <w:p>
          <w:pPr>
            <w:pStyle w:val="40"/>
            <w:tabs>
              <w:tab w:val="right" w:leader="dot" w:pos="8306"/>
            </w:tabs>
          </w:pPr>
          <w:r>
            <w:fldChar w:fldCharType="begin"/>
          </w:r>
          <w:r>
            <w:instrText xml:space="preserve"> HYPERLINK \l _Toc9838_WPSOffice_Level2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aabb336d-1921-42a5-85ff-e846e373f15a}"/>
              </w:placeholder>
              <w15:color w:val="509DF3"/>
            </w:sdtPr>
            <w:sdtEndPr>
              <w:rPr>
                <w:rFonts w:ascii="Times New Roman" w:hAnsi="Times New Roman" w:eastAsia="宋体" w:cs="Times New Roman"/>
                <w:kern w:val="2"/>
                <w:sz w:val="21"/>
                <w:szCs w:val="24"/>
                <w:lang w:val="en-US" w:eastAsia="zh-CN" w:bidi="ar-SA"/>
              </w:rPr>
            </w:sdtEndPr>
            <w:sdtContent>
              <w:r>
                <w:rPr>
                  <w:rFonts w:ascii="Times New Roman" w:hAnsi="Times New Roman" w:eastAsia="黑体" w:cs="Times New Roman"/>
                </w:rPr>
                <w:t>十、其他重要事项的情况说明</w:t>
              </w:r>
            </w:sdtContent>
          </w:sdt>
          <w:r>
            <w:tab/>
          </w:r>
          <w:bookmarkStart w:id="26" w:name="_Toc9838_WPSOffice_Level2Page"/>
          <w:r>
            <w:t>1</w:t>
          </w:r>
          <w:bookmarkEnd w:id="26"/>
          <w:r>
            <w:rPr>
              <w:rFonts w:hint="eastAsia"/>
              <w:lang w:val="en-US" w:eastAsia="zh-CN"/>
            </w:rPr>
            <w:t>7</w:t>
          </w:r>
          <w:r>
            <w:fldChar w:fldCharType="end"/>
          </w:r>
        </w:p>
        <w:p>
          <w:pPr>
            <w:pStyle w:val="39"/>
            <w:tabs>
              <w:tab w:val="right" w:leader="dot" w:pos="8306"/>
            </w:tabs>
          </w:pPr>
          <w:r>
            <w:rPr>
              <w:b/>
              <w:bCs/>
            </w:rPr>
            <w:fldChar w:fldCharType="begin"/>
          </w:r>
          <w:r>
            <w:instrText xml:space="preserve"> HYPERLINK \l _Toc25008_WPSOffice_Level1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82059"/>
              <w:placeholder>
                <w:docPart w:val="{42c5ec46-8118-4cb5-bce8-66f8ccf758f2}"/>
              </w:placeholder>
              <w15:color w:val="509DF3"/>
            </w:sdtPr>
            <w:sdtEndPr>
              <w:rPr>
                <w:rFonts w:ascii="Times New Roman" w:hAnsi="Times New Roman" w:eastAsia="宋体" w:cs="Times New Roman"/>
                <w:b/>
                <w:bCs/>
                <w:kern w:val="2"/>
                <w:sz w:val="21"/>
                <w:szCs w:val="24"/>
                <w:lang w:val="en-US" w:eastAsia="zh-CN" w:bidi="ar-SA"/>
              </w:rPr>
            </w:sdtEndPr>
            <w:sdtContent>
              <w:r>
                <w:rPr>
                  <w:rFonts w:ascii="Times New Roman" w:hAnsi="Times New Roman" w:eastAsia="方正小标宋_GBK" w:cs="Times New Roman"/>
                  <w:b/>
                  <w:bCs/>
                </w:rPr>
                <w:t>第三部分 名词解释</w:t>
              </w:r>
            </w:sdtContent>
          </w:sdt>
          <w:r>
            <w:rPr>
              <w:b/>
              <w:bCs/>
            </w:rPr>
            <w:tab/>
          </w:r>
          <w:bookmarkStart w:id="27" w:name="_Toc25008_WPSOffice_Level1Page"/>
          <w:r>
            <w:rPr>
              <w:b/>
              <w:bCs/>
            </w:rPr>
            <w:t>20</w:t>
          </w:r>
          <w:bookmarkEnd w:id="27"/>
          <w:r>
            <w:rPr>
              <w:b/>
              <w:bCs/>
            </w:rPr>
            <w:fldChar w:fldCharType="end"/>
          </w:r>
        </w:p>
        <w:p>
          <w:pPr>
            <w:pStyle w:val="39"/>
            <w:tabs>
              <w:tab w:val="right" w:leader="dot" w:pos="8306"/>
            </w:tabs>
          </w:pPr>
          <w:r>
            <w:rPr>
              <w:b/>
              <w:bCs/>
            </w:rPr>
            <w:fldChar w:fldCharType="begin"/>
          </w:r>
          <w:r>
            <w:instrText xml:space="preserve"> HYPERLINK \l _Toc29610_WPSOffice_Level1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82059"/>
              <w:placeholder>
                <w:docPart w:val="{8288f28f-dc24-4075-bbae-f0770f9aa9e6}"/>
              </w:placeholder>
              <w15:color w:val="509DF3"/>
            </w:sdtPr>
            <w:sdtEndPr>
              <w:rPr>
                <w:rFonts w:ascii="Times New Roman" w:hAnsi="Times New Roman" w:eastAsia="宋体" w:cs="Times New Roman"/>
                <w:b/>
                <w:bCs/>
                <w:kern w:val="2"/>
                <w:sz w:val="21"/>
                <w:szCs w:val="24"/>
                <w:lang w:val="en-US" w:eastAsia="zh-CN" w:bidi="ar-SA"/>
              </w:rPr>
            </w:sdtEndPr>
            <w:sdtContent>
              <w:r>
                <w:rPr>
                  <w:rFonts w:ascii="Times New Roman" w:hAnsi="Times New Roman" w:eastAsia="方正小标宋_GBK" w:cs="Times New Roman"/>
                  <w:b/>
                  <w:bCs/>
                </w:rPr>
                <w:t>第四部分 附件</w:t>
              </w:r>
            </w:sdtContent>
          </w:sdt>
          <w:r>
            <w:rPr>
              <w:b/>
              <w:bCs/>
            </w:rPr>
            <w:tab/>
          </w:r>
          <w:bookmarkStart w:id="28" w:name="_Toc29610_WPSOffice_Level1Page"/>
          <w:r>
            <w:rPr>
              <w:b/>
              <w:bCs/>
            </w:rPr>
            <w:t>2</w:t>
          </w:r>
          <w:bookmarkEnd w:id="28"/>
          <w:r>
            <w:rPr>
              <w:rFonts w:hint="eastAsia"/>
              <w:b/>
              <w:bCs/>
              <w:lang w:val="en-US" w:eastAsia="zh-CN"/>
            </w:rPr>
            <w:t>2</w:t>
          </w:r>
          <w:r>
            <w:rPr>
              <w:b/>
              <w:bCs/>
            </w:rPr>
            <w:fldChar w:fldCharType="end"/>
          </w:r>
        </w:p>
        <w:p>
          <w:pPr>
            <w:pStyle w:val="39"/>
            <w:tabs>
              <w:tab w:val="right" w:leader="dot" w:pos="8306"/>
            </w:tabs>
          </w:pPr>
          <w:r>
            <w:rPr>
              <w:b/>
              <w:bCs/>
            </w:rPr>
            <w:fldChar w:fldCharType="begin"/>
          </w:r>
          <w:r>
            <w:instrText xml:space="preserve"> HYPERLINK \l _Toc27613_WPSOffice_Level1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82059"/>
              <w:placeholder>
                <w:docPart w:val="{a89d7fab-743c-45f1-8b33-dcd3d3835c49}"/>
              </w:placeholder>
              <w15:color w:val="509DF3"/>
            </w:sdtPr>
            <w:sdtEndPr>
              <w:rPr>
                <w:rFonts w:ascii="Times New Roman" w:hAnsi="Times New Roman" w:eastAsia="宋体" w:cs="Times New Roman"/>
                <w:b/>
                <w:bCs/>
                <w:kern w:val="2"/>
                <w:sz w:val="21"/>
                <w:szCs w:val="24"/>
                <w:lang w:val="en-US" w:eastAsia="zh-CN" w:bidi="ar-SA"/>
              </w:rPr>
            </w:sdtEndPr>
            <w:sdtContent>
              <w:r>
                <w:rPr>
                  <w:rFonts w:hint="eastAsia" w:ascii="方正小标宋_GBK" w:hAnsi="Times New Roman" w:eastAsia="方正小标宋_GBK" w:cs="Times New Roman"/>
                  <w:b/>
                  <w:bCs/>
                </w:rPr>
                <w:t>第五部分 附表</w:t>
              </w:r>
            </w:sdtContent>
          </w:sdt>
          <w:r>
            <w:rPr>
              <w:b/>
              <w:bCs/>
            </w:rPr>
            <w:tab/>
          </w:r>
          <w:bookmarkStart w:id="29" w:name="_Toc27613_WPSOffice_Level1Page"/>
          <w:r>
            <w:rPr>
              <w:b/>
              <w:bCs/>
            </w:rPr>
            <w:t>4</w:t>
          </w:r>
          <w:bookmarkEnd w:id="29"/>
          <w:r>
            <w:rPr>
              <w:rFonts w:hint="eastAsia"/>
              <w:b/>
              <w:bCs/>
              <w:lang w:val="en-US" w:eastAsia="zh-CN"/>
            </w:rPr>
            <w:t>4</w:t>
          </w:r>
          <w:r>
            <w:rPr>
              <w:b/>
              <w:bCs/>
            </w:rPr>
            <w:fldChar w:fldCharType="end"/>
          </w:r>
        </w:p>
        <w:p>
          <w:pPr>
            <w:pStyle w:val="40"/>
            <w:tabs>
              <w:tab w:val="right" w:leader="dot" w:pos="8306"/>
            </w:tabs>
          </w:pPr>
          <w:r>
            <w:fldChar w:fldCharType="begin"/>
          </w:r>
          <w:r>
            <w:instrText xml:space="preserve"> HYPERLINK \l _Toc6733_WPSOffice_Level2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62194583-a6e6-43b3-8892-b997198e471c}"/>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一、收入支出决算总表</w:t>
              </w:r>
            </w:sdtContent>
          </w:sdt>
          <w:r>
            <w:tab/>
          </w:r>
          <w:bookmarkStart w:id="30" w:name="_Toc6733_WPSOffice_Level2Page"/>
          <w:r>
            <w:t>4</w:t>
          </w:r>
          <w:bookmarkEnd w:id="30"/>
          <w:r>
            <w:rPr>
              <w:rFonts w:hint="eastAsia"/>
              <w:lang w:val="en-US" w:eastAsia="zh-CN"/>
            </w:rPr>
            <w:t>4</w:t>
          </w:r>
          <w:r>
            <w:fldChar w:fldCharType="end"/>
          </w:r>
        </w:p>
        <w:p>
          <w:pPr>
            <w:pStyle w:val="40"/>
            <w:tabs>
              <w:tab w:val="right" w:leader="dot" w:pos="8306"/>
            </w:tabs>
          </w:pPr>
          <w:r>
            <w:fldChar w:fldCharType="begin"/>
          </w:r>
          <w:r>
            <w:instrText xml:space="preserve"> HYPERLINK \l _Toc28847_WPSOffice_Level2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9792e2e6-89ce-461a-b2a9-1dba23b8dc69}"/>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二、收入决算表</w:t>
              </w:r>
            </w:sdtContent>
          </w:sdt>
          <w:r>
            <w:tab/>
          </w:r>
          <w:bookmarkStart w:id="31" w:name="_Toc28847_WPSOffice_Level2Page"/>
          <w:r>
            <w:t>4</w:t>
          </w:r>
          <w:bookmarkEnd w:id="31"/>
          <w:r>
            <w:rPr>
              <w:rFonts w:hint="eastAsia"/>
              <w:lang w:val="en-US" w:eastAsia="zh-CN"/>
            </w:rPr>
            <w:t>5</w:t>
          </w:r>
          <w:r>
            <w:fldChar w:fldCharType="end"/>
          </w:r>
        </w:p>
        <w:p>
          <w:pPr>
            <w:pStyle w:val="40"/>
            <w:tabs>
              <w:tab w:val="right" w:leader="dot" w:pos="8306"/>
            </w:tabs>
          </w:pPr>
          <w:r>
            <w:fldChar w:fldCharType="begin"/>
          </w:r>
          <w:r>
            <w:instrText xml:space="preserve"> HYPERLINK \l _Toc27389_WPSOffice_Level2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ef6162d4-e8b3-4d6d-b115-165ec96b4f64}"/>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三、支出决算表</w:t>
              </w:r>
            </w:sdtContent>
          </w:sdt>
          <w:r>
            <w:tab/>
          </w:r>
          <w:bookmarkStart w:id="32" w:name="_Toc27389_WPSOffice_Level2Page"/>
          <w:r>
            <w:t>4</w:t>
          </w:r>
          <w:bookmarkEnd w:id="32"/>
          <w:r>
            <w:rPr>
              <w:rFonts w:hint="eastAsia"/>
              <w:lang w:val="en-US" w:eastAsia="zh-CN"/>
            </w:rPr>
            <w:t>5</w:t>
          </w:r>
          <w:r>
            <w:fldChar w:fldCharType="end"/>
          </w:r>
        </w:p>
        <w:p>
          <w:pPr>
            <w:pStyle w:val="40"/>
            <w:tabs>
              <w:tab w:val="right" w:leader="dot" w:pos="8306"/>
            </w:tabs>
          </w:pPr>
          <w:r>
            <w:fldChar w:fldCharType="begin"/>
          </w:r>
          <w:r>
            <w:instrText xml:space="preserve"> HYPERLINK \l _Toc31461_WPSOffice_Level2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69e30049-a0de-49c2-887f-d284a9c778c0}"/>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四、财政拨款收入支出决算总表</w:t>
              </w:r>
            </w:sdtContent>
          </w:sdt>
          <w:r>
            <w:tab/>
          </w:r>
          <w:bookmarkStart w:id="33" w:name="_Toc31461_WPSOffice_Level2Page"/>
          <w:r>
            <w:t>4</w:t>
          </w:r>
          <w:bookmarkEnd w:id="33"/>
          <w:r>
            <w:rPr>
              <w:rFonts w:hint="eastAsia"/>
              <w:lang w:val="en-US" w:eastAsia="zh-CN"/>
            </w:rPr>
            <w:t>6</w:t>
          </w:r>
          <w:r>
            <w:fldChar w:fldCharType="end"/>
          </w:r>
        </w:p>
        <w:p>
          <w:pPr>
            <w:pStyle w:val="40"/>
            <w:tabs>
              <w:tab w:val="right" w:leader="dot" w:pos="8306"/>
            </w:tabs>
          </w:pPr>
          <w:r>
            <w:fldChar w:fldCharType="begin"/>
          </w:r>
          <w:r>
            <w:instrText xml:space="preserve"> HYPERLINK \l _Toc10529_WPSOffice_Level2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46125a84-a7e5-41ac-a78a-836d6b852dbf}"/>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五、财政拨款支出决算明细表</w:t>
              </w:r>
            </w:sdtContent>
          </w:sdt>
          <w:r>
            <w:tab/>
          </w:r>
          <w:bookmarkStart w:id="34" w:name="_Toc10529_WPSOffice_Level2Page"/>
          <w:r>
            <w:t>4</w:t>
          </w:r>
          <w:bookmarkEnd w:id="34"/>
          <w:r>
            <w:rPr>
              <w:rFonts w:hint="eastAsia"/>
              <w:lang w:val="en-US" w:eastAsia="zh-CN"/>
            </w:rPr>
            <w:t>7</w:t>
          </w:r>
          <w:r>
            <w:fldChar w:fldCharType="end"/>
          </w:r>
        </w:p>
        <w:p>
          <w:pPr>
            <w:pStyle w:val="40"/>
            <w:tabs>
              <w:tab w:val="right" w:leader="dot" w:pos="8306"/>
            </w:tabs>
          </w:pPr>
          <w:r>
            <w:fldChar w:fldCharType="begin"/>
          </w:r>
          <w:r>
            <w:instrText xml:space="preserve"> HYPERLINK \l _Toc13633_WPSOffice_Level2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75356f37-dfe8-4e3f-83c9-e49659ed53e9}"/>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六、一般公共预算财政拨款支出决算表</w:t>
              </w:r>
            </w:sdtContent>
          </w:sdt>
          <w:r>
            <w:tab/>
          </w:r>
          <w:bookmarkStart w:id="35" w:name="_Toc13633_WPSOffice_Level2Page"/>
          <w:r>
            <w:t>4</w:t>
          </w:r>
          <w:bookmarkEnd w:id="35"/>
          <w:r>
            <w:rPr>
              <w:rFonts w:hint="eastAsia"/>
              <w:lang w:val="en-US" w:eastAsia="zh-CN"/>
            </w:rPr>
            <w:t>8</w:t>
          </w:r>
          <w:r>
            <w:fldChar w:fldCharType="end"/>
          </w:r>
        </w:p>
        <w:p>
          <w:pPr>
            <w:pStyle w:val="40"/>
            <w:tabs>
              <w:tab w:val="right" w:leader="dot" w:pos="8306"/>
            </w:tabs>
            <w:rPr>
              <w:rFonts w:hint="eastAsia" w:eastAsia="宋体"/>
              <w:lang w:val="en-US" w:eastAsia="zh-CN"/>
            </w:rPr>
          </w:pPr>
          <w:r>
            <w:fldChar w:fldCharType="begin"/>
          </w:r>
          <w:r>
            <w:instrText xml:space="preserve"> HYPERLINK \l _Toc31322_WPSOffice_Level2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17032d09-2488-4a2d-beda-8ddc14b21fe2}"/>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七、一般公共预算财政拨款支出决算明细表</w:t>
              </w:r>
            </w:sdtContent>
          </w:sdt>
          <w:r>
            <w:tab/>
          </w:r>
          <w:r>
            <w:rPr>
              <w:rFonts w:hint="eastAsia"/>
              <w:lang w:val="en-US" w:eastAsia="zh-CN"/>
            </w:rPr>
            <w:t>4</w:t>
          </w:r>
          <w:r>
            <w:fldChar w:fldCharType="end"/>
          </w:r>
          <w:r>
            <w:rPr>
              <w:rFonts w:hint="eastAsia"/>
              <w:lang w:val="en-US" w:eastAsia="zh-CN"/>
            </w:rPr>
            <w:t>9</w:t>
          </w:r>
        </w:p>
        <w:p>
          <w:pPr>
            <w:pStyle w:val="40"/>
            <w:tabs>
              <w:tab w:val="right" w:leader="dot" w:pos="8306"/>
            </w:tabs>
          </w:pPr>
          <w:r>
            <w:fldChar w:fldCharType="begin"/>
          </w:r>
          <w:r>
            <w:instrText xml:space="preserve"> HYPERLINK \l _Toc9431_WPSOffice_Level2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058239d7-5bac-472b-81ab-49624d6ae191}"/>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八、一般公共预算财政拨款基本支出决算表</w:t>
              </w:r>
            </w:sdtContent>
          </w:sdt>
          <w:r>
            <w:tab/>
          </w:r>
          <w:bookmarkStart w:id="36" w:name="_Toc9431_WPSOffice_Level2Page"/>
          <w:r>
            <w:t>5</w:t>
          </w:r>
          <w:bookmarkEnd w:id="36"/>
          <w:r>
            <w:rPr>
              <w:rFonts w:hint="eastAsia"/>
              <w:lang w:val="en-US" w:eastAsia="zh-CN"/>
            </w:rPr>
            <w:t>1</w:t>
          </w:r>
          <w:r>
            <w:fldChar w:fldCharType="end"/>
          </w:r>
        </w:p>
        <w:p>
          <w:pPr>
            <w:pStyle w:val="40"/>
            <w:tabs>
              <w:tab w:val="right" w:leader="dot" w:pos="8306"/>
            </w:tabs>
          </w:pPr>
          <w:r>
            <w:fldChar w:fldCharType="begin"/>
          </w:r>
          <w:r>
            <w:instrText xml:space="preserve"> HYPERLINK \l _Toc21878_WPSOffice_Level2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141424a2-9411-4c20-a325-5422cd261113}"/>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九、一般公共预算财政拨款项目支出决算表</w:t>
              </w:r>
            </w:sdtContent>
          </w:sdt>
          <w:r>
            <w:tab/>
          </w:r>
          <w:bookmarkStart w:id="37" w:name="_Toc21878_WPSOffice_Level2Page"/>
          <w:r>
            <w:t>5</w:t>
          </w:r>
          <w:bookmarkEnd w:id="37"/>
          <w:r>
            <w:rPr>
              <w:rFonts w:hint="eastAsia"/>
              <w:lang w:val="en-US" w:eastAsia="zh-CN"/>
            </w:rPr>
            <w:t>1</w:t>
          </w:r>
          <w:r>
            <w:fldChar w:fldCharType="end"/>
          </w:r>
        </w:p>
        <w:p>
          <w:pPr>
            <w:pStyle w:val="40"/>
            <w:tabs>
              <w:tab w:val="right" w:leader="dot" w:pos="8306"/>
            </w:tabs>
          </w:pPr>
          <w:r>
            <w:fldChar w:fldCharType="begin"/>
          </w:r>
          <w:r>
            <w:instrText xml:space="preserve"> HYPERLINK \l _Toc6917_WPSOffice_Level2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7340d8c3-fa4b-4a46-a213-bd5cccbff12b}"/>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十、政府性基金预算财政拨款收入支出决算表</w:t>
              </w:r>
            </w:sdtContent>
          </w:sdt>
          <w:r>
            <w:tab/>
          </w:r>
          <w:bookmarkStart w:id="38" w:name="_Toc6917_WPSOffice_Level2Page"/>
          <w:r>
            <w:t>5</w:t>
          </w:r>
          <w:bookmarkEnd w:id="38"/>
          <w:r>
            <w:rPr>
              <w:rFonts w:hint="eastAsia"/>
              <w:lang w:val="en-US" w:eastAsia="zh-CN"/>
            </w:rPr>
            <w:t>2</w:t>
          </w:r>
          <w:r>
            <w:fldChar w:fldCharType="end"/>
          </w:r>
        </w:p>
        <w:p>
          <w:pPr>
            <w:pStyle w:val="40"/>
            <w:tabs>
              <w:tab w:val="right" w:leader="dot" w:pos="8306"/>
            </w:tabs>
          </w:pPr>
          <w:r>
            <w:fldChar w:fldCharType="begin"/>
          </w:r>
          <w:r>
            <w:instrText xml:space="preserve"> HYPERLINK \l _Toc19713_WPSOffice_Level2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151de6e8-a656-4204-a151-8eb0cb12c067}"/>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十一、国有资本经营预算财政拨款收入支出决算表</w:t>
              </w:r>
            </w:sdtContent>
          </w:sdt>
          <w:r>
            <w:tab/>
          </w:r>
          <w:bookmarkStart w:id="39" w:name="_Toc19713_WPSOffice_Level2Page"/>
          <w:r>
            <w:t>5</w:t>
          </w:r>
          <w:bookmarkEnd w:id="39"/>
          <w:r>
            <w:rPr>
              <w:rFonts w:hint="eastAsia"/>
              <w:lang w:val="en-US" w:eastAsia="zh-CN"/>
            </w:rPr>
            <w:t>2</w:t>
          </w:r>
          <w:r>
            <w:fldChar w:fldCharType="end"/>
          </w:r>
        </w:p>
        <w:p>
          <w:pPr>
            <w:pStyle w:val="40"/>
            <w:tabs>
              <w:tab w:val="right" w:leader="dot" w:pos="8306"/>
            </w:tabs>
          </w:pPr>
          <w:r>
            <w:fldChar w:fldCharType="begin"/>
          </w:r>
          <w:r>
            <w:instrText xml:space="preserve"> HYPERLINK \l _Toc21574_WPSOffice_Level2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527942c0-88f1-4c7f-a8cf-fe37500dc9e9}"/>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十二、国有资本经营预算财政拨款支出决算表</w:t>
              </w:r>
            </w:sdtContent>
          </w:sdt>
          <w:r>
            <w:tab/>
          </w:r>
          <w:bookmarkStart w:id="40" w:name="_Toc21574_WPSOffice_Level2Page"/>
          <w:r>
            <w:t>5</w:t>
          </w:r>
          <w:bookmarkEnd w:id="40"/>
          <w:r>
            <w:rPr>
              <w:rFonts w:hint="eastAsia"/>
              <w:lang w:val="en-US" w:eastAsia="zh-CN"/>
            </w:rPr>
            <w:t>3</w:t>
          </w:r>
          <w:r>
            <w:fldChar w:fldCharType="end"/>
          </w:r>
        </w:p>
        <w:p>
          <w:pPr>
            <w:pStyle w:val="40"/>
            <w:tabs>
              <w:tab w:val="right" w:leader="dot" w:pos="8306"/>
            </w:tabs>
          </w:pPr>
          <w:r>
            <w:fldChar w:fldCharType="begin"/>
          </w:r>
          <w:r>
            <w:instrText xml:space="preserve"> HYPERLINK \l _Toc14137_WPSOffice_Level2 </w:instrText>
          </w:r>
          <w:r>
            <w:fldChar w:fldCharType="separate"/>
          </w:r>
          <w:sdt>
            <w:sdtPr>
              <w:rPr>
                <w:rFonts w:ascii="Times New Roman" w:hAnsi="Times New Roman" w:eastAsia="宋体" w:cs="Times New Roman"/>
                <w:kern w:val="2"/>
                <w:sz w:val="21"/>
                <w:szCs w:val="24"/>
                <w:lang w:val="en-US" w:eastAsia="zh-CN" w:bidi="ar-SA"/>
              </w:rPr>
              <w:id w:val="147482059"/>
              <w:placeholder>
                <w:docPart w:val="{fa00e077-a266-4ada-b6a2-19b0a0fc399f}"/>
              </w:placeholder>
              <w15:color w:val="509DF3"/>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十三、财政拨款“三公”经费支出决算表</w:t>
              </w:r>
            </w:sdtContent>
          </w:sdt>
          <w:r>
            <w:tab/>
          </w:r>
          <w:bookmarkStart w:id="41" w:name="_Toc14137_WPSOffice_Level2Page"/>
          <w:r>
            <w:t>5</w:t>
          </w:r>
          <w:bookmarkEnd w:id="41"/>
          <w:r>
            <w:rPr>
              <w:rFonts w:hint="eastAsia"/>
              <w:lang w:val="en-US" w:eastAsia="zh-CN"/>
            </w:rPr>
            <w:t>3</w:t>
          </w:r>
          <w:r>
            <w:fldChar w:fldCharType="end"/>
          </w:r>
          <w:bookmarkEnd w:id="12"/>
        </w:p>
      </w:sdtContent>
    </w:sdt>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jc w:val="center"/>
        <w:rPr>
          <w:rFonts w:eastAsia="方正小标宋_GBK"/>
          <w:sz w:val="44"/>
          <w:szCs w:val="44"/>
        </w:rPr>
      </w:pPr>
      <w:bookmarkStart w:id="42" w:name="_Toc23006_WPSOffice_Level1"/>
      <w:r>
        <w:rPr>
          <w:rFonts w:eastAsia="方正小标宋_GBK"/>
          <w:sz w:val="44"/>
          <w:szCs w:val="44"/>
        </w:rPr>
        <w:t>第一部分 部门概况</w:t>
      </w:r>
      <w:bookmarkEnd w:id="13"/>
      <w:bookmarkEnd w:id="14"/>
      <w:bookmarkEnd w:id="42"/>
    </w:p>
    <w:p>
      <w:pPr>
        <w:spacing w:line="560" w:lineRule="exact"/>
        <w:rPr>
          <w:rFonts w:eastAsia="仿宋_GB2312"/>
          <w:sz w:val="32"/>
          <w:szCs w:val="32"/>
        </w:rPr>
      </w:pPr>
    </w:p>
    <w:p>
      <w:pPr>
        <w:spacing w:line="560" w:lineRule="exact"/>
        <w:ind w:firstLine="640" w:firstLineChars="200"/>
        <w:rPr>
          <w:rFonts w:eastAsia="黑体"/>
          <w:sz w:val="32"/>
          <w:szCs w:val="32"/>
        </w:rPr>
      </w:pPr>
      <w:bookmarkStart w:id="43" w:name="_Toc23931_WPSOffice_Level2"/>
      <w:r>
        <w:rPr>
          <w:rFonts w:eastAsia="黑体"/>
          <w:sz w:val="32"/>
          <w:szCs w:val="32"/>
        </w:rPr>
        <w:t>一、部门职责</w:t>
      </w:r>
      <w:bookmarkEnd w:id="43"/>
    </w:p>
    <w:p>
      <w:pPr>
        <w:spacing w:line="560" w:lineRule="exact"/>
        <w:ind w:firstLine="640" w:firstLineChars="200"/>
        <w:rPr>
          <w:rFonts w:eastAsia="仿宋_GB2312"/>
          <w:sz w:val="32"/>
          <w:szCs w:val="32"/>
        </w:rPr>
      </w:pPr>
      <w:r>
        <w:rPr>
          <w:rFonts w:eastAsia="仿宋_GB2312"/>
          <w:sz w:val="32"/>
          <w:szCs w:val="32"/>
        </w:rPr>
        <w:t>（一）拟订全县财税发展战略、规划、政策和改革方案并组织实施。分析预测宏观经济形势，参与制定各项经济政策，提出运用财税政策实施宏观调控和综合平衡社会财力的建议。拟订县与乡（镇）政府、政府与企业的分配政策，完善鼓励公益事业发展的财税政策。</w:t>
      </w:r>
    </w:p>
    <w:p>
      <w:pPr>
        <w:spacing w:line="560" w:lineRule="exact"/>
        <w:ind w:firstLine="640" w:firstLineChars="200"/>
        <w:rPr>
          <w:rFonts w:eastAsia="仿宋_GB2312"/>
          <w:sz w:val="32"/>
          <w:szCs w:val="32"/>
        </w:rPr>
      </w:pPr>
      <w:r>
        <w:rPr>
          <w:rFonts w:eastAsia="仿宋_GB2312"/>
          <w:sz w:val="32"/>
          <w:szCs w:val="32"/>
        </w:rPr>
        <w:t>（二）贯彻执行财政、税收、财务、会计管理的法律法规和规章。负责组织起草地方性财政政策、规范性文件和规章制度并组织实施。按照管理权限管理全县税政事项。承办国务院关税税则委员会办公室要求县一级承担的工作。</w:t>
      </w:r>
    </w:p>
    <w:p>
      <w:pPr>
        <w:spacing w:line="560" w:lineRule="exact"/>
        <w:ind w:firstLine="640" w:firstLineChars="200"/>
        <w:rPr>
          <w:rFonts w:eastAsia="仿宋_GB2312"/>
          <w:sz w:val="32"/>
          <w:szCs w:val="32"/>
        </w:rPr>
      </w:pPr>
      <w:r>
        <w:rPr>
          <w:rFonts w:eastAsia="仿宋_GB2312"/>
          <w:sz w:val="32"/>
          <w:szCs w:val="32"/>
        </w:rPr>
        <w:t>（三）负责管理各项财政收支。编制年度县级预决算草案并组织执行。组织制定经费开支标准、定额，审核批复部门（单位）年度预决算。受县政府委托，向县人大及其常委会报告财政预算、执行和决算等情况。负责政府投资基金县级财政出资的资产管理。负责县级预决算公开。负责全面实施预算绩效管理。</w:t>
      </w:r>
    </w:p>
    <w:p>
      <w:pPr>
        <w:spacing w:line="560" w:lineRule="exact"/>
        <w:ind w:firstLine="640" w:firstLineChars="200"/>
        <w:rPr>
          <w:rFonts w:eastAsia="仿宋_GB2312"/>
          <w:sz w:val="32"/>
          <w:szCs w:val="32"/>
        </w:rPr>
      </w:pPr>
      <w:r>
        <w:rPr>
          <w:rFonts w:eastAsia="仿宋_GB2312"/>
          <w:sz w:val="32"/>
          <w:szCs w:val="32"/>
        </w:rPr>
        <w:t>（四）按分工负责政府非税收入管理。负责政府性基金管理，按规定管理行政事业性收费等其他非税收入。管理财政票据。贯彻执行彩票管理政策，监管彩票市场，按规定管理彩票资金。</w:t>
      </w:r>
    </w:p>
    <w:p>
      <w:pPr>
        <w:spacing w:line="560" w:lineRule="exact"/>
        <w:ind w:firstLine="640" w:firstLineChars="200"/>
        <w:rPr>
          <w:rFonts w:eastAsia="仿宋_GB2312"/>
          <w:sz w:val="32"/>
          <w:szCs w:val="32"/>
        </w:rPr>
      </w:pPr>
      <w:r>
        <w:rPr>
          <w:rFonts w:eastAsia="仿宋_GB2312"/>
          <w:sz w:val="32"/>
          <w:szCs w:val="32"/>
        </w:rPr>
        <w:t>（五）组织制定全县国库管理制度、国库集中收付制度，指导和监督国库业务，开展国库现金管理工作。贯彻执行政府财务报告编制办法并组织实施。监督管理全县政府采购工作。</w:t>
      </w:r>
    </w:p>
    <w:p>
      <w:pPr>
        <w:spacing w:line="560" w:lineRule="exact"/>
        <w:ind w:firstLine="640" w:firstLineChars="200"/>
        <w:rPr>
          <w:rFonts w:eastAsia="仿宋_GB2312"/>
          <w:sz w:val="32"/>
          <w:szCs w:val="32"/>
        </w:rPr>
      </w:pPr>
      <w:r>
        <w:rPr>
          <w:rFonts w:eastAsia="仿宋_GB2312"/>
          <w:sz w:val="32"/>
          <w:szCs w:val="32"/>
        </w:rPr>
        <w:t xml:space="preserve">（六）贯彻执行地方政府债务管理制度和政策，制定具体管理办法，编制地方政府债余额限额计划，统一管理政府外债，防范财政风险。                   </w:t>
      </w:r>
    </w:p>
    <w:p>
      <w:pPr>
        <w:spacing w:line="560" w:lineRule="exact"/>
        <w:ind w:firstLine="640" w:firstLineChars="200"/>
        <w:rPr>
          <w:rFonts w:eastAsia="仿宋_GB2312"/>
          <w:sz w:val="32"/>
          <w:szCs w:val="32"/>
        </w:rPr>
      </w:pPr>
      <w:r>
        <w:rPr>
          <w:rFonts w:eastAsia="仿宋_GB2312"/>
          <w:sz w:val="32"/>
          <w:szCs w:val="32"/>
        </w:rPr>
        <w:t>（七）牵头编制全县国有资产管理情况报告。根据县政府授权，集中统一履行县级国有金融资本出资人职责。制定县级国有金融资本管理制度。拟订全县行政事业单位国有资产管理制度并组织实施。制定需要全县统一规定的开支标准和支出政策。负责县属国有企业监督管理。</w:t>
      </w:r>
    </w:p>
    <w:p>
      <w:pPr>
        <w:spacing w:line="560" w:lineRule="exact"/>
        <w:ind w:firstLine="640" w:firstLineChars="200"/>
        <w:rPr>
          <w:rFonts w:eastAsia="仿宋_GB2312"/>
          <w:sz w:val="32"/>
          <w:szCs w:val="32"/>
        </w:rPr>
      </w:pPr>
      <w:r>
        <w:rPr>
          <w:rFonts w:eastAsia="仿宋_GB2312"/>
          <w:sz w:val="32"/>
          <w:szCs w:val="32"/>
        </w:rPr>
        <w:t>（八）负责审核并汇总编制全县国有资本经营预决算草案。制定国有资本经营预算制度和办法，收取县本级企业国有资本收益。组织实施企业财务制度，负责财政预算内行政事业单位和社会团体的非贸易外汇和财政预算内的国际收支管理。</w:t>
      </w:r>
    </w:p>
    <w:p>
      <w:pPr>
        <w:spacing w:line="560" w:lineRule="exact"/>
        <w:ind w:firstLine="640" w:firstLineChars="200"/>
        <w:rPr>
          <w:rFonts w:eastAsia="仿宋_GB2312"/>
          <w:sz w:val="32"/>
          <w:szCs w:val="32"/>
        </w:rPr>
      </w:pPr>
      <w:r>
        <w:rPr>
          <w:rFonts w:eastAsia="仿宋_GB2312"/>
          <w:sz w:val="32"/>
          <w:szCs w:val="32"/>
        </w:rPr>
        <w:t>（九）负责审核并汇总编制全县社会保险基金预决算草案，会同有关部门拟订有关资金（基金）财务管理制度，承担社会保险基金财政监管工作。</w:t>
      </w:r>
    </w:p>
    <w:p>
      <w:pPr>
        <w:spacing w:line="560" w:lineRule="exact"/>
        <w:ind w:firstLine="640" w:firstLineChars="200"/>
        <w:rPr>
          <w:rFonts w:eastAsia="仿宋_GB2312"/>
          <w:sz w:val="32"/>
          <w:szCs w:val="32"/>
        </w:rPr>
      </w:pPr>
      <w:r>
        <w:rPr>
          <w:rFonts w:eastAsia="仿宋_GB2312"/>
          <w:sz w:val="32"/>
          <w:szCs w:val="32"/>
        </w:rPr>
        <w:t>（十）负责办理和监督县级财政的经济发展支出、县级政府性投资项目的财政拨款，负责投资评审管理工作，参与拟订县级基建投资有关政策，制定基建财务管理制度。负责政府性投资项目竣工决算、结算管理工作。</w:t>
      </w:r>
    </w:p>
    <w:p>
      <w:pPr>
        <w:spacing w:line="560" w:lineRule="exact"/>
        <w:ind w:firstLine="640" w:firstLineChars="200"/>
        <w:rPr>
          <w:rFonts w:eastAsia="仿宋_GB2312"/>
          <w:sz w:val="32"/>
          <w:szCs w:val="32"/>
        </w:rPr>
      </w:pPr>
      <w:r>
        <w:rPr>
          <w:rFonts w:eastAsia="仿宋_GB2312"/>
          <w:sz w:val="32"/>
          <w:szCs w:val="32"/>
        </w:rPr>
        <w:t>（十一）管理外国政府和国际金融机构贷（赠）款项目的有关业务，参与财经领域的国际交流与合作。</w:t>
      </w:r>
    </w:p>
    <w:p>
      <w:pPr>
        <w:spacing w:line="560" w:lineRule="exact"/>
        <w:ind w:firstLine="640" w:firstLineChars="200"/>
        <w:rPr>
          <w:rFonts w:eastAsia="仿宋_GB2312"/>
          <w:sz w:val="32"/>
          <w:szCs w:val="32"/>
        </w:rPr>
      </w:pPr>
      <w:r>
        <w:rPr>
          <w:rFonts w:eastAsia="仿宋_GB2312"/>
          <w:sz w:val="32"/>
          <w:szCs w:val="32"/>
        </w:rPr>
        <w:t>（十二）负责管理全县会计工作，监督和规范会计行为，组织实施国家统一的会计制度，指导社会审计。依法管理资产评估有关工作。</w:t>
      </w:r>
    </w:p>
    <w:p>
      <w:pPr>
        <w:spacing w:line="560" w:lineRule="exact"/>
        <w:ind w:firstLine="640" w:firstLineChars="200"/>
        <w:rPr>
          <w:rFonts w:eastAsia="仿宋_GB2312"/>
          <w:sz w:val="32"/>
          <w:szCs w:val="32"/>
        </w:rPr>
      </w:pPr>
      <w:r>
        <w:rPr>
          <w:rFonts w:eastAsia="仿宋_GB2312"/>
          <w:sz w:val="32"/>
          <w:szCs w:val="32"/>
        </w:rPr>
        <w:t>（十三）拟定和执行国有资产管理的政策法规、规章制度和管理办法；负责全县行政事业单位国有资产及国有资产经营收益管理工作；组织实施行政事业单位国有资产及县属国有企业资产的清产核资和绩效评价工作；组织实施县级行政事业单位及国有企业产权界定、企业国有资产产权界定和转让工作，监缴国有资产收益；负责国有资产及县属国有企业资产的统计、分析；指导和监督行政事业单位、县属国有企业资产的产权界定、清查登记等工作；指导和监督办理执行《企业财务通则》和相关财务会计制度，参与拟定企业国有资产管理相关制度；负责所监管的经营性事业单位转企改制工作。</w:t>
      </w:r>
    </w:p>
    <w:p>
      <w:pPr>
        <w:spacing w:line="560" w:lineRule="exact"/>
        <w:ind w:firstLine="640" w:firstLineChars="200"/>
        <w:rPr>
          <w:rFonts w:eastAsia="仿宋_GB2312"/>
          <w:sz w:val="32"/>
          <w:szCs w:val="32"/>
        </w:rPr>
      </w:pPr>
      <w:r>
        <w:rPr>
          <w:rFonts w:eastAsia="仿宋_GB2312"/>
          <w:sz w:val="32"/>
          <w:szCs w:val="32"/>
        </w:rPr>
        <w:t>（十四）会同有关部门拟订地方金融政策措施。拟订全县金融业发展的中长期规划并组织实施；负责联系协调全县金融机构，推动地方政府与金融机构合作交流，防控金融风险、深化金融改革；会同有关部门推进地方金融业规范发展，组建、培育、壮大地方法人金融机构；统筹推进全县企业直接融资工作，统筹全市地方金融要素市场体系建设，参与全县投融资体制改革工作；负责全县小额贷款公司、融资担保公司、典当行、融资租赁公司等监管；负责地方金融机构和金融中介机构的行业管理和服务，促进金融中介服务业发展，参与拟订促进与金融业密切相关的中介服务机构发展的政策、规划并配合有关部门实施；维护地方金融秩序，牵头会同有关部门防范、化解和处置地方金融风险；牵头处置非法集资、协调配合有关部门打击其他非法金融活动；推进全县金融知识宣传普及工作。</w:t>
      </w:r>
    </w:p>
    <w:p>
      <w:pPr>
        <w:spacing w:line="560" w:lineRule="exact"/>
        <w:ind w:firstLine="640" w:firstLineChars="200"/>
        <w:rPr>
          <w:rFonts w:eastAsia="仿宋_GB2312"/>
          <w:sz w:val="32"/>
          <w:szCs w:val="32"/>
        </w:rPr>
      </w:pPr>
      <w:r>
        <w:rPr>
          <w:rFonts w:eastAsia="仿宋_GB2312"/>
          <w:sz w:val="32"/>
          <w:szCs w:val="32"/>
        </w:rPr>
        <w:t>（十五）负责职责范围内的安全生产和职业健康、生态环境保护、审批服务便民化等工作。</w:t>
      </w:r>
    </w:p>
    <w:p>
      <w:pPr>
        <w:spacing w:line="560" w:lineRule="exact"/>
        <w:ind w:firstLine="640" w:firstLineChars="200"/>
        <w:rPr>
          <w:rFonts w:eastAsia="仿宋_GB2312"/>
          <w:sz w:val="32"/>
          <w:szCs w:val="32"/>
        </w:rPr>
      </w:pPr>
      <w:r>
        <w:rPr>
          <w:rFonts w:eastAsia="仿宋_GB2312"/>
          <w:sz w:val="32"/>
          <w:szCs w:val="32"/>
        </w:rPr>
        <w:t>（十六）完成县委、县政府交办的其他任务。</w:t>
      </w:r>
    </w:p>
    <w:p>
      <w:pPr>
        <w:spacing w:line="560" w:lineRule="exact"/>
        <w:ind w:firstLine="640" w:firstLineChars="200"/>
        <w:rPr>
          <w:rFonts w:eastAsia="仿宋_GB2312"/>
          <w:sz w:val="32"/>
          <w:szCs w:val="32"/>
        </w:rPr>
      </w:pPr>
      <w:r>
        <w:rPr>
          <w:rFonts w:eastAsia="仿宋_GB2312"/>
          <w:sz w:val="32"/>
          <w:szCs w:val="32"/>
        </w:rPr>
        <w:t>（十七）职能转变。</w:t>
      </w:r>
    </w:p>
    <w:p>
      <w:pPr>
        <w:spacing w:line="560" w:lineRule="exact"/>
        <w:ind w:firstLine="640" w:firstLineChars="200"/>
        <w:rPr>
          <w:rFonts w:eastAsia="仿宋_GB2312"/>
          <w:sz w:val="32"/>
          <w:szCs w:val="32"/>
        </w:rPr>
      </w:pPr>
      <w:r>
        <w:rPr>
          <w:rFonts w:eastAsia="仿宋_GB2312"/>
          <w:sz w:val="32"/>
          <w:szCs w:val="32"/>
        </w:rPr>
        <w:t>1.完善宏观调控体系，创新调控方式，构建发展规划、财政、金融等政策协调和工作协同机制，强化经济监测预测预警能力，建立健全重大问题研究和政策储备工作机制，增强宏观调控前瞻性、针对性、协同性。</w:t>
      </w:r>
    </w:p>
    <w:p>
      <w:pPr>
        <w:spacing w:line="560" w:lineRule="exact"/>
        <w:ind w:firstLine="640" w:firstLineChars="200"/>
        <w:rPr>
          <w:rFonts w:eastAsia="仿宋_GB2312"/>
          <w:sz w:val="32"/>
          <w:szCs w:val="32"/>
        </w:rPr>
      </w:pPr>
      <w:r>
        <w:rPr>
          <w:rFonts w:eastAsia="仿宋_GB2312"/>
          <w:sz w:val="32"/>
          <w:szCs w:val="32"/>
        </w:rPr>
        <w:t>2.深化财税体制改革。加快建立现代财政制度，推进财政事权和支出责任划分改革，理顺县与乡（镇）收入划分，建立权责清晰、财力协调、区域均衡的县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p>
    <w:p>
      <w:pPr>
        <w:spacing w:line="560" w:lineRule="exact"/>
        <w:ind w:firstLine="640" w:firstLineChars="200"/>
        <w:rPr>
          <w:rFonts w:eastAsia="仿宋_GB2312"/>
          <w:sz w:val="32"/>
          <w:szCs w:val="32"/>
        </w:rPr>
      </w:pPr>
      <w:r>
        <w:rPr>
          <w:rFonts w:eastAsia="仿宋_GB2312"/>
          <w:sz w:val="32"/>
          <w:szCs w:val="32"/>
        </w:rPr>
        <w:t>3.防范化解地方政府债务风险。规范举债融资机制，构建“闭环”管理体系，严控法定限额内债务风险，着力防控隐性债务风险，牢牢守住不发生系统性风险的底线。</w:t>
      </w:r>
    </w:p>
    <w:p>
      <w:pPr>
        <w:spacing w:line="560" w:lineRule="exact"/>
        <w:ind w:firstLine="640" w:firstLineChars="200"/>
        <w:rPr>
          <w:rFonts w:eastAsia="仿宋_GB2312"/>
          <w:sz w:val="32"/>
          <w:szCs w:val="32"/>
        </w:rPr>
      </w:pPr>
      <w:r>
        <w:rPr>
          <w:rFonts w:eastAsia="仿宋_GB2312"/>
          <w:sz w:val="32"/>
          <w:szCs w:val="32"/>
        </w:rPr>
        <w:t>（十八）有关职责分工。</w:t>
      </w:r>
    </w:p>
    <w:p>
      <w:pPr>
        <w:spacing w:line="560" w:lineRule="exact"/>
        <w:ind w:firstLine="640" w:firstLineChars="200"/>
        <w:rPr>
          <w:rFonts w:eastAsia="仿宋_GB2312"/>
          <w:sz w:val="32"/>
          <w:szCs w:val="32"/>
        </w:rPr>
      </w:pPr>
      <w:r>
        <w:rPr>
          <w:rFonts w:eastAsia="仿宋_GB2312"/>
          <w:sz w:val="32"/>
          <w:szCs w:val="32"/>
        </w:rPr>
        <w:t>1.税政管理职责分工。县财政局负责提出税收政策建议，与县税务局共同上报和下发。参与提出关税政策建议。</w:t>
      </w:r>
    </w:p>
    <w:p>
      <w:pPr>
        <w:spacing w:line="560" w:lineRule="exact"/>
        <w:ind w:firstLine="640" w:firstLineChars="200"/>
        <w:rPr>
          <w:rFonts w:eastAsia="仿宋_GB2312"/>
          <w:sz w:val="32"/>
          <w:szCs w:val="32"/>
        </w:rPr>
      </w:pPr>
      <w:r>
        <w:rPr>
          <w:rFonts w:eastAsia="仿宋_GB2312"/>
          <w:sz w:val="32"/>
          <w:szCs w:val="32"/>
        </w:rPr>
        <w:t>2.非税收入管理职责分工。县财政局贯彻落实非税收入国库集中收缴制度，负责非税收入账户、收缴方式、退付退库等管理。县税务局等部门按照非税收入国库集中收缴等有关规定，负责做好非税收入申报征收、会统核算、缴费检查、欠费追缴和违法处罚等工作，有关非税收入项目收缴信息与县财政局及时共享。</w:t>
      </w:r>
    </w:p>
    <w:p>
      <w:pPr>
        <w:spacing w:line="560" w:lineRule="exact"/>
        <w:ind w:firstLine="640" w:firstLineChars="200"/>
        <w:rPr>
          <w:rFonts w:eastAsia="仿宋_GB2312"/>
          <w:sz w:val="32"/>
          <w:szCs w:val="32"/>
        </w:rPr>
      </w:pPr>
      <w:r>
        <w:rPr>
          <w:rFonts w:eastAsia="仿宋_GB2312"/>
          <w:sz w:val="32"/>
          <w:szCs w:val="32"/>
        </w:rPr>
        <w:t xml:space="preserve">3.县级行政事业单位国有资产管理职责分工。县财政局负责制定行政事业单位国有资产管理制度，并负责组织实施和监督检查。会同县政府办（县机关事务管理局）负责县级行政事业单位国有资产管理。县政府办（县机关事务管理局）负责制定县级行政事业单位国有资产管理具体制度和办法并组织实施，承担产权界定、清查登记、资产处置等工作，接受县财政局的指导和监督检查。县级行政事业单位具体承担所属事业单位及派出机构的国有资产管理工作。 </w:t>
      </w:r>
    </w:p>
    <w:p>
      <w:pPr>
        <w:spacing w:line="560" w:lineRule="exact"/>
        <w:ind w:firstLine="640" w:firstLineChars="200"/>
        <w:rPr>
          <w:rFonts w:eastAsia="仿宋_GB2312"/>
          <w:sz w:val="32"/>
          <w:szCs w:val="32"/>
        </w:rPr>
      </w:pPr>
      <w:r>
        <w:rPr>
          <w:rFonts w:eastAsia="仿宋_GB2312"/>
          <w:sz w:val="32"/>
          <w:szCs w:val="32"/>
        </w:rPr>
        <w:t>4.各类投资基金管理职责分工。县发展改革局负责指导相关部门推动政府出资产业投资基金行业信用体系建设，配合有关部门贯彻执行促进私募股权基金发展的政策措施。县财政局负责地方国有金融资本管理工作，会同县发展改革局及县级行业部门负责财政性资金出资发起设立或参股设立的股权投资基金管理。县财政局参与指导各类投资基金规范发展。</w:t>
      </w:r>
    </w:p>
    <w:p>
      <w:pPr>
        <w:spacing w:line="560" w:lineRule="exact"/>
        <w:ind w:firstLine="640" w:firstLineChars="200"/>
        <w:rPr>
          <w:rFonts w:eastAsia="黑体"/>
          <w:sz w:val="32"/>
          <w:szCs w:val="32"/>
        </w:rPr>
      </w:pPr>
      <w:bookmarkStart w:id="44" w:name="_Toc15377200"/>
      <w:bookmarkStart w:id="45" w:name="_Toc15396601"/>
      <w:bookmarkStart w:id="46" w:name="_Toc25008_WPSOffice_Level2"/>
      <w:r>
        <w:rPr>
          <w:rFonts w:eastAsia="黑体"/>
          <w:sz w:val="32"/>
          <w:szCs w:val="32"/>
        </w:rPr>
        <w:t>二、机构设置</w:t>
      </w:r>
      <w:bookmarkEnd w:id="44"/>
      <w:bookmarkEnd w:id="45"/>
      <w:bookmarkEnd w:id="46"/>
    </w:p>
    <w:p>
      <w:pPr>
        <w:spacing w:line="560" w:lineRule="exact"/>
        <w:ind w:firstLine="640" w:firstLineChars="200"/>
        <w:rPr>
          <w:rFonts w:eastAsia="仿宋_GB2312"/>
          <w:sz w:val="32"/>
          <w:szCs w:val="32"/>
        </w:rPr>
      </w:pPr>
      <w:r>
        <w:rPr>
          <w:rFonts w:eastAsia="仿宋_GB2312"/>
          <w:sz w:val="32"/>
          <w:szCs w:val="32"/>
        </w:rPr>
        <w:t>盐边县财政局下属二级预算单位</w:t>
      </w:r>
      <w:r>
        <w:rPr>
          <w:rFonts w:hint="eastAsia" w:eastAsia="仿宋_GB2312"/>
          <w:sz w:val="32"/>
          <w:szCs w:val="32"/>
          <w:lang w:val="en-US" w:eastAsia="zh-CN"/>
        </w:rPr>
        <w:t>5</w:t>
      </w:r>
      <w:r>
        <w:rPr>
          <w:rFonts w:eastAsia="仿宋_GB2312"/>
          <w:sz w:val="32"/>
          <w:szCs w:val="32"/>
        </w:rPr>
        <w:t>个，其中行政单位0个，参照公务员法管理的事业单位0个，其他事业单位</w:t>
      </w:r>
      <w:r>
        <w:rPr>
          <w:rFonts w:hint="eastAsia" w:eastAsia="仿宋_GB2312"/>
          <w:sz w:val="32"/>
          <w:szCs w:val="32"/>
          <w:lang w:val="en-US" w:eastAsia="zh-CN"/>
        </w:rPr>
        <w:t>5</w:t>
      </w:r>
      <w:r>
        <w:rPr>
          <w:rFonts w:eastAsia="仿宋_GB2312"/>
          <w:sz w:val="32"/>
          <w:szCs w:val="32"/>
        </w:rPr>
        <w:t>个。</w:t>
      </w:r>
    </w:p>
    <w:p>
      <w:pPr>
        <w:spacing w:line="560" w:lineRule="exact"/>
        <w:ind w:firstLine="640" w:firstLineChars="200"/>
        <w:rPr>
          <w:rFonts w:eastAsia="仿宋_GB2312"/>
          <w:sz w:val="32"/>
          <w:szCs w:val="32"/>
        </w:rPr>
      </w:pPr>
      <w:r>
        <w:rPr>
          <w:rFonts w:eastAsia="仿宋_GB2312"/>
          <w:sz w:val="32"/>
          <w:szCs w:val="32"/>
        </w:rPr>
        <w:t>纳入财政局2022年度部门决算编制范围的二级预算单位包括：</w:t>
      </w:r>
    </w:p>
    <w:p>
      <w:pPr>
        <w:spacing w:line="560" w:lineRule="exact"/>
        <w:ind w:firstLine="640" w:firstLineChars="200"/>
        <w:rPr>
          <w:rFonts w:eastAsia="仿宋_GB2312"/>
          <w:sz w:val="32"/>
          <w:szCs w:val="32"/>
        </w:rPr>
      </w:pPr>
      <w:bookmarkStart w:id="47" w:name="_Toc15378449"/>
      <w:bookmarkStart w:id="48" w:name="_Toc15377433"/>
      <w:bookmarkStart w:id="49" w:name="_Toc15306276"/>
      <w:bookmarkStart w:id="50" w:name="_Toc15377202"/>
      <w:r>
        <w:rPr>
          <w:rFonts w:eastAsia="仿宋_GB2312"/>
          <w:sz w:val="32"/>
          <w:szCs w:val="32"/>
        </w:rPr>
        <w:t>1.盐边县国有资产投资服务中心</w:t>
      </w:r>
    </w:p>
    <w:bookmarkEnd w:id="47"/>
    <w:bookmarkEnd w:id="48"/>
    <w:bookmarkEnd w:id="49"/>
    <w:bookmarkEnd w:id="50"/>
    <w:p>
      <w:pPr>
        <w:spacing w:line="560" w:lineRule="exact"/>
        <w:ind w:firstLine="640" w:firstLineChars="200"/>
        <w:rPr>
          <w:rFonts w:eastAsia="仿宋_GB2312"/>
          <w:sz w:val="32"/>
          <w:szCs w:val="32"/>
        </w:rPr>
      </w:pPr>
      <w:r>
        <w:rPr>
          <w:rFonts w:eastAsia="仿宋_GB2312"/>
          <w:sz w:val="32"/>
          <w:szCs w:val="32"/>
        </w:rPr>
        <w:t>2.盐边县财政收费票据中心</w:t>
      </w:r>
      <w:bookmarkStart w:id="179" w:name="_GoBack"/>
      <w:bookmarkEnd w:id="179"/>
    </w:p>
    <w:p>
      <w:pPr>
        <w:spacing w:line="560" w:lineRule="exact"/>
        <w:ind w:firstLine="640" w:firstLineChars="200"/>
        <w:rPr>
          <w:rFonts w:eastAsia="仿宋_GB2312"/>
          <w:sz w:val="32"/>
          <w:szCs w:val="32"/>
        </w:rPr>
      </w:pPr>
      <w:r>
        <w:rPr>
          <w:rFonts w:eastAsia="仿宋_GB2312"/>
          <w:sz w:val="32"/>
          <w:szCs w:val="32"/>
        </w:rPr>
        <w:t>3.盐边县财政投资评审中心</w:t>
      </w:r>
    </w:p>
    <w:p>
      <w:pPr>
        <w:spacing w:line="560" w:lineRule="exact"/>
        <w:ind w:firstLine="640" w:firstLineChars="200"/>
        <w:rPr>
          <w:rFonts w:eastAsia="仿宋_GB2312"/>
          <w:sz w:val="32"/>
          <w:szCs w:val="32"/>
        </w:rPr>
      </w:pPr>
      <w:r>
        <w:rPr>
          <w:rFonts w:eastAsia="仿宋_GB2312"/>
          <w:sz w:val="32"/>
          <w:szCs w:val="32"/>
        </w:rPr>
        <w:t>4.盐边县政府外债项目服务中心</w:t>
      </w:r>
    </w:p>
    <w:p>
      <w:pPr>
        <w:spacing w:line="560" w:lineRule="exact"/>
        <w:ind w:firstLine="640" w:firstLineChars="200"/>
        <w:rPr>
          <w:rFonts w:eastAsia="仿宋_GB2312"/>
          <w:sz w:val="32"/>
          <w:szCs w:val="32"/>
        </w:rPr>
      </w:pPr>
      <w:r>
        <w:rPr>
          <w:rFonts w:eastAsia="仿宋_GB2312"/>
          <w:sz w:val="32"/>
          <w:szCs w:val="32"/>
        </w:rPr>
        <w:t>5.盐边县乡镇财政事务中心</w:t>
      </w:r>
    </w:p>
    <w:p>
      <w:pPr>
        <w:widowControl/>
        <w:ind w:firstLine="640" w:firstLineChars="200"/>
        <w:jc w:val="left"/>
        <w:rPr>
          <w:rFonts w:eastAsia="仿宋"/>
          <w:kern w:val="0"/>
          <w:sz w:val="32"/>
          <w:szCs w:val="32"/>
        </w:rPr>
      </w:pPr>
      <w:r>
        <w:rPr>
          <w:rFonts w:eastAsia="仿宋"/>
          <w:sz w:val="32"/>
          <w:szCs w:val="32"/>
        </w:rPr>
        <w:br w:type="page"/>
      </w:r>
    </w:p>
    <w:p>
      <w:pPr>
        <w:jc w:val="center"/>
        <w:rPr>
          <w:rFonts w:eastAsia="方正小标宋_GBK"/>
          <w:sz w:val="44"/>
          <w:szCs w:val="44"/>
        </w:rPr>
      </w:pPr>
      <w:bookmarkStart w:id="51" w:name="_Toc15396602"/>
      <w:bookmarkStart w:id="52" w:name="_Toc15377204"/>
      <w:bookmarkStart w:id="53" w:name="_Toc23931_WPSOffice_Level1"/>
      <w:r>
        <w:rPr>
          <w:rFonts w:eastAsia="方正小标宋_GBK"/>
          <w:sz w:val="44"/>
          <w:szCs w:val="44"/>
        </w:rPr>
        <w:t>第二部分 2022年度部门决算情况说明</w:t>
      </w:r>
      <w:bookmarkEnd w:id="51"/>
      <w:bookmarkEnd w:id="52"/>
      <w:bookmarkEnd w:id="53"/>
    </w:p>
    <w:p/>
    <w:p>
      <w:pPr>
        <w:spacing w:line="580" w:lineRule="exact"/>
        <w:ind w:firstLine="640" w:firstLineChars="200"/>
        <w:rPr>
          <w:rFonts w:eastAsia="黑体"/>
          <w:sz w:val="32"/>
          <w:szCs w:val="32"/>
        </w:rPr>
      </w:pPr>
      <w:bookmarkStart w:id="54" w:name="_Toc15377205"/>
      <w:bookmarkStart w:id="55" w:name="_Toc15396603"/>
      <w:bookmarkStart w:id="56" w:name="_Toc29610_WPSOffice_Level2"/>
      <w:r>
        <w:rPr>
          <w:rFonts w:eastAsia="黑体"/>
          <w:sz w:val="32"/>
          <w:szCs w:val="32"/>
        </w:rPr>
        <w:t>一、收入支出决算总体情况说明</w:t>
      </w:r>
      <w:bookmarkEnd w:id="54"/>
      <w:bookmarkEnd w:id="55"/>
      <w:bookmarkEnd w:id="56"/>
    </w:p>
    <w:p>
      <w:pPr>
        <w:spacing w:line="580" w:lineRule="exact"/>
        <w:ind w:firstLine="640" w:firstLineChars="200"/>
        <w:rPr>
          <w:rFonts w:eastAsia="仿宋_GB2312"/>
          <w:sz w:val="32"/>
          <w:szCs w:val="32"/>
        </w:rPr>
      </w:pPr>
      <w:r>
        <w:rPr>
          <w:rFonts w:eastAsia="仿宋_GB2312"/>
          <w:sz w:val="32"/>
          <w:szCs w:val="32"/>
        </w:rPr>
        <w:t>2022年度收、支总计1354.91万元。与2021年相比，收、支总计各减少668.75万元，下降33%。主要变动原因是项目经费较2021年有所减少，2021年项目支出中部分经费为化解以前年度暂付款。</w:t>
      </w:r>
    </w:p>
    <w:p>
      <w:pPr>
        <w:pStyle w:val="2"/>
        <w:ind w:left="420"/>
      </w:pPr>
    </w:p>
    <w:p>
      <w:pPr>
        <w:pStyle w:val="9"/>
        <w:spacing w:before="93"/>
        <w:rPr>
          <w:rFonts w:ascii="仿宋" w:hAnsi="仿宋" w:eastAsia="仿宋"/>
          <w:sz w:val="32"/>
          <w:szCs w:val="32"/>
        </w:rPr>
      </w:pPr>
      <w:r>
        <w:drawing>
          <wp:inline distT="0" distB="0" distL="114300" distR="114300">
            <wp:extent cx="5684520" cy="3935730"/>
            <wp:effectExtent l="0" t="0" r="1143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684520" cy="3935730"/>
                    </a:xfrm>
                    <a:prstGeom prst="rect">
                      <a:avLst/>
                    </a:prstGeom>
                    <a:noFill/>
                    <a:ln>
                      <a:noFill/>
                    </a:ln>
                  </pic:spPr>
                </pic:pic>
              </a:graphicData>
            </a:graphic>
          </wp:inline>
        </w:drawing>
      </w:r>
    </w:p>
    <w:p>
      <w:pPr>
        <w:spacing w:line="580" w:lineRule="exact"/>
        <w:ind w:firstLine="640" w:firstLineChars="200"/>
        <w:rPr>
          <w:rFonts w:eastAsia="黑体"/>
          <w:sz w:val="32"/>
          <w:szCs w:val="32"/>
        </w:rPr>
      </w:pPr>
      <w:bookmarkStart w:id="57" w:name="_Toc27613_WPSOffice_Level2"/>
      <w:bookmarkStart w:id="58" w:name="_Toc15377206"/>
      <w:bookmarkStart w:id="59" w:name="_Toc15396604"/>
      <w:r>
        <w:rPr>
          <w:rFonts w:eastAsia="黑体"/>
          <w:sz w:val="32"/>
          <w:szCs w:val="32"/>
        </w:rPr>
        <w:t>二、收入决算情况说明</w:t>
      </w:r>
      <w:bookmarkEnd w:id="57"/>
      <w:bookmarkEnd w:id="58"/>
      <w:bookmarkEnd w:id="59"/>
    </w:p>
    <w:p>
      <w:pPr>
        <w:spacing w:line="580" w:lineRule="exact"/>
        <w:ind w:firstLine="640" w:firstLineChars="200"/>
        <w:rPr>
          <w:rFonts w:eastAsia="仿宋_GB2312"/>
          <w:sz w:val="32"/>
          <w:szCs w:val="32"/>
        </w:rPr>
      </w:pPr>
      <w:r>
        <w:rPr>
          <w:rFonts w:eastAsia="仿宋_GB2312"/>
          <w:sz w:val="32"/>
          <w:szCs w:val="32"/>
        </w:rPr>
        <w:t>2022年本年收入合计1354.91万元，其中：一般公共预算财政拨款收入1354.91万元，占0%；政府性基金预算财政拨款收入0万元，占0%；国有资本经营预算财政拨款收入0万元，占0%；上级补助收入0万元，占0%；事业收入0万元，占0%；经营收入0万元，占0%；附属单位上缴收入0万元，占0%；其他收入0万元，占0%。</w:t>
      </w:r>
    </w:p>
    <w:p>
      <w:pPr>
        <w:pStyle w:val="9"/>
        <w:spacing w:before="93"/>
        <w:rPr>
          <w:rFonts w:ascii="仿宋" w:hAnsi="仿宋" w:eastAsia="仿宋"/>
          <w:sz w:val="32"/>
          <w:szCs w:val="32"/>
        </w:rPr>
      </w:pPr>
      <w:r>
        <w:drawing>
          <wp:inline distT="0" distB="0" distL="114300" distR="114300">
            <wp:extent cx="5269865" cy="2668270"/>
            <wp:effectExtent l="4445" t="4445" r="21590" b="13335"/>
            <wp:docPr id="239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540" w:lineRule="exact"/>
        <w:ind w:firstLine="640" w:firstLineChars="200"/>
        <w:rPr>
          <w:rFonts w:eastAsia="黑体"/>
          <w:sz w:val="32"/>
          <w:szCs w:val="32"/>
        </w:rPr>
      </w:pPr>
      <w:bookmarkStart w:id="60" w:name="_Toc15396605"/>
      <w:bookmarkStart w:id="61" w:name="_Toc15377207"/>
    </w:p>
    <w:p>
      <w:pPr>
        <w:spacing w:line="580" w:lineRule="exact"/>
        <w:ind w:firstLine="640" w:firstLineChars="200"/>
        <w:rPr>
          <w:rFonts w:eastAsia="黑体"/>
          <w:sz w:val="32"/>
          <w:szCs w:val="32"/>
        </w:rPr>
      </w:pPr>
      <w:bookmarkStart w:id="62" w:name="_Toc6924_WPSOffice_Level2"/>
      <w:r>
        <w:rPr>
          <w:rFonts w:eastAsia="黑体"/>
          <w:sz w:val="32"/>
          <w:szCs w:val="32"/>
        </w:rPr>
        <w:t>三、支出决算情况说明</w:t>
      </w:r>
      <w:bookmarkEnd w:id="60"/>
      <w:bookmarkEnd w:id="61"/>
      <w:bookmarkEnd w:id="62"/>
    </w:p>
    <w:p>
      <w:pPr>
        <w:spacing w:line="580" w:lineRule="exact"/>
        <w:ind w:firstLine="640" w:firstLineChars="200"/>
        <w:rPr>
          <w:rFonts w:eastAsia="仿宋_GB2312"/>
          <w:sz w:val="32"/>
          <w:szCs w:val="32"/>
        </w:rPr>
      </w:pPr>
      <w:r>
        <w:rPr>
          <w:rFonts w:eastAsia="仿宋_GB2312"/>
          <w:sz w:val="32"/>
          <w:szCs w:val="32"/>
        </w:rPr>
        <w:t>2022年本年支出合计1354.91万元，其中：基本支出996.38万元，占73.5%；项目支出358.52万元，占26.5%；上缴上级支出0万元，占0%；经营支出0万元，占0%；对附属单位补助支出0万元，占0%。</w:t>
      </w:r>
    </w:p>
    <w:p>
      <w:pPr>
        <w:pStyle w:val="9"/>
        <w:spacing w:before="93"/>
        <w:rPr>
          <w:sz w:val="32"/>
          <w:szCs w:val="32"/>
        </w:rPr>
      </w:pPr>
      <w:r>
        <w:drawing>
          <wp:inline distT="0" distB="0" distL="114300" distR="114300">
            <wp:extent cx="5276215" cy="2788920"/>
            <wp:effectExtent l="19050" t="0" r="19685" b="0"/>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580" w:lineRule="exact"/>
        <w:ind w:firstLine="640" w:firstLineChars="200"/>
        <w:rPr>
          <w:rFonts w:eastAsia="黑体"/>
          <w:sz w:val="32"/>
          <w:szCs w:val="32"/>
        </w:rPr>
      </w:pPr>
      <w:bookmarkStart w:id="63" w:name="_Toc8087_WPSOffice_Level2"/>
      <w:bookmarkStart w:id="64" w:name="_Toc15377208"/>
      <w:bookmarkStart w:id="65" w:name="_Toc15396606"/>
      <w:r>
        <w:rPr>
          <w:rFonts w:eastAsia="黑体"/>
          <w:sz w:val="32"/>
          <w:szCs w:val="32"/>
        </w:rPr>
        <w:t>四、财政拨款收入支出决算总体情况说明</w:t>
      </w:r>
      <w:bookmarkEnd w:id="63"/>
      <w:bookmarkEnd w:id="64"/>
      <w:bookmarkEnd w:id="65"/>
    </w:p>
    <w:p>
      <w:pPr>
        <w:spacing w:line="580" w:lineRule="exact"/>
        <w:ind w:firstLine="640" w:firstLineChars="200"/>
        <w:rPr>
          <w:rFonts w:eastAsia="仿宋_GB2312"/>
          <w:sz w:val="32"/>
          <w:szCs w:val="32"/>
        </w:rPr>
      </w:pPr>
      <w:r>
        <w:rPr>
          <w:rFonts w:eastAsia="仿宋_GB2312"/>
          <w:sz w:val="32"/>
          <w:szCs w:val="32"/>
        </w:rPr>
        <w:t>2022年财政拨款收、支总计1354.91万元。与2021年相比，财政拨款收、支总计各减少640.75万元，下降32.10%。主要变动原因是项目经费较2021年有所减少，2021年项目支出中部分经费为化解以前年度暂付款。</w:t>
      </w:r>
    </w:p>
    <w:p>
      <w:pPr>
        <w:pStyle w:val="2"/>
        <w:ind w:left="420"/>
      </w:pPr>
    </w:p>
    <w:p>
      <w:pPr>
        <w:pStyle w:val="9"/>
        <w:spacing w:before="93"/>
        <w:rPr>
          <w:rFonts w:ascii="仿宋" w:hAnsi="仿宋" w:eastAsia="仿宋"/>
          <w:sz w:val="32"/>
          <w:szCs w:val="32"/>
        </w:rPr>
      </w:pPr>
      <w:r>
        <w:drawing>
          <wp:inline distT="0" distB="0" distL="114300" distR="114300">
            <wp:extent cx="5269230" cy="2743835"/>
            <wp:effectExtent l="4445" t="4445" r="22225" b="13970"/>
            <wp:docPr id="2398"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80" w:lineRule="exact"/>
        <w:ind w:firstLine="640" w:firstLineChars="200"/>
        <w:rPr>
          <w:rFonts w:eastAsia="黑体"/>
          <w:sz w:val="32"/>
          <w:szCs w:val="32"/>
        </w:rPr>
      </w:pPr>
      <w:bookmarkStart w:id="66" w:name="_Toc15377209"/>
      <w:bookmarkStart w:id="67" w:name="_Toc15396607"/>
    </w:p>
    <w:p>
      <w:pPr>
        <w:spacing w:line="580" w:lineRule="exact"/>
        <w:ind w:firstLine="640" w:firstLineChars="200"/>
        <w:rPr>
          <w:rFonts w:eastAsia="黑体"/>
          <w:sz w:val="32"/>
          <w:szCs w:val="32"/>
        </w:rPr>
      </w:pPr>
      <w:bookmarkStart w:id="68" w:name="_Toc3932_WPSOffice_Level2"/>
      <w:r>
        <w:rPr>
          <w:rFonts w:eastAsia="黑体"/>
          <w:sz w:val="32"/>
          <w:szCs w:val="32"/>
        </w:rPr>
        <w:t>五、一般公共预算财政拨款支出决算情况说明</w:t>
      </w:r>
      <w:bookmarkEnd w:id="66"/>
      <w:bookmarkEnd w:id="67"/>
      <w:bookmarkEnd w:id="68"/>
    </w:p>
    <w:p>
      <w:pPr>
        <w:spacing w:line="580" w:lineRule="exact"/>
        <w:ind w:firstLine="640" w:firstLineChars="200"/>
        <w:rPr>
          <w:rFonts w:eastAsia="楷体_GB2312"/>
          <w:sz w:val="32"/>
          <w:szCs w:val="32"/>
        </w:rPr>
      </w:pPr>
      <w:bookmarkStart w:id="69" w:name="_Toc15377210"/>
      <w:r>
        <w:rPr>
          <w:rFonts w:eastAsia="楷体_GB2312"/>
          <w:sz w:val="32"/>
          <w:szCs w:val="32"/>
        </w:rPr>
        <w:t>（一）一般公共预算财政拨款支出决算总体情况</w:t>
      </w:r>
      <w:bookmarkEnd w:id="69"/>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2022年一般公共预算财政拨款支出1354.91万元，占本年支出合计的100%。与2021年相比，一般公共预算财政拨款支出减少640.75万元，下降32.10%。主要变动原因是项目经费较2021年有所减少，2021年项目支出中部分经费为化解以前年度暂付款。</w:t>
      </w:r>
    </w:p>
    <w:p>
      <w:pPr>
        <w:pStyle w:val="2"/>
        <w:ind w:left="420"/>
      </w:pPr>
    </w:p>
    <w:p/>
    <w:p>
      <w:pPr>
        <w:pStyle w:val="2"/>
        <w:ind w:left="420"/>
      </w:pPr>
    </w:p>
    <w:p>
      <w:pPr>
        <w:pStyle w:val="2"/>
        <w:ind w:left="0" w:leftChars="0" w:firstLine="0" w:firstLineChars="0"/>
      </w:pPr>
    </w:p>
    <w:p/>
    <w:p>
      <w:r>
        <w:drawing>
          <wp:inline distT="0" distB="0" distL="114300" distR="114300">
            <wp:extent cx="5271135" cy="2699385"/>
            <wp:effectExtent l="4445" t="4445" r="20320" b="20320"/>
            <wp:docPr id="2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40" w:lineRule="exact"/>
        <w:ind w:firstLine="640" w:firstLineChars="200"/>
        <w:rPr>
          <w:rFonts w:ascii="仿宋_GB2312" w:eastAsia="仿宋_GB2312"/>
          <w:sz w:val="32"/>
          <w:szCs w:val="32"/>
        </w:rPr>
      </w:pPr>
      <w:bookmarkStart w:id="70" w:name="_Toc15377211"/>
    </w:p>
    <w:p>
      <w:pPr>
        <w:spacing w:line="580" w:lineRule="exact"/>
        <w:ind w:firstLine="640" w:firstLineChars="200"/>
        <w:rPr>
          <w:rFonts w:eastAsia="楷体_GB2312"/>
          <w:sz w:val="32"/>
          <w:szCs w:val="32"/>
        </w:rPr>
      </w:pPr>
      <w:r>
        <w:rPr>
          <w:rFonts w:eastAsia="楷体_GB2312"/>
          <w:sz w:val="32"/>
          <w:szCs w:val="32"/>
        </w:rPr>
        <w:t>（二）一般公共预算财政拨款支出决算结构情况</w:t>
      </w:r>
      <w:bookmarkEnd w:id="70"/>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2022年一般公共预算财政拨款支出1354.91万元，主要用于以下方面:一般公共服务（类）支出1077.11万元，占79.50%；社会保障和就业（类）支出132.91万元，占9.8%；卫生健康支出（类）72.41万元，占5.3%；农林水支出（类）支出2.00万元，占0.10%；住房保障支出（类）70.48万元，占5.3%。</w:t>
      </w:r>
    </w:p>
    <w:p>
      <w:pPr>
        <w:spacing w:line="580" w:lineRule="exact"/>
        <w:ind w:firstLine="640" w:firstLineChars="200"/>
        <w:rPr>
          <w:rFonts w:ascii="仿宋_GB2312" w:eastAsia="仿宋_GB2312"/>
          <w:sz w:val="32"/>
          <w:szCs w:val="32"/>
        </w:rPr>
      </w:pPr>
    </w:p>
    <w:p>
      <w:pPr>
        <w:pStyle w:val="8"/>
        <w:spacing w:line="580" w:lineRule="exact"/>
      </w:pPr>
    </w:p>
    <w:p/>
    <w:p>
      <w:pPr>
        <w:pStyle w:val="2"/>
        <w:ind w:left="420"/>
      </w:pPr>
    </w:p>
    <w:p/>
    <w:p>
      <w:pPr>
        <w:pStyle w:val="2"/>
        <w:ind w:left="420"/>
      </w:pPr>
    </w:p>
    <w:p/>
    <w:p>
      <w:pPr>
        <w:pStyle w:val="2"/>
        <w:ind w:left="420"/>
      </w:pPr>
    </w:p>
    <w:p/>
    <w:p>
      <w:pPr>
        <w:pStyle w:val="2"/>
        <w:ind w:left="420"/>
      </w:pPr>
    </w:p>
    <w:p/>
    <w:p>
      <w:pPr>
        <w:pStyle w:val="2"/>
        <w:ind w:left="420"/>
      </w:pPr>
    </w:p>
    <w:p>
      <w:pPr>
        <w:pStyle w:val="8"/>
      </w:pPr>
      <w:r>
        <w:drawing>
          <wp:inline distT="0" distB="0" distL="114300" distR="114300">
            <wp:extent cx="5268595" cy="3237865"/>
            <wp:effectExtent l="19050" t="0" r="27305" b="635"/>
            <wp:docPr id="239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80" w:lineRule="exact"/>
        <w:ind w:firstLine="640" w:firstLineChars="200"/>
        <w:rPr>
          <w:rFonts w:eastAsia="楷体_GB2312"/>
          <w:sz w:val="32"/>
          <w:szCs w:val="32"/>
        </w:rPr>
      </w:pPr>
      <w:bookmarkStart w:id="71" w:name="_Toc15377212"/>
      <w:r>
        <w:rPr>
          <w:rFonts w:eastAsia="楷体_GB2312"/>
          <w:sz w:val="32"/>
          <w:szCs w:val="32"/>
        </w:rPr>
        <w:t>（三）一般公共预算财政拨款支出决算具体情况</w:t>
      </w:r>
      <w:bookmarkEnd w:id="71"/>
      <w:r>
        <w:rPr>
          <w:rFonts w:eastAsia="楷体_GB2312"/>
          <w:sz w:val="32"/>
          <w:szCs w:val="32"/>
        </w:rPr>
        <w:t>。</w:t>
      </w:r>
    </w:p>
    <w:p>
      <w:pPr>
        <w:spacing w:line="580" w:lineRule="exact"/>
        <w:ind w:firstLine="640" w:firstLineChars="200"/>
        <w:rPr>
          <w:rFonts w:eastAsia="仿宋_GB2312"/>
          <w:sz w:val="32"/>
          <w:szCs w:val="32"/>
        </w:rPr>
      </w:pPr>
      <w:bookmarkStart w:id="72" w:name="_Toc15377444"/>
      <w:bookmarkStart w:id="73" w:name="_Toc15377213"/>
      <w:bookmarkStart w:id="74" w:name="_Toc15378460"/>
      <w:r>
        <w:rPr>
          <w:rFonts w:eastAsia="仿宋_GB2312"/>
          <w:sz w:val="32"/>
          <w:szCs w:val="32"/>
        </w:rPr>
        <w:t>2022年一般公共预算支出决算数为1354.91万元，完成预算100%。其中：</w:t>
      </w:r>
      <w:bookmarkEnd w:id="72"/>
      <w:bookmarkEnd w:id="73"/>
      <w:bookmarkEnd w:id="74"/>
    </w:p>
    <w:p>
      <w:pPr>
        <w:spacing w:line="580" w:lineRule="exact"/>
        <w:ind w:firstLine="643" w:firstLineChars="200"/>
        <w:rPr>
          <w:rFonts w:eastAsia="仿宋_GB2312"/>
          <w:b/>
          <w:sz w:val="32"/>
          <w:szCs w:val="32"/>
        </w:rPr>
      </w:pPr>
      <w:bookmarkStart w:id="75" w:name="_Toc15377214"/>
      <w:bookmarkStart w:id="76" w:name="_Toc15396608"/>
      <w:r>
        <w:rPr>
          <w:rFonts w:eastAsia="仿宋_GB2312"/>
          <w:b/>
          <w:sz w:val="32"/>
          <w:szCs w:val="32"/>
        </w:rPr>
        <w:t>1.一般公共服务（类）财政事务支出（款）</w:t>
      </w:r>
    </w:p>
    <w:p>
      <w:pPr>
        <w:spacing w:line="580" w:lineRule="exact"/>
        <w:ind w:firstLine="643" w:firstLineChars="200"/>
        <w:rPr>
          <w:rFonts w:eastAsia="仿宋_GB2312"/>
          <w:sz w:val="32"/>
          <w:szCs w:val="32"/>
        </w:rPr>
      </w:pPr>
      <w:r>
        <w:rPr>
          <w:rFonts w:eastAsia="仿宋_GB2312"/>
          <w:b/>
          <w:sz w:val="32"/>
          <w:szCs w:val="32"/>
        </w:rPr>
        <w:t xml:space="preserve">①行政运行: </w:t>
      </w:r>
      <w:r>
        <w:rPr>
          <w:rFonts w:eastAsia="仿宋_GB2312"/>
          <w:sz w:val="32"/>
          <w:szCs w:val="32"/>
        </w:rPr>
        <w:t>支出决算为377.68万元，完成预算100%，决算数等于预算数。</w:t>
      </w:r>
    </w:p>
    <w:p>
      <w:pPr>
        <w:spacing w:line="580" w:lineRule="exact"/>
        <w:ind w:firstLine="643" w:firstLineChars="200"/>
        <w:rPr>
          <w:rFonts w:eastAsia="仿宋_GB2312"/>
          <w:sz w:val="32"/>
          <w:szCs w:val="32"/>
        </w:rPr>
      </w:pPr>
      <w:r>
        <w:rPr>
          <w:rFonts w:eastAsia="仿宋_GB2312"/>
          <w:b/>
          <w:sz w:val="32"/>
          <w:szCs w:val="32"/>
        </w:rPr>
        <w:t>②事业运行：</w:t>
      </w:r>
      <w:r>
        <w:rPr>
          <w:rFonts w:eastAsia="仿宋_GB2312"/>
          <w:sz w:val="32"/>
          <w:szCs w:val="32"/>
        </w:rPr>
        <w:t>支出决算为342.91万元，完成预算100%，决算数等于预算数。</w:t>
      </w:r>
    </w:p>
    <w:p>
      <w:pPr>
        <w:spacing w:line="580" w:lineRule="exact"/>
        <w:ind w:firstLine="643" w:firstLineChars="200"/>
        <w:rPr>
          <w:rFonts w:eastAsia="仿宋_GB2312"/>
          <w:sz w:val="32"/>
          <w:szCs w:val="32"/>
        </w:rPr>
      </w:pPr>
      <w:r>
        <w:rPr>
          <w:rFonts w:eastAsia="仿宋_GB2312"/>
          <w:b/>
          <w:sz w:val="32"/>
          <w:szCs w:val="32"/>
        </w:rPr>
        <w:t>③信息化建设：</w:t>
      </w:r>
      <w:r>
        <w:rPr>
          <w:rFonts w:eastAsia="仿宋_GB2312"/>
          <w:sz w:val="32"/>
          <w:szCs w:val="32"/>
        </w:rPr>
        <w:t>支出决算为155.75万元，完成预算100%，决算数等于预算数。</w:t>
      </w:r>
    </w:p>
    <w:p>
      <w:pPr>
        <w:spacing w:line="580" w:lineRule="exact"/>
        <w:ind w:firstLine="643" w:firstLineChars="200"/>
        <w:rPr>
          <w:rFonts w:eastAsia="仿宋_GB2312"/>
          <w:sz w:val="32"/>
          <w:szCs w:val="32"/>
        </w:rPr>
      </w:pPr>
      <w:r>
        <w:rPr>
          <w:rFonts w:eastAsia="仿宋_GB2312"/>
          <w:b/>
          <w:sz w:val="32"/>
          <w:szCs w:val="32"/>
        </w:rPr>
        <w:t>④财政委托业务支出：</w:t>
      </w:r>
      <w:r>
        <w:rPr>
          <w:rFonts w:eastAsia="仿宋_GB2312"/>
          <w:sz w:val="32"/>
          <w:szCs w:val="32"/>
        </w:rPr>
        <w:t>支出决算为140.57万元，完成预算100%，决算数等于预算数。</w:t>
      </w:r>
    </w:p>
    <w:p>
      <w:pPr>
        <w:spacing w:line="580" w:lineRule="exact"/>
        <w:ind w:firstLine="643" w:firstLineChars="200"/>
        <w:rPr>
          <w:rFonts w:eastAsia="仿宋_GB2312"/>
          <w:sz w:val="32"/>
          <w:szCs w:val="32"/>
        </w:rPr>
      </w:pPr>
      <w:r>
        <w:rPr>
          <w:rFonts w:eastAsia="仿宋_GB2312"/>
          <w:b/>
          <w:sz w:val="32"/>
          <w:szCs w:val="32"/>
        </w:rPr>
        <w:t>⑤其他财政事务支出：</w:t>
      </w:r>
      <w:r>
        <w:rPr>
          <w:rFonts w:eastAsia="仿宋_GB2312"/>
          <w:sz w:val="32"/>
          <w:szCs w:val="32"/>
        </w:rPr>
        <w:t>支出决算为60.2万元，完成预算100%，决算数等于预算数。</w:t>
      </w:r>
    </w:p>
    <w:p>
      <w:pPr>
        <w:spacing w:line="580" w:lineRule="exact"/>
        <w:ind w:firstLine="643" w:firstLineChars="200"/>
        <w:rPr>
          <w:rFonts w:eastAsia="仿宋_GB2312"/>
          <w:b/>
          <w:sz w:val="32"/>
          <w:szCs w:val="32"/>
        </w:rPr>
      </w:pPr>
      <w:r>
        <w:rPr>
          <w:rFonts w:eastAsia="仿宋_GB2312"/>
          <w:b/>
          <w:sz w:val="32"/>
          <w:szCs w:val="32"/>
        </w:rPr>
        <w:t xml:space="preserve">2.社会保障和就业（类）行政事业单位养老支出（款）  </w:t>
      </w:r>
    </w:p>
    <w:p>
      <w:pPr>
        <w:spacing w:line="58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 xml:space="preserve"> 支出决算为45.70万元，完成预算100%，决算数等于预算数。</w:t>
      </w:r>
    </w:p>
    <w:p>
      <w:pPr>
        <w:spacing w:line="58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支出决算为66.27万元，完成预算100%，决算数等于预算数。</w:t>
      </w:r>
    </w:p>
    <w:p>
      <w:pPr>
        <w:spacing w:line="58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机关事业单位职业年金缴费支出：</w:t>
      </w:r>
      <w:r>
        <w:rPr>
          <w:rFonts w:eastAsia="仿宋_GB2312"/>
          <w:sz w:val="32"/>
          <w:szCs w:val="32"/>
        </w:rPr>
        <w:t>支出决算为19.08万元，完成预算100%，决算数等于预算数。</w:t>
      </w:r>
    </w:p>
    <w:p>
      <w:pPr>
        <w:spacing w:line="580" w:lineRule="exact"/>
        <w:ind w:firstLine="643" w:firstLineChars="200"/>
        <w:rPr>
          <w:rFonts w:eastAsia="仿宋_GB2312"/>
          <w:b/>
          <w:sz w:val="32"/>
          <w:szCs w:val="32"/>
        </w:rPr>
      </w:pPr>
      <w:r>
        <w:rPr>
          <w:rFonts w:eastAsia="仿宋_GB2312"/>
          <w:b/>
          <w:sz w:val="32"/>
          <w:szCs w:val="32"/>
        </w:rPr>
        <w:t>3.社会保障和就业（类）抚恤（款）伤残抚恤（项）</w:t>
      </w:r>
    </w:p>
    <w:p>
      <w:pPr>
        <w:spacing w:line="580" w:lineRule="exact"/>
        <w:ind w:firstLine="640" w:firstLineChars="200"/>
        <w:rPr>
          <w:rFonts w:eastAsia="仿宋_GB2312"/>
          <w:sz w:val="32"/>
          <w:szCs w:val="32"/>
        </w:rPr>
      </w:pPr>
      <w:r>
        <w:rPr>
          <w:rFonts w:eastAsia="仿宋_GB2312"/>
          <w:sz w:val="32"/>
          <w:szCs w:val="32"/>
        </w:rPr>
        <w:t>支出决算为1.86万元，完成预算100%，决算数等于预算数。</w:t>
      </w:r>
    </w:p>
    <w:p>
      <w:pPr>
        <w:spacing w:line="580" w:lineRule="exact"/>
        <w:ind w:firstLine="643" w:firstLineChars="200"/>
        <w:rPr>
          <w:rFonts w:eastAsia="仿宋_GB2312"/>
          <w:b/>
          <w:sz w:val="32"/>
          <w:szCs w:val="32"/>
        </w:rPr>
      </w:pPr>
      <w:r>
        <w:rPr>
          <w:rFonts w:eastAsia="仿宋_GB2312"/>
          <w:b/>
          <w:sz w:val="32"/>
          <w:szCs w:val="32"/>
        </w:rPr>
        <w:t>4.住房保障支出（类）住房改革支出（款）住房公积金（项）</w:t>
      </w:r>
    </w:p>
    <w:p>
      <w:pPr>
        <w:spacing w:line="580" w:lineRule="exact"/>
        <w:ind w:firstLine="640" w:firstLineChars="200"/>
        <w:rPr>
          <w:rFonts w:eastAsia="仿宋_GB2312"/>
          <w:sz w:val="32"/>
          <w:szCs w:val="32"/>
        </w:rPr>
      </w:pPr>
      <w:r>
        <w:rPr>
          <w:rFonts w:eastAsia="仿宋_GB2312"/>
          <w:sz w:val="32"/>
          <w:szCs w:val="32"/>
        </w:rPr>
        <w:t>支出决算为70.48万元，完成预算100%，决算数等于预算数。</w:t>
      </w:r>
    </w:p>
    <w:p>
      <w:pPr>
        <w:spacing w:line="580" w:lineRule="exact"/>
        <w:ind w:firstLine="643" w:firstLineChars="200"/>
        <w:rPr>
          <w:rFonts w:eastAsia="仿宋_GB2312"/>
          <w:b/>
          <w:sz w:val="32"/>
          <w:szCs w:val="32"/>
        </w:rPr>
      </w:pPr>
      <w:r>
        <w:rPr>
          <w:rFonts w:eastAsia="仿宋_GB2312"/>
          <w:b/>
          <w:sz w:val="32"/>
          <w:szCs w:val="32"/>
        </w:rPr>
        <w:t>5.农林水支出（类）扶贫（款）其他扶贫支出（项）</w:t>
      </w:r>
    </w:p>
    <w:p>
      <w:pPr>
        <w:spacing w:line="580" w:lineRule="exact"/>
        <w:ind w:firstLine="640" w:firstLineChars="200"/>
        <w:rPr>
          <w:rFonts w:eastAsia="仿宋_GB2312"/>
          <w:sz w:val="32"/>
          <w:szCs w:val="32"/>
        </w:rPr>
      </w:pPr>
      <w:r>
        <w:rPr>
          <w:rFonts w:eastAsia="仿宋_GB2312"/>
          <w:sz w:val="32"/>
          <w:szCs w:val="32"/>
        </w:rPr>
        <w:t>支出决算为2万元，完成预算100%，决算数等于预算数。</w:t>
      </w:r>
    </w:p>
    <w:p>
      <w:pPr>
        <w:spacing w:line="580" w:lineRule="exact"/>
        <w:ind w:firstLine="643" w:firstLineChars="200"/>
        <w:rPr>
          <w:rFonts w:eastAsia="仿宋_GB2312"/>
          <w:b/>
          <w:sz w:val="32"/>
          <w:szCs w:val="32"/>
        </w:rPr>
      </w:pPr>
      <w:r>
        <w:rPr>
          <w:rFonts w:eastAsia="仿宋_GB2312"/>
          <w:b/>
          <w:sz w:val="32"/>
          <w:szCs w:val="32"/>
        </w:rPr>
        <w:t>6.卫生健康支出（类）行政事业单位医疗（款）</w:t>
      </w:r>
    </w:p>
    <w:p>
      <w:pPr>
        <w:spacing w:line="58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支出决算为24.01万元，完成预算100%，决算数等于预算数。</w:t>
      </w:r>
    </w:p>
    <w:p>
      <w:pPr>
        <w:spacing w:line="58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事业单位医疗：</w:t>
      </w:r>
      <w:r>
        <w:rPr>
          <w:rFonts w:eastAsia="仿宋_GB2312"/>
          <w:sz w:val="32"/>
          <w:szCs w:val="32"/>
        </w:rPr>
        <w:t>支出决算为23.11万元，完成预算100%，决算数等于预算数。</w:t>
      </w:r>
    </w:p>
    <w:p>
      <w:pPr>
        <w:spacing w:line="58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公务员医疗补助：</w:t>
      </w:r>
      <w:r>
        <w:rPr>
          <w:rFonts w:eastAsia="仿宋_GB2312"/>
          <w:sz w:val="32"/>
          <w:szCs w:val="32"/>
        </w:rPr>
        <w:t>支出决算为14.06万元，完成预算100%，决算数等于预算数。</w:t>
      </w:r>
    </w:p>
    <w:p>
      <w:pPr>
        <w:spacing w:line="580" w:lineRule="exact"/>
        <w:ind w:firstLine="643" w:firstLineChars="200"/>
        <w:rPr>
          <w:rFonts w:eastAsia="仿宋_GB2312"/>
          <w:sz w:val="32"/>
          <w:szCs w:val="32"/>
        </w:rPr>
      </w:pPr>
      <w:r>
        <w:rPr>
          <w:rFonts w:eastAsia="仿宋_GB2312"/>
          <w:b/>
          <w:sz w:val="32"/>
          <w:szCs w:val="32"/>
        </w:rPr>
        <w:t>④其他行政事业单位医疗支出：</w:t>
      </w:r>
      <w:r>
        <w:rPr>
          <w:rFonts w:eastAsia="仿宋_GB2312"/>
          <w:sz w:val="32"/>
          <w:szCs w:val="32"/>
        </w:rPr>
        <w:t>支出决算为11.23万元，完成预算100%，决算数等于预算数。</w:t>
      </w:r>
    </w:p>
    <w:p>
      <w:pPr>
        <w:spacing w:line="580" w:lineRule="exact"/>
        <w:ind w:firstLine="640" w:firstLineChars="200"/>
        <w:rPr>
          <w:rFonts w:eastAsia="黑体"/>
          <w:sz w:val="32"/>
          <w:szCs w:val="32"/>
        </w:rPr>
      </w:pPr>
      <w:bookmarkStart w:id="77" w:name="_Toc27857_WPSOffice_Level2"/>
      <w:r>
        <w:rPr>
          <w:rFonts w:eastAsia="黑体"/>
          <w:sz w:val="32"/>
          <w:szCs w:val="32"/>
        </w:rPr>
        <w:t>六、一般公共预算财政拨款基本支出决算情况说明</w:t>
      </w:r>
      <w:bookmarkEnd w:id="75"/>
      <w:bookmarkEnd w:id="76"/>
      <w:bookmarkEnd w:id="77"/>
      <w:r>
        <w:rPr>
          <w:rFonts w:eastAsia="黑体"/>
          <w:sz w:val="32"/>
          <w:szCs w:val="32"/>
        </w:rPr>
        <w:tab/>
      </w:r>
    </w:p>
    <w:p>
      <w:pPr>
        <w:spacing w:line="580" w:lineRule="exact"/>
        <w:ind w:firstLine="640" w:firstLineChars="200"/>
        <w:rPr>
          <w:rFonts w:eastAsia="仿宋_GB2312"/>
          <w:sz w:val="32"/>
          <w:szCs w:val="32"/>
        </w:rPr>
      </w:pPr>
      <w:r>
        <w:rPr>
          <w:rFonts w:eastAsia="仿宋_GB2312"/>
          <w:sz w:val="32"/>
          <w:szCs w:val="32"/>
        </w:rPr>
        <w:t>2022年一般公共预算财政拨款基本支出996.38万元，其中：</w:t>
      </w:r>
    </w:p>
    <w:p>
      <w:pPr>
        <w:spacing w:line="580" w:lineRule="exact"/>
        <w:ind w:firstLine="640" w:firstLineChars="200"/>
        <w:rPr>
          <w:rFonts w:eastAsia="仿宋_GB2312"/>
          <w:sz w:val="32"/>
          <w:szCs w:val="32"/>
        </w:rPr>
      </w:pPr>
      <w:r>
        <w:rPr>
          <w:rFonts w:eastAsia="仿宋_GB2312"/>
          <w:sz w:val="32"/>
          <w:szCs w:val="32"/>
        </w:rPr>
        <w:t>人员经费939.39万元，主要包括：基本工资、津贴补贴、奖金、绩效工资、机关事业单位基本养老保险缴费、职业年金缴费、其他社会保障缴费、职工基本医疗保险缴费、公务员医疗补助缴费、其他工资福利支出、抚恤金、生活补助、医疗费补助、奖励金、住房公积金等。</w:t>
      </w:r>
      <w:r>
        <w:rPr>
          <w:rFonts w:eastAsia="仿宋_GB2312"/>
          <w:sz w:val="32"/>
          <w:szCs w:val="32"/>
        </w:rPr>
        <w:br w:type="textWrapping"/>
      </w:r>
      <w:r>
        <w:rPr>
          <w:rFonts w:eastAsia="仿宋_GB2312"/>
          <w:sz w:val="32"/>
          <w:szCs w:val="32"/>
        </w:rPr>
        <w:t>　　公用经费56.99万元，主要包括：办公费、印刷费、水费、电费、邮电费、差旅费、维修（护）费、培训费、公务接待费、劳务费、工会经费、福利费、公务用车运行维护费、其他交通费、其他商品和服务支出等。</w:t>
      </w:r>
    </w:p>
    <w:p>
      <w:pPr>
        <w:spacing w:line="580" w:lineRule="exact"/>
        <w:ind w:firstLine="640" w:firstLineChars="200"/>
        <w:rPr>
          <w:rFonts w:eastAsia="黑体"/>
          <w:sz w:val="32"/>
          <w:szCs w:val="32"/>
        </w:rPr>
      </w:pPr>
      <w:bookmarkStart w:id="78" w:name="_Toc15396609"/>
      <w:bookmarkStart w:id="79" w:name="_Toc15377215"/>
      <w:bookmarkStart w:id="80" w:name="_Toc8025_WPSOffice_Level2"/>
      <w:r>
        <w:rPr>
          <w:rFonts w:eastAsia="黑体"/>
          <w:sz w:val="32"/>
          <w:szCs w:val="32"/>
        </w:rPr>
        <w:t>七、财政拨款“三公”经费支出决算情况说明</w:t>
      </w:r>
      <w:bookmarkEnd w:id="78"/>
      <w:bookmarkEnd w:id="79"/>
      <w:bookmarkEnd w:id="80"/>
    </w:p>
    <w:p>
      <w:pPr>
        <w:spacing w:line="580" w:lineRule="exact"/>
        <w:ind w:firstLine="640" w:firstLineChars="200"/>
        <w:rPr>
          <w:rFonts w:eastAsia="楷体_GB2312"/>
          <w:sz w:val="32"/>
          <w:szCs w:val="32"/>
        </w:rPr>
      </w:pPr>
      <w:bookmarkStart w:id="81" w:name="_Toc15377216"/>
      <w:r>
        <w:rPr>
          <w:rFonts w:eastAsia="楷体_GB2312"/>
          <w:sz w:val="32"/>
          <w:szCs w:val="32"/>
        </w:rPr>
        <w:t>（一）“三公”经费财政拨款支出决算总体情况说明</w:t>
      </w:r>
      <w:bookmarkEnd w:id="81"/>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2022年“三公”经费财政拨款支出决算为1.37万元，完成预算100%，较上年减少16.63万元，下降92.4%。决算数与预算数持平。</w:t>
      </w:r>
    </w:p>
    <w:p>
      <w:pPr>
        <w:spacing w:line="580" w:lineRule="exact"/>
        <w:ind w:firstLine="640" w:firstLineChars="200"/>
        <w:rPr>
          <w:rFonts w:eastAsia="楷体_GB2312"/>
          <w:sz w:val="32"/>
          <w:szCs w:val="32"/>
        </w:rPr>
      </w:pPr>
      <w:bookmarkStart w:id="82" w:name="_Toc15377217"/>
      <w:r>
        <w:rPr>
          <w:rFonts w:eastAsia="楷体_GB2312"/>
          <w:sz w:val="32"/>
          <w:szCs w:val="32"/>
        </w:rPr>
        <w:t>（二）“三公”经费财政拨款支出决算具体情况说明</w:t>
      </w:r>
      <w:bookmarkEnd w:id="82"/>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2022年“三公”经费财政拨款支出决算中，因公出国（境）费支出决算0万元，占0%；公务用车购置及运行维护费支出决算0.92万元，占67.2%；公务接待费支出决算0.45万元，占32.8%。具体情况如下：</w:t>
      </w:r>
    </w:p>
    <w:p>
      <w:pPr>
        <w:rPr>
          <w:rFonts w:ascii="仿宋" w:hAnsi="仿宋" w:eastAsia="仿宋"/>
          <w:sz w:val="32"/>
          <w:szCs w:val="32"/>
        </w:rPr>
      </w:pPr>
    </w:p>
    <w:p>
      <w:pPr>
        <w:pStyle w:val="8"/>
        <w:rPr>
          <w:rFonts w:ascii="仿宋" w:hAnsi="仿宋" w:eastAsia="仿宋"/>
          <w:sz w:val="32"/>
          <w:szCs w:val="32"/>
        </w:rPr>
      </w:pPr>
      <w:r>
        <w:drawing>
          <wp:inline distT="0" distB="0" distL="114300" distR="114300">
            <wp:extent cx="5268595" cy="2740660"/>
            <wp:effectExtent l="4445" t="4445" r="22860" b="17145"/>
            <wp:docPr id="239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8"/>
      </w:pPr>
    </w:p>
    <w:p>
      <w:pPr>
        <w:spacing w:line="560" w:lineRule="exact"/>
        <w:ind w:firstLine="643" w:firstLineChars="200"/>
        <w:rPr>
          <w:rFonts w:eastAsia="仿宋_GB2312"/>
          <w:sz w:val="32"/>
          <w:szCs w:val="32"/>
        </w:rPr>
      </w:pPr>
      <w:r>
        <w:rPr>
          <w:rFonts w:eastAsia="仿宋_GB2312"/>
          <w:b/>
          <w:sz w:val="32"/>
          <w:szCs w:val="32"/>
        </w:rPr>
        <w:t>1.因公出国（境）经费支出0万元，完成预算0%。</w:t>
      </w:r>
      <w:r>
        <w:rPr>
          <w:rFonts w:eastAsia="仿宋_GB2312"/>
          <w:sz w:val="32"/>
          <w:szCs w:val="32"/>
        </w:rPr>
        <w:t>全年安排因公出国（境）团组0次，出国（境）0人。因公出国（境）支出决算比2021年无增减变动。主要原因是我单位2022年无因公出国（境）支出。</w:t>
      </w:r>
    </w:p>
    <w:p>
      <w:pPr>
        <w:spacing w:line="560" w:lineRule="exact"/>
        <w:ind w:firstLine="643" w:firstLineChars="200"/>
        <w:rPr>
          <w:rFonts w:eastAsia="仿宋_GB2312"/>
          <w:sz w:val="32"/>
          <w:szCs w:val="32"/>
        </w:rPr>
      </w:pPr>
      <w:r>
        <w:rPr>
          <w:rFonts w:eastAsia="仿宋_GB2312"/>
          <w:b/>
          <w:sz w:val="32"/>
          <w:szCs w:val="32"/>
        </w:rPr>
        <w:t>2.公务用车购置及运行维护费支出0.92万元,完成预算100%。</w:t>
      </w:r>
      <w:r>
        <w:rPr>
          <w:rFonts w:eastAsia="仿宋_GB2312"/>
          <w:sz w:val="32"/>
          <w:szCs w:val="32"/>
        </w:rPr>
        <w:t>公务用车购置及运行维护费支出决算比2021年减少17.08万元，下降94.90%。主要原因是2021年经费支出中部分支出为车辆购置经费，2022年费用中只有车辆运行维护费用，较上年费用支出下降比例较大。</w:t>
      </w:r>
    </w:p>
    <w:p>
      <w:pPr>
        <w:spacing w:line="560" w:lineRule="exact"/>
        <w:ind w:firstLine="640" w:firstLineChars="200"/>
        <w:rPr>
          <w:rFonts w:eastAsia="仿宋_GB2312"/>
          <w:sz w:val="32"/>
          <w:szCs w:val="32"/>
        </w:rPr>
      </w:pPr>
      <w:r>
        <w:rPr>
          <w:rFonts w:eastAsia="仿宋_GB2312"/>
          <w:sz w:val="32"/>
          <w:szCs w:val="32"/>
        </w:rPr>
        <w:t>其中：公务用车购置支出0万元。全年按规定更新购置公务用车0辆，其中：轿车0辆、金额0万元，越野车0辆、金额0万元，载客汽车0辆、金额0万元。截至2022年12月底，单位共有公务用车1辆，其中：轿车0辆、越野车1辆、载客汽车0辆。</w:t>
      </w:r>
    </w:p>
    <w:p>
      <w:pPr>
        <w:spacing w:line="560" w:lineRule="exact"/>
        <w:ind w:firstLine="640" w:firstLineChars="200"/>
        <w:rPr>
          <w:rFonts w:eastAsia="仿宋_GB2312"/>
          <w:sz w:val="32"/>
          <w:szCs w:val="32"/>
        </w:rPr>
      </w:pPr>
      <w:r>
        <w:rPr>
          <w:rFonts w:eastAsia="仿宋_GB2312"/>
          <w:sz w:val="32"/>
          <w:szCs w:val="32"/>
        </w:rPr>
        <w:t>公务用车运行维护费支出0.92万元。主要用于乡镇财政事务中心下乡检查乡镇财政所工作等所需的公务用车燃料费、维修费、过路过桥费、保险费等支出。</w:t>
      </w:r>
    </w:p>
    <w:p>
      <w:pPr>
        <w:spacing w:line="560" w:lineRule="exact"/>
        <w:ind w:firstLine="643" w:firstLineChars="200"/>
        <w:rPr>
          <w:rFonts w:eastAsia="仿宋_GB2312"/>
          <w:sz w:val="32"/>
          <w:szCs w:val="32"/>
        </w:rPr>
      </w:pPr>
      <w:r>
        <w:rPr>
          <w:rFonts w:eastAsia="仿宋_GB2312"/>
          <w:b/>
          <w:sz w:val="32"/>
          <w:szCs w:val="32"/>
        </w:rPr>
        <w:t>3.公务接待费支出0.45万元，完成预算100%。</w:t>
      </w:r>
      <w:r>
        <w:rPr>
          <w:rFonts w:eastAsia="仿宋_GB2312"/>
          <w:sz w:val="32"/>
          <w:szCs w:val="32"/>
        </w:rPr>
        <w:t>公务接待费支出决算比2021年增加0.45万元，增长100%。主要原因是检查、调研业务工作较上年增多。其中：</w:t>
      </w:r>
    </w:p>
    <w:p>
      <w:pPr>
        <w:spacing w:line="560" w:lineRule="exact"/>
        <w:ind w:firstLine="640" w:firstLineChars="200"/>
        <w:rPr>
          <w:rFonts w:eastAsia="仿宋_GB2312"/>
          <w:sz w:val="32"/>
          <w:szCs w:val="32"/>
        </w:rPr>
      </w:pPr>
      <w:r>
        <w:rPr>
          <w:rFonts w:eastAsia="仿宋_GB2312"/>
          <w:sz w:val="32"/>
          <w:szCs w:val="32"/>
        </w:rPr>
        <w:t>国内公务接待支出0.45万元，主要用于执行公务、开展业务活动开支的住宿费、用餐费等。国内公务接待4批次，66人次（不包括陪同人员），共计支出0.45万元，具体内容包括：上级单位到我单位检查调研等工作接待支出。</w:t>
      </w:r>
    </w:p>
    <w:p>
      <w:pPr>
        <w:spacing w:line="560" w:lineRule="exact"/>
        <w:ind w:firstLine="640" w:firstLineChars="200"/>
        <w:rPr>
          <w:rFonts w:eastAsia="仿宋_GB2312"/>
          <w:sz w:val="32"/>
          <w:szCs w:val="32"/>
        </w:rPr>
      </w:pPr>
      <w:r>
        <w:rPr>
          <w:rFonts w:eastAsia="仿宋_GB2312"/>
          <w:sz w:val="32"/>
          <w:szCs w:val="32"/>
        </w:rPr>
        <w:t>外事接待支出0万元，外事接待0批次，0人次（不包括陪同人员），共计支出0万元。</w:t>
      </w:r>
      <w:bookmarkStart w:id="83" w:name="_Toc15396610"/>
      <w:bookmarkStart w:id="84" w:name="_Toc15377218"/>
    </w:p>
    <w:p>
      <w:pPr>
        <w:spacing w:line="560" w:lineRule="exact"/>
        <w:ind w:firstLine="640" w:firstLineChars="200"/>
        <w:rPr>
          <w:rFonts w:eastAsia="黑体"/>
          <w:sz w:val="32"/>
          <w:szCs w:val="32"/>
        </w:rPr>
      </w:pPr>
      <w:bookmarkStart w:id="85" w:name="_Toc29560_WPSOffice_Level2"/>
      <w:r>
        <w:rPr>
          <w:rFonts w:eastAsia="黑体"/>
          <w:sz w:val="32"/>
          <w:szCs w:val="32"/>
        </w:rPr>
        <w:t>八、政府性基金预算支出决算情况说明</w:t>
      </w:r>
      <w:bookmarkEnd w:id="83"/>
      <w:bookmarkEnd w:id="84"/>
      <w:bookmarkEnd w:id="85"/>
    </w:p>
    <w:p>
      <w:pPr>
        <w:spacing w:line="560" w:lineRule="exact"/>
        <w:ind w:firstLine="640" w:firstLineChars="200"/>
        <w:rPr>
          <w:rFonts w:eastAsia="仿宋_GB2312"/>
          <w:sz w:val="32"/>
          <w:szCs w:val="32"/>
        </w:rPr>
      </w:pPr>
      <w:r>
        <w:rPr>
          <w:rFonts w:eastAsia="仿宋_GB2312"/>
          <w:sz w:val="32"/>
          <w:szCs w:val="32"/>
        </w:rPr>
        <w:t>2022年政府性基金预算财政拨款支出0万元。</w:t>
      </w:r>
    </w:p>
    <w:p>
      <w:pPr>
        <w:spacing w:line="560" w:lineRule="exact"/>
        <w:ind w:firstLine="640" w:firstLineChars="200"/>
        <w:rPr>
          <w:rFonts w:eastAsia="黑体"/>
          <w:sz w:val="32"/>
          <w:szCs w:val="32"/>
        </w:rPr>
      </w:pPr>
      <w:bookmarkStart w:id="86" w:name="_Toc15396611"/>
      <w:bookmarkStart w:id="87" w:name="_Toc15377219"/>
      <w:bookmarkStart w:id="88" w:name="_Toc3749_WPSOffice_Level2"/>
      <w:r>
        <w:rPr>
          <w:rFonts w:eastAsia="黑体"/>
          <w:sz w:val="32"/>
          <w:szCs w:val="32"/>
        </w:rPr>
        <w:t>九、国有资本经营预算支出决算情况说明</w:t>
      </w:r>
      <w:bookmarkEnd w:id="86"/>
      <w:bookmarkEnd w:id="87"/>
      <w:bookmarkEnd w:id="88"/>
    </w:p>
    <w:p>
      <w:pPr>
        <w:spacing w:line="560" w:lineRule="exact"/>
        <w:ind w:firstLine="640" w:firstLineChars="200"/>
        <w:rPr>
          <w:rFonts w:eastAsia="仿宋_GB2312"/>
          <w:sz w:val="32"/>
          <w:szCs w:val="32"/>
        </w:rPr>
      </w:pPr>
      <w:r>
        <w:rPr>
          <w:rFonts w:eastAsia="仿宋_GB2312"/>
          <w:sz w:val="32"/>
          <w:szCs w:val="32"/>
        </w:rPr>
        <w:t>2022年国有资本经营预算财政拨款支出0万元。</w:t>
      </w:r>
    </w:p>
    <w:p>
      <w:pPr>
        <w:spacing w:line="560" w:lineRule="exact"/>
        <w:ind w:firstLine="640" w:firstLineChars="200"/>
        <w:rPr>
          <w:rFonts w:eastAsia="黑体"/>
          <w:sz w:val="32"/>
          <w:szCs w:val="32"/>
        </w:rPr>
      </w:pPr>
      <w:bookmarkStart w:id="89" w:name="_Toc15396612"/>
      <w:bookmarkStart w:id="90" w:name="_Toc9838_WPSOffice_Level2"/>
      <w:bookmarkStart w:id="91" w:name="_Toc15377221"/>
      <w:r>
        <w:rPr>
          <w:rFonts w:eastAsia="黑体"/>
          <w:sz w:val="32"/>
          <w:szCs w:val="32"/>
        </w:rPr>
        <w:t>十、其他重要事项的情况说明</w:t>
      </w:r>
      <w:bookmarkEnd w:id="89"/>
      <w:bookmarkEnd w:id="90"/>
      <w:bookmarkEnd w:id="91"/>
    </w:p>
    <w:p>
      <w:pPr>
        <w:spacing w:line="560" w:lineRule="exact"/>
        <w:ind w:firstLine="640" w:firstLineChars="200"/>
        <w:rPr>
          <w:rFonts w:eastAsia="楷体_GB2312"/>
          <w:sz w:val="32"/>
          <w:szCs w:val="32"/>
        </w:rPr>
      </w:pPr>
      <w:bookmarkStart w:id="92" w:name="_Toc15377222"/>
      <w:r>
        <w:rPr>
          <w:rFonts w:eastAsia="楷体_GB2312"/>
          <w:sz w:val="32"/>
          <w:szCs w:val="32"/>
        </w:rPr>
        <w:t>（一）机关运行经费支出情况</w:t>
      </w:r>
      <w:bookmarkEnd w:id="92"/>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2022年，盐边县财政局机关运行经费支出51.52万元，比2021年减少20.66万元，下降28.60%。主要原因是2022年财政国库支付中心单独填报，未在部门汇总数据中报送，较上年机关运行经费有所下降。</w:t>
      </w:r>
    </w:p>
    <w:p>
      <w:pPr>
        <w:spacing w:line="560" w:lineRule="exact"/>
        <w:ind w:firstLine="640" w:firstLineChars="200"/>
        <w:rPr>
          <w:rFonts w:eastAsia="楷体_GB2312"/>
          <w:sz w:val="32"/>
          <w:szCs w:val="32"/>
        </w:rPr>
      </w:pPr>
      <w:bookmarkStart w:id="93" w:name="_Toc15377223"/>
      <w:r>
        <w:rPr>
          <w:rFonts w:eastAsia="楷体_GB2312"/>
          <w:sz w:val="32"/>
          <w:szCs w:val="32"/>
        </w:rPr>
        <w:t>（二）政府采购支出情况</w:t>
      </w:r>
      <w:bookmarkEnd w:id="93"/>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盐边县财政局政府采购支出总额24.15万元，其中：政府采购货物支出24.15万元、政府采购工程支出0万元、政府采购服务支出0万元。主要用于办公设备购置。授予中小企业合同金额24.15万元，占政府采购支出总额的100%，其中：授予小微企业合同金额24.15万元，占政府采购支出总额的100%。</w:t>
      </w:r>
    </w:p>
    <w:p>
      <w:pPr>
        <w:spacing w:line="560" w:lineRule="exact"/>
        <w:ind w:firstLine="640" w:firstLineChars="200"/>
        <w:rPr>
          <w:rFonts w:eastAsia="楷体_GB2312"/>
          <w:sz w:val="32"/>
          <w:szCs w:val="32"/>
        </w:rPr>
      </w:pPr>
      <w:bookmarkStart w:id="94" w:name="_Toc15377224"/>
      <w:r>
        <w:rPr>
          <w:rFonts w:eastAsia="楷体_GB2312"/>
          <w:sz w:val="32"/>
          <w:szCs w:val="32"/>
        </w:rPr>
        <w:t>（三）国有资产占有使用情况</w:t>
      </w:r>
      <w:bookmarkEnd w:id="94"/>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截至2022年12月31日，盐边县财政局共有车辆1辆，其中：主要领导干部用车0辆、机要通信用车0辆、应急保障用车</w:t>
      </w:r>
      <w:r>
        <w:rPr>
          <w:rFonts w:hint="eastAsia" w:eastAsia="仿宋_GB2312"/>
          <w:sz w:val="32"/>
          <w:szCs w:val="32"/>
          <w:lang w:val="en-US" w:eastAsia="zh-CN"/>
        </w:rPr>
        <w:t>0</w:t>
      </w:r>
      <w:r>
        <w:rPr>
          <w:rFonts w:eastAsia="仿宋_GB2312"/>
          <w:sz w:val="32"/>
          <w:szCs w:val="32"/>
        </w:rPr>
        <w:t>辆、其他用车1辆，其他用车主要是用于乡镇财政事务中心下乡检查乡镇财政所。单价100万元以上专用设备0台（套）。</w:t>
      </w:r>
    </w:p>
    <w:p>
      <w:pPr>
        <w:spacing w:line="560" w:lineRule="exact"/>
        <w:ind w:firstLine="640" w:firstLineChars="200"/>
        <w:rPr>
          <w:rFonts w:eastAsia="楷体_GB2312"/>
          <w:sz w:val="32"/>
          <w:szCs w:val="32"/>
        </w:rPr>
      </w:pPr>
      <w:r>
        <w:rPr>
          <w:rFonts w:eastAsia="楷体_GB2312"/>
          <w:sz w:val="32"/>
          <w:szCs w:val="32"/>
        </w:rPr>
        <w:t>（四）预算绩效管理情况。</w:t>
      </w:r>
    </w:p>
    <w:p>
      <w:pPr>
        <w:spacing w:line="560" w:lineRule="exact"/>
        <w:ind w:firstLine="640" w:firstLineChars="200"/>
        <w:rPr>
          <w:rFonts w:eastAsia="仿宋_GB2312"/>
          <w:sz w:val="32"/>
          <w:szCs w:val="32"/>
        </w:rPr>
      </w:pPr>
      <w:r>
        <w:rPr>
          <w:rFonts w:eastAsia="仿宋_GB2312"/>
          <w:sz w:val="32"/>
          <w:szCs w:val="32"/>
        </w:rPr>
        <w:t>根据预算绩效管理要求，本部门在2022年度预算编制阶段，组织对“财政局</w:t>
      </w:r>
      <w:r>
        <w:rPr>
          <w:rFonts w:hint="eastAsia" w:eastAsia="仿宋_GB2312"/>
          <w:sz w:val="32"/>
          <w:szCs w:val="32"/>
        </w:rPr>
        <w:t>网</w:t>
      </w:r>
      <w:r>
        <w:rPr>
          <w:rFonts w:eastAsia="仿宋_GB2312"/>
          <w:sz w:val="32"/>
          <w:szCs w:val="32"/>
        </w:rPr>
        <w:t>络及全县金财网维护”、“财政投资评审中心经费”，等2个项目开展了预算事前绩效评估，对2个项目编制了绩效目标，预算执行过程中，选取2个项目开展绩效监控。</w:t>
      </w:r>
    </w:p>
    <w:p>
      <w:pPr>
        <w:spacing w:line="560" w:lineRule="exact"/>
        <w:ind w:firstLine="640" w:firstLineChars="200"/>
        <w:rPr>
          <w:rFonts w:ascii="仿宋_GB2312" w:eastAsia="仿宋_GB2312"/>
          <w:sz w:val="32"/>
          <w:szCs w:val="32"/>
        </w:rPr>
      </w:pPr>
      <w:r>
        <w:rPr>
          <w:rFonts w:eastAsia="仿宋_GB2312"/>
          <w:sz w:val="32"/>
          <w:szCs w:val="32"/>
        </w:rPr>
        <w:t>组织对2022年度部门所有预算资金全面开展绩效自评，形成盐边县财政局部门整体绩效自评报告，其中盐边县财政局部门整体（含部门预算项目）绩效自评得分为98分，《盐边县财政局2022年部门整体支出绩效评价报告》详见附件。</w:t>
      </w:r>
      <w:r>
        <w:rPr>
          <w:rFonts w:hint="eastAsia" w:ascii="仿宋_GB2312" w:eastAsia="仿宋_GB2312"/>
          <w:sz w:val="32"/>
          <w:szCs w:val="32"/>
        </w:rPr>
        <w:br w:type="page"/>
      </w:r>
    </w:p>
    <w:p>
      <w:pPr>
        <w:spacing w:line="560" w:lineRule="exact"/>
        <w:jc w:val="center"/>
        <w:rPr>
          <w:rFonts w:eastAsia="方正小标宋_GBK"/>
          <w:sz w:val="44"/>
          <w:szCs w:val="44"/>
        </w:rPr>
      </w:pPr>
      <w:bookmarkStart w:id="95" w:name="_Toc15396613"/>
      <w:bookmarkStart w:id="96" w:name="_Toc25008_WPSOffice_Level1"/>
      <w:bookmarkStart w:id="97" w:name="_Toc15377225"/>
      <w:r>
        <w:rPr>
          <w:rFonts w:eastAsia="方正小标宋_GBK"/>
          <w:sz w:val="44"/>
          <w:szCs w:val="44"/>
        </w:rPr>
        <w:t>第三部分 名词解释</w:t>
      </w:r>
      <w:bookmarkEnd w:id="95"/>
      <w:bookmarkEnd w:id="96"/>
      <w:bookmarkEnd w:id="97"/>
    </w:p>
    <w:p>
      <w:pPr>
        <w:spacing w:line="560" w:lineRule="exact"/>
        <w:ind w:firstLine="640" w:firstLineChars="200"/>
        <w:rPr>
          <w:rFonts w:eastAsia="仿宋_GB2312"/>
          <w:sz w:val="32"/>
          <w:szCs w:val="32"/>
        </w:rPr>
      </w:pPr>
    </w:p>
    <w:p>
      <w:pPr>
        <w:spacing w:line="560" w:lineRule="exact"/>
        <w:ind w:firstLine="640" w:firstLineChars="200"/>
        <w:rPr>
          <w:rFonts w:eastAsia="黑体"/>
          <w:sz w:val="32"/>
          <w:szCs w:val="32"/>
        </w:rPr>
      </w:pPr>
      <w:bookmarkStart w:id="98" w:name="_Toc21337_WPSOffice_Level2"/>
      <w:r>
        <w:rPr>
          <w:rFonts w:eastAsia="黑体"/>
          <w:sz w:val="32"/>
          <w:szCs w:val="32"/>
        </w:rPr>
        <w:t>一、财政拨款收入</w:t>
      </w:r>
      <w:bookmarkEnd w:id="98"/>
    </w:p>
    <w:p>
      <w:pPr>
        <w:spacing w:line="560" w:lineRule="exact"/>
        <w:ind w:firstLine="640" w:firstLineChars="200"/>
        <w:rPr>
          <w:rFonts w:eastAsia="仿宋_GB2312"/>
          <w:sz w:val="32"/>
          <w:szCs w:val="32"/>
        </w:rPr>
      </w:pPr>
      <w:r>
        <w:rPr>
          <w:rFonts w:eastAsia="仿宋_GB2312"/>
          <w:sz w:val="32"/>
          <w:szCs w:val="32"/>
        </w:rPr>
        <w:t>指单位从同级财政部门取得的财政预算资金。</w:t>
      </w:r>
    </w:p>
    <w:p>
      <w:pPr>
        <w:spacing w:line="560" w:lineRule="exact"/>
        <w:ind w:firstLine="640" w:firstLineChars="200"/>
        <w:rPr>
          <w:rFonts w:eastAsia="黑体"/>
          <w:sz w:val="32"/>
          <w:szCs w:val="32"/>
        </w:rPr>
      </w:pPr>
      <w:bookmarkStart w:id="99" w:name="_Toc7992_WPSOffice_Level2"/>
      <w:r>
        <w:rPr>
          <w:rFonts w:eastAsia="黑体"/>
          <w:sz w:val="32"/>
          <w:szCs w:val="32"/>
        </w:rPr>
        <w:t>二、一般公共服务（类）财政事务支出（款）</w:t>
      </w:r>
      <w:bookmarkEnd w:id="99"/>
    </w:p>
    <w:p>
      <w:pPr>
        <w:spacing w:line="560" w:lineRule="exact"/>
        <w:ind w:firstLine="643" w:firstLineChars="200"/>
        <w:rPr>
          <w:rFonts w:eastAsia="仿宋_GB2312"/>
          <w:sz w:val="32"/>
          <w:szCs w:val="32"/>
        </w:rPr>
      </w:pPr>
      <w:r>
        <w:rPr>
          <w:rFonts w:eastAsia="仿宋_GB2312"/>
          <w:b/>
          <w:sz w:val="32"/>
          <w:szCs w:val="32"/>
        </w:rPr>
        <w:t>1.行政运行:</w:t>
      </w:r>
      <w:r>
        <w:rPr>
          <w:rFonts w:eastAsia="仿宋_GB2312"/>
          <w:sz w:val="32"/>
          <w:szCs w:val="32"/>
        </w:rPr>
        <w:t xml:space="preserve"> 指行政单位（包括实行公务员管理的事业单位）的基本支出。</w:t>
      </w:r>
    </w:p>
    <w:p>
      <w:pPr>
        <w:spacing w:line="560" w:lineRule="exact"/>
        <w:ind w:firstLine="643" w:firstLineChars="200"/>
        <w:rPr>
          <w:rFonts w:eastAsia="仿宋_GB2312"/>
          <w:sz w:val="32"/>
          <w:szCs w:val="32"/>
        </w:rPr>
      </w:pPr>
      <w:r>
        <w:rPr>
          <w:rFonts w:eastAsia="仿宋_GB2312"/>
          <w:b/>
          <w:sz w:val="32"/>
          <w:szCs w:val="32"/>
        </w:rPr>
        <w:t>2.事业运行：</w:t>
      </w:r>
      <w:r>
        <w:rPr>
          <w:rFonts w:eastAsia="仿宋_GB2312"/>
          <w:sz w:val="32"/>
          <w:szCs w:val="32"/>
        </w:rPr>
        <w:t>指事业单位的基本支出。不包括行政单位（包括实行公务员管理的事业单位）后勤服务中心、医务室等附属事业单位。</w:t>
      </w:r>
    </w:p>
    <w:p>
      <w:pPr>
        <w:spacing w:line="560" w:lineRule="exact"/>
        <w:ind w:firstLine="643" w:firstLineChars="200"/>
        <w:rPr>
          <w:rFonts w:eastAsia="仿宋_GB2312"/>
          <w:sz w:val="32"/>
          <w:szCs w:val="32"/>
        </w:rPr>
      </w:pPr>
      <w:r>
        <w:rPr>
          <w:rFonts w:eastAsia="仿宋_GB2312"/>
          <w:b/>
          <w:sz w:val="32"/>
          <w:szCs w:val="32"/>
        </w:rPr>
        <w:t>3.信息化建设：</w:t>
      </w:r>
      <w:r>
        <w:rPr>
          <w:rFonts w:eastAsia="仿宋_GB2312"/>
          <w:sz w:val="32"/>
          <w:szCs w:val="32"/>
        </w:rPr>
        <w:t>指财政部门用于信息化建设方面的支出。</w:t>
      </w:r>
    </w:p>
    <w:p>
      <w:pPr>
        <w:spacing w:line="560" w:lineRule="exact"/>
        <w:ind w:firstLine="643" w:firstLineChars="200"/>
        <w:rPr>
          <w:rFonts w:eastAsia="仿宋_GB2312"/>
          <w:sz w:val="32"/>
          <w:szCs w:val="32"/>
        </w:rPr>
      </w:pPr>
      <w:r>
        <w:rPr>
          <w:rFonts w:eastAsia="仿宋_GB2312"/>
          <w:b/>
          <w:sz w:val="32"/>
          <w:szCs w:val="32"/>
        </w:rPr>
        <w:t>4.财政委托业务支出：</w:t>
      </w:r>
      <w:r>
        <w:rPr>
          <w:rFonts w:eastAsia="仿宋_GB2312"/>
          <w:sz w:val="32"/>
          <w:szCs w:val="32"/>
        </w:rPr>
        <w:t>指财政委托评审机构进行财政投资评审和委托建设银行等机构代理业务发生的支出。</w:t>
      </w:r>
    </w:p>
    <w:p>
      <w:pPr>
        <w:spacing w:line="560" w:lineRule="exact"/>
        <w:ind w:firstLine="643" w:firstLineChars="200"/>
        <w:rPr>
          <w:rFonts w:eastAsia="仿宋_GB2312"/>
          <w:sz w:val="32"/>
          <w:szCs w:val="32"/>
        </w:rPr>
      </w:pPr>
      <w:r>
        <w:rPr>
          <w:rFonts w:eastAsia="仿宋_GB2312"/>
          <w:b/>
          <w:sz w:val="32"/>
          <w:szCs w:val="32"/>
        </w:rPr>
        <w:t>5.其他财政事务支出：</w:t>
      </w:r>
      <w:r>
        <w:rPr>
          <w:rFonts w:eastAsia="仿宋_GB2312"/>
          <w:sz w:val="32"/>
          <w:szCs w:val="32"/>
        </w:rPr>
        <w:t>指除上述项目以外其他财政事务方面的支出。</w:t>
      </w:r>
    </w:p>
    <w:p>
      <w:pPr>
        <w:spacing w:line="560" w:lineRule="exact"/>
        <w:ind w:firstLine="640" w:firstLineChars="200"/>
        <w:rPr>
          <w:rFonts w:eastAsia="黑体"/>
          <w:sz w:val="32"/>
          <w:szCs w:val="32"/>
        </w:rPr>
      </w:pPr>
      <w:bookmarkStart w:id="100" w:name="_Toc30055_WPSOffice_Level2"/>
      <w:r>
        <w:rPr>
          <w:rFonts w:eastAsia="黑体"/>
          <w:sz w:val="32"/>
          <w:szCs w:val="32"/>
        </w:rPr>
        <w:t>三、社会保障和就业（类）行政事业单位养老支出（款）</w:t>
      </w:r>
      <w:bookmarkEnd w:id="100"/>
      <w:r>
        <w:rPr>
          <w:rFonts w:eastAsia="黑体"/>
          <w:sz w:val="32"/>
          <w:szCs w:val="32"/>
        </w:rPr>
        <w:t xml:space="preserve">  </w:t>
      </w:r>
    </w:p>
    <w:p>
      <w:pPr>
        <w:spacing w:line="560" w:lineRule="exact"/>
        <w:ind w:firstLine="643" w:firstLineChars="200"/>
        <w:rPr>
          <w:rFonts w:eastAsia="仿宋_GB2312"/>
          <w:sz w:val="32"/>
          <w:szCs w:val="32"/>
        </w:rPr>
      </w:pPr>
      <w:r>
        <w:rPr>
          <w:rFonts w:eastAsia="仿宋_GB2312"/>
          <w:b/>
          <w:sz w:val="32"/>
          <w:szCs w:val="32"/>
        </w:rPr>
        <w:t xml:space="preserve">1.行政单位离退休: </w:t>
      </w:r>
      <w:r>
        <w:rPr>
          <w:rFonts w:eastAsia="仿宋_GB2312"/>
          <w:sz w:val="32"/>
          <w:szCs w:val="32"/>
        </w:rPr>
        <w:t>指行政单位（包括实行公务员管理的事业单位）开支的离退休支出。</w:t>
      </w:r>
    </w:p>
    <w:p>
      <w:pPr>
        <w:spacing w:line="560" w:lineRule="exact"/>
        <w:ind w:firstLine="643" w:firstLineChars="200"/>
        <w:rPr>
          <w:rFonts w:eastAsia="仿宋_GB2312"/>
          <w:sz w:val="32"/>
          <w:szCs w:val="32"/>
        </w:rPr>
      </w:pPr>
      <w:r>
        <w:rPr>
          <w:rFonts w:eastAsia="仿宋_GB2312"/>
          <w:b/>
          <w:sz w:val="32"/>
          <w:szCs w:val="32"/>
        </w:rPr>
        <w:t>2.机关事业单位基本养老保险缴费支出：</w:t>
      </w:r>
      <w:r>
        <w:rPr>
          <w:rFonts w:eastAsia="仿宋_GB2312"/>
          <w:sz w:val="32"/>
          <w:szCs w:val="32"/>
        </w:rPr>
        <w:t>指机关事业单位实施养老保险制度有单位缴纳的基本养老保险费支出。</w:t>
      </w:r>
    </w:p>
    <w:p>
      <w:pPr>
        <w:spacing w:line="560" w:lineRule="exact"/>
        <w:ind w:firstLine="643" w:firstLineChars="200"/>
        <w:rPr>
          <w:rFonts w:eastAsia="仿宋_GB2312"/>
          <w:sz w:val="32"/>
          <w:szCs w:val="32"/>
        </w:rPr>
      </w:pPr>
      <w:r>
        <w:rPr>
          <w:rFonts w:eastAsia="仿宋_GB2312"/>
          <w:b/>
          <w:sz w:val="32"/>
          <w:szCs w:val="32"/>
        </w:rPr>
        <w:t>3.机关事业单位职业年金缴费支出：</w:t>
      </w:r>
      <w:r>
        <w:rPr>
          <w:rFonts w:eastAsia="仿宋_GB2312"/>
          <w:sz w:val="32"/>
          <w:szCs w:val="32"/>
        </w:rPr>
        <w:t>指机关事业单位实施养老保险制度由单位实际缴纳的职业年金支出。</w:t>
      </w:r>
    </w:p>
    <w:p>
      <w:pPr>
        <w:spacing w:line="560" w:lineRule="exact"/>
        <w:ind w:firstLine="640" w:firstLineChars="200"/>
        <w:rPr>
          <w:rFonts w:eastAsia="黑体"/>
          <w:sz w:val="32"/>
          <w:szCs w:val="32"/>
        </w:rPr>
      </w:pPr>
      <w:bookmarkStart w:id="101" w:name="_Toc28769_WPSOffice_Level2"/>
      <w:r>
        <w:rPr>
          <w:rFonts w:eastAsia="黑体"/>
          <w:sz w:val="32"/>
          <w:szCs w:val="32"/>
        </w:rPr>
        <w:t>四、社会保障和就业（类）抚恤（款）伤残抚恤（项）</w:t>
      </w:r>
      <w:bookmarkEnd w:id="101"/>
    </w:p>
    <w:p>
      <w:pPr>
        <w:spacing w:line="560" w:lineRule="exact"/>
        <w:ind w:firstLine="640" w:firstLineChars="200"/>
        <w:rPr>
          <w:rFonts w:eastAsia="仿宋_GB2312"/>
          <w:sz w:val="32"/>
          <w:szCs w:val="32"/>
        </w:rPr>
      </w:pPr>
      <w:r>
        <w:rPr>
          <w:rFonts w:eastAsia="仿宋_GB2312"/>
          <w:sz w:val="32"/>
          <w:szCs w:val="32"/>
        </w:rPr>
        <w:t>指反映按规定用于伤残人员的抚恤金和按规定开支的各种伤残补助费。</w:t>
      </w:r>
    </w:p>
    <w:p>
      <w:pPr>
        <w:spacing w:line="560" w:lineRule="exact"/>
        <w:ind w:firstLine="640" w:firstLineChars="200"/>
        <w:rPr>
          <w:rFonts w:eastAsia="黑体"/>
          <w:sz w:val="32"/>
          <w:szCs w:val="32"/>
        </w:rPr>
      </w:pPr>
      <w:bookmarkStart w:id="102" w:name="_Toc17937_WPSOffice_Level2"/>
      <w:r>
        <w:rPr>
          <w:rFonts w:eastAsia="黑体"/>
          <w:sz w:val="32"/>
          <w:szCs w:val="32"/>
        </w:rPr>
        <w:t>五、住房保障支出（类）住房改革支出（款）住房公积金（项）</w:t>
      </w:r>
      <w:bookmarkEnd w:id="102"/>
    </w:p>
    <w:p>
      <w:pPr>
        <w:spacing w:line="560" w:lineRule="exact"/>
        <w:ind w:firstLine="640" w:firstLineChars="200"/>
        <w:rPr>
          <w:rFonts w:eastAsia="仿宋_GB2312"/>
          <w:sz w:val="32"/>
          <w:szCs w:val="32"/>
        </w:rPr>
      </w:pPr>
      <w:r>
        <w:rPr>
          <w:rFonts w:eastAsia="仿宋_GB2312"/>
          <w:sz w:val="32"/>
          <w:szCs w:val="32"/>
        </w:rPr>
        <w:t>指行政事业单位按人力资源和社会保障部、财政部规定的基本工资和津贴补贴以及规定比例为职工缴纳的住房公积金。</w:t>
      </w:r>
    </w:p>
    <w:p>
      <w:pPr>
        <w:spacing w:line="560" w:lineRule="exact"/>
        <w:ind w:firstLine="640" w:firstLineChars="200"/>
        <w:rPr>
          <w:rFonts w:eastAsia="黑体"/>
          <w:sz w:val="32"/>
          <w:szCs w:val="32"/>
        </w:rPr>
      </w:pPr>
      <w:bookmarkStart w:id="103" w:name="_Toc29592_WPSOffice_Level2"/>
      <w:r>
        <w:rPr>
          <w:rFonts w:eastAsia="黑体"/>
          <w:sz w:val="32"/>
          <w:szCs w:val="32"/>
        </w:rPr>
        <w:t>六、农林水支出（类）农业农村（款）其他农业支出（项）</w:t>
      </w:r>
      <w:bookmarkEnd w:id="103"/>
    </w:p>
    <w:p>
      <w:pPr>
        <w:spacing w:line="560" w:lineRule="exact"/>
        <w:ind w:firstLine="640" w:firstLineChars="200"/>
        <w:rPr>
          <w:rFonts w:eastAsia="仿宋_GB2312"/>
          <w:sz w:val="32"/>
          <w:szCs w:val="32"/>
        </w:rPr>
      </w:pPr>
      <w:r>
        <w:rPr>
          <w:rFonts w:eastAsia="仿宋_GB2312"/>
          <w:sz w:val="32"/>
          <w:szCs w:val="32"/>
        </w:rPr>
        <w:t>指其他项目以外用于农业方面的支出。</w:t>
      </w:r>
    </w:p>
    <w:p>
      <w:pPr>
        <w:spacing w:line="560" w:lineRule="exact"/>
        <w:ind w:firstLine="640" w:firstLineChars="200"/>
        <w:rPr>
          <w:rFonts w:eastAsia="黑体"/>
          <w:sz w:val="32"/>
          <w:szCs w:val="32"/>
        </w:rPr>
      </w:pPr>
      <w:bookmarkStart w:id="104" w:name="_Toc6129_WPSOffice_Level2"/>
      <w:r>
        <w:rPr>
          <w:rFonts w:eastAsia="黑体"/>
          <w:sz w:val="32"/>
          <w:szCs w:val="32"/>
        </w:rPr>
        <w:t>七、卫生健康支出（类）行政事业单位医疗（款）</w:t>
      </w:r>
      <w:bookmarkEnd w:id="104"/>
    </w:p>
    <w:p>
      <w:pPr>
        <w:spacing w:line="560" w:lineRule="exact"/>
        <w:ind w:firstLine="643" w:firstLineChars="200"/>
        <w:rPr>
          <w:rFonts w:eastAsia="仿宋_GB2312"/>
          <w:sz w:val="32"/>
          <w:szCs w:val="32"/>
        </w:rPr>
      </w:pPr>
      <w:r>
        <w:rPr>
          <w:rFonts w:eastAsia="仿宋_GB2312"/>
          <w:b/>
          <w:sz w:val="32"/>
          <w:szCs w:val="32"/>
        </w:rPr>
        <w:t>1.行政单位医疗：</w:t>
      </w:r>
      <w:r>
        <w:rPr>
          <w:rFonts w:eastAsia="仿宋_GB2312"/>
          <w:sz w:val="32"/>
          <w:szCs w:val="32"/>
        </w:rPr>
        <w:t>指财政部门安排的行政单位（包括实行公务员管理的事业单位，下同）基本医疗保险缴费经费，未参加医疗保险的行政单位的公费医疗经费，按国家规定享受离休人员、红军老战士待遇人员的医疗经费。</w:t>
      </w:r>
    </w:p>
    <w:p>
      <w:pPr>
        <w:spacing w:line="560" w:lineRule="exact"/>
        <w:ind w:firstLine="643" w:firstLineChars="200"/>
        <w:rPr>
          <w:rFonts w:eastAsia="仿宋_GB2312"/>
          <w:sz w:val="32"/>
          <w:szCs w:val="32"/>
        </w:rPr>
      </w:pPr>
      <w:r>
        <w:rPr>
          <w:rFonts w:eastAsia="仿宋_GB2312"/>
          <w:b/>
          <w:sz w:val="32"/>
          <w:szCs w:val="32"/>
        </w:rPr>
        <w:t>2.事业单位医疗：</w:t>
      </w:r>
      <w:r>
        <w:rPr>
          <w:rFonts w:eastAsia="仿宋_GB2312"/>
          <w:sz w:val="32"/>
          <w:szCs w:val="32"/>
        </w:rPr>
        <w:t>指财政部门安排的事业单位基本医疗保险缴费经费，未参加医疗保险的事业单位的公费医疗经费，按国家规定享受离休人员医疗经费。</w:t>
      </w:r>
    </w:p>
    <w:p>
      <w:pPr>
        <w:spacing w:line="560" w:lineRule="exact"/>
        <w:ind w:firstLine="643" w:firstLineChars="200"/>
        <w:rPr>
          <w:rFonts w:eastAsia="仿宋_GB2312"/>
          <w:sz w:val="32"/>
          <w:szCs w:val="32"/>
        </w:rPr>
      </w:pPr>
      <w:r>
        <w:rPr>
          <w:rFonts w:eastAsia="仿宋_GB2312"/>
          <w:b/>
          <w:sz w:val="32"/>
          <w:szCs w:val="32"/>
        </w:rPr>
        <w:t>3.公务员医疗补助：</w:t>
      </w:r>
      <w:r>
        <w:rPr>
          <w:rFonts w:eastAsia="仿宋_GB2312"/>
          <w:sz w:val="32"/>
          <w:szCs w:val="32"/>
        </w:rPr>
        <w:t>指财政部门安排的公务员医疗补助经费。</w:t>
      </w:r>
    </w:p>
    <w:p>
      <w:pPr>
        <w:spacing w:line="560" w:lineRule="exact"/>
        <w:ind w:firstLine="643" w:firstLineChars="200"/>
        <w:rPr>
          <w:rFonts w:eastAsia="仿宋_GB2312"/>
          <w:sz w:val="32"/>
          <w:szCs w:val="32"/>
        </w:rPr>
      </w:pPr>
      <w:r>
        <w:rPr>
          <w:rFonts w:eastAsia="仿宋_GB2312"/>
          <w:b/>
          <w:sz w:val="32"/>
          <w:szCs w:val="32"/>
        </w:rPr>
        <w:t>4.其他行政事业单位医疗支出：</w:t>
      </w:r>
      <w:r>
        <w:rPr>
          <w:rFonts w:eastAsia="仿宋_GB2312"/>
          <w:sz w:val="32"/>
          <w:szCs w:val="32"/>
        </w:rPr>
        <w:t>指除上述项目以外的其他用于行政事业单位医疗方面的支出。</w:t>
      </w:r>
    </w:p>
    <w:p>
      <w:pPr>
        <w:spacing w:line="560" w:lineRule="exact"/>
        <w:ind w:firstLine="640" w:firstLineChars="200"/>
        <w:rPr>
          <w:rFonts w:eastAsia="黑体"/>
          <w:sz w:val="32"/>
          <w:szCs w:val="32"/>
        </w:rPr>
      </w:pPr>
      <w:bookmarkStart w:id="105" w:name="_Toc14863_WPSOffice_Level2"/>
      <w:r>
        <w:rPr>
          <w:rFonts w:eastAsia="黑体"/>
          <w:sz w:val="32"/>
          <w:szCs w:val="32"/>
        </w:rPr>
        <w:t>八、基本支出</w:t>
      </w:r>
      <w:bookmarkEnd w:id="105"/>
    </w:p>
    <w:p>
      <w:pPr>
        <w:spacing w:line="560" w:lineRule="exact"/>
        <w:ind w:firstLine="640" w:firstLineChars="200"/>
        <w:rPr>
          <w:rFonts w:eastAsia="仿宋_GB2312"/>
          <w:sz w:val="32"/>
          <w:szCs w:val="32"/>
        </w:rPr>
      </w:pPr>
      <w:r>
        <w:rPr>
          <w:rFonts w:eastAsia="仿宋_GB2312"/>
          <w:sz w:val="32"/>
          <w:szCs w:val="32"/>
        </w:rPr>
        <w:t>指为保障机构正常运转、完成日常工作任务而发生的人员支出和公用支出。</w:t>
      </w:r>
    </w:p>
    <w:p>
      <w:pPr>
        <w:spacing w:line="560" w:lineRule="exact"/>
        <w:ind w:firstLine="640" w:firstLineChars="200"/>
        <w:rPr>
          <w:rFonts w:eastAsia="黑体"/>
          <w:sz w:val="32"/>
          <w:szCs w:val="32"/>
        </w:rPr>
      </w:pPr>
      <w:bookmarkStart w:id="106" w:name="_Toc9320_WPSOffice_Level2"/>
      <w:r>
        <w:rPr>
          <w:rFonts w:eastAsia="黑体"/>
          <w:sz w:val="32"/>
          <w:szCs w:val="32"/>
        </w:rPr>
        <w:t>九、项目支出</w:t>
      </w:r>
      <w:bookmarkEnd w:id="106"/>
    </w:p>
    <w:p>
      <w:pPr>
        <w:spacing w:line="560" w:lineRule="exact"/>
        <w:ind w:firstLine="640" w:firstLineChars="200"/>
        <w:rPr>
          <w:rFonts w:eastAsia="仿宋_GB2312"/>
          <w:sz w:val="32"/>
          <w:szCs w:val="32"/>
        </w:rPr>
      </w:pPr>
      <w:r>
        <w:rPr>
          <w:rFonts w:eastAsia="仿宋_GB2312"/>
          <w:sz w:val="32"/>
          <w:szCs w:val="32"/>
        </w:rPr>
        <w:t xml:space="preserve">指在基本支出之外为完成特定行政任务和事业发展目标所发生的支出。 </w:t>
      </w:r>
    </w:p>
    <w:p>
      <w:pPr>
        <w:spacing w:line="560" w:lineRule="exact"/>
        <w:ind w:firstLine="640" w:firstLineChars="200"/>
        <w:rPr>
          <w:rFonts w:eastAsia="黑体"/>
          <w:sz w:val="32"/>
          <w:szCs w:val="32"/>
        </w:rPr>
      </w:pPr>
      <w:bookmarkStart w:id="107" w:name="_Toc14517_WPSOffice_Level2"/>
      <w:r>
        <w:rPr>
          <w:rFonts w:eastAsia="黑体"/>
          <w:sz w:val="32"/>
          <w:szCs w:val="32"/>
        </w:rPr>
        <w:t>十、“三公”经费</w:t>
      </w:r>
      <w:bookmarkEnd w:id="107"/>
    </w:p>
    <w:p>
      <w:pPr>
        <w:spacing w:line="560" w:lineRule="exact"/>
        <w:ind w:firstLine="640" w:firstLineChars="200"/>
        <w:rPr>
          <w:rFonts w:eastAsia="仿宋_GB2312"/>
          <w:sz w:val="32"/>
          <w:szCs w:val="32"/>
        </w:rPr>
      </w:pP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eastAsia="仿宋_GB2312"/>
          <w:sz w:val="32"/>
          <w:szCs w:val="32"/>
          <w:lang w:eastAsia="zh-CN"/>
        </w:rPr>
        <w:t>、牌照费</w:t>
      </w:r>
      <w:r>
        <w:rPr>
          <w:rFonts w:eastAsia="仿宋_GB2312"/>
          <w:sz w:val="32"/>
          <w:szCs w:val="32"/>
        </w:rPr>
        <w:t>）及按规定保留的公务用车燃料费、维修费、过路过桥费、保险费、安全奖励费用等支出；公务接待费反映单位按规定开支的各类公务接待（含外宾接待）支出。</w:t>
      </w:r>
    </w:p>
    <w:p>
      <w:pPr>
        <w:spacing w:line="560" w:lineRule="exact"/>
        <w:ind w:firstLine="640" w:firstLineChars="200"/>
        <w:rPr>
          <w:rFonts w:eastAsia="黑体"/>
          <w:sz w:val="32"/>
          <w:szCs w:val="32"/>
        </w:rPr>
      </w:pPr>
      <w:bookmarkStart w:id="108" w:name="_Toc29043_WPSOffice_Level2"/>
      <w:r>
        <w:rPr>
          <w:rFonts w:eastAsia="黑体"/>
          <w:sz w:val="32"/>
          <w:szCs w:val="32"/>
        </w:rPr>
        <w:t>十一、机关运行经费</w:t>
      </w:r>
      <w:bookmarkEnd w:id="108"/>
    </w:p>
    <w:p>
      <w:pPr>
        <w:spacing w:line="560" w:lineRule="exact"/>
        <w:ind w:firstLine="640" w:firstLineChars="200"/>
        <w:rPr>
          <w:rFonts w:eastAsia="仿宋_GB2312"/>
          <w:sz w:val="32"/>
          <w:szCs w:val="32"/>
        </w:rPr>
      </w:pP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jc w:val="center"/>
        <w:rPr>
          <w:rFonts w:eastAsia="方正小标宋_GBK"/>
          <w:sz w:val="44"/>
          <w:szCs w:val="44"/>
        </w:rPr>
      </w:pPr>
      <w:bookmarkStart w:id="109" w:name="_Toc15377226"/>
      <w:r>
        <w:rPr>
          <w:rFonts w:ascii="宋体"/>
          <w:b/>
        </w:rPr>
        <w:br w:type="page"/>
      </w:r>
      <w:bookmarkStart w:id="110" w:name="_Toc15396614"/>
      <w:bookmarkStart w:id="111" w:name="_Toc29610_WPSOffice_Level1"/>
      <w:r>
        <w:rPr>
          <w:rFonts w:eastAsia="方正小标宋_GBK"/>
          <w:sz w:val="44"/>
          <w:szCs w:val="44"/>
        </w:rPr>
        <w:t>第四部分 附件</w:t>
      </w:r>
      <w:bookmarkEnd w:id="110"/>
      <w:bookmarkEnd w:id="111"/>
    </w:p>
    <w:p>
      <w:pPr>
        <w:rPr>
          <w:rFonts w:eastAsia="黑体"/>
          <w:sz w:val="32"/>
          <w:szCs w:val="32"/>
        </w:rPr>
      </w:pPr>
      <w:r>
        <w:rPr>
          <w:rFonts w:eastAsia="黑体"/>
          <w:sz w:val="32"/>
          <w:szCs w:val="32"/>
        </w:rPr>
        <w:t>附件1</w:t>
      </w:r>
    </w:p>
    <w:p>
      <w:pPr>
        <w:pStyle w:val="2"/>
        <w:ind w:left="420"/>
        <w:rPr>
          <w:rFonts w:ascii="Times New Roman"/>
        </w:rPr>
      </w:pPr>
    </w:p>
    <w:p>
      <w:pPr>
        <w:spacing w:line="640" w:lineRule="exact"/>
        <w:jc w:val="center"/>
        <w:rPr>
          <w:rFonts w:eastAsia="方正小标宋_GBK"/>
          <w:sz w:val="44"/>
          <w:szCs w:val="44"/>
        </w:rPr>
      </w:pPr>
      <w:bookmarkStart w:id="112" w:name="_Toc4396_WPSOffice_Level2"/>
      <w:bookmarkStart w:id="113" w:name="_Toc22324_WPSOffice_Level2"/>
      <w:r>
        <w:rPr>
          <w:rFonts w:eastAsia="方正小标宋_GBK"/>
          <w:sz w:val="44"/>
          <w:szCs w:val="44"/>
        </w:rPr>
        <w:t>盐边县财政局</w:t>
      </w:r>
      <w:bookmarkEnd w:id="112"/>
      <w:bookmarkEnd w:id="113"/>
    </w:p>
    <w:p>
      <w:pPr>
        <w:spacing w:line="640" w:lineRule="exact"/>
        <w:jc w:val="center"/>
        <w:rPr>
          <w:rFonts w:eastAsia="方正小标宋_GBK"/>
          <w:sz w:val="44"/>
          <w:szCs w:val="44"/>
        </w:rPr>
      </w:pPr>
      <w:bookmarkStart w:id="114" w:name="_Toc12529_WPSOffice_Level2"/>
      <w:bookmarkStart w:id="115" w:name="_Toc25398_WPSOffice_Level2"/>
      <w:r>
        <w:rPr>
          <w:rFonts w:eastAsia="方正小标宋_GBK"/>
          <w:sz w:val="44"/>
          <w:szCs w:val="44"/>
        </w:rPr>
        <w:t>2022年部门整体支出绩效评价报告</w:t>
      </w:r>
      <w:bookmarkEnd w:id="114"/>
      <w:bookmarkEnd w:id="115"/>
    </w:p>
    <w:p>
      <w:pPr>
        <w:pStyle w:val="8"/>
      </w:pPr>
    </w:p>
    <w:p>
      <w:pPr>
        <w:spacing w:line="560" w:lineRule="exact"/>
        <w:ind w:firstLine="420" w:firstLineChars="200"/>
        <w:rPr>
          <w:rFonts w:eastAsia="仿宋_GB2312"/>
          <w:sz w:val="32"/>
          <w:szCs w:val="32"/>
        </w:rPr>
      </w:pPr>
      <w:r>
        <w:rPr>
          <w:shd w:val="clear" w:color="auto" w:fill="FFFFFF"/>
        </w:rPr>
        <w:t xml:space="preserve">   </w:t>
      </w:r>
      <w:r>
        <w:rPr>
          <w:rFonts w:eastAsia="仿宋_GB2312"/>
          <w:sz w:val="32"/>
          <w:szCs w:val="32"/>
        </w:rPr>
        <w:t xml:space="preserve"> 为牢固树立预算绩效理念，进一步规范财政资金管理，提高资金使用效益及部门预算整体绩效目标管理水平，按照《盐边县财政局关于开展2022年度预算绩效自评工作的通知》（盐边财绩〔2023〕1号）要求，结合我局的实际情况，通过自查收入支出情况、账表一致情况，对相关资料进行收集整理、分析汇总，现将县财政局2022年预算整体绩效评价结果报告如下。</w:t>
      </w:r>
    </w:p>
    <w:p>
      <w:pPr>
        <w:spacing w:line="560" w:lineRule="exact"/>
        <w:ind w:firstLine="640" w:firstLineChars="200"/>
        <w:rPr>
          <w:rFonts w:eastAsia="黑体"/>
          <w:sz w:val="32"/>
          <w:szCs w:val="32"/>
        </w:rPr>
      </w:pPr>
      <w:bookmarkStart w:id="116" w:name="_Toc30645_WPSOffice_Level2"/>
      <w:bookmarkStart w:id="117" w:name="_Toc32725_WPSOffice_Level2"/>
      <w:r>
        <w:rPr>
          <w:rFonts w:eastAsia="黑体"/>
          <w:sz w:val="32"/>
          <w:szCs w:val="32"/>
        </w:rPr>
        <w:t>一、部门概况</w:t>
      </w:r>
      <w:bookmarkEnd w:id="116"/>
      <w:bookmarkEnd w:id="117"/>
    </w:p>
    <w:p>
      <w:pPr>
        <w:spacing w:line="560" w:lineRule="exact"/>
        <w:ind w:firstLine="640" w:firstLineChars="200"/>
        <w:rPr>
          <w:rFonts w:eastAsia="楷体_GB2312"/>
          <w:sz w:val="32"/>
          <w:szCs w:val="32"/>
        </w:rPr>
      </w:pPr>
      <w:r>
        <w:rPr>
          <w:rFonts w:eastAsia="楷体_GB2312"/>
          <w:sz w:val="32"/>
          <w:szCs w:val="32"/>
        </w:rPr>
        <w:t>（一）机构组成。</w:t>
      </w:r>
    </w:p>
    <w:p>
      <w:pPr>
        <w:spacing w:line="560" w:lineRule="exact"/>
        <w:ind w:firstLine="640" w:firstLineChars="200"/>
        <w:rPr>
          <w:rFonts w:eastAsia="仿宋_GB2312"/>
          <w:sz w:val="32"/>
          <w:szCs w:val="32"/>
        </w:rPr>
      </w:pPr>
      <w:r>
        <w:rPr>
          <w:rFonts w:eastAsia="仿宋_GB2312"/>
          <w:sz w:val="32"/>
          <w:szCs w:val="32"/>
        </w:rPr>
        <w:t>盐边县财政局下属非独立核算单位4个、独立核算单位2个，其中：参照公务员法管理事业单位1个、其他事业单位5个。主要包括：盐边县财政国库支付中心、盐边县乡镇财政事务中心、盐边县国有资产投资服务中心、盐边县财政收费票据中心、盐边县财政投资评审中心，盐边县政府外债项目服务中心。</w:t>
      </w:r>
    </w:p>
    <w:p>
      <w:pPr>
        <w:spacing w:line="560" w:lineRule="exact"/>
        <w:ind w:firstLine="640" w:firstLineChars="200"/>
        <w:rPr>
          <w:rFonts w:eastAsia="楷体_GB2312"/>
          <w:sz w:val="32"/>
          <w:szCs w:val="32"/>
        </w:rPr>
      </w:pPr>
      <w:r>
        <w:rPr>
          <w:rFonts w:eastAsia="楷体_GB2312"/>
          <w:sz w:val="32"/>
          <w:szCs w:val="32"/>
        </w:rPr>
        <w:t>（二）机构职能。</w:t>
      </w:r>
    </w:p>
    <w:p>
      <w:pPr>
        <w:spacing w:line="560" w:lineRule="exact"/>
        <w:ind w:firstLine="640" w:firstLineChars="200"/>
        <w:rPr>
          <w:rFonts w:eastAsia="仿宋_GB2312"/>
          <w:sz w:val="32"/>
          <w:szCs w:val="32"/>
        </w:rPr>
      </w:pPr>
      <w:r>
        <w:rPr>
          <w:rFonts w:eastAsia="仿宋_GB2312"/>
          <w:sz w:val="32"/>
          <w:szCs w:val="32"/>
        </w:rPr>
        <w:t>1.拟订全县财税发展战略、规划、政策和改革方案并组织实施。分析预测宏观经济形势，参与制定各项经济政策，提出运用财税政策实施宏观调控和综合平衡社会财力的建议。拟订县与乡（镇）政府、政府与企业的分配政策，完善鼓励公益事业发展的财税政策。</w:t>
      </w:r>
    </w:p>
    <w:p>
      <w:pPr>
        <w:spacing w:line="560" w:lineRule="exact"/>
        <w:ind w:firstLine="640" w:firstLineChars="200"/>
        <w:rPr>
          <w:rFonts w:eastAsia="仿宋_GB2312"/>
          <w:sz w:val="32"/>
          <w:szCs w:val="32"/>
        </w:rPr>
      </w:pPr>
      <w:r>
        <w:rPr>
          <w:rFonts w:eastAsia="仿宋_GB2312"/>
          <w:sz w:val="32"/>
          <w:szCs w:val="32"/>
        </w:rPr>
        <w:t>2.贯彻执行财政、税收、财务、会计管理的法律法规和规章。负责组织起草地方性财政政策、规范性文件和规章制度并组织实施。按照管理权限管理全县税政事项。承办国务院关税税则委员会办公室要求县一级承担的工作。</w:t>
      </w:r>
    </w:p>
    <w:p>
      <w:pPr>
        <w:spacing w:line="560" w:lineRule="exact"/>
        <w:ind w:firstLine="640" w:firstLineChars="200"/>
        <w:rPr>
          <w:rFonts w:eastAsia="仿宋_GB2312"/>
          <w:sz w:val="32"/>
          <w:szCs w:val="32"/>
        </w:rPr>
      </w:pPr>
      <w:r>
        <w:rPr>
          <w:rFonts w:eastAsia="仿宋_GB2312"/>
          <w:sz w:val="32"/>
          <w:szCs w:val="32"/>
        </w:rPr>
        <w:t>3.负责管理各项财政收支。编制年度县级预决算草案并组织执行。组织制定经费开支标准、定额，审核批复部门（单位）年度预决算。受县政府委托，向县人大及其常委会报告财政预算、执行和决算等情况。负责政府投资基金县级财政出资的资产管理。负责县级预决算公开。负责全面实施预算绩效管理。</w:t>
      </w:r>
    </w:p>
    <w:p>
      <w:pPr>
        <w:spacing w:line="560" w:lineRule="exact"/>
        <w:ind w:firstLine="640" w:firstLineChars="200"/>
        <w:rPr>
          <w:rFonts w:eastAsia="仿宋_GB2312"/>
          <w:sz w:val="32"/>
          <w:szCs w:val="32"/>
        </w:rPr>
      </w:pPr>
      <w:r>
        <w:rPr>
          <w:rFonts w:eastAsia="仿宋_GB2312"/>
          <w:sz w:val="32"/>
          <w:szCs w:val="32"/>
        </w:rPr>
        <w:t>4.按分工负责政府非税收入管理。负责政府性基金管理，按规定管理行政事业性收费等其他非税收入。管理财政票据。贯彻执行彩票管理政策，监管彩票市场，按规定管理彩票资金。</w:t>
      </w:r>
    </w:p>
    <w:p>
      <w:pPr>
        <w:spacing w:line="560" w:lineRule="exact"/>
        <w:ind w:firstLine="640" w:firstLineChars="200"/>
        <w:rPr>
          <w:rFonts w:eastAsia="仿宋_GB2312"/>
          <w:sz w:val="32"/>
          <w:szCs w:val="32"/>
        </w:rPr>
      </w:pPr>
      <w:r>
        <w:rPr>
          <w:rFonts w:eastAsia="仿宋_GB2312"/>
          <w:sz w:val="32"/>
          <w:szCs w:val="32"/>
        </w:rPr>
        <w:t>5.组织制定全县国库管理制度、国库集中收付制度，指导和监督国库业务，开展国库现金管理工作。贯彻执行政府财务报告编制办法并组织实施。监督管理全县政府采购工作。</w:t>
      </w:r>
    </w:p>
    <w:p>
      <w:pPr>
        <w:spacing w:line="560" w:lineRule="exact"/>
        <w:ind w:firstLine="640" w:firstLineChars="200"/>
        <w:rPr>
          <w:rFonts w:eastAsia="仿宋_GB2312"/>
          <w:sz w:val="32"/>
          <w:szCs w:val="32"/>
        </w:rPr>
      </w:pPr>
      <w:r>
        <w:rPr>
          <w:rFonts w:eastAsia="仿宋_GB2312"/>
          <w:sz w:val="32"/>
          <w:szCs w:val="32"/>
        </w:rPr>
        <w:t xml:space="preserve">6.贯彻执行地方政府债务管理制度和政策，制定具体管理办法，编制地方政府债余额限额计划，统一管理政府外债，防范财政风险。                   </w:t>
      </w:r>
    </w:p>
    <w:p>
      <w:pPr>
        <w:spacing w:line="560" w:lineRule="exact"/>
        <w:ind w:firstLine="640" w:firstLineChars="200"/>
        <w:rPr>
          <w:rFonts w:eastAsia="仿宋_GB2312"/>
          <w:sz w:val="32"/>
          <w:szCs w:val="32"/>
        </w:rPr>
      </w:pPr>
      <w:r>
        <w:rPr>
          <w:rFonts w:eastAsia="仿宋_GB2312"/>
          <w:sz w:val="32"/>
          <w:szCs w:val="32"/>
        </w:rPr>
        <w:t>7.牵头编制全县国有资产管理情况报告。根据县政府授权，集中统一履行县级国有金融资本出资人职责。制定县级国有金融资本管理制度。拟订全县行政事业单位国有资产管理制度并组织实施。制定需要全县统一规定的开支标准和支出政策。负责县属国有企业监督管理。</w:t>
      </w:r>
    </w:p>
    <w:p>
      <w:pPr>
        <w:spacing w:line="560" w:lineRule="exact"/>
        <w:ind w:firstLine="640" w:firstLineChars="200"/>
        <w:rPr>
          <w:rFonts w:eastAsia="仿宋_GB2312"/>
          <w:sz w:val="32"/>
          <w:szCs w:val="32"/>
        </w:rPr>
      </w:pPr>
      <w:r>
        <w:rPr>
          <w:rFonts w:eastAsia="仿宋_GB2312"/>
          <w:sz w:val="32"/>
          <w:szCs w:val="32"/>
        </w:rPr>
        <w:t>8.负责审核并汇总编制全县国有资本经营预决算草案。制定国有资本经营预算制度和办法，收取县本级企业国有资本收益。组织实施企业财务制度，负责财政预算内行政事业单位和社会团体的非贸易外汇和财政预算内的国际收支管理。</w:t>
      </w:r>
    </w:p>
    <w:p>
      <w:pPr>
        <w:spacing w:line="560" w:lineRule="exact"/>
        <w:ind w:firstLine="640" w:firstLineChars="200"/>
        <w:rPr>
          <w:rFonts w:eastAsia="仿宋_GB2312"/>
          <w:sz w:val="32"/>
          <w:szCs w:val="32"/>
        </w:rPr>
      </w:pPr>
      <w:r>
        <w:rPr>
          <w:rFonts w:eastAsia="仿宋_GB2312"/>
          <w:sz w:val="32"/>
          <w:szCs w:val="32"/>
        </w:rPr>
        <w:t>9.负责审核并汇总编制全县社会保险基金预决算草案，会同有关部门拟订有关资金（基金）财务管理制度，承担社会保险基金财政监管工作。</w:t>
      </w:r>
    </w:p>
    <w:p>
      <w:pPr>
        <w:spacing w:line="560" w:lineRule="exact"/>
        <w:ind w:firstLine="640" w:firstLineChars="200"/>
        <w:rPr>
          <w:rFonts w:eastAsia="仿宋_GB2312"/>
          <w:sz w:val="32"/>
          <w:szCs w:val="32"/>
        </w:rPr>
      </w:pPr>
      <w:r>
        <w:rPr>
          <w:rFonts w:eastAsia="仿宋_GB2312"/>
          <w:sz w:val="32"/>
          <w:szCs w:val="32"/>
        </w:rPr>
        <w:t>10.负责办理和监督县级财政的经济发展支出、县级政府性投资项目的财政拨款，负责投资评审管理工作，参与拟订县级基建投资有关政策，制定基建财务管理制度。负责政府性投资项目竣工决算、结算管理工作。</w:t>
      </w:r>
    </w:p>
    <w:p>
      <w:pPr>
        <w:spacing w:line="560" w:lineRule="exact"/>
        <w:ind w:firstLine="640" w:firstLineChars="200"/>
        <w:rPr>
          <w:rFonts w:eastAsia="仿宋_GB2312"/>
          <w:sz w:val="32"/>
          <w:szCs w:val="32"/>
        </w:rPr>
      </w:pPr>
      <w:r>
        <w:rPr>
          <w:rFonts w:eastAsia="仿宋_GB2312"/>
          <w:sz w:val="32"/>
          <w:szCs w:val="32"/>
        </w:rPr>
        <w:t>11.管理外国政府和国际金融机构贷（赠）款项目的有关业务，参与财经领域的国际交流与合作。</w:t>
      </w:r>
    </w:p>
    <w:p>
      <w:pPr>
        <w:spacing w:line="560" w:lineRule="exact"/>
        <w:ind w:firstLine="640" w:firstLineChars="200"/>
        <w:rPr>
          <w:rFonts w:eastAsia="仿宋_GB2312"/>
          <w:sz w:val="32"/>
          <w:szCs w:val="32"/>
        </w:rPr>
      </w:pPr>
      <w:r>
        <w:rPr>
          <w:rFonts w:eastAsia="仿宋_GB2312"/>
          <w:sz w:val="32"/>
          <w:szCs w:val="32"/>
        </w:rPr>
        <w:t>12.负责管理全县会计工作，监督和规范会计行为，组织实施国家统一的会计制度，指导社会审计。依法管理资产评估有关工作。</w:t>
      </w:r>
    </w:p>
    <w:p>
      <w:pPr>
        <w:spacing w:line="560" w:lineRule="exact"/>
        <w:ind w:firstLine="640" w:firstLineChars="200"/>
        <w:rPr>
          <w:rFonts w:eastAsia="仿宋_GB2312"/>
          <w:sz w:val="32"/>
          <w:szCs w:val="32"/>
        </w:rPr>
      </w:pPr>
      <w:r>
        <w:rPr>
          <w:rFonts w:eastAsia="仿宋_GB2312"/>
          <w:sz w:val="32"/>
          <w:szCs w:val="32"/>
        </w:rPr>
        <w:t>13.拟定和执行国有资产管理的政策法规、规章制度和管理办法；负责全县行政事业单位国有资产及国有资产经营收益管理工作；组织实施行政事业单位国有资产及县属国有企业资产的清产核资和绩效评价工作；组织实施县级行政事业单位及国有企业产权界定、企业国有资产产权界定和转让工作，监缴国有资产收益；负责国有资产及县属国有企业资产的统计、分析；指导和监督行政事业单位、县属国有企业资产的产权界定、清查登记等工作；指导和监督办理执行《企业财务通则》和相关财务会计制度，参与拟定企业国有资产管理相关制度；负责所监管的经营性事业单位转企改制工作。</w:t>
      </w:r>
    </w:p>
    <w:p>
      <w:pPr>
        <w:spacing w:line="560" w:lineRule="exact"/>
        <w:ind w:firstLine="640" w:firstLineChars="200"/>
        <w:rPr>
          <w:rFonts w:eastAsia="仿宋_GB2312"/>
          <w:sz w:val="32"/>
          <w:szCs w:val="32"/>
        </w:rPr>
      </w:pPr>
      <w:r>
        <w:rPr>
          <w:rFonts w:eastAsia="仿宋_GB2312"/>
          <w:sz w:val="32"/>
          <w:szCs w:val="32"/>
        </w:rPr>
        <w:t>14.会同有关部门拟订地方金融政策措施。拟订全县金融业发展的中长期规划并组织实施；负责联系协调全县金融机构，推动地方政府与金融机构合作交流，防控金融风险、深化金融改革；会同有关部门推进地方金融业规范发展，组建、培育、壮大地方法人金融机构；统筹推进全县企业直接融资工作，统筹全市地方金融要素市场体系建设，参与全县投融资体制改革工作；负责全县小额贷款公司、融资担保公司、典当行、融资租赁公司等监管；负责地方金融机构和金融中介机构的行业管理和服务，促进金融中介服务业发展，参与拟订促进与金融业密切相关的中介服务机构发展的政策、规划并配合有关部门实施；维护地方金融秩序，牵头会同有关部门防范、化解和处置地方金融风险；牵头处置非法集资、协调配合有关部门打击其他非法金融活动；推进全县金融知识宣传普及工作。</w:t>
      </w:r>
    </w:p>
    <w:p>
      <w:pPr>
        <w:spacing w:line="560" w:lineRule="exact"/>
        <w:ind w:firstLine="640" w:firstLineChars="200"/>
        <w:rPr>
          <w:rFonts w:eastAsia="仿宋_GB2312"/>
          <w:sz w:val="32"/>
          <w:szCs w:val="32"/>
        </w:rPr>
      </w:pPr>
      <w:r>
        <w:rPr>
          <w:rFonts w:eastAsia="仿宋_GB2312"/>
          <w:sz w:val="32"/>
          <w:szCs w:val="32"/>
        </w:rPr>
        <w:t>15.负责职责范围内的安全生产和职业健康、生态环境保护、审批服务便民化等工作。</w:t>
      </w:r>
    </w:p>
    <w:p>
      <w:pPr>
        <w:spacing w:line="560" w:lineRule="exact"/>
        <w:ind w:firstLine="640" w:firstLineChars="200"/>
        <w:rPr>
          <w:rFonts w:eastAsia="仿宋_GB2312"/>
          <w:sz w:val="32"/>
          <w:szCs w:val="32"/>
        </w:rPr>
      </w:pPr>
      <w:r>
        <w:rPr>
          <w:rFonts w:eastAsia="仿宋_GB2312"/>
          <w:sz w:val="32"/>
          <w:szCs w:val="32"/>
        </w:rPr>
        <w:t>16.完成县委、县政府交办的其他任务。</w:t>
      </w:r>
    </w:p>
    <w:p>
      <w:pPr>
        <w:spacing w:line="560" w:lineRule="exact"/>
        <w:ind w:firstLine="640" w:firstLineChars="200"/>
        <w:rPr>
          <w:rFonts w:eastAsia="仿宋_GB2312"/>
          <w:sz w:val="32"/>
          <w:szCs w:val="32"/>
        </w:rPr>
      </w:pPr>
      <w:r>
        <w:rPr>
          <w:rFonts w:eastAsia="仿宋_GB2312"/>
          <w:sz w:val="32"/>
          <w:szCs w:val="32"/>
        </w:rPr>
        <w:t>17.职能转变。</w:t>
      </w:r>
    </w:p>
    <w:p>
      <w:pPr>
        <w:spacing w:line="560" w:lineRule="exact"/>
        <w:ind w:firstLine="640" w:firstLineChars="200"/>
        <w:rPr>
          <w:rFonts w:eastAsia="仿宋_GB2312"/>
          <w:sz w:val="32"/>
          <w:szCs w:val="32"/>
        </w:rPr>
      </w:pPr>
      <w:r>
        <w:rPr>
          <w:rFonts w:eastAsia="仿宋_GB2312"/>
          <w:sz w:val="32"/>
          <w:szCs w:val="32"/>
        </w:rPr>
        <w:t>（1）完善宏观调控体系，创新调控方式，构建发展规划、财政、金融等政策协调和工作协同机制，强化经济监测预测预警能力，建立健全重大问题研究和政策储备工作机制，增强宏观调控前瞻性、针对性、协同性。</w:t>
      </w:r>
    </w:p>
    <w:p>
      <w:pPr>
        <w:spacing w:line="560" w:lineRule="exact"/>
        <w:ind w:firstLine="640" w:firstLineChars="200"/>
        <w:rPr>
          <w:rFonts w:eastAsia="仿宋_GB2312"/>
          <w:sz w:val="32"/>
          <w:szCs w:val="32"/>
        </w:rPr>
      </w:pPr>
      <w:r>
        <w:rPr>
          <w:rFonts w:eastAsia="仿宋_GB2312"/>
          <w:sz w:val="32"/>
          <w:szCs w:val="32"/>
        </w:rPr>
        <w:t>（2）深化财税体制改革。加快建立现代财政制度，推进财政事权和支出责任划分改革，理顺县与乡（镇）收入划分，建立权责清晰、财力协调、区域均衡的县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p>
    <w:p>
      <w:pPr>
        <w:spacing w:line="560" w:lineRule="exact"/>
        <w:ind w:firstLine="640" w:firstLineChars="200"/>
        <w:rPr>
          <w:rFonts w:eastAsia="仿宋_GB2312"/>
          <w:sz w:val="32"/>
          <w:szCs w:val="32"/>
        </w:rPr>
      </w:pPr>
      <w:r>
        <w:rPr>
          <w:rFonts w:eastAsia="仿宋_GB2312"/>
          <w:sz w:val="32"/>
          <w:szCs w:val="32"/>
        </w:rPr>
        <w:t>（3）防范化解地方政府债务风险。规范举债融资机制，构建“闭环”管理体系，严控法定限额内债务风险，着力防控隐性债务风险，牢牢守住不发生系统性风险的底线。</w:t>
      </w:r>
    </w:p>
    <w:p>
      <w:pPr>
        <w:spacing w:line="560" w:lineRule="exact"/>
        <w:ind w:firstLine="640" w:firstLineChars="200"/>
        <w:rPr>
          <w:rFonts w:eastAsia="仿宋_GB2312"/>
          <w:sz w:val="32"/>
          <w:szCs w:val="32"/>
        </w:rPr>
      </w:pPr>
      <w:r>
        <w:rPr>
          <w:rFonts w:eastAsia="仿宋_GB2312"/>
          <w:sz w:val="32"/>
          <w:szCs w:val="32"/>
        </w:rPr>
        <w:t>18.有关职责分工。</w:t>
      </w:r>
    </w:p>
    <w:p>
      <w:pPr>
        <w:spacing w:line="560" w:lineRule="exact"/>
        <w:ind w:firstLine="640" w:firstLineChars="200"/>
        <w:rPr>
          <w:rFonts w:eastAsia="仿宋_GB2312"/>
          <w:sz w:val="32"/>
          <w:szCs w:val="32"/>
        </w:rPr>
      </w:pPr>
      <w:r>
        <w:rPr>
          <w:rFonts w:eastAsia="仿宋_GB2312"/>
          <w:sz w:val="32"/>
          <w:szCs w:val="32"/>
        </w:rPr>
        <w:t>（1）税政管理职责分工。县财政局负责提出税收政策建议，与县税务局共同上报和下发。参与提出关税政策建议。</w:t>
      </w:r>
    </w:p>
    <w:p>
      <w:pPr>
        <w:spacing w:line="560" w:lineRule="exact"/>
        <w:ind w:firstLine="640" w:firstLineChars="200"/>
        <w:rPr>
          <w:rFonts w:eastAsia="仿宋_GB2312"/>
          <w:sz w:val="32"/>
          <w:szCs w:val="32"/>
        </w:rPr>
      </w:pPr>
      <w:r>
        <w:rPr>
          <w:rFonts w:eastAsia="仿宋_GB2312"/>
          <w:sz w:val="32"/>
          <w:szCs w:val="32"/>
        </w:rPr>
        <w:t>（2）非税收入管理职责分工。县财政局贯彻落实非税收入国库集中收缴制度，负责非税收入账户、收缴方式、退付退库等管理。县税务局等部门按照非税收入国库集中收缴等有关规定，负责做好非税收入申报征收、会统核算、缴费检查、欠费追缴和违法处罚等工作，有关非税收入项目收缴信息与县财政局及时共享。</w:t>
      </w:r>
    </w:p>
    <w:p>
      <w:pPr>
        <w:spacing w:line="560" w:lineRule="exact"/>
        <w:ind w:firstLine="640" w:firstLineChars="200"/>
        <w:rPr>
          <w:rFonts w:eastAsia="仿宋_GB2312"/>
          <w:sz w:val="32"/>
          <w:szCs w:val="32"/>
        </w:rPr>
      </w:pPr>
      <w:r>
        <w:rPr>
          <w:rFonts w:eastAsia="仿宋_GB2312"/>
          <w:sz w:val="32"/>
          <w:szCs w:val="32"/>
        </w:rPr>
        <w:t xml:space="preserve">（3）县级行政事业单位国有资产管理职责分工。县财政局负责制定行政事业单位国有资产管理制度，并负责组织实施和监督检查。会同县政府办（县机关事务管理局）负责县级行政事业单位国有资产管理。县政府办（县机关事务管理局）负责制定县级行政事业单位国有资产管理具体制度和办法并组织实施，承担产权界定、清查登记、资产处置等工作，接受县财政局的指导和监督检查。县级行政事业单位具体承担所属事业单位及派出机构的国有资产管理工作。 </w:t>
      </w:r>
    </w:p>
    <w:p>
      <w:pPr>
        <w:spacing w:line="560" w:lineRule="exact"/>
        <w:ind w:firstLine="640" w:firstLineChars="200"/>
        <w:rPr>
          <w:rFonts w:eastAsia="仿宋_GB2312"/>
          <w:sz w:val="32"/>
          <w:szCs w:val="32"/>
        </w:rPr>
      </w:pPr>
      <w:r>
        <w:rPr>
          <w:rFonts w:eastAsia="仿宋_GB2312"/>
          <w:sz w:val="32"/>
          <w:szCs w:val="32"/>
        </w:rPr>
        <w:t>（4）各类投资基金管理职责分工。县发展改革局负责指导相关部门推动政府出资产业投资基金行业信用体系建设，配合有关部门贯彻执行促进私募股权基金发展的政策措施。县财政局负责地方国有金融资本管理工作，会同县发展改革局及县级行业部门负责财政性资金出资发起设立或参股设立的股权投资基金管理。县财政局参与指导各类投资基金</w:t>
      </w:r>
    </w:p>
    <w:p>
      <w:pPr>
        <w:spacing w:line="560" w:lineRule="exact"/>
        <w:ind w:firstLine="640" w:firstLineChars="200"/>
        <w:rPr>
          <w:rFonts w:eastAsia="楷体_GB2312"/>
          <w:sz w:val="32"/>
          <w:szCs w:val="32"/>
        </w:rPr>
      </w:pPr>
      <w:r>
        <w:rPr>
          <w:rFonts w:eastAsia="楷体_GB2312"/>
          <w:sz w:val="32"/>
          <w:szCs w:val="32"/>
        </w:rPr>
        <w:t>（三）人员概况。</w:t>
      </w:r>
    </w:p>
    <w:p>
      <w:pPr>
        <w:spacing w:line="560" w:lineRule="exact"/>
        <w:ind w:firstLine="640" w:firstLineChars="200"/>
        <w:rPr>
          <w:rFonts w:eastAsia="仿宋_GB2312"/>
          <w:sz w:val="32"/>
          <w:szCs w:val="32"/>
        </w:rPr>
      </w:pPr>
      <w:r>
        <w:rPr>
          <w:rFonts w:eastAsia="仿宋_GB2312"/>
          <w:sz w:val="32"/>
          <w:szCs w:val="32"/>
        </w:rPr>
        <w:t xml:space="preserve">2022年末在职人员46人，其中行政在编人员20人，行政工勤人员3人，事业在编人员26人，退休人员23人。 </w:t>
      </w:r>
    </w:p>
    <w:p>
      <w:pPr>
        <w:spacing w:line="560" w:lineRule="exact"/>
        <w:ind w:firstLine="640" w:firstLineChars="200"/>
        <w:rPr>
          <w:rFonts w:eastAsia="黑体"/>
          <w:sz w:val="32"/>
          <w:szCs w:val="32"/>
        </w:rPr>
      </w:pPr>
      <w:bookmarkStart w:id="118" w:name="_Toc14307_WPSOffice_Level2"/>
      <w:bookmarkStart w:id="119" w:name="_Toc16053_WPSOffice_Level2"/>
      <w:r>
        <w:rPr>
          <w:rFonts w:eastAsia="黑体"/>
          <w:sz w:val="32"/>
          <w:szCs w:val="32"/>
        </w:rPr>
        <w:t>二、部门财政资金基本情况</w:t>
      </w:r>
      <w:bookmarkEnd w:id="118"/>
      <w:bookmarkEnd w:id="119"/>
    </w:p>
    <w:p>
      <w:pPr>
        <w:spacing w:line="560" w:lineRule="exact"/>
        <w:ind w:firstLine="640" w:firstLineChars="200"/>
        <w:rPr>
          <w:rFonts w:eastAsia="楷体_GB2312"/>
          <w:sz w:val="32"/>
          <w:szCs w:val="32"/>
        </w:rPr>
      </w:pPr>
      <w:r>
        <w:rPr>
          <w:rFonts w:eastAsia="楷体_GB2312"/>
          <w:sz w:val="32"/>
          <w:szCs w:val="32"/>
        </w:rPr>
        <w:t>（一）部门财政资金收入情况。</w:t>
      </w:r>
    </w:p>
    <w:p>
      <w:pPr>
        <w:spacing w:line="560" w:lineRule="exact"/>
        <w:ind w:firstLine="640" w:firstLineChars="200"/>
        <w:rPr>
          <w:rFonts w:eastAsia="仿宋_GB2312"/>
          <w:sz w:val="32"/>
          <w:szCs w:val="32"/>
        </w:rPr>
      </w:pPr>
      <w:r>
        <w:rPr>
          <w:rFonts w:eastAsia="仿宋_GB2312"/>
          <w:sz w:val="32"/>
          <w:szCs w:val="32"/>
        </w:rPr>
        <w:t>2022年年初部门预算安排收入为1119.45万元。当年调增及调减后实际预算下达收入1354.91万元。</w:t>
      </w:r>
    </w:p>
    <w:p>
      <w:pPr>
        <w:spacing w:line="560" w:lineRule="exact"/>
        <w:ind w:firstLine="640" w:firstLineChars="200"/>
        <w:rPr>
          <w:rFonts w:eastAsia="楷体_GB2312"/>
          <w:sz w:val="32"/>
          <w:szCs w:val="32"/>
        </w:rPr>
      </w:pPr>
      <w:r>
        <w:rPr>
          <w:rFonts w:eastAsia="楷体_GB2312"/>
          <w:sz w:val="32"/>
          <w:szCs w:val="32"/>
        </w:rPr>
        <w:t>（二）部门财政资金支出情况。</w:t>
      </w:r>
    </w:p>
    <w:p>
      <w:pPr>
        <w:spacing w:line="560" w:lineRule="exact"/>
        <w:ind w:firstLine="643" w:firstLineChars="200"/>
        <w:rPr>
          <w:rFonts w:eastAsia="仿宋_GB2312"/>
          <w:b/>
          <w:sz w:val="32"/>
          <w:szCs w:val="32"/>
        </w:rPr>
      </w:pPr>
      <w:r>
        <w:rPr>
          <w:rFonts w:eastAsia="仿宋_GB2312"/>
          <w:b/>
          <w:sz w:val="32"/>
          <w:szCs w:val="32"/>
        </w:rPr>
        <w:t>1.部门预算基本支出情况</w:t>
      </w:r>
    </w:p>
    <w:p>
      <w:pPr>
        <w:spacing w:line="560" w:lineRule="exact"/>
        <w:ind w:firstLine="640" w:firstLineChars="200"/>
        <w:rPr>
          <w:rFonts w:eastAsia="仿宋_GB2312"/>
          <w:sz w:val="32"/>
          <w:szCs w:val="32"/>
        </w:rPr>
      </w:pPr>
      <w:r>
        <w:rPr>
          <w:rFonts w:eastAsia="仿宋_GB2312"/>
          <w:sz w:val="32"/>
          <w:szCs w:val="32"/>
        </w:rPr>
        <w:t>2022年年初部门预算安排基本支出为727.64万元。其中：工资福利支出657.00万元，日常公用支出70.65万元。当年调增及调减后实际预算下达基本支出996.38万元。</w:t>
      </w:r>
    </w:p>
    <w:p>
      <w:pPr>
        <w:spacing w:line="560" w:lineRule="exact"/>
        <w:ind w:firstLine="640" w:firstLineChars="200"/>
        <w:rPr>
          <w:rFonts w:eastAsia="仿宋_GB2312"/>
          <w:sz w:val="32"/>
          <w:szCs w:val="32"/>
        </w:rPr>
      </w:pPr>
      <w:r>
        <w:rPr>
          <w:rFonts w:eastAsia="仿宋_GB2312"/>
          <w:sz w:val="32"/>
          <w:szCs w:val="32"/>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pPr>
        <w:spacing w:line="560" w:lineRule="exact"/>
        <w:ind w:firstLine="643" w:firstLineChars="200"/>
        <w:rPr>
          <w:rFonts w:eastAsia="仿宋_GB2312"/>
          <w:sz w:val="32"/>
          <w:szCs w:val="32"/>
        </w:rPr>
      </w:pPr>
      <w:r>
        <w:rPr>
          <w:rFonts w:eastAsia="仿宋_GB2312"/>
          <w:b/>
          <w:sz w:val="32"/>
          <w:szCs w:val="32"/>
        </w:rPr>
        <w:t>2.部门预算项目安排及支出情况</w:t>
      </w:r>
    </w:p>
    <w:p>
      <w:pPr>
        <w:spacing w:line="560" w:lineRule="exact"/>
        <w:ind w:firstLine="640" w:firstLineChars="200"/>
        <w:rPr>
          <w:rFonts w:eastAsia="仿宋_GB2312"/>
          <w:sz w:val="32"/>
          <w:szCs w:val="32"/>
        </w:rPr>
      </w:pPr>
      <w:r>
        <w:rPr>
          <w:rFonts w:eastAsia="仿宋_GB2312"/>
          <w:sz w:val="32"/>
          <w:szCs w:val="32"/>
        </w:rPr>
        <w:t>2022年年初部门预算安排项目支出为391.9万元；2022年调增及调减后实际预算下达项目支出358.52万元。</w:t>
      </w:r>
    </w:p>
    <w:p>
      <w:pPr>
        <w:spacing w:line="560" w:lineRule="exact"/>
        <w:ind w:firstLine="640" w:firstLineChars="200"/>
        <w:rPr>
          <w:rFonts w:eastAsia="仿宋_GB2312"/>
          <w:sz w:val="32"/>
          <w:szCs w:val="32"/>
        </w:rPr>
      </w:pPr>
      <w:r>
        <w:rPr>
          <w:rFonts w:eastAsia="仿宋_GB2312"/>
          <w:sz w:val="32"/>
          <w:szCs w:val="32"/>
        </w:rPr>
        <w:t>项目支出主要用于开展所需业务的劳务、差旅费等方面支出；保证全县金财网正常运行的网络维护等方面支出。</w:t>
      </w:r>
    </w:p>
    <w:p>
      <w:pPr>
        <w:spacing w:line="560" w:lineRule="exact"/>
        <w:ind w:firstLine="640" w:firstLineChars="200"/>
        <w:rPr>
          <w:rFonts w:eastAsia="楷体_GB2312"/>
          <w:sz w:val="32"/>
          <w:szCs w:val="32"/>
        </w:rPr>
      </w:pPr>
      <w:r>
        <w:rPr>
          <w:rFonts w:eastAsia="楷体_GB2312"/>
          <w:sz w:val="32"/>
          <w:szCs w:val="32"/>
        </w:rPr>
        <w:t>（三）结转结余情况。</w:t>
      </w:r>
    </w:p>
    <w:p>
      <w:pPr>
        <w:spacing w:line="560" w:lineRule="exact"/>
        <w:ind w:firstLine="640" w:firstLineChars="200"/>
        <w:rPr>
          <w:rFonts w:eastAsia="仿宋_GB2312"/>
          <w:sz w:val="32"/>
          <w:szCs w:val="32"/>
        </w:rPr>
      </w:pPr>
      <w:r>
        <w:rPr>
          <w:rFonts w:eastAsia="仿宋_GB2312"/>
          <w:sz w:val="32"/>
          <w:szCs w:val="32"/>
        </w:rPr>
        <w:t>无结转结余。</w:t>
      </w:r>
    </w:p>
    <w:p>
      <w:pPr>
        <w:spacing w:line="560" w:lineRule="exact"/>
        <w:ind w:firstLine="640" w:firstLineChars="200"/>
        <w:rPr>
          <w:rFonts w:eastAsia="黑体"/>
          <w:sz w:val="32"/>
          <w:szCs w:val="32"/>
        </w:rPr>
      </w:pPr>
      <w:bookmarkStart w:id="120" w:name="_Toc26074_WPSOffice_Level2"/>
      <w:bookmarkStart w:id="121" w:name="_Toc32713_WPSOffice_Level2"/>
      <w:r>
        <w:rPr>
          <w:rFonts w:eastAsia="黑体"/>
          <w:sz w:val="32"/>
          <w:szCs w:val="32"/>
        </w:rPr>
        <w:t>三、部门预算绩效管理情况</w:t>
      </w:r>
      <w:bookmarkEnd w:id="120"/>
      <w:bookmarkEnd w:id="121"/>
    </w:p>
    <w:p>
      <w:pPr>
        <w:spacing w:line="560" w:lineRule="exact"/>
        <w:ind w:firstLine="640" w:firstLineChars="200"/>
        <w:rPr>
          <w:rFonts w:eastAsia="楷体_GB2312"/>
          <w:sz w:val="32"/>
          <w:szCs w:val="32"/>
        </w:rPr>
      </w:pPr>
      <w:r>
        <w:rPr>
          <w:rFonts w:eastAsia="楷体_GB2312"/>
          <w:sz w:val="32"/>
          <w:szCs w:val="32"/>
        </w:rPr>
        <w:t>（一）部门预算绩效管理。</w:t>
      </w:r>
    </w:p>
    <w:p>
      <w:pPr>
        <w:spacing w:line="560" w:lineRule="exact"/>
        <w:ind w:firstLine="643" w:firstLineChars="200"/>
        <w:rPr>
          <w:rFonts w:eastAsia="仿宋_GB2312"/>
          <w:b/>
          <w:sz w:val="32"/>
          <w:szCs w:val="32"/>
        </w:rPr>
      </w:pPr>
      <w:r>
        <w:rPr>
          <w:rFonts w:eastAsia="仿宋_GB2312"/>
          <w:b/>
          <w:sz w:val="32"/>
          <w:szCs w:val="32"/>
        </w:rPr>
        <w:t>1.绩效目标制定</w:t>
      </w:r>
    </w:p>
    <w:p>
      <w:pPr>
        <w:spacing w:line="560" w:lineRule="exact"/>
        <w:ind w:firstLine="640" w:firstLineChars="200"/>
        <w:rPr>
          <w:rFonts w:eastAsia="仿宋_GB2312"/>
          <w:sz w:val="32"/>
          <w:szCs w:val="32"/>
        </w:rPr>
      </w:pPr>
      <w:r>
        <w:rPr>
          <w:rFonts w:eastAsia="仿宋_GB2312"/>
          <w:sz w:val="32"/>
          <w:szCs w:val="32"/>
        </w:rPr>
        <w:t>2022年来，在县委、县政府的正确领导下，县财政局坚定以习近平新时代中国特色社会主义思想为指导，紧紧围绕县委、县政府的决策部署，统筹推进疫情防控和经济社会发展，扎实做好“六保”工作，落实“六稳”任务，切实加强财政收入征管，不断优化支出结构，深入推进财政管理体制改革，较好地完成了各项工作任务。绩效目标执行情况</w:t>
      </w:r>
    </w:p>
    <w:p>
      <w:pPr>
        <w:spacing w:line="560" w:lineRule="exact"/>
        <w:ind w:firstLine="640" w:firstLineChars="200"/>
        <w:rPr>
          <w:rFonts w:eastAsia="仿宋_GB2312"/>
          <w:sz w:val="32"/>
          <w:szCs w:val="32"/>
        </w:rPr>
      </w:pPr>
      <w:r>
        <w:rPr>
          <w:rFonts w:eastAsia="仿宋_GB2312"/>
          <w:sz w:val="32"/>
          <w:szCs w:val="32"/>
        </w:rPr>
        <w:t>盐边县财政局2022年度全年资金拨付和使用均按计划进度完成，在资金的使用上，严守法律底线、纪律底线，无违反财务管理、财经纪律情况发生，会计核算真实完整，项 目资金支出和原定用途、预算批复用途相符，财政资金使用效率进一步提高。在资金的管理方面，进一步强化资金统筹，优化资金结构，明确开支范围，细化资金用途，确保各项工作的顺利开展和财政资金的有效使用。</w:t>
      </w:r>
    </w:p>
    <w:p>
      <w:pPr>
        <w:spacing w:line="560" w:lineRule="exact"/>
        <w:ind w:firstLine="643" w:firstLineChars="200"/>
        <w:rPr>
          <w:rFonts w:eastAsia="仿宋_GB2312"/>
          <w:b/>
          <w:sz w:val="32"/>
          <w:szCs w:val="32"/>
        </w:rPr>
      </w:pPr>
      <w:r>
        <w:rPr>
          <w:rFonts w:eastAsia="仿宋_GB2312"/>
          <w:b/>
          <w:sz w:val="32"/>
          <w:szCs w:val="32"/>
        </w:rPr>
        <w:t>（1）人员类</w:t>
      </w:r>
    </w:p>
    <w:p>
      <w:pPr>
        <w:spacing w:line="560" w:lineRule="exact"/>
        <w:ind w:firstLine="640" w:firstLineChars="200"/>
        <w:rPr>
          <w:rFonts w:eastAsia="仿宋_GB2312"/>
          <w:sz w:val="32"/>
          <w:szCs w:val="32"/>
        </w:rPr>
      </w:pPr>
      <w:r>
        <w:rPr>
          <w:rFonts w:eastAsia="仿宋_GB2312"/>
          <w:sz w:val="32"/>
          <w:szCs w:val="32"/>
        </w:rPr>
        <w:t>2022年度人员经费支出939.39万元，主要用于职工工资及福利待遇支出，未将人员工资福利支出等指标挪作</w:t>
      </w:r>
      <w:r>
        <w:rPr>
          <w:rFonts w:hint="eastAsia" w:eastAsia="仿宋_GB2312"/>
          <w:sz w:val="32"/>
          <w:szCs w:val="32"/>
          <w:lang w:eastAsia="zh-CN"/>
        </w:rPr>
        <w:t>他</w:t>
      </w:r>
      <w:r>
        <w:rPr>
          <w:rFonts w:eastAsia="仿宋_GB2312"/>
          <w:sz w:val="32"/>
          <w:szCs w:val="32"/>
        </w:rPr>
        <w:t>用，基本支出保障有力，确保全年平稳保障职工工资支出，维持基本行政运转，预算执行率100%。</w:t>
      </w:r>
    </w:p>
    <w:p>
      <w:pPr>
        <w:spacing w:line="560" w:lineRule="exact"/>
        <w:ind w:firstLine="643" w:firstLineChars="200"/>
        <w:rPr>
          <w:rFonts w:eastAsia="仿宋_GB2312"/>
          <w:b/>
          <w:sz w:val="32"/>
          <w:szCs w:val="32"/>
        </w:rPr>
      </w:pPr>
      <w:r>
        <w:rPr>
          <w:rFonts w:eastAsia="仿宋_GB2312"/>
          <w:b/>
          <w:sz w:val="32"/>
          <w:szCs w:val="32"/>
        </w:rPr>
        <w:t>（2）运转类</w:t>
      </w:r>
    </w:p>
    <w:p>
      <w:pPr>
        <w:spacing w:line="560" w:lineRule="exact"/>
        <w:ind w:firstLine="640" w:firstLineChars="200"/>
        <w:rPr>
          <w:rFonts w:eastAsia="仿宋_GB2312"/>
          <w:sz w:val="32"/>
          <w:szCs w:val="32"/>
        </w:rPr>
      </w:pPr>
      <w:r>
        <w:rPr>
          <w:rFonts w:eastAsia="仿宋_GB2312"/>
          <w:sz w:val="32"/>
          <w:szCs w:val="32"/>
        </w:rPr>
        <w:t>2022年度公用经费支出56.99万元，主要用于办公费、印刷费、水电费、差旅费、维修（护）费等日常公用经费，严格按照资金用途申报、使用资金，均已足额按时支付，有力保障了各项工作的顺利开展。预算执行率100%。</w:t>
      </w:r>
    </w:p>
    <w:p>
      <w:pPr>
        <w:spacing w:line="560" w:lineRule="exact"/>
        <w:ind w:firstLine="643" w:firstLineChars="200"/>
        <w:rPr>
          <w:rFonts w:eastAsia="仿宋_GB2312"/>
          <w:b/>
          <w:sz w:val="32"/>
          <w:szCs w:val="32"/>
        </w:rPr>
      </w:pPr>
      <w:r>
        <w:rPr>
          <w:rFonts w:eastAsia="仿宋_GB2312"/>
          <w:b/>
          <w:sz w:val="32"/>
          <w:szCs w:val="32"/>
        </w:rPr>
        <w:t>（3）特定目标类</w:t>
      </w:r>
    </w:p>
    <w:p>
      <w:pPr>
        <w:spacing w:line="560" w:lineRule="exact"/>
        <w:ind w:firstLine="640" w:firstLineChars="200"/>
        <w:rPr>
          <w:rFonts w:eastAsia="仿宋_GB2312"/>
          <w:sz w:val="32"/>
          <w:szCs w:val="32"/>
        </w:rPr>
      </w:pPr>
      <w:r>
        <w:rPr>
          <w:rFonts w:eastAsia="仿宋_GB2312"/>
          <w:sz w:val="32"/>
          <w:szCs w:val="32"/>
        </w:rPr>
        <w:t>2022年项目支出358.52万元，分别是：城乡住户一体化农村调查户帮扶资金2.00万元；财政局网络及金财网相关经费155.75万元；财政投资评审中心经费140.57万元；财政局外派实践锻炼干部补助3.23万元；向上争取资金奖励经费35.81万元。有全县财政票据经费5.79万元；两会材料印刷相关费用19.81万元；田园综合体试点项目经费26.60万元；乡镇财政事务中心运行费用8.00万元；有效保障我局专项业务正常运行。预算执行率100%。</w:t>
      </w:r>
    </w:p>
    <w:p>
      <w:pPr>
        <w:spacing w:line="560" w:lineRule="exact"/>
        <w:ind w:firstLine="643" w:firstLineChars="200"/>
        <w:rPr>
          <w:rFonts w:eastAsia="仿宋_GB2312"/>
          <w:b/>
          <w:sz w:val="32"/>
          <w:szCs w:val="32"/>
        </w:rPr>
      </w:pPr>
      <w:r>
        <w:rPr>
          <w:rFonts w:eastAsia="仿宋_GB2312"/>
          <w:b/>
          <w:sz w:val="32"/>
          <w:szCs w:val="32"/>
        </w:rPr>
        <w:t>2.绩效目标完成情况</w:t>
      </w:r>
    </w:p>
    <w:p>
      <w:pPr>
        <w:spacing w:line="560" w:lineRule="exact"/>
        <w:ind w:firstLine="643" w:firstLineChars="200"/>
        <w:rPr>
          <w:rFonts w:eastAsia="仿宋_GB2312"/>
          <w:b/>
          <w:sz w:val="32"/>
          <w:szCs w:val="32"/>
        </w:rPr>
      </w:pPr>
      <w:r>
        <w:rPr>
          <w:rFonts w:eastAsia="仿宋_GB2312"/>
          <w:b/>
          <w:sz w:val="32"/>
          <w:szCs w:val="32"/>
        </w:rPr>
        <w:t>（1）提升财政保障水平，围绕中心服务大局</w:t>
      </w:r>
    </w:p>
    <w:p>
      <w:pPr>
        <w:spacing w:line="560" w:lineRule="exact"/>
        <w:ind w:firstLine="640" w:firstLineChars="200"/>
        <w:rPr>
          <w:rFonts w:eastAsia="仿宋_GB2312"/>
          <w:sz w:val="32"/>
          <w:szCs w:val="32"/>
        </w:rPr>
      </w:pPr>
      <w:r>
        <w:rPr>
          <w:rFonts w:eastAsia="仿宋_GB2312"/>
          <w:sz w:val="32"/>
          <w:szCs w:val="32"/>
        </w:rPr>
        <w:t>部门整体联动，有效提升财政收入。提前谋划，全力组织收入，确保应收尽收，积极应对新增减税降费政策实施形成的减收。取得雅砻江流域水电开发有限公司税费征管权限并从2023年起参与收入分享，建立建筑业税收挖潜增收等机制。2022年我县完成一般公共预算收入112,776万元（其中：税收收入89,119万元、非税收入23,657万元），一般公共预算收入首次突破10亿大关。从收入结构看，税收占比79.02%，收入质量较高。把握重大政策窗口时期，加大对均衡性转移支付、县级基本财力保障机制奖补资金、贫困地区转移支付、重点生态功能区转移支付、债券转贷等财力性资金争取力度。2022年全县共争取上级各项资金198,989万元，同口径增长10.24%，实现七连增。</w:t>
      </w:r>
    </w:p>
    <w:p>
      <w:pPr>
        <w:spacing w:line="560" w:lineRule="exact"/>
        <w:ind w:firstLine="640" w:firstLineChars="200"/>
        <w:rPr>
          <w:rFonts w:eastAsia="仿宋_GB2312"/>
          <w:sz w:val="32"/>
          <w:szCs w:val="32"/>
        </w:rPr>
      </w:pPr>
      <w:r>
        <w:rPr>
          <w:rFonts w:eastAsia="仿宋_GB2312"/>
          <w:sz w:val="32"/>
          <w:szCs w:val="32"/>
        </w:rPr>
        <w:t>发挥财政保障，促进重点项目建设。紧扣“钒钛首县、滋味盐边”发展定位，统筹疫情防控和经济社会发展。紧紧围绕“项目攻坚突破年”，设立县级规划和重大项目前期专项经费1,500万元，支持编制规划、包装项目76个，有序推动67个省、市、县重点项目加快建设。投入4,160万元，保障京东（盐边）乡村振兴示范园竣工投运、羊肉米线产业化发展、县城住宅加装电梯、化工园区创建、消防救援大队营房迁建、“农商文旅”融合等重点工作。投入8,306万元用于撤并建制村畅通工程建设，投入2,436万元推动“四好”农村路成功创建为省级示范农村路。实施财政金融互动，调动8,200万元用于创业担保贷款、企业贷款贴息，惠及1523人/户。</w:t>
      </w:r>
    </w:p>
    <w:p>
      <w:pPr>
        <w:spacing w:line="560" w:lineRule="exact"/>
        <w:ind w:firstLine="640" w:firstLineChars="200"/>
        <w:rPr>
          <w:rFonts w:eastAsia="仿宋_GB2312"/>
          <w:sz w:val="32"/>
          <w:szCs w:val="32"/>
        </w:rPr>
      </w:pPr>
      <w:r>
        <w:rPr>
          <w:rFonts w:eastAsia="仿宋_GB2312"/>
          <w:sz w:val="32"/>
          <w:szCs w:val="32"/>
        </w:rPr>
        <w:t>落实减税降费，助力企业纾困解难。建立退税减税降费联席机制，不折不扣执行增值税留抵退税等组合式税费支持政策。全年累计办理退缓减免税费69,982万元，为企业减税降费1,064万元，惠及企业和纳税人6,528户/次，提振市场主体信心、服务稳经济“大盘”取得积极效果。</w:t>
      </w:r>
    </w:p>
    <w:p>
      <w:pPr>
        <w:spacing w:line="560" w:lineRule="exact"/>
        <w:ind w:firstLine="643" w:firstLineChars="200"/>
        <w:rPr>
          <w:rFonts w:eastAsia="仿宋_GB2312"/>
          <w:b/>
          <w:sz w:val="32"/>
          <w:szCs w:val="32"/>
        </w:rPr>
      </w:pPr>
      <w:r>
        <w:rPr>
          <w:rFonts w:eastAsia="仿宋_GB2312"/>
          <w:b/>
          <w:sz w:val="32"/>
          <w:szCs w:val="32"/>
        </w:rPr>
        <w:t>（2）坚持聚焦民生福祉，提高民生事业投入</w:t>
      </w:r>
    </w:p>
    <w:p>
      <w:pPr>
        <w:spacing w:line="560" w:lineRule="exact"/>
        <w:ind w:firstLine="640" w:firstLineChars="200"/>
        <w:rPr>
          <w:rFonts w:eastAsia="仿宋_GB2312"/>
          <w:sz w:val="32"/>
          <w:szCs w:val="32"/>
        </w:rPr>
      </w:pPr>
      <w:r>
        <w:rPr>
          <w:rFonts w:eastAsia="仿宋_GB2312"/>
          <w:sz w:val="32"/>
          <w:szCs w:val="32"/>
        </w:rPr>
        <w:t>持续加大民生投入，做好基本民生保障。全年民生支出实现152,130万元，占一般公共预算支出比重74.21%。落实省级18件民生实事和市级19个民生工程投入资金57,080万元。</w:t>
      </w:r>
    </w:p>
    <w:p>
      <w:pPr>
        <w:spacing w:line="560" w:lineRule="exact"/>
        <w:ind w:firstLine="640" w:firstLineChars="200"/>
        <w:rPr>
          <w:rFonts w:eastAsia="仿宋_GB2312"/>
          <w:sz w:val="32"/>
          <w:szCs w:val="32"/>
        </w:rPr>
      </w:pPr>
      <w:r>
        <w:rPr>
          <w:rFonts w:eastAsia="仿宋_GB2312"/>
          <w:sz w:val="32"/>
          <w:szCs w:val="32"/>
        </w:rPr>
        <w:t>支持办好教育和文化事业。统筹安排资金 36,549 万元，推进教育优先攻坚行动。安排资金460万元，持续实施义务教育薄弱环节改善与能力提升，用于第一初级中学校改扩建项目；安排资金50万元保障四川省民族地区教育发展十年行动；安排资金578万元用于县幼儿园改扩建工程；安排资金526万元用于红格中学运动场建设项目；安排资金691万元，用于盐边县渔门镇中学校食堂操场改扩建、健康光源等校舍维修改造项目建设，不断改善教育环境；积极落实教育政策，安排减免非民族自治地区幼儿保教费补助资金329万元，安排为义务教育阶段家庭经济困难寄宿生提供生活费补助597万元，安排为义务教育阶段学生提供营养膳食补助1,641万元；投入110万元支持引进攀枝花市第七高级中学来盐办学，助力全县教育高质量发展。</w:t>
      </w:r>
    </w:p>
    <w:p>
      <w:pPr>
        <w:spacing w:line="560" w:lineRule="exact"/>
        <w:ind w:firstLine="640" w:firstLineChars="200"/>
        <w:rPr>
          <w:rFonts w:eastAsia="仿宋_GB2312"/>
          <w:sz w:val="32"/>
          <w:szCs w:val="32"/>
        </w:rPr>
      </w:pPr>
      <w:r>
        <w:rPr>
          <w:rFonts w:eastAsia="仿宋_GB2312"/>
          <w:sz w:val="32"/>
          <w:szCs w:val="32"/>
        </w:rPr>
        <w:t>投入资金1,500万元，支持“天府旅游名县”创建。投入资金257万元，支持农文旅融合发展。投入资金626万元，支持公共文化服务体系建设，免费开放图书馆、文化馆。投入资金41万元支持建立新时代文明实践（所）12个。</w:t>
      </w:r>
    </w:p>
    <w:p>
      <w:pPr>
        <w:spacing w:line="560" w:lineRule="exact"/>
        <w:ind w:firstLine="640" w:firstLineChars="200"/>
        <w:rPr>
          <w:rFonts w:eastAsia="仿宋_GB2312"/>
          <w:sz w:val="32"/>
          <w:szCs w:val="32"/>
        </w:rPr>
      </w:pPr>
      <w:r>
        <w:rPr>
          <w:rFonts w:eastAsia="仿宋_GB2312"/>
          <w:sz w:val="32"/>
          <w:szCs w:val="32"/>
        </w:rPr>
        <w:t>支持提高全县人民健康水平。统筹投入卫生健康专项资金20,495 万元，深化医药卫生体制改革，支持中医药创新发展，常态化抓好疫情防控。安排计划生育专项资金998万元，安排重大公共卫生专项资金1,506万元，安排基本公共卫生服务补助资金1,460万元，安排实施基本药物制度补助资金347万元，支持县级公立医院改革及医疗服务能力提升补助资金227万元, 城乡医疗救助资金1,070万元，安排公共卫生特别服务岗经费137万元。支持提升改造隔离点3个、建立方舱医疗改革点2个，落实疫苗及接种资金114万元，免费接种14.25万剂次。基本公共卫生补助标准由79元/人提高到84元/人，城乡居民基本医疗保险政府补助标准由580元/人</w:t>
      </w:r>
      <w:r>
        <w:rPr>
          <w:sz w:val="32"/>
          <w:szCs w:val="32"/>
        </w:rPr>
        <w:t>•</w:t>
      </w:r>
      <w:r>
        <w:rPr>
          <w:rFonts w:eastAsia="仿宋_GB2312"/>
          <w:sz w:val="32"/>
          <w:szCs w:val="32"/>
        </w:rPr>
        <w:t>年提高到610元/人</w:t>
      </w:r>
      <w:r>
        <w:rPr>
          <w:sz w:val="32"/>
          <w:szCs w:val="32"/>
        </w:rPr>
        <w:t>•</w:t>
      </w:r>
      <w:r>
        <w:rPr>
          <w:rFonts w:eastAsia="仿宋_GB2312"/>
          <w:sz w:val="32"/>
          <w:szCs w:val="32"/>
        </w:rPr>
        <w:t>年。</w:t>
      </w:r>
    </w:p>
    <w:p>
      <w:pPr>
        <w:spacing w:line="560" w:lineRule="exact"/>
        <w:ind w:firstLine="640" w:firstLineChars="200"/>
        <w:rPr>
          <w:rFonts w:eastAsia="仿宋_GB2312"/>
          <w:sz w:val="32"/>
          <w:szCs w:val="32"/>
        </w:rPr>
      </w:pPr>
      <w:r>
        <w:rPr>
          <w:rFonts w:eastAsia="仿宋_GB2312"/>
          <w:sz w:val="32"/>
          <w:szCs w:val="32"/>
        </w:rPr>
        <w:t>支持完善社会保障体系。统筹投入资金13,622万元，关注“一老一小”，做好城乡困难群众最低生活保障、临时救助、流浪乞讨人员救助、孤儿基本生活费等资金保障。安排城乡低保资金4,192万元，特困人员供养资金1,124万元，社会救济救助补助资金440万元，残疾人事业发展补助资金249万元，长寿人员补贴405万元，城乡养老保险补助资金762万元，优抚抚恤补助资金1,548万元，优抚安置补助资金120万元，落实就业创业补助资金680万元，做好大学生、贫困家庭人员、返乡创业人员等群体就业工作。</w:t>
      </w:r>
    </w:p>
    <w:p>
      <w:pPr>
        <w:spacing w:line="560" w:lineRule="exact"/>
        <w:ind w:firstLine="640" w:firstLineChars="200"/>
        <w:rPr>
          <w:rFonts w:eastAsia="仿宋_GB2312"/>
          <w:sz w:val="32"/>
          <w:szCs w:val="32"/>
        </w:rPr>
      </w:pPr>
      <w:r>
        <w:rPr>
          <w:rFonts w:eastAsia="仿宋_GB2312"/>
          <w:sz w:val="32"/>
          <w:szCs w:val="32"/>
        </w:rPr>
        <w:t>支持乡村振兴有效衔接。投入资金4,978万元成功创建省级田园综合体建设试点，支持10个省级扶持村和9个市级扶持村集体经济发展，积极盘活村闲置资产。统筹投入资金3,000万元用于新建高标准农田10000亩，实施10座小型水库除险加固和9座维修养护、1个中型灌区续建配套等项目，保障82560亩耕地灌溉用水。</w:t>
      </w:r>
    </w:p>
    <w:p>
      <w:pPr>
        <w:spacing w:line="560" w:lineRule="exact"/>
        <w:ind w:firstLine="640" w:firstLineChars="200"/>
        <w:rPr>
          <w:rFonts w:eastAsia="仿宋_GB2312"/>
          <w:sz w:val="32"/>
          <w:szCs w:val="32"/>
        </w:rPr>
      </w:pPr>
      <w:r>
        <w:rPr>
          <w:rFonts w:eastAsia="仿宋_GB2312"/>
          <w:sz w:val="32"/>
          <w:szCs w:val="32"/>
        </w:rPr>
        <w:t>支持生态及人居环境建设。统筹投入资金2,436万元，严密防范森林草原火灾、扎实做好防汛抗旱工作。投入资金582万元持续推进农村“厕所革命”，投入资金778万元支持农村生活污水治理“千村示范工程”建设，支持打好蓝天碧水攻坚战、污染防治攻坚战。</w:t>
      </w:r>
    </w:p>
    <w:p>
      <w:pPr>
        <w:spacing w:line="560" w:lineRule="exact"/>
        <w:ind w:firstLine="643" w:firstLineChars="200"/>
        <w:rPr>
          <w:rFonts w:eastAsia="仿宋_GB2312"/>
          <w:b/>
          <w:sz w:val="32"/>
          <w:szCs w:val="32"/>
        </w:rPr>
      </w:pPr>
      <w:r>
        <w:rPr>
          <w:rFonts w:eastAsia="仿宋_GB2312"/>
          <w:b/>
          <w:sz w:val="32"/>
          <w:szCs w:val="32"/>
        </w:rPr>
        <w:t>（3）统筹协调强化保障，有效防范财政风险</w:t>
      </w:r>
    </w:p>
    <w:p>
      <w:pPr>
        <w:spacing w:line="560" w:lineRule="exact"/>
        <w:ind w:firstLine="640" w:firstLineChars="200"/>
        <w:rPr>
          <w:rFonts w:eastAsia="仿宋_GB2312"/>
          <w:sz w:val="32"/>
          <w:szCs w:val="32"/>
        </w:rPr>
      </w:pPr>
      <w:r>
        <w:rPr>
          <w:rFonts w:eastAsia="仿宋_GB2312"/>
          <w:sz w:val="32"/>
          <w:szCs w:val="32"/>
        </w:rPr>
        <w:t>兜牢“三保”支出底线。始终坚持“三保”支出在预算安排和资金拨付上的优先顺序，不断加大“三保”支出力度。特别注意保障教师、医务人员等重点群体工资、养老金等按时发放，并将疫苗接种、核酸检测、患者救治、防疫物资及必要生活物资保供等疫情防控必要支出，作为“三保”支出的重要内容。全年“三保”累计支出130,927万元，其中保基本民生36,560万元、保工资86,046万元、保运转8,321万元。</w:t>
      </w:r>
    </w:p>
    <w:p>
      <w:pPr>
        <w:spacing w:line="560" w:lineRule="exact"/>
        <w:ind w:firstLine="640" w:firstLineChars="200"/>
        <w:rPr>
          <w:rFonts w:eastAsia="仿宋_GB2312"/>
          <w:sz w:val="32"/>
          <w:szCs w:val="32"/>
        </w:rPr>
      </w:pPr>
      <w:r>
        <w:rPr>
          <w:rFonts w:eastAsia="仿宋_GB2312"/>
          <w:sz w:val="32"/>
          <w:szCs w:val="32"/>
        </w:rPr>
        <w:t>加强债务风险防控。统筹一般公共预算、政府性基金、再融资债券编制年度政府债务还本付息预算，严格支出保障序列，在兜牢“三保”支出基础上，优先保障政府债务还本付息资金需求，合理测算未来政府债务支出。全年偿还到期地方政府债务本息27,506万元。严控新增隐性债务，完成年度存量隐性债务化解任务，全县隐性债务规模逐年降低，全县2022年隐性债务风险等级为黄色。</w:t>
      </w:r>
    </w:p>
    <w:p>
      <w:pPr>
        <w:spacing w:line="560" w:lineRule="exact"/>
        <w:ind w:firstLine="640" w:firstLineChars="200"/>
        <w:rPr>
          <w:rFonts w:eastAsia="仿宋_GB2312"/>
          <w:sz w:val="32"/>
          <w:szCs w:val="32"/>
        </w:rPr>
      </w:pPr>
      <w:r>
        <w:rPr>
          <w:rFonts w:eastAsia="仿宋_GB2312"/>
          <w:sz w:val="32"/>
          <w:szCs w:val="32"/>
        </w:rPr>
        <w:t>守住财经纪律“高压线”。对省财政厅“6+4”复核检查出的具体问题和巡查、审计发现的问题实行清单制管理，严格按整改措施和整改时限，逐项整改销号，全年共完成问题整改12个。强化财会监督，开展维护财经秩序、“三公”经费等专项检查，发现7类、47个问题，督促整改47个，同时全面完成巡查、审计发现问题的整改工作。</w:t>
      </w:r>
    </w:p>
    <w:p>
      <w:pPr>
        <w:spacing w:line="560" w:lineRule="exact"/>
        <w:ind w:firstLine="643" w:firstLineChars="200"/>
        <w:rPr>
          <w:rFonts w:eastAsia="仿宋_GB2312"/>
          <w:b/>
          <w:sz w:val="32"/>
          <w:szCs w:val="32"/>
        </w:rPr>
      </w:pPr>
      <w:r>
        <w:rPr>
          <w:rFonts w:eastAsia="仿宋_GB2312"/>
          <w:b/>
          <w:sz w:val="32"/>
          <w:szCs w:val="32"/>
        </w:rPr>
        <w:t>（4）扎实推进各项工作，持续深化财政管理</w:t>
      </w:r>
    </w:p>
    <w:p>
      <w:pPr>
        <w:spacing w:line="560" w:lineRule="exact"/>
        <w:ind w:firstLine="640" w:firstLineChars="200"/>
        <w:rPr>
          <w:rFonts w:eastAsia="仿宋_GB2312"/>
          <w:sz w:val="32"/>
          <w:szCs w:val="32"/>
        </w:rPr>
      </w:pPr>
      <w:r>
        <w:rPr>
          <w:rFonts w:eastAsia="仿宋_GB2312"/>
          <w:sz w:val="32"/>
          <w:szCs w:val="32"/>
        </w:rPr>
        <w:t>持续推进预算绩效管理。按照省财政厅统一部署，确保预算管理一体化系统按时上线运行，实现财政预算闭环管理。加强事前绩效管控，切实压减低效无效资金，提升预算编制的科学性和精准性。全面开展绩效监控，通过部门自行监控和财政重点监控相结合，对部门整体预算、项目预算的执行情况和绩效目标实现情况全面开展“双监控”，监控资金额度达303,064万元。深入实施绩效评价，全县部门整体支出自评金额315,086万元，其中：自评项目480个、涉及金额87,864万元。强化绩效信息公开，主动接受社会监督，有力地提升了盐边县公共财政运转的透明度和公信力。</w:t>
      </w:r>
    </w:p>
    <w:p>
      <w:pPr>
        <w:spacing w:line="560" w:lineRule="exact"/>
        <w:ind w:firstLine="640" w:firstLineChars="200"/>
        <w:rPr>
          <w:rFonts w:eastAsia="仿宋_GB2312"/>
          <w:sz w:val="32"/>
          <w:szCs w:val="32"/>
        </w:rPr>
      </w:pPr>
      <w:r>
        <w:rPr>
          <w:rFonts w:eastAsia="仿宋_GB2312"/>
          <w:sz w:val="32"/>
          <w:szCs w:val="32"/>
        </w:rPr>
        <w:t>提高财政投资评审效率。2022年完成评审项目175个，送审总额344,641万元，审定金额310,792万元，审减33,849万元。其中：预算招标控制价及增量过程评审165个，审减率为16.13%；概算评审9个，审减率为4.98%；结算评审1个，审减率为19.73%，切实提升财政投资评审效能，当好政府投资“守门员”，助力我县经济社会发展。</w:t>
      </w:r>
    </w:p>
    <w:p>
      <w:pPr>
        <w:spacing w:line="560" w:lineRule="exact"/>
        <w:ind w:firstLine="640" w:firstLineChars="200"/>
        <w:rPr>
          <w:rFonts w:eastAsia="仿宋_GB2312"/>
          <w:sz w:val="32"/>
          <w:szCs w:val="32"/>
        </w:rPr>
      </w:pPr>
      <w:r>
        <w:rPr>
          <w:rFonts w:eastAsia="仿宋_GB2312"/>
          <w:sz w:val="32"/>
          <w:szCs w:val="32"/>
        </w:rPr>
        <w:t>依法强化政府采购监管。坚持未编制政府采购预算的一律不予政府采购，将政府采购纳入预算管理一体化系统平台管理。2022年共组织采购118场次，政府采购预算15,825万元，实际采购14,927万元，节约资金898万元，节约率5.67%。加强对政府采购活动的监督工作，全年审核信息发布299条，处理投诉和检查信息8条。</w:t>
      </w:r>
    </w:p>
    <w:p>
      <w:pPr>
        <w:spacing w:line="560" w:lineRule="exact"/>
        <w:ind w:firstLine="640" w:firstLineChars="200"/>
        <w:rPr>
          <w:rFonts w:eastAsia="仿宋_GB2312"/>
          <w:sz w:val="32"/>
          <w:szCs w:val="32"/>
        </w:rPr>
      </w:pPr>
      <w:r>
        <w:rPr>
          <w:rFonts w:eastAsia="仿宋_GB2312"/>
          <w:sz w:val="32"/>
          <w:szCs w:val="32"/>
        </w:rPr>
        <w:t>着力化解财政运行风险。全面落实暂付款清理消化工作，2022年共化解暂付款8,740万元（其中:县本级8,280万元、乡镇级460万元）。进一步盘活存量资金，全年累计盘活42,303万元，有效提高财政资金使用效益。</w:t>
      </w:r>
    </w:p>
    <w:p>
      <w:pPr>
        <w:spacing w:line="560" w:lineRule="exact"/>
        <w:ind w:firstLine="640" w:firstLineChars="200"/>
        <w:rPr>
          <w:rFonts w:eastAsia="仿宋_GB2312"/>
          <w:sz w:val="32"/>
          <w:szCs w:val="32"/>
        </w:rPr>
      </w:pPr>
      <w:r>
        <w:rPr>
          <w:rFonts w:eastAsia="仿宋_GB2312"/>
          <w:sz w:val="32"/>
          <w:szCs w:val="32"/>
        </w:rPr>
        <w:t>积极办理代表委员提案。全县财政在坚决落实人大审查意见、依法履行财政职责基础上，密切配合人大深化预算联网监督，支持人大预算审查监督重点向支出预算和政策拓展，主动接受人大代表和政协委员监督，积极办理县政协委员提案6件，办结率100%、满意率100%，并认真听取吸纳意见，不断提升理财能力。</w:t>
      </w:r>
    </w:p>
    <w:p>
      <w:pPr>
        <w:spacing w:line="560" w:lineRule="exact"/>
        <w:ind w:firstLine="640" w:firstLineChars="200"/>
        <w:rPr>
          <w:rFonts w:eastAsia="楷体_GB2312"/>
          <w:sz w:val="32"/>
          <w:szCs w:val="32"/>
        </w:rPr>
      </w:pPr>
      <w:r>
        <w:rPr>
          <w:rFonts w:eastAsia="楷体_GB2312"/>
          <w:sz w:val="32"/>
          <w:szCs w:val="32"/>
        </w:rPr>
        <w:t>（二）结果应用情况。</w:t>
      </w:r>
    </w:p>
    <w:p>
      <w:pPr>
        <w:spacing w:line="560" w:lineRule="exact"/>
        <w:ind w:firstLine="640" w:firstLineChars="200"/>
        <w:rPr>
          <w:rFonts w:eastAsia="仿宋_GB2312"/>
          <w:sz w:val="32"/>
          <w:szCs w:val="32"/>
        </w:rPr>
      </w:pPr>
      <w:r>
        <w:rPr>
          <w:rFonts w:eastAsia="仿宋_GB2312"/>
          <w:sz w:val="32"/>
          <w:szCs w:val="32"/>
        </w:rPr>
        <w:t>绩效自评对规范财政资金支出管理、强化绩效目标管理理念、加强资金使用效率起到了积极的促进作用。我局将此次绩效自评的结果运用到2023年工作统筹安排、项目资金合理分配使用上，进一步提高工作效率，保质保量完成县委、县政府以及上级业务主管部门交办的各项工作。</w:t>
      </w:r>
    </w:p>
    <w:p>
      <w:pPr>
        <w:spacing w:line="560" w:lineRule="exact"/>
        <w:ind w:firstLine="640" w:firstLineChars="200"/>
        <w:rPr>
          <w:rFonts w:eastAsia="仿宋_GB2312"/>
          <w:sz w:val="32"/>
          <w:szCs w:val="32"/>
        </w:rPr>
      </w:pPr>
      <w:r>
        <w:rPr>
          <w:rFonts w:eastAsia="仿宋_GB2312"/>
          <w:sz w:val="32"/>
          <w:szCs w:val="32"/>
        </w:rPr>
        <w:t>绩效自评工作完成后将结果在“盐边县公众信息网”财政信息版块下的“财政绩效评价信息专栏”进行公示。</w:t>
      </w:r>
    </w:p>
    <w:p>
      <w:pPr>
        <w:spacing w:line="560" w:lineRule="exact"/>
        <w:ind w:firstLine="640" w:firstLineChars="200"/>
        <w:rPr>
          <w:rFonts w:eastAsia="黑体"/>
          <w:sz w:val="32"/>
          <w:szCs w:val="32"/>
        </w:rPr>
      </w:pPr>
      <w:bookmarkStart w:id="122" w:name="_Toc19618_WPSOffice_Level2"/>
      <w:bookmarkStart w:id="123" w:name="_Toc20382_WPSOffice_Level2"/>
      <w:r>
        <w:rPr>
          <w:rFonts w:eastAsia="黑体"/>
          <w:sz w:val="32"/>
          <w:szCs w:val="32"/>
        </w:rPr>
        <w:t>五、评价结论及建议</w:t>
      </w:r>
      <w:bookmarkEnd w:id="122"/>
      <w:bookmarkEnd w:id="123"/>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通过自评，2022年度县财政局各项经费达到对应的绩效目标，圆满完成了县委、县政府下达的各项财政相关工作任务。达到预期绩效目标，总体较满意。</w:t>
      </w:r>
    </w:p>
    <w:p>
      <w:pPr>
        <w:spacing w:line="560" w:lineRule="exact"/>
        <w:ind w:firstLine="640" w:firstLineChars="200"/>
        <w:rPr>
          <w:rFonts w:eastAsia="楷体_GB2312"/>
          <w:sz w:val="32"/>
          <w:szCs w:val="32"/>
        </w:rPr>
      </w:pPr>
      <w:r>
        <w:rPr>
          <w:rFonts w:eastAsia="楷体_GB2312"/>
          <w:sz w:val="32"/>
          <w:szCs w:val="32"/>
        </w:rPr>
        <w:t>（二）存在问题。</w:t>
      </w:r>
    </w:p>
    <w:p>
      <w:pPr>
        <w:spacing w:line="560" w:lineRule="exact"/>
        <w:ind w:firstLine="640" w:firstLineChars="200"/>
        <w:rPr>
          <w:rFonts w:eastAsia="仿宋_GB2312"/>
          <w:sz w:val="32"/>
          <w:szCs w:val="32"/>
        </w:rPr>
      </w:pPr>
      <w:r>
        <w:rPr>
          <w:rFonts w:eastAsia="仿宋_GB2312"/>
          <w:sz w:val="32"/>
          <w:szCs w:val="32"/>
        </w:rPr>
        <w:t>1.绩效目标设立不够明确、细化和量化。项目单位虽然设立了项目资金绩效目标，但目标不够明确、细化和量化。</w:t>
      </w:r>
    </w:p>
    <w:p>
      <w:pPr>
        <w:spacing w:line="560" w:lineRule="exact"/>
        <w:ind w:firstLine="640" w:firstLineChars="200"/>
        <w:rPr>
          <w:rFonts w:eastAsia="仿宋_GB2312"/>
          <w:sz w:val="32"/>
          <w:szCs w:val="32"/>
        </w:rPr>
      </w:pPr>
      <w:r>
        <w:rPr>
          <w:rFonts w:eastAsia="仿宋_GB2312"/>
          <w:sz w:val="32"/>
          <w:szCs w:val="32"/>
        </w:rPr>
        <w:t>2.资金使用效益有待进一步提高。</w:t>
      </w:r>
    </w:p>
    <w:p>
      <w:pPr>
        <w:spacing w:line="560" w:lineRule="exact"/>
        <w:ind w:firstLine="640" w:firstLineChars="200"/>
        <w:rPr>
          <w:rFonts w:eastAsia="楷体_GB2312"/>
          <w:sz w:val="32"/>
          <w:szCs w:val="32"/>
        </w:rPr>
      </w:pPr>
      <w:r>
        <w:rPr>
          <w:rFonts w:eastAsia="楷体_GB2312"/>
          <w:sz w:val="32"/>
          <w:szCs w:val="32"/>
        </w:rPr>
        <w:t>（三）改进建议。</w:t>
      </w:r>
    </w:p>
    <w:p>
      <w:pPr>
        <w:spacing w:line="560" w:lineRule="exact"/>
        <w:ind w:firstLine="640" w:firstLineChars="200"/>
        <w:rPr>
          <w:rFonts w:eastAsia="仿宋_GB2312"/>
          <w:sz w:val="32"/>
          <w:szCs w:val="32"/>
        </w:rPr>
      </w:pPr>
      <w:r>
        <w:rPr>
          <w:rFonts w:eastAsia="仿宋_GB2312"/>
          <w:sz w:val="32"/>
          <w:szCs w:val="32"/>
        </w:rPr>
        <w:t>1.遵循预算管理办法，从严控制年中追加预算规模。对于年度无法预计的临时追加的相关工作所需经费，严格按照预算调整追加程序，逐级申报报批，有效降低预算控制率。</w:t>
      </w:r>
    </w:p>
    <w:p>
      <w:pPr>
        <w:spacing w:line="560" w:lineRule="exact"/>
        <w:ind w:firstLine="640" w:firstLineChars="200"/>
        <w:rPr>
          <w:rFonts w:eastAsia="仿宋_GB2312"/>
          <w:sz w:val="32"/>
          <w:szCs w:val="32"/>
        </w:rPr>
      </w:pPr>
      <w:r>
        <w:rPr>
          <w:rFonts w:eastAsia="仿宋_GB2312"/>
          <w:sz w:val="32"/>
          <w:szCs w:val="32"/>
        </w:rPr>
        <w:t>2.保障预算执行进度。加快推进项目实施进度，加强项目开展进度的跟踪，开展项目绩效的跟踪和评价，确保项目绩效的完成，发挥资金的使用效益，提高预算完成率。</w:t>
      </w:r>
    </w:p>
    <w:p>
      <w:pPr>
        <w:spacing w:line="560" w:lineRule="exact"/>
        <w:ind w:firstLine="640" w:firstLineChars="200"/>
        <w:rPr>
          <w:rFonts w:eastAsia="仿宋_GB2312"/>
          <w:sz w:val="32"/>
          <w:szCs w:val="32"/>
        </w:rPr>
      </w:pPr>
    </w:p>
    <w:p>
      <w:pPr>
        <w:spacing w:line="560" w:lineRule="exact"/>
        <w:ind w:left="1598" w:leftChars="304" w:hanging="960" w:hangingChars="300"/>
        <w:rPr>
          <w:rFonts w:eastAsia="仿宋_GB2312"/>
          <w:sz w:val="32"/>
          <w:szCs w:val="32"/>
        </w:rPr>
      </w:pPr>
      <w:bookmarkStart w:id="124" w:name="_Toc20917_WPSOffice_Level2"/>
      <w:bookmarkStart w:id="125" w:name="_Toc16992_WPSOffice_Level2"/>
      <w:r>
        <w:rPr>
          <w:rFonts w:eastAsia="仿宋_GB2312"/>
          <w:sz w:val="32"/>
          <w:szCs w:val="32"/>
        </w:rPr>
        <w:t>附件：2022年度部门预算项目支出绩效自评表（详见附件）</w:t>
      </w:r>
      <w:bookmarkEnd w:id="124"/>
      <w:bookmarkEnd w:id="125"/>
    </w:p>
    <w:p>
      <w:pPr>
        <w:pStyle w:val="7"/>
        <w:rPr>
          <w:rFonts w:ascii="仿宋" w:hAnsi="仿宋" w:eastAsia="仿宋"/>
          <w:color w:val="000000"/>
          <w:lang w:val="zh-CN"/>
        </w:rPr>
      </w:pPr>
    </w:p>
    <w:p>
      <w:pPr>
        <w:pStyle w:val="7"/>
        <w:rPr>
          <w:rFonts w:ascii="仿宋" w:hAnsi="仿宋" w:eastAsia="仿宋"/>
          <w:color w:val="000000"/>
          <w:lang w:val="zh-CN"/>
        </w:rPr>
      </w:pPr>
    </w:p>
    <w:p>
      <w:pPr>
        <w:pStyle w:val="7"/>
        <w:rPr>
          <w:rFonts w:ascii="仿宋" w:hAnsi="仿宋" w:eastAsia="仿宋"/>
          <w:color w:val="000000"/>
          <w:lang w:val="zh-CN"/>
        </w:rPr>
      </w:pPr>
    </w:p>
    <w:p>
      <w:pPr>
        <w:pStyle w:val="7"/>
        <w:rPr>
          <w:rFonts w:ascii="仿宋" w:hAnsi="仿宋" w:eastAsia="仿宋"/>
          <w:color w:val="000000"/>
          <w:lang w:val="zh-CN"/>
        </w:rPr>
      </w:pPr>
    </w:p>
    <w:p>
      <w:pPr>
        <w:pStyle w:val="7"/>
        <w:rPr>
          <w:rFonts w:ascii="仿宋" w:hAnsi="仿宋" w:eastAsia="仿宋"/>
          <w:color w:val="000000"/>
          <w:lang w:val="zh-CN"/>
        </w:rPr>
      </w:pPr>
    </w:p>
    <w:p>
      <w:pPr>
        <w:pStyle w:val="7"/>
        <w:rPr>
          <w:rFonts w:ascii="仿宋" w:hAnsi="仿宋" w:eastAsia="仿宋"/>
          <w:color w:val="000000"/>
          <w:lang w:val="zh-CN"/>
        </w:rPr>
      </w:pPr>
    </w:p>
    <w:p>
      <w:pPr>
        <w:pStyle w:val="7"/>
        <w:ind w:firstLine="0"/>
        <w:rPr>
          <w:rFonts w:ascii="仿宋" w:hAnsi="仿宋" w:eastAsia="仿宋"/>
          <w:color w:val="000000"/>
          <w:lang w:val="zh-CN"/>
        </w:rPr>
      </w:pPr>
    </w:p>
    <w:p>
      <w:pPr>
        <w:pStyle w:val="7"/>
        <w:rPr>
          <w:rFonts w:ascii="仿宋" w:hAnsi="仿宋" w:eastAsia="仿宋"/>
          <w:color w:val="000000"/>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pStyle w:val="9"/>
        <w:spacing w:before="93"/>
        <w:rPr>
          <w:rFonts w:hAnsi="宋体" w:cs="宋体"/>
          <w:b/>
          <w:sz w:val="32"/>
          <w:szCs w:val="32"/>
          <w:shd w:val="clear" w:color="auto" w:fill="FFFFFF"/>
          <w:lang w:val="zh-CN"/>
        </w:rPr>
      </w:pPr>
    </w:p>
    <w:p>
      <w:pPr>
        <w:spacing w:line="556" w:lineRule="exact"/>
        <w:rPr>
          <w:rFonts w:eastAsia="黑体"/>
          <w:sz w:val="32"/>
          <w:szCs w:val="32"/>
        </w:rPr>
      </w:pPr>
      <w:r>
        <w:rPr>
          <w:rFonts w:eastAsia="黑体"/>
          <w:sz w:val="32"/>
          <w:szCs w:val="32"/>
        </w:rPr>
        <w:t>附件2</w:t>
      </w:r>
    </w:p>
    <w:p>
      <w:pPr>
        <w:pStyle w:val="11"/>
        <w:spacing w:line="556" w:lineRule="exact"/>
        <w:ind w:firstLine="640" w:firstLineChars="200"/>
        <w:jc w:val="left"/>
        <w:rPr>
          <w:rFonts w:ascii="Times New Roman" w:hAnsi="Times New Roman" w:eastAsia="仿宋_GB2312"/>
          <w:sz w:val="32"/>
          <w:szCs w:val="32"/>
        </w:rPr>
      </w:pPr>
    </w:p>
    <w:p>
      <w:pPr>
        <w:spacing w:line="556" w:lineRule="exact"/>
        <w:jc w:val="center"/>
        <w:rPr>
          <w:rFonts w:eastAsia="方正小标宋_GBK"/>
          <w:sz w:val="44"/>
          <w:szCs w:val="44"/>
        </w:rPr>
      </w:pPr>
      <w:bookmarkStart w:id="126" w:name="_Toc13289_WPSOffice_Level2"/>
      <w:bookmarkStart w:id="127" w:name="_Toc12553_WPSOffice_Level2"/>
      <w:r>
        <w:rPr>
          <w:rFonts w:eastAsia="方正小标宋_GBK"/>
          <w:sz w:val="44"/>
          <w:szCs w:val="44"/>
        </w:rPr>
        <w:t>盐边县财政局</w:t>
      </w:r>
      <w:bookmarkEnd w:id="126"/>
      <w:bookmarkEnd w:id="127"/>
    </w:p>
    <w:p>
      <w:pPr>
        <w:spacing w:line="556" w:lineRule="exact"/>
        <w:jc w:val="center"/>
        <w:rPr>
          <w:rFonts w:eastAsia="方正小标宋_GBK"/>
          <w:sz w:val="44"/>
          <w:szCs w:val="44"/>
        </w:rPr>
      </w:pPr>
      <w:bookmarkStart w:id="128" w:name="_Toc1836_WPSOffice_Level2"/>
      <w:bookmarkStart w:id="129" w:name="_Toc8183_WPSOffice_Level2"/>
      <w:r>
        <w:rPr>
          <w:rFonts w:eastAsia="方正小标宋_GBK"/>
          <w:sz w:val="44"/>
          <w:szCs w:val="44"/>
        </w:rPr>
        <w:t>财政局网络及金财网相关经费资金绩效</w:t>
      </w:r>
      <w:bookmarkEnd w:id="128"/>
    </w:p>
    <w:p>
      <w:pPr>
        <w:spacing w:line="556" w:lineRule="exact"/>
        <w:jc w:val="center"/>
        <w:rPr>
          <w:rFonts w:eastAsia="方正小标宋_GBK"/>
          <w:sz w:val="44"/>
          <w:szCs w:val="44"/>
        </w:rPr>
      </w:pPr>
      <w:bookmarkStart w:id="130" w:name="_Toc31134_WPSOffice_Level2"/>
      <w:r>
        <w:rPr>
          <w:rFonts w:eastAsia="方正小标宋_GBK"/>
          <w:sz w:val="44"/>
          <w:szCs w:val="44"/>
        </w:rPr>
        <w:t>自评报告</w:t>
      </w:r>
      <w:bookmarkEnd w:id="129"/>
      <w:bookmarkEnd w:id="130"/>
    </w:p>
    <w:p>
      <w:pPr>
        <w:pStyle w:val="11"/>
        <w:spacing w:line="556" w:lineRule="exact"/>
        <w:ind w:firstLine="640" w:firstLineChars="200"/>
        <w:jc w:val="left"/>
        <w:rPr>
          <w:rFonts w:ascii="Times New Roman" w:hAnsi="Times New Roman" w:eastAsia="仿宋_GB2312"/>
          <w:sz w:val="32"/>
          <w:szCs w:val="32"/>
        </w:rPr>
      </w:pPr>
    </w:p>
    <w:p>
      <w:pPr>
        <w:spacing w:line="556" w:lineRule="exact"/>
        <w:ind w:firstLine="640" w:firstLineChars="200"/>
        <w:rPr>
          <w:rFonts w:eastAsia="黑体"/>
          <w:sz w:val="32"/>
          <w:szCs w:val="32"/>
        </w:rPr>
      </w:pPr>
      <w:bookmarkStart w:id="131" w:name="_Toc12033_WPSOffice_Level2"/>
      <w:bookmarkStart w:id="132" w:name="_Toc29229_WPSOffice_Level2"/>
      <w:r>
        <w:rPr>
          <w:rFonts w:eastAsia="黑体"/>
          <w:sz w:val="32"/>
          <w:szCs w:val="32"/>
        </w:rPr>
        <w:t>一、项目概况</w:t>
      </w:r>
      <w:bookmarkEnd w:id="131"/>
      <w:bookmarkEnd w:id="132"/>
    </w:p>
    <w:p>
      <w:pPr>
        <w:spacing w:line="556" w:lineRule="exact"/>
        <w:ind w:firstLine="640" w:firstLineChars="200"/>
        <w:rPr>
          <w:rFonts w:eastAsia="楷体_GB2312"/>
          <w:sz w:val="32"/>
          <w:szCs w:val="32"/>
        </w:rPr>
      </w:pPr>
      <w:r>
        <w:rPr>
          <w:rFonts w:eastAsia="楷体_GB2312"/>
          <w:sz w:val="32"/>
          <w:szCs w:val="32"/>
        </w:rPr>
        <w:t>（一）基本情况。</w:t>
      </w:r>
    </w:p>
    <w:p>
      <w:pPr>
        <w:spacing w:line="556" w:lineRule="exact"/>
        <w:ind w:firstLine="640" w:firstLineChars="200"/>
        <w:rPr>
          <w:rFonts w:eastAsia="仿宋_GB2312"/>
          <w:sz w:val="32"/>
          <w:szCs w:val="32"/>
        </w:rPr>
      </w:pPr>
      <w:r>
        <w:rPr>
          <w:rFonts w:eastAsia="仿宋_GB2312"/>
          <w:sz w:val="32"/>
          <w:szCs w:val="32"/>
        </w:rPr>
        <w:t>金财网及各项应用系统（包括行政事业单位资产管理系统、预算管理一体化系统、国库总预算软件、扶贫监控平台、债务管理平台等），供我县预算单位及财政局业务股室使用，满足全县预算单位预算编制、资金支付、资产管理、账务处理等财务工作，同时满足财政局各业务股室工作需要，保障各项财政业务正常开展。</w:t>
      </w:r>
    </w:p>
    <w:p>
      <w:pPr>
        <w:spacing w:line="556" w:lineRule="exact"/>
        <w:ind w:firstLine="640" w:firstLineChars="200"/>
        <w:rPr>
          <w:rFonts w:eastAsia="楷体_GB2312"/>
          <w:sz w:val="32"/>
          <w:szCs w:val="32"/>
        </w:rPr>
      </w:pPr>
      <w:r>
        <w:rPr>
          <w:rFonts w:eastAsia="楷体_GB2312"/>
          <w:sz w:val="32"/>
          <w:szCs w:val="32"/>
        </w:rPr>
        <w:t>（二）项目绩效目标。</w:t>
      </w:r>
    </w:p>
    <w:p>
      <w:pPr>
        <w:spacing w:line="556" w:lineRule="exact"/>
        <w:ind w:firstLine="640" w:firstLineChars="200"/>
        <w:rPr>
          <w:rFonts w:eastAsia="仿宋_GB2312"/>
          <w:sz w:val="32"/>
          <w:szCs w:val="32"/>
        </w:rPr>
      </w:pPr>
      <w:r>
        <w:rPr>
          <w:rFonts w:eastAsia="仿宋_GB2312"/>
          <w:sz w:val="32"/>
          <w:szCs w:val="32"/>
        </w:rPr>
        <w:t>保障财政局各网络线路畅通；保障财政局各业务系统运行正常；保障信息中心机房及各硬件设备运行正常；确保财政系统网络数据安全，保障各项财政业务正常开展，保障全县各单位资金使用。及时解决全县各单位在使用系统过程中遇到的问题。指导和培训全县各单位使用各项应用系统正常开展相应财务工作。</w:t>
      </w:r>
    </w:p>
    <w:p>
      <w:pPr>
        <w:spacing w:line="556" w:lineRule="exact"/>
        <w:ind w:firstLine="640" w:firstLineChars="200"/>
        <w:rPr>
          <w:rFonts w:eastAsia="黑体"/>
          <w:sz w:val="32"/>
          <w:szCs w:val="32"/>
        </w:rPr>
      </w:pPr>
      <w:bookmarkStart w:id="133" w:name="_Toc9908_WPSOffice_Level2"/>
      <w:bookmarkStart w:id="134" w:name="_Toc19839_WPSOffice_Level2"/>
      <w:r>
        <w:rPr>
          <w:rFonts w:eastAsia="黑体"/>
          <w:sz w:val="32"/>
          <w:szCs w:val="32"/>
        </w:rPr>
        <w:t>二、项目资金申报及使用情况</w:t>
      </w:r>
      <w:bookmarkEnd w:id="133"/>
      <w:bookmarkEnd w:id="134"/>
    </w:p>
    <w:p>
      <w:pPr>
        <w:spacing w:line="556" w:lineRule="exact"/>
        <w:ind w:firstLine="640" w:firstLineChars="200"/>
        <w:rPr>
          <w:rFonts w:eastAsia="楷体_GB2312"/>
          <w:sz w:val="32"/>
          <w:szCs w:val="32"/>
        </w:rPr>
      </w:pPr>
      <w:r>
        <w:rPr>
          <w:rFonts w:eastAsia="楷体_GB2312"/>
          <w:sz w:val="32"/>
          <w:szCs w:val="32"/>
        </w:rPr>
        <w:t>（一）项目资金申报及批复情况。</w:t>
      </w:r>
    </w:p>
    <w:p>
      <w:pPr>
        <w:spacing w:line="556" w:lineRule="exact"/>
        <w:ind w:firstLine="640" w:firstLineChars="200"/>
        <w:rPr>
          <w:rFonts w:eastAsia="仿宋_GB2312"/>
          <w:sz w:val="32"/>
          <w:szCs w:val="32"/>
        </w:rPr>
      </w:pPr>
      <w:r>
        <w:rPr>
          <w:rFonts w:eastAsia="仿宋_GB2312"/>
          <w:sz w:val="32"/>
          <w:szCs w:val="32"/>
        </w:rPr>
        <w:t>根据盐边财政〔2022〕8号文件年初预算批复下达资金155.75万元。</w:t>
      </w:r>
    </w:p>
    <w:p>
      <w:pPr>
        <w:spacing w:line="556"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56" w:lineRule="exact"/>
        <w:ind w:firstLine="640" w:firstLineChars="200"/>
        <w:rPr>
          <w:rFonts w:eastAsia="仿宋_GB2312"/>
          <w:sz w:val="32"/>
          <w:szCs w:val="32"/>
        </w:rPr>
      </w:pPr>
      <w:r>
        <w:rPr>
          <w:rFonts w:eastAsia="仿宋_GB2312"/>
          <w:sz w:val="32"/>
          <w:szCs w:val="32"/>
        </w:rPr>
        <w:t>该项目计划资金155.75万元，到位资金155.75万元，全部是县级财政资金，到位率100%。项目支出主要包括金财网网格租赁费、行政事业单位资产信息维护费、政府财政指标管理系统维护费、债务金融3个服务平台维护费、国库股总会计软件及出纳软件维护费、非税收入收缴管理系统维护费及财政局办公设备运行维护费。</w:t>
      </w:r>
    </w:p>
    <w:p>
      <w:pPr>
        <w:spacing w:line="556" w:lineRule="exact"/>
        <w:ind w:firstLine="640" w:firstLineChars="200"/>
        <w:rPr>
          <w:rFonts w:eastAsia="楷体_GB2312"/>
          <w:sz w:val="32"/>
          <w:szCs w:val="32"/>
        </w:rPr>
      </w:pPr>
      <w:r>
        <w:rPr>
          <w:rFonts w:eastAsia="楷体_GB2312"/>
          <w:sz w:val="32"/>
          <w:szCs w:val="32"/>
        </w:rPr>
        <w:t>（三）项目财务管理情况。</w:t>
      </w:r>
    </w:p>
    <w:p>
      <w:pPr>
        <w:spacing w:line="556" w:lineRule="exact"/>
        <w:ind w:firstLine="640" w:firstLineChars="200"/>
        <w:rPr>
          <w:rFonts w:eastAsia="仿宋_GB2312"/>
          <w:sz w:val="32"/>
          <w:szCs w:val="32"/>
        </w:rPr>
      </w:pPr>
      <w:r>
        <w:rPr>
          <w:rFonts w:eastAsia="仿宋_GB2312"/>
          <w:sz w:val="32"/>
          <w:szCs w:val="32"/>
        </w:rPr>
        <w:t>一是建立健全了专项经费管理制度，严格按照专项资金管理使用的有关要求，紧密结合专项工作实际和现有的财经纪律及规章，进一步强化了内部控制制度，不断推动专项财务工作规范化、制度化，落实并明确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严格执行项目有关制度规定，做到专款专用，无挪用和截留现象。支出合理，没有列支与项目内容无关的费用。</w:t>
      </w:r>
    </w:p>
    <w:p>
      <w:pPr>
        <w:spacing w:line="556" w:lineRule="exact"/>
        <w:ind w:firstLine="640" w:firstLineChars="200"/>
        <w:rPr>
          <w:rFonts w:eastAsia="黑体"/>
          <w:sz w:val="32"/>
          <w:szCs w:val="32"/>
        </w:rPr>
      </w:pPr>
      <w:bookmarkStart w:id="135" w:name="_Toc13784_WPSOffice_Level2"/>
      <w:bookmarkStart w:id="136" w:name="_Toc3707_WPSOffice_Level2"/>
      <w:r>
        <w:rPr>
          <w:rFonts w:eastAsia="黑体"/>
          <w:sz w:val="32"/>
          <w:szCs w:val="32"/>
        </w:rPr>
        <w:t>三、项目实施及管理情况</w:t>
      </w:r>
      <w:bookmarkEnd w:id="135"/>
      <w:bookmarkEnd w:id="136"/>
    </w:p>
    <w:p>
      <w:pPr>
        <w:spacing w:line="556" w:lineRule="exact"/>
        <w:ind w:firstLine="640" w:firstLineChars="200"/>
        <w:rPr>
          <w:rFonts w:eastAsia="仿宋_GB2312"/>
          <w:sz w:val="32"/>
          <w:szCs w:val="32"/>
        </w:rPr>
      </w:pPr>
      <w:r>
        <w:rPr>
          <w:rFonts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pPr>
        <w:spacing w:line="556" w:lineRule="exact"/>
        <w:ind w:firstLine="640" w:firstLineChars="200"/>
        <w:rPr>
          <w:rFonts w:eastAsia="黑体"/>
          <w:sz w:val="32"/>
          <w:szCs w:val="32"/>
        </w:rPr>
      </w:pPr>
      <w:bookmarkStart w:id="137" w:name="_Toc11492_WPSOffice_Level2"/>
      <w:bookmarkStart w:id="138" w:name="_Toc14248_WPSOffice_Level2"/>
      <w:r>
        <w:rPr>
          <w:rFonts w:eastAsia="黑体"/>
          <w:sz w:val="32"/>
          <w:szCs w:val="32"/>
        </w:rPr>
        <w:t>四、项目绩效情况</w:t>
      </w:r>
      <w:bookmarkEnd w:id="137"/>
      <w:bookmarkEnd w:id="138"/>
    </w:p>
    <w:p>
      <w:pPr>
        <w:spacing w:line="556" w:lineRule="exact"/>
        <w:ind w:firstLine="640" w:firstLineChars="200"/>
        <w:rPr>
          <w:rFonts w:eastAsia="楷体_GB2312"/>
          <w:sz w:val="32"/>
          <w:szCs w:val="32"/>
        </w:rPr>
      </w:pPr>
      <w:r>
        <w:rPr>
          <w:rFonts w:eastAsia="楷体_GB2312"/>
          <w:sz w:val="32"/>
          <w:szCs w:val="32"/>
        </w:rPr>
        <w:t>（一）项目完成情况。</w:t>
      </w:r>
    </w:p>
    <w:p>
      <w:pPr>
        <w:spacing w:line="556" w:lineRule="exact"/>
        <w:ind w:firstLine="640" w:firstLineChars="200"/>
        <w:rPr>
          <w:rFonts w:eastAsia="仿宋_GB2312"/>
          <w:sz w:val="32"/>
          <w:szCs w:val="32"/>
        </w:rPr>
      </w:pPr>
      <w:r>
        <w:rPr>
          <w:rFonts w:eastAsia="仿宋_GB2312"/>
          <w:sz w:val="32"/>
          <w:szCs w:val="32"/>
        </w:rPr>
        <w:t>项目支出主要包括金财网网格租赁费、行政事业单位资产信息维护费、预算管理一体化系统维护费、债务金融3个服务平台维护费、国库股总会计软件及出纳软件维护费、非税收入收缴管理系统维护费及财政局办公设备运行维护费。所有资金使用严格按照有关财务制度执行。完成整个项目支出155.75万元。</w:t>
      </w:r>
    </w:p>
    <w:p>
      <w:pPr>
        <w:spacing w:line="556" w:lineRule="exact"/>
        <w:ind w:firstLine="640" w:firstLineChars="200"/>
        <w:rPr>
          <w:rFonts w:eastAsia="楷体_GB2312"/>
          <w:sz w:val="32"/>
          <w:szCs w:val="32"/>
        </w:rPr>
      </w:pPr>
      <w:r>
        <w:rPr>
          <w:rFonts w:eastAsia="楷体_GB2312"/>
          <w:sz w:val="32"/>
          <w:szCs w:val="32"/>
        </w:rPr>
        <w:t>（二）项目效益情况。</w:t>
      </w:r>
    </w:p>
    <w:p>
      <w:pPr>
        <w:spacing w:line="556" w:lineRule="exact"/>
        <w:ind w:firstLine="640" w:firstLineChars="200"/>
        <w:rPr>
          <w:rFonts w:eastAsia="仿宋_GB2312"/>
          <w:sz w:val="32"/>
          <w:szCs w:val="32"/>
        </w:rPr>
      </w:pPr>
      <w:r>
        <w:rPr>
          <w:rFonts w:eastAsia="仿宋_GB2312"/>
          <w:sz w:val="32"/>
          <w:szCs w:val="32"/>
        </w:rPr>
        <w:t>保障财政局各网络线路畅通；保障财政局各业务系统运行正常；保障信息中心机房及各硬件设备运行正常；确保财政系统网络数据安全，保障各项财政业务正常开展，保障全县各单位资金使用。及时解决全县各单位在使用系统过程中遇到的问题。指导和培训全县各单位使用各项应用系统正常开展相应财务工作。</w:t>
      </w:r>
    </w:p>
    <w:p>
      <w:pPr>
        <w:spacing w:line="556" w:lineRule="exact"/>
        <w:ind w:firstLine="640" w:firstLineChars="200"/>
        <w:rPr>
          <w:rFonts w:eastAsia="黑体"/>
          <w:sz w:val="32"/>
          <w:szCs w:val="32"/>
        </w:rPr>
      </w:pPr>
      <w:bookmarkStart w:id="139" w:name="_Toc24319_WPSOffice_Level2"/>
      <w:bookmarkStart w:id="140" w:name="_Toc11953_WPSOffice_Level2"/>
      <w:r>
        <w:rPr>
          <w:rFonts w:eastAsia="黑体"/>
          <w:sz w:val="32"/>
          <w:szCs w:val="32"/>
        </w:rPr>
        <w:t>五、评价结论及建议</w:t>
      </w:r>
      <w:bookmarkEnd w:id="139"/>
      <w:bookmarkEnd w:id="140"/>
    </w:p>
    <w:p>
      <w:pPr>
        <w:spacing w:line="556" w:lineRule="exact"/>
        <w:ind w:firstLine="640" w:firstLineChars="200"/>
        <w:rPr>
          <w:rFonts w:eastAsia="楷体_GB2312"/>
          <w:sz w:val="32"/>
          <w:szCs w:val="32"/>
        </w:rPr>
      </w:pPr>
      <w:r>
        <w:rPr>
          <w:rFonts w:eastAsia="楷体_GB2312"/>
          <w:sz w:val="32"/>
          <w:szCs w:val="32"/>
        </w:rPr>
        <w:t>（一）评价结论。</w:t>
      </w:r>
    </w:p>
    <w:p>
      <w:pPr>
        <w:spacing w:line="556" w:lineRule="exact"/>
        <w:ind w:firstLine="640" w:firstLineChars="200"/>
        <w:rPr>
          <w:rFonts w:eastAsia="仿宋_GB2312"/>
          <w:sz w:val="32"/>
          <w:szCs w:val="32"/>
        </w:rPr>
      </w:pPr>
      <w:r>
        <w:rPr>
          <w:rFonts w:eastAsia="仿宋_GB2312"/>
          <w:sz w:val="32"/>
          <w:szCs w:val="32"/>
        </w:rPr>
        <w:t>本年度专项工作经费管理规范，按计划圆满完成了各项工作目标，该项工作总体较满意。</w:t>
      </w:r>
    </w:p>
    <w:p>
      <w:pPr>
        <w:spacing w:line="556" w:lineRule="exact"/>
        <w:ind w:firstLine="640" w:firstLineChars="200"/>
        <w:rPr>
          <w:rFonts w:eastAsia="楷体_GB2312"/>
          <w:sz w:val="32"/>
          <w:szCs w:val="32"/>
        </w:rPr>
      </w:pPr>
      <w:r>
        <w:rPr>
          <w:rFonts w:eastAsia="楷体_GB2312"/>
          <w:sz w:val="32"/>
          <w:szCs w:val="32"/>
        </w:rPr>
        <w:t>（二）存在的问题。</w:t>
      </w:r>
    </w:p>
    <w:p>
      <w:pPr>
        <w:spacing w:line="556" w:lineRule="exact"/>
        <w:ind w:firstLine="640" w:firstLineChars="200"/>
        <w:rPr>
          <w:rFonts w:eastAsia="仿宋_GB2312"/>
          <w:sz w:val="32"/>
          <w:szCs w:val="32"/>
        </w:rPr>
      </w:pPr>
      <w:r>
        <w:rPr>
          <w:rFonts w:eastAsia="仿宋_GB2312"/>
          <w:sz w:val="32"/>
          <w:szCs w:val="32"/>
        </w:rPr>
        <w:t>无</w:t>
      </w:r>
    </w:p>
    <w:p>
      <w:pPr>
        <w:spacing w:line="556" w:lineRule="exact"/>
        <w:ind w:firstLine="640" w:firstLineChars="200"/>
        <w:rPr>
          <w:rFonts w:eastAsia="楷体_GB2312"/>
          <w:sz w:val="32"/>
          <w:szCs w:val="32"/>
        </w:rPr>
      </w:pPr>
      <w:r>
        <w:rPr>
          <w:rFonts w:eastAsia="楷体_GB2312"/>
          <w:sz w:val="32"/>
          <w:szCs w:val="32"/>
        </w:rPr>
        <w:t>（三）相关建议。</w:t>
      </w:r>
    </w:p>
    <w:p>
      <w:pPr>
        <w:spacing w:line="556" w:lineRule="exact"/>
        <w:ind w:firstLine="640" w:firstLineChars="200"/>
        <w:rPr>
          <w:rFonts w:eastAsia="仿宋_GB2312"/>
          <w:sz w:val="32"/>
          <w:szCs w:val="32"/>
        </w:rPr>
      </w:pPr>
      <w:r>
        <w:rPr>
          <w:rFonts w:eastAsia="仿宋_GB2312"/>
          <w:sz w:val="32"/>
          <w:szCs w:val="32"/>
        </w:rPr>
        <w:t>无</w:t>
      </w:r>
    </w:p>
    <w:p>
      <w:pPr>
        <w:pStyle w:val="11"/>
        <w:spacing w:line="600" w:lineRule="exact"/>
        <w:ind w:firstLine="640" w:firstLineChars="200"/>
        <w:jc w:val="left"/>
        <w:rPr>
          <w:rFonts w:ascii="仿宋_GB2312" w:hAnsi="黑体" w:eastAsia="仿宋_GB2312" w:cs="黑体"/>
          <w:sz w:val="32"/>
          <w:szCs w:val="32"/>
        </w:rPr>
      </w:pPr>
    </w:p>
    <w:p>
      <w:pPr>
        <w:spacing w:line="640" w:lineRule="exact"/>
        <w:jc w:val="center"/>
        <w:rPr>
          <w:rFonts w:eastAsia="方正小标宋_GBK"/>
          <w:sz w:val="44"/>
          <w:szCs w:val="44"/>
        </w:rPr>
      </w:pPr>
      <w:bookmarkStart w:id="141" w:name="_Toc19543_WPSOffice_Level2"/>
      <w:bookmarkStart w:id="142" w:name="_Toc30105_WPSOffice_Level2"/>
      <w:r>
        <w:rPr>
          <w:rFonts w:eastAsia="方正小标宋_GBK"/>
          <w:sz w:val="44"/>
          <w:szCs w:val="44"/>
        </w:rPr>
        <w:t>盐边县财政局</w:t>
      </w:r>
      <w:bookmarkEnd w:id="141"/>
      <w:bookmarkEnd w:id="142"/>
    </w:p>
    <w:p>
      <w:pPr>
        <w:spacing w:line="640" w:lineRule="exact"/>
        <w:jc w:val="center"/>
        <w:rPr>
          <w:rFonts w:eastAsia="方正小标宋_GBK"/>
          <w:sz w:val="44"/>
          <w:szCs w:val="44"/>
        </w:rPr>
      </w:pPr>
      <w:bookmarkStart w:id="143" w:name="_Toc30855_WPSOffice_Level2"/>
      <w:bookmarkStart w:id="144" w:name="_Toc13888_WPSOffice_Level2"/>
      <w:r>
        <w:rPr>
          <w:rFonts w:eastAsia="方正小标宋_GBK"/>
          <w:sz w:val="44"/>
          <w:szCs w:val="44"/>
        </w:rPr>
        <w:t>财政评审中心经费资金绩效自评报告</w:t>
      </w:r>
      <w:bookmarkEnd w:id="143"/>
      <w:bookmarkEnd w:id="144"/>
    </w:p>
    <w:p>
      <w:pPr>
        <w:pStyle w:val="11"/>
        <w:spacing w:line="600" w:lineRule="exact"/>
        <w:ind w:firstLine="640" w:firstLineChars="200"/>
        <w:jc w:val="left"/>
        <w:rPr>
          <w:rFonts w:ascii="Times New Roman" w:hAnsi="Times New Roman" w:eastAsia="仿宋_GB2312"/>
          <w:sz w:val="32"/>
          <w:szCs w:val="32"/>
        </w:rPr>
      </w:pPr>
    </w:p>
    <w:p>
      <w:pPr>
        <w:spacing w:line="560" w:lineRule="exact"/>
        <w:ind w:firstLine="640" w:firstLineChars="200"/>
        <w:rPr>
          <w:rFonts w:eastAsia="黑体"/>
          <w:sz w:val="32"/>
          <w:szCs w:val="32"/>
        </w:rPr>
      </w:pPr>
      <w:bookmarkStart w:id="145" w:name="_Toc27619_WPSOffice_Level2"/>
      <w:bookmarkStart w:id="146" w:name="_Toc5563_WPSOffice_Level2"/>
      <w:r>
        <w:rPr>
          <w:rFonts w:eastAsia="黑体"/>
          <w:sz w:val="32"/>
          <w:szCs w:val="32"/>
        </w:rPr>
        <w:t>一、项目概况</w:t>
      </w:r>
      <w:bookmarkEnd w:id="145"/>
      <w:bookmarkEnd w:id="146"/>
    </w:p>
    <w:p>
      <w:pPr>
        <w:spacing w:line="560" w:lineRule="exact"/>
        <w:ind w:firstLine="640" w:firstLineChars="200"/>
        <w:rPr>
          <w:rFonts w:eastAsia="楷体_GB2312"/>
          <w:sz w:val="32"/>
          <w:szCs w:val="32"/>
        </w:rPr>
      </w:pPr>
      <w:r>
        <w:rPr>
          <w:rFonts w:eastAsia="楷体_GB2312"/>
          <w:sz w:val="32"/>
          <w:szCs w:val="32"/>
        </w:rPr>
        <w:t>（一）基本情况。</w:t>
      </w:r>
    </w:p>
    <w:p>
      <w:pPr>
        <w:spacing w:line="560" w:lineRule="exact"/>
        <w:ind w:firstLine="640" w:firstLineChars="200"/>
        <w:rPr>
          <w:rFonts w:eastAsia="仿宋_GB2312"/>
          <w:sz w:val="32"/>
          <w:szCs w:val="32"/>
        </w:rPr>
      </w:pPr>
      <w:r>
        <w:rPr>
          <w:rFonts w:eastAsia="仿宋_GB2312"/>
          <w:sz w:val="32"/>
          <w:szCs w:val="32"/>
        </w:rPr>
        <w:t>财政投资评审是财政职能的重要组成部分，财政部门通过对财政性资金投资项目预（概）算和竣工决（结）算进行评价与审查，对财政性资金投资项目资金使用情况，以及其他财政专项资金使用情况进行专项核查及追踪问效，是财政资金规范、安全、有效运行的基本保证。按财政职能要求，盐边县财政投资评审中心成立于2008年（盐边编发〔2008〕3号），是全额财政拨款的县财政局常设副科级事业单位，机构编制5名。财评中心项目经费由同级财政年度预算，保障财评中心工作正常运行和财政投资项目相关事项正常评审，足额支付委托社会中介机构项目评审服务费，保质保量完成年度项目评审任务和各项工作顺利完成。</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保证财评中心正常运行，保障财评中心评审软件更新、升级和业务培训，提高评审综合能力和水平。预算安排依法依规支付政府采购及委托社会中介机构项目评审服务费，解决财评中心聘用人员工资、办公经费等</w:t>
      </w:r>
    </w:p>
    <w:p>
      <w:pPr>
        <w:spacing w:line="560" w:lineRule="exact"/>
        <w:ind w:firstLine="640" w:firstLineChars="200"/>
        <w:rPr>
          <w:rFonts w:eastAsia="黑体"/>
          <w:sz w:val="32"/>
          <w:szCs w:val="32"/>
        </w:rPr>
      </w:pPr>
      <w:bookmarkStart w:id="147" w:name="_Toc1368_WPSOffice_Level2"/>
      <w:bookmarkStart w:id="148" w:name="_Toc5456_WPSOffice_Level2"/>
      <w:r>
        <w:rPr>
          <w:rFonts w:eastAsia="黑体"/>
          <w:sz w:val="32"/>
          <w:szCs w:val="32"/>
        </w:rPr>
        <w:t>二、项目资金申报及使用情况</w:t>
      </w:r>
      <w:bookmarkEnd w:id="147"/>
      <w:bookmarkEnd w:id="148"/>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本项目根据盐边财政〔2022〕8号文件年初预算批复下达资金140.57万元。资金到位率100%。</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0" w:firstLineChars="200"/>
        <w:rPr>
          <w:rFonts w:eastAsia="仿宋_GB2312"/>
          <w:sz w:val="32"/>
          <w:szCs w:val="32"/>
        </w:rPr>
      </w:pPr>
      <w:r>
        <w:rPr>
          <w:rFonts w:eastAsia="仿宋_GB2312"/>
          <w:sz w:val="32"/>
          <w:szCs w:val="32"/>
        </w:rPr>
        <w:t>该项目计划资金140.57万元，到位资金140.57万元，全部是县级财政资金，到位率100%。项目支出主要包括政府采购及委托社会中介机构项目评审服务费；聘任专业技术人员经费（专业技术人员工资、出差、办公经费等）；财评中心工作经费；专业评审软件维护、更新、升级，专业计价资料、专项资料、业务培训、交流经费等。</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一是建立健全了专项经费管理制度，严格按照专项资金管理使用的有关要求，紧密结合专项工作实际和现有的财经纪律及规章，进一步强化了内部控制制度，不断推动专项财务工作规范化、制度化，落实并明确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严格执行项目有关制度规定，做到专款专用，无挪用和截留现象。支出合理，没有列支与项目内容无关的费用。</w:t>
      </w:r>
    </w:p>
    <w:p>
      <w:pPr>
        <w:spacing w:line="560" w:lineRule="exact"/>
        <w:ind w:firstLine="640" w:firstLineChars="200"/>
        <w:rPr>
          <w:rFonts w:eastAsia="黑体"/>
          <w:sz w:val="32"/>
          <w:szCs w:val="32"/>
        </w:rPr>
      </w:pPr>
      <w:bookmarkStart w:id="149" w:name="_Toc30018_WPSOffice_Level2"/>
      <w:bookmarkStart w:id="150" w:name="_Toc3260_WPSOffice_Level2"/>
      <w:r>
        <w:rPr>
          <w:rFonts w:eastAsia="黑体"/>
          <w:sz w:val="32"/>
          <w:szCs w:val="32"/>
        </w:rPr>
        <w:t>三、项目实施及管理情况</w:t>
      </w:r>
      <w:bookmarkEnd w:id="149"/>
      <w:bookmarkEnd w:id="150"/>
    </w:p>
    <w:p>
      <w:pPr>
        <w:spacing w:line="560" w:lineRule="exact"/>
        <w:ind w:firstLine="640" w:firstLineChars="200"/>
        <w:rPr>
          <w:rFonts w:eastAsia="仿宋_GB2312"/>
          <w:sz w:val="32"/>
          <w:szCs w:val="32"/>
        </w:rPr>
      </w:pPr>
      <w:r>
        <w:rPr>
          <w:rFonts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pPr>
        <w:spacing w:line="560" w:lineRule="exact"/>
        <w:ind w:firstLine="640" w:firstLineChars="200"/>
        <w:rPr>
          <w:rFonts w:eastAsia="黑体"/>
          <w:sz w:val="32"/>
          <w:szCs w:val="32"/>
        </w:rPr>
      </w:pPr>
      <w:bookmarkStart w:id="151" w:name="_Toc4948_WPSOffice_Level2"/>
      <w:bookmarkStart w:id="152" w:name="_Toc27634_WPSOffice_Level2"/>
      <w:r>
        <w:rPr>
          <w:rFonts w:eastAsia="黑体"/>
          <w:sz w:val="32"/>
          <w:szCs w:val="32"/>
        </w:rPr>
        <w:t>四、项目绩效情况</w:t>
      </w:r>
      <w:bookmarkEnd w:id="151"/>
      <w:bookmarkEnd w:id="152"/>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eastAsia="仿宋_GB2312"/>
          <w:sz w:val="32"/>
          <w:szCs w:val="32"/>
        </w:rPr>
        <w:t>项目支出主要包括政府采购及委托社会中介机构项目评审服务费；聘任专业技术人员经费（专业技术人员工资、出差、办公经费等）；财评中心工作经费；专业评审软件维护、更新、升级，专业计价资料、专项资料、业务培训、交流经费等。完成整个项目支出140.57万元。</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eastAsia="仿宋_GB2312"/>
          <w:sz w:val="32"/>
          <w:szCs w:val="32"/>
        </w:rPr>
        <w:t>保障了财政评审中心工作人员工资、资料、差旅费用，委托项目评审费用，保质保量完成年度项目评审任务，从源头上节约财政资金。</w:t>
      </w:r>
    </w:p>
    <w:p>
      <w:pPr>
        <w:spacing w:line="560" w:lineRule="exact"/>
        <w:ind w:firstLine="640" w:firstLineChars="200"/>
        <w:rPr>
          <w:rFonts w:eastAsia="黑体"/>
          <w:sz w:val="32"/>
          <w:szCs w:val="32"/>
        </w:rPr>
      </w:pPr>
      <w:bookmarkStart w:id="153" w:name="_Toc27787_WPSOffice_Level2"/>
      <w:bookmarkStart w:id="154" w:name="_Toc8487_WPSOffice_Level2"/>
      <w:r>
        <w:rPr>
          <w:rFonts w:eastAsia="黑体"/>
          <w:sz w:val="32"/>
          <w:szCs w:val="32"/>
        </w:rPr>
        <w:t>五、评价结论及建议</w:t>
      </w:r>
      <w:bookmarkEnd w:id="153"/>
      <w:bookmarkEnd w:id="154"/>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本年度专项工作经费管理规范，按计划圆满完成了各项工作目标，该项工作总体较满意。</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eastAsia="仿宋_GB2312"/>
          <w:sz w:val="32"/>
          <w:szCs w:val="32"/>
        </w:rPr>
        <w:t>无。</w:t>
      </w:r>
    </w:p>
    <w:p>
      <w:pPr>
        <w:pStyle w:val="11"/>
        <w:spacing w:line="560" w:lineRule="exact"/>
        <w:ind w:firstLine="640" w:firstLineChars="200"/>
        <w:jc w:val="left"/>
        <w:rPr>
          <w:rFonts w:ascii="Times New Roman" w:hAnsi="Times New Roman" w:eastAsia="仿宋_GB2312"/>
          <w:kern w:val="0"/>
          <w:sz w:val="32"/>
          <w:szCs w:val="32"/>
        </w:rPr>
      </w:pPr>
    </w:p>
    <w:p>
      <w:pPr>
        <w:pStyle w:val="7"/>
        <w:ind w:firstLine="0"/>
      </w:pPr>
      <w:bookmarkStart w:id="155" w:name="_Toc15396618"/>
    </w:p>
    <w:p>
      <w:pPr>
        <w:spacing w:line="600" w:lineRule="exact"/>
        <w:jc w:val="center"/>
        <w:outlineLvl w:val="0"/>
        <w:rPr>
          <w:rFonts w:ascii="黑体" w:hAnsi="黑体" w:eastAsia="黑体"/>
          <w:sz w:val="44"/>
          <w:szCs w:val="44"/>
        </w:rPr>
      </w:pPr>
    </w:p>
    <w:p>
      <w:pPr>
        <w:jc w:val="center"/>
        <w:rPr>
          <w:rFonts w:ascii="方正小标宋_GBK" w:eastAsia="方正小标宋_GBK"/>
          <w:sz w:val="44"/>
          <w:szCs w:val="44"/>
        </w:rPr>
      </w:pPr>
      <w:bookmarkStart w:id="156" w:name="_Toc27613_WPSOffice_Level1"/>
      <w:r>
        <w:rPr>
          <w:rFonts w:hint="eastAsia" w:ascii="方正小标宋_GBK" w:eastAsia="方正小标宋_GBK"/>
          <w:sz w:val="44"/>
          <w:szCs w:val="44"/>
        </w:rPr>
        <w:t>第五部分 附表</w:t>
      </w:r>
      <w:bookmarkEnd w:id="109"/>
      <w:bookmarkEnd w:id="155"/>
      <w:bookmarkEnd w:id="156"/>
      <w:bookmarkStart w:id="157" w:name="_Toc15396619"/>
    </w:p>
    <w:p>
      <w:pPr>
        <w:ind w:firstLine="640" w:firstLineChars="200"/>
        <w:rPr>
          <w:rFonts w:ascii="黑体" w:eastAsia="黑体"/>
          <w:sz w:val="32"/>
          <w:szCs w:val="32"/>
        </w:rPr>
      </w:pPr>
      <w:bookmarkStart w:id="158" w:name="_Toc6733_WPSOffice_Level2"/>
      <w:r>
        <w:rPr>
          <w:rFonts w:hint="eastAsia" w:ascii="黑体" w:eastAsia="黑体"/>
          <w:sz w:val="32"/>
          <w:szCs w:val="32"/>
        </w:rPr>
        <w:t>一、收入支出决算总表</w:t>
      </w:r>
      <w:bookmarkEnd w:id="157"/>
      <w:bookmarkEnd w:id="158"/>
    </w:p>
    <w:p>
      <w:r>
        <w:drawing>
          <wp:inline distT="0" distB="0" distL="114300" distR="114300">
            <wp:extent cx="5267960" cy="4381500"/>
            <wp:effectExtent l="0" t="0" r="889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3"/>
                    <a:stretch>
                      <a:fillRect/>
                    </a:stretch>
                  </pic:blipFill>
                  <pic:spPr>
                    <a:xfrm>
                      <a:off x="0" y="0"/>
                      <a:ext cx="5267960" cy="4381500"/>
                    </a:xfrm>
                    <a:prstGeom prst="rect">
                      <a:avLst/>
                    </a:prstGeom>
                    <a:noFill/>
                    <a:ln>
                      <a:noFill/>
                    </a:ln>
                  </pic:spPr>
                </pic:pic>
              </a:graphicData>
            </a:graphic>
          </wp:inline>
        </w:drawing>
      </w:r>
    </w:p>
    <w:p>
      <w:pPr>
        <w:rPr>
          <w:rFonts w:ascii="黑体" w:eastAsia="黑体"/>
          <w:sz w:val="32"/>
          <w:szCs w:val="32"/>
        </w:rPr>
      </w:pPr>
      <w:bookmarkStart w:id="159" w:name="_Toc15396620"/>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ind w:firstLine="640" w:firstLineChars="200"/>
        <w:rPr>
          <w:rFonts w:ascii="黑体" w:eastAsia="黑体"/>
          <w:sz w:val="32"/>
          <w:szCs w:val="32"/>
        </w:rPr>
      </w:pPr>
      <w:bookmarkStart w:id="160" w:name="_Toc28847_WPSOffice_Level2"/>
      <w:r>
        <w:rPr>
          <w:rFonts w:hint="eastAsia" w:ascii="黑体" w:eastAsia="黑体"/>
          <w:sz w:val="32"/>
          <w:szCs w:val="32"/>
        </w:rPr>
        <w:t>二、收入决算表</w:t>
      </w:r>
      <w:bookmarkEnd w:id="159"/>
      <w:bookmarkEnd w:id="160"/>
    </w:p>
    <w:p>
      <w:pPr>
        <w:rPr>
          <w:rFonts w:ascii="黑体" w:eastAsia="黑体"/>
          <w:sz w:val="32"/>
          <w:szCs w:val="32"/>
        </w:rPr>
      </w:pPr>
      <w:r>
        <w:rPr>
          <w:rFonts w:hint="eastAsia" w:ascii="黑体" w:eastAsia="黑体"/>
          <w:sz w:val="32"/>
          <w:szCs w:val="32"/>
        </w:rPr>
        <w:drawing>
          <wp:inline distT="0" distB="0" distL="114300" distR="114300">
            <wp:extent cx="5266690" cy="3248025"/>
            <wp:effectExtent l="0" t="0" r="10160"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stretch>
                      <a:fillRect/>
                    </a:stretch>
                  </pic:blipFill>
                  <pic:spPr>
                    <a:xfrm>
                      <a:off x="0" y="0"/>
                      <a:ext cx="5266690" cy="3248025"/>
                    </a:xfrm>
                    <a:prstGeom prst="rect">
                      <a:avLst/>
                    </a:prstGeom>
                    <a:noFill/>
                    <a:ln>
                      <a:noFill/>
                    </a:ln>
                  </pic:spPr>
                </pic:pic>
              </a:graphicData>
            </a:graphic>
          </wp:inline>
        </w:drawing>
      </w:r>
    </w:p>
    <w:p>
      <w:pPr>
        <w:rPr>
          <w:rFonts w:ascii="黑体" w:eastAsia="黑体"/>
          <w:sz w:val="32"/>
          <w:szCs w:val="32"/>
        </w:rPr>
      </w:pPr>
      <w:bookmarkStart w:id="161" w:name="_Toc15396621"/>
    </w:p>
    <w:p>
      <w:pPr>
        <w:ind w:firstLine="640" w:firstLineChars="200"/>
        <w:rPr>
          <w:rFonts w:ascii="黑体" w:eastAsia="黑体"/>
          <w:sz w:val="32"/>
          <w:szCs w:val="32"/>
        </w:rPr>
      </w:pPr>
      <w:bookmarkStart w:id="162" w:name="_Toc27389_WPSOffice_Level2"/>
      <w:r>
        <w:rPr>
          <w:rFonts w:hint="eastAsia" w:ascii="黑体" w:eastAsia="黑体"/>
          <w:sz w:val="32"/>
          <w:szCs w:val="32"/>
        </w:rPr>
        <w:t>三、支出决算表</w:t>
      </w:r>
      <w:bookmarkEnd w:id="161"/>
      <w:bookmarkEnd w:id="162"/>
    </w:p>
    <w:p>
      <w:pPr>
        <w:ind w:left="420" w:leftChars="200"/>
      </w:pPr>
      <w:r>
        <w:drawing>
          <wp:inline distT="0" distB="0" distL="114300" distR="114300">
            <wp:extent cx="5265420" cy="3619500"/>
            <wp:effectExtent l="0" t="0" r="1143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5"/>
                    <a:stretch>
                      <a:fillRect/>
                    </a:stretch>
                  </pic:blipFill>
                  <pic:spPr>
                    <a:xfrm>
                      <a:off x="0" y="0"/>
                      <a:ext cx="5265420" cy="3619500"/>
                    </a:xfrm>
                    <a:prstGeom prst="rect">
                      <a:avLst/>
                    </a:prstGeom>
                    <a:noFill/>
                    <a:ln>
                      <a:noFill/>
                    </a:ln>
                  </pic:spPr>
                </pic:pic>
              </a:graphicData>
            </a:graphic>
          </wp:inline>
        </w:drawing>
      </w:r>
    </w:p>
    <w:p>
      <w:pPr>
        <w:rPr>
          <w:rFonts w:ascii="黑体" w:eastAsia="黑体"/>
          <w:sz w:val="32"/>
          <w:szCs w:val="32"/>
        </w:rPr>
      </w:pPr>
      <w:bookmarkStart w:id="163" w:name="_Toc15396622"/>
    </w:p>
    <w:p>
      <w:pPr>
        <w:ind w:firstLine="640" w:firstLineChars="200"/>
        <w:rPr>
          <w:rFonts w:ascii="黑体" w:eastAsia="黑体"/>
          <w:sz w:val="32"/>
          <w:szCs w:val="32"/>
        </w:rPr>
      </w:pPr>
      <w:bookmarkStart w:id="164" w:name="_Toc31461_WPSOffice_Level2"/>
      <w:r>
        <w:rPr>
          <w:rFonts w:hint="eastAsia" w:ascii="黑体" w:eastAsia="黑体"/>
          <w:sz w:val="32"/>
          <w:szCs w:val="32"/>
        </w:rPr>
        <w:t>四、财政拨款收入支出决算总表</w:t>
      </w:r>
      <w:bookmarkEnd w:id="163"/>
      <w:bookmarkEnd w:id="164"/>
    </w:p>
    <w:p>
      <w:pPr>
        <w:pStyle w:val="2"/>
        <w:ind w:left="420"/>
      </w:pPr>
    </w:p>
    <w:p>
      <w:pPr>
        <w:ind w:left="420" w:leftChars="200"/>
      </w:pPr>
      <w:r>
        <w:drawing>
          <wp:inline distT="0" distB="0" distL="114300" distR="114300">
            <wp:extent cx="5272405" cy="3910330"/>
            <wp:effectExtent l="0" t="0" r="4445" b="1397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6"/>
                    <a:stretch>
                      <a:fillRect/>
                    </a:stretch>
                  </pic:blipFill>
                  <pic:spPr>
                    <a:xfrm>
                      <a:off x="0" y="0"/>
                      <a:ext cx="5272405" cy="3910330"/>
                    </a:xfrm>
                    <a:prstGeom prst="rect">
                      <a:avLst/>
                    </a:prstGeom>
                    <a:noFill/>
                    <a:ln>
                      <a:noFill/>
                    </a:ln>
                  </pic:spPr>
                </pic:pic>
              </a:graphicData>
            </a:graphic>
          </wp:inline>
        </w:drawing>
      </w:r>
    </w:p>
    <w:p>
      <w:pPr>
        <w:rPr>
          <w:rFonts w:ascii="黑体" w:eastAsia="黑体"/>
          <w:sz w:val="32"/>
          <w:szCs w:val="32"/>
        </w:rPr>
      </w:pPr>
      <w:bookmarkStart w:id="165" w:name="_Toc15396623"/>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ind w:firstLine="640" w:firstLineChars="200"/>
        <w:rPr>
          <w:rFonts w:ascii="黑体" w:eastAsia="黑体"/>
          <w:sz w:val="32"/>
          <w:szCs w:val="32"/>
        </w:rPr>
      </w:pPr>
      <w:bookmarkStart w:id="166" w:name="_Toc10529_WPSOffice_Level2"/>
      <w:r>
        <w:rPr>
          <w:rFonts w:hint="eastAsia" w:ascii="黑体" w:eastAsia="黑体"/>
          <w:sz w:val="32"/>
          <w:szCs w:val="32"/>
        </w:rPr>
        <w:t>五、财政拨款支出决算明细表</w:t>
      </w:r>
      <w:bookmarkEnd w:id="165"/>
      <w:bookmarkEnd w:id="166"/>
      <w:bookmarkStart w:id="167" w:name="_Toc15396624"/>
    </w:p>
    <w:p>
      <w:pPr>
        <w:pStyle w:val="2"/>
        <w:ind w:left="420"/>
      </w:pPr>
    </w:p>
    <w:p>
      <w:r>
        <w:drawing>
          <wp:inline distT="0" distB="0" distL="114300" distR="114300">
            <wp:extent cx="5267325" cy="5979160"/>
            <wp:effectExtent l="0" t="0" r="9525" b="254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7"/>
                    <a:stretch>
                      <a:fillRect/>
                    </a:stretch>
                  </pic:blipFill>
                  <pic:spPr>
                    <a:xfrm>
                      <a:off x="0" y="0"/>
                      <a:ext cx="5267325" cy="5979160"/>
                    </a:xfrm>
                    <a:prstGeom prst="rect">
                      <a:avLst/>
                    </a:prstGeom>
                    <a:noFill/>
                    <a:ln>
                      <a:noFill/>
                    </a:ln>
                  </pic:spPr>
                </pic:pic>
              </a:graphicData>
            </a:graphic>
          </wp:inline>
        </w:drawing>
      </w: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ind w:firstLine="640" w:firstLineChars="200"/>
        <w:rPr>
          <w:rFonts w:ascii="黑体" w:eastAsia="黑体"/>
          <w:sz w:val="32"/>
          <w:szCs w:val="32"/>
        </w:rPr>
      </w:pPr>
      <w:bookmarkStart w:id="168" w:name="_Toc13633_WPSOffice_Level2"/>
      <w:r>
        <w:rPr>
          <w:rFonts w:hint="eastAsia" w:ascii="黑体" w:eastAsia="黑体"/>
          <w:sz w:val="32"/>
          <w:szCs w:val="32"/>
        </w:rPr>
        <w:t>六、一般公共预算财政拨款支出决算表</w:t>
      </w:r>
      <w:bookmarkEnd w:id="167"/>
      <w:bookmarkEnd w:id="168"/>
    </w:p>
    <w:p>
      <w:pPr>
        <w:pStyle w:val="2"/>
        <w:ind w:left="0" w:leftChars="0" w:firstLine="0" w:firstLineChars="0"/>
      </w:pPr>
    </w:p>
    <w:p>
      <w:pPr>
        <w:ind w:left="420" w:leftChars="200"/>
      </w:pPr>
      <w:r>
        <w:drawing>
          <wp:inline distT="0" distB="0" distL="114300" distR="114300">
            <wp:extent cx="5267960" cy="4862195"/>
            <wp:effectExtent l="0" t="0" r="8890" b="1460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8"/>
                    <a:stretch>
                      <a:fillRect/>
                    </a:stretch>
                  </pic:blipFill>
                  <pic:spPr>
                    <a:xfrm>
                      <a:off x="0" y="0"/>
                      <a:ext cx="5267960" cy="4862195"/>
                    </a:xfrm>
                    <a:prstGeom prst="rect">
                      <a:avLst/>
                    </a:prstGeom>
                    <a:noFill/>
                    <a:ln>
                      <a:noFill/>
                    </a:ln>
                  </pic:spPr>
                </pic:pic>
              </a:graphicData>
            </a:graphic>
          </wp:inline>
        </w:drawing>
      </w:r>
    </w:p>
    <w:p>
      <w:pPr>
        <w:rPr>
          <w:rFonts w:ascii="黑体" w:eastAsia="黑体"/>
          <w:sz w:val="32"/>
          <w:szCs w:val="32"/>
        </w:rPr>
      </w:pPr>
      <w:bookmarkStart w:id="169" w:name="_Toc15396625"/>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p>
    <w:p>
      <w:pPr>
        <w:rPr>
          <w:rFonts w:ascii="黑体" w:eastAsia="黑体"/>
          <w:sz w:val="32"/>
          <w:szCs w:val="32"/>
        </w:rPr>
      </w:pPr>
      <w:bookmarkStart w:id="170" w:name="_Toc31322_WPSOffice_Level2"/>
      <w:r>
        <w:rPr>
          <w:rFonts w:hint="eastAsia" w:ascii="黑体" w:eastAsia="黑体"/>
          <w:sz w:val="32"/>
          <w:szCs w:val="32"/>
        </w:rPr>
        <w:t>七、一般公共预算财政拨款支出决算明细表</w:t>
      </w:r>
      <w:bookmarkEnd w:id="169"/>
      <w:bookmarkEnd w:id="170"/>
    </w:p>
    <w:p>
      <w:pPr>
        <w:ind w:left="420" w:leftChars="200"/>
      </w:pPr>
      <w:r>
        <w:drawing>
          <wp:inline distT="0" distB="0" distL="114300" distR="114300">
            <wp:extent cx="5271770" cy="3890645"/>
            <wp:effectExtent l="0" t="0" r="508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5271770" cy="3890645"/>
                    </a:xfrm>
                    <a:prstGeom prst="rect">
                      <a:avLst/>
                    </a:prstGeom>
                    <a:noFill/>
                    <a:ln>
                      <a:noFill/>
                    </a:ln>
                  </pic:spPr>
                </pic:pic>
              </a:graphicData>
            </a:graphic>
          </wp:inline>
        </w:drawing>
      </w:r>
    </w:p>
    <w:p>
      <w:pPr>
        <w:pStyle w:val="2"/>
        <w:ind w:left="0" w:leftChars="0" w:firstLine="0" w:firstLineChars="0"/>
      </w:pPr>
      <w:r>
        <w:drawing>
          <wp:inline distT="0" distB="0" distL="114300" distR="114300">
            <wp:extent cx="5266055" cy="3027045"/>
            <wp:effectExtent l="0" t="0" r="10795" b="19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0"/>
                    <a:stretch>
                      <a:fillRect/>
                    </a:stretch>
                  </pic:blipFill>
                  <pic:spPr>
                    <a:xfrm>
                      <a:off x="0" y="0"/>
                      <a:ext cx="5266055" cy="3027045"/>
                    </a:xfrm>
                    <a:prstGeom prst="rect">
                      <a:avLst/>
                    </a:prstGeom>
                    <a:noFill/>
                    <a:ln>
                      <a:noFill/>
                    </a:ln>
                  </pic:spPr>
                </pic:pic>
              </a:graphicData>
            </a:graphic>
          </wp:inline>
        </w:drawing>
      </w:r>
    </w:p>
    <w:p>
      <w:r>
        <w:drawing>
          <wp:inline distT="0" distB="0" distL="114300" distR="114300">
            <wp:extent cx="5263515" cy="3750310"/>
            <wp:effectExtent l="0" t="0" r="13335" b="254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1"/>
                    <a:stretch>
                      <a:fillRect/>
                    </a:stretch>
                  </pic:blipFill>
                  <pic:spPr>
                    <a:xfrm>
                      <a:off x="0" y="0"/>
                      <a:ext cx="5263515" cy="3750310"/>
                    </a:xfrm>
                    <a:prstGeom prst="rect">
                      <a:avLst/>
                    </a:prstGeom>
                    <a:noFill/>
                    <a:ln>
                      <a:noFill/>
                    </a:ln>
                  </pic:spPr>
                </pic:pic>
              </a:graphicData>
            </a:graphic>
          </wp:inline>
        </w:drawing>
      </w:r>
    </w:p>
    <w:p>
      <w:pPr>
        <w:pStyle w:val="2"/>
        <w:ind w:left="420"/>
      </w:pPr>
      <w:r>
        <w:drawing>
          <wp:inline distT="0" distB="0" distL="114300" distR="114300">
            <wp:extent cx="5273040" cy="2339340"/>
            <wp:effectExtent l="0" t="0" r="3810" b="381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22"/>
                    <a:stretch>
                      <a:fillRect/>
                    </a:stretch>
                  </pic:blipFill>
                  <pic:spPr>
                    <a:xfrm>
                      <a:off x="0" y="0"/>
                      <a:ext cx="5273040" cy="2339340"/>
                    </a:xfrm>
                    <a:prstGeom prst="rect">
                      <a:avLst/>
                    </a:prstGeom>
                    <a:noFill/>
                    <a:ln>
                      <a:noFill/>
                    </a:ln>
                  </pic:spPr>
                </pic:pic>
              </a:graphicData>
            </a:graphic>
          </wp:inline>
        </w:drawing>
      </w:r>
    </w:p>
    <w:p>
      <w:pPr>
        <w:rPr>
          <w:rFonts w:hint="eastAsia" w:ascii="黑体" w:eastAsia="黑体"/>
          <w:sz w:val="32"/>
          <w:szCs w:val="32"/>
        </w:rPr>
      </w:pPr>
      <w:bookmarkStart w:id="171" w:name="_Toc15396626"/>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ind w:firstLine="640" w:firstLineChars="200"/>
        <w:rPr>
          <w:rFonts w:hint="eastAsia" w:ascii="黑体" w:eastAsia="黑体"/>
          <w:sz w:val="32"/>
          <w:szCs w:val="32"/>
        </w:rPr>
      </w:pPr>
      <w:bookmarkStart w:id="172" w:name="_Toc9431_WPSOffice_Level2"/>
      <w:r>
        <w:rPr>
          <w:rFonts w:hint="eastAsia" w:ascii="黑体" w:eastAsia="黑体"/>
          <w:sz w:val="32"/>
          <w:szCs w:val="32"/>
        </w:rPr>
        <w:t>八、一般公共预算财政拨款基本支出决算表</w:t>
      </w:r>
      <w:bookmarkEnd w:id="171"/>
      <w:bookmarkEnd w:id="172"/>
    </w:p>
    <w:p>
      <w:pPr>
        <w:ind w:left="420" w:leftChars="200"/>
      </w:pPr>
      <w:r>
        <w:drawing>
          <wp:inline distT="0" distB="0" distL="114300" distR="114300">
            <wp:extent cx="5267960" cy="3090545"/>
            <wp:effectExtent l="0" t="0" r="8890" b="1460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3"/>
                    <a:stretch>
                      <a:fillRect/>
                    </a:stretch>
                  </pic:blipFill>
                  <pic:spPr>
                    <a:xfrm>
                      <a:off x="0" y="0"/>
                      <a:ext cx="5267960" cy="309054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73" w:name="_Toc15396627"/>
      <w:bookmarkStart w:id="174" w:name="_Toc21878_WPSOffice_Level2"/>
      <w:r>
        <w:rPr>
          <w:rFonts w:hint="eastAsia" w:ascii="黑体" w:eastAsia="黑体"/>
          <w:sz w:val="32"/>
          <w:szCs w:val="32"/>
        </w:rPr>
        <w:t>九、一般公共预算财政拨款项目支出决算表</w:t>
      </w:r>
      <w:bookmarkEnd w:id="173"/>
      <w:bookmarkEnd w:id="174"/>
    </w:p>
    <w:p>
      <w:pPr>
        <w:ind w:left="420" w:leftChars="200"/>
      </w:pPr>
      <w:r>
        <w:drawing>
          <wp:inline distT="0" distB="0" distL="114300" distR="114300">
            <wp:extent cx="5272405" cy="3009265"/>
            <wp:effectExtent l="0" t="0" r="4445" b="63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4"/>
                    <a:stretch>
                      <a:fillRect/>
                    </a:stretch>
                  </pic:blipFill>
                  <pic:spPr>
                    <a:xfrm>
                      <a:off x="0" y="0"/>
                      <a:ext cx="5272405" cy="3009265"/>
                    </a:xfrm>
                    <a:prstGeom prst="rect">
                      <a:avLst/>
                    </a:prstGeom>
                    <a:noFill/>
                    <a:ln>
                      <a:noFill/>
                    </a:ln>
                  </pic:spPr>
                </pic:pic>
              </a:graphicData>
            </a:graphic>
          </wp:inline>
        </w:drawing>
      </w: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ind w:firstLine="640" w:firstLineChars="200"/>
        <w:rPr>
          <w:rFonts w:hint="eastAsia" w:ascii="黑体" w:eastAsia="黑体"/>
          <w:sz w:val="32"/>
          <w:szCs w:val="32"/>
        </w:rPr>
      </w:pPr>
      <w:bookmarkStart w:id="175" w:name="_Toc6917_WPSOffice_Level2"/>
      <w:r>
        <w:rPr>
          <w:rFonts w:hint="eastAsia" w:ascii="黑体" w:eastAsia="黑体"/>
          <w:sz w:val="32"/>
          <w:szCs w:val="32"/>
        </w:rPr>
        <w:t>十、政府性基金预算财政拨款收入支出决算表</w:t>
      </w:r>
      <w:bookmarkEnd w:id="175"/>
    </w:p>
    <w:p>
      <w:pPr>
        <w:pStyle w:val="2"/>
        <w:ind w:left="420"/>
      </w:pPr>
    </w:p>
    <w:p>
      <w:pPr>
        <w:ind w:left="420" w:leftChars="200"/>
      </w:pPr>
      <w:r>
        <w:drawing>
          <wp:inline distT="0" distB="0" distL="114300" distR="114300">
            <wp:extent cx="5272405" cy="1691005"/>
            <wp:effectExtent l="0" t="0" r="4445" b="444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5"/>
                    <a:stretch>
                      <a:fillRect/>
                    </a:stretch>
                  </pic:blipFill>
                  <pic:spPr>
                    <a:xfrm>
                      <a:off x="0" y="0"/>
                      <a:ext cx="5272405" cy="1691005"/>
                    </a:xfrm>
                    <a:prstGeom prst="rect">
                      <a:avLst/>
                    </a:prstGeom>
                    <a:noFill/>
                    <a:ln>
                      <a:noFill/>
                    </a:ln>
                  </pic:spPr>
                </pic:pic>
              </a:graphicData>
            </a:graphic>
          </wp:inline>
        </w:drawing>
      </w:r>
    </w:p>
    <w:p>
      <w:pPr>
        <w:ind w:firstLine="640" w:firstLineChars="200"/>
        <w:rPr>
          <w:rFonts w:hint="eastAsia" w:ascii="黑体" w:eastAsia="黑体"/>
          <w:sz w:val="32"/>
          <w:szCs w:val="32"/>
        </w:rPr>
      </w:pPr>
    </w:p>
    <w:p>
      <w:pPr>
        <w:ind w:firstLine="640" w:firstLineChars="200"/>
        <w:rPr>
          <w:rFonts w:hint="eastAsia" w:ascii="黑体" w:eastAsia="黑体"/>
          <w:sz w:val="32"/>
          <w:szCs w:val="32"/>
        </w:rPr>
      </w:pPr>
      <w:bookmarkStart w:id="176" w:name="_Toc19713_WPSOffice_Level2"/>
      <w:r>
        <w:rPr>
          <w:rFonts w:hint="eastAsia" w:ascii="黑体" w:eastAsia="黑体"/>
          <w:sz w:val="32"/>
          <w:szCs w:val="32"/>
        </w:rPr>
        <w:t>十一、国有资本经营预算财政拨款收入支出决算表</w:t>
      </w:r>
      <w:bookmarkEnd w:id="176"/>
    </w:p>
    <w:p>
      <w:pPr>
        <w:pStyle w:val="2"/>
        <w:ind w:left="420"/>
      </w:pPr>
    </w:p>
    <w:p>
      <w:pPr>
        <w:ind w:left="420" w:leftChars="200"/>
      </w:pPr>
      <w:r>
        <w:drawing>
          <wp:inline distT="0" distB="0" distL="114300" distR="114300">
            <wp:extent cx="5271135" cy="2410460"/>
            <wp:effectExtent l="0" t="0" r="5715" b="889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6"/>
                    <a:stretch>
                      <a:fillRect/>
                    </a:stretch>
                  </pic:blipFill>
                  <pic:spPr>
                    <a:xfrm>
                      <a:off x="0" y="0"/>
                      <a:ext cx="5271135" cy="2410460"/>
                    </a:xfrm>
                    <a:prstGeom prst="rect">
                      <a:avLst/>
                    </a:prstGeom>
                    <a:noFill/>
                    <a:ln>
                      <a:noFill/>
                    </a:ln>
                  </pic:spPr>
                </pic:pic>
              </a:graphicData>
            </a:graphic>
          </wp:inline>
        </w:drawing>
      </w: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ind w:firstLine="640" w:firstLineChars="200"/>
        <w:rPr>
          <w:rFonts w:hint="eastAsia" w:ascii="黑体" w:eastAsia="黑体"/>
          <w:sz w:val="32"/>
          <w:szCs w:val="32"/>
        </w:rPr>
      </w:pPr>
      <w:bookmarkStart w:id="177" w:name="_Toc21574_WPSOffice_Level2"/>
      <w:r>
        <w:rPr>
          <w:rFonts w:hint="eastAsia" w:ascii="黑体" w:eastAsia="黑体"/>
          <w:sz w:val="32"/>
          <w:szCs w:val="32"/>
        </w:rPr>
        <w:t>十二、国有资本经营预算财政拨款支出决算表</w:t>
      </w:r>
      <w:bookmarkEnd w:id="177"/>
    </w:p>
    <w:p>
      <w:pPr>
        <w:ind w:left="420" w:leftChars="200"/>
      </w:pPr>
      <w:r>
        <w:drawing>
          <wp:inline distT="0" distB="0" distL="114300" distR="114300">
            <wp:extent cx="5269865" cy="2543810"/>
            <wp:effectExtent l="0" t="0" r="6985" b="889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27"/>
                    <a:stretch>
                      <a:fillRect/>
                    </a:stretch>
                  </pic:blipFill>
                  <pic:spPr>
                    <a:xfrm>
                      <a:off x="0" y="0"/>
                      <a:ext cx="5269865" cy="2543810"/>
                    </a:xfrm>
                    <a:prstGeom prst="rect">
                      <a:avLst/>
                    </a:prstGeom>
                    <a:noFill/>
                    <a:ln>
                      <a:noFill/>
                    </a:ln>
                  </pic:spPr>
                </pic:pic>
              </a:graphicData>
            </a:graphic>
          </wp:inline>
        </w:drawing>
      </w:r>
    </w:p>
    <w:p>
      <w:pPr>
        <w:rPr>
          <w:rFonts w:hint="eastAsia" w:ascii="黑体" w:eastAsia="黑体"/>
          <w:sz w:val="32"/>
          <w:szCs w:val="32"/>
        </w:rPr>
      </w:pPr>
    </w:p>
    <w:p>
      <w:pPr>
        <w:ind w:firstLine="640" w:firstLineChars="200"/>
        <w:rPr>
          <w:rFonts w:hint="eastAsia" w:ascii="黑体" w:eastAsia="黑体"/>
          <w:sz w:val="32"/>
          <w:szCs w:val="32"/>
        </w:rPr>
      </w:pPr>
      <w:bookmarkStart w:id="178" w:name="_Toc14137_WPSOffice_Level2"/>
      <w:r>
        <w:rPr>
          <w:rFonts w:hint="eastAsia" w:ascii="黑体" w:eastAsia="黑体"/>
          <w:sz w:val="32"/>
          <w:szCs w:val="32"/>
        </w:rPr>
        <w:t>十三、财政拨款“三公”经费支出决算表</w:t>
      </w:r>
      <w:bookmarkEnd w:id="178"/>
    </w:p>
    <w:p>
      <w:pPr>
        <w:pStyle w:val="2"/>
        <w:ind w:left="420"/>
      </w:pPr>
    </w:p>
    <w:p>
      <w:pPr>
        <w:ind w:left="420" w:leftChars="200"/>
      </w:pPr>
      <w:r>
        <w:drawing>
          <wp:inline distT="0" distB="0" distL="114300" distR="114300">
            <wp:extent cx="5269230" cy="2135505"/>
            <wp:effectExtent l="0" t="0" r="7620" b="17145"/>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28"/>
                    <a:stretch>
                      <a:fillRect/>
                    </a:stretch>
                  </pic:blipFill>
                  <pic:spPr>
                    <a:xfrm>
                      <a:off x="0" y="0"/>
                      <a:ext cx="5269230" cy="213550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A1C80E2-B623-4BF5-A5C8-829B1B15CFC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E673087-1D3A-488D-962F-FAF3788D36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71882D14-3007-48EA-850F-21A2277BC695}"/>
  </w:font>
  <w:font w:name="文鼎CS仿宋体">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45CE1131-F216-4DB0-BEF8-D8D9C54D605C}"/>
  </w:font>
  <w:font w:name="??">
    <w:altName w:val="Times New Roman"/>
    <w:panose1 w:val="00000000000000000000"/>
    <w:charset w:val="00"/>
    <w:family w:val="roman"/>
    <w:pitch w:val="default"/>
    <w:sig w:usb0="00000000" w:usb1="00000000" w:usb2="00000000" w:usb3="00000000" w:csb0="00000000" w:csb1="00000000"/>
  </w:font>
  <w:font w:name="方正小标宋简体">
    <w:panose1 w:val="02000000000000000000"/>
    <w:charset w:val="86"/>
    <w:family w:val="script"/>
    <w:pitch w:val="default"/>
    <w:sig w:usb0="00000001" w:usb1="08000000" w:usb2="00000000" w:usb3="00000000" w:csb0="00040000" w:csb1="00000000"/>
    <w:embedRegular r:id="rId5" w:fontKey="{4AB6E31A-8C42-4213-AF88-164171518589}"/>
  </w:font>
  <w:font w:name="方正小标宋_GBK">
    <w:altName w:val="微软雅黑"/>
    <w:panose1 w:val="03000509000000000000"/>
    <w:charset w:val="86"/>
    <w:family w:val="script"/>
    <w:pitch w:val="default"/>
    <w:sig w:usb0="00000000" w:usb1="00000000" w:usb2="00000000" w:usb3="00000000" w:csb0="00040000" w:csb1="00000000"/>
    <w:embedRegular r:id="rId6" w:fontKey="{16CF9054-5310-4DD2-B418-E68D3EF3D5AD}"/>
  </w:font>
  <w:font w:name="楷体_GB2312">
    <w:altName w:val="楷体"/>
    <w:panose1 w:val="02010609030101010101"/>
    <w:charset w:val="86"/>
    <w:family w:val="modern"/>
    <w:pitch w:val="default"/>
    <w:sig w:usb0="00000000" w:usb1="00000000" w:usb2="00000000" w:usb3="00000000" w:csb0="00040000" w:csb1="00000000"/>
    <w:embedRegular r:id="rId7" w:fontKey="{49D734D8-E297-4DB3-A98E-1665C9EE3B6B}"/>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3"/>
          <w:jc w:val="center"/>
        </w:pPr>
        <w:r>
          <w:fldChar w:fldCharType="begin"/>
        </w:r>
        <w:r>
          <w:instrText xml:space="preserve">PAGE   \* MERGEFORMAT</w:instrText>
        </w:r>
        <w:r>
          <w:fldChar w:fldCharType="separate"/>
        </w:r>
        <w:r>
          <w:rPr>
            <w:lang w:val="zh-CN"/>
          </w:rPr>
          <w:t>53</w:t>
        </w:r>
        <w:r>
          <w:rPr>
            <w:lang w:val="zh-CN"/>
          </w:rP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ZTMyMjMxYzZhNWY2Mjk4M2EwODJhOWQ3MTc5NGMifQ=="/>
  </w:docVars>
  <w:rsids>
    <w:rsidRoot w:val="00F1361C"/>
    <w:rsid w:val="000142FB"/>
    <w:rsid w:val="000222C6"/>
    <w:rsid w:val="0002549F"/>
    <w:rsid w:val="000468DB"/>
    <w:rsid w:val="0006487A"/>
    <w:rsid w:val="00065F8F"/>
    <w:rsid w:val="00070A43"/>
    <w:rsid w:val="000768F2"/>
    <w:rsid w:val="000876C4"/>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3281"/>
    <w:rsid w:val="00196687"/>
    <w:rsid w:val="001C0962"/>
    <w:rsid w:val="001D7531"/>
    <w:rsid w:val="001E737D"/>
    <w:rsid w:val="001F0592"/>
    <w:rsid w:val="001F15C4"/>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0112D"/>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2B5A"/>
    <w:rsid w:val="003E6F55"/>
    <w:rsid w:val="00406254"/>
    <w:rsid w:val="00413F53"/>
    <w:rsid w:val="004223DE"/>
    <w:rsid w:val="00434489"/>
    <w:rsid w:val="00437085"/>
    <w:rsid w:val="00443880"/>
    <w:rsid w:val="004464F4"/>
    <w:rsid w:val="004578F6"/>
    <w:rsid w:val="00471401"/>
    <w:rsid w:val="00473857"/>
    <w:rsid w:val="00473F31"/>
    <w:rsid w:val="0048263A"/>
    <w:rsid w:val="00487E5D"/>
    <w:rsid w:val="004A711F"/>
    <w:rsid w:val="004B199D"/>
    <w:rsid w:val="004B4690"/>
    <w:rsid w:val="004B6A81"/>
    <w:rsid w:val="004C40D5"/>
    <w:rsid w:val="004E0A2D"/>
    <w:rsid w:val="004E206B"/>
    <w:rsid w:val="004E6DF7"/>
    <w:rsid w:val="004F0FBD"/>
    <w:rsid w:val="00505A47"/>
    <w:rsid w:val="00507F9D"/>
    <w:rsid w:val="00512FDA"/>
    <w:rsid w:val="00520DA0"/>
    <w:rsid w:val="0052426B"/>
    <w:rsid w:val="005664BB"/>
    <w:rsid w:val="00566FFA"/>
    <w:rsid w:val="0057481D"/>
    <w:rsid w:val="0058486E"/>
    <w:rsid w:val="00585B33"/>
    <w:rsid w:val="0059014D"/>
    <w:rsid w:val="00592265"/>
    <w:rsid w:val="005B5C64"/>
    <w:rsid w:val="005C1081"/>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002E"/>
    <w:rsid w:val="00681A31"/>
    <w:rsid w:val="00683E73"/>
    <w:rsid w:val="006869EE"/>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3CC6"/>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2304"/>
    <w:rsid w:val="00871F71"/>
    <w:rsid w:val="00872FD8"/>
    <w:rsid w:val="00885AF4"/>
    <w:rsid w:val="008939CD"/>
    <w:rsid w:val="008A06BD"/>
    <w:rsid w:val="008A136A"/>
    <w:rsid w:val="008B768C"/>
    <w:rsid w:val="008C4DB1"/>
    <w:rsid w:val="008C4EAF"/>
    <w:rsid w:val="008C5176"/>
    <w:rsid w:val="008C7FD0"/>
    <w:rsid w:val="008D2C25"/>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1C51"/>
    <w:rsid w:val="009D3447"/>
    <w:rsid w:val="009D4711"/>
    <w:rsid w:val="009F1185"/>
    <w:rsid w:val="009F18CD"/>
    <w:rsid w:val="009F2A13"/>
    <w:rsid w:val="009F7527"/>
    <w:rsid w:val="00A04EB0"/>
    <w:rsid w:val="00A13CC1"/>
    <w:rsid w:val="00A16847"/>
    <w:rsid w:val="00A237D8"/>
    <w:rsid w:val="00A268C4"/>
    <w:rsid w:val="00A307CD"/>
    <w:rsid w:val="00A309D1"/>
    <w:rsid w:val="00A331C8"/>
    <w:rsid w:val="00A40A00"/>
    <w:rsid w:val="00A4142F"/>
    <w:rsid w:val="00A422EB"/>
    <w:rsid w:val="00A45BB7"/>
    <w:rsid w:val="00A538FA"/>
    <w:rsid w:val="00A56029"/>
    <w:rsid w:val="00A56DF2"/>
    <w:rsid w:val="00A56E6E"/>
    <w:rsid w:val="00A67AB5"/>
    <w:rsid w:val="00A733B2"/>
    <w:rsid w:val="00A741C2"/>
    <w:rsid w:val="00A9134F"/>
    <w:rsid w:val="00A91760"/>
    <w:rsid w:val="00A93B00"/>
    <w:rsid w:val="00A93C21"/>
    <w:rsid w:val="00AA624D"/>
    <w:rsid w:val="00AB64C9"/>
    <w:rsid w:val="00AC3C6A"/>
    <w:rsid w:val="00AD5620"/>
    <w:rsid w:val="00AD656B"/>
    <w:rsid w:val="00AD6763"/>
    <w:rsid w:val="00AD730D"/>
    <w:rsid w:val="00AD7C1B"/>
    <w:rsid w:val="00AE16BA"/>
    <w:rsid w:val="00AE1EBE"/>
    <w:rsid w:val="00AF2F7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A2646"/>
    <w:rsid w:val="00BB4DF0"/>
    <w:rsid w:val="00BC289F"/>
    <w:rsid w:val="00BC2D50"/>
    <w:rsid w:val="00BC5361"/>
    <w:rsid w:val="00BC5460"/>
    <w:rsid w:val="00BC6B50"/>
    <w:rsid w:val="00BD0E25"/>
    <w:rsid w:val="00BE083A"/>
    <w:rsid w:val="00BF5BD6"/>
    <w:rsid w:val="00C03E31"/>
    <w:rsid w:val="00C32647"/>
    <w:rsid w:val="00C33E72"/>
    <w:rsid w:val="00C354B2"/>
    <w:rsid w:val="00C35554"/>
    <w:rsid w:val="00C41E6A"/>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53D7"/>
    <w:rsid w:val="00CE7B61"/>
    <w:rsid w:val="00CF2FD5"/>
    <w:rsid w:val="00D00095"/>
    <w:rsid w:val="00D114F0"/>
    <w:rsid w:val="00D20620"/>
    <w:rsid w:val="00D254F7"/>
    <w:rsid w:val="00D26091"/>
    <w:rsid w:val="00D2685C"/>
    <w:rsid w:val="00D34E7C"/>
    <w:rsid w:val="00D35489"/>
    <w:rsid w:val="00D36AFE"/>
    <w:rsid w:val="00D51276"/>
    <w:rsid w:val="00D7035F"/>
    <w:rsid w:val="00D70628"/>
    <w:rsid w:val="00DA634F"/>
    <w:rsid w:val="00DA65AC"/>
    <w:rsid w:val="00DB1913"/>
    <w:rsid w:val="00DB7712"/>
    <w:rsid w:val="00DC410D"/>
    <w:rsid w:val="00DC5A81"/>
    <w:rsid w:val="00DC68CA"/>
    <w:rsid w:val="00DC7CBA"/>
    <w:rsid w:val="00DD73B7"/>
    <w:rsid w:val="00DF28BC"/>
    <w:rsid w:val="00DF34B9"/>
    <w:rsid w:val="00DF49F1"/>
    <w:rsid w:val="00E01053"/>
    <w:rsid w:val="00E07ACF"/>
    <w:rsid w:val="00E2550A"/>
    <w:rsid w:val="00E3078A"/>
    <w:rsid w:val="00E331A1"/>
    <w:rsid w:val="00E33202"/>
    <w:rsid w:val="00E336A9"/>
    <w:rsid w:val="00E472B1"/>
    <w:rsid w:val="00E50624"/>
    <w:rsid w:val="00E5174E"/>
    <w:rsid w:val="00E568DF"/>
    <w:rsid w:val="00E64269"/>
    <w:rsid w:val="00E82267"/>
    <w:rsid w:val="00E853CE"/>
    <w:rsid w:val="00E867B6"/>
    <w:rsid w:val="00EA010F"/>
    <w:rsid w:val="00EB6AFF"/>
    <w:rsid w:val="00ED1B63"/>
    <w:rsid w:val="00ED3C1F"/>
    <w:rsid w:val="00ED4085"/>
    <w:rsid w:val="00ED420E"/>
    <w:rsid w:val="00ED6FBE"/>
    <w:rsid w:val="00EE2F57"/>
    <w:rsid w:val="00EF4C34"/>
    <w:rsid w:val="00EF77C6"/>
    <w:rsid w:val="00F05438"/>
    <w:rsid w:val="00F05D1B"/>
    <w:rsid w:val="00F1361C"/>
    <w:rsid w:val="00F156F0"/>
    <w:rsid w:val="00F160C7"/>
    <w:rsid w:val="00F17415"/>
    <w:rsid w:val="00F2408F"/>
    <w:rsid w:val="00F240E9"/>
    <w:rsid w:val="00F3160D"/>
    <w:rsid w:val="00F36D8F"/>
    <w:rsid w:val="00F417B1"/>
    <w:rsid w:val="00F45853"/>
    <w:rsid w:val="00F602DF"/>
    <w:rsid w:val="00F754A1"/>
    <w:rsid w:val="00F81FD9"/>
    <w:rsid w:val="00F841AA"/>
    <w:rsid w:val="00F84A94"/>
    <w:rsid w:val="00F87E96"/>
    <w:rsid w:val="00FA23E8"/>
    <w:rsid w:val="00FC0DEC"/>
    <w:rsid w:val="00FD3CC1"/>
    <w:rsid w:val="00FE2F36"/>
    <w:rsid w:val="00FF1E02"/>
    <w:rsid w:val="00FF30B4"/>
    <w:rsid w:val="015975B8"/>
    <w:rsid w:val="02143E91"/>
    <w:rsid w:val="021F47FE"/>
    <w:rsid w:val="03872B82"/>
    <w:rsid w:val="066E0107"/>
    <w:rsid w:val="07996F6E"/>
    <w:rsid w:val="0987382B"/>
    <w:rsid w:val="0A2032A3"/>
    <w:rsid w:val="0E730CC9"/>
    <w:rsid w:val="0EDC0C24"/>
    <w:rsid w:val="0F102271"/>
    <w:rsid w:val="0F98263C"/>
    <w:rsid w:val="0FFE73A8"/>
    <w:rsid w:val="101860EC"/>
    <w:rsid w:val="10C055FF"/>
    <w:rsid w:val="11803EC2"/>
    <w:rsid w:val="118107EC"/>
    <w:rsid w:val="11BE6B6F"/>
    <w:rsid w:val="127977FC"/>
    <w:rsid w:val="12AC5A29"/>
    <w:rsid w:val="13D50BC4"/>
    <w:rsid w:val="16BB723D"/>
    <w:rsid w:val="17DF6320"/>
    <w:rsid w:val="1B2D6E3E"/>
    <w:rsid w:val="1BE8440E"/>
    <w:rsid w:val="1D155CEE"/>
    <w:rsid w:val="1FF35744"/>
    <w:rsid w:val="21857A87"/>
    <w:rsid w:val="22AB1565"/>
    <w:rsid w:val="23592C7F"/>
    <w:rsid w:val="23860B96"/>
    <w:rsid w:val="240371BF"/>
    <w:rsid w:val="25CA0DE7"/>
    <w:rsid w:val="28282052"/>
    <w:rsid w:val="286F5EE4"/>
    <w:rsid w:val="28DB5CB1"/>
    <w:rsid w:val="29FD04D3"/>
    <w:rsid w:val="2C8A61B5"/>
    <w:rsid w:val="2DF04E50"/>
    <w:rsid w:val="2F040D46"/>
    <w:rsid w:val="319F7F4E"/>
    <w:rsid w:val="3304709D"/>
    <w:rsid w:val="34420AB1"/>
    <w:rsid w:val="36AA5135"/>
    <w:rsid w:val="375A2FFB"/>
    <w:rsid w:val="376D39B2"/>
    <w:rsid w:val="37E16F03"/>
    <w:rsid w:val="38D469F0"/>
    <w:rsid w:val="3D98207C"/>
    <w:rsid w:val="3E78745D"/>
    <w:rsid w:val="44E268DA"/>
    <w:rsid w:val="48F467BF"/>
    <w:rsid w:val="49985904"/>
    <w:rsid w:val="49A54AF6"/>
    <w:rsid w:val="4A627F82"/>
    <w:rsid w:val="4B0E749A"/>
    <w:rsid w:val="4B4F25DA"/>
    <w:rsid w:val="4BE068DB"/>
    <w:rsid w:val="4D577224"/>
    <w:rsid w:val="4EAB630A"/>
    <w:rsid w:val="4ECE2238"/>
    <w:rsid w:val="50C2570B"/>
    <w:rsid w:val="537E6D0A"/>
    <w:rsid w:val="59355B44"/>
    <w:rsid w:val="59A636B5"/>
    <w:rsid w:val="5AF92295"/>
    <w:rsid w:val="5CD71FC4"/>
    <w:rsid w:val="62B0155E"/>
    <w:rsid w:val="636B5B40"/>
    <w:rsid w:val="658B293D"/>
    <w:rsid w:val="66AB15AA"/>
    <w:rsid w:val="676E3B2A"/>
    <w:rsid w:val="6C4A05C8"/>
    <w:rsid w:val="6E7E3605"/>
    <w:rsid w:val="6FEA3E82"/>
    <w:rsid w:val="6FF5CC65"/>
    <w:rsid w:val="71033B8B"/>
    <w:rsid w:val="715C0E4B"/>
    <w:rsid w:val="72734D90"/>
    <w:rsid w:val="72D02B3B"/>
    <w:rsid w:val="73AD73D5"/>
    <w:rsid w:val="73B6EB34"/>
    <w:rsid w:val="73C70602"/>
    <w:rsid w:val="744731E5"/>
    <w:rsid w:val="7538182C"/>
    <w:rsid w:val="76E3355F"/>
    <w:rsid w:val="77317FCC"/>
    <w:rsid w:val="778769C8"/>
    <w:rsid w:val="782E7358"/>
    <w:rsid w:val="79EE5BA4"/>
    <w:rsid w:val="7A894339"/>
    <w:rsid w:val="7B866AAF"/>
    <w:rsid w:val="7C771237"/>
    <w:rsid w:val="7CCC3ABB"/>
    <w:rsid w:val="7D5833C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1"/>
    <w:qFormat/>
    <w:uiPriority w:val="0"/>
    <w:pPr>
      <w:spacing w:after="120"/>
      <w:ind w:left="200" w:leftChars="200"/>
    </w:pPr>
    <w:rPr>
      <w:rFonts w:ascii="仿宋_GB2312"/>
      <w:szCs w:val="32"/>
    </w:rPr>
  </w:style>
  <w:style w:type="paragraph" w:styleId="7">
    <w:name w:val="Normal Indent"/>
    <w:basedOn w:val="1"/>
    <w:unhideWhenUsed/>
    <w:qFormat/>
    <w:uiPriority w:val="99"/>
    <w:pPr>
      <w:ind w:firstLine="680"/>
    </w:pPr>
    <w:rPr>
      <w:rFonts w:eastAsia="文鼎CS仿宋体"/>
      <w:sz w:val="32"/>
      <w:szCs w:val="32"/>
    </w:rPr>
  </w:style>
  <w:style w:type="paragraph" w:styleId="8">
    <w:name w:val="Salutation"/>
    <w:basedOn w:val="1"/>
    <w:next w:val="1"/>
    <w:unhideWhenUsed/>
    <w:qFormat/>
    <w:uiPriority w:val="99"/>
  </w:style>
  <w:style w:type="paragraph" w:styleId="9">
    <w:name w:val="Body Text"/>
    <w:basedOn w:val="1"/>
    <w:link w:val="29"/>
    <w:qFormat/>
    <w:uiPriority w:val="99"/>
    <w:pPr>
      <w:spacing w:beforeLines="30"/>
    </w:pPr>
    <w:rPr>
      <w:rFonts w:ascii="仿宋_GB2312" w:eastAsia="仿宋_GB2312"/>
      <w:kern w:val="0"/>
      <w:sz w:val="30"/>
    </w:rPr>
  </w:style>
  <w:style w:type="paragraph" w:styleId="10">
    <w:name w:val="toc 3"/>
    <w:basedOn w:val="1"/>
    <w:next w:val="1"/>
    <w:unhideWhenUsed/>
    <w:qFormat/>
    <w:uiPriority w:val="39"/>
    <w:pPr>
      <w:tabs>
        <w:tab w:val="right" w:leader="dot" w:pos="8296"/>
      </w:tabs>
      <w:ind w:left="840" w:leftChars="400"/>
    </w:pPr>
  </w:style>
  <w:style w:type="paragraph" w:styleId="11">
    <w:name w:val="Plain Text"/>
    <w:basedOn w:val="1"/>
    <w:qFormat/>
    <w:uiPriority w:val="0"/>
    <w:rPr>
      <w:rFonts w:ascii="宋体" w:hAnsi="Courier New"/>
    </w:rPr>
  </w:style>
  <w:style w:type="paragraph" w:styleId="12">
    <w:name w:val="Balloon Text"/>
    <w:basedOn w:val="1"/>
    <w:link w:val="35"/>
    <w:semiHidden/>
    <w:unhideWhenUsed/>
    <w:qFormat/>
    <w:uiPriority w:val="99"/>
    <w:rPr>
      <w:sz w:val="18"/>
      <w:szCs w:val="18"/>
    </w:rPr>
  </w:style>
  <w:style w:type="paragraph" w:styleId="13">
    <w:name w:val="footer"/>
    <w:basedOn w:val="1"/>
    <w:link w:val="27"/>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6">
    <w:name w:val="toc 2"/>
    <w:basedOn w:val="1"/>
    <w:next w:val="1"/>
    <w:unhideWhenUsed/>
    <w:qFormat/>
    <w:uiPriority w:val="39"/>
    <w:pPr>
      <w:tabs>
        <w:tab w:val="right" w:leader="dot" w:pos="8296"/>
      </w:tabs>
      <w:ind w:left="420" w:leftChars="200"/>
    </w:pPr>
  </w:style>
  <w:style w:type="paragraph" w:styleId="17">
    <w:name w:val="Normal (Web)"/>
    <w:basedOn w:val="1"/>
    <w:qFormat/>
    <w:uiPriority w:val="0"/>
    <w:pPr>
      <w:spacing w:before="100" w:beforeAutospacing="1" w:after="100" w:afterAutospacing="1"/>
      <w:jc w:val="left"/>
    </w:pPr>
    <w:rPr>
      <w:kern w:val="0"/>
      <w:sz w:val="24"/>
    </w:rPr>
  </w:style>
  <w:style w:type="paragraph" w:styleId="18">
    <w:name w:val="Title"/>
    <w:basedOn w:val="1"/>
    <w:next w:val="1"/>
    <w:qFormat/>
    <w:uiPriority w:val="0"/>
    <w:pPr>
      <w:spacing w:before="240" w:after="60"/>
      <w:jc w:val="center"/>
      <w:outlineLvl w:val="0"/>
    </w:pPr>
    <w:rPr>
      <w:rFonts w:ascii="Cambria" w:hAnsi="Cambria"/>
      <w:b/>
      <w:bCs/>
      <w:sz w:val="32"/>
      <w:szCs w:val="32"/>
    </w:rPr>
  </w:style>
  <w:style w:type="character" w:styleId="21">
    <w:name w:val="Strong"/>
    <w:basedOn w:val="20"/>
    <w:qFormat/>
    <w:uiPriority w:val="99"/>
    <w:rPr>
      <w:b/>
    </w:rPr>
  </w:style>
  <w:style w:type="character" w:styleId="22">
    <w:name w:val="Hyperlink"/>
    <w:basedOn w:val="20"/>
    <w:unhideWhenUsed/>
    <w:qFormat/>
    <w:uiPriority w:val="99"/>
    <w:rPr>
      <w:color w:val="0000FF" w:themeColor="hyperlink"/>
      <w:u w:val="single"/>
    </w:rPr>
  </w:style>
  <w:style w:type="paragraph" w:customStyle="1" w:styleId="23">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4">
    <w:name w:val="Header Char"/>
    <w:basedOn w:val="20"/>
    <w:semiHidden/>
    <w:qFormat/>
    <w:uiPriority w:val="99"/>
    <w:rPr>
      <w:rFonts w:ascii="Times New Roman" w:hAnsi="Times New Roman"/>
      <w:sz w:val="18"/>
      <w:szCs w:val="18"/>
    </w:rPr>
  </w:style>
  <w:style w:type="character" w:customStyle="1" w:styleId="25">
    <w:name w:val="页眉 Char"/>
    <w:link w:val="14"/>
    <w:semiHidden/>
    <w:qFormat/>
    <w:locked/>
    <w:uiPriority w:val="99"/>
    <w:rPr>
      <w:sz w:val="18"/>
    </w:rPr>
  </w:style>
  <w:style w:type="character" w:customStyle="1" w:styleId="26">
    <w:name w:val="Footer Char"/>
    <w:basedOn w:val="20"/>
    <w:semiHidden/>
    <w:qFormat/>
    <w:uiPriority w:val="99"/>
    <w:rPr>
      <w:rFonts w:ascii="Times New Roman" w:hAnsi="Times New Roman"/>
      <w:sz w:val="18"/>
      <w:szCs w:val="18"/>
    </w:rPr>
  </w:style>
  <w:style w:type="character" w:customStyle="1" w:styleId="27">
    <w:name w:val="页脚 Char"/>
    <w:link w:val="13"/>
    <w:qFormat/>
    <w:locked/>
    <w:uiPriority w:val="99"/>
    <w:rPr>
      <w:sz w:val="18"/>
    </w:rPr>
  </w:style>
  <w:style w:type="character" w:customStyle="1" w:styleId="28">
    <w:name w:val="Body Text Char"/>
    <w:basedOn w:val="20"/>
    <w:semiHidden/>
    <w:qFormat/>
    <w:uiPriority w:val="99"/>
    <w:rPr>
      <w:rFonts w:ascii="Times New Roman" w:hAnsi="Times New Roman"/>
      <w:szCs w:val="24"/>
    </w:rPr>
  </w:style>
  <w:style w:type="character" w:customStyle="1" w:styleId="29">
    <w:name w:val="正文文本 Char"/>
    <w:link w:val="9"/>
    <w:qFormat/>
    <w:locked/>
    <w:uiPriority w:val="99"/>
    <w:rPr>
      <w:rFonts w:ascii="仿宋_GB2312" w:hAnsi="Times New Roman" w:eastAsia="仿宋_GB2312"/>
      <w:sz w:val="24"/>
    </w:rPr>
  </w:style>
  <w:style w:type="paragraph" w:customStyle="1" w:styleId="30">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1">
    <w:name w:val="List Paragraph"/>
    <w:basedOn w:val="1"/>
    <w:qFormat/>
    <w:uiPriority w:val="34"/>
    <w:pPr>
      <w:ind w:firstLine="420" w:firstLineChars="200"/>
    </w:pPr>
  </w:style>
  <w:style w:type="character" w:customStyle="1" w:styleId="32">
    <w:name w:val="标题 1 Char"/>
    <w:basedOn w:val="20"/>
    <w:link w:val="4"/>
    <w:qFormat/>
    <w:uiPriority w:val="9"/>
    <w:rPr>
      <w:rFonts w:ascii="Times New Roman" w:hAnsi="Times New Roman"/>
      <w:b/>
      <w:bCs/>
      <w:kern w:val="44"/>
      <w:sz w:val="44"/>
      <w:szCs w:val="44"/>
    </w:rPr>
  </w:style>
  <w:style w:type="character" w:customStyle="1" w:styleId="33">
    <w:name w:val="标题 2 Char"/>
    <w:basedOn w:val="20"/>
    <w:link w:val="5"/>
    <w:qFormat/>
    <w:uiPriority w:val="9"/>
    <w:rPr>
      <w:rFonts w:asciiTheme="majorHAnsi" w:hAnsiTheme="majorHAnsi" w:eastAsiaTheme="majorEastAsia" w:cstheme="majorBidi"/>
      <w:b/>
      <w:bCs/>
      <w:kern w:val="2"/>
      <w:sz w:val="32"/>
      <w:szCs w:val="32"/>
    </w:rPr>
  </w:style>
  <w:style w:type="paragraph" w:customStyle="1" w:styleId="34">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5">
    <w:name w:val="批注框文本 Char"/>
    <w:basedOn w:val="20"/>
    <w:link w:val="12"/>
    <w:semiHidden/>
    <w:qFormat/>
    <w:uiPriority w:val="99"/>
    <w:rPr>
      <w:rFonts w:ascii="Times New Roman" w:hAnsi="Times New Roman"/>
      <w:kern w:val="2"/>
      <w:sz w:val="18"/>
      <w:szCs w:val="18"/>
    </w:rPr>
  </w:style>
  <w:style w:type="character" w:customStyle="1" w:styleId="36">
    <w:name w:val="标题 3 Char"/>
    <w:basedOn w:val="20"/>
    <w:link w:val="6"/>
    <w:qFormat/>
    <w:uiPriority w:val="9"/>
    <w:rPr>
      <w:rFonts w:ascii="Times New Roman" w:hAnsi="Times New Roman"/>
      <w:b/>
      <w:bCs/>
      <w:kern w:val="2"/>
      <w:sz w:val="32"/>
      <w:szCs w:val="32"/>
    </w:rPr>
  </w:style>
  <w:style w:type="paragraph" w:customStyle="1" w:styleId="37">
    <w:name w:val="TOC 标题2"/>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8">
    <w:name w:val="四号正文"/>
    <w:basedOn w:val="1"/>
    <w:qFormat/>
    <w:uiPriority w:val="0"/>
    <w:pPr>
      <w:spacing w:line="360" w:lineRule="auto"/>
    </w:pPr>
    <w:rPr>
      <w:rFonts w:ascii="??" w:hAnsi="??"/>
      <w:color w:val="000000"/>
      <w:kern w:val="0"/>
      <w:sz w:val="28"/>
      <w:szCs w:val="21"/>
      <w:lang w:val="zh-CN"/>
    </w:rPr>
  </w:style>
  <w:style w:type="paragraph" w:customStyle="1" w:styleId="39">
    <w:name w:val="WPSOffice手动目录 1"/>
    <w:qFormat/>
    <w:uiPriority w:val="0"/>
    <w:rPr>
      <w:rFonts w:ascii="Times New Roman" w:hAnsi="Times New Roman" w:eastAsia="宋体" w:cs="Times New Roman"/>
      <w:lang w:val="en-US" w:eastAsia="zh-CN" w:bidi="ar-SA"/>
    </w:rPr>
  </w:style>
  <w:style w:type="paragraph" w:customStyle="1" w:styleId="40">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0" Type="http://schemas.openxmlformats.org/officeDocument/2006/relationships/glossaryDocument" Target="glossary/document.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H:\2023&#24180;&#24037;&#20316;\2022&#24180;&#20915;&#31639;&#20844;&#24320;\&#36130;&#25919;&#23616;\&#27719;&#24635;\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manualLayout>
          <c:layoutTarget val="inner"/>
          <c:xMode val="edge"/>
          <c:yMode val="edge"/>
          <c:x val="0.151154745208041"/>
          <c:y val="0.195401662049861"/>
          <c:w val="0.360804114071996"/>
          <c:h val="0.712613111726685"/>
        </c:manualLayout>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explosion val="1"/>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23931645867945"/>
                  <c:y val="-0.214015673177148"/>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altLang="en-US"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一般公共预算财政拨款收入</a:t>
                    </a:r>
                    <a:endPar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endParaRPr>
                  </a:p>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1354.91</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100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manualLayout>
                  <c:x val="-0.158693818532353"/>
                  <c:y val="-0.0118990956687292"/>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ysClr val="windowText" lastClr="000000">
                            <a:alpha val="100000"/>
                          </a:sysClr>
                        </a:solidFill>
                        <a:latin typeface="+mn-lt"/>
                        <a:ea typeface="+mn-ea"/>
                        <a:cs typeface="+mn-cs"/>
                      </a:defRPr>
                    </a:pPr>
                    <a:r>
                      <a:rPr lang="en-US" altLang="zh-CN" sz="1200" b="0" i="0" u="none" strike="noStrike" baseline="0">
                        <a:solidFill>
                          <a:sysClr val="windowText" lastClr="000000">
                            <a:alpha val="100000"/>
                          </a:sysClr>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alpha val="100000"/>
                          </a:sysClr>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ysClr val="windowText" lastClr="000000">
                            <a:alpha val="100000"/>
                          </a:sysClr>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alpha val="100000"/>
                          </a:sysClr>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alpha val="100000"/>
                        </a:sysClr>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ysClr val="windowText" lastClr="000000">
                          <a:alpha val="100000"/>
                        </a:sys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20351974358341"/>
                  <c:y val="0.15511172668753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228765185378641"/>
                  <c:y val="0.274225300094739"/>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73338601437629"/>
                  <c:y val="0.127410895662606"/>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97332637394575"/>
                  <c:y val="0.0520277462083629"/>
                </c:manualLayout>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1354.91</c:v>
                </c:pt>
                <c:pt idx="2">
                  <c:v>0</c:v>
                </c:pt>
                <c:pt idx="3">
                  <c:v>0</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[2021决算公开图表.xls]Sheet1!$D$3:$D$8</c:f>
              <c:numCache>
                <c:formatCode>0.00%</c:formatCode>
                <c:ptCount val="6"/>
                <c:pt idx="0">
                  <c:v>1</c:v>
                </c:pt>
                <c:pt idx="2" c:formatCode="0%">
                  <c:v>0</c:v>
                </c:pt>
                <c:pt idx="3" c:formatCode="0%">
                  <c:v>0</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47704542716"/>
          <c:y val="0.163731556401713"/>
          <c:w val="0.334498132305097"/>
          <c:h val="0.736792003807711"/>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基本支出, 996.38, 73.5%</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0578161199680223"/>
                  <c:y val="0.28383867686395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项目支出, 358.52, 26.</a:t>
                    </a:r>
                    <a:r>
                      <a:rPr lang="en-US" altLang="zh-CN"/>
                      <a:t>5</a:t>
                    </a:r>
                    <a:r>
                      <a:t>%</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69177126917713"/>
                  <c:y val="0.15238271148873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58766019771839"/>
                  <c:y val="0.10360472848411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63598242300589"/>
                  <c:y val="0.338490168237168"/>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996.38</c:v>
                </c:pt>
                <c:pt idx="1">
                  <c:v>358.52</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0.735000000000001</c:v>
                </c:pt>
                <c:pt idx="1">
                  <c:v>0.265</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6955317400828"/>
          <c:y val="0.203728324942989"/>
          <c:w val="0.23726363964832"/>
          <c:h val="0.73020990204093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[2021决算公开图表.xls]Sheet1!$B$167:$C$167</c:f>
              <c:strCache>
                <c:ptCount val="2"/>
                <c:pt idx="0">
                  <c:v>2022年</c:v>
                </c:pt>
                <c:pt idx="1">
                  <c:v>2021年</c:v>
                </c:pt>
              </c:strCache>
            </c:strRef>
          </c:cat>
          <c:val>
            <c:numRef>
              <c:f>[2021决算公开图表.xls]Sheet1!$B$168:$C$168</c:f>
              <c:numCache>
                <c:formatCode>General</c:formatCode>
                <c:ptCount val="2"/>
                <c:pt idx="0">
                  <c:v>1354.91</c:v>
                </c:pt>
                <c:pt idx="1">
                  <c:v>1995.66</c:v>
                </c:pt>
              </c:numCache>
            </c:numRef>
          </c:val>
        </c:ser>
        <c:dLbls>
          <c:showLegendKey val="0"/>
          <c:showVal val="1"/>
          <c:showCatName val="0"/>
          <c:showSerName val="0"/>
          <c:showPercent val="0"/>
          <c:showBubbleSize val="0"/>
        </c:dLbls>
        <c:gapWidth val="150"/>
        <c:axId val="130565632"/>
        <c:axId val="130567168"/>
      </c:barChart>
      <c:catAx>
        <c:axId val="130565632"/>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0567168"/>
        <c:crosses val="autoZero"/>
        <c:auto val="1"/>
        <c:lblAlgn val="ctr"/>
        <c:lblOffset val="100"/>
        <c:noMultiLvlLbl val="0"/>
      </c:catAx>
      <c:valAx>
        <c:axId val="130567168"/>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056563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281416338812"/>
          <c:w val="0.290190407327068"/>
          <c:h val="0.202036565609813"/>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2022年</c:v>
                </c:pt>
                <c:pt idx="1">
                  <c:v>2021年</c:v>
                </c:pt>
              </c:strCache>
            </c:strRef>
          </c:cat>
          <c:val>
            <c:numRef>
              <c:f>[2021决算公开图表.xls]Sheet1!$B$85:$C$85</c:f>
              <c:numCache>
                <c:formatCode>General</c:formatCode>
                <c:ptCount val="2"/>
                <c:pt idx="0">
                  <c:v>1354.91</c:v>
                </c:pt>
                <c:pt idx="1">
                  <c:v>1995.66</c:v>
                </c:pt>
              </c:numCache>
            </c:numRef>
          </c:val>
        </c:ser>
        <c:dLbls>
          <c:showLegendKey val="0"/>
          <c:showVal val="1"/>
          <c:showCatName val="0"/>
          <c:showSerName val="0"/>
          <c:showPercent val="0"/>
          <c:showBubbleSize val="0"/>
        </c:dLbls>
        <c:gapWidth val="150"/>
        <c:axId val="130575360"/>
        <c:axId val="130581248"/>
      </c:barChart>
      <c:catAx>
        <c:axId val="130575360"/>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0581248"/>
        <c:crosses val="autoZero"/>
        <c:auto val="1"/>
        <c:lblAlgn val="ctr"/>
        <c:lblOffset val="100"/>
        <c:noMultiLvlLbl val="0"/>
      </c:catAx>
      <c:valAx>
        <c:axId val="130581248"/>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0575360"/>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13408023132"/>
          <c:y val="0.505763349800045"/>
          <c:w val="0.315263221298639"/>
          <c:h val="0.204657727593507"/>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4"/>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chemeClr val="accent2"/>
              </a:solidFill>
              <a:ln w="12700">
                <a:solidFill>
                  <a:srgbClr val="000000">
                    <a:alpha val="100000"/>
                  </a:srgbClr>
                </a:solidFill>
                <a:prstDash val="solid"/>
              </a:ln>
              <a:effectLst/>
            </c:spPr>
          </c:dPt>
          <c:dPt>
            <c:idx val="5"/>
            <c:bubble3D val="0"/>
            <c:spPr>
              <a:solidFill>
                <a:schemeClr val="accent6"/>
              </a:solidFill>
              <a:ln w="12700">
                <a:solidFill>
                  <a:srgbClr val="000000">
                    <a:alpha val="100000"/>
                  </a:srgbClr>
                </a:solidFill>
                <a:prstDash val="solid"/>
              </a:ln>
              <a:effectLst/>
            </c:spPr>
          </c:dPt>
          <c:dLbls>
            <c:dLbl>
              <c:idx val="1"/>
              <c:layout>
                <c:manualLayout>
                  <c:x val="0.00294956440705735"/>
                  <c:y val="0.141594246329038"/>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11044029029676"/>
                  <c:y val="0.0467987371177445"/>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473002296021704"/>
                      <c:h val="0.0982918789331734"/>
                    </c:manualLayout>
                  </c15:layout>
                </c:ext>
              </c:extLst>
            </c:dLbl>
            <c:dLbl>
              <c:idx val="3"/>
              <c:layout>
                <c:manualLayout>
                  <c:x val="0.0165745856353592"/>
                  <c:y val="0.0134851663170512"/>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336064462537325"/>
                      <c:h val="0.0987413844770752"/>
                    </c:manualLayout>
                  </c15:layout>
                </c:ext>
              </c:extLst>
            </c:dLbl>
            <c:dLbl>
              <c:idx val="4"/>
              <c:layout>
                <c:manualLayout>
                  <c:x val="0.33288049096818"/>
                  <c:y val="0.047096613889284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[2021决算公开图表.xls]Sheet1!$B$110:$B$115</c:f>
              <c:numCache>
                <c:formatCode>General</c:formatCode>
                <c:ptCount val="6"/>
                <c:pt idx="0">
                  <c:v>1077.11</c:v>
                </c:pt>
                <c:pt idx="1">
                  <c:v>132.91</c:v>
                </c:pt>
                <c:pt idx="2">
                  <c:v>72.41</c:v>
                </c:pt>
                <c:pt idx="3">
                  <c:v>2</c:v>
                </c:pt>
                <c:pt idx="4">
                  <c:v>70.48</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993366"/>
              </a:solidFill>
              <a:ln w="12700">
                <a:solidFill>
                  <a:srgbClr val="000000"/>
                </a:solidFill>
                <a:prstDash val="solid"/>
              </a:ln>
              <a:effectLst/>
            </c:spPr>
          </c:dPt>
          <c:dPt>
            <c:idx val="5"/>
            <c:bubble3D val="0"/>
            <c:spPr>
              <a:solidFill>
                <a:srgbClr val="993366"/>
              </a:solidFill>
              <a:ln w="12700">
                <a:solidFill>
                  <a:srgbClr val="000000"/>
                </a:solidFill>
                <a:prstDash val="solid"/>
              </a:ln>
              <a:effectLst/>
            </c:spPr>
          </c:dPt>
          <c:dLbls>
            <c:delete val="1"/>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[2021决算公开图表.xls]Sheet1!$C$110:$C$115</c:f>
              <c:numCache>
                <c:formatCode>0.00%</c:formatCode>
                <c:ptCount val="6"/>
                <c:pt idx="0">
                  <c:v>0.795</c:v>
                </c:pt>
                <c:pt idx="1">
                  <c:v>0.0980000000000002</c:v>
                </c:pt>
                <c:pt idx="2">
                  <c:v>0.053</c:v>
                </c:pt>
                <c:pt idx="3">
                  <c:v>0.001</c:v>
                </c:pt>
                <c:pt idx="4">
                  <c:v>0.053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egendEntry>
        <c:idx val="5"/>
        <c:delete val="1"/>
      </c:legendEntry>
      <c:layout>
        <c:manualLayout>
          <c:xMode val="edge"/>
          <c:yMode val="edge"/>
          <c:x val="0.755694829456432"/>
          <c:y val="0.376936654245931"/>
          <c:w val="0.238760997951067"/>
          <c:h val="0.53932143557560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2" charset="0"/>
                <a:ea typeface="Arial" panose="020B0604020202020204" pitchFamily="2" charset="0"/>
                <a:cs typeface="Arial" panose="020B0604020202020204" pitchFamily="2"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7368596216539"/>
          <c:y val="0.0221606648199446"/>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229667059839955"/>
                  <c:y val="0.13850415512465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公务用车购置及运行维护费支出, 0.92, </a:t>
                    </a:r>
                    <a:r>
                      <a:rPr lang="en-US" altLang="zh-CN"/>
                      <a:t>67.2</a:t>
                    </a:r>
                    <a:r>
                      <a:t>%</a:t>
                    </a:r>
                  </a:p>
                </c:rich>
              </c:tx>
              <c:dLblPos val="bestFit"/>
              <c:showLegendKey val="1"/>
              <c:showVal val="1"/>
              <c:showCatName val="1"/>
              <c:showSerName val="0"/>
              <c:showPercent val="1"/>
              <c:showBubbleSize val="0"/>
              <c:extLst>
                <c:ext xmlns:c15="http://schemas.microsoft.com/office/drawing/2012/chart" uri="{CE6537A1-D6FC-4f65-9D91-7224C49458BB}"/>
              </c:extLst>
            </c:dLbl>
            <c:dLbl>
              <c:idx val="2"/>
              <c:layout>
                <c:manualLayout>
                  <c:x val="0.0213723278290188"/>
                  <c:y val="0.0997229916897507"/>
                </c:manualLayout>
              </c:layout>
              <c:tx>
                <c:rich>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公务接待费支出, 0.45, 3</a:t>
                    </a:r>
                    <a:r>
                      <a:rPr lang="en-US" altLang="zh-CN"/>
                      <a:t>2.8</a:t>
                    </a:r>
                    <a:r>
                      <a:t>%</a:t>
                    </a:r>
                  </a:p>
                </c:rich>
              </c:tx>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[2021决算公开图表.xls]Sheet1!$C$138:$C$140</c:f>
              <c:numCache>
                <c:formatCode>General</c:formatCode>
                <c:ptCount val="3"/>
                <c:pt idx="0">
                  <c:v>0</c:v>
                </c:pt>
                <c:pt idx="1">
                  <c:v>0.92</c:v>
                </c:pt>
                <c:pt idx="2">
                  <c:v>0.45</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[2021决算公开图表.xls]Sheet1!$D$138:$D$140</c:f>
              <c:numCache>
                <c:formatCode>General</c:formatCode>
                <c:ptCount val="3"/>
                <c:pt idx="0">
                  <c:v>0</c:v>
                </c:pt>
                <c:pt idx="1" c:formatCode="0%">
                  <c:v>0.672000000000002</c:v>
                </c:pt>
                <c:pt idx="2" c:formatCode="0%">
                  <c:v>0.328000000000001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5538146317945"/>
          <c:y val="0.233781278962002"/>
          <c:w val="0.338556104616126"/>
          <c:h val="0.49930491195551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a627d21-efba-4783-8c67-d7038a0fe5fb}"/>
        <w:style w:val=""/>
        <w:category>
          <w:name w:val="常规"/>
          <w:gallery w:val="placeholder"/>
        </w:category>
        <w:types>
          <w:type w:val="bbPlcHdr"/>
        </w:types>
        <w:behaviors>
          <w:behavior w:val="content"/>
        </w:behaviors>
        <w:description w:val=""/>
        <w:guid w:val="{5a627d21-efba-4783-8c67-d7038a0fe5fb}"/>
      </w:docPartPr>
      <w:docPartBody>
        <w:p>
          <w:r>
            <w:rPr>
              <w:color w:val="808080"/>
            </w:rPr>
            <w:t>单击此处输入文字。</w:t>
          </w:r>
        </w:p>
      </w:docPartBody>
    </w:docPart>
    <w:docPart>
      <w:docPartPr>
        <w:name w:val="{49eabc3e-9221-4013-90c4-d0468a54ff7d}"/>
        <w:style w:val=""/>
        <w:category>
          <w:name w:val="常规"/>
          <w:gallery w:val="placeholder"/>
        </w:category>
        <w:types>
          <w:type w:val="bbPlcHdr"/>
        </w:types>
        <w:behaviors>
          <w:behavior w:val="content"/>
        </w:behaviors>
        <w:description w:val=""/>
        <w:guid w:val="{49eabc3e-9221-4013-90c4-d0468a54ff7d}"/>
      </w:docPartPr>
      <w:docPartBody>
        <w:p>
          <w:r>
            <w:rPr>
              <w:color w:val="808080"/>
            </w:rPr>
            <w:t>单击此处输入文字。</w:t>
          </w:r>
        </w:p>
      </w:docPartBody>
    </w:docPart>
    <w:docPart>
      <w:docPartPr>
        <w:name w:val="{64ddb46a-8bc4-47f1-b397-d913ba0ae736}"/>
        <w:style w:val=""/>
        <w:category>
          <w:name w:val="常规"/>
          <w:gallery w:val="placeholder"/>
        </w:category>
        <w:types>
          <w:type w:val="bbPlcHdr"/>
        </w:types>
        <w:behaviors>
          <w:behavior w:val="content"/>
        </w:behaviors>
        <w:description w:val=""/>
        <w:guid w:val="{64ddb46a-8bc4-47f1-b397-d913ba0ae736}"/>
      </w:docPartPr>
      <w:docPartBody>
        <w:p>
          <w:r>
            <w:rPr>
              <w:color w:val="808080"/>
            </w:rPr>
            <w:t>单击此处输入文字。</w:t>
          </w:r>
        </w:p>
      </w:docPartBody>
    </w:docPart>
    <w:docPart>
      <w:docPartPr>
        <w:name w:val="{8959db45-9fb9-4aed-a797-5a98ba35f74f}"/>
        <w:style w:val=""/>
        <w:category>
          <w:name w:val="常规"/>
          <w:gallery w:val="placeholder"/>
        </w:category>
        <w:types>
          <w:type w:val="bbPlcHdr"/>
        </w:types>
        <w:behaviors>
          <w:behavior w:val="content"/>
        </w:behaviors>
        <w:description w:val=""/>
        <w:guid w:val="{8959db45-9fb9-4aed-a797-5a98ba35f74f}"/>
      </w:docPartPr>
      <w:docPartBody>
        <w:p>
          <w:r>
            <w:rPr>
              <w:color w:val="808080"/>
            </w:rPr>
            <w:t>单击此处输入文字。</w:t>
          </w:r>
        </w:p>
      </w:docPartBody>
    </w:docPart>
    <w:docPart>
      <w:docPartPr>
        <w:name w:val="{b36a0629-69a3-4eac-9023-a5d8f6fd7a89}"/>
        <w:style w:val=""/>
        <w:category>
          <w:name w:val="常规"/>
          <w:gallery w:val="placeholder"/>
        </w:category>
        <w:types>
          <w:type w:val="bbPlcHdr"/>
        </w:types>
        <w:behaviors>
          <w:behavior w:val="content"/>
        </w:behaviors>
        <w:description w:val=""/>
        <w:guid w:val="{b36a0629-69a3-4eac-9023-a5d8f6fd7a89}"/>
      </w:docPartPr>
      <w:docPartBody>
        <w:p>
          <w:r>
            <w:rPr>
              <w:color w:val="808080"/>
            </w:rPr>
            <w:t>单击此处输入文字。</w:t>
          </w:r>
        </w:p>
      </w:docPartBody>
    </w:docPart>
    <w:docPart>
      <w:docPartPr>
        <w:name w:val="{d4f8bc72-06b0-4c5e-abd1-e5a14cfefd45}"/>
        <w:style w:val=""/>
        <w:category>
          <w:name w:val="常规"/>
          <w:gallery w:val="placeholder"/>
        </w:category>
        <w:types>
          <w:type w:val="bbPlcHdr"/>
        </w:types>
        <w:behaviors>
          <w:behavior w:val="content"/>
        </w:behaviors>
        <w:description w:val=""/>
        <w:guid w:val="{d4f8bc72-06b0-4c5e-abd1-e5a14cfefd45}"/>
      </w:docPartPr>
      <w:docPartBody>
        <w:p>
          <w:r>
            <w:rPr>
              <w:color w:val="808080"/>
            </w:rPr>
            <w:t>单击此处输入文字。</w:t>
          </w:r>
        </w:p>
      </w:docPartBody>
    </w:docPart>
    <w:docPart>
      <w:docPartPr>
        <w:name w:val="{87ac4d1e-7c8a-42dc-affe-354d5254f047}"/>
        <w:style w:val=""/>
        <w:category>
          <w:name w:val="常规"/>
          <w:gallery w:val="placeholder"/>
        </w:category>
        <w:types>
          <w:type w:val="bbPlcHdr"/>
        </w:types>
        <w:behaviors>
          <w:behavior w:val="content"/>
        </w:behaviors>
        <w:description w:val=""/>
        <w:guid w:val="{87ac4d1e-7c8a-42dc-affe-354d5254f047}"/>
      </w:docPartPr>
      <w:docPartBody>
        <w:p>
          <w:r>
            <w:rPr>
              <w:color w:val="808080"/>
            </w:rPr>
            <w:t>单击此处输入文字。</w:t>
          </w:r>
        </w:p>
      </w:docPartBody>
    </w:docPart>
    <w:docPart>
      <w:docPartPr>
        <w:name w:val="{aa2b0474-8443-4906-9487-c3e53ebf70d2}"/>
        <w:style w:val=""/>
        <w:category>
          <w:name w:val="常规"/>
          <w:gallery w:val="placeholder"/>
        </w:category>
        <w:types>
          <w:type w:val="bbPlcHdr"/>
        </w:types>
        <w:behaviors>
          <w:behavior w:val="content"/>
        </w:behaviors>
        <w:description w:val=""/>
        <w:guid w:val="{aa2b0474-8443-4906-9487-c3e53ebf70d2}"/>
      </w:docPartPr>
      <w:docPartBody>
        <w:p>
          <w:r>
            <w:rPr>
              <w:color w:val="808080"/>
            </w:rPr>
            <w:t>单击此处输入文字。</w:t>
          </w:r>
        </w:p>
      </w:docPartBody>
    </w:docPart>
    <w:docPart>
      <w:docPartPr>
        <w:name w:val="{29a26bf6-0073-4993-8026-faefb3971a9a}"/>
        <w:style w:val=""/>
        <w:category>
          <w:name w:val="常规"/>
          <w:gallery w:val="placeholder"/>
        </w:category>
        <w:types>
          <w:type w:val="bbPlcHdr"/>
        </w:types>
        <w:behaviors>
          <w:behavior w:val="content"/>
        </w:behaviors>
        <w:description w:val=""/>
        <w:guid w:val="{29a26bf6-0073-4993-8026-faefb3971a9a}"/>
      </w:docPartPr>
      <w:docPartBody>
        <w:p>
          <w:r>
            <w:rPr>
              <w:color w:val="808080"/>
            </w:rPr>
            <w:t>单击此处输入文字。</w:t>
          </w:r>
        </w:p>
      </w:docPartBody>
    </w:docPart>
    <w:docPart>
      <w:docPartPr>
        <w:name w:val="{490a7766-7818-44f7-9762-10d9ed000c66}"/>
        <w:style w:val=""/>
        <w:category>
          <w:name w:val="常规"/>
          <w:gallery w:val="placeholder"/>
        </w:category>
        <w:types>
          <w:type w:val="bbPlcHdr"/>
        </w:types>
        <w:behaviors>
          <w:behavior w:val="content"/>
        </w:behaviors>
        <w:description w:val=""/>
        <w:guid w:val="{490a7766-7818-44f7-9762-10d9ed000c66}"/>
      </w:docPartPr>
      <w:docPartBody>
        <w:p>
          <w:r>
            <w:rPr>
              <w:color w:val="808080"/>
            </w:rPr>
            <w:t>单击此处输入文字。</w:t>
          </w:r>
        </w:p>
      </w:docPartBody>
    </w:docPart>
    <w:docPart>
      <w:docPartPr>
        <w:name w:val="{ad3ee2be-db16-4282-a1ac-c540ba903ca2}"/>
        <w:style w:val=""/>
        <w:category>
          <w:name w:val="常规"/>
          <w:gallery w:val="placeholder"/>
        </w:category>
        <w:types>
          <w:type w:val="bbPlcHdr"/>
        </w:types>
        <w:behaviors>
          <w:behavior w:val="content"/>
        </w:behaviors>
        <w:description w:val=""/>
        <w:guid w:val="{ad3ee2be-db16-4282-a1ac-c540ba903ca2}"/>
      </w:docPartPr>
      <w:docPartBody>
        <w:p>
          <w:r>
            <w:rPr>
              <w:color w:val="808080"/>
            </w:rPr>
            <w:t>单击此处输入文字。</w:t>
          </w:r>
        </w:p>
      </w:docPartBody>
    </w:docPart>
    <w:docPart>
      <w:docPartPr>
        <w:name w:val="{4e651f0c-b614-45c7-8874-b53d14212921}"/>
        <w:style w:val=""/>
        <w:category>
          <w:name w:val="常规"/>
          <w:gallery w:val="placeholder"/>
        </w:category>
        <w:types>
          <w:type w:val="bbPlcHdr"/>
        </w:types>
        <w:behaviors>
          <w:behavior w:val="content"/>
        </w:behaviors>
        <w:description w:val=""/>
        <w:guid w:val="{4e651f0c-b614-45c7-8874-b53d14212921}"/>
      </w:docPartPr>
      <w:docPartBody>
        <w:p>
          <w:r>
            <w:rPr>
              <w:color w:val="808080"/>
            </w:rPr>
            <w:t>单击此处输入文字。</w:t>
          </w:r>
        </w:p>
      </w:docPartBody>
    </w:docPart>
    <w:docPart>
      <w:docPartPr>
        <w:name w:val="{e242dfd7-dc17-493d-8dee-3cba1ee56b0c}"/>
        <w:style w:val=""/>
        <w:category>
          <w:name w:val="常规"/>
          <w:gallery w:val="placeholder"/>
        </w:category>
        <w:types>
          <w:type w:val="bbPlcHdr"/>
        </w:types>
        <w:behaviors>
          <w:behavior w:val="content"/>
        </w:behaviors>
        <w:description w:val=""/>
        <w:guid w:val="{e242dfd7-dc17-493d-8dee-3cba1ee56b0c}"/>
      </w:docPartPr>
      <w:docPartBody>
        <w:p>
          <w:r>
            <w:rPr>
              <w:color w:val="808080"/>
            </w:rPr>
            <w:t>单击此处输入文字。</w:t>
          </w:r>
        </w:p>
      </w:docPartBody>
    </w:docPart>
    <w:docPart>
      <w:docPartPr>
        <w:name w:val="{aabb336d-1921-42a5-85ff-e846e373f15a}"/>
        <w:style w:val=""/>
        <w:category>
          <w:name w:val="常规"/>
          <w:gallery w:val="placeholder"/>
        </w:category>
        <w:types>
          <w:type w:val="bbPlcHdr"/>
        </w:types>
        <w:behaviors>
          <w:behavior w:val="content"/>
        </w:behaviors>
        <w:description w:val=""/>
        <w:guid w:val="{aabb336d-1921-42a5-85ff-e846e373f15a}"/>
      </w:docPartPr>
      <w:docPartBody>
        <w:p>
          <w:r>
            <w:rPr>
              <w:color w:val="808080"/>
            </w:rPr>
            <w:t>单击此处输入文字。</w:t>
          </w:r>
        </w:p>
      </w:docPartBody>
    </w:docPart>
    <w:docPart>
      <w:docPartPr>
        <w:name w:val="{42c5ec46-8118-4cb5-bce8-66f8ccf758f2}"/>
        <w:style w:val=""/>
        <w:category>
          <w:name w:val="常规"/>
          <w:gallery w:val="placeholder"/>
        </w:category>
        <w:types>
          <w:type w:val="bbPlcHdr"/>
        </w:types>
        <w:behaviors>
          <w:behavior w:val="content"/>
        </w:behaviors>
        <w:description w:val=""/>
        <w:guid w:val="{42c5ec46-8118-4cb5-bce8-66f8ccf758f2}"/>
      </w:docPartPr>
      <w:docPartBody>
        <w:p>
          <w:r>
            <w:rPr>
              <w:color w:val="808080"/>
            </w:rPr>
            <w:t>单击此处输入文字。</w:t>
          </w:r>
        </w:p>
      </w:docPartBody>
    </w:docPart>
    <w:docPart>
      <w:docPartPr>
        <w:name w:val="{8288f28f-dc24-4075-bbae-f0770f9aa9e6}"/>
        <w:style w:val=""/>
        <w:category>
          <w:name w:val="常规"/>
          <w:gallery w:val="placeholder"/>
        </w:category>
        <w:types>
          <w:type w:val="bbPlcHdr"/>
        </w:types>
        <w:behaviors>
          <w:behavior w:val="content"/>
        </w:behaviors>
        <w:description w:val=""/>
        <w:guid w:val="{8288f28f-dc24-4075-bbae-f0770f9aa9e6}"/>
      </w:docPartPr>
      <w:docPartBody>
        <w:p>
          <w:r>
            <w:rPr>
              <w:color w:val="808080"/>
            </w:rPr>
            <w:t>单击此处输入文字。</w:t>
          </w:r>
        </w:p>
      </w:docPartBody>
    </w:docPart>
    <w:docPart>
      <w:docPartPr>
        <w:name w:val="{a89d7fab-743c-45f1-8b33-dcd3d3835c49}"/>
        <w:style w:val=""/>
        <w:category>
          <w:name w:val="常规"/>
          <w:gallery w:val="placeholder"/>
        </w:category>
        <w:types>
          <w:type w:val="bbPlcHdr"/>
        </w:types>
        <w:behaviors>
          <w:behavior w:val="content"/>
        </w:behaviors>
        <w:description w:val=""/>
        <w:guid w:val="{a89d7fab-743c-45f1-8b33-dcd3d3835c49}"/>
      </w:docPartPr>
      <w:docPartBody>
        <w:p>
          <w:r>
            <w:rPr>
              <w:color w:val="808080"/>
            </w:rPr>
            <w:t>单击此处输入文字。</w:t>
          </w:r>
        </w:p>
      </w:docPartBody>
    </w:docPart>
    <w:docPart>
      <w:docPartPr>
        <w:name w:val="{62194583-a6e6-43b3-8892-b997198e471c}"/>
        <w:style w:val=""/>
        <w:category>
          <w:name w:val="常规"/>
          <w:gallery w:val="placeholder"/>
        </w:category>
        <w:types>
          <w:type w:val="bbPlcHdr"/>
        </w:types>
        <w:behaviors>
          <w:behavior w:val="content"/>
        </w:behaviors>
        <w:description w:val=""/>
        <w:guid w:val="{62194583-a6e6-43b3-8892-b997198e471c}"/>
      </w:docPartPr>
      <w:docPartBody>
        <w:p>
          <w:r>
            <w:rPr>
              <w:color w:val="808080"/>
            </w:rPr>
            <w:t>单击此处输入文字。</w:t>
          </w:r>
        </w:p>
      </w:docPartBody>
    </w:docPart>
    <w:docPart>
      <w:docPartPr>
        <w:name w:val="{9792e2e6-89ce-461a-b2a9-1dba23b8dc69}"/>
        <w:style w:val=""/>
        <w:category>
          <w:name w:val="常规"/>
          <w:gallery w:val="placeholder"/>
        </w:category>
        <w:types>
          <w:type w:val="bbPlcHdr"/>
        </w:types>
        <w:behaviors>
          <w:behavior w:val="content"/>
        </w:behaviors>
        <w:description w:val=""/>
        <w:guid w:val="{9792e2e6-89ce-461a-b2a9-1dba23b8dc69}"/>
      </w:docPartPr>
      <w:docPartBody>
        <w:p>
          <w:r>
            <w:rPr>
              <w:color w:val="808080"/>
            </w:rPr>
            <w:t>单击此处输入文字。</w:t>
          </w:r>
        </w:p>
      </w:docPartBody>
    </w:docPart>
    <w:docPart>
      <w:docPartPr>
        <w:name w:val="{ef6162d4-e8b3-4d6d-b115-165ec96b4f64}"/>
        <w:style w:val=""/>
        <w:category>
          <w:name w:val="常规"/>
          <w:gallery w:val="placeholder"/>
        </w:category>
        <w:types>
          <w:type w:val="bbPlcHdr"/>
        </w:types>
        <w:behaviors>
          <w:behavior w:val="content"/>
        </w:behaviors>
        <w:description w:val=""/>
        <w:guid w:val="{ef6162d4-e8b3-4d6d-b115-165ec96b4f64}"/>
      </w:docPartPr>
      <w:docPartBody>
        <w:p>
          <w:r>
            <w:rPr>
              <w:color w:val="808080"/>
            </w:rPr>
            <w:t>单击此处输入文字。</w:t>
          </w:r>
        </w:p>
      </w:docPartBody>
    </w:docPart>
    <w:docPart>
      <w:docPartPr>
        <w:name w:val="{69e30049-a0de-49c2-887f-d284a9c778c0}"/>
        <w:style w:val=""/>
        <w:category>
          <w:name w:val="常规"/>
          <w:gallery w:val="placeholder"/>
        </w:category>
        <w:types>
          <w:type w:val="bbPlcHdr"/>
        </w:types>
        <w:behaviors>
          <w:behavior w:val="content"/>
        </w:behaviors>
        <w:description w:val=""/>
        <w:guid w:val="{69e30049-a0de-49c2-887f-d284a9c778c0}"/>
      </w:docPartPr>
      <w:docPartBody>
        <w:p>
          <w:r>
            <w:rPr>
              <w:color w:val="808080"/>
            </w:rPr>
            <w:t>单击此处输入文字。</w:t>
          </w:r>
        </w:p>
      </w:docPartBody>
    </w:docPart>
    <w:docPart>
      <w:docPartPr>
        <w:name w:val="{46125a84-a7e5-41ac-a78a-836d6b852dbf}"/>
        <w:style w:val=""/>
        <w:category>
          <w:name w:val="常规"/>
          <w:gallery w:val="placeholder"/>
        </w:category>
        <w:types>
          <w:type w:val="bbPlcHdr"/>
        </w:types>
        <w:behaviors>
          <w:behavior w:val="content"/>
        </w:behaviors>
        <w:description w:val=""/>
        <w:guid w:val="{46125a84-a7e5-41ac-a78a-836d6b852dbf}"/>
      </w:docPartPr>
      <w:docPartBody>
        <w:p>
          <w:r>
            <w:rPr>
              <w:color w:val="808080"/>
            </w:rPr>
            <w:t>单击此处输入文字。</w:t>
          </w:r>
        </w:p>
      </w:docPartBody>
    </w:docPart>
    <w:docPart>
      <w:docPartPr>
        <w:name w:val="{75356f37-dfe8-4e3f-83c9-e49659ed53e9}"/>
        <w:style w:val=""/>
        <w:category>
          <w:name w:val="常规"/>
          <w:gallery w:val="placeholder"/>
        </w:category>
        <w:types>
          <w:type w:val="bbPlcHdr"/>
        </w:types>
        <w:behaviors>
          <w:behavior w:val="content"/>
        </w:behaviors>
        <w:description w:val=""/>
        <w:guid w:val="{75356f37-dfe8-4e3f-83c9-e49659ed53e9}"/>
      </w:docPartPr>
      <w:docPartBody>
        <w:p>
          <w:r>
            <w:rPr>
              <w:color w:val="808080"/>
            </w:rPr>
            <w:t>单击此处输入文字。</w:t>
          </w:r>
        </w:p>
      </w:docPartBody>
    </w:docPart>
    <w:docPart>
      <w:docPartPr>
        <w:name w:val="{17032d09-2488-4a2d-beda-8ddc14b21fe2}"/>
        <w:style w:val=""/>
        <w:category>
          <w:name w:val="常规"/>
          <w:gallery w:val="placeholder"/>
        </w:category>
        <w:types>
          <w:type w:val="bbPlcHdr"/>
        </w:types>
        <w:behaviors>
          <w:behavior w:val="content"/>
        </w:behaviors>
        <w:description w:val=""/>
        <w:guid w:val="{17032d09-2488-4a2d-beda-8ddc14b21fe2}"/>
      </w:docPartPr>
      <w:docPartBody>
        <w:p>
          <w:r>
            <w:rPr>
              <w:color w:val="808080"/>
            </w:rPr>
            <w:t>单击此处输入文字。</w:t>
          </w:r>
        </w:p>
      </w:docPartBody>
    </w:docPart>
    <w:docPart>
      <w:docPartPr>
        <w:name w:val="{058239d7-5bac-472b-81ab-49624d6ae191}"/>
        <w:style w:val=""/>
        <w:category>
          <w:name w:val="常规"/>
          <w:gallery w:val="placeholder"/>
        </w:category>
        <w:types>
          <w:type w:val="bbPlcHdr"/>
        </w:types>
        <w:behaviors>
          <w:behavior w:val="content"/>
        </w:behaviors>
        <w:description w:val=""/>
        <w:guid w:val="{058239d7-5bac-472b-81ab-49624d6ae191}"/>
      </w:docPartPr>
      <w:docPartBody>
        <w:p>
          <w:r>
            <w:rPr>
              <w:color w:val="808080"/>
            </w:rPr>
            <w:t>单击此处输入文字。</w:t>
          </w:r>
        </w:p>
      </w:docPartBody>
    </w:docPart>
    <w:docPart>
      <w:docPartPr>
        <w:name w:val="{141424a2-9411-4c20-a325-5422cd261113}"/>
        <w:style w:val=""/>
        <w:category>
          <w:name w:val="常规"/>
          <w:gallery w:val="placeholder"/>
        </w:category>
        <w:types>
          <w:type w:val="bbPlcHdr"/>
        </w:types>
        <w:behaviors>
          <w:behavior w:val="content"/>
        </w:behaviors>
        <w:description w:val=""/>
        <w:guid w:val="{141424a2-9411-4c20-a325-5422cd261113}"/>
      </w:docPartPr>
      <w:docPartBody>
        <w:p>
          <w:r>
            <w:rPr>
              <w:color w:val="808080"/>
            </w:rPr>
            <w:t>单击此处输入文字。</w:t>
          </w:r>
        </w:p>
      </w:docPartBody>
    </w:docPart>
    <w:docPart>
      <w:docPartPr>
        <w:name w:val="{7340d8c3-fa4b-4a46-a213-bd5cccbff12b}"/>
        <w:style w:val=""/>
        <w:category>
          <w:name w:val="常规"/>
          <w:gallery w:val="placeholder"/>
        </w:category>
        <w:types>
          <w:type w:val="bbPlcHdr"/>
        </w:types>
        <w:behaviors>
          <w:behavior w:val="content"/>
        </w:behaviors>
        <w:description w:val=""/>
        <w:guid w:val="{7340d8c3-fa4b-4a46-a213-bd5cccbff12b}"/>
      </w:docPartPr>
      <w:docPartBody>
        <w:p>
          <w:r>
            <w:rPr>
              <w:color w:val="808080"/>
            </w:rPr>
            <w:t>单击此处输入文字。</w:t>
          </w:r>
        </w:p>
      </w:docPartBody>
    </w:docPart>
    <w:docPart>
      <w:docPartPr>
        <w:name w:val="{151de6e8-a656-4204-a151-8eb0cb12c067}"/>
        <w:style w:val=""/>
        <w:category>
          <w:name w:val="常规"/>
          <w:gallery w:val="placeholder"/>
        </w:category>
        <w:types>
          <w:type w:val="bbPlcHdr"/>
        </w:types>
        <w:behaviors>
          <w:behavior w:val="content"/>
        </w:behaviors>
        <w:description w:val=""/>
        <w:guid w:val="{151de6e8-a656-4204-a151-8eb0cb12c067}"/>
      </w:docPartPr>
      <w:docPartBody>
        <w:p>
          <w:r>
            <w:rPr>
              <w:color w:val="808080"/>
            </w:rPr>
            <w:t>单击此处输入文字。</w:t>
          </w:r>
        </w:p>
      </w:docPartBody>
    </w:docPart>
    <w:docPart>
      <w:docPartPr>
        <w:name w:val="{527942c0-88f1-4c7f-a8cf-fe37500dc9e9}"/>
        <w:style w:val=""/>
        <w:category>
          <w:name w:val="常规"/>
          <w:gallery w:val="placeholder"/>
        </w:category>
        <w:types>
          <w:type w:val="bbPlcHdr"/>
        </w:types>
        <w:behaviors>
          <w:behavior w:val="content"/>
        </w:behaviors>
        <w:description w:val=""/>
        <w:guid w:val="{527942c0-88f1-4c7f-a8cf-fe37500dc9e9}"/>
      </w:docPartPr>
      <w:docPartBody>
        <w:p>
          <w:r>
            <w:rPr>
              <w:color w:val="808080"/>
            </w:rPr>
            <w:t>单击此处输入文字。</w:t>
          </w:r>
        </w:p>
      </w:docPartBody>
    </w:docPart>
    <w:docPart>
      <w:docPartPr>
        <w:name w:val="{fa00e077-a266-4ada-b6a2-19b0a0fc399f}"/>
        <w:style w:val=""/>
        <w:category>
          <w:name w:val="常规"/>
          <w:gallery w:val="placeholder"/>
        </w:category>
        <w:types>
          <w:type w:val="bbPlcHdr"/>
        </w:types>
        <w:behaviors>
          <w:behavior w:val="content"/>
        </w:behaviors>
        <w:description w:val=""/>
        <w:guid w:val="{fa00e077-a266-4ada-b6a2-19b0a0fc399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53</Pages>
  <Words>3216</Words>
  <Characters>18333</Characters>
  <Lines>152</Lines>
  <Paragraphs>43</Paragraphs>
  <TotalTime>339</TotalTime>
  <ScaleCrop>false</ScaleCrop>
  <LinksUpToDate>false</LinksUpToDate>
  <CharactersWithSpaces>21506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藤藤花雨</cp:lastModifiedBy>
  <cp:lastPrinted>2022-01-08T08:53:00Z</cp:lastPrinted>
  <dcterms:modified xsi:type="dcterms:W3CDTF">2024-05-12T12:37:38Z</dcterms:modified>
  <dc:title>四川省***</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F682355C25E5411A9661E112DD615F1B_13</vt:lpwstr>
  </property>
</Properties>
</file>