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240" w:lineRule="auto"/>
        <w:jc w:val="center"/>
        <w:textAlignment w:val="auto"/>
        <w:outlineLvl w:val="9"/>
        <w:rPr>
          <w:rFonts w:ascii="方正小标宋简体" w:hAnsi="宋体" w:eastAsia="方正小标宋简体"/>
          <w:sz w:val="72"/>
          <w:szCs w:val="72"/>
        </w:rPr>
      </w:pPr>
      <w:bookmarkStart w:id="0" w:name="_Toc15377193"/>
      <w:bookmarkStart w:id="1" w:name="_Toc15377425"/>
      <w:bookmarkStart w:id="2" w:name="_Toc15396475"/>
      <w:bookmarkStart w:id="3" w:name="_Toc15306267"/>
      <w:bookmarkStart w:id="4" w:name="_Toc15396597"/>
      <w:bookmarkStart w:id="5" w:name="_Toc15378441"/>
    </w:p>
    <w:p>
      <w:pPr>
        <w:pageBreakBefore w:val="0"/>
        <w:kinsoku/>
        <w:wordWrap/>
        <w:overflowPunct/>
        <w:topLinePunct w:val="0"/>
        <w:bidi w:val="0"/>
        <w:spacing w:line="240" w:lineRule="auto"/>
        <w:jc w:val="center"/>
        <w:textAlignment w:val="auto"/>
        <w:outlineLvl w:val="9"/>
        <w:rPr>
          <w:rFonts w:ascii="方正小标宋简体" w:hAnsi="宋体" w:eastAsia="方正小标宋简体"/>
          <w:sz w:val="72"/>
          <w:szCs w:val="72"/>
        </w:rPr>
      </w:pPr>
    </w:p>
    <w:p>
      <w:pPr>
        <w:pageBreakBefore w:val="0"/>
        <w:kinsoku/>
        <w:wordWrap/>
        <w:overflowPunct/>
        <w:topLinePunct w:val="0"/>
        <w:bidi w:val="0"/>
        <w:spacing w:line="240" w:lineRule="auto"/>
        <w:jc w:val="center"/>
        <w:textAlignment w:val="auto"/>
        <w:outlineLvl w:val="9"/>
        <w:rPr>
          <w:rFonts w:ascii="方正小标宋简体" w:hAnsi="宋体" w:eastAsia="方正小标宋简体"/>
          <w:sz w:val="72"/>
          <w:szCs w:val="72"/>
        </w:rPr>
      </w:pPr>
    </w:p>
    <w:p>
      <w:pPr>
        <w:pageBreakBefore w:val="0"/>
        <w:kinsoku/>
        <w:wordWrap/>
        <w:overflowPunct/>
        <w:topLinePunct w:val="0"/>
        <w:bidi w:val="0"/>
        <w:adjustRightInd w:val="0"/>
        <w:snapToGrid w:val="0"/>
        <w:spacing w:line="240" w:lineRule="auto"/>
        <w:jc w:val="center"/>
        <w:textAlignment w:val="auto"/>
        <w:outlineLvl w:val="0"/>
        <w:rPr>
          <w:rFonts w:hint="eastAsia" w:ascii="方正小标宋简体" w:hAnsi="方正小标宋简体" w:eastAsia="方正小标宋简体" w:cs="方正小标宋简体"/>
          <w:sz w:val="72"/>
          <w:szCs w:val="72"/>
        </w:rPr>
      </w:pPr>
      <w:bookmarkStart w:id="6" w:name="_Toc31182"/>
      <w:bookmarkStart w:id="7" w:name="_Toc10286"/>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bookmarkEnd w:id="5"/>
      <w:bookmarkEnd w:id="6"/>
      <w:bookmarkEnd w:id="7"/>
      <w:bookmarkStart w:id="8" w:name="_Toc15377194"/>
      <w:bookmarkStart w:id="9" w:name="_Toc15306268"/>
      <w:bookmarkStart w:id="10" w:name="_Toc15396476"/>
      <w:bookmarkStart w:id="11" w:name="_Toc15396598"/>
      <w:bookmarkStart w:id="12" w:name="_Toc15378442"/>
      <w:bookmarkStart w:id="13" w:name="_Toc15377426"/>
    </w:p>
    <w:p>
      <w:pPr>
        <w:pageBreakBefore w:val="0"/>
        <w:kinsoku/>
        <w:wordWrap/>
        <w:overflowPunct/>
        <w:topLinePunct w:val="0"/>
        <w:bidi w:val="0"/>
        <w:adjustRightInd w:val="0"/>
        <w:snapToGrid w:val="0"/>
        <w:spacing w:line="240" w:lineRule="auto"/>
        <w:jc w:val="center"/>
        <w:textAlignment w:val="auto"/>
        <w:outlineLvl w:val="0"/>
        <w:rPr>
          <w:rFonts w:ascii="方正小标宋简体" w:hAnsi="方正小标宋简体" w:eastAsia="方正小标宋简体" w:cs="方正小标宋简体"/>
          <w:sz w:val="72"/>
          <w:szCs w:val="72"/>
        </w:rPr>
      </w:pPr>
      <w:bookmarkStart w:id="14" w:name="_Toc23191"/>
      <w:bookmarkStart w:id="15" w:name="_Toc15261"/>
      <w:r>
        <w:rPr>
          <w:rFonts w:hint="eastAsia" w:ascii="方正小标宋简体" w:hAnsi="方正小标宋简体" w:eastAsia="方正小标宋简体" w:cs="方正小标宋简体"/>
          <w:sz w:val="72"/>
          <w:szCs w:val="72"/>
        </w:rPr>
        <w:t>中共</w:t>
      </w:r>
      <w:r>
        <w:rPr>
          <w:rFonts w:hint="eastAsia" w:ascii="方正小标宋简体" w:hAnsi="方正小标宋简体" w:eastAsia="方正小标宋简体" w:cs="方正小标宋简体"/>
          <w:sz w:val="72"/>
          <w:szCs w:val="72"/>
          <w:lang w:val="en-US" w:eastAsia="zh-CN"/>
        </w:rPr>
        <w:t>盐边县</w:t>
      </w:r>
      <w:r>
        <w:rPr>
          <w:rFonts w:hint="eastAsia" w:ascii="方正小标宋简体" w:hAnsi="方正小标宋简体" w:eastAsia="方正小标宋简体" w:cs="方正小标宋简体"/>
          <w:sz w:val="72"/>
          <w:szCs w:val="72"/>
        </w:rPr>
        <w:t>委组织部</w:t>
      </w:r>
      <w:bookmarkEnd w:id="14"/>
      <w:bookmarkEnd w:id="15"/>
    </w:p>
    <w:p>
      <w:pPr>
        <w:pageBreakBefore w:val="0"/>
        <w:kinsoku/>
        <w:wordWrap/>
        <w:overflowPunct/>
        <w:topLinePunct w:val="0"/>
        <w:bidi w:val="0"/>
        <w:adjustRightInd w:val="0"/>
        <w:snapToGrid w:val="0"/>
        <w:spacing w:line="240" w:lineRule="auto"/>
        <w:jc w:val="center"/>
        <w:textAlignment w:val="auto"/>
        <w:outlineLvl w:val="0"/>
        <w:rPr>
          <w:rFonts w:ascii="方正小标宋简体" w:hAnsi="方正小标宋简体" w:eastAsia="方正小标宋简体" w:cs="方正小标宋简体"/>
          <w:sz w:val="72"/>
          <w:szCs w:val="72"/>
        </w:rPr>
      </w:pPr>
      <w:bookmarkStart w:id="16" w:name="_Toc6165"/>
      <w:bookmarkStart w:id="17" w:name="_Toc25645"/>
      <w:r>
        <w:rPr>
          <w:rFonts w:hint="eastAsia" w:ascii="方正小标宋简体" w:hAnsi="方正小标宋简体" w:eastAsia="方正小标宋简体" w:cs="方正小标宋简体"/>
          <w:sz w:val="72"/>
          <w:szCs w:val="72"/>
        </w:rPr>
        <w:t>部门决算</w:t>
      </w:r>
      <w:bookmarkEnd w:id="8"/>
      <w:bookmarkEnd w:id="9"/>
      <w:bookmarkEnd w:id="10"/>
      <w:bookmarkEnd w:id="11"/>
      <w:bookmarkEnd w:id="12"/>
      <w:bookmarkEnd w:id="13"/>
      <w:bookmarkEnd w:id="16"/>
      <w:bookmarkEnd w:id="17"/>
    </w:p>
    <w:p>
      <w:pPr>
        <w:pageBreakBefore w:val="0"/>
        <w:widowControl/>
        <w:kinsoku/>
        <w:wordWrap/>
        <w:overflowPunct/>
        <w:topLinePunct w:val="0"/>
        <w:bidi w:val="0"/>
        <w:spacing w:line="240" w:lineRule="auto"/>
        <w:jc w:val="center"/>
        <w:textAlignment w:val="auto"/>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pageBreakBefore w:val="0"/>
        <w:widowControl/>
        <w:kinsoku/>
        <w:wordWrap/>
        <w:overflowPunct/>
        <w:topLinePunct w:val="0"/>
        <w:bidi w:val="0"/>
        <w:spacing w:line="240" w:lineRule="auto"/>
        <w:jc w:val="center"/>
        <w:textAlignment w:val="auto"/>
        <w:rPr>
          <w:rFonts w:ascii="黑体" w:hAnsi="黑体" w:eastAsia="黑体" w:cstheme="minorBidi"/>
          <w:sz w:val="28"/>
          <w:szCs w:val="28"/>
        </w:rPr>
      </w:pPr>
    </w:p>
    <w:p>
      <w:pPr>
        <w:pStyle w:val="12"/>
        <w:pageBreakBefore w:val="0"/>
        <w:kinsoku/>
        <w:wordWrap/>
        <w:overflowPunct/>
        <w:topLinePunct w:val="0"/>
        <w:bidi w:val="0"/>
        <w:spacing w:line="240" w:lineRule="auto"/>
        <w:textAlignment w:val="auto"/>
      </w:pPr>
      <w:r>
        <w:rPr>
          <w:rFonts w:hint="eastAsia"/>
        </w:rPr>
        <w:t>公开时间：2023年10月26日</w:t>
      </w:r>
    </w:p>
    <w:p>
      <w:pPr>
        <w:pageBreakBefore w:val="0"/>
        <w:kinsoku/>
        <w:wordWrap/>
        <w:overflowPunct/>
        <w:topLinePunct w:val="0"/>
        <w:bidi w:val="0"/>
        <w:spacing w:line="240" w:lineRule="auto"/>
        <w:textAlignment w:val="auto"/>
      </w:pPr>
    </w:p>
    <w:sdt>
      <w:sdtPr>
        <w:rPr>
          <w:rFonts w:ascii="宋体" w:hAnsi="宋体" w:eastAsia="宋体" w:cs="Times New Roman"/>
          <w:kern w:val="2"/>
          <w:sz w:val="21"/>
          <w:szCs w:val="24"/>
          <w:lang w:val="en-US" w:eastAsia="zh-CN" w:bidi="ar-SA"/>
        </w:rPr>
        <w:id w:val="147469589"/>
        <w15:color w:val="DBDBDB"/>
        <w:docPartObj>
          <w:docPartGallery w:val="Table of Contents"/>
          <w:docPartUnique/>
        </w:docPartObj>
      </w:sdtPr>
      <w:sdtEndPr>
        <w:rPr>
          <w:rFonts w:hint="eastAsia" w:ascii="黑体" w:hAnsi="黑体" w:eastAsia="黑体" w:cs="Times New Roman"/>
          <w:b/>
          <w:kern w:val="0"/>
          <w:sz w:val="30"/>
          <w:szCs w:val="24"/>
          <w:lang w:val="en-US" w:eastAsia="zh-CN" w:bidi="ar-SA"/>
        </w:rPr>
      </w:sdtEndPr>
      <w:sdtContent>
        <w:p>
          <w:pPr>
            <w:pageBreakBefore w:val="0"/>
            <w:kinsoku/>
            <w:wordWrap/>
            <w:overflowPunct/>
            <w:topLinePunct w:val="0"/>
            <w:bidi w:val="0"/>
            <w:spacing w:before="0" w:beforeLines="0" w:after="0" w:afterLines="0" w:line="240" w:lineRule="auto"/>
            <w:ind w:left="0" w:leftChars="0" w:right="0" w:rightChars="0" w:firstLine="0" w:firstLineChars="0"/>
            <w:jc w:val="center"/>
            <w:textAlignment w:val="auto"/>
          </w:pPr>
          <w:r>
            <w:rPr>
              <w:rFonts w:hint="eastAsia" w:ascii="黑体" w:hAnsi="黑体" w:eastAsia="黑体"/>
              <w:b w:val="0"/>
            </w:rPr>
            <w:fldChar w:fldCharType="begin"/>
          </w:r>
          <w:r>
            <w:rPr>
              <w:rFonts w:hint="eastAsia" w:ascii="黑体" w:hAnsi="黑体" w:eastAsia="黑体"/>
              <w:b w:val="0"/>
            </w:rPr>
            <w:instrText xml:space="preserve">TOC \o "1-2" \h \u </w:instrText>
          </w:r>
          <w:r>
            <w:rPr>
              <w:rFonts w:hint="eastAsia" w:ascii="黑体" w:hAnsi="黑体" w:eastAsia="黑体"/>
              <w:b w:val="0"/>
            </w:rPr>
            <w:fldChar w:fldCharType="separate"/>
          </w:r>
        </w:p>
        <w:p>
          <w:pPr>
            <w:pStyle w:val="12"/>
            <w:pageBreakBefore w:val="0"/>
            <w:tabs>
              <w:tab w:val="right" w:leader="dot" w:pos="8306"/>
              <w:tab w:val="clear" w:pos="8296"/>
            </w:tabs>
            <w:kinsoku/>
            <w:wordWrap/>
            <w:overflowPunct/>
            <w:topLinePunct w:val="0"/>
            <w:bidi w:val="0"/>
            <w:spacing w:line="240" w:lineRule="auto"/>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_Toc735 </w:instrText>
          </w:r>
          <w:r>
            <w:rPr>
              <w:rFonts w:hint="eastAsia" w:ascii="仿宋" w:hAnsi="仿宋" w:eastAsia="仿宋" w:cs="仿宋"/>
              <w:sz w:val="24"/>
              <w:szCs w:val="24"/>
            </w:rPr>
            <w:fldChar w:fldCharType="separate"/>
          </w:r>
          <w:r>
            <w:rPr>
              <w:rFonts w:hint="eastAsia" w:ascii="仿宋" w:hAnsi="仿宋" w:eastAsia="仿宋" w:cs="仿宋"/>
              <w:sz w:val="24"/>
              <w:szCs w:val="24"/>
            </w:rPr>
            <w:t xml:space="preserve">第一部分 </w:t>
          </w:r>
          <w:r>
            <w:rPr>
              <w:rFonts w:hint="eastAsia" w:ascii="仿宋" w:hAnsi="仿宋" w:eastAsia="仿宋" w:cs="仿宋"/>
              <w:bCs w:val="0"/>
              <w:sz w:val="24"/>
              <w:szCs w:val="24"/>
            </w:rPr>
            <w:t>部门概况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_Toc735 \h </w:instrText>
          </w:r>
          <w:r>
            <w:rPr>
              <w:rFonts w:hint="eastAsia" w:ascii="仿宋" w:hAnsi="仿宋" w:eastAsia="仿宋" w:cs="仿宋"/>
              <w:sz w:val="24"/>
              <w:szCs w:val="24"/>
            </w:rPr>
            <w:fldChar w:fldCharType="separate"/>
          </w:r>
          <w:r>
            <w:rPr>
              <w:rFonts w:hint="eastAsia" w:ascii="仿宋" w:hAnsi="仿宋" w:eastAsia="仿宋" w:cs="仿宋"/>
              <w:sz w:val="24"/>
              <w:szCs w:val="24"/>
            </w:rPr>
            <w:t>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_Toc13415 </w:instrText>
          </w:r>
          <w:r>
            <w:rPr>
              <w:rFonts w:hint="eastAsia" w:ascii="宋体" w:hAnsi="宋体" w:eastAsia="宋体" w:cs="宋体"/>
              <w:sz w:val="24"/>
              <w:szCs w:val="24"/>
            </w:rPr>
            <w:fldChar w:fldCharType="separate"/>
          </w:r>
          <w:r>
            <w:rPr>
              <w:rFonts w:hint="eastAsia" w:ascii="宋体" w:hAnsi="宋体" w:eastAsia="宋体" w:cs="宋体"/>
              <w:sz w:val="24"/>
              <w:szCs w:val="24"/>
            </w:rPr>
            <w:t>一、 部门职责</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_Toc13415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_Toc30474 </w:instrText>
          </w:r>
          <w:r>
            <w:rPr>
              <w:rFonts w:hint="eastAsia" w:ascii="宋体" w:hAnsi="宋体" w:eastAsia="宋体" w:cs="宋体"/>
              <w:sz w:val="24"/>
              <w:szCs w:val="24"/>
            </w:rPr>
            <w:fldChar w:fldCharType="separate"/>
          </w:r>
          <w:r>
            <w:rPr>
              <w:rFonts w:hint="eastAsia" w:ascii="宋体" w:hAnsi="宋体" w:eastAsia="宋体" w:cs="宋体"/>
              <w:sz w:val="24"/>
              <w:szCs w:val="24"/>
            </w:rPr>
            <w:t>二、机</w:t>
          </w:r>
          <w:r>
            <w:rPr>
              <w:rFonts w:hint="eastAsia" w:ascii="宋体" w:hAnsi="宋体" w:eastAsia="宋体" w:cs="宋体"/>
              <w:bCs w:val="0"/>
              <w:sz w:val="24"/>
              <w:szCs w:val="24"/>
            </w:rPr>
            <w:t>构设置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_Toc30474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pageBreakBefore w:val="0"/>
            <w:tabs>
              <w:tab w:val="right" w:leader="dot" w:pos="8306"/>
              <w:tab w:val="clear" w:pos="8296"/>
            </w:tabs>
            <w:kinsoku/>
            <w:wordWrap/>
            <w:overflowPunct/>
            <w:topLinePunct w:val="0"/>
            <w:bidi w:val="0"/>
            <w:spacing w:line="240" w:lineRule="auto"/>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_Toc25245 </w:instrText>
          </w:r>
          <w:r>
            <w:rPr>
              <w:rFonts w:hint="eastAsia" w:ascii="仿宋" w:hAnsi="仿宋" w:eastAsia="仿宋" w:cs="仿宋"/>
              <w:sz w:val="24"/>
              <w:szCs w:val="24"/>
            </w:rPr>
            <w:fldChar w:fldCharType="separate"/>
          </w:r>
          <w:r>
            <w:rPr>
              <w:rFonts w:hint="eastAsia" w:ascii="仿宋" w:hAnsi="仿宋" w:eastAsia="仿宋" w:cs="仿宋"/>
              <w:sz w:val="24"/>
              <w:szCs w:val="24"/>
            </w:rPr>
            <w:t>第二部分 2022年度部门决算情况说明</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_Toc25245 \h </w:instrText>
          </w:r>
          <w:r>
            <w:rPr>
              <w:rFonts w:hint="eastAsia" w:ascii="仿宋" w:hAnsi="仿宋" w:eastAsia="仿宋" w:cs="仿宋"/>
              <w:sz w:val="24"/>
              <w:szCs w:val="24"/>
            </w:rPr>
            <w:fldChar w:fldCharType="separate"/>
          </w:r>
          <w:r>
            <w:rPr>
              <w:rFonts w:hint="eastAsia" w:ascii="仿宋" w:hAnsi="仿宋" w:eastAsia="仿宋" w:cs="仿宋"/>
              <w:sz w:val="24"/>
              <w:szCs w:val="24"/>
            </w:rPr>
            <w:t>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_Toc6629 </w:instrText>
          </w:r>
          <w:r>
            <w:rPr>
              <w:rFonts w:hint="eastAsia" w:ascii="宋体" w:hAnsi="宋体" w:eastAsia="宋体" w:cs="宋体"/>
              <w:sz w:val="24"/>
              <w:szCs w:val="24"/>
            </w:rPr>
            <w:fldChar w:fldCharType="separate"/>
          </w:r>
          <w:r>
            <w:rPr>
              <w:rFonts w:hint="eastAsia" w:ascii="宋体" w:hAnsi="宋体" w:eastAsia="宋体" w:cs="宋体"/>
              <w:sz w:val="24"/>
              <w:szCs w:val="24"/>
            </w:rPr>
            <w:t>一、 收入支出决算总体情况说明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_Toc6629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_Toc2233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 xml:space="preserve">二、 </w:t>
          </w:r>
          <w:r>
            <w:rPr>
              <w:rFonts w:hint="eastAsia" w:ascii="宋体" w:hAnsi="宋体" w:eastAsia="宋体" w:cs="宋体"/>
              <w:sz w:val="24"/>
              <w:szCs w:val="24"/>
            </w:rPr>
            <w:t>收入决算情况说明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_Toc2233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_Toc13861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 xml:space="preserve">三、 </w:t>
          </w:r>
          <w:r>
            <w:rPr>
              <w:rFonts w:hint="eastAsia" w:ascii="宋体" w:hAnsi="宋体" w:eastAsia="宋体" w:cs="宋体"/>
              <w:sz w:val="24"/>
              <w:szCs w:val="24"/>
            </w:rPr>
            <w:t>支出决算情况说明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_Toc13861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_Toc22615 </w:instrText>
          </w:r>
          <w:r>
            <w:rPr>
              <w:rFonts w:hint="eastAsia" w:ascii="宋体" w:hAnsi="宋体" w:eastAsia="宋体" w:cs="宋体"/>
              <w:sz w:val="24"/>
              <w:szCs w:val="24"/>
            </w:rPr>
            <w:fldChar w:fldCharType="separate"/>
          </w:r>
          <w:r>
            <w:rPr>
              <w:rFonts w:hint="eastAsia" w:ascii="宋体" w:hAnsi="宋体" w:eastAsia="宋体" w:cs="宋体"/>
              <w:sz w:val="24"/>
              <w:szCs w:val="24"/>
            </w:rPr>
            <w:t>四、财政拨款收入支出决算总体情况说明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_Toc22615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_Toc27086 </w:instrText>
          </w:r>
          <w:r>
            <w:rPr>
              <w:rFonts w:hint="eastAsia" w:ascii="宋体" w:hAnsi="宋体" w:eastAsia="宋体" w:cs="宋体"/>
              <w:sz w:val="24"/>
              <w:szCs w:val="24"/>
            </w:rPr>
            <w:fldChar w:fldCharType="separate"/>
          </w:r>
          <w:r>
            <w:rPr>
              <w:rFonts w:hint="eastAsia" w:ascii="宋体" w:hAnsi="宋体" w:eastAsia="宋体" w:cs="宋体"/>
              <w:sz w:val="24"/>
              <w:szCs w:val="24"/>
            </w:rPr>
            <w:t>六、一般公共预算财政拨款基本支出决算情况说明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_Toc27086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_Toc9977 </w:instrText>
          </w:r>
          <w:r>
            <w:rPr>
              <w:rFonts w:hint="eastAsia" w:ascii="宋体" w:hAnsi="宋体" w:eastAsia="宋体" w:cs="宋体"/>
              <w:sz w:val="24"/>
              <w:szCs w:val="24"/>
            </w:rPr>
            <w:fldChar w:fldCharType="separate"/>
          </w:r>
          <w:r>
            <w:rPr>
              <w:rFonts w:hint="eastAsia" w:ascii="宋体" w:hAnsi="宋体" w:eastAsia="宋体" w:cs="宋体"/>
              <w:sz w:val="24"/>
              <w:szCs w:val="24"/>
            </w:rPr>
            <w:t>七、财政拨款“三公”经费支出决算情况说明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_Toc9977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_Toc19894 </w:instrText>
          </w:r>
          <w:r>
            <w:rPr>
              <w:rFonts w:hint="eastAsia" w:ascii="宋体" w:hAnsi="宋体" w:eastAsia="宋体" w:cs="宋体"/>
              <w:sz w:val="24"/>
              <w:szCs w:val="24"/>
            </w:rPr>
            <w:fldChar w:fldCharType="separate"/>
          </w:r>
          <w:r>
            <w:rPr>
              <w:rFonts w:hint="eastAsia" w:ascii="宋体" w:hAnsi="宋体" w:eastAsia="宋体" w:cs="宋体"/>
              <w:sz w:val="24"/>
              <w:szCs w:val="24"/>
            </w:rPr>
            <w:t>八、政府性基金预算支出决算情况说明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_Toc19894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_Toc26094 </w:instrText>
          </w:r>
          <w:r>
            <w:rPr>
              <w:rFonts w:hint="eastAsia" w:ascii="宋体" w:hAnsi="宋体" w:eastAsia="宋体" w:cs="宋体"/>
              <w:sz w:val="24"/>
              <w:szCs w:val="24"/>
            </w:rPr>
            <w:fldChar w:fldCharType="separate"/>
          </w:r>
          <w:r>
            <w:rPr>
              <w:rFonts w:hint="eastAsia" w:ascii="宋体" w:hAnsi="宋体" w:eastAsia="宋体" w:cs="宋体"/>
              <w:sz w:val="24"/>
              <w:szCs w:val="24"/>
            </w:rPr>
            <w:t>九、 国有资本经营预算支出决算情况说明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_Toc26094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_Toc16999 </w:instrText>
          </w:r>
          <w:r>
            <w:rPr>
              <w:rFonts w:hint="eastAsia" w:ascii="宋体" w:hAnsi="宋体" w:eastAsia="宋体" w:cs="宋体"/>
              <w:sz w:val="24"/>
              <w:szCs w:val="24"/>
            </w:rPr>
            <w:fldChar w:fldCharType="separate"/>
          </w:r>
          <w:r>
            <w:rPr>
              <w:rFonts w:hint="eastAsia" w:ascii="宋体" w:hAnsi="宋体" w:eastAsia="宋体" w:cs="宋体"/>
              <w:sz w:val="24"/>
              <w:szCs w:val="24"/>
            </w:rPr>
            <w:t>十、 其他重要事项的情况说明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_Toc16999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pageBreakBefore w:val="0"/>
            <w:tabs>
              <w:tab w:val="right" w:leader="dot" w:pos="8306"/>
              <w:tab w:val="clear" w:pos="8296"/>
            </w:tabs>
            <w:kinsoku/>
            <w:wordWrap/>
            <w:overflowPunct/>
            <w:topLinePunct w:val="0"/>
            <w:bidi w:val="0"/>
            <w:spacing w:line="240" w:lineRule="auto"/>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_Toc7757 </w:instrText>
          </w:r>
          <w:r>
            <w:rPr>
              <w:rFonts w:hint="eastAsia" w:ascii="仿宋" w:hAnsi="仿宋" w:eastAsia="仿宋" w:cs="仿宋"/>
              <w:sz w:val="24"/>
              <w:szCs w:val="24"/>
            </w:rPr>
            <w:fldChar w:fldCharType="separate"/>
          </w:r>
          <w:r>
            <w:rPr>
              <w:rFonts w:hint="eastAsia" w:ascii="仿宋" w:hAnsi="仿宋" w:eastAsia="仿宋" w:cs="仿宋"/>
              <w:sz w:val="24"/>
              <w:szCs w:val="24"/>
            </w:rPr>
            <w:t>第三部分 名词解释</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_Toc7757 \h </w:instrText>
          </w:r>
          <w:r>
            <w:rPr>
              <w:rFonts w:hint="eastAsia" w:ascii="仿宋" w:hAnsi="仿宋" w:eastAsia="仿宋" w:cs="仿宋"/>
              <w:sz w:val="24"/>
              <w:szCs w:val="24"/>
            </w:rPr>
            <w:fldChar w:fldCharType="separate"/>
          </w:r>
          <w:r>
            <w:rPr>
              <w:rFonts w:hint="eastAsia" w:ascii="仿宋" w:hAnsi="仿宋" w:eastAsia="仿宋" w:cs="仿宋"/>
              <w:sz w:val="24"/>
              <w:szCs w:val="24"/>
            </w:rPr>
            <w:t>15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12"/>
            <w:pageBreakBefore w:val="0"/>
            <w:tabs>
              <w:tab w:val="right" w:leader="dot" w:pos="8306"/>
              <w:tab w:val="clear" w:pos="8296"/>
            </w:tabs>
            <w:kinsoku/>
            <w:wordWrap/>
            <w:overflowPunct/>
            <w:topLinePunct w:val="0"/>
            <w:bidi w:val="0"/>
            <w:spacing w:line="240" w:lineRule="auto"/>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_Toc21662 </w:instrText>
          </w:r>
          <w:r>
            <w:rPr>
              <w:rFonts w:hint="eastAsia" w:ascii="仿宋" w:hAnsi="仿宋" w:eastAsia="仿宋" w:cs="仿宋"/>
              <w:sz w:val="24"/>
              <w:szCs w:val="24"/>
            </w:rPr>
            <w:fldChar w:fldCharType="separate"/>
          </w:r>
          <w:r>
            <w:rPr>
              <w:rFonts w:hint="eastAsia" w:ascii="仿宋" w:hAnsi="仿宋" w:eastAsia="仿宋" w:cs="仿宋"/>
              <w:sz w:val="24"/>
              <w:szCs w:val="24"/>
            </w:rPr>
            <w:t>第四部分 附件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_Toc21662 \h </w:instrText>
          </w:r>
          <w:r>
            <w:rPr>
              <w:rFonts w:hint="eastAsia" w:ascii="仿宋" w:hAnsi="仿宋" w:eastAsia="仿宋" w:cs="仿宋"/>
              <w:sz w:val="24"/>
              <w:szCs w:val="24"/>
            </w:rPr>
            <w:fldChar w:fldCharType="separate"/>
          </w:r>
          <w:r>
            <w:rPr>
              <w:rFonts w:hint="eastAsia" w:ascii="仿宋" w:hAnsi="仿宋" w:eastAsia="仿宋" w:cs="仿宋"/>
              <w:sz w:val="24"/>
              <w:szCs w:val="24"/>
            </w:rPr>
            <w:t>17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12"/>
            <w:pageBreakBefore w:val="0"/>
            <w:tabs>
              <w:tab w:val="right" w:leader="dot" w:pos="8306"/>
              <w:tab w:val="clear" w:pos="8296"/>
            </w:tabs>
            <w:kinsoku/>
            <w:wordWrap/>
            <w:overflowPunct/>
            <w:topLinePunct w:val="0"/>
            <w:bidi w:val="0"/>
            <w:spacing w:line="240" w:lineRule="auto"/>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_Toc24839 </w:instrText>
          </w:r>
          <w:r>
            <w:rPr>
              <w:rFonts w:hint="eastAsia" w:ascii="仿宋" w:hAnsi="仿宋" w:eastAsia="仿宋" w:cs="仿宋"/>
              <w:sz w:val="24"/>
              <w:szCs w:val="24"/>
            </w:rPr>
            <w:fldChar w:fldCharType="separate"/>
          </w:r>
          <w:r>
            <w:rPr>
              <w:rFonts w:hint="eastAsia" w:ascii="仿宋" w:hAnsi="仿宋" w:eastAsia="仿宋" w:cs="仿宋"/>
              <w:sz w:val="24"/>
              <w:szCs w:val="24"/>
            </w:rPr>
            <w:t>第五部分 附表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_Toc24839 \h </w:instrText>
          </w:r>
          <w:r>
            <w:rPr>
              <w:rFonts w:hint="eastAsia" w:ascii="仿宋" w:hAnsi="仿宋" w:eastAsia="仿宋" w:cs="仿宋"/>
              <w:sz w:val="24"/>
              <w:szCs w:val="24"/>
            </w:rPr>
            <w:fldChar w:fldCharType="separate"/>
          </w:r>
          <w:r>
            <w:rPr>
              <w:rFonts w:hint="eastAsia" w:ascii="仿宋" w:hAnsi="仿宋" w:eastAsia="仿宋" w:cs="仿宋"/>
              <w:sz w:val="24"/>
              <w:szCs w:val="24"/>
            </w:rPr>
            <w:t>49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_Toc29855 </w:instrText>
          </w:r>
          <w:r>
            <w:rPr>
              <w:rFonts w:hint="eastAsia" w:ascii="宋体" w:hAnsi="宋体" w:eastAsia="宋体" w:cs="宋体"/>
              <w:sz w:val="24"/>
              <w:szCs w:val="24"/>
            </w:rPr>
            <w:fldChar w:fldCharType="separate"/>
          </w:r>
          <w:r>
            <w:rPr>
              <w:rFonts w:hint="eastAsia" w:ascii="宋体" w:hAnsi="宋体" w:eastAsia="宋体" w:cs="宋体"/>
              <w:sz w:val="24"/>
              <w:szCs w:val="24"/>
            </w:rPr>
            <w:t>一、收</w:t>
          </w:r>
          <w:r>
            <w:rPr>
              <w:rFonts w:hint="eastAsia" w:ascii="宋体" w:hAnsi="宋体" w:eastAsia="宋体" w:cs="宋体"/>
              <w:bCs w:val="0"/>
              <w:sz w:val="24"/>
              <w:szCs w:val="24"/>
            </w:rPr>
            <w:t>入支出决算总表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_Toc29855 \h </w:instrText>
          </w:r>
          <w:r>
            <w:rPr>
              <w:rFonts w:hint="eastAsia" w:ascii="宋体" w:hAnsi="宋体" w:eastAsia="宋体" w:cs="宋体"/>
              <w:sz w:val="24"/>
              <w:szCs w:val="24"/>
            </w:rPr>
            <w:fldChar w:fldCharType="separate"/>
          </w:r>
          <w:r>
            <w:rPr>
              <w:rFonts w:hint="eastAsia" w:ascii="宋体" w:hAnsi="宋体" w:eastAsia="宋体" w:cs="宋体"/>
              <w:sz w:val="24"/>
              <w:szCs w:val="24"/>
            </w:rPr>
            <w:t>50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_Toc18177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二、 </w:t>
          </w:r>
          <w:r>
            <w:rPr>
              <w:rFonts w:hint="eastAsia" w:ascii="宋体" w:hAnsi="宋体" w:eastAsia="宋体" w:cs="宋体"/>
              <w:sz w:val="24"/>
              <w:szCs w:val="24"/>
            </w:rPr>
            <w:t>收</w:t>
          </w:r>
          <w:r>
            <w:rPr>
              <w:rFonts w:hint="eastAsia" w:ascii="宋体" w:hAnsi="宋体" w:eastAsia="宋体" w:cs="宋体"/>
              <w:bCs w:val="0"/>
              <w:sz w:val="24"/>
              <w:szCs w:val="24"/>
            </w:rPr>
            <w:t>入决算表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_Toc18177 \h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_Toc7882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三、 </w:t>
          </w:r>
          <w:r>
            <w:rPr>
              <w:rFonts w:hint="eastAsia" w:ascii="宋体" w:hAnsi="宋体" w:eastAsia="宋体" w:cs="宋体"/>
              <w:sz w:val="24"/>
              <w:szCs w:val="24"/>
            </w:rPr>
            <w:t>支</w:t>
          </w:r>
          <w:r>
            <w:rPr>
              <w:rFonts w:hint="eastAsia" w:ascii="宋体" w:hAnsi="宋体" w:eastAsia="宋体" w:cs="宋体"/>
              <w:bCs w:val="0"/>
              <w:sz w:val="24"/>
              <w:szCs w:val="24"/>
            </w:rPr>
            <w:t>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_Toc7882 \h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_Toc1873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四、</w:t>
          </w:r>
          <w:r>
            <w:rPr>
              <w:rFonts w:hint="eastAsia" w:ascii="宋体" w:hAnsi="宋体" w:eastAsia="宋体" w:cs="宋体"/>
              <w:sz w:val="24"/>
              <w:szCs w:val="24"/>
            </w:rPr>
            <w:t>财</w:t>
          </w:r>
          <w:r>
            <w:rPr>
              <w:rFonts w:hint="eastAsia" w:ascii="宋体" w:hAnsi="宋体" w:eastAsia="宋体" w:cs="宋体"/>
              <w:bCs w:val="0"/>
              <w:sz w:val="24"/>
              <w:szCs w:val="24"/>
            </w:rPr>
            <w:t>政拨款收入支出决算总表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_Toc1873 \h </w:instrText>
          </w:r>
          <w:r>
            <w:rPr>
              <w:rFonts w:hint="eastAsia" w:ascii="宋体" w:hAnsi="宋体" w:eastAsia="宋体" w:cs="宋体"/>
              <w:sz w:val="24"/>
              <w:szCs w:val="24"/>
            </w:rPr>
            <w:fldChar w:fldCharType="separate"/>
          </w:r>
          <w:r>
            <w:rPr>
              <w:rFonts w:hint="eastAsia" w:ascii="宋体" w:hAnsi="宋体" w:eastAsia="宋体" w:cs="宋体"/>
              <w:sz w:val="24"/>
              <w:szCs w:val="24"/>
            </w:rPr>
            <w:t>52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_Toc10245 </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五、</w:t>
          </w:r>
          <w:r>
            <w:rPr>
              <w:rFonts w:hint="eastAsia" w:ascii="宋体" w:hAnsi="宋体" w:eastAsia="宋体" w:cs="宋体"/>
              <w:sz w:val="24"/>
              <w:szCs w:val="24"/>
            </w:rPr>
            <w:t>财</w:t>
          </w:r>
          <w:r>
            <w:rPr>
              <w:rFonts w:hint="eastAsia" w:ascii="宋体" w:hAnsi="宋体" w:eastAsia="宋体" w:cs="宋体"/>
              <w:bCs w:val="0"/>
              <w:sz w:val="24"/>
              <w:szCs w:val="24"/>
            </w:rPr>
            <w:t>政拨款支出决算明细表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_Toc10245 \h </w:instrText>
          </w:r>
          <w:r>
            <w:rPr>
              <w:rFonts w:hint="eastAsia" w:ascii="宋体" w:hAnsi="宋体" w:eastAsia="宋体" w:cs="宋体"/>
              <w:sz w:val="24"/>
              <w:szCs w:val="24"/>
            </w:rPr>
            <w:fldChar w:fldCharType="separate"/>
          </w:r>
          <w:r>
            <w:rPr>
              <w:rFonts w:hint="eastAsia" w:ascii="宋体" w:hAnsi="宋体" w:eastAsia="宋体" w:cs="宋体"/>
              <w:sz w:val="24"/>
              <w:szCs w:val="24"/>
            </w:rPr>
            <w:t>53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_Toc31033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六、 </w:t>
          </w:r>
          <w:r>
            <w:rPr>
              <w:rFonts w:hint="eastAsia" w:ascii="宋体" w:hAnsi="宋体" w:eastAsia="宋体" w:cs="宋体"/>
              <w:sz w:val="24"/>
              <w:szCs w:val="24"/>
            </w:rPr>
            <w:t>一</w:t>
          </w:r>
          <w:r>
            <w:rPr>
              <w:rFonts w:hint="eastAsia" w:ascii="宋体" w:hAnsi="宋体" w:eastAsia="宋体" w:cs="宋体"/>
              <w:bCs w:val="0"/>
              <w:sz w:val="24"/>
              <w:szCs w:val="24"/>
            </w:rPr>
            <w:t>般公共预算财政拨款支出决算表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_Toc31033 \h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_Toc25887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七、 </w:t>
          </w:r>
          <w:r>
            <w:rPr>
              <w:rFonts w:hint="eastAsia" w:ascii="宋体" w:hAnsi="宋体" w:eastAsia="宋体" w:cs="宋体"/>
              <w:sz w:val="24"/>
              <w:szCs w:val="24"/>
            </w:rPr>
            <w:t>一</w:t>
          </w:r>
          <w:r>
            <w:rPr>
              <w:rFonts w:hint="eastAsia" w:ascii="宋体" w:hAnsi="宋体" w:eastAsia="宋体" w:cs="宋体"/>
              <w:bCs w:val="0"/>
              <w:sz w:val="24"/>
              <w:szCs w:val="24"/>
            </w:rPr>
            <w:t>般公共预算财政拨款支出决算明细表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_Toc25887 \h </w:instrText>
          </w:r>
          <w:r>
            <w:rPr>
              <w:rFonts w:hint="eastAsia" w:ascii="宋体" w:hAnsi="宋体" w:eastAsia="宋体" w:cs="宋体"/>
              <w:sz w:val="24"/>
              <w:szCs w:val="24"/>
            </w:rPr>
            <w:fldChar w:fldCharType="separate"/>
          </w:r>
          <w:r>
            <w:rPr>
              <w:rFonts w:hint="eastAsia" w:ascii="宋体" w:hAnsi="宋体" w:eastAsia="宋体" w:cs="宋体"/>
              <w:sz w:val="24"/>
              <w:szCs w:val="24"/>
            </w:rPr>
            <w:t>55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_Toc22170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八、 </w:t>
          </w:r>
          <w:r>
            <w:rPr>
              <w:rFonts w:hint="eastAsia" w:ascii="宋体" w:hAnsi="宋体" w:eastAsia="宋体" w:cs="宋体"/>
              <w:sz w:val="24"/>
              <w:szCs w:val="24"/>
            </w:rPr>
            <w:t>一</w:t>
          </w:r>
          <w:r>
            <w:rPr>
              <w:rFonts w:hint="eastAsia" w:ascii="宋体" w:hAnsi="宋体" w:eastAsia="宋体" w:cs="宋体"/>
              <w:bCs w:val="0"/>
              <w:sz w:val="24"/>
              <w:szCs w:val="24"/>
            </w:rPr>
            <w:t>般公共预算财政拨款基本支出决算表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_Toc22170 \h </w:instrText>
          </w:r>
          <w:r>
            <w:rPr>
              <w:rFonts w:hint="eastAsia" w:ascii="宋体" w:hAnsi="宋体" w:eastAsia="宋体" w:cs="宋体"/>
              <w:sz w:val="24"/>
              <w:szCs w:val="24"/>
            </w:rPr>
            <w:fldChar w:fldCharType="separate"/>
          </w:r>
          <w:r>
            <w:rPr>
              <w:rFonts w:hint="eastAsia" w:ascii="宋体" w:hAnsi="宋体" w:eastAsia="宋体" w:cs="宋体"/>
              <w:sz w:val="24"/>
              <w:szCs w:val="24"/>
            </w:rPr>
            <w:t>60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_Toc10133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九、 </w:t>
          </w:r>
          <w:r>
            <w:rPr>
              <w:rFonts w:hint="eastAsia" w:ascii="宋体" w:hAnsi="宋体" w:eastAsia="宋体" w:cs="宋体"/>
              <w:sz w:val="24"/>
              <w:szCs w:val="24"/>
            </w:rPr>
            <w:t>一</w:t>
          </w:r>
          <w:r>
            <w:rPr>
              <w:rFonts w:hint="eastAsia" w:ascii="宋体" w:hAnsi="宋体" w:eastAsia="宋体" w:cs="宋体"/>
              <w:bCs w:val="0"/>
              <w:sz w:val="24"/>
              <w:szCs w:val="24"/>
            </w:rPr>
            <w:t>般公共预算财政拨款项目支出决算表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_Toc10133 \h </w:instrText>
          </w:r>
          <w:r>
            <w:rPr>
              <w:rFonts w:hint="eastAsia" w:ascii="宋体" w:hAnsi="宋体" w:eastAsia="宋体" w:cs="宋体"/>
              <w:sz w:val="24"/>
              <w:szCs w:val="24"/>
            </w:rPr>
            <w:fldChar w:fldCharType="separate"/>
          </w:r>
          <w:r>
            <w:rPr>
              <w:rFonts w:hint="eastAsia" w:ascii="宋体" w:hAnsi="宋体" w:eastAsia="宋体" w:cs="宋体"/>
              <w:sz w:val="24"/>
              <w:szCs w:val="24"/>
            </w:rPr>
            <w:t>60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_Toc13715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十、 </w:t>
          </w:r>
          <w:r>
            <w:rPr>
              <w:rFonts w:hint="eastAsia" w:ascii="宋体" w:hAnsi="宋体" w:eastAsia="宋体" w:cs="宋体"/>
              <w:sz w:val="24"/>
              <w:szCs w:val="24"/>
            </w:rPr>
            <w:t>政</w:t>
          </w:r>
          <w:r>
            <w:rPr>
              <w:rFonts w:hint="eastAsia" w:ascii="宋体" w:hAnsi="宋体" w:eastAsia="宋体" w:cs="宋体"/>
              <w:bCs w:val="0"/>
              <w:sz w:val="24"/>
              <w:szCs w:val="24"/>
            </w:rPr>
            <w:t>府性基金预算财政拨款收入支出决算表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_Toc13715 \h </w:instrText>
          </w:r>
          <w:r>
            <w:rPr>
              <w:rFonts w:hint="eastAsia" w:ascii="宋体" w:hAnsi="宋体" w:eastAsia="宋体" w:cs="宋体"/>
              <w:sz w:val="24"/>
              <w:szCs w:val="24"/>
            </w:rPr>
            <w:fldChar w:fldCharType="separate"/>
          </w:r>
          <w:r>
            <w:rPr>
              <w:rFonts w:hint="eastAsia" w:ascii="宋体" w:hAnsi="宋体" w:eastAsia="宋体" w:cs="宋体"/>
              <w:sz w:val="24"/>
              <w:szCs w:val="24"/>
            </w:rPr>
            <w:t>61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_Toc30008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十一、 </w:t>
          </w:r>
          <w:r>
            <w:rPr>
              <w:rFonts w:hint="eastAsia" w:ascii="宋体" w:hAnsi="宋体" w:eastAsia="宋体" w:cs="宋体"/>
              <w:sz w:val="24"/>
              <w:szCs w:val="24"/>
            </w:rPr>
            <w:t>国</w:t>
          </w:r>
          <w:r>
            <w:rPr>
              <w:rFonts w:hint="eastAsia" w:ascii="宋体" w:hAnsi="宋体" w:eastAsia="宋体" w:cs="宋体"/>
              <w:bCs w:val="0"/>
              <w:sz w:val="24"/>
              <w:szCs w:val="24"/>
            </w:rPr>
            <w:t>有资本经营预算财政拨款收入支出决算表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_Toc30008 \h </w:instrText>
          </w:r>
          <w:r>
            <w:rPr>
              <w:rFonts w:hint="eastAsia" w:ascii="宋体" w:hAnsi="宋体" w:eastAsia="宋体" w:cs="宋体"/>
              <w:sz w:val="24"/>
              <w:szCs w:val="24"/>
            </w:rPr>
            <w:fldChar w:fldCharType="separate"/>
          </w:r>
          <w:r>
            <w:rPr>
              <w:rFonts w:hint="eastAsia" w:ascii="宋体" w:hAnsi="宋体" w:eastAsia="宋体" w:cs="宋体"/>
              <w:sz w:val="24"/>
              <w:szCs w:val="24"/>
            </w:rPr>
            <w:t>61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_Toc29725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十二、 国有资本经营预算财政拨款支出决算表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_Toc29725 \h </w:instrText>
          </w:r>
          <w:r>
            <w:rPr>
              <w:rFonts w:hint="eastAsia" w:ascii="宋体" w:hAnsi="宋体" w:eastAsia="宋体" w:cs="宋体"/>
              <w:sz w:val="24"/>
              <w:szCs w:val="24"/>
            </w:rPr>
            <w:fldChar w:fldCharType="separate"/>
          </w:r>
          <w:r>
            <w:rPr>
              <w:rFonts w:hint="eastAsia" w:ascii="宋体" w:hAnsi="宋体" w:eastAsia="宋体" w:cs="宋体"/>
              <w:sz w:val="24"/>
              <w:szCs w:val="24"/>
            </w:rPr>
            <w:t>62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pageBreakBefore w:val="0"/>
            <w:tabs>
              <w:tab w:val="right" w:leader="dot" w:pos="8306"/>
              <w:tab w:val="clear" w:pos="8296"/>
            </w:tabs>
            <w:kinsoku/>
            <w:wordWrap/>
            <w:overflowPunct/>
            <w:topLinePunct w:val="0"/>
            <w:bidi w:val="0"/>
            <w:spacing w:line="240" w:lineRule="auto"/>
            <w:textAlignment w:val="auto"/>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_Toc3555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十三、 财政拨款“三公”经费支出决算表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_Toc3555 \h </w:instrText>
          </w:r>
          <w:r>
            <w:rPr>
              <w:rFonts w:hint="eastAsia" w:ascii="宋体" w:hAnsi="宋体" w:eastAsia="宋体" w:cs="宋体"/>
              <w:sz w:val="24"/>
              <w:szCs w:val="24"/>
            </w:rPr>
            <w:fldChar w:fldCharType="separate"/>
          </w:r>
          <w:r>
            <w:rPr>
              <w:rFonts w:hint="eastAsia" w:ascii="宋体" w:hAnsi="宋体" w:eastAsia="宋体" w:cs="宋体"/>
              <w:sz w:val="24"/>
              <w:szCs w:val="24"/>
            </w:rPr>
            <w:t>62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
            <w:pageBreakBefore w:val="0"/>
            <w:kinsoku/>
            <w:wordWrap/>
            <w:overflowPunct/>
            <w:topLinePunct w:val="0"/>
            <w:bidi w:val="0"/>
            <w:spacing w:before="0" w:beforeLines="0" w:after="0" w:afterLines="0" w:line="240" w:lineRule="auto"/>
            <w:ind w:left="0" w:leftChars="0" w:right="0" w:rightChars="0" w:firstLine="0" w:firstLineChars="0"/>
            <w:jc w:val="center"/>
            <w:textAlignment w:val="auto"/>
            <w:rPr>
              <w:rFonts w:hint="eastAsia" w:ascii="黑体" w:hAnsi="黑体" w:eastAsia="黑体"/>
              <w:b w:val="0"/>
            </w:rPr>
          </w:pPr>
          <w:r>
            <w:rPr>
              <w:rFonts w:hint="eastAsia" w:ascii="黑体" w:hAnsi="黑体" w:eastAsia="黑体"/>
            </w:rPr>
            <w:fldChar w:fldCharType="end"/>
          </w:r>
        </w:p>
      </w:sdtContent>
    </w:sdt>
    <w:p>
      <w:pPr>
        <w:pStyle w:val="2"/>
        <w:pageBreakBefore w:val="0"/>
        <w:kinsoku/>
        <w:wordWrap/>
        <w:overflowPunct/>
        <w:topLinePunct w:val="0"/>
        <w:bidi w:val="0"/>
        <w:spacing w:line="240" w:lineRule="auto"/>
        <w:textAlignment w:val="auto"/>
        <w:rPr>
          <w:rFonts w:hint="eastAsia" w:ascii="黑体" w:hAnsi="黑体" w:eastAsia="黑体"/>
          <w:b w:val="0"/>
        </w:rPr>
      </w:pPr>
    </w:p>
    <w:p>
      <w:pPr>
        <w:pStyle w:val="3"/>
        <w:pageBreakBefore w:val="0"/>
        <w:kinsoku/>
        <w:wordWrap/>
        <w:overflowPunct/>
        <w:topLinePunct w:val="0"/>
        <w:bidi w:val="0"/>
        <w:spacing w:line="240" w:lineRule="auto"/>
        <w:jc w:val="center"/>
        <w:textAlignment w:val="auto"/>
        <w:rPr>
          <w:rStyle w:val="29"/>
          <w:rFonts w:ascii="黑体" w:hAnsi="黑体" w:eastAsia="黑体"/>
          <w:b/>
          <w:bCs w:val="0"/>
        </w:rPr>
      </w:pPr>
      <w:bookmarkStart w:id="18" w:name="_Toc735"/>
      <w:r>
        <w:rPr>
          <w:rFonts w:hint="eastAsia" w:ascii="黑体" w:hAnsi="黑体" w:eastAsia="黑体"/>
          <w:b w:val="0"/>
        </w:rPr>
        <w:t xml:space="preserve">第一部分 </w:t>
      </w:r>
      <w:r>
        <w:rPr>
          <w:rStyle w:val="29"/>
          <w:rFonts w:hint="eastAsia" w:ascii="黑体" w:hAnsi="黑体" w:eastAsia="黑体"/>
          <w:b w:val="0"/>
          <w:bCs w:val="0"/>
        </w:rPr>
        <w:t>部门概况</w:t>
      </w:r>
      <w:bookmarkEnd w:id="18"/>
    </w:p>
    <w:p>
      <w:pPr>
        <w:pStyle w:val="4"/>
        <w:pageBreakBefore w:val="0"/>
        <w:numPr>
          <w:ilvl w:val="0"/>
          <w:numId w:val="1"/>
        </w:numPr>
        <w:kinsoku/>
        <w:wordWrap/>
        <w:overflowPunct/>
        <w:topLinePunct w:val="0"/>
        <w:bidi w:val="0"/>
        <w:spacing w:line="240" w:lineRule="auto"/>
        <w:textAlignment w:val="auto"/>
        <w:rPr>
          <w:rFonts w:hint="eastAsia" w:ascii="黑体" w:hAnsi="黑体" w:eastAsia="黑体"/>
          <w:b w:val="0"/>
        </w:rPr>
      </w:pPr>
      <w:bookmarkStart w:id="19" w:name="_Toc13415"/>
      <w:r>
        <w:rPr>
          <w:rFonts w:hint="eastAsia" w:ascii="黑体" w:hAnsi="黑体" w:eastAsia="黑体"/>
          <w:b w:val="0"/>
        </w:rPr>
        <w:t>部门职责</w:t>
      </w:r>
      <w:bookmarkEnd w:id="19"/>
    </w:p>
    <w:p>
      <w:pPr>
        <w:keepNext w:val="0"/>
        <w:keepLines w:val="0"/>
        <w:pageBreakBefore w:val="0"/>
        <w:widowControl w:val="0"/>
        <w:kinsoku/>
        <w:wordWrap/>
        <w:overflowPunct/>
        <w:topLinePunct w:val="0"/>
        <w:autoSpaceDE/>
        <w:autoSpaceDN/>
        <w:bidi w:val="0"/>
        <w:adjustRightInd w:val="0"/>
        <w:snapToGrid/>
        <w:spacing w:line="240" w:lineRule="auto"/>
        <w:ind w:firstLine="660" w:firstLineChars="200"/>
        <w:textAlignment w:val="auto"/>
        <w:rPr>
          <w:rFonts w:ascii="Times New Roman" w:hAnsi="Times New Roman" w:eastAsia="方正仿宋_GBK"/>
          <w:color w:val="000000"/>
          <w:sz w:val="33"/>
          <w:szCs w:val="32"/>
          <w:shd w:val="clear" w:color="auto" w:fill="FFFFFF"/>
          <w:lang w:bidi="ar"/>
        </w:rPr>
      </w:pPr>
      <w:r>
        <w:rPr>
          <w:rFonts w:hint="eastAsia" w:ascii="Times New Roman" w:hAnsi="Times New Roman" w:eastAsia="方正仿宋_GBK"/>
          <w:color w:val="000000"/>
          <w:sz w:val="33"/>
          <w:szCs w:val="32"/>
          <w:shd w:val="clear" w:color="auto" w:fill="FFFFFF"/>
          <w:lang w:val="en-US" w:eastAsia="zh-CN" w:bidi="ar"/>
        </w:rPr>
        <w:t>中共盐边</w:t>
      </w:r>
      <w:r>
        <w:rPr>
          <w:rFonts w:hint="eastAsia" w:ascii="Times New Roman" w:hAnsi="Times New Roman" w:eastAsia="方正仿宋_GBK"/>
          <w:color w:val="000000"/>
          <w:sz w:val="33"/>
          <w:szCs w:val="32"/>
          <w:shd w:val="clear" w:color="auto" w:fill="FFFFFF"/>
          <w:lang w:bidi="ar"/>
        </w:rPr>
        <w:t>县委组织部主管全县人事、党建方面的工作</w:t>
      </w:r>
      <w:r>
        <w:rPr>
          <w:rFonts w:hint="eastAsia" w:ascii="Times New Roman" w:hAnsi="Times New Roman" w:eastAsia="方正仿宋_GBK"/>
          <w:color w:val="000000"/>
          <w:sz w:val="33"/>
          <w:szCs w:val="32"/>
          <w:shd w:val="clear" w:color="auto" w:fill="FFFFFF"/>
          <w:lang w:eastAsia="zh-CN" w:bidi="ar"/>
        </w:rPr>
        <w:t>，</w:t>
      </w:r>
      <w:r>
        <w:rPr>
          <w:rFonts w:hint="eastAsia" w:ascii="Times New Roman" w:hAnsi="Times New Roman" w:eastAsia="方正仿宋_GBK"/>
          <w:color w:val="000000"/>
          <w:sz w:val="33"/>
          <w:szCs w:val="32"/>
          <w:shd w:val="clear" w:color="auto" w:fill="FFFFFF"/>
          <w:lang w:val="en-US" w:eastAsia="zh-CN" w:bidi="ar"/>
        </w:rPr>
        <w:t>负责</w:t>
      </w:r>
      <w:r>
        <w:rPr>
          <w:rFonts w:hint="eastAsia" w:ascii="Times New Roman" w:hAnsi="Times New Roman" w:eastAsia="方正仿宋_GBK"/>
          <w:color w:val="000000"/>
          <w:sz w:val="33"/>
          <w:szCs w:val="32"/>
          <w:shd w:val="clear" w:color="auto" w:fill="FFFFFF"/>
          <w:lang w:bidi="ar"/>
        </w:rPr>
        <w:t>有关组织工作、干部工作、人才工作的理论研究及重要政策的综合研究；承担省委组织部、市委组织部下达的重点调研课题，指导全县组织系统调研工作等。</w:t>
      </w:r>
    </w:p>
    <w:p>
      <w:pPr>
        <w:keepNext w:val="0"/>
        <w:keepLines w:val="0"/>
        <w:pageBreakBefore w:val="0"/>
        <w:widowControl w:val="0"/>
        <w:kinsoku/>
        <w:wordWrap/>
        <w:overflowPunct/>
        <w:topLinePunct w:val="0"/>
        <w:autoSpaceDE/>
        <w:autoSpaceDN/>
        <w:bidi w:val="0"/>
        <w:adjustRightInd w:val="0"/>
        <w:snapToGrid/>
        <w:spacing w:line="240" w:lineRule="auto"/>
        <w:ind w:firstLine="660" w:firstLineChars="200"/>
        <w:textAlignment w:val="auto"/>
        <w:rPr>
          <w:rFonts w:hint="eastAsia" w:ascii="Times New Roman" w:hAnsi="Times New Roman" w:eastAsia="方正仿宋_GBK"/>
          <w:color w:val="000000"/>
          <w:sz w:val="33"/>
          <w:szCs w:val="32"/>
          <w:shd w:val="clear" w:color="auto" w:fill="FFFFFF"/>
          <w:lang w:bidi="ar"/>
        </w:rPr>
      </w:pPr>
      <w:r>
        <w:rPr>
          <w:rFonts w:hint="eastAsia" w:ascii="Times New Roman" w:hAnsi="Times New Roman" w:eastAsia="方正仿宋_GBK"/>
          <w:color w:val="000000"/>
          <w:sz w:val="33"/>
          <w:szCs w:val="32"/>
          <w:shd w:val="clear" w:color="auto" w:fill="FFFFFF"/>
          <w:lang w:bidi="ar"/>
        </w:rPr>
        <w:t>主要有以下几个职能：</w:t>
      </w:r>
    </w:p>
    <w:p>
      <w:pPr>
        <w:keepNext w:val="0"/>
        <w:keepLines w:val="0"/>
        <w:pageBreakBefore w:val="0"/>
        <w:widowControl w:val="0"/>
        <w:kinsoku/>
        <w:wordWrap/>
        <w:overflowPunct/>
        <w:topLinePunct w:val="0"/>
        <w:autoSpaceDE/>
        <w:autoSpaceDN/>
        <w:bidi w:val="0"/>
        <w:adjustRightInd w:val="0"/>
        <w:snapToGrid/>
        <w:spacing w:line="240" w:lineRule="auto"/>
        <w:ind w:firstLine="660" w:firstLineChars="200"/>
        <w:textAlignment w:val="auto"/>
        <w:rPr>
          <w:rFonts w:hint="eastAsia" w:ascii="Times New Roman" w:hAnsi="Times New Roman" w:eastAsia="方正仿宋_GBK"/>
          <w:sz w:val="33"/>
          <w:szCs w:val="33"/>
        </w:rPr>
      </w:pPr>
      <w:r>
        <w:rPr>
          <w:rFonts w:hint="eastAsia" w:ascii="Times New Roman" w:hAnsi="Times New Roman" w:eastAsia="方正仿宋_GBK"/>
          <w:color w:val="000000"/>
          <w:sz w:val="33"/>
          <w:szCs w:val="32"/>
          <w:shd w:val="clear" w:color="auto" w:fill="FFFFFF"/>
          <w:lang w:bidi="ar"/>
        </w:rPr>
        <w:t>1.组织建设：主要负责在党的基层组织建设、党员教育管理、党员发展、党费管理、党的工作制度、党内生活制度等方面进行指导、组织、管理，提出意见建议等。</w:t>
      </w:r>
    </w:p>
    <w:p>
      <w:pPr>
        <w:keepNext w:val="0"/>
        <w:keepLines w:val="0"/>
        <w:pageBreakBefore w:val="0"/>
        <w:widowControl w:val="0"/>
        <w:kinsoku/>
        <w:wordWrap/>
        <w:overflowPunct/>
        <w:topLinePunct w:val="0"/>
        <w:autoSpaceDE/>
        <w:autoSpaceDN/>
        <w:bidi w:val="0"/>
        <w:adjustRightInd w:val="0"/>
        <w:snapToGrid/>
        <w:spacing w:line="240" w:lineRule="auto"/>
        <w:ind w:firstLine="660" w:firstLineChars="200"/>
        <w:textAlignment w:val="auto"/>
        <w:rPr>
          <w:rFonts w:hint="eastAsia" w:ascii="Times New Roman" w:hAnsi="Times New Roman" w:eastAsia="方正仿宋_GBK"/>
          <w:sz w:val="33"/>
          <w:szCs w:val="33"/>
        </w:rPr>
      </w:pPr>
      <w:r>
        <w:rPr>
          <w:rFonts w:hint="eastAsia" w:ascii="Times New Roman" w:hAnsi="Times New Roman" w:eastAsia="方正仿宋_GBK"/>
          <w:color w:val="000000"/>
          <w:sz w:val="33"/>
          <w:szCs w:val="32"/>
          <w:shd w:val="clear" w:color="auto" w:fill="FFFFFF"/>
          <w:lang w:bidi="ar"/>
        </w:rPr>
        <w:t>2.干部工作：主要负责领导班子和干部的</w:t>
      </w:r>
      <w:r>
        <w:rPr>
          <w:rFonts w:hint="eastAsia" w:ascii="Times New Roman" w:hAnsi="Times New Roman" w:eastAsia="方正仿宋_GBK"/>
          <w:sz w:val="33"/>
          <w:szCs w:val="33"/>
        </w:rPr>
        <w:t>考察考核和日常管理工作</w:t>
      </w:r>
      <w:r>
        <w:rPr>
          <w:rFonts w:hint="eastAsia" w:ascii="Times New Roman" w:hAnsi="Times New Roman" w:eastAsia="方正仿宋_GBK"/>
          <w:color w:val="000000"/>
          <w:sz w:val="33"/>
          <w:szCs w:val="32"/>
          <w:shd w:val="clear" w:color="auto" w:fill="FFFFFF"/>
          <w:lang w:bidi="ar"/>
        </w:rPr>
        <w:t>，</w:t>
      </w:r>
      <w:r>
        <w:rPr>
          <w:rFonts w:hint="eastAsia" w:ascii="Times New Roman" w:hAnsi="Times New Roman" w:eastAsia="方正仿宋_GBK"/>
          <w:sz w:val="33"/>
          <w:szCs w:val="33"/>
        </w:rPr>
        <w:t>提出领导班子调整配备和领导干部职务任免、交流、待遇及离退休的建议意见，负责审核办理干部职务任免、退休、享受待遇等工作</w:t>
      </w:r>
      <w:r>
        <w:rPr>
          <w:rFonts w:hint="eastAsia" w:ascii="Times New Roman" w:hAnsi="Times New Roman" w:eastAsia="方正仿宋_GBK"/>
          <w:color w:val="000000"/>
          <w:sz w:val="33"/>
          <w:szCs w:val="32"/>
          <w:shd w:val="clear" w:color="auto" w:fill="FFFFFF"/>
          <w:lang w:bidi="ar"/>
        </w:rPr>
        <w:t>；</w:t>
      </w:r>
      <w:r>
        <w:rPr>
          <w:rFonts w:hint="eastAsia" w:ascii="Times New Roman" w:hAnsi="Times New Roman" w:eastAsia="方正仿宋_GBK"/>
          <w:sz w:val="33"/>
          <w:szCs w:val="33"/>
        </w:rPr>
        <w:t>对全县组织部门干部监督工作的综合协调和宏观指导，研究完善干部监督工作机制</w:t>
      </w:r>
      <w:r>
        <w:rPr>
          <w:rFonts w:hint="eastAsia" w:ascii="Times New Roman" w:hAnsi="Times New Roman" w:eastAsia="方正仿宋_GBK"/>
          <w:color w:val="000000"/>
          <w:sz w:val="33"/>
          <w:szCs w:val="32"/>
          <w:shd w:val="clear" w:color="auto" w:fill="FFFFFF"/>
          <w:lang w:bidi="ar"/>
        </w:rPr>
        <w:t>。同时</w:t>
      </w:r>
      <w:r>
        <w:rPr>
          <w:rFonts w:hint="eastAsia" w:ascii="Times New Roman" w:hAnsi="Times New Roman" w:eastAsia="方正仿宋_GBK"/>
          <w:sz w:val="33"/>
          <w:szCs w:val="33"/>
        </w:rPr>
        <w:t>负责全县干部教育培训工作的整体规划、宏观指导和协调服务。</w:t>
      </w:r>
    </w:p>
    <w:p>
      <w:pPr>
        <w:keepNext w:val="0"/>
        <w:keepLines w:val="0"/>
        <w:pageBreakBefore w:val="0"/>
        <w:widowControl w:val="0"/>
        <w:kinsoku/>
        <w:wordWrap/>
        <w:overflowPunct/>
        <w:topLinePunct w:val="0"/>
        <w:autoSpaceDE/>
        <w:autoSpaceDN/>
        <w:bidi w:val="0"/>
        <w:adjustRightInd w:val="0"/>
        <w:snapToGrid/>
        <w:spacing w:line="240" w:lineRule="auto"/>
        <w:ind w:firstLine="660" w:firstLineChars="200"/>
        <w:textAlignment w:val="auto"/>
        <w:rPr>
          <w:rFonts w:hint="eastAsia" w:ascii="Times New Roman" w:hAnsi="Times New Roman" w:eastAsia="方正仿宋_GBK"/>
          <w:color w:val="000000"/>
          <w:sz w:val="33"/>
          <w:szCs w:val="32"/>
          <w:shd w:val="clear" w:color="auto" w:fill="FFFFFF"/>
          <w:lang w:bidi="ar"/>
        </w:rPr>
      </w:pPr>
      <w:r>
        <w:rPr>
          <w:rFonts w:hint="eastAsia" w:ascii="Times New Roman" w:hAnsi="Times New Roman" w:eastAsia="方正仿宋_GBK"/>
          <w:color w:val="000000"/>
          <w:sz w:val="33"/>
          <w:szCs w:val="32"/>
          <w:shd w:val="clear" w:color="auto" w:fill="FFFFFF"/>
          <w:lang w:bidi="ar"/>
        </w:rPr>
        <w:t>3.人才工作：主要负责全县人才工作和人才队伍建设宏观管理、政策法规研究实施，指导协调专项人才工作以及高层次人才引进工作，</w:t>
      </w:r>
      <w:r>
        <w:rPr>
          <w:rFonts w:hint="eastAsia" w:ascii="Times New Roman" w:hAnsi="Times New Roman" w:eastAsia="方正仿宋_GBK"/>
          <w:sz w:val="33"/>
          <w:szCs w:val="33"/>
        </w:rPr>
        <w:t>负责牵头或指导实施全县重大人才工程项目和专业技术人才援助工作；负责人才工作专项经费预算落实</w:t>
      </w:r>
      <w:r>
        <w:rPr>
          <w:rFonts w:hint="eastAsia" w:ascii="Times New Roman" w:hAnsi="Times New Roman" w:eastAsia="方正仿宋_GBK"/>
          <w:color w:val="000000"/>
          <w:sz w:val="33"/>
          <w:szCs w:val="32"/>
          <w:shd w:val="clear" w:color="auto" w:fill="FFFFFF"/>
          <w:lang w:bidi="ar"/>
        </w:rPr>
        <w:t>。</w:t>
      </w:r>
    </w:p>
    <w:p>
      <w:pPr>
        <w:keepNext w:val="0"/>
        <w:keepLines w:val="0"/>
        <w:pageBreakBefore w:val="0"/>
        <w:widowControl w:val="0"/>
        <w:kinsoku/>
        <w:wordWrap/>
        <w:overflowPunct/>
        <w:topLinePunct w:val="0"/>
        <w:autoSpaceDE/>
        <w:autoSpaceDN/>
        <w:bidi w:val="0"/>
        <w:adjustRightInd w:val="0"/>
        <w:snapToGrid/>
        <w:spacing w:line="240" w:lineRule="auto"/>
        <w:ind w:firstLine="660" w:firstLineChars="200"/>
        <w:textAlignment w:val="auto"/>
        <w:rPr>
          <w:rFonts w:hint="eastAsia" w:ascii="Times New Roman" w:hAnsi="Times New Roman" w:eastAsia="方正仿宋_GBK"/>
          <w:color w:val="000000"/>
          <w:sz w:val="33"/>
          <w:szCs w:val="32"/>
          <w:shd w:val="clear" w:color="auto" w:fill="FFFFFF"/>
          <w:lang w:bidi="ar"/>
        </w:rPr>
      </w:pPr>
      <w:r>
        <w:rPr>
          <w:rFonts w:hint="eastAsia" w:ascii="Times New Roman" w:hAnsi="Times New Roman" w:eastAsia="方正仿宋_GBK"/>
          <w:color w:val="000000"/>
          <w:sz w:val="33"/>
          <w:szCs w:val="32"/>
          <w:shd w:val="clear" w:color="auto" w:fill="FFFFFF"/>
          <w:lang w:bidi="ar"/>
        </w:rPr>
        <w:t>4.老干部工作：主要负责离退休干部工作政策的研究和宏观指导，包括落实离退休干部的政治待遇和生活待遇，发挥离退休干部的作用等。</w:t>
      </w:r>
    </w:p>
    <w:p>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firstLine="660" w:firstLineChars="200"/>
        <w:textAlignment w:val="auto"/>
        <w:rPr>
          <w:rFonts w:ascii="Times New Roman" w:hAnsi="Times New Roman" w:eastAsia="方正仿宋_GBK"/>
          <w:sz w:val="33"/>
        </w:rPr>
      </w:pPr>
      <w:r>
        <w:rPr>
          <w:rFonts w:hint="eastAsia" w:ascii="Times New Roman" w:hAnsi="Times New Roman" w:eastAsia="方正仿宋_GBK"/>
          <w:color w:val="000000"/>
          <w:sz w:val="33"/>
          <w:szCs w:val="32"/>
          <w:shd w:val="clear" w:color="auto" w:fill="FFFFFF"/>
          <w:lang w:bidi="ar"/>
        </w:rPr>
        <w:t>5.公务员管理：统一管理公务员录用调配、考核奖惩、培训和工资福利等事务，落实公务员管理政策和法律法规，指导全县公务员队伍建设和绩效管理等。</w:t>
      </w:r>
    </w:p>
    <w:p>
      <w:pPr>
        <w:pStyle w:val="4"/>
        <w:pageBreakBefore w:val="0"/>
        <w:widowControl w:val="0"/>
        <w:kinsoku/>
        <w:wordWrap/>
        <w:overflowPunct/>
        <w:topLinePunct w:val="0"/>
        <w:autoSpaceDE/>
        <w:autoSpaceDN/>
        <w:bidi w:val="0"/>
        <w:adjustRightInd w:val="0"/>
        <w:spacing w:line="240" w:lineRule="auto"/>
        <w:ind w:firstLine="640" w:firstLineChars="200"/>
        <w:textAlignment w:val="auto"/>
        <w:rPr>
          <w:rStyle w:val="30"/>
          <w:b w:val="0"/>
          <w:bCs w:val="0"/>
        </w:rPr>
      </w:pPr>
      <w:bookmarkStart w:id="20" w:name="_Toc30474"/>
      <w:bookmarkStart w:id="21" w:name="_Toc15377200"/>
      <w:bookmarkStart w:id="22" w:name="_Toc15396601"/>
      <w:r>
        <w:rPr>
          <w:rFonts w:hint="eastAsia" w:ascii="黑体" w:eastAsia="黑体"/>
          <w:b w:val="0"/>
        </w:rPr>
        <w:t>二、</w:t>
      </w:r>
      <w:r>
        <w:rPr>
          <w:rFonts w:hint="eastAsia" w:ascii="黑体" w:hAnsi="黑体" w:eastAsia="黑体"/>
          <w:b w:val="0"/>
        </w:rPr>
        <w:t>机</w:t>
      </w:r>
      <w:r>
        <w:rPr>
          <w:rStyle w:val="30"/>
          <w:rFonts w:hint="eastAsia" w:ascii="黑体" w:hAnsi="黑体" w:eastAsia="黑体"/>
          <w:b w:val="0"/>
          <w:bCs w:val="0"/>
        </w:rPr>
        <w:t>构设置</w:t>
      </w:r>
      <w:bookmarkEnd w:id="20"/>
      <w:bookmarkEnd w:id="21"/>
      <w:bookmarkEnd w:id="22"/>
    </w:p>
    <w:p>
      <w:pPr>
        <w:pageBreakBefore w:val="0"/>
        <w:widowControl w:val="0"/>
        <w:kinsoku/>
        <w:wordWrap/>
        <w:overflowPunct/>
        <w:topLinePunct w:val="0"/>
        <w:autoSpaceDE/>
        <w:autoSpaceDN/>
        <w:bidi w:val="0"/>
        <w:adjustRightInd w:val="0"/>
        <w:spacing w:line="240" w:lineRule="auto"/>
        <w:ind w:firstLine="660" w:firstLineChars="200"/>
        <w:textAlignment w:val="auto"/>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县委组织部</w:t>
      </w:r>
      <w:r>
        <w:rPr>
          <w:rFonts w:hint="eastAsia" w:ascii="仿宋" w:hAnsi="仿宋" w:eastAsia="仿宋"/>
          <w:sz w:val="32"/>
          <w:szCs w:val="32"/>
        </w:rPr>
        <w:t>下属二级预算单位</w:t>
      </w:r>
      <w:r>
        <w:rPr>
          <w:rFonts w:hint="eastAsia" w:ascii="仿宋" w:hAnsi="仿宋" w:eastAsia="仿宋"/>
          <w:sz w:val="32"/>
          <w:szCs w:val="32"/>
          <w:lang w:val="en-US" w:eastAsia="zh-CN"/>
        </w:rPr>
        <w:t>0</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bCs/>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0</w:t>
      </w:r>
      <w:r>
        <w:rPr>
          <w:rFonts w:hint="eastAsia" w:ascii="仿宋" w:hAnsi="仿宋" w:eastAsia="仿宋"/>
          <w:sz w:val="32"/>
          <w:szCs w:val="32"/>
        </w:rPr>
        <w:t>个。</w:t>
      </w:r>
    </w:p>
    <w:p>
      <w:pPr>
        <w:pStyle w:val="2"/>
        <w:pageBreakBefore w:val="0"/>
        <w:widowControl w:val="0"/>
        <w:kinsoku/>
        <w:wordWrap/>
        <w:overflowPunct/>
        <w:topLinePunct w:val="0"/>
        <w:autoSpaceDE/>
        <w:autoSpaceDN/>
        <w:bidi w:val="0"/>
        <w:adjustRightInd w:val="0"/>
        <w:snapToGrid w:val="0"/>
        <w:spacing w:before="93" w:line="240" w:lineRule="auto"/>
        <w:ind w:firstLine="660" w:firstLineChars="200"/>
        <w:textAlignment w:val="auto"/>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县委组织部内设办公室、县委城乡基层治理委员会办公室、研究室、组织股、干部股、公务员股、人才工作股、离退休干部股8个股室；有3家下属事业单位，县老干部活动中心、县干部人事档案服务中心、县乡村振兴学校（县乡村振兴研究中心）；同时代管县委直属事业单位中共盐边县委组织部党员教育中心</w:t>
      </w:r>
      <w:r>
        <w:rPr>
          <w:rFonts w:hint="eastAsia" w:ascii="Times New Roman" w:eastAsia="方正仿宋_GBK" w:cs="Times New Roman"/>
          <w:color w:val="000000"/>
          <w:kern w:val="2"/>
          <w:sz w:val="33"/>
          <w:szCs w:val="32"/>
          <w:shd w:val="clear" w:color="auto" w:fill="FFFFFF"/>
          <w:lang w:val="en-US" w:eastAsia="zh-CN" w:bidi="ar"/>
        </w:rPr>
        <w:t>，</w:t>
      </w:r>
      <w:r>
        <w:rPr>
          <w:rFonts w:hint="eastAsia" w:ascii="Times New Roman" w:hAnsi="Times New Roman" w:eastAsia="方正仿宋_GBK" w:cs="Times New Roman"/>
          <w:color w:val="000000"/>
          <w:kern w:val="2"/>
          <w:sz w:val="33"/>
          <w:szCs w:val="32"/>
          <w:shd w:val="clear" w:color="auto" w:fill="FFFFFF"/>
          <w:lang w:val="en-US" w:eastAsia="zh-CN" w:bidi="ar"/>
        </w:rPr>
        <w:t>加挂了非公有制经济组织和社会组织工作委员会、老干部局、县公务员局、中共盐边县直属机关工作委员会4块牌子。</w:t>
      </w:r>
    </w:p>
    <w:p>
      <w:pPr>
        <w:pStyle w:val="2"/>
        <w:pageBreakBefore w:val="0"/>
        <w:widowControl w:val="0"/>
        <w:numPr>
          <w:ilvl w:val="0"/>
          <w:numId w:val="0"/>
        </w:numPr>
        <w:kinsoku/>
        <w:wordWrap/>
        <w:overflowPunct/>
        <w:topLinePunct w:val="0"/>
        <w:autoSpaceDE/>
        <w:autoSpaceDN/>
        <w:bidi w:val="0"/>
        <w:adjustRightInd w:val="0"/>
        <w:snapToGrid w:val="0"/>
        <w:spacing w:before="93" w:line="240" w:lineRule="auto"/>
        <w:ind w:firstLine="640" w:firstLineChars="200"/>
        <w:textAlignment w:val="auto"/>
        <w:outlineLvl w:val="9"/>
        <w:rPr>
          <w:rFonts w:ascii="仿宋" w:hAnsi="仿宋" w:eastAsia="仿宋"/>
          <w:bCs/>
          <w:sz w:val="32"/>
          <w:szCs w:val="32"/>
        </w:rPr>
      </w:pPr>
    </w:p>
    <w:p>
      <w:pPr>
        <w:pStyle w:val="2"/>
        <w:keepNext w:val="0"/>
        <w:keepLines w:val="0"/>
        <w:pageBreakBefore w:val="0"/>
        <w:widowControl w:val="0"/>
        <w:kinsoku/>
        <w:wordWrap/>
        <w:overflowPunct/>
        <w:topLinePunct w:val="0"/>
        <w:autoSpaceDE/>
        <w:autoSpaceDN/>
        <w:bidi w:val="0"/>
        <w:adjustRightInd w:val="0"/>
        <w:snapToGrid w:val="0"/>
        <w:spacing w:before="93" w:line="240" w:lineRule="auto"/>
        <w:ind w:firstLine="640" w:firstLineChars="200"/>
        <w:textAlignment w:val="auto"/>
        <w:rPr>
          <w:rFonts w:ascii="仿宋" w:hAnsi="仿宋" w:eastAsia="仿宋"/>
          <w:kern w:val="0"/>
          <w:sz w:val="32"/>
          <w:szCs w:val="32"/>
        </w:rPr>
      </w:pPr>
      <w:r>
        <w:rPr>
          <w:rFonts w:ascii="仿宋" w:hAnsi="仿宋" w:eastAsia="仿宋"/>
          <w:sz w:val="32"/>
          <w:szCs w:val="32"/>
        </w:rPr>
        <w:br w:type="page"/>
      </w:r>
    </w:p>
    <w:p>
      <w:pPr>
        <w:pStyle w:val="3"/>
        <w:pageBreakBefore w:val="0"/>
        <w:kinsoku/>
        <w:wordWrap/>
        <w:overflowPunct/>
        <w:topLinePunct w:val="0"/>
        <w:bidi w:val="0"/>
        <w:spacing w:line="240" w:lineRule="auto"/>
        <w:ind w:right="440"/>
        <w:jc w:val="center"/>
        <w:textAlignment w:val="auto"/>
      </w:pPr>
      <w:bookmarkStart w:id="23" w:name="_Toc15396602"/>
      <w:bookmarkStart w:id="24" w:name="_Toc15377204"/>
      <w:bookmarkStart w:id="25" w:name="_Toc25245"/>
      <w:r>
        <w:rPr>
          <w:rFonts w:hint="eastAsia" w:ascii="黑体" w:hAnsi="黑体" w:eastAsia="黑体"/>
          <w:b w:val="0"/>
        </w:rPr>
        <w:t>第二部分 2022年度</w:t>
      </w:r>
      <w:r>
        <w:rPr>
          <w:rStyle w:val="29"/>
          <w:rFonts w:hint="eastAsia" w:ascii="黑体" w:hAnsi="黑体" w:eastAsia="黑体"/>
          <w:b w:val="0"/>
          <w:bCs/>
        </w:rPr>
        <w:t>部门决算情况说明</w:t>
      </w:r>
      <w:bookmarkEnd w:id="23"/>
      <w:bookmarkEnd w:id="24"/>
      <w:bookmarkEnd w:id="25"/>
    </w:p>
    <w:p>
      <w:pPr>
        <w:pStyle w:val="28"/>
        <w:pageBreakBefore w:val="0"/>
        <w:numPr>
          <w:ilvl w:val="0"/>
          <w:numId w:val="2"/>
        </w:numPr>
        <w:kinsoku/>
        <w:wordWrap/>
        <w:overflowPunct/>
        <w:topLinePunct w:val="0"/>
        <w:bidi w:val="0"/>
        <w:spacing w:line="240" w:lineRule="auto"/>
        <w:ind w:firstLineChars="0"/>
        <w:textAlignment w:val="auto"/>
        <w:outlineLvl w:val="1"/>
        <w:rPr>
          <w:rStyle w:val="30"/>
          <w:rFonts w:ascii="黑体" w:hAnsi="黑体" w:eastAsia="黑体"/>
          <w:b w:val="0"/>
        </w:rPr>
      </w:pPr>
      <w:bookmarkStart w:id="26" w:name="_Toc6629"/>
      <w:bookmarkStart w:id="27" w:name="_Toc15377205"/>
      <w:bookmarkStart w:id="28" w:name="_Toc15396603"/>
      <w:r>
        <w:rPr>
          <w:rFonts w:hint="eastAsia" w:ascii="黑体" w:hAnsi="黑体" w:eastAsia="黑体"/>
          <w:sz w:val="32"/>
          <w:szCs w:val="32"/>
        </w:rPr>
        <w:t>收</w:t>
      </w:r>
      <w:r>
        <w:rPr>
          <w:rStyle w:val="30"/>
          <w:rFonts w:hint="eastAsia" w:ascii="黑体" w:hAnsi="黑体" w:eastAsia="黑体"/>
          <w:b w:val="0"/>
        </w:rPr>
        <w:t>入支出决算总体情况说明</w:t>
      </w:r>
      <w:bookmarkEnd w:id="26"/>
      <w:bookmarkEnd w:id="27"/>
      <w:bookmarkEnd w:id="28"/>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eastAsia" w:ascii="Times New Roman" w:hAnsi="Times New Roman" w:eastAsia="方正仿宋_GBK"/>
          <w:sz w:val="33"/>
          <w:szCs w:val="32"/>
        </w:rPr>
      </w:pPr>
      <w:r>
        <w:rPr>
          <w:rFonts w:hint="eastAsia" w:ascii="Times New Roman" w:hAnsi="Times New Roman" w:eastAsia="方正仿宋_GBK"/>
          <w:color w:val="000000"/>
          <w:sz w:val="33"/>
          <w:lang w:val="zh-CN"/>
        </w:rPr>
        <w:t>2022年度收、支总计1,116.13万元。与2021年相比，收、支总计各减少730.14万元，下降</w:t>
      </w:r>
      <w:r>
        <w:rPr>
          <w:rFonts w:hint="eastAsia" w:ascii="Times New Roman" w:hAnsi="Times New Roman" w:eastAsia="方正仿宋_GBK"/>
          <w:color w:val="000000"/>
          <w:sz w:val="33"/>
          <w:lang w:val="en-US" w:eastAsia="zh-CN"/>
        </w:rPr>
        <w:t>3</w:t>
      </w:r>
      <w:r>
        <w:rPr>
          <w:rFonts w:hint="eastAsia" w:ascii="Times New Roman" w:hAnsi="Times New Roman" w:eastAsia="方正仿宋_GBK"/>
          <w:color w:val="000000"/>
          <w:sz w:val="33"/>
          <w:lang w:val="zh-CN"/>
        </w:rPr>
        <w:t>9.5%。主要变动原因是</w:t>
      </w:r>
      <w:r>
        <w:rPr>
          <w:rFonts w:hint="eastAsia" w:ascii="Times New Roman" w:hAnsi="Times New Roman" w:eastAsia="方正仿宋_GBK"/>
          <w:sz w:val="33"/>
          <w:szCs w:val="32"/>
          <w:lang w:eastAsia="zh-CN"/>
        </w:rPr>
        <w:t>项目经费较</w:t>
      </w:r>
      <w:r>
        <w:rPr>
          <w:rFonts w:hint="eastAsia" w:ascii="Times New Roman" w:hAnsi="Times New Roman" w:eastAsia="方正仿宋_GBK"/>
          <w:sz w:val="33"/>
          <w:szCs w:val="32"/>
          <w:lang w:val="en-US" w:eastAsia="zh-CN"/>
        </w:rPr>
        <w:t>2021年有所减少，2021年项目支出中部分经费为化解以前年度暂付款</w:t>
      </w:r>
      <w:r>
        <w:rPr>
          <w:rFonts w:hint="eastAsia" w:ascii="Times New Roman" w:hAnsi="Times New Roman" w:eastAsia="方正仿宋_GBK"/>
          <w:sz w:val="33"/>
          <w:szCs w:val="32"/>
        </w:rPr>
        <w:t>。</w:t>
      </w:r>
    </w:p>
    <w:p>
      <w:pPr>
        <w:pStyle w:val="2"/>
        <w:pageBreakBefore w:val="0"/>
        <w:kinsoku/>
        <w:wordWrap/>
        <w:overflowPunct/>
        <w:topLinePunct w:val="0"/>
        <w:bidi w:val="0"/>
        <w:spacing w:line="240" w:lineRule="auto"/>
        <w:textAlignment w:val="auto"/>
        <w:rPr>
          <w:rFonts w:ascii="仿宋_GB2312" w:eastAsia="仿宋_GB2312"/>
          <w:sz w:val="32"/>
          <w:szCs w:val="32"/>
        </w:rPr>
      </w:pPr>
      <w:r>
        <w:drawing>
          <wp:inline distT="0" distB="0" distL="114300" distR="114300">
            <wp:extent cx="5268595" cy="3105150"/>
            <wp:effectExtent l="4445" t="4445" r="22860" b="14605"/>
            <wp:docPr id="323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8"/>
        <w:pageBreakBefore w:val="0"/>
        <w:numPr>
          <w:ilvl w:val="0"/>
          <w:numId w:val="2"/>
        </w:numPr>
        <w:kinsoku/>
        <w:wordWrap/>
        <w:overflowPunct/>
        <w:topLinePunct w:val="0"/>
        <w:bidi w:val="0"/>
        <w:spacing w:line="240" w:lineRule="auto"/>
        <w:ind w:firstLineChars="0"/>
        <w:textAlignment w:val="auto"/>
        <w:outlineLvl w:val="1"/>
        <w:rPr>
          <w:rFonts w:hint="eastAsia" w:ascii="仿宋_GB2312" w:hAnsi="仿宋_GB2312" w:eastAsia="仿宋_GB2312"/>
          <w:color w:val="000000"/>
          <w:sz w:val="32"/>
          <w:lang w:val="zh-CN"/>
        </w:rPr>
      </w:pPr>
      <w:bookmarkStart w:id="29" w:name="_Toc2233"/>
      <w:bookmarkStart w:id="30" w:name="_Toc15377206"/>
      <w:bookmarkStart w:id="31" w:name="_Toc15396604"/>
      <w:r>
        <w:rPr>
          <w:rFonts w:hint="eastAsia" w:ascii="黑体" w:hAnsi="黑体" w:eastAsia="黑体"/>
          <w:sz w:val="32"/>
          <w:szCs w:val="32"/>
        </w:rPr>
        <w:t>收</w:t>
      </w:r>
      <w:r>
        <w:rPr>
          <w:rStyle w:val="30"/>
          <w:rFonts w:hint="eastAsia" w:ascii="黑体" w:hAnsi="黑体" w:eastAsia="黑体"/>
          <w:b w:val="0"/>
        </w:rPr>
        <w:t>入决算情况说明</w:t>
      </w:r>
      <w:bookmarkEnd w:id="29"/>
      <w:bookmarkEnd w:id="30"/>
      <w:bookmarkEnd w:id="31"/>
    </w:p>
    <w:p>
      <w:pPr>
        <w:pStyle w:val="28"/>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60" w:firstLineChars="200"/>
        <w:textAlignment w:val="auto"/>
        <w:outlineLvl w:val="9"/>
        <w:rPr>
          <w:rFonts w:hint="eastAsia" w:ascii="Times New Roman" w:hAnsi="Times New Roman" w:eastAsia="方正仿宋_GBK" w:cs="Times New Roman"/>
          <w:color w:val="000000"/>
          <w:kern w:val="2"/>
          <w:sz w:val="33"/>
          <w:szCs w:val="24"/>
          <w:lang w:val="zh-CN" w:eastAsia="zh-CN" w:bidi="ar-SA"/>
        </w:rPr>
      </w:pPr>
      <w:r>
        <w:rPr>
          <w:rFonts w:hint="eastAsia" w:ascii="Times New Roman" w:hAnsi="Times New Roman" w:eastAsia="方正仿宋_GBK" w:cs="Times New Roman"/>
          <w:color w:val="000000"/>
          <w:kern w:val="2"/>
          <w:sz w:val="33"/>
          <w:szCs w:val="24"/>
          <w:lang w:val="zh-CN" w:eastAsia="zh-CN" w:bidi="ar-SA"/>
        </w:rPr>
        <w:t>2022年本年收入合计1,116.13万元，其中：一般公共预算财政拨款收入1,116.13万元，占100%；政府性基金预算财政拨款收入0万元，占0%；国有资本经营预算财政拨款收入0万元，占0%；上级补助收入0万元，占0%；事业收入0万元，占0%；经营收入0万元，占0%；附属单位上缴</w:t>
      </w:r>
      <w:r>
        <w:rPr>
          <w:rFonts w:hint="eastAsia" w:ascii="Times New Roman" w:hAnsi="Times New Roman" w:eastAsia="方正仿宋_GBK" w:cs="Times New Roman"/>
          <w:color w:val="000000"/>
          <w:kern w:val="2"/>
          <w:sz w:val="33"/>
          <w:szCs w:val="24"/>
          <w:lang w:val="zh-CN" w:eastAsia="zh-CN" w:bidi="ar-SA"/>
        </w:rPr>
        <w:drawing>
          <wp:anchor distT="0" distB="0" distL="114300" distR="114300" simplePos="0" relativeHeight="251659264" behindDoc="0" locked="0" layoutInCell="1" allowOverlap="1">
            <wp:simplePos x="0" y="0"/>
            <wp:positionH relativeFrom="column">
              <wp:posOffset>-271145</wp:posOffset>
            </wp:positionH>
            <wp:positionV relativeFrom="paragraph">
              <wp:posOffset>-6245225</wp:posOffset>
            </wp:positionV>
            <wp:extent cx="5269230" cy="2709545"/>
            <wp:effectExtent l="4445" t="4445" r="22225" b="10160"/>
            <wp:wrapTopAndBottom/>
            <wp:docPr id="323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Times New Roman" w:hAnsi="Times New Roman" w:eastAsia="方正仿宋_GBK" w:cs="Times New Roman"/>
          <w:color w:val="000000"/>
          <w:kern w:val="2"/>
          <w:sz w:val="33"/>
          <w:szCs w:val="24"/>
          <w:lang w:val="zh-CN" w:eastAsia="zh-CN" w:bidi="ar-SA"/>
        </w:rPr>
        <w:t>收入0万元，占0%；其他收入0万元，占0%。</w:t>
      </w:r>
    </w:p>
    <w:p>
      <w:pPr>
        <w:pStyle w:val="28"/>
        <w:pageBreakBefore w:val="0"/>
        <w:numPr>
          <w:ilvl w:val="0"/>
          <w:numId w:val="2"/>
        </w:numPr>
        <w:kinsoku/>
        <w:wordWrap/>
        <w:overflowPunct/>
        <w:topLinePunct w:val="0"/>
        <w:bidi w:val="0"/>
        <w:spacing w:line="240" w:lineRule="auto"/>
        <w:ind w:firstLineChars="0"/>
        <w:textAlignment w:val="auto"/>
        <w:outlineLvl w:val="1"/>
        <w:rPr>
          <w:rFonts w:hint="eastAsia" w:ascii="仿宋_GB2312" w:hAnsi="仿宋_GB2312" w:eastAsia="仿宋_GB2312"/>
          <w:color w:val="000000"/>
          <w:sz w:val="32"/>
          <w:lang w:val="zh-CN"/>
        </w:rPr>
      </w:pPr>
      <w:bookmarkStart w:id="32" w:name="_Toc15377207"/>
      <w:bookmarkStart w:id="33" w:name="_Toc15396605"/>
      <w:bookmarkStart w:id="34" w:name="_Toc13861"/>
      <w:r>
        <w:rPr>
          <w:rFonts w:hint="eastAsia" w:ascii="黑体" w:hAnsi="黑体" w:eastAsia="黑体"/>
          <w:sz w:val="32"/>
          <w:szCs w:val="32"/>
        </w:rPr>
        <w:t>支</w:t>
      </w:r>
      <w:r>
        <w:rPr>
          <w:rStyle w:val="30"/>
          <w:rFonts w:hint="eastAsia" w:ascii="黑体" w:hAnsi="黑体" w:eastAsia="黑体"/>
          <w:b w:val="0"/>
        </w:rPr>
        <w:t>出决算情况说明</w:t>
      </w:r>
      <w:bookmarkEnd w:id="32"/>
      <w:bookmarkEnd w:id="33"/>
      <w:bookmarkEnd w:id="34"/>
    </w:p>
    <w:p>
      <w:pPr>
        <w:pStyle w:val="28"/>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60" w:firstLineChars="200"/>
        <w:textAlignment w:val="auto"/>
        <w:outlineLvl w:val="9"/>
        <w:rPr>
          <w:rFonts w:hint="eastAsia" w:ascii="Times New Roman" w:hAnsi="Times New Roman" w:eastAsia="方正仿宋_GBK"/>
          <w:sz w:val="33"/>
          <w:szCs w:val="32"/>
        </w:rPr>
      </w:pPr>
      <w:r>
        <w:rPr>
          <w:rFonts w:hint="eastAsia" w:ascii="Times New Roman" w:hAnsi="Times New Roman" w:eastAsia="方正仿宋_GBK" w:cs="Times New Roman"/>
          <w:color w:val="000000"/>
          <w:kern w:val="2"/>
          <w:sz w:val="33"/>
          <w:szCs w:val="32"/>
          <w:shd w:val="clear" w:color="auto" w:fill="FFFFFF"/>
          <w:lang w:val="zh-CN" w:eastAsia="zh-CN" w:bidi="ar"/>
        </w:rPr>
        <w:t>2022年本年支出合计1,116.13万元，其中：基本支出879.36万元，占78.8%；项目支出236.77万元，占21.2%；上缴上级支出0万元，占0%；经营支出0万元，占0%；对附属单位补助支出0万元，占0%。</w:t>
      </w:r>
      <w:bookmarkStart w:id="35" w:name="_Toc15377208"/>
      <w:bookmarkStart w:id="36" w:name="_Toc15396606"/>
    </w:p>
    <w:p>
      <w:pPr>
        <w:pageBreakBefore w:val="0"/>
        <w:kinsoku/>
        <w:wordWrap/>
        <w:overflowPunct/>
        <w:topLinePunct w:val="0"/>
        <w:bidi w:val="0"/>
        <w:spacing w:line="240" w:lineRule="auto"/>
        <w:ind w:firstLine="420" w:firstLineChars="200"/>
        <w:textAlignment w:val="auto"/>
        <w:outlineLvl w:val="1"/>
        <w:rPr>
          <w:rStyle w:val="30"/>
          <w:rFonts w:ascii="黑体" w:hAnsi="黑体" w:eastAsia="黑体"/>
          <w:b w:val="0"/>
        </w:rPr>
      </w:pPr>
      <w:bookmarkStart w:id="37" w:name="_Toc22615"/>
      <w:r>
        <w:drawing>
          <wp:anchor distT="0" distB="0" distL="114300" distR="114300" simplePos="0" relativeHeight="251660288" behindDoc="1" locked="0" layoutInCell="1" allowOverlap="1">
            <wp:simplePos x="0" y="0"/>
            <wp:positionH relativeFrom="column">
              <wp:posOffset>-195580</wp:posOffset>
            </wp:positionH>
            <wp:positionV relativeFrom="paragraph">
              <wp:posOffset>2540</wp:posOffset>
            </wp:positionV>
            <wp:extent cx="5272405" cy="2654300"/>
            <wp:effectExtent l="4445" t="4445" r="19050" b="8255"/>
            <wp:wrapThrough wrapText="bothSides">
              <wp:wrapPolygon>
                <wp:start x="-18" y="-36"/>
                <wp:lineTo x="-18" y="21512"/>
                <wp:lineTo x="21522" y="21512"/>
                <wp:lineTo x="21522" y="-36"/>
                <wp:lineTo x="-18" y="-36"/>
              </wp:wrapPolygon>
            </wp:wrapThrough>
            <wp:docPr id="323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35"/>
      <w:bookmarkEnd w:id="36"/>
      <w:bookmarkEnd w:id="37"/>
    </w:p>
    <w:p>
      <w:pPr>
        <w:pageBreakBefore w:val="0"/>
        <w:kinsoku/>
        <w:wordWrap/>
        <w:overflowPunct/>
        <w:topLinePunct w:val="0"/>
        <w:bidi w:val="0"/>
        <w:spacing w:line="240" w:lineRule="auto"/>
        <w:ind w:firstLine="660" w:firstLineChars="200"/>
        <w:textAlignment w:val="auto"/>
        <w:rPr>
          <w:rFonts w:hint="eastAsia" w:ascii="仿宋" w:hAnsi="仿宋" w:eastAsia="仿宋"/>
          <w:sz w:val="32"/>
          <w:szCs w:val="32"/>
        </w:rPr>
      </w:pPr>
      <w:r>
        <w:rPr>
          <w:rFonts w:hint="eastAsia" w:ascii="Times New Roman" w:hAnsi="Times New Roman" w:eastAsia="方正仿宋_GBK" w:cs="Times New Roman"/>
          <w:color w:val="000000"/>
          <w:kern w:val="2"/>
          <w:sz w:val="33"/>
          <w:szCs w:val="32"/>
          <w:shd w:val="clear" w:color="auto" w:fill="FFFFFF"/>
          <w:lang w:val="zh-CN" w:eastAsia="zh-CN" w:bidi="ar"/>
        </w:rPr>
        <w:t>2022年财政拨款收、支总计1,116.13万元。与2021年相比，财政拨款收、支总计各减少560.14万元，下降33.4%。主要变动原因是项目经费较</w:t>
      </w:r>
      <w:r>
        <w:rPr>
          <w:rFonts w:hint="eastAsia" w:ascii="Times New Roman" w:hAnsi="Times New Roman" w:eastAsia="方正仿宋_GBK" w:cs="Times New Roman"/>
          <w:color w:val="000000"/>
          <w:kern w:val="2"/>
          <w:sz w:val="33"/>
          <w:szCs w:val="32"/>
          <w:shd w:val="clear" w:color="auto" w:fill="FFFFFF"/>
          <w:lang w:val="en-US" w:eastAsia="zh-CN" w:bidi="ar"/>
        </w:rPr>
        <w:t>2021年有所减少，2021</w:t>
      </w:r>
      <w:r>
        <w:rPr>
          <w:rFonts w:hint="eastAsia" w:ascii="Times New Roman" w:hAnsi="Times New Roman" w:eastAsia="方正仿宋_GBK"/>
          <w:sz w:val="33"/>
          <w:szCs w:val="32"/>
          <w:lang w:val="en-US" w:eastAsia="zh-CN"/>
        </w:rPr>
        <w:t>年项目</w:t>
      </w:r>
      <w:r>
        <w:rPr>
          <w:rFonts w:hint="eastAsia" w:ascii="仿宋" w:hAnsi="仿宋" w:eastAsia="仿宋"/>
          <w:sz w:val="32"/>
          <w:szCs w:val="32"/>
          <w:lang w:val="en-US" w:eastAsia="zh-CN"/>
        </w:rPr>
        <w:t>支出中部分经费为化解以前年度暂付款</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240" w:lineRule="auto"/>
        <w:ind w:firstLine="420" w:firstLineChars="200"/>
        <w:textAlignment w:val="auto"/>
        <w:outlineLvl w:val="9"/>
        <w:rPr>
          <w:rStyle w:val="30"/>
          <w:rFonts w:ascii="黑体" w:hAnsi="黑体" w:eastAsia="黑体"/>
          <w:b w:val="0"/>
        </w:rPr>
      </w:pPr>
      <w:r>
        <w:drawing>
          <wp:anchor distT="0" distB="0" distL="114300" distR="114300" simplePos="0" relativeHeight="251661312" behindDoc="1" locked="0" layoutInCell="1" allowOverlap="1">
            <wp:simplePos x="0" y="0"/>
            <wp:positionH relativeFrom="column">
              <wp:posOffset>-277495</wp:posOffset>
            </wp:positionH>
            <wp:positionV relativeFrom="paragraph">
              <wp:posOffset>203200</wp:posOffset>
            </wp:positionV>
            <wp:extent cx="6073775" cy="3376930"/>
            <wp:effectExtent l="5080" t="4445" r="17145" b="47625"/>
            <wp:wrapThrough wrapText="bothSides">
              <wp:wrapPolygon>
                <wp:start x="-18" y="-28"/>
                <wp:lineTo x="-18" y="21539"/>
                <wp:lineTo x="21525" y="21539"/>
                <wp:lineTo x="21525" y="-28"/>
                <wp:lineTo x="-18" y="-28"/>
              </wp:wrapPolygon>
            </wp:wrapThrough>
            <wp:docPr id="3240"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bookmarkStart w:id="38" w:name="_Toc15396607"/>
      <w:bookmarkStart w:id="39" w:name="_Toc15377209"/>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38"/>
      <w:bookmarkEnd w:id="39"/>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ascii="仿宋" w:hAnsi="仿宋" w:eastAsia="仿宋"/>
          <w:b/>
          <w:sz w:val="32"/>
          <w:szCs w:val="32"/>
        </w:rPr>
      </w:pPr>
      <w:bookmarkStart w:id="40" w:name="_Toc15377210"/>
      <w:r>
        <w:rPr>
          <w:rFonts w:hint="eastAsia" w:ascii="仿宋" w:hAnsi="仿宋" w:eastAsia="仿宋"/>
          <w:b/>
          <w:sz w:val="32"/>
          <w:szCs w:val="32"/>
        </w:rPr>
        <w:t>（一）一般公共预算财政拨款支出决算总体情况</w:t>
      </w:r>
      <w:bookmarkEnd w:id="40"/>
    </w:p>
    <w:p>
      <w:pPr>
        <w:pageBreakBefore w:val="0"/>
        <w:kinsoku/>
        <w:wordWrap/>
        <w:overflowPunct/>
        <w:topLinePunct w:val="0"/>
        <w:bidi w:val="0"/>
        <w:spacing w:line="240" w:lineRule="auto"/>
        <w:ind w:firstLine="660" w:firstLineChars="200"/>
        <w:textAlignment w:val="auto"/>
        <w:rPr>
          <w:rFonts w:hint="eastAsia" w:ascii="Times New Roman" w:hAnsi="Times New Roman" w:eastAsia="方正仿宋_GBK" w:cs="Times New Roman"/>
          <w:color w:val="000000"/>
          <w:kern w:val="2"/>
          <w:sz w:val="33"/>
          <w:szCs w:val="32"/>
          <w:shd w:val="clear" w:color="auto" w:fill="FFFFFF"/>
          <w:lang w:val="zh-CN" w:eastAsia="zh-CN" w:bidi="ar"/>
        </w:rPr>
      </w:pPr>
      <w:r>
        <w:rPr>
          <w:rFonts w:hint="eastAsia" w:ascii="Times New Roman" w:hAnsi="Times New Roman" w:eastAsia="方正仿宋_GBK" w:cs="Times New Roman"/>
          <w:color w:val="000000"/>
          <w:kern w:val="2"/>
          <w:sz w:val="33"/>
          <w:szCs w:val="32"/>
          <w:shd w:val="clear" w:color="auto" w:fill="FFFFFF"/>
          <w:lang w:val="zh-CN" w:eastAsia="zh-CN" w:bidi="ar"/>
        </w:rPr>
        <w:t>2022年一般公共预算财政拨款支出1,116.13万元，占本年支出合计的100%。与2021年相比，一般公共预算财政拨款支出减少560.14万元，下降33.4%。主要变动原因是项目经费较</w:t>
      </w:r>
      <w:r>
        <w:rPr>
          <w:rFonts w:hint="eastAsia" w:ascii="Times New Roman" w:hAnsi="Times New Roman" w:eastAsia="方正仿宋_GBK" w:cs="Times New Roman"/>
          <w:color w:val="000000"/>
          <w:kern w:val="2"/>
          <w:sz w:val="33"/>
          <w:szCs w:val="32"/>
          <w:shd w:val="clear" w:color="auto" w:fill="FFFFFF"/>
          <w:lang w:val="en-US" w:eastAsia="zh-CN" w:bidi="ar"/>
        </w:rPr>
        <w:t>2021年有所减少，2021年项目支出中部分经费为化解以前年度暂付款</w:t>
      </w:r>
      <w:r>
        <w:rPr>
          <w:rFonts w:hint="eastAsia" w:ascii="Times New Roman" w:hAnsi="Times New Roman" w:eastAsia="方正仿宋_GBK" w:cs="Times New Roman"/>
          <w:color w:val="000000"/>
          <w:kern w:val="2"/>
          <w:sz w:val="33"/>
          <w:szCs w:val="32"/>
          <w:shd w:val="clear" w:color="auto" w:fill="FFFFFF"/>
          <w:lang w:val="zh-CN" w:eastAsia="zh-CN" w:bidi="ar"/>
        </w:rPr>
        <w:t>。</w:t>
      </w:r>
    </w:p>
    <w:p>
      <w:pPr>
        <w:pageBreakBefore w:val="0"/>
        <w:kinsoku/>
        <w:wordWrap/>
        <w:overflowPunct/>
        <w:topLinePunct w:val="0"/>
        <w:bidi w:val="0"/>
        <w:spacing w:line="240" w:lineRule="auto"/>
        <w:ind w:firstLine="420" w:firstLineChars="200"/>
        <w:textAlignment w:val="auto"/>
        <w:rPr>
          <w:rFonts w:hint="eastAsia" w:ascii="仿宋" w:hAnsi="仿宋" w:eastAsia="仿宋"/>
          <w:sz w:val="32"/>
          <w:szCs w:val="32"/>
        </w:rPr>
      </w:pPr>
      <w:r>
        <w:drawing>
          <wp:anchor distT="0" distB="0" distL="114300" distR="114300" simplePos="0" relativeHeight="251662336" behindDoc="0" locked="0" layoutInCell="1" allowOverlap="1">
            <wp:simplePos x="0" y="0"/>
            <wp:positionH relativeFrom="column">
              <wp:posOffset>-163195</wp:posOffset>
            </wp:positionH>
            <wp:positionV relativeFrom="paragraph">
              <wp:posOffset>118745</wp:posOffset>
            </wp:positionV>
            <wp:extent cx="5268595" cy="2740660"/>
            <wp:effectExtent l="4445" t="4445" r="22860" b="17145"/>
            <wp:wrapNone/>
            <wp:docPr id="323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ageBreakBefore w:val="0"/>
        <w:kinsoku/>
        <w:wordWrap/>
        <w:overflowPunct/>
        <w:topLinePunct w:val="0"/>
        <w:bidi w:val="0"/>
        <w:spacing w:line="240" w:lineRule="auto"/>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240" w:lineRule="auto"/>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240" w:lineRule="auto"/>
        <w:ind w:firstLine="640" w:firstLineChars="200"/>
        <w:textAlignment w:val="auto"/>
        <w:rPr>
          <w:rFonts w:hint="eastAsia" w:ascii="仿宋" w:hAnsi="仿宋" w:eastAsia="仿宋"/>
          <w:sz w:val="32"/>
          <w:szCs w:val="32"/>
        </w:rPr>
      </w:pPr>
    </w:p>
    <w:p>
      <w:pPr>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ascii="仿宋" w:hAnsi="仿宋" w:eastAsia="仿宋"/>
          <w:b/>
          <w:sz w:val="32"/>
          <w:szCs w:val="32"/>
        </w:rPr>
      </w:pPr>
      <w:bookmarkStart w:id="41" w:name="_Toc15377211"/>
      <w:r>
        <w:rPr>
          <w:rFonts w:hint="eastAsia" w:ascii="仿宋" w:hAnsi="仿宋" w:eastAsia="仿宋"/>
          <w:b/>
          <w:sz w:val="32"/>
          <w:szCs w:val="32"/>
        </w:rPr>
        <w:t>（二）一般公共预算财政拨款支出决算结构情况</w:t>
      </w:r>
      <w:bookmarkEnd w:id="41"/>
    </w:p>
    <w:p>
      <w:pPr>
        <w:keepNext/>
        <w:keepLines/>
        <w:pageBreakBefore w:val="0"/>
        <w:widowControl w:val="0"/>
        <w:kinsoku/>
        <w:wordWrap/>
        <w:overflowPunct/>
        <w:topLinePunct w:val="0"/>
        <w:autoSpaceDE/>
        <w:autoSpaceDN/>
        <w:bidi w:val="0"/>
        <w:adjustRightInd/>
        <w:snapToGrid/>
        <w:spacing w:beforeLines="0" w:afterLines="0" w:line="240" w:lineRule="auto"/>
        <w:ind w:firstLine="660" w:firstLineChars="200"/>
        <w:textAlignment w:val="auto"/>
        <w:rPr>
          <w:rFonts w:hint="eastAsia" w:ascii="Times New Roman" w:hAnsi="Times New Roman" w:eastAsia="方正仿宋_GBK"/>
          <w:color w:val="000000"/>
          <w:sz w:val="33"/>
          <w:lang w:val="zh-CN"/>
        </w:rPr>
      </w:pPr>
      <w:r>
        <w:rPr>
          <w:rFonts w:hint="eastAsia" w:ascii="Times New Roman" w:hAnsi="Times New Roman" w:eastAsia="方正仿宋_GBK"/>
          <w:color w:val="000000"/>
          <w:sz w:val="33"/>
          <w:lang w:val="zh-CN"/>
        </w:rPr>
        <w:t>2022年一般公共预算财政拨款支出1,116.13万元，主要用于以下方面：一般公共服务支出847.66万元，占75.9%；社会保障和就业支出149.52万元，占13.4%；卫生健康支出59.68万元，占5.3%；住房保障支出59.27万元，占5.</w:t>
      </w:r>
      <w:r>
        <w:rPr>
          <w:rFonts w:hint="eastAsia" w:ascii="Times New Roman" w:hAnsi="Times New Roman" w:eastAsia="方正仿宋_GBK"/>
          <w:color w:val="000000"/>
          <w:sz w:val="33"/>
          <w:lang w:val="en-US" w:eastAsia="zh-CN"/>
        </w:rPr>
        <w:t>4</w:t>
      </w:r>
      <w:r>
        <w:rPr>
          <w:rFonts w:hint="eastAsia" w:ascii="Times New Roman" w:hAnsi="Times New Roman" w:eastAsia="方正仿宋_GBK"/>
          <w:color w:val="000000"/>
          <w:sz w:val="33"/>
          <w:lang w:val="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b/>
          <w:sz w:val="33"/>
          <w:szCs w:val="32"/>
        </w:rPr>
      </w:pPr>
      <w:r>
        <w:rPr>
          <w:rFonts w:ascii="Times New Roman" w:hAnsi="Times New Roman" w:eastAsia="方正仿宋_GBK"/>
          <w:sz w:val="33"/>
        </w:rPr>
        <w:drawing>
          <wp:anchor distT="0" distB="0" distL="114300" distR="114300" simplePos="0" relativeHeight="251663360" behindDoc="1" locked="0" layoutInCell="1" allowOverlap="1">
            <wp:simplePos x="0" y="0"/>
            <wp:positionH relativeFrom="column">
              <wp:posOffset>24130</wp:posOffset>
            </wp:positionH>
            <wp:positionV relativeFrom="paragraph">
              <wp:posOffset>53975</wp:posOffset>
            </wp:positionV>
            <wp:extent cx="5269865" cy="3288665"/>
            <wp:effectExtent l="5080" t="4445" r="20955" b="21590"/>
            <wp:wrapThrough wrapText="bothSides">
              <wp:wrapPolygon>
                <wp:start x="-21" y="-29"/>
                <wp:lineTo x="-21" y="21492"/>
                <wp:lineTo x="21530" y="21492"/>
                <wp:lineTo x="21530" y="-29"/>
                <wp:lineTo x="-21" y="-29"/>
              </wp:wrapPolygon>
            </wp:wrapThrough>
            <wp:docPr id="323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bookmarkStart w:id="42" w:name="_Toc15377212"/>
      <w:r>
        <w:rPr>
          <w:rFonts w:hint="eastAsia" w:ascii="Times New Roman" w:hAnsi="Times New Roman" w:eastAsia="方正仿宋_GBK"/>
          <w:b/>
          <w:sz w:val="33"/>
          <w:szCs w:val="32"/>
        </w:rPr>
        <w:t>（三）一般公共预算财政拨款支出决算具体情况</w:t>
      </w:r>
      <w:bookmarkEnd w:id="42"/>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sz w:val="33"/>
          <w:szCs w:val="32"/>
        </w:rPr>
      </w:pPr>
      <w:bookmarkStart w:id="43" w:name="_Toc15378460"/>
      <w:bookmarkStart w:id="44" w:name="_Toc15377213"/>
      <w:bookmarkStart w:id="45" w:name="_Toc15377444"/>
      <w:r>
        <w:rPr>
          <w:rFonts w:hint="eastAsia" w:ascii="Times New Roman" w:hAnsi="Times New Roman" w:eastAsia="方正仿宋_GBK"/>
          <w:b/>
          <w:sz w:val="33"/>
          <w:szCs w:val="32"/>
        </w:rPr>
        <w:t>2022年一般公共预算支出决算数为</w:t>
      </w:r>
      <w:r>
        <w:rPr>
          <w:rFonts w:hint="eastAsia" w:ascii="Times New Roman" w:hAnsi="Times New Roman" w:eastAsia="方正仿宋_GBK"/>
          <w:b/>
          <w:sz w:val="33"/>
          <w:szCs w:val="32"/>
          <w:lang w:val="en-US" w:eastAsia="zh-CN"/>
        </w:rPr>
        <w:t>1116.13万元</w:t>
      </w:r>
      <w:r>
        <w:rPr>
          <w:rFonts w:hint="eastAsia" w:ascii="Times New Roman" w:hAnsi="Times New Roman" w:eastAsia="方正仿宋_GBK"/>
          <w:sz w:val="33"/>
          <w:szCs w:val="32"/>
        </w:rPr>
        <w:t>，</w:t>
      </w:r>
      <w:r>
        <w:rPr>
          <w:rStyle w:val="18"/>
          <w:rFonts w:hint="eastAsia" w:ascii="Times New Roman" w:hAnsi="Times New Roman" w:eastAsia="方正仿宋_GBK"/>
          <w:bCs/>
          <w:sz w:val="33"/>
          <w:szCs w:val="32"/>
        </w:rPr>
        <w:t>完成预算</w:t>
      </w:r>
      <w:r>
        <w:rPr>
          <w:rStyle w:val="18"/>
          <w:rFonts w:hint="eastAsia" w:ascii="Times New Roman" w:hAnsi="Times New Roman" w:eastAsia="方正仿宋_GBK"/>
          <w:bCs/>
          <w:sz w:val="33"/>
          <w:szCs w:val="32"/>
          <w:lang w:val="en-US" w:eastAsia="zh-CN"/>
        </w:rPr>
        <w:t>100</w:t>
      </w:r>
      <w:r>
        <w:rPr>
          <w:rStyle w:val="18"/>
          <w:rFonts w:ascii="Times New Roman" w:hAnsi="Times New Roman" w:eastAsia="方正仿宋_GBK"/>
          <w:bCs/>
          <w:sz w:val="33"/>
          <w:szCs w:val="32"/>
        </w:rPr>
        <w:t>%</w:t>
      </w:r>
      <w:r>
        <w:rPr>
          <w:rStyle w:val="18"/>
          <w:rFonts w:hint="eastAsia" w:ascii="Times New Roman" w:hAnsi="Times New Roman" w:eastAsia="方正仿宋_GBK"/>
          <w:bCs/>
          <w:sz w:val="33"/>
          <w:szCs w:val="32"/>
        </w:rPr>
        <w:t>。其中：</w:t>
      </w:r>
      <w:bookmarkEnd w:id="43"/>
      <w:bookmarkEnd w:id="44"/>
      <w:bookmarkEnd w:id="45"/>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3"/>
        <w:rPr>
          <w:rStyle w:val="18"/>
          <w:rFonts w:ascii="Times New Roman" w:hAnsi="Times New Roman" w:eastAsia="方正仿宋_GBK"/>
          <w:color w:val="000000"/>
          <w:sz w:val="33"/>
          <w:szCs w:val="32"/>
        </w:rPr>
      </w:pPr>
      <w:r>
        <w:rPr>
          <w:rStyle w:val="18"/>
          <w:rFonts w:ascii="Times New Roman" w:hAnsi="Times New Roman" w:eastAsia="方正仿宋_GBK" w:cs="仿宋_GB2312"/>
          <w:color w:val="000000"/>
          <w:sz w:val="33"/>
          <w:szCs w:val="32"/>
        </w:rPr>
        <w:t>1.</w:t>
      </w:r>
      <w:r>
        <w:rPr>
          <w:rStyle w:val="18"/>
          <w:rFonts w:hint="eastAsia" w:ascii="Times New Roman" w:hAnsi="Times New Roman" w:eastAsia="方正仿宋_GBK" w:cs="仿宋_GB2312"/>
          <w:color w:val="000000"/>
          <w:sz w:val="33"/>
          <w:szCs w:val="32"/>
        </w:rPr>
        <w:t>一般公共服务（类）组织事务（款）</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ascii="Times New Roman" w:hAnsi="Times New Roman" w:eastAsia="方正仿宋_GBK"/>
          <w:b w:val="0"/>
          <w:bCs w:val="0"/>
          <w:color w:val="000000"/>
          <w:sz w:val="33"/>
          <w:szCs w:val="32"/>
        </w:rPr>
      </w:pPr>
      <w:r>
        <w:rPr>
          <w:rStyle w:val="18"/>
          <w:rFonts w:hint="eastAsia" w:ascii="Times New Roman" w:hAnsi="Times New Roman" w:eastAsia="方正仿宋_GBK" w:cs="仿宋_GB2312"/>
          <w:color w:val="000000"/>
          <w:sz w:val="33"/>
          <w:szCs w:val="32"/>
        </w:rPr>
        <w:t>①行政运行</w:t>
      </w:r>
      <w:r>
        <w:rPr>
          <w:rStyle w:val="18"/>
          <w:rFonts w:hint="eastAsia" w:ascii="Times New Roman" w:hAnsi="Times New Roman" w:eastAsia="方正仿宋_GBK" w:cs="仿宋_GB2312"/>
          <w:color w:val="000000"/>
          <w:sz w:val="33"/>
          <w:szCs w:val="32"/>
          <w:lang w:eastAsia="zh-CN"/>
        </w:rPr>
        <w:t>：</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515.79</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hint="eastAsia" w:ascii="Times New Roman" w:hAnsi="Times New Roman" w:eastAsia="方正仿宋_GBK" w:cs="仿宋_GB2312"/>
          <w:b w:val="0"/>
          <w:bCs w:val="0"/>
          <w:color w:val="000000"/>
          <w:sz w:val="33"/>
          <w:szCs w:val="32"/>
        </w:rPr>
      </w:pPr>
      <w:r>
        <w:rPr>
          <w:rStyle w:val="18"/>
          <w:rFonts w:hint="eastAsia" w:ascii="Times New Roman" w:hAnsi="Times New Roman" w:eastAsia="方正仿宋_GBK" w:cs="仿宋_GB2312"/>
          <w:color w:val="000000"/>
          <w:sz w:val="33"/>
          <w:szCs w:val="32"/>
        </w:rPr>
        <w:t>②一般行政管理事务：</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0.16</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hint="eastAsia" w:ascii="Times New Roman" w:hAnsi="Times New Roman" w:eastAsia="方正仿宋_GBK" w:cs="仿宋_GB2312"/>
          <w:b w:val="0"/>
          <w:bCs w:val="0"/>
          <w:color w:val="000000"/>
          <w:sz w:val="33"/>
          <w:szCs w:val="32"/>
        </w:rPr>
      </w:pPr>
      <w:r>
        <w:rPr>
          <w:rStyle w:val="18"/>
          <w:rFonts w:hint="eastAsia" w:ascii="Times New Roman" w:hAnsi="Times New Roman" w:eastAsia="方正仿宋_GBK" w:cs="仿宋_GB2312"/>
          <w:color w:val="000000"/>
          <w:sz w:val="33"/>
          <w:szCs w:val="32"/>
        </w:rPr>
        <w:sym w:font="Wingdings" w:char="F083"/>
      </w:r>
      <w:r>
        <w:rPr>
          <w:rStyle w:val="18"/>
          <w:rFonts w:hint="eastAsia" w:ascii="Times New Roman" w:hAnsi="Times New Roman" w:eastAsia="方正仿宋_GBK" w:cs="仿宋_GB2312"/>
          <w:color w:val="000000"/>
          <w:sz w:val="33"/>
          <w:szCs w:val="32"/>
          <w:lang w:eastAsia="zh-CN"/>
        </w:rPr>
        <w:t>事业运行</w:t>
      </w:r>
      <w:r>
        <w:rPr>
          <w:rStyle w:val="18"/>
          <w:rFonts w:hint="eastAsia" w:ascii="Times New Roman" w:hAnsi="Times New Roman" w:eastAsia="方正仿宋_GBK" w:cs="仿宋_GB2312"/>
          <w:color w:val="000000"/>
          <w:sz w:val="33"/>
          <w:szCs w:val="32"/>
        </w:rPr>
        <w:t>：</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95.1</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hint="eastAsia" w:ascii="Times New Roman" w:hAnsi="Times New Roman" w:eastAsia="方正仿宋_GBK" w:cs="仿宋_GB2312"/>
          <w:b w:val="0"/>
          <w:bCs w:val="0"/>
          <w:color w:val="000000"/>
          <w:sz w:val="33"/>
          <w:szCs w:val="32"/>
        </w:rPr>
      </w:pPr>
      <w:r>
        <w:rPr>
          <w:rStyle w:val="18"/>
          <w:rFonts w:hint="eastAsia" w:ascii="Times New Roman" w:hAnsi="Times New Roman" w:eastAsia="方正仿宋_GBK" w:cs="仿宋_GB2312"/>
          <w:color w:val="000000"/>
          <w:sz w:val="33"/>
          <w:szCs w:val="32"/>
        </w:rPr>
        <w:t>④</w:t>
      </w:r>
      <w:r>
        <w:rPr>
          <w:rStyle w:val="18"/>
          <w:rFonts w:hint="eastAsia" w:ascii="Times New Roman" w:hAnsi="Times New Roman" w:eastAsia="方正仿宋_GBK" w:cs="仿宋_GB2312"/>
          <w:color w:val="000000"/>
          <w:sz w:val="33"/>
          <w:szCs w:val="32"/>
          <w:lang w:eastAsia="zh-CN"/>
        </w:rPr>
        <w:t>其他组织事务支出</w:t>
      </w:r>
      <w:r>
        <w:rPr>
          <w:rStyle w:val="18"/>
          <w:rFonts w:hint="eastAsia" w:ascii="Times New Roman" w:hAnsi="Times New Roman" w:eastAsia="方正仿宋_GBK" w:cs="仿宋_GB2312"/>
          <w:color w:val="000000"/>
          <w:sz w:val="33"/>
          <w:szCs w:val="32"/>
        </w:rPr>
        <w:t>：</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236.61</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3"/>
        <w:rPr>
          <w:rStyle w:val="18"/>
          <w:rFonts w:ascii="Times New Roman" w:hAnsi="Times New Roman" w:eastAsia="方正仿宋_GBK"/>
          <w:color w:val="000000"/>
          <w:sz w:val="33"/>
          <w:szCs w:val="32"/>
        </w:rPr>
      </w:pPr>
      <w:r>
        <w:rPr>
          <w:rStyle w:val="18"/>
          <w:rFonts w:ascii="Times New Roman" w:hAnsi="Times New Roman" w:eastAsia="方正仿宋_GBK" w:cs="仿宋_GB2312"/>
          <w:color w:val="000000"/>
          <w:sz w:val="33"/>
          <w:szCs w:val="32"/>
        </w:rPr>
        <w:t>2.</w:t>
      </w:r>
      <w:r>
        <w:rPr>
          <w:rStyle w:val="18"/>
          <w:rFonts w:hint="eastAsia" w:ascii="Times New Roman" w:hAnsi="Times New Roman" w:eastAsia="方正仿宋_GBK" w:cs="仿宋_GB2312"/>
          <w:color w:val="000000"/>
          <w:sz w:val="33"/>
          <w:szCs w:val="32"/>
        </w:rPr>
        <w:t>社会保障和就业（类）行政事业单位</w:t>
      </w:r>
      <w:r>
        <w:rPr>
          <w:rStyle w:val="18"/>
          <w:rFonts w:hint="eastAsia" w:ascii="Times New Roman" w:hAnsi="Times New Roman" w:eastAsia="方正仿宋_GBK" w:cs="仿宋_GB2312"/>
          <w:color w:val="000000"/>
          <w:sz w:val="33"/>
          <w:szCs w:val="32"/>
          <w:lang w:eastAsia="zh-CN"/>
        </w:rPr>
        <w:t>养老支出</w:t>
      </w:r>
      <w:r>
        <w:rPr>
          <w:rStyle w:val="18"/>
          <w:rFonts w:hint="eastAsia" w:ascii="Times New Roman" w:hAnsi="Times New Roman" w:eastAsia="方正仿宋_GBK" w:cs="仿宋_GB2312"/>
          <w:color w:val="000000"/>
          <w:sz w:val="33"/>
          <w:szCs w:val="32"/>
        </w:rPr>
        <w:t>（款）</w:t>
      </w:r>
      <w:r>
        <w:rPr>
          <w:rStyle w:val="18"/>
          <w:rFonts w:ascii="Times New Roman" w:hAnsi="Times New Roman" w:eastAsia="方正仿宋_GBK" w:cs="仿宋_GB2312"/>
          <w:color w:val="000000"/>
          <w:sz w:val="33"/>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hint="eastAsia" w:ascii="Times New Roman" w:hAnsi="Times New Roman" w:eastAsia="方正仿宋_GBK" w:cs="仿宋_GB2312"/>
          <w:b w:val="0"/>
          <w:bCs w:val="0"/>
          <w:color w:val="000000"/>
          <w:sz w:val="33"/>
          <w:szCs w:val="32"/>
        </w:rPr>
      </w:pPr>
      <w:r>
        <w:rPr>
          <w:rStyle w:val="18"/>
          <w:rFonts w:hint="default" w:ascii="Calibri" w:hAnsi="Calibri" w:eastAsia="方正仿宋_GBK" w:cs="Calibri"/>
          <w:color w:val="000000"/>
          <w:sz w:val="33"/>
          <w:szCs w:val="32"/>
        </w:rPr>
        <w:t>①</w:t>
      </w:r>
      <w:r>
        <w:rPr>
          <w:rStyle w:val="18"/>
          <w:rFonts w:hint="eastAsia" w:ascii="Times New Roman" w:hAnsi="Times New Roman" w:eastAsia="方正仿宋_GBK" w:cs="仿宋_GB2312"/>
          <w:color w:val="000000"/>
          <w:sz w:val="33"/>
          <w:szCs w:val="32"/>
        </w:rPr>
        <w:t>行政单位离退休</w:t>
      </w:r>
      <w:r>
        <w:rPr>
          <w:rStyle w:val="18"/>
          <w:rFonts w:hint="eastAsia" w:ascii="Times New Roman" w:hAnsi="Times New Roman" w:eastAsia="方正仿宋_GBK" w:cs="仿宋_GB2312"/>
          <w:color w:val="000000"/>
          <w:sz w:val="33"/>
          <w:szCs w:val="32"/>
          <w:lang w:eastAsia="zh-CN"/>
        </w:rPr>
        <w:t>：</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78.33</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hint="default" w:ascii="Times New Roman" w:hAnsi="Times New Roman" w:eastAsia="方正仿宋_GBK"/>
          <w:sz w:val="33"/>
          <w:lang w:val="en-US" w:eastAsia="zh-CN"/>
        </w:rPr>
      </w:pPr>
      <w:r>
        <w:rPr>
          <w:rStyle w:val="18"/>
          <w:rFonts w:hint="default" w:ascii="Calibri" w:hAnsi="Calibri" w:eastAsia="方正仿宋_GBK" w:cs="Calibri"/>
          <w:b/>
          <w:bCs/>
          <w:color w:val="000000"/>
          <w:sz w:val="33"/>
          <w:szCs w:val="32"/>
          <w:lang w:val="en-US" w:eastAsia="zh-CN"/>
        </w:rPr>
        <w:t>②</w:t>
      </w:r>
      <w:r>
        <w:rPr>
          <w:rStyle w:val="18"/>
          <w:rFonts w:hint="eastAsia" w:ascii="Times New Roman" w:hAnsi="Times New Roman" w:eastAsia="方正仿宋_GBK" w:cs="仿宋_GB2312"/>
          <w:b/>
          <w:bCs/>
          <w:color w:val="000000"/>
          <w:sz w:val="33"/>
          <w:szCs w:val="32"/>
          <w:lang w:val="en-US" w:eastAsia="zh-CN"/>
        </w:rPr>
        <w:t>事业单位离退休：</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3.06</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hint="eastAsia" w:ascii="Times New Roman" w:hAnsi="Times New Roman" w:eastAsia="方正仿宋_GBK" w:cs="仿宋_GB2312"/>
          <w:b w:val="0"/>
          <w:bCs w:val="0"/>
          <w:color w:val="000000"/>
          <w:sz w:val="33"/>
          <w:szCs w:val="32"/>
        </w:rPr>
      </w:pPr>
      <w:r>
        <w:rPr>
          <w:rFonts w:hint="default" w:ascii="Calibri" w:hAnsi="Calibri" w:eastAsia="方正仿宋_GBK" w:cs="Calibri"/>
          <w:b/>
          <w:bCs/>
          <w:color w:val="000000"/>
          <w:sz w:val="33"/>
          <w:szCs w:val="32"/>
        </w:rPr>
        <w:t>③</w:t>
      </w:r>
      <w:r>
        <w:rPr>
          <w:rFonts w:hint="eastAsia" w:ascii="Times New Roman" w:hAnsi="Times New Roman" w:eastAsia="方正仿宋_GBK" w:cs="仿宋_GB2312"/>
          <w:b/>
          <w:bCs/>
          <w:color w:val="000000"/>
          <w:sz w:val="33"/>
          <w:szCs w:val="32"/>
        </w:rPr>
        <w:t>机关事业单位基本养老保险缴费支出：</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53.04</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hint="eastAsia" w:ascii="Times New Roman" w:hAnsi="Times New Roman" w:eastAsia="方正仿宋_GBK" w:cs="仿宋_GB2312"/>
          <w:b w:val="0"/>
          <w:bCs w:val="0"/>
          <w:color w:val="000000"/>
          <w:sz w:val="33"/>
          <w:szCs w:val="32"/>
        </w:rPr>
      </w:pPr>
      <w:r>
        <w:rPr>
          <w:rStyle w:val="18"/>
          <w:rFonts w:hint="eastAsia" w:ascii="Times New Roman" w:hAnsi="Times New Roman" w:eastAsia="方正仿宋_GBK" w:cs="宋体"/>
          <w:color w:val="000000"/>
          <w:sz w:val="33"/>
          <w:szCs w:val="32"/>
        </w:rPr>
        <w:t>④</w:t>
      </w:r>
      <w:r>
        <w:rPr>
          <w:rStyle w:val="18"/>
          <w:rFonts w:hint="eastAsia" w:ascii="Times New Roman" w:hAnsi="Times New Roman" w:eastAsia="方正仿宋_GBK" w:cs="仿宋_GB2312"/>
          <w:color w:val="000000"/>
          <w:sz w:val="33"/>
          <w:szCs w:val="32"/>
          <w:lang w:eastAsia="zh-CN"/>
        </w:rPr>
        <w:t>机关事业单位职业年金缴费支出</w:t>
      </w:r>
      <w:r>
        <w:rPr>
          <w:rStyle w:val="18"/>
          <w:rFonts w:hint="eastAsia" w:ascii="Times New Roman" w:hAnsi="Times New Roman" w:eastAsia="方正仿宋_GBK" w:cs="仿宋_GB2312"/>
          <w:color w:val="000000"/>
          <w:sz w:val="33"/>
          <w:szCs w:val="32"/>
        </w:rPr>
        <w:t>：</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13.74</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8"/>
          <w:rFonts w:hint="eastAsia" w:ascii="Times New Roman" w:hAnsi="Times New Roman" w:eastAsia="方正仿宋_GBK" w:cs="仿宋_GB2312"/>
          <w:b w:val="0"/>
          <w:bCs w:val="0"/>
          <w:color w:val="000000"/>
          <w:sz w:val="33"/>
          <w:szCs w:val="32"/>
        </w:rPr>
      </w:pPr>
      <w:r>
        <w:rPr>
          <w:rStyle w:val="18"/>
          <w:rFonts w:hint="eastAsia" w:ascii="Times New Roman" w:hAnsi="Times New Roman" w:eastAsia="方正仿宋_GBK" w:cs="仿宋_GB2312"/>
          <w:color w:val="000000"/>
          <w:sz w:val="33"/>
          <w:szCs w:val="32"/>
          <w:lang w:val="en-US" w:eastAsia="zh-CN"/>
        </w:rPr>
        <w:t>3</w:t>
      </w:r>
      <w:r>
        <w:rPr>
          <w:rStyle w:val="18"/>
          <w:rFonts w:ascii="Times New Roman" w:hAnsi="Times New Roman" w:eastAsia="方正仿宋_GBK" w:cs="仿宋_GB2312"/>
          <w:color w:val="000000"/>
          <w:sz w:val="33"/>
          <w:szCs w:val="32"/>
        </w:rPr>
        <w:t>.</w:t>
      </w:r>
      <w:r>
        <w:rPr>
          <w:rStyle w:val="18"/>
          <w:rFonts w:hint="eastAsia" w:ascii="Times New Roman" w:hAnsi="Times New Roman" w:eastAsia="方正仿宋_GBK" w:cs="仿宋_GB2312"/>
          <w:color w:val="000000"/>
          <w:sz w:val="33"/>
          <w:szCs w:val="32"/>
        </w:rPr>
        <w:t>社会保障和就业（类）</w:t>
      </w:r>
      <w:r>
        <w:rPr>
          <w:rStyle w:val="18"/>
          <w:rFonts w:hint="eastAsia" w:ascii="Times New Roman" w:hAnsi="Times New Roman" w:eastAsia="方正仿宋_GBK" w:cs="仿宋_GB2312"/>
          <w:color w:val="000000"/>
          <w:sz w:val="33"/>
          <w:szCs w:val="32"/>
          <w:lang w:eastAsia="zh-CN"/>
        </w:rPr>
        <w:t>抚恤</w:t>
      </w:r>
      <w:r>
        <w:rPr>
          <w:rStyle w:val="18"/>
          <w:rFonts w:hint="eastAsia" w:ascii="Times New Roman" w:hAnsi="Times New Roman" w:eastAsia="方正仿宋_GBK" w:cs="仿宋_GB2312"/>
          <w:color w:val="000000"/>
          <w:sz w:val="33"/>
          <w:szCs w:val="32"/>
        </w:rPr>
        <w:t>（款）</w:t>
      </w:r>
      <w:r>
        <w:rPr>
          <w:rStyle w:val="18"/>
          <w:rFonts w:hint="eastAsia" w:ascii="Times New Roman" w:hAnsi="Times New Roman" w:eastAsia="方正仿宋_GBK" w:cs="仿宋_GB2312"/>
          <w:color w:val="000000"/>
          <w:sz w:val="33"/>
          <w:szCs w:val="32"/>
          <w:lang w:eastAsia="zh-CN"/>
        </w:rPr>
        <w:t>伤残抚恤（项）：</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1.36</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3"/>
        <w:rPr>
          <w:rFonts w:hint="eastAsia" w:ascii="Times New Roman" w:hAnsi="Times New Roman" w:eastAsia="方正仿宋_GBK"/>
          <w:b/>
          <w:sz w:val="33"/>
          <w:szCs w:val="32"/>
          <w:lang w:eastAsia="zh-CN"/>
        </w:rPr>
      </w:pPr>
      <w:r>
        <w:rPr>
          <w:rFonts w:hint="eastAsia" w:ascii="Times New Roman" w:hAnsi="Times New Roman" w:eastAsia="方正仿宋_GBK"/>
          <w:b/>
          <w:sz w:val="33"/>
          <w:szCs w:val="32"/>
          <w:lang w:val="en-US" w:eastAsia="zh-CN"/>
        </w:rPr>
        <w:t>4</w:t>
      </w:r>
      <w:r>
        <w:rPr>
          <w:rFonts w:ascii="Times New Roman" w:hAnsi="Times New Roman" w:eastAsia="方正仿宋_GBK"/>
          <w:b/>
          <w:sz w:val="33"/>
          <w:szCs w:val="32"/>
        </w:rPr>
        <w:t>.卫生健康支出（类）</w:t>
      </w:r>
      <w:r>
        <w:rPr>
          <w:rFonts w:hint="eastAsia" w:ascii="Times New Roman" w:hAnsi="Times New Roman" w:eastAsia="方正仿宋_GBK"/>
          <w:b/>
          <w:sz w:val="33"/>
          <w:szCs w:val="32"/>
          <w:lang w:eastAsia="zh-CN"/>
        </w:rPr>
        <w:t>行政事业单位医疗</w:t>
      </w:r>
      <w:r>
        <w:rPr>
          <w:rFonts w:ascii="Times New Roman" w:hAnsi="Times New Roman" w:eastAsia="方正仿宋_GBK"/>
          <w:b/>
          <w:sz w:val="33"/>
          <w:szCs w:val="32"/>
        </w:rPr>
        <w:t>（款）</w:t>
      </w:r>
      <w:r>
        <w:rPr>
          <w:rFonts w:hint="eastAsia" w:ascii="Times New Roman" w:hAnsi="Times New Roman" w:eastAsia="方正仿宋_GBK"/>
          <w:b/>
          <w:sz w:val="33"/>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sz w:val="33"/>
          <w:szCs w:val="32"/>
        </w:rPr>
      </w:pPr>
      <w:r>
        <w:rPr>
          <w:rFonts w:hint="eastAsia" w:ascii="微软雅黑" w:hAnsi="微软雅黑" w:eastAsia="微软雅黑" w:cs="微软雅黑"/>
          <w:sz w:val="33"/>
          <w:szCs w:val="32"/>
          <w:lang w:val="en-US" w:eastAsia="zh-CN"/>
        </w:rPr>
        <w:t>①</w:t>
      </w:r>
      <w:r>
        <w:rPr>
          <w:rFonts w:hint="eastAsia" w:ascii="Times New Roman" w:hAnsi="Times New Roman" w:eastAsia="方正仿宋_GBK" w:cs="仿宋_GB2312"/>
          <w:sz w:val="33"/>
          <w:szCs w:val="32"/>
          <w:lang w:eastAsia="zh-CN"/>
        </w:rPr>
        <w:t>行政单位医疗：</w:t>
      </w:r>
      <w:r>
        <w:rPr>
          <w:rFonts w:ascii="Times New Roman" w:hAnsi="Times New Roman" w:eastAsia="方正仿宋_GBK"/>
          <w:sz w:val="33"/>
          <w:szCs w:val="32"/>
        </w:rPr>
        <w:t>支出决算为</w:t>
      </w:r>
      <w:r>
        <w:rPr>
          <w:rFonts w:hint="eastAsia" w:ascii="Times New Roman" w:hAnsi="Times New Roman" w:eastAsia="方正仿宋_GBK"/>
          <w:sz w:val="33"/>
          <w:szCs w:val="32"/>
          <w:lang w:val="en-US" w:eastAsia="zh-CN"/>
        </w:rPr>
        <w:t>32.15</w:t>
      </w:r>
      <w:r>
        <w:rPr>
          <w:rFonts w:ascii="Times New Roman" w:hAnsi="Times New Roman" w:eastAsia="方正仿宋_GBK"/>
          <w:sz w:val="33"/>
          <w:szCs w:val="32"/>
        </w:rPr>
        <w:t>万元，完成预算100%，决算数等于预算数。</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sz w:val="33"/>
          <w:szCs w:val="32"/>
        </w:rPr>
      </w:pPr>
      <w:r>
        <w:rPr>
          <w:rFonts w:hint="eastAsia" w:ascii="微软雅黑" w:hAnsi="微软雅黑" w:eastAsia="微软雅黑" w:cs="微软雅黑"/>
          <w:sz w:val="33"/>
          <w:szCs w:val="32"/>
          <w:lang w:val="en-US" w:eastAsia="zh-CN"/>
        </w:rPr>
        <w:t>②</w:t>
      </w:r>
      <w:r>
        <w:rPr>
          <w:rFonts w:hint="eastAsia" w:ascii="Times New Roman" w:hAnsi="Times New Roman" w:eastAsia="方正仿宋_GBK"/>
          <w:sz w:val="33"/>
          <w:szCs w:val="32"/>
          <w:lang w:val="en-US" w:eastAsia="zh-CN"/>
        </w:rPr>
        <w:t>事业单位医疗：</w:t>
      </w:r>
      <w:r>
        <w:rPr>
          <w:rFonts w:ascii="Times New Roman" w:hAnsi="Times New Roman" w:eastAsia="方正仿宋_GBK"/>
          <w:sz w:val="33"/>
          <w:szCs w:val="32"/>
        </w:rPr>
        <w:t>支出决算为</w:t>
      </w:r>
      <w:r>
        <w:rPr>
          <w:rFonts w:hint="eastAsia" w:ascii="Times New Roman" w:hAnsi="Times New Roman" w:eastAsia="方正仿宋_GBK"/>
          <w:sz w:val="33"/>
          <w:szCs w:val="32"/>
          <w:lang w:val="en-US" w:eastAsia="zh-CN"/>
        </w:rPr>
        <w:t>6.33</w:t>
      </w:r>
      <w:r>
        <w:rPr>
          <w:rFonts w:ascii="Times New Roman" w:hAnsi="Times New Roman" w:eastAsia="方正仿宋_GBK"/>
          <w:sz w:val="33"/>
          <w:szCs w:val="32"/>
        </w:rPr>
        <w:t>万元，完成预算100%，决算数等于预算数。</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sz w:val="33"/>
          <w:szCs w:val="32"/>
        </w:rPr>
      </w:pPr>
      <w:r>
        <w:rPr>
          <w:rFonts w:hint="eastAsia" w:ascii="微软雅黑" w:hAnsi="微软雅黑" w:eastAsia="微软雅黑" w:cs="微软雅黑"/>
          <w:sz w:val="33"/>
          <w:szCs w:val="32"/>
          <w:lang w:val="en-US" w:eastAsia="zh-CN"/>
        </w:rPr>
        <w:t>③</w:t>
      </w:r>
      <w:r>
        <w:rPr>
          <w:rFonts w:hint="eastAsia" w:ascii="Times New Roman" w:hAnsi="Times New Roman" w:eastAsia="方正仿宋_GBK"/>
          <w:sz w:val="33"/>
          <w:szCs w:val="32"/>
          <w:lang w:val="en-US" w:eastAsia="zh-CN"/>
        </w:rPr>
        <w:t>公务员医疗补助：</w:t>
      </w:r>
      <w:r>
        <w:rPr>
          <w:rFonts w:ascii="Times New Roman" w:hAnsi="Times New Roman" w:eastAsia="方正仿宋_GBK"/>
          <w:sz w:val="33"/>
          <w:szCs w:val="32"/>
        </w:rPr>
        <w:t>支出决算为</w:t>
      </w:r>
      <w:r>
        <w:rPr>
          <w:rFonts w:hint="eastAsia" w:ascii="Times New Roman" w:hAnsi="Times New Roman" w:eastAsia="方正仿宋_GBK"/>
          <w:sz w:val="33"/>
          <w:szCs w:val="32"/>
          <w:lang w:val="en-US" w:eastAsia="zh-CN"/>
        </w:rPr>
        <w:t>18.19</w:t>
      </w:r>
      <w:r>
        <w:rPr>
          <w:rFonts w:ascii="Times New Roman" w:hAnsi="Times New Roman" w:eastAsia="方正仿宋_GBK"/>
          <w:sz w:val="33"/>
          <w:szCs w:val="32"/>
        </w:rPr>
        <w:t>万元，完成预算100%，决算数等于预算数。</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hint="default" w:ascii="Times New Roman" w:hAnsi="Times New Roman" w:eastAsia="方正仿宋_GBK"/>
          <w:sz w:val="33"/>
          <w:lang w:val="en-US" w:eastAsia="zh-CN"/>
        </w:rPr>
      </w:pPr>
      <w:r>
        <w:rPr>
          <w:rFonts w:hint="eastAsia" w:ascii="微软雅黑" w:hAnsi="微软雅黑" w:eastAsia="微软雅黑" w:cs="微软雅黑"/>
          <w:sz w:val="33"/>
          <w:szCs w:val="32"/>
          <w:lang w:val="en-US" w:eastAsia="zh-CN"/>
        </w:rPr>
        <w:t>④</w:t>
      </w:r>
      <w:r>
        <w:rPr>
          <w:rFonts w:hint="eastAsia" w:ascii="Times New Roman" w:hAnsi="Times New Roman" w:eastAsia="方正仿宋_GBK"/>
          <w:sz w:val="33"/>
          <w:szCs w:val="32"/>
          <w:lang w:val="en-US" w:eastAsia="zh-CN"/>
        </w:rPr>
        <w:t>其他行政事业单位医疗支出：</w:t>
      </w:r>
      <w:r>
        <w:rPr>
          <w:rFonts w:ascii="Times New Roman" w:hAnsi="Times New Roman" w:eastAsia="方正仿宋_GBK"/>
          <w:sz w:val="33"/>
          <w:szCs w:val="32"/>
        </w:rPr>
        <w:t>支出决算为</w:t>
      </w:r>
      <w:r>
        <w:rPr>
          <w:rFonts w:hint="eastAsia" w:ascii="Times New Roman" w:hAnsi="Times New Roman" w:eastAsia="方正仿宋_GBK"/>
          <w:sz w:val="33"/>
          <w:szCs w:val="32"/>
          <w:lang w:val="en-US" w:eastAsia="zh-CN"/>
        </w:rPr>
        <w:t>3.01</w:t>
      </w:r>
      <w:r>
        <w:rPr>
          <w:rFonts w:ascii="Times New Roman" w:hAnsi="Times New Roman" w:eastAsia="方正仿宋_GBK"/>
          <w:sz w:val="33"/>
          <w:szCs w:val="32"/>
        </w:rPr>
        <w:t>万元，完成预算100%，决算数等于预算数。</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b/>
          <w:sz w:val="33"/>
          <w:szCs w:val="32"/>
        </w:rPr>
      </w:pPr>
      <w:r>
        <w:rPr>
          <w:rStyle w:val="18"/>
          <w:rFonts w:hint="eastAsia" w:ascii="Times New Roman" w:hAnsi="Times New Roman" w:eastAsia="方正仿宋_GBK" w:cs="仿宋_GB2312"/>
          <w:color w:val="000000"/>
          <w:sz w:val="33"/>
          <w:szCs w:val="32"/>
          <w:lang w:val="en-US" w:eastAsia="zh-CN"/>
        </w:rPr>
        <w:t>5</w:t>
      </w:r>
      <w:r>
        <w:rPr>
          <w:rStyle w:val="18"/>
          <w:rFonts w:hint="eastAsia" w:ascii="Times New Roman" w:hAnsi="Times New Roman" w:eastAsia="方正仿宋_GBK" w:cs="仿宋_GB2312"/>
          <w:color w:val="000000"/>
          <w:sz w:val="33"/>
          <w:szCs w:val="32"/>
        </w:rPr>
        <w:t>、住房保障支出（类）住房改革支出（款）住房公积金（项）：</w:t>
      </w:r>
      <w:r>
        <w:rPr>
          <w:rStyle w:val="18"/>
          <w:rFonts w:hint="eastAsia" w:ascii="Times New Roman" w:hAnsi="Times New Roman" w:eastAsia="方正仿宋_GBK" w:cs="仿宋_GB2312"/>
          <w:b w:val="0"/>
          <w:bCs w:val="0"/>
          <w:color w:val="000000"/>
          <w:sz w:val="33"/>
          <w:szCs w:val="32"/>
        </w:rPr>
        <w:t>支出决算为</w:t>
      </w:r>
      <w:r>
        <w:rPr>
          <w:rStyle w:val="18"/>
          <w:rFonts w:hint="eastAsia" w:ascii="Times New Roman" w:hAnsi="Times New Roman" w:eastAsia="方正仿宋_GBK" w:cs="仿宋_GB2312"/>
          <w:b w:val="0"/>
          <w:bCs w:val="0"/>
          <w:color w:val="000000"/>
          <w:sz w:val="33"/>
          <w:szCs w:val="32"/>
          <w:lang w:val="en-US" w:eastAsia="zh-CN"/>
        </w:rPr>
        <w:t>59.27</w:t>
      </w:r>
      <w:r>
        <w:rPr>
          <w:rStyle w:val="18"/>
          <w:rFonts w:hint="eastAsia" w:ascii="Times New Roman" w:hAnsi="Times New Roman" w:eastAsia="方正仿宋_GBK" w:cs="仿宋_GB2312"/>
          <w:b w:val="0"/>
          <w:bCs w:val="0"/>
          <w:color w:val="000000"/>
          <w:sz w:val="33"/>
          <w:szCs w:val="32"/>
        </w:rPr>
        <w:t>万元，完成预算</w:t>
      </w:r>
      <w:r>
        <w:rPr>
          <w:rStyle w:val="18"/>
          <w:rFonts w:ascii="Times New Roman" w:hAnsi="Times New Roman" w:eastAsia="方正仿宋_GBK" w:cs="仿宋_GB2312"/>
          <w:b w:val="0"/>
          <w:bCs w:val="0"/>
          <w:color w:val="000000"/>
          <w:sz w:val="33"/>
          <w:szCs w:val="32"/>
        </w:rPr>
        <w:t>100%</w:t>
      </w:r>
      <w:r>
        <w:rPr>
          <w:rStyle w:val="18"/>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beforeLines="0" w:afterLines="0" w:line="240" w:lineRule="auto"/>
        <w:ind w:firstLine="640" w:firstLineChars="200"/>
        <w:textAlignment w:val="auto"/>
        <w:outlineLvl w:val="1"/>
        <w:rPr>
          <w:rFonts w:hint="eastAsia" w:ascii="黑体" w:hAnsi="黑体" w:eastAsia="黑体"/>
          <w:sz w:val="32"/>
          <w:szCs w:val="32"/>
        </w:rPr>
      </w:pPr>
      <w:bookmarkStart w:id="46" w:name="_Toc27086"/>
      <w:bookmarkStart w:id="47" w:name="_Toc15396608"/>
      <w:bookmarkStart w:id="48" w:name="_Toc15377214"/>
      <w:r>
        <w:rPr>
          <w:rFonts w:hint="eastAsia" w:ascii="黑体" w:hAnsi="黑体" w:eastAsia="黑体"/>
          <w:sz w:val="32"/>
          <w:szCs w:val="32"/>
        </w:rPr>
        <w:t>六、一般公共预算财政拨款基本支出决算情况说明</w:t>
      </w:r>
      <w:bookmarkEnd w:id="46"/>
      <w:bookmarkEnd w:id="47"/>
      <w:bookmarkEnd w:id="48"/>
      <w:r>
        <w:rPr>
          <w:rFonts w:hint="eastAsia" w:ascii="黑体" w:hAnsi="黑体" w:eastAsia="黑体"/>
          <w:sz w:val="32"/>
          <w:szCs w:val="32"/>
        </w:rPr>
        <w:tab/>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hint="eastAsia" w:ascii="Times New Roman" w:hAnsi="Times New Roman" w:eastAsia="方正仿宋_GBK"/>
          <w:sz w:val="33"/>
          <w:szCs w:val="32"/>
          <w:lang w:val="en-US" w:eastAsia="zh-CN"/>
        </w:rPr>
      </w:pPr>
      <w:r>
        <w:rPr>
          <w:rFonts w:ascii="Times New Roman" w:hAnsi="Times New Roman" w:eastAsia="方正仿宋_GBK"/>
          <w:sz w:val="33"/>
          <w:szCs w:val="32"/>
        </w:rPr>
        <w:t>20</w:t>
      </w:r>
      <w:r>
        <w:rPr>
          <w:rFonts w:hint="eastAsia" w:ascii="Times New Roman" w:hAnsi="Times New Roman" w:eastAsia="方正仿宋_GBK"/>
          <w:sz w:val="33"/>
          <w:szCs w:val="32"/>
        </w:rPr>
        <w:t>22年一般公共预算财政拨款基本支出</w:t>
      </w:r>
      <w:r>
        <w:rPr>
          <w:rFonts w:hint="eastAsia" w:ascii="Times New Roman" w:hAnsi="Times New Roman" w:eastAsia="方正仿宋_GBK"/>
          <w:sz w:val="33"/>
          <w:szCs w:val="32"/>
          <w:lang w:val="en-US" w:eastAsia="zh-CN"/>
        </w:rPr>
        <w:t>879.36</w:t>
      </w:r>
      <w:r>
        <w:rPr>
          <w:rFonts w:hint="eastAsia" w:ascii="Times New Roman" w:hAnsi="Times New Roman" w:eastAsia="方正仿宋_GBK"/>
          <w:sz w:val="33"/>
          <w:szCs w:val="32"/>
        </w:rPr>
        <w:t>万元，其中：人员经费</w:t>
      </w:r>
      <w:r>
        <w:rPr>
          <w:rFonts w:hint="eastAsia" w:ascii="Times New Roman" w:hAnsi="Times New Roman" w:eastAsia="方正仿宋_GBK"/>
          <w:sz w:val="33"/>
          <w:szCs w:val="32"/>
          <w:lang w:val="en-US" w:eastAsia="zh-CN"/>
        </w:rPr>
        <w:t>817.22</w:t>
      </w:r>
      <w:r>
        <w:rPr>
          <w:rFonts w:hint="eastAsia" w:ascii="Times New Roman" w:hAnsi="Times New Roman" w:eastAsia="方正仿宋_GBK"/>
          <w:sz w:val="33"/>
          <w:szCs w:val="32"/>
        </w:rPr>
        <w:t>万元，主要包括：基本工资、津贴补贴、奖金、绩效工资、机关事业单位基本养老保险缴费、职业年金缴费、</w:t>
      </w:r>
      <w:r>
        <w:rPr>
          <w:rFonts w:hint="eastAsia" w:ascii="Times New Roman" w:hAnsi="Times New Roman" w:eastAsia="方正仿宋_GBK"/>
          <w:sz w:val="33"/>
          <w:szCs w:val="32"/>
          <w:lang w:eastAsia="zh-CN"/>
        </w:rPr>
        <w:t>职工基本医疗保险缴费、公务员医疗补助缴费、</w:t>
      </w:r>
      <w:r>
        <w:rPr>
          <w:rFonts w:hint="eastAsia" w:ascii="Times New Roman" w:hAnsi="Times New Roman" w:eastAsia="方正仿宋_GBK"/>
          <w:sz w:val="33"/>
          <w:szCs w:val="32"/>
        </w:rPr>
        <w:t>其他社会保障缴费、其他工资福利支出、离休费</w:t>
      </w:r>
      <w:r>
        <w:rPr>
          <w:rFonts w:hint="eastAsia" w:ascii="Times New Roman" w:hAnsi="Times New Roman" w:eastAsia="方正仿宋_GBK"/>
          <w:sz w:val="33"/>
          <w:szCs w:val="32"/>
          <w:lang w:eastAsia="zh-CN"/>
        </w:rPr>
        <w:t>、</w:t>
      </w:r>
      <w:r>
        <w:rPr>
          <w:rFonts w:hint="eastAsia" w:ascii="Times New Roman" w:hAnsi="Times New Roman" w:eastAsia="方正仿宋_GBK"/>
          <w:sz w:val="33"/>
          <w:szCs w:val="32"/>
        </w:rPr>
        <w:t>抚恤金、生活补助、医疗费补助、奖励金、住房公积金等。</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b/>
          <w:sz w:val="33"/>
          <w:szCs w:val="32"/>
        </w:rPr>
      </w:pPr>
      <w:r>
        <w:rPr>
          <w:rFonts w:hint="eastAsia" w:ascii="Times New Roman" w:hAnsi="Times New Roman" w:eastAsia="方正仿宋_GBK"/>
          <w:sz w:val="33"/>
          <w:szCs w:val="32"/>
        </w:rPr>
        <w:t>公用经费</w:t>
      </w:r>
      <w:r>
        <w:rPr>
          <w:rFonts w:hint="eastAsia" w:ascii="Times New Roman" w:hAnsi="Times New Roman" w:eastAsia="方正仿宋_GBK"/>
          <w:sz w:val="33"/>
          <w:szCs w:val="32"/>
          <w:lang w:val="en-US" w:eastAsia="zh-CN"/>
        </w:rPr>
        <w:t>62.14</w:t>
      </w:r>
      <w:r>
        <w:rPr>
          <w:rFonts w:hint="eastAsia" w:ascii="Times New Roman" w:hAnsi="Times New Roman" w:eastAsia="方正仿宋_GBK"/>
          <w:sz w:val="33"/>
          <w:szCs w:val="32"/>
        </w:rPr>
        <w:t>万元，主要包括：办公费、印刷费、水费、邮电费、差旅费、维修（护）费、会议费、公务接待费、劳务费、工会经费、福利费、其他交通费、其他商品</w:t>
      </w:r>
      <w:r>
        <w:rPr>
          <w:rFonts w:hint="eastAsia" w:ascii="Times New Roman" w:hAnsi="Times New Roman" w:eastAsia="方正仿宋_GBK"/>
          <w:sz w:val="33"/>
          <w:szCs w:val="32"/>
          <w:lang w:eastAsia="zh-CN"/>
        </w:rPr>
        <w:t>和服务支出</w:t>
      </w:r>
      <w:r>
        <w:rPr>
          <w:rFonts w:hint="eastAsia" w:ascii="Times New Roman" w:hAnsi="Times New Roman" w:eastAsia="方正仿宋_GBK"/>
          <w:sz w:val="33"/>
          <w:szCs w:val="32"/>
        </w:rPr>
        <w:t>等。</w:t>
      </w:r>
    </w:p>
    <w:p>
      <w:pPr>
        <w:keepNext w:val="0"/>
        <w:keepLines w:val="0"/>
        <w:pageBreakBefore w:val="0"/>
        <w:widowControl w:val="0"/>
        <w:kinsoku/>
        <w:wordWrap/>
        <w:overflowPunct/>
        <w:topLinePunct w:val="0"/>
        <w:autoSpaceDE/>
        <w:autoSpaceDN/>
        <w:bidi w:val="0"/>
        <w:adjustRightInd/>
        <w:snapToGrid/>
        <w:spacing w:beforeLines="0" w:afterLines="0" w:line="240" w:lineRule="auto"/>
        <w:ind w:firstLine="640" w:firstLineChars="200"/>
        <w:textAlignment w:val="auto"/>
        <w:outlineLvl w:val="1"/>
        <w:rPr>
          <w:rFonts w:hint="eastAsia" w:ascii="黑体" w:hAnsi="黑体" w:eastAsia="黑体"/>
          <w:sz w:val="32"/>
          <w:szCs w:val="32"/>
        </w:rPr>
      </w:pPr>
      <w:bookmarkStart w:id="49" w:name="_Toc15377215"/>
      <w:bookmarkStart w:id="50" w:name="_Toc15396609"/>
      <w:bookmarkStart w:id="51" w:name="_Toc9977"/>
      <w:r>
        <w:rPr>
          <w:rFonts w:hint="eastAsia" w:ascii="黑体" w:hAnsi="黑体" w:eastAsia="黑体"/>
          <w:sz w:val="32"/>
          <w:szCs w:val="32"/>
        </w:rPr>
        <w:t>七、财政拨款“三公”经费支出决算情况说明</w:t>
      </w:r>
      <w:bookmarkEnd w:id="49"/>
      <w:bookmarkEnd w:id="50"/>
      <w:bookmarkEnd w:id="51"/>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2"/>
        <w:rPr>
          <w:rFonts w:ascii="Times New Roman" w:hAnsi="Times New Roman" w:eastAsia="方正仿宋_GBK"/>
          <w:b/>
          <w:sz w:val="33"/>
          <w:szCs w:val="32"/>
        </w:rPr>
      </w:pPr>
      <w:bookmarkStart w:id="52" w:name="_Toc15377216"/>
      <w:r>
        <w:rPr>
          <w:rFonts w:hint="eastAsia" w:ascii="Times New Roman" w:hAnsi="Times New Roman" w:eastAsia="方正仿宋_GBK"/>
          <w:b/>
          <w:sz w:val="33"/>
          <w:szCs w:val="32"/>
        </w:rPr>
        <w:t>（一）“三公”经费财政拨款支出决算总体情况说明</w:t>
      </w:r>
      <w:bookmarkEnd w:id="52"/>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b/>
          <w:sz w:val="33"/>
          <w:szCs w:val="32"/>
        </w:rPr>
      </w:pPr>
      <w:r>
        <w:rPr>
          <w:rFonts w:hint="eastAsia" w:ascii="Times New Roman" w:hAnsi="Times New Roman" w:eastAsia="方正仿宋_GBK"/>
          <w:color w:val="000000"/>
          <w:sz w:val="33"/>
          <w:lang w:val="zh-CN"/>
        </w:rPr>
        <w:t>2022年</w:t>
      </w:r>
      <w:r>
        <w:rPr>
          <w:rFonts w:hint="default" w:ascii="Times New Roman" w:hAnsi="Times New Roman" w:eastAsia="方正仿宋_GBK"/>
          <w:color w:val="000000"/>
          <w:sz w:val="33"/>
          <w:lang w:val="zh-CN"/>
        </w:rPr>
        <w:t>“</w:t>
      </w:r>
      <w:r>
        <w:rPr>
          <w:rFonts w:hint="eastAsia" w:ascii="Times New Roman" w:hAnsi="Times New Roman" w:eastAsia="方正仿宋_GBK"/>
          <w:color w:val="000000"/>
          <w:sz w:val="33"/>
          <w:lang w:val="zh-CN"/>
        </w:rPr>
        <w:t>三公</w:t>
      </w:r>
      <w:r>
        <w:rPr>
          <w:rFonts w:hint="default" w:ascii="Times New Roman" w:hAnsi="Times New Roman" w:eastAsia="方正仿宋_GBK"/>
          <w:color w:val="000000"/>
          <w:sz w:val="33"/>
          <w:lang w:val="zh-CN"/>
        </w:rPr>
        <w:t>”</w:t>
      </w:r>
      <w:r>
        <w:rPr>
          <w:rFonts w:hint="eastAsia" w:ascii="Times New Roman" w:hAnsi="Times New Roman" w:eastAsia="方正仿宋_GBK"/>
          <w:color w:val="000000"/>
          <w:sz w:val="33"/>
          <w:lang w:val="zh-CN"/>
        </w:rPr>
        <w:t>经费财政拨款支出决算为2.11万元，完成预算100%；较上年减少6.27万元，下降4.8%。决算数</w:t>
      </w:r>
      <w:r>
        <w:rPr>
          <w:rFonts w:hint="eastAsia" w:ascii="Times New Roman" w:hAnsi="Times New Roman" w:eastAsia="方正仿宋_GBK"/>
          <w:color w:val="000000"/>
          <w:sz w:val="33"/>
          <w:highlight w:val="white"/>
          <w:lang w:val="en-US"/>
        </w:rPr>
        <w:t>与预算数持平</w:t>
      </w:r>
      <w:r>
        <w:rPr>
          <w:rFonts w:hint="eastAsia" w:ascii="Times New Roman" w:hAnsi="Times New Roman" w:eastAsia="方正仿宋_GBK"/>
          <w:color w:val="000000"/>
          <w:sz w:val="33"/>
          <w:lang w:val="zh-CN"/>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2"/>
        <w:rPr>
          <w:rFonts w:ascii="Times New Roman" w:hAnsi="Times New Roman" w:eastAsia="方正仿宋_GBK"/>
          <w:b/>
          <w:sz w:val="33"/>
          <w:szCs w:val="32"/>
        </w:rPr>
      </w:pPr>
      <w:bookmarkStart w:id="53" w:name="_Toc15377217"/>
      <w:r>
        <w:rPr>
          <w:rFonts w:hint="eastAsia" w:ascii="Times New Roman" w:hAnsi="Times New Roman" w:eastAsia="方正仿宋_GBK"/>
          <w:b/>
          <w:sz w:val="33"/>
          <w:szCs w:val="32"/>
        </w:rPr>
        <w:t>（二）“三公”经费财政拨款支出决算具体情况说明</w:t>
      </w:r>
      <w:bookmarkEnd w:id="53"/>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sz w:val="33"/>
          <w:szCs w:val="32"/>
        </w:rPr>
      </w:pPr>
      <w:r>
        <w:rPr>
          <w:rFonts w:hint="eastAsia" w:ascii="Times New Roman" w:hAnsi="Times New Roman" w:eastAsia="方正仿宋_GBK"/>
          <w:color w:val="000000"/>
          <w:sz w:val="33"/>
          <w:lang w:val="zh-CN"/>
        </w:rPr>
        <w:t>2022年</w:t>
      </w:r>
      <w:r>
        <w:rPr>
          <w:rFonts w:hint="default" w:ascii="Times New Roman" w:hAnsi="Times New Roman" w:eastAsia="方正仿宋_GBK"/>
          <w:color w:val="000000"/>
          <w:sz w:val="33"/>
          <w:lang w:val="zh-CN"/>
        </w:rPr>
        <w:t>“</w:t>
      </w:r>
      <w:r>
        <w:rPr>
          <w:rFonts w:hint="eastAsia" w:ascii="Times New Roman" w:hAnsi="Times New Roman" w:eastAsia="方正仿宋_GBK"/>
          <w:color w:val="000000"/>
          <w:sz w:val="33"/>
          <w:lang w:val="zh-CN"/>
        </w:rPr>
        <w:t>三公</w:t>
      </w:r>
      <w:r>
        <w:rPr>
          <w:rFonts w:hint="default" w:ascii="Times New Roman" w:hAnsi="Times New Roman" w:eastAsia="方正仿宋_GBK"/>
          <w:color w:val="000000"/>
          <w:sz w:val="33"/>
          <w:lang w:val="zh-CN"/>
        </w:rPr>
        <w:t>”</w:t>
      </w:r>
      <w:r>
        <w:rPr>
          <w:rFonts w:hint="eastAsia" w:ascii="Times New Roman" w:hAnsi="Times New Roman" w:eastAsia="方正仿宋_GBK"/>
          <w:color w:val="000000"/>
          <w:sz w:val="33"/>
          <w:lang w:val="zh-CN"/>
        </w:rPr>
        <w:t>经费财政拨款支出决算中，因公出国（境）费支出决算0万元，占0%；公务用车购置及运行维护费支出决算1.66万元，占78.7%；公务接待费支出决算0.45万元，占21.3%。具体情况如下：</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ascii="Times New Roman" w:hAnsi="Times New Roman" w:eastAsia="方正仿宋_GBK"/>
          <w:color w:val="000000"/>
          <w:sz w:val="33"/>
          <w:szCs w:val="32"/>
        </w:rPr>
      </w:pPr>
      <w:bookmarkStart w:id="54" w:name="_Toc15396610"/>
      <w:bookmarkStart w:id="55" w:name="_Toc15377218"/>
      <w:r>
        <w:rPr>
          <w:rFonts w:ascii="Times New Roman" w:hAnsi="Times New Roman" w:eastAsia="方正仿宋_GBK"/>
          <w:sz w:val="33"/>
        </w:rPr>
        <w:drawing>
          <wp:anchor distT="0" distB="0" distL="114300" distR="114300" simplePos="0" relativeHeight="251664384" behindDoc="1" locked="0" layoutInCell="1" allowOverlap="1">
            <wp:simplePos x="0" y="0"/>
            <wp:positionH relativeFrom="column">
              <wp:posOffset>-146685</wp:posOffset>
            </wp:positionH>
            <wp:positionV relativeFrom="paragraph">
              <wp:posOffset>240030</wp:posOffset>
            </wp:positionV>
            <wp:extent cx="5268595" cy="2877820"/>
            <wp:effectExtent l="4445" t="4445" r="22860" b="51435"/>
            <wp:wrapThrough wrapText="bothSides">
              <wp:wrapPolygon>
                <wp:start x="-18" y="-33"/>
                <wp:lineTo x="-18" y="21557"/>
                <wp:lineTo x="21538" y="21557"/>
                <wp:lineTo x="21538" y="-33"/>
                <wp:lineTo x="-18" y="-33"/>
              </wp:wrapPolygon>
            </wp:wrapThrough>
            <wp:docPr id="3239"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ascii="Times New Roman" w:hAnsi="Times New Roman" w:eastAsia="方正仿宋_GBK" w:cs="仿宋_GB2312"/>
          <w:b/>
          <w:bCs/>
          <w:color w:val="000000"/>
          <w:sz w:val="33"/>
          <w:szCs w:val="32"/>
        </w:rPr>
        <w:t>1.</w:t>
      </w:r>
      <w:r>
        <w:rPr>
          <w:rFonts w:hint="eastAsia" w:ascii="Times New Roman" w:hAnsi="Times New Roman" w:eastAsia="方正仿宋_GBK" w:cs="仿宋_GB2312"/>
          <w:b/>
          <w:bCs/>
          <w:color w:val="000000"/>
          <w:sz w:val="33"/>
          <w:szCs w:val="32"/>
        </w:rPr>
        <w:t>因公出国（境）经费支出</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万元，</w:t>
      </w:r>
      <w:r>
        <w:rPr>
          <w:rStyle w:val="18"/>
          <w:rFonts w:hint="eastAsia" w:ascii="Times New Roman" w:hAnsi="Times New Roman" w:eastAsia="方正仿宋_GBK" w:cs="仿宋"/>
          <w:b w:val="0"/>
          <w:bCs w:val="0"/>
          <w:color w:val="000000"/>
          <w:sz w:val="33"/>
          <w:szCs w:val="32"/>
        </w:rPr>
        <w:t>完成预算</w:t>
      </w:r>
      <w:r>
        <w:rPr>
          <w:rStyle w:val="18"/>
          <w:rFonts w:ascii="Times New Roman" w:hAnsi="Times New Roman" w:eastAsia="方正仿宋_GBK" w:cs="仿宋"/>
          <w:b w:val="0"/>
          <w:bCs w:val="0"/>
          <w:color w:val="000000"/>
          <w:sz w:val="33"/>
          <w:szCs w:val="32"/>
        </w:rPr>
        <w:t>0%</w:t>
      </w:r>
      <w:r>
        <w:rPr>
          <w:rStyle w:val="18"/>
          <w:rFonts w:hint="eastAsia" w:ascii="Times New Roman" w:hAnsi="Times New Roman" w:eastAsia="方正仿宋_GBK" w:cs="仿宋"/>
          <w:b w:val="0"/>
          <w:bCs w:val="0"/>
          <w:color w:val="000000"/>
          <w:sz w:val="33"/>
          <w:szCs w:val="32"/>
        </w:rPr>
        <w:t>。</w:t>
      </w:r>
      <w:r>
        <w:rPr>
          <w:rFonts w:hint="eastAsia" w:ascii="Times New Roman" w:hAnsi="Times New Roman" w:eastAsia="方正仿宋_GBK" w:cs="仿宋_GB2312"/>
          <w:color w:val="000000"/>
          <w:sz w:val="33"/>
          <w:szCs w:val="32"/>
        </w:rPr>
        <w:t>全年安排因公出国（境）团组</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次，出国（境）</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人。因公出国（境）支出决算比</w:t>
      </w:r>
      <w:r>
        <w:rPr>
          <w:rFonts w:hint="eastAsia" w:ascii="Times New Roman" w:hAnsi="Times New Roman" w:eastAsia="方正仿宋_GBK" w:cs="仿宋_GB2312"/>
          <w:color w:val="000000"/>
          <w:sz w:val="33"/>
          <w:szCs w:val="32"/>
          <w:lang w:val="en-US" w:eastAsia="zh-CN"/>
        </w:rPr>
        <w:t>2021</w:t>
      </w:r>
      <w:r>
        <w:rPr>
          <w:rFonts w:hint="eastAsia" w:ascii="Times New Roman" w:hAnsi="Times New Roman" w:eastAsia="方正仿宋_GBK" w:cs="仿宋_GB2312"/>
          <w:color w:val="000000"/>
          <w:sz w:val="33"/>
          <w:szCs w:val="32"/>
        </w:rPr>
        <w:t>年无增减变动。主要原因是我单位无因公出国（境）支出。</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9"/>
        <w:rPr>
          <w:rFonts w:ascii="Times New Roman" w:hAnsi="Times New Roman" w:eastAsia="方正仿宋_GBK"/>
          <w:color w:val="000000"/>
          <w:sz w:val="33"/>
          <w:szCs w:val="32"/>
        </w:rPr>
      </w:pPr>
      <w:r>
        <w:rPr>
          <w:rFonts w:ascii="Times New Roman" w:hAnsi="Times New Roman" w:eastAsia="方正仿宋_GBK" w:cs="仿宋_GB2312"/>
          <w:b/>
          <w:bCs/>
          <w:color w:val="000000"/>
          <w:sz w:val="33"/>
          <w:szCs w:val="32"/>
        </w:rPr>
        <w:t>2.</w:t>
      </w:r>
      <w:r>
        <w:rPr>
          <w:rFonts w:hint="eastAsia" w:ascii="Times New Roman" w:hAnsi="Times New Roman" w:eastAsia="方正仿宋_GBK" w:cs="仿宋_GB2312"/>
          <w:b/>
          <w:bCs/>
          <w:color w:val="000000"/>
          <w:sz w:val="33"/>
          <w:szCs w:val="32"/>
        </w:rPr>
        <w:t>公务用车购置及运行维护费支出</w:t>
      </w:r>
      <w:r>
        <w:rPr>
          <w:rFonts w:hint="eastAsia" w:ascii="Times New Roman" w:hAnsi="Times New Roman" w:eastAsia="方正仿宋_GBK" w:cs="仿宋_GB2312"/>
          <w:color w:val="000000"/>
          <w:sz w:val="33"/>
          <w:szCs w:val="32"/>
          <w:lang w:val="en-US" w:eastAsia="zh-CN"/>
        </w:rPr>
        <w:t>1.66</w:t>
      </w:r>
      <w:r>
        <w:rPr>
          <w:rFonts w:hint="eastAsia" w:ascii="Times New Roman" w:hAnsi="Times New Roman" w:eastAsia="方正仿宋_GBK" w:cs="仿宋_GB2312"/>
          <w:color w:val="000000"/>
          <w:sz w:val="33"/>
          <w:szCs w:val="32"/>
        </w:rPr>
        <w:t>万元</w:t>
      </w:r>
      <w:r>
        <w:rPr>
          <w:rFonts w:hint="eastAsia" w:ascii="Times New Roman" w:hAnsi="Times New Roman" w:eastAsia="方正仿宋_GBK" w:cs="仿宋_GB2312"/>
          <w:color w:val="000000"/>
          <w:sz w:val="33"/>
          <w:szCs w:val="32"/>
          <w:lang w:eastAsia="zh-CN"/>
        </w:rPr>
        <w:t>，</w:t>
      </w:r>
      <w:r>
        <w:rPr>
          <w:rStyle w:val="18"/>
          <w:rFonts w:hint="eastAsia" w:ascii="Times New Roman" w:hAnsi="Times New Roman" w:eastAsia="方正仿宋_GBK" w:cs="仿宋"/>
          <w:b w:val="0"/>
          <w:bCs w:val="0"/>
          <w:color w:val="000000"/>
          <w:sz w:val="33"/>
          <w:szCs w:val="32"/>
        </w:rPr>
        <w:t>完成预算</w:t>
      </w:r>
      <w:r>
        <w:rPr>
          <w:rStyle w:val="18"/>
          <w:rFonts w:hint="eastAsia" w:ascii="Times New Roman" w:hAnsi="Times New Roman" w:eastAsia="方正仿宋_GBK" w:cs="仿宋"/>
          <w:b w:val="0"/>
          <w:bCs w:val="0"/>
          <w:color w:val="000000"/>
          <w:sz w:val="33"/>
          <w:szCs w:val="32"/>
          <w:lang w:val="en-US" w:eastAsia="zh-CN"/>
        </w:rPr>
        <w:t>10</w:t>
      </w:r>
      <w:r>
        <w:rPr>
          <w:rStyle w:val="18"/>
          <w:rFonts w:ascii="Times New Roman" w:hAnsi="Times New Roman" w:eastAsia="方正仿宋_GBK" w:cs="仿宋"/>
          <w:b w:val="0"/>
          <w:bCs w:val="0"/>
          <w:color w:val="000000"/>
          <w:sz w:val="33"/>
          <w:szCs w:val="32"/>
        </w:rPr>
        <w:t>0%</w:t>
      </w:r>
      <w:r>
        <w:rPr>
          <w:rStyle w:val="18"/>
          <w:rFonts w:hint="eastAsia" w:ascii="Times New Roman" w:hAnsi="Times New Roman" w:eastAsia="方正仿宋_GBK" w:cs="仿宋"/>
          <w:b w:val="0"/>
          <w:bCs w:val="0"/>
          <w:color w:val="000000"/>
          <w:sz w:val="33"/>
          <w:szCs w:val="32"/>
        </w:rPr>
        <w:t>。</w:t>
      </w:r>
      <w:r>
        <w:rPr>
          <w:rFonts w:hint="eastAsia" w:ascii="Times New Roman" w:hAnsi="Times New Roman" w:eastAsia="方正仿宋_GBK"/>
          <w:color w:val="000000"/>
          <w:sz w:val="33"/>
          <w:lang w:val="zh-CN"/>
        </w:rPr>
        <w:t>公务用车购置及运行维护费支出决算比2021年减少6.14万元，下降78.7%。</w:t>
      </w:r>
      <w:r>
        <w:rPr>
          <w:rFonts w:hint="eastAsia" w:ascii="Times New Roman" w:hAnsi="Times New Roman" w:eastAsia="方正仿宋_GBK" w:cs="仿宋"/>
          <w:color w:val="000000"/>
          <w:sz w:val="33"/>
          <w:szCs w:val="32"/>
        </w:rPr>
        <w:t>主要变动原因是</w:t>
      </w:r>
      <w:r>
        <w:rPr>
          <w:rFonts w:hint="eastAsia" w:ascii="Times New Roman" w:hAnsi="Times New Roman" w:eastAsia="方正仿宋_GBK" w:cs="仿宋"/>
          <w:color w:val="000000"/>
          <w:sz w:val="33"/>
          <w:szCs w:val="32"/>
          <w:lang w:eastAsia="zh-CN"/>
        </w:rPr>
        <w:t>车辆进厂维修较上年减少，费用支出下降。</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olor w:val="000000"/>
          <w:sz w:val="33"/>
          <w:szCs w:val="32"/>
          <w:lang w:eastAsia="zh-CN"/>
        </w:rPr>
      </w:pPr>
      <w:r>
        <w:rPr>
          <w:rFonts w:hint="eastAsia" w:ascii="Times New Roman" w:hAnsi="Times New Roman" w:eastAsia="方正仿宋_GBK" w:cs="仿宋_GB2312"/>
          <w:color w:val="000000"/>
          <w:sz w:val="33"/>
          <w:szCs w:val="32"/>
        </w:rPr>
        <w:t>其中：</w:t>
      </w:r>
      <w:r>
        <w:rPr>
          <w:rFonts w:hint="eastAsia" w:ascii="Times New Roman" w:hAnsi="Times New Roman" w:eastAsia="方正仿宋_GBK" w:cs="仿宋_GB2312"/>
          <w:b/>
          <w:bCs/>
          <w:color w:val="000000"/>
          <w:sz w:val="33"/>
          <w:szCs w:val="32"/>
        </w:rPr>
        <w:t>公务用车购置支出</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万元。全年按规定更新购置公务用车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辆，金额</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元。截至</w:t>
      </w:r>
      <w:r>
        <w:rPr>
          <w:rFonts w:hint="eastAsia" w:ascii="Times New Roman" w:hAnsi="Times New Roman" w:eastAsia="方正仿宋_GBK" w:cs="仿宋_GB2312"/>
          <w:color w:val="000000"/>
          <w:sz w:val="33"/>
          <w:szCs w:val="32"/>
          <w:lang w:eastAsia="zh-CN"/>
        </w:rPr>
        <w:t>202</w:t>
      </w:r>
      <w:r>
        <w:rPr>
          <w:rFonts w:hint="eastAsia" w:ascii="Times New Roman" w:hAnsi="Times New Roman" w:eastAsia="方正仿宋_GBK" w:cs="仿宋_GB2312"/>
          <w:color w:val="000000"/>
          <w:sz w:val="33"/>
          <w:szCs w:val="32"/>
          <w:lang w:val="en-US" w:eastAsia="zh-CN"/>
        </w:rPr>
        <w:t>2</w:t>
      </w:r>
      <w:r>
        <w:rPr>
          <w:rFonts w:hint="eastAsia" w:ascii="Times New Roman" w:hAnsi="Times New Roman" w:eastAsia="方正仿宋_GBK" w:cs="仿宋_GB2312"/>
          <w:color w:val="000000"/>
          <w:sz w:val="33"/>
          <w:szCs w:val="32"/>
        </w:rPr>
        <w:t>年</w:t>
      </w:r>
      <w:r>
        <w:rPr>
          <w:rFonts w:ascii="Times New Roman" w:hAnsi="Times New Roman" w:eastAsia="方正仿宋_GBK" w:cs="仿宋_GB2312"/>
          <w:color w:val="000000"/>
          <w:sz w:val="33"/>
          <w:szCs w:val="32"/>
        </w:rPr>
        <w:t>12</w:t>
      </w:r>
      <w:r>
        <w:rPr>
          <w:rFonts w:hint="eastAsia" w:ascii="Times New Roman" w:hAnsi="Times New Roman" w:eastAsia="方正仿宋_GBK" w:cs="仿宋_GB2312"/>
          <w:color w:val="000000"/>
          <w:sz w:val="33"/>
          <w:szCs w:val="32"/>
        </w:rPr>
        <w:t>月底，单位共有公务用车</w:t>
      </w:r>
      <w:r>
        <w:rPr>
          <w:rFonts w:hint="eastAsia" w:ascii="Times New Roman" w:hAnsi="Times New Roman" w:eastAsia="方正仿宋_GBK" w:cs="仿宋_GB2312"/>
          <w:color w:val="000000"/>
          <w:sz w:val="33"/>
          <w:szCs w:val="32"/>
          <w:lang w:val="en-US" w:eastAsia="zh-CN"/>
        </w:rPr>
        <w:t>1</w:t>
      </w:r>
      <w:r>
        <w:rPr>
          <w:rFonts w:hint="eastAsia" w:ascii="Times New Roman" w:hAnsi="Times New Roman" w:eastAsia="方正仿宋_GBK" w:cs="仿宋_GB2312"/>
          <w:color w:val="000000"/>
          <w:sz w:val="33"/>
          <w:szCs w:val="32"/>
        </w:rPr>
        <w:t>辆，其中：主要领导干部用车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辆、机要通信用车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辆、应急保障用车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w:t>
      </w:r>
      <w:r>
        <w:rPr>
          <w:rFonts w:ascii="Times New Roman" w:hAnsi="Times New Roman" w:eastAsia="方正仿宋_GBK" w:cs="仿宋_GB2312"/>
          <w:color w:val="000000"/>
          <w:sz w:val="33"/>
          <w:szCs w:val="32"/>
        </w:rPr>
        <w:t xml:space="preserve"> </w:t>
      </w:r>
      <w:r>
        <w:rPr>
          <w:rFonts w:hint="eastAsia" w:ascii="Times New Roman" w:hAnsi="Times New Roman" w:eastAsia="方正仿宋_GBK" w:cs="仿宋_GB2312"/>
          <w:color w:val="000000"/>
          <w:sz w:val="33"/>
          <w:szCs w:val="32"/>
        </w:rPr>
        <w:t>执法执勤用车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w:t>
      </w:r>
      <w:r>
        <w:rPr>
          <w:rFonts w:hint="eastAsia" w:ascii="Times New Roman" w:hAnsi="Times New Roman" w:eastAsia="方正仿宋_GBK" w:cs="仿宋_GB2312"/>
          <w:color w:val="000000"/>
          <w:sz w:val="33"/>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9"/>
        <w:rPr>
          <w:rFonts w:ascii="Times New Roman" w:hAnsi="Times New Roman" w:eastAsia="方正仿宋_GBK"/>
          <w:color w:val="000000"/>
          <w:sz w:val="33"/>
          <w:szCs w:val="32"/>
        </w:rPr>
      </w:pPr>
      <w:r>
        <w:rPr>
          <w:rFonts w:hint="eastAsia" w:ascii="Times New Roman" w:hAnsi="Times New Roman" w:eastAsia="方正仿宋_GBK" w:cs="仿宋_GB2312"/>
          <w:b/>
          <w:bCs/>
          <w:color w:val="000000"/>
          <w:sz w:val="33"/>
          <w:szCs w:val="32"/>
        </w:rPr>
        <w:t>公务用车运行维护费支出</w:t>
      </w:r>
      <w:r>
        <w:rPr>
          <w:rFonts w:hint="eastAsia" w:ascii="Times New Roman" w:hAnsi="Times New Roman" w:eastAsia="方正仿宋_GBK" w:cs="仿宋_GB2312"/>
          <w:color w:val="000000"/>
          <w:sz w:val="33"/>
          <w:szCs w:val="32"/>
          <w:lang w:val="en-US" w:eastAsia="zh-CN"/>
        </w:rPr>
        <w:t>1.66</w:t>
      </w:r>
      <w:r>
        <w:rPr>
          <w:rFonts w:hint="eastAsia" w:ascii="Times New Roman" w:hAnsi="Times New Roman" w:eastAsia="方正仿宋_GBK" w:cs="仿宋_GB2312"/>
          <w:color w:val="000000"/>
          <w:sz w:val="33"/>
          <w:szCs w:val="32"/>
        </w:rPr>
        <w:t>万元。主要用于</w:t>
      </w:r>
      <w:r>
        <w:rPr>
          <w:rFonts w:hint="eastAsia" w:ascii="Times New Roman" w:hAnsi="Times New Roman" w:eastAsia="方正仿宋_GBK" w:cs="仿宋_GB2312"/>
          <w:color w:val="000000"/>
          <w:sz w:val="33"/>
          <w:szCs w:val="32"/>
          <w:lang w:eastAsia="zh-CN"/>
        </w:rPr>
        <w:t>出差下乡检查工作</w:t>
      </w:r>
      <w:r>
        <w:rPr>
          <w:rFonts w:hint="eastAsia" w:ascii="Times New Roman" w:hAnsi="Times New Roman" w:eastAsia="方正仿宋_GBK" w:cs="仿宋_GB2312"/>
          <w:color w:val="000000"/>
          <w:sz w:val="33"/>
          <w:szCs w:val="32"/>
        </w:rPr>
        <w:t>所需的公务用车燃料费、维修费、过路过桥费、保险费等支出。</w:t>
      </w:r>
      <w:r>
        <w:rPr>
          <w:rFonts w:hint="eastAsia" w:ascii="Times New Roman" w:hAnsi="Times New Roman" w:eastAsia="方正仿宋_GBK" w:cs="仿宋_GB2312"/>
          <w:color w:val="000000"/>
          <w:sz w:val="33"/>
          <w:szCs w:val="32"/>
          <w:lang w:eastAsia="zh-CN"/>
        </w:rPr>
        <w:t>公务用车运行维护费</w:t>
      </w:r>
      <w:r>
        <w:rPr>
          <w:rFonts w:hint="eastAsia" w:ascii="Times New Roman" w:hAnsi="Times New Roman" w:eastAsia="方正仿宋_GBK" w:cs="仿宋_GB2312"/>
          <w:color w:val="000000"/>
          <w:sz w:val="33"/>
          <w:szCs w:val="32"/>
        </w:rPr>
        <w:t>支出决算比</w:t>
      </w:r>
      <w:r>
        <w:rPr>
          <w:rFonts w:hint="eastAsia" w:ascii="Times New Roman" w:hAnsi="Times New Roman" w:eastAsia="方正仿宋_GBK" w:cs="仿宋_GB2312"/>
          <w:color w:val="000000"/>
          <w:sz w:val="33"/>
          <w:szCs w:val="32"/>
          <w:lang w:val="en-US" w:eastAsia="zh-CN"/>
        </w:rPr>
        <w:t>202</w:t>
      </w:r>
      <w:r>
        <w:rPr>
          <w:rFonts w:hint="eastAsia" w:eastAsia="方正仿宋_GBK" w:cs="仿宋_GB2312"/>
          <w:color w:val="000000"/>
          <w:sz w:val="33"/>
          <w:szCs w:val="32"/>
          <w:lang w:val="en-US" w:eastAsia="zh-CN"/>
        </w:rPr>
        <w:t>1</w:t>
      </w:r>
      <w:r>
        <w:rPr>
          <w:rFonts w:hint="eastAsia" w:ascii="Times New Roman" w:hAnsi="Times New Roman" w:eastAsia="方正仿宋_GBK" w:cs="仿宋_GB2312"/>
          <w:color w:val="000000"/>
          <w:sz w:val="33"/>
          <w:szCs w:val="32"/>
        </w:rPr>
        <w:t>年</w:t>
      </w:r>
      <w:r>
        <w:rPr>
          <w:rFonts w:hint="eastAsia" w:ascii="Times New Roman" w:hAnsi="Times New Roman" w:eastAsia="方正仿宋_GBK" w:cs="仿宋_GB2312"/>
          <w:color w:val="000000"/>
          <w:sz w:val="33"/>
          <w:szCs w:val="32"/>
          <w:lang w:eastAsia="zh-CN"/>
        </w:rPr>
        <w:t>增加</w:t>
      </w:r>
      <w:r>
        <w:rPr>
          <w:rFonts w:hint="eastAsia" w:ascii="Times New Roman" w:hAnsi="Times New Roman" w:eastAsia="方正仿宋_GBK" w:cs="仿宋_GB2312"/>
          <w:color w:val="000000"/>
          <w:sz w:val="33"/>
          <w:szCs w:val="32"/>
          <w:lang w:val="en-US" w:eastAsia="zh-CN"/>
        </w:rPr>
        <w:t>5.86万元，增长305.21%</w:t>
      </w:r>
      <w:r>
        <w:rPr>
          <w:rFonts w:hint="eastAsia" w:ascii="Times New Roman" w:hAnsi="Times New Roman" w:eastAsia="方正仿宋_GBK" w:cs="仿宋_GB2312"/>
          <w:color w:val="000000"/>
          <w:sz w:val="33"/>
          <w:szCs w:val="32"/>
        </w:rPr>
        <w:t>。</w:t>
      </w:r>
      <w:r>
        <w:rPr>
          <w:rFonts w:hint="eastAsia" w:ascii="Times New Roman" w:hAnsi="Times New Roman" w:eastAsia="方正仿宋_GBK" w:cs="仿宋"/>
          <w:color w:val="000000"/>
          <w:sz w:val="33"/>
          <w:szCs w:val="32"/>
        </w:rPr>
        <w:t>主要变动原因是</w:t>
      </w:r>
      <w:r>
        <w:rPr>
          <w:rFonts w:hint="eastAsia" w:ascii="Times New Roman" w:hAnsi="Times New Roman" w:eastAsia="方正仿宋_GBK" w:cs="仿宋"/>
          <w:color w:val="000000"/>
          <w:sz w:val="33"/>
          <w:szCs w:val="32"/>
          <w:lang w:eastAsia="zh-CN"/>
        </w:rPr>
        <w:t>单位干部考察业务增加，下乡出差等事项相应增多</w:t>
      </w:r>
      <w:r>
        <w:rPr>
          <w:rFonts w:hint="eastAsia" w:ascii="Times New Roman" w:hAnsi="Times New Roman" w:eastAsia="方正仿宋_GBK" w:cs="仿宋"/>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9"/>
        <w:rPr>
          <w:rFonts w:ascii="Times New Roman" w:hAnsi="Times New Roman" w:eastAsia="方正仿宋_GBK"/>
          <w:color w:val="000000"/>
          <w:sz w:val="33"/>
          <w:szCs w:val="32"/>
        </w:rPr>
      </w:pPr>
      <w:r>
        <w:rPr>
          <w:rFonts w:ascii="Times New Roman" w:hAnsi="Times New Roman" w:eastAsia="方正仿宋_GBK" w:cs="仿宋_GB2312"/>
          <w:b/>
          <w:bCs/>
          <w:color w:val="000000"/>
          <w:sz w:val="33"/>
          <w:szCs w:val="32"/>
        </w:rPr>
        <w:t>3.</w:t>
      </w:r>
      <w:r>
        <w:rPr>
          <w:rFonts w:hint="eastAsia" w:ascii="Times New Roman" w:hAnsi="Times New Roman" w:eastAsia="方正仿宋_GBK" w:cs="仿宋_GB2312"/>
          <w:b/>
          <w:bCs/>
          <w:color w:val="000000"/>
          <w:sz w:val="33"/>
          <w:szCs w:val="32"/>
        </w:rPr>
        <w:t>公务接待费支出</w:t>
      </w:r>
      <w:r>
        <w:rPr>
          <w:rFonts w:hint="eastAsia" w:ascii="Times New Roman" w:hAnsi="Times New Roman" w:eastAsia="方正仿宋_GBK" w:cs="仿宋_GB2312"/>
          <w:color w:val="000000"/>
          <w:sz w:val="33"/>
          <w:szCs w:val="32"/>
          <w:lang w:val="en-US" w:eastAsia="zh-CN"/>
        </w:rPr>
        <w:t>0.45</w:t>
      </w:r>
      <w:r>
        <w:rPr>
          <w:rFonts w:hint="eastAsia" w:ascii="Times New Roman" w:hAnsi="Times New Roman" w:eastAsia="方正仿宋_GBK" w:cs="仿宋_GB2312"/>
          <w:color w:val="000000"/>
          <w:sz w:val="33"/>
          <w:szCs w:val="32"/>
        </w:rPr>
        <w:t>万元，</w:t>
      </w:r>
      <w:r>
        <w:rPr>
          <w:rStyle w:val="18"/>
          <w:rFonts w:hint="eastAsia" w:ascii="Times New Roman" w:hAnsi="Times New Roman" w:eastAsia="方正仿宋_GBK" w:cs="仿宋"/>
          <w:b w:val="0"/>
          <w:bCs w:val="0"/>
          <w:color w:val="000000"/>
          <w:sz w:val="33"/>
          <w:szCs w:val="32"/>
        </w:rPr>
        <w:t>完成预算</w:t>
      </w:r>
      <w:r>
        <w:rPr>
          <w:rStyle w:val="18"/>
          <w:rFonts w:ascii="Times New Roman" w:hAnsi="Times New Roman" w:eastAsia="方正仿宋_GBK" w:cs="仿宋"/>
          <w:b w:val="0"/>
          <w:bCs w:val="0"/>
          <w:color w:val="000000"/>
          <w:sz w:val="33"/>
          <w:szCs w:val="32"/>
        </w:rPr>
        <w:t>100%</w:t>
      </w:r>
      <w:r>
        <w:rPr>
          <w:rStyle w:val="18"/>
          <w:rFonts w:hint="eastAsia" w:ascii="Times New Roman" w:hAnsi="Times New Roman" w:eastAsia="方正仿宋_GBK" w:cs="仿宋"/>
          <w:b w:val="0"/>
          <w:bCs w:val="0"/>
          <w:color w:val="000000"/>
          <w:sz w:val="33"/>
          <w:szCs w:val="32"/>
        </w:rPr>
        <w:t>。</w:t>
      </w:r>
      <w:r>
        <w:rPr>
          <w:rFonts w:hint="eastAsia" w:ascii="Times New Roman" w:hAnsi="Times New Roman" w:eastAsia="方正仿宋_GBK"/>
          <w:color w:val="000000"/>
          <w:sz w:val="33"/>
          <w:lang w:val="zh-CN"/>
        </w:rPr>
        <w:t>公务接待费支出决算比2021年减少0.13万元，下降22.4%。</w:t>
      </w:r>
      <w:r>
        <w:rPr>
          <w:rFonts w:hint="eastAsia" w:ascii="Times New Roman" w:hAnsi="Times New Roman" w:eastAsia="方正仿宋_GBK" w:cs="仿宋_GB2312"/>
          <w:color w:val="000000"/>
          <w:sz w:val="33"/>
          <w:szCs w:val="32"/>
        </w:rPr>
        <w:t>主要</w:t>
      </w:r>
      <w:r>
        <w:rPr>
          <w:rFonts w:hint="eastAsia" w:ascii="Times New Roman" w:hAnsi="Times New Roman" w:eastAsia="方正仿宋_GBK" w:cs="仿宋_GB2312"/>
          <w:color w:val="000000"/>
          <w:sz w:val="33"/>
          <w:szCs w:val="32"/>
          <w:lang w:eastAsia="zh-CN"/>
        </w:rPr>
        <w:t>厉行节约、减少经费支出</w:t>
      </w:r>
      <w:r>
        <w:rPr>
          <w:rFonts w:hint="eastAsia" w:ascii="Times New Roman" w:hAnsi="Times New Roman" w:eastAsia="方正仿宋_GBK" w:cs="仿宋_GB2312"/>
          <w:color w:val="000000"/>
          <w:sz w:val="33"/>
          <w:szCs w:val="32"/>
        </w:rPr>
        <w:t>。其中：</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9"/>
        <w:rPr>
          <w:rFonts w:hint="eastAsia" w:ascii="Times New Roman" w:hAnsi="Times New Roman" w:eastAsia="方正仿宋_GBK" w:cs="仿宋_GB2312"/>
          <w:color w:val="000000"/>
          <w:sz w:val="33"/>
          <w:szCs w:val="32"/>
          <w:lang w:eastAsia="zh-CN"/>
        </w:rPr>
      </w:pPr>
      <w:r>
        <w:rPr>
          <w:rFonts w:hint="eastAsia" w:ascii="Times New Roman" w:hAnsi="Times New Roman" w:eastAsia="方正仿宋_GBK" w:cs="仿宋"/>
          <w:b/>
          <w:bCs/>
          <w:color w:val="000000"/>
          <w:sz w:val="33"/>
          <w:szCs w:val="32"/>
        </w:rPr>
        <w:t>国内公务接待支出</w:t>
      </w:r>
      <w:r>
        <w:rPr>
          <w:rFonts w:hint="eastAsia" w:ascii="Times New Roman" w:hAnsi="Times New Roman" w:eastAsia="方正仿宋_GBK" w:cs="仿宋"/>
          <w:color w:val="000000"/>
          <w:sz w:val="33"/>
          <w:szCs w:val="32"/>
          <w:lang w:val="en-US" w:eastAsia="zh-CN"/>
        </w:rPr>
        <w:t>0.45</w:t>
      </w:r>
      <w:r>
        <w:rPr>
          <w:rFonts w:hint="eastAsia" w:ascii="Times New Roman" w:hAnsi="Times New Roman" w:eastAsia="方正仿宋_GBK" w:cs="仿宋_GB2312"/>
          <w:color w:val="000000"/>
          <w:sz w:val="33"/>
          <w:szCs w:val="32"/>
        </w:rPr>
        <w:t>万元，主要用于执行公务、开展业务活动开支的住宿费、用餐费等。国内公务接待</w:t>
      </w:r>
      <w:r>
        <w:rPr>
          <w:rFonts w:hint="eastAsia" w:ascii="Times New Roman" w:hAnsi="Times New Roman" w:eastAsia="方正仿宋_GBK" w:cs="仿宋_GB2312"/>
          <w:color w:val="000000"/>
          <w:sz w:val="33"/>
          <w:szCs w:val="32"/>
          <w:lang w:val="en-US" w:eastAsia="zh-CN"/>
        </w:rPr>
        <w:t>5</w:t>
      </w:r>
      <w:r>
        <w:rPr>
          <w:rFonts w:hint="eastAsia" w:ascii="Times New Roman" w:hAnsi="Times New Roman" w:eastAsia="方正仿宋_GBK" w:cs="仿宋_GB2312"/>
          <w:color w:val="000000"/>
          <w:sz w:val="33"/>
          <w:szCs w:val="32"/>
        </w:rPr>
        <w:t>批次，</w:t>
      </w:r>
      <w:r>
        <w:rPr>
          <w:rFonts w:hint="eastAsia" w:ascii="Times New Roman" w:hAnsi="Times New Roman" w:eastAsia="方正仿宋_GBK" w:cs="仿宋_GB2312"/>
          <w:color w:val="000000"/>
          <w:sz w:val="33"/>
          <w:szCs w:val="32"/>
          <w:lang w:val="en-US" w:eastAsia="zh-CN"/>
        </w:rPr>
        <w:t>60</w:t>
      </w:r>
      <w:r>
        <w:rPr>
          <w:rFonts w:hint="eastAsia" w:ascii="Times New Roman" w:hAnsi="Times New Roman" w:eastAsia="方正仿宋_GBK" w:cs="仿宋_GB2312"/>
          <w:color w:val="000000"/>
          <w:sz w:val="33"/>
          <w:szCs w:val="32"/>
        </w:rPr>
        <w:t>人次（不包括陪同人员），共计支出</w:t>
      </w:r>
      <w:r>
        <w:rPr>
          <w:rFonts w:hint="eastAsia" w:ascii="Times New Roman" w:hAnsi="Times New Roman" w:eastAsia="方正仿宋_GBK" w:cs="仿宋_GB2312"/>
          <w:color w:val="000000"/>
          <w:sz w:val="33"/>
          <w:szCs w:val="32"/>
          <w:lang w:val="en-US" w:eastAsia="zh-CN"/>
        </w:rPr>
        <w:t>0.45</w:t>
      </w:r>
      <w:r>
        <w:rPr>
          <w:rFonts w:hint="eastAsia" w:ascii="Times New Roman" w:hAnsi="Times New Roman" w:eastAsia="方正仿宋_GBK" w:cs="仿宋_GB2312"/>
          <w:color w:val="000000"/>
          <w:sz w:val="33"/>
          <w:szCs w:val="32"/>
        </w:rPr>
        <w:t>万元</w:t>
      </w:r>
      <w:r>
        <w:rPr>
          <w:rFonts w:hint="eastAsia" w:ascii="Times New Roman" w:hAnsi="Times New Roman" w:eastAsia="方正仿宋_GBK" w:cs="仿宋_GB2312"/>
          <w:color w:val="000000"/>
          <w:sz w:val="33"/>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9"/>
        <w:rPr>
          <w:rFonts w:ascii="Times New Roman" w:hAnsi="Times New Roman" w:eastAsia="方正仿宋_GBK"/>
          <w:sz w:val="33"/>
          <w:szCs w:val="32"/>
        </w:rPr>
      </w:pPr>
      <w:r>
        <w:rPr>
          <w:rFonts w:hint="eastAsia" w:ascii="Times New Roman" w:hAnsi="Times New Roman" w:eastAsia="方正仿宋_GBK" w:cs="仿宋"/>
          <w:b/>
          <w:bCs/>
          <w:color w:val="000000"/>
          <w:sz w:val="33"/>
          <w:szCs w:val="32"/>
        </w:rPr>
        <w:t>外事接待支出</w:t>
      </w:r>
      <w:r>
        <w:rPr>
          <w:rFonts w:ascii="Times New Roman" w:hAnsi="Times New Roman" w:eastAsia="方正仿宋_GBK" w:cs="仿宋"/>
          <w:color w:val="000000"/>
          <w:sz w:val="33"/>
          <w:szCs w:val="32"/>
        </w:rPr>
        <w:t>0</w:t>
      </w:r>
      <w:r>
        <w:rPr>
          <w:rFonts w:hint="eastAsia" w:ascii="Times New Roman" w:hAnsi="Times New Roman" w:eastAsia="方正仿宋_GBK" w:cs="仿宋_GB2312"/>
          <w:color w:val="000000"/>
          <w:sz w:val="33"/>
          <w:szCs w:val="32"/>
        </w:rPr>
        <w:t>万元，外事接待</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批次，</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人，共计支出</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万元</w:t>
      </w:r>
      <w:r>
        <w:rPr>
          <w:rFonts w:hint="eastAsia" w:ascii="Times New Roman" w:hAnsi="Times New Roman" w:eastAsia="方正仿宋_GBK" w:cs="仿宋_GB2312"/>
          <w:color w:val="000000"/>
          <w:sz w:val="33"/>
          <w:szCs w:val="32"/>
          <w:lang w:eastAsia="zh-CN"/>
        </w:rPr>
        <w:t>。</w:t>
      </w:r>
    </w:p>
    <w:p>
      <w:pPr>
        <w:keepNext w:val="0"/>
        <w:keepLines w:val="0"/>
        <w:pageBreakBefore w:val="0"/>
        <w:kinsoku/>
        <w:wordWrap/>
        <w:overflowPunct/>
        <w:topLinePunct w:val="0"/>
        <w:bidi w:val="0"/>
        <w:spacing w:line="240" w:lineRule="auto"/>
        <w:ind w:firstLine="640" w:firstLineChars="200"/>
        <w:jc w:val="both"/>
        <w:textAlignment w:val="auto"/>
        <w:outlineLvl w:val="1"/>
        <w:rPr>
          <w:rStyle w:val="30"/>
          <w:rFonts w:ascii="黑体" w:hAnsi="黑体" w:eastAsia="黑体"/>
        </w:rPr>
      </w:pPr>
      <w:bookmarkStart w:id="56" w:name="_Toc19894"/>
      <w:r>
        <w:rPr>
          <w:rFonts w:hint="eastAsia" w:ascii="黑体" w:eastAsia="黑体"/>
          <w:sz w:val="32"/>
          <w:szCs w:val="32"/>
        </w:rPr>
        <w:t>八、</w:t>
      </w:r>
      <w:r>
        <w:rPr>
          <w:rStyle w:val="30"/>
          <w:rFonts w:hint="eastAsia" w:ascii="黑体" w:hAnsi="黑体" w:eastAsia="黑体"/>
          <w:b w:val="0"/>
        </w:rPr>
        <w:t>政府性基金预算支出决算情况说明</w:t>
      </w:r>
      <w:bookmarkEnd w:id="54"/>
      <w:bookmarkEnd w:id="55"/>
      <w:bookmarkEnd w:id="56"/>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22年政府性基金预算财政拨款支出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w:t>
      </w:r>
    </w:p>
    <w:p>
      <w:pPr>
        <w:keepNext w:val="0"/>
        <w:keepLines w:val="0"/>
        <w:pageBreakBefore w:val="0"/>
        <w:numPr>
          <w:ilvl w:val="0"/>
          <w:numId w:val="3"/>
        </w:numPr>
        <w:kinsoku/>
        <w:wordWrap/>
        <w:overflowPunct/>
        <w:topLinePunct w:val="0"/>
        <w:bidi w:val="0"/>
        <w:spacing w:line="240" w:lineRule="auto"/>
        <w:ind w:firstLine="640" w:firstLineChars="200"/>
        <w:jc w:val="both"/>
        <w:textAlignment w:val="auto"/>
        <w:outlineLvl w:val="1"/>
        <w:rPr>
          <w:rStyle w:val="30"/>
          <w:rFonts w:ascii="黑体" w:hAnsi="黑体" w:eastAsia="黑体"/>
          <w:b w:val="0"/>
        </w:rPr>
      </w:pPr>
      <w:bookmarkStart w:id="57" w:name="_Toc26094"/>
      <w:bookmarkStart w:id="58" w:name="_Toc15396611"/>
      <w:bookmarkStart w:id="59" w:name="_Toc15377219"/>
      <w:r>
        <w:rPr>
          <w:rStyle w:val="30"/>
          <w:rFonts w:hint="eastAsia" w:ascii="黑体" w:hAnsi="黑体" w:eastAsia="黑体"/>
          <w:b w:val="0"/>
        </w:rPr>
        <w:t>国有资本经营预算支出决算情况说明</w:t>
      </w:r>
      <w:bookmarkEnd w:id="57"/>
      <w:bookmarkEnd w:id="58"/>
      <w:bookmarkEnd w:id="59"/>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cs="方正小标宋简体"/>
          <w:sz w:val="33"/>
          <w:szCs w:val="44"/>
        </w:rPr>
      </w:pPr>
      <w:r>
        <w:rPr>
          <w:rFonts w:ascii="Times New Roman" w:hAnsi="Times New Roman" w:eastAsia="方正仿宋_GBK"/>
          <w:sz w:val="33"/>
          <w:szCs w:val="32"/>
        </w:rPr>
        <w:t>20</w:t>
      </w:r>
      <w:r>
        <w:rPr>
          <w:rFonts w:hint="eastAsia" w:ascii="Times New Roman" w:hAnsi="Times New Roman" w:eastAsia="方正仿宋_GBK"/>
          <w:sz w:val="33"/>
          <w:szCs w:val="32"/>
        </w:rPr>
        <w:t>22年国有资本经营预算财政拨款支出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w:t>
      </w:r>
    </w:p>
    <w:p>
      <w:pPr>
        <w:keepNext w:val="0"/>
        <w:keepLines w:val="0"/>
        <w:pageBreakBefore w:val="0"/>
        <w:numPr>
          <w:ilvl w:val="0"/>
          <w:numId w:val="3"/>
        </w:numPr>
        <w:kinsoku/>
        <w:wordWrap/>
        <w:overflowPunct/>
        <w:topLinePunct w:val="0"/>
        <w:bidi w:val="0"/>
        <w:spacing w:line="240" w:lineRule="auto"/>
        <w:ind w:firstLine="640" w:firstLineChars="200"/>
        <w:jc w:val="both"/>
        <w:textAlignment w:val="auto"/>
        <w:outlineLvl w:val="1"/>
        <w:rPr>
          <w:rStyle w:val="30"/>
          <w:rFonts w:ascii="黑体" w:hAnsi="黑体" w:eastAsia="黑体"/>
          <w:b w:val="0"/>
        </w:rPr>
      </w:pPr>
      <w:bookmarkStart w:id="60" w:name="_Toc16999"/>
      <w:bookmarkStart w:id="61" w:name="_Toc15396612"/>
      <w:bookmarkStart w:id="62" w:name="_Toc15377221"/>
      <w:r>
        <w:rPr>
          <w:rStyle w:val="30"/>
          <w:rFonts w:hint="eastAsia" w:ascii="黑体" w:hAnsi="黑体" w:eastAsia="黑体"/>
          <w:b w:val="0"/>
        </w:rPr>
        <w:t>其他重要事项的情况说明</w:t>
      </w:r>
      <w:bookmarkEnd w:id="60"/>
      <w:bookmarkEnd w:id="61"/>
      <w:bookmarkEnd w:id="62"/>
    </w:p>
    <w:p>
      <w:pPr>
        <w:keepNext w:val="0"/>
        <w:keepLines w:val="0"/>
        <w:pageBreakBefore w:val="0"/>
        <w:kinsoku/>
        <w:wordWrap/>
        <w:overflowPunct/>
        <w:topLinePunct w:val="0"/>
        <w:bidi w:val="0"/>
        <w:snapToGrid/>
        <w:spacing w:line="240" w:lineRule="auto"/>
        <w:ind w:firstLine="663" w:firstLineChars="200"/>
        <w:jc w:val="both"/>
        <w:textAlignment w:val="auto"/>
        <w:outlineLvl w:val="2"/>
        <w:rPr>
          <w:rFonts w:ascii="Times New Roman" w:hAnsi="Times New Roman" w:eastAsia="方正仿宋_GBK"/>
          <w:sz w:val="33"/>
          <w:szCs w:val="32"/>
        </w:rPr>
      </w:pPr>
      <w:bookmarkStart w:id="63" w:name="_Toc15377222"/>
      <w:r>
        <w:rPr>
          <w:rFonts w:hint="eastAsia" w:ascii="Times New Roman" w:hAnsi="Times New Roman" w:eastAsia="方正仿宋_GBK"/>
          <w:b/>
          <w:sz w:val="33"/>
          <w:szCs w:val="32"/>
        </w:rPr>
        <w:t>（一）机关运行经费支出情况</w:t>
      </w:r>
      <w:bookmarkEnd w:id="63"/>
    </w:p>
    <w:p>
      <w:pPr>
        <w:keepNext w:val="0"/>
        <w:keepLines w:val="0"/>
        <w:pageBreakBefore w:val="0"/>
        <w:kinsoku/>
        <w:wordWrap/>
        <w:overflowPunct/>
        <w:topLinePunct w:val="0"/>
        <w:bidi w:val="0"/>
        <w:snapToGrid/>
        <w:spacing w:beforeLines="0" w:afterLines="0" w:line="240" w:lineRule="auto"/>
        <w:ind w:firstLine="660" w:firstLineChars="200"/>
        <w:jc w:val="both"/>
        <w:textAlignment w:val="auto"/>
        <w:outlineLvl w:val="9"/>
        <w:rPr>
          <w:rFonts w:hint="eastAsia" w:ascii="Times New Roman" w:hAnsi="Times New Roman" w:eastAsia="方正仿宋_GBK"/>
          <w:color w:val="000000"/>
          <w:sz w:val="33"/>
          <w:lang w:val="zh-CN"/>
        </w:rPr>
      </w:pPr>
      <w:r>
        <w:rPr>
          <w:rFonts w:hint="eastAsia" w:ascii="Times New Roman" w:hAnsi="Times New Roman" w:eastAsia="方正仿宋_GBK"/>
          <w:color w:val="000000"/>
          <w:sz w:val="33"/>
          <w:lang w:val="zh-CN"/>
        </w:rPr>
        <w:t>2022年，中国共产党盐边县委员会组织部机关运行经费支出62.14万元，比2021年增加2.56万元，增长4.3%。主要原因是人员增加，公用经费增多。</w:t>
      </w:r>
    </w:p>
    <w:p>
      <w:pPr>
        <w:keepNext w:val="0"/>
        <w:keepLines w:val="0"/>
        <w:pageBreakBefore w:val="0"/>
        <w:kinsoku/>
        <w:wordWrap/>
        <w:overflowPunct/>
        <w:topLinePunct w:val="0"/>
        <w:autoSpaceDE w:val="0"/>
        <w:autoSpaceDN w:val="0"/>
        <w:bidi w:val="0"/>
        <w:adjustRightInd w:val="0"/>
        <w:snapToGrid/>
        <w:spacing w:line="240" w:lineRule="auto"/>
        <w:ind w:firstLine="663" w:firstLineChars="200"/>
        <w:jc w:val="both"/>
        <w:textAlignment w:val="auto"/>
        <w:outlineLvl w:val="2"/>
        <w:rPr>
          <w:rFonts w:ascii="Times New Roman" w:hAnsi="Times New Roman" w:eastAsia="方正仿宋_GBK"/>
          <w:b/>
          <w:sz w:val="33"/>
          <w:szCs w:val="32"/>
        </w:rPr>
      </w:pPr>
      <w:bookmarkStart w:id="64" w:name="_Toc15377223"/>
      <w:r>
        <w:rPr>
          <w:rFonts w:hint="eastAsia" w:ascii="Times New Roman" w:hAnsi="Times New Roman" w:eastAsia="方正仿宋_GBK"/>
          <w:b/>
          <w:sz w:val="33"/>
          <w:szCs w:val="32"/>
        </w:rPr>
        <w:t>（二）政府采购支出情况</w:t>
      </w:r>
      <w:bookmarkEnd w:id="64"/>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22年，</w:t>
      </w:r>
      <w:r>
        <w:rPr>
          <w:rFonts w:hint="eastAsia" w:ascii="Times New Roman" w:hAnsi="Times New Roman" w:eastAsia="方正仿宋_GBK"/>
          <w:color w:val="000000"/>
          <w:sz w:val="33"/>
          <w:lang w:val="zh-CN"/>
        </w:rPr>
        <w:t>中国共产党盐边县委员会组织部</w:t>
      </w:r>
      <w:r>
        <w:rPr>
          <w:rFonts w:hint="eastAsia" w:ascii="Times New Roman" w:hAnsi="Times New Roman" w:eastAsia="方正仿宋_GBK"/>
          <w:sz w:val="33"/>
          <w:szCs w:val="32"/>
        </w:rPr>
        <w:t>政府采购支出总额</w:t>
      </w:r>
      <w:r>
        <w:rPr>
          <w:rFonts w:hint="eastAsia" w:eastAsia="方正仿宋_GBK"/>
          <w:sz w:val="33"/>
          <w:szCs w:val="32"/>
          <w:lang w:val="en-US" w:eastAsia="zh-CN"/>
        </w:rPr>
        <w:t>0</w:t>
      </w:r>
      <w:r>
        <w:rPr>
          <w:rFonts w:hint="eastAsia" w:ascii="Times New Roman" w:hAnsi="Times New Roman" w:eastAsia="方正仿宋_GBK"/>
          <w:sz w:val="33"/>
          <w:szCs w:val="32"/>
        </w:rPr>
        <w:t>万元，其中：政府采购货物支出</w:t>
      </w:r>
      <w:r>
        <w:rPr>
          <w:rFonts w:hint="eastAsia" w:eastAsia="方正仿宋_GBK"/>
          <w:sz w:val="33"/>
          <w:szCs w:val="32"/>
          <w:lang w:val="en-US" w:eastAsia="zh-CN"/>
        </w:rPr>
        <w:t>0</w:t>
      </w:r>
      <w:r>
        <w:rPr>
          <w:rFonts w:hint="eastAsia" w:ascii="Times New Roman" w:hAnsi="Times New Roman" w:eastAsia="方正仿宋_GBK"/>
          <w:sz w:val="33"/>
          <w:szCs w:val="32"/>
        </w:rPr>
        <w:t>万元、政府采购工程支出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万元、政府采购服务支出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万元。授予中小企业合同金额</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万元，占政府采购支出总额的</w:t>
      </w:r>
      <w:r>
        <w:rPr>
          <w:rFonts w:hint="eastAsia" w:ascii="Times New Roman" w:hAnsi="Times New Roman" w:eastAsia="方正仿宋_GBK"/>
          <w:sz w:val="33"/>
          <w:szCs w:val="32"/>
          <w:lang w:val="en-US" w:eastAsia="zh-CN"/>
        </w:rPr>
        <w:t>0</w:t>
      </w:r>
      <w:r>
        <w:rPr>
          <w:rFonts w:ascii="Times New Roman" w:hAnsi="Times New Roman" w:eastAsia="方正仿宋_GBK"/>
          <w:sz w:val="33"/>
          <w:szCs w:val="32"/>
        </w:rPr>
        <w:t>%</w:t>
      </w:r>
      <w:r>
        <w:rPr>
          <w:rFonts w:hint="eastAsia" w:ascii="Times New Roman" w:hAnsi="Times New Roman" w:eastAsia="方正仿宋_GBK"/>
          <w:sz w:val="33"/>
          <w:szCs w:val="32"/>
        </w:rPr>
        <w:t>，其中：授予小微企业合同金额</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万元，占政府采购支出总额的</w:t>
      </w:r>
      <w:r>
        <w:rPr>
          <w:rFonts w:hint="eastAsia" w:ascii="Times New Roman" w:hAnsi="Times New Roman" w:eastAsia="方正仿宋_GBK"/>
          <w:sz w:val="33"/>
          <w:szCs w:val="32"/>
          <w:lang w:val="en-US" w:eastAsia="zh-CN"/>
        </w:rPr>
        <w:t>0</w:t>
      </w:r>
      <w:r>
        <w:rPr>
          <w:rFonts w:ascii="Times New Roman" w:hAnsi="Times New Roman" w:eastAsia="方正仿宋_GBK"/>
          <w:sz w:val="33"/>
          <w:szCs w:val="32"/>
        </w:rPr>
        <w:t>%</w:t>
      </w:r>
      <w:r>
        <w:rPr>
          <w:rFonts w:hint="eastAsia" w:ascii="Times New Roman" w:hAnsi="Times New Roman" w:eastAsia="方正仿宋_GBK"/>
          <w:sz w:val="33"/>
          <w:szCs w:val="32"/>
        </w:rPr>
        <w:t>。</w:t>
      </w:r>
    </w:p>
    <w:p>
      <w:pPr>
        <w:keepNext w:val="0"/>
        <w:keepLines w:val="0"/>
        <w:pageBreakBefore w:val="0"/>
        <w:kinsoku/>
        <w:wordWrap/>
        <w:overflowPunct/>
        <w:topLinePunct w:val="0"/>
        <w:autoSpaceDE w:val="0"/>
        <w:autoSpaceDN w:val="0"/>
        <w:bidi w:val="0"/>
        <w:adjustRightInd w:val="0"/>
        <w:snapToGrid/>
        <w:spacing w:line="240" w:lineRule="auto"/>
        <w:ind w:firstLine="663" w:firstLineChars="200"/>
        <w:jc w:val="both"/>
        <w:textAlignment w:val="auto"/>
        <w:outlineLvl w:val="2"/>
        <w:rPr>
          <w:rFonts w:ascii="Times New Roman" w:hAnsi="Times New Roman" w:eastAsia="方正仿宋_GBK"/>
          <w:b/>
          <w:sz w:val="33"/>
          <w:szCs w:val="32"/>
        </w:rPr>
      </w:pPr>
      <w:bookmarkStart w:id="65" w:name="_Toc15377224"/>
      <w:r>
        <w:rPr>
          <w:rFonts w:hint="eastAsia" w:ascii="Times New Roman" w:hAnsi="Times New Roman" w:eastAsia="方正仿宋_GBK"/>
          <w:b/>
          <w:sz w:val="33"/>
          <w:szCs w:val="32"/>
        </w:rPr>
        <w:t>（三）国有资产占有使用情况</w:t>
      </w:r>
      <w:bookmarkEnd w:id="65"/>
    </w:p>
    <w:p>
      <w:pPr>
        <w:keepNext w:val="0"/>
        <w:keepLines w:val="0"/>
        <w:pageBreakBefore w:val="0"/>
        <w:kinsoku/>
        <w:wordWrap/>
        <w:overflowPunct/>
        <w:topLinePunct w:val="0"/>
        <w:bidi w:val="0"/>
        <w:snapToGrid/>
        <w:spacing w:beforeLines="0" w:afterLines="0" w:line="240" w:lineRule="auto"/>
        <w:ind w:firstLine="660" w:firstLineChars="200"/>
        <w:jc w:val="both"/>
        <w:textAlignment w:val="auto"/>
        <w:outlineLvl w:val="9"/>
        <w:rPr>
          <w:rFonts w:hint="eastAsia" w:ascii="Times New Roman" w:hAnsi="Times New Roman" w:eastAsia="方正仿宋_GBK"/>
          <w:color w:val="000000"/>
          <w:sz w:val="33"/>
          <w:lang w:val="zh-CN"/>
        </w:rPr>
      </w:pPr>
      <w:r>
        <w:rPr>
          <w:rFonts w:hint="eastAsia" w:ascii="Times New Roman" w:hAnsi="Times New Roman" w:eastAsia="方正仿宋_GBK"/>
          <w:color w:val="000000"/>
          <w:sz w:val="33"/>
          <w:lang w:val="zh-CN"/>
        </w:rPr>
        <w:t>截至2022年12月31日，中国共产党盐边县委员会组织部共有车辆1辆，其中：副部（省）级及以上领导用车0辆、主要领导干部用车0辆、机要通信用车0辆、应急保障用车0辆、执法执勤用车0辆、特种专业技术用车0辆、离退休干部用车0辆、其他用车1辆。其中：其他用车主要是用于</w:t>
      </w:r>
      <w:r>
        <w:rPr>
          <w:rFonts w:hint="eastAsia" w:ascii="Times New Roman" w:hAnsi="Times New Roman" w:eastAsia="方正仿宋_GBK" w:cs="仿宋"/>
          <w:color w:val="000000"/>
          <w:sz w:val="33"/>
          <w:szCs w:val="32"/>
          <w:lang w:eastAsia="zh-CN"/>
        </w:rPr>
        <w:t>单位干部考察业务增加，下乡出差等事项</w:t>
      </w:r>
      <w:r>
        <w:rPr>
          <w:rFonts w:hint="eastAsia" w:ascii="Times New Roman" w:hAnsi="Times New Roman" w:eastAsia="方正仿宋_GBK"/>
          <w:color w:val="000000"/>
          <w:sz w:val="33"/>
          <w:lang w:val="zh-CN"/>
        </w:rPr>
        <w:t>。单价100万元（含）以上设备0台（套）。</w:t>
      </w:r>
    </w:p>
    <w:p>
      <w:pPr>
        <w:keepNext w:val="0"/>
        <w:keepLines w:val="0"/>
        <w:pageBreakBefore w:val="0"/>
        <w:kinsoku/>
        <w:wordWrap/>
        <w:overflowPunct/>
        <w:topLinePunct w:val="0"/>
        <w:autoSpaceDE w:val="0"/>
        <w:autoSpaceDN w:val="0"/>
        <w:bidi w:val="0"/>
        <w:adjustRightInd w:val="0"/>
        <w:snapToGrid/>
        <w:spacing w:line="240" w:lineRule="auto"/>
        <w:ind w:firstLine="663" w:firstLineChars="200"/>
        <w:jc w:val="both"/>
        <w:textAlignment w:val="auto"/>
        <w:outlineLvl w:val="2"/>
        <w:rPr>
          <w:rFonts w:ascii="Times New Roman" w:hAnsi="Times New Roman" w:eastAsia="方正仿宋_GBK"/>
          <w:b/>
          <w:sz w:val="33"/>
          <w:szCs w:val="32"/>
        </w:rPr>
      </w:pPr>
      <w:r>
        <w:rPr>
          <w:rFonts w:hint="eastAsia" w:ascii="Times New Roman" w:hAnsi="Times New Roman" w:eastAsia="方正仿宋_GBK"/>
          <w:b/>
          <w:sz w:val="33"/>
          <w:szCs w:val="32"/>
        </w:rPr>
        <w:t>（四）预算绩效管理情况</w:t>
      </w:r>
    </w:p>
    <w:p>
      <w:pPr>
        <w:keepNext w:val="0"/>
        <w:keepLines w:val="0"/>
        <w:pageBreakBefore w:val="0"/>
        <w:widowControl/>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cs="仿宋_GB2312"/>
          <w:sz w:val="33"/>
          <w:szCs w:val="32"/>
        </w:rPr>
      </w:pPr>
      <w:r>
        <w:rPr>
          <w:rFonts w:hint="eastAsia" w:ascii="Times New Roman" w:hAnsi="Times New Roman" w:eastAsia="方正仿宋_GBK" w:cs="仿宋_GB2312"/>
          <w:sz w:val="33"/>
          <w:szCs w:val="32"/>
        </w:rPr>
        <w:t>根据预算绩效管理要求，本部门在2022年度预算编制阶段，组织对</w:t>
      </w:r>
      <w:r>
        <w:rPr>
          <w:rFonts w:hint="eastAsia" w:ascii="Times New Roman" w:hAnsi="Times New Roman" w:eastAsia="方正仿宋_GBK" w:cs="仿宋_GB2312"/>
          <w:sz w:val="33"/>
          <w:szCs w:val="32"/>
          <w:lang w:eastAsia="zh-CN"/>
        </w:rPr>
        <w:t>“县关工委专项支出”“老干部专项支出”“选调生专项支出”</w:t>
      </w:r>
      <w:r>
        <w:rPr>
          <w:rFonts w:hint="eastAsia" w:ascii="Times New Roman" w:hAnsi="Times New Roman" w:eastAsia="方正仿宋_GBK" w:cs="仿宋_GB2312"/>
          <w:sz w:val="33"/>
          <w:szCs w:val="32"/>
        </w:rPr>
        <w:t>等</w:t>
      </w:r>
      <w:r>
        <w:rPr>
          <w:rFonts w:hint="eastAsia" w:ascii="Times New Roman" w:hAnsi="Times New Roman" w:eastAsia="方正仿宋_GBK" w:cs="仿宋_GB2312"/>
          <w:sz w:val="33"/>
          <w:szCs w:val="32"/>
          <w:lang w:val="en-US" w:eastAsia="zh-CN"/>
        </w:rPr>
        <w:t>3</w:t>
      </w:r>
      <w:r>
        <w:rPr>
          <w:rFonts w:hint="eastAsia" w:ascii="Times New Roman" w:hAnsi="Times New Roman" w:eastAsia="方正仿宋_GBK" w:cs="仿宋_GB2312"/>
          <w:sz w:val="33"/>
          <w:szCs w:val="32"/>
        </w:rPr>
        <w:t>个项目开展了预算事前绩效评估，对</w:t>
      </w:r>
      <w:r>
        <w:rPr>
          <w:rFonts w:hint="eastAsia" w:ascii="Times New Roman" w:hAnsi="Times New Roman" w:eastAsia="方正仿宋_GBK" w:cs="仿宋_GB2312"/>
          <w:sz w:val="33"/>
          <w:szCs w:val="32"/>
          <w:lang w:val="en-US" w:eastAsia="zh-CN"/>
        </w:rPr>
        <w:t>3</w:t>
      </w:r>
      <w:r>
        <w:rPr>
          <w:rFonts w:hint="eastAsia" w:ascii="Times New Roman" w:hAnsi="Times New Roman" w:eastAsia="方正仿宋_GBK" w:cs="仿宋_GB2312"/>
          <w:sz w:val="33"/>
          <w:szCs w:val="32"/>
        </w:rPr>
        <w:t>个项目编制了绩效目标，预算执行过程中，选取</w:t>
      </w:r>
      <w:r>
        <w:rPr>
          <w:rFonts w:hint="eastAsia" w:ascii="Times New Roman" w:hAnsi="Times New Roman" w:eastAsia="方正仿宋_GBK" w:cs="仿宋_GB2312"/>
          <w:sz w:val="33"/>
          <w:szCs w:val="32"/>
          <w:lang w:val="en-US" w:eastAsia="zh-CN"/>
        </w:rPr>
        <w:t>3</w:t>
      </w:r>
      <w:r>
        <w:rPr>
          <w:rFonts w:hint="eastAsia" w:ascii="Times New Roman" w:hAnsi="Times New Roman" w:eastAsia="方正仿宋_GBK" w:cs="仿宋_GB2312"/>
          <w:sz w:val="33"/>
          <w:szCs w:val="32"/>
        </w:rPr>
        <w:t>个项目开展绩效监控。</w:t>
      </w:r>
    </w:p>
    <w:p>
      <w:pPr>
        <w:keepNext w:val="0"/>
        <w:keepLines w:val="0"/>
        <w:pageBreakBefore w:val="0"/>
        <w:widowControl/>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b/>
          <w:sz w:val="33"/>
          <w:szCs w:val="32"/>
        </w:rPr>
      </w:pPr>
      <w:r>
        <w:rPr>
          <w:rFonts w:hint="eastAsia" w:ascii="Times New Roman" w:hAnsi="Times New Roman" w:eastAsia="方正仿宋_GBK" w:cs="仿宋_GB2312"/>
          <w:sz w:val="33"/>
          <w:szCs w:val="32"/>
        </w:rPr>
        <w:t>组织对2022年度部门所有预算资金全面开展绩效自评，形成</w:t>
      </w:r>
      <w:r>
        <w:rPr>
          <w:rFonts w:hint="eastAsia" w:ascii="Times New Roman" w:hAnsi="Times New Roman" w:eastAsia="方正仿宋_GBK" w:cs="仿宋_GB2312"/>
          <w:sz w:val="33"/>
          <w:szCs w:val="32"/>
          <w:lang w:eastAsia="zh-CN"/>
        </w:rPr>
        <w:t>中共盐边县委组织部</w:t>
      </w:r>
      <w:r>
        <w:rPr>
          <w:rFonts w:hint="eastAsia" w:ascii="Times New Roman" w:hAnsi="Times New Roman" w:eastAsia="方正仿宋_GBK" w:cs="仿宋_GB2312"/>
          <w:sz w:val="33"/>
          <w:szCs w:val="32"/>
        </w:rPr>
        <w:t>部门整体（含部门预算项目）绩效自评报告。</w:t>
      </w:r>
      <w:r>
        <w:rPr>
          <w:rFonts w:ascii="Times New Roman" w:hAnsi="Times New Roman" w:eastAsia="方正仿宋_GBK"/>
          <w:b/>
          <w:sz w:val="33"/>
          <w:szCs w:val="32"/>
        </w:rPr>
        <w:br w:type="page"/>
      </w:r>
    </w:p>
    <w:p>
      <w:pPr>
        <w:keepNext w:val="0"/>
        <w:keepLines w:val="0"/>
        <w:pageBreakBefore w:val="0"/>
        <w:numPr>
          <w:ilvl w:val="0"/>
          <w:numId w:val="4"/>
        </w:numPr>
        <w:kinsoku/>
        <w:wordWrap/>
        <w:overflowPunct/>
        <w:topLinePunct w:val="0"/>
        <w:bidi w:val="0"/>
        <w:spacing w:line="240" w:lineRule="auto"/>
        <w:ind w:firstLine="880" w:firstLineChars="200"/>
        <w:jc w:val="center"/>
        <w:textAlignment w:val="auto"/>
        <w:outlineLvl w:val="0"/>
        <w:rPr>
          <w:rStyle w:val="29"/>
          <w:rFonts w:ascii="黑体" w:hAnsi="黑体" w:eastAsia="黑体"/>
          <w:b w:val="0"/>
        </w:rPr>
      </w:pPr>
      <w:bookmarkStart w:id="66" w:name="_Toc7757"/>
      <w:bookmarkStart w:id="67" w:name="_Toc15396613"/>
      <w:bookmarkStart w:id="68" w:name="_Toc15377225"/>
      <w:r>
        <w:rPr>
          <w:rFonts w:hint="eastAsia" w:ascii="黑体" w:hAnsi="黑体" w:eastAsia="黑体"/>
          <w:sz w:val="44"/>
          <w:szCs w:val="44"/>
        </w:rPr>
        <w:t>名</w:t>
      </w:r>
      <w:r>
        <w:rPr>
          <w:rStyle w:val="29"/>
          <w:rFonts w:hint="eastAsia" w:ascii="黑体" w:hAnsi="黑体" w:eastAsia="黑体"/>
          <w:b w:val="0"/>
        </w:rPr>
        <w:t>词解释</w:t>
      </w:r>
      <w:bookmarkEnd w:id="66"/>
      <w:bookmarkEnd w:id="67"/>
      <w:bookmarkEnd w:id="68"/>
    </w:p>
    <w:p>
      <w:pPr>
        <w:keepNext w:val="0"/>
        <w:keepLines w:val="0"/>
        <w:pageBreakBefore w:val="0"/>
        <w:kinsoku/>
        <w:wordWrap/>
        <w:overflowPunct/>
        <w:topLinePunct w:val="0"/>
        <w:bidi w:val="0"/>
        <w:spacing w:line="240" w:lineRule="auto"/>
        <w:ind w:firstLine="883" w:firstLineChars="200"/>
        <w:jc w:val="both"/>
        <w:textAlignment w:val="auto"/>
        <w:outlineLvl w:val="9"/>
        <w:rPr>
          <w:rFonts w:ascii="宋体"/>
          <w:b/>
          <w:sz w:val="44"/>
          <w:szCs w:val="44"/>
        </w:rPr>
      </w:pPr>
    </w:p>
    <w:p>
      <w:pPr>
        <w:pStyle w:val="27"/>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cs="Times New Roman"/>
          <w:sz w:val="33"/>
          <w:szCs w:val="32"/>
        </w:rPr>
      </w:pPr>
      <w:bookmarkStart w:id="69" w:name="_Toc15377226"/>
      <w:r>
        <w:rPr>
          <w:rFonts w:ascii="Times New Roman" w:hAnsi="Times New Roman" w:eastAsia="方正仿宋_GBK" w:cs="仿宋_GB2312"/>
          <w:sz w:val="33"/>
          <w:szCs w:val="32"/>
        </w:rPr>
        <w:t>1.</w:t>
      </w:r>
      <w:r>
        <w:rPr>
          <w:rFonts w:hint="eastAsia" w:ascii="Times New Roman" w:hAnsi="Times New Roman" w:eastAsia="方正仿宋_GBK" w:cs="仿宋_GB2312"/>
          <w:sz w:val="33"/>
          <w:szCs w:val="32"/>
        </w:rPr>
        <w:t>财政拨款收入：指单位从同级财政部门取得的财政预算资金。</w:t>
      </w:r>
    </w:p>
    <w:p>
      <w:pPr>
        <w:keepNext w:val="0"/>
        <w:keepLines w:val="0"/>
        <w:pageBreakBefore w:val="0"/>
        <w:kinsoku/>
        <w:wordWrap/>
        <w:overflowPunct/>
        <w:topLinePunct w:val="0"/>
        <w:bidi w:val="0"/>
        <w:spacing w:line="240" w:lineRule="auto"/>
        <w:ind w:firstLine="660" w:firstLineChars="200"/>
        <w:jc w:val="both"/>
        <w:textAlignment w:val="auto"/>
        <w:outlineLvl w:val="9"/>
        <w:rPr>
          <w:rStyle w:val="18"/>
          <w:rFonts w:ascii="Times New Roman" w:hAnsi="Times New Roman" w:eastAsia="方正仿宋_GBK"/>
          <w:b w:val="0"/>
          <w:bCs w:val="0"/>
          <w:color w:val="000000"/>
          <w:sz w:val="33"/>
          <w:szCs w:val="32"/>
        </w:rPr>
      </w:pPr>
      <w:r>
        <w:rPr>
          <w:rStyle w:val="18"/>
          <w:rFonts w:hint="eastAsia" w:ascii="Times New Roman" w:hAnsi="Times New Roman" w:eastAsia="方正仿宋_GBK" w:cs="仿宋_GB2312"/>
          <w:b w:val="0"/>
          <w:bCs w:val="0"/>
          <w:color w:val="000000"/>
          <w:sz w:val="33"/>
          <w:szCs w:val="32"/>
          <w:lang w:val="en-US" w:eastAsia="zh-CN"/>
        </w:rPr>
        <w:t>2</w:t>
      </w:r>
      <w:r>
        <w:rPr>
          <w:rStyle w:val="18"/>
          <w:rFonts w:ascii="Times New Roman" w:hAnsi="Times New Roman" w:eastAsia="方正仿宋_GBK" w:cs="仿宋_GB2312"/>
          <w:b w:val="0"/>
          <w:bCs w:val="0"/>
          <w:color w:val="000000"/>
          <w:sz w:val="33"/>
          <w:szCs w:val="32"/>
        </w:rPr>
        <w:t>.</w:t>
      </w:r>
      <w:r>
        <w:rPr>
          <w:rStyle w:val="18"/>
          <w:rFonts w:hint="eastAsia" w:ascii="Times New Roman" w:hAnsi="Times New Roman" w:eastAsia="方正仿宋_GBK" w:cs="仿宋_GB2312"/>
          <w:b w:val="0"/>
          <w:bCs w:val="0"/>
          <w:color w:val="000000"/>
          <w:sz w:val="33"/>
          <w:szCs w:val="32"/>
        </w:rPr>
        <w:t>一般公共服务（类）组织事务（款）</w:t>
      </w:r>
    </w:p>
    <w:p>
      <w:pPr>
        <w:keepNext w:val="0"/>
        <w:keepLines w:val="0"/>
        <w:pageBreakBefore w:val="0"/>
        <w:widowControl/>
        <w:shd w:val="clear" w:color="auto" w:fill="FFFFFF"/>
        <w:kinsoku/>
        <w:wordWrap/>
        <w:overflowPunct/>
        <w:topLinePunct w:val="0"/>
        <w:bidi w:val="0"/>
        <w:spacing w:line="240" w:lineRule="auto"/>
        <w:ind w:firstLine="660" w:firstLineChars="200"/>
        <w:jc w:val="both"/>
        <w:textAlignment w:val="auto"/>
        <w:outlineLvl w:val="9"/>
        <w:rPr>
          <w:rFonts w:ascii="Times New Roman" w:hAnsi="Times New Roman" w:eastAsia="方正仿宋_GBK"/>
          <w:color w:val="333333"/>
          <w:kern w:val="0"/>
          <w:sz w:val="33"/>
          <w:szCs w:val="32"/>
        </w:rPr>
      </w:pPr>
      <w:r>
        <w:rPr>
          <w:rStyle w:val="18"/>
          <w:rFonts w:hint="eastAsia" w:ascii="Times New Roman" w:hAnsi="Times New Roman" w:eastAsia="方正仿宋_GBK" w:cs="仿宋_GB2312"/>
          <w:b w:val="0"/>
          <w:bCs w:val="0"/>
          <w:color w:val="000000"/>
          <w:sz w:val="33"/>
          <w:szCs w:val="32"/>
        </w:rPr>
        <w:t>①行政运行</w:t>
      </w:r>
      <w:r>
        <w:rPr>
          <w:rStyle w:val="18"/>
          <w:rFonts w:hint="eastAsia" w:ascii="Times New Roman" w:hAnsi="Times New Roman" w:eastAsia="方正仿宋_GBK" w:cs="仿宋_GB2312"/>
          <w:b w:val="0"/>
          <w:bCs w:val="0"/>
          <w:color w:val="000000"/>
          <w:sz w:val="33"/>
          <w:szCs w:val="32"/>
          <w:lang w:eastAsia="zh-CN"/>
        </w:rPr>
        <w:t>：</w:t>
      </w:r>
      <w:r>
        <w:rPr>
          <w:rStyle w:val="18"/>
          <w:rFonts w:ascii="Times New Roman" w:hAnsi="Times New Roman" w:eastAsia="方正仿宋_GBK" w:cs="仿宋_GB2312"/>
          <w:b w:val="0"/>
          <w:bCs w:val="0"/>
          <w:color w:val="000000"/>
          <w:sz w:val="33"/>
          <w:szCs w:val="32"/>
        </w:rPr>
        <w:t xml:space="preserve"> </w:t>
      </w:r>
      <w:r>
        <w:rPr>
          <w:rFonts w:hint="eastAsia" w:ascii="Times New Roman" w:hAnsi="Times New Roman" w:eastAsia="方正仿宋_GBK" w:cs="仿宋_GB2312"/>
          <w:color w:val="000000"/>
          <w:kern w:val="0"/>
          <w:sz w:val="33"/>
          <w:szCs w:val="32"/>
        </w:rPr>
        <w:t>指行政单位（包括实行公务员管理的事业单位）的基本支出。</w:t>
      </w:r>
    </w:p>
    <w:p>
      <w:pPr>
        <w:keepNext w:val="0"/>
        <w:keepLines w:val="0"/>
        <w:pageBreakBefore w:val="0"/>
        <w:widowControl/>
        <w:shd w:val="clear" w:color="auto" w:fill="FFFFFF"/>
        <w:kinsoku/>
        <w:wordWrap/>
        <w:overflowPunct/>
        <w:topLinePunct w:val="0"/>
        <w:bidi w:val="0"/>
        <w:spacing w:line="240" w:lineRule="auto"/>
        <w:ind w:firstLine="660" w:firstLineChars="200"/>
        <w:jc w:val="both"/>
        <w:textAlignment w:val="auto"/>
        <w:outlineLvl w:val="9"/>
        <w:rPr>
          <w:rFonts w:hint="eastAsia" w:ascii="Times New Roman" w:hAnsi="Times New Roman" w:eastAsia="方正仿宋_GBK" w:cs="仿宋_GB2312"/>
          <w:color w:val="000000"/>
          <w:kern w:val="0"/>
          <w:sz w:val="33"/>
          <w:szCs w:val="32"/>
        </w:rPr>
      </w:pPr>
      <w:r>
        <w:rPr>
          <w:rStyle w:val="18"/>
          <w:rFonts w:hint="eastAsia" w:ascii="Times New Roman" w:hAnsi="Times New Roman" w:eastAsia="方正仿宋_GBK" w:cs="仿宋_GB2312"/>
          <w:b w:val="0"/>
          <w:bCs w:val="0"/>
          <w:color w:val="000000"/>
          <w:sz w:val="33"/>
          <w:szCs w:val="32"/>
        </w:rPr>
        <w:t>②一般行政管理事务：</w:t>
      </w:r>
      <w:r>
        <w:rPr>
          <w:rFonts w:hint="eastAsia" w:ascii="Times New Roman" w:hAnsi="Times New Roman" w:eastAsia="方正仿宋_GBK" w:cs="仿宋_GB2312"/>
          <w:color w:val="000000"/>
          <w:kern w:val="0"/>
          <w:sz w:val="33"/>
          <w:szCs w:val="32"/>
        </w:rPr>
        <w:t>指行政单位（包括实行公务员管理的事业单位）未单独设置项级科目的其他项目支出。</w:t>
      </w:r>
    </w:p>
    <w:p>
      <w:pPr>
        <w:keepNext w:val="0"/>
        <w:keepLines w:val="0"/>
        <w:pageBreakBefore w:val="0"/>
        <w:kinsoku/>
        <w:wordWrap/>
        <w:overflowPunct/>
        <w:topLinePunct w:val="0"/>
        <w:bidi w:val="0"/>
        <w:spacing w:line="240" w:lineRule="auto"/>
        <w:ind w:firstLine="660" w:firstLineChars="200"/>
        <w:jc w:val="both"/>
        <w:textAlignment w:val="auto"/>
        <w:outlineLvl w:val="9"/>
        <w:rPr>
          <w:rStyle w:val="18"/>
          <w:rFonts w:hint="eastAsia" w:ascii="Times New Roman" w:hAnsi="Times New Roman" w:eastAsia="方正仿宋_GBK" w:cs="仿宋_GB2312"/>
          <w:b w:val="0"/>
          <w:bCs w:val="0"/>
          <w:color w:val="000000"/>
          <w:sz w:val="33"/>
          <w:szCs w:val="32"/>
          <w:lang w:eastAsia="zh-CN"/>
        </w:rPr>
      </w:pPr>
      <w:r>
        <w:rPr>
          <w:rStyle w:val="18"/>
          <w:rFonts w:hint="default" w:ascii="Times New Roman" w:hAnsi="Times New Roman" w:eastAsia="方正仿宋_GBK" w:cs="仿宋_GB2312"/>
          <w:b w:val="0"/>
          <w:bCs w:val="0"/>
          <w:color w:val="000000"/>
          <w:sz w:val="33"/>
          <w:szCs w:val="32"/>
          <w:lang w:eastAsia="zh-CN"/>
        </w:rPr>
        <w:t>③</w:t>
      </w:r>
      <w:r>
        <w:rPr>
          <w:rStyle w:val="18"/>
          <w:rFonts w:hint="eastAsia" w:ascii="Times New Roman" w:hAnsi="Times New Roman" w:eastAsia="方正仿宋_GBK" w:cs="仿宋_GB2312"/>
          <w:b w:val="0"/>
          <w:bCs w:val="0"/>
          <w:color w:val="000000"/>
          <w:sz w:val="33"/>
          <w:szCs w:val="32"/>
          <w:lang w:eastAsia="zh-CN"/>
        </w:rPr>
        <w:t>事业运行</w:t>
      </w:r>
      <w:r>
        <w:rPr>
          <w:rStyle w:val="18"/>
          <w:rFonts w:hint="eastAsia" w:ascii="Times New Roman" w:hAnsi="Times New Roman" w:eastAsia="方正仿宋_GBK" w:cs="仿宋_GB2312"/>
          <w:b w:val="0"/>
          <w:bCs w:val="0"/>
          <w:color w:val="000000"/>
          <w:sz w:val="33"/>
          <w:szCs w:val="32"/>
        </w:rPr>
        <w:t>：</w:t>
      </w:r>
      <w:r>
        <w:rPr>
          <w:rStyle w:val="18"/>
          <w:rFonts w:hint="eastAsia" w:ascii="Times New Roman" w:hAnsi="Times New Roman" w:eastAsia="方正仿宋_GBK" w:cs="仿宋_GB2312"/>
          <w:b w:val="0"/>
          <w:bCs w:val="0"/>
          <w:color w:val="000000"/>
          <w:sz w:val="33"/>
          <w:szCs w:val="32"/>
          <w:lang w:eastAsia="zh-CN"/>
        </w:rPr>
        <w:t>指事业单位的基本支出，不包括行政单位（包括实行公务员管理的事业单位）后勤服务中心、医务室等附属事业单位。</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sz w:val="33"/>
        </w:rPr>
      </w:pPr>
      <w:r>
        <w:rPr>
          <w:rStyle w:val="18"/>
          <w:rFonts w:hint="eastAsia" w:ascii="Times New Roman" w:hAnsi="Times New Roman" w:eastAsia="方正仿宋_GBK" w:cs="仿宋_GB2312"/>
          <w:b w:val="0"/>
          <w:bCs w:val="0"/>
          <w:color w:val="000000"/>
          <w:sz w:val="33"/>
          <w:szCs w:val="32"/>
        </w:rPr>
        <w:t>④</w:t>
      </w:r>
      <w:r>
        <w:rPr>
          <w:rStyle w:val="18"/>
          <w:rFonts w:hint="eastAsia" w:ascii="Times New Roman" w:hAnsi="Times New Roman" w:eastAsia="方正仿宋_GBK" w:cs="仿宋_GB2312"/>
          <w:b w:val="0"/>
          <w:bCs w:val="0"/>
          <w:color w:val="000000"/>
          <w:sz w:val="33"/>
          <w:szCs w:val="32"/>
          <w:lang w:eastAsia="zh-CN"/>
        </w:rPr>
        <w:t>其他组织事务支出</w:t>
      </w:r>
      <w:r>
        <w:rPr>
          <w:rStyle w:val="18"/>
          <w:rFonts w:hint="eastAsia" w:ascii="Times New Roman" w:hAnsi="Times New Roman" w:eastAsia="方正仿宋_GBK" w:cs="仿宋_GB2312"/>
          <w:b w:val="0"/>
          <w:bCs w:val="0"/>
          <w:color w:val="000000"/>
          <w:sz w:val="33"/>
          <w:szCs w:val="32"/>
        </w:rPr>
        <w:t>：</w:t>
      </w:r>
      <w:r>
        <w:rPr>
          <w:rStyle w:val="18"/>
          <w:rFonts w:hint="eastAsia" w:ascii="Times New Roman" w:hAnsi="Times New Roman" w:eastAsia="方正仿宋_GBK" w:cs="仿宋_GB2312"/>
          <w:b w:val="0"/>
          <w:bCs w:val="0"/>
          <w:color w:val="000000"/>
          <w:sz w:val="33"/>
          <w:szCs w:val="32"/>
          <w:lang w:eastAsia="zh-CN"/>
        </w:rPr>
        <w:t>指除上述项目以外其他用于中国共产党组织部门的事务支出。</w:t>
      </w:r>
    </w:p>
    <w:p>
      <w:pPr>
        <w:keepNext w:val="0"/>
        <w:keepLines w:val="0"/>
        <w:pageBreakBefore w:val="0"/>
        <w:kinsoku/>
        <w:wordWrap/>
        <w:overflowPunct/>
        <w:topLinePunct w:val="0"/>
        <w:bidi w:val="0"/>
        <w:spacing w:line="240" w:lineRule="auto"/>
        <w:ind w:firstLine="660" w:firstLineChars="200"/>
        <w:jc w:val="both"/>
        <w:textAlignment w:val="auto"/>
        <w:outlineLvl w:val="9"/>
        <w:rPr>
          <w:rStyle w:val="18"/>
          <w:rFonts w:ascii="Times New Roman" w:hAnsi="Times New Roman" w:eastAsia="方正仿宋_GBK" w:cs="仿宋_GB2312"/>
          <w:b w:val="0"/>
          <w:bCs w:val="0"/>
          <w:color w:val="000000"/>
          <w:sz w:val="33"/>
          <w:szCs w:val="32"/>
        </w:rPr>
      </w:pPr>
      <w:bookmarkStart w:id="70" w:name="_Toc9900"/>
      <w:bookmarkStart w:id="71" w:name="_Toc28818"/>
      <w:r>
        <w:rPr>
          <w:rStyle w:val="18"/>
          <w:rFonts w:hint="eastAsia" w:ascii="Times New Roman" w:hAnsi="Times New Roman" w:eastAsia="方正仿宋_GBK" w:cs="仿宋_GB2312"/>
          <w:b w:val="0"/>
          <w:bCs w:val="0"/>
          <w:color w:val="000000"/>
          <w:sz w:val="33"/>
          <w:szCs w:val="32"/>
          <w:lang w:val="en-US" w:eastAsia="zh-CN"/>
        </w:rPr>
        <w:t>3</w:t>
      </w:r>
      <w:r>
        <w:rPr>
          <w:rStyle w:val="18"/>
          <w:rFonts w:ascii="Times New Roman" w:hAnsi="Times New Roman" w:eastAsia="方正仿宋_GBK" w:cs="仿宋_GB2312"/>
          <w:b w:val="0"/>
          <w:bCs w:val="0"/>
          <w:color w:val="000000"/>
          <w:sz w:val="33"/>
          <w:szCs w:val="32"/>
        </w:rPr>
        <w:t>.</w:t>
      </w:r>
      <w:r>
        <w:rPr>
          <w:rStyle w:val="18"/>
          <w:rFonts w:hint="eastAsia" w:ascii="Times New Roman" w:hAnsi="Times New Roman" w:eastAsia="方正仿宋_GBK" w:cs="仿宋_GB2312"/>
          <w:b w:val="0"/>
          <w:bCs w:val="0"/>
          <w:color w:val="000000"/>
          <w:sz w:val="33"/>
          <w:szCs w:val="32"/>
        </w:rPr>
        <w:t>社会保障和就业（类）行政事业</w:t>
      </w:r>
      <w:r>
        <w:rPr>
          <w:rStyle w:val="18"/>
          <w:rFonts w:hint="eastAsia" w:ascii="Times New Roman" w:hAnsi="Times New Roman" w:eastAsia="方正仿宋_GBK" w:cs="仿宋_GB2312"/>
          <w:b w:val="0"/>
          <w:bCs w:val="0"/>
          <w:color w:val="000000"/>
          <w:sz w:val="33"/>
          <w:szCs w:val="32"/>
          <w:lang w:eastAsia="zh-CN"/>
        </w:rPr>
        <w:t>养老支出</w:t>
      </w:r>
      <w:r>
        <w:rPr>
          <w:rStyle w:val="18"/>
          <w:rFonts w:hint="eastAsia" w:ascii="Times New Roman" w:hAnsi="Times New Roman" w:eastAsia="方正仿宋_GBK" w:cs="仿宋_GB2312"/>
          <w:b w:val="0"/>
          <w:bCs w:val="0"/>
          <w:color w:val="000000"/>
          <w:sz w:val="33"/>
          <w:szCs w:val="32"/>
        </w:rPr>
        <w:t>（款）</w:t>
      </w:r>
      <w:bookmarkEnd w:id="70"/>
      <w:bookmarkEnd w:id="71"/>
      <w:r>
        <w:rPr>
          <w:rStyle w:val="18"/>
          <w:rFonts w:ascii="Times New Roman" w:hAnsi="Times New Roman" w:eastAsia="方正仿宋_GBK" w:cs="仿宋_GB2312"/>
          <w:b w:val="0"/>
          <w:bCs w:val="0"/>
          <w:color w:val="000000"/>
          <w:sz w:val="33"/>
          <w:szCs w:val="32"/>
        </w:rPr>
        <w:t xml:space="preserve">  </w:t>
      </w:r>
    </w:p>
    <w:p>
      <w:pPr>
        <w:keepNext w:val="0"/>
        <w:keepLines w:val="0"/>
        <w:pageBreakBefore w:val="0"/>
        <w:kinsoku/>
        <w:wordWrap/>
        <w:overflowPunct/>
        <w:topLinePunct w:val="0"/>
        <w:bidi w:val="0"/>
        <w:spacing w:line="240" w:lineRule="auto"/>
        <w:ind w:firstLine="660" w:firstLineChars="200"/>
        <w:jc w:val="both"/>
        <w:textAlignment w:val="auto"/>
        <w:outlineLvl w:val="9"/>
        <w:rPr>
          <w:rFonts w:hint="default" w:ascii="Times New Roman" w:hAnsi="Times New Roman" w:eastAsia="方正仿宋_GBK"/>
          <w:sz w:val="33"/>
          <w:lang w:val="en-US" w:eastAsia="zh-CN"/>
        </w:rPr>
      </w:pPr>
      <w:r>
        <w:rPr>
          <w:rStyle w:val="18"/>
          <w:rFonts w:hint="eastAsia" w:ascii="Times New Roman" w:hAnsi="Times New Roman" w:eastAsia="方正仿宋_GBK" w:cs="仿宋_GB2312"/>
          <w:b w:val="0"/>
          <w:bCs w:val="0"/>
          <w:color w:val="000000"/>
          <w:sz w:val="33"/>
          <w:szCs w:val="32"/>
        </w:rPr>
        <w:t>①行政单位离退休</w:t>
      </w:r>
      <w:r>
        <w:rPr>
          <w:rStyle w:val="18"/>
          <w:rFonts w:hint="eastAsia" w:ascii="Times New Roman" w:hAnsi="Times New Roman" w:eastAsia="方正仿宋_GBK" w:cs="仿宋_GB2312"/>
          <w:b w:val="0"/>
          <w:bCs w:val="0"/>
          <w:color w:val="000000"/>
          <w:sz w:val="33"/>
          <w:szCs w:val="32"/>
          <w:lang w:eastAsia="zh-CN"/>
        </w:rPr>
        <w:t>：指</w:t>
      </w:r>
      <w:r>
        <w:rPr>
          <w:rStyle w:val="18"/>
          <w:rFonts w:hint="eastAsia" w:ascii="Times New Roman" w:hAnsi="Times New Roman" w:eastAsia="方正仿宋_GBK" w:cs="仿宋_GB2312"/>
          <w:b w:val="0"/>
          <w:bCs w:val="0"/>
          <w:color w:val="000000"/>
          <w:sz w:val="33"/>
          <w:szCs w:val="32"/>
        </w:rPr>
        <w:t>行政单位（包括实行公务员管理的事业单位）开支的离退休支出。</w:t>
      </w:r>
    </w:p>
    <w:p>
      <w:pPr>
        <w:keepNext w:val="0"/>
        <w:keepLines w:val="0"/>
        <w:pageBreakBefore w:val="0"/>
        <w:kinsoku/>
        <w:wordWrap/>
        <w:overflowPunct/>
        <w:topLinePunct w:val="0"/>
        <w:bidi w:val="0"/>
        <w:spacing w:line="240" w:lineRule="auto"/>
        <w:ind w:firstLine="660" w:firstLineChars="200"/>
        <w:jc w:val="both"/>
        <w:textAlignment w:val="auto"/>
        <w:outlineLvl w:val="9"/>
        <w:rPr>
          <w:rStyle w:val="18"/>
          <w:rFonts w:hint="eastAsia" w:ascii="Times New Roman" w:hAnsi="Times New Roman" w:eastAsia="方正仿宋_GBK" w:cs="仿宋_GB2312"/>
          <w:b w:val="0"/>
          <w:bCs w:val="0"/>
          <w:color w:val="000000"/>
          <w:sz w:val="33"/>
          <w:szCs w:val="32"/>
        </w:rPr>
      </w:pPr>
      <w:r>
        <w:rPr>
          <w:rFonts w:hint="eastAsia" w:ascii="Times New Roman" w:hAnsi="Times New Roman" w:eastAsia="方正仿宋_GBK" w:cs="仿宋_GB2312"/>
          <w:color w:val="000000"/>
          <w:sz w:val="33"/>
          <w:szCs w:val="32"/>
        </w:rPr>
        <w:t>②机关事业单位基本养老保险缴费支出：</w:t>
      </w:r>
      <w:r>
        <w:rPr>
          <w:rStyle w:val="18"/>
          <w:rFonts w:hint="eastAsia" w:ascii="Times New Roman" w:hAnsi="Times New Roman" w:eastAsia="方正仿宋_GBK" w:cs="仿宋_GB2312"/>
          <w:b w:val="0"/>
          <w:bCs w:val="0"/>
          <w:color w:val="000000"/>
          <w:sz w:val="33"/>
          <w:szCs w:val="32"/>
        </w:rPr>
        <w:t>指机关事业单位实施养老保险制度有单位缴纳的基本养老保险费支出。</w:t>
      </w:r>
    </w:p>
    <w:p>
      <w:pPr>
        <w:pStyle w:val="6"/>
        <w:keepNext w:val="0"/>
        <w:keepLines w:val="0"/>
        <w:pageBreakBefore w:val="0"/>
        <w:kinsoku/>
        <w:wordWrap/>
        <w:overflowPunct/>
        <w:topLinePunct w:val="0"/>
        <w:bidi w:val="0"/>
        <w:spacing w:line="240" w:lineRule="auto"/>
        <w:ind w:firstLine="660" w:firstLineChars="200"/>
        <w:jc w:val="both"/>
        <w:textAlignment w:val="auto"/>
        <w:outlineLvl w:val="9"/>
        <w:rPr>
          <w:rStyle w:val="18"/>
          <w:rFonts w:hint="eastAsia" w:ascii="Times New Roman" w:hAnsi="Times New Roman" w:eastAsia="方正仿宋_GBK" w:cs="仿宋_GB2312"/>
          <w:b w:val="0"/>
          <w:bCs/>
          <w:color w:val="000000"/>
          <w:sz w:val="33"/>
          <w:szCs w:val="32"/>
          <w:lang w:eastAsia="zh-CN"/>
        </w:rPr>
      </w:pPr>
      <w:r>
        <w:rPr>
          <w:rStyle w:val="18"/>
          <w:rFonts w:hint="default" w:ascii="Times New Roman" w:hAnsi="Times New Roman" w:eastAsia="方正仿宋_GBK" w:cs="仿宋_GB2312"/>
          <w:b w:val="0"/>
          <w:bCs w:val="0"/>
          <w:color w:val="000000"/>
          <w:sz w:val="33"/>
          <w:szCs w:val="32"/>
          <w:lang w:eastAsia="zh-CN"/>
        </w:rPr>
        <w:t>③</w:t>
      </w:r>
      <w:r>
        <w:rPr>
          <w:rStyle w:val="18"/>
          <w:rFonts w:hint="eastAsia" w:ascii="Times New Roman" w:hAnsi="Times New Roman" w:eastAsia="方正仿宋_GBK" w:cs="仿宋_GB2312"/>
          <w:b w:val="0"/>
          <w:bCs/>
          <w:color w:val="000000"/>
          <w:sz w:val="33"/>
          <w:szCs w:val="32"/>
          <w:lang w:eastAsia="zh-CN"/>
        </w:rPr>
        <w:t>机关事业单位职业年金缴费支出：指财政部门对机关事业单位职业年金记账利息的补助。</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sz w:val="33"/>
          <w:lang w:val="en-US" w:eastAsia="zh-CN"/>
        </w:rPr>
      </w:pPr>
      <w:r>
        <w:rPr>
          <w:rStyle w:val="18"/>
          <w:rFonts w:hint="eastAsia" w:ascii="Times New Roman" w:hAnsi="Times New Roman" w:eastAsia="方正仿宋_GBK" w:cs="仿宋_GB2312"/>
          <w:b w:val="0"/>
          <w:bCs w:val="0"/>
          <w:color w:val="000000"/>
          <w:sz w:val="33"/>
          <w:szCs w:val="32"/>
          <w:lang w:val="en-US" w:eastAsia="zh-CN"/>
        </w:rPr>
        <w:sym w:font="Wingdings" w:char="0084"/>
      </w:r>
      <w:r>
        <w:rPr>
          <w:rStyle w:val="18"/>
          <w:rFonts w:hint="eastAsia" w:ascii="Times New Roman" w:hAnsi="Times New Roman" w:eastAsia="方正仿宋_GBK" w:cs="仿宋_GB2312"/>
          <w:b w:val="0"/>
          <w:bCs w:val="0"/>
          <w:color w:val="000000"/>
          <w:sz w:val="33"/>
          <w:szCs w:val="32"/>
          <w:lang w:val="en-US" w:eastAsia="zh-CN"/>
        </w:rPr>
        <w:t>事业单位离退休：指事业单位开支的离退休经费。</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color w:val="000000"/>
          <w:sz w:val="33"/>
          <w:szCs w:val="32"/>
        </w:rPr>
      </w:pPr>
      <w:r>
        <w:rPr>
          <w:rStyle w:val="18"/>
          <w:rFonts w:hint="eastAsia" w:ascii="Times New Roman" w:hAnsi="Times New Roman" w:eastAsia="方正仿宋_GBK" w:cs="仿宋_GB2312"/>
          <w:b w:val="0"/>
          <w:bCs w:val="0"/>
          <w:color w:val="000000"/>
          <w:sz w:val="33"/>
          <w:szCs w:val="32"/>
          <w:lang w:val="en-US" w:eastAsia="zh-CN"/>
        </w:rPr>
        <w:t>4</w:t>
      </w:r>
      <w:r>
        <w:rPr>
          <w:rStyle w:val="18"/>
          <w:rFonts w:hint="eastAsia" w:ascii="Times New Roman" w:hAnsi="Times New Roman" w:eastAsia="方正仿宋_GBK" w:cs="仿宋_GB2312"/>
          <w:b w:val="0"/>
          <w:bCs w:val="0"/>
          <w:color w:val="000000"/>
          <w:sz w:val="33"/>
          <w:szCs w:val="32"/>
        </w:rPr>
        <w:t>、住房保障支出（类）住房改革支出（款）住房公积金（项）：指行政事业单位按人力资源和社会保障部、财政部规定的基本工资和津贴补贴以及规定比例为职工缴纳的住房公积金。</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b w:val="0"/>
          <w:bCs/>
          <w:sz w:val="33"/>
          <w:szCs w:val="32"/>
        </w:rPr>
      </w:pPr>
      <w:bookmarkStart w:id="72" w:name="_Toc24112"/>
      <w:bookmarkStart w:id="73" w:name="_Toc31228"/>
      <w:r>
        <w:rPr>
          <w:rFonts w:hint="eastAsia" w:ascii="Times New Roman" w:hAnsi="Times New Roman" w:eastAsia="方正仿宋_GBK"/>
          <w:b w:val="0"/>
          <w:bCs/>
          <w:sz w:val="33"/>
          <w:szCs w:val="32"/>
          <w:lang w:val="en-US" w:eastAsia="zh-CN"/>
        </w:rPr>
        <w:t>5、</w:t>
      </w:r>
      <w:r>
        <w:rPr>
          <w:rFonts w:ascii="Times New Roman" w:hAnsi="Times New Roman" w:eastAsia="方正仿宋_GBK"/>
          <w:b w:val="0"/>
          <w:bCs/>
          <w:sz w:val="33"/>
          <w:szCs w:val="32"/>
        </w:rPr>
        <w:t>卫生健康支出（类）行政事业单位医疗（款）</w:t>
      </w:r>
      <w:bookmarkEnd w:id="72"/>
      <w:bookmarkEnd w:id="73"/>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b w:val="0"/>
          <w:bCs/>
          <w:sz w:val="33"/>
          <w:szCs w:val="32"/>
        </w:rPr>
      </w:pPr>
      <w:r>
        <w:rPr>
          <w:rStyle w:val="18"/>
          <w:rFonts w:hint="eastAsia" w:ascii="Times New Roman" w:hAnsi="Times New Roman" w:eastAsia="方正仿宋_GBK" w:cs="仿宋_GB2312"/>
          <w:b w:val="0"/>
          <w:bCs w:val="0"/>
          <w:color w:val="000000"/>
          <w:sz w:val="33"/>
          <w:szCs w:val="32"/>
        </w:rPr>
        <w:t>①</w:t>
      </w:r>
      <w:r>
        <w:rPr>
          <w:rFonts w:ascii="Times New Roman" w:hAnsi="Times New Roman" w:eastAsia="方正仿宋_GBK"/>
          <w:b w:val="0"/>
          <w:bCs/>
          <w:sz w:val="33"/>
          <w:szCs w:val="32"/>
        </w:rPr>
        <w:t>行政单位医疗：指财政部门安排的行政单位（包括实行公务员管理的事业单位，下同）基本医疗保险缴费经费，未参加医疗保险的行政单位的公费医疗经费，按国家规定享受离休人员、红军老战士待遇人员的医疗经费。</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b w:val="0"/>
          <w:bCs/>
          <w:sz w:val="33"/>
          <w:szCs w:val="32"/>
        </w:rPr>
      </w:pPr>
      <w:r>
        <w:rPr>
          <w:rStyle w:val="18"/>
          <w:rFonts w:hint="eastAsia" w:ascii="Times New Roman" w:hAnsi="Times New Roman" w:eastAsia="方正仿宋_GBK" w:cs="仿宋_GB2312"/>
          <w:b w:val="0"/>
          <w:bCs w:val="0"/>
          <w:color w:val="000000"/>
          <w:sz w:val="33"/>
          <w:szCs w:val="32"/>
        </w:rPr>
        <w:t>②</w:t>
      </w:r>
      <w:r>
        <w:rPr>
          <w:rFonts w:ascii="Times New Roman" w:hAnsi="Times New Roman" w:eastAsia="方正仿宋_GBK"/>
          <w:b w:val="0"/>
          <w:bCs/>
          <w:sz w:val="33"/>
          <w:szCs w:val="32"/>
        </w:rPr>
        <w:t>事业单位医疗：指财政部门安排的事业单位基本医疗保险缴费经费，未参加医疗保险的事业单位的公费医疗经费，按国家规定享受离休人员医疗经费。</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b w:val="0"/>
          <w:bCs/>
          <w:sz w:val="33"/>
          <w:szCs w:val="32"/>
        </w:rPr>
      </w:pPr>
      <w:r>
        <w:rPr>
          <w:rStyle w:val="18"/>
          <w:rFonts w:hint="default" w:ascii="Times New Roman" w:hAnsi="Times New Roman" w:eastAsia="方正仿宋_GBK" w:cs="仿宋_GB2312"/>
          <w:b w:val="0"/>
          <w:bCs w:val="0"/>
          <w:color w:val="000000"/>
          <w:sz w:val="33"/>
          <w:szCs w:val="32"/>
          <w:lang w:eastAsia="zh-CN"/>
        </w:rPr>
        <w:t>③</w:t>
      </w:r>
      <w:r>
        <w:rPr>
          <w:rFonts w:ascii="Times New Roman" w:hAnsi="Times New Roman" w:eastAsia="方正仿宋_GBK"/>
          <w:b w:val="0"/>
          <w:bCs/>
          <w:sz w:val="33"/>
          <w:szCs w:val="32"/>
        </w:rPr>
        <w:t>公务员医疗补助：指财政部门安排的公务员医疗补助经费。</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b w:val="0"/>
          <w:bCs/>
          <w:sz w:val="33"/>
          <w:szCs w:val="32"/>
        </w:rPr>
      </w:pPr>
      <w:r>
        <w:rPr>
          <w:rStyle w:val="18"/>
          <w:rFonts w:hint="eastAsia" w:ascii="Times New Roman" w:hAnsi="Times New Roman" w:eastAsia="方正仿宋_GBK" w:cs="仿宋_GB2312"/>
          <w:b w:val="0"/>
          <w:bCs w:val="0"/>
          <w:color w:val="000000"/>
          <w:sz w:val="33"/>
          <w:szCs w:val="32"/>
        </w:rPr>
        <w:t>④</w:t>
      </w:r>
      <w:r>
        <w:rPr>
          <w:rFonts w:ascii="Times New Roman" w:hAnsi="Times New Roman" w:eastAsia="方正仿宋_GBK"/>
          <w:b w:val="0"/>
          <w:bCs/>
          <w:sz w:val="33"/>
          <w:szCs w:val="32"/>
        </w:rPr>
        <w:t>其他行政事业单位医疗支出：指除上述项目以外的其他用于行政事业单位医疗方面的支出。</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color w:val="000000"/>
          <w:sz w:val="33"/>
          <w:szCs w:val="32"/>
        </w:rPr>
      </w:pPr>
      <w:r>
        <w:rPr>
          <w:rFonts w:hint="eastAsia" w:ascii="Times New Roman" w:hAnsi="Times New Roman" w:eastAsia="方正仿宋_GBK" w:cs="仿宋_GB2312"/>
          <w:color w:val="000000"/>
          <w:sz w:val="33"/>
          <w:szCs w:val="32"/>
          <w:lang w:val="en-US" w:eastAsia="zh-CN"/>
        </w:rPr>
        <w:t>6、</w:t>
      </w:r>
      <w:r>
        <w:rPr>
          <w:rFonts w:hint="eastAsia" w:ascii="Times New Roman" w:hAnsi="Times New Roman" w:eastAsia="方正仿宋_GBK" w:cs="仿宋_GB2312"/>
          <w:color w:val="000000"/>
          <w:sz w:val="33"/>
          <w:szCs w:val="32"/>
        </w:rPr>
        <w:t>基本支出：指为保障机构正常运转、完成日常工作任务而发生的人员支出和公用支出。</w:t>
      </w:r>
    </w:p>
    <w:p>
      <w:pPr>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cs="仿宋_GB2312"/>
          <w:color w:val="000000"/>
          <w:sz w:val="33"/>
          <w:szCs w:val="32"/>
        </w:rPr>
      </w:pPr>
      <w:r>
        <w:rPr>
          <w:rFonts w:hint="eastAsia" w:ascii="Times New Roman" w:hAnsi="Times New Roman" w:eastAsia="方正仿宋_GBK" w:cs="仿宋_GB2312"/>
          <w:color w:val="000000"/>
          <w:sz w:val="33"/>
          <w:szCs w:val="32"/>
          <w:lang w:val="en-US" w:eastAsia="zh-CN"/>
        </w:rPr>
        <w:t>7、</w:t>
      </w:r>
      <w:r>
        <w:rPr>
          <w:rFonts w:hint="eastAsia" w:ascii="Times New Roman" w:hAnsi="Times New Roman" w:eastAsia="方正仿宋_GBK" w:cs="仿宋_GB2312"/>
          <w:color w:val="000000"/>
          <w:sz w:val="33"/>
          <w:szCs w:val="32"/>
        </w:rPr>
        <w:t>项目支出：指在基本支出之外为完成特定行政任务和事业发展目标所发生的支出。</w:t>
      </w:r>
      <w:r>
        <w:rPr>
          <w:rFonts w:ascii="Times New Roman" w:hAnsi="Times New Roman" w:eastAsia="方正仿宋_GBK" w:cs="仿宋_GB2312"/>
          <w:color w:val="000000"/>
          <w:sz w:val="33"/>
          <w:szCs w:val="32"/>
        </w:rPr>
        <w:t xml:space="preserve"> </w:t>
      </w:r>
    </w:p>
    <w:p>
      <w:pPr>
        <w:pStyle w:val="27"/>
        <w:keepNext w:val="0"/>
        <w:keepLines w:val="0"/>
        <w:pageBreakBefore w:val="0"/>
        <w:kinsoku/>
        <w:wordWrap/>
        <w:overflowPunct/>
        <w:topLinePunct w:val="0"/>
        <w:bidi w:val="0"/>
        <w:spacing w:line="240" w:lineRule="auto"/>
        <w:ind w:firstLine="660" w:firstLineChars="200"/>
        <w:jc w:val="both"/>
        <w:textAlignment w:val="auto"/>
        <w:outlineLvl w:val="9"/>
        <w:rPr>
          <w:rFonts w:ascii="Times New Roman" w:hAnsi="Times New Roman" w:eastAsia="方正仿宋_GBK" w:cs="Times New Roman"/>
          <w:sz w:val="33"/>
          <w:szCs w:val="32"/>
        </w:rPr>
      </w:pPr>
      <w:r>
        <w:rPr>
          <w:rFonts w:hint="eastAsia" w:ascii="Times New Roman" w:hAnsi="Times New Roman" w:eastAsia="方正仿宋_GBK" w:cs="仿宋_GB2312"/>
          <w:sz w:val="33"/>
          <w:szCs w:val="32"/>
          <w:lang w:val="en-US" w:eastAsia="zh-CN"/>
        </w:rPr>
        <w:t>8、</w:t>
      </w:r>
      <w:r>
        <w:rPr>
          <w:rFonts w:hint="eastAsia" w:ascii="Times New Roman" w:hAnsi="Times New Roman" w:eastAsia="方正仿宋_GBK" w:cs="仿宋_GB2312"/>
          <w:sz w:val="33"/>
          <w:szCs w:val="32"/>
        </w:rPr>
        <w:t>“三公”经费：指部门用财政拨款安排的因公出国（境）费、公务用车购置及运行费和公务接待费。其中，因公出国（境）费反映单位公务出国（境）的国际旅费、国外城市间交通费、住宿费、伙食费、培训费、公杂费等支出；</w:t>
      </w:r>
      <w:r>
        <w:rPr>
          <w:rFonts w:ascii="Times New Roman" w:hAnsi="Times New Roman" w:eastAsia="方正仿宋_GBK"/>
          <w:sz w:val="33"/>
          <w:szCs w:val="32"/>
        </w:rPr>
        <w:t>公务用车购置及运行费反映单位公务用车车辆购置支出（含车辆购置税）及</w:t>
      </w:r>
      <w:r>
        <w:rPr>
          <w:rFonts w:hint="eastAsia" w:ascii="Times New Roman" w:hAnsi="Times New Roman" w:eastAsia="方正仿宋_GBK"/>
          <w:sz w:val="33"/>
          <w:szCs w:val="32"/>
          <w:lang w:eastAsia="zh-CN"/>
        </w:rPr>
        <w:t>按规定保留的公务用车</w:t>
      </w:r>
      <w:r>
        <w:rPr>
          <w:rFonts w:ascii="Times New Roman" w:hAnsi="Times New Roman" w:eastAsia="方正仿宋_GBK"/>
          <w:sz w:val="33"/>
          <w:szCs w:val="32"/>
        </w:rPr>
        <w:t>燃料费、维修费、过路过桥费、保险费</w:t>
      </w:r>
      <w:r>
        <w:rPr>
          <w:rFonts w:hint="eastAsia" w:ascii="Times New Roman" w:hAnsi="Times New Roman" w:eastAsia="方正仿宋_GBK"/>
          <w:sz w:val="33"/>
          <w:szCs w:val="32"/>
          <w:lang w:eastAsia="zh-CN"/>
        </w:rPr>
        <w:t>、安全奖励费用</w:t>
      </w:r>
      <w:r>
        <w:rPr>
          <w:rFonts w:ascii="Times New Roman" w:hAnsi="Times New Roman" w:eastAsia="方正仿宋_GBK"/>
          <w:sz w:val="33"/>
          <w:szCs w:val="32"/>
        </w:rPr>
        <w:t>等支出</w:t>
      </w:r>
      <w:r>
        <w:rPr>
          <w:rFonts w:hint="eastAsia" w:ascii="Times New Roman" w:hAnsi="Times New Roman" w:eastAsia="方正仿宋_GBK" w:cs="仿宋_GB2312"/>
          <w:sz w:val="33"/>
          <w:szCs w:val="32"/>
        </w:rPr>
        <w:t>；公务接待费反映单位按规定开支的各类公务接待（含外宾接待）支出。</w:t>
      </w:r>
    </w:p>
    <w:p>
      <w:pPr>
        <w:pStyle w:val="27"/>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Style w:val="29"/>
          <w:rFonts w:hint="eastAsia" w:ascii="黑体" w:hAnsi="黑体" w:eastAsia="黑体"/>
          <w:b w:val="0"/>
        </w:rPr>
      </w:pPr>
      <w:bookmarkStart w:id="74" w:name="_Toc21662"/>
      <w:bookmarkStart w:id="75" w:name="_Toc6864"/>
      <w:r>
        <w:rPr>
          <w:rFonts w:hint="eastAsia" w:ascii="Times New Roman" w:hAnsi="Times New Roman" w:eastAsia="方正仿宋_GBK" w:cs="仿宋_GB2312"/>
          <w:sz w:val="33"/>
          <w:szCs w:val="32"/>
          <w:lang w:val="en-US" w:eastAsia="zh-CN"/>
        </w:rPr>
        <w:t>9、</w:t>
      </w:r>
      <w:r>
        <w:rPr>
          <w:rFonts w:hint="eastAsia" w:ascii="Times New Roman" w:hAnsi="Times New Roman" w:eastAsia="方正仿宋_GBK" w:cs="仿宋_GB2312"/>
          <w:sz w:val="33"/>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ascii="Times New Roman" w:hAnsi="Times New Roman" w:eastAsia="方正仿宋_GBK"/>
          <w:b/>
          <w:sz w:val="33"/>
          <w:szCs w:val="44"/>
        </w:rPr>
        <w:br w:type="page"/>
      </w:r>
      <w:bookmarkStart w:id="76" w:name="_Toc15396614"/>
      <w:r>
        <w:rPr>
          <w:rFonts w:hint="eastAsia" w:ascii="黑体" w:hAnsi="黑体" w:eastAsia="黑体"/>
          <w:sz w:val="44"/>
          <w:szCs w:val="44"/>
        </w:rPr>
        <w:t>第</w:t>
      </w:r>
      <w:r>
        <w:rPr>
          <w:rStyle w:val="29"/>
          <w:rFonts w:hint="eastAsia" w:ascii="黑体" w:hAnsi="黑体" w:eastAsia="黑体"/>
          <w:b w:val="0"/>
        </w:rPr>
        <w:t>四部分 附件</w:t>
      </w:r>
      <w:bookmarkEnd w:id="74"/>
      <w:bookmarkEnd w:id="75"/>
      <w:bookmarkEnd w:id="76"/>
    </w:p>
    <w:p>
      <w:pPr>
        <w:pStyle w:val="27"/>
        <w:keepNext w:val="0"/>
        <w:keepLines w:val="0"/>
        <w:pageBreakBefore w:val="0"/>
        <w:kinsoku/>
        <w:wordWrap/>
        <w:overflowPunct/>
        <w:topLinePunct w:val="0"/>
        <w:bidi w:val="0"/>
        <w:spacing w:line="240" w:lineRule="auto"/>
        <w:ind w:firstLine="880" w:firstLineChars="200"/>
        <w:jc w:val="center"/>
        <w:textAlignment w:val="auto"/>
        <w:outlineLvl w:val="0"/>
        <w:rPr>
          <w:rStyle w:val="29"/>
          <w:rFonts w:hint="eastAsia" w:ascii="黑体" w:hAnsi="黑体" w:eastAsia="黑体"/>
          <w:b w:val="0"/>
        </w:rPr>
      </w:pPr>
    </w:p>
    <w:p>
      <w:pPr>
        <w:keepNext w:val="0"/>
        <w:keepLines w:val="0"/>
        <w:pageBreakBefore w:val="0"/>
        <w:widowControl/>
        <w:kinsoku/>
        <w:wordWrap/>
        <w:overflowPunct/>
        <w:topLinePunct w:val="0"/>
        <w:autoSpaceDE/>
        <w:autoSpaceDN/>
        <w:bidi w:val="0"/>
        <w:adjustRightInd/>
        <w:snapToGrid/>
        <w:spacing w:after="313" w:afterLines="100" w:line="240" w:lineRule="auto"/>
        <w:contextualSpacing/>
        <w:jc w:val="center"/>
        <w:textAlignment w:val="auto"/>
        <w:rPr>
          <w:rFonts w:hint="eastAsia" w:ascii="方正小标宋_GBK" w:hAnsi="方正小标宋_GBK" w:eastAsia="方正小标宋_GBK" w:cs="方正小标宋_GBK"/>
          <w:b/>
          <w:color w:val="000000" w:themeColor="text1"/>
          <w:sz w:val="38"/>
          <w:szCs w:val="38"/>
          <w:shd w:val="clear" w:color="auto" w:fill="FFFFFF"/>
          <w:lang w:val="en-US" w:eastAsia="zh-CN"/>
          <w14:textFill>
            <w14:solidFill>
              <w14:schemeClr w14:val="tx1"/>
            </w14:solidFill>
          </w14:textFill>
        </w:rPr>
      </w:pPr>
      <w:r>
        <w:rPr>
          <w:rFonts w:hint="eastAsia" w:ascii="方正小标宋_GBK" w:hAnsi="方正小标宋_GBK" w:eastAsia="方正小标宋_GBK" w:cs="方正小标宋_GBK"/>
          <w:b/>
          <w:color w:val="000000" w:themeColor="text1"/>
          <w:sz w:val="38"/>
          <w:szCs w:val="38"/>
          <w:shd w:val="clear" w:color="auto" w:fill="FFFFFF"/>
          <w:lang w:val="en-US" w:eastAsia="zh-CN"/>
          <w14:textFill>
            <w14:solidFill>
              <w14:schemeClr w14:val="tx1"/>
            </w14:solidFill>
          </w14:textFill>
        </w:rPr>
        <w:t>中共盐边县委组织部</w:t>
      </w:r>
    </w:p>
    <w:p>
      <w:pPr>
        <w:keepNext w:val="0"/>
        <w:keepLines w:val="0"/>
        <w:pageBreakBefore w:val="0"/>
        <w:widowControl/>
        <w:kinsoku/>
        <w:wordWrap/>
        <w:overflowPunct/>
        <w:topLinePunct w:val="0"/>
        <w:autoSpaceDE/>
        <w:autoSpaceDN/>
        <w:bidi w:val="0"/>
        <w:adjustRightInd/>
        <w:snapToGrid/>
        <w:spacing w:before="313" w:beforeLines="100" w:after="313" w:afterLines="100" w:line="240" w:lineRule="auto"/>
        <w:contextualSpacing/>
        <w:jc w:val="center"/>
        <w:textAlignment w:val="auto"/>
        <w:rPr>
          <w:rFonts w:hint="eastAsia" w:ascii="方正小标宋_GBK" w:hAnsi="方正小标宋_GBK" w:eastAsia="方正小标宋_GBK" w:cs="方正小标宋_GBK"/>
          <w:b/>
          <w:color w:val="000000" w:themeColor="text1"/>
          <w:sz w:val="38"/>
          <w:szCs w:val="38"/>
          <w:shd w:val="clear" w:color="auto" w:fill="FFFFFF"/>
          <w:lang w:val="en-US" w:eastAsia="zh-CN"/>
          <w14:textFill>
            <w14:solidFill>
              <w14:schemeClr w14:val="tx1"/>
            </w14:solidFill>
          </w14:textFill>
        </w:rPr>
      </w:pPr>
      <w:bookmarkStart w:id="77" w:name="_Toc23869_WPSOffice_Level1"/>
      <w:bookmarkStart w:id="78" w:name="_Toc4364_WPSOffice_Level1"/>
      <w:bookmarkStart w:id="79" w:name="_Toc26265_WPSOffice_Level1"/>
      <w:bookmarkStart w:id="80" w:name="_Toc17192_WPSOffice_Level1"/>
      <w:r>
        <w:rPr>
          <w:rFonts w:hint="eastAsia" w:ascii="方正小标宋_GBK" w:hAnsi="方正小标宋_GBK" w:eastAsia="方正小标宋_GBK" w:cs="方正小标宋_GBK"/>
          <w:b/>
          <w:color w:val="000000" w:themeColor="text1"/>
          <w:sz w:val="38"/>
          <w:szCs w:val="38"/>
          <w:shd w:val="clear" w:color="auto" w:fill="FFFFFF"/>
          <w:lang w:val="en-US" w:eastAsia="zh-CN"/>
          <w14:textFill>
            <w14:solidFill>
              <w14:schemeClr w14:val="tx1"/>
            </w14:solidFill>
          </w14:textFill>
        </w:rPr>
        <w:t>2022年度整体支出绩效评价报告</w:t>
      </w:r>
      <w:bookmarkEnd w:id="77"/>
      <w:bookmarkEnd w:id="78"/>
      <w:bookmarkEnd w:id="79"/>
      <w:bookmarkEnd w:id="80"/>
    </w:p>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pPr>
        <w:keepNext w:val="0"/>
        <w:keepLines w:val="0"/>
        <w:pageBreakBefore w:val="0"/>
        <w:widowControl/>
        <w:numPr>
          <w:ilvl w:val="0"/>
          <w:numId w:val="5"/>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9"/>
        <w:rPr>
          <w:rFonts w:hint="eastAsia" w:ascii="黑体" w:hAnsi="宋体" w:eastAsia="黑体" w:cs="宋体"/>
          <w:kern w:val="0"/>
          <w:sz w:val="32"/>
          <w:szCs w:val="32"/>
          <w:shd w:val="clear" w:color="auto" w:fill="FFFFFF"/>
          <w:lang w:val="en-US" w:eastAsia="zh-CN"/>
        </w:rPr>
      </w:pPr>
      <w:bookmarkStart w:id="81" w:name="_Toc15835_WPSOffice_Level1"/>
      <w:bookmarkStart w:id="82" w:name="_Toc14202_WPSOffice_Level1"/>
      <w:bookmarkStart w:id="83" w:name="_Toc2687_WPSOffice_Level1"/>
      <w:bookmarkStart w:id="84" w:name="_Toc9329_WPSOffice_Level1"/>
      <w:r>
        <w:rPr>
          <w:rFonts w:hint="eastAsia" w:ascii="黑体" w:hAnsi="宋体" w:eastAsia="黑体" w:cs="宋体"/>
          <w:kern w:val="0"/>
          <w:sz w:val="32"/>
          <w:szCs w:val="32"/>
          <w:shd w:val="clear" w:color="auto" w:fill="FFFFFF"/>
          <w:lang w:val="zh-CN"/>
        </w:rPr>
        <w:t>部门</w:t>
      </w:r>
      <w:bookmarkEnd w:id="81"/>
      <w:bookmarkEnd w:id="82"/>
      <w:bookmarkEnd w:id="83"/>
      <w:bookmarkEnd w:id="84"/>
      <w:r>
        <w:rPr>
          <w:rFonts w:hint="eastAsia" w:ascii="黑体" w:hAnsi="宋体" w:eastAsia="黑体" w:cs="宋体"/>
          <w:kern w:val="0"/>
          <w:sz w:val="32"/>
          <w:szCs w:val="32"/>
          <w:shd w:val="clear" w:color="auto" w:fill="FFFFFF"/>
          <w:lang w:val="en-US" w:eastAsia="zh-CN"/>
        </w:rPr>
        <w:t>基本情况</w:t>
      </w:r>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bookmarkStart w:id="85" w:name="_Toc32578_WPSOffice_Level2"/>
      <w:bookmarkStart w:id="86" w:name="_Toc30123_WPSOffice_Level2"/>
      <w:bookmarkStart w:id="87" w:name="_Toc8393_WPSOffice_Level2"/>
      <w:bookmarkStart w:id="88" w:name="_Toc31440_WPSOffice_Level2"/>
      <w:r>
        <w:rPr>
          <w:rFonts w:hint="eastAsia" w:ascii="楷体_GB2312" w:hAnsi="楷体_GB2312" w:eastAsia="楷体_GB2312" w:cs="楷体_GB2312"/>
          <w:b/>
          <w:bCs/>
          <w:kern w:val="0"/>
          <w:sz w:val="32"/>
          <w:szCs w:val="32"/>
          <w:shd w:val="clear" w:color="auto" w:fill="FFFFFF"/>
          <w:lang w:val="zh-CN"/>
        </w:rPr>
        <w:t>（一）机构组成。</w:t>
      </w:r>
      <w:bookmarkEnd w:id="85"/>
      <w:bookmarkEnd w:id="86"/>
      <w:bookmarkEnd w:id="87"/>
      <w:bookmarkEnd w:id="88"/>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中共盐边县委组织部下属非独立核算单位3个，其中参照公务员法管理的事业单位1个，其他事业单位2个。主要包括：中共盐边县委组织部党员教育中心、盐边县老干部活动中心、盐边县干部人事档案服务中心。</w:t>
      </w:r>
    </w:p>
    <w:p>
      <w:pPr>
        <w:keepNext w:val="0"/>
        <w:keepLines w:val="0"/>
        <w:pageBreakBefore w:val="0"/>
        <w:widowControl/>
        <w:numPr>
          <w:ilvl w:val="0"/>
          <w:numId w:val="6"/>
        </w:numPr>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机构职能和人员概况。</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63" w:firstLineChars="200"/>
        <w:jc w:val="both"/>
        <w:textAlignment w:val="auto"/>
        <w:outlineLvl w:val="9"/>
        <w:rPr>
          <w:rFonts w:hint="default" w:ascii="Times New Roman" w:hAnsi="Times New Roman" w:eastAsia="方正仿宋_GBK" w:cs="仿宋_GB2312"/>
          <w:b/>
          <w:bCs/>
          <w:color w:val="000000"/>
          <w:kern w:val="0"/>
          <w:sz w:val="33"/>
          <w:szCs w:val="32"/>
          <w:shd w:val="clear" w:color="auto" w:fill="FFFFFF"/>
          <w:lang w:val="en-US" w:eastAsia="zh-CN" w:bidi="ar-SA"/>
        </w:rPr>
      </w:pPr>
      <w:bookmarkStart w:id="89" w:name="_Toc26590"/>
      <w:bookmarkStart w:id="90" w:name="_Toc30737"/>
      <w:r>
        <w:rPr>
          <w:rFonts w:hint="eastAsia" w:ascii="Times New Roman" w:hAnsi="Times New Roman" w:eastAsia="方正仿宋_GBK" w:cs="仿宋_GB2312"/>
          <w:b/>
          <w:bCs/>
          <w:color w:val="000000"/>
          <w:kern w:val="0"/>
          <w:sz w:val="33"/>
          <w:szCs w:val="32"/>
          <w:shd w:val="clear" w:color="auto" w:fill="FFFFFF"/>
          <w:lang w:val="en-US" w:eastAsia="zh-CN" w:bidi="ar-SA"/>
        </w:rPr>
        <w:t>1.机构职能</w:t>
      </w:r>
      <w:bookmarkEnd w:id="89"/>
      <w:bookmarkEnd w:id="90"/>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1</w:t>
      </w:r>
      <w:r>
        <w:rPr>
          <w:rFonts w:hint="eastAsia" w:ascii="Times New Roman" w:hAnsi="Times New Roman" w:eastAsia="方正仿宋_GBK" w:cs="仿宋_GB2312"/>
          <w:color w:val="000000"/>
          <w:kern w:val="0"/>
          <w:sz w:val="33"/>
          <w:szCs w:val="32"/>
          <w:shd w:val="clear" w:color="auto" w:fill="FFFFFF"/>
          <w:lang w:val="zh-CN" w:eastAsia="zh-CN"/>
        </w:rPr>
        <w:t>）严格执行党的干部路线、方针、政策，负责全县干部队伍建设的宏观管理，拟订或参与拟订组织、干部、人事工作的重要政策、规定、制度；负责全县党的建设制度改革工作的规划研究、部署和组织实施。</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2</w:t>
      </w:r>
      <w:r>
        <w:rPr>
          <w:rFonts w:hint="eastAsia" w:ascii="Times New Roman" w:hAnsi="Times New Roman" w:eastAsia="方正仿宋_GBK" w:cs="仿宋_GB2312"/>
          <w:color w:val="000000"/>
          <w:kern w:val="0"/>
          <w:sz w:val="33"/>
          <w:szCs w:val="32"/>
          <w:shd w:val="clear" w:color="auto" w:fill="FFFFFF"/>
          <w:lang w:val="zh-CN" w:eastAsia="zh-CN"/>
        </w:rPr>
        <w:t>）负责干部队伍建设的规划和指导工作。研究拟订加强全县干部队伍建设整体规划的工作措施；负责对县委管理的领导班子进行考察了解，并向县委提出调整配备的意见和建议；负责县委管理干部的考察、任免、工资、待遇、退休审批等手续的办理；会同机构编制部门拟订副科级以上单位领导班子职数设置方案；负责规划、部署、组织实施年轻干部、妇女干部、少数民族干部、党外干部的培养、选拔、任用工作。指导乡镇和县直乡科级单位领导班子政治建设；协助管理以垂直部门管理为主的双重管理单位领导班子和领导干部，对领导班子建设和领导干部的选拔任用提出意见和建议。负责省、市、县人大代表和政协委员推荐提名工作。</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3</w:t>
      </w:r>
      <w:r>
        <w:rPr>
          <w:rFonts w:hint="eastAsia" w:ascii="Times New Roman" w:hAnsi="Times New Roman" w:eastAsia="方正仿宋_GBK" w:cs="仿宋_GB2312"/>
          <w:color w:val="000000"/>
          <w:kern w:val="0"/>
          <w:sz w:val="33"/>
          <w:szCs w:val="32"/>
          <w:shd w:val="clear" w:color="auto" w:fill="FFFFFF"/>
          <w:lang w:val="zh-CN" w:eastAsia="zh-CN"/>
        </w:rPr>
        <w:t>）执行公务员管理政策和法律法规。负责公务员职务与职级并行制度的组织实施；负责实施公务员调任、转任、挂职政策；负责全县公务员和参照公务员法管理单位工作人员的考选、调配、交流、安置、管理工作；负责全县公务员、参照公务员法管理单位工作人员工资、福利、退休、抚恤等政策的组织实施。</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4</w:t>
      </w:r>
      <w:r>
        <w:rPr>
          <w:rFonts w:hint="eastAsia" w:ascii="Times New Roman" w:hAnsi="Times New Roman" w:eastAsia="方正仿宋_GBK" w:cs="仿宋_GB2312"/>
          <w:color w:val="000000"/>
          <w:kern w:val="0"/>
          <w:sz w:val="33"/>
          <w:szCs w:val="32"/>
          <w:shd w:val="clear" w:color="auto" w:fill="FFFFFF"/>
          <w:lang w:val="zh-CN" w:eastAsia="zh-CN"/>
        </w:rPr>
        <w:t>）负责全县人才工作和人才队伍建设的宏观管理和指导。研究拟订人才工作有关政策；协调落实专项重点人才工作；协调实施高层次人才培养工程。</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5</w:t>
      </w:r>
      <w:r>
        <w:rPr>
          <w:rFonts w:hint="eastAsia" w:ascii="Times New Roman" w:hAnsi="Times New Roman" w:eastAsia="方正仿宋_GBK" w:cs="仿宋_GB2312"/>
          <w:color w:val="000000"/>
          <w:kern w:val="0"/>
          <w:sz w:val="33"/>
          <w:szCs w:val="32"/>
          <w:shd w:val="clear" w:color="auto" w:fill="FFFFFF"/>
          <w:lang w:val="zh-CN" w:eastAsia="zh-CN"/>
        </w:rPr>
        <w:t>）研究制定全县干部信息建设规划；负责全县干部信息、干部档案、干部统计工作。</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6</w:t>
      </w:r>
      <w:r>
        <w:rPr>
          <w:rFonts w:hint="eastAsia" w:ascii="Times New Roman" w:hAnsi="Times New Roman" w:eastAsia="方正仿宋_GBK" w:cs="仿宋_GB2312"/>
          <w:color w:val="000000"/>
          <w:kern w:val="0"/>
          <w:sz w:val="33"/>
          <w:szCs w:val="32"/>
          <w:shd w:val="clear" w:color="auto" w:fill="FFFFFF"/>
          <w:lang w:val="zh-CN" w:eastAsia="zh-CN"/>
        </w:rPr>
        <w:t>）负责干部监督工作的宏观指导。负责对党政领导干部选拔任用工作进行监督检查；对反映领导班子、领导干部和组织建设的重要问题进行调查了解和督办；对有关监督制度的落实情况进行督查；对市委管理干部的历史遗留问题进行初审，对县委管理干部的历史遗留问题进行审查；组织开展领导干部个人有关事项报告，做好干部因私出国（境）审批管理、任期经济责任审计，开展提醒、函询、诫勉工作。协助做好县委巡察工作。</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7</w:t>
      </w:r>
      <w:r>
        <w:rPr>
          <w:rFonts w:hint="eastAsia" w:ascii="Times New Roman" w:hAnsi="Times New Roman" w:eastAsia="方正仿宋_GBK" w:cs="仿宋_GB2312"/>
          <w:color w:val="000000"/>
          <w:kern w:val="0"/>
          <w:sz w:val="33"/>
          <w:szCs w:val="32"/>
          <w:shd w:val="clear" w:color="auto" w:fill="FFFFFF"/>
          <w:lang w:val="zh-CN" w:eastAsia="zh-CN"/>
        </w:rPr>
        <w:t>）负责全县干部教育培训的宏观管理，制定干部教育工作规划，组织、开展主题教育培训，协调、指导乡镇和县直各单位的干部教育培训工作。</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8</w:t>
      </w:r>
      <w:r>
        <w:rPr>
          <w:rFonts w:hint="eastAsia" w:ascii="Times New Roman" w:hAnsi="Times New Roman" w:eastAsia="方正仿宋_GBK" w:cs="仿宋_GB2312"/>
          <w:color w:val="000000"/>
          <w:kern w:val="0"/>
          <w:sz w:val="33"/>
          <w:szCs w:val="32"/>
          <w:shd w:val="clear" w:color="auto" w:fill="FFFFFF"/>
          <w:lang w:val="zh-CN" w:eastAsia="zh-CN"/>
        </w:rPr>
        <w:t>）研究指导党组织建设工作。制定落实加强党的工作制度、党内生活制度的规定和意见；对各领域党的基层组织建设进行分类指导，对各级各类党组织设立进行指导审核；指导乡镇党委健全党代表大会制度，指导党代表大会代表选举、管理和联络服务。</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9</w:t>
      </w:r>
      <w:r>
        <w:rPr>
          <w:rFonts w:hint="eastAsia" w:ascii="Times New Roman" w:hAnsi="Times New Roman" w:eastAsia="方正仿宋_GBK" w:cs="仿宋_GB2312"/>
          <w:color w:val="000000"/>
          <w:kern w:val="0"/>
          <w:sz w:val="33"/>
          <w:szCs w:val="32"/>
          <w:shd w:val="clear" w:color="auto" w:fill="FFFFFF"/>
          <w:lang w:val="zh-CN" w:eastAsia="zh-CN"/>
        </w:rPr>
        <w:t>）研究指导党员队伍建设工作。主管党员发展和管理工作，指导全县党员教育培训；指导乡镇和县直乡科级单位党员领导干部民主生活会；负责全县党费收缴、管理和使用工作；指导开展党内表彰奖励、关怀帮扶等工作；负责全县党组织和党员队伍信息化建设及党内统计工作。</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10</w:t>
      </w:r>
      <w:r>
        <w:rPr>
          <w:rFonts w:hint="eastAsia" w:ascii="Times New Roman" w:hAnsi="Times New Roman" w:eastAsia="方正仿宋_GBK" w:cs="仿宋_GB2312"/>
          <w:color w:val="000000"/>
          <w:kern w:val="0"/>
          <w:sz w:val="33"/>
          <w:szCs w:val="32"/>
          <w:shd w:val="clear" w:color="auto" w:fill="FFFFFF"/>
          <w:lang w:val="zh-CN" w:eastAsia="zh-CN"/>
        </w:rPr>
        <w:t>）负责全县非公有制经济组织和社会组织党的建设工作。</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11</w:t>
      </w:r>
      <w:r>
        <w:rPr>
          <w:rFonts w:hint="eastAsia" w:ascii="Times New Roman" w:hAnsi="Times New Roman" w:eastAsia="方正仿宋_GBK" w:cs="仿宋_GB2312"/>
          <w:color w:val="000000"/>
          <w:kern w:val="0"/>
          <w:sz w:val="33"/>
          <w:szCs w:val="32"/>
          <w:shd w:val="clear" w:color="auto" w:fill="FFFFFF"/>
          <w:lang w:val="zh-CN" w:eastAsia="zh-CN"/>
        </w:rPr>
        <w:t>）承担县委基层党建工作领导小组日常工作，综合协调有关部门统筹推进基层党建工作，健全和落实基层党建工作责任制，负责基层党建述职评议；协调有关部门指导发展壮大村级（社区）集体经济。</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en-US" w:eastAsia="zh-CN"/>
        </w:rPr>
        <w:t>12</w:t>
      </w:r>
      <w:r>
        <w:rPr>
          <w:rFonts w:hint="eastAsia" w:ascii="Times New Roman" w:hAnsi="Times New Roman" w:eastAsia="方正仿宋_GBK" w:cs="仿宋_GB2312"/>
          <w:color w:val="000000"/>
          <w:kern w:val="0"/>
          <w:sz w:val="33"/>
          <w:szCs w:val="32"/>
          <w:shd w:val="clear" w:color="auto" w:fill="FFFFFF"/>
          <w:lang w:val="zh-CN" w:eastAsia="zh-CN"/>
        </w:rPr>
        <w:t>）贯彻执行离退休干部工作的方针、政策和决策部署，负责全县离退休干部工作的宏观管理和指导。承担县委老干部工作领导小组、县委离退休干部工作委员会和县关心下一代工作委员会的日常管理工作。</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firstLine="66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bookmarkStart w:id="91" w:name="_Toc15444"/>
      <w:bookmarkStart w:id="92" w:name="_Toc31813"/>
      <w:bookmarkStart w:id="93" w:name="_Toc4350_WPSOffice_Level2"/>
      <w:bookmarkStart w:id="94" w:name="_Toc12237_WPSOffice_Level2"/>
      <w:bookmarkStart w:id="95" w:name="_Toc1658_WPSOffice_Level2"/>
      <w:bookmarkStart w:id="96" w:name="_Toc3693_WPSOffice_Level2"/>
      <w:r>
        <w:rPr>
          <w:rFonts w:hint="eastAsia" w:ascii="Times New Roman" w:hAnsi="Times New Roman" w:eastAsia="方正仿宋_GBK" w:cs="仿宋_GB2312"/>
          <w:b/>
          <w:bCs/>
          <w:color w:val="000000"/>
          <w:kern w:val="0"/>
          <w:sz w:val="33"/>
          <w:szCs w:val="32"/>
          <w:shd w:val="clear" w:color="auto" w:fill="FFFFFF"/>
          <w:lang w:val="en-US" w:eastAsia="zh-CN" w:bidi="ar-SA"/>
        </w:rPr>
        <w:t>2.</w:t>
      </w:r>
      <w:r>
        <w:rPr>
          <w:rFonts w:hint="eastAsia" w:ascii="Times New Roman" w:hAnsi="Times New Roman" w:eastAsia="方正仿宋_GBK" w:cs="仿宋_GB2312"/>
          <w:b/>
          <w:bCs/>
          <w:color w:val="000000"/>
          <w:kern w:val="0"/>
          <w:sz w:val="33"/>
          <w:szCs w:val="32"/>
          <w:shd w:val="clear" w:color="auto" w:fill="FFFFFF"/>
          <w:lang w:val="zh-CN" w:eastAsia="zh-CN" w:bidi="ar-SA"/>
        </w:rPr>
        <w:t>人员概况。</w:t>
      </w:r>
      <w:bookmarkEnd w:id="91"/>
      <w:bookmarkEnd w:id="92"/>
      <w:bookmarkEnd w:id="93"/>
      <w:bookmarkEnd w:id="94"/>
      <w:bookmarkEnd w:id="95"/>
      <w:bookmarkEnd w:id="96"/>
    </w:p>
    <w:p>
      <w:pPr>
        <w:pStyle w:val="2"/>
        <w:keepNext w:val="0"/>
        <w:keepLines w:val="0"/>
        <w:pageBreakBefore w:val="0"/>
        <w:widowControl w:val="0"/>
        <w:kinsoku/>
        <w:wordWrap/>
        <w:overflowPunct/>
        <w:topLinePunct w:val="0"/>
        <w:autoSpaceDE/>
        <w:autoSpaceDN/>
        <w:bidi w:val="0"/>
        <w:adjustRightInd w:val="0"/>
        <w:snapToGrid/>
        <w:spacing w:line="240" w:lineRule="auto"/>
        <w:ind w:firstLine="660" w:firstLineChars="200"/>
        <w:jc w:val="both"/>
        <w:textAlignment w:val="auto"/>
        <w:outlineLvl w:val="9"/>
        <w:rPr>
          <w:rFonts w:hint="eastAsia" w:ascii="Times New Roman" w:hAnsi="Times New Roman" w:eastAsia="方正仿宋_GBK" w:cs="仿宋_GB2312"/>
          <w:color w:val="000000"/>
          <w:kern w:val="0"/>
          <w:sz w:val="33"/>
          <w:szCs w:val="32"/>
          <w:shd w:val="clear" w:color="auto" w:fill="FFFFFF"/>
          <w:lang w:val="en-US" w:eastAsia="zh-CN" w:bidi="ar-SA"/>
        </w:rPr>
      </w:pPr>
      <w:r>
        <w:rPr>
          <w:rFonts w:hint="eastAsia" w:ascii="Times New Roman" w:hAnsi="Times New Roman" w:eastAsia="方正仿宋_GBK" w:cs="仿宋_GB2312"/>
          <w:color w:val="000000"/>
          <w:kern w:val="0"/>
          <w:sz w:val="33"/>
          <w:szCs w:val="32"/>
          <w:shd w:val="clear" w:color="auto" w:fill="FFFFFF"/>
          <w:lang w:val="zh-CN" w:eastAsia="zh-CN" w:bidi="ar-SA"/>
        </w:rPr>
        <w:t>202</w:t>
      </w:r>
      <w:r>
        <w:rPr>
          <w:rFonts w:hint="eastAsia" w:ascii="Times New Roman" w:hAnsi="Times New Roman" w:eastAsia="方正仿宋_GBK" w:cs="仿宋_GB2312"/>
          <w:color w:val="000000"/>
          <w:kern w:val="0"/>
          <w:sz w:val="33"/>
          <w:szCs w:val="32"/>
          <w:shd w:val="clear" w:color="auto" w:fill="FFFFFF"/>
          <w:lang w:val="en-US" w:eastAsia="zh-CN" w:bidi="ar-SA"/>
        </w:rPr>
        <w:t>2</w:t>
      </w:r>
      <w:r>
        <w:rPr>
          <w:rFonts w:hint="eastAsia" w:ascii="Times New Roman" w:hAnsi="Times New Roman" w:eastAsia="方正仿宋_GBK" w:cs="仿宋_GB2312"/>
          <w:color w:val="000000"/>
          <w:kern w:val="0"/>
          <w:sz w:val="33"/>
          <w:szCs w:val="32"/>
          <w:shd w:val="clear" w:color="auto" w:fill="FFFFFF"/>
          <w:lang w:val="zh-CN" w:eastAsia="zh-CN" w:bidi="ar-SA"/>
        </w:rPr>
        <w:t>年末在职人员</w:t>
      </w:r>
      <w:r>
        <w:rPr>
          <w:rFonts w:hint="eastAsia" w:ascii="Times New Roman" w:hAnsi="Times New Roman" w:eastAsia="方正仿宋_GBK" w:cs="仿宋_GB2312"/>
          <w:color w:val="000000"/>
          <w:kern w:val="0"/>
          <w:sz w:val="33"/>
          <w:szCs w:val="32"/>
          <w:shd w:val="clear" w:color="auto" w:fill="FFFFFF"/>
          <w:lang w:val="en-US" w:eastAsia="zh-CN" w:bidi="ar-SA"/>
        </w:rPr>
        <w:t>44</w:t>
      </w:r>
      <w:r>
        <w:rPr>
          <w:rFonts w:hint="eastAsia" w:ascii="Times New Roman" w:hAnsi="Times New Roman" w:eastAsia="方正仿宋_GBK" w:cs="仿宋_GB2312"/>
          <w:color w:val="000000"/>
          <w:kern w:val="0"/>
          <w:sz w:val="33"/>
          <w:szCs w:val="32"/>
          <w:shd w:val="clear" w:color="auto" w:fill="FFFFFF"/>
          <w:lang w:val="zh-CN" w:eastAsia="zh-CN" w:bidi="ar-SA"/>
        </w:rPr>
        <w:t>人，其中行政在编人员</w:t>
      </w:r>
      <w:r>
        <w:rPr>
          <w:rFonts w:hint="eastAsia" w:ascii="Times New Roman" w:hAnsi="Times New Roman" w:eastAsia="方正仿宋_GBK" w:cs="仿宋_GB2312"/>
          <w:color w:val="000000"/>
          <w:kern w:val="0"/>
          <w:sz w:val="33"/>
          <w:szCs w:val="32"/>
          <w:shd w:val="clear" w:color="auto" w:fill="FFFFFF"/>
          <w:lang w:val="en-US" w:eastAsia="zh-CN" w:bidi="ar-SA"/>
        </w:rPr>
        <w:t>19</w:t>
      </w:r>
      <w:r>
        <w:rPr>
          <w:rFonts w:hint="eastAsia" w:ascii="Times New Roman" w:hAnsi="Times New Roman" w:eastAsia="方正仿宋_GBK" w:cs="仿宋_GB2312"/>
          <w:color w:val="000000"/>
          <w:kern w:val="0"/>
          <w:sz w:val="33"/>
          <w:szCs w:val="32"/>
          <w:shd w:val="clear" w:color="auto" w:fill="FFFFFF"/>
          <w:lang w:val="zh-CN" w:eastAsia="zh-CN" w:bidi="ar-SA"/>
        </w:rPr>
        <w:t>人，参照公务员管理人员</w:t>
      </w:r>
      <w:r>
        <w:rPr>
          <w:rFonts w:hint="eastAsia" w:ascii="Times New Roman" w:hAnsi="Times New Roman" w:eastAsia="方正仿宋_GBK" w:cs="仿宋_GB2312"/>
          <w:color w:val="000000"/>
          <w:kern w:val="0"/>
          <w:sz w:val="33"/>
          <w:szCs w:val="32"/>
          <w:shd w:val="clear" w:color="auto" w:fill="FFFFFF"/>
          <w:lang w:val="en-US" w:eastAsia="zh-CN" w:bidi="ar-SA"/>
        </w:rPr>
        <w:t>14</w:t>
      </w:r>
      <w:r>
        <w:rPr>
          <w:rFonts w:hint="eastAsia" w:ascii="Times New Roman" w:hAnsi="Times New Roman" w:eastAsia="方正仿宋_GBK" w:cs="仿宋_GB2312"/>
          <w:color w:val="000000"/>
          <w:kern w:val="0"/>
          <w:sz w:val="33"/>
          <w:szCs w:val="32"/>
          <w:shd w:val="clear" w:color="auto" w:fill="FFFFFF"/>
          <w:lang w:val="zh-CN" w:eastAsia="zh-CN" w:bidi="ar-SA"/>
        </w:rPr>
        <w:t>人，</w:t>
      </w:r>
      <w:r>
        <w:rPr>
          <w:rFonts w:hint="eastAsia" w:ascii="Times New Roman" w:hAnsi="Times New Roman" w:eastAsia="方正仿宋_GBK" w:cs="仿宋_GB2312"/>
          <w:color w:val="000000"/>
          <w:kern w:val="0"/>
          <w:sz w:val="33"/>
          <w:szCs w:val="32"/>
          <w:shd w:val="clear" w:color="auto" w:fill="FFFFFF"/>
          <w:lang w:val="en-US" w:eastAsia="zh-CN" w:bidi="ar-SA"/>
        </w:rPr>
        <w:t>机关工勤2人，</w:t>
      </w:r>
      <w:r>
        <w:rPr>
          <w:rFonts w:hint="eastAsia" w:ascii="Times New Roman" w:hAnsi="Times New Roman" w:eastAsia="方正仿宋_GBK" w:cs="仿宋_GB2312"/>
          <w:color w:val="000000"/>
          <w:kern w:val="0"/>
          <w:sz w:val="33"/>
          <w:szCs w:val="32"/>
          <w:shd w:val="clear" w:color="auto" w:fill="FFFFFF"/>
          <w:lang w:val="zh-CN" w:eastAsia="zh-CN" w:bidi="ar-SA"/>
        </w:rPr>
        <w:t>事业在编人员</w:t>
      </w:r>
      <w:r>
        <w:rPr>
          <w:rFonts w:hint="eastAsia" w:ascii="Times New Roman" w:hAnsi="Times New Roman" w:eastAsia="方正仿宋_GBK" w:cs="仿宋_GB2312"/>
          <w:color w:val="000000"/>
          <w:kern w:val="0"/>
          <w:sz w:val="33"/>
          <w:szCs w:val="32"/>
          <w:shd w:val="clear" w:color="auto" w:fill="FFFFFF"/>
          <w:lang w:val="en-US" w:eastAsia="zh-CN" w:bidi="ar-SA"/>
        </w:rPr>
        <w:t>9</w:t>
      </w:r>
      <w:r>
        <w:rPr>
          <w:rFonts w:hint="eastAsia" w:ascii="Times New Roman" w:hAnsi="Times New Roman" w:eastAsia="方正仿宋_GBK" w:cs="仿宋_GB2312"/>
          <w:color w:val="000000"/>
          <w:kern w:val="0"/>
          <w:sz w:val="33"/>
          <w:szCs w:val="32"/>
          <w:shd w:val="clear" w:color="auto" w:fill="FFFFFF"/>
          <w:lang w:val="zh-CN" w:eastAsia="zh-CN" w:bidi="ar-SA"/>
        </w:rPr>
        <w:t>人，离休人员</w:t>
      </w:r>
      <w:r>
        <w:rPr>
          <w:rFonts w:hint="eastAsia" w:ascii="Times New Roman" w:hAnsi="Times New Roman" w:eastAsia="方正仿宋_GBK" w:cs="仿宋_GB2312"/>
          <w:color w:val="000000"/>
          <w:kern w:val="0"/>
          <w:sz w:val="33"/>
          <w:szCs w:val="32"/>
          <w:shd w:val="clear" w:color="auto" w:fill="FFFFFF"/>
          <w:lang w:val="en-US" w:eastAsia="zh-CN" w:bidi="ar-SA"/>
        </w:rPr>
        <w:t>3人。</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en-US" w:eastAsia="zh-CN" w:bidi="ar-SA"/>
        </w:rPr>
      </w:pPr>
      <w:r>
        <w:rPr>
          <w:rFonts w:hint="eastAsia" w:ascii="楷体_GB2312" w:hAnsi="楷体_GB2312" w:eastAsia="楷体_GB2312" w:cs="楷体_GB2312"/>
          <w:b/>
          <w:bCs/>
          <w:kern w:val="0"/>
          <w:sz w:val="32"/>
          <w:szCs w:val="32"/>
          <w:shd w:val="clear" w:color="auto" w:fill="FFFFFF"/>
          <w:lang w:val="en-US" w:eastAsia="zh-CN"/>
        </w:rPr>
        <w:t>（三）年度主要工作任务</w:t>
      </w:r>
      <w:r>
        <w:rPr>
          <w:rFonts w:hint="eastAsia" w:ascii="楷体_GB2312" w:hAnsi="楷体_GB2312" w:eastAsia="楷体_GB2312" w:cs="楷体_GB2312"/>
          <w:b/>
          <w:bCs/>
          <w:kern w:val="0"/>
          <w:sz w:val="32"/>
          <w:szCs w:val="32"/>
          <w:shd w:val="clear" w:color="auto" w:fill="FFFFFF"/>
          <w:lang w:val="zh-CN"/>
        </w:rPr>
        <w:t>。</w:t>
      </w:r>
    </w:p>
    <w:p>
      <w:pPr>
        <w:keepNext w:val="0"/>
        <w:keepLines w:val="0"/>
        <w:pageBreakBefore w:val="0"/>
        <w:widowControl/>
        <w:kinsoku/>
        <w:wordWrap/>
        <w:overflowPunct/>
        <w:topLinePunct w:val="0"/>
        <w:autoSpaceDE/>
        <w:autoSpaceDN/>
        <w:bidi w:val="0"/>
        <w:adjustRightInd w:val="0"/>
        <w:snapToGrid w:val="0"/>
        <w:spacing w:line="240" w:lineRule="auto"/>
        <w:ind w:firstLine="66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en-US" w:eastAsia="zh-CN" w:bidi="ar-SA"/>
        </w:rPr>
      </w:pPr>
      <w:r>
        <w:rPr>
          <w:rFonts w:hint="eastAsia" w:ascii="Times New Roman" w:hAnsi="Times New Roman" w:eastAsia="方正仿宋_GBK" w:cs="仿宋_GB2312"/>
          <w:b/>
          <w:bCs/>
          <w:color w:val="000000"/>
          <w:kern w:val="0"/>
          <w:sz w:val="33"/>
          <w:szCs w:val="32"/>
          <w:shd w:val="clear" w:color="auto" w:fill="FFFFFF"/>
          <w:lang w:val="en-US" w:eastAsia="zh-CN" w:bidi="ar-SA"/>
        </w:rPr>
        <w:t>坚持政治为先，理论武装更加深入。</w:t>
      </w:r>
      <w:bookmarkStart w:id="335" w:name="_GoBack"/>
      <w:bookmarkEnd w:id="335"/>
      <w:r>
        <w:rPr>
          <w:rFonts w:hint="eastAsia" w:ascii="Times New Roman" w:hAnsi="Times New Roman" w:eastAsia="方正仿宋_GBK" w:cs="仿宋_GB2312"/>
          <w:color w:val="000000"/>
          <w:kern w:val="0"/>
          <w:sz w:val="33"/>
          <w:szCs w:val="32"/>
          <w:shd w:val="clear" w:color="auto" w:fill="FFFFFF"/>
          <w:lang w:val="en-US" w:eastAsia="zh-CN" w:bidi="ar-SA"/>
        </w:rPr>
        <w:t>举办县级领导干部和科级主要负责同志读书班、新任职科级领导干部培训班村（社区）党组织书记进修班暨发展壮大村级集体经济专题研讨班等培训班14期，培训各级各类党员干部1312名。打造税务局“笮税先锋”等5个特色现场教学点位，创新开办“笮悦慧”大讲堂，同步推进“党课开讲啦”“书记龙门阵”“主题党日”“基层党建巡礼”活动，各级党员领导干部累计开展党课宣讲700余次，5773名党员参加听党课活动。扎实推进党校分类建设，党校红格新校区11月份投入使用。</w:t>
      </w:r>
    </w:p>
    <w:p>
      <w:pPr>
        <w:keepNext w:val="0"/>
        <w:keepLines w:val="0"/>
        <w:pageBreakBefore w:val="0"/>
        <w:widowControl/>
        <w:kinsoku/>
        <w:wordWrap/>
        <w:overflowPunct/>
        <w:topLinePunct w:val="0"/>
        <w:autoSpaceDE/>
        <w:autoSpaceDN/>
        <w:bidi w:val="0"/>
        <w:adjustRightInd w:val="0"/>
        <w:snapToGrid w:val="0"/>
        <w:spacing w:line="240" w:lineRule="auto"/>
        <w:ind w:firstLine="66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en-US" w:eastAsia="zh-CN" w:bidi="ar-SA"/>
        </w:rPr>
      </w:pPr>
      <w:r>
        <w:rPr>
          <w:rFonts w:hint="eastAsia" w:ascii="Times New Roman" w:hAnsi="Times New Roman" w:eastAsia="方正仿宋_GBK" w:cs="仿宋_GB2312"/>
          <w:b/>
          <w:bCs/>
          <w:color w:val="000000"/>
          <w:kern w:val="0"/>
          <w:sz w:val="33"/>
          <w:szCs w:val="32"/>
          <w:shd w:val="clear" w:color="auto" w:fill="FFFFFF"/>
          <w:lang w:val="en-US" w:eastAsia="zh-CN" w:bidi="ar-SA"/>
        </w:rPr>
        <w:t>坚持事业为上，用人导向更加鲜明。</w:t>
      </w:r>
      <w:r>
        <w:rPr>
          <w:rFonts w:hint="eastAsia" w:ascii="Times New Roman" w:hAnsi="Times New Roman" w:eastAsia="方正仿宋_GBK" w:cs="仿宋_GB2312"/>
          <w:color w:val="000000"/>
          <w:kern w:val="0"/>
          <w:sz w:val="33"/>
          <w:szCs w:val="32"/>
          <w:shd w:val="clear" w:color="auto" w:fill="FFFFFF"/>
          <w:lang w:val="en-US" w:eastAsia="zh-CN" w:bidi="ar-SA"/>
        </w:rPr>
        <w:t>鲜明选人用人导向，提拔重用坚决维护党中央权威、全面贯彻执行党的理论和路线方针政策、忠诚干净担当的干部，目前提请县委常委会研究干部人事议题13次，调整县管干部244人次。注重年轻干部储备培养，采取“组织推荐、领导举荐、个人自荐”方式掌握储备优秀年轻干部341名，选派17名干部上挂锻炼、55名干部到村任职、44名干部跟班学习。坚持严管厚爱，2个党组、1名领导干部被“红黄牌”监管扣分，完成公务员（参公人员）355人次职级晋升、事业人员154人次职员等级晋升，持续激励干部担当作为。</w:t>
      </w:r>
    </w:p>
    <w:p>
      <w:pPr>
        <w:keepNext w:val="0"/>
        <w:keepLines w:val="0"/>
        <w:pageBreakBefore w:val="0"/>
        <w:widowControl/>
        <w:kinsoku/>
        <w:wordWrap/>
        <w:overflowPunct/>
        <w:topLinePunct w:val="0"/>
        <w:autoSpaceDE/>
        <w:autoSpaceDN/>
        <w:bidi w:val="0"/>
        <w:adjustRightInd w:val="0"/>
        <w:snapToGrid w:val="0"/>
        <w:spacing w:line="240" w:lineRule="auto"/>
        <w:ind w:firstLine="66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en-US" w:eastAsia="zh-CN" w:bidi="ar-SA"/>
        </w:rPr>
      </w:pPr>
      <w:r>
        <w:rPr>
          <w:rFonts w:hint="eastAsia" w:ascii="Times New Roman" w:hAnsi="Times New Roman" w:eastAsia="方正仿宋_GBK" w:cs="仿宋_GB2312"/>
          <w:b/>
          <w:bCs/>
          <w:color w:val="000000"/>
          <w:kern w:val="0"/>
          <w:sz w:val="33"/>
          <w:szCs w:val="32"/>
          <w:shd w:val="clear" w:color="auto" w:fill="FFFFFF"/>
          <w:lang w:val="en-US" w:eastAsia="zh-CN" w:bidi="ar-SA"/>
        </w:rPr>
        <w:t>坚持基层为本，党建引领更加有力。</w:t>
      </w:r>
      <w:r>
        <w:rPr>
          <w:rFonts w:hint="eastAsia" w:ascii="Times New Roman" w:hAnsi="Times New Roman" w:eastAsia="方正仿宋_GBK" w:cs="仿宋_GB2312"/>
          <w:color w:val="000000"/>
          <w:kern w:val="0"/>
          <w:sz w:val="33"/>
          <w:szCs w:val="32"/>
          <w:shd w:val="clear" w:color="auto" w:fill="FFFFFF"/>
          <w:lang w:val="en-US" w:eastAsia="zh-CN" w:bidi="ar-SA"/>
        </w:rPr>
        <w:t>健全基本组织，规范教育、卫生系统党组织设置23个，理顺钒钛产业园区、红格度假区党组织关系17个，评定4A级村党组织3个、3A级村党组织5个，整顿软弱涣散基层党组织3个。注重党内关怀，颁发“光荣在党50年”纪念章125个，慰问党内关爱对象35人、发放慰问金10.4万元。推进新业态、新就业群体党建，摸清新业态企业32个，新就业群体409人、党员112人，成立交通运输、“小个专”综合党委，建立党组织9个，打造货车司机驿站4个。创新成立乡村发展公司，推动2022年集体经济总收入1527万元，村级集体经济年收入低于3万元的薄弱村全面消除，收入100万元、20万元、5万元以上的行政村占比分别达6.3%、23.8%、72.5%。</w:t>
      </w:r>
    </w:p>
    <w:p>
      <w:pPr>
        <w:keepNext w:val="0"/>
        <w:keepLines w:val="0"/>
        <w:pageBreakBefore w:val="0"/>
        <w:widowControl/>
        <w:kinsoku/>
        <w:wordWrap/>
        <w:overflowPunct/>
        <w:topLinePunct w:val="0"/>
        <w:autoSpaceDE/>
        <w:autoSpaceDN/>
        <w:bidi w:val="0"/>
        <w:adjustRightInd w:val="0"/>
        <w:snapToGrid w:val="0"/>
        <w:spacing w:line="240" w:lineRule="auto"/>
        <w:ind w:firstLine="66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b/>
          <w:bCs/>
          <w:color w:val="000000"/>
          <w:kern w:val="0"/>
          <w:sz w:val="33"/>
          <w:szCs w:val="32"/>
          <w:shd w:val="clear" w:color="auto" w:fill="FFFFFF"/>
          <w:lang w:val="en-US" w:eastAsia="zh-CN" w:bidi="ar-SA"/>
        </w:rPr>
        <w:t>坚持创新驱动，人才活力更加强劲。</w:t>
      </w:r>
      <w:r>
        <w:rPr>
          <w:rFonts w:hint="eastAsia" w:ascii="Times New Roman" w:hAnsi="Times New Roman" w:eastAsia="方正仿宋_GBK" w:cs="仿宋_GB2312"/>
          <w:color w:val="000000"/>
          <w:kern w:val="0"/>
          <w:sz w:val="33"/>
          <w:szCs w:val="32"/>
          <w:shd w:val="clear" w:color="auto" w:fill="FFFFFF"/>
          <w:lang w:val="en-US" w:eastAsia="zh-CN" w:bidi="ar-SA"/>
        </w:rPr>
        <w:t>加大各领域人才招引力度，深入实施“智汇盐边”人才集聚计划、大学生百岗见习计划、本土人才“回引工程”，成立“青汇盐边”大学生联盟会，引进各类人才39人、优秀农民工1214人，考核招录223人。围绕“滋味盐边”发展定位，柔性引进四川旅游学院、四川烹饪学院专家人才团队和广西螺蛳粉预包装食品技术专家团队，“羊鼎计”盐边羊肉米线预包装食品已正式发布；建成中丝天成（攀枝花）有限公司市级专家工作站，引进市内外蚕桑专家17名，为盐边特色产业发展提供智力支撑。</w:t>
      </w:r>
    </w:p>
    <w:p>
      <w:pPr>
        <w:keepNext w:val="0"/>
        <w:keepLines w:val="0"/>
        <w:pageBreakBefore w:val="0"/>
        <w:widowControl/>
        <w:numPr>
          <w:ilvl w:val="0"/>
          <w:numId w:val="5"/>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9"/>
        <w:rPr>
          <w:rFonts w:hint="eastAsia" w:ascii="黑体" w:hAnsi="宋体" w:eastAsia="黑体" w:cs="宋体"/>
          <w:kern w:val="0"/>
          <w:sz w:val="32"/>
          <w:szCs w:val="32"/>
          <w:shd w:val="clear" w:color="auto" w:fill="FFFFFF"/>
          <w:lang w:val="zh-CN"/>
        </w:rPr>
      </w:pPr>
      <w:bookmarkStart w:id="97" w:name="_Toc21409_WPSOffice_Level1"/>
      <w:bookmarkStart w:id="98" w:name="_Toc32373_WPSOffice_Level1"/>
      <w:bookmarkStart w:id="99" w:name="_Toc20667_WPSOffice_Level1"/>
      <w:bookmarkStart w:id="100" w:name="_Toc3680_WPSOffice_Level1"/>
      <w:r>
        <w:rPr>
          <w:rFonts w:hint="eastAsia" w:ascii="黑体" w:hAnsi="宋体" w:eastAsia="黑体" w:cs="宋体"/>
          <w:kern w:val="0"/>
          <w:sz w:val="32"/>
          <w:szCs w:val="32"/>
          <w:shd w:val="clear" w:color="auto" w:fill="FFFFFF"/>
          <w:lang w:val="zh-CN"/>
        </w:rPr>
        <w:t>部门财政资金收支情况</w:t>
      </w:r>
      <w:bookmarkEnd w:id="97"/>
      <w:bookmarkEnd w:id="98"/>
      <w:bookmarkEnd w:id="99"/>
      <w:bookmarkEnd w:id="100"/>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bookmarkStart w:id="101" w:name="_Toc32171_WPSOffice_Level2"/>
      <w:bookmarkStart w:id="102" w:name="_Toc20786_WPSOffice_Level2"/>
      <w:bookmarkStart w:id="103" w:name="_Toc18000_WPSOffice_Level2"/>
      <w:bookmarkStart w:id="104" w:name="_Toc21647_WPSOffice_Level2"/>
      <w:r>
        <w:rPr>
          <w:rFonts w:hint="eastAsia" w:ascii="楷体_GB2312" w:hAnsi="楷体_GB2312" w:eastAsia="楷体_GB2312" w:cs="楷体_GB2312"/>
          <w:b/>
          <w:bCs/>
          <w:kern w:val="0"/>
          <w:sz w:val="32"/>
          <w:szCs w:val="32"/>
          <w:shd w:val="clear" w:color="auto" w:fill="FFFFFF"/>
          <w:lang w:val="zh-CN"/>
        </w:rPr>
        <w:t>（一）部门财政资金收入情况。</w:t>
      </w:r>
      <w:bookmarkEnd w:id="101"/>
      <w:bookmarkEnd w:id="102"/>
      <w:bookmarkEnd w:id="103"/>
      <w:bookmarkEnd w:id="104"/>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仿宋_GB2312"/>
          <w:color w:val="000000"/>
          <w:kern w:val="0"/>
          <w:sz w:val="33"/>
          <w:szCs w:val="32"/>
          <w:shd w:val="clear" w:color="auto" w:fill="FFFFFF"/>
          <w:lang w:val="en-US" w:eastAsia="zh-CN" w:bidi="ar-SA"/>
        </w:rPr>
      </w:pPr>
      <w:r>
        <w:rPr>
          <w:rFonts w:hint="eastAsia" w:ascii="Times New Roman" w:hAnsi="Times New Roman" w:eastAsia="方正仿宋_GBK" w:cs="仿宋_GB2312"/>
          <w:color w:val="000000"/>
          <w:kern w:val="0"/>
          <w:sz w:val="33"/>
          <w:szCs w:val="32"/>
          <w:shd w:val="clear" w:color="auto" w:fill="FFFFFF"/>
          <w:lang w:val="zh-CN" w:eastAsia="zh-CN" w:bidi="ar-SA"/>
        </w:rPr>
        <w:t>202</w:t>
      </w:r>
      <w:r>
        <w:rPr>
          <w:rFonts w:hint="eastAsia" w:ascii="Times New Roman" w:hAnsi="Times New Roman" w:eastAsia="方正仿宋_GBK" w:cs="仿宋_GB2312"/>
          <w:color w:val="000000"/>
          <w:kern w:val="0"/>
          <w:sz w:val="33"/>
          <w:szCs w:val="32"/>
          <w:shd w:val="clear" w:color="auto" w:fill="FFFFFF"/>
          <w:lang w:val="en-US" w:eastAsia="zh-CN" w:bidi="ar-SA"/>
        </w:rPr>
        <w:t>2</w:t>
      </w:r>
      <w:r>
        <w:rPr>
          <w:rFonts w:hint="eastAsia" w:ascii="Times New Roman" w:hAnsi="Times New Roman" w:eastAsia="方正仿宋_GBK" w:cs="仿宋_GB2312"/>
          <w:color w:val="000000"/>
          <w:kern w:val="0"/>
          <w:sz w:val="33"/>
          <w:szCs w:val="32"/>
          <w:shd w:val="clear" w:color="auto" w:fill="FFFFFF"/>
          <w:lang w:val="zh-CN" w:eastAsia="zh-CN" w:bidi="ar-SA"/>
        </w:rPr>
        <w:t>年年初部门预算安排收入为</w:t>
      </w:r>
      <w:r>
        <w:rPr>
          <w:rFonts w:hint="eastAsia" w:ascii="Times New Roman" w:hAnsi="Times New Roman" w:eastAsia="方正仿宋_GBK" w:cs="仿宋_GB2312"/>
          <w:color w:val="000000"/>
          <w:kern w:val="0"/>
          <w:sz w:val="33"/>
          <w:szCs w:val="32"/>
          <w:shd w:val="clear" w:color="auto" w:fill="FFFFFF"/>
          <w:lang w:val="en-US" w:eastAsia="zh-CN" w:bidi="ar-SA"/>
        </w:rPr>
        <w:t>673.49</w:t>
      </w:r>
      <w:r>
        <w:rPr>
          <w:rFonts w:hint="eastAsia" w:ascii="Times New Roman" w:hAnsi="Times New Roman" w:eastAsia="方正仿宋_GBK" w:cs="仿宋_GB2312"/>
          <w:color w:val="000000"/>
          <w:kern w:val="0"/>
          <w:sz w:val="33"/>
          <w:szCs w:val="32"/>
          <w:shd w:val="clear" w:color="auto" w:fill="FFFFFF"/>
          <w:lang w:val="zh-CN" w:eastAsia="zh-CN" w:bidi="ar-SA"/>
        </w:rPr>
        <w:t>万元。当年调增及调减后实际预算下达收入</w:t>
      </w:r>
      <w:r>
        <w:rPr>
          <w:rFonts w:hint="eastAsia" w:ascii="Times New Roman" w:hAnsi="Times New Roman" w:eastAsia="方正仿宋_GBK" w:cs="仿宋_GB2312"/>
          <w:color w:val="000000"/>
          <w:kern w:val="0"/>
          <w:sz w:val="33"/>
          <w:szCs w:val="32"/>
          <w:shd w:val="clear" w:color="auto" w:fill="FFFFFF"/>
          <w:lang w:val="en-US" w:eastAsia="zh-CN" w:bidi="ar-SA"/>
        </w:rPr>
        <w:t>1116.13</w:t>
      </w:r>
      <w:r>
        <w:rPr>
          <w:rFonts w:hint="eastAsia" w:ascii="Times New Roman" w:hAnsi="Times New Roman" w:eastAsia="方正仿宋_GBK" w:cs="仿宋_GB2312"/>
          <w:color w:val="000000"/>
          <w:kern w:val="0"/>
          <w:sz w:val="33"/>
          <w:szCs w:val="32"/>
          <w:shd w:val="clear" w:color="auto" w:fill="FFFFFF"/>
          <w:lang w:val="zh-CN" w:eastAsia="zh-CN" w:bidi="ar-SA"/>
        </w:rPr>
        <w:t>万元。</w:t>
      </w:r>
      <w:r>
        <w:rPr>
          <w:rFonts w:hint="eastAsia" w:ascii="Times New Roman" w:hAnsi="Times New Roman" w:eastAsia="方正仿宋_GBK" w:cs="仿宋_GB2312"/>
          <w:color w:val="000000"/>
          <w:kern w:val="0"/>
          <w:sz w:val="33"/>
          <w:szCs w:val="32"/>
          <w:shd w:val="clear" w:color="auto" w:fill="FFFFFF"/>
          <w:lang w:val="en-US" w:eastAsia="zh-CN" w:bidi="ar-SA"/>
        </w:rPr>
        <w:t>其中基本支出收入879.36万元；项目收入236.76万元，其中选调生专项收入68.62万元，2021年结转选调生专项资金7.82万元。</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bookmarkStart w:id="105" w:name="_Toc13063_WPSOffice_Level2"/>
      <w:bookmarkStart w:id="106" w:name="_Toc10231_WPSOffice_Level2"/>
      <w:bookmarkStart w:id="107" w:name="_Toc1245_WPSOffice_Level2"/>
      <w:bookmarkStart w:id="108" w:name="_Toc2500_WPSOffice_Level2"/>
      <w:r>
        <w:rPr>
          <w:rFonts w:hint="eastAsia" w:ascii="楷体_GB2312" w:hAnsi="楷体_GB2312" w:eastAsia="楷体_GB2312" w:cs="楷体_GB2312"/>
          <w:b/>
          <w:bCs/>
          <w:kern w:val="0"/>
          <w:sz w:val="32"/>
          <w:szCs w:val="32"/>
          <w:shd w:val="clear" w:color="auto" w:fill="FFFFFF"/>
          <w:lang w:val="zh-CN"/>
        </w:rPr>
        <w:t>（</w:t>
      </w:r>
      <w:r>
        <w:rPr>
          <w:rFonts w:hint="eastAsia" w:ascii="楷体_GB2312" w:hAnsi="楷体_GB2312" w:eastAsia="楷体_GB2312" w:cs="楷体_GB2312"/>
          <w:b/>
          <w:bCs/>
          <w:kern w:val="0"/>
          <w:sz w:val="32"/>
          <w:szCs w:val="32"/>
          <w:shd w:val="clear" w:color="auto" w:fill="FFFFFF"/>
          <w:lang w:val="en-US" w:eastAsia="zh-CN"/>
        </w:rPr>
        <w:t>二</w:t>
      </w:r>
      <w:r>
        <w:rPr>
          <w:rFonts w:hint="eastAsia" w:ascii="楷体_GB2312" w:hAnsi="楷体_GB2312" w:eastAsia="楷体_GB2312" w:cs="楷体_GB2312"/>
          <w:b/>
          <w:bCs/>
          <w:kern w:val="0"/>
          <w:sz w:val="32"/>
          <w:szCs w:val="32"/>
          <w:shd w:val="clear" w:color="auto" w:fill="FFFFFF"/>
          <w:lang w:val="zh-CN"/>
        </w:rPr>
        <w:t>）部门财政资金支出情况</w:t>
      </w:r>
      <w:r>
        <w:rPr>
          <w:rFonts w:hint="eastAsia" w:ascii="Times New Roman" w:hAnsi="Times New Roman" w:eastAsia="方正仿宋_GBK" w:cs="仿宋_GB2312"/>
          <w:color w:val="000000"/>
          <w:kern w:val="0"/>
          <w:sz w:val="33"/>
          <w:szCs w:val="32"/>
          <w:shd w:val="clear" w:color="auto" w:fill="FFFFFF"/>
          <w:lang w:val="zh-CN"/>
        </w:rPr>
        <w:t>。</w:t>
      </w:r>
      <w:bookmarkEnd w:id="105"/>
      <w:bookmarkEnd w:id="106"/>
      <w:bookmarkEnd w:id="107"/>
      <w:bookmarkEnd w:id="108"/>
    </w:p>
    <w:p>
      <w:pPr>
        <w:pStyle w:val="2"/>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663" w:firstLineChars="200"/>
        <w:jc w:val="both"/>
        <w:textAlignment w:val="auto"/>
        <w:outlineLvl w:val="9"/>
        <w:rPr>
          <w:rFonts w:hint="eastAsia" w:ascii="Times New Roman" w:hAnsi="Times New Roman" w:eastAsia="方正仿宋_GBK" w:cs="仿宋_GB2312"/>
          <w:b/>
          <w:bCs/>
          <w:color w:val="000000"/>
          <w:kern w:val="0"/>
          <w:sz w:val="33"/>
          <w:szCs w:val="32"/>
          <w:shd w:val="clear" w:color="auto" w:fill="FFFFFF"/>
          <w:lang w:val="zh-CN" w:eastAsia="zh-CN" w:bidi="ar-SA"/>
        </w:rPr>
      </w:pPr>
      <w:bookmarkStart w:id="109" w:name="_Toc18990"/>
      <w:bookmarkStart w:id="110" w:name="_Toc9186"/>
      <w:r>
        <w:rPr>
          <w:rFonts w:hint="eastAsia" w:ascii="Times New Roman" w:hAnsi="Times New Roman" w:eastAsia="方正仿宋_GBK" w:cs="仿宋_GB2312"/>
          <w:b/>
          <w:bCs/>
          <w:color w:val="000000"/>
          <w:kern w:val="0"/>
          <w:sz w:val="33"/>
          <w:szCs w:val="32"/>
          <w:shd w:val="clear" w:color="auto" w:fill="FFFFFF"/>
          <w:lang w:val="zh-CN" w:eastAsia="zh-CN" w:bidi="ar-SA"/>
        </w:rPr>
        <w:t>1.部门预算基本支出情况</w:t>
      </w:r>
      <w:bookmarkEnd w:id="109"/>
      <w:bookmarkEnd w:id="110"/>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color w:val="000000"/>
          <w:kern w:val="0"/>
          <w:sz w:val="33"/>
          <w:szCs w:val="32"/>
          <w:shd w:val="clear" w:color="auto" w:fill="FFFFFF"/>
          <w:lang w:val="zh-CN" w:eastAsia="zh-CN" w:bidi="ar-SA"/>
        </w:rPr>
        <w:t>202</w:t>
      </w:r>
      <w:r>
        <w:rPr>
          <w:rFonts w:hint="eastAsia" w:ascii="Times New Roman" w:hAnsi="Times New Roman" w:eastAsia="方正仿宋_GBK" w:cs="仿宋_GB2312"/>
          <w:color w:val="000000"/>
          <w:kern w:val="0"/>
          <w:sz w:val="33"/>
          <w:szCs w:val="32"/>
          <w:shd w:val="clear" w:color="auto" w:fill="FFFFFF"/>
          <w:lang w:val="en-US" w:eastAsia="zh-CN" w:bidi="ar-SA"/>
        </w:rPr>
        <w:t>2</w:t>
      </w:r>
      <w:r>
        <w:rPr>
          <w:rFonts w:hint="eastAsia" w:ascii="Times New Roman" w:hAnsi="Times New Roman" w:eastAsia="方正仿宋_GBK" w:cs="仿宋_GB2312"/>
          <w:color w:val="000000"/>
          <w:kern w:val="0"/>
          <w:sz w:val="33"/>
          <w:szCs w:val="32"/>
          <w:shd w:val="clear" w:color="auto" w:fill="FFFFFF"/>
          <w:lang w:val="zh-CN" w:eastAsia="zh-CN" w:bidi="ar-SA"/>
        </w:rPr>
        <w:t>年年初部门预算安排基本支出为</w:t>
      </w:r>
      <w:r>
        <w:rPr>
          <w:rFonts w:hint="eastAsia" w:ascii="Times New Roman" w:hAnsi="Times New Roman" w:eastAsia="方正仿宋_GBK" w:cs="仿宋_GB2312"/>
          <w:color w:val="000000"/>
          <w:kern w:val="0"/>
          <w:sz w:val="33"/>
          <w:szCs w:val="32"/>
          <w:shd w:val="clear" w:color="auto" w:fill="FFFFFF"/>
          <w:lang w:val="en-US" w:eastAsia="zh-CN" w:bidi="ar-SA"/>
        </w:rPr>
        <w:t>879.36</w:t>
      </w:r>
      <w:r>
        <w:rPr>
          <w:rFonts w:hint="eastAsia" w:ascii="Times New Roman" w:hAnsi="Times New Roman" w:eastAsia="方正仿宋_GBK" w:cs="仿宋_GB2312"/>
          <w:color w:val="000000"/>
          <w:kern w:val="0"/>
          <w:sz w:val="33"/>
          <w:szCs w:val="32"/>
          <w:shd w:val="clear" w:color="auto" w:fill="FFFFFF"/>
          <w:lang w:val="zh-CN" w:eastAsia="zh-CN" w:bidi="ar-SA"/>
        </w:rPr>
        <w:t>万元。其中：工资福利支出</w:t>
      </w:r>
      <w:r>
        <w:rPr>
          <w:rFonts w:hint="eastAsia" w:ascii="Times New Roman" w:hAnsi="Times New Roman" w:eastAsia="方正仿宋_GBK" w:cs="仿宋_GB2312"/>
          <w:color w:val="000000"/>
          <w:kern w:val="0"/>
          <w:sz w:val="33"/>
          <w:szCs w:val="32"/>
          <w:shd w:val="clear" w:color="auto" w:fill="FFFFFF"/>
          <w:lang w:val="en-US" w:eastAsia="zh-CN" w:bidi="ar-SA"/>
        </w:rPr>
        <w:t>729.65</w:t>
      </w:r>
      <w:r>
        <w:rPr>
          <w:rFonts w:hint="eastAsia" w:ascii="Times New Roman" w:hAnsi="Times New Roman" w:eastAsia="方正仿宋_GBK" w:cs="仿宋_GB2312"/>
          <w:color w:val="000000"/>
          <w:kern w:val="0"/>
          <w:sz w:val="33"/>
          <w:szCs w:val="32"/>
          <w:shd w:val="clear" w:color="auto" w:fill="FFFFFF"/>
          <w:lang w:val="zh-CN" w:eastAsia="zh-CN" w:bidi="ar-SA"/>
        </w:rPr>
        <w:t>万元，日常公用支出</w:t>
      </w:r>
      <w:r>
        <w:rPr>
          <w:rFonts w:hint="eastAsia" w:ascii="Times New Roman" w:hAnsi="Times New Roman" w:eastAsia="方正仿宋_GBK" w:cs="仿宋_GB2312"/>
          <w:color w:val="000000"/>
          <w:kern w:val="0"/>
          <w:sz w:val="33"/>
          <w:szCs w:val="32"/>
          <w:shd w:val="clear" w:color="auto" w:fill="FFFFFF"/>
          <w:lang w:val="en-US" w:eastAsia="zh-CN" w:bidi="ar-SA"/>
        </w:rPr>
        <w:t>62.14</w:t>
      </w:r>
      <w:r>
        <w:rPr>
          <w:rFonts w:hint="eastAsia" w:ascii="Times New Roman" w:hAnsi="Times New Roman" w:eastAsia="方正仿宋_GBK" w:cs="仿宋_GB2312"/>
          <w:color w:val="000000"/>
          <w:kern w:val="0"/>
          <w:sz w:val="33"/>
          <w:szCs w:val="32"/>
          <w:shd w:val="clear" w:color="auto" w:fill="FFFFFF"/>
          <w:lang w:val="zh-CN" w:eastAsia="zh-CN" w:bidi="ar-SA"/>
        </w:rPr>
        <w:t>万元。当年调增及调减后实际预算下达基本支出726.60万元。</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color w:val="000000"/>
          <w:kern w:val="0"/>
          <w:sz w:val="33"/>
          <w:szCs w:val="32"/>
          <w:shd w:val="clear" w:color="auto" w:fill="FFFFFF"/>
          <w:lang w:val="zh-CN" w:eastAsia="zh-CN" w:bidi="ar-SA"/>
        </w:rPr>
        <w:t>基本支出中的工资福利、对个人和家庭补助支出主要用于职工基本工资、绩效工资、津贴补贴、养老保险等各类保险缴费、在职及退休人员目标奖奖金、住房公积金等。日常公用支出主要用于办公费、水费、邮电费、差旅费、</w:t>
      </w:r>
      <w:r>
        <w:rPr>
          <w:rFonts w:hint="eastAsia" w:ascii="Times New Roman" w:hAnsi="Times New Roman" w:eastAsia="方正仿宋_GBK" w:cs="仿宋_GB2312"/>
          <w:color w:val="000000"/>
          <w:kern w:val="0"/>
          <w:sz w:val="33"/>
          <w:szCs w:val="32"/>
          <w:shd w:val="clear" w:color="auto" w:fill="FFFFFF"/>
          <w:lang w:val="en-US" w:eastAsia="zh-CN" w:bidi="ar-SA"/>
        </w:rPr>
        <w:t>会议费、培训费、印刷</w:t>
      </w:r>
      <w:r>
        <w:rPr>
          <w:rFonts w:hint="eastAsia" w:ascii="Times New Roman" w:hAnsi="Times New Roman" w:eastAsia="方正仿宋_GBK" w:cs="仿宋_GB2312"/>
          <w:color w:val="000000"/>
          <w:kern w:val="0"/>
          <w:sz w:val="33"/>
          <w:szCs w:val="32"/>
          <w:shd w:val="clear" w:color="auto" w:fill="FFFFFF"/>
          <w:lang w:val="zh-CN" w:eastAsia="zh-CN" w:bidi="ar-SA"/>
        </w:rPr>
        <w:t>费等方面。</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663" w:firstLineChars="200"/>
        <w:jc w:val="both"/>
        <w:textAlignment w:val="auto"/>
        <w:outlineLvl w:val="9"/>
        <w:rPr>
          <w:rFonts w:hint="eastAsia" w:ascii="Times New Roman" w:hAnsi="Times New Roman" w:eastAsia="方正仿宋_GBK" w:cs="仿宋_GB2312"/>
          <w:b/>
          <w:bCs/>
          <w:color w:val="000000"/>
          <w:kern w:val="0"/>
          <w:sz w:val="33"/>
          <w:szCs w:val="32"/>
          <w:shd w:val="clear" w:color="auto" w:fill="FFFFFF"/>
          <w:lang w:val="zh-CN" w:eastAsia="zh-CN" w:bidi="ar-SA"/>
        </w:rPr>
      </w:pPr>
      <w:bookmarkStart w:id="111" w:name="_Toc21012"/>
      <w:bookmarkStart w:id="112" w:name="_Toc1427"/>
      <w:r>
        <w:rPr>
          <w:rFonts w:hint="eastAsia" w:ascii="Times New Roman" w:hAnsi="Times New Roman" w:eastAsia="方正仿宋_GBK" w:cs="仿宋_GB2312"/>
          <w:b/>
          <w:bCs/>
          <w:color w:val="000000"/>
          <w:kern w:val="0"/>
          <w:sz w:val="33"/>
          <w:szCs w:val="32"/>
          <w:shd w:val="clear" w:color="auto" w:fill="FFFFFF"/>
          <w:lang w:val="zh-CN" w:eastAsia="zh-CN" w:bidi="ar-SA"/>
        </w:rPr>
        <w:t>2.部门预算项目安排及支出情况。</w:t>
      </w:r>
      <w:bookmarkEnd w:id="111"/>
      <w:bookmarkEnd w:id="112"/>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color w:val="000000"/>
          <w:kern w:val="0"/>
          <w:sz w:val="33"/>
          <w:szCs w:val="32"/>
          <w:shd w:val="clear" w:color="auto" w:fill="FFFFFF"/>
          <w:lang w:val="zh-CN" w:eastAsia="zh-CN" w:bidi="ar-SA"/>
        </w:rPr>
        <w:t>202</w:t>
      </w:r>
      <w:r>
        <w:rPr>
          <w:rFonts w:hint="eastAsia" w:ascii="Times New Roman" w:hAnsi="Times New Roman" w:eastAsia="方正仿宋_GBK" w:cs="仿宋_GB2312"/>
          <w:color w:val="000000"/>
          <w:kern w:val="0"/>
          <w:sz w:val="33"/>
          <w:szCs w:val="32"/>
          <w:shd w:val="clear" w:color="auto" w:fill="FFFFFF"/>
          <w:lang w:val="en-US" w:eastAsia="zh-CN" w:bidi="ar-SA"/>
        </w:rPr>
        <w:t>2</w:t>
      </w:r>
      <w:r>
        <w:rPr>
          <w:rFonts w:hint="eastAsia" w:ascii="Times New Roman" w:hAnsi="Times New Roman" w:eastAsia="方正仿宋_GBK" w:cs="仿宋_GB2312"/>
          <w:color w:val="000000"/>
          <w:kern w:val="0"/>
          <w:sz w:val="33"/>
          <w:szCs w:val="32"/>
          <w:shd w:val="clear" w:color="auto" w:fill="FFFFFF"/>
          <w:lang w:val="zh-CN" w:eastAsia="zh-CN" w:bidi="ar-SA"/>
        </w:rPr>
        <w:t>年年初部门预算安排项目支出为</w:t>
      </w:r>
      <w:r>
        <w:rPr>
          <w:rFonts w:hint="eastAsia" w:ascii="Times New Roman" w:hAnsi="Times New Roman" w:eastAsia="方正仿宋_GBK" w:cs="仿宋_GB2312"/>
          <w:color w:val="000000"/>
          <w:kern w:val="0"/>
          <w:sz w:val="33"/>
          <w:szCs w:val="32"/>
          <w:shd w:val="clear" w:color="auto" w:fill="FFFFFF"/>
          <w:lang w:val="en-US" w:eastAsia="zh-CN" w:bidi="ar-SA"/>
        </w:rPr>
        <w:t>70.57</w:t>
      </w:r>
      <w:r>
        <w:rPr>
          <w:rFonts w:hint="eastAsia" w:ascii="Times New Roman" w:hAnsi="Times New Roman" w:eastAsia="方正仿宋_GBK" w:cs="仿宋_GB2312"/>
          <w:color w:val="000000"/>
          <w:kern w:val="0"/>
          <w:sz w:val="33"/>
          <w:szCs w:val="32"/>
          <w:shd w:val="clear" w:color="auto" w:fill="FFFFFF"/>
          <w:lang w:val="zh-CN" w:eastAsia="zh-CN" w:bidi="ar-SA"/>
        </w:rPr>
        <w:t>万元；202</w:t>
      </w:r>
      <w:r>
        <w:rPr>
          <w:rFonts w:hint="eastAsia" w:ascii="Times New Roman" w:hAnsi="Times New Roman" w:eastAsia="方正仿宋_GBK" w:cs="仿宋_GB2312"/>
          <w:color w:val="000000"/>
          <w:kern w:val="0"/>
          <w:sz w:val="33"/>
          <w:szCs w:val="32"/>
          <w:shd w:val="clear" w:color="auto" w:fill="FFFFFF"/>
          <w:lang w:val="en-US" w:eastAsia="zh-CN" w:bidi="ar-SA"/>
        </w:rPr>
        <w:t>2年追加预算指标后</w:t>
      </w:r>
      <w:r>
        <w:rPr>
          <w:rFonts w:hint="eastAsia" w:ascii="Times New Roman" w:hAnsi="Times New Roman" w:eastAsia="方正仿宋_GBK" w:cs="仿宋_GB2312"/>
          <w:color w:val="000000"/>
          <w:kern w:val="0"/>
          <w:sz w:val="33"/>
          <w:szCs w:val="32"/>
          <w:shd w:val="clear" w:color="auto" w:fill="FFFFFF"/>
          <w:lang w:val="zh-CN" w:eastAsia="zh-CN" w:bidi="ar-SA"/>
        </w:rPr>
        <w:t>实际项目支出</w:t>
      </w:r>
      <w:r>
        <w:rPr>
          <w:rFonts w:hint="eastAsia" w:ascii="Times New Roman" w:hAnsi="Times New Roman" w:eastAsia="方正仿宋_GBK" w:cs="仿宋_GB2312"/>
          <w:color w:val="000000"/>
          <w:kern w:val="0"/>
          <w:sz w:val="33"/>
          <w:szCs w:val="32"/>
          <w:shd w:val="clear" w:color="auto" w:fill="FFFFFF"/>
          <w:lang w:val="en-US" w:eastAsia="zh-CN" w:bidi="ar-SA"/>
        </w:rPr>
        <w:t>236.77</w:t>
      </w:r>
      <w:r>
        <w:rPr>
          <w:rFonts w:hint="eastAsia" w:ascii="Times New Roman" w:hAnsi="Times New Roman" w:eastAsia="方正仿宋_GBK" w:cs="仿宋_GB2312"/>
          <w:color w:val="000000"/>
          <w:kern w:val="0"/>
          <w:sz w:val="33"/>
          <w:szCs w:val="32"/>
          <w:shd w:val="clear" w:color="auto" w:fill="FFFFFF"/>
          <w:lang w:val="zh-CN" w:eastAsia="zh-CN" w:bidi="ar-SA"/>
        </w:rPr>
        <w:t>万元。项目支出主要用于开展</w:t>
      </w:r>
      <w:r>
        <w:rPr>
          <w:rFonts w:hint="eastAsia" w:ascii="Times New Roman" w:hAnsi="Times New Roman" w:eastAsia="方正仿宋_GBK" w:cs="仿宋_GB2312"/>
          <w:color w:val="000000"/>
          <w:kern w:val="0"/>
          <w:sz w:val="33"/>
          <w:szCs w:val="32"/>
          <w:shd w:val="clear" w:color="auto" w:fill="FFFFFF"/>
          <w:lang w:val="en-US" w:eastAsia="zh-CN" w:bidi="ar-SA"/>
        </w:rPr>
        <w:t>专项慰问扶持，例如离退休老干部、特殊困难青少年走访慰问；专项培训业务的开展；关工委和老干部活动中心日常办公运转费用，如办公用品采买、水电费、电话费、公车运行维护费等；选调生到村任职一次性补助、活动费等</w:t>
      </w:r>
      <w:r>
        <w:rPr>
          <w:rFonts w:hint="eastAsia" w:ascii="Times New Roman" w:hAnsi="Times New Roman" w:eastAsia="方正仿宋_GBK" w:cs="仿宋_GB2312"/>
          <w:color w:val="000000"/>
          <w:kern w:val="0"/>
          <w:sz w:val="33"/>
          <w:szCs w:val="32"/>
          <w:shd w:val="clear" w:color="auto" w:fill="FFFFFF"/>
          <w:lang w:val="zh-CN" w:eastAsia="zh-CN" w:bidi="ar-SA"/>
        </w:rPr>
        <w:t>。</w:t>
      </w:r>
    </w:p>
    <w:p>
      <w:pPr>
        <w:keepNext w:val="0"/>
        <w:keepLines w:val="0"/>
        <w:pageBreakBefore w:val="0"/>
        <w:widowControl/>
        <w:numPr>
          <w:ilvl w:val="0"/>
          <w:numId w:val="5"/>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9"/>
        <w:rPr>
          <w:rFonts w:hint="eastAsia" w:ascii="黑体" w:hAnsi="宋体" w:eastAsia="黑体" w:cs="宋体"/>
          <w:kern w:val="0"/>
          <w:sz w:val="32"/>
          <w:szCs w:val="32"/>
          <w:shd w:val="clear" w:color="auto" w:fill="FFFFFF"/>
          <w:lang w:val="zh-CN"/>
        </w:rPr>
      </w:pPr>
      <w:bookmarkStart w:id="113" w:name="_Toc18523_WPSOffice_Level1"/>
      <w:bookmarkStart w:id="114" w:name="_Toc29795_WPSOffice_Level1"/>
      <w:bookmarkStart w:id="115" w:name="_Toc10736_WPSOffice_Level1"/>
      <w:bookmarkStart w:id="116" w:name="_Toc16076_WPSOffice_Level1"/>
      <w:r>
        <w:rPr>
          <w:rFonts w:hint="eastAsia" w:ascii="黑体" w:hAnsi="宋体" w:eastAsia="黑体" w:cs="宋体"/>
          <w:kern w:val="0"/>
          <w:sz w:val="32"/>
          <w:szCs w:val="32"/>
          <w:shd w:val="clear" w:color="auto" w:fill="FFFFFF"/>
          <w:lang w:val="zh-CN"/>
        </w:rPr>
        <w:t>部门整体预算绩效</w:t>
      </w:r>
      <w:bookmarkEnd w:id="113"/>
      <w:bookmarkEnd w:id="114"/>
      <w:bookmarkEnd w:id="115"/>
      <w:bookmarkEnd w:id="116"/>
      <w:r>
        <w:rPr>
          <w:rFonts w:hint="eastAsia" w:ascii="黑体" w:hAnsi="宋体" w:eastAsia="黑体" w:cs="宋体"/>
          <w:kern w:val="0"/>
          <w:sz w:val="32"/>
          <w:szCs w:val="32"/>
          <w:shd w:val="clear" w:color="auto" w:fill="FFFFFF"/>
          <w:lang w:val="en-US" w:eastAsia="zh-CN"/>
        </w:rPr>
        <w:t>分析</w:t>
      </w:r>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bookmarkStart w:id="117" w:name="_Toc10455_WPSOffice_Level2"/>
      <w:bookmarkStart w:id="118" w:name="_Toc25944_WPSOffice_Level2"/>
      <w:bookmarkStart w:id="119" w:name="_Toc17038_WPSOffice_Level2"/>
      <w:bookmarkStart w:id="120" w:name="_Toc8504_WPSOffice_Level2"/>
      <w:r>
        <w:rPr>
          <w:rFonts w:hint="eastAsia" w:ascii="楷体_GB2312" w:hAnsi="楷体_GB2312" w:eastAsia="楷体_GB2312" w:cs="楷体_GB2312"/>
          <w:b/>
          <w:bCs/>
          <w:kern w:val="0"/>
          <w:sz w:val="32"/>
          <w:szCs w:val="32"/>
          <w:shd w:val="clear" w:color="auto" w:fill="FFFFFF"/>
          <w:lang w:val="zh-CN"/>
        </w:rPr>
        <w:t>（一）部门预算项目绩效管理。</w:t>
      </w:r>
      <w:bookmarkEnd w:id="117"/>
      <w:bookmarkEnd w:id="118"/>
      <w:bookmarkEnd w:id="119"/>
      <w:bookmarkEnd w:id="120"/>
    </w:p>
    <w:p>
      <w:pPr>
        <w:pStyle w:val="2"/>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663" w:firstLineChars="200"/>
        <w:jc w:val="both"/>
        <w:textAlignment w:val="auto"/>
        <w:outlineLvl w:val="9"/>
        <w:rPr>
          <w:rFonts w:hint="eastAsia" w:ascii="Times New Roman" w:hAnsi="Times New Roman" w:eastAsia="方正仿宋_GBK" w:cs="仿宋_GB2312"/>
          <w:b/>
          <w:bCs/>
          <w:color w:val="000000"/>
          <w:kern w:val="0"/>
          <w:sz w:val="33"/>
          <w:szCs w:val="32"/>
          <w:shd w:val="clear" w:color="auto" w:fill="FFFFFF"/>
          <w:lang w:val="zh-CN" w:eastAsia="zh-CN" w:bidi="ar-SA"/>
        </w:rPr>
      </w:pPr>
      <w:bookmarkStart w:id="121" w:name="_Toc1525"/>
      <w:bookmarkStart w:id="122" w:name="_Toc7641"/>
      <w:r>
        <w:rPr>
          <w:rFonts w:hint="eastAsia" w:ascii="Times New Roman" w:hAnsi="Times New Roman" w:eastAsia="方正仿宋_GBK" w:cs="仿宋_GB2312"/>
          <w:b/>
          <w:bCs/>
          <w:color w:val="000000"/>
          <w:kern w:val="0"/>
          <w:sz w:val="33"/>
          <w:szCs w:val="32"/>
          <w:shd w:val="clear" w:color="auto" w:fill="FFFFFF"/>
          <w:lang w:val="zh-CN" w:eastAsia="zh-CN" w:bidi="ar-SA"/>
        </w:rPr>
        <w:t>1.绩效目标制定</w:t>
      </w:r>
      <w:bookmarkEnd w:id="121"/>
      <w:bookmarkEnd w:id="122"/>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r>
        <w:rPr>
          <w:rFonts w:hint="eastAsia" w:ascii="Times New Roman" w:hAnsi="Times New Roman" w:eastAsia="方正仿宋_GBK" w:cs="仿宋_GB2312"/>
          <w:color w:val="000000"/>
          <w:kern w:val="0"/>
          <w:sz w:val="33"/>
          <w:szCs w:val="32"/>
          <w:shd w:val="clear" w:color="auto" w:fill="FFFFFF"/>
          <w:lang w:val="zh-CN"/>
        </w:rPr>
        <w:t>根据预算绩效管理要求，本部门在</w:t>
      </w:r>
      <w:r>
        <w:rPr>
          <w:rFonts w:hint="eastAsia" w:ascii="Times New Roman" w:hAnsi="Times New Roman" w:eastAsia="方正仿宋_GBK" w:cs="仿宋_GB2312"/>
          <w:color w:val="000000"/>
          <w:kern w:val="0"/>
          <w:sz w:val="33"/>
          <w:szCs w:val="32"/>
          <w:shd w:val="clear" w:color="auto" w:fill="FFFFFF"/>
          <w:lang w:val="en-US" w:eastAsia="zh-CN"/>
        </w:rPr>
        <w:t>2022</w:t>
      </w:r>
      <w:r>
        <w:rPr>
          <w:rFonts w:hint="eastAsia" w:ascii="Times New Roman" w:hAnsi="Times New Roman" w:eastAsia="方正仿宋_GBK" w:cs="仿宋_GB2312"/>
          <w:color w:val="000000"/>
          <w:kern w:val="0"/>
          <w:sz w:val="33"/>
          <w:szCs w:val="32"/>
          <w:shd w:val="clear" w:color="auto" w:fill="FFFFFF"/>
          <w:lang w:val="zh-CN"/>
        </w:rPr>
        <w:t>年度预算编制阶段，按照县级财政要求对本年度已批复下达的</w:t>
      </w:r>
      <w:r>
        <w:rPr>
          <w:rFonts w:hint="eastAsia" w:ascii="Times New Roman" w:hAnsi="Times New Roman" w:eastAsia="方正仿宋_GBK" w:cs="仿宋_GB2312"/>
          <w:color w:val="000000"/>
          <w:kern w:val="0"/>
          <w:sz w:val="33"/>
          <w:szCs w:val="32"/>
          <w:shd w:val="clear" w:color="auto" w:fill="FFFFFF"/>
          <w:lang w:val="en-US" w:eastAsia="zh-CN"/>
        </w:rPr>
        <w:t>11</w:t>
      </w:r>
      <w:r>
        <w:rPr>
          <w:rFonts w:hint="eastAsia" w:ascii="Times New Roman" w:hAnsi="Times New Roman" w:eastAsia="方正仿宋_GBK" w:cs="仿宋_GB2312"/>
          <w:color w:val="000000"/>
          <w:kern w:val="0"/>
          <w:sz w:val="33"/>
          <w:szCs w:val="32"/>
          <w:shd w:val="clear" w:color="auto" w:fill="FFFFFF"/>
          <w:lang w:val="zh-CN"/>
        </w:rPr>
        <w:t>个项目编制了绩效目标，预算执行过程中，合并整合成</w:t>
      </w:r>
      <w:r>
        <w:rPr>
          <w:rFonts w:hint="eastAsia" w:ascii="Times New Roman" w:hAnsi="Times New Roman" w:eastAsia="方正仿宋_GBK" w:cs="仿宋_GB2312"/>
          <w:color w:val="000000"/>
          <w:kern w:val="0"/>
          <w:sz w:val="33"/>
          <w:szCs w:val="32"/>
          <w:shd w:val="clear" w:color="auto" w:fill="FFFFFF"/>
          <w:lang w:val="en-US" w:eastAsia="zh-CN"/>
        </w:rPr>
        <w:t>9</w:t>
      </w:r>
      <w:r>
        <w:rPr>
          <w:rFonts w:hint="eastAsia" w:ascii="Times New Roman" w:hAnsi="Times New Roman" w:eastAsia="方正仿宋_GBK" w:cs="仿宋_GB2312"/>
          <w:color w:val="000000"/>
          <w:kern w:val="0"/>
          <w:sz w:val="33"/>
          <w:szCs w:val="32"/>
          <w:shd w:val="clear" w:color="auto" w:fill="FFFFFF"/>
          <w:lang w:val="zh-CN"/>
        </w:rPr>
        <w:t>个项目开展绩效监控。</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663" w:firstLineChars="200"/>
        <w:jc w:val="both"/>
        <w:textAlignment w:val="auto"/>
        <w:outlineLvl w:val="9"/>
        <w:rPr>
          <w:rFonts w:hint="eastAsia" w:ascii="Times New Roman" w:hAnsi="Times New Roman" w:eastAsia="方正仿宋_GBK" w:cs="仿宋_GB2312"/>
          <w:b/>
          <w:bCs/>
          <w:color w:val="000000"/>
          <w:kern w:val="0"/>
          <w:sz w:val="33"/>
          <w:szCs w:val="32"/>
          <w:shd w:val="clear" w:color="auto" w:fill="FFFFFF"/>
          <w:lang w:val="en-US" w:eastAsia="zh-CN" w:bidi="ar-SA"/>
        </w:rPr>
      </w:pPr>
      <w:bookmarkStart w:id="123" w:name="_Toc18253"/>
      <w:bookmarkStart w:id="124" w:name="_Toc26795"/>
      <w:r>
        <w:rPr>
          <w:rFonts w:hint="eastAsia" w:ascii="Times New Roman" w:hAnsi="Times New Roman" w:eastAsia="方正仿宋_GBK" w:cs="仿宋_GB2312"/>
          <w:b/>
          <w:bCs/>
          <w:color w:val="000000"/>
          <w:kern w:val="0"/>
          <w:sz w:val="33"/>
          <w:szCs w:val="32"/>
          <w:shd w:val="clear" w:color="auto" w:fill="FFFFFF"/>
          <w:lang w:val="en-US" w:eastAsia="zh-CN" w:bidi="ar-SA"/>
        </w:rPr>
        <w:t>2.</w:t>
      </w:r>
      <w:r>
        <w:rPr>
          <w:rFonts w:hint="eastAsia" w:ascii="Times New Roman" w:hAnsi="Times New Roman" w:eastAsia="方正仿宋_GBK" w:cs="仿宋_GB2312"/>
          <w:b/>
          <w:bCs/>
          <w:color w:val="000000"/>
          <w:kern w:val="0"/>
          <w:sz w:val="33"/>
          <w:szCs w:val="32"/>
          <w:shd w:val="clear" w:color="auto" w:fill="FFFFFF"/>
          <w:lang w:val="zh-CN" w:eastAsia="zh-CN" w:bidi="ar-SA"/>
        </w:rPr>
        <w:t>绩效目标</w:t>
      </w:r>
      <w:r>
        <w:rPr>
          <w:rFonts w:hint="eastAsia" w:ascii="Times New Roman" w:hAnsi="Times New Roman" w:eastAsia="方正仿宋_GBK" w:cs="仿宋_GB2312"/>
          <w:b/>
          <w:bCs/>
          <w:color w:val="000000"/>
          <w:kern w:val="0"/>
          <w:sz w:val="33"/>
          <w:szCs w:val="32"/>
          <w:shd w:val="clear" w:color="auto" w:fill="FFFFFF"/>
          <w:lang w:val="en-US" w:eastAsia="zh-CN" w:bidi="ar-SA"/>
        </w:rPr>
        <w:t>实现</w:t>
      </w:r>
      <w:bookmarkEnd w:id="123"/>
      <w:bookmarkEnd w:id="124"/>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r>
        <w:rPr>
          <w:rFonts w:hint="eastAsia" w:ascii="Times New Roman" w:hAnsi="Times New Roman" w:eastAsia="方正仿宋_GBK" w:cs="仿宋_GB2312"/>
          <w:color w:val="000000"/>
          <w:kern w:val="0"/>
          <w:sz w:val="33"/>
          <w:szCs w:val="32"/>
          <w:shd w:val="clear" w:color="auto" w:fill="FFFFFF"/>
          <w:lang w:val="zh-CN"/>
        </w:rPr>
        <w:t>县委组织部</w:t>
      </w:r>
      <w:r>
        <w:rPr>
          <w:rFonts w:hint="eastAsia" w:ascii="Times New Roman" w:hAnsi="Times New Roman" w:eastAsia="方正仿宋_GBK" w:cs="仿宋_GB2312"/>
          <w:color w:val="000000"/>
          <w:kern w:val="0"/>
          <w:sz w:val="33"/>
          <w:szCs w:val="32"/>
          <w:shd w:val="clear" w:color="auto" w:fill="FFFFFF"/>
          <w:lang w:val="en-US" w:eastAsia="zh-CN"/>
        </w:rPr>
        <w:t>2022</w:t>
      </w:r>
      <w:r>
        <w:rPr>
          <w:rFonts w:hint="eastAsia" w:ascii="Times New Roman" w:hAnsi="Times New Roman" w:eastAsia="方正仿宋_GBK" w:cs="仿宋_GB2312"/>
          <w:color w:val="000000"/>
          <w:kern w:val="0"/>
          <w:sz w:val="33"/>
          <w:szCs w:val="32"/>
          <w:shd w:val="clear" w:color="auto" w:fill="FFFFFF"/>
          <w:lang w:val="zh-CN"/>
        </w:rPr>
        <w:t>年度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660" w:firstLineChars="200"/>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r>
        <w:rPr>
          <w:rFonts w:hint="eastAsia" w:ascii="Times New Roman" w:hAnsi="Times New Roman" w:eastAsia="方正仿宋_GBK" w:cs="仿宋_GB2312"/>
          <w:color w:val="000000"/>
          <w:kern w:val="0"/>
          <w:sz w:val="33"/>
          <w:szCs w:val="32"/>
          <w:shd w:val="clear" w:color="auto" w:fill="FFFFFF"/>
          <w:lang w:val="zh-CN"/>
        </w:rPr>
        <w:t>（1）人员类</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color w:val="000000"/>
          <w:kern w:val="0"/>
          <w:sz w:val="33"/>
          <w:szCs w:val="32"/>
          <w:shd w:val="clear" w:color="auto" w:fill="FFFFFF"/>
          <w:lang w:val="en-US" w:eastAsia="zh-CN" w:bidi="ar-SA"/>
        </w:rPr>
        <w:t>2022</w:t>
      </w:r>
      <w:r>
        <w:rPr>
          <w:rFonts w:hint="eastAsia" w:ascii="Times New Roman" w:hAnsi="Times New Roman" w:eastAsia="方正仿宋_GBK" w:cs="仿宋_GB2312"/>
          <w:color w:val="000000"/>
          <w:kern w:val="0"/>
          <w:sz w:val="33"/>
          <w:szCs w:val="32"/>
          <w:shd w:val="clear" w:color="auto" w:fill="FFFFFF"/>
          <w:lang w:val="zh-CN" w:eastAsia="zh-CN" w:bidi="ar-SA"/>
        </w:rPr>
        <w:t>年度人员经费支出</w:t>
      </w:r>
      <w:r>
        <w:rPr>
          <w:rFonts w:hint="eastAsia" w:ascii="Times New Roman" w:hAnsi="Times New Roman" w:eastAsia="方正仿宋_GBK" w:cs="仿宋_GB2312"/>
          <w:color w:val="000000"/>
          <w:kern w:val="0"/>
          <w:sz w:val="33"/>
          <w:szCs w:val="32"/>
          <w:shd w:val="clear" w:color="auto" w:fill="FFFFFF"/>
          <w:lang w:val="en-US" w:eastAsia="zh-CN" w:bidi="ar-SA"/>
        </w:rPr>
        <w:t>817.22</w:t>
      </w:r>
      <w:r>
        <w:rPr>
          <w:rFonts w:hint="eastAsia" w:ascii="Times New Roman" w:hAnsi="Times New Roman" w:eastAsia="方正仿宋_GBK" w:cs="仿宋_GB2312"/>
          <w:color w:val="000000"/>
          <w:kern w:val="0"/>
          <w:sz w:val="33"/>
          <w:szCs w:val="32"/>
          <w:shd w:val="clear" w:color="auto" w:fill="FFFFFF"/>
          <w:lang w:val="zh-CN" w:eastAsia="zh-CN" w:bidi="ar-SA"/>
        </w:rPr>
        <w:t>万元，主要用于职工工资及福利待遇支出，未将人员工资福利支出等指标挪作他用，基本支出保障有力，确保全年平稳保障职工工资支出，维持基本行政运转，预算执行率100%。</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（2）运转类</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color w:val="000000"/>
          <w:kern w:val="0"/>
          <w:sz w:val="33"/>
          <w:szCs w:val="32"/>
          <w:shd w:val="clear" w:color="auto" w:fill="FFFFFF"/>
          <w:lang w:val="en-US" w:eastAsia="zh-CN" w:bidi="ar-SA"/>
        </w:rPr>
        <w:t>2022</w:t>
      </w:r>
      <w:r>
        <w:rPr>
          <w:rFonts w:hint="eastAsia" w:ascii="Times New Roman" w:hAnsi="Times New Roman" w:eastAsia="方正仿宋_GBK" w:cs="仿宋_GB2312"/>
          <w:color w:val="000000"/>
          <w:kern w:val="0"/>
          <w:sz w:val="33"/>
          <w:szCs w:val="32"/>
          <w:shd w:val="clear" w:color="auto" w:fill="FFFFFF"/>
          <w:lang w:val="zh-CN" w:eastAsia="zh-CN" w:bidi="ar-SA"/>
        </w:rPr>
        <w:t>年度公用经费支出</w:t>
      </w:r>
      <w:r>
        <w:rPr>
          <w:rFonts w:hint="eastAsia" w:ascii="Times New Roman" w:hAnsi="Times New Roman" w:eastAsia="方正仿宋_GBK" w:cs="仿宋_GB2312"/>
          <w:color w:val="000000"/>
          <w:kern w:val="0"/>
          <w:sz w:val="33"/>
          <w:szCs w:val="32"/>
          <w:shd w:val="clear" w:color="auto" w:fill="FFFFFF"/>
          <w:lang w:val="en-US" w:eastAsia="zh-CN" w:bidi="ar-SA"/>
        </w:rPr>
        <w:t>62.14</w:t>
      </w:r>
      <w:r>
        <w:rPr>
          <w:rFonts w:hint="eastAsia" w:ascii="Times New Roman" w:hAnsi="Times New Roman" w:eastAsia="方正仿宋_GBK" w:cs="仿宋_GB2312"/>
          <w:color w:val="000000"/>
          <w:kern w:val="0"/>
          <w:sz w:val="33"/>
          <w:szCs w:val="32"/>
          <w:shd w:val="clear" w:color="auto" w:fill="FFFFFF"/>
          <w:lang w:val="zh-CN" w:eastAsia="zh-CN" w:bidi="ar-SA"/>
        </w:rPr>
        <w:t>万元，主要用于办公费、印刷费、水费、</w:t>
      </w:r>
      <w:r>
        <w:rPr>
          <w:rFonts w:hint="eastAsia" w:ascii="Times New Roman" w:hAnsi="Times New Roman" w:eastAsia="方正仿宋_GBK" w:cs="仿宋_GB2312"/>
          <w:color w:val="000000"/>
          <w:kern w:val="0"/>
          <w:sz w:val="33"/>
          <w:szCs w:val="32"/>
          <w:shd w:val="clear" w:color="auto" w:fill="FFFFFF"/>
          <w:lang w:val="en-US" w:eastAsia="zh-CN" w:bidi="ar-SA"/>
        </w:rPr>
        <w:t>邮电费、资料印刷费、</w:t>
      </w:r>
      <w:r>
        <w:rPr>
          <w:rFonts w:hint="eastAsia" w:ascii="Times New Roman" w:hAnsi="Times New Roman" w:eastAsia="方正仿宋_GBK" w:cs="仿宋_GB2312"/>
          <w:color w:val="000000"/>
          <w:kern w:val="0"/>
          <w:sz w:val="33"/>
          <w:szCs w:val="32"/>
          <w:shd w:val="clear" w:color="auto" w:fill="FFFFFF"/>
          <w:lang w:val="zh-CN" w:eastAsia="zh-CN" w:bidi="ar-SA"/>
        </w:rPr>
        <w:t>差旅费、维修（护）费等日常公用经费，严格按照资金用途申报、使用资金，均已足额按时支付，有力保障了各项工作的顺利开展。预算执行率100%。</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rPr>
      </w:pPr>
      <w:r>
        <w:rPr>
          <w:rFonts w:hint="eastAsia" w:ascii="Times New Roman" w:hAnsi="Times New Roman" w:eastAsia="方正仿宋_GBK" w:cs="仿宋_GB2312"/>
          <w:color w:val="000000"/>
          <w:kern w:val="0"/>
          <w:sz w:val="33"/>
          <w:szCs w:val="32"/>
          <w:shd w:val="clear" w:color="auto" w:fill="FFFFFF"/>
          <w:lang w:val="zh-CN" w:eastAsia="zh-CN"/>
        </w:rPr>
        <w:t>（3）特定目标类</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color w:val="000000"/>
          <w:kern w:val="0"/>
          <w:sz w:val="33"/>
          <w:szCs w:val="32"/>
          <w:shd w:val="clear" w:color="auto" w:fill="FFFFFF"/>
          <w:lang w:val="zh-CN" w:eastAsia="zh-CN" w:bidi="ar-SA"/>
        </w:rPr>
        <w:t>202</w:t>
      </w:r>
      <w:r>
        <w:rPr>
          <w:rFonts w:hint="eastAsia" w:ascii="Times New Roman" w:hAnsi="Times New Roman" w:eastAsia="方正仿宋_GBK" w:cs="仿宋_GB2312"/>
          <w:color w:val="000000"/>
          <w:kern w:val="0"/>
          <w:sz w:val="33"/>
          <w:szCs w:val="32"/>
          <w:shd w:val="clear" w:color="auto" w:fill="FFFFFF"/>
          <w:lang w:val="en-US" w:eastAsia="zh-CN" w:bidi="ar-SA"/>
        </w:rPr>
        <w:t>2</w:t>
      </w:r>
      <w:r>
        <w:rPr>
          <w:rFonts w:hint="eastAsia" w:ascii="Times New Roman" w:hAnsi="Times New Roman" w:eastAsia="方正仿宋_GBK" w:cs="仿宋_GB2312"/>
          <w:color w:val="000000"/>
          <w:kern w:val="0"/>
          <w:sz w:val="33"/>
          <w:szCs w:val="32"/>
          <w:shd w:val="clear" w:color="auto" w:fill="FFFFFF"/>
          <w:lang w:val="zh-CN" w:eastAsia="zh-CN" w:bidi="ar-SA"/>
        </w:rPr>
        <w:t>年项目支出</w:t>
      </w:r>
      <w:r>
        <w:rPr>
          <w:rFonts w:hint="eastAsia" w:ascii="Times New Roman" w:hAnsi="Times New Roman" w:eastAsia="方正仿宋_GBK" w:cs="仿宋_GB2312"/>
          <w:color w:val="000000"/>
          <w:kern w:val="0"/>
          <w:sz w:val="33"/>
          <w:szCs w:val="32"/>
          <w:shd w:val="clear" w:color="auto" w:fill="FFFFFF"/>
          <w:lang w:val="en-US" w:eastAsia="zh-CN" w:bidi="ar-SA"/>
        </w:rPr>
        <w:t>236.77</w:t>
      </w:r>
      <w:r>
        <w:rPr>
          <w:rFonts w:hint="eastAsia" w:ascii="Times New Roman" w:hAnsi="Times New Roman" w:eastAsia="方正仿宋_GBK" w:cs="仿宋_GB2312"/>
          <w:color w:val="000000"/>
          <w:kern w:val="0"/>
          <w:sz w:val="33"/>
          <w:szCs w:val="32"/>
          <w:shd w:val="clear" w:color="auto" w:fill="FFFFFF"/>
          <w:lang w:val="zh-CN" w:eastAsia="zh-CN" w:bidi="ar-SA"/>
        </w:rPr>
        <w:t>万元，有效保障了我</w:t>
      </w:r>
      <w:r>
        <w:rPr>
          <w:rFonts w:hint="eastAsia" w:ascii="Times New Roman" w:hAnsi="Times New Roman" w:eastAsia="方正仿宋_GBK" w:cs="仿宋_GB2312"/>
          <w:color w:val="000000"/>
          <w:kern w:val="0"/>
          <w:sz w:val="33"/>
          <w:szCs w:val="32"/>
          <w:shd w:val="clear" w:color="auto" w:fill="FFFFFF"/>
          <w:lang w:val="en-US" w:eastAsia="zh-CN" w:bidi="ar-SA"/>
        </w:rPr>
        <w:t>部</w:t>
      </w:r>
      <w:r>
        <w:rPr>
          <w:rFonts w:hint="eastAsia" w:ascii="Times New Roman" w:hAnsi="Times New Roman" w:eastAsia="方正仿宋_GBK" w:cs="仿宋_GB2312"/>
          <w:color w:val="000000"/>
          <w:kern w:val="0"/>
          <w:sz w:val="33"/>
          <w:szCs w:val="32"/>
          <w:shd w:val="clear" w:color="auto" w:fill="FFFFFF"/>
          <w:lang w:val="zh-CN" w:eastAsia="zh-CN" w:bidi="ar-SA"/>
        </w:rPr>
        <w:t>专项业务工作正常运行。预算执行率100%。</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eastAsia="zh-CN" w:bidi="ar-SA"/>
        </w:rPr>
      </w:pPr>
      <w:r>
        <w:rPr>
          <w:rFonts w:hint="eastAsia" w:ascii="Times New Roman" w:hAnsi="Times New Roman" w:eastAsia="方正仿宋_GBK" w:cs="仿宋_GB2312"/>
          <w:color w:val="000000"/>
          <w:kern w:val="0"/>
          <w:sz w:val="33"/>
          <w:szCs w:val="32"/>
          <w:shd w:val="clear" w:color="auto" w:fill="FFFFFF"/>
          <w:lang w:val="zh-CN" w:eastAsia="zh-CN" w:bidi="ar-SA"/>
        </w:rPr>
        <w:t>本部门在</w:t>
      </w:r>
      <w:r>
        <w:rPr>
          <w:rFonts w:hint="eastAsia" w:ascii="Times New Roman" w:hAnsi="Times New Roman" w:eastAsia="方正仿宋_GBK" w:cs="仿宋_GB2312"/>
          <w:color w:val="000000"/>
          <w:kern w:val="0"/>
          <w:sz w:val="33"/>
          <w:szCs w:val="32"/>
          <w:shd w:val="clear" w:color="auto" w:fill="FFFFFF"/>
          <w:lang w:val="en-US" w:eastAsia="zh-CN" w:bidi="ar-SA"/>
        </w:rPr>
        <w:t>2022</w:t>
      </w:r>
      <w:r>
        <w:rPr>
          <w:rFonts w:hint="eastAsia" w:ascii="Times New Roman" w:hAnsi="Times New Roman" w:eastAsia="方正仿宋_GBK" w:cs="仿宋_GB2312"/>
          <w:color w:val="000000"/>
          <w:kern w:val="0"/>
          <w:sz w:val="33"/>
          <w:szCs w:val="32"/>
          <w:shd w:val="clear" w:color="auto" w:fill="FFFFFF"/>
          <w:lang w:val="zh-CN" w:eastAsia="zh-CN" w:bidi="ar-SA"/>
        </w:rPr>
        <w:t>年度决算中合并反映了部门整体的预算执行情况，其中包含</w:t>
      </w:r>
      <w:r>
        <w:rPr>
          <w:rFonts w:hint="eastAsia" w:ascii="Times New Roman" w:hAnsi="Times New Roman" w:eastAsia="方正仿宋_GBK" w:cs="仿宋_GB2312"/>
          <w:color w:val="000000"/>
          <w:kern w:val="0"/>
          <w:sz w:val="33"/>
          <w:szCs w:val="32"/>
          <w:shd w:val="clear" w:color="auto" w:fill="FFFFFF"/>
          <w:lang w:val="en-US" w:eastAsia="zh-CN" w:bidi="ar-SA"/>
        </w:rPr>
        <w:t>9</w:t>
      </w:r>
      <w:r>
        <w:rPr>
          <w:rFonts w:hint="eastAsia" w:ascii="Times New Roman" w:hAnsi="Times New Roman" w:eastAsia="方正仿宋_GBK" w:cs="仿宋_GB2312"/>
          <w:color w:val="000000"/>
          <w:kern w:val="0"/>
          <w:sz w:val="33"/>
          <w:szCs w:val="32"/>
          <w:shd w:val="clear" w:color="auto" w:fill="FFFFFF"/>
          <w:lang w:val="zh-CN" w:eastAsia="zh-CN" w:bidi="ar-SA"/>
        </w:rPr>
        <w:t>个项目资金执行情况，基本整体上实现了年度设定目标。年终执行完毕后，对</w:t>
      </w:r>
      <w:r>
        <w:rPr>
          <w:rFonts w:hint="eastAsia" w:ascii="Times New Roman" w:hAnsi="Times New Roman" w:eastAsia="方正仿宋_GBK" w:cs="仿宋_GB2312"/>
          <w:color w:val="000000"/>
          <w:kern w:val="0"/>
          <w:sz w:val="33"/>
          <w:szCs w:val="32"/>
          <w:shd w:val="clear" w:color="auto" w:fill="FFFFFF"/>
          <w:lang w:val="en-US" w:eastAsia="zh-CN" w:bidi="ar-SA"/>
        </w:rPr>
        <w:t>3</w:t>
      </w:r>
      <w:r>
        <w:rPr>
          <w:rFonts w:hint="eastAsia" w:ascii="Times New Roman" w:hAnsi="Times New Roman" w:eastAsia="方正仿宋_GBK" w:cs="仿宋_GB2312"/>
          <w:color w:val="000000"/>
          <w:kern w:val="0"/>
          <w:sz w:val="33"/>
          <w:szCs w:val="32"/>
          <w:shd w:val="clear" w:color="auto" w:fill="FFFFFF"/>
          <w:lang w:val="zh-CN" w:eastAsia="zh-CN" w:bidi="ar-SA"/>
        </w:rPr>
        <w:t>个</w:t>
      </w:r>
      <w:r>
        <w:rPr>
          <w:rFonts w:hint="eastAsia" w:ascii="Times New Roman" w:hAnsi="Times New Roman" w:eastAsia="方正仿宋_GBK" w:cs="仿宋_GB2312"/>
          <w:color w:val="000000"/>
          <w:kern w:val="0"/>
          <w:sz w:val="33"/>
          <w:szCs w:val="32"/>
          <w:shd w:val="clear" w:color="auto" w:fill="FFFFFF"/>
          <w:lang w:val="en-US" w:eastAsia="zh-CN" w:bidi="ar-SA"/>
        </w:rPr>
        <w:t>资金达50万元及以上的</w:t>
      </w:r>
      <w:r>
        <w:rPr>
          <w:rFonts w:hint="eastAsia" w:ascii="Times New Roman" w:hAnsi="Times New Roman" w:eastAsia="方正仿宋_GBK" w:cs="仿宋_GB2312"/>
          <w:color w:val="000000"/>
          <w:kern w:val="0"/>
          <w:sz w:val="33"/>
          <w:szCs w:val="32"/>
          <w:shd w:val="clear" w:color="auto" w:fill="FFFFFF"/>
          <w:lang w:val="zh-CN" w:eastAsia="zh-CN" w:bidi="ar-SA"/>
        </w:rPr>
        <w:t>项目开展了绩效目标完成情况自评。</w:t>
      </w:r>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bookmarkStart w:id="125" w:name="_Toc2403_WPSOffice_Level2"/>
      <w:bookmarkStart w:id="126" w:name="_Toc3469_WPSOffice_Level2"/>
      <w:bookmarkStart w:id="127" w:name="_Toc18078_WPSOffice_Level2"/>
      <w:bookmarkStart w:id="128" w:name="_Toc12124_WPSOffice_Level2"/>
      <w:r>
        <w:rPr>
          <w:rFonts w:hint="eastAsia" w:ascii="楷体_GB2312" w:hAnsi="楷体_GB2312" w:eastAsia="楷体_GB2312" w:cs="楷体_GB2312"/>
          <w:b/>
          <w:bCs/>
          <w:kern w:val="0"/>
          <w:sz w:val="32"/>
          <w:szCs w:val="32"/>
          <w:shd w:val="clear" w:color="auto" w:fill="FFFFFF"/>
          <w:lang w:val="zh-CN"/>
        </w:rPr>
        <w:t>（二）结果应用情况。</w:t>
      </w:r>
      <w:bookmarkEnd w:id="125"/>
      <w:bookmarkEnd w:id="126"/>
      <w:bookmarkEnd w:id="127"/>
      <w:bookmarkEnd w:id="128"/>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r>
        <w:rPr>
          <w:rFonts w:hint="eastAsia" w:ascii="Times New Roman" w:hAnsi="Times New Roman" w:eastAsia="方正仿宋_GBK" w:cs="仿宋_GB2312"/>
          <w:color w:val="000000"/>
          <w:kern w:val="0"/>
          <w:sz w:val="33"/>
          <w:szCs w:val="32"/>
          <w:shd w:val="clear" w:color="auto" w:fill="FFFFFF"/>
          <w:lang w:val="zh-CN"/>
        </w:rPr>
        <w:t>绩效自评对规范财政资金支出管理、强化绩效目标管理理念、加强资金使用效率起到了积极的促进作用。我单位将此次绩效自评的结果运用到</w:t>
      </w:r>
      <w:r>
        <w:rPr>
          <w:rFonts w:hint="eastAsia" w:ascii="Times New Roman" w:hAnsi="Times New Roman" w:eastAsia="方正仿宋_GBK" w:cs="仿宋_GB2312"/>
          <w:color w:val="000000"/>
          <w:kern w:val="0"/>
          <w:sz w:val="33"/>
          <w:szCs w:val="32"/>
          <w:shd w:val="clear" w:color="auto" w:fill="FFFFFF"/>
          <w:lang w:val="en-US" w:eastAsia="zh-CN"/>
        </w:rPr>
        <w:t>2023</w:t>
      </w:r>
      <w:r>
        <w:rPr>
          <w:rFonts w:hint="eastAsia" w:ascii="Times New Roman" w:hAnsi="Times New Roman" w:eastAsia="方正仿宋_GBK" w:cs="仿宋_GB2312"/>
          <w:color w:val="000000"/>
          <w:kern w:val="0"/>
          <w:sz w:val="33"/>
          <w:szCs w:val="32"/>
          <w:shd w:val="clear" w:color="auto" w:fill="FFFFFF"/>
          <w:lang w:val="zh-CN"/>
        </w:rPr>
        <w:t>年工作统筹安排、项目资金合理分配使用上，进一步提高</w:t>
      </w:r>
      <w:r>
        <w:rPr>
          <w:rFonts w:hint="eastAsia" w:ascii="Times New Roman" w:hAnsi="Times New Roman" w:eastAsia="方正仿宋_GBK" w:cs="仿宋_GB2312"/>
          <w:color w:val="000000"/>
          <w:kern w:val="0"/>
          <w:sz w:val="33"/>
          <w:szCs w:val="32"/>
          <w:shd w:val="clear" w:color="auto" w:fill="FFFFFF"/>
          <w:lang w:val="en-US" w:eastAsia="zh-CN"/>
        </w:rPr>
        <w:t>资金使用</w:t>
      </w:r>
      <w:r>
        <w:rPr>
          <w:rFonts w:hint="eastAsia" w:ascii="Times New Roman" w:hAnsi="Times New Roman" w:eastAsia="方正仿宋_GBK" w:cs="仿宋_GB2312"/>
          <w:color w:val="000000"/>
          <w:kern w:val="0"/>
          <w:sz w:val="33"/>
          <w:szCs w:val="32"/>
          <w:shd w:val="clear" w:color="auto" w:fill="FFFFFF"/>
          <w:lang w:val="zh-CN"/>
        </w:rPr>
        <w:t>效率，保质保量完成县委、县政府以及上级业务主管部门交办的各项</w:t>
      </w:r>
      <w:r>
        <w:rPr>
          <w:rFonts w:hint="eastAsia" w:ascii="Times New Roman" w:hAnsi="Times New Roman" w:eastAsia="方正仿宋_GBK" w:cs="仿宋_GB2312"/>
          <w:color w:val="000000"/>
          <w:kern w:val="0"/>
          <w:sz w:val="33"/>
          <w:szCs w:val="32"/>
          <w:shd w:val="clear" w:color="auto" w:fill="FFFFFF"/>
          <w:lang w:val="en-US" w:eastAsia="zh-CN"/>
        </w:rPr>
        <w:t>任务</w:t>
      </w:r>
      <w:r>
        <w:rPr>
          <w:rFonts w:hint="eastAsia" w:ascii="Times New Roman" w:hAnsi="Times New Roman" w:eastAsia="方正仿宋_GBK" w:cs="仿宋_GB2312"/>
          <w:color w:val="000000"/>
          <w:kern w:val="0"/>
          <w:sz w:val="33"/>
          <w:szCs w:val="32"/>
          <w:shd w:val="clear" w:color="auto" w:fill="FFFFFF"/>
          <w:lang w:val="zh-CN"/>
        </w:rPr>
        <w:t>。</w:t>
      </w:r>
      <w:bookmarkStart w:id="129" w:name="_Toc30289_WPSOffice_Level2"/>
      <w:bookmarkStart w:id="130" w:name="_Toc26640_WPSOffice_Level2"/>
      <w:bookmarkStart w:id="131" w:name="_Toc7698_WPSOffice_Level2"/>
      <w:bookmarkStart w:id="132" w:name="_Toc16312_WPSOffice_Level2"/>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w:t>
      </w:r>
      <w:r>
        <w:rPr>
          <w:rFonts w:hint="eastAsia" w:ascii="楷体_GB2312" w:hAnsi="楷体_GB2312" w:eastAsia="楷体_GB2312" w:cs="楷体_GB2312"/>
          <w:b/>
          <w:bCs/>
          <w:kern w:val="0"/>
          <w:sz w:val="32"/>
          <w:szCs w:val="32"/>
          <w:shd w:val="clear" w:color="auto" w:fill="FFFFFF"/>
          <w:lang w:val="en-US" w:eastAsia="zh-CN"/>
        </w:rPr>
        <w:t>三</w:t>
      </w:r>
      <w:r>
        <w:rPr>
          <w:rFonts w:hint="eastAsia" w:ascii="楷体_GB2312" w:hAnsi="楷体_GB2312" w:eastAsia="楷体_GB2312" w:cs="楷体_GB2312"/>
          <w:b/>
          <w:bCs/>
          <w:kern w:val="0"/>
          <w:sz w:val="32"/>
          <w:szCs w:val="32"/>
          <w:shd w:val="clear" w:color="auto" w:fill="FFFFFF"/>
          <w:lang w:val="zh-CN"/>
        </w:rPr>
        <w:t>）自评质量</w:t>
      </w:r>
      <w:r>
        <w:rPr>
          <w:rFonts w:hint="eastAsia" w:ascii="Times New Roman" w:hAnsi="Times New Roman" w:eastAsia="方正仿宋_GBK" w:cs="仿宋_GB2312"/>
          <w:color w:val="000000"/>
          <w:kern w:val="0"/>
          <w:sz w:val="33"/>
          <w:szCs w:val="32"/>
          <w:shd w:val="clear" w:color="auto" w:fill="FFFFFF"/>
          <w:lang w:val="zh-CN"/>
        </w:rPr>
        <w:t>。</w:t>
      </w:r>
      <w:bookmarkEnd w:id="129"/>
      <w:bookmarkEnd w:id="130"/>
      <w:bookmarkEnd w:id="131"/>
      <w:bookmarkEnd w:id="132"/>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rPr>
      </w:pPr>
      <w:r>
        <w:rPr>
          <w:rFonts w:hint="eastAsia" w:ascii="Times New Roman" w:hAnsi="Times New Roman" w:eastAsia="方正仿宋_GBK" w:cs="仿宋_GB2312"/>
          <w:color w:val="000000"/>
          <w:kern w:val="0"/>
          <w:sz w:val="33"/>
          <w:szCs w:val="32"/>
          <w:shd w:val="clear" w:color="auto" w:fill="FFFFFF"/>
        </w:rPr>
        <w:t>部门整体支出自评</w:t>
      </w:r>
      <w:r>
        <w:rPr>
          <w:rFonts w:hint="eastAsia" w:ascii="Times New Roman" w:hAnsi="Times New Roman" w:eastAsia="方正仿宋_GBK" w:cs="仿宋_GB2312"/>
          <w:color w:val="000000"/>
          <w:kern w:val="0"/>
          <w:sz w:val="33"/>
          <w:szCs w:val="32"/>
          <w:shd w:val="clear" w:color="auto" w:fill="FFFFFF"/>
          <w:lang w:val="en-US" w:eastAsia="zh-CN"/>
        </w:rPr>
        <w:t>较为准确，自评工作有待进一步细化</w:t>
      </w:r>
      <w:r>
        <w:rPr>
          <w:rFonts w:hint="eastAsia" w:ascii="Times New Roman" w:hAnsi="Times New Roman" w:eastAsia="方正仿宋_GBK" w:cs="仿宋_GB2312"/>
          <w:color w:val="000000"/>
          <w:kern w:val="0"/>
          <w:sz w:val="33"/>
          <w:szCs w:val="32"/>
          <w:shd w:val="clear" w:color="auto" w:fill="FFFFFF"/>
        </w:rPr>
        <w:t>。</w:t>
      </w:r>
    </w:p>
    <w:p>
      <w:pPr>
        <w:keepNext w:val="0"/>
        <w:keepLines w:val="0"/>
        <w:pageBreakBefore w:val="0"/>
        <w:widowControl/>
        <w:numPr>
          <w:ilvl w:val="0"/>
          <w:numId w:val="5"/>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9"/>
        <w:rPr>
          <w:rFonts w:hint="eastAsia" w:ascii="黑体" w:hAnsi="宋体" w:eastAsia="黑体" w:cs="宋体"/>
          <w:kern w:val="0"/>
          <w:sz w:val="32"/>
          <w:szCs w:val="32"/>
          <w:shd w:val="clear" w:color="auto" w:fill="FFFFFF"/>
          <w:lang w:val="zh-CN"/>
        </w:rPr>
      </w:pPr>
      <w:bookmarkStart w:id="133" w:name="_Toc1279_WPSOffice_Level1"/>
      <w:bookmarkStart w:id="134" w:name="_Toc10154_WPSOffice_Level1"/>
      <w:bookmarkStart w:id="135" w:name="_Toc28989_WPSOffice_Level1"/>
      <w:bookmarkStart w:id="136" w:name="_Toc4897_WPSOffice_Level1"/>
      <w:r>
        <w:rPr>
          <w:rFonts w:hint="eastAsia" w:ascii="黑体" w:hAnsi="宋体" w:eastAsia="黑体" w:cs="宋体"/>
          <w:kern w:val="0"/>
          <w:sz w:val="32"/>
          <w:szCs w:val="32"/>
          <w:shd w:val="clear" w:color="auto" w:fill="FFFFFF"/>
          <w:lang w:val="zh-CN"/>
        </w:rPr>
        <w:t>评价结论及建议</w:t>
      </w:r>
      <w:bookmarkEnd w:id="133"/>
      <w:bookmarkEnd w:id="134"/>
      <w:bookmarkEnd w:id="135"/>
      <w:bookmarkEnd w:id="136"/>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bookmarkStart w:id="137" w:name="_Toc3830_WPSOffice_Level2"/>
      <w:bookmarkStart w:id="138" w:name="_Toc24572_WPSOffice_Level2"/>
      <w:bookmarkStart w:id="139" w:name="_Toc28700_WPSOffice_Level2"/>
      <w:bookmarkStart w:id="140" w:name="_Toc31496_WPSOffice_Level2"/>
      <w:r>
        <w:rPr>
          <w:rFonts w:hint="eastAsia" w:ascii="楷体_GB2312" w:hAnsi="楷体_GB2312" w:eastAsia="楷体_GB2312" w:cs="楷体_GB2312"/>
          <w:b/>
          <w:bCs/>
          <w:kern w:val="0"/>
          <w:sz w:val="32"/>
          <w:szCs w:val="32"/>
          <w:shd w:val="clear" w:color="auto" w:fill="FFFFFF"/>
          <w:lang w:val="zh-CN"/>
        </w:rPr>
        <w:t>（一）评价结论。</w:t>
      </w:r>
      <w:bookmarkEnd w:id="137"/>
      <w:bookmarkEnd w:id="138"/>
      <w:bookmarkEnd w:id="139"/>
      <w:bookmarkEnd w:id="140"/>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r>
        <w:rPr>
          <w:rFonts w:hint="eastAsia" w:ascii="Times New Roman" w:hAnsi="Times New Roman" w:eastAsia="方正仿宋_GBK" w:cs="仿宋_GB2312"/>
          <w:color w:val="000000"/>
          <w:kern w:val="0"/>
          <w:sz w:val="33"/>
          <w:szCs w:val="32"/>
          <w:shd w:val="clear" w:color="auto" w:fill="FFFFFF"/>
          <w:lang w:val="zh-CN"/>
        </w:rPr>
        <w:t>通过自评，</w:t>
      </w:r>
      <w:r>
        <w:rPr>
          <w:rFonts w:hint="eastAsia" w:ascii="Times New Roman" w:hAnsi="Times New Roman" w:eastAsia="方正仿宋_GBK" w:cs="仿宋_GB2312"/>
          <w:color w:val="000000"/>
          <w:kern w:val="0"/>
          <w:sz w:val="33"/>
          <w:szCs w:val="32"/>
          <w:shd w:val="clear" w:color="auto" w:fill="FFFFFF"/>
          <w:lang w:val="en-US" w:eastAsia="zh-CN"/>
        </w:rPr>
        <w:t>2022</w:t>
      </w:r>
      <w:r>
        <w:rPr>
          <w:rFonts w:hint="eastAsia" w:ascii="Times New Roman" w:hAnsi="Times New Roman" w:eastAsia="方正仿宋_GBK" w:cs="仿宋_GB2312"/>
          <w:color w:val="000000"/>
          <w:kern w:val="0"/>
          <w:sz w:val="33"/>
          <w:szCs w:val="32"/>
          <w:shd w:val="clear" w:color="auto" w:fill="FFFFFF"/>
          <w:lang w:val="zh-CN"/>
        </w:rPr>
        <w:t>年度县委组织部各项经费达到对应的绩效目标，</w:t>
      </w:r>
      <w:r>
        <w:rPr>
          <w:rFonts w:hint="eastAsia" w:ascii="Times New Roman" w:hAnsi="Times New Roman" w:eastAsia="方正仿宋_GBK" w:cs="仿宋_GB2312"/>
          <w:color w:val="000000"/>
          <w:kern w:val="0"/>
          <w:sz w:val="33"/>
          <w:szCs w:val="32"/>
          <w:shd w:val="clear" w:color="auto" w:fill="FFFFFF"/>
          <w:lang w:val="en-US" w:eastAsia="zh-CN"/>
        </w:rPr>
        <w:t>完成了</w:t>
      </w:r>
      <w:r>
        <w:rPr>
          <w:rFonts w:hint="eastAsia" w:ascii="Times New Roman" w:hAnsi="Times New Roman" w:eastAsia="方正仿宋_GBK" w:cs="仿宋_GB2312"/>
          <w:color w:val="000000"/>
          <w:kern w:val="0"/>
          <w:sz w:val="33"/>
          <w:szCs w:val="32"/>
          <w:shd w:val="clear" w:color="auto" w:fill="FFFFFF"/>
          <w:lang w:val="zh-CN"/>
        </w:rPr>
        <w:t>县委、县政府</w:t>
      </w:r>
      <w:r>
        <w:rPr>
          <w:rFonts w:hint="eastAsia" w:ascii="Times New Roman" w:hAnsi="Times New Roman" w:eastAsia="方正仿宋_GBK" w:cs="仿宋_GB2312"/>
          <w:color w:val="000000"/>
          <w:kern w:val="0"/>
          <w:sz w:val="33"/>
          <w:szCs w:val="32"/>
          <w:shd w:val="clear" w:color="auto" w:fill="FFFFFF"/>
          <w:lang w:val="en-US" w:eastAsia="zh-CN"/>
        </w:rPr>
        <w:t>安排的各项</w:t>
      </w:r>
      <w:r>
        <w:rPr>
          <w:rFonts w:hint="eastAsia" w:ascii="Times New Roman" w:hAnsi="Times New Roman" w:eastAsia="方正仿宋_GBK" w:cs="仿宋_GB2312"/>
          <w:color w:val="000000"/>
          <w:kern w:val="0"/>
          <w:sz w:val="33"/>
          <w:szCs w:val="32"/>
          <w:shd w:val="clear" w:color="auto" w:fill="FFFFFF"/>
          <w:lang w:val="zh-CN"/>
        </w:rPr>
        <w:t>工作任务</w:t>
      </w:r>
      <w:r>
        <w:rPr>
          <w:rFonts w:hint="eastAsia" w:ascii="Times New Roman" w:hAnsi="Times New Roman" w:eastAsia="方正仿宋_GBK" w:cs="仿宋_GB2312"/>
          <w:color w:val="000000"/>
          <w:kern w:val="0"/>
          <w:sz w:val="33"/>
          <w:szCs w:val="32"/>
          <w:shd w:val="clear" w:color="auto" w:fill="FFFFFF"/>
          <w:lang w:val="zh-CN" w:eastAsia="zh-CN"/>
        </w:rPr>
        <w:t>，</w:t>
      </w:r>
      <w:r>
        <w:rPr>
          <w:rFonts w:hint="eastAsia" w:ascii="Times New Roman" w:hAnsi="Times New Roman" w:eastAsia="方正仿宋_GBK" w:cs="仿宋_GB2312"/>
          <w:color w:val="000000"/>
          <w:kern w:val="0"/>
          <w:sz w:val="33"/>
          <w:szCs w:val="32"/>
          <w:shd w:val="clear" w:color="auto" w:fill="FFFFFF"/>
          <w:lang w:val="zh-CN"/>
        </w:rPr>
        <w:t>达到预期绩效目标，</w:t>
      </w:r>
      <w:r>
        <w:rPr>
          <w:rFonts w:hint="eastAsia" w:ascii="Times New Roman" w:hAnsi="Times New Roman" w:eastAsia="方正仿宋_GBK" w:cs="仿宋_GB2312"/>
          <w:color w:val="000000"/>
          <w:kern w:val="0"/>
          <w:sz w:val="33"/>
          <w:szCs w:val="32"/>
          <w:shd w:val="clear" w:color="auto" w:fill="FFFFFF"/>
          <w:lang w:val="en-US" w:eastAsia="zh-CN"/>
        </w:rPr>
        <w:t>整体支出绩效结果良好</w:t>
      </w:r>
      <w:r>
        <w:rPr>
          <w:rFonts w:hint="eastAsia" w:ascii="Times New Roman" w:hAnsi="Times New Roman" w:eastAsia="方正仿宋_GBK" w:cs="仿宋_GB2312"/>
          <w:color w:val="000000"/>
          <w:kern w:val="0"/>
          <w:sz w:val="33"/>
          <w:szCs w:val="32"/>
          <w:shd w:val="clear" w:color="auto" w:fill="FFFFFF"/>
          <w:lang w:val="zh-CN"/>
        </w:rPr>
        <w:t>。</w:t>
      </w:r>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楷体_GB2312" w:hAnsi="楷体_GB2312" w:eastAsia="楷体_GB2312" w:cs="楷体_GB2312"/>
          <w:b/>
          <w:bCs/>
          <w:kern w:val="0"/>
          <w:sz w:val="32"/>
          <w:szCs w:val="32"/>
          <w:shd w:val="clear" w:color="auto" w:fill="FFFFFF"/>
          <w:lang w:val="zh-CN"/>
        </w:rPr>
      </w:pPr>
      <w:bookmarkStart w:id="141" w:name="_Toc7451_WPSOffice_Level2"/>
      <w:bookmarkStart w:id="142" w:name="_Toc30760_WPSOffice_Level2"/>
      <w:bookmarkStart w:id="143" w:name="_Toc10202_WPSOffice_Level2"/>
      <w:bookmarkStart w:id="144" w:name="_Toc15402_WPSOffice_Level2"/>
      <w:r>
        <w:rPr>
          <w:rFonts w:hint="eastAsia" w:ascii="楷体_GB2312" w:hAnsi="楷体_GB2312" w:eastAsia="楷体_GB2312" w:cs="楷体_GB2312"/>
          <w:b/>
          <w:bCs/>
          <w:kern w:val="0"/>
          <w:sz w:val="32"/>
          <w:szCs w:val="32"/>
          <w:shd w:val="clear" w:color="auto" w:fill="FFFFFF"/>
          <w:lang w:val="zh-CN"/>
        </w:rPr>
        <w:t>（二）存在问题。</w:t>
      </w:r>
      <w:bookmarkEnd w:id="141"/>
      <w:bookmarkEnd w:id="142"/>
      <w:bookmarkEnd w:id="143"/>
      <w:bookmarkEnd w:id="144"/>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en-US" w:eastAsia="zh-CN"/>
        </w:rPr>
      </w:pPr>
      <w:r>
        <w:rPr>
          <w:rFonts w:hint="eastAsia" w:ascii="Times New Roman" w:hAnsi="Times New Roman" w:eastAsia="方正仿宋_GBK" w:cs="仿宋_GB2312"/>
          <w:color w:val="000000"/>
          <w:kern w:val="0"/>
          <w:sz w:val="33"/>
          <w:szCs w:val="32"/>
          <w:shd w:val="clear" w:color="auto" w:fill="FFFFFF"/>
          <w:lang w:val="zh-CN"/>
        </w:rPr>
        <w:t>1.</w:t>
      </w:r>
      <w:r>
        <w:rPr>
          <w:rFonts w:hint="eastAsia" w:ascii="Times New Roman" w:hAnsi="Times New Roman" w:eastAsia="方正仿宋_GBK" w:cs="仿宋_GB2312"/>
          <w:color w:val="000000"/>
          <w:kern w:val="0"/>
          <w:sz w:val="33"/>
          <w:szCs w:val="32"/>
          <w:shd w:val="clear" w:color="auto" w:fill="FFFFFF"/>
          <w:lang w:val="en-US" w:eastAsia="zh-CN"/>
        </w:rPr>
        <w:t>因疫情防控要求，部分活动未能及时开展</w:t>
      </w:r>
      <w:r>
        <w:rPr>
          <w:rFonts w:hint="eastAsia" w:ascii="Times New Roman" w:hAnsi="Times New Roman" w:eastAsia="方正仿宋_GBK" w:cs="仿宋_GB2312"/>
          <w:color w:val="000000"/>
          <w:kern w:val="0"/>
          <w:sz w:val="33"/>
          <w:szCs w:val="32"/>
          <w:shd w:val="clear" w:color="auto" w:fill="FFFFFF"/>
          <w:lang w:val="zh-CN"/>
        </w:rPr>
        <w:t>，</w:t>
      </w:r>
      <w:r>
        <w:rPr>
          <w:rFonts w:hint="eastAsia" w:ascii="Times New Roman" w:hAnsi="Times New Roman" w:eastAsia="方正仿宋_GBK" w:cs="仿宋_GB2312"/>
          <w:color w:val="000000"/>
          <w:kern w:val="0"/>
          <w:sz w:val="33"/>
          <w:szCs w:val="32"/>
          <w:shd w:val="clear" w:color="auto" w:fill="FFFFFF"/>
          <w:lang w:val="en-US" w:eastAsia="zh-CN"/>
        </w:rPr>
        <w:t>故部分资金未能列支。</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r>
        <w:rPr>
          <w:rFonts w:hint="eastAsia" w:ascii="Times New Roman" w:hAnsi="Times New Roman" w:eastAsia="方正仿宋_GBK" w:cs="仿宋_GB2312"/>
          <w:color w:val="000000"/>
          <w:kern w:val="0"/>
          <w:sz w:val="33"/>
          <w:szCs w:val="32"/>
          <w:shd w:val="clear" w:color="auto" w:fill="FFFFFF"/>
          <w:lang w:val="zh-CN"/>
        </w:rPr>
        <w:t>2.</w:t>
      </w:r>
      <w:r>
        <w:rPr>
          <w:rFonts w:hint="eastAsia" w:ascii="Times New Roman" w:hAnsi="Times New Roman" w:eastAsia="方正仿宋_GBK" w:cs="仿宋_GB2312"/>
          <w:color w:val="000000"/>
          <w:kern w:val="0"/>
          <w:sz w:val="33"/>
          <w:szCs w:val="32"/>
          <w:shd w:val="clear" w:color="auto" w:fill="FFFFFF"/>
          <w:lang w:val="en-US" w:eastAsia="zh-CN"/>
        </w:rPr>
        <w:t>预算支出绩效目标</w:t>
      </w:r>
      <w:r>
        <w:rPr>
          <w:rFonts w:hint="eastAsia" w:ascii="Times New Roman" w:hAnsi="Times New Roman" w:eastAsia="方正仿宋_GBK" w:cs="仿宋_GB2312"/>
          <w:color w:val="000000"/>
          <w:kern w:val="0"/>
          <w:sz w:val="33"/>
          <w:szCs w:val="32"/>
          <w:shd w:val="clear" w:color="auto" w:fill="FFFFFF"/>
          <w:lang w:val="zh-CN"/>
        </w:rPr>
        <w:t>编制工作有待细化，合理性有待提高，</w:t>
      </w:r>
      <w:r>
        <w:rPr>
          <w:rFonts w:hint="eastAsia" w:ascii="Times New Roman" w:hAnsi="Times New Roman" w:eastAsia="方正仿宋_GBK" w:cs="仿宋_GB2312"/>
          <w:color w:val="000000"/>
          <w:kern w:val="0"/>
          <w:sz w:val="33"/>
          <w:szCs w:val="32"/>
          <w:shd w:val="clear" w:color="auto" w:fill="FFFFFF"/>
          <w:lang w:val="en-US" w:eastAsia="zh-CN"/>
        </w:rPr>
        <w:t>预算</w:t>
      </w:r>
      <w:r>
        <w:rPr>
          <w:rFonts w:hint="eastAsia" w:ascii="Times New Roman" w:hAnsi="Times New Roman" w:eastAsia="方正仿宋_GBK" w:cs="仿宋_GB2312"/>
          <w:color w:val="000000"/>
          <w:kern w:val="0"/>
          <w:sz w:val="33"/>
          <w:szCs w:val="32"/>
          <w:shd w:val="clear" w:color="auto" w:fill="FFFFFF"/>
          <w:lang w:val="zh-CN"/>
        </w:rPr>
        <w:t>执行力度还要进一步加强，</w:t>
      </w:r>
      <w:r>
        <w:rPr>
          <w:rFonts w:hint="eastAsia" w:ascii="Times New Roman" w:hAnsi="Times New Roman" w:eastAsia="方正仿宋_GBK" w:cs="仿宋_GB2312"/>
          <w:color w:val="000000"/>
          <w:kern w:val="0"/>
          <w:sz w:val="33"/>
          <w:szCs w:val="32"/>
          <w:shd w:val="clear" w:color="auto" w:fill="FFFFFF"/>
          <w:lang w:val="en-US" w:eastAsia="zh-CN"/>
        </w:rPr>
        <w:t>同时执行过程的监督也需加强</w:t>
      </w:r>
      <w:r>
        <w:rPr>
          <w:rFonts w:hint="eastAsia" w:ascii="Times New Roman" w:hAnsi="Times New Roman" w:eastAsia="方正仿宋_GBK" w:cs="仿宋_GB2312"/>
          <w:color w:val="000000"/>
          <w:kern w:val="0"/>
          <w:sz w:val="33"/>
          <w:szCs w:val="32"/>
          <w:shd w:val="clear" w:color="auto" w:fill="FFFFFF"/>
          <w:lang w:val="zh-CN"/>
        </w:rPr>
        <w:t>。</w:t>
      </w:r>
    </w:p>
    <w:p>
      <w:pPr>
        <w:keepNext w:val="0"/>
        <w:keepLines w:val="0"/>
        <w:pageBreakBefore w:val="0"/>
        <w:widowControl/>
        <w:kinsoku/>
        <w:wordWrap/>
        <w:overflowPunct/>
        <w:topLinePunct w:val="0"/>
        <w:autoSpaceDE/>
        <w:autoSpaceDN/>
        <w:bidi w:val="0"/>
        <w:adjustRightInd w:val="0"/>
        <w:snapToGrid w:val="0"/>
        <w:spacing w:line="240" w:lineRule="auto"/>
        <w:ind w:firstLine="643"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bookmarkStart w:id="145" w:name="_Toc24404_WPSOffice_Level2"/>
      <w:bookmarkStart w:id="146" w:name="_Toc31584_WPSOffice_Level2"/>
      <w:bookmarkStart w:id="147" w:name="_Toc11786_WPSOffice_Level2"/>
      <w:bookmarkStart w:id="148" w:name="_Toc13343_WPSOffice_Level2"/>
      <w:r>
        <w:rPr>
          <w:rFonts w:hint="eastAsia" w:ascii="楷体_GB2312" w:hAnsi="楷体_GB2312" w:eastAsia="楷体_GB2312" w:cs="楷体_GB2312"/>
          <w:b/>
          <w:bCs/>
          <w:kern w:val="0"/>
          <w:sz w:val="32"/>
          <w:szCs w:val="32"/>
          <w:shd w:val="clear" w:color="auto" w:fill="FFFFFF"/>
          <w:lang w:val="zh-CN"/>
        </w:rPr>
        <w:t>（三）改进建议</w:t>
      </w:r>
      <w:bookmarkEnd w:id="145"/>
      <w:bookmarkEnd w:id="146"/>
      <w:bookmarkEnd w:id="147"/>
      <w:bookmarkEnd w:id="148"/>
      <w:r>
        <w:rPr>
          <w:rFonts w:hint="eastAsia" w:ascii="楷体_GB2312" w:hAnsi="楷体_GB2312" w:eastAsia="楷体_GB2312" w:cs="楷体_GB2312"/>
          <w:b/>
          <w:bCs/>
          <w:kern w:val="0"/>
          <w:sz w:val="32"/>
          <w:szCs w:val="32"/>
          <w:shd w:val="clear" w:color="auto" w:fill="FFFFFF"/>
          <w:lang w:val="zh-CN"/>
        </w:rPr>
        <w:t>。</w:t>
      </w:r>
    </w:p>
    <w:p>
      <w:pPr>
        <w:keepNext w:val="0"/>
        <w:keepLines w:val="0"/>
        <w:pageBreakBefore w:val="0"/>
        <w:widowControl/>
        <w:kinsoku/>
        <w:wordWrap/>
        <w:overflowPunct/>
        <w:topLinePunct w:val="0"/>
        <w:autoSpaceDE/>
        <w:autoSpaceDN/>
        <w:bidi w:val="0"/>
        <w:adjustRightInd w:val="0"/>
        <w:snapToGrid w:val="0"/>
        <w:spacing w:line="240" w:lineRule="auto"/>
        <w:ind w:firstLine="660" w:firstLineChars="200"/>
        <w:contextualSpacing/>
        <w:jc w:val="both"/>
        <w:textAlignment w:val="auto"/>
        <w:outlineLvl w:val="9"/>
        <w:rPr>
          <w:rFonts w:hint="eastAsia" w:ascii="Times New Roman" w:hAnsi="Times New Roman" w:eastAsia="方正仿宋_GBK" w:cs="仿宋_GB2312"/>
          <w:color w:val="000000"/>
          <w:kern w:val="0"/>
          <w:sz w:val="33"/>
          <w:szCs w:val="32"/>
          <w:shd w:val="clear" w:color="auto" w:fill="FFFFFF"/>
          <w:lang w:val="zh-CN"/>
        </w:rPr>
      </w:pPr>
      <w:r>
        <w:rPr>
          <w:rFonts w:hint="eastAsia" w:ascii="Times New Roman" w:hAnsi="Times New Roman" w:eastAsia="方正仿宋_GBK" w:cs="仿宋_GB2312"/>
          <w:color w:val="000000"/>
          <w:kern w:val="0"/>
          <w:sz w:val="33"/>
          <w:szCs w:val="32"/>
          <w:shd w:val="clear" w:color="auto" w:fill="FFFFFF"/>
          <w:lang w:val="zh-CN"/>
        </w:rPr>
        <w:t>1.遵循预算管理办法，从严控制年中追加预算规模。对于年度无法预计的临时追加的相关工作所需经费，严格按照预算调整追加程序，逐级申报报批，有效降低预算控制率。</w:t>
      </w:r>
    </w:p>
    <w:p>
      <w:pPr>
        <w:pStyle w:val="14"/>
        <w:keepNext w:val="0"/>
        <w:keepLines w:val="0"/>
        <w:pageBreakBefore w:val="0"/>
        <w:kinsoku/>
        <w:wordWrap/>
        <w:overflowPunct/>
        <w:topLinePunct w:val="0"/>
        <w:autoSpaceDE/>
        <w:autoSpaceDN/>
        <w:bidi w:val="0"/>
        <w:spacing w:line="240" w:lineRule="auto"/>
        <w:ind w:left="0" w:leftChars="0" w:firstLine="660" w:firstLineChars="200"/>
        <w:jc w:val="both"/>
        <w:textAlignment w:val="auto"/>
        <w:outlineLvl w:val="9"/>
        <w:rPr>
          <w:rFonts w:hint="eastAsia" w:ascii="仿宋_GB2312" w:hAnsi="仿宋_GB2312" w:eastAsia="仿宋_GB2312" w:cs="仿宋_GB2312"/>
          <w:color w:val="000000"/>
          <w:sz w:val="32"/>
          <w:szCs w:val="32"/>
          <w:lang w:val="en-US" w:eastAsia="zh-CN" w:bidi="ar"/>
        </w:rPr>
      </w:pPr>
      <w:r>
        <w:rPr>
          <w:rFonts w:hint="eastAsia" w:ascii="Times New Roman" w:hAnsi="Times New Roman" w:eastAsia="方正仿宋_GBK" w:cs="仿宋_GB2312"/>
          <w:color w:val="000000"/>
          <w:kern w:val="0"/>
          <w:sz w:val="33"/>
          <w:szCs w:val="32"/>
          <w:shd w:val="clear" w:color="auto" w:fill="FFFFFF"/>
          <w:lang w:val="en-US" w:eastAsia="zh-CN"/>
        </w:rPr>
        <w:t>2.加强资金使用过程的监管，就资金使用进度及时和财政沟通，将监控结果运用到项目执行过程中，及</w:t>
      </w:r>
      <w:r>
        <w:rPr>
          <w:rFonts w:hint="eastAsia" w:ascii="Times New Roman" w:hAnsi="Times New Roman" w:eastAsia="方正仿宋_GBK" w:cs="仿宋_GB2312"/>
          <w:color w:val="000000"/>
          <w:sz w:val="33"/>
          <w:szCs w:val="32"/>
          <w:lang w:val="en-US" w:eastAsia="zh-CN" w:bidi="ar"/>
        </w:rPr>
        <w:t>时调整项目、调整资金</w:t>
      </w:r>
      <w:r>
        <w:rPr>
          <w:rFonts w:hint="eastAsia" w:ascii="仿宋_GB2312" w:hAnsi="仿宋_GB2312" w:eastAsia="仿宋_GB2312" w:cs="仿宋_GB2312"/>
          <w:color w:val="000000"/>
          <w:sz w:val="32"/>
          <w:szCs w:val="32"/>
          <w:lang w:val="en-US" w:eastAsia="zh-CN" w:bidi="ar"/>
        </w:rPr>
        <w:t>。</w:t>
      </w:r>
    </w:p>
    <w:p>
      <w:pPr>
        <w:pStyle w:val="14"/>
        <w:keepNext w:val="0"/>
        <w:keepLines w:val="0"/>
        <w:pageBreakBefore w:val="0"/>
        <w:kinsoku/>
        <w:wordWrap/>
        <w:overflowPunct/>
        <w:topLinePunct w:val="0"/>
        <w:autoSpaceDE/>
        <w:autoSpaceDN/>
        <w:bidi w:val="0"/>
        <w:spacing w:line="240" w:lineRule="auto"/>
        <w:ind w:left="0" w:leftChars="0" w:firstLine="640" w:firstLineChars="200"/>
        <w:jc w:val="both"/>
        <w:textAlignment w:val="auto"/>
        <w:outlineLvl w:val="9"/>
        <w:rPr>
          <w:rFonts w:hint="eastAsia" w:hAnsi="仿宋_GB2312" w:eastAsia="仿宋_GB2312" w:cs="仿宋_GB2312"/>
          <w:color w:val="000000" w:themeColor="text1"/>
          <w:sz w:val="32"/>
          <w14:textFill>
            <w14:solidFill>
              <w14:schemeClr w14:val="tx1"/>
            </w14:solidFill>
          </w14:textFill>
        </w:rPr>
      </w:pPr>
      <w:bookmarkStart w:id="149" w:name="_Toc5764_WPSOffice_Level1"/>
      <w:bookmarkStart w:id="150" w:name="_Toc30616_WPSOffice_Level1"/>
      <w:bookmarkStart w:id="151" w:name="_Toc28879_WPSOffice_Level1"/>
      <w:bookmarkStart w:id="152" w:name="_Toc16039_WPSOffice_Level1"/>
      <w:r>
        <w:rPr>
          <w:rFonts w:hint="eastAsia" w:hAnsi="仿宋_GB2312" w:eastAsia="仿宋_GB2312" w:cs="仿宋_GB2312"/>
          <w:color w:val="000000" w:themeColor="text1"/>
          <w:sz w:val="32"/>
          <w:lang w:val="zh-CN"/>
          <w14:textFill>
            <w14:solidFill>
              <w14:schemeClr w14:val="tx1"/>
            </w14:solidFill>
          </w14:textFill>
        </w:rPr>
        <w:t>附表：</w:t>
      </w:r>
      <w:r>
        <w:rPr>
          <w:rFonts w:hint="eastAsia" w:hAnsi="仿宋_GB2312" w:eastAsia="仿宋_GB2312" w:cs="仿宋_GB2312"/>
          <w:color w:val="000000" w:themeColor="text1"/>
          <w:sz w:val="32"/>
          <w:lang w:val="en-US" w:eastAsia="zh-CN"/>
          <w14:textFill>
            <w14:solidFill>
              <w14:schemeClr w14:val="tx1"/>
            </w14:solidFill>
          </w14:textFill>
        </w:rPr>
        <w:t>2022年度</w:t>
      </w:r>
      <w:r>
        <w:rPr>
          <w:rFonts w:hint="eastAsia" w:hAnsi="仿宋_GB2312" w:eastAsia="仿宋_GB2312" w:cs="仿宋_GB2312"/>
          <w:color w:val="000000" w:themeColor="text1"/>
          <w:sz w:val="32"/>
          <w14:textFill>
            <w14:solidFill>
              <w14:schemeClr w14:val="tx1"/>
            </w14:solidFill>
          </w14:textFill>
        </w:rPr>
        <w:t>部门预算项目支出绩效自评表（</w:t>
      </w:r>
      <w:r>
        <w:rPr>
          <w:rFonts w:hint="eastAsia" w:hAnsi="仿宋_GB2312" w:eastAsia="仿宋_GB2312" w:cs="仿宋_GB2312"/>
          <w:color w:val="000000" w:themeColor="text1"/>
          <w:sz w:val="32"/>
          <w:lang w:eastAsia="zh-CN"/>
          <w14:textFill>
            <w14:solidFill>
              <w14:schemeClr w14:val="tx1"/>
            </w14:solidFill>
          </w14:textFill>
        </w:rPr>
        <w:t>详见附件</w:t>
      </w:r>
      <w:r>
        <w:rPr>
          <w:rFonts w:hint="eastAsia" w:hAnsi="仿宋_GB2312" w:eastAsia="仿宋_GB2312" w:cs="仿宋_GB2312"/>
          <w:color w:val="000000" w:themeColor="text1"/>
          <w:sz w:val="32"/>
          <w:lang w:val="en-US" w:eastAsia="zh-CN"/>
          <w14:textFill>
            <w14:solidFill>
              <w14:schemeClr w14:val="tx1"/>
            </w14:solidFill>
          </w14:textFill>
        </w:rPr>
        <w:t>3</w:t>
      </w:r>
      <w:r>
        <w:rPr>
          <w:rFonts w:hint="eastAsia" w:hAnsi="仿宋_GB2312" w:eastAsia="仿宋_GB2312" w:cs="仿宋_GB2312"/>
          <w:color w:val="000000" w:themeColor="text1"/>
          <w:sz w:val="32"/>
          <w14:textFill>
            <w14:solidFill>
              <w14:schemeClr w14:val="tx1"/>
            </w14:solidFill>
          </w14:textFill>
        </w:rPr>
        <w:t>）</w:t>
      </w:r>
      <w:bookmarkEnd w:id="149"/>
      <w:bookmarkEnd w:id="150"/>
      <w:bookmarkEnd w:id="151"/>
      <w:bookmarkEnd w:id="152"/>
      <w:bookmarkStart w:id="153" w:name="_Toc22306_WPSOffice_Level1"/>
      <w:bookmarkStart w:id="154" w:name="_Toc24308_WPSOffice_Level1"/>
      <w:bookmarkStart w:id="155" w:name="_Toc14250_WPSOffice_Level1"/>
      <w:bookmarkStart w:id="156" w:name="_Toc12217_WPSOffice_Level1"/>
      <w:bookmarkStart w:id="157" w:name="_Toc15396618"/>
    </w:p>
    <w:p>
      <w:pPr>
        <w:pageBreakBefore w:val="0"/>
        <w:widowControl/>
        <w:kinsoku/>
        <w:wordWrap/>
        <w:overflowPunct/>
        <w:topLinePunct w:val="0"/>
        <w:bidi w:val="0"/>
        <w:spacing w:line="240" w:lineRule="auto"/>
        <w:contextualSpacing/>
        <w:textAlignment w:val="auto"/>
        <w:outlineLvl w:val="3"/>
        <w:rPr>
          <w:rFonts w:hint="eastAsia" w:ascii="宋体" w:hAnsi="宋体"/>
          <w:b/>
          <w:sz w:val="32"/>
          <w:szCs w:val="32"/>
          <w:shd w:val="clear" w:color="auto" w:fill="FFFFFF"/>
        </w:rPr>
      </w:pPr>
    </w:p>
    <w:p>
      <w:pPr>
        <w:pageBreakBefore w:val="0"/>
        <w:widowControl/>
        <w:kinsoku/>
        <w:wordWrap/>
        <w:overflowPunct/>
        <w:topLinePunct w:val="0"/>
        <w:bidi w:val="0"/>
        <w:spacing w:line="240" w:lineRule="auto"/>
        <w:contextualSpacing/>
        <w:textAlignment w:val="auto"/>
        <w:outlineLvl w:val="3"/>
        <w:rPr>
          <w:rFonts w:hint="eastAsia" w:ascii="宋体" w:hAnsi="宋体"/>
          <w:b/>
          <w:sz w:val="32"/>
          <w:szCs w:val="32"/>
          <w:shd w:val="clear" w:color="auto" w:fill="FFFFFF"/>
        </w:rPr>
      </w:pPr>
    </w:p>
    <w:p>
      <w:pPr>
        <w:pageBreakBefore w:val="0"/>
        <w:widowControl/>
        <w:kinsoku/>
        <w:wordWrap/>
        <w:overflowPunct/>
        <w:topLinePunct w:val="0"/>
        <w:bidi w:val="0"/>
        <w:spacing w:line="240" w:lineRule="auto"/>
        <w:contextualSpacing/>
        <w:textAlignment w:val="auto"/>
        <w:outlineLvl w:val="3"/>
        <w:rPr>
          <w:rFonts w:hint="eastAsia" w:ascii="宋体" w:hAnsi="宋体"/>
          <w:b/>
          <w:sz w:val="32"/>
          <w:szCs w:val="32"/>
          <w:shd w:val="clear" w:color="auto" w:fill="FFFFFF"/>
        </w:rPr>
      </w:pPr>
    </w:p>
    <w:p>
      <w:pPr>
        <w:pStyle w:val="2"/>
        <w:pageBreakBefore w:val="0"/>
        <w:kinsoku/>
        <w:wordWrap/>
        <w:overflowPunct/>
        <w:topLinePunct w:val="0"/>
        <w:bidi w:val="0"/>
        <w:spacing w:line="240" w:lineRule="auto"/>
        <w:textAlignment w:val="auto"/>
        <w:rPr>
          <w:rFonts w:hint="eastAsia" w:ascii="宋体" w:hAnsi="宋体"/>
          <w:b/>
          <w:sz w:val="32"/>
          <w:szCs w:val="32"/>
          <w:shd w:val="clear" w:color="auto" w:fill="FFFFFF"/>
        </w:rPr>
      </w:pPr>
    </w:p>
    <w:p>
      <w:pPr>
        <w:pageBreakBefore w:val="0"/>
        <w:widowControl/>
        <w:kinsoku/>
        <w:wordWrap/>
        <w:overflowPunct/>
        <w:topLinePunct w:val="0"/>
        <w:bidi w:val="0"/>
        <w:spacing w:line="240" w:lineRule="auto"/>
        <w:contextualSpacing/>
        <w:textAlignment w:val="auto"/>
        <w:outlineLvl w:val="3"/>
        <w:rPr>
          <w:rFonts w:hint="eastAsia" w:ascii="宋体" w:hAnsi="宋体"/>
          <w:b/>
          <w:sz w:val="32"/>
          <w:szCs w:val="32"/>
          <w:shd w:val="clear" w:color="auto" w:fill="FFFFFF"/>
        </w:rPr>
      </w:pPr>
    </w:p>
    <w:p>
      <w:pPr>
        <w:pageBreakBefore w:val="0"/>
        <w:widowControl/>
        <w:kinsoku/>
        <w:wordWrap/>
        <w:overflowPunct/>
        <w:topLinePunct w:val="0"/>
        <w:bidi w:val="0"/>
        <w:spacing w:line="240" w:lineRule="auto"/>
        <w:contextualSpacing/>
        <w:textAlignment w:val="auto"/>
        <w:outlineLvl w:val="3"/>
        <w:rPr>
          <w:rFonts w:hint="eastAsia"/>
          <w:lang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lang w:val="en-US"/>
        </w:rPr>
      </w:pPr>
      <w:r>
        <w:rPr>
          <w:rFonts w:eastAsia="方正小标宋_GBK"/>
          <w:sz w:val="44"/>
          <w:szCs w:val="44"/>
        </w:rPr>
        <w:t>2022</w:t>
      </w:r>
      <w:r>
        <w:rPr>
          <w:rFonts w:hint="eastAsia" w:eastAsia="方正小标宋_GBK"/>
          <w:sz w:val="44"/>
          <w:szCs w:val="44"/>
        </w:rPr>
        <w:t>年关工委专项资金支出绩效自评报告</w:t>
      </w:r>
      <w:bookmarkEnd w:id="153"/>
      <w:bookmarkEnd w:id="154"/>
      <w:bookmarkEnd w:id="155"/>
      <w:bookmarkEnd w:id="156"/>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58" w:name="_Toc31800_WPSOffice_Level2"/>
      <w:bookmarkStart w:id="159" w:name="_Toc32166_WPSOffice_Level2"/>
      <w:bookmarkStart w:id="160" w:name="_Toc19510_WPSOffice_Level2"/>
      <w:bookmarkStart w:id="161" w:name="_Toc9360_WPSOffice_Level2"/>
      <w:r>
        <w:rPr>
          <w:rFonts w:hint="eastAsia" w:ascii="黑体" w:hAnsi="宋体" w:eastAsia="黑体" w:cs="宋体"/>
          <w:kern w:val="0"/>
          <w:sz w:val="32"/>
          <w:szCs w:val="32"/>
          <w:shd w:val="clear" w:color="auto" w:fill="FFFFFF"/>
          <w:lang w:val="zh-CN"/>
        </w:rPr>
        <w:t>一、项目概况</w:t>
      </w:r>
      <w:bookmarkEnd w:id="158"/>
      <w:bookmarkEnd w:id="159"/>
      <w:bookmarkEnd w:id="160"/>
      <w:bookmarkEnd w:id="161"/>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盐边县</w:t>
      </w:r>
      <w:r>
        <w:rPr>
          <w:rFonts w:hint="eastAsia" w:ascii="仿宋_GB2312" w:hAnsi="仿宋_GB2312" w:eastAsia="仿宋_GB2312" w:cs="仿宋_GB2312"/>
          <w:sz w:val="32"/>
          <w:szCs w:val="32"/>
        </w:rPr>
        <w:t>关工委是以热心关心下一代工作的离退休老同志为主体、党政有关部门和群团组织负责人参加的，以关心、教育、培养青少年健康成长为目的的群众性工作组织，是党和政府联系青少年的桥梁和纽带，以“立德树人、助弱帮困、固本强基”为工作重点，充分发挥“五老”优势作用，保证关心下一代工作正常有序开展。一是开展主题教育加强青少年的思想政治教育；二是开展特殊青少年帮扶救助工作为青少年健康成长提供良好的社会环境；三是发挥“五老”在青少年思想道德建设中的作用，倾情呵护青少年健康成长。</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（一）项目资金申报及批复情况。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底编制2022年预算时，依据相应的政策文件，分项测算2022年工作开展支出，填制项目支出绩效目标申报表，向财政申请专项资金。经县级人大会议审定后批复预算，批复金额为50万元。因我单位财务不独立核算，由盐边县委组织部代管，故资金于年初下达至盐边县委组织部，该项目符合资金管理办法等相关规定。</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（二）项目绩效目标。</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加强了青少年思想道德教育，对特殊青少年进行帮扶救助。</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（三）项目资金申报相符性。</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项目申报内容是与具体实施内容相符，申报目标合理可行。</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62" w:name="_Toc18492_WPSOffice_Level2"/>
      <w:bookmarkStart w:id="163" w:name="_Toc15948_WPSOffice_Level2"/>
      <w:bookmarkStart w:id="164" w:name="_Toc7021_WPSOffice_Level2"/>
      <w:bookmarkStart w:id="165" w:name="_Toc16825_WPSOffice_Level2"/>
      <w:r>
        <w:rPr>
          <w:rFonts w:hint="eastAsia" w:ascii="黑体" w:hAnsi="宋体" w:eastAsia="黑体" w:cs="宋体"/>
          <w:kern w:val="0"/>
          <w:sz w:val="32"/>
          <w:szCs w:val="32"/>
          <w:shd w:val="clear" w:color="auto" w:fill="FFFFFF"/>
          <w:lang w:val="zh-CN"/>
        </w:rPr>
        <w:t>二、项目实施及管理情况</w:t>
      </w:r>
      <w:bookmarkEnd w:id="162"/>
      <w:bookmarkEnd w:id="163"/>
      <w:bookmarkEnd w:id="164"/>
      <w:bookmarkEnd w:id="165"/>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（一）资金计划、到位及使用情况。</w:t>
      </w:r>
    </w:p>
    <w:p>
      <w:pPr>
        <w:keepNext w:val="0"/>
        <w:keepLines w:val="0"/>
        <w:pageBreakBefore w:val="0"/>
        <w:kinsoku/>
        <w:wordWrap/>
        <w:overflowPunct/>
        <w:topLinePunct w:val="0"/>
        <w:bidi w:val="0"/>
        <w:spacing w:line="240" w:lineRule="auto"/>
        <w:ind w:firstLine="643" w:firstLineChars="200"/>
        <w:jc w:val="both"/>
        <w:textAlignment w:val="auto"/>
        <w:outlineLvl w:val="1"/>
        <w:rPr>
          <w:rFonts w:hint="eastAsia" w:ascii="仿宋_GB2312" w:hAnsi="仿宋_GB2312" w:eastAsia="仿宋_GB2312" w:cs="仿宋_GB2312"/>
          <w:b/>
          <w:sz w:val="32"/>
          <w:szCs w:val="32"/>
        </w:rPr>
      </w:pPr>
      <w:bookmarkStart w:id="166" w:name="_Toc14799"/>
      <w:bookmarkStart w:id="167" w:name="_Toc27964"/>
      <w:bookmarkStart w:id="168" w:name="_Toc10821"/>
      <w:r>
        <w:rPr>
          <w:rFonts w:hint="eastAsia" w:ascii="仿宋_GB2312" w:hAnsi="仿宋_GB2312" w:eastAsia="仿宋_GB2312" w:cs="仿宋_GB2312"/>
          <w:b/>
          <w:sz w:val="32"/>
          <w:szCs w:val="32"/>
        </w:rPr>
        <w:t>1.资金计划及到位。</w:t>
      </w:r>
      <w:bookmarkEnd w:id="166"/>
      <w:bookmarkEnd w:id="167"/>
      <w:bookmarkEnd w:id="168"/>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2022年3月经县人大会议审定后资金指标拨付至盐边县委组织部（财务不独立），资金安排到位及时。</w:t>
      </w:r>
    </w:p>
    <w:p>
      <w:pPr>
        <w:keepNext w:val="0"/>
        <w:keepLines w:val="0"/>
        <w:pageBreakBefore w:val="0"/>
        <w:kinsoku/>
        <w:wordWrap/>
        <w:overflowPunct/>
        <w:topLinePunct w:val="0"/>
        <w:bidi w:val="0"/>
        <w:spacing w:line="240" w:lineRule="auto"/>
        <w:ind w:firstLine="643" w:firstLineChars="200"/>
        <w:jc w:val="both"/>
        <w:textAlignment w:val="auto"/>
        <w:outlineLvl w:val="1"/>
        <w:rPr>
          <w:rFonts w:hint="eastAsia" w:ascii="仿宋_GB2312" w:hAnsi="仿宋_GB2312" w:eastAsia="仿宋_GB2312" w:cs="仿宋_GB2312"/>
          <w:b/>
          <w:sz w:val="32"/>
          <w:szCs w:val="32"/>
        </w:rPr>
      </w:pPr>
      <w:bookmarkStart w:id="169" w:name="_Toc26936"/>
      <w:bookmarkStart w:id="170" w:name="_Toc14841"/>
      <w:bookmarkStart w:id="171" w:name="_Toc32574"/>
      <w:r>
        <w:rPr>
          <w:rFonts w:hint="eastAsia" w:ascii="仿宋_GB2312" w:hAnsi="仿宋_GB2312" w:eastAsia="仿宋_GB2312" w:cs="仿宋_GB2312"/>
          <w:b/>
          <w:sz w:val="32"/>
          <w:szCs w:val="32"/>
        </w:rPr>
        <w:t>2.资金使用。</w:t>
      </w:r>
      <w:bookmarkEnd w:id="169"/>
      <w:bookmarkEnd w:id="170"/>
      <w:bookmarkEnd w:id="171"/>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2022年盐边县关工委工作要求，完成了走访慰问特殊困难青少年、绿色救助、“一对一”帮扶等重点任务，同时打造了会议室、购置办公家具及设备改善了关工委老领导的办公环境。2022年专项资金日常机构运转支出20.60万元，老同志工作补贴9.78万元，举办会议、走访慰问活动经费等支出15.99万元，合计46.38万元，结余3.62万元。资金使用均经过领导审批，资料完善，严格落实执行相关费用文件管理办法。资金使用符合项目资金用途。</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（二）项目财务管理情况。</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我单位内部资金使用审批程序完备，重大资金支出均经过会议研究决策，账务处理及时，会计核算等均符合财政工作要求。</w:t>
      </w:r>
    </w:p>
    <w:p>
      <w:pPr>
        <w:keepNext w:val="0"/>
        <w:keepLines w:val="0"/>
        <w:pageBreakBefore w:val="0"/>
        <w:numPr>
          <w:ilvl w:val="0"/>
          <w:numId w:val="7"/>
        </w:numPr>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项目组织实施情况。</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2019年3月机构改革后，盐边县关工委办公室与县委组织部下属事业单位老干部活动中心职能并轨，合署办公。每年的关工委工作经费由</w:t>
      </w:r>
      <w:r>
        <w:rPr>
          <w:rFonts w:hint="eastAsia" w:ascii="仿宋_GB2312" w:hAnsi="仿宋_GB2312" w:eastAsia="仿宋_GB2312" w:cs="仿宋_GB2312"/>
          <w:sz w:val="32"/>
          <w:szCs w:val="32"/>
          <w:lang w:val="en-US" w:eastAsia="zh-CN"/>
        </w:rPr>
        <w:t>我单位填写部门</w:t>
      </w:r>
      <w:r>
        <w:rPr>
          <w:rFonts w:hint="eastAsia" w:ascii="仿宋_GB2312" w:hAnsi="仿宋_GB2312" w:eastAsia="仿宋_GB2312" w:cs="仿宋_GB2312"/>
          <w:sz w:val="32"/>
          <w:szCs w:val="32"/>
        </w:rPr>
        <w:t>预算项目</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绩效目标</w:t>
      </w:r>
      <w:r>
        <w:rPr>
          <w:rFonts w:hint="eastAsia" w:ascii="仿宋_GB2312" w:hAnsi="仿宋_GB2312" w:eastAsia="仿宋_GB2312" w:cs="仿宋_GB2312"/>
          <w:sz w:val="32"/>
          <w:szCs w:val="32"/>
          <w:lang w:val="en-US" w:eastAsia="zh-CN"/>
        </w:rPr>
        <w:t>申报表和事前绩效评估报告后，组织部统一申报部门预算时编制项目预算。</w:t>
      </w:r>
      <w:r>
        <w:rPr>
          <w:rFonts w:hint="eastAsia" w:ascii="仿宋_GB2312" w:hAnsi="仿宋_GB2312" w:eastAsia="仿宋_GB2312" w:cs="仿宋_GB2312"/>
          <w:sz w:val="32"/>
          <w:szCs w:val="32"/>
        </w:rPr>
        <w:t>待财政资金获批下达后，由业务经办人（主要为县关工委办公室）组织实施具体业务。经费开支使用要在关工委执行主任办公会上研究决定，执行主任办公会上通过了就要拟定活动方案，然后具体实施。主要开展了主题教育、夏令营活动、县级“绿色救助”等关工委其他日常工作开展。活动完成后由关工委负责财务报销的常务副主任审批签字后将报销单据交给财务人员，财务人员严格按照财经纪律进行报销。</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72" w:name="_Toc14980_WPSOffice_Level2"/>
      <w:bookmarkStart w:id="173" w:name="_Toc30845_WPSOffice_Level2"/>
      <w:bookmarkStart w:id="174" w:name="_Toc23656_WPSOffice_Level2"/>
      <w:bookmarkStart w:id="175" w:name="_Toc7691_WPSOffice_Level2"/>
      <w:r>
        <w:rPr>
          <w:rFonts w:hint="eastAsia" w:ascii="黑体" w:hAnsi="宋体" w:eastAsia="黑体" w:cs="宋体"/>
          <w:kern w:val="0"/>
          <w:sz w:val="32"/>
          <w:szCs w:val="32"/>
          <w:shd w:val="clear" w:color="auto" w:fill="FFFFFF"/>
          <w:lang w:val="zh-CN"/>
        </w:rPr>
        <w:t>三、项目绩效情况</w:t>
      </w:r>
      <w:bookmarkEnd w:id="172"/>
      <w:bookmarkEnd w:id="173"/>
      <w:bookmarkEnd w:id="174"/>
      <w:bookmarkEnd w:id="175"/>
      <w:r>
        <w:rPr>
          <w:rFonts w:hint="eastAsia" w:ascii="黑体" w:hAnsi="宋体" w:eastAsia="黑体" w:cs="宋体"/>
          <w:kern w:val="0"/>
          <w:sz w:val="32"/>
          <w:szCs w:val="32"/>
          <w:shd w:val="clear" w:color="auto" w:fill="FFFFFF"/>
          <w:lang w:val="zh-CN"/>
        </w:rPr>
        <w:tab/>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（一）项目完成情况。</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认真开展“情系青少年 关爱进校园”主题教育，及对特殊青少年的帮扶救助活动。各项工作取得了较好成效。</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（二）项目效益情况。</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以红色基因工程深化“立德树人”，开展主题教育及深入推进传承红色基因工程，覆盖青少年1.44万余人次； 以“五老”关爱工程推进“助弱帮困”，200余名特殊青少年得到市级、县级“绿色救助”及爱心企业帮扶救助。</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76" w:name="_Toc31802_WPSOffice_Level2"/>
      <w:bookmarkStart w:id="177" w:name="_Toc22859_WPSOffice_Level2"/>
      <w:bookmarkStart w:id="178" w:name="_Toc18381_WPSOffice_Level2"/>
      <w:bookmarkStart w:id="179" w:name="_Toc24616_WPSOffice_Level2"/>
      <w:r>
        <w:rPr>
          <w:rFonts w:hint="eastAsia" w:ascii="黑体" w:hAnsi="宋体" w:eastAsia="黑体" w:cs="宋体"/>
          <w:kern w:val="0"/>
          <w:sz w:val="32"/>
          <w:szCs w:val="32"/>
          <w:shd w:val="clear" w:color="auto" w:fill="FFFFFF"/>
          <w:lang w:val="zh-CN"/>
        </w:rPr>
        <w:t>四、问题及建议</w:t>
      </w:r>
      <w:bookmarkEnd w:id="176"/>
      <w:bookmarkEnd w:id="177"/>
      <w:bookmarkEnd w:id="178"/>
      <w:bookmarkEnd w:id="179"/>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（一）存在的问题。</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绩效评价工作对业务素养要求较高，专业性较强。但具体负责业务开展的经办人员对项目绩效管理理解不充分，对绩效管理业务不熟悉，难以将业务细致梳理分类进行绩效考核、评价。</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（二）相关建议。</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加强培训学习，提升业务能力。通过进行多方位多层次的学习培训，提升业务经办人员对绩效管理业务的理解，真正将预算绩效管理工作落实到位。</w:t>
      </w: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ascii="黑体" w:hAnsi="黑体" w:eastAsia="黑体"/>
          <w:sz w:val="44"/>
          <w:szCs w:val="44"/>
        </w:rPr>
      </w:pPr>
    </w:p>
    <w:p>
      <w:pPr>
        <w:pStyle w:val="35"/>
        <w:keepNext w:val="0"/>
        <w:keepLines w:val="0"/>
        <w:pageBreakBefore w:val="0"/>
        <w:kinsoku/>
        <w:wordWrap/>
        <w:overflowPunct/>
        <w:topLinePunct w:val="0"/>
        <w:bidi w:val="0"/>
        <w:spacing w:line="240" w:lineRule="auto"/>
        <w:ind w:firstLine="800" w:firstLineChars="200"/>
        <w:jc w:val="both"/>
        <w:textAlignment w:val="auto"/>
        <w:outlineLvl w:val="9"/>
        <w:rPr>
          <w:rFonts w:ascii="Times New Roman" w:hAnsi="Times New Roman" w:eastAsia="方正小标宋简体"/>
          <w:color w:val="auto"/>
          <w:kern w:val="2"/>
          <w:sz w:val="40"/>
          <w:szCs w:val="40"/>
          <w:lang w:val="en-US"/>
        </w:rPr>
      </w:pPr>
    </w:p>
    <w:p>
      <w:pPr>
        <w:pStyle w:val="35"/>
        <w:keepNext w:val="0"/>
        <w:keepLines w:val="0"/>
        <w:pageBreakBefore w:val="0"/>
        <w:kinsoku/>
        <w:wordWrap/>
        <w:overflowPunct/>
        <w:topLinePunct w:val="0"/>
        <w:bidi w:val="0"/>
        <w:spacing w:line="240" w:lineRule="auto"/>
        <w:ind w:firstLine="800" w:firstLineChars="200"/>
        <w:jc w:val="both"/>
        <w:textAlignment w:val="auto"/>
        <w:outlineLvl w:val="9"/>
        <w:rPr>
          <w:rFonts w:ascii="Times New Roman" w:hAnsi="Times New Roman" w:eastAsia="方正小标宋简体"/>
          <w:color w:val="auto"/>
          <w:kern w:val="2"/>
          <w:sz w:val="40"/>
          <w:szCs w:val="40"/>
          <w:lang w:val="en-US"/>
        </w:rPr>
      </w:pPr>
    </w:p>
    <w:p>
      <w:pPr>
        <w:pStyle w:val="35"/>
        <w:keepNext w:val="0"/>
        <w:keepLines w:val="0"/>
        <w:pageBreakBefore w:val="0"/>
        <w:kinsoku/>
        <w:wordWrap/>
        <w:overflowPunct/>
        <w:topLinePunct w:val="0"/>
        <w:bidi w:val="0"/>
        <w:spacing w:line="240" w:lineRule="auto"/>
        <w:ind w:firstLine="800" w:firstLineChars="200"/>
        <w:jc w:val="both"/>
        <w:textAlignment w:val="auto"/>
        <w:outlineLvl w:val="9"/>
        <w:rPr>
          <w:rFonts w:ascii="Times New Roman" w:hAnsi="Times New Roman" w:eastAsia="方正小标宋简体"/>
          <w:color w:val="auto"/>
          <w:kern w:val="2"/>
          <w:sz w:val="40"/>
          <w:szCs w:val="40"/>
          <w:lang w:val="en-US"/>
        </w:rPr>
      </w:pPr>
    </w:p>
    <w:p>
      <w:pPr>
        <w:pStyle w:val="35"/>
        <w:keepNext w:val="0"/>
        <w:keepLines w:val="0"/>
        <w:pageBreakBefore w:val="0"/>
        <w:kinsoku/>
        <w:wordWrap/>
        <w:overflowPunct/>
        <w:topLinePunct w:val="0"/>
        <w:bidi w:val="0"/>
        <w:spacing w:line="240" w:lineRule="auto"/>
        <w:ind w:firstLine="800" w:firstLineChars="200"/>
        <w:jc w:val="both"/>
        <w:textAlignment w:val="auto"/>
        <w:outlineLvl w:val="9"/>
        <w:rPr>
          <w:rFonts w:ascii="Times New Roman" w:hAnsi="Times New Roman" w:eastAsia="方正小标宋简体"/>
          <w:color w:val="auto"/>
          <w:kern w:val="2"/>
          <w:sz w:val="40"/>
          <w:szCs w:val="40"/>
          <w:lang w:val="en-US"/>
        </w:rPr>
      </w:pPr>
    </w:p>
    <w:p>
      <w:pPr>
        <w:pStyle w:val="35"/>
        <w:keepNext w:val="0"/>
        <w:keepLines w:val="0"/>
        <w:pageBreakBefore w:val="0"/>
        <w:kinsoku/>
        <w:wordWrap/>
        <w:overflowPunct/>
        <w:topLinePunct w:val="0"/>
        <w:bidi w:val="0"/>
        <w:spacing w:line="240" w:lineRule="auto"/>
        <w:ind w:firstLine="800" w:firstLineChars="200"/>
        <w:jc w:val="both"/>
        <w:textAlignment w:val="auto"/>
        <w:outlineLvl w:val="9"/>
        <w:rPr>
          <w:rFonts w:ascii="Times New Roman" w:hAnsi="Times New Roman" w:eastAsia="方正小标宋简体"/>
          <w:color w:val="auto"/>
          <w:kern w:val="2"/>
          <w:sz w:val="40"/>
          <w:szCs w:val="40"/>
          <w:lang w:val="en-US"/>
        </w:rPr>
      </w:pPr>
    </w:p>
    <w:p>
      <w:pPr>
        <w:pStyle w:val="35"/>
        <w:keepNext w:val="0"/>
        <w:keepLines w:val="0"/>
        <w:pageBreakBefore w:val="0"/>
        <w:kinsoku/>
        <w:wordWrap/>
        <w:overflowPunct/>
        <w:topLinePunct w:val="0"/>
        <w:bidi w:val="0"/>
        <w:spacing w:line="240" w:lineRule="auto"/>
        <w:ind w:firstLine="800" w:firstLineChars="200"/>
        <w:jc w:val="both"/>
        <w:textAlignment w:val="auto"/>
        <w:outlineLvl w:val="9"/>
        <w:rPr>
          <w:rFonts w:ascii="Times New Roman" w:hAnsi="Times New Roman" w:eastAsia="方正小标宋简体"/>
          <w:color w:val="auto"/>
          <w:kern w:val="2"/>
          <w:sz w:val="40"/>
          <w:szCs w:val="40"/>
          <w:lang w:val="en-US"/>
        </w:rPr>
      </w:pPr>
    </w:p>
    <w:p>
      <w:pPr>
        <w:pStyle w:val="35"/>
        <w:keepNext w:val="0"/>
        <w:keepLines w:val="0"/>
        <w:pageBreakBefore w:val="0"/>
        <w:kinsoku/>
        <w:wordWrap/>
        <w:overflowPunct/>
        <w:topLinePunct w:val="0"/>
        <w:bidi w:val="0"/>
        <w:spacing w:line="240" w:lineRule="auto"/>
        <w:ind w:firstLine="800" w:firstLineChars="200"/>
        <w:jc w:val="both"/>
        <w:textAlignment w:val="auto"/>
        <w:outlineLvl w:val="9"/>
        <w:rPr>
          <w:rFonts w:ascii="Times New Roman" w:hAnsi="Times New Roman" w:eastAsia="方正小标宋简体"/>
          <w:color w:val="auto"/>
          <w:kern w:val="2"/>
          <w:sz w:val="40"/>
          <w:szCs w:val="40"/>
          <w:lang w:val="en-US"/>
        </w:rPr>
      </w:pPr>
    </w:p>
    <w:p>
      <w:pPr>
        <w:pageBreakBefore w:val="0"/>
        <w:widowControl/>
        <w:kinsoku/>
        <w:wordWrap/>
        <w:overflowPunct/>
        <w:topLinePunct w:val="0"/>
        <w:bidi w:val="0"/>
        <w:spacing w:line="240" w:lineRule="auto"/>
        <w:contextualSpacing/>
        <w:textAlignment w:val="auto"/>
        <w:outlineLvl w:val="3"/>
        <w:rPr>
          <w:rFonts w:hint="eastAsia" w:ascii="宋体" w:hAnsi="宋体"/>
          <w:b/>
          <w:sz w:val="32"/>
          <w:szCs w:val="32"/>
          <w:shd w:val="clear" w:color="auto" w:fill="FFFFFF"/>
        </w:rPr>
      </w:pPr>
      <w:bookmarkStart w:id="180" w:name="_Toc2960_WPSOffice_Level1"/>
      <w:bookmarkStart w:id="181" w:name="_Toc3322_WPSOffice_Level1"/>
      <w:bookmarkStart w:id="182" w:name="_Toc327_WPSOffice_Level1"/>
      <w:bookmarkStart w:id="183" w:name="_Toc23178_WPSOffice_Level1"/>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eastAsia="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eastAsia="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eastAsia="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eastAsia="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eastAsia="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ascii="Times New Roman" w:hAnsi="Times New Roman"/>
          <w:color w:val="auto"/>
          <w:kern w:val="2"/>
          <w:sz w:val="32"/>
          <w:szCs w:val="32"/>
        </w:rPr>
      </w:pPr>
      <w:r>
        <w:rPr>
          <w:rFonts w:hint="eastAsia" w:eastAsia="方正小标宋_GBK"/>
          <w:sz w:val="44"/>
          <w:szCs w:val="44"/>
          <w:lang w:val="en-US" w:eastAsia="zh-CN"/>
        </w:rPr>
        <w:t>2022年老干部专项资金</w:t>
      </w:r>
      <w:r>
        <w:rPr>
          <w:rFonts w:eastAsia="方正小标宋_GBK"/>
          <w:sz w:val="44"/>
          <w:szCs w:val="44"/>
        </w:rPr>
        <w:t>支出绩效自评报告</w:t>
      </w:r>
      <w:bookmarkEnd w:id="180"/>
      <w:bookmarkEnd w:id="181"/>
      <w:bookmarkEnd w:id="182"/>
      <w:bookmarkEnd w:id="183"/>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84" w:name="_Toc19223_WPSOffice_Level2"/>
      <w:bookmarkStart w:id="185" w:name="_Toc17106_WPSOffice_Level2"/>
      <w:bookmarkStart w:id="186" w:name="_Toc8500_WPSOffice_Level2"/>
      <w:bookmarkStart w:id="187" w:name="_Toc29252_WPSOffice_Level2"/>
      <w:r>
        <w:rPr>
          <w:rFonts w:hint="eastAsia" w:ascii="黑体" w:hAnsi="宋体" w:eastAsia="黑体" w:cs="宋体"/>
          <w:kern w:val="0"/>
          <w:sz w:val="32"/>
          <w:szCs w:val="32"/>
          <w:shd w:val="clear" w:color="auto" w:fill="FFFFFF"/>
          <w:lang w:val="zh-CN"/>
        </w:rPr>
        <w:t>一、项目概况</w:t>
      </w:r>
      <w:bookmarkEnd w:id="184"/>
      <w:bookmarkEnd w:id="185"/>
      <w:bookmarkEnd w:id="186"/>
      <w:bookmarkEnd w:id="187"/>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（一）项目基本情况。</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盐边县委组织部内设的</w:t>
      </w:r>
      <w:r>
        <w:rPr>
          <w:rFonts w:hint="eastAsia" w:ascii="仿宋_GB2312" w:hAnsi="仿宋_GB2312" w:eastAsia="仿宋_GB2312" w:cs="仿宋_GB2312"/>
          <w:color w:val="000000"/>
          <w:sz w:val="32"/>
          <w:szCs w:val="32"/>
          <w:shd w:val="clear" w:color="auto" w:fill="FFFFFF"/>
          <w:lang w:bidi="ar"/>
        </w:rPr>
        <w:t>离退休干部股</w:t>
      </w:r>
      <w:r>
        <w:rPr>
          <w:rFonts w:hint="eastAsia" w:ascii="仿宋_GB2312" w:hAnsi="仿宋_GB2312" w:eastAsia="仿宋_GB2312" w:cs="仿宋_GB2312"/>
          <w:color w:val="000000"/>
          <w:sz w:val="32"/>
          <w:szCs w:val="32"/>
          <w:shd w:val="clear" w:color="auto" w:fill="FFFFFF"/>
          <w:lang w:val="en-US" w:eastAsia="zh-CN" w:bidi="ar"/>
        </w:rPr>
        <w:t>和</w:t>
      </w:r>
      <w:r>
        <w:rPr>
          <w:rFonts w:hint="eastAsia" w:ascii="仿宋_GB2312" w:hAnsi="仿宋_GB2312" w:eastAsia="仿宋_GB2312" w:cs="仿宋_GB2312"/>
          <w:color w:val="000000"/>
          <w:sz w:val="32"/>
          <w:szCs w:val="32"/>
          <w:shd w:val="clear" w:color="auto" w:fill="FFFFFF"/>
          <w:lang w:bidi="ar"/>
        </w:rPr>
        <w:t>下属事业单位</w:t>
      </w:r>
      <w:r>
        <w:rPr>
          <w:rFonts w:hint="eastAsia" w:ascii="仿宋_GB2312" w:hAnsi="仿宋_GB2312" w:eastAsia="仿宋_GB2312" w:cs="仿宋_GB2312"/>
          <w:color w:val="000000"/>
          <w:sz w:val="32"/>
          <w:szCs w:val="32"/>
          <w:shd w:val="clear" w:color="auto" w:fill="FFFFFF"/>
          <w:lang w:val="en-US" w:eastAsia="zh-CN" w:bidi="ar"/>
        </w:rPr>
        <w:t>盐边</w:t>
      </w:r>
      <w:r>
        <w:rPr>
          <w:rFonts w:hint="eastAsia" w:ascii="仿宋_GB2312" w:hAnsi="仿宋_GB2312" w:eastAsia="仿宋_GB2312" w:cs="仿宋_GB2312"/>
          <w:color w:val="000000"/>
          <w:sz w:val="32"/>
          <w:szCs w:val="32"/>
          <w:shd w:val="clear" w:color="auto" w:fill="FFFFFF"/>
          <w:lang w:bidi="ar"/>
        </w:rPr>
        <w:t>县老干部活动</w:t>
      </w:r>
      <w:r>
        <w:rPr>
          <w:rFonts w:hint="eastAsia" w:ascii="仿宋_GB2312" w:hAnsi="仿宋_GB2312" w:eastAsia="仿宋_GB2312" w:cs="仿宋_GB2312"/>
          <w:color w:val="000000"/>
          <w:sz w:val="32"/>
          <w:szCs w:val="32"/>
          <w:shd w:val="clear" w:color="auto" w:fill="FFFFFF"/>
          <w:lang w:val="en-US" w:eastAsia="zh-CN" w:bidi="ar"/>
        </w:rPr>
        <w:t>中心，主管老干部工作。负责离退休干部工作政策的研究和宏观指导，包括落实离退休干部的政治待遇和生活待遇，充分发挥离退休干部的作用。具体实施开展县级以上离退休老干部的走访慰问、体检、党支部活动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关于进一步加强和改进离退休干部工作意见》（中办发〔2016〕3号）、《关于加强新时代离退休干部党的建设工作的意见》（中办发〔2022〕31号）等文件规定及上级老干部工作部门工作安排，每年要组织离退休干部开展参观、考察、调研经济社会发展情况，组织离退休干部参与党委、政府重大活动，召开情况通报会，组织健康休养等，不断加强离退休干部的管理服务和关心爱护工作，进一步落实好离退休干部政治待遇和生活待遇，加强离退休干部思想建设、政治建设和党组织建设。</w:t>
      </w:r>
      <w:r>
        <w:rPr>
          <w:rFonts w:hint="eastAsia" w:ascii="仿宋_GB2312" w:hAnsi="仿宋_GB2312" w:eastAsia="仿宋_GB2312" w:cs="仿宋_GB2312"/>
          <w:sz w:val="32"/>
          <w:szCs w:val="32"/>
          <w:lang w:val="en-US" w:eastAsia="zh-CN"/>
        </w:rPr>
        <w:t>我部根据以往资金使用情况，根据活动开展分项测算费用支出，按照财政项目资金预算申报要求申请资金。</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部根据财政管理要求及县级各类费用支出管理办法，制定了财务管理制度。同时参照执行离退休干部相关待遇标准。资金主要用于县级及以上离退休老干部的走访慰问、困难老干部的扶持、体检、党支部主题活动和调研活动等，以及开展上述活动日常办公运行费、公车维护费等。所需资金均由县级财政统筹划拨支持。</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资金分配上专款专用，由离退休干部股经办人员根据业务活动开展所需，并按照财政项目预算资金申报要求申请专项资金，不挤占部机关公用经费同时保障离退休老干部各项活动的顺利开展。</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（二）项目绩效目标。</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1.项目主要内容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SA"/>
        </w:rPr>
        <w:t>根据各项文件规定及上级老干部门工作安排，组织离退休干部开展参观、考察、调研经济社会发展情况，参与党委、政府重大活动，召开情况通报会，健康休养、重大节日和病逝走访慰问、主题党日活动等，不断提升离退休干部的管理服务和关心爱护工作，落实好离退休干部的政治待遇和生活待遇，以加强离退休干部思想建设、政治建设和党组织建设。</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通过各项老干部专项活动的开展，积极引导广大离退休干部发挥余热、增添正能量，让服务管理的老干部满意。各专项活动开展时要具体落到37位县级离退休老干部上，活动覆盖率和走访慰问完成率要达到100%，同时在资金指标内完成调研、主题党日活动、体检等各专项活动。</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专项资金申报均依据每年常规实际活动测算，申报目标细化到离退休老干部数量、成本等各项指标，合理可行。</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（三）项目自评步骤及方法。</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根据县财政局《关于开展2022年度预算绩效自评工作的通知》，我部积极组织离退休干部股相关人员对2022年老干部专项资金项目绩效逐项、分指标进行全面系统自查和评价。</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88" w:name="_Toc25113_WPSOffice_Level2"/>
      <w:bookmarkStart w:id="189" w:name="_Toc15666_WPSOffice_Level2"/>
      <w:bookmarkStart w:id="190" w:name="_Toc15184_WPSOffice_Level2"/>
      <w:bookmarkStart w:id="191" w:name="_Toc19233_WPSOffice_Level2"/>
      <w:r>
        <w:rPr>
          <w:rFonts w:hint="eastAsia" w:ascii="黑体" w:hAnsi="宋体" w:eastAsia="黑体" w:cs="宋体"/>
          <w:kern w:val="0"/>
          <w:sz w:val="32"/>
          <w:szCs w:val="32"/>
          <w:shd w:val="clear" w:color="auto" w:fill="FFFFFF"/>
          <w:lang w:val="zh-CN"/>
        </w:rPr>
        <w:t>二、项目资金申报及使用情况</w:t>
      </w:r>
      <w:bookmarkEnd w:id="188"/>
      <w:bookmarkEnd w:id="189"/>
      <w:bookmarkEnd w:id="190"/>
      <w:bookmarkEnd w:id="191"/>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（一）项目资金申报及批复情况。</w:t>
      </w:r>
    </w:p>
    <w:p>
      <w:pPr>
        <w:pStyle w:val="2"/>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根据2022年预算编制工作安排，2021年底2022老干部专项资金申请预算63.29万元，经批复审定县级财政安排年初预算34.25万元，年中追加29.04万元，共计下达资金63.29万元。</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（二）资金计划、到位及使用情况（可用表格形式反映）。</w:t>
      </w:r>
    </w:p>
    <w:p>
      <w:pPr>
        <w:keepNext w:val="0"/>
        <w:keepLines w:val="0"/>
        <w:pageBreakBefore w:val="0"/>
        <w:kinsoku/>
        <w:wordWrap/>
        <w:overflowPunct/>
        <w:topLinePunct w:val="0"/>
        <w:bidi w:val="0"/>
        <w:spacing w:line="240" w:lineRule="auto"/>
        <w:ind w:firstLine="643" w:firstLineChars="200"/>
        <w:jc w:val="both"/>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sz w:val="32"/>
          <w:szCs w:val="32"/>
          <w:lang w:val="en-US" w:eastAsia="zh-CN"/>
        </w:rPr>
        <w:t>2022年老干部专项资金均由县级财政负担，统筹下达资金计划</w:t>
      </w:r>
      <w:r>
        <w:rPr>
          <w:rFonts w:hint="eastAsia" w:ascii="仿宋_GB2312" w:hAnsi="仿宋_GB2312" w:eastAsia="仿宋_GB2312" w:cs="仿宋_GB2312"/>
          <w:b/>
          <w:sz w:val="32"/>
          <w:szCs w:val="32"/>
        </w:rPr>
        <w:t>。</w:t>
      </w:r>
    </w:p>
    <w:p>
      <w:pPr>
        <w:keepNext w:val="0"/>
        <w:keepLines w:val="0"/>
        <w:pageBreakBefore w:val="0"/>
        <w:kinsoku/>
        <w:wordWrap/>
        <w:overflowPunct/>
        <w:topLinePunct w:val="0"/>
        <w:bidi w:val="0"/>
        <w:spacing w:line="240" w:lineRule="auto"/>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sz w:val="32"/>
          <w:szCs w:val="32"/>
        </w:rPr>
        <w:t>县财政按申报项目资金全额拨款，到位资金率占100%，资金到位及时。</w:t>
      </w:r>
    </w:p>
    <w:p>
      <w:pPr>
        <w:keepNext w:val="0"/>
        <w:keepLines w:val="0"/>
        <w:pageBreakBefore w:val="0"/>
        <w:kinsoku/>
        <w:wordWrap/>
        <w:overflowPunct/>
        <w:topLinePunct w:val="0"/>
        <w:bidi w:val="0"/>
        <w:spacing w:line="240" w:lineRule="auto"/>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hint="eastAsia" w:ascii="仿宋_GB2312" w:hAnsi="仿宋_GB2312" w:eastAsia="仿宋_GB2312" w:cs="仿宋_GB2312"/>
          <w:sz w:val="32"/>
          <w:szCs w:val="32"/>
        </w:rPr>
        <w:t>2022年，老干部</w:t>
      </w:r>
      <w:r>
        <w:rPr>
          <w:rFonts w:hint="eastAsia" w:ascii="仿宋_GB2312" w:hAnsi="仿宋_GB2312" w:eastAsia="仿宋_GB2312" w:cs="仿宋_GB2312"/>
          <w:sz w:val="32"/>
          <w:szCs w:val="32"/>
          <w:lang w:val="en-US" w:eastAsia="zh-CN"/>
        </w:rPr>
        <w:t>专项资金共支出</w:t>
      </w:r>
      <w:r>
        <w:rPr>
          <w:rFonts w:hint="eastAsia" w:ascii="仿宋_GB2312" w:hAnsi="仿宋_GB2312" w:eastAsia="仿宋_GB2312" w:cs="仿宋_GB2312"/>
          <w:sz w:val="32"/>
          <w:szCs w:val="32"/>
        </w:rPr>
        <w:t>42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999</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元，资金开支均专款专用于推动老干部工作，支付依据合规合法，资金</w:t>
      </w:r>
      <w:r>
        <w:rPr>
          <w:rFonts w:hint="eastAsia" w:ascii="仿宋_GB2312" w:hAnsi="仿宋_GB2312" w:eastAsia="仿宋_GB2312" w:cs="仿宋_GB2312"/>
          <w:sz w:val="32"/>
          <w:szCs w:val="32"/>
          <w:lang w:val="en-US" w:eastAsia="zh-CN"/>
        </w:rPr>
        <w:t>开支范围</w:t>
      </w:r>
      <w:r>
        <w:rPr>
          <w:rFonts w:hint="eastAsia" w:ascii="仿宋_GB2312" w:hAnsi="仿宋_GB2312" w:eastAsia="仿宋_GB2312" w:cs="仿宋_GB2312"/>
          <w:sz w:val="32"/>
          <w:szCs w:val="32"/>
        </w:rPr>
        <w:t>与预算相符。由于疫情原因，2022年未开展异地走访、健康疗养活动，组织居住在成都和攀枝花老干部临时党支部集中组织活动少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所以走访异地居住老干部及离休干部遗属经费、驻蓉离退休干部临时党支部活动费、离退休干部国庆节座谈会经费及慰问金、驻攀离退休干部临时支部活动费、离退休干部活动经费等项目合计结余资金20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29</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（三）项目财务管理情况。</w:t>
      </w:r>
    </w:p>
    <w:p>
      <w:pPr>
        <w:keepNext w:val="0"/>
        <w:keepLines w:val="0"/>
        <w:pageBreakBefore w:val="0"/>
        <w:kinsoku/>
        <w:wordWrap/>
        <w:overflowPunct/>
        <w:topLinePunct w:val="0"/>
        <w:autoSpaceDE w:val="0"/>
        <w:autoSpaceDN w:val="0"/>
        <w:bidi w:val="0"/>
        <w:adjustRightInd w:val="0"/>
        <w:spacing w:line="240" w:lineRule="auto"/>
        <w:ind w:firstLine="640"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单位财务管理制度健全，严格执行财务管理制度，账务处理及时，会计核算规范。</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92" w:name="_Toc29090_WPSOffice_Level2"/>
      <w:bookmarkStart w:id="193" w:name="_Toc2591_WPSOffice_Level2"/>
      <w:bookmarkStart w:id="194" w:name="_Toc14843_WPSOffice_Level2"/>
      <w:bookmarkStart w:id="195" w:name="_Toc3778_WPSOffice_Level2"/>
      <w:r>
        <w:rPr>
          <w:rFonts w:hint="eastAsia" w:ascii="黑体" w:hAnsi="宋体" w:eastAsia="黑体" w:cs="宋体"/>
          <w:kern w:val="0"/>
          <w:sz w:val="32"/>
          <w:szCs w:val="32"/>
          <w:shd w:val="clear" w:color="auto" w:fill="FFFFFF"/>
          <w:lang w:val="zh-CN"/>
        </w:rPr>
        <w:t>三、项目实施及管理情况</w:t>
      </w:r>
      <w:bookmarkEnd w:id="192"/>
      <w:bookmarkEnd w:id="193"/>
      <w:bookmarkEnd w:id="194"/>
      <w:bookmarkEnd w:id="195"/>
    </w:p>
    <w:p>
      <w:pPr>
        <w:keepNext w:val="0"/>
        <w:keepLines w:val="0"/>
        <w:pageBreakBefore w:val="0"/>
        <w:numPr>
          <w:ilvl w:val="0"/>
          <w:numId w:val="8"/>
        </w:numPr>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项目组织架构及实施流程。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部严格按照《关于进一步加强和改进离退休干部工作意见》（中办发〔2016〕3号）、《关于加强新时代离退休干部党的建设工作的意见》（中办发〔2022〕31号）及我县相关的财务报销管理办法，同时根据上级主管部门的工作安排，适时安排离退休老干部开展体检、支部活动、走访慰问等活动。</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w:t>
      </w:r>
      <w:r>
        <w:rPr>
          <w:rFonts w:hint="eastAsia" w:ascii="仿宋_GB2312" w:hAnsi="仿宋_GB2312" w:eastAsia="仿宋_GB2312" w:cs="仿宋_GB2312"/>
          <w:sz w:val="32"/>
          <w:szCs w:val="32"/>
          <w:lang w:val="en-US" w:eastAsia="zh-CN"/>
        </w:rPr>
        <w:t>监督</w:t>
      </w:r>
      <w:r>
        <w:rPr>
          <w:rFonts w:hint="eastAsia" w:ascii="仿宋_GB2312" w:hAnsi="仿宋_GB2312" w:eastAsia="仿宋_GB2312" w:cs="仿宋_GB2312"/>
          <w:sz w:val="32"/>
          <w:szCs w:val="32"/>
        </w:rPr>
        <w:t>管理情况。</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认真做好项目经费预算、管理和使用等工作。一是加强绩效管理制度和流程的建设，</w:t>
      </w:r>
      <w:r>
        <w:rPr>
          <w:rFonts w:hint="eastAsia" w:ascii="仿宋_GB2312" w:hAnsi="仿宋_GB2312" w:eastAsia="仿宋_GB2312" w:cs="仿宋_GB2312"/>
          <w:sz w:val="32"/>
          <w:szCs w:val="32"/>
          <w:lang w:eastAsia="zh-CN"/>
        </w:rPr>
        <w:t>进一步</w:t>
      </w:r>
      <w:r>
        <w:rPr>
          <w:rFonts w:hint="eastAsia" w:ascii="仿宋_GB2312" w:hAnsi="仿宋_GB2312" w:eastAsia="仿宋_GB2312" w:cs="仿宋_GB2312"/>
          <w:sz w:val="32"/>
          <w:szCs w:val="32"/>
        </w:rPr>
        <w:t>深化、完善绩效管理体系，建立全过程的预算绩效管理机制，促进绩效管理工作向广度和深度延伸。二是完善经费项目财政支出绩效评价指标框架，加强专项工作经费支出预算编制的科学性、针对性，增强项目绩效指标的量化、细化、可衡量性，提升预算的可执行性。三是强化项目管理，做好项目前期工作，理顺工作流程，加快项目推进，进而加快资金支出进度。四是加强项目实施过程中的监督审核。建立健全财政专项资金的公开机制、评审机制、跟踪检查机制，确保资金安全高效使用。五是切实抓好财政专项资金的分配、使用、管理和效益情况的审计监督，严肃查处违纪违规行为。</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196" w:name="_Toc2159_WPSOffice_Level2"/>
      <w:bookmarkStart w:id="197" w:name="_Toc6652_WPSOffice_Level2"/>
      <w:bookmarkStart w:id="198" w:name="_Toc4497_WPSOffice_Level2"/>
      <w:bookmarkStart w:id="199" w:name="_Toc15554_WPSOffice_Level2"/>
      <w:r>
        <w:rPr>
          <w:rFonts w:hint="eastAsia" w:ascii="黑体" w:hAnsi="宋体" w:eastAsia="黑体" w:cs="宋体"/>
          <w:kern w:val="0"/>
          <w:sz w:val="32"/>
          <w:szCs w:val="32"/>
          <w:shd w:val="clear" w:color="auto" w:fill="FFFFFF"/>
          <w:lang w:val="zh-CN"/>
        </w:rPr>
        <w:t>四、项目绩效情况</w:t>
      </w:r>
      <w:bookmarkEnd w:id="196"/>
      <w:bookmarkEnd w:id="197"/>
      <w:bookmarkEnd w:id="198"/>
      <w:bookmarkEnd w:id="199"/>
      <w:r>
        <w:rPr>
          <w:rFonts w:hint="eastAsia" w:ascii="黑体" w:hAnsi="宋体" w:eastAsia="黑体" w:cs="宋体"/>
          <w:kern w:val="0"/>
          <w:sz w:val="32"/>
          <w:szCs w:val="32"/>
          <w:shd w:val="clear" w:color="auto" w:fill="FFFFFF"/>
          <w:lang w:val="zh-CN"/>
        </w:rPr>
        <w:tab/>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（一）项目完成情况。</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认真落实离退休干部“两项待遇”，不断加强离退休干部“三项建设”，加强对离退休干部的管理服务和关心爱护工作。各项工作取得了较好成效。</w:t>
      </w:r>
      <w:r>
        <w:rPr>
          <w:rFonts w:hint="eastAsia" w:ascii="仿宋_GB2312" w:hAnsi="仿宋_GB2312" w:eastAsia="仿宋_GB2312" w:cs="仿宋_GB2312"/>
          <w:sz w:val="32"/>
          <w:szCs w:val="32"/>
        </w:rPr>
        <w:t>全面共组织离退休干部开展集中学习交流座谈会7次；重大节庆走访慰问离退休干部81人次、生病住院慰问12人次、离休干部遗属困难帮扶45人次；认真落实离退休干部阅读文件、通报情况、征求意见以及在职领导结对联系走访慰问等制度；开展“我为盐边发展献良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建言二十大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看中国特色社会主义新时代”专题调研活动；组建以“银耀花城•盐边志愿服务队”，组织23名退休党员到社区报到，与社区联合组成电梯攻坚宣传小分队，助力电梯攻坚；吸纳和引领全县老党员、老同志64人加入“银耀花城•盐边志愿服务队”，老干部带头参与城乡基层治理工作的领衔作用凸显，在助力县委县政府中心工作中发挥了积极的作用。</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（二）项目效益情况。</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全面落实离退休干部政治、生活待遇，加强离退休干部党组织建设</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广大老干部感受发展成果，获得感、幸福感和安全感得到提升，老同志发挥余热，凝聚正能量，为社会主义现代化盐边建设作贡献的积极性不断得到提高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老干部满意度较高。</w:t>
      </w:r>
      <w:r>
        <w:rPr>
          <w:rFonts w:hint="eastAsia" w:ascii="仿宋_GB2312" w:hAnsi="仿宋_GB2312" w:eastAsia="仿宋_GB2312" w:cs="仿宋_GB2312"/>
          <w:sz w:val="32"/>
          <w:szCs w:val="32"/>
        </w:rPr>
        <w:t>2022年，1名老干部工作者被评为全省老干部工作先进个人，1名老干部被评为全市“银耀先锋”，1名老干部工作者被评为全市老干部工作先进个人，县委老干部局被评为全市老干部工作先进集体和老干部工作信息宣传先进集体。</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contextualSpacing/>
        <w:jc w:val="both"/>
        <w:textAlignment w:val="auto"/>
        <w:outlineLvl w:val="3"/>
        <w:rPr>
          <w:rFonts w:hint="eastAsia" w:ascii="黑体" w:hAnsi="宋体" w:eastAsia="黑体" w:cs="宋体"/>
          <w:kern w:val="0"/>
          <w:sz w:val="32"/>
          <w:szCs w:val="32"/>
          <w:shd w:val="clear" w:color="auto" w:fill="FFFFFF"/>
          <w:lang w:val="zh-CN"/>
        </w:rPr>
      </w:pPr>
      <w:bookmarkStart w:id="200" w:name="_Toc2662_WPSOffice_Level2"/>
      <w:bookmarkStart w:id="201" w:name="_Toc32496_WPSOffice_Level2"/>
      <w:bookmarkStart w:id="202" w:name="_Toc12726_WPSOffice_Level2"/>
      <w:bookmarkStart w:id="203" w:name="_Toc29534_WPSOffice_Level2"/>
      <w:r>
        <w:rPr>
          <w:rFonts w:hint="eastAsia" w:ascii="黑体" w:hAnsi="宋体" w:eastAsia="黑体" w:cs="宋体"/>
          <w:kern w:val="0"/>
          <w:sz w:val="32"/>
          <w:szCs w:val="32"/>
          <w:shd w:val="clear" w:color="auto" w:fill="FFFFFF"/>
          <w:lang w:val="zh-CN"/>
        </w:rPr>
        <w:t>五、评价结论及建议</w:t>
      </w:r>
      <w:bookmarkEnd w:id="200"/>
      <w:bookmarkEnd w:id="201"/>
      <w:bookmarkEnd w:id="202"/>
      <w:bookmarkEnd w:id="203"/>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（一）评价结论。</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通过此次绩效评价，</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rPr>
        <w:t>年初制定目标基本实现，资金管理到位、组织和制度保障体系健全。经逐项对照自评，自评得</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val="en-US" w:eastAsia="zh-CN"/>
        </w:rPr>
        <w:t>89</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sz w:val="32"/>
          <w:szCs w:val="32"/>
        </w:rPr>
        <w:t>，本次绩效评价自评结果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整体较好</w:t>
      </w:r>
      <w:r>
        <w:rPr>
          <w:rFonts w:hint="eastAsia" w:ascii="仿宋_GB2312" w:hAnsi="仿宋_GB2312" w:eastAsia="仿宋_GB2312" w:cs="仿宋_GB2312"/>
          <w:sz w:val="32"/>
          <w:szCs w:val="32"/>
        </w:rPr>
        <w:t>。</w:t>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（二）存在的问题。</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受疫情影响，基于防疫要求离退休干部的党支部活动开展较少，同时亦未开展走访慰问异地离退休干部及遗属工作，故资金结余较多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公车运行费用存在未及时报账的问题，年底积压报账。项目绩效评价仍有待改善，评价报告和评价指标的设计质量仍需提高。</w:t>
      </w:r>
      <w:r>
        <w:rPr>
          <w:rFonts w:hint="eastAsia" w:ascii="仿宋_GB2312" w:hAnsi="仿宋_GB2312" w:eastAsia="仿宋_GB2312" w:cs="仿宋_GB2312"/>
          <w:sz w:val="32"/>
          <w:szCs w:val="32"/>
        </w:rPr>
        <w:tab/>
      </w:r>
    </w:p>
    <w:p>
      <w:pPr>
        <w:keepNext w:val="0"/>
        <w:keepLines w:val="0"/>
        <w:pageBreakBefore w:val="0"/>
        <w:kinsoku/>
        <w:wordWrap/>
        <w:overflowPunct/>
        <w:topLinePunct w:val="0"/>
        <w:bidi w:val="0"/>
        <w:spacing w:line="240" w:lineRule="auto"/>
        <w:ind w:firstLine="640" w:firstLineChars="200"/>
        <w:jc w:val="both"/>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（三）相关建议。</w:t>
      </w:r>
    </w:p>
    <w:p>
      <w:pPr>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健全项目管理制度，制定项目用款计划、预期绩效目标，并对项目绩效实施实时监控，有效防止项目资金挤占、挪用现象发生，充分发挥资金使用效益。完善绩效考评体系，使考评有据可依。加强财政项目资金管理，保证项目资金使用管理的规范性、安全性和有效性。加强财务规范管理，提高财务管理人员业务素质，多组织财务管理人员岗位培训，同时组织业务经办人员学习与财务工作相关的知识，扩大知识面、拓宽视野、开阔思路，在业务上不断提高。</w:t>
      </w: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ascii="黑体" w:hAnsi="黑体" w:eastAsia="黑体"/>
          <w:sz w:val="44"/>
          <w:szCs w:val="44"/>
        </w:rPr>
      </w:pP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eastAsia="方正小标宋_GBK"/>
          <w:sz w:val="44"/>
          <w:szCs w:val="44"/>
          <w:lang w:val="en-US" w:eastAsia="zh-CN"/>
        </w:rPr>
      </w:pPr>
    </w:p>
    <w:p>
      <w:pPr>
        <w:keepNext w:val="0"/>
        <w:keepLines w:val="0"/>
        <w:pageBreakBefore w:val="0"/>
        <w:widowControl/>
        <w:kinsoku/>
        <w:wordWrap/>
        <w:overflowPunct/>
        <w:topLinePunct w:val="0"/>
        <w:autoSpaceDE/>
        <w:autoSpaceDN/>
        <w:bidi w:val="0"/>
        <w:adjustRightInd/>
        <w:snapToGrid/>
        <w:spacing w:after="157" w:afterLines="50" w:line="240" w:lineRule="auto"/>
        <w:contextualSpacing/>
        <w:textAlignment w:val="auto"/>
        <w:outlineLvl w:val="3"/>
        <w:rPr>
          <w:rFonts w:hint="eastAsia" w:ascii="宋体" w:hAnsi="宋体"/>
          <w:b/>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before="157" w:beforeLines="50" w:after="157" w:afterLines="50" w:line="240" w:lineRule="auto"/>
        <w:contextualSpacing/>
        <w:jc w:val="center"/>
        <w:textAlignment w:val="auto"/>
        <w:rPr>
          <w:rFonts w:hint="eastAsia" w:eastAsia="方正小标宋_GBK"/>
          <w:sz w:val="44"/>
          <w:szCs w:val="44"/>
          <w:lang w:val="en-US" w:eastAsia="zh-CN"/>
        </w:rPr>
      </w:pPr>
      <w:bookmarkStart w:id="204" w:name="_Toc18716_WPSOffice_Level1"/>
      <w:bookmarkStart w:id="205" w:name="_Toc29361_WPSOffice_Level1"/>
      <w:bookmarkStart w:id="206" w:name="_Toc31245_WPSOffice_Level1"/>
      <w:bookmarkStart w:id="207" w:name="_Toc29203_WPSOffice_Level1"/>
      <w:r>
        <w:rPr>
          <w:rFonts w:hint="eastAsia" w:eastAsia="方正小标宋_GBK"/>
          <w:sz w:val="44"/>
          <w:szCs w:val="44"/>
          <w:lang w:val="en-US" w:eastAsia="zh-CN"/>
        </w:rPr>
        <w:t>2022年盐边县到村任职选调生</w:t>
      </w:r>
      <w:r>
        <w:rPr>
          <w:rFonts w:eastAsia="方正小标宋_GBK"/>
          <w:sz w:val="44"/>
          <w:szCs w:val="44"/>
        </w:rPr>
        <w:t>专项</w:t>
      </w:r>
      <w:bookmarkEnd w:id="204"/>
      <w:bookmarkEnd w:id="205"/>
      <w:bookmarkEnd w:id="206"/>
      <w:bookmarkEnd w:id="207"/>
      <w:bookmarkStart w:id="208" w:name="_Toc31440_WPSOffice_Level1"/>
      <w:bookmarkStart w:id="209" w:name="_Toc30123_WPSOffice_Level1"/>
      <w:bookmarkStart w:id="210" w:name="_Toc32578_WPSOffice_Level1"/>
      <w:bookmarkStart w:id="211" w:name="_Toc8393_WPSOffice_Level1"/>
      <w:r>
        <w:rPr>
          <w:rFonts w:hint="eastAsia" w:eastAsia="方正小标宋_GBK"/>
          <w:sz w:val="44"/>
          <w:szCs w:val="44"/>
          <w:lang w:val="en-US" w:eastAsia="zh-CN"/>
        </w:rPr>
        <w:t>资金</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pPr>
      <w:r>
        <w:rPr>
          <w:rFonts w:eastAsia="方正小标宋_GBK"/>
          <w:sz w:val="44"/>
          <w:szCs w:val="44"/>
        </w:rPr>
        <w:t>项目支出绩效自评报告</w:t>
      </w:r>
      <w:bookmarkEnd w:id="208"/>
      <w:bookmarkEnd w:id="209"/>
      <w:bookmarkEnd w:id="210"/>
      <w:bookmarkEnd w:id="211"/>
    </w:p>
    <w:p>
      <w:pPr>
        <w:keepNext w:val="0"/>
        <w:keepLines w:val="0"/>
        <w:pageBreakBefore w:val="0"/>
        <w:kinsoku/>
        <w:wordWrap/>
        <w:overflowPunct/>
        <w:topLinePunct w:val="0"/>
        <w:autoSpaceDE/>
        <w:autoSpaceDN/>
        <w:bidi w:val="0"/>
        <w:adjustRightInd/>
        <w:snapToGrid/>
        <w:spacing w:line="240" w:lineRule="auto"/>
        <w:ind w:firstLine="660" w:firstLineChars="200"/>
        <w:jc w:val="both"/>
        <w:textAlignment w:val="auto"/>
        <w:outlineLvl w:val="3"/>
        <w:rPr>
          <w:rFonts w:hint="default" w:ascii="Times New Roman" w:hAnsi="Times New Roman" w:eastAsia="黑体" w:cs="Times New Roman"/>
          <w:sz w:val="33"/>
          <w:szCs w:val="33"/>
        </w:rPr>
      </w:pPr>
      <w:bookmarkStart w:id="212" w:name="_Toc2106_WPSOffice_Level1"/>
      <w:bookmarkStart w:id="213" w:name="_Toc367_WPSOffice_Level1"/>
      <w:bookmarkStart w:id="214" w:name="_Toc5306_WPSOffice_Level1"/>
      <w:bookmarkStart w:id="215" w:name="_Toc10863_WPSOffice_Level1"/>
      <w:r>
        <w:rPr>
          <w:rFonts w:hint="default" w:ascii="Times New Roman" w:hAnsi="Times New Roman" w:eastAsia="黑体" w:cs="Times New Roman"/>
          <w:sz w:val="33"/>
          <w:szCs w:val="33"/>
        </w:rPr>
        <w:t>一、项目概况</w:t>
      </w:r>
      <w:bookmarkEnd w:id="212"/>
      <w:bookmarkEnd w:id="213"/>
      <w:bookmarkEnd w:id="214"/>
      <w:bookmarkEnd w:id="215"/>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16" w:name="_Toc24816_WPSOffice_Level2"/>
      <w:bookmarkStart w:id="217" w:name="_Toc26080_WPSOffice_Level2"/>
      <w:bookmarkStart w:id="218" w:name="_Toc13885_WPSOffice_Level2"/>
      <w:bookmarkStart w:id="219" w:name="_Toc7447_WPSOffice_Level2"/>
      <w:r>
        <w:rPr>
          <w:rFonts w:hint="default" w:ascii="Times New Roman" w:hAnsi="Times New Roman" w:eastAsia="方正楷体_GBK" w:cs="Times New Roman"/>
          <w:b/>
          <w:bCs/>
          <w:sz w:val="33"/>
          <w:szCs w:val="33"/>
        </w:rPr>
        <w:t>（一）项目基本情况。</w:t>
      </w:r>
      <w:bookmarkEnd w:id="216"/>
      <w:bookmarkEnd w:id="217"/>
      <w:bookmarkEnd w:id="218"/>
      <w:bookmarkEnd w:id="219"/>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20" w:name="_Toc26523"/>
      <w:bookmarkStart w:id="221" w:name="_Toc26838"/>
      <w:bookmarkStart w:id="222" w:name="_Toc7492"/>
      <w:r>
        <w:rPr>
          <w:rFonts w:hint="default" w:ascii="Times New Roman" w:hAnsi="Times New Roman" w:eastAsia="方正仿宋_GBK" w:cs="Times New Roman"/>
          <w:b/>
          <w:bCs/>
          <w:sz w:val="33"/>
          <w:szCs w:val="33"/>
          <w:lang w:val="en-US" w:eastAsia="zh-CN"/>
        </w:rPr>
        <w:t>1.说明项目主管部门（单位）在该项目管理中的职能。</w:t>
      </w:r>
      <w:bookmarkEnd w:id="220"/>
      <w:bookmarkEnd w:id="221"/>
      <w:bookmarkEnd w:id="222"/>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为加强和规范选调生到村任职工作的管理，根据上级有关要求，相关资金管理工作专项资金由县委组织部结合农村党建工作任务统筹使用，做好相关资金管理、监督工作。</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23" w:name="_Toc32119"/>
      <w:bookmarkStart w:id="224" w:name="_Toc19553"/>
      <w:bookmarkStart w:id="225" w:name="_Toc6268"/>
      <w:r>
        <w:rPr>
          <w:rFonts w:hint="default" w:ascii="Times New Roman" w:hAnsi="Times New Roman" w:eastAsia="方正仿宋_GBK" w:cs="Times New Roman"/>
          <w:b/>
          <w:bCs/>
          <w:sz w:val="33"/>
          <w:szCs w:val="33"/>
          <w:lang w:val="en-US" w:eastAsia="zh-CN"/>
        </w:rPr>
        <w:t>2.项目立项、资金申报的依据。</w:t>
      </w:r>
      <w:bookmarkEnd w:id="223"/>
      <w:bookmarkEnd w:id="224"/>
      <w:bookmarkEnd w:id="225"/>
    </w:p>
    <w:p>
      <w:pPr>
        <w:keepNext w:val="0"/>
        <w:keepLines w:val="0"/>
        <w:pageBreakBefore w:val="0"/>
        <w:widowControl/>
        <w:suppressLineNumbers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根据《中华人民共和国</w:t>
      </w:r>
      <w:r>
        <w:rPr>
          <w:rFonts w:hint="eastAsia" w:ascii="Times New Roman" w:hAnsi="Times New Roman" w:eastAsia="方正仿宋_GBK" w:cs="Times New Roman"/>
          <w:sz w:val="33"/>
          <w:szCs w:val="33"/>
          <w:lang w:val="en-US" w:eastAsia="zh-CN"/>
        </w:rPr>
        <w:t>预算法》《中华人民共和国预算法实施条例》《关于进一步加强和改进选调生工作的意见》（组通字〔</w:t>
      </w:r>
      <w:r>
        <w:rPr>
          <w:rFonts w:hint="default" w:ascii="Times New Roman" w:hAnsi="Times New Roman" w:eastAsia="方正仿宋_GBK" w:cs="Times New Roman"/>
          <w:sz w:val="33"/>
          <w:szCs w:val="33"/>
          <w:lang w:val="en-US" w:eastAsia="zh-CN"/>
        </w:rPr>
        <w:t>2018</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17</w:t>
      </w:r>
      <w:r>
        <w:rPr>
          <w:rFonts w:hint="eastAsia" w:ascii="Times New Roman" w:hAnsi="Times New Roman" w:eastAsia="方正仿宋_GBK" w:cs="Times New Roman"/>
          <w:sz w:val="33"/>
          <w:szCs w:val="33"/>
          <w:lang w:val="en-US" w:eastAsia="zh-CN"/>
        </w:rPr>
        <w:t>号）《关于进一步加强选调生工作的实施意见》（川组通〔</w:t>
      </w:r>
      <w:r>
        <w:rPr>
          <w:rFonts w:hint="default" w:ascii="Times New Roman" w:hAnsi="Times New Roman" w:eastAsia="方正仿宋_GBK" w:cs="Times New Roman"/>
          <w:sz w:val="33"/>
          <w:szCs w:val="33"/>
          <w:lang w:val="en-US" w:eastAsia="zh-CN"/>
        </w:rPr>
        <w:t>2018</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54</w:t>
      </w:r>
      <w:r>
        <w:rPr>
          <w:rFonts w:hint="eastAsia" w:ascii="Times New Roman" w:hAnsi="Times New Roman" w:eastAsia="方正仿宋_GBK" w:cs="Times New Roman"/>
          <w:sz w:val="33"/>
          <w:szCs w:val="33"/>
          <w:lang w:val="en-US" w:eastAsia="zh-CN"/>
        </w:rPr>
        <w:t>号）《选调生到村任职工作专项资金管理办法（试行）》（川财行〔</w:t>
      </w:r>
      <w:r>
        <w:rPr>
          <w:rFonts w:hint="default" w:ascii="Times New Roman" w:hAnsi="Times New Roman" w:eastAsia="方正仿宋_GBK" w:cs="Times New Roman"/>
          <w:sz w:val="33"/>
          <w:szCs w:val="33"/>
          <w:lang w:val="en-US" w:eastAsia="zh-CN"/>
        </w:rPr>
        <w:t>2022</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11</w:t>
      </w:r>
      <w:r>
        <w:rPr>
          <w:rFonts w:hint="eastAsia" w:ascii="Times New Roman" w:hAnsi="Times New Roman" w:eastAsia="方正仿宋_GBK" w:cs="Times New Roman"/>
          <w:sz w:val="33"/>
          <w:szCs w:val="33"/>
          <w:lang w:val="en-US" w:eastAsia="zh-CN"/>
        </w:rPr>
        <w:t>号）等有关规定，</w:t>
      </w:r>
      <w:r>
        <w:rPr>
          <w:rFonts w:hint="eastAsia" w:eastAsia="方正仿宋_GBK" w:cs="Times New Roman"/>
          <w:sz w:val="33"/>
          <w:szCs w:val="33"/>
          <w:lang w:val="en-US" w:eastAsia="zh-CN"/>
        </w:rPr>
        <w:t>由中央、省根据到村任职选调生人数，依据</w:t>
      </w:r>
      <w:r>
        <w:rPr>
          <w:rFonts w:hint="eastAsia" w:ascii="Times New Roman" w:hAnsi="Times New Roman" w:eastAsia="方正仿宋_GBK" w:cs="Times New Roman"/>
          <w:sz w:val="33"/>
          <w:szCs w:val="33"/>
          <w:lang w:val="en-US" w:eastAsia="zh-CN"/>
        </w:rPr>
        <w:t>“选调生到村任职第一年按照每人2.2万元标准、第二年按照每人每年</w:t>
      </w:r>
      <w:r>
        <w:rPr>
          <w:rFonts w:hint="default" w:ascii="Times New Roman" w:hAnsi="Times New Roman" w:eastAsia="方正仿宋_GBK" w:cs="Times New Roman"/>
          <w:sz w:val="33"/>
          <w:szCs w:val="33"/>
          <w:lang w:val="en-US" w:eastAsia="zh-CN"/>
        </w:rPr>
        <w:t>1.9</w:t>
      </w:r>
      <w:r>
        <w:rPr>
          <w:rFonts w:hint="eastAsia" w:ascii="Times New Roman" w:hAnsi="Times New Roman" w:eastAsia="方正仿宋_GBK" w:cs="Times New Roman"/>
          <w:sz w:val="33"/>
          <w:szCs w:val="33"/>
          <w:lang w:val="en-US" w:eastAsia="zh-CN"/>
        </w:rPr>
        <w:t>万元标准予以补助</w:t>
      </w:r>
      <w:r>
        <w:rPr>
          <w:rFonts w:hint="eastAsia" w:eastAsia="方正仿宋_GBK" w:cs="Times New Roman"/>
          <w:sz w:val="33"/>
          <w:szCs w:val="33"/>
          <w:lang w:val="en-US" w:eastAsia="zh-CN"/>
        </w:rPr>
        <w:t>”的相关要求下拨款项。</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结合</w:t>
      </w:r>
      <w:r>
        <w:rPr>
          <w:rFonts w:hint="default" w:ascii="Times New Roman" w:hAnsi="Times New Roman" w:eastAsia="方正仿宋_GBK" w:cs="Times New Roman"/>
          <w:sz w:val="33"/>
          <w:szCs w:val="33"/>
          <w:lang w:val="en-US" w:eastAsia="zh-CN"/>
        </w:rPr>
        <w:t>《攀枝花市到村任职选调生管理办法（试行）》（攀组通〔2022〕129号）</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县（区）每年至少组织召开1次到村任职选调生座谈会，常态组织辖区内乡镇党委灵活开展工作汇报、现场教学、外出研讨等活动”“县（区）委组织部开展集中轮训，确保每人每年脱岗培训累计不少于12天或者90个学时”等有关规定，结合到村任职选调生实际，以进一步激发选调生到村任职干事创业热情、全面提升选调生个人素养及业务水平为目的，向部务会申请项目立项、资金</w:t>
      </w:r>
      <w:r>
        <w:rPr>
          <w:rFonts w:hint="eastAsia" w:eastAsia="方正仿宋_GBK" w:cs="Times New Roman"/>
          <w:sz w:val="33"/>
          <w:szCs w:val="33"/>
          <w:lang w:val="en-US" w:eastAsia="zh-CN"/>
        </w:rPr>
        <w:t>使用</w:t>
      </w:r>
      <w:r>
        <w:rPr>
          <w:rFonts w:hint="default" w:ascii="Times New Roman" w:hAnsi="Times New Roman" w:eastAsia="方正仿宋_GBK" w:cs="Times New Roman"/>
          <w:sz w:val="33"/>
          <w:szCs w:val="33"/>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9"/>
        <w:rPr>
          <w:rFonts w:hint="default" w:ascii="Times New Roman" w:hAnsi="Times New Roman" w:eastAsia="方正仿宋_GBK" w:cs="Times New Roman"/>
          <w:b/>
          <w:bCs/>
          <w:sz w:val="33"/>
          <w:szCs w:val="33"/>
          <w:highlight w:val="none"/>
          <w:lang w:val="en-US" w:eastAsia="zh-CN"/>
        </w:rPr>
      </w:pPr>
      <w:r>
        <w:rPr>
          <w:rFonts w:hint="default" w:ascii="Times New Roman" w:hAnsi="Times New Roman" w:eastAsia="方正仿宋_GBK" w:cs="Times New Roman"/>
          <w:b/>
          <w:bCs/>
          <w:sz w:val="33"/>
          <w:szCs w:val="33"/>
          <w:lang w:val="en-US" w:eastAsia="zh-CN"/>
        </w:rPr>
        <w:t>3.资金管理办法制定情况，资金支持具体项目的条件、范围与支持方</w:t>
      </w:r>
      <w:r>
        <w:rPr>
          <w:rFonts w:hint="default" w:ascii="Times New Roman" w:hAnsi="Times New Roman" w:eastAsia="方正仿宋_GBK" w:cs="Times New Roman"/>
          <w:b/>
          <w:bCs/>
          <w:sz w:val="33"/>
          <w:szCs w:val="33"/>
          <w:highlight w:val="none"/>
          <w:lang w:val="en-US" w:eastAsia="zh-CN"/>
        </w:rPr>
        <w:t>式概况。</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highlight w:val="none"/>
          <w:lang w:val="en-US" w:eastAsia="zh-CN"/>
        </w:rPr>
        <w:t>资金管理办法</w:t>
      </w:r>
      <w:r>
        <w:rPr>
          <w:rFonts w:hint="eastAsia" w:eastAsia="方正仿宋_GBK" w:cs="Times New Roman"/>
          <w:sz w:val="33"/>
          <w:szCs w:val="33"/>
          <w:highlight w:val="none"/>
          <w:lang w:val="en-US" w:eastAsia="zh-CN"/>
        </w:rPr>
        <w:t>参照</w:t>
      </w:r>
      <w:r>
        <w:rPr>
          <w:rFonts w:hint="default" w:ascii="Times New Roman" w:hAnsi="Times New Roman" w:eastAsia="方正仿宋_GBK" w:cs="Times New Roman"/>
          <w:sz w:val="33"/>
          <w:szCs w:val="33"/>
          <w:highlight w:val="none"/>
          <w:lang w:val="en-US" w:eastAsia="zh-CN"/>
        </w:rPr>
        <w:t>《攀枝花市选调生到村任职工作专项资金管理细则（试行）》（攀财行政〔2022〕5号）有关规定</w:t>
      </w:r>
      <w:r>
        <w:rPr>
          <w:rFonts w:hint="eastAsia" w:eastAsia="方正仿宋_GBK" w:cs="Times New Roman"/>
          <w:sz w:val="33"/>
          <w:szCs w:val="33"/>
          <w:highlight w:val="none"/>
          <w:lang w:val="en-US" w:eastAsia="zh-CN"/>
        </w:rPr>
        <w:t>执行</w:t>
      </w:r>
      <w:r>
        <w:rPr>
          <w:rFonts w:hint="default" w:ascii="Times New Roman" w:hAnsi="Times New Roman" w:eastAsia="方正仿宋_GBK" w:cs="Times New Roman"/>
          <w:sz w:val="33"/>
          <w:szCs w:val="33"/>
          <w:highlight w:val="none"/>
          <w:lang w:val="en-US" w:eastAsia="zh-CN"/>
        </w:rPr>
        <w:t>，到村</w:t>
      </w:r>
      <w:r>
        <w:rPr>
          <w:rFonts w:hint="default" w:ascii="Times New Roman" w:hAnsi="Times New Roman" w:eastAsia="方正仿宋_GBK" w:cs="Times New Roman"/>
          <w:sz w:val="33"/>
          <w:szCs w:val="33"/>
          <w:lang w:val="en-US" w:eastAsia="zh-CN"/>
        </w:rPr>
        <w:t>任职选调生经费主要用于四项大类支出：到村任职选调生一次性安置补贴、对到村任职选调生开展教育培训、到村任职选调生开展国情调研工作、到村任职选调生开展群众服务工作。</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26" w:name="_Toc17281"/>
      <w:bookmarkStart w:id="227" w:name="_Toc9272"/>
      <w:bookmarkStart w:id="228" w:name="_Toc8831"/>
      <w:r>
        <w:rPr>
          <w:rFonts w:hint="default" w:ascii="Times New Roman" w:hAnsi="Times New Roman" w:eastAsia="方正仿宋_GBK" w:cs="Times New Roman"/>
          <w:b/>
          <w:bCs/>
          <w:sz w:val="33"/>
          <w:szCs w:val="33"/>
          <w:lang w:val="en-US" w:eastAsia="zh-CN"/>
        </w:rPr>
        <w:t>4.资金分配的原则及考虑因素。</w:t>
      </w:r>
      <w:bookmarkEnd w:id="226"/>
      <w:bookmarkEnd w:id="227"/>
      <w:bookmarkEnd w:id="228"/>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资金分配原则根据到村任职选调生人数进行划分，依据《攀枝花市选调生到村任职工作专项资金管理细则（试行）》（攀财行政〔2022〕5号）有关规定</w:t>
      </w:r>
      <w:r>
        <w:rPr>
          <w:rFonts w:hint="eastAsia" w:ascii="Times New Roman" w:hAnsi="Times New Roman" w:eastAsia="方正仿宋_GBK" w:cs="Times New Roman"/>
          <w:sz w:val="33"/>
          <w:szCs w:val="33"/>
          <w:lang w:val="en-US" w:eastAsia="zh-CN"/>
        </w:rPr>
        <w:t>“选调生到村任职第一年按照每人2.2万元标准、第二年按照每人每年</w:t>
      </w:r>
      <w:r>
        <w:rPr>
          <w:rFonts w:hint="default" w:ascii="Times New Roman" w:hAnsi="Times New Roman" w:eastAsia="方正仿宋_GBK" w:cs="Times New Roman"/>
          <w:sz w:val="33"/>
          <w:szCs w:val="33"/>
          <w:lang w:val="en-US" w:eastAsia="zh-CN"/>
        </w:rPr>
        <w:t>1.9</w:t>
      </w:r>
      <w:r>
        <w:rPr>
          <w:rFonts w:hint="eastAsia" w:ascii="Times New Roman" w:hAnsi="Times New Roman" w:eastAsia="方正仿宋_GBK" w:cs="Times New Roman"/>
          <w:sz w:val="33"/>
          <w:szCs w:val="33"/>
          <w:lang w:val="en-US" w:eastAsia="zh-CN"/>
        </w:rPr>
        <w:t>万元标准予以补助</w:t>
      </w:r>
      <w:r>
        <w:rPr>
          <w:rFonts w:hint="eastAsia" w:eastAsia="方正仿宋_GBK" w:cs="Times New Roman"/>
          <w:sz w:val="33"/>
          <w:szCs w:val="33"/>
          <w:lang w:val="en-US" w:eastAsia="zh-CN"/>
        </w:rPr>
        <w:t>”</w:t>
      </w:r>
      <w:r>
        <w:rPr>
          <w:rFonts w:hint="eastAsia" w:ascii="Times New Roman" w:hAnsi="Times New Roman" w:eastAsia="方正仿宋_GBK" w:cs="Times New Roman"/>
          <w:sz w:val="33"/>
          <w:szCs w:val="33"/>
          <w:lang w:val="en-US" w:eastAsia="zh-CN"/>
        </w:rPr>
        <w:t>，资金使用范围共分为四大类：</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职选调生开展教育培训经费、到村任职选调生开展国情调研工作经费、到村任职选调生开展群众服务工作经费，其中：</w:t>
      </w:r>
      <w:r>
        <w:rPr>
          <w:rFonts w:hint="default" w:ascii="Times New Roman" w:hAnsi="Times New Roman" w:eastAsia="方正仿宋_GBK" w:cs="Times New Roman"/>
          <w:sz w:val="33"/>
          <w:szCs w:val="33"/>
          <w:lang w:val="en-US" w:eastAsia="zh-CN"/>
        </w:rPr>
        <w:t>到村任职选调生一次性安置补贴</w:t>
      </w:r>
      <w:r>
        <w:rPr>
          <w:rFonts w:hint="eastAsia" w:ascii="Times New Roman" w:hAnsi="Times New Roman" w:eastAsia="方正仿宋_GBK" w:cs="Times New Roman"/>
          <w:sz w:val="33"/>
          <w:szCs w:val="33"/>
          <w:lang w:val="en-US" w:eastAsia="zh-CN"/>
        </w:rPr>
        <w:t>共分配12.9万元，到村任职选调生开展教育培训经费11.4万元，到村任职选调生开展国情调研工作经费30.4万元，到村任职选调生开展群众服务工作经费13.92万元。</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29" w:name="_Toc11622_WPSOffice_Level2"/>
      <w:bookmarkStart w:id="230" w:name="_Toc727_WPSOffice_Level2"/>
      <w:bookmarkStart w:id="231" w:name="_Toc22322_WPSOffice_Level2"/>
      <w:bookmarkStart w:id="232" w:name="_Toc7497_WPSOffice_Level2"/>
      <w:r>
        <w:rPr>
          <w:rFonts w:hint="default" w:ascii="Times New Roman" w:hAnsi="Times New Roman" w:eastAsia="方正楷体_GBK" w:cs="Times New Roman"/>
          <w:b/>
          <w:bCs/>
          <w:sz w:val="33"/>
          <w:szCs w:val="33"/>
        </w:rPr>
        <w:t>（二）项目绩效目标。</w:t>
      </w:r>
      <w:bookmarkEnd w:id="229"/>
      <w:bookmarkEnd w:id="230"/>
      <w:bookmarkEnd w:id="231"/>
      <w:bookmarkEnd w:id="232"/>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33" w:name="_Toc14180"/>
      <w:bookmarkStart w:id="234" w:name="_Toc3143"/>
      <w:bookmarkStart w:id="235" w:name="_Toc25191"/>
      <w:r>
        <w:rPr>
          <w:rFonts w:hint="default" w:ascii="Times New Roman" w:hAnsi="Times New Roman" w:eastAsia="方正仿宋_GBK" w:cs="Times New Roman"/>
          <w:b/>
          <w:bCs/>
          <w:sz w:val="33"/>
          <w:szCs w:val="33"/>
          <w:lang w:val="en-US" w:eastAsia="zh-CN"/>
        </w:rPr>
        <w:t>1.项目主要内容。</w:t>
      </w:r>
      <w:bookmarkEnd w:id="233"/>
      <w:bookmarkEnd w:id="234"/>
      <w:bookmarkEnd w:id="235"/>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项目主要内容共分为四大类：</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职选调生开展教育培训经费、到村任职选调生开展国情调研工作经费、到村任职选调生开展群众服务工作经费</w:t>
      </w:r>
      <w:r>
        <w:rPr>
          <w:rFonts w:hint="eastAsia" w:eastAsia="方正仿宋_GBK" w:cs="Times New Roman"/>
          <w:sz w:val="33"/>
          <w:szCs w:val="33"/>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到村任职选调生一次性安置补贴依据“按每人3000元标准，主要用于购置必要的住村生活物品”的标准</w:t>
      </w:r>
      <w:r>
        <w:rPr>
          <w:rFonts w:hint="eastAsia" w:eastAsia="方正仿宋_GBK" w:cs="Times New Roman"/>
          <w:sz w:val="33"/>
          <w:szCs w:val="33"/>
          <w:lang w:val="en-US" w:eastAsia="zh-CN"/>
        </w:rPr>
        <w:t>，</w:t>
      </w:r>
      <w:r>
        <w:rPr>
          <w:rFonts w:hint="eastAsia" w:ascii="Times New Roman" w:hAnsi="Times New Roman" w:eastAsia="方正仿宋_GBK" w:cs="Times New Roman"/>
          <w:sz w:val="33"/>
          <w:szCs w:val="33"/>
          <w:lang w:val="en-US" w:eastAsia="zh-CN"/>
        </w:rPr>
        <w:t>严格审查到村任职选调生</w:t>
      </w:r>
      <w:r>
        <w:rPr>
          <w:rFonts w:hint="eastAsia" w:eastAsia="方正仿宋_GBK" w:cs="Times New Roman"/>
          <w:sz w:val="33"/>
          <w:szCs w:val="33"/>
          <w:lang w:val="en-US" w:eastAsia="zh-CN"/>
        </w:rPr>
        <w:t>所</w:t>
      </w:r>
      <w:r>
        <w:rPr>
          <w:rFonts w:hint="eastAsia" w:ascii="Times New Roman" w:hAnsi="Times New Roman" w:eastAsia="方正仿宋_GBK" w:cs="Times New Roman"/>
          <w:sz w:val="33"/>
          <w:szCs w:val="33"/>
          <w:lang w:val="en-US" w:eastAsia="zh-CN"/>
        </w:rPr>
        <w:t>购买到村任职用品</w:t>
      </w:r>
      <w:r>
        <w:rPr>
          <w:rFonts w:hint="eastAsia" w:eastAsia="方正仿宋_GBK" w:cs="Times New Roman"/>
          <w:sz w:val="33"/>
          <w:szCs w:val="33"/>
          <w:lang w:val="en-US" w:eastAsia="zh-CN"/>
        </w:rPr>
        <w:t>，使用</w:t>
      </w:r>
      <w:r>
        <w:rPr>
          <w:rFonts w:hint="eastAsia" w:ascii="Times New Roman" w:hAnsi="Times New Roman" w:eastAsia="方正仿宋_GBK" w:cs="Times New Roman"/>
          <w:sz w:val="33"/>
          <w:szCs w:val="33"/>
          <w:lang w:val="en-US" w:eastAsia="zh-CN"/>
        </w:rPr>
        <w:t>报账制，</w:t>
      </w:r>
      <w:r>
        <w:rPr>
          <w:rFonts w:hint="eastAsia" w:eastAsia="方正仿宋_GBK" w:cs="Times New Roman"/>
          <w:sz w:val="33"/>
          <w:szCs w:val="33"/>
          <w:lang w:val="en-US" w:eastAsia="zh-CN"/>
        </w:rPr>
        <w:t>将</w:t>
      </w:r>
      <w:r>
        <w:rPr>
          <w:rFonts w:hint="eastAsia" w:ascii="Times New Roman" w:hAnsi="Times New Roman" w:eastAsia="方正仿宋_GBK" w:cs="Times New Roman"/>
          <w:sz w:val="33"/>
          <w:szCs w:val="33"/>
          <w:lang w:val="en-US" w:eastAsia="zh-CN"/>
        </w:rPr>
        <w:t>到村任职选调生一次性安置补贴</w:t>
      </w:r>
      <w:r>
        <w:rPr>
          <w:rFonts w:hint="eastAsia" w:eastAsia="方正仿宋_GBK" w:cs="Times New Roman"/>
          <w:sz w:val="33"/>
          <w:szCs w:val="33"/>
          <w:lang w:val="en-US" w:eastAsia="zh-CN"/>
        </w:rPr>
        <w:t>款项补助到每位到村任职选调生。</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按照省、市委组织部相关工作要求，依据</w:t>
      </w:r>
      <w:r>
        <w:rPr>
          <w:rFonts w:hint="default" w:ascii="Times New Roman" w:hAnsi="Times New Roman" w:eastAsia="方正仿宋_GBK" w:cs="Times New Roman"/>
          <w:sz w:val="33"/>
          <w:szCs w:val="33"/>
          <w:lang w:val="en-US" w:eastAsia="zh-CN"/>
        </w:rPr>
        <w:t>《攀枝花市到村任职选调生管理办法（试行）》（攀组通〔2022〕129号）</w:t>
      </w:r>
      <w:r>
        <w:rPr>
          <w:rFonts w:hint="eastAsia" w:ascii="Times New Roman" w:hAnsi="Times New Roman" w:eastAsia="方正仿宋_GBK" w:cs="Times New Roman"/>
          <w:sz w:val="33"/>
          <w:szCs w:val="33"/>
          <w:lang w:val="en-US" w:eastAsia="zh-CN"/>
        </w:rPr>
        <w:t>“县（区）委组织部开展集中轮训，确保每人每年脱岗培训累计不少于12天或者</w:t>
      </w:r>
      <w:r>
        <w:rPr>
          <w:rFonts w:hint="default" w:ascii="Times New Roman" w:hAnsi="Times New Roman" w:eastAsia="方正仿宋_GBK" w:cs="Times New Roman"/>
          <w:sz w:val="33"/>
          <w:szCs w:val="33"/>
          <w:lang w:val="en-US" w:eastAsia="zh-CN"/>
        </w:rPr>
        <w:t>90</w:t>
      </w:r>
      <w:r>
        <w:rPr>
          <w:rFonts w:hint="eastAsia" w:ascii="Times New Roman" w:hAnsi="Times New Roman" w:eastAsia="方正仿宋_GBK" w:cs="Times New Roman"/>
          <w:sz w:val="33"/>
          <w:szCs w:val="33"/>
          <w:lang w:val="en-US" w:eastAsia="zh-CN"/>
        </w:rPr>
        <w:t>个学时</w:t>
      </w:r>
      <w:r>
        <w:rPr>
          <w:rFonts w:hint="eastAsia" w:eastAsia="方正仿宋_GBK" w:cs="Times New Roman"/>
          <w:sz w:val="33"/>
          <w:szCs w:val="33"/>
          <w:lang w:val="en-US" w:eastAsia="zh-CN"/>
        </w:rPr>
        <w:t>”</w:t>
      </w:r>
      <w:r>
        <w:rPr>
          <w:rFonts w:hint="eastAsia" w:ascii="Times New Roman" w:hAnsi="Times New Roman" w:eastAsia="方正仿宋_GBK" w:cs="Times New Roman"/>
          <w:sz w:val="33"/>
          <w:szCs w:val="33"/>
          <w:lang w:val="en-US" w:eastAsia="zh-CN"/>
        </w:rPr>
        <w:t>开展</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职选调生教育培训。</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开展到村任职选调生国情调研工作</w:t>
      </w:r>
      <w:r>
        <w:rPr>
          <w:rFonts w:hint="eastAsia" w:eastAsia="方正仿宋_GBK" w:cs="Times New Roman"/>
          <w:sz w:val="33"/>
          <w:szCs w:val="33"/>
          <w:lang w:val="en-US" w:eastAsia="zh-CN"/>
        </w:rPr>
        <w:t>：</w:t>
      </w:r>
      <w:r>
        <w:rPr>
          <w:rFonts w:ascii="Times New Roman" w:hAnsi="Times New Roman" w:eastAsia="方正仿宋_GBK" w:cs="Times New Roman"/>
          <w:sz w:val="33"/>
          <w:szCs w:val="33"/>
        </w:rPr>
        <w:t>加强选调生到村任职管理，引导选调生坚定理想信念，厚植家国情怀</w:t>
      </w:r>
      <w:r>
        <w:rPr>
          <w:rFonts w:hint="eastAsia" w:ascii="Times New Roman" w:hAnsi="Times New Roman" w:eastAsia="方正仿宋_GBK" w:cs="Times New Roman"/>
          <w:sz w:val="33"/>
          <w:szCs w:val="33"/>
          <w:lang w:eastAsia="zh-CN"/>
        </w:rPr>
        <w:t>，</w:t>
      </w:r>
      <w:r>
        <w:rPr>
          <w:rFonts w:ascii="Times New Roman" w:hAnsi="Times New Roman" w:eastAsia="方正仿宋_GBK" w:cs="Times New Roman"/>
          <w:sz w:val="33"/>
          <w:szCs w:val="33"/>
        </w:rPr>
        <w:t>激励选调生</w:t>
      </w:r>
      <w:r>
        <w:rPr>
          <w:rFonts w:hint="eastAsia" w:eastAsia="方正仿宋_GBK" w:cs="Times New Roman"/>
          <w:sz w:val="33"/>
          <w:szCs w:val="33"/>
          <w:lang w:eastAsia="zh-CN"/>
        </w:rPr>
        <w:t>更好地了解</w:t>
      </w:r>
      <w:r>
        <w:rPr>
          <w:rFonts w:ascii="Times New Roman" w:hAnsi="Times New Roman" w:eastAsia="方正仿宋_GBK" w:cs="Times New Roman"/>
          <w:sz w:val="33"/>
          <w:szCs w:val="33"/>
        </w:rPr>
        <w:t>盐边、融入盐边、服务盐边，组织开展以</w:t>
      </w:r>
      <w:r>
        <w:rPr>
          <w:rFonts w:hint="eastAsia" w:ascii="Times New Roman" w:hAnsi="Times New Roman" w:eastAsia="方正仿宋_GBK" w:cs="Times New Roman"/>
          <w:sz w:val="33"/>
          <w:szCs w:val="33"/>
        </w:rPr>
        <w:t>“</w:t>
      </w:r>
      <w:r>
        <w:rPr>
          <w:rFonts w:ascii="Times New Roman" w:hAnsi="Times New Roman" w:eastAsia="方正仿宋_GBK" w:cs="Times New Roman"/>
          <w:sz w:val="33"/>
          <w:szCs w:val="33"/>
        </w:rPr>
        <w:t>汲取奋进新力量，扎根基层展风华</w:t>
      </w:r>
      <w:r>
        <w:rPr>
          <w:rFonts w:hint="eastAsia" w:ascii="Times New Roman" w:hAnsi="Times New Roman" w:eastAsia="方正仿宋_GBK" w:cs="Times New Roman"/>
          <w:sz w:val="33"/>
          <w:szCs w:val="33"/>
        </w:rPr>
        <w:t>”为主题的2022年选调生主题党日活动</w:t>
      </w:r>
      <w:r>
        <w:rPr>
          <w:rFonts w:hint="eastAsia" w:ascii="Times New Roman" w:hAnsi="Times New Roman" w:eastAsia="方正仿宋_GBK" w:cs="Times New Roman"/>
          <w:sz w:val="33"/>
          <w:szCs w:val="33"/>
          <w:lang w:eastAsia="zh-CN"/>
        </w:rPr>
        <w:t>、</w:t>
      </w:r>
      <w:r>
        <w:rPr>
          <w:rFonts w:ascii="Times New Roman" w:hAnsi="Times New Roman" w:eastAsia="方正仿宋_GBK" w:cs="Times New Roman"/>
          <w:sz w:val="33"/>
          <w:szCs w:val="33"/>
        </w:rPr>
        <w:t>开展“学习党的二十大走好新的人生路”</w:t>
      </w:r>
      <w:r>
        <w:rPr>
          <w:rFonts w:hint="eastAsia" w:ascii="Times New Roman" w:hAnsi="Times New Roman" w:eastAsia="方正仿宋_GBK" w:cs="Times New Roman"/>
          <w:sz w:val="33"/>
          <w:szCs w:val="33"/>
          <w:lang w:eastAsia="zh-CN"/>
        </w:rPr>
        <w:t>到村任职选调生</w:t>
      </w:r>
      <w:r>
        <w:rPr>
          <w:rFonts w:ascii="Times New Roman" w:hAnsi="Times New Roman" w:eastAsia="方正仿宋_GBK" w:cs="Times New Roman"/>
          <w:sz w:val="33"/>
          <w:szCs w:val="33"/>
        </w:rPr>
        <w:t>主题演讲比赛暨“身在基层党在心中”党的二十大精神知识竞赛活动</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购买发放《习近平的七年知青岁月</w:t>
      </w:r>
      <w:r>
        <w:rPr>
          <w:rFonts w:hint="eastAsia" w:eastAsia="方正仿宋_GBK" w:cs="Times New Roman"/>
          <w:sz w:val="33"/>
          <w:szCs w:val="33"/>
          <w:lang w:val="en-US" w:eastAsia="zh-CN"/>
        </w:rPr>
        <w:t>》《</w:t>
      </w:r>
      <w:r>
        <w:rPr>
          <w:rFonts w:hint="eastAsia" w:ascii="Times New Roman" w:hAnsi="Times New Roman" w:eastAsia="方正仿宋_GBK" w:cs="Times New Roman"/>
          <w:sz w:val="33"/>
          <w:szCs w:val="33"/>
          <w:lang w:val="en-US" w:eastAsia="zh-CN"/>
        </w:rPr>
        <w:t>之江新语》等书籍。</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开展到村任职选调生群众服务工作</w:t>
      </w:r>
      <w:r>
        <w:rPr>
          <w:rFonts w:hint="eastAsia" w:eastAsia="方正仿宋_GBK" w:cs="Times New Roman"/>
          <w:sz w:val="33"/>
          <w:szCs w:val="33"/>
          <w:lang w:val="en-US" w:eastAsia="zh-CN"/>
        </w:rPr>
        <w:t>：查漏补缺2022年还未体检的到村任职选调生；根据到村任职工作期间的实际情况购买32名选调生保险费；制作到村任职选调生纪念册、村任职选调生视频，记录到村任职选调生在工作期间与乡村、与群众的故事。</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9"/>
        <w:rPr>
          <w:rFonts w:hint="default" w:ascii="Times New Roman" w:hAnsi="Times New Roman" w:eastAsia="方正仿宋_GBK" w:cs="Times New Roman"/>
          <w:b/>
          <w:bCs/>
          <w:sz w:val="33"/>
          <w:szCs w:val="33"/>
          <w:lang w:val="en-US" w:eastAsia="zh-CN"/>
        </w:rPr>
      </w:pPr>
      <w:r>
        <w:rPr>
          <w:rFonts w:hint="default" w:ascii="Times New Roman" w:hAnsi="Times New Roman" w:eastAsia="方正仿宋_GBK" w:cs="Times New Roman"/>
          <w:b/>
          <w:bCs/>
          <w:sz w:val="33"/>
          <w:szCs w:val="33"/>
          <w:lang w:val="en-US" w:eastAsia="zh-CN"/>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到村任职选调生一次性安置补贴共补贴2019届、2020届、2021届、2022届到村任职选调生共43人，依据“按每人3000元标准，主要用于购置必要的住村生活物品”的标准</w:t>
      </w:r>
      <w:r>
        <w:rPr>
          <w:rFonts w:hint="eastAsia" w:eastAsia="方正仿宋_GBK" w:cs="Times New Roman"/>
          <w:sz w:val="33"/>
          <w:szCs w:val="33"/>
          <w:lang w:val="en-US" w:eastAsia="zh-CN"/>
        </w:rPr>
        <w:t>，</w:t>
      </w:r>
      <w:r>
        <w:rPr>
          <w:rFonts w:hint="eastAsia" w:ascii="Times New Roman" w:hAnsi="Times New Roman" w:eastAsia="方正仿宋_GBK" w:cs="Times New Roman"/>
          <w:sz w:val="33"/>
          <w:szCs w:val="33"/>
          <w:lang w:val="en-US" w:eastAsia="zh-CN"/>
        </w:rPr>
        <w:t>严格审查到村任职选调生</w:t>
      </w:r>
      <w:r>
        <w:rPr>
          <w:rFonts w:hint="eastAsia" w:eastAsia="方正仿宋_GBK" w:cs="Times New Roman"/>
          <w:sz w:val="33"/>
          <w:szCs w:val="33"/>
          <w:lang w:val="en-US" w:eastAsia="zh-CN"/>
        </w:rPr>
        <w:t>所</w:t>
      </w:r>
      <w:r>
        <w:rPr>
          <w:rFonts w:hint="eastAsia" w:ascii="Times New Roman" w:hAnsi="Times New Roman" w:eastAsia="方正仿宋_GBK" w:cs="Times New Roman"/>
          <w:sz w:val="33"/>
          <w:szCs w:val="33"/>
          <w:lang w:val="en-US" w:eastAsia="zh-CN"/>
        </w:rPr>
        <w:t>购买到村任职用品</w:t>
      </w:r>
      <w:r>
        <w:rPr>
          <w:rFonts w:hint="eastAsia" w:eastAsia="方正仿宋_GBK" w:cs="Times New Roman"/>
          <w:sz w:val="33"/>
          <w:szCs w:val="33"/>
          <w:lang w:val="en-US" w:eastAsia="zh-CN"/>
        </w:rPr>
        <w:t>，使用</w:t>
      </w:r>
      <w:r>
        <w:rPr>
          <w:rFonts w:hint="eastAsia" w:ascii="Times New Roman" w:hAnsi="Times New Roman" w:eastAsia="方正仿宋_GBK" w:cs="Times New Roman"/>
          <w:sz w:val="33"/>
          <w:szCs w:val="33"/>
          <w:lang w:val="en-US" w:eastAsia="zh-CN"/>
        </w:rPr>
        <w:t>报账制，</w:t>
      </w:r>
      <w:r>
        <w:rPr>
          <w:rFonts w:hint="eastAsia" w:eastAsia="方正仿宋_GBK" w:cs="Times New Roman"/>
          <w:sz w:val="33"/>
          <w:szCs w:val="33"/>
          <w:lang w:val="en-US" w:eastAsia="zh-CN"/>
        </w:rPr>
        <w:t>将</w:t>
      </w:r>
      <w:r>
        <w:rPr>
          <w:rFonts w:hint="eastAsia" w:ascii="Times New Roman" w:hAnsi="Times New Roman" w:eastAsia="方正仿宋_GBK" w:cs="Times New Roman"/>
          <w:sz w:val="33"/>
          <w:szCs w:val="33"/>
          <w:lang w:val="en-US" w:eastAsia="zh-CN"/>
        </w:rPr>
        <w:t>到村任职选调生一次性安置补贴</w:t>
      </w:r>
      <w:r>
        <w:rPr>
          <w:rFonts w:hint="eastAsia" w:eastAsia="方正仿宋_GBK" w:cs="Times New Roman"/>
          <w:sz w:val="33"/>
          <w:szCs w:val="33"/>
          <w:lang w:val="en-US" w:eastAsia="zh-CN"/>
        </w:rPr>
        <w:t>款项补助到每位到村任职选调生。分批次补助到村任职选调生，2019届、2020届、2021届于2022年8月补助完成，2022届因到村任职时间为10月，其</w:t>
      </w:r>
      <w:r>
        <w:rPr>
          <w:rFonts w:hint="eastAsia" w:ascii="Times New Roman" w:hAnsi="Times New Roman" w:eastAsia="方正仿宋_GBK" w:cs="Times New Roman"/>
          <w:sz w:val="33"/>
          <w:szCs w:val="33"/>
          <w:lang w:val="en-US" w:eastAsia="zh-CN"/>
        </w:rPr>
        <w:t>到村任职选调生一次性安置补贴</w:t>
      </w:r>
      <w:r>
        <w:rPr>
          <w:rFonts w:hint="eastAsia" w:eastAsia="方正仿宋_GBK" w:cs="Times New Roman"/>
          <w:sz w:val="33"/>
          <w:szCs w:val="33"/>
          <w:lang w:val="en-US" w:eastAsia="zh-CN"/>
        </w:rPr>
        <w:t>款项于2022年12月补助完成，提高了到村任职选调生干事创业积极性，进一步激发干事创业热情。到村任职选调生一次</w:t>
      </w:r>
      <w:r>
        <w:rPr>
          <w:rFonts w:hint="eastAsia" w:ascii="Times New Roman" w:hAnsi="Times New Roman" w:eastAsia="方正仿宋_GBK" w:cs="Times New Roman"/>
          <w:sz w:val="33"/>
          <w:szCs w:val="33"/>
          <w:lang w:val="en-US" w:eastAsia="zh-CN"/>
        </w:rPr>
        <w:t>性安置补贴预计支出12.9万元，共支出12.8万元。</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按照</w:t>
      </w:r>
      <w:r>
        <w:rPr>
          <w:rFonts w:ascii="Times New Roman" w:hAnsi="Times New Roman" w:eastAsia="方正仿宋_GBK" w:cs="Times New Roman"/>
          <w:sz w:val="33"/>
          <w:szCs w:val="33"/>
        </w:rPr>
        <w:t>省、市委组织部相关工作要求</w:t>
      </w:r>
      <w:r>
        <w:rPr>
          <w:rFonts w:hint="eastAsia" w:ascii="Times New Roman" w:hAnsi="Times New Roman" w:eastAsia="方正仿宋_GBK" w:cs="Times New Roman"/>
          <w:sz w:val="33"/>
          <w:szCs w:val="33"/>
          <w:lang w:val="en-US" w:eastAsia="zh-CN"/>
        </w:rPr>
        <w:t>开展</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职选调生教育培训</w:t>
      </w:r>
      <w:r>
        <w:rPr>
          <w:rFonts w:hint="eastAsia" w:eastAsia="方正仿宋_GBK" w:cs="Times New Roman"/>
          <w:sz w:val="33"/>
          <w:szCs w:val="33"/>
          <w:lang w:val="en-US" w:eastAsia="zh-CN"/>
        </w:rPr>
        <w:t>，</w:t>
      </w:r>
      <w:r>
        <w:rPr>
          <w:rFonts w:ascii="Times New Roman" w:hAnsi="Times New Roman" w:eastAsia="方正仿宋_GBK" w:cs="Times New Roman"/>
          <w:sz w:val="33"/>
          <w:szCs w:val="33"/>
        </w:rPr>
        <w:t>举办了2022年</w:t>
      </w:r>
      <w:r>
        <w:rPr>
          <w:rFonts w:hint="eastAsia" w:ascii="Times New Roman" w:hAnsi="Times New Roman" w:eastAsia="方正仿宋_GBK" w:cs="Times New Roman"/>
          <w:sz w:val="33"/>
          <w:szCs w:val="33"/>
          <w:lang w:val="en-US" w:eastAsia="zh-CN"/>
        </w:rPr>
        <w:t>到村任职</w:t>
      </w:r>
      <w:r>
        <w:rPr>
          <w:rFonts w:ascii="Times New Roman" w:hAnsi="Times New Roman" w:eastAsia="方正仿宋_GBK" w:cs="Times New Roman"/>
          <w:sz w:val="33"/>
          <w:szCs w:val="33"/>
        </w:rPr>
        <w:t>选调生培训班</w:t>
      </w:r>
      <w:r>
        <w:rPr>
          <w:rFonts w:hint="eastAsia" w:ascii="Times New Roman" w:hAnsi="Times New Roman" w:eastAsia="方正仿宋_GBK" w:cs="Times New Roman"/>
          <w:color w:val="000000" w:themeColor="text1"/>
          <w:sz w:val="33"/>
          <w:szCs w:val="33"/>
          <w14:textFill>
            <w14:solidFill>
              <w14:schemeClr w14:val="tx1"/>
            </w14:solidFill>
          </w14:textFill>
        </w:rPr>
        <w:t>，</w:t>
      </w:r>
      <w:r>
        <w:rPr>
          <w:rFonts w:hint="eastAsia" w:ascii="Times New Roman" w:hAnsi="Times New Roman" w:eastAsia="方正仿宋_GBK" w:cs="Times New Roman"/>
          <w:sz w:val="33"/>
          <w:szCs w:val="33"/>
        </w:rPr>
        <w:t>分县内教学、</w:t>
      </w:r>
      <w:r>
        <w:rPr>
          <w:rFonts w:ascii="Times New Roman" w:hAnsi="Times New Roman" w:eastAsia="方正仿宋_GBK" w:cs="Times New Roman"/>
          <w:sz w:val="33"/>
          <w:szCs w:val="33"/>
        </w:rPr>
        <w:t>赴成都崇州市学习</w:t>
      </w:r>
      <w:r>
        <w:rPr>
          <w:rFonts w:hint="eastAsia" w:ascii="Times New Roman" w:hAnsi="Times New Roman" w:eastAsia="方正仿宋_GBK" w:cs="Times New Roman"/>
          <w:sz w:val="33"/>
          <w:szCs w:val="33"/>
        </w:rPr>
        <w:t>2期举办</w:t>
      </w:r>
      <w:r>
        <w:rPr>
          <w:rFonts w:hint="eastAsia" w:ascii="Times New Roman" w:hAnsi="Times New Roman" w:eastAsia="方正仿宋_GBK" w:cs="Times New Roman"/>
          <w:sz w:val="33"/>
          <w:szCs w:val="33"/>
          <w:lang w:eastAsia="zh-CN"/>
        </w:rPr>
        <w:t>，</w:t>
      </w:r>
      <w:r>
        <w:rPr>
          <w:rFonts w:hint="eastAsia" w:ascii="Times New Roman" w:hAnsi="Times New Roman" w:eastAsia="方正仿宋_GBK" w:cs="Times New Roman"/>
          <w:sz w:val="33"/>
          <w:szCs w:val="33"/>
          <w:lang w:val="en-US" w:eastAsia="zh-CN"/>
        </w:rPr>
        <w:t>到村任职选调生共参训38人，提高了到村任职</w:t>
      </w:r>
      <w:r>
        <w:rPr>
          <w:rFonts w:hint="default" w:ascii="Times New Roman" w:hAnsi="Times New Roman" w:eastAsia="方正仿宋_GBK" w:cs="Times New Roman"/>
          <w:sz w:val="33"/>
          <w:szCs w:val="33"/>
          <w:lang w:val="en-US" w:eastAsia="zh-CN"/>
        </w:rPr>
        <w:t>选调生个人综合素质</w:t>
      </w:r>
      <w:r>
        <w:rPr>
          <w:rFonts w:hint="eastAsia" w:ascii="Times New Roman" w:hAnsi="Times New Roman" w:eastAsia="方正仿宋_GBK" w:cs="Times New Roman"/>
          <w:sz w:val="33"/>
          <w:szCs w:val="33"/>
          <w:lang w:val="en-US" w:eastAsia="zh-CN"/>
        </w:rPr>
        <w:t>。依据</w:t>
      </w:r>
      <w:r>
        <w:rPr>
          <w:rFonts w:hint="default" w:ascii="Times New Roman" w:hAnsi="Times New Roman" w:eastAsia="方正仿宋_GBK" w:cs="Times New Roman"/>
          <w:sz w:val="33"/>
          <w:szCs w:val="33"/>
          <w:lang w:val="en-US" w:eastAsia="zh-CN"/>
        </w:rPr>
        <w:t>《攀枝花市选调生到村任职工作专项资金管理细则（试行）》（攀财行政〔2022〕5号）</w:t>
      </w:r>
      <w:r>
        <w:rPr>
          <w:rFonts w:hint="eastAsia" w:eastAsia="方正仿宋_GBK" w:cs="Times New Roman"/>
          <w:sz w:val="33"/>
          <w:szCs w:val="33"/>
          <w:lang w:val="en-US" w:eastAsia="zh-CN"/>
        </w:rPr>
        <w:t>有关规定</w:t>
      </w:r>
      <w:r>
        <w:rPr>
          <w:rFonts w:hint="eastAsia" w:ascii="Times New Roman" w:hAnsi="Times New Roman" w:eastAsia="方正仿宋_GBK" w:cs="Times New Roman"/>
          <w:sz w:val="33"/>
          <w:szCs w:val="33"/>
          <w:lang w:val="en-US" w:eastAsia="zh-CN"/>
        </w:rPr>
        <w:t>“按每人每年3000元标准安排，主要用于县级组织部门对到村任职选调生组织开展教育培训。</w:t>
      </w:r>
      <w:r>
        <w:rPr>
          <w:rFonts w:hint="eastAsia" w:eastAsia="方正仿宋_GBK" w:cs="Times New Roman"/>
          <w:sz w:val="33"/>
          <w:szCs w:val="33"/>
          <w:lang w:val="en-US" w:eastAsia="zh-CN"/>
        </w:rPr>
        <w:t>”</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职选调生教育培训</w:t>
      </w:r>
      <w:r>
        <w:rPr>
          <w:rFonts w:hint="eastAsia" w:eastAsia="方正仿宋_GBK" w:cs="Times New Roman"/>
          <w:sz w:val="33"/>
          <w:szCs w:val="33"/>
          <w:lang w:val="en-US" w:eastAsia="zh-CN"/>
        </w:rPr>
        <w:t>经费共11.4万元，预计使用</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职选调生教育培训</w:t>
      </w:r>
      <w:r>
        <w:rPr>
          <w:rFonts w:hint="eastAsia" w:eastAsia="方正仿宋_GBK" w:cs="Times New Roman"/>
          <w:sz w:val="33"/>
          <w:szCs w:val="33"/>
          <w:lang w:val="en-US" w:eastAsia="zh-CN"/>
        </w:rPr>
        <w:t>经费13.62万元，实际使用13.62万元。</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60" w:firstLineChars="200"/>
        <w:jc w:val="both"/>
        <w:textAlignment w:val="auto"/>
        <w:outlineLvl w:val="9"/>
        <w:rPr>
          <w:rFonts w:hint="default" w:eastAsia="方正仿宋_GBK" w:cs="Times New Roman"/>
          <w:sz w:val="33"/>
          <w:szCs w:val="33"/>
          <w:lang w:val="en-US" w:eastAsia="zh-CN"/>
        </w:rPr>
      </w:pPr>
      <w:r>
        <w:rPr>
          <w:rFonts w:hint="eastAsia" w:eastAsia="方正仿宋_GBK" w:cs="Times New Roman"/>
          <w:sz w:val="33"/>
          <w:szCs w:val="33"/>
          <w:lang w:val="en-US" w:eastAsia="zh-CN"/>
        </w:rPr>
        <w:t>为</w:t>
      </w:r>
      <w:r>
        <w:rPr>
          <w:rFonts w:ascii="Times New Roman" w:hAnsi="Times New Roman" w:eastAsia="方正仿宋_GBK" w:cs="Times New Roman"/>
          <w:sz w:val="33"/>
          <w:szCs w:val="33"/>
        </w:rPr>
        <w:t>激励</w:t>
      </w:r>
      <w:r>
        <w:rPr>
          <w:rFonts w:hint="eastAsia" w:eastAsia="方正仿宋_GBK" w:cs="Times New Roman"/>
          <w:sz w:val="33"/>
          <w:szCs w:val="33"/>
          <w:lang w:val="en-US" w:eastAsia="zh-CN"/>
        </w:rPr>
        <w:t>到村任职</w:t>
      </w:r>
      <w:r>
        <w:rPr>
          <w:rFonts w:ascii="Times New Roman" w:hAnsi="Times New Roman" w:eastAsia="方正仿宋_GBK" w:cs="Times New Roman"/>
          <w:sz w:val="33"/>
          <w:szCs w:val="33"/>
        </w:rPr>
        <w:t>选调生</w:t>
      </w:r>
      <w:r>
        <w:rPr>
          <w:rFonts w:hint="eastAsia" w:eastAsia="方正仿宋_GBK" w:cs="Times New Roman"/>
          <w:sz w:val="33"/>
          <w:szCs w:val="33"/>
          <w:lang w:eastAsia="zh-CN"/>
        </w:rPr>
        <w:t>更好地了解</w:t>
      </w:r>
      <w:r>
        <w:rPr>
          <w:rFonts w:ascii="Times New Roman" w:hAnsi="Times New Roman" w:eastAsia="方正仿宋_GBK" w:cs="Times New Roman"/>
          <w:sz w:val="33"/>
          <w:szCs w:val="33"/>
        </w:rPr>
        <w:t>盐边、融入盐边、服务盐边，</w:t>
      </w:r>
      <w:r>
        <w:rPr>
          <w:rFonts w:hint="eastAsia" w:eastAsia="方正仿宋_GBK" w:cs="Times New Roman"/>
          <w:sz w:val="33"/>
          <w:szCs w:val="33"/>
          <w:lang w:val="en-US" w:eastAsia="zh-CN"/>
        </w:rPr>
        <w:t>2022年7月1日</w:t>
      </w:r>
      <w:r>
        <w:rPr>
          <w:rFonts w:ascii="Times New Roman" w:hAnsi="Times New Roman" w:eastAsia="方正仿宋_GBK" w:cs="Times New Roman"/>
          <w:sz w:val="33"/>
          <w:szCs w:val="33"/>
        </w:rPr>
        <w:t>开展以</w:t>
      </w:r>
      <w:r>
        <w:rPr>
          <w:rFonts w:hint="eastAsia" w:ascii="Times New Roman" w:hAnsi="Times New Roman" w:eastAsia="方正仿宋_GBK" w:cs="Times New Roman"/>
          <w:sz w:val="33"/>
          <w:szCs w:val="33"/>
        </w:rPr>
        <w:t>“</w:t>
      </w:r>
      <w:r>
        <w:rPr>
          <w:rFonts w:ascii="Times New Roman" w:hAnsi="Times New Roman" w:eastAsia="方正仿宋_GBK" w:cs="Times New Roman"/>
          <w:sz w:val="33"/>
          <w:szCs w:val="33"/>
        </w:rPr>
        <w:t>汲取奋进新力量，扎根基层展风华</w:t>
      </w:r>
      <w:r>
        <w:rPr>
          <w:rFonts w:hint="eastAsia" w:ascii="Times New Roman" w:hAnsi="Times New Roman" w:eastAsia="方正仿宋_GBK" w:cs="Times New Roman"/>
          <w:sz w:val="33"/>
          <w:szCs w:val="33"/>
        </w:rPr>
        <w:t>”为主题的2022年选调生主题党日活动</w:t>
      </w:r>
      <w:r>
        <w:rPr>
          <w:rFonts w:hint="eastAsia" w:eastAsia="方正仿宋_GBK" w:cs="Times New Roman"/>
          <w:sz w:val="33"/>
          <w:szCs w:val="33"/>
          <w:lang w:eastAsia="zh-CN"/>
        </w:rPr>
        <w:t>，</w:t>
      </w:r>
      <w:r>
        <w:rPr>
          <w:rFonts w:hint="eastAsia" w:eastAsia="方正仿宋_GBK" w:cs="Times New Roman"/>
          <w:sz w:val="33"/>
          <w:szCs w:val="33"/>
          <w:lang w:val="en-US" w:eastAsia="zh-CN"/>
        </w:rPr>
        <w:t>共38名到村任职选调生参与；根据市委组织部相关要求，2022年8月</w:t>
      </w:r>
      <w:r>
        <w:rPr>
          <w:rFonts w:hint="eastAsia" w:ascii="Times New Roman" w:hAnsi="Times New Roman" w:eastAsia="方正仿宋_GBK" w:cs="Times New Roman"/>
          <w:sz w:val="33"/>
          <w:szCs w:val="33"/>
          <w:lang w:val="en-US" w:eastAsia="zh-CN"/>
        </w:rPr>
        <w:t>购买发放《习近平的七年知青岁月》《之江新语》</w:t>
      </w:r>
      <w:r>
        <w:rPr>
          <w:rFonts w:hint="eastAsia" w:eastAsia="方正仿宋_GBK" w:cs="Times New Roman"/>
          <w:sz w:val="33"/>
          <w:szCs w:val="33"/>
          <w:lang w:val="en-US" w:eastAsia="zh-CN"/>
        </w:rPr>
        <w:t>《习近平讲党史故事》《平“语”近人——习近平喜欢的典故（第二季）》四本书籍38套，分发给38名到村任职选调生；为</w:t>
      </w:r>
      <w:r>
        <w:rPr>
          <w:rFonts w:ascii="Times New Roman" w:hAnsi="Times New Roman" w:eastAsia="方正仿宋_GBK" w:cs="Times New Roman"/>
          <w:sz w:val="33"/>
          <w:szCs w:val="33"/>
        </w:rPr>
        <w:t>引导</w:t>
      </w:r>
      <w:r>
        <w:rPr>
          <w:rFonts w:hint="eastAsia" w:eastAsia="方正仿宋_GBK" w:cs="Times New Roman"/>
          <w:sz w:val="33"/>
          <w:szCs w:val="33"/>
          <w:lang w:val="en-US" w:eastAsia="zh-CN"/>
        </w:rPr>
        <w:t>到村任职</w:t>
      </w:r>
      <w:r>
        <w:rPr>
          <w:rFonts w:ascii="Times New Roman" w:hAnsi="Times New Roman" w:eastAsia="方正仿宋_GBK" w:cs="Times New Roman"/>
          <w:sz w:val="33"/>
          <w:szCs w:val="33"/>
        </w:rPr>
        <w:t>选调生坚定理想信念，厚植家国情怀</w:t>
      </w:r>
      <w:r>
        <w:rPr>
          <w:rFonts w:hint="eastAsia" w:ascii="Times New Roman" w:hAnsi="Times New Roman" w:eastAsia="方正仿宋_GBK" w:cs="Times New Roman"/>
          <w:sz w:val="33"/>
          <w:szCs w:val="33"/>
          <w:lang w:eastAsia="zh-CN"/>
        </w:rPr>
        <w:t>，</w:t>
      </w:r>
      <w:r>
        <w:rPr>
          <w:rFonts w:hint="eastAsia" w:eastAsia="方正仿宋_GBK" w:cs="Times New Roman"/>
          <w:sz w:val="33"/>
          <w:szCs w:val="33"/>
          <w:lang w:val="en-US" w:eastAsia="zh-CN"/>
        </w:rPr>
        <w:t>2022年12月</w:t>
      </w:r>
      <w:r>
        <w:rPr>
          <w:rFonts w:ascii="Times New Roman" w:hAnsi="Times New Roman" w:eastAsia="方正仿宋_GBK" w:cs="Times New Roman"/>
          <w:sz w:val="33"/>
          <w:szCs w:val="33"/>
        </w:rPr>
        <w:t>开展“学习党的二十大走好新的人生路”</w:t>
      </w:r>
      <w:r>
        <w:rPr>
          <w:rFonts w:hint="eastAsia" w:ascii="Times New Roman" w:hAnsi="Times New Roman" w:eastAsia="方正仿宋_GBK" w:cs="Times New Roman"/>
          <w:sz w:val="33"/>
          <w:szCs w:val="33"/>
          <w:lang w:eastAsia="zh-CN"/>
        </w:rPr>
        <w:t>到村任职选调生</w:t>
      </w:r>
      <w:r>
        <w:rPr>
          <w:rFonts w:ascii="Times New Roman" w:hAnsi="Times New Roman" w:eastAsia="方正仿宋_GBK" w:cs="Times New Roman"/>
          <w:sz w:val="33"/>
          <w:szCs w:val="33"/>
        </w:rPr>
        <w:t>主题演讲比赛暨“身在基层党在心中”党的二十大精神知识竞赛活动</w:t>
      </w:r>
      <w:r>
        <w:rPr>
          <w:rFonts w:hint="eastAsia" w:eastAsia="方正仿宋_GBK" w:cs="Times New Roman"/>
          <w:sz w:val="33"/>
          <w:szCs w:val="33"/>
          <w:lang w:eastAsia="zh-CN"/>
        </w:rPr>
        <w:t>，</w:t>
      </w:r>
      <w:r>
        <w:rPr>
          <w:rFonts w:hint="eastAsia" w:eastAsia="方正仿宋_GBK" w:cs="Times New Roman"/>
          <w:sz w:val="33"/>
          <w:szCs w:val="33"/>
          <w:lang w:val="en-US" w:eastAsia="zh-CN"/>
        </w:rPr>
        <w:t>共33名到村任职选调生参与</w:t>
      </w:r>
      <w:r>
        <w:rPr>
          <w:rFonts w:hint="eastAsia" w:ascii="Times New Roman" w:hAnsi="Times New Roman" w:eastAsia="方正仿宋_GBK" w:cs="Times New Roman"/>
          <w:sz w:val="33"/>
          <w:szCs w:val="33"/>
          <w:lang w:val="en-US" w:eastAsia="zh-CN"/>
        </w:rPr>
        <w:t>。到村任职选调生开展国情调研工作经费</w:t>
      </w:r>
      <w:r>
        <w:rPr>
          <w:rFonts w:hint="eastAsia" w:eastAsia="方正仿宋_GBK" w:cs="Times New Roman"/>
          <w:sz w:val="33"/>
          <w:szCs w:val="33"/>
          <w:lang w:val="en-US" w:eastAsia="zh-CN"/>
        </w:rPr>
        <w:t>共30.4万元，预计支出5.3万元，实际支出5.3万元。</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60" w:firstLineChars="200"/>
        <w:jc w:val="both"/>
        <w:textAlignment w:val="auto"/>
        <w:outlineLvl w:val="9"/>
        <w:rPr>
          <w:rFonts w:hint="default" w:eastAsia="方正仿宋_GBK" w:cs="Times New Roman"/>
          <w:sz w:val="33"/>
          <w:szCs w:val="33"/>
          <w:lang w:val="en-US" w:eastAsia="zh-CN"/>
        </w:rPr>
      </w:pPr>
      <w:r>
        <w:rPr>
          <w:rFonts w:hint="eastAsia" w:eastAsia="方正仿宋_GBK" w:cs="Times New Roman"/>
          <w:sz w:val="33"/>
          <w:szCs w:val="33"/>
          <w:lang w:val="en-US" w:eastAsia="zh-CN"/>
        </w:rPr>
        <w:t>为保障到村任职选调生安全，激励其干事创业热情，更好为盐边做贡献，更好为群众服务，2022年12月查漏补缺2022年还未体检的到村任职选调生，共16名，支出到村任职选调生体检费2.4万元；根据到村任职工作期间的实际情况购买32名选调生保险费，共支出0.96万元；为记录到村任职选调生在工作期间与乡村、与群众的故事，制作38本到村任职选调生纪念册并发放至到村任职选调生手中，制作到村任职选调生视频并通过盐边融媒进行宣传展示，共支出4.6万元。</w:t>
      </w:r>
      <w:r>
        <w:rPr>
          <w:rFonts w:hint="eastAsia" w:ascii="Times New Roman" w:hAnsi="Times New Roman" w:eastAsia="方正仿宋_GBK" w:cs="Times New Roman"/>
          <w:sz w:val="33"/>
          <w:szCs w:val="33"/>
          <w:lang w:val="en-US" w:eastAsia="zh-CN"/>
        </w:rPr>
        <w:t>到村任职选调生开展群众服务工作经费</w:t>
      </w:r>
      <w:r>
        <w:rPr>
          <w:rFonts w:hint="eastAsia" w:eastAsia="方正仿宋_GBK" w:cs="Times New Roman"/>
          <w:sz w:val="33"/>
          <w:szCs w:val="33"/>
          <w:lang w:val="en-US" w:eastAsia="zh-CN"/>
        </w:rPr>
        <w:t>共支出7.97万元。</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通过积极开展选调生业务知识培训、国情调研活动等，全面提升</w:t>
      </w:r>
      <w:r>
        <w:rPr>
          <w:rFonts w:hint="eastAsia" w:eastAsia="方正仿宋_GBK" w:cs="Times New Roman"/>
          <w:sz w:val="33"/>
          <w:szCs w:val="33"/>
          <w:lang w:val="en-US" w:eastAsia="zh-CN"/>
        </w:rPr>
        <w:t>了</w:t>
      </w:r>
      <w:r>
        <w:rPr>
          <w:rFonts w:hint="default" w:ascii="Times New Roman" w:hAnsi="Times New Roman" w:eastAsia="方正仿宋_GBK" w:cs="Times New Roman"/>
          <w:sz w:val="33"/>
          <w:szCs w:val="33"/>
          <w:lang w:val="en-US" w:eastAsia="zh-CN"/>
        </w:rPr>
        <w:t>选调生个人素养及业务水平，进一步激发</w:t>
      </w:r>
      <w:r>
        <w:rPr>
          <w:rFonts w:hint="eastAsia" w:eastAsia="方正仿宋_GBK" w:cs="Times New Roman"/>
          <w:sz w:val="33"/>
          <w:szCs w:val="33"/>
          <w:lang w:val="en-US" w:eastAsia="zh-CN"/>
        </w:rPr>
        <w:t>了到村任职</w:t>
      </w:r>
      <w:r>
        <w:rPr>
          <w:rFonts w:hint="default" w:ascii="Times New Roman" w:hAnsi="Times New Roman" w:eastAsia="方正仿宋_GBK" w:cs="Times New Roman"/>
          <w:sz w:val="33"/>
          <w:szCs w:val="33"/>
          <w:lang w:val="en-US" w:eastAsia="zh-CN"/>
        </w:rPr>
        <w:t>选调生到村任职干事创业热情</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根据村党组织、乡（镇）和县委组织部对到村任职选调生的评价作为参考，2022年度到村任职选调生的个人综合素质有所提高。</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36" w:name="_Toc979"/>
      <w:bookmarkStart w:id="237" w:name="_Toc32618"/>
      <w:bookmarkStart w:id="238" w:name="_Toc26177"/>
      <w:r>
        <w:rPr>
          <w:rFonts w:hint="eastAsia" w:eastAsia="方正仿宋_GBK" w:cs="Times New Roman"/>
          <w:b/>
          <w:bCs/>
          <w:sz w:val="33"/>
          <w:szCs w:val="33"/>
          <w:lang w:val="en-US" w:eastAsia="zh-CN"/>
        </w:rPr>
        <w:t>3.</w:t>
      </w:r>
      <w:r>
        <w:rPr>
          <w:rFonts w:hint="default" w:ascii="Times New Roman" w:hAnsi="Times New Roman" w:eastAsia="方正仿宋_GBK" w:cs="Times New Roman"/>
          <w:b/>
          <w:bCs/>
          <w:sz w:val="33"/>
          <w:szCs w:val="33"/>
          <w:lang w:val="en-US" w:eastAsia="zh-CN"/>
        </w:rPr>
        <w:t>分析评价申报内容是否与实际相符，申报目标是否合理可行。</w:t>
      </w:r>
      <w:bookmarkEnd w:id="236"/>
      <w:bookmarkEnd w:id="237"/>
      <w:bookmarkEnd w:id="238"/>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eastAsia" w:eastAsia="方正仿宋_GBK" w:cs="Times New Roman"/>
          <w:sz w:val="33"/>
          <w:szCs w:val="33"/>
          <w:lang w:val="en-US" w:eastAsia="zh-CN"/>
        </w:rPr>
        <w:t>到村任职选调生专项资金</w:t>
      </w:r>
      <w:r>
        <w:rPr>
          <w:rFonts w:hint="default" w:ascii="Times New Roman" w:hAnsi="Times New Roman" w:eastAsia="方正仿宋_GBK" w:cs="Times New Roman"/>
          <w:sz w:val="33"/>
          <w:szCs w:val="33"/>
          <w:lang w:val="en-US" w:eastAsia="zh-CN"/>
        </w:rPr>
        <w:t>申报</w:t>
      </w:r>
      <w:r>
        <w:rPr>
          <w:rFonts w:hint="eastAsia" w:eastAsia="方正仿宋_GBK" w:cs="Times New Roman"/>
          <w:sz w:val="33"/>
          <w:szCs w:val="33"/>
          <w:lang w:val="en-US" w:eastAsia="zh-CN"/>
        </w:rPr>
        <w:t>依据当年实际活动测算，申报目标细化至具体项目、</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eastAsia" w:ascii="方正仿宋_GBK" w:hAnsi="方正仿宋_GBK" w:eastAsia="方正仿宋_GBK" w:cs="方正仿宋_GBK"/>
          <w:color w:val="000000"/>
          <w:kern w:val="0"/>
          <w:sz w:val="32"/>
          <w:szCs w:val="32"/>
          <w:lang w:val="en-US" w:eastAsia="zh-CN" w:bidi="ar"/>
        </w:rPr>
        <w:t>细化至每位到村任职选调生，</w:t>
      </w:r>
      <w:r>
        <w:rPr>
          <w:rFonts w:hint="default" w:ascii="Times New Roman" w:hAnsi="Times New Roman" w:eastAsia="方正仿宋_GBK" w:cs="Times New Roman"/>
          <w:sz w:val="33"/>
          <w:szCs w:val="33"/>
          <w:lang w:val="en-US" w:eastAsia="zh-CN"/>
        </w:rPr>
        <w:t>内容与实际相符，申报目标合理可行。</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39" w:name="_Toc25387_WPSOffice_Level2"/>
      <w:bookmarkStart w:id="240" w:name="_Toc17143_WPSOffice_Level2"/>
      <w:bookmarkStart w:id="241" w:name="_Toc9091_WPSOffice_Level2"/>
      <w:bookmarkStart w:id="242" w:name="_Toc7696_WPSOffice_Level2"/>
      <w:r>
        <w:rPr>
          <w:rFonts w:hint="default" w:ascii="Times New Roman" w:hAnsi="Times New Roman" w:eastAsia="方正楷体_GBK" w:cs="Times New Roman"/>
          <w:b/>
          <w:bCs/>
          <w:sz w:val="33"/>
          <w:szCs w:val="33"/>
        </w:rPr>
        <w:t>（三）项目自评步骤及方法。</w:t>
      </w:r>
      <w:bookmarkEnd w:id="239"/>
      <w:bookmarkEnd w:id="240"/>
      <w:bookmarkEnd w:id="241"/>
      <w:bookmarkEnd w:id="242"/>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2022年盐边县到村任职选调生项目通过资金到位情况、资金</w:t>
      </w:r>
      <w:r>
        <w:rPr>
          <w:rFonts w:hint="eastAsia" w:ascii="Times New Roman" w:hAnsi="Times New Roman" w:eastAsia="方正仿宋_GBK" w:cs="Times New Roman"/>
          <w:sz w:val="33"/>
          <w:szCs w:val="33"/>
          <w:lang w:val="en-US" w:eastAsia="zh-CN"/>
        </w:rPr>
        <w:t>使用</w:t>
      </w:r>
      <w:r>
        <w:rPr>
          <w:rFonts w:hint="default" w:ascii="Times New Roman" w:hAnsi="Times New Roman" w:eastAsia="方正仿宋_GBK" w:cs="Times New Roman"/>
          <w:sz w:val="33"/>
          <w:szCs w:val="33"/>
          <w:lang w:val="en-US" w:eastAsia="zh-CN"/>
        </w:rPr>
        <w:t>情况、绩效目标等方面进行自评。</w:t>
      </w:r>
    </w:p>
    <w:p>
      <w:pPr>
        <w:keepNext w:val="0"/>
        <w:keepLines w:val="0"/>
        <w:pageBreakBefore w:val="0"/>
        <w:kinsoku/>
        <w:wordWrap/>
        <w:overflowPunct/>
        <w:topLinePunct w:val="0"/>
        <w:autoSpaceDE/>
        <w:autoSpaceDN/>
        <w:bidi w:val="0"/>
        <w:adjustRightInd/>
        <w:snapToGrid/>
        <w:spacing w:line="240" w:lineRule="auto"/>
        <w:ind w:firstLine="660" w:firstLineChars="200"/>
        <w:jc w:val="both"/>
        <w:textAlignment w:val="auto"/>
        <w:outlineLvl w:val="3"/>
        <w:rPr>
          <w:rFonts w:hint="default" w:ascii="Times New Roman" w:hAnsi="Times New Roman" w:eastAsia="黑体" w:cs="Times New Roman"/>
          <w:sz w:val="33"/>
          <w:szCs w:val="33"/>
        </w:rPr>
      </w:pPr>
      <w:bookmarkStart w:id="243" w:name="_Toc3693_WPSOffice_Level1"/>
      <w:bookmarkStart w:id="244" w:name="_Toc4350_WPSOffice_Level1"/>
      <w:bookmarkStart w:id="245" w:name="_Toc1658_WPSOffice_Level1"/>
      <w:bookmarkStart w:id="246" w:name="_Toc12237_WPSOffice_Level1"/>
      <w:r>
        <w:rPr>
          <w:rFonts w:hint="default" w:ascii="Times New Roman" w:hAnsi="Times New Roman" w:eastAsia="黑体" w:cs="Times New Roman"/>
          <w:sz w:val="33"/>
          <w:szCs w:val="33"/>
        </w:rPr>
        <w:t>二、项目资金申报及使用情况</w:t>
      </w:r>
      <w:bookmarkEnd w:id="243"/>
      <w:bookmarkEnd w:id="244"/>
      <w:bookmarkEnd w:id="245"/>
      <w:bookmarkEnd w:id="246"/>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47" w:name="_Toc7800_WPSOffice_Level2"/>
      <w:bookmarkStart w:id="248" w:name="_Toc31849_WPSOffice_Level2"/>
      <w:bookmarkStart w:id="249" w:name="_Toc27704_WPSOffice_Level2"/>
      <w:bookmarkStart w:id="250" w:name="_Toc2944_WPSOffice_Level2"/>
      <w:r>
        <w:rPr>
          <w:rFonts w:hint="default" w:ascii="Times New Roman" w:hAnsi="Times New Roman" w:eastAsia="方正楷体_GBK" w:cs="Times New Roman"/>
          <w:b/>
          <w:bCs/>
          <w:sz w:val="33"/>
          <w:szCs w:val="33"/>
        </w:rPr>
        <w:t>（一）项目资金申报及批复情况。</w:t>
      </w:r>
      <w:bookmarkEnd w:id="247"/>
      <w:bookmarkEnd w:id="248"/>
      <w:bookmarkEnd w:id="249"/>
      <w:bookmarkEnd w:id="250"/>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2022年</w:t>
      </w:r>
      <w:r>
        <w:rPr>
          <w:rFonts w:hint="eastAsia" w:eastAsia="方正仿宋_GBK" w:cs="Times New Roman"/>
          <w:sz w:val="33"/>
          <w:szCs w:val="33"/>
          <w:lang w:val="en-US" w:eastAsia="zh-CN"/>
        </w:rPr>
        <w:t>市委</w:t>
      </w:r>
      <w:r>
        <w:rPr>
          <w:rFonts w:hint="default" w:ascii="Times New Roman" w:hAnsi="Times New Roman" w:eastAsia="方正仿宋_GBK" w:cs="Times New Roman"/>
          <w:sz w:val="33"/>
          <w:szCs w:val="33"/>
          <w:lang w:val="en-US" w:eastAsia="zh-CN"/>
        </w:rPr>
        <w:t>组织部统计到</w:t>
      </w:r>
      <w:r>
        <w:rPr>
          <w:rFonts w:hint="eastAsia" w:eastAsia="方正仿宋_GBK" w:cs="Times New Roman"/>
          <w:sz w:val="33"/>
          <w:szCs w:val="33"/>
          <w:lang w:val="en-US" w:eastAsia="zh-CN"/>
        </w:rPr>
        <w:t>实际</w:t>
      </w:r>
      <w:r>
        <w:rPr>
          <w:rFonts w:hint="default" w:ascii="Times New Roman" w:hAnsi="Times New Roman" w:eastAsia="方正仿宋_GBK" w:cs="Times New Roman"/>
          <w:sz w:val="33"/>
          <w:szCs w:val="33"/>
          <w:lang w:val="en-US" w:eastAsia="zh-CN"/>
        </w:rPr>
        <w:t>村任职选调生</w:t>
      </w:r>
      <w:r>
        <w:rPr>
          <w:rFonts w:hint="eastAsia" w:eastAsia="方正仿宋_GBK" w:cs="Times New Roman"/>
          <w:sz w:val="33"/>
          <w:szCs w:val="33"/>
          <w:lang w:val="en-US" w:eastAsia="zh-CN"/>
        </w:rPr>
        <w:t>人数</w:t>
      </w:r>
      <w:r>
        <w:rPr>
          <w:rFonts w:hint="default" w:ascii="Times New Roman" w:hAnsi="Times New Roman" w:eastAsia="方正仿宋_GBK" w:cs="Times New Roman"/>
          <w:sz w:val="33"/>
          <w:szCs w:val="33"/>
          <w:lang w:val="en-US" w:eastAsia="zh-CN"/>
        </w:rPr>
        <w:t>，统一</w:t>
      </w:r>
      <w:r>
        <w:rPr>
          <w:rFonts w:hint="eastAsia" w:eastAsia="方正仿宋_GBK" w:cs="Times New Roman"/>
          <w:sz w:val="33"/>
          <w:szCs w:val="33"/>
          <w:lang w:val="en-US" w:eastAsia="zh-CN"/>
        </w:rPr>
        <w:t>向省委组织部报批</w:t>
      </w:r>
      <w:r>
        <w:rPr>
          <w:rFonts w:hint="default" w:ascii="Times New Roman" w:hAnsi="Times New Roman" w:eastAsia="方正仿宋_GBK" w:cs="Times New Roman"/>
          <w:sz w:val="33"/>
          <w:szCs w:val="33"/>
          <w:lang w:val="en-US" w:eastAsia="zh-CN"/>
        </w:rPr>
        <w:t>申请并拨付</w:t>
      </w:r>
      <w:r>
        <w:rPr>
          <w:rFonts w:hint="eastAsia" w:eastAsia="方正仿宋_GBK" w:cs="Times New Roman"/>
          <w:sz w:val="33"/>
          <w:szCs w:val="33"/>
          <w:lang w:val="en-US" w:eastAsia="zh-CN"/>
        </w:rPr>
        <w:t>专项</w:t>
      </w:r>
      <w:r>
        <w:rPr>
          <w:rFonts w:hint="default" w:ascii="Times New Roman" w:hAnsi="Times New Roman" w:eastAsia="方正仿宋_GBK" w:cs="Times New Roman"/>
          <w:sz w:val="33"/>
          <w:szCs w:val="33"/>
          <w:lang w:val="en-US" w:eastAsia="zh-CN"/>
        </w:rPr>
        <w:t>资金，</w:t>
      </w:r>
      <w:r>
        <w:rPr>
          <w:rFonts w:hint="eastAsia" w:eastAsia="方正仿宋_GBK" w:cs="Times New Roman"/>
          <w:sz w:val="33"/>
          <w:szCs w:val="33"/>
          <w:lang w:val="en-US" w:eastAsia="zh-CN"/>
        </w:rPr>
        <w:t>后经省财政厅批复下拨至县财政局后，划拨至县委组织部。</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51" w:name="_Toc30268_WPSOffice_Level2"/>
      <w:bookmarkStart w:id="252" w:name="_Toc24533_WPSOffice_Level2"/>
      <w:bookmarkStart w:id="253" w:name="_Toc4583_WPSOffice_Level2"/>
      <w:bookmarkStart w:id="254" w:name="_Toc31334_WPSOffice_Level2"/>
      <w:r>
        <w:rPr>
          <w:rFonts w:hint="default" w:ascii="Times New Roman" w:hAnsi="Times New Roman" w:eastAsia="方正楷体_GBK" w:cs="Times New Roman"/>
          <w:b/>
          <w:bCs/>
          <w:sz w:val="33"/>
          <w:szCs w:val="33"/>
        </w:rPr>
        <w:t>（二）资金计划、到位及使用情况。</w:t>
      </w:r>
      <w:bookmarkEnd w:id="251"/>
      <w:bookmarkEnd w:id="252"/>
      <w:bookmarkEnd w:id="253"/>
      <w:bookmarkEnd w:id="254"/>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55" w:name="_Toc25722"/>
      <w:bookmarkStart w:id="256" w:name="_Toc31932"/>
      <w:bookmarkStart w:id="257" w:name="_Toc17509"/>
      <w:r>
        <w:rPr>
          <w:rFonts w:hint="default" w:ascii="Times New Roman" w:hAnsi="Times New Roman" w:eastAsia="方正仿宋_GBK" w:cs="Times New Roman"/>
          <w:b/>
          <w:bCs/>
          <w:sz w:val="33"/>
          <w:szCs w:val="33"/>
          <w:lang w:val="en-US" w:eastAsia="zh-CN"/>
        </w:rPr>
        <w:t>1.资金计划。</w:t>
      </w:r>
      <w:bookmarkEnd w:id="255"/>
      <w:bookmarkEnd w:id="256"/>
      <w:bookmarkEnd w:id="257"/>
    </w:p>
    <w:p>
      <w:pPr>
        <w:keepNext w:val="0"/>
        <w:keepLines w:val="0"/>
        <w:pageBreakBefore w:val="0"/>
        <w:widowControl/>
        <w:suppressLineNumbers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根据市委组织部的统计要求，上报我县本年度实际导到村任职选调生人数，</w:t>
      </w:r>
      <w:r>
        <w:rPr>
          <w:rFonts w:hint="default" w:ascii="Times New Roman" w:hAnsi="Times New Roman" w:eastAsia="方正仿宋_GBK" w:cs="Times New Roman"/>
          <w:sz w:val="33"/>
          <w:szCs w:val="33"/>
          <w:lang w:val="en-US" w:eastAsia="zh-CN"/>
        </w:rPr>
        <w:t>根据《攀枝花市选调生到村任职工作专项资金管理细则（试行）》（攀财行政〔2022〕5号）</w:t>
      </w:r>
      <w:r>
        <w:rPr>
          <w:rFonts w:ascii="方正仿宋_GBK" w:hAnsi="方正仿宋_GBK" w:eastAsia="方正仿宋_GBK" w:cs="方正仿宋_GBK"/>
          <w:color w:val="000000"/>
          <w:kern w:val="0"/>
          <w:sz w:val="32"/>
          <w:szCs w:val="32"/>
          <w:lang w:val="en-US" w:eastAsia="zh-CN" w:bidi="ar"/>
        </w:rPr>
        <w:t>相</w:t>
      </w:r>
      <w:r>
        <w:rPr>
          <w:rFonts w:hint="default" w:ascii="Times New Roman" w:hAnsi="Times New Roman" w:eastAsia="方正仿宋_GBK" w:cs="Times New Roman"/>
          <w:sz w:val="33"/>
          <w:szCs w:val="33"/>
          <w:lang w:val="en-US" w:eastAsia="zh-CN"/>
        </w:rPr>
        <w:t>关规定</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选调生到村任职第一年按照每人2.2</w:t>
      </w:r>
      <w:r>
        <w:rPr>
          <w:rFonts w:hint="eastAsia" w:ascii="Times New Roman" w:hAnsi="Times New Roman" w:eastAsia="方正仿宋_GBK" w:cs="Times New Roman"/>
          <w:sz w:val="33"/>
          <w:szCs w:val="33"/>
          <w:lang w:val="en-US" w:eastAsia="zh-CN"/>
        </w:rPr>
        <w:t>万元标准、第二年按照每人每年</w:t>
      </w:r>
      <w:r>
        <w:rPr>
          <w:rFonts w:hint="default" w:ascii="Times New Roman" w:hAnsi="Times New Roman" w:eastAsia="方正仿宋_GBK" w:cs="Times New Roman"/>
          <w:sz w:val="33"/>
          <w:szCs w:val="33"/>
          <w:lang w:val="en-US" w:eastAsia="zh-CN"/>
        </w:rPr>
        <w:t>1.9</w:t>
      </w:r>
      <w:r>
        <w:rPr>
          <w:rFonts w:hint="eastAsia" w:ascii="Times New Roman" w:hAnsi="Times New Roman" w:eastAsia="方正仿宋_GBK" w:cs="Times New Roman"/>
          <w:sz w:val="33"/>
          <w:szCs w:val="33"/>
          <w:lang w:val="en-US" w:eastAsia="zh-CN"/>
        </w:rPr>
        <w:t>万元标准予以补助，其中：中央财政补助标准为每人每年</w:t>
      </w:r>
      <w:r>
        <w:rPr>
          <w:rFonts w:hint="default" w:ascii="Times New Roman" w:hAnsi="Times New Roman" w:eastAsia="方正仿宋_GBK" w:cs="Times New Roman"/>
          <w:sz w:val="33"/>
          <w:szCs w:val="33"/>
          <w:lang w:val="en-US" w:eastAsia="zh-CN"/>
        </w:rPr>
        <w:t>1.4</w:t>
      </w:r>
      <w:r>
        <w:rPr>
          <w:rFonts w:hint="eastAsia" w:ascii="Times New Roman" w:hAnsi="Times New Roman" w:eastAsia="方正仿宋_GBK" w:cs="Times New Roman"/>
          <w:sz w:val="33"/>
          <w:szCs w:val="33"/>
          <w:lang w:val="en-US" w:eastAsia="zh-CN"/>
        </w:rPr>
        <w:t>万元，不足部分由省级财政承担。专项资金下达至到村任职选调生所在县级组织部门，由其统筹用于选调生工作经费开支，不直接补助到个人”</w:t>
      </w:r>
      <w:r>
        <w:rPr>
          <w:rFonts w:hint="eastAsia" w:eastAsia="方正仿宋_GBK" w:cs="Times New Roman"/>
          <w:sz w:val="33"/>
          <w:szCs w:val="33"/>
          <w:lang w:val="en-US" w:eastAsia="zh-CN"/>
        </w:rPr>
        <w:t>，到村任职选调生资金共68.62万元，其中计划</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到村任职选调生一次性安置补贴</w:t>
      </w:r>
      <w:r>
        <w:rPr>
          <w:rFonts w:hint="eastAsia" w:ascii="Times New Roman" w:hAnsi="Times New Roman" w:eastAsia="方正仿宋_GBK" w:cs="Times New Roman"/>
          <w:sz w:val="33"/>
          <w:szCs w:val="33"/>
          <w:lang w:val="en-US" w:eastAsia="zh-CN"/>
        </w:rPr>
        <w:t>共分配12.9万元，到村任职选调生开展教育培训经费11.4万元，到村任职选调生开展国情调研工作经费30.4万元，到村任职选调生开展群众服务工作经费13.92万元。</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58" w:name="_Toc15762"/>
      <w:bookmarkStart w:id="259" w:name="_Toc2052"/>
      <w:bookmarkStart w:id="260" w:name="_Toc30367"/>
      <w:r>
        <w:rPr>
          <w:rFonts w:hint="default" w:ascii="Times New Roman" w:hAnsi="Times New Roman" w:eastAsia="方正仿宋_GBK" w:cs="Times New Roman"/>
          <w:b/>
          <w:bCs/>
          <w:sz w:val="33"/>
          <w:szCs w:val="33"/>
          <w:lang w:val="en-US" w:eastAsia="zh-CN"/>
        </w:rPr>
        <w:t>2.资金到位情况。</w:t>
      </w:r>
      <w:bookmarkEnd w:id="258"/>
      <w:bookmarkEnd w:id="259"/>
      <w:bookmarkEnd w:id="260"/>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到村任职选调生专项经费由</w:t>
      </w:r>
      <w:r>
        <w:rPr>
          <w:rFonts w:hint="eastAsia" w:eastAsia="方正仿宋_GBK" w:cs="Times New Roman"/>
          <w:sz w:val="33"/>
          <w:szCs w:val="33"/>
          <w:lang w:val="en-US" w:eastAsia="zh-CN"/>
        </w:rPr>
        <w:t>省财政厅</w:t>
      </w:r>
      <w:r>
        <w:rPr>
          <w:rFonts w:hint="default" w:ascii="Times New Roman" w:hAnsi="Times New Roman" w:eastAsia="方正仿宋_GBK" w:cs="Times New Roman"/>
          <w:sz w:val="33"/>
          <w:szCs w:val="33"/>
          <w:lang w:val="en-US" w:eastAsia="zh-CN"/>
        </w:rPr>
        <w:t>统一根据选调生分配人数进行划拨。</w:t>
      </w:r>
      <w:r>
        <w:rPr>
          <w:rFonts w:hint="eastAsia" w:eastAsia="方正仿宋_GBK" w:cs="Times New Roman"/>
          <w:sz w:val="33"/>
          <w:szCs w:val="33"/>
          <w:lang w:val="en-US" w:eastAsia="zh-CN"/>
        </w:rPr>
        <w:t>县财政局</w:t>
      </w:r>
      <w:r>
        <w:rPr>
          <w:rFonts w:hint="default" w:ascii="Times New Roman" w:hAnsi="Times New Roman" w:eastAsia="方正仿宋_GBK" w:cs="Times New Roman"/>
          <w:sz w:val="33"/>
          <w:szCs w:val="33"/>
          <w:lang w:val="en-US" w:eastAsia="zh-CN"/>
        </w:rPr>
        <w:t>根据</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川财行【2020】0209号</w:t>
      </w:r>
      <w:r>
        <w:rPr>
          <w:rFonts w:hint="eastAsia" w:eastAsia="方正仿宋_GBK" w:cs="Times New Roman"/>
          <w:sz w:val="33"/>
          <w:szCs w:val="33"/>
          <w:lang w:val="en-US" w:eastAsia="zh-CN"/>
        </w:rPr>
        <w:t>）结转（上年结余）</w:t>
      </w:r>
      <w:r>
        <w:rPr>
          <w:rFonts w:hint="default" w:ascii="Times New Roman" w:hAnsi="Times New Roman" w:eastAsia="方正仿宋_GBK" w:cs="Times New Roman"/>
          <w:sz w:val="33"/>
          <w:szCs w:val="33"/>
          <w:lang w:val="en-US" w:eastAsia="zh-CN"/>
        </w:rPr>
        <w:t>下达2021年度选调生到村任职中央财补</w:t>
      </w:r>
      <w:r>
        <w:rPr>
          <w:rFonts w:hint="eastAsia" w:eastAsia="方正仿宋_GBK" w:cs="Times New Roman"/>
          <w:sz w:val="33"/>
          <w:szCs w:val="33"/>
          <w:lang w:val="en-US" w:eastAsia="zh-CN"/>
        </w:rPr>
        <w:t>资金78245.32</w:t>
      </w:r>
      <w:r>
        <w:rPr>
          <w:rFonts w:hint="default" w:ascii="Times New Roman" w:hAnsi="Times New Roman" w:eastAsia="方正仿宋_GBK" w:cs="Times New Roman"/>
          <w:sz w:val="33"/>
          <w:szCs w:val="33"/>
          <w:lang w:val="en-US" w:eastAsia="zh-CN"/>
        </w:rPr>
        <w:t>元；根据</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川财行【2020】0</w:t>
      </w:r>
      <w:r>
        <w:rPr>
          <w:rFonts w:hint="eastAsia" w:eastAsia="方正仿宋_GBK" w:cs="Times New Roman"/>
          <w:sz w:val="33"/>
          <w:szCs w:val="33"/>
          <w:lang w:val="en-US" w:eastAsia="zh-CN"/>
        </w:rPr>
        <w:t>10</w:t>
      </w:r>
      <w:r>
        <w:rPr>
          <w:rFonts w:hint="default" w:ascii="Times New Roman" w:hAnsi="Times New Roman" w:eastAsia="方正仿宋_GBK" w:cs="Times New Roman"/>
          <w:sz w:val="33"/>
          <w:szCs w:val="33"/>
          <w:lang w:val="en-US" w:eastAsia="zh-CN"/>
        </w:rPr>
        <w:t>9号</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下达2021年度选调生到村任职中央财补</w:t>
      </w:r>
      <w:r>
        <w:rPr>
          <w:rFonts w:hint="eastAsia" w:eastAsia="方正仿宋_GBK" w:cs="Times New Roman"/>
          <w:sz w:val="33"/>
          <w:szCs w:val="33"/>
          <w:lang w:val="en-US" w:eastAsia="zh-CN"/>
        </w:rPr>
        <w:t>资金322000</w:t>
      </w:r>
      <w:r>
        <w:rPr>
          <w:rFonts w:hint="default" w:ascii="Times New Roman" w:hAnsi="Times New Roman" w:eastAsia="方正仿宋_GBK" w:cs="Times New Roman"/>
          <w:sz w:val="33"/>
          <w:szCs w:val="33"/>
          <w:lang w:val="en-US" w:eastAsia="zh-CN"/>
        </w:rPr>
        <w:t>元</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根据</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川财行【2022】年18号</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下达2022年度选调生到村任职财政补助资金划拨金额28600元</w:t>
      </w:r>
      <w:r>
        <w:rPr>
          <w:rFonts w:hint="eastAsia" w:eastAsia="方正仿宋_GBK" w:cs="Times New Roman"/>
          <w:sz w:val="33"/>
          <w:szCs w:val="33"/>
          <w:lang w:val="en-US" w:eastAsia="zh-CN"/>
        </w:rPr>
        <w:t>，共下达</w:t>
      </w:r>
      <w:r>
        <w:rPr>
          <w:rFonts w:hint="default" w:ascii="Times New Roman" w:hAnsi="Times New Roman" w:eastAsia="方正仿宋_GBK" w:cs="Times New Roman"/>
          <w:sz w:val="33"/>
          <w:szCs w:val="33"/>
          <w:lang w:val="en-US" w:eastAsia="zh-CN"/>
        </w:rPr>
        <w:t>到村任职选调生专项经费686245</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32</w:t>
      </w:r>
      <w:r>
        <w:rPr>
          <w:rFonts w:hint="eastAsia" w:ascii="Times New Roman" w:hAnsi="Times New Roman" w:eastAsia="方正仿宋_GBK" w:cs="Times New Roman"/>
          <w:sz w:val="33"/>
          <w:szCs w:val="33"/>
          <w:lang w:val="en-US" w:eastAsia="zh-CN"/>
        </w:rPr>
        <w:t>元</w:t>
      </w:r>
      <w:r>
        <w:rPr>
          <w:rFonts w:hint="eastAsia" w:eastAsia="方正仿宋_GBK" w:cs="Times New Roman"/>
          <w:sz w:val="33"/>
          <w:szCs w:val="33"/>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汇总统计</w:t>
      </w:r>
      <w:r>
        <w:rPr>
          <w:rFonts w:hint="eastAsia" w:eastAsia="方正仿宋_GBK" w:cs="Times New Roman"/>
          <w:sz w:val="33"/>
          <w:szCs w:val="33"/>
          <w:lang w:val="en-US" w:eastAsia="zh-CN"/>
        </w:rPr>
        <w:t>截止</w:t>
      </w:r>
      <w:r>
        <w:rPr>
          <w:rFonts w:hint="default" w:ascii="Times New Roman" w:hAnsi="Times New Roman" w:eastAsia="方正仿宋_GBK" w:cs="Times New Roman"/>
          <w:sz w:val="33"/>
          <w:szCs w:val="33"/>
          <w:lang w:val="en-US" w:eastAsia="zh-CN"/>
        </w:rPr>
        <w:t>评价时点该项目全县资金到位情况，</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川财行【2020】0209号</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2021年度选调生到村任职中央财补资金划拨金额</w:t>
      </w:r>
      <w:r>
        <w:rPr>
          <w:rFonts w:hint="eastAsia" w:eastAsia="方正仿宋_GBK" w:cs="Times New Roman"/>
          <w:sz w:val="33"/>
          <w:szCs w:val="33"/>
          <w:lang w:val="en-US" w:eastAsia="zh-CN"/>
        </w:rPr>
        <w:t>78245.32</w:t>
      </w:r>
      <w:r>
        <w:rPr>
          <w:rFonts w:hint="default" w:ascii="Times New Roman" w:hAnsi="Times New Roman" w:eastAsia="方正仿宋_GBK" w:cs="Times New Roman"/>
          <w:sz w:val="33"/>
          <w:szCs w:val="33"/>
          <w:lang w:val="en-US" w:eastAsia="zh-CN"/>
        </w:rPr>
        <w:t>元于2022年</w:t>
      </w:r>
      <w:r>
        <w:rPr>
          <w:rFonts w:hint="eastAsia" w:eastAsia="方正仿宋_GBK" w:cs="Times New Roman"/>
          <w:sz w:val="33"/>
          <w:szCs w:val="33"/>
          <w:lang w:val="en-US" w:eastAsia="zh-CN"/>
        </w:rPr>
        <w:t>1</w:t>
      </w:r>
      <w:r>
        <w:rPr>
          <w:rFonts w:hint="default" w:ascii="Times New Roman" w:hAnsi="Times New Roman" w:eastAsia="方正仿宋_GBK" w:cs="Times New Roman"/>
          <w:sz w:val="33"/>
          <w:szCs w:val="33"/>
          <w:lang w:val="en-US" w:eastAsia="zh-CN"/>
        </w:rPr>
        <w:t>月</w:t>
      </w:r>
      <w:r>
        <w:rPr>
          <w:rFonts w:hint="eastAsia" w:eastAsia="方正仿宋_GBK" w:cs="Times New Roman"/>
          <w:sz w:val="33"/>
          <w:szCs w:val="33"/>
          <w:lang w:val="en-US" w:eastAsia="zh-CN"/>
        </w:rPr>
        <w:t>21</w:t>
      </w:r>
      <w:r>
        <w:rPr>
          <w:rFonts w:hint="default" w:ascii="Times New Roman" w:hAnsi="Times New Roman" w:eastAsia="方正仿宋_GBK" w:cs="Times New Roman"/>
          <w:sz w:val="33"/>
          <w:szCs w:val="33"/>
          <w:lang w:val="en-US" w:eastAsia="zh-CN"/>
        </w:rPr>
        <w:t>日全部下达；</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川财行【2020】02</w:t>
      </w:r>
      <w:r>
        <w:rPr>
          <w:rFonts w:hint="eastAsia" w:eastAsia="方正仿宋_GBK" w:cs="Times New Roman"/>
          <w:sz w:val="33"/>
          <w:szCs w:val="33"/>
          <w:lang w:val="en-US" w:eastAsia="zh-CN"/>
        </w:rPr>
        <w:t>10</w:t>
      </w:r>
      <w:r>
        <w:rPr>
          <w:rFonts w:hint="default" w:ascii="Times New Roman" w:hAnsi="Times New Roman" w:eastAsia="方正仿宋_GBK" w:cs="Times New Roman"/>
          <w:sz w:val="33"/>
          <w:szCs w:val="33"/>
          <w:lang w:val="en-US" w:eastAsia="zh-CN"/>
        </w:rPr>
        <w:t>号</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2021年度选调生到村任职中央财补资金划拨金额</w:t>
      </w:r>
      <w:r>
        <w:rPr>
          <w:rFonts w:hint="eastAsia" w:eastAsia="方正仿宋_GBK" w:cs="Times New Roman"/>
          <w:sz w:val="33"/>
          <w:szCs w:val="33"/>
          <w:lang w:val="en-US" w:eastAsia="zh-CN"/>
        </w:rPr>
        <w:t>322000</w:t>
      </w:r>
      <w:r>
        <w:rPr>
          <w:rFonts w:hint="default" w:ascii="Times New Roman" w:hAnsi="Times New Roman" w:eastAsia="方正仿宋_GBK" w:cs="Times New Roman"/>
          <w:sz w:val="33"/>
          <w:szCs w:val="33"/>
          <w:lang w:val="en-US" w:eastAsia="zh-CN"/>
        </w:rPr>
        <w:t>元于2022年</w:t>
      </w:r>
      <w:r>
        <w:rPr>
          <w:rFonts w:hint="eastAsia" w:eastAsia="方正仿宋_GBK" w:cs="Times New Roman"/>
          <w:sz w:val="33"/>
          <w:szCs w:val="33"/>
          <w:lang w:val="en-US" w:eastAsia="zh-CN"/>
        </w:rPr>
        <w:t>4</w:t>
      </w:r>
      <w:r>
        <w:rPr>
          <w:rFonts w:hint="default" w:ascii="Times New Roman" w:hAnsi="Times New Roman" w:eastAsia="方正仿宋_GBK" w:cs="Times New Roman"/>
          <w:sz w:val="33"/>
          <w:szCs w:val="33"/>
          <w:lang w:val="en-US" w:eastAsia="zh-CN"/>
        </w:rPr>
        <w:t>月</w:t>
      </w:r>
      <w:r>
        <w:rPr>
          <w:rFonts w:hint="eastAsia" w:eastAsia="方正仿宋_GBK" w:cs="Times New Roman"/>
          <w:sz w:val="33"/>
          <w:szCs w:val="33"/>
          <w:lang w:val="en-US" w:eastAsia="zh-CN"/>
        </w:rPr>
        <w:t>22</w:t>
      </w:r>
      <w:r>
        <w:rPr>
          <w:rFonts w:hint="default" w:ascii="Times New Roman" w:hAnsi="Times New Roman" w:eastAsia="方正仿宋_GBK" w:cs="Times New Roman"/>
          <w:sz w:val="33"/>
          <w:szCs w:val="33"/>
          <w:lang w:val="en-US" w:eastAsia="zh-CN"/>
        </w:rPr>
        <w:t>日全部下达</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川财行【2022】年18号</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2022年度选调生到村任职财政补助资金划拨金额28600元于2022年5月31日已全部下达，资金到位率100%，资金到位及时。</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outlineLvl w:val="1"/>
        <w:rPr>
          <w:rFonts w:hint="default" w:ascii="Times New Roman" w:hAnsi="Times New Roman" w:eastAsia="方正仿宋_GBK" w:cs="Times New Roman"/>
          <w:b/>
          <w:bCs/>
          <w:sz w:val="33"/>
          <w:szCs w:val="33"/>
          <w:lang w:val="en-US" w:eastAsia="zh-CN"/>
        </w:rPr>
      </w:pPr>
      <w:bookmarkStart w:id="261" w:name="_Toc6770"/>
      <w:bookmarkStart w:id="262" w:name="_Toc7381"/>
      <w:bookmarkStart w:id="263" w:name="_Toc1570"/>
      <w:r>
        <w:rPr>
          <w:rFonts w:hint="default" w:ascii="Times New Roman" w:hAnsi="Times New Roman" w:eastAsia="方正仿宋_GBK" w:cs="Times New Roman"/>
          <w:b/>
          <w:bCs/>
          <w:sz w:val="33"/>
          <w:szCs w:val="33"/>
          <w:lang w:val="en-US" w:eastAsia="zh-CN"/>
        </w:rPr>
        <w:t>3.资金使用。</w:t>
      </w:r>
      <w:bookmarkEnd w:id="261"/>
      <w:bookmarkEnd w:id="262"/>
      <w:bookmarkEnd w:id="263"/>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eastAsia" w:eastAsia="方正仿宋_GBK" w:cs="Times New Roman"/>
          <w:sz w:val="33"/>
          <w:szCs w:val="33"/>
          <w:lang w:val="en-US" w:eastAsia="zh-CN"/>
        </w:rPr>
        <w:t>截止</w:t>
      </w:r>
      <w:r>
        <w:rPr>
          <w:rFonts w:hint="default" w:ascii="Times New Roman" w:hAnsi="Times New Roman" w:eastAsia="方正仿宋_GBK" w:cs="Times New Roman"/>
          <w:sz w:val="33"/>
          <w:szCs w:val="33"/>
          <w:lang w:val="en-US" w:eastAsia="zh-CN"/>
        </w:rPr>
        <w:t>评价时点盐边县到村任职选调生资金支出共39.69万元，共分为四项经费，其中</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default" w:ascii="Times New Roman" w:hAnsi="Times New Roman" w:eastAsia="方正仿宋_GBK" w:cs="Times New Roman"/>
          <w:sz w:val="33"/>
          <w:szCs w:val="33"/>
          <w:lang w:val="en-US" w:eastAsia="zh-CN"/>
        </w:rPr>
        <w:t>共</w:t>
      </w:r>
      <w:r>
        <w:rPr>
          <w:rFonts w:hint="eastAsia" w:eastAsia="方正仿宋_GBK" w:cs="Times New Roman"/>
          <w:sz w:val="33"/>
          <w:szCs w:val="33"/>
          <w:lang w:val="en-US" w:eastAsia="zh-CN"/>
        </w:rPr>
        <w:t>支出</w:t>
      </w:r>
      <w:r>
        <w:rPr>
          <w:rFonts w:hint="default" w:ascii="Times New Roman" w:hAnsi="Times New Roman" w:eastAsia="方正仿宋_GBK" w:cs="Times New Roman"/>
          <w:sz w:val="33"/>
          <w:szCs w:val="33"/>
          <w:lang w:val="en-US" w:eastAsia="zh-CN"/>
        </w:rPr>
        <w:t>12.</w:t>
      </w:r>
      <w:r>
        <w:rPr>
          <w:rFonts w:hint="eastAsia" w:eastAsia="方正仿宋_GBK" w:cs="Times New Roman"/>
          <w:sz w:val="33"/>
          <w:szCs w:val="33"/>
          <w:lang w:val="en-US" w:eastAsia="zh-CN"/>
        </w:rPr>
        <w:t>8</w:t>
      </w:r>
      <w:r>
        <w:rPr>
          <w:rFonts w:hint="default" w:ascii="Times New Roman" w:hAnsi="Times New Roman" w:eastAsia="方正仿宋_GBK" w:cs="Times New Roman"/>
          <w:sz w:val="33"/>
          <w:szCs w:val="33"/>
          <w:lang w:val="en-US" w:eastAsia="zh-CN"/>
        </w:rPr>
        <w:t>万元；</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职选调生开展教育培训经费</w:t>
      </w:r>
      <w:r>
        <w:rPr>
          <w:rFonts w:hint="default" w:ascii="Times New Roman" w:hAnsi="Times New Roman" w:eastAsia="方正仿宋_GBK" w:cs="Times New Roman"/>
          <w:sz w:val="33"/>
          <w:szCs w:val="33"/>
          <w:lang w:val="en-US" w:eastAsia="zh-CN"/>
        </w:rPr>
        <w:t>共支出13.62万元；</w:t>
      </w:r>
      <w:r>
        <w:rPr>
          <w:rFonts w:hint="eastAsia" w:eastAsia="方正仿宋_GBK" w:cs="Times New Roman"/>
          <w:sz w:val="33"/>
          <w:szCs w:val="33"/>
          <w:lang w:val="en-US" w:eastAsia="zh-CN"/>
        </w:rPr>
        <w:t>到</w:t>
      </w:r>
      <w:r>
        <w:rPr>
          <w:rFonts w:hint="eastAsia" w:ascii="Times New Roman" w:hAnsi="Times New Roman" w:eastAsia="方正仿宋_GBK" w:cs="Times New Roman"/>
          <w:sz w:val="33"/>
          <w:szCs w:val="33"/>
          <w:lang w:val="en-US" w:eastAsia="zh-CN"/>
        </w:rPr>
        <w:t>村任职选调生开展国情调研工作经费</w:t>
      </w:r>
      <w:r>
        <w:rPr>
          <w:rFonts w:hint="default" w:ascii="Times New Roman" w:hAnsi="Times New Roman" w:eastAsia="方正仿宋_GBK" w:cs="Times New Roman"/>
          <w:sz w:val="33"/>
          <w:szCs w:val="33"/>
          <w:lang w:val="en-US" w:eastAsia="zh-CN"/>
        </w:rPr>
        <w:t>共支出5.3万元；</w:t>
      </w:r>
      <w:r>
        <w:rPr>
          <w:rFonts w:hint="eastAsia" w:ascii="Times New Roman" w:hAnsi="Times New Roman" w:eastAsia="方正仿宋_GBK" w:cs="Times New Roman"/>
          <w:sz w:val="33"/>
          <w:szCs w:val="33"/>
          <w:lang w:val="en-US" w:eastAsia="zh-CN"/>
        </w:rPr>
        <w:t>到村任职选调生开展群众服务工作经费</w:t>
      </w:r>
      <w:r>
        <w:rPr>
          <w:rFonts w:hint="default" w:ascii="Times New Roman" w:hAnsi="Times New Roman" w:eastAsia="方正仿宋_GBK" w:cs="Times New Roman"/>
          <w:sz w:val="33"/>
          <w:szCs w:val="33"/>
          <w:lang w:val="en-US" w:eastAsia="zh-CN"/>
        </w:rPr>
        <w:t>共支出7.97万元。</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资金使用安全、规范且有效。资金围绕“提升盐边县到村任职选调生积极性、个人素质、认知认识”为标准，</w:t>
      </w:r>
      <w:r>
        <w:rPr>
          <w:rFonts w:hint="eastAsia" w:eastAsia="方正仿宋_GBK" w:cs="Times New Roman"/>
          <w:sz w:val="33"/>
          <w:szCs w:val="33"/>
          <w:lang w:val="en-US" w:eastAsia="zh-CN"/>
        </w:rPr>
        <w:t>在“</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职选调生开展教育培训经费、到村任职选调生开展国情调研工作经费、到村任职选调生开展群众服务工作经费</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范围</w:t>
      </w:r>
      <w:r>
        <w:rPr>
          <w:rFonts w:hint="eastAsia" w:eastAsia="方正仿宋_GBK" w:cs="Times New Roman"/>
          <w:sz w:val="33"/>
          <w:szCs w:val="33"/>
          <w:lang w:val="en-US" w:eastAsia="zh-CN"/>
        </w:rPr>
        <w:t>内</w:t>
      </w:r>
      <w:r>
        <w:rPr>
          <w:rFonts w:hint="default" w:ascii="Times New Roman" w:hAnsi="Times New Roman" w:eastAsia="方正仿宋_GBK" w:cs="Times New Roman"/>
          <w:sz w:val="33"/>
          <w:szCs w:val="33"/>
          <w:lang w:val="en-US" w:eastAsia="zh-CN"/>
        </w:rPr>
        <w:t>进行支付。支付进度</w:t>
      </w:r>
      <w:r>
        <w:rPr>
          <w:rFonts w:hint="eastAsia" w:eastAsia="方正仿宋_GBK" w:cs="Times New Roman"/>
          <w:sz w:val="33"/>
          <w:szCs w:val="33"/>
          <w:lang w:val="en-US" w:eastAsia="zh-CN"/>
        </w:rPr>
        <w:t>截止</w:t>
      </w:r>
      <w:r>
        <w:rPr>
          <w:rFonts w:hint="default" w:ascii="Times New Roman" w:hAnsi="Times New Roman" w:eastAsia="方正仿宋_GBK" w:cs="Times New Roman"/>
          <w:sz w:val="33"/>
          <w:szCs w:val="33"/>
          <w:lang w:val="en-US" w:eastAsia="zh-CN"/>
        </w:rPr>
        <w:t>评价时点前已全部支付完毕，支付依据合规合法，与预算相符。</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64" w:name="_Toc796_WPSOffice_Level2"/>
      <w:bookmarkStart w:id="265" w:name="_Toc6331_WPSOffice_Level2"/>
      <w:bookmarkStart w:id="266" w:name="_Toc2274_WPSOffice_Level2"/>
      <w:bookmarkStart w:id="267" w:name="_Toc22792_WPSOffice_Level2"/>
      <w:r>
        <w:rPr>
          <w:rFonts w:hint="default" w:ascii="Times New Roman" w:hAnsi="Times New Roman" w:eastAsia="方正楷体_GBK" w:cs="Times New Roman"/>
          <w:b/>
          <w:bCs/>
          <w:sz w:val="33"/>
          <w:szCs w:val="33"/>
        </w:rPr>
        <w:t>（三）项目财务管理情况。</w:t>
      </w:r>
      <w:bookmarkEnd w:id="264"/>
      <w:bookmarkEnd w:id="265"/>
      <w:bookmarkEnd w:id="266"/>
      <w:bookmarkEnd w:id="267"/>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2022年盐边县到村任职选调生财务管理制度健全，严格执行财务管理制度，财务处理及时，会计核算规范。</w:t>
      </w:r>
    </w:p>
    <w:p>
      <w:pPr>
        <w:keepNext w:val="0"/>
        <w:keepLines w:val="0"/>
        <w:pageBreakBefore w:val="0"/>
        <w:kinsoku/>
        <w:wordWrap/>
        <w:overflowPunct/>
        <w:topLinePunct w:val="0"/>
        <w:autoSpaceDE/>
        <w:autoSpaceDN/>
        <w:bidi w:val="0"/>
        <w:adjustRightInd/>
        <w:snapToGrid/>
        <w:spacing w:line="240" w:lineRule="auto"/>
        <w:ind w:firstLine="660" w:firstLineChars="200"/>
        <w:jc w:val="both"/>
        <w:textAlignment w:val="auto"/>
        <w:outlineLvl w:val="3"/>
        <w:rPr>
          <w:rFonts w:hint="default" w:ascii="Times New Roman" w:hAnsi="Times New Roman" w:eastAsia="黑体" w:cs="Times New Roman"/>
          <w:sz w:val="33"/>
          <w:szCs w:val="33"/>
        </w:rPr>
      </w:pPr>
      <w:bookmarkStart w:id="268" w:name="_Toc20786_WPSOffice_Level1"/>
      <w:bookmarkStart w:id="269" w:name="_Toc32171_WPSOffice_Level1"/>
      <w:bookmarkStart w:id="270" w:name="_Toc18000_WPSOffice_Level1"/>
      <w:bookmarkStart w:id="271" w:name="_Toc21647_WPSOffice_Level1"/>
      <w:r>
        <w:rPr>
          <w:rFonts w:hint="default" w:ascii="Times New Roman" w:hAnsi="Times New Roman" w:eastAsia="黑体" w:cs="Times New Roman"/>
          <w:sz w:val="33"/>
          <w:szCs w:val="33"/>
        </w:rPr>
        <w:t>三、项目实施及管理情况</w:t>
      </w:r>
      <w:bookmarkEnd w:id="268"/>
      <w:bookmarkEnd w:id="269"/>
      <w:bookmarkEnd w:id="270"/>
      <w:bookmarkEnd w:id="271"/>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结合</w:t>
      </w:r>
      <w:r>
        <w:rPr>
          <w:rFonts w:hint="default" w:ascii="Times New Roman" w:hAnsi="Times New Roman" w:eastAsia="方正仿宋_GBK" w:cs="Times New Roman"/>
          <w:color w:val="000000"/>
          <w:kern w:val="0"/>
          <w:sz w:val="33"/>
          <w:szCs w:val="33"/>
          <w:lang w:val="en-US" w:eastAsia="zh-CN" w:bidi="ar"/>
        </w:rPr>
        <w:t>《攀枝花市到村任职选调生管理办法（试行）》（攀组通〔2022〕129号）</w:t>
      </w:r>
      <w:r>
        <w:rPr>
          <w:rFonts w:hint="default" w:ascii="Times New Roman" w:hAnsi="Times New Roman" w:eastAsia="方正仿宋_GBK" w:cs="Times New Roman"/>
          <w:sz w:val="33"/>
          <w:szCs w:val="33"/>
          <w:lang w:val="en-US" w:eastAsia="zh-CN"/>
        </w:rPr>
        <w:t>，重点围绕到村任职选调生项目内容进行分析评价，并对自评中发现的问题分析说明。</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72" w:name="_Toc11015_WPSOffice_Level2"/>
      <w:bookmarkStart w:id="273" w:name="_Toc19769_WPSOffice_Level2"/>
      <w:bookmarkStart w:id="274" w:name="_Toc14251_WPSOffice_Level2"/>
      <w:bookmarkStart w:id="275" w:name="_Toc26513_WPSOffice_Level2"/>
      <w:r>
        <w:rPr>
          <w:rFonts w:hint="default" w:ascii="Times New Roman" w:hAnsi="Times New Roman" w:eastAsia="方正楷体_GBK" w:cs="Times New Roman"/>
          <w:b/>
          <w:bCs/>
          <w:sz w:val="33"/>
          <w:szCs w:val="33"/>
        </w:rPr>
        <w:t>（一）项目组织架构及实施流程。</w:t>
      </w:r>
      <w:bookmarkEnd w:id="272"/>
      <w:bookmarkEnd w:id="273"/>
      <w:bookmarkEnd w:id="274"/>
      <w:bookmarkEnd w:id="275"/>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面向基层到村任职选调生同时接受盐边县委组织部与乡镇的统一监督管理，急需紧缺专业到村任职选调生同时</w:t>
      </w:r>
      <w:r>
        <w:rPr>
          <w:rFonts w:hint="eastAsia" w:eastAsia="方正仿宋_GBK" w:cs="Times New Roman"/>
          <w:sz w:val="33"/>
          <w:szCs w:val="33"/>
          <w:lang w:val="en-US" w:eastAsia="zh-CN"/>
        </w:rPr>
        <w:t>接受</w:t>
      </w:r>
      <w:r>
        <w:rPr>
          <w:rFonts w:hint="default" w:ascii="Times New Roman" w:hAnsi="Times New Roman" w:eastAsia="方正仿宋_GBK" w:cs="Times New Roman"/>
          <w:sz w:val="33"/>
          <w:szCs w:val="33"/>
          <w:lang w:val="en-US" w:eastAsia="zh-CN"/>
        </w:rPr>
        <w:t>选调生所在单位、盐边县委组织部和乡镇统一监督管理。</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76" w:name="_Toc6670_WPSOffice_Level2"/>
      <w:bookmarkStart w:id="277" w:name="_Toc13464_WPSOffice_Level2"/>
      <w:bookmarkStart w:id="278" w:name="_Toc23506_WPSOffice_Level2"/>
      <w:bookmarkStart w:id="279" w:name="_Toc14365_WPSOffice_Level2"/>
      <w:r>
        <w:rPr>
          <w:rFonts w:hint="default" w:ascii="Times New Roman" w:hAnsi="Times New Roman" w:eastAsia="方正楷体_GBK" w:cs="Times New Roman"/>
          <w:b/>
          <w:bCs/>
          <w:sz w:val="33"/>
          <w:szCs w:val="33"/>
        </w:rPr>
        <w:t>（二）项目管理情况。</w:t>
      </w:r>
      <w:bookmarkEnd w:id="276"/>
      <w:bookmarkEnd w:id="277"/>
      <w:bookmarkEnd w:id="278"/>
      <w:bookmarkEnd w:id="279"/>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到村任职选调生管理统一遵循《攀枝花市到村任职选调生管理办法（试行）》（攀组通〔2022〕129号）相关要求管理，到村任职选调生资金统一遵从《攀枝花市选调生到村任职工作专项资金管理细则（试行）》（攀财行政〔2022〕5号）有关规定支付资金，资金围绕“提升盐边县到村任职选调生积极性、个人素质、认知认识”为标准，</w:t>
      </w:r>
      <w:r>
        <w:rPr>
          <w:rFonts w:hint="eastAsia" w:eastAsia="方正仿宋_GBK" w:cs="Times New Roman"/>
          <w:sz w:val="33"/>
          <w:szCs w:val="33"/>
          <w:lang w:val="en-US" w:eastAsia="zh-CN"/>
        </w:rPr>
        <w:t>在“</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职选调生开展教育培训经费、到村任职选调生开展国情调研工作经费、到村任职选调生开展群众服务工作经费</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范围</w:t>
      </w:r>
      <w:r>
        <w:rPr>
          <w:rFonts w:hint="eastAsia" w:eastAsia="方正仿宋_GBK" w:cs="Times New Roman"/>
          <w:sz w:val="33"/>
          <w:szCs w:val="33"/>
          <w:lang w:val="en-US" w:eastAsia="zh-CN"/>
        </w:rPr>
        <w:t>内</w:t>
      </w:r>
      <w:r>
        <w:rPr>
          <w:rFonts w:hint="default" w:ascii="Times New Roman" w:hAnsi="Times New Roman" w:eastAsia="方正仿宋_GBK" w:cs="Times New Roman"/>
          <w:sz w:val="33"/>
          <w:szCs w:val="33"/>
          <w:lang w:val="en-US" w:eastAsia="zh-CN"/>
        </w:rPr>
        <w:t>进行支付。</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80" w:name="_Toc8106_WPSOffice_Level2"/>
      <w:bookmarkStart w:id="281" w:name="_Toc11400_WPSOffice_Level2"/>
      <w:bookmarkStart w:id="282" w:name="_Toc15943_WPSOffice_Level2"/>
      <w:bookmarkStart w:id="283" w:name="_Toc6642_WPSOffice_Level2"/>
      <w:r>
        <w:rPr>
          <w:rFonts w:hint="default" w:ascii="Times New Roman" w:hAnsi="Times New Roman" w:eastAsia="方正楷体_GBK" w:cs="Times New Roman"/>
          <w:b/>
          <w:bCs/>
          <w:sz w:val="33"/>
          <w:szCs w:val="33"/>
        </w:rPr>
        <w:t>（三）项目监管情况。</w:t>
      </w:r>
      <w:bookmarkEnd w:id="280"/>
      <w:bookmarkEnd w:id="281"/>
      <w:bookmarkEnd w:id="282"/>
      <w:bookmarkEnd w:id="283"/>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项目由到村任职选调生所受管理单位进行监管，县委组织部进行资金监管。活动项目经过股室策划方案，报部务会审批批准后再实施，请假程序则由到村任职选调生原单位审核签字；选调生一次性到村任职补贴则由乡镇一把手审核签字后报县委组织部再审核。监管工作开展较好。</w:t>
      </w:r>
    </w:p>
    <w:p>
      <w:pPr>
        <w:keepNext w:val="0"/>
        <w:keepLines w:val="0"/>
        <w:pageBreakBefore w:val="0"/>
        <w:kinsoku/>
        <w:wordWrap/>
        <w:overflowPunct/>
        <w:topLinePunct w:val="0"/>
        <w:autoSpaceDE/>
        <w:autoSpaceDN/>
        <w:bidi w:val="0"/>
        <w:adjustRightInd/>
        <w:snapToGrid/>
        <w:spacing w:line="240" w:lineRule="auto"/>
        <w:ind w:firstLine="660" w:firstLineChars="200"/>
        <w:jc w:val="both"/>
        <w:textAlignment w:val="auto"/>
        <w:outlineLvl w:val="3"/>
        <w:rPr>
          <w:rFonts w:hint="default" w:ascii="Times New Roman" w:hAnsi="Times New Roman" w:eastAsia="黑体" w:cs="Times New Roman"/>
          <w:sz w:val="33"/>
          <w:szCs w:val="33"/>
        </w:rPr>
      </w:pPr>
      <w:bookmarkStart w:id="284" w:name="_Toc2500_WPSOffice_Level1"/>
      <w:bookmarkStart w:id="285" w:name="_Toc13063_WPSOffice_Level1"/>
      <w:bookmarkStart w:id="286" w:name="_Toc1245_WPSOffice_Level1"/>
      <w:bookmarkStart w:id="287" w:name="_Toc10231_WPSOffice_Level1"/>
      <w:r>
        <w:rPr>
          <w:rFonts w:hint="default" w:ascii="Times New Roman" w:hAnsi="Times New Roman" w:eastAsia="黑体" w:cs="Times New Roman"/>
          <w:sz w:val="33"/>
          <w:szCs w:val="33"/>
        </w:rPr>
        <w:t>四、项目绩效情况</w:t>
      </w:r>
      <w:bookmarkEnd w:id="284"/>
      <w:bookmarkEnd w:id="285"/>
      <w:bookmarkEnd w:id="286"/>
      <w:bookmarkEnd w:id="287"/>
      <w:r>
        <w:rPr>
          <w:rFonts w:hint="default" w:ascii="Times New Roman" w:hAnsi="Times New Roman" w:eastAsia="黑体" w:cs="Times New Roman"/>
          <w:sz w:val="33"/>
          <w:szCs w:val="33"/>
        </w:rPr>
        <w:tab/>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88" w:name="_Toc1394_WPSOffice_Level2"/>
      <w:bookmarkStart w:id="289" w:name="_Toc15574_WPSOffice_Level2"/>
      <w:bookmarkStart w:id="290" w:name="_Toc4528_WPSOffice_Level2"/>
      <w:bookmarkStart w:id="291" w:name="_Toc23955_WPSOffice_Level2"/>
      <w:r>
        <w:rPr>
          <w:rFonts w:hint="default" w:ascii="Times New Roman" w:hAnsi="Times New Roman" w:eastAsia="方正楷体_GBK" w:cs="Times New Roman"/>
          <w:b/>
          <w:bCs/>
          <w:sz w:val="33"/>
          <w:szCs w:val="33"/>
        </w:rPr>
        <w:t>（一）项目完成情况。</w:t>
      </w:r>
      <w:bookmarkEnd w:id="288"/>
      <w:bookmarkEnd w:id="289"/>
      <w:bookmarkEnd w:id="290"/>
      <w:bookmarkEnd w:id="291"/>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eastAsia" w:eastAsia="方正仿宋_GBK" w:cs="Times New Roman"/>
          <w:sz w:val="33"/>
          <w:szCs w:val="33"/>
          <w:lang w:val="en-US" w:eastAsia="zh-CN"/>
        </w:rPr>
        <w:t>截至2022年</w:t>
      </w:r>
      <w:r>
        <w:rPr>
          <w:rFonts w:hint="default" w:ascii="Times New Roman" w:hAnsi="Times New Roman" w:eastAsia="方正仿宋_GBK" w:cs="Times New Roman"/>
          <w:sz w:val="33"/>
          <w:szCs w:val="33"/>
          <w:lang w:val="en-US" w:eastAsia="zh-CN"/>
        </w:rPr>
        <w:t>年底，</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default" w:ascii="Times New Roman" w:hAnsi="Times New Roman" w:eastAsia="方正仿宋_GBK" w:cs="Times New Roman"/>
          <w:sz w:val="33"/>
          <w:szCs w:val="33"/>
          <w:lang w:val="en-US" w:eastAsia="zh-CN"/>
        </w:rPr>
        <w:t>已完成，</w:t>
      </w:r>
      <w:r>
        <w:rPr>
          <w:rFonts w:hint="eastAsia" w:eastAsia="方正仿宋_GBK" w:cs="Times New Roman"/>
          <w:sz w:val="33"/>
          <w:szCs w:val="33"/>
          <w:lang w:val="en-US" w:eastAsia="zh-CN"/>
        </w:rPr>
        <w:t>预计12.9万元，使用12.8万元，</w:t>
      </w:r>
      <w:r>
        <w:rPr>
          <w:rFonts w:hint="default" w:ascii="Times New Roman" w:hAnsi="Times New Roman" w:eastAsia="方正仿宋_GBK" w:cs="Times New Roman"/>
          <w:sz w:val="33"/>
          <w:szCs w:val="33"/>
          <w:lang w:val="en-US" w:eastAsia="zh-CN"/>
        </w:rPr>
        <w:t>完成质量较好</w:t>
      </w:r>
      <w:r>
        <w:rPr>
          <w:rFonts w:hint="eastAsia" w:eastAsia="方正仿宋_GBK" w:cs="Times New Roman"/>
          <w:sz w:val="33"/>
          <w:szCs w:val="33"/>
          <w:lang w:val="en-US" w:eastAsia="zh-CN"/>
        </w:rPr>
        <w:t>；</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w:t>
      </w:r>
      <w:r>
        <w:rPr>
          <w:rFonts w:hint="eastAsia" w:eastAsia="方正仿宋_GBK" w:cs="Times New Roman"/>
          <w:sz w:val="33"/>
          <w:szCs w:val="33"/>
          <w:lang w:val="en-US" w:eastAsia="zh-CN"/>
        </w:rPr>
        <w:t>已完成，存在资金使用超额的情况，</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职选调生开展教育培训经费</w:t>
      </w:r>
      <w:r>
        <w:rPr>
          <w:rFonts w:hint="eastAsia" w:eastAsia="方正仿宋_GBK" w:cs="Times New Roman"/>
          <w:sz w:val="33"/>
          <w:szCs w:val="33"/>
          <w:lang w:val="en-US" w:eastAsia="zh-CN"/>
        </w:rPr>
        <w:t>共11.4万元，使用13.62万元，依据到村任职选调生培训效果来看，</w:t>
      </w:r>
      <w:r>
        <w:rPr>
          <w:rFonts w:hint="default" w:ascii="Times New Roman" w:hAnsi="Times New Roman" w:eastAsia="方正仿宋_GBK" w:cs="Times New Roman"/>
          <w:sz w:val="33"/>
          <w:szCs w:val="33"/>
          <w:lang w:val="en-US" w:eastAsia="zh-CN"/>
        </w:rPr>
        <w:t>到村任职选调生</w:t>
      </w:r>
      <w:r>
        <w:rPr>
          <w:rFonts w:hint="eastAsia" w:eastAsia="方正仿宋_GBK" w:cs="Times New Roman"/>
          <w:sz w:val="33"/>
          <w:szCs w:val="33"/>
          <w:lang w:val="en-US" w:eastAsia="zh-CN"/>
        </w:rPr>
        <w:t>干事创业</w:t>
      </w:r>
      <w:r>
        <w:rPr>
          <w:rFonts w:hint="default" w:ascii="Times New Roman" w:hAnsi="Times New Roman" w:eastAsia="方正仿宋_GBK" w:cs="Times New Roman"/>
          <w:sz w:val="33"/>
          <w:szCs w:val="33"/>
          <w:lang w:val="en-US" w:eastAsia="zh-CN"/>
        </w:rPr>
        <w:t>积极性、个人素质、认知</w:t>
      </w:r>
      <w:r>
        <w:rPr>
          <w:rFonts w:hint="eastAsia" w:eastAsia="方正仿宋_GBK" w:cs="Times New Roman"/>
          <w:sz w:val="33"/>
          <w:szCs w:val="33"/>
          <w:lang w:val="en-US" w:eastAsia="zh-CN"/>
        </w:rPr>
        <w:t>均有提升；</w:t>
      </w:r>
      <w:r>
        <w:rPr>
          <w:rFonts w:hint="default" w:ascii="Times New Roman" w:hAnsi="Times New Roman" w:eastAsia="方正仿宋_GBK" w:cs="Times New Roman"/>
          <w:sz w:val="33"/>
          <w:szCs w:val="33"/>
          <w:lang w:val="en-US" w:eastAsia="zh-CN"/>
        </w:rPr>
        <w:t>其余</w:t>
      </w:r>
      <w:r>
        <w:rPr>
          <w:rFonts w:hint="eastAsia" w:eastAsia="方正仿宋_GBK" w:cs="Times New Roman"/>
          <w:sz w:val="33"/>
          <w:szCs w:val="33"/>
          <w:lang w:val="en-US" w:eastAsia="zh-CN"/>
        </w:rPr>
        <w:t>两</w:t>
      </w:r>
      <w:r>
        <w:rPr>
          <w:rFonts w:hint="default" w:ascii="Times New Roman" w:hAnsi="Times New Roman" w:eastAsia="方正仿宋_GBK" w:cs="Times New Roman"/>
          <w:sz w:val="33"/>
          <w:szCs w:val="33"/>
          <w:lang w:val="en-US" w:eastAsia="zh-CN"/>
        </w:rPr>
        <w:t>个项目（</w:t>
      </w:r>
      <w:r>
        <w:rPr>
          <w:rFonts w:hint="eastAsia" w:eastAsia="方正仿宋_GBK" w:cs="Times New Roman"/>
          <w:sz w:val="33"/>
          <w:szCs w:val="33"/>
          <w:lang w:val="en-US" w:eastAsia="zh-CN"/>
        </w:rPr>
        <w:t>到</w:t>
      </w:r>
      <w:r>
        <w:rPr>
          <w:rFonts w:hint="eastAsia" w:ascii="Times New Roman" w:hAnsi="Times New Roman" w:eastAsia="方正仿宋_GBK" w:cs="Times New Roman"/>
          <w:sz w:val="33"/>
          <w:szCs w:val="33"/>
          <w:lang w:val="en-US" w:eastAsia="zh-CN"/>
        </w:rPr>
        <w:t>村任职选调生开展国情调研工作</w:t>
      </w:r>
      <w:r>
        <w:rPr>
          <w:rFonts w:hint="eastAsia" w:eastAsia="方正仿宋_GBK" w:cs="Times New Roman"/>
          <w:sz w:val="33"/>
          <w:szCs w:val="33"/>
          <w:lang w:val="en-US" w:eastAsia="zh-CN"/>
        </w:rPr>
        <w:t>、</w:t>
      </w:r>
      <w:r>
        <w:rPr>
          <w:rFonts w:hint="eastAsia" w:ascii="Times New Roman" w:hAnsi="Times New Roman" w:eastAsia="方正仿宋_GBK" w:cs="Times New Roman"/>
          <w:sz w:val="33"/>
          <w:szCs w:val="33"/>
          <w:lang w:val="en-US" w:eastAsia="zh-CN"/>
        </w:rPr>
        <w:t>到村任职选调生开展群众服务工作</w:t>
      </w:r>
      <w:r>
        <w:rPr>
          <w:rFonts w:hint="default" w:ascii="Times New Roman" w:hAnsi="Times New Roman" w:eastAsia="方正仿宋_GBK" w:cs="Times New Roman"/>
          <w:sz w:val="33"/>
          <w:szCs w:val="33"/>
          <w:lang w:val="en-US" w:eastAsia="zh-CN"/>
        </w:rPr>
        <w:t>）均有一定比例资金结余，完成部分效果均较好，均无违规记录，成本控制目标的实现程度较完善。</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到村任职选调生经费共68.62万元，其中：</w:t>
      </w:r>
      <w:r>
        <w:rPr>
          <w:rFonts w:ascii="方正仿宋_GBK" w:hAnsi="方正仿宋_GBK" w:eastAsia="方正仿宋_GBK" w:cs="方正仿宋_GBK"/>
          <w:color w:val="000000"/>
          <w:kern w:val="0"/>
          <w:sz w:val="32"/>
          <w:szCs w:val="32"/>
          <w:lang w:val="en-US" w:eastAsia="zh-CN" w:bidi="ar"/>
        </w:rPr>
        <w:t>到村任职选调生一次性安置补贴</w:t>
      </w:r>
      <w:r>
        <w:rPr>
          <w:rFonts w:hint="default" w:ascii="Times New Roman" w:hAnsi="Times New Roman" w:eastAsia="方正仿宋_GBK" w:cs="Times New Roman"/>
          <w:sz w:val="33"/>
          <w:szCs w:val="33"/>
          <w:lang w:val="en-US" w:eastAsia="zh-CN"/>
        </w:rPr>
        <w:t>共</w:t>
      </w:r>
      <w:r>
        <w:rPr>
          <w:rFonts w:hint="eastAsia" w:eastAsia="方正仿宋_GBK" w:cs="Times New Roman"/>
          <w:sz w:val="33"/>
          <w:szCs w:val="33"/>
          <w:lang w:val="en-US" w:eastAsia="zh-CN"/>
        </w:rPr>
        <w:t>12.9</w:t>
      </w:r>
      <w:r>
        <w:rPr>
          <w:rFonts w:hint="default" w:ascii="Times New Roman" w:hAnsi="Times New Roman" w:eastAsia="方正仿宋_GBK" w:cs="Times New Roman"/>
          <w:sz w:val="33"/>
          <w:szCs w:val="33"/>
          <w:lang w:val="en-US" w:eastAsia="zh-CN"/>
        </w:rPr>
        <w:t>万元，2022年年底前完成，共支出12.</w:t>
      </w:r>
      <w:r>
        <w:rPr>
          <w:rFonts w:hint="eastAsia" w:eastAsia="方正仿宋_GBK" w:cs="Times New Roman"/>
          <w:sz w:val="33"/>
          <w:szCs w:val="33"/>
          <w:lang w:val="en-US" w:eastAsia="zh-CN"/>
        </w:rPr>
        <w:t>8</w:t>
      </w:r>
      <w:r>
        <w:rPr>
          <w:rFonts w:hint="default" w:ascii="Times New Roman" w:hAnsi="Times New Roman" w:eastAsia="方正仿宋_GBK" w:cs="Times New Roman"/>
          <w:sz w:val="33"/>
          <w:szCs w:val="33"/>
          <w:lang w:val="en-US" w:eastAsia="zh-CN"/>
        </w:rPr>
        <w:t>万元，结余</w:t>
      </w:r>
      <w:r>
        <w:rPr>
          <w:rFonts w:hint="eastAsia" w:eastAsia="方正仿宋_GBK" w:cs="Times New Roman"/>
          <w:sz w:val="33"/>
          <w:szCs w:val="33"/>
          <w:lang w:val="en-US" w:eastAsia="zh-CN"/>
        </w:rPr>
        <w:t>0.1</w:t>
      </w:r>
      <w:r>
        <w:rPr>
          <w:rFonts w:hint="default" w:ascii="Times New Roman" w:hAnsi="Times New Roman" w:eastAsia="方正仿宋_GBK" w:cs="Times New Roman"/>
          <w:sz w:val="33"/>
          <w:szCs w:val="33"/>
          <w:lang w:val="en-US" w:eastAsia="zh-CN"/>
        </w:rPr>
        <w:t>万元，到村任职选调生均</w:t>
      </w:r>
      <w:r>
        <w:rPr>
          <w:rFonts w:hint="eastAsia" w:eastAsia="方正仿宋_GBK" w:cs="Times New Roman"/>
          <w:sz w:val="33"/>
          <w:szCs w:val="33"/>
          <w:lang w:val="en-US" w:eastAsia="zh-CN"/>
        </w:rPr>
        <w:t>已</w:t>
      </w:r>
      <w:r>
        <w:rPr>
          <w:rFonts w:hint="default" w:ascii="Times New Roman" w:hAnsi="Times New Roman" w:eastAsia="方正仿宋_GBK" w:cs="Times New Roman"/>
          <w:sz w:val="33"/>
          <w:szCs w:val="33"/>
          <w:lang w:val="en-US" w:eastAsia="zh-CN"/>
        </w:rPr>
        <w:t>补贴，无违规记录，完成质量较好；</w:t>
      </w:r>
      <w:r>
        <w:rPr>
          <w:rFonts w:hint="eastAsia" w:ascii="方正仿宋_GBK" w:hAnsi="方正仿宋_GBK" w:eastAsia="方正仿宋_GBK" w:cs="方正仿宋_GBK"/>
          <w:color w:val="000000"/>
          <w:kern w:val="0"/>
          <w:sz w:val="32"/>
          <w:szCs w:val="32"/>
          <w:lang w:val="en-US" w:eastAsia="zh-CN" w:bidi="ar"/>
        </w:rPr>
        <w:t>到村任</w:t>
      </w:r>
      <w:r>
        <w:rPr>
          <w:rFonts w:hint="eastAsia" w:ascii="Times New Roman" w:hAnsi="Times New Roman" w:eastAsia="方正仿宋_GBK" w:cs="Times New Roman"/>
          <w:sz w:val="33"/>
          <w:szCs w:val="33"/>
          <w:lang w:val="en-US" w:eastAsia="zh-CN"/>
        </w:rPr>
        <w:t>职选调生开展教育培训经费</w:t>
      </w:r>
      <w:r>
        <w:rPr>
          <w:rFonts w:hint="default" w:ascii="Times New Roman" w:hAnsi="Times New Roman" w:eastAsia="方正仿宋_GBK" w:cs="Times New Roman"/>
          <w:sz w:val="33"/>
          <w:szCs w:val="33"/>
          <w:lang w:val="en-US" w:eastAsia="zh-CN"/>
        </w:rPr>
        <w:t>共11.4万元，支出13.62万元，</w:t>
      </w:r>
      <w:r>
        <w:rPr>
          <w:rFonts w:hint="eastAsia" w:eastAsia="方正仿宋_GBK" w:cs="Times New Roman"/>
          <w:sz w:val="33"/>
          <w:szCs w:val="33"/>
          <w:lang w:val="en-US" w:eastAsia="zh-CN"/>
        </w:rPr>
        <w:t>超额2.22万元</w:t>
      </w:r>
      <w:r>
        <w:rPr>
          <w:rFonts w:hint="default" w:ascii="Times New Roman" w:hAnsi="Times New Roman" w:eastAsia="方正仿宋_GBK" w:cs="Times New Roman"/>
          <w:sz w:val="33"/>
          <w:szCs w:val="33"/>
          <w:lang w:val="en-US" w:eastAsia="zh-CN"/>
        </w:rPr>
        <w:t>，无违规记录，</w:t>
      </w:r>
      <w:r>
        <w:rPr>
          <w:rFonts w:hint="eastAsia" w:eastAsia="方正仿宋_GBK" w:cs="Times New Roman"/>
          <w:sz w:val="33"/>
          <w:szCs w:val="33"/>
          <w:lang w:val="en-US" w:eastAsia="zh-CN"/>
        </w:rPr>
        <w:t>培训效果较好</w:t>
      </w:r>
      <w:r>
        <w:rPr>
          <w:rFonts w:hint="default" w:ascii="Times New Roman" w:hAnsi="Times New Roman" w:eastAsia="方正仿宋_GBK" w:cs="Times New Roman"/>
          <w:sz w:val="33"/>
          <w:szCs w:val="33"/>
          <w:lang w:val="en-US" w:eastAsia="zh-CN"/>
        </w:rPr>
        <w:t>；</w:t>
      </w:r>
      <w:r>
        <w:rPr>
          <w:rFonts w:hint="eastAsia" w:eastAsia="方正仿宋_GBK" w:cs="Times New Roman"/>
          <w:sz w:val="33"/>
          <w:szCs w:val="33"/>
          <w:lang w:val="en-US" w:eastAsia="zh-CN"/>
        </w:rPr>
        <w:t>到</w:t>
      </w:r>
      <w:r>
        <w:rPr>
          <w:rFonts w:hint="eastAsia" w:ascii="Times New Roman" w:hAnsi="Times New Roman" w:eastAsia="方正仿宋_GBK" w:cs="Times New Roman"/>
          <w:sz w:val="33"/>
          <w:szCs w:val="33"/>
          <w:lang w:val="en-US" w:eastAsia="zh-CN"/>
        </w:rPr>
        <w:t>村任职选调生开展国情调研工作</w:t>
      </w:r>
      <w:r>
        <w:rPr>
          <w:rFonts w:hint="default" w:ascii="Times New Roman" w:hAnsi="Times New Roman" w:eastAsia="方正仿宋_GBK" w:cs="Times New Roman"/>
          <w:sz w:val="33"/>
          <w:szCs w:val="33"/>
          <w:lang w:val="en-US" w:eastAsia="zh-CN"/>
        </w:rPr>
        <w:t>经费共30.4万元，支出5.3万元，结余</w:t>
      </w:r>
      <w:r>
        <w:rPr>
          <w:rFonts w:hint="eastAsia" w:eastAsia="方正仿宋_GBK" w:cs="Times New Roman"/>
          <w:sz w:val="33"/>
          <w:szCs w:val="33"/>
          <w:lang w:val="en-US" w:eastAsia="zh-CN"/>
        </w:rPr>
        <w:t>25.1</w:t>
      </w:r>
      <w:r>
        <w:rPr>
          <w:rFonts w:hint="default" w:ascii="Times New Roman" w:hAnsi="Times New Roman" w:eastAsia="方正仿宋_GBK" w:cs="Times New Roman"/>
          <w:sz w:val="33"/>
          <w:szCs w:val="33"/>
          <w:lang w:val="en-US" w:eastAsia="zh-CN"/>
        </w:rPr>
        <w:t>万元，无违规记录，因疫情影响，部分项目并未开展；到村任职选调生开展群众服务工作经费共13.92万元，支出7.97万元，结余</w:t>
      </w:r>
      <w:r>
        <w:rPr>
          <w:rFonts w:hint="eastAsia" w:eastAsia="方正仿宋_GBK" w:cs="Times New Roman"/>
          <w:sz w:val="33"/>
          <w:szCs w:val="33"/>
          <w:lang w:val="en-US" w:eastAsia="zh-CN"/>
        </w:rPr>
        <w:t>5.59</w:t>
      </w:r>
      <w:r>
        <w:rPr>
          <w:rFonts w:hint="default" w:ascii="Times New Roman" w:hAnsi="Times New Roman" w:eastAsia="方正仿宋_GBK" w:cs="Times New Roman"/>
          <w:sz w:val="33"/>
          <w:szCs w:val="33"/>
          <w:lang w:val="en-US" w:eastAsia="zh-CN"/>
        </w:rPr>
        <w:t>万元，无违规记录，因疫情影响，部分项目并未开展；资金共支出39.69万元，结余28.93万元。</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292" w:name="_Toc16001_WPSOffice_Level2"/>
      <w:bookmarkStart w:id="293" w:name="_Toc532_WPSOffice_Level2"/>
      <w:bookmarkStart w:id="294" w:name="_Toc1485_WPSOffice_Level2"/>
      <w:bookmarkStart w:id="295" w:name="_Toc6112_WPSOffice_Level2"/>
      <w:r>
        <w:rPr>
          <w:rFonts w:hint="default" w:ascii="Times New Roman" w:hAnsi="Times New Roman" w:eastAsia="方正楷体_GBK" w:cs="Times New Roman"/>
          <w:b/>
          <w:bCs/>
          <w:sz w:val="33"/>
          <w:szCs w:val="33"/>
        </w:rPr>
        <w:t>（二）项目效益情况。</w:t>
      </w:r>
      <w:bookmarkEnd w:id="292"/>
      <w:bookmarkEnd w:id="293"/>
      <w:bookmarkEnd w:id="294"/>
      <w:bookmarkEnd w:id="295"/>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以“提升盐边县到村任职选调生积极性、个人素质、认知认识”为标准，社会效益中，全面提高选调生干事创业积极性，推动到村任职选调生积极性</w:t>
      </w:r>
      <w:r>
        <w:rPr>
          <w:rFonts w:hint="eastAsia" w:eastAsia="方正仿宋_GBK" w:cs="Times New Roman"/>
          <w:sz w:val="33"/>
          <w:szCs w:val="33"/>
          <w:lang w:val="en-US" w:eastAsia="zh-CN"/>
        </w:rPr>
        <w:t>，</w:t>
      </w:r>
      <w:r>
        <w:rPr>
          <w:rFonts w:hint="default" w:ascii="Times New Roman" w:hAnsi="Times New Roman" w:eastAsia="方正仿宋_GBK" w:cs="Times New Roman"/>
          <w:sz w:val="33"/>
          <w:szCs w:val="33"/>
          <w:lang w:val="en-US" w:eastAsia="zh-CN"/>
        </w:rPr>
        <w:t>提高到村任职选调生对“钒钛首县，滋味盐边”的认识，理解盐边的发展定位，为所在的乡（镇）、村</w:t>
      </w:r>
      <w:r>
        <w:rPr>
          <w:rFonts w:hint="eastAsia" w:eastAsia="方正仿宋_GBK" w:cs="Times New Roman"/>
          <w:sz w:val="33"/>
          <w:szCs w:val="33"/>
          <w:lang w:val="en-US" w:eastAsia="zh-CN"/>
        </w:rPr>
        <w:t>作出贡献</w:t>
      </w:r>
      <w:r>
        <w:rPr>
          <w:rFonts w:hint="default" w:ascii="Times New Roman" w:hAnsi="Times New Roman" w:eastAsia="方正仿宋_GBK" w:cs="Times New Roman"/>
          <w:sz w:val="33"/>
          <w:szCs w:val="33"/>
          <w:lang w:val="en-US" w:eastAsia="zh-CN"/>
        </w:rPr>
        <w:t>；可持续影响指标中，提升到村任职选调生个人综合素质，通过培训、调研等活动项目提升到村任职选调生的认知和知识技能；在服务对象满意度中，到村任职选调生的满意度达到95%以上，对活动项目的评价较高。</w:t>
      </w:r>
    </w:p>
    <w:p>
      <w:pPr>
        <w:keepNext w:val="0"/>
        <w:keepLines w:val="0"/>
        <w:pageBreakBefore w:val="0"/>
        <w:kinsoku/>
        <w:wordWrap/>
        <w:overflowPunct/>
        <w:topLinePunct w:val="0"/>
        <w:autoSpaceDE/>
        <w:autoSpaceDN/>
        <w:bidi w:val="0"/>
        <w:adjustRightInd/>
        <w:snapToGrid/>
        <w:spacing w:line="240" w:lineRule="auto"/>
        <w:ind w:firstLine="660" w:firstLineChars="200"/>
        <w:jc w:val="both"/>
        <w:textAlignment w:val="auto"/>
        <w:outlineLvl w:val="3"/>
        <w:rPr>
          <w:rFonts w:hint="default" w:ascii="Times New Roman" w:hAnsi="Times New Roman" w:eastAsia="黑体" w:cs="Times New Roman"/>
          <w:sz w:val="33"/>
          <w:szCs w:val="33"/>
        </w:rPr>
      </w:pPr>
      <w:bookmarkStart w:id="296" w:name="_Toc25944_WPSOffice_Level1"/>
      <w:bookmarkStart w:id="297" w:name="_Toc10455_WPSOffice_Level1"/>
      <w:bookmarkStart w:id="298" w:name="_Toc17038_WPSOffice_Level1"/>
      <w:bookmarkStart w:id="299" w:name="_Toc8504_WPSOffice_Level1"/>
      <w:r>
        <w:rPr>
          <w:rFonts w:hint="default" w:ascii="Times New Roman" w:hAnsi="Times New Roman" w:eastAsia="黑体" w:cs="Times New Roman"/>
          <w:sz w:val="33"/>
          <w:szCs w:val="33"/>
        </w:rPr>
        <w:t>五、评价结论及建议</w:t>
      </w:r>
      <w:bookmarkEnd w:id="296"/>
      <w:bookmarkEnd w:id="297"/>
      <w:bookmarkEnd w:id="298"/>
      <w:bookmarkEnd w:id="299"/>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300" w:name="_Toc15531_WPSOffice_Level2"/>
      <w:bookmarkStart w:id="301" w:name="_Toc6029_WPSOffice_Level2"/>
      <w:bookmarkStart w:id="302" w:name="_Toc2565_WPSOffice_Level2"/>
      <w:bookmarkStart w:id="303" w:name="_Toc6556_WPSOffice_Level2"/>
      <w:r>
        <w:rPr>
          <w:rFonts w:hint="default" w:ascii="Times New Roman" w:hAnsi="Times New Roman" w:eastAsia="方正楷体_GBK" w:cs="Times New Roman"/>
          <w:b/>
          <w:bCs/>
          <w:sz w:val="33"/>
          <w:szCs w:val="33"/>
        </w:rPr>
        <w:t>（一）评价结论。</w:t>
      </w:r>
      <w:bookmarkEnd w:id="300"/>
      <w:bookmarkEnd w:id="301"/>
      <w:bookmarkEnd w:id="302"/>
      <w:bookmarkEnd w:id="303"/>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到村任职选调生项目针对对象单一，到村任职选调生较为年轻，项目活动较为创新。到村任职选调生管理统一遵循《攀枝花市到村任职选调生管理办法（试行）》（攀组通〔2022〕129号）相关要求管理，到村任职选调生资金统一遵从《攀枝花市选调生到村任职工作专项资金管理细则（试行）》（攀财行政〔2022〕5号）有关规定支付资金。在社会效益、可持续影响指标中，均对到村任职选调生产生积极影响，全面提高选调生干事创业积极性，提升到村任职选调生个人综合素质，强化了到村任职选调生的认知；到村任职选调生的满意度达到95%以上，对活动项目的评价较高。</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304" w:name="_Toc18718_WPSOffice_Level2"/>
      <w:bookmarkStart w:id="305" w:name="_Toc29821_WPSOffice_Level2"/>
      <w:bookmarkStart w:id="306" w:name="_Toc19092_WPSOffice_Level2"/>
      <w:bookmarkStart w:id="307" w:name="_Toc28596_WPSOffice_Level2"/>
      <w:r>
        <w:rPr>
          <w:rFonts w:hint="default" w:ascii="Times New Roman" w:hAnsi="Times New Roman" w:eastAsia="方正楷体_GBK" w:cs="Times New Roman"/>
          <w:b/>
          <w:bCs/>
          <w:sz w:val="33"/>
          <w:szCs w:val="33"/>
        </w:rPr>
        <w:t>（二）存在的问题。</w:t>
      </w:r>
      <w:bookmarkEnd w:id="304"/>
      <w:bookmarkEnd w:id="305"/>
      <w:bookmarkEnd w:id="306"/>
      <w:bookmarkEnd w:id="307"/>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资金结余较多，因防疫要求未开展部分计划内大型活动。</w:t>
      </w:r>
    </w:p>
    <w:p>
      <w:pPr>
        <w:keepNext w:val="0"/>
        <w:keepLines w:val="0"/>
        <w:pageBreakBefore w:val="0"/>
        <w:kinsoku/>
        <w:wordWrap/>
        <w:overflowPunct/>
        <w:topLinePunct w:val="0"/>
        <w:autoSpaceDE/>
        <w:autoSpaceDN/>
        <w:bidi w:val="0"/>
        <w:adjustRightInd/>
        <w:snapToGrid/>
        <w:spacing w:line="240" w:lineRule="auto"/>
        <w:ind w:firstLine="663" w:firstLineChars="200"/>
        <w:jc w:val="both"/>
        <w:textAlignment w:val="auto"/>
        <w:outlineLvl w:val="2"/>
        <w:rPr>
          <w:rFonts w:hint="default" w:ascii="Times New Roman" w:hAnsi="Times New Roman" w:eastAsia="方正楷体_GBK" w:cs="Times New Roman"/>
          <w:b/>
          <w:bCs/>
          <w:sz w:val="33"/>
          <w:szCs w:val="33"/>
        </w:rPr>
      </w:pPr>
      <w:bookmarkStart w:id="308" w:name="_Toc31438_WPSOffice_Level2"/>
      <w:bookmarkStart w:id="309" w:name="_Toc1270_WPSOffice_Level2"/>
      <w:bookmarkStart w:id="310" w:name="_Toc31745_WPSOffice_Level2"/>
      <w:bookmarkStart w:id="311" w:name="_Toc4498_WPSOffice_Level2"/>
      <w:r>
        <w:rPr>
          <w:rFonts w:hint="default" w:ascii="Times New Roman" w:hAnsi="Times New Roman" w:eastAsia="方正楷体_GBK" w:cs="Times New Roman"/>
          <w:b/>
          <w:bCs/>
          <w:sz w:val="33"/>
          <w:szCs w:val="33"/>
        </w:rPr>
        <w:t>（三）相关建议。</w:t>
      </w:r>
      <w:bookmarkEnd w:id="308"/>
      <w:bookmarkEnd w:id="309"/>
      <w:bookmarkEnd w:id="310"/>
      <w:bookmarkEnd w:id="311"/>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根据结余资金，在下一年中有序有计划</w:t>
      </w:r>
      <w:r>
        <w:rPr>
          <w:rFonts w:hint="eastAsia" w:eastAsia="方正仿宋_GBK" w:cs="Times New Roman"/>
          <w:sz w:val="33"/>
          <w:szCs w:val="33"/>
          <w:lang w:val="en-US" w:eastAsia="zh-CN"/>
        </w:rPr>
        <w:t>地</w:t>
      </w:r>
      <w:r>
        <w:rPr>
          <w:rFonts w:hint="default" w:ascii="Times New Roman" w:hAnsi="Times New Roman" w:eastAsia="方正仿宋_GBK" w:cs="Times New Roman"/>
          <w:sz w:val="33"/>
          <w:szCs w:val="33"/>
          <w:lang w:val="en-US" w:eastAsia="zh-CN"/>
        </w:rPr>
        <w:t>开展各项活动。</w:t>
      </w: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ascii="黑体" w:hAnsi="黑体" w:eastAsia="黑体"/>
          <w:sz w:val="44"/>
          <w:szCs w:val="44"/>
        </w:rPr>
      </w:pP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ascii="黑体" w:hAnsi="黑体" w:eastAsia="黑体"/>
          <w:sz w:val="44"/>
          <w:szCs w:val="44"/>
        </w:rPr>
      </w:pPr>
    </w:p>
    <w:p>
      <w:pPr>
        <w:keepNext w:val="0"/>
        <w:keepLines w:val="0"/>
        <w:pageBreakBefore w:val="0"/>
        <w:kinsoku/>
        <w:wordWrap/>
        <w:overflowPunct/>
        <w:topLinePunct w:val="0"/>
        <w:bidi w:val="0"/>
        <w:spacing w:line="240" w:lineRule="auto"/>
        <w:ind w:firstLine="880" w:firstLineChars="200"/>
        <w:jc w:val="both"/>
        <w:textAlignment w:val="auto"/>
        <w:outlineLvl w:val="9"/>
        <w:rPr>
          <w:rFonts w:hint="eastAsia" w:ascii="黑体" w:hAnsi="黑体" w:eastAsia="黑体"/>
          <w:sz w:val="44"/>
          <w:szCs w:val="44"/>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ascii="黑体" w:hAnsi="黑体" w:eastAsia="黑体"/>
          <w:sz w:val="44"/>
          <w:szCs w:val="44"/>
        </w:rPr>
      </w:pPr>
    </w:p>
    <w:p>
      <w:pPr>
        <w:pStyle w:val="2"/>
        <w:keepNext w:val="0"/>
        <w:keepLines w:val="0"/>
        <w:pageBreakBefore w:val="0"/>
        <w:kinsoku/>
        <w:wordWrap/>
        <w:overflowPunct/>
        <w:topLinePunct w:val="0"/>
        <w:bidi w:val="0"/>
        <w:spacing w:line="240" w:lineRule="auto"/>
        <w:ind w:firstLine="880" w:firstLineChars="200"/>
        <w:jc w:val="both"/>
        <w:textAlignment w:val="auto"/>
        <w:outlineLvl w:val="9"/>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Style w:val="2"/>
        <w:pageBreakBefore w:val="0"/>
        <w:kinsoku/>
        <w:wordWrap/>
        <w:overflowPunct/>
        <w:topLinePunct w:val="0"/>
        <w:bidi w:val="0"/>
        <w:spacing w:line="240" w:lineRule="auto"/>
        <w:textAlignment w:val="auto"/>
        <w:rPr>
          <w:rFonts w:hint="eastAsia" w:ascii="黑体" w:hAnsi="黑体" w:eastAsia="黑体"/>
          <w:sz w:val="44"/>
          <w:szCs w:val="44"/>
        </w:rPr>
      </w:pPr>
    </w:p>
    <w:p>
      <w:pPr>
        <w:pageBreakBefore w:val="0"/>
        <w:kinsoku/>
        <w:wordWrap/>
        <w:overflowPunct/>
        <w:topLinePunct w:val="0"/>
        <w:bidi w:val="0"/>
        <w:spacing w:line="240" w:lineRule="auto"/>
        <w:jc w:val="center"/>
        <w:textAlignment w:val="auto"/>
        <w:outlineLvl w:val="0"/>
        <w:rPr>
          <w:rFonts w:ascii="仿宋" w:hAnsi="仿宋" w:eastAsia="仿宋"/>
        </w:rPr>
      </w:pPr>
      <w:bookmarkStart w:id="312" w:name="_Toc24839"/>
      <w:r>
        <w:rPr>
          <w:rFonts w:hint="eastAsia" w:ascii="黑体" w:hAnsi="黑体" w:eastAsia="黑体"/>
          <w:sz w:val="44"/>
          <w:szCs w:val="44"/>
        </w:rPr>
        <w:t>第</w:t>
      </w:r>
      <w:r>
        <w:rPr>
          <w:rStyle w:val="29"/>
          <w:rFonts w:hint="eastAsia" w:ascii="黑体" w:hAnsi="黑体" w:eastAsia="黑体"/>
          <w:b w:val="0"/>
        </w:rPr>
        <w:t>五部分 附表</w:t>
      </w:r>
      <w:bookmarkEnd w:id="69"/>
      <w:bookmarkEnd w:id="157"/>
      <w:bookmarkEnd w:id="312"/>
      <w:bookmarkStart w:id="313" w:name="_Toc15396619"/>
    </w:p>
    <w:p>
      <w:pPr>
        <w:pStyle w:val="4"/>
        <w:pageBreakBefore w:val="0"/>
        <w:kinsoku/>
        <w:wordWrap/>
        <w:overflowPunct/>
        <w:topLinePunct w:val="0"/>
        <w:bidi w:val="0"/>
        <w:spacing w:line="240" w:lineRule="auto"/>
        <w:textAlignment w:val="auto"/>
        <w:rPr>
          <w:rStyle w:val="30"/>
          <w:rFonts w:hint="eastAsia" w:ascii="仿宋" w:hAnsi="仿宋" w:eastAsia="仿宋"/>
          <w:b w:val="0"/>
          <w:bCs w:val="0"/>
        </w:rPr>
      </w:pPr>
      <w:bookmarkStart w:id="314" w:name="_Toc29855"/>
      <w:r>
        <w:rPr>
          <w:rFonts w:hint="eastAsia" w:ascii="仿宋" w:hAnsi="仿宋" w:eastAsia="仿宋"/>
          <w:b w:val="0"/>
        </w:rPr>
        <w:t>一、收</w:t>
      </w:r>
      <w:r>
        <w:rPr>
          <w:rStyle w:val="30"/>
          <w:rFonts w:hint="eastAsia" w:ascii="仿宋" w:hAnsi="仿宋" w:eastAsia="仿宋"/>
          <w:b w:val="0"/>
          <w:bCs w:val="0"/>
        </w:rPr>
        <w:t>入支出决算总表</w:t>
      </w:r>
      <w:bookmarkEnd w:id="313"/>
      <w:bookmarkEnd w:id="314"/>
    </w:p>
    <w:p>
      <w:pPr>
        <w:pageBreakBefore w:val="0"/>
        <w:kinsoku/>
        <w:wordWrap/>
        <w:overflowPunct/>
        <w:topLinePunct w:val="0"/>
        <w:bidi w:val="0"/>
        <w:spacing w:line="240" w:lineRule="auto"/>
        <w:textAlignment w:val="auto"/>
      </w:pPr>
      <w:r>
        <w:drawing>
          <wp:inline distT="0" distB="0" distL="114300" distR="114300">
            <wp:extent cx="5267960" cy="4381500"/>
            <wp:effectExtent l="0" t="0" r="889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3"/>
                    <a:stretch>
                      <a:fillRect/>
                    </a:stretch>
                  </pic:blipFill>
                  <pic:spPr>
                    <a:xfrm>
                      <a:off x="0" y="0"/>
                      <a:ext cx="5267960" cy="4381500"/>
                    </a:xfrm>
                    <a:prstGeom prst="rect">
                      <a:avLst/>
                    </a:prstGeom>
                    <a:noFill/>
                    <a:ln>
                      <a:noFill/>
                    </a:ln>
                  </pic:spPr>
                </pic:pic>
              </a:graphicData>
            </a:graphic>
          </wp:inline>
        </w:drawing>
      </w:r>
    </w:p>
    <w:p>
      <w:pPr>
        <w:pStyle w:val="4"/>
        <w:pageBreakBefore w:val="0"/>
        <w:numPr>
          <w:ilvl w:val="0"/>
          <w:numId w:val="1"/>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15" w:name="_Toc15396620"/>
      <w:bookmarkStart w:id="316" w:name="_Toc18177"/>
      <w:r>
        <w:rPr>
          <w:rFonts w:hint="eastAsia" w:ascii="仿宋" w:hAnsi="仿宋" w:eastAsia="仿宋"/>
          <w:b w:val="0"/>
        </w:rPr>
        <w:t>收</w:t>
      </w:r>
      <w:r>
        <w:rPr>
          <w:rStyle w:val="30"/>
          <w:rFonts w:hint="eastAsia" w:ascii="仿宋" w:hAnsi="仿宋" w:eastAsia="仿宋"/>
          <w:b w:val="0"/>
          <w:bCs w:val="0"/>
        </w:rPr>
        <w:t>入决算表</w:t>
      </w:r>
      <w:bookmarkEnd w:id="315"/>
      <w:bookmarkEnd w:id="316"/>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66690" cy="2978150"/>
            <wp:effectExtent l="0" t="0" r="10160" b="1270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a:stretch>
                      <a:fillRect/>
                    </a:stretch>
                  </pic:blipFill>
                  <pic:spPr>
                    <a:xfrm>
                      <a:off x="0" y="0"/>
                      <a:ext cx="5266690" cy="2978150"/>
                    </a:xfrm>
                    <a:prstGeom prst="rect">
                      <a:avLst/>
                    </a:prstGeom>
                    <a:noFill/>
                    <a:ln>
                      <a:noFill/>
                    </a:ln>
                  </pic:spPr>
                </pic:pic>
              </a:graphicData>
            </a:graphic>
          </wp:inline>
        </w:drawing>
      </w:r>
    </w:p>
    <w:p>
      <w:pPr>
        <w:pStyle w:val="4"/>
        <w:pageBreakBefore w:val="0"/>
        <w:numPr>
          <w:ilvl w:val="0"/>
          <w:numId w:val="1"/>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17" w:name="_Toc15396621"/>
      <w:bookmarkStart w:id="318" w:name="_Toc7882"/>
      <w:r>
        <w:rPr>
          <w:rFonts w:hint="eastAsia" w:ascii="仿宋" w:hAnsi="仿宋" w:eastAsia="仿宋"/>
          <w:b w:val="0"/>
        </w:rPr>
        <w:t>支</w:t>
      </w:r>
      <w:r>
        <w:rPr>
          <w:rStyle w:val="30"/>
          <w:rFonts w:hint="eastAsia" w:ascii="仿宋" w:hAnsi="仿宋" w:eastAsia="仿宋"/>
          <w:b w:val="0"/>
          <w:bCs w:val="0"/>
        </w:rPr>
        <w:t>出决算表</w:t>
      </w:r>
      <w:bookmarkEnd w:id="317"/>
      <w:bookmarkEnd w:id="318"/>
    </w:p>
    <w:p>
      <w:pPr>
        <w:pageBreakBefore w:val="0"/>
        <w:kinsoku/>
        <w:wordWrap/>
        <w:overflowPunct/>
        <w:topLinePunct w:val="0"/>
        <w:bidi w:val="0"/>
        <w:spacing w:line="240" w:lineRule="auto"/>
        <w:textAlignment w:val="auto"/>
        <w:rPr>
          <w:rFonts w:hint="eastAsia"/>
        </w:rPr>
      </w:pPr>
      <w:r>
        <w:drawing>
          <wp:inline distT="0" distB="0" distL="114300" distR="114300">
            <wp:extent cx="5265420" cy="3317875"/>
            <wp:effectExtent l="0" t="0" r="11430" b="1587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5"/>
                    <a:stretch>
                      <a:fillRect/>
                    </a:stretch>
                  </pic:blipFill>
                  <pic:spPr>
                    <a:xfrm>
                      <a:off x="0" y="0"/>
                      <a:ext cx="5265420" cy="3317875"/>
                    </a:xfrm>
                    <a:prstGeom prst="rect">
                      <a:avLst/>
                    </a:prstGeom>
                    <a:noFill/>
                    <a:ln>
                      <a:noFill/>
                    </a:ln>
                  </pic:spPr>
                </pic:pic>
              </a:graphicData>
            </a:graphic>
          </wp:inline>
        </w:drawing>
      </w:r>
    </w:p>
    <w:p>
      <w:pPr>
        <w:pStyle w:val="4"/>
        <w:pageBreakBefore w:val="0"/>
        <w:kinsoku/>
        <w:wordWrap/>
        <w:overflowPunct/>
        <w:topLinePunct w:val="0"/>
        <w:bidi w:val="0"/>
        <w:spacing w:line="240" w:lineRule="auto"/>
        <w:textAlignment w:val="auto"/>
        <w:rPr>
          <w:rStyle w:val="30"/>
          <w:rFonts w:hint="eastAsia" w:ascii="仿宋" w:hAnsi="仿宋" w:eastAsia="仿宋"/>
          <w:b w:val="0"/>
          <w:bCs w:val="0"/>
        </w:rPr>
      </w:pPr>
      <w:bookmarkStart w:id="319" w:name="_Toc1873"/>
      <w:bookmarkStart w:id="320" w:name="_Toc15396622"/>
      <w:r>
        <w:rPr>
          <w:rStyle w:val="30"/>
          <w:rFonts w:hint="eastAsia" w:ascii="仿宋" w:hAnsi="仿宋" w:eastAsia="仿宋"/>
          <w:b w:val="0"/>
          <w:bCs w:val="0"/>
        </w:rPr>
        <w:t>四、</w:t>
      </w:r>
      <w:r>
        <w:rPr>
          <w:rFonts w:hint="eastAsia" w:ascii="仿宋" w:hAnsi="仿宋" w:eastAsia="仿宋"/>
          <w:b w:val="0"/>
        </w:rPr>
        <w:t>财</w:t>
      </w:r>
      <w:r>
        <w:rPr>
          <w:rStyle w:val="30"/>
          <w:rFonts w:hint="eastAsia" w:ascii="仿宋" w:hAnsi="仿宋" w:eastAsia="仿宋"/>
          <w:b w:val="0"/>
          <w:bCs w:val="0"/>
        </w:rPr>
        <w:t>政拨款收入支出决算总表</w:t>
      </w:r>
      <w:bookmarkEnd w:id="319"/>
      <w:bookmarkEnd w:id="320"/>
    </w:p>
    <w:p>
      <w:pPr>
        <w:pageBreakBefore w:val="0"/>
        <w:kinsoku/>
        <w:wordWrap/>
        <w:overflowPunct/>
        <w:topLinePunct w:val="0"/>
        <w:bidi w:val="0"/>
        <w:spacing w:line="240" w:lineRule="auto"/>
        <w:textAlignment w:val="auto"/>
      </w:pPr>
      <w:r>
        <w:drawing>
          <wp:inline distT="0" distB="0" distL="114300" distR="114300">
            <wp:extent cx="5272405" cy="3910330"/>
            <wp:effectExtent l="0" t="0" r="4445" b="1397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6"/>
                    <a:stretch>
                      <a:fillRect/>
                    </a:stretch>
                  </pic:blipFill>
                  <pic:spPr>
                    <a:xfrm>
                      <a:off x="0" y="0"/>
                      <a:ext cx="5272405" cy="3910330"/>
                    </a:xfrm>
                    <a:prstGeom prst="rect">
                      <a:avLst/>
                    </a:prstGeom>
                    <a:noFill/>
                    <a:ln>
                      <a:noFill/>
                    </a:ln>
                  </pic:spPr>
                </pic:pic>
              </a:graphicData>
            </a:graphic>
          </wp:inline>
        </w:drawing>
      </w:r>
    </w:p>
    <w:p>
      <w:pPr>
        <w:pStyle w:val="4"/>
        <w:pageBreakBefore w:val="0"/>
        <w:numPr>
          <w:ilvl w:val="0"/>
          <w:numId w:val="0"/>
        </w:numPr>
        <w:kinsoku/>
        <w:wordWrap/>
        <w:overflowPunct/>
        <w:topLinePunct w:val="0"/>
        <w:bidi w:val="0"/>
        <w:spacing w:line="240" w:lineRule="auto"/>
        <w:ind w:leftChars="0"/>
        <w:textAlignment w:val="auto"/>
        <w:rPr>
          <w:rStyle w:val="30"/>
          <w:rFonts w:hint="eastAsia" w:ascii="仿宋" w:hAnsi="仿宋" w:eastAsia="仿宋"/>
          <w:b w:val="0"/>
          <w:bCs w:val="0"/>
        </w:rPr>
      </w:pPr>
      <w:bookmarkStart w:id="321" w:name="_Toc10245"/>
      <w:bookmarkStart w:id="322" w:name="_Toc15396623"/>
      <w:r>
        <w:rPr>
          <w:rFonts w:hint="eastAsia" w:ascii="仿宋" w:hAnsi="仿宋" w:eastAsia="仿宋"/>
          <w:b w:val="0"/>
          <w:lang w:eastAsia="zh-CN"/>
        </w:rPr>
        <w:t>五、</w:t>
      </w:r>
      <w:r>
        <w:rPr>
          <w:rFonts w:hint="eastAsia" w:ascii="仿宋" w:hAnsi="仿宋" w:eastAsia="仿宋"/>
          <w:b w:val="0"/>
        </w:rPr>
        <w:t>财</w:t>
      </w:r>
      <w:r>
        <w:rPr>
          <w:rStyle w:val="30"/>
          <w:rFonts w:hint="eastAsia" w:ascii="仿宋" w:hAnsi="仿宋" w:eastAsia="仿宋"/>
          <w:b w:val="0"/>
          <w:bCs w:val="0"/>
        </w:rPr>
        <w:t>政拨款支出决算明细表</w:t>
      </w:r>
      <w:bookmarkEnd w:id="321"/>
      <w:bookmarkEnd w:id="322"/>
      <w:bookmarkStart w:id="323" w:name="_Toc15396624"/>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65420" cy="7190105"/>
            <wp:effectExtent l="0" t="0" r="11430" b="10795"/>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7"/>
                    <a:stretch>
                      <a:fillRect/>
                    </a:stretch>
                  </pic:blipFill>
                  <pic:spPr>
                    <a:xfrm>
                      <a:off x="0" y="0"/>
                      <a:ext cx="5265420" cy="7190105"/>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textAlignment w:val="auto"/>
        <w:rPr>
          <w:rStyle w:val="30"/>
          <w:rFonts w:hint="eastAsia" w:ascii="仿宋" w:hAnsi="仿宋" w:eastAsia="仿宋"/>
          <w:b w:val="0"/>
          <w:bCs w:val="0"/>
        </w:rPr>
      </w:pPr>
      <w:bookmarkStart w:id="324" w:name="_Toc31033"/>
      <w:r>
        <w:rPr>
          <w:rFonts w:hint="eastAsia" w:ascii="仿宋" w:hAnsi="仿宋" w:eastAsia="仿宋"/>
          <w:b w:val="0"/>
        </w:rPr>
        <w:t>一</w:t>
      </w:r>
      <w:r>
        <w:rPr>
          <w:rStyle w:val="30"/>
          <w:rFonts w:hint="eastAsia" w:ascii="仿宋" w:hAnsi="仿宋" w:eastAsia="仿宋"/>
          <w:b w:val="0"/>
          <w:bCs w:val="0"/>
        </w:rPr>
        <w:t>般公共预算财政拨款支出决算表</w:t>
      </w:r>
      <w:bookmarkEnd w:id="323"/>
      <w:bookmarkEnd w:id="324"/>
    </w:p>
    <w:p>
      <w:pPr>
        <w:pageBreakBefore w:val="0"/>
        <w:numPr>
          <w:ilvl w:val="0"/>
          <w:numId w:val="0"/>
        </w:numPr>
        <w:kinsoku/>
        <w:wordWrap/>
        <w:overflowPunct/>
        <w:topLinePunct w:val="0"/>
        <w:bidi w:val="0"/>
        <w:spacing w:line="240" w:lineRule="auto"/>
        <w:textAlignment w:val="auto"/>
      </w:pPr>
      <w:r>
        <w:drawing>
          <wp:inline distT="0" distB="0" distL="114300" distR="114300">
            <wp:extent cx="5267960" cy="4456430"/>
            <wp:effectExtent l="0" t="0" r="8890" b="127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8"/>
                    <a:stretch>
                      <a:fillRect/>
                    </a:stretch>
                  </pic:blipFill>
                  <pic:spPr>
                    <a:xfrm>
                      <a:off x="0" y="0"/>
                      <a:ext cx="5267960" cy="4456430"/>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25" w:name="_Toc25887"/>
      <w:bookmarkStart w:id="326" w:name="_Toc15396625"/>
      <w:r>
        <w:rPr>
          <w:rFonts w:hint="eastAsia" w:ascii="仿宋" w:hAnsi="仿宋" w:eastAsia="仿宋"/>
          <w:b w:val="0"/>
        </w:rPr>
        <w:t>一</w:t>
      </w:r>
      <w:r>
        <w:rPr>
          <w:rStyle w:val="30"/>
          <w:rFonts w:hint="eastAsia" w:ascii="仿宋" w:hAnsi="仿宋" w:eastAsia="仿宋"/>
          <w:b w:val="0"/>
          <w:bCs w:val="0"/>
        </w:rPr>
        <w:t>般公共预算财政拨款支出决算明细表</w:t>
      </w:r>
      <w:bookmarkEnd w:id="325"/>
      <w:bookmarkEnd w:id="326"/>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71770" cy="3771900"/>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5271770" cy="3771900"/>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68595" cy="3643630"/>
            <wp:effectExtent l="0" t="0" r="8255"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0"/>
                    <a:stretch>
                      <a:fillRect/>
                    </a:stretch>
                  </pic:blipFill>
                  <pic:spPr>
                    <a:xfrm>
                      <a:off x="0" y="0"/>
                      <a:ext cx="5268595" cy="3643630"/>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67325" cy="3693795"/>
            <wp:effectExtent l="0" t="0" r="9525"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1"/>
                    <a:stretch>
                      <a:fillRect/>
                    </a:stretch>
                  </pic:blipFill>
                  <pic:spPr>
                    <a:xfrm>
                      <a:off x="0" y="0"/>
                      <a:ext cx="5267325" cy="3693795"/>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71770" cy="3761105"/>
            <wp:effectExtent l="0" t="0" r="5080" b="1079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22"/>
                    <a:stretch>
                      <a:fillRect/>
                    </a:stretch>
                  </pic:blipFill>
                  <pic:spPr>
                    <a:xfrm>
                      <a:off x="0" y="0"/>
                      <a:ext cx="5271770" cy="3761105"/>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69230" cy="3611880"/>
            <wp:effectExtent l="0" t="0" r="7620" b="762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23"/>
                    <a:stretch>
                      <a:fillRect/>
                    </a:stretch>
                  </pic:blipFill>
                  <pic:spPr>
                    <a:xfrm>
                      <a:off x="0" y="0"/>
                      <a:ext cx="5269230" cy="3611880"/>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69230" cy="3660140"/>
            <wp:effectExtent l="0" t="0" r="7620" b="1651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24"/>
                    <a:stretch>
                      <a:fillRect/>
                    </a:stretch>
                  </pic:blipFill>
                  <pic:spPr>
                    <a:xfrm>
                      <a:off x="0" y="0"/>
                      <a:ext cx="5269230" cy="3660140"/>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p>
    <w:p>
      <w:pPr>
        <w:pStyle w:val="2"/>
        <w:pageBreakBefore w:val="0"/>
        <w:kinsoku/>
        <w:wordWrap/>
        <w:overflowPunct/>
        <w:topLinePunct w:val="0"/>
        <w:bidi w:val="0"/>
        <w:spacing w:line="240" w:lineRule="auto"/>
        <w:textAlignment w:val="auto"/>
      </w:pPr>
    </w:p>
    <w:p>
      <w:pPr>
        <w:pStyle w:val="2"/>
        <w:pageBreakBefore w:val="0"/>
        <w:kinsoku/>
        <w:wordWrap/>
        <w:overflowPunct/>
        <w:topLinePunct w:val="0"/>
        <w:bidi w:val="0"/>
        <w:spacing w:line="240" w:lineRule="auto"/>
        <w:textAlignment w:val="auto"/>
      </w:pPr>
      <w:r>
        <w:drawing>
          <wp:inline distT="0" distB="0" distL="114300" distR="114300">
            <wp:extent cx="5273040" cy="3615690"/>
            <wp:effectExtent l="0" t="0" r="3810" b="381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25"/>
                    <a:stretch>
                      <a:fillRect/>
                    </a:stretch>
                  </pic:blipFill>
                  <pic:spPr>
                    <a:xfrm>
                      <a:off x="0" y="0"/>
                      <a:ext cx="5273040" cy="3615690"/>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69865" cy="3739515"/>
            <wp:effectExtent l="0" t="0" r="6985" b="13335"/>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26"/>
                    <a:stretch>
                      <a:fillRect/>
                    </a:stretch>
                  </pic:blipFill>
                  <pic:spPr>
                    <a:xfrm>
                      <a:off x="0" y="0"/>
                      <a:ext cx="5269865" cy="3739515"/>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70500" cy="3693795"/>
            <wp:effectExtent l="0" t="0" r="6350" b="1905"/>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27"/>
                    <a:stretch>
                      <a:fillRect/>
                    </a:stretch>
                  </pic:blipFill>
                  <pic:spPr>
                    <a:xfrm>
                      <a:off x="0" y="0"/>
                      <a:ext cx="5270500" cy="3693795"/>
                    </a:xfrm>
                    <a:prstGeom prst="rect">
                      <a:avLst/>
                    </a:prstGeom>
                    <a:noFill/>
                    <a:ln>
                      <a:noFill/>
                    </a:ln>
                  </pic:spPr>
                </pic:pic>
              </a:graphicData>
            </a:graphic>
          </wp:inline>
        </w:drawing>
      </w:r>
    </w:p>
    <w:p>
      <w:pPr>
        <w:pStyle w:val="2"/>
        <w:pageBreakBefore w:val="0"/>
        <w:kinsoku/>
        <w:wordWrap/>
        <w:overflowPunct/>
        <w:topLinePunct w:val="0"/>
        <w:bidi w:val="0"/>
        <w:spacing w:line="240" w:lineRule="auto"/>
        <w:textAlignment w:val="auto"/>
      </w:pPr>
      <w:r>
        <w:drawing>
          <wp:inline distT="0" distB="0" distL="114300" distR="114300">
            <wp:extent cx="5269865" cy="3687445"/>
            <wp:effectExtent l="0" t="0" r="6985" b="8255"/>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28"/>
                    <a:stretch>
                      <a:fillRect/>
                    </a:stretch>
                  </pic:blipFill>
                  <pic:spPr>
                    <a:xfrm>
                      <a:off x="0" y="0"/>
                      <a:ext cx="5269865" cy="3687445"/>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27" w:name="_Toc15396626"/>
      <w:bookmarkStart w:id="328" w:name="_Toc22170"/>
      <w:r>
        <w:rPr>
          <w:rFonts w:hint="eastAsia" w:ascii="仿宋" w:hAnsi="仿宋" w:eastAsia="仿宋"/>
          <w:b w:val="0"/>
        </w:rPr>
        <w:t>一</w:t>
      </w:r>
      <w:r>
        <w:rPr>
          <w:rStyle w:val="30"/>
          <w:rFonts w:hint="eastAsia" w:ascii="仿宋" w:hAnsi="仿宋" w:eastAsia="仿宋"/>
          <w:b w:val="0"/>
          <w:bCs w:val="0"/>
        </w:rPr>
        <w:t>般公共预算财政拨款基本支出决算表</w:t>
      </w:r>
      <w:bookmarkEnd w:id="327"/>
      <w:bookmarkEnd w:id="328"/>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67960" cy="3090545"/>
            <wp:effectExtent l="0" t="0" r="8890" b="1460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29"/>
                    <a:stretch>
                      <a:fillRect/>
                    </a:stretch>
                  </pic:blipFill>
                  <pic:spPr>
                    <a:xfrm>
                      <a:off x="0" y="0"/>
                      <a:ext cx="5267960" cy="3090545"/>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29" w:name="_Toc10133"/>
      <w:bookmarkStart w:id="330" w:name="_Toc15396627"/>
      <w:r>
        <w:rPr>
          <w:rFonts w:hint="eastAsia" w:ascii="仿宋" w:hAnsi="仿宋" w:eastAsia="仿宋"/>
          <w:b w:val="0"/>
        </w:rPr>
        <w:t>一</w:t>
      </w:r>
      <w:r>
        <w:rPr>
          <w:rStyle w:val="30"/>
          <w:rFonts w:hint="eastAsia" w:ascii="仿宋" w:hAnsi="仿宋" w:eastAsia="仿宋"/>
          <w:b w:val="0"/>
          <w:bCs w:val="0"/>
        </w:rPr>
        <w:t>般公共预算财政拨款项目支出决算表</w:t>
      </w:r>
      <w:bookmarkEnd w:id="329"/>
      <w:bookmarkEnd w:id="330"/>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72405" cy="2673985"/>
            <wp:effectExtent l="0" t="0" r="4445" b="1206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30"/>
                    <a:stretch>
                      <a:fillRect/>
                    </a:stretch>
                  </pic:blipFill>
                  <pic:spPr>
                    <a:xfrm>
                      <a:off x="0" y="0"/>
                      <a:ext cx="5272405" cy="2673985"/>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31" w:name="_Toc13715"/>
      <w:r>
        <w:rPr>
          <w:rFonts w:hint="eastAsia" w:ascii="仿宋" w:hAnsi="仿宋" w:eastAsia="仿宋"/>
          <w:b w:val="0"/>
        </w:rPr>
        <w:t>政</w:t>
      </w:r>
      <w:r>
        <w:rPr>
          <w:rStyle w:val="30"/>
          <w:rFonts w:hint="eastAsia" w:ascii="仿宋" w:hAnsi="仿宋" w:eastAsia="仿宋"/>
          <w:b w:val="0"/>
          <w:bCs w:val="0"/>
        </w:rPr>
        <w:t>府性基金预算财政拨款收入支出决算表</w:t>
      </w:r>
      <w:bookmarkEnd w:id="331"/>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72405" cy="1691005"/>
            <wp:effectExtent l="0" t="0" r="4445" b="4445"/>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31"/>
                    <a:stretch>
                      <a:fillRect/>
                    </a:stretch>
                  </pic:blipFill>
                  <pic:spPr>
                    <a:xfrm>
                      <a:off x="0" y="0"/>
                      <a:ext cx="5272405" cy="1691005"/>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32" w:name="_Toc30008"/>
      <w:r>
        <w:rPr>
          <w:rFonts w:hint="eastAsia" w:ascii="仿宋" w:hAnsi="仿宋" w:eastAsia="仿宋"/>
          <w:b w:val="0"/>
        </w:rPr>
        <w:t>国</w:t>
      </w:r>
      <w:r>
        <w:rPr>
          <w:rStyle w:val="30"/>
          <w:rFonts w:hint="eastAsia" w:ascii="仿宋" w:hAnsi="仿宋" w:eastAsia="仿宋"/>
          <w:b w:val="0"/>
          <w:bCs w:val="0"/>
        </w:rPr>
        <w:t>有资本经营预算财政拨款收入支出决算表</w:t>
      </w:r>
      <w:bookmarkEnd w:id="332"/>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71135" cy="2410460"/>
            <wp:effectExtent l="0" t="0" r="5715" b="889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32"/>
                    <a:stretch>
                      <a:fillRect/>
                    </a:stretch>
                  </pic:blipFill>
                  <pic:spPr>
                    <a:xfrm>
                      <a:off x="0" y="0"/>
                      <a:ext cx="5271135" cy="2410460"/>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33" w:name="_Toc29725"/>
      <w:r>
        <w:rPr>
          <w:rStyle w:val="30"/>
          <w:rFonts w:hint="eastAsia" w:ascii="仿宋" w:hAnsi="仿宋" w:eastAsia="仿宋"/>
          <w:b w:val="0"/>
          <w:bCs w:val="0"/>
        </w:rPr>
        <w:t>国有资本经营预算财政拨款支出决算表</w:t>
      </w:r>
      <w:bookmarkEnd w:id="333"/>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69865" cy="2543810"/>
            <wp:effectExtent l="0" t="0" r="6985" b="889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33"/>
                    <a:stretch>
                      <a:fillRect/>
                    </a:stretch>
                  </pic:blipFill>
                  <pic:spPr>
                    <a:xfrm>
                      <a:off x="0" y="0"/>
                      <a:ext cx="5269865" cy="2543810"/>
                    </a:xfrm>
                    <a:prstGeom prst="rect">
                      <a:avLst/>
                    </a:prstGeom>
                    <a:noFill/>
                    <a:ln>
                      <a:noFill/>
                    </a:ln>
                  </pic:spPr>
                </pic:pic>
              </a:graphicData>
            </a:graphic>
          </wp:inline>
        </w:drawing>
      </w:r>
    </w:p>
    <w:p>
      <w:pPr>
        <w:pStyle w:val="4"/>
        <w:pageBreakBefore w:val="0"/>
        <w:numPr>
          <w:ilvl w:val="0"/>
          <w:numId w:val="9"/>
        </w:numPr>
        <w:kinsoku/>
        <w:wordWrap/>
        <w:overflowPunct/>
        <w:topLinePunct w:val="0"/>
        <w:bidi w:val="0"/>
        <w:spacing w:line="240" w:lineRule="auto"/>
        <w:ind w:left="0" w:leftChars="0" w:firstLine="0" w:firstLineChars="0"/>
        <w:textAlignment w:val="auto"/>
        <w:rPr>
          <w:rStyle w:val="30"/>
          <w:rFonts w:hint="eastAsia" w:ascii="仿宋" w:hAnsi="仿宋" w:eastAsia="仿宋"/>
          <w:b w:val="0"/>
          <w:bCs w:val="0"/>
        </w:rPr>
      </w:pPr>
      <w:bookmarkStart w:id="334" w:name="_Toc3555"/>
      <w:r>
        <w:rPr>
          <w:rStyle w:val="30"/>
          <w:rFonts w:hint="eastAsia" w:ascii="仿宋" w:hAnsi="仿宋" w:eastAsia="仿宋"/>
          <w:b w:val="0"/>
          <w:bCs w:val="0"/>
        </w:rPr>
        <w:t>财政拨款“三公”经费支出决算表</w:t>
      </w:r>
      <w:bookmarkEnd w:id="334"/>
    </w:p>
    <w:p>
      <w:pPr>
        <w:pageBreakBefore w:val="0"/>
        <w:numPr>
          <w:ilvl w:val="0"/>
          <w:numId w:val="0"/>
        </w:numPr>
        <w:kinsoku/>
        <w:wordWrap/>
        <w:overflowPunct/>
        <w:topLinePunct w:val="0"/>
        <w:bidi w:val="0"/>
        <w:spacing w:line="240" w:lineRule="auto"/>
        <w:ind w:leftChars="0"/>
        <w:textAlignment w:val="auto"/>
      </w:pPr>
      <w:r>
        <w:drawing>
          <wp:inline distT="0" distB="0" distL="114300" distR="114300">
            <wp:extent cx="5269230" cy="1087755"/>
            <wp:effectExtent l="0" t="0" r="7620" b="17145"/>
            <wp:docPr id="1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pic:cNvPicPr>
                      <a:picLocks noChangeAspect="1"/>
                    </pic:cNvPicPr>
                  </pic:nvPicPr>
                  <pic:blipFill>
                    <a:blip r:embed="rId34"/>
                    <a:stretch>
                      <a:fillRect/>
                    </a:stretch>
                  </pic:blipFill>
                  <pic:spPr>
                    <a:xfrm>
                      <a:off x="0" y="0"/>
                      <a:ext cx="5269230" cy="108775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902A6A-435D-4224-8602-D487FE8A245B}"/>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D21550F1-4A68-447D-9D70-A79F7907B35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4E9D46C0-DD58-4CC8-B570-EA48A996A57E}"/>
  </w:font>
  <w:font w:name="Cambria">
    <w:panose1 w:val="02040503050406030204"/>
    <w:charset w:val="00"/>
    <w:family w:val="roman"/>
    <w:pitch w:val="default"/>
    <w:sig w:usb0="E00002FF" w:usb1="400004FF" w:usb2="00000000" w:usb3="00000000" w:csb0="2000019F" w:csb1="00000000"/>
    <w:embedRegular r:id="rId4" w:fontKey="{3AC73F70-7B82-4490-A6D9-47FE64FABB58}"/>
  </w:font>
  <w:font w:name="Verdana">
    <w:panose1 w:val="020B0604030504040204"/>
    <w:charset w:val="00"/>
    <w:family w:val="swiss"/>
    <w:pitch w:val="default"/>
    <w:sig w:usb0="A10006FF" w:usb1="4000205B" w:usb2="00000010" w:usb3="00000000" w:csb0="2000019F" w:csb1="00000000"/>
    <w:embedRegular r:id="rId5" w:fontKey="{64307AC3-C266-40B2-BA84-15619D2AF275}"/>
  </w:font>
  <w:font w:name="仿宋_GB2312">
    <w:panose1 w:val="02010609030101010101"/>
    <w:charset w:val="86"/>
    <w:family w:val="modern"/>
    <w:pitch w:val="default"/>
    <w:sig w:usb0="00000001" w:usb1="080E0000" w:usb2="00000000" w:usb3="00000000" w:csb0="00040000" w:csb1="00000000"/>
    <w:embedRegular r:id="rId6" w:fontKey="{7ECEA5D0-AA58-4386-83EC-EA9F8735C7E3}"/>
  </w:font>
  <w:font w:name="仿宋">
    <w:panose1 w:val="02010609060101010101"/>
    <w:charset w:val="86"/>
    <w:family w:val="modern"/>
    <w:pitch w:val="default"/>
    <w:sig w:usb0="800002BF" w:usb1="38CF7CFA" w:usb2="00000016" w:usb3="00000000" w:csb0="00040001" w:csb1="00000000"/>
    <w:embedRegular r:id="rId7" w:fontKey="{04D55582-0F36-4D77-A0C0-82B2891F721B}"/>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embedRegular r:id="rId8" w:fontKey="{686D09D1-A5F3-4DD3-9DBC-0DF239E0C41F}"/>
  </w:font>
  <w:font w:name="方正仿宋_GBK">
    <w:panose1 w:val="03000509000000000000"/>
    <w:charset w:val="86"/>
    <w:family w:val="script"/>
    <w:pitch w:val="default"/>
    <w:sig w:usb0="00000001" w:usb1="080E0000" w:usb2="00000000" w:usb3="00000000" w:csb0="00040000" w:csb1="00000000"/>
    <w:embedRegular r:id="rId9" w:fontKey="{BC62B38D-D751-4E76-8F46-B5E7CF26F68C}"/>
  </w:font>
  <w:font w:name="微软雅黑">
    <w:panose1 w:val="020B0503020204020204"/>
    <w:charset w:val="86"/>
    <w:family w:val="auto"/>
    <w:pitch w:val="default"/>
    <w:sig w:usb0="80000287" w:usb1="280F3C52" w:usb2="00000016" w:usb3="00000000" w:csb0="0004001F" w:csb1="00000000"/>
    <w:embedRegular r:id="rId10" w:fontKey="{D10B0F8F-AD99-44C2-B713-7CEEA708BB37}"/>
  </w:font>
  <w:font w:name="方正小标宋_GBK">
    <w:panose1 w:val="03000509000000000000"/>
    <w:charset w:val="86"/>
    <w:family w:val="script"/>
    <w:pitch w:val="default"/>
    <w:sig w:usb0="00000001" w:usb1="080E0000" w:usb2="00000000" w:usb3="00000000" w:csb0="00040000" w:csb1="00000000"/>
    <w:embedRegular r:id="rId11" w:fontKey="{69F75644-10A5-4D49-B5E7-BEEC4EFC51CF}"/>
  </w:font>
  <w:font w:name="楷体_GB2312">
    <w:panose1 w:val="02010609030101010101"/>
    <w:charset w:val="86"/>
    <w:family w:val="auto"/>
    <w:pitch w:val="default"/>
    <w:sig w:usb0="00000001" w:usb1="080E0000" w:usb2="00000000" w:usb3="00000000" w:csb0="00040000" w:csb1="00000000"/>
    <w:embedRegular r:id="rId12" w:fontKey="{AB0B5D30-FE7F-4797-930D-436D7AC4D42A}"/>
  </w:font>
  <w:font w:name="方正楷体_GBK">
    <w:panose1 w:val="03000509000000000000"/>
    <w:charset w:val="86"/>
    <w:family w:val="auto"/>
    <w:pitch w:val="default"/>
    <w:sig w:usb0="00000001" w:usb1="080E0000" w:usb2="00000000" w:usb3="00000000" w:csb0="00040000" w:csb1="00000000"/>
    <w:embedRegular r:id="rId13" w:fontKey="{754A89CA-C2EC-4B3A-A109-3569CEE088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0"/>
          <w:jc w:val="center"/>
        </w:pPr>
        <w:r>
          <w:fldChar w:fldCharType="begin"/>
        </w:r>
        <w:r>
          <w:instrText xml:space="preserve">PAGE   \* MERGEFORMAT</w:instrText>
        </w:r>
        <w:r>
          <w:fldChar w:fldCharType="separate"/>
        </w:r>
        <w:r>
          <w:rPr>
            <w:lang w:val="zh-CN"/>
          </w:rPr>
          <w:t>17</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8D6020"/>
    <w:multiLevelType w:val="singleLevel"/>
    <w:tmpl w:val="8B8D6020"/>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E4B1045C"/>
    <w:multiLevelType w:val="singleLevel"/>
    <w:tmpl w:val="E4B1045C"/>
    <w:lvl w:ilvl="0" w:tentative="0">
      <w:start w:val="1"/>
      <w:numFmt w:val="chineseCounting"/>
      <w:suff w:val="nothing"/>
      <w:lvlText w:val="（%1）"/>
      <w:lvlJc w:val="left"/>
      <w:rPr>
        <w:rFonts w:hint="eastAsia"/>
      </w:rPr>
    </w:lvl>
  </w:abstractNum>
  <w:abstractNum w:abstractNumId="4">
    <w:nsid w:val="FFF674BC"/>
    <w:multiLevelType w:val="singleLevel"/>
    <w:tmpl w:val="FFF674BC"/>
    <w:lvl w:ilvl="0" w:tentative="0">
      <w:start w:val="1"/>
      <w:numFmt w:val="chineseCounting"/>
      <w:suff w:val="nothing"/>
      <w:lvlText w:val="%1、"/>
      <w:lvlJc w:val="left"/>
      <w:rPr>
        <w:rFonts w:hint="eastAsia"/>
      </w:rPr>
    </w:lvl>
  </w:abstractNum>
  <w:abstractNum w:abstractNumId="5">
    <w:nsid w:val="1272550B"/>
    <w:multiLevelType w:val="multilevel"/>
    <w:tmpl w:val="1272550B"/>
    <w:lvl w:ilvl="0" w:tentative="0">
      <w:start w:val="1"/>
      <w:numFmt w:val="japaneseCounting"/>
      <w:lvlText w:val="%1、"/>
      <w:lvlJc w:val="left"/>
      <w:pPr>
        <w:ind w:left="1360" w:hanging="720"/>
      </w:pPr>
      <w:rPr>
        <w:rFonts w:hint="eastAsia" w:ascii="黑体" w:hAnsi="黑体" w:eastAsia="黑体" w:cs="黑体"/>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2685DA98"/>
    <w:multiLevelType w:val="singleLevel"/>
    <w:tmpl w:val="2685DA98"/>
    <w:lvl w:ilvl="0" w:tentative="0">
      <w:start w:val="3"/>
      <w:numFmt w:val="chineseCounting"/>
      <w:suff w:val="nothing"/>
      <w:lvlText w:val="（%1）"/>
      <w:lvlJc w:val="left"/>
      <w:rPr>
        <w:rFonts w:hint="eastAsia"/>
      </w:rPr>
    </w:lvl>
  </w:abstractNum>
  <w:abstractNum w:abstractNumId="7">
    <w:nsid w:val="44A4909B"/>
    <w:multiLevelType w:val="singleLevel"/>
    <w:tmpl w:val="44A4909B"/>
    <w:lvl w:ilvl="0" w:tentative="0">
      <w:start w:val="1"/>
      <w:numFmt w:val="chineseCounting"/>
      <w:suff w:val="nothing"/>
      <w:lvlText w:val="%1、"/>
      <w:lvlJc w:val="left"/>
      <w:rPr>
        <w:rFonts w:hint="eastAsia"/>
      </w:rPr>
    </w:lvl>
  </w:abstractNum>
  <w:abstractNum w:abstractNumId="8">
    <w:nsid w:val="689735FD"/>
    <w:multiLevelType w:val="singleLevel"/>
    <w:tmpl w:val="689735FD"/>
    <w:lvl w:ilvl="0" w:tentative="0">
      <w:start w:val="6"/>
      <w:numFmt w:val="chineseCounting"/>
      <w:suff w:val="nothing"/>
      <w:lvlText w:val="%1、"/>
      <w:lvlJc w:val="left"/>
      <w:rPr>
        <w:rFonts w:hint="eastAsia"/>
      </w:rPr>
    </w:lvl>
  </w:abstractNum>
  <w:num w:numId="1">
    <w:abstractNumId w:val="7"/>
  </w:num>
  <w:num w:numId="2">
    <w:abstractNumId w:val="5"/>
  </w:num>
  <w:num w:numId="3">
    <w:abstractNumId w:val="1"/>
  </w:num>
  <w:num w:numId="4">
    <w:abstractNumId w:val="2"/>
  </w:num>
  <w:num w:numId="5">
    <w:abstractNumId w:val="4"/>
  </w:num>
  <w:num w:numId="6">
    <w:abstractNumId w:val="0"/>
  </w:num>
  <w:num w:numId="7">
    <w:abstractNumId w:val="6"/>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4ZTMyMjMxYzZhNWY2Mjk4M2EwODJhOWQ3MTc5NGMifQ=="/>
  </w:docVars>
  <w:rsids>
    <w:rsidRoot w:val="00172A27"/>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479E5"/>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1E21263"/>
    <w:rsid w:val="02143E91"/>
    <w:rsid w:val="0376610E"/>
    <w:rsid w:val="066E0107"/>
    <w:rsid w:val="07165FF5"/>
    <w:rsid w:val="07527450"/>
    <w:rsid w:val="07996F6E"/>
    <w:rsid w:val="08031F33"/>
    <w:rsid w:val="080D4B60"/>
    <w:rsid w:val="0A2032A3"/>
    <w:rsid w:val="0AC30350"/>
    <w:rsid w:val="0D905BF2"/>
    <w:rsid w:val="0E5B2E44"/>
    <w:rsid w:val="0F98263C"/>
    <w:rsid w:val="0FEA1D6F"/>
    <w:rsid w:val="101860EC"/>
    <w:rsid w:val="1021564D"/>
    <w:rsid w:val="10C055FF"/>
    <w:rsid w:val="118107EC"/>
    <w:rsid w:val="137A57A0"/>
    <w:rsid w:val="13D50BC4"/>
    <w:rsid w:val="13F71976"/>
    <w:rsid w:val="160E670A"/>
    <w:rsid w:val="16BB723D"/>
    <w:rsid w:val="16D939C6"/>
    <w:rsid w:val="1A345F7C"/>
    <w:rsid w:val="1B5D38BA"/>
    <w:rsid w:val="1BE8440E"/>
    <w:rsid w:val="1C43716F"/>
    <w:rsid w:val="1D155CEE"/>
    <w:rsid w:val="1F7E26B9"/>
    <w:rsid w:val="1FF35744"/>
    <w:rsid w:val="23860B96"/>
    <w:rsid w:val="240371BF"/>
    <w:rsid w:val="250E6BFE"/>
    <w:rsid w:val="25A95A70"/>
    <w:rsid w:val="29FD04D3"/>
    <w:rsid w:val="2C8A61B5"/>
    <w:rsid w:val="2DE06BAC"/>
    <w:rsid w:val="2DF04E50"/>
    <w:rsid w:val="2F040D46"/>
    <w:rsid w:val="2F9959A7"/>
    <w:rsid w:val="303A20E7"/>
    <w:rsid w:val="319F7F4E"/>
    <w:rsid w:val="325E5C16"/>
    <w:rsid w:val="33031CDF"/>
    <w:rsid w:val="3304709D"/>
    <w:rsid w:val="352C5D76"/>
    <w:rsid w:val="369C4985"/>
    <w:rsid w:val="36AA5135"/>
    <w:rsid w:val="376D39B2"/>
    <w:rsid w:val="37B81AC6"/>
    <w:rsid w:val="37E16F03"/>
    <w:rsid w:val="38D469F0"/>
    <w:rsid w:val="38DD4972"/>
    <w:rsid w:val="3ADE2222"/>
    <w:rsid w:val="3D98207C"/>
    <w:rsid w:val="3E78745D"/>
    <w:rsid w:val="40EF1158"/>
    <w:rsid w:val="42332E3A"/>
    <w:rsid w:val="44E268DA"/>
    <w:rsid w:val="463B5A0E"/>
    <w:rsid w:val="4A196CF2"/>
    <w:rsid w:val="4A627F82"/>
    <w:rsid w:val="4B0E749A"/>
    <w:rsid w:val="4B4F25DA"/>
    <w:rsid w:val="4BE068DB"/>
    <w:rsid w:val="4D577224"/>
    <w:rsid w:val="4EAB630A"/>
    <w:rsid w:val="4EC310A1"/>
    <w:rsid w:val="4ECE2238"/>
    <w:rsid w:val="4F56650D"/>
    <w:rsid w:val="508072B9"/>
    <w:rsid w:val="537E6D0A"/>
    <w:rsid w:val="5942531A"/>
    <w:rsid w:val="5AF92295"/>
    <w:rsid w:val="5CAC6B74"/>
    <w:rsid w:val="5CC00460"/>
    <w:rsid w:val="5CD71FC4"/>
    <w:rsid w:val="60673889"/>
    <w:rsid w:val="62881CCA"/>
    <w:rsid w:val="63A75F3D"/>
    <w:rsid w:val="64585422"/>
    <w:rsid w:val="65520A0A"/>
    <w:rsid w:val="6BD448A0"/>
    <w:rsid w:val="6C4A05C8"/>
    <w:rsid w:val="6D711757"/>
    <w:rsid w:val="6E7E3605"/>
    <w:rsid w:val="6FE67160"/>
    <w:rsid w:val="6FF5CC65"/>
    <w:rsid w:val="70291255"/>
    <w:rsid w:val="708C00F5"/>
    <w:rsid w:val="715C0E4B"/>
    <w:rsid w:val="72734D90"/>
    <w:rsid w:val="73AD73D5"/>
    <w:rsid w:val="73B6EB34"/>
    <w:rsid w:val="73E444BF"/>
    <w:rsid w:val="744731E5"/>
    <w:rsid w:val="75F74713"/>
    <w:rsid w:val="76E3355F"/>
    <w:rsid w:val="77257379"/>
    <w:rsid w:val="778769C8"/>
    <w:rsid w:val="780E314F"/>
    <w:rsid w:val="79EE5BA4"/>
    <w:rsid w:val="7A894339"/>
    <w:rsid w:val="7E4EB920"/>
    <w:rsid w:val="7EEF11D3"/>
    <w:rsid w:val="7FA30C79"/>
    <w:rsid w:val="7FB7269E"/>
    <w:rsid w:val="7FC96657"/>
    <w:rsid w:val="7FFFD524"/>
    <w:rsid w:val="D6FBD3AD"/>
    <w:rsid w:val="D8D6DB89"/>
    <w:rsid w:val="DB6F4CAB"/>
    <w:rsid w:val="DF6F9789"/>
    <w:rsid w:val="E7EF6C63"/>
    <w:rsid w:val="F39D90DB"/>
    <w:rsid w:val="FEBFD6D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6">
    <w:name w:val="Default Paragraph Font"/>
    <w:link w:val="17"/>
    <w:semiHidden/>
    <w:unhideWhenUsed/>
    <w:qFormat/>
    <w:uiPriority w:val="1"/>
    <w:rPr>
      <w:rFonts w:ascii="Verdana" w:hAnsi="Verdana" w:eastAsia="仿宋_GB2312" w:cs="Verdana"/>
      <w:kern w:val="0"/>
      <w:sz w:val="24"/>
      <w:szCs w:val="24"/>
      <w:lang w:eastAsia="en-US"/>
    </w:rPr>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6"/>
    <w:qFormat/>
    <w:uiPriority w:val="99"/>
    <w:pPr>
      <w:spacing w:beforeLines="30"/>
    </w:pPr>
    <w:rPr>
      <w:rFonts w:ascii="仿宋_GB2312" w:eastAsia="仿宋_GB2312"/>
      <w:kern w:val="0"/>
      <w:sz w:val="30"/>
    </w:rPr>
  </w:style>
  <w:style w:type="paragraph" w:styleId="6">
    <w:name w:val="Salutation"/>
    <w:basedOn w:val="1"/>
    <w:next w:val="1"/>
    <w:qFormat/>
    <w:uiPriority w:val="0"/>
  </w:style>
  <w:style w:type="paragraph" w:styleId="7">
    <w:name w:val="Body Text Indent"/>
    <w:basedOn w:val="1"/>
    <w:next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next w:val="1"/>
    <w:unhideWhenUsed/>
    <w:qFormat/>
    <w:uiPriority w:val="99"/>
    <w:pPr>
      <w:ind w:firstLine="420" w:firstLineChars="200"/>
    </w:pPr>
  </w:style>
  <w:style w:type="paragraph" w:customStyle="1" w:styleId="17">
    <w:name w:val="_Style 4"/>
    <w:basedOn w:val="1"/>
    <w:link w:val="16"/>
    <w:qFormat/>
    <w:uiPriority w:val="99"/>
    <w:pPr>
      <w:widowControl/>
      <w:spacing w:after="160" w:line="240" w:lineRule="exact"/>
      <w:jc w:val="left"/>
    </w:pPr>
    <w:rPr>
      <w:rFonts w:ascii="Verdana" w:hAnsi="Verdana" w:eastAsia="仿宋_GB2312" w:cs="Verdana"/>
      <w:kern w:val="0"/>
      <w:sz w:val="24"/>
      <w:szCs w:val="24"/>
      <w:lang w:eastAsia="en-US"/>
    </w:rPr>
  </w:style>
  <w:style w:type="character" w:styleId="18">
    <w:name w:val="Strong"/>
    <w:basedOn w:val="16"/>
    <w:qFormat/>
    <w:uiPriority w:val="99"/>
    <w:rPr>
      <w:b/>
    </w:rPr>
  </w:style>
  <w:style w:type="character" w:styleId="19">
    <w:name w:val="Hyperlink"/>
    <w:basedOn w:val="16"/>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6"/>
    <w:semiHidden/>
    <w:qFormat/>
    <w:uiPriority w:val="99"/>
    <w:rPr>
      <w:rFonts w:ascii="Times New Roman" w:hAnsi="Times New Roman"/>
      <w:sz w:val="18"/>
      <w:szCs w:val="18"/>
    </w:rPr>
  </w:style>
  <w:style w:type="character" w:customStyle="1" w:styleId="22">
    <w:name w:val="页眉 Char"/>
    <w:link w:val="11"/>
    <w:semiHidden/>
    <w:qFormat/>
    <w:locked/>
    <w:uiPriority w:val="99"/>
    <w:rPr>
      <w:sz w:val="18"/>
    </w:rPr>
  </w:style>
  <w:style w:type="character" w:customStyle="1" w:styleId="23">
    <w:name w:val="Footer Char"/>
    <w:basedOn w:val="16"/>
    <w:semiHidden/>
    <w:qFormat/>
    <w:uiPriority w:val="99"/>
    <w:rPr>
      <w:rFonts w:ascii="Times New Roman" w:hAnsi="Times New Roman"/>
      <w:sz w:val="18"/>
      <w:szCs w:val="18"/>
    </w:rPr>
  </w:style>
  <w:style w:type="character" w:customStyle="1" w:styleId="24">
    <w:name w:val="页脚 Char"/>
    <w:link w:val="10"/>
    <w:qFormat/>
    <w:locked/>
    <w:uiPriority w:val="99"/>
    <w:rPr>
      <w:sz w:val="18"/>
    </w:rPr>
  </w:style>
  <w:style w:type="character" w:customStyle="1" w:styleId="25">
    <w:name w:val="Body Text Char"/>
    <w:basedOn w:val="16"/>
    <w:semiHidden/>
    <w:qFormat/>
    <w:uiPriority w:val="99"/>
    <w:rPr>
      <w:rFonts w:ascii="Times New Roman" w:hAnsi="Times New Roman"/>
      <w:szCs w:val="24"/>
    </w:rPr>
  </w:style>
  <w:style w:type="character" w:customStyle="1" w:styleId="26">
    <w:name w:val="正文文本 Char"/>
    <w:link w:val="2"/>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6"/>
    <w:link w:val="3"/>
    <w:qFormat/>
    <w:uiPriority w:val="9"/>
    <w:rPr>
      <w:rFonts w:ascii="Times New Roman" w:hAnsi="Times New Roman"/>
      <w:b/>
      <w:bCs/>
      <w:kern w:val="44"/>
      <w:sz w:val="44"/>
      <w:szCs w:val="44"/>
    </w:rPr>
  </w:style>
  <w:style w:type="character" w:customStyle="1" w:styleId="30">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6"/>
    <w:link w:val="9"/>
    <w:semiHidden/>
    <w:qFormat/>
    <w:uiPriority w:val="99"/>
    <w:rPr>
      <w:rFonts w:ascii="Times New Roman" w:hAnsi="Times New Roman"/>
      <w:kern w:val="2"/>
      <w:sz w:val="18"/>
      <w:szCs w:val="18"/>
    </w:rPr>
  </w:style>
  <w:style w:type="character" w:customStyle="1" w:styleId="33">
    <w:name w:val="标题 3 Char"/>
    <w:basedOn w:val="16"/>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WPSOffice手动目录 2"/>
    <w:qFormat/>
    <w:uiPriority w:val="0"/>
    <w:pPr>
      <w:ind w:leftChars="200"/>
    </w:pPr>
    <w:rPr>
      <w:rFonts w:ascii="Times New Roman" w:hAnsi="Times New Roman" w:eastAsia="宋体" w:cs="Times New Roman"/>
      <w:sz w:val="20"/>
      <w:szCs w:val="20"/>
    </w:rPr>
  </w:style>
  <w:style w:type="paragraph" w:customStyle="1" w:styleId="38">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2.png"/><Relationship Id="rId33" Type="http://schemas.openxmlformats.org/officeDocument/2006/relationships/image" Target="media/image21.png"/><Relationship Id="rId32" Type="http://schemas.openxmlformats.org/officeDocument/2006/relationships/image" Target="media/image20.png"/><Relationship Id="rId31" Type="http://schemas.openxmlformats.org/officeDocument/2006/relationships/image" Target="media/image19.png"/><Relationship Id="rId30" Type="http://schemas.openxmlformats.org/officeDocument/2006/relationships/image" Target="media/image18.png"/><Relationship Id="rId3" Type="http://schemas.openxmlformats.org/officeDocument/2006/relationships/header" Target="header1.xml"/><Relationship Id="rId29" Type="http://schemas.openxmlformats.org/officeDocument/2006/relationships/image" Target="media/image17.png"/><Relationship Id="rId28" Type="http://schemas.openxmlformats.org/officeDocument/2006/relationships/image" Target="media/image16.wmf"/><Relationship Id="rId27" Type="http://schemas.openxmlformats.org/officeDocument/2006/relationships/image" Target="media/image15.wmf"/><Relationship Id="rId26" Type="http://schemas.openxmlformats.org/officeDocument/2006/relationships/image" Target="media/image14.wmf"/><Relationship Id="rId25" Type="http://schemas.openxmlformats.org/officeDocument/2006/relationships/image" Target="media/image13.wmf"/><Relationship Id="rId24" Type="http://schemas.openxmlformats.org/officeDocument/2006/relationships/image" Target="media/image12.wmf"/><Relationship Id="rId23" Type="http://schemas.openxmlformats.org/officeDocument/2006/relationships/image" Target="media/image11.wmf"/><Relationship Id="rId22" Type="http://schemas.openxmlformats.org/officeDocument/2006/relationships/image" Target="media/image10.wmf"/><Relationship Id="rId21" Type="http://schemas.openxmlformats.org/officeDocument/2006/relationships/image" Target="media/image9.wmf"/><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[2021决算公开表.xls]Sheet1!$A$58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[2021决算公开表.xls]Sheet1!$B$58:$C$58</c:f>
              <c:strCache>
                <c:ptCount val="2"/>
                <c:pt idx="0">
                  <c:v>2021年</c:v>
                </c:pt>
                <c:pt idx="1">
                  <c:v>2022年</c:v>
                </c:pt>
              </c:strCache>
            </c:strRef>
          </c:cat>
          <c:val>
            <c:numRef>
              <c:f>[2021决算公开表.xls]Sheet1!$B$59:$C$59</c:f>
              <c:numCache>
                <c:formatCode>General</c:formatCode>
                <c:ptCount val="2"/>
                <c:pt idx="0">
                  <c:v>1846.27</c:v>
                </c:pt>
                <c:pt idx="1">
                  <c:v>1116.13</c:v>
                </c:pt>
              </c:numCache>
            </c:numRef>
          </c:val>
        </c:ser>
        <c:dLbls>
          <c:showLegendKey val="0"/>
          <c:showVal val="0"/>
          <c:showCatName val="0"/>
          <c:showSerName val="0"/>
          <c:showPercent val="0"/>
          <c:showBubbleSize val="0"/>
        </c:dLbls>
        <c:gapWidth val="150"/>
        <c:overlap val="0"/>
        <c:axId val="284670274"/>
        <c:axId val="773385607"/>
      </c:barChart>
      <c:catAx>
        <c:axId val="284670274"/>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73385607"/>
        <c:crosses val="autoZero"/>
        <c:auto val="1"/>
        <c:lblAlgn val="ctr"/>
        <c:lblOffset val="100"/>
        <c:noMultiLvlLbl val="0"/>
      </c:catAx>
      <c:valAx>
        <c:axId val="773385607"/>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84670274"/>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5468241533084"/>
          <c:y val="0.507566462167689"/>
          <c:w val="0.198505483909847"/>
          <c:h val="0.1631901840490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[2021决算公开表.xls]Sheet1!$C$3:$C$8</c:f>
              <c:numCache>
                <c:formatCode>General</c:formatCode>
                <c:ptCount val="6"/>
                <c:pt idx="0">
                  <c:v>1116.13</c:v>
                </c:pt>
                <c:pt idx="1">
                  <c:v>0</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[2021决算公开表.xls]Sheet1!$B$3:$B$8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[2021决算公开表.xls]Sheet1!$D$3:$D$8</c:f>
              <c:numCache>
                <c:formatCode>0.00%</c:formatCode>
                <c:ptCount val="6"/>
                <c:pt idx="0">
                  <c:v>1</c:v>
                </c:pt>
                <c:pt idx="1" c:formatCode="0%">
                  <c:v>0</c:v>
                </c:pt>
                <c:pt idx="2" c:formatCode="0%">
                  <c:v>0</c:v>
                </c:pt>
                <c:pt idx="3" c:formatCode="0%">
                  <c:v>0</c:v>
                </c:pt>
                <c:pt idx="4" c:formatCode="0%">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95"/>
          <c:y val="0.23575"/>
          <c:w val="0.33475"/>
          <c:h val="0.664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34834960483496"/>
          <c:y val="0.013852973771703"/>
        </c:manualLayout>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基本支出, 879.36, 78.</a:t>
                    </a:r>
                    <a:r>
                      <a:rPr lang="en-US" altLang="zh-CN"/>
                      <a:t>8</a:t>
                    </a:r>
                    <a:r>
                      <a:t>%</a:t>
                    </a: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manualLayout>
                  <c:x val="-0.0820773761131235"/>
                  <c:y val="0.214621887105829"/>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项目支出, 236.77, 21.2%</a:t>
                    </a: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93215113216748"/>
                  <c:y val="0.125769486518838"/>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414409248362625"/>
                  <c:y val="0.0332316217239994"/>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[2021决算公开表.xls]Sheet1!$B$34:$B$38</c:f>
              <c:strCache>
                <c:ptCount val="5"/>
                <c:pt idx="0">
                  <c:v>基本支出</c:v>
                </c:pt>
                <c:pt idx="1">
                  <c:v>项目支出</c:v>
                </c:pt>
                <c:pt idx="2">
                  <c:v>上缴上级支出</c:v>
                </c:pt>
                <c:pt idx="3">
                  <c:v>经营支出</c:v>
                </c:pt>
                <c:pt idx="4">
                  <c:v>对附属单位补助支出</c:v>
                </c:pt>
              </c:strCache>
            </c:strRef>
          </c:cat>
          <c:val>
            <c:numRef>
              <c:f>[2021决算公开表.xls]Sheet1!$C$34:$C$38</c:f>
              <c:numCache>
                <c:formatCode>General</c:formatCode>
                <c:ptCount val="5"/>
                <c:pt idx="0">
                  <c:v>879.36</c:v>
                </c:pt>
                <c:pt idx="1">
                  <c:v>236.77</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[2021决算公开表.xls]Sheet1!$B$34:$B$38</c:f>
              <c:strCache>
                <c:ptCount val="5"/>
                <c:pt idx="0">
                  <c:v>基本支出</c:v>
                </c:pt>
                <c:pt idx="1">
                  <c:v>项目支出</c:v>
                </c:pt>
                <c:pt idx="2">
                  <c:v>上缴上级支出</c:v>
                </c:pt>
                <c:pt idx="3">
                  <c:v>经营支出</c:v>
                </c:pt>
                <c:pt idx="4">
                  <c:v>对附属单位补助支出</c:v>
                </c:pt>
              </c:strCache>
            </c:strRef>
          </c:cat>
          <c:val>
            <c:numRef>
              <c:f>[2021决算公开表.xls]Sheet1!$D$34:$D$38</c:f>
              <c:numCache>
                <c:formatCode>0.00%</c:formatCode>
                <c:ptCount val="5"/>
                <c:pt idx="0">
                  <c:v>0.788</c:v>
                </c:pt>
                <c:pt idx="1">
                  <c:v>0.212</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6955317355173"/>
          <c:y val="0.17488038277512"/>
          <c:w val="0.23726363964832"/>
          <c:h val="0.701913875598086"/>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147023379127501"/>
          <c:y val="0.00694283730617912"/>
        </c:manualLayout>
      </c:layout>
      <c:overlay val="0"/>
      <c:spPr>
        <a:noFill/>
        <a:ln w="3175">
          <a:noFill/>
        </a:ln>
      </c:spPr>
    </c:title>
    <c:autoTitleDeleted val="0"/>
    <c:plotArea>
      <c:layout/>
      <c:barChart>
        <c:barDir val="col"/>
        <c:grouping val="clustered"/>
        <c:varyColors val="0"/>
        <c:ser>
          <c:idx val="0"/>
          <c:order val="0"/>
          <c:tx>
            <c:strRef>
              <c:f>[2021决算公开表.xls]Sheet1!$A$168</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[2021决算公开表.xls]Sheet1!$B$167:$C$167</c:f>
              <c:strCache>
                <c:ptCount val="2"/>
                <c:pt idx="0">
                  <c:v>2021年</c:v>
                </c:pt>
                <c:pt idx="1">
                  <c:v>2022年</c:v>
                </c:pt>
              </c:strCache>
            </c:strRef>
          </c:cat>
          <c:val>
            <c:numRef>
              <c:f>[2021决算公开表.xls]Sheet1!$B$168:$C$168</c:f>
              <c:numCache>
                <c:formatCode>General</c:formatCode>
                <c:ptCount val="2"/>
                <c:pt idx="0">
                  <c:v>1676.27</c:v>
                </c:pt>
                <c:pt idx="1">
                  <c:v>1116.13</c:v>
                </c:pt>
              </c:numCache>
            </c:numRef>
          </c:val>
        </c:ser>
        <c:dLbls>
          <c:showLegendKey val="0"/>
          <c:showVal val="0"/>
          <c:showCatName val="0"/>
          <c:showSerName val="0"/>
          <c:showPercent val="0"/>
          <c:showBubbleSize val="0"/>
        </c:dLbls>
        <c:gapWidth val="150"/>
        <c:overlap val="0"/>
        <c:axId val="134451951"/>
        <c:axId val="735551528"/>
      </c:barChart>
      <c:catAx>
        <c:axId val="134451951"/>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35551528"/>
        <c:crosses val="autoZero"/>
        <c:auto val="1"/>
        <c:lblAlgn val="ctr"/>
        <c:lblOffset val="100"/>
        <c:noMultiLvlLbl val="0"/>
      </c:catAx>
      <c:valAx>
        <c:axId val="73555152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34451951"/>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32253005750131"/>
          <c:y val="0.507145543437382"/>
          <c:w val="0.256037637219028"/>
          <c:h val="0.14892816848439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[2021决算公开表.xls]Sheet1!$A$85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[2021决算公开表.xls]Sheet1!$B$84:$C$84</c:f>
              <c:strCache>
                <c:ptCount val="2"/>
                <c:pt idx="0">
                  <c:v>2021年</c:v>
                </c:pt>
                <c:pt idx="1">
                  <c:v>2022年</c:v>
                </c:pt>
              </c:strCache>
            </c:strRef>
          </c:cat>
          <c:val>
            <c:numRef>
              <c:f>[2021决算公开表.xls]Sheet1!$B$85:$C$85</c:f>
              <c:numCache>
                <c:formatCode>General</c:formatCode>
                <c:ptCount val="2"/>
                <c:pt idx="0">
                  <c:v>1676.27</c:v>
                </c:pt>
                <c:pt idx="1">
                  <c:v>1116.13</c:v>
                </c:pt>
              </c:numCache>
            </c:numRef>
          </c:val>
        </c:ser>
        <c:dLbls>
          <c:showLegendKey val="0"/>
          <c:showVal val="0"/>
          <c:showCatName val="0"/>
          <c:showSerName val="0"/>
          <c:showPercent val="0"/>
          <c:showBubbleSize val="0"/>
        </c:dLbls>
        <c:gapWidth val="150"/>
        <c:overlap val="0"/>
        <c:axId val="148089299"/>
        <c:axId val="624948874"/>
      </c:barChart>
      <c:catAx>
        <c:axId val="148089299"/>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624948874"/>
        <c:crosses val="autoZero"/>
        <c:auto val="1"/>
        <c:lblAlgn val="ctr"/>
        <c:lblOffset val="100"/>
        <c:noMultiLvlLbl val="0"/>
      </c:catAx>
      <c:valAx>
        <c:axId val="624948874"/>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48089299"/>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8799566108232"/>
          <c:y val="0.505792400370714"/>
          <c:w val="0.295287453296372"/>
          <c:h val="0.19184430027803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9999FF">
                  <a:alpha val="100000"/>
                </a:srgbClr>
              </a:solidFill>
              <a:ln w="12700">
                <a:solidFill>
                  <a:srgbClr val="000000">
                    <a:alpha val="100000"/>
                  </a:srgbClr>
                </a:solidFill>
                <a:prstDash val="solid"/>
              </a:ln>
            </c:spPr>
          </c:dPt>
          <c:dPt>
            <c:idx val="5"/>
            <c:bubble3D val="0"/>
            <c:explosion val="0"/>
            <c:spPr>
              <a:solidFill>
                <a:srgbClr val="9999FF">
                  <a:alpha val="100000"/>
                </a:srgbClr>
              </a:solidFill>
              <a:ln w="12700">
                <a:solidFill>
                  <a:srgbClr val="000000">
                    <a:alpha val="100000"/>
                  </a:srgbClr>
                </a:solidFill>
                <a:prstDash val="solid"/>
              </a:ln>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一般公共服务支出, 847.66, 75.9%</a:t>
                    </a: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manualLayout>
                  <c:x val="-0.0401658158199411"/>
                  <c:y val="0.16280331509035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26949072941283"/>
                  <c:y val="0.0780257735949516"/>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住房保障支出, 59.27, 5.3%</a:t>
                    </a: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delete val="1"/>
            </c:dLbl>
            <c:dLbl>
              <c:idx val="4"/>
              <c:layout>
                <c:manualLayout>
                  <c:x val="0.319989904598985"/>
                  <c:y val="0.130161496723741"/>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卫生健康支出, 59.68, 5.</a:t>
                    </a:r>
                    <a:r>
                      <a:rPr lang="en-US" altLang="zh-CN"/>
                      <a:t>4</a:t>
                    </a:r>
                    <a:r>
                      <a:t>%</a:t>
                    </a: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5"/>
              <c:delete val="1"/>
            </c:dLbl>
            <c:numFmt formatCode="0.00%" sourceLinked="0"/>
            <c:spPr>
              <a:noFill/>
              <a:ln w="3175">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[2021决算公开表.xls]Sheet1!$B$110:$B$115</c:f>
              <c:numCache>
                <c:formatCode>General</c:formatCode>
                <c:ptCount val="6"/>
                <c:pt idx="0">
                  <c:v>847.66</c:v>
                </c:pt>
                <c:pt idx="1">
                  <c:v>149.52</c:v>
                </c:pt>
                <c:pt idx="2">
                  <c:v>59.27</c:v>
                </c:pt>
                <c:pt idx="4">
                  <c:v>59.68</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993366">
                  <a:alpha val="100000"/>
                </a:srgbClr>
              </a:solidFill>
              <a:ln w="12700">
                <a:solidFill>
                  <a:srgbClr val="000000">
                    <a:alpha val="100000"/>
                  </a:srgbClr>
                </a:solidFill>
                <a:prstDash val="solid"/>
              </a:ln>
            </c:spPr>
          </c:dPt>
          <c:dPt>
            <c:idx val="5"/>
            <c:bubble3D val="0"/>
            <c:explosion val="0"/>
            <c:spPr>
              <a:solidFill>
                <a:srgbClr val="993366">
                  <a:alpha val="100000"/>
                </a:srgbClr>
              </a:solidFill>
              <a:ln w="12700">
                <a:solidFill>
                  <a:srgbClr val="000000">
                    <a:alpha val="100000"/>
                  </a:srgbClr>
                </a:solidFill>
                <a:prstDash val="solid"/>
              </a:ln>
            </c:spPr>
          </c:dPt>
          <c:dLbls>
            <c:delete val="1"/>
          </c:dLbls>
          <c:cat>
            <c:strRef>
              <c:f>[2021决算公开表.xls]Sheet1!$A$110:$A$115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[2021决算公开表.xls]Sheet1!$C$110:$C$115</c:f>
              <c:numCache>
                <c:formatCode>0.00%</c:formatCode>
                <c:ptCount val="6"/>
                <c:pt idx="0">
                  <c:v>0.759</c:v>
                </c:pt>
                <c:pt idx="1">
                  <c:v>0.134</c:v>
                </c:pt>
                <c:pt idx="2">
                  <c:v>0.054</c:v>
                </c:pt>
                <c:pt idx="4">
                  <c:v>0.053</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egendEntry>
        <c:idx val="3"/>
        <c:delete val="1"/>
      </c:legendEntry>
      <c:legendEntry>
        <c:idx val="5"/>
        <c:delete val="1"/>
      </c:legendEntry>
      <c:layout>
        <c:manualLayout>
          <c:xMode val="edge"/>
          <c:yMode val="edge"/>
          <c:x val="0.75575"/>
          <c:y val="0.422"/>
          <c:w val="0.23875"/>
          <c:h val="0.265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图8   “三公”经费财政拨款支出结构</a:t>
            </a:r>
            <a:endParaRPr sz="14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409184042424973"/>
          <c:y val="0.0199706731550968"/>
        </c:manualLayout>
      </c:layout>
      <c:overlay val="0"/>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1"/>
              <c:layout>
                <c:manualLayout>
                  <c:x val="-0.184438994019465"/>
                  <c:y val="0.0554016620498615"/>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公务用车购置及运行维护费支出, 1.66, 7</a:t>
                    </a:r>
                    <a:r>
                      <a:rPr lang="en-US" altLang="zh-CN"/>
                      <a:t>8.70</a:t>
                    </a:r>
                    <a:r>
                      <a:t>%</a:t>
                    </a:r>
                  </a:p>
                </c:rich>
              </c:tx>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78674351585014"/>
                  <c:y val="0.027700831024930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公务接待费支出, 0.45, 21</a:t>
                    </a:r>
                    <a:r>
                      <a:rPr lang="en-US" altLang="zh-CN"/>
                      <a:t>.3</a:t>
                    </a:r>
                    <a:r>
                      <a:t>%</a:t>
                    </a:r>
                  </a:p>
                </c:rich>
              </c:tx>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[2021决算公开表.xls]Sheet1!$B$138:$B$140</c:f>
              <c:strCache>
                <c:ptCount val="3"/>
                <c:pt idx="0">
                  <c:v>因公出国（境）费支出</c:v>
                </c:pt>
                <c:pt idx="1">
                  <c:v>公务用车购置及运行维护费支出</c:v>
                </c:pt>
                <c:pt idx="2">
                  <c:v>公务接待费支出</c:v>
                </c:pt>
              </c:strCache>
            </c:strRef>
          </c:cat>
          <c:val>
            <c:numRef>
              <c:f>[2021决算公开表.xls]Sheet1!$C$138:$C$140</c:f>
              <c:numCache>
                <c:formatCode>General</c:formatCode>
                <c:ptCount val="3"/>
                <c:pt idx="0">
                  <c:v>0</c:v>
                </c:pt>
                <c:pt idx="1">
                  <c:v>1.66</c:v>
                </c:pt>
                <c:pt idx="2">
                  <c:v>0.45</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elete val="1"/>
          </c:dLbls>
          <c:cat>
            <c:strRef>
              <c:f>[2021决算公开表.xls]Sheet1!$B$138:$B$140</c:f>
              <c:strCache>
                <c:ptCount val="3"/>
                <c:pt idx="0">
                  <c:v>因公出国（境）费支出</c:v>
                </c:pt>
                <c:pt idx="1">
                  <c:v>公务用车购置及运行维护费支出</c:v>
                </c:pt>
                <c:pt idx="2">
                  <c:v>公务接待费支出</c:v>
                </c:pt>
              </c:strCache>
            </c:strRef>
          </c:cat>
          <c:val>
            <c:numRef>
              <c:f>[2021决算公开表.xls]Sheet1!$D$138:$D$140</c:f>
              <c:numCache>
                <c:formatCode>General</c:formatCode>
                <c:ptCount val="3"/>
                <c:pt idx="0">
                  <c:v>0</c:v>
                </c:pt>
                <c:pt idx="1" c:formatCode="0.00%">
                  <c:v>0.787</c:v>
                </c:pt>
                <c:pt idx="2" c:formatCode="0.00%">
                  <c:v>0.213</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5"/>
          <c:y val="0.4005"/>
          <c:w val="0.33875"/>
          <c:h val="0.33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22</Pages>
  <Words>1218</Words>
  <Characters>6946</Characters>
  <Lines>57</Lines>
  <Paragraphs>16</Paragraphs>
  <TotalTime>56</TotalTime>
  <ScaleCrop>false</ScaleCrop>
  <LinksUpToDate>false</LinksUpToDate>
  <CharactersWithSpaces>8148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2023-10-11T18:25:00Z</dcterms:created>
  <dc:creator>曹颖</dc:creator>
  <cp:lastModifiedBy>雨点儿</cp:lastModifiedBy>
  <cp:lastPrinted>2023-07-31T18:35:00Z</cp:lastPrinted>
  <dcterms:modified xsi:type="dcterms:W3CDTF">2024-05-13T01:20:34Z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321D237B32B544F7951E99AF91FAD1C5_13</vt:lpwstr>
  </property>
</Properties>
</file>