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topLinePunct w:val="0"/>
        <w:autoSpaceDE/>
        <w:autoSpaceDN/>
        <w:bidi w:val="0"/>
        <w:spacing w:line="360" w:lineRule="auto"/>
        <w:textAlignment w:val="auto"/>
        <w:rPr>
          <w:rFonts w:hint="eastAsia"/>
          <w:lang w:eastAsia="zh-CN"/>
        </w:rPr>
      </w:pPr>
      <w:bookmarkStart w:id="0" w:name="_Toc15306268"/>
      <w:bookmarkStart w:id="1" w:name="_Toc15377194"/>
      <w:bookmarkStart w:id="2" w:name="_Toc15396598"/>
      <w:bookmarkStart w:id="3" w:name="_Toc15396476"/>
      <w:bookmarkStart w:id="4" w:name="_Toc15378442"/>
      <w:bookmarkStart w:id="5" w:name="_Toc15377426"/>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0"/>
        <w:rPr>
          <w:rFonts w:hint="eastAsia"/>
          <w:lang w:eastAsia="zh-CN"/>
        </w:rPr>
      </w:pPr>
      <w:r>
        <w:rPr>
          <w:rFonts w:hint="eastAsia" w:ascii="方正小标宋简体" w:hAnsi="方正小标宋简体" w:eastAsia="方正小标宋简体" w:cs="方正小标宋简体"/>
          <w:sz w:val="72"/>
          <w:szCs w:val="72"/>
          <w:lang w:eastAsia="zh-CN"/>
        </w:rPr>
        <w:t>盐边县新九镇人民政府</w:t>
      </w:r>
      <w:bookmarkStart w:id="6" w:name="_Toc15377425"/>
      <w:bookmarkStart w:id="7" w:name="_Toc15377193"/>
      <w:bookmarkStart w:id="8" w:name="_Toc15396475"/>
      <w:bookmarkStart w:id="9" w:name="_Toc15396597"/>
      <w:bookmarkStart w:id="10" w:name="_Toc15378441"/>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0"/>
        <w:rPr>
          <w:rFonts w:hint="eastAsia" w:ascii="方正小标宋简体" w:hAnsi="方正小标宋简体" w:eastAsia="方正小标宋简体" w:cs="方正小标宋简体"/>
          <w:sz w:val="72"/>
          <w:szCs w:val="72"/>
          <w:lang w:val="en-US" w:eastAsia="zh-CN"/>
        </w:rPr>
      </w:pPr>
      <w:r>
        <w:rPr>
          <w:rFonts w:hint="eastAsia" w:ascii="方正小标宋简体" w:hAnsi="方正小标宋简体" w:eastAsia="方正小标宋简体" w:cs="方正小标宋简体"/>
          <w:sz w:val="72"/>
          <w:szCs w:val="72"/>
        </w:rPr>
        <w:t>2022年度</w:t>
      </w:r>
      <w:bookmarkEnd w:id="6"/>
      <w:bookmarkEnd w:id="7"/>
      <w:bookmarkEnd w:id="8"/>
      <w:bookmarkEnd w:id="9"/>
      <w:bookmarkEnd w:id="10"/>
      <w:r>
        <w:rPr>
          <w:rFonts w:hint="eastAsia" w:ascii="方正小标宋简体" w:hAnsi="方正小标宋简体" w:eastAsia="方正小标宋简体" w:cs="方正小标宋简体"/>
          <w:sz w:val="72"/>
          <w:szCs w:val="72"/>
        </w:rPr>
        <w:t>决算</w:t>
      </w:r>
      <w:bookmarkEnd w:id="0"/>
      <w:bookmarkEnd w:id="1"/>
      <w:bookmarkEnd w:id="2"/>
      <w:bookmarkEnd w:id="3"/>
      <w:bookmarkEnd w:id="4"/>
      <w:bookmarkEnd w:id="5"/>
      <w:r>
        <w:rPr>
          <w:rFonts w:hint="eastAsia" w:ascii="方正小标宋简体" w:hAnsi="方正小标宋简体" w:eastAsia="方正小标宋简体" w:cs="方正小标宋简体"/>
          <w:sz w:val="72"/>
          <w:szCs w:val="72"/>
          <w:lang w:val="en-US" w:eastAsia="zh-CN"/>
        </w:rPr>
        <w:t>公开</w:t>
      </w:r>
    </w:p>
    <w:p>
      <w:pPr>
        <w:keepNext w:val="0"/>
        <w:keepLines w:val="0"/>
        <w:pageBreakBefore w:val="0"/>
        <w:widowControl/>
        <w:kinsoku/>
        <w:wordWrap/>
        <w:overflowPunct/>
        <w:topLinePunct w:val="0"/>
        <w:autoSpaceDE/>
        <w:autoSpaceDN/>
        <w:bidi w:val="0"/>
        <w:spacing w:line="640" w:lineRule="exact"/>
        <w:jc w:val="both"/>
        <w:textAlignment w:val="auto"/>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pageBreakBefore w:val="0"/>
        <w:widowControl/>
        <w:kinsoku/>
        <w:wordWrap/>
        <w:overflowPunct/>
        <w:topLinePunct w:val="0"/>
        <w:bidi w:val="0"/>
        <w:spacing w:line="560" w:lineRule="exact"/>
        <w:jc w:val="center"/>
        <w:textAlignment w:val="auto"/>
        <w:rPr>
          <w:rFonts w:ascii="黑体" w:hAnsi="黑体" w:eastAsia="黑体" w:cstheme="minorBidi"/>
          <w:sz w:val="28"/>
          <w:szCs w:val="28"/>
        </w:rPr>
      </w:pPr>
    </w:p>
    <w:p>
      <w:pPr>
        <w:pStyle w:val="12"/>
        <w:pageBreakBefore w:val="0"/>
        <w:kinsoku/>
        <w:wordWrap/>
        <w:overflowPunct/>
        <w:topLinePunct w:val="0"/>
        <w:bidi w:val="0"/>
        <w:spacing w:line="560" w:lineRule="exact"/>
        <w:textAlignment w:val="auto"/>
      </w:pPr>
      <w:r>
        <w:rPr>
          <w:rFonts w:hint="eastAsia"/>
        </w:rPr>
        <w:t>公开时间：2023年</w:t>
      </w:r>
      <w:r>
        <w:rPr>
          <w:rFonts w:hint="eastAsia"/>
          <w:lang w:val="en-US" w:eastAsia="zh-CN"/>
        </w:rPr>
        <w:t>11</w:t>
      </w:r>
      <w:r>
        <w:rPr>
          <w:rFonts w:hint="eastAsia"/>
        </w:rPr>
        <w:t>月</w:t>
      </w:r>
      <w:r>
        <w:rPr>
          <w:rFonts w:hint="eastAsia"/>
          <w:lang w:val="en-US" w:eastAsia="zh-CN"/>
        </w:rPr>
        <w:t>30</w:t>
      </w:r>
      <w:r>
        <w:rPr>
          <w:rFonts w:hint="eastAsia"/>
        </w:rPr>
        <w:t>日</w:t>
      </w:r>
    </w:p>
    <w:p>
      <w:pPr>
        <w:pageBreakBefore w:val="0"/>
        <w:kinsoku/>
        <w:wordWrap/>
        <w:overflowPunct/>
        <w:topLinePunct w:val="0"/>
        <w:bidi w:val="0"/>
        <w:spacing w:line="560" w:lineRule="exact"/>
        <w:textAlignment w:val="auto"/>
      </w:pPr>
    </w:p>
    <w:p>
      <w:pPr>
        <w:pStyle w:val="12"/>
        <w:pageBreakBefore w:val="0"/>
        <w:kinsoku/>
        <w:wordWrap/>
        <w:overflowPunct/>
        <w:topLinePunct w:val="0"/>
        <w:bidi w:val="0"/>
        <w:adjustRightInd w:val="0"/>
        <w:snapToGrid w:val="0"/>
        <w:spacing w:before="0" w:line="560" w:lineRule="exact"/>
        <w:jc w:val="left"/>
        <w:textAlignment w:val="auto"/>
        <w:rPr>
          <w:rFonts w:hint="eastAsia" w:eastAsia="仿宋" w:cstheme="minorBidi"/>
          <w:sz w:val="24"/>
          <w:szCs w:val="24"/>
          <w:lang w:eastAsia="zh-CN"/>
        </w:rPr>
      </w:pPr>
      <w:r>
        <w:rPr>
          <w:rFonts w:hint="eastAsia"/>
          <w:sz w:val="24"/>
        </w:rPr>
        <w:t>第一部分单位概况</w:t>
      </w:r>
      <w:r>
        <w:ptab w:relativeTo="margin" w:alignment="right" w:leader="dot"/>
      </w:r>
      <w:r>
        <w:rPr>
          <w:rFonts w:hint="eastAsia"/>
          <w:lang w:val="en-US" w:eastAsia="zh-CN"/>
        </w:rPr>
        <w:t>4</w:t>
      </w:r>
    </w:p>
    <w:p>
      <w:pPr>
        <w:pStyle w:val="13"/>
        <w:pageBreakBefore w:val="0"/>
        <w:kinsoku/>
        <w:wordWrap/>
        <w:overflowPunct/>
        <w:topLinePunct w:val="0"/>
        <w:bidi w:val="0"/>
        <w:adjustRightInd w:val="0"/>
        <w:snapToGrid w:val="0"/>
        <w:spacing w:line="560" w:lineRule="exact"/>
        <w:jc w:val="left"/>
        <w:textAlignment w:val="auto"/>
        <w:rPr>
          <w:rFonts w:hint="eastAsia" w:eastAsia="宋体"/>
          <w:sz w:val="24"/>
          <w:lang w:eastAsia="zh-CN"/>
        </w:rPr>
      </w:pPr>
      <w:r>
        <w:rPr>
          <w:rFonts w:hint="eastAsia"/>
          <w:sz w:val="24"/>
        </w:rPr>
        <w:t>一、主要职责</w:t>
      </w:r>
      <w:r>
        <w:ptab w:relativeTo="margin" w:alignment="right" w:leader="dot"/>
      </w:r>
      <w:r>
        <w:rPr>
          <w:rFonts w:hint="eastAsia"/>
          <w:lang w:val="en-US" w:eastAsia="zh-CN"/>
        </w:rPr>
        <w:t>4</w:t>
      </w:r>
    </w:p>
    <w:p>
      <w:pPr>
        <w:pStyle w:val="13"/>
        <w:pageBreakBefore w:val="0"/>
        <w:kinsoku/>
        <w:wordWrap/>
        <w:overflowPunct/>
        <w:topLinePunct w:val="0"/>
        <w:bidi w:val="0"/>
        <w:adjustRightInd w:val="0"/>
        <w:snapToGrid w:val="0"/>
        <w:spacing w:line="560" w:lineRule="exact"/>
        <w:jc w:val="left"/>
        <w:textAlignment w:val="auto"/>
        <w:rPr>
          <w:rFonts w:hint="eastAsia" w:eastAsia="宋体"/>
          <w:lang w:eastAsia="zh-CN"/>
        </w:rPr>
      </w:pPr>
      <w:r>
        <w:rPr>
          <w:rFonts w:hint="eastAsia"/>
          <w:sz w:val="24"/>
        </w:rPr>
        <w:t>二、机构设置</w:t>
      </w:r>
      <w:r>
        <w:ptab w:relativeTo="margin" w:alignment="right" w:leader="dot"/>
      </w:r>
      <w:r>
        <w:rPr>
          <w:rFonts w:hint="eastAsia"/>
          <w:lang w:val="en-US" w:eastAsia="zh-CN"/>
        </w:rPr>
        <w:t>4</w:t>
      </w:r>
    </w:p>
    <w:p>
      <w:pPr>
        <w:pStyle w:val="12"/>
        <w:pageBreakBefore w:val="0"/>
        <w:kinsoku/>
        <w:wordWrap/>
        <w:overflowPunct/>
        <w:topLinePunct w:val="0"/>
        <w:bidi w:val="0"/>
        <w:adjustRightInd w:val="0"/>
        <w:snapToGrid w:val="0"/>
        <w:spacing w:before="0" w:line="560" w:lineRule="exact"/>
        <w:jc w:val="left"/>
        <w:textAlignment w:val="auto"/>
        <w:rPr>
          <w:rFonts w:hint="eastAsia" w:eastAsia="仿宋"/>
          <w:sz w:val="24"/>
          <w:szCs w:val="24"/>
          <w:lang w:eastAsia="zh-CN"/>
        </w:rPr>
      </w:pPr>
      <w:r>
        <w:rPr>
          <w:rFonts w:hint="eastAsia"/>
          <w:sz w:val="24"/>
        </w:rPr>
        <w:t>第二部分 2022年度单位决算情况说明</w:t>
      </w:r>
      <w:r>
        <w:ptab w:relativeTo="margin" w:alignment="right" w:leader="dot"/>
      </w:r>
      <w:r>
        <w:rPr>
          <w:rFonts w:hint="eastAsia"/>
          <w:lang w:val="en-US" w:eastAsia="zh-CN"/>
        </w:rPr>
        <w:t>5</w:t>
      </w:r>
    </w:p>
    <w:p>
      <w:pPr>
        <w:pStyle w:val="13"/>
        <w:pageBreakBefore w:val="0"/>
        <w:kinsoku/>
        <w:wordWrap/>
        <w:overflowPunct/>
        <w:topLinePunct w:val="0"/>
        <w:bidi w:val="0"/>
        <w:adjustRightInd w:val="0"/>
        <w:snapToGrid w:val="0"/>
        <w:spacing w:line="560" w:lineRule="exact"/>
        <w:jc w:val="left"/>
        <w:textAlignment w:val="auto"/>
        <w:rPr>
          <w:rFonts w:hint="eastAsia" w:ascii="仿宋" w:hAnsi="仿宋" w:eastAsia="宋体" w:cstheme="minorBidi"/>
          <w:sz w:val="24"/>
          <w:lang w:eastAsia="zh-CN"/>
        </w:rPr>
      </w:pPr>
      <w:r>
        <w:rPr>
          <w:rFonts w:hint="eastAsia"/>
          <w:sz w:val="24"/>
        </w:rPr>
        <w:t>一、收入支出决算总体情况说明</w:t>
      </w:r>
      <w:r>
        <w:ptab w:relativeTo="margin" w:alignment="right" w:leader="dot"/>
      </w:r>
      <w:r>
        <w:rPr>
          <w:rFonts w:hint="eastAsia"/>
          <w:lang w:val="en-US" w:eastAsia="zh-CN"/>
        </w:rPr>
        <w:t>5</w:t>
      </w:r>
    </w:p>
    <w:p>
      <w:pPr>
        <w:pStyle w:val="13"/>
        <w:pageBreakBefore w:val="0"/>
        <w:kinsoku/>
        <w:wordWrap/>
        <w:overflowPunct/>
        <w:topLinePunct w:val="0"/>
        <w:bidi w:val="0"/>
        <w:adjustRightInd w:val="0"/>
        <w:snapToGrid w:val="0"/>
        <w:spacing w:line="560" w:lineRule="exact"/>
        <w:jc w:val="left"/>
        <w:textAlignment w:val="auto"/>
        <w:rPr>
          <w:rFonts w:hint="eastAsia" w:ascii="仿宋" w:hAnsi="仿宋" w:eastAsia="宋体" w:cstheme="minorBidi"/>
          <w:sz w:val="24"/>
          <w:lang w:eastAsia="zh-CN"/>
        </w:rPr>
      </w:pPr>
      <w:r>
        <w:rPr>
          <w:rFonts w:hint="eastAsia"/>
          <w:sz w:val="24"/>
        </w:rPr>
        <w:t>二、收入决算情况说明</w:t>
      </w:r>
      <w:r>
        <w:ptab w:relativeTo="margin" w:alignment="right" w:leader="dot"/>
      </w:r>
      <w:r>
        <w:rPr>
          <w:rFonts w:hint="eastAsia"/>
          <w:lang w:val="en-US" w:eastAsia="zh-CN"/>
        </w:rPr>
        <w:t>5</w:t>
      </w:r>
    </w:p>
    <w:p>
      <w:pPr>
        <w:pStyle w:val="13"/>
        <w:pageBreakBefore w:val="0"/>
        <w:kinsoku/>
        <w:wordWrap/>
        <w:overflowPunct/>
        <w:topLinePunct w:val="0"/>
        <w:bidi w:val="0"/>
        <w:adjustRightInd w:val="0"/>
        <w:snapToGrid w:val="0"/>
        <w:spacing w:line="560" w:lineRule="exact"/>
        <w:jc w:val="left"/>
        <w:textAlignment w:val="auto"/>
        <w:rPr>
          <w:rFonts w:hint="eastAsia" w:ascii="仿宋" w:hAnsi="仿宋" w:eastAsia="宋体" w:cstheme="minorBidi"/>
          <w:sz w:val="24"/>
          <w:lang w:eastAsia="zh-CN"/>
        </w:rPr>
      </w:pPr>
      <w:r>
        <w:rPr>
          <w:rFonts w:hint="eastAsia"/>
          <w:sz w:val="24"/>
        </w:rPr>
        <w:t>三、支出决算情况说明</w:t>
      </w:r>
      <w:r>
        <w:ptab w:relativeTo="margin" w:alignment="right" w:leader="dot"/>
      </w:r>
      <w:r>
        <w:rPr>
          <w:rFonts w:hint="eastAsia"/>
          <w:lang w:val="en-US" w:eastAsia="zh-CN"/>
        </w:rPr>
        <w:t>6</w:t>
      </w:r>
    </w:p>
    <w:p>
      <w:pPr>
        <w:pStyle w:val="13"/>
        <w:pageBreakBefore w:val="0"/>
        <w:kinsoku/>
        <w:wordWrap/>
        <w:overflowPunct/>
        <w:topLinePunct w:val="0"/>
        <w:bidi w:val="0"/>
        <w:adjustRightInd w:val="0"/>
        <w:snapToGrid w:val="0"/>
        <w:spacing w:line="560" w:lineRule="exact"/>
        <w:jc w:val="left"/>
        <w:textAlignment w:val="auto"/>
        <w:rPr>
          <w:rFonts w:hint="eastAsia" w:ascii="仿宋" w:hAnsi="仿宋" w:eastAsia="宋体" w:cstheme="minorBidi"/>
          <w:sz w:val="24"/>
          <w:lang w:eastAsia="zh-CN"/>
        </w:rPr>
      </w:pPr>
      <w:r>
        <w:rPr>
          <w:rFonts w:hint="eastAsia"/>
          <w:sz w:val="24"/>
        </w:rPr>
        <w:t>四、财政拨款收入支出决算总体情况说明</w:t>
      </w:r>
      <w:r>
        <w:ptab w:relativeTo="margin" w:alignment="right" w:leader="dot"/>
      </w:r>
      <w:r>
        <w:rPr>
          <w:rFonts w:hint="eastAsia"/>
          <w:lang w:val="en-US" w:eastAsia="zh-CN"/>
        </w:rPr>
        <w:t>7</w:t>
      </w:r>
    </w:p>
    <w:p>
      <w:pPr>
        <w:pStyle w:val="13"/>
        <w:pageBreakBefore w:val="0"/>
        <w:kinsoku/>
        <w:wordWrap/>
        <w:overflowPunct/>
        <w:topLinePunct w:val="0"/>
        <w:bidi w:val="0"/>
        <w:adjustRightInd w:val="0"/>
        <w:snapToGrid w:val="0"/>
        <w:spacing w:line="560" w:lineRule="exact"/>
        <w:jc w:val="left"/>
        <w:textAlignment w:val="auto"/>
        <w:rPr>
          <w:rFonts w:hint="eastAsia" w:ascii="仿宋" w:hAnsi="仿宋" w:eastAsia="宋体" w:cstheme="minorBidi"/>
          <w:sz w:val="24"/>
          <w:lang w:eastAsia="zh-CN"/>
        </w:rPr>
      </w:pPr>
      <w:r>
        <w:rPr>
          <w:rFonts w:hint="eastAsia"/>
          <w:sz w:val="24"/>
        </w:rPr>
        <w:t>五、一般公共预算财政拨款支出决算情况说明</w:t>
      </w:r>
      <w:r>
        <w:ptab w:relativeTo="margin" w:alignment="right" w:leader="dot"/>
      </w:r>
      <w:r>
        <w:rPr>
          <w:rFonts w:hint="eastAsia"/>
          <w:lang w:val="en-US" w:eastAsia="zh-CN"/>
        </w:rPr>
        <w:t>7</w:t>
      </w:r>
    </w:p>
    <w:p>
      <w:pPr>
        <w:pStyle w:val="13"/>
        <w:pageBreakBefore w:val="0"/>
        <w:kinsoku/>
        <w:wordWrap/>
        <w:overflowPunct/>
        <w:topLinePunct w:val="0"/>
        <w:bidi w:val="0"/>
        <w:adjustRightInd w:val="0"/>
        <w:snapToGrid w:val="0"/>
        <w:spacing w:line="560" w:lineRule="exact"/>
        <w:jc w:val="left"/>
        <w:textAlignment w:val="auto"/>
        <w:rPr>
          <w:rFonts w:hint="default" w:ascii="仿宋" w:hAnsi="仿宋" w:eastAsia="宋体" w:cstheme="minorBidi"/>
          <w:sz w:val="24"/>
          <w:lang w:val="en-US" w:eastAsia="zh-CN"/>
        </w:rPr>
      </w:pPr>
      <w:r>
        <w:rPr>
          <w:rFonts w:hint="eastAsia"/>
          <w:sz w:val="24"/>
        </w:rPr>
        <w:t>六、一般公共预算财政拨款基本支出决算情况说明</w:t>
      </w:r>
      <w:r>
        <w:ptab w:relativeTo="margin" w:alignment="right" w:leader="dot"/>
      </w:r>
      <w:r>
        <w:rPr>
          <w:rFonts w:hint="eastAsia"/>
          <w:lang w:val="en-US" w:eastAsia="zh-CN"/>
        </w:rPr>
        <w:t>14</w:t>
      </w:r>
    </w:p>
    <w:p>
      <w:pPr>
        <w:pStyle w:val="13"/>
        <w:pageBreakBefore w:val="0"/>
        <w:kinsoku/>
        <w:wordWrap/>
        <w:overflowPunct/>
        <w:topLinePunct w:val="0"/>
        <w:bidi w:val="0"/>
        <w:adjustRightInd w:val="0"/>
        <w:snapToGrid w:val="0"/>
        <w:spacing w:line="560" w:lineRule="exact"/>
        <w:jc w:val="left"/>
        <w:textAlignment w:val="auto"/>
        <w:rPr>
          <w:rFonts w:hint="default" w:ascii="仿宋" w:hAnsi="仿宋" w:eastAsia="宋体" w:cstheme="minorBidi"/>
          <w:sz w:val="24"/>
          <w:lang w:val="en-US" w:eastAsia="zh-CN"/>
        </w:rPr>
      </w:pPr>
      <w:r>
        <w:rPr>
          <w:rFonts w:hint="eastAsia"/>
          <w:sz w:val="24"/>
        </w:rPr>
        <w:t>七、财政拨款“三公”经费支出决算情况说明</w:t>
      </w:r>
      <w:r>
        <w:ptab w:relativeTo="margin" w:alignment="right" w:leader="dot"/>
      </w:r>
      <w:r>
        <w:rPr>
          <w:rFonts w:hint="eastAsia"/>
          <w:lang w:val="en-US" w:eastAsia="zh-CN"/>
        </w:rPr>
        <w:t>15</w:t>
      </w:r>
    </w:p>
    <w:p>
      <w:pPr>
        <w:pStyle w:val="13"/>
        <w:pageBreakBefore w:val="0"/>
        <w:kinsoku/>
        <w:wordWrap/>
        <w:overflowPunct/>
        <w:topLinePunct w:val="0"/>
        <w:bidi w:val="0"/>
        <w:adjustRightInd w:val="0"/>
        <w:snapToGrid w:val="0"/>
        <w:spacing w:line="560" w:lineRule="exact"/>
        <w:jc w:val="left"/>
        <w:textAlignment w:val="auto"/>
        <w:rPr>
          <w:rFonts w:hint="default" w:ascii="仿宋" w:hAnsi="仿宋" w:eastAsia="宋体" w:cstheme="minorBidi"/>
          <w:sz w:val="24"/>
          <w:lang w:val="en-US" w:eastAsia="zh-CN"/>
        </w:rPr>
      </w:pPr>
      <w:r>
        <w:rPr>
          <w:rFonts w:hint="eastAsia"/>
          <w:sz w:val="24"/>
        </w:rPr>
        <w:t>八、政府性基金预算支出决算情况说明</w:t>
      </w:r>
      <w:r>
        <w:ptab w:relativeTo="margin" w:alignment="right" w:leader="dot"/>
      </w:r>
      <w:r>
        <w:rPr>
          <w:rFonts w:hint="eastAsia"/>
          <w:lang w:val="en-US" w:eastAsia="zh-CN"/>
        </w:rPr>
        <w:t>16</w:t>
      </w:r>
    </w:p>
    <w:p>
      <w:pPr>
        <w:pStyle w:val="13"/>
        <w:pageBreakBefore w:val="0"/>
        <w:kinsoku/>
        <w:wordWrap/>
        <w:overflowPunct/>
        <w:topLinePunct w:val="0"/>
        <w:bidi w:val="0"/>
        <w:adjustRightInd w:val="0"/>
        <w:snapToGrid w:val="0"/>
        <w:spacing w:line="560" w:lineRule="exact"/>
        <w:jc w:val="left"/>
        <w:textAlignment w:val="auto"/>
        <w:rPr>
          <w:rFonts w:hint="default" w:eastAsia="宋体"/>
          <w:sz w:val="24"/>
          <w:lang w:val="en-US" w:eastAsia="zh-CN"/>
        </w:rPr>
      </w:pPr>
      <w:r>
        <w:rPr>
          <w:rFonts w:hint="eastAsia"/>
          <w:sz w:val="24"/>
        </w:rPr>
        <w:t>九、国有资本经营预算支出决算情况说明</w:t>
      </w:r>
      <w:r>
        <w:ptab w:relativeTo="margin" w:alignment="right" w:leader="dot"/>
      </w:r>
      <w:r>
        <w:rPr>
          <w:rFonts w:hint="eastAsia"/>
          <w:lang w:val="en-US" w:eastAsia="zh-CN"/>
        </w:rPr>
        <w:t>16</w:t>
      </w:r>
    </w:p>
    <w:p>
      <w:pPr>
        <w:pStyle w:val="13"/>
        <w:pageBreakBefore w:val="0"/>
        <w:kinsoku/>
        <w:wordWrap/>
        <w:overflowPunct/>
        <w:topLinePunct w:val="0"/>
        <w:bidi w:val="0"/>
        <w:adjustRightInd w:val="0"/>
        <w:snapToGrid w:val="0"/>
        <w:spacing w:line="560" w:lineRule="exact"/>
        <w:jc w:val="left"/>
        <w:textAlignment w:val="auto"/>
        <w:rPr>
          <w:rFonts w:hint="default" w:eastAsia="宋体"/>
          <w:sz w:val="24"/>
          <w:lang w:val="en-US" w:eastAsia="zh-CN"/>
        </w:rPr>
      </w:pPr>
      <w:r>
        <w:rPr>
          <w:rFonts w:hint="eastAsia"/>
          <w:sz w:val="24"/>
        </w:rPr>
        <w:t>十、其他重要事项的情况说明</w:t>
      </w:r>
      <w:r>
        <w:ptab w:relativeTo="margin" w:alignment="right" w:leader="dot"/>
      </w:r>
      <w:r>
        <w:rPr>
          <w:rFonts w:hint="eastAsia"/>
          <w:lang w:val="en-US" w:eastAsia="zh-CN"/>
        </w:rPr>
        <w:t>16</w:t>
      </w:r>
    </w:p>
    <w:p>
      <w:pPr>
        <w:pStyle w:val="12"/>
        <w:pageBreakBefore w:val="0"/>
        <w:kinsoku/>
        <w:wordWrap/>
        <w:overflowPunct/>
        <w:topLinePunct w:val="0"/>
        <w:bidi w:val="0"/>
        <w:adjustRightInd w:val="0"/>
        <w:snapToGrid w:val="0"/>
        <w:spacing w:before="0" w:line="560" w:lineRule="exact"/>
        <w:jc w:val="left"/>
        <w:textAlignment w:val="auto"/>
        <w:rPr>
          <w:rFonts w:hint="default" w:eastAsia="仿宋" w:cstheme="minorBidi"/>
          <w:sz w:val="24"/>
          <w:szCs w:val="24"/>
          <w:lang w:val="en-US" w:eastAsia="zh-CN"/>
        </w:rPr>
      </w:pPr>
      <w:r>
        <w:rPr>
          <w:rFonts w:hint="eastAsia"/>
          <w:sz w:val="24"/>
        </w:rPr>
        <w:t>第三部分名词解释</w:t>
      </w:r>
      <w:r>
        <w:ptab w:relativeTo="margin" w:alignment="right" w:leader="dot"/>
      </w:r>
      <w:r>
        <w:rPr>
          <w:rFonts w:hint="eastAsia"/>
          <w:lang w:val="en-US" w:eastAsia="zh-CN"/>
        </w:rPr>
        <w:t>19</w:t>
      </w:r>
    </w:p>
    <w:p>
      <w:pPr>
        <w:pStyle w:val="12"/>
        <w:pageBreakBefore w:val="0"/>
        <w:kinsoku/>
        <w:wordWrap/>
        <w:overflowPunct/>
        <w:topLinePunct w:val="0"/>
        <w:bidi w:val="0"/>
        <w:adjustRightInd w:val="0"/>
        <w:snapToGrid w:val="0"/>
        <w:spacing w:before="0" w:line="560" w:lineRule="exact"/>
        <w:jc w:val="left"/>
        <w:textAlignment w:val="auto"/>
        <w:rPr>
          <w:rFonts w:hint="default" w:eastAsia="仿宋" w:cstheme="minorBidi"/>
          <w:sz w:val="24"/>
          <w:szCs w:val="24"/>
          <w:lang w:val="en-US" w:eastAsia="zh-CN"/>
        </w:rPr>
      </w:pPr>
      <w:r>
        <w:rPr>
          <w:rFonts w:hint="eastAsia"/>
          <w:sz w:val="24"/>
        </w:rPr>
        <w:t>第四部分附件</w:t>
      </w:r>
      <w:r>
        <w:ptab w:relativeTo="margin" w:alignment="right" w:leader="dot"/>
      </w:r>
      <w:r>
        <w:rPr>
          <w:rFonts w:hint="eastAsia"/>
          <w:lang w:val="en-US" w:eastAsia="zh-CN"/>
        </w:rPr>
        <w:t>27</w:t>
      </w:r>
    </w:p>
    <w:p>
      <w:pPr>
        <w:pStyle w:val="12"/>
        <w:pageBreakBefore w:val="0"/>
        <w:kinsoku/>
        <w:wordWrap/>
        <w:overflowPunct/>
        <w:topLinePunct w:val="0"/>
        <w:bidi w:val="0"/>
        <w:adjustRightInd w:val="0"/>
        <w:snapToGrid w:val="0"/>
        <w:spacing w:before="0" w:line="560" w:lineRule="exact"/>
        <w:jc w:val="left"/>
        <w:textAlignment w:val="auto"/>
        <w:rPr>
          <w:rFonts w:hint="default" w:eastAsia="仿宋" w:cstheme="minorBidi"/>
          <w:sz w:val="24"/>
          <w:szCs w:val="24"/>
          <w:lang w:val="en-US" w:eastAsia="zh-CN"/>
        </w:rPr>
      </w:pPr>
      <w:r>
        <w:rPr>
          <w:rFonts w:hint="eastAsia"/>
          <w:sz w:val="24"/>
        </w:rPr>
        <w:t>第五部分附表</w:t>
      </w:r>
      <w:r>
        <w:ptab w:relativeTo="margin" w:alignment="right" w:leader="dot"/>
      </w:r>
      <w:r>
        <w:rPr>
          <w:rFonts w:hint="eastAsia"/>
          <w:lang w:val="en-US" w:eastAsia="zh-CN"/>
        </w:rPr>
        <w:t>28</w:t>
      </w:r>
    </w:p>
    <w:p>
      <w:pPr>
        <w:pStyle w:val="13"/>
        <w:pageBreakBefore w:val="0"/>
        <w:kinsoku/>
        <w:wordWrap/>
        <w:overflowPunct/>
        <w:topLinePunct w:val="0"/>
        <w:bidi w:val="0"/>
        <w:adjustRightInd w:val="0"/>
        <w:snapToGrid w:val="0"/>
        <w:spacing w:line="560" w:lineRule="exact"/>
        <w:jc w:val="left"/>
        <w:textAlignment w:val="auto"/>
        <w:rPr>
          <w:sz w:val="24"/>
        </w:rPr>
      </w:pPr>
      <w:r>
        <w:rPr>
          <w:rFonts w:hint="eastAsia"/>
          <w:sz w:val="24"/>
        </w:rPr>
        <w:t>一、收入支出决算总表</w:t>
      </w:r>
    </w:p>
    <w:p>
      <w:pPr>
        <w:pStyle w:val="13"/>
        <w:pageBreakBefore w:val="0"/>
        <w:kinsoku/>
        <w:wordWrap/>
        <w:overflowPunct/>
        <w:topLinePunct w:val="0"/>
        <w:bidi w:val="0"/>
        <w:adjustRightInd w:val="0"/>
        <w:snapToGrid w:val="0"/>
        <w:spacing w:line="560" w:lineRule="exact"/>
        <w:jc w:val="left"/>
        <w:textAlignment w:val="auto"/>
        <w:rPr>
          <w:sz w:val="24"/>
        </w:rPr>
      </w:pPr>
      <w:r>
        <w:rPr>
          <w:rFonts w:hint="eastAsia"/>
          <w:sz w:val="24"/>
        </w:rPr>
        <w:t>二、收入决算表</w:t>
      </w:r>
    </w:p>
    <w:p>
      <w:pPr>
        <w:pStyle w:val="13"/>
        <w:pageBreakBefore w:val="0"/>
        <w:kinsoku/>
        <w:wordWrap/>
        <w:overflowPunct/>
        <w:topLinePunct w:val="0"/>
        <w:bidi w:val="0"/>
        <w:adjustRightInd w:val="0"/>
        <w:snapToGrid w:val="0"/>
        <w:spacing w:line="560" w:lineRule="exact"/>
        <w:jc w:val="left"/>
        <w:textAlignment w:val="auto"/>
        <w:rPr>
          <w:sz w:val="24"/>
        </w:rPr>
      </w:pPr>
      <w:r>
        <w:rPr>
          <w:rFonts w:hint="eastAsia"/>
          <w:sz w:val="24"/>
        </w:rPr>
        <w:t>三、支出决算表</w:t>
      </w:r>
    </w:p>
    <w:p>
      <w:pPr>
        <w:pStyle w:val="13"/>
        <w:pageBreakBefore w:val="0"/>
        <w:kinsoku/>
        <w:wordWrap/>
        <w:overflowPunct/>
        <w:topLinePunct w:val="0"/>
        <w:bidi w:val="0"/>
        <w:adjustRightInd w:val="0"/>
        <w:snapToGrid w:val="0"/>
        <w:spacing w:line="560" w:lineRule="exact"/>
        <w:jc w:val="left"/>
        <w:textAlignment w:val="auto"/>
        <w:rPr>
          <w:sz w:val="24"/>
        </w:rPr>
      </w:pPr>
      <w:r>
        <w:rPr>
          <w:rFonts w:hint="eastAsia"/>
          <w:sz w:val="24"/>
        </w:rPr>
        <w:t>四、财政拨款收入支出决算总表</w:t>
      </w:r>
    </w:p>
    <w:p>
      <w:pPr>
        <w:pStyle w:val="13"/>
        <w:pageBreakBefore w:val="0"/>
        <w:kinsoku/>
        <w:wordWrap/>
        <w:overflowPunct/>
        <w:topLinePunct w:val="0"/>
        <w:bidi w:val="0"/>
        <w:adjustRightInd w:val="0"/>
        <w:snapToGrid w:val="0"/>
        <w:spacing w:line="560" w:lineRule="exact"/>
        <w:jc w:val="left"/>
        <w:textAlignment w:val="auto"/>
        <w:rPr>
          <w:sz w:val="24"/>
        </w:rPr>
      </w:pPr>
      <w:r>
        <w:rPr>
          <w:rFonts w:hint="eastAsia"/>
          <w:sz w:val="24"/>
        </w:rPr>
        <w:t>五、财政拨款支出决算明细表</w:t>
      </w:r>
    </w:p>
    <w:p>
      <w:pPr>
        <w:pStyle w:val="13"/>
        <w:pageBreakBefore w:val="0"/>
        <w:kinsoku/>
        <w:wordWrap/>
        <w:overflowPunct/>
        <w:topLinePunct w:val="0"/>
        <w:bidi w:val="0"/>
        <w:adjustRightInd w:val="0"/>
        <w:snapToGrid w:val="0"/>
        <w:spacing w:line="560" w:lineRule="exact"/>
        <w:jc w:val="left"/>
        <w:textAlignment w:val="auto"/>
        <w:rPr>
          <w:sz w:val="24"/>
        </w:rPr>
      </w:pPr>
      <w:r>
        <w:rPr>
          <w:rFonts w:hint="eastAsia"/>
          <w:sz w:val="24"/>
        </w:rPr>
        <w:t>六、一般公共预算财政拨款支出决算表</w:t>
      </w:r>
    </w:p>
    <w:p>
      <w:pPr>
        <w:pStyle w:val="13"/>
        <w:pageBreakBefore w:val="0"/>
        <w:kinsoku/>
        <w:wordWrap/>
        <w:overflowPunct/>
        <w:topLinePunct w:val="0"/>
        <w:bidi w:val="0"/>
        <w:adjustRightInd w:val="0"/>
        <w:snapToGrid w:val="0"/>
        <w:spacing w:line="560" w:lineRule="exact"/>
        <w:jc w:val="left"/>
        <w:textAlignment w:val="auto"/>
        <w:rPr>
          <w:sz w:val="24"/>
        </w:rPr>
      </w:pPr>
      <w:r>
        <w:rPr>
          <w:rFonts w:hint="eastAsia"/>
          <w:sz w:val="24"/>
        </w:rPr>
        <w:t>七、一般公共预算财政拨款支出决算明细表</w:t>
      </w:r>
    </w:p>
    <w:p>
      <w:pPr>
        <w:pStyle w:val="13"/>
        <w:pageBreakBefore w:val="0"/>
        <w:kinsoku/>
        <w:wordWrap/>
        <w:overflowPunct/>
        <w:topLinePunct w:val="0"/>
        <w:bidi w:val="0"/>
        <w:adjustRightInd w:val="0"/>
        <w:snapToGrid w:val="0"/>
        <w:spacing w:line="560" w:lineRule="exact"/>
        <w:jc w:val="left"/>
        <w:textAlignment w:val="auto"/>
        <w:rPr>
          <w:sz w:val="24"/>
        </w:rPr>
      </w:pPr>
      <w:r>
        <w:rPr>
          <w:rFonts w:hint="eastAsia"/>
          <w:sz w:val="24"/>
        </w:rPr>
        <w:t>八、一般公共预算财政拨款基本支出决算明细表</w:t>
      </w:r>
    </w:p>
    <w:p>
      <w:pPr>
        <w:pStyle w:val="13"/>
        <w:pageBreakBefore w:val="0"/>
        <w:kinsoku/>
        <w:wordWrap/>
        <w:overflowPunct/>
        <w:topLinePunct w:val="0"/>
        <w:bidi w:val="0"/>
        <w:adjustRightInd w:val="0"/>
        <w:snapToGrid w:val="0"/>
        <w:spacing w:line="560" w:lineRule="exact"/>
        <w:jc w:val="left"/>
        <w:textAlignment w:val="auto"/>
        <w:rPr>
          <w:sz w:val="24"/>
        </w:rPr>
      </w:pPr>
      <w:r>
        <w:rPr>
          <w:rFonts w:hint="eastAsia"/>
          <w:sz w:val="24"/>
        </w:rPr>
        <w:t>九、一般公共预算财政拨款项目支出决算表</w:t>
      </w:r>
    </w:p>
    <w:p>
      <w:pPr>
        <w:pStyle w:val="13"/>
        <w:pageBreakBefore w:val="0"/>
        <w:kinsoku/>
        <w:wordWrap/>
        <w:overflowPunct/>
        <w:topLinePunct w:val="0"/>
        <w:bidi w:val="0"/>
        <w:adjustRightInd w:val="0"/>
        <w:snapToGrid w:val="0"/>
        <w:spacing w:line="560" w:lineRule="exact"/>
        <w:jc w:val="left"/>
        <w:textAlignment w:val="auto"/>
        <w:rPr>
          <w:sz w:val="24"/>
        </w:rPr>
      </w:pPr>
      <w:r>
        <w:rPr>
          <w:rFonts w:hint="eastAsia"/>
          <w:sz w:val="24"/>
        </w:rPr>
        <w:t>十、政府性基金预算财政拨款收入支出决算表</w:t>
      </w:r>
    </w:p>
    <w:p>
      <w:pPr>
        <w:pStyle w:val="13"/>
        <w:pageBreakBefore w:val="0"/>
        <w:kinsoku/>
        <w:wordWrap/>
        <w:overflowPunct/>
        <w:topLinePunct w:val="0"/>
        <w:bidi w:val="0"/>
        <w:adjustRightInd w:val="0"/>
        <w:snapToGrid w:val="0"/>
        <w:spacing w:line="560" w:lineRule="exact"/>
        <w:jc w:val="left"/>
        <w:textAlignment w:val="auto"/>
        <w:rPr>
          <w:sz w:val="24"/>
        </w:rPr>
      </w:pPr>
      <w:r>
        <w:rPr>
          <w:rFonts w:hint="eastAsia"/>
          <w:sz w:val="24"/>
        </w:rPr>
        <w:t>十一、国有资本经营预算财政拨款收入支出决算表</w:t>
      </w:r>
    </w:p>
    <w:p>
      <w:pPr>
        <w:pStyle w:val="13"/>
        <w:pageBreakBefore w:val="0"/>
        <w:kinsoku/>
        <w:wordWrap/>
        <w:overflowPunct/>
        <w:topLinePunct w:val="0"/>
        <w:bidi w:val="0"/>
        <w:adjustRightInd w:val="0"/>
        <w:snapToGrid w:val="0"/>
        <w:spacing w:line="560" w:lineRule="exact"/>
        <w:jc w:val="left"/>
        <w:textAlignment w:val="auto"/>
        <w:rPr>
          <w:sz w:val="24"/>
        </w:rPr>
      </w:pPr>
      <w:r>
        <w:rPr>
          <w:rFonts w:hint="eastAsia"/>
          <w:sz w:val="24"/>
        </w:rPr>
        <w:t>十二、国有资本经营预算财政拨款支出决算表</w:t>
      </w:r>
    </w:p>
    <w:p>
      <w:pPr>
        <w:pStyle w:val="13"/>
        <w:pageBreakBefore w:val="0"/>
        <w:kinsoku/>
        <w:wordWrap/>
        <w:overflowPunct/>
        <w:topLinePunct w:val="0"/>
        <w:bidi w:val="0"/>
        <w:adjustRightInd w:val="0"/>
        <w:snapToGrid w:val="0"/>
        <w:spacing w:line="560" w:lineRule="exact"/>
        <w:jc w:val="left"/>
        <w:textAlignment w:val="auto"/>
        <w:rPr>
          <w:rFonts w:ascii="仿宋" w:hAnsi="仿宋" w:eastAsia="仿宋"/>
          <w:bCs/>
          <w:kern w:val="44"/>
          <w:sz w:val="24"/>
        </w:rPr>
      </w:pPr>
      <w:r>
        <w:rPr>
          <w:rFonts w:hint="eastAsia"/>
          <w:sz w:val="24"/>
        </w:rPr>
        <w:t>十三、财政拨款“三公”经费支出决算表</w:t>
      </w:r>
      <w:bookmarkStart w:id="11" w:name="_Toc15377196"/>
      <w:bookmarkStart w:id="12" w:name="_Toc15396599"/>
      <w:r>
        <w:rPr>
          <w:rFonts w:ascii="仿宋" w:hAnsi="仿宋" w:eastAsia="仿宋"/>
          <w:b/>
          <w:sz w:val="24"/>
        </w:rPr>
        <w:br w:type="page"/>
      </w:r>
    </w:p>
    <w:p>
      <w:pPr>
        <w:pStyle w:val="3"/>
        <w:pageBreakBefore w:val="0"/>
        <w:kinsoku/>
        <w:wordWrap/>
        <w:overflowPunct/>
        <w:topLinePunct w:val="0"/>
        <w:bidi w:val="0"/>
        <w:spacing w:line="56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val="0"/>
        </w:rPr>
        <w:t>第一部分 单位</w:t>
      </w:r>
      <w:r>
        <w:rPr>
          <w:rStyle w:val="27"/>
          <w:rFonts w:hint="eastAsia" w:ascii="方正黑体_GBK" w:hAnsi="方正黑体_GBK" w:eastAsia="方正黑体_GBK" w:cs="方正黑体_GBK"/>
          <w:b w:val="0"/>
          <w:bCs w:val="0"/>
        </w:rPr>
        <w:t>概况</w:t>
      </w:r>
      <w:bookmarkEnd w:id="11"/>
      <w:bookmarkEnd w:id="12"/>
    </w:p>
    <w:p>
      <w:pPr>
        <w:pStyle w:val="2"/>
        <w:pageBreakBefore w:val="0"/>
        <w:numPr>
          <w:ilvl w:val="0"/>
          <w:numId w:val="1"/>
        </w:numPr>
        <w:kinsoku/>
        <w:wordWrap/>
        <w:overflowPunct/>
        <w:topLinePunct w:val="0"/>
        <w:bidi w:val="0"/>
        <w:spacing w:line="560" w:lineRule="exact"/>
        <w:textAlignment w:val="auto"/>
        <w:rPr>
          <w:rStyle w:val="28"/>
          <w:rFonts w:ascii="黑体" w:hAnsi="黑体" w:eastAsia="黑体"/>
          <w:b w:val="0"/>
          <w:bCs w:val="0"/>
        </w:rPr>
      </w:pPr>
      <w:bookmarkStart w:id="13" w:name="_Toc15396600"/>
      <w:bookmarkStart w:id="14" w:name="_Toc15377197"/>
      <w:r>
        <w:rPr>
          <w:rStyle w:val="28"/>
          <w:rFonts w:hint="eastAsia" w:ascii="黑体" w:hAnsi="黑体" w:eastAsia="黑体"/>
          <w:b w:val="0"/>
          <w:bCs w:val="0"/>
        </w:rPr>
        <w:t>主要职责</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60" w:firstLineChars="200"/>
        <w:jc w:val="both"/>
        <w:textAlignment w:val="auto"/>
        <w:outlineLvl w:val="9"/>
        <w:rPr>
          <w:rFonts w:hint="eastAsia" w:ascii="方正楷体_GBK" w:hAnsi="方正楷体_GBK" w:eastAsia="方正楷体_GBK" w:cs="方正楷体_GBK"/>
          <w:sz w:val="33"/>
          <w:szCs w:val="33"/>
          <w:lang w:eastAsia="zh-CN"/>
        </w:rPr>
      </w:pPr>
      <w:r>
        <w:rPr>
          <w:rFonts w:hint="eastAsia" w:ascii="方正楷体_GBK" w:hAnsi="方正楷体_GBK" w:eastAsia="方正楷体_GBK" w:cs="方正楷体_GBK"/>
          <w:sz w:val="33"/>
          <w:szCs w:val="33"/>
          <w:lang w:eastAsia="zh-CN"/>
        </w:rPr>
        <w:t>（一）主要职能。</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60" w:firstLineChars="200"/>
        <w:jc w:val="both"/>
        <w:textAlignment w:val="auto"/>
        <w:outlineLvl w:val="9"/>
        <w:rPr>
          <w:rFonts w:hint="eastAsia" w:ascii="方正仿宋_GBK" w:hAnsi="方正仿宋_GBK" w:eastAsia="方正仿宋_GBK" w:cs="方正仿宋_GBK"/>
          <w:sz w:val="33"/>
          <w:szCs w:val="33"/>
          <w:lang w:eastAsia="zh-CN"/>
        </w:rPr>
      </w:pPr>
      <w:r>
        <w:rPr>
          <w:rFonts w:hint="eastAsia" w:ascii="方正仿宋_GBK" w:hAnsi="方正仿宋_GBK" w:eastAsia="方正仿宋_GBK" w:cs="方正仿宋_GBK"/>
          <w:sz w:val="33"/>
          <w:szCs w:val="33"/>
        </w:rPr>
        <w:t>（</w:t>
      </w:r>
      <w:r>
        <w:rPr>
          <w:rFonts w:hint="eastAsia" w:ascii="方正仿宋_GBK" w:hAnsi="方正仿宋_GBK" w:eastAsia="方正仿宋_GBK" w:cs="方正仿宋_GBK"/>
          <w:sz w:val="33"/>
          <w:szCs w:val="33"/>
          <w:lang w:val="en-US" w:eastAsia="zh-CN"/>
        </w:rPr>
        <w:t>1</w:t>
      </w:r>
      <w:r>
        <w:rPr>
          <w:rFonts w:hint="eastAsia" w:ascii="方正仿宋_GBK" w:hAnsi="方正仿宋_GBK" w:eastAsia="方正仿宋_GBK" w:cs="方正仿宋_GBK"/>
          <w:sz w:val="33"/>
          <w:szCs w:val="33"/>
        </w:rPr>
        <w:t>）</w:t>
      </w:r>
      <w:r>
        <w:rPr>
          <w:rFonts w:hint="eastAsia" w:ascii="方正仿宋_GBK" w:hAnsi="方正仿宋_GBK" w:eastAsia="方正仿宋_GBK" w:cs="方正仿宋_GBK"/>
          <w:sz w:val="33"/>
          <w:szCs w:val="33"/>
          <w:lang w:eastAsia="zh-CN"/>
        </w:rPr>
        <w:t>贯彻执行党的路线、方针、政策和上级党组织及党员代表大会的决议、决定。</w:t>
      </w:r>
    </w:p>
    <w:p>
      <w:pPr>
        <w:pStyle w:val="5"/>
        <w:keepNext w:val="0"/>
        <w:keepLines w:val="0"/>
        <w:pageBreakBefore w:val="0"/>
        <w:widowControl w:val="0"/>
        <w:kinsoku/>
        <w:wordWrap/>
        <w:overflowPunct/>
        <w:topLinePunct w:val="0"/>
        <w:autoSpaceDE/>
        <w:autoSpaceDN/>
        <w:bidi w:val="0"/>
        <w:spacing w:line="560" w:lineRule="exact"/>
        <w:textAlignment w:val="auto"/>
        <w:rPr>
          <w:rFonts w:hint="eastAsia" w:ascii="方正仿宋_GBK" w:hAnsi="方正仿宋_GBK" w:eastAsia="方正仿宋_GBK" w:cs="方正仿宋_GBK"/>
          <w:sz w:val="33"/>
          <w:szCs w:val="33"/>
          <w:lang w:val="en-US" w:eastAsia="zh-CN"/>
        </w:rPr>
      </w:pPr>
      <w:r>
        <w:rPr>
          <w:rFonts w:hint="eastAsia" w:ascii="方正仿宋_GBK" w:hAnsi="方正仿宋_GBK" w:eastAsia="方正仿宋_GBK" w:cs="方正仿宋_GBK"/>
          <w:sz w:val="33"/>
          <w:szCs w:val="33"/>
          <w:lang w:eastAsia="zh-CN"/>
        </w:rPr>
        <w:t>（</w:t>
      </w:r>
      <w:r>
        <w:rPr>
          <w:rFonts w:hint="eastAsia" w:ascii="方正仿宋_GBK" w:hAnsi="方正仿宋_GBK" w:eastAsia="方正仿宋_GBK" w:cs="方正仿宋_GBK"/>
          <w:sz w:val="33"/>
          <w:szCs w:val="33"/>
          <w:lang w:val="en-US" w:eastAsia="zh-CN"/>
        </w:rPr>
        <w:t>2）研究决定全镇经济建设和社会发展中带有全局性的重大问题。</w:t>
      </w:r>
    </w:p>
    <w:p>
      <w:pPr>
        <w:pStyle w:val="5"/>
        <w:keepNext w:val="0"/>
        <w:keepLines w:val="0"/>
        <w:pageBreakBefore w:val="0"/>
        <w:widowControl w:val="0"/>
        <w:kinsoku/>
        <w:wordWrap/>
        <w:overflowPunct/>
        <w:topLinePunct w:val="0"/>
        <w:autoSpaceDE/>
        <w:autoSpaceDN/>
        <w:bidi w:val="0"/>
        <w:spacing w:line="560" w:lineRule="exact"/>
        <w:textAlignment w:val="auto"/>
        <w:rPr>
          <w:rFonts w:hint="eastAsia" w:ascii="方正仿宋_GBK" w:hAnsi="方正仿宋_GBK" w:eastAsia="方正仿宋_GBK" w:cs="方正仿宋_GBK"/>
          <w:sz w:val="33"/>
          <w:szCs w:val="33"/>
          <w:lang w:val="en-US" w:eastAsia="zh-CN"/>
        </w:rPr>
      </w:pPr>
      <w:r>
        <w:rPr>
          <w:rFonts w:hint="eastAsia" w:ascii="方正仿宋_GBK" w:hAnsi="方正仿宋_GBK" w:eastAsia="方正仿宋_GBK" w:cs="方正仿宋_GBK"/>
          <w:sz w:val="33"/>
          <w:szCs w:val="33"/>
          <w:lang w:val="en-US" w:eastAsia="zh-CN"/>
        </w:rPr>
        <w:t>（3）负责抓好所属党组织的思想建设、组织建设、作风建设。负责全面从严治党、党风廉政建设和反腐败工作。</w:t>
      </w:r>
    </w:p>
    <w:p>
      <w:pPr>
        <w:pStyle w:val="5"/>
        <w:keepNext w:val="0"/>
        <w:keepLines w:val="0"/>
        <w:pageBreakBefore w:val="0"/>
        <w:widowControl w:val="0"/>
        <w:kinsoku/>
        <w:wordWrap/>
        <w:overflowPunct/>
        <w:topLinePunct w:val="0"/>
        <w:autoSpaceDE/>
        <w:autoSpaceDN/>
        <w:bidi w:val="0"/>
        <w:spacing w:line="560" w:lineRule="exact"/>
        <w:textAlignment w:val="auto"/>
        <w:rPr>
          <w:rFonts w:hint="eastAsia" w:ascii="方正仿宋_GBK" w:hAnsi="方正仿宋_GBK" w:eastAsia="方正仿宋_GBK" w:cs="方正仿宋_GBK"/>
          <w:sz w:val="33"/>
          <w:szCs w:val="33"/>
          <w:lang w:val="en-US" w:eastAsia="zh-CN"/>
        </w:rPr>
      </w:pPr>
      <w:r>
        <w:rPr>
          <w:rFonts w:hint="eastAsia" w:ascii="方正仿宋_GBK" w:hAnsi="方正仿宋_GBK" w:eastAsia="方正仿宋_GBK" w:cs="方正仿宋_GBK"/>
          <w:sz w:val="33"/>
          <w:szCs w:val="33"/>
          <w:lang w:val="en-US" w:eastAsia="zh-CN"/>
        </w:rPr>
        <w:t>（4）按照干部管理权限，负责对干部的教育、培养、选拔任免和监督工作，向上级党组织推荐干部。</w:t>
      </w:r>
    </w:p>
    <w:p>
      <w:pPr>
        <w:pStyle w:val="5"/>
        <w:keepNext w:val="0"/>
        <w:keepLines w:val="0"/>
        <w:pageBreakBefore w:val="0"/>
        <w:widowControl w:val="0"/>
        <w:kinsoku/>
        <w:wordWrap/>
        <w:overflowPunct/>
        <w:topLinePunct w:val="0"/>
        <w:autoSpaceDE/>
        <w:autoSpaceDN/>
        <w:bidi w:val="0"/>
        <w:spacing w:line="560" w:lineRule="exact"/>
        <w:textAlignment w:val="auto"/>
        <w:rPr>
          <w:rFonts w:hint="eastAsia" w:ascii="方正仿宋_GBK" w:hAnsi="方正仿宋_GBK" w:eastAsia="方正仿宋_GBK" w:cs="方正仿宋_GBK"/>
          <w:sz w:val="33"/>
          <w:szCs w:val="33"/>
          <w:lang w:val="en-US" w:eastAsia="zh-CN"/>
        </w:rPr>
      </w:pPr>
      <w:r>
        <w:rPr>
          <w:rFonts w:hint="eastAsia" w:ascii="方正仿宋_GBK" w:hAnsi="方正仿宋_GBK" w:eastAsia="方正仿宋_GBK" w:cs="方正仿宋_GBK"/>
          <w:sz w:val="33"/>
          <w:szCs w:val="33"/>
          <w:lang w:val="en-US" w:eastAsia="zh-CN"/>
        </w:rPr>
        <w:t>（5）领导工会、共青团、妇联、科协等群团组织，协调党政之间的关系。</w:t>
      </w:r>
    </w:p>
    <w:p>
      <w:pPr>
        <w:pStyle w:val="5"/>
        <w:keepNext w:val="0"/>
        <w:keepLines w:val="0"/>
        <w:pageBreakBefore w:val="0"/>
        <w:widowControl w:val="0"/>
        <w:kinsoku/>
        <w:wordWrap/>
        <w:overflowPunct/>
        <w:topLinePunct w:val="0"/>
        <w:autoSpaceDE/>
        <w:autoSpaceDN/>
        <w:bidi w:val="0"/>
        <w:spacing w:line="560" w:lineRule="exact"/>
        <w:textAlignment w:val="auto"/>
        <w:rPr>
          <w:rFonts w:hint="eastAsia" w:ascii="方正仿宋_GBK" w:hAnsi="方正仿宋_GBK" w:eastAsia="方正仿宋_GBK" w:cs="方正仿宋_GBK"/>
          <w:sz w:val="33"/>
          <w:szCs w:val="33"/>
          <w:lang w:val="en-US" w:eastAsia="zh-CN"/>
        </w:rPr>
      </w:pPr>
      <w:r>
        <w:rPr>
          <w:rFonts w:hint="eastAsia" w:ascii="方正仿宋_GBK" w:hAnsi="方正仿宋_GBK" w:eastAsia="方正仿宋_GBK" w:cs="方正仿宋_GBK"/>
          <w:sz w:val="33"/>
          <w:szCs w:val="33"/>
          <w:lang w:val="en-US" w:eastAsia="zh-CN"/>
        </w:rPr>
        <w:t>（6）负责本行政区域的政治思想、宣传、统战、政法、保密、武装、精神文明建设和民主法制建设等工作。</w:t>
      </w:r>
    </w:p>
    <w:p>
      <w:pPr>
        <w:pageBreakBefore w:val="0"/>
        <w:kinsoku/>
        <w:wordWrap/>
        <w:overflowPunct/>
        <w:topLinePunct w:val="0"/>
        <w:bidi w:val="0"/>
        <w:spacing w:line="560" w:lineRule="exact"/>
        <w:ind w:firstLine="660" w:firstLineChars="200"/>
        <w:textAlignment w:val="auto"/>
        <w:rPr>
          <w:rFonts w:hint="eastAsia" w:ascii="方正仿宋_GBK" w:hAnsi="方正仿宋_GBK" w:eastAsia="方正仿宋_GBK" w:cs="方正仿宋_GBK"/>
          <w:sz w:val="33"/>
          <w:szCs w:val="33"/>
          <w:lang w:val="en-US" w:eastAsia="zh-CN"/>
        </w:rPr>
      </w:pPr>
      <w:r>
        <w:rPr>
          <w:rFonts w:hint="eastAsia" w:ascii="方正仿宋_GBK" w:hAnsi="方正仿宋_GBK" w:eastAsia="方正仿宋_GBK" w:cs="方正仿宋_GBK"/>
          <w:sz w:val="33"/>
          <w:szCs w:val="33"/>
          <w:lang w:val="en-US" w:eastAsia="zh-CN"/>
        </w:rPr>
        <w:t>（7）完成上级党组织交办的其他任免。</w:t>
      </w:r>
    </w:p>
    <w:p>
      <w:pPr>
        <w:pStyle w:val="2"/>
        <w:pageBreakBefore w:val="0"/>
        <w:kinsoku/>
        <w:wordWrap/>
        <w:overflowPunct/>
        <w:topLinePunct w:val="0"/>
        <w:bidi w:val="0"/>
        <w:spacing w:line="560" w:lineRule="exact"/>
        <w:textAlignment w:val="auto"/>
        <w:rPr>
          <w:rFonts w:hint="eastAsia" w:ascii="黑体" w:hAnsi="黑体" w:eastAsia="黑体"/>
          <w:b w:val="0"/>
        </w:rPr>
      </w:pPr>
      <w:r>
        <w:rPr>
          <w:rFonts w:hint="eastAsia" w:ascii="黑体" w:hAnsi="黑体" w:eastAsia="黑体"/>
          <w:b w:val="0"/>
        </w:rPr>
        <w:t>二、机构设置</w:t>
      </w:r>
    </w:p>
    <w:p>
      <w:pPr>
        <w:pageBreakBefore w:val="0"/>
        <w:kinsoku/>
        <w:wordWrap/>
        <w:overflowPunct/>
        <w:topLinePunct w:val="0"/>
        <w:bidi w:val="0"/>
        <w:spacing w:line="560" w:lineRule="exact"/>
        <w:ind w:firstLine="660" w:firstLineChars="200"/>
        <w:textAlignment w:val="auto"/>
        <w:rPr>
          <w:rFonts w:ascii="仿宋" w:hAnsi="仿宋" w:eastAsia="仿宋"/>
          <w:kern w:val="0"/>
          <w:sz w:val="32"/>
          <w:szCs w:val="32"/>
        </w:rPr>
      </w:pPr>
      <w:r>
        <w:rPr>
          <w:rFonts w:hint="eastAsia" w:ascii="仿宋_GB2312" w:hAnsi="仿宋_GB2312" w:eastAsia="仿宋_GB2312" w:cs="仿宋_GB2312"/>
          <w:sz w:val="33"/>
          <w:szCs w:val="33"/>
        </w:rPr>
        <w:t>盐边县</w:t>
      </w:r>
      <w:r>
        <w:rPr>
          <w:rFonts w:hint="eastAsia" w:ascii="仿宋_GB2312" w:hAnsi="仿宋_GB2312" w:eastAsia="仿宋_GB2312" w:cs="仿宋_GB2312"/>
          <w:sz w:val="33"/>
          <w:szCs w:val="33"/>
          <w:lang w:eastAsia="zh-CN"/>
        </w:rPr>
        <w:t>新九</w:t>
      </w:r>
      <w:r>
        <w:rPr>
          <w:rFonts w:hint="eastAsia" w:ascii="仿宋_GB2312" w:hAnsi="仿宋_GB2312" w:eastAsia="仿宋_GB2312" w:cs="仿宋_GB2312"/>
          <w:sz w:val="33"/>
          <w:szCs w:val="33"/>
        </w:rPr>
        <w:t>镇人民政府下属非独立核算单位</w:t>
      </w:r>
      <w:r>
        <w:rPr>
          <w:rFonts w:hint="eastAsia" w:ascii="仿宋_GB2312" w:hAnsi="仿宋_GB2312" w:eastAsia="仿宋_GB2312" w:cs="仿宋_GB2312"/>
          <w:sz w:val="33"/>
          <w:szCs w:val="33"/>
          <w:lang w:val="en-US" w:eastAsia="zh-CN"/>
        </w:rPr>
        <w:t>4</w:t>
      </w:r>
      <w:r>
        <w:rPr>
          <w:rFonts w:hint="eastAsia" w:ascii="仿宋_GB2312" w:hAnsi="仿宋_GB2312" w:eastAsia="仿宋_GB2312" w:cs="仿宋_GB2312"/>
          <w:sz w:val="33"/>
          <w:szCs w:val="33"/>
        </w:rPr>
        <w:t>个，其中行政单位0个，参照公务员法管理的事业单位0个，其他事业单位</w:t>
      </w:r>
      <w:r>
        <w:rPr>
          <w:rFonts w:hint="eastAsia" w:ascii="仿宋_GB2312" w:hAnsi="仿宋_GB2312" w:eastAsia="仿宋_GB2312" w:cs="仿宋_GB2312"/>
          <w:sz w:val="33"/>
          <w:szCs w:val="33"/>
          <w:lang w:val="en-US" w:eastAsia="zh-CN"/>
        </w:rPr>
        <w:t>4</w:t>
      </w:r>
      <w:r>
        <w:rPr>
          <w:rFonts w:hint="eastAsia" w:ascii="仿宋_GB2312" w:hAnsi="仿宋_GB2312" w:eastAsia="仿宋_GB2312" w:cs="仿宋_GB2312"/>
          <w:sz w:val="33"/>
          <w:szCs w:val="33"/>
        </w:rPr>
        <w:t>个。主要包括：</w:t>
      </w:r>
      <w:r>
        <w:rPr>
          <w:rFonts w:hint="eastAsia" w:ascii="仿宋_GB2312" w:hAnsi="仿宋_GB2312" w:eastAsia="仿宋_GB2312" w:cs="仿宋_GB2312"/>
          <w:sz w:val="33"/>
          <w:szCs w:val="33"/>
          <w:lang w:eastAsia="zh-CN"/>
        </w:rPr>
        <w:t>新九</w:t>
      </w:r>
      <w:r>
        <w:rPr>
          <w:rFonts w:hint="eastAsia" w:ascii="仿宋_GB2312" w:hAnsi="仿宋_GB2312" w:eastAsia="仿宋_GB2312" w:cs="仿宋_GB2312"/>
          <w:sz w:val="33"/>
          <w:szCs w:val="33"/>
        </w:rPr>
        <w:t>镇便民服务中心、</w:t>
      </w:r>
      <w:r>
        <w:rPr>
          <w:rFonts w:hint="eastAsia" w:ascii="仿宋_GB2312" w:hAnsi="仿宋_GB2312" w:eastAsia="仿宋_GB2312" w:cs="仿宋_GB2312"/>
          <w:sz w:val="33"/>
          <w:szCs w:val="33"/>
          <w:lang w:eastAsia="zh-CN"/>
        </w:rPr>
        <w:t>新九</w:t>
      </w:r>
      <w:r>
        <w:rPr>
          <w:rFonts w:hint="eastAsia" w:ascii="仿宋_GB2312" w:hAnsi="仿宋_GB2312" w:eastAsia="仿宋_GB2312" w:cs="仿宋_GB2312"/>
          <w:sz w:val="33"/>
          <w:szCs w:val="33"/>
        </w:rPr>
        <w:t>镇宣文中心、</w:t>
      </w:r>
      <w:r>
        <w:rPr>
          <w:rFonts w:hint="eastAsia" w:ascii="仿宋_GB2312" w:hAnsi="仿宋_GB2312" w:eastAsia="仿宋_GB2312" w:cs="仿宋_GB2312"/>
          <w:sz w:val="33"/>
          <w:szCs w:val="33"/>
          <w:lang w:eastAsia="zh-CN"/>
        </w:rPr>
        <w:t>新九</w:t>
      </w:r>
      <w:r>
        <w:rPr>
          <w:rFonts w:hint="eastAsia" w:ascii="仿宋_GB2312" w:hAnsi="仿宋_GB2312" w:eastAsia="仿宋_GB2312" w:cs="仿宋_GB2312"/>
          <w:sz w:val="33"/>
          <w:szCs w:val="33"/>
        </w:rPr>
        <w:t>镇村镇建设服务中心、</w:t>
      </w:r>
      <w:r>
        <w:rPr>
          <w:rFonts w:hint="eastAsia" w:ascii="仿宋_GB2312" w:hAnsi="仿宋_GB2312" w:eastAsia="仿宋_GB2312" w:cs="仿宋_GB2312"/>
          <w:sz w:val="33"/>
          <w:szCs w:val="33"/>
          <w:lang w:eastAsia="zh-CN"/>
        </w:rPr>
        <w:t>新九</w:t>
      </w:r>
      <w:r>
        <w:rPr>
          <w:rFonts w:hint="eastAsia" w:ascii="仿宋_GB2312" w:hAnsi="仿宋_GB2312" w:eastAsia="仿宋_GB2312" w:cs="仿宋_GB2312"/>
          <w:sz w:val="33"/>
          <w:szCs w:val="33"/>
        </w:rPr>
        <w:t>镇农业农村服务中心。</w:t>
      </w:r>
      <w:bookmarkEnd w:id="13"/>
      <w:bookmarkEnd w:id="14"/>
      <w:r>
        <w:rPr>
          <w:rFonts w:ascii="仿宋" w:hAnsi="仿宋" w:eastAsia="仿宋"/>
          <w:sz w:val="32"/>
          <w:szCs w:val="32"/>
        </w:rPr>
        <w:br w:type="page"/>
      </w:r>
    </w:p>
    <w:p>
      <w:pPr>
        <w:pStyle w:val="3"/>
        <w:pageBreakBefore w:val="0"/>
        <w:kinsoku/>
        <w:wordWrap/>
        <w:overflowPunct/>
        <w:topLinePunct w:val="0"/>
        <w:bidi w:val="0"/>
        <w:spacing w:line="560" w:lineRule="exact"/>
        <w:ind w:right="440"/>
        <w:jc w:val="center"/>
        <w:textAlignment w:val="auto"/>
      </w:pPr>
      <w:bookmarkStart w:id="15" w:name="_Toc15377204"/>
      <w:bookmarkStart w:id="16" w:name="_Toc15396602"/>
      <w:r>
        <w:rPr>
          <w:rFonts w:hint="eastAsia" w:ascii="方正黑体_GBK" w:hAnsi="方正黑体_GBK" w:eastAsia="方正黑体_GBK" w:cs="方正黑体_GBK"/>
          <w:b w:val="0"/>
        </w:rPr>
        <w:t>第二部分 2022年度</w:t>
      </w:r>
      <w:r>
        <w:rPr>
          <w:rStyle w:val="27"/>
          <w:rFonts w:hint="eastAsia" w:ascii="方正黑体_GBK" w:hAnsi="方正黑体_GBK" w:eastAsia="方正黑体_GBK" w:cs="方正黑体_GBK"/>
          <w:b w:val="0"/>
          <w:bCs/>
        </w:rPr>
        <w:t>单位决算情况说明</w:t>
      </w:r>
      <w:bookmarkEnd w:id="15"/>
      <w:bookmarkEnd w:id="16"/>
    </w:p>
    <w:p>
      <w:pPr>
        <w:pStyle w:val="26"/>
        <w:pageBreakBefore w:val="0"/>
        <w:numPr>
          <w:ilvl w:val="0"/>
          <w:numId w:val="2"/>
        </w:numPr>
        <w:kinsoku/>
        <w:wordWrap/>
        <w:overflowPunct/>
        <w:topLinePunct w:val="0"/>
        <w:bidi w:val="0"/>
        <w:spacing w:line="560" w:lineRule="exact"/>
        <w:ind w:firstLineChars="0"/>
        <w:textAlignment w:val="auto"/>
        <w:outlineLvl w:val="1"/>
        <w:rPr>
          <w:rStyle w:val="28"/>
          <w:rFonts w:ascii="黑体" w:hAnsi="黑体" w:eastAsia="黑体"/>
          <w:b w:val="0"/>
        </w:rPr>
      </w:pPr>
      <w:bookmarkStart w:id="17" w:name="_Toc15396603"/>
      <w:bookmarkStart w:id="18" w:name="_Toc15377205"/>
      <w:r>
        <w:rPr>
          <w:rFonts w:hint="eastAsia" w:ascii="黑体" w:hAnsi="黑体" w:eastAsia="黑体"/>
          <w:sz w:val="32"/>
          <w:szCs w:val="32"/>
        </w:rPr>
        <w:t>收</w:t>
      </w:r>
      <w:r>
        <w:rPr>
          <w:rStyle w:val="28"/>
          <w:rFonts w:hint="eastAsia" w:ascii="黑体" w:hAnsi="黑体" w:eastAsia="黑体"/>
          <w:b w:val="0"/>
        </w:rPr>
        <w:t>入支出决算总体情况说明</w:t>
      </w:r>
      <w:bookmarkEnd w:id="17"/>
      <w:bookmarkEnd w:id="18"/>
    </w:p>
    <w:p>
      <w:pPr>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2022年度收、支总计2337</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lang w:val="en-US" w:eastAsia="zh-CN"/>
        </w:rPr>
        <w:t>8</w:t>
      </w:r>
      <w:r>
        <w:rPr>
          <w:rFonts w:hint="eastAsia" w:ascii="方正仿宋_GBK" w:hAnsi="方正仿宋_GBK" w:eastAsia="方正仿宋_GBK" w:cs="方正仿宋_GBK"/>
          <w:sz w:val="32"/>
          <w:szCs w:val="32"/>
        </w:rPr>
        <w:t>万元。与2021年相比，收、支总计各减少</w:t>
      </w:r>
      <w:r>
        <w:rPr>
          <w:rFonts w:hint="eastAsia" w:ascii="方正仿宋_GBK" w:hAnsi="方正仿宋_GBK" w:eastAsia="方正仿宋_GBK" w:cs="方正仿宋_GBK"/>
          <w:sz w:val="32"/>
          <w:szCs w:val="32"/>
          <w:lang w:val="en-US" w:eastAsia="zh-CN"/>
        </w:rPr>
        <w:t>1800.73</w:t>
      </w:r>
      <w:r>
        <w:rPr>
          <w:rFonts w:hint="eastAsia" w:ascii="方正仿宋_GBK" w:hAnsi="方正仿宋_GBK" w:eastAsia="方正仿宋_GBK" w:cs="方正仿宋_GBK"/>
          <w:sz w:val="32"/>
          <w:szCs w:val="32"/>
        </w:rPr>
        <w:t>万元，下降</w:t>
      </w:r>
      <w:r>
        <w:rPr>
          <w:rFonts w:hint="eastAsia" w:ascii="方正仿宋_GBK" w:hAnsi="方正仿宋_GBK" w:eastAsia="方正仿宋_GBK" w:cs="方正仿宋_GBK"/>
          <w:sz w:val="32"/>
          <w:szCs w:val="32"/>
          <w:lang w:val="en-US" w:eastAsia="zh-CN"/>
        </w:rPr>
        <w:t>43.52</w:t>
      </w:r>
      <w:r>
        <w:rPr>
          <w:rFonts w:hint="eastAsia" w:ascii="方正仿宋_GBK" w:hAnsi="方正仿宋_GBK" w:eastAsia="方正仿宋_GBK" w:cs="方正仿宋_GBK"/>
          <w:sz w:val="32"/>
          <w:szCs w:val="32"/>
        </w:rPr>
        <w:t>%。主要变动原因是</w:t>
      </w:r>
      <w:r>
        <w:rPr>
          <w:rFonts w:hint="eastAsia" w:ascii="方正仿宋_GBK" w:hAnsi="方正仿宋_GBK" w:eastAsia="方正仿宋_GBK" w:cs="方正仿宋_GBK"/>
          <w:sz w:val="32"/>
          <w:szCs w:val="32"/>
          <w:lang w:val="en-US" w:eastAsia="zh-CN"/>
        </w:rPr>
        <w:t>2022年政府性基金预算财政拨款减少</w:t>
      </w:r>
      <w:r>
        <w:rPr>
          <w:rFonts w:hint="eastAsia" w:ascii="方正仿宋_GBK" w:hAnsi="方正仿宋_GBK" w:eastAsia="方正仿宋_GBK" w:cs="方正仿宋_GBK"/>
          <w:sz w:val="32"/>
          <w:szCs w:val="32"/>
        </w:rPr>
        <w:t>。</w:t>
      </w:r>
    </w:p>
    <w:p>
      <w:pPr>
        <w:pStyle w:val="6"/>
        <w:pageBreakBefore w:val="0"/>
        <w:kinsoku/>
        <w:wordWrap/>
        <w:overflowPunct/>
        <w:topLinePunct w:val="0"/>
        <w:bidi w:val="0"/>
        <w:spacing w:line="560" w:lineRule="exact"/>
        <w:textAlignment w:val="auto"/>
        <w:rPr>
          <w:rFonts w:hint="eastAsia" w:eastAsia="仿宋"/>
          <w:lang w:eastAsia="zh-CN"/>
        </w:rPr>
      </w:pPr>
      <w:r>
        <w:rPr>
          <w:rFonts w:hint="eastAsia" w:eastAsia="仿宋"/>
          <w:lang w:eastAsia="zh-CN"/>
        </w:rPr>
        <w:drawing>
          <wp:anchor distT="0" distB="0" distL="114300" distR="114300" simplePos="0" relativeHeight="251660288" behindDoc="0" locked="0" layoutInCell="1" allowOverlap="1">
            <wp:simplePos x="0" y="0"/>
            <wp:positionH relativeFrom="column">
              <wp:posOffset>345440</wp:posOffset>
            </wp:positionH>
            <wp:positionV relativeFrom="paragraph">
              <wp:posOffset>361315</wp:posOffset>
            </wp:positionV>
            <wp:extent cx="4573270" cy="3092450"/>
            <wp:effectExtent l="4445" t="4445" r="13335" b="8255"/>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pStyle w:val="6"/>
        <w:pageBreakBefore w:val="0"/>
        <w:kinsoku/>
        <w:wordWrap/>
        <w:overflowPunct/>
        <w:topLinePunct w:val="0"/>
        <w:bidi w:val="0"/>
        <w:spacing w:line="560" w:lineRule="exact"/>
        <w:textAlignment w:val="auto"/>
      </w:pPr>
    </w:p>
    <w:p>
      <w:pPr>
        <w:pStyle w:val="26"/>
        <w:pageBreakBefore w:val="0"/>
        <w:numPr>
          <w:ilvl w:val="0"/>
          <w:numId w:val="2"/>
        </w:numPr>
        <w:kinsoku/>
        <w:wordWrap/>
        <w:overflowPunct/>
        <w:topLinePunct w:val="0"/>
        <w:bidi w:val="0"/>
        <w:spacing w:line="560" w:lineRule="exact"/>
        <w:ind w:firstLineChars="0"/>
        <w:textAlignment w:val="auto"/>
        <w:outlineLvl w:val="1"/>
        <w:rPr>
          <w:rStyle w:val="28"/>
          <w:rFonts w:ascii="黑体" w:hAnsi="黑体" w:eastAsia="黑体"/>
          <w:b w:val="0"/>
        </w:rPr>
      </w:pPr>
      <w:bookmarkStart w:id="19" w:name="_Toc15377206"/>
      <w:bookmarkStart w:id="20" w:name="_Toc15396604"/>
      <w:r>
        <w:rPr>
          <w:rFonts w:hint="eastAsia" w:ascii="黑体" w:hAnsi="黑体" w:eastAsia="黑体"/>
          <w:sz w:val="32"/>
          <w:szCs w:val="32"/>
        </w:rPr>
        <w:t>收</w:t>
      </w:r>
      <w:r>
        <w:rPr>
          <w:rStyle w:val="28"/>
          <w:rFonts w:hint="eastAsia" w:ascii="黑体" w:hAnsi="黑体" w:eastAsia="黑体"/>
          <w:b w:val="0"/>
        </w:rPr>
        <w:t>入决算情况说明</w:t>
      </w:r>
      <w:bookmarkEnd w:id="19"/>
      <w:bookmarkEnd w:id="20"/>
    </w:p>
    <w:p>
      <w:pPr>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2022年本年收入合计2337</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lang w:val="en-US" w:eastAsia="zh-CN"/>
        </w:rPr>
        <w:t>8</w:t>
      </w:r>
      <w:r>
        <w:rPr>
          <w:rFonts w:hint="eastAsia" w:ascii="方正仿宋_GBK" w:hAnsi="方正仿宋_GBK" w:eastAsia="方正仿宋_GBK" w:cs="方正仿宋_GBK"/>
          <w:sz w:val="32"/>
          <w:szCs w:val="32"/>
        </w:rPr>
        <w:t>万元，其中：一般公共预算财政拨款收入2087</w:t>
      </w:r>
      <w:r>
        <w:rPr>
          <w:rFonts w:hint="eastAsia" w:ascii="方正仿宋_GBK" w:hAnsi="方正仿宋_GBK" w:eastAsia="方正仿宋_GBK" w:cs="方正仿宋_GBK"/>
          <w:sz w:val="32"/>
          <w:szCs w:val="32"/>
          <w:lang w:val="en-US" w:eastAsia="zh-CN"/>
        </w:rPr>
        <w:t>.70</w:t>
      </w:r>
      <w:r>
        <w:rPr>
          <w:rFonts w:hint="eastAsia" w:ascii="方正仿宋_GBK" w:hAnsi="方正仿宋_GBK" w:eastAsia="方正仿宋_GBK" w:cs="方正仿宋_GBK"/>
          <w:sz w:val="32"/>
          <w:szCs w:val="32"/>
        </w:rPr>
        <w:t>万元，占</w:t>
      </w:r>
      <w:r>
        <w:rPr>
          <w:rFonts w:hint="eastAsia" w:ascii="方正仿宋_GBK" w:hAnsi="方正仿宋_GBK" w:eastAsia="方正仿宋_GBK" w:cs="方正仿宋_GBK"/>
          <w:sz w:val="32"/>
          <w:szCs w:val="32"/>
          <w:lang w:val="en-US" w:eastAsia="zh-CN"/>
        </w:rPr>
        <w:t>89.32</w:t>
      </w:r>
      <w:r>
        <w:rPr>
          <w:rFonts w:hint="eastAsia" w:ascii="方正仿宋_GBK" w:hAnsi="方正仿宋_GBK" w:eastAsia="方正仿宋_GBK" w:cs="方正仿宋_GBK"/>
          <w:sz w:val="32"/>
          <w:szCs w:val="32"/>
        </w:rPr>
        <w:t>%；政府性基金预算财政拨款收入204</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58万元，占</w:t>
      </w:r>
      <w:r>
        <w:rPr>
          <w:rFonts w:hint="eastAsia" w:ascii="方正仿宋_GBK" w:hAnsi="方正仿宋_GBK" w:eastAsia="方正仿宋_GBK" w:cs="方正仿宋_GBK"/>
          <w:sz w:val="32"/>
          <w:szCs w:val="32"/>
          <w:lang w:val="en-US" w:eastAsia="zh-CN"/>
        </w:rPr>
        <w:t>8.75</w:t>
      </w:r>
      <w:r>
        <w:rPr>
          <w:rFonts w:hint="eastAsia" w:ascii="方正仿宋_GBK" w:hAnsi="方正仿宋_GBK" w:eastAsia="方正仿宋_GBK" w:cs="方正仿宋_GBK"/>
          <w:sz w:val="32"/>
          <w:szCs w:val="32"/>
        </w:rPr>
        <w:t>%；国有资本经营预算财政拨款收入</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万元，占</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%；上级补助收入</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万元，占</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%；事业收入</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万元，占</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%；经营收入</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万元，占</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%；附属单位上缴收入</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万元，占</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%；其他收入45</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00万元，占</w:t>
      </w:r>
      <w:r>
        <w:rPr>
          <w:rFonts w:hint="eastAsia" w:ascii="方正仿宋_GBK" w:hAnsi="方正仿宋_GBK" w:eastAsia="方正仿宋_GBK" w:cs="方正仿宋_GBK"/>
          <w:sz w:val="32"/>
          <w:szCs w:val="32"/>
          <w:lang w:val="en-US" w:eastAsia="zh-CN"/>
        </w:rPr>
        <w:t>1.93</w:t>
      </w:r>
      <w:r>
        <w:rPr>
          <w:rFonts w:hint="eastAsia" w:ascii="方正仿宋_GBK" w:hAnsi="方正仿宋_GBK" w:eastAsia="方正仿宋_GBK" w:cs="方正仿宋_GBK"/>
          <w:sz w:val="32"/>
          <w:szCs w:val="32"/>
        </w:rPr>
        <w:t>%。</w:t>
      </w:r>
    </w:p>
    <w:p>
      <w:pPr>
        <w:pageBreakBefore w:val="0"/>
        <w:kinsoku/>
        <w:wordWrap/>
        <w:overflowPunct/>
        <w:topLinePunct w:val="0"/>
        <w:bidi w:val="0"/>
        <w:spacing w:line="560" w:lineRule="exact"/>
        <w:ind w:firstLine="640" w:firstLineChars="200"/>
        <w:textAlignment w:val="auto"/>
        <w:outlineLvl w:val="1"/>
        <w:rPr>
          <w:rFonts w:hint="eastAsia" w:ascii="仿宋" w:hAnsi="仿宋" w:eastAsia="仿宋"/>
          <w:sz w:val="32"/>
          <w:szCs w:val="32"/>
          <w:lang w:eastAsia="zh-CN"/>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lang w:eastAsia="zh-CN"/>
        </w:rPr>
        <w:drawing>
          <wp:anchor distT="0" distB="0" distL="114300" distR="114300" simplePos="0" relativeHeight="251659264" behindDoc="0" locked="0" layoutInCell="1" allowOverlap="1">
            <wp:simplePos x="0" y="0"/>
            <wp:positionH relativeFrom="column">
              <wp:posOffset>210185</wp:posOffset>
            </wp:positionH>
            <wp:positionV relativeFrom="paragraph">
              <wp:posOffset>33655</wp:posOffset>
            </wp:positionV>
            <wp:extent cx="5014595" cy="2577465"/>
            <wp:effectExtent l="4445" t="4445" r="10160" b="8890"/>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jc w:val="both"/>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jc w:val="center"/>
        <w:textAlignment w:val="auto"/>
        <w:rPr>
          <w:rFonts w:ascii="仿宋" w:hAnsi="仿宋" w:eastAsia="仿宋"/>
          <w:sz w:val="32"/>
          <w:szCs w:val="32"/>
        </w:rPr>
      </w:pPr>
      <w:r>
        <w:rPr>
          <w:rFonts w:hint="eastAsia" w:ascii="仿宋" w:hAnsi="仿宋" w:eastAsia="仿宋"/>
          <w:sz w:val="32"/>
          <w:szCs w:val="32"/>
        </w:rPr>
        <w:t>（图2：收入决算结构图）（饼状图）</w:t>
      </w:r>
    </w:p>
    <w:p>
      <w:pPr>
        <w:pageBreakBefore w:val="0"/>
        <w:kinsoku/>
        <w:wordWrap/>
        <w:overflowPunct/>
        <w:topLinePunct w:val="0"/>
        <w:bidi w:val="0"/>
        <w:spacing w:line="560" w:lineRule="exact"/>
        <w:ind w:firstLine="640" w:firstLineChars="200"/>
        <w:textAlignment w:val="auto"/>
        <w:rPr>
          <w:rFonts w:ascii="仿宋_GB2312" w:eastAsia="仿宋_GB2312"/>
          <w:sz w:val="32"/>
          <w:szCs w:val="32"/>
        </w:rPr>
      </w:pPr>
    </w:p>
    <w:p>
      <w:pPr>
        <w:pStyle w:val="26"/>
        <w:pageBreakBefore w:val="0"/>
        <w:numPr>
          <w:ilvl w:val="0"/>
          <w:numId w:val="2"/>
        </w:numPr>
        <w:kinsoku/>
        <w:wordWrap/>
        <w:overflowPunct/>
        <w:topLinePunct w:val="0"/>
        <w:bidi w:val="0"/>
        <w:spacing w:line="560" w:lineRule="exact"/>
        <w:ind w:firstLineChars="0"/>
        <w:textAlignment w:val="auto"/>
        <w:outlineLvl w:val="1"/>
        <w:rPr>
          <w:rStyle w:val="28"/>
          <w:rFonts w:ascii="黑体" w:hAnsi="黑体" w:eastAsia="黑体"/>
          <w:b w:val="0"/>
        </w:rPr>
      </w:pPr>
      <w:bookmarkStart w:id="21" w:name="_Toc15377207"/>
      <w:bookmarkStart w:id="22" w:name="_Toc15396605"/>
      <w:r>
        <w:rPr>
          <w:rFonts w:hint="eastAsia" w:ascii="黑体" w:hAnsi="黑体" w:eastAsia="黑体"/>
          <w:sz w:val="32"/>
          <w:szCs w:val="32"/>
        </w:rPr>
        <w:t>支</w:t>
      </w:r>
      <w:r>
        <w:rPr>
          <w:rStyle w:val="28"/>
          <w:rFonts w:hint="eastAsia" w:ascii="黑体" w:hAnsi="黑体" w:eastAsia="黑体"/>
          <w:b w:val="0"/>
        </w:rPr>
        <w:t>出决算情况说明</w:t>
      </w:r>
      <w:bookmarkEnd w:id="21"/>
      <w:bookmarkEnd w:id="22"/>
    </w:p>
    <w:p>
      <w:pPr>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2022年本年支出合计</w:t>
      </w:r>
      <w:r>
        <w:rPr>
          <w:rFonts w:hint="eastAsia" w:ascii="方正仿宋_GBK" w:hAnsi="方正仿宋_GBK" w:eastAsia="方正仿宋_GBK" w:cs="方正仿宋_GBK"/>
          <w:sz w:val="32"/>
          <w:szCs w:val="32"/>
          <w:lang w:val="en-US" w:eastAsia="zh-CN"/>
        </w:rPr>
        <w:t>2292.28</w:t>
      </w:r>
      <w:r>
        <w:rPr>
          <w:rFonts w:hint="eastAsia" w:ascii="方正仿宋_GBK" w:hAnsi="方正仿宋_GBK" w:eastAsia="方正仿宋_GBK" w:cs="方正仿宋_GBK"/>
          <w:sz w:val="32"/>
          <w:szCs w:val="32"/>
        </w:rPr>
        <w:t>万元，其中：基本支出</w:t>
      </w:r>
      <w:r>
        <w:rPr>
          <w:rFonts w:hint="eastAsia" w:ascii="方正仿宋_GBK" w:hAnsi="方正仿宋_GBK" w:eastAsia="方正仿宋_GBK" w:cs="方正仿宋_GBK"/>
          <w:sz w:val="32"/>
          <w:szCs w:val="32"/>
          <w:lang w:val="en-US" w:eastAsia="zh-CN"/>
        </w:rPr>
        <w:t>1498.46</w:t>
      </w:r>
      <w:r>
        <w:rPr>
          <w:rFonts w:hint="eastAsia" w:ascii="方正仿宋_GBK" w:hAnsi="方正仿宋_GBK" w:eastAsia="方正仿宋_GBK" w:cs="方正仿宋_GBK"/>
          <w:sz w:val="32"/>
          <w:szCs w:val="32"/>
        </w:rPr>
        <w:t>万元，占</w:t>
      </w:r>
      <w:r>
        <w:rPr>
          <w:rFonts w:hint="eastAsia" w:ascii="方正仿宋_GBK" w:hAnsi="方正仿宋_GBK" w:eastAsia="方正仿宋_GBK" w:cs="方正仿宋_GBK"/>
          <w:sz w:val="32"/>
          <w:szCs w:val="32"/>
          <w:lang w:val="en-US" w:eastAsia="zh-CN"/>
        </w:rPr>
        <w:t>65.37</w:t>
      </w:r>
      <w:r>
        <w:rPr>
          <w:rFonts w:hint="eastAsia" w:ascii="方正仿宋_GBK" w:hAnsi="方正仿宋_GBK" w:eastAsia="方正仿宋_GBK" w:cs="方正仿宋_GBK"/>
          <w:sz w:val="32"/>
          <w:szCs w:val="32"/>
        </w:rPr>
        <w:t>%；项目支出</w:t>
      </w:r>
      <w:r>
        <w:rPr>
          <w:rFonts w:hint="eastAsia" w:ascii="方正仿宋_GBK" w:hAnsi="方正仿宋_GBK" w:eastAsia="方正仿宋_GBK" w:cs="方正仿宋_GBK"/>
          <w:sz w:val="32"/>
          <w:szCs w:val="32"/>
          <w:lang w:val="en-US" w:eastAsia="zh-CN"/>
        </w:rPr>
        <w:t>793.82</w:t>
      </w:r>
      <w:r>
        <w:rPr>
          <w:rFonts w:hint="eastAsia" w:ascii="方正仿宋_GBK" w:hAnsi="方正仿宋_GBK" w:eastAsia="方正仿宋_GBK" w:cs="方正仿宋_GBK"/>
          <w:sz w:val="32"/>
          <w:szCs w:val="32"/>
        </w:rPr>
        <w:t>万元，占</w:t>
      </w:r>
      <w:r>
        <w:rPr>
          <w:rFonts w:hint="eastAsia" w:ascii="方正仿宋_GBK" w:hAnsi="方正仿宋_GBK" w:eastAsia="方正仿宋_GBK" w:cs="方正仿宋_GBK"/>
          <w:sz w:val="32"/>
          <w:szCs w:val="32"/>
          <w:lang w:val="en-US" w:eastAsia="zh-CN"/>
        </w:rPr>
        <w:t>34.63</w:t>
      </w:r>
      <w:r>
        <w:rPr>
          <w:rFonts w:hint="eastAsia" w:ascii="方正仿宋_GBK" w:hAnsi="方正仿宋_GBK" w:eastAsia="方正仿宋_GBK" w:cs="方正仿宋_GBK"/>
          <w:sz w:val="32"/>
          <w:szCs w:val="32"/>
        </w:rPr>
        <w:t>%；上缴上级支出</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万元，占</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%；经营支出</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万元，占</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%；对附属单位补助支出</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万元，占</w:t>
      </w:r>
      <w:r>
        <w:rPr>
          <w:rFonts w:hint="eastAsia" w:ascii="方正仿宋_GBK" w:hAnsi="方正仿宋_GBK" w:eastAsia="方正仿宋_GBK" w:cs="方正仿宋_GBK"/>
          <w:sz w:val="32"/>
          <w:szCs w:val="32"/>
          <w:lang w:val="en-US" w:eastAsia="zh-CN"/>
        </w:rPr>
        <w:t>0</w:t>
      </w:r>
      <w:r>
        <w:rPr>
          <w:rFonts w:hint="eastAsia" w:ascii="方正仿宋_GBK" w:hAnsi="方正仿宋_GBK" w:eastAsia="方正仿宋_GBK" w:cs="方正仿宋_GBK"/>
          <w:sz w:val="32"/>
          <w:szCs w:val="32"/>
        </w:rPr>
        <w:t>%。</w:t>
      </w:r>
    </w:p>
    <w:p>
      <w:pPr>
        <w:pageBreakBefore w:val="0"/>
        <w:kinsoku/>
        <w:wordWrap/>
        <w:overflowPunct/>
        <w:topLinePunct w:val="0"/>
        <w:bidi w:val="0"/>
        <w:spacing w:line="560" w:lineRule="exact"/>
        <w:ind w:firstLine="640"/>
        <w:textAlignment w:val="auto"/>
        <w:rPr>
          <w:rFonts w:ascii="仿宋" w:hAnsi="仿宋" w:eastAsia="仿宋"/>
          <w:sz w:val="32"/>
          <w:szCs w:val="32"/>
          <w:shd w:val="pct10" w:color="auto" w:fill="FFFFFF"/>
        </w:rPr>
      </w:pPr>
    </w:p>
    <w:p>
      <w:pPr>
        <w:pStyle w:val="6"/>
        <w:pageBreakBefore w:val="0"/>
        <w:kinsoku/>
        <w:wordWrap/>
        <w:overflowPunct/>
        <w:topLinePunct w:val="0"/>
        <w:bidi w:val="0"/>
        <w:spacing w:line="560" w:lineRule="exact"/>
        <w:textAlignment w:val="auto"/>
        <w:rPr>
          <w:rFonts w:ascii="仿宋" w:hAnsi="仿宋" w:eastAsia="仿宋"/>
          <w:sz w:val="32"/>
          <w:szCs w:val="32"/>
          <w:shd w:val="pct10" w:color="auto" w:fill="FFFFFF"/>
        </w:rPr>
      </w:pPr>
      <w:r>
        <w:rPr>
          <w:rFonts w:hint="eastAsia" w:ascii="仿宋" w:hAnsi="仿宋" w:eastAsia="仿宋"/>
          <w:sz w:val="32"/>
          <w:szCs w:val="32"/>
          <w:shd w:val="pct10" w:color="auto" w:fill="FFFFFF"/>
          <w:lang w:eastAsia="zh-CN"/>
        </w:rPr>
        <w:drawing>
          <wp:anchor distT="0" distB="0" distL="114300" distR="114300" simplePos="0" relativeHeight="251661312" behindDoc="0" locked="0" layoutInCell="1" allowOverlap="1">
            <wp:simplePos x="0" y="0"/>
            <wp:positionH relativeFrom="column">
              <wp:posOffset>410210</wp:posOffset>
            </wp:positionH>
            <wp:positionV relativeFrom="paragraph">
              <wp:posOffset>6350</wp:posOffset>
            </wp:positionV>
            <wp:extent cx="4876800" cy="2501900"/>
            <wp:effectExtent l="4445" t="4445" r="14605" b="8255"/>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pStyle w:val="6"/>
        <w:pageBreakBefore w:val="0"/>
        <w:kinsoku/>
        <w:wordWrap/>
        <w:overflowPunct/>
        <w:topLinePunct w:val="0"/>
        <w:bidi w:val="0"/>
        <w:spacing w:line="560" w:lineRule="exact"/>
        <w:textAlignment w:val="auto"/>
        <w:rPr>
          <w:rFonts w:ascii="仿宋" w:hAnsi="仿宋" w:eastAsia="仿宋"/>
          <w:sz w:val="32"/>
          <w:szCs w:val="32"/>
          <w:shd w:val="pct10" w:color="auto" w:fill="FFFFFF"/>
        </w:rPr>
      </w:pPr>
    </w:p>
    <w:p>
      <w:pPr>
        <w:pStyle w:val="6"/>
        <w:pageBreakBefore w:val="0"/>
        <w:kinsoku/>
        <w:wordWrap/>
        <w:overflowPunct/>
        <w:topLinePunct w:val="0"/>
        <w:bidi w:val="0"/>
        <w:spacing w:line="560" w:lineRule="exact"/>
        <w:jc w:val="center"/>
        <w:textAlignment w:val="auto"/>
        <w:rPr>
          <w:rFonts w:ascii="仿宋" w:hAnsi="仿宋" w:eastAsia="仿宋"/>
          <w:sz w:val="32"/>
          <w:szCs w:val="32"/>
          <w:shd w:val="pct10" w:color="auto" w:fill="FFFFFF"/>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jc w:val="center"/>
        <w:textAlignment w:val="auto"/>
        <w:rPr>
          <w:rFonts w:ascii="仿宋_GB2312" w:eastAsia="仿宋_GB2312"/>
          <w:sz w:val="32"/>
          <w:szCs w:val="32"/>
        </w:rPr>
      </w:pPr>
      <w:r>
        <w:rPr>
          <w:rFonts w:hint="eastAsia" w:ascii="仿宋" w:hAnsi="仿宋" w:eastAsia="仿宋"/>
          <w:sz w:val="32"/>
          <w:szCs w:val="32"/>
        </w:rPr>
        <w:t>（图3：支出决算结构图）（饼状图）</w:t>
      </w:r>
    </w:p>
    <w:p>
      <w:pPr>
        <w:pageBreakBefore w:val="0"/>
        <w:kinsoku/>
        <w:wordWrap/>
        <w:overflowPunct/>
        <w:topLinePunct w:val="0"/>
        <w:bidi w:val="0"/>
        <w:spacing w:line="560" w:lineRule="exact"/>
        <w:ind w:firstLine="640" w:firstLineChars="200"/>
        <w:textAlignment w:val="auto"/>
        <w:outlineLvl w:val="1"/>
        <w:rPr>
          <w:rFonts w:hint="eastAsia" w:ascii="黑体" w:hAnsi="黑体" w:eastAsia="黑体"/>
          <w:sz w:val="32"/>
          <w:szCs w:val="32"/>
        </w:rPr>
      </w:pPr>
      <w:bookmarkStart w:id="23" w:name="_Toc15396606"/>
      <w:bookmarkStart w:id="24" w:name="_Toc15377208"/>
    </w:p>
    <w:p>
      <w:pPr>
        <w:pageBreakBefore w:val="0"/>
        <w:kinsoku/>
        <w:wordWrap/>
        <w:overflowPunct/>
        <w:topLinePunct w:val="0"/>
        <w:bidi w:val="0"/>
        <w:spacing w:line="560" w:lineRule="exact"/>
        <w:ind w:firstLine="640" w:firstLineChars="200"/>
        <w:textAlignment w:val="auto"/>
        <w:outlineLvl w:val="1"/>
        <w:rPr>
          <w:rStyle w:val="28"/>
          <w:rFonts w:ascii="黑体" w:hAnsi="黑体" w:eastAsia="黑体"/>
          <w:b w:val="0"/>
        </w:rPr>
      </w:pPr>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23"/>
      <w:bookmarkEnd w:id="24"/>
    </w:p>
    <w:p>
      <w:pPr>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2022年财政拨款收、支总计</w:t>
      </w:r>
      <w:r>
        <w:rPr>
          <w:rFonts w:hint="eastAsia" w:ascii="方正仿宋_GBK" w:hAnsi="方正仿宋_GBK" w:eastAsia="方正仿宋_GBK" w:cs="方正仿宋_GBK"/>
          <w:sz w:val="32"/>
          <w:szCs w:val="32"/>
          <w:lang w:val="en-US" w:eastAsia="zh-CN"/>
        </w:rPr>
        <w:t>2292.28</w:t>
      </w:r>
      <w:r>
        <w:rPr>
          <w:rFonts w:hint="eastAsia" w:ascii="方正仿宋_GBK" w:hAnsi="方正仿宋_GBK" w:eastAsia="方正仿宋_GBK" w:cs="方正仿宋_GBK"/>
          <w:sz w:val="32"/>
          <w:szCs w:val="32"/>
        </w:rPr>
        <w:t>万元。与2021年相比，财政拨款收、支总计各减少</w:t>
      </w:r>
      <w:r>
        <w:rPr>
          <w:rFonts w:hint="eastAsia" w:ascii="方正仿宋_GBK" w:hAnsi="方正仿宋_GBK" w:eastAsia="方正仿宋_GBK" w:cs="方正仿宋_GBK"/>
          <w:sz w:val="32"/>
          <w:szCs w:val="32"/>
          <w:lang w:val="en-US" w:eastAsia="zh-CN"/>
        </w:rPr>
        <w:t>975.94</w:t>
      </w:r>
      <w:r>
        <w:rPr>
          <w:rFonts w:hint="eastAsia" w:ascii="方正仿宋_GBK" w:hAnsi="方正仿宋_GBK" w:eastAsia="方正仿宋_GBK" w:cs="方正仿宋_GBK"/>
          <w:sz w:val="32"/>
          <w:szCs w:val="32"/>
        </w:rPr>
        <w:t>万元，下降</w:t>
      </w:r>
      <w:r>
        <w:rPr>
          <w:rFonts w:hint="eastAsia" w:ascii="方正仿宋_GBK" w:hAnsi="方正仿宋_GBK" w:eastAsia="方正仿宋_GBK" w:cs="方正仿宋_GBK"/>
          <w:sz w:val="32"/>
          <w:szCs w:val="32"/>
          <w:lang w:val="en-US" w:eastAsia="zh-CN"/>
        </w:rPr>
        <w:t>29.86</w:t>
      </w:r>
      <w:r>
        <w:rPr>
          <w:rFonts w:hint="eastAsia" w:ascii="方正仿宋_GBK" w:hAnsi="方正仿宋_GBK" w:eastAsia="方正仿宋_GBK" w:cs="方正仿宋_GBK"/>
          <w:sz w:val="32"/>
          <w:szCs w:val="32"/>
        </w:rPr>
        <w:t>%。主要变动原因是</w:t>
      </w:r>
      <w:r>
        <w:rPr>
          <w:rFonts w:hint="eastAsia" w:ascii="方正仿宋_GBK" w:hAnsi="方正仿宋_GBK" w:eastAsia="方正仿宋_GBK" w:cs="方正仿宋_GBK"/>
          <w:sz w:val="32"/>
          <w:szCs w:val="32"/>
          <w:lang w:val="en-US" w:eastAsia="zh-CN"/>
        </w:rPr>
        <w:t>2022年政府性基金预算财政拨款减少。</w:t>
      </w:r>
    </w:p>
    <w:p>
      <w:pPr>
        <w:pStyle w:val="6"/>
        <w:pageBreakBefore w:val="0"/>
        <w:kinsoku/>
        <w:wordWrap/>
        <w:overflowPunct/>
        <w:topLinePunct w:val="0"/>
        <w:bidi w:val="0"/>
        <w:spacing w:line="560" w:lineRule="exact"/>
        <w:textAlignment w:val="auto"/>
        <w:rPr>
          <w:rFonts w:ascii="仿宋" w:hAnsi="仿宋" w:eastAsia="仿宋"/>
          <w:sz w:val="32"/>
          <w:szCs w:val="32"/>
        </w:rPr>
      </w:pPr>
      <w:r>
        <w:rPr>
          <w:rFonts w:hint="eastAsia" w:ascii="仿宋" w:hAnsi="仿宋" w:eastAsia="仿宋"/>
          <w:b/>
          <w:sz w:val="32"/>
          <w:szCs w:val="32"/>
          <w:lang w:eastAsia="zh-CN"/>
        </w:rPr>
        <w:drawing>
          <wp:anchor distT="0" distB="0" distL="114300" distR="114300" simplePos="0" relativeHeight="251662336" behindDoc="0" locked="0" layoutInCell="1" allowOverlap="1">
            <wp:simplePos x="0" y="0"/>
            <wp:positionH relativeFrom="column">
              <wp:posOffset>336550</wp:posOffset>
            </wp:positionH>
            <wp:positionV relativeFrom="paragraph">
              <wp:posOffset>221615</wp:posOffset>
            </wp:positionV>
            <wp:extent cx="4876165" cy="2672080"/>
            <wp:effectExtent l="4445" t="4445" r="15240" b="9525"/>
            <wp:wrapNone/>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pageBreakBefore w:val="0"/>
        <w:kinsoku/>
        <w:wordWrap/>
        <w:overflowPunct/>
        <w:topLinePunct w:val="0"/>
        <w:bidi w:val="0"/>
        <w:spacing w:line="560" w:lineRule="exact"/>
        <w:ind w:firstLine="640" w:firstLineChars="200"/>
        <w:jc w:val="both"/>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jc w:val="both"/>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jc w:val="both"/>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jc w:val="both"/>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jc w:val="both"/>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jc w:val="both"/>
        <w:textAlignment w:val="auto"/>
        <w:rPr>
          <w:rFonts w:hint="eastAsia" w:ascii="仿宋" w:hAnsi="仿宋" w:eastAsia="仿宋"/>
          <w:sz w:val="32"/>
          <w:szCs w:val="32"/>
        </w:rPr>
      </w:pPr>
    </w:p>
    <w:p>
      <w:pPr>
        <w:pageBreakBefore w:val="0"/>
        <w:kinsoku/>
        <w:wordWrap/>
        <w:overflowPunct/>
        <w:topLinePunct w:val="0"/>
        <w:bidi w:val="0"/>
        <w:spacing w:line="560" w:lineRule="exact"/>
        <w:jc w:val="both"/>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jc w:val="both"/>
        <w:textAlignment w:val="auto"/>
        <w:rPr>
          <w:rFonts w:ascii="仿宋" w:hAnsi="仿宋" w:eastAsia="仿宋"/>
          <w:sz w:val="32"/>
          <w:szCs w:val="32"/>
        </w:rPr>
      </w:pPr>
      <w:r>
        <w:rPr>
          <w:rFonts w:hint="eastAsia" w:ascii="仿宋" w:hAnsi="仿宋" w:eastAsia="仿宋"/>
          <w:sz w:val="32"/>
          <w:szCs w:val="32"/>
        </w:rPr>
        <w:t>（图4：财政拨款收、支决算总计变动情况）（柱状图）</w:t>
      </w:r>
    </w:p>
    <w:p>
      <w:pPr>
        <w:pageBreakBefore w:val="0"/>
        <w:kinsoku/>
        <w:wordWrap/>
        <w:overflowPunct/>
        <w:topLinePunct w:val="0"/>
        <w:bidi w:val="0"/>
        <w:spacing w:line="560" w:lineRule="exact"/>
        <w:ind w:firstLine="640"/>
        <w:textAlignment w:val="auto"/>
        <w:rPr>
          <w:rFonts w:ascii="仿宋" w:hAnsi="仿宋" w:eastAsia="仿宋"/>
          <w:b/>
          <w:sz w:val="32"/>
          <w:szCs w:val="32"/>
        </w:rPr>
      </w:pPr>
    </w:p>
    <w:p>
      <w:pPr>
        <w:pageBreakBefore w:val="0"/>
        <w:kinsoku/>
        <w:wordWrap/>
        <w:overflowPunct/>
        <w:topLinePunct w:val="0"/>
        <w:bidi w:val="0"/>
        <w:spacing w:line="560" w:lineRule="exact"/>
        <w:ind w:firstLine="640" w:firstLineChars="200"/>
        <w:textAlignment w:val="auto"/>
        <w:outlineLvl w:val="1"/>
        <w:rPr>
          <w:rStyle w:val="28"/>
          <w:rFonts w:ascii="黑体" w:hAnsi="黑体" w:eastAsia="黑体"/>
          <w:b w:val="0"/>
        </w:rPr>
      </w:pPr>
      <w:bookmarkStart w:id="25" w:name="_Toc15396607"/>
      <w:bookmarkStart w:id="26" w:name="_Toc15377209"/>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5"/>
      <w:bookmarkEnd w:id="26"/>
    </w:p>
    <w:p>
      <w:pPr>
        <w:pageBreakBefore w:val="0"/>
        <w:kinsoku/>
        <w:wordWrap/>
        <w:overflowPunct/>
        <w:topLinePunct w:val="0"/>
        <w:bidi w:val="0"/>
        <w:spacing w:line="560" w:lineRule="exact"/>
        <w:ind w:firstLine="643" w:firstLineChars="200"/>
        <w:textAlignment w:val="auto"/>
        <w:outlineLvl w:val="2"/>
        <w:rPr>
          <w:rFonts w:ascii="仿宋" w:hAnsi="仿宋" w:eastAsia="仿宋"/>
          <w:b/>
          <w:sz w:val="32"/>
          <w:szCs w:val="32"/>
        </w:rPr>
      </w:pPr>
      <w:bookmarkStart w:id="27" w:name="_Toc15377210"/>
      <w:r>
        <w:rPr>
          <w:rFonts w:hint="eastAsia" w:ascii="仿宋" w:hAnsi="仿宋" w:eastAsia="仿宋"/>
          <w:b/>
          <w:sz w:val="32"/>
          <w:szCs w:val="32"/>
        </w:rPr>
        <w:t>（一）一般公共预算财政拨款支出决算总体情况</w:t>
      </w:r>
      <w:bookmarkEnd w:id="27"/>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lang w:val="en-US" w:eastAsia="zh-CN"/>
        </w:rPr>
      </w:pPr>
      <w:r>
        <w:rPr>
          <w:rFonts w:hint="eastAsia" w:ascii="方正仿宋_GBK" w:hAnsi="方正仿宋_GBK" w:eastAsia="方正仿宋_GBK" w:cs="方正仿宋_GBK"/>
          <w:sz w:val="32"/>
          <w:szCs w:val="32"/>
        </w:rPr>
        <w:t>2022年一般公共预算财政拨款支出2087</w:t>
      </w:r>
      <w:r>
        <w:rPr>
          <w:rFonts w:hint="eastAsia" w:ascii="方正仿宋_GBK" w:hAnsi="方正仿宋_GBK" w:eastAsia="方正仿宋_GBK" w:cs="方正仿宋_GBK"/>
          <w:sz w:val="32"/>
          <w:szCs w:val="32"/>
          <w:lang w:val="en-US" w:eastAsia="zh-CN"/>
        </w:rPr>
        <w:t>.70</w:t>
      </w:r>
      <w:r>
        <w:rPr>
          <w:rFonts w:hint="eastAsia" w:ascii="方正仿宋_GBK" w:hAnsi="方正仿宋_GBK" w:eastAsia="方正仿宋_GBK" w:cs="方正仿宋_GBK"/>
          <w:sz w:val="32"/>
          <w:szCs w:val="32"/>
        </w:rPr>
        <w:t>万元，占本年支出合计的</w:t>
      </w:r>
      <w:r>
        <w:rPr>
          <w:rFonts w:hint="eastAsia" w:ascii="方正仿宋_GBK" w:hAnsi="方正仿宋_GBK" w:eastAsia="方正仿宋_GBK" w:cs="方正仿宋_GBK"/>
          <w:sz w:val="32"/>
          <w:szCs w:val="32"/>
          <w:lang w:val="en-US" w:eastAsia="zh-CN"/>
        </w:rPr>
        <w:t>89.32</w:t>
      </w:r>
      <w:r>
        <w:rPr>
          <w:rFonts w:hint="eastAsia" w:ascii="方正仿宋_GBK" w:hAnsi="方正仿宋_GBK" w:eastAsia="方正仿宋_GBK" w:cs="方正仿宋_GBK"/>
          <w:sz w:val="32"/>
          <w:szCs w:val="32"/>
        </w:rPr>
        <w:t>%。与2021年相比，一般公共预算财政拨款支出增加</w:t>
      </w:r>
      <w:r>
        <w:rPr>
          <w:rFonts w:hint="eastAsia" w:ascii="方正仿宋_GBK" w:hAnsi="方正仿宋_GBK" w:eastAsia="方正仿宋_GBK" w:cs="方正仿宋_GBK"/>
          <w:sz w:val="32"/>
          <w:szCs w:val="32"/>
          <w:lang w:val="en-US" w:eastAsia="zh-CN"/>
        </w:rPr>
        <w:t>392.24</w:t>
      </w:r>
      <w:r>
        <w:rPr>
          <w:rFonts w:hint="eastAsia" w:ascii="方正仿宋_GBK" w:hAnsi="方正仿宋_GBK" w:eastAsia="方正仿宋_GBK" w:cs="方正仿宋_GBK"/>
          <w:sz w:val="32"/>
          <w:szCs w:val="32"/>
        </w:rPr>
        <w:t>万元，增长</w:t>
      </w:r>
      <w:r>
        <w:rPr>
          <w:rFonts w:hint="eastAsia" w:ascii="方正仿宋_GBK" w:hAnsi="方正仿宋_GBK" w:eastAsia="方正仿宋_GBK" w:cs="方正仿宋_GBK"/>
          <w:sz w:val="32"/>
          <w:szCs w:val="32"/>
          <w:lang w:val="en-US" w:eastAsia="zh-CN"/>
        </w:rPr>
        <w:t>23.13</w:t>
      </w:r>
      <w:r>
        <w:rPr>
          <w:rFonts w:hint="eastAsia" w:ascii="方正仿宋_GBK" w:hAnsi="方正仿宋_GBK" w:eastAsia="方正仿宋_GBK" w:cs="方正仿宋_GBK"/>
          <w:sz w:val="32"/>
          <w:szCs w:val="32"/>
        </w:rPr>
        <w:t>%。主要变动原因是</w:t>
      </w:r>
      <w:r>
        <w:rPr>
          <w:rFonts w:hint="eastAsia" w:ascii="方正仿宋_GBK" w:hAnsi="方正仿宋_GBK" w:eastAsia="方正仿宋_GBK" w:cs="方正仿宋_GBK"/>
          <w:sz w:val="32"/>
          <w:szCs w:val="32"/>
          <w:lang w:val="en-US" w:eastAsia="zh-CN"/>
        </w:rPr>
        <w:t>2022年人员增加，项目增加。</w:t>
      </w:r>
    </w:p>
    <w:p>
      <w:pPr>
        <w:pStyle w:val="6"/>
        <w:pageBreakBefore w:val="0"/>
        <w:kinsoku/>
        <w:wordWrap/>
        <w:overflowPunct/>
        <w:topLinePunct w:val="0"/>
        <w:bidi w:val="0"/>
        <w:spacing w:line="560" w:lineRule="exact"/>
        <w:jc w:val="center"/>
        <w:textAlignment w:val="auto"/>
        <w:rPr>
          <w:rFonts w:hint="default" w:ascii="仿宋" w:hAnsi="仿宋" w:eastAsia="仿宋"/>
          <w:sz w:val="32"/>
          <w:szCs w:val="32"/>
          <w:lang w:val="en-US" w:eastAsia="zh-CN"/>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lang w:val="en-US" w:eastAsia="zh-CN"/>
        </w:rPr>
        <w:drawing>
          <wp:anchor distT="0" distB="0" distL="114300" distR="114300" simplePos="0" relativeHeight="251663360" behindDoc="0" locked="0" layoutInCell="1" allowOverlap="1">
            <wp:simplePos x="0" y="0"/>
            <wp:positionH relativeFrom="column">
              <wp:posOffset>464185</wp:posOffset>
            </wp:positionH>
            <wp:positionV relativeFrom="paragraph">
              <wp:posOffset>323215</wp:posOffset>
            </wp:positionV>
            <wp:extent cx="4324985" cy="2533015"/>
            <wp:effectExtent l="4445" t="4445" r="13970" b="15240"/>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（图5：一般公共预算财政拨款支出决算变动情况）（柱状图）</w:t>
      </w:r>
    </w:p>
    <w:p>
      <w:pPr>
        <w:pageBreakBefore w:val="0"/>
        <w:kinsoku/>
        <w:wordWrap/>
        <w:overflowPunct/>
        <w:topLinePunct w:val="0"/>
        <w:bidi w:val="0"/>
        <w:spacing w:line="560" w:lineRule="exact"/>
        <w:ind w:firstLine="640" w:firstLineChars="200"/>
        <w:textAlignment w:val="auto"/>
        <w:rPr>
          <w:rFonts w:ascii="仿宋" w:hAnsi="仿宋" w:eastAsia="仿宋"/>
          <w:sz w:val="32"/>
          <w:szCs w:val="32"/>
        </w:rPr>
      </w:pPr>
    </w:p>
    <w:p>
      <w:pPr>
        <w:pageBreakBefore w:val="0"/>
        <w:kinsoku/>
        <w:wordWrap/>
        <w:overflowPunct/>
        <w:topLinePunct w:val="0"/>
        <w:bidi w:val="0"/>
        <w:spacing w:line="560" w:lineRule="exact"/>
        <w:ind w:firstLine="643" w:firstLineChars="200"/>
        <w:textAlignment w:val="auto"/>
        <w:outlineLvl w:val="2"/>
        <w:rPr>
          <w:rFonts w:ascii="仿宋" w:hAnsi="仿宋" w:eastAsia="仿宋"/>
          <w:b/>
          <w:sz w:val="32"/>
          <w:szCs w:val="32"/>
        </w:rPr>
      </w:pPr>
      <w:bookmarkStart w:id="28" w:name="_Toc15377211"/>
      <w:r>
        <w:rPr>
          <w:rFonts w:hint="eastAsia" w:ascii="仿宋" w:hAnsi="仿宋" w:eastAsia="仿宋"/>
          <w:b/>
          <w:sz w:val="32"/>
          <w:szCs w:val="32"/>
        </w:rPr>
        <w:t>（二）一般公共预算财政拨款支出决算结构情况</w:t>
      </w:r>
      <w:bookmarkEnd w:id="28"/>
    </w:p>
    <w:p>
      <w:pPr>
        <w:pageBreakBefore w:val="0"/>
        <w:kinsoku/>
        <w:wordWrap/>
        <w:overflowPunct/>
        <w:topLinePunct w:val="0"/>
        <w:bidi w:val="0"/>
        <w:spacing w:line="560" w:lineRule="exact"/>
        <w:ind w:firstLine="64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2022年一般公共预算财政拨款支出</w:t>
      </w:r>
      <w:r>
        <w:rPr>
          <w:rFonts w:hint="eastAsia" w:ascii="方正仿宋_GBK" w:hAnsi="方正仿宋_GBK" w:eastAsia="方正仿宋_GBK" w:cs="方正仿宋_GBK"/>
          <w:sz w:val="32"/>
          <w:szCs w:val="32"/>
          <w:lang w:val="en-US" w:eastAsia="zh-CN"/>
        </w:rPr>
        <w:t>2087.70</w:t>
      </w:r>
      <w:r>
        <w:rPr>
          <w:rFonts w:hint="eastAsia" w:ascii="方正仿宋_GBK" w:hAnsi="方正仿宋_GBK" w:eastAsia="方正仿宋_GBK" w:cs="方正仿宋_GBK"/>
          <w:sz w:val="32"/>
          <w:szCs w:val="32"/>
        </w:rPr>
        <w:t>万元，主要用于以下方面:</w:t>
      </w:r>
      <w:r>
        <w:rPr>
          <w:rFonts w:hint="eastAsia" w:ascii="仿宋" w:hAnsi="仿宋" w:eastAsia="仿宋"/>
          <w:b/>
          <w:sz w:val="32"/>
          <w:szCs w:val="32"/>
        </w:rPr>
        <w:t>一般公共服务</w:t>
      </w:r>
      <w:r>
        <w:rPr>
          <w:rFonts w:hint="eastAsia" w:ascii="仿宋" w:hAnsi="仿宋" w:eastAsia="仿宋"/>
          <w:b/>
          <w:bCs/>
          <w:sz w:val="32"/>
          <w:szCs w:val="32"/>
        </w:rPr>
        <w:t>支出</w:t>
      </w:r>
      <w:r>
        <w:rPr>
          <w:rFonts w:hint="eastAsia" w:ascii="方正仿宋_GBK" w:hAnsi="方正仿宋_GBK" w:eastAsia="方正仿宋_GBK" w:cs="方正仿宋_GBK"/>
          <w:sz w:val="32"/>
          <w:szCs w:val="32"/>
          <w:lang w:val="en-US" w:eastAsia="zh-CN"/>
        </w:rPr>
        <w:t>665.51</w:t>
      </w:r>
      <w:r>
        <w:rPr>
          <w:rFonts w:hint="eastAsia" w:ascii="方正仿宋_GBK" w:hAnsi="方正仿宋_GBK" w:eastAsia="方正仿宋_GBK" w:cs="方正仿宋_GBK"/>
          <w:sz w:val="32"/>
          <w:szCs w:val="32"/>
        </w:rPr>
        <w:t>万元，占</w:t>
      </w:r>
      <w:r>
        <w:rPr>
          <w:rFonts w:hint="eastAsia" w:ascii="方正仿宋_GBK" w:hAnsi="方正仿宋_GBK" w:eastAsia="方正仿宋_GBK" w:cs="方正仿宋_GBK"/>
          <w:sz w:val="32"/>
          <w:szCs w:val="32"/>
          <w:lang w:val="en-US" w:eastAsia="zh-CN"/>
        </w:rPr>
        <w:t>31.88</w:t>
      </w:r>
      <w:r>
        <w:rPr>
          <w:rFonts w:hint="eastAsia" w:ascii="方正仿宋_GBK" w:hAnsi="方正仿宋_GBK" w:eastAsia="方正仿宋_GBK" w:cs="方正仿宋_GBK"/>
          <w:sz w:val="32"/>
          <w:szCs w:val="32"/>
        </w:rPr>
        <w:t>%；</w:t>
      </w:r>
      <w:r>
        <w:rPr>
          <w:rFonts w:hint="eastAsia" w:ascii="仿宋" w:hAnsi="仿宋" w:eastAsia="仿宋"/>
          <w:b/>
          <w:sz w:val="32"/>
          <w:szCs w:val="32"/>
          <w:lang w:eastAsia="zh-CN"/>
        </w:rPr>
        <w:t>公共安全</w:t>
      </w:r>
      <w:r>
        <w:rPr>
          <w:rFonts w:hint="eastAsia" w:ascii="仿宋" w:hAnsi="仿宋" w:eastAsia="仿宋"/>
          <w:b/>
          <w:sz w:val="32"/>
          <w:szCs w:val="32"/>
        </w:rPr>
        <w:t>支出</w:t>
      </w:r>
      <w:r>
        <w:rPr>
          <w:rFonts w:hint="eastAsia" w:ascii="方正仿宋_GBK" w:hAnsi="方正仿宋_GBK" w:eastAsia="方正仿宋_GBK" w:cs="方正仿宋_GBK"/>
          <w:sz w:val="32"/>
          <w:szCs w:val="32"/>
          <w:lang w:val="en-US" w:eastAsia="zh-CN"/>
        </w:rPr>
        <w:t>6.3万元，占0.3%；</w:t>
      </w:r>
      <w:r>
        <w:rPr>
          <w:rFonts w:hint="eastAsia" w:ascii="仿宋" w:hAnsi="仿宋" w:eastAsia="仿宋"/>
          <w:b/>
          <w:bCs/>
          <w:sz w:val="32"/>
          <w:szCs w:val="32"/>
        </w:rPr>
        <w:t>文化旅游体育与传媒支出</w:t>
      </w:r>
      <w:r>
        <w:rPr>
          <w:rFonts w:hint="eastAsia" w:ascii="方正仿宋_GBK" w:hAnsi="方正仿宋_GBK" w:eastAsia="方正仿宋_GBK" w:cs="方正仿宋_GBK"/>
          <w:sz w:val="32"/>
          <w:szCs w:val="32"/>
          <w:lang w:val="en-US" w:eastAsia="zh-CN"/>
        </w:rPr>
        <w:t>23.83万元，占1.14%；</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方正仿宋_GBK" w:hAnsi="方正仿宋_GBK" w:eastAsia="方正仿宋_GBK" w:cs="方正仿宋_GBK"/>
          <w:sz w:val="32"/>
          <w:szCs w:val="32"/>
          <w:lang w:val="en-US" w:eastAsia="zh-CN"/>
        </w:rPr>
        <w:t>258.63万元，占12.39%；</w:t>
      </w:r>
      <w:r>
        <w:rPr>
          <w:rFonts w:hint="eastAsia" w:ascii="仿宋" w:hAnsi="仿宋" w:eastAsia="仿宋"/>
          <w:b/>
          <w:bCs/>
          <w:sz w:val="32"/>
          <w:szCs w:val="32"/>
        </w:rPr>
        <w:t>卫生健康支出</w:t>
      </w:r>
      <w:r>
        <w:rPr>
          <w:rFonts w:hint="eastAsia" w:ascii="方正仿宋_GBK" w:hAnsi="方正仿宋_GBK" w:eastAsia="方正仿宋_GBK" w:cs="方正仿宋_GBK"/>
          <w:sz w:val="32"/>
          <w:szCs w:val="32"/>
          <w:lang w:val="en-US" w:eastAsia="zh-CN"/>
        </w:rPr>
        <w:t>102.31万元，占4.9%；</w:t>
      </w:r>
      <w:r>
        <w:rPr>
          <w:rFonts w:hint="eastAsia" w:ascii="仿宋" w:hAnsi="仿宋" w:eastAsia="仿宋"/>
          <w:b/>
          <w:bCs/>
          <w:sz w:val="32"/>
          <w:szCs w:val="32"/>
          <w:lang w:eastAsia="zh-CN"/>
        </w:rPr>
        <w:t>节能环保</w:t>
      </w:r>
      <w:r>
        <w:rPr>
          <w:rFonts w:hint="eastAsia" w:ascii="仿宋" w:hAnsi="仿宋" w:eastAsia="仿宋"/>
          <w:b/>
          <w:bCs/>
          <w:sz w:val="32"/>
          <w:szCs w:val="32"/>
        </w:rPr>
        <w:t>支出</w:t>
      </w:r>
      <w:r>
        <w:rPr>
          <w:rFonts w:hint="eastAsia" w:ascii="方正仿宋_GBK" w:hAnsi="方正仿宋_GBK" w:eastAsia="方正仿宋_GBK" w:cs="方正仿宋_GBK"/>
          <w:sz w:val="32"/>
          <w:szCs w:val="32"/>
          <w:lang w:val="en-US" w:eastAsia="zh-CN"/>
        </w:rPr>
        <w:t>82.70万元，占3.96%；</w:t>
      </w:r>
      <w:r>
        <w:rPr>
          <w:rFonts w:hint="eastAsia" w:ascii="仿宋" w:hAnsi="仿宋" w:eastAsia="仿宋"/>
          <w:b/>
          <w:bCs/>
          <w:sz w:val="32"/>
          <w:szCs w:val="32"/>
          <w:lang w:eastAsia="zh-CN"/>
        </w:rPr>
        <w:t>城乡社区</w:t>
      </w:r>
      <w:r>
        <w:rPr>
          <w:rFonts w:hint="eastAsia" w:ascii="仿宋" w:hAnsi="仿宋" w:eastAsia="仿宋"/>
          <w:b/>
          <w:bCs/>
          <w:sz w:val="32"/>
          <w:szCs w:val="32"/>
        </w:rPr>
        <w:t>支出</w:t>
      </w:r>
      <w:r>
        <w:rPr>
          <w:rFonts w:hint="eastAsia" w:ascii="方正仿宋_GBK" w:hAnsi="方正仿宋_GBK" w:eastAsia="方正仿宋_GBK" w:cs="方正仿宋_GBK"/>
          <w:sz w:val="32"/>
          <w:szCs w:val="32"/>
          <w:lang w:val="en-US" w:eastAsia="zh-CN"/>
        </w:rPr>
        <w:t>39.68万元，占1.91%；</w:t>
      </w:r>
      <w:r>
        <w:rPr>
          <w:rFonts w:hint="eastAsia" w:ascii="仿宋" w:hAnsi="仿宋" w:eastAsia="仿宋"/>
          <w:b/>
          <w:bCs/>
          <w:sz w:val="32"/>
          <w:szCs w:val="32"/>
          <w:lang w:eastAsia="zh-CN"/>
        </w:rPr>
        <w:t>农林水</w:t>
      </w:r>
      <w:r>
        <w:rPr>
          <w:rFonts w:hint="eastAsia" w:ascii="仿宋" w:hAnsi="仿宋" w:eastAsia="仿宋"/>
          <w:b/>
          <w:bCs/>
          <w:sz w:val="32"/>
          <w:szCs w:val="32"/>
        </w:rPr>
        <w:t>支出</w:t>
      </w:r>
      <w:r>
        <w:rPr>
          <w:rFonts w:hint="eastAsia" w:ascii="方正仿宋_GBK" w:hAnsi="方正仿宋_GBK" w:eastAsia="方正仿宋_GBK" w:cs="方正仿宋_GBK"/>
          <w:sz w:val="32"/>
          <w:szCs w:val="32"/>
          <w:lang w:val="en-US" w:eastAsia="zh-CN"/>
        </w:rPr>
        <w:t>763.24万元，占36.56%；</w:t>
      </w:r>
      <w:r>
        <w:rPr>
          <w:rFonts w:hint="eastAsia" w:ascii="仿宋" w:hAnsi="仿宋" w:eastAsia="仿宋"/>
          <w:b/>
          <w:bCs/>
          <w:sz w:val="32"/>
          <w:szCs w:val="32"/>
          <w:lang w:eastAsia="zh-CN"/>
        </w:rPr>
        <w:t>交通运输</w:t>
      </w:r>
      <w:r>
        <w:rPr>
          <w:rFonts w:hint="eastAsia" w:ascii="仿宋" w:hAnsi="仿宋" w:eastAsia="仿宋"/>
          <w:b/>
          <w:bCs/>
          <w:sz w:val="32"/>
          <w:szCs w:val="32"/>
        </w:rPr>
        <w:t>支出</w:t>
      </w:r>
      <w:r>
        <w:rPr>
          <w:rFonts w:hint="eastAsia" w:ascii="方正仿宋_GBK" w:hAnsi="方正仿宋_GBK" w:eastAsia="方正仿宋_GBK" w:cs="方正仿宋_GBK"/>
          <w:sz w:val="32"/>
          <w:szCs w:val="32"/>
          <w:lang w:val="en-US" w:eastAsia="zh-CN"/>
        </w:rPr>
        <w:t>6.73万元，占0.31%；</w:t>
      </w:r>
      <w:r>
        <w:rPr>
          <w:rFonts w:hint="eastAsia" w:ascii="仿宋" w:hAnsi="仿宋" w:eastAsia="仿宋"/>
          <w:b/>
          <w:bCs/>
          <w:sz w:val="32"/>
          <w:szCs w:val="32"/>
        </w:rPr>
        <w:t>住房保障支出</w:t>
      </w:r>
      <w:r>
        <w:rPr>
          <w:rFonts w:hint="eastAsia" w:ascii="方正仿宋_GBK" w:hAnsi="方正仿宋_GBK" w:eastAsia="方正仿宋_GBK" w:cs="方正仿宋_GBK"/>
          <w:sz w:val="32"/>
          <w:szCs w:val="32"/>
          <w:lang w:val="en-US" w:eastAsia="zh-CN"/>
        </w:rPr>
        <w:t>91.06万元，占4.36%；</w:t>
      </w:r>
      <w:r>
        <w:rPr>
          <w:rFonts w:hint="eastAsia" w:ascii="仿宋" w:hAnsi="仿宋" w:eastAsia="仿宋" w:cs="Times New Roman"/>
          <w:b/>
          <w:bCs/>
          <w:sz w:val="32"/>
          <w:szCs w:val="32"/>
          <w:lang w:eastAsia="zh-CN"/>
        </w:rPr>
        <w:t>灾害防治及应急管理</w:t>
      </w:r>
      <w:r>
        <w:rPr>
          <w:rFonts w:hint="eastAsia" w:ascii="仿宋" w:hAnsi="仿宋" w:eastAsia="仿宋"/>
          <w:b/>
          <w:bCs/>
          <w:sz w:val="32"/>
          <w:szCs w:val="32"/>
        </w:rPr>
        <w:t>支出</w:t>
      </w:r>
      <w:r>
        <w:rPr>
          <w:rFonts w:hint="eastAsia" w:ascii="方正仿宋_GBK" w:hAnsi="方正仿宋_GBK" w:eastAsia="方正仿宋_GBK" w:cs="方正仿宋_GBK"/>
          <w:sz w:val="32"/>
          <w:szCs w:val="32"/>
          <w:lang w:val="en-US" w:eastAsia="zh-CN"/>
        </w:rPr>
        <w:t>21.25万元，占1.02%；</w:t>
      </w:r>
      <w:r>
        <w:rPr>
          <w:rFonts w:hint="eastAsia" w:ascii="仿宋" w:hAnsi="仿宋" w:eastAsia="仿宋"/>
          <w:b/>
          <w:bCs/>
          <w:sz w:val="32"/>
          <w:szCs w:val="32"/>
          <w:lang w:eastAsia="zh-CN"/>
        </w:rPr>
        <w:t>其他</w:t>
      </w:r>
      <w:r>
        <w:rPr>
          <w:rFonts w:hint="eastAsia" w:ascii="仿宋" w:hAnsi="仿宋" w:eastAsia="仿宋"/>
          <w:b/>
          <w:bCs/>
          <w:sz w:val="32"/>
          <w:szCs w:val="32"/>
        </w:rPr>
        <w:t>支出</w:t>
      </w:r>
      <w:r>
        <w:rPr>
          <w:rFonts w:hint="eastAsia" w:ascii="方正仿宋_GBK" w:hAnsi="方正仿宋_GBK" w:eastAsia="方正仿宋_GBK" w:cs="方正仿宋_GBK"/>
          <w:sz w:val="32"/>
          <w:szCs w:val="32"/>
          <w:lang w:val="en-US" w:eastAsia="zh-CN"/>
        </w:rPr>
        <w:t>26.46万元，占1.27%。</w:t>
      </w:r>
    </w:p>
    <w:p>
      <w:pPr>
        <w:pStyle w:val="6"/>
        <w:pageBreakBefore w:val="0"/>
        <w:kinsoku/>
        <w:wordWrap/>
        <w:overflowPunct/>
        <w:topLinePunct w:val="0"/>
        <w:bidi w:val="0"/>
        <w:spacing w:line="560" w:lineRule="exact"/>
        <w:textAlignment w:val="auto"/>
        <w:rPr>
          <w:rFonts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lang w:eastAsia="zh-CN"/>
        </w:rPr>
        <w:drawing>
          <wp:anchor distT="0" distB="0" distL="114300" distR="114300" simplePos="0" relativeHeight="251664384" behindDoc="0" locked="0" layoutInCell="1" allowOverlap="1">
            <wp:simplePos x="0" y="0"/>
            <wp:positionH relativeFrom="column">
              <wp:posOffset>285115</wp:posOffset>
            </wp:positionH>
            <wp:positionV relativeFrom="paragraph">
              <wp:posOffset>147320</wp:posOffset>
            </wp:positionV>
            <wp:extent cx="5256530" cy="2988310"/>
            <wp:effectExtent l="5080" t="4445" r="15240" b="17145"/>
            <wp:wrapNone/>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（图6：一般公共预算财政拨款支出决算结构）（饼状图）</w:t>
      </w:r>
    </w:p>
    <w:p>
      <w:pPr>
        <w:pageBreakBefore w:val="0"/>
        <w:kinsoku/>
        <w:wordWrap/>
        <w:overflowPunct/>
        <w:topLinePunct w:val="0"/>
        <w:bidi w:val="0"/>
        <w:spacing w:line="560" w:lineRule="exact"/>
        <w:ind w:firstLine="640" w:firstLineChars="200"/>
        <w:textAlignment w:val="auto"/>
        <w:rPr>
          <w:rFonts w:ascii="仿宋" w:hAnsi="仿宋" w:eastAsia="仿宋"/>
          <w:sz w:val="32"/>
          <w:szCs w:val="32"/>
        </w:rPr>
      </w:pPr>
    </w:p>
    <w:p>
      <w:pPr>
        <w:pageBreakBefore w:val="0"/>
        <w:kinsoku/>
        <w:wordWrap/>
        <w:overflowPunct/>
        <w:topLinePunct w:val="0"/>
        <w:bidi w:val="0"/>
        <w:spacing w:line="560" w:lineRule="exact"/>
        <w:ind w:firstLine="643" w:firstLineChars="200"/>
        <w:textAlignment w:val="auto"/>
        <w:outlineLvl w:val="2"/>
        <w:rPr>
          <w:rFonts w:ascii="仿宋" w:hAnsi="仿宋" w:eastAsia="仿宋"/>
          <w:b/>
          <w:sz w:val="32"/>
          <w:szCs w:val="32"/>
          <w:highlight w:val="none"/>
        </w:rPr>
      </w:pPr>
      <w:bookmarkStart w:id="29" w:name="_Toc15377212"/>
      <w:r>
        <w:rPr>
          <w:rFonts w:hint="eastAsia" w:ascii="仿宋" w:hAnsi="仿宋" w:eastAsia="仿宋"/>
          <w:b/>
          <w:sz w:val="32"/>
          <w:szCs w:val="32"/>
          <w:highlight w:val="none"/>
        </w:rPr>
        <w:t>（三）一般公共预算财政拨款支出决算具体情况</w:t>
      </w:r>
      <w:bookmarkEnd w:id="29"/>
    </w:p>
    <w:p>
      <w:pPr>
        <w:pageBreakBefore w:val="0"/>
        <w:kinsoku/>
        <w:wordWrap/>
        <w:overflowPunct/>
        <w:topLinePunct w:val="0"/>
        <w:bidi w:val="0"/>
        <w:spacing w:line="560" w:lineRule="exact"/>
        <w:ind w:firstLine="643" w:firstLineChars="200"/>
        <w:textAlignment w:val="auto"/>
        <w:outlineLvl w:val="2"/>
        <w:rPr>
          <w:rFonts w:ascii="仿宋" w:hAnsi="仿宋" w:eastAsia="仿宋"/>
          <w:sz w:val="32"/>
          <w:szCs w:val="32"/>
          <w:highlight w:val="none"/>
        </w:rPr>
      </w:pPr>
      <w:bookmarkStart w:id="30" w:name="_Toc15377444"/>
      <w:bookmarkStart w:id="31" w:name="_Toc15378460"/>
      <w:bookmarkStart w:id="32" w:name="_Toc15377213"/>
      <w:r>
        <w:rPr>
          <w:rFonts w:hint="eastAsia" w:ascii="仿宋" w:hAnsi="仿宋" w:eastAsia="仿宋"/>
          <w:b/>
          <w:sz w:val="32"/>
          <w:szCs w:val="32"/>
          <w:highlight w:val="none"/>
        </w:rPr>
        <w:t>2022年一般公共预算支出决算数为2087.7</w:t>
      </w:r>
      <w:r>
        <w:rPr>
          <w:rFonts w:hint="eastAsia" w:ascii="仿宋" w:hAnsi="仿宋" w:eastAsia="仿宋"/>
          <w:b/>
          <w:sz w:val="32"/>
          <w:szCs w:val="32"/>
          <w:highlight w:val="none"/>
          <w:lang w:val="en-US" w:eastAsia="zh-CN"/>
        </w:rPr>
        <w:t>0万元</w:t>
      </w:r>
      <w:r>
        <w:rPr>
          <w:rFonts w:hint="eastAsia" w:ascii="仿宋" w:hAnsi="仿宋" w:eastAsia="仿宋"/>
          <w:sz w:val="32"/>
          <w:szCs w:val="32"/>
          <w:highlight w:val="none"/>
        </w:rPr>
        <w:t>，</w:t>
      </w:r>
      <w:r>
        <w:rPr>
          <w:rStyle w:val="17"/>
          <w:rFonts w:hint="eastAsia" w:ascii="仿宋" w:hAnsi="仿宋" w:eastAsia="仿宋"/>
          <w:bCs/>
          <w:sz w:val="32"/>
          <w:szCs w:val="32"/>
          <w:highlight w:val="none"/>
        </w:rPr>
        <w:t>完成预算</w:t>
      </w:r>
      <w:r>
        <w:rPr>
          <w:rStyle w:val="17"/>
          <w:rFonts w:hint="eastAsia" w:ascii="仿宋" w:hAnsi="仿宋" w:eastAsia="仿宋"/>
          <w:bCs/>
          <w:sz w:val="32"/>
          <w:szCs w:val="32"/>
          <w:highlight w:val="none"/>
          <w:lang w:val="en-US" w:eastAsia="zh-CN"/>
        </w:rPr>
        <w:t>100</w:t>
      </w:r>
      <w:r>
        <w:rPr>
          <w:rStyle w:val="17"/>
          <w:rFonts w:ascii="仿宋" w:hAnsi="仿宋" w:eastAsia="仿宋"/>
          <w:bCs/>
          <w:sz w:val="32"/>
          <w:szCs w:val="32"/>
          <w:highlight w:val="none"/>
        </w:rPr>
        <w:t>%</w:t>
      </w:r>
      <w:r>
        <w:rPr>
          <w:rStyle w:val="17"/>
          <w:rFonts w:hint="eastAsia" w:ascii="仿宋" w:hAnsi="仿宋" w:eastAsia="仿宋"/>
          <w:bCs/>
          <w:sz w:val="32"/>
          <w:szCs w:val="32"/>
          <w:highlight w:val="none"/>
        </w:rPr>
        <w:t>。其中：</w:t>
      </w:r>
      <w:bookmarkEnd w:id="30"/>
      <w:bookmarkEnd w:id="31"/>
      <w:bookmarkEnd w:id="32"/>
    </w:p>
    <w:p>
      <w:pPr>
        <w:pageBreakBefore w:val="0"/>
        <w:numPr>
          <w:ilvl w:val="0"/>
          <w:numId w:val="0"/>
        </w:numPr>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1.</w:t>
      </w:r>
      <w:r>
        <w:rPr>
          <w:rStyle w:val="17"/>
          <w:rFonts w:hint="eastAsia" w:ascii="仿宋" w:hAnsi="仿宋" w:eastAsia="仿宋"/>
          <w:bCs/>
          <w:sz w:val="32"/>
          <w:szCs w:val="32"/>
        </w:rPr>
        <w:t>一般公共服务（类）人大事务（款）行政运行（项）</w:t>
      </w:r>
      <w:r>
        <w:rPr>
          <w:rStyle w:val="17"/>
          <w:rFonts w:ascii="仿宋" w:hAnsi="仿宋" w:eastAsia="仿宋"/>
          <w:bCs/>
          <w:sz w:val="32"/>
          <w:szCs w:val="32"/>
        </w:rPr>
        <w:t>:</w:t>
      </w:r>
      <w:r>
        <w:rPr>
          <w:rStyle w:val="17"/>
          <w:rFonts w:hint="eastAsia" w:ascii="仿宋" w:hAnsi="仿宋" w:eastAsia="仿宋"/>
          <w:b w:val="0"/>
          <w:bCs/>
          <w:sz w:val="32"/>
          <w:szCs w:val="32"/>
        </w:rPr>
        <w:t>支出决算为17.64万元，完成预算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numPr>
          <w:ilvl w:val="0"/>
          <w:numId w:val="0"/>
        </w:numPr>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2.</w:t>
      </w:r>
      <w:r>
        <w:rPr>
          <w:rStyle w:val="17"/>
          <w:rFonts w:hint="eastAsia" w:ascii="仿宋" w:hAnsi="仿宋" w:eastAsia="仿宋"/>
          <w:bCs/>
          <w:sz w:val="32"/>
          <w:szCs w:val="32"/>
        </w:rPr>
        <w:t>一般公共服务（类）人大事务（款）人大会议（项）</w:t>
      </w:r>
      <w:r>
        <w:rPr>
          <w:rStyle w:val="17"/>
          <w:rFonts w:ascii="仿宋" w:hAnsi="仿宋" w:eastAsia="仿宋"/>
          <w:bCs/>
          <w:sz w:val="32"/>
          <w:szCs w:val="32"/>
        </w:rPr>
        <w:t>:</w:t>
      </w:r>
      <w:r>
        <w:rPr>
          <w:rStyle w:val="17"/>
          <w:rFonts w:hint="eastAsia" w:ascii="仿宋" w:hAnsi="仿宋" w:eastAsia="仿宋"/>
          <w:b w:val="0"/>
          <w:bCs/>
          <w:sz w:val="32"/>
          <w:szCs w:val="32"/>
        </w:rPr>
        <w:t>支出决算为3.12万元，完成预算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3.</w:t>
      </w:r>
      <w:r>
        <w:rPr>
          <w:rStyle w:val="17"/>
          <w:rFonts w:hint="eastAsia" w:ascii="仿宋" w:hAnsi="仿宋" w:eastAsia="仿宋"/>
          <w:bCs/>
          <w:sz w:val="32"/>
          <w:szCs w:val="32"/>
        </w:rPr>
        <w:t>一般公共服务（类）政府办公厅（室）及相关机构事务（款）行政运行（项）</w:t>
      </w:r>
      <w:r>
        <w:rPr>
          <w:rStyle w:val="17"/>
          <w:rFonts w:ascii="仿宋" w:hAnsi="仿宋" w:eastAsia="仿宋"/>
          <w:bCs/>
          <w:sz w:val="32"/>
          <w:szCs w:val="32"/>
        </w:rPr>
        <w:t>:</w:t>
      </w:r>
      <w:r>
        <w:rPr>
          <w:rStyle w:val="17"/>
          <w:rFonts w:hint="eastAsia" w:ascii="仿宋" w:hAnsi="仿宋" w:eastAsia="仿宋"/>
          <w:b w:val="0"/>
          <w:bCs/>
          <w:sz w:val="32"/>
          <w:szCs w:val="32"/>
        </w:rPr>
        <w:t>支出决算为498.77万元，完成预算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Fonts w:ascii="仿宋" w:hAnsi="仿宋" w:eastAsia="仿宋"/>
          <w:b/>
          <w:sz w:val="32"/>
          <w:szCs w:val="32"/>
        </w:rPr>
      </w:pPr>
      <w:r>
        <w:rPr>
          <w:rStyle w:val="17"/>
          <w:rFonts w:hint="eastAsia" w:ascii="仿宋" w:hAnsi="仿宋" w:eastAsia="仿宋"/>
          <w:bCs/>
          <w:sz w:val="32"/>
          <w:szCs w:val="32"/>
          <w:lang w:val="en-US" w:eastAsia="zh-CN"/>
        </w:rPr>
        <w:t>4</w:t>
      </w:r>
      <w:r>
        <w:rPr>
          <w:rStyle w:val="17"/>
          <w:rFonts w:ascii="仿宋" w:hAnsi="仿宋" w:eastAsia="仿宋"/>
          <w:bCs/>
          <w:sz w:val="32"/>
          <w:szCs w:val="32"/>
        </w:rPr>
        <w:t>.</w:t>
      </w:r>
      <w:r>
        <w:rPr>
          <w:rStyle w:val="17"/>
          <w:rFonts w:hint="eastAsia" w:ascii="仿宋" w:hAnsi="仿宋" w:eastAsia="仿宋"/>
          <w:bCs/>
          <w:sz w:val="32"/>
          <w:szCs w:val="32"/>
        </w:rPr>
        <w:t>一般公共服务（类）政府办公厅（室）及相关机构事务（款）一般行政管理事务（项）</w:t>
      </w:r>
      <w:r>
        <w:rPr>
          <w:rStyle w:val="17"/>
          <w:rFonts w:ascii="仿宋" w:hAnsi="仿宋" w:eastAsia="仿宋"/>
          <w:bCs/>
          <w:sz w:val="32"/>
          <w:szCs w:val="32"/>
        </w:rPr>
        <w:t>:</w:t>
      </w:r>
      <w:r>
        <w:rPr>
          <w:rStyle w:val="17"/>
          <w:rFonts w:hint="eastAsia" w:ascii="仿宋" w:hAnsi="仿宋" w:eastAsia="仿宋"/>
          <w:b w:val="0"/>
          <w:bCs/>
          <w:sz w:val="32"/>
          <w:szCs w:val="32"/>
        </w:rPr>
        <w:t>支出决算为13.57万元，完成预算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5</w:t>
      </w:r>
      <w:r>
        <w:rPr>
          <w:rStyle w:val="17"/>
          <w:rFonts w:ascii="仿宋" w:hAnsi="仿宋" w:eastAsia="仿宋"/>
          <w:bCs/>
          <w:sz w:val="32"/>
          <w:szCs w:val="32"/>
        </w:rPr>
        <w:t>.</w:t>
      </w:r>
      <w:r>
        <w:rPr>
          <w:rStyle w:val="17"/>
          <w:rFonts w:hint="eastAsia" w:ascii="仿宋" w:hAnsi="仿宋" w:eastAsia="仿宋"/>
          <w:bCs/>
          <w:sz w:val="32"/>
          <w:szCs w:val="32"/>
        </w:rPr>
        <w:t>一般公共服务（类）政府办公厅（室）及相关机构事务（款）事业运行（项）</w:t>
      </w:r>
      <w:r>
        <w:rPr>
          <w:rStyle w:val="17"/>
          <w:rFonts w:ascii="仿宋" w:hAnsi="仿宋" w:eastAsia="仿宋"/>
          <w:bCs/>
          <w:sz w:val="32"/>
          <w:szCs w:val="32"/>
        </w:rPr>
        <w:t>:</w:t>
      </w:r>
      <w:r>
        <w:rPr>
          <w:rStyle w:val="17"/>
          <w:rFonts w:hint="eastAsia" w:ascii="仿宋" w:hAnsi="仿宋" w:eastAsia="仿宋"/>
          <w:b w:val="0"/>
          <w:bCs/>
          <w:sz w:val="32"/>
          <w:szCs w:val="32"/>
        </w:rPr>
        <w:t>支出决算为40.7万元，完成预算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6</w:t>
      </w:r>
      <w:r>
        <w:rPr>
          <w:rStyle w:val="17"/>
          <w:rFonts w:ascii="仿宋" w:hAnsi="仿宋" w:eastAsia="仿宋"/>
          <w:bCs/>
          <w:sz w:val="32"/>
          <w:szCs w:val="32"/>
        </w:rPr>
        <w:t>.</w:t>
      </w:r>
      <w:r>
        <w:rPr>
          <w:rStyle w:val="17"/>
          <w:rFonts w:hint="eastAsia" w:ascii="仿宋" w:hAnsi="仿宋" w:eastAsia="仿宋"/>
          <w:bCs/>
          <w:sz w:val="32"/>
          <w:szCs w:val="32"/>
        </w:rPr>
        <w:t>一般公共服务（类）纪检监察事务（款）其他纪检监察事务支出（项）</w:t>
      </w:r>
      <w:r>
        <w:rPr>
          <w:rStyle w:val="17"/>
          <w:rFonts w:ascii="仿宋" w:hAnsi="仿宋" w:eastAsia="仿宋"/>
          <w:bCs/>
          <w:sz w:val="32"/>
          <w:szCs w:val="32"/>
        </w:rPr>
        <w:t>:</w:t>
      </w:r>
      <w:r>
        <w:rPr>
          <w:rStyle w:val="17"/>
          <w:rFonts w:hint="eastAsia" w:ascii="仿宋" w:hAnsi="仿宋" w:eastAsia="仿宋"/>
          <w:b w:val="0"/>
          <w:bCs/>
          <w:sz w:val="32"/>
          <w:szCs w:val="32"/>
        </w:rPr>
        <w:t>支出决算为2.1万元，完成预算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Fonts w:ascii="仿宋" w:hAnsi="仿宋" w:eastAsia="仿宋"/>
          <w:b/>
          <w:sz w:val="32"/>
          <w:szCs w:val="32"/>
        </w:rPr>
      </w:pPr>
      <w:r>
        <w:rPr>
          <w:rStyle w:val="17"/>
          <w:rFonts w:hint="eastAsia" w:ascii="仿宋" w:hAnsi="仿宋" w:eastAsia="仿宋"/>
          <w:bCs/>
          <w:sz w:val="32"/>
          <w:szCs w:val="32"/>
          <w:lang w:val="en-US" w:eastAsia="zh-CN"/>
        </w:rPr>
        <w:t>7</w:t>
      </w:r>
      <w:r>
        <w:rPr>
          <w:rStyle w:val="17"/>
          <w:rFonts w:ascii="仿宋" w:hAnsi="仿宋" w:eastAsia="仿宋"/>
          <w:bCs/>
          <w:sz w:val="32"/>
          <w:szCs w:val="32"/>
        </w:rPr>
        <w:t>.</w:t>
      </w:r>
      <w:r>
        <w:rPr>
          <w:rStyle w:val="17"/>
          <w:rFonts w:hint="eastAsia" w:ascii="仿宋" w:hAnsi="仿宋" w:eastAsia="仿宋"/>
          <w:bCs/>
          <w:sz w:val="32"/>
          <w:szCs w:val="32"/>
        </w:rPr>
        <w:t>一般公共服务（类）民族事务（款）民族工作专项（项）</w:t>
      </w:r>
      <w:r>
        <w:rPr>
          <w:rStyle w:val="17"/>
          <w:rFonts w:ascii="仿宋" w:hAnsi="仿宋" w:eastAsia="仿宋"/>
          <w:bCs/>
          <w:sz w:val="32"/>
          <w:szCs w:val="32"/>
        </w:rPr>
        <w:t>:</w:t>
      </w:r>
      <w:r>
        <w:rPr>
          <w:rStyle w:val="17"/>
          <w:rFonts w:hint="eastAsia" w:ascii="仿宋" w:hAnsi="仿宋" w:eastAsia="仿宋"/>
          <w:b w:val="0"/>
          <w:bCs/>
          <w:sz w:val="32"/>
          <w:szCs w:val="32"/>
        </w:rPr>
        <w:t>支出决算为0.58万元，完成预算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Fonts w:ascii="仿宋" w:hAnsi="仿宋" w:eastAsia="仿宋"/>
          <w:b/>
          <w:sz w:val="32"/>
          <w:szCs w:val="32"/>
        </w:rPr>
      </w:pPr>
      <w:r>
        <w:rPr>
          <w:rStyle w:val="17"/>
          <w:rFonts w:hint="eastAsia" w:ascii="仿宋" w:hAnsi="仿宋" w:eastAsia="仿宋"/>
          <w:bCs/>
          <w:sz w:val="32"/>
          <w:szCs w:val="32"/>
          <w:lang w:val="en-US" w:eastAsia="zh-CN"/>
        </w:rPr>
        <w:t>8</w:t>
      </w:r>
      <w:r>
        <w:rPr>
          <w:rStyle w:val="17"/>
          <w:rFonts w:ascii="仿宋" w:hAnsi="仿宋" w:eastAsia="仿宋"/>
          <w:bCs/>
          <w:sz w:val="32"/>
          <w:szCs w:val="32"/>
        </w:rPr>
        <w:t>.</w:t>
      </w:r>
      <w:r>
        <w:rPr>
          <w:rStyle w:val="17"/>
          <w:rFonts w:hint="eastAsia" w:ascii="仿宋" w:hAnsi="仿宋" w:eastAsia="仿宋"/>
          <w:bCs/>
          <w:sz w:val="32"/>
          <w:szCs w:val="32"/>
        </w:rPr>
        <w:t>一般公共服务（类）民族事务（款）其他民族事务支出（项）</w:t>
      </w:r>
      <w:r>
        <w:rPr>
          <w:rStyle w:val="17"/>
          <w:rFonts w:ascii="仿宋" w:hAnsi="仿宋" w:eastAsia="仿宋"/>
          <w:bCs/>
          <w:sz w:val="32"/>
          <w:szCs w:val="32"/>
        </w:rPr>
        <w:t>:</w:t>
      </w:r>
      <w:r>
        <w:rPr>
          <w:rStyle w:val="17"/>
          <w:rFonts w:hint="eastAsia" w:ascii="仿宋" w:hAnsi="仿宋" w:eastAsia="仿宋"/>
          <w:b w:val="0"/>
          <w:bCs/>
          <w:sz w:val="32"/>
          <w:szCs w:val="32"/>
        </w:rPr>
        <w:t>支出决算为0.6万元，完成预算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Fonts w:ascii="仿宋" w:hAnsi="仿宋" w:eastAsia="仿宋"/>
          <w:b/>
          <w:sz w:val="32"/>
          <w:szCs w:val="32"/>
        </w:rPr>
      </w:pPr>
      <w:r>
        <w:rPr>
          <w:rStyle w:val="17"/>
          <w:rFonts w:hint="eastAsia" w:ascii="仿宋" w:hAnsi="仿宋" w:eastAsia="仿宋"/>
          <w:bCs/>
          <w:sz w:val="32"/>
          <w:szCs w:val="32"/>
          <w:lang w:val="en-US" w:eastAsia="zh-CN"/>
        </w:rPr>
        <w:t>9</w:t>
      </w:r>
      <w:r>
        <w:rPr>
          <w:rStyle w:val="17"/>
          <w:rFonts w:ascii="仿宋" w:hAnsi="仿宋" w:eastAsia="仿宋"/>
          <w:bCs/>
          <w:sz w:val="32"/>
          <w:szCs w:val="32"/>
        </w:rPr>
        <w:t>.</w:t>
      </w:r>
      <w:r>
        <w:rPr>
          <w:rStyle w:val="17"/>
          <w:rFonts w:hint="eastAsia" w:ascii="仿宋" w:hAnsi="仿宋" w:eastAsia="仿宋"/>
          <w:bCs/>
          <w:sz w:val="32"/>
          <w:szCs w:val="32"/>
        </w:rPr>
        <w:t>一般公共服务（类）党委办公厅（室）及相关机构事务（款） 行政运行（项）</w:t>
      </w:r>
      <w:r>
        <w:rPr>
          <w:rStyle w:val="17"/>
          <w:rFonts w:ascii="仿宋" w:hAnsi="仿宋" w:eastAsia="仿宋"/>
          <w:bCs/>
          <w:sz w:val="32"/>
          <w:szCs w:val="32"/>
        </w:rPr>
        <w:t>:</w:t>
      </w:r>
      <w:r>
        <w:rPr>
          <w:rStyle w:val="17"/>
          <w:rFonts w:hint="eastAsia" w:ascii="仿宋" w:hAnsi="仿宋" w:eastAsia="仿宋"/>
          <w:b w:val="0"/>
          <w:bCs/>
          <w:sz w:val="32"/>
          <w:szCs w:val="32"/>
        </w:rPr>
        <w:t>支出决算为85.93万元，完成预算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ascii="仿宋" w:hAnsi="仿宋" w:eastAsia="仿宋"/>
          <w:bCs/>
          <w:sz w:val="32"/>
          <w:szCs w:val="32"/>
        </w:rPr>
        <w:t>1</w:t>
      </w:r>
      <w:r>
        <w:rPr>
          <w:rStyle w:val="17"/>
          <w:rFonts w:hint="eastAsia" w:ascii="仿宋" w:hAnsi="仿宋" w:eastAsia="仿宋"/>
          <w:bCs/>
          <w:sz w:val="32"/>
          <w:szCs w:val="32"/>
          <w:lang w:val="en-US" w:eastAsia="zh-CN"/>
        </w:rPr>
        <w:t>0</w:t>
      </w:r>
      <w:r>
        <w:rPr>
          <w:rStyle w:val="17"/>
          <w:rFonts w:ascii="仿宋" w:hAnsi="仿宋" w:eastAsia="仿宋"/>
          <w:bCs/>
          <w:sz w:val="32"/>
          <w:szCs w:val="32"/>
        </w:rPr>
        <w:t>.</w:t>
      </w:r>
      <w:r>
        <w:rPr>
          <w:rStyle w:val="17"/>
          <w:rFonts w:hint="eastAsia" w:ascii="仿宋" w:hAnsi="仿宋" w:eastAsia="仿宋"/>
          <w:bCs/>
          <w:sz w:val="32"/>
          <w:szCs w:val="32"/>
        </w:rPr>
        <w:t>一般公共服务（类）宣传事务（款）其他宣传事务支出（项）</w:t>
      </w:r>
      <w:r>
        <w:rPr>
          <w:rStyle w:val="17"/>
          <w:rFonts w:ascii="仿宋" w:hAnsi="仿宋" w:eastAsia="仿宋"/>
          <w:bCs/>
          <w:sz w:val="32"/>
          <w:szCs w:val="32"/>
        </w:rPr>
        <w:t>:</w:t>
      </w:r>
      <w:r>
        <w:rPr>
          <w:rStyle w:val="17"/>
          <w:rFonts w:hint="eastAsia" w:ascii="仿宋" w:hAnsi="仿宋" w:eastAsia="仿宋"/>
          <w:b w:val="0"/>
          <w:bCs/>
          <w:sz w:val="32"/>
          <w:szCs w:val="32"/>
        </w:rPr>
        <w:t>支出决算为2.5万元，完成预算</w:t>
      </w:r>
      <w:r>
        <w:rPr>
          <w:rStyle w:val="17"/>
          <w:rFonts w:ascii="仿宋" w:hAnsi="仿宋" w:eastAsia="仿宋"/>
          <w:b w:val="0"/>
          <w:bCs/>
          <w:sz w:val="32"/>
          <w:szCs w:val="32"/>
        </w:rPr>
        <w:t>**%</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pPr>
      <w:r>
        <w:rPr>
          <w:rStyle w:val="17"/>
          <w:rFonts w:ascii="仿宋" w:hAnsi="仿宋" w:eastAsia="仿宋"/>
          <w:bCs/>
          <w:sz w:val="32"/>
          <w:szCs w:val="32"/>
        </w:rPr>
        <w:t>1</w:t>
      </w:r>
      <w:r>
        <w:rPr>
          <w:rStyle w:val="17"/>
          <w:rFonts w:hint="eastAsia" w:ascii="仿宋" w:hAnsi="仿宋" w:eastAsia="仿宋"/>
          <w:bCs/>
          <w:sz w:val="32"/>
          <w:szCs w:val="32"/>
          <w:lang w:val="en-US" w:eastAsia="zh-CN"/>
        </w:rPr>
        <w:t>1</w:t>
      </w:r>
      <w:r>
        <w:rPr>
          <w:rStyle w:val="17"/>
          <w:rFonts w:ascii="仿宋" w:hAnsi="仿宋" w:eastAsia="仿宋"/>
          <w:bCs/>
          <w:sz w:val="32"/>
          <w:szCs w:val="32"/>
        </w:rPr>
        <w:t>.</w:t>
      </w:r>
      <w:r>
        <w:rPr>
          <w:rStyle w:val="17"/>
          <w:rFonts w:hint="eastAsia" w:ascii="仿宋" w:hAnsi="仿宋" w:eastAsia="仿宋"/>
          <w:bCs/>
          <w:sz w:val="32"/>
          <w:szCs w:val="32"/>
        </w:rPr>
        <w:t>公共安全（类）其他公共安全支出（款）其他公共安全支出（项）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6.</w:t>
      </w:r>
      <w:r>
        <w:rPr>
          <w:rStyle w:val="17"/>
          <w:rFonts w:hint="eastAsia" w:ascii="仿宋" w:hAnsi="仿宋" w:eastAsia="仿宋"/>
          <w:b w:val="0"/>
          <w:bCs/>
          <w:sz w:val="32"/>
          <w:szCs w:val="32"/>
        </w:rPr>
        <w:t>3万元，完成预算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numPr>
          <w:ilvl w:val="0"/>
          <w:numId w:val="0"/>
        </w:numPr>
        <w:kinsoku/>
        <w:wordWrap/>
        <w:overflowPunct/>
        <w:topLinePunct w:val="0"/>
        <w:bidi w:val="0"/>
        <w:spacing w:line="560" w:lineRule="exact"/>
        <w:ind w:leftChars="0"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12.</w:t>
      </w:r>
      <w:r>
        <w:rPr>
          <w:rStyle w:val="17"/>
          <w:rFonts w:hint="eastAsia" w:ascii="仿宋" w:hAnsi="仿宋" w:eastAsia="仿宋"/>
          <w:bCs/>
          <w:sz w:val="32"/>
          <w:szCs w:val="32"/>
        </w:rPr>
        <w:t>文化旅游体育与传媒（类）文化和旅游（款）群众文化（项）</w:t>
      </w:r>
      <w:r>
        <w:rPr>
          <w:rStyle w:val="17"/>
          <w:rFonts w:ascii="仿宋" w:hAnsi="仿宋" w:eastAsia="仿宋"/>
          <w:bCs/>
          <w:sz w:val="32"/>
          <w:szCs w:val="32"/>
        </w:rPr>
        <w:t>:</w:t>
      </w:r>
      <w:r>
        <w:rPr>
          <w:rStyle w:val="17"/>
          <w:rFonts w:hint="eastAsia" w:ascii="仿宋" w:hAnsi="仿宋" w:eastAsia="仿宋"/>
          <w:b w:val="0"/>
          <w:bCs/>
          <w:sz w:val="32"/>
          <w:szCs w:val="32"/>
        </w:rPr>
        <w:t>支出决算为19.03万元，完成预算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numPr>
          <w:ilvl w:val="0"/>
          <w:numId w:val="0"/>
        </w:numPr>
        <w:kinsoku/>
        <w:wordWrap/>
        <w:overflowPunct/>
        <w:topLinePunct w:val="0"/>
        <w:bidi w:val="0"/>
        <w:spacing w:line="560" w:lineRule="exact"/>
        <w:ind w:leftChars="0" w:firstLine="643" w:firstLineChars="200"/>
        <w:textAlignment w:val="auto"/>
        <w:rPr>
          <w:rStyle w:val="17"/>
          <w:rFonts w:hint="eastAsia" w:ascii="仿宋" w:hAnsi="仿宋" w:eastAsia="仿宋"/>
          <w:b w:val="0"/>
          <w:bCs/>
          <w:sz w:val="32"/>
          <w:szCs w:val="32"/>
          <w:lang w:val="en-US" w:eastAsia="zh-CN"/>
        </w:rPr>
      </w:pPr>
      <w:r>
        <w:rPr>
          <w:rStyle w:val="17"/>
          <w:rFonts w:hint="eastAsia" w:ascii="仿宋" w:hAnsi="仿宋" w:eastAsia="仿宋"/>
          <w:bCs/>
          <w:sz w:val="32"/>
          <w:szCs w:val="32"/>
          <w:lang w:val="en-US" w:eastAsia="zh-CN"/>
        </w:rPr>
        <w:t>13</w:t>
      </w:r>
      <w:r>
        <w:rPr>
          <w:rStyle w:val="17"/>
          <w:rFonts w:ascii="仿宋" w:hAnsi="仿宋" w:eastAsia="仿宋"/>
          <w:bCs/>
          <w:sz w:val="32"/>
          <w:szCs w:val="32"/>
        </w:rPr>
        <w:t>.</w:t>
      </w:r>
      <w:r>
        <w:rPr>
          <w:rStyle w:val="17"/>
          <w:rFonts w:hint="eastAsia" w:ascii="仿宋" w:hAnsi="仿宋" w:eastAsia="仿宋"/>
          <w:bCs/>
          <w:sz w:val="32"/>
          <w:szCs w:val="32"/>
        </w:rPr>
        <w:t>文化旅游体育与传媒（类）文化和旅游（款）其他文化和旅游支出（项）</w:t>
      </w:r>
      <w:r>
        <w:rPr>
          <w:rStyle w:val="17"/>
          <w:rFonts w:ascii="仿宋" w:hAnsi="仿宋" w:eastAsia="仿宋"/>
          <w:bCs/>
          <w:sz w:val="32"/>
          <w:szCs w:val="32"/>
        </w:rPr>
        <w:t>:</w:t>
      </w:r>
      <w:r>
        <w:rPr>
          <w:rStyle w:val="17"/>
          <w:rFonts w:hint="eastAsia" w:ascii="仿宋" w:hAnsi="仿宋" w:eastAsia="仿宋"/>
          <w:b w:val="0"/>
          <w:bCs/>
          <w:sz w:val="32"/>
          <w:szCs w:val="32"/>
        </w:rPr>
        <w:t>支出决算为4.8万元，完成预算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r>
        <w:rPr>
          <w:rStyle w:val="17"/>
          <w:rFonts w:hint="eastAsia" w:ascii="仿宋" w:hAnsi="仿宋" w:eastAsia="仿宋"/>
          <w:b w:val="0"/>
          <w:bCs/>
          <w:sz w:val="32"/>
          <w:szCs w:val="32"/>
          <w:lang w:val="en-US" w:eastAsia="zh-CN"/>
        </w:rPr>
        <w:t xml:space="preserve">  </w:t>
      </w:r>
    </w:p>
    <w:p>
      <w:pPr>
        <w:pageBreakBefore w:val="0"/>
        <w:numPr>
          <w:ilvl w:val="0"/>
          <w:numId w:val="0"/>
        </w:numPr>
        <w:kinsoku/>
        <w:wordWrap/>
        <w:overflowPunct/>
        <w:topLinePunct w:val="0"/>
        <w:bidi w:val="0"/>
        <w:spacing w:line="560" w:lineRule="exact"/>
        <w:ind w:leftChars="0"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14.</w:t>
      </w:r>
      <w:r>
        <w:rPr>
          <w:rStyle w:val="17"/>
          <w:rFonts w:hint="eastAsia" w:ascii="仿宋" w:hAnsi="仿宋" w:eastAsia="仿宋"/>
          <w:bCs/>
          <w:sz w:val="32"/>
          <w:szCs w:val="32"/>
        </w:rPr>
        <w:t>社会保障和就业（类）人力资源和社会保障管理事务（款）社会保险经办机构（项）</w:t>
      </w:r>
      <w:r>
        <w:rPr>
          <w:rStyle w:val="17"/>
          <w:rFonts w:ascii="仿宋" w:hAnsi="仿宋" w:eastAsia="仿宋"/>
          <w:bCs/>
          <w:sz w:val="32"/>
          <w:szCs w:val="32"/>
        </w:rPr>
        <w:t>:</w:t>
      </w:r>
      <w:r>
        <w:rPr>
          <w:rStyle w:val="17"/>
          <w:rFonts w:hint="eastAsia" w:ascii="仿宋" w:hAnsi="仿宋" w:eastAsia="仿宋"/>
          <w:b w:val="0"/>
          <w:bCs/>
          <w:sz w:val="32"/>
          <w:szCs w:val="32"/>
        </w:rPr>
        <w:t>支出决算为84.37元，完成预算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15.</w:t>
      </w:r>
      <w:r>
        <w:rPr>
          <w:rStyle w:val="17"/>
          <w:rFonts w:hint="eastAsia" w:ascii="仿宋" w:hAnsi="仿宋" w:eastAsia="仿宋"/>
          <w:bCs/>
          <w:sz w:val="32"/>
          <w:szCs w:val="32"/>
        </w:rPr>
        <w:t>社会保障和就业（类）人力资源和社会保障管理事务（款）其他人力资源和社会保障管理事务支出（项）</w:t>
      </w:r>
      <w:r>
        <w:rPr>
          <w:rStyle w:val="17"/>
          <w:rFonts w:ascii="仿宋" w:hAnsi="仿宋" w:eastAsia="仿宋"/>
          <w:bCs/>
          <w:sz w:val="32"/>
          <w:szCs w:val="32"/>
        </w:rPr>
        <w:t>:</w:t>
      </w:r>
      <w:r>
        <w:rPr>
          <w:rStyle w:val="17"/>
          <w:rFonts w:hint="eastAsia" w:ascii="仿宋" w:hAnsi="仿宋" w:eastAsia="仿宋"/>
          <w:b w:val="0"/>
          <w:bCs/>
          <w:sz w:val="32"/>
          <w:szCs w:val="32"/>
        </w:rPr>
        <w:t>支出决算为5.57万元，完成预算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Fonts w:ascii="仿宋" w:hAnsi="仿宋" w:eastAsia="仿宋"/>
          <w:b/>
          <w:sz w:val="32"/>
          <w:szCs w:val="32"/>
        </w:rPr>
      </w:pPr>
      <w:r>
        <w:rPr>
          <w:rStyle w:val="17"/>
          <w:rFonts w:hint="eastAsia" w:ascii="仿宋" w:hAnsi="仿宋" w:eastAsia="仿宋"/>
          <w:bCs/>
          <w:sz w:val="32"/>
          <w:szCs w:val="32"/>
          <w:lang w:val="en-US" w:eastAsia="zh-CN"/>
        </w:rPr>
        <w:t>16</w:t>
      </w:r>
      <w:r>
        <w:rPr>
          <w:rStyle w:val="17"/>
          <w:rFonts w:ascii="仿宋" w:hAnsi="仿宋" w:eastAsia="仿宋"/>
          <w:bCs/>
          <w:sz w:val="32"/>
          <w:szCs w:val="32"/>
        </w:rPr>
        <w:t>.</w:t>
      </w:r>
      <w:r>
        <w:rPr>
          <w:rStyle w:val="17"/>
          <w:rFonts w:hint="eastAsia" w:ascii="仿宋" w:hAnsi="仿宋" w:eastAsia="仿宋"/>
          <w:bCs/>
          <w:sz w:val="32"/>
          <w:szCs w:val="32"/>
        </w:rPr>
        <w:t>社会保障和就业（类）行政事业单位养老支出（款）行政单位离退休（项）</w:t>
      </w:r>
      <w:r>
        <w:rPr>
          <w:rStyle w:val="17"/>
          <w:rFonts w:ascii="仿宋" w:hAnsi="仿宋" w:eastAsia="仿宋"/>
          <w:bCs/>
          <w:sz w:val="32"/>
          <w:szCs w:val="32"/>
        </w:rPr>
        <w:t>:</w:t>
      </w:r>
      <w:r>
        <w:rPr>
          <w:rStyle w:val="17"/>
          <w:rFonts w:hint="eastAsia" w:ascii="仿宋" w:hAnsi="仿宋" w:eastAsia="仿宋"/>
          <w:b w:val="0"/>
          <w:bCs/>
          <w:sz w:val="32"/>
          <w:szCs w:val="32"/>
        </w:rPr>
        <w:t>支出决算为16.55万元，完成预算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17</w:t>
      </w:r>
      <w:r>
        <w:rPr>
          <w:rStyle w:val="17"/>
          <w:rFonts w:ascii="仿宋" w:hAnsi="仿宋" w:eastAsia="仿宋"/>
          <w:bCs/>
          <w:sz w:val="32"/>
          <w:szCs w:val="32"/>
        </w:rPr>
        <w:t>.</w:t>
      </w:r>
      <w:r>
        <w:rPr>
          <w:rStyle w:val="17"/>
          <w:rFonts w:hint="eastAsia" w:ascii="仿宋" w:hAnsi="仿宋" w:eastAsia="仿宋"/>
          <w:bCs/>
          <w:sz w:val="32"/>
          <w:szCs w:val="32"/>
        </w:rPr>
        <w:t>社会保障和就业（类）行政事业单位养老支出（款）事业单位离退休（项）</w:t>
      </w:r>
      <w:r>
        <w:rPr>
          <w:rStyle w:val="17"/>
          <w:rFonts w:ascii="仿宋" w:hAnsi="仿宋" w:eastAsia="仿宋"/>
          <w:bCs/>
          <w:sz w:val="32"/>
          <w:szCs w:val="32"/>
        </w:rPr>
        <w:t>:</w:t>
      </w:r>
      <w:r>
        <w:rPr>
          <w:rStyle w:val="17"/>
          <w:rFonts w:hint="eastAsia" w:ascii="仿宋" w:hAnsi="仿宋" w:eastAsia="仿宋"/>
          <w:b w:val="0"/>
          <w:bCs/>
          <w:sz w:val="32"/>
          <w:szCs w:val="32"/>
        </w:rPr>
        <w:t>支出决算为9.13万元，完成预算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18</w:t>
      </w:r>
      <w:r>
        <w:rPr>
          <w:rStyle w:val="17"/>
          <w:rFonts w:ascii="仿宋" w:hAnsi="仿宋" w:eastAsia="仿宋"/>
          <w:bCs/>
          <w:sz w:val="32"/>
          <w:szCs w:val="32"/>
        </w:rPr>
        <w:t>.</w:t>
      </w:r>
      <w:r>
        <w:rPr>
          <w:rStyle w:val="17"/>
          <w:rFonts w:hint="eastAsia" w:ascii="仿宋" w:hAnsi="仿宋" w:eastAsia="仿宋"/>
          <w:bCs/>
          <w:sz w:val="32"/>
          <w:szCs w:val="32"/>
        </w:rPr>
        <w:t>社会保障和就业（类）行政事业单位养老支出（款）机关事业单位基本养老保险缴费支出（项）</w:t>
      </w:r>
      <w:r>
        <w:rPr>
          <w:rStyle w:val="17"/>
          <w:rFonts w:ascii="仿宋" w:hAnsi="仿宋" w:eastAsia="仿宋"/>
          <w:bCs/>
          <w:sz w:val="32"/>
          <w:szCs w:val="32"/>
        </w:rPr>
        <w:t>:</w:t>
      </w:r>
      <w:r>
        <w:rPr>
          <w:rStyle w:val="17"/>
          <w:rFonts w:hint="eastAsia" w:ascii="仿宋" w:hAnsi="仿宋" w:eastAsia="仿宋"/>
          <w:b w:val="0"/>
          <w:bCs/>
          <w:sz w:val="32"/>
          <w:szCs w:val="32"/>
        </w:rPr>
        <w:t>支出决算为72.38万元，完成预算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19</w:t>
      </w:r>
      <w:r>
        <w:rPr>
          <w:rStyle w:val="17"/>
          <w:rFonts w:ascii="仿宋" w:hAnsi="仿宋" w:eastAsia="仿宋"/>
          <w:bCs/>
          <w:sz w:val="32"/>
          <w:szCs w:val="32"/>
        </w:rPr>
        <w:t>.</w:t>
      </w:r>
      <w:r>
        <w:rPr>
          <w:rStyle w:val="17"/>
          <w:rFonts w:hint="eastAsia" w:ascii="仿宋" w:hAnsi="仿宋" w:eastAsia="仿宋"/>
          <w:bCs/>
          <w:sz w:val="32"/>
          <w:szCs w:val="32"/>
        </w:rPr>
        <w:t>社会保障和就业（类）行政事业单位养老支出（款）机关事业单位职业年金缴费支出（项）</w:t>
      </w:r>
      <w:r>
        <w:rPr>
          <w:rStyle w:val="17"/>
          <w:rFonts w:ascii="仿宋" w:hAnsi="仿宋" w:eastAsia="仿宋"/>
          <w:bCs/>
          <w:sz w:val="32"/>
          <w:szCs w:val="32"/>
        </w:rPr>
        <w:t>:</w:t>
      </w:r>
      <w:r>
        <w:rPr>
          <w:rStyle w:val="17"/>
          <w:rFonts w:hint="eastAsia" w:ascii="仿宋" w:hAnsi="仿宋" w:eastAsia="仿宋"/>
          <w:b w:val="0"/>
          <w:bCs/>
          <w:sz w:val="32"/>
          <w:szCs w:val="32"/>
        </w:rPr>
        <w:t>支出决算为6.11万元，完成预算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20</w:t>
      </w:r>
      <w:r>
        <w:rPr>
          <w:rStyle w:val="17"/>
          <w:rFonts w:ascii="仿宋" w:hAnsi="仿宋" w:eastAsia="仿宋"/>
          <w:bCs/>
          <w:sz w:val="32"/>
          <w:szCs w:val="32"/>
        </w:rPr>
        <w:t>.</w:t>
      </w:r>
      <w:r>
        <w:rPr>
          <w:rStyle w:val="17"/>
          <w:rFonts w:hint="eastAsia" w:ascii="仿宋" w:hAnsi="仿宋" w:eastAsia="仿宋"/>
          <w:bCs/>
          <w:sz w:val="32"/>
          <w:szCs w:val="32"/>
        </w:rPr>
        <w:t>社会保障和就业（类）就业补助（款）其他就业补助支出（项）</w:t>
      </w:r>
      <w:r>
        <w:rPr>
          <w:rStyle w:val="17"/>
          <w:rFonts w:ascii="仿宋" w:hAnsi="仿宋" w:eastAsia="仿宋"/>
          <w:bCs/>
          <w:sz w:val="32"/>
          <w:szCs w:val="32"/>
        </w:rPr>
        <w:t>:</w:t>
      </w:r>
      <w:r>
        <w:rPr>
          <w:rStyle w:val="17"/>
          <w:rFonts w:hint="eastAsia" w:ascii="仿宋" w:hAnsi="仿宋" w:eastAsia="仿宋"/>
          <w:b w:val="0"/>
          <w:bCs/>
          <w:sz w:val="32"/>
          <w:szCs w:val="32"/>
        </w:rPr>
        <w:t>支出决算为3万元，完成预算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21</w:t>
      </w:r>
      <w:r>
        <w:rPr>
          <w:rStyle w:val="17"/>
          <w:rFonts w:ascii="仿宋" w:hAnsi="仿宋" w:eastAsia="仿宋"/>
          <w:bCs/>
          <w:sz w:val="32"/>
          <w:szCs w:val="32"/>
        </w:rPr>
        <w:t>.</w:t>
      </w:r>
      <w:r>
        <w:rPr>
          <w:rStyle w:val="17"/>
          <w:rFonts w:hint="eastAsia" w:ascii="仿宋" w:hAnsi="仿宋" w:eastAsia="仿宋"/>
          <w:bCs/>
          <w:sz w:val="32"/>
          <w:szCs w:val="32"/>
        </w:rPr>
        <w:t>社会保障和就业（类）抚恤（款）死亡抚恤（项）</w:t>
      </w:r>
      <w:r>
        <w:rPr>
          <w:rStyle w:val="17"/>
          <w:rFonts w:ascii="仿宋" w:hAnsi="仿宋" w:eastAsia="仿宋"/>
          <w:bCs/>
          <w:sz w:val="32"/>
          <w:szCs w:val="32"/>
        </w:rPr>
        <w:t>:</w:t>
      </w:r>
      <w:r>
        <w:rPr>
          <w:rStyle w:val="17"/>
          <w:rFonts w:hint="eastAsia" w:ascii="仿宋" w:hAnsi="仿宋" w:eastAsia="仿宋"/>
          <w:b w:val="0"/>
          <w:bCs/>
          <w:sz w:val="32"/>
          <w:szCs w:val="32"/>
        </w:rPr>
        <w:t>支出决算为19.35万元，完成预算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pPr>
      <w:r>
        <w:rPr>
          <w:rStyle w:val="17"/>
          <w:rFonts w:hint="eastAsia" w:ascii="仿宋" w:hAnsi="仿宋" w:eastAsia="仿宋"/>
          <w:bCs/>
          <w:sz w:val="32"/>
          <w:szCs w:val="32"/>
          <w:lang w:val="en-US" w:eastAsia="zh-CN"/>
        </w:rPr>
        <w:t>22</w:t>
      </w:r>
      <w:r>
        <w:rPr>
          <w:rStyle w:val="17"/>
          <w:rFonts w:ascii="仿宋" w:hAnsi="仿宋" w:eastAsia="仿宋"/>
          <w:bCs/>
          <w:sz w:val="32"/>
          <w:szCs w:val="32"/>
        </w:rPr>
        <w:t>.</w:t>
      </w:r>
      <w:r>
        <w:rPr>
          <w:rStyle w:val="17"/>
          <w:rFonts w:hint="eastAsia" w:ascii="仿宋" w:hAnsi="仿宋" w:eastAsia="仿宋"/>
          <w:bCs/>
          <w:sz w:val="32"/>
          <w:szCs w:val="32"/>
        </w:rPr>
        <w:t>社会保障和就业（类）残疾人事业（款）其他残疾人事业支出（项）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1.57</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23</w:t>
      </w:r>
      <w:r>
        <w:rPr>
          <w:rStyle w:val="17"/>
          <w:rFonts w:ascii="仿宋" w:hAnsi="仿宋" w:eastAsia="仿宋"/>
          <w:bCs/>
          <w:sz w:val="32"/>
          <w:szCs w:val="32"/>
        </w:rPr>
        <w:t>.</w:t>
      </w:r>
      <w:r>
        <w:rPr>
          <w:rStyle w:val="17"/>
          <w:rFonts w:hint="eastAsia" w:ascii="仿宋" w:hAnsi="仿宋" w:eastAsia="仿宋"/>
          <w:bCs/>
          <w:sz w:val="32"/>
          <w:szCs w:val="32"/>
        </w:rPr>
        <w:t>社会保障和就业（类）特困人员救助供养（款）农村特困人员救助供养支出（项）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0.6</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24</w:t>
      </w:r>
      <w:r>
        <w:rPr>
          <w:rStyle w:val="17"/>
          <w:rFonts w:ascii="仿宋" w:hAnsi="仿宋" w:eastAsia="仿宋"/>
          <w:bCs/>
          <w:sz w:val="32"/>
          <w:szCs w:val="32"/>
        </w:rPr>
        <w:t>.</w:t>
      </w:r>
      <w:r>
        <w:rPr>
          <w:rStyle w:val="17"/>
          <w:rFonts w:hint="eastAsia" w:ascii="仿宋" w:hAnsi="仿宋" w:eastAsia="仿宋"/>
          <w:bCs/>
          <w:sz w:val="32"/>
          <w:szCs w:val="32"/>
        </w:rPr>
        <w:t>社会保障和就业（类）其他社会保障和就业支出（款）其他社会保障和就业支出（项）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40</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25</w:t>
      </w:r>
      <w:r>
        <w:rPr>
          <w:rStyle w:val="17"/>
          <w:rFonts w:ascii="仿宋" w:hAnsi="仿宋" w:eastAsia="仿宋"/>
          <w:bCs/>
          <w:sz w:val="32"/>
          <w:szCs w:val="32"/>
        </w:rPr>
        <w:t>.</w:t>
      </w:r>
      <w:r>
        <w:rPr>
          <w:rFonts w:hint="eastAsia" w:ascii="仿宋" w:hAnsi="仿宋" w:eastAsia="仿宋"/>
          <w:b/>
          <w:bCs/>
          <w:sz w:val="32"/>
          <w:szCs w:val="32"/>
        </w:rPr>
        <w:t>卫生健康</w:t>
      </w:r>
      <w:r>
        <w:rPr>
          <w:rStyle w:val="17"/>
          <w:rFonts w:hint="eastAsia" w:ascii="仿宋" w:hAnsi="仿宋" w:eastAsia="仿宋"/>
          <w:bCs/>
          <w:sz w:val="32"/>
          <w:szCs w:val="32"/>
        </w:rPr>
        <w:t>（类）公共卫生（款）重大公共卫生服务（项）</w:t>
      </w:r>
      <w:r>
        <w:rPr>
          <w:rStyle w:val="17"/>
          <w:rFonts w:ascii="仿宋" w:hAnsi="仿宋" w:eastAsia="仿宋"/>
          <w:bCs/>
          <w:sz w:val="32"/>
          <w:szCs w:val="32"/>
        </w:rPr>
        <w:t>:</w:t>
      </w:r>
      <w:r>
        <w:rPr>
          <w:rStyle w:val="17"/>
          <w:rFonts w:hint="eastAsia" w:ascii="仿宋" w:hAnsi="仿宋" w:eastAsia="仿宋"/>
          <w:b w:val="0"/>
          <w:bCs/>
          <w:sz w:val="32"/>
          <w:szCs w:val="32"/>
        </w:rPr>
        <w:t>支出决算为7万元，完成预算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2</w:t>
      </w:r>
      <w:r>
        <w:rPr>
          <w:rStyle w:val="17"/>
          <w:rFonts w:ascii="仿宋" w:hAnsi="仿宋" w:eastAsia="仿宋"/>
          <w:bCs/>
          <w:sz w:val="32"/>
          <w:szCs w:val="32"/>
        </w:rPr>
        <w:t>6.</w:t>
      </w:r>
      <w:r>
        <w:rPr>
          <w:rFonts w:hint="eastAsia" w:ascii="仿宋" w:hAnsi="仿宋" w:eastAsia="仿宋"/>
          <w:b/>
          <w:bCs/>
          <w:sz w:val="32"/>
          <w:szCs w:val="32"/>
        </w:rPr>
        <w:t>卫生健康</w:t>
      </w:r>
      <w:r>
        <w:rPr>
          <w:rStyle w:val="17"/>
          <w:rFonts w:hint="eastAsia" w:ascii="仿宋" w:hAnsi="仿宋" w:eastAsia="仿宋"/>
          <w:bCs/>
          <w:sz w:val="32"/>
          <w:szCs w:val="32"/>
        </w:rPr>
        <w:t>（类）公共卫生（款）其他公共卫生支出（项）</w:t>
      </w:r>
      <w:r>
        <w:rPr>
          <w:rStyle w:val="17"/>
          <w:rFonts w:ascii="仿宋" w:hAnsi="仿宋" w:eastAsia="仿宋"/>
          <w:bCs/>
          <w:sz w:val="32"/>
          <w:szCs w:val="32"/>
        </w:rPr>
        <w:t>:</w:t>
      </w:r>
      <w:r>
        <w:rPr>
          <w:rStyle w:val="17"/>
          <w:rFonts w:hint="eastAsia" w:ascii="仿宋" w:hAnsi="仿宋" w:eastAsia="仿宋"/>
          <w:b w:val="0"/>
          <w:bCs/>
          <w:sz w:val="32"/>
          <w:szCs w:val="32"/>
        </w:rPr>
        <w:t>支出决算为8.39万元，完成预算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Fonts w:ascii="仿宋" w:hAnsi="仿宋" w:eastAsia="仿宋"/>
          <w:b/>
          <w:sz w:val="32"/>
          <w:szCs w:val="32"/>
        </w:rPr>
      </w:pPr>
      <w:r>
        <w:rPr>
          <w:rStyle w:val="17"/>
          <w:rFonts w:hint="eastAsia" w:ascii="仿宋" w:hAnsi="仿宋" w:eastAsia="仿宋"/>
          <w:bCs/>
          <w:sz w:val="32"/>
          <w:szCs w:val="32"/>
          <w:lang w:val="en-US" w:eastAsia="zh-CN"/>
        </w:rPr>
        <w:t>27</w:t>
      </w:r>
      <w:r>
        <w:rPr>
          <w:rStyle w:val="17"/>
          <w:rFonts w:ascii="仿宋" w:hAnsi="仿宋" w:eastAsia="仿宋"/>
          <w:bCs/>
          <w:sz w:val="32"/>
          <w:szCs w:val="32"/>
        </w:rPr>
        <w:t>.</w:t>
      </w:r>
      <w:r>
        <w:rPr>
          <w:rFonts w:hint="eastAsia" w:ascii="仿宋" w:hAnsi="仿宋" w:eastAsia="仿宋"/>
          <w:b/>
          <w:bCs/>
          <w:sz w:val="32"/>
          <w:szCs w:val="32"/>
        </w:rPr>
        <w:t>卫生健康</w:t>
      </w:r>
      <w:r>
        <w:rPr>
          <w:rStyle w:val="17"/>
          <w:rFonts w:hint="eastAsia" w:ascii="仿宋" w:hAnsi="仿宋" w:eastAsia="仿宋"/>
          <w:bCs/>
          <w:sz w:val="32"/>
          <w:szCs w:val="32"/>
        </w:rPr>
        <w:t>（类）行政事业单位医疗（款）行政单位医疗（项）</w:t>
      </w:r>
      <w:r>
        <w:rPr>
          <w:rStyle w:val="17"/>
          <w:rFonts w:ascii="仿宋" w:hAnsi="仿宋" w:eastAsia="仿宋"/>
          <w:bCs/>
          <w:sz w:val="32"/>
          <w:szCs w:val="32"/>
        </w:rPr>
        <w:t>:</w:t>
      </w:r>
      <w:r>
        <w:rPr>
          <w:rStyle w:val="17"/>
          <w:rFonts w:hint="eastAsia" w:ascii="仿宋" w:hAnsi="仿宋" w:eastAsia="仿宋"/>
          <w:b w:val="0"/>
          <w:bCs/>
          <w:sz w:val="32"/>
          <w:szCs w:val="32"/>
        </w:rPr>
        <w:t>支出决算为39.75万元，完成预算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28</w:t>
      </w:r>
      <w:r>
        <w:rPr>
          <w:rStyle w:val="17"/>
          <w:rFonts w:ascii="仿宋" w:hAnsi="仿宋" w:eastAsia="仿宋"/>
          <w:bCs/>
          <w:sz w:val="32"/>
          <w:szCs w:val="32"/>
        </w:rPr>
        <w:t>.</w:t>
      </w:r>
      <w:r>
        <w:rPr>
          <w:rFonts w:hint="eastAsia" w:ascii="仿宋" w:hAnsi="仿宋" w:eastAsia="仿宋"/>
          <w:b/>
          <w:bCs/>
          <w:sz w:val="32"/>
          <w:szCs w:val="32"/>
        </w:rPr>
        <w:t>卫生健康</w:t>
      </w:r>
      <w:r>
        <w:rPr>
          <w:rStyle w:val="17"/>
          <w:rFonts w:hint="eastAsia" w:ascii="仿宋" w:hAnsi="仿宋" w:eastAsia="仿宋"/>
          <w:bCs/>
          <w:sz w:val="32"/>
          <w:szCs w:val="32"/>
        </w:rPr>
        <w:t>（类）行政事业单位医疗（款）事业单位医疗（项）</w:t>
      </w:r>
      <w:r>
        <w:rPr>
          <w:rStyle w:val="17"/>
          <w:rFonts w:ascii="仿宋" w:hAnsi="仿宋" w:eastAsia="仿宋"/>
          <w:bCs/>
          <w:sz w:val="32"/>
          <w:szCs w:val="32"/>
        </w:rPr>
        <w:t>:</w:t>
      </w:r>
      <w:r>
        <w:rPr>
          <w:rStyle w:val="17"/>
          <w:rFonts w:hint="eastAsia" w:ascii="仿宋" w:hAnsi="仿宋" w:eastAsia="仿宋"/>
          <w:b w:val="0"/>
          <w:bCs/>
          <w:sz w:val="32"/>
          <w:szCs w:val="32"/>
        </w:rPr>
        <w:t>支出决算为15.11万元，完成预算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29</w:t>
      </w:r>
      <w:r>
        <w:rPr>
          <w:rStyle w:val="17"/>
          <w:rFonts w:ascii="仿宋" w:hAnsi="仿宋" w:eastAsia="仿宋"/>
          <w:bCs/>
          <w:sz w:val="32"/>
          <w:szCs w:val="32"/>
        </w:rPr>
        <w:t>.</w:t>
      </w:r>
      <w:r>
        <w:rPr>
          <w:rFonts w:hint="eastAsia" w:ascii="仿宋" w:hAnsi="仿宋" w:eastAsia="仿宋"/>
          <w:b/>
          <w:bCs/>
          <w:sz w:val="32"/>
          <w:szCs w:val="32"/>
        </w:rPr>
        <w:t>卫生健康</w:t>
      </w:r>
      <w:r>
        <w:rPr>
          <w:rStyle w:val="17"/>
          <w:rFonts w:hint="eastAsia" w:ascii="仿宋" w:hAnsi="仿宋" w:eastAsia="仿宋"/>
          <w:bCs/>
          <w:sz w:val="32"/>
          <w:szCs w:val="32"/>
        </w:rPr>
        <w:t>（类）行政事业单位医疗（款）公务员医疗补助（项）</w:t>
      </w:r>
      <w:r>
        <w:rPr>
          <w:rStyle w:val="17"/>
          <w:rFonts w:ascii="仿宋" w:hAnsi="仿宋" w:eastAsia="仿宋"/>
          <w:bCs/>
          <w:sz w:val="32"/>
          <w:szCs w:val="32"/>
        </w:rPr>
        <w:t>:</w:t>
      </w:r>
      <w:r>
        <w:rPr>
          <w:rStyle w:val="17"/>
          <w:rFonts w:hint="eastAsia" w:ascii="仿宋" w:hAnsi="仿宋" w:eastAsia="仿宋"/>
          <w:b w:val="0"/>
          <w:bCs/>
          <w:sz w:val="32"/>
          <w:szCs w:val="32"/>
        </w:rPr>
        <w:t>支出决算为18.29万元，完成预算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Fonts w:ascii="仿宋" w:hAnsi="仿宋" w:eastAsia="仿宋"/>
          <w:b/>
          <w:sz w:val="32"/>
          <w:szCs w:val="32"/>
        </w:rPr>
      </w:pPr>
      <w:r>
        <w:rPr>
          <w:rStyle w:val="17"/>
          <w:rFonts w:hint="eastAsia" w:ascii="仿宋" w:hAnsi="仿宋" w:eastAsia="仿宋"/>
          <w:bCs/>
          <w:sz w:val="32"/>
          <w:szCs w:val="32"/>
          <w:lang w:val="en-US" w:eastAsia="zh-CN"/>
        </w:rPr>
        <w:t>30</w:t>
      </w:r>
      <w:r>
        <w:rPr>
          <w:rStyle w:val="17"/>
          <w:rFonts w:ascii="仿宋" w:hAnsi="仿宋" w:eastAsia="仿宋"/>
          <w:bCs/>
          <w:sz w:val="32"/>
          <w:szCs w:val="32"/>
        </w:rPr>
        <w:t>.</w:t>
      </w:r>
      <w:r>
        <w:rPr>
          <w:rFonts w:hint="eastAsia" w:ascii="仿宋" w:hAnsi="仿宋" w:eastAsia="仿宋"/>
          <w:b/>
          <w:bCs/>
          <w:sz w:val="32"/>
          <w:szCs w:val="32"/>
        </w:rPr>
        <w:t>卫生健康</w:t>
      </w:r>
      <w:r>
        <w:rPr>
          <w:rStyle w:val="17"/>
          <w:rFonts w:hint="eastAsia" w:ascii="仿宋" w:hAnsi="仿宋" w:eastAsia="仿宋"/>
          <w:bCs/>
          <w:sz w:val="32"/>
          <w:szCs w:val="32"/>
        </w:rPr>
        <w:t>（类）行政事业单位医疗（款）其他行政事业单位医疗支出（项）</w:t>
      </w:r>
      <w:r>
        <w:rPr>
          <w:rStyle w:val="17"/>
          <w:rFonts w:ascii="仿宋" w:hAnsi="仿宋" w:eastAsia="仿宋"/>
          <w:bCs/>
          <w:sz w:val="32"/>
          <w:szCs w:val="32"/>
        </w:rPr>
        <w:t>:</w:t>
      </w:r>
      <w:r>
        <w:rPr>
          <w:rStyle w:val="17"/>
          <w:rFonts w:hint="eastAsia" w:ascii="仿宋" w:hAnsi="仿宋" w:eastAsia="仿宋"/>
          <w:b w:val="0"/>
          <w:bCs/>
          <w:sz w:val="32"/>
          <w:szCs w:val="32"/>
        </w:rPr>
        <w:t>支出决算为13.77万元，完成预算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Fonts w:ascii="仿宋" w:hAnsi="仿宋" w:eastAsia="仿宋"/>
          <w:b/>
          <w:sz w:val="32"/>
          <w:szCs w:val="32"/>
        </w:rPr>
      </w:pPr>
      <w:r>
        <w:rPr>
          <w:rStyle w:val="17"/>
          <w:rFonts w:hint="eastAsia" w:ascii="仿宋" w:hAnsi="仿宋" w:eastAsia="仿宋"/>
          <w:bCs/>
          <w:sz w:val="32"/>
          <w:szCs w:val="32"/>
          <w:lang w:val="en-US" w:eastAsia="zh-CN"/>
        </w:rPr>
        <w:t>31</w:t>
      </w:r>
      <w:r>
        <w:rPr>
          <w:rStyle w:val="17"/>
          <w:rFonts w:ascii="仿宋" w:hAnsi="仿宋" w:eastAsia="仿宋"/>
          <w:bCs/>
          <w:sz w:val="32"/>
          <w:szCs w:val="32"/>
        </w:rPr>
        <w:t>.</w:t>
      </w:r>
      <w:r>
        <w:rPr>
          <w:rFonts w:hint="eastAsia" w:ascii="仿宋" w:hAnsi="仿宋" w:eastAsia="仿宋"/>
          <w:b/>
          <w:bCs/>
          <w:sz w:val="32"/>
          <w:szCs w:val="32"/>
        </w:rPr>
        <w:t>节能环保</w:t>
      </w:r>
      <w:r>
        <w:rPr>
          <w:rStyle w:val="17"/>
          <w:rFonts w:hint="eastAsia" w:ascii="仿宋" w:hAnsi="仿宋" w:eastAsia="仿宋"/>
          <w:bCs/>
          <w:sz w:val="32"/>
          <w:szCs w:val="32"/>
        </w:rPr>
        <w:t>（类）自然生态保护（款）农村环境保护（项）</w:t>
      </w:r>
      <w:r>
        <w:rPr>
          <w:rStyle w:val="17"/>
          <w:rFonts w:ascii="仿宋" w:hAnsi="仿宋" w:eastAsia="仿宋"/>
          <w:bCs/>
          <w:sz w:val="32"/>
          <w:szCs w:val="32"/>
        </w:rPr>
        <w:t>:</w:t>
      </w:r>
      <w:r>
        <w:rPr>
          <w:rStyle w:val="17"/>
          <w:rFonts w:hint="eastAsia" w:ascii="仿宋" w:hAnsi="仿宋" w:eastAsia="仿宋"/>
          <w:b w:val="0"/>
          <w:bCs/>
          <w:sz w:val="32"/>
          <w:szCs w:val="32"/>
        </w:rPr>
        <w:t>支出决算为82.7万元，完成预算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Fonts w:ascii="仿宋" w:hAnsi="仿宋" w:eastAsia="仿宋"/>
          <w:b/>
          <w:sz w:val="32"/>
          <w:szCs w:val="32"/>
        </w:rPr>
      </w:pPr>
      <w:r>
        <w:rPr>
          <w:rStyle w:val="17"/>
          <w:rFonts w:hint="eastAsia" w:ascii="仿宋" w:hAnsi="仿宋" w:eastAsia="仿宋"/>
          <w:bCs/>
          <w:sz w:val="32"/>
          <w:szCs w:val="32"/>
          <w:lang w:val="en-US" w:eastAsia="zh-CN"/>
        </w:rPr>
        <w:t>32</w:t>
      </w:r>
      <w:r>
        <w:rPr>
          <w:rStyle w:val="17"/>
          <w:rFonts w:ascii="仿宋" w:hAnsi="仿宋" w:eastAsia="仿宋"/>
          <w:bCs/>
          <w:sz w:val="32"/>
          <w:szCs w:val="32"/>
        </w:rPr>
        <w:t>.</w:t>
      </w:r>
      <w:r>
        <w:rPr>
          <w:rFonts w:hint="eastAsia" w:ascii="仿宋" w:hAnsi="仿宋" w:eastAsia="仿宋"/>
          <w:b/>
          <w:bCs/>
          <w:sz w:val="32"/>
          <w:szCs w:val="32"/>
        </w:rPr>
        <w:t>城乡社区</w:t>
      </w:r>
      <w:r>
        <w:rPr>
          <w:rStyle w:val="17"/>
          <w:rFonts w:hint="eastAsia" w:ascii="仿宋" w:hAnsi="仿宋" w:eastAsia="仿宋"/>
          <w:bCs/>
          <w:sz w:val="32"/>
          <w:szCs w:val="32"/>
        </w:rPr>
        <w:t>（类）城乡社区环境卫生（款）城乡社区环境卫生（项）</w:t>
      </w:r>
      <w:r>
        <w:rPr>
          <w:rStyle w:val="17"/>
          <w:rFonts w:ascii="仿宋" w:hAnsi="仿宋" w:eastAsia="仿宋"/>
          <w:bCs/>
          <w:sz w:val="32"/>
          <w:szCs w:val="32"/>
        </w:rPr>
        <w:t>:</w:t>
      </w:r>
      <w:r>
        <w:rPr>
          <w:rStyle w:val="17"/>
          <w:rFonts w:hint="eastAsia" w:ascii="仿宋" w:hAnsi="仿宋" w:eastAsia="仿宋"/>
          <w:b w:val="0"/>
          <w:bCs/>
          <w:sz w:val="32"/>
          <w:szCs w:val="32"/>
        </w:rPr>
        <w:t>支出决算为39.68万元，完成预算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33</w:t>
      </w:r>
      <w:r>
        <w:rPr>
          <w:rStyle w:val="17"/>
          <w:rFonts w:ascii="仿宋" w:hAnsi="仿宋" w:eastAsia="仿宋"/>
          <w:bCs/>
          <w:sz w:val="32"/>
          <w:szCs w:val="32"/>
        </w:rPr>
        <w:t>.</w:t>
      </w:r>
      <w:r>
        <w:rPr>
          <w:rFonts w:hint="eastAsia" w:ascii="仿宋" w:hAnsi="仿宋" w:eastAsia="仿宋"/>
          <w:b/>
          <w:bCs/>
          <w:sz w:val="32"/>
          <w:szCs w:val="32"/>
        </w:rPr>
        <w:t>农林水</w:t>
      </w:r>
      <w:r>
        <w:rPr>
          <w:rStyle w:val="17"/>
          <w:rFonts w:hint="eastAsia" w:ascii="仿宋" w:hAnsi="仿宋" w:eastAsia="仿宋"/>
          <w:bCs/>
          <w:sz w:val="32"/>
          <w:szCs w:val="32"/>
        </w:rPr>
        <w:t>（类）农业农村（款）事业运行（项）</w:t>
      </w:r>
      <w:r>
        <w:rPr>
          <w:rStyle w:val="17"/>
          <w:rFonts w:ascii="仿宋" w:hAnsi="仿宋" w:eastAsia="仿宋"/>
          <w:bCs/>
          <w:sz w:val="32"/>
          <w:szCs w:val="32"/>
        </w:rPr>
        <w:t>:</w:t>
      </w:r>
      <w:r>
        <w:rPr>
          <w:rStyle w:val="17"/>
          <w:rFonts w:hint="eastAsia" w:ascii="仿宋" w:hAnsi="仿宋" w:eastAsia="仿宋"/>
          <w:b w:val="0"/>
          <w:bCs/>
          <w:sz w:val="32"/>
          <w:szCs w:val="32"/>
        </w:rPr>
        <w:t>支出决算为168.34万元，完成预算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34</w:t>
      </w:r>
      <w:r>
        <w:rPr>
          <w:rStyle w:val="17"/>
          <w:rFonts w:ascii="仿宋" w:hAnsi="仿宋" w:eastAsia="仿宋"/>
          <w:bCs/>
          <w:sz w:val="32"/>
          <w:szCs w:val="32"/>
        </w:rPr>
        <w:t>.</w:t>
      </w:r>
      <w:r>
        <w:rPr>
          <w:rFonts w:hint="eastAsia" w:ascii="仿宋" w:hAnsi="仿宋" w:eastAsia="仿宋"/>
          <w:b/>
          <w:bCs/>
          <w:sz w:val="32"/>
          <w:szCs w:val="32"/>
        </w:rPr>
        <w:t>农林水</w:t>
      </w:r>
      <w:r>
        <w:rPr>
          <w:rStyle w:val="17"/>
          <w:rFonts w:hint="eastAsia" w:ascii="仿宋" w:hAnsi="仿宋" w:eastAsia="仿宋"/>
          <w:bCs/>
          <w:sz w:val="32"/>
          <w:szCs w:val="32"/>
        </w:rPr>
        <w:t>（类）农业农村（款）病虫害控制（项）</w:t>
      </w:r>
      <w:r>
        <w:rPr>
          <w:rStyle w:val="17"/>
          <w:rFonts w:ascii="仿宋" w:hAnsi="仿宋" w:eastAsia="仿宋"/>
          <w:bCs/>
          <w:sz w:val="32"/>
          <w:szCs w:val="32"/>
        </w:rPr>
        <w:t>:</w:t>
      </w:r>
      <w:r>
        <w:rPr>
          <w:rStyle w:val="17"/>
          <w:rFonts w:hint="eastAsia" w:ascii="仿宋" w:hAnsi="仿宋" w:eastAsia="仿宋"/>
          <w:b w:val="0"/>
          <w:bCs/>
          <w:sz w:val="32"/>
          <w:szCs w:val="32"/>
        </w:rPr>
        <w:t>支出决算为8.1万元，完成预算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35</w:t>
      </w:r>
      <w:r>
        <w:rPr>
          <w:rStyle w:val="17"/>
          <w:rFonts w:ascii="仿宋" w:hAnsi="仿宋" w:eastAsia="仿宋"/>
          <w:bCs/>
          <w:sz w:val="32"/>
          <w:szCs w:val="32"/>
        </w:rPr>
        <w:t>.</w:t>
      </w:r>
      <w:r>
        <w:rPr>
          <w:rFonts w:hint="eastAsia" w:ascii="仿宋" w:hAnsi="仿宋" w:eastAsia="仿宋"/>
          <w:b/>
          <w:bCs/>
          <w:sz w:val="32"/>
          <w:szCs w:val="32"/>
        </w:rPr>
        <w:t>农林水</w:t>
      </w:r>
      <w:r>
        <w:rPr>
          <w:rStyle w:val="17"/>
          <w:rFonts w:hint="eastAsia" w:ascii="仿宋" w:hAnsi="仿宋" w:eastAsia="仿宋"/>
          <w:bCs/>
          <w:sz w:val="32"/>
          <w:szCs w:val="32"/>
        </w:rPr>
        <w:t>（类）农业农村（款）防灾救灾（项）</w:t>
      </w:r>
      <w:r>
        <w:rPr>
          <w:rStyle w:val="17"/>
          <w:rFonts w:ascii="仿宋" w:hAnsi="仿宋" w:eastAsia="仿宋"/>
          <w:bCs/>
          <w:sz w:val="32"/>
          <w:szCs w:val="32"/>
        </w:rPr>
        <w:t>:</w:t>
      </w:r>
      <w:r>
        <w:rPr>
          <w:rStyle w:val="17"/>
          <w:rFonts w:hint="eastAsia" w:ascii="仿宋" w:hAnsi="仿宋" w:eastAsia="仿宋"/>
          <w:b w:val="0"/>
          <w:bCs/>
          <w:sz w:val="32"/>
          <w:szCs w:val="32"/>
        </w:rPr>
        <w:t>支出决算为4万元，完成预算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36</w:t>
      </w:r>
      <w:r>
        <w:rPr>
          <w:rStyle w:val="17"/>
          <w:rFonts w:ascii="仿宋" w:hAnsi="仿宋" w:eastAsia="仿宋"/>
          <w:bCs/>
          <w:sz w:val="32"/>
          <w:szCs w:val="32"/>
        </w:rPr>
        <w:t>.</w:t>
      </w:r>
      <w:r>
        <w:rPr>
          <w:rFonts w:hint="eastAsia" w:ascii="仿宋" w:hAnsi="仿宋" w:eastAsia="仿宋"/>
          <w:b/>
          <w:bCs/>
          <w:sz w:val="32"/>
          <w:szCs w:val="32"/>
        </w:rPr>
        <w:t>农林水</w:t>
      </w:r>
      <w:r>
        <w:rPr>
          <w:rStyle w:val="17"/>
          <w:rFonts w:hint="eastAsia" w:ascii="仿宋" w:hAnsi="仿宋" w:eastAsia="仿宋"/>
          <w:bCs/>
          <w:sz w:val="32"/>
          <w:szCs w:val="32"/>
        </w:rPr>
        <w:t>（类）农业农村（款）对高校毕业生到基层任职补助（项）</w:t>
      </w:r>
      <w:r>
        <w:rPr>
          <w:rStyle w:val="17"/>
          <w:rFonts w:ascii="仿宋" w:hAnsi="仿宋" w:eastAsia="仿宋"/>
          <w:bCs/>
          <w:sz w:val="32"/>
          <w:szCs w:val="32"/>
        </w:rPr>
        <w:t>:</w:t>
      </w:r>
      <w:r>
        <w:rPr>
          <w:rStyle w:val="17"/>
          <w:rFonts w:hint="eastAsia" w:ascii="仿宋" w:hAnsi="仿宋" w:eastAsia="仿宋"/>
          <w:b w:val="0"/>
          <w:bCs/>
          <w:sz w:val="32"/>
          <w:szCs w:val="32"/>
        </w:rPr>
        <w:t>支出决算为2万元，完成预算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37</w:t>
      </w:r>
      <w:r>
        <w:rPr>
          <w:rStyle w:val="17"/>
          <w:rFonts w:ascii="仿宋" w:hAnsi="仿宋" w:eastAsia="仿宋"/>
          <w:bCs/>
          <w:sz w:val="32"/>
          <w:szCs w:val="32"/>
        </w:rPr>
        <w:t>.</w:t>
      </w:r>
      <w:r>
        <w:rPr>
          <w:rFonts w:hint="eastAsia" w:ascii="仿宋" w:hAnsi="仿宋" w:eastAsia="仿宋"/>
          <w:b/>
          <w:bCs/>
          <w:sz w:val="32"/>
          <w:szCs w:val="32"/>
        </w:rPr>
        <w:t>农林水</w:t>
      </w:r>
      <w:r>
        <w:rPr>
          <w:rStyle w:val="17"/>
          <w:rFonts w:hint="eastAsia" w:ascii="仿宋" w:hAnsi="仿宋" w:eastAsia="仿宋"/>
          <w:bCs/>
          <w:sz w:val="32"/>
          <w:szCs w:val="32"/>
        </w:rPr>
        <w:t>（类）林业和草原（款）其他林业和草原支出（项）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15</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Fonts w:ascii="仿宋" w:hAnsi="仿宋" w:eastAsia="仿宋"/>
          <w:b/>
          <w:sz w:val="32"/>
          <w:szCs w:val="32"/>
        </w:rPr>
      </w:pPr>
      <w:r>
        <w:rPr>
          <w:rStyle w:val="17"/>
          <w:rFonts w:hint="eastAsia" w:ascii="仿宋" w:hAnsi="仿宋" w:eastAsia="仿宋"/>
          <w:bCs/>
          <w:sz w:val="32"/>
          <w:szCs w:val="32"/>
          <w:lang w:val="en-US" w:eastAsia="zh-CN"/>
        </w:rPr>
        <w:t>38</w:t>
      </w:r>
      <w:r>
        <w:rPr>
          <w:rStyle w:val="17"/>
          <w:rFonts w:ascii="仿宋" w:hAnsi="仿宋" w:eastAsia="仿宋"/>
          <w:bCs/>
          <w:sz w:val="32"/>
          <w:szCs w:val="32"/>
        </w:rPr>
        <w:t>.</w:t>
      </w:r>
      <w:r>
        <w:rPr>
          <w:rFonts w:hint="eastAsia" w:ascii="仿宋" w:hAnsi="仿宋" w:eastAsia="仿宋"/>
          <w:b/>
          <w:bCs/>
          <w:sz w:val="32"/>
          <w:szCs w:val="32"/>
        </w:rPr>
        <w:t>农林水</w:t>
      </w:r>
      <w:r>
        <w:rPr>
          <w:rStyle w:val="17"/>
          <w:rFonts w:hint="eastAsia" w:ascii="仿宋" w:hAnsi="仿宋" w:eastAsia="仿宋"/>
          <w:bCs/>
          <w:sz w:val="32"/>
          <w:szCs w:val="32"/>
        </w:rPr>
        <w:t>（类）农村综合改革（款）对村级公益事业建设的补助（项）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36.5</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39</w:t>
      </w:r>
      <w:r>
        <w:rPr>
          <w:rStyle w:val="17"/>
          <w:rFonts w:ascii="仿宋" w:hAnsi="仿宋" w:eastAsia="仿宋"/>
          <w:bCs/>
          <w:sz w:val="32"/>
          <w:szCs w:val="32"/>
        </w:rPr>
        <w:t>.</w:t>
      </w:r>
      <w:r>
        <w:rPr>
          <w:rFonts w:hint="eastAsia" w:ascii="仿宋" w:hAnsi="仿宋" w:eastAsia="仿宋"/>
          <w:b/>
          <w:bCs/>
          <w:sz w:val="32"/>
          <w:szCs w:val="32"/>
        </w:rPr>
        <w:t>农林水</w:t>
      </w:r>
      <w:r>
        <w:rPr>
          <w:rStyle w:val="17"/>
          <w:rFonts w:hint="eastAsia" w:ascii="仿宋" w:hAnsi="仿宋" w:eastAsia="仿宋"/>
          <w:bCs/>
          <w:sz w:val="32"/>
          <w:szCs w:val="32"/>
        </w:rPr>
        <w:t>（类）农村综合改革（款）对村民委员会和村党支部的补助（项）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304.3</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40</w:t>
      </w:r>
      <w:r>
        <w:rPr>
          <w:rStyle w:val="17"/>
          <w:rFonts w:ascii="仿宋" w:hAnsi="仿宋" w:eastAsia="仿宋"/>
          <w:bCs/>
          <w:sz w:val="32"/>
          <w:szCs w:val="32"/>
        </w:rPr>
        <w:t>.</w:t>
      </w:r>
      <w:r>
        <w:rPr>
          <w:rFonts w:hint="eastAsia" w:ascii="仿宋" w:hAnsi="仿宋" w:eastAsia="仿宋"/>
          <w:b/>
          <w:bCs/>
          <w:sz w:val="32"/>
          <w:szCs w:val="32"/>
        </w:rPr>
        <w:t>农林水</w:t>
      </w:r>
      <w:r>
        <w:rPr>
          <w:rStyle w:val="17"/>
          <w:rFonts w:hint="eastAsia" w:ascii="仿宋" w:hAnsi="仿宋" w:eastAsia="仿宋"/>
          <w:bCs/>
          <w:sz w:val="32"/>
          <w:szCs w:val="32"/>
        </w:rPr>
        <w:t>（类）农村综合改革（款）对村集体经济组织的补助（项）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190</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41</w:t>
      </w:r>
      <w:r>
        <w:rPr>
          <w:rStyle w:val="17"/>
          <w:rFonts w:ascii="仿宋" w:hAnsi="仿宋" w:eastAsia="仿宋"/>
          <w:bCs/>
          <w:sz w:val="32"/>
          <w:szCs w:val="32"/>
        </w:rPr>
        <w:t>.</w:t>
      </w:r>
      <w:r>
        <w:rPr>
          <w:rFonts w:hint="eastAsia" w:ascii="仿宋" w:hAnsi="仿宋" w:eastAsia="仿宋"/>
          <w:b/>
          <w:bCs/>
          <w:sz w:val="32"/>
          <w:szCs w:val="32"/>
        </w:rPr>
        <w:t>农林水</w:t>
      </w:r>
      <w:r>
        <w:rPr>
          <w:rStyle w:val="17"/>
          <w:rFonts w:hint="eastAsia" w:ascii="仿宋" w:hAnsi="仿宋" w:eastAsia="仿宋"/>
          <w:bCs/>
          <w:sz w:val="32"/>
          <w:szCs w:val="32"/>
        </w:rPr>
        <w:t>（类）其他农林水支出（款）其他农林水支出（项）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35</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42</w:t>
      </w:r>
      <w:r>
        <w:rPr>
          <w:rStyle w:val="17"/>
          <w:rFonts w:ascii="仿宋" w:hAnsi="仿宋" w:eastAsia="仿宋"/>
          <w:bCs/>
          <w:sz w:val="32"/>
          <w:szCs w:val="32"/>
        </w:rPr>
        <w:t>.</w:t>
      </w:r>
      <w:r>
        <w:rPr>
          <w:rFonts w:hint="eastAsia" w:ascii="仿宋" w:hAnsi="仿宋" w:eastAsia="仿宋"/>
          <w:b/>
          <w:bCs/>
          <w:sz w:val="32"/>
          <w:szCs w:val="32"/>
        </w:rPr>
        <w:t>交通运输</w:t>
      </w:r>
      <w:r>
        <w:rPr>
          <w:rStyle w:val="17"/>
          <w:rFonts w:hint="eastAsia" w:ascii="仿宋" w:hAnsi="仿宋" w:eastAsia="仿宋"/>
          <w:bCs/>
          <w:sz w:val="32"/>
          <w:szCs w:val="32"/>
        </w:rPr>
        <w:t>（类）公路水路运输（款）公路养护（项）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4.73</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Fonts w:ascii="仿宋" w:hAnsi="仿宋" w:eastAsia="仿宋"/>
          <w:b/>
          <w:sz w:val="32"/>
          <w:szCs w:val="32"/>
        </w:rPr>
      </w:pPr>
      <w:r>
        <w:rPr>
          <w:rStyle w:val="17"/>
          <w:rFonts w:hint="eastAsia" w:ascii="仿宋" w:hAnsi="仿宋" w:eastAsia="仿宋"/>
          <w:bCs/>
          <w:sz w:val="32"/>
          <w:szCs w:val="32"/>
          <w:lang w:val="en-US" w:eastAsia="zh-CN"/>
        </w:rPr>
        <w:t>43</w:t>
      </w:r>
      <w:r>
        <w:rPr>
          <w:rStyle w:val="17"/>
          <w:rFonts w:ascii="仿宋" w:hAnsi="仿宋" w:eastAsia="仿宋"/>
          <w:bCs/>
          <w:sz w:val="32"/>
          <w:szCs w:val="32"/>
        </w:rPr>
        <w:t>.</w:t>
      </w:r>
      <w:r>
        <w:rPr>
          <w:rFonts w:hint="eastAsia" w:ascii="仿宋" w:hAnsi="仿宋" w:eastAsia="仿宋"/>
          <w:b/>
          <w:bCs/>
          <w:sz w:val="32"/>
          <w:szCs w:val="32"/>
        </w:rPr>
        <w:t>交通运输</w:t>
      </w:r>
      <w:r>
        <w:rPr>
          <w:rStyle w:val="17"/>
          <w:rFonts w:hint="eastAsia" w:ascii="仿宋" w:hAnsi="仿宋" w:eastAsia="仿宋"/>
          <w:bCs/>
          <w:sz w:val="32"/>
          <w:szCs w:val="32"/>
        </w:rPr>
        <w:t>（类）公路水路运输（款）公路和运输安全（项）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2</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Fonts w:ascii="仿宋" w:hAnsi="仿宋" w:eastAsia="仿宋"/>
          <w:b/>
          <w:sz w:val="32"/>
          <w:szCs w:val="32"/>
        </w:rPr>
      </w:pPr>
      <w:r>
        <w:rPr>
          <w:rStyle w:val="17"/>
          <w:rFonts w:hint="eastAsia" w:ascii="仿宋" w:hAnsi="仿宋" w:eastAsia="仿宋"/>
          <w:bCs/>
          <w:sz w:val="32"/>
          <w:szCs w:val="32"/>
          <w:lang w:val="en-US" w:eastAsia="zh-CN"/>
        </w:rPr>
        <w:t>44</w:t>
      </w:r>
      <w:r>
        <w:rPr>
          <w:rStyle w:val="17"/>
          <w:rFonts w:ascii="仿宋" w:hAnsi="仿宋" w:eastAsia="仿宋"/>
          <w:bCs/>
          <w:sz w:val="32"/>
          <w:szCs w:val="32"/>
        </w:rPr>
        <w:t>.</w:t>
      </w:r>
      <w:r>
        <w:rPr>
          <w:rFonts w:hint="eastAsia" w:ascii="仿宋" w:hAnsi="仿宋" w:eastAsia="仿宋"/>
          <w:b/>
          <w:bCs/>
          <w:sz w:val="32"/>
          <w:szCs w:val="32"/>
        </w:rPr>
        <w:t>住房保障</w:t>
      </w:r>
      <w:r>
        <w:rPr>
          <w:rStyle w:val="17"/>
          <w:rFonts w:hint="eastAsia" w:ascii="仿宋" w:hAnsi="仿宋" w:eastAsia="仿宋"/>
          <w:bCs/>
          <w:sz w:val="32"/>
          <w:szCs w:val="32"/>
        </w:rPr>
        <w:t>（类）保障性安居工程支出（款）棚户区改造（项）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5.82</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45</w:t>
      </w:r>
      <w:r>
        <w:rPr>
          <w:rStyle w:val="17"/>
          <w:rFonts w:ascii="仿宋" w:hAnsi="仿宋" w:eastAsia="仿宋"/>
          <w:bCs/>
          <w:sz w:val="32"/>
          <w:szCs w:val="32"/>
        </w:rPr>
        <w:t>.</w:t>
      </w:r>
      <w:r>
        <w:rPr>
          <w:rFonts w:hint="eastAsia" w:ascii="仿宋" w:hAnsi="仿宋" w:eastAsia="仿宋"/>
          <w:b/>
          <w:bCs/>
          <w:sz w:val="32"/>
          <w:szCs w:val="32"/>
        </w:rPr>
        <w:t>住房保障</w:t>
      </w:r>
      <w:r>
        <w:rPr>
          <w:rStyle w:val="17"/>
          <w:rFonts w:hint="eastAsia" w:ascii="仿宋" w:hAnsi="仿宋" w:eastAsia="仿宋"/>
          <w:bCs/>
          <w:sz w:val="32"/>
          <w:szCs w:val="32"/>
        </w:rPr>
        <w:t>（类）住房改革支出（款）住房公积金（项）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85.24</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Fonts w:ascii="仿宋" w:hAnsi="仿宋" w:eastAsia="仿宋"/>
          <w:b/>
          <w:sz w:val="32"/>
          <w:szCs w:val="32"/>
        </w:rPr>
      </w:pPr>
      <w:r>
        <w:rPr>
          <w:rStyle w:val="17"/>
          <w:rFonts w:hint="eastAsia" w:ascii="仿宋" w:hAnsi="仿宋" w:eastAsia="仿宋"/>
          <w:bCs/>
          <w:sz w:val="32"/>
          <w:szCs w:val="32"/>
          <w:lang w:val="en-US" w:eastAsia="zh-CN"/>
        </w:rPr>
        <w:t>46</w:t>
      </w:r>
      <w:r>
        <w:rPr>
          <w:rStyle w:val="17"/>
          <w:rFonts w:ascii="仿宋" w:hAnsi="仿宋" w:eastAsia="仿宋"/>
          <w:bCs/>
          <w:sz w:val="32"/>
          <w:szCs w:val="32"/>
        </w:rPr>
        <w:t>.</w:t>
      </w:r>
      <w:r>
        <w:rPr>
          <w:rFonts w:hint="eastAsia" w:ascii="仿宋" w:hAnsi="仿宋" w:eastAsia="仿宋"/>
          <w:b/>
          <w:bCs/>
          <w:sz w:val="32"/>
          <w:szCs w:val="32"/>
        </w:rPr>
        <w:t>灾害防治及应急管理</w:t>
      </w:r>
      <w:r>
        <w:rPr>
          <w:rStyle w:val="17"/>
          <w:rFonts w:hint="eastAsia" w:ascii="仿宋" w:hAnsi="仿宋" w:eastAsia="仿宋"/>
          <w:bCs/>
          <w:sz w:val="32"/>
          <w:szCs w:val="32"/>
        </w:rPr>
        <w:t>（类）应急管理事务（款）安全监管（项）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20</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47</w:t>
      </w:r>
      <w:r>
        <w:rPr>
          <w:rStyle w:val="17"/>
          <w:rFonts w:ascii="仿宋" w:hAnsi="仿宋" w:eastAsia="仿宋"/>
          <w:bCs/>
          <w:sz w:val="32"/>
          <w:szCs w:val="32"/>
        </w:rPr>
        <w:t>.</w:t>
      </w:r>
      <w:r>
        <w:rPr>
          <w:rFonts w:hint="eastAsia" w:ascii="仿宋" w:hAnsi="仿宋" w:eastAsia="仿宋"/>
          <w:b/>
          <w:bCs/>
          <w:sz w:val="32"/>
          <w:szCs w:val="32"/>
        </w:rPr>
        <w:t>灾害防治及应急管理</w:t>
      </w:r>
      <w:r>
        <w:rPr>
          <w:rStyle w:val="17"/>
          <w:rFonts w:hint="eastAsia" w:ascii="仿宋" w:hAnsi="仿宋" w:eastAsia="仿宋"/>
          <w:bCs/>
          <w:sz w:val="32"/>
          <w:szCs w:val="32"/>
        </w:rPr>
        <w:t>（类）自然灾害防治（款）其他自然灾害防治支出（项）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1.25</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3" w:firstLineChars="200"/>
        <w:textAlignment w:val="auto"/>
        <w:rPr>
          <w:rStyle w:val="17"/>
          <w:rFonts w:hint="eastAsia" w:ascii="仿宋" w:hAnsi="仿宋" w:eastAsia="仿宋"/>
          <w:b w:val="0"/>
          <w:bCs/>
          <w:sz w:val="32"/>
          <w:szCs w:val="32"/>
        </w:rPr>
      </w:pPr>
      <w:r>
        <w:rPr>
          <w:rStyle w:val="17"/>
          <w:rFonts w:hint="eastAsia" w:ascii="仿宋" w:hAnsi="仿宋" w:eastAsia="仿宋"/>
          <w:bCs/>
          <w:sz w:val="32"/>
          <w:szCs w:val="32"/>
          <w:lang w:val="en-US" w:eastAsia="zh-CN"/>
        </w:rPr>
        <w:t>48</w:t>
      </w:r>
      <w:r>
        <w:rPr>
          <w:rStyle w:val="17"/>
          <w:rFonts w:ascii="仿宋" w:hAnsi="仿宋" w:eastAsia="仿宋"/>
          <w:bCs/>
          <w:sz w:val="32"/>
          <w:szCs w:val="32"/>
        </w:rPr>
        <w:t>.</w:t>
      </w:r>
      <w:r>
        <w:rPr>
          <w:rFonts w:hint="eastAsia" w:ascii="仿宋" w:hAnsi="仿宋" w:eastAsia="仿宋"/>
          <w:b/>
          <w:bCs/>
          <w:sz w:val="32"/>
          <w:szCs w:val="32"/>
        </w:rPr>
        <w:t>其他</w:t>
      </w:r>
      <w:r>
        <w:rPr>
          <w:rStyle w:val="17"/>
          <w:rFonts w:hint="eastAsia" w:ascii="仿宋" w:hAnsi="仿宋" w:eastAsia="仿宋"/>
          <w:bCs/>
          <w:sz w:val="32"/>
          <w:szCs w:val="32"/>
        </w:rPr>
        <w:t>（类）其他支出（款）其他支出（项）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26.46</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p>
    <w:p>
      <w:pPr>
        <w:pageBreakBefore w:val="0"/>
        <w:kinsoku/>
        <w:wordWrap/>
        <w:overflowPunct/>
        <w:topLinePunct w:val="0"/>
        <w:bidi w:val="0"/>
        <w:spacing w:line="560" w:lineRule="exact"/>
        <w:ind w:firstLine="640"/>
        <w:textAlignment w:val="auto"/>
        <w:rPr>
          <w:rFonts w:ascii="仿宋" w:hAnsi="仿宋" w:eastAsia="仿宋"/>
          <w:b/>
          <w:sz w:val="32"/>
          <w:szCs w:val="32"/>
        </w:rPr>
      </w:pPr>
    </w:p>
    <w:p>
      <w:pPr>
        <w:pageBreakBefore w:val="0"/>
        <w:tabs>
          <w:tab w:val="right" w:pos="8306"/>
        </w:tabs>
        <w:kinsoku/>
        <w:wordWrap/>
        <w:overflowPunct/>
        <w:topLinePunct w:val="0"/>
        <w:bidi w:val="0"/>
        <w:spacing w:line="560" w:lineRule="exact"/>
        <w:ind w:firstLine="640"/>
        <w:textAlignment w:val="auto"/>
        <w:outlineLvl w:val="1"/>
        <w:rPr>
          <w:rStyle w:val="28"/>
        </w:rPr>
      </w:pPr>
      <w:bookmarkStart w:id="33" w:name="_Toc15396608"/>
      <w:bookmarkStart w:id="34"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33"/>
      <w:bookmarkEnd w:id="34"/>
      <w:r>
        <w:rPr>
          <w:rStyle w:val="28"/>
          <w:rFonts w:ascii="黑体" w:hAnsi="黑体" w:eastAsia="黑体"/>
          <w:b w:val="0"/>
        </w:rPr>
        <w:tab/>
      </w:r>
    </w:p>
    <w:p>
      <w:pPr>
        <w:pageBreakBefore w:val="0"/>
        <w:kinsoku/>
        <w:wordWrap/>
        <w:overflowPunct/>
        <w:topLinePunct w:val="0"/>
        <w:bidi w:val="0"/>
        <w:spacing w:line="560" w:lineRule="exact"/>
        <w:ind w:firstLine="64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2022年一般公共预算财政拨款基本支出1498.46万元，其中：</w:t>
      </w:r>
    </w:p>
    <w:p>
      <w:pPr>
        <w:pageBreakBefore w:val="0"/>
        <w:kinsoku/>
        <w:wordWrap/>
        <w:overflowPunct/>
        <w:topLinePunct w:val="0"/>
        <w:bidi w:val="0"/>
        <w:spacing w:line="560" w:lineRule="exact"/>
        <w:ind w:firstLine="640" w:firstLineChars="200"/>
        <w:textAlignment w:val="auto"/>
        <w:rPr>
          <w:rStyle w:val="17"/>
          <w:rFonts w:hint="eastAsia" w:ascii="仿宋" w:hAnsi="仿宋" w:eastAsia="仿宋"/>
          <w:b w:val="0"/>
          <w:bCs/>
          <w:sz w:val="32"/>
          <w:szCs w:val="32"/>
          <w:lang w:val="en-US" w:eastAsia="zh-CN"/>
        </w:rPr>
      </w:pPr>
      <w:r>
        <w:rPr>
          <w:rStyle w:val="17"/>
          <w:rFonts w:hint="eastAsia" w:ascii="仿宋" w:hAnsi="仿宋" w:eastAsia="仿宋"/>
          <w:b w:val="0"/>
          <w:bCs/>
          <w:sz w:val="32"/>
          <w:szCs w:val="32"/>
          <w:lang w:val="en-US" w:eastAsia="zh-CN"/>
        </w:rPr>
        <w:t>人员经费1314.05万元，主要包括：基本工资232.08万元、津贴补贴178.65万元、奖金185.04万元、绩效工资138.74万元、机关事业单位基本养老保险缴费72.38万元、职业年金缴费6.11万元、职工基本医疗保险缴费54.86万元、公务员医疗补助缴费30.40万元、其他社会保障缴费3.39万元、其他工资福利支出61.82万元、抚</w:t>
      </w:r>
      <w:bookmarkStart w:id="65" w:name="_GoBack"/>
      <w:bookmarkEnd w:id="65"/>
      <w:r>
        <w:rPr>
          <w:rStyle w:val="17"/>
          <w:rFonts w:hint="eastAsia" w:ascii="仿宋" w:hAnsi="仿宋" w:eastAsia="仿宋"/>
          <w:b w:val="0"/>
          <w:bCs/>
          <w:sz w:val="32"/>
          <w:szCs w:val="32"/>
          <w:lang w:val="en-US" w:eastAsia="zh-CN"/>
        </w:rPr>
        <w:t>恤金19.35万元、生活补助238.21万元、医疗费1.66万元、医疗费补助6.07万元、奖励金0.05万元、住房公积金85.24万元。</w:t>
      </w:r>
      <w:r>
        <w:rPr>
          <w:rStyle w:val="17"/>
          <w:rFonts w:hint="eastAsia" w:ascii="仿宋" w:hAnsi="仿宋" w:eastAsia="仿宋"/>
          <w:b w:val="0"/>
          <w:bCs/>
          <w:sz w:val="32"/>
          <w:szCs w:val="32"/>
          <w:lang w:val="en-US" w:eastAsia="zh-CN"/>
        </w:rPr>
        <w:br w:type="textWrapping"/>
      </w:r>
      <w:r>
        <w:rPr>
          <w:rStyle w:val="17"/>
          <w:rFonts w:hint="eastAsia" w:ascii="仿宋" w:hAnsi="仿宋" w:eastAsia="仿宋"/>
          <w:b w:val="0"/>
          <w:bCs/>
          <w:sz w:val="32"/>
          <w:szCs w:val="32"/>
          <w:lang w:val="en-US" w:eastAsia="zh-CN"/>
        </w:rPr>
        <w:t>　　公用经费184.41万元，主要包括：办公费51.72万元、咨询费5.00万元、手续费0.01万元、电费5.20万元、邮电费4.58万元、差旅费2.40万元、维修（护）费11.88万元、会议费3.12万元、培训费1.05万元、劳务费45.84万元、工会经费8.35万元、福利费7.27万元、公务用车运行维护费10.40万元、其他交通费27.59万元。</w:t>
      </w:r>
    </w:p>
    <w:p>
      <w:pPr>
        <w:pageBreakBefore w:val="0"/>
        <w:kinsoku/>
        <w:wordWrap/>
        <w:overflowPunct/>
        <w:topLinePunct w:val="0"/>
        <w:bidi w:val="0"/>
        <w:spacing w:line="560" w:lineRule="exact"/>
        <w:ind w:firstLine="640"/>
        <w:textAlignment w:val="auto"/>
        <w:outlineLvl w:val="1"/>
        <w:rPr>
          <w:rStyle w:val="28"/>
          <w:rFonts w:ascii="黑体" w:hAnsi="黑体" w:eastAsia="黑体"/>
          <w:b w:val="0"/>
        </w:rPr>
      </w:pPr>
      <w:bookmarkStart w:id="35" w:name="_Toc15396609"/>
      <w:bookmarkStart w:id="36" w:name="_Toc15377215"/>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5"/>
      <w:bookmarkEnd w:id="36"/>
    </w:p>
    <w:p>
      <w:pPr>
        <w:pageBreakBefore w:val="0"/>
        <w:kinsoku/>
        <w:wordWrap/>
        <w:overflowPunct/>
        <w:topLinePunct w:val="0"/>
        <w:bidi w:val="0"/>
        <w:spacing w:line="560" w:lineRule="exact"/>
        <w:ind w:firstLine="640"/>
        <w:textAlignment w:val="auto"/>
        <w:outlineLvl w:val="2"/>
        <w:rPr>
          <w:rFonts w:ascii="仿宋" w:hAnsi="仿宋" w:eastAsia="仿宋"/>
          <w:b/>
          <w:sz w:val="32"/>
          <w:szCs w:val="32"/>
        </w:rPr>
      </w:pPr>
      <w:bookmarkStart w:id="37" w:name="_Toc15377216"/>
      <w:r>
        <w:rPr>
          <w:rFonts w:hint="eastAsia" w:ascii="仿宋" w:hAnsi="仿宋" w:eastAsia="仿宋"/>
          <w:b/>
          <w:sz w:val="32"/>
          <w:szCs w:val="32"/>
        </w:rPr>
        <w:t>（一）“三公”经费财政拨款支出决算总体情况说明</w:t>
      </w:r>
      <w:bookmarkEnd w:id="37"/>
    </w:p>
    <w:p>
      <w:pPr>
        <w:pageBreakBefore w:val="0"/>
        <w:kinsoku/>
        <w:wordWrap/>
        <w:overflowPunct/>
        <w:topLinePunct w:val="0"/>
        <w:bidi w:val="0"/>
        <w:spacing w:line="560" w:lineRule="exact"/>
        <w:ind w:firstLine="64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2022年“三公”经费财政拨款支出决算为10.4万元，完成预算100%，较上年减少6.56万元，下降38.68%。</w:t>
      </w:r>
    </w:p>
    <w:p>
      <w:pPr>
        <w:pageBreakBefore w:val="0"/>
        <w:kinsoku/>
        <w:wordWrap/>
        <w:overflowPunct/>
        <w:topLinePunct w:val="0"/>
        <w:bidi w:val="0"/>
        <w:spacing w:line="560" w:lineRule="exact"/>
        <w:ind w:firstLine="640"/>
        <w:textAlignment w:val="auto"/>
        <w:outlineLvl w:val="2"/>
        <w:rPr>
          <w:rFonts w:ascii="仿宋" w:hAnsi="仿宋" w:eastAsia="仿宋"/>
          <w:b/>
          <w:sz w:val="32"/>
          <w:szCs w:val="32"/>
        </w:rPr>
      </w:pPr>
      <w:bookmarkStart w:id="38" w:name="_Toc15377217"/>
      <w:r>
        <w:rPr>
          <w:rFonts w:hint="eastAsia" w:ascii="仿宋" w:hAnsi="仿宋" w:eastAsia="仿宋"/>
          <w:b/>
          <w:sz w:val="32"/>
          <w:szCs w:val="32"/>
        </w:rPr>
        <w:t>（二）“三公”经费财政拨款支出决算具体情况说明</w:t>
      </w:r>
      <w:bookmarkEnd w:id="38"/>
    </w:p>
    <w:p>
      <w:pPr>
        <w:pageBreakBefore w:val="0"/>
        <w:kinsoku/>
        <w:wordWrap/>
        <w:overflowPunct/>
        <w:topLinePunct w:val="0"/>
        <w:bidi w:val="0"/>
        <w:spacing w:line="560" w:lineRule="exact"/>
        <w:ind w:firstLine="640"/>
        <w:textAlignment w:val="auto"/>
        <w:rPr>
          <w:rFonts w:hint="eastAsia" w:ascii="仿宋" w:hAnsi="仿宋" w:eastAsia="仿宋"/>
          <w:sz w:val="32"/>
          <w:szCs w:val="32"/>
        </w:rPr>
      </w:pPr>
      <w:r>
        <w:rPr>
          <w:rFonts w:hint="eastAsia" w:ascii="方正仿宋_GBK" w:hAnsi="方正仿宋_GBK" w:eastAsia="方正仿宋_GBK" w:cs="方正仿宋_GBK"/>
          <w:sz w:val="32"/>
          <w:szCs w:val="32"/>
          <w:lang w:val="en-US" w:eastAsia="zh-CN"/>
        </w:rPr>
        <w:t>2022年“三公”经费财政拨款支出决算中，因公出国（境）费支出决算0万元，占0%；公务用车购置及运行维护费支出决算10.4万元，占100%；公务接待费支出决算0万元，占0%。具体情况如下：</w:t>
      </w:r>
    </w:p>
    <w:p>
      <w:pPr>
        <w:pStyle w:val="6"/>
        <w:pageBreakBefore w:val="0"/>
        <w:kinsoku/>
        <w:wordWrap/>
        <w:overflowPunct/>
        <w:topLinePunct w:val="0"/>
        <w:bidi w:val="0"/>
        <w:spacing w:line="560" w:lineRule="exact"/>
        <w:jc w:val="center"/>
        <w:textAlignment w:val="auto"/>
        <w:rPr>
          <w:rFonts w:hint="eastAsia" w:ascii="仿宋" w:hAnsi="仿宋" w:eastAsia="仿宋"/>
          <w:sz w:val="32"/>
          <w:szCs w:val="32"/>
        </w:rPr>
      </w:pPr>
      <w:r>
        <w:rPr>
          <w:rFonts w:hint="eastAsia" w:ascii="仿宋" w:hAnsi="仿宋" w:eastAsia="仿宋"/>
          <w:sz w:val="32"/>
          <w:szCs w:val="32"/>
          <w:lang w:eastAsia="zh-CN"/>
        </w:rPr>
        <w:drawing>
          <wp:anchor distT="0" distB="0" distL="114300" distR="114300" simplePos="0" relativeHeight="251665408" behindDoc="0" locked="0" layoutInCell="1" allowOverlap="1">
            <wp:simplePos x="0" y="0"/>
            <wp:positionH relativeFrom="column">
              <wp:posOffset>421640</wp:posOffset>
            </wp:positionH>
            <wp:positionV relativeFrom="paragraph">
              <wp:posOffset>173355</wp:posOffset>
            </wp:positionV>
            <wp:extent cx="4389755" cy="2225675"/>
            <wp:effectExtent l="4445" t="4445" r="6350" b="17780"/>
            <wp:wrapNone/>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pStyle w:val="6"/>
        <w:pageBreakBefore w:val="0"/>
        <w:kinsoku/>
        <w:wordWrap/>
        <w:overflowPunct/>
        <w:topLinePunct w:val="0"/>
        <w:bidi w:val="0"/>
        <w:spacing w:line="560" w:lineRule="exact"/>
        <w:jc w:val="center"/>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textAlignment w:val="auto"/>
        <w:rPr>
          <w:rFonts w:hint="eastAsia" w:ascii="仿宋" w:hAnsi="仿宋" w:eastAsia="仿宋"/>
          <w:sz w:val="32"/>
          <w:szCs w:val="32"/>
        </w:rPr>
      </w:pPr>
    </w:p>
    <w:p>
      <w:pPr>
        <w:pageBreakBefore w:val="0"/>
        <w:kinsoku/>
        <w:wordWrap/>
        <w:overflowPunct/>
        <w:topLinePunct w:val="0"/>
        <w:bidi w:val="0"/>
        <w:spacing w:line="560" w:lineRule="exact"/>
        <w:textAlignment w:val="auto"/>
        <w:rPr>
          <w:rFonts w:hint="eastAsia" w:ascii="仿宋" w:hAnsi="仿宋" w:eastAsia="仿宋"/>
          <w:sz w:val="32"/>
          <w:szCs w:val="32"/>
        </w:rPr>
      </w:pPr>
    </w:p>
    <w:p>
      <w:pPr>
        <w:pageBreakBefore w:val="0"/>
        <w:kinsoku/>
        <w:wordWrap/>
        <w:overflowPunct/>
        <w:topLinePunct w:val="0"/>
        <w:bidi w:val="0"/>
        <w:spacing w:line="560" w:lineRule="exact"/>
        <w:ind w:firstLine="640"/>
        <w:textAlignment w:val="auto"/>
        <w:rPr>
          <w:rFonts w:ascii="仿宋" w:hAnsi="仿宋" w:eastAsia="仿宋"/>
          <w:sz w:val="32"/>
          <w:szCs w:val="32"/>
        </w:rPr>
      </w:pPr>
      <w:r>
        <w:rPr>
          <w:rFonts w:hint="eastAsia" w:ascii="仿宋" w:hAnsi="仿宋" w:eastAsia="仿宋"/>
          <w:sz w:val="32"/>
          <w:szCs w:val="32"/>
        </w:rPr>
        <w:t>（图7：“三公”经费财政拨款支出结构）（饼状图）</w:t>
      </w:r>
    </w:p>
    <w:p>
      <w:pPr>
        <w:pageBreakBefore w:val="0"/>
        <w:kinsoku/>
        <w:wordWrap/>
        <w:overflowPunct/>
        <w:topLinePunct w:val="0"/>
        <w:bidi w:val="0"/>
        <w:spacing w:line="560" w:lineRule="exact"/>
        <w:ind w:firstLine="640"/>
        <w:textAlignment w:val="auto"/>
        <w:rPr>
          <w:rFonts w:hint="eastAsia" w:ascii="仿宋_GB2312" w:eastAsia="仿宋_GB2312"/>
          <w:sz w:val="32"/>
          <w:szCs w:val="32"/>
          <w:lang w:eastAsia="zh-CN"/>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w:t>
      </w:r>
      <w:r>
        <w:rPr>
          <w:rFonts w:hint="eastAsia" w:ascii="仿宋_GB2312" w:eastAsia="仿宋_GB2312"/>
          <w:sz w:val="32"/>
          <w:szCs w:val="32"/>
          <w:lang w:eastAsia="zh-CN"/>
        </w:rPr>
        <w:t>与</w:t>
      </w: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eastAsia="zh-CN"/>
        </w:rPr>
        <w:t>持平。</w:t>
      </w:r>
    </w:p>
    <w:p>
      <w:pPr>
        <w:pageBreakBefore w:val="0"/>
        <w:kinsoku/>
        <w:wordWrap/>
        <w:overflowPunct/>
        <w:topLinePunct w:val="0"/>
        <w:bidi w:val="0"/>
        <w:spacing w:line="560" w:lineRule="exact"/>
        <w:ind w:firstLine="640"/>
        <w:textAlignment w:val="auto"/>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10.4</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21年减少</w:t>
      </w:r>
      <w:r>
        <w:rPr>
          <w:rFonts w:hint="eastAsia" w:ascii="仿宋_GB2312" w:eastAsia="仿宋_GB2312"/>
          <w:sz w:val="32"/>
          <w:szCs w:val="32"/>
          <w:lang w:val="en-US" w:eastAsia="zh-CN"/>
        </w:rPr>
        <w:t>6.43</w:t>
      </w:r>
      <w:r>
        <w:rPr>
          <w:rFonts w:hint="eastAsia" w:ascii="仿宋_GB2312" w:eastAsia="仿宋_GB2312"/>
          <w:sz w:val="32"/>
          <w:szCs w:val="32"/>
        </w:rPr>
        <w:t>万元，下降</w:t>
      </w:r>
      <w:r>
        <w:rPr>
          <w:rFonts w:hint="eastAsia" w:ascii="仿宋_GB2312" w:eastAsia="仿宋_GB2312"/>
          <w:sz w:val="32"/>
          <w:szCs w:val="32"/>
          <w:lang w:val="en-US" w:eastAsia="zh-CN"/>
        </w:rPr>
        <w:t>38.21</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公务用车支出减少</w:t>
      </w:r>
      <w:r>
        <w:rPr>
          <w:rFonts w:hint="eastAsia" w:ascii="仿宋_GB2312" w:eastAsia="仿宋_GB2312"/>
          <w:sz w:val="32"/>
          <w:szCs w:val="32"/>
        </w:rPr>
        <w:t>。</w:t>
      </w:r>
    </w:p>
    <w:p>
      <w:pPr>
        <w:pageBreakBefore w:val="0"/>
        <w:kinsoku/>
        <w:wordWrap/>
        <w:overflowPunct/>
        <w:topLinePunct w:val="0"/>
        <w:bidi w:val="0"/>
        <w:spacing w:line="560" w:lineRule="exact"/>
        <w:ind w:firstLine="640" w:firstLineChars="200"/>
        <w:textAlignment w:val="auto"/>
        <w:rPr>
          <w:rFonts w:ascii="仿宋_GB2312" w:eastAsia="仿宋_GB2312"/>
          <w:b/>
          <w:sz w:val="32"/>
          <w:szCs w:val="32"/>
          <w:highlight w:val="none"/>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lang w:val="en-US" w:eastAsia="zh-CN"/>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highlight w:val="none"/>
        </w:rPr>
        <w:t>截至</w:t>
      </w:r>
      <w:r>
        <w:rPr>
          <w:rFonts w:ascii="仿宋_GB2312" w:eastAsia="仿宋_GB2312"/>
          <w:sz w:val="32"/>
          <w:szCs w:val="32"/>
          <w:highlight w:val="none"/>
        </w:rPr>
        <w:t>20</w:t>
      </w:r>
      <w:r>
        <w:rPr>
          <w:rFonts w:hint="eastAsia" w:ascii="仿宋_GB2312" w:eastAsia="仿宋_GB2312"/>
          <w:sz w:val="32"/>
          <w:szCs w:val="32"/>
          <w:highlight w:val="none"/>
        </w:rPr>
        <w:t>22年</w:t>
      </w:r>
      <w:r>
        <w:rPr>
          <w:rFonts w:ascii="仿宋_GB2312" w:eastAsia="仿宋_GB2312"/>
          <w:sz w:val="32"/>
          <w:szCs w:val="32"/>
          <w:highlight w:val="none"/>
        </w:rPr>
        <w:t>12</w:t>
      </w:r>
      <w:r>
        <w:rPr>
          <w:rFonts w:hint="eastAsia" w:ascii="仿宋_GB2312" w:eastAsia="仿宋_GB2312"/>
          <w:sz w:val="32"/>
          <w:szCs w:val="32"/>
          <w:highlight w:val="none"/>
        </w:rPr>
        <w:t>月底，单位共有公务用车</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辆，其中：轿车</w:t>
      </w: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rPr>
        <w:t>辆、越野车</w:t>
      </w: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辆、载客汽车</w:t>
      </w:r>
      <w:r>
        <w:rPr>
          <w:rFonts w:hint="eastAsia" w:ascii="仿宋_GB2312" w:eastAsia="仿宋_GB2312"/>
          <w:sz w:val="32"/>
          <w:szCs w:val="32"/>
          <w:highlight w:val="none"/>
          <w:lang w:val="en-US" w:eastAsia="zh-CN"/>
        </w:rPr>
        <w:t>0</w:t>
      </w:r>
      <w:r>
        <w:rPr>
          <w:rFonts w:hint="eastAsia" w:ascii="仿宋_GB2312" w:eastAsia="仿宋_GB2312"/>
          <w:sz w:val="32"/>
          <w:szCs w:val="32"/>
          <w:highlight w:val="none"/>
        </w:rPr>
        <w:t>辆</w:t>
      </w:r>
      <w:r>
        <w:rPr>
          <w:rFonts w:hint="eastAsia" w:ascii="仿宋_GB2312" w:eastAsia="仿宋_GB2312"/>
          <w:sz w:val="32"/>
          <w:szCs w:val="32"/>
          <w:highlight w:val="none"/>
          <w:lang w:eastAsia="zh-CN"/>
        </w:rPr>
        <w:t>、特种专业技术用车</w:t>
      </w:r>
      <w:r>
        <w:rPr>
          <w:rFonts w:hint="eastAsia" w:ascii="仿宋_GB2312" w:eastAsia="仿宋_GB2312"/>
          <w:sz w:val="32"/>
          <w:szCs w:val="32"/>
          <w:highlight w:val="none"/>
          <w:lang w:val="en-US" w:eastAsia="zh-CN"/>
        </w:rPr>
        <w:t>1辆</w:t>
      </w:r>
      <w:r>
        <w:rPr>
          <w:rFonts w:hint="eastAsia" w:ascii="仿宋_GB2312" w:eastAsia="仿宋_GB2312"/>
          <w:sz w:val="32"/>
          <w:szCs w:val="32"/>
          <w:highlight w:val="none"/>
        </w:rPr>
        <w:t>。</w:t>
      </w:r>
    </w:p>
    <w:p>
      <w:pPr>
        <w:pageBreakBefore w:val="0"/>
        <w:kinsoku/>
        <w:wordWrap/>
        <w:overflowPunct/>
        <w:topLinePunct w:val="0"/>
        <w:bidi w:val="0"/>
        <w:spacing w:line="560" w:lineRule="exact"/>
        <w:ind w:firstLine="640"/>
        <w:textAlignment w:val="auto"/>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lang w:val="en-US" w:eastAsia="zh-CN"/>
        </w:rPr>
        <w:t>10.4</w:t>
      </w:r>
      <w:r>
        <w:rPr>
          <w:rFonts w:hint="eastAsia" w:ascii="仿宋_GB2312" w:eastAsia="仿宋_GB2312"/>
          <w:sz w:val="32"/>
          <w:szCs w:val="32"/>
        </w:rPr>
        <w:t>万元。主要用于</w:t>
      </w:r>
      <w:r>
        <w:rPr>
          <w:rFonts w:hint="eastAsia" w:ascii="仿宋_GB2312" w:eastAsia="仿宋_GB2312"/>
          <w:sz w:val="32"/>
          <w:szCs w:val="32"/>
          <w:lang w:eastAsia="zh-CN"/>
        </w:rPr>
        <w:t>单位日常工作开展、征地拆迁、综治维稳、集体经济建设、安全生产、食品安全、森林草原防灭火、防汛救灾</w:t>
      </w:r>
      <w:r>
        <w:rPr>
          <w:rFonts w:hint="eastAsia" w:ascii="仿宋_GB2312" w:eastAsia="仿宋_GB2312"/>
          <w:sz w:val="32"/>
          <w:szCs w:val="32"/>
        </w:rPr>
        <w:t>等所需的公务用车燃料费、维修费、过路过桥费、保险费等支出。</w:t>
      </w:r>
    </w:p>
    <w:p>
      <w:pPr>
        <w:pageBreakBefore w:val="0"/>
        <w:kinsoku/>
        <w:wordWrap/>
        <w:overflowPunct/>
        <w:topLinePunct w:val="0"/>
        <w:bidi w:val="0"/>
        <w:spacing w:line="560" w:lineRule="exact"/>
        <w:ind w:firstLine="640"/>
        <w:textAlignment w:val="auto"/>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21年减少</w:t>
      </w:r>
      <w:r>
        <w:rPr>
          <w:rFonts w:hint="eastAsia" w:ascii="仿宋_GB2312" w:eastAsia="仿宋_GB2312"/>
          <w:sz w:val="32"/>
          <w:szCs w:val="32"/>
          <w:lang w:val="en-US" w:eastAsia="zh-CN"/>
        </w:rPr>
        <w:t>0.13</w:t>
      </w:r>
      <w:r>
        <w:rPr>
          <w:rFonts w:hint="eastAsia" w:ascii="仿宋_GB2312" w:eastAsia="仿宋_GB2312"/>
          <w:sz w:val="32"/>
          <w:szCs w:val="32"/>
        </w:rPr>
        <w:t>万元，下降</w:t>
      </w:r>
      <w:r>
        <w:rPr>
          <w:rFonts w:hint="eastAsia" w:ascii="仿宋_GB2312" w:eastAsia="仿宋_GB2312"/>
          <w:sz w:val="32"/>
          <w:szCs w:val="32"/>
          <w:lang w:val="en-US" w:eastAsia="zh-CN"/>
        </w:rPr>
        <w:t>100</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未发生公务接待支出</w:t>
      </w:r>
      <w:r>
        <w:rPr>
          <w:rFonts w:hint="eastAsia" w:ascii="仿宋_GB2312" w:eastAsia="仿宋_GB2312"/>
          <w:sz w:val="32"/>
          <w:szCs w:val="32"/>
        </w:rPr>
        <w:t>。其中：</w:t>
      </w:r>
    </w:p>
    <w:p>
      <w:pPr>
        <w:pageBreakBefore w:val="0"/>
        <w:kinsoku/>
        <w:wordWrap/>
        <w:overflowPunct/>
        <w:topLinePunct w:val="0"/>
        <w:bidi w:val="0"/>
        <w:spacing w:line="560" w:lineRule="exact"/>
        <w:ind w:firstLine="640"/>
        <w:textAlignment w:val="auto"/>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lang w:val="en-US" w:eastAsia="zh-CN"/>
        </w:rPr>
        <w:t>0</w:t>
      </w:r>
      <w:r>
        <w:rPr>
          <w:rFonts w:hint="eastAsia" w:ascii="仿宋_GB2312" w:eastAsia="仿宋_GB2312"/>
          <w:sz w:val="32"/>
          <w:szCs w:val="32"/>
        </w:rPr>
        <w:t>万元。国内公务接待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pageBreakBefore w:val="0"/>
        <w:kinsoku/>
        <w:wordWrap/>
        <w:overflowPunct/>
        <w:topLinePunct w:val="0"/>
        <w:bidi w:val="0"/>
        <w:spacing w:line="560" w:lineRule="exact"/>
        <w:ind w:firstLine="643" w:firstLineChars="200"/>
        <w:textAlignment w:val="auto"/>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lang w:val="en-US" w:eastAsia="zh-CN"/>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pageBreakBefore w:val="0"/>
        <w:kinsoku/>
        <w:wordWrap/>
        <w:overflowPunct/>
        <w:topLinePunct w:val="0"/>
        <w:bidi w:val="0"/>
        <w:spacing w:line="560" w:lineRule="exact"/>
        <w:ind w:firstLine="640"/>
        <w:textAlignment w:val="auto"/>
        <w:outlineLvl w:val="1"/>
        <w:rPr>
          <w:rFonts w:ascii="黑体" w:eastAsia="黑体"/>
          <w:sz w:val="32"/>
          <w:szCs w:val="32"/>
        </w:rPr>
      </w:pPr>
      <w:bookmarkStart w:id="39" w:name="_Toc15377218"/>
      <w:bookmarkStart w:id="40" w:name="_Toc15396610"/>
    </w:p>
    <w:p>
      <w:pPr>
        <w:pageBreakBefore w:val="0"/>
        <w:kinsoku/>
        <w:wordWrap/>
        <w:overflowPunct/>
        <w:topLinePunct w:val="0"/>
        <w:bidi w:val="0"/>
        <w:spacing w:line="560" w:lineRule="exact"/>
        <w:ind w:firstLine="640"/>
        <w:textAlignment w:val="auto"/>
        <w:outlineLvl w:val="1"/>
        <w:rPr>
          <w:rStyle w:val="28"/>
          <w:rFonts w:ascii="黑体" w:hAnsi="黑体" w:eastAsia="黑体"/>
          <w:highlight w:val="none"/>
        </w:rPr>
      </w:pPr>
      <w:r>
        <w:rPr>
          <w:rFonts w:hint="eastAsia" w:ascii="黑体" w:eastAsia="黑体"/>
          <w:sz w:val="32"/>
          <w:szCs w:val="32"/>
          <w:highlight w:val="none"/>
        </w:rPr>
        <w:t>八、</w:t>
      </w:r>
      <w:r>
        <w:rPr>
          <w:rStyle w:val="28"/>
          <w:rFonts w:hint="eastAsia" w:ascii="黑体" w:hAnsi="黑体" w:eastAsia="黑体"/>
          <w:b w:val="0"/>
          <w:highlight w:val="none"/>
        </w:rPr>
        <w:t>政府性基金预算支出决算情况说明</w:t>
      </w:r>
      <w:bookmarkEnd w:id="39"/>
      <w:bookmarkEnd w:id="40"/>
    </w:p>
    <w:p>
      <w:pPr>
        <w:pageBreakBefore w:val="0"/>
        <w:kinsoku/>
        <w:wordWrap/>
        <w:overflowPunct/>
        <w:topLinePunct w:val="0"/>
        <w:bidi w:val="0"/>
        <w:spacing w:line="560" w:lineRule="exact"/>
        <w:ind w:firstLine="64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2022年政府性基金预算财政拨款支出204.58万元。</w:t>
      </w:r>
    </w:p>
    <w:p>
      <w:pPr>
        <w:pageBreakBefore w:val="0"/>
        <w:kinsoku/>
        <w:wordWrap/>
        <w:overflowPunct/>
        <w:topLinePunct w:val="0"/>
        <w:bidi w:val="0"/>
        <w:spacing w:line="560" w:lineRule="exact"/>
        <w:ind w:firstLine="640"/>
        <w:textAlignment w:val="auto"/>
        <w:rPr>
          <w:rFonts w:ascii="仿宋_GB2312" w:eastAsia="仿宋_GB2312"/>
          <w:sz w:val="32"/>
          <w:szCs w:val="32"/>
          <w:highlight w:val="magenta"/>
        </w:rPr>
      </w:pPr>
    </w:p>
    <w:p>
      <w:pPr>
        <w:pageBreakBefore w:val="0"/>
        <w:numPr>
          <w:ilvl w:val="0"/>
          <w:numId w:val="3"/>
        </w:numPr>
        <w:kinsoku/>
        <w:wordWrap/>
        <w:overflowPunct/>
        <w:topLinePunct w:val="0"/>
        <w:bidi w:val="0"/>
        <w:spacing w:line="560" w:lineRule="exact"/>
        <w:ind w:firstLine="640"/>
        <w:textAlignment w:val="auto"/>
        <w:outlineLvl w:val="1"/>
        <w:rPr>
          <w:rStyle w:val="28"/>
          <w:rFonts w:ascii="黑体" w:hAnsi="黑体" w:eastAsia="黑体"/>
          <w:b w:val="0"/>
        </w:rPr>
      </w:pPr>
      <w:bookmarkStart w:id="41" w:name="_Toc15377219"/>
      <w:bookmarkStart w:id="42" w:name="_Toc15396611"/>
      <w:r>
        <w:rPr>
          <w:rStyle w:val="28"/>
          <w:rFonts w:hint="eastAsia" w:ascii="黑体" w:hAnsi="黑体" w:eastAsia="黑体"/>
          <w:b w:val="0"/>
        </w:rPr>
        <w:t>国有资本经营预算支出决算情况说明</w:t>
      </w:r>
      <w:bookmarkEnd w:id="41"/>
      <w:bookmarkEnd w:id="42"/>
    </w:p>
    <w:p>
      <w:pPr>
        <w:pageBreakBefore w:val="0"/>
        <w:kinsoku/>
        <w:wordWrap/>
        <w:overflowPunct/>
        <w:topLinePunct w:val="0"/>
        <w:bidi w:val="0"/>
        <w:spacing w:line="560" w:lineRule="exact"/>
        <w:ind w:firstLine="64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2022年国有资本经营预算财政拨款支出0万元。</w:t>
      </w:r>
    </w:p>
    <w:p>
      <w:pPr>
        <w:pageBreakBefore w:val="0"/>
        <w:kinsoku/>
        <w:wordWrap/>
        <w:overflowPunct/>
        <w:topLinePunct w:val="0"/>
        <w:bidi w:val="0"/>
        <w:spacing w:line="560" w:lineRule="exact"/>
        <w:jc w:val="center"/>
        <w:textAlignment w:val="auto"/>
        <w:rPr>
          <w:rFonts w:ascii="方正小标宋简体" w:hAnsi="方正小标宋简体" w:eastAsia="方正小标宋简体" w:cs="方正小标宋简体"/>
          <w:sz w:val="44"/>
          <w:szCs w:val="44"/>
        </w:rPr>
      </w:pPr>
    </w:p>
    <w:p>
      <w:pPr>
        <w:pageBreakBefore w:val="0"/>
        <w:numPr>
          <w:ilvl w:val="0"/>
          <w:numId w:val="3"/>
        </w:numPr>
        <w:kinsoku/>
        <w:wordWrap/>
        <w:overflowPunct/>
        <w:topLinePunct w:val="0"/>
        <w:bidi w:val="0"/>
        <w:spacing w:line="560" w:lineRule="exact"/>
        <w:ind w:firstLine="640"/>
        <w:textAlignment w:val="auto"/>
        <w:outlineLvl w:val="1"/>
        <w:rPr>
          <w:rStyle w:val="28"/>
          <w:rFonts w:ascii="黑体" w:hAnsi="黑体" w:eastAsia="黑体"/>
          <w:b w:val="0"/>
        </w:rPr>
      </w:pPr>
      <w:bookmarkStart w:id="43" w:name="_Toc15396612"/>
      <w:bookmarkStart w:id="44" w:name="_Toc15377221"/>
      <w:r>
        <w:rPr>
          <w:rStyle w:val="28"/>
          <w:rFonts w:hint="eastAsia" w:ascii="黑体" w:hAnsi="黑体" w:eastAsia="黑体"/>
          <w:b w:val="0"/>
        </w:rPr>
        <w:t>其他重要事项的情况说明</w:t>
      </w:r>
      <w:bookmarkEnd w:id="43"/>
      <w:bookmarkEnd w:id="44"/>
    </w:p>
    <w:p>
      <w:pPr>
        <w:pageBreakBefore w:val="0"/>
        <w:kinsoku/>
        <w:wordWrap/>
        <w:overflowPunct/>
        <w:topLinePunct w:val="0"/>
        <w:bidi w:val="0"/>
        <w:spacing w:line="560" w:lineRule="exact"/>
        <w:ind w:firstLine="643" w:firstLineChars="200"/>
        <w:textAlignment w:val="auto"/>
        <w:outlineLvl w:val="2"/>
        <w:rPr>
          <w:rFonts w:ascii="仿宋" w:hAnsi="仿宋" w:eastAsia="仿宋"/>
          <w:sz w:val="32"/>
          <w:szCs w:val="32"/>
        </w:rPr>
      </w:pPr>
      <w:bookmarkStart w:id="45" w:name="_Toc15377222"/>
      <w:r>
        <w:rPr>
          <w:rFonts w:hint="eastAsia" w:ascii="仿宋" w:hAnsi="仿宋" w:eastAsia="仿宋"/>
          <w:b/>
          <w:sz w:val="32"/>
          <w:szCs w:val="32"/>
        </w:rPr>
        <w:t>（一）机关运行经费支出情况</w:t>
      </w:r>
      <w:bookmarkEnd w:id="45"/>
    </w:p>
    <w:p>
      <w:pPr>
        <w:pageBreakBefore w:val="0"/>
        <w:kinsoku/>
        <w:wordWrap/>
        <w:overflowPunct/>
        <w:topLinePunct w:val="0"/>
        <w:bidi w:val="0"/>
        <w:spacing w:line="560" w:lineRule="exact"/>
        <w:ind w:firstLine="64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2022年，盐边县新九镇人民政府机关运行经费支出184.41万元，比2021年增加60.11万元，增长48.36%。主要原因是辖区内道路清扫、环境整治劳务费及办公费增加。</w:t>
      </w:r>
    </w:p>
    <w:p>
      <w:pPr>
        <w:pageBreakBefore w:val="0"/>
        <w:kinsoku/>
        <w:wordWrap/>
        <w:overflowPunct/>
        <w:topLinePunct w:val="0"/>
        <w:autoSpaceDE w:val="0"/>
        <w:autoSpaceDN w:val="0"/>
        <w:bidi w:val="0"/>
        <w:adjustRightInd w:val="0"/>
        <w:spacing w:line="560" w:lineRule="exact"/>
        <w:ind w:firstLine="643" w:firstLineChars="200"/>
        <w:jc w:val="left"/>
        <w:textAlignment w:val="auto"/>
        <w:outlineLvl w:val="2"/>
        <w:rPr>
          <w:rFonts w:ascii="仿宋" w:hAnsi="仿宋" w:eastAsia="仿宋"/>
          <w:b/>
          <w:sz w:val="32"/>
          <w:szCs w:val="32"/>
        </w:rPr>
      </w:pPr>
      <w:bookmarkStart w:id="46" w:name="_Toc15377223"/>
      <w:r>
        <w:rPr>
          <w:rFonts w:hint="eastAsia" w:ascii="仿宋" w:hAnsi="仿宋" w:eastAsia="仿宋"/>
          <w:b/>
          <w:sz w:val="32"/>
          <w:szCs w:val="32"/>
        </w:rPr>
        <w:t>（二）政府采购支出情况</w:t>
      </w:r>
      <w:bookmarkEnd w:id="46"/>
    </w:p>
    <w:p>
      <w:pPr>
        <w:pageBreakBefore w:val="0"/>
        <w:kinsoku/>
        <w:wordWrap/>
        <w:overflowPunct/>
        <w:topLinePunct w:val="0"/>
        <w:bidi w:val="0"/>
        <w:spacing w:line="560" w:lineRule="exact"/>
        <w:ind w:firstLine="64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盐边县新九镇人民政府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pageBreakBefore w:val="0"/>
        <w:kinsoku/>
        <w:wordWrap/>
        <w:overflowPunct/>
        <w:topLinePunct w:val="0"/>
        <w:autoSpaceDE w:val="0"/>
        <w:autoSpaceDN w:val="0"/>
        <w:bidi w:val="0"/>
        <w:adjustRightInd w:val="0"/>
        <w:spacing w:line="560" w:lineRule="exact"/>
        <w:ind w:firstLine="643" w:firstLineChars="200"/>
        <w:jc w:val="left"/>
        <w:textAlignment w:val="auto"/>
        <w:outlineLvl w:val="2"/>
        <w:rPr>
          <w:rFonts w:ascii="仿宋" w:hAnsi="仿宋" w:eastAsia="仿宋"/>
          <w:b/>
          <w:sz w:val="32"/>
          <w:szCs w:val="32"/>
        </w:rPr>
      </w:pPr>
      <w:bookmarkStart w:id="47" w:name="_Toc15377224"/>
      <w:r>
        <w:rPr>
          <w:rFonts w:hint="eastAsia" w:ascii="仿宋" w:hAnsi="仿宋" w:eastAsia="仿宋"/>
          <w:b/>
          <w:sz w:val="32"/>
          <w:szCs w:val="32"/>
        </w:rPr>
        <w:t>（三）国有资产占有使用情况</w:t>
      </w:r>
      <w:bookmarkEnd w:id="47"/>
    </w:p>
    <w:p>
      <w:pPr>
        <w:pageBreakBefore w:val="0"/>
        <w:kinsoku/>
        <w:wordWrap/>
        <w:overflowPunct/>
        <w:topLinePunct w:val="0"/>
        <w:bidi w:val="0"/>
        <w:spacing w:line="560" w:lineRule="exact"/>
        <w:ind w:firstLine="64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截至2022年12月31日，盐边县新九镇人民政府共有车辆4辆，其中：主要领导干部用车0辆、机要通信用车0辆、应急保障用车1辆、其他用车3辆，其他用车主要是用于单位日常工作、征地拆迁、综治维稳、集体经济建设、安全生产、食品安全、森林草原防灭火、防汛救灾、垃圾清运等工作使用。单价100万元以上专用设备0台（套）。</w:t>
      </w:r>
    </w:p>
    <w:p>
      <w:pPr>
        <w:pageBreakBefore w:val="0"/>
        <w:kinsoku/>
        <w:wordWrap/>
        <w:overflowPunct/>
        <w:topLinePunct w:val="0"/>
        <w:autoSpaceDE w:val="0"/>
        <w:autoSpaceDN w:val="0"/>
        <w:bidi w:val="0"/>
        <w:adjustRightInd w:val="0"/>
        <w:spacing w:line="560" w:lineRule="exact"/>
        <w:ind w:firstLine="643" w:firstLineChars="200"/>
        <w:jc w:val="left"/>
        <w:textAlignment w:val="auto"/>
        <w:outlineLvl w:val="2"/>
        <w:rPr>
          <w:rFonts w:ascii="仿宋" w:hAnsi="仿宋" w:eastAsia="仿宋"/>
          <w:b/>
          <w:sz w:val="32"/>
          <w:szCs w:val="32"/>
          <w:highlight w:val="none"/>
        </w:rPr>
      </w:pPr>
      <w:r>
        <w:rPr>
          <w:rFonts w:hint="eastAsia" w:ascii="仿宋" w:hAnsi="仿宋" w:eastAsia="仿宋"/>
          <w:b/>
          <w:sz w:val="32"/>
          <w:szCs w:val="32"/>
          <w:highlight w:val="none"/>
        </w:rPr>
        <w:t>（四）预算绩效管理情况</w:t>
      </w:r>
    </w:p>
    <w:p>
      <w:pPr>
        <w:pageBreakBefore w:val="0"/>
        <w:widowControl/>
        <w:kinsoku/>
        <w:wordWrap/>
        <w:overflowPunct/>
        <w:topLinePunct w:val="0"/>
        <w:bidi w:val="0"/>
        <w:spacing w:line="560" w:lineRule="exact"/>
        <w:ind w:firstLine="640" w:firstLineChars="200"/>
        <w:jc w:val="left"/>
        <w:textAlignment w:val="auto"/>
        <w:rPr>
          <w:rFonts w:ascii="仿宋_GB2312" w:eastAsia="仿宋_GB2312"/>
          <w:b/>
          <w:sz w:val="32"/>
          <w:szCs w:val="32"/>
          <w:highlight w:val="none"/>
        </w:rPr>
      </w:pPr>
      <w:r>
        <w:rPr>
          <w:rFonts w:hint="eastAsia" w:ascii="方正仿宋_GBK" w:hAnsi="方正仿宋_GBK" w:eastAsia="方正仿宋_GBK" w:cs="方正仿宋_GBK"/>
          <w:sz w:val="32"/>
          <w:szCs w:val="32"/>
          <w:highlight w:val="none"/>
          <w:lang w:val="en-US" w:eastAsia="zh-CN"/>
        </w:rPr>
        <w:t>根据预算绩效管理要求，本单位在2022年度预算编制阶段，组织对2022年新九镇五保户丧葬费、2022年新九镇基本公共卫生服务经费、2022年新九镇人大代表活动经费及人代会经费等44个项目开展了预算事前绩效评估，对44个项目编制了绩效目标，预算执行过程中，选取39个项目开展绩效监控,组织对39个项目开展绩效自评，绩效自评表详见第四部分附件。</w:t>
      </w:r>
      <w:r>
        <w:rPr>
          <w:rFonts w:ascii="仿宋_GB2312" w:eastAsia="仿宋_GB2312"/>
          <w:b/>
          <w:sz w:val="32"/>
          <w:szCs w:val="32"/>
          <w:highlight w:val="none"/>
        </w:rPr>
        <w:br w:type="page"/>
      </w:r>
    </w:p>
    <w:p>
      <w:pPr>
        <w:pageBreakBefore w:val="0"/>
        <w:numPr>
          <w:ilvl w:val="0"/>
          <w:numId w:val="4"/>
        </w:numPr>
        <w:kinsoku/>
        <w:wordWrap/>
        <w:overflowPunct/>
        <w:topLinePunct w:val="0"/>
        <w:bidi w:val="0"/>
        <w:spacing w:line="560" w:lineRule="exact"/>
        <w:ind w:firstLine="660" w:firstLineChars="150"/>
        <w:jc w:val="center"/>
        <w:textAlignment w:val="auto"/>
        <w:outlineLvl w:val="0"/>
        <w:rPr>
          <w:rStyle w:val="27"/>
          <w:rFonts w:ascii="黑体" w:hAnsi="黑体" w:eastAsia="黑体"/>
          <w:b w:val="0"/>
        </w:rPr>
      </w:pPr>
      <w:bookmarkStart w:id="48" w:name="_Toc15377225"/>
      <w:bookmarkStart w:id="49" w:name="_Toc15396613"/>
      <w:r>
        <w:rPr>
          <w:rFonts w:hint="eastAsia" w:ascii="黑体" w:hAnsi="黑体" w:eastAsia="黑体"/>
          <w:sz w:val="44"/>
          <w:szCs w:val="44"/>
        </w:rPr>
        <w:t>名</w:t>
      </w:r>
      <w:r>
        <w:rPr>
          <w:rStyle w:val="27"/>
          <w:rFonts w:hint="eastAsia" w:ascii="黑体" w:hAnsi="黑体" w:eastAsia="黑体"/>
          <w:b w:val="0"/>
        </w:rPr>
        <w:t>词解释</w:t>
      </w:r>
      <w:bookmarkEnd w:id="48"/>
      <w:bookmarkEnd w:id="49"/>
    </w:p>
    <w:p>
      <w:pPr>
        <w:pageBreakBefore w:val="0"/>
        <w:kinsoku/>
        <w:wordWrap/>
        <w:overflowPunct/>
        <w:topLinePunct w:val="0"/>
        <w:bidi w:val="0"/>
        <w:spacing w:line="560" w:lineRule="exact"/>
        <w:jc w:val="left"/>
        <w:textAlignment w:val="auto"/>
        <w:rPr>
          <w:rFonts w:ascii="宋体"/>
          <w:b/>
          <w:sz w:val="44"/>
          <w:szCs w:val="44"/>
        </w:rPr>
      </w:pP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1.财政拨款收入：指单位从同级财政部门取得的财政预算资金。</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2.事业收入：指事业单位开展专业业务活动及辅助活动取得的收入。</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3.经营收入：指事业单位在专业业务活动及其辅助活动之外开展非独立核算经营活动取得的收入。</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4.其他收入：指单位取得的除上述收入以外的各项收入。主要是市级下达资金等。</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5.使用非财政拨款结余：指事业单位使用以前年度积累的非财政拨款结余弥补当年收支差额的金额。</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6.年初结转和结余：指以前年度尚未完成、结转到本年按有关规定继续使用的资金。</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7.结余分配：指事业单位按照会计制度规定缴纳的所得税、提取的专用结余以及转入非财政拨款结余的金额等。</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8.年末结转和结余：指单位按有关规定结转到下年或以后年度继续使用的资金。</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9.一般公共服务（类）人大事务（款）行政运行（项）:反映行政单位（包括实行公务员管理的事业单位）的基本支出。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10.一般公共服务（类）人大事务（款）人大会议（项）:反映各级人大召开人民代表大会等专门会议的支出。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11.一般公共服务（类）政府办公厅（室）及相关机构事务（款）行政运行（项）:反映行政单位（包括实行公务员管理的事业单位）的基本支出。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12.一般公共服务（类）政府办公厅（室）及相关机构事务（款）一般行政管理事务（项）:反映行政单位（包括实行公务员管理的事业单位）未单独设置项级科目的其他项目支出。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13.一般公共服务（类）政府办公厅（室）及相关机构事务（款）事业运行（项）:反映事业单位的基本支出，不包括行政单位（包括实行公务员管理的事业单位）后勤服务中心、医务室等附属事业单位。</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14.一般公共服务（类）纪检监察事务（款）其他纪检监察事务支出（项）:反映除上述项目以外其他纪检监察事务方面的支出。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15.一般公共服务（类）民族事务（款）民族工作专项（项）:反映用于民族事务管理方面的专项支出。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16.一般公共服务（类）民族事务（款）其他民族事务支出（项）:反映除上述项目以外其他用于民族事务方面的支出。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17.一般公共服务（类）党委办公厅（室）及相关机构事务（款） 行政运行（项）:反映行政单位（包括实行公务员管理的事业单位）的基本支出。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18.一般公共服务（类）宣传事务（款）其他宣传事务支出（项）:反映除上述项目以外其他用于中国共产党宣传部门的事务支出。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19.公共安全（类）其他公共安全支出（款）其他公共安全支出（项）:反映除上述项目以外其他用于公共安全方面的支出。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20.文化旅游体育与传媒（类）文化和旅游（款）群众文化（项）:反映群众文化方面的支出，包括基层文化馆（站）、群众艺术馆支出等。</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 xml:space="preserve">21.文化旅游体育与传媒（类）文化和旅游（款）其他文化和旅游支出（项）:反映除上述项目以外其他用于文化和旅游方面支出。  </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22.社会保障和就业（类）人力资源和社会保障管理事务（款）社会保险经办机构（项）:反映社会保险经办机构开展业务工作的支出。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23.社会保障和就业（类）人力资源和社会保障管理事务（款）其他人力资源和社会保障管理事务支出（项）:反映除上述项目以外其他用于人力资源和社会保障管理事务方面的支出。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24.社会保障和就业（类）行政事业单位养老支出（款）行政单位离退休（项）:反映行政单位（包括实行公务员管理的事业单位）开支的离退休经费。</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25.社会保障和就业（类）行政事业单位养老支出（款）事业单位离退休（项）:反映事业单位开支的离退休经费。</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26.社会保障和就业（类）行政事业单位养老支出（款）机关事业单位基本养老保险缴费支出（项）:反映机关事业单位实施养老保险制度由单位缴纳的基本养老保险费支出。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27.社会保障和就业（类）行政事业单位养老支出（款）机关事业单位职业年金缴费支出（项）:反映机关事业单位实施养老保险制度由单位实际缴纳的职业年金支出。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28.社会保障和就业（类）就业补助（款）其他就业补助支出（项）:反映除上述项目以外按规定确定的其他用于促进就业的补助支出。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29.社会保障和就业（类）抚恤（款）死亡抚恤（项）:反映按规定用于烈士和牺牲、病故人员家属的一次性和定期抚恤金、丧葬补助费以及烈士褒扬金。</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30.社会保障和就业（类）残疾人事业（款）其他残疾人事业支出（项）:反映除上述项目以外其他用于残疾人事业方面的支出。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31.社会保障和就业（类）特困人员救助供养（款）农村特困人员救助供养支出（项）:反映农村特困人员救助供养支出。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32.社会保障和就业（类）其他社会保障和就业支出（款）其他社会保障和就业支出（项）:反映除上述项目以外其他用于社会保障和就业方面的支出。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33.卫生健康（类）公共卫生（款）重大公共卫生服务（项）:反映重大疾病、重大传染病预防控制等重大公共卫生机构服务项目支出。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34.卫生健康（类）公共卫生（款）其他公共卫生支出（项）:其他公共卫生支出反映除上述项目以外的其他用于公共卫生方面的支出。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35.卫生健康（类）行政事业单位医疗（款）行政单位医疗（项）:反映财政部门安排的行政单位（包括实行公务员管理的事业单位，下同）基本医疗保险缴费经费，未参加医疗保险的行政单位的公费医疗经费，按国家规定享受离休人员、红军老战士待遇人员的医疗经费。</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36.卫生健康（类）行政事业单位医疗（款）事业单位医疗（项）:反映财政部门安排的事业单位基本医疗保险缴费经费，未参加医疗保险的事业单位的公费医疗经费，按国家规定享受离休人员的医疗经费。</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37.卫生健康（类）行政事业单位医疗（款）公务员医疗补助（项）:指反映财政部门安排的公务员医疗补助经费。</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38.卫生健康（类）行政事业单位医疗（款）其他行政事业单位医疗支出（项）:反映除上述项目以外的其他用于行政事业单位医疗方面的支出。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39.节能环保（类）自然生态保护（款）农村环境保护（项）:反映用于农村环境保护方面的支出。有关事项包括：农村环境综合整治，如生活垃圾、污水处理，农村饮用水源地监测与保护等；小城镇环境保护，如小城镇环境保护能力建设及环境基础设施建设，环境优美乡镇及生态村创建等；农用化学品（化肥、农药、农膜等）污染防治、畜禽养殖污染防治、土壤污染防治；农产品产地环境监测与监管，有机食品基地建设与管理，秸秆等农业废弃物综合利用；农村环境保护能力建设、宣教、试点示范等。</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40.城乡社区（类）城乡社区环境卫生（款）城乡社区环境卫生（项）:反映城乡社区道路清扫、垃圾清运与处理、公厕建设与维护、园林绿化等方面的支出。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41.农林水（类）农业农村（款）事业运行（项）:反映用于农业事业单位基本支出，事业单位设施、系统运行与资产维护等方面的支出。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42.农林水（类）农业农村（款）病虫害控制（项）:反映用于病虫鼠害及疫情监测、预报、预防、控制、检疫、防疫所需的仪器、设施、药物、疫苗、种苗，疫畜（禽、鱼、植物）防治、扑杀补偿及劳务补助、菌（毒）种保藏及动植物及其产品检疫、检测等方面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43.农林水（类）农业农村（款）防灾救灾（项）:反映对农业生产因遭受自然、生物灾害损失给予的补助，促进农业防灾增产措施补助，海难救助补助，因其他灾害导致农牧渔业生产者损失给予的补助。</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44.农林水（类）农业农村（款）对高校毕业生到基层任职补助（项）:反映按规定对高校毕业生到基层任职的补助支出。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45.农林水（类）林业和草原（款）其他林业和草原支出（项）:反映除上述项目以外其他用于林业和草原方面的支出。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46.农林水（类）农村综合改革（款）对村级公益事业建设的补助（项）:反映农村税费改革后对村级公益事业建设的补助支出。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47.农林水（类）农村综合改革（款）对村民委员会和村党支部的补助（项）:反映各级财政对村民委员会和村党支部的补助支出，以及支持建立县级基本财力保障机制安排的村级组织运转奖补资金。</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48.农林水（类）农村综合改革（款）对村集体经济组织的补助（项）:反映农村税费改革后对村集体经济组织的补助支出。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49.农林水（类）其他农林水支出（款）其他农林水支出（项）:反映除化解债务支出以外其他用于农林水方面的支出。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50.交通运输（类）公路水路运输（款）公路养护（项）:反映公路养护支出。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51.交通运输（类）公路水路运输（款）公路和运输安全（项）:反映公路和运输安全支出。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52.住房保障（类）保障性安居工程支出（款）棚户区改造（项）:反映用于棚户区改造方面的支出。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53.住房保障（类）住房改革支出（款）住房公积金（项）:反映行政事业单位按人力资源和社会保障部、财政部规定的基本工资和津补贴以及规定比例为职工缴纳的住房公积金。</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54.灾害防治及应急管理（类）应急管理事务（款）安全监管（项）:反映安全生产综合监督管理和工贸行业安全生产监督管理等方面的支出。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55.灾害防治及应急管理（类）自然灾害防治（款）其他自然灾害防治支出（项）:反映除上述项目以外其他用于灾害防治及应急管理的支出。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56.其他（类）其他支出（款）其他支出（项）:反映除上述项目以外其他不能划分到具体功能科目中的支出项目。</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57.基本支出：指为保障机构正常运转、完成日常工作任务而发生的人员支出和公用支出。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58.项目支出：指在基本支出之外为完成特定行政任务和事业发展目标所发生的支出。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59.经营支出：指事业单位在专业业务活动及其辅助活动之外开展非独立核算经营活动发生的支出。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60.“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61.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ageBreakBefore w:val="0"/>
        <w:kinsoku/>
        <w:wordWrap/>
        <w:overflowPunct/>
        <w:topLinePunct w:val="0"/>
        <w:bidi w:val="0"/>
        <w:spacing w:line="560" w:lineRule="exact"/>
        <w:jc w:val="center"/>
        <w:textAlignment w:val="auto"/>
        <w:outlineLvl w:val="0"/>
        <w:rPr>
          <w:rStyle w:val="27"/>
          <w:rFonts w:ascii="黑体" w:hAnsi="黑体" w:eastAsia="黑体"/>
          <w:b w:val="0"/>
          <w:color w:val="auto"/>
          <w:highlight w:val="none"/>
        </w:rPr>
      </w:pPr>
      <w:bookmarkStart w:id="50" w:name="_Toc15377226"/>
      <w:r>
        <w:rPr>
          <w:rFonts w:ascii="宋体"/>
          <w:b/>
          <w:sz w:val="44"/>
          <w:szCs w:val="44"/>
        </w:rPr>
        <w:br w:type="page"/>
      </w:r>
      <w:r>
        <w:rPr>
          <w:rStyle w:val="27"/>
          <w:rFonts w:ascii="黑体" w:hAnsi="黑体" w:eastAsia="黑体"/>
          <w:b w:val="0"/>
          <w:color w:val="auto"/>
          <w:highlight w:val="none"/>
        </w:rPr>
        <w:t xml:space="preserve"> </w:t>
      </w:r>
      <w:r>
        <w:rPr>
          <w:rFonts w:hint="eastAsia" w:ascii="黑体" w:hAnsi="黑体" w:eastAsia="黑体"/>
          <w:color w:val="auto"/>
          <w:sz w:val="44"/>
          <w:szCs w:val="44"/>
          <w:highlight w:val="none"/>
        </w:rPr>
        <w:t>第</w:t>
      </w:r>
      <w:r>
        <w:rPr>
          <w:rStyle w:val="27"/>
          <w:rFonts w:hint="eastAsia" w:ascii="黑体" w:hAnsi="黑体" w:eastAsia="黑体"/>
          <w:color w:val="auto"/>
          <w:highlight w:val="none"/>
        </w:rPr>
        <w:t>四部分 附件</w:t>
      </w:r>
    </w:p>
    <w:p>
      <w:pPr>
        <w:pStyle w:val="14"/>
        <w:pageBreakBefore w:val="0"/>
        <w:kinsoku/>
        <w:wordWrap/>
        <w:overflowPunct/>
        <w:topLinePunct w:val="0"/>
        <w:bidi w:val="0"/>
        <w:spacing w:line="560" w:lineRule="exact"/>
        <w:ind w:left="0" w:leftChars="0" w:firstLine="640"/>
        <w:textAlignment w:val="auto"/>
        <w:rPr>
          <w:rFonts w:ascii="仿宋_GB2312" w:hAnsi="仿宋_GB2312" w:eastAsia="仿宋_GB2312" w:cs="仿宋_GB2312"/>
          <w:color w:val="auto"/>
          <w:sz w:val="32"/>
          <w:szCs w:val="32"/>
          <w:highlight w:val="none"/>
        </w:rPr>
      </w:pPr>
    </w:p>
    <w:p>
      <w:pPr>
        <w:pStyle w:val="25"/>
        <w:pageBreakBefore w:val="0"/>
        <w:kinsoku/>
        <w:wordWrap/>
        <w:overflowPunct/>
        <w:topLinePunct w:val="0"/>
        <w:bidi w:val="0"/>
        <w:spacing w:line="560" w:lineRule="exact"/>
        <w:ind w:firstLine="640" w:firstLineChars="200"/>
        <w:textAlignment w:val="auto"/>
        <w:rPr>
          <w:rFonts w:hint="eastAsia" w:ascii="方正仿宋_GBK" w:hAnsi="方正仿宋_GBK" w:eastAsia="方正仿宋_GBK" w:cs="方正仿宋_GBK"/>
          <w:color w:val="auto"/>
          <w:kern w:val="2"/>
          <w:sz w:val="32"/>
          <w:szCs w:val="32"/>
          <w:lang w:val="zh-CN" w:eastAsia="zh-CN" w:bidi="ar-SA"/>
        </w:rPr>
      </w:pPr>
      <w:r>
        <w:rPr>
          <w:rFonts w:hint="eastAsia" w:ascii="方正仿宋_GBK" w:hAnsi="方正仿宋_GBK" w:eastAsia="方正仿宋_GBK" w:cs="方正仿宋_GBK"/>
          <w:color w:val="auto"/>
          <w:kern w:val="2"/>
          <w:sz w:val="32"/>
          <w:szCs w:val="32"/>
          <w:lang w:val="en-US" w:eastAsia="zh-CN" w:bidi="ar-SA"/>
        </w:rPr>
        <w:t>部门预算项目支出绩效自评表（2022年度）见附件</w:t>
      </w:r>
    </w:p>
    <w:p>
      <w:pPr>
        <w:pStyle w:val="14"/>
        <w:pageBreakBefore w:val="0"/>
        <w:kinsoku/>
        <w:wordWrap/>
        <w:overflowPunct/>
        <w:topLinePunct w:val="0"/>
        <w:bidi w:val="0"/>
        <w:spacing w:line="560" w:lineRule="exact"/>
        <w:ind w:left="0" w:leftChars="0" w:firstLine="0" w:firstLineChars="0"/>
        <w:textAlignment w:val="auto"/>
        <w:rPr>
          <w:color w:val="000000" w:themeColor="text1"/>
          <w:sz w:val="32"/>
          <w:lang w:val="zh-CN"/>
        </w:rPr>
      </w:pPr>
    </w:p>
    <w:p>
      <w:pPr>
        <w:pStyle w:val="6"/>
        <w:pageBreakBefore w:val="0"/>
        <w:kinsoku/>
        <w:wordWrap/>
        <w:overflowPunct/>
        <w:topLinePunct w:val="0"/>
        <w:bidi w:val="0"/>
        <w:spacing w:before="93" w:line="560" w:lineRule="exact"/>
        <w:textAlignment w:val="auto"/>
        <w:rPr>
          <w:rFonts w:hAnsi="宋体" w:cs="宋体"/>
          <w:sz w:val="32"/>
          <w:szCs w:val="32"/>
          <w:shd w:val="clear" w:color="auto" w:fill="FFFFFF"/>
          <w:lang w:val="zh-CN"/>
        </w:rPr>
      </w:pPr>
    </w:p>
    <w:p>
      <w:pPr>
        <w:pageBreakBefore w:val="0"/>
        <w:kinsoku/>
        <w:wordWrap/>
        <w:overflowPunct/>
        <w:topLinePunct w:val="0"/>
        <w:bidi w:val="0"/>
        <w:spacing w:line="560" w:lineRule="exact"/>
        <w:jc w:val="left"/>
        <w:textAlignment w:val="auto"/>
        <w:outlineLvl w:val="0"/>
        <w:rPr>
          <w:rFonts w:ascii="仿宋_GB2312" w:hAnsi="仿宋_GB2312" w:eastAsia="仿宋_GB2312" w:cs="仿宋_GB2312"/>
          <w:sz w:val="32"/>
          <w:szCs w:val="32"/>
        </w:rPr>
      </w:pPr>
    </w:p>
    <w:p>
      <w:pPr>
        <w:pStyle w:val="6"/>
        <w:pageBreakBefore w:val="0"/>
        <w:kinsoku/>
        <w:wordWrap/>
        <w:overflowPunct/>
        <w:topLinePunct w:val="0"/>
        <w:bidi w:val="0"/>
        <w:spacing w:before="93" w:line="560" w:lineRule="exact"/>
        <w:textAlignment w:val="auto"/>
        <w:rPr>
          <w:rFonts w:hAnsi="Calibri" w:cs="仿宋"/>
          <w:sz w:val="32"/>
          <w:szCs w:val="32"/>
        </w:rPr>
      </w:pPr>
      <w:bookmarkStart w:id="51" w:name="_Toc15396618"/>
    </w:p>
    <w:p>
      <w:pPr>
        <w:pStyle w:val="6"/>
        <w:pageBreakBefore w:val="0"/>
        <w:kinsoku/>
        <w:wordWrap/>
        <w:overflowPunct/>
        <w:topLinePunct w:val="0"/>
        <w:bidi w:val="0"/>
        <w:spacing w:before="93" w:line="560" w:lineRule="exact"/>
        <w:textAlignment w:val="auto"/>
        <w:rPr>
          <w:rFonts w:hAnsi="Calibri" w:cs="仿宋"/>
          <w:sz w:val="32"/>
          <w:szCs w:val="32"/>
        </w:rPr>
      </w:pPr>
    </w:p>
    <w:p>
      <w:pPr>
        <w:pStyle w:val="6"/>
        <w:pageBreakBefore w:val="0"/>
        <w:kinsoku/>
        <w:wordWrap/>
        <w:overflowPunct/>
        <w:topLinePunct w:val="0"/>
        <w:bidi w:val="0"/>
        <w:spacing w:before="93" w:line="560" w:lineRule="exact"/>
        <w:textAlignment w:val="auto"/>
        <w:rPr>
          <w:rFonts w:hAnsi="Calibri" w:cs="仿宋"/>
          <w:sz w:val="32"/>
          <w:szCs w:val="32"/>
        </w:rPr>
      </w:pPr>
    </w:p>
    <w:p>
      <w:pPr>
        <w:pStyle w:val="6"/>
        <w:pageBreakBefore w:val="0"/>
        <w:kinsoku/>
        <w:wordWrap/>
        <w:overflowPunct/>
        <w:topLinePunct w:val="0"/>
        <w:bidi w:val="0"/>
        <w:spacing w:before="93" w:line="560" w:lineRule="exact"/>
        <w:textAlignment w:val="auto"/>
        <w:rPr>
          <w:rFonts w:hAnsi="Calibri" w:cs="仿宋"/>
          <w:sz w:val="32"/>
          <w:szCs w:val="32"/>
        </w:rPr>
      </w:pPr>
    </w:p>
    <w:p>
      <w:pPr>
        <w:pStyle w:val="6"/>
        <w:pageBreakBefore w:val="0"/>
        <w:kinsoku/>
        <w:wordWrap/>
        <w:overflowPunct/>
        <w:topLinePunct w:val="0"/>
        <w:bidi w:val="0"/>
        <w:spacing w:before="93" w:line="560" w:lineRule="exact"/>
        <w:textAlignment w:val="auto"/>
        <w:rPr>
          <w:rFonts w:hAnsi="Calibri" w:cs="仿宋"/>
          <w:sz w:val="32"/>
          <w:szCs w:val="32"/>
        </w:rPr>
      </w:pPr>
    </w:p>
    <w:p>
      <w:pPr>
        <w:pStyle w:val="6"/>
        <w:pageBreakBefore w:val="0"/>
        <w:kinsoku/>
        <w:wordWrap/>
        <w:overflowPunct/>
        <w:topLinePunct w:val="0"/>
        <w:bidi w:val="0"/>
        <w:spacing w:before="93" w:line="560" w:lineRule="exact"/>
        <w:textAlignment w:val="auto"/>
        <w:rPr>
          <w:rFonts w:hAnsi="Calibri" w:cs="仿宋"/>
          <w:sz w:val="32"/>
          <w:szCs w:val="32"/>
        </w:rPr>
      </w:pPr>
    </w:p>
    <w:p>
      <w:pPr>
        <w:pageBreakBefore w:val="0"/>
        <w:kinsoku/>
        <w:wordWrap/>
        <w:overflowPunct/>
        <w:topLinePunct w:val="0"/>
        <w:bidi w:val="0"/>
        <w:spacing w:line="560" w:lineRule="exact"/>
        <w:jc w:val="center"/>
        <w:textAlignment w:val="auto"/>
        <w:outlineLvl w:val="0"/>
        <w:rPr>
          <w:rFonts w:ascii="黑体" w:hAnsi="黑体" w:eastAsia="黑体"/>
          <w:sz w:val="44"/>
          <w:szCs w:val="44"/>
        </w:rPr>
      </w:pPr>
    </w:p>
    <w:p>
      <w:pPr>
        <w:pageBreakBefore w:val="0"/>
        <w:kinsoku/>
        <w:wordWrap/>
        <w:overflowPunct/>
        <w:topLinePunct w:val="0"/>
        <w:bidi w:val="0"/>
        <w:spacing w:line="560" w:lineRule="exact"/>
        <w:jc w:val="center"/>
        <w:textAlignment w:val="auto"/>
        <w:outlineLvl w:val="0"/>
        <w:rPr>
          <w:rFonts w:ascii="黑体" w:hAnsi="黑体" w:eastAsia="黑体"/>
          <w:sz w:val="44"/>
          <w:szCs w:val="44"/>
        </w:rPr>
      </w:pPr>
    </w:p>
    <w:p>
      <w:pPr>
        <w:pageBreakBefore w:val="0"/>
        <w:kinsoku/>
        <w:wordWrap/>
        <w:overflowPunct/>
        <w:topLinePunct w:val="0"/>
        <w:bidi w:val="0"/>
        <w:spacing w:line="560" w:lineRule="exact"/>
        <w:jc w:val="center"/>
        <w:textAlignment w:val="auto"/>
        <w:outlineLvl w:val="0"/>
        <w:rPr>
          <w:rFonts w:ascii="黑体" w:hAnsi="黑体" w:eastAsia="黑体"/>
          <w:sz w:val="44"/>
          <w:szCs w:val="44"/>
        </w:rPr>
      </w:pPr>
    </w:p>
    <w:p>
      <w:pPr>
        <w:pageBreakBefore w:val="0"/>
        <w:kinsoku/>
        <w:wordWrap/>
        <w:overflowPunct/>
        <w:topLinePunct w:val="0"/>
        <w:bidi w:val="0"/>
        <w:spacing w:line="560" w:lineRule="exact"/>
        <w:jc w:val="center"/>
        <w:textAlignment w:val="auto"/>
        <w:outlineLvl w:val="0"/>
        <w:rPr>
          <w:rFonts w:ascii="黑体" w:hAnsi="黑体" w:eastAsia="黑体"/>
          <w:sz w:val="44"/>
          <w:szCs w:val="44"/>
        </w:rPr>
      </w:pPr>
    </w:p>
    <w:p>
      <w:pPr>
        <w:pageBreakBefore w:val="0"/>
        <w:kinsoku/>
        <w:wordWrap/>
        <w:overflowPunct/>
        <w:topLinePunct w:val="0"/>
        <w:bidi w:val="0"/>
        <w:spacing w:line="560" w:lineRule="exact"/>
        <w:jc w:val="center"/>
        <w:textAlignment w:val="auto"/>
        <w:outlineLvl w:val="0"/>
        <w:rPr>
          <w:rFonts w:hint="eastAsia" w:ascii="黑体" w:hAnsi="黑体" w:eastAsia="黑体"/>
          <w:sz w:val="44"/>
          <w:szCs w:val="44"/>
        </w:rPr>
      </w:pPr>
    </w:p>
    <w:p>
      <w:pPr>
        <w:pageBreakBefore w:val="0"/>
        <w:kinsoku/>
        <w:wordWrap/>
        <w:overflowPunct/>
        <w:topLinePunct w:val="0"/>
        <w:bidi w:val="0"/>
        <w:spacing w:line="560" w:lineRule="exact"/>
        <w:jc w:val="center"/>
        <w:textAlignment w:val="auto"/>
        <w:outlineLvl w:val="0"/>
        <w:rPr>
          <w:rFonts w:hint="eastAsia" w:ascii="黑体" w:hAnsi="黑体" w:eastAsia="黑体"/>
          <w:sz w:val="44"/>
          <w:szCs w:val="44"/>
        </w:rPr>
      </w:pPr>
    </w:p>
    <w:p>
      <w:pPr>
        <w:pageBreakBefore w:val="0"/>
        <w:kinsoku/>
        <w:wordWrap/>
        <w:overflowPunct/>
        <w:topLinePunct w:val="0"/>
        <w:bidi w:val="0"/>
        <w:spacing w:line="560" w:lineRule="exact"/>
        <w:jc w:val="center"/>
        <w:textAlignment w:val="auto"/>
        <w:outlineLvl w:val="0"/>
        <w:rPr>
          <w:rFonts w:hint="eastAsia" w:ascii="黑体" w:hAnsi="黑体" w:eastAsia="黑体"/>
          <w:sz w:val="44"/>
          <w:szCs w:val="44"/>
        </w:rPr>
      </w:pPr>
    </w:p>
    <w:p>
      <w:pPr>
        <w:pageBreakBefore w:val="0"/>
        <w:kinsoku/>
        <w:wordWrap/>
        <w:overflowPunct/>
        <w:topLinePunct w:val="0"/>
        <w:bidi w:val="0"/>
        <w:spacing w:line="560" w:lineRule="exact"/>
        <w:jc w:val="center"/>
        <w:textAlignment w:val="auto"/>
        <w:outlineLvl w:val="0"/>
        <w:rPr>
          <w:rFonts w:hint="eastAsia" w:ascii="黑体" w:hAnsi="黑体" w:eastAsia="黑体"/>
          <w:sz w:val="44"/>
          <w:szCs w:val="44"/>
        </w:rPr>
      </w:pPr>
    </w:p>
    <w:p>
      <w:pPr>
        <w:pageBreakBefore w:val="0"/>
        <w:kinsoku/>
        <w:wordWrap/>
        <w:overflowPunct/>
        <w:topLinePunct w:val="0"/>
        <w:bidi w:val="0"/>
        <w:spacing w:line="560" w:lineRule="exact"/>
        <w:jc w:val="center"/>
        <w:textAlignment w:val="auto"/>
        <w:outlineLvl w:val="0"/>
        <w:rPr>
          <w:rFonts w:hint="eastAsia" w:ascii="黑体" w:hAnsi="黑体" w:eastAsia="黑体"/>
          <w:sz w:val="44"/>
          <w:szCs w:val="44"/>
        </w:rPr>
      </w:pPr>
    </w:p>
    <w:p>
      <w:pPr>
        <w:pageBreakBefore w:val="0"/>
        <w:kinsoku/>
        <w:wordWrap/>
        <w:overflowPunct/>
        <w:topLinePunct w:val="0"/>
        <w:bidi w:val="0"/>
        <w:spacing w:line="560" w:lineRule="exact"/>
        <w:jc w:val="center"/>
        <w:textAlignment w:val="auto"/>
        <w:outlineLvl w:val="0"/>
        <w:rPr>
          <w:rFonts w:hint="eastAsia" w:ascii="黑体" w:hAnsi="黑体" w:eastAsia="黑体"/>
          <w:sz w:val="44"/>
          <w:szCs w:val="44"/>
        </w:rPr>
      </w:pPr>
    </w:p>
    <w:p>
      <w:pPr>
        <w:pageBreakBefore w:val="0"/>
        <w:kinsoku/>
        <w:wordWrap/>
        <w:overflowPunct/>
        <w:topLinePunct w:val="0"/>
        <w:bidi w:val="0"/>
        <w:spacing w:line="560" w:lineRule="exact"/>
        <w:jc w:val="center"/>
        <w:textAlignment w:val="auto"/>
        <w:outlineLvl w:val="0"/>
        <w:rPr>
          <w:rFonts w:hint="eastAsia" w:ascii="黑体" w:hAnsi="黑体" w:eastAsia="黑体"/>
          <w:sz w:val="44"/>
          <w:szCs w:val="44"/>
        </w:rPr>
      </w:pPr>
    </w:p>
    <w:p>
      <w:pPr>
        <w:pageBreakBefore w:val="0"/>
        <w:kinsoku/>
        <w:wordWrap/>
        <w:overflowPunct/>
        <w:topLinePunct w:val="0"/>
        <w:bidi w:val="0"/>
        <w:spacing w:line="560" w:lineRule="exact"/>
        <w:jc w:val="center"/>
        <w:textAlignment w:val="auto"/>
        <w:outlineLvl w:val="0"/>
        <w:rPr>
          <w:rFonts w:ascii="仿宋" w:hAnsi="仿宋" w:eastAsia="仿宋"/>
        </w:rPr>
      </w:pPr>
      <w:r>
        <w:rPr>
          <w:rFonts w:hint="eastAsia" w:ascii="黑体" w:hAnsi="黑体" w:eastAsia="黑体"/>
          <w:sz w:val="44"/>
          <w:szCs w:val="44"/>
        </w:rPr>
        <w:t>第</w:t>
      </w:r>
      <w:r>
        <w:rPr>
          <w:rStyle w:val="27"/>
          <w:rFonts w:hint="eastAsia" w:ascii="黑体" w:hAnsi="黑体" w:eastAsia="黑体"/>
          <w:b w:val="0"/>
        </w:rPr>
        <w:t>五部分 附表</w:t>
      </w:r>
      <w:bookmarkEnd w:id="50"/>
      <w:bookmarkEnd w:id="51"/>
      <w:bookmarkStart w:id="52" w:name="_Toc15396619"/>
    </w:p>
    <w:p>
      <w:pPr>
        <w:pStyle w:val="2"/>
        <w:pageBreakBefore w:val="0"/>
        <w:kinsoku/>
        <w:wordWrap/>
        <w:overflowPunct/>
        <w:topLinePunct w:val="0"/>
        <w:bidi w:val="0"/>
        <w:spacing w:line="560" w:lineRule="exact"/>
        <w:textAlignment w:val="auto"/>
        <w:rPr>
          <w:rFonts w:ascii="仿宋" w:hAnsi="仿宋" w:eastAsia="仿宋"/>
        </w:rPr>
      </w:pPr>
      <w:r>
        <w:rPr>
          <w:rFonts w:hint="eastAsia" w:ascii="仿宋" w:hAnsi="仿宋" w:eastAsia="仿宋"/>
          <w:b w:val="0"/>
        </w:rPr>
        <w:t>一、收</w:t>
      </w:r>
      <w:r>
        <w:rPr>
          <w:rStyle w:val="28"/>
          <w:rFonts w:hint="eastAsia" w:ascii="仿宋" w:hAnsi="仿宋" w:eastAsia="仿宋"/>
          <w:b w:val="0"/>
          <w:bCs w:val="0"/>
        </w:rPr>
        <w:t>入支出决算总表</w:t>
      </w:r>
      <w:bookmarkEnd w:id="52"/>
    </w:p>
    <w:p>
      <w:pPr>
        <w:pStyle w:val="2"/>
        <w:pageBreakBefore w:val="0"/>
        <w:kinsoku/>
        <w:wordWrap/>
        <w:overflowPunct/>
        <w:topLinePunct w:val="0"/>
        <w:bidi w:val="0"/>
        <w:spacing w:line="560" w:lineRule="exact"/>
        <w:textAlignment w:val="auto"/>
        <w:rPr>
          <w:rFonts w:ascii="仿宋" w:hAnsi="仿宋" w:eastAsia="仿宋"/>
        </w:rPr>
      </w:pPr>
      <w:bookmarkStart w:id="53" w:name="_Toc15396620"/>
      <w:r>
        <w:rPr>
          <w:rFonts w:hint="eastAsia" w:ascii="仿宋" w:hAnsi="仿宋" w:eastAsia="仿宋"/>
          <w:b w:val="0"/>
        </w:rPr>
        <w:t>二、收</w:t>
      </w:r>
      <w:r>
        <w:rPr>
          <w:rStyle w:val="28"/>
          <w:rFonts w:hint="eastAsia" w:ascii="仿宋" w:hAnsi="仿宋" w:eastAsia="仿宋"/>
          <w:b w:val="0"/>
          <w:bCs w:val="0"/>
        </w:rPr>
        <w:t>入决算表</w:t>
      </w:r>
      <w:bookmarkEnd w:id="53"/>
    </w:p>
    <w:p>
      <w:pPr>
        <w:pStyle w:val="2"/>
        <w:pageBreakBefore w:val="0"/>
        <w:kinsoku/>
        <w:wordWrap/>
        <w:overflowPunct/>
        <w:topLinePunct w:val="0"/>
        <w:bidi w:val="0"/>
        <w:spacing w:line="560" w:lineRule="exact"/>
        <w:textAlignment w:val="auto"/>
        <w:rPr>
          <w:rFonts w:ascii="仿宋" w:hAnsi="仿宋" w:eastAsia="仿宋"/>
        </w:rPr>
      </w:pPr>
      <w:bookmarkStart w:id="54" w:name="_Toc15396621"/>
      <w:r>
        <w:rPr>
          <w:rStyle w:val="28"/>
          <w:rFonts w:hint="eastAsia" w:ascii="仿宋" w:hAnsi="仿宋" w:eastAsia="仿宋"/>
          <w:b w:val="0"/>
          <w:bCs w:val="0"/>
        </w:rPr>
        <w:t>三、</w:t>
      </w:r>
      <w:r>
        <w:rPr>
          <w:rFonts w:hint="eastAsia" w:ascii="仿宋" w:hAnsi="仿宋" w:eastAsia="仿宋"/>
          <w:b w:val="0"/>
        </w:rPr>
        <w:t>支</w:t>
      </w:r>
      <w:r>
        <w:rPr>
          <w:rStyle w:val="28"/>
          <w:rFonts w:hint="eastAsia" w:ascii="仿宋" w:hAnsi="仿宋" w:eastAsia="仿宋"/>
          <w:b w:val="0"/>
          <w:bCs w:val="0"/>
        </w:rPr>
        <w:t>出决算表</w:t>
      </w:r>
      <w:bookmarkEnd w:id="54"/>
    </w:p>
    <w:p>
      <w:pPr>
        <w:pStyle w:val="2"/>
        <w:pageBreakBefore w:val="0"/>
        <w:kinsoku/>
        <w:wordWrap/>
        <w:overflowPunct/>
        <w:topLinePunct w:val="0"/>
        <w:bidi w:val="0"/>
        <w:spacing w:line="560" w:lineRule="exact"/>
        <w:textAlignment w:val="auto"/>
        <w:rPr>
          <w:rFonts w:ascii="仿宋" w:hAnsi="仿宋" w:eastAsia="仿宋"/>
          <w:b w:val="0"/>
        </w:rPr>
      </w:pPr>
      <w:bookmarkStart w:id="55" w:name="_Toc15396622"/>
      <w:r>
        <w:rPr>
          <w:rStyle w:val="28"/>
          <w:rFonts w:hint="eastAsia" w:ascii="仿宋" w:hAnsi="仿宋" w:eastAsia="仿宋"/>
          <w:b w:val="0"/>
          <w:bCs w:val="0"/>
        </w:rPr>
        <w:t>四、</w:t>
      </w:r>
      <w:r>
        <w:rPr>
          <w:rFonts w:hint="eastAsia" w:ascii="仿宋" w:hAnsi="仿宋" w:eastAsia="仿宋"/>
          <w:b w:val="0"/>
        </w:rPr>
        <w:t>财</w:t>
      </w:r>
      <w:r>
        <w:rPr>
          <w:rStyle w:val="28"/>
          <w:rFonts w:hint="eastAsia" w:ascii="仿宋" w:hAnsi="仿宋" w:eastAsia="仿宋"/>
          <w:b w:val="0"/>
          <w:bCs w:val="0"/>
        </w:rPr>
        <w:t>政拨款收入支出决算总表</w:t>
      </w:r>
      <w:bookmarkEnd w:id="55"/>
    </w:p>
    <w:p>
      <w:pPr>
        <w:pStyle w:val="2"/>
        <w:pageBreakBefore w:val="0"/>
        <w:kinsoku/>
        <w:wordWrap/>
        <w:overflowPunct/>
        <w:topLinePunct w:val="0"/>
        <w:bidi w:val="0"/>
        <w:spacing w:line="560" w:lineRule="exact"/>
        <w:textAlignment w:val="auto"/>
        <w:rPr>
          <w:rStyle w:val="28"/>
          <w:rFonts w:ascii="仿宋" w:hAnsi="仿宋" w:eastAsia="仿宋"/>
          <w:b w:val="0"/>
          <w:bCs w:val="0"/>
        </w:rPr>
      </w:pPr>
      <w:bookmarkStart w:id="56" w:name="_Toc15396623"/>
      <w:r>
        <w:rPr>
          <w:rStyle w:val="28"/>
          <w:rFonts w:hint="eastAsia" w:ascii="仿宋" w:hAnsi="仿宋" w:eastAsia="仿宋"/>
          <w:b w:val="0"/>
          <w:bCs w:val="0"/>
        </w:rPr>
        <w:t>五、</w:t>
      </w:r>
      <w:r>
        <w:rPr>
          <w:rFonts w:hint="eastAsia" w:ascii="仿宋" w:hAnsi="仿宋" w:eastAsia="仿宋"/>
          <w:b w:val="0"/>
        </w:rPr>
        <w:t>财</w:t>
      </w:r>
      <w:r>
        <w:rPr>
          <w:rStyle w:val="28"/>
          <w:rFonts w:hint="eastAsia" w:ascii="仿宋" w:hAnsi="仿宋" w:eastAsia="仿宋"/>
          <w:b w:val="0"/>
          <w:bCs w:val="0"/>
        </w:rPr>
        <w:t>政拨款支出决算明细表</w:t>
      </w:r>
      <w:bookmarkEnd w:id="56"/>
      <w:bookmarkStart w:id="57" w:name="_Toc15396624"/>
    </w:p>
    <w:p>
      <w:pPr>
        <w:pStyle w:val="2"/>
        <w:pageBreakBefore w:val="0"/>
        <w:kinsoku/>
        <w:wordWrap/>
        <w:overflowPunct/>
        <w:topLinePunct w:val="0"/>
        <w:bidi w:val="0"/>
        <w:spacing w:line="560" w:lineRule="exact"/>
        <w:textAlignment w:val="auto"/>
        <w:rPr>
          <w:rFonts w:ascii="仿宋" w:hAnsi="仿宋" w:eastAsia="仿宋"/>
        </w:rPr>
      </w:pPr>
      <w:r>
        <w:rPr>
          <w:rStyle w:val="28"/>
          <w:rFonts w:hint="eastAsia" w:ascii="仿宋" w:hAnsi="仿宋" w:eastAsia="仿宋"/>
          <w:b w:val="0"/>
          <w:bCs w:val="0"/>
        </w:rPr>
        <w:t>六、</w:t>
      </w:r>
      <w:r>
        <w:rPr>
          <w:rFonts w:hint="eastAsia" w:ascii="仿宋" w:hAnsi="仿宋" w:eastAsia="仿宋"/>
          <w:b w:val="0"/>
        </w:rPr>
        <w:t>一</w:t>
      </w:r>
      <w:r>
        <w:rPr>
          <w:rStyle w:val="28"/>
          <w:rFonts w:hint="eastAsia" w:ascii="仿宋" w:hAnsi="仿宋" w:eastAsia="仿宋"/>
          <w:b w:val="0"/>
          <w:bCs w:val="0"/>
        </w:rPr>
        <w:t>般公共预算财政拨款支出决算表</w:t>
      </w:r>
      <w:bookmarkEnd w:id="57"/>
    </w:p>
    <w:p>
      <w:pPr>
        <w:pStyle w:val="2"/>
        <w:pageBreakBefore w:val="0"/>
        <w:kinsoku/>
        <w:wordWrap/>
        <w:overflowPunct/>
        <w:topLinePunct w:val="0"/>
        <w:bidi w:val="0"/>
        <w:spacing w:line="560" w:lineRule="exact"/>
        <w:textAlignment w:val="auto"/>
        <w:rPr>
          <w:rFonts w:ascii="仿宋" w:hAnsi="仿宋" w:eastAsia="仿宋"/>
        </w:rPr>
      </w:pPr>
      <w:bookmarkStart w:id="58" w:name="_Toc15396625"/>
      <w:r>
        <w:rPr>
          <w:rStyle w:val="28"/>
          <w:rFonts w:hint="eastAsia" w:ascii="仿宋" w:hAnsi="仿宋" w:eastAsia="仿宋"/>
          <w:b w:val="0"/>
          <w:bCs w:val="0"/>
        </w:rPr>
        <w:t>七、</w:t>
      </w:r>
      <w:r>
        <w:rPr>
          <w:rFonts w:hint="eastAsia" w:ascii="仿宋" w:hAnsi="仿宋" w:eastAsia="仿宋"/>
          <w:b w:val="0"/>
        </w:rPr>
        <w:t>一</w:t>
      </w:r>
      <w:r>
        <w:rPr>
          <w:rStyle w:val="28"/>
          <w:rFonts w:hint="eastAsia" w:ascii="仿宋" w:hAnsi="仿宋" w:eastAsia="仿宋"/>
          <w:b w:val="0"/>
          <w:bCs w:val="0"/>
        </w:rPr>
        <w:t>般公共预算财政拨款支出决算明细表</w:t>
      </w:r>
      <w:bookmarkEnd w:id="58"/>
    </w:p>
    <w:p>
      <w:pPr>
        <w:pStyle w:val="2"/>
        <w:pageBreakBefore w:val="0"/>
        <w:kinsoku/>
        <w:wordWrap/>
        <w:overflowPunct/>
        <w:topLinePunct w:val="0"/>
        <w:bidi w:val="0"/>
        <w:spacing w:line="560" w:lineRule="exact"/>
        <w:textAlignment w:val="auto"/>
        <w:rPr>
          <w:rFonts w:ascii="仿宋" w:hAnsi="仿宋" w:eastAsia="仿宋"/>
        </w:rPr>
      </w:pPr>
      <w:bookmarkStart w:id="59" w:name="_Toc15396626"/>
      <w:r>
        <w:rPr>
          <w:rStyle w:val="28"/>
          <w:rFonts w:hint="eastAsia" w:ascii="仿宋" w:hAnsi="仿宋" w:eastAsia="仿宋"/>
          <w:b w:val="0"/>
          <w:bCs w:val="0"/>
        </w:rPr>
        <w:t>八、</w:t>
      </w:r>
      <w:r>
        <w:rPr>
          <w:rFonts w:hint="eastAsia" w:ascii="仿宋" w:hAnsi="仿宋" w:eastAsia="仿宋"/>
          <w:b w:val="0"/>
        </w:rPr>
        <w:t>一</w:t>
      </w:r>
      <w:r>
        <w:rPr>
          <w:rStyle w:val="28"/>
          <w:rFonts w:hint="eastAsia" w:ascii="仿宋" w:hAnsi="仿宋" w:eastAsia="仿宋"/>
          <w:b w:val="0"/>
          <w:bCs w:val="0"/>
        </w:rPr>
        <w:t>般公共预算财政拨款基本支出决算表</w:t>
      </w:r>
      <w:bookmarkEnd w:id="59"/>
    </w:p>
    <w:p>
      <w:pPr>
        <w:pStyle w:val="2"/>
        <w:pageBreakBefore w:val="0"/>
        <w:kinsoku/>
        <w:wordWrap/>
        <w:overflowPunct/>
        <w:topLinePunct w:val="0"/>
        <w:bidi w:val="0"/>
        <w:spacing w:line="560" w:lineRule="exact"/>
        <w:textAlignment w:val="auto"/>
        <w:rPr>
          <w:rFonts w:ascii="仿宋" w:hAnsi="仿宋" w:eastAsia="仿宋"/>
        </w:rPr>
      </w:pPr>
      <w:bookmarkStart w:id="60" w:name="_Toc15396627"/>
      <w:r>
        <w:rPr>
          <w:rStyle w:val="28"/>
          <w:rFonts w:hint="eastAsia" w:ascii="仿宋" w:hAnsi="仿宋" w:eastAsia="仿宋"/>
          <w:b w:val="0"/>
          <w:bCs w:val="0"/>
        </w:rPr>
        <w:t>九、</w:t>
      </w:r>
      <w:r>
        <w:rPr>
          <w:rFonts w:hint="eastAsia" w:ascii="仿宋" w:hAnsi="仿宋" w:eastAsia="仿宋"/>
          <w:b w:val="0"/>
        </w:rPr>
        <w:t>一</w:t>
      </w:r>
      <w:r>
        <w:rPr>
          <w:rStyle w:val="28"/>
          <w:rFonts w:hint="eastAsia" w:ascii="仿宋" w:hAnsi="仿宋" w:eastAsia="仿宋"/>
          <w:b w:val="0"/>
          <w:bCs w:val="0"/>
        </w:rPr>
        <w:t>般公共预算财政拨款项目支出决算表</w:t>
      </w:r>
      <w:bookmarkEnd w:id="60"/>
    </w:p>
    <w:p>
      <w:pPr>
        <w:pStyle w:val="2"/>
        <w:pageBreakBefore w:val="0"/>
        <w:kinsoku/>
        <w:wordWrap/>
        <w:overflowPunct/>
        <w:topLinePunct w:val="0"/>
        <w:bidi w:val="0"/>
        <w:spacing w:line="560" w:lineRule="exact"/>
        <w:textAlignment w:val="auto"/>
        <w:rPr>
          <w:rFonts w:ascii="仿宋" w:hAnsi="仿宋" w:eastAsia="仿宋"/>
        </w:rPr>
      </w:pPr>
      <w:bookmarkStart w:id="61" w:name="_Toc15396628"/>
      <w:r>
        <w:rPr>
          <w:rStyle w:val="28"/>
          <w:rFonts w:hint="eastAsia" w:ascii="仿宋" w:hAnsi="仿宋" w:eastAsia="仿宋"/>
          <w:b w:val="0"/>
          <w:bCs w:val="0"/>
        </w:rPr>
        <w:t>十、</w:t>
      </w:r>
      <w:bookmarkEnd w:id="61"/>
      <w:r>
        <w:rPr>
          <w:rFonts w:hint="eastAsia" w:ascii="仿宋" w:hAnsi="仿宋" w:eastAsia="仿宋"/>
          <w:b w:val="0"/>
        </w:rPr>
        <w:t>政</w:t>
      </w:r>
      <w:r>
        <w:rPr>
          <w:rStyle w:val="28"/>
          <w:rFonts w:hint="eastAsia" w:ascii="仿宋" w:hAnsi="仿宋" w:eastAsia="仿宋"/>
          <w:b w:val="0"/>
          <w:bCs w:val="0"/>
        </w:rPr>
        <w:t>府性基金预算财政拨款收入支出决算表</w:t>
      </w:r>
    </w:p>
    <w:p>
      <w:pPr>
        <w:pStyle w:val="2"/>
        <w:pageBreakBefore w:val="0"/>
        <w:kinsoku/>
        <w:wordWrap/>
        <w:overflowPunct/>
        <w:topLinePunct w:val="0"/>
        <w:bidi w:val="0"/>
        <w:spacing w:line="560" w:lineRule="exact"/>
        <w:textAlignment w:val="auto"/>
        <w:rPr>
          <w:rFonts w:ascii="仿宋" w:hAnsi="仿宋" w:eastAsia="仿宋"/>
        </w:rPr>
      </w:pPr>
      <w:bookmarkStart w:id="62" w:name="_Toc15396629"/>
      <w:r>
        <w:rPr>
          <w:rStyle w:val="28"/>
          <w:rFonts w:hint="eastAsia" w:ascii="仿宋" w:hAnsi="仿宋" w:eastAsia="仿宋"/>
          <w:b w:val="0"/>
          <w:bCs w:val="0"/>
        </w:rPr>
        <w:t>十一、</w:t>
      </w:r>
      <w:bookmarkEnd w:id="62"/>
      <w:r>
        <w:rPr>
          <w:rFonts w:hint="eastAsia" w:ascii="仿宋" w:hAnsi="仿宋" w:eastAsia="仿宋"/>
          <w:b w:val="0"/>
        </w:rPr>
        <w:t>国</w:t>
      </w:r>
      <w:r>
        <w:rPr>
          <w:rStyle w:val="28"/>
          <w:rFonts w:hint="eastAsia" w:ascii="仿宋" w:hAnsi="仿宋" w:eastAsia="仿宋"/>
          <w:b w:val="0"/>
          <w:bCs w:val="0"/>
        </w:rPr>
        <w:t>有资本经营预算财政拨款收入支出决算表</w:t>
      </w:r>
    </w:p>
    <w:p>
      <w:pPr>
        <w:pStyle w:val="2"/>
        <w:pageBreakBefore w:val="0"/>
        <w:kinsoku/>
        <w:wordWrap/>
        <w:overflowPunct/>
        <w:topLinePunct w:val="0"/>
        <w:bidi w:val="0"/>
        <w:spacing w:line="560" w:lineRule="exact"/>
        <w:textAlignment w:val="auto"/>
        <w:rPr>
          <w:rFonts w:ascii="仿宋" w:hAnsi="仿宋" w:eastAsia="仿宋"/>
        </w:rPr>
      </w:pPr>
      <w:bookmarkStart w:id="63" w:name="_Toc15396630"/>
      <w:r>
        <w:rPr>
          <w:rStyle w:val="28"/>
          <w:rFonts w:hint="eastAsia" w:ascii="仿宋" w:hAnsi="仿宋" w:eastAsia="仿宋"/>
          <w:b w:val="0"/>
          <w:bCs w:val="0"/>
        </w:rPr>
        <w:t>十二、</w:t>
      </w:r>
      <w:bookmarkEnd w:id="63"/>
      <w:r>
        <w:rPr>
          <w:rStyle w:val="28"/>
          <w:rFonts w:hint="eastAsia" w:ascii="仿宋" w:hAnsi="仿宋" w:eastAsia="仿宋"/>
          <w:b w:val="0"/>
          <w:bCs w:val="0"/>
        </w:rPr>
        <w:t>国有资本经营预算财政拨款支出决算表</w:t>
      </w:r>
    </w:p>
    <w:p>
      <w:pPr>
        <w:pStyle w:val="2"/>
        <w:pageBreakBefore w:val="0"/>
        <w:kinsoku/>
        <w:wordWrap/>
        <w:overflowPunct/>
        <w:topLinePunct w:val="0"/>
        <w:bidi w:val="0"/>
        <w:spacing w:line="560" w:lineRule="exact"/>
        <w:textAlignment w:val="auto"/>
        <w:rPr>
          <w:rFonts w:eastAsia="仿宋"/>
        </w:rPr>
      </w:pPr>
      <w:bookmarkStart w:id="64" w:name="_Toc15396631"/>
      <w:r>
        <w:rPr>
          <w:rStyle w:val="28"/>
          <w:rFonts w:hint="eastAsia" w:ascii="仿宋" w:hAnsi="仿宋" w:eastAsia="仿宋"/>
          <w:b w:val="0"/>
          <w:bCs w:val="0"/>
        </w:rPr>
        <w:t>十三、</w:t>
      </w:r>
      <w:bookmarkEnd w:id="64"/>
      <w:r>
        <w:rPr>
          <w:rStyle w:val="28"/>
          <w:rFonts w:hint="eastAsia" w:ascii="仿宋" w:hAnsi="仿宋" w:eastAsia="仿宋"/>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altName w:val="黑体"/>
    <w:panose1 w:val="00000000000000000000"/>
    <w:charset w:val="86"/>
    <w:family w:val="script"/>
    <w:pitch w:val="default"/>
    <w:sig w:usb0="00000000" w:usb1="00000000" w:usb2="0000001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0"/>
          <w:jc w:val="center"/>
        </w:pPr>
        <w:r>
          <w:fldChar w:fldCharType="begin"/>
        </w:r>
        <w:r>
          <w:instrText xml:space="preserve">PAGE   \* MERGEFORMAT</w:instrText>
        </w:r>
        <w:r>
          <w:fldChar w:fldCharType="separate"/>
        </w:r>
        <w:r>
          <w:rPr>
            <w:lang w:val="zh-CN"/>
          </w:rPr>
          <w:t>17</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g2OTRjZTI1NDEwZWNmZTdjZGUzMzE4YWNjZWRlNDM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7022"/>
    <w:rsid w:val="00142216"/>
    <w:rsid w:val="00144D6A"/>
    <w:rsid w:val="0014729F"/>
    <w:rsid w:val="00157BAB"/>
    <w:rsid w:val="001654D1"/>
    <w:rsid w:val="00174518"/>
    <w:rsid w:val="0018106D"/>
    <w:rsid w:val="001877A7"/>
    <w:rsid w:val="00191536"/>
    <w:rsid w:val="00196687"/>
    <w:rsid w:val="001C0962"/>
    <w:rsid w:val="001D1977"/>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55301"/>
    <w:rsid w:val="0036561B"/>
    <w:rsid w:val="0037013F"/>
    <w:rsid w:val="00380080"/>
    <w:rsid w:val="00380C92"/>
    <w:rsid w:val="003A46D7"/>
    <w:rsid w:val="003A484F"/>
    <w:rsid w:val="003A4883"/>
    <w:rsid w:val="003B0BE0"/>
    <w:rsid w:val="003B0C1B"/>
    <w:rsid w:val="003B688C"/>
    <w:rsid w:val="003C0291"/>
    <w:rsid w:val="003C39AE"/>
    <w:rsid w:val="003C4ACF"/>
    <w:rsid w:val="003C7B60"/>
    <w:rsid w:val="003D0C0F"/>
    <w:rsid w:val="003D1FB2"/>
    <w:rsid w:val="003D66DA"/>
    <w:rsid w:val="003E1310"/>
    <w:rsid w:val="003E6F55"/>
    <w:rsid w:val="003F73E3"/>
    <w:rsid w:val="00401788"/>
    <w:rsid w:val="00406254"/>
    <w:rsid w:val="004223DE"/>
    <w:rsid w:val="00422AE2"/>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3130"/>
    <w:rsid w:val="005664BB"/>
    <w:rsid w:val="00566FFA"/>
    <w:rsid w:val="0057481D"/>
    <w:rsid w:val="0058486E"/>
    <w:rsid w:val="00585B33"/>
    <w:rsid w:val="0059014D"/>
    <w:rsid w:val="005B42B0"/>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1A1"/>
    <w:rsid w:val="00681A31"/>
    <w:rsid w:val="00683E73"/>
    <w:rsid w:val="00691047"/>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E4BCE"/>
    <w:rsid w:val="007F1991"/>
    <w:rsid w:val="007F2C2F"/>
    <w:rsid w:val="007F55FC"/>
    <w:rsid w:val="007F5665"/>
    <w:rsid w:val="00800112"/>
    <w:rsid w:val="00804F68"/>
    <w:rsid w:val="00813348"/>
    <w:rsid w:val="008253BB"/>
    <w:rsid w:val="0083706E"/>
    <w:rsid w:val="008408F6"/>
    <w:rsid w:val="008423A5"/>
    <w:rsid w:val="00846D6C"/>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4BDD"/>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AF28D0"/>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4E43"/>
    <w:rsid w:val="00B77EA6"/>
    <w:rsid w:val="00B81598"/>
    <w:rsid w:val="00B841F1"/>
    <w:rsid w:val="00B944D6"/>
    <w:rsid w:val="00BA696C"/>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11855"/>
    <w:rsid w:val="00E331A1"/>
    <w:rsid w:val="00E33202"/>
    <w:rsid w:val="00E336A9"/>
    <w:rsid w:val="00E472B1"/>
    <w:rsid w:val="00E50624"/>
    <w:rsid w:val="00E53DE4"/>
    <w:rsid w:val="00E568DF"/>
    <w:rsid w:val="00E61F0C"/>
    <w:rsid w:val="00E64269"/>
    <w:rsid w:val="00E82267"/>
    <w:rsid w:val="00E853CE"/>
    <w:rsid w:val="00E867B6"/>
    <w:rsid w:val="00EA010F"/>
    <w:rsid w:val="00EA60DA"/>
    <w:rsid w:val="00EB7439"/>
    <w:rsid w:val="00ED1B63"/>
    <w:rsid w:val="00ED3C1F"/>
    <w:rsid w:val="00ED4085"/>
    <w:rsid w:val="00ED420E"/>
    <w:rsid w:val="00ED6FBE"/>
    <w:rsid w:val="00EE2F57"/>
    <w:rsid w:val="00EF4C34"/>
    <w:rsid w:val="00EF77C6"/>
    <w:rsid w:val="00F05438"/>
    <w:rsid w:val="00F11D57"/>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D3DAB"/>
    <w:rsid w:val="00FF1E02"/>
    <w:rsid w:val="00FF30B4"/>
    <w:rsid w:val="053A62B5"/>
    <w:rsid w:val="05E77076"/>
    <w:rsid w:val="07E27D85"/>
    <w:rsid w:val="0A2032A3"/>
    <w:rsid w:val="0AE13C8F"/>
    <w:rsid w:val="0B8A37D8"/>
    <w:rsid w:val="0F3B2555"/>
    <w:rsid w:val="10C055FF"/>
    <w:rsid w:val="110253C7"/>
    <w:rsid w:val="118107EC"/>
    <w:rsid w:val="118977AB"/>
    <w:rsid w:val="11A36D74"/>
    <w:rsid w:val="11D051E7"/>
    <w:rsid w:val="11DD6519"/>
    <w:rsid w:val="13615B80"/>
    <w:rsid w:val="14FC30B5"/>
    <w:rsid w:val="161B1F04"/>
    <w:rsid w:val="16BB723D"/>
    <w:rsid w:val="18003663"/>
    <w:rsid w:val="18015F3F"/>
    <w:rsid w:val="18D91281"/>
    <w:rsid w:val="1BE8440E"/>
    <w:rsid w:val="1C171CA1"/>
    <w:rsid w:val="1D155CEE"/>
    <w:rsid w:val="1DFF0068"/>
    <w:rsid w:val="1F146D92"/>
    <w:rsid w:val="20F57F95"/>
    <w:rsid w:val="231E3F71"/>
    <w:rsid w:val="240371BF"/>
    <w:rsid w:val="25711CC6"/>
    <w:rsid w:val="25C741E6"/>
    <w:rsid w:val="25FC5A55"/>
    <w:rsid w:val="27842671"/>
    <w:rsid w:val="27BE00EC"/>
    <w:rsid w:val="288B7918"/>
    <w:rsid w:val="28EE1F26"/>
    <w:rsid w:val="29E37825"/>
    <w:rsid w:val="29FD04D3"/>
    <w:rsid w:val="2ABE7A3E"/>
    <w:rsid w:val="2CA234A8"/>
    <w:rsid w:val="2E7613E0"/>
    <w:rsid w:val="2EFA178C"/>
    <w:rsid w:val="30B46D73"/>
    <w:rsid w:val="319F7F4E"/>
    <w:rsid w:val="32264DDF"/>
    <w:rsid w:val="324E63D4"/>
    <w:rsid w:val="36FC52E0"/>
    <w:rsid w:val="383D272C"/>
    <w:rsid w:val="39755C6F"/>
    <w:rsid w:val="39AE70AB"/>
    <w:rsid w:val="3ACD5D84"/>
    <w:rsid w:val="3C0C0783"/>
    <w:rsid w:val="3D111B7C"/>
    <w:rsid w:val="3E173828"/>
    <w:rsid w:val="3F9F3A96"/>
    <w:rsid w:val="459369D2"/>
    <w:rsid w:val="45A82CB0"/>
    <w:rsid w:val="47C830EC"/>
    <w:rsid w:val="47E222B0"/>
    <w:rsid w:val="48BF60AB"/>
    <w:rsid w:val="493C27E9"/>
    <w:rsid w:val="496F39ED"/>
    <w:rsid w:val="49FF41D3"/>
    <w:rsid w:val="4ADD4EAA"/>
    <w:rsid w:val="4AFE4DA5"/>
    <w:rsid w:val="4BE068DB"/>
    <w:rsid w:val="4BF6002B"/>
    <w:rsid w:val="4DB33F72"/>
    <w:rsid w:val="4ECE2238"/>
    <w:rsid w:val="514A2A2C"/>
    <w:rsid w:val="51DB4B86"/>
    <w:rsid w:val="523120D1"/>
    <w:rsid w:val="524F172B"/>
    <w:rsid w:val="5325698F"/>
    <w:rsid w:val="540B32CF"/>
    <w:rsid w:val="54270895"/>
    <w:rsid w:val="54C45E31"/>
    <w:rsid w:val="55333C3E"/>
    <w:rsid w:val="55AB6E97"/>
    <w:rsid w:val="57FC6489"/>
    <w:rsid w:val="59711F8E"/>
    <w:rsid w:val="5A3247FC"/>
    <w:rsid w:val="5AFE7E02"/>
    <w:rsid w:val="5D6F1190"/>
    <w:rsid w:val="5E3F0E58"/>
    <w:rsid w:val="5E4C1552"/>
    <w:rsid w:val="604A4008"/>
    <w:rsid w:val="623A3E38"/>
    <w:rsid w:val="626C7E28"/>
    <w:rsid w:val="645D35E0"/>
    <w:rsid w:val="64CA39A1"/>
    <w:rsid w:val="68DE2C09"/>
    <w:rsid w:val="69630ADE"/>
    <w:rsid w:val="6B9E4FAD"/>
    <w:rsid w:val="6C4A05C8"/>
    <w:rsid w:val="6D3B1A89"/>
    <w:rsid w:val="6D5B0511"/>
    <w:rsid w:val="71BF4EC2"/>
    <w:rsid w:val="72734D90"/>
    <w:rsid w:val="72931349"/>
    <w:rsid w:val="7412278C"/>
    <w:rsid w:val="7584701A"/>
    <w:rsid w:val="76914494"/>
    <w:rsid w:val="78387849"/>
    <w:rsid w:val="79640B25"/>
    <w:rsid w:val="79E7B28D"/>
    <w:rsid w:val="7A8201FF"/>
    <w:rsid w:val="7B6562A6"/>
    <w:rsid w:val="7F132008"/>
    <w:rsid w:val="7F9F20EE"/>
    <w:rsid w:val="7FEE0AA9"/>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2">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99"/>
    <w:pPr>
      <w:ind w:firstLine="420" w:firstLineChars="200"/>
    </w:pPr>
    <w:rPr>
      <w:rFonts w:ascii="Calibri" w:hAnsi="Calibri" w:cs="Calibri"/>
    </w:rPr>
  </w:style>
  <w:style w:type="paragraph" w:styleId="6">
    <w:name w:val="Body Text"/>
    <w:basedOn w:val="1"/>
    <w:link w:val="24"/>
    <w:qFormat/>
    <w:uiPriority w:val="99"/>
    <w:pPr>
      <w:spacing w:beforeLines="30"/>
    </w:pPr>
    <w:rPr>
      <w:rFonts w:ascii="仿宋_GB2312" w:eastAsia="仿宋_GB2312"/>
      <w:kern w:val="0"/>
      <w:sz w:val="30"/>
    </w:rPr>
  </w:style>
  <w:style w:type="paragraph" w:styleId="7">
    <w:name w:val="Body Text Indent"/>
    <w:basedOn w:val="1"/>
    <w:link w:val="33"/>
    <w:semiHidden/>
    <w:unhideWhenUsed/>
    <w:qFormat/>
    <w:uiPriority w:val="99"/>
    <w:pPr>
      <w:spacing w:after="120"/>
      <w:ind w:left="420" w:leftChars="200"/>
    </w:p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0"/>
    <w:semiHidden/>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link w:val="34"/>
    <w:semiHidden/>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rPr>
  </w:style>
  <w:style w:type="character" w:customStyle="1" w:styleId="19">
    <w:name w:val="Header Char"/>
    <w:basedOn w:val="16"/>
    <w:semiHidden/>
    <w:qFormat/>
    <w:uiPriority w:val="99"/>
    <w:rPr>
      <w:rFonts w:ascii="Times New Roman" w:hAnsi="Times New Roman"/>
      <w:sz w:val="18"/>
      <w:szCs w:val="18"/>
    </w:rPr>
  </w:style>
  <w:style w:type="character" w:customStyle="1" w:styleId="20">
    <w:name w:val="页眉 Char"/>
    <w:link w:val="11"/>
    <w:semiHidden/>
    <w:qFormat/>
    <w:locked/>
    <w:uiPriority w:val="99"/>
    <w:rPr>
      <w:sz w:val="18"/>
    </w:rPr>
  </w:style>
  <w:style w:type="character" w:customStyle="1" w:styleId="21">
    <w:name w:val="Footer Char"/>
    <w:basedOn w:val="16"/>
    <w:semiHidden/>
    <w:qFormat/>
    <w:uiPriority w:val="99"/>
    <w:rPr>
      <w:rFonts w:ascii="Times New Roman" w:hAnsi="Times New Roman"/>
      <w:sz w:val="18"/>
      <w:szCs w:val="18"/>
    </w:rPr>
  </w:style>
  <w:style w:type="character" w:customStyle="1" w:styleId="22">
    <w:name w:val="页脚 Char"/>
    <w:link w:val="10"/>
    <w:qFormat/>
    <w:locked/>
    <w:uiPriority w:val="99"/>
    <w:rPr>
      <w:sz w:val="18"/>
    </w:rPr>
  </w:style>
  <w:style w:type="character" w:customStyle="1" w:styleId="23">
    <w:name w:val="Body Text Char"/>
    <w:basedOn w:val="16"/>
    <w:semiHidden/>
    <w:qFormat/>
    <w:uiPriority w:val="99"/>
    <w:rPr>
      <w:rFonts w:ascii="Times New Roman" w:hAnsi="Times New Roman"/>
      <w:szCs w:val="24"/>
    </w:rPr>
  </w:style>
  <w:style w:type="character" w:customStyle="1" w:styleId="24">
    <w:name w:val="正文文本 Char"/>
    <w:link w:val="6"/>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6"/>
    <w:link w:val="3"/>
    <w:qFormat/>
    <w:uiPriority w:val="9"/>
    <w:rPr>
      <w:rFonts w:ascii="Times New Roman" w:hAnsi="Times New Roman"/>
      <w:b/>
      <w:bCs/>
      <w:kern w:val="44"/>
      <w:sz w:val="44"/>
      <w:szCs w:val="44"/>
    </w:rPr>
  </w:style>
  <w:style w:type="character" w:customStyle="1" w:styleId="28">
    <w:name w:val="标题 2 Char"/>
    <w:basedOn w:val="16"/>
    <w:link w:val="2"/>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0">
    <w:name w:val="批注框文本 Char"/>
    <w:basedOn w:val="16"/>
    <w:link w:val="9"/>
    <w:semiHidden/>
    <w:qFormat/>
    <w:uiPriority w:val="99"/>
    <w:rPr>
      <w:rFonts w:ascii="Times New Roman" w:hAnsi="Times New Roman"/>
      <w:kern w:val="2"/>
      <w:sz w:val="18"/>
      <w:szCs w:val="18"/>
    </w:rPr>
  </w:style>
  <w:style w:type="character" w:customStyle="1" w:styleId="31">
    <w:name w:val="标题 3 Char"/>
    <w:basedOn w:val="16"/>
    <w:link w:val="4"/>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3">
    <w:name w:val="正文文本缩进 Char"/>
    <w:basedOn w:val="16"/>
    <w:link w:val="7"/>
    <w:semiHidden/>
    <w:qFormat/>
    <w:uiPriority w:val="99"/>
    <w:rPr>
      <w:rFonts w:ascii="Times New Roman" w:hAnsi="Times New Roman" w:eastAsia="宋体" w:cs="Times New Roman"/>
      <w:kern w:val="2"/>
      <w:sz w:val="21"/>
      <w:szCs w:val="24"/>
    </w:rPr>
  </w:style>
  <w:style w:type="character" w:customStyle="1" w:styleId="34">
    <w:name w:val="正文首行缩进 2 Char"/>
    <w:basedOn w:val="33"/>
    <w:link w:val="14"/>
    <w:semiHidden/>
    <w:qFormat/>
    <w:uiPriority w:val="99"/>
  </w:style>
  <w:style w:type="paragraph" w:customStyle="1" w:styleId="35">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5.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7.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9931833674165"/>
          <c:y val="0.105047399436331"/>
          <c:w val="0.884171779141104"/>
          <c:h val="0.819728414040482"/>
        </c:manualLayout>
      </c:layout>
      <c:barChart>
        <c:barDir val="col"/>
        <c:grouping val="clustered"/>
        <c:varyColors val="0"/>
        <c:ser>
          <c:idx val="0"/>
          <c:order val="0"/>
          <c:tx>
            <c:strRef>
              <c:f>Sheet1!#REF!</c:f>
              <c:strCache>
                <c:ptCount val="1"/>
                <c:pt idx="0">
                  <c:v/>
                </c:pt>
              </c:strCache>
            </c:strRef>
          </c:tx>
          <c:spPr>
            <a:solidFill>
              <a:schemeClr val="accent6"/>
            </a:solidFill>
            <a:ln>
              <a:noFill/>
            </a:ln>
            <a:effectLst/>
          </c:spPr>
          <c:invertIfNegative val="0"/>
          <c:dPt>
            <c:idx val="1"/>
            <c:invertIfNegative val="0"/>
            <c:bubble3D val="0"/>
            <c:spPr>
              <a:solidFill>
                <a:schemeClr val="accent1"/>
              </a:solidFill>
              <a:ln>
                <a:noFill/>
              </a:ln>
              <a:effectLst/>
            </c:spPr>
          </c:dPt>
          <c:dLbls>
            <c:delete val="1"/>
          </c:dLbls>
          <c:cat>
            <c:strRef>
              <c:f>Sheet1!$A$1:$A$2</c:f>
              <c:strCache>
                <c:ptCount val="2"/>
                <c:pt idx="0">
                  <c:v>2021年</c:v>
                </c:pt>
                <c:pt idx="1">
                  <c:v>2022年</c:v>
                </c:pt>
              </c:strCache>
            </c:strRef>
          </c:cat>
          <c:val>
            <c:numRef>
              <c:f>Sheet1!$B$1:$B$2</c:f>
              <c:numCache>
                <c:formatCode>General</c:formatCode>
                <c:ptCount val="2"/>
                <c:pt idx="0">
                  <c:v>4138.01</c:v>
                </c:pt>
                <c:pt idx="1">
                  <c:v>2337.28</c:v>
                </c:pt>
              </c:numCache>
            </c:numRef>
          </c:val>
        </c:ser>
        <c:ser>
          <c:idx val="1"/>
          <c:order val="1"/>
          <c:tx>
            <c:strRef>
              <c:f>Sheet1!#REF!</c:f>
              <c:strCache>
                <c:ptCount val="1"/>
                <c:pt idx="0">
                  <c:v/>
                </c:pt>
              </c:strCache>
            </c:strRef>
          </c:tx>
          <c:spPr>
            <a:solidFill>
              <a:schemeClr val="accent2"/>
            </a:solidFill>
            <a:ln>
              <a:noFill/>
            </a:ln>
            <a:effectLst/>
          </c:spPr>
          <c:invertIfNegative val="0"/>
          <c:dLbls>
            <c:delete val="1"/>
          </c:dLbls>
          <c:cat>
            <c:strRef>
              <c:f>Sheet1!$A$1:$A$2</c:f>
              <c:strCache>
                <c:ptCount val="2"/>
                <c:pt idx="0">
                  <c:v>2021年</c:v>
                </c:pt>
                <c:pt idx="1">
                  <c:v>2022年</c:v>
                </c:pt>
              </c:strCache>
            </c:strRef>
          </c:cat>
          <c:val>
            <c:numRef>
              <c:f>Sheet1!#REF!</c:f>
              <c:numCache>
                <c:formatCode>General</c:formatCode>
                <c:ptCount val="1"/>
                <c:pt idx="0">
                  <c:v>1</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Sheet1!$A$1:$A$2</c:f>
              <c:strCache>
                <c:ptCount val="2"/>
                <c:pt idx="0">
                  <c:v>2021年</c:v>
                </c:pt>
                <c:pt idx="1">
                  <c:v>2022年</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484868372"/>
        <c:axId val="711563067"/>
      </c:barChart>
      <c:catAx>
        <c:axId val="484868372"/>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1563067"/>
        <c:crosses val="autoZero"/>
        <c:auto val="1"/>
        <c:lblAlgn val="ctr"/>
        <c:lblOffset val="100"/>
        <c:noMultiLvlLbl val="0"/>
      </c:catAx>
      <c:valAx>
        <c:axId val="71156306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486837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dk1">
                  <a:lumMod val="75000"/>
                  <a:lumOff val="25000"/>
                </a:schemeClr>
              </a:solidFill>
              <a:latin typeface="+mn-lt"/>
              <a:ea typeface="+mn-ea"/>
              <a:cs typeface="+mn-cs"/>
            </a:defRPr>
          </a:pPr>
        </a:p>
      </c:txPr>
    </c:title>
    <c:autoTitleDeleted val="0"/>
    <c:plotArea>
      <c:layout>
        <c:manualLayout>
          <c:layoutTarget val="inner"/>
          <c:xMode val="edge"/>
          <c:yMode val="edge"/>
          <c:x val="0.322644687763205"/>
          <c:y val="0.389312977099237"/>
          <c:w val="0.358560943328119"/>
          <c:h val="0.568702290076336"/>
        </c:manualLayout>
      </c:layout>
      <c:pieChart>
        <c:varyColors val="1"/>
        <c:ser>
          <c:idx val="0"/>
          <c:order val="0"/>
          <c:tx>
            <c:strRef>
              <c:f>Sheet1!$B$1</c:f>
              <c:strCache>
                <c:ptCount val="1"/>
                <c:pt idx="0">
                  <c:v>收入决算结构图</c:v>
                </c:pt>
              </c:strCache>
            </c:strRef>
          </c:tx>
          <c:spPr/>
          <c:explosion val="0"/>
          <c:dPt>
            <c:idx val="0"/>
            <c:bubble3D val="0"/>
            <c:spPr>
              <a:solidFill>
                <a:schemeClr val="tx2">
                  <a:lumMod val="40000"/>
                  <a:lumOff val="60000"/>
                </a:schemeClr>
              </a:solidFill>
              <a:ln>
                <a:solidFill>
                  <a:schemeClr val="bg1"/>
                </a:solidFill>
              </a:ln>
              <a:effectLst/>
            </c:spPr>
          </c:dPt>
          <c:dPt>
            <c:idx val="1"/>
            <c:bubble3D val="0"/>
            <c:spPr>
              <a:solidFill>
                <a:schemeClr val="accent3"/>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gradFill>
                <a:gsLst>
                  <a:gs pos="0">
                    <a:srgbClr val="7B32B2"/>
                  </a:gs>
                  <a:gs pos="100000">
                    <a:srgbClr val="401A5D"/>
                  </a:gs>
                </a:gsLst>
                <a:lin ang="5400000" scaled="0"/>
              </a:gradFill>
              <a:ln>
                <a:solidFill>
                  <a:schemeClr val="bg1"/>
                </a:solidFill>
              </a:ln>
              <a:effectLst/>
            </c:spPr>
          </c:dPt>
          <c:dLbls>
            <c:delete val="1"/>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Sheet1!$B$2:$B$9</c:f>
              <c:numCache>
                <c:formatCode>General</c:formatCode>
                <c:ptCount val="8"/>
                <c:pt idx="0">
                  <c:v>2087.7</c:v>
                </c:pt>
                <c:pt idx="1">
                  <c:v>204.58</c:v>
                </c:pt>
                <c:pt idx="2">
                  <c:v>0</c:v>
                </c:pt>
                <c:pt idx="3">
                  <c:v>0</c:v>
                </c:pt>
                <c:pt idx="4">
                  <c:v>0</c:v>
                </c:pt>
                <c:pt idx="5">
                  <c:v>0</c:v>
                </c:pt>
                <c:pt idx="6">
                  <c:v>0</c:v>
                </c:pt>
                <c:pt idx="7">
                  <c:v>45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dk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支出决算结构图</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elete val="1"/>
          </c:dLbls>
          <c:cat>
            <c:strRef>
              <c:f>Sheet1!$A$2:$A$6</c:f>
              <c:strCache>
                <c:ptCount val="5"/>
                <c:pt idx="0">
                  <c:v>基本支出</c:v>
                </c:pt>
                <c:pt idx="1">
                  <c:v>项目支出</c:v>
                </c:pt>
                <c:pt idx="2">
                  <c:v>上级支出</c:v>
                </c:pt>
                <c:pt idx="3">
                  <c:v>经营支出</c:v>
                </c:pt>
                <c:pt idx="4">
                  <c:v>对附属单位补助支出</c:v>
                </c:pt>
              </c:strCache>
            </c:strRef>
          </c:cat>
          <c:val>
            <c:numRef>
              <c:f>Sheet1!$B$2:$B$6</c:f>
              <c:numCache>
                <c:formatCode>General</c:formatCode>
                <c:ptCount val="5"/>
                <c:pt idx="0">
                  <c:v>1498.46</c:v>
                </c:pt>
                <c:pt idx="1">
                  <c:v>793.82</c:v>
                </c:pt>
                <c:pt idx="2">
                  <c:v>0</c:v>
                </c:pt>
                <c:pt idx="3">
                  <c:v>0</c:v>
                </c:pt>
                <c:pt idx="4">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2021年</c:v>
                </c:pt>
              </c:strCache>
            </c:strRef>
          </c:tx>
          <c:spPr>
            <a:solidFill>
              <a:schemeClr val="accent1"/>
            </a:solidFill>
            <a:ln>
              <a:noFill/>
            </a:ln>
            <a:effectLst/>
          </c:spPr>
          <c:invertIfNegative val="0"/>
          <c:dLbls>
            <c:delete val="1"/>
          </c:dLbls>
          <c:cat>
            <c:strRef>
              <c:f>Sheet1!$A$2:$A$5</c:f>
              <c:strCache>
                <c:ptCount val="1"/>
                <c:pt idx="0">
                  <c:v>财政拨款收支总计</c:v>
                </c:pt>
              </c:strCache>
            </c:strRef>
          </c:cat>
          <c:val>
            <c:numRef>
              <c:f>Sheet1!$B$2:$B$5</c:f>
              <c:numCache>
                <c:formatCode>General</c:formatCode>
                <c:ptCount val="1"/>
                <c:pt idx="0">
                  <c:v>3268.22</c:v>
                </c:pt>
              </c:numCache>
            </c:numRef>
          </c:val>
        </c:ser>
        <c:ser>
          <c:idx val="1"/>
          <c:order val="1"/>
          <c:tx>
            <c:strRef>
              <c:f>Sheet1!$C$1</c:f>
              <c:strCache>
                <c:ptCount val="1"/>
                <c:pt idx="0">
                  <c:v>2022年</c:v>
                </c:pt>
              </c:strCache>
            </c:strRef>
          </c:tx>
          <c:spPr>
            <a:solidFill>
              <a:schemeClr val="accent2"/>
            </a:solidFill>
            <a:ln>
              <a:noFill/>
            </a:ln>
            <a:effectLst/>
          </c:spPr>
          <c:invertIfNegative val="0"/>
          <c:dLbls>
            <c:delete val="1"/>
          </c:dLbls>
          <c:cat>
            <c:strRef>
              <c:f>Sheet1!$A$2:$A$5</c:f>
              <c:strCache>
                <c:ptCount val="1"/>
                <c:pt idx="0">
                  <c:v>财政拨款收支总计</c:v>
                </c:pt>
              </c:strCache>
            </c:strRef>
          </c:cat>
          <c:val>
            <c:numRef>
              <c:f>Sheet1!$C$2:$C$5</c:f>
              <c:numCache>
                <c:formatCode>General</c:formatCode>
                <c:ptCount val="1"/>
                <c:pt idx="0">
                  <c:v>2292.28</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Sheet1!$A$2:$A$5</c:f>
              <c:strCache>
                <c:ptCount val="1"/>
                <c:pt idx="0">
                  <c:v>财政拨款收支总计</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46"/>
        <c:overlap val="-28"/>
        <c:axId val="758698594"/>
        <c:axId val="374714889"/>
      </c:barChart>
      <c:catAx>
        <c:axId val="758698594"/>
        <c:scaling>
          <c:orientation val="minMax"/>
        </c:scaling>
        <c:delete val="1"/>
        <c:axPos val="b"/>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74714889"/>
        <c:crosses val="autoZero"/>
        <c:auto val="1"/>
        <c:lblAlgn val="ctr"/>
        <c:lblOffset val="100"/>
        <c:noMultiLvlLbl val="0"/>
      </c:catAx>
      <c:valAx>
        <c:axId val="374714889"/>
        <c:scaling>
          <c:orientation val="minMax"/>
        </c:scaling>
        <c:delete val="0"/>
        <c:axPos val="l"/>
        <c:majorGridlines>
          <c:spPr>
            <a:ln w="9525" cap="flat" cmpd="sng" algn="ctr">
              <a:solidFill>
                <a:schemeClr val="bg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8698594"/>
        <c:crosses val="autoZero"/>
        <c:crossBetween val="between"/>
      </c:valAx>
      <c:spPr>
        <a:noFill/>
        <a:ln>
          <a:noFill/>
        </a:ln>
        <a:effectLst/>
      </c:spPr>
    </c:plotArea>
    <c:legend>
      <c:legendPos val="b"/>
      <c:legendEntry>
        <c:idx val="2"/>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2021年</c:v>
                </c:pt>
              </c:strCache>
            </c:strRef>
          </c:tx>
          <c:spPr>
            <a:solidFill>
              <a:schemeClr val="accent1"/>
            </a:solidFill>
            <a:ln>
              <a:noFill/>
            </a:ln>
            <a:effectLst/>
          </c:spPr>
          <c:invertIfNegative val="0"/>
          <c:dLbls>
            <c:delete val="1"/>
          </c:dLbls>
          <c:cat>
            <c:strRef>
              <c:f>Sheet1!$A$2</c:f>
              <c:strCache>
                <c:ptCount val="1"/>
                <c:pt idx="0">
                  <c:v>一般公共预算财政拨款支出</c:v>
                </c:pt>
              </c:strCache>
            </c:strRef>
          </c:cat>
          <c:val>
            <c:numRef>
              <c:f>Sheet1!$B$2</c:f>
              <c:numCache>
                <c:formatCode>General</c:formatCode>
                <c:ptCount val="1"/>
                <c:pt idx="0">
                  <c:v>1695.46</c:v>
                </c:pt>
              </c:numCache>
            </c:numRef>
          </c:val>
        </c:ser>
        <c:ser>
          <c:idx val="1"/>
          <c:order val="1"/>
          <c:tx>
            <c:strRef>
              <c:f>Sheet1!$C$1</c:f>
              <c:strCache>
                <c:ptCount val="1"/>
                <c:pt idx="0">
                  <c:v>2022年</c:v>
                </c:pt>
              </c:strCache>
            </c:strRef>
          </c:tx>
          <c:spPr>
            <a:solidFill>
              <a:schemeClr val="accent2"/>
            </a:solidFill>
            <a:ln>
              <a:noFill/>
            </a:ln>
            <a:effectLst/>
          </c:spPr>
          <c:invertIfNegative val="0"/>
          <c:dLbls>
            <c:delete val="1"/>
          </c:dLbls>
          <c:cat>
            <c:strRef>
              <c:f>Sheet1!$A$2</c:f>
              <c:strCache>
                <c:ptCount val="1"/>
                <c:pt idx="0">
                  <c:v>一般公共预算财政拨款支出</c:v>
                </c:pt>
              </c:strCache>
            </c:strRef>
          </c:cat>
          <c:val>
            <c:numRef>
              <c:f>Sheet1!$C$2</c:f>
              <c:numCache>
                <c:formatCode>General</c:formatCode>
                <c:ptCount val="1"/>
                <c:pt idx="0">
                  <c:v>2087.7</c:v>
                </c:pt>
              </c:numCache>
            </c:numRef>
          </c:val>
        </c:ser>
        <c:dLbls>
          <c:showLegendKey val="0"/>
          <c:showVal val="0"/>
          <c:showCatName val="0"/>
          <c:showSerName val="0"/>
          <c:showPercent val="0"/>
          <c:showBubbleSize val="0"/>
        </c:dLbls>
        <c:gapWidth val="246"/>
        <c:overlap val="-28"/>
        <c:axId val="234781646"/>
        <c:axId val="968185890"/>
      </c:barChart>
      <c:catAx>
        <c:axId val="23478164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68185890"/>
        <c:crosses val="autoZero"/>
        <c:auto val="1"/>
        <c:lblAlgn val="ctr"/>
        <c:lblOffset val="100"/>
        <c:noMultiLvlLbl val="0"/>
      </c:catAx>
      <c:valAx>
        <c:axId val="968185890"/>
        <c:scaling>
          <c:orientation val="minMax"/>
        </c:scaling>
        <c:delete val="0"/>
        <c:axPos val="l"/>
        <c:majorGridlines>
          <c:spPr>
            <a:ln w="9525" cap="flat" cmpd="sng" algn="ctr">
              <a:solidFill>
                <a:schemeClr val="bg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3478164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dk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一般公共预算财政拨款支出决算结构</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Pt>
            <c:idx val="8"/>
            <c:bubble3D val="0"/>
            <c:spPr>
              <a:solidFill>
                <a:schemeClr val="accent3">
                  <a:lumMod val="60000"/>
                </a:schemeClr>
              </a:solidFill>
              <a:ln>
                <a:solidFill>
                  <a:schemeClr val="bg1"/>
                </a:solidFill>
              </a:ln>
              <a:effectLst/>
            </c:spPr>
          </c:dPt>
          <c:dPt>
            <c:idx val="9"/>
            <c:bubble3D val="0"/>
            <c:spPr>
              <a:solidFill>
                <a:schemeClr val="accent4">
                  <a:lumMod val="60000"/>
                </a:schemeClr>
              </a:solidFill>
              <a:ln>
                <a:solidFill>
                  <a:schemeClr val="bg1"/>
                </a:solidFill>
              </a:ln>
              <a:effectLst/>
            </c:spPr>
          </c:dPt>
          <c:dLbls>
            <c:delete val="1"/>
          </c:dLbls>
          <c:cat>
            <c:strRef>
              <c:f>Sheet1!$A$2:$A$11</c:f>
              <c:strCache>
                <c:ptCount val="10"/>
                <c:pt idx="0">
                  <c:v>一般公共服务支出</c:v>
                </c:pt>
                <c:pt idx="1">
                  <c:v>公共安全支出</c:v>
                </c:pt>
                <c:pt idx="2">
                  <c:v>文化旅游体育与传媒支出</c:v>
                </c:pt>
                <c:pt idx="3">
                  <c:v>社会保障和就业支出</c:v>
                </c:pt>
                <c:pt idx="4">
                  <c:v>卫生健康支出</c:v>
                </c:pt>
                <c:pt idx="5">
                  <c:v>节能环保支出</c:v>
                </c:pt>
                <c:pt idx="6">
                  <c:v>城乡社区支出</c:v>
                </c:pt>
                <c:pt idx="7">
                  <c:v>农林水支出</c:v>
                </c:pt>
                <c:pt idx="8">
                  <c:v>交通运输支出</c:v>
                </c:pt>
                <c:pt idx="9">
                  <c:v>住房保障支出</c:v>
                </c:pt>
              </c:strCache>
            </c:strRef>
          </c:cat>
          <c:val>
            <c:numRef>
              <c:f>Sheet1!$B$2:$B$11</c:f>
              <c:numCache>
                <c:formatCode>General</c:formatCode>
                <c:ptCount val="10"/>
                <c:pt idx="0">
                  <c:v>665.51</c:v>
                </c:pt>
                <c:pt idx="1">
                  <c:v>6.3</c:v>
                </c:pt>
                <c:pt idx="2">
                  <c:v>23.83</c:v>
                </c:pt>
                <c:pt idx="3">
                  <c:v>258.63</c:v>
                </c:pt>
                <c:pt idx="4">
                  <c:v>102.31</c:v>
                </c:pt>
                <c:pt idx="5">
                  <c:v>82.7</c:v>
                </c:pt>
                <c:pt idx="6">
                  <c:v>39.68</c:v>
                </c:pt>
                <c:pt idx="7">
                  <c:v>763.24</c:v>
                </c:pt>
                <c:pt idx="8">
                  <c:v>6.73</c:v>
                </c:pt>
                <c:pt idx="9">
                  <c:v>91.06</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dk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“三公”经费财政拨款支出结构</c:v>
                </c:pt>
              </c:strCache>
            </c:strRef>
          </c:tx>
          <c:spPr/>
          <c:explosion val="0"/>
          <c:dPt>
            <c:idx val="0"/>
            <c:bubble3D val="0"/>
            <c:spPr>
              <a:solidFill>
                <a:schemeClr val="accent1"/>
              </a:solidFill>
              <a:ln>
                <a:solidFill>
                  <a:schemeClr val="bg1"/>
                </a:solidFill>
              </a:ln>
              <a:effectLst/>
            </c:spPr>
          </c:dPt>
          <c:dPt>
            <c:idx val="1"/>
            <c:bubble3D val="0"/>
            <c:spPr>
              <a:solidFill>
                <a:schemeClr val="accent5">
                  <a:lumMod val="75000"/>
                </a:schemeClr>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Lbls>
            <c:delete val="1"/>
          </c:dLbls>
          <c:cat>
            <c:strRef>
              <c:f>Sheet1!$A$2:$A$7</c:f>
              <c:strCache>
                <c:ptCount val="6"/>
                <c:pt idx="0">
                  <c:v>因公出国（境）费支出</c:v>
                </c:pt>
                <c:pt idx="1">
                  <c:v>公务用车购置及运行维护费支出</c:v>
                </c:pt>
                <c:pt idx="2">
                  <c:v>公务接待费支出</c:v>
                </c:pt>
              </c:strCache>
            </c:strRef>
          </c:cat>
          <c:val>
            <c:numRef>
              <c:f>Sheet1!$B$2:$B$7</c:f>
              <c:numCache>
                <c:formatCode>General</c:formatCode>
                <c:ptCount val="6"/>
                <c:pt idx="0">
                  <c:v>0</c:v>
                </c:pt>
                <c:pt idx="1">
                  <c:v>10.4</c:v>
                </c:pt>
                <c:pt idx="2">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egendEntry>
        <c:idx val="3"/>
        <c:delete val="1"/>
      </c:legendEntry>
      <c:legendEntry>
        <c:idx val="4"/>
        <c:delete val="1"/>
      </c:legendEntry>
      <c:legendEntry>
        <c:idx val="5"/>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17</Pages>
  <Words>877</Words>
  <Characters>5004</Characters>
  <Lines>41</Lines>
  <Paragraphs>11</Paragraphs>
  <TotalTime>3</TotalTime>
  <ScaleCrop>false</ScaleCrop>
  <LinksUpToDate>false</LinksUpToDate>
  <CharactersWithSpaces>5870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2023-10-11T02:29:00Z</dcterms:created>
  <dc:creator>曹颖</dc:creator>
  <cp:lastModifiedBy>Administrator</cp:lastModifiedBy>
  <cp:lastPrinted>2023-11-23T09:08:00Z</cp:lastPrinted>
  <dcterms:modified xsi:type="dcterms:W3CDTF">2024-05-11T02:02:17Z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D19A3603321D47E4B91B1E34952A0926_12</vt:lpwstr>
  </property>
</Properties>
</file>