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spacing w:line="360" w:lineRule="auto"/>
        <w:jc w:val="center"/>
        <w:rPr>
          <w:rFonts w:hint="eastAsia" w:ascii="方正小标宋简体" w:hAnsi="方正小标宋简体" w:eastAsia="方正小标宋简体"/>
          <w:kern w:val="2"/>
          <w:sz w:val="72"/>
          <w:szCs w:val="24"/>
          <w:lang w:val="zh-CN"/>
        </w:rPr>
      </w:pPr>
      <w:r>
        <w:rPr>
          <w:rFonts w:hint="eastAsia" w:ascii="方正小标宋简体" w:hAnsi="方正小标宋简体" w:eastAsia="方正小标宋简体"/>
          <w:kern w:val="2"/>
          <w:sz w:val="72"/>
          <w:szCs w:val="24"/>
          <w:lang w:val="zh-CN"/>
        </w:rPr>
        <w:t>2022年度</w:t>
      </w:r>
    </w:p>
    <w:p>
      <w:pPr>
        <w:keepNext/>
        <w:spacing w:line="360" w:lineRule="auto"/>
        <w:jc w:val="center"/>
        <w:rPr>
          <w:rFonts w:hint="eastAsia" w:ascii="方正小标宋简体" w:hAnsi="方正小标宋简体" w:eastAsia="方正小标宋简体"/>
          <w:kern w:val="2"/>
          <w:sz w:val="72"/>
          <w:szCs w:val="24"/>
          <w:lang w:val="zh-CN"/>
        </w:rPr>
      </w:pPr>
      <w:r>
        <w:rPr>
          <w:rFonts w:hint="eastAsia" w:ascii="方正小标宋简体" w:hAnsi="方正小标宋简体" w:eastAsia="方正小标宋简体"/>
          <w:kern w:val="2"/>
          <w:sz w:val="72"/>
          <w:szCs w:val="24"/>
          <w:lang w:val="zh-CN"/>
        </w:rPr>
        <w:t>盐边县共和乡人民政府部门决算</w:t>
      </w:r>
    </w:p>
    <w:p>
      <w:pPr>
        <w:keepNext/>
        <w:tabs>
          <w:tab w:val="right" w:leader="dot" w:pos="8296"/>
        </w:tabs>
        <w:spacing w:line="576" w:lineRule="exact"/>
        <w:rPr>
          <w:rFonts w:hint="eastAsia" w:ascii="黑体" w:hAnsi="黑体" w:eastAsia="黑体"/>
          <w:b/>
          <w:color w:val="FF0000"/>
          <w:kern w:val="2"/>
          <w:sz w:val="48"/>
          <w:szCs w:val="24"/>
          <w:lang w:val="zh-CN"/>
        </w:rPr>
      </w:pPr>
    </w:p>
    <w:p>
      <w:pPr>
        <w:keepNext/>
        <w:jc w:val="center"/>
        <w:rPr>
          <w:rFonts w:hint="eastAsia" w:ascii="黑体" w:hAnsi="黑体" w:eastAsia="黑体"/>
          <w:color w:val="auto"/>
          <w:kern w:val="2"/>
          <w:sz w:val="48"/>
          <w:szCs w:val="24"/>
          <w:lang w:val="zh-CN"/>
        </w:rPr>
      </w:pPr>
      <w:r>
        <w:rPr>
          <w:rFonts w:hint="eastAsia" w:ascii="黑体" w:hAnsi="黑体" w:eastAsia="黑体"/>
          <w:color w:val="auto"/>
          <w:kern w:val="2"/>
          <w:sz w:val="48"/>
          <w:szCs w:val="24"/>
          <w:lang w:val="zh-CN"/>
        </w:rPr>
        <w:br w:type="page"/>
      </w:r>
      <w:r>
        <w:rPr>
          <w:rFonts w:hint="eastAsia" w:ascii="黑体" w:hAnsi="黑体" w:eastAsia="黑体"/>
          <w:color w:val="auto"/>
          <w:kern w:val="2"/>
          <w:sz w:val="48"/>
          <w:szCs w:val="24"/>
          <w:lang w:val="zh-CN"/>
        </w:rPr>
        <w:t>目录</w:t>
      </w:r>
    </w:p>
    <w:p>
      <w:pPr>
        <w:keepNext/>
        <w:jc w:val="center"/>
        <w:rPr>
          <w:rFonts w:hint="eastAsia" w:ascii="黑体" w:hAnsi="黑体" w:eastAsia="黑体"/>
          <w:color w:val="auto"/>
          <w:kern w:val="2"/>
          <w:sz w:val="28"/>
          <w:szCs w:val="24"/>
          <w:lang w:val="zh-CN"/>
        </w:rPr>
      </w:pPr>
    </w:p>
    <w:p>
      <w:pPr>
        <w:keepNext/>
        <w:tabs>
          <w:tab w:val="right" w:leader="dot" w:pos="8296"/>
        </w:tabs>
        <w:spacing w:before="93"/>
        <w:jc w:val="center"/>
        <w:rPr>
          <w:rFonts w:hint="eastAsia" w:ascii="仿宋" w:hAnsi="仿宋" w:eastAsia="仿宋"/>
          <w:color w:val="auto"/>
          <w:kern w:val="2"/>
          <w:sz w:val="28"/>
          <w:szCs w:val="24"/>
          <w:lang w:val="zh-CN"/>
        </w:rPr>
      </w:pPr>
      <w:r>
        <w:rPr>
          <w:rFonts w:hint="eastAsia" w:ascii="仿宋" w:hAnsi="仿宋" w:eastAsia="仿宋"/>
          <w:color w:val="auto"/>
          <w:kern w:val="2"/>
          <w:sz w:val="28"/>
          <w:szCs w:val="24"/>
          <w:lang w:val="zh-CN"/>
        </w:rPr>
        <w:t>公开时间：2023年</w:t>
      </w:r>
      <w:r>
        <w:rPr>
          <w:rFonts w:hint="eastAsia" w:ascii="仿宋" w:hAnsi="仿宋" w:eastAsia="仿宋"/>
          <w:color w:val="auto"/>
          <w:kern w:val="2"/>
          <w:sz w:val="28"/>
          <w:szCs w:val="24"/>
          <w:lang w:val="en-US" w:eastAsia="zh-CN"/>
        </w:rPr>
        <w:t>12</w:t>
      </w:r>
      <w:r>
        <w:rPr>
          <w:rFonts w:hint="eastAsia" w:ascii="仿宋" w:hAnsi="仿宋" w:eastAsia="仿宋"/>
          <w:color w:val="auto"/>
          <w:kern w:val="2"/>
          <w:sz w:val="28"/>
          <w:szCs w:val="24"/>
          <w:lang w:val="zh-CN"/>
        </w:rPr>
        <w:t>月</w:t>
      </w:r>
      <w:r>
        <w:rPr>
          <w:rFonts w:hint="eastAsia" w:ascii="仿宋" w:hAnsi="仿宋" w:eastAsia="仿宋"/>
          <w:color w:val="auto"/>
          <w:kern w:val="2"/>
          <w:sz w:val="28"/>
          <w:szCs w:val="24"/>
          <w:lang w:val="en-US" w:eastAsia="zh-CN"/>
        </w:rPr>
        <w:t>28</w:t>
      </w:r>
      <w:r>
        <w:rPr>
          <w:rFonts w:hint="eastAsia" w:ascii="仿宋" w:hAnsi="仿宋" w:eastAsia="仿宋"/>
          <w:color w:val="auto"/>
          <w:kern w:val="2"/>
          <w:sz w:val="28"/>
          <w:szCs w:val="24"/>
          <w:lang w:val="zh-CN"/>
        </w:rPr>
        <w:t>日</w:t>
      </w:r>
    </w:p>
    <w:p>
      <w:pPr>
        <w:jc w:val="both"/>
        <w:rPr>
          <w:rFonts w:hint="default"/>
          <w:sz w:val="24"/>
          <w:szCs w:val="24"/>
        </w:rPr>
      </w:pPr>
    </w:p>
    <w:p>
      <w:pPr>
        <w:pStyle w:val="9"/>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TOC \o "1-3" \h \u </w:instrText>
      </w:r>
      <w:r>
        <w:rPr>
          <w:rFonts w:hint="default"/>
          <w:sz w:val="24"/>
          <w:szCs w:val="24"/>
        </w:rPr>
        <w:fldChar w:fldCharType="separate"/>
      </w:r>
      <w:r>
        <w:rPr>
          <w:rFonts w:hint="default"/>
          <w:sz w:val="24"/>
          <w:szCs w:val="24"/>
        </w:rPr>
        <w:fldChar w:fldCharType="begin"/>
      </w:r>
      <w:r>
        <w:rPr>
          <w:rFonts w:hint="default"/>
          <w:sz w:val="24"/>
          <w:szCs w:val="24"/>
        </w:rPr>
        <w:instrText xml:space="preserve"> HYPERLINK \l _Toc107 </w:instrText>
      </w:r>
      <w:r>
        <w:rPr>
          <w:rFonts w:hint="default"/>
          <w:sz w:val="24"/>
          <w:szCs w:val="24"/>
        </w:rPr>
        <w:fldChar w:fldCharType="separate"/>
      </w:r>
      <w:r>
        <w:rPr>
          <w:rFonts w:hint="eastAsia" w:ascii="黑体" w:hAnsi="黑体" w:eastAsia="黑体"/>
          <w:kern w:val="44"/>
          <w:sz w:val="24"/>
          <w:szCs w:val="24"/>
          <w:lang w:val="zh-CN"/>
        </w:rPr>
        <w:t>第一部分部门概况</w:t>
      </w:r>
      <w:r>
        <w:rPr>
          <w:rFonts w:hint="default"/>
          <w:sz w:val="24"/>
          <w:szCs w:val="24"/>
        </w:rPr>
        <w:tab/>
      </w:r>
      <w:r>
        <w:rPr>
          <w:rFonts w:hint="default"/>
          <w:sz w:val="24"/>
          <w:szCs w:val="24"/>
        </w:rPr>
        <w:fldChar w:fldCharType="begin"/>
      </w:r>
      <w:r>
        <w:rPr>
          <w:rFonts w:hint="default"/>
          <w:sz w:val="24"/>
          <w:szCs w:val="24"/>
        </w:rPr>
        <w:instrText xml:space="preserve"> PAGEREF _Toc107 \h </w:instrText>
      </w:r>
      <w:r>
        <w:rPr>
          <w:rFonts w:hint="default"/>
          <w:sz w:val="24"/>
          <w:szCs w:val="24"/>
        </w:rPr>
        <w:fldChar w:fldCharType="separate"/>
      </w:r>
      <w:r>
        <w:rPr>
          <w:rFonts w:hint="default"/>
          <w:sz w:val="24"/>
          <w:szCs w:val="24"/>
        </w:rPr>
        <w:t>1</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_Toc32231 </w:instrText>
      </w:r>
      <w:r>
        <w:rPr>
          <w:rFonts w:hint="default"/>
          <w:sz w:val="24"/>
          <w:szCs w:val="24"/>
        </w:rPr>
        <w:fldChar w:fldCharType="separate"/>
      </w:r>
      <w:r>
        <w:rPr>
          <w:rFonts w:hint="eastAsia" w:ascii="黑体" w:hAnsi="黑体" w:eastAsia="黑体"/>
          <w:kern w:val="2"/>
          <w:sz w:val="24"/>
          <w:szCs w:val="24"/>
          <w:lang w:val="zh-CN"/>
        </w:rPr>
        <w:t>一、 部门职责</w:t>
      </w:r>
      <w:r>
        <w:rPr>
          <w:rFonts w:hint="default"/>
          <w:sz w:val="24"/>
          <w:szCs w:val="24"/>
        </w:rPr>
        <w:tab/>
      </w:r>
      <w:r>
        <w:rPr>
          <w:rFonts w:hint="default"/>
          <w:sz w:val="24"/>
          <w:szCs w:val="24"/>
        </w:rPr>
        <w:fldChar w:fldCharType="begin"/>
      </w:r>
      <w:r>
        <w:rPr>
          <w:rFonts w:hint="default"/>
          <w:sz w:val="24"/>
          <w:szCs w:val="24"/>
        </w:rPr>
        <w:instrText xml:space="preserve"> PAGEREF _Toc32231 \h </w:instrText>
      </w:r>
      <w:r>
        <w:rPr>
          <w:rFonts w:hint="default"/>
          <w:sz w:val="24"/>
          <w:szCs w:val="24"/>
        </w:rPr>
        <w:fldChar w:fldCharType="separate"/>
      </w:r>
      <w:r>
        <w:rPr>
          <w:rFonts w:hint="default"/>
          <w:sz w:val="24"/>
          <w:szCs w:val="24"/>
        </w:rPr>
        <w:t>1</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_Toc6253 </w:instrText>
      </w:r>
      <w:r>
        <w:rPr>
          <w:rFonts w:hint="default"/>
          <w:sz w:val="24"/>
          <w:szCs w:val="24"/>
        </w:rPr>
        <w:fldChar w:fldCharType="separate"/>
      </w:r>
      <w:r>
        <w:rPr>
          <w:rFonts w:hint="eastAsia" w:ascii="黑体" w:hAnsi="黑体" w:eastAsia="黑体"/>
          <w:kern w:val="2"/>
          <w:sz w:val="24"/>
          <w:szCs w:val="24"/>
          <w:lang w:val="zh-CN"/>
        </w:rPr>
        <w:t>二、机构设置</w:t>
      </w:r>
      <w:r>
        <w:rPr>
          <w:rFonts w:hint="default"/>
          <w:sz w:val="24"/>
          <w:szCs w:val="24"/>
        </w:rPr>
        <w:tab/>
      </w:r>
      <w:r>
        <w:rPr>
          <w:rFonts w:hint="default"/>
          <w:sz w:val="24"/>
          <w:szCs w:val="24"/>
        </w:rPr>
        <w:fldChar w:fldCharType="begin"/>
      </w:r>
      <w:r>
        <w:rPr>
          <w:rFonts w:hint="default"/>
          <w:sz w:val="24"/>
          <w:szCs w:val="24"/>
        </w:rPr>
        <w:instrText xml:space="preserve"> PAGEREF _Toc6253 \h </w:instrText>
      </w:r>
      <w:r>
        <w:rPr>
          <w:rFonts w:hint="default"/>
          <w:sz w:val="24"/>
          <w:szCs w:val="24"/>
        </w:rPr>
        <w:fldChar w:fldCharType="separate"/>
      </w:r>
      <w:r>
        <w:rPr>
          <w:rFonts w:hint="default"/>
          <w:sz w:val="24"/>
          <w:szCs w:val="24"/>
        </w:rPr>
        <w:t>4</w:t>
      </w:r>
      <w:r>
        <w:rPr>
          <w:rFonts w:hint="default"/>
          <w:sz w:val="24"/>
          <w:szCs w:val="24"/>
        </w:rPr>
        <w:fldChar w:fldCharType="end"/>
      </w:r>
      <w:r>
        <w:rPr>
          <w:rFonts w:hint="default"/>
          <w:sz w:val="24"/>
          <w:szCs w:val="24"/>
        </w:rPr>
        <w:fldChar w:fldCharType="end"/>
      </w:r>
    </w:p>
    <w:p>
      <w:pPr>
        <w:pStyle w:val="9"/>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_Toc30686 </w:instrText>
      </w:r>
      <w:r>
        <w:rPr>
          <w:rFonts w:hint="default"/>
          <w:sz w:val="24"/>
          <w:szCs w:val="24"/>
        </w:rPr>
        <w:fldChar w:fldCharType="separate"/>
      </w:r>
      <w:r>
        <w:rPr>
          <w:rFonts w:hint="eastAsia" w:ascii="黑体" w:hAnsi="黑体" w:eastAsia="黑体" w:cs="Times New Roman"/>
          <w:kern w:val="44"/>
          <w:sz w:val="24"/>
          <w:szCs w:val="24"/>
          <w:lang w:val="zh-CN"/>
        </w:rPr>
        <w:t>第二部分2022年度部门决算情况说明</w:t>
      </w:r>
      <w:r>
        <w:rPr>
          <w:rFonts w:hint="default"/>
          <w:sz w:val="24"/>
          <w:szCs w:val="24"/>
        </w:rPr>
        <w:tab/>
      </w:r>
      <w:r>
        <w:rPr>
          <w:rFonts w:hint="default"/>
          <w:sz w:val="24"/>
          <w:szCs w:val="24"/>
        </w:rPr>
        <w:fldChar w:fldCharType="begin"/>
      </w:r>
      <w:r>
        <w:rPr>
          <w:rFonts w:hint="default"/>
          <w:sz w:val="24"/>
          <w:szCs w:val="24"/>
        </w:rPr>
        <w:instrText xml:space="preserve"> PAGEREF _Toc30686 \h </w:instrText>
      </w:r>
      <w:r>
        <w:rPr>
          <w:rFonts w:hint="default"/>
          <w:sz w:val="24"/>
          <w:szCs w:val="24"/>
        </w:rPr>
        <w:fldChar w:fldCharType="separate"/>
      </w:r>
      <w:r>
        <w:rPr>
          <w:rFonts w:hint="default"/>
          <w:sz w:val="24"/>
          <w:szCs w:val="24"/>
        </w:rPr>
        <w:t>4</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_Toc21678 </w:instrText>
      </w:r>
      <w:r>
        <w:rPr>
          <w:rFonts w:hint="default"/>
          <w:sz w:val="24"/>
          <w:szCs w:val="24"/>
        </w:rPr>
        <w:fldChar w:fldCharType="separate"/>
      </w:r>
      <w:r>
        <w:rPr>
          <w:rFonts w:hint="eastAsia" w:ascii="黑体" w:hAnsi="黑体" w:eastAsia="黑体"/>
          <w:kern w:val="2"/>
          <w:sz w:val="24"/>
          <w:szCs w:val="24"/>
          <w:lang w:val="zh-CN"/>
        </w:rPr>
        <w:t>一、收入支出决算总体情况说明</w:t>
      </w:r>
      <w:r>
        <w:rPr>
          <w:rFonts w:hint="default"/>
          <w:sz w:val="24"/>
          <w:szCs w:val="24"/>
        </w:rPr>
        <w:tab/>
      </w:r>
      <w:r>
        <w:rPr>
          <w:rFonts w:hint="default"/>
          <w:sz w:val="24"/>
          <w:szCs w:val="24"/>
        </w:rPr>
        <w:fldChar w:fldCharType="begin"/>
      </w:r>
      <w:r>
        <w:rPr>
          <w:rFonts w:hint="default"/>
          <w:sz w:val="24"/>
          <w:szCs w:val="24"/>
        </w:rPr>
        <w:instrText xml:space="preserve"> PAGEREF _Toc21678 \h </w:instrText>
      </w:r>
      <w:r>
        <w:rPr>
          <w:rFonts w:hint="default"/>
          <w:sz w:val="24"/>
          <w:szCs w:val="24"/>
        </w:rPr>
        <w:fldChar w:fldCharType="separate"/>
      </w:r>
      <w:r>
        <w:rPr>
          <w:rFonts w:hint="default"/>
          <w:sz w:val="24"/>
          <w:szCs w:val="24"/>
        </w:rPr>
        <w:t>4</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_Toc29763 </w:instrText>
      </w:r>
      <w:r>
        <w:rPr>
          <w:rFonts w:hint="default"/>
          <w:sz w:val="24"/>
          <w:szCs w:val="24"/>
        </w:rPr>
        <w:fldChar w:fldCharType="separate"/>
      </w:r>
      <w:r>
        <w:rPr>
          <w:rFonts w:hint="eastAsia" w:ascii="黑体" w:hAnsi="黑体" w:eastAsia="黑体"/>
          <w:kern w:val="2"/>
          <w:sz w:val="24"/>
          <w:szCs w:val="24"/>
          <w:lang w:val="zh-CN"/>
        </w:rPr>
        <w:t>二、收入决算情况说明</w:t>
      </w:r>
      <w:r>
        <w:rPr>
          <w:rFonts w:hint="default"/>
          <w:sz w:val="24"/>
          <w:szCs w:val="24"/>
        </w:rPr>
        <w:tab/>
      </w:r>
      <w:r>
        <w:rPr>
          <w:rFonts w:hint="default"/>
          <w:sz w:val="24"/>
          <w:szCs w:val="24"/>
        </w:rPr>
        <w:fldChar w:fldCharType="begin"/>
      </w:r>
      <w:r>
        <w:rPr>
          <w:rFonts w:hint="default"/>
          <w:sz w:val="24"/>
          <w:szCs w:val="24"/>
        </w:rPr>
        <w:instrText xml:space="preserve"> PAGEREF _Toc29763 \h </w:instrText>
      </w:r>
      <w:r>
        <w:rPr>
          <w:rFonts w:hint="default"/>
          <w:sz w:val="24"/>
          <w:szCs w:val="24"/>
        </w:rPr>
        <w:fldChar w:fldCharType="separate"/>
      </w:r>
      <w:r>
        <w:rPr>
          <w:rFonts w:hint="default"/>
          <w:sz w:val="24"/>
          <w:szCs w:val="24"/>
        </w:rPr>
        <w:t>5</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_Toc15649 </w:instrText>
      </w:r>
      <w:r>
        <w:rPr>
          <w:rFonts w:hint="default"/>
          <w:sz w:val="24"/>
          <w:szCs w:val="24"/>
        </w:rPr>
        <w:fldChar w:fldCharType="separate"/>
      </w:r>
      <w:r>
        <w:rPr>
          <w:rFonts w:hint="eastAsia" w:ascii="黑体" w:hAnsi="黑体" w:eastAsia="黑体"/>
          <w:kern w:val="2"/>
          <w:sz w:val="24"/>
          <w:szCs w:val="24"/>
          <w:lang w:val="zh-CN"/>
        </w:rPr>
        <w:t>三、支出决算情况说明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_Toc15649 \h </w:instrText>
      </w:r>
      <w:r>
        <w:rPr>
          <w:rFonts w:hint="default"/>
          <w:sz w:val="24"/>
          <w:szCs w:val="24"/>
        </w:rPr>
        <w:fldChar w:fldCharType="separate"/>
      </w:r>
      <w:r>
        <w:rPr>
          <w:rFonts w:hint="default"/>
          <w:sz w:val="24"/>
          <w:szCs w:val="24"/>
        </w:rPr>
        <w:t>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_Toc20133 </w:instrText>
      </w:r>
      <w:r>
        <w:rPr>
          <w:rFonts w:hint="default"/>
          <w:sz w:val="24"/>
          <w:szCs w:val="24"/>
        </w:rPr>
        <w:fldChar w:fldCharType="separate"/>
      </w:r>
      <w:r>
        <w:rPr>
          <w:rFonts w:hint="eastAsia" w:ascii="黑体" w:hAnsi="黑体" w:eastAsia="黑体"/>
          <w:kern w:val="2"/>
          <w:sz w:val="24"/>
          <w:szCs w:val="24"/>
          <w:lang w:val="zh-CN"/>
        </w:rPr>
        <w:t>四、财政拨款收入支出决算总体情况说明</w:t>
      </w:r>
      <w:r>
        <w:rPr>
          <w:rFonts w:hint="default"/>
          <w:sz w:val="24"/>
          <w:szCs w:val="24"/>
        </w:rPr>
        <w:tab/>
      </w:r>
      <w:r>
        <w:rPr>
          <w:rFonts w:hint="default"/>
          <w:sz w:val="24"/>
          <w:szCs w:val="24"/>
        </w:rPr>
        <w:fldChar w:fldCharType="begin"/>
      </w:r>
      <w:r>
        <w:rPr>
          <w:rFonts w:hint="default"/>
          <w:sz w:val="24"/>
          <w:szCs w:val="24"/>
        </w:rPr>
        <w:instrText xml:space="preserve"> PAGEREF _Toc20133 \h </w:instrText>
      </w:r>
      <w:r>
        <w:rPr>
          <w:rFonts w:hint="default"/>
          <w:sz w:val="24"/>
          <w:szCs w:val="24"/>
        </w:rPr>
        <w:fldChar w:fldCharType="separate"/>
      </w:r>
      <w:r>
        <w:rPr>
          <w:rFonts w:hint="default"/>
          <w:sz w:val="24"/>
          <w:szCs w:val="24"/>
        </w:rPr>
        <w:t>7</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_Toc27893 </w:instrText>
      </w:r>
      <w:r>
        <w:rPr>
          <w:rFonts w:hint="default"/>
          <w:sz w:val="24"/>
          <w:szCs w:val="24"/>
        </w:rPr>
        <w:fldChar w:fldCharType="separate"/>
      </w:r>
      <w:r>
        <w:rPr>
          <w:rFonts w:hint="eastAsia" w:ascii="黑体" w:hAnsi="黑体" w:eastAsia="黑体"/>
          <w:kern w:val="2"/>
          <w:sz w:val="24"/>
          <w:szCs w:val="24"/>
          <w:lang w:val="zh-CN"/>
        </w:rPr>
        <w:t>五、一般公共预算财政拨款支出决算情况说明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_Toc27893 \h </w:instrText>
      </w:r>
      <w:r>
        <w:rPr>
          <w:rFonts w:hint="default"/>
          <w:sz w:val="24"/>
          <w:szCs w:val="24"/>
        </w:rPr>
        <w:fldChar w:fldCharType="separate"/>
      </w:r>
      <w:r>
        <w:rPr>
          <w:rFonts w:hint="default"/>
          <w:sz w:val="24"/>
          <w:szCs w:val="24"/>
        </w:rPr>
        <w:t>8</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_Toc21460 </w:instrText>
      </w:r>
      <w:r>
        <w:rPr>
          <w:rFonts w:hint="default"/>
          <w:sz w:val="24"/>
          <w:szCs w:val="24"/>
        </w:rPr>
        <w:fldChar w:fldCharType="separate"/>
      </w:r>
      <w:r>
        <w:rPr>
          <w:rFonts w:hint="eastAsia" w:ascii="黑体" w:hAnsi="黑体" w:eastAsia="黑体"/>
          <w:kern w:val="2"/>
          <w:sz w:val="24"/>
          <w:szCs w:val="24"/>
          <w:lang w:val="zh-CN"/>
        </w:rPr>
        <w:t>六、一般公共预算财政拨款基本支出决算情况说明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_Toc21460 \h </w:instrText>
      </w:r>
      <w:r>
        <w:rPr>
          <w:rFonts w:hint="default"/>
          <w:sz w:val="24"/>
          <w:szCs w:val="24"/>
        </w:rPr>
        <w:fldChar w:fldCharType="separate"/>
      </w:r>
      <w:r>
        <w:rPr>
          <w:rFonts w:hint="default"/>
          <w:sz w:val="24"/>
          <w:szCs w:val="24"/>
        </w:rPr>
        <w:t>14</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_Toc10061 </w:instrText>
      </w:r>
      <w:r>
        <w:rPr>
          <w:rFonts w:hint="default"/>
          <w:sz w:val="24"/>
          <w:szCs w:val="24"/>
        </w:rPr>
        <w:fldChar w:fldCharType="separate"/>
      </w:r>
      <w:r>
        <w:rPr>
          <w:rFonts w:hint="eastAsia" w:ascii="黑体" w:hAnsi="黑体" w:eastAsia="黑体"/>
          <w:kern w:val="2"/>
          <w:sz w:val="24"/>
          <w:szCs w:val="24"/>
          <w:lang w:val="zh-CN"/>
        </w:rPr>
        <w:t>七、“三公”经费财政拨款支出决算情况说明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_Toc10061 \h </w:instrText>
      </w:r>
      <w:r>
        <w:rPr>
          <w:rFonts w:hint="default"/>
          <w:sz w:val="24"/>
          <w:szCs w:val="24"/>
        </w:rPr>
        <w:fldChar w:fldCharType="separate"/>
      </w:r>
      <w:r>
        <w:rPr>
          <w:rFonts w:hint="default"/>
          <w:sz w:val="24"/>
          <w:szCs w:val="24"/>
        </w:rPr>
        <w:t>15</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_Toc25532 </w:instrText>
      </w:r>
      <w:r>
        <w:rPr>
          <w:rFonts w:hint="default"/>
          <w:sz w:val="24"/>
          <w:szCs w:val="24"/>
        </w:rPr>
        <w:fldChar w:fldCharType="separate"/>
      </w:r>
      <w:r>
        <w:rPr>
          <w:rFonts w:hint="eastAsia" w:ascii="黑体" w:hAnsi="黑体" w:eastAsia="黑体"/>
          <w:kern w:val="2"/>
          <w:sz w:val="24"/>
          <w:szCs w:val="24"/>
          <w:lang w:val="zh-CN"/>
        </w:rPr>
        <w:t>八、政府性基金预算支出决算情况说明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_Toc25532 \h </w:instrText>
      </w:r>
      <w:r>
        <w:rPr>
          <w:rFonts w:hint="default"/>
          <w:sz w:val="24"/>
          <w:szCs w:val="24"/>
        </w:rPr>
        <w:fldChar w:fldCharType="separate"/>
      </w:r>
      <w:r>
        <w:rPr>
          <w:rFonts w:hint="default"/>
          <w:sz w:val="24"/>
          <w:szCs w:val="24"/>
        </w:rPr>
        <w:t>16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_Toc9948 </w:instrText>
      </w:r>
      <w:r>
        <w:rPr>
          <w:rFonts w:hint="default"/>
          <w:sz w:val="24"/>
          <w:szCs w:val="24"/>
        </w:rPr>
        <w:fldChar w:fldCharType="separate"/>
      </w:r>
      <w:r>
        <w:rPr>
          <w:rFonts w:hint="eastAsia" w:ascii="黑体" w:hAnsi="黑体" w:eastAsia="黑体"/>
          <w:kern w:val="2"/>
          <w:sz w:val="24"/>
          <w:szCs w:val="24"/>
          <w:lang w:val="zh-CN"/>
        </w:rPr>
        <w:t>九、国有资本经营预算支出决算情况说明</w:t>
      </w:r>
      <w:r>
        <w:rPr>
          <w:rFonts w:hint="default"/>
          <w:sz w:val="24"/>
          <w:szCs w:val="24"/>
        </w:rPr>
        <w:tab/>
      </w:r>
      <w:r>
        <w:rPr>
          <w:rFonts w:hint="default"/>
          <w:sz w:val="24"/>
          <w:szCs w:val="24"/>
        </w:rPr>
        <w:fldChar w:fldCharType="begin"/>
      </w:r>
      <w:r>
        <w:rPr>
          <w:rFonts w:hint="default"/>
          <w:sz w:val="24"/>
          <w:szCs w:val="24"/>
        </w:rPr>
        <w:instrText xml:space="preserve"> PAGEREF _Toc9948 \h </w:instrText>
      </w:r>
      <w:r>
        <w:rPr>
          <w:rFonts w:hint="default"/>
          <w:sz w:val="24"/>
          <w:szCs w:val="24"/>
        </w:rPr>
        <w:fldChar w:fldCharType="separate"/>
      </w:r>
      <w:r>
        <w:rPr>
          <w:rFonts w:hint="default"/>
          <w:sz w:val="24"/>
          <w:szCs w:val="24"/>
        </w:rPr>
        <w:t>17</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_Toc4904 </w:instrText>
      </w:r>
      <w:r>
        <w:rPr>
          <w:rFonts w:hint="default"/>
          <w:sz w:val="24"/>
          <w:szCs w:val="24"/>
        </w:rPr>
        <w:fldChar w:fldCharType="separate"/>
      </w:r>
      <w:r>
        <w:rPr>
          <w:rFonts w:hint="eastAsia" w:ascii="黑体" w:hAnsi="黑体" w:eastAsia="黑体"/>
          <w:kern w:val="2"/>
          <w:sz w:val="24"/>
          <w:szCs w:val="24"/>
          <w:lang w:val="zh-CN"/>
        </w:rPr>
        <w:t>十、其他重要事项的情况说明</w:t>
      </w:r>
      <w:r>
        <w:rPr>
          <w:rFonts w:hint="default"/>
          <w:sz w:val="24"/>
          <w:szCs w:val="24"/>
        </w:rPr>
        <w:tab/>
      </w:r>
      <w:r>
        <w:rPr>
          <w:rFonts w:hint="default"/>
          <w:sz w:val="24"/>
          <w:szCs w:val="24"/>
        </w:rPr>
        <w:fldChar w:fldCharType="begin"/>
      </w:r>
      <w:r>
        <w:rPr>
          <w:rFonts w:hint="default"/>
          <w:sz w:val="24"/>
          <w:szCs w:val="24"/>
        </w:rPr>
        <w:instrText xml:space="preserve"> PAGEREF _Toc4904 \h </w:instrText>
      </w:r>
      <w:r>
        <w:rPr>
          <w:rFonts w:hint="default"/>
          <w:sz w:val="24"/>
          <w:szCs w:val="24"/>
        </w:rPr>
        <w:fldChar w:fldCharType="separate"/>
      </w:r>
      <w:r>
        <w:rPr>
          <w:rFonts w:hint="default"/>
          <w:sz w:val="24"/>
          <w:szCs w:val="24"/>
        </w:rPr>
        <w:t>17</w:t>
      </w:r>
      <w:r>
        <w:rPr>
          <w:rFonts w:hint="default"/>
          <w:sz w:val="24"/>
          <w:szCs w:val="24"/>
        </w:rPr>
        <w:fldChar w:fldCharType="end"/>
      </w:r>
      <w:r>
        <w:rPr>
          <w:rFonts w:hint="default"/>
          <w:sz w:val="24"/>
          <w:szCs w:val="24"/>
        </w:rPr>
        <w:fldChar w:fldCharType="end"/>
      </w:r>
    </w:p>
    <w:p>
      <w:pPr>
        <w:pStyle w:val="9"/>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_Toc16380 </w:instrText>
      </w:r>
      <w:r>
        <w:rPr>
          <w:rFonts w:hint="default"/>
          <w:sz w:val="24"/>
          <w:szCs w:val="24"/>
        </w:rPr>
        <w:fldChar w:fldCharType="separate"/>
      </w:r>
      <w:r>
        <w:rPr>
          <w:rFonts w:hint="eastAsia" w:ascii="黑体" w:hAnsi="黑体" w:eastAsia="黑体" w:cs="Times New Roman"/>
          <w:kern w:val="44"/>
          <w:sz w:val="24"/>
          <w:szCs w:val="24"/>
          <w:lang w:val="zh-CN"/>
        </w:rPr>
        <w:t>第三部分名词解释</w:t>
      </w:r>
      <w:r>
        <w:rPr>
          <w:rFonts w:hint="default"/>
          <w:sz w:val="24"/>
          <w:szCs w:val="24"/>
        </w:rPr>
        <w:tab/>
      </w:r>
      <w:r>
        <w:rPr>
          <w:rFonts w:hint="default"/>
          <w:sz w:val="24"/>
          <w:szCs w:val="24"/>
        </w:rPr>
        <w:fldChar w:fldCharType="begin"/>
      </w:r>
      <w:r>
        <w:rPr>
          <w:rFonts w:hint="default"/>
          <w:sz w:val="24"/>
          <w:szCs w:val="24"/>
        </w:rPr>
        <w:instrText xml:space="preserve"> PAGEREF _Toc16380 \h </w:instrText>
      </w:r>
      <w:r>
        <w:rPr>
          <w:rFonts w:hint="default"/>
          <w:sz w:val="24"/>
          <w:szCs w:val="24"/>
        </w:rPr>
        <w:fldChar w:fldCharType="separate"/>
      </w:r>
      <w:r>
        <w:rPr>
          <w:rFonts w:hint="default"/>
          <w:sz w:val="24"/>
          <w:szCs w:val="24"/>
        </w:rPr>
        <w:t>19</w:t>
      </w:r>
      <w:r>
        <w:rPr>
          <w:rFonts w:hint="default"/>
          <w:sz w:val="24"/>
          <w:szCs w:val="24"/>
        </w:rPr>
        <w:fldChar w:fldCharType="end"/>
      </w:r>
      <w:r>
        <w:rPr>
          <w:rFonts w:hint="default"/>
          <w:sz w:val="24"/>
          <w:szCs w:val="24"/>
        </w:rPr>
        <w:fldChar w:fldCharType="end"/>
      </w:r>
    </w:p>
    <w:p>
      <w:pPr>
        <w:pStyle w:val="9"/>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_Toc11592 </w:instrText>
      </w:r>
      <w:r>
        <w:rPr>
          <w:rFonts w:hint="default"/>
          <w:sz w:val="24"/>
          <w:szCs w:val="24"/>
        </w:rPr>
        <w:fldChar w:fldCharType="separate"/>
      </w:r>
      <w:r>
        <w:rPr>
          <w:rFonts w:hint="eastAsia" w:ascii="黑体" w:hAnsi="黑体" w:eastAsia="黑体" w:cs="Times New Roman"/>
          <w:kern w:val="44"/>
          <w:sz w:val="24"/>
          <w:szCs w:val="24"/>
          <w:lang w:val="en-US"/>
        </w:rPr>
        <w:t>第四部分附件</w:t>
      </w:r>
      <w:r>
        <w:rPr>
          <w:rFonts w:hint="default"/>
          <w:sz w:val="24"/>
          <w:szCs w:val="24"/>
        </w:rPr>
        <w:tab/>
      </w:r>
      <w:r>
        <w:rPr>
          <w:rFonts w:hint="default"/>
          <w:sz w:val="24"/>
          <w:szCs w:val="24"/>
        </w:rPr>
        <w:fldChar w:fldCharType="begin"/>
      </w:r>
      <w:r>
        <w:rPr>
          <w:rFonts w:hint="default"/>
          <w:sz w:val="24"/>
          <w:szCs w:val="24"/>
        </w:rPr>
        <w:instrText xml:space="preserve"> PAGEREF _Toc11592 \h </w:instrText>
      </w:r>
      <w:r>
        <w:rPr>
          <w:rFonts w:hint="default"/>
          <w:sz w:val="24"/>
          <w:szCs w:val="24"/>
        </w:rPr>
        <w:fldChar w:fldCharType="separate"/>
      </w:r>
      <w:r>
        <w:rPr>
          <w:rFonts w:hint="default"/>
          <w:sz w:val="24"/>
          <w:szCs w:val="24"/>
        </w:rPr>
        <w:t>24</w:t>
      </w:r>
      <w:r>
        <w:rPr>
          <w:rFonts w:hint="default"/>
          <w:sz w:val="24"/>
          <w:szCs w:val="24"/>
        </w:rPr>
        <w:fldChar w:fldCharType="end"/>
      </w:r>
      <w:r>
        <w:rPr>
          <w:rFonts w:hint="default"/>
          <w:sz w:val="24"/>
          <w:szCs w:val="24"/>
        </w:rPr>
        <w:fldChar w:fldCharType="end"/>
      </w:r>
    </w:p>
    <w:p>
      <w:pPr>
        <w:pStyle w:val="9"/>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_Toc28211 </w:instrText>
      </w:r>
      <w:r>
        <w:rPr>
          <w:rFonts w:hint="default"/>
          <w:sz w:val="24"/>
          <w:szCs w:val="24"/>
        </w:rPr>
        <w:fldChar w:fldCharType="separate"/>
      </w:r>
      <w:r>
        <w:rPr>
          <w:rFonts w:hint="eastAsia" w:ascii="黑体" w:hAnsi="黑体" w:eastAsia="黑体" w:cs="Times New Roman"/>
          <w:kern w:val="44"/>
          <w:sz w:val="24"/>
          <w:szCs w:val="24"/>
          <w:lang w:val="en-US"/>
        </w:rPr>
        <w:t>第五部分附表</w:t>
      </w:r>
      <w:r>
        <w:rPr>
          <w:rFonts w:hint="default"/>
          <w:sz w:val="24"/>
          <w:szCs w:val="24"/>
        </w:rPr>
        <w:tab/>
      </w:r>
      <w:r>
        <w:rPr>
          <w:rFonts w:hint="default"/>
          <w:sz w:val="24"/>
          <w:szCs w:val="24"/>
        </w:rPr>
        <w:fldChar w:fldCharType="begin"/>
      </w:r>
      <w:r>
        <w:rPr>
          <w:rFonts w:hint="default"/>
          <w:sz w:val="24"/>
          <w:szCs w:val="24"/>
        </w:rPr>
        <w:instrText xml:space="preserve"> PAGEREF _Toc28211 \h </w:instrText>
      </w:r>
      <w:r>
        <w:rPr>
          <w:rFonts w:hint="default"/>
          <w:sz w:val="24"/>
          <w:szCs w:val="24"/>
        </w:rPr>
        <w:fldChar w:fldCharType="separate"/>
      </w:r>
      <w:r>
        <w:rPr>
          <w:rFonts w:hint="default"/>
          <w:sz w:val="24"/>
          <w:szCs w:val="24"/>
        </w:rPr>
        <w:t>46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_Toc22264 </w:instrText>
      </w:r>
      <w:r>
        <w:rPr>
          <w:rFonts w:hint="default"/>
          <w:sz w:val="24"/>
          <w:szCs w:val="24"/>
        </w:rPr>
        <w:fldChar w:fldCharType="separate"/>
      </w:r>
      <w:r>
        <w:rPr>
          <w:rFonts w:hint="eastAsia" w:ascii="黑体" w:hAnsi="黑体" w:eastAsia="黑体" w:cs="黑体"/>
          <w:kern w:val="2"/>
          <w:sz w:val="24"/>
          <w:szCs w:val="24"/>
          <w:lang w:val="en-US"/>
        </w:rPr>
        <w:t>一、 收入支出决算总表</w:t>
      </w:r>
      <w:r>
        <w:rPr>
          <w:rFonts w:hint="default"/>
          <w:sz w:val="24"/>
          <w:szCs w:val="24"/>
        </w:rPr>
        <w:tab/>
      </w:r>
      <w:r>
        <w:rPr>
          <w:rFonts w:hint="default"/>
          <w:sz w:val="24"/>
          <w:szCs w:val="24"/>
        </w:rPr>
        <w:fldChar w:fldCharType="begin"/>
      </w:r>
      <w:r>
        <w:rPr>
          <w:rFonts w:hint="default"/>
          <w:sz w:val="24"/>
          <w:szCs w:val="24"/>
        </w:rPr>
        <w:instrText xml:space="preserve"> PAGEREF _Toc22264 \h </w:instrText>
      </w:r>
      <w:r>
        <w:rPr>
          <w:rFonts w:hint="default"/>
          <w:sz w:val="24"/>
          <w:szCs w:val="24"/>
        </w:rPr>
        <w:fldChar w:fldCharType="separate"/>
      </w:r>
      <w:r>
        <w:rPr>
          <w:rFonts w:hint="default"/>
          <w:sz w:val="24"/>
          <w:szCs w:val="24"/>
        </w:rPr>
        <w:t>46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_Toc9069 </w:instrText>
      </w:r>
      <w:r>
        <w:rPr>
          <w:rFonts w:hint="default"/>
          <w:sz w:val="24"/>
          <w:szCs w:val="24"/>
        </w:rPr>
        <w:fldChar w:fldCharType="separate"/>
      </w:r>
      <w:r>
        <w:rPr>
          <w:rFonts w:hint="eastAsia" w:ascii="黑体" w:hAnsi="黑体" w:eastAsia="黑体" w:cs="黑体"/>
          <w:kern w:val="2"/>
          <w:sz w:val="24"/>
          <w:szCs w:val="24"/>
          <w:lang w:val="en-US"/>
        </w:rPr>
        <w:t>二、 收入决算表</w:t>
      </w:r>
      <w:r>
        <w:rPr>
          <w:rFonts w:hint="default"/>
          <w:sz w:val="24"/>
          <w:szCs w:val="24"/>
        </w:rPr>
        <w:tab/>
      </w:r>
      <w:r>
        <w:rPr>
          <w:rFonts w:hint="default"/>
          <w:sz w:val="24"/>
          <w:szCs w:val="24"/>
        </w:rPr>
        <w:fldChar w:fldCharType="begin"/>
      </w:r>
      <w:r>
        <w:rPr>
          <w:rFonts w:hint="default"/>
          <w:sz w:val="24"/>
          <w:szCs w:val="24"/>
        </w:rPr>
        <w:instrText xml:space="preserve"> PAGEREF _Toc9069 \h </w:instrText>
      </w:r>
      <w:r>
        <w:rPr>
          <w:rFonts w:hint="default"/>
          <w:sz w:val="24"/>
          <w:szCs w:val="24"/>
        </w:rPr>
        <w:fldChar w:fldCharType="separate"/>
      </w:r>
      <w:r>
        <w:rPr>
          <w:rFonts w:hint="default"/>
          <w:sz w:val="24"/>
          <w:szCs w:val="24"/>
        </w:rPr>
        <w:t>47</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_Toc17736 </w:instrText>
      </w:r>
      <w:r>
        <w:rPr>
          <w:rFonts w:hint="default"/>
          <w:sz w:val="24"/>
          <w:szCs w:val="24"/>
        </w:rPr>
        <w:fldChar w:fldCharType="separate"/>
      </w:r>
      <w:r>
        <w:rPr>
          <w:rFonts w:hint="eastAsia" w:ascii="仿宋" w:hAnsi="仿宋" w:eastAsia="仿宋"/>
          <w:kern w:val="2"/>
          <w:sz w:val="24"/>
          <w:szCs w:val="24"/>
          <w:lang w:val="en-US"/>
        </w:rPr>
        <w:t xml:space="preserve">三、 </w:t>
      </w:r>
      <w:r>
        <w:rPr>
          <w:rFonts w:hint="eastAsia" w:ascii="黑体" w:hAnsi="黑体" w:eastAsia="黑体" w:cs="黑体"/>
          <w:kern w:val="2"/>
          <w:sz w:val="24"/>
          <w:szCs w:val="24"/>
          <w:lang w:val="en-US"/>
        </w:rPr>
        <w:t>支出决算表</w:t>
      </w:r>
      <w:r>
        <w:rPr>
          <w:rFonts w:hint="default"/>
          <w:sz w:val="24"/>
          <w:szCs w:val="24"/>
        </w:rPr>
        <w:tab/>
      </w:r>
      <w:r>
        <w:rPr>
          <w:rFonts w:hint="default"/>
          <w:sz w:val="24"/>
          <w:szCs w:val="24"/>
        </w:rPr>
        <w:fldChar w:fldCharType="begin"/>
      </w:r>
      <w:r>
        <w:rPr>
          <w:rFonts w:hint="default"/>
          <w:sz w:val="24"/>
          <w:szCs w:val="24"/>
        </w:rPr>
        <w:instrText xml:space="preserve"> PAGEREF _Toc17736 \h </w:instrText>
      </w:r>
      <w:r>
        <w:rPr>
          <w:rFonts w:hint="default"/>
          <w:sz w:val="24"/>
          <w:szCs w:val="24"/>
        </w:rPr>
        <w:fldChar w:fldCharType="separate"/>
      </w:r>
      <w:r>
        <w:rPr>
          <w:rFonts w:hint="default"/>
          <w:sz w:val="24"/>
          <w:szCs w:val="24"/>
        </w:rPr>
        <w:t>48</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_Toc16163 </w:instrText>
      </w:r>
      <w:r>
        <w:rPr>
          <w:rFonts w:hint="default"/>
          <w:sz w:val="24"/>
          <w:szCs w:val="24"/>
        </w:rPr>
        <w:fldChar w:fldCharType="separate"/>
      </w:r>
      <w:r>
        <w:rPr>
          <w:rFonts w:hint="eastAsia" w:ascii="黑体" w:hAnsi="黑体" w:eastAsia="黑体" w:cs="黑体"/>
          <w:kern w:val="2"/>
          <w:sz w:val="24"/>
          <w:szCs w:val="24"/>
          <w:lang w:val="en-US" w:eastAsia="zh-CN"/>
        </w:rPr>
        <w:t>四、</w:t>
      </w:r>
      <w:r>
        <w:rPr>
          <w:rFonts w:hint="eastAsia" w:ascii="黑体" w:hAnsi="黑体" w:eastAsia="黑体" w:cs="黑体"/>
          <w:kern w:val="2"/>
          <w:sz w:val="24"/>
          <w:szCs w:val="24"/>
          <w:lang w:val="en-US"/>
        </w:rPr>
        <w:t>财政拨款收入支出决算总表</w:t>
      </w:r>
      <w:r>
        <w:rPr>
          <w:rFonts w:hint="default"/>
          <w:sz w:val="24"/>
          <w:szCs w:val="24"/>
        </w:rPr>
        <w:tab/>
      </w:r>
      <w:r>
        <w:rPr>
          <w:rFonts w:hint="default"/>
          <w:sz w:val="24"/>
          <w:szCs w:val="24"/>
        </w:rPr>
        <w:fldChar w:fldCharType="begin"/>
      </w:r>
      <w:r>
        <w:rPr>
          <w:rFonts w:hint="default"/>
          <w:sz w:val="24"/>
          <w:szCs w:val="24"/>
        </w:rPr>
        <w:instrText xml:space="preserve"> PAGEREF _Toc16163 \h </w:instrText>
      </w:r>
      <w:r>
        <w:rPr>
          <w:rFonts w:hint="default"/>
          <w:sz w:val="24"/>
          <w:szCs w:val="24"/>
        </w:rPr>
        <w:fldChar w:fldCharType="separate"/>
      </w:r>
      <w:r>
        <w:rPr>
          <w:rFonts w:hint="default"/>
          <w:sz w:val="24"/>
          <w:szCs w:val="24"/>
        </w:rPr>
        <w:t>50</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_Toc10338 </w:instrText>
      </w:r>
      <w:r>
        <w:rPr>
          <w:rFonts w:hint="default"/>
          <w:sz w:val="24"/>
          <w:szCs w:val="24"/>
        </w:rPr>
        <w:fldChar w:fldCharType="separate"/>
      </w:r>
      <w:r>
        <w:rPr>
          <w:rFonts w:hint="eastAsia" w:ascii="黑体" w:hAnsi="黑体" w:eastAsia="黑体" w:cs="黑体"/>
          <w:kern w:val="2"/>
          <w:sz w:val="24"/>
          <w:szCs w:val="24"/>
          <w:lang w:val="en-US" w:eastAsia="zh-CN"/>
        </w:rPr>
        <w:t>五、</w:t>
      </w:r>
      <w:r>
        <w:rPr>
          <w:rFonts w:hint="eastAsia" w:ascii="黑体" w:hAnsi="黑体" w:eastAsia="黑体" w:cs="黑体"/>
          <w:kern w:val="2"/>
          <w:sz w:val="24"/>
          <w:szCs w:val="24"/>
          <w:lang w:val="en-US"/>
        </w:rPr>
        <w:t>财政拨款</w:t>
      </w:r>
      <w:r>
        <w:rPr>
          <w:rFonts w:hint="eastAsia" w:ascii="黑体" w:hAnsi="黑体" w:eastAsia="黑体" w:cs="黑体"/>
          <w:kern w:val="2"/>
          <w:sz w:val="24"/>
          <w:szCs w:val="24"/>
          <w:lang w:val="en-US" w:eastAsia="zh-CN"/>
        </w:rPr>
        <w:t>支出决算明细表</w:t>
      </w:r>
      <w:r>
        <w:rPr>
          <w:rFonts w:hint="default"/>
          <w:sz w:val="24"/>
          <w:szCs w:val="24"/>
        </w:rPr>
        <w:tab/>
      </w:r>
      <w:r>
        <w:rPr>
          <w:rFonts w:hint="default"/>
          <w:sz w:val="24"/>
          <w:szCs w:val="24"/>
        </w:rPr>
        <w:fldChar w:fldCharType="begin"/>
      </w:r>
      <w:r>
        <w:rPr>
          <w:rFonts w:hint="default"/>
          <w:sz w:val="24"/>
          <w:szCs w:val="24"/>
        </w:rPr>
        <w:instrText xml:space="preserve"> PAGEREF _Toc10338 \h </w:instrText>
      </w:r>
      <w:r>
        <w:rPr>
          <w:rFonts w:hint="default"/>
          <w:sz w:val="24"/>
          <w:szCs w:val="24"/>
        </w:rPr>
        <w:fldChar w:fldCharType="separate"/>
      </w:r>
      <w:r>
        <w:rPr>
          <w:rFonts w:hint="default"/>
          <w:sz w:val="24"/>
          <w:szCs w:val="24"/>
        </w:rPr>
        <w:t>51</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_Toc15977 </w:instrText>
      </w:r>
      <w:r>
        <w:rPr>
          <w:rFonts w:hint="default"/>
          <w:sz w:val="24"/>
          <w:szCs w:val="24"/>
        </w:rPr>
        <w:fldChar w:fldCharType="separate"/>
      </w:r>
      <w:r>
        <w:rPr>
          <w:rFonts w:hint="eastAsia" w:ascii="黑体" w:hAnsi="黑体" w:eastAsia="黑体" w:cs="黑体"/>
          <w:kern w:val="2"/>
          <w:sz w:val="24"/>
          <w:szCs w:val="24"/>
          <w:lang w:val="en-US" w:eastAsia="zh-CN"/>
        </w:rPr>
        <w:t>六、</w:t>
      </w:r>
      <w:r>
        <w:rPr>
          <w:rFonts w:hint="eastAsia" w:ascii="黑体" w:hAnsi="黑体" w:eastAsia="黑体" w:cs="黑体"/>
          <w:kern w:val="2"/>
          <w:sz w:val="24"/>
          <w:szCs w:val="24"/>
          <w:lang w:val="en-US"/>
        </w:rPr>
        <w:t>一般公共预算财政拨款支出决算表</w:t>
      </w:r>
      <w:r>
        <w:rPr>
          <w:rFonts w:hint="default"/>
          <w:sz w:val="24"/>
          <w:szCs w:val="24"/>
        </w:rPr>
        <w:tab/>
      </w:r>
      <w:r>
        <w:rPr>
          <w:rFonts w:hint="default"/>
          <w:sz w:val="24"/>
          <w:szCs w:val="24"/>
        </w:rPr>
        <w:fldChar w:fldCharType="begin"/>
      </w:r>
      <w:r>
        <w:rPr>
          <w:rFonts w:hint="default"/>
          <w:sz w:val="24"/>
          <w:szCs w:val="24"/>
        </w:rPr>
        <w:instrText xml:space="preserve"> PAGEREF _Toc15977 \h </w:instrText>
      </w:r>
      <w:r>
        <w:rPr>
          <w:rFonts w:hint="default"/>
          <w:sz w:val="24"/>
          <w:szCs w:val="24"/>
        </w:rPr>
        <w:fldChar w:fldCharType="separate"/>
      </w:r>
      <w:r>
        <w:rPr>
          <w:rFonts w:hint="default"/>
          <w:sz w:val="24"/>
          <w:szCs w:val="24"/>
        </w:rPr>
        <w:t>52</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_Toc15310 </w:instrText>
      </w:r>
      <w:r>
        <w:rPr>
          <w:rFonts w:hint="default"/>
          <w:sz w:val="24"/>
          <w:szCs w:val="24"/>
        </w:rPr>
        <w:fldChar w:fldCharType="separate"/>
      </w:r>
      <w:r>
        <w:rPr>
          <w:rFonts w:hint="eastAsia" w:ascii="黑体" w:hAnsi="黑体" w:eastAsia="黑体" w:cs="黑体"/>
          <w:kern w:val="2"/>
          <w:sz w:val="24"/>
          <w:szCs w:val="24"/>
          <w:lang w:val="en-US" w:eastAsia="zh-CN"/>
        </w:rPr>
        <w:t>七、</w:t>
      </w:r>
      <w:r>
        <w:rPr>
          <w:rFonts w:hint="eastAsia" w:ascii="黑体" w:hAnsi="黑体" w:eastAsia="黑体" w:cs="黑体"/>
          <w:kern w:val="2"/>
          <w:sz w:val="24"/>
          <w:szCs w:val="24"/>
          <w:lang w:val="en-US"/>
        </w:rPr>
        <w:t>一般公共预算财政拨款支出决算明细表</w:t>
      </w:r>
      <w:r>
        <w:rPr>
          <w:rFonts w:hint="default"/>
          <w:sz w:val="24"/>
          <w:szCs w:val="24"/>
        </w:rPr>
        <w:tab/>
      </w:r>
      <w:r>
        <w:rPr>
          <w:rFonts w:hint="default"/>
          <w:sz w:val="24"/>
          <w:szCs w:val="24"/>
        </w:rPr>
        <w:fldChar w:fldCharType="begin"/>
      </w:r>
      <w:r>
        <w:rPr>
          <w:rFonts w:hint="default"/>
          <w:sz w:val="24"/>
          <w:szCs w:val="24"/>
        </w:rPr>
        <w:instrText xml:space="preserve"> PAGEREF _Toc15310 \h </w:instrText>
      </w:r>
      <w:r>
        <w:rPr>
          <w:rFonts w:hint="default"/>
          <w:sz w:val="24"/>
          <w:szCs w:val="24"/>
        </w:rPr>
        <w:fldChar w:fldCharType="separate"/>
      </w:r>
      <w:r>
        <w:rPr>
          <w:rFonts w:hint="default"/>
          <w:sz w:val="24"/>
          <w:szCs w:val="24"/>
        </w:rPr>
        <w:t>54</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_Toc13138 </w:instrText>
      </w:r>
      <w:r>
        <w:rPr>
          <w:rFonts w:hint="default"/>
          <w:sz w:val="24"/>
          <w:szCs w:val="24"/>
        </w:rPr>
        <w:fldChar w:fldCharType="separate"/>
      </w:r>
      <w:r>
        <w:rPr>
          <w:rFonts w:hint="eastAsia" w:ascii="黑体" w:hAnsi="黑体" w:eastAsia="黑体" w:cs="黑体"/>
          <w:kern w:val="2"/>
          <w:sz w:val="24"/>
          <w:szCs w:val="24"/>
          <w:lang w:val="en-US" w:eastAsia="zh-CN"/>
        </w:rPr>
        <w:t>八、</w:t>
      </w:r>
      <w:r>
        <w:rPr>
          <w:rFonts w:hint="eastAsia" w:ascii="黑体" w:hAnsi="黑体" w:eastAsia="黑体" w:cs="黑体"/>
          <w:kern w:val="2"/>
          <w:sz w:val="24"/>
          <w:szCs w:val="24"/>
          <w:lang w:val="en-US"/>
        </w:rPr>
        <w:t>一般公共预算财政拨款基本支出决算表</w:t>
      </w:r>
      <w:r>
        <w:rPr>
          <w:rFonts w:hint="default"/>
          <w:sz w:val="24"/>
          <w:szCs w:val="24"/>
        </w:rPr>
        <w:tab/>
      </w:r>
      <w:r>
        <w:rPr>
          <w:rFonts w:hint="default"/>
          <w:sz w:val="24"/>
          <w:szCs w:val="24"/>
        </w:rPr>
        <w:fldChar w:fldCharType="begin"/>
      </w:r>
      <w:r>
        <w:rPr>
          <w:rFonts w:hint="default"/>
          <w:sz w:val="24"/>
          <w:szCs w:val="24"/>
        </w:rPr>
        <w:instrText xml:space="preserve"> PAGEREF _Toc13138 \h </w:instrText>
      </w:r>
      <w:r>
        <w:rPr>
          <w:rFonts w:hint="default"/>
          <w:sz w:val="24"/>
          <w:szCs w:val="24"/>
        </w:rPr>
        <w:fldChar w:fldCharType="separate"/>
      </w:r>
      <w:r>
        <w:rPr>
          <w:rFonts w:hint="default"/>
          <w:sz w:val="24"/>
          <w:szCs w:val="24"/>
        </w:rPr>
        <w:t>54</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_Toc11337 </w:instrText>
      </w:r>
      <w:r>
        <w:rPr>
          <w:rFonts w:hint="default"/>
          <w:sz w:val="24"/>
          <w:szCs w:val="24"/>
        </w:rPr>
        <w:fldChar w:fldCharType="separate"/>
      </w:r>
      <w:r>
        <w:rPr>
          <w:rFonts w:hint="eastAsia" w:ascii="黑体" w:hAnsi="黑体" w:eastAsia="黑体" w:cs="黑体"/>
          <w:kern w:val="2"/>
          <w:sz w:val="24"/>
          <w:szCs w:val="24"/>
          <w:lang w:val="en-US" w:eastAsia="zh-CN"/>
        </w:rPr>
        <w:t>九、</w:t>
      </w:r>
      <w:r>
        <w:rPr>
          <w:rFonts w:hint="eastAsia" w:ascii="黑体" w:hAnsi="黑体" w:eastAsia="黑体" w:cs="黑体"/>
          <w:kern w:val="2"/>
          <w:sz w:val="24"/>
          <w:szCs w:val="24"/>
          <w:lang w:val="en-US"/>
        </w:rPr>
        <w:t>一般公共预算财政拨款项目支出决算表</w:t>
      </w:r>
      <w:r>
        <w:rPr>
          <w:rFonts w:hint="default"/>
          <w:sz w:val="24"/>
          <w:szCs w:val="24"/>
        </w:rPr>
        <w:tab/>
      </w:r>
      <w:r>
        <w:rPr>
          <w:rFonts w:hint="default"/>
          <w:sz w:val="24"/>
          <w:szCs w:val="24"/>
        </w:rPr>
        <w:fldChar w:fldCharType="begin"/>
      </w:r>
      <w:r>
        <w:rPr>
          <w:rFonts w:hint="default"/>
          <w:sz w:val="24"/>
          <w:szCs w:val="24"/>
        </w:rPr>
        <w:instrText xml:space="preserve"> PAGEREF _Toc11337 \h </w:instrText>
      </w:r>
      <w:r>
        <w:rPr>
          <w:rFonts w:hint="default"/>
          <w:sz w:val="24"/>
          <w:szCs w:val="24"/>
        </w:rPr>
        <w:fldChar w:fldCharType="separate"/>
      </w:r>
      <w:r>
        <w:rPr>
          <w:rFonts w:hint="default"/>
          <w:sz w:val="24"/>
          <w:szCs w:val="24"/>
        </w:rPr>
        <w:t>55</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_Toc3946 </w:instrText>
      </w:r>
      <w:r>
        <w:rPr>
          <w:rFonts w:hint="default"/>
          <w:sz w:val="24"/>
          <w:szCs w:val="24"/>
        </w:rPr>
        <w:fldChar w:fldCharType="separate"/>
      </w:r>
      <w:r>
        <w:rPr>
          <w:rFonts w:hint="eastAsia" w:ascii="黑体" w:hAnsi="黑体" w:eastAsia="黑体" w:cs="黑体"/>
          <w:kern w:val="2"/>
          <w:sz w:val="24"/>
          <w:szCs w:val="24"/>
          <w:lang w:val="en-US" w:eastAsia="zh-CN"/>
        </w:rPr>
        <w:t>十、</w:t>
      </w:r>
      <w:r>
        <w:rPr>
          <w:rFonts w:hint="eastAsia" w:ascii="黑体" w:hAnsi="黑体" w:eastAsia="黑体" w:cs="黑体"/>
          <w:kern w:val="2"/>
          <w:sz w:val="24"/>
          <w:szCs w:val="24"/>
          <w:lang w:val="en-US"/>
        </w:rPr>
        <w:t>政府性基金预算财政拨款收入支出决算表</w:t>
      </w:r>
      <w:r>
        <w:rPr>
          <w:rFonts w:hint="default"/>
          <w:sz w:val="24"/>
          <w:szCs w:val="24"/>
        </w:rPr>
        <w:tab/>
      </w:r>
      <w:r>
        <w:rPr>
          <w:rFonts w:hint="default"/>
          <w:sz w:val="24"/>
          <w:szCs w:val="24"/>
        </w:rPr>
        <w:fldChar w:fldCharType="begin"/>
      </w:r>
      <w:r>
        <w:rPr>
          <w:rFonts w:hint="default"/>
          <w:sz w:val="24"/>
          <w:szCs w:val="24"/>
        </w:rPr>
        <w:instrText xml:space="preserve"> PAGEREF _Toc3946 \h </w:instrText>
      </w:r>
      <w:r>
        <w:rPr>
          <w:rFonts w:hint="default"/>
          <w:sz w:val="24"/>
          <w:szCs w:val="24"/>
        </w:rPr>
        <w:fldChar w:fldCharType="separate"/>
      </w:r>
      <w:r>
        <w:rPr>
          <w:rFonts w:hint="default"/>
          <w:sz w:val="24"/>
          <w:szCs w:val="24"/>
        </w:rPr>
        <w:t>56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_Toc2053 </w:instrText>
      </w:r>
      <w:r>
        <w:rPr>
          <w:rFonts w:hint="default"/>
          <w:sz w:val="24"/>
          <w:szCs w:val="24"/>
        </w:rPr>
        <w:fldChar w:fldCharType="separate"/>
      </w:r>
      <w:r>
        <w:rPr>
          <w:rFonts w:hint="eastAsia" w:ascii="黑体" w:hAnsi="黑体" w:eastAsia="黑体" w:cs="黑体"/>
          <w:kern w:val="2"/>
          <w:sz w:val="24"/>
          <w:szCs w:val="24"/>
          <w:lang w:val="en-US" w:eastAsia="zh-CN"/>
        </w:rPr>
        <w:t>十一、</w:t>
      </w:r>
      <w:r>
        <w:rPr>
          <w:rFonts w:hint="eastAsia" w:ascii="黑体" w:hAnsi="黑体" w:eastAsia="黑体" w:cs="黑体"/>
          <w:kern w:val="2"/>
          <w:sz w:val="24"/>
          <w:szCs w:val="24"/>
          <w:lang w:val="en-US"/>
        </w:rPr>
        <w:t>国有资本经营预算财政拨款收入支出决算表</w:t>
      </w:r>
      <w:r>
        <w:rPr>
          <w:rFonts w:hint="default"/>
          <w:sz w:val="24"/>
          <w:szCs w:val="24"/>
        </w:rPr>
        <w:tab/>
      </w:r>
      <w:r>
        <w:rPr>
          <w:rFonts w:hint="default"/>
          <w:sz w:val="24"/>
          <w:szCs w:val="24"/>
        </w:rPr>
        <w:fldChar w:fldCharType="begin"/>
      </w:r>
      <w:r>
        <w:rPr>
          <w:rFonts w:hint="default"/>
          <w:sz w:val="24"/>
          <w:szCs w:val="24"/>
        </w:rPr>
        <w:instrText xml:space="preserve"> PAGEREF _Toc2053 \h </w:instrText>
      </w:r>
      <w:r>
        <w:rPr>
          <w:rFonts w:hint="default"/>
          <w:sz w:val="24"/>
          <w:szCs w:val="24"/>
        </w:rPr>
        <w:fldChar w:fldCharType="separate"/>
      </w:r>
      <w:r>
        <w:rPr>
          <w:rFonts w:hint="default"/>
          <w:sz w:val="24"/>
          <w:szCs w:val="24"/>
        </w:rPr>
        <w:t>56</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_Toc8176 </w:instrText>
      </w:r>
      <w:r>
        <w:rPr>
          <w:rFonts w:hint="default"/>
          <w:sz w:val="24"/>
          <w:szCs w:val="24"/>
        </w:rPr>
        <w:fldChar w:fldCharType="separate"/>
      </w:r>
      <w:r>
        <w:rPr>
          <w:rFonts w:hint="eastAsia" w:ascii="黑体" w:hAnsi="黑体" w:eastAsia="黑体" w:cs="黑体"/>
          <w:kern w:val="2"/>
          <w:sz w:val="24"/>
          <w:szCs w:val="24"/>
          <w:lang w:val="en-US" w:eastAsia="zh-CN"/>
        </w:rPr>
        <w:t>十二、</w:t>
      </w:r>
      <w:r>
        <w:rPr>
          <w:rFonts w:hint="eastAsia" w:ascii="黑体" w:hAnsi="黑体" w:eastAsia="黑体" w:cs="黑体"/>
          <w:kern w:val="2"/>
          <w:sz w:val="24"/>
          <w:szCs w:val="24"/>
          <w:lang w:val="en-US"/>
        </w:rPr>
        <w:t>国有资本经营预算财政拨款支出决算表</w:t>
      </w:r>
      <w:r>
        <w:rPr>
          <w:rFonts w:hint="default"/>
          <w:sz w:val="24"/>
          <w:szCs w:val="24"/>
        </w:rPr>
        <w:tab/>
      </w:r>
      <w:r>
        <w:rPr>
          <w:rFonts w:hint="default"/>
          <w:sz w:val="24"/>
          <w:szCs w:val="24"/>
        </w:rPr>
        <w:fldChar w:fldCharType="begin"/>
      </w:r>
      <w:r>
        <w:rPr>
          <w:rFonts w:hint="default"/>
          <w:sz w:val="24"/>
          <w:szCs w:val="24"/>
        </w:rPr>
        <w:instrText xml:space="preserve"> PAGEREF _Toc8176 \h </w:instrText>
      </w:r>
      <w:r>
        <w:rPr>
          <w:rFonts w:hint="default"/>
          <w:sz w:val="24"/>
          <w:szCs w:val="24"/>
        </w:rPr>
        <w:fldChar w:fldCharType="separate"/>
      </w:r>
      <w:r>
        <w:rPr>
          <w:rFonts w:hint="default"/>
          <w:sz w:val="24"/>
          <w:szCs w:val="24"/>
        </w:rPr>
        <w:t>57</w:t>
      </w:r>
      <w:r>
        <w:rPr>
          <w:rFonts w:hint="default"/>
          <w:sz w:val="24"/>
          <w:szCs w:val="24"/>
        </w:rPr>
        <w:fldChar w:fldCharType="end"/>
      </w:r>
      <w:r>
        <w:rPr>
          <w:rFonts w:hint="default"/>
          <w:sz w:val="24"/>
          <w:szCs w:val="24"/>
        </w:rPr>
        <w:fldChar w:fldCharType="end"/>
      </w:r>
    </w:p>
    <w:p>
      <w:pPr>
        <w:pStyle w:val="10"/>
        <w:tabs>
          <w:tab w:val="right" w:leader="dot" w:pos="8640"/>
        </w:tabs>
        <w:rPr>
          <w:rFonts w:hint="default"/>
          <w:sz w:val="24"/>
          <w:szCs w:val="24"/>
        </w:rPr>
      </w:pPr>
      <w:r>
        <w:rPr>
          <w:rFonts w:hint="default"/>
          <w:sz w:val="24"/>
          <w:szCs w:val="24"/>
        </w:rPr>
        <w:fldChar w:fldCharType="begin"/>
      </w:r>
      <w:r>
        <w:rPr>
          <w:rFonts w:hint="default"/>
          <w:sz w:val="24"/>
          <w:szCs w:val="24"/>
        </w:rPr>
        <w:instrText xml:space="preserve"> HYPERLINK \l _Toc29645 </w:instrText>
      </w:r>
      <w:r>
        <w:rPr>
          <w:rFonts w:hint="default"/>
          <w:sz w:val="24"/>
          <w:szCs w:val="24"/>
        </w:rPr>
        <w:fldChar w:fldCharType="separate"/>
      </w:r>
      <w:r>
        <w:rPr>
          <w:rFonts w:hint="eastAsia" w:ascii="黑体" w:hAnsi="黑体" w:eastAsia="黑体" w:cs="黑体"/>
          <w:kern w:val="2"/>
          <w:sz w:val="24"/>
          <w:szCs w:val="24"/>
          <w:lang w:val="en-US" w:eastAsia="zh-CN"/>
        </w:rPr>
        <w:t>十三、</w:t>
      </w:r>
      <w:r>
        <w:rPr>
          <w:rFonts w:hint="eastAsia" w:ascii="黑体" w:hAnsi="黑体" w:eastAsia="黑体" w:cs="黑体"/>
          <w:kern w:val="2"/>
          <w:sz w:val="24"/>
          <w:szCs w:val="24"/>
          <w:lang w:val="en-US"/>
        </w:rPr>
        <w:t>财政拨款“三公”经费支出决算表</w:t>
      </w:r>
      <w:r>
        <w:rPr>
          <w:rFonts w:hint="default"/>
          <w:sz w:val="24"/>
          <w:szCs w:val="24"/>
        </w:rPr>
        <w:tab/>
      </w:r>
      <w:r>
        <w:rPr>
          <w:rFonts w:hint="default"/>
          <w:sz w:val="24"/>
          <w:szCs w:val="24"/>
        </w:rPr>
        <w:fldChar w:fldCharType="begin"/>
      </w:r>
      <w:r>
        <w:rPr>
          <w:rFonts w:hint="default"/>
          <w:sz w:val="24"/>
          <w:szCs w:val="24"/>
        </w:rPr>
        <w:instrText xml:space="preserve"> PAGEREF _Toc29645 \h </w:instrText>
      </w:r>
      <w:r>
        <w:rPr>
          <w:rFonts w:hint="default"/>
          <w:sz w:val="24"/>
          <w:szCs w:val="24"/>
        </w:rPr>
        <w:fldChar w:fldCharType="separate"/>
      </w:r>
      <w:r>
        <w:rPr>
          <w:rFonts w:hint="default"/>
          <w:sz w:val="24"/>
          <w:szCs w:val="24"/>
        </w:rPr>
        <w:t>57</w:t>
      </w:r>
      <w:r>
        <w:rPr>
          <w:rFonts w:hint="default"/>
          <w:sz w:val="24"/>
          <w:szCs w:val="24"/>
        </w:rPr>
        <w:fldChar w:fldCharType="end"/>
      </w:r>
      <w:r>
        <w:rPr>
          <w:rFonts w:hint="default"/>
          <w:sz w:val="24"/>
          <w:szCs w:val="24"/>
        </w:rPr>
        <w:fldChar w:fldCharType="end"/>
      </w:r>
    </w:p>
    <w:p>
      <w:pPr>
        <w:pStyle w:val="9"/>
        <w:tabs>
          <w:tab w:val="right" w:leader="dot" w:pos="8640"/>
        </w:tabs>
        <w:rPr>
          <w:rFonts w:hint="default"/>
          <w:sz w:val="24"/>
          <w:szCs w:val="24"/>
        </w:rPr>
      </w:pPr>
      <w:r>
        <w:rPr>
          <w:rFonts w:hint="default"/>
          <w:sz w:val="24"/>
          <w:szCs w:val="24"/>
        </w:rPr>
        <w:fldChar w:fldCharType="end"/>
      </w:r>
    </w:p>
    <w:p>
      <w:pPr>
        <w:keepNext/>
        <w:spacing w:line="440" w:lineRule="exact"/>
        <w:rPr>
          <w:rFonts w:hint="eastAsia" w:ascii="仿宋" w:hAnsi="仿宋" w:eastAsia="仿宋"/>
          <w:color w:val="auto"/>
          <w:kern w:val="44"/>
          <w:sz w:val="24"/>
          <w:szCs w:val="24"/>
          <w:lang w:val="zh-CN"/>
        </w:rPr>
        <w:sectPr>
          <w:pgSz w:w="12240" w:h="15840"/>
          <w:pgMar w:top="1440" w:right="1800" w:bottom="1440" w:left="1800" w:header="720" w:footer="720" w:gutter="0"/>
          <w:lnNumType w:countBy="0" w:distance="360"/>
          <w:cols w:space="720" w:num="1"/>
        </w:sectPr>
      </w:pPr>
    </w:p>
    <w:p>
      <w:pPr>
        <w:pStyle w:val="2"/>
        <w:spacing w:beforeLines="0" w:afterLines="0"/>
        <w:rPr>
          <w:rFonts w:hint="eastAsia"/>
          <w:sz w:val="21"/>
          <w:szCs w:val="24"/>
          <w:lang w:val="zh-CN"/>
        </w:rPr>
      </w:pPr>
    </w:p>
    <w:p>
      <w:pPr>
        <w:pStyle w:val="3"/>
        <w:keepNext/>
        <w:spacing w:before="340" w:after="330" w:line="576" w:lineRule="auto"/>
        <w:jc w:val="center"/>
        <w:rPr>
          <w:rFonts w:hint="eastAsia" w:ascii="黑体" w:hAnsi="黑体" w:eastAsia="黑体"/>
          <w:b/>
          <w:color w:val="auto"/>
          <w:kern w:val="44"/>
          <w:sz w:val="44"/>
          <w:szCs w:val="24"/>
          <w:lang w:val="zh-CN"/>
        </w:rPr>
      </w:pPr>
      <w:bookmarkStart w:id="0" w:name="_Toc107"/>
      <w:bookmarkStart w:id="1" w:name="_Toc23006"/>
      <w:r>
        <w:rPr>
          <w:rFonts w:hint="eastAsia" w:ascii="黑体" w:hAnsi="黑体" w:eastAsia="黑体"/>
          <w:color w:val="auto"/>
          <w:kern w:val="44"/>
          <w:sz w:val="44"/>
          <w:szCs w:val="24"/>
          <w:lang w:val="zh-CN"/>
        </w:rPr>
        <w:t>第一部分部门概况</w:t>
      </w:r>
      <w:bookmarkEnd w:id="0"/>
      <w:bookmarkEnd w:id="1"/>
    </w:p>
    <w:p>
      <w:pPr>
        <w:pStyle w:val="4"/>
        <w:keepNext/>
        <w:numPr>
          <w:ilvl w:val="0"/>
          <w:numId w:val="1"/>
        </w:numPr>
        <w:spacing w:before="260" w:after="260" w:line="576" w:lineRule="exact"/>
        <w:ind w:firstLine="640"/>
        <w:jc w:val="both"/>
        <w:rPr>
          <w:rFonts w:hint="eastAsia" w:ascii="黑体" w:hAnsi="黑体" w:eastAsia="黑体"/>
          <w:color w:val="auto"/>
          <w:kern w:val="2"/>
          <w:sz w:val="32"/>
          <w:szCs w:val="24"/>
          <w:lang w:val="zh-CN"/>
        </w:rPr>
      </w:pPr>
      <w:bookmarkStart w:id="2" w:name="_Toc8528"/>
      <w:bookmarkStart w:id="3" w:name="_Toc32231"/>
      <w:r>
        <w:rPr>
          <w:rFonts w:hint="eastAsia" w:ascii="黑体" w:hAnsi="黑体" w:eastAsia="黑体"/>
          <w:color w:val="000000"/>
          <w:kern w:val="2"/>
          <w:sz w:val="32"/>
          <w:szCs w:val="24"/>
          <w:lang w:val="zh-CN"/>
        </w:rPr>
        <w:t>部门</w:t>
      </w:r>
      <w:r>
        <w:rPr>
          <w:rFonts w:hint="eastAsia" w:ascii="黑体" w:hAnsi="黑体" w:eastAsia="黑体"/>
          <w:color w:val="auto"/>
          <w:kern w:val="2"/>
          <w:sz w:val="32"/>
          <w:szCs w:val="24"/>
          <w:lang w:val="zh-CN"/>
        </w:rPr>
        <w:t>职责</w:t>
      </w:r>
      <w:bookmarkEnd w:id="2"/>
      <w:bookmarkEnd w:id="3"/>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1）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2）党建办公室。负责乡镇党委自身建设和下级党组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3）综合行政执法办公室。在乡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4）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5）经济发展办公室(乡村振兴办公室)。负责经济工作的指导、协调、服务和监督管理，拟订经济发展规划并组织实施。负责辖区内经济发展、一二三产业发展、粮食安全、民营经济、军民融合、商贸物流、乡村振兴、农林牧副渔业生产、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作；承担社会信用体系建设工作。落实耕地和永久基本农田保护责任，促进农业生产和社会经济的可持续发展。协助有关部门做好人民防空组织体系建设和既有房屋安全管理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6）社会治理办公室。负责协调推进城乡基层治理相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7）财政所。贯彻执行各项财经纪律、法规和规章制度，负责编报年度财政收支预算、决算并组织预算执行。负责各项强农惠民补贴资金的审核发放和项目建设资金的监督管理；负责管理所在乡镇国有资产和政府性债权债务，指导、监督所在乡镇行政事业单位财务管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8）便民服务中心(农民工服务中心、退役军人服务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9）农业农村服务中心(林业站、畜牧兽医站)。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10）村镇建设服务中心。主要负责村镇规划建设技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pPr>
        <w:keepNext/>
        <w:ind w:firstLine="640" w:firstLineChars="200"/>
        <w:rPr>
          <w:rFonts w:hint="eastAsia" w:ascii="仿宋" w:hAnsi="仿宋" w:eastAsia="仿宋"/>
          <w:color w:val="auto"/>
          <w:kern w:val="2"/>
          <w:sz w:val="32"/>
          <w:szCs w:val="24"/>
          <w:lang w:val="zh-CN"/>
        </w:rPr>
      </w:pPr>
      <w:r>
        <w:rPr>
          <w:rFonts w:hint="eastAsia" w:ascii="仿宋" w:hAnsi="仿宋" w:eastAsia="仿宋"/>
          <w:color w:val="auto"/>
          <w:kern w:val="2"/>
          <w:sz w:val="32"/>
          <w:szCs w:val="24"/>
          <w:lang w:val="zh-CN"/>
        </w:rPr>
        <w:t>（11）宣传文化旅游服务中心(综合文化站)。主要负责宣传舆论引导、新时代文明实践、思想道德教育、乡村旅游推介、乡风文明建设、宣传文化阵地建设等服务性工作；指导村(社区)文化工作、提供公共文化服务等相关工作。</w:t>
      </w:r>
    </w:p>
    <w:p>
      <w:pPr>
        <w:pStyle w:val="4"/>
        <w:keepNext/>
        <w:spacing w:before="260" w:after="260" w:line="576" w:lineRule="exact"/>
        <w:ind w:firstLine="640"/>
        <w:jc w:val="both"/>
        <w:rPr>
          <w:rFonts w:hint="default" w:ascii="Cambria" w:hAnsi="Cambria" w:eastAsia="Cambria"/>
          <w:color w:val="auto"/>
          <w:kern w:val="2"/>
          <w:sz w:val="32"/>
          <w:szCs w:val="24"/>
          <w:lang w:val="zh-CN"/>
        </w:rPr>
      </w:pPr>
      <w:bookmarkStart w:id="4" w:name="_Toc6253"/>
      <w:bookmarkStart w:id="5" w:name="_Toc9319"/>
      <w:r>
        <w:rPr>
          <w:rFonts w:hint="eastAsia" w:ascii="黑体" w:hAnsi="黑体" w:eastAsia="黑体"/>
          <w:color w:val="000000"/>
          <w:kern w:val="2"/>
          <w:sz w:val="32"/>
          <w:szCs w:val="24"/>
          <w:lang w:val="zh-CN"/>
        </w:rPr>
        <w:t>二、机</w:t>
      </w:r>
      <w:r>
        <w:rPr>
          <w:rFonts w:hint="eastAsia" w:ascii="黑体" w:hAnsi="黑体" w:eastAsia="黑体"/>
          <w:color w:val="auto"/>
          <w:kern w:val="2"/>
          <w:sz w:val="32"/>
          <w:szCs w:val="24"/>
          <w:lang w:val="zh-CN"/>
        </w:rPr>
        <w:t>构设置</w:t>
      </w:r>
      <w:bookmarkEnd w:id="4"/>
      <w:bookmarkEnd w:id="5"/>
    </w:p>
    <w:p>
      <w:pPr>
        <w:keepNext/>
        <w:ind w:firstLine="800"/>
        <w:jc w:val="both"/>
        <w:rPr>
          <w:rFonts w:hint="eastAsia" w:ascii="仿宋" w:hAnsi="仿宋" w:eastAsia="仿宋"/>
          <w:color w:val="auto"/>
          <w:kern w:val="2"/>
          <w:sz w:val="32"/>
          <w:szCs w:val="24"/>
          <w:lang w:val="en-US"/>
        </w:rPr>
      </w:pPr>
      <w:r>
        <w:rPr>
          <w:rFonts w:hint="eastAsia" w:ascii="仿宋_GB2312" w:hAnsi="仿宋_GB2312" w:eastAsia="仿宋_GB2312"/>
          <w:color w:val="auto"/>
          <w:kern w:val="2"/>
          <w:sz w:val="32"/>
          <w:szCs w:val="24"/>
          <w:lang w:val="zh-CN"/>
        </w:rPr>
        <w:t>盐边县共和乡人民政府</w:t>
      </w:r>
      <w:r>
        <w:rPr>
          <w:rFonts w:hint="eastAsia" w:ascii="仿宋" w:hAnsi="仿宋" w:eastAsia="仿宋"/>
          <w:color w:val="auto"/>
          <w:kern w:val="2"/>
          <w:sz w:val="32"/>
          <w:szCs w:val="24"/>
          <w:lang w:val="en-US"/>
        </w:rPr>
        <w:t>下属二级单位</w:t>
      </w:r>
      <w:r>
        <w:rPr>
          <w:rFonts w:hint="eastAsia" w:ascii="仿宋" w:hAnsi="仿宋" w:eastAsia="仿宋"/>
          <w:color w:val="auto"/>
          <w:kern w:val="2"/>
          <w:sz w:val="32"/>
          <w:szCs w:val="24"/>
          <w:lang w:val="en-US" w:eastAsia="zh-CN"/>
        </w:rPr>
        <w:t>1</w:t>
      </w:r>
      <w:r>
        <w:rPr>
          <w:rFonts w:hint="eastAsia" w:ascii="仿宋" w:hAnsi="仿宋" w:eastAsia="仿宋"/>
          <w:color w:val="auto"/>
          <w:kern w:val="2"/>
          <w:sz w:val="32"/>
          <w:szCs w:val="24"/>
          <w:lang w:val="en-US"/>
        </w:rPr>
        <w:t>个，其中行政单位</w:t>
      </w:r>
      <w:r>
        <w:rPr>
          <w:rFonts w:hint="eastAsia" w:ascii="仿宋" w:hAnsi="仿宋" w:eastAsia="仿宋"/>
          <w:color w:val="auto"/>
          <w:kern w:val="2"/>
          <w:sz w:val="32"/>
          <w:szCs w:val="24"/>
          <w:lang w:val="en-US" w:eastAsia="zh-CN"/>
        </w:rPr>
        <w:t>1</w:t>
      </w:r>
      <w:r>
        <w:rPr>
          <w:rFonts w:hint="eastAsia" w:ascii="仿宋" w:hAnsi="仿宋" w:eastAsia="仿宋"/>
          <w:color w:val="auto"/>
          <w:kern w:val="2"/>
          <w:sz w:val="32"/>
          <w:szCs w:val="24"/>
          <w:lang w:val="en-US"/>
        </w:rPr>
        <w:t>个，参照公务员法管理的事业单位</w:t>
      </w:r>
      <w:r>
        <w:rPr>
          <w:rFonts w:hint="eastAsia" w:ascii="仿宋" w:hAnsi="仿宋" w:eastAsia="仿宋"/>
          <w:color w:val="auto"/>
          <w:kern w:val="2"/>
          <w:sz w:val="32"/>
          <w:szCs w:val="24"/>
          <w:lang w:val="en-US" w:eastAsia="zh-CN"/>
        </w:rPr>
        <w:t>0</w:t>
      </w:r>
      <w:r>
        <w:rPr>
          <w:rFonts w:hint="eastAsia" w:ascii="仿宋" w:hAnsi="仿宋" w:eastAsia="仿宋"/>
          <w:color w:val="auto"/>
          <w:kern w:val="2"/>
          <w:sz w:val="32"/>
          <w:szCs w:val="24"/>
          <w:lang w:val="en-US"/>
        </w:rPr>
        <w:t>个，其他事业单位</w:t>
      </w:r>
      <w:r>
        <w:rPr>
          <w:rFonts w:hint="eastAsia" w:ascii="仿宋" w:hAnsi="仿宋" w:eastAsia="仿宋"/>
          <w:color w:val="auto"/>
          <w:kern w:val="2"/>
          <w:sz w:val="32"/>
          <w:szCs w:val="24"/>
          <w:lang w:val="en-US" w:eastAsia="zh-CN"/>
        </w:rPr>
        <w:t>0</w:t>
      </w:r>
      <w:r>
        <w:rPr>
          <w:rFonts w:hint="eastAsia" w:ascii="仿宋" w:hAnsi="仿宋" w:eastAsia="仿宋"/>
          <w:color w:val="auto"/>
          <w:kern w:val="2"/>
          <w:sz w:val="32"/>
          <w:szCs w:val="24"/>
          <w:lang w:val="en-US"/>
        </w:rPr>
        <w:t>个。</w:t>
      </w:r>
    </w:p>
    <w:p>
      <w:pPr>
        <w:keepNext/>
        <w:spacing w:before="93" w:line="576" w:lineRule="exact"/>
        <w:ind w:firstLine="640"/>
        <w:jc w:val="both"/>
        <w:rPr>
          <w:rFonts w:hint="eastAsia" w:ascii="仿宋_GB2312" w:hAnsi="仿宋_GB2312" w:eastAsia="仿宋_GB2312"/>
          <w:color w:val="000000"/>
          <w:kern w:val="2"/>
          <w:sz w:val="32"/>
          <w:szCs w:val="24"/>
          <w:lang w:val="en-US" w:eastAsia="zh-CN"/>
        </w:rPr>
      </w:pPr>
      <w:r>
        <w:rPr>
          <w:rFonts w:hint="eastAsia" w:ascii="仿宋_GB2312" w:hAnsi="仿宋_GB2312" w:eastAsia="仿宋_GB2312"/>
          <w:color w:val="000000"/>
          <w:kern w:val="2"/>
          <w:sz w:val="32"/>
          <w:szCs w:val="24"/>
          <w:lang w:val="zh-CN"/>
        </w:rPr>
        <w:t>纳入</w:t>
      </w:r>
      <w:r>
        <w:rPr>
          <w:rFonts w:hint="eastAsia" w:ascii="仿宋_GB2312" w:hAnsi="仿宋_GB2312" w:eastAsia="仿宋_GB2312"/>
          <w:color w:val="auto"/>
          <w:kern w:val="2"/>
          <w:sz w:val="32"/>
          <w:szCs w:val="24"/>
          <w:lang w:val="zh-CN"/>
        </w:rPr>
        <w:t>盐边县共和乡人民政府</w:t>
      </w:r>
      <w:r>
        <w:rPr>
          <w:rFonts w:hint="eastAsia" w:ascii="仿宋_GB2312" w:hAnsi="仿宋_GB2312" w:eastAsia="仿宋_GB2312"/>
          <w:color w:val="000000"/>
          <w:kern w:val="2"/>
          <w:sz w:val="32"/>
          <w:szCs w:val="24"/>
          <w:lang w:val="zh-CN"/>
        </w:rPr>
        <w:t>2022年度部门决算编制范围的二级预算单位包括：</w:t>
      </w:r>
      <w:r>
        <w:rPr>
          <w:rFonts w:hint="eastAsia" w:ascii="仿宋_GB2312" w:hAnsi="仿宋_GB2312" w:eastAsia="仿宋_GB2312"/>
          <w:color w:val="000000"/>
          <w:kern w:val="2"/>
          <w:sz w:val="32"/>
          <w:szCs w:val="24"/>
          <w:lang w:val="en-US" w:eastAsia="zh-CN"/>
        </w:rPr>
        <w:t>共和乡党政办。</w:t>
      </w:r>
    </w:p>
    <w:p>
      <w:pPr>
        <w:pStyle w:val="3"/>
        <w:keepNext/>
        <w:spacing w:before="340" w:after="330" w:line="576" w:lineRule="exact"/>
        <w:ind w:right="442" w:firstLine="880"/>
        <w:jc w:val="center"/>
        <w:rPr>
          <w:rFonts w:hint="eastAsia" w:ascii="Times New Roman" w:hAnsi="Times New Roman" w:eastAsia="Times New Roman"/>
          <w:b/>
          <w:color w:val="auto"/>
          <w:kern w:val="44"/>
          <w:sz w:val="44"/>
          <w:szCs w:val="24"/>
          <w:lang w:val="zh-CN"/>
        </w:rPr>
      </w:pPr>
      <w:bookmarkStart w:id="6" w:name="_Toc24783"/>
      <w:bookmarkStart w:id="7" w:name="_Toc30686"/>
      <w:r>
        <w:rPr>
          <w:rFonts w:hint="eastAsia" w:ascii="黑体" w:hAnsi="黑体" w:eastAsia="黑体" w:cs="Times New Roman"/>
          <w:color w:val="auto"/>
          <w:kern w:val="44"/>
          <w:sz w:val="44"/>
          <w:szCs w:val="24"/>
          <w:lang w:val="zh-CN"/>
        </w:rPr>
        <w:t>第二部分2022年度部门决算情况说明</w:t>
      </w:r>
      <w:bookmarkEnd w:id="6"/>
      <w:bookmarkEnd w:id="7"/>
    </w:p>
    <w:p>
      <w:pPr>
        <w:keepNext/>
        <w:spacing w:line="576" w:lineRule="exact"/>
        <w:jc w:val="both"/>
        <w:outlineLvl w:val="1"/>
        <w:rPr>
          <w:rFonts w:hint="eastAsia" w:ascii="黑体" w:hAnsi="黑体" w:eastAsia="黑体"/>
          <w:color w:val="auto"/>
          <w:kern w:val="2"/>
          <w:sz w:val="32"/>
          <w:szCs w:val="24"/>
          <w:lang w:val="zh-CN"/>
        </w:rPr>
      </w:pPr>
      <w:bookmarkStart w:id="8" w:name="_Toc21678"/>
      <w:r>
        <w:rPr>
          <w:rFonts w:hint="eastAsia" w:ascii="黑体" w:hAnsi="黑体" w:eastAsia="黑体"/>
          <w:color w:val="000000"/>
          <w:kern w:val="2"/>
          <w:sz w:val="32"/>
          <w:szCs w:val="24"/>
          <w:lang w:val="zh-CN"/>
        </w:rPr>
        <w:t>一、收</w:t>
      </w:r>
      <w:r>
        <w:rPr>
          <w:rFonts w:hint="eastAsia" w:ascii="黑体" w:hAnsi="黑体" w:eastAsia="黑体"/>
          <w:color w:val="auto"/>
          <w:kern w:val="2"/>
          <w:sz w:val="32"/>
          <w:szCs w:val="24"/>
          <w:lang w:val="zh-CN"/>
        </w:rPr>
        <w:t>入支出决算总体情况说明</w:t>
      </w:r>
      <w:bookmarkEnd w:id="8"/>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2022年度收、支总计</w:t>
      </w:r>
      <w:r>
        <w:rPr>
          <w:rFonts w:hint="eastAsia" w:ascii="仿宋_GB2312" w:hAnsi="仿宋_GB2312" w:eastAsia="仿宋_GB2312"/>
          <w:color w:val="000000"/>
          <w:kern w:val="2"/>
          <w:sz w:val="32"/>
          <w:szCs w:val="24"/>
          <w:lang w:val="en-US" w:eastAsia="zh-CN"/>
        </w:rPr>
        <w:t>2968.8</w:t>
      </w:r>
      <w:r>
        <w:rPr>
          <w:rFonts w:hint="eastAsia" w:ascii="仿宋_GB2312" w:hAnsi="仿宋_GB2312" w:eastAsia="仿宋_GB2312"/>
          <w:color w:val="000000"/>
          <w:kern w:val="2"/>
          <w:sz w:val="32"/>
          <w:szCs w:val="24"/>
          <w:lang w:val="zh-CN"/>
        </w:rPr>
        <w:t>万元。与2021年相比，</w:t>
      </w:r>
      <w:r>
        <w:rPr>
          <w:rFonts w:hint="eastAsia" w:ascii="仿宋_GB2312" w:hAnsi="仿宋_GB2312" w:eastAsia="仿宋_GB2312"/>
          <w:color w:val="000000"/>
          <w:kern w:val="2"/>
          <w:sz w:val="32"/>
          <w:szCs w:val="24"/>
          <w:lang w:val="en-US" w:eastAsia="zh-CN"/>
        </w:rPr>
        <w:t>收入总计增加101.2万元，增长7.3%，支出</w:t>
      </w:r>
      <w:r>
        <w:rPr>
          <w:rFonts w:hint="eastAsia" w:ascii="仿宋_GB2312" w:hAnsi="仿宋_GB2312" w:eastAsia="仿宋_GB2312"/>
          <w:color w:val="000000"/>
          <w:kern w:val="2"/>
          <w:sz w:val="32"/>
          <w:szCs w:val="24"/>
          <w:lang w:val="zh-CN"/>
        </w:rPr>
        <w:t>总计</w:t>
      </w:r>
      <w:r>
        <w:rPr>
          <w:rFonts w:hint="eastAsia" w:ascii="仿宋_GB2312" w:hAnsi="仿宋_GB2312" w:eastAsia="仿宋_GB2312"/>
          <w:color w:val="000000"/>
          <w:kern w:val="2"/>
          <w:sz w:val="32"/>
          <w:szCs w:val="24"/>
          <w:lang w:val="en-US" w:eastAsia="zh-CN"/>
        </w:rPr>
        <w:t>减少</w:t>
      </w:r>
      <w:r>
        <w:rPr>
          <w:rFonts w:hint="eastAsia" w:ascii="仿宋_GB2312" w:hAnsi="仿宋_GB2312" w:eastAsia="仿宋_GB2312"/>
          <w:color w:val="000000"/>
          <w:kern w:val="2"/>
          <w:sz w:val="32"/>
          <w:szCs w:val="24"/>
          <w:lang w:val="zh-CN"/>
        </w:rPr>
        <w:t>20</w:t>
      </w:r>
      <w:r>
        <w:rPr>
          <w:rFonts w:hint="eastAsia" w:ascii="仿宋_GB2312" w:hAnsi="仿宋_GB2312" w:eastAsia="仿宋_GB2312"/>
          <w:color w:val="000000"/>
          <w:kern w:val="2"/>
          <w:sz w:val="32"/>
          <w:szCs w:val="24"/>
          <w:lang w:val="en-US" w:eastAsia="zh-CN"/>
        </w:rPr>
        <w:t>9</w:t>
      </w:r>
      <w:r>
        <w:rPr>
          <w:rFonts w:hint="eastAsia" w:ascii="仿宋_GB2312" w:hAnsi="仿宋_GB2312" w:eastAsia="仿宋_GB2312"/>
          <w:color w:val="000000"/>
          <w:kern w:val="2"/>
          <w:sz w:val="32"/>
          <w:szCs w:val="24"/>
          <w:lang w:val="zh-CN"/>
        </w:rPr>
        <w:t>.43万元，</w:t>
      </w:r>
      <w:r>
        <w:rPr>
          <w:rFonts w:hint="eastAsia" w:ascii="仿宋_GB2312" w:hAnsi="仿宋_GB2312" w:eastAsia="仿宋_GB2312"/>
          <w:color w:val="000000"/>
          <w:kern w:val="2"/>
          <w:sz w:val="32"/>
          <w:szCs w:val="24"/>
          <w:lang w:val="en-US" w:eastAsia="zh-CN"/>
        </w:rPr>
        <w:t>减少</w:t>
      </w:r>
      <w:r>
        <w:rPr>
          <w:rFonts w:hint="eastAsia" w:ascii="仿宋_GB2312" w:hAnsi="仿宋_GB2312" w:eastAsia="仿宋_GB2312"/>
          <w:color w:val="000000"/>
          <w:kern w:val="2"/>
          <w:sz w:val="32"/>
          <w:szCs w:val="24"/>
          <w:lang w:val="zh-CN"/>
        </w:rPr>
        <w:t>12.</w:t>
      </w:r>
      <w:r>
        <w:rPr>
          <w:rFonts w:hint="eastAsia" w:ascii="仿宋_GB2312" w:hAnsi="仿宋_GB2312" w:eastAsia="仿宋_GB2312"/>
          <w:color w:val="000000"/>
          <w:kern w:val="2"/>
          <w:sz w:val="32"/>
          <w:szCs w:val="24"/>
          <w:lang w:val="en-US" w:eastAsia="zh-CN"/>
        </w:rPr>
        <w:t>38</w:t>
      </w:r>
      <w:r>
        <w:rPr>
          <w:rFonts w:hint="eastAsia" w:ascii="仿宋_GB2312" w:hAnsi="仿宋_GB2312" w:eastAsia="仿宋_GB2312"/>
          <w:color w:val="000000"/>
          <w:kern w:val="2"/>
          <w:sz w:val="32"/>
          <w:szCs w:val="24"/>
          <w:lang w:val="zh-CN"/>
        </w:rPr>
        <w:t>%。主要变动原因是正常变动。</w:t>
      </w:r>
    </w:p>
    <w:p>
      <w:pPr>
        <w:keepNext/>
        <w:spacing w:line="600" w:lineRule="exact"/>
        <w:ind w:firstLine="640"/>
        <w:jc w:val="both"/>
        <w:rPr>
          <w:rFonts w:hint="eastAsia" w:ascii="仿宋" w:hAnsi="仿宋" w:eastAsia="仿宋"/>
          <w:color w:val="auto"/>
          <w:kern w:val="2"/>
          <w:sz w:val="32"/>
          <w:szCs w:val="24"/>
          <w:lang w:val="en-US"/>
        </w:rPr>
      </w:pPr>
      <w:r>
        <w:rPr>
          <w:rFonts w:hint="default" w:ascii="仿宋" w:hAnsi="仿宋" w:eastAsia="仿宋"/>
          <w:color w:val="auto"/>
          <w:kern w:val="2"/>
          <w:sz w:val="32"/>
          <w:szCs w:val="24"/>
          <w:lang w:val="en-US" w:eastAsia="zh-CN"/>
        </w:rPr>
        <w:pict>
          <v:shape id="对象 5" o:spid="_x0000_s2050" o:spt="75" type="#_x0000_t75" style="position:absolute;left:0pt;margin-left:33.3pt;margin-top:32.85pt;height:195.25pt;width:321.45pt;mso-wrap-distance-bottom:0pt;mso-wrap-distance-top:0pt;z-index:251659264;mso-width-relative:page;mso-height-relative:page;" o:ole="t" filled="f" o:preferrelative="t" stroked="f" coordsize="21600,21600">
            <v:path/>
            <v:fill on="f" focussize="0,0"/>
            <v:stroke on="f"/>
            <v:imagedata r:id="rId6" o:title=""/>
            <o:lock v:ext="edit" aspectratio="t"/>
            <v:shadow on="t" obscured="0" color="#FFFFFF" offset2="-2pt,-2pt"/>
            <w10:wrap type="topAndBottom"/>
          </v:shape>
          <o:OLEObject Type="Embed" ProgID="Excel.Chart.8" ShapeID="对象 5" DrawAspect="Content" ObjectID="_1468075725" r:id="rId5">
            <o:LockedField>false</o:LockedField>
          </o:OLEObject>
        </w:pict>
      </w:r>
      <w:r>
        <w:rPr>
          <w:rFonts w:hint="eastAsia" w:ascii="仿宋" w:hAnsi="仿宋" w:eastAsia="仿宋"/>
          <w:color w:val="auto"/>
          <w:kern w:val="2"/>
          <w:sz w:val="32"/>
          <w:szCs w:val="24"/>
          <w:lang w:val="en-US"/>
        </w:rPr>
        <w:t>（图1：收、支决算总计变动情况图）（柱状图）</w:t>
      </w:r>
    </w:p>
    <w:p>
      <w:pPr>
        <w:keepNext/>
        <w:spacing w:line="600" w:lineRule="exact"/>
        <w:ind w:firstLine="640"/>
        <w:jc w:val="both"/>
        <w:rPr>
          <w:rFonts w:hint="eastAsia" w:ascii="黑体" w:hAnsi="黑体" w:eastAsia="黑体"/>
          <w:color w:val="000000"/>
          <w:kern w:val="2"/>
          <w:sz w:val="32"/>
          <w:szCs w:val="24"/>
          <w:lang w:val="zh-CN"/>
        </w:rPr>
      </w:pPr>
      <w:r>
        <w:rPr>
          <w:rFonts w:hint="eastAsia" w:ascii="仿宋" w:hAnsi="仿宋" w:eastAsia="仿宋"/>
          <w:color w:val="auto"/>
          <w:kern w:val="2"/>
          <w:sz w:val="32"/>
          <w:szCs w:val="24"/>
          <w:lang w:val="en-US"/>
        </w:rPr>
        <w:t>图1：收、支决算总计变动情况图</w:t>
      </w:r>
    </w:p>
    <w:p>
      <w:pPr>
        <w:keepNext/>
        <w:spacing w:line="576" w:lineRule="exact"/>
        <w:ind w:firstLine="640"/>
        <w:jc w:val="both"/>
        <w:outlineLvl w:val="1"/>
        <w:rPr>
          <w:rFonts w:hint="eastAsia" w:ascii="黑体" w:hAnsi="黑体" w:eastAsia="黑体"/>
          <w:color w:val="auto"/>
          <w:kern w:val="2"/>
          <w:sz w:val="32"/>
          <w:szCs w:val="24"/>
          <w:lang w:val="zh-CN"/>
        </w:rPr>
      </w:pPr>
      <w:bookmarkStart w:id="9" w:name="_Toc29763"/>
      <w:r>
        <w:rPr>
          <w:rFonts w:hint="eastAsia" w:ascii="黑体" w:hAnsi="黑体" w:eastAsia="黑体"/>
          <w:color w:val="000000"/>
          <w:kern w:val="2"/>
          <w:sz w:val="32"/>
          <w:szCs w:val="24"/>
          <w:lang w:val="zh-CN"/>
        </w:rPr>
        <w:t>二、收</w:t>
      </w:r>
      <w:r>
        <w:rPr>
          <w:rFonts w:hint="eastAsia" w:ascii="黑体" w:hAnsi="黑体" w:eastAsia="黑体"/>
          <w:color w:val="auto"/>
          <w:kern w:val="2"/>
          <w:sz w:val="32"/>
          <w:szCs w:val="24"/>
          <w:lang w:val="zh-CN"/>
        </w:rPr>
        <w:t>入决算情况说明</w:t>
      </w:r>
      <w:bookmarkEnd w:id="9"/>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本年收入合计1,486.9万元，其中：一般公共预算财政拨款收入1,436.9万元，占96.6%；政府性基金预算财政拨款收入0万元，占0%；国有资本经营预算财政拨款收入0万元，占0%；上级补助收入0万元，占0%；事业收入0万元，占0%；经营收入0万元，占0%；附属单位上缴收入0万元，占0%；其他收入50万元，占3.4%。</w:t>
      </w:r>
    </w:p>
    <w:p>
      <w:pPr>
        <w:keepNext/>
        <w:spacing w:line="600" w:lineRule="exact"/>
        <w:ind w:firstLine="643"/>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（注：数据来源于财决01表，仅罗列本部门涉及的收入。）</w:t>
      </w:r>
    </w:p>
    <w:p>
      <w:pPr>
        <w:keepNext/>
        <w:spacing w:line="600" w:lineRule="exact"/>
        <w:ind w:firstLine="643"/>
        <w:jc w:val="both"/>
        <w:rPr>
          <w:rFonts w:hint="eastAsia" w:ascii="仿宋" w:hAnsi="仿宋" w:eastAsia="仿宋"/>
          <w:b/>
          <w:color w:val="auto"/>
          <w:kern w:val="2"/>
          <w:sz w:val="32"/>
          <w:szCs w:val="24"/>
          <w:lang w:val="en-US" w:eastAsia="zh-CN"/>
        </w:rPr>
      </w:pPr>
      <w:r>
        <w:rPr>
          <w:rFonts w:hint="default" w:ascii="仿宋" w:hAnsi="仿宋" w:eastAsia="仿宋"/>
          <w:b/>
          <w:color w:val="auto"/>
          <w:kern w:val="2"/>
          <w:sz w:val="32"/>
          <w:szCs w:val="24"/>
          <w:lang w:val="en-US" w:eastAsia="zh-CN"/>
        </w:rPr>
        <w:pict>
          <v:shape id="对象 6" o:spid="_x0000_s2051" o:spt="75" type="#_x0000_t75" style="position:absolute;left:0pt;margin-left:-0.95pt;margin-top:0pt;height:293.8pt;width:366.75pt;mso-wrap-distance-bottom:0pt;mso-wrap-distance-top:0pt;z-index:251660288;mso-width-relative:page;mso-height-relative:page;" o:ole="t" filled="f" o:preferrelative="t" stroked="f" coordsize="21600,21600">
            <v:path/>
            <v:fill on="f" focussize="0,0"/>
            <v:stroke on="f"/>
            <v:imagedata r:id="rId8" o:title=""/>
            <o:lock v:ext="edit" aspectratio="t"/>
            <w10:wrap type="topAndBottom"/>
          </v:shape>
          <o:OLEObject Type="Embed" ProgID="Excel.Chart.8" ShapeID="对象 6" DrawAspect="Content" ObjectID="_1468075726" r:id="rId7">
            <o:LockedField>false</o:LockedField>
          </o:OLEObject>
        </w:pict>
      </w:r>
    </w:p>
    <w:p>
      <w:pPr>
        <w:keepNext/>
        <w:spacing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（图2：收入决算结构图）（饼状图）</w:t>
      </w:r>
    </w:p>
    <w:p>
      <w:pPr>
        <w:keepNext/>
        <w:spacing w:line="576" w:lineRule="exact"/>
        <w:ind w:firstLine="640"/>
        <w:jc w:val="both"/>
        <w:outlineLvl w:val="1"/>
        <w:rPr>
          <w:rFonts w:hint="eastAsia" w:ascii="黑体" w:hAnsi="黑体" w:eastAsia="黑体"/>
          <w:color w:val="auto"/>
          <w:kern w:val="2"/>
          <w:sz w:val="32"/>
          <w:szCs w:val="24"/>
          <w:lang w:val="zh-CN"/>
        </w:rPr>
      </w:pPr>
      <w:bookmarkStart w:id="10" w:name="_Toc15649"/>
      <w:r>
        <w:rPr>
          <w:rFonts w:hint="eastAsia" w:ascii="黑体" w:hAnsi="黑体" w:eastAsia="黑体"/>
          <w:color w:val="000000"/>
          <w:kern w:val="2"/>
          <w:sz w:val="32"/>
          <w:szCs w:val="24"/>
          <w:lang w:val="zh-CN"/>
        </w:rPr>
        <w:t>三、支</w:t>
      </w:r>
      <w:r>
        <w:rPr>
          <w:rFonts w:hint="eastAsia" w:ascii="黑体" w:hAnsi="黑体" w:eastAsia="黑体"/>
          <w:color w:val="auto"/>
          <w:kern w:val="2"/>
          <w:sz w:val="32"/>
          <w:szCs w:val="24"/>
          <w:lang w:val="zh-CN"/>
        </w:rPr>
        <w:t>出决算情况说明</w:t>
      </w:r>
      <w:bookmarkEnd w:id="10"/>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2022年本年支出合计1,481.9万元，其中：基本支出1,017.04万元，占68.6%；项目支出464.86万元，占31.4%；上缴上级支出0万元，占0%；经营支出0万元，占0%；对附属单位补助支出0万元，占0%。</w:t>
      </w:r>
    </w:p>
    <w:p>
      <w:pPr>
        <w:keepNext/>
        <w:spacing w:line="600" w:lineRule="exact"/>
        <w:ind w:firstLine="643"/>
        <w:jc w:val="both"/>
        <w:rPr>
          <w:rFonts w:hint="eastAsia" w:ascii="仿宋" w:hAnsi="仿宋" w:eastAsia="仿宋"/>
          <w:b/>
          <w:color w:val="auto"/>
          <w:kern w:val="2"/>
          <w:sz w:val="32"/>
          <w:szCs w:val="24"/>
          <w:lang w:val="en-US" w:eastAsia="zh-CN"/>
        </w:rPr>
      </w:pPr>
      <w:r>
        <w:rPr>
          <w:rFonts w:hint="eastAsia" w:ascii="仿宋" w:hAnsi="仿宋" w:eastAsia="仿宋"/>
          <w:b/>
          <w:color w:val="auto"/>
          <w:kern w:val="2"/>
          <w:sz w:val="32"/>
          <w:szCs w:val="24"/>
          <w:lang w:val="en-US"/>
        </w:rPr>
        <w:t>（注：数据来源于财决04表，仅罗列本部门涉及的支出。）</w:t>
      </w:r>
    </w:p>
    <w:p>
      <w:pPr>
        <w:keepNext/>
        <w:spacing w:line="600" w:lineRule="exact"/>
        <w:ind w:firstLine="643"/>
        <w:jc w:val="both"/>
        <w:rPr>
          <w:rFonts w:hint="eastAsia" w:ascii="仿宋" w:hAnsi="仿宋" w:eastAsia="仿宋"/>
          <w:b/>
          <w:color w:val="auto"/>
          <w:kern w:val="2"/>
          <w:sz w:val="32"/>
          <w:szCs w:val="24"/>
          <w:lang w:val="en-US" w:eastAsia="zh-CN"/>
        </w:rPr>
      </w:pPr>
      <w:r>
        <w:rPr>
          <w:rFonts w:hint="default" w:ascii="仿宋" w:hAnsi="仿宋" w:eastAsia="仿宋"/>
          <w:b/>
          <w:color w:val="auto"/>
          <w:kern w:val="2"/>
          <w:sz w:val="32"/>
          <w:szCs w:val="24"/>
          <w:lang w:val="en-US" w:eastAsia="zh-CN"/>
        </w:rPr>
        <w:pict>
          <v:shape id="对象 7" o:spid="_x0000_s2052" o:spt="75" type="#_x0000_t75" style="position:absolute;left:0pt;margin-left:15.95pt;margin-top:9.4pt;height:273.9pt;width:366.75pt;mso-wrap-distance-bottom:0pt;mso-wrap-distance-top:0pt;z-index:251661312;mso-width-relative:page;mso-height-relative:page;" o:ole="t" fillcolor="#FFFFFF" filled="t" o:preferrelative="t" stroked="f" coordsize="21600,21600">
            <v:path/>
            <v:fill on="t" focussize="0,0"/>
            <v:stroke on="f"/>
            <v:imagedata r:id="rId10" o:title=""/>
            <o:lock v:ext="edit" aspectratio="t"/>
            <v:shadow on="t" obscured="0" color="#FFFFFF" offset2="-2pt,-2pt"/>
            <w10:wrap type="topAndBottom"/>
          </v:shape>
          <o:OLEObject Type="Embed" ProgID="Excel.Chart.8" ShapeID="对象 7" DrawAspect="Content" ObjectID="_1468075727" r:id="rId9">
            <o:LockedField>false</o:LockedField>
          </o:OLEObject>
        </w:pict>
      </w:r>
    </w:p>
    <w:p>
      <w:pPr>
        <w:keepNext/>
        <w:spacing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（图3：支出决算结构图）（饼状图）</w:t>
      </w:r>
    </w:p>
    <w:p>
      <w:pPr>
        <w:keepNext/>
        <w:spacing w:line="576" w:lineRule="exact"/>
        <w:ind w:firstLine="640"/>
        <w:jc w:val="both"/>
        <w:outlineLvl w:val="1"/>
        <w:rPr>
          <w:rFonts w:hint="eastAsia" w:ascii="黑体" w:hAnsi="黑体" w:eastAsia="黑体"/>
          <w:color w:val="auto"/>
          <w:kern w:val="2"/>
          <w:sz w:val="32"/>
          <w:szCs w:val="24"/>
          <w:lang w:val="zh-CN"/>
        </w:rPr>
      </w:pPr>
      <w:bookmarkStart w:id="11" w:name="_Toc20133"/>
      <w:r>
        <w:rPr>
          <w:rFonts w:hint="eastAsia" w:ascii="黑体" w:hAnsi="黑体" w:eastAsia="黑体"/>
          <w:color w:val="000000"/>
          <w:kern w:val="2"/>
          <w:sz w:val="32"/>
          <w:szCs w:val="24"/>
          <w:lang w:val="zh-CN"/>
        </w:rPr>
        <w:t>四、财</w:t>
      </w:r>
      <w:r>
        <w:rPr>
          <w:rFonts w:hint="eastAsia" w:ascii="黑体" w:hAnsi="黑体" w:eastAsia="黑体"/>
          <w:color w:val="auto"/>
          <w:kern w:val="2"/>
          <w:sz w:val="32"/>
          <w:szCs w:val="24"/>
          <w:lang w:val="zh-CN"/>
        </w:rPr>
        <w:t>政拨款收入支出决算总体情况说明</w:t>
      </w:r>
      <w:bookmarkEnd w:id="11"/>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2022年财政拨款收、支总计2968.8万元。与2021年相比，财政拨款收入总计增加101.2万元，增长7.3%，支出总计减少209.43万元，减少12.38%。主要变动原因是正常变动。</w:t>
      </w:r>
    </w:p>
    <w:p>
      <w:pPr>
        <w:keepNext/>
        <w:spacing w:line="600" w:lineRule="exact"/>
        <w:ind w:firstLine="640"/>
        <w:jc w:val="both"/>
        <w:rPr>
          <w:rFonts w:hint="eastAsia" w:ascii="仿宋" w:hAnsi="仿宋" w:eastAsia="仿宋"/>
          <w:b/>
          <w:color w:val="auto"/>
          <w:kern w:val="2"/>
          <w:sz w:val="32"/>
          <w:szCs w:val="24"/>
          <w:lang w:val="en-US"/>
        </w:rPr>
      </w:pPr>
      <w:r>
        <w:rPr>
          <w:rFonts w:hint="default" w:ascii="仿宋" w:hAnsi="仿宋" w:eastAsia="仿宋"/>
          <w:b/>
          <w:color w:val="auto"/>
          <w:kern w:val="2"/>
          <w:sz w:val="32"/>
          <w:szCs w:val="24"/>
          <w:lang w:val="en-US" w:eastAsia="zh-CN"/>
        </w:rPr>
        <w:pict>
          <v:shape id="对象 8" o:spid="_x0000_s2053" o:spt="75" type="#_x0000_t75" style="position:absolute;left:0pt;margin-left:8.9pt;margin-top:14.85pt;height:222.75pt;width:280.5pt;mso-wrap-distance-bottom:0pt;mso-wrap-distance-top:0pt;z-index:251662336;mso-width-relative:page;mso-height-relative:page;" o:ole="t" filled="f" o:preferrelative="t" stroked="f" coordsize="21600,21600">
            <v:path/>
            <v:fill on="f" focussize="0,0"/>
            <v:stroke on="f"/>
            <v:imagedata r:id="rId12" o:title=""/>
            <o:lock v:ext="edit" aspectratio="t"/>
            <w10:wrap type="topAndBottom"/>
          </v:shape>
          <o:OLEObject Type="Embed" ProgID="Excel.Chart.8" ShapeID="对象 8" DrawAspect="Content" ObjectID="_1468075728" r:id="rId11">
            <o:LockedField>false</o:LockedField>
          </o:OLEObject>
        </w:pict>
      </w:r>
      <w:r>
        <w:rPr>
          <w:rFonts w:hint="eastAsia" w:ascii="仿宋" w:hAnsi="仿宋" w:eastAsia="仿宋"/>
          <w:b/>
          <w:color w:val="auto"/>
          <w:kern w:val="2"/>
          <w:sz w:val="32"/>
          <w:szCs w:val="24"/>
          <w:lang w:val="en-US"/>
        </w:rPr>
        <w:t>（注：数据来源于财决01-1表）</w:t>
      </w:r>
    </w:p>
    <w:p>
      <w:pPr>
        <w:keepNext/>
        <w:spacing w:line="600" w:lineRule="exact"/>
        <w:ind w:firstLine="640"/>
        <w:jc w:val="both"/>
        <w:rPr>
          <w:rFonts w:hint="eastAsia" w:ascii="仿宋" w:hAnsi="仿宋" w:eastAsia="仿宋"/>
          <w:b/>
          <w:color w:val="auto"/>
          <w:kern w:val="2"/>
          <w:sz w:val="32"/>
          <w:szCs w:val="24"/>
          <w:lang w:val="en-US"/>
        </w:rPr>
      </w:pPr>
    </w:p>
    <w:p>
      <w:pPr>
        <w:keepNext/>
        <w:spacing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（图4：财政拨款收、支决算总计变动情况）（柱状图）</w:t>
      </w:r>
    </w:p>
    <w:p>
      <w:pPr>
        <w:keepNext/>
        <w:spacing w:line="576" w:lineRule="exact"/>
        <w:ind w:firstLine="640"/>
        <w:jc w:val="both"/>
        <w:outlineLvl w:val="1"/>
        <w:rPr>
          <w:rFonts w:hint="eastAsia" w:ascii="黑体" w:hAnsi="黑体" w:eastAsia="黑体"/>
          <w:color w:val="auto"/>
          <w:kern w:val="2"/>
          <w:sz w:val="32"/>
          <w:szCs w:val="24"/>
          <w:lang w:val="zh-CN"/>
        </w:rPr>
      </w:pPr>
      <w:bookmarkStart w:id="12" w:name="_Toc27893"/>
      <w:r>
        <w:rPr>
          <w:rFonts w:hint="eastAsia" w:ascii="黑体" w:hAnsi="黑体" w:eastAsia="黑体"/>
          <w:color w:val="000000"/>
          <w:kern w:val="2"/>
          <w:sz w:val="32"/>
          <w:szCs w:val="24"/>
          <w:lang w:val="zh-CN"/>
        </w:rPr>
        <w:t>五、</w:t>
      </w:r>
      <w:r>
        <w:rPr>
          <w:rFonts w:hint="eastAsia" w:ascii="黑体" w:hAnsi="黑体" w:eastAsia="黑体"/>
          <w:b/>
          <w:color w:val="000000"/>
          <w:kern w:val="2"/>
          <w:sz w:val="32"/>
          <w:szCs w:val="24"/>
          <w:lang w:val="zh-CN"/>
        </w:rPr>
        <w:t>一</w:t>
      </w:r>
      <w:r>
        <w:rPr>
          <w:rFonts w:hint="eastAsia" w:ascii="黑体" w:hAnsi="黑体" w:eastAsia="黑体"/>
          <w:color w:val="auto"/>
          <w:kern w:val="2"/>
          <w:sz w:val="32"/>
          <w:szCs w:val="24"/>
          <w:lang w:val="zh-CN"/>
        </w:rPr>
        <w:t>般公共预算财政拨款支出决算情况说明</w:t>
      </w:r>
      <w:bookmarkEnd w:id="12"/>
    </w:p>
    <w:p>
      <w:pPr>
        <w:keepNext/>
        <w:spacing w:line="576" w:lineRule="exact"/>
        <w:ind w:firstLine="643"/>
        <w:jc w:val="both"/>
        <w:rPr>
          <w:rFonts w:hint="eastAsia" w:ascii="仿宋_GB2312" w:hAnsi="仿宋_GB2312" w:eastAsia="仿宋_GB2312"/>
          <w:b/>
          <w:color w:val="000000"/>
          <w:kern w:val="2"/>
          <w:sz w:val="32"/>
          <w:szCs w:val="24"/>
          <w:lang w:val="zh-CN"/>
        </w:rPr>
      </w:pPr>
      <w:r>
        <w:rPr>
          <w:rFonts w:hint="default" w:ascii="仿宋_GB2312" w:hAnsi="仿宋_GB2312" w:eastAsia="仿宋_GB2312"/>
          <w:color w:val="000000"/>
          <w:kern w:val="2"/>
          <w:sz w:val="32"/>
          <w:szCs w:val="24"/>
          <w:lang w:val="zh-CN"/>
        </w:rPr>
        <w:pict>
          <v:shape id="对象 9" o:spid="_x0000_s2054" o:spt="75" type="#_x0000_t75" style="position:absolute;left:0pt;margin-left:32.65pt;margin-top:152.35pt;height:222.75pt;width:258.75pt;mso-wrap-distance-bottom:0pt;mso-wrap-distance-top:0pt;z-index:251663360;mso-width-relative:page;mso-height-relative:page;" o:ole="t" filled="f" o:preferrelative="t" stroked="f" coordsize="21600,21600">
            <v:path/>
            <v:fill on="f" focussize="0,0"/>
            <v:stroke on="f"/>
            <v:imagedata r:id="rId14" o:title=""/>
            <o:lock v:ext="edit" aspectratio="t"/>
            <w10:wrap type="topAndBottom"/>
          </v:shape>
          <o:OLEObject Type="Embed" ProgID="Excel.Chart.8" ShapeID="对象 9" DrawAspect="Content" ObjectID="_1468075729" r:id="rId13">
            <o:LockedField>false</o:LockedField>
          </o:OLEObject>
        </w:pict>
      </w:r>
      <w:r>
        <w:rPr>
          <w:rFonts w:hint="eastAsia" w:ascii="仿宋_GB2312" w:hAnsi="仿宋_GB2312" w:eastAsia="仿宋_GB2312"/>
          <w:b/>
          <w:color w:val="000000"/>
          <w:kern w:val="2"/>
          <w:sz w:val="32"/>
          <w:szCs w:val="24"/>
          <w:lang w:val="zh-CN"/>
        </w:rPr>
        <w:t>（一）一般公共预算财政拨款支出决算总体情况。</w:t>
      </w:r>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2022年一般公共预算财政拨款支出1,436.9万元，占本年支出合计的97%。与2021年相比，一般公共预算财政拨款支出减少254.43万元，下降15%。主要变动原因是正常变动。</w:t>
      </w:r>
    </w:p>
    <w:p>
      <w:pPr>
        <w:keepNext/>
        <w:spacing w:line="576" w:lineRule="exact"/>
        <w:jc w:val="both"/>
        <w:rPr>
          <w:rFonts w:hint="eastAsia" w:ascii="仿宋_GB2312" w:hAnsi="仿宋_GB2312" w:eastAsia="仿宋_GB2312"/>
          <w:color w:val="000000"/>
          <w:kern w:val="2"/>
          <w:sz w:val="32"/>
          <w:szCs w:val="24"/>
          <w:lang w:val="zh-CN"/>
        </w:rPr>
      </w:pPr>
    </w:p>
    <w:p>
      <w:pPr>
        <w:keepNext/>
        <w:spacing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（图5：一般公共预算财政拨款支出决算变动情况）（柱状图）</w:t>
      </w:r>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13" w:name="_Toc5089"/>
      <w:bookmarkStart w:id="14" w:name="_Toc3696"/>
      <w:r>
        <w:rPr>
          <w:rFonts w:hint="eastAsia" w:ascii="仿宋_GB2312" w:hAnsi="仿宋_GB2312" w:eastAsia="仿宋_GB2312"/>
          <w:b/>
          <w:color w:val="000000"/>
          <w:kern w:val="2"/>
          <w:sz w:val="32"/>
          <w:szCs w:val="24"/>
          <w:lang w:val="zh-CN"/>
        </w:rPr>
        <w:t>（二）一般公共预算财政拨款支出决算结构情况。</w:t>
      </w:r>
      <w:bookmarkEnd w:id="13"/>
      <w:bookmarkEnd w:id="14"/>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支出1,436.9万元，主要用于以下方面:一般公共服务支出436.29万元，占30.4%；外交支出0万元，占0%；国防支出0万元，占0%；公共安全支出10.71万元，占0.7%；教育支出0万元，占0%；科学技术支出0万元，占0%；文化体育与传媒支出103.5万元，占7.2%；社会保障和就业支出190.06万元，占13.2%；卫生健康支出50.93万元，占3.5%；节能环保支出0万元，占0%；城乡社区支出0万元，占0%；农林水支出507.67万元，占35.3%；交通运输支出0万元，占0%；资源勘探工业信息等支出0万元，占0%；商业服务业等支出0万元，占0%；金融支出0万元，占0%；援助其他地区支出0万元，占0%；自然资源海洋气象等支出0万元，占0%；住房保障支出56.81万元，占4%；粮油物资储备支出0万元，占0%；国有资本经营预算支出0万元，占0%；灾害防治及应急管理支出10万元，占0.7%；其他支出70.94万元，占4.9%；债务还本支出0万元，占0%；债务付息支出0万元，占0%；抗疫特别国债安排的支出0万元，</w:t>
      </w:r>
      <w:r>
        <w:rPr>
          <w:rFonts w:hint="eastAsia" w:ascii="仿宋_GB2312" w:hAnsi="仿宋_GB2312" w:eastAsia="仿宋_GB2312"/>
          <w:color w:val="000000"/>
          <w:kern w:val="2"/>
          <w:sz w:val="32"/>
          <w:szCs w:val="24"/>
          <w:lang w:val="en-US" w:eastAsia="zh-CN"/>
        </w:rPr>
        <w:t>占</w:t>
      </w:r>
      <w:r>
        <w:rPr>
          <w:rFonts w:hint="eastAsia" w:ascii="仿宋_GB2312" w:hAnsi="仿宋_GB2312" w:eastAsia="仿宋_GB2312"/>
          <w:color w:val="000000"/>
          <w:kern w:val="2"/>
          <w:sz w:val="32"/>
          <w:szCs w:val="24"/>
          <w:lang w:val="zh-CN"/>
        </w:rPr>
        <w:t>0%。</w:t>
      </w:r>
    </w:p>
    <w:p>
      <w:pPr>
        <w:keepNext/>
        <w:spacing w:line="600" w:lineRule="exact"/>
        <w:ind w:firstLine="640"/>
        <w:jc w:val="both"/>
        <w:rPr>
          <w:rFonts w:hint="eastAsia" w:ascii="仿宋" w:hAnsi="仿宋" w:eastAsia="仿宋"/>
          <w:b/>
          <w:color w:val="auto"/>
          <w:kern w:val="2"/>
          <w:sz w:val="32"/>
          <w:szCs w:val="24"/>
          <w:lang w:val="en-US"/>
        </w:rPr>
      </w:pPr>
      <w:r>
        <w:rPr>
          <w:rFonts w:hint="default" w:ascii="仿宋" w:hAnsi="仿宋" w:eastAsia="仿宋"/>
          <w:color w:val="auto"/>
          <w:kern w:val="2"/>
          <w:sz w:val="32"/>
          <w:szCs w:val="24"/>
          <w:lang w:val="en-US" w:eastAsia="zh-CN"/>
        </w:rPr>
        <w:pict>
          <v:shape id="对象 10" o:spid="_x0000_s2055" o:spt="75" type="#_x0000_t75" style="position:absolute;left:0pt;margin-left:-8.7pt;margin-top:-534.8pt;height:271.45pt;width:446.9pt;mso-wrap-distance-bottom:0pt;mso-wrap-distance-left:9pt;mso-wrap-distance-right:9pt;mso-wrap-distance-top:0pt;z-index:251664384;mso-width-relative:page;mso-height-relative:page;" o:ole="t" filled="f" o:preferrelative="t" stroked="f" coordsize="21600,21600">
            <v:path/>
            <v:fill on="f" focussize="0,0"/>
            <v:stroke on="f"/>
            <v:imagedata r:id="rId16" o:title=""/>
            <o:lock v:ext="edit" aspectratio="t"/>
            <w10:wrap type="square"/>
          </v:shape>
          <o:OLEObject Type="Embed" ProgID="Excel.Chart.8" ShapeID="对象 10" DrawAspect="Content" ObjectID="_1468075730" r:id="rId15">
            <o:LockedField>false</o:LockedField>
          </o:OLEObject>
        </w:pict>
      </w:r>
      <w:r>
        <w:rPr>
          <w:rFonts w:hint="eastAsia" w:ascii="仿宋" w:hAnsi="仿宋" w:eastAsia="仿宋"/>
          <w:b/>
          <w:color w:val="auto"/>
          <w:kern w:val="2"/>
          <w:sz w:val="32"/>
          <w:szCs w:val="24"/>
          <w:lang w:val="en-US"/>
        </w:rPr>
        <w:t>（注：数据来源于财决01-1表，仅罗列本部门涉及的全部功能分类科目，至类级。）</w:t>
      </w:r>
    </w:p>
    <w:p>
      <w:pPr>
        <w:keepNext/>
        <w:spacing w:line="600" w:lineRule="exact"/>
        <w:ind w:firstLine="640"/>
        <w:jc w:val="both"/>
        <w:rPr>
          <w:rFonts w:hint="eastAsia" w:ascii="仿宋" w:hAnsi="仿宋" w:eastAsia="仿宋"/>
          <w:color w:val="auto"/>
          <w:kern w:val="2"/>
          <w:sz w:val="32"/>
          <w:szCs w:val="24"/>
          <w:lang w:val="en-US" w:eastAsia="zh-CN"/>
        </w:rPr>
      </w:pPr>
      <w:r>
        <w:rPr>
          <w:rFonts w:hint="eastAsia" w:ascii="仿宋" w:hAnsi="仿宋" w:eastAsia="仿宋"/>
          <w:color w:val="auto"/>
          <w:kern w:val="2"/>
          <w:sz w:val="32"/>
          <w:szCs w:val="24"/>
          <w:lang w:val="en-US"/>
        </w:rPr>
        <w:t>（图6：一般公共预算财政拨款支出决算结构）（饼状</w:t>
      </w:r>
    </w:p>
    <w:p>
      <w:pPr>
        <w:keepNext/>
        <w:spacing w:line="576" w:lineRule="exact"/>
        <w:jc w:val="both"/>
        <w:outlineLvl w:val="2"/>
        <w:rPr>
          <w:rFonts w:hint="eastAsia" w:ascii="仿宋_GB2312" w:hAnsi="仿宋_GB2312" w:eastAsia="仿宋_GB2312"/>
          <w:b/>
          <w:color w:val="000000"/>
          <w:kern w:val="2"/>
          <w:sz w:val="32"/>
          <w:szCs w:val="24"/>
          <w:lang w:val="zh-CN"/>
        </w:rPr>
      </w:pPr>
      <w:bookmarkStart w:id="15" w:name="_Toc12502"/>
      <w:bookmarkStart w:id="16" w:name="_Toc27191"/>
      <w:r>
        <w:rPr>
          <w:rFonts w:hint="eastAsia" w:ascii="仿宋_GB2312" w:hAnsi="仿宋_GB2312" w:eastAsia="仿宋_GB2312"/>
          <w:b/>
          <w:color w:val="000000"/>
          <w:kern w:val="2"/>
          <w:sz w:val="32"/>
          <w:szCs w:val="24"/>
          <w:lang w:val="zh-CN"/>
        </w:rPr>
        <w:t>（三）一般公共预算财政拨款支出决算具体情况。</w:t>
      </w:r>
      <w:bookmarkEnd w:id="15"/>
      <w:bookmarkEnd w:id="16"/>
    </w:p>
    <w:p>
      <w:pPr>
        <w:keepNext/>
        <w:spacing w:line="576" w:lineRule="exact"/>
        <w:ind w:firstLine="643"/>
        <w:jc w:val="both"/>
        <w:rPr>
          <w:rFonts w:hint="eastAsia" w:ascii="仿宋_GB2312" w:hAnsi="仿宋_GB2312" w:eastAsia="仿宋_GB2312"/>
          <w:b/>
          <w:color w:val="000000"/>
          <w:kern w:val="2"/>
          <w:sz w:val="32"/>
          <w:szCs w:val="24"/>
          <w:lang w:val="zh-CN"/>
        </w:rPr>
      </w:pPr>
      <w:r>
        <w:rPr>
          <w:rFonts w:hint="eastAsia" w:ascii="仿宋_GB2312" w:hAnsi="仿宋_GB2312" w:eastAsia="仿宋_GB2312"/>
          <w:b/>
          <w:color w:val="000000"/>
          <w:kern w:val="2"/>
          <w:sz w:val="32"/>
          <w:szCs w:val="24"/>
          <w:lang w:val="zh-CN"/>
        </w:rPr>
        <w:t>2022年一般公共预算支出决算数为1,436.9万元</w:t>
      </w:r>
      <w:r>
        <w:rPr>
          <w:rFonts w:hint="eastAsia" w:ascii="仿宋_GB2312" w:hAnsi="仿宋_GB2312" w:eastAsia="仿宋_GB2312"/>
          <w:color w:val="000000"/>
          <w:kern w:val="2"/>
          <w:sz w:val="32"/>
          <w:szCs w:val="24"/>
          <w:lang w:val="zh-CN"/>
        </w:rPr>
        <w:t>，</w:t>
      </w:r>
      <w:r>
        <w:rPr>
          <w:rFonts w:hint="eastAsia" w:ascii="仿宋_GB2312" w:hAnsi="仿宋_GB2312" w:eastAsia="仿宋_GB2312"/>
          <w:b/>
          <w:color w:val="000000"/>
          <w:kern w:val="2"/>
          <w:sz w:val="32"/>
          <w:szCs w:val="24"/>
          <w:lang w:val="zh-CN"/>
        </w:rPr>
        <w:t>完成预算100%。其中：</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1.</w:t>
      </w:r>
      <w:r>
        <w:rPr>
          <w:rFonts w:hint="eastAsia" w:ascii="仿宋_GB2312" w:hAnsi="仿宋_GB2312" w:eastAsia="仿宋_GB2312"/>
          <w:b/>
          <w:color w:val="000000"/>
          <w:kern w:val="2"/>
          <w:sz w:val="32"/>
          <w:szCs w:val="24"/>
          <w:lang w:val="en-US"/>
        </w:rPr>
        <w:t>一般公共服务</w:t>
      </w:r>
      <w:r>
        <w:rPr>
          <w:rFonts w:hint="eastAsia" w:ascii="仿宋_GB2312" w:hAnsi="仿宋_GB2312" w:eastAsia="仿宋_GB2312"/>
          <w:b/>
          <w:color w:val="000000"/>
          <w:kern w:val="2"/>
          <w:sz w:val="32"/>
          <w:szCs w:val="24"/>
          <w:lang w:val="en-US" w:eastAsia="zh-CN"/>
        </w:rPr>
        <w:t>（类）人大事务（款）</w:t>
      </w:r>
      <w:r>
        <w:rPr>
          <w:rFonts w:hint="eastAsia" w:ascii="仿宋" w:hAnsi="仿宋" w:eastAsia="仿宋"/>
          <w:color w:val="auto"/>
          <w:kern w:val="2"/>
          <w:sz w:val="32"/>
          <w:szCs w:val="24"/>
          <w:lang w:val="en-US"/>
        </w:rPr>
        <w:t>行政运行</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18.02</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2.</w:t>
      </w:r>
      <w:r>
        <w:rPr>
          <w:rFonts w:hint="eastAsia" w:ascii="仿宋_GB2312" w:hAnsi="仿宋_GB2312" w:eastAsia="仿宋_GB2312"/>
          <w:b/>
          <w:color w:val="000000"/>
          <w:kern w:val="2"/>
          <w:sz w:val="32"/>
          <w:szCs w:val="24"/>
          <w:lang w:val="en-US"/>
        </w:rPr>
        <w:t>一般公共服务</w:t>
      </w:r>
      <w:r>
        <w:rPr>
          <w:rFonts w:hint="eastAsia" w:ascii="仿宋_GB2312" w:hAnsi="仿宋_GB2312" w:eastAsia="仿宋_GB2312"/>
          <w:b/>
          <w:color w:val="000000"/>
          <w:kern w:val="2"/>
          <w:sz w:val="32"/>
          <w:szCs w:val="24"/>
          <w:lang w:val="en-US" w:eastAsia="zh-CN"/>
        </w:rPr>
        <w:t>（类）人大事务（款）</w:t>
      </w:r>
      <w:r>
        <w:rPr>
          <w:rFonts w:hint="eastAsia" w:ascii="仿宋" w:hAnsi="仿宋" w:eastAsia="仿宋"/>
          <w:color w:val="auto"/>
          <w:kern w:val="2"/>
          <w:sz w:val="32"/>
          <w:szCs w:val="24"/>
          <w:lang w:val="en-US"/>
        </w:rPr>
        <w:t>人大会议</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3.3</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3.</w:t>
      </w:r>
      <w:r>
        <w:rPr>
          <w:rFonts w:hint="eastAsia" w:ascii="仿宋_GB2312" w:hAnsi="仿宋_GB2312" w:eastAsia="仿宋_GB2312"/>
          <w:b/>
          <w:color w:val="000000"/>
          <w:kern w:val="2"/>
          <w:sz w:val="32"/>
          <w:szCs w:val="24"/>
          <w:lang w:val="en-US"/>
        </w:rPr>
        <w:t>一般公共服务</w:t>
      </w:r>
      <w:r>
        <w:rPr>
          <w:rFonts w:hint="eastAsia" w:ascii="仿宋_GB2312" w:hAnsi="仿宋_GB2312" w:eastAsia="仿宋_GB2312"/>
          <w:b/>
          <w:color w:val="000000"/>
          <w:kern w:val="2"/>
          <w:sz w:val="32"/>
          <w:szCs w:val="24"/>
          <w:lang w:val="en-US" w:eastAsia="zh-CN"/>
        </w:rPr>
        <w:t>（类）政府办公厅（室）及相关机构服务（款）</w:t>
      </w:r>
      <w:r>
        <w:rPr>
          <w:rFonts w:hint="eastAsia" w:ascii="仿宋" w:hAnsi="仿宋" w:eastAsia="仿宋"/>
          <w:color w:val="auto"/>
          <w:kern w:val="2"/>
          <w:sz w:val="32"/>
          <w:szCs w:val="24"/>
          <w:lang w:val="en-US"/>
        </w:rPr>
        <w:t>行政运行</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349.71</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0" w:firstLineChars="20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eastAsia="zh-CN"/>
        </w:rPr>
        <w:t>4.一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（类）政府办公厅（室）及相关机构服务（款）</w:t>
      </w:r>
      <w:r>
        <w:rPr>
          <w:rFonts w:hint="eastAsia" w:ascii="仿宋" w:hAnsi="仿宋" w:eastAsia="仿宋"/>
          <w:color w:val="auto"/>
          <w:kern w:val="2"/>
          <w:sz w:val="32"/>
          <w:szCs w:val="24"/>
          <w:lang w:val="en-US"/>
        </w:rPr>
        <w:t>一般行政管理事务</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0.81</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5.一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（类）政府办公厅（室）及相关机构服务（款）</w:t>
      </w:r>
      <w:r>
        <w:rPr>
          <w:rFonts w:hint="eastAsia" w:ascii="仿宋" w:hAnsi="仿宋" w:eastAsia="仿宋"/>
          <w:color w:val="auto"/>
          <w:kern w:val="2"/>
          <w:sz w:val="32"/>
          <w:szCs w:val="24"/>
          <w:lang w:val="en-US"/>
        </w:rPr>
        <w:t>信访事务</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1.68</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6.</w:t>
      </w:r>
      <w:r>
        <w:rPr>
          <w:rFonts w:hint="eastAsia" w:ascii="仿宋" w:hAnsi="仿宋" w:eastAsia="仿宋"/>
          <w:color w:val="auto"/>
          <w:kern w:val="2"/>
          <w:sz w:val="32"/>
          <w:szCs w:val="24"/>
          <w:lang w:val="en-US" w:eastAsia="zh-CN"/>
        </w:rPr>
        <w:t>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（类）政府办公厅（室）及相关机构服务（款）</w:t>
      </w:r>
      <w:r>
        <w:rPr>
          <w:rFonts w:hint="eastAsia" w:ascii="仿宋" w:hAnsi="仿宋" w:eastAsia="仿宋"/>
          <w:color w:val="auto"/>
          <w:kern w:val="2"/>
          <w:sz w:val="32"/>
          <w:szCs w:val="24"/>
          <w:lang w:val="en-US"/>
        </w:rPr>
        <w:t>事业运行</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41.52</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cs="Times New Roman"/>
          <w:b/>
          <w:color w:val="000000"/>
          <w:kern w:val="2"/>
          <w:sz w:val="32"/>
          <w:szCs w:val="24"/>
          <w:lang w:val="en-US" w:eastAsia="zh-CN"/>
        </w:rPr>
        <w:t>7.一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（类）纪检监察事务（款）</w:t>
      </w:r>
      <w:r>
        <w:rPr>
          <w:rFonts w:hint="eastAsia" w:ascii="仿宋" w:hAnsi="仿宋" w:eastAsia="仿宋"/>
          <w:color w:val="auto"/>
          <w:kern w:val="2"/>
          <w:sz w:val="32"/>
          <w:szCs w:val="24"/>
          <w:lang w:val="en-US" w:eastAsia="zh-CN"/>
        </w:rPr>
        <w:t>其他纪检监察事务支出（项）：支出决算为1.54万元，完成预算100%。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cs="Times New Roman"/>
          <w:b/>
          <w:color w:val="000000"/>
          <w:kern w:val="2"/>
          <w:sz w:val="32"/>
          <w:szCs w:val="24"/>
          <w:lang w:val="en-US" w:eastAsia="zh-CN"/>
        </w:rPr>
        <w:t>8.一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（类）民族事务（款）</w:t>
      </w:r>
      <w:r>
        <w:rPr>
          <w:rFonts w:hint="eastAsia" w:ascii="仿宋" w:hAnsi="仿宋" w:eastAsia="仿宋"/>
          <w:color w:val="auto"/>
          <w:kern w:val="2"/>
          <w:sz w:val="32"/>
          <w:szCs w:val="24"/>
          <w:lang w:val="en-US" w:eastAsia="zh-CN"/>
        </w:rPr>
        <w:t>其他民族事务支出（项）：支出决算为1.6万元，完成预算100%。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9.一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（类）党委办公厅（室）及相关机构事务（款）</w:t>
      </w:r>
      <w:r>
        <w:rPr>
          <w:rFonts w:hint="eastAsia" w:ascii="仿宋" w:hAnsi="仿宋" w:eastAsia="仿宋"/>
          <w:color w:val="auto"/>
          <w:kern w:val="2"/>
          <w:sz w:val="32"/>
          <w:szCs w:val="24"/>
          <w:lang w:val="en-US"/>
        </w:rPr>
        <w:t>行政运行</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14.11</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cs="Times New Roman"/>
          <w:b/>
          <w:color w:val="000000"/>
          <w:kern w:val="2"/>
          <w:sz w:val="32"/>
          <w:szCs w:val="24"/>
          <w:lang w:val="en-US" w:eastAsia="zh-CN"/>
        </w:rPr>
        <w:t>10.</w:t>
      </w:r>
      <w:r>
        <w:rPr>
          <w:rFonts w:hint="eastAsia" w:ascii="仿宋" w:hAnsi="仿宋" w:eastAsia="仿宋"/>
          <w:color w:val="auto"/>
          <w:kern w:val="2"/>
          <w:sz w:val="32"/>
          <w:szCs w:val="24"/>
          <w:lang w:val="en-US" w:eastAsia="zh-CN"/>
        </w:rPr>
        <w:t>一</w:t>
      </w:r>
      <w:r>
        <w:rPr>
          <w:rFonts w:hint="eastAsia" w:ascii="仿宋_GB2312" w:hAnsi="仿宋_GB2312" w:eastAsia="仿宋_GB2312"/>
          <w:b/>
          <w:color w:val="000000"/>
          <w:kern w:val="2"/>
          <w:sz w:val="32"/>
          <w:szCs w:val="24"/>
          <w:lang w:val="en-US"/>
        </w:rPr>
        <w:t>般公共服务</w:t>
      </w:r>
      <w:r>
        <w:rPr>
          <w:rFonts w:hint="eastAsia" w:ascii="仿宋_GB2312" w:hAnsi="仿宋_GB2312" w:eastAsia="仿宋_GB2312"/>
          <w:b/>
          <w:color w:val="000000"/>
          <w:kern w:val="2"/>
          <w:sz w:val="32"/>
          <w:szCs w:val="24"/>
          <w:lang w:val="en-US" w:eastAsia="zh-CN"/>
        </w:rPr>
        <w:t>（类）宣传事务（款）</w:t>
      </w:r>
      <w:r>
        <w:rPr>
          <w:rFonts w:hint="eastAsia" w:ascii="仿宋" w:hAnsi="仿宋" w:eastAsia="仿宋"/>
          <w:color w:val="auto"/>
          <w:kern w:val="2"/>
          <w:sz w:val="32"/>
          <w:szCs w:val="24"/>
          <w:lang w:val="en-US" w:eastAsia="zh-CN"/>
        </w:rPr>
        <w:t>其他宣传事务支出（项）：支出决算为4万元，完成预算100%。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11.公共安全支出（类）其他公共安全支出（款）其他公共安全支出（项）</w:t>
      </w:r>
      <w:r>
        <w:rPr>
          <w:rFonts w:hint="eastAsia" w:ascii="仿宋" w:hAnsi="仿宋" w:eastAsia="仿宋"/>
          <w:color w:val="auto"/>
          <w:kern w:val="2"/>
          <w:sz w:val="32"/>
          <w:szCs w:val="24"/>
          <w:lang w:val="en-US" w:eastAsia="zh-CN"/>
        </w:rPr>
        <w:t>：支出决算为10.71万元，完成预算100%。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12.</w:t>
      </w:r>
      <w:r>
        <w:rPr>
          <w:rFonts w:hint="eastAsia" w:ascii="仿宋_GB2312" w:hAnsi="仿宋_GB2312" w:eastAsia="仿宋_GB2312"/>
          <w:b/>
          <w:color w:val="000000"/>
          <w:kern w:val="2"/>
          <w:sz w:val="32"/>
          <w:szCs w:val="24"/>
          <w:lang w:val="en-US"/>
        </w:rPr>
        <w:t>文化旅游体育与传媒支出</w:t>
      </w:r>
      <w:r>
        <w:rPr>
          <w:rFonts w:hint="eastAsia" w:ascii="仿宋_GB2312" w:hAnsi="仿宋_GB2312" w:eastAsia="仿宋_GB2312"/>
          <w:b/>
          <w:color w:val="000000"/>
          <w:kern w:val="2"/>
          <w:sz w:val="32"/>
          <w:szCs w:val="24"/>
          <w:lang w:val="en-US" w:eastAsia="zh-CN"/>
        </w:rPr>
        <w:t>（类）文化和旅游（款）</w:t>
      </w:r>
      <w:r>
        <w:rPr>
          <w:rFonts w:hint="eastAsia" w:ascii="仿宋" w:hAnsi="仿宋" w:eastAsia="仿宋"/>
          <w:color w:val="auto"/>
          <w:kern w:val="2"/>
          <w:sz w:val="32"/>
          <w:szCs w:val="24"/>
          <w:lang w:val="en-US"/>
        </w:rPr>
        <w:t>群众文化</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98.7</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13.文</w:t>
      </w:r>
      <w:r>
        <w:rPr>
          <w:rFonts w:hint="eastAsia" w:ascii="仿宋_GB2312" w:hAnsi="仿宋_GB2312" w:eastAsia="仿宋_GB2312"/>
          <w:b/>
          <w:color w:val="000000"/>
          <w:kern w:val="2"/>
          <w:sz w:val="32"/>
          <w:szCs w:val="24"/>
          <w:lang w:val="en-US"/>
        </w:rPr>
        <w:t>化旅游体育与传媒支出</w:t>
      </w:r>
      <w:r>
        <w:rPr>
          <w:rFonts w:hint="eastAsia" w:ascii="仿宋_GB2312" w:hAnsi="仿宋_GB2312" w:eastAsia="仿宋_GB2312"/>
          <w:b/>
          <w:color w:val="000000"/>
          <w:kern w:val="2"/>
          <w:sz w:val="32"/>
          <w:szCs w:val="24"/>
          <w:lang w:val="en-US" w:eastAsia="zh-CN"/>
        </w:rPr>
        <w:t>（类）文化和旅游（款）</w:t>
      </w:r>
      <w:r>
        <w:rPr>
          <w:rFonts w:hint="eastAsia" w:ascii="仿宋" w:hAnsi="仿宋" w:eastAsia="仿宋"/>
          <w:color w:val="auto"/>
          <w:kern w:val="2"/>
          <w:sz w:val="32"/>
          <w:szCs w:val="24"/>
          <w:lang w:val="en-US"/>
        </w:rPr>
        <w:t>其他文化和旅游支出</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4.8</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14.社会保障</w:t>
      </w:r>
      <w:r>
        <w:rPr>
          <w:rFonts w:hint="eastAsia" w:ascii="仿宋_GB2312" w:hAnsi="仿宋_GB2312" w:eastAsia="仿宋_GB2312"/>
          <w:b/>
          <w:color w:val="000000"/>
          <w:kern w:val="2"/>
          <w:sz w:val="32"/>
          <w:szCs w:val="24"/>
          <w:lang w:val="en-US"/>
        </w:rPr>
        <w:t>和就业支出</w:t>
      </w:r>
      <w:r>
        <w:rPr>
          <w:rFonts w:hint="eastAsia" w:ascii="仿宋_GB2312" w:hAnsi="仿宋_GB2312" w:eastAsia="仿宋_GB2312"/>
          <w:b/>
          <w:color w:val="000000"/>
          <w:kern w:val="2"/>
          <w:sz w:val="32"/>
          <w:szCs w:val="24"/>
          <w:lang w:val="en-US" w:eastAsia="zh-CN"/>
        </w:rPr>
        <w:t>（类）人力资源和社会保障管理事务（款）</w:t>
      </w:r>
      <w:r>
        <w:rPr>
          <w:rFonts w:hint="eastAsia" w:ascii="仿宋" w:hAnsi="仿宋" w:eastAsia="仿宋"/>
          <w:color w:val="auto"/>
          <w:kern w:val="2"/>
          <w:sz w:val="32"/>
          <w:szCs w:val="24"/>
          <w:lang w:val="en-US"/>
        </w:rPr>
        <w:t>社会保险经办机构</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15.36</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15.社会保障</w:t>
      </w:r>
      <w:r>
        <w:rPr>
          <w:rFonts w:hint="eastAsia" w:ascii="仿宋_GB2312" w:hAnsi="仿宋_GB2312" w:eastAsia="仿宋_GB2312"/>
          <w:b/>
          <w:color w:val="000000"/>
          <w:kern w:val="2"/>
          <w:sz w:val="32"/>
          <w:szCs w:val="24"/>
          <w:lang w:val="en-US"/>
        </w:rPr>
        <w:t>和就业支出</w:t>
      </w:r>
      <w:r>
        <w:rPr>
          <w:rFonts w:hint="eastAsia" w:ascii="仿宋_GB2312" w:hAnsi="仿宋_GB2312" w:eastAsia="仿宋_GB2312"/>
          <w:b/>
          <w:color w:val="000000"/>
          <w:kern w:val="2"/>
          <w:sz w:val="32"/>
          <w:szCs w:val="24"/>
          <w:lang w:val="en-US" w:eastAsia="zh-CN"/>
        </w:rPr>
        <w:t>（类）人力资源和社会保障管理事务（款）</w:t>
      </w:r>
      <w:r>
        <w:rPr>
          <w:rFonts w:hint="eastAsia" w:ascii="仿宋" w:hAnsi="仿宋" w:eastAsia="仿宋"/>
          <w:color w:val="auto"/>
          <w:kern w:val="2"/>
          <w:sz w:val="32"/>
          <w:szCs w:val="24"/>
          <w:lang w:val="en-US" w:eastAsia="zh-CN"/>
        </w:rPr>
        <w:t>其他人力资源和社会保障管理事务支出（项）:支出决算为18.16万元，完成预算100%。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16.社会保障</w:t>
      </w:r>
      <w:r>
        <w:rPr>
          <w:rFonts w:hint="eastAsia" w:ascii="仿宋_GB2312" w:hAnsi="仿宋_GB2312" w:eastAsia="仿宋_GB2312"/>
          <w:b/>
          <w:color w:val="000000"/>
          <w:kern w:val="2"/>
          <w:sz w:val="32"/>
          <w:szCs w:val="24"/>
          <w:lang w:val="en-US"/>
        </w:rPr>
        <w:t>和就业支出</w:t>
      </w:r>
      <w:r>
        <w:rPr>
          <w:rFonts w:hint="eastAsia" w:ascii="仿宋_GB2312" w:hAnsi="仿宋_GB2312" w:eastAsia="仿宋_GB2312"/>
          <w:b/>
          <w:color w:val="000000"/>
          <w:kern w:val="2"/>
          <w:sz w:val="32"/>
          <w:szCs w:val="24"/>
          <w:lang w:val="en-US" w:eastAsia="zh-CN"/>
        </w:rPr>
        <w:t>（类）民政管理事务（款）</w:t>
      </w:r>
      <w:r>
        <w:rPr>
          <w:rFonts w:hint="eastAsia" w:ascii="仿宋" w:hAnsi="仿宋" w:eastAsia="仿宋"/>
          <w:color w:val="auto"/>
          <w:kern w:val="2"/>
          <w:sz w:val="32"/>
          <w:szCs w:val="24"/>
          <w:lang w:val="en-US"/>
        </w:rPr>
        <w:t>其他民政管理事务支出</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19.04</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17.社</w:t>
      </w:r>
      <w:r>
        <w:rPr>
          <w:rFonts w:hint="eastAsia" w:ascii="仿宋_GB2312" w:hAnsi="仿宋_GB2312" w:eastAsia="仿宋_GB2312"/>
          <w:b/>
          <w:color w:val="000000"/>
          <w:kern w:val="2"/>
          <w:sz w:val="32"/>
          <w:szCs w:val="24"/>
          <w:lang w:val="en-US" w:eastAsia="zh-CN"/>
        </w:rPr>
        <w:t>会保障</w:t>
      </w:r>
      <w:r>
        <w:rPr>
          <w:rFonts w:hint="eastAsia" w:ascii="仿宋_GB2312" w:hAnsi="仿宋_GB2312" w:eastAsia="仿宋_GB2312"/>
          <w:b/>
          <w:color w:val="000000"/>
          <w:kern w:val="2"/>
          <w:sz w:val="32"/>
          <w:szCs w:val="24"/>
          <w:lang w:val="en-US"/>
        </w:rPr>
        <w:t>和就业支出</w:t>
      </w:r>
      <w:r>
        <w:rPr>
          <w:rFonts w:hint="eastAsia" w:ascii="仿宋_GB2312" w:hAnsi="仿宋_GB2312" w:eastAsia="仿宋_GB2312"/>
          <w:b/>
          <w:color w:val="000000"/>
          <w:kern w:val="2"/>
          <w:sz w:val="32"/>
          <w:szCs w:val="24"/>
          <w:lang w:val="en-US" w:eastAsia="zh-CN"/>
        </w:rPr>
        <w:t>（类）行政事业单位养老支出（款）</w:t>
      </w:r>
      <w:r>
        <w:rPr>
          <w:rFonts w:hint="eastAsia" w:ascii="仿宋" w:hAnsi="仿宋" w:eastAsia="仿宋"/>
          <w:color w:val="auto"/>
          <w:kern w:val="2"/>
          <w:sz w:val="32"/>
          <w:szCs w:val="24"/>
          <w:lang w:val="en-US"/>
        </w:rPr>
        <w:t>行政单位离退休</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21.87</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18.社会保障和就业支出（类）行政事业单位养老支出（款）</w:t>
      </w:r>
      <w:r>
        <w:rPr>
          <w:rFonts w:hint="eastAsia" w:ascii="仿宋" w:hAnsi="仿宋" w:eastAsia="仿宋"/>
          <w:color w:val="auto"/>
          <w:kern w:val="2"/>
          <w:sz w:val="32"/>
          <w:szCs w:val="24"/>
          <w:lang w:val="en-US"/>
        </w:rPr>
        <w:t>事业单位离退休</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17.04</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19.社会保障和就业支出（类）行政事业单位养老支出（款）</w:t>
      </w:r>
      <w:r>
        <w:rPr>
          <w:rFonts w:hint="eastAsia" w:ascii="仿宋" w:hAnsi="仿宋" w:eastAsia="仿宋"/>
          <w:color w:val="auto"/>
          <w:kern w:val="2"/>
          <w:sz w:val="32"/>
          <w:szCs w:val="24"/>
          <w:lang w:val="en-US"/>
        </w:rPr>
        <w:t>机关事业单位基本养老保险缴费支出</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49.77</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20.社会保障和就业支出（类）抚恤（款）</w:t>
      </w:r>
      <w:r>
        <w:rPr>
          <w:rFonts w:hint="eastAsia" w:ascii="仿宋" w:hAnsi="仿宋" w:eastAsia="仿宋"/>
          <w:color w:val="auto"/>
          <w:kern w:val="2"/>
          <w:sz w:val="32"/>
          <w:szCs w:val="24"/>
          <w:lang w:val="en-US"/>
        </w:rPr>
        <w:t>死亡抚恤</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22.11</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_GB2312" w:hAnsi="仿宋_GB2312" w:eastAsia="仿宋_GB2312"/>
          <w:b/>
          <w:color w:val="000000"/>
          <w:kern w:val="2"/>
          <w:sz w:val="32"/>
          <w:szCs w:val="24"/>
          <w:lang w:val="en-US"/>
        </w:rPr>
      </w:pPr>
      <w:r>
        <w:rPr>
          <w:rFonts w:hint="eastAsia" w:ascii="仿宋_GB2312" w:hAnsi="仿宋_GB2312" w:eastAsia="仿宋_GB2312" w:cs="Times New Roman"/>
          <w:b/>
          <w:color w:val="000000"/>
          <w:kern w:val="2"/>
          <w:sz w:val="32"/>
          <w:szCs w:val="24"/>
          <w:lang w:val="en-US" w:eastAsia="zh-CN"/>
        </w:rPr>
        <w:t>21.社会保障和就业支出（类）特困人员救助供养（款）</w:t>
      </w:r>
      <w:r>
        <w:rPr>
          <w:rFonts w:hint="eastAsia" w:ascii="仿宋" w:hAnsi="仿宋" w:eastAsia="仿宋"/>
          <w:color w:val="auto"/>
          <w:kern w:val="2"/>
          <w:sz w:val="32"/>
          <w:szCs w:val="24"/>
          <w:lang w:val="en-US"/>
        </w:rPr>
        <w:t>农村特困人员救助供养支出</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26.71</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22.</w:t>
      </w:r>
      <w:r>
        <w:rPr>
          <w:rFonts w:hint="eastAsia" w:ascii="仿宋_GB2312" w:hAnsi="仿宋_GB2312" w:eastAsia="仿宋_GB2312"/>
          <w:b/>
          <w:color w:val="000000"/>
          <w:kern w:val="2"/>
          <w:sz w:val="32"/>
          <w:szCs w:val="24"/>
          <w:lang w:val="en-US"/>
        </w:rPr>
        <w:t>卫生健康支出</w:t>
      </w:r>
      <w:r>
        <w:rPr>
          <w:rFonts w:hint="eastAsia" w:ascii="仿宋_GB2312" w:hAnsi="仿宋_GB2312" w:eastAsia="仿宋_GB2312"/>
          <w:b/>
          <w:color w:val="000000"/>
          <w:kern w:val="2"/>
          <w:sz w:val="32"/>
          <w:szCs w:val="24"/>
          <w:lang w:val="en-US" w:eastAsia="zh-CN"/>
        </w:rPr>
        <w:t>（类）公共卫生（款）</w:t>
      </w:r>
      <w:r>
        <w:rPr>
          <w:rFonts w:hint="eastAsia" w:ascii="仿宋" w:hAnsi="仿宋" w:eastAsia="仿宋"/>
          <w:color w:val="auto"/>
          <w:kern w:val="2"/>
          <w:sz w:val="32"/>
          <w:szCs w:val="24"/>
          <w:lang w:val="en-US"/>
        </w:rPr>
        <w:t>重大公共卫生服务</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0.75</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23.</w:t>
      </w:r>
      <w:r>
        <w:rPr>
          <w:rFonts w:hint="eastAsia" w:ascii="仿宋_GB2312" w:hAnsi="仿宋_GB2312" w:eastAsia="仿宋_GB2312"/>
          <w:b/>
          <w:color w:val="000000"/>
          <w:kern w:val="2"/>
          <w:sz w:val="32"/>
          <w:szCs w:val="24"/>
          <w:lang w:val="en-US"/>
        </w:rPr>
        <w:t>卫生健康支出</w:t>
      </w:r>
      <w:r>
        <w:rPr>
          <w:rFonts w:hint="eastAsia" w:ascii="仿宋_GB2312" w:hAnsi="仿宋_GB2312" w:eastAsia="仿宋_GB2312"/>
          <w:b/>
          <w:color w:val="000000"/>
          <w:kern w:val="2"/>
          <w:sz w:val="32"/>
          <w:szCs w:val="24"/>
          <w:lang w:val="en-US" w:eastAsia="zh-CN"/>
        </w:rPr>
        <w:t>（类）行政事业单位医疗（款）</w:t>
      </w:r>
      <w:r>
        <w:rPr>
          <w:rFonts w:hint="eastAsia" w:ascii="仿宋" w:hAnsi="仿宋" w:eastAsia="仿宋"/>
          <w:color w:val="auto"/>
          <w:kern w:val="2"/>
          <w:sz w:val="32"/>
          <w:szCs w:val="24"/>
          <w:lang w:val="en-US"/>
        </w:rPr>
        <w:t>行政单位医疗</w:t>
      </w:r>
      <w:r>
        <w:rPr>
          <w:rFonts w:hint="eastAsia" w:ascii="仿宋" w:hAnsi="仿宋" w:eastAsia="仿宋"/>
          <w:color w:val="auto"/>
          <w:kern w:val="2"/>
          <w:sz w:val="32"/>
          <w:szCs w:val="24"/>
          <w:lang w:val="en-US" w:eastAsia="zh-CN"/>
        </w:rPr>
        <w:t>（项）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19.2</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24</w:t>
      </w:r>
      <w:r>
        <w:rPr>
          <w:rFonts w:hint="eastAsia" w:ascii="仿宋" w:hAnsi="仿宋" w:eastAsia="仿宋"/>
          <w:color w:val="auto"/>
          <w:kern w:val="2"/>
          <w:sz w:val="32"/>
          <w:szCs w:val="24"/>
          <w:lang w:val="en-US" w:eastAsia="zh-CN"/>
        </w:rPr>
        <w:t>.</w:t>
      </w:r>
      <w:r>
        <w:rPr>
          <w:rFonts w:hint="eastAsia" w:ascii="仿宋_GB2312" w:hAnsi="仿宋_GB2312" w:eastAsia="仿宋_GB2312"/>
          <w:b/>
          <w:color w:val="000000"/>
          <w:kern w:val="2"/>
          <w:sz w:val="32"/>
          <w:szCs w:val="24"/>
          <w:lang w:val="en-US"/>
        </w:rPr>
        <w:t>卫生健康支出</w:t>
      </w:r>
      <w:r>
        <w:rPr>
          <w:rFonts w:hint="eastAsia" w:ascii="仿宋_GB2312" w:hAnsi="仿宋_GB2312" w:eastAsia="仿宋_GB2312"/>
          <w:b/>
          <w:color w:val="000000"/>
          <w:kern w:val="2"/>
          <w:sz w:val="32"/>
          <w:szCs w:val="24"/>
          <w:lang w:val="en-US" w:eastAsia="zh-CN"/>
        </w:rPr>
        <w:t>（类）行政事业单位医疗（款）</w:t>
      </w:r>
      <w:r>
        <w:rPr>
          <w:rFonts w:hint="eastAsia" w:ascii="仿宋" w:hAnsi="仿宋" w:eastAsia="仿宋"/>
          <w:color w:val="auto"/>
          <w:kern w:val="2"/>
          <w:sz w:val="32"/>
          <w:szCs w:val="24"/>
          <w:lang w:val="en-US"/>
        </w:rPr>
        <w:t>事业单位医疗（项）：支出决算为13.</w:t>
      </w:r>
      <w:r>
        <w:rPr>
          <w:rFonts w:hint="eastAsia" w:ascii="仿宋" w:hAnsi="仿宋" w:eastAsia="仿宋"/>
          <w:color w:val="auto"/>
          <w:kern w:val="2"/>
          <w:sz w:val="32"/>
          <w:szCs w:val="24"/>
          <w:lang w:val="en-US" w:eastAsia="zh-CN"/>
        </w:rPr>
        <w:t>78</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cs="Times New Roman"/>
          <w:b/>
          <w:color w:val="000000"/>
          <w:kern w:val="2"/>
          <w:sz w:val="32"/>
          <w:szCs w:val="24"/>
          <w:lang w:val="en-US" w:eastAsia="zh-CN"/>
        </w:rPr>
        <w:t>25</w:t>
      </w:r>
      <w:r>
        <w:rPr>
          <w:rFonts w:hint="eastAsia" w:ascii="仿宋" w:hAnsi="仿宋" w:eastAsia="仿宋"/>
          <w:color w:val="auto"/>
          <w:kern w:val="2"/>
          <w:sz w:val="32"/>
          <w:szCs w:val="24"/>
          <w:lang w:val="en-US" w:eastAsia="zh-CN"/>
        </w:rPr>
        <w:t>.</w:t>
      </w:r>
      <w:r>
        <w:rPr>
          <w:rFonts w:hint="eastAsia" w:ascii="仿宋_GB2312" w:hAnsi="仿宋_GB2312" w:eastAsia="仿宋_GB2312"/>
          <w:b/>
          <w:color w:val="000000"/>
          <w:kern w:val="2"/>
          <w:sz w:val="32"/>
          <w:szCs w:val="24"/>
          <w:lang w:val="en-US"/>
        </w:rPr>
        <w:t>卫生健康支出</w:t>
      </w:r>
      <w:r>
        <w:rPr>
          <w:rFonts w:hint="eastAsia" w:ascii="仿宋_GB2312" w:hAnsi="仿宋_GB2312" w:eastAsia="仿宋_GB2312"/>
          <w:b/>
          <w:color w:val="000000"/>
          <w:kern w:val="2"/>
          <w:sz w:val="32"/>
          <w:szCs w:val="24"/>
          <w:lang w:val="en-US" w:eastAsia="zh-CN"/>
        </w:rPr>
        <w:t>（类）行政事业单位医疗（款）</w:t>
      </w:r>
      <w:r>
        <w:rPr>
          <w:rFonts w:hint="eastAsia" w:ascii="仿宋" w:hAnsi="仿宋" w:eastAsia="仿宋"/>
          <w:color w:val="auto"/>
          <w:kern w:val="2"/>
          <w:sz w:val="32"/>
          <w:szCs w:val="24"/>
          <w:lang w:val="en-US"/>
        </w:rPr>
        <w:t>公务员医疗补助（项）：支出决算为</w:t>
      </w:r>
      <w:r>
        <w:rPr>
          <w:rFonts w:hint="eastAsia" w:ascii="仿宋" w:hAnsi="仿宋" w:eastAsia="仿宋"/>
          <w:color w:val="auto"/>
          <w:kern w:val="2"/>
          <w:sz w:val="32"/>
          <w:szCs w:val="24"/>
          <w:lang w:val="en-US" w:eastAsia="zh-CN"/>
        </w:rPr>
        <w:t>9.47</w:t>
      </w:r>
      <w:r>
        <w:rPr>
          <w:rFonts w:hint="eastAsia" w:ascii="仿宋" w:hAnsi="仿宋" w:eastAsia="仿宋"/>
          <w:color w:val="auto"/>
          <w:kern w:val="2"/>
          <w:sz w:val="32"/>
          <w:szCs w:val="24"/>
          <w:lang w:val="en-US"/>
        </w:rPr>
        <w:t>万元，完成预算100%。</w:t>
      </w:r>
    </w:p>
    <w:p>
      <w:pPr>
        <w:keepNext/>
        <w:spacing w:line="576" w:lineRule="exact"/>
        <w:ind w:firstLine="643" w:firstLineChars="200"/>
        <w:jc w:val="both"/>
        <w:rPr>
          <w:rFonts w:hint="eastAsia" w:ascii="仿宋" w:hAnsi="仿宋" w:eastAsia="仿宋"/>
          <w:color w:val="auto"/>
          <w:kern w:val="2"/>
          <w:sz w:val="32"/>
          <w:szCs w:val="24"/>
          <w:lang w:val="en-US"/>
        </w:rPr>
      </w:pPr>
      <w:r>
        <w:rPr>
          <w:rFonts w:hint="eastAsia" w:ascii="仿宋_GB2312" w:hAnsi="仿宋_GB2312" w:eastAsia="仿宋_GB2312"/>
          <w:b/>
          <w:color w:val="000000"/>
          <w:kern w:val="2"/>
          <w:sz w:val="32"/>
          <w:szCs w:val="24"/>
          <w:lang w:val="en-US" w:eastAsia="zh-CN"/>
        </w:rPr>
        <w:t>26.</w:t>
      </w:r>
      <w:r>
        <w:rPr>
          <w:rFonts w:hint="eastAsia" w:ascii="仿宋_GB2312" w:hAnsi="仿宋_GB2312" w:eastAsia="仿宋_GB2312"/>
          <w:b/>
          <w:color w:val="000000"/>
          <w:kern w:val="2"/>
          <w:sz w:val="32"/>
          <w:szCs w:val="24"/>
          <w:lang w:val="en-US"/>
        </w:rPr>
        <w:t>卫生健康支出</w:t>
      </w:r>
      <w:r>
        <w:rPr>
          <w:rFonts w:hint="eastAsia" w:ascii="仿宋_GB2312" w:hAnsi="仿宋_GB2312" w:eastAsia="仿宋_GB2312"/>
          <w:b/>
          <w:color w:val="000000"/>
          <w:kern w:val="2"/>
          <w:sz w:val="32"/>
          <w:szCs w:val="24"/>
          <w:lang w:val="en-US" w:eastAsia="zh-CN"/>
        </w:rPr>
        <w:t>（类）行政事业单位医疗（款）</w:t>
      </w:r>
      <w:r>
        <w:rPr>
          <w:rFonts w:hint="eastAsia" w:ascii="仿宋" w:hAnsi="仿宋" w:eastAsia="仿宋"/>
          <w:color w:val="auto"/>
          <w:kern w:val="2"/>
          <w:sz w:val="32"/>
          <w:szCs w:val="24"/>
          <w:lang w:val="en-US" w:eastAsia="zh-CN"/>
        </w:rPr>
        <w:t>其他行政事业单位医疗支出（项）：</w:t>
      </w:r>
      <w:r>
        <w:rPr>
          <w:rFonts w:hint="eastAsia" w:ascii="仿宋" w:hAnsi="仿宋" w:eastAsia="仿宋"/>
          <w:color w:val="auto"/>
          <w:kern w:val="2"/>
          <w:sz w:val="32"/>
          <w:szCs w:val="24"/>
          <w:lang w:val="en-US"/>
        </w:rPr>
        <w:t>支出决算为</w:t>
      </w:r>
      <w:r>
        <w:rPr>
          <w:rFonts w:hint="eastAsia" w:ascii="仿宋" w:hAnsi="仿宋" w:eastAsia="仿宋"/>
          <w:color w:val="auto"/>
          <w:kern w:val="2"/>
          <w:sz w:val="32"/>
          <w:szCs w:val="24"/>
          <w:lang w:val="en-US" w:eastAsia="zh-CN"/>
        </w:rPr>
        <w:t>7.73</w:t>
      </w:r>
      <w:r>
        <w:rPr>
          <w:rFonts w:hint="eastAsia" w:ascii="仿宋" w:hAnsi="仿宋" w:eastAsia="仿宋"/>
          <w:color w:val="auto"/>
          <w:kern w:val="2"/>
          <w:sz w:val="32"/>
          <w:szCs w:val="24"/>
          <w:lang w:val="en-US"/>
        </w:rPr>
        <w:t>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27.农林水支出（类）农业农村（款）</w:t>
      </w:r>
      <w:r>
        <w:rPr>
          <w:rFonts w:hint="eastAsia" w:ascii="仿宋" w:hAnsi="仿宋" w:eastAsia="仿宋"/>
          <w:color w:val="auto"/>
          <w:kern w:val="2"/>
          <w:sz w:val="32"/>
          <w:szCs w:val="24"/>
          <w:lang w:val="en-US" w:eastAsia="zh-CN"/>
        </w:rPr>
        <w:t>事业运行（项）：支出决算为81.52万元，完成预算100%。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28.农林水支出（类）农业农村（款）</w:t>
      </w:r>
      <w:r>
        <w:rPr>
          <w:rFonts w:hint="eastAsia" w:ascii="仿宋" w:hAnsi="仿宋" w:eastAsia="仿宋"/>
          <w:color w:val="auto"/>
          <w:kern w:val="2"/>
          <w:sz w:val="32"/>
          <w:szCs w:val="24"/>
          <w:lang w:val="en-US" w:eastAsia="zh-CN"/>
        </w:rPr>
        <w:t>防灾救灾（项）：支出决算为4万元，完成预算100%。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29.农林水支出（类）农业农村（款）</w:t>
      </w:r>
      <w:r>
        <w:rPr>
          <w:rFonts w:hint="eastAsia" w:ascii="仿宋" w:hAnsi="仿宋" w:eastAsia="仿宋"/>
          <w:color w:val="auto"/>
          <w:kern w:val="2"/>
          <w:sz w:val="32"/>
          <w:szCs w:val="24"/>
          <w:lang w:val="en-US" w:eastAsia="zh-CN"/>
        </w:rPr>
        <w:t>其他农业农村支出（项）：支出决算为1.55万元，完成预算100%。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30.农林水支出（类）林业和草原（款）</w:t>
      </w:r>
      <w:r>
        <w:rPr>
          <w:rFonts w:hint="eastAsia" w:ascii="仿宋" w:hAnsi="仿宋" w:eastAsia="仿宋"/>
          <w:color w:val="auto"/>
          <w:kern w:val="2"/>
          <w:sz w:val="32"/>
          <w:szCs w:val="24"/>
          <w:lang w:val="en-US" w:eastAsia="zh-CN"/>
        </w:rPr>
        <w:t>其他林业和草原支出（项）：支出决算为21.1万元，完成预算100%。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cs="Times New Roman"/>
          <w:b/>
          <w:color w:val="000000"/>
          <w:kern w:val="2"/>
          <w:sz w:val="32"/>
          <w:szCs w:val="24"/>
          <w:lang w:val="en-US" w:eastAsia="zh-CN"/>
        </w:rPr>
        <w:t>31.</w:t>
      </w:r>
      <w:r>
        <w:rPr>
          <w:rFonts w:hint="eastAsia" w:ascii="仿宋_GB2312" w:hAnsi="仿宋_GB2312" w:eastAsia="仿宋_GB2312"/>
          <w:b/>
          <w:color w:val="000000"/>
          <w:kern w:val="2"/>
          <w:sz w:val="32"/>
          <w:szCs w:val="24"/>
          <w:lang w:val="en-US" w:eastAsia="zh-CN"/>
        </w:rPr>
        <w:t>农林水支出（类）农村改革（款）</w:t>
      </w:r>
      <w:r>
        <w:rPr>
          <w:rFonts w:hint="eastAsia" w:ascii="仿宋" w:hAnsi="仿宋" w:eastAsia="仿宋"/>
          <w:color w:val="auto"/>
          <w:kern w:val="2"/>
          <w:sz w:val="32"/>
          <w:szCs w:val="24"/>
          <w:lang w:val="en-US" w:eastAsia="zh-CN"/>
        </w:rPr>
        <w:t>对村民委员会和村党支部的补助（项）：支出决算为249.5万元，完成预算100%。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cs="Times New Roman"/>
          <w:b/>
          <w:color w:val="000000"/>
          <w:kern w:val="2"/>
          <w:sz w:val="32"/>
          <w:szCs w:val="24"/>
          <w:lang w:val="en-US" w:eastAsia="zh-CN"/>
        </w:rPr>
        <w:t>32.</w:t>
      </w:r>
      <w:r>
        <w:rPr>
          <w:rFonts w:hint="eastAsia" w:ascii="仿宋_GB2312" w:hAnsi="仿宋_GB2312" w:eastAsia="仿宋_GB2312"/>
          <w:b/>
          <w:color w:val="000000"/>
          <w:kern w:val="2"/>
          <w:sz w:val="32"/>
          <w:szCs w:val="24"/>
          <w:lang w:val="en-US" w:eastAsia="zh-CN"/>
        </w:rPr>
        <w:t>农林水支出（类）农村改革（款）</w:t>
      </w:r>
      <w:r>
        <w:rPr>
          <w:rFonts w:hint="eastAsia" w:ascii="仿宋" w:hAnsi="仿宋" w:eastAsia="仿宋"/>
          <w:color w:val="auto"/>
          <w:kern w:val="2"/>
          <w:sz w:val="32"/>
          <w:szCs w:val="24"/>
          <w:lang w:val="en-US" w:eastAsia="zh-CN"/>
        </w:rPr>
        <w:t>对村集体经济组织的补助（项）：支出决算为100万元，完成预算100%。</w:t>
      </w:r>
    </w:p>
    <w:p>
      <w:pPr>
        <w:pStyle w:val="2"/>
        <w:keepNext/>
        <w:spacing w:beforeLines="0" w:afterLines="0"/>
        <w:rPr>
          <w:rFonts w:hint="eastAsia" w:ascii="仿宋" w:hAnsi="仿宋" w:eastAsia="仿宋" w:cs="Times New Roman"/>
          <w:color w:val="auto"/>
          <w:sz w:val="32"/>
          <w:szCs w:val="24"/>
        </w:rPr>
      </w:pPr>
      <w:r>
        <w:rPr>
          <w:rFonts w:hint="eastAsia" w:ascii="仿宋_GB2312" w:hAnsi="仿宋_GB2312" w:eastAsia="仿宋_GB2312" w:cs="Times New Roman"/>
          <w:b/>
          <w:color w:val="000000"/>
          <w:sz w:val="32"/>
          <w:szCs w:val="24"/>
        </w:rPr>
        <w:t>33.</w:t>
      </w:r>
      <w:r>
        <w:rPr>
          <w:rFonts w:hint="eastAsia" w:ascii="仿宋_GB2312" w:hAnsi="仿宋_GB2312" w:eastAsia="仿宋_GB2312"/>
          <w:b/>
          <w:color w:val="000000"/>
          <w:sz w:val="32"/>
          <w:szCs w:val="24"/>
        </w:rPr>
        <w:t>农林水支出（类）其他农林水支出（款）</w:t>
      </w:r>
      <w:r>
        <w:rPr>
          <w:rFonts w:hint="eastAsia" w:ascii="仿宋" w:hAnsi="仿宋" w:eastAsia="仿宋" w:cs="Times New Roman"/>
          <w:color w:val="auto"/>
          <w:sz w:val="32"/>
          <w:szCs w:val="24"/>
        </w:rPr>
        <w:t>其他农林水支出（项）：支出决算为50万元，完成预算100%。</w:t>
      </w:r>
    </w:p>
    <w:p>
      <w:pPr>
        <w:keepNext/>
        <w:numPr>
          <w:ilvl w:val="0"/>
          <w:numId w:val="0"/>
        </w:numPr>
        <w:spacing w:line="576" w:lineRule="exact"/>
        <w:ind w:firstLine="643" w:firstLineChars="200"/>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en-US" w:eastAsia="zh-CN"/>
        </w:rPr>
        <w:t>34.住房保障支出（类）住房改革支出（款）</w:t>
      </w:r>
      <w:r>
        <w:rPr>
          <w:rFonts w:hint="eastAsia" w:ascii="仿宋" w:hAnsi="仿宋" w:eastAsia="仿宋"/>
          <w:color w:val="auto"/>
          <w:kern w:val="2"/>
          <w:sz w:val="32"/>
          <w:szCs w:val="24"/>
          <w:lang w:val="en-US" w:eastAsia="zh-CN"/>
        </w:rPr>
        <w:t>住房公积金（项）：支出决算为56.81万元，完成预算100%。</w:t>
      </w:r>
    </w:p>
    <w:p>
      <w:pPr>
        <w:pStyle w:val="2"/>
        <w:keepNext/>
        <w:spacing w:beforeLines="0" w:afterLines="0"/>
        <w:rPr>
          <w:rFonts w:hint="eastAsia"/>
          <w:sz w:val="21"/>
          <w:szCs w:val="24"/>
        </w:rPr>
      </w:pPr>
      <w:r>
        <w:rPr>
          <w:rFonts w:hint="eastAsia" w:ascii="仿宋_GB2312" w:hAnsi="仿宋_GB2312" w:eastAsia="仿宋_GB2312" w:cs="Times New Roman"/>
          <w:b/>
          <w:color w:val="000000"/>
          <w:sz w:val="32"/>
          <w:szCs w:val="24"/>
        </w:rPr>
        <w:t>35.灾害防治及应急管理支出（类）应急管理事务（款）</w:t>
      </w:r>
      <w:r>
        <w:rPr>
          <w:rFonts w:hint="eastAsia" w:ascii="仿宋" w:hAnsi="仿宋" w:eastAsia="仿宋"/>
          <w:color w:val="auto"/>
          <w:sz w:val="32"/>
          <w:szCs w:val="24"/>
        </w:rPr>
        <w:t>安全监管（项）：支出决算为10万元，完成预算100%。</w:t>
      </w:r>
    </w:p>
    <w:p>
      <w:pPr>
        <w:keepNext/>
        <w:numPr>
          <w:ilvl w:val="0"/>
          <w:numId w:val="0"/>
        </w:numPr>
        <w:spacing w:line="576" w:lineRule="exact"/>
        <w:ind w:firstLine="643" w:firstLineChars="200"/>
        <w:jc w:val="both"/>
        <w:rPr>
          <w:rFonts w:hint="eastAsia" w:ascii="仿宋_GB2312" w:hAnsi="仿宋_GB2312" w:eastAsia="仿宋_GB2312"/>
          <w:color w:val="000000"/>
          <w:kern w:val="2"/>
          <w:sz w:val="32"/>
          <w:szCs w:val="24"/>
          <w:lang w:val="en-US" w:eastAsia="zh-CN"/>
        </w:rPr>
      </w:pPr>
      <w:r>
        <w:rPr>
          <w:rFonts w:hint="eastAsia" w:ascii="仿宋_GB2312" w:hAnsi="仿宋_GB2312" w:eastAsia="仿宋_GB2312"/>
          <w:b/>
          <w:color w:val="000000"/>
          <w:kern w:val="2"/>
          <w:sz w:val="32"/>
          <w:szCs w:val="24"/>
          <w:lang w:val="en-US" w:eastAsia="zh-CN"/>
        </w:rPr>
        <w:t>36.其他支出（类）</w:t>
      </w:r>
      <w:r>
        <w:rPr>
          <w:rFonts w:hint="eastAsia" w:ascii="仿宋_GB2312" w:hAnsi="仿宋_GB2312" w:eastAsia="仿宋_GB2312" w:cs="Times New Roman"/>
          <w:b/>
          <w:color w:val="000000"/>
          <w:kern w:val="2"/>
          <w:sz w:val="32"/>
          <w:szCs w:val="24"/>
          <w:lang w:val="en-US" w:eastAsia="zh-CN"/>
        </w:rPr>
        <w:t>其他支出（款）</w:t>
      </w:r>
      <w:r>
        <w:rPr>
          <w:rFonts w:hint="eastAsia" w:ascii="仿宋_GB2312" w:hAnsi="仿宋_GB2312" w:eastAsia="仿宋_GB2312"/>
          <w:color w:val="000000"/>
          <w:kern w:val="2"/>
          <w:sz w:val="32"/>
          <w:szCs w:val="24"/>
          <w:lang w:val="en-US" w:eastAsia="zh-CN"/>
        </w:rPr>
        <w:t>其他支出（项）：</w:t>
      </w:r>
      <w:r>
        <w:rPr>
          <w:rFonts w:hint="eastAsia" w:ascii="仿宋" w:hAnsi="仿宋" w:eastAsia="仿宋"/>
          <w:color w:val="auto"/>
          <w:kern w:val="2"/>
          <w:sz w:val="32"/>
          <w:szCs w:val="24"/>
          <w:lang w:val="en-US" w:eastAsia="zh-CN"/>
        </w:rPr>
        <w:t>支出决算为70.94万元，完成预算100%。</w:t>
      </w:r>
    </w:p>
    <w:p>
      <w:pPr>
        <w:keepNext/>
        <w:spacing w:line="600" w:lineRule="exact"/>
        <w:ind w:firstLine="643"/>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01-1表和财决08表，仅罗列本部门涉及的全部功能分类科目，至项级。上述“预算”口径为全年预算数。增减变动原因为决算数&lt;项级&gt;和全年预算数&lt;项级&gt;比较，与预算数持平可以不写原因。）</w:t>
      </w:r>
    </w:p>
    <w:p>
      <w:pPr>
        <w:keepNext/>
        <w:tabs>
          <w:tab w:val="right" w:pos="8306"/>
        </w:tabs>
        <w:spacing w:line="576" w:lineRule="exact"/>
        <w:ind w:firstLine="640"/>
        <w:jc w:val="both"/>
        <w:outlineLvl w:val="1"/>
        <w:rPr>
          <w:rFonts w:hint="default" w:ascii="Cambria" w:hAnsi="Cambria" w:eastAsia="Cambria"/>
          <w:b/>
          <w:color w:val="auto"/>
          <w:kern w:val="2"/>
          <w:sz w:val="32"/>
          <w:szCs w:val="24"/>
          <w:lang w:val="zh-CN"/>
        </w:rPr>
      </w:pPr>
      <w:bookmarkStart w:id="17" w:name="_Toc21460"/>
      <w:r>
        <w:rPr>
          <w:rFonts w:hint="eastAsia" w:ascii="黑体" w:hAnsi="黑体" w:eastAsia="黑体"/>
          <w:color w:val="000000"/>
          <w:kern w:val="2"/>
          <w:sz w:val="32"/>
          <w:szCs w:val="24"/>
          <w:lang w:val="zh-CN"/>
        </w:rPr>
        <w:t>六</w:t>
      </w:r>
      <w:r>
        <w:rPr>
          <w:rFonts w:hint="eastAsia" w:ascii="黑体" w:hAnsi="黑体" w:eastAsia="黑体"/>
          <w:b/>
          <w:color w:val="000000"/>
          <w:kern w:val="2"/>
          <w:sz w:val="32"/>
          <w:szCs w:val="24"/>
          <w:lang w:val="zh-CN"/>
        </w:rPr>
        <w:t>、一</w:t>
      </w:r>
      <w:r>
        <w:rPr>
          <w:rFonts w:hint="eastAsia" w:ascii="黑体" w:hAnsi="黑体" w:eastAsia="黑体"/>
          <w:color w:val="auto"/>
          <w:kern w:val="2"/>
          <w:sz w:val="32"/>
          <w:szCs w:val="24"/>
          <w:lang w:val="zh-CN"/>
        </w:rPr>
        <w:t>般公共预算财政拨款基本支出决算情况说明</w:t>
      </w:r>
      <w:bookmarkEnd w:id="17"/>
      <w:r>
        <w:rPr>
          <w:rFonts w:hint="eastAsia" w:ascii="黑体" w:hAnsi="黑体" w:eastAsia="黑体"/>
          <w:color w:val="auto"/>
          <w:kern w:val="2"/>
          <w:sz w:val="32"/>
          <w:szCs w:val="24"/>
          <w:lang w:val="zh-CN"/>
        </w:rPr>
        <w:tab/>
      </w:r>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2022年一般公共预算财政拨款基本支出1,017.04万元，其中：</w:t>
      </w:r>
    </w:p>
    <w:p>
      <w:pPr>
        <w:keepNext/>
        <w:spacing w:line="576" w:lineRule="exact"/>
        <w:ind w:firstLine="643"/>
        <w:jc w:val="both"/>
        <w:rPr>
          <w:rFonts w:hint="eastAsia" w:ascii="仿宋" w:hAnsi="仿宋" w:eastAsia="仿宋"/>
          <w:color w:val="auto"/>
          <w:kern w:val="2"/>
          <w:sz w:val="32"/>
          <w:szCs w:val="24"/>
          <w:lang w:val="en-US" w:eastAsia="zh-CN"/>
        </w:rPr>
      </w:pPr>
      <w:r>
        <w:rPr>
          <w:rFonts w:hint="eastAsia" w:ascii="仿宋_GB2312" w:hAnsi="仿宋_GB2312" w:eastAsia="仿宋_GB2312"/>
          <w:b/>
          <w:color w:val="000000"/>
          <w:kern w:val="2"/>
          <w:sz w:val="32"/>
          <w:szCs w:val="24"/>
          <w:lang w:val="zh-CN"/>
        </w:rPr>
        <w:t>人员经费</w:t>
      </w:r>
      <w:r>
        <w:rPr>
          <w:rFonts w:hint="eastAsia" w:ascii="仿宋_GB2312" w:hAnsi="仿宋_GB2312" w:eastAsia="仿宋_GB2312"/>
          <w:color w:val="000000"/>
          <w:kern w:val="2"/>
          <w:sz w:val="32"/>
          <w:szCs w:val="24"/>
          <w:lang w:val="zh-CN"/>
        </w:rPr>
        <w:t>896.17万元，主要包括：</w:t>
      </w:r>
      <w:r>
        <w:rPr>
          <w:rFonts w:hint="eastAsia" w:ascii="仿宋" w:hAnsi="仿宋" w:eastAsia="仿宋"/>
          <w:color w:val="auto"/>
          <w:kern w:val="2"/>
          <w:sz w:val="32"/>
          <w:szCs w:val="24"/>
          <w:lang w:val="en-US"/>
        </w:rPr>
        <w:t>基本工资</w:t>
      </w:r>
      <w:r>
        <w:rPr>
          <w:rFonts w:hint="eastAsia" w:ascii="仿宋" w:hAnsi="仿宋" w:eastAsia="仿宋"/>
          <w:color w:val="auto"/>
          <w:kern w:val="2"/>
          <w:sz w:val="32"/>
          <w:szCs w:val="24"/>
          <w:lang w:val="en-US" w:eastAsia="zh-CN"/>
        </w:rPr>
        <w:t>151.34万元</w:t>
      </w:r>
      <w:r>
        <w:rPr>
          <w:rFonts w:hint="eastAsia" w:ascii="仿宋" w:hAnsi="仿宋" w:eastAsia="仿宋"/>
          <w:color w:val="auto"/>
          <w:kern w:val="2"/>
          <w:sz w:val="32"/>
          <w:szCs w:val="24"/>
          <w:lang w:val="en-US"/>
        </w:rPr>
        <w:t>、津贴补贴</w:t>
      </w:r>
      <w:r>
        <w:rPr>
          <w:rFonts w:hint="eastAsia" w:ascii="仿宋" w:hAnsi="仿宋" w:eastAsia="仿宋"/>
          <w:color w:val="auto"/>
          <w:kern w:val="2"/>
          <w:sz w:val="32"/>
          <w:szCs w:val="24"/>
          <w:lang w:val="en-US" w:eastAsia="zh-CN"/>
        </w:rPr>
        <w:t>113.08万元</w:t>
      </w:r>
      <w:r>
        <w:rPr>
          <w:rFonts w:hint="eastAsia" w:ascii="仿宋" w:hAnsi="仿宋" w:eastAsia="仿宋"/>
          <w:color w:val="auto"/>
          <w:kern w:val="2"/>
          <w:sz w:val="32"/>
          <w:szCs w:val="24"/>
          <w:lang w:val="en-US"/>
        </w:rPr>
        <w:t>、奖金</w:t>
      </w:r>
      <w:r>
        <w:rPr>
          <w:rFonts w:hint="eastAsia" w:ascii="仿宋" w:hAnsi="仿宋" w:eastAsia="仿宋"/>
          <w:color w:val="auto"/>
          <w:kern w:val="2"/>
          <w:sz w:val="32"/>
          <w:szCs w:val="24"/>
          <w:lang w:val="en-US" w:eastAsia="zh-CN"/>
        </w:rPr>
        <w:t>108.48万元</w:t>
      </w:r>
      <w:r>
        <w:rPr>
          <w:rFonts w:hint="eastAsia" w:ascii="仿宋" w:hAnsi="仿宋" w:eastAsia="仿宋"/>
          <w:color w:val="auto"/>
          <w:kern w:val="2"/>
          <w:sz w:val="32"/>
          <w:szCs w:val="24"/>
          <w:lang w:val="en-US"/>
        </w:rPr>
        <w:t>、绩效工资</w:t>
      </w:r>
      <w:r>
        <w:rPr>
          <w:rFonts w:hint="eastAsia" w:ascii="仿宋" w:hAnsi="仿宋" w:eastAsia="仿宋"/>
          <w:color w:val="auto"/>
          <w:kern w:val="2"/>
          <w:sz w:val="32"/>
          <w:szCs w:val="24"/>
          <w:lang w:val="en-US" w:eastAsia="zh-CN"/>
        </w:rPr>
        <w:t>112.65万元</w:t>
      </w:r>
      <w:r>
        <w:rPr>
          <w:rFonts w:hint="eastAsia" w:ascii="仿宋" w:hAnsi="仿宋" w:eastAsia="仿宋"/>
          <w:color w:val="auto"/>
          <w:kern w:val="2"/>
          <w:sz w:val="32"/>
          <w:szCs w:val="24"/>
          <w:lang w:val="en-US"/>
        </w:rPr>
        <w:t>、机关事业单位基本养老保险缴费</w:t>
      </w:r>
      <w:r>
        <w:rPr>
          <w:rFonts w:hint="eastAsia" w:ascii="仿宋" w:hAnsi="仿宋" w:eastAsia="仿宋"/>
          <w:color w:val="auto"/>
          <w:kern w:val="2"/>
          <w:sz w:val="32"/>
          <w:szCs w:val="24"/>
          <w:lang w:val="en-US" w:eastAsia="zh-CN"/>
        </w:rPr>
        <w:t>32.98万元</w:t>
      </w:r>
      <w:r>
        <w:rPr>
          <w:rFonts w:hint="eastAsia" w:ascii="仿宋" w:hAnsi="仿宋" w:eastAsia="仿宋"/>
          <w:color w:val="auto"/>
          <w:kern w:val="2"/>
          <w:sz w:val="32"/>
          <w:szCs w:val="24"/>
          <w:lang w:val="en-US"/>
        </w:rPr>
        <w:t>、</w:t>
      </w:r>
      <w:r>
        <w:rPr>
          <w:rFonts w:hint="eastAsia" w:ascii="仿宋" w:hAnsi="仿宋" w:eastAsia="仿宋"/>
          <w:color w:val="auto"/>
          <w:kern w:val="2"/>
          <w:sz w:val="32"/>
          <w:szCs w:val="24"/>
          <w:lang w:val="en-US" w:eastAsia="zh-CN"/>
        </w:rPr>
        <w:t>职工基本医疗保险缴费32.98万元、公务员医疗补助缴费15.84万元</w:t>
      </w:r>
      <w:r>
        <w:rPr>
          <w:rFonts w:hint="eastAsia" w:ascii="仿宋" w:hAnsi="仿宋" w:eastAsia="仿宋"/>
          <w:color w:val="auto"/>
          <w:kern w:val="2"/>
          <w:sz w:val="32"/>
          <w:szCs w:val="24"/>
          <w:lang w:val="en-US"/>
        </w:rPr>
        <w:t>、其他社会保障缴费</w:t>
      </w:r>
      <w:r>
        <w:rPr>
          <w:rFonts w:hint="eastAsia" w:ascii="仿宋" w:hAnsi="仿宋" w:eastAsia="仿宋"/>
          <w:color w:val="auto"/>
          <w:kern w:val="2"/>
          <w:sz w:val="32"/>
          <w:szCs w:val="24"/>
          <w:lang w:val="en-US" w:eastAsia="zh-CN"/>
        </w:rPr>
        <w:t>2.44万元</w:t>
      </w:r>
      <w:r>
        <w:rPr>
          <w:rFonts w:hint="eastAsia" w:ascii="仿宋" w:hAnsi="仿宋" w:eastAsia="仿宋"/>
          <w:color w:val="auto"/>
          <w:kern w:val="2"/>
          <w:sz w:val="32"/>
          <w:szCs w:val="24"/>
          <w:lang w:val="en-US"/>
        </w:rPr>
        <w:t>、其他工资福利支出</w:t>
      </w:r>
      <w:r>
        <w:rPr>
          <w:rFonts w:hint="eastAsia" w:ascii="仿宋" w:hAnsi="仿宋" w:eastAsia="仿宋"/>
          <w:color w:val="auto"/>
          <w:kern w:val="2"/>
          <w:sz w:val="32"/>
          <w:szCs w:val="24"/>
          <w:lang w:val="en-US" w:eastAsia="zh-CN"/>
        </w:rPr>
        <w:t>44.62万元</w:t>
      </w:r>
      <w:r>
        <w:rPr>
          <w:rFonts w:hint="eastAsia" w:ascii="仿宋" w:hAnsi="仿宋" w:eastAsia="仿宋"/>
          <w:color w:val="auto"/>
          <w:kern w:val="2"/>
          <w:sz w:val="32"/>
          <w:szCs w:val="24"/>
          <w:lang w:val="en-US"/>
        </w:rPr>
        <w:t>、抚恤金</w:t>
      </w:r>
      <w:r>
        <w:rPr>
          <w:rFonts w:hint="eastAsia" w:ascii="仿宋" w:hAnsi="仿宋" w:eastAsia="仿宋"/>
          <w:color w:val="auto"/>
          <w:kern w:val="2"/>
          <w:sz w:val="32"/>
          <w:szCs w:val="24"/>
          <w:lang w:val="en-US" w:eastAsia="zh-CN"/>
        </w:rPr>
        <w:t>22.11万元</w:t>
      </w:r>
      <w:r>
        <w:rPr>
          <w:rFonts w:hint="eastAsia" w:ascii="仿宋" w:hAnsi="仿宋" w:eastAsia="仿宋"/>
          <w:color w:val="auto"/>
          <w:kern w:val="2"/>
          <w:sz w:val="32"/>
          <w:szCs w:val="24"/>
          <w:lang w:val="en-US"/>
        </w:rPr>
        <w:t>、生活补助</w:t>
      </w:r>
      <w:r>
        <w:rPr>
          <w:rFonts w:hint="eastAsia" w:ascii="仿宋" w:hAnsi="仿宋" w:eastAsia="仿宋"/>
          <w:color w:val="auto"/>
          <w:kern w:val="2"/>
          <w:sz w:val="32"/>
          <w:szCs w:val="24"/>
          <w:lang w:val="en-US" w:eastAsia="zh-CN"/>
        </w:rPr>
        <w:t>176.76万元</w:t>
      </w:r>
      <w:r>
        <w:rPr>
          <w:rFonts w:hint="eastAsia" w:ascii="仿宋" w:hAnsi="仿宋" w:eastAsia="仿宋"/>
          <w:color w:val="auto"/>
          <w:kern w:val="2"/>
          <w:sz w:val="32"/>
          <w:szCs w:val="24"/>
          <w:lang w:val="en-US"/>
        </w:rPr>
        <w:t>、</w:t>
      </w:r>
      <w:r>
        <w:rPr>
          <w:rFonts w:hint="eastAsia" w:ascii="仿宋" w:hAnsi="仿宋" w:eastAsia="仿宋"/>
          <w:color w:val="auto"/>
          <w:kern w:val="2"/>
          <w:sz w:val="32"/>
          <w:szCs w:val="24"/>
          <w:lang w:val="en-US" w:eastAsia="zh-CN"/>
        </w:rPr>
        <w:t>医疗费1.36万元、</w:t>
      </w:r>
      <w:r>
        <w:rPr>
          <w:rFonts w:hint="eastAsia" w:ascii="仿宋" w:hAnsi="仿宋" w:eastAsia="仿宋"/>
          <w:color w:val="auto"/>
          <w:kern w:val="2"/>
          <w:sz w:val="32"/>
          <w:szCs w:val="24"/>
          <w:lang w:val="en-US"/>
        </w:rPr>
        <w:t>医疗费补助</w:t>
      </w:r>
      <w:r>
        <w:rPr>
          <w:rFonts w:hint="eastAsia" w:ascii="仿宋" w:hAnsi="仿宋" w:eastAsia="仿宋"/>
          <w:color w:val="auto"/>
          <w:kern w:val="2"/>
          <w:sz w:val="32"/>
          <w:szCs w:val="24"/>
          <w:lang w:val="en-US" w:eastAsia="zh-CN"/>
        </w:rPr>
        <w:t>7.95万元</w:t>
      </w:r>
      <w:r>
        <w:rPr>
          <w:rFonts w:hint="eastAsia" w:ascii="仿宋" w:hAnsi="仿宋" w:eastAsia="仿宋"/>
          <w:color w:val="auto"/>
          <w:kern w:val="2"/>
          <w:sz w:val="32"/>
          <w:szCs w:val="24"/>
          <w:lang w:val="en-US"/>
        </w:rPr>
        <w:t>、住房公积金</w:t>
      </w:r>
      <w:r>
        <w:rPr>
          <w:rFonts w:hint="eastAsia" w:ascii="仿宋" w:hAnsi="仿宋" w:eastAsia="仿宋"/>
          <w:color w:val="auto"/>
          <w:kern w:val="2"/>
          <w:sz w:val="32"/>
          <w:szCs w:val="24"/>
          <w:lang w:val="en-US" w:eastAsia="zh-CN"/>
        </w:rPr>
        <w:t>56.81万元。</w:t>
      </w:r>
    </w:p>
    <w:p>
      <w:pPr>
        <w:keepNext/>
        <w:spacing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公用经费</w:t>
      </w:r>
      <w:r>
        <w:rPr>
          <w:rFonts w:hint="eastAsia" w:ascii="仿宋_GB2312" w:hAnsi="仿宋_GB2312" w:eastAsia="仿宋_GB2312"/>
          <w:color w:val="000000"/>
          <w:kern w:val="2"/>
          <w:sz w:val="32"/>
          <w:szCs w:val="24"/>
          <w:lang w:val="zh-CN"/>
        </w:rPr>
        <w:t>120.87万元，主要包括：</w:t>
      </w:r>
      <w:r>
        <w:rPr>
          <w:rFonts w:hint="eastAsia" w:ascii="仿宋" w:hAnsi="仿宋" w:eastAsia="仿宋"/>
          <w:color w:val="auto"/>
          <w:kern w:val="2"/>
          <w:sz w:val="32"/>
          <w:szCs w:val="24"/>
          <w:lang w:val="en-US"/>
        </w:rPr>
        <w:t>办公费</w:t>
      </w:r>
      <w:r>
        <w:rPr>
          <w:rFonts w:hint="eastAsia" w:ascii="仿宋" w:hAnsi="仿宋" w:eastAsia="仿宋"/>
          <w:color w:val="auto"/>
          <w:kern w:val="2"/>
          <w:sz w:val="32"/>
          <w:szCs w:val="24"/>
          <w:lang w:val="en-US" w:eastAsia="zh-CN"/>
        </w:rPr>
        <w:t>39.72万元</w:t>
      </w:r>
      <w:r>
        <w:rPr>
          <w:rFonts w:hint="eastAsia" w:ascii="仿宋" w:hAnsi="仿宋" w:eastAsia="仿宋"/>
          <w:color w:val="auto"/>
          <w:kern w:val="2"/>
          <w:sz w:val="32"/>
          <w:szCs w:val="24"/>
          <w:lang w:val="en-US"/>
        </w:rPr>
        <w:t>、水费</w:t>
      </w:r>
      <w:r>
        <w:rPr>
          <w:rFonts w:hint="eastAsia" w:ascii="仿宋" w:hAnsi="仿宋" w:eastAsia="仿宋"/>
          <w:color w:val="auto"/>
          <w:kern w:val="2"/>
          <w:sz w:val="32"/>
          <w:szCs w:val="24"/>
          <w:lang w:val="en-US" w:eastAsia="zh-CN"/>
        </w:rPr>
        <w:t>1.2万元</w:t>
      </w:r>
      <w:r>
        <w:rPr>
          <w:rFonts w:hint="eastAsia" w:ascii="仿宋" w:hAnsi="仿宋" w:eastAsia="仿宋"/>
          <w:color w:val="auto"/>
          <w:kern w:val="2"/>
          <w:sz w:val="32"/>
          <w:szCs w:val="24"/>
          <w:lang w:val="en-US"/>
        </w:rPr>
        <w:t>、电费</w:t>
      </w:r>
      <w:r>
        <w:rPr>
          <w:rFonts w:hint="eastAsia" w:ascii="仿宋" w:hAnsi="仿宋" w:eastAsia="仿宋"/>
          <w:color w:val="auto"/>
          <w:kern w:val="2"/>
          <w:sz w:val="32"/>
          <w:szCs w:val="24"/>
          <w:lang w:val="en-US" w:eastAsia="zh-CN"/>
        </w:rPr>
        <w:t>2.36万元</w:t>
      </w:r>
      <w:r>
        <w:rPr>
          <w:rFonts w:hint="eastAsia" w:ascii="仿宋" w:hAnsi="仿宋" w:eastAsia="仿宋"/>
          <w:color w:val="auto"/>
          <w:kern w:val="2"/>
          <w:sz w:val="32"/>
          <w:szCs w:val="24"/>
          <w:lang w:val="en-US"/>
        </w:rPr>
        <w:t>、邮电费</w:t>
      </w:r>
      <w:r>
        <w:rPr>
          <w:rFonts w:hint="eastAsia" w:ascii="仿宋" w:hAnsi="仿宋" w:eastAsia="仿宋"/>
          <w:color w:val="auto"/>
          <w:kern w:val="2"/>
          <w:sz w:val="32"/>
          <w:szCs w:val="24"/>
          <w:lang w:val="en-US" w:eastAsia="zh-CN"/>
        </w:rPr>
        <w:t>2.18万元</w:t>
      </w:r>
      <w:r>
        <w:rPr>
          <w:rFonts w:hint="eastAsia" w:ascii="仿宋" w:hAnsi="仿宋" w:eastAsia="仿宋"/>
          <w:color w:val="auto"/>
          <w:kern w:val="2"/>
          <w:sz w:val="32"/>
          <w:szCs w:val="24"/>
          <w:lang w:val="en-US"/>
        </w:rPr>
        <w:t>、差旅费</w:t>
      </w:r>
      <w:r>
        <w:rPr>
          <w:rFonts w:hint="eastAsia" w:ascii="仿宋" w:hAnsi="仿宋" w:eastAsia="仿宋"/>
          <w:color w:val="auto"/>
          <w:kern w:val="2"/>
          <w:sz w:val="32"/>
          <w:szCs w:val="24"/>
          <w:lang w:val="en-US" w:eastAsia="zh-CN"/>
        </w:rPr>
        <w:t>14.83万元</w:t>
      </w:r>
      <w:r>
        <w:rPr>
          <w:rFonts w:hint="eastAsia" w:ascii="仿宋" w:hAnsi="仿宋" w:eastAsia="仿宋"/>
          <w:color w:val="auto"/>
          <w:kern w:val="2"/>
          <w:sz w:val="32"/>
          <w:szCs w:val="24"/>
          <w:lang w:val="en-US"/>
        </w:rPr>
        <w:t>、维修（护）费</w:t>
      </w:r>
      <w:r>
        <w:rPr>
          <w:rFonts w:hint="eastAsia" w:ascii="仿宋" w:hAnsi="仿宋" w:eastAsia="仿宋"/>
          <w:color w:val="auto"/>
          <w:kern w:val="2"/>
          <w:sz w:val="32"/>
          <w:szCs w:val="24"/>
          <w:lang w:val="en-US" w:eastAsia="zh-CN"/>
        </w:rPr>
        <w:t>0.24万元</w:t>
      </w:r>
      <w:r>
        <w:rPr>
          <w:rFonts w:hint="eastAsia" w:ascii="仿宋" w:hAnsi="仿宋" w:eastAsia="仿宋"/>
          <w:color w:val="auto"/>
          <w:kern w:val="2"/>
          <w:sz w:val="32"/>
          <w:szCs w:val="24"/>
          <w:lang w:val="en-US"/>
        </w:rPr>
        <w:t>、会议费</w:t>
      </w:r>
      <w:r>
        <w:rPr>
          <w:rFonts w:hint="eastAsia" w:ascii="仿宋" w:hAnsi="仿宋" w:eastAsia="仿宋"/>
          <w:color w:val="auto"/>
          <w:kern w:val="2"/>
          <w:sz w:val="32"/>
          <w:szCs w:val="24"/>
          <w:lang w:val="en-US" w:eastAsia="zh-CN"/>
        </w:rPr>
        <w:t>0.9万元</w:t>
      </w:r>
      <w:r>
        <w:rPr>
          <w:rFonts w:hint="eastAsia" w:ascii="仿宋" w:hAnsi="仿宋" w:eastAsia="仿宋"/>
          <w:color w:val="auto"/>
          <w:kern w:val="2"/>
          <w:sz w:val="32"/>
          <w:szCs w:val="24"/>
          <w:lang w:val="en-US"/>
        </w:rPr>
        <w:t>、劳务费</w:t>
      </w:r>
      <w:r>
        <w:rPr>
          <w:rFonts w:hint="eastAsia" w:ascii="仿宋" w:hAnsi="仿宋" w:eastAsia="仿宋"/>
          <w:color w:val="auto"/>
          <w:kern w:val="2"/>
          <w:sz w:val="32"/>
          <w:szCs w:val="24"/>
          <w:lang w:val="en-US" w:eastAsia="zh-CN"/>
        </w:rPr>
        <w:t>29.92万元</w:t>
      </w:r>
      <w:r>
        <w:rPr>
          <w:rFonts w:hint="eastAsia" w:ascii="仿宋" w:hAnsi="仿宋" w:eastAsia="仿宋"/>
          <w:color w:val="auto"/>
          <w:kern w:val="2"/>
          <w:sz w:val="32"/>
          <w:szCs w:val="24"/>
          <w:lang w:val="en-US"/>
        </w:rPr>
        <w:t>、工会经费</w:t>
      </w:r>
      <w:r>
        <w:rPr>
          <w:rFonts w:hint="eastAsia" w:ascii="仿宋" w:hAnsi="仿宋" w:eastAsia="仿宋"/>
          <w:color w:val="auto"/>
          <w:kern w:val="2"/>
          <w:sz w:val="32"/>
          <w:szCs w:val="24"/>
          <w:lang w:val="en-US" w:eastAsia="zh-CN"/>
        </w:rPr>
        <w:t>5.56万元</w:t>
      </w:r>
      <w:r>
        <w:rPr>
          <w:rFonts w:hint="eastAsia" w:ascii="仿宋" w:hAnsi="仿宋" w:eastAsia="仿宋"/>
          <w:color w:val="auto"/>
          <w:kern w:val="2"/>
          <w:sz w:val="32"/>
          <w:szCs w:val="24"/>
          <w:lang w:val="en-US"/>
        </w:rPr>
        <w:t>、福利费</w:t>
      </w:r>
      <w:r>
        <w:rPr>
          <w:rFonts w:hint="eastAsia" w:ascii="仿宋" w:hAnsi="仿宋" w:eastAsia="仿宋"/>
          <w:color w:val="auto"/>
          <w:kern w:val="2"/>
          <w:sz w:val="32"/>
          <w:szCs w:val="24"/>
          <w:lang w:val="en-US" w:eastAsia="zh-CN"/>
        </w:rPr>
        <w:t>2.13万元</w:t>
      </w:r>
      <w:r>
        <w:rPr>
          <w:rFonts w:hint="eastAsia" w:ascii="仿宋" w:hAnsi="仿宋" w:eastAsia="仿宋"/>
          <w:color w:val="auto"/>
          <w:kern w:val="2"/>
          <w:sz w:val="32"/>
          <w:szCs w:val="24"/>
          <w:lang w:val="en-US"/>
        </w:rPr>
        <w:t>、公务用车运行维护费</w:t>
      </w:r>
      <w:r>
        <w:rPr>
          <w:rFonts w:hint="eastAsia" w:ascii="仿宋" w:hAnsi="仿宋" w:eastAsia="仿宋"/>
          <w:color w:val="auto"/>
          <w:kern w:val="2"/>
          <w:sz w:val="32"/>
          <w:szCs w:val="24"/>
          <w:lang w:val="en-US" w:eastAsia="zh-CN"/>
        </w:rPr>
        <w:t>1.65万元</w:t>
      </w:r>
      <w:r>
        <w:rPr>
          <w:rFonts w:hint="eastAsia" w:ascii="仿宋" w:hAnsi="仿宋" w:eastAsia="仿宋"/>
          <w:color w:val="auto"/>
          <w:kern w:val="2"/>
          <w:sz w:val="32"/>
          <w:szCs w:val="24"/>
          <w:lang w:val="en-US"/>
        </w:rPr>
        <w:t>、其他交通费</w:t>
      </w:r>
      <w:r>
        <w:rPr>
          <w:rFonts w:hint="eastAsia" w:ascii="仿宋" w:hAnsi="仿宋" w:eastAsia="仿宋"/>
          <w:color w:val="auto"/>
          <w:kern w:val="2"/>
          <w:sz w:val="32"/>
          <w:szCs w:val="24"/>
          <w:lang w:val="en-US" w:eastAsia="zh-CN"/>
        </w:rPr>
        <w:t>18.51万元</w:t>
      </w:r>
      <w:r>
        <w:rPr>
          <w:rFonts w:hint="eastAsia" w:ascii="仿宋" w:hAnsi="仿宋" w:eastAsia="仿宋"/>
          <w:color w:val="auto"/>
          <w:kern w:val="2"/>
          <w:sz w:val="32"/>
          <w:szCs w:val="24"/>
          <w:lang w:val="en-US"/>
        </w:rPr>
        <w:t>、其他商品和服务支出</w:t>
      </w:r>
      <w:r>
        <w:rPr>
          <w:rFonts w:hint="eastAsia" w:ascii="仿宋" w:hAnsi="仿宋" w:eastAsia="仿宋"/>
          <w:color w:val="auto"/>
          <w:kern w:val="2"/>
          <w:sz w:val="32"/>
          <w:szCs w:val="24"/>
          <w:lang w:val="en-US" w:eastAsia="zh-CN"/>
        </w:rPr>
        <w:t>1.68万元</w:t>
      </w:r>
      <w:r>
        <w:rPr>
          <w:rFonts w:hint="eastAsia" w:ascii="仿宋_GB2312" w:hAnsi="仿宋_GB2312" w:eastAsia="仿宋_GB2312"/>
          <w:color w:val="000000"/>
          <w:kern w:val="2"/>
          <w:sz w:val="32"/>
          <w:szCs w:val="24"/>
          <w:lang w:val="zh-CN"/>
        </w:rPr>
        <w:t>。</w:t>
      </w:r>
    </w:p>
    <w:p>
      <w:pPr>
        <w:keepNext/>
        <w:spacing w:line="600" w:lineRule="exact"/>
        <w:ind w:firstLine="645"/>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（注：数据来源于财决07表和财决08-1表，仅罗列本部门实际支出涉及的经济分类科目。）</w:t>
      </w:r>
    </w:p>
    <w:p>
      <w:pPr>
        <w:keepNext/>
        <w:spacing w:line="576" w:lineRule="exact"/>
        <w:ind w:firstLine="640"/>
        <w:jc w:val="both"/>
        <w:outlineLvl w:val="1"/>
        <w:rPr>
          <w:rFonts w:hint="eastAsia" w:ascii="黑体" w:hAnsi="黑体" w:eastAsia="黑体"/>
          <w:color w:val="auto"/>
          <w:kern w:val="2"/>
          <w:sz w:val="32"/>
          <w:szCs w:val="24"/>
          <w:lang w:val="zh-CN"/>
        </w:rPr>
      </w:pPr>
      <w:bookmarkStart w:id="18" w:name="_Toc10061"/>
      <w:r>
        <w:rPr>
          <w:rFonts w:hint="eastAsia" w:ascii="黑体" w:hAnsi="黑体" w:eastAsia="黑体"/>
          <w:color w:val="000000"/>
          <w:kern w:val="2"/>
          <w:sz w:val="32"/>
          <w:szCs w:val="24"/>
          <w:lang w:val="zh-CN"/>
        </w:rPr>
        <w:t>七、</w:t>
      </w:r>
      <w:r>
        <w:rPr>
          <w:rFonts w:hint="eastAsia" w:ascii="黑体" w:hAnsi="黑体" w:eastAsia="黑体"/>
          <w:b/>
          <w:color w:val="auto"/>
          <w:kern w:val="2"/>
          <w:sz w:val="32"/>
          <w:szCs w:val="24"/>
          <w:lang w:val="zh-CN"/>
        </w:rPr>
        <w:t>“</w:t>
      </w:r>
      <w:r>
        <w:rPr>
          <w:rFonts w:hint="eastAsia" w:ascii="黑体" w:hAnsi="黑体" w:eastAsia="黑体"/>
          <w:color w:val="auto"/>
          <w:kern w:val="2"/>
          <w:sz w:val="32"/>
          <w:szCs w:val="24"/>
          <w:lang w:val="zh-CN"/>
        </w:rPr>
        <w:t>三公”经费财政拨款支出决算情况说明</w:t>
      </w:r>
      <w:bookmarkEnd w:id="18"/>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19" w:name="_Toc12384"/>
      <w:bookmarkStart w:id="20" w:name="_Toc14689"/>
      <w:r>
        <w:rPr>
          <w:rFonts w:hint="eastAsia" w:ascii="仿宋_GB2312" w:hAnsi="仿宋_GB2312" w:eastAsia="仿宋_GB2312"/>
          <w:b/>
          <w:color w:val="000000"/>
          <w:kern w:val="2"/>
          <w:sz w:val="32"/>
          <w:szCs w:val="24"/>
          <w:lang w:val="zh-CN"/>
        </w:rPr>
        <w:t>（一）“三公”经费财政拨款支出决算总体情况说明</w:t>
      </w:r>
      <w:bookmarkEnd w:id="19"/>
      <w:bookmarkEnd w:id="20"/>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2022年“三公”经费财政拨款支出决算为1.65万元，完成预算49.4%；较上年减少11.55万元，下降87.5%。决算数小于预算数的主要原因是</w:t>
      </w:r>
      <w:r>
        <w:rPr>
          <w:rFonts w:hint="eastAsia" w:ascii="仿宋_GB2312" w:hAnsi="仿宋_GB2312" w:eastAsia="仿宋_GB2312"/>
          <w:color w:val="000000"/>
          <w:kern w:val="2"/>
          <w:sz w:val="32"/>
          <w:szCs w:val="24"/>
          <w:lang w:val="en-US" w:eastAsia="zh-CN"/>
        </w:rPr>
        <w:t>报账不及时，导致资金未能及时支付。</w:t>
      </w:r>
    </w:p>
    <w:p>
      <w:pPr>
        <w:keepNext/>
        <w:spacing w:line="600" w:lineRule="exact"/>
        <w:ind w:firstLine="640"/>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（注：上述“预算”口径为全年预算数，包括一般公共预算和政府性基金预算财政拨款支出决算情况。）</w:t>
      </w:r>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21" w:name="_Toc25947"/>
      <w:bookmarkStart w:id="22" w:name="_Toc32483"/>
      <w:r>
        <w:rPr>
          <w:rFonts w:hint="eastAsia" w:ascii="仿宋_GB2312" w:hAnsi="仿宋_GB2312" w:eastAsia="仿宋_GB2312"/>
          <w:b/>
          <w:color w:val="000000"/>
          <w:kern w:val="2"/>
          <w:sz w:val="32"/>
          <w:szCs w:val="24"/>
          <w:lang w:val="zh-CN"/>
        </w:rPr>
        <w:t>（二）“三公”经费财政拨款支出决算具体情况说明</w:t>
      </w:r>
      <w:bookmarkEnd w:id="21"/>
      <w:bookmarkEnd w:id="22"/>
    </w:p>
    <w:p>
      <w:pPr>
        <w:keepNext/>
        <w:spacing w:line="576" w:lineRule="exact"/>
        <w:ind w:firstLine="640"/>
        <w:jc w:val="both"/>
        <w:rPr>
          <w:rFonts w:hint="eastAsia" w:ascii="仿宋_GB2312" w:hAnsi="仿宋_GB2312" w:eastAsia="仿宋_GB2312"/>
          <w:color w:val="000000"/>
          <w:kern w:val="2"/>
          <w:sz w:val="32"/>
          <w:szCs w:val="24"/>
          <w:lang w:val="zh-CN"/>
        </w:rPr>
      </w:pPr>
      <w:r>
        <w:rPr>
          <w:rFonts w:hint="default" w:ascii="仿宋_GB2312" w:hAnsi="仿宋_GB2312" w:eastAsia="仿宋_GB2312"/>
          <w:color w:val="000000"/>
          <w:kern w:val="2"/>
          <w:sz w:val="32"/>
          <w:szCs w:val="24"/>
          <w:lang w:val="zh-CN"/>
        </w:rPr>
        <w:pict>
          <v:shape id="对象 11" o:spid="_x0000_s2056" o:spt="75" type="#_x0000_t75" style="position:absolute;left:0pt;margin-left:22pt;margin-top:117.75pt;height:222.75pt;width:316.5pt;mso-wrap-distance-bottom:0pt;mso-wrap-distance-top:0pt;z-index:251665408;mso-width-relative:page;mso-height-relative:page;" o:ole="t" filled="f" o:preferrelative="t" stroked="f" coordsize="21600,21600">
            <v:path/>
            <v:fill on="f" focussize="0,0"/>
            <v:stroke on="f"/>
            <v:imagedata r:id="rId18" o:title=""/>
            <o:lock v:ext="edit" aspectratio="t"/>
            <w10:wrap type="topAndBottom"/>
          </v:shape>
          <o:OLEObject Type="Embed" ProgID="Excel.Chart.8" ShapeID="对象 11" DrawAspect="Content" ObjectID="_1468075731" r:id="rId17">
            <o:LockedField>false</o:LockedField>
          </o:OLEObject>
        </w:pict>
      </w:r>
      <w:r>
        <w:rPr>
          <w:rFonts w:hint="eastAsia" w:ascii="仿宋_GB2312" w:hAnsi="仿宋_GB2312" w:eastAsia="仿宋_GB2312"/>
          <w:color w:val="000000"/>
          <w:kern w:val="2"/>
          <w:sz w:val="32"/>
          <w:szCs w:val="24"/>
          <w:lang w:val="zh-CN"/>
        </w:rPr>
        <w:t>2022年“三公”经费财政拨款支出决算中，因公出国（境）费支出决算0万元，占0%；公务用车购置及运行维护费支出决算1.65万元，占100%；公务接待费支出决算0万元，占0%。具体情况如下：</w:t>
      </w:r>
    </w:p>
    <w:p>
      <w:pPr>
        <w:keepNext/>
        <w:spacing w:line="600" w:lineRule="exact"/>
        <w:ind w:firstLine="640"/>
        <w:jc w:val="both"/>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t>（图7：“三公”经费财政拨款支出结构）（饼状图）</w:t>
      </w:r>
    </w:p>
    <w:p>
      <w:pPr>
        <w:keepNext/>
        <w:spacing w:line="600" w:lineRule="exact"/>
        <w:ind w:firstLine="640"/>
        <w:jc w:val="both"/>
        <w:rPr>
          <w:rFonts w:hint="eastAsia" w:ascii="仿宋_GB2312" w:hAnsi="仿宋_GB2312" w:eastAsia="仿宋_GB2312"/>
          <w:color w:val="auto"/>
          <w:kern w:val="2"/>
          <w:sz w:val="32"/>
          <w:szCs w:val="24"/>
          <w:lang w:val="en-US"/>
        </w:rPr>
      </w:pPr>
      <w:r>
        <w:rPr>
          <w:rFonts w:hint="eastAsia" w:ascii="仿宋_GB2312" w:hAnsi="仿宋_GB2312" w:eastAsia="仿宋_GB2312"/>
          <w:b/>
          <w:color w:val="000000"/>
          <w:kern w:val="2"/>
          <w:sz w:val="32"/>
          <w:szCs w:val="24"/>
          <w:lang w:val="zh-CN"/>
        </w:rPr>
        <w:t>1.因公出国（境）经费</w:t>
      </w:r>
      <w:r>
        <w:rPr>
          <w:rFonts w:hint="eastAsia" w:ascii="仿宋_GB2312" w:hAnsi="仿宋_GB2312" w:eastAsia="仿宋_GB2312"/>
          <w:color w:val="000000"/>
          <w:kern w:val="2"/>
          <w:sz w:val="32"/>
          <w:szCs w:val="24"/>
          <w:lang w:val="zh-CN"/>
        </w:rPr>
        <w:t>支出0万元，完成预算0%。全年安排因公出国（境）团组0个，出国（境）0人。因公出国（境）支出决算比2021年增加</w:t>
      </w:r>
      <w:r>
        <w:rPr>
          <w:rFonts w:hint="eastAsia" w:ascii="仿宋_GB2312" w:hAnsi="仿宋_GB2312" w:eastAsia="仿宋_GB2312"/>
          <w:color w:val="000000"/>
          <w:kern w:val="2"/>
          <w:sz w:val="32"/>
          <w:szCs w:val="24"/>
          <w:lang w:val="en-US" w:eastAsia="zh-CN"/>
        </w:rPr>
        <w:t>/减少</w:t>
      </w:r>
      <w:r>
        <w:rPr>
          <w:rFonts w:hint="eastAsia" w:ascii="仿宋_GB2312" w:hAnsi="仿宋_GB2312" w:eastAsia="仿宋_GB2312"/>
          <w:color w:val="000000"/>
          <w:kern w:val="2"/>
          <w:sz w:val="32"/>
          <w:szCs w:val="24"/>
          <w:lang w:val="zh-CN"/>
        </w:rPr>
        <w:t>0万元，增长</w:t>
      </w:r>
      <w:r>
        <w:rPr>
          <w:rFonts w:hint="eastAsia" w:ascii="仿宋_GB2312" w:hAnsi="仿宋_GB2312" w:eastAsia="仿宋_GB2312"/>
          <w:color w:val="000000"/>
          <w:kern w:val="2"/>
          <w:sz w:val="32"/>
          <w:szCs w:val="24"/>
          <w:lang w:val="en-US" w:eastAsia="zh-CN"/>
        </w:rPr>
        <w:t>/下降0</w:t>
      </w:r>
      <w:r>
        <w:rPr>
          <w:rFonts w:hint="eastAsia"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en-US" w:eastAsia="zh-CN"/>
        </w:rPr>
        <w:t>主要原因是无安排</w:t>
      </w:r>
      <w:r>
        <w:rPr>
          <w:rFonts w:hint="eastAsia" w:ascii="仿宋_GB2312" w:hAnsi="仿宋_GB2312" w:eastAsia="仿宋_GB2312"/>
          <w:color w:val="000000"/>
          <w:kern w:val="2"/>
          <w:sz w:val="32"/>
          <w:szCs w:val="24"/>
          <w:lang w:val="zh-CN"/>
        </w:rPr>
        <w:t>。</w:t>
      </w:r>
    </w:p>
    <w:p>
      <w:pPr>
        <w:keepNext/>
        <w:autoSpaceDE/>
        <w:autoSpaceDN/>
        <w:adjustRightInd/>
        <w:spacing w:line="560" w:lineRule="exact"/>
        <w:ind w:firstLine="643" w:firstLineChars="200"/>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2.公务用车购置及运行维护费</w:t>
      </w:r>
      <w:r>
        <w:rPr>
          <w:rFonts w:hint="eastAsia" w:ascii="仿宋_GB2312" w:hAnsi="仿宋_GB2312" w:eastAsia="仿宋_GB2312"/>
          <w:color w:val="000000"/>
          <w:kern w:val="2"/>
          <w:sz w:val="32"/>
          <w:szCs w:val="24"/>
          <w:lang w:val="zh-CN"/>
        </w:rPr>
        <w:t>支出1.65万元，完成预算63.5%。公务用车购置及运行维护费支出决算比2021年减少10.2万元，下降86.1%。主要原因是</w:t>
      </w:r>
      <w:r>
        <w:rPr>
          <w:rFonts w:hint="eastAsia" w:ascii="Times New Roman" w:hAnsi="Times New Roman" w:eastAsia="方正仿宋_GBK"/>
          <w:sz w:val="33"/>
          <w:szCs w:val="24"/>
          <w:lang w:val="en-US" w:eastAsia="zh-CN"/>
        </w:rPr>
        <w:t>减少</w:t>
      </w:r>
      <w:r>
        <w:rPr>
          <w:rFonts w:hint="eastAsia" w:ascii="Times New Roman" w:hAnsi="Times New Roman" w:eastAsia="方正仿宋_GBK"/>
          <w:sz w:val="33"/>
          <w:szCs w:val="24"/>
        </w:rPr>
        <w:t>公车运行维护支出。</w:t>
      </w:r>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其中：</w:t>
      </w:r>
      <w:r>
        <w:rPr>
          <w:rFonts w:hint="eastAsia" w:ascii="仿宋_GB2312" w:hAnsi="仿宋_GB2312" w:eastAsia="仿宋_GB2312"/>
          <w:b/>
          <w:color w:val="000000"/>
          <w:kern w:val="2"/>
          <w:sz w:val="32"/>
          <w:szCs w:val="24"/>
          <w:lang w:val="zh-CN"/>
        </w:rPr>
        <w:t>公务用车购置费</w:t>
      </w:r>
      <w:r>
        <w:rPr>
          <w:rFonts w:hint="eastAsia" w:ascii="仿宋_GB2312" w:hAnsi="仿宋_GB2312" w:eastAsia="仿宋_GB2312"/>
          <w:color w:val="000000"/>
          <w:kern w:val="2"/>
          <w:sz w:val="32"/>
          <w:szCs w:val="24"/>
          <w:lang w:val="zh-CN"/>
        </w:rPr>
        <w:t>支出0万元。全年按规定更新购置公务用车0辆。截至2022年12月底，本部门共有公务用车</w:t>
      </w:r>
      <w:r>
        <w:rPr>
          <w:rFonts w:hint="eastAsia" w:ascii="仿宋_GB2312" w:hAnsi="仿宋_GB2312" w:eastAsia="仿宋_GB2312"/>
          <w:color w:val="000000"/>
          <w:kern w:val="2"/>
          <w:sz w:val="32"/>
          <w:szCs w:val="24"/>
          <w:lang w:val="en-US" w:eastAsia="zh-CN"/>
        </w:rPr>
        <w:t>1</w:t>
      </w:r>
      <w:r>
        <w:rPr>
          <w:rFonts w:hint="eastAsia" w:ascii="仿宋_GB2312" w:hAnsi="仿宋_GB2312" w:eastAsia="仿宋_GB2312"/>
          <w:color w:val="000000"/>
          <w:kern w:val="2"/>
          <w:sz w:val="32"/>
          <w:szCs w:val="24"/>
          <w:lang w:val="zh-CN"/>
        </w:rPr>
        <w:t>辆，其中：轿车</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辆、越野车</w:t>
      </w:r>
      <w:r>
        <w:rPr>
          <w:rFonts w:hint="eastAsia" w:ascii="仿宋_GB2312" w:hAnsi="仿宋_GB2312" w:eastAsia="仿宋_GB2312"/>
          <w:color w:val="000000"/>
          <w:kern w:val="2"/>
          <w:sz w:val="32"/>
          <w:szCs w:val="24"/>
          <w:lang w:val="en-US" w:eastAsia="zh-CN"/>
        </w:rPr>
        <w:t>1</w:t>
      </w:r>
      <w:r>
        <w:rPr>
          <w:rFonts w:hint="eastAsia" w:ascii="仿宋_GB2312" w:hAnsi="仿宋_GB2312" w:eastAsia="仿宋_GB2312"/>
          <w:color w:val="000000"/>
          <w:kern w:val="2"/>
          <w:sz w:val="32"/>
          <w:szCs w:val="24"/>
          <w:lang w:val="zh-CN"/>
        </w:rPr>
        <w:t>辆、小型载客汽车</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辆、大中型载客汽车</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辆、其他车型</w:t>
      </w:r>
      <w:r>
        <w:rPr>
          <w:rFonts w:hint="eastAsia" w:ascii="仿宋_GB2312" w:hAnsi="仿宋_GB2312" w:eastAsia="仿宋_GB2312"/>
          <w:color w:val="000000"/>
          <w:kern w:val="2"/>
          <w:sz w:val="32"/>
          <w:szCs w:val="24"/>
          <w:lang w:val="en-US" w:eastAsia="zh-CN"/>
        </w:rPr>
        <w:t>0</w:t>
      </w:r>
      <w:r>
        <w:rPr>
          <w:rFonts w:hint="eastAsia" w:ascii="仿宋_GB2312" w:hAnsi="仿宋_GB2312" w:eastAsia="仿宋_GB2312"/>
          <w:color w:val="000000"/>
          <w:kern w:val="2"/>
          <w:sz w:val="32"/>
          <w:szCs w:val="24"/>
          <w:lang w:val="zh-CN"/>
        </w:rPr>
        <w:t>辆。</w:t>
      </w:r>
    </w:p>
    <w:p>
      <w:pPr>
        <w:keepNext/>
        <w:spacing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公务用车运行维护费</w:t>
      </w:r>
      <w:r>
        <w:rPr>
          <w:rFonts w:hint="eastAsia" w:ascii="仿宋_GB2312" w:hAnsi="仿宋_GB2312" w:eastAsia="仿宋_GB2312"/>
          <w:color w:val="000000"/>
          <w:kern w:val="2"/>
          <w:sz w:val="32"/>
          <w:szCs w:val="24"/>
          <w:lang w:val="zh-CN"/>
        </w:rPr>
        <w:t>支出1.65万元。主要用于开展全乡各项工作所需的公务用车燃料费、维修费、保险费等支出。</w:t>
      </w:r>
    </w:p>
    <w:p>
      <w:pPr>
        <w:keepNext/>
        <w:spacing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3.公务接待费</w:t>
      </w:r>
      <w:r>
        <w:rPr>
          <w:rFonts w:hint="eastAsia" w:ascii="仿宋_GB2312" w:hAnsi="仿宋_GB2312" w:eastAsia="仿宋_GB2312"/>
          <w:color w:val="000000"/>
          <w:kern w:val="2"/>
          <w:sz w:val="32"/>
          <w:szCs w:val="24"/>
          <w:lang w:val="zh-CN"/>
        </w:rPr>
        <w:t>支出0万元，完成预算0%。公务接待费支出决算比2021年减少1.35万元，下降100%。主要原因是</w:t>
      </w:r>
      <w:r>
        <w:rPr>
          <w:rFonts w:hint="eastAsia" w:ascii="仿宋_GB2312" w:hAnsi="仿宋_GB2312" w:eastAsia="仿宋_GB2312"/>
          <w:color w:val="000000"/>
          <w:kern w:val="2"/>
          <w:sz w:val="32"/>
          <w:szCs w:val="24"/>
          <w:lang w:val="en-US" w:eastAsia="zh-CN"/>
        </w:rPr>
        <w:t>报账不及时</w:t>
      </w:r>
      <w:r>
        <w:rPr>
          <w:rFonts w:hint="eastAsia" w:ascii="仿宋_GB2312" w:hAnsi="仿宋_GB2312" w:eastAsia="仿宋_GB2312"/>
          <w:color w:val="000000"/>
          <w:kern w:val="2"/>
          <w:sz w:val="32"/>
          <w:szCs w:val="24"/>
          <w:lang w:val="zh-CN"/>
        </w:rPr>
        <w:t>。其中：</w:t>
      </w:r>
    </w:p>
    <w:p>
      <w:pPr>
        <w:keepNext/>
        <w:spacing w:line="576" w:lineRule="exact"/>
        <w:ind w:firstLine="643"/>
        <w:jc w:val="both"/>
        <w:rPr>
          <w:rFonts w:hint="eastAsia" w:ascii="仿宋_GB2312" w:hAnsi="仿宋_GB2312" w:eastAsia="仿宋_GB2312"/>
          <w:color w:val="000000"/>
          <w:kern w:val="2"/>
          <w:sz w:val="32"/>
          <w:szCs w:val="24"/>
          <w:lang w:val="zh-CN"/>
        </w:rPr>
      </w:pPr>
      <w:r>
        <w:rPr>
          <w:rFonts w:hint="eastAsia" w:ascii="仿宋_GB2312" w:hAnsi="仿宋_GB2312" w:eastAsia="仿宋_GB2312"/>
          <w:b/>
          <w:color w:val="000000"/>
          <w:kern w:val="2"/>
          <w:sz w:val="32"/>
          <w:szCs w:val="24"/>
          <w:lang w:val="zh-CN"/>
        </w:rPr>
        <w:t>国内公务接待</w:t>
      </w:r>
      <w:r>
        <w:rPr>
          <w:rFonts w:hint="eastAsia" w:ascii="仿宋_GB2312" w:hAnsi="仿宋_GB2312" w:eastAsia="仿宋_GB2312"/>
          <w:color w:val="000000"/>
          <w:kern w:val="2"/>
          <w:sz w:val="32"/>
          <w:szCs w:val="24"/>
          <w:lang w:val="zh-CN"/>
        </w:rPr>
        <w:t>支出0万元。</w:t>
      </w:r>
    </w:p>
    <w:p>
      <w:pPr>
        <w:keepNext/>
        <w:spacing w:line="576" w:lineRule="exact"/>
        <w:ind w:firstLine="643"/>
        <w:jc w:val="both"/>
        <w:rPr>
          <w:rFonts w:hint="eastAsia" w:ascii="仿宋_GB2312" w:hAnsi="仿宋_GB2312" w:eastAsia="仿宋_GB2312"/>
          <w:color w:val="000000"/>
          <w:kern w:val="2"/>
          <w:sz w:val="32"/>
          <w:szCs w:val="24"/>
          <w:lang w:val="en-US"/>
        </w:rPr>
      </w:pPr>
      <w:r>
        <w:rPr>
          <w:rFonts w:hint="eastAsia" w:ascii="仿宋_GB2312" w:hAnsi="仿宋_GB2312" w:eastAsia="仿宋_GB2312"/>
          <w:b/>
          <w:color w:val="000000"/>
          <w:kern w:val="2"/>
          <w:sz w:val="32"/>
          <w:szCs w:val="24"/>
          <w:lang w:val="zh-CN"/>
        </w:rPr>
        <w:t>外事接待</w:t>
      </w:r>
      <w:r>
        <w:rPr>
          <w:rFonts w:hint="eastAsia" w:ascii="仿宋_GB2312" w:hAnsi="仿宋_GB2312" w:eastAsia="仿宋_GB2312"/>
          <w:color w:val="000000"/>
          <w:kern w:val="2"/>
          <w:sz w:val="32"/>
          <w:szCs w:val="24"/>
          <w:lang w:val="zh-CN"/>
        </w:rPr>
        <w:t>支出0万元。</w:t>
      </w:r>
    </w:p>
    <w:p>
      <w:pPr>
        <w:keepNext/>
        <w:spacing w:line="576" w:lineRule="exact"/>
        <w:ind w:firstLine="640"/>
        <w:jc w:val="both"/>
        <w:outlineLvl w:val="1"/>
        <w:rPr>
          <w:rFonts w:hint="eastAsia" w:ascii="黑体" w:hAnsi="黑体" w:eastAsia="黑体"/>
          <w:b/>
          <w:color w:val="auto"/>
          <w:kern w:val="2"/>
          <w:sz w:val="32"/>
          <w:szCs w:val="24"/>
          <w:lang w:val="zh-CN"/>
        </w:rPr>
      </w:pPr>
      <w:bookmarkStart w:id="23" w:name="_Toc25532"/>
      <w:r>
        <w:rPr>
          <w:rFonts w:hint="eastAsia" w:ascii="黑体" w:hAnsi="黑体" w:eastAsia="黑体"/>
          <w:color w:val="000000"/>
          <w:kern w:val="2"/>
          <w:sz w:val="32"/>
          <w:szCs w:val="24"/>
          <w:lang w:val="zh-CN"/>
        </w:rPr>
        <w:t>八、</w:t>
      </w:r>
      <w:r>
        <w:rPr>
          <w:rFonts w:hint="eastAsia" w:ascii="黑体" w:hAnsi="黑体" w:eastAsia="黑体"/>
          <w:color w:val="auto"/>
          <w:kern w:val="2"/>
          <w:sz w:val="32"/>
          <w:szCs w:val="24"/>
          <w:lang w:val="zh-CN"/>
        </w:rPr>
        <w:t>政府性基金预算支出决算情况说明</w:t>
      </w:r>
      <w:bookmarkEnd w:id="23"/>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2022年政府性基金预算拨款支出0万元。</w:t>
      </w:r>
    </w:p>
    <w:p>
      <w:pPr>
        <w:keepNext/>
        <w:spacing w:line="576" w:lineRule="exact"/>
        <w:ind w:firstLine="640"/>
        <w:jc w:val="both"/>
        <w:outlineLvl w:val="1"/>
        <w:rPr>
          <w:rFonts w:hint="eastAsia" w:ascii="黑体" w:hAnsi="黑体" w:eastAsia="黑体"/>
          <w:color w:val="auto"/>
          <w:kern w:val="2"/>
          <w:sz w:val="32"/>
          <w:szCs w:val="24"/>
          <w:lang w:val="zh-CN"/>
        </w:rPr>
      </w:pPr>
      <w:bookmarkStart w:id="24" w:name="_Toc9948"/>
      <w:r>
        <w:rPr>
          <w:rFonts w:hint="eastAsia" w:ascii="黑体" w:hAnsi="黑体" w:eastAsia="黑体"/>
          <w:color w:val="auto"/>
          <w:kern w:val="2"/>
          <w:sz w:val="32"/>
          <w:szCs w:val="24"/>
          <w:lang w:val="zh-CN"/>
        </w:rPr>
        <w:t>九、国有资本经营预算支出决算情况说明</w:t>
      </w:r>
      <w:bookmarkEnd w:id="24"/>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2022年国有资本经营预算拨款支出0万元。</w:t>
      </w:r>
    </w:p>
    <w:p>
      <w:pPr>
        <w:keepNext/>
        <w:spacing w:line="576" w:lineRule="exact"/>
        <w:ind w:firstLine="640"/>
        <w:jc w:val="both"/>
        <w:outlineLvl w:val="1"/>
        <w:rPr>
          <w:rFonts w:hint="eastAsia" w:ascii="黑体" w:hAnsi="黑体" w:eastAsia="黑体"/>
          <w:b/>
          <w:color w:val="auto"/>
          <w:kern w:val="2"/>
          <w:sz w:val="32"/>
          <w:szCs w:val="24"/>
          <w:lang w:val="zh-CN"/>
        </w:rPr>
      </w:pPr>
      <w:bookmarkStart w:id="25" w:name="_Toc4904"/>
      <w:r>
        <w:rPr>
          <w:rFonts w:hint="eastAsia" w:ascii="黑体" w:hAnsi="黑体" w:eastAsia="黑体"/>
          <w:color w:val="000000"/>
          <w:kern w:val="2"/>
          <w:sz w:val="32"/>
          <w:szCs w:val="24"/>
          <w:lang w:val="zh-CN"/>
        </w:rPr>
        <w:t>十</w:t>
      </w:r>
      <w:r>
        <w:rPr>
          <w:rFonts w:hint="eastAsia" w:ascii="黑体" w:hAnsi="黑体" w:eastAsia="黑体"/>
          <w:b/>
          <w:color w:val="auto"/>
          <w:kern w:val="2"/>
          <w:sz w:val="32"/>
          <w:szCs w:val="24"/>
          <w:lang w:val="zh-CN"/>
        </w:rPr>
        <w:t>、</w:t>
      </w:r>
      <w:r>
        <w:rPr>
          <w:rFonts w:hint="eastAsia" w:ascii="黑体" w:hAnsi="黑体" w:eastAsia="黑体"/>
          <w:color w:val="auto"/>
          <w:kern w:val="2"/>
          <w:sz w:val="32"/>
          <w:szCs w:val="24"/>
          <w:lang w:val="zh-CN"/>
        </w:rPr>
        <w:t>其他重要事项的情况说明</w:t>
      </w:r>
      <w:bookmarkEnd w:id="25"/>
    </w:p>
    <w:p>
      <w:pPr>
        <w:keepNext/>
        <w:spacing w:line="576" w:lineRule="exact"/>
        <w:ind w:firstLine="643"/>
        <w:jc w:val="both"/>
        <w:outlineLvl w:val="2"/>
        <w:rPr>
          <w:rFonts w:hint="eastAsia" w:ascii="仿宋_GB2312" w:hAnsi="仿宋_GB2312" w:eastAsia="仿宋_GB2312"/>
          <w:color w:val="000000"/>
          <w:kern w:val="2"/>
          <w:sz w:val="32"/>
          <w:szCs w:val="24"/>
          <w:lang w:val="zh-CN"/>
        </w:rPr>
      </w:pPr>
      <w:bookmarkStart w:id="26" w:name="_Toc15569"/>
      <w:bookmarkStart w:id="27" w:name="_Toc7150"/>
      <w:r>
        <w:rPr>
          <w:rFonts w:hint="eastAsia" w:ascii="仿宋_GB2312" w:hAnsi="仿宋_GB2312" w:eastAsia="仿宋_GB2312"/>
          <w:b/>
          <w:color w:val="000000"/>
          <w:kern w:val="2"/>
          <w:sz w:val="32"/>
          <w:szCs w:val="24"/>
          <w:lang w:val="zh-CN"/>
        </w:rPr>
        <w:t>（一）机关运行经费支出情况</w:t>
      </w:r>
      <w:bookmarkEnd w:id="26"/>
      <w:bookmarkEnd w:id="27"/>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2022年，盐边县共和乡人民政府机关运行经费支出120.87万元，比2021年减少28.76万元，下降19.2%。主要原因是机关人员</w:t>
      </w:r>
      <w:r>
        <w:rPr>
          <w:rFonts w:hint="eastAsia" w:ascii="仿宋_GB2312" w:hAnsi="仿宋_GB2312" w:eastAsia="仿宋_GB2312"/>
          <w:color w:val="000000"/>
          <w:kern w:val="2"/>
          <w:sz w:val="32"/>
          <w:szCs w:val="24"/>
          <w:lang w:val="en-US" w:eastAsia="zh-CN"/>
        </w:rPr>
        <w:t>减少</w:t>
      </w:r>
      <w:r>
        <w:rPr>
          <w:rFonts w:hint="eastAsia" w:ascii="仿宋_GB2312" w:hAnsi="仿宋_GB2312" w:eastAsia="仿宋_GB2312"/>
          <w:color w:val="000000"/>
          <w:kern w:val="2"/>
          <w:sz w:val="32"/>
          <w:szCs w:val="24"/>
          <w:lang w:val="zh-CN"/>
        </w:rPr>
        <w:t>，日常公用经费支出</w:t>
      </w:r>
      <w:r>
        <w:rPr>
          <w:rFonts w:hint="eastAsia" w:ascii="仿宋_GB2312" w:hAnsi="仿宋_GB2312" w:eastAsia="仿宋_GB2312"/>
          <w:color w:val="000000"/>
          <w:kern w:val="2"/>
          <w:sz w:val="32"/>
          <w:szCs w:val="24"/>
          <w:lang w:val="en-US" w:eastAsia="zh-CN"/>
        </w:rPr>
        <w:t>减少</w:t>
      </w:r>
      <w:r>
        <w:rPr>
          <w:rFonts w:hint="eastAsia" w:ascii="仿宋_GB2312" w:hAnsi="仿宋_GB2312" w:eastAsia="仿宋_GB2312"/>
          <w:color w:val="000000"/>
          <w:kern w:val="2"/>
          <w:sz w:val="32"/>
          <w:szCs w:val="24"/>
          <w:lang w:val="zh-CN"/>
        </w:rPr>
        <w:t>。</w:t>
      </w:r>
    </w:p>
    <w:p>
      <w:pPr>
        <w:keepNext/>
        <w:spacing w:line="600" w:lineRule="exact"/>
        <w:ind w:firstLine="643"/>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（注：数据来源于财决附03表）</w:t>
      </w:r>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28" w:name="_Toc11856"/>
      <w:bookmarkStart w:id="29" w:name="_Toc3207"/>
      <w:r>
        <w:rPr>
          <w:rFonts w:hint="eastAsia" w:ascii="仿宋_GB2312" w:hAnsi="仿宋_GB2312" w:eastAsia="仿宋_GB2312"/>
          <w:b/>
          <w:color w:val="000000"/>
          <w:kern w:val="2"/>
          <w:sz w:val="32"/>
          <w:szCs w:val="24"/>
          <w:lang w:val="zh-CN"/>
        </w:rPr>
        <w:t>（二）政府采购支出情况</w:t>
      </w:r>
      <w:bookmarkEnd w:id="28"/>
      <w:bookmarkEnd w:id="29"/>
    </w:p>
    <w:p>
      <w:pPr>
        <w:keepNext/>
        <w:spacing w:line="576" w:lineRule="exact"/>
        <w:ind w:firstLine="640"/>
        <w:jc w:val="both"/>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2022年，盐边县共和乡人民政府政府采购支出总额0万元，其中：政府采购货物支出0万元、政府采购工程支出0万元、政府采购服务支出0万元。</w:t>
      </w:r>
    </w:p>
    <w:p>
      <w:pPr>
        <w:keepNext/>
        <w:spacing w:line="600" w:lineRule="exact"/>
        <w:ind w:firstLine="643"/>
        <w:jc w:val="both"/>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（注：数据来源于财决附03表）</w:t>
      </w:r>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30" w:name="_Toc31388"/>
      <w:bookmarkStart w:id="31" w:name="_Toc32300"/>
      <w:r>
        <w:rPr>
          <w:rFonts w:hint="eastAsia" w:ascii="仿宋_GB2312" w:hAnsi="仿宋_GB2312" w:eastAsia="仿宋_GB2312"/>
          <w:b/>
          <w:color w:val="000000"/>
          <w:kern w:val="2"/>
          <w:sz w:val="32"/>
          <w:szCs w:val="24"/>
          <w:lang w:val="zh-CN"/>
        </w:rPr>
        <w:t>（三）国有资产占有使用情况</w:t>
      </w:r>
      <w:bookmarkEnd w:id="30"/>
      <w:bookmarkEnd w:id="31"/>
    </w:p>
    <w:p>
      <w:pPr>
        <w:keepNext/>
        <w:spacing w:line="576" w:lineRule="exact"/>
        <w:ind w:firstLine="640"/>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截至2022年12月31日，盐边县共和乡人民政府共有车辆1辆，其中：副部（省）级及以上领导用车0辆、主要领导干部用车0辆、机要通信用车0辆、应急保障用车0辆、执法执勤用车0辆、特种专业技术用车0辆、离退休干部用车0辆、其他用车1辆。其中：其他用车主要是用于重点项目推进、日常公务出行方面。单价100万元（含）以上设备0台（套)。</w:t>
      </w:r>
    </w:p>
    <w:p>
      <w:pPr>
        <w:keepNext/>
        <w:spacing w:line="600" w:lineRule="exact"/>
        <w:ind w:firstLine="643"/>
        <w:rPr>
          <w:rFonts w:hint="eastAsia" w:ascii="仿宋" w:hAnsi="仿宋" w:eastAsia="仿宋"/>
          <w:b/>
          <w:color w:val="auto"/>
          <w:kern w:val="2"/>
          <w:sz w:val="32"/>
          <w:szCs w:val="24"/>
          <w:lang w:val="en-US"/>
        </w:rPr>
      </w:pPr>
      <w:r>
        <w:rPr>
          <w:rFonts w:hint="eastAsia" w:ascii="仿宋" w:hAnsi="仿宋" w:eastAsia="仿宋"/>
          <w:b/>
          <w:color w:val="auto"/>
          <w:kern w:val="2"/>
          <w:sz w:val="32"/>
          <w:szCs w:val="24"/>
          <w:lang w:val="en-US"/>
        </w:rPr>
        <w:t>（注：数据来源于财决附03表，按部门决算报表填报数据罗列车辆情况。）</w:t>
      </w:r>
    </w:p>
    <w:p>
      <w:pPr>
        <w:keepNext/>
        <w:spacing w:line="576" w:lineRule="exact"/>
        <w:ind w:firstLine="643"/>
        <w:jc w:val="both"/>
        <w:outlineLvl w:val="2"/>
        <w:rPr>
          <w:rFonts w:hint="eastAsia" w:ascii="仿宋_GB2312" w:hAnsi="仿宋_GB2312" w:eastAsia="仿宋_GB2312"/>
          <w:b/>
          <w:color w:val="000000"/>
          <w:kern w:val="2"/>
          <w:sz w:val="32"/>
          <w:szCs w:val="24"/>
          <w:lang w:val="zh-CN"/>
        </w:rPr>
      </w:pPr>
      <w:bookmarkStart w:id="32" w:name="_Toc2639"/>
      <w:bookmarkStart w:id="33" w:name="_Toc29283"/>
      <w:r>
        <w:rPr>
          <w:rFonts w:hint="eastAsia" w:ascii="仿宋_GB2312" w:hAnsi="仿宋_GB2312" w:eastAsia="仿宋_GB2312"/>
          <w:b/>
          <w:color w:val="000000"/>
          <w:kern w:val="2"/>
          <w:sz w:val="32"/>
          <w:szCs w:val="24"/>
          <w:lang w:val="zh-CN"/>
        </w:rPr>
        <w:t>（四）预算绩效管理情况。</w:t>
      </w:r>
      <w:bookmarkEnd w:id="32"/>
      <w:bookmarkEnd w:id="33"/>
    </w:p>
    <w:p>
      <w:pPr>
        <w:pStyle w:val="5"/>
        <w:spacing w:line="590" w:lineRule="exact"/>
        <w:ind w:firstLine="640" w:firstLineChars="200"/>
        <w:jc w:val="left"/>
        <w:rPr>
          <w:rFonts w:hint="eastAsia" w:hAnsi="仿宋_GB2312" w:cs="Times New Roman"/>
          <w:color w:val="auto"/>
          <w:kern w:val="2"/>
          <w:sz w:val="32"/>
          <w:szCs w:val="24"/>
          <w:lang w:val="en-US" w:eastAsia="zh-CN"/>
        </w:rPr>
      </w:pPr>
      <w:r>
        <w:rPr>
          <w:rFonts w:hint="eastAsia" w:hAnsi="仿宋_GB2312"/>
          <w:color w:val="auto"/>
          <w:kern w:val="2"/>
          <w:sz w:val="32"/>
          <w:szCs w:val="24"/>
          <w:lang w:val="en-US"/>
        </w:rPr>
        <w:t>根据预算绩效管理要求，本部门在2022年度预算编制阶段，组织对</w:t>
      </w:r>
      <w:r>
        <w:rPr>
          <w:rFonts w:hint="eastAsia" w:hAnsi="仿宋_GB2312" w:cs="Times New Roman"/>
          <w:color w:val="auto"/>
          <w:kern w:val="2"/>
          <w:sz w:val="32"/>
          <w:szCs w:val="24"/>
          <w:lang w:val="en-US" w:eastAsia="zh-CN"/>
        </w:rPr>
        <w:t>“2022敬老院管理人员工作经费-公用经费”项目、“根据</w:t>
      </w:r>
      <w:r>
        <w:rPr>
          <w:rFonts w:hint="eastAsia" w:hAnsi="仿宋_GB2312" w:cs="Times New Roman"/>
          <w:color w:val="auto"/>
          <w:kern w:val="2"/>
          <w:sz w:val="32"/>
          <w:szCs w:val="24"/>
          <w:lang w:val="en-US"/>
        </w:rPr>
        <w:t>盐财资行〔202</w:t>
      </w:r>
      <w:r>
        <w:rPr>
          <w:rFonts w:hint="eastAsia" w:hAnsi="仿宋_GB2312" w:cs="Times New Roman"/>
          <w:color w:val="auto"/>
          <w:kern w:val="2"/>
          <w:sz w:val="32"/>
          <w:szCs w:val="24"/>
          <w:lang w:val="en-US" w:eastAsia="zh-CN"/>
        </w:rPr>
        <w:t>2</w:t>
      </w:r>
      <w:r>
        <w:rPr>
          <w:rFonts w:hint="eastAsia" w:hAnsi="仿宋_GB2312" w:cs="Times New Roman"/>
          <w:color w:val="auto"/>
          <w:kern w:val="2"/>
          <w:sz w:val="32"/>
          <w:szCs w:val="24"/>
          <w:lang w:val="en-US"/>
        </w:rPr>
        <w:t>〕</w:t>
      </w:r>
      <w:r>
        <w:rPr>
          <w:rFonts w:hint="eastAsia" w:hAnsi="仿宋_GB2312" w:cs="Times New Roman"/>
          <w:color w:val="auto"/>
          <w:kern w:val="2"/>
          <w:sz w:val="32"/>
          <w:szCs w:val="24"/>
          <w:lang w:val="en-US" w:eastAsia="zh-CN"/>
        </w:rPr>
        <w:t>301</w:t>
      </w:r>
      <w:r>
        <w:rPr>
          <w:rFonts w:hint="eastAsia" w:hAnsi="仿宋_GB2312" w:cs="Times New Roman"/>
          <w:color w:val="auto"/>
          <w:kern w:val="2"/>
          <w:sz w:val="32"/>
          <w:szCs w:val="24"/>
          <w:lang w:val="en-US"/>
        </w:rPr>
        <w:t>号关于下达2022年民族地区春节慰</w:t>
      </w:r>
      <w:r>
        <w:rPr>
          <w:rFonts w:hint="eastAsia" w:hAnsi="仿宋_GB2312" w:cs="Times New Roman"/>
          <w:color w:val="auto"/>
          <w:kern w:val="2"/>
          <w:sz w:val="32"/>
          <w:szCs w:val="24"/>
          <w:lang w:val="en-US" w:eastAsia="zh-CN"/>
        </w:rPr>
        <w:t>问金”项目、“2022共和乡特困人员经费”项目、“2022共和乡应急和安全生产监管工作”项目、“共和乡人民政府2022年敬老院人员经费”项目</w:t>
      </w:r>
      <w:r>
        <w:rPr>
          <w:rFonts w:hint="eastAsia" w:hAnsi="仿宋_GB2312" w:cs="Times New Roman"/>
          <w:color w:val="auto"/>
          <w:kern w:val="2"/>
          <w:sz w:val="32"/>
          <w:szCs w:val="24"/>
          <w:lang w:val="en-US"/>
        </w:rPr>
        <w:t>等</w:t>
      </w:r>
      <w:r>
        <w:rPr>
          <w:rFonts w:hint="eastAsia" w:hAnsi="仿宋_GB2312" w:cs="Times New Roman"/>
          <w:color w:val="auto"/>
          <w:kern w:val="2"/>
          <w:sz w:val="32"/>
          <w:szCs w:val="24"/>
          <w:lang w:val="en-US" w:eastAsia="zh-CN"/>
        </w:rPr>
        <w:t>5</w:t>
      </w:r>
      <w:r>
        <w:rPr>
          <w:rFonts w:hint="eastAsia" w:hAnsi="仿宋_GB2312" w:cs="Times New Roman"/>
          <w:color w:val="auto"/>
          <w:kern w:val="2"/>
          <w:sz w:val="32"/>
          <w:szCs w:val="24"/>
          <w:lang w:val="en-US"/>
        </w:rPr>
        <w:t>个项目开展了预算事前绩效评估，对</w:t>
      </w:r>
      <w:r>
        <w:rPr>
          <w:rFonts w:hint="eastAsia" w:hAnsi="仿宋_GB2312" w:cs="Times New Roman"/>
          <w:color w:val="auto"/>
          <w:kern w:val="2"/>
          <w:sz w:val="32"/>
          <w:szCs w:val="24"/>
          <w:lang w:val="en-US" w:eastAsia="zh-CN"/>
        </w:rPr>
        <w:t>5</w:t>
      </w:r>
      <w:r>
        <w:rPr>
          <w:rFonts w:hint="eastAsia" w:hAnsi="仿宋_GB2312" w:cs="Times New Roman"/>
          <w:color w:val="auto"/>
          <w:kern w:val="2"/>
          <w:sz w:val="32"/>
          <w:szCs w:val="24"/>
          <w:lang w:val="en-US"/>
        </w:rPr>
        <w:t>个项目编制了绩效目标，预算执行过程中，选取</w:t>
      </w:r>
      <w:r>
        <w:rPr>
          <w:rFonts w:hint="eastAsia" w:hAnsi="仿宋_GB2312" w:cs="Times New Roman"/>
          <w:color w:val="auto"/>
          <w:kern w:val="2"/>
          <w:sz w:val="32"/>
          <w:szCs w:val="24"/>
          <w:lang w:val="en-US" w:eastAsia="zh-CN"/>
        </w:rPr>
        <w:t>5</w:t>
      </w:r>
      <w:r>
        <w:rPr>
          <w:rFonts w:hint="eastAsia" w:hAnsi="仿宋_GB2312" w:cs="Times New Roman"/>
          <w:color w:val="auto"/>
          <w:kern w:val="2"/>
          <w:sz w:val="32"/>
          <w:szCs w:val="24"/>
          <w:lang w:val="en-US"/>
        </w:rPr>
        <w:t>个项目开展绩效监控</w:t>
      </w:r>
      <w:r>
        <w:rPr>
          <w:rFonts w:hint="eastAsia" w:hAnsi="仿宋_GB2312" w:cs="Times New Roman"/>
          <w:color w:val="auto"/>
          <w:kern w:val="2"/>
          <w:sz w:val="32"/>
          <w:szCs w:val="24"/>
          <w:lang w:val="en-US" w:eastAsia="zh-CN"/>
        </w:rPr>
        <w:t>，</w:t>
      </w:r>
      <w:r>
        <w:rPr>
          <w:rFonts w:hint="eastAsia" w:hAnsi="仿宋_GB2312" w:cs="Times New Roman"/>
          <w:color w:val="auto"/>
          <w:kern w:val="2"/>
          <w:sz w:val="32"/>
          <w:szCs w:val="24"/>
          <w:lang w:val="en-US"/>
        </w:rPr>
        <w:t>绩效自评报告详见附件</w:t>
      </w:r>
      <w:r>
        <w:rPr>
          <w:rFonts w:hint="eastAsia" w:hAnsi="仿宋_GB2312" w:cs="Times New Roman"/>
          <w:color w:val="auto"/>
          <w:kern w:val="2"/>
          <w:sz w:val="32"/>
          <w:szCs w:val="24"/>
          <w:lang w:val="en-US" w:eastAsia="zh-CN"/>
        </w:rPr>
        <w:t>。</w:t>
      </w:r>
    </w:p>
    <w:p>
      <w:pPr>
        <w:pStyle w:val="3"/>
        <w:keepNext/>
        <w:spacing w:before="340" w:after="330" w:line="576" w:lineRule="auto"/>
        <w:jc w:val="center"/>
        <w:rPr>
          <w:rFonts w:hint="eastAsia" w:ascii="黑体" w:hAnsi="黑体" w:eastAsia="黑体" w:cs="Times New Roman"/>
          <w:color w:val="auto"/>
          <w:kern w:val="44"/>
          <w:sz w:val="44"/>
          <w:szCs w:val="24"/>
          <w:lang w:val="zh-CN"/>
        </w:rPr>
      </w:pPr>
      <w:bookmarkStart w:id="34" w:name="_Toc9409"/>
      <w:bookmarkStart w:id="35" w:name="_Toc16380"/>
      <w:r>
        <w:rPr>
          <w:rFonts w:hint="eastAsia" w:ascii="黑体" w:hAnsi="黑体" w:eastAsia="黑体" w:cs="Times New Roman"/>
          <w:color w:val="auto"/>
          <w:kern w:val="44"/>
          <w:sz w:val="44"/>
          <w:szCs w:val="24"/>
          <w:lang w:val="zh-CN"/>
        </w:rPr>
        <w:t>第三部分名词解释</w:t>
      </w:r>
      <w:bookmarkEnd w:id="34"/>
      <w:bookmarkEnd w:id="35"/>
    </w:p>
    <w:p>
      <w:pPr>
        <w:keepNext/>
        <w:spacing w:line="576" w:lineRule="exact"/>
        <w:ind w:firstLine="640" w:firstLineChars="200"/>
        <w:outlineLvl w:val="1"/>
        <w:rPr>
          <w:rFonts w:hint="eastAsia" w:ascii="仿宋_GB2312" w:hAnsi="仿宋_GB2312" w:eastAsia="仿宋_GB2312"/>
          <w:color w:val="000000"/>
          <w:sz w:val="32"/>
          <w:szCs w:val="24"/>
          <w:lang w:val="en-US"/>
        </w:rPr>
      </w:pPr>
      <w:bookmarkStart w:id="36" w:name="_Toc1891"/>
      <w:bookmarkStart w:id="37" w:name="_Toc9152"/>
      <w:r>
        <w:rPr>
          <w:rFonts w:hint="eastAsia" w:ascii="仿宋_GB2312" w:hAnsi="仿宋_GB2312" w:eastAsia="仿宋_GB2312"/>
          <w:color w:val="000000"/>
          <w:sz w:val="32"/>
          <w:szCs w:val="24"/>
          <w:lang w:val="en-US"/>
        </w:rPr>
        <w:t>1.财政拨款收入：指单位从同级财政部门取得的财政预算资金。</w:t>
      </w:r>
      <w:bookmarkEnd w:id="36"/>
      <w:bookmarkEnd w:id="37"/>
    </w:p>
    <w:p>
      <w:pPr>
        <w:keepNext/>
        <w:spacing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2.事业收入：指事业单位开展专业业务活动及辅助活动取得的收入。</w:t>
      </w:r>
    </w:p>
    <w:p>
      <w:pPr>
        <w:keepNext/>
        <w:spacing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3.经营收入：指事业单位在专业业务活动及其辅助活动之外开展非独立核算经营活动取得的收入。</w:t>
      </w:r>
    </w:p>
    <w:p>
      <w:pPr>
        <w:keepNext/>
        <w:spacing w:line="576" w:lineRule="exact"/>
        <w:ind w:firstLine="640"/>
        <w:outlineLvl w:val="1"/>
        <w:rPr>
          <w:rFonts w:hint="eastAsia" w:ascii="仿宋_GB2312" w:hAnsi="仿宋_GB2312" w:eastAsia="仿宋_GB2312"/>
          <w:color w:val="000000"/>
          <w:sz w:val="32"/>
          <w:szCs w:val="24"/>
          <w:lang w:val="en-US"/>
        </w:rPr>
      </w:pPr>
      <w:bookmarkStart w:id="38" w:name="_Toc5319"/>
      <w:bookmarkStart w:id="39" w:name="_Toc21446"/>
      <w:r>
        <w:rPr>
          <w:rFonts w:hint="eastAsia" w:ascii="仿宋_GB2312" w:hAnsi="仿宋_GB2312" w:eastAsia="仿宋_GB2312"/>
          <w:color w:val="000000"/>
          <w:sz w:val="32"/>
          <w:szCs w:val="24"/>
          <w:lang w:val="en-US"/>
        </w:rPr>
        <w:t>4.其他收入：指单位取得的除上述收入以外的各项收入。</w:t>
      </w:r>
      <w:bookmarkEnd w:id="38"/>
      <w:bookmarkEnd w:id="39"/>
    </w:p>
    <w:p>
      <w:pPr>
        <w:keepNext/>
        <w:spacing w:line="576" w:lineRule="exact"/>
        <w:ind w:firstLine="640"/>
        <w:rPr>
          <w:rFonts w:hint="eastAsia" w:ascii="仿宋_GB2312" w:hAnsi="仿宋_GB2312" w:eastAsia="仿宋_GB2312"/>
          <w:color w:val="000000"/>
          <w:sz w:val="32"/>
          <w:szCs w:val="24"/>
          <w:lang w:val="en-US" w:eastAsia="zh-CN"/>
        </w:rPr>
      </w:pPr>
      <w:r>
        <w:rPr>
          <w:rFonts w:hint="eastAsia" w:ascii="仿宋_GB2312" w:hAnsi="仿宋_GB2312" w:eastAsia="仿宋_GB2312"/>
          <w:color w:val="000000"/>
          <w:sz w:val="32"/>
          <w:szCs w:val="24"/>
          <w:lang w:val="en-US"/>
        </w:rPr>
        <w:t>5.使用非财政拨款结余：指事业单位使用以前年度积累的非财政拨款结余弥补当年收支差额的金额。</w:t>
      </w:r>
    </w:p>
    <w:p>
      <w:pPr>
        <w:keepNext/>
        <w:spacing w:line="576" w:lineRule="exact"/>
        <w:ind w:firstLine="640"/>
        <w:rPr>
          <w:rFonts w:hint="eastAsia" w:ascii="仿宋_GB2312" w:hAnsi="仿宋_GB2312" w:eastAsia="仿宋_GB2312"/>
          <w:color w:val="000000"/>
          <w:sz w:val="32"/>
          <w:szCs w:val="24"/>
          <w:lang w:val="en-US" w:eastAsia="zh-CN"/>
        </w:rPr>
      </w:pPr>
      <w:r>
        <w:rPr>
          <w:rFonts w:hint="eastAsia" w:ascii="仿宋_GB2312" w:hAnsi="仿宋_GB2312" w:eastAsia="仿宋_GB2312"/>
          <w:color w:val="000000"/>
          <w:sz w:val="32"/>
          <w:szCs w:val="24"/>
          <w:lang w:val="en-US"/>
        </w:rPr>
        <w:t>6.年初结转和结余：指以前年度尚未完成、结转到本年按有关规定继续使用的资金。</w:t>
      </w:r>
    </w:p>
    <w:p>
      <w:pPr>
        <w:keepNext/>
        <w:spacing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7.结余分配：指事业单位按照会计制度规定缴纳的所得税、提取的专用结余以及转入非财政拨款结余的金额等。</w:t>
      </w:r>
    </w:p>
    <w:p>
      <w:pPr>
        <w:keepNext/>
        <w:spacing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8.年末结转和结余：指单位按有关规定结转到下年或以后年度继续使用的资金。</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9.一般公共服务（类）人大事务（款）行政运行（项）：反映行政单位（包括实行公务员管理的事业单位）的基本支出。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10.一般公共服务（类）人大事务（款）人大会议（项）：反映各级人大召开人民代表大会等专门会议的支出。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11.一般公共服务（类）政府办公厅（室）及相关机构服务（款）行政运行（项）：指反映行政单位（包括实行公务员管理的事业单位）的基本支出。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12.一般公共服务（类）政府办公厅（室）及相关机构服务（款）一般行政管理事务（项）：指反映行政单位（包括实行公务员管理的事业单位）未单独设置项级科目的其他项目支出。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13.一般公共服务（类）政府办公厅（室）及相关机构服务（款）信访事务（项）：反映各级政府用于接待群众来信来访方面的支出。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14.一般公共服务（类）政府办公厅（室）及相关机构服务（款）事业运行（项）：反映事业单位的基本支出，不包括行政单位（包括使用公务员管理的事业单位）后勤服务中心、医务室等附属事业单位。</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15.一般公共服务（类）纪检监察事务（款）其他纪检监察事务支出（项）：反映除上述项目以外其他纪检监察事务方面的支出。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16.一般公共服务（类）民族事务（款）其他民族事务支出（项）：反映除上述项目以外其他用于民族事务事务方面的支出。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17.一般公共服务（类）党委办公厅（室）及相关机构事务（款）行政运行（项）：指反映行政单位（包括实行公务员管理的事业单位）的基本支出。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18.一般公共服务（类）宣传事务（款）其他宣传事务支出（项）：反映除上述项目以外其他用于中国共产党宣传部门的事务支出。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19.公共安全支出（类）其他公共安全支出（款）其他公共安全支出（项）：反映除上述项目以外其他用于公共安全方面的支出。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20.文化旅游体育与传媒支出（类）文化和旅游（款）群众文化（项）:反映群众文化方面的支出，包括基层文化馆（站）、群众艺术馆支出等。</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21.文化旅游体育与传媒支出（类）文化和旅游（款）其他文化和旅游支出（项）：反映除上述项目以外其他用于文化和旅游方面的支出。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22.社会保障和就业支出（类）人力资源和社会保障管理事务（款）社会保险经办机构（项）:反映社会保险经办机构开展业务工作的支出。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23.社会保障和就业支出（类）人力资源和社会保障管理事务（款）其他人力资源和社会保障管理事务支出（项）:反映除上述项目以外其他用于人力资源和社会保障管理事务方面的支出。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24.社会保障和就业支出（类）民政管理事务（款）其他民政管理事务支出（项）:反映除上述项目以外其他用于民政管理事务的支出。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25.社会保障和就业支出（类）行政事业单位养老支出（款）行政单位离退休（项）:反映行政单位（包括实行公务员管理的事业单位）开支的离退休经费。</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26.社会保障和就业支出（类）行政事业单位养老支出（款）事业单位离退休（项）:反映事业单位开支的离退休经费。</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27.社会保障和就业支出（类）行政事业单位养老支出（款）机关事业单位基本养老保险缴费支出（项）:反映机关事业单位实施养老保险制度由单位缴纳的基本养老保险费支出。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28.社会保障和就业支出（类）抚恤（款）死亡抚恤（项）:反映按规定用于烈士和牺牲、病故人员家属的一次性和定期抚恤金、丧葬补助费以及烈士褒扬金。</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29.社会保障和就业支出（类）特困人员救助供养（款）农村特困人员救助供养支出（项）:反映农村特困人员救助供养支出。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30.卫生健康支出（类）公共卫生（款）重大公共卫生服务（项）：反映重大疾病、重大传染病预防控制等重大公共卫生服务项目支出。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31.卫生健康支出（类）行政事业单位医疗（款）行政单位医疗（项）：反映财政部门安排的行政单位（包括实行公务员管理的事业单位，下同）基本医疗保险缴费经费，未参加医疗保险的公费医疗经费，按国家规定享受离休人员、红军老战士待遇人员的医疗经费。</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32.卫生健康支出（类）行政事业单位医疗（款）事业单位医疗（项）：反映财政部门安排的事业单位基本医疗保险缴费经费，未参加医疗保险的事业单位的公费医疗经费，按国家规定享受离休人员待遇的医疗经费。</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33.卫生健康支出（类）行政事业单位医疗（款）公务员医疗补助（项）：反映财政部门安排的公务员医疗补助经费。</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34.卫生健康支出（类）行政事业单位医疗（款）其他行政事业单位医疗支出（项）：反映除上述项目以外其他用于行政事业单位医疗方面的支出。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35.农林水支出（类）农业农村（款）事业运行（项）：反映用于农业事业单位基本支出，事业单位设施、系统运行与资产维护等方面的支出。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36.农林水支出（类）农业农村（款）防灾救灾（项）：反映对农业生产因遭受自然、生物灾害损失给予的补助，促进农业防灾增产措施补助，海难救助补助，因其他灾害导致农牧渔业生产者损失给予的补助。</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37.农林水支出（类）农业农村（款）其他农业农村支出（项）：反映除上述项目以外其他用于农业农村方面的支出。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38.农林水支出（类）林业和草原（款）其他林业和草原支出（项）：反映除上述项目以外其他用于林业和草原方面的支出。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39.农林水支出（类）农村改革（款）对村民委员会和村党支部的补助（项）：反映各级财政对村民委员会和村党支部的补助支出，以及支持建立县级基本财力保障机制安排的村级组织运转奖补资金。</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40.农林水支出（类）农村改革（款）对村集体经济组织的补助（项）：反映农村税费改革后对村集体经济组织的补助支出。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41.农林水支出（类）其他农林水支出（款）其他农林水支出（项）：反映除化解债务支出以外其他用于农林水方面的支出。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42.住房保障支出（类）住房改革支出（款）住房公积金（项）：反映行政事业单位按人力资源和社会保障部、财政部规定的基本工资和津贴补贴以及规定比例为职工缴纳的住房公积金。</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43.灾害防治及应急管理支出（类）应急管理事务（款）安全监管（项）：反映安全生产综合监督管理和工贸行业安全生产监督管理等方面的支出。</w:t>
      </w:r>
    </w:p>
    <w:p>
      <w:pPr>
        <w:pStyle w:val="2"/>
        <w:keepNext/>
        <w:spacing w:beforeLines="0" w:afterLines="0"/>
        <w:rPr>
          <w:rFonts w:hint="eastAsia" w:ascii="仿宋_GB2312" w:hAnsi="仿宋_GB2312" w:eastAsia="仿宋_GB2312"/>
          <w:color w:val="000000"/>
          <w:kern w:val="0"/>
          <w:sz w:val="32"/>
          <w:szCs w:val="24"/>
        </w:rPr>
      </w:pPr>
      <w:r>
        <w:rPr>
          <w:rFonts w:hint="eastAsia" w:ascii="仿宋_GB2312" w:hAnsi="仿宋_GB2312" w:eastAsia="仿宋_GB2312"/>
          <w:color w:val="000000"/>
          <w:kern w:val="0"/>
          <w:sz w:val="32"/>
          <w:szCs w:val="24"/>
        </w:rPr>
        <w:t>44.其他支出（类）其他支出（款）其他支出（项）：反映除上述项目以外其他不能划分到具体功能科目中的支出项目。</w:t>
      </w:r>
    </w:p>
    <w:p>
      <w:pPr>
        <w:keepNext/>
        <w:spacing w:line="576" w:lineRule="exact"/>
        <w:ind w:firstLine="640"/>
        <w:jc w:val="both"/>
        <w:rPr>
          <w:rFonts w:hint="eastAsia" w:ascii="仿宋_GB2312" w:hAnsi="仿宋_GB2312" w:eastAsia="仿宋_GB2312"/>
          <w:color w:val="000000"/>
          <w:kern w:val="2"/>
          <w:sz w:val="32"/>
          <w:szCs w:val="24"/>
          <w:lang w:val="en-US"/>
        </w:rPr>
      </w:pPr>
      <w:r>
        <w:rPr>
          <w:rFonts w:hint="eastAsia" w:ascii="仿宋_GB2312" w:hAnsi="仿宋_GB2312" w:eastAsia="仿宋_GB2312"/>
          <w:color w:val="000000"/>
          <w:kern w:val="2"/>
          <w:sz w:val="32"/>
          <w:szCs w:val="24"/>
          <w:lang w:val="en-US" w:eastAsia="zh-CN"/>
        </w:rPr>
        <w:t>45</w:t>
      </w:r>
      <w:r>
        <w:rPr>
          <w:rFonts w:hint="eastAsia" w:ascii="仿宋_GB2312" w:hAnsi="仿宋_GB2312" w:eastAsia="仿宋_GB2312"/>
          <w:color w:val="000000"/>
          <w:kern w:val="2"/>
          <w:sz w:val="32"/>
          <w:szCs w:val="24"/>
          <w:lang w:val="en-US"/>
        </w:rPr>
        <w:t>.基本支出：指为保障机构正常运转、完成日常工作任务而发生的人员支出和公用支出。</w:t>
      </w:r>
    </w:p>
    <w:p>
      <w:pPr>
        <w:keepNext/>
        <w:spacing w:line="576" w:lineRule="exact"/>
        <w:ind w:firstLine="640"/>
        <w:jc w:val="both"/>
        <w:rPr>
          <w:rFonts w:hint="eastAsia" w:ascii="仿宋_GB2312" w:hAnsi="仿宋_GB2312" w:eastAsia="仿宋_GB2312"/>
          <w:color w:val="000000"/>
          <w:kern w:val="2"/>
          <w:sz w:val="32"/>
          <w:szCs w:val="24"/>
          <w:lang w:val="en-US" w:eastAsia="zh-CN"/>
        </w:rPr>
      </w:pPr>
      <w:r>
        <w:rPr>
          <w:rFonts w:hint="eastAsia" w:ascii="仿宋_GB2312" w:hAnsi="仿宋_GB2312" w:eastAsia="仿宋_GB2312"/>
          <w:color w:val="000000"/>
          <w:kern w:val="2"/>
          <w:sz w:val="32"/>
          <w:szCs w:val="24"/>
          <w:lang w:val="en-US" w:eastAsia="zh-CN"/>
        </w:rPr>
        <w:t>46</w:t>
      </w:r>
      <w:r>
        <w:rPr>
          <w:rFonts w:hint="eastAsia" w:ascii="仿宋_GB2312" w:hAnsi="仿宋_GB2312" w:eastAsia="仿宋_GB2312"/>
          <w:color w:val="000000"/>
          <w:kern w:val="2"/>
          <w:sz w:val="32"/>
          <w:szCs w:val="24"/>
          <w:lang w:val="en-US"/>
        </w:rPr>
        <w:t>.项目支出：指在基本支出之外为完成特定行政任务和事业发展目标所发生的支出。</w:t>
      </w:r>
    </w:p>
    <w:p>
      <w:pPr>
        <w:keepNext/>
        <w:spacing w:line="576" w:lineRule="exact"/>
        <w:ind w:firstLine="640"/>
        <w:jc w:val="both"/>
        <w:rPr>
          <w:rFonts w:hint="eastAsia" w:ascii="仿宋_GB2312" w:hAnsi="仿宋_GB2312" w:eastAsia="仿宋_GB2312"/>
          <w:color w:val="000000"/>
          <w:kern w:val="2"/>
          <w:sz w:val="32"/>
          <w:szCs w:val="24"/>
          <w:lang w:val="en-US"/>
        </w:rPr>
      </w:pPr>
      <w:r>
        <w:rPr>
          <w:rFonts w:hint="eastAsia" w:ascii="仿宋_GB2312" w:hAnsi="仿宋_GB2312" w:eastAsia="仿宋_GB2312"/>
          <w:color w:val="000000"/>
          <w:kern w:val="2"/>
          <w:sz w:val="32"/>
          <w:szCs w:val="24"/>
          <w:lang w:val="en-US" w:eastAsia="zh-CN"/>
        </w:rPr>
        <w:t>47</w:t>
      </w:r>
      <w:r>
        <w:rPr>
          <w:rFonts w:hint="eastAsia" w:ascii="仿宋_GB2312" w:hAnsi="仿宋_GB2312" w:eastAsia="仿宋_GB2312"/>
          <w:color w:val="000000"/>
          <w:kern w:val="2"/>
          <w:sz w:val="32"/>
          <w:szCs w:val="24"/>
          <w:lang w:val="en-US"/>
        </w:rPr>
        <w:t>.经营支出：指事业单位在专业业务活动及其辅助活动之外开展非独立核算经营活动发生的支出。</w:t>
      </w:r>
    </w:p>
    <w:p>
      <w:pPr>
        <w:keepNext/>
        <w:spacing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eastAsia="zh-CN"/>
        </w:rPr>
        <w:t>48</w:t>
      </w:r>
      <w:r>
        <w:rPr>
          <w:rFonts w:hint="eastAsia" w:ascii="仿宋_GB2312" w:hAnsi="仿宋_GB2312" w:eastAsia="仿宋_GB2312"/>
          <w:color w:val="000000"/>
          <w:sz w:val="32"/>
          <w:szCs w:val="24"/>
          <w:lang w:val="en-US"/>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spacing w:line="560" w:lineRule="exact"/>
        <w:ind w:firstLine="640"/>
        <w:rPr>
          <w:rFonts w:hint="eastAsia" w:ascii="仿宋" w:hAnsi="仿宋" w:eastAsia="仿宋"/>
          <w:b/>
          <w:color w:val="auto"/>
          <w:kern w:val="2"/>
          <w:sz w:val="32"/>
          <w:szCs w:val="24"/>
          <w:lang w:val="en-US"/>
        </w:rPr>
      </w:pPr>
      <w:r>
        <w:rPr>
          <w:rFonts w:hint="eastAsia" w:ascii="仿宋_GB2312" w:hAnsi="仿宋_GB2312" w:eastAsia="仿宋_GB2312"/>
          <w:color w:val="000000"/>
          <w:sz w:val="32"/>
          <w:szCs w:val="24"/>
          <w:lang w:val="en-US" w:eastAsia="zh-CN"/>
        </w:rPr>
        <w:t>49</w:t>
      </w:r>
      <w:r>
        <w:rPr>
          <w:rFonts w:hint="eastAsia" w:ascii="仿宋_GB2312" w:hAnsi="仿宋_GB2312" w:eastAsia="仿宋_GB2312"/>
          <w:color w:val="000000"/>
          <w:sz w:val="32"/>
          <w:szCs w:val="24"/>
          <w:lang w:val="en-US"/>
        </w:rPr>
        <w:t>.机关运行经费：</w:t>
      </w:r>
      <w:r>
        <w:rPr>
          <w:rFonts w:hint="eastAsia" w:ascii="仿宋_GB2312" w:hAnsi="仿宋_GB2312" w:eastAsia="仿宋_GB2312"/>
          <w:color w:val="auto"/>
          <w:sz w:val="32"/>
          <w:szCs w:val="24"/>
          <w:lang w:val="en-US"/>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spacing w:line="576" w:lineRule="exact"/>
        <w:jc w:val="center"/>
        <w:rPr>
          <w:rFonts w:hint="eastAsia" w:ascii="黑体" w:hAnsi="黑体" w:eastAsia="黑体"/>
          <w:color w:val="auto"/>
          <w:kern w:val="44"/>
          <w:sz w:val="44"/>
          <w:szCs w:val="24"/>
          <w:lang w:val="zh-CN"/>
        </w:rPr>
      </w:pPr>
    </w:p>
    <w:p>
      <w:pPr>
        <w:pStyle w:val="3"/>
        <w:keepNext/>
        <w:spacing w:before="340" w:after="330" w:line="576" w:lineRule="auto"/>
        <w:jc w:val="center"/>
        <w:rPr>
          <w:rFonts w:hint="eastAsia" w:ascii="黑体" w:hAnsi="黑体" w:eastAsia="黑体" w:cs="Times New Roman"/>
          <w:color w:val="auto"/>
          <w:kern w:val="44"/>
          <w:sz w:val="44"/>
          <w:szCs w:val="24"/>
          <w:lang w:val="en-US"/>
        </w:rPr>
      </w:pPr>
      <w:bookmarkStart w:id="40" w:name="_Toc20188"/>
      <w:bookmarkStart w:id="41" w:name="_Toc11592"/>
      <w:r>
        <w:rPr>
          <w:rFonts w:hint="eastAsia" w:ascii="黑体" w:hAnsi="黑体" w:eastAsia="黑体" w:cs="Times New Roman"/>
          <w:color w:val="auto"/>
          <w:kern w:val="44"/>
          <w:sz w:val="44"/>
          <w:szCs w:val="24"/>
          <w:lang w:val="en-US"/>
        </w:rPr>
        <w:t>第四部分附件</w:t>
      </w:r>
      <w:bookmarkEnd w:id="40"/>
      <w:bookmarkEnd w:id="41"/>
    </w:p>
    <w:p>
      <w:pPr>
        <w:keepNext/>
        <w:spacing w:line="572" w:lineRule="exact"/>
        <w:outlineLvl w:val="1"/>
        <w:rPr>
          <w:rFonts w:hint="eastAsia" w:ascii="方正小标宋简体" w:hAnsi="方正小标宋简体" w:eastAsia="方正小标宋简体"/>
          <w:color w:val="auto"/>
          <w:kern w:val="2"/>
          <w:sz w:val="44"/>
          <w:szCs w:val="24"/>
          <w:lang w:val="en-US"/>
        </w:rPr>
      </w:pPr>
      <w:bookmarkStart w:id="42" w:name="_Toc12655"/>
      <w:r>
        <w:rPr>
          <w:rFonts w:hint="eastAsia" w:ascii="黑体" w:hAnsi="黑体" w:eastAsia="黑体"/>
          <w:color w:val="auto"/>
          <w:kern w:val="2"/>
          <w:sz w:val="32"/>
          <w:szCs w:val="24"/>
          <w:lang w:val="en-US"/>
        </w:rPr>
        <w:t>附件</w:t>
      </w:r>
      <w:bookmarkEnd w:id="42"/>
    </w:p>
    <w:p>
      <w:pPr>
        <w:keepNext/>
        <w:spacing w:line="560" w:lineRule="exact"/>
        <w:jc w:val="center"/>
        <w:rPr>
          <w:rFonts w:hint="default" w:ascii="宋体" w:hAnsi="宋体" w:eastAsia="宋体"/>
          <w:b/>
          <w:color w:val="auto"/>
          <w:kern w:val="2"/>
          <w:sz w:val="32"/>
          <w:szCs w:val="24"/>
          <w:lang w:val="en-US"/>
        </w:rPr>
      </w:pPr>
      <w:r>
        <w:rPr>
          <w:rFonts w:hint="default" w:ascii="宋体" w:hAnsi="宋体" w:eastAsia="宋体"/>
          <w:b/>
          <w:color w:val="auto"/>
          <w:kern w:val="2"/>
          <w:sz w:val="32"/>
          <w:szCs w:val="24"/>
          <w:lang w:val="en-US" w:eastAsia="zh-CN"/>
        </w:rPr>
        <w:t>盐边县共和乡人民政府2022年</w:t>
      </w:r>
      <w:r>
        <w:rPr>
          <w:rFonts w:hint="default" w:ascii="宋体" w:hAnsi="宋体" w:eastAsia="宋体"/>
          <w:b/>
          <w:color w:val="auto"/>
          <w:kern w:val="2"/>
          <w:sz w:val="32"/>
          <w:szCs w:val="24"/>
          <w:lang w:val="en-US"/>
        </w:rPr>
        <w:t>部门整体绩效评价报告</w:t>
      </w:r>
    </w:p>
    <w:p>
      <w:pPr>
        <w:keepNext/>
        <w:spacing w:line="560" w:lineRule="exact"/>
        <w:jc w:val="center"/>
        <w:rPr>
          <w:rFonts w:hint="eastAsia" w:ascii="仿宋_GB2312" w:hAnsi="仿宋_GB2312" w:eastAsia="仿宋_GB2312"/>
          <w:color w:val="auto"/>
          <w:kern w:val="2"/>
          <w:sz w:val="32"/>
          <w:szCs w:val="24"/>
          <w:lang w:val="en-US"/>
        </w:rPr>
      </w:pPr>
      <w:r>
        <w:rPr>
          <w:rFonts w:hint="eastAsia" w:ascii="仿宋_GB2312" w:hAnsi="仿宋_GB2312" w:eastAsia="仿宋_GB2312"/>
          <w:color w:val="auto"/>
          <w:kern w:val="2"/>
          <w:sz w:val="32"/>
          <w:szCs w:val="24"/>
          <w:lang w:val="en-US"/>
        </w:rPr>
        <w:t>（报告范围包括机关和下属单位）</w:t>
      </w:r>
    </w:p>
    <w:p>
      <w:pPr>
        <w:keepNext/>
        <w:spacing w:line="560" w:lineRule="exact"/>
        <w:ind w:firstLine="640"/>
        <w:rPr>
          <w:rFonts w:hint="eastAsia" w:ascii="黑体" w:hAnsi="黑体" w:eastAsia="黑体"/>
          <w:color w:val="auto"/>
          <w:sz w:val="32"/>
          <w:szCs w:val="24"/>
          <w:lang w:val="en-US"/>
        </w:rPr>
      </w:pPr>
    </w:p>
    <w:p>
      <w:pPr>
        <w:keepNext/>
        <w:spacing w:line="560" w:lineRule="exact"/>
        <w:ind w:firstLine="640"/>
        <w:outlineLvl w:val="1"/>
        <w:rPr>
          <w:rFonts w:hint="eastAsia" w:ascii="黑体" w:hAnsi="黑体" w:eastAsia="黑体"/>
          <w:color w:val="auto"/>
          <w:sz w:val="32"/>
          <w:szCs w:val="24"/>
          <w:lang w:val="zh-CN"/>
        </w:rPr>
      </w:pPr>
      <w:bookmarkStart w:id="43" w:name="_Toc19683"/>
      <w:r>
        <w:rPr>
          <w:rFonts w:hint="eastAsia" w:ascii="黑体" w:hAnsi="黑体" w:eastAsia="黑体"/>
          <w:color w:val="auto"/>
          <w:sz w:val="32"/>
          <w:szCs w:val="24"/>
          <w:lang w:val="en-US"/>
        </w:rPr>
        <w:t>一、</w:t>
      </w:r>
      <w:r>
        <w:rPr>
          <w:rFonts w:hint="eastAsia" w:ascii="黑体" w:hAnsi="黑体" w:eastAsia="黑体"/>
          <w:color w:val="auto"/>
          <w:sz w:val="32"/>
          <w:szCs w:val="24"/>
          <w:lang w:val="zh-CN"/>
        </w:rPr>
        <w:t>部门（单位）基本情况</w:t>
      </w:r>
      <w:bookmarkEnd w:id="43"/>
    </w:p>
    <w:p>
      <w:pPr>
        <w:keepNext/>
        <w:spacing w:line="560" w:lineRule="exact"/>
        <w:ind w:firstLine="643"/>
        <w:outlineLvl w:val="2"/>
        <w:rPr>
          <w:rFonts w:hint="eastAsia" w:ascii="楷体_GB2312" w:hAnsi="楷体_GB2312" w:eastAsia="楷体_GB2312"/>
          <w:b/>
          <w:color w:val="auto"/>
          <w:sz w:val="32"/>
          <w:szCs w:val="24"/>
          <w:lang w:val="zh-CN"/>
        </w:rPr>
      </w:pPr>
      <w:bookmarkStart w:id="44" w:name="_Toc23777"/>
      <w:bookmarkStart w:id="45" w:name="_Toc13571"/>
      <w:r>
        <w:rPr>
          <w:rFonts w:hint="eastAsia" w:ascii="楷体_GB2312" w:hAnsi="楷体_GB2312" w:eastAsia="楷体_GB2312"/>
          <w:b/>
          <w:color w:val="auto"/>
          <w:sz w:val="32"/>
          <w:szCs w:val="24"/>
          <w:lang w:val="zh-CN"/>
        </w:rPr>
        <w:t>（一）机构组成。（简要介绍）</w:t>
      </w:r>
      <w:bookmarkEnd w:id="44"/>
      <w:bookmarkEnd w:id="45"/>
    </w:p>
    <w:p>
      <w:pPr>
        <w:pStyle w:val="2"/>
        <w:keepNext/>
        <w:spacing w:beforeLines="0" w:afterLines="0"/>
        <w:rPr>
          <w:rFonts w:hint="eastAsia" w:ascii="仿宋_GB2312" w:hAnsi="仿宋_GB2312" w:eastAsia="仿宋_GB2312"/>
          <w:b/>
          <w:color w:val="auto"/>
          <w:sz w:val="32"/>
          <w:szCs w:val="24"/>
        </w:rPr>
      </w:pPr>
      <w:r>
        <w:rPr>
          <w:rFonts w:hint="eastAsia" w:ascii="仿宋_GB2312" w:hAnsi="仿宋_GB2312" w:eastAsia="仿宋_GB2312"/>
          <w:color w:val="auto"/>
          <w:sz w:val="32"/>
          <w:szCs w:val="24"/>
        </w:rPr>
        <w:t>我乡下设机构如下：党政办公室、党建办公室、综合行政执法办公室、社会事务办公室、经济发展办公室、社会治理办公室、财政所等7个党政综合办事机构，便民服务中心、农业农村服务中心、村镇建设服务中心、宣传文化旅游服务中心等4个事业单位。</w:t>
      </w:r>
    </w:p>
    <w:p>
      <w:pPr>
        <w:pStyle w:val="2"/>
        <w:keepNext/>
        <w:numPr>
          <w:ilvl w:val="0"/>
          <w:numId w:val="2"/>
        </w:numPr>
        <w:spacing w:beforeLines="0" w:afterLines="0"/>
        <w:ind w:firstLine="420"/>
        <w:outlineLvl w:val="2"/>
        <w:rPr>
          <w:rFonts w:hint="eastAsia" w:ascii="楷体_GB2312" w:hAnsi="楷体_GB2312" w:eastAsia="楷体_GB2312"/>
          <w:b/>
          <w:color w:val="auto"/>
          <w:sz w:val="32"/>
          <w:szCs w:val="24"/>
          <w:lang w:val="zh-CN"/>
        </w:rPr>
      </w:pPr>
      <w:bookmarkStart w:id="46" w:name="_Toc22205"/>
      <w:bookmarkStart w:id="47" w:name="_Toc30367"/>
      <w:r>
        <w:rPr>
          <w:rFonts w:hint="eastAsia" w:ascii="楷体_GB2312" w:hAnsi="楷体_GB2312" w:eastAsia="楷体_GB2312"/>
          <w:b/>
          <w:color w:val="auto"/>
          <w:sz w:val="32"/>
          <w:szCs w:val="24"/>
          <w:lang w:val="zh-CN"/>
        </w:rPr>
        <w:t>机构职能和人员概况。（简要介绍）</w:t>
      </w:r>
      <w:bookmarkEnd w:id="46"/>
      <w:bookmarkEnd w:id="47"/>
    </w:p>
    <w:p>
      <w:pPr>
        <w:pStyle w:val="2"/>
        <w:keepNext/>
        <w:spacing w:beforeLines="0" w:afterLines="0"/>
        <w:rPr>
          <w:rFonts w:hint="eastAsia" w:ascii="楷体_GB2312" w:hAnsi="楷体_GB2312" w:eastAsia="楷体_GB2312"/>
          <w:b/>
          <w:color w:val="auto"/>
          <w:sz w:val="32"/>
          <w:szCs w:val="24"/>
        </w:rPr>
      </w:pPr>
      <w:r>
        <w:rPr>
          <w:rFonts w:hint="eastAsia" w:ascii="楷体_GB2312" w:hAnsi="楷体_GB2312" w:eastAsia="楷体_GB2312"/>
          <w:b/>
          <w:color w:val="auto"/>
          <w:sz w:val="32"/>
          <w:szCs w:val="24"/>
        </w:rPr>
        <w:t>1.机构职能</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1</w:t>
      </w:r>
      <w:r>
        <w:rPr>
          <w:rFonts w:hint="eastAsia" w:ascii="仿宋_GB2312" w:hAnsi="仿宋_GB2312" w:eastAsia="仿宋_GB2312"/>
          <w:color w:val="auto"/>
          <w:sz w:val="32"/>
          <w:szCs w:val="24"/>
          <w:lang w:val="zh-CN"/>
        </w:rPr>
        <w:t>）贯彻执行党和国家的各项方针、政策、法律法规，以及上级行政机关和</w:t>
      </w:r>
      <w:r>
        <w:rPr>
          <w:rFonts w:hint="eastAsia" w:ascii="仿宋_GB2312" w:hAnsi="仿宋_GB2312" w:eastAsia="仿宋_GB2312"/>
          <w:color w:val="auto"/>
          <w:sz w:val="32"/>
          <w:szCs w:val="24"/>
        </w:rPr>
        <w:t>乡</w:t>
      </w:r>
      <w:r>
        <w:rPr>
          <w:rFonts w:hint="eastAsia" w:ascii="仿宋_GB2312" w:hAnsi="仿宋_GB2312" w:eastAsia="仿宋_GB2312"/>
          <w:color w:val="auto"/>
          <w:sz w:val="32"/>
          <w:szCs w:val="24"/>
          <w:lang w:val="zh-CN"/>
        </w:rPr>
        <w:t>党委、</w:t>
      </w:r>
      <w:r>
        <w:rPr>
          <w:rFonts w:hint="eastAsia" w:ascii="仿宋_GB2312" w:hAnsi="仿宋_GB2312" w:eastAsia="仿宋_GB2312"/>
          <w:color w:val="auto"/>
          <w:sz w:val="32"/>
          <w:szCs w:val="24"/>
        </w:rPr>
        <w:t>乡</w:t>
      </w:r>
      <w:r>
        <w:rPr>
          <w:rFonts w:hint="eastAsia" w:ascii="仿宋_GB2312" w:hAnsi="仿宋_GB2312" w:eastAsia="仿宋_GB2312"/>
          <w:color w:val="auto"/>
          <w:sz w:val="32"/>
          <w:szCs w:val="24"/>
          <w:lang w:val="zh-CN"/>
        </w:rPr>
        <w:t>人代会的决定、决议。（</w:t>
      </w:r>
      <w:r>
        <w:rPr>
          <w:rFonts w:hint="eastAsia" w:ascii="仿宋_GB2312" w:hAnsi="仿宋_GB2312" w:eastAsia="仿宋_GB2312"/>
          <w:color w:val="auto"/>
          <w:sz w:val="32"/>
          <w:szCs w:val="24"/>
        </w:rPr>
        <w:t>2</w:t>
      </w:r>
      <w:r>
        <w:rPr>
          <w:rFonts w:hint="eastAsia" w:ascii="仿宋_GB2312" w:hAnsi="仿宋_GB2312" w:eastAsia="仿宋_GB2312"/>
          <w:color w:val="auto"/>
          <w:sz w:val="32"/>
          <w:szCs w:val="24"/>
          <w:lang w:val="zh-CN"/>
        </w:rPr>
        <w:t>）制定并执行本行政区域内经济和社会发展规划、计划。（</w:t>
      </w:r>
      <w:r>
        <w:rPr>
          <w:rFonts w:hint="eastAsia" w:ascii="仿宋_GB2312" w:hAnsi="仿宋_GB2312" w:eastAsia="仿宋_GB2312"/>
          <w:color w:val="auto"/>
          <w:sz w:val="32"/>
          <w:szCs w:val="24"/>
        </w:rPr>
        <w:t>3</w:t>
      </w:r>
      <w:r>
        <w:rPr>
          <w:rFonts w:hint="eastAsia" w:ascii="仿宋_GB2312" w:hAnsi="仿宋_GB2312" w:eastAsia="仿宋_GB2312"/>
          <w:color w:val="auto"/>
          <w:sz w:val="32"/>
          <w:szCs w:val="24"/>
          <w:lang w:val="zh-CN"/>
        </w:rPr>
        <w:t>）负责乡村振兴、新农村建设和推进城乡一体化的组织和实施。（</w:t>
      </w:r>
      <w:r>
        <w:rPr>
          <w:rFonts w:hint="eastAsia" w:ascii="仿宋_GB2312" w:hAnsi="仿宋_GB2312" w:eastAsia="仿宋_GB2312"/>
          <w:color w:val="auto"/>
          <w:sz w:val="32"/>
          <w:szCs w:val="24"/>
        </w:rPr>
        <w:t>4</w:t>
      </w:r>
      <w:r>
        <w:rPr>
          <w:rFonts w:hint="eastAsia" w:ascii="仿宋_GB2312" w:hAnsi="仿宋_GB2312" w:eastAsia="仿宋_GB2312"/>
          <w:color w:val="auto"/>
          <w:sz w:val="32"/>
          <w:szCs w:val="24"/>
          <w:lang w:val="zh-CN"/>
        </w:rPr>
        <w:t>）负责辖区经济、文化、教育、科学、卫生健康、民政、社会保障、民族宗教、村镇建设、司法、退役军人、扶贫、信访、安全、统计等行政管理和服务工作。</w:t>
      </w:r>
    </w:p>
    <w:p>
      <w:pPr>
        <w:pStyle w:val="2"/>
        <w:keepNext/>
        <w:spacing w:beforeLines="0" w:afterLines="0"/>
        <w:ind w:firstLine="64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2.人员概况</w:t>
      </w:r>
    </w:p>
    <w:p>
      <w:pPr>
        <w:pStyle w:val="2"/>
        <w:keepNext/>
        <w:spacing w:beforeLines="0" w:afterLines="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截止2022年底，我乡实有46人，其中行政编制（含行政工勤）22人，事业编制（含事业工勤）24人。</w:t>
      </w:r>
    </w:p>
    <w:p>
      <w:pPr>
        <w:pStyle w:val="2"/>
        <w:keepNext/>
        <w:numPr>
          <w:ilvl w:val="0"/>
          <w:numId w:val="2"/>
        </w:numPr>
        <w:spacing w:beforeLines="0" w:afterLines="0"/>
        <w:ind w:firstLine="641"/>
        <w:outlineLvl w:val="2"/>
        <w:rPr>
          <w:rFonts w:hint="eastAsia" w:ascii="楷体_GB2312" w:hAnsi="楷体_GB2312" w:eastAsia="楷体_GB2312"/>
          <w:b/>
          <w:color w:val="auto"/>
          <w:sz w:val="32"/>
          <w:szCs w:val="24"/>
          <w:lang w:val="zh-CN"/>
        </w:rPr>
      </w:pPr>
      <w:bookmarkStart w:id="48" w:name="_Toc31775"/>
      <w:bookmarkStart w:id="49" w:name="_Toc1922"/>
      <w:r>
        <w:rPr>
          <w:rFonts w:hint="eastAsia" w:ascii="楷体_GB2312" w:hAnsi="楷体_GB2312" w:eastAsia="楷体_GB2312"/>
          <w:b/>
          <w:color w:val="auto"/>
          <w:sz w:val="32"/>
          <w:szCs w:val="24"/>
          <w:lang w:val="zh-CN"/>
        </w:rPr>
        <w:t>年度主要工作任务。</w:t>
      </w:r>
      <w:bookmarkEnd w:id="48"/>
      <w:bookmarkEnd w:id="49"/>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1</w:t>
      </w:r>
      <w:r>
        <w:rPr>
          <w:rFonts w:hint="eastAsia" w:ascii="仿宋_GB2312" w:hAnsi="仿宋_GB2312" w:eastAsia="仿宋_GB2312"/>
          <w:color w:val="auto"/>
          <w:sz w:val="32"/>
          <w:szCs w:val="24"/>
          <w:lang w:val="zh-CN"/>
        </w:rPr>
        <w:t>）以党的政治建设为核心，捍卫“两个确立”，带头做到“两个维护”。坚持以党的二十大精神和习近平新时代中国特色社会主义思想为指导，加强理论学习和运用党的百年奋斗历史经验用于指导实践，发扬伟大建党精神，把学习贯彻好党的十九届六中全会，省、市、县会议精神作为重要政治任务抓落实，毫不放松抓好党的政治建设，切实提高政治判断力、政治领悟力、政治执行力，坚决拥护“两个确立”、带头做到“两个维护”。</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2</w:t>
      </w:r>
      <w:r>
        <w:rPr>
          <w:rFonts w:hint="eastAsia" w:ascii="仿宋_GB2312" w:hAnsi="仿宋_GB2312" w:eastAsia="仿宋_GB2312"/>
          <w:color w:val="auto"/>
          <w:sz w:val="32"/>
          <w:szCs w:val="24"/>
          <w:lang w:val="zh-CN"/>
        </w:rPr>
        <w:t>）致力谋发展、兴产业，抢抓乡村振兴发展机遇。全年全乡粮食播种面积2万余亩，产量超7000吨，产值2000余万元；生猪养殖1.4万余头，市值3300余万元，牛养殖2000余头，市值2500余万元，羊养殖近2.3万只，产值约合4000万元，小家禽30余万羽，市值超600万元，全年发展家庭农场12户，新增县级示范场2户，市级示范场1户（待批复）。</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3</w:t>
      </w:r>
      <w:r>
        <w:rPr>
          <w:rFonts w:hint="eastAsia" w:ascii="仿宋_GB2312" w:hAnsi="仿宋_GB2312" w:eastAsia="仿宋_GB2312"/>
          <w:color w:val="auto"/>
          <w:sz w:val="32"/>
          <w:szCs w:val="24"/>
          <w:lang w:val="zh-CN"/>
        </w:rPr>
        <w:t>）着力破解交通瓶颈，突破基础设施难题。一是向上争取破解交通瓶颈。按照“升级两条路、建成一座桥（先期建轮渡）”的共和乡破解交通瓶颈发展思路，成立“盐边县共和乡村发展有限公司”推动共和码头轮渡项目，综合显现经济和社会效益，柏观路共和码头至三王庙段拓宽工程已完成初设，共红路已完成三王庙至太田村段增设错车道和拓宽的设计，太坪村部至太田村路段预计年底建成。二是持续完善基础设施建设。结合移民后扶、畅通工程及乡村振兴，积极谋划累计争取1000余万元资金，新建和改扩建乡内道路17余公里，新建蓄水池8座。三是激活市场主体并加大社会固定资产投资。乡级入库固定资产项目3.5亿元，实际完成投资2亿元，全乡发展专合社27个。</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4</w:t>
      </w:r>
      <w:r>
        <w:rPr>
          <w:rFonts w:hint="eastAsia" w:ascii="仿宋_GB2312" w:hAnsi="仿宋_GB2312" w:eastAsia="仿宋_GB2312"/>
          <w:color w:val="auto"/>
          <w:sz w:val="32"/>
          <w:szCs w:val="24"/>
          <w:lang w:val="zh-CN"/>
        </w:rPr>
        <w:t>）持续强保障、惠民生，群众幸福指数不断提高。一是社会保障体系日臻完善。“春风送岗”完成困难家庭每户至少有1名适宜劳动力实现就近或转移就业目标，办理养老保险参保5090人，待遇享受1882人，医保参保率98%。就业培训300余人次，志愿者帮助服务10次，“两癌”筛查、孕前优检150人次。在共和乡中心学校放映农村公益电影100余场次，通过市级健康乡镇验收评估，乡村幸福感热度持续上升。二是持续开展社会救助和优抚优待工作。持续开展农村最低生活保障动态评定，入户调查30余次，动态评定减少81户，共计251人，新增26户，共计46人，全年发放农村“低保”金共计190余万元。发放集中和分散供养人员救助供养金共计67余万元；发放残疾人补贴和各类救助资金合计21.2万余元；发放高龄津贴共计17万余元。三是全力做好武装、民兵、退役军人事务工作。全年共输送合格入伍新兵4人，高质量完成征兵任务，完成127人退役军人的建档立卡，申请5人纳入困难退役军人关爱帮扶专项基金进行帮扶，走访困难退役军人及家属20余次，发放慰问金1.54万余元。四是全面助力攀枝花市文明城市创建工作。以全国文明城市创建点为学习目标，对标对表，抓好辖区内重点区域和细小环节的综合整治。注重环境卫生和全民素质的综合提升，从大处着眼、小处着手，投入6万余元成功实施共和街道照明工程。</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5</w:t>
      </w:r>
      <w:r>
        <w:rPr>
          <w:rFonts w:hint="eastAsia" w:ascii="仿宋_GB2312" w:hAnsi="仿宋_GB2312" w:eastAsia="仿宋_GB2312"/>
          <w:color w:val="auto"/>
          <w:sz w:val="32"/>
          <w:szCs w:val="24"/>
          <w:lang w:val="zh-CN"/>
        </w:rPr>
        <w:t>）注重抓统筹，社会治理体系取得新进步。一是强化基层治理。坚持以人民为中心的发展思想，以防范化解辖区社会治理难题为突破口，不断完善党委领导、政府负责、民主协商、社会协同、公众参与、法治保障、科技支撑的社会治理体系，力将矛盾纠纷大事化小，小事化了，防止纠纷扩大化。截止目前，全乡共排查调处各类矛盾纠纷25起，调解成功25起，成功率达100%。二是持续性开展反电信诈骗、防范非法集资、防范养老诈骗和反邪教宣传。发放反诈骗宣传单1000余份，利用“村村响”持续滚动播放反诈骗宣传音频。开展“崇尚科学，反对邪教”主题宣讲会5次。举办防范养老诈骗知识大讲堂1次、防范养老诈骗专题座谈会1次，制作反诈骗宣传微视频2个，推送至乡村工作群，警示提醒群众。通过深入宣传，辖区群众防邪反邪意识明显提升。三是筑牢安全生产防线。组织开展“消除事故隐患，筑牢安全防线”安全生产月活动、“打非治违”百日行动、应急救援培训、地质灾害防治及地震应急避险演练等活动。今年以来，全乡共召开“大安全”工作会议20次，组织应急避险演练15次，查处交通违法行为150余起，其中简易处罚32起、一般程序处罚12起。深入到辖区学校、商铺等开展大规模督查活动68次，发现安全隐患30处，整改30处，在全部督促整改落实到位的基础上进一步开展安全生产大检查“回头看”，确保所有隐患问题不复发，努力营造全乡安全生产的良好氛围，建设人人有责、人人尽责、人人享有的社会治理共同体，实现全年安全责任事故死亡为零的目标。</w:t>
      </w:r>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rPr>
        <w:t>6</w:t>
      </w:r>
      <w:r>
        <w:rPr>
          <w:rFonts w:hint="eastAsia" w:ascii="仿宋_GB2312" w:hAnsi="仿宋_GB2312" w:eastAsia="仿宋_GB2312"/>
          <w:color w:val="auto"/>
          <w:sz w:val="32"/>
          <w:szCs w:val="24"/>
          <w:lang w:val="zh-CN"/>
        </w:rPr>
        <w:t>）坚持抓攻坚，翻身阻击战持续推进。一是坚决打赢疫情防控遭遇战、阻击战。累计摸排入（返）乡人员653人，疫苗接种3—11岁269人，完成任务值的90.57%，12岁（含）以上疫苗第一剂接种4784人，完成任务值的100.36%，第二剂接种4183人，完成任务值的93.04%，18岁及以上人群加强针接种2956人，60岁以上人群基础免疫1125人，扎实推动全员核酸检测全覆盖，全民防疫屏障初步形成。二是坚决打赢森林草原防灭火专项整治翻身战。召开三级干部大会35次，群众大会248次，入户宣传2380人次，投放宣传物资53524份，组建12人半专业打火队1支，村组义务扑火队7支70人，群众义务扑火队27支430人，计划烧除44080亩，“四边”清除79.3公里，落实乡、村、组三级315人包保责任包保农户2134户，全年无火灾责任事故发生。三是加强生态资源持续恢复力度。办理林业行政案件3起，调解林权纠纷争议6起，调处率达100%，关停临时采砂石点3处，义务植树2.201万株，全乡森林覆盖率85%达308520亩。</w:t>
      </w:r>
    </w:p>
    <w:p>
      <w:pPr>
        <w:keepNext/>
        <w:spacing w:line="560" w:lineRule="exact"/>
        <w:ind w:firstLine="643"/>
        <w:outlineLvl w:val="2"/>
        <w:rPr>
          <w:rFonts w:hint="eastAsia" w:ascii="楷体_GB2312" w:hAnsi="楷体_GB2312" w:eastAsia="楷体_GB2312"/>
          <w:b/>
          <w:color w:val="auto"/>
          <w:sz w:val="32"/>
          <w:szCs w:val="24"/>
          <w:lang w:val="zh-CN"/>
        </w:rPr>
      </w:pPr>
      <w:bookmarkStart w:id="50" w:name="_Toc22407"/>
      <w:bookmarkStart w:id="51" w:name="_Toc18593"/>
      <w:r>
        <w:rPr>
          <w:rFonts w:hint="eastAsia" w:ascii="楷体_GB2312" w:hAnsi="楷体_GB2312" w:eastAsia="楷体_GB2312"/>
          <w:b/>
          <w:color w:val="auto"/>
          <w:sz w:val="32"/>
          <w:szCs w:val="24"/>
          <w:lang w:val="zh-CN"/>
        </w:rPr>
        <w:t>（四）部门整体支出绩效目标。</w:t>
      </w:r>
      <w:bookmarkEnd w:id="50"/>
      <w:bookmarkEnd w:id="51"/>
    </w:p>
    <w:p>
      <w:pPr>
        <w:pStyle w:val="2"/>
        <w:keepNext/>
        <w:spacing w:beforeLines="0" w:afterLines="0"/>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2022年我</w:t>
      </w:r>
      <w:r>
        <w:rPr>
          <w:rFonts w:hint="eastAsia" w:ascii="仿宋_GB2312" w:hAnsi="仿宋_GB2312" w:eastAsia="仿宋_GB2312"/>
          <w:color w:val="auto"/>
          <w:sz w:val="32"/>
          <w:szCs w:val="24"/>
        </w:rPr>
        <w:t>乡</w:t>
      </w:r>
      <w:r>
        <w:rPr>
          <w:rFonts w:hint="eastAsia" w:ascii="仿宋_GB2312" w:hAnsi="仿宋_GB2312" w:eastAsia="仿宋_GB2312"/>
          <w:color w:val="auto"/>
          <w:sz w:val="32"/>
          <w:szCs w:val="24"/>
          <w:lang w:val="zh-CN"/>
        </w:rPr>
        <w:t>部门整体支出绩效自评结果良好，全年贯彻落实过紧日子的要求，基本支出保障了单位的正常运转，项目支出保障了重点项目的推进。2022年度全年资金拨付和使用均按计划进度完成，全年经费的拨付和使用均及时、合理，按照项目资金管理办法实行专款专用，坚决执行国家有关法律法规和财务管理制度，厉行节约，杜绝奢侈浪费，量入为出，保障重点，兼顾一般，严格专款专用，防止截留、挤占、挪用等问题发生，确保资金安全、规范、有效使用。</w:t>
      </w:r>
    </w:p>
    <w:p>
      <w:pPr>
        <w:keepNext/>
        <w:spacing w:line="560" w:lineRule="exact"/>
        <w:ind w:firstLine="640"/>
        <w:outlineLvl w:val="1"/>
        <w:rPr>
          <w:rFonts w:hint="eastAsia" w:ascii="黑体" w:hAnsi="黑体" w:eastAsia="黑体"/>
          <w:color w:val="auto"/>
          <w:sz w:val="32"/>
          <w:szCs w:val="24"/>
          <w:lang w:val="en-US"/>
        </w:rPr>
      </w:pPr>
      <w:bookmarkStart w:id="52" w:name="_Toc2847"/>
      <w:r>
        <w:rPr>
          <w:rFonts w:hint="eastAsia" w:ascii="黑体" w:hAnsi="黑体" w:eastAsia="黑体"/>
          <w:color w:val="auto"/>
          <w:sz w:val="32"/>
          <w:szCs w:val="24"/>
          <w:lang w:val="en-US"/>
        </w:rPr>
        <w:t>二、部门资金收支情况</w:t>
      </w:r>
      <w:bookmarkEnd w:id="52"/>
    </w:p>
    <w:p>
      <w:pPr>
        <w:keepNext/>
        <w:spacing w:line="560" w:lineRule="exact"/>
        <w:ind w:firstLine="643"/>
        <w:outlineLvl w:val="2"/>
        <w:rPr>
          <w:rFonts w:hint="eastAsia" w:ascii="楷体_GB2312" w:hAnsi="楷体_GB2312" w:eastAsia="楷体_GB2312"/>
          <w:b/>
          <w:color w:val="auto"/>
          <w:sz w:val="32"/>
          <w:szCs w:val="24"/>
          <w:lang w:val="zh-CN"/>
        </w:rPr>
      </w:pPr>
      <w:bookmarkStart w:id="53" w:name="_Toc5046"/>
      <w:bookmarkStart w:id="54" w:name="_Toc20098"/>
      <w:r>
        <w:rPr>
          <w:rFonts w:hint="eastAsia" w:ascii="楷体_GB2312" w:hAnsi="楷体_GB2312" w:eastAsia="楷体_GB2312"/>
          <w:b/>
          <w:color w:val="auto"/>
          <w:sz w:val="32"/>
          <w:szCs w:val="24"/>
          <w:lang w:val="zh-CN"/>
        </w:rPr>
        <w:t>（一）部门总体收支情况。</w:t>
      </w:r>
      <w:bookmarkEnd w:id="53"/>
      <w:bookmarkEnd w:id="54"/>
    </w:p>
    <w:p>
      <w:pPr>
        <w:keepNext/>
        <w:spacing w:line="560" w:lineRule="exact"/>
        <w:ind w:firstLine="640" w:firstLineChars="20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1.部门总体收入情况</w:t>
      </w:r>
    </w:p>
    <w:p>
      <w:pPr>
        <w:pStyle w:val="2"/>
        <w:keepNext/>
        <w:spacing w:beforeLines="0" w:afterLines="0"/>
        <w:ind w:firstLine="640"/>
        <w:rPr>
          <w:rFonts w:hint="eastAsia"/>
          <w:sz w:val="21"/>
          <w:szCs w:val="24"/>
        </w:rPr>
      </w:pPr>
      <w:r>
        <w:rPr>
          <w:rFonts w:hint="eastAsia" w:ascii="仿宋_GB2312" w:hAnsi="仿宋_GB2312" w:eastAsia="仿宋_GB2312"/>
          <w:color w:val="auto"/>
          <w:sz w:val="32"/>
          <w:szCs w:val="24"/>
        </w:rPr>
        <w:t>2022年度预算收入1487万元，其中一般公共预算财政拨款收入1437万元，占比96.6%；其他收入50万元，占比3.4%。</w:t>
      </w:r>
    </w:p>
    <w:p>
      <w:pPr>
        <w:keepNext/>
        <w:numPr>
          <w:ilvl w:val="0"/>
          <w:numId w:val="0"/>
        </w:numPr>
        <w:spacing w:line="560" w:lineRule="exact"/>
        <w:ind w:firstLine="640" w:firstLineChars="20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eastAsia="zh-CN"/>
        </w:rPr>
        <w:t>2.</w:t>
      </w:r>
      <w:r>
        <w:rPr>
          <w:rFonts w:hint="eastAsia" w:ascii="仿宋_GB2312" w:hAnsi="仿宋_GB2312" w:eastAsia="仿宋_GB2312"/>
          <w:color w:val="auto"/>
          <w:sz w:val="32"/>
          <w:szCs w:val="24"/>
          <w:lang w:val="en-US"/>
        </w:rPr>
        <w:t>部门总体支出情况</w:t>
      </w:r>
    </w:p>
    <w:p>
      <w:pPr>
        <w:pStyle w:val="2"/>
        <w:keepNext/>
        <w:spacing w:beforeLines="0" w:afterLines="0"/>
        <w:ind w:firstLine="64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2022年度预算支出1482万元，其中基本支出1017万元，占比68.6%；项目支出465万元，占比31.4%。</w:t>
      </w:r>
    </w:p>
    <w:p>
      <w:pPr>
        <w:keepNext/>
        <w:numPr>
          <w:ilvl w:val="0"/>
          <w:numId w:val="0"/>
        </w:numPr>
        <w:spacing w:line="560" w:lineRule="exact"/>
        <w:ind w:firstLine="640" w:firstLineChars="20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eastAsia="zh-CN"/>
        </w:rPr>
        <w:t>3.</w:t>
      </w:r>
      <w:r>
        <w:rPr>
          <w:rFonts w:hint="eastAsia" w:ascii="仿宋_GB2312" w:hAnsi="仿宋_GB2312" w:eastAsia="仿宋_GB2312"/>
          <w:color w:val="auto"/>
          <w:sz w:val="32"/>
          <w:szCs w:val="24"/>
          <w:lang w:val="en-US"/>
        </w:rPr>
        <w:t>部门总体结转结余情况</w:t>
      </w:r>
    </w:p>
    <w:p>
      <w:pPr>
        <w:pStyle w:val="2"/>
        <w:keepNext/>
        <w:numPr>
          <w:ilvl w:val="0"/>
          <w:numId w:val="0"/>
        </w:numPr>
        <w:spacing w:beforeLines="0" w:afterLines="0"/>
        <w:ind w:firstLine="640"/>
        <w:rPr>
          <w:rFonts w:hint="eastAsia" w:ascii="仿宋_GB2312" w:hAnsi="仿宋_GB2312" w:eastAsia="仿宋_GB2312"/>
          <w:color w:val="auto"/>
          <w:kern w:val="0"/>
          <w:sz w:val="32"/>
          <w:szCs w:val="24"/>
        </w:rPr>
      </w:pPr>
      <w:r>
        <w:rPr>
          <w:rFonts w:hint="eastAsia" w:ascii="仿宋_GB2312" w:hAnsi="仿宋_GB2312" w:eastAsia="仿宋_GB2312"/>
          <w:color w:val="auto"/>
          <w:kern w:val="0"/>
          <w:sz w:val="32"/>
          <w:szCs w:val="24"/>
        </w:rPr>
        <w:t>2022年度年末结转和结余5万元。</w:t>
      </w:r>
    </w:p>
    <w:p>
      <w:pPr>
        <w:keepNext/>
        <w:spacing w:line="560" w:lineRule="exact"/>
        <w:ind w:firstLine="643"/>
        <w:outlineLvl w:val="2"/>
        <w:rPr>
          <w:rFonts w:hint="eastAsia" w:ascii="楷体_GB2312" w:hAnsi="楷体_GB2312" w:eastAsia="楷体_GB2312"/>
          <w:b/>
          <w:color w:val="auto"/>
          <w:sz w:val="32"/>
          <w:szCs w:val="24"/>
          <w:lang w:val="zh-CN"/>
        </w:rPr>
      </w:pPr>
      <w:bookmarkStart w:id="55" w:name="_Toc14674"/>
      <w:bookmarkStart w:id="56" w:name="_Toc20088"/>
      <w:r>
        <w:rPr>
          <w:rFonts w:hint="eastAsia" w:ascii="楷体_GB2312" w:hAnsi="楷体_GB2312" w:eastAsia="楷体_GB2312"/>
          <w:b/>
          <w:color w:val="auto"/>
          <w:sz w:val="32"/>
          <w:szCs w:val="24"/>
          <w:lang w:val="zh-CN"/>
        </w:rPr>
        <w:t>（二）部门财政拨款收支情况。</w:t>
      </w:r>
      <w:bookmarkEnd w:id="55"/>
      <w:bookmarkEnd w:id="56"/>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1.部门财政拨款收入情况</w:t>
      </w:r>
    </w:p>
    <w:p>
      <w:pPr>
        <w:pStyle w:val="2"/>
        <w:keepNext/>
        <w:spacing w:beforeLines="0" w:afterLines="0"/>
        <w:rPr>
          <w:rFonts w:hint="eastAsia" w:ascii="仿宋_GB2312" w:hAnsi="仿宋_GB2312" w:eastAsia="仿宋_GB2312"/>
          <w:color w:val="auto"/>
          <w:kern w:val="0"/>
          <w:sz w:val="32"/>
          <w:szCs w:val="24"/>
        </w:rPr>
      </w:pPr>
      <w:r>
        <w:rPr>
          <w:rFonts w:hint="eastAsia" w:ascii="仿宋_GB2312" w:hAnsi="仿宋_GB2312" w:eastAsia="仿宋_GB2312"/>
          <w:color w:val="auto"/>
          <w:kern w:val="0"/>
          <w:sz w:val="32"/>
          <w:szCs w:val="24"/>
        </w:rPr>
        <w:t>2022年度财政拨款收入1437元。</w:t>
      </w:r>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2.部门财政拨款支出情况</w:t>
      </w:r>
    </w:p>
    <w:p>
      <w:pPr>
        <w:pStyle w:val="2"/>
        <w:keepNext/>
        <w:spacing w:beforeLines="0" w:afterLines="0"/>
        <w:rPr>
          <w:rFonts w:hint="eastAsia" w:ascii="仿宋_GB2312" w:hAnsi="仿宋_GB2312" w:eastAsia="仿宋_GB2312"/>
          <w:color w:val="auto"/>
          <w:kern w:val="0"/>
          <w:sz w:val="32"/>
          <w:szCs w:val="24"/>
        </w:rPr>
      </w:pPr>
      <w:r>
        <w:rPr>
          <w:rFonts w:hint="eastAsia" w:ascii="仿宋_GB2312" w:hAnsi="仿宋_GB2312" w:eastAsia="仿宋_GB2312"/>
          <w:color w:val="auto"/>
          <w:kern w:val="0"/>
          <w:sz w:val="32"/>
          <w:szCs w:val="24"/>
        </w:rPr>
        <w:t>2022年度财政拨款支出1482元。</w:t>
      </w:r>
    </w:p>
    <w:p>
      <w:pPr>
        <w:pStyle w:val="2"/>
        <w:keepNext/>
        <w:spacing w:beforeLines="0" w:afterLines="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3.部门财政拨款结转结余情况</w:t>
      </w:r>
    </w:p>
    <w:p>
      <w:pPr>
        <w:pStyle w:val="2"/>
        <w:keepNext/>
        <w:spacing w:beforeLines="0" w:afterLines="0"/>
        <w:rPr>
          <w:rFonts w:hint="eastAsia" w:ascii="仿宋_GB2312" w:hAnsi="仿宋_GB2312" w:eastAsia="仿宋_GB2312"/>
          <w:color w:val="auto"/>
          <w:kern w:val="0"/>
          <w:sz w:val="32"/>
          <w:szCs w:val="24"/>
        </w:rPr>
      </w:pPr>
      <w:r>
        <w:rPr>
          <w:rFonts w:hint="eastAsia" w:ascii="仿宋_GB2312" w:hAnsi="仿宋_GB2312" w:eastAsia="仿宋_GB2312"/>
          <w:color w:val="auto"/>
          <w:kern w:val="0"/>
          <w:sz w:val="32"/>
          <w:szCs w:val="24"/>
        </w:rPr>
        <w:t>2022年度财政拨款结转结余5万元。</w:t>
      </w:r>
    </w:p>
    <w:p>
      <w:pPr>
        <w:pStyle w:val="2"/>
        <w:keepNext/>
        <w:numPr>
          <w:ilvl w:val="0"/>
          <w:numId w:val="3"/>
        </w:numPr>
        <w:spacing w:beforeLines="0" w:afterLines="0"/>
        <w:ind w:firstLine="420"/>
        <w:rPr>
          <w:rFonts w:hint="eastAsia" w:ascii="黑体" w:hAnsi="黑体" w:eastAsia="黑体"/>
          <w:color w:val="auto"/>
          <w:sz w:val="32"/>
          <w:szCs w:val="24"/>
        </w:rPr>
      </w:pPr>
      <w:r>
        <w:rPr>
          <w:rFonts w:hint="eastAsia" w:ascii="黑体" w:hAnsi="黑体" w:eastAsia="黑体"/>
          <w:color w:val="auto"/>
          <w:sz w:val="32"/>
          <w:szCs w:val="24"/>
        </w:rPr>
        <w:t>部门整体绩效分析（根据适用指标体系进行调整，涉及到有专项资金预算项目的部门，专项资金预算项目自评报告作为本报告附件一并公开）</w:t>
      </w:r>
    </w:p>
    <w:p>
      <w:pPr>
        <w:pStyle w:val="2"/>
        <w:keepNext/>
        <w:numPr>
          <w:ilvl w:val="0"/>
          <w:numId w:val="0"/>
        </w:numPr>
        <w:spacing w:beforeLines="0" w:afterLines="0"/>
        <w:ind w:firstLine="641"/>
        <w:outlineLvl w:val="2"/>
        <w:rPr>
          <w:rFonts w:hint="eastAsia" w:ascii="仿宋_GB2312" w:hAnsi="仿宋_GB2312" w:eastAsia="仿宋_GB2312"/>
          <w:color w:val="auto"/>
          <w:sz w:val="32"/>
          <w:szCs w:val="24"/>
          <w:lang w:val="zh-CN"/>
        </w:rPr>
      </w:pPr>
      <w:bookmarkStart w:id="57" w:name="_Toc19924"/>
      <w:bookmarkStart w:id="58" w:name="_Toc28713"/>
      <w:r>
        <w:rPr>
          <w:rFonts w:hint="eastAsia" w:ascii="楷体_GB2312" w:hAnsi="楷体_GB2312" w:eastAsia="楷体_GB2312"/>
          <w:b/>
          <w:color w:val="auto"/>
          <w:sz w:val="32"/>
          <w:szCs w:val="24"/>
          <w:lang w:val="zh-CN"/>
        </w:rPr>
        <w:t>（一）部门预算项目绩效分析。</w:t>
      </w:r>
      <w:bookmarkEnd w:id="57"/>
      <w:bookmarkEnd w:id="58"/>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1.人员类项目绩效分析</w:t>
      </w:r>
    </w:p>
    <w:p>
      <w:pPr>
        <w:keepNext/>
        <w:spacing w:line="560" w:lineRule="exact"/>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w:t>
      </w:r>
      <w:r>
        <w:rPr>
          <w:rFonts w:hint="eastAsia" w:ascii="仿宋_GB2312" w:hAnsi="仿宋_GB2312" w:eastAsia="仿宋_GB2312"/>
          <w:color w:val="auto"/>
          <w:sz w:val="32"/>
          <w:szCs w:val="24"/>
          <w:lang w:val="en-US" w:eastAsia="zh-CN"/>
        </w:rPr>
        <w:t>1</w:t>
      </w:r>
      <w:r>
        <w:rPr>
          <w:rFonts w:hint="eastAsia" w:ascii="仿宋_GB2312" w:hAnsi="仿宋_GB2312" w:eastAsia="仿宋_GB2312"/>
          <w:color w:val="auto"/>
          <w:sz w:val="32"/>
          <w:szCs w:val="24"/>
          <w:lang w:val="zh-CN"/>
        </w:rPr>
        <w:t>）部门绩效目标制定</w:t>
      </w:r>
    </w:p>
    <w:p>
      <w:pPr>
        <w:pStyle w:val="2"/>
        <w:keepNext/>
        <w:spacing w:beforeLines="0" w:afterLines="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2022年，盐边县共和乡人民政府严格落实《预算法》及省、市、县绩效管理工作的有关规定编制了部门预算，按照县委、县政府总体部署，结合部门工作职能和工作实际制定部门整体绩效目标，所有项目支出均纳入绩效管理，制定绩效目标。在预算执行中，我乡强化支出绩效理念，提升部门责任意识，提高资金使用效率，保障我乡全面履行职能职责，保证机构正常运行，圆满完成年度职能目标任务。</w:t>
      </w:r>
    </w:p>
    <w:p>
      <w:pPr>
        <w:pStyle w:val="2"/>
        <w:keepNext/>
        <w:numPr>
          <w:ilvl w:val="0"/>
          <w:numId w:val="4"/>
        </w:numPr>
        <w:spacing w:beforeLines="0" w:afterLines="0"/>
        <w:ind w:firstLine="42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目标实现</w:t>
      </w:r>
    </w:p>
    <w:p>
      <w:pPr>
        <w:pStyle w:val="2"/>
        <w:keepNext/>
        <w:numPr>
          <w:ilvl w:val="0"/>
          <w:numId w:val="0"/>
        </w:numPr>
        <w:spacing w:beforeLines="0" w:afterLines="0"/>
        <w:ind w:firstLine="640"/>
        <w:rPr>
          <w:rFonts w:hint="eastAsia" w:ascii="仿宋_GB2312" w:hAnsi="仿宋_GB2312" w:eastAsia="仿宋_GB2312"/>
          <w:color w:val="auto"/>
          <w:sz w:val="32"/>
          <w:szCs w:val="24"/>
        </w:rPr>
      </w:pPr>
      <w:r>
        <w:rPr>
          <w:rFonts w:hint="eastAsia" w:ascii="仿宋_GB2312" w:hAnsi="仿宋_GB2312" w:eastAsia="仿宋_GB2312"/>
          <w:color w:val="auto"/>
          <w:sz w:val="32"/>
          <w:szCs w:val="24"/>
        </w:rPr>
        <w:t>2022年盐边县共和乡人民政府人员类支出896万元，主要用于：职工工资福利、社会</w:t>
      </w:r>
      <w:bookmarkStart w:id="283" w:name="_GoBack"/>
      <w:bookmarkEnd w:id="283"/>
      <w:r>
        <w:rPr>
          <w:rFonts w:hint="eastAsia" w:ascii="仿宋_GB2312" w:hAnsi="仿宋_GB2312" w:eastAsia="仿宋_GB2312"/>
          <w:color w:val="auto"/>
          <w:sz w:val="32"/>
          <w:szCs w:val="24"/>
        </w:rPr>
        <w:t>保险缴费、公积金、抚恤金、生活补助等支出，均按月足额及时进行拨付，预算执行率100%，确保全年平稳保障职工工资福利支出，维持单位基本运转。</w:t>
      </w:r>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2.运转类项目绩效分析</w:t>
      </w:r>
    </w:p>
    <w:p>
      <w:pPr>
        <w:keepNext/>
        <w:spacing w:line="560" w:lineRule="exact"/>
        <w:ind w:firstLine="640"/>
        <w:rPr>
          <w:rFonts w:hint="eastAsia" w:ascii="仿宋_GB2312" w:hAnsi="仿宋_GB2312" w:eastAsia="仿宋_GB2312"/>
          <w:color w:val="auto"/>
          <w:kern w:val="2"/>
          <w:sz w:val="32"/>
          <w:szCs w:val="24"/>
          <w:lang w:val="en-US" w:eastAsia="zh-CN"/>
        </w:rPr>
      </w:pPr>
      <w:r>
        <w:rPr>
          <w:rFonts w:hint="eastAsia" w:ascii="仿宋_GB2312" w:hAnsi="仿宋_GB2312" w:eastAsia="仿宋_GB2312"/>
          <w:color w:val="auto"/>
          <w:kern w:val="2"/>
          <w:sz w:val="32"/>
          <w:szCs w:val="24"/>
          <w:lang w:val="en-US" w:eastAsia="zh-CN"/>
        </w:rPr>
        <w:t>2022年盐边县共和乡人民政府公用经费支出121万元，主要用于办公费、水费、电费、邮电费、差旅费、维修（护）费、会议费、劳务费、工会经费、福利费、公务用车运行维护费、其他交通费、其他商品和服务支出等，我乡严格按照资金用途申报、使用资金，均已足额按时支付，有力保障了我局机构正常运行和各项工作任务的完成，预算执行率100%。</w:t>
      </w:r>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3.特定目标类项目绩效分析</w:t>
      </w:r>
    </w:p>
    <w:p>
      <w:pPr>
        <w:keepNext/>
        <w:spacing w:line="560" w:lineRule="exact"/>
        <w:ind w:firstLine="643"/>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2022年盐边县</w:t>
      </w:r>
      <w:r>
        <w:rPr>
          <w:rFonts w:hint="eastAsia" w:ascii="仿宋_GB2312" w:hAnsi="仿宋_GB2312" w:eastAsia="仿宋_GB2312"/>
          <w:color w:val="auto"/>
          <w:sz w:val="32"/>
          <w:szCs w:val="24"/>
          <w:lang w:val="en-US" w:eastAsia="zh-CN"/>
        </w:rPr>
        <w:t>共和乡人民政府</w:t>
      </w:r>
      <w:r>
        <w:rPr>
          <w:rFonts w:hint="eastAsia" w:ascii="仿宋_GB2312" w:hAnsi="仿宋_GB2312" w:eastAsia="仿宋_GB2312"/>
          <w:color w:val="auto"/>
          <w:sz w:val="32"/>
          <w:szCs w:val="24"/>
          <w:lang w:val="en-US"/>
        </w:rPr>
        <w:t>项目支出</w:t>
      </w:r>
      <w:r>
        <w:rPr>
          <w:rFonts w:hint="eastAsia" w:ascii="仿宋_GB2312" w:hAnsi="仿宋_GB2312" w:eastAsia="仿宋_GB2312"/>
          <w:color w:val="auto"/>
          <w:sz w:val="32"/>
          <w:szCs w:val="24"/>
          <w:lang w:val="en-US" w:eastAsia="zh-CN"/>
        </w:rPr>
        <w:t>465</w:t>
      </w:r>
      <w:r>
        <w:rPr>
          <w:rFonts w:hint="eastAsia" w:ascii="仿宋_GB2312" w:hAnsi="仿宋_GB2312" w:eastAsia="仿宋_GB2312"/>
          <w:color w:val="auto"/>
          <w:sz w:val="32"/>
          <w:szCs w:val="24"/>
          <w:lang w:val="en-US"/>
        </w:rPr>
        <w:t>万元，其中：商品和服务支出</w:t>
      </w:r>
      <w:r>
        <w:rPr>
          <w:rFonts w:hint="eastAsia" w:ascii="仿宋_GB2312" w:hAnsi="仿宋_GB2312" w:eastAsia="仿宋_GB2312"/>
          <w:color w:val="auto"/>
          <w:sz w:val="32"/>
          <w:szCs w:val="24"/>
          <w:lang w:val="en-US" w:eastAsia="zh-CN"/>
        </w:rPr>
        <w:t>26</w:t>
      </w:r>
      <w:r>
        <w:rPr>
          <w:rFonts w:hint="eastAsia" w:ascii="仿宋_GB2312" w:hAnsi="仿宋_GB2312" w:eastAsia="仿宋_GB2312"/>
          <w:color w:val="auto"/>
          <w:sz w:val="32"/>
          <w:szCs w:val="24"/>
          <w:lang w:val="en-US"/>
        </w:rPr>
        <w:t>万元，对个人和家庭的补助支出</w:t>
      </w:r>
      <w:r>
        <w:rPr>
          <w:rFonts w:hint="eastAsia" w:ascii="仿宋_GB2312" w:hAnsi="仿宋_GB2312" w:eastAsia="仿宋_GB2312"/>
          <w:color w:val="auto"/>
          <w:sz w:val="32"/>
          <w:szCs w:val="24"/>
          <w:lang w:val="en-US" w:eastAsia="zh-CN"/>
        </w:rPr>
        <w:t>76</w:t>
      </w:r>
      <w:r>
        <w:rPr>
          <w:rFonts w:hint="eastAsia" w:ascii="仿宋_GB2312" w:hAnsi="仿宋_GB2312" w:eastAsia="仿宋_GB2312"/>
          <w:color w:val="auto"/>
          <w:sz w:val="32"/>
          <w:szCs w:val="24"/>
          <w:lang w:val="en-US"/>
        </w:rPr>
        <w:t>万元，资本性支出</w:t>
      </w:r>
      <w:r>
        <w:rPr>
          <w:rFonts w:hint="eastAsia" w:ascii="仿宋_GB2312" w:hAnsi="仿宋_GB2312" w:eastAsia="仿宋_GB2312"/>
          <w:color w:val="auto"/>
          <w:sz w:val="32"/>
          <w:szCs w:val="24"/>
          <w:lang w:val="en-US" w:eastAsia="zh-CN"/>
        </w:rPr>
        <w:t>363</w:t>
      </w:r>
      <w:r>
        <w:rPr>
          <w:rFonts w:hint="eastAsia" w:ascii="仿宋_GB2312" w:hAnsi="仿宋_GB2312" w:eastAsia="仿宋_GB2312"/>
          <w:color w:val="auto"/>
          <w:sz w:val="32"/>
          <w:szCs w:val="24"/>
          <w:lang w:val="en-US"/>
        </w:rPr>
        <w:t>万元。</w:t>
      </w:r>
    </w:p>
    <w:p>
      <w:pPr>
        <w:keepNext/>
        <w:spacing w:line="560" w:lineRule="exact"/>
        <w:ind w:firstLine="643"/>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根据预算绩效管理要求，我</w:t>
      </w:r>
      <w:r>
        <w:rPr>
          <w:rFonts w:hint="eastAsia" w:ascii="仿宋_GB2312" w:hAnsi="仿宋_GB2312" w:eastAsia="仿宋_GB2312"/>
          <w:color w:val="auto"/>
          <w:sz w:val="32"/>
          <w:szCs w:val="24"/>
          <w:lang w:val="en-US" w:eastAsia="zh-CN"/>
        </w:rPr>
        <w:t>乡</w:t>
      </w:r>
      <w:r>
        <w:rPr>
          <w:rFonts w:hint="eastAsia" w:ascii="仿宋_GB2312" w:hAnsi="仿宋_GB2312" w:eastAsia="仿宋_GB2312"/>
          <w:color w:val="auto"/>
          <w:sz w:val="32"/>
          <w:szCs w:val="24"/>
          <w:lang w:val="en-US"/>
        </w:rPr>
        <w:t>预算编制阶段所有项目均编制了绩效目标，预算执行过程中，对项目开展绩效监控，严格按照项目资金管理办法管理，严格专款专用，防止了截留、挤占、挪用等问题发生，确保资金安全、规范、有效使用，项目资金按进度支付，预算支付率100%，项目支出绩效目标全部完成。</w:t>
      </w:r>
    </w:p>
    <w:p>
      <w:pPr>
        <w:keepNext/>
        <w:spacing w:line="560" w:lineRule="exact"/>
        <w:ind w:firstLine="643"/>
        <w:outlineLvl w:val="2"/>
        <w:rPr>
          <w:rFonts w:hint="eastAsia" w:ascii="楷体_GB2312" w:hAnsi="楷体_GB2312" w:eastAsia="楷体_GB2312"/>
          <w:b/>
          <w:color w:val="auto"/>
          <w:sz w:val="32"/>
          <w:szCs w:val="24"/>
          <w:lang w:val="zh-CN"/>
        </w:rPr>
      </w:pPr>
      <w:bookmarkStart w:id="59" w:name="_Toc2554"/>
      <w:bookmarkStart w:id="60" w:name="_Toc26255"/>
      <w:r>
        <w:rPr>
          <w:rFonts w:hint="eastAsia" w:ascii="楷体_GB2312" w:hAnsi="楷体_GB2312" w:eastAsia="楷体_GB2312"/>
          <w:b/>
          <w:color w:val="auto"/>
          <w:sz w:val="32"/>
          <w:szCs w:val="24"/>
          <w:lang w:val="zh-CN"/>
        </w:rPr>
        <w:t>（二）部门整体履职绩效分析。</w:t>
      </w:r>
      <w:bookmarkEnd w:id="59"/>
      <w:bookmarkEnd w:id="60"/>
    </w:p>
    <w:p>
      <w:pPr>
        <w:keepNext/>
        <w:spacing w:line="560" w:lineRule="exact"/>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围绕部门整体绩效目标完成情况和部门履职情况进行绩效分析。</w:t>
      </w:r>
    </w:p>
    <w:p>
      <w:pPr>
        <w:keepNext/>
        <w:spacing w:line="560" w:lineRule="exact"/>
        <w:ind w:firstLine="643"/>
        <w:outlineLvl w:val="2"/>
        <w:rPr>
          <w:rFonts w:hint="eastAsia" w:ascii="楷体_GB2312" w:hAnsi="楷体_GB2312" w:eastAsia="楷体_GB2312"/>
          <w:b/>
          <w:color w:val="auto"/>
          <w:sz w:val="32"/>
          <w:szCs w:val="24"/>
          <w:lang w:val="zh-CN"/>
        </w:rPr>
      </w:pPr>
      <w:bookmarkStart w:id="61" w:name="_Toc2933"/>
      <w:bookmarkStart w:id="62" w:name="_Toc28769"/>
      <w:r>
        <w:rPr>
          <w:rFonts w:hint="eastAsia" w:ascii="楷体_GB2312" w:hAnsi="楷体_GB2312" w:eastAsia="楷体_GB2312"/>
          <w:b/>
          <w:color w:val="auto"/>
          <w:sz w:val="32"/>
          <w:szCs w:val="24"/>
          <w:lang w:val="zh-CN"/>
        </w:rPr>
        <w:t>（三）结果应用情况。</w:t>
      </w:r>
      <w:bookmarkEnd w:id="61"/>
      <w:bookmarkEnd w:id="62"/>
    </w:p>
    <w:p>
      <w:pPr>
        <w:keepNext/>
        <w:spacing w:line="560" w:lineRule="exact"/>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1.规定时间内及时在县门户网站设立的预决算公开统一专栏上集中公开部门年初绩效目标表、部门预算整体绩效及项目支出绩效评价表、部门预算整体绩效及项目支出绩效评价表绩效评价报告。</w:t>
      </w:r>
    </w:p>
    <w:p>
      <w:pPr>
        <w:keepNext/>
        <w:spacing w:line="560" w:lineRule="exact"/>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2.加强对绩效管理工作的跟踪督查，做到绩效管理有依据、按程序、有奖惩，实现绩效管理的规范化、常态化。</w:t>
      </w:r>
    </w:p>
    <w:p>
      <w:pPr>
        <w:keepNext/>
        <w:spacing w:line="560" w:lineRule="exact"/>
        <w:ind w:firstLine="640"/>
        <w:rPr>
          <w:rFonts w:hint="eastAsia" w:ascii="仿宋_GB2312" w:hAnsi="仿宋_GB2312" w:eastAsia="仿宋_GB2312"/>
          <w:color w:val="auto"/>
          <w:sz w:val="32"/>
          <w:szCs w:val="24"/>
          <w:lang w:val="zh-CN"/>
        </w:rPr>
      </w:pPr>
      <w:r>
        <w:rPr>
          <w:rFonts w:hint="eastAsia" w:ascii="仿宋_GB2312" w:hAnsi="仿宋_GB2312" w:eastAsia="仿宋_GB2312"/>
          <w:color w:val="auto"/>
          <w:sz w:val="32"/>
          <w:szCs w:val="24"/>
          <w:lang w:val="zh-CN"/>
        </w:rPr>
        <w:t>3.绩效评价结果将作为以后年度项目立项和经费支持的重要依据。</w:t>
      </w:r>
    </w:p>
    <w:p>
      <w:pPr>
        <w:keepNext/>
        <w:spacing w:line="560" w:lineRule="exact"/>
        <w:ind w:firstLine="643"/>
        <w:outlineLvl w:val="2"/>
        <w:rPr>
          <w:rFonts w:hint="eastAsia" w:ascii="楷体_GB2312" w:hAnsi="楷体_GB2312" w:eastAsia="楷体_GB2312"/>
          <w:b/>
          <w:color w:val="auto"/>
          <w:sz w:val="32"/>
          <w:szCs w:val="24"/>
          <w:lang w:val="zh-CN"/>
        </w:rPr>
      </w:pPr>
      <w:bookmarkStart w:id="63" w:name="_Toc19853"/>
      <w:bookmarkStart w:id="64" w:name="_Toc15471"/>
      <w:r>
        <w:rPr>
          <w:rFonts w:hint="eastAsia" w:ascii="楷体_GB2312" w:hAnsi="楷体_GB2312" w:eastAsia="楷体_GB2312"/>
          <w:b/>
          <w:color w:val="auto"/>
          <w:sz w:val="32"/>
          <w:szCs w:val="24"/>
          <w:lang w:val="en-US"/>
        </w:rPr>
        <w:t>（四）</w:t>
      </w:r>
      <w:r>
        <w:rPr>
          <w:rFonts w:hint="eastAsia" w:ascii="楷体_GB2312" w:hAnsi="楷体_GB2312" w:eastAsia="楷体_GB2312"/>
          <w:b/>
          <w:color w:val="auto"/>
          <w:sz w:val="32"/>
          <w:szCs w:val="24"/>
          <w:lang w:val="zh-CN"/>
        </w:rPr>
        <w:t>自评质量。</w:t>
      </w:r>
      <w:bookmarkEnd w:id="63"/>
      <w:bookmarkEnd w:id="64"/>
    </w:p>
    <w:p>
      <w:pPr>
        <w:keepNext/>
        <w:spacing w:line="560" w:lineRule="exact"/>
        <w:ind w:firstLine="640"/>
        <w:rPr>
          <w:rFonts w:hint="eastAsia" w:ascii="仿宋_GB2312" w:hAnsi="仿宋_GB2312" w:eastAsia="仿宋_GB2312"/>
          <w:color w:val="auto"/>
          <w:sz w:val="32"/>
          <w:szCs w:val="24"/>
          <w:lang w:val="en-US"/>
        </w:rPr>
      </w:pPr>
      <w:r>
        <w:rPr>
          <w:rFonts w:hint="eastAsia" w:ascii="仿宋_GB2312" w:hAnsi="仿宋_GB2312" w:eastAsia="仿宋_GB2312"/>
          <w:color w:val="auto"/>
          <w:sz w:val="32"/>
          <w:szCs w:val="24"/>
          <w:lang w:val="en-US"/>
        </w:rPr>
        <w:t>2022年盐边县</w:t>
      </w:r>
      <w:r>
        <w:rPr>
          <w:rFonts w:hint="eastAsia" w:ascii="仿宋_GB2312" w:hAnsi="仿宋_GB2312" w:eastAsia="仿宋_GB2312"/>
          <w:color w:val="auto"/>
          <w:sz w:val="32"/>
          <w:szCs w:val="24"/>
          <w:lang w:val="en-US" w:eastAsia="zh-CN"/>
        </w:rPr>
        <w:t>共和乡人民政府</w:t>
      </w:r>
      <w:r>
        <w:rPr>
          <w:rFonts w:hint="eastAsia" w:ascii="仿宋_GB2312" w:hAnsi="仿宋_GB2312" w:eastAsia="仿宋_GB2312"/>
          <w:color w:val="auto"/>
          <w:sz w:val="32"/>
          <w:szCs w:val="24"/>
          <w:lang w:val="en-US"/>
        </w:rPr>
        <w:t>部门整体支出自评及项目支出自评均按照绩效评价相关要求，安排专人开展工作，</w:t>
      </w:r>
      <w:r>
        <w:rPr>
          <w:rFonts w:hint="eastAsia" w:ascii="仿宋_GB2312" w:hAnsi="仿宋_GB2312" w:eastAsia="仿宋_GB2312"/>
          <w:color w:val="auto"/>
          <w:sz w:val="32"/>
          <w:szCs w:val="24"/>
          <w:lang w:val="en-US" w:eastAsia="zh-CN"/>
        </w:rPr>
        <w:t>实事求是</w:t>
      </w:r>
      <w:r>
        <w:rPr>
          <w:rFonts w:hint="eastAsia" w:ascii="仿宋_GB2312" w:hAnsi="仿宋_GB2312" w:eastAsia="仿宋_GB2312"/>
          <w:color w:val="auto"/>
          <w:sz w:val="32"/>
          <w:szCs w:val="24"/>
          <w:lang w:val="en-US"/>
        </w:rPr>
        <w:t>进行评价。</w:t>
      </w:r>
    </w:p>
    <w:p>
      <w:pPr>
        <w:keepNext/>
        <w:spacing w:line="560" w:lineRule="exact"/>
        <w:ind w:firstLine="640"/>
        <w:outlineLvl w:val="1"/>
        <w:rPr>
          <w:rFonts w:hint="eastAsia" w:ascii="黑体" w:hAnsi="黑体" w:eastAsia="黑体"/>
          <w:color w:val="auto"/>
          <w:sz w:val="32"/>
          <w:szCs w:val="24"/>
          <w:lang w:val="en-US"/>
        </w:rPr>
      </w:pPr>
      <w:bookmarkStart w:id="65" w:name="_Toc16658"/>
      <w:r>
        <w:rPr>
          <w:rFonts w:hint="eastAsia" w:ascii="黑体" w:hAnsi="黑体" w:eastAsia="黑体"/>
          <w:color w:val="auto"/>
          <w:sz w:val="32"/>
          <w:szCs w:val="24"/>
          <w:lang w:val="en-US"/>
        </w:rPr>
        <w:t>四、评价结论及建议</w:t>
      </w:r>
      <w:bookmarkEnd w:id="65"/>
    </w:p>
    <w:p>
      <w:pPr>
        <w:keepNext/>
        <w:spacing w:line="560" w:lineRule="exact"/>
        <w:ind w:firstLine="643"/>
        <w:outlineLvl w:val="2"/>
        <w:rPr>
          <w:rFonts w:hint="eastAsia" w:ascii="楷体_GB2312" w:hAnsi="楷体_GB2312" w:eastAsia="楷体_GB2312"/>
          <w:b/>
          <w:color w:val="auto"/>
          <w:sz w:val="32"/>
          <w:szCs w:val="24"/>
          <w:lang w:val="zh-CN"/>
        </w:rPr>
      </w:pPr>
      <w:bookmarkStart w:id="66" w:name="_Toc5268"/>
      <w:bookmarkStart w:id="67" w:name="_Toc28700"/>
      <w:r>
        <w:rPr>
          <w:rFonts w:hint="eastAsia" w:ascii="楷体_GB2312" w:hAnsi="楷体_GB2312" w:eastAsia="楷体_GB2312"/>
          <w:b/>
          <w:color w:val="auto"/>
          <w:sz w:val="32"/>
          <w:szCs w:val="24"/>
          <w:lang w:val="zh-CN"/>
        </w:rPr>
        <w:t>（一）评价结论。</w:t>
      </w:r>
      <w:bookmarkEnd w:id="66"/>
      <w:bookmarkEnd w:id="67"/>
    </w:p>
    <w:p>
      <w:pPr>
        <w:pStyle w:val="2"/>
        <w:keepNext/>
        <w:spacing w:beforeLines="0" w:afterLines="0"/>
        <w:rPr>
          <w:rFonts w:hint="eastAsia" w:ascii="仿宋_GB2312" w:hAnsi="仿宋_GB2312" w:eastAsia="仿宋_GB2312"/>
          <w:color w:val="auto"/>
          <w:kern w:val="0"/>
          <w:sz w:val="32"/>
          <w:szCs w:val="24"/>
          <w:lang w:val="zh-CN"/>
        </w:rPr>
      </w:pPr>
      <w:r>
        <w:rPr>
          <w:rFonts w:hint="eastAsia" w:ascii="仿宋_GB2312" w:hAnsi="仿宋_GB2312" w:eastAsia="仿宋_GB2312"/>
          <w:color w:val="auto"/>
          <w:kern w:val="0"/>
          <w:sz w:val="32"/>
          <w:szCs w:val="24"/>
          <w:lang w:val="zh-CN"/>
        </w:rPr>
        <w:t>2022年我</w:t>
      </w:r>
      <w:r>
        <w:rPr>
          <w:rFonts w:hint="eastAsia" w:ascii="仿宋_GB2312" w:hAnsi="仿宋_GB2312" w:eastAsia="仿宋_GB2312"/>
          <w:color w:val="auto"/>
          <w:kern w:val="0"/>
          <w:sz w:val="32"/>
          <w:szCs w:val="24"/>
        </w:rPr>
        <w:t>乡</w:t>
      </w:r>
      <w:r>
        <w:rPr>
          <w:rFonts w:hint="eastAsia" w:ascii="仿宋_GB2312" w:hAnsi="仿宋_GB2312" w:eastAsia="仿宋_GB2312"/>
          <w:color w:val="auto"/>
          <w:kern w:val="0"/>
          <w:sz w:val="32"/>
          <w:szCs w:val="24"/>
          <w:lang w:val="zh-CN"/>
        </w:rPr>
        <w:t>预决算编制和预算执行严格按照国家财经法规、预算资金管理办法、财务管理制度以及专项资金管理办法的规定执行，确保无违规使用资金的情况发生。全年部门预算执行率100%。基本支出2022年按月或季度进行申报，其中人员工资按月申报并直接支付，日常公用经费按月进行申报并支付，执行率100%。部门整体支出绩效良好，保障了机关正常运转和完成各项工作，项目资金拨款及时，专款专用。</w:t>
      </w:r>
    </w:p>
    <w:p>
      <w:pPr>
        <w:pStyle w:val="2"/>
        <w:keepNext/>
        <w:numPr>
          <w:ilvl w:val="0"/>
          <w:numId w:val="0"/>
        </w:numPr>
        <w:spacing w:beforeLines="0" w:afterLines="0"/>
        <w:ind w:leftChars="200" w:firstLine="0"/>
        <w:outlineLvl w:val="2"/>
        <w:rPr>
          <w:rFonts w:hint="eastAsia" w:ascii="楷体_GB2312" w:hAnsi="楷体_GB2312" w:eastAsia="楷体_GB2312"/>
          <w:b/>
          <w:color w:val="auto"/>
          <w:sz w:val="32"/>
          <w:szCs w:val="24"/>
          <w:lang w:val="zh-CN"/>
        </w:rPr>
      </w:pPr>
      <w:bookmarkStart w:id="68" w:name="_Toc12864"/>
      <w:bookmarkStart w:id="69" w:name="_Toc25161"/>
      <w:r>
        <w:rPr>
          <w:rFonts w:hint="eastAsia" w:ascii="楷体_GB2312" w:hAnsi="楷体_GB2312" w:eastAsia="楷体_GB2312"/>
          <w:b/>
          <w:color w:val="auto"/>
          <w:sz w:val="32"/>
          <w:szCs w:val="24"/>
          <w:lang w:val="zh-CN"/>
        </w:rPr>
        <w:t>（</w:t>
      </w:r>
      <w:r>
        <w:rPr>
          <w:rFonts w:hint="eastAsia" w:ascii="楷体_GB2312" w:hAnsi="楷体_GB2312" w:eastAsia="楷体_GB2312"/>
          <w:b/>
          <w:color w:val="auto"/>
          <w:sz w:val="32"/>
          <w:szCs w:val="24"/>
        </w:rPr>
        <w:t>二</w:t>
      </w:r>
      <w:r>
        <w:rPr>
          <w:rFonts w:hint="eastAsia" w:ascii="楷体_GB2312" w:hAnsi="楷体_GB2312" w:eastAsia="楷体_GB2312"/>
          <w:b/>
          <w:color w:val="auto"/>
          <w:sz w:val="32"/>
          <w:szCs w:val="24"/>
          <w:lang w:val="zh-CN"/>
        </w:rPr>
        <w:t>）存在问题。</w:t>
      </w:r>
      <w:bookmarkEnd w:id="68"/>
      <w:bookmarkEnd w:id="69"/>
    </w:p>
    <w:p>
      <w:pPr>
        <w:pStyle w:val="2"/>
        <w:keepNext/>
        <w:spacing w:beforeLines="0" w:afterLines="0"/>
        <w:rPr>
          <w:rFonts w:hint="eastAsia" w:ascii="仿宋_GB2312" w:hAnsi="仿宋_GB2312" w:eastAsia="仿宋_GB2312"/>
          <w:color w:val="auto"/>
          <w:kern w:val="0"/>
          <w:sz w:val="32"/>
          <w:szCs w:val="24"/>
          <w:lang w:val="zh-CN"/>
        </w:rPr>
      </w:pPr>
      <w:r>
        <w:rPr>
          <w:rFonts w:hint="eastAsia" w:ascii="仿宋_GB2312" w:hAnsi="仿宋_GB2312" w:eastAsia="仿宋_GB2312"/>
          <w:color w:val="auto"/>
          <w:kern w:val="0"/>
          <w:sz w:val="32"/>
          <w:szCs w:val="24"/>
          <w:lang w:val="zh-CN"/>
        </w:rPr>
        <w:t>1. 部门预算绩效管理工作与业务工作结合不够，预算绩效目标编制可行性、科学性、有效性等有待加强。</w:t>
      </w:r>
    </w:p>
    <w:p>
      <w:pPr>
        <w:pStyle w:val="2"/>
        <w:keepNext/>
        <w:spacing w:beforeLines="0" w:afterLines="0"/>
        <w:rPr>
          <w:rFonts w:hint="eastAsia" w:ascii="仿宋_GB2312" w:hAnsi="仿宋_GB2312" w:eastAsia="仿宋_GB2312"/>
          <w:color w:val="auto"/>
          <w:kern w:val="0"/>
          <w:sz w:val="32"/>
          <w:szCs w:val="24"/>
          <w:lang w:val="zh-CN"/>
        </w:rPr>
      </w:pPr>
      <w:r>
        <w:rPr>
          <w:rFonts w:hint="eastAsia" w:ascii="仿宋_GB2312" w:hAnsi="仿宋_GB2312" w:eastAsia="仿宋_GB2312"/>
          <w:color w:val="auto"/>
          <w:kern w:val="0"/>
          <w:sz w:val="32"/>
          <w:szCs w:val="24"/>
        </w:rPr>
        <w:t>2</w:t>
      </w:r>
      <w:r>
        <w:rPr>
          <w:rFonts w:hint="eastAsia" w:ascii="仿宋_GB2312" w:hAnsi="仿宋_GB2312" w:eastAsia="仿宋_GB2312"/>
          <w:color w:val="auto"/>
          <w:kern w:val="0"/>
          <w:sz w:val="32"/>
          <w:szCs w:val="24"/>
          <w:lang w:val="zh-CN"/>
        </w:rPr>
        <w:t>.对评价结果的应用环节偏薄弱。</w:t>
      </w:r>
    </w:p>
    <w:p>
      <w:pPr>
        <w:pStyle w:val="2"/>
        <w:keepNext/>
        <w:numPr>
          <w:ilvl w:val="0"/>
          <w:numId w:val="0"/>
        </w:numPr>
        <w:spacing w:beforeLines="0" w:afterLines="0"/>
        <w:ind w:leftChars="200" w:firstLine="0"/>
        <w:outlineLvl w:val="2"/>
        <w:rPr>
          <w:rFonts w:hint="eastAsia" w:ascii="楷体_GB2312" w:hAnsi="楷体_GB2312" w:eastAsia="楷体_GB2312"/>
          <w:b/>
          <w:color w:val="auto"/>
          <w:sz w:val="32"/>
          <w:szCs w:val="24"/>
          <w:lang w:val="zh-CN"/>
        </w:rPr>
      </w:pPr>
      <w:bookmarkStart w:id="70" w:name="_Toc11189"/>
      <w:bookmarkStart w:id="71" w:name="_Toc26925"/>
      <w:r>
        <w:rPr>
          <w:rFonts w:hint="eastAsia" w:ascii="楷体_GB2312" w:hAnsi="楷体_GB2312" w:eastAsia="楷体_GB2312"/>
          <w:b/>
          <w:color w:val="auto"/>
          <w:sz w:val="32"/>
          <w:szCs w:val="24"/>
          <w:lang w:val="zh-CN"/>
        </w:rPr>
        <w:t>（三）改进建议。</w:t>
      </w:r>
      <w:bookmarkEnd w:id="70"/>
      <w:bookmarkEnd w:id="71"/>
    </w:p>
    <w:p>
      <w:pPr>
        <w:pStyle w:val="2"/>
        <w:keepNext/>
        <w:spacing w:beforeLines="0" w:afterLines="0"/>
        <w:rPr>
          <w:rFonts w:hint="eastAsia" w:ascii="仿宋_GB2312" w:hAnsi="仿宋_GB2312" w:eastAsia="仿宋_GB2312"/>
          <w:color w:val="auto"/>
          <w:kern w:val="0"/>
          <w:sz w:val="32"/>
          <w:szCs w:val="24"/>
          <w:lang w:val="zh-CN"/>
        </w:rPr>
      </w:pPr>
      <w:r>
        <w:rPr>
          <w:rFonts w:hint="eastAsia" w:ascii="仿宋_GB2312" w:hAnsi="仿宋_GB2312" w:eastAsia="仿宋_GB2312"/>
          <w:color w:val="auto"/>
          <w:kern w:val="0"/>
          <w:sz w:val="32"/>
          <w:szCs w:val="24"/>
          <w:lang w:val="zh-CN"/>
        </w:rPr>
        <w:t>1.部门绩效评价工作政策性强、涉及面广、工作量大且有相当的难度和专业性。加强学习如何科学合理制定绩效目标及考核体系，理论联系实际结合业务工作，充分发挥绩效工作效用。</w:t>
      </w:r>
    </w:p>
    <w:p>
      <w:pPr>
        <w:pStyle w:val="2"/>
        <w:keepNext/>
        <w:spacing w:beforeLines="0" w:afterLines="0"/>
        <w:rPr>
          <w:rFonts w:hint="eastAsia" w:ascii="仿宋_GB2312" w:hAnsi="仿宋_GB2312" w:eastAsia="仿宋_GB2312"/>
          <w:color w:val="auto"/>
          <w:kern w:val="0"/>
          <w:sz w:val="32"/>
          <w:szCs w:val="24"/>
          <w:lang w:val="zh-CN"/>
        </w:rPr>
      </w:pPr>
      <w:r>
        <w:rPr>
          <w:rFonts w:hint="eastAsia" w:ascii="仿宋_GB2312" w:hAnsi="仿宋_GB2312" w:eastAsia="仿宋_GB2312"/>
          <w:color w:val="auto"/>
          <w:kern w:val="0"/>
          <w:sz w:val="32"/>
          <w:szCs w:val="24"/>
        </w:rPr>
        <w:t>2.</w:t>
      </w:r>
      <w:r>
        <w:rPr>
          <w:rFonts w:hint="eastAsia" w:ascii="仿宋_GB2312" w:hAnsi="仿宋_GB2312" w:eastAsia="仿宋_GB2312"/>
          <w:color w:val="auto"/>
          <w:kern w:val="0"/>
          <w:sz w:val="32"/>
          <w:szCs w:val="24"/>
          <w:lang w:val="zh-CN"/>
        </w:rPr>
        <w:t>积极开展预算绩效管理工作。在今后的工作中，通过预算绩效的事前编制，预算绩效执行中的自评以及预算绩效的事后评价，加大对预算绩效事后评价的利用，更好发挥绩效评价的作用。</w:t>
      </w:r>
    </w:p>
    <w:p>
      <w:pPr>
        <w:keepNext/>
        <w:spacing w:after="120" w:line="560" w:lineRule="exact"/>
        <w:ind w:firstLine="640"/>
        <w:jc w:val="both"/>
        <w:rPr>
          <w:rFonts w:hint="default" w:ascii="宋体" w:hAnsi="宋体" w:eastAsia="宋体"/>
          <w:color w:val="auto"/>
          <w:kern w:val="2"/>
          <w:sz w:val="32"/>
          <w:szCs w:val="24"/>
          <w:lang w:val="zh-CN"/>
        </w:rPr>
      </w:pPr>
      <w:r>
        <w:rPr>
          <w:rFonts w:hint="eastAsia" w:ascii="仿宋_GB2312" w:hAnsi="仿宋_GB2312" w:eastAsia="仿宋_GB2312"/>
          <w:color w:val="auto"/>
          <w:kern w:val="2"/>
          <w:sz w:val="32"/>
          <w:szCs w:val="24"/>
          <w:lang w:val="zh-CN"/>
        </w:rPr>
        <w:t>附表：</w:t>
      </w:r>
      <w:r>
        <w:rPr>
          <w:rFonts w:hint="eastAsia" w:ascii="仿宋_GB2312" w:hAnsi="仿宋_GB2312" w:eastAsia="仿宋_GB2312"/>
          <w:color w:val="auto"/>
          <w:kern w:val="2"/>
          <w:sz w:val="32"/>
          <w:szCs w:val="24"/>
          <w:lang w:val="en-US"/>
        </w:rPr>
        <w:t>部门预算项目支出绩效自评表（2022年度）</w:t>
      </w:r>
      <w:r>
        <w:rPr>
          <w:rFonts w:hint="eastAsia" w:ascii="仿宋_GB2312" w:hAnsi="仿宋_GB2312" w:eastAsia="仿宋_GB2312"/>
          <w:color w:val="auto"/>
          <w:kern w:val="2"/>
          <w:sz w:val="32"/>
          <w:szCs w:val="24"/>
          <w:lang w:val="en-US" w:eastAsia="zh-CN"/>
        </w:rPr>
        <w:t>见附件</w:t>
      </w:r>
    </w:p>
    <w:p>
      <w:pPr>
        <w:keepNext/>
        <w:jc w:val="both"/>
        <w:rPr>
          <w:rFonts w:hint="eastAsia" w:ascii="仿宋_GB2312" w:hAnsi="仿宋_GB2312" w:eastAsia="仿宋_GB2312"/>
          <w:color w:val="auto"/>
          <w:sz w:val="32"/>
          <w:szCs w:val="24"/>
          <w:lang w:val="zh-CN"/>
        </w:rPr>
      </w:pPr>
    </w:p>
    <w:p>
      <w:pPr>
        <w:keepNext/>
        <w:jc w:val="both"/>
        <w:outlineLvl w:val="1"/>
        <w:rPr>
          <w:rFonts w:hint="eastAsia" w:ascii="仿宋_GB2312" w:hAnsi="仿宋_GB2312" w:eastAsia="仿宋_GB2312"/>
          <w:b/>
          <w:color w:val="auto"/>
          <w:sz w:val="32"/>
          <w:szCs w:val="24"/>
          <w:lang w:val="en-US"/>
        </w:rPr>
      </w:pPr>
      <w:bookmarkStart w:id="72" w:name="_Toc32037"/>
      <w:bookmarkStart w:id="73" w:name="_Toc27246"/>
      <w:r>
        <w:rPr>
          <w:rFonts w:hint="eastAsia" w:ascii="仿宋_GB2312" w:hAnsi="仿宋_GB2312" w:eastAsia="仿宋_GB2312"/>
          <w:b/>
          <w:color w:val="auto"/>
          <w:sz w:val="32"/>
          <w:szCs w:val="24"/>
          <w:lang w:val="zh-CN"/>
        </w:rPr>
        <w:t>附件</w:t>
      </w:r>
      <w:r>
        <w:rPr>
          <w:rFonts w:hint="eastAsia" w:ascii="仿宋_GB2312" w:hAnsi="仿宋_GB2312" w:eastAsia="仿宋_GB2312"/>
          <w:b/>
          <w:color w:val="auto"/>
          <w:sz w:val="32"/>
          <w:szCs w:val="24"/>
          <w:lang w:val="en-US"/>
        </w:rPr>
        <w:t>2</w:t>
      </w:r>
      <w:bookmarkEnd w:id="72"/>
      <w:bookmarkEnd w:id="73"/>
    </w:p>
    <w:p>
      <w:pPr>
        <w:keepNext/>
        <w:spacing w:line="578"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共和乡人民政府关于2022共和乡应急和安全生产监管工作的</w:t>
      </w:r>
    </w:p>
    <w:p>
      <w:pPr>
        <w:keepNext/>
        <w:spacing w:line="578" w:lineRule="exact"/>
        <w:jc w:val="center"/>
        <w:rPr>
          <w:rFonts w:hint="eastAsia" w:ascii="Times New Roman" w:hAnsi="Times New Roman" w:eastAsia="Times New Roman"/>
          <w:kern w:val="2"/>
          <w:sz w:val="44"/>
          <w:szCs w:val="24"/>
        </w:rPr>
      </w:pPr>
      <w:r>
        <w:rPr>
          <w:rFonts w:hint="eastAsia" w:ascii="方正小标宋简体" w:hAnsi="方正小标宋简体" w:eastAsia="方正小标宋简体" w:cs="Times New Roman"/>
          <w:color w:val="auto"/>
          <w:kern w:val="2"/>
          <w:sz w:val="32"/>
          <w:szCs w:val="24"/>
          <w:lang w:val="en-US"/>
        </w:rPr>
        <w:t>专项预算项目支出绩效自评报告</w:t>
      </w:r>
    </w:p>
    <w:p>
      <w:pPr>
        <w:autoSpaceDE/>
        <w:autoSpaceDN/>
        <w:adjustRightInd/>
        <w:spacing w:line="640" w:lineRule="exact"/>
        <w:jc w:val="center"/>
        <w:rPr>
          <w:rFonts w:hint="eastAsia" w:ascii="Times New Roman" w:hAnsi="Times New Roman" w:eastAsia="Times New Roman"/>
          <w:b/>
          <w:kern w:val="2"/>
          <w:sz w:val="32"/>
          <w:szCs w:val="24"/>
        </w:rPr>
      </w:pPr>
      <w:r>
        <w:rPr>
          <w:rFonts w:hint="eastAsia" w:ascii="Times New Roman" w:hAnsi="Times New Roman" w:eastAsia="楷体_GB2312"/>
          <w:b/>
          <w:kern w:val="2"/>
          <w:sz w:val="32"/>
          <w:szCs w:val="24"/>
        </w:rPr>
        <w:t>（项目单位自评）</w:t>
      </w:r>
    </w:p>
    <w:p>
      <w:pPr>
        <w:spacing w:line="560" w:lineRule="exact"/>
        <w:ind w:firstLine="640"/>
        <w:jc w:val="center"/>
        <w:rPr>
          <w:rFonts w:hint="eastAsia" w:ascii="Times New Roman" w:hAnsi="Times New Roman" w:eastAsia="Times New Roman" w:cs="Times New Roman"/>
          <w:color w:val="auto"/>
          <w:kern w:val="2"/>
          <w:sz w:val="32"/>
          <w:szCs w:val="32"/>
          <w:lang w:val="zh-CN" w:eastAsia="zh-CN" w:bidi="ar-SA"/>
        </w:rPr>
      </w:pP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74" w:name="_Toc5916"/>
      <w:bookmarkStart w:id="75" w:name="_Toc13073"/>
      <w:r>
        <w:rPr>
          <w:rFonts w:hint="eastAsia" w:ascii="Times New Roman" w:hAnsi="Times New Roman" w:eastAsia="黑体"/>
          <w:kern w:val="2"/>
          <w:sz w:val="32"/>
          <w:szCs w:val="24"/>
        </w:rPr>
        <w:t>一、项目概况</w:t>
      </w:r>
      <w:bookmarkEnd w:id="74"/>
      <w:bookmarkEnd w:id="75"/>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介绍项目基本情况，重点说明以下内容：</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76" w:name="_Toc2405"/>
      <w:bookmarkStart w:id="77" w:name="_Toc1878"/>
      <w:r>
        <w:rPr>
          <w:rFonts w:hint="eastAsia" w:ascii="Times New Roman" w:hAnsi="Times New Roman" w:eastAsia="楷体_GB2312"/>
          <w:kern w:val="2"/>
          <w:sz w:val="32"/>
          <w:szCs w:val="24"/>
        </w:rPr>
        <w:t>（一）项目资金申报及批复情况。</w:t>
      </w:r>
      <w:bookmarkEnd w:id="76"/>
      <w:bookmarkEnd w:id="77"/>
    </w:p>
    <w:p>
      <w:pPr>
        <w:autoSpaceDE/>
        <w:autoSpaceDN/>
        <w:adjustRightInd/>
        <w:spacing w:line="560" w:lineRule="exact"/>
        <w:ind w:firstLine="775" w:firstLineChars="250"/>
        <w:jc w:val="both"/>
        <w:rPr>
          <w:rFonts w:hint="eastAsia" w:ascii="Times New Roman" w:hAnsi="Times New Roman" w:eastAsia="Times New Roman"/>
          <w:kern w:val="2"/>
          <w:sz w:val="32"/>
          <w:szCs w:val="24"/>
        </w:rPr>
      </w:pPr>
      <w:r>
        <w:rPr>
          <w:rFonts w:hint="eastAsia" w:ascii="仿宋_GB2312" w:hAnsi="宋体" w:eastAsia="仿宋_GB2312" w:cs="仿宋_GB2312"/>
          <w:color w:val="000000"/>
          <w:sz w:val="31"/>
          <w:szCs w:val="31"/>
          <w:lang w:val="en-US" w:eastAsia="zh-CN" w:bidi="ar"/>
        </w:rPr>
        <w:t>社会治理办公室应急管理工作2022年工作经费，确保2022年社会治理办公室应急管理、安全生产、教育培训等工作正常开展，需要工作经费10万元。经上级研究决定，下达</w:t>
      </w:r>
      <w:r>
        <w:rPr>
          <w:rFonts w:hint="eastAsia" w:ascii="仿宋_GB2312" w:hAnsi="仿宋_GB2312" w:eastAsia="仿宋_GB2312" w:cs="仿宋_GB2312"/>
          <w:sz w:val="33"/>
          <w:szCs w:val="33"/>
          <w:lang w:val="en-US" w:eastAsia="zh-CN"/>
        </w:rPr>
        <w:t>应急和安全监管补助金10万元</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78" w:name="_Toc376"/>
      <w:bookmarkStart w:id="79" w:name="_Toc30052"/>
      <w:r>
        <w:rPr>
          <w:rFonts w:hint="eastAsia" w:ascii="Times New Roman" w:hAnsi="Times New Roman" w:eastAsia="楷体_GB2312"/>
          <w:kern w:val="2"/>
          <w:sz w:val="32"/>
          <w:szCs w:val="24"/>
        </w:rPr>
        <w:t>（二）项目绩效目标。</w:t>
      </w:r>
      <w:bookmarkEnd w:id="78"/>
      <w:bookmarkEnd w:id="7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1.主要内容</w:t>
      </w:r>
    </w:p>
    <w:p>
      <w:pPr>
        <w:autoSpaceDE/>
        <w:autoSpaceDN/>
        <w:adjustRightInd/>
        <w:spacing w:line="560" w:lineRule="exact"/>
        <w:ind w:firstLine="620" w:firstLineChars="200"/>
        <w:jc w:val="both"/>
        <w:rPr>
          <w:rFonts w:hint="eastAsia" w:ascii="Times New Roman" w:hAnsi="Times New Roman" w:eastAsia="Times New Roman"/>
          <w:kern w:val="2"/>
          <w:sz w:val="32"/>
          <w:szCs w:val="24"/>
        </w:rPr>
      </w:pPr>
      <w:r>
        <w:rPr>
          <w:rFonts w:hint="eastAsia" w:ascii="仿宋_GB2312" w:hAnsi="宋体" w:eastAsia="仿宋_GB2312" w:cs="仿宋_GB2312"/>
          <w:color w:val="000000"/>
          <w:sz w:val="31"/>
          <w:szCs w:val="31"/>
          <w:lang w:val="en-US" w:eastAsia="zh-CN" w:bidi="ar"/>
        </w:rPr>
        <w:t>社会治理办公室应急管理工作2022年工作经费，确保2022年社会治理办公室应急管理、安全生产、教育培训等工作正常开展</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2.计划实现的具体绩效目标</w:t>
      </w:r>
    </w:p>
    <w:p>
      <w:pPr>
        <w:keepNext/>
        <w:spacing w:line="560" w:lineRule="exact"/>
        <w:ind w:firstLine="640"/>
        <w:rPr>
          <w:rFonts w:hint="eastAsia" w:ascii="仿宋_GB2312" w:hAnsi="仿宋_GB2312" w:eastAsia="仿宋_GB2312" w:cs="Times New Roman"/>
          <w:color w:val="auto"/>
          <w:sz w:val="32"/>
          <w:szCs w:val="24"/>
          <w:lang w:val="zh-CN"/>
        </w:rPr>
      </w:pPr>
      <w:r>
        <w:rPr>
          <w:rFonts w:hint="eastAsia" w:ascii="仿宋_GB2312" w:hAnsi="仿宋_GB2312" w:eastAsia="仿宋_GB2312" w:cs="Times New Roman"/>
          <w:color w:val="auto"/>
          <w:sz w:val="32"/>
          <w:szCs w:val="24"/>
          <w:lang w:val="en-US" w:eastAsia="zh-CN"/>
        </w:rPr>
        <w:t>共和乡社会治理办公室工作绩效目标设置每年由县政府相关部门制定，确保绩效目标和绩效指标相匹配并实施量化考核。</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80" w:name="_Toc25358"/>
      <w:bookmarkStart w:id="81" w:name="_Toc9573"/>
      <w:r>
        <w:rPr>
          <w:rFonts w:hint="eastAsia" w:ascii="Times New Roman" w:hAnsi="Times New Roman" w:eastAsia="楷体_GB2312"/>
          <w:kern w:val="2"/>
          <w:sz w:val="32"/>
          <w:szCs w:val="24"/>
        </w:rPr>
        <w:t>（三）项目资金申报相符性。</w:t>
      </w:r>
      <w:bookmarkEnd w:id="80"/>
      <w:bookmarkEnd w:id="8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该资金由县财政局下达预算到盐边县</w:t>
      </w:r>
      <w:r>
        <w:rPr>
          <w:rFonts w:hint="eastAsia" w:ascii="Times New Roman" w:hAnsi="Times New Roman" w:eastAsia="仿宋_GB2312"/>
          <w:kern w:val="2"/>
          <w:sz w:val="32"/>
          <w:szCs w:val="24"/>
          <w:lang w:val="en-US" w:eastAsia="zh-CN"/>
        </w:rPr>
        <w:t>共和乡</w:t>
      </w:r>
      <w:r>
        <w:rPr>
          <w:rFonts w:hint="eastAsia" w:ascii="Times New Roman" w:hAnsi="Times New Roman" w:eastAsia="仿宋_GB2312"/>
          <w:kern w:val="2"/>
          <w:sz w:val="32"/>
          <w:szCs w:val="24"/>
        </w:rPr>
        <w:t>人民政府进行核算。与实际相符、申报目标合理可行。</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82" w:name="_Toc32009"/>
      <w:bookmarkStart w:id="83" w:name="_Toc13978"/>
      <w:r>
        <w:rPr>
          <w:rFonts w:hint="eastAsia" w:ascii="Times New Roman" w:hAnsi="Times New Roman" w:eastAsia="黑体"/>
          <w:kern w:val="2"/>
          <w:sz w:val="32"/>
          <w:szCs w:val="24"/>
        </w:rPr>
        <w:t>二、项目实施及管理情况</w:t>
      </w:r>
      <w:bookmarkEnd w:id="82"/>
      <w:bookmarkEnd w:id="83"/>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84" w:name="_Toc9939"/>
      <w:bookmarkStart w:id="85" w:name="_Toc26565"/>
      <w:r>
        <w:rPr>
          <w:rFonts w:hint="eastAsia" w:ascii="Times New Roman" w:hAnsi="Times New Roman" w:eastAsia="楷体_GB2312"/>
          <w:kern w:val="2"/>
          <w:sz w:val="32"/>
          <w:szCs w:val="24"/>
        </w:rPr>
        <w:t>（一）资金计划、到位及使用情况。</w:t>
      </w:r>
      <w:bookmarkEnd w:id="84"/>
      <w:bookmarkEnd w:id="85"/>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1.</w:t>
      </w:r>
      <w:r>
        <w:rPr>
          <w:rFonts w:hint="eastAsia" w:ascii="Times New Roman" w:hAnsi="Times New Roman" w:eastAsia="仿宋_GB2312"/>
          <w:b/>
          <w:kern w:val="2"/>
          <w:sz w:val="32"/>
          <w:szCs w:val="24"/>
        </w:rPr>
        <w:t>资金计划及到位。</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Times New Roman"/>
          <w:kern w:val="2"/>
          <w:sz w:val="32"/>
          <w:szCs w:val="24"/>
        </w:rPr>
        <w:t>202</w:t>
      </w:r>
      <w:r>
        <w:rPr>
          <w:rFonts w:hint="eastAsia" w:ascii="Times New Roman" w:hAnsi="Times New Roman" w:eastAsia="仿宋_GB2312"/>
          <w:kern w:val="2"/>
          <w:sz w:val="32"/>
          <w:szCs w:val="24"/>
        </w:rPr>
        <w:t>2</w:t>
      </w:r>
      <w:r>
        <w:rPr>
          <w:rFonts w:hint="eastAsia" w:ascii="仿宋_GB2312" w:hAnsi="Times New Roman" w:eastAsia="仿宋_GB2312"/>
          <w:kern w:val="2"/>
          <w:sz w:val="32"/>
          <w:szCs w:val="24"/>
        </w:rPr>
        <w:t>年预算下达</w:t>
      </w:r>
      <w:r>
        <w:rPr>
          <w:rFonts w:hint="eastAsia" w:ascii="仿宋_GB2312" w:hAnsi="Times New Roman" w:eastAsia="仿宋_GB2312"/>
          <w:kern w:val="2"/>
          <w:sz w:val="32"/>
          <w:szCs w:val="24"/>
          <w:lang w:eastAsia="zh-CN"/>
        </w:rPr>
        <w:t>资金</w:t>
      </w:r>
      <w:r>
        <w:rPr>
          <w:rFonts w:hint="eastAsia" w:ascii="仿宋_GB2312" w:hAnsi="Times New Roman" w:eastAsia="仿宋_GB2312"/>
          <w:kern w:val="2"/>
          <w:sz w:val="32"/>
          <w:szCs w:val="24"/>
          <w:lang w:val="en-US" w:eastAsia="zh-CN"/>
        </w:rPr>
        <w:t>10</w:t>
      </w:r>
      <w:r>
        <w:rPr>
          <w:rFonts w:hint="eastAsia" w:ascii="Times New Roman" w:hAnsi="Times New Roman" w:eastAsia="仿宋_GB2312"/>
          <w:kern w:val="2"/>
          <w:sz w:val="32"/>
          <w:szCs w:val="24"/>
        </w:rPr>
        <w:t>万</w:t>
      </w:r>
      <w:r>
        <w:rPr>
          <w:rFonts w:hint="eastAsia" w:ascii="仿宋_GB2312" w:hAnsi="Times New Roman" w:eastAsia="仿宋_GB2312"/>
          <w:kern w:val="2"/>
          <w:sz w:val="32"/>
          <w:szCs w:val="24"/>
        </w:rPr>
        <w:t>元。</w:t>
      </w:r>
      <w:r>
        <w:rPr>
          <w:rFonts w:hint="eastAsia" w:ascii="Times New Roman" w:hAnsi="Times New Roman" w:eastAsia="仿宋_GB2312"/>
          <w:kern w:val="2"/>
          <w:sz w:val="32"/>
          <w:szCs w:val="24"/>
        </w:rPr>
        <w:t>该资金2022年当年全部到位，当年全部使用完毕。</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Times New Roman"/>
          <w:b/>
          <w:kern w:val="2"/>
          <w:sz w:val="32"/>
          <w:szCs w:val="24"/>
        </w:rPr>
        <w:t>2.</w:t>
      </w:r>
      <w:r>
        <w:rPr>
          <w:rFonts w:hint="eastAsia" w:ascii="Times New Roman" w:hAnsi="Times New Roman" w:eastAsia="仿宋_GB2312"/>
          <w:b/>
          <w:kern w:val="2"/>
          <w:sz w:val="32"/>
          <w:szCs w:val="24"/>
        </w:rPr>
        <w:t>资金使用。</w:t>
      </w:r>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仿宋_GB2312"/>
          <w:kern w:val="2"/>
          <w:sz w:val="32"/>
          <w:szCs w:val="24"/>
        </w:rPr>
        <w:t>该资金截至评价时点，支付范围、支付标准、支付进度、支付依据等合规合法、与预算相符。我单位及时报账，按财政局要求专款专用，已全部报账使用。</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86" w:name="_Toc26228"/>
      <w:bookmarkStart w:id="87" w:name="_Toc3222"/>
      <w:r>
        <w:rPr>
          <w:rFonts w:hint="eastAsia" w:ascii="Times New Roman" w:hAnsi="Times New Roman" w:eastAsia="楷体_GB2312"/>
          <w:kern w:val="2"/>
          <w:sz w:val="32"/>
          <w:szCs w:val="24"/>
        </w:rPr>
        <w:t>（二）项目财务管理情况。</w:t>
      </w:r>
      <w:bookmarkEnd w:id="86"/>
      <w:bookmarkEnd w:id="8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88" w:name="_Toc17414"/>
      <w:bookmarkStart w:id="89" w:name="_Toc284"/>
      <w:r>
        <w:rPr>
          <w:rFonts w:hint="eastAsia" w:ascii="Times New Roman" w:hAnsi="Times New Roman" w:eastAsia="楷体_GB2312"/>
          <w:kern w:val="2"/>
          <w:sz w:val="32"/>
          <w:szCs w:val="24"/>
        </w:rPr>
        <w:t>（三）项目组织实施情况。</w:t>
      </w:r>
      <w:bookmarkEnd w:id="88"/>
      <w:bookmarkEnd w:id="8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由我单位牵头，各村、协助开展工作。根据项目申报和经费下达情况进行方案编制。此项目资金为2022年</w:t>
      </w:r>
      <w:r>
        <w:rPr>
          <w:rFonts w:hint="eastAsia" w:ascii="仿宋_GB2312" w:hAnsi="仿宋_GB2312" w:eastAsia="仿宋_GB2312" w:cs="仿宋_GB2312"/>
          <w:sz w:val="33"/>
          <w:szCs w:val="33"/>
          <w:lang w:val="en-US" w:eastAsia="zh-CN"/>
        </w:rPr>
        <w:t>应急和安全监管补助金</w:t>
      </w:r>
      <w:r>
        <w:rPr>
          <w:rFonts w:hint="eastAsia" w:ascii="Times New Roman" w:hAnsi="Times New Roman" w:eastAsia="仿宋_GB2312"/>
          <w:kern w:val="2"/>
          <w:sz w:val="32"/>
          <w:szCs w:val="24"/>
        </w:rPr>
        <w:t>专项资金，县财政局下达预算资金，相关经办人员结合实际发生费用提供相关报账原始凭据报账，我单位进行审核，向财政局统一预算管理一体化平台申报计划，进行支付、核算。同时按照省级要求时间节点及时支付兑现。</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90" w:name="_Toc7072"/>
      <w:bookmarkStart w:id="91" w:name="_Toc5837"/>
      <w:r>
        <w:rPr>
          <w:rFonts w:hint="eastAsia" w:ascii="Times New Roman" w:hAnsi="Times New Roman" w:eastAsia="黑体"/>
          <w:kern w:val="2"/>
          <w:sz w:val="32"/>
          <w:szCs w:val="24"/>
        </w:rPr>
        <w:t>三、项目绩效情况</w:t>
      </w:r>
      <w:bookmarkEnd w:id="90"/>
      <w:bookmarkEnd w:id="91"/>
      <w:r>
        <w:rPr>
          <w:rFonts w:hint="eastAsia" w:ascii="Times New Roman" w:hAnsi="Times New Roman" w:eastAsia="Times New Roman"/>
          <w:kern w:val="2"/>
          <w:sz w:val="32"/>
          <w:szCs w:val="24"/>
        </w:rPr>
        <w:tab/>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92" w:name="_Toc26462"/>
      <w:bookmarkStart w:id="93" w:name="_Toc13011"/>
      <w:r>
        <w:rPr>
          <w:rFonts w:hint="eastAsia" w:ascii="Times New Roman" w:hAnsi="Times New Roman" w:eastAsia="楷体_GB2312"/>
          <w:kern w:val="2"/>
          <w:sz w:val="32"/>
          <w:szCs w:val="24"/>
        </w:rPr>
        <w:t>（一）项目完成情况。</w:t>
      </w:r>
      <w:bookmarkEnd w:id="92"/>
      <w:bookmarkEnd w:id="93"/>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已于2022年全部使用、报账及核算。主要</w:t>
      </w:r>
      <w:r>
        <w:rPr>
          <w:rFonts w:hint="eastAsia" w:ascii="仿宋_GB2312" w:hAnsi="宋体" w:eastAsia="仿宋_GB2312" w:cs="仿宋_GB2312"/>
          <w:color w:val="000000"/>
          <w:sz w:val="31"/>
          <w:szCs w:val="31"/>
          <w:lang w:val="en-US" w:eastAsia="zh-CN" w:bidi="ar"/>
        </w:rPr>
        <w:t>全乡综治维稳、安全生产、应急管理等工作</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94" w:name="_Toc15984"/>
      <w:bookmarkStart w:id="95" w:name="_Toc1633"/>
      <w:r>
        <w:rPr>
          <w:rFonts w:hint="eastAsia" w:ascii="Times New Roman" w:hAnsi="Times New Roman" w:eastAsia="楷体_GB2312"/>
          <w:kern w:val="2"/>
          <w:sz w:val="32"/>
          <w:szCs w:val="24"/>
        </w:rPr>
        <w:t>（二）项目效益情况。</w:t>
      </w:r>
      <w:bookmarkEnd w:id="94"/>
      <w:bookmarkEnd w:id="95"/>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仿宋_GB2312"/>
          <w:kern w:val="2"/>
          <w:sz w:val="32"/>
          <w:szCs w:val="24"/>
        </w:rPr>
        <w:t>根据财政下达的预算资金额度，严格把控资金使用，不超支；</w:t>
      </w:r>
      <w:r>
        <w:rPr>
          <w:rFonts w:hint="eastAsia" w:ascii="仿宋_GB2312" w:hAnsi="Times New Roman" w:eastAsia="仿宋_GB2312"/>
          <w:kern w:val="2"/>
          <w:sz w:val="32"/>
          <w:szCs w:val="24"/>
        </w:rPr>
        <w:t>严格按照方案要求确定金额，可量化可考核，契合政策实质，与年度工作目标相一致，能宣传贯彻党的二十大路线、方针、政策，展现盐边县近年来经济发展、民生改善、人民幸福的精神面貌，进一步提升乡（镇）、部门和企业文化发展动力，增强盐边发展的活力和魅力。</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96" w:name="_Toc9907"/>
      <w:bookmarkStart w:id="97" w:name="_Toc9692"/>
      <w:r>
        <w:rPr>
          <w:rFonts w:hint="eastAsia" w:ascii="Times New Roman" w:hAnsi="Times New Roman" w:eastAsia="黑体"/>
          <w:kern w:val="2"/>
          <w:sz w:val="32"/>
          <w:szCs w:val="24"/>
        </w:rPr>
        <w:t>四、问题及建议</w:t>
      </w:r>
      <w:bookmarkEnd w:id="96"/>
      <w:bookmarkEnd w:id="97"/>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98" w:name="_Toc379"/>
      <w:bookmarkStart w:id="99" w:name="_Toc5349"/>
      <w:r>
        <w:rPr>
          <w:rFonts w:hint="eastAsia" w:ascii="Times New Roman" w:hAnsi="Times New Roman" w:eastAsia="楷体_GB2312"/>
          <w:kern w:val="2"/>
          <w:sz w:val="32"/>
          <w:szCs w:val="24"/>
        </w:rPr>
        <w:t>（一）存在的问题。</w:t>
      </w:r>
      <w:bookmarkEnd w:id="98"/>
      <w:bookmarkEnd w:id="99"/>
    </w:p>
    <w:p>
      <w:pPr>
        <w:autoSpaceDE/>
        <w:autoSpaceDN/>
        <w:adjustRightInd/>
        <w:spacing w:line="560" w:lineRule="exact"/>
        <w:ind w:firstLine="640" w:firstLineChars="200"/>
        <w:jc w:val="both"/>
        <w:rPr>
          <w:rFonts w:hint="eastAsia" w:ascii="Times New Roman" w:hAnsi="Times New Roman" w:eastAsia="Times New Roman"/>
          <w:kern w:val="2"/>
          <w:sz w:val="32"/>
          <w:szCs w:val="24"/>
          <w:lang w:val="en-US" w:eastAsia="zh-CN"/>
        </w:rPr>
      </w:pPr>
      <w:r>
        <w:rPr>
          <w:rFonts w:hint="eastAsia" w:ascii="Times New Roman" w:hAnsi="Times New Roman" w:eastAsia="仿宋_GB2312"/>
          <w:kern w:val="2"/>
          <w:sz w:val="32"/>
          <w:szCs w:val="24"/>
          <w:lang w:val="en-US" w:eastAsia="zh-CN"/>
        </w:rPr>
        <w:t>无。</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00" w:name="_Toc22490"/>
      <w:bookmarkStart w:id="101" w:name="_Toc22098"/>
      <w:r>
        <w:rPr>
          <w:rFonts w:hint="eastAsia" w:ascii="Times New Roman" w:hAnsi="Times New Roman" w:eastAsia="楷体_GB2312"/>
          <w:kern w:val="2"/>
          <w:sz w:val="32"/>
          <w:szCs w:val="24"/>
        </w:rPr>
        <w:t>（二）相关建议。</w:t>
      </w:r>
      <w:bookmarkEnd w:id="100"/>
      <w:bookmarkEnd w:id="101"/>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r>
        <w:rPr>
          <w:rFonts w:hint="eastAsia" w:ascii="Times New Roman" w:hAnsi="Times New Roman" w:eastAsia="仿宋_GB2312"/>
          <w:kern w:val="2"/>
          <w:sz w:val="32"/>
          <w:szCs w:val="24"/>
          <w:lang w:val="en-US" w:eastAsia="zh-CN"/>
        </w:rPr>
        <w:t>无。</w:t>
      </w: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640" w:lineRule="exact"/>
        <w:jc w:val="center"/>
        <w:rPr>
          <w:rFonts w:hint="eastAsia" w:ascii="Times New Roman" w:hAnsi="Times New Roman" w:eastAsia="Times New Roman"/>
          <w:kern w:val="2"/>
          <w:sz w:val="44"/>
          <w:szCs w:val="24"/>
        </w:rPr>
      </w:pPr>
      <w:r>
        <w:rPr>
          <w:rFonts w:hint="eastAsia" w:ascii="方正小标宋简体" w:hAnsi="方正小标宋简体" w:eastAsia="方正小标宋简体" w:cs="Times New Roman"/>
          <w:color w:val="auto"/>
          <w:kern w:val="2"/>
          <w:sz w:val="32"/>
          <w:szCs w:val="24"/>
          <w:lang w:val="en-US" w:eastAsia="zh-CN"/>
        </w:rPr>
        <w:t xml:space="preserve"> 根据盐财资行〔2022〕301号关于下达2022年民族地区春节慰问金的专项预算项目支出绩效自评报告</w:t>
      </w:r>
    </w:p>
    <w:p>
      <w:pPr>
        <w:autoSpaceDE/>
        <w:autoSpaceDN/>
        <w:adjustRightInd/>
        <w:spacing w:line="640" w:lineRule="exact"/>
        <w:jc w:val="center"/>
        <w:outlineLvl w:val="1"/>
        <w:rPr>
          <w:rFonts w:hint="eastAsia" w:ascii="Times New Roman" w:hAnsi="Times New Roman" w:eastAsia="楷体_GB2312"/>
          <w:b/>
          <w:kern w:val="2"/>
          <w:sz w:val="32"/>
          <w:szCs w:val="24"/>
          <w:lang w:val="en-US" w:eastAsia="zh-CN"/>
        </w:rPr>
      </w:pPr>
      <w:bookmarkStart w:id="102" w:name="_Toc4808"/>
      <w:bookmarkStart w:id="103" w:name="_Toc11038"/>
      <w:r>
        <w:rPr>
          <w:rFonts w:hint="eastAsia" w:ascii="Times New Roman" w:hAnsi="Times New Roman" w:eastAsia="楷体_GB2312"/>
          <w:b/>
          <w:kern w:val="2"/>
          <w:sz w:val="32"/>
          <w:szCs w:val="24"/>
        </w:rPr>
        <w:t>（项目单位自评）</w:t>
      </w:r>
      <w:bookmarkEnd w:id="102"/>
      <w:bookmarkEnd w:id="103"/>
      <w:r>
        <w:rPr>
          <w:rFonts w:hint="eastAsia" w:ascii="Times New Roman" w:hAnsi="Times New Roman" w:eastAsia="楷体_GB2312"/>
          <w:b/>
          <w:kern w:val="2"/>
          <w:sz w:val="32"/>
          <w:szCs w:val="24"/>
          <w:lang w:val="en-US" w:eastAsia="zh-CN"/>
        </w:rPr>
        <w:t xml:space="preserve"> </w:t>
      </w:r>
    </w:p>
    <w:p>
      <w:pPr>
        <w:spacing w:line="560" w:lineRule="exact"/>
        <w:ind w:firstLine="640"/>
        <w:jc w:val="center"/>
        <w:rPr>
          <w:rFonts w:hint="eastAsia" w:ascii="Times New Roman" w:hAnsi="Times New Roman" w:eastAsia="Times New Roman" w:cs="Times New Roman"/>
          <w:color w:val="auto"/>
          <w:kern w:val="2"/>
          <w:sz w:val="32"/>
          <w:szCs w:val="32"/>
          <w:lang w:val="zh-CN" w:eastAsia="zh-CN" w:bidi="ar-SA"/>
        </w:rPr>
      </w:pP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04" w:name="_Toc4429"/>
      <w:bookmarkStart w:id="105" w:name="_Toc21360"/>
      <w:r>
        <w:rPr>
          <w:rFonts w:hint="eastAsia" w:ascii="Times New Roman" w:hAnsi="Times New Roman" w:eastAsia="黑体"/>
          <w:kern w:val="2"/>
          <w:sz w:val="32"/>
          <w:szCs w:val="24"/>
        </w:rPr>
        <w:t>一、项目概况</w:t>
      </w:r>
      <w:bookmarkEnd w:id="104"/>
      <w:bookmarkEnd w:id="105"/>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06" w:name="_Toc2949"/>
      <w:bookmarkStart w:id="107" w:name="_Toc20620"/>
      <w:r>
        <w:rPr>
          <w:rFonts w:hint="eastAsia" w:ascii="Times New Roman" w:hAnsi="Times New Roman" w:eastAsia="楷体_GB2312"/>
          <w:kern w:val="2"/>
          <w:sz w:val="32"/>
          <w:szCs w:val="24"/>
        </w:rPr>
        <w:t>（一）项目资金申报及批复情况。</w:t>
      </w:r>
      <w:bookmarkEnd w:id="106"/>
      <w:bookmarkEnd w:id="107"/>
    </w:p>
    <w:p>
      <w:pPr>
        <w:autoSpaceDE/>
        <w:autoSpaceDN/>
        <w:adjustRightInd/>
        <w:spacing w:line="560" w:lineRule="exact"/>
        <w:ind w:firstLine="825" w:firstLineChars="250"/>
        <w:jc w:val="both"/>
        <w:rPr>
          <w:rFonts w:hint="eastAsia" w:ascii="Times New Roman" w:hAnsi="Times New Roman" w:eastAsia="Times New Roman"/>
          <w:kern w:val="2"/>
          <w:sz w:val="32"/>
          <w:szCs w:val="24"/>
          <w:lang w:val="en-US" w:eastAsia="zh-CN"/>
        </w:rPr>
      </w:pPr>
      <w:r>
        <w:rPr>
          <w:rFonts w:hint="eastAsia" w:ascii="方正仿宋_GBK" w:hAnsi="宋体" w:eastAsia="方正仿宋_GBK" w:cs="Times New Roman"/>
          <w:sz w:val="33"/>
          <w:szCs w:val="33"/>
        </w:rPr>
        <w:t>根据</w:t>
      </w:r>
      <w:r>
        <w:rPr>
          <w:rFonts w:hint="eastAsia" w:ascii="方正仿宋_GBK" w:hAnsi="宋体" w:eastAsia="方正仿宋_GBK" w:cs="Times New Roman"/>
          <w:sz w:val="33"/>
          <w:szCs w:val="33"/>
          <w:lang w:eastAsia="zh-CN"/>
        </w:rPr>
        <w:t>盐财资行</w:t>
      </w:r>
      <w:r>
        <w:rPr>
          <w:rFonts w:hint="eastAsia" w:ascii="方正仿宋_GBK" w:hAnsi="宋体" w:eastAsia="方正仿宋_GBK" w:cs="Times New Roman"/>
          <w:sz w:val="33"/>
          <w:szCs w:val="33"/>
        </w:rPr>
        <w:t>〔202</w:t>
      </w:r>
      <w:r>
        <w:rPr>
          <w:rFonts w:hint="eastAsia" w:ascii="方正仿宋_GBK" w:hAnsi="宋体" w:eastAsia="方正仿宋_GBK" w:cs="Times New Roman"/>
          <w:sz w:val="33"/>
          <w:szCs w:val="33"/>
          <w:lang w:val="en-US" w:eastAsia="zh-CN"/>
        </w:rPr>
        <w:t>2</w:t>
      </w:r>
      <w:r>
        <w:rPr>
          <w:rFonts w:hint="eastAsia" w:ascii="方正仿宋_GBK" w:hAnsi="宋体" w:eastAsia="方正仿宋_GBK" w:cs="Times New Roman"/>
          <w:sz w:val="33"/>
          <w:szCs w:val="33"/>
        </w:rPr>
        <w:t>〕</w:t>
      </w:r>
      <w:r>
        <w:rPr>
          <w:rFonts w:hint="eastAsia" w:ascii="方正仿宋_GBK" w:hAnsi="宋体" w:eastAsia="方正仿宋_GBK" w:cs="Times New Roman"/>
          <w:sz w:val="33"/>
          <w:szCs w:val="33"/>
          <w:lang w:val="en-US" w:eastAsia="zh-CN"/>
        </w:rPr>
        <w:t>301</w:t>
      </w:r>
      <w:r>
        <w:rPr>
          <w:rFonts w:hint="eastAsia" w:ascii="方正仿宋_GBK" w:hAnsi="宋体" w:eastAsia="方正仿宋_GBK" w:cs="Times New Roman"/>
          <w:sz w:val="33"/>
          <w:szCs w:val="33"/>
        </w:rPr>
        <w:t>号下达给2022年民族地区春节慰问</w:t>
      </w:r>
      <w:r>
        <w:rPr>
          <w:rFonts w:hint="eastAsia" w:ascii="方正仿宋_GBK" w:hAnsi="宋体" w:eastAsia="方正仿宋_GBK" w:cs="Times New Roman"/>
          <w:sz w:val="33"/>
          <w:szCs w:val="33"/>
          <w:lang w:eastAsia="zh-CN"/>
        </w:rPr>
        <w:t>金</w:t>
      </w:r>
      <w:r>
        <w:rPr>
          <w:rFonts w:hint="eastAsia" w:ascii="方正仿宋_GBK" w:hAnsi="宋体" w:eastAsia="方正仿宋_GBK" w:cs="Times New Roman"/>
          <w:sz w:val="33"/>
          <w:szCs w:val="33"/>
        </w:rPr>
        <w:t>1.6万元</w:t>
      </w:r>
      <w:r>
        <w:rPr>
          <w:rFonts w:hint="eastAsia" w:ascii="方正仿宋_GBK" w:hAnsi="宋体" w:eastAsia="方正仿宋_GBK" w:cs="Times New Roman"/>
          <w:sz w:val="33"/>
          <w:szCs w:val="33"/>
          <w:lang w:val="en-US" w:eastAsia="zh-CN"/>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08" w:name="_Toc28788"/>
      <w:bookmarkStart w:id="109" w:name="_Toc30834"/>
      <w:r>
        <w:rPr>
          <w:rFonts w:hint="eastAsia" w:ascii="Times New Roman" w:hAnsi="Times New Roman" w:eastAsia="楷体_GB2312"/>
          <w:kern w:val="2"/>
          <w:sz w:val="32"/>
          <w:szCs w:val="24"/>
        </w:rPr>
        <w:t>（二）项目绩效目标。</w:t>
      </w:r>
      <w:bookmarkEnd w:id="108"/>
      <w:bookmarkEnd w:id="10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1.主要内容</w:t>
      </w:r>
    </w:p>
    <w:p>
      <w:pPr>
        <w:autoSpaceDE/>
        <w:autoSpaceDN/>
        <w:adjustRightInd/>
        <w:spacing w:line="560" w:lineRule="exact"/>
        <w:ind w:firstLine="660" w:firstLineChars="200"/>
        <w:jc w:val="both"/>
        <w:rPr>
          <w:rFonts w:hint="eastAsia" w:ascii="Times New Roman" w:hAnsi="Times New Roman" w:eastAsia="Times New Roman"/>
          <w:kern w:val="2"/>
          <w:sz w:val="32"/>
          <w:szCs w:val="24"/>
        </w:rPr>
      </w:pPr>
      <w:r>
        <w:rPr>
          <w:rFonts w:hint="eastAsia" w:ascii="方正仿宋_GBK" w:hAnsi="宋体" w:eastAsia="方正仿宋_GBK"/>
          <w:sz w:val="33"/>
          <w:szCs w:val="24"/>
        </w:rPr>
        <w:t>按照省委省政府开展民族地区春节慰问活动的要求,</w:t>
      </w:r>
      <w:r>
        <w:rPr>
          <w:rFonts w:hint="eastAsia" w:ascii="方正仿宋_GBK" w:hAnsi="Times New Roman" w:eastAsia="方正仿宋_GBK"/>
          <w:sz w:val="33"/>
          <w:szCs w:val="24"/>
        </w:rPr>
        <w:t xml:space="preserve"> </w:t>
      </w:r>
      <w:r>
        <w:rPr>
          <w:rFonts w:hint="eastAsia" w:ascii="方正仿宋_GBK" w:hAnsi="宋体" w:eastAsia="方正仿宋_GBK"/>
          <w:sz w:val="33"/>
          <w:szCs w:val="24"/>
        </w:rPr>
        <w:t>2022年民族地区春节慰问活动慰问金共和乡1.6万元。完成我乡80户少数民族困难群众、受灾群众、困难职工代表等的慰问，紧扣“中华民族一家亲，同心共筑中国梦”总目标，适应新时代发展历史方位，以各族群众为主体，以铸牢中华民族共同体意识为主线，全力营造中华民族一家亲的社会氛围。</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2.计划实现的具体绩效目标</w:t>
      </w:r>
    </w:p>
    <w:p>
      <w:pPr>
        <w:autoSpaceDE/>
        <w:autoSpaceDN/>
        <w:adjustRightInd/>
        <w:spacing w:line="560" w:lineRule="exact"/>
        <w:ind w:firstLine="660" w:firstLineChars="200"/>
        <w:jc w:val="both"/>
        <w:rPr>
          <w:rFonts w:hint="eastAsia" w:ascii="Times New Roman" w:hAnsi="Times New Roman" w:eastAsia="Times New Roman"/>
          <w:kern w:val="2"/>
          <w:sz w:val="32"/>
          <w:szCs w:val="24"/>
        </w:rPr>
      </w:pPr>
      <w:r>
        <w:rPr>
          <w:rFonts w:hint="eastAsia" w:ascii="方正仿宋_GBK" w:hAnsi="宋体" w:eastAsia="方正仿宋_GBK"/>
          <w:sz w:val="33"/>
          <w:szCs w:val="24"/>
        </w:rPr>
        <w:t>完成我乡80户少数民族困难群众、受灾群众、困难职工代表等的慰问。</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10" w:name="_Toc24254"/>
      <w:bookmarkStart w:id="111" w:name="_Toc26644"/>
      <w:r>
        <w:rPr>
          <w:rFonts w:hint="eastAsia" w:ascii="Times New Roman" w:hAnsi="Times New Roman" w:eastAsia="楷体_GB2312"/>
          <w:kern w:val="2"/>
          <w:sz w:val="32"/>
          <w:szCs w:val="24"/>
        </w:rPr>
        <w:t>（三）项目资金申报相符性。</w:t>
      </w:r>
      <w:bookmarkEnd w:id="110"/>
      <w:bookmarkEnd w:id="11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该资金由县财政局下达预算到</w:t>
      </w:r>
      <w:r>
        <w:rPr>
          <w:rFonts w:hint="eastAsia" w:ascii="Times New Roman" w:hAnsi="Times New Roman" w:eastAsia="仿宋_GB2312"/>
          <w:kern w:val="2"/>
          <w:sz w:val="32"/>
          <w:szCs w:val="24"/>
          <w:lang w:eastAsia="zh-CN"/>
        </w:rPr>
        <w:t>共和乡</w:t>
      </w:r>
      <w:r>
        <w:rPr>
          <w:rFonts w:hint="eastAsia" w:ascii="Times New Roman" w:hAnsi="Times New Roman" w:eastAsia="仿宋_GB2312"/>
          <w:kern w:val="2"/>
          <w:sz w:val="32"/>
          <w:szCs w:val="24"/>
        </w:rPr>
        <w:t>人民政府进行核算与实际相符、申报目标合理可行。</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12" w:name="_Toc27229"/>
      <w:bookmarkStart w:id="113" w:name="_Toc7886"/>
      <w:r>
        <w:rPr>
          <w:rFonts w:hint="eastAsia" w:ascii="Times New Roman" w:hAnsi="Times New Roman" w:eastAsia="黑体"/>
          <w:kern w:val="2"/>
          <w:sz w:val="32"/>
          <w:szCs w:val="24"/>
        </w:rPr>
        <w:t>二、项目实施及管理情况</w:t>
      </w:r>
      <w:bookmarkEnd w:id="112"/>
      <w:bookmarkEnd w:id="113"/>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14" w:name="_Toc7921"/>
      <w:bookmarkStart w:id="115" w:name="_Toc21169"/>
      <w:r>
        <w:rPr>
          <w:rFonts w:hint="eastAsia" w:ascii="Times New Roman" w:hAnsi="Times New Roman" w:eastAsia="楷体_GB2312"/>
          <w:kern w:val="2"/>
          <w:sz w:val="32"/>
          <w:szCs w:val="24"/>
        </w:rPr>
        <w:t>（一）资金计划、到位及使用情况。</w:t>
      </w:r>
      <w:bookmarkEnd w:id="114"/>
      <w:bookmarkEnd w:id="115"/>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1.</w:t>
      </w:r>
      <w:r>
        <w:rPr>
          <w:rFonts w:hint="eastAsia" w:ascii="Times New Roman" w:hAnsi="Times New Roman" w:eastAsia="仿宋_GB2312"/>
          <w:b/>
          <w:kern w:val="2"/>
          <w:sz w:val="32"/>
          <w:szCs w:val="24"/>
        </w:rPr>
        <w:t>资金计划及到位。</w:t>
      </w:r>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Times New Roman"/>
          <w:kern w:val="2"/>
          <w:sz w:val="32"/>
          <w:szCs w:val="24"/>
        </w:rPr>
        <w:t>202</w:t>
      </w:r>
      <w:r>
        <w:rPr>
          <w:rFonts w:hint="eastAsia" w:ascii="Times New Roman" w:hAnsi="Times New Roman" w:eastAsia="仿宋_GB2312"/>
          <w:kern w:val="2"/>
          <w:sz w:val="32"/>
          <w:szCs w:val="24"/>
        </w:rPr>
        <w:t>2</w:t>
      </w:r>
      <w:r>
        <w:rPr>
          <w:rFonts w:hint="eastAsia" w:ascii="仿宋_GB2312" w:hAnsi="Times New Roman" w:eastAsia="仿宋_GB2312"/>
          <w:kern w:val="2"/>
          <w:sz w:val="32"/>
          <w:szCs w:val="24"/>
        </w:rPr>
        <w:t>年预算下达</w:t>
      </w:r>
      <w:r>
        <w:rPr>
          <w:rFonts w:hint="eastAsia" w:ascii="仿宋_GB2312" w:hAnsi="Times New Roman" w:eastAsia="仿宋_GB2312"/>
          <w:kern w:val="2"/>
          <w:sz w:val="32"/>
          <w:szCs w:val="24"/>
          <w:lang w:val="en-US" w:eastAsia="zh-CN"/>
        </w:rPr>
        <w:t>1.6</w:t>
      </w:r>
      <w:r>
        <w:rPr>
          <w:rFonts w:hint="eastAsia" w:ascii="Times New Roman" w:hAnsi="Times New Roman" w:eastAsia="仿宋_GB2312"/>
          <w:kern w:val="2"/>
          <w:sz w:val="32"/>
          <w:szCs w:val="24"/>
        </w:rPr>
        <w:t>万</w:t>
      </w:r>
      <w:r>
        <w:rPr>
          <w:rFonts w:hint="eastAsia" w:ascii="仿宋_GB2312" w:hAnsi="Times New Roman" w:eastAsia="仿宋_GB2312"/>
          <w:kern w:val="2"/>
          <w:sz w:val="32"/>
          <w:szCs w:val="24"/>
        </w:rPr>
        <w:t>元。</w:t>
      </w:r>
      <w:r>
        <w:rPr>
          <w:rFonts w:hint="eastAsia" w:ascii="Times New Roman" w:hAnsi="Times New Roman" w:eastAsia="仿宋_GB2312"/>
          <w:kern w:val="2"/>
          <w:sz w:val="32"/>
          <w:szCs w:val="24"/>
        </w:rPr>
        <w:t>该资金2022年当年全部到位，当年全部使用完毕。</w:t>
      </w:r>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2.</w:t>
      </w:r>
      <w:r>
        <w:rPr>
          <w:rFonts w:hint="eastAsia" w:ascii="Times New Roman" w:hAnsi="Times New Roman" w:eastAsia="仿宋_GB2312"/>
          <w:b/>
          <w:kern w:val="2"/>
          <w:sz w:val="32"/>
          <w:szCs w:val="24"/>
        </w:rPr>
        <w:t>资金使用。</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该资金截至评价时点，支付范围、支付标准、支付进度、支付依据等合规合法、与预算相符。我单位及时报账，按财政局要求专款专用，已全部报账使用。</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16" w:name="_Toc20993"/>
      <w:bookmarkStart w:id="117" w:name="_Toc3096"/>
      <w:r>
        <w:rPr>
          <w:rFonts w:hint="eastAsia" w:ascii="Times New Roman" w:hAnsi="Times New Roman" w:eastAsia="楷体_GB2312"/>
          <w:kern w:val="2"/>
          <w:sz w:val="32"/>
          <w:szCs w:val="24"/>
        </w:rPr>
        <w:t>（二）项目财务管理情况。</w:t>
      </w:r>
      <w:bookmarkEnd w:id="116"/>
      <w:bookmarkEnd w:id="11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18" w:name="_Toc2284"/>
      <w:bookmarkStart w:id="119" w:name="_Toc277"/>
      <w:r>
        <w:rPr>
          <w:rFonts w:hint="eastAsia" w:ascii="Times New Roman" w:hAnsi="Times New Roman" w:eastAsia="楷体_GB2312"/>
          <w:kern w:val="2"/>
          <w:sz w:val="32"/>
          <w:szCs w:val="24"/>
        </w:rPr>
        <w:t>（三）项目组织实施情况。</w:t>
      </w:r>
      <w:bookmarkEnd w:id="118"/>
      <w:bookmarkEnd w:id="11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由我单位牵头，各村协助开展工作。根据项目申报和经费下达情况进行方案编制。此项目资金为</w:t>
      </w:r>
      <w:r>
        <w:rPr>
          <w:rFonts w:hint="eastAsia" w:ascii="Times New Roman" w:hAnsi="Times New Roman" w:eastAsia="仿宋_GB2312" w:cs="Times New Roman"/>
          <w:kern w:val="2"/>
          <w:sz w:val="32"/>
          <w:szCs w:val="32"/>
        </w:rPr>
        <w:t>下达给2022年民族地区春节慰问</w:t>
      </w:r>
      <w:r>
        <w:rPr>
          <w:rFonts w:hint="eastAsia" w:ascii="Times New Roman" w:hAnsi="Times New Roman" w:eastAsia="仿宋_GB2312" w:cs="Times New Roman"/>
          <w:kern w:val="2"/>
          <w:sz w:val="32"/>
          <w:szCs w:val="32"/>
          <w:lang w:eastAsia="zh-CN"/>
        </w:rPr>
        <w:t>金</w:t>
      </w:r>
      <w:r>
        <w:rPr>
          <w:rFonts w:hint="eastAsia" w:ascii="方正仿宋_GBK" w:hAnsi="宋体" w:eastAsia="方正仿宋_GBK" w:cs="Times New Roman"/>
          <w:sz w:val="33"/>
          <w:szCs w:val="33"/>
          <w:lang w:val="en-US" w:eastAsia="zh-CN"/>
        </w:rPr>
        <w:t>。</w:t>
      </w:r>
      <w:r>
        <w:rPr>
          <w:rFonts w:hint="eastAsia" w:ascii="Times New Roman" w:hAnsi="Times New Roman" w:eastAsia="仿宋_GB2312"/>
          <w:kern w:val="2"/>
          <w:sz w:val="32"/>
          <w:szCs w:val="24"/>
        </w:rPr>
        <w:t>，县财政局下达预算资金，相关经办人员结合实际发生费用提供相关报账原始凭据报账，我单位进行审核，向财政局统一预算管理一体化平台申报计划，进行支付、核算。同时按照省级要求时间节点及时支付兑现。</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20" w:name="_Toc13050"/>
      <w:bookmarkStart w:id="121" w:name="_Toc22213"/>
      <w:r>
        <w:rPr>
          <w:rFonts w:hint="eastAsia" w:ascii="Times New Roman" w:hAnsi="Times New Roman" w:eastAsia="黑体"/>
          <w:kern w:val="2"/>
          <w:sz w:val="32"/>
          <w:szCs w:val="24"/>
        </w:rPr>
        <w:t>三、项目绩效情况</w:t>
      </w:r>
      <w:bookmarkEnd w:id="120"/>
      <w:bookmarkEnd w:id="121"/>
      <w:r>
        <w:rPr>
          <w:rFonts w:hint="eastAsia" w:ascii="Times New Roman" w:hAnsi="Times New Roman" w:eastAsia="Times New Roman"/>
          <w:kern w:val="2"/>
          <w:sz w:val="32"/>
          <w:szCs w:val="24"/>
        </w:rPr>
        <w:tab/>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22" w:name="_Toc8684"/>
      <w:bookmarkStart w:id="123" w:name="_Toc22555"/>
      <w:r>
        <w:rPr>
          <w:rFonts w:hint="eastAsia" w:ascii="Times New Roman" w:hAnsi="Times New Roman" w:eastAsia="楷体_GB2312"/>
          <w:kern w:val="2"/>
          <w:sz w:val="32"/>
          <w:szCs w:val="24"/>
        </w:rPr>
        <w:t>（一）项目完成情况。</w:t>
      </w:r>
      <w:bookmarkEnd w:id="122"/>
      <w:bookmarkEnd w:id="123"/>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已于2022年全部使用、报账及核算。主要用于</w:t>
      </w:r>
      <w:r>
        <w:rPr>
          <w:rFonts w:hint="eastAsia" w:ascii="Times New Roman" w:hAnsi="Times New Roman" w:eastAsia="仿宋_GB2312" w:cs="Times New Roman"/>
          <w:kern w:val="2"/>
          <w:sz w:val="32"/>
          <w:szCs w:val="32"/>
        </w:rPr>
        <w:t>我乡80户少数民族困难群众、受灾群众、困难职工代表等的慰问</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24" w:name="_Toc23890"/>
      <w:bookmarkStart w:id="125" w:name="_Toc4027"/>
      <w:r>
        <w:rPr>
          <w:rFonts w:hint="eastAsia" w:ascii="Times New Roman" w:hAnsi="Times New Roman" w:eastAsia="楷体_GB2312"/>
          <w:kern w:val="2"/>
          <w:sz w:val="32"/>
          <w:szCs w:val="24"/>
        </w:rPr>
        <w:t>（二）项目效益情况。</w:t>
      </w:r>
      <w:bookmarkEnd w:id="124"/>
      <w:bookmarkEnd w:id="125"/>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从项目经济、社会、生态、可持续效益以及服务对象满意度等方面对项目效益进行全面分析评价。</w:t>
      </w:r>
    </w:p>
    <w:p>
      <w:pPr>
        <w:autoSpaceDE/>
        <w:autoSpaceDN/>
        <w:adjustRightInd/>
        <w:spacing w:line="560" w:lineRule="exact"/>
        <w:ind w:firstLine="640" w:firstLineChars="200"/>
        <w:jc w:val="both"/>
        <w:rPr>
          <w:rFonts w:hint="eastAsia" w:ascii="仿宋_GB2312" w:hAnsi="Times New Roman" w:eastAsia="仿宋_GB2312" w:cs="Times New Roman"/>
          <w:kern w:val="2"/>
          <w:sz w:val="32"/>
          <w:szCs w:val="32"/>
        </w:rPr>
      </w:pPr>
      <w:r>
        <w:rPr>
          <w:rFonts w:hint="eastAsia" w:ascii="Times New Roman" w:hAnsi="Times New Roman" w:eastAsia="仿宋_GB2312"/>
          <w:kern w:val="2"/>
          <w:sz w:val="32"/>
          <w:szCs w:val="24"/>
        </w:rPr>
        <w:t>根据财政下达的预算资金额度，严格把控资金使用，不超支；</w:t>
      </w:r>
      <w:r>
        <w:rPr>
          <w:rFonts w:hint="eastAsia" w:ascii="仿宋_GB2312" w:hAnsi="Times New Roman" w:eastAsia="仿宋_GB2312"/>
          <w:kern w:val="2"/>
          <w:sz w:val="32"/>
          <w:szCs w:val="24"/>
        </w:rPr>
        <w:t>严格按照方案要求确定金额，可量化可考核，契合政策实质，与年度工作目标相一致，</w:t>
      </w:r>
      <w:r>
        <w:rPr>
          <w:rFonts w:hint="eastAsia" w:ascii="Times New Roman" w:hAnsi="Times New Roman" w:eastAsia="仿宋_GB2312" w:cs="Times New Roman"/>
          <w:kern w:val="2"/>
          <w:sz w:val="32"/>
          <w:szCs w:val="32"/>
        </w:rPr>
        <w:t>严格按照《关于开展2022年民族地区春节慰问活动的通知》（盐边民宗〔2022〕1 号）</w:t>
      </w:r>
      <w:r>
        <w:rPr>
          <w:rFonts w:hint="eastAsia" w:ascii="仿宋_GB2312" w:hAnsi="Times New Roman" w:eastAsia="仿宋_GB2312" w:cs="Times New Roman"/>
          <w:kern w:val="2"/>
          <w:sz w:val="32"/>
          <w:szCs w:val="32"/>
        </w:rPr>
        <w:t>，专款专用。</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26" w:name="_Toc25536"/>
      <w:bookmarkStart w:id="127" w:name="_Toc11649"/>
      <w:r>
        <w:rPr>
          <w:rFonts w:hint="eastAsia" w:ascii="Times New Roman" w:hAnsi="Times New Roman" w:eastAsia="黑体"/>
          <w:kern w:val="2"/>
          <w:sz w:val="32"/>
          <w:szCs w:val="24"/>
        </w:rPr>
        <w:t>四、问题及建议</w:t>
      </w:r>
      <w:bookmarkEnd w:id="126"/>
      <w:bookmarkEnd w:id="127"/>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28" w:name="_Toc14593"/>
      <w:bookmarkStart w:id="129" w:name="_Toc6440"/>
      <w:r>
        <w:rPr>
          <w:rFonts w:hint="eastAsia" w:ascii="Times New Roman" w:hAnsi="Times New Roman" w:eastAsia="楷体_GB2312"/>
          <w:kern w:val="2"/>
          <w:sz w:val="32"/>
          <w:szCs w:val="24"/>
        </w:rPr>
        <w:t>（一）存在的问题。</w:t>
      </w:r>
      <w:bookmarkEnd w:id="128"/>
      <w:bookmarkEnd w:id="12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楷体_GB2312"/>
          <w:kern w:val="2"/>
          <w:sz w:val="32"/>
          <w:szCs w:val="24"/>
        </w:rPr>
        <w:t>无。</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30" w:name="_Toc2128"/>
      <w:bookmarkStart w:id="131" w:name="_Toc3709"/>
      <w:r>
        <w:rPr>
          <w:rFonts w:hint="eastAsia" w:ascii="Times New Roman" w:hAnsi="Times New Roman" w:eastAsia="楷体_GB2312"/>
          <w:kern w:val="2"/>
          <w:sz w:val="32"/>
          <w:szCs w:val="24"/>
        </w:rPr>
        <w:t>（二）相关建议。</w:t>
      </w:r>
      <w:bookmarkEnd w:id="130"/>
      <w:bookmarkEnd w:id="13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无。</w:t>
      </w: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640" w:lineRule="exact"/>
        <w:jc w:val="center"/>
        <w:rPr>
          <w:rFonts w:hint="eastAsia" w:ascii="Times New Roman" w:hAnsi="Times New Roman" w:eastAsia="方正小标宋_GBK" w:cs="Times New Roman"/>
          <w:kern w:val="2"/>
          <w:sz w:val="44"/>
          <w:szCs w:val="44"/>
          <w:lang w:val="en-US" w:eastAsia="zh-CN" w:bidi="ar-SA"/>
        </w:rPr>
      </w:pPr>
    </w:p>
    <w:p>
      <w:pPr>
        <w:autoSpaceDE/>
        <w:autoSpaceDN/>
        <w:adjustRightInd/>
        <w:spacing w:line="640"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共和乡人民政府关于2022年共和乡特困人员供养经费的</w:t>
      </w:r>
    </w:p>
    <w:p>
      <w:pPr>
        <w:autoSpaceDE/>
        <w:autoSpaceDN/>
        <w:adjustRightInd/>
        <w:spacing w:line="640"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专项预算项目支出绩效自评报告</w:t>
      </w:r>
    </w:p>
    <w:p>
      <w:pPr>
        <w:autoSpaceDE/>
        <w:autoSpaceDN/>
        <w:adjustRightInd/>
        <w:spacing w:line="640" w:lineRule="exact"/>
        <w:jc w:val="center"/>
        <w:outlineLvl w:val="1"/>
        <w:rPr>
          <w:rFonts w:hint="eastAsia" w:ascii="Times New Roman" w:hAnsi="Times New Roman" w:eastAsia="Times New Roman"/>
          <w:b/>
          <w:kern w:val="2"/>
          <w:sz w:val="32"/>
          <w:szCs w:val="24"/>
        </w:rPr>
      </w:pPr>
      <w:bookmarkStart w:id="132" w:name="_Toc21282"/>
      <w:bookmarkStart w:id="133" w:name="_Toc12310"/>
      <w:r>
        <w:rPr>
          <w:rFonts w:hint="eastAsia" w:ascii="Times New Roman" w:hAnsi="Times New Roman" w:eastAsia="楷体_GB2312"/>
          <w:b/>
          <w:kern w:val="2"/>
          <w:sz w:val="32"/>
          <w:szCs w:val="24"/>
        </w:rPr>
        <w:t>（项目单位自评）</w:t>
      </w:r>
      <w:bookmarkEnd w:id="132"/>
      <w:bookmarkEnd w:id="133"/>
    </w:p>
    <w:p>
      <w:pPr>
        <w:spacing w:line="560" w:lineRule="exact"/>
        <w:ind w:firstLine="640"/>
        <w:jc w:val="center"/>
        <w:rPr>
          <w:rFonts w:hint="eastAsia" w:ascii="Times New Roman" w:hAnsi="Times New Roman" w:eastAsia="Times New Roman" w:cs="Times New Roman"/>
          <w:color w:val="auto"/>
          <w:kern w:val="2"/>
          <w:sz w:val="32"/>
          <w:szCs w:val="32"/>
          <w:lang w:val="zh-CN" w:eastAsia="zh-CN" w:bidi="ar-SA"/>
        </w:rPr>
      </w:pP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34" w:name="_Toc1839"/>
      <w:bookmarkStart w:id="135" w:name="_Toc5794"/>
      <w:r>
        <w:rPr>
          <w:rFonts w:hint="eastAsia" w:ascii="Times New Roman" w:hAnsi="Times New Roman" w:eastAsia="黑体"/>
          <w:kern w:val="2"/>
          <w:sz w:val="32"/>
          <w:szCs w:val="24"/>
        </w:rPr>
        <w:t>一、项目概况</w:t>
      </w:r>
      <w:bookmarkEnd w:id="134"/>
      <w:bookmarkEnd w:id="135"/>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36" w:name="_Toc13740"/>
      <w:bookmarkStart w:id="137" w:name="_Toc19489"/>
      <w:r>
        <w:rPr>
          <w:rFonts w:hint="eastAsia" w:ascii="Times New Roman" w:hAnsi="Times New Roman" w:eastAsia="楷体_GB2312"/>
          <w:kern w:val="2"/>
          <w:sz w:val="32"/>
          <w:szCs w:val="24"/>
        </w:rPr>
        <w:t>（一）项目资金申报及批复情况。</w:t>
      </w:r>
      <w:bookmarkEnd w:id="136"/>
      <w:bookmarkEnd w:id="13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sz w:val="32"/>
          <w:szCs w:val="24"/>
        </w:rPr>
        <w:t>根据</w:t>
      </w:r>
      <w:r>
        <w:rPr>
          <w:rFonts w:hint="eastAsia" w:ascii="仿宋_GB2312" w:hAnsi="Times New Roman" w:eastAsia="仿宋_GB2312"/>
          <w:color w:val="auto"/>
          <w:sz w:val="32"/>
          <w:szCs w:val="24"/>
          <w:lang w:val="en-US" w:eastAsia="zh-CN"/>
        </w:rPr>
        <w:t>2022年年初预算</w:t>
      </w:r>
      <w:r>
        <w:rPr>
          <w:rFonts w:hint="eastAsia" w:ascii="仿宋_GB2312" w:hAnsi="Times New Roman" w:eastAsia="仿宋_GB2312"/>
          <w:sz w:val="32"/>
          <w:szCs w:val="24"/>
        </w:rPr>
        <w:t>下达</w:t>
      </w:r>
      <w:r>
        <w:rPr>
          <w:rFonts w:hint="eastAsia" w:ascii="仿宋_GB2312" w:hAnsi="Times New Roman" w:eastAsia="仿宋_GB2312"/>
          <w:sz w:val="32"/>
          <w:szCs w:val="24"/>
          <w:lang w:val="en-US" w:eastAsia="zh-CN"/>
        </w:rPr>
        <w:t>2022年特困人员供养经费27.24万元，用于解决特困人员供养产生的相关费用</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38" w:name="_Toc25802"/>
      <w:bookmarkStart w:id="139" w:name="_Toc23450"/>
      <w:r>
        <w:rPr>
          <w:rFonts w:hint="eastAsia" w:ascii="Times New Roman" w:hAnsi="Times New Roman" w:eastAsia="楷体_GB2312"/>
          <w:kern w:val="2"/>
          <w:sz w:val="32"/>
          <w:szCs w:val="24"/>
        </w:rPr>
        <w:t>（二）项目绩效目标。</w:t>
      </w:r>
      <w:bookmarkEnd w:id="138"/>
      <w:bookmarkEnd w:id="13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1.主要内容</w:t>
      </w:r>
    </w:p>
    <w:p>
      <w:pPr>
        <w:widowControl/>
        <w:numPr>
          <w:ilvl w:val="0"/>
          <w:numId w:val="0"/>
        </w:numPr>
        <w:rPr>
          <w:rFonts w:hint="eastAsia" w:ascii="Times New Roman" w:hAnsi="Times New Roman" w:eastAsia="仿宋_GB2312"/>
          <w:kern w:val="2"/>
          <w:sz w:val="32"/>
          <w:szCs w:val="24"/>
        </w:rPr>
      </w:pPr>
      <w:r>
        <w:rPr>
          <w:rFonts w:hint="eastAsia" w:ascii="仿宋_GB2312" w:hAnsi="仿宋_GB2312" w:eastAsia="仿宋_GB2312" w:cs="仿宋_GB2312"/>
          <w:color w:val="000000"/>
          <w:sz w:val="33"/>
          <w:szCs w:val="33"/>
          <w:lang w:val="en-US" w:eastAsia="zh-CN" w:bidi="ar"/>
        </w:rPr>
        <w:t xml:space="preserve">   </w:t>
      </w:r>
      <w:r>
        <w:rPr>
          <w:rFonts w:hint="eastAsia" w:ascii="Times New Roman" w:hAnsi="Times New Roman" w:eastAsia="仿宋_GB2312" w:cs="Times New Roman"/>
          <w:sz w:val="32"/>
          <w:szCs w:val="24"/>
          <w:lang w:val="en-US" w:eastAsia="zh-CN"/>
        </w:rPr>
        <w:t>为2022年特困人员发放丧葬补贴，生活费，御寒费，日间照料费，减轻特困人员监护人家负担，减轻监理特困人员的各项经济负担</w:t>
      </w:r>
      <w:r>
        <w:rPr>
          <w:rFonts w:hint="eastAsia" w:ascii="仿宋_GB2312" w:hAnsi="仿宋_GB2312" w:eastAsia="仿宋_GB2312" w:cs="仿宋_GB2312"/>
          <w:color w:val="000000"/>
          <w:sz w:val="33"/>
          <w:szCs w:val="33"/>
          <w:lang w:val="en-US" w:eastAsia="zh-CN" w:bidi="ar"/>
        </w:rPr>
        <w:t>。</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2.计划实现的具体绩效目标</w:t>
      </w:r>
    </w:p>
    <w:p>
      <w:pPr>
        <w:autoSpaceDE/>
        <w:autoSpaceDN/>
        <w:adjustRightInd/>
        <w:spacing w:line="560" w:lineRule="exact"/>
        <w:ind w:firstLine="640" w:firstLineChars="200"/>
        <w:jc w:val="both"/>
        <w:rPr>
          <w:rFonts w:hint="eastAsia" w:ascii="仿宋_GB2312" w:hAnsi="Times New Roman" w:eastAsia="仿宋_GB2312"/>
          <w:sz w:val="32"/>
          <w:szCs w:val="24"/>
          <w:lang w:val="en-US" w:eastAsia="zh-CN"/>
        </w:rPr>
      </w:pPr>
      <w:r>
        <w:rPr>
          <w:rFonts w:hint="eastAsia" w:ascii="Times New Roman" w:hAnsi="Times New Roman" w:eastAsia="仿宋_GB2312"/>
          <w:sz w:val="32"/>
          <w:szCs w:val="24"/>
        </w:rPr>
        <w:t>该资金由县财政局下达预算到</w:t>
      </w:r>
      <w:r>
        <w:rPr>
          <w:rFonts w:hint="eastAsia" w:ascii="Times New Roman" w:hAnsi="Times New Roman" w:eastAsia="仿宋_GB2312"/>
          <w:sz w:val="32"/>
          <w:szCs w:val="24"/>
          <w:lang w:eastAsia="zh-CN"/>
        </w:rPr>
        <w:t>盐边县共和乡人民政府</w:t>
      </w:r>
      <w:r>
        <w:rPr>
          <w:rFonts w:hint="eastAsia" w:ascii="Times New Roman" w:hAnsi="Times New Roman" w:eastAsia="仿宋_GB2312"/>
          <w:sz w:val="32"/>
          <w:szCs w:val="24"/>
        </w:rPr>
        <w:t>进行核算。</w:t>
      </w:r>
      <w:r>
        <w:rPr>
          <w:rFonts w:hint="eastAsia" w:ascii="Times New Roman" w:hAnsi="Times New Roman" w:eastAsia="仿宋_GB2312"/>
          <w:sz w:val="32"/>
          <w:szCs w:val="24"/>
          <w:lang w:eastAsia="zh-CN"/>
        </w:rPr>
        <w:t>以</w:t>
      </w:r>
      <w:r>
        <w:rPr>
          <w:rFonts w:hint="eastAsia" w:ascii="仿宋_GB2312" w:hAnsi="仿宋_GB2312" w:eastAsia="仿宋_GB2312" w:cs="仿宋_GB2312"/>
          <w:color w:val="000000"/>
          <w:sz w:val="33"/>
          <w:szCs w:val="33"/>
          <w:lang w:val="en-US" w:eastAsia="zh-CN" w:bidi="ar"/>
        </w:rPr>
        <w:t>死亡人员每人3000元补贴为标准，</w:t>
      </w:r>
      <w:r>
        <w:rPr>
          <w:rFonts w:hint="eastAsia" w:ascii="仿宋_GB2312" w:hAnsi="Times New Roman" w:eastAsia="仿宋_GB2312"/>
          <w:sz w:val="32"/>
          <w:szCs w:val="24"/>
          <w:lang w:val="en-US" w:eastAsia="zh-CN"/>
        </w:rPr>
        <w:t>解决辖区内五保户死亡后产生的相关费用</w:t>
      </w:r>
      <w:r>
        <w:rPr>
          <w:rFonts w:hint="eastAsia" w:ascii="Times New Roman" w:hAnsi="Times New Roman" w:eastAsia="仿宋_GB2312"/>
          <w:sz w:val="32"/>
          <w:szCs w:val="24"/>
        </w:rPr>
        <w:t>。</w:t>
      </w:r>
      <w:r>
        <w:rPr>
          <w:rFonts w:hint="eastAsia" w:ascii="Times New Roman" w:hAnsi="Times New Roman" w:eastAsia="仿宋_GB2312"/>
          <w:sz w:val="32"/>
          <w:szCs w:val="24"/>
          <w:lang w:eastAsia="zh-CN"/>
        </w:rPr>
        <w:t>生活费以每人每年</w:t>
      </w:r>
      <w:r>
        <w:rPr>
          <w:rFonts w:hint="eastAsia" w:ascii="仿宋_GB2312" w:hAnsi="仿宋_GB2312" w:eastAsia="仿宋_GB2312" w:cs="仿宋_GB2312"/>
          <w:color w:val="000000"/>
          <w:sz w:val="33"/>
          <w:szCs w:val="33"/>
          <w:lang w:val="en-US" w:eastAsia="zh-CN" w:bidi="ar"/>
        </w:rPr>
        <w:t>8400的标准</w:t>
      </w:r>
      <w:r>
        <w:rPr>
          <w:rFonts w:hint="eastAsia" w:ascii="仿宋_GB2312" w:hAnsi="Times New Roman" w:eastAsia="仿宋_GB2312"/>
          <w:sz w:val="32"/>
          <w:szCs w:val="24"/>
          <w:lang w:val="en-US" w:eastAsia="zh-CN"/>
        </w:rPr>
        <w:t>解决辖区内五保户生活上的相关费用。御寒费以每人每年400元的标准发放，保障五保户御寒的各项开支，照料日理费50元标准18人，80元标准2人，120元标准17人。共计22800，主要用于保障五保户日间照理上的各项开支。</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40" w:name="_Toc20936"/>
      <w:bookmarkStart w:id="141" w:name="_Toc24991"/>
      <w:r>
        <w:rPr>
          <w:rFonts w:hint="eastAsia" w:ascii="Times New Roman" w:hAnsi="Times New Roman" w:eastAsia="楷体_GB2312"/>
          <w:kern w:val="2"/>
          <w:sz w:val="32"/>
          <w:szCs w:val="24"/>
        </w:rPr>
        <w:t>（三）项目资金申报相符性。</w:t>
      </w:r>
      <w:bookmarkEnd w:id="140"/>
      <w:bookmarkEnd w:id="14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该资金由县财政局下达预算到盐边县</w:t>
      </w:r>
      <w:r>
        <w:rPr>
          <w:rFonts w:hint="eastAsia" w:ascii="Times New Roman" w:hAnsi="Times New Roman" w:eastAsia="仿宋_GB2312"/>
          <w:kern w:val="2"/>
          <w:sz w:val="32"/>
          <w:szCs w:val="24"/>
          <w:lang w:val="en-US" w:eastAsia="zh-CN"/>
        </w:rPr>
        <w:t>共和乡</w:t>
      </w:r>
      <w:r>
        <w:rPr>
          <w:rFonts w:hint="eastAsia" w:ascii="Times New Roman" w:hAnsi="Times New Roman" w:eastAsia="仿宋_GB2312"/>
          <w:kern w:val="2"/>
          <w:sz w:val="32"/>
          <w:szCs w:val="24"/>
        </w:rPr>
        <w:t>人民政府进行核算。与实际相符、申报目标合理可行。</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42" w:name="_Toc23950"/>
      <w:bookmarkStart w:id="143" w:name="_Toc9560"/>
      <w:r>
        <w:rPr>
          <w:rFonts w:hint="eastAsia" w:ascii="Times New Roman" w:hAnsi="Times New Roman" w:eastAsia="黑体"/>
          <w:kern w:val="2"/>
          <w:sz w:val="32"/>
          <w:szCs w:val="24"/>
        </w:rPr>
        <w:t>二、项目实施及管理情况</w:t>
      </w:r>
      <w:bookmarkEnd w:id="142"/>
      <w:bookmarkEnd w:id="143"/>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44" w:name="_Toc24902"/>
      <w:bookmarkStart w:id="145" w:name="_Toc6887"/>
      <w:r>
        <w:rPr>
          <w:rFonts w:hint="eastAsia" w:ascii="Times New Roman" w:hAnsi="Times New Roman" w:eastAsia="楷体_GB2312"/>
          <w:kern w:val="2"/>
          <w:sz w:val="32"/>
          <w:szCs w:val="24"/>
        </w:rPr>
        <w:t>（一）资金计划、到位及使用情况。</w:t>
      </w:r>
      <w:bookmarkEnd w:id="144"/>
      <w:bookmarkEnd w:id="145"/>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1.</w:t>
      </w:r>
      <w:r>
        <w:rPr>
          <w:rFonts w:hint="eastAsia" w:ascii="Times New Roman" w:hAnsi="Times New Roman" w:eastAsia="仿宋_GB2312"/>
          <w:b/>
          <w:kern w:val="2"/>
          <w:sz w:val="32"/>
          <w:szCs w:val="24"/>
        </w:rPr>
        <w:t>资金计划及到位。</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Times New Roman"/>
          <w:kern w:val="2"/>
          <w:sz w:val="32"/>
          <w:szCs w:val="24"/>
        </w:rPr>
        <w:t>202</w:t>
      </w:r>
      <w:r>
        <w:rPr>
          <w:rFonts w:hint="eastAsia" w:ascii="Times New Roman" w:hAnsi="Times New Roman" w:eastAsia="仿宋_GB2312"/>
          <w:kern w:val="2"/>
          <w:sz w:val="32"/>
          <w:szCs w:val="24"/>
        </w:rPr>
        <w:t>2</w:t>
      </w:r>
      <w:r>
        <w:rPr>
          <w:rFonts w:hint="eastAsia" w:ascii="仿宋_GB2312" w:hAnsi="Times New Roman" w:eastAsia="仿宋_GB2312"/>
          <w:kern w:val="2"/>
          <w:sz w:val="32"/>
          <w:szCs w:val="24"/>
        </w:rPr>
        <w:t>年预算下达省级</w:t>
      </w:r>
      <w:r>
        <w:rPr>
          <w:rFonts w:hint="eastAsia" w:ascii="Times New Roman" w:hAnsi="Times New Roman" w:eastAsia="仿宋_GB2312"/>
          <w:kern w:val="2"/>
          <w:sz w:val="32"/>
          <w:szCs w:val="24"/>
        </w:rPr>
        <w:t>资金</w:t>
      </w:r>
      <w:r>
        <w:rPr>
          <w:rFonts w:hint="eastAsia" w:ascii="Times New Roman" w:hAnsi="Times New Roman" w:eastAsia="仿宋_GB2312"/>
          <w:kern w:val="2"/>
          <w:sz w:val="32"/>
          <w:szCs w:val="24"/>
          <w:lang w:val="en-US" w:eastAsia="zh-CN"/>
        </w:rPr>
        <w:t>27.24</w:t>
      </w:r>
      <w:r>
        <w:rPr>
          <w:rFonts w:hint="eastAsia" w:ascii="Times New Roman" w:hAnsi="Times New Roman" w:eastAsia="仿宋_GB2312"/>
          <w:kern w:val="2"/>
          <w:sz w:val="32"/>
          <w:szCs w:val="24"/>
        </w:rPr>
        <w:t>万</w:t>
      </w:r>
      <w:r>
        <w:rPr>
          <w:rFonts w:hint="eastAsia" w:ascii="仿宋_GB2312" w:hAnsi="Times New Roman" w:eastAsia="仿宋_GB2312"/>
          <w:kern w:val="2"/>
          <w:sz w:val="32"/>
          <w:szCs w:val="24"/>
        </w:rPr>
        <w:t>元。</w:t>
      </w:r>
      <w:r>
        <w:rPr>
          <w:rFonts w:hint="eastAsia" w:ascii="Times New Roman" w:hAnsi="Times New Roman" w:eastAsia="仿宋_GB2312"/>
          <w:kern w:val="2"/>
          <w:sz w:val="32"/>
          <w:szCs w:val="24"/>
        </w:rPr>
        <w:t>该资金2022年当年全部到位，当年全部使用完毕。</w:t>
      </w:r>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2.</w:t>
      </w:r>
      <w:r>
        <w:rPr>
          <w:rFonts w:hint="eastAsia" w:ascii="Times New Roman" w:hAnsi="Times New Roman" w:eastAsia="仿宋_GB2312"/>
          <w:b/>
          <w:kern w:val="2"/>
          <w:sz w:val="32"/>
          <w:szCs w:val="24"/>
        </w:rPr>
        <w:t>资金使用。</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该资金截至评价时点，支付范围、支付标准、支付进度、支付依据等合规合法、与预算相符。我单位及时报账，按财政局要求专款专用，已全部报账使用。</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46" w:name="_Toc30218"/>
      <w:bookmarkStart w:id="147" w:name="_Toc16094"/>
      <w:r>
        <w:rPr>
          <w:rFonts w:hint="eastAsia" w:ascii="Times New Roman" w:hAnsi="Times New Roman" w:eastAsia="楷体_GB2312"/>
          <w:kern w:val="2"/>
          <w:sz w:val="32"/>
          <w:szCs w:val="24"/>
        </w:rPr>
        <w:t>（二）项目财务管理情况。</w:t>
      </w:r>
      <w:bookmarkEnd w:id="146"/>
      <w:bookmarkEnd w:id="14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48" w:name="_Toc19337"/>
      <w:bookmarkStart w:id="149" w:name="_Toc15839"/>
      <w:r>
        <w:rPr>
          <w:rFonts w:hint="eastAsia" w:ascii="Times New Roman" w:hAnsi="Times New Roman" w:eastAsia="楷体_GB2312"/>
          <w:kern w:val="2"/>
          <w:sz w:val="32"/>
          <w:szCs w:val="24"/>
        </w:rPr>
        <w:t>（三）项目组织实施情况。</w:t>
      </w:r>
      <w:bookmarkEnd w:id="148"/>
      <w:bookmarkEnd w:id="14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由我单位牵头，各村协助开展工作。根据项目申报和经费下达情况进行方案编制。此项目资金为2022年度，县财政局下达</w:t>
      </w:r>
      <w:r>
        <w:rPr>
          <w:rFonts w:hint="eastAsia" w:ascii="仿宋_GB2312" w:hAnsi="Times New Roman" w:eastAsia="仿宋_GB2312"/>
          <w:sz w:val="32"/>
          <w:szCs w:val="24"/>
          <w:lang w:val="en-US" w:eastAsia="zh-CN"/>
        </w:rPr>
        <w:t>2022年特困人员供养经费</w:t>
      </w:r>
      <w:r>
        <w:rPr>
          <w:rFonts w:hint="eastAsia" w:ascii="Times New Roman" w:hAnsi="Times New Roman" w:eastAsia="仿宋_GB2312"/>
          <w:kern w:val="2"/>
          <w:sz w:val="32"/>
          <w:szCs w:val="24"/>
        </w:rPr>
        <w:t>预算资金，相关经办人员结合实际发生费用提供相关报账原始凭据报账，我单位进行审核，向财政局统一预算管理一体化平台申报计划，进行支付、核算。同时按照省级要求时间节点及时支付兑现。</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50" w:name="_Toc21935"/>
      <w:bookmarkStart w:id="151" w:name="_Toc29956"/>
      <w:r>
        <w:rPr>
          <w:rFonts w:hint="eastAsia" w:ascii="Times New Roman" w:hAnsi="Times New Roman" w:eastAsia="黑体"/>
          <w:kern w:val="2"/>
          <w:sz w:val="32"/>
          <w:szCs w:val="24"/>
        </w:rPr>
        <w:t>三、项目绩效情况</w:t>
      </w:r>
      <w:bookmarkEnd w:id="150"/>
      <w:bookmarkEnd w:id="151"/>
      <w:r>
        <w:rPr>
          <w:rFonts w:hint="eastAsia" w:ascii="Times New Roman" w:hAnsi="Times New Roman" w:eastAsia="Times New Roman"/>
          <w:kern w:val="2"/>
          <w:sz w:val="32"/>
          <w:szCs w:val="24"/>
        </w:rPr>
        <w:tab/>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52" w:name="_Toc7836"/>
      <w:bookmarkStart w:id="153" w:name="_Toc31540"/>
      <w:r>
        <w:rPr>
          <w:rFonts w:hint="eastAsia" w:ascii="Times New Roman" w:hAnsi="Times New Roman" w:eastAsia="楷体_GB2312"/>
          <w:kern w:val="2"/>
          <w:sz w:val="32"/>
          <w:szCs w:val="24"/>
        </w:rPr>
        <w:t>（一）项目完成情况。</w:t>
      </w:r>
      <w:bookmarkEnd w:id="152"/>
      <w:bookmarkEnd w:id="153"/>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已于2022年全部使用、报账及核算。主要用于</w:t>
      </w:r>
      <w:r>
        <w:rPr>
          <w:rFonts w:hint="eastAsia" w:ascii="仿宋_GB2312" w:hAnsi="Times New Roman" w:eastAsia="仿宋_GB2312"/>
          <w:sz w:val="32"/>
          <w:szCs w:val="24"/>
        </w:rPr>
        <w:t>按照县财政下达预算，民政局提供</w:t>
      </w:r>
      <w:r>
        <w:rPr>
          <w:rFonts w:hint="eastAsia" w:ascii="仿宋_GB2312" w:hAnsi="Times New Roman" w:eastAsia="仿宋_GB2312"/>
          <w:sz w:val="32"/>
          <w:szCs w:val="24"/>
          <w:lang w:eastAsia="zh-CN"/>
        </w:rPr>
        <w:t>辖区内五保户相关名单对各项资金进行兑付</w:t>
      </w:r>
      <w:r>
        <w:rPr>
          <w:rFonts w:hint="eastAsia" w:ascii="仿宋_GB2312" w:hAnsi="Times New Roman" w:eastAsia="仿宋_GB2312"/>
          <w:sz w:val="32"/>
          <w:szCs w:val="24"/>
        </w:rPr>
        <w:t>。</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54" w:name="_Toc377"/>
      <w:bookmarkStart w:id="155" w:name="_Toc1006"/>
      <w:r>
        <w:rPr>
          <w:rFonts w:hint="eastAsia" w:ascii="Times New Roman" w:hAnsi="Times New Roman" w:eastAsia="楷体_GB2312"/>
          <w:kern w:val="2"/>
          <w:sz w:val="32"/>
          <w:szCs w:val="24"/>
        </w:rPr>
        <w:t>（二）项目效益情况。</w:t>
      </w:r>
      <w:bookmarkEnd w:id="154"/>
      <w:bookmarkEnd w:id="155"/>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仿宋_GB2312"/>
          <w:kern w:val="2"/>
          <w:sz w:val="32"/>
          <w:szCs w:val="24"/>
        </w:rPr>
        <w:t>根据财政下达的预算资金额度，严格把控资金使用，不超支；</w:t>
      </w:r>
      <w:r>
        <w:rPr>
          <w:rFonts w:hint="eastAsia" w:ascii="仿宋_GB2312" w:hAnsi="Times New Roman" w:eastAsia="仿宋_GB2312"/>
          <w:kern w:val="2"/>
          <w:sz w:val="32"/>
          <w:szCs w:val="24"/>
        </w:rPr>
        <w:t>严格按照方案要求确定金额，可量化可考核，契合政策实质，与年度工作目标相一致，</w:t>
      </w:r>
      <w:r>
        <w:rPr>
          <w:rFonts w:hint="eastAsia" w:ascii="Times New Roman" w:hAnsi="Times New Roman" w:eastAsia="仿宋_GB2312"/>
          <w:sz w:val="32"/>
          <w:szCs w:val="24"/>
          <w:lang w:eastAsia="zh-CN"/>
        </w:rPr>
        <w:t>解决五保户后顾之忧</w:t>
      </w:r>
      <w:r>
        <w:rPr>
          <w:rFonts w:hint="eastAsia" w:ascii="Times New Roman" w:hAnsi="Times New Roman" w:eastAsia="仿宋_GB2312"/>
          <w:sz w:val="32"/>
          <w:szCs w:val="24"/>
        </w:rPr>
        <w:t>，</w:t>
      </w:r>
      <w:r>
        <w:rPr>
          <w:rFonts w:hint="eastAsia" w:ascii="Times New Roman" w:hAnsi="Times New Roman" w:eastAsia="仿宋_GB2312"/>
          <w:sz w:val="32"/>
          <w:szCs w:val="24"/>
          <w:lang w:eastAsia="zh-CN"/>
        </w:rPr>
        <w:t>提升五保户生活质量</w:t>
      </w:r>
      <w:r>
        <w:rPr>
          <w:rFonts w:hint="eastAsia" w:ascii="仿宋_GB2312" w:hAnsi="宋体" w:eastAsia="仿宋_GB2312" w:cs="仿宋_GB2312"/>
          <w:color w:val="000000"/>
          <w:sz w:val="31"/>
          <w:szCs w:val="31"/>
          <w:lang w:val="en-US" w:eastAsia="zh-CN" w:bidi="ar"/>
        </w:rPr>
        <w:t>，提高群众满意度</w:t>
      </w:r>
      <w:r>
        <w:rPr>
          <w:rFonts w:hint="eastAsia" w:ascii="仿宋_GB2312" w:hAnsi="Times New Roman" w:eastAsia="仿宋_GB2312"/>
          <w:kern w:val="2"/>
          <w:sz w:val="32"/>
          <w:szCs w:val="24"/>
        </w:rPr>
        <w:t>。</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56" w:name="_Toc4379"/>
      <w:bookmarkStart w:id="157" w:name="_Toc28954"/>
      <w:r>
        <w:rPr>
          <w:rFonts w:hint="eastAsia" w:ascii="Times New Roman" w:hAnsi="Times New Roman" w:eastAsia="黑体"/>
          <w:kern w:val="2"/>
          <w:sz w:val="32"/>
          <w:szCs w:val="24"/>
        </w:rPr>
        <w:t>四、问题及建议</w:t>
      </w:r>
      <w:bookmarkEnd w:id="156"/>
      <w:bookmarkEnd w:id="157"/>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58" w:name="_Toc9746"/>
      <w:bookmarkStart w:id="159" w:name="_Toc18399"/>
      <w:r>
        <w:rPr>
          <w:rFonts w:hint="eastAsia" w:ascii="Times New Roman" w:hAnsi="Times New Roman" w:eastAsia="楷体_GB2312"/>
          <w:kern w:val="2"/>
          <w:sz w:val="32"/>
          <w:szCs w:val="24"/>
        </w:rPr>
        <w:t>（一）存在的问题。</w:t>
      </w:r>
      <w:bookmarkEnd w:id="158"/>
      <w:bookmarkEnd w:id="15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楷体_GB2312"/>
          <w:kern w:val="2"/>
          <w:sz w:val="32"/>
          <w:szCs w:val="24"/>
        </w:rPr>
        <w:t>无。</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60" w:name="_Toc23048"/>
      <w:bookmarkStart w:id="161" w:name="_Toc18336"/>
      <w:r>
        <w:rPr>
          <w:rFonts w:hint="eastAsia" w:ascii="Times New Roman" w:hAnsi="Times New Roman" w:eastAsia="楷体_GB2312"/>
          <w:kern w:val="2"/>
          <w:sz w:val="32"/>
          <w:szCs w:val="24"/>
        </w:rPr>
        <w:t>（二）相关建议。</w:t>
      </w:r>
      <w:bookmarkEnd w:id="160"/>
      <w:bookmarkEnd w:id="16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无。</w:t>
      </w: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560" w:lineRule="exact"/>
        <w:ind w:firstLine="640" w:firstLineChars="200"/>
        <w:jc w:val="both"/>
        <w:rPr>
          <w:rFonts w:hint="eastAsia" w:ascii="Times New Roman" w:hAnsi="Times New Roman" w:eastAsia="仿宋_GB2312"/>
          <w:kern w:val="2"/>
          <w:sz w:val="32"/>
          <w:szCs w:val="24"/>
          <w:lang w:val="en-US" w:eastAsia="zh-CN"/>
        </w:rPr>
      </w:pPr>
    </w:p>
    <w:p>
      <w:pPr>
        <w:autoSpaceDE/>
        <w:autoSpaceDN/>
        <w:adjustRightInd/>
        <w:spacing w:line="640"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共和乡人民政府关于2022敬老院人员工作经费-公用经费的</w:t>
      </w:r>
    </w:p>
    <w:p>
      <w:pPr>
        <w:autoSpaceDE/>
        <w:autoSpaceDN/>
        <w:adjustRightInd/>
        <w:spacing w:line="640"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专项预算项目支出绩效自评报告</w:t>
      </w:r>
    </w:p>
    <w:p>
      <w:pPr>
        <w:autoSpaceDE/>
        <w:autoSpaceDN/>
        <w:adjustRightInd/>
        <w:spacing w:line="640" w:lineRule="exact"/>
        <w:jc w:val="center"/>
        <w:outlineLvl w:val="1"/>
        <w:rPr>
          <w:rFonts w:hint="eastAsia" w:ascii="Times New Roman" w:hAnsi="Times New Roman" w:eastAsia="Times New Roman"/>
          <w:b/>
          <w:kern w:val="2"/>
          <w:sz w:val="32"/>
          <w:szCs w:val="24"/>
        </w:rPr>
      </w:pPr>
      <w:bookmarkStart w:id="162" w:name="_Toc27208"/>
      <w:bookmarkStart w:id="163" w:name="_Toc24416"/>
      <w:r>
        <w:rPr>
          <w:rFonts w:hint="eastAsia" w:ascii="Times New Roman" w:hAnsi="Times New Roman" w:eastAsia="楷体_GB2312"/>
          <w:b/>
          <w:kern w:val="2"/>
          <w:sz w:val="32"/>
          <w:szCs w:val="24"/>
        </w:rPr>
        <w:t>（项目单位自评）</w:t>
      </w:r>
      <w:bookmarkEnd w:id="162"/>
      <w:bookmarkEnd w:id="163"/>
    </w:p>
    <w:p>
      <w:pPr>
        <w:spacing w:line="560" w:lineRule="exact"/>
        <w:ind w:firstLine="640"/>
        <w:jc w:val="center"/>
        <w:rPr>
          <w:rFonts w:hint="eastAsia" w:ascii="Times New Roman" w:hAnsi="Times New Roman" w:eastAsia="Times New Roman" w:cs="Times New Roman"/>
          <w:color w:val="auto"/>
          <w:kern w:val="2"/>
          <w:sz w:val="32"/>
          <w:szCs w:val="32"/>
          <w:lang w:val="zh-CN" w:eastAsia="zh-CN" w:bidi="ar-SA"/>
        </w:rPr>
      </w:pP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64" w:name="_Toc26383"/>
      <w:bookmarkStart w:id="165" w:name="_Toc10630"/>
      <w:r>
        <w:rPr>
          <w:rFonts w:hint="eastAsia" w:ascii="Times New Roman" w:hAnsi="Times New Roman" w:eastAsia="黑体"/>
          <w:kern w:val="2"/>
          <w:sz w:val="32"/>
          <w:szCs w:val="24"/>
        </w:rPr>
        <w:t>一、项目概况</w:t>
      </w:r>
      <w:bookmarkEnd w:id="164"/>
      <w:bookmarkEnd w:id="165"/>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66" w:name="_Toc4698"/>
      <w:bookmarkStart w:id="167" w:name="_Toc21390"/>
      <w:r>
        <w:rPr>
          <w:rFonts w:hint="eastAsia" w:ascii="Times New Roman" w:hAnsi="Times New Roman" w:eastAsia="楷体_GB2312"/>
          <w:kern w:val="2"/>
          <w:sz w:val="32"/>
          <w:szCs w:val="24"/>
        </w:rPr>
        <w:t>（一）项目资金申报及批复情况。</w:t>
      </w:r>
      <w:bookmarkEnd w:id="166"/>
      <w:bookmarkEnd w:id="167"/>
    </w:p>
    <w:p>
      <w:pPr>
        <w:autoSpaceDE/>
        <w:autoSpaceDN/>
        <w:adjustRightInd/>
        <w:spacing w:line="560" w:lineRule="exact"/>
        <w:ind w:firstLine="800" w:firstLineChars="250"/>
        <w:jc w:val="both"/>
        <w:rPr>
          <w:rFonts w:hint="eastAsia" w:ascii="Times New Roman" w:hAnsi="Times New Roman" w:eastAsia="Times New Roman"/>
          <w:kern w:val="2"/>
          <w:sz w:val="32"/>
          <w:szCs w:val="24"/>
          <w:lang w:val="en-US" w:eastAsia="zh-CN"/>
        </w:rPr>
      </w:pPr>
      <w:r>
        <w:rPr>
          <w:rFonts w:hint="eastAsia" w:ascii="仿宋_GB2312" w:hAnsi="宋体" w:eastAsia="仿宋_GB2312"/>
          <w:sz w:val="32"/>
          <w:szCs w:val="24"/>
          <w:lang w:val="en-US" w:eastAsia="zh-CN"/>
        </w:rPr>
        <w:t>共和乡人民政府2022年敬老院人员公用经费13500元</w:t>
      </w:r>
      <w:r>
        <w:rPr>
          <w:rFonts w:hint="eastAsia" w:ascii="Times New Roman" w:hAnsi="Times New Roman" w:eastAsia="仿宋_GB2312"/>
          <w:kern w:val="2"/>
          <w:sz w:val="32"/>
          <w:szCs w:val="24"/>
          <w:lang w:val="en-US" w:eastAsia="zh-CN"/>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68" w:name="_Toc27907"/>
      <w:bookmarkStart w:id="169" w:name="_Toc17914"/>
      <w:r>
        <w:rPr>
          <w:rFonts w:hint="eastAsia" w:ascii="Times New Roman" w:hAnsi="Times New Roman" w:eastAsia="楷体_GB2312"/>
          <w:kern w:val="2"/>
          <w:sz w:val="32"/>
          <w:szCs w:val="24"/>
        </w:rPr>
        <w:t>（二）项目绩效目标。</w:t>
      </w:r>
      <w:bookmarkEnd w:id="168"/>
      <w:bookmarkEnd w:id="16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1.主要内容</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仿宋_GB2312" w:hAnsi="宋体" w:eastAsia="仿宋_GB2312"/>
          <w:sz w:val="32"/>
          <w:szCs w:val="24"/>
          <w:lang w:val="en-US" w:eastAsia="zh-CN"/>
        </w:rPr>
        <w:t>主要用于共和乡敬老院人员公用经费</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2.计划实现的具体绩效目标</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仿宋_GB2312" w:hAnsi="宋体" w:eastAsia="仿宋_GB2312"/>
          <w:sz w:val="32"/>
          <w:szCs w:val="24"/>
          <w:lang w:val="en-US" w:eastAsia="zh-CN"/>
        </w:rPr>
        <w:t>2022年共和乡敬老院人员公用经费预算为13500元，项目资金符合管理规定，确保做到厉行节约，不该开支的费用不予列支。</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70" w:name="_Toc17175"/>
      <w:bookmarkStart w:id="171" w:name="_Toc16223"/>
      <w:r>
        <w:rPr>
          <w:rFonts w:hint="eastAsia" w:ascii="Times New Roman" w:hAnsi="Times New Roman" w:eastAsia="楷体_GB2312"/>
          <w:kern w:val="2"/>
          <w:sz w:val="32"/>
          <w:szCs w:val="24"/>
        </w:rPr>
        <w:t>（三）项目资金申报相符性。</w:t>
      </w:r>
      <w:bookmarkEnd w:id="170"/>
      <w:bookmarkEnd w:id="17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该资金由县财政局下达预算到盐边县</w:t>
      </w:r>
      <w:r>
        <w:rPr>
          <w:rFonts w:hint="eastAsia" w:ascii="Times New Roman" w:hAnsi="Times New Roman" w:eastAsia="仿宋_GB2312"/>
          <w:kern w:val="2"/>
          <w:sz w:val="32"/>
          <w:szCs w:val="24"/>
          <w:lang w:val="en-US" w:eastAsia="zh-CN"/>
        </w:rPr>
        <w:t>共和乡</w:t>
      </w:r>
      <w:r>
        <w:rPr>
          <w:rFonts w:hint="eastAsia" w:ascii="Times New Roman" w:hAnsi="Times New Roman" w:eastAsia="仿宋_GB2312"/>
          <w:kern w:val="2"/>
          <w:sz w:val="32"/>
          <w:szCs w:val="24"/>
        </w:rPr>
        <w:t>人民政府进行核算。与实际相符、申报目标合理可行。</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72" w:name="_Toc15016"/>
      <w:bookmarkStart w:id="173" w:name="_Toc23456"/>
      <w:r>
        <w:rPr>
          <w:rFonts w:hint="eastAsia" w:ascii="Times New Roman" w:hAnsi="Times New Roman" w:eastAsia="黑体"/>
          <w:kern w:val="2"/>
          <w:sz w:val="32"/>
          <w:szCs w:val="24"/>
        </w:rPr>
        <w:t>二、项目实施及管理情况</w:t>
      </w:r>
      <w:bookmarkEnd w:id="172"/>
      <w:bookmarkEnd w:id="173"/>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74" w:name="_Toc17937"/>
      <w:bookmarkStart w:id="175" w:name="_Toc6888"/>
      <w:r>
        <w:rPr>
          <w:rFonts w:hint="eastAsia" w:ascii="Times New Roman" w:hAnsi="Times New Roman" w:eastAsia="楷体_GB2312"/>
          <w:kern w:val="2"/>
          <w:sz w:val="32"/>
          <w:szCs w:val="24"/>
        </w:rPr>
        <w:t>（一）资金计划、到位及使用情况。</w:t>
      </w:r>
      <w:bookmarkEnd w:id="174"/>
      <w:bookmarkEnd w:id="175"/>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1.</w:t>
      </w:r>
      <w:r>
        <w:rPr>
          <w:rFonts w:hint="eastAsia" w:ascii="Times New Roman" w:hAnsi="Times New Roman" w:eastAsia="仿宋_GB2312"/>
          <w:b/>
          <w:kern w:val="2"/>
          <w:sz w:val="32"/>
          <w:szCs w:val="24"/>
        </w:rPr>
        <w:t>资金计划及到位。</w:t>
      </w:r>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Times New Roman"/>
          <w:kern w:val="2"/>
          <w:sz w:val="32"/>
          <w:szCs w:val="24"/>
        </w:rPr>
        <w:t>202</w:t>
      </w:r>
      <w:r>
        <w:rPr>
          <w:rFonts w:hint="eastAsia" w:ascii="Times New Roman" w:hAnsi="Times New Roman" w:eastAsia="仿宋_GB2312"/>
          <w:kern w:val="2"/>
          <w:sz w:val="32"/>
          <w:szCs w:val="24"/>
        </w:rPr>
        <w:t>2</w:t>
      </w:r>
      <w:r>
        <w:rPr>
          <w:rFonts w:hint="eastAsia" w:ascii="仿宋_GB2312" w:hAnsi="Times New Roman" w:eastAsia="仿宋_GB2312"/>
          <w:kern w:val="2"/>
          <w:sz w:val="32"/>
          <w:szCs w:val="24"/>
        </w:rPr>
        <w:t>年预算下达</w:t>
      </w:r>
      <w:r>
        <w:rPr>
          <w:rFonts w:hint="eastAsia" w:ascii="仿宋_GB2312" w:hAnsi="Times New Roman" w:eastAsia="仿宋_GB2312"/>
          <w:kern w:val="2"/>
          <w:sz w:val="32"/>
          <w:szCs w:val="24"/>
          <w:lang w:val="en-US" w:eastAsia="zh-CN"/>
        </w:rPr>
        <w:t>1.35</w:t>
      </w:r>
      <w:r>
        <w:rPr>
          <w:rFonts w:hint="eastAsia" w:ascii="Times New Roman" w:hAnsi="Times New Roman" w:eastAsia="仿宋_GB2312"/>
          <w:kern w:val="2"/>
          <w:sz w:val="32"/>
          <w:szCs w:val="24"/>
        </w:rPr>
        <w:t>万</w:t>
      </w:r>
      <w:r>
        <w:rPr>
          <w:rFonts w:hint="eastAsia" w:ascii="仿宋_GB2312" w:hAnsi="Times New Roman" w:eastAsia="仿宋_GB2312"/>
          <w:kern w:val="2"/>
          <w:sz w:val="32"/>
          <w:szCs w:val="24"/>
        </w:rPr>
        <w:t>元。</w:t>
      </w:r>
      <w:r>
        <w:rPr>
          <w:rFonts w:hint="eastAsia" w:ascii="Times New Roman" w:hAnsi="Times New Roman" w:eastAsia="仿宋_GB2312"/>
          <w:kern w:val="2"/>
          <w:sz w:val="32"/>
          <w:szCs w:val="24"/>
        </w:rPr>
        <w:t>该资金2022年当年全部到位，当年全部使用完毕。</w:t>
      </w:r>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2.</w:t>
      </w:r>
      <w:r>
        <w:rPr>
          <w:rFonts w:hint="eastAsia" w:ascii="Times New Roman" w:hAnsi="Times New Roman" w:eastAsia="仿宋_GB2312"/>
          <w:b/>
          <w:kern w:val="2"/>
          <w:sz w:val="32"/>
          <w:szCs w:val="24"/>
        </w:rPr>
        <w:t>资金使用。</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该资金截至评价时点，支付范围、支付标准、支付进度、支付依据等合规合法、与预算相符。我单位及时报账，按财政局要求专款专用，已全部报账使用。</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76" w:name="_Toc20729"/>
      <w:bookmarkStart w:id="177" w:name="_Toc30424"/>
      <w:r>
        <w:rPr>
          <w:rFonts w:hint="eastAsia" w:ascii="Times New Roman" w:hAnsi="Times New Roman" w:eastAsia="楷体_GB2312"/>
          <w:kern w:val="2"/>
          <w:sz w:val="32"/>
          <w:szCs w:val="24"/>
        </w:rPr>
        <w:t>（二）项目财务管理情况。</w:t>
      </w:r>
      <w:bookmarkEnd w:id="176"/>
      <w:bookmarkEnd w:id="17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78" w:name="_Toc31242"/>
      <w:bookmarkStart w:id="179" w:name="_Toc14428"/>
      <w:r>
        <w:rPr>
          <w:rFonts w:hint="eastAsia" w:ascii="Times New Roman" w:hAnsi="Times New Roman" w:eastAsia="楷体_GB2312"/>
          <w:kern w:val="2"/>
          <w:sz w:val="32"/>
          <w:szCs w:val="24"/>
        </w:rPr>
        <w:t>（三）项目组织实施情况。</w:t>
      </w:r>
      <w:bookmarkEnd w:id="178"/>
      <w:bookmarkEnd w:id="17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由</w:t>
      </w:r>
      <w:r>
        <w:rPr>
          <w:rFonts w:hint="eastAsia" w:ascii="Times New Roman" w:hAnsi="Times New Roman" w:eastAsia="仿宋_GB2312"/>
          <w:kern w:val="2"/>
          <w:sz w:val="32"/>
          <w:szCs w:val="24"/>
          <w:lang w:eastAsia="zh-CN"/>
        </w:rPr>
        <w:t>敬老院</w:t>
      </w:r>
      <w:r>
        <w:rPr>
          <w:rFonts w:hint="eastAsia" w:ascii="Times New Roman" w:hAnsi="Times New Roman" w:eastAsia="仿宋_GB2312"/>
          <w:kern w:val="2"/>
          <w:sz w:val="32"/>
          <w:szCs w:val="24"/>
        </w:rPr>
        <w:t>牵头</w:t>
      </w:r>
      <w:r>
        <w:rPr>
          <w:rFonts w:hint="eastAsia" w:ascii="Times New Roman" w:hAnsi="Times New Roman" w:eastAsia="仿宋_GB2312"/>
          <w:kern w:val="2"/>
          <w:sz w:val="32"/>
          <w:szCs w:val="24"/>
          <w:lang w:eastAsia="zh-CN"/>
        </w:rPr>
        <w:t>，</w:t>
      </w:r>
      <w:r>
        <w:rPr>
          <w:rFonts w:hint="eastAsia" w:ascii="Times New Roman" w:hAnsi="Times New Roman" w:eastAsia="仿宋_GB2312"/>
          <w:kern w:val="2"/>
          <w:sz w:val="32"/>
          <w:szCs w:val="24"/>
        </w:rPr>
        <w:t>根据项目申报和经费下达情况进行方案编制。此项目资金为2022</w:t>
      </w:r>
      <w:r>
        <w:rPr>
          <w:rFonts w:hint="eastAsia" w:ascii="Times New Roman" w:hAnsi="Times New Roman" w:eastAsia="仿宋_GB2312"/>
          <w:kern w:val="2"/>
          <w:sz w:val="32"/>
          <w:szCs w:val="24"/>
          <w:lang w:val="en-US" w:eastAsia="zh-CN"/>
        </w:rPr>
        <w:t>年</w:t>
      </w:r>
      <w:r>
        <w:rPr>
          <w:rFonts w:hint="eastAsia" w:ascii="仿宋_GB2312" w:hAnsi="宋体" w:eastAsia="仿宋_GB2312"/>
          <w:sz w:val="32"/>
          <w:szCs w:val="24"/>
          <w:lang w:val="en-US" w:eastAsia="zh-CN"/>
        </w:rPr>
        <w:t>共和乡敬老院人员公用经费</w:t>
      </w:r>
      <w:r>
        <w:rPr>
          <w:rFonts w:hint="eastAsia" w:ascii="Times New Roman" w:hAnsi="Times New Roman" w:eastAsia="仿宋_GB2312"/>
          <w:kern w:val="2"/>
          <w:sz w:val="32"/>
          <w:szCs w:val="24"/>
        </w:rPr>
        <w:t>，县财政局下达预算资金，相关经办人员结合实际发生费用提供相关报账原始凭据报账，我单位进行审核，向财政局统一预算管理一体化平台申报计划，进行支付、核算。同时按照省级要求时间节点及时支付兑现。</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80" w:name="_Toc19393"/>
      <w:bookmarkStart w:id="181" w:name="_Toc28141"/>
      <w:r>
        <w:rPr>
          <w:rFonts w:hint="eastAsia" w:ascii="Times New Roman" w:hAnsi="Times New Roman" w:eastAsia="黑体"/>
          <w:kern w:val="2"/>
          <w:sz w:val="32"/>
          <w:szCs w:val="24"/>
        </w:rPr>
        <w:t>三、项目绩效情况</w:t>
      </w:r>
      <w:bookmarkEnd w:id="180"/>
      <w:bookmarkEnd w:id="181"/>
      <w:r>
        <w:rPr>
          <w:rFonts w:hint="eastAsia" w:ascii="Times New Roman" w:hAnsi="Times New Roman" w:eastAsia="Times New Roman"/>
          <w:kern w:val="2"/>
          <w:sz w:val="32"/>
          <w:szCs w:val="24"/>
        </w:rPr>
        <w:tab/>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82" w:name="_Toc8110"/>
      <w:bookmarkStart w:id="183" w:name="_Toc16881"/>
      <w:r>
        <w:rPr>
          <w:rFonts w:hint="eastAsia" w:ascii="Times New Roman" w:hAnsi="Times New Roman" w:eastAsia="楷体_GB2312"/>
          <w:kern w:val="2"/>
          <w:sz w:val="32"/>
          <w:szCs w:val="24"/>
        </w:rPr>
        <w:t>（一）项目完成情况。</w:t>
      </w:r>
      <w:bookmarkEnd w:id="182"/>
      <w:bookmarkEnd w:id="183"/>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已于2022年全部使用、报账及核算。</w:t>
      </w:r>
      <w:r>
        <w:rPr>
          <w:rFonts w:hint="eastAsia" w:ascii="Times New Roman" w:hAnsi="Times New Roman" w:eastAsia="仿宋_GB2312"/>
          <w:kern w:val="2"/>
          <w:sz w:val="32"/>
          <w:szCs w:val="24"/>
          <w:lang w:eastAsia="zh-CN"/>
        </w:rPr>
        <w:t>主要用于</w:t>
      </w:r>
      <w:r>
        <w:rPr>
          <w:rFonts w:hint="eastAsia" w:ascii="仿宋_GB2312" w:hAnsi="宋体" w:eastAsia="仿宋_GB2312"/>
          <w:sz w:val="32"/>
          <w:szCs w:val="24"/>
          <w:lang w:val="en-US" w:eastAsia="zh-CN"/>
        </w:rPr>
        <w:t>共和乡敬老院人员公用经费</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84" w:name="_Toc26035"/>
      <w:bookmarkStart w:id="185" w:name="_Toc4634"/>
      <w:r>
        <w:rPr>
          <w:rFonts w:hint="eastAsia" w:ascii="Times New Roman" w:hAnsi="Times New Roman" w:eastAsia="楷体_GB2312"/>
          <w:kern w:val="2"/>
          <w:sz w:val="32"/>
          <w:szCs w:val="24"/>
        </w:rPr>
        <w:t>（二）项目效益情况。</w:t>
      </w:r>
      <w:bookmarkEnd w:id="184"/>
      <w:bookmarkEnd w:id="185"/>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仿宋_GB2312"/>
          <w:kern w:val="2"/>
          <w:sz w:val="32"/>
          <w:szCs w:val="24"/>
        </w:rPr>
        <w:t>根据财政下达的预算资金额度，严格把控资金使用，不超支；</w:t>
      </w:r>
      <w:r>
        <w:rPr>
          <w:rFonts w:hint="eastAsia" w:ascii="仿宋_GB2312" w:hAnsi="Times New Roman" w:eastAsia="仿宋_GB2312"/>
          <w:kern w:val="2"/>
          <w:sz w:val="32"/>
          <w:szCs w:val="24"/>
        </w:rPr>
        <w:t>严格按照方案要求确定金额，可量化可考核，契合政策实质，与年度工作目标相一致，按照</w:t>
      </w:r>
      <w:r>
        <w:rPr>
          <w:rFonts w:hint="eastAsia" w:ascii="仿宋_GB2312" w:hAnsi="Times New Roman" w:eastAsia="仿宋_GB2312"/>
          <w:kern w:val="2"/>
          <w:sz w:val="32"/>
          <w:szCs w:val="24"/>
          <w:lang w:val="en-US" w:eastAsia="zh-CN"/>
        </w:rPr>
        <w:t>相关</w:t>
      </w:r>
      <w:r>
        <w:rPr>
          <w:rFonts w:hint="eastAsia" w:ascii="仿宋_GB2312" w:hAnsi="Times New Roman" w:eastAsia="仿宋_GB2312"/>
          <w:kern w:val="2"/>
          <w:sz w:val="32"/>
          <w:szCs w:val="24"/>
        </w:rPr>
        <w:t>办法规范管理和使用该项资金。</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86" w:name="_Toc24870"/>
      <w:bookmarkStart w:id="187" w:name="_Toc21498"/>
      <w:r>
        <w:rPr>
          <w:rFonts w:hint="eastAsia" w:ascii="Times New Roman" w:hAnsi="Times New Roman" w:eastAsia="黑体"/>
          <w:kern w:val="2"/>
          <w:sz w:val="32"/>
          <w:szCs w:val="24"/>
        </w:rPr>
        <w:t>四、问题及建议</w:t>
      </w:r>
      <w:bookmarkEnd w:id="186"/>
      <w:bookmarkEnd w:id="187"/>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88" w:name="_Toc29276"/>
      <w:bookmarkStart w:id="189" w:name="_Toc3479"/>
      <w:r>
        <w:rPr>
          <w:rFonts w:hint="eastAsia" w:ascii="Times New Roman" w:hAnsi="Times New Roman" w:eastAsia="楷体_GB2312"/>
          <w:kern w:val="2"/>
          <w:sz w:val="32"/>
          <w:szCs w:val="24"/>
        </w:rPr>
        <w:t>（一）存在的问题。</w:t>
      </w:r>
      <w:bookmarkEnd w:id="188"/>
      <w:bookmarkEnd w:id="18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楷体_GB2312"/>
          <w:kern w:val="2"/>
          <w:sz w:val="32"/>
          <w:szCs w:val="24"/>
        </w:rPr>
        <w:t>无。</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90" w:name="_Toc29466"/>
      <w:bookmarkStart w:id="191" w:name="_Toc7398"/>
      <w:r>
        <w:rPr>
          <w:rFonts w:hint="eastAsia" w:ascii="Times New Roman" w:hAnsi="Times New Roman" w:eastAsia="楷体_GB2312"/>
          <w:kern w:val="2"/>
          <w:sz w:val="32"/>
          <w:szCs w:val="24"/>
        </w:rPr>
        <w:t>（二）相关建议。</w:t>
      </w:r>
      <w:bookmarkEnd w:id="190"/>
      <w:bookmarkEnd w:id="19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无。</w:t>
      </w:r>
    </w:p>
    <w:p>
      <w:pPr>
        <w:autoSpaceDE/>
        <w:autoSpaceDN/>
        <w:adjustRightInd/>
        <w:spacing w:line="640" w:lineRule="exact"/>
        <w:jc w:val="center"/>
        <w:rPr>
          <w:rFonts w:hint="eastAsia" w:ascii="方正小标宋简体" w:hAnsi="方正小标宋简体" w:eastAsia="方正小标宋简体" w:cs="Times New Roman"/>
          <w:color w:val="auto"/>
          <w:kern w:val="2"/>
          <w:sz w:val="32"/>
          <w:szCs w:val="24"/>
          <w:lang w:val="en-US" w:eastAsia="zh-CN"/>
        </w:rPr>
      </w:pPr>
      <w:r>
        <w:rPr>
          <w:rFonts w:hint="eastAsia" w:ascii="方正小标宋简体" w:hAnsi="方正小标宋简体" w:eastAsia="方正小标宋简体" w:cs="Times New Roman"/>
          <w:color w:val="auto"/>
          <w:kern w:val="2"/>
          <w:sz w:val="32"/>
          <w:szCs w:val="24"/>
          <w:lang w:val="en-US" w:eastAsia="zh-CN"/>
        </w:rPr>
        <w:t>共和乡人民政府2022年敬老院人员经费的专项预算项目支出绩效自评报告</w:t>
      </w:r>
    </w:p>
    <w:p>
      <w:pPr>
        <w:autoSpaceDE/>
        <w:autoSpaceDN/>
        <w:adjustRightInd/>
        <w:spacing w:line="640" w:lineRule="exact"/>
        <w:jc w:val="center"/>
        <w:outlineLvl w:val="1"/>
        <w:rPr>
          <w:rFonts w:hint="eastAsia" w:ascii="Times New Roman" w:hAnsi="Times New Roman" w:eastAsia="Times New Roman"/>
          <w:b/>
          <w:kern w:val="2"/>
          <w:sz w:val="32"/>
          <w:szCs w:val="24"/>
        </w:rPr>
      </w:pPr>
      <w:bookmarkStart w:id="192" w:name="_Toc27770"/>
      <w:bookmarkStart w:id="193" w:name="_Toc14125"/>
      <w:r>
        <w:rPr>
          <w:rFonts w:hint="eastAsia" w:ascii="Times New Roman" w:hAnsi="Times New Roman" w:eastAsia="楷体_GB2312"/>
          <w:b/>
          <w:kern w:val="2"/>
          <w:sz w:val="32"/>
          <w:szCs w:val="24"/>
        </w:rPr>
        <w:t>（项目单位自评）</w:t>
      </w:r>
      <w:bookmarkEnd w:id="192"/>
      <w:bookmarkEnd w:id="193"/>
    </w:p>
    <w:p>
      <w:pPr>
        <w:spacing w:line="560" w:lineRule="exact"/>
        <w:ind w:firstLine="640"/>
        <w:jc w:val="center"/>
        <w:rPr>
          <w:rFonts w:hint="eastAsia" w:ascii="Times New Roman" w:hAnsi="Times New Roman" w:eastAsia="Times New Roman" w:cs="Times New Roman"/>
          <w:color w:val="auto"/>
          <w:kern w:val="2"/>
          <w:sz w:val="32"/>
          <w:szCs w:val="32"/>
          <w:lang w:val="zh-CN" w:eastAsia="zh-CN" w:bidi="ar-SA"/>
        </w:rPr>
      </w:pP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194" w:name="_Toc22997"/>
      <w:bookmarkStart w:id="195" w:name="_Toc848"/>
      <w:r>
        <w:rPr>
          <w:rFonts w:hint="eastAsia" w:ascii="Times New Roman" w:hAnsi="Times New Roman" w:eastAsia="黑体"/>
          <w:kern w:val="2"/>
          <w:sz w:val="32"/>
          <w:szCs w:val="24"/>
        </w:rPr>
        <w:t>一、项目概况</w:t>
      </w:r>
      <w:bookmarkEnd w:id="194"/>
      <w:bookmarkEnd w:id="195"/>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96" w:name="_Toc29659"/>
      <w:bookmarkStart w:id="197" w:name="_Toc8147"/>
      <w:r>
        <w:rPr>
          <w:rFonts w:hint="eastAsia" w:ascii="Times New Roman" w:hAnsi="Times New Roman" w:eastAsia="楷体_GB2312"/>
          <w:kern w:val="2"/>
          <w:sz w:val="32"/>
          <w:szCs w:val="24"/>
        </w:rPr>
        <w:t>（一）项目资金申报及批复情况。</w:t>
      </w:r>
      <w:bookmarkEnd w:id="196"/>
      <w:bookmarkEnd w:id="197"/>
    </w:p>
    <w:p>
      <w:pPr>
        <w:autoSpaceDE/>
        <w:autoSpaceDN/>
        <w:adjustRightInd/>
        <w:spacing w:line="560" w:lineRule="exact"/>
        <w:ind w:firstLine="800" w:firstLineChars="250"/>
        <w:jc w:val="both"/>
        <w:rPr>
          <w:rFonts w:hint="eastAsia" w:ascii="Times New Roman" w:hAnsi="Times New Roman" w:eastAsia="Times New Roman"/>
          <w:kern w:val="2"/>
          <w:sz w:val="32"/>
          <w:szCs w:val="24"/>
          <w:lang w:val="en-US" w:eastAsia="zh-CN"/>
        </w:rPr>
      </w:pPr>
      <w:r>
        <w:rPr>
          <w:rFonts w:hint="eastAsia" w:ascii="仿宋_GB2312" w:hAnsi="宋体" w:eastAsia="仿宋_GB2312"/>
          <w:sz w:val="32"/>
          <w:szCs w:val="24"/>
          <w:lang w:val="en-US" w:eastAsia="zh-CN"/>
        </w:rPr>
        <w:t>由县财政局下达共和乡人民政府2022年敬老院人员经费170683元</w:t>
      </w:r>
      <w:r>
        <w:rPr>
          <w:rFonts w:hint="eastAsia" w:ascii="Times New Roman" w:hAnsi="Times New Roman" w:eastAsia="仿宋_GB2312"/>
          <w:kern w:val="2"/>
          <w:sz w:val="32"/>
          <w:szCs w:val="24"/>
          <w:lang w:val="en-US" w:eastAsia="zh-CN"/>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198" w:name="_Toc2373"/>
      <w:bookmarkStart w:id="199" w:name="_Toc31911"/>
      <w:r>
        <w:rPr>
          <w:rFonts w:hint="eastAsia" w:ascii="Times New Roman" w:hAnsi="Times New Roman" w:eastAsia="楷体_GB2312"/>
          <w:kern w:val="2"/>
          <w:sz w:val="32"/>
          <w:szCs w:val="24"/>
        </w:rPr>
        <w:t>（二）项目绩效目标。</w:t>
      </w:r>
      <w:bookmarkEnd w:id="198"/>
      <w:bookmarkEnd w:id="19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1.主要内容</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lang w:eastAsia="zh-CN"/>
        </w:rPr>
        <w:t>主要用于支付敬老院人员的工资和保险</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2.计划实现的具体绩效目标</w:t>
      </w:r>
    </w:p>
    <w:p>
      <w:pPr>
        <w:autoSpaceDE/>
        <w:autoSpaceDN/>
        <w:adjustRightInd/>
        <w:spacing w:line="560" w:lineRule="exact"/>
        <w:ind w:firstLine="640" w:firstLineChars="200"/>
        <w:jc w:val="both"/>
        <w:rPr>
          <w:rFonts w:hint="eastAsia" w:ascii="仿宋_GB2312" w:hAnsi="宋体" w:eastAsia="仿宋_GB2312"/>
          <w:sz w:val="32"/>
          <w:szCs w:val="24"/>
          <w:lang w:val="en-US" w:eastAsia="zh-CN"/>
        </w:rPr>
      </w:pPr>
      <w:r>
        <w:rPr>
          <w:rFonts w:hint="eastAsia" w:ascii="仿宋_GB2312" w:hAnsi="宋体" w:eastAsia="仿宋_GB2312"/>
          <w:sz w:val="32"/>
          <w:szCs w:val="24"/>
          <w:lang w:val="en-US" w:eastAsia="zh-CN"/>
        </w:rPr>
        <w:t>根据专项项目资金及我乡实际情况，科学合理编制专项资金预算，严格执行预算制度，避免年中大幅追加及超预算，同时严格执行预算标准，提高资金使用效率。</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00" w:name="_Toc28596"/>
      <w:bookmarkStart w:id="201" w:name="_Toc16723"/>
      <w:r>
        <w:rPr>
          <w:rFonts w:hint="eastAsia" w:ascii="Times New Roman" w:hAnsi="Times New Roman" w:eastAsia="楷体_GB2312"/>
          <w:kern w:val="2"/>
          <w:sz w:val="32"/>
          <w:szCs w:val="24"/>
        </w:rPr>
        <w:t>（三）项目资金申报相符性。</w:t>
      </w:r>
      <w:bookmarkEnd w:id="200"/>
      <w:bookmarkEnd w:id="20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该资金由县财政局下达预算到盐边县</w:t>
      </w:r>
      <w:r>
        <w:rPr>
          <w:rFonts w:hint="eastAsia" w:ascii="Times New Roman" w:hAnsi="Times New Roman" w:eastAsia="仿宋_GB2312"/>
          <w:kern w:val="2"/>
          <w:sz w:val="32"/>
          <w:szCs w:val="24"/>
          <w:lang w:val="en-US" w:eastAsia="zh-CN"/>
        </w:rPr>
        <w:t>共和乡</w:t>
      </w:r>
      <w:r>
        <w:rPr>
          <w:rFonts w:hint="eastAsia" w:ascii="Times New Roman" w:hAnsi="Times New Roman" w:eastAsia="仿宋_GB2312"/>
          <w:kern w:val="2"/>
          <w:sz w:val="32"/>
          <w:szCs w:val="24"/>
        </w:rPr>
        <w:t>人民政府进行核算。与实际相符、申报目标合理可行。</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202" w:name="_Toc26618"/>
      <w:bookmarkStart w:id="203" w:name="_Toc30752"/>
      <w:r>
        <w:rPr>
          <w:rFonts w:hint="eastAsia" w:ascii="Times New Roman" w:hAnsi="Times New Roman" w:eastAsia="黑体"/>
          <w:kern w:val="2"/>
          <w:sz w:val="32"/>
          <w:szCs w:val="24"/>
        </w:rPr>
        <w:t>二、项目实施及管理情况</w:t>
      </w:r>
      <w:bookmarkEnd w:id="202"/>
      <w:bookmarkEnd w:id="203"/>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04" w:name="_Toc8321"/>
      <w:bookmarkStart w:id="205" w:name="_Toc32659"/>
      <w:r>
        <w:rPr>
          <w:rFonts w:hint="eastAsia" w:ascii="Times New Roman" w:hAnsi="Times New Roman" w:eastAsia="楷体_GB2312"/>
          <w:kern w:val="2"/>
          <w:sz w:val="32"/>
          <w:szCs w:val="24"/>
        </w:rPr>
        <w:t>（一）资金计划、到位及使用情况。</w:t>
      </w:r>
      <w:bookmarkEnd w:id="204"/>
      <w:bookmarkEnd w:id="205"/>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1.</w:t>
      </w:r>
      <w:r>
        <w:rPr>
          <w:rFonts w:hint="eastAsia" w:ascii="Times New Roman" w:hAnsi="Times New Roman" w:eastAsia="仿宋_GB2312"/>
          <w:b/>
          <w:kern w:val="2"/>
          <w:sz w:val="32"/>
          <w:szCs w:val="24"/>
        </w:rPr>
        <w:t>资金计划及到位。</w:t>
      </w:r>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Times New Roman"/>
          <w:kern w:val="2"/>
          <w:sz w:val="32"/>
          <w:szCs w:val="24"/>
        </w:rPr>
        <w:t>202</w:t>
      </w:r>
      <w:r>
        <w:rPr>
          <w:rFonts w:hint="eastAsia" w:ascii="Times New Roman" w:hAnsi="Times New Roman" w:eastAsia="仿宋_GB2312"/>
          <w:kern w:val="2"/>
          <w:sz w:val="32"/>
          <w:szCs w:val="24"/>
        </w:rPr>
        <w:t>2</w:t>
      </w:r>
      <w:r>
        <w:rPr>
          <w:rFonts w:hint="eastAsia" w:ascii="仿宋_GB2312" w:hAnsi="Times New Roman" w:eastAsia="仿宋_GB2312"/>
          <w:kern w:val="2"/>
          <w:sz w:val="32"/>
          <w:szCs w:val="24"/>
        </w:rPr>
        <w:t>年预算下达</w:t>
      </w:r>
      <w:r>
        <w:rPr>
          <w:rFonts w:hint="eastAsia" w:ascii="仿宋_GB2312" w:hAnsi="Times New Roman" w:eastAsia="仿宋_GB2312"/>
          <w:kern w:val="2"/>
          <w:sz w:val="32"/>
          <w:szCs w:val="24"/>
          <w:lang w:val="en-US" w:eastAsia="zh-CN"/>
        </w:rPr>
        <w:t>资金</w:t>
      </w:r>
      <w:r>
        <w:rPr>
          <w:rFonts w:hint="eastAsia" w:ascii="仿宋_GB2312" w:hAnsi="宋体" w:eastAsia="仿宋_GB2312"/>
          <w:sz w:val="32"/>
          <w:szCs w:val="24"/>
          <w:lang w:val="en-US" w:eastAsia="zh-CN"/>
        </w:rPr>
        <w:t>170683元</w:t>
      </w:r>
      <w:r>
        <w:rPr>
          <w:rFonts w:hint="eastAsia" w:ascii="仿宋_GB2312" w:hAnsi="Times New Roman" w:eastAsia="仿宋_GB2312"/>
          <w:kern w:val="2"/>
          <w:sz w:val="32"/>
          <w:szCs w:val="24"/>
        </w:rPr>
        <w:t>。</w:t>
      </w:r>
      <w:r>
        <w:rPr>
          <w:rFonts w:hint="eastAsia" w:ascii="Times New Roman" w:hAnsi="Times New Roman" w:eastAsia="仿宋_GB2312"/>
          <w:kern w:val="2"/>
          <w:sz w:val="32"/>
          <w:szCs w:val="24"/>
        </w:rPr>
        <w:t>该资金2022年当年全部到位，当年全部使用完毕。</w:t>
      </w:r>
    </w:p>
    <w:p>
      <w:pPr>
        <w:autoSpaceDE/>
        <w:autoSpaceDN/>
        <w:adjustRightInd/>
        <w:spacing w:line="560" w:lineRule="exact"/>
        <w:ind w:firstLine="640" w:firstLineChars="200"/>
        <w:jc w:val="both"/>
        <w:rPr>
          <w:rFonts w:hint="eastAsia" w:ascii="Times New Roman" w:hAnsi="Times New Roman" w:eastAsia="Times New Roman"/>
          <w:b/>
          <w:kern w:val="2"/>
          <w:sz w:val="32"/>
          <w:szCs w:val="24"/>
        </w:rPr>
      </w:pPr>
      <w:r>
        <w:rPr>
          <w:rFonts w:hint="eastAsia" w:ascii="Times New Roman" w:hAnsi="Times New Roman" w:eastAsia="Times New Roman"/>
          <w:b/>
          <w:kern w:val="2"/>
          <w:sz w:val="32"/>
          <w:szCs w:val="24"/>
        </w:rPr>
        <w:t>2.</w:t>
      </w:r>
      <w:r>
        <w:rPr>
          <w:rFonts w:hint="eastAsia" w:ascii="Times New Roman" w:hAnsi="Times New Roman" w:eastAsia="仿宋_GB2312"/>
          <w:b/>
          <w:kern w:val="2"/>
          <w:sz w:val="32"/>
          <w:szCs w:val="24"/>
        </w:rPr>
        <w:t>资金使用。</w:t>
      </w:r>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该资金截至评价时点，支付范围、支付标准、支付进度、支付依据等合规合法、与预算相符。我单位及时报账，按财政局要求专款专用，已全部报账使用。</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06" w:name="_Toc26282"/>
      <w:bookmarkStart w:id="207" w:name="_Toc30403"/>
      <w:r>
        <w:rPr>
          <w:rFonts w:hint="eastAsia" w:ascii="Times New Roman" w:hAnsi="Times New Roman" w:eastAsia="楷体_GB2312"/>
          <w:kern w:val="2"/>
          <w:sz w:val="32"/>
          <w:szCs w:val="24"/>
        </w:rPr>
        <w:t>（二）项目财务管理情况。</w:t>
      </w:r>
      <w:bookmarkEnd w:id="206"/>
      <w:bookmarkEnd w:id="207"/>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08" w:name="_Toc22924"/>
      <w:bookmarkStart w:id="209" w:name="_Toc9574"/>
      <w:r>
        <w:rPr>
          <w:rFonts w:hint="eastAsia" w:ascii="Times New Roman" w:hAnsi="Times New Roman" w:eastAsia="楷体_GB2312"/>
          <w:kern w:val="2"/>
          <w:sz w:val="32"/>
          <w:szCs w:val="24"/>
        </w:rPr>
        <w:t>（三）项目组织实施情况。</w:t>
      </w:r>
      <w:bookmarkEnd w:id="208"/>
      <w:bookmarkEnd w:id="20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lang w:eastAsia="zh-CN"/>
        </w:rPr>
        <w:t>由敬老院牵头，</w:t>
      </w:r>
      <w:r>
        <w:rPr>
          <w:rFonts w:hint="eastAsia" w:ascii="Times New Roman" w:hAnsi="Times New Roman" w:eastAsia="仿宋_GB2312"/>
          <w:kern w:val="2"/>
          <w:sz w:val="32"/>
          <w:szCs w:val="24"/>
        </w:rPr>
        <w:t>根据项目申报和经费下达情况进行方案编制。此项目资金为</w:t>
      </w:r>
      <w:r>
        <w:rPr>
          <w:rFonts w:hint="eastAsia" w:ascii="仿宋_GB2312" w:hAnsi="宋体" w:eastAsia="仿宋_GB2312"/>
          <w:sz w:val="32"/>
          <w:szCs w:val="24"/>
          <w:lang w:val="en-US" w:eastAsia="zh-CN"/>
        </w:rPr>
        <w:t>共和乡人民政府2022年敬老院人员经费</w:t>
      </w:r>
      <w:r>
        <w:rPr>
          <w:rFonts w:hint="eastAsia" w:ascii="Times New Roman" w:hAnsi="Times New Roman" w:eastAsia="仿宋_GB2312"/>
          <w:kern w:val="2"/>
          <w:sz w:val="32"/>
          <w:szCs w:val="24"/>
        </w:rPr>
        <w:t>，县财政局下达预算资金，相关经办人员结合实际发生费用提供相关报账原始凭据报账，我单位进行审核，向财政局统一预算管理一体化平台申报计划，进行支付、核算。同时按照省级要求时间节点及时支付兑现。</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210" w:name="_Toc21561"/>
      <w:bookmarkStart w:id="211" w:name="_Toc17749"/>
      <w:r>
        <w:rPr>
          <w:rFonts w:hint="eastAsia" w:ascii="Times New Roman" w:hAnsi="Times New Roman" w:eastAsia="黑体"/>
          <w:kern w:val="2"/>
          <w:sz w:val="32"/>
          <w:szCs w:val="24"/>
        </w:rPr>
        <w:t>三、项目绩效情况</w:t>
      </w:r>
      <w:bookmarkEnd w:id="210"/>
      <w:bookmarkEnd w:id="211"/>
      <w:r>
        <w:rPr>
          <w:rFonts w:hint="eastAsia" w:ascii="Times New Roman" w:hAnsi="Times New Roman" w:eastAsia="Times New Roman"/>
          <w:kern w:val="2"/>
          <w:sz w:val="32"/>
          <w:szCs w:val="24"/>
        </w:rPr>
        <w:tab/>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12" w:name="_Toc27287"/>
      <w:bookmarkStart w:id="213" w:name="_Toc15870"/>
      <w:r>
        <w:rPr>
          <w:rFonts w:hint="eastAsia" w:ascii="Times New Roman" w:hAnsi="Times New Roman" w:eastAsia="楷体_GB2312"/>
          <w:kern w:val="2"/>
          <w:sz w:val="32"/>
          <w:szCs w:val="24"/>
        </w:rPr>
        <w:t>（一）项目完成情况。</w:t>
      </w:r>
      <w:bookmarkEnd w:id="212"/>
      <w:bookmarkEnd w:id="213"/>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已于2022年全部使用、报账及核算。</w:t>
      </w:r>
      <w:r>
        <w:rPr>
          <w:rFonts w:hint="eastAsia" w:ascii="Times New Roman" w:hAnsi="Times New Roman" w:eastAsia="仿宋_GB2312"/>
          <w:kern w:val="2"/>
          <w:sz w:val="32"/>
          <w:szCs w:val="24"/>
          <w:lang w:eastAsia="zh-CN"/>
        </w:rPr>
        <w:t>主要用于支付敬老院人员的工资和保险</w:t>
      </w:r>
      <w:r>
        <w:rPr>
          <w:rFonts w:hint="eastAsia" w:ascii="Times New Roman" w:hAnsi="Times New Roman" w:eastAsia="仿宋_GB2312"/>
          <w:kern w:val="2"/>
          <w:sz w:val="32"/>
          <w:szCs w:val="24"/>
        </w:rPr>
        <w:t>。</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14" w:name="_Toc30369"/>
      <w:bookmarkStart w:id="215" w:name="_Toc21289"/>
      <w:r>
        <w:rPr>
          <w:rFonts w:hint="eastAsia" w:ascii="Times New Roman" w:hAnsi="Times New Roman" w:eastAsia="楷体_GB2312"/>
          <w:kern w:val="2"/>
          <w:sz w:val="32"/>
          <w:szCs w:val="24"/>
        </w:rPr>
        <w:t>（二）项目效益情况。</w:t>
      </w:r>
      <w:bookmarkEnd w:id="214"/>
      <w:bookmarkEnd w:id="215"/>
    </w:p>
    <w:p>
      <w:pPr>
        <w:autoSpaceDE/>
        <w:autoSpaceDN/>
        <w:adjustRightInd/>
        <w:spacing w:line="560" w:lineRule="exact"/>
        <w:ind w:firstLine="640" w:firstLineChars="200"/>
        <w:jc w:val="both"/>
        <w:rPr>
          <w:rFonts w:hint="eastAsia" w:ascii="仿宋_GB2312" w:hAnsi="Times New Roman" w:eastAsia="仿宋_GB2312"/>
          <w:kern w:val="2"/>
          <w:sz w:val="32"/>
          <w:szCs w:val="24"/>
        </w:rPr>
      </w:pPr>
      <w:r>
        <w:rPr>
          <w:rFonts w:hint="eastAsia" w:ascii="Times New Roman" w:hAnsi="Times New Roman" w:eastAsia="仿宋_GB2312"/>
          <w:kern w:val="2"/>
          <w:sz w:val="32"/>
          <w:szCs w:val="24"/>
        </w:rPr>
        <w:t>根据财政下达的预算资金额度，严格把控资金使用，不超支；</w:t>
      </w:r>
      <w:r>
        <w:rPr>
          <w:rFonts w:hint="eastAsia" w:ascii="仿宋_GB2312" w:hAnsi="Times New Roman" w:eastAsia="仿宋_GB2312"/>
          <w:kern w:val="2"/>
          <w:sz w:val="32"/>
          <w:szCs w:val="24"/>
        </w:rPr>
        <w:t>严格按照方案要求确定金额，可量化可考核，契合政策实质，与年度工作目标相一致，按照</w:t>
      </w:r>
      <w:r>
        <w:rPr>
          <w:rFonts w:hint="eastAsia" w:ascii="仿宋_GB2312" w:hAnsi="Times New Roman" w:eastAsia="仿宋_GB2312"/>
          <w:kern w:val="2"/>
          <w:sz w:val="32"/>
          <w:szCs w:val="24"/>
          <w:lang w:val="en-US" w:eastAsia="zh-CN"/>
        </w:rPr>
        <w:t>相关</w:t>
      </w:r>
      <w:r>
        <w:rPr>
          <w:rFonts w:hint="eastAsia" w:ascii="仿宋_GB2312" w:hAnsi="Times New Roman" w:eastAsia="仿宋_GB2312"/>
          <w:kern w:val="2"/>
          <w:sz w:val="32"/>
          <w:szCs w:val="24"/>
        </w:rPr>
        <w:t>办法规范管理和使用该项资金。</w:t>
      </w:r>
    </w:p>
    <w:p>
      <w:pPr>
        <w:autoSpaceDE/>
        <w:autoSpaceDN/>
        <w:adjustRightInd/>
        <w:spacing w:line="560" w:lineRule="exact"/>
        <w:ind w:firstLine="640" w:firstLineChars="200"/>
        <w:jc w:val="both"/>
        <w:outlineLvl w:val="1"/>
        <w:rPr>
          <w:rFonts w:hint="eastAsia" w:ascii="Times New Roman" w:hAnsi="Times New Roman" w:eastAsia="Times New Roman"/>
          <w:kern w:val="2"/>
          <w:sz w:val="32"/>
          <w:szCs w:val="24"/>
        </w:rPr>
      </w:pPr>
      <w:bookmarkStart w:id="216" w:name="_Toc6628"/>
      <w:bookmarkStart w:id="217" w:name="_Toc8399"/>
      <w:r>
        <w:rPr>
          <w:rFonts w:hint="eastAsia" w:ascii="Times New Roman" w:hAnsi="Times New Roman" w:eastAsia="黑体"/>
          <w:kern w:val="2"/>
          <w:sz w:val="32"/>
          <w:szCs w:val="24"/>
        </w:rPr>
        <w:t>四、问题及建议</w:t>
      </w:r>
      <w:bookmarkEnd w:id="216"/>
      <w:bookmarkEnd w:id="217"/>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18" w:name="_Toc31246"/>
      <w:bookmarkStart w:id="219" w:name="_Toc12854"/>
      <w:r>
        <w:rPr>
          <w:rFonts w:hint="eastAsia" w:ascii="Times New Roman" w:hAnsi="Times New Roman" w:eastAsia="楷体_GB2312"/>
          <w:kern w:val="2"/>
          <w:sz w:val="32"/>
          <w:szCs w:val="24"/>
        </w:rPr>
        <w:t>（一）存在的问题。</w:t>
      </w:r>
      <w:bookmarkEnd w:id="218"/>
      <w:bookmarkEnd w:id="219"/>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楷体_GB2312"/>
          <w:kern w:val="2"/>
          <w:sz w:val="32"/>
          <w:szCs w:val="24"/>
        </w:rPr>
        <w:t>无。</w:t>
      </w:r>
    </w:p>
    <w:p>
      <w:pPr>
        <w:autoSpaceDE/>
        <w:autoSpaceDN/>
        <w:adjustRightInd/>
        <w:spacing w:line="560" w:lineRule="exact"/>
        <w:ind w:firstLine="640" w:firstLineChars="200"/>
        <w:jc w:val="both"/>
        <w:outlineLvl w:val="2"/>
        <w:rPr>
          <w:rFonts w:hint="eastAsia" w:ascii="Times New Roman" w:hAnsi="Times New Roman" w:eastAsia="Times New Roman"/>
          <w:kern w:val="2"/>
          <w:sz w:val="32"/>
          <w:szCs w:val="24"/>
        </w:rPr>
      </w:pPr>
      <w:bookmarkStart w:id="220" w:name="_Toc23407"/>
      <w:bookmarkStart w:id="221" w:name="_Toc27040"/>
      <w:r>
        <w:rPr>
          <w:rFonts w:hint="eastAsia" w:ascii="Times New Roman" w:hAnsi="Times New Roman" w:eastAsia="楷体_GB2312"/>
          <w:kern w:val="2"/>
          <w:sz w:val="32"/>
          <w:szCs w:val="24"/>
        </w:rPr>
        <w:t>（二）相关建议。</w:t>
      </w:r>
      <w:bookmarkEnd w:id="220"/>
      <w:bookmarkEnd w:id="221"/>
    </w:p>
    <w:p>
      <w:pPr>
        <w:autoSpaceDE/>
        <w:autoSpaceDN/>
        <w:adjustRightInd/>
        <w:spacing w:line="560" w:lineRule="exact"/>
        <w:ind w:firstLine="640" w:firstLineChars="200"/>
        <w:jc w:val="both"/>
        <w:rPr>
          <w:rFonts w:hint="eastAsia" w:ascii="Times New Roman" w:hAnsi="Times New Roman" w:eastAsia="Times New Roman"/>
          <w:kern w:val="2"/>
          <w:sz w:val="32"/>
          <w:szCs w:val="24"/>
        </w:rPr>
      </w:pPr>
      <w:r>
        <w:rPr>
          <w:rFonts w:hint="eastAsia" w:ascii="Times New Roman" w:hAnsi="Times New Roman" w:eastAsia="仿宋_GB2312"/>
          <w:kern w:val="2"/>
          <w:sz w:val="32"/>
          <w:szCs w:val="24"/>
        </w:rPr>
        <w:t>无。</w:t>
      </w:r>
    </w:p>
    <w:p>
      <w:pPr>
        <w:pStyle w:val="3"/>
        <w:keepNext/>
        <w:spacing w:before="340" w:after="330" w:line="576" w:lineRule="auto"/>
        <w:jc w:val="center"/>
        <w:rPr>
          <w:rFonts w:hint="eastAsia" w:ascii="黑体" w:hAnsi="黑体" w:eastAsia="黑体" w:cs="Times New Roman"/>
          <w:color w:val="auto"/>
          <w:kern w:val="44"/>
          <w:sz w:val="44"/>
          <w:szCs w:val="24"/>
          <w:lang w:val="en-US"/>
        </w:rPr>
      </w:pPr>
      <w:bookmarkStart w:id="222" w:name="_Toc2657"/>
      <w:bookmarkStart w:id="223" w:name="_Toc28211"/>
      <w:r>
        <w:rPr>
          <w:rFonts w:hint="eastAsia" w:ascii="黑体" w:hAnsi="黑体" w:eastAsia="黑体" w:cs="Times New Roman"/>
          <w:color w:val="auto"/>
          <w:kern w:val="44"/>
          <w:sz w:val="44"/>
          <w:szCs w:val="24"/>
          <w:lang w:val="en-US"/>
        </w:rPr>
        <w:t>第五部分附表</w:t>
      </w:r>
      <w:bookmarkEnd w:id="222"/>
      <w:bookmarkEnd w:id="223"/>
    </w:p>
    <w:p>
      <w:pPr>
        <w:pStyle w:val="4"/>
        <w:keepNext/>
        <w:numPr>
          <w:ilvl w:val="0"/>
          <w:numId w:val="5"/>
        </w:numPr>
        <w:spacing w:before="260" w:after="260" w:line="408" w:lineRule="auto"/>
        <w:jc w:val="both"/>
        <w:rPr>
          <w:rFonts w:hint="eastAsia" w:ascii="黑体" w:hAnsi="黑体" w:eastAsia="黑体" w:cs="黑体"/>
          <w:color w:val="auto"/>
          <w:kern w:val="2"/>
          <w:sz w:val="32"/>
          <w:szCs w:val="24"/>
          <w:lang w:val="en-US"/>
        </w:rPr>
      </w:pPr>
      <w:bookmarkStart w:id="224" w:name="_Toc5951"/>
      <w:bookmarkStart w:id="225" w:name="_Toc22264"/>
      <w:r>
        <w:rPr>
          <w:rFonts w:hint="eastAsia" w:ascii="黑体" w:hAnsi="黑体" w:eastAsia="黑体" w:cs="黑体"/>
          <w:color w:val="auto"/>
          <w:kern w:val="2"/>
          <w:sz w:val="32"/>
          <w:szCs w:val="24"/>
          <w:lang w:val="en-US"/>
        </w:rPr>
        <w:t>收入支出决算总表</w:t>
      </w:r>
      <w:bookmarkEnd w:id="224"/>
      <w:bookmarkEnd w:id="225"/>
    </w:p>
    <w:p>
      <w:pPr>
        <w:pStyle w:val="4"/>
        <w:keepNext/>
        <w:numPr>
          <w:ilvl w:val="0"/>
          <w:numId w:val="0"/>
        </w:numPr>
        <w:spacing w:before="260" w:after="260" w:line="408" w:lineRule="auto"/>
        <w:jc w:val="both"/>
        <w:rPr>
          <w:rFonts w:hint="default"/>
          <w:sz w:val="24"/>
          <w:szCs w:val="24"/>
        </w:rPr>
      </w:pPr>
      <w:bookmarkStart w:id="226" w:name="_Toc11153"/>
      <w:bookmarkStart w:id="227" w:name="_Toc30101"/>
      <w:bookmarkStart w:id="228" w:name="_Toc5216"/>
      <w:r>
        <w:rPr>
          <w:rFonts w:hint="default"/>
          <w:sz w:val="24"/>
          <w:szCs w:val="24"/>
        </w:rPr>
        <w:drawing>
          <wp:inline distT="0" distB="0" distL="114300" distR="114300">
            <wp:extent cx="5467350" cy="4543425"/>
            <wp:effectExtent l="0" t="0" r="3810" b="13335"/>
            <wp:docPr id="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pic:cNvPicPr>
                      <a:picLocks noChangeAspect="1"/>
                    </pic:cNvPicPr>
                  </pic:nvPicPr>
                  <pic:blipFill>
                    <a:blip r:embed="rId19"/>
                    <a:stretch>
                      <a:fillRect/>
                    </a:stretch>
                  </pic:blipFill>
                  <pic:spPr>
                    <a:xfrm>
                      <a:off x="0" y="0"/>
                      <a:ext cx="5467350" cy="4543425"/>
                    </a:xfrm>
                    <a:prstGeom prst="rect">
                      <a:avLst/>
                    </a:prstGeom>
                    <a:noFill/>
                    <a:ln>
                      <a:noFill/>
                    </a:ln>
                  </pic:spPr>
                </pic:pic>
              </a:graphicData>
            </a:graphic>
          </wp:inline>
        </w:drawing>
      </w:r>
      <w:bookmarkEnd w:id="226"/>
      <w:bookmarkEnd w:id="227"/>
      <w:bookmarkEnd w:id="228"/>
    </w:p>
    <w:p>
      <w:pPr>
        <w:pStyle w:val="4"/>
        <w:keepNext/>
        <w:numPr>
          <w:ilvl w:val="0"/>
          <w:numId w:val="0"/>
        </w:numPr>
        <w:spacing w:before="260" w:after="260" w:line="408" w:lineRule="auto"/>
        <w:jc w:val="both"/>
        <w:rPr>
          <w:rFonts w:hint="default"/>
          <w:sz w:val="24"/>
          <w:szCs w:val="24"/>
        </w:rPr>
      </w:pPr>
    </w:p>
    <w:p>
      <w:pPr>
        <w:pStyle w:val="4"/>
        <w:keepNext/>
        <w:numPr>
          <w:ilvl w:val="0"/>
          <w:numId w:val="0"/>
        </w:numPr>
        <w:spacing w:before="260" w:after="260" w:line="408" w:lineRule="auto"/>
        <w:jc w:val="both"/>
        <w:rPr>
          <w:rFonts w:hint="default"/>
          <w:sz w:val="24"/>
          <w:szCs w:val="24"/>
          <w:lang w:val="en-US"/>
        </w:rPr>
      </w:pPr>
    </w:p>
    <w:p>
      <w:pPr>
        <w:pStyle w:val="4"/>
        <w:keepNext/>
        <w:numPr>
          <w:ilvl w:val="0"/>
          <w:numId w:val="5"/>
        </w:numPr>
        <w:spacing w:before="260" w:after="260" w:line="408" w:lineRule="auto"/>
        <w:jc w:val="both"/>
        <w:rPr>
          <w:rFonts w:hint="eastAsia" w:ascii="黑体" w:hAnsi="黑体" w:eastAsia="黑体" w:cs="黑体"/>
          <w:color w:val="auto"/>
          <w:kern w:val="2"/>
          <w:sz w:val="32"/>
          <w:szCs w:val="24"/>
          <w:lang w:val="en-US"/>
        </w:rPr>
      </w:pPr>
      <w:bookmarkStart w:id="229" w:name="_Toc4685"/>
      <w:bookmarkStart w:id="230" w:name="_Toc9069"/>
      <w:r>
        <w:rPr>
          <w:rFonts w:hint="eastAsia" w:ascii="黑体" w:hAnsi="黑体" w:eastAsia="黑体" w:cs="黑体"/>
          <w:color w:val="auto"/>
          <w:kern w:val="2"/>
          <w:sz w:val="32"/>
          <w:szCs w:val="24"/>
          <w:lang w:val="en-US"/>
        </w:rPr>
        <w:t>收入决算表</w:t>
      </w:r>
      <w:bookmarkEnd w:id="229"/>
      <w:bookmarkEnd w:id="230"/>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31" w:name="_Toc21799"/>
      <w:bookmarkStart w:id="232" w:name="_Toc13749"/>
      <w:bookmarkStart w:id="233" w:name="_Toc30455"/>
      <w:r>
        <w:rPr>
          <w:rFonts w:hint="default"/>
          <w:sz w:val="24"/>
          <w:szCs w:val="24"/>
        </w:rPr>
        <w:drawing>
          <wp:inline distT="0" distB="0" distL="114300" distR="114300">
            <wp:extent cx="5464810" cy="7388225"/>
            <wp:effectExtent l="0" t="0" r="6350" b="3175"/>
            <wp:docPr id="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pic:cNvPicPr>
                      <a:picLocks noChangeAspect="1"/>
                    </pic:cNvPicPr>
                  </pic:nvPicPr>
                  <pic:blipFill>
                    <a:blip r:embed="rId20"/>
                    <a:stretch>
                      <a:fillRect/>
                    </a:stretch>
                  </pic:blipFill>
                  <pic:spPr>
                    <a:xfrm>
                      <a:off x="0" y="0"/>
                      <a:ext cx="5464810" cy="7388225"/>
                    </a:xfrm>
                    <a:prstGeom prst="rect">
                      <a:avLst/>
                    </a:prstGeom>
                    <a:noFill/>
                    <a:ln>
                      <a:noFill/>
                    </a:ln>
                  </pic:spPr>
                </pic:pic>
              </a:graphicData>
            </a:graphic>
          </wp:inline>
        </w:drawing>
      </w:r>
      <w:bookmarkEnd w:id="231"/>
      <w:bookmarkEnd w:id="232"/>
      <w:bookmarkEnd w:id="233"/>
    </w:p>
    <w:p>
      <w:pPr>
        <w:pStyle w:val="4"/>
        <w:keepNext/>
        <w:numPr>
          <w:ilvl w:val="0"/>
          <w:numId w:val="5"/>
        </w:numPr>
        <w:spacing w:before="260" w:after="260" w:line="240" w:lineRule="atLeast"/>
        <w:rPr>
          <w:rFonts w:hint="eastAsia" w:ascii="仿宋" w:hAnsi="仿宋" w:eastAsia="仿宋"/>
          <w:color w:val="auto"/>
          <w:kern w:val="2"/>
          <w:sz w:val="32"/>
          <w:szCs w:val="24"/>
          <w:lang w:val="en-US"/>
        </w:rPr>
      </w:pPr>
      <w:bookmarkStart w:id="234" w:name="_Toc15509"/>
      <w:bookmarkStart w:id="235" w:name="_Toc17736"/>
      <w:r>
        <w:rPr>
          <w:rFonts w:hint="eastAsia" w:ascii="黑体" w:hAnsi="黑体" w:eastAsia="黑体" w:cs="黑体"/>
          <w:color w:val="auto"/>
          <w:kern w:val="2"/>
          <w:sz w:val="32"/>
          <w:szCs w:val="24"/>
          <w:lang w:val="en-US"/>
        </w:rPr>
        <w:t>支出决算表</w:t>
      </w:r>
      <w:r>
        <w:rPr>
          <w:rFonts w:hint="default"/>
          <w:sz w:val="24"/>
          <w:szCs w:val="24"/>
        </w:rPr>
        <w:drawing>
          <wp:inline distT="0" distB="0" distL="114300" distR="114300">
            <wp:extent cx="5309870" cy="7795895"/>
            <wp:effectExtent l="0" t="0" r="8890" b="6985"/>
            <wp:docPr id="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7"/>
                    <pic:cNvPicPr>
                      <a:picLocks noChangeAspect="1"/>
                    </pic:cNvPicPr>
                  </pic:nvPicPr>
                  <pic:blipFill>
                    <a:blip r:embed="rId21"/>
                    <a:stretch>
                      <a:fillRect/>
                    </a:stretch>
                  </pic:blipFill>
                  <pic:spPr>
                    <a:xfrm>
                      <a:off x="0" y="0"/>
                      <a:ext cx="5309870" cy="7795895"/>
                    </a:xfrm>
                    <a:prstGeom prst="rect">
                      <a:avLst/>
                    </a:prstGeom>
                    <a:noFill/>
                    <a:ln>
                      <a:noFill/>
                    </a:ln>
                  </pic:spPr>
                </pic:pic>
              </a:graphicData>
            </a:graphic>
          </wp:inline>
        </w:drawing>
      </w:r>
      <w:bookmarkEnd w:id="234"/>
      <w:bookmarkEnd w:id="235"/>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36" w:name="_Toc11483"/>
      <w:bookmarkStart w:id="237" w:name="_Toc16163"/>
      <w:r>
        <w:rPr>
          <w:rFonts w:hint="eastAsia" w:ascii="黑体" w:hAnsi="黑体" w:eastAsia="黑体" w:cs="黑体"/>
          <w:color w:val="auto"/>
          <w:kern w:val="2"/>
          <w:sz w:val="32"/>
          <w:szCs w:val="24"/>
          <w:lang w:val="en-US" w:eastAsia="zh-CN"/>
        </w:rPr>
        <w:t>四、</w:t>
      </w:r>
      <w:r>
        <w:rPr>
          <w:rFonts w:hint="eastAsia" w:ascii="黑体" w:hAnsi="黑体" w:eastAsia="黑体" w:cs="黑体"/>
          <w:color w:val="auto"/>
          <w:kern w:val="2"/>
          <w:sz w:val="32"/>
          <w:szCs w:val="24"/>
          <w:lang w:val="en-US"/>
        </w:rPr>
        <w:t>财政拨款收入支出决算总表</w:t>
      </w:r>
      <w:bookmarkEnd w:id="236"/>
      <w:bookmarkEnd w:id="237"/>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38" w:name="_Toc9289"/>
      <w:bookmarkStart w:id="239" w:name="_Toc1221"/>
      <w:bookmarkStart w:id="240" w:name="_Toc17290"/>
      <w:r>
        <w:rPr>
          <w:rFonts w:hint="default"/>
          <w:sz w:val="24"/>
          <w:szCs w:val="24"/>
        </w:rPr>
        <w:drawing>
          <wp:inline distT="0" distB="0" distL="114300" distR="114300">
            <wp:extent cx="5493385" cy="4070985"/>
            <wp:effectExtent l="0" t="0" r="8255" b="13335"/>
            <wp:docPr id="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pic:cNvPicPr>
                      <a:picLocks noChangeAspect="1"/>
                    </pic:cNvPicPr>
                  </pic:nvPicPr>
                  <pic:blipFill>
                    <a:blip r:embed="rId22"/>
                    <a:stretch>
                      <a:fillRect/>
                    </a:stretch>
                  </pic:blipFill>
                  <pic:spPr>
                    <a:xfrm>
                      <a:off x="0" y="0"/>
                      <a:ext cx="5493385" cy="4070985"/>
                    </a:xfrm>
                    <a:prstGeom prst="rect">
                      <a:avLst/>
                    </a:prstGeom>
                    <a:noFill/>
                    <a:ln>
                      <a:noFill/>
                    </a:ln>
                  </pic:spPr>
                </pic:pic>
              </a:graphicData>
            </a:graphic>
          </wp:inline>
        </w:drawing>
      </w:r>
      <w:bookmarkEnd w:id="238"/>
      <w:bookmarkEnd w:id="239"/>
      <w:bookmarkEnd w:id="240"/>
    </w:p>
    <w:p>
      <w:pPr>
        <w:pStyle w:val="4"/>
        <w:keepNext/>
        <w:numPr>
          <w:ilvl w:val="0"/>
          <w:numId w:val="0"/>
        </w:numPr>
        <w:spacing w:before="260" w:after="260" w:line="240" w:lineRule="atLeast"/>
        <w:outlineLvl w:val="1"/>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br w:type="page"/>
      </w:r>
      <w:bookmarkStart w:id="241" w:name="_Toc7304"/>
      <w:bookmarkStart w:id="242" w:name="_Toc10338"/>
      <w:r>
        <w:rPr>
          <w:rFonts w:hint="eastAsia" w:ascii="黑体" w:hAnsi="黑体" w:eastAsia="黑体" w:cs="黑体"/>
          <w:color w:val="auto"/>
          <w:kern w:val="2"/>
          <w:sz w:val="32"/>
          <w:szCs w:val="24"/>
          <w:lang w:val="en-US" w:eastAsia="zh-CN"/>
        </w:rPr>
        <w:t>五、</w:t>
      </w:r>
      <w:r>
        <w:rPr>
          <w:rFonts w:hint="eastAsia" w:ascii="黑体" w:hAnsi="黑体" w:eastAsia="黑体" w:cs="黑体"/>
          <w:color w:val="auto"/>
          <w:kern w:val="2"/>
          <w:sz w:val="32"/>
          <w:szCs w:val="24"/>
          <w:lang w:val="en-US"/>
        </w:rPr>
        <w:t>财政拨款</w:t>
      </w:r>
      <w:r>
        <w:rPr>
          <w:rFonts w:hint="eastAsia" w:ascii="黑体" w:hAnsi="黑体" w:eastAsia="黑体" w:cs="黑体"/>
          <w:color w:val="auto"/>
          <w:kern w:val="2"/>
          <w:sz w:val="32"/>
          <w:szCs w:val="24"/>
          <w:lang w:val="en-US" w:eastAsia="zh-CN"/>
        </w:rPr>
        <w:t>支出决算明细表</w:t>
      </w:r>
      <w:r>
        <w:rPr>
          <w:rFonts w:hint="default"/>
          <w:sz w:val="24"/>
          <w:szCs w:val="24"/>
        </w:rPr>
        <w:drawing>
          <wp:inline distT="0" distB="0" distL="114300" distR="114300">
            <wp:extent cx="4609465" cy="7681595"/>
            <wp:effectExtent l="0" t="0" r="8255" b="14605"/>
            <wp:docPr id="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8"/>
                    <pic:cNvPicPr>
                      <a:picLocks noChangeAspect="1"/>
                    </pic:cNvPicPr>
                  </pic:nvPicPr>
                  <pic:blipFill>
                    <a:blip r:embed="rId23"/>
                    <a:stretch>
                      <a:fillRect/>
                    </a:stretch>
                  </pic:blipFill>
                  <pic:spPr>
                    <a:xfrm>
                      <a:off x="0" y="0"/>
                      <a:ext cx="4609465" cy="7681595"/>
                    </a:xfrm>
                    <a:prstGeom prst="rect">
                      <a:avLst/>
                    </a:prstGeom>
                    <a:noFill/>
                    <a:ln>
                      <a:noFill/>
                    </a:ln>
                  </pic:spPr>
                </pic:pic>
              </a:graphicData>
            </a:graphic>
          </wp:inline>
        </w:drawing>
      </w:r>
      <w:bookmarkEnd w:id="241"/>
      <w:bookmarkEnd w:id="242"/>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43" w:name="_Toc27054"/>
      <w:bookmarkStart w:id="244" w:name="_Toc15977"/>
      <w:r>
        <w:rPr>
          <w:rFonts w:hint="eastAsia" w:ascii="黑体" w:hAnsi="黑体" w:eastAsia="黑体" w:cs="黑体"/>
          <w:color w:val="auto"/>
          <w:kern w:val="2"/>
          <w:sz w:val="32"/>
          <w:szCs w:val="24"/>
          <w:lang w:val="en-US" w:eastAsia="zh-CN"/>
        </w:rPr>
        <w:t>六、</w:t>
      </w:r>
      <w:r>
        <w:rPr>
          <w:rFonts w:hint="eastAsia" w:ascii="黑体" w:hAnsi="黑体" w:eastAsia="黑体" w:cs="黑体"/>
          <w:color w:val="auto"/>
          <w:kern w:val="2"/>
          <w:sz w:val="32"/>
          <w:szCs w:val="24"/>
          <w:lang w:val="en-US"/>
        </w:rPr>
        <w:t>一般公共预算财政拨款支出决算表</w:t>
      </w:r>
      <w:bookmarkEnd w:id="243"/>
      <w:bookmarkEnd w:id="244"/>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45" w:name="_Toc11292"/>
      <w:bookmarkStart w:id="246" w:name="_Toc7825"/>
      <w:bookmarkStart w:id="247" w:name="_Toc5570"/>
      <w:r>
        <w:rPr>
          <w:rFonts w:hint="default"/>
          <w:sz w:val="24"/>
          <w:szCs w:val="24"/>
        </w:rPr>
        <w:drawing>
          <wp:inline distT="0" distB="0" distL="114300" distR="114300">
            <wp:extent cx="3725545" cy="7352665"/>
            <wp:effectExtent l="0" t="0" r="8255" b="8255"/>
            <wp:docPr id="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8"/>
                    <pic:cNvPicPr>
                      <a:picLocks noChangeAspect="1"/>
                    </pic:cNvPicPr>
                  </pic:nvPicPr>
                  <pic:blipFill>
                    <a:blip r:embed="rId24"/>
                    <a:stretch>
                      <a:fillRect/>
                    </a:stretch>
                  </pic:blipFill>
                  <pic:spPr>
                    <a:xfrm>
                      <a:off x="0" y="0"/>
                      <a:ext cx="3725545" cy="7352665"/>
                    </a:xfrm>
                    <a:prstGeom prst="rect">
                      <a:avLst/>
                    </a:prstGeom>
                    <a:noFill/>
                    <a:ln>
                      <a:noFill/>
                    </a:ln>
                  </pic:spPr>
                </pic:pic>
              </a:graphicData>
            </a:graphic>
          </wp:inline>
        </w:drawing>
      </w:r>
      <w:bookmarkEnd w:id="245"/>
      <w:bookmarkEnd w:id="246"/>
      <w:bookmarkEnd w:id="247"/>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48" w:name="_Toc29090"/>
      <w:bookmarkStart w:id="249" w:name="_Toc15310"/>
      <w:r>
        <w:rPr>
          <w:rFonts w:hint="eastAsia" w:ascii="黑体" w:hAnsi="黑体" w:eastAsia="黑体" w:cs="黑体"/>
          <w:color w:val="auto"/>
          <w:kern w:val="2"/>
          <w:sz w:val="32"/>
          <w:szCs w:val="24"/>
          <w:lang w:val="en-US" w:eastAsia="zh-CN"/>
        </w:rPr>
        <w:t>七、</w:t>
      </w:r>
      <w:r>
        <w:rPr>
          <w:rFonts w:hint="eastAsia" w:ascii="黑体" w:hAnsi="黑体" w:eastAsia="黑体" w:cs="黑体"/>
          <w:color w:val="auto"/>
          <w:kern w:val="2"/>
          <w:sz w:val="32"/>
          <w:szCs w:val="24"/>
          <w:lang w:val="en-US"/>
        </w:rPr>
        <w:t>一般公共预算财政拨款支出决算明细表</w:t>
      </w:r>
      <w:bookmarkEnd w:id="248"/>
      <w:bookmarkEnd w:id="249"/>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50" w:name="_Toc6992"/>
      <w:bookmarkStart w:id="251" w:name="_Toc28426"/>
      <w:bookmarkStart w:id="252" w:name="_Toc32170"/>
      <w:r>
        <w:rPr>
          <w:rFonts w:hint="default"/>
          <w:sz w:val="24"/>
          <w:szCs w:val="24"/>
        </w:rPr>
        <w:drawing>
          <wp:inline distT="0" distB="0" distL="114300" distR="114300">
            <wp:extent cx="5474970" cy="1577975"/>
            <wp:effectExtent l="0" t="0" r="11430" b="6985"/>
            <wp:docPr id="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pic:cNvPicPr>
                      <a:picLocks noChangeAspect="1"/>
                    </pic:cNvPicPr>
                  </pic:nvPicPr>
                  <pic:blipFill>
                    <a:blip r:embed="rId25"/>
                    <a:stretch>
                      <a:fillRect/>
                    </a:stretch>
                  </pic:blipFill>
                  <pic:spPr>
                    <a:xfrm>
                      <a:off x="0" y="0"/>
                      <a:ext cx="5474970" cy="1577975"/>
                    </a:xfrm>
                    <a:prstGeom prst="rect">
                      <a:avLst/>
                    </a:prstGeom>
                    <a:noFill/>
                    <a:ln>
                      <a:noFill/>
                    </a:ln>
                  </pic:spPr>
                </pic:pic>
              </a:graphicData>
            </a:graphic>
          </wp:inline>
        </w:drawing>
      </w:r>
      <w:bookmarkEnd w:id="250"/>
      <w:bookmarkEnd w:id="251"/>
      <w:bookmarkEnd w:id="252"/>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53" w:name="_Toc13138"/>
      <w:bookmarkStart w:id="254" w:name="_Toc3450"/>
      <w:r>
        <w:rPr>
          <w:rFonts w:hint="eastAsia" w:ascii="黑体" w:hAnsi="黑体" w:eastAsia="黑体" w:cs="黑体"/>
          <w:color w:val="auto"/>
          <w:kern w:val="2"/>
          <w:sz w:val="32"/>
          <w:szCs w:val="24"/>
          <w:lang w:val="en-US" w:eastAsia="zh-CN"/>
        </w:rPr>
        <w:t>八、</w:t>
      </w:r>
      <w:r>
        <w:rPr>
          <w:rFonts w:hint="eastAsia" w:ascii="黑体" w:hAnsi="黑体" w:eastAsia="黑体" w:cs="黑体"/>
          <w:color w:val="auto"/>
          <w:kern w:val="2"/>
          <w:sz w:val="32"/>
          <w:szCs w:val="24"/>
          <w:lang w:val="en-US"/>
        </w:rPr>
        <w:t>一般公共预算财政拨款基本支出决算表</w:t>
      </w:r>
      <w:bookmarkEnd w:id="253"/>
      <w:bookmarkEnd w:id="254"/>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55" w:name="_Toc26511"/>
      <w:bookmarkStart w:id="256" w:name="_Toc2261"/>
      <w:bookmarkStart w:id="257" w:name="_Toc3983"/>
      <w:r>
        <w:rPr>
          <w:rFonts w:hint="default"/>
          <w:sz w:val="24"/>
          <w:szCs w:val="24"/>
        </w:rPr>
        <w:drawing>
          <wp:inline distT="0" distB="0" distL="114300" distR="114300">
            <wp:extent cx="5511165" cy="3232785"/>
            <wp:effectExtent l="0" t="0" r="5715" b="13335"/>
            <wp:docPr id="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pic:cNvPicPr>
                      <a:picLocks noChangeAspect="1"/>
                    </pic:cNvPicPr>
                  </pic:nvPicPr>
                  <pic:blipFill>
                    <a:blip r:embed="rId26"/>
                    <a:stretch>
                      <a:fillRect/>
                    </a:stretch>
                  </pic:blipFill>
                  <pic:spPr>
                    <a:xfrm>
                      <a:off x="0" y="0"/>
                      <a:ext cx="5511165" cy="3232785"/>
                    </a:xfrm>
                    <a:prstGeom prst="rect">
                      <a:avLst/>
                    </a:prstGeom>
                    <a:noFill/>
                    <a:ln>
                      <a:noFill/>
                    </a:ln>
                  </pic:spPr>
                </pic:pic>
              </a:graphicData>
            </a:graphic>
          </wp:inline>
        </w:drawing>
      </w:r>
      <w:bookmarkEnd w:id="255"/>
      <w:bookmarkEnd w:id="256"/>
      <w:bookmarkEnd w:id="257"/>
    </w:p>
    <w:p>
      <w:pPr>
        <w:pStyle w:val="4"/>
        <w:keepNext/>
        <w:numPr>
          <w:ilvl w:val="0"/>
          <w:numId w:val="0"/>
        </w:numPr>
        <w:spacing w:before="260" w:after="260" w:line="240" w:lineRule="atLeast"/>
        <w:jc w:val="both"/>
        <w:outlineLvl w:val="1"/>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br w:type="page"/>
      </w:r>
      <w:bookmarkStart w:id="258" w:name="_Toc11337"/>
      <w:bookmarkStart w:id="259" w:name="_Toc19714"/>
      <w:r>
        <w:rPr>
          <w:rFonts w:hint="eastAsia" w:ascii="黑体" w:hAnsi="黑体" w:eastAsia="黑体" w:cs="黑体"/>
          <w:color w:val="auto"/>
          <w:kern w:val="2"/>
          <w:sz w:val="32"/>
          <w:szCs w:val="24"/>
          <w:lang w:val="en-US" w:eastAsia="zh-CN"/>
        </w:rPr>
        <w:t>九、</w:t>
      </w:r>
      <w:r>
        <w:rPr>
          <w:rFonts w:hint="eastAsia" w:ascii="黑体" w:hAnsi="黑体" w:eastAsia="黑体" w:cs="黑体"/>
          <w:color w:val="auto"/>
          <w:kern w:val="2"/>
          <w:sz w:val="32"/>
          <w:szCs w:val="24"/>
          <w:lang w:val="en-US"/>
        </w:rPr>
        <w:t>一般公共预算财政拨款项目支出决算表</w:t>
      </w:r>
      <w:bookmarkEnd w:id="258"/>
      <w:bookmarkEnd w:id="259"/>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60" w:name="_Toc32674"/>
      <w:bookmarkStart w:id="261" w:name="_Toc8515"/>
      <w:bookmarkStart w:id="262" w:name="_Toc18852"/>
      <w:r>
        <w:rPr>
          <w:rFonts w:hint="default"/>
          <w:sz w:val="24"/>
          <w:szCs w:val="24"/>
        </w:rPr>
        <w:drawing>
          <wp:inline distT="0" distB="0" distL="114300" distR="114300">
            <wp:extent cx="4684395" cy="7445375"/>
            <wp:effectExtent l="0" t="0" r="9525" b="6985"/>
            <wp:docPr id="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1"/>
                    <pic:cNvPicPr>
                      <a:picLocks noChangeAspect="1"/>
                    </pic:cNvPicPr>
                  </pic:nvPicPr>
                  <pic:blipFill>
                    <a:blip r:embed="rId27"/>
                    <a:stretch>
                      <a:fillRect/>
                    </a:stretch>
                  </pic:blipFill>
                  <pic:spPr>
                    <a:xfrm>
                      <a:off x="0" y="0"/>
                      <a:ext cx="4684395" cy="7445375"/>
                    </a:xfrm>
                    <a:prstGeom prst="rect">
                      <a:avLst/>
                    </a:prstGeom>
                    <a:noFill/>
                    <a:ln>
                      <a:noFill/>
                    </a:ln>
                  </pic:spPr>
                </pic:pic>
              </a:graphicData>
            </a:graphic>
          </wp:inline>
        </w:drawing>
      </w:r>
      <w:bookmarkEnd w:id="260"/>
      <w:bookmarkEnd w:id="261"/>
      <w:bookmarkEnd w:id="262"/>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63" w:name="_Toc14245"/>
      <w:bookmarkStart w:id="264" w:name="_Toc3946"/>
      <w:r>
        <w:rPr>
          <w:rFonts w:hint="eastAsia" w:ascii="黑体" w:hAnsi="黑体" w:eastAsia="黑体" w:cs="黑体"/>
          <w:color w:val="auto"/>
          <w:kern w:val="2"/>
          <w:sz w:val="32"/>
          <w:szCs w:val="24"/>
          <w:lang w:val="en-US" w:eastAsia="zh-CN"/>
        </w:rPr>
        <w:t>十、</w:t>
      </w:r>
      <w:r>
        <w:rPr>
          <w:rFonts w:hint="eastAsia" w:ascii="黑体" w:hAnsi="黑体" w:eastAsia="黑体" w:cs="黑体"/>
          <w:color w:val="auto"/>
          <w:kern w:val="2"/>
          <w:sz w:val="32"/>
          <w:szCs w:val="24"/>
          <w:lang w:val="en-US"/>
        </w:rPr>
        <w:t>政府性基金预算财政拨款收入支出决算表</w:t>
      </w:r>
      <w:bookmarkEnd w:id="263"/>
      <w:bookmarkEnd w:id="264"/>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65" w:name="_Toc31109"/>
      <w:bookmarkStart w:id="266" w:name="_Toc14791"/>
      <w:bookmarkStart w:id="267" w:name="_Toc20548"/>
      <w:r>
        <w:rPr>
          <w:rFonts w:hint="default"/>
          <w:sz w:val="24"/>
          <w:szCs w:val="24"/>
        </w:rPr>
        <w:drawing>
          <wp:inline distT="0" distB="0" distL="114300" distR="114300">
            <wp:extent cx="5445760" cy="1748155"/>
            <wp:effectExtent l="0" t="0" r="10160" b="4445"/>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
                    <pic:cNvPicPr>
                      <a:picLocks noChangeAspect="1"/>
                    </pic:cNvPicPr>
                  </pic:nvPicPr>
                  <pic:blipFill>
                    <a:blip r:embed="rId28"/>
                    <a:stretch>
                      <a:fillRect/>
                    </a:stretch>
                  </pic:blipFill>
                  <pic:spPr>
                    <a:xfrm>
                      <a:off x="0" y="0"/>
                      <a:ext cx="5445760" cy="1748155"/>
                    </a:xfrm>
                    <a:prstGeom prst="rect">
                      <a:avLst/>
                    </a:prstGeom>
                    <a:noFill/>
                    <a:ln>
                      <a:noFill/>
                    </a:ln>
                  </pic:spPr>
                </pic:pic>
              </a:graphicData>
            </a:graphic>
          </wp:inline>
        </w:drawing>
      </w:r>
      <w:bookmarkEnd w:id="265"/>
      <w:bookmarkEnd w:id="266"/>
      <w:bookmarkEnd w:id="267"/>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68" w:name="_Toc29574"/>
      <w:bookmarkStart w:id="269" w:name="_Toc2053"/>
      <w:r>
        <w:rPr>
          <w:rFonts w:hint="eastAsia" w:ascii="黑体" w:hAnsi="黑体" w:eastAsia="黑体" w:cs="黑体"/>
          <w:color w:val="auto"/>
          <w:kern w:val="2"/>
          <w:sz w:val="32"/>
          <w:szCs w:val="24"/>
          <w:lang w:val="en-US" w:eastAsia="zh-CN"/>
        </w:rPr>
        <w:t>十一、</w:t>
      </w:r>
      <w:r>
        <w:rPr>
          <w:rFonts w:hint="eastAsia" w:ascii="黑体" w:hAnsi="黑体" w:eastAsia="黑体" w:cs="黑体"/>
          <w:color w:val="auto"/>
          <w:kern w:val="2"/>
          <w:sz w:val="32"/>
          <w:szCs w:val="24"/>
          <w:lang w:val="en-US"/>
        </w:rPr>
        <w:t>国有资本经营预算财政拨款收入支出决算表</w:t>
      </w:r>
      <w:bookmarkEnd w:id="268"/>
      <w:bookmarkEnd w:id="269"/>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70" w:name="_Toc270"/>
      <w:bookmarkStart w:id="271" w:name="_Toc26108"/>
      <w:bookmarkStart w:id="272" w:name="_Toc8005"/>
      <w:r>
        <w:rPr>
          <w:rFonts w:hint="default"/>
          <w:sz w:val="24"/>
          <w:szCs w:val="24"/>
        </w:rPr>
        <w:drawing>
          <wp:inline distT="0" distB="0" distL="114300" distR="114300">
            <wp:extent cx="5471795" cy="2502535"/>
            <wp:effectExtent l="0" t="0" r="14605" b="12065"/>
            <wp:docPr id="1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3"/>
                    <pic:cNvPicPr>
                      <a:picLocks noChangeAspect="1"/>
                    </pic:cNvPicPr>
                  </pic:nvPicPr>
                  <pic:blipFill>
                    <a:blip r:embed="rId29"/>
                    <a:stretch>
                      <a:fillRect/>
                    </a:stretch>
                  </pic:blipFill>
                  <pic:spPr>
                    <a:xfrm>
                      <a:off x="0" y="0"/>
                      <a:ext cx="5471795" cy="2502535"/>
                    </a:xfrm>
                    <a:prstGeom prst="rect">
                      <a:avLst/>
                    </a:prstGeom>
                    <a:noFill/>
                    <a:ln>
                      <a:noFill/>
                    </a:ln>
                  </pic:spPr>
                </pic:pic>
              </a:graphicData>
            </a:graphic>
          </wp:inline>
        </w:drawing>
      </w:r>
      <w:bookmarkEnd w:id="270"/>
      <w:bookmarkEnd w:id="271"/>
      <w:bookmarkEnd w:id="272"/>
    </w:p>
    <w:p>
      <w:pPr>
        <w:pStyle w:val="4"/>
        <w:keepNext/>
        <w:numPr>
          <w:ilvl w:val="0"/>
          <w:numId w:val="0"/>
        </w:numPr>
        <w:spacing w:before="260" w:after="260" w:line="408" w:lineRule="auto"/>
        <w:jc w:val="both"/>
        <w:outlineLvl w:val="1"/>
        <w:rPr>
          <w:rFonts w:hint="eastAsia" w:ascii="仿宋" w:hAnsi="仿宋" w:eastAsia="仿宋"/>
          <w:color w:val="auto"/>
          <w:kern w:val="2"/>
          <w:sz w:val="32"/>
          <w:szCs w:val="24"/>
          <w:lang w:val="en-US"/>
        </w:rPr>
      </w:pPr>
      <w:r>
        <w:rPr>
          <w:rFonts w:hint="eastAsia" w:ascii="仿宋" w:hAnsi="仿宋" w:eastAsia="仿宋"/>
          <w:color w:val="auto"/>
          <w:kern w:val="2"/>
          <w:sz w:val="32"/>
          <w:szCs w:val="24"/>
          <w:lang w:val="en-US"/>
        </w:rPr>
        <w:br w:type="page"/>
      </w:r>
      <w:bookmarkStart w:id="273" w:name="_Toc30326"/>
      <w:bookmarkStart w:id="274" w:name="_Toc8176"/>
      <w:r>
        <w:rPr>
          <w:rFonts w:hint="eastAsia" w:ascii="黑体" w:hAnsi="黑体" w:eastAsia="黑体" w:cs="黑体"/>
          <w:color w:val="auto"/>
          <w:kern w:val="2"/>
          <w:sz w:val="32"/>
          <w:szCs w:val="24"/>
          <w:lang w:val="en-US" w:eastAsia="zh-CN"/>
        </w:rPr>
        <w:t>十二、</w:t>
      </w:r>
      <w:r>
        <w:rPr>
          <w:rFonts w:hint="eastAsia" w:ascii="黑体" w:hAnsi="黑体" w:eastAsia="黑体" w:cs="黑体"/>
          <w:color w:val="auto"/>
          <w:kern w:val="2"/>
          <w:sz w:val="32"/>
          <w:szCs w:val="24"/>
          <w:lang w:val="en-US"/>
        </w:rPr>
        <w:t>国有资本经营预算财政拨款支出决算表</w:t>
      </w:r>
      <w:bookmarkEnd w:id="273"/>
      <w:bookmarkEnd w:id="274"/>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75" w:name="_Toc28786"/>
      <w:bookmarkStart w:id="276" w:name="_Toc29988"/>
      <w:bookmarkStart w:id="277" w:name="_Toc11453"/>
      <w:r>
        <w:rPr>
          <w:rFonts w:hint="default"/>
          <w:sz w:val="24"/>
          <w:szCs w:val="24"/>
        </w:rPr>
        <w:drawing>
          <wp:inline distT="0" distB="0" distL="114300" distR="114300">
            <wp:extent cx="5457190" cy="2637790"/>
            <wp:effectExtent l="0" t="0" r="13970" b="13970"/>
            <wp:docPr id="1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4"/>
                    <pic:cNvPicPr>
                      <a:picLocks noChangeAspect="1"/>
                    </pic:cNvPicPr>
                  </pic:nvPicPr>
                  <pic:blipFill>
                    <a:blip r:embed="rId30"/>
                    <a:stretch>
                      <a:fillRect/>
                    </a:stretch>
                  </pic:blipFill>
                  <pic:spPr>
                    <a:xfrm>
                      <a:off x="0" y="0"/>
                      <a:ext cx="5457190" cy="2637790"/>
                    </a:xfrm>
                    <a:prstGeom prst="rect">
                      <a:avLst/>
                    </a:prstGeom>
                    <a:noFill/>
                    <a:ln>
                      <a:noFill/>
                    </a:ln>
                  </pic:spPr>
                </pic:pic>
              </a:graphicData>
            </a:graphic>
          </wp:inline>
        </w:drawing>
      </w:r>
      <w:bookmarkEnd w:id="275"/>
      <w:bookmarkEnd w:id="276"/>
      <w:bookmarkEnd w:id="277"/>
    </w:p>
    <w:p>
      <w:pPr>
        <w:pStyle w:val="4"/>
        <w:keepNext/>
        <w:numPr>
          <w:ilvl w:val="0"/>
          <w:numId w:val="0"/>
        </w:numPr>
        <w:spacing w:before="260" w:after="260" w:line="408" w:lineRule="auto"/>
        <w:jc w:val="both"/>
        <w:outlineLvl w:val="1"/>
        <w:rPr>
          <w:rFonts w:hint="eastAsia" w:ascii="黑体" w:hAnsi="黑体" w:eastAsia="黑体" w:cs="黑体"/>
          <w:color w:val="auto"/>
          <w:kern w:val="2"/>
          <w:sz w:val="32"/>
          <w:szCs w:val="24"/>
          <w:lang w:val="en-US"/>
        </w:rPr>
      </w:pPr>
      <w:bookmarkStart w:id="278" w:name="_Toc5975"/>
      <w:bookmarkStart w:id="279" w:name="_Toc29645"/>
      <w:r>
        <w:rPr>
          <w:rFonts w:hint="eastAsia" w:ascii="黑体" w:hAnsi="黑体" w:eastAsia="黑体" w:cs="黑体"/>
          <w:color w:val="auto"/>
          <w:kern w:val="2"/>
          <w:sz w:val="32"/>
          <w:szCs w:val="24"/>
          <w:lang w:val="en-US" w:eastAsia="zh-CN"/>
        </w:rPr>
        <w:t>十三、</w:t>
      </w:r>
      <w:r>
        <w:rPr>
          <w:rFonts w:hint="eastAsia" w:ascii="黑体" w:hAnsi="黑体" w:eastAsia="黑体" w:cs="黑体"/>
          <w:color w:val="auto"/>
          <w:kern w:val="2"/>
          <w:sz w:val="32"/>
          <w:szCs w:val="24"/>
          <w:lang w:val="en-US"/>
        </w:rPr>
        <w:t>财政拨款“三公”经费支出决算表</w:t>
      </w:r>
      <w:bookmarkEnd w:id="278"/>
      <w:bookmarkEnd w:id="279"/>
    </w:p>
    <w:p>
      <w:pPr>
        <w:pStyle w:val="4"/>
        <w:keepNext/>
        <w:numPr>
          <w:ilvl w:val="0"/>
          <w:numId w:val="0"/>
        </w:numPr>
        <w:spacing w:before="260" w:after="260" w:line="408" w:lineRule="auto"/>
        <w:jc w:val="both"/>
        <w:rPr>
          <w:rFonts w:hint="eastAsia" w:ascii="仿宋" w:hAnsi="仿宋" w:eastAsia="仿宋"/>
          <w:color w:val="auto"/>
          <w:kern w:val="2"/>
          <w:sz w:val="32"/>
          <w:szCs w:val="24"/>
          <w:lang w:val="en-US"/>
        </w:rPr>
      </w:pPr>
      <w:bookmarkStart w:id="280" w:name="_Toc14795"/>
      <w:bookmarkStart w:id="281" w:name="_Toc15850"/>
      <w:bookmarkStart w:id="282" w:name="_Toc1431"/>
      <w:r>
        <w:rPr>
          <w:rFonts w:hint="default"/>
          <w:sz w:val="24"/>
          <w:szCs w:val="24"/>
        </w:rPr>
        <w:drawing>
          <wp:inline distT="0" distB="0" distL="114300" distR="114300">
            <wp:extent cx="5494020" cy="1137285"/>
            <wp:effectExtent l="0" t="0" r="7620" b="5715"/>
            <wp:docPr id="1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5"/>
                    <pic:cNvPicPr>
                      <a:picLocks noChangeAspect="1"/>
                    </pic:cNvPicPr>
                  </pic:nvPicPr>
                  <pic:blipFill>
                    <a:blip r:embed="rId31"/>
                    <a:stretch>
                      <a:fillRect/>
                    </a:stretch>
                  </pic:blipFill>
                  <pic:spPr>
                    <a:xfrm>
                      <a:off x="0" y="0"/>
                      <a:ext cx="5494020" cy="1137285"/>
                    </a:xfrm>
                    <a:prstGeom prst="rect">
                      <a:avLst/>
                    </a:prstGeom>
                    <a:noFill/>
                    <a:ln>
                      <a:noFill/>
                    </a:ln>
                  </pic:spPr>
                </pic:pic>
              </a:graphicData>
            </a:graphic>
          </wp:inline>
        </w:drawing>
      </w:r>
      <w:bookmarkEnd w:id="280"/>
      <w:bookmarkEnd w:id="281"/>
      <w:bookmarkEnd w:id="282"/>
    </w:p>
    <w:p>
      <w:pPr>
        <w:keepNext/>
        <w:rPr>
          <w:rFonts w:hint="eastAsia" w:ascii="华文中宋" w:hAnsi="华文中宋" w:eastAsia="华文中宋"/>
          <w:color w:val="auto"/>
          <w:kern w:val="2"/>
          <w:sz w:val="36"/>
          <w:szCs w:val="24"/>
          <w:lang w:val="en-US"/>
        </w:rPr>
      </w:pPr>
    </w:p>
    <w:sectPr>
      <w:footerReference r:id="rId3" w:type="default"/>
      <w:pgSz w:w="12240" w:h="15840"/>
      <w:pgMar w:top="1440" w:right="1800" w:bottom="1440" w:left="1800" w:header="720" w:footer="720" w:gutter="0"/>
      <w:lnNumType w:countBy="0" w:distance="36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default"/>
                              <w:sz w:val="18"/>
                              <w:szCs w:val="24"/>
                            </w:rPr>
                          </w:pPr>
                          <w:r>
                            <w:rPr>
                              <w:rFonts w:hint="default"/>
                              <w:sz w:val="24"/>
                              <w:szCs w:val="24"/>
                            </w:rPr>
                            <w:fldChar w:fldCharType="begin"/>
                          </w:r>
                          <w:r>
                            <w:rPr>
                              <w:rFonts w:hint="default"/>
                              <w:sz w:val="24"/>
                              <w:szCs w:val="24"/>
                            </w:rPr>
                            <w:instrText xml:space="preserve"> PAGE  \* MERGEFORMAT </w:instrText>
                          </w:r>
                          <w:r>
                            <w:rPr>
                              <w:rFonts w:hint="default"/>
                              <w:sz w:val="24"/>
                              <w:szCs w:val="24"/>
                            </w:rPr>
                            <w:fldChar w:fldCharType="separate"/>
                          </w:r>
                          <w:r>
                            <w:rPr>
                              <w:rFonts w:hint="default"/>
                              <w:sz w:val="24"/>
                              <w:szCs w:val="24"/>
                            </w:rPr>
                            <w:t>4</w:t>
                          </w:r>
                          <w:r>
                            <w:rPr>
                              <w:rFonts w:hint="default"/>
                              <w:sz w:val="24"/>
                              <w:szCs w:val="24"/>
                            </w:rPr>
                            <w:fldChar w:fldCharType="end"/>
                          </w:r>
                        </w:p>
                      </w:txbxContent>
                    </wps:txbx>
                    <wps:bodyPr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rTlYNwwEAAHEDAAAOAAAAAAAAAAEAIAAAAB4BAABkcnMvZTJvRG9jLnhtbFBL&#10;BQYAAAAABgAGAFkBAABTBQAAAAA=&#10;">
              <v:fill on="f" focussize="0,0"/>
              <v:stroke on="f"/>
              <v:imagedata o:title=""/>
              <o:lock v:ext="edit" aspectratio="f"/>
              <v:textbox inset="0mm,0mm,0mm,0mm" style="mso-fit-shape-to-text:t;">
                <w:txbxContent>
                  <w:p>
                    <w:pPr>
                      <w:pStyle w:val="7"/>
                      <w:rPr>
                        <w:rFonts w:hint="default"/>
                        <w:sz w:val="18"/>
                        <w:szCs w:val="24"/>
                      </w:rPr>
                    </w:pPr>
                    <w:r>
                      <w:rPr>
                        <w:rFonts w:hint="default"/>
                        <w:sz w:val="24"/>
                        <w:szCs w:val="24"/>
                      </w:rPr>
                      <w:fldChar w:fldCharType="begin"/>
                    </w:r>
                    <w:r>
                      <w:rPr>
                        <w:rFonts w:hint="default"/>
                        <w:sz w:val="24"/>
                        <w:szCs w:val="24"/>
                      </w:rPr>
                      <w:instrText xml:space="preserve"> PAGE  \* MERGEFORMAT </w:instrText>
                    </w:r>
                    <w:r>
                      <w:rPr>
                        <w:rFonts w:hint="default"/>
                        <w:sz w:val="24"/>
                        <w:szCs w:val="24"/>
                      </w:rPr>
                      <w:fldChar w:fldCharType="separate"/>
                    </w:r>
                    <w:r>
                      <w:rPr>
                        <w:rFonts w:hint="default"/>
                        <w:sz w:val="24"/>
                        <w:szCs w:val="24"/>
                      </w:rPr>
                      <w:t>4</w:t>
                    </w:r>
                    <w:r>
                      <w:rPr>
                        <w:rFonts w:hint="default"/>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3F9D47"/>
    <w:multiLevelType w:val="multilevel"/>
    <w:tmpl w:val="953F9D47"/>
    <w:lvl w:ilvl="0" w:tentative="0">
      <w:start w:val="1"/>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1">
    <w:nsid w:val="C52E7F65"/>
    <w:multiLevelType w:val="multilevel"/>
    <w:tmpl w:val="C52E7F65"/>
    <w:lvl w:ilvl="0" w:tentative="0">
      <w:start w:val="1"/>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2">
    <w:nsid w:val="DB062396"/>
    <w:multiLevelType w:val="multilevel"/>
    <w:tmpl w:val="DB062396"/>
    <w:lvl w:ilvl="0" w:tentative="0">
      <w:start w:val="3"/>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3">
    <w:nsid w:val="F0DD134B"/>
    <w:multiLevelType w:val="multilevel"/>
    <w:tmpl w:val="F0DD134B"/>
    <w:lvl w:ilvl="0" w:tentative="0">
      <w:start w:val="2"/>
      <w:numFmt w:val="chineseCounting"/>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4">
    <w:nsid w:val="16664E57"/>
    <w:multiLevelType w:val="multilevel"/>
    <w:tmpl w:val="16664E57"/>
    <w:lvl w:ilvl="0" w:tentative="0">
      <w:start w:val="2"/>
      <w:numFmt w:val="decimal"/>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3"/>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ZWY1YjUwNTg0YzQ2M2NmZjI0ZDJkMzQyYjYxNWMifQ=="/>
    <w:docVar w:name="KSO_WPS_MARK_KEY" w:val="f3c81d29-b67c-481d-bac0-363c9d5dfa47"/>
  </w:docVars>
  <w:rsids>
    <w:rsidRoot w:val="00172A27"/>
    <w:rsid w:val="1CC70430"/>
    <w:rsid w:val="70F133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99" w:semiHidden="0" w:name="Normal"/>
    <w:lsdException w:uiPriority="99" w:semiHidden="0" w:name="heading 1"/>
    <w:lsdException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iPriority="99" w:semiHidden="0" w:name="toc 1"/>
    <w:lsdException w:qFormat="1" w:uiPriority="99" w:semiHidden="0" w:name="toc 2"/>
    <w:lsdException w:qFormat="1"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uiPriority="99" w:semiHidden="0" w:name="Default Paragraph Font"/>
    <w:lsdException w:qFormat="1" w:uiPriority="99" w:semiHidden="0" w:name="Body Text"/>
    <w:lsdException w:qFormat="1" w:unhideWhenUsed="0" w:uiPriority="0"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uiPriority w:val="99"/>
    <w:pPr>
      <w:widowControl w:val="0"/>
      <w:autoSpaceDE w:val="0"/>
      <w:autoSpaceDN w:val="0"/>
      <w:adjustRightInd w:val="0"/>
    </w:pPr>
    <w:rPr>
      <w:rFonts w:hint="default" w:ascii="Times New Roman" w:hAnsi="Times New Roman" w:eastAsia="宋体" w:cs="Times New Roman"/>
      <w:sz w:val="24"/>
      <w:szCs w:val="24"/>
    </w:rPr>
  </w:style>
  <w:style w:type="paragraph" w:styleId="3">
    <w:name w:val="heading 1"/>
    <w:next w:val="1"/>
    <w:unhideWhenUsed/>
    <w:uiPriority w:val="99"/>
    <w:pPr>
      <w:widowControl w:val="0"/>
      <w:autoSpaceDE w:val="0"/>
      <w:autoSpaceDN w:val="0"/>
      <w:adjustRightInd w:val="0"/>
    </w:pPr>
    <w:rPr>
      <w:rFonts w:hint="default" w:ascii="Times New Roman" w:hAnsi="Times New Roman" w:eastAsia="宋体" w:cs="Times New Roman"/>
      <w:sz w:val="24"/>
      <w:szCs w:val="24"/>
    </w:rPr>
  </w:style>
  <w:style w:type="paragraph" w:styleId="4">
    <w:name w:val="heading 2"/>
    <w:next w:val="1"/>
    <w:unhideWhenUsed/>
    <w:uiPriority w:val="99"/>
    <w:pPr>
      <w:widowControl w:val="0"/>
      <w:autoSpaceDE w:val="0"/>
      <w:autoSpaceDN w:val="0"/>
      <w:adjustRightInd w:val="0"/>
    </w:pPr>
    <w:rPr>
      <w:rFonts w:hint="default" w:ascii="Times New Roman" w:hAnsi="Times New Roman" w:eastAsia="宋体" w:cs="Times New Roman"/>
      <w:sz w:val="24"/>
      <w:szCs w:val="24"/>
    </w:rPr>
  </w:style>
  <w:style w:type="character" w:default="1" w:styleId="11">
    <w:name w:val="Default Paragraph Font"/>
    <w:unhideWhenUsed/>
    <w:uiPriority w:val="99"/>
    <w:rPr>
      <w:rFonts w:hint="default"/>
      <w:sz w:val="24"/>
      <w:szCs w:val="24"/>
    </w:rPr>
  </w:style>
  <w:style w:type="table" w:default="1" w:styleId="12">
    <w:name w:val="Normal Table"/>
    <w:qFormat/>
    <w:uiPriority w:val="99"/>
    <w:tblPr>
      <w:tblLayout w:type="fixed"/>
      <w:tblCellMar>
        <w:top w:w="0" w:type="dxa"/>
        <w:left w:w="108" w:type="dxa"/>
        <w:bottom w:w="0" w:type="dxa"/>
        <w:right w:w="108" w:type="dxa"/>
      </w:tblCellMar>
    </w:tblPr>
  </w:style>
  <w:style w:type="paragraph" w:styleId="2">
    <w:name w:val="Normal Indent"/>
    <w:unhideWhenUsed/>
    <w:qFormat/>
    <w:uiPriority w:val="0"/>
    <w:pPr>
      <w:widowControl w:val="0"/>
      <w:spacing w:beforeLines="0" w:afterLines="0"/>
      <w:ind w:firstLine="420" w:firstLineChars="200"/>
      <w:jc w:val="both"/>
    </w:pPr>
    <w:rPr>
      <w:rFonts w:hint="eastAsia" w:ascii="Times New Roman" w:hAnsi="Times New Roman" w:eastAsia="Times New Roman" w:cs="Times New Roman"/>
      <w:kern w:val="2"/>
      <w:sz w:val="21"/>
      <w:szCs w:val="24"/>
      <w:lang w:val="en-US" w:eastAsia="zh-CN"/>
    </w:rPr>
  </w:style>
  <w:style w:type="paragraph" w:styleId="5">
    <w:name w:val="Body Text"/>
    <w:basedOn w:val="1"/>
    <w:unhideWhenUsed/>
    <w:qFormat/>
    <w:uiPriority w:val="99"/>
    <w:pPr>
      <w:autoSpaceDE/>
      <w:autoSpaceDN/>
      <w:adjustRightInd/>
      <w:spacing w:beforeLines="30"/>
      <w:jc w:val="both"/>
    </w:pPr>
    <w:rPr>
      <w:rFonts w:hint="eastAsia" w:ascii="仿宋_GB2312" w:hAnsi="Times New Roman" w:eastAsia="仿宋_GB2312"/>
      <w:sz w:val="30"/>
      <w:szCs w:val="24"/>
    </w:rPr>
  </w:style>
  <w:style w:type="paragraph" w:styleId="6">
    <w:name w:val="toc 3"/>
    <w:basedOn w:val="1"/>
    <w:next w:val="1"/>
    <w:unhideWhenUsed/>
    <w:qFormat/>
    <w:uiPriority w:val="99"/>
    <w:pPr>
      <w:ind w:left="840" w:leftChars="400"/>
    </w:pPr>
    <w:rPr>
      <w:rFonts w:hint="default"/>
      <w:sz w:val="24"/>
      <w:szCs w:val="24"/>
    </w:rPr>
  </w:style>
  <w:style w:type="paragraph" w:styleId="7">
    <w:name w:val="footer"/>
    <w:basedOn w:val="1"/>
    <w:unhideWhenUsed/>
    <w:qFormat/>
    <w:uiPriority w:val="99"/>
    <w:pPr>
      <w:tabs>
        <w:tab w:val="center" w:pos="4153"/>
        <w:tab w:val="right" w:pos="8306"/>
      </w:tabs>
      <w:snapToGrid w:val="0"/>
    </w:pPr>
    <w:rPr>
      <w:rFonts w:hint="default"/>
      <w:sz w:val="18"/>
      <w:szCs w:val="24"/>
    </w:rPr>
  </w:style>
  <w:style w:type="paragraph" w:styleId="8">
    <w:name w:val="header"/>
    <w:basedOn w:val="1"/>
    <w:unhideWhenUsed/>
    <w:qFormat/>
    <w:uiPriority w:val="99"/>
    <w:pPr>
      <w:tabs>
        <w:tab w:val="center" w:pos="4153"/>
        <w:tab w:val="right" w:pos="8306"/>
      </w:tabs>
      <w:snapToGrid w:val="0"/>
      <w:jc w:val="both"/>
    </w:pPr>
    <w:rPr>
      <w:rFonts w:hint="default"/>
      <w:sz w:val="18"/>
      <w:szCs w:val="24"/>
    </w:rPr>
  </w:style>
  <w:style w:type="paragraph" w:styleId="9">
    <w:name w:val="toc 1"/>
    <w:basedOn w:val="1"/>
    <w:next w:val="1"/>
    <w:unhideWhenUsed/>
    <w:qFormat/>
    <w:uiPriority w:val="99"/>
    <w:rPr>
      <w:rFonts w:hint="default"/>
      <w:sz w:val="24"/>
      <w:szCs w:val="24"/>
    </w:rPr>
  </w:style>
  <w:style w:type="paragraph" w:styleId="10">
    <w:name w:val="toc 2"/>
    <w:basedOn w:val="1"/>
    <w:next w:val="1"/>
    <w:unhideWhenUsed/>
    <w:qFormat/>
    <w:uiPriority w:val="99"/>
    <w:pPr>
      <w:ind w:left="420" w:leftChars="200"/>
    </w:pPr>
    <w:rPr>
      <w:rFonts w:hint="default"/>
      <w:sz w:val="24"/>
      <w:szCs w:val="24"/>
    </w:rPr>
  </w:style>
  <w:style w:type="paragraph" w:customStyle="1" w:styleId="13">
    <w:name w:val="WPSOffice手动目录 3"/>
    <w:unhideWhenUsed/>
    <w:uiPriority w:val="0"/>
    <w:pPr>
      <w:spacing w:beforeLines="0" w:afterLines="0"/>
      <w:ind w:leftChars="400"/>
    </w:pPr>
    <w:rPr>
      <w:rFonts w:hint="default" w:ascii="Times New Roman" w:hAnsi="Times New Roman" w:eastAsia="宋体" w:cs="Times New Roman"/>
      <w:sz w:val="20"/>
      <w:szCs w:val="24"/>
    </w:rPr>
  </w:style>
  <w:style w:type="paragraph" w:customStyle="1" w:styleId="14">
    <w:name w:val="WPSOffice手动目录 1"/>
    <w:unhideWhenUsed/>
    <w:uiPriority w:val="0"/>
    <w:pPr>
      <w:spacing w:beforeLines="0" w:afterLines="0"/>
    </w:pPr>
    <w:rPr>
      <w:rFonts w:hint="default" w:ascii="Times New Roman" w:hAnsi="Times New Roman" w:eastAsia="宋体" w:cs="Times New Roman"/>
      <w:sz w:val="20"/>
      <w:szCs w:val="24"/>
    </w:rPr>
  </w:style>
  <w:style w:type="paragraph" w:customStyle="1" w:styleId="15">
    <w:name w:val="WPSOffice手动目录 2"/>
    <w:unhideWhenUsed/>
    <w:uiPriority w:val="0"/>
    <w:pPr>
      <w:spacing w:beforeLines="0" w:afterLines="0"/>
      <w:ind w:leftChars="200"/>
    </w:pPr>
    <w:rPr>
      <w:rFonts w:hint="default" w:ascii="Times New Roman" w:hAnsi="Times New Roman" w:eastAsia="宋体" w:cs="Times New Roman"/>
      <w:sz w:val="20"/>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0.emf"/><Relationship Id="rId30" Type="http://schemas.openxmlformats.org/officeDocument/2006/relationships/image" Target="media/image19.emf"/><Relationship Id="rId3" Type="http://schemas.openxmlformats.org/officeDocument/2006/relationships/footer" Target="footer1.xml"/><Relationship Id="rId29" Type="http://schemas.openxmlformats.org/officeDocument/2006/relationships/image" Target="media/image18.emf"/><Relationship Id="rId28" Type="http://schemas.openxmlformats.org/officeDocument/2006/relationships/image" Target="media/image17.emf"/><Relationship Id="rId27" Type="http://schemas.openxmlformats.org/officeDocument/2006/relationships/image" Target="media/image16.emf"/><Relationship Id="rId26" Type="http://schemas.openxmlformats.org/officeDocument/2006/relationships/image" Target="media/image15.emf"/><Relationship Id="rId25" Type="http://schemas.openxmlformats.org/officeDocument/2006/relationships/image" Target="media/image14.emf"/><Relationship Id="rId24" Type="http://schemas.openxmlformats.org/officeDocument/2006/relationships/image" Target="media/image13.emf"/><Relationship Id="rId23" Type="http://schemas.openxmlformats.org/officeDocument/2006/relationships/image" Target="media/image12.emf"/><Relationship Id="rId22" Type="http://schemas.openxmlformats.org/officeDocument/2006/relationships/image" Target="media/image11.emf"/><Relationship Id="rId21" Type="http://schemas.openxmlformats.org/officeDocument/2006/relationships/image" Target="media/image10.emf"/><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image" Target="media/image7.emf"/><Relationship Id="rId17" Type="http://schemas.openxmlformats.org/officeDocument/2006/relationships/oleObject" Target="embeddings/oleObject7.bin"/><Relationship Id="rId16" Type="http://schemas.openxmlformats.org/officeDocument/2006/relationships/image" Target="media/image6.emf"/><Relationship Id="rId15" Type="http://schemas.openxmlformats.org/officeDocument/2006/relationships/oleObject" Target="embeddings/oleObject6.bin"/><Relationship Id="rId14" Type="http://schemas.openxmlformats.org/officeDocument/2006/relationships/image" Target="media/image5.emf"/><Relationship Id="rId13" Type="http://schemas.openxmlformats.org/officeDocument/2006/relationships/oleObject" Target="embeddings/oleObject5.bin"/><Relationship Id="rId12" Type="http://schemas.openxmlformats.org/officeDocument/2006/relationships/image" Target="media/image4.emf"/><Relationship Id="rId11" Type="http://schemas.openxmlformats.org/officeDocument/2006/relationships/oleObject" Target="embeddings/oleObject4.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2050"/>
    <customShpInfo spid="_x0000_s2051"/>
    <customShpInfo spid="_x0000_s2052"/>
    <customShpInfo spid="_x0000_s2053"/>
    <customShpInfo spid="_x0000_s2054"/>
    <customShpInfo spid="_x0000_s2055"/>
    <customShpInfo spid="_x0000_s2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Office_11.8.2.8053_F1E327BC-269C-435d-A152-05C5408002CA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2023-12-28T10:57:00Z</dcterms:created>
  <dc:creator>Administrator</dc:creator>
  <cp:lastModifiedBy>~I  N  G</cp:lastModifiedBy>
  <dcterms:modified xsi:type="dcterms:W3CDTF">2024-05-10T12:02:49Z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733BF31E5B6948D7A3AD32F78705F136_13</vt:lpwstr>
  </property>
</Properties>
</file>