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202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4</w:t>
      </w:r>
      <w:r>
        <w:rPr>
          <w:rFonts w:hint="eastAsia" w:ascii="方正小标宋_GBK" w:eastAsia="方正小标宋_GBK"/>
          <w:sz w:val="44"/>
          <w:szCs w:val="44"/>
        </w:rPr>
        <w:t>年</w:t>
      </w:r>
      <w:r>
        <w:rPr>
          <w:rFonts w:hint="eastAsia" w:ascii="方正小标宋_GBK" w:eastAsia="方正小标宋_GBK"/>
          <w:sz w:val="44"/>
          <w:szCs w:val="44"/>
          <w:lang w:eastAsia="zh-CN"/>
        </w:rPr>
        <w:t>盐边县</w:t>
      </w:r>
      <w:r>
        <w:rPr>
          <w:rFonts w:hint="eastAsia" w:ascii="方正小标宋_GBK" w:eastAsia="方正小标宋_GBK"/>
          <w:sz w:val="44"/>
          <w:szCs w:val="44"/>
        </w:rPr>
        <w:t>预算绩效管理</w:t>
      </w:r>
    </w:p>
    <w:p>
      <w:pPr>
        <w:spacing w:line="600" w:lineRule="exact"/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工作计划</w:t>
      </w:r>
    </w:p>
    <w:p>
      <w:pPr>
        <w:spacing w:line="600" w:lineRule="exact"/>
        <w:jc w:val="center"/>
        <w:rPr>
          <w:rFonts w:hint="eastAsia" w:ascii="方正小标宋_GBK" w:eastAsia="方正小标宋_GBK"/>
          <w:sz w:val="36"/>
          <w:szCs w:val="36"/>
        </w:rPr>
      </w:pPr>
    </w:p>
    <w:p>
      <w:pPr>
        <w:spacing w:line="600" w:lineRule="exact"/>
        <w:ind w:firstLine="800" w:firstLineChars="25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一、持续优化绩效管理闭环</w:t>
      </w:r>
    </w:p>
    <w:p>
      <w:pPr>
        <w:spacing w:line="600" w:lineRule="exact"/>
        <w:ind w:firstLine="64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楷体_GB2312" w:hAnsi="黑体" w:eastAsia="楷体_GB2312"/>
          <w:sz w:val="32"/>
          <w:szCs w:val="32"/>
        </w:rPr>
        <w:t>（一）切实前移绩效管理关口</w:t>
      </w:r>
      <w:r>
        <w:rPr>
          <w:rFonts w:hint="eastAsia" w:ascii="仿宋_GB2312" w:hAnsi="黑体" w:eastAsia="仿宋_GB2312"/>
          <w:sz w:val="32"/>
          <w:szCs w:val="32"/>
        </w:rPr>
        <w:t>。充分发挥绩效目标的前置引领和过程约束作用，督促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乡（镇）、</w:t>
      </w:r>
      <w:r>
        <w:rPr>
          <w:rFonts w:hint="eastAsia" w:ascii="仿宋_GB2312" w:hAnsi="黑体" w:eastAsia="仿宋_GB2312"/>
          <w:sz w:val="32"/>
          <w:szCs w:val="32"/>
        </w:rPr>
        <w:t>部门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（单位）</w:t>
      </w:r>
      <w:r>
        <w:rPr>
          <w:rFonts w:hint="eastAsia" w:ascii="仿宋_GB2312" w:hAnsi="黑体" w:eastAsia="仿宋_GB2312"/>
          <w:sz w:val="32"/>
          <w:szCs w:val="32"/>
        </w:rPr>
        <w:t>加强绩效目标编制审核和项目储备统筹工作，做到绩效目标细化量化并与预算安排相匹配。加大对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乡（镇）、</w:t>
      </w:r>
      <w:r>
        <w:rPr>
          <w:rFonts w:hint="eastAsia" w:ascii="仿宋_GB2312" w:hAnsi="黑体" w:eastAsia="仿宋_GB2312"/>
          <w:sz w:val="32"/>
          <w:szCs w:val="32"/>
        </w:rPr>
        <w:t>部门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（单位）</w:t>
      </w:r>
      <w:r>
        <w:rPr>
          <w:rFonts w:hint="eastAsia" w:ascii="仿宋_GB2312" w:hAnsi="黑体" w:eastAsia="仿宋_GB2312"/>
          <w:sz w:val="32"/>
          <w:szCs w:val="32"/>
        </w:rPr>
        <w:t>绩效目标的审核力度，绩效目标不细不实的不予入库。</w:t>
      </w:r>
    </w:p>
    <w:p>
      <w:pPr>
        <w:spacing w:line="600" w:lineRule="exact"/>
        <w:ind w:firstLine="640"/>
        <w:rPr>
          <w:rFonts w:hint="eastAsia" w:ascii="楷体_GB2312" w:hAnsi="黑体" w:eastAsia="楷体_GB2312"/>
          <w:sz w:val="32"/>
          <w:szCs w:val="32"/>
        </w:rPr>
      </w:pPr>
      <w:r>
        <w:rPr>
          <w:rFonts w:hint="eastAsia" w:ascii="楷体_GB2312" w:hAnsi="黑体" w:eastAsia="楷体_GB2312"/>
          <w:sz w:val="32"/>
          <w:szCs w:val="32"/>
        </w:rPr>
        <w:t>（二）持续提升绩效评估深度广度</w:t>
      </w:r>
      <w:r>
        <w:rPr>
          <w:rFonts w:hint="eastAsia" w:ascii="仿宋_GB2312" w:hAnsi="黑体" w:eastAsia="仿宋_GB2312"/>
          <w:sz w:val="32"/>
          <w:szCs w:val="32"/>
        </w:rPr>
        <w:t>。在年初预算项目应评尽评的基础上，强化对执行中追加预算项目自行评估的管理，加强对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乡（镇）、</w:t>
      </w:r>
      <w:r>
        <w:rPr>
          <w:rFonts w:hint="eastAsia" w:ascii="仿宋_GB2312" w:hAnsi="黑体" w:eastAsia="仿宋_GB2312"/>
          <w:sz w:val="32"/>
          <w:szCs w:val="32"/>
        </w:rPr>
        <w:t>部门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（单位）</w:t>
      </w:r>
      <w:r>
        <w:rPr>
          <w:rFonts w:hint="eastAsia" w:ascii="仿宋_GB2312" w:hAnsi="黑体" w:eastAsia="仿宋_GB2312"/>
          <w:sz w:val="32"/>
          <w:szCs w:val="32"/>
        </w:rPr>
        <w:t>自行评估的督促指导，切实发挥绩效评估作用，从源头有效防控财政资源配置低效无效。</w:t>
      </w:r>
    </w:p>
    <w:p>
      <w:pPr>
        <w:spacing w:line="600" w:lineRule="exact"/>
        <w:ind w:firstLine="64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楷体_GB2312" w:hAnsi="黑体" w:eastAsia="楷体_GB2312"/>
          <w:sz w:val="32"/>
          <w:szCs w:val="32"/>
        </w:rPr>
        <w:t>（三）全面实施绩效运行监控。</w:t>
      </w:r>
      <w:r>
        <w:rPr>
          <w:rFonts w:hint="eastAsia" w:ascii="仿宋_GB2312" w:hAnsi="黑体" w:eastAsia="仿宋_GB2312"/>
          <w:sz w:val="32"/>
          <w:szCs w:val="32"/>
        </w:rPr>
        <w:t>对绩效目标实现程度和预算执行进度实行“双监控”，及时发现目标执行偏差和管理漏洞。督促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乡（镇）、</w:t>
      </w:r>
      <w:r>
        <w:rPr>
          <w:rFonts w:hint="eastAsia" w:ascii="仿宋_GB2312" w:hAnsi="黑体" w:eastAsia="仿宋_GB2312"/>
          <w:sz w:val="32"/>
          <w:szCs w:val="32"/>
        </w:rPr>
        <w:t>部门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（单位）</w:t>
      </w:r>
      <w:r>
        <w:rPr>
          <w:rFonts w:hint="eastAsia" w:ascii="仿宋_GB2312" w:hAnsi="黑体" w:eastAsia="仿宋_GB2312"/>
          <w:sz w:val="32"/>
          <w:szCs w:val="32"/>
        </w:rPr>
        <w:t>扎实开展绩效运行自行监控，线上线下同步开展财政重点绩效运行监控，督促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乡（镇）、</w:t>
      </w:r>
      <w:r>
        <w:rPr>
          <w:rFonts w:hint="eastAsia" w:ascii="仿宋_GB2312" w:hAnsi="黑体" w:eastAsia="仿宋_GB2312"/>
          <w:sz w:val="32"/>
          <w:szCs w:val="32"/>
        </w:rPr>
        <w:t>部门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（单位）</w:t>
      </w:r>
      <w:r>
        <w:rPr>
          <w:rFonts w:hint="eastAsia" w:ascii="仿宋_GB2312" w:hAnsi="黑体" w:eastAsia="仿宋_GB2312"/>
          <w:sz w:val="32"/>
          <w:szCs w:val="32"/>
        </w:rPr>
        <w:t>对绩效运行监控发现问题整改到位。</w:t>
      </w:r>
    </w:p>
    <w:p>
      <w:pPr>
        <w:spacing w:line="600" w:lineRule="exact"/>
        <w:ind w:firstLine="64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楷体_GB2312" w:hAnsi="黑体" w:eastAsia="楷体_GB2312"/>
          <w:sz w:val="32"/>
          <w:szCs w:val="32"/>
        </w:rPr>
        <w:t>（四）深入开展支出绩效评价。</w:t>
      </w:r>
      <w:r>
        <w:rPr>
          <w:rFonts w:hint="eastAsia" w:ascii="仿宋_GB2312" w:hAnsi="黑体" w:eastAsia="仿宋_GB2312"/>
          <w:sz w:val="32"/>
          <w:szCs w:val="32"/>
        </w:rPr>
        <w:t>完善财政重点评价同部门绩效自评相结合的评价体系，建立部门自评情况抽查制度。深入实施财政重点绩效评价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黑体" w:eastAsia="仿宋_GB2312"/>
          <w:sz w:val="32"/>
          <w:szCs w:val="32"/>
        </w:rPr>
        <w:t>围绕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县</w:t>
      </w:r>
      <w:r>
        <w:rPr>
          <w:rFonts w:hint="eastAsia" w:ascii="仿宋_GB2312" w:hAnsi="黑体" w:eastAsia="仿宋_GB2312"/>
          <w:sz w:val="32"/>
          <w:szCs w:val="32"/>
        </w:rPr>
        <w:t>委、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县</w:t>
      </w:r>
      <w:r>
        <w:rPr>
          <w:rFonts w:hint="eastAsia" w:ascii="仿宋_GB2312" w:hAnsi="黑体" w:eastAsia="仿宋_GB2312"/>
          <w:sz w:val="32"/>
          <w:szCs w:val="32"/>
        </w:rPr>
        <w:t>政府重大决策部署突出对财政政策效能的绩效评价，聚焦政策精准度和可持续性。形成财政重点绩效评价报告，严格落实报告建议，充分用好报告结果。</w:t>
      </w:r>
    </w:p>
    <w:p>
      <w:pPr>
        <w:spacing w:line="600" w:lineRule="exact"/>
        <w:ind w:firstLine="64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楷体_GB2312" w:hAnsi="黑体" w:eastAsia="楷体_GB2312"/>
          <w:sz w:val="32"/>
          <w:szCs w:val="32"/>
        </w:rPr>
        <w:t>（五）持续强化绩效结果应用。</w:t>
      </w:r>
      <w:r>
        <w:rPr>
          <w:rFonts w:hint="eastAsia" w:ascii="仿宋_GB2312" w:hAnsi="黑体" w:eastAsia="仿宋_GB2312"/>
          <w:sz w:val="32"/>
          <w:szCs w:val="32"/>
        </w:rPr>
        <w:t>加大预算绩效事中监控和事后评价结果应用力度，</w:t>
      </w:r>
      <w:r>
        <w:rPr>
          <w:rFonts w:hint="eastAsia" w:ascii="仿宋_GB2312" w:hAnsi="仿宋" w:eastAsia="仿宋_GB2312"/>
          <w:sz w:val="32"/>
          <w:szCs w:val="32"/>
        </w:rPr>
        <w:t>着力完善绩效评价结果与预算安排和政策调整挂钩机制</w:t>
      </w:r>
      <w:r>
        <w:rPr>
          <w:rFonts w:hint="eastAsia" w:ascii="仿宋_GB2312" w:hAnsi="黑体" w:eastAsia="仿宋_GB2312"/>
          <w:sz w:val="32"/>
          <w:szCs w:val="32"/>
        </w:rPr>
        <w:t>。一是对事中绩效监控较差的项目，根据实际情况及时调减资金规模调整资金使用方向，对无法执行的项目建议预算收回平衡预算。二是对于事后绩效评价结果较好的项目，将根据情况继续予以支持，对于结果较差的项目，将适度调减预算安排规模或取消项目。</w:t>
      </w:r>
    </w:p>
    <w:p>
      <w:pPr>
        <w:spacing w:line="600" w:lineRule="exact"/>
        <w:ind w:firstLine="800" w:firstLineChars="25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二</w:t>
      </w:r>
      <w:r>
        <w:rPr>
          <w:rFonts w:hint="eastAsia" w:ascii="黑体" w:hAnsi="黑体" w:eastAsia="黑体"/>
          <w:sz w:val="32"/>
          <w:szCs w:val="32"/>
        </w:rPr>
        <w:t>、严格实施考核监督问责</w:t>
      </w:r>
    </w:p>
    <w:p>
      <w:pPr>
        <w:spacing w:line="600" w:lineRule="exact"/>
        <w:ind w:firstLine="64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楷体_GB2312" w:hAnsi="黑体" w:eastAsia="楷体_GB2312"/>
          <w:sz w:val="32"/>
          <w:szCs w:val="32"/>
        </w:rPr>
        <w:t>（</w:t>
      </w:r>
      <w:r>
        <w:rPr>
          <w:rFonts w:hint="eastAsia" w:ascii="楷体_GB2312" w:hAnsi="黑体" w:eastAsia="楷体_GB2312"/>
          <w:sz w:val="32"/>
          <w:szCs w:val="32"/>
          <w:lang w:eastAsia="zh-CN"/>
        </w:rPr>
        <w:t>六</w:t>
      </w:r>
      <w:r>
        <w:rPr>
          <w:rFonts w:hint="eastAsia" w:ascii="楷体_GB2312" w:hAnsi="黑体" w:eastAsia="楷体_GB2312"/>
          <w:sz w:val="32"/>
          <w:szCs w:val="32"/>
        </w:rPr>
        <w:t>）持续加大报告和公开力度。</w:t>
      </w:r>
      <w:r>
        <w:rPr>
          <w:rFonts w:hint="eastAsia" w:ascii="仿宋_GB2312" w:hAnsi="黑体" w:eastAsia="仿宋_GB2312"/>
          <w:sz w:val="32"/>
          <w:szCs w:val="32"/>
        </w:rPr>
        <w:t>持续将预算绩效管理工作情况等报送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县</w:t>
      </w:r>
      <w:r>
        <w:rPr>
          <w:rFonts w:hint="eastAsia" w:ascii="仿宋_GB2312" w:hAnsi="黑体" w:eastAsia="仿宋_GB2312"/>
          <w:sz w:val="32"/>
          <w:szCs w:val="32"/>
        </w:rPr>
        <w:t>人大，主动接受人大监督。健全全面规范、公开透明的预算绩效公开制度，细化公开内容、规范公开方式、依法按时公开。组织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乡（镇）、</w:t>
      </w:r>
      <w:r>
        <w:rPr>
          <w:rFonts w:hint="eastAsia" w:ascii="仿宋_GB2312" w:hAnsi="黑体" w:eastAsia="仿宋_GB2312"/>
          <w:sz w:val="32"/>
          <w:szCs w:val="32"/>
        </w:rPr>
        <w:t>部门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（单位）</w:t>
      </w:r>
      <w:r>
        <w:rPr>
          <w:rFonts w:hint="eastAsia" w:ascii="仿宋_GB2312" w:hAnsi="黑体" w:eastAsia="仿宋_GB2312"/>
          <w:sz w:val="32"/>
          <w:szCs w:val="32"/>
        </w:rPr>
        <w:t>按规定向社会公开绩效目标、绩效评价报告等绩效信息，畅通社会公众参与预算绩效管理的有效途径，强化社会监督。</w:t>
      </w:r>
    </w:p>
    <w:p>
      <w:pPr>
        <w:spacing w:line="600" w:lineRule="exact"/>
        <w:ind w:firstLine="480" w:firstLineChars="150"/>
        <w:rPr>
          <w:rFonts w:hint="eastAsia" w:ascii="楷体_GB2312" w:hAnsi="黑体" w:eastAsia="楷体_GB2312"/>
          <w:sz w:val="32"/>
          <w:szCs w:val="32"/>
        </w:rPr>
      </w:pPr>
      <w:r>
        <w:rPr>
          <w:rFonts w:hint="eastAsia" w:ascii="楷体_GB2312" w:hAnsi="黑体" w:eastAsia="楷体_GB2312"/>
          <w:sz w:val="32"/>
          <w:szCs w:val="32"/>
        </w:rPr>
        <w:t>（</w:t>
      </w:r>
      <w:r>
        <w:rPr>
          <w:rFonts w:hint="eastAsia" w:ascii="楷体_GB2312" w:hAnsi="黑体" w:eastAsia="楷体_GB2312"/>
          <w:sz w:val="32"/>
          <w:szCs w:val="32"/>
          <w:lang w:eastAsia="zh-CN"/>
        </w:rPr>
        <w:t>七</w:t>
      </w:r>
      <w:r>
        <w:rPr>
          <w:rFonts w:hint="eastAsia" w:ascii="楷体_GB2312" w:hAnsi="黑体" w:eastAsia="楷体_GB2312"/>
          <w:sz w:val="32"/>
          <w:szCs w:val="32"/>
        </w:rPr>
        <w:t>）严格实施跟踪问效问责</w:t>
      </w:r>
      <w:r>
        <w:rPr>
          <w:rFonts w:hint="eastAsia" w:ascii="仿宋_GB2312" w:hAnsi="黑体" w:eastAsia="仿宋_GB2312"/>
          <w:sz w:val="32"/>
          <w:szCs w:val="32"/>
        </w:rPr>
        <w:t>。严格执行预算绩效管理跟踪问效“两书一函”制度，及时提醒敦促，推动加强整改。</w:t>
      </w:r>
    </w:p>
    <w:p>
      <w:pPr>
        <w:spacing w:line="600" w:lineRule="exact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将“两书一函”执行情况抄送纪委监委、组织部和审计局，适时开展工作调度，督促有关部门切实整改到位，做到“花钱必问效、无效必问责”。</w:t>
      </w:r>
    </w:p>
    <w:p>
      <w:pPr>
        <w:spacing w:line="600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三</w:t>
      </w:r>
      <w:r>
        <w:rPr>
          <w:rFonts w:hint="eastAsia" w:ascii="黑体" w:hAnsi="黑体" w:eastAsia="黑体"/>
          <w:sz w:val="32"/>
          <w:szCs w:val="32"/>
        </w:rPr>
        <w:t>、夯实绩效管理基础支撑</w:t>
      </w:r>
    </w:p>
    <w:p>
      <w:pPr>
        <w:spacing w:line="600" w:lineRule="exact"/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楷体_GB2312" w:hAnsi="黑体" w:eastAsia="楷体_GB2312"/>
          <w:sz w:val="32"/>
          <w:szCs w:val="32"/>
        </w:rPr>
        <w:t>（</w:t>
      </w:r>
      <w:r>
        <w:rPr>
          <w:rFonts w:hint="eastAsia" w:ascii="楷体_GB2312" w:hAnsi="黑体" w:eastAsia="楷体_GB2312"/>
          <w:sz w:val="32"/>
          <w:szCs w:val="32"/>
          <w:lang w:eastAsia="zh-CN"/>
        </w:rPr>
        <w:t>八</w:t>
      </w:r>
      <w:r>
        <w:rPr>
          <w:rFonts w:hint="eastAsia" w:ascii="楷体_GB2312" w:hAnsi="黑体" w:eastAsia="楷体_GB2312"/>
          <w:sz w:val="32"/>
          <w:szCs w:val="32"/>
        </w:rPr>
        <w:t>）规范引入第三方机构参与工作</w:t>
      </w:r>
      <w:r>
        <w:rPr>
          <w:rFonts w:hint="eastAsia" w:ascii="仿宋_GB2312" w:hAnsi="黑体" w:eastAsia="仿宋_GB2312"/>
          <w:sz w:val="32"/>
          <w:szCs w:val="32"/>
        </w:rPr>
        <w:t>。规范择优选择第三方机构参与202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黑体" w:eastAsia="仿宋_GB2312"/>
          <w:sz w:val="32"/>
          <w:szCs w:val="32"/>
        </w:rPr>
        <w:t>年绩效评价工作，坚持委托主体与绩效管理对象相分离的原则，实施委托负面清单管理。强化第三方机构工作过程跟踪督导，切实提高第三方机构绩效评价工作质量。</w:t>
      </w:r>
    </w:p>
    <w:p>
      <w:pPr>
        <w:spacing w:line="600" w:lineRule="exact"/>
        <w:ind w:firstLine="480" w:firstLineChars="15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楷体_GB2312" w:hAnsi="黑体" w:eastAsia="楷体_GB2312"/>
          <w:sz w:val="32"/>
          <w:szCs w:val="32"/>
        </w:rPr>
        <w:t>（</w:t>
      </w:r>
      <w:r>
        <w:rPr>
          <w:rFonts w:hint="eastAsia" w:ascii="楷体_GB2312" w:hAnsi="黑体" w:eastAsia="楷体_GB2312"/>
          <w:sz w:val="32"/>
          <w:szCs w:val="32"/>
          <w:lang w:eastAsia="zh-CN"/>
        </w:rPr>
        <w:t>九</w:t>
      </w:r>
      <w:r>
        <w:rPr>
          <w:rFonts w:hint="eastAsia" w:ascii="楷体_GB2312" w:hAnsi="黑体" w:eastAsia="楷体_GB2312"/>
          <w:sz w:val="32"/>
          <w:szCs w:val="32"/>
        </w:rPr>
        <w:t>）强化绩效管理信息化支撑。</w:t>
      </w:r>
      <w:r>
        <w:rPr>
          <w:rFonts w:hint="eastAsia" w:ascii="仿宋_GB2312" w:hAnsi="黑体" w:eastAsia="仿宋_GB2312"/>
          <w:sz w:val="32"/>
          <w:szCs w:val="32"/>
        </w:rPr>
        <w:t>强化预算管理一体化系统对预算绩效管理的功能支撑，优化完善绩效监控、绩效评价等功能，促进绩效管理和预算管理同步开展、深度融合。</w:t>
      </w:r>
    </w:p>
    <w:p>
      <w:pPr>
        <w:spacing w:line="600" w:lineRule="exact"/>
        <w:ind w:firstLine="480" w:firstLineChars="150"/>
        <w:rPr>
          <w:rFonts w:hint="eastAsia" w:ascii="仿宋_GB2312" w:hAnsi="黑体" w:eastAsia="仿宋_GB2312"/>
          <w:sz w:val="32"/>
          <w:szCs w:val="32"/>
          <w:lang w:eastAsia="zh-CN"/>
        </w:rPr>
      </w:pPr>
      <w:r>
        <w:rPr>
          <w:rFonts w:hint="eastAsia" w:ascii="楷体_GB2312" w:hAnsi="黑体" w:eastAsia="楷体_GB2312"/>
          <w:sz w:val="32"/>
          <w:szCs w:val="32"/>
        </w:rPr>
        <w:t>（十）进一步做好预算绩效管理宣传和培训力度，强化预算绩效理念。</w:t>
      </w:r>
      <w:r>
        <w:rPr>
          <w:rFonts w:hint="eastAsia" w:ascii="仿宋_GB2312" w:hAnsi="黑体" w:eastAsia="仿宋_GB2312"/>
          <w:sz w:val="32"/>
          <w:szCs w:val="32"/>
        </w:rPr>
        <w:t>加大预算绩效管理政策的宣传力度，突出预算单位的主体责任，同时加强对预算单位绩效管理人员的培训力度，在202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黑体" w:eastAsia="仿宋_GB2312"/>
          <w:sz w:val="32"/>
          <w:szCs w:val="32"/>
        </w:rPr>
        <w:t>年开展至少1次针对预算单位的预算绩效管理培训，帮助预算单位提高业务能力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ZhZDdmMWNmNmQwY2E1ZjViNjg4NWFhZDQyZGUyYTEifQ=="/>
  </w:docVars>
  <w:rsids>
    <w:rsidRoot w:val="009F7D6E"/>
    <w:rsid w:val="001C62A5"/>
    <w:rsid w:val="003161A9"/>
    <w:rsid w:val="009F7D6E"/>
    <w:rsid w:val="00BE409E"/>
    <w:rsid w:val="049445F5"/>
    <w:rsid w:val="111514A5"/>
    <w:rsid w:val="38A04AB1"/>
    <w:rsid w:val="445C3569"/>
    <w:rsid w:val="6D2F6D62"/>
    <w:rsid w:val="75410DEE"/>
    <w:rsid w:val="76B47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3</Pages>
  <Words>1308</Words>
  <Characters>1317</Characters>
  <Lines>12</Lines>
  <Paragraphs>3</Paragraphs>
  <TotalTime>3</TotalTime>
  <ScaleCrop>false</ScaleCrop>
  <LinksUpToDate>false</LinksUpToDate>
  <CharactersWithSpaces>1317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2023-01-17T01:25:00Z</dcterms:created>
  <dc:creator>Administrator</dc:creator>
  <cp:lastModifiedBy>张婕1</cp:lastModifiedBy>
  <dcterms:modified xsi:type="dcterms:W3CDTF">2024-03-14T09:20:11Z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72F347D954F74990BDE59BE26A824DB1</vt:lpwstr>
  </property>
</Properties>
</file>