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utoSpaceDN/>
        <w:spacing w:line="640" w:lineRule="exact"/>
        <w:jc w:val="center"/>
        <w:rPr>
          <w:rFonts w:ascii="Times New Roman" w:hAnsi="Times New Roman" w:eastAsia="方正小标宋简体" w:cs="Times New Roman"/>
          <w:kern w:val="2"/>
          <w:sz w:val="44"/>
          <w:szCs w:val="44"/>
          <w:lang w:bidi="ar"/>
        </w:rPr>
      </w:pPr>
    </w:p>
    <w:p>
      <w:pPr>
        <w:autoSpaceDE/>
        <w:autoSpaceDN/>
        <w:spacing w:line="640" w:lineRule="exact"/>
        <w:jc w:val="center"/>
        <w:rPr>
          <w:rFonts w:ascii="Times New Roman" w:hAnsi="Times New Roman" w:eastAsia="方正小标宋简体" w:cs="Times New Roman"/>
          <w:kern w:val="2"/>
          <w:sz w:val="44"/>
          <w:szCs w:val="44"/>
        </w:rPr>
      </w:pPr>
      <w:r>
        <w:rPr>
          <w:rFonts w:ascii="Times New Roman" w:hAnsi="Times New Roman" w:eastAsia="方正小标宋简体" w:cs="Times New Roman"/>
          <w:kern w:val="2"/>
          <w:sz w:val="44"/>
          <w:szCs w:val="44"/>
          <w:lang w:bidi="ar"/>
        </w:rPr>
        <w:t>盐边县人民政府</w:t>
      </w:r>
    </w:p>
    <w:p>
      <w:pPr>
        <w:autoSpaceDE/>
        <w:autoSpaceDN/>
        <w:spacing w:line="640" w:lineRule="exact"/>
        <w:jc w:val="center"/>
        <w:rPr>
          <w:rFonts w:ascii="Times New Roman" w:hAnsi="Times New Roman" w:eastAsia="方正小标宋简体" w:cs="Times New Roman"/>
          <w:kern w:val="2"/>
          <w:sz w:val="44"/>
          <w:szCs w:val="44"/>
        </w:rPr>
      </w:pPr>
      <w:r>
        <w:rPr>
          <w:rFonts w:ascii="Times New Roman" w:hAnsi="Times New Roman" w:eastAsia="方正小标宋简体" w:cs="Times New Roman"/>
          <w:kern w:val="2"/>
          <w:sz w:val="44"/>
          <w:szCs w:val="44"/>
          <w:lang w:bidi="ar"/>
        </w:rPr>
        <w:t>关于印发《盐边县陆生野生动物致害补偿实施细则》的通知</w:t>
      </w:r>
    </w:p>
    <w:p>
      <w:pPr>
        <w:widowControl/>
        <w:autoSpaceDE/>
        <w:autoSpaceDN/>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lang w:bidi="ar"/>
        </w:rPr>
        <w:t xml:space="preserve"> </w:t>
      </w:r>
    </w:p>
    <w:p>
      <w:pPr>
        <w:autoSpaceDE/>
        <w:autoSpaceDN/>
        <w:spacing w:line="560" w:lineRule="exact"/>
        <w:rPr>
          <w:rFonts w:ascii="Times New Roman" w:hAnsi="Times New Roman" w:eastAsia="仿宋_GB2312" w:cs="Times New Roman"/>
          <w:sz w:val="32"/>
          <w:szCs w:val="32"/>
          <w:lang w:bidi="ar"/>
        </w:rPr>
      </w:pPr>
      <w:r>
        <w:rPr>
          <w:rFonts w:ascii="Times New Roman" w:hAnsi="Times New Roman" w:eastAsia="仿宋_GB2312" w:cs="Times New Roman"/>
          <w:sz w:val="32"/>
          <w:szCs w:val="32"/>
          <w:lang w:bidi="ar"/>
        </w:rPr>
        <w:t>各乡（镇）人民政府，县级各部门，各企事业单位：</w:t>
      </w:r>
    </w:p>
    <w:p>
      <w:pPr>
        <w:autoSpaceDE/>
        <w:autoSpaceDN/>
        <w:spacing w:line="560" w:lineRule="exact"/>
        <w:ind w:firstLine="640" w:firstLineChars="200"/>
        <w:rPr>
          <w:rFonts w:ascii="Times New Roman" w:hAnsi="Times New Roman" w:eastAsia="仿宋_GB2312" w:cs="Times New Roman"/>
          <w:sz w:val="32"/>
          <w:szCs w:val="32"/>
          <w:lang w:bidi="ar"/>
        </w:rPr>
      </w:pPr>
      <w:r>
        <w:rPr>
          <w:rFonts w:ascii="Times New Roman" w:hAnsi="Times New Roman" w:eastAsia="仿宋_GB2312" w:cs="Times New Roman"/>
          <w:sz w:val="32"/>
          <w:szCs w:val="32"/>
          <w:lang w:bidi="ar"/>
        </w:rPr>
        <w:t>现将《</w:t>
      </w:r>
      <w:r>
        <w:rPr>
          <w:rFonts w:hint="eastAsia" w:ascii="Times New Roman" w:hAnsi="Times New Roman" w:eastAsia="仿宋_GB2312" w:cs="Times New Roman"/>
          <w:sz w:val="32"/>
          <w:szCs w:val="32"/>
          <w:lang w:bidi="ar"/>
        </w:rPr>
        <w:t>盐边县陆生野生动物致害补偿实施细则</w:t>
      </w:r>
      <w:r>
        <w:rPr>
          <w:rFonts w:ascii="Times New Roman" w:hAnsi="Times New Roman" w:eastAsia="仿宋_GB2312" w:cs="Times New Roman"/>
          <w:sz w:val="32"/>
          <w:szCs w:val="32"/>
          <w:lang w:bidi="ar"/>
        </w:rPr>
        <w:t>》印发你们，请认真贯彻落实。</w:t>
      </w:r>
    </w:p>
    <w:p>
      <w:pPr>
        <w:autoSpaceDE/>
        <w:autoSpaceDN/>
        <w:spacing w:line="560" w:lineRule="exact"/>
        <w:rPr>
          <w:rFonts w:ascii="Times New Roman" w:hAnsi="Times New Roman" w:eastAsia="仿宋_GB2312" w:cs="Times New Roman"/>
          <w:sz w:val="32"/>
          <w:szCs w:val="32"/>
          <w:lang w:bidi="ar"/>
        </w:rPr>
      </w:pPr>
      <w:r>
        <w:rPr>
          <w:rFonts w:ascii="Times New Roman" w:hAnsi="Times New Roman" w:eastAsia="仿宋_GB2312" w:cs="Times New Roman"/>
          <w:sz w:val="32"/>
          <w:szCs w:val="32"/>
          <w:lang w:bidi="ar"/>
        </w:rPr>
        <w:t xml:space="preserve"> </w:t>
      </w:r>
    </w:p>
    <w:p>
      <w:pPr>
        <w:autoSpaceDE/>
        <w:autoSpaceDN/>
        <w:spacing w:line="560" w:lineRule="exact"/>
        <w:ind w:left="1598" w:leftChars="290" w:hanging="960" w:hangingChars="300"/>
        <w:rPr>
          <w:rFonts w:ascii="Times New Roman" w:hAnsi="Times New Roman" w:eastAsia="仿宋_GB2312" w:cs="Times New Roman"/>
          <w:sz w:val="32"/>
          <w:szCs w:val="32"/>
          <w:lang w:bidi="ar"/>
        </w:rPr>
      </w:pPr>
      <w:r>
        <w:rPr>
          <w:rFonts w:ascii="Times New Roman" w:hAnsi="Times New Roman" w:eastAsia="仿宋_GB2312" w:cs="Times New Roman"/>
          <w:sz w:val="32"/>
          <w:szCs w:val="32"/>
          <w:lang w:bidi="ar"/>
        </w:rPr>
        <w:t>附件：</w:t>
      </w:r>
      <w:r>
        <w:rPr>
          <w:rFonts w:hint="eastAsia" w:ascii="Times New Roman" w:hAnsi="Times New Roman" w:eastAsia="仿宋_GB2312" w:cs="Times New Roman"/>
          <w:sz w:val="32"/>
          <w:szCs w:val="32"/>
          <w:lang w:bidi="ar"/>
        </w:rPr>
        <w:t>盐边县陆生野生动物致害补偿实施细则</w:t>
      </w:r>
    </w:p>
    <w:p>
      <w:pPr>
        <w:autoSpaceDE/>
        <w:autoSpaceDN/>
        <w:spacing w:line="560" w:lineRule="exact"/>
        <w:rPr>
          <w:rFonts w:ascii="Times New Roman" w:hAnsi="Times New Roman" w:eastAsia="仿宋_GB2312" w:cs="Times New Roman"/>
          <w:sz w:val="32"/>
          <w:szCs w:val="32"/>
        </w:rPr>
      </w:pPr>
    </w:p>
    <w:p>
      <w:pPr>
        <w:autoSpaceDE/>
        <w:autoSpaceDN/>
        <w:spacing w:line="560" w:lineRule="exact"/>
        <w:rPr>
          <w:rFonts w:ascii="Times New Roman" w:hAnsi="Times New Roman" w:eastAsia="仿宋_GB2312" w:cs="Times New Roman"/>
          <w:sz w:val="32"/>
          <w:szCs w:val="32"/>
        </w:rPr>
      </w:pPr>
    </w:p>
    <w:p>
      <w:pPr>
        <w:autoSpaceDE/>
        <w:autoSpaceDN/>
        <w:spacing w:line="560" w:lineRule="exact"/>
        <w:jc w:val="center"/>
        <w:rPr>
          <w:rFonts w:ascii="Times New Roman" w:hAnsi="Times New Roman" w:eastAsia="仿宋_GB2312" w:cs="Times New Roman"/>
          <w:sz w:val="32"/>
          <w:szCs w:val="32"/>
          <w:lang w:bidi="ar"/>
        </w:rPr>
      </w:pPr>
      <w:r>
        <w:rPr>
          <w:rFonts w:hint="eastAsia" w:ascii="Times New Roman" w:hAnsi="Times New Roman" w:eastAsia="仿宋_GB2312" w:cs="Times New Roman"/>
          <w:sz w:val="32"/>
          <w:szCs w:val="32"/>
          <w:lang w:bidi="ar"/>
        </w:rPr>
        <w:t xml:space="preserve">                                        </w:t>
      </w:r>
      <w:r>
        <w:rPr>
          <w:rFonts w:ascii="Times New Roman" w:hAnsi="Times New Roman" w:eastAsia="仿宋_GB2312" w:cs="Times New Roman"/>
          <w:sz w:val="32"/>
          <w:szCs w:val="32"/>
          <w:lang w:bidi="ar"/>
        </w:rPr>
        <w:t xml:space="preserve">盐边县人民政府          </w:t>
      </w:r>
    </w:p>
    <w:p>
      <w:pPr>
        <w:autoSpaceDE/>
        <w:autoSpaceDN/>
        <w:spacing w:line="56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bidi="ar"/>
        </w:rPr>
        <w:t xml:space="preserve">                                         </w:t>
      </w:r>
      <w:r>
        <w:rPr>
          <w:rFonts w:ascii="Times New Roman" w:hAnsi="Times New Roman" w:eastAsia="仿宋_GB2312" w:cs="Times New Roman"/>
          <w:sz w:val="32"/>
          <w:szCs w:val="32"/>
          <w:lang w:bidi="ar"/>
        </w:rPr>
        <w:t>202</w:t>
      </w:r>
      <w:r>
        <w:rPr>
          <w:rFonts w:hint="eastAsia" w:ascii="Times New Roman" w:hAnsi="Times New Roman" w:eastAsia="仿宋_GB2312" w:cs="Times New Roman"/>
          <w:sz w:val="32"/>
          <w:szCs w:val="32"/>
          <w:lang w:bidi="ar"/>
        </w:rPr>
        <w:t>3</w:t>
      </w:r>
      <w:r>
        <w:rPr>
          <w:rFonts w:ascii="Times New Roman" w:hAnsi="Times New Roman" w:eastAsia="仿宋_GB2312" w:cs="Times New Roman"/>
          <w:sz w:val="32"/>
          <w:szCs w:val="32"/>
          <w:lang w:bidi="ar"/>
        </w:rPr>
        <w:t>年1</w:t>
      </w:r>
      <w:r>
        <w:rPr>
          <w:rFonts w:hint="eastAsia" w:ascii="Times New Roman" w:hAnsi="Times New Roman" w:eastAsia="仿宋_GB2312" w:cs="Times New Roman"/>
          <w:sz w:val="32"/>
          <w:szCs w:val="32"/>
          <w:lang w:bidi="ar"/>
        </w:rPr>
        <w:t>2</w:t>
      </w:r>
      <w:r>
        <w:rPr>
          <w:rFonts w:ascii="Times New Roman" w:hAnsi="Times New Roman" w:eastAsia="仿宋_GB2312" w:cs="Times New Roman"/>
          <w:sz w:val="32"/>
          <w:szCs w:val="32"/>
          <w:lang w:bidi="ar"/>
        </w:rPr>
        <w:t>月</w:t>
      </w:r>
      <w:r>
        <w:rPr>
          <w:rFonts w:hint="eastAsia" w:ascii="Times New Roman" w:hAnsi="Times New Roman" w:eastAsia="仿宋_GB2312" w:cs="Times New Roman"/>
          <w:sz w:val="32"/>
          <w:szCs w:val="32"/>
          <w:lang w:val="en-US" w:eastAsia="zh-CN" w:bidi="ar"/>
        </w:rPr>
        <w:t>29</w:t>
      </w:r>
      <w:r>
        <w:rPr>
          <w:rFonts w:ascii="Times New Roman" w:hAnsi="Times New Roman" w:eastAsia="仿宋_GB2312" w:cs="Times New Roman"/>
          <w:sz w:val="32"/>
          <w:szCs w:val="32"/>
          <w:lang w:bidi="ar"/>
        </w:rPr>
        <w:t xml:space="preserve">日         </w:t>
      </w:r>
    </w:p>
    <w:p>
      <w:pPr>
        <w:widowControl/>
        <w:autoSpaceDE/>
        <w:autoSpaceDN/>
        <w:spacing w:line="560" w:lineRule="exact"/>
        <w:rPr>
          <w:rFonts w:ascii="Times New Roman" w:hAnsi="Times New Roman" w:cs="Times New Roman"/>
        </w:rPr>
      </w:pPr>
      <w:r>
        <w:rPr>
          <w:rFonts w:ascii="Times New Roman" w:hAnsi="Times New Roman" w:cs="Times New Roman"/>
        </w:rPr>
        <w:br w:type="page"/>
      </w:r>
      <w:bookmarkStart w:id="0" w:name="_GoBack"/>
      <w:bookmarkEnd w:id="0"/>
    </w:p>
    <w:p>
      <w:pPr>
        <w:spacing w:line="560" w:lineRule="exact"/>
        <w:jc w:val="center"/>
        <w:rPr>
          <w:rFonts w:ascii="Times New Roman" w:hAnsi="Times New Roman" w:eastAsia="方正小标宋简体" w:cs="Times New Roman"/>
          <w:kern w:val="2"/>
          <w:sz w:val="44"/>
          <w:szCs w:val="44"/>
        </w:rPr>
      </w:pPr>
      <w:r>
        <w:rPr>
          <w:rFonts w:ascii="Times New Roman" w:hAnsi="Times New Roman" w:eastAsia="方正小标宋简体" w:cs="Times New Roman"/>
          <w:bCs/>
          <w:kern w:val="2"/>
          <w:sz w:val="44"/>
          <w:szCs w:val="44"/>
        </w:rPr>
        <w:br w:type="page"/>
      </w:r>
      <w:r>
        <w:rPr>
          <w:rFonts w:ascii="Times New Roman" w:hAnsi="Times New Roman" w:eastAsia="方正小标宋简体" w:cs="Times New Roman"/>
          <w:kern w:val="2"/>
          <w:sz w:val="44"/>
          <w:szCs w:val="44"/>
        </w:rPr>
        <w:t>盐边县陆生野生动物致害补偿实施细则</w:t>
      </w:r>
    </w:p>
    <w:p>
      <w:pPr>
        <w:widowControl/>
        <w:autoSpaceDE/>
        <w:autoSpaceDN/>
        <w:spacing w:before="100" w:after="100" w:line="560" w:lineRule="exact"/>
        <w:jc w:val="center"/>
        <w:textAlignment w:val="baseline"/>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sz w:val="32"/>
          <w:szCs w:val="32"/>
        </w:rPr>
        <w:t>（送审稿</w:t>
      </w:r>
      <w:r>
        <w:rPr>
          <w:rFonts w:ascii="Times New Roman" w:hAnsi="Times New Roman" w:eastAsia="仿宋_GB2312" w:cs="Times New Roman"/>
          <w:color w:val="000000"/>
          <w:kern w:val="2"/>
          <w:sz w:val="32"/>
          <w:szCs w:val="32"/>
        </w:rPr>
        <w:t>）</w:t>
      </w:r>
    </w:p>
    <w:p>
      <w:pPr>
        <w:widowControl/>
        <w:autoSpaceDE/>
        <w:autoSpaceDN/>
        <w:spacing w:before="100" w:after="100" w:line="560" w:lineRule="exact"/>
        <w:jc w:val="center"/>
        <w:textAlignment w:val="baseline"/>
        <w:rPr>
          <w:rFonts w:ascii="Times New Roman" w:hAnsi="Times New Roman" w:eastAsia="仿宋_GB2312" w:cs="Times New Roman"/>
          <w:color w:val="000000"/>
          <w:kern w:val="2"/>
          <w:sz w:val="32"/>
          <w:szCs w:val="32"/>
        </w:rPr>
      </w:pPr>
    </w:p>
    <w:p>
      <w:pPr>
        <w:autoSpaceDE/>
        <w:autoSpaceDN/>
        <w:spacing w:line="560" w:lineRule="exact"/>
        <w:ind w:firstLine="640" w:firstLineChars="200"/>
        <w:jc w:val="both"/>
        <w:rPr>
          <w:rFonts w:ascii="Times New Roman" w:hAnsi="Times New Roman" w:eastAsia="黑体" w:cs="Times New Roman"/>
          <w:kern w:val="2"/>
          <w:sz w:val="32"/>
          <w:szCs w:val="32"/>
        </w:rPr>
      </w:pPr>
      <w:r>
        <w:rPr>
          <w:rFonts w:ascii="Times New Roman" w:hAnsi="Times New Roman" w:eastAsia="黑体" w:cs="Times New Roman"/>
          <w:kern w:val="2"/>
          <w:sz w:val="32"/>
          <w:szCs w:val="32"/>
        </w:rPr>
        <w:t>第一条</w:t>
      </w:r>
      <w:r>
        <w:rPr>
          <w:rFonts w:ascii="Times New Roman" w:hAnsi="Times New Roman" w:eastAsia="仿宋_GB2312" w:cs="Times New Roman"/>
          <w:kern w:val="2"/>
          <w:sz w:val="32"/>
          <w:szCs w:val="32"/>
        </w:rPr>
        <w:t xml:space="preserve">  为切实保障公民、法人和其他组织因保护的陆生野生动物造成人身伤害、财产损失享有依法取得政府补偿的权利，根据《中华人民共和国野生动物保护法》《中华人民共和国陆生野生动物保护实施条例》《四川省〈中华人民共和国野生动物保护法〉实施办法》等法律法规和《四川省农业保险保费补贴资金管理办法》《四川省陆生野生动物致害补偿办法》等政策文件，结合盐边县实际，制定本实施细则。</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第二条</w:t>
      </w:r>
      <w:r>
        <w:rPr>
          <w:rFonts w:ascii="Times New Roman" w:hAnsi="Times New Roman" w:eastAsia="仿宋_GB2312" w:cs="Times New Roman"/>
          <w:kern w:val="2"/>
          <w:sz w:val="32"/>
          <w:szCs w:val="32"/>
        </w:rPr>
        <w:t xml:space="preserve">  本细则所称陆生野生动物是指列入《国家重点保护野生动物名录》《四川省重点保护野生动物名录》《国家有重要生态、科学、社会价值的陆生野生动物名录》中的陆生野生动物（以下简称野生动物）。国家和省保护野生动物名录如有调整，以最新公布的名录为准。</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第三条</w:t>
      </w:r>
      <w:r>
        <w:rPr>
          <w:rFonts w:ascii="Times New Roman" w:hAnsi="Times New Roman" w:eastAsia="仿宋_GB2312" w:cs="Times New Roman"/>
          <w:kern w:val="2"/>
          <w:sz w:val="32"/>
          <w:szCs w:val="32"/>
        </w:rPr>
        <w:t xml:space="preserve">  在盐边县行政区域内，因野生动物造成人身伤害、财产损失申请政府补偿（以下简称补偿）的，适用本细则。</w:t>
      </w:r>
    </w:p>
    <w:p>
      <w:pPr>
        <w:widowControl/>
        <w:autoSpaceDE/>
        <w:autoSpaceDN/>
        <w:spacing w:line="560" w:lineRule="exact"/>
        <w:ind w:firstLine="640"/>
        <w:textAlignment w:val="baseline"/>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已购买政策性保险的，致害情形不属于保险合同赔付范围的，适用本细则。</w:t>
      </w:r>
    </w:p>
    <w:p>
      <w:pPr>
        <w:widowControl/>
        <w:autoSpaceDE/>
        <w:autoSpaceDN/>
        <w:spacing w:line="560" w:lineRule="exact"/>
        <w:ind w:firstLine="640"/>
        <w:textAlignment w:val="baseline"/>
        <w:rPr>
          <w:rFonts w:ascii="Times New Roman" w:hAnsi="Times New Roman" w:eastAsia="仿宋_GB2312" w:cs="Times New Roman"/>
          <w:color w:val="000000"/>
          <w:sz w:val="32"/>
          <w:szCs w:val="32"/>
          <w:shd w:val="clear" w:color="auto" w:fill="FFFFFF"/>
        </w:rPr>
      </w:pPr>
      <w:r>
        <w:rPr>
          <w:rFonts w:ascii="Times New Roman" w:hAnsi="Times New Roman" w:eastAsia="仿宋_GB2312" w:cs="Times New Roman"/>
          <w:color w:val="000000"/>
          <w:sz w:val="32"/>
          <w:szCs w:val="32"/>
          <w:shd w:val="clear" w:color="auto" w:fill="FFFFFF"/>
        </w:rPr>
        <w:t>已购买政策性保险的，致害情形属于保险合同赔付范围的，按保险合同办理，不适用本细则。</w:t>
      </w:r>
    </w:p>
    <w:p>
      <w:pPr>
        <w:widowControl/>
        <w:autoSpaceDE/>
        <w:autoSpaceDN/>
        <w:spacing w:line="560" w:lineRule="exact"/>
        <w:ind w:firstLine="640"/>
        <w:textAlignment w:val="baseline"/>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因人工养殖、经营、利用及运输的野生动物造成人身伤害或财产损失的，依相关法律法规由侵权责任主体负责赔偿，不适用本细则。</w:t>
      </w:r>
    </w:p>
    <w:p>
      <w:pPr>
        <w:widowControl/>
        <w:autoSpaceDE/>
        <w:autoSpaceDN/>
        <w:spacing w:line="560" w:lineRule="exact"/>
        <w:ind w:firstLine="640"/>
        <w:textAlignment w:val="baseline"/>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法律、法规、规章另有规定的，从其规定。</w:t>
      </w:r>
    </w:p>
    <w:p>
      <w:pPr>
        <w:autoSpaceDE/>
        <w:autoSpaceDN/>
        <w:spacing w:line="560" w:lineRule="exact"/>
        <w:ind w:firstLine="640" w:firstLineChars="200"/>
        <w:jc w:val="both"/>
        <w:rPr>
          <w:rFonts w:ascii="Times New Roman" w:hAnsi="Times New Roman" w:eastAsia="仿宋_GB2312" w:cs="Times New Roman"/>
          <w:sz w:val="32"/>
          <w:szCs w:val="32"/>
        </w:rPr>
      </w:pPr>
      <w:r>
        <w:rPr>
          <w:rFonts w:ascii="Times New Roman" w:hAnsi="Times New Roman" w:eastAsia="黑体" w:cs="Times New Roman"/>
          <w:kern w:val="2"/>
          <w:sz w:val="32"/>
          <w:szCs w:val="32"/>
        </w:rPr>
        <w:t>第四条</w:t>
      </w:r>
      <w:r>
        <w:rPr>
          <w:rFonts w:ascii="Times New Roman" w:hAnsi="Times New Roman" w:eastAsia="仿宋_GB2312" w:cs="Times New Roman"/>
          <w:sz w:val="32"/>
          <w:szCs w:val="32"/>
        </w:rPr>
        <w:t xml:space="preserve">  县人民政府负责盐边县域内野生动物致害补偿工作。县林业局负责盐边县域内陆生野生动物致害损失认定等相关工作。县发展改革局、县公安局、县民政局、县财政局、县人力资源社会保障局、县农业农村局、县卫生健康局、县市场监管局、县医保局等有关部门按照各自职责做好陆生野生动物致害补偿的相关工作，具体分工如下：</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sz w:val="32"/>
          <w:szCs w:val="32"/>
        </w:rPr>
        <w:t>（一）</w:t>
      </w:r>
      <w:r>
        <w:rPr>
          <w:rFonts w:ascii="Times New Roman" w:hAnsi="Times New Roman" w:eastAsia="仿宋_GB2312" w:cs="Times New Roman"/>
          <w:kern w:val="2"/>
          <w:sz w:val="32"/>
          <w:szCs w:val="32"/>
        </w:rPr>
        <w:t>县发展改革局、县市场监管局负责因野生动物致害造成的损失财产市场平均价格评估。</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sz w:val="32"/>
          <w:szCs w:val="32"/>
        </w:rPr>
        <w:t>（二）</w:t>
      </w:r>
      <w:r>
        <w:rPr>
          <w:rFonts w:ascii="Times New Roman" w:hAnsi="Times New Roman" w:eastAsia="仿宋_GB2312" w:cs="Times New Roman"/>
          <w:kern w:val="2"/>
          <w:sz w:val="32"/>
          <w:szCs w:val="32"/>
        </w:rPr>
        <w:t>县公安局负责因野生动物致害引发的治安管控、刑事案件查处等工作。</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sz w:val="32"/>
          <w:szCs w:val="32"/>
        </w:rPr>
        <w:t>（三）</w:t>
      </w:r>
      <w:r>
        <w:rPr>
          <w:rFonts w:ascii="Times New Roman" w:hAnsi="Times New Roman" w:eastAsia="仿宋_GB2312" w:cs="Times New Roman"/>
          <w:kern w:val="2"/>
          <w:sz w:val="32"/>
          <w:szCs w:val="32"/>
        </w:rPr>
        <w:t>县民政局负责在政府未作出正式补偿决定前，对因野生动物致受害人或其家庭成员基本生活暂时出现严重困难的，按照有关规定对受害人进行临时救助。</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sz w:val="32"/>
          <w:szCs w:val="32"/>
        </w:rPr>
        <w:t>（四）</w:t>
      </w:r>
      <w:r>
        <w:rPr>
          <w:rFonts w:ascii="Times New Roman" w:hAnsi="Times New Roman" w:eastAsia="仿宋_GB2312" w:cs="Times New Roman"/>
          <w:kern w:val="2"/>
          <w:sz w:val="32"/>
          <w:szCs w:val="32"/>
        </w:rPr>
        <w:t>县财政局负责补偿资金的预算安排和资金保障。</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sz w:val="32"/>
          <w:szCs w:val="32"/>
        </w:rPr>
        <w:t>（五）</w:t>
      </w:r>
      <w:r>
        <w:rPr>
          <w:rFonts w:ascii="Times New Roman" w:hAnsi="Times New Roman" w:eastAsia="仿宋_GB2312" w:cs="Times New Roman"/>
          <w:sz w:val="32"/>
          <w:szCs w:val="32"/>
        </w:rPr>
        <w:t>县人力资源社会保障局</w:t>
      </w:r>
      <w:r>
        <w:rPr>
          <w:rFonts w:ascii="Times New Roman" w:hAnsi="Times New Roman" w:eastAsia="仿宋_GB2312" w:cs="Times New Roman"/>
          <w:kern w:val="2"/>
          <w:sz w:val="32"/>
          <w:szCs w:val="32"/>
        </w:rPr>
        <w:t>负责因野生动物致害所产生的工伤认定及工伤保险待遇赔偿工作；负责因野生动物致害导致人员死亡的丧葬费核发工作。</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sz w:val="32"/>
          <w:szCs w:val="32"/>
        </w:rPr>
        <w:t>（六）</w:t>
      </w:r>
      <w:r>
        <w:rPr>
          <w:rFonts w:ascii="Times New Roman" w:hAnsi="Times New Roman" w:eastAsia="仿宋_GB2312" w:cs="Times New Roman"/>
          <w:kern w:val="2"/>
          <w:sz w:val="32"/>
          <w:szCs w:val="32"/>
        </w:rPr>
        <w:t>县农业农村局负责组织对农作物、家畜、家禽等受损财产的损害程度、面积、数量、补偿金额等相关事项进行评估认定；指导野生动物疫源疫病防治、医疗救助及无害化处理。</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sz w:val="32"/>
          <w:szCs w:val="32"/>
        </w:rPr>
        <w:t>（七）</w:t>
      </w:r>
      <w:r>
        <w:rPr>
          <w:rFonts w:ascii="Times New Roman" w:hAnsi="Times New Roman" w:eastAsia="仿宋_GB2312" w:cs="Times New Roman"/>
          <w:kern w:val="2"/>
          <w:sz w:val="32"/>
          <w:szCs w:val="32"/>
        </w:rPr>
        <w:t>县卫生健康局负责野生动物致人重伤时协调有关医疗机构对受害人实施紧急医疗救助，相关医疗机构对受害人的救治采取先治疗后结算方式，不得因治疗费用问题拖延、推诿。</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sz w:val="32"/>
          <w:szCs w:val="32"/>
        </w:rPr>
        <w:t>（八）</w:t>
      </w:r>
      <w:r>
        <w:rPr>
          <w:rFonts w:ascii="Times New Roman" w:hAnsi="Times New Roman" w:eastAsia="仿宋_GB2312" w:cs="Times New Roman"/>
          <w:kern w:val="2"/>
          <w:sz w:val="32"/>
          <w:szCs w:val="32"/>
        </w:rPr>
        <w:t>县医保局负责因野生动物致害产生的医疗救治费用符合医保支付政策的指导。</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sz w:val="32"/>
          <w:szCs w:val="32"/>
        </w:rPr>
        <w:t>（九）</w:t>
      </w:r>
      <w:r>
        <w:rPr>
          <w:rFonts w:ascii="Times New Roman" w:hAnsi="Times New Roman" w:eastAsia="仿宋_GB2312" w:cs="Times New Roman"/>
          <w:kern w:val="2"/>
          <w:sz w:val="32"/>
          <w:szCs w:val="32"/>
        </w:rPr>
        <w:t>乡（镇）人民政府负责本行政区域内陆生野生动物致害调查核实，配合有关部门做好陆生野生动物造成人身伤害、财产损失的应急处置、救助和补偿的相关工作。村（居）民委员会配合做好相关工作。</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 xml:space="preserve">第五条 </w:t>
      </w:r>
      <w:r>
        <w:rPr>
          <w:rFonts w:ascii="Times New Roman" w:hAnsi="Times New Roman" w:eastAsia="仿宋_GB2312" w:cs="Times New Roman"/>
          <w:sz w:val="32"/>
          <w:szCs w:val="32"/>
        </w:rPr>
        <w:t xml:space="preserve"> 陆生野</w:t>
      </w:r>
      <w:r>
        <w:rPr>
          <w:rFonts w:ascii="Times New Roman" w:hAnsi="Times New Roman" w:eastAsia="仿宋_GB2312" w:cs="Times New Roman"/>
          <w:kern w:val="2"/>
          <w:sz w:val="32"/>
          <w:szCs w:val="32"/>
        </w:rPr>
        <w:t>生动物致害补偿费用由县人民政府负责筹措，统筹使用本级预算资金、上级转移支付资金、申请专项补贴等做好资金保障。在具体落实补偿时，应优先对野生动物造成的人身伤害进行补偿。县林业局、县农业农村局、县财政局要根据《四川省农业保险保费补贴资金管理办法》，共同推动农业保险保费补贴政策与其他农村金融和支农惠农政策有机结合，充分发挥保险赔付作用。鼓励林区群众投保野生动物致害商业险。</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第六条</w:t>
      </w:r>
      <w:r>
        <w:rPr>
          <w:rFonts w:ascii="Times New Roman" w:hAnsi="Times New Roman" w:eastAsia="仿宋_GB2312" w:cs="Times New Roman"/>
          <w:kern w:val="2"/>
          <w:sz w:val="32"/>
          <w:szCs w:val="32"/>
        </w:rPr>
        <w:t xml:space="preserve">  因保护陆生野生动物造成人身伤害、财产损失，有下列情形之一的，给予补偿：</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（一）</w:t>
      </w:r>
      <w:r>
        <w:rPr>
          <w:rFonts w:ascii="Times New Roman" w:hAnsi="Times New Roman" w:eastAsia="仿宋_GB2312" w:cs="Times New Roman"/>
          <w:kern w:val="2"/>
          <w:sz w:val="32"/>
          <w:szCs w:val="32"/>
        </w:rPr>
        <w:t>从事日常生活和生产的人员在采取了必要的防范措施或者依法履行保护陆生野生动物义务的情况下，造成身体伤害或者死亡的。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（二）</w:t>
      </w:r>
      <w:r>
        <w:rPr>
          <w:rFonts w:ascii="Times New Roman" w:hAnsi="Times New Roman" w:eastAsia="仿宋_GB2312" w:cs="Times New Roman"/>
          <w:kern w:val="2"/>
          <w:sz w:val="32"/>
          <w:szCs w:val="32"/>
        </w:rPr>
        <w:t>对在依法承包、经营的土地上种植的农作物、林木和林下作物造成损毁的。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（三）</w:t>
      </w:r>
      <w:r>
        <w:rPr>
          <w:rFonts w:ascii="Times New Roman" w:hAnsi="Times New Roman" w:eastAsia="仿宋_GB2312" w:cs="Times New Roman"/>
          <w:kern w:val="2"/>
          <w:sz w:val="32"/>
          <w:szCs w:val="32"/>
        </w:rPr>
        <w:t>对合法圈养的或在依法承包、经营的土地上饲养的牲畜家禽、特种养殖动物造成死亡的。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（四）</w:t>
      </w:r>
      <w:r>
        <w:rPr>
          <w:rFonts w:ascii="Times New Roman" w:hAnsi="Times New Roman" w:eastAsia="仿宋_GB2312" w:cs="Times New Roman"/>
          <w:kern w:val="2"/>
          <w:sz w:val="32"/>
          <w:szCs w:val="32"/>
        </w:rPr>
        <w:t>对合法建设使用的房屋、圈舍等生产生活设施设备造成损毁的。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（五）</w:t>
      </w:r>
      <w:r>
        <w:rPr>
          <w:rFonts w:ascii="Times New Roman" w:hAnsi="Times New Roman" w:eastAsia="仿宋_GB2312" w:cs="Times New Roman"/>
          <w:kern w:val="2"/>
          <w:sz w:val="32"/>
          <w:szCs w:val="32"/>
        </w:rPr>
        <w:t>为避免或减轻陆生野生动物对公民人身安全威胁，采取应急控制或避险措施，造成财产损失的。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第七条</w:t>
      </w:r>
      <w:r>
        <w:rPr>
          <w:rFonts w:ascii="Times New Roman" w:hAnsi="Times New Roman" w:eastAsia="仿宋_GB2312" w:cs="Times New Roman"/>
          <w:kern w:val="2"/>
          <w:sz w:val="32"/>
          <w:szCs w:val="32"/>
        </w:rPr>
        <w:t xml:space="preserve">  陆生野生动物造成人身伤害、财产损失，有下列情形之一的，不予补偿：</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（一）</w:t>
      </w:r>
      <w:r>
        <w:rPr>
          <w:rFonts w:ascii="Times New Roman" w:hAnsi="Times New Roman" w:eastAsia="仿宋_GB2312" w:cs="Times New Roman"/>
          <w:kern w:val="2"/>
          <w:sz w:val="32"/>
          <w:szCs w:val="32"/>
        </w:rPr>
        <w:t>主动攻击、挑逗或者故意伤害野生动物的。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（二）</w:t>
      </w:r>
      <w:r>
        <w:rPr>
          <w:rFonts w:ascii="Times New Roman" w:hAnsi="Times New Roman" w:eastAsia="仿宋_GB2312" w:cs="Times New Roman"/>
          <w:kern w:val="2"/>
          <w:sz w:val="32"/>
          <w:szCs w:val="32"/>
        </w:rPr>
        <w:t>从事非法狩猎等违法活动的。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（三）</w:t>
      </w:r>
      <w:r>
        <w:rPr>
          <w:rFonts w:ascii="Times New Roman" w:hAnsi="Times New Roman" w:eastAsia="仿宋_GB2312" w:cs="Times New Roman"/>
          <w:kern w:val="2"/>
          <w:sz w:val="32"/>
          <w:szCs w:val="32"/>
        </w:rPr>
        <w:t>擅自进入自然保护地禁入区域，或者经批准进入后不遵守保护地相关管理规定的。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（四）</w:t>
      </w:r>
      <w:r>
        <w:rPr>
          <w:rFonts w:ascii="Times New Roman" w:hAnsi="Times New Roman" w:eastAsia="仿宋_GB2312" w:cs="Times New Roman"/>
          <w:kern w:val="2"/>
          <w:sz w:val="32"/>
          <w:szCs w:val="32"/>
        </w:rPr>
        <w:t>在非依法承包、经营土地上种植的农作物、林木和林下作物造成损毁的。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（五）</w:t>
      </w:r>
      <w:r>
        <w:rPr>
          <w:rFonts w:ascii="Times New Roman" w:hAnsi="Times New Roman" w:eastAsia="仿宋_GB2312" w:cs="Times New Roman"/>
          <w:kern w:val="2"/>
          <w:sz w:val="32"/>
          <w:szCs w:val="32"/>
        </w:rPr>
        <w:t>在非依法承包、经营的土地上饲养牲畜家禽、特种养殖动物的。</w:t>
      </w:r>
    </w:p>
    <w:p>
      <w:pPr>
        <w:autoSpaceDE/>
        <w:autoSpaceDN/>
        <w:spacing w:line="560" w:lineRule="exact"/>
        <w:ind w:firstLine="64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（六）</w:t>
      </w:r>
      <w:r>
        <w:rPr>
          <w:rFonts w:ascii="Times New Roman" w:hAnsi="Times New Roman" w:eastAsia="仿宋_GB2312" w:cs="Times New Roman"/>
          <w:kern w:val="2"/>
          <w:sz w:val="32"/>
          <w:szCs w:val="32"/>
        </w:rPr>
        <w:t>现场核查不能认定为野生动物致害或者无法核定财产损失数额，且当事人不能提供有效证据的。</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 xml:space="preserve">第八条 </w:t>
      </w:r>
      <w:r>
        <w:rPr>
          <w:rFonts w:ascii="Times New Roman" w:hAnsi="Times New Roman" w:eastAsia="仿宋_GB2312" w:cs="Times New Roman"/>
          <w:kern w:val="2"/>
          <w:sz w:val="32"/>
          <w:szCs w:val="32"/>
        </w:rPr>
        <w:t xml:space="preserve"> 符合本细则第六条规定情形的，补偿金额按照下列规定计算：</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（一）</w:t>
      </w:r>
      <w:r>
        <w:rPr>
          <w:rFonts w:ascii="Times New Roman" w:hAnsi="Times New Roman" w:eastAsia="仿宋_GB2312" w:cs="Times New Roman"/>
          <w:kern w:val="2"/>
          <w:sz w:val="32"/>
          <w:szCs w:val="32"/>
        </w:rPr>
        <w:t>造成人员身体伤害未丧失劳动能力的，补助实际医疗救治费及因误工减少的收入。因误工减少收入的补偿金额按照全省上年度职工日平均工资乘以误工时间计算，误工时间根据受害人接受治疗的医疗机构出具的有效证明确定。因误工减少收入的补偿金最高额为上年度全省居民年人均可支配收入。</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（二）</w:t>
      </w:r>
      <w:r>
        <w:rPr>
          <w:rFonts w:ascii="Times New Roman" w:hAnsi="Times New Roman" w:eastAsia="仿宋_GB2312" w:cs="Times New Roman"/>
          <w:kern w:val="2"/>
          <w:sz w:val="32"/>
          <w:szCs w:val="32"/>
        </w:rPr>
        <w:t>造成人员丧失部分劳动能力的，补助实际医疗救治费及一次性残疾补偿金。一次性残疾补偿金最高额为上年度全省居民年人均可支配收入的8倍。</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（三）</w:t>
      </w:r>
      <w:r>
        <w:rPr>
          <w:rFonts w:ascii="Times New Roman" w:hAnsi="Times New Roman" w:eastAsia="仿宋_GB2312" w:cs="Times New Roman"/>
          <w:kern w:val="2"/>
          <w:sz w:val="32"/>
          <w:szCs w:val="32"/>
        </w:rPr>
        <w:t>造成人员丧失全部劳动能力的，补助实际医疗救治费及一次性残疾补偿金。一次性残疾补偿金最高额为上年度全省居民年人均可支配收入的12倍。</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（四）</w:t>
      </w:r>
      <w:r>
        <w:rPr>
          <w:rFonts w:ascii="Times New Roman" w:hAnsi="Times New Roman" w:eastAsia="仿宋_GB2312" w:cs="Times New Roman"/>
          <w:kern w:val="2"/>
          <w:sz w:val="32"/>
          <w:szCs w:val="32"/>
        </w:rPr>
        <w:t>造成人员死亡的，补助实际医疗救治费、死亡补偿金及丧葬费。死亡补偿金为上年度全省居民年人均可支配收入的15倍。</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（五）</w:t>
      </w:r>
      <w:r>
        <w:rPr>
          <w:rFonts w:ascii="Times New Roman" w:hAnsi="Times New Roman" w:eastAsia="仿宋_GB2312" w:cs="Times New Roman"/>
          <w:kern w:val="2"/>
          <w:sz w:val="32"/>
          <w:szCs w:val="32"/>
        </w:rPr>
        <w:t>造成农作物、林木和林下作物损失的，损失部分按损害发生时当地市场平均价格计算，补偿全部损失的50%。</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（六）</w:t>
      </w:r>
      <w:r>
        <w:rPr>
          <w:rFonts w:ascii="Times New Roman" w:hAnsi="Times New Roman" w:eastAsia="仿宋_GB2312" w:cs="Times New Roman"/>
          <w:kern w:val="2"/>
          <w:sz w:val="32"/>
          <w:szCs w:val="32"/>
        </w:rPr>
        <w:t>造成家禽家畜和特种养殖动物死亡的，按损害发生时当地市场平均价格计算，补偿全部损失的50%。</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（七）</w:t>
      </w:r>
      <w:r>
        <w:rPr>
          <w:rFonts w:ascii="Times New Roman" w:hAnsi="Times New Roman" w:eastAsia="仿宋_GB2312" w:cs="Times New Roman"/>
          <w:kern w:val="2"/>
          <w:sz w:val="32"/>
          <w:szCs w:val="32"/>
        </w:rPr>
        <w:t>对合法建设使用的房屋、圈舍等生产生活设施设备造成损毁的，补偿修复或者重置金额的50%。</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（八）</w:t>
      </w:r>
      <w:r>
        <w:rPr>
          <w:rFonts w:ascii="Times New Roman" w:hAnsi="Times New Roman" w:eastAsia="仿宋_GB2312" w:cs="Times New Roman"/>
          <w:kern w:val="2"/>
          <w:sz w:val="32"/>
          <w:szCs w:val="32"/>
        </w:rPr>
        <w:t>为避免或减轻野生动物对公民人身安全威胁，采取应急控制或避险措施，造成财产损失的，按损害发生时当地市场平均价格的100%给予补偿。</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（九）</w:t>
      </w:r>
      <w:r>
        <w:rPr>
          <w:rFonts w:ascii="Times New Roman" w:hAnsi="Times New Roman" w:eastAsia="仿宋_GB2312" w:cs="Times New Roman"/>
          <w:kern w:val="2"/>
          <w:sz w:val="32"/>
          <w:szCs w:val="32"/>
        </w:rPr>
        <w:t>致害情形符合《工伤保险条例》《四川省工伤保险条例》等相关法规制度规定的，工伤认定、劳动能力鉴定、工伤保险待遇按上述规定执行，不再享受政府其他同等性质的补偿。医疗救治费用符合医保支付政策的纳入医保支付。</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第九条</w:t>
      </w:r>
      <w:r>
        <w:rPr>
          <w:rFonts w:ascii="Times New Roman" w:hAnsi="Times New Roman" w:eastAsia="仿宋_GB2312" w:cs="Times New Roman"/>
          <w:kern w:val="2"/>
          <w:sz w:val="32"/>
          <w:szCs w:val="32"/>
        </w:rPr>
        <w:t xml:space="preserve">  野生动物造成公民人身伤害和财产损失，符合本细则第六条规定情形之一的，受害人或者代理人应当及时向发生地乡（镇）人民政府报备，并保护现场以备核查。</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造成人身伤害申请补偿的，应当在抢救治疗终结后60个工作日内，向损害发生地乡（镇）人民政府提出。造成财产损失申请补偿的，当事人应当在得知财产损害发生后15个工作日内，向发生地乡（镇）人民政府提出。未按照规定时限提出申请，导致损害无法核实、认定的，不予补偿。</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经受理机关初步审查认为不符合补偿范围的，受理机关应于5个工作日内以书面形式告知当事人。</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第十条</w:t>
      </w:r>
      <w:r>
        <w:rPr>
          <w:rFonts w:ascii="Times New Roman" w:hAnsi="Times New Roman" w:eastAsia="仿宋" w:cs="Times New Roman"/>
          <w:kern w:val="2"/>
          <w:sz w:val="32"/>
          <w:szCs w:val="32"/>
        </w:rPr>
        <w:t xml:space="preserve">  </w:t>
      </w:r>
      <w:r>
        <w:rPr>
          <w:rFonts w:ascii="Times New Roman" w:hAnsi="Times New Roman" w:eastAsia="仿宋_GB2312" w:cs="Times New Roman"/>
          <w:kern w:val="2"/>
          <w:sz w:val="32"/>
          <w:szCs w:val="32"/>
        </w:rPr>
        <w:t>补偿申请应当以书面形式提出。递交书面申请确有困难的，可以当面口头、电话、视频方式申请，由受理机关记入笔录。</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（一）</w:t>
      </w:r>
      <w:r>
        <w:rPr>
          <w:rFonts w:ascii="Times New Roman" w:hAnsi="Times New Roman" w:eastAsia="仿宋_GB2312" w:cs="Times New Roman"/>
          <w:kern w:val="2"/>
          <w:sz w:val="32"/>
          <w:szCs w:val="32"/>
        </w:rPr>
        <w:t>补偿申请书应当载明下列事项：受害人和代理人的姓名、性别、年龄、住址和身份证件号码、电话号码。受害人是法人或者其他组织的，还应载明法人或者其他组织的名称、注册地址、社会信用代码、法定代表人和委托代理人（如有）的姓名、职务、电话号码；补偿请求事项。</w:t>
      </w:r>
    </w:p>
    <w:p>
      <w:pPr>
        <w:autoSpaceDE/>
        <w:autoSpaceDN/>
        <w:spacing w:line="560" w:lineRule="exact"/>
        <w:ind w:firstLine="643" w:firstLineChars="200"/>
        <w:jc w:val="both"/>
        <w:rPr>
          <w:rFonts w:ascii="Times New Roman" w:hAnsi="Times New Roman" w:eastAsia="仿宋_GB2312" w:cs="Times New Roman"/>
          <w:kern w:val="2"/>
          <w:sz w:val="32"/>
          <w:szCs w:val="32"/>
        </w:rPr>
      </w:pPr>
      <w:r>
        <w:rPr>
          <w:rFonts w:ascii="Times New Roman" w:hAnsi="Times New Roman" w:eastAsia="楷体_GB2312" w:cs="Times New Roman"/>
          <w:b/>
          <w:bCs/>
          <w:kern w:val="2"/>
          <w:sz w:val="32"/>
          <w:szCs w:val="32"/>
        </w:rPr>
        <w:t>（二）</w:t>
      </w:r>
      <w:r>
        <w:rPr>
          <w:rFonts w:ascii="Times New Roman" w:hAnsi="Times New Roman" w:eastAsia="仿宋_GB2312" w:cs="Times New Roman"/>
          <w:kern w:val="2"/>
          <w:sz w:val="32"/>
          <w:szCs w:val="32"/>
        </w:rPr>
        <w:t>证明存在野生动物致害事实的相关材料、证明对被损害财产具有合法权益的房屋等不动产权证、土地承包合同、土地流转合同等材料。</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上述材料可在工作人员现场调查时提交，也可在政府作出补偿或不补偿决定前进行补充。涉及医疗救治的，负责核实的机关可依法查阅和调取相关医疗记录，救治机构应予配合。</w:t>
      </w:r>
    </w:p>
    <w:p>
      <w:pPr>
        <w:autoSpaceDE/>
        <w:autoSpaceDN/>
        <w:spacing w:line="560" w:lineRule="exact"/>
        <w:ind w:firstLine="640" w:firstLineChars="200"/>
        <w:jc w:val="both"/>
        <w:rPr>
          <w:rFonts w:ascii="Times New Roman" w:hAnsi="Times New Roman" w:cs="Times New Roman"/>
          <w:kern w:val="2"/>
          <w:sz w:val="21"/>
          <w:szCs w:val="21"/>
        </w:rPr>
      </w:pPr>
      <w:r>
        <w:rPr>
          <w:rFonts w:ascii="Times New Roman" w:hAnsi="Times New Roman" w:eastAsia="黑体" w:cs="Times New Roman"/>
          <w:kern w:val="2"/>
          <w:sz w:val="32"/>
          <w:szCs w:val="32"/>
        </w:rPr>
        <w:t xml:space="preserve">第十一条 </w:t>
      </w:r>
      <w:r>
        <w:rPr>
          <w:rFonts w:ascii="Times New Roman" w:hAnsi="Times New Roman" w:eastAsia="仿宋_GB2312" w:cs="Times New Roman"/>
          <w:kern w:val="2"/>
          <w:sz w:val="32"/>
          <w:szCs w:val="32"/>
        </w:rPr>
        <w:t>乡（镇）人民政府接到补偿申请后，应当安排人员在10个工作日内完成调查核实和现场取证工作，并于完成调查取证后10个工作日内出具调查情况报告。调查核实工作必须客观、公正、准确。现场调查核实人员不得少于2人。现场调查核实存在技术困难的，乡（镇）人民政府可请求县林业局、县农业农村局、县卫生健康局、县发展改革局等部门提供专业技术支持。</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 xml:space="preserve">第十二条  </w:t>
      </w:r>
      <w:r>
        <w:rPr>
          <w:rFonts w:ascii="Times New Roman" w:hAnsi="Times New Roman" w:eastAsia="仿宋_GB2312" w:cs="Times New Roman"/>
          <w:kern w:val="2"/>
          <w:sz w:val="32"/>
          <w:szCs w:val="32"/>
        </w:rPr>
        <w:t>乡（镇）人民政府完成调查核实后，应当将调查情况报告在发生地村（居）民委员会进行公示，公示时间不少于5个工作日。</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公示期内，收到异议的，乡（镇）人民政府应在5个工作日内另选其他工作人员完成调查核实。异议属实的，应在5个工作日内书面告知申请人并退回补偿申请，同时将调查核实结果告知异议提出单位或个人；异议部分属实的，应在5个工作日内书面告知申请人修正申请材料后重新组织公示，同时将调查核实结果告知异议提出单位或个人；异议不属实的，应在5个工作日内将调查核实结果告知异议提出单位或个人，并继续办理补偿事宜。</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申请人、相关权益人对乡（镇）人民政府最终确定的调查情况报告有异议的，可在收到通知后10个工作日内向县林业局申请复核。县林业局应当在收到复核申请后10个工作日内进行复核，在20个工作日内将复核结论以书面形式告知申请人、相关权益人。复核机关认为必要时也可组织听证。</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第十三条</w:t>
      </w:r>
      <w:r>
        <w:rPr>
          <w:rFonts w:ascii="Times New Roman" w:hAnsi="Times New Roman" w:eastAsia="仿宋_GB2312" w:cs="Times New Roman"/>
          <w:kern w:val="2"/>
          <w:sz w:val="32"/>
          <w:szCs w:val="32"/>
        </w:rPr>
        <w:t xml:space="preserve">  公示期满，对公示内容无异议或者异议内容不属实的，乡（镇）人民政府应当将申请材料、现场调查情况报告、相关情况佐证材料和初步定损意见等材料提交县林业局。</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县林业局收到材料后，经审核认为无异议的，应在15个工作日内作出定损意见和补偿建议，报县人民政府审定。经审核认为有异议的，应当进行复核。复核过程中，必要时可聘请相关专家或者委托专业机构进行。复核工作应在20个工作日内完成，并根据复核结果在15个工作日内作出定损意见和补偿建议，报县人民政府审定。</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县林业局独立作出定损意见和补偿建议有困难的，可以视情况征求县民政局、县财政局、县人力资源社会保障局、县农业农村局、县卫生健康局等有关部门意见或召开专家会研究讨论。</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因遭受野生动物伤害造成部分或者完全丧失劳动能力的，由县林业局委托具有劳动能力鉴定资质的机构，参照工伤鉴定标准，作出劳动能力鉴定结论。鉴定时间不计入上述期限。</w:t>
      </w:r>
    </w:p>
    <w:p>
      <w:pPr>
        <w:autoSpaceDE/>
        <w:autoSpaceDN/>
        <w:spacing w:line="560" w:lineRule="exact"/>
        <w:ind w:firstLine="640"/>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第十四条</w:t>
      </w:r>
      <w:r>
        <w:rPr>
          <w:rFonts w:ascii="Times New Roman" w:hAnsi="Times New Roman" w:eastAsia="仿宋_GB2312" w:cs="Times New Roman"/>
          <w:kern w:val="2"/>
          <w:sz w:val="32"/>
          <w:szCs w:val="32"/>
        </w:rPr>
        <w:t xml:space="preserve">  县人民政府收到县林业局提交的定损意见和补偿建议后应当及时审查，作出同意补偿决定或者不同意补偿决定，并以书面形式告知受害人或其代理人。</w:t>
      </w:r>
    </w:p>
    <w:p>
      <w:pPr>
        <w:autoSpaceDE/>
        <w:autoSpaceDN/>
        <w:spacing w:line="560" w:lineRule="exact"/>
        <w:ind w:firstLine="640"/>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 xml:space="preserve">第十五条  </w:t>
      </w:r>
      <w:r>
        <w:rPr>
          <w:rFonts w:ascii="Times New Roman" w:hAnsi="Times New Roman" w:eastAsia="仿宋_GB2312" w:cs="Times New Roman"/>
          <w:kern w:val="2"/>
          <w:sz w:val="32"/>
          <w:szCs w:val="32"/>
        </w:rPr>
        <w:t>县人民政府作出补偿决定后，县财政局在10个工作日内将补偿资金划拨到县林业局，县林业局在5个工作日内将补偿资金通过一卡通或指定账户拨付给申请人。</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县纪委监委、县审计局、县财政局等部门依法对损害补偿金的发放情况进行监督。</w:t>
      </w:r>
    </w:p>
    <w:p>
      <w:pPr>
        <w:widowControl/>
        <w:autoSpaceDE/>
        <w:autoSpaceDN/>
        <w:spacing w:line="560" w:lineRule="exact"/>
        <w:ind w:firstLine="640"/>
        <w:textAlignment w:val="baseline"/>
        <w:rPr>
          <w:rFonts w:ascii="Times New Roman" w:hAnsi="Times New Roman" w:eastAsia="仿宋_GB2312" w:cs="Times New Roman"/>
          <w:color w:val="000000"/>
          <w:sz w:val="32"/>
          <w:szCs w:val="32"/>
        </w:rPr>
      </w:pPr>
      <w:r>
        <w:rPr>
          <w:rFonts w:ascii="Times New Roman" w:hAnsi="Times New Roman" w:eastAsia="黑体" w:cs="Times New Roman"/>
          <w:color w:val="000000"/>
          <w:sz w:val="32"/>
          <w:szCs w:val="32"/>
        </w:rPr>
        <w:t>第十六条</w:t>
      </w:r>
      <w:r>
        <w:rPr>
          <w:rFonts w:ascii="Times New Roman" w:hAnsi="Times New Roman" w:eastAsia="仿宋_GB2312" w:cs="Times New Roman"/>
          <w:color w:val="000000"/>
          <w:sz w:val="32"/>
          <w:szCs w:val="32"/>
        </w:rPr>
        <w:t xml:space="preserve">  乡（镇）人民政府、村（社）和县级部门参与调查核实、定损及补偿事项的工作人员对涉及近亲属或者利害关系人的野生动物致害补偿工作应说明情况并主动回避。</w:t>
      </w:r>
    </w:p>
    <w:p>
      <w:pPr>
        <w:autoSpaceDE/>
        <w:autoSpaceDN/>
        <w:spacing w:line="560" w:lineRule="exact"/>
        <w:ind w:firstLine="640" w:firstLineChars="200"/>
        <w:jc w:val="both"/>
        <w:rPr>
          <w:rFonts w:ascii="Times New Roman" w:hAnsi="Times New Roman" w:cs="Times New Roman"/>
          <w:kern w:val="2"/>
          <w:sz w:val="21"/>
          <w:szCs w:val="21"/>
        </w:rPr>
      </w:pPr>
      <w:r>
        <w:rPr>
          <w:rFonts w:ascii="Times New Roman" w:hAnsi="Times New Roman" w:eastAsia="黑体" w:cs="Times New Roman"/>
          <w:kern w:val="2"/>
          <w:sz w:val="32"/>
          <w:szCs w:val="32"/>
        </w:rPr>
        <w:t xml:space="preserve">第十七条 </w:t>
      </w:r>
      <w:r>
        <w:rPr>
          <w:rFonts w:ascii="Times New Roman" w:hAnsi="Times New Roman" w:eastAsia="仿宋_GB2312" w:cs="Times New Roman"/>
          <w:kern w:val="2"/>
          <w:sz w:val="32"/>
          <w:szCs w:val="32"/>
        </w:rPr>
        <w:t xml:space="preserve"> 当事人对补偿决定不服的，可以依法申请行政复议或者提起行政诉讼。</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第十八条</w:t>
      </w:r>
      <w:r>
        <w:rPr>
          <w:rFonts w:ascii="Times New Roman" w:hAnsi="Times New Roman" w:eastAsia="仿宋_GB2312" w:cs="Times New Roman"/>
          <w:kern w:val="2"/>
          <w:sz w:val="32"/>
          <w:szCs w:val="32"/>
        </w:rPr>
        <w:t xml:space="preserve">  县林业局根据野生动物及其栖息地调查、监测和评估情况，对局部成灾物种，可在科学调研基础上，按程序报上级林业主管部门批准后实施种群调控措施。乡（镇）人民政府应当与县林业局协同会商，根据本辖区内主要致害野生动物物种特点，结合区域、季节、人口分布及生产生活情况等因素，制定合理、必要的预防措施，如改变种植结构、设置围栏、生态移民等，申请政府配套预算相关经费，建立长效机制以减轻野生动物危害。</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针对目前群众反映野猪损坏农作物等情况，根据《四川省林业和草原局关于做好野猪种群调控处置工作的通知》要求，各乡镇辖区内如确需对野猪种群进行调控的，将野猪种群数量、种群结构、分布、活动范围、主要危害类型及造成的经济损失等基本情况书面报县林业局，县林业局组织或委托相关机构核实调查后，制定调控方案报县政府组织相关部门和乡镇实施。在县政府或乡镇的统一的领导下，可委托当地社区居民、退伍军人、老猎人等社会力量组建猎捕队，在县级相关部门的监督指导下开展猎捕工作。</w:t>
      </w:r>
    </w:p>
    <w:p>
      <w:pPr>
        <w:autoSpaceDE/>
        <w:autoSpaceDN/>
        <w:spacing w:line="560" w:lineRule="exact"/>
        <w:ind w:firstLine="640" w:firstLineChars="200"/>
        <w:jc w:val="both"/>
        <w:rPr>
          <w:rFonts w:ascii="Times New Roman" w:hAnsi="Times New Roman" w:cs="Times New Roman"/>
          <w:kern w:val="2"/>
          <w:sz w:val="21"/>
          <w:szCs w:val="21"/>
        </w:rPr>
      </w:pPr>
      <w:r>
        <w:rPr>
          <w:rFonts w:ascii="Times New Roman" w:hAnsi="Times New Roman" w:eastAsia="仿宋_GB2312" w:cs="Times New Roman"/>
          <w:kern w:val="2"/>
          <w:sz w:val="32"/>
          <w:szCs w:val="32"/>
        </w:rPr>
        <w:t>对于在致害野生动物种群调控工作中成绩显著的单位和个人给予一定奖励，具体奖励金额由县林业局根据工作实绩报县政府批准核发。相关调查费、猎捕费、无害化处置费、奖励资金由县财政筹措。</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 xml:space="preserve">第十九条  </w:t>
      </w:r>
      <w:r>
        <w:rPr>
          <w:rFonts w:ascii="Times New Roman" w:hAnsi="Times New Roman" w:eastAsia="仿宋_GB2312" w:cs="Times New Roman"/>
          <w:kern w:val="2"/>
          <w:sz w:val="32"/>
          <w:szCs w:val="32"/>
        </w:rPr>
        <w:t>受害人或其代理人提出申请到落实补偿期限最长不得超过1年。</w:t>
      </w:r>
    </w:p>
    <w:p>
      <w:pPr>
        <w:autoSpaceDE/>
        <w:autoSpaceDN/>
        <w:spacing w:line="560" w:lineRule="exact"/>
        <w:ind w:firstLine="640" w:firstLineChars="200"/>
        <w:jc w:val="both"/>
        <w:rPr>
          <w:rFonts w:ascii="Times New Roman" w:hAnsi="Times New Roman" w:eastAsia="仿宋_GB2312" w:cs="Times New Roman"/>
          <w:kern w:val="2"/>
          <w:sz w:val="32"/>
          <w:szCs w:val="32"/>
        </w:rPr>
      </w:pPr>
      <w:r>
        <w:rPr>
          <w:rFonts w:ascii="Times New Roman" w:hAnsi="Times New Roman" w:eastAsia="黑体" w:cs="Times New Roman"/>
          <w:kern w:val="2"/>
          <w:sz w:val="32"/>
          <w:szCs w:val="32"/>
        </w:rPr>
        <w:t>第二十条</w:t>
      </w:r>
      <w:r>
        <w:rPr>
          <w:rFonts w:ascii="Times New Roman" w:hAnsi="Times New Roman" w:eastAsia="仿宋_GB2312" w:cs="Times New Roman"/>
          <w:kern w:val="2"/>
          <w:sz w:val="32"/>
          <w:szCs w:val="32"/>
        </w:rPr>
        <w:t xml:space="preserve">  虚报、冒领、骗取补偿金的，由盐边县人民政府责令退回；涉嫌犯罪的，移送司法机关依法追究刑事责任。</w:t>
      </w:r>
    </w:p>
    <w:p>
      <w:pPr>
        <w:autoSpaceDE/>
        <w:autoSpaceDN/>
        <w:spacing w:line="560" w:lineRule="exact"/>
        <w:jc w:val="both"/>
        <w:rPr>
          <w:rFonts w:ascii="Times New Roman" w:hAnsi="Times New Roman" w:cs="Times New Roman"/>
          <w:kern w:val="2"/>
          <w:sz w:val="21"/>
          <w:szCs w:val="21"/>
        </w:rPr>
      </w:pPr>
      <w:r>
        <w:rPr>
          <w:rFonts w:ascii="Times New Roman" w:hAnsi="Times New Roman" w:cs="Times New Roman"/>
          <w:kern w:val="2"/>
          <w:sz w:val="21"/>
        </w:rPr>
        <w:t xml:space="preserve">      </w:t>
      </w:r>
      <w:r>
        <w:rPr>
          <w:rFonts w:ascii="Times New Roman" w:hAnsi="Times New Roman" w:eastAsia="黑体" w:cs="Times New Roman"/>
          <w:kern w:val="2"/>
          <w:sz w:val="32"/>
          <w:szCs w:val="32"/>
        </w:rPr>
        <w:t xml:space="preserve">第二十一条 </w:t>
      </w:r>
      <w:r>
        <w:rPr>
          <w:rFonts w:ascii="Times New Roman" w:hAnsi="Times New Roman" w:eastAsia="仿宋_GB2312" w:cs="Times New Roman"/>
          <w:kern w:val="2"/>
          <w:sz w:val="32"/>
          <w:szCs w:val="32"/>
        </w:rPr>
        <w:t xml:space="preserve"> 乡（镇）人民政府和县级相关部门工作人员在开展野生动物致害补偿工作中应当勤勉尽责，有弄虚作假、失职渎职、徇私舞弊、受贿索贿、串谋骗补等行为的，依规依纪依法追究相关责任。</w:t>
      </w:r>
    </w:p>
    <w:p>
      <w:pPr>
        <w:widowControl/>
        <w:autoSpaceDE/>
        <w:autoSpaceDN/>
        <w:rPr>
          <w:rFonts w:ascii="Times New Roman" w:hAnsi="Times New Roman" w:eastAsia="方正小标宋简体" w:cs="Times New Roman"/>
          <w:bCs/>
          <w:kern w:val="2"/>
          <w:sz w:val="44"/>
          <w:szCs w:val="44"/>
        </w:rPr>
      </w:pPr>
      <w:r>
        <w:rPr>
          <w:rFonts w:ascii="Times New Roman" w:hAnsi="Times New Roman" w:eastAsia="黑体" w:cs="Times New Roman"/>
          <w:kern w:val="2"/>
          <w:sz w:val="32"/>
          <w:szCs w:val="32"/>
        </w:rPr>
        <w:t>第二十二条</w:t>
      </w:r>
      <w:r>
        <w:rPr>
          <w:rFonts w:ascii="Times New Roman" w:hAnsi="Times New Roman" w:eastAsia="仿宋_GB2312" w:cs="Times New Roman"/>
          <w:kern w:val="2"/>
          <w:sz w:val="32"/>
          <w:szCs w:val="32"/>
        </w:rPr>
        <w:t xml:space="preserve">  本细则自2024年  月  日起实施，有效期5年。</w:t>
      </w:r>
    </w:p>
    <w:sectPr>
      <w:footerReference r:id="rId3" w:type="default"/>
      <w:footerReference r:id="rId4" w:type="even"/>
      <w:pgSz w:w="11910" w:h="16840"/>
      <w:pgMar w:top="2098" w:right="1474" w:bottom="1985" w:left="1588" w:header="0" w:footer="1117"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5477400"/>
      <w:docPartObj>
        <w:docPartGallery w:val="AutoText"/>
      </w:docPartObj>
    </w:sdtPr>
    <w:sdtEndPr>
      <w:rPr>
        <w:sz w:val="28"/>
        <w:szCs w:val="28"/>
      </w:rPr>
    </w:sdtEndPr>
    <w:sdtContent>
      <w:p>
        <w:pPr>
          <w:pStyle w:val="7"/>
          <w:jc w:val="right"/>
          <w:rPr>
            <w:sz w:val="28"/>
            <w:szCs w:val="28"/>
          </w:rPr>
        </w:pPr>
        <w:r>
          <w:rPr>
            <w:rFonts w:hint="eastAsia"/>
            <w:sz w:val="28"/>
            <w:szCs w:val="28"/>
          </w:rPr>
          <w:t>—</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w:t>
        </w:r>
      </w:p>
    </w:sdtContent>
  </w:sdt>
  <w:p>
    <w:pPr>
      <w:pStyle w:val="5"/>
      <w:spacing w:line="14" w:lineRule="auto"/>
      <w:ind w:left="0"/>
      <w:rPr>
        <w:sz w:val="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8303607"/>
      <w:docPartObj>
        <w:docPartGallery w:val="autotext"/>
      </w:docPartObj>
    </w:sdtPr>
    <w:sdtEndPr>
      <w:rPr>
        <w:sz w:val="28"/>
        <w:szCs w:val="28"/>
      </w:rPr>
    </w:sdtEndPr>
    <w:sdtContent>
      <w:p>
        <w:pPr>
          <w:pStyle w:val="7"/>
          <w:rPr>
            <w:sz w:val="28"/>
            <w:szCs w:val="28"/>
          </w:rPr>
        </w:pPr>
        <w:r>
          <w:rPr>
            <w:rFonts w:hint="eastAsia"/>
            <w:sz w:val="28"/>
            <w:szCs w:val="28"/>
          </w:rPr>
          <w:t>—</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rFonts w:hint="eastAsia"/>
            <w:sz w:val="28"/>
            <w:szCs w:val="28"/>
          </w:rPr>
          <w:t>—</w:t>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4119D5"/>
    <w:rsid w:val="00062BDF"/>
    <w:rsid w:val="000A0F1A"/>
    <w:rsid w:val="003A086C"/>
    <w:rsid w:val="004119D5"/>
    <w:rsid w:val="00516D7F"/>
    <w:rsid w:val="00581785"/>
    <w:rsid w:val="006E45CE"/>
    <w:rsid w:val="007013AA"/>
    <w:rsid w:val="00810B1A"/>
    <w:rsid w:val="00987A28"/>
    <w:rsid w:val="00B93A7D"/>
    <w:rsid w:val="00D35357"/>
    <w:rsid w:val="00D624A9"/>
    <w:rsid w:val="00DB6123"/>
    <w:rsid w:val="00DD300B"/>
    <w:rsid w:val="073121EC"/>
    <w:rsid w:val="0C20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zh-CN" w:bidi="ar-SA"/>
    </w:rPr>
  </w:style>
  <w:style w:type="paragraph" w:styleId="2">
    <w:name w:val="heading 1"/>
    <w:basedOn w:val="1"/>
    <w:next w:val="1"/>
    <w:qFormat/>
    <w:uiPriority w:val="1"/>
    <w:pPr>
      <w:spacing w:before="25"/>
      <w:ind w:right="476"/>
      <w:jc w:val="center"/>
      <w:outlineLvl w:val="0"/>
    </w:pPr>
    <w:rPr>
      <w:b/>
      <w:bCs/>
      <w:sz w:val="36"/>
      <w:szCs w:val="36"/>
    </w:rPr>
  </w:style>
  <w:style w:type="paragraph" w:styleId="3">
    <w:name w:val="heading 2"/>
    <w:basedOn w:val="1"/>
    <w:next w:val="1"/>
    <w:qFormat/>
    <w:uiPriority w:val="1"/>
    <w:pPr>
      <w:ind w:left="498"/>
      <w:outlineLvl w:val="1"/>
    </w:pPr>
    <w:rPr>
      <w:b/>
      <w:bCs/>
      <w:sz w:val="28"/>
      <w:szCs w:val="28"/>
    </w:rPr>
  </w:style>
  <w:style w:type="paragraph" w:styleId="4">
    <w:name w:val="heading 3"/>
    <w:basedOn w:val="1"/>
    <w:next w:val="1"/>
    <w:qFormat/>
    <w:uiPriority w:val="1"/>
    <w:pPr>
      <w:ind w:left="961"/>
      <w:outlineLvl w:val="2"/>
    </w:pPr>
    <w:rPr>
      <w:b/>
      <w:bCs/>
      <w:sz w:val="24"/>
      <w:szCs w:val="24"/>
    </w:rPr>
  </w:style>
  <w:style w:type="character" w:default="1" w:styleId="12">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qFormat/>
    <w:uiPriority w:val="1"/>
    <w:pPr>
      <w:ind w:left="498"/>
    </w:pPr>
    <w:rPr>
      <w:sz w:val="24"/>
      <w:szCs w:val="24"/>
    </w:rPr>
  </w:style>
  <w:style w:type="paragraph" w:styleId="6">
    <w:name w:val="Balloon Text"/>
    <w:basedOn w:val="1"/>
    <w:link w:val="16"/>
    <w:semiHidden/>
    <w:unhideWhenUsed/>
    <w:qFormat/>
    <w:uiPriority w:val="99"/>
    <w:rPr>
      <w:sz w:val="18"/>
      <w:szCs w:val="18"/>
    </w:rPr>
  </w:style>
  <w:style w:type="paragraph" w:styleId="7">
    <w:name w:val="footer"/>
    <w:basedOn w:val="1"/>
    <w:link w:val="18"/>
    <w:unhideWhenUsed/>
    <w:uiPriority w:val="99"/>
    <w:pPr>
      <w:tabs>
        <w:tab w:val="center" w:pos="4153"/>
        <w:tab w:val="right" w:pos="8306"/>
      </w:tabs>
      <w:snapToGrid w:val="0"/>
    </w:pPr>
    <w:rPr>
      <w:sz w:val="18"/>
      <w:szCs w:val="18"/>
    </w:rPr>
  </w:style>
  <w:style w:type="paragraph" w:styleId="8">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1"/>
    <w:pPr>
      <w:spacing w:before="161"/>
      <w:ind w:left="498"/>
    </w:pPr>
    <w:rPr>
      <w:sz w:val="24"/>
      <w:szCs w:val="24"/>
    </w:rPr>
  </w:style>
  <w:style w:type="paragraph" w:styleId="10">
    <w:name w:val="toc 2"/>
    <w:basedOn w:val="1"/>
    <w:next w:val="1"/>
    <w:qFormat/>
    <w:uiPriority w:val="1"/>
    <w:pPr>
      <w:spacing w:before="158"/>
      <w:ind w:left="738"/>
    </w:pPr>
    <w:rPr>
      <w:sz w:val="24"/>
      <w:szCs w:val="24"/>
    </w:rPr>
  </w:style>
  <w:style w:type="table" w:customStyle="1" w:styleId="13">
    <w:name w:val="Table Normal"/>
    <w:semiHidden/>
    <w:unhideWhenUsed/>
    <w:qFormat/>
    <w:uiPriority w:val="2"/>
    <w:tblPr>
      <w:tblLayout w:type="fixed"/>
      <w:tblCellMar>
        <w:top w:w="0" w:type="dxa"/>
        <w:left w:w="0" w:type="dxa"/>
        <w:bottom w:w="0" w:type="dxa"/>
        <w:right w:w="0" w:type="dxa"/>
      </w:tblCellMar>
    </w:tblPr>
  </w:style>
  <w:style w:type="paragraph" w:styleId="14">
    <w:name w:val="List Paragraph"/>
    <w:basedOn w:val="1"/>
    <w:qFormat/>
    <w:uiPriority w:val="1"/>
    <w:pPr>
      <w:ind w:left="1550" w:hanging="590"/>
    </w:pPr>
  </w:style>
  <w:style w:type="paragraph" w:customStyle="1" w:styleId="15">
    <w:name w:val="Table Paragraph"/>
    <w:basedOn w:val="1"/>
    <w:qFormat/>
    <w:uiPriority w:val="1"/>
    <w:pPr>
      <w:spacing w:before="92"/>
      <w:jc w:val="center"/>
    </w:pPr>
    <w:rPr>
      <w:rFonts w:ascii="Times New Roman" w:hAnsi="Times New Roman" w:eastAsia="Times New Roman" w:cs="Times New Roman"/>
    </w:rPr>
  </w:style>
  <w:style w:type="character" w:customStyle="1" w:styleId="16">
    <w:name w:val="批注框文本 Char"/>
    <w:basedOn w:val="12"/>
    <w:link w:val="6"/>
    <w:semiHidden/>
    <w:uiPriority w:val="99"/>
    <w:rPr>
      <w:rFonts w:ascii="宋体" w:hAnsi="宋体" w:eastAsia="宋体" w:cs="宋体"/>
      <w:sz w:val="18"/>
      <w:szCs w:val="18"/>
      <w:lang w:eastAsia="zh-CN"/>
    </w:rPr>
  </w:style>
  <w:style w:type="character" w:customStyle="1" w:styleId="17">
    <w:name w:val="页眉 Char"/>
    <w:basedOn w:val="12"/>
    <w:link w:val="8"/>
    <w:qFormat/>
    <w:uiPriority w:val="99"/>
    <w:rPr>
      <w:rFonts w:ascii="宋体" w:hAnsi="宋体" w:eastAsia="宋体" w:cs="宋体"/>
      <w:sz w:val="18"/>
      <w:szCs w:val="18"/>
      <w:lang w:eastAsia="zh-CN"/>
    </w:rPr>
  </w:style>
  <w:style w:type="character" w:customStyle="1" w:styleId="18">
    <w:name w:val="页脚 Char"/>
    <w:basedOn w:val="12"/>
    <w:link w:val="7"/>
    <w:uiPriority w:val="99"/>
    <w:rPr>
      <w:rFonts w:ascii="宋体" w:hAnsi="宋体" w:eastAsia="宋体" w:cs="宋体"/>
      <w:sz w:val="18"/>
      <w:szCs w:val="18"/>
      <w:lang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805</Words>
  <Characters>4591</Characters>
  <Lines>38</Lines>
  <Paragraphs>10</Paragraphs>
  <TotalTime>9</TotalTime>
  <ScaleCrop>false</ScaleCrop>
  <LinksUpToDate>false</LinksUpToDate>
  <CharactersWithSpaces>5386</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2022-12-26T10:24:00Z</dcterms:created>
  <dc:creator>Tian</dc:creator>
  <cp:lastModifiedBy>雨点儿</cp:lastModifiedBy>
  <cp:lastPrinted>2023-11-24T03:53:00Z</cp:lastPrinted>
  <dcterms:modified xsi:type="dcterms:W3CDTF">2023-12-29T08:49:59Z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Creator">
    <vt:lpwstr>Microsoft® Word LTSC</vt:lpwstr>
  </property>
  <property fmtid="{D5CDD505-2E9C-101B-9397-08002B2CF9AE}" pid="4" name="LastSaved">
    <vt:filetime>2022-12-26T00:00:00Z</vt:filetime>
  </property>
  <property fmtid="{D5CDD505-2E9C-101B-9397-08002B2CF9AE}" pid="5" name="KSOProductBuildVer">
    <vt:lpwstr>2052-11.8.2.8506</vt:lpwstr>
  </property>
</Properties>
</file>