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96597"/>
      <w:bookmarkStart w:id="1" w:name="_Toc15378441"/>
      <w:bookmarkStart w:id="2" w:name="_Toc15377425"/>
      <w:bookmarkStart w:id="3" w:name="_Toc15377193"/>
      <w:bookmarkStart w:id="4" w:name="_Toc15396475"/>
      <w:bookmarkStart w:id="5"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2022年度</w:t>
      </w:r>
      <w:bookmarkEnd w:id="0"/>
      <w:bookmarkEnd w:id="1"/>
      <w:bookmarkEnd w:id="2"/>
      <w:bookmarkEnd w:id="3"/>
      <w:bookmarkEnd w:id="4"/>
    </w:p>
    <w:bookmarkEnd w:id="5"/>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06268"/>
      <w:bookmarkStart w:id="7" w:name="_Toc15396598"/>
      <w:bookmarkStart w:id="8" w:name="_Toc15377194"/>
      <w:bookmarkStart w:id="9" w:name="_Toc15378442"/>
      <w:bookmarkStart w:id="10" w:name="_Toc15396476"/>
      <w:bookmarkStart w:id="11" w:name="_Toc15377426"/>
      <w:r>
        <w:rPr>
          <w:rFonts w:hint="eastAsia" w:ascii="方正小标宋简体" w:hAnsi="方正小标宋简体" w:eastAsia="方正小标宋简体" w:cs="方正小标宋简体"/>
          <w:sz w:val="72"/>
          <w:szCs w:val="72"/>
        </w:rPr>
        <w:t>盐边县财政国库支付中心部门决算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3"/>
      </w:pPr>
      <w:r>
        <w:rPr>
          <w:rFonts w:hint="eastAsia"/>
        </w:rPr>
        <w:t>公开时间：2023年10月</w:t>
      </w:r>
      <w:r>
        <w:rPr>
          <w:rFonts w:hint="eastAsia"/>
          <w:lang w:val="en-US" w:eastAsia="zh-CN"/>
        </w:rPr>
        <w:t>30</w:t>
      </w:r>
      <w:r>
        <w:rPr>
          <w:rFonts w:hint="eastAsia"/>
        </w:rPr>
        <w:t>日</w:t>
      </w:r>
    </w:p>
    <w:p/>
    <w:sdt>
      <w:sdtPr>
        <w:rPr>
          <w:rFonts w:ascii="宋体" w:hAnsi="宋体"/>
        </w:rPr>
        <w:id w:val="147457946"/>
        <w:docPartObj>
          <w:docPartGallery w:val="Table of Contents"/>
          <w:docPartUnique/>
        </w:docPartObj>
      </w:sdtPr>
      <w:sdtEndPr>
        <w:rPr>
          <w:rFonts w:ascii="宋体" w:hAnsi="宋体"/>
          <w:sz w:val="20"/>
          <w:szCs w:val="20"/>
        </w:rPr>
      </w:sdtEndPr>
      <w:sdtContent>
        <w:p>
          <w:pPr>
            <w:jc w:val="center"/>
          </w:pPr>
          <w:bookmarkStart w:id="12" w:name="_Toc15396599"/>
          <w:bookmarkStart w:id="13" w:name="_Toc15377196"/>
        </w:p>
        <w:p>
          <w:pPr>
            <w:pStyle w:val="36"/>
            <w:tabs>
              <w:tab w:val="right" w:leader="dot" w:pos="8306"/>
            </w:tabs>
          </w:pPr>
          <w:r>
            <w:fldChar w:fldCharType="begin"/>
          </w:r>
          <w:r>
            <w:instrText xml:space="preserve"> HYPERLINK \l "_Toc31427_WPSOffice_Level1" </w:instrText>
          </w:r>
          <w:r>
            <w:fldChar w:fldCharType="separate"/>
          </w:r>
          <w:r>
            <w:rPr>
              <w:rFonts w:hint="eastAsia" w:ascii="黑体" w:hAnsi="黑体" w:eastAsia="黑体" w:cs="Times New Roman"/>
              <w:b/>
              <w:bCs/>
            </w:rPr>
            <w:t>第一部分 部门概况</w:t>
          </w:r>
          <w:r>
            <w:rPr>
              <w:b/>
              <w:bCs/>
            </w:rPr>
            <w:tab/>
          </w:r>
          <w:r>
            <w:rPr>
              <w:rFonts w:hint="eastAsia"/>
              <w:b/>
              <w:bCs/>
              <w:lang w:val="en-US" w:eastAsia="zh-CN"/>
            </w:rPr>
            <w:t>3</w:t>
          </w:r>
          <w:r>
            <w:rPr>
              <w:rFonts w:hint="eastAsia"/>
              <w:b/>
              <w:bCs/>
            </w:rPr>
            <w:fldChar w:fldCharType="end"/>
          </w:r>
        </w:p>
        <w:p>
          <w:pPr>
            <w:pStyle w:val="37"/>
            <w:tabs>
              <w:tab w:val="right" w:leader="dot" w:pos="8306"/>
            </w:tabs>
            <w:ind w:left="420"/>
          </w:pPr>
          <w:r>
            <w:fldChar w:fldCharType="begin"/>
          </w:r>
          <w:r>
            <w:instrText xml:space="preserve"> HYPERLINK \l "_Toc25796_WPSOffice_Level2" </w:instrText>
          </w:r>
          <w:r>
            <w:fldChar w:fldCharType="separate"/>
          </w:r>
          <w:r>
            <w:rPr>
              <w:rFonts w:hint="eastAsia" w:ascii="黑体" w:hAnsi="黑体" w:eastAsia="黑体" w:cstheme="majorBidi"/>
            </w:rPr>
            <w:t>一、 部门职责</w:t>
          </w:r>
          <w:r>
            <w:tab/>
          </w:r>
          <w:r>
            <w:rPr>
              <w:rFonts w:hint="eastAsia"/>
              <w:lang w:val="en-US" w:eastAsia="zh-CN"/>
            </w:rPr>
            <w:t>3</w:t>
          </w:r>
          <w:r>
            <w:fldChar w:fldCharType="end"/>
          </w:r>
        </w:p>
        <w:p>
          <w:pPr>
            <w:pStyle w:val="37"/>
            <w:tabs>
              <w:tab w:val="right" w:leader="dot" w:pos="8306"/>
            </w:tabs>
            <w:ind w:left="420"/>
          </w:pPr>
          <w:r>
            <w:fldChar w:fldCharType="begin"/>
          </w:r>
          <w:r>
            <w:instrText xml:space="preserve"> HYPERLINK \l "_Toc29399_WPSOffice_Level2" </w:instrText>
          </w:r>
          <w:r>
            <w:fldChar w:fldCharType="separate"/>
          </w:r>
          <w:r>
            <w:rPr>
              <w:rFonts w:hint="eastAsia" w:ascii="黑体" w:eastAsia="黑体" w:hAnsiTheme="majorHAnsi" w:cstheme="majorBidi"/>
            </w:rPr>
            <w:t>二、</w:t>
          </w:r>
          <w:r>
            <w:rPr>
              <w:rFonts w:hint="eastAsia" w:ascii="黑体" w:hAnsi="黑体" w:eastAsia="黑体" w:cstheme="majorBidi"/>
            </w:rPr>
            <w:t>机构设置</w:t>
          </w:r>
          <w:r>
            <w:tab/>
          </w:r>
          <w:r>
            <w:rPr>
              <w:rFonts w:hint="eastAsia"/>
              <w:lang w:val="en-US" w:eastAsia="zh-CN"/>
            </w:rPr>
            <w:t>3</w:t>
          </w:r>
          <w:r>
            <w:fldChar w:fldCharType="end"/>
          </w:r>
        </w:p>
        <w:p>
          <w:pPr>
            <w:pStyle w:val="36"/>
            <w:tabs>
              <w:tab w:val="right" w:leader="dot" w:pos="8306"/>
            </w:tabs>
          </w:pPr>
          <w:r>
            <w:fldChar w:fldCharType="begin"/>
          </w:r>
          <w:r>
            <w:instrText xml:space="preserve"> HYPERLINK \l "_Toc25796_WPSOffice_Level1" </w:instrText>
          </w:r>
          <w:r>
            <w:fldChar w:fldCharType="separate"/>
          </w:r>
          <w:r>
            <w:rPr>
              <w:rFonts w:hint="eastAsia" w:ascii="黑体" w:hAnsi="黑体" w:eastAsia="黑体" w:cs="Times New Roman"/>
              <w:b/>
              <w:bCs/>
            </w:rPr>
            <w:t>第二部分 2022年度部门决算情况说明</w:t>
          </w:r>
          <w:r>
            <w:rPr>
              <w:b/>
              <w:bCs/>
            </w:rPr>
            <w:tab/>
          </w:r>
          <w:r>
            <w:rPr>
              <w:rFonts w:hint="eastAsia"/>
              <w:b/>
              <w:bCs/>
              <w:lang w:val="en-US" w:eastAsia="zh-CN"/>
            </w:rPr>
            <w:t>5</w:t>
          </w:r>
          <w:r>
            <w:rPr>
              <w:b/>
              <w:bCs/>
            </w:rPr>
            <w:fldChar w:fldCharType="end"/>
          </w:r>
        </w:p>
        <w:p>
          <w:pPr>
            <w:pStyle w:val="37"/>
            <w:tabs>
              <w:tab w:val="right" w:leader="dot" w:pos="8306"/>
            </w:tabs>
            <w:ind w:left="420"/>
          </w:pPr>
          <w:r>
            <w:fldChar w:fldCharType="begin"/>
          </w:r>
          <w:r>
            <w:instrText xml:space="preserve"> HYPERLINK \l "_Toc25982_WPSOffice_Level2" </w:instrText>
          </w:r>
          <w:r>
            <w:fldChar w:fldCharType="separate"/>
          </w:r>
          <w:r>
            <w:rPr>
              <w:rFonts w:ascii="黑体" w:hAnsi="黑体" w:eastAsia="黑体" w:cstheme="majorBidi"/>
            </w:rPr>
            <w:t xml:space="preserve">一、 </w:t>
          </w:r>
          <w:r>
            <w:rPr>
              <w:rFonts w:hint="eastAsia" w:ascii="黑体" w:hAnsi="黑体" w:eastAsia="黑体" w:cs="Times New Roman"/>
            </w:rPr>
            <w:t>收</w:t>
          </w:r>
          <w:r>
            <w:rPr>
              <w:rFonts w:hint="eastAsia" w:ascii="黑体" w:hAnsi="黑体" w:eastAsia="黑体" w:cstheme="majorBidi"/>
            </w:rPr>
            <w:t>入支出决算总体情况说明</w:t>
          </w:r>
          <w:r>
            <w:tab/>
          </w:r>
          <w:r>
            <w:rPr>
              <w:rFonts w:hint="eastAsia"/>
              <w:lang w:val="en-US" w:eastAsia="zh-CN"/>
            </w:rPr>
            <w:t>5</w:t>
          </w:r>
          <w:r>
            <w:fldChar w:fldCharType="end"/>
          </w:r>
        </w:p>
        <w:p>
          <w:pPr>
            <w:pStyle w:val="37"/>
            <w:tabs>
              <w:tab w:val="right" w:leader="dot" w:pos="8306"/>
            </w:tabs>
            <w:ind w:left="420"/>
          </w:pPr>
          <w:r>
            <w:fldChar w:fldCharType="begin"/>
          </w:r>
          <w:r>
            <w:instrText xml:space="preserve"> HYPERLINK \l "_Toc6039_WPSOffice_Level2" </w:instrText>
          </w:r>
          <w:r>
            <w:fldChar w:fldCharType="separate"/>
          </w:r>
          <w:r>
            <w:rPr>
              <w:rFonts w:ascii="黑体" w:hAnsi="黑体" w:eastAsia="黑体" w:cstheme="majorBidi"/>
            </w:rPr>
            <w:t xml:space="preserve">二、 </w:t>
          </w:r>
          <w:r>
            <w:rPr>
              <w:rFonts w:hint="eastAsia" w:ascii="黑体" w:hAnsi="黑体" w:eastAsia="黑体" w:cs="Times New Roman"/>
            </w:rPr>
            <w:t>收</w:t>
          </w:r>
          <w:r>
            <w:rPr>
              <w:rFonts w:hint="eastAsia" w:ascii="黑体" w:hAnsi="黑体" w:eastAsia="黑体" w:cstheme="majorBidi"/>
            </w:rPr>
            <w:t>入决算情况说明</w:t>
          </w:r>
          <w:r>
            <w:tab/>
          </w:r>
          <w:r>
            <w:rPr>
              <w:rFonts w:hint="eastAsia"/>
              <w:lang w:val="en-US" w:eastAsia="zh-CN"/>
            </w:rPr>
            <w:t>5</w:t>
          </w:r>
          <w:r>
            <w:fldChar w:fldCharType="end"/>
          </w:r>
        </w:p>
        <w:p>
          <w:pPr>
            <w:pStyle w:val="37"/>
            <w:tabs>
              <w:tab w:val="right" w:leader="dot" w:pos="8306"/>
            </w:tabs>
            <w:ind w:left="420"/>
          </w:pPr>
          <w:r>
            <w:fldChar w:fldCharType="begin"/>
          </w:r>
          <w:r>
            <w:instrText xml:space="preserve"> HYPERLINK \l "_Toc273_WPSOffice_Level2" </w:instrText>
          </w:r>
          <w:r>
            <w:fldChar w:fldCharType="separate"/>
          </w:r>
          <w:r>
            <w:rPr>
              <w:rFonts w:ascii="黑体" w:hAnsi="黑体" w:eastAsia="黑体" w:cstheme="majorBidi"/>
            </w:rPr>
            <w:t xml:space="preserve">三、 </w:t>
          </w:r>
          <w:r>
            <w:rPr>
              <w:rFonts w:hint="eastAsia" w:ascii="黑体" w:hAnsi="黑体" w:eastAsia="黑体" w:cs="Times New Roman"/>
            </w:rPr>
            <w:t>支</w:t>
          </w:r>
          <w:r>
            <w:rPr>
              <w:rFonts w:hint="eastAsia" w:ascii="黑体" w:hAnsi="黑体" w:eastAsia="黑体" w:cstheme="majorBidi"/>
            </w:rPr>
            <w:t>出决算情况说明</w:t>
          </w:r>
          <w:r>
            <w:tab/>
          </w:r>
          <w:r>
            <w:rPr>
              <w:rFonts w:hint="eastAsia"/>
              <w:lang w:val="en-US" w:eastAsia="zh-CN"/>
            </w:rPr>
            <w:t>6</w:t>
          </w:r>
          <w:r>
            <w:fldChar w:fldCharType="end"/>
          </w:r>
        </w:p>
        <w:p>
          <w:pPr>
            <w:pStyle w:val="37"/>
            <w:tabs>
              <w:tab w:val="right" w:leader="dot" w:pos="8306"/>
            </w:tabs>
            <w:ind w:left="420"/>
          </w:pPr>
          <w:r>
            <w:fldChar w:fldCharType="begin"/>
          </w:r>
          <w:r>
            <w:instrText xml:space="preserve"> HYPERLINK \l "_Toc11144_WPSOffice_Level2" </w:instrText>
          </w:r>
          <w:r>
            <w:fldChar w:fldCharType="separate"/>
          </w:r>
          <w:r>
            <w:rPr>
              <w:rFonts w:hint="eastAsia" w:ascii="黑体" w:hAnsi="黑体" w:eastAsia="黑体" w:cs="Times New Roman"/>
            </w:rPr>
            <w:t>四、财</w:t>
          </w:r>
          <w:r>
            <w:rPr>
              <w:rFonts w:hint="eastAsia" w:ascii="黑体" w:hAnsi="黑体" w:eastAsia="黑体" w:cstheme="majorBidi"/>
            </w:rPr>
            <w:t>政拨款收入支出决算总体情况说明</w:t>
          </w:r>
          <w:r>
            <w:tab/>
          </w:r>
          <w:r>
            <w:rPr>
              <w:rFonts w:hint="eastAsia"/>
              <w:lang w:val="en-US" w:eastAsia="zh-CN"/>
            </w:rPr>
            <w:t>7</w:t>
          </w:r>
          <w:r>
            <w:fldChar w:fldCharType="end"/>
          </w:r>
        </w:p>
        <w:p>
          <w:pPr>
            <w:pStyle w:val="37"/>
            <w:tabs>
              <w:tab w:val="right" w:leader="dot" w:pos="8306"/>
            </w:tabs>
            <w:ind w:left="420"/>
          </w:pPr>
          <w:r>
            <w:fldChar w:fldCharType="begin"/>
          </w:r>
          <w:r>
            <w:instrText xml:space="preserve"> HYPERLINK \l "_Toc1253_WPSOffice_Level2" </w:instrText>
          </w:r>
          <w:r>
            <w:fldChar w:fldCharType="separate"/>
          </w:r>
          <w:r>
            <w:rPr>
              <w:rFonts w:hint="eastAsia" w:ascii="黑体" w:hAnsi="黑体" w:eastAsia="黑体" w:cs="Times New Roman"/>
            </w:rPr>
            <w:t>五、一</w:t>
          </w:r>
          <w:r>
            <w:rPr>
              <w:rFonts w:hint="eastAsia" w:ascii="黑体" w:hAnsi="黑体" w:eastAsia="黑体" w:cstheme="majorBidi"/>
            </w:rPr>
            <w:t>般公共预算财政拨款支出决算情况说明</w:t>
          </w:r>
          <w:r>
            <w:tab/>
          </w:r>
          <w:r>
            <w:rPr>
              <w:rFonts w:hint="eastAsia"/>
              <w:lang w:val="en-US" w:eastAsia="zh-CN"/>
            </w:rPr>
            <w:t>7</w:t>
          </w:r>
          <w:r>
            <w:fldChar w:fldCharType="end"/>
          </w:r>
        </w:p>
        <w:p>
          <w:pPr>
            <w:pStyle w:val="37"/>
            <w:tabs>
              <w:tab w:val="right" w:leader="dot" w:pos="8306"/>
            </w:tabs>
            <w:ind w:left="420"/>
          </w:pPr>
          <w:r>
            <w:fldChar w:fldCharType="begin"/>
          </w:r>
          <w:r>
            <w:instrText xml:space="preserve"> HYPERLINK \l "_Toc1591_WPSOffice_Level2" </w:instrText>
          </w:r>
          <w:r>
            <w:fldChar w:fldCharType="separate"/>
          </w:r>
          <w:r>
            <w:rPr>
              <w:rFonts w:hint="eastAsia" w:ascii="黑体" w:hAnsi="Times New Roman" w:eastAsia="黑体" w:cs="Times New Roman"/>
            </w:rPr>
            <w:t>六、</w:t>
          </w:r>
          <w:r>
            <w:rPr>
              <w:rFonts w:hint="eastAsia" w:ascii="黑体" w:hAnsi="黑体" w:eastAsia="黑体" w:cs="Times New Roman"/>
            </w:rPr>
            <w:t>一</w:t>
          </w:r>
          <w:r>
            <w:rPr>
              <w:rFonts w:hint="eastAsia" w:ascii="黑体" w:hAnsi="黑体" w:eastAsia="黑体" w:cstheme="majorBidi"/>
            </w:rPr>
            <w:t>般公共预算财政拨款基本支出决算情况说明</w:t>
          </w:r>
          <w:r>
            <w:tab/>
          </w:r>
          <w:r>
            <w:rPr>
              <w:rFonts w:hint="eastAsia"/>
              <w:lang w:val="en-US" w:eastAsia="zh-CN"/>
            </w:rPr>
            <w:t>9</w:t>
          </w:r>
          <w:r>
            <w:fldChar w:fldCharType="end"/>
          </w:r>
        </w:p>
        <w:p>
          <w:pPr>
            <w:pStyle w:val="37"/>
            <w:tabs>
              <w:tab w:val="right" w:leader="dot" w:pos="8306"/>
            </w:tabs>
            <w:ind w:left="420"/>
          </w:pPr>
          <w:r>
            <w:fldChar w:fldCharType="begin"/>
          </w:r>
          <w:r>
            <w:instrText xml:space="preserve"> HYPERLINK \l "_Toc21235_WPSOffice_Level2" </w:instrText>
          </w:r>
          <w:r>
            <w:fldChar w:fldCharType="separate"/>
          </w:r>
          <w:r>
            <w:rPr>
              <w:rFonts w:hint="eastAsia" w:ascii="黑体" w:hAnsi="Times New Roman" w:eastAsia="黑体" w:cs="Times New Roman"/>
            </w:rPr>
            <w:t>七、</w:t>
          </w:r>
          <w:r>
            <w:rPr>
              <w:rFonts w:hint="eastAsia" w:ascii="黑体" w:hAnsi="黑体" w:eastAsia="黑体" w:cstheme="majorBidi"/>
            </w:rPr>
            <w:t>财政拨款“三公”经费支出决算情况说明</w:t>
          </w:r>
          <w:r>
            <w:tab/>
          </w:r>
          <w:bookmarkStart w:id="14" w:name="_Toc21235_WPSOffice_Level2Page"/>
          <w:r>
            <w:t>1</w:t>
          </w:r>
          <w:bookmarkEnd w:id="14"/>
          <w:r>
            <w:rPr>
              <w:rFonts w:hint="eastAsia"/>
              <w:lang w:val="en-US" w:eastAsia="zh-CN"/>
            </w:rPr>
            <w:t>0</w:t>
          </w:r>
          <w:r>
            <w:fldChar w:fldCharType="end"/>
          </w:r>
        </w:p>
        <w:p>
          <w:pPr>
            <w:pStyle w:val="37"/>
            <w:tabs>
              <w:tab w:val="right" w:leader="dot" w:pos="8306"/>
            </w:tabs>
            <w:ind w:left="420"/>
          </w:pPr>
          <w:r>
            <w:fldChar w:fldCharType="begin"/>
          </w:r>
          <w:r>
            <w:instrText xml:space="preserve"> HYPERLINK \l "_Toc20437_WPSOffice_Level2" </w:instrText>
          </w:r>
          <w:r>
            <w:fldChar w:fldCharType="separate"/>
          </w:r>
          <w:r>
            <w:rPr>
              <w:rFonts w:hint="eastAsia" w:ascii="黑体" w:hAnsi="Times New Roman" w:eastAsia="黑体" w:cs="Times New Roman"/>
            </w:rPr>
            <w:t>八、</w:t>
          </w:r>
          <w:r>
            <w:rPr>
              <w:rFonts w:hint="eastAsia" w:ascii="黑体" w:hAnsi="黑体" w:eastAsia="黑体" w:cstheme="majorBidi"/>
            </w:rPr>
            <w:t>政府性基金预算支出决算情况说明</w:t>
          </w:r>
          <w:r>
            <w:tab/>
          </w:r>
          <w:bookmarkStart w:id="15" w:name="_Toc20437_WPSOffice_Level2Page"/>
          <w:r>
            <w:t>1</w:t>
          </w:r>
          <w:bookmarkEnd w:id="15"/>
          <w:r>
            <w:rPr>
              <w:rFonts w:hint="eastAsia"/>
              <w:lang w:val="en-US" w:eastAsia="zh-CN"/>
            </w:rPr>
            <w:t>1</w:t>
          </w:r>
          <w:r>
            <w:fldChar w:fldCharType="end"/>
          </w:r>
        </w:p>
        <w:p>
          <w:pPr>
            <w:pStyle w:val="37"/>
            <w:tabs>
              <w:tab w:val="right" w:leader="dot" w:pos="8306"/>
            </w:tabs>
            <w:ind w:left="420"/>
          </w:pPr>
          <w:r>
            <w:fldChar w:fldCharType="begin"/>
          </w:r>
          <w:r>
            <w:instrText xml:space="preserve"> HYPERLINK \l "_Toc28766_WPSOffice_Level2" </w:instrText>
          </w:r>
          <w:r>
            <w:fldChar w:fldCharType="separate"/>
          </w:r>
          <w:r>
            <w:rPr>
              <w:rFonts w:hint="eastAsia" w:ascii="黑体" w:hAnsi="黑体" w:eastAsia="黑体" w:cstheme="majorBidi"/>
            </w:rPr>
            <w:t>九、 国有资本经营预算支出决算情况说明</w:t>
          </w:r>
          <w:r>
            <w:tab/>
          </w:r>
          <w:bookmarkStart w:id="16" w:name="_Toc28766_WPSOffice_Level2Page"/>
          <w:r>
            <w:t>1</w:t>
          </w:r>
          <w:bookmarkEnd w:id="16"/>
          <w:r>
            <w:rPr>
              <w:rFonts w:hint="eastAsia"/>
              <w:lang w:val="en-US" w:eastAsia="zh-CN"/>
            </w:rPr>
            <w:t>1</w:t>
          </w:r>
          <w:r>
            <w:fldChar w:fldCharType="end"/>
          </w:r>
        </w:p>
        <w:p>
          <w:pPr>
            <w:pStyle w:val="37"/>
            <w:tabs>
              <w:tab w:val="right" w:leader="dot" w:pos="8306"/>
            </w:tabs>
            <w:ind w:left="420"/>
          </w:pPr>
          <w:r>
            <w:fldChar w:fldCharType="begin"/>
          </w:r>
          <w:r>
            <w:instrText xml:space="preserve"> HYPERLINK \l "_Toc18404_WPSOffice_Level2" </w:instrText>
          </w:r>
          <w:r>
            <w:fldChar w:fldCharType="separate"/>
          </w:r>
          <w:r>
            <w:rPr>
              <w:rFonts w:hint="eastAsia" w:ascii="黑体" w:hAnsi="黑体" w:eastAsia="黑体" w:cstheme="majorBidi"/>
            </w:rPr>
            <w:t>十、 其他重要事项的情况说明</w:t>
          </w:r>
          <w:r>
            <w:tab/>
          </w:r>
          <w:bookmarkStart w:id="17" w:name="_Toc18404_WPSOffice_Level2Page"/>
          <w:r>
            <w:t>1</w:t>
          </w:r>
          <w:bookmarkEnd w:id="17"/>
          <w:r>
            <w:rPr>
              <w:rFonts w:hint="eastAsia"/>
              <w:lang w:val="en-US" w:eastAsia="zh-CN"/>
            </w:rPr>
            <w:t>1</w:t>
          </w:r>
          <w:r>
            <w:fldChar w:fldCharType="end"/>
          </w:r>
        </w:p>
        <w:p>
          <w:pPr>
            <w:pStyle w:val="36"/>
            <w:tabs>
              <w:tab w:val="right" w:leader="dot" w:pos="8306"/>
            </w:tabs>
          </w:pPr>
          <w:r>
            <w:fldChar w:fldCharType="begin"/>
          </w:r>
          <w:r>
            <w:instrText xml:space="preserve"> HYPERLINK \l "_Toc29399_WPSOffice_Level1" </w:instrText>
          </w:r>
          <w:r>
            <w:fldChar w:fldCharType="separate"/>
          </w:r>
          <w:r>
            <w:rPr>
              <w:rFonts w:hint="eastAsia" w:ascii="黑体" w:hAnsi="黑体" w:eastAsia="黑体" w:cs="Times New Roman"/>
              <w:b/>
              <w:bCs/>
            </w:rPr>
            <w:t>第三部分 名词解释</w:t>
          </w:r>
          <w:r>
            <w:rPr>
              <w:b/>
              <w:bCs/>
            </w:rPr>
            <w:tab/>
          </w:r>
          <w:bookmarkStart w:id="18" w:name="_Toc29399_WPSOffice_Level1Page"/>
          <w:r>
            <w:rPr>
              <w:b/>
              <w:bCs/>
            </w:rPr>
            <w:t>1</w:t>
          </w:r>
          <w:bookmarkEnd w:id="18"/>
          <w:r>
            <w:rPr>
              <w:rFonts w:hint="eastAsia"/>
              <w:b/>
              <w:bCs/>
              <w:lang w:val="en-US" w:eastAsia="zh-CN"/>
            </w:rPr>
            <w:t>4</w:t>
          </w:r>
          <w:r>
            <w:rPr>
              <w:b/>
              <w:bCs/>
            </w:rPr>
            <w:fldChar w:fldCharType="end"/>
          </w:r>
        </w:p>
        <w:p>
          <w:pPr>
            <w:pStyle w:val="36"/>
            <w:tabs>
              <w:tab w:val="right" w:leader="dot" w:pos="8306"/>
            </w:tabs>
            <w:rPr>
              <w:rFonts w:hint="eastAsia" w:eastAsiaTheme="minorEastAsia"/>
              <w:lang w:val="en-US" w:eastAsia="zh-CN"/>
            </w:rPr>
          </w:pPr>
          <w:r>
            <w:fldChar w:fldCharType="begin"/>
          </w:r>
          <w:r>
            <w:instrText xml:space="preserve"> HYPERLINK \l "_Toc25982_WPSOffice_Level1" </w:instrText>
          </w:r>
          <w:r>
            <w:fldChar w:fldCharType="separate"/>
          </w:r>
          <w:r>
            <w:rPr>
              <w:rFonts w:hint="eastAsia" w:ascii="黑体" w:hAnsi="黑体" w:eastAsia="黑体" w:cs="Times New Roman"/>
              <w:b/>
              <w:bCs/>
            </w:rPr>
            <w:t>第四部分 附件</w:t>
          </w:r>
          <w:r>
            <w:rPr>
              <w:b/>
              <w:bCs/>
            </w:rPr>
            <w:tab/>
          </w:r>
          <w:r>
            <w:rPr>
              <w:rFonts w:hint="eastAsia"/>
              <w:b/>
              <w:bCs/>
              <w:lang w:val="en-US" w:eastAsia="zh-CN"/>
            </w:rPr>
            <w:t>1</w:t>
          </w:r>
          <w:r>
            <w:rPr>
              <w:b/>
              <w:bCs/>
            </w:rPr>
            <w:fldChar w:fldCharType="end"/>
          </w:r>
          <w:r>
            <w:rPr>
              <w:rFonts w:hint="eastAsia"/>
              <w:b/>
              <w:bCs/>
              <w:lang w:val="en-US" w:eastAsia="zh-CN"/>
            </w:rPr>
            <w:t>6</w:t>
          </w:r>
        </w:p>
        <w:p>
          <w:pPr>
            <w:pStyle w:val="36"/>
            <w:tabs>
              <w:tab w:val="right" w:leader="dot" w:pos="8306"/>
            </w:tabs>
          </w:pPr>
          <w:r>
            <w:fldChar w:fldCharType="begin"/>
          </w:r>
          <w:r>
            <w:instrText xml:space="preserve"> HYPERLINK \l "_Toc6039_WPSOffice_Level1" </w:instrText>
          </w:r>
          <w:r>
            <w:fldChar w:fldCharType="separate"/>
          </w:r>
          <w:r>
            <w:rPr>
              <w:rFonts w:hint="eastAsia" w:ascii="黑体" w:hAnsi="黑体" w:eastAsia="黑体" w:cs="Times New Roman"/>
              <w:b/>
              <w:bCs/>
            </w:rPr>
            <w:t>第五部分 附表</w:t>
          </w:r>
          <w:r>
            <w:rPr>
              <w:b/>
              <w:bCs/>
            </w:rPr>
            <w:tab/>
          </w:r>
          <w:bookmarkStart w:id="19" w:name="_Toc6039_WPSOffice_Level1Page"/>
          <w:r>
            <w:rPr>
              <w:b/>
              <w:bCs/>
            </w:rPr>
            <w:t>2</w:t>
          </w:r>
          <w:bookmarkEnd w:id="19"/>
          <w:r>
            <w:rPr>
              <w:rFonts w:hint="eastAsia"/>
              <w:b/>
              <w:bCs/>
              <w:lang w:val="en-US" w:eastAsia="zh-CN"/>
            </w:rPr>
            <w:t>2</w:t>
          </w:r>
          <w:r>
            <w:rPr>
              <w:b/>
              <w:bCs/>
            </w:rPr>
            <w:fldChar w:fldCharType="end"/>
          </w:r>
        </w:p>
        <w:p>
          <w:pPr>
            <w:pStyle w:val="37"/>
            <w:tabs>
              <w:tab w:val="right" w:leader="dot" w:pos="8306"/>
            </w:tabs>
            <w:ind w:left="420"/>
          </w:pPr>
          <w:r>
            <w:fldChar w:fldCharType="begin"/>
          </w:r>
          <w:r>
            <w:instrText xml:space="preserve"> HYPERLINK \l "_Toc32028_WPSOffice_Level2" </w:instrText>
          </w:r>
          <w:r>
            <w:fldChar w:fldCharType="separate"/>
          </w:r>
          <w:r>
            <w:rPr>
              <w:rFonts w:hint="eastAsia" w:ascii="仿宋" w:hAnsi="仿宋" w:eastAsia="仿宋" w:cstheme="majorBidi"/>
            </w:rPr>
            <w:t>一、收入支出决算总表</w:t>
          </w:r>
          <w:r>
            <w:tab/>
          </w:r>
          <w:bookmarkStart w:id="20" w:name="_Toc32028_WPSOffice_Level2Page"/>
          <w:r>
            <w:t>2</w:t>
          </w:r>
          <w:bookmarkEnd w:id="20"/>
          <w:r>
            <w:rPr>
              <w:rFonts w:hint="eastAsia"/>
              <w:lang w:val="en-US" w:eastAsia="zh-CN"/>
            </w:rPr>
            <w:t>2</w:t>
          </w:r>
          <w:r>
            <w:fldChar w:fldCharType="end"/>
          </w:r>
        </w:p>
        <w:p>
          <w:pPr>
            <w:pStyle w:val="37"/>
            <w:tabs>
              <w:tab w:val="right" w:leader="dot" w:pos="8306"/>
            </w:tabs>
            <w:ind w:left="420"/>
          </w:pPr>
          <w:r>
            <w:fldChar w:fldCharType="begin"/>
          </w:r>
          <w:r>
            <w:instrText xml:space="preserve"> HYPERLINK \l "_Toc8949_WPSOffice_Level2" </w:instrText>
          </w:r>
          <w:r>
            <w:fldChar w:fldCharType="separate"/>
          </w:r>
          <w:r>
            <w:rPr>
              <w:rFonts w:hint="eastAsia" w:ascii="仿宋" w:hAnsi="仿宋" w:eastAsia="仿宋" w:cstheme="majorBidi"/>
            </w:rPr>
            <w:t>二、 收入决算表</w:t>
          </w:r>
          <w:r>
            <w:tab/>
          </w:r>
          <w:bookmarkStart w:id="21" w:name="_Toc8949_WPSOffice_Level2Page"/>
          <w:r>
            <w:t>2</w:t>
          </w:r>
          <w:bookmarkEnd w:id="21"/>
          <w:r>
            <w:rPr>
              <w:rFonts w:hint="eastAsia"/>
              <w:lang w:val="en-US" w:eastAsia="zh-CN"/>
            </w:rPr>
            <w:t>2</w:t>
          </w:r>
          <w:r>
            <w:fldChar w:fldCharType="end"/>
          </w:r>
        </w:p>
        <w:p>
          <w:pPr>
            <w:pStyle w:val="37"/>
            <w:tabs>
              <w:tab w:val="right" w:leader="dot" w:pos="8306"/>
            </w:tabs>
            <w:ind w:left="420"/>
          </w:pPr>
          <w:r>
            <w:fldChar w:fldCharType="begin"/>
          </w:r>
          <w:r>
            <w:instrText xml:space="preserve"> HYPERLINK \l "_Toc13179_WPSOffice_Level2" </w:instrText>
          </w:r>
          <w:r>
            <w:fldChar w:fldCharType="separate"/>
          </w:r>
          <w:r>
            <w:rPr>
              <w:rFonts w:hint="eastAsia" w:ascii="仿宋" w:hAnsi="仿宋" w:eastAsia="仿宋" w:cstheme="majorBidi"/>
            </w:rPr>
            <w:t>三、 支出决算表</w:t>
          </w:r>
          <w:r>
            <w:tab/>
          </w:r>
          <w:bookmarkStart w:id="22" w:name="_Toc13179_WPSOffice_Level2Page"/>
          <w:r>
            <w:t>2</w:t>
          </w:r>
          <w:bookmarkEnd w:id="22"/>
          <w:r>
            <w:rPr>
              <w:rFonts w:hint="eastAsia"/>
              <w:lang w:val="en-US" w:eastAsia="zh-CN"/>
            </w:rPr>
            <w:t>3</w:t>
          </w:r>
          <w:r>
            <w:fldChar w:fldCharType="end"/>
          </w:r>
        </w:p>
        <w:p>
          <w:pPr>
            <w:pStyle w:val="37"/>
            <w:tabs>
              <w:tab w:val="right" w:leader="dot" w:pos="8306"/>
            </w:tabs>
            <w:ind w:left="420"/>
          </w:pPr>
          <w:r>
            <w:fldChar w:fldCharType="begin"/>
          </w:r>
          <w:r>
            <w:instrText xml:space="preserve"> HYPERLINK \l "_Toc29995_WPSOffice_Level2" </w:instrText>
          </w:r>
          <w:r>
            <w:fldChar w:fldCharType="separate"/>
          </w:r>
          <w:r>
            <w:rPr>
              <w:rFonts w:hint="eastAsia" w:ascii="仿宋" w:hAnsi="仿宋" w:eastAsia="仿宋" w:cstheme="majorBidi"/>
            </w:rPr>
            <w:t>四、 财政拨款收入支出决算总表</w:t>
          </w:r>
          <w:r>
            <w:tab/>
          </w:r>
          <w:bookmarkStart w:id="23" w:name="_Toc29995_WPSOffice_Level2Page"/>
          <w:r>
            <w:t>2</w:t>
          </w:r>
          <w:bookmarkEnd w:id="23"/>
          <w:r>
            <w:rPr>
              <w:rFonts w:hint="eastAsia"/>
              <w:lang w:val="en-US" w:eastAsia="zh-CN"/>
            </w:rPr>
            <w:t>3</w:t>
          </w:r>
          <w:r>
            <w:fldChar w:fldCharType="end"/>
          </w:r>
        </w:p>
        <w:p>
          <w:pPr>
            <w:pStyle w:val="37"/>
            <w:tabs>
              <w:tab w:val="right" w:leader="dot" w:pos="8306"/>
            </w:tabs>
            <w:ind w:left="420"/>
          </w:pPr>
          <w:r>
            <w:fldChar w:fldCharType="begin"/>
          </w:r>
          <w:r>
            <w:instrText xml:space="preserve"> HYPERLINK \l "_Toc10759_WPSOffice_Level2" </w:instrText>
          </w:r>
          <w:r>
            <w:fldChar w:fldCharType="separate"/>
          </w:r>
          <w:r>
            <w:rPr>
              <w:rFonts w:hint="eastAsia" w:ascii="仿宋" w:hAnsi="仿宋" w:eastAsia="仿宋" w:cstheme="majorBidi"/>
            </w:rPr>
            <w:t>五、 财政拨款支出决算明细表</w:t>
          </w:r>
          <w:r>
            <w:tab/>
          </w:r>
          <w:bookmarkStart w:id="24" w:name="_Toc10759_WPSOffice_Level2Page"/>
          <w:r>
            <w:t>2</w:t>
          </w:r>
          <w:bookmarkEnd w:id="24"/>
          <w:r>
            <w:rPr>
              <w:rFonts w:hint="eastAsia"/>
              <w:lang w:val="en-US" w:eastAsia="zh-CN"/>
            </w:rPr>
            <w:t>3</w:t>
          </w:r>
          <w:r>
            <w:fldChar w:fldCharType="end"/>
          </w:r>
        </w:p>
        <w:p>
          <w:pPr>
            <w:pStyle w:val="37"/>
            <w:tabs>
              <w:tab w:val="right" w:leader="dot" w:pos="8306"/>
            </w:tabs>
            <w:ind w:left="420"/>
          </w:pPr>
          <w:r>
            <w:fldChar w:fldCharType="begin"/>
          </w:r>
          <w:r>
            <w:instrText xml:space="preserve"> HYPERLINK \l "_Toc25246_WPSOffice_Level2" </w:instrText>
          </w:r>
          <w:r>
            <w:fldChar w:fldCharType="separate"/>
          </w:r>
          <w:r>
            <w:rPr>
              <w:rFonts w:hint="eastAsia" w:ascii="仿宋" w:hAnsi="仿宋" w:eastAsia="仿宋" w:cstheme="majorBidi"/>
            </w:rPr>
            <w:t>六、 一般公共预算财政拨款支出决算表</w:t>
          </w:r>
          <w:r>
            <w:tab/>
          </w:r>
          <w:bookmarkStart w:id="25" w:name="_Toc25246_WPSOffice_Level2Page"/>
          <w:r>
            <w:t>2</w:t>
          </w:r>
          <w:bookmarkEnd w:id="25"/>
          <w:r>
            <w:rPr>
              <w:rFonts w:hint="eastAsia"/>
              <w:lang w:val="en-US" w:eastAsia="zh-CN"/>
            </w:rPr>
            <w:t>5</w:t>
          </w:r>
          <w:r>
            <w:fldChar w:fldCharType="end"/>
          </w:r>
        </w:p>
        <w:p>
          <w:pPr>
            <w:pStyle w:val="37"/>
            <w:tabs>
              <w:tab w:val="right" w:leader="dot" w:pos="8306"/>
            </w:tabs>
            <w:ind w:left="420"/>
          </w:pPr>
          <w:r>
            <w:fldChar w:fldCharType="begin"/>
          </w:r>
          <w:r>
            <w:instrText xml:space="preserve"> HYPERLINK \l "_Toc9353_WPSOffice_Level2" </w:instrText>
          </w:r>
          <w:r>
            <w:fldChar w:fldCharType="separate"/>
          </w:r>
          <w:r>
            <w:rPr>
              <w:rFonts w:hint="eastAsia" w:ascii="仿宋" w:hAnsi="仿宋" w:eastAsia="仿宋" w:cstheme="majorBidi"/>
            </w:rPr>
            <w:t>七、 一般公共预算财政拨款支出决算明细表</w:t>
          </w:r>
          <w:r>
            <w:tab/>
          </w:r>
          <w:bookmarkStart w:id="26" w:name="_Toc9353_WPSOffice_Level2Page"/>
          <w:r>
            <w:t>2</w:t>
          </w:r>
          <w:bookmarkEnd w:id="26"/>
          <w:r>
            <w:rPr>
              <w:rFonts w:hint="eastAsia"/>
              <w:lang w:val="en-US" w:eastAsia="zh-CN"/>
            </w:rPr>
            <w:t>5</w:t>
          </w:r>
          <w:r>
            <w:fldChar w:fldCharType="end"/>
          </w:r>
        </w:p>
        <w:p>
          <w:pPr>
            <w:pStyle w:val="37"/>
            <w:tabs>
              <w:tab w:val="right" w:leader="dot" w:pos="8306"/>
            </w:tabs>
            <w:ind w:left="420"/>
          </w:pPr>
          <w:r>
            <w:fldChar w:fldCharType="begin"/>
          </w:r>
          <w:r>
            <w:instrText xml:space="preserve"> HYPERLINK \l "_Toc2087_WPSOffice_Level2" </w:instrText>
          </w:r>
          <w:r>
            <w:fldChar w:fldCharType="separate"/>
          </w:r>
          <w:r>
            <w:rPr>
              <w:rFonts w:hint="eastAsia" w:ascii="仿宋" w:hAnsi="仿宋" w:eastAsia="仿宋" w:cstheme="majorBidi"/>
            </w:rPr>
            <w:t>八、 一般公共预算财政拨款基本支出决算表</w:t>
          </w:r>
          <w:r>
            <w:tab/>
          </w:r>
          <w:bookmarkStart w:id="27" w:name="_Toc2087_WPSOffice_Level2Page"/>
          <w:r>
            <w:t>2</w:t>
          </w:r>
          <w:bookmarkEnd w:id="27"/>
          <w:r>
            <w:rPr>
              <w:rFonts w:hint="eastAsia"/>
              <w:lang w:val="en-US" w:eastAsia="zh-CN"/>
            </w:rPr>
            <w:t>7</w:t>
          </w:r>
          <w:r>
            <w:fldChar w:fldCharType="end"/>
          </w:r>
        </w:p>
        <w:p>
          <w:pPr>
            <w:pStyle w:val="37"/>
            <w:tabs>
              <w:tab w:val="right" w:leader="dot" w:pos="8306"/>
            </w:tabs>
            <w:ind w:left="420"/>
            <w:rPr>
              <w:rFonts w:hint="eastAsia" w:eastAsiaTheme="minorEastAsia"/>
              <w:lang w:val="en-US" w:eastAsia="zh-CN"/>
            </w:rPr>
          </w:pPr>
          <w:r>
            <w:fldChar w:fldCharType="begin"/>
          </w:r>
          <w:r>
            <w:instrText xml:space="preserve"> HYPERLINK \l "_Toc23521_WPSOffice_Level2" </w:instrText>
          </w:r>
          <w:r>
            <w:fldChar w:fldCharType="separate"/>
          </w:r>
          <w:r>
            <w:rPr>
              <w:rFonts w:hint="eastAsia" w:ascii="仿宋" w:hAnsi="仿宋" w:eastAsia="仿宋" w:cstheme="majorBidi"/>
            </w:rPr>
            <w:t>九、 一般公共预算财政拨款项目支出决算表</w:t>
          </w:r>
          <w:r>
            <w:tab/>
          </w:r>
          <w:r>
            <w:rPr>
              <w:rFonts w:hint="eastAsia"/>
              <w:lang w:val="en-US" w:eastAsia="zh-CN"/>
            </w:rPr>
            <w:t>2</w:t>
          </w:r>
          <w:r>
            <w:fldChar w:fldCharType="end"/>
          </w:r>
          <w:r>
            <w:rPr>
              <w:rFonts w:hint="eastAsia"/>
              <w:lang w:val="en-US" w:eastAsia="zh-CN"/>
            </w:rPr>
            <w:t>7</w:t>
          </w:r>
        </w:p>
        <w:p>
          <w:pPr>
            <w:pStyle w:val="37"/>
            <w:tabs>
              <w:tab w:val="right" w:leader="dot" w:pos="8306"/>
            </w:tabs>
            <w:ind w:left="420"/>
            <w:rPr>
              <w:rFonts w:hint="eastAsia" w:eastAsiaTheme="minorEastAsia"/>
              <w:lang w:val="en-US" w:eastAsia="zh-CN"/>
            </w:rPr>
          </w:pPr>
          <w:r>
            <w:fldChar w:fldCharType="begin"/>
          </w:r>
          <w:r>
            <w:instrText xml:space="preserve"> HYPERLINK \l "_Toc13545_WPSOffice_Level2" </w:instrText>
          </w:r>
          <w:r>
            <w:fldChar w:fldCharType="separate"/>
          </w:r>
          <w:r>
            <w:rPr>
              <w:rFonts w:hint="eastAsia" w:ascii="仿宋" w:hAnsi="仿宋" w:eastAsia="仿宋" w:cstheme="majorBidi"/>
            </w:rPr>
            <w:t>十、 政府性基金预算财政拨款收入支出决算表</w:t>
          </w:r>
          <w:r>
            <w:tab/>
          </w:r>
          <w:r>
            <w:rPr>
              <w:rFonts w:hint="eastAsia"/>
              <w:lang w:val="en-US" w:eastAsia="zh-CN"/>
            </w:rPr>
            <w:t>2</w:t>
          </w:r>
          <w:r>
            <w:fldChar w:fldCharType="end"/>
          </w:r>
          <w:r>
            <w:rPr>
              <w:rFonts w:hint="eastAsia"/>
              <w:lang w:val="en-US" w:eastAsia="zh-CN"/>
            </w:rPr>
            <w:t>7</w:t>
          </w:r>
        </w:p>
        <w:p>
          <w:pPr>
            <w:pStyle w:val="37"/>
            <w:tabs>
              <w:tab w:val="right" w:leader="dot" w:pos="8306"/>
            </w:tabs>
            <w:ind w:left="420"/>
            <w:rPr>
              <w:rFonts w:hint="eastAsia" w:eastAsiaTheme="minorEastAsia"/>
              <w:lang w:val="en-US" w:eastAsia="zh-CN"/>
            </w:rPr>
          </w:pPr>
          <w:r>
            <w:fldChar w:fldCharType="begin"/>
          </w:r>
          <w:r>
            <w:instrText xml:space="preserve"> HYPERLINK \l "_Toc32094_WPSOffice_Level2" </w:instrText>
          </w:r>
          <w:r>
            <w:fldChar w:fldCharType="separate"/>
          </w:r>
          <w:r>
            <w:rPr>
              <w:rFonts w:hint="eastAsia" w:ascii="仿宋" w:hAnsi="仿宋" w:eastAsia="仿宋" w:cstheme="majorBidi"/>
            </w:rPr>
            <w:t>十一、 国有资本经营预算财政拨款收入支出决算表</w:t>
          </w:r>
          <w:r>
            <w:tab/>
          </w:r>
          <w:r>
            <w:rPr>
              <w:rFonts w:hint="eastAsia"/>
              <w:lang w:val="en-US" w:eastAsia="zh-CN"/>
            </w:rPr>
            <w:t>2</w:t>
          </w:r>
          <w:r>
            <w:fldChar w:fldCharType="end"/>
          </w:r>
          <w:r>
            <w:rPr>
              <w:rFonts w:hint="eastAsia"/>
              <w:lang w:val="en-US" w:eastAsia="zh-CN"/>
            </w:rPr>
            <w:t>8</w:t>
          </w:r>
        </w:p>
        <w:p>
          <w:pPr>
            <w:pStyle w:val="37"/>
            <w:tabs>
              <w:tab w:val="right" w:leader="dot" w:pos="8306"/>
            </w:tabs>
            <w:ind w:left="420"/>
            <w:rPr>
              <w:rFonts w:hint="eastAsia" w:eastAsiaTheme="minorEastAsia"/>
              <w:lang w:val="en-US" w:eastAsia="zh-CN"/>
            </w:rPr>
          </w:pPr>
          <w:r>
            <w:fldChar w:fldCharType="begin"/>
          </w:r>
          <w:r>
            <w:instrText xml:space="preserve"> HYPERLINK \l "_Toc30918_WPSOffice_Level2" </w:instrText>
          </w:r>
          <w:r>
            <w:fldChar w:fldCharType="separate"/>
          </w:r>
          <w:r>
            <w:rPr>
              <w:rFonts w:hint="eastAsia" w:ascii="仿宋" w:hAnsi="仿宋" w:eastAsia="仿宋" w:cstheme="majorBidi"/>
            </w:rPr>
            <w:t>十二、 国有资本经营预算财政拨款支出决算表</w:t>
          </w:r>
          <w:r>
            <w:tab/>
          </w:r>
          <w:r>
            <w:rPr>
              <w:rFonts w:hint="eastAsia"/>
              <w:lang w:val="en-US" w:eastAsia="zh-CN"/>
            </w:rPr>
            <w:t>2</w:t>
          </w:r>
          <w:r>
            <w:fldChar w:fldCharType="end"/>
          </w:r>
          <w:r>
            <w:rPr>
              <w:rFonts w:hint="eastAsia"/>
              <w:lang w:val="en-US" w:eastAsia="zh-CN"/>
            </w:rPr>
            <w:t>8</w:t>
          </w:r>
          <w:bookmarkStart w:id="116" w:name="_GoBack"/>
          <w:bookmarkEnd w:id="116"/>
        </w:p>
        <w:p>
          <w:pPr>
            <w:pStyle w:val="37"/>
            <w:tabs>
              <w:tab w:val="right" w:leader="dot" w:pos="8306"/>
            </w:tabs>
            <w:ind w:left="420"/>
          </w:pPr>
          <w:r>
            <w:fldChar w:fldCharType="begin"/>
          </w:r>
          <w:r>
            <w:instrText xml:space="preserve"> HYPERLINK \l "_Toc1916_WPSOffice_Level2" </w:instrText>
          </w:r>
          <w:r>
            <w:fldChar w:fldCharType="separate"/>
          </w:r>
          <w:r>
            <w:rPr>
              <w:rFonts w:hint="eastAsia" w:ascii="仿宋" w:hAnsi="仿宋" w:eastAsia="仿宋" w:cstheme="majorBidi"/>
            </w:rPr>
            <w:t>十三、 财政拨款“三公”经费支出决算表</w:t>
          </w:r>
          <w:r>
            <w:tab/>
          </w:r>
          <w:r>
            <w:rPr>
              <w:rFonts w:hint="eastAsia"/>
              <w:lang w:val="en-US" w:eastAsia="zh-CN"/>
            </w:rPr>
            <w:t>2</w:t>
          </w:r>
          <w:r>
            <w:fldChar w:fldCharType="end"/>
          </w:r>
          <w:r>
            <w:rPr>
              <w:rFonts w:hint="eastAsia"/>
              <w:lang w:val="en-US" w:eastAsia="zh-CN"/>
            </w:rPr>
            <w:t>8</w:t>
          </w:r>
        </w:p>
      </w:sdtContent>
    </w:sdt>
    <w:p>
      <w:pPr>
        <w:pStyle w:val="3"/>
        <w:rPr>
          <w:rFonts w:ascii="黑体" w:hAnsi="黑体" w:eastAsia="黑体"/>
          <w:b w:val="0"/>
        </w:rPr>
      </w:pPr>
      <w:bookmarkStart w:id="28" w:name="_Toc31427_WPSOffice_Level1"/>
    </w:p>
    <w:p/>
    <w:p>
      <w:pPr>
        <w:jc w:val="center"/>
        <w:rPr>
          <w:rFonts w:eastAsia="方正小标宋_GBK"/>
          <w:sz w:val="44"/>
          <w:szCs w:val="44"/>
        </w:rPr>
      </w:pPr>
      <w:r>
        <w:rPr>
          <w:rFonts w:eastAsia="方正小标宋_GBK"/>
          <w:sz w:val="44"/>
          <w:szCs w:val="44"/>
        </w:rPr>
        <w:t>第一部分 部门概况</w:t>
      </w:r>
      <w:bookmarkEnd w:id="12"/>
      <w:bookmarkEnd w:id="13"/>
      <w:bookmarkEnd w:id="28"/>
    </w:p>
    <w:p/>
    <w:p>
      <w:pPr>
        <w:spacing w:line="560" w:lineRule="exact"/>
        <w:ind w:firstLine="640" w:firstLineChars="200"/>
        <w:rPr>
          <w:rFonts w:eastAsia="黑体"/>
          <w:sz w:val="32"/>
          <w:szCs w:val="32"/>
        </w:rPr>
      </w:pPr>
      <w:bookmarkStart w:id="29" w:name="_Toc25796_WPSOffice_Level2"/>
      <w:r>
        <w:rPr>
          <w:rFonts w:eastAsia="黑体"/>
          <w:sz w:val="32"/>
          <w:szCs w:val="32"/>
        </w:rPr>
        <w:t>一、部门职责</w:t>
      </w:r>
      <w:bookmarkEnd w:id="29"/>
    </w:p>
    <w:p>
      <w:pPr>
        <w:spacing w:line="560" w:lineRule="exact"/>
        <w:ind w:firstLine="640" w:firstLineChars="200"/>
        <w:rPr>
          <w:rFonts w:eastAsia="仿宋_GB2312"/>
          <w:sz w:val="32"/>
          <w:szCs w:val="32"/>
        </w:rPr>
      </w:pPr>
      <w:r>
        <w:rPr>
          <w:rFonts w:eastAsia="仿宋_GB2312"/>
          <w:sz w:val="32"/>
          <w:szCs w:val="32"/>
        </w:rPr>
        <w:t>机构类别为公益一类，负责财政国库集中支付相关事务性工作，积极推进国库管理制度改革，加强各项财政资金的管理，及时掌握资金动态，确保资金运行安全。</w:t>
      </w:r>
    </w:p>
    <w:p>
      <w:pPr>
        <w:spacing w:line="560" w:lineRule="exact"/>
        <w:ind w:firstLine="640" w:firstLineChars="200"/>
        <w:rPr>
          <w:rFonts w:eastAsia="仿宋_GB2312"/>
          <w:sz w:val="32"/>
          <w:szCs w:val="32"/>
        </w:rPr>
      </w:pPr>
      <w:r>
        <w:rPr>
          <w:rFonts w:eastAsia="仿宋_GB2312"/>
          <w:sz w:val="32"/>
          <w:szCs w:val="32"/>
        </w:rPr>
        <w:t>1.配合财政国库管理部门建立财政国库单一账户体系，管理和使用国库单一账户体系有关账户，包括财政零余额账户，特设专户等。</w:t>
      </w:r>
    </w:p>
    <w:p>
      <w:pPr>
        <w:spacing w:line="560" w:lineRule="exact"/>
        <w:ind w:firstLine="640" w:firstLineChars="200"/>
        <w:rPr>
          <w:rFonts w:eastAsia="仿宋_GB2312"/>
          <w:sz w:val="32"/>
          <w:szCs w:val="32"/>
        </w:rPr>
      </w:pPr>
      <w:r>
        <w:rPr>
          <w:rFonts w:eastAsia="仿宋_GB2312"/>
          <w:sz w:val="32"/>
          <w:szCs w:val="32"/>
        </w:rPr>
        <w:t>2.根据国库股批复的预算单位用款计划，审核预算单位的支付申请，及时办理单位财政资金支付业务，按时完成全县工资的发放。</w:t>
      </w:r>
    </w:p>
    <w:p>
      <w:pPr>
        <w:spacing w:line="560" w:lineRule="exact"/>
        <w:ind w:firstLine="640" w:firstLineChars="200"/>
        <w:rPr>
          <w:rFonts w:eastAsia="仿宋_GB2312"/>
          <w:sz w:val="32"/>
          <w:szCs w:val="32"/>
        </w:rPr>
      </w:pPr>
      <w:r>
        <w:rPr>
          <w:rFonts w:eastAsia="仿宋_GB2312"/>
          <w:sz w:val="32"/>
          <w:szCs w:val="32"/>
        </w:rPr>
        <w:t>3.配合推进国库管理制度的改革，按照中央、省、市财政对改革的具体要求，进一步优化业务流程、规范支付方式，积极推进预算管理一体化系统服务运行。</w:t>
      </w:r>
    </w:p>
    <w:p>
      <w:pPr>
        <w:spacing w:line="560" w:lineRule="exact"/>
        <w:ind w:firstLine="640" w:firstLineChars="200"/>
        <w:rPr>
          <w:rFonts w:eastAsia="仿宋_GB2312"/>
          <w:sz w:val="32"/>
          <w:szCs w:val="32"/>
        </w:rPr>
      </w:pPr>
      <w:r>
        <w:rPr>
          <w:rFonts w:eastAsia="仿宋_GB2312"/>
          <w:sz w:val="32"/>
          <w:szCs w:val="32"/>
        </w:rPr>
        <w:t>4.负责对财政资金支出进行动态监控，设定并完善动态监控预警规则，对存在疑点或违规问题进行核查并及时向相关预算单位提出处理意见或建议。</w:t>
      </w:r>
    </w:p>
    <w:p>
      <w:pPr>
        <w:spacing w:line="560" w:lineRule="exact"/>
        <w:ind w:firstLine="640" w:firstLineChars="200"/>
        <w:rPr>
          <w:rFonts w:eastAsia="仿宋_GB2312"/>
          <w:sz w:val="32"/>
          <w:szCs w:val="32"/>
        </w:rPr>
      </w:pPr>
      <w:r>
        <w:rPr>
          <w:rFonts w:eastAsia="仿宋_GB2312"/>
          <w:sz w:val="32"/>
          <w:szCs w:val="32"/>
        </w:rPr>
        <w:t>5.负责财政国库支付的财务核算，定期与国库股、代理银行对账。</w:t>
      </w:r>
    </w:p>
    <w:p>
      <w:pPr>
        <w:spacing w:line="560" w:lineRule="exact"/>
        <w:ind w:firstLine="640" w:firstLineChars="200"/>
        <w:rPr>
          <w:rFonts w:eastAsia="仿宋_GB2312"/>
          <w:sz w:val="32"/>
          <w:szCs w:val="32"/>
        </w:rPr>
      </w:pPr>
      <w:r>
        <w:rPr>
          <w:rFonts w:eastAsia="仿宋_GB2312"/>
          <w:sz w:val="32"/>
          <w:szCs w:val="32"/>
        </w:rPr>
        <w:t>6.负责财政零余额账户，预算单位零余额账户的资金清算工作。</w:t>
      </w:r>
    </w:p>
    <w:p>
      <w:pPr>
        <w:spacing w:line="560" w:lineRule="exact"/>
        <w:ind w:firstLine="640" w:firstLineChars="200"/>
        <w:rPr>
          <w:rFonts w:eastAsia="黑体"/>
          <w:sz w:val="32"/>
          <w:szCs w:val="32"/>
        </w:rPr>
      </w:pPr>
      <w:bookmarkStart w:id="30" w:name="_Toc29399_WPSOffice_Level2"/>
      <w:bookmarkStart w:id="31" w:name="_Toc15377200"/>
      <w:bookmarkStart w:id="32" w:name="_Toc15396601"/>
      <w:r>
        <w:rPr>
          <w:rFonts w:eastAsia="黑体"/>
          <w:sz w:val="32"/>
          <w:szCs w:val="32"/>
        </w:rPr>
        <w:t>二、机构设置</w:t>
      </w:r>
      <w:bookmarkEnd w:id="30"/>
      <w:bookmarkEnd w:id="31"/>
      <w:bookmarkEnd w:id="32"/>
    </w:p>
    <w:p>
      <w:pPr>
        <w:spacing w:line="560" w:lineRule="exact"/>
        <w:ind w:firstLine="640" w:firstLineChars="200"/>
        <w:rPr>
          <w:rFonts w:eastAsia="仿宋_GB2312"/>
          <w:sz w:val="32"/>
          <w:szCs w:val="32"/>
        </w:rPr>
      </w:pPr>
      <w:r>
        <w:rPr>
          <w:rFonts w:eastAsia="仿宋_GB2312"/>
          <w:sz w:val="32"/>
          <w:szCs w:val="32"/>
        </w:rPr>
        <w:t>盐边县财政国库支付中心为参照公务员法管理的全额拨款事业单位。</w:t>
      </w:r>
    </w:p>
    <w:p>
      <w:pPr>
        <w:spacing w:line="560" w:lineRule="exact"/>
        <w:ind w:firstLine="640" w:firstLineChars="200"/>
        <w:rPr>
          <w:rFonts w:eastAsia="仿宋_GB2312"/>
          <w:sz w:val="32"/>
          <w:szCs w:val="32"/>
        </w:rPr>
      </w:pPr>
      <w:r>
        <w:rPr>
          <w:rFonts w:eastAsia="仿宋_GB2312"/>
          <w:sz w:val="32"/>
          <w:szCs w:val="32"/>
        </w:rPr>
        <w:t>盐边县财政国库支付中心下属二级预算单位0个，其中行政单位0个，参照公务员法管理的事业单位0个，其他事业单位0个。</w:t>
      </w:r>
    </w:p>
    <w:p/>
    <w:p>
      <w:r>
        <w:br w:type="page"/>
      </w:r>
    </w:p>
    <w:p>
      <w:pPr>
        <w:jc w:val="center"/>
        <w:rPr>
          <w:rFonts w:eastAsia="方正小标宋_GBK"/>
          <w:sz w:val="44"/>
          <w:szCs w:val="44"/>
        </w:rPr>
      </w:pPr>
      <w:bookmarkStart w:id="33" w:name="_Toc25796_WPSOffice_Level1"/>
      <w:bookmarkStart w:id="34" w:name="_Toc15396602"/>
      <w:bookmarkStart w:id="35" w:name="_Toc15377204"/>
      <w:r>
        <w:rPr>
          <w:rFonts w:eastAsia="方正小标宋_GBK"/>
          <w:sz w:val="44"/>
          <w:szCs w:val="44"/>
        </w:rPr>
        <w:t>第二部分 2022年度部门决算情况说明</w:t>
      </w:r>
      <w:bookmarkEnd w:id="33"/>
      <w:bookmarkEnd w:id="34"/>
      <w:bookmarkEnd w:id="35"/>
    </w:p>
    <w:p/>
    <w:p>
      <w:pPr>
        <w:spacing w:line="560" w:lineRule="exact"/>
        <w:ind w:firstLine="640" w:firstLineChars="200"/>
        <w:rPr>
          <w:rFonts w:eastAsia="黑体"/>
          <w:sz w:val="32"/>
          <w:szCs w:val="32"/>
        </w:rPr>
      </w:pPr>
      <w:bookmarkStart w:id="36" w:name="_Toc15396603"/>
      <w:bookmarkStart w:id="37" w:name="_Toc15377205"/>
      <w:bookmarkStart w:id="38" w:name="_Toc25982_WPSOffice_Level2"/>
      <w:r>
        <w:rPr>
          <w:rFonts w:eastAsia="黑体"/>
          <w:sz w:val="32"/>
          <w:szCs w:val="32"/>
        </w:rPr>
        <w:t>一、收入支出决算总体情况说明</w:t>
      </w:r>
      <w:bookmarkEnd w:id="36"/>
      <w:bookmarkEnd w:id="37"/>
      <w:bookmarkEnd w:id="38"/>
    </w:p>
    <w:p>
      <w:pPr>
        <w:spacing w:line="560" w:lineRule="exact"/>
        <w:ind w:firstLine="640" w:firstLineChars="200"/>
        <w:rPr>
          <w:rFonts w:eastAsia="仿宋_GB2312"/>
          <w:sz w:val="32"/>
          <w:szCs w:val="32"/>
        </w:rPr>
      </w:pPr>
      <w:r>
        <w:rPr>
          <w:rFonts w:eastAsia="仿宋_GB2312"/>
          <w:sz w:val="32"/>
          <w:szCs w:val="32"/>
        </w:rPr>
        <w:t>2022年度收、支总计286.36万元。与2021年相比，收、支总计各增加28.59万元，增长11.1%。主要变动原因是基础性绩效纳入工资发放增加了人员经费支出。</w:t>
      </w:r>
    </w:p>
    <w:p>
      <w:pPr>
        <w:pStyle w:val="7"/>
        <w:rPr>
          <w:rFonts w:ascii="仿宋_GB2312" w:eastAsia="仿宋_GB2312"/>
          <w:sz w:val="32"/>
          <w:szCs w:val="32"/>
        </w:rPr>
      </w:pPr>
      <w:r>
        <w:drawing>
          <wp:inline distT="0" distB="0" distL="114300" distR="114300">
            <wp:extent cx="5271135" cy="3058160"/>
            <wp:effectExtent l="4445" t="4445" r="20320" b="23495"/>
            <wp:docPr id="2387"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560" w:lineRule="exact"/>
        <w:ind w:firstLine="640" w:firstLineChars="200"/>
        <w:rPr>
          <w:rFonts w:eastAsia="黑体"/>
          <w:sz w:val="32"/>
          <w:szCs w:val="32"/>
        </w:rPr>
      </w:pPr>
      <w:bookmarkStart w:id="39" w:name="_Toc6039_WPSOffice_Level2"/>
      <w:bookmarkStart w:id="40" w:name="_Toc15396604"/>
      <w:bookmarkStart w:id="41" w:name="_Toc15377206"/>
      <w:r>
        <w:rPr>
          <w:rFonts w:eastAsia="黑体"/>
          <w:sz w:val="32"/>
          <w:szCs w:val="32"/>
        </w:rPr>
        <w:t>二、收入决算情况说明</w:t>
      </w:r>
      <w:bookmarkEnd w:id="39"/>
      <w:bookmarkEnd w:id="40"/>
      <w:bookmarkEnd w:id="41"/>
    </w:p>
    <w:p>
      <w:pPr>
        <w:spacing w:line="560" w:lineRule="exact"/>
        <w:ind w:firstLine="640" w:firstLineChars="200"/>
        <w:rPr>
          <w:rFonts w:eastAsia="仿宋_GB2312"/>
          <w:sz w:val="32"/>
          <w:szCs w:val="32"/>
        </w:rPr>
      </w:pPr>
      <w:r>
        <w:rPr>
          <w:rFonts w:eastAsia="仿宋_GB2312"/>
          <w:sz w:val="32"/>
          <w:szCs w:val="32"/>
        </w:rPr>
        <w:t>2022年本年收入合计286.36万元，其中：一般公共预算财政拨款收入286.36万元，占100%；政府性基金预算财政拨款收入0万元，占0%；国有资本经营预算财政拨款收入0万元，占0%；上级补助收入0万元，占0%；事业收入0万元，占0%；经营收入0万元，占0%；附属单位上缴收入0万元，占0%；其他收入0万元，占0%。</w:t>
      </w:r>
    </w:p>
    <w:p>
      <w:pPr>
        <w:rPr>
          <w:rFonts w:ascii="仿宋_GB2312" w:eastAsia="仿宋_GB2312"/>
          <w:sz w:val="32"/>
          <w:szCs w:val="32"/>
        </w:rPr>
      </w:pPr>
    </w:p>
    <w:p>
      <w:pPr>
        <w:pStyle w:val="7"/>
        <w:rPr>
          <w:rFonts w:ascii="仿宋_GB2312" w:eastAsia="仿宋_GB2312"/>
          <w:sz w:val="32"/>
          <w:szCs w:val="32"/>
        </w:rPr>
      </w:pPr>
      <w:r>
        <w:drawing>
          <wp:inline distT="0" distB="0" distL="114300" distR="114300">
            <wp:extent cx="5269865" cy="2985770"/>
            <wp:effectExtent l="4445" t="4445" r="21590" b="19685"/>
            <wp:docPr id="238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7"/>
      </w:pPr>
    </w:p>
    <w:p>
      <w:pPr>
        <w:spacing w:line="560" w:lineRule="exact"/>
        <w:ind w:firstLine="640" w:firstLineChars="200"/>
        <w:rPr>
          <w:rFonts w:eastAsia="黑体"/>
          <w:sz w:val="32"/>
          <w:szCs w:val="32"/>
        </w:rPr>
      </w:pPr>
      <w:bookmarkStart w:id="42" w:name="_Toc273_WPSOffice_Level2"/>
      <w:bookmarkStart w:id="43" w:name="_Toc15396605"/>
      <w:bookmarkStart w:id="44" w:name="_Toc15377207"/>
      <w:r>
        <w:rPr>
          <w:rFonts w:eastAsia="黑体"/>
          <w:sz w:val="32"/>
          <w:szCs w:val="32"/>
        </w:rPr>
        <w:t>三、支出决算情况说明</w:t>
      </w:r>
      <w:bookmarkEnd w:id="42"/>
      <w:bookmarkEnd w:id="43"/>
      <w:bookmarkEnd w:id="44"/>
    </w:p>
    <w:p>
      <w:pPr>
        <w:spacing w:line="560" w:lineRule="exact"/>
        <w:ind w:firstLine="640" w:firstLineChars="200"/>
        <w:rPr>
          <w:rFonts w:eastAsia="仿宋_GB2312"/>
          <w:sz w:val="32"/>
          <w:szCs w:val="32"/>
        </w:rPr>
      </w:pPr>
      <w:r>
        <w:rPr>
          <w:rFonts w:eastAsia="仿宋_GB2312"/>
          <w:sz w:val="32"/>
          <w:szCs w:val="32"/>
        </w:rPr>
        <w:t>2022年本年支出合计286.36万元，其中：基本支出286.36万元，占100%；项目支出0万元，占0%；上缴上级支出0万元，占0%；经营支出0万元，占0%；对附属单位补助支出0万元，占0%。</w:t>
      </w:r>
    </w:p>
    <w:p>
      <w:pPr>
        <w:pStyle w:val="2"/>
        <w:spacing w:before="93"/>
      </w:pPr>
    </w:p>
    <w:p>
      <w:pPr>
        <w:rPr>
          <w:rFonts w:ascii="仿宋" w:hAnsi="仿宋" w:eastAsia="仿宋"/>
          <w:sz w:val="32"/>
          <w:szCs w:val="32"/>
          <w:shd w:val="pct10" w:color="auto" w:fill="FFFFFF"/>
        </w:rPr>
      </w:pPr>
      <w:r>
        <w:drawing>
          <wp:inline distT="0" distB="0" distL="114300" distR="114300">
            <wp:extent cx="5272405" cy="2654300"/>
            <wp:effectExtent l="4445" t="4445" r="19050" b="8255"/>
            <wp:docPr id="238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rPr>
          <w:rFonts w:ascii="仿宋_GB2312" w:eastAsia="仿宋_GB2312"/>
          <w:sz w:val="32"/>
          <w:szCs w:val="32"/>
        </w:rPr>
      </w:pPr>
    </w:p>
    <w:p>
      <w:pPr>
        <w:spacing w:line="560" w:lineRule="exact"/>
        <w:ind w:firstLine="640" w:firstLineChars="200"/>
        <w:rPr>
          <w:rFonts w:eastAsia="黑体"/>
          <w:sz w:val="32"/>
          <w:szCs w:val="32"/>
        </w:rPr>
      </w:pPr>
      <w:bookmarkStart w:id="45" w:name="_Toc15377208"/>
      <w:bookmarkStart w:id="46" w:name="_Toc15396606"/>
      <w:bookmarkStart w:id="47" w:name="_Toc11144_WPSOffice_Level2"/>
      <w:r>
        <w:rPr>
          <w:rFonts w:eastAsia="黑体"/>
          <w:sz w:val="32"/>
          <w:szCs w:val="32"/>
        </w:rPr>
        <w:t>四、财政拨款收入支出决算总体情况说明</w:t>
      </w:r>
      <w:bookmarkEnd w:id="45"/>
      <w:bookmarkEnd w:id="46"/>
      <w:bookmarkEnd w:id="47"/>
    </w:p>
    <w:p>
      <w:pPr>
        <w:spacing w:line="560" w:lineRule="exact"/>
        <w:ind w:firstLine="640" w:firstLineChars="200"/>
        <w:rPr>
          <w:rFonts w:eastAsia="仿宋_GB2312"/>
          <w:sz w:val="32"/>
          <w:szCs w:val="32"/>
        </w:rPr>
      </w:pPr>
      <w:r>
        <w:rPr>
          <w:rFonts w:eastAsia="仿宋_GB2312"/>
          <w:sz w:val="32"/>
          <w:szCs w:val="32"/>
        </w:rPr>
        <w:t>2022年财政拨款收、支总计286.36万元。与2021年相比，财政拨款收、支总计各增加28.59万元，增长11.1%。主要变动原因是基础性绩效纳入工资发放增加了人员经费支出。</w:t>
      </w:r>
    </w:p>
    <w:p>
      <w:pPr>
        <w:rPr>
          <w:rFonts w:ascii="仿宋" w:hAnsi="仿宋" w:eastAsia="仿宋"/>
          <w:sz w:val="32"/>
          <w:szCs w:val="32"/>
        </w:rPr>
      </w:pPr>
    </w:p>
    <w:p>
      <w:pPr>
        <w:pStyle w:val="7"/>
        <w:rPr>
          <w:rFonts w:ascii="仿宋" w:hAnsi="仿宋" w:eastAsia="仿宋"/>
          <w:sz w:val="32"/>
          <w:szCs w:val="32"/>
        </w:rPr>
      </w:pPr>
      <w:r>
        <w:drawing>
          <wp:inline distT="0" distB="0" distL="114300" distR="114300">
            <wp:extent cx="5269230" cy="2743835"/>
            <wp:effectExtent l="4445" t="4445" r="22225" b="13970"/>
            <wp:docPr id="2391"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rPr>
          <w:rFonts w:ascii="仿宋" w:hAnsi="仿宋" w:eastAsia="仿宋"/>
          <w:b/>
          <w:sz w:val="32"/>
          <w:szCs w:val="32"/>
        </w:rPr>
      </w:pPr>
    </w:p>
    <w:p>
      <w:pPr>
        <w:spacing w:line="560" w:lineRule="exact"/>
        <w:ind w:firstLine="640" w:firstLineChars="200"/>
        <w:rPr>
          <w:rFonts w:eastAsia="黑体"/>
          <w:sz w:val="32"/>
          <w:szCs w:val="32"/>
        </w:rPr>
      </w:pPr>
      <w:bookmarkStart w:id="48" w:name="_Toc15396607"/>
      <w:bookmarkStart w:id="49" w:name="_Toc15377209"/>
      <w:bookmarkStart w:id="50" w:name="_Toc1253_WPSOffice_Level2"/>
      <w:r>
        <w:rPr>
          <w:rFonts w:eastAsia="黑体"/>
          <w:sz w:val="32"/>
          <w:szCs w:val="32"/>
        </w:rPr>
        <w:t>五、一般公共预算财政拨款支出决算情况说明</w:t>
      </w:r>
      <w:bookmarkEnd w:id="48"/>
      <w:bookmarkEnd w:id="49"/>
      <w:bookmarkEnd w:id="50"/>
    </w:p>
    <w:p>
      <w:pPr>
        <w:spacing w:line="560" w:lineRule="exact"/>
        <w:ind w:firstLine="640" w:firstLineChars="200"/>
        <w:rPr>
          <w:rFonts w:eastAsia="楷体_GB2312"/>
          <w:sz w:val="32"/>
          <w:szCs w:val="32"/>
        </w:rPr>
      </w:pPr>
      <w:bookmarkStart w:id="51" w:name="_Toc15377210"/>
      <w:r>
        <w:rPr>
          <w:rFonts w:eastAsia="楷体_GB2312"/>
          <w:sz w:val="32"/>
          <w:szCs w:val="32"/>
        </w:rPr>
        <w:t>（一）一般公共预算财政拨款支出决算总体情况</w:t>
      </w:r>
      <w:bookmarkEnd w:id="51"/>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2022年一般公共预算财政拨款支出286.36万元，占本年支出合计的100%。与2021年相比，一般公共预算财政拨款支出增加28.59万元，增长11.1%。主要变动原因是基础性绩效纳入工资发放增加了人员经费支出。</w:t>
      </w:r>
    </w:p>
    <w:p>
      <w:pPr>
        <w:spacing w:line="600" w:lineRule="exact"/>
        <w:ind w:firstLine="640" w:firstLineChars="200"/>
        <w:rPr>
          <w:rFonts w:ascii="仿宋" w:hAnsi="仿宋" w:eastAsia="仿宋"/>
          <w:sz w:val="32"/>
          <w:szCs w:val="32"/>
        </w:rPr>
      </w:pPr>
    </w:p>
    <w:p>
      <w:pPr>
        <w:pStyle w:val="7"/>
        <w:rPr>
          <w:rFonts w:ascii="仿宋" w:hAnsi="仿宋" w:eastAsia="仿宋"/>
          <w:sz w:val="32"/>
          <w:szCs w:val="32"/>
        </w:rPr>
      </w:pPr>
    </w:p>
    <w:p/>
    <w:p>
      <w:pPr>
        <w:pStyle w:val="7"/>
      </w:pPr>
    </w:p>
    <w:p/>
    <w:p>
      <w:pPr>
        <w:pStyle w:val="7"/>
      </w:pPr>
    </w:p>
    <w:p>
      <w:pPr>
        <w:rPr>
          <w:rFonts w:ascii="仿宋" w:hAnsi="仿宋" w:eastAsia="仿宋"/>
          <w:sz w:val="32"/>
          <w:szCs w:val="32"/>
        </w:rPr>
      </w:pPr>
      <w:r>
        <w:drawing>
          <wp:inline distT="0" distB="0" distL="114300" distR="114300">
            <wp:extent cx="5271135" cy="2699385"/>
            <wp:effectExtent l="4445" t="4445" r="20320" b="20320"/>
            <wp:docPr id="2388"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560" w:lineRule="exact"/>
        <w:ind w:firstLine="640" w:firstLineChars="200"/>
        <w:rPr>
          <w:rFonts w:eastAsia="楷体_GB2312"/>
          <w:sz w:val="32"/>
          <w:szCs w:val="32"/>
        </w:rPr>
      </w:pPr>
      <w:bookmarkStart w:id="52" w:name="_Toc15377211"/>
      <w:r>
        <w:rPr>
          <w:rFonts w:eastAsia="楷体_GB2312"/>
          <w:sz w:val="32"/>
          <w:szCs w:val="32"/>
        </w:rPr>
        <w:t>（二）一般公共预算财政拨款支出决算结构情况</w:t>
      </w:r>
      <w:bookmarkEnd w:id="52"/>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2022年一般公共预算财政拨款支出286.36万元，主要用于以下方面:一般公共服务支出205.38万元，占71.7%；社会保障和就业支出41.08万元，占14.3%；卫生健康支出20.48万元，占7.2%；住房保障支出19.42万元，占6.8%。</w:t>
      </w:r>
    </w:p>
    <w:p>
      <w:pPr>
        <w:rPr>
          <w:rFonts w:ascii="仿宋" w:hAnsi="仿宋" w:eastAsia="仿宋"/>
          <w:sz w:val="32"/>
          <w:szCs w:val="32"/>
        </w:rPr>
      </w:pPr>
      <w:r>
        <w:drawing>
          <wp:inline distT="0" distB="0" distL="114300" distR="114300">
            <wp:extent cx="5268595" cy="2961005"/>
            <wp:effectExtent l="4445" t="4445" r="22860" b="6350"/>
            <wp:docPr id="2389"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560" w:lineRule="exact"/>
        <w:ind w:firstLine="640" w:firstLineChars="200"/>
        <w:rPr>
          <w:rFonts w:eastAsia="楷体_GB2312"/>
          <w:sz w:val="32"/>
          <w:szCs w:val="32"/>
        </w:rPr>
      </w:pPr>
      <w:bookmarkStart w:id="53" w:name="_Toc15377212"/>
      <w:r>
        <w:rPr>
          <w:rFonts w:eastAsia="楷体_GB2312"/>
          <w:sz w:val="32"/>
          <w:szCs w:val="32"/>
        </w:rPr>
        <w:t>（三）一般公共预算财政拨款支出决算具体情况</w:t>
      </w:r>
      <w:bookmarkEnd w:id="53"/>
      <w:r>
        <w:rPr>
          <w:rFonts w:eastAsia="楷体_GB2312"/>
          <w:sz w:val="32"/>
          <w:szCs w:val="32"/>
        </w:rPr>
        <w:t>。</w:t>
      </w:r>
    </w:p>
    <w:p>
      <w:pPr>
        <w:spacing w:line="560" w:lineRule="exact"/>
        <w:ind w:firstLine="640" w:firstLineChars="200"/>
        <w:rPr>
          <w:rFonts w:eastAsia="仿宋_GB2312"/>
          <w:sz w:val="32"/>
          <w:szCs w:val="32"/>
        </w:rPr>
      </w:pPr>
      <w:bookmarkStart w:id="54" w:name="_Toc15377213"/>
      <w:bookmarkStart w:id="55" w:name="_Toc15377444"/>
      <w:bookmarkStart w:id="56" w:name="_Toc15378460"/>
      <w:r>
        <w:rPr>
          <w:rFonts w:eastAsia="仿宋_GB2312"/>
          <w:sz w:val="32"/>
          <w:szCs w:val="32"/>
        </w:rPr>
        <w:t>2022年一般公共预算支出决算数为286.36万元，完成预算100%。其中：</w:t>
      </w:r>
      <w:bookmarkEnd w:id="54"/>
      <w:bookmarkEnd w:id="55"/>
      <w:bookmarkEnd w:id="56"/>
    </w:p>
    <w:p>
      <w:pPr>
        <w:spacing w:line="560" w:lineRule="exact"/>
        <w:ind w:firstLine="643" w:firstLineChars="200"/>
        <w:rPr>
          <w:rFonts w:eastAsia="仿宋_GB2312"/>
          <w:sz w:val="32"/>
          <w:szCs w:val="32"/>
        </w:rPr>
      </w:pPr>
      <w:bookmarkStart w:id="57" w:name="_Toc15377214"/>
      <w:bookmarkStart w:id="58" w:name="_Toc15396608"/>
      <w:r>
        <w:rPr>
          <w:rFonts w:eastAsia="仿宋_GB2312"/>
          <w:b/>
          <w:sz w:val="32"/>
          <w:szCs w:val="32"/>
        </w:rPr>
        <w:t xml:space="preserve">1.一般公共服务（类）财政事务支出（款）行政运行（项）: </w:t>
      </w:r>
      <w:r>
        <w:rPr>
          <w:rFonts w:eastAsia="仿宋_GB2312"/>
          <w:sz w:val="32"/>
          <w:szCs w:val="32"/>
        </w:rPr>
        <w:t>支出决算为205.38万元，完成预算100%，决算数等于预算数。</w:t>
      </w:r>
    </w:p>
    <w:p>
      <w:pPr>
        <w:spacing w:line="560" w:lineRule="exact"/>
        <w:ind w:firstLine="643" w:firstLineChars="200"/>
        <w:rPr>
          <w:rFonts w:eastAsia="仿宋_GB2312"/>
          <w:b/>
          <w:sz w:val="32"/>
          <w:szCs w:val="32"/>
        </w:rPr>
      </w:pPr>
      <w:r>
        <w:rPr>
          <w:rFonts w:eastAsia="仿宋_GB2312"/>
          <w:b/>
          <w:sz w:val="32"/>
          <w:szCs w:val="32"/>
        </w:rPr>
        <w:t xml:space="preserve">2.社会保障和就业（类）行政事业单位养老支出（款）  </w:t>
      </w:r>
    </w:p>
    <w:p>
      <w:pPr>
        <w:spacing w:line="560" w:lineRule="exact"/>
        <w:ind w:firstLine="643" w:firstLineChars="200"/>
        <w:rPr>
          <w:rFonts w:eastAsia="仿宋_GB2312"/>
          <w:sz w:val="32"/>
          <w:szCs w:val="32"/>
        </w:rPr>
      </w:pPr>
      <w:r>
        <w:rPr>
          <w:rFonts w:eastAsia="仿宋_GB2312"/>
          <w:b/>
          <w:sz w:val="32"/>
          <w:szCs w:val="32"/>
        </w:rPr>
        <w:t xml:space="preserve">①行政单位离退休: </w:t>
      </w:r>
      <w:r>
        <w:rPr>
          <w:rFonts w:eastAsia="仿宋_GB2312"/>
          <w:sz w:val="32"/>
          <w:szCs w:val="32"/>
        </w:rPr>
        <w:t>支出决算为11.63万元，完成预算100%，决算数等于预算数。</w:t>
      </w:r>
    </w:p>
    <w:p>
      <w:pPr>
        <w:spacing w:line="560" w:lineRule="exact"/>
        <w:ind w:firstLine="643" w:firstLineChars="200"/>
        <w:rPr>
          <w:rFonts w:eastAsia="仿宋_GB2312"/>
          <w:sz w:val="32"/>
          <w:szCs w:val="32"/>
        </w:rPr>
      </w:pPr>
      <w:r>
        <w:rPr>
          <w:rFonts w:eastAsia="仿宋_GB2312"/>
          <w:b/>
          <w:sz w:val="32"/>
          <w:szCs w:val="32"/>
        </w:rPr>
        <w:t>②机关事业单位基本养老保险缴费支出：</w:t>
      </w:r>
      <w:r>
        <w:rPr>
          <w:rFonts w:eastAsia="仿宋_GB2312"/>
          <w:sz w:val="32"/>
          <w:szCs w:val="32"/>
        </w:rPr>
        <w:t>支出决算为18.00万元，完成预算100%，决算数等于预算数。</w:t>
      </w:r>
    </w:p>
    <w:p>
      <w:pPr>
        <w:spacing w:line="560" w:lineRule="exact"/>
        <w:ind w:firstLine="643" w:firstLineChars="200"/>
        <w:rPr>
          <w:rFonts w:eastAsia="仿宋_GB2312"/>
          <w:sz w:val="32"/>
          <w:szCs w:val="32"/>
        </w:rPr>
      </w:pPr>
      <w:r>
        <w:rPr>
          <w:rFonts w:eastAsia="仿宋_GB2312"/>
          <w:b/>
          <w:sz w:val="32"/>
          <w:szCs w:val="32"/>
        </w:rPr>
        <w:t>③机关事业单位职业年金缴费支出：</w:t>
      </w:r>
      <w:r>
        <w:rPr>
          <w:rFonts w:eastAsia="仿宋_GB2312"/>
          <w:sz w:val="32"/>
          <w:szCs w:val="32"/>
        </w:rPr>
        <w:t>支出决算为11.45万元，完成预算100%，决算数等于预算数。</w:t>
      </w:r>
    </w:p>
    <w:p>
      <w:pPr>
        <w:spacing w:line="560" w:lineRule="exact"/>
        <w:ind w:firstLine="643" w:firstLineChars="200"/>
        <w:rPr>
          <w:rFonts w:eastAsia="仿宋_GB2312"/>
          <w:sz w:val="32"/>
          <w:szCs w:val="32"/>
        </w:rPr>
      </w:pPr>
      <w:r>
        <w:rPr>
          <w:rFonts w:eastAsia="仿宋_GB2312"/>
          <w:b/>
          <w:sz w:val="32"/>
          <w:szCs w:val="32"/>
        </w:rPr>
        <w:t>3.住房保障支出（类）住房改革支出（款）住房公积金（项）：</w:t>
      </w:r>
      <w:r>
        <w:rPr>
          <w:rFonts w:eastAsia="仿宋_GB2312"/>
          <w:sz w:val="32"/>
          <w:szCs w:val="32"/>
        </w:rPr>
        <w:t>支出决算为19.42万元，完成预算100%，决算数等于预算数。</w:t>
      </w:r>
    </w:p>
    <w:p>
      <w:pPr>
        <w:spacing w:line="560" w:lineRule="exact"/>
        <w:ind w:firstLine="643" w:firstLineChars="200"/>
        <w:rPr>
          <w:rFonts w:eastAsia="仿宋_GB2312"/>
          <w:sz w:val="32"/>
          <w:szCs w:val="32"/>
        </w:rPr>
      </w:pPr>
      <w:r>
        <w:rPr>
          <w:rFonts w:eastAsia="仿宋_GB2312"/>
          <w:b/>
          <w:sz w:val="32"/>
          <w:szCs w:val="32"/>
        </w:rPr>
        <w:t>4.卫生健康支出（类）行政事业单位医疗（款）</w:t>
      </w:r>
    </w:p>
    <w:p>
      <w:pPr>
        <w:spacing w:line="560" w:lineRule="exact"/>
        <w:ind w:firstLine="643" w:firstLineChars="200"/>
        <w:rPr>
          <w:rFonts w:eastAsia="仿宋_GB2312"/>
          <w:sz w:val="32"/>
          <w:szCs w:val="32"/>
        </w:rPr>
      </w:pPr>
      <w:r>
        <w:rPr>
          <w:rFonts w:eastAsia="仿宋_GB2312"/>
          <w:b/>
          <w:sz w:val="32"/>
          <w:szCs w:val="32"/>
        </w:rPr>
        <w:sym w:font="Wingdings" w:char="F081"/>
      </w:r>
      <w:r>
        <w:rPr>
          <w:rFonts w:eastAsia="仿宋_GB2312"/>
          <w:b/>
          <w:sz w:val="32"/>
          <w:szCs w:val="32"/>
        </w:rPr>
        <w:t>行政单位医疗：</w:t>
      </w:r>
      <w:r>
        <w:rPr>
          <w:rFonts w:eastAsia="仿宋_GB2312"/>
          <w:sz w:val="32"/>
          <w:szCs w:val="32"/>
        </w:rPr>
        <w:t>支出决算为12.44万元，完成预算100%，决算数等于预算数。</w:t>
      </w:r>
    </w:p>
    <w:p>
      <w:pPr>
        <w:spacing w:line="560" w:lineRule="exact"/>
        <w:ind w:firstLine="643" w:firstLineChars="200"/>
        <w:rPr>
          <w:rFonts w:eastAsia="仿宋_GB2312"/>
          <w:sz w:val="32"/>
          <w:szCs w:val="32"/>
        </w:rPr>
      </w:pPr>
      <w:r>
        <w:rPr>
          <w:rFonts w:eastAsia="仿宋_GB2312"/>
          <w:b/>
          <w:sz w:val="32"/>
          <w:szCs w:val="32"/>
        </w:rPr>
        <w:t>②公务员医疗补助：</w:t>
      </w:r>
      <w:r>
        <w:rPr>
          <w:rFonts w:eastAsia="仿宋_GB2312"/>
          <w:sz w:val="32"/>
          <w:szCs w:val="32"/>
        </w:rPr>
        <w:t>支出决算为8.04万元，完成预算100%，决算数等于预算数。</w:t>
      </w:r>
    </w:p>
    <w:p>
      <w:pPr>
        <w:spacing w:line="560" w:lineRule="exact"/>
        <w:ind w:firstLine="640" w:firstLineChars="200"/>
        <w:rPr>
          <w:rFonts w:eastAsia="黑体"/>
          <w:sz w:val="32"/>
          <w:szCs w:val="32"/>
        </w:rPr>
      </w:pPr>
      <w:bookmarkStart w:id="59" w:name="_Toc1591_WPSOffice_Level2"/>
      <w:r>
        <w:rPr>
          <w:rFonts w:eastAsia="黑体"/>
          <w:sz w:val="32"/>
          <w:szCs w:val="32"/>
        </w:rPr>
        <w:t>六、一般公共预算财政拨款基本支出决算情况说明</w:t>
      </w:r>
      <w:bookmarkEnd w:id="57"/>
      <w:bookmarkEnd w:id="58"/>
      <w:bookmarkEnd w:id="59"/>
      <w:r>
        <w:rPr>
          <w:rFonts w:eastAsia="黑体"/>
          <w:sz w:val="32"/>
          <w:szCs w:val="32"/>
        </w:rPr>
        <w:tab/>
      </w:r>
    </w:p>
    <w:p>
      <w:pPr>
        <w:spacing w:line="560" w:lineRule="exact"/>
        <w:ind w:firstLine="640" w:firstLineChars="200"/>
        <w:rPr>
          <w:rFonts w:eastAsia="仿宋_GB2312"/>
          <w:sz w:val="32"/>
          <w:szCs w:val="32"/>
        </w:rPr>
      </w:pPr>
      <w:r>
        <w:rPr>
          <w:rFonts w:eastAsia="仿宋_GB2312"/>
          <w:sz w:val="32"/>
          <w:szCs w:val="32"/>
        </w:rPr>
        <w:t>2022年一般公共预算财政拨款基本支出286.36万元，其中：</w:t>
      </w:r>
    </w:p>
    <w:p>
      <w:pPr>
        <w:spacing w:line="560" w:lineRule="exact"/>
        <w:ind w:firstLine="640" w:firstLineChars="200"/>
        <w:rPr>
          <w:rFonts w:eastAsia="仿宋_GB2312"/>
          <w:sz w:val="32"/>
          <w:szCs w:val="32"/>
        </w:rPr>
      </w:pPr>
      <w:r>
        <w:rPr>
          <w:rFonts w:eastAsia="仿宋_GB2312"/>
          <w:sz w:val="32"/>
          <w:szCs w:val="32"/>
        </w:rPr>
        <w:t>人员经费267.96万元，主要包括：基本工资、津贴补贴、奖金、机关事业单位基本养老保险缴费、职业年金缴费、职工基本医疗保险缴费、公务员医疗补助缴费、其他社会保障缴费、其他工资福利支出、生活补助、医疗费补助、奖励金、住房公积金等。</w:t>
      </w:r>
      <w:r>
        <w:rPr>
          <w:rFonts w:eastAsia="仿宋_GB2312"/>
          <w:sz w:val="32"/>
          <w:szCs w:val="32"/>
        </w:rPr>
        <w:br w:type="textWrapping"/>
      </w:r>
      <w:r>
        <w:rPr>
          <w:rFonts w:eastAsia="仿宋_GB2312"/>
          <w:sz w:val="32"/>
          <w:szCs w:val="32"/>
        </w:rPr>
        <w:t>　　公用经费16.2万元，主要包括：办公费、邮电费、差旅费、维修（护）费、劳务费、工会经费、福利费、其他交通费等。</w:t>
      </w:r>
    </w:p>
    <w:p>
      <w:pPr>
        <w:spacing w:line="560" w:lineRule="exact"/>
        <w:ind w:firstLine="640" w:firstLineChars="200"/>
        <w:rPr>
          <w:rFonts w:eastAsia="黑体"/>
          <w:sz w:val="32"/>
          <w:szCs w:val="32"/>
        </w:rPr>
      </w:pPr>
      <w:bookmarkStart w:id="60" w:name="_Toc15396609"/>
      <w:bookmarkStart w:id="61" w:name="_Toc15377215"/>
      <w:bookmarkStart w:id="62" w:name="_Toc21235_WPSOffice_Level2"/>
      <w:r>
        <w:rPr>
          <w:rFonts w:eastAsia="黑体"/>
          <w:sz w:val="32"/>
          <w:szCs w:val="32"/>
        </w:rPr>
        <w:t>七、财政拨款“三公”经费支出决算情况说明</w:t>
      </w:r>
      <w:bookmarkEnd w:id="60"/>
      <w:bookmarkEnd w:id="61"/>
      <w:bookmarkEnd w:id="62"/>
    </w:p>
    <w:p>
      <w:pPr>
        <w:spacing w:line="560" w:lineRule="exact"/>
        <w:ind w:firstLine="640" w:firstLineChars="200"/>
        <w:rPr>
          <w:rFonts w:eastAsia="楷体_GB2312"/>
          <w:sz w:val="32"/>
          <w:szCs w:val="32"/>
        </w:rPr>
      </w:pPr>
      <w:bookmarkStart w:id="63" w:name="_Toc15377216"/>
      <w:r>
        <w:rPr>
          <w:rFonts w:eastAsia="楷体_GB2312"/>
          <w:sz w:val="32"/>
          <w:szCs w:val="32"/>
        </w:rPr>
        <w:t>（一）“三公”经费财政拨款支出决算总体情况说明</w:t>
      </w:r>
      <w:bookmarkEnd w:id="63"/>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2022年“三公”经费财政拨款支出决算为0万元。</w:t>
      </w:r>
    </w:p>
    <w:p>
      <w:pPr>
        <w:spacing w:line="560" w:lineRule="exact"/>
        <w:ind w:firstLine="640" w:firstLineChars="200"/>
        <w:rPr>
          <w:rFonts w:eastAsia="楷体_GB2312"/>
          <w:sz w:val="32"/>
          <w:szCs w:val="32"/>
        </w:rPr>
      </w:pPr>
      <w:bookmarkStart w:id="64" w:name="_Toc15377217"/>
      <w:r>
        <w:rPr>
          <w:rFonts w:eastAsia="楷体_GB2312"/>
          <w:sz w:val="32"/>
          <w:szCs w:val="32"/>
        </w:rPr>
        <w:t>（二）“三公”经费财政拨款支出决算具体情况说明</w:t>
      </w:r>
      <w:bookmarkEnd w:id="64"/>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2022年“三公”经费财政拨款支出决算中，因公出国（境）费支出决算0万元，占0%；公务用车购置及运行维护费支出决算0万元，占0%；公务接待费支出决算0万元，占0%。具体情况如下：</w:t>
      </w:r>
    </w:p>
    <w:p>
      <w:pPr>
        <w:pStyle w:val="7"/>
        <w:rPr>
          <w:rFonts w:ascii="仿宋" w:hAnsi="仿宋" w:eastAsia="仿宋"/>
          <w:sz w:val="32"/>
          <w:szCs w:val="32"/>
        </w:rPr>
      </w:pPr>
      <w:r>
        <w:drawing>
          <wp:inline distT="0" distB="0" distL="114300" distR="114300">
            <wp:extent cx="5268595" cy="2740660"/>
            <wp:effectExtent l="4445" t="4445" r="22860" b="17145"/>
            <wp:docPr id="2390"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
      <w:pPr>
        <w:spacing w:line="560" w:lineRule="exact"/>
        <w:ind w:firstLine="643" w:firstLineChars="200"/>
        <w:rPr>
          <w:rFonts w:eastAsia="仿宋_GB2312"/>
          <w:sz w:val="32"/>
          <w:szCs w:val="32"/>
        </w:rPr>
      </w:pPr>
      <w:bookmarkStart w:id="65" w:name="_Toc15396610"/>
      <w:bookmarkStart w:id="66" w:name="_Toc15377218"/>
      <w:r>
        <w:rPr>
          <w:rFonts w:eastAsia="仿宋_GB2312"/>
          <w:b/>
          <w:sz w:val="32"/>
          <w:szCs w:val="32"/>
        </w:rPr>
        <w:t>1.因公出国（境）经费支出0万元，完成预算0%。</w:t>
      </w:r>
      <w:r>
        <w:rPr>
          <w:rFonts w:eastAsia="仿宋_GB2312"/>
          <w:sz w:val="32"/>
          <w:szCs w:val="32"/>
        </w:rPr>
        <w:t>全年安排因公出国（境）团组0次，出国（境）0人。因公出国（境）支出决算比2021年无增减变动。主要原因是我单位2022年无因公出国（境）支出。</w:t>
      </w:r>
    </w:p>
    <w:p>
      <w:pPr>
        <w:spacing w:line="560" w:lineRule="exact"/>
        <w:ind w:firstLine="643" w:firstLineChars="200"/>
        <w:rPr>
          <w:rFonts w:eastAsia="仿宋_GB2312"/>
          <w:sz w:val="32"/>
          <w:szCs w:val="32"/>
        </w:rPr>
      </w:pPr>
      <w:r>
        <w:rPr>
          <w:rFonts w:eastAsia="仿宋_GB2312"/>
          <w:b/>
          <w:sz w:val="32"/>
          <w:szCs w:val="32"/>
        </w:rPr>
        <w:t>2.公务用车购置及运行维护费支出0万元,完成预算0%。</w:t>
      </w:r>
      <w:r>
        <w:rPr>
          <w:rFonts w:eastAsia="仿宋_GB2312"/>
          <w:sz w:val="32"/>
          <w:szCs w:val="32"/>
        </w:rPr>
        <w:t>公务用车购置及运行维护费支出决算比2021年无增减变动，主要原因是我单位2022年无公务用车购置及运行维护费支出。</w:t>
      </w:r>
    </w:p>
    <w:p>
      <w:pPr>
        <w:spacing w:line="560" w:lineRule="exact"/>
        <w:ind w:firstLine="640" w:firstLineChars="200"/>
        <w:rPr>
          <w:rFonts w:eastAsia="仿宋_GB2312"/>
          <w:sz w:val="32"/>
          <w:szCs w:val="32"/>
        </w:rPr>
      </w:pPr>
      <w:r>
        <w:rPr>
          <w:rFonts w:eastAsia="仿宋_GB2312"/>
          <w:sz w:val="32"/>
          <w:szCs w:val="32"/>
        </w:rPr>
        <w:t>其中：公务用车购置支出0万元。全年按规定更新购置公务用车0辆，其中：轿车0辆、金额0万元，越野车0辆、金额0万元，载客汽车0辆、金额0万元。截至2022年12月底，单位共有公务用车0辆，其中：轿车0辆、越野车0辆、载客汽车0辆。</w:t>
      </w:r>
    </w:p>
    <w:p>
      <w:pPr>
        <w:spacing w:line="560" w:lineRule="exact"/>
        <w:ind w:firstLine="640" w:firstLineChars="200"/>
        <w:rPr>
          <w:rFonts w:eastAsia="仿宋_GB2312"/>
          <w:sz w:val="32"/>
          <w:szCs w:val="32"/>
        </w:rPr>
      </w:pPr>
      <w:r>
        <w:rPr>
          <w:rFonts w:eastAsia="仿宋_GB2312"/>
          <w:sz w:val="32"/>
          <w:szCs w:val="32"/>
        </w:rPr>
        <w:t>公务用车运行维护费支出0万元。</w:t>
      </w:r>
    </w:p>
    <w:p>
      <w:pPr>
        <w:spacing w:line="560" w:lineRule="exact"/>
        <w:ind w:firstLine="643" w:firstLineChars="200"/>
        <w:rPr>
          <w:rFonts w:eastAsia="仿宋_GB2312"/>
          <w:sz w:val="32"/>
          <w:szCs w:val="32"/>
        </w:rPr>
      </w:pPr>
      <w:r>
        <w:rPr>
          <w:rFonts w:eastAsia="仿宋_GB2312"/>
          <w:b/>
          <w:sz w:val="32"/>
          <w:szCs w:val="32"/>
        </w:rPr>
        <w:t>3.公务接待费支出0万元。</w:t>
      </w:r>
      <w:r>
        <w:rPr>
          <w:rFonts w:eastAsia="仿宋_GB2312"/>
          <w:sz w:val="32"/>
          <w:szCs w:val="32"/>
        </w:rPr>
        <w:t>公务接待费支出决算比2021年无增减变动。主要原因是单位无接待支出。</w:t>
      </w:r>
    </w:p>
    <w:p>
      <w:pPr>
        <w:spacing w:line="560" w:lineRule="exact"/>
        <w:ind w:firstLine="640" w:firstLineChars="200"/>
        <w:rPr>
          <w:rFonts w:eastAsia="仿宋_GB2312"/>
          <w:sz w:val="32"/>
          <w:szCs w:val="32"/>
        </w:rPr>
      </w:pPr>
      <w:r>
        <w:rPr>
          <w:rFonts w:eastAsia="仿宋_GB2312"/>
          <w:sz w:val="32"/>
          <w:szCs w:val="32"/>
        </w:rPr>
        <w:t>国内公务接待支出0万元。国内公务接待0批次，0人次（不包括陪同人员），共计支出0万元。</w:t>
      </w:r>
    </w:p>
    <w:p>
      <w:pPr>
        <w:spacing w:line="560" w:lineRule="exact"/>
        <w:ind w:firstLine="640" w:firstLineChars="200"/>
        <w:rPr>
          <w:rFonts w:eastAsia="仿宋_GB2312"/>
          <w:sz w:val="32"/>
          <w:szCs w:val="32"/>
        </w:rPr>
      </w:pPr>
      <w:r>
        <w:rPr>
          <w:rFonts w:eastAsia="仿宋_GB2312"/>
          <w:sz w:val="32"/>
          <w:szCs w:val="32"/>
        </w:rPr>
        <w:t>外事接待支出0万元，外事接待0批次，0人，共计支出0万元。</w:t>
      </w:r>
    </w:p>
    <w:p>
      <w:pPr>
        <w:spacing w:line="560" w:lineRule="exact"/>
        <w:ind w:firstLine="640" w:firstLineChars="200"/>
        <w:rPr>
          <w:rFonts w:eastAsia="黑体"/>
          <w:sz w:val="32"/>
          <w:szCs w:val="32"/>
        </w:rPr>
      </w:pPr>
      <w:bookmarkStart w:id="67" w:name="_Toc20437_WPSOffice_Level2"/>
      <w:r>
        <w:rPr>
          <w:rFonts w:eastAsia="黑体"/>
          <w:sz w:val="32"/>
          <w:szCs w:val="32"/>
        </w:rPr>
        <w:t>八、政府性基金预算支出决算情况说明</w:t>
      </w:r>
      <w:bookmarkEnd w:id="65"/>
      <w:bookmarkEnd w:id="66"/>
      <w:bookmarkEnd w:id="67"/>
    </w:p>
    <w:p>
      <w:pPr>
        <w:spacing w:line="560" w:lineRule="exact"/>
        <w:ind w:firstLine="640" w:firstLineChars="200"/>
        <w:rPr>
          <w:rFonts w:eastAsia="仿宋_GB2312"/>
          <w:sz w:val="32"/>
          <w:szCs w:val="32"/>
        </w:rPr>
      </w:pPr>
      <w:r>
        <w:rPr>
          <w:rFonts w:eastAsia="仿宋_GB2312"/>
          <w:sz w:val="32"/>
          <w:szCs w:val="32"/>
        </w:rPr>
        <w:t>2022年政府性基金预算财政拨款支出0万元。</w:t>
      </w:r>
    </w:p>
    <w:p>
      <w:pPr>
        <w:spacing w:line="560" w:lineRule="exact"/>
        <w:ind w:firstLine="640" w:firstLineChars="200"/>
        <w:rPr>
          <w:rFonts w:eastAsia="黑体"/>
          <w:sz w:val="32"/>
          <w:szCs w:val="32"/>
        </w:rPr>
      </w:pPr>
      <w:bookmarkStart w:id="68" w:name="_Toc15377219"/>
      <w:bookmarkStart w:id="69" w:name="_Toc15396611"/>
      <w:bookmarkStart w:id="70" w:name="_Toc28766_WPSOffice_Level2"/>
      <w:r>
        <w:rPr>
          <w:rFonts w:eastAsia="黑体"/>
          <w:sz w:val="32"/>
          <w:szCs w:val="32"/>
        </w:rPr>
        <w:t>九、国有资本经营预算支出决算情况说明</w:t>
      </w:r>
      <w:bookmarkEnd w:id="68"/>
      <w:bookmarkEnd w:id="69"/>
      <w:bookmarkEnd w:id="70"/>
    </w:p>
    <w:p>
      <w:pPr>
        <w:spacing w:line="560" w:lineRule="exact"/>
        <w:ind w:firstLine="640" w:firstLineChars="200"/>
        <w:rPr>
          <w:rFonts w:eastAsia="仿宋_GB2312"/>
          <w:sz w:val="32"/>
          <w:szCs w:val="32"/>
        </w:rPr>
      </w:pPr>
      <w:r>
        <w:rPr>
          <w:rFonts w:eastAsia="仿宋_GB2312"/>
          <w:sz w:val="32"/>
          <w:szCs w:val="32"/>
        </w:rPr>
        <w:t>2022年国有资本经营预算财政拨款支出0万元。</w:t>
      </w:r>
    </w:p>
    <w:p>
      <w:pPr>
        <w:spacing w:line="560" w:lineRule="exact"/>
        <w:ind w:firstLine="640" w:firstLineChars="200"/>
        <w:rPr>
          <w:rFonts w:eastAsia="黑体"/>
          <w:sz w:val="32"/>
          <w:szCs w:val="32"/>
        </w:rPr>
      </w:pPr>
      <w:bookmarkStart w:id="71" w:name="_Toc15396612"/>
      <w:bookmarkStart w:id="72" w:name="_Toc15377221"/>
      <w:bookmarkStart w:id="73" w:name="_Toc18404_WPSOffice_Level2"/>
      <w:r>
        <w:rPr>
          <w:rFonts w:eastAsia="黑体"/>
          <w:sz w:val="32"/>
          <w:szCs w:val="32"/>
        </w:rPr>
        <w:t>十、其他重要事项的情况说明</w:t>
      </w:r>
      <w:bookmarkEnd w:id="71"/>
      <w:bookmarkEnd w:id="72"/>
      <w:bookmarkEnd w:id="73"/>
    </w:p>
    <w:p>
      <w:pPr>
        <w:spacing w:line="560" w:lineRule="exact"/>
        <w:ind w:firstLine="640" w:firstLineChars="200"/>
        <w:rPr>
          <w:rFonts w:eastAsia="楷体_GB2312"/>
          <w:sz w:val="32"/>
          <w:szCs w:val="32"/>
        </w:rPr>
      </w:pPr>
      <w:bookmarkStart w:id="74" w:name="_Toc15377222"/>
      <w:r>
        <w:rPr>
          <w:rFonts w:eastAsia="楷体_GB2312"/>
          <w:sz w:val="32"/>
          <w:szCs w:val="32"/>
        </w:rPr>
        <w:t>（一）机关运行经费支出情况</w:t>
      </w:r>
      <w:bookmarkEnd w:id="74"/>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2022年，盐边县财政国库中心机关运行经费支出18.4万元，比2021年减少0.52万元，下降2.7%。主要原因是厉行节约，减少经费支出。</w:t>
      </w:r>
    </w:p>
    <w:p>
      <w:pPr>
        <w:spacing w:line="560" w:lineRule="exact"/>
        <w:ind w:firstLine="640" w:firstLineChars="200"/>
        <w:rPr>
          <w:rFonts w:eastAsia="楷体_GB2312"/>
          <w:sz w:val="32"/>
          <w:szCs w:val="32"/>
        </w:rPr>
      </w:pPr>
      <w:bookmarkStart w:id="75" w:name="_Toc15377223"/>
      <w:r>
        <w:rPr>
          <w:rFonts w:eastAsia="楷体_GB2312"/>
          <w:sz w:val="32"/>
          <w:szCs w:val="32"/>
        </w:rPr>
        <w:t>（二）政府采购支出情况</w:t>
      </w:r>
      <w:bookmarkEnd w:id="75"/>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2022年，盐边县财政国库支付中心政府采购支出总额2.21万元，其中：政府采购货物支出2.21万元、政府采购工程支出0万元、政府采购服务支出0万元。主要用于办公室设备购置。授予中小企业合同金额2.21万元，占政府采购支出总额的100%，其中：授予小微企业合同金额2.21万元，占政府采购支出总额的100%。</w:t>
      </w:r>
    </w:p>
    <w:p>
      <w:pPr>
        <w:spacing w:line="560" w:lineRule="exact"/>
        <w:ind w:firstLine="640" w:firstLineChars="200"/>
        <w:rPr>
          <w:rFonts w:eastAsia="楷体_GB2312"/>
          <w:sz w:val="32"/>
          <w:szCs w:val="32"/>
        </w:rPr>
      </w:pPr>
      <w:bookmarkStart w:id="76" w:name="_Toc15377224"/>
      <w:r>
        <w:rPr>
          <w:rFonts w:eastAsia="楷体_GB2312"/>
          <w:sz w:val="32"/>
          <w:szCs w:val="32"/>
        </w:rPr>
        <w:t>（三）国有资产占有使用情况</w:t>
      </w:r>
      <w:bookmarkEnd w:id="76"/>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截至2022年12月31日，盐边县财政国库支付中心共有车辆0辆，其中：副部（省）级及以上领导用车0辆、主要领导干部用车0辆、机要通信用车0辆、应急保障用车0辆、执法执勤用车0辆、特种专业技术用车0辆、离退休干部用车0辆、其他用车0辆。单价100万元（含）以上设备0台（套)。</w:t>
      </w:r>
    </w:p>
    <w:p>
      <w:pPr>
        <w:spacing w:line="560" w:lineRule="exact"/>
        <w:ind w:firstLine="640" w:firstLineChars="200"/>
        <w:rPr>
          <w:rFonts w:eastAsia="楷体_GB2312"/>
          <w:sz w:val="32"/>
          <w:szCs w:val="32"/>
        </w:rPr>
      </w:pPr>
      <w:r>
        <w:rPr>
          <w:rFonts w:eastAsia="楷体_GB2312"/>
          <w:sz w:val="32"/>
          <w:szCs w:val="32"/>
        </w:rPr>
        <w:t>（四）预算绩效管理情况。</w:t>
      </w:r>
    </w:p>
    <w:p>
      <w:pPr>
        <w:spacing w:line="560" w:lineRule="exact"/>
        <w:ind w:firstLine="640" w:firstLineChars="200"/>
        <w:rPr>
          <w:rFonts w:eastAsia="仿宋_GB2312"/>
          <w:sz w:val="32"/>
          <w:szCs w:val="32"/>
        </w:rPr>
      </w:pPr>
      <w:r>
        <w:rPr>
          <w:rFonts w:eastAsia="仿宋_GB2312"/>
          <w:sz w:val="32"/>
          <w:szCs w:val="32"/>
        </w:rPr>
        <w:t>根据预算绩效管理要求，本部门在2022年度预算编制阶段，组织对0个项目开展了预算事前绩效评估，对0个项目编制了绩效目标，预算执行过程中，选取0个项目开展绩效监控。</w:t>
      </w:r>
    </w:p>
    <w:p>
      <w:pPr>
        <w:spacing w:line="560" w:lineRule="exact"/>
        <w:ind w:firstLine="640" w:firstLineChars="200"/>
        <w:rPr>
          <w:rFonts w:hint="eastAsia" w:ascii="仿宋_GB2312" w:eastAsia="仿宋_GB2312"/>
          <w:sz w:val="32"/>
          <w:szCs w:val="32"/>
        </w:rPr>
      </w:pPr>
      <w:bookmarkStart w:id="77" w:name="_Toc15396613"/>
      <w:bookmarkStart w:id="78" w:name="_Toc15377225"/>
      <w:r>
        <w:rPr>
          <w:rFonts w:eastAsia="仿宋_GB2312"/>
          <w:sz w:val="32"/>
          <w:szCs w:val="32"/>
        </w:rPr>
        <w:t>组织对2022年度部门所有预算资金全面开展绩效自评，形成盐边县财政国库支付中心部门整体绩效自评报告，其中，盐边县财政国库支付中心部门整体（含部门预算项目）绩效自评得分为98分，《盐边县财政国库支付中心2022年部门整体支出绩效评价报告》详见附件。</w:t>
      </w:r>
      <w:r>
        <w:rPr>
          <w:rFonts w:hint="eastAsia" w:ascii="仿宋_GB2312" w:eastAsia="仿宋_GB2312"/>
          <w:sz w:val="32"/>
          <w:szCs w:val="32"/>
        </w:rPr>
        <w:br w:type="page"/>
      </w:r>
    </w:p>
    <w:p>
      <w:pPr>
        <w:jc w:val="center"/>
        <w:rPr>
          <w:rFonts w:eastAsia="方正小标宋_GBK"/>
          <w:sz w:val="44"/>
          <w:szCs w:val="44"/>
        </w:rPr>
      </w:pPr>
      <w:bookmarkStart w:id="79" w:name="_Toc29399_WPSOffice_Level1"/>
      <w:r>
        <w:rPr>
          <w:rFonts w:eastAsia="方正小标宋_GBK"/>
          <w:sz w:val="44"/>
          <w:szCs w:val="44"/>
        </w:rPr>
        <w:t>第三部分 名词解释</w:t>
      </w:r>
      <w:bookmarkEnd w:id="77"/>
      <w:bookmarkEnd w:id="78"/>
      <w:bookmarkEnd w:id="79"/>
    </w:p>
    <w:p>
      <w:pPr>
        <w:spacing w:line="600" w:lineRule="exact"/>
        <w:jc w:val="left"/>
        <w:rPr>
          <w:b/>
          <w:sz w:val="44"/>
          <w:szCs w:val="44"/>
        </w:rPr>
      </w:pPr>
    </w:p>
    <w:p>
      <w:pPr>
        <w:spacing w:line="560" w:lineRule="exact"/>
        <w:ind w:firstLine="640" w:firstLineChars="200"/>
        <w:rPr>
          <w:rFonts w:eastAsia="黑体"/>
          <w:sz w:val="32"/>
          <w:szCs w:val="32"/>
        </w:rPr>
      </w:pPr>
      <w:r>
        <w:rPr>
          <w:rFonts w:eastAsia="黑体"/>
          <w:sz w:val="32"/>
          <w:szCs w:val="32"/>
        </w:rPr>
        <w:t>一、财政拨款收入</w:t>
      </w:r>
    </w:p>
    <w:p>
      <w:pPr>
        <w:spacing w:line="560" w:lineRule="exact"/>
        <w:ind w:firstLine="640" w:firstLineChars="200"/>
        <w:rPr>
          <w:rFonts w:eastAsia="仿宋_GB2312"/>
          <w:sz w:val="32"/>
          <w:szCs w:val="32"/>
        </w:rPr>
      </w:pPr>
      <w:r>
        <w:rPr>
          <w:rFonts w:eastAsia="仿宋_GB2312"/>
          <w:sz w:val="32"/>
          <w:szCs w:val="32"/>
        </w:rPr>
        <w:t>指单位从同级财政部门取得的财政预算资金。</w:t>
      </w:r>
    </w:p>
    <w:p>
      <w:pPr>
        <w:spacing w:line="560" w:lineRule="exact"/>
        <w:ind w:firstLine="640" w:firstLineChars="200"/>
        <w:rPr>
          <w:rFonts w:eastAsia="黑体"/>
          <w:sz w:val="32"/>
          <w:szCs w:val="32"/>
        </w:rPr>
      </w:pPr>
      <w:r>
        <w:rPr>
          <w:rFonts w:eastAsia="黑体"/>
          <w:sz w:val="32"/>
          <w:szCs w:val="32"/>
        </w:rPr>
        <w:t>二、一般公共服务（类）财政事务支出（款）行政运行（项）</w:t>
      </w:r>
    </w:p>
    <w:p>
      <w:pPr>
        <w:spacing w:line="560" w:lineRule="exact"/>
        <w:ind w:firstLine="640" w:firstLineChars="200"/>
        <w:rPr>
          <w:rFonts w:eastAsia="仿宋_GB2312"/>
          <w:sz w:val="32"/>
          <w:szCs w:val="32"/>
        </w:rPr>
      </w:pPr>
      <w:r>
        <w:rPr>
          <w:rFonts w:eastAsia="仿宋_GB2312"/>
          <w:sz w:val="32"/>
          <w:szCs w:val="32"/>
        </w:rPr>
        <w:t xml:space="preserve"> 指行政单位（包括实行公务员管理的事业单位）的基本支出。</w:t>
      </w:r>
    </w:p>
    <w:p>
      <w:pPr>
        <w:spacing w:line="560" w:lineRule="exact"/>
        <w:ind w:firstLine="640" w:firstLineChars="200"/>
        <w:rPr>
          <w:rFonts w:eastAsia="黑体"/>
          <w:sz w:val="32"/>
          <w:szCs w:val="32"/>
        </w:rPr>
      </w:pPr>
      <w:r>
        <w:rPr>
          <w:rFonts w:eastAsia="黑体"/>
          <w:sz w:val="32"/>
          <w:szCs w:val="32"/>
        </w:rPr>
        <w:t xml:space="preserve">三、社会保障和就业（类）行政事业单位养老支出（款）  </w:t>
      </w:r>
    </w:p>
    <w:p>
      <w:pPr>
        <w:spacing w:line="560" w:lineRule="exact"/>
        <w:ind w:firstLine="643" w:firstLineChars="200"/>
        <w:rPr>
          <w:rFonts w:eastAsia="仿宋_GB2312"/>
          <w:sz w:val="32"/>
          <w:szCs w:val="32"/>
        </w:rPr>
      </w:pPr>
      <w:r>
        <w:rPr>
          <w:rFonts w:eastAsia="仿宋_GB2312"/>
          <w:b/>
          <w:sz w:val="32"/>
          <w:szCs w:val="32"/>
        </w:rPr>
        <w:t xml:space="preserve">1.行政单位离退休: </w:t>
      </w:r>
      <w:r>
        <w:rPr>
          <w:rFonts w:eastAsia="仿宋_GB2312"/>
          <w:sz w:val="32"/>
          <w:szCs w:val="32"/>
        </w:rPr>
        <w:t>指行政单位（包括实行公务员管理的事业单位）开支的离退休支出。</w:t>
      </w:r>
    </w:p>
    <w:p>
      <w:pPr>
        <w:spacing w:line="560" w:lineRule="exact"/>
        <w:ind w:firstLine="643" w:firstLineChars="200"/>
        <w:rPr>
          <w:rFonts w:eastAsia="仿宋_GB2312"/>
          <w:sz w:val="32"/>
          <w:szCs w:val="32"/>
        </w:rPr>
      </w:pPr>
      <w:r>
        <w:rPr>
          <w:rFonts w:eastAsia="仿宋_GB2312"/>
          <w:b/>
          <w:sz w:val="32"/>
          <w:szCs w:val="32"/>
        </w:rPr>
        <w:t>2.机关事业单位基本养老保险缴费支出：</w:t>
      </w:r>
      <w:r>
        <w:rPr>
          <w:rFonts w:eastAsia="仿宋_GB2312"/>
          <w:sz w:val="32"/>
          <w:szCs w:val="32"/>
        </w:rPr>
        <w:t>指机关事业单位实施养老保险制度有单位缴纳的基本养老保险费支出。</w:t>
      </w:r>
    </w:p>
    <w:p>
      <w:pPr>
        <w:spacing w:line="560" w:lineRule="exact"/>
        <w:ind w:firstLine="643" w:firstLineChars="200"/>
        <w:rPr>
          <w:rFonts w:eastAsia="仿宋_GB2312"/>
          <w:sz w:val="32"/>
          <w:szCs w:val="32"/>
        </w:rPr>
      </w:pPr>
      <w:r>
        <w:rPr>
          <w:rFonts w:eastAsia="仿宋_GB2312"/>
          <w:b/>
          <w:sz w:val="32"/>
          <w:szCs w:val="32"/>
        </w:rPr>
        <w:t>3.机关事业单位职业年金缴费支出：</w:t>
      </w:r>
      <w:r>
        <w:rPr>
          <w:rFonts w:eastAsia="仿宋_GB2312"/>
          <w:sz w:val="32"/>
          <w:szCs w:val="32"/>
        </w:rPr>
        <w:t>指机关事业单位实施养老保险制度由单位实际缴纳的职业年金支出。</w:t>
      </w:r>
    </w:p>
    <w:p>
      <w:pPr>
        <w:spacing w:line="560" w:lineRule="exact"/>
        <w:ind w:firstLine="640" w:firstLineChars="200"/>
        <w:rPr>
          <w:rFonts w:eastAsia="黑体"/>
          <w:sz w:val="32"/>
          <w:szCs w:val="32"/>
        </w:rPr>
      </w:pPr>
      <w:r>
        <w:rPr>
          <w:rFonts w:eastAsia="黑体"/>
          <w:sz w:val="32"/>
          <w:szCs w:val="32"/>
        </w:rPr>
        <w:t>四、住房保障支出（类）住房改革支出（款）住房公积金（项）</w:t>
      </w:r>
    </w:p>
    <w:p>
      <w:pPr>
        <w:spacing w:line="560" w:lineRule="exact"/>
        <w:ind w:firstLine="640" w:firstLineChars="200"/>
        <w:rPr>
          <w:rFonts w:eastAsia="仿宋_GB2312"/>
          <w:sz w:val="32"/>
          <w:szCs w:val="32"/>
        </w:rPr>
      </w:pPr>
      <w:r>
        <w:rPr>
          <w:rFonts w:eastAsia="仿宋_GB2312"/>
          <w:sz w:val="32"/>
          <w:szCs w:val="32"/>
        </w:rPr>
        <w:t>指行政事业单位按人力资源和社会保障部、财政部规定的基本工资和津贴补贴以及规定比例为职工缴纳的住房公积金。</w:t>
      </w:r>
    </w:p>
    <w:p>
      <w:pPr>
        <w:spacing w:line="560" w:lineRule="exact"/>
        <w:ind w:firstLine="640" w:firstLineChars="200"/>
        <w:rPr>
          <w:rFonts w:eastAsia="黑体"/>
          <w:sz w:val="32"/>
          <w:szCs w:val="32"/>
        </w:rPr>
      </w:pPr>
      <w:r>
        <w:rPr>
          <w:rFonts w:eastAsia="黑体"/>
          <w:sz w:val="32"/>
          <w:szCs w:val="32"/>
        </w:rPr>
        <w:t>五、卫生健康支出（类）行政事业单位医疗（款）</w:t>
      </w:r>
    </w:p>
    <w:p>
      <w:pPr>
        <w:spacing w:line="560" w:lineRule="exact"/>
        <w:ind w:firstLine="643" w:firstLineChars="200"/>
        <w:rPr>
          <w:rFonts w:eastAsia="仿宋_GB2312"/>
          <w:sz w:val="32"/>
          <w:szCs w:val="32"/>
        </w:rPr>
      </w:pPr>
      <w:r>
        <w:rPr>
          <w:rFonts w:eastAsia="仿宋_GB2312"/>
          <w:b/>
          <w:sz w:val="32"/>
          <w:szCs w:val="32"/>
        </w:rPr>
        <w:t>1.行政单位医疗：</w:t>
      </w:r>
      <w:r>
        <w:rPr>
          <w:rFonts w:eastAsia="仿宋_GB2312"/>
          <w:sz w:val="32"/>
          <w:szCs w:val="32"/>
        </w:rPr>
        <w:t>指财政部门安排的行政单位（包括实行公务员管理的事业单位，下同）基本医疗保险缴费经费，未参加医疗保险的行政单位的公费医疗经费，按国家规定享受离休人员、红军老战士待遇人员的医疗经费。</w:t>
      </w:r>
    </w:p>
    <w:p>
      <w:pPr>
        <w:spacing w:line="560" w:lineRule="exact"/>
        <w:ind w:firstLine="643" w:firstLineChars="200"/>
        <w:rPr>
          <w:rFonts w:eastAsia="仿宋_GB2312"/>
          <w:sz w:val="32"/>
          <w:szCs w:val="32"/>
        </w:rPr>
      </w:pPr>
      <w:r>
        <w:rPr>
          <w:rFonts w:eastAsia="仿宋_GB2312"/>
          <w:b/>
          <w:sz w:val="32"/>
          <w:szCs w:val="32"/>
        </w:rPr>
        <w:t>2.公务员医疗补助：</w:t>
      </w:r>
      <w:r>
        <w:rPr>
          <w:rFonts w:eastAsia="仿宋_GB2312"/>
          <w:sz w:val="32"/>
          <w:szCs w:val="32"/>
        </w:rPr>
        <w:t>指财政部门安排的公务员医疗补助经费</w:t>
      </w:r>
    </w:p>
    <w:p>
      <w:pPr>
        <w:spacing w:line="560" w:lineRule="exact"/>
        <w:ind w:firstLine="640" w:firstLineChars="200"/>
        <w:rPr>
          <w:rFonts w:eastAsia="黑体"/>
          <w:sz w:val="32"/>
          <w:szCs w:val="32"/>
        </w:rPr>
      </w:pPr>
      <w:r>
        <w:rPr>
          <w:rFonts w:eastAsia="黑体"/>
          <w:sz w:val="32"/>
          <w:szCs w:val="32"/>
        </w:rPr>
        <w:t>六、基本支出</w:t>
      </w:r>
    </w:p>
    <w:p>
      <w:pPr>
        <w:spacing w:line="560" w:lineRule="exact"/>
        <w:ind w:firstLine="640" w:firstLineChars="200"/>
        <w:rPr>
          <w:rFonts w:eastAsia="仿宋_GB2312"/>
          <w:sz w:val="32"/>
          <w:szCs w:val="32"/>
        </w:rPr>
      </w:pPr>
      <w:r>
        <w:rPr>
          <w:rFonts w:eastAsia="仿宋_GB2312"/>
          <w:sz w:val="32"/>
          <w:szCs w:val="32"/>
        </w:rPr>
        <w:t>指为保障机构正常运转、完成日常工作任务而发生的人员支出和公用支出。</w:t>
      </w:r>
    </w:p>
    <w:p>
      <w:pPr>
        <w:spacing w:line="560" w:lineRule="exact"/>
        <w:ind w:firstLine="640" w:firstLineChars="200"/>
        <w:rPr>
          <w:rFonts w:eastAsia="黑体"/>
          <w:sz w:val="32"/>
          <w:szCs w:val="32"/>
        </w:rPr>
      </w:pPr>
      <w:r>
        <w:rPr>
          <w:rFonts w:eastAsia="黑体"/>
          <w:sz w:val="32"/>
          <w:szCs w:val="32"/>
        </w:rPr>
        <w:t>七、项目支出</w:t>
      </w:r>
    </w:p>
    <w:p>
      <w:pPr>
        <w:spacing w:line="560" w:lineRule="exact"/>
        <w:ind w:firstLine="640" w:firstLineChars="200"/>
        <w:rPr>
          <w:rFonts w:eastAsia="仿宋_GB2312"/>
          <w:sz w:val="32"/>
          <w:szCs w:val="32"/>
        </w:rPr>
      </w:pPr>
      <w:r>
        <w:rPr>
          <w:rFonts w:eastAsia="仿宋_GB2312"/>
          <w:sz w:val="32"/>
          <w:szCs w:val="32"/>
        </w:rPr>
        <w:t xml:space="preserve">指在基本支出之外为完成特定行政任务和事业发展目标所发生的支出。 </w:t>
      </w:r>
    </w:p>
    <w:p>
      <w:pPr>
        <w:spacing w:line="560" w:lineRule="exact"/>
        <w:ind w:firstLine="640" w:firstLineChars="200"/>
        <w:rPr>
          <w:rFonts w:eastAsia="黑体"/>
          <w:sz w:val="32"/>
          <w:szCs w:val="32"/>
        </w:rPr>
      </w:pPr>
      <w:r>
        <w:rPr>
          <w:rFonts w:eastAsia="黑体"/>
          <w:sz w:val="32"/>
          <w:szCs w:val="32"/>
        </w:rPr>
        <w:t>八、“三公”经费</w:t>
      </w:r>
    </w:p>
    <w:p>
      <w:pPr>
        <w:spacing w:line="560" w:lineRule="exact"/>
        <w:ind w:firstLine="640" w:firstLineChars="200"/>
        <w:rPr>
          <w:rFonts w:eastAsia="仿宋_GB2312"/>
          <w:sz w:val="32"/>
          <w:szCs w:val="32"/>
        </w:rPr>
      </w:pPr>
      <w:r>
        <w:rPr>
          <w:rFonts w:eastAsia="仿宋_GB2312"/>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w:t>
      </w:r>
      <w:r>
        <w:rPr>
          <w:rFonts w:hint="eastAsia" w:eastAsia="仿宋_GB2312"/>
          <w:sz w:val="32"/>
          <w:szCs w:val="32"/>
          <w:lang w:eastAsia="zh-CN"/>
        </w:rPr>
        <w:t>、牌照费</w:t>
      </w:r>
      <w:r>
        <w:rPr>
          <w:rFonts w:eastAsia="仿宋_GB2312"/>
          <w:sz w:val="32"/>
          <w:szCs w:val="32"/>
        </w:rPr>
        <w:t>）及按规定保留的公务用车燃料费、维修费、过路过桥费、保险费、安全奖励费用等支出；公务接待费反映单位按规定开支的各类公务接待（含外宾接待）支出。</w:t>
      </w:r>
    </w:p>
    <w:p>
      <w:pPr>
        <w:spacing w:line="560" w:lineRule="exact"/>
        <w:ind w:firstLine="640" w:firstLineChars="200"/>
        <w:rPr>
          <w:rFonts w:eastAsia="黑体"/>
          <w:sz w:val="32"/>
          <w:szCs w:val="32"/>
        </w:rPr>
      </w:pPr>
      <w:r>
        <w:rPr>
          <w:rFonts w:eastAsia="黑体"/>
          <w:sz w:val="32"/>
          <w:szCs w:val="32"/>
        </w:rPr>
        <w:t>九、机关运行经费</w:t>
      </w:r>
    </w:p>
    <w:p>
      <w:pPr>
        <w:spacing w:line="560" w:lineRule="exact"/>
        <w:ind w:firstLine="640" w:firstLineChars="200"/>
        <w:rPr>
          <w:rFonts w:eastAsia="仿宋_GB2312"/>
          <w:sz w:val="32"/>
          <w:szCs w:val="32"/>
        </w:rPr>
      </w:pPr>
      <w:r>
        <w:rPr>
          <w:rFonts w:eastAsia="仿宋_GB2312"/>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
      <w:pPr>
        <w:jc w:val="center"/>
        <w:rPr>
          <w:rFonts w:hint="eastAsia" w:ascii="方正小标宋_GBK" w:eastAsia="方正小标宋_GBK"/>
          <w:sz w:val="44"/>
          <w:szCs w:val="44"/>
        </w:rPr>
      </w:pPr>
      <w:bookmarkStart w:id="80" w:name="_Toc15377226"/>
      <w:r>
        <w:rPr>
          <w:rFonts w:ascii="宋体"/>
          <w:b/>
        </w:rPr>
        <w:br w:type="page"/>
      </w:r>
      <w:bookmarkStart w:id="81" w:name="_Toc25982_WPSOffice_Level1"/>
      <w:bookmarkStart w:id="82" w:name="_Toc15396614"/>
      <w:r>
        <w:rPr>
          <w:rFonts w:hint="eastAsia" w:ascii="方正小标宋_GBK" w:eastAsia="方正小标宋_GBK"/>
          <w:sz w:val="44"/>
          <w:szCs w:val="44"/>
        </w:rPr>
        <w:t>第四部分 附件</w:t>
      </w:r>
      <w:bookmarkEnd w:id="81"/>
      <w:bookmarkEnd w:id="82"/>
    </w:p>
    <w:p>
      <w:pPr>
        <w:rPr>
          <w:rFonts w:eastAsia="黑体"/>
          <w:sz w:val="32"/>
          <w:szCs w:val="32"/>
        </w:rPr>
      </w:pPr>
      <w:r>
        <w:rPr>
          <w:rFonts w:eastAsia="黑体"/>
          <w:sz w:val="32"/>
          <w:szCs w:val="32"/>
        </w:rPr>
        <w:t>附件1</w:t>
      </w:r>
    </w:p>
    <w:p>
      <w:pPr>
        <w:rPr>
          <w:rFonts w:eastAsia="仿宋_GB2312"/>
          <w:sz w:val="32"/>
          <w:szCs w:val="32"/>
        </w:rPr>
      </w:pPr>
    </w:p>
    <w:p>
      <w:pPr>
        <w:spacing w:line="640" w:lineRule="exact"/>
        <w:jc w:val="center"/>
        <w:rPr>
          <w:rFonts w:eastAsia="方正小标宋_GBK"/>
          <w:sz w:val="44"/>
          <w:szCs w:val="44"/>
        </w:rPr>
      </w:pPr>
      <w:bookmarkStart w:id="83" w:name="_Toc23011_WPSOffice_Level2"/>
      <w:r>
        <w:rPr>
          <w:rFonts w:eastAsia="方正小标宋_GBK"/>
          <w:sz w:val="44"/>
          <w:szCs w:val="44"/>
        </w:rPr>
        <w:t>盐边县财政国库支付中心</w:t>
      </w:r>
      <w:bookmarkEnd w:id="83"/>
    </w:p>
    <w:p>
      <w:pPr>
        <w:spacing w:line="640" w:lineRule="exact"/>
        <w:jc w:val="center"/>
        <w:rPr>
          <w:rFonts w:eastAsia="方正小标宋_GBK"/>
          <w:sz w:val="44"/>
          <w:szCs w:val="44"/>
        </w:rPr>
      </w:pPr>
      <w:bookmarkStart w:id="84" w:name="_Toc20071_WPSOffice_Level2"/>
      <w:r>
        <w:rPr>
          <w:rFonts w:eastAsia="方正小标宋_GBK"/>
          <w:sz w:val="44"/>
          <w:szCs w:val="44"/>
        </w:rPr>
        <w:t>2022年部门预算整体绩效自评报告</w:t>
      </w:r>
      <w:bookmarkEnd w:id="84"/>
    </w:p>
    <w:p>
      <w:pPr>
        <w:ind w:firstLine="640" w:firstLineChars="200"/>
        <w:jc w:val="center"/>
        <w:rPr>
          <w:rFonts w:eastAsia="楷体_GB2312"/>
          <w:sz w:val="32"/>
          <w:szCs w:val="32"/>
        </w:rPr>
      </w:pPr>
      <w:bookmarkStart w:id="85" w:name="_Toc50042767"/>
      <w:bookmarkStart w:id="86" w:name="_Toc50042291"/>
    </w:p>
    <w:p>
      <w:pPr>
        <w:spacing w:line="560" w:lineRule="exact"/>
        <w:ind w:firstLine="640" w:firstLineChars="200"/>
        <w:rPr>
          <w:rFonts w:eastAsia="黑体"/>
          <w:sz w:val="32"/>
          <w:szCs w:val="32"/>
        </w:rPr>
      </w:pPr>
      <w:bookmarkStart w:id="87" w:name="_Toc21699_WPSOffice_Level2"/>
      <w:r>
        <w:rPr>
          <w:rFonts w:eastAsia="黑体"/>
          <w:sz w:val="32"/>
          <w:szCs w:val="32"/>
        </w:rPr>
        <w:t>一、部门概况</w:t>
      </w:r>
      <w:bookmarkEnd w:id="87"/>
    </w:p>
    <w:p>
      <w:pPr>
        <w:spacing w:line="560" w:lineRule="exact"/>
        <w:ind w:firstLine="640" w:firstLineChars="200"/>
        <w:rPr>
          <w:rFonts w:eastAsia="楷体_GB2312"/>
          <w:sz w:val="32"/>
          <w:szCs w:val="32"/>
        </w:rPr>
      </w:pPr>
      <w:r>
        <w:rPr>
          <w:rFonts w:eastAsia="楷体_GB2312"/>
          <w:sz w:val="32"/>
          <w:szCs w:val="32"/>
        </w:rPr>
        <w:t>（一）机构组成。</w:t>
      </w:r>
    </w:p>
    <w:p>
      <w:pPr>
        <w:spacing w:line="560" w:lineRule="exact"/>
        <w:ind w:firstLine="640" w:firstLineChars="200"/>
        <w:rPr>
          <w:rFonts w:eastAsia="仿宋_GB2312"/>
          <w:sz w:val="32"/>
          <w:szCs w:val="32"/>
        </w:rPr>
      </w:pPr>
      <w:r>
        <w:rPr>
          <w:rFonts w:eastAsia="仿宋_GB2312"/>
          <w:sz w:val="32"/>
          <w:szCs w:val="32"/>
        </w:rPr>
        <w:t>盐边县财政国库支付中心为参照公务员法管理的全额拨款事业单位。</w:t>
      </w:r>
    </w:p>
    <w:p>
      <w:pPr>
        <w:spacing w:line="560" w:lineRule="exact"/>
        <w:ind w:firstLine="640" w:firstLineChars="200"/>
        <w:rPr>
          <w:rFonts w:eastAsia="楷体_GB2312"/>
          <w:sz w:val="32"/>
          <w:szCs w:val="32"/>
        </w:rPr>
      </w:pPr>
      <w:r>
        <w:rPr>
          <w:rFonts w:eastAsia="楷体_GB2312"/>
          <w:sz w:val="32"/>
          <w:szCs w:val="32"/>
        </w:rPr>
        <w:t>（二）机构职能。</w:t>
      </w:r>
    </w:p>
    <w:p>
      <w:pPr>
        <w:spacing w:line="560" w:lineRule="exact"/>
        <w:ind w:firstLine="640" w:firstLineChars="200"/>
        <w:rPr>
          <w:rFonts w:eastAsia="仿宋_GB2312"/>
          <w:sz w:val="32"/>
          <w:szCs w:val="32"/>
        </w:rPr>
      </w:pPr>
      <w:r>
        <w:rPr>
          <w:rFonts w:eastAsia="仿宋_GB2312"/>
          <w:sz w:val="32"/>
          <w:szCs w:val="32"/>
        </w:rPr>
        <w:t>机构类别为公益一类，负责财政国库集中支付相关事务性工作，积极推进国库管理制度改革，加强各项财政资金的管理，及时掌握资金动态，确保资金运行安全。</w:t>
      </w:r>
    </w:p>
    <w:p>
      <w:pPr>
        <w:spacing w:line="560" w:lineRule="exact"/>
        <w:ind w:firstLine="640" w:firstLineChars="200"/>
        <w:rPr>
          <w:rFonts w:eastAsia="仿宋_GB2312"/>
          <w:sz w:val="32"/>
          <w:szCs w:val="32"/>
        </w:rPr>
      </w:pPr>
      <w:r>
        <w:rPr>
          <w:rFonts w:eastAsia="仿宋_GB2312"/>
          <w:sz w:val="32"/>
          <w:szCs w:val="32"/>
        </w:rPr>
        <w:t>1.配合财政国库管理部门建立财政国库单一账户体系，管理和使用国库单一账户体系有关账户，包括财政零余额账户，特设专户等。</w:t>
      </w:r>
    </w:p>
    <w:p>
      <w:pPr>
        <w:spacing w:line="560" w:lineRule="exact"/>
        <w:ind w:firstLine="640" w:firstLineChars="200"/>
        <w:rPr>
          <w:rFonts w:eastAsia="仿宋_GB2312"/>
          <w:sz w:val="32"/>
          <w:szCs w:val="32"/>
        </w:rPr>
      </w:pPr>
      <w:r>
        <w:rPr>
          <w:rFonts w:eastAsia="仿宋_GB2312"/>
          <w:sz w:val="32"/>
          <w:szCs w:val="32"/>
        </w:rPr>
        <w:t>2.根据国库股批复的预算单位用款计划，审核预算单位的支付申请，及时办理单位财政资金支付业务，按时完成全县工资的发放。</w:t>
      </w:r>
    </w:p>
    <w:p>
      <w:pPr>
        <w:spacing w:line="560" w:lineRule="exact"/>
        <w:ind w:firstLine="640" w:firstLineChars="200"/>
        <w:rPr>
          <w:rFonts w:eastAsia="仿宋_GB2312"/>
          <w:sz w:val="32"/>
          <w:szCs w:val="32"/>
        </w:rPr>
      </w:pPr>
      <w:r>
        <w:rPr>
          <w:rFonts w:eastAsia="仿宋_GB2312"/>
          <w:sz w:val="32"/>
          <w:szCs w:val="32"/>
        </w:rPr>
        <w:t>3.配合推进国库管理制度的改革，按照中央、省、市财政对改革的具体要求，进一步优化业务流程、规范支付方式，积极推进预算管理一体化系统服务运行。</w:t>
      </w:r>
    </w:p>
    <w:p>
      <w:pPr>
        <w:spacing w:line="560" w:lineRule="exact"/>
        <w:ind w:firstLine="640" w:firstLineChars="200"/>
        <w:rPr>
          <w:rFonts w:eastAsia="仿宋_GB2312"/>
          <w:sz w:val="32"/>
          <w:szCs w:val="32"/>
        </w:rPr>
      </w:pPr>
      <w:r>
        <w:rPr>
          <w:rFonts w:eastAsia="仿宋_GB2312"/>
          <w:sz w:val="32"/>
          <w:szCs w:val="32"/>
        </w:rPr>
        <w:t>4.负责对财政资金支出进行动态监控，设定并完善动态监控预警规则，对存在疑点或违规问题进行核查并及时向相关预算单位提出处理意见或建议。</w:t>
      </w:r>
    </w:p>
    <w:p>
      <w:pPr>
        <w:spacing w:line="560" w:lineRule="exact"/>
        <w:ind w:firstLine="640" w:firstLineChars="200"/>
        <w:rPr>
          <w:rFonts w:eastAsia="仿宋_GB2312"/>
          <w:sz w:val="32"/>
          <w:szCs w:val="32"/>
        </w:rPr>
      </w:pPr>
      <w:r>
        <w:rPr>
          <w:rFonts w:eastAsia="仿宋_GB2312"/>
          <w:sz w:val="32"/>
          <w:szCs w:val="32"/>
        </w:rPr>
        <w:t>5.负责财政国库支付的财务核算，定期与国库股、代理银行对账。</w:t>
      </w:r>
    </w:p>
    <w:p>
      <w:pPr>
        <w:spacing w:line="560" w:lineRule="exact"/>
        <w:ind w:firstLine="640" w:firstLineChars="200"/>
        <w:rPr>
          <w:rFonts w:eastAsia="仿宋_GB2312"/>
          <w:sz w:val="32"/>
          <w:szCs w:val="32"/>
        </w:rPr>
      </w:pPr>
      <w:r>
        <w:rPr>
          <w:rFonts w:eastAsia="仿宋_GB2312"/>
          <w:sz w:val="32"/>
          <w:szCs w:val="32"/>
        </w:rPr>
        <w:t>6.负责财政零余额账户，预算单位零余额账户的资金清算工作。</w:t>
      </w:r>
    </w:p>
    <w:p>
      <w:pPr>
        <w:spacing w:line="560" w:lineRule="exact"/>
        <w:ind w:firstLine="640" w:firstLineChars="200"/>
        <w:rPr>
          <w:rFonts w:eastAsia="楷体_GB2312"/>
          <w:sz w:val="32"/>
          <w:szCs w:val="32"/>
        </w:rPr>
      </w:pPr>
      <w:r>
        <w:rPr>
          <w:rFonts w:eastAsia="楷体_GB2312"/>
          <w:sz w:val="32"/>
          <w:szCs w:val="32"/>
        </w:rPr>
        <w:t>（三）人员概况。</w:t>
      </w:r>
    </w:p>
    <w:p>
      <w:pPr>
        <w:spacing w:line="560" w:lineRule="exact"/>
        <w:ind w:firstLine="640" w:firstLineChars="200"/>
        <w:rPr>
          <w:rFonts w:eastAsia="仿宋_GB2312"/>
          <w:sz w:val="32"/>
          <w:szCs w:val="32"/>
        </w:rPr>
      </w:pPr>
      <w:r>
        <w:rPr>
          <w:rFonts w:eastAsia="仿宋_GB2312"/>
          <w:sz w:val="32"/>
          <w:szCs w:val="32"/>
        </w:rPr>
        <w:t>盐边县财政国库支付中心为参照公务员管理的事业单位，预算编制16人，在职职工13人，退休职工8人。</w:t>
      </w:r>
      <w:bookmarkStart w:id="88" w:name="_Toc11171_WPSOffice_Level2"/>
    </w:p>
    <w:p>
      <w:pPr>
        <w:spacing w:line="560" w:lineRule="exact"/>
        <w:ind w:firstLine="640" w:firstLineChars="200"/>
        <w:rPr>
          <w:rFonts w:eastAsia="黑体"/>
          <w:sz w:val="32"/>
          <w:szCs w:val="32"/>
        </w:rPr>
      </w:pPr>
      <w:r>
        <w:rPr>
          <w:rFonts w:eastAsia="黑体"/>
          <w:sz w:val="32"/>
          <w:szCs w:val="32"/>
        </w:rPr>
        <w:t>二、部门财政资金基本情况</w:t>
      </w:r>
      <w:bookmarkEnd w:id="88"/>
    </w:p>
    <w:p>
      <w:pPr>
        <w:spacing w:line="560" w:lineRule="exact"/>
        <w:ind w:firstLine="640" w:firstLineChars="200"/>
        <w:rPr>
          <w:rFonts w:eastAsia="楷体_GB2312"/>
          <w:sz w:val="32"/>
          <w:szCs w:val="32"/>
        </w:rPr>
      </w:pPr>
      <w:r>
        <w:rPr>
          <w:rFonts w:eastAsia="楷体_GB2312"/>
          <w:sz w:val="32"/>
          <w:szCs w:val="32"/>
        </w:rPr>
        <w:t>（一）部门财政资金收入情况。</w:t>
      </w:r>
    </w:p>
    <w:p>
      <w:pPr>
        <w:spacing w:line="560" w:lineRule="exact"/>
        <w:ind w:firstLine="640" w:firstLineChars="200"/>
        <w:rPr>
          <w:rFonts w:eastAsia="仿宋_GB2312"/>
          <w:sz w:val="32"/>
          <w:szCs w:val="32"/>
        </w:rPr>
      </w:pPr>
      <w:r>
        <w:rPr>
          <w:rFonts w:eastAsia="仿宋_GB2312"/>
          <w:sz w:val="32"/>
          <w:szCs w:val="32"/>
        </w:rPr>
        <w:t>2022年我单位本年收入总额为286.36万元，均为财政拨款补助收入，占总收入的100%，无预算外资金收入和其他收入。其中：一般公共服务支出205.38万元，社会保障和就业支出41.08万元，卫生健康支出20.48万元，住房保障支出19.42万元。</w:t>
      </w:r>
    </w:p>
    <w:p>
      <w:pPr>
        <w:spacing w:line="560" w:lineRule="exact"/>
        <w:ind w:firstLine="640" w:firstLineChars="200"/>
        <w:rPr>
          <w:rFonts w:eastAsia="楷体_GB2312"/>
          <w:sz w:val="32"/>
          <w:szCs w:val="32"/>
        </w:rPr>
      </w:pPr>
      <w:r>
        <w:rPr>
          <w:rFonts w:eastAsia="楷体_GB2312"/>
          <w:sz w:val="32"/>
          <w:szCs w:val="32"/>
        </w:rPr>
        <w:t>（二）部门财政资金支出情况。</w:t>
      </w:r>
    </w:p>
    <w:p>
      <w:pPr>
        <w:spacing w:line="560" w:lineRule="exact"/>
        <w:ind w:firstLine="640" w:firstLineChars="200"/>
        <w:rPr>
          <w:rFonts w:eastAsia="仿宋_GB2312"/>
          <w:sz w:val="32"/>
          <w:szCs w:val="32"/>
        </w:rPr>
      </w:pPr>
      <w:r>
        <w:rPr>
          <w:rFonts w:eastAsia="仿宋_GB2312"/>
          <w:sz w:val="32"/>
          <w:szCs w:val="32"/>
        </w:rPr>
        <w:t>2022我单位本年支出总额286.36万元，均为财政拨款补助支出，占总支出的100%。其中：基本支出286.36万元，占总支出的100%，项目支出0万元，占总支出的0%。</w:t>
      </w:r>
    </w:p>
    <w:p>
      <w:pPr>
        <w:spacing w:line="560" w:lineRule="exact"/>
        <w:ind w:firstLine="643" w:firstLineChars="200"/>
        <w:rPr>
          <w:rFonts w:eastAsia="仿宋_GB2312"/>
          <w:b/>
          <w:sz w:val="32"/>
          <w:szCs w:val="32"/>
        </w:rPr>
      </w:pPr>
      <w:r>
        <w:rPr>
          <w:rFonts w:eastAsia="仿宋_GB2312"/>
          <w:b/>
          <w:sz w:val="32"/>
          <w:szCs w:val="32"/>
        </w:rPr>
        <w:t>1.按支出功能分类主要用于以下方面</w:t>
      </w:r>
    </w:p>
    <w:p>
      <w:pPr>
        <w:spacing w:line="560" w:lineRule="exact"/>
        <w:ind w:firstLine="640" w:firstLineChars="200"/>
        <w:rPr>
          <w:rFonts w:eastAsia="仿宋_GB2312"/>
          <w:sz w:val="32"/>
          <w:szCs w:val="32"/>
        </w:rPr>
      </w:pPr>
      <w:r>
        <w:rPr>
          <w:rFonts w:eastAsia="仿宋_GB2312"/>
          <w:sz w:val="32"/>
          <w:szCs w:val="32"/>
        </w:rPr>
        <w:t>（1）一般公共服务支出205.38万元，占总支出的72.96%，主要用于单位人员工资、日常运转以及为完成特定行政工作任务和事业发展目标而安排的年度项目支出。</w:t>
      </w:r>
    </w:p>
    <w:p>
      <w:pPr>
        <w:spacing w:line="560" w:lineRule="exact"/>
        <w:ind w:firstLine="640" w:firstLineChars="200"/>
        <w:rPr>
          <w:rFonts w:eastAsia="仿宋_GB2312"/>
          <w:sz w:val="32"/>
          <w:szCs w:val="32"/>
        </w:rPr>
      </w:pPr>
      <w:r>
        <w:rPr>
          <w:rFonts w:eastAsia="仿宋_GB2312"/>
          <w:sz w:val="32"/>
          <w:szCs w:val="32"/>
        </w:rPr>
        <w:t>（2）社会保障和就业支出41.08万元，占总支出的14.35%，主要用于单位人员的基本养老保险单位缴费支出以及离退休人员的相关经费支出。</w:t>
      </w:r>
    </w:p>
    <w:p>
      <w:pPr>
        <w:spacing w:line="560" w:lineRule="exact"/>
        <w:ind w:firstLine="640" w:firstLineChars="200"/>
        <w:rPr>
          <w:rFonts w:eastAsia="仿宋_GB2312"/>
          <w:sz w:val="32"/>
          <w:szCs w:val="32"/>
        </w:rPr>
      </w:pPr>
      <w:r>
        <w:rPr>
          <w:rFonts w:eastAsia="仿宋_GB2312"/>
          <w:sz w:val="32"/>
          <w:szCs w:val="32"/>
        </w:rPr>
        <w:t>（3）卫生健康支出20.48万元，占总支出的7.15%，主要用于机关及离退休人员的基本医疗保险缴费等支出</w:t>
      </w:r>
    </w:p>
    <w:p>
      <w:pPr>
        <w:spacing w:line="560" w:lineRule="exact"/>
        <w:ind w:firstLine="640" w:firstLineChars="200"/>
        <w:rPr>
          <w:rFonts w:eastAsia="仿宋_GB2312"/>
          <w:sz w:val="32"/>
          <w:szCs w:val="32"/>
        </w:rPr>
      </w:pPr>
      <w:r>
        <w:rPr>
          <w:rFonts w:eastAsia="仿宋_GB2312"/>
          <w:sz w:val="32"/>
          <w:szCs w:val="32"/>
        </w:rPr>
        <w:t>（4）住房保障支出19.42万元，占总支出的6.78%，用于单位按照规定标准为职工缴纳住房公积金等支出。</w:t>
      </w:r>
    </w:p>
    <w:p>
      <w:pPr>
        <w:spacing w:line="560" w:lineRule="exact"/>
        <w:ind w:firstLine="643" w:firstLineChars="200"/>
        <w:rPr>
          <w:rFonts w:eastAsia="仿宋_GB2312"/>
          <w:b/>
          <w:sz w:val="32"/>
          <w:szCs w:val="32"/>
        </w:rPr>
      </w:pPr>
      <w:r>
        <w:rPr>
          <w:rFonts w:eastAsia="仿宋_GB2312"/>
          <w:b/>
          <w:sz w:val="32"/>
          <w:szCs w:val="32"/>
        </w:rPr>
        <w:t>2.按支出按经济分类主要用于以下方面</w:t>
      </w:r>
    </w:p>
    <w:p>
      <w:pPr>
        <w:spacing w:line="560" w:lineRule="exact"/>
        <w:ind w:firstLine="640" w:firstLineChars="200"/>
        <w:rPr>
          <w:rFonts w:eastAsia="仿宋_GB2312"/>
          <w:sz w:val="32"/>
          <w:szCs w:val="32"/>
        </w:rPr>
      </w:pPr>
      <w:r>
        <w:rPr>
          <w:rFonts w:eastAsia="仿宋_GB2312"/>
          <w:sz w:val="32"/>
          <w:szCs w:val="32"/>
        </w:rPr>
        <w:t>我单位本年支出286.36万元，其中：工资福利支出256.29万元,商品服务支出16.19万元,对个人和家庭的补助支出11.66万元，资本性支出2.21万元。主要的经费支出有以下几方面:</w:t>
      </w:r>
    </w:p>
    <w:p>
      <w:pPr>
        <w:spacing w:line="560" w:lineRule="exact"/>
        <w:ind w:firstLine="640" w:firstLineChars="200"/>
        <w:rPr>
          <w:rFonts w:eastAsia="仿宋_GB2312"/>
          <w:sz w:val="32"/>
          <w:szCs w:val="32"/>
        </w:rPr>
      </w:pPr>
      <w:r>
        <w:rPr>
          <w:rFonts w:eastAsia="仿宋_GB2312"/>
          <w:sz w:val="32"/>
          <w:szCs w:val="32"/>
        </w:rPr>
        <w:t>（1）“三公”经费支出情况：本年新增公务接待费0元，国内公务接待0人。</w:t>
      </w:r>
    </w:p>
    <w:p>
      <w:pPr>
        <w:spacing w:line="560" w:lineRule="exact"/>
        <w:ind w:firstLine="640" w:firstLineChars="200"/>
        <w:rPr>
          <w:rFonts w:eastAsia="仿宋_GB2312"/>
          <w:sz w:val="32"/>
          <w:szCs w:val="32"/>
        </w:rPr>
      </w:pPr>
      <w:r>
        <w:rPr>
          <w:rFonts w:eastAsia="仿宋_GB2312"/>
          <w:sz w:val="32"/>
          <w:szCs w:val="32"/>
        </w:rPr>
        <w:t>（2）办公费：本年办公费支出1.29万元。</w:t>
      </w:r>
    </w:p>
    <w:p>
      <w:pPr>
        <w:spacing w:line="560" w:lineRule="exact"/>
        <w:ind w:firstLine="640" w:firstLineChars="200"/>
        <w:rPr>
          <w:rFonts w:eastAsia="仿宋_GB2312"/>
          <w:sz w:val="32"/>
          <w:szCs w:val="32"/>
        </w:rPr>
      </w:pPr>
      <w:r>
        <w:rPr>
          <w:rFonts w:eastAsia="仿宋_GB2312"/>
          <w:sz w:val="32"/>
          <w:szCs w:val="32"/>
        </w:rPr>
        <w:t>（3）邮电费：本年邮电费支出0.59万元。</w:t>
      </w:r>
    </w:p>
    <w:p>
      <w:pPr>
        <w:spacing w:line="560" w:lineRule="exact"/>
        <w:ind w:firstLine="640" w:firstLineChars="200"/>
        <w:rPr>
          <w:rFonts w:eastAsia="仿宋_GB2312"/>
          <w:sz w:val="32"/>
          <w:szCs w:val="32"/>
        </w:rPr>
      </w:pPr>
      <w:r>
        <w:rPr>
          <w:rFonts w:eastAsia="仿宋_GB2312"/>
          <w:sz w:val="32"/>
          <w:szCs w:val="32"/>
        </w:rPr>
        <w:t>（4）其他交通费用：本年职工公务用车交通补助9.48万元。</w:t>
      </w:r>
    </w:p>
    <w:p>
      <w:pPr>
        <w:spacing w:line="560" w:lineRule="exact"/>
        <w:ind w:firstLine="640" w:firstLineChars="200"/>
        <w:rPr>
          <w:rFonts w:eastAsia="楷体_GB2312"/>
          <w:sz w:val="32"/>
          <w:szCs w:val="32"/>
        </w:rPr>
      </w:pPr>
      <w:r>
        <w:rPr>
          <w:rFonts w:eastAsia="楷体_GB2312"/>
          <w:sz w:val="32"/>
          <w:szCs w:val="32"/>
        </w:rPr>
        <w:t>（三）财政资金结转和结余情况。</w:t>
      </w:r>
    </w:p>
    <w:p>
      <w:pPr>
        <w:spacing w:line="560" w:lineRule="exact"/>
        <w:ind w:firstLine="640" w:firstLineChars="200"/>
        <w:rPr>
          <w:rFonts w:eastAsia="仿宋_GB2312"/>
          <w:sz w:val="32"/>
          <w:szCs w:val="32"/>
        </w:rPr>
      </w:pPr>
      <w:r>
        <w:rPr>
          <w:rFonts w:eastAsia="仿宋_GB2312"/>
          <w:sz w:val="32"/>
          <w:szCs w:val="32"/>
        </w:rPr>
        <w:t>2022年我单位年终无结转结余资金。</w:t>
      </w:r>
    </w:p>
    <w:p>
      <w:pPr>
        <w:spacing w:line="560" w:lineRule="exact"/>
        <w:ind w:firstLine="640" w:firstLineChars="200"/>
        <w:rPr>
          <w:rFonts w:eastAsia="黑体"/>
          <w:sz w:val="32"/>
          <w:szCs w:val="32"/>
        </w:rPr>
      </w:pPr>
      <w:bookmarkStart w:id="89" w:name="_Toc26649_WPSOffice_Level2"/>
      <w:r>
        <w:rPr>
          <w:rFonts w:eastAsia="黑体"/>
          <w:sz w:val="32"/>
          <w:szCs w:val="32"/>
        </w:rPr>
        <w:t>三、部门预算绩效管理情况</w:t>
      </w:r>
      <w:bookmarkEnd w:id="89"/>
    </w:p>
    <w:p>
      <w:pPr>
        <w:spacing w:line="560" w:lineRule="exact"/>
        <w:ind w:firstLine="640" w:firstLineChars="200"/>
        <w:rPr>
          <w:rFonts w:eastAsia="楷体_GB2312"/>
          <w:sz w:val="32"/>
          <w:szCs w:val="32"/>
        </w:rPr>
      </w:pPr>
      <w:r>
        <w:rPr>
          <w:rFonts w:eastAsia="楷体_GB2312"/>
          <w:sz w:val="32"/>
          <w:szCs w:val="32"/>
        </w:rPr>
        <w:t>（一）部门预算绩效管理情况。</w:t>
      </w:r>
    </w:p>
    <w:p>
      <w:pPr>
        <w:spacing w:line="560" w:lineRule="exact"/>
        <w:ind w:firstLine="640" w:firstLineChars="200"/>
        <w:rPr>
          <w:rFonts w:eastAsia="仿宋_GB2312"/>
          <w:sz w:val="32"/>
          <w:szCs w:val="32"/>
        </w:rPr>
      </w:pPr>
      <w:r>
        <w:rPr>
          <w:rFonts w:eastAsia="仿宋_GB2312"/>
          <w:sz w:val="32"/>
          <w:szCs w:val="32"/>
        </w:rPr>
        <w:t>根据预算绩效管理工作的有关要求，进一步完善预算绩效管理制度，全面加强绩效目标管理，我单位高度重视，强化责任意识，于2022年年初制定了相应的部门绩效目标，主要是负责财政国库集中支付相关事务性工作，积极推进国库管理制度改革，加强各项财政资金的管理，及时掌握资金动态，确保资金运行安全。中心对全部财政拨款收入均按要求实行绩效目标管理。主要目标的实现：2022年人员类支出共267.96万元，主要用于人员的工资福利支出方面，基本保障了在职人员和退休人员的正常工资性收入。运转类支出共18.40万元，主要是用于机关日常运转支出方面，得以保障中心各项财政事务性工作的正常开展。全年所有支出都按照有关规定强化资金管理，提升资金使用效率，认真落实厉行节约各项政策，截止2022年12月底，本单位支出执行数为286.36万元，执行率达到100%，无资金结余等情况，较好地完成了年初制定的工作目标任务，各项工作有序推进，整体支出平稳，较好地实现社会效益和可持续效益目标，全面达到绩效目标完成进度。</w:t>
      </w:r>
    </w:p>
    <w:p>
      <w:pPr>
        <w:spacing w:line="560" w:lineRule="exact"/>
        <w:ind w:firstLine="640" w:firstLineChars="200"/>
        <w:rPr>
          <w:rFonts w:eastAsia="楷体_GB2312"/>
          <w:sz w:val="32"/>
          <w:szCs w:val="32"/>
        </w:rPr>
      </w:pPr>
      <w:r>
        <w:rPr>
          <w:rFonts w:eastAsia="楷体_GB2312"/>
          <w:sz w:val="32"/>
          <w:szCs w:val="32"/>
        </w:rPr>
        <w:t>（二）结果应用情况。</w:t>
      </w:r>
    </w:p>
    <w:p>
      <w:pPr>
        <w:spacing w:line="560" w:lineRule="exact"/>
        <w:ind w:firstLine="640" w:firstLineChars="200"/>
        <w:rPr>
          <w:rFonts w:eastAsia="仿宋_GB2312"/>
          <w:sz w:val="32"/>
          <w:szCs w:val="32"/>
        </w:rPr>
      </w:pPr>
      <w:r>
        <w:rPr>
          <w:rFonts w:eastAsia="仿宋_GB2312"/>
          <w:sz w:val="32"/>
          <w:szCs w:val="32"/>
        </w:rPr>
        <w:t>我单位根据盐边县财政局《关于开展2022年度部门预算整体级项目支出绩效自评工作的通知》（盐边财绩〔2023〕1号）文件要求，对2022年度部门支出绩效进行了认真自评，自评等级为良好。在资金的管理和使用上，严格按照相关法律、法规规定，遵守财经纪律，认真履行部门职能职责，深入了解资金的执行和使用情况，以及所产生的经济效益、社会效益等，查找出财政资金预算编制、预算执行、预算监督过程中存在的不足。加强预算绩效信息发布管理制度建设，完善绩效信息公开机制，及时将财政部门批复的部门预算及报表等信息按相关规定和要求在盐边县公众信息网“财政信息”栏中进行公开公示。同时对2022年预算绩效情况于近日通过公众信息网站公开，接受广大群众监督。</w:t>
      </w:r>
    </w:p>
    <w:p>
      <w:pPr>
        <w:spacing w:line="560" w:lineRule="exact"/>
        <w:ind w:firstLine="640" w:firstLineChars="200"/>
        <w:rPr>
          <w:rFonts w:eastAsia="黑体"/>
          <w:sz w:val="32"/>
          <w:szCs w:val="32"/>
        </w:rPr>
      </w:pPr>
      <w:bookmarkStart w:id="90" w:name="_Toc12962_WPSOffice_Level2"/>
      <w:r>
        <w:rPr>
          <w:rFonts w:eastAsia="黑体"/>
          <w:sz w:val="32"/>
          <w:szCs w:val="32"/>
        </w:rPr>
        <w:t>四、评价结论及建议</w:t>
      </w:r>
      <w:bookmarkEnd w:id="90"/>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eastAsia="仿宋_GB2312"/>
          <w:sz w:val="32"/>
          <w:szCs w:val="32"/>
        </w:rPr>
        <w:t>2022年县财政国库支付中心按照预算管理有关规定，部门预算的编制实行综合预算制度，即全部收入和支出都反映在预算中。按照预算批复规范和从严控制预算执行，不随意调整和变更。认真落实厉行节约各项政策，牢固树立过“紧日子”的思想，在资金使用和管理方面，进一步强化资金统筹，优化资金结构，明确开支范围，细化资金用途，严格控制办公费、差旅费、公务接待费等一般性支出。县财政国库支付中心在局党组的正确领导下，认真履行职责，把服务和监督有机结合，规范、高效完成国库集中支付各项业务；加大审核监督力度，严格财政财务管理，确保了各项资金的及时、规范支付，为我县财政工作和廉政反腐工作发挥了积极作用，达到预期绩效目标，总体较为满意。</w:t>
      </w:r>
    </w:p>
    <w:p>
      <w:pPr>
        <w:spacing w:line="560" w:lineRule="exact"/>
        <w:ind w:firstLine="640" w:firstLineChars="200"/>
        <w:rPr>
          <w:rFonts w:eastAsia="楷体_GB2312"/>
          <w:sz w:val="32"/>
          <w:szCs w:val="32"/>
        </w:rPr>
      </w:pPr>
      <w:r>
        <w:rPr>
          <w:rFonts w:eastAsia="楷体_GB2312"/>
          <w:sz w:val="32"/>
          <w:szCs w:val="32"/>
        </w:rPr>
        <w:t>（二）存在问题。</w:t>
      </w:r>
    </w:p>
    <w:p>
      <w:pPr>
        <w:spacing w:line="560" w:lineRule="exact"/>
        <w:ind w:firstLine="640" w:firstLineChars="200"/>
        <w:rPr>
          <w:rFonts w:eastAsia="仿宋_GB2312"/>
          <w:sz w:val="32"/>
          <w:szCs w:val="32"/>
        </w:rPr>
      </w:pPr>
      <w:r>
        <w:rPr>
          <w:rFonts w:eastAsia="仿宋_GB2312"/>
          <w:sz w:val="32"/>
          <w:szCs w:val="32"/>
        </w:rPr>
        <w:t>1.绩效目标尚未量化，绩效指标有待完善，绩效指标的明确性、可衡量性、相关性有待进一步提升。</w:t>
      </w:r>
    </w:p>
    <w:p>
      <w:pPr>
        <w:spacing w:line="560" w:lineRule="exact"/>
        <w:ind w:firstLine="640" w:firstLineChars="200"/>
        <w:rPr>
          <w:rFonts w:eastAsia="仿宋_GB2312"/>
          <w:sz w:val="32"/>
          <w:szCs w:val="32"/>
        </w:rPr>
      </w:pPr>
      <w:r>
        <w:rPr>
          <w:rFonts w:eastAsia="仿宋_GB2312"/>
          <w:sz w:val="32"/>
          <w:szCs w:val="32"/>
        </w:rPr>
        <w:t>2.预算编制不够科学合理，按照预算精细化管理的要求，预算编制管理水平仍有进一步提升的空间。</w:t>
      </w:r>
    </w:p>
    <w:p>
      <w:pPr>
        <w:spacing w:line="560" w:lineRule="exact"/>
        <w:ind w:firstLine="640" w:firstLineChars="200"/>
        <w:rPr>
          <w:rFonts w:eastAsia="楷体_GB2312"/>
          <w:sz w:val="32"/>
          <w:szCs w:val="32"/>
        </w:rPr>
      </w:pPr>
      <w:r>
        <w:rPr>
          <w:rFonts w:eastAsia="楷体_GB2312"/>
          <w:sz w:val="32"/>
          <w:szCs w:val="32"/>
        </w:rPr>
        <w:t>（三）改进建议。</w:t>
      </w:r>
    </w:p>
    <w:p>
      <w:pPr>
        <w:spacing w:line="560" w:lineRule="exact"/>
        <w:ind w:firstLine="640" w:firstLineChars="200"/>
        <w:rPr>
          <w:rFonts w:eastAsia="仿宋_GB2312"/>
          <w:sz w:val="32"/>
          <w:szCs w:val="32"/>
        </w:rPr>
      </w:pPr>
      <w:r>
        <w:rPr>
          <w:rFonts w:eastAsia="仿宋_GB2312"/>
          <w:sz w:val="32"/>
          <w:szCs w:val="32"/>
        </w:rPr>
        <w:t>1.建立预算绩效管理制度，进一步完善预算编报、执行、监督和评价工作流程，落实绩效管理主体职责。建立健全项目支出绩效指标体系，为编制预算绩效目标及开展预算绩效评价提供指导及依据。</w:t>
      </w:r>
    </w:p>
    <w:p>
      <w:pPr>
        <w:spacing w:line="560" w:lineRule="exact"/>
        <w:ind w:firstLine="640" w:firstLineChars="200"/>
        <w:rPr>
          <w:rFonts w:eastAsia="仿宋_GB2312"/>
          <w:sz w:val="32"/>
          <w:szCs w:val="32"/>
        </w:rPr>
      </w:pPr>
      <w:r>
        <w:rPr>
          <w:rFonts w:eastAsia="仿宋_GB2312"/>
          <w:sz w:val="32"/>
          <w:szCs w:val="32"/>
        </w:rPr>
        <w:t>2.加强绩效目标管理，以绩效目标为导向，优化资源配置为目的，提高财政资金使用绩效。做到预算编制严谨、预算执行到位，进一步优化预算绩效指标体系，设置可量化可衡量的预算绩效指标，促使我单位预算绩效管理一体化。</w:t>
      </w:r>
    </w:p>
    <w:p>
      <w:pPr>
        <w:spacing w:line="560" w:lineRule="exact"/>
        <w:ind w:firstLine="640" w:firstLineChars="200"/>
        <w:rPr>
          <w:rFonts w:eastAsia="仿宋_GB2312"/>
          <w:sz w:val="32"/>
          <w:szCs w:val="32"/>
        </w:rPr>
      </w:pPr>
      <w:r>
        <w:rPr>
          <w:rFonts w:eastAsia="仿宋_GB2312"/>
          <w:sz w:val="32"/>
          <w:szCs w:val="32"/>
        </w:rPr>
        <w:t>3.加强预算绩效管理业务学习及培训，提高业务人员绩效管理意识， 进一步加强预算绩效管理工作，优化项目支出绩效指标体系，完善预算绩效管理制度，推动我单位 2022年预算绩效管理工作常态化、规范化。</w:t>
      </w:r>
    </w:p>
    <w:p>
      <w:pPr>
        <w:spacing w:line="560" w:lineRule="exact"/>
        <w:ind w:firstLine="640" w:firstLineChars="200"/>
        <w:rPr>
          <w:rFonts w:eastAsia="仿宋_GB2312"/>
          <w:sz w:val="32"/>
          <w:szCs w:val="32"/>
        </w:rPr>
      </w:pPr>
    </w:p>
    <w:bookmarkEnd w:id="85"/>
    <w:bookmarkEnd w:id="86"/>
    <w:p>
      <w:pPr>
        <w:spacing w:line="560" w:lineRule="exact"/>
        <w:ind w:left="1598" w:leftChars="304" w:hanging="960" w:hangingChars="300"/>
        <w:rPr>
          <w:rFonts w:eastAsia="仿宋_GB2312"/>
          <w:sz w:val="32"/>
          <w:szCs w:val="32"/>
        </w:rPr>
      </w:pPr>
      <w:bookmarkStart w:id="91" w:name="_Toc18870_WPSOffice_Level2"/>
      <w:r>
        <w:rPr>
          <w:rFonts w:eastAsia="仿宋_GB2312"/>
          <w:sz w:val="32"/>
          <w:szCs w:val="32"/>
        </w:rPr>
        <w:t>附表：2022年度部门预算项目支出绩效自评表（详见附件）</w:t>
      </w:r>
      <w:bookmarkEnd w:id="91"/>
    </w:p>
    <w:p>
      <w:pPr>
        <w:pStyle w:val="15"/>
        <w:spacing w:line="560" w:lineRule="exact"/>
        <w:ind w:left="0" w:leftChars="0" w:firstLine="0" w:firstLineChars="0"/>
        <w:rPr>
          <w:color w:val="FF0000"/>
          <w:sz w:val="32"/>
          <w:lang w:val="zh-CN"/>
        </w:rPr>
      </w:pPr>
    </w:p>
    <w:p>
      <w:pPr>
        <w:pStyle w:val="15"/>
        <w:spacing w:line="560" w:lineRule="exact"/>
        <w:ind w:left="0" w:leftChars="0" w:firstLine="0" w:firstLineChars="0"/>
        <w:rPr>
          <w:color w:val="FF0000"/>
          <w:sz w:val="32"/>
          <w:lang w:val="zh-CN"/>
        </w:rPr>
      </w:pPr>
    </w:p>
    <w:p>
      <w:pPr>
        <w:pStyle w:val="15"/>
        <w:spacing w:line="560" w:lineRule="exact"/>
        <w:ind w:left="0" w:leftChars="0" w:firstLine="0" w:firstLineChars="0"/>
        <w:rPr>
          <w:color w:val="FF0000"/>
          <w:sz w:val="32"/>
          <w:lang w:val="zh-CN"/>
        </w:rPr>
      </w:pPr>
    </w:p>
    <w:p>
      <w:pPr>
        <w:pStyle w:val="15"/>
        <w:spacing w:line="560" w:lineRule="exact"/>
        <w:ind w:left="0" w:leftChars="0" w:firstLine="0" w:firstLineChars="0"/>
        <w:rPr>
          <w:color w:val="FF0000"/>
          <w:sz w:val="32"/>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spacing w:line="600" w:lineRule="exact"/>
        <w:jc w:val="center"/>
        <w:outlineLvl w:val="0"/>
        <w:rPr>
          <w:rFonts w:hint="eastAsia" w:ascii="黑体" w:hAnsi="黑体" w:eastAsia="黑体"/>
          <w:sz w:val="44"/>
          <w:szCs w:val="44"/>
        </w:rPr>
      </w:pPr>
      <w:bookmarkStart w:id="92" w:name="_Toc15396618"/>
      <w:bookmarkStart w:id="93" w:name="_Toc6039_WPSOffice_Level1"/>
    </w:p>
    <w:p>
      <w:pPr>
        <w:jc w:val="center"/>
        <w:rPr>
          <w:rFonts w:hint="eastAsia" w:ascii="方正小标宋_GBK" w:eastAsia="方正小标宋_GBK"/>
          <w:sz w:val="44"/>
          <w:szCs w:val="44"/>
        </w:rPr>
      </w:pPr>
      <w:r>
        <w:rPr>
          <w:rFonts w:hint="eastAsia" w:ascii="方正小标宋_GBK" w:eastAsia="方正小标宋_GBK"/>
          <w:sz w:val="44"/>
          <w:szCs w:val="44"/>
        </w:rPr>
        <w:t>第五部分 附表</w:t>
      </w:r>
      <w:bookmarkEnd w:id="80"/>
      <w:bookmarkEnd w:id="92"/>
      <w:bookmarkEnd w:id="93"/>
      <w:bookmarkStart w:id="94" w:name="_Toc15396619"/>
    </w:p>
    <w:p>
      <w:pPr>
        <w:ind w:firstLine="640" w:firstLineChars="200"/>
        <w:rPr>
          <w:rFonts w:hint="eastAsia" w:ascii="黑体" w:eastAsia="黑体"/>
          <w:sz w:val="32"/>
          <w:szCs w:val="32"/>
        </w:rPr>
      </w:pPr>
      <w:bookmarkStart w:id="95" w:name="_Toc32028_WPSOffice_Level2"/>
    </w:p>
    <w:p>
      <w:pPr>
        <w:ind w:firstLine="640" w:firstLineChars="200"/>
        <w:rPr>
          <w:rFonts w:hint="eastAsia" w:ascii="黑体" w:eastAsia="黑体"/>
          <w:sz w:val="32"/>
          <w:szCs w:val="32"/>
        </w:rPr>
      </w:pPr>
      <w:r>
        <w:rPr>
          <w:rFonts w:hint="eastAsia" w:ascii="黑体" w:eastAsia="黑体"/>
          <w:sz w:val="32"/>
          <w:szCs w:val="32"/>
        </w:rPr>
        <w:t>一、收入支出决算总表</w:t>
      </w:r>
      <w:bookmarkEnd w:id="94"/>
      <w:bookmarkEnd w:id="95"/>
    </w:p>
    <w:p>
      <w:r>
        <w:drawing>
          <wp:inline distT="0" distB="0" distL="114300" distR="114300">
            <wp:extent cx="5267960" cy="4381500"/>
            <wp:effectExtent l="0" t="0" r="889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5267960" cy="4381500"/>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96" w:name="_Toc15396620"/>
      <w:bookmarkStart w:id="97" w:name="_Toc8949_WPSOffice_Level2"/>
      <w:r>
        <w:rPr>
          <w:rFonts w:hint="eastAsia" w:ascii="黑体" w:eastAsia="黑体"/>
          <w:sz w:val="32"/>
          <w:szCs w:val="32"/>
        </w:rPr>
        <w:t>二、收入决算表</w:t>
      </w:r>
      <w:bookmarkEnd w:id="96"/>
      <w:bookmarkEnd w:id="97"/>
    </w:p>
    <w:p>
      <w:r>
        <w:drawing>
          <wp:inline distT="0" distB="0" distL="114300" distR="114300">
            <wp:extent cx="5266690" cy="2257425"/>
            <wp:effectExtent l="0" t="0" r="1016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4"/>
                    <a:stretch>
                      <a:fillRect/>
                    </a:stretch>
                  </pic:blipFill>
                  <pic:spPr>
                    <a:xfrm>
                      <a:off x="0" y="0"/>
                      <a:ext cx="5266690" cy="2257425"/>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98" w:name="_Toc15396621"/>
      <w:bookmarkStart w:id="99" w:name="_Toc13179_WPSOffice_Level2"/>
      <w:r>
        <w:rPr>
          <w:rFonts w:hint="eastAsia" w:ascii="黑体" w:eastAsia="黑体"/>
          <w:sz w:val="32"/>
          <w:szCs w:val="32"/>
        </w:rPr>
        <w:t>三、支出决算表</w:t>
      </w:r>
      <w:bookmarkEnd w:id="98"/>
      <w:bookmarkEnd w:id="99"/>
    </w:p>
    <w:p>
      <w:r>
        <w:drawing>
          <wp:inline distT="0" distB="0" distL="114300" distR="114300">
            <wp:extent cx="5265420" cy="2514600"/>
            <wp:effectExtent l="0" t="0" r="1143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a:stretch>
                      <a:fillRect/>
                    </a:stretch>
                  </pic:blipFill>
                  <pic:spPr>
                    <a:xfrm>
                      <a:off x="0" y="0"/>
                      <a:ext cx="5265420" cy="2514600"/>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100" w:name="_Toc15396622"/>
      <w:bookmarkStart w:id="101" w:name="_Toc29995_WPSOffice_Level2"/>
      <w:r>
        <w:rPr>
          <w:rFonts w:hint="eastAsia" w:ascii="黑体" w:eastAsia="黑体"/>
          <w:sz w:val="32"/>
          <w:szCs w:val="32"/>
        </w:rPr>
        <w:t>四、财政拨款收入支出决算总表</w:t>
      </w:r>
      <w:bookmarkEnd w:id="100"/>
      <w:bookmarkEnd w:id="101"/>
    </w:p>
    <w:p>
      <w:r>
        <w:drawing>
          <wp:inline distT="0" distB="0" distL="114300" distR="114300">
            <wp:extent cx="5272405" cy="3910330"/>
            <wp:effectExtent l="0" t="0" r="4445" b="139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6"/>
                    <a:stretch>
                      <a:fillRect/>
                    </a:stretch>
                  </pic:blipFill>
                  <pic:spPr>
                    <a:xfrm>
                      <a:off x="0" y="0"/>
                      <a:ext cx="5272405" cy="3910330"/>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102" w:name="_Toc15396623"/>
      <w:bookmarkStart w:id="103" w:name="_Toc10759_WPSOffice_Level2"/>
      <w:r>
        <w:rPr>
          <w:rFonts w:hint="eastAsia" w:ascii="黑体" w:eastAsia="黑体"/>
          <w:sz w:val="32"/>
          <w:szCs w:val="32"/>
        </w:rPr>
        <w:t>五、财政拨款支出决算明细表</w:t>
      </w:r>
      <w:bookmarkEnd w:id="102"/>
      <w:bookmarkEnd w:id="103"/>
      <w:bookmarkStart w:id="104" w:name="_Toc15396624"/>
    </w:p>
    <w:p>
      <w:r>
        <w:drawing>
          <wp:inline distT="0" distB="0" distL="114300" distR="114300">
            <wp:extent cx="5265420" cy="8855710"/>
            <wp:effectExtent l="0" t="0" r="1143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7"/>
                    <a:stretch>
                      <a:fillRect/>
                    </a:stretch>
                  </pic:blipFill>
                  <pic:spPr>
                    <a:xfrm>
                      <a:off x="0" y="0"/>
                      <a:ext cx="5265420" cy="8855710"/>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105" w:name="_Toc25246_WPSOffice_Level2"/>
      <w:r>
        <w:rPr>
          <w:rFonts w:hint="eastAsia" w:ascii="黑体" w:eastAsia="黑体"/>
          <w:sz w:val="32"/>
          <w:szCs w:val="32"/>
        </w:rPr>
        <w:t>六、一般公共预算财政拨款支出决算表</w:t>
      </w:r>
      <w:bookmarkEnd w:id="104"/>
      <w:bookmarkEnd w:id="105"/>
    </w:p>
    <w:p>
      <w:r>
        <w:drawing>
          <wp:inline distT="0" distB="0" distL="114300" distR="114300">
            <wp:extent cx="5267960" cy="3374390"/>
            <wp:effectExtent l="0" t="0" r="8890" b="165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8"/>
                    <a:stretch>
                      <a:fillRect/>
                    </a:stretch>
                  </pic:blipFill>
                  <pic:spPr>
                    <a:xfrm>
                      <a:off x="0" y="0"/>
                      <a:ext cx="5267960" cy="3374390"/>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106" w:name="_Toc9353_WPSOffice_Level2"/>
      <w:bookmarkStart w:id="107" w:name="_Toc15396625"/>
      <w:r>
        <w:rPr>
          <w:rFonts w:hint="eastAsia" w:ascii="黑体" w:eastAsia="黑体"/>
          <w:sz w:val="32"/>
          <w:szCs w:val="32"/>
        </w:rPr>
        <w:t>七、一般公共预算财政拨款支出决算明细表</w:t>
      </w:r>
      <w:bookmarkEnd w:id="106"/>
      <w:bookmarkEnd w:id="107"/>
    </w:p>
    <w:p>
      <w:r>
        <w:drawing>
          <wp:inline distT="0" distB="0" distL="114300" distR="114300">
            <wp:extent cx="5274310" cy="2340610"/>
            <wp:effectExtent l="0" t="0" r="2540" b="254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9"/>
                    <a:stretch>
                      <a:fillRect/>
                    </a:stretch>
                  </pic:blipFill>
                  <pic:spPr>
                    <a:xfrm>
                      <a:off x="0" y="0"/>
                      <a:ext cx="5274310" cy="2340610"/>
                    </a:xfrm>
                    <a:prstGeom prst="rect">
                      <a:avLst/>
                    </a:prstGeom>
                    <a:noFill/>
                    <a:ln>
                      <a:noFill/>
                    </a:ln>
                  </pic:spPr>
                </pic:pic>
              </a:graphicData>
            </a:graphic>
          </wp:inline>
        </w:drawing>
      </w:r>
    </w:p>
    <w:p>
      <w:pPr>
        <w:pStyle w:val="2"/>
        <w:spacing w:before="93"/>
      </w:pPr>
      <w:r>
        <w:drawing>
          <wp:inline distT="0" distB="0" distL="114300" distR="114300">
            <wp:extent cx="5273675" cy="2463800"/>
            <wp:effectExtent l="0" t="0" r="3175" b="1270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20"/>
                    <a:stretch>
                      <a:fillRect/>
                    </a:stretch>
                  </pic:blipFill>
                  <pic:spPr>
                    <a:xfrm>
                      <a:off x="0" y="0"/>
                      <a:ext cx="5273675" cy="2463800"/>
                    </a:xfrm>
                    <a:prstGeom prst="rect">
                      <a:avLst/>
                    </a:prstGeom>
                    <a:noFill/>
                    <a:ln>
                      <a:noFill/>
                    </a:ln>
                  </pic:spPr>
                </pic:pic>
              </a:graphicData>
            </a:graphic>
          </wp:inline>
        </w:drawing>
      </w:r>
    </w:p>
    <w:p>
      <w:pPr>
        <w:pStyle w:val="2"/>
        <w:spacing w:before="93"/>
      </w:pPr>
      <w:r>
        <w:drawing>
          <wp:inline distT="0" distB="0" distL="114300" distR="114300">
            <wp:extent cx="5267325" cy="2795905"/>
            <wp:effectExtent l="0" t="0" r="9525" b="444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21"/>
                    <a:stretch>
                      <a:fillRect/>
                    </a:stretch>
                  </pic:blipFill>
                  <pic:spPr>
                    <a:xfrm>
                      <a:off x="0" y="0"/>
                      <a:ext cx="5267325" cy="2795905"/>
                    </a:xfrm>
                    <a:prstGeom prst="rect">
                      <a:avLst/>
                    </a:prstGeom>
                    <a:noFill/>
                    <a:ln>
                      <a:noFill/>
                    </a:ln>
                  </pic:spPr>
                </pic:pic>
              </a:graphicData>
            </a:graphic>
          </wp:inline>
        </w:drawing>
      </w:r>
    </w:p>
    <w:p>
      <w:pPr>
        <w:pStyle w:val="2"/>
        <w:spacing w:before="93"/>
      </w:pPr>
    </w:p>
    <w:p>
      <w:pPr>
        <w:pStyle w:val="2"/>
        <w:spacing w:before="93"/>
      </w:pPr>
      <w:r>
        <w:drawing>
          <wp:inline distT="0" distB="0" distL="114300" distR="114300">
            <wp:extent cx="5262245" cy="2526665"/>
            <wp:effectExtent l="0" t="0" r="14605" b="6985"/>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22"/>
                    <a:stretch>
                      <a:fillRect/>
                    </a:stretch>
                  </pic:blipFill>
                  <pic:spPr>
                    <a:xfrm>
                      <a:off x="0" y="0"/>
                      <a:ext cx="5262245" cy="2526665"/>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108" w:name="_Toc15396626"/>
      <w:bookmarkStart w:id="109" w:name="_Toc2087_WPSOffice_Level2"/>
      <w:r>
        <w:rPr>
          <w:rFonts w:hint="eastAsia" w:ascii="黑体" w:eastAsia="黑体"/>
          <w:sz w:val="32"/>
          <w:szCs w:val="32"/>
        </w:rPr>
        <w:t>八、一般公共预算财政拨款基本支出决算表</w:t>
      </w:r>
      <w:bookmarkEnd w:id="108"/>
      <w:bookmarkEnd w:id="109"/>
    </w:p>
    <w:p>
      <w:r>
        <w:drawing>
          <wp:inline distT="0" distB="0" distL="114300" distR="114300">
            <wp:extent cx="5267960" cy="3090545"/>
            <wp:effectExtent l="0" t="0" r="8890" b="146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3"/>
                    <a:stretch>
                      <a:fillRect/>
                    </a:stretch>
                  </pic:blipFill>
                  <pic:spPr>
                    <a:xfrm>
                      <a:off x="0" y="0"/>
                      <a:ext cx="5267960" cy="3090545"/>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110" w:name="_Toc15396627"/>
      <w:bookmarkStart w:id="111" w:name="_Toc23521_WPSOffice_Level2"/>
      <w:r>
        <w:rPr>
          <w:rFonts w:hint="eastAsia" w:ascii="黑体" w:eastAsia="黑体"/>
          <w:sz w:val="32"/>
          <w:szCs w:val="32"/>
        </w:rPr>
        <w:t>九、一般公共预算财政拨款项目支出决算表</w:t>
      </w:r>
      <w:bookmarkEnd w:id="110"/>
      <w:bookmarkEnd w:id="111"/>
    </w:p>
    <w:p>
      <w:r>
        <w:drawing>
          <wp:inline distT="0" distB="0" distL="114300" distR="114300">
            <wp:extent cx="5272405" cy="2338705"/>
            <wp:effectExtent l="0" t="0" r="4445" b="44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24"/>
                    <a:stretch>
                      <a:fillRect/>
                    </a:stretch>
                  </pic:blipFill>
                  <pic:spPr>
                    <a:xfrm>
                      <a:off x="0" y="0"/>
                      <a:ext cx="5272405" cy="2338705"/>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112" w:name="_Toc13545_WPSOffice_Level2"/>
      <w:r>
        <w:rPr>
          <w:rFonts w:hint="eastAsia" w:ascii="黑体" w:eastAsia="黑体"/>
          <w:sz w:val="32"/>
          <w:szCs w:val="32"/>
        </w:rPr>
        <w:t>十、政府性基金预算财政拨款收入支出决算表</w:t>
      </w:r>
      <w:bookmarkEnd w:id="112"/>
    </w:p>
    <w:p>
      <w:r>
        <w:drawing>
          <wp:inline distT="0" distB="0" distL="114300" distR="114300">
            <wp:extent cx="5272405" cy="1691005"/>
            <wp:effectExtent l="0" t="0" r="4445" b="444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5"/>
                    <a:stretch>
                      <a:fillRect/>
                    </a:stretch>
                  </pic:blipFill>
                  <pic:spPr>
                    <a:xfrm>
                      <a:off x="0" y="0"/>
                      <a:ext cx="5272405" cy="1691005"/>
                    </a:xfrm>
                    <a:prstGeom prst="rect">
                      <a:avLst/>
                    </a:prstGeom>
                    <a:noFill/>
                    <a:ln>
                      <a:noFill/>
                    </a:ln>
                  </pic:spPr>
                </pic:pic>
              </a:graphicData>
            </a:graphic>
          </wp:inline>
        </w:drawing>
      </w:r>
    </w:p>
    <w:p/>
    <w:p>
      <w:pPr>
        <w:ind w:firstLine="640" w:firstLineChars="200"/>
        <w:rPr>
          <w:rFonts w:hint="eastAsia" w:ascii="黑体" w:eastAsia="黑体"/>
          <w:sz w:val="32"/>
          <w:szCs w:val="32"/>
        </w:rPr>
      </w:pPr>
      <w:bookmarkStart w:id="113" w:name="_Toc32094_WPSOffice_Level2"/>
      <w:r>
        <w:rPr>
          <w:rFonts w:hint="eastAsia" w:ascii="黑体" w:eastAsia="黑体"/>
          <w:sz w:val="32"/>
          <w:szCs w:val="32"/>
        </w:rPr>
        <w:t>十一、国有资本经营预算财政拨款收入支出决算表</w:t>
      </w:r>
      <w:bookmarkEnd w:id="113"/>
    </w:p>
    <w:p>
      <w:r>
        <w:drawing>
          <wp:inline distT="0" distB="0" distL="114300" distR="114300">
            <wp:extent cx="5271135" cy="2410460"/>
            <wp:effectExtent l="0" t="0" r="5715" b="889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6"/>
                    <a:stretch>
                      <a:fillRect/>
                    </a:stretch>
                  </pic:blipFill>
                  <pic:spPr>
                    <a:xfrm>
                      <a:off x="0" y="0"/>
                      <a:ext cx="5271135" cy="2410460"/>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114" w:name="_Toc30918_WPSOffice_Level2"/>
    </w:p>
    <w:p>
      <w:pPr>
        <w:ind w:firstLine="640" w:firstLineChars="200"/>
        <w:rPr>
          <w:rFonts w:hint="eastAsia" w:ascii="黑体" w:eastAsia="黑体"/>
          <w:sz w:val="32"/>
          <w:szCs w:val="32"/>
        </w:rPr>
      </w:pPr>
      <w:r>
        <w:rPr>
          <w:rFonts w:hint="eastAsia" w:ascii="黑体" w:eastAsia="黑体"/>
          <w:sz w:val="32"/>
          <w:szCs w:val="32"/>
        </w:rPr>
        <w:t>十二、国有资本经营预算财政拨款支出决算表</w:t>
      </w:r>
      <w:bookmarkEnd w:id="114"/>
    </w:p>
    <w:p>
      <w:r>
        <w:drawing>
          <wp:inline distT="0" distB="0" distL="114300" distR="114300">
            <wp:extent cx="5269865" cy="2543810"/>
            <wp:effectExtent l="0" t="0" r="6985" b="889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7"/>
                    <a:stretch>
                      <a:fillRect/>
                    </a:stretch>
                  </pic:blipFill>
                  <pic:spPr>
                    <a:xfrm>
                      <a:off x="0" y="0"/>
                      <a:ext cx="5269865" cy="2543810"/>
                    </a:xfrm>
                    <a:prstGeom prst="rect">
                      <a:avLst/>
                    </a:prstGeom>
                    <a:noFill/>
                    <a:ln>
                      <a:noFill/>
                    </a:ln>
                  </pic:spPr>
                </pic:pic>
              </a:graphicData>
            </a:graphic>
          </wp:inline>
        </w:drawing>
      </w:r>
    </w:p>
    <w:p>
      <w:pPr>
        <w:ind w:firstLine="640" w:firstLineChars="200"/>
        <w:rPr>
          <w:rFonts w:hint="eastAsia" w:ascii="黑体" w:eastAsia="黑体"/>
          <w:sz w:val="32"/>
          <w:szCs w:val="32"/>
        </w:rPr>
      </w:pPr>
      <w:bookmarkStart w:id="115" w:name="_Toc1916_WPSOffice_Level2"/>
    </w:p>
    <w:p>
      <w:pPr>
        <w:ind w:firstLine="640" w:firstLineChars="200"/>
        <w:rPr>
          <w:rFonts w:hint="eastAsia" w:ascii="黑体" w:eastAsia="黑体"/>
          <w:sz w:val="32"/>
          <w:szCs w:val="32"/>
        </w:rPr>
      </w:pPr>
      <w:r>
        <w:rPr>
          <w:rFonts w:hint="eastAsia" w:ascii="黑体" w:eastAsia="黑体"/>
          <w:sz w:val="32"/>
          <w:szCs w:val="32"/>
        </w:rPr>
        <w:t>十三、财政拨款“三公”经费支出决算表</w:t>
      </w:r>
      <w:bookmarkEnd w:id="115"/>
    </w:p>
    <w:p>
      <w:r>
        <w:drawing>
          <wp:inline distT="0" distB="0" distL="114300" distR="114300">
            <wp:extent cx="5269230" cy="1087755"/>
            <wp:effectExtent l="0" t="0" r="7620" b="1714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8"/>
                    <a:stretch>
                      <a:fillRect/>
                    </a:stretch>
                  </pic:blipFill>
                  <pic:spPr>
                    <a:xfrm>
                      <a:off x="0" y="0"/>
                      <a:ext cx="5269230" cy="1087755"/>
                    </a:xfrm>
                    <a:prstGeom prst="rect">
                      <a:avLst/>
                    </a:prstGeom>
                    <a:noFill/>
                    <a:ln>
                      <a:noFill/>
                    </a:ln>
                  </pic:spPr>
                </pic:pic>
              </a:graphicData>
            </a:graphic>
          </wp:inline>
        </w:drawing>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文鼎CS仿宋体">
    <w:altName w:val="黑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00007A87" w:usb1="80000000" w:usb2="00000008" w:usb3="00000000" w:csb0="400001FF" w:csb1="FFFF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2010601030101010101"/>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1"/>
          <w:jc w:val="center"/>
        </w:pPr>
        <w:r>
          <w:fldChar w:fldCharType="begin"/>
        </w:r>
        <w:r>
          <w:instrText xml:space="preserve">PAGE   \* MERGEFORMAT</w:instrText>
        </w:r>
        <w:r>
          <w:fldChar w:fldCharType="separate"/>
        </w:r>
        <w:r>
          <w:rPr>
            <w:lang w:val="zh-CN"/>
          </w:rPr>
          <w:t>28</w:t>
        </w:r>
        <w: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142FB"/>
    <w:rsid w:val="000222C6"/>
    <w:rsid w:val="0002549F"/>
    <w:rsid w:val="000468DB"/>
    <w:rsid w:val="0006487A"/>
    <w:rsid w:val="00065F8F"/>
    <w:rsid w:val="00070A43"/>
    <w:rsid w:val="000768F2"/>
    <w:rsid w:val="0009184B"/>
    <w:rsid w:val="00094236"/>
    <w:rsid w:val="0009593C"/>
    <w:rsid w:val="00097322"/>
    <w:rsid w:val="000A6A92"/>
    <w:rsid w:val="000B047F"/>
    <w:rsid w:val="000B190A"/>
    <w:rsid w:val="000B1D1B"/>
    <w:rsid w:val="000B5923"/>
    <w:rsid w:val="000B5A48"/>
    <w:rsid w:val="000B6FF3"/>
    <w:rsid w:val="000B7774"/>
    <w:rsid w:val="000C3467"/>
    <w:rsid w:val="000C3CA6"/>
    <w:rsid w:val="000D1267"/>
    <w:rsid w:val="000D1D50"/>
    <w:rsid w:val="000D5782"/>
    <w:rsid w:val="000E6613"/>
    <w:rsid w:val="000E7119"/>
    <w:rsid w:val="000F6757"/>
    <w:rsid w:val="00114E9B"/>
    <w:rsid w:val="00115EF5"/>
    <w:rsid w:val="00130808"/>
    <w:rsid w:val="00142216"/>
    <w:rsid w:val="00144D6A"/>
    <w:rsid w:val="0014729F"/>
    <w:rsid w:val="00157BAB"/>
    <w:rsid w:val="001654D1"/>
    <w:rsid w:val="00172A27"/>
    <w:rsid w:val="00174518"/>
    <w:rsid w:val="0018106D"/>
    <w:rsid w:val="0018329C"/>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33A1"/>
    <w:rsid w:val="0022527F"/>
    <w:rsid w:val="00235629"/>
    <w:rsid w:val="00260C38"/>
    <w:rsid w:val="002616C0"/>
    <w:rsid w:val="00265372"/>
    <w:rsid w:val="002662AA"/>
    <w:rsid w:val="00280496"/>
    <w:rsid w:val="00294DC9"/>
    <w:rsid w:val="00295495"/>
    <w:rsid w:val="002A31DE"/>
    <w:rsid w:val="002A66F7"/>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304AC"/>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2FBC"/>
    <w:rsid w:val="006440E4"/>
    <w:rsid w:val="0066343B"/>
    <w:rsid w:val="00664777"/>
    <w:rsid w:val="006748A4"/>
    <w:rsid w:val="00675307"/>
    <w:rsid w:val="00681A31"/>
    <w:rsid w:val="00683E73"/>
    <w:rsid w:val="006A3141"/>
    <w:rsid w:val="006A445C"/>
    <w:rsid w:val="006A5E34"/>
    <w:rsid w:val="006B2422"/>
    <w:rsid w:val="006B2B9A"/>
    <w:rsid w:val="006C1937"/>
    <w:rsid w:val="006F020C"/>
    <w:rsid w:val="007127B7"/>
    <w:rsid w:val="0071798E"/>
    <w:rsid w:val="007416B6"/>
    <w:rsid w:val="00746F48"/>
    <w:rsid w:val="0075404D"/>
    <w:rsid w:val="007540CD"/>
    <w:rsid w:val="007607E6"/>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3C6A"/>
    <w:rsid w:val="00AD5620"/>
    <w:rsid w:val="00AD656B"/>
    <w:rsid w:val="00AD676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B4DF0"/>
    <w:rsid w:val="00BC289F"/>
    <w:rsid w:val="00BC2D50"/>
    <w:rsid w:val="00BC5361"/>
    <w:rsid w:val="00BC5460"/>
    <w:rsid w:val="00BC6B50"/>
    <w:rsid w:val="00BD0E25"/>
    <w:rsid w:val="00BE083A"/>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2FD5"/>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B3737"/>
    <w:rsid w:val="00DC410D"/>
    <w:rsid w:val="00DC5A81"/>
    <w:rsid w:val="00DC68CA"/>
    <w:rsid w:val="00DC7CBA"/>
    <w:rsid w:val="00DD73B7"/>
    <w:rsid w:val="00DF28BC"/>
    <w:rsid w:val="00DF34B9"/>
    <w:rsid w:val="00DF49F1"/>
    <w:rsid w:val="00E01053"/>
    <w:rsid w:val="00E07ACF"/>
    <w:rsid w:val="00E331A1"/>
    <w:rsid w:val="00E33202"/>
    <w:rsid w:val="00E336A9"/>
    <w:rsid w:val="00E472B1"/>
    <w:rsid w:val="00E50624"/>
    <w:rsid w:val="00E5174E"/>
    <w:rsid w:val="00E568DF"/>
    <w:rsid w:val="00E64269"/>
    <w:rsid w:val="00E819C4"/>
    <w:rsid w:val="00E82267"/>
    <w:rsid w:val="00E853CE"/>
    <w:rsid w:val="00E867B6"/>
    <w:rsid w:val="00EA010F"/>
    <w:rsid w:val="00ED1B63"/>
    <w:rsid w:val="00ED3C1F"/>
    <w:rsid w:val="00ED4085"/>
    <w:rsid w:val="00ED420E"/>
    <w:rsid w:val="00ED6FBE"/>
    <w:rsid w:val="00EE2F57"/>
    <w:rsid w:val="00EF4C34"/>
    <w:rsid w:val="00EF77C6"/>
    <w:rsid w:val="00F05438"/>
    <w:rsid w:val="00F05D1B"/>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2143E91"/>
    <w:rsid w:val="066E0107"/>
    <w:rsid w:val="07996F6E"/>
    <w:rsid w:val="0A2032A3"/>
    <w:rsid w:val="0F98263C"/>
    <w:rsid w:val="101860EC"/>
    <w:rsid w:val="10C055FF"/>
    <w:rsid w:val="118107EC"/>
    <w:rsid w:val="13D50BC4"/>
    <w:rsid w:val="16BB723D"/>
    <w:rsid w:val="1BE8440E"/>
    <w:rsid w:val="1D155CEE"/>
    <w:rsid w:val="1FF35744"/>
    <w:rsid w:val="23860B96"/>
    <w:rsid w:val="240371BF"/>
    <w:rsid w:val="26C83CDF"/>
    <w:rsid w:val="29FD04D3"/>
    <w:rsid w:val="2C8A61B5"/>
    <w:rsid w:val="2D3A1340"/>
    <w:rsid w:val="2DF04E50"/>
    <w:rsid w:val="2F040D46"/>
    <w:rsid w:val="319F7F4E"/>
    <w:rsid w:val="31D71F01"/>
    <w:rsid w:val="3304709D"/>
    <w:rsid w:val="350013E2"/>
    <w:rsid w:val="36AA5135"/>
    <w:rsid w:val="376D39B2"/>
    <w:rsid w:val="37E16F03"/>
    <w:rsid w:val="38764DCD"/>
    <w:rsid w:val="38D469F0"/>
    <w:rsid w:val="3BF85C86"/>
    <w:rsid w:val="3D98207C"/>
    <w:rsid w:val="3E78745D"/>
    <w:rsid w:val="3E9C23C7"/>
    <w:rsid w:val="3EBC16C9"/>
    <w:rsid w:val="44970113"/>
    <w:rsid w:val="44E268DA"/>
    <w:rsid w:val="4A627F82"/>
    <w:rsid w:val="4B0E749A"/>
    <w:rsid w:val="4B4F25DA"/>
    <w:rsid w:val="4BE068DB"/>
    <w:rsid w:val="4D577224"/>
    <w:rsid w:val="4EAB630A"/>
    <w:rsid w:val="4ECE2238"/>
    <w:rsid w:val="537E6D0A"/>
    <w:rsid w:val="5AF92295"/>
    <w:rsid w:val="5CD71FC4"/>
    <w:rsid w:val="6C4A05C8"/>
    <w:rsid w:val="6E7E3605"/>
    <w:rsid w:val="6FF5CC65"/>
    <w:rsid w:val="715C0E4B"/>
    <w:rsid w:val="72734D90"/>
    <w:rsid w:val="73AD73D5"/>
    <w:rsid w:val="73B6EB34"/>
    <w:rsid w:val="73BE209F"/>
    <w:rsid w:val="744731E5"/>
    <w:rsid w:val="76E3355F"/>
    <w:rsid w:val="778769C8"/>
    <w:rsid w:val="79EE5BA4"/>
    <w:rsid w:val="7A894339"/>
    <w:rsid w:val="7EAD7761"/>
    <w:rsid w:val="7EEF11D3"/>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6"/>
    <w:qFormat/>
    <w:uiPriority w:val="99"/>
    <w:pPr>
      <w:spacing w:beforeLines="30"/>
    </w:pPr>
    <w:rPr>
      <w:rFonts w:ascii="仿宋_GB2312" w:eastAsia="仿宋_GB2312"/>
      <w:kern w:val="0"/>
      <w:sz w:val="30"/>
    </w:rPr>
  </w:style>
  <w:style w:type="paragraph" w:styleId="6">
    <w:name w:val="Normal Indent"/>
    <w:basedOn w:val="1"/>
    <w:unhideWhenUsed/>
    <w:qFormat/>
    <w:uiPriority w:val="99"/>
    <w:pPr>
      <w:ind w:firstLine="680"/>
    </w:pPr>
    <w:rPr>
      <w:rFonts w:eastAsia="文鼎CS仿宋体"/>
      <w:sz w:val="32"/>
      <w:szCs w:val="32"/>
    </w:rPr>
  </w:style>
  <w:style w:type="paragraph" w:styleId="7">
    <w:name w:val="Salutation"/>
    <w:basedOn w:val="1"/>
    <w:next w:val="1"/>
    <w:unhideWhenUsed/>
    <w:qFormat/>
    <w:uiPriority w:val="99"/>
  </w:style>
  <w:style w:type="paragraph" w:styleId="8">
    <w:name w:val="Body Text Indent"/>
    <w:basedOn w:val="1"/>
    <w:qFormat/>
    <w:uiPriority w:val="0"/>
    <w:pPr>
      <w:spacing w:after="120"/>
      <w:ind w:left="200" w:leftChars="200"/>
    </w:pPr>
    <w:rPr>
      <w:rFonts w:ascii="仿宋_GB2312"/>
      <w:szCs w:val="32"/>
    </w:r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2"/>
    <w:semiHidden/>
    <w:unhideWhenUsed/>
    <w:qFormat/>
    <w:uiPriority w:val="99"/>
    <w:rPr>
      <w:sz w:val="18"/>
      <w:szCs w:val="18"/>
    </w:rPr>
  </w:style>
  <w:style w:type="paragraph" w:styleId="11">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paragraph" w:styleId="15">
    <w:name w:val="Body Text First Indent 2"/>
    <w:basedOn w:val="8"/>
    <w:unhideWhenUsed/>
    <w:qFormat/>
    <w:uiPriority w:val="99"/>
    <w:pPr>
      <w:ind w:firstLine="420" w:firstLine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rPr>
  </w:style>
  <w:style w:type="paragraph" w:customStyle="1" w:styleId="20">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Char"/>
    <w:link w:val="12"/>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Char"/>
    <w:link w:val="11"/>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Char"/>
    <w:link w:val="2"/>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Char"/>
    <w:basedOn w:val="17"/>
    <w:link w:val="3"/>
    <w:qFormat/>
    <w:uiPriority w:val="9"/>
    <w:rPr>
      <w:rFonts w:ascii="Times New Roman" w:hAnsi="Times New Roman"/>
      <w:b/>
      <w:bCs/>
      <w:kern w:val="44"/>
      <w:sz w:val="44"/>
      <w:szCs w:val="44"/>
    </w:rPr>
  </w:style>
  <w:style w:type="character" w:customStyle="1" w:styleId="30">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2">
    <w:name w:val="批注框文本 Char"/>
    <w:basedOn w:val="17"/>
    <w:link w:val="10"/>
    <w:semiHidden/>
    <w:qFormat/>
    <w:uiPriority w:val="99"/>
    <w:rPr>
      <w:rFonts w:ascii="Times New Roman" w:hAnsi="Times New Roman"/>
      <w:kern w:val="2"/>
      <w:sz w:val="18"/>
      <w:szCs w:val="18"/>
    </w:rPr>
  </w:style>
  <w:style w:type="character" w:customStyle="1" w:styleId="33">
    <w:name w:val="标题 3 Char"/>
    <w:basedOn w:val="17"/>
    <w:link w:val="5"/>
    <w:qFormat/>
    <w:uiPriority w:val="9"/>
    <w:rPr>
      <w:rFonts w:ascii="Times New Roman" w:hAnsi="Times New Roman"/>
      <w:b/>
      <w:bCs/>
      <w:kern w:val="2"/>
      <w:sz w:val="32"/>
      <w:szCs w:val="32"/>
    </w:rPr>
  </w:style>
  <w:style w:type="paragraph" w:customStyle="1" w:styleId="34">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5">
    <w:name w:val="四号正文"/>
    <w:basedOn w:val="1"/>
    <w:qFormat/>
    <w:uiPriority w:val="0"/>
    <w:pPr>
      <w:spacing w:line="360" w:lineRule="auto"/>
    </w:pPr>
    <w:rPr>
      <w:rFonts w:ascii="??" w:hAnsi="??"/>
      <w:color w:val="000000"/>
      <w:kern w:val="0"/>
      <w:sz w:val="28"/>
      <w:szCs w:val="21"/>
      <w:lang w:val="zh-CN"/>
    </w:rPr>
  </w:style>
  <w:style w:type="paragraph" w:customStyle="1" w:styleId="36">
    <w:name w:val="WPSOffice手动目录 1"/>
    <w:uiPriority w:val="0"/>
    <w:rPr>
      <w:rFonts w:asciiTheme="minorHAnsi" w:hAnsiTheme="minorHAnsi" w:eastAsiaTheme="minorEastAsia" w:cstheme="minorBidi"/>
      <w:lang w:val="en-US" w:eastAsia="zh-CN" w:bidi="ar-SA"/>
    </w:rPr>
  </w:style>
  <w:style w:type="paragraph" w:customStyle="1" w:styleId="37">
    <w:name w:val="WPSOffice手动目录 2"/>
    <w:uiPriority w:val="0"/>
    <w:pPr>
      <w:ind w:left="200" w:leftChars="200"/>
    </w:pPr>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0" Type="http://schemas.openxmlformats.org/officeDocument/2006/relationships/fontTable" Target="fontTable.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16.png"/><Relationship Id="rId27" Type="http://schemas.openxmlformats.org/officeDocument/2006/relationships/image" Target="media/image15.png"/><Relationship Id="rId26" Type="http://schemas.openxmlformats.org/officeDocument/2006/relationships/image" Target="media/image14.png"/><Relationship Id="rId25" Type="http://schemas.openxmlformats.org/officeDocument/2006/relationships/image" Target="media/image13.png"/><Relationship Id="rId24" Type="http://schemas.openxmlformats.org/officeDocument/2006/relationships/image" Target="media/image12.png"/><Relationship Id="rId23" Type="http://schemas.openxmlformats.org/officeDocument/2006/relationships/image" Target="media/image11.png"/><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png"/><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H:\2023&#24180;&#24037;&#20316;\2022&#24180;&#20915;&#31639;&#20844;&#24320;\&#25903;&#20184;&#20013;&#24515;\2021&#20915;&#31639;&#20844;&#24320;&#22270;&#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H:\2023&#24180;&#24037;&#20316;\2022&#24180;&#20915;&#31639;&#20844;&#24320;\&#25903;&#20184;&#20013;&#24515;\2021&#20915;&#31639;&#20844;&#24320;&#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H:\2023&#24180;&#24037;&#20316;\2022&#24180;&#20915;&#31639;&#20844;&#24320;\&#25903;&#20184;&#20013;&#24515;\2021&#20915;&#31639;&#20844;&#24320;&#22270;&#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H:\2023&#24180;&#24037;&#20316;\2022&#24180;&#20915;&#31639;&#20844;&#24320;\&#25903;&#20184;&#20013;&#24515;\2021&#20915;&#31639;&#20844;&#24320;&#2227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H:\2023&#24180;&#24037;&#20316;\2022&#24180;&#20915;&#31639;&#20844;&#24320;\&#25903;&#20184;&#20013;&#24515;\2021&#20915;&#31639;&#20844;&#24320;&#22270;&#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H:\2023&#24180;&#24037;&#20316;\2022&#24180;&#20915;&#31639;&#20844;&#24320;\&#25903;&#20184;&#20013;&#24515;\2021&#20915;&#31639;&#20844;&#24320;&#22270;&#34920;.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H:\2023&#24180;&#24037;&#20316;\2022&#24180;&#20915;&#31639;&#20844;&#24320;\&#25903;&#20184;&#20013;&#24515;\2021&#20915;&#31639;&#20844;&#24320;&#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图1   收入、支出决算总计变动情况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[2021决算公开图表.xls]Sheet1!$A$58</c:f>
              <c:strCache>
                <c:ptCount val="1"/>
                <c:pt idx="0">
                  <c:v>收入、支出总计</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[2021决算公开图表.xls]Sheet1!$B$58:$C$58</c:f>
              <c:numCache>
                <c:formatCode>General</c:formatCode>
                <c:ptCount val="2"/>
                <c:pt idx="0">
                  <c:v>2022</c:v>
                </c:pt>
                <c:pt idx="1">
                  <c:v>2021</c:v>
                </c:pt>
              </c:numCache>
            </c:numRef>
          </c:cat>
          <c:val>
            <c:numRef>
              <c:f>[2021决算公开图表.xls]Sheet1!$B$59:$C$59</c:f>
              <c:numCache>
                <c:formatCode>General</c:formatCode>
                <c:ptCount val="2"/>
                <c:pt idx="0">
                  <c:v>286.36</c:v>
                </c:pt>
                <c:pt idx="1">
                  <c:v>257.78</c:v>
                </c:pt>
              </c:numCache>
            </c:numRef>
          </c:val>
        </c:ser>
        <c:dLbls>
          <c:showLegendKey val="0"/>
          <c:showVal val="1"/>
          <c:showCatName val="0"/>
          <c:showSerName val="0"/>
          <c:showPercent val="0"/>
          <c:showBubbleSize val="0"/>
        </c:dLbls>
        <c:gapWidth val="150"/>
        <c:axId val="102791424"/>
        <c:axId val="102863616"/>
      </c:barChart>
      <c:catAx>
        <c:axId val="102791424"/>
        <c:scaling>
          <c:orientation val="minMax"/>
        </c:scaling>
        <c:delete val="0"/>
        <c:axPos val="b"/>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02863616"/>
        <c:crosses val="autoZero"/>
        <c:auto val="1"/>
        <c:lblAlgn val="ctr"/>
        <c:lblOffset val="100"/>
        <c:noMultiLvlLbl val="0"/>
      </c:catAx>
      <c:valAx>
        <c:axId val="102863616"/>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02791424"/>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791470907119624"/>
          <c:y val="0.400124584717608"/>
          <c:w val="0.198530297554512"/>
          <c:h val="0.224875415282392"/>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图2    收入决算结构图</a:t>
            </a:r>
            <a:endParaRPr sz="16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spPr>
              <a:solidFill>
                <a:srgbClr val="660066"/>
              </a:solidFill>
              <a:ln w="12700">
                <a:solidFill>
                  <a:srgbClr val="000000">
                    <a:alpha val="100000"/>
                  </a:srgbClr>
                </a:solidFill>
                <a:prstDash val="solid"/>
              </a:ln>
              <a:effectLst/>
            </c:spPr>
          </c:dPt>
          <c:dPt>
            <c:idx val="5"/>
            <c:bubble3D val="0"/>
            <c:spPr>
              <a:solidFill>
                <a:srgbClr val="FF8080"/>
              </a:solidFill>
              <a:ln w="12700">
                <a:solidFill>
                  <a:srgbClr val="000000">
                    <a:alpha val="100000"/>
                  </a:srgbClr>
                </a:solidFill>
                <a:prstDash val="solid"/>
              </a:ln>
              <a:effectLst/>
            </c:spPr>
          </c:dPt>
          <c:dLbls>
            <c:dLbl>
              <c:idx val="0"/>
              <c:layout>
                <c:manualLayout>
                  <c:x val="0.0322572150404018"/>
                  <c:y val="-0.172679569756006"/>
                </c:manualLayout>
              </c:layout>
              <c:tx>
                <c:rich>
                  <a:bodyPr rot="0" spcFirstLastPara="0" vertOverflow="ellipsis" vert="horz" wrap="square" lIns="38100" tIns="19050" rIns="38100" bIns="19050" anchor="ctr" anchorCtr="1"/>
                  <a:lstStyle/>
                  <a:p>
                    <a:pPr algn="ctr" defTabSz="914400">
                      <a:defRPr lang="zh-CN" sz="1000" b="0" i="0" u="none" strike="noStrike" kern="1200" baseline="0">
                        <a:solidFill>
                          <a:srgbClr val="000000">
                            <a:alpha val="100000"/>
                          </a:srgbClr>
                        </a:solidFill>
                        <a:latin typeface="+mn-lt"/>
                        <a:ea typeface="+mn-ea"/>
                        <a:cs typeface="+mn-cs"/>
                      </a:defRPr>
                    </a:pPr>
                    <a:r>
                      <a:rPr altLang="en-US"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一般公共预算财政拨款收入</a:t>
                    </a:r>
                    <a:endParaRPr lang="en-US" altLang="zh-CN" sz="1200" b="0" i="0" u="none" strike="noStrike" baseline="0">
                      <a:solidFill>
                        <a:sysClr val="windowText" lastClr="000000"/>
                      </a:solidFill>
                      <a:latin typeface="宋体" panose="02010600030101010101" charset="-122"/>
                      <a:ea typeface="宋体" panose="02010600030101010101" charset="-122"/>
                      <a:cs typeface="宋体" panose="02010600030101010101" charset="-122"/>
                    </a:endParaRPr>
                  </a:p>
                  <a:p>
                    <a:pPr algn="ctr" defTabSz="914400">
                      <a:defRPr lang="zh-CN" sz="1000" b="0" i="0" u="none" strike="noStrike" kern="1200" baseline="0">
                        <a:solidFill>
                          <a:srgbClr val="000000">
                            <a:alpha val="100000"/>
                          </a:srgbClr>
                        </a:solidFill>
                        <a:latin typeface="+mn-lt"/>
                        <a:ea typeface="+mn-ea"/>
                        <a:cs typeface="+mn-cs"/>
                      </a:defRPr>
                    </a:pPr>
                    <a:r>
                      <a:rPr lang="en-US" altLang="zh-CN"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286.36 100</a:t>
                    </a:r>
                    <a:r>
                      <a:rPr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a:t>
                    </a:r>
                    <a:endParaRPr sz="1200" b="0" i="0" u="none" strike="noStrike" cap="none" normalizeH="0" baseline="0">
                      <a:solidFill>
                        <a:sysClr val="windowText" lastClr="000000"/>
                      </a:solidFill>
                      <a:effectLst/>
                      <a:latin typeface="宋体" panose="02010600030101010101" charset="-122"/>
                      <a:ea typeface="宋体" panose="02010600030101010101" charset="-122"/>
                      <a:cs typeface="宋体" panose="02010600030101010101" charset="-122"/>
                    </a:endParaRPr>
                  </a:p>
                </c:rich>
              </c:tx>
              <c:numFmt formatCode="0%" sourceLinked="0"/>
              <c:spPr>
                <a:noFill/>
                <a:ln>
                  <a:noFill/>
                </a:ln>
                <a:effectLst/>
              </c:spPr>
              <c:txPr>
                <a:bodyPr rot="0" spcFirstLastPara="0" vertOverflow="ellipsis" vert="horz" wrap="square" lIns="38100" tIns="19050" rIns="38100" bIns="19050" anchor="ctr" anchorCtr="1"/>
                <a:lstStyle/>
                <a:p>
                  <a:pPr algn="ctr">
                    <a:defRPr lang="zh-CN" sz="1000" b="0" i="0" u="none" strike="noStrike" kern="1200" baseline="0">
                      <a:solidFill>
                        <a:srgbClr val="000000">
                          <a:alpha val="100000"/>
                        </a:srgbClr>
                      </a:solidFill>
                      <a:latin typeface="+mn-lt"/>
                      <a:ea typeface="+mn-ea"/>
                      <a:cs typeface="+mn-cs"/>
                    </a:defRPr>
                  </a:pPr>
                </a:p>
              </c:txPr>
              <c:dLblPos val="bestFit"/>
              <c:showLegendKey val="1"/>
              <c:showVal val="1"/>
              <c:showCatName val="0"/>
              <c:showSerName val="0"/>
              <c:showPercent val="1"/>
              <c:showBubbleSize val="0"/>
              <c:extLst>
                <c:ext xmlns:c15="http://schemas.microsoft.com/office/drawing/2012/chart" uri="{CE6537A1-D6FC-4f65-9D91-7224C49458BB}">
                  <c15:layout>
                    <c:manualLayout>
                      <c:w val="0.235538182135081"/>
                      <c:h val="0.258229911791725"/>
                    </c:manualLayout>
                  </c15:layout>
                </c:ext>
              </c:extLst>
            </c:dLbl>
            <c:dLbl>
              <c:idx val="1"/>
              <c:layout>
                <c:manualLayout>
                  <c:x val="-0.262368376148654"/>
                  <c:y val="0.119113573407202"/>
                </c:manualLayout>
              </c:layout>
              <c:tx>
                <c:rich>
                  <a:bodyPr rot="0" spcFirstLastPara="0" vertOverflow="ellipsis" vert="horz" wrap="square" lIns="38100" tIns="19050" rIns="38100" bIns="19050" anchor="ctr" anchorCtr="1"/>
                  <a:lstStyle/>
                  <a:p>
                    <a:pPr algn="ctr" defTabSz="914400">
                      <a:defRPr lang="zh-CN" sz="1000" b="0" i="0" u="none" strike="noStrike" kern="1200" baseline="0">
                        <a:solidFill>
                          <a:srgbClr val="000000">
                            <a:alpha val="100000"/>
                          </a:srgbClr>
                        </a:solidFill>
                        <a:latin typeface="+mn-lt"/>
                        <a:ea typeface="+mn-ea"/>
                        <a:cs typeface="+mn-cs"/>
                      </a:defRPr>
                    </a:pPr>
                    <a:r>
                      <a:rPr lang="en-US" altLang="zh-CN"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0</a:t>
                    </a:r>
                    <a:r>
                      <a:rPr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 </a:t>
                    </a:r>
                    <a:r>
                      <a:rPr lang="en-US" altLang="zh-CN"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0</a:t>
                    </a:r>
                    <a:r>
                      <a:rPr sz="1200" b="0" i="0" u="none" strike="noStrike" baseline="0">
                        <a:solidFill>
                          <a:sysClr val="windowText" lastClr="000000"/>
                        </a:solidFill>
                        <a:latin typeface="宋体" panose="02010600030101010101" charset="-122"/>
                        <a:ea typeface="宋体" panose="02010600030101010101" charset="-122"/>
                        <a:cs typeface="宋体" panose="02010600030101010101" charset="-122"/>
                      </a:rPr>
                      <a:t>%</a:t>
                    </a:r>
                    <a:endParaRPr sz="1200" b="0" i="0" u="none" strike="noStrike" cap="none" normalizeH="0" baseline="0">
                      <a:solidFill>
                        <a:sysClr val="windowText" lastClr="000000"/>
                      </a:solidFill>
                      <a:effectLst/>
                      <a:latin typeface="宋体" panose="02010600030101010101" charset="-122"/>
                      <a:ea typeface="宋体" panose="02010600030101010101" charset="-122"/>
                      <a:cs typeface="宋体" panose="02010600030101010101" charset="-122"/>
                    </a:endParaRPr>
                  </a:p>
                </c:rich>
              </c:tx>
              <c:numFmt formatCode="0%" sourceLinked="0"/>
              <c:spPr>
                <a:noFill/>
                <a:ln>
                  <a:noFill/>
                </a:ln>
                <a:effectLst/>
              </c:spPr>
              <c:txPr>
                <a:bodyPr rot="0" spcFirstLastPara="0" vertOverflow="ellipsis" vert="horz" wrap="square" lIns="38100" tIns="19050" rIns="38100" bIns="19050" anchor="ctr" anchorCtr="1"/>
                <a:lstStyle/>
                <a:p>
                  <a:pPr algn="ctr">
                    <a:defRPr lang="zh-CN" sz="1000" b="0" i="0" u="none" strike="noStrike" kern="1200" baseline="0">
                      <a:solidFill>
                        <a:srgbClr val="000000">
                          <a:alpha val="100000"/>
                        </a:srgbClr>
                      </a:solidFill>
                      <a:latin typeface="+mn-lt"/>
                      <a:ea typeface="+mn-ea"/>
                      <a:cs typeface="+mn-cs"/>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2"/>
              <c:layout>
                <c:manualLayout>
                  <c:x val="0.0338142737376871"/>
                  <c:y val="0.0276879039728551"/>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3"/>
              <c:layout>
                <c:manualLayout>
                  <c:x val="-0.279741241013283"/>
                  <c:y val="0.440430286244323"/>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4"/>
              <c:layout>
                <c:manualLayout>
                  <c:x val="0.245595479908795"/>
                  <c:y val="0.0886297322277027"/>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5"/>
              <c:layout>
                <c:manualLayout>
                  <c:x val="-0.264313471027309"/>
                  <c:y val="0.299156048017176"/>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numFmt formatCode="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Sheet1!$C$3:$C$8</c:f>
              <c:numCache>
                <c:formatCode>General</c:formatCode>
                <c:ptCount val="6"/>
                <c:pt idx="0">
                  <c:v>286.36</c:v>
                </c:pt>
                <c:pt idx="1">
                  <c:v>0</c:v>
                </c:pt>
                <c:pt idx="2">
                  <c:v>0</c:v>
                </c:pt>
                <c:pt idx="3">
                  <c:v>0</c:v>
                </c:pt>
                <c:pt idx="4">
                  <c:v>0</c:v>
                </c:pt>
                <c:pt idx="5">
                  <c:v>0</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Pt>
            <c:idx val="5"/>
            <c:bubble3D val="0"/>
            <c:spPr>
              <a:solidFill>
                <a:srgbClr val="FF8080"/>
              </a:solidFill>
              <a:ln w="12700">
                <a:solidFill>
                  <a:srgbClr val="000000"/>
                </a:solidFill>
                <a:prstDash val="solid"/>
              </a:ln>
              <a:effectLst/>
            </c:spPr>
          </c:dPt>
          <c:dLbls>
            <c:delete val="1"/>
          </c:dLbls>
          <c:cat>
            <c:strRef>
              <c:f>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Sheet1!$D$3:$D$8</c:f>
              <c:numCache>
                <c:formatCode>0.00%</c:formatCode>
                <c:ptCount val="6"/>
                <c:pt idx="0">
                  <c:v>1</c:v>
                </c:pt>
                <c:pt idx="1">
                  <c:v>0</c:v>
                </c:pt>
                <c:pt idx="2" c:formatCode="0%">
                  <c:v>0</c:v>
                </c:pt>
                <c:pt idx="3" c:formatCode="0%">
                  <c:v>0</c:v>
                </c:pt>
                <c:pt idx="4" c:formatCode="0%">
                  <c:v>0</c:v>
                </c:pt>
                <c:pt idx="5" c:formatCode="0%">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5947704542716"/>
          <c:y val="0.141003828158231"/>
          <c:w val="0.334498132305097"/>
          <c:h val="0.759464057847724"/>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图3    支出决算结构图</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spPr>
              <a:solidFill>
                <a:srgbClr val="660066"/>
              </a:solidFill>
              <a:ln w="12700">
                <a:solidFill>
                  <a:srgbClr val="000000">
                    <a:alpha val="100000"/>
                  </a:srgbClr>
                </a:solidFill>
                <a:prstDash val="solid"/>
              </a:ln>
              <a:effectLst/>
            </c:spPr>
          </c:dPt>
          <c:dLbls>
            <c:dLbl>
              <c:idx val="2"/>
              <c:layout>
                <c:manualLayout>
                  <c:x val="-0.283124128312413"/>
                  <c:y val="0.155153306243074"/>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272601967540116"/>
                  <c:y val="0.455470262285369"/>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239888423988842"/>
                  <c:y val="0.166235685260436"/>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0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[2021决算公开图表.xls]Sheet1!$B$34:$B$38</c:f>
              <c:strCache>
                <c:ptCount val="5"/>
                <c:pt idx="0">
                  <c:v>基本支出</c:v>
                </c:pt>
                <c:pt idx="1">
                  <c:v>项目支出</c:v>
                </c:pt>
                <c:pt idx="2">
                  <c:v>上缴上级支出</c:v>
                </c:pt>
                <c:pt idx="3">
                  <c:v>经营支出</c:v>
                </c:pt>
                <c:pt idx="4">
                  <c:v>对附属单位补助支出</c:v>
                </c:pt>
              </c:strCache>
            </c:strRef>
          </c:cat>
          <c:val>
            <c:numRef>
              <c:f>[2021决算公开图表.xls]Sheet1!$C$34:$C$38</c:f>
              <c:numCache>
                <c:formatCode>General</c:formatCode>
                <c:ptCount val="5"/>
                <c:pt idx="0">
                  <c:v>286.36</c:v>
                </c:pt>
                <c:pt idx="1">
                  <c:v>0</c:v>
                </c:pt>
                <c:pt idx="2">
                  <c:v>0</c:v>
                </c:pt>
                <c:pt idx="3">
                  <c:v>0</c:v>
                </c:pt>
                <c:pt idx="4">
                  <c:v>0</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Lbls>
            <c:delete val="1"/>
          </c:dLbls>
          <c:cat>
            <c:strRef>
              <c:f>[2021决算公开图表.xls]Sheet1!$B$34:$B$38</c:f>
              <c:strCache>
                <c:ptCount val="5"/>
                <c:pt idx="0">
                  <c:v>基本支出</c:v>
                </c:pt>
                <c:pt idx="1">
                  <c:v>项目支出</c:v>
                </c:pt>
                <c:pt idx="2">
                  <c:v>上缴上级支出</c:v>
                </c:pt>
                <c:pt idx="3">
                  <c:v>经营支出</c:v>
                </c:pt>
                <c:pt idx="4">
                  <c:v>对附属单位补助支出</c:v>
                </c:pt>
              </c:strCache>
            </c:strRef>
          </c:cat>
          <c:val>
            <c:numRef>
              <c:f>[2021决算公开图表.xls]Sheet1!$D$34:$D$38</c:f>
              <c:numCache>
                <c:formatCode>0.00%</c:formatCode>
                <c:ptCount val="5"/>
                <c:pt idx="0">
                  <c:v>1</c:v>
                </c:pt>
                <c:pt idx="1">
                  <c:v>0</c:v>
                </c:pt>
                <c:pt idx="2">
                  <c:v>0</c:v>
                </c:pt>
                <c:pt idx="3">
                  <c:v>0</c:v>
                </c:pt>
                <c:pt idx="4">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56955317355174"/>
          <c:y val="0.148564593301435"/>
          <c:w val="0.23726363964832"/>
          <c:h val="0.745693779904306"/>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图4    财政拨款收、支总计决算变动情况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[2021决算公开图表.xls]Sheet1!$A$166</c:f>
              <c:strCache>
                <c:ptCount val="1"/>
                <c:pt idx="0">
                  <c:v>财政拨款收入、支出总计</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[2021决算公开图表.xls]Sheet1!$B$165:$C$165</c:f>
              <c:numCache>
                <c:formatCode>General</c:formatCode>
                <c:ptCount val="2"/>
                <c:pt idx="0">
                  <c:v>2022</c:v>
                </c:pt>
                <c:pt idx="1">
                  <c:v>2021</c:v>
                </c:pt>
              </c:numCache>
            </c:numRef>
          </c:cat>
          <c:val>
            <c:numRef>
              <c:f>[2021决算公开图表.xls]Sheet1!$B$166:$C$166</c:f>
              <c:numCache>
                <c:formatCode>General</c:formatCode>
                <c:ptCount val="2"/>
                <c:pt idx="0">
                  <c:v>286.36</c:v>
                </c:pt>
                <c:pt idx="1">
                  <c:v>257.78</c:v>
                </c:pt>
              </c:numCache>
            </c:numRef>
          </c:val>
        </c:ser>
        <c:dLbls>
          <c:showLegendKey val="0"/>
          <c:showVal val="1"/>
          <c:showCatName val="0"/>
          <c:showSerName val="0"/>
          <c:showPercent val="0"/>
          <c:showBubbleSize val="0"/>
        </c:dLbls>
        <c:gapWidth val="150"/>
        <c:axId val="97437952"/>
        <c:axId val="97464320"/>
      </c:barChart>
      <c:catAx>
        <c:axId val="97437952"/>
        <c:scaling>
          <c:orientation val="minMax"/>
        </c:scaling>
        <c:delete val="0"/>
        <c:axPos val="b"/>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97464320"/>
        <c:crosses val="autoZero"/>
        <c:auto val="1"/>
        <c:lblAlgn val="ctr"/>
        <c:lblOffset val="100"/>
        <c:noMultiLvlLbl val="0"/>
      </c:catAx>
      <c:valAx>
        <c:axId val="97464320"/>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97437952"/>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702458423716558"/>
          <c:y val="0.50428141633881"/>
          <c:w val="0.290190407327067"/>
          <c:h val="0.235825040499884"/>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图5      一般公共预算财政拨款支出决算变动情况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[2021决算公开图表.xls]Sheet1!$A$85</c:f>
              <c:strCache>
                <c:ptCount val="1"/>
                <c:pt idx="0">
                  <c:v>一般公共预算财政拨款支出</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[2021决算公开图表.xls]Sheet1!$B$84:$C$84</c:f>
              <c:strCache>
                <c:ptCount val="2"/>
                <c:pt idx="0">
                  <c:v>2022年</c:v>
                </c:pt>
                <c:pt idx="1">
                  <c:v>2021年</c:v>
                </c:pt>
              </c:strCache>
            </c:strRef>
          </c:cat>
          <c:val>
            <c:numRef>
              <c:f>[2021决算公开图表.xls]Sheet1!$B$85:$C$85</c:f>
              <c:numCache>
                <c:formatCode>General</c:formatCode>
                <c:ptCount val="2"/>
                <c:pt idx="0">
                  <c:v>286.36</c:v>
                </c:pt>
                <c:pt idx="1">
                  <c:v>257.78</c:v>
                </c:pt>
              </c:numCache>
            </c:numRef>
          </c:val>
        </c:ser>
        <c:dLbls>
          <c:showLegendKey val="0"/>
          <c:showVal val="1"/>
          <c:showCatName val="0"/>
          <c:showSerName val="0"/>
          <c:showPercent val="0"/>
          <c:showBubbleSize val="0"/>
        </c:dLbls>
        <c:gapWidth val="150"/>
        <c:axId val="102866944"/>
        <c:axId val="102868480"/>
      </c:barChart>
      <c:catAx>
        <c:axId val="102866944"/>
        <c:scaling>
          <c:orientation val="minMax"/>
        </c:scaling>
        <c:delete val="0"/>
        <c:axPos val="b"/>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02868480"/>
        <c:crosses val="autoZero"/>
        <c:auto val="1"/>
        <c:lblAlgn val="ctr"/>
        <c:lblOffset val="100"/>
        <c:noMultiLvlLbl val="0"/>
      </c:catAx>
      <c:valAx>
        <c:axId val="102868480"/>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02866944"/>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67875"/>
          <c:y val="0.50575"/>
          <c:w val="0.31525"/>
          <c:h val="0.05975"/>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图6    一般公共预算财政拨款支出决算结构</a:t>
            </a:r>
            <a:endParaRPr sz="142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23925479618915"/>
          <c:y val="0.0179802217560683"/>
        </c:manualLayout>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Lbls>
            <c:dLbl>
              <c:idx val="0"/>
              <c:layout/>
              <c:tx>
                <c:rich>
                  <a:bodyPr rot="0" spcFirstLastPara="0" vertOverflow="ellipsis" vert="horz" wrap="square" lIns="38100" tIns="19050" rIns="38100" bIns="19050" anchor="ctr" anchorCtr="1"/>
                  <a:lstStyle/>
                  <a:p>
                    <a:pPr defTabSz="914400">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r>
                      <a:t>一般公共服务支出, 205.38, 71.7</a:t>
                    </a:r>
                    <a:r>
                      <a:rPr lang="en-US" altLang="zh-CN"/>
                      <a:t>0</a:t>
                    </a:r>
                    <a:r>
                      <a:t>%</a:t>
                    </a:r>
                  </a:p>
                </c:rich>
              </c:tx>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extLst>
            </c:dLbl>
            <c:dLbl>
              <c:idx val="1"/>
              <c:layout>
                <c:manualLayout>
                  <c:x val="-0.0552486187845304"/>
                  <c:y val="0.0966436919388673"/>
                </c:manualLayout>
              </c:layout>
              <c:tx>
                <c:rich>
                  <a:bodyPr rot="0" spcFirstLastPara="0" vertOverflow="ellipsis" horzOverflow="overflow" vert="horz" wrap="square" lIns="38100" tIns="19050" rIns="38100" bIns="19050" anchor="ctr" anchorCtr="1"/>
                  <a:lstStyle/>
                  <a:p>
                    <a:pPr defTabSz="914400">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r>
                      <a:t>社会保障和就业支出, 41.08, 14.3</a:t>
                    </a:r>
                    <a:r>
                      <a:rPr lang="en-US" altLang="zh-CN"/>
                      <a:t>0</a:t>
                    </a:r>
                    <a:r>
                      <a:t>%</a:t>
                    </a:r>
                  </a:p>
                </c:rich>
              </c:tx>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205801104972376"/>
                  <c:y val="0.0179802217560683"/>
                </c:manualLayout>
              </c:layout>
              <c:tx>
                <c:rich>
                  <a:bodyPr rot="0" spcFirstLastPara="0" vertOverflow="ellipsis" horzOverflow="overflow" vert="horz" wrap="square" lIns="38100" tIns="19050" rIns="38100" bIns="19050" anchor="ctr" anchorCtr="1"/>
                  <a:lstStyle/>
                  <a:p>
                    <a:pPr defTabSz="914400">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r>
                      <a:t>住房保障支出, 19.42, 6.</a:t>
                    </a:r>
                    <a:r>
                      <a:rPr lang="en-US" altLang="zh-CN"/>
                      <a:t>8</a:t>
                    </a:r>
                    <a:r>
                      <a:t>%</a:t>
                    </a:r>
                  </a:p>
                </c:rich>
              </c:tx>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00276243093922652"/>
                  <c:y val="0.0065327058976934"/>
                </c:manualLayout>
              </c:layout>
              <c:tx>
                <c:rich>
                  <a:bodyPr rot="0" spcFirstLastPara="0" vertOverflow="ellipsis" horzOverflow="overflow" vert="horz" wrap="square" lIns="38100" tIns="19050" rIns="38100" bIns="19050" anchor="ctr" anchorCtr="1"/>
                  <a:lstStyle/>
                  <a:p>
                    <a:pPr defTabSz="914400">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r>
                      <a:t>卫生健康支出, 20.48, 7.</a:t>
                    </a:r>
                    <a:r>
                      <a:rPr lang="en-US" altLang="zh-CN"/>
                      <a:t>2</a:t>
                    </a:r>
                    <a:r>
                      <a:t>%</a:t>
                    </a:r>
                  </a:p>
                </c:rich>
              </c:tx>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025"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[2021决算公开图表.xls]Sheet1!$A$110:$A$113</c:f>
              <c:strCache>
                <c:ptCount val="4"/>
                <c:pt idx="0">
                  <c:v>一般公共服务支出</c:v>
                </c:pt>
                <c:pt idx="1">
                  <c:v>社会保障和就业支出</c:v>
                </c:pt>
                <c:pt idx="2">
                  <c:v>住房保障支出</c:v>
                </c:pt>
                <c:pt idx="3">
                  <c:v>卫生健康支出</c:v>
                </c:pt>
              </c:strCache>
            </c:strRef>
          </c:cat>
          <c:val>
            <c:numRef>
              <c:f>[2021决算公开图表.xls]Sheet1!$B$110:$B$113</c:f>
              <c:numCache>
                <c:formatCode>General</c:formatCode>
                <c:ptCount val="4"/>
                <c:pt idx="0">
                  <c:v>205.38</c:v>
                </c:pt>
                <c:pt idx="1">
                  <c:v>41.08</c:v>
                </c:pt>
                <c:pt idx="2">
                  <c:v>19.42</c:v>
                </c:pt>
                <c:pt idx="3">
                  <c:v>20.48</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Lbls>
            <c:delete val="1"/>
          </c:dLbls>
          <c:cat>
            <c:strRef>
              <c:f>[2021决算公开图表.xls]Sheet1!$A$110:$A$113</c:f>
              <c:strCache>
                <c:ptCount val="4"/>
                <c:pt idx="0">
                  <c:v>一般公共服务支出</c:v>
                </c:pt>
                <c:pt idx="1">
                  <c:v>社会保障和就业支出</c:v>
                </c:pt>
                <c:pt idx="2">
                  <c:v>住房保障支出</c:v>
                </c:pt>
                <c:pt idx="3">
                  <c:v>卫生健康支出</c:v>
                </c:pt>
              </c:strCache>
            </c:strRef>
          </c:cat>
          <c:val>
            <c:numRef>
              <c:f>[2021决算公开图表.xls]Sheet1!$C$110:$C$113</c:f>
              <c:numCache>
                <c:formatCode>0.00%</c:formatCode>
                <c:ptCount val="4"/>
                <c:pt idx="0">
                  <c:v>0.717</c:v>
                </c:pt>
                <c:pt idx="1">
                  <c:v>0.143</c:v>
                </c:pt>
                <c:pt idx="2">
                  <c:v>0.068</c:v>
                </c:pt>
                <c:pt idx="3">
                  <c:v>0.072</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5569482945643"/>
          <c:y val="0.201586961183787"/>
          <c:w val="0.238760997951067"/>
          <c:h val="0.550289513188934"/>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ct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400"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400" b="0" i="0" u="none" strike="noStrike" baseline="0">
                <a:solidFill>
                  <a:srgbClr val="333333"/>
                </a:solidFill>
                <a:latin typeface="Arial" panose="020B0604020202020204" pitchFamily="2" charset="0"/>
                <a:ea typeface="Arial" panose="020B0604020202020204" pitchFamily="2" charset="0"/>
                <a:cs typeface="Arial" panose="020B0604020202020204" pitchFamily="2" charset="0"/>
              </a:rPr>
              <a:t>7</a:t>
            </a:r>
            <a:r>
              <a:rPr sz="1400" b="0" i="0" u="none" strike="noStrike" baseline="0">
                <a:solidFill>
                  <a:srgbClr val="000000"/>
                </a:solidFill>
                <a:latin typeface="宋体" panose="02010600030101010101" charset="-122"/>
                <a:ea typeface="宋体" panose="02010600030101010101" charset="-122"/>
                <a:cs typeface="宋体" panose="02010600030101010101" charset="-122"/>
              </a:rPr>
              <a:t>  “三公”经费财政拨款支出结构</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424129203326504"/>
          <c:y val="0.00695088044485635"/>
        </c:manualLayout>
      </c:layout>
      <c:overlay val="0"/>
    </c:title>
    <c:autoTitleDeleted val="0"/>
    <c:plotArea>
      <c:layout>
        <c:manualLayout>
          <c:layoutTarget val="inner"/>
          <c:xMode val="edge"/>
          <c:yMode val="edge"/>
          <c:x val="0.134947941370388"/>
          <c:y val="0.00695088044485635"/>
          <c:w val="0.539289145052834"/>
          <c:h val="0.802216066481995"/>
        </c:manualLayout>
      </c:layout>
      <c:doughnut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Lbls>
            <c:dLbl>
              <c:idx val="0"/>
              <c:layout>
                <c:manualLayout>
                  <c:x val="-0.229666224956431"/>
                  <c:y val="0.418282548476454"/>
                </c:manualLayout>
              </c:layou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0.262907602796609"/>
                  <c:y val="0.0705403447156592"/>
                </c:manualLayout>
              </c:layou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219020303839601"/>
                  <c:y val="0.25365724838416"/>
                </c:manualLayout>
              </c:layout>
              <c:showLegendKey val="1"/>
              <c:showVal val="1"/>
              <c:showCatName val="1"/>
              <c:showSerName val="0"/>
              <c:showPercent val="1"/>
              <c:showBubbleSize val="0"/>
              <c:extLst>
                <c:ext xmlns:c15="http://schemas.microsoft.com/office/drawing/2012/chart" uri="{CE6537A1-D6FC-4f65-9D91-7224C49458BB}">
                  <c15:layout/>
                </c:ext>
              </c:extLst>
            </c:dLbl>
            <c:numFmt formatCode="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[2021决算公开图表.xls]Sheet1!$B$136:$B$138</c:f>
              <c:strCache>
                <c:ptCount val="3"/>
                <c:pt idx="0">
                  <c:v>因公出国（境）费支出</c:v>
                </c:pt>
                <c:pt idx="1">
                  <c:v>公务用车购置及运行维护费支出</c:v>
                </c:pt>
                <c:pt idx="2">
                  <c:v>公务接待费支出</c:v>
                </c:pt>
              </c:strCache>
            </c:strRef>
          </c:cat>
          <c:val>
            <c:numRef>
              <c:f>[2021决算公开图表.xls]Sheet1!$C$136:$C$138</c:f>
              <c:numCache>
                <c:formatCode>General</c:formatCode>
                <c:ptCount val="3"/>
                <c:pt idx="0">
                  <c:v>0</c:v>
                </c:pt>
                <c:pt idx="1">
                  <c:v>0</c:v>
                </c:pt>
                <c:pt idx="2">
                  <c:v>0</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Lbls>
            <c:delete val="1"/>
          </c:dLbls>
          <c:cat>
            <c:strRef>
              <c:f>[2021决算公开图表.xls]Sheet1!$B$136:$B$138</c:f>
              <c:strCache>
                <c:ptCount val="3"/>
                <c:pt idx="0">
                  <c:v>因公出国（境）费支出</c:v>
                </c:pt>
                <c:pt idx="1">
                  <c:v>公务用车购置及运行维护费支出</c:v>
                </c:pt>
                <c:pt idx="2">
                  <c:v>公务接待费支出</c:v>
                </c:pt>
              </c:strCache>
            </c:strRef>
          </c:cat>
          <c:val>
            <c:numRef>
              <c:f>[2021决算公开图表.xls]Sheet1!$D$136:$D$138</c:f>
              <c:numCache>
                <c:formatCode>0%</c:formatCode>
                <c:ptCount val="3"/>
                <c:pt idx="0">
                  <c:v>0</c:v>
                </c:pt>
                <c:pt idx="1">
                  <c:v>0</c:v>
                </c:pt>
                <c:pt idx="2">
                  <c:v>0</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r"/>
      <c:layout>
        <c:manualLayout>
          <c:xMode val="edge"/>
          <c:yMode val="edge"/>
          <c:x val="0.655538146317946"/>
          <c:y val="0.254865616311399"/>
          <c:w val="0.338556104616126"/>
          <c:h val="0.621640407784986"/>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28</Pages>
  <Words>1406</Words>
  <Characters>8015</Characters>
  <Lines>66</Lines>
  <Paragraphs>18</Paragraphs>
  <TotalTime>60</TotalTime>
  <ScaleCrop>false</ScaleCrop>
  <LinksUpToDate>false</LinksUpToDate>
  <CharactersWithSpaces>9403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2023-10-11T02:25:00Z</dcterms:created>
  <dc:creator>曹颖</dc:creator>
  <cp:lastModifiedBy>Administrator</cp:lastModifiedBy>
  <cp:lastPrinted>2023-07-31T02:35:00Z</cp:lastPrinted>
  <dcterms:modified xsi:type="dcterms:W3CDTF">2022-01-22T02:52:55Z</dcterms:modified>
  <dc:title>四川省***</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