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193"/>
      <w:bookmarkStart w:id="1" w:name="_Toc15378441"/>
      <w:bookmarkStart w:id="2" w:name="_Toc15396475"/>
      <w:bookmarkStart w:id="3" w:name="_Toc15396597"/>
      <w:bookmarkStart w:id="4" w:name="_Toc15377425"/>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598"/>
      <w:bookmarkStart w:id="7" w:name="_Toc15378442"/>
      <w:bookmarkStart w:id="8" w:name="_Toc15396476"/>
      <w:bookmarkStart w:id="9" w:name="_Toc15306268"/>
      <w:bookmarkStart w:id="10" w:name="_Toc15377426"/>
      <w:bookmarkStart w:id="11" w:name="_Toc15377194"/>
      <w:r>
        <w:rPr>
          <w:rFonts w:hint="eastAsia" w:ascii="方正小标宋简体" w:hAnsi="方正小标宋简体" w:eastAsia="方正小标宋简体" w:cs="方正小标宋简体"/>
          <w:sz w:val="72"/>
          <w:szCs w:val="72"/>
        </w:rPr>
        <w:t>盐边县机关事务服务中心部门决算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公开时间：2023年10月26日</w:t>
      </w:r>
    </w:p>
    <w:p/>
    <w:p>
      <w:pPr>
        <w:pStyle w:val="12"/>
        <w:adjustRightInd w:val="0"/>
        <w:snapToGrid w:val="0"/>
        <w:spacing w:before="0" w:line="440" w:lineRule="exact"/>
        <w:jc w:val="left"/>
        <w:rPr>
          <w:rFonts w:cstheme="minorBidi"/>
          <w:sz w:val="24"/>
          <w:szCs w:val="24"/>
        </w:rPr>
      </w:pPr>
      <w:r>
        <w:rPr>
          <w:rFonts w:hint="eastAsia"/>
          <w:sz w:val="24"/>
          <w:szCs w:val="24"/>
        </w:rPr>
        <w:t>第一部分部门概况</w:t>
      </w:r>
      <w:r>
        <w:rPr>
          <w:sz w:val="24"/>
          <w:szCs w:val="24"/>
        </w:rPr>
        <w:ptab w:relativeTo="margin" w:alignment="right" w:leader="dot"/>
      </w:r>
      <w:r>
        <w:rPr>
          <w:sz w:val="24"/>
          <w:szCs w:val="24"/>
        </w:rPr>
        <w:t>1</w:t>
      </w:r>
    </w:p>
    <w:p>
      <w:pPr>
        <w:pStyle w:val="12"/>
        <w:adjustRightInd w:val="0"/>
        <w:snapToGrid w:val="0"/>
        <w:spacing w:before="0" w:line="440" w:lineRule="exact"/>
        <w:ind w:firstLine="480" w:firstLineChars="200"/>
        <w:jc w:val="left"/>
        <w:rPr>
          <w:rFonts w:cstheme="minorBidi"/>
          <w:sz w:val="24"/>
          <w:szCs w:val="24"/>
        </w:rPr>
      </w:pPr>
      <w:r>
        <w:rPr>
          <w:rFonts w:hint="eastAsia"/>
          <w:sz w:val="24"/>
          <w:szCs w:val="24"/>
        </w:rPr>
        <w:t>一、部门职责</w:t>
      </w:r>
      <w:r>
        <w:rPr>
          <w:sz w:val="24"/>
          <w:szCs w:val="24"/>
        </w:rPr>
        <w:ptab w:relativeTo="margin" w:alignment="right" w:leader="dot"/>
      </w:r>
      <w:r>
        <w:rPr>
          <w:sz w:val="24"/>
          <w:szCs w:val="24"/>
        </w:rPr>
        <w:t>1</w:t>
      </w:r>
    </w:p>
    <w:p>
      <w:pPr>
        <w:pStyle w:val="12"/>
        <w:adjustRightInd w:val="0"/>
        <w:snapToGrid w:val="0"/>
        <w:spacing w:before="0" w:line="440" w:lineRule="exact"/>
        <w:ind w:firstLine="480" w:firstLineChars="200"/>
        <w:jc w:val="left"/>
        <w:rPr>
          <w:rFonts w:cstheme="minorBidi"/>
          <w:sz w:val="24"/>
          <w:szCs w:val="24"/>
        </w:rPr>
      </w:pPr>
      <w:r>
        <w:rPr>
          <w:rFonts w:hint="eastAsia"/>
          <w:sz w:val="24"/>
          <w:szCs w:val="24"/>
        </w:rPr>
        <w:t>二、机构设置</w:t>
      </w:r>
      <w:r>
        <w:rPr>
          <w:sz w:val="24"/>
          <w:szCs w:val="24"/>
        </w:rPr>
        <w:ptab w:relativeTo="margin" w:alignment="right" w:leader="dot"/>
      </w:r>
      <w:r>
        <w:rPr>
          <w:rFonts w:hint="eastAsia"/>
          <w:sz w:val="24"/>
          <w:szCs w:val="24"/>
        </w:rPr>
        <w:t>2</w:t>
      </w:r>
    </w:p>
    <w:p>
      <w:pPr>
        <w:pStyle w:val="12"/>
        <w:adjustRightInd w:val="0"/>
        <w:snapToGrid w:val="0"/>
        <w:spacing w:before="0" w:line="440" w:lineRule="exact"/>
        <w:jc w:val="left"/>
        <w:rPr>
          <w:rFonts w:cstheme="minorBidi"/>
          <w:sz w:val="24"/>
          <w:szCs w:val="24"/>
        </w:rPr>
      </w:pPr>
      <w:r>
        <w:rPr>
          <w:rFonts w:hint="eastAsia"/>
          <w:sz w:val="24"/>
          <w:szCs w:val="24"/>
        </w:rPr>
        <w:t>第二部分 2022年度部门决算情况说明</w:t>
      </w:r>
      <w:r>
        <w:rPr>
          <w:sz w:val="24"/>
          <w:szCs w:val="24"/>
        </w:rPr>
        <w:ptab w:relativeTo="margin" w:alignment="right" w:leader="dot"/>
      </w:r>
      <w:r>
        <w:rPr>
          <w:rFonts w:hint="eastAsia"/>
          <w:sz w:val="24"/>
          <w:szCs w:val="24"/>
        </w:rPr>
        <w:t>3</w:t>
      </w:r>
    </w:p>
    <w:p>
      <w:pPr>
        <w:pStyle w:val="12"/>
        <w:adjustRightInd w:val="0"/>
        <w:snapToGrid w:val="0"/>
        <w:spacing w:before="0" w:line="440" w:lineRule="exact"/>
        <w:ind w:firstLine="480" w:firstLineChars="200"/>
        <w:jc w:val="left"/>
        <w:rPr>
          <w:rFonts w:cstheme="minorBidi"/>
          <w:sz w:val="24"/>
          <w:szCs w:val="24"/>
        </w:rPr>
      </w:pPr>
      <w:r>
        <w:rPr>
          <w:rFonts w:hint="eastAsia"/>
          <w:sz w:val="24"/>
          <w:szCs w:val="24"/>
        </w:rPr>
        <w:t>一、收入支出决算总体情况说明</w:t>
      </w:r>
      <w:r>
        <w:rPr>
          <w:sz w:val="24"/>
          <w:szCs w:val="24"/>
        </w:rPr>
        <w:ptab w:relativeTo="margin" w:alignment="right" w:leader="dot"/>
      </w:r>
      <w:r>
        <w:rPr>
          <w:rFonts w:hint="eastAsia"/>
          <w:sz w:val="24"/>
          <w:szCs w:val="24"/>
        </w:rPr>
        <w:t>3</w:t>
      </w:r>
    </w:p>
    <w:p>
      <w:pPr>
        <w:pStyle w:val="12"/>
        <w:adjustRightInd w:val="0"/>
        <w:snapToGrid w:val="0"/>
        <w:spacing w:before="0" w:line="440" w:lineRule="exact"/>
        <w:ind w:firstLine="480" w:firstLineChars="200"/>
        <w:jc w:val="left"/>
        <w:rPr>
          <w:rFonts w:cstheme="minorBidi"/>
          <w:sz w:val="24"/>
          <w:szCs w:val="24"/>
        </w:rPr>
      </w:pPr>
      <w:r>
        <w:rPr>
          <w:rFonts w:hint="eastAsia"/>
          <w:sz w:val="24"/>
          <w:szCs w:val="24"/>
        </w:rPr>
        <w:t>二、收入决算情况说明</w:t>
      </w:r>
      <w:r>
        <w:rPr>
          <w:sz w:val="24"/>
          <w:szCs w:val="24"/>
        </w:rPr>
        <w:ptab w:relativeTo="margin" w:alignment="right" w:leader="dot"/>
      </w:r>
      <w:r>
        <w:rPr>
          <w:rFonts w:hint="eastAsia"/>
          <w:sz w:val="24"/>
          <w:szCs w:val="24"/>
        </w:rPr>
        <w:t>3</w:t>
      </w:r>
    </w:p>
    <w:p>
      <w:pPr>
        <w:pStyle w:val="12"/>
        <w:adjustRightInd w:val="0"/>
        <w:snapToGrid w:val="0"/>
        <w:spacing w:before="0" w:line="440" w:lineRule="exact"/>
        <w:ind w:firstLine="480" w:firstLineChars="200"/>
        <w:jc w:val="left"/>
        <w:rPr>
          <w:rFonts w:cstheme="minorBidi"/>
          <w:sz w:val="24"/>
          <w:szCs w:val="24"/>
        </w:rPr>
      </w:pPr>
      <w:r>
        <w:rPr>
          <w:rFonts w:hint="eastAsia"/>
          <w:sz w:val="24"/>
          <w:szCs w:val="24"/>
        </w:rPr>
        <w:t>三、支出决算情况说明</w:t>
      </w:r>
      <w:r>
        <w:rPr>
          <w:sz w:val="24"/>
          <w:szCs w:val="24"/>
        </w:rPr>
        <w:ptab w:relativeTo="margin" w:alignment="right" w:leader="dot"/>
      </w:r>
      <w:r>
        <w:rPr>
          <w:rFonts w:hint="eastAsia"/>
          <w:sz w:val="24"/>
          <w:szCs w:val="24"/>
        </w:rPr>
        <w:t>4</w:t>
      </w:r>
    </w:p>
    <w:p>
      <w:pPr>
        <w:pStyle w:val="12"/>
        <w:adjustRightInd w:val="0"/>
        <w:snapToGrid w:val="0"/>
        <w:spacing w:before="0" w:line="440" w:lineRule="exact"/>
        <w:ind w:firstLine="480" w:firstLineChars="200"/>
        <w:jc w:val="left"/>
        <w:rPr>
          <w:rFonts w:cstheme="minorBidi"/>
          <w:sz w:val="24"/>
          <w:szCs w:val="24"/>
        </w:rPr>
      </w:pPr>
      <w:r>
        <w:rPr>
          <w:rFonts w:hint="eastAsia"/>
          <w:sz w:val="24"/>
          <w:szCs w:val="24"/>
        </w:rPr>
        <w:t>四、财政拨款收入支出决算总体情况说明</w:t>
      </w:r>
      <w:r>
        <w:rPr>
          <w:sz w:val="24"/>
          <w:szCs w:val="24"/>
        </w:rPr>
        <w:ptab w:relativeTo="margin" w:alignment="right" w:leader="dot"/>
      </w:r>
      <w:r>
        <w:rPr>
          <w:rFonts w:hint="eastAsia"/>
          <w:sz w:val="24"/>
          <w:szCs w:val="24"/>
        </w:rPr>
        <w:t>4</w:t>
      </w:r>
    </w:p>
    <w:p>
      <w:pPr>
        <w:pStyle w:val="12"/>
        <w:adjustRightInd w:val="0"/>
        <w:snapToGrid w:val="0"/>
        <w:spacing w:before="0" w:line="440" w:lineRule="exact"/>
        <w:ind w:firstLine="480" w:firstLineChars="200"/>
        <w:jc w:val="left"/>
        <w:rPr>
          <w:rFonts w:cstheme="minorBidi"/>
          <w:sz w:val="24"/>
          <w:szCs w:val="24"/>
        </w:rPr>
      </w:pPr>
      <w:r>
        <w:rPr>
          <w:rFonts w:hint="eastAsia"/>
          <w:sz w:val="24"/>
          <w:szCs w:val="24"/>
        </w:rPr>
        <w:t>五、一般公共预算财政拨款支出决算情况说明</w:t>
      </w:r>
      <w:r>
        <w:rPr>
          <w:sz w:val="24"/>
          <w:szCs w:val="24"/>
        </w:rPr>
        <w:ptab w:relativeTo="margin" w:alignment="right" w:leader="dot"/>
      </w:r>
      <w:r>
        <w:rPr>
          <w:rFonts w:hint="eastAsia"/>
          <w:sz w:val="24"/>
          <w:szCs w:val="24"/>
        </w:rPr>
        <w:t>4</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六、一般公共预算财政拨款基本支出决算情况说明</w:t>
      </w:r>
      <w:r>
        <w:rPr>
          <w:rFonts w:hint="eastAsia" w:ascii="仿宋" w:hAnsi="仿宋" w:eastAsia="仿宋" w:cs="仿宋"/>
          <w:sz w:val="24"/>
        </w:rPr>
        <w:ptab w:relativeTo="margin" w:alignment="right" w:leader="dot"/>
      </w:r>
      <w:r>
        <w:rPr>
          <w:rFonts w:hint="eastAsia" w:ascii="仿宋" w:hAnsi="仿宋" w:eastAsia="仿宋" w:cs="仿宋"/>
          <w:sz w:val="24"/>
        </w:rPr>
        <w:t>7</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七、财政拨款“三公”经费支出决算情况说明</w:t>
      </w:r>
      <w:r>
        <w:rPr>
          <w:rFonts w:hint="eastAsia" w:ascii="仿宋" w:hAnsi="仿宋" w:eastAsia="仿宋" w:cs="仿宋"/>
          <w:sz w:val="24"/>
        </w:rPr>
        <w:ptab w:relativeTo="margin" w:alignment="right" w:leader="dot"/>
      </w:r>
      <w:r>
        <w:rPr>
          <w:rFonts w:hint="eastAsia" w:ascii="仿宋" w:hAnsi="仿宋" w:eastAsia="仿宋" w:cs="仿宋"/>
          <w:sz w:val="24"/>
        </w:rPr>
        <w:t>7</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八、政府性基金预算支出决算情况说明</w:t>
      </w:r>
      <w:r>
        <w:rPr>
          <w:rFonts w:hint="eastAsia" w:ascii="仿宋" w:hAnsi="仿宋" w:eastAsia="仿宋" w:cs="仿宋"/>
          <w:sz w:val="24"/>
        </w:rPr>
        <w:ptab w:relativeTo="margin" w:alignment="right" w:leader="dot"/>
      </w:r>
      <w:r>
        <w:rPr>
          <w:rFonts w:hint="eastAsia" w:ascii="仿宋" w:hAnsi="仿宋" w:eastAsia="仿宋" w:cs="仿宋"/>
          <w:sz w:val="24"/>
        </w:rPr>
        <w:t>9</w:t>
      </w:r>
    </w:p>
    <w:p>
      <w:pPr>
        <w:pStyle w:val="14"/>
        <w:adjustRightInd w:val="0"/>
        <w:snapToGrid w:val="0"/>
        <w:spacing w:line="440" w:lineRule="exact"/>
        <w:ind w:leftChars="0"/>
        <w:jc w:val="left"/>
        <w:rPr>
          <w:rFonts w:ascii="仿宋" w:hAnsi="仿宋" w:eastAsia="仿宋" w:cs="仿宋"/>
          <w:sz w:val="24"/>
        </w:rPr>
      </w:pPr>
      <w:r>
        <w:rPr>
          <w:rFonts w:hint="eastAsia" w:ascii="仿宋" w:hAnsi="仿宋" w:eastAsia="仿宋" w:cs="仿宋"/>
          <w:sz w:val="24"/>
        </w:rPr>
        <w:t>九、国有资本经营预算支出决算情况说明</w:t>
      </w:r>
      <w:r>
        <w:rPr>
          <w:rFonts w:hint="eastAsia" w:ascii="仿宋" w:hAnsi="仿宋" w:eastAsia="仿宋" w:cs="仿宋"/>
          <w:sz w:val="24"/>
        </w:rPr>
        <w:ptab w:relativeTo="margin" w:alignment="right" w:leader="dot"/>
      </w:r>
      <w:r>
        <w:rPr>
          <w:rFonts w:hint="eastAsia" w:ascii="仿宋" w:hAnsi="仿宋" w:eastAsia="仿宋" w:cs="仿宋"/>
          <w:sz w:val="24"/>
        </w:rPr>
        <w:t>9</w:t>
      </w:r>
    </w:p>
    <w:p>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19"/>
          <w:rFonts w:hint="eastAsia" w:ascii="仿宋" w:hAnsi="仿宋" w:eastAsia="仿宋" w:cs="仿宋"/>
          <w:color w:val="auto"/>
          <w:sz w:val="24"/>
          <w:u w:val="none"/>
        </w:rPr>
        <w:t>十、</w:t>
      </w:r>
      <w:r>
        <w:rPr>
          <w:rFonts w:hint="eastAsia" w:ascii="仿宋" w:hAnsi="仿宋" w:eastAsia="仿宋" w:cs="仿宋"/>
          <w:sz w:val="24"/>
        </w:rPr>
        <w:t>其他重要事项的情况说明</w:t>
      </w:r>
      <w:r>
        <w:rPr>
          <w:rFonts w:ascii="仿宋" w:hAnsi="仿宋" w:eastAsia="仿宋" w:cs="仿宋"/>
          <w:sz w:val="24"/>
        </w:rPr>
        <w:ptab w:relativeTo="margin" w:alignment="right" w:leader="dot"/>
      </w:r>
      <w:r>
        <w:rPr>
          <w:rFonts w:hint="eastAsia" w:ascii="仿宋" w:hAnsi="仿宋" w:eastAsia="仿宋" w:cs="仿宋"/>
          <w:sz w:val="24"/>
        </w:rPr>
        <w:t>9</w:t>
      </w:r>
    </w:p>
    <w:p>
      <w:pPr>
        <w:pStyle w:val="12"/>
        <w:adjustRightInd w:val="0"/>
        <w:snapToGrid w:val="0"/>
        <w:spacing w:before="0" w:line="440" w:lineRule="exact"/>
        <w:jc w:val="left"/>
        <w:rPr>
          <w:rFonts w:cstheme="minorBidi"/>
          <w:sz w:val="24"/>
          <w:szCs w:val="24"/>
        </w:rPr>
      </w:pPr>
      <w:r>
        <w:rPr>
          <w:rFonts w:hint="eastAsia"/>
          <w:sz w:val="24"/>
          <w:szCs w:val="24"/>
        </w:rPr>
        <w:t>第三部分名词解释</w:t>
      </w:r>
      <w:r>
        <w:rPr>
          <w:sz w:val="24"/>
          <w:szCs w:val="24"/>
        </w:rPr>
        <w:ptab w:relativeTo="margin" w:alignment="right" w:leader="dot"/>
      </w:r>
      <w:r>
        <w:rPr>
          <w:sz w:val="24"/>
          <w:szCs w:val="24"/>
        </w:rPr>
        <w:t>1</w:t>
      </w:r>
      <w:r>
        <w:rPr>
          <w:rFonts w:hint="eastAsia"/>
          <w:sz w:val="24"/>
          <w:szCs w:val="24"/>
        </w:rPr>
        <w:t>1</w:t>
      </w:r>
    </w:p>
    <w:p>
      <w:pPr>
        <w:pStyle w:val="12"/>
        <w:adjustRightInd w:val="0"/>
        <w:snapToGrid w:val="0"/>
        <w:spacing w:before="0" w:line="440" w:lineRule="exact"/>
        <w:jc w:val="left"/>
        <w:rPr>
          <w:rFonts w:cstheme="minorBidi"/>
          <w:sz w:val="24"/>
          <w:szCs w:val="24"/>
        </w:rPr>
      </w:pPr>
      <w:r>
        <w:rPr>
          <w:rFonts w:hint="eastAsia"/>
          <w:sz w:val="24"/>
          <w:szCs w:val="24"/>
        </w:rPr>
        <w:t>第四部分附件</w:t>
      </w:r>
      <w:r>
        <w:rPr>
          <w:sz w:val="24"/>
          <w:szCs w:val="24"/>
        </w:rPr>
        <w:ptab w:relativeTo="margin" w:alignment="right" w:leader="dot"/>
      </w:r>
      <w:r>
        <w:rPr>
          <w:sz w:val="24"/>
          <w:szCs w:val="24"/>
        </w:rPr>
        <w:t>1</w:t>
      </w:r>
      <w:r>
        <w:rPr>
          <w:rFonts w:hint="eastAsia"/>
          <w:sz w:val="24"/>
          <w:szCs w:val="24"/>
        </w:rPr>
        <w:t>4</w:t>
      </w:r>
    </w:p>
    <w:p>
      <w:pPr>
        <w:pStyle w:val="12"/>
        <w:adjustRightInd w:val="0"/>
        <w:snapToGrid w:val="0"/>
        <w:spacing w:before="0" w:line="440" w:lineRule="exact"/>
        <w:jc w:val="left"/>
        <w:rPr>
          <w:rFonts w:cstheme="minorBidi"/>
          <w:sz w:val="24"/>
          <w:szCs w:val="24"/>
        </w:rPr>
      </w:pPr>
      <w:r>
        <w:rPr>
          <w:rFonts w:hint="eastAsia"/>
          <w:sz w:val="24"/>
          <w:szCs w:val="24"/>
        </w:rPr>
        <w:t>第五部分附表</w:t>
      </w:r>
      <w:r>
        <w:rPr>
          <w:sz w:val="24"/>
          <w:szCs w:val="24"/>
        </w:rPr>
        <w:ptab w:relativeTo="margin" w:alignment="right" w:leader="dot"/>
      </w:r>
      <w:r>
        <w:rPr>
          <w:rFonts w:hint="eastAsia"/>
          <w:sz w:val="24"/>
          <w:szCs w:val="24"/>
        </w:rPr>
        <w:t>20</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一、收入支出决算总表</w:t>
      </w:r>
      <w:r>
        <w:rPr>
          <w:rFonts w:hint="eastAsia" w:ascii="仿宋" w:hAnsi="仿宋" w:eastAsia="仿宋" w:cs="仿宋"/>
          <w:sz w:val="24"/>
        </w:rPr>
        <w:ptab w:relativeTo="margin" w:alignment="right" w:leader="dot"/>
      </w:r>
      <w:r>
        <w:rPr>
          <w:rFonts w:hint="eastAsia" w:ascii="仿宋" w:hAnsi="仿宋" w:eastAsia="仿宋" w:cs="仿宋"/>
          <w:sz w:val="24"/>
        </w:rPr>
        <w:t>21</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二、收入决算表</w:t>
      </w:r>
      <w:r>
        <w:rPr>
          <w:rFonts w:hint="eastAsia" w:ascii="仿宋" w:hAnsi="仿宋" w:eastAsia="仿宋" w:cs="仿宋"/>
          <w:sz w:val="24"/>
        </w:rPr>
        <w:ptab w:relativeTo="margin" w:alignment="right" w:leader="dot"/>
      </w:r>
      <w:r>
        <w:rPr>
          <w:rFonts w:hint="eastAsia" w:ascii="仿宋" w:hAnsi="仿宋" w:eastAsia="仿宋" w:cs="仿宋"/>
          <w:sz w:val="24"/>
        </w:rPr>
        <w:t>22</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三、支出决算表</w:t>
      </w:r>
      <w:r>
        <w:rPr>
          <w:rFonts w:hint="eastAsia" w:ascii="仿宋" w:hAnsi="仿宋" w:eastAsia="仿宋" w:cs="仿宋"/>
          <w:sz w:val="24"/>
        </w:rPr>
        <w:ptab w:relativeTo="margin" w:alignment="right" w:leader="dot"/>
      </w:r>
      <w:r>
        <w:rPr>
          <w:rFonts w:hint="eastAsia" w:ascii="仿宋" w:hAnsi="仿宋" w:eastAsia="仿宋" w:cs="仿宋"/>
          <w:sz w:val="24"/>
        </w:rPr>
        <w:t>23</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四、财政拨款收入支出决算总表</w:t>
      </w:r>
      <w:r>
        <w:rPr>
          <w:rFonts w:hint="eastAsia" w:ascii="仿宋" w:hAnsi="仿宋" w:eastAsia="仿宋" w:cs="仿宋"/>
          <w:sz w:val="24"/>
        </w:rPr>
        <w:ptab w:relativeTo="margin" w:alignment="right" w:leader="dot"/>
      </w:r>
      <w:r>
        <w:rPr>
          <w:rFonts w:hint="eastAsia" w:ascii="仿宋" w:hAnsi="仿宋" w:eastAsia="仿宋" w:cs="仿宋"/>
          <w:sz w:val="24"/>
        </w:rPr>
        <w:t>24</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五、财政拨款支出决算明细表</w:t>
      </w:r>
      <w:r>
        <w:rPr>
          <w:rFonts w:hint="eastAsia" w:ascii="仿宋" w:hAnsi="仿宋" w:eastAsia="仿宋" w:cs="仿宋"/>
          <w:sz w:val="24"/>
        </w:rPr>
        <w:ptab w:relativeTo="margin" w:alignment="right" w:leader="dot"/>
      </w:r>
      <w:r>
        <w:rPr>
          <w:rFonts w:hint="eastAsia" w:ascii="仿宋" w:hAnsi="仿宋" w:eastAsia="仿宋" w:cs="仿宋"/>
          <w:sz w:val="24"/>
        </w:rPr>
        <w:t>25</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六、一般公共预算财政拨款支出决算表</w:t>
      </w:r>
      <w:r>
        <w:rPr>
          <w:rFonts w:hint="eastAsia" w:ascii="仿宋" w:hAnsi="仿宋" w:eastAsia="仿宋" w:cs="仿宋"/>
          <w:sz w:val="24"/>
        </w:rPr>
        <w:ptab w:relativeTo="margin" w:alignment="right" w:leader="dot"/>
      </w:r>
      <w:r>
        <w:rPr>
          <w:rFonts w:hint="eastAsia" w:ascii="仿宋" w:hAnsi="仿宋" w:eastAsia="仿宋" w:cs="仿宋"/>
          <w:sz w:val="24"/>
        </w:rPr>
        <w:t>26</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七、一般公共预算财政拨款支出决算明细表</w:t>
      </w:r>
      <w:r>
        <w:rPr>
          <w:rFonts w:hint="eastAsia" w:ascii="仿宋" w:hAnsi="仿宋" w:eastAsia="仿宋" w:cs="仿宋"/>
          <w:sz w:val="24"/>
        </w:rPr>
        <w:ptab w:relativeTo="margin" w:alignment="right" w:leader="dot"/>
      </w:r>
      <w:r>
        <w:rPr>
          <w:rFonts w:hint="eastAsia" w:ascii="仿宋" w:hAnsi="仿宋" w:eastAsia="仿宋" w:cs="仿宋"/>
          <w:sz w:val="24"/>
        </w:rPr>
        <w:t>27</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八、一般公共预算财政拨款基本支出决算明细表</w:t>
      </w:r>
      <w:r>
        <w:rPr>
          <w:rFonts w:hint="eastAsia" w:ascii="仿宋" w:hAnsi="仿宋" w:eastAsia="仿宋" w:cs="仿宋"/>
          <w:sz w:val="24"/>
        </w:rPr>
        <w:ptab w:relativeTo="margin" w:alignment="right" w:leader="dot"/>
      </w:r>
      <w:r>
        <w:rPr>
          <w:rFonts w:hint="eastAsia" w:ascii="仿宋" w:hAnsi="仿宋" w:eastAsia="仿宋" w:cs="仿宋"/>
          <w:sz w:val="24"/>
        </w:rPr>
        <w:t>28</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九、一般公共预算财政拨款项目支出决算表</w:t>
      </w:r>
      <w:r>
        <w:rPr>
          <w:rFonts w:hint="eastAsia" w:ascii="仿宋" w:hAnsi="仿宋" w:eastAsia="仿宋" w:cs="仿宋"/>
          <w:sz w:val="24"/>
        </w:rPr>
        <w:ptab w:relativeTo="margin" w:alignment="right" w:leader="dot"/>
      </w:r>
      <w:r>
        <w:rPr>
          <w:rFonts w:hint="eastAsia" w:ascii="仿宋" w:hAnsi="仿宋" w:eastAsia="仿宋" w:cs="仿宋"/>
          <w:sz w:val="24"/>
        </w:rPr>
        <w:t>29</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十、政府性基金预算财政拨款收入支出决算表</w:t>
      </w:r>
      <w:r>
        <w:rPr>
          <w:rFonts w:hint="eastAsia" w:ascii="仿宋" w:hAnsi="仿宋" w:eastAsia="仿宋" w:cs="仿宋"/>
          <w:sz w:val="24"/>
        </w:rPr>
        <w:ptab w:relativeTo="margin" w:alignment="right" w:leader="dot"/>
      </w:r>
      <w:r>
        <w:rPr>
          <w:rFonts w:hint="eastAsia" w:ascii="仿宋" w:hAnsi="仿宋" w:eastAsia="仿宋" w:cs="仿宋"/>
          <w:sz w:val="24"/>
        </w:rPr>
        <w:t>30</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十一、国有资本经营预算财政拨款收入支出决算表</w:t>
      </w:r>
      <w:r>
        <w:rPr>
          <w:rFonts w:hint="eastAsia" w:ascii="仿宋" w:hAnsi="仿宋" w:eastAsia="仿宋" w:cs="仿宋"/>
          <w:sz w:val="24"/>
        </w:rPr>
        <w:ptab w:relativeTo="margin" w:alignment="right" w:leader="dot"/>
      </w:r>
      <w:r>
        <w:rPr>
          <w:rFonts w:hint="eastAsia" w:ascii="仿宋" w:hAnsi="仿宋" w:eastAsia="仿宋" w:cs="仿宋"/>
          <w:sz w:val="24"/>
        </w:rPr>
        <w:t>31</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十二、国有资本经营预算财政拨款支出决算表</w:t>
      </w:r>
      <w:r>
        <w:rPr>
          <w:rFonts w:hint="eastAsia" w:ascii="仿宋" w:hAnsi="仿宋" w:eastAsia="仿宋" w:cs="仿宋"/>
          <w:sz w:val="24"/>
        </w:rPr>
        <w:ptab w:relativeTo="margin" w:alignment="right" w:leader="dot"/>
      </w:r>
      <w:r>
        <w:rPr>
          <w:rFonts w:hint="eastAsia" w:ascii="仿宋" w:hAnsi="仿宋" w:eastAsia="仿宋" w:cs="仿宋"/>
          <w:sz w:val="24"/>
        </w:rPr>
        <w:t>32</w:t>
      </w:r>
    </w:p>
    <w:p>
      <w:pPr>
        <w:pStyle w:val="14"/>
        <w:adjustRightInd w:val="0"/>
        <w:snapToGrid w:val="0"/>
        <w:spacing w:line="440" w:lineRule="exact"/>
        <w:jc w:val="left"/>
        <w:rPr>
          <w:rFonts w:ascii="仿宋" w:hAnsi="仿宋" w:eastAsia="仿宋" w:cs="仿宋"/>
          <w:sz w:val="24"/>
        </w:rPr>
      </w:pPr>
      <w:r>
        <w:rPr>
          <w:rFonts w:hint="eastAsia" w:ascii="仿宋" w:hAnsi="仿宋" w:eastAsia="仿宋" w:cs="仿宋"/>
          <w:sz w:val="24"/>
        </w:rPr>
        <w:t>十三、财政拨款“三公”经费支出决算表</w:t>
      </w:r>
      <w:r>
        <w:rPr>
          <w:rFonts w:hint="eastAsia" w:ascii="仿宋" w:hAnsi="仿宋" w:eastAsia="仿宋" w:cs="仿宋"/>
          <w:sz w:val="24"/>
        </w:rPr>
        <w:ptab w:relativeTo="margin" w:alignment="right" w:leader="dot"/>
      </w:r>
      <w:r>
        <w:rPr>
          <w:rFonts w:hint="eastAsia" w:ascii="仿宋" w:hAnsi="仿宋" w:eastAsia="仿宋" w:cs="仿宋"/>
          <w:sz w:val="24"/>
        </w:rPr>
        <w:t>33</w:t>
      </w:r>
    </w:p>
    <w:p>
      <w:pPr>
        <w:widowControl/>
        <w:spacing w:line="440" w:lineRule="exact"/>
        <w:jc w:val="left"/>
        <w:rPr>
          <w:rFonts w:ascii="仿宋" w:hAnsi="仿宋" w:eastAsia="仿宋" w:cs="仿宋"/>
          <w:bCs/>
          <w:kern w:val="44"/>
          <w:sz w:val="24"/>
        </w:rPr>
      </w:pPr>
      <w:bookmarkStart w:id="12" w:name="_Toc15377196"/>
      <w:bookmarkStart w:id="13" w:name="_Toc15396599"/>
      <w:r>
        <w:rPr>
          <w:rFonts w:hint="eastAsia" w:ascii="仿宋" w:hAnsi="仿宋" w:eastAsia="仿宋" w:cs="仿宋"/>
          <w:b/>
          <w:sz w:val="24"/>
        </w:rPr>
        <w:br w:type="page"/>
      </w:r>
    </w:p>
    <w:p>
      <w:pPr>
        <w:pStyle w:val="3"/>
        <w:jc w:val="center"/>
        <w:rPr>
          <w:rFonts w:ascii="黑体" w:hAnsi="黑体" w:eastAsia="黑体"/>
          <w:b w:val="0"/>
        </w:rPr>
        <w:sectPr>
          <w:headerReference r:id="rId3" w:type="default"/>
          <w:footerReference r:id="rId4" w:type="default"/>
          <w:footerReference r:id="rId5" w:type="even"/>
          <w:pgSz w:w="11906" w:h="16838"/>
          <w:pgMar w:top="1440" w:right="1800" w:bottom="1440" w:left="1800" w:header="851" w:footer="992" w:gutter="0"/>
          <w:pgNumType w:fmt="numberInDash" w:start="0"/>
          <w:cols w:space="425" w:num="1"/>
          <w:titlePg/>
          <w:docGrid w:type="lines" w:linePitch="312" w:charSpace="0"/>
        </w:sectPr>
      </w:pPr>
    </w:p>
    <w:p>
      <w:pPr>
        <w:pStyle w:val="3"/>
        <w:jc w:val="center"/>
        <w:rPr>
          <w:rStyle w:val="30"/>
          <w:rFonts w:ascii="黑体" w:hAnsi="黑体" w:eastAsia="黑体"/>
          <w:b/>
          <w:bCs w:val="0"/>
        </w:rPr>
      </w:pPr>
      <w:r>
        <w:rPr>
          <w:rFonts w:hint="eastAsia" w:ascii="黑体" w:hAnsi="黑体" w:eastAsia="黑体"/>
          <w:b w:val="0"/>
        </w:rPr>
        <w:t xml:space="preserve">第一部分 </w:t>
      </w:r>
      <w:r>
        <w:rPr>
          <w:rStyle w:val="30"/>
          <w:rFonts w:hint="eastAsia" w:ascii="黑体" w:hAnsi="黑体" w:eastAsia="黑体"/>
          <w:b w:val="0"/>
          <w:bCs w:val="0"/>
        </w:rPr>
        <w:t>部门概况</w:t>
      </w:r>
      <w:bookmarkEnd w:id="12"/>
      <w:bookmarkEnd w:id="13"/>
    </w:p>
    <w:p>
      <w:pPr>
        <w:widowControl/>
        <w:jc w:val="left"/>
        <w:rPr>
          <w:rFonts w:ascii="黑体" w:eastAsia="黑体"/>
          <w:sz w:val="32"/>
          <w:szCs w:val="32"/>
        </w:rPr>
      </w:pPr>
    </w:p>
    <w:p>
      <w:pPr>
        <w:pStyle w:val="4"/>
        <w:numPr>
          <w:ilvl w:val="0"/>
          <w:numId w:val="1"/>
        </w:numPr>
        <w:rPr>
          <w:rFonts w:ascii="黑体" w:hAnsi="黑体" w:eastAsia="黑体"/>
          <w:b w:val="0"/>
        </w:rPr>
      </w:pPr>
      <w:r>
        <w:rPr>
          <w:rFonts w:hint="eastAsia" w:ascii="黑体" w:hAnsi="黑体" w:eastAsia="黑体"/>
          <w:b w:val="0"/>
        </w:rPr>
        <w:t>部门职责</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（一）贯彻执行国家和省、市、县相关政策措施，研究制定机关事务管理工作规章制度并负责组织实施。</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（二）负责对县政府各部门机关事务进行统一管理，指导各乡镇政府机关事务管理工作，建立健全相关管理制度，统筹配置资源。</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（三）会同县级有关部门制定和组织实施机关配置、调剂、处置等具体管理制度。</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（四）统筹管理机关事业单位用地、集中管理机关事业单位办公用房。</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（五）负责对全县机关事业单位公务用车进行统一管理，并建立健全相关管理制度。</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（六）负责拟订国内公务接待的相关制度和公务接待标准，指导政府各部门和乡镇公务接待工作。</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（七）组织开展公共机构节约能源资源工作。</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（八）制定的机关后勤服务管理制度，确定机关后勤服务项目和标准，指导和监督政府各部门后勤服务工作。</w:t>
      </w:r>
    </w:p>
    <w:p>
      <w:pPr>
        <w:ind w:firstLine="640" w:firstLineChars="200"/>
      </w:pPr>
      <w:r>
        <w:rPr>
          <w:rFonts w:hint="eastAsia" w:ascii="仿宋_GB2312" w:hAnsi="华文中宋" w:eastAsia="仿宋_GB2312"/>
          <w:sz w:val="32"/>
          <w:szCs w:val="32"/>
        </w:rPr>
        <w:t>（九）建立健全机关后勤应急保障制度，制定并组织实施后勤应急保障预案。</w:t>
      </w:r>
    </w:p>
    <w:p>
      <w:pPr>
        <w:pStyle w:val="4"/>
        <w:rPr>
          <w:rStyle w:val="31"/>
          <w:b w:val="0"/>
          <w:bCs w:val="0"/>
        </w:rPr>
      </w:pPr>
      <w:bookmarkStart w:id="14" w:name="_Toc15396601"/>
      <w:bookmarkStart w:id="15" w:name="_Toc15377200"/>
      <w:r>
        <w:rPr>
          <w:rFonts w:hint="eastAsia" w:ascii="黑体" w:eastAsia="黑体"/>
          <w:b w:val="0"/>
        </w:rPr>
        <w:t>二、</w:t>
      </w:r>
      <w:r>
        <w:rPr>
          <w:rFonts w:hint="eastAsia" w:ascii="黑体" w:hAnsi="黑体" w:eastAsia="黑体"/>
          <w:b w:val="0"/>
        </w:rPr>
        <w:t>机</w:t>
      </w:r>
      <w:r>
        <w:rPr>
          <w:rStyle w:val="31"/>
          <w:rFonts w:hint="eastAsia" w:ascii="黑体" w:hAnsi="黑体" w:eastAsia="黑体"/>
          <w:b w:val="0"/>
          <w:bCs w:val="0"/>
        </w:rPr>
        <w:t>构设置</w:t>
      </w:r>
      <w:bookmarkEnd w:id="14"/>
      <w:bookmarkEnd w:id="15"/>
    </w:p>
    <w:p>
      <w:pPr>
        <w:ind w:firstLine="800" w:firstLineChars="250"/>
        <w:rPr>
          <w:rFonts w:ascii="仿宋" w:hAnsi="仿宋" w:eastAsia="仿宋"/>
          <w:sz w:val="32"/>
          <w:szCs w:val="32"/>
        </w:rPr>
      </w:pPr>
      <w:r>
        <w:rPr>
          <w:rFonts w:hint="eastAsia" w:ascii="仿宋" w:hAnsi="仿宋" w:eastAsia="仿宋"/>
          <w:sz w:val="32"/>
          <w:szCs w:val="32"/>
        </w:rPr>
        <w:t>盐边县机关事务服务中心下属二级单位0个，其中行政单位0个，参照公务员法管理的事业单位</w:t>
      </w:r>
      <w:r>
        <w:rPr>
          <w:rFonts w:hint="eastAsia" w:ascii="仿宋" w:hAnsi="仿宋" w:eastAsia="仿宋"/>
          <w:bCs/>
          <w:sz w:val="32"/>
          <w:szCs w:val="32"/>
        </w:rPr>
        <w:t>0</w:t>
      </w:r>
      <w:r>
        <w:rPr>
          <w:rFonts w:hint="eastAsia" w:ascii="仿宋" w:hAnsi="仿宋" w:eastAsia="仿宋"/>
          <w:sz w:val="32"/>
          <w:szCs w:val="32"/>
        </w:rPr>
        <w:t>个，其他事业单位0个。</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30"/>
          <w:rFonts w:ascii="黑体" w:hAnsi="黑体" w:eastAsia="黑体"/>
          <w:b w:val="0"/>
          <w:bCs/>
        </w:rPr>
      </w:pPr>
      <w:bookmarkStart w:id="16" w:name="_Toc15377204"/>
      <w:bookmarkStart w:id="17" w:name="_Toc15396602"/>
      <w:r>
        <w:rPr>
          <w:rFonts w:hint="eastAsia" w:ascii="黑体" w:hAnsi="黑体" w:eastAsia="黑体"/>
          <w:b w:val="0"/>
        </w:rPr>
        <w:t>第二部分 2022年度</w:t>
      </w:r>
      <w:r>
        <w:rPr>
          <w:rStyle w:val="30"/>
          <w:rFonts w:hint="eastAsia" w:ascii="黑体" w:hAnsi="黑体" w:eastAsia="黑体"/>
          <w:b w:val="0"/>
          <w:bCs/>
        </w:rPr>
        <w:t>部门决算情况说明</w:t>
      </w:r>
      <w:bookmarkEnd w:id="16"/>
      <w:bookmarkEnd w:id="17"/>
    </w:p>
    <w:p/>
    <w:p>
      <w:pPr>
        <w:pStyle w:val="29"/>
        <w:numPr>
          <w:ilvl w:val="0"/>
          <w:numId w:val="2"/>
        </w:numPr>
        <w:spacing w:line="600" w:lineRule="exact"/>
        <w:ind w:firstLineChars="0"/>
        <w:outlineLvl w:val="1"/>
        <w:rPr>
          <w:rFonts w:ascii="黑体" w:hAnsi="黑体" w:eastAsia="黑体" w:cstheme="majorBidi"/>
          <w:bCs/>
          <w:sz w:val="32"/>
          <w:szCs w:val="32"/>
        </w:rPr>
      </w:pPr>
      <w:bookmarkStart w:id="18" w:name="_Toc15396603"/>
      <w:bookmarkStart w:id="19" w:name="_Toc15377205"/>
      <w:r>
        <w:rPr>
          <w:rFonts w:hint="eastAsia" w:ascii="黑体" w:hAnsi="黑体" w:eastAsia="黑体"/>
          <w:sz w:val="32"/>
          <w:szCs w:val="32"/>
        </w:rPr>
        <w:t>收</w:t>
      </w:r>
      <w:r>
        <w:rPr>
          <w:rStyle w:val="31"/>
          <w:rFonts w:hint="eastAsia" w:ascii="黑体" w:hAnsi="黑体" w:eastAsia="黑体"/>
          <w:b w:val="0"/>
        </w:rPr>
        <w:t>入支出决算总体情况说明</w:t>
      </w:r>
      <w:bookmarkEnd w:id="18"/>
      <w:bookmarkEnd w:id="19"/>
    </w:p>
    <w:p>
      <w:pPr>
        <w:spacing w:line="600" w:lineRule="exact"/>
        <w:ind w:left="640"/>
        <w:jc w:val="left"/>
        <w:rPr>
          <w:rFonts w:ascii="仿宋" w:hAnsi="仿宋" w:eastAsia="仿宋"/>
          <w:sz w:val="32"/>
          <w:szCs w:val="32"/>
        </w:rPr>
      </w:pPr>
      <w:r>
        <w:rPr>
          <w:rFonts w:hint="eastAsia" w:ascii="仿宋" w:hAnsi="仿宋" w:eastAsia="仿宋"/>
          <w:sz w:val="32"/>
          <w:szCs w:val="32"/>
        </w:rPr>
        <w:t>2022年度收、支总计2077.42万元。与2021年相比，</w:t>
      </w:r>
      <w:r>
        <w:rPr>
          <w:rFonts w:hint="eastAsia" w:ascii="仿宋_GB2312" w:hAnsi="Calibri" w:eastAsia="仿宋_GB2312" w:cs="仿宋_GB2312"/>
          <w:color w:val="000000"/>
          <w:sz w:val="32"/>
          <w:szCs w:val="32"/>
          <w:lang w:val="zh-CN"/>
        </w:rPr>
        <w:t>收、支总计</w:t>
      </w:r>
      <w:r>
        <w:rPr>
          <w:rFonts w:hint="eastAsia" w:ascii="仿宋" w:hAnsi="仿宋" w:eastAsia="仿宋"/>
          <w:sz w:val="32"/>
          <w:szCs w:val="32"/>
        </w:rPr>
        <w:t>减少97.83万元，下降4.5%。主要变动原因是减少了项目费用支出。</w:t>
      </w:r>
    </w:p>
    <w:p>
      <w:pPr>
        <w:pStyle w:val="2"/>
        <w:spacing w:before="93"/>
        <w:ind w:firstLine="960" w:firstLineChars="300"/>
        <w:rPr>
          <w:rFonts w:ascii="仿宋" w:hAnsi="仿宋" w:eastAsia="仿宋"/>
          <w:kern w:val="2"/>
          <w:sz w:val="32"/>
          <w:szCs w:val="32"/>
        </w:rPr>
      </w:pPr>
      <w:r>
        <w:rPr>
          <w:rFonts w:hint="eastAsia" w:ascii="仿宋" w:hAnsi="仿宋" w:eastAsia="仿宋"/>
          <w:kern w:val="2"/>
          <w:sz w:val="32"/>
          <w:szCs w:val="32"/>
        </w:rPr>
        <w:drawing>
          <wp:inline distT="0" distB="0" distL="0" distR="0">
            <wp:extent cx="5143500" cy="1733550"/>
            <wp:effectExtent l="19050" t="0" r="1905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1760" w:firstLineChars="55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spacing w:line="600" w:lineRule="exact"/>
        <w:ind w:firstLine="640" w:firstLineChars="200"/>
        <w:jc w:val="left"/>
        <w:rPr>
          <w:rFonts w:ascii="仿宋_GB2312" w:eastAsia="仿宋_GB2312"/>
          <w:sz w:val="32"/>
          <w:szCs w:val="32"/>
        </w:rPr>
      </w:pPr>
    </w:p>
    <w:p>
      <w:pPr>
        <w:pStyle w:val="29"/>
        <w:numPr>
          <w:ilvl w:val="0"/>
          <w:numId w:val="2"/>
        </w:numPr>
        <w:spacing w:line="600" w:lineRule="exact"/>
        <w:ind w:firstLineChars="0"/>
        <w:outlineLvl w:val="1"/>
        <w:rPr>
          <w:rFonts w:ascii="黑体" w:hAnsi="黑体" w:eastAsia="黑体" w:cstheme="majorBidi"/>
          <w:bCs/>
          <w:sz w:val="32"/>
          <w:szCs w:val="32"/>
        </w:rPr>
      </w:pPr>
      <w:bookmarkStart w:id="20" w:name="_Toc15377206"/>
      <w:bookmarkStart w:id="21" w:name="_Toc15396604"/>
      <w:r>
        <w:rPr>
          <w:rFonts w:hint="eastAsia" w:ascii="黑体" w:hAnsi="黑体" w:eastAsia="黑体"/>
          <w:sz w:val="32"/>
          <w:szCs w:val="32"/>
        </w:rPr>
        <w:t>收</w:t>
      </w:r>
      <w:r>
        <w:rPr>
          <w:rStyle w:val="31"/>
          <w:rFonts w:hint="eastAsia" w:ascii="黑体" w:hAnsi="黑体" w:eastAsia="黑体"/>
          <w:b w:val="0"/>
        </w:rPr>
        <w:t>入决算情况说明</w:t>
      </w:r>
      <w:bookmarkEnd w:id="20"/>
      <w:bookmarkEnd w:id="21"/>
    </w:p>
    <w:p>
      <w:pPr>
        <w:spacing w:line="600" w:lineRule="exact"/>
        <w:ind w:left="640" w:leftChars="305" w:firstLine="320" w:firstLineChars="100"/>
        <w:rPr>
          <w:rFonts w:ascii="仿宋_GB2312" w:hAnsi="华文中宋" w:eastAsia="仿宋_GB2312"/>
          <w:sz w:val="32"/>
          <w:szCs w:val="32"/>
        </w:rPr>
      </w:pPr>
      <w:r>
        <w:rPr>
          <w:rFonts w:ascii="仿宋_GB2312" w:hAnsi="华文中宋" w:eastAsia="仿宋_GB2312"/>
          <w:sz w:val="32"/>
          <w:szCs w:val="32"/>
        </w:rPr>
        <w:t>20</w:t>
      </w:r>
      <w:r>
        <w:rPr>
          <w:rFonts w:hint="eastAsia" w:ascii="仿宋_GB2312" w:hAnsi="华文中宋" w:eastAsia="仿宋_GB2312"/>
          <w:sz w:val="32"/>
          <w:szCs w:val="32"/>
        </w:rPr>
        <w:t>22年本年收入合计2077.42万元，其中：一般公共预算财政拨款收入2077.42万元，占100</w:t>
      </w:r>
      <w:r>
        <w:rPr>
          <w:rFonts w:ascii="仿宋_GB2312" w:hAnsi="华文中宋" w:eastAsia="仿宋_GB2312"/>
          <w:sz w:val="32"/>
          <w:szCs w:val="32"/>
        </w:rPr>
        <w:t>%</w:t>
      </w:r>
      <w:r>
        <w:rPr>
          <w:rFonts w:hint="eastAsia" w:ascii="仿宋_GB2312" w:hAnsi="华文中宋" w:eastAsia="仿宋_GB2312"/>
          <w:sz w:val="32"/>
          <w:szCs w:val="32"/>
        </w:rPr>
        <w:t>。</w:t>
      </w:r>
    </w:p>
    <w:p>
      <w:pPr>
        <w:pStyle w:val="2"/>
        <w:spacing w:before="93"/>
        <w:ind w:firstLine="900" w:firstLineChars="300"/>
      </w:pPr>
      <w:r>
        <w:drawing>
          <wp:inline distT="0" distB="0" distL="0" distR="0">
            <wp:extent cx="5086350" cy="1714500"/>
            <wp:effectExtent l="19050" t="0" r="19050" b="0"/>
            <wp:docPr id="14"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1760" w:firstLineChars="550"/>
        <w:rPr>
          <w:rFonts w:ascii="仿宋" w:hAnsi="仿宋" w:eastAsia="仿宋"/>
          <w:sz w:val="32"/>
          <w:szCs w:val="32"/>
        </w:rPr>
      </w:pPr>
      <w:r>
        <w:rPr>
          <w:rFonts w:hint="eastAsia" w:ascii="仿宋" w:hAnsi="仿宋" w:eastAsia="仿宋"/>
          <w:sz w:val="32"/>
          <w:szCs w:val="32"/>
        </w:rPr>
        <w:t>（图2：收入决算结构图）（饼状图）</w:t>
      </w:r>
    </w:p>
    <w:p>
      <w:pPr>
        <w:pStyle w:val="2"/>
        <w:spacing w:before="93"/>
      </w:pPr>
    </w:p>
    <w:p>
      <w:pPr>
        <w:pStyle w:val="29"/>
        <w:numPr>
          <w:ilvl w:val="0"/>
          <w:numId w:val="2"/>
        </w:numPr>
        <w:spacing w:line="600" w:lineRule="exact"/>
        <w:ind w:firstLineChars="0"/>
        <w:outlineLvl w:val="1"/>
        <w:rPr>
          <w:rStyle w:val="31"/>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31"/>
          <w:rFonts w:hint="eastAsia" w:ascii="黑体" w:hAnsi="黑体" w:eastAsia="黑体"/>
          <w:b w:val="0"/>
        </w:rPr>
        <w:t>出决算情况说明</w:t>
      </w:r>
      <w:bookmarkEnd w:id="22"/>
      <w:bookmarkEnd w:id="23"/>
    </w:p>
    <w:p>
      <w:pPr>
        <w:spacing w:line="600" w:lineRule="exact"/>
        <w:ind w:left="640"/>
        <w:rPr>
          <w:rFonts w:ascii="仿宋" w:hAnsi="仿宋" w:eastAsia="仿宋"/>
          <w:sz w:val="32"/>
          <w:szCs w:val="32"/>
        </w:rPr>
      </w:pPr>
      <w:r>
        <w:rPr>
          <w:rFonts w:ascii="仿宋_GB2312" w:hAnsi="华文中宋" w:eastAsia="仿宋_GB2312"/>
          <w:sz w:val="32"/>
          <w:szCs w:val="32"/>
        </w:rPr>
        <w:t>20</w:t>
      </w:r>
      <w:r>
        <w:rPr>
          <w:rFonts w:hint="eastAsia" w:ascii="仿宋_GB2312" w:hAnsi="华文中宋" w:eastAsia="仿宋_GB2312"/>
          <w:sz w:val="32"/>
          <w:szCs w:val="32"/>
        </w:rPr>
        <w:t>22年本年支出合计2077.42万元，其中：基本支出166.93万元，占8.04</w:t>
      </w:r>
      <w:r>
        <w:rPr>
          <w:rFonts w:ascii="仿宋_GB2312" w:hAnsi="华文中宋" w:eastAsia="仿宋_GB2312"/>
          <w:sz w:val="32"/>
          <w:szCs w:val="32"/>
        </w:rPr>
        <w:t>%</w:t>
      </w:r>
      <w:r>
        <w:rPr>
          <w:rFonts w:hint="eastAsia" w:ascii="仿宋_GB2312" w:hAnsi="华文中宋" w:eastAsia="仿宋_GB2312"/>
          <w:sz w:val="32"/>
          <w:szCs w:val="32"/>
        </w:rPr>
        <w:t>；项目支出1910.49万元，占91.96</w:t>
      </w:r>
      <w:r>
        <w:rPr>
          <w:rFonts w:ascii="仿宋_GB2312" w:hAnsi="华文中宋" w:eastAsia="仿宋_GB2312"/>
          <w:sz w:val="32"/>
          <w:szCs w:val="32"/>
        </w:rPr>
        <w:t>%</w:t>
      </w:r>
      <w:r>
        <w:rPr>
          <w:rFonts w:hint="eastAsia" w:ascii="仿宋_GB2312" w:hAnsi="华文中宋" w:eastAsia="仿宋_GB2312"/>
          <w:sz w:val="32"/>
          <w:szCs w:val="32"/>
        </w:rPr>
        <w:t>。</w:t>
      </w:r>
    </w:p>
    <w:p>
      <w:pPr>
        <w:pStyle w:val="2"/>
        <w:spacing w:before="93"/>
        <w:ind w:firstLine="900" w:firstLineChars="300"/>
      </w:pPr>
      <w:r>
        <w:drawing>
          <wp:inline distT="0" distB="0" distL="0" distR="0">
            <wp:extent cx="4772025" cy="1552575"/>
            <wp:effectExtent l="19050" t="0" r="9525" b="0"/>
            <wp:docPr id="17"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1920" w:firstLineChars="6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31"/>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31"/>
          <w:rFonts w:hint="eastAsia" w:ascii="黑体" w:hAnsi="黑体" w:eastAsia="黑体"/>
          <w:b w:val="0"/>
        </w:rPr>
        <w:t>政拨款收入支出决算总体情况说明</w:t>
      </w:r>
      <w:bookmarkEnd w:id="24"/>
      <w:bookmarkEnd w:id="25"/>
    </w:p>
    <w:p>
      <w:pPr>
        <w:spacing w:line="600" w:lineRule="exact"/>
        <w:ind w:firstLine="640" w:firstLineChars="200"/>
        <w:rPr>
          <w:rFonts w:ascii="仿宋_GB2312" w:hAnsi="华文中宋" w:eastAsia="仿宋_GB2312"/>
          <w:sz w:val="32"/>
          <w:szCs w:val="32"/>
        </w:rPr>
      </w:pPr>
      <w:r>
        <w:rPr>
          <w:rFonts w:ascii="仿宋_GB2312" w:hAnsi="华文中宋" w:eastAsia="仿宋_GB2312"/>
          <w:sz w:val="32"/>
          <w:szCs w:val="32"/>
        </w:rPr>
        <w:t>20</w:t>
      </w:r>
      <w:r>
        <w:rPr>
          <w:rFonts w:hint="eastAsia" w:ascii="仿宋_GB2312" w:hAnsi="华文中宋" w:eastAsia="仿宋_GB2312"/>
          <w:sz w:val="32"/>
          <w:szCs w:val="32"/>
        </w:rPr>
        <w:t>22年财政拨款收、支总计2077.42万元。与</w:t>
      </w:r>
      <w:r>
        <w:rPr>
          <w:rFonts w:ascii="仿宋_GB2312" w:hAnsi="华文中宋" w:eastAsia="仿宋_GB2312"/>
          <w:sz w:val="32"/>
          <w:szCs w:val="32"/>
        </w:rPr>
        <w:t>20</w:t>
      </w:r>
      <w:r>
        <w:rPr>
          <w:rFonts w:hint="eastAsia" w:ascii="仿宋_GB2312" w:hAnsi="华文中宋" w:eastAsia="仿宋_GB2312"/>
          <w:sz w:val="32"/>
          <w:szCs w:val="32"/>
        </w:rPr>
        <w:t>21年相比，财政拨款收、支总计减少97.83万元，下降4.5</w:t>
      </w:r>
      <w:r>
        <w:rPr>
          <w:rFonts w:ascii="仿宋_GB2312" w:hAnsi="华文中宋" w:eastAsia="仿宋_GB2312"/>
          <w:sz w:val="32"/>
          <w:szCs w:val="32"/>
        </w:rPr>
        <w:t>%</w:t>
      </w:r>
      <w:r>
        <w:rPr>
          <w:rFonts w:hint="eastAsia" w:ascii="仿宋_GB2312" w:hAnsi="华文中宋" w:eastAsia="仿宋_GB2312"/>
          <w:sz w:val="32"/>
          <w:szCs w:val="32"/>
        </w:rPr>
        <w:t>。主要变动原因是减少了项目费用支出。</w:t>
      </w:r>
    </w:p>
    <w:p>
      <w:pPr>
        <w:pStyle w:val="2"/>
        <w:spacing w:before="93"/>
        <w:ind w:firstLine="1200" w:firstLineChars="400"/>
      </w:pPr>
      <w:r>
        <w:rPr>
          <w:rFonts w:hint="eastAsia"/>
        </w:rPr>
        <w:drawing>
          <wp:inline distT="0" distB="0" distL="0" distR="0">
            <wp:extent cx="4772025" cy="1485900"/>
            <wp:effectExtent l="19050" t="0" r="9525" b="0"/>
            <wp:docPr id="1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960" w:firstLineChars="300"/>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rPr>
          <w:rFonts w:ascii="仿宋" w:hAnsi="仿宋" w:eastAsia="仿宋"/>
          <w:b/>
          <w:sz w:val="32"/>
          <w:szCs w:val="32"/>
        </w:rPr>
      </w:pPr>
    </w:p>
    <w:p>
      <w:pPr>
        <w:spacing w:line="600" w:lineRule="exact"/>
        <w:ind w:firstLine="640" w:firstLineChars="200"/>
        <w:outlineLvl w:val="1"/>
        <w:rPr>
          <w:rStyle w:val="31"/>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31"/>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left="640"/>
        <w:rPr>
          <w:rFonts w:ascii="仿宋_GB2312" w:hAnsi="华文中宋" w:eastAsia="仿宋_GB2312"/>
          <w:sz w:val="32"/>
          <w:szCs w:val="32"/>
        </w:rPr>
      </w:pPr>
      <w:r>
        <w:rPr>
          <w:rFonts w:ascii="仿宋_GB2312" w:hAnsi="华文中宋" w:eastAsia="仿宋_GB2312"/>
          <w:sz w:val="32"/>
          <w:szCs w:val="32"/>
        </w:rPr>
        <w:t>20</w:t>
      </w:r>
      <w:r>
        <w:rPr>
          <w:rFonts w:hint="eastAsia" w:ascii="仿宋_GB2312" w:hAnsi="华文中宋" w:eastAsia="仿宋_GB2312"/>
          <w:sz w:val="32"/>
          <w:szCs w:val="32"/>
        </w:rPr>
        <w:t>22年一般公共预算财政拨款支出2077.42万元，占本年支出合计的100</w:t>
      </w:r>
      <w:r>
        <w:rPr>
          <w:rFonts w:ascii="仿宋_GB2312" w:hAnsi="华文中宋" w:eastAsia="仿宋_GB2312"/>
          <w:sz w:val="32"/>
          <w:szCs w:val="32"/>
        </w:rPr>
        <w:t>%</w:t>
      </w:r>
      <w:r>
        <w:rPr>
          <w:rFonts w:hint="eastAsia" w:ascii="仿宋_GB2312" w:hAnsi="华文中宋" w:eastAsia="仿宋_GB2312"/>
          <w:sz w:val="32"/>
          <w:szCs w:val="32"/>
        </w:rPr>
        <w:t>。与</w:t>
      </w:r>
      <w:r>
        <w:rPr>
          <w:rFonts w:ascii="仿宋_GB2312" w:hAnsi="华文中宋" w:eastAsia="仿宋_GB2312"/>
          <w:sz w:val="32"/>
          <w:szCs w:val="32"/>
        </w:rPr>
        <w:t>20</w:t>
      </w:r>
      <w:r>
        <w:rPr>
          <w:rFonts w:hint="eastAsia" w:ascii="仿宋_GB2312" w:hAnsi="华文中宋" w:eastAsia="仿宋_GB2312"/>
          <w:sz w:val="32"/>
          <w:szCs w:val="32"/>
        </w:rPr>
        <w:t>21年相比，一般公共预算财政拨款支出减少97.83万元，下降4.5</w:t>
      </w:r>
      <w:r>
        <w:rPr>
          <w:rFonts w:ascii="仿宋_GB2312" w:hAnsi="华文中宋" w:eastAsia="仿宋_GB2312"/>
          <w:sz w:val="32"/>
          <w:szCs w:val="32"/>
        </w:rPr>
        <w:t>%</w:t>
      </w:r>
      <w:r>
        <w:rPr>
          <w:rFonts w:hint="eastAsia" w:ascii="仿宋_GB2312" w:hAnsi="华文中宋" w:eastAsia="仿宋_GB2312"/>
          <w:sz w:val="32"/>
          <w:szCs w:val="32"/>
        </w:rPr>
        <w:t>。主要变动原因是减少了项目费用支出。</w:t>
      </w:r>
    </w:p>
    <w:p>
      <w:pPr>
        <w:pStyle w:val="2"/>
        <w:spacing w:before="93"/>
        <w:ind w:firstLine="900" w:firstLineChars="300"/>
        <w:jc w:val="center"/>
      </w:pPr>
      <w:r>
        <w:rPr>
          <w:rFonts w:hint="eastAsia"/>
        </w:rPr>
        <w:drawing>
          <wp:inline distT="0" distB="0" distL="0" distR="0">
            <wp:extent cx="4829175" cy="1619250"/>
            <wp:effectExtent l="19050" t="0" r="9525"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800" w:firstLineChars="250"/>
        <w:jc w:val="center"/>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b/>
          <w:sz w:val="32"/>
          <w:szCs w:val="32"/>
        </w:rPr>
      </w:pPr>
      <w:r>
        <w:rPr>
          <w:rFonts w:ascii="仿宋_GB2312" w:hAnsi="华文中宋" w:eastAsia="仿宋_GB2312"/>
          <w:sz w:val="32"/>
          <w:szCs w:val="32"/>
        </w:rPr>
        <w:t>20</w:t>
      </w:r>
      <w:r>
        <w:rPr>
          <w:rFonts w:hint="eastAsia" w:ascii="仿宋_GB2312" w:hAnsi="华文中宋" w:eastAsia="仿宋_GB2312"/>
          <w:sz w:val="32"/>
          <w:szCs w:val="32"/>
        </w:rPr>
        <w:t>22年一般公共预算财政拨款支出2077.42万元，主要用于以下方面</w:t>
      </w:r>
      <w:r>
        <w:rPr>
          <w:rFonts w:ascii="仿宋_GB2312" w:hAnsi="华文中宋" w:eastAsia="仿宋_GB2312"/>
          <w:sz w:val="32"/>
          <w:szCs w:val="32"/>
        </w:rPr>
        <w:t>:</w:t>
      </w:r>
      <w:r>
        <w:rPr>
          <w:rFonts w:hint="eastAsia" w:ascii="仿宋_GB2312" w:hAnsi="华文中宋" w:eastAsia="仿宋_GB2312"/>
          <w:sz w:val="32"/>
          <w:szCs w:val="32"/>
        </w:rPr>
        <w:t>一般公共服务支出2037.36万元，占98.07</w:t>
      </w:r>
      <w:r>
        <w:rPr>
          <w:rFonts w:ascii="仿宋_GB2312" w:hAnsi="华文中宋" w:eastAsia="仿宋_GB2312"/>
          <w:sz w:val="32"/>
          <w:szCs w:val="32"/>
        </w:rPr>
        <w:t>%</w:t>
      </w:r>
      <w:r>
        <w:rPr>
          <w:rFonts w:hint="eastAsia" w:ascii="仿宋_GB2312" w:hAnsi="华文中宋" w:eastAsia="仿宋_GB2312"/>
          <w:sz w:val="32"/>
          <w:szCs w:val="32"/>
        </w:rPr>
        <w:t>；社会保障和就业支出16.69万元，占0.81</w:t>
      </w:r>
      <w:r>
        <w:rPr>
          <w:rFonts w:ascii="仿宋_GB2312" w:hAnsi="华文中宋" w:eastAsia="仿宋_GB2312"/>
          <w:sz w:val="32"/>
          <w:szCs w:val="32"/>
        </w:rPr>
        <w:t>%</w:t>
      </w:r>
      <w:r>
        <w:rPr>
          <w:rFonts w:hint="eastAsia" w:ascii="仿宋_GB2312" w:hAnsi="华文中宋" w:eastAsia="仿宋_GB2312"/>
          <w:sz w:val="32"/>
          <w:szCs w:val="32"/>
        </w:rPr>
        <w:t>；卫生健康支出12.11万元，占0.58</w:t>
      </w:r>
      <w:r>
        <w:rPr>
          <w:rFonts w:ascii="仿宋_GB2312" w:hAnsi="华文中宋" w:eastAsia="仿宋_GB2312"/>
          <w:sz w:val="32"/>
          <w:szCs w:val="32"/>
        </w:rPr>
        <w:t>%</w:t>
      </w:r>
      <w:r>
        <w:rPr>
          <w:rFonts w:hint="eastAsia" w:ascii="仿宋_GB2312" w:hAnsi="华文中宋" w:eastAsia="仿宋_GB2312"/>
          <w:sz w:val="32"/>
          <w:szCs w:val="32"/>
        </w:rPr>
        <w:t>；住房保障支出11.26万元，占0.54</w:t>
      </w:r>
      <w:r>
        <w:rPr>
          <w:rFonts w:ascii="仿宋_GB2312" w:hAnsi="华文中宋" w:eastAsia="仿宋_GB2312"/>
          <w:sz w:val="32"/>
          <w:szCs w:val="32"/>
        </w:rPr>
        <w:t>%</w:t>
      </w:r>
      <w:r>
        <w:rPr>
          <w:rFonts w:hint="eastAsia" w:ascii="仿宋_GB2312" w:hAnsi="华文中宋" w:eastAsia="仿宋_GB2312"/>
          <w:sz w:val="32"/>
          <w:szCs w:val="32"/>
        </w:rPr>
        <w:t>。</w:t>
      </w:r>
    </w:p>
    <w:p>
      <w:pPr>
        <w:pStyle w:val="2"/>
        <w:spacing w:before="93"/>
        <w:ind w:firstLine="1350" w:firstLineChars="450"/>
      </w:pPr>
      <w:r>
        <w:rPr>
          <w:rFonts w:hint="eastAsia"/>
        </w:rPr>
        <w:drawing>
          <wp:inline distT="0" distB="0" distL="0" distR="0">
            <wp:extent cx="5038725" cy="1752600"/>
            <wp:effectExtent l="19050" t="0" r="9525" b="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1280" w:firstLineChars="4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7213"/>
      <w:bookmarkStart w:id="32" w:name="_Toc15378460"/>
      <w:bookmarkStart w:id="33" w:name="_Toc15377444"/>
      <w:r>
        <w:rPr>
          <w:rFonts w:hint="eastAsia" w:ascii="仿宋" w:hAnsi="仿宋" w:eastAsia="仿宋"/>
          <w:b/>
          <w:sz w:val="32"/>
          <w:szCs w:val="32"/>
        </w:rPr>
        <w:t>2022年一般公共预算支出决算数为2077.42万元</w:t>
      </w:r>
      <w:r>
        <w:rPr>
          <w:rFonts w:hint="eastAsia" w:ascii="仿宋" w:hAnsi="仿宋" w:eastAsia="仿宋"/>
          <w:sz w:val="32"/>
          <w:szCs w:val="32"/>
        </w:rPr>
        <w:t>，</w:t>
      </w:r>
      <w:r>
        <w:rPr>
          <w:rStyle w:val="18"/>
          <w:rFonts w:hint="eastAsia" w:ascii="仿宋" w:hAnsi="仿宋" w:eastAsia="仿宋"/>
          <w:bCs/>
          <w:sz w:val="32"/>
          <w:szCs w:val="32"/>
        </w:rPr>
        <w:t>完成预算100</w:t>
      </w:r>
      <w:r>
        <w:rPr>
          <w:rStyle w:val="18"/>
          <w:rFonts w:ascii="仿宋" w:hAnsi="仿宋" w:eastAsia="仿宋"/>
          <w:bCs/>
          <w:sz w:val="32"/>
          <w:szCs w:val="32"/>
        </w:rPr>
        <w:t>%</w:t>
      </w:r>
      <w:r>
        <w:rPr>
          <w:rStyle w:val="18"/>
          <w:rFonts w:hint="eastAsia" w:ascii="仿宋" w:hAnsi="仿宋" w:eastAsia="仿宋"/>
          <w:bCs/>
          <w:sz w:val="32"/>
          <w:szCs w:val="32"/>
        </w:rPr>
        <w:t>。其中：</w:t>
      </w:r>
      <w:bookmarkEnd w:id="31"/>
      <w:bookmarkEnd w:id="32"/>
      <w:bookmarkEnd w:id="33"/>
    </w:p>
    <w:p>
      <w:pPr>
        <w:spacing w:line="600" w:lineRule="exact"/>
        <w:ind w:firstLine="643" w:firstLineChars="200"/>
        <w:rPr>
          <w:rFonts w:ascii="仿宋" w:hAnsi="仿宋" w:eastAsia="仿宋"/>
          <w:b/>
          <w:sz w:val="32"/>
          <w:szCs w:val="32"/>
        </w:rPr>
      </w:pPr>
      <w:r>
        <w:rPr>
          <w:rStyle w:val="18"/>
          <w:rFonts w:ascii="仿宋" w:hAnsi="仿宋" w:eastAsia="仿宋"/>
          <w:bCs/>
          <w:sz w:val="32"/>
          <w:szCs w:val="32"/>
        </w:rPr>
        <w:t>1.</w:t>
      </w:r>
      <w:r>
        <w:rPr>
          <w:rStyle w:val="18"/>
          <w:rFonts w:hint="eastAsia" w:ascii="仿宋" w:hAnsi="仿宋" w:eastAsia="仿宋"/>
          <w:bCs/>
          <w:sz w:val="32"/>
          <w:szCs w:val="32"/>
        </w:rPr>
        <w:t>一般公共服务支出（类）政府办公厅（室）及相关机构事务（款）行政运行（项）</w:t>
      </w:r>
      <w:r>
        <w:rPr>
          <w:rStyle w:val="18"/>
          <w:rFonts w:ascii="仿宋" w:hAnsi="仿宋" w:eastAsia="仿宋"/>
          <w:bCs/>
          <w:sz w:val="32"/>
          <w:szCs w:val="32"/>
        </w:rPr>
        <w:t>:</w:t>
      </w:r>
      <w:r>
        <w:rPr>
          <w:rStyle w:val="18"/>
          <w:rFonts w:hint="eastAsia" w:ascii="仿宋" w:hAnsi="仿宋" w:eastAsia="仿宋"/>
          <w:b w:val="0"/>
          <w:bCs/>
          <w:sz w:val="32"/>
          <w:szCs w:val="32"/>
        </w:rPr>
        <w:t>支出决算为126.87万元，完成预算100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Style w:val="18"/>
          <w:rFonts w:ascii="仿宋" w:hAnsi="仿宋" w:eastAsia="仿宋"/>
          <w:bCs/>
          <w:sz w:val="32"/>
          <w:szCs w:val="32"/>
        </w:rPr>
      </w:pPr>
      <w:r>
        <w:rPr>
          <w:rStyle w:val="18"/>
          <w:rFonts w:hint="eastAsia" w:ascii="仿宋" w:hAnsi="仿宋" w:eastAsia="仿宋"/>
          <w:bCs/>
          <w:sz w:val="32"/>
          <w:szCs w:val="32"/>
        </w:rPr>
        <w:t>2. 一般公共服务支出（类）政府办公厅（室）及相关机构事务（款）一般行政管理事务（项）</w:t>
      </w:r>
      <w:r>
        <w:rPr>
          <w:rStyle w:val="18"/>
          <w:rFonts w:ascii="仿宋" w:hAnsi="仿宋" w:eastAsia="仿宋"/>
          <w:bCs/>
          <w:sz w:val="32"/>
          <w:szCs w:val="32"/>
        </w:rPr>
        <w:t>:</w:t>
      </w:r>
      <w:r>
        <w:rPr>
          <w:rStyle w:val="18"/>
          <w:rFonts w:hint="eastAsia" w:ascii="仿宋" w:hAnsi="仿宋" w:eastAsia="仿宋"/>
          <w:b w:val="0"/>
          <w:bCs/>
          <w:sz w:val="32"/>
          <w:szCs w:val="32"/>
        </w:rPr>
        <w:t>支出决算为404万元，完成预算100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Style w:val="18"/>
          <w:rFonts w:ascii="仿宋" w:hAnsi="仿宋" w:eastAsia="仿宋"/>
          <w:bCs/>
          <w:sz w:val="32"/>
          <w:szCs w:val="32"/>
        </w:rPr>
      </w:pPr>
      <w:r>
        <w:rPr>
          <w:rStyle w:val="18"/>
          <w:rFonts w:hint="eastAsia" w:ascii="仿宋" w:hAnsi="仿宋" w:eastAsia="仿宋"/>
          <w:bCs/>
          <w:sz w:val="32"/>
          <w:szCs w:val="32"/>
        </w:rPr>
        <w:t>3. 一般公共服务支出（类）政府办公厅（室）及相关机构事务（款）机关服务（项）</w:t>
      </w:r>
      <w:r>
        <w:rPr>
          <w:rStyle w:val="18"/>
          <w:rFonts w:ascii="仿宋" w:hAnsi="仿宋" w:eastAsia="仿宋"/>
          <w:bCs/>
          <w:sz w:val="32"/>
          <w:szCs w:val="32"/>
        </w:rPr>
        <w:t>:</w:t>
      </w:r>
      <w:r>
        <w:rPr>
          <w:rStyle w:val="18"/>
          <w:rFonts w:hint="eastAsia" w:ascii="仿宋" w:hAnsi="仿宋" w:eastAsia="仿宋"/>
          <w:b w:val="0"/>
          <w:bCs/>
          <w:sz w:val="32"/>
          <w:szCs w:val="32"/>
        </w:rPr>
        <w:t>支出决算为198.94万元，完成预算100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Style w:val="18"/>
          <w:rFonts w:ascii="仿宋" w:hAnsi="仿宋" w:eastAsia="仿宋"/>
          <w:bCs/>
          <w:sz w:val="32"/>
          <w:szCs w:val="32"/>
        </w:rPr>
      </w:pPr>
      <w:r>
        <w:rPr>
          <w:rStyle w:val="18"/>
          <w:rFonts w:hint="eastAsia" w:ascii="仿宋" w:hAnsi="仿宋" w:eastAsia="仿宋"/>
          <w:bCs/>
          <w:sz w:val="32"/>
          <w:szCs w:val="32"/>
        </w:rPr>
        <w:t>4. 一般公共服务支出（类）政府办公厅（室）及相关机构事务（款）专项业务及机关事务管理（项）</w:t>
      </w:r>
      <w:r>
        <w:rPr>
          <w:rStyle w:val="18"/>
          <w:rFonts w:ascii="仿宋" w:hAnsi="仿宋" w:eastAsia="仿宋"/>
          <w:bCs/>
          <w:sz w:val="32"/>
          <w:szCs w:val="32"/>
        </w:rPr>
        <w:t>:</w:t>
      </w:r>
      <w:r>
        <w:rPr>
          <w:rStyle w:val="18"/>
          <w:rFonts w:hint="eastAsia" w:ascii="仿宋" w:hAnsi="仿宋" w:eastAsia="仿宋"/>
          <w:b w:val="0"/>
          <w:bCs/>
          <w:sz w:val="32"/>
          <w:szCs w:val="32"/>
        </w:rPr>
        <w:t>支出决算为706.88万元，完成预算100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Style w:val="18"/>
          <w:rFonts w:ascii="仿宋" w:hAnsi="仿宋" w:eastAsia="仿宋"/>
          <w:bCs/>
          <w:sz w:val="32"/>
          <w:szCs w:val="32"/>
        </w:rPr>
      </w:pPr>
      <w:r>
        <w:rPr>
          <w:rStyle w:val="18"/>
          <w:rFonts w:hint="eastAsia" w:ascii="仿宋" w:hAnsi="仿宋" w:eastAsia="仿宋"/>
          <w:bCs/>
          <w:sz w:val="32"/>
          <w:szCs w:val="32"/>
        </w:rPr>
        <w:t>5. 一般公共服务支出（类）政府办公厅（室）及相关机构事务（款）其他政府办公厅（室）及相关机构事务支出（项）</w:t>
      </w:r>
      <w:r>
        <w:rPr>
          <w:rStyle w:val="18"/>
          <w:rFonts w:ascii="仿宋" w:hAnsi="仿宋" w:eastAsia="仿宋"/>
          <w:bCs/>
          <w:sz w:val="32"/>
          <w:szCs w:val="32"/>
        </w:rPr>
        <w:t>:</w:t>
      </w:r>
      <w:r>
        <w:rPr>
          <w:rStyle w:val="18"/>
          <w:rFonts w:hint="eastAsia" w:ascii="仿宋" w:hAnsi="仿宋" w:eastAsia="仿宋"/>
          <w:b w:val="0"/>
          <w:bCs/>
          <w:sz w:val="32"/>
          <w:szCs w:val="32"/>
        </w:rPr>
        <w:t>支出决算为600.67万元，完成预算100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rPr>
        <w:t>6</w:t>
      </w:r>
      <w:r>
        <w:rPr>
          <w:rStyle w:val="18"/>
          <w:rFonts w:ascii="仿宋" w:hAnsi="仿宋" w:eastAsia="仿宋"/>
          <w:bCs/>
          <w:sz w:val="32"/>
          <w:szCs w:val="32"/>
        </w:rPr>
        <w:t>.</w:t>
      </w:r>
      <w:r>
        <w:rPr>
          <w:rStyle w:val="18"/>
          <w:rFonts w:hint="eastAsia" w:ascii="仿宋" w:hAnsi="仿宋" w:eastAsia="仿宋"/>
          <w:bCs/>
          <w:sz w:val="32"/>
          <w:szCs w:val="32"/>
        </w:rPr>
        <w:t xml:space="preserve"> 社会保障和就业支出（类）行政事业单位养老支出（款）机关事业单位基本养老保险（项）</w:t>
      </w:r>
      <w:r>
        <w:rPr>
          <w:rStyle w:val="18"/>
          <w:rFonts w:ascii="仿宋" w:hAnsi="仿宋" w:eastAsia="仿宋"/>
          <w:bCs/>
          <w:sz w:val="32"/>
          <w:szCs w:val="32"/>
        </w:rPr>
        <w:t>:</w:t>
      </w:r>
      <w:r>
        <w:rPr>
          <w:rStyle w:val="18"/>
          <w:rFonts w:hint="eastAsia" w:ascii="仿宋" w:hAnsi="仿宋" w:eastAsia="仿宋"/>
          <w:b w:val="0"/>
          <w:bCs/>
          <w:sz w:val="32"/>
          <w:szCs w:val="32"/>
        </w:rPr>
        <w:t>支出决算为10.55万元，完成预算100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Style w:val="18"/>
          <w:rFonts w:ascii="仿宋" w:hAnsi="仿宋" w:eastAsia="仿宋"/>
          <w:bCs/>
          <w:sz w:val="32"/>
          <w:szCs w:val="32"/>
        </w:rPr>
      </w:pPr>
      <w:r>
        <w:rPr>
          <w:rStyle w:val="18"/>
          <w:rFonts w:hint="eastAsia" w:ascii="仿宋" w:hAnsi="仿宋" w:eastAsia="仿宋"/>
          <w:bCs/>
          <w:sz w:val="32"/>
          <w:szCs w:val="32"/>
        </w:rPr>
        <w:t>7. 社会保障和就业支出（类）行政事业单位养老支出（款）机关事业单位职业年金缴费支出（项）</w:t>
      </w:r>
      <w:r>
        <w:rPr>
          <w:rStyle w:val="18"/>
          <w:rFonts w:ascii="仿宋" w:hAnsi="仿宋" w:eastAsia="仿宋"/>
          <w:bCs/>
          <w:sz w:val="32"/>
          <w:szCs w:val="32"/>
        </w:rPr>
        <w:t>:</w:t>
      </w:r>
      <w:r>
        <w:rPr>
          <w:rStyle w:val="18"/>
          <w:rFonts w:hint="eastAsia" w:ascii="仿宋" w:hAnsi="仿宋" w:eastAsia="仿宋"/>
          <w:b w:val="0"/>
          <w:bCs/>
          <w:sz w:val="32"/>
          <w:szCs w:val="32"/>
        </w:rPr>
        <w:t>支出决算为6.14万元，完成预算100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Fonts w:ascii="仿宋" w:hAnsi="仿宋" w:eastAsia="仿宋"/>
          <w:b/>
          <w:sz w:val="32"/>
          <w:szCs w:val="32"/>
        </w:rPr>
      </w:pPr>
      <w:r>
        <w:rPr>
          <w:rStyle w:val="18"/>
          <w:rFonts w:hint="eastAsia" w:ascii="仿宋" w:hAnsi="仿宋" w:eastAsia="仿宋"/>
          <w:bCs/>
          <w:sz w:val="32"/>
          <w:szCs w:val="32"/>
        </w:rPr>
        <w:t>8</w:t>
      </w:r>
      <w:r>
        <w:rPr>
          <w:rStyle w:val="18"/>
          <w:rFonts w:ascii="仿宋" w:hAnsi="仿宋" w:eastAsia="仿宋"/>
          <w:bCs/>
          <w:sz w:val="32"/>
          <w:szCs w:val="32"/>
        </w:rPr>
        <w:t>.</w:t>
      </w:r>
      <w:r>
        <w:rPr>
          <w:rFonts w:hint="eastAsia" w:ascii="仿宋" w:hAnsi="仿宋" w:eastAsia="仿宋"/>
          <w:b/>
          <w:bCs/>
          <w:sz w:val="32"/>
          <w:szCs w:val="32"/>
        </w:rPr>
        <w:t>卫生健康支出</w:t>
      </w:r>
      <w:r>
        <w:rPr>
          <w:rStyle w:val="18"/>
          <w:rFonts w:hint="eastAsia" w:ascii="仿宋" w:hAnsi="仿宋" w:eastAsia="仿宋"/>
          <w:bCs/>
          <w:sz w:val="32"/>
          <w:szCs w:val="32"/>
        </w:rPr>
        <w:t>（类）行政事业单位医疗（款）行政单位医疗（项）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支出决算为7.17万元，完成预算100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Style w:val="18"/>
          <w:rFonts w:ascii="仿宋" w:hAnsi="仿宋" w:eastAsia="仿宋"/>
          <w:bCs/>
          <w:sz w:val="32"/>
          <w:szCs w:val="32"/>
        </w:rPr>
      </w:pPr>
      <w:r>
        <w:rPr>
          <w:rStyle w:val="18"/>
          <w:rFonts w:hint="eastAsia" w:ascii="仿宋" w:hAnsi="仿宋" w:eastAsia="仿宋"/>
          <w:bCs/>
          <w:sz w:val="32"/>
          <w:szCs w:val="32"/>
        </w:rPr>
        <w:t>9.</w:t>
      </w:r>
      <w:r>
        <w:rPr>
          <w:rFonts w:hint="eastAsia" w:ascii="仿宋" w:hAnsi="仿宋" w:eastAsia="仿宋"/>
          <w:b/>
          <w:bCs/>
          <w:sz w:val="32"/>
          <w:szCs w:val="32"/>
        </w:rPr>
        <w:t xml:space="preserve"> 卫生健康支出</w:t>
      </w:r>
      <w:r>
        <w:rPr>
          <w:rStyle w:val="18"/>
          <w:rFonts w:hint="eastAsia" w:ascii="仿宋" w:hAnsi="仿宋" w:eastAsia="仿宋"/>
          <w:bCs/>
          <w:sz w:val="32"/>
          <w:szCs w:val="32"/>
        </w:rPr>
        <w:t>（类）行政事业单位医疗（款）公务员医疗补助（项）</w:t>
      </w:r>
      <w:r>
        <w:rPr>
          <w:rStyle w:val="18"/>
          <w:rFonts w:ascii="仿宋" w:hAnsi="仿宋" w:eastAsia="仿宋"/>
          <w:bCs/>
          <w:sz w:val="32"/>
          <w:szCs w:val="32"/>
        </w:rPr>
        <w:t>:</w:t>
      </w:r>
      <w:r>
        <w:rPr>
          <w:rStyle w:val="18"/>
          <w:rFonts w:hint="eastAsia" w:ascii="仿宋" w:hAnsi="仿宋" w:eastAsia="仿宋"/>
          <w:b w:val="0"/>
          <w:bCs/>
          <w:sz w:val="32"/>
          <w:szCs w:val="32"/>
        </w:rPr>
        <w:t>支出决算为4.94万元，完成预算100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，决算数与预算数持平。</w:t>
      </w:r>
    </w:p>
    <w:p>
      <w:pPr>
        <w:spacing w:line="600" w:lineRule="exact"/>
        <w:ind w:firstLine="643" w:firstLineChars="200"/>
        <w:rPr>
          <w:rStyle w:val="18"/>
          <w:bCs/>
        </w:rPr>
      </w:pPr>
      <w:r>
        <w:rPr>
          <w:rStyle w:val="18"/>
          <w:rFonts w:hint="eastAsia" w:ascii="仿宋" w:hAnsi="仿宋" w:eastAsia="仿宋"/>
          <w:bCs/>
          <w:sz w:val="32"/>
          <w:szCs w:val="32"/>
        </w:rPr>
        <w:t>10</w:t>
      </w:r>
      <w:r>
        <w:rPr>
          <w:rStyle w:val="18"/>
          <w:rFonts w:ascii="仿宋" w:hAnsi="仿宋" w:eastAsia="仿宋"/>
          <w:bCs/>
          <w:sz w:val="32"/>
          <w:szCs w:val="32"/>
        </w:rPr>
        <w:t>.</w:t>
      </w:r>
      <w:r>
        <w:rPr>
          <w:rFonts w:hint="eastAsia" w:ascii="仿宋" w:hAnsi="仿宋" w:eastAsia="仿宋"/>
          <w:b/>
          <w:bCs/>
          <w:sz w:val="32"/>
          <w:szCs w:val="32"/>
        </w:rPr>
        <w:t xml:space="preserve"> 住房保障支出（类）住房改革支出（款）住房公积金（项）：</w:t>
      </w:r>
      <w:r>
        <w:rPr>
          <w:rStyle w:val="18"/>
          <w:rFonts w:hint="eastAsia" w:ascii="仿宋" w:hAnsi="仿宋" w:eastAsia="仿宋"/>
          <w:b w:val="0"/>
          <w:bCs/>
          <w:sz w:val="32"/>
          <w:szCs w:val="32"/>
        </w:rPr>
        <w:t>支出决算为11.26万元，完成预算100%，决算数与预算数持平。</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31"/>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1"/>
          <w:rFonts w:hint="eastAsia" w:ascii="黑体" w:hAnsi="黑体" w:eastAsia="黑体"/>
          <w:b w:val="0"/>
        </w:rPr>
        <w:t>般公共预算财政拨款基本支出决算情况说明</w:t>
      </w:r>
      <w:bookmarkEnd w:id="34"/>
      <w:bookmarkEnd w:id="35"/>
      <w:r>
        <w:rPr>
          <w:rStyle w:val="31"/>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22年一般公共预算财政拨款基本支出166.93万元，其中：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151.78万元，主要包括：基本工资、津贴补贴、奖金、机关事业单位基本养老保险缴费、职业年金缴费、职工基本医疗保险缴费、公务员医疗补助缴费、其他社会保障缴费、住房公积金、其他工资福利支出等。</w:t>
      </w:r>
      <w:r>
        <w:rPr>
          <w:rFonts w:ascii="仿宋" w:hAnsi="仿宋" w:eastAsia="仿宋"/>
          <w:sz w:val="32"/>
          <w:szCs w:val="32"/>
        </w:rPr>
        <w:br w:type="textWrapping"/>
      </w:r>
      <w:r>
        <w:rPr>
          <w:rFonts w:hint="eastAsia" w:ascii="仿宋" w:hAnsi="仿宋" w:eastAsia="仿宋"/>
          <w:sz w:val="32"/>
          <w:szCs w:val="32"/>
        </w:rPr>
        <w:t>　　公用经费15.15万元，主要包括：办公费、水费、电费、差旅费、维修（护）费、工会经费、福利费、其他交通费等。</w:t>
      </w:r>
    </w:p>
    <w:p>
      <w:pPr>
        <w:spacing w:line="600" w:lineRule="exact"/>
        <w:ind w:firstLine="640"/>
        <w:outlineLvl w:val="1"/>
        <w:rPr>
          <w:rFonts w:ascii="黑体" w:eastAsia="黑体"/>
          <w:sz w:val="32"/>
          <w:szCs w:val="32"/>
        </w:rPr>
      </w:pPr>
      <w:bookmarkStart w:id="36" w:name="_Toc15377215"/>
      <w:bookmarkStart w:id="37" w:name="_Toc15396609"/>
    </w:p>
    <w:p>
      <w:pPr>
        <w:spacing w:line="600" w:lineRule="exact"/>
        <w:ind w:firstLine="640"/>
        <w:outlineLvl w:val="1"/>
        <w:rPr>
          <w:rStyle w:val="31"/>
          <w:rFonts w:ascii="黑体" w:hAnsi="黑体" w:eastAsia="黑体"/>
          <w:b w:val="0"/>
        </w:rPr>
      </w:pPr>
      <w:r>
        <w:rPr>
          <w:rFonts w:hint="eastAsia" w:ascii="黑体" w:eastAsia="黑体"/>
          <w:sz w:val="32"/>
          <w:szCs w:val="32"/>
        </w:rPr>
        <w:t>七、</w:t>
      </w:r>
      <w:r>
        <w:rPr>
          <w:rStyle w:val="31"/>
          <w:rFonts w:hint="eastAsia" w:ascii="黑体" w:hAnsi="黑体" w:eastAsia="黑体"/>
          <w:b w:val="0"/>
        </w:rPr>
        <w:t>财政拨款</w:t>
      </w:r>
      <w:r>
        <w:rPr>
          <w:rStyle w:val="31"/>
          <w:rFonts w:hint="eastAsia" w:ascii="黑体" w:hAnsi="黑体" w:eastAsia="黑体"/>
        </w:rPr>
        <w:t>“</w:t>
      </w:r>
      <w:r>
        <w:rPr>
          <w:rStyle w:val="31"/>
          <w:rFonts w:hint="eastAsia" w:ascii="黑体" w:hAnsi="黑体" w:eastAsia="黑体"/>
          <w:b w:val="0"/>
        </w:rPr>
        <w:t>三公”经费支出决算情况说明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22年“三公”经费财政拨款支出决算为753.76万元，完成预算90.1</w:t>
      </w:r>
      <w:r>
        <w:rPr>
          <w:rFonts w:ascii="仿宋" w:hAnsi="仿宋" w:eastAsia="仿宋"/>
          <w:sz w:val="32"/>
          <w:szCs w:val="32"/>
        </w:rPr>
        <w:t>%</w:t>
      </w:r>
      <w:r>
        <w:rPr>
          <w:rFonts w:hint="eastAsia" w:ascii="仿宋" w:hAnsi="仿宋" w:eastAsia="仿宋"/>
          <w:sz w:val="32"/>
          <w:szCs w:val="32"/>
        </w:rPr>
        <w:t>，较上年增加73.43万元，增长10.79%。决算数小于预算数的主要原因是</w:t>
      </w:r>
      <w:r>
        <w:rPr>
          <w:rFonts w:hint="eastAsia" w:ascii="仿宋_GB2312" w:eastAsia="仿宋_GB2312"/>
          <w:sz w:val="32"/>
          <w:szCs w:val="32"/>
        </w:rPr>
        <w:t>贯彻落实</w:t>
      </w:r>
      <w:r>
        <w:rPr>
          <w:rFonts w:hint="eastAsia" w:ascii="仿宋_GB2312" w:eastAsia="仿宋_GB2312"/>
          <w:sz w:val="32"/>
          <w:szCs w:val="32"/>
          <w:lang w:eastAsia="zh-CN"/>
        </w:rPr>
        <w:t>党</w:t>
      </w:r>
      <w:r>
        <w:rPr>
          <w:rFonts w:hint="eastAsia" w:ascii="仿宋_GB2312" w:eastAsia="仿宋_GB2312"/>
          <w:sz w:val="32"/>
          <w:szCs w:val="32"/>
        </w:rPr>
        <w:t>中央“过紧日子”指示精神，从严从紧严控“三公”经费支出，</w:t>
      </w:r>
      <w:r>
        <w:rPr>
          <w:rFonts w:hint="eastAsia" w:ascii="仿宋_GB2312" w:eastAsia="仿宋_GB2312"/>
          <w:sz w:val="32"/>
          <w:szCs w:val="32"/>
          <w:lang w:eastAsia="zh-CN"/>
        </w:rPr>
        <w:t>厉行节约。</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；公务用车购置及运行维护费支出决算679.56万元，占90.16</w:t>
      </w:r>
      <w:r>
        <w:rPr>
          <w:rFonts w:ascii="仿宋" w:hAnsi="仿宋" w:eastAsia="仿宋"/>
          <w:sz w:val="32"/>
          <w:szCs w:val="32"/>
        </w:rPr>
        <w:t>%</w:t>
      </w:r>
      <w:r>
        <w:rPr>
          <w:rFonts w:hint="eastAsia" w:ascii="仿宋" w:hAnsi="仿宋" w:eastAsia="仿宋"/>
          <w:sz w:val="32"/>
          <w:szCs w:val="32"/>
        </w:rPr>
        <w:t>；公务接待费支出决算74.2万元，占9.84</w:t>
      </w:r>
      <w:r>
        <w:rPr>
          <w:rFonts w:ascii="仿宋" w:hAnsi="仿宋" w:eastAsia="仿宋"/>
          <w:sz w:val="32"/>
          <w:szCs w:val="32"/>
        </w:rPr>
        <w:t>%</w:t>
      </w:r>
      <w:r>
        <w:rPr>
          <w:rFonts w:hint="eastAsia" w:ascii="仿宋" w:hAnsi="仿宋" w:eastAsia="仿宋"/>
          <w:sz w:val="32"/>
          <w:szCs w:val="32"/>
        </w:rPr>
        <w:t>。具体情况如下：</w:t>
      </w:r>
    </w:p>
    <w:p>
      <w:pPr>
        <w:pStyle w:val="2"/>
        <w:spacing w:before="93"/>
        <w:ind w:firstLine="1050" w:firstLineChars="350"/>
        <w:rPr>
          <w:rFonts w:ascii="仿宋" w:hAnsi="仿宋" w:eastAsia="仿宋"/>
          <w:sz w:val="32"/>
          <w:szCs w:val="32"/>
        </w:rPr>
      </w:pPr>
      <w:r>
        <w:rPr>
          <w:rFonts w:hint="eastAsia"/>
        </w:rPr>
        <w:drawing>
          <wp:inline distT="0" distB="0" distL="0" distR="0">
            <wp:extent cx="4749800" cy="1605915"/>
            <wp:effectExtent l="19050" t="0" r="12341" b="0"/>
            <wp:docPr id="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2"/>
        <w:spacing w:before="93"/>
        <w:ind w:firstLine="960" w:firstLineChars="300"/>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全年安排因公出国（境）团组0次，出国（境）0人。因公出国（境）支出决算与</w:t>
      </w:r>
      <w:r>
        <w:rPr>
          <w:rFonts w:ascii="仿宋_GB2312" w:eastAsia="仿宋_GB2312"/>
          <w:sz w:val="32"/>
          <w:szCs w:val="32"/>
        </w:rPr>
        <w:t>20</w:t>
      </w:r>
      <w:r>
        <w:rPr>
          <w:rFonts w:hint="eastAsia" w:ascii="仿宋_GB2312" w:eastAsia="仿宋_GB2312"/>
          <w:sz w:val="32"/>
          <w:szCs w:val="32"/>
        </w:rPr>
        <w:t>21年持平。主要原因是我单位当年无因公出境人员开支。</w:t>
      </w:r>
    </w:p>
    <w:p>
      <w:pPr>
        <w:spacing w:line="600" w:lineRule="exact"/>
        <w:ind w:firstLine="640"/>
        <w:rPr>
          <w:rFonts w:ascii="仿宋_GB2312" w:eastAsia="仿宋_GB2312"/>
          <w:sz w:val="32"/>
          <w:szCs w:val="32"/>
        </w:rPr>
      </w:pPr>
      <w:r>
        <w:rPr>
          <w:rFonts w:hint="eastAsia" w:ascii="仿宋_GB2312" w:eastAsia="仿宋_GB2312"/>
          <w:sz w:val="32"/>
          <w:szCs w:val="32"/>
        </w:rPr>
        <w:t>开支内容包括：无。</w:t>
      </w:r>
    </w:p>
    <w:p>
      <w:pPr>
        <w:spacing w:line="600" w:lineRule="exact"/>
        <w:ind w:firstLine="640"/>
        <w:rPr>
          <w:rFonts w:ascii="仿宋_GB2312" w:eastAsia="仿宋_GB2312"/>
          <w:b/>
          <w:color w:val="FF0000"/>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679.56万元,完成预算100</w:t>
      </w:r>
      <w:r>
        <w:rPr>
          <w:rFonts w:ascii="仿宋_GB2312" w:eastAsia="仿宋_GB2312"/>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21年增加194.15万元，增长40</w:t>
      </w:r>
      <w:r>
        <w:rPr>
          <w:rFonts w:ascii="仿宋_GB2312" w:eastAsia="仿宋_GB2312"/>
          <w:sz w:val="32"/>
          <w:szCs w:val="32"/>
        </w:rPr>
        <w:t>%</w:t>
      </w:r>
      <w:r>
        <w:rPr>
          <w:rFonts w:hint="eastAsia" w:ascii="仿宋_GB2312" w:eastAsia="仿宋_GB2312"/>
          <w:sz w:val="32"/>
          <w:szCs w:val="32"/>
        </w:rPr>
        <w:t>。主要原因是新购置公务用车。</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412.95万元。全年按规定更新购置公务用车10辆，其中：轿车0辆、金额0万元，越野车10辆、金额412.95万元，载客汽车0辆、金额0万元，主要用于保障全县公务出行。截至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月底，单位共有公务用车62辆，其中：轿车17辆、越野车41辆、载客汽车4辆。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266.62万元。主要用于全县公务用车出车所需的公务用车燃料费、维修费、过路过桥费、保险费等支出。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74.2万元，</w:t>
      </w:r>
      <w:r>
        <w:rPr>
          <w:rStyle w:val="18"/>
          <w:rFonts w:hint="eastAsia" w:ascii="仿宋" w:hAnsi="仿宋" w:eastAsia="仿宋"/>
          <w:b w:val="0"/>
          <w:bCs/>
          <w:sz w:val="32"/>
          <w:szCs w:val="32"/>
        </w:rPr>
        <w:t>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21年减少120.73万元，下降61.94</w:t>
      </w:r>
      <w:r>
        <w:rPr>
          <w:rFonts w:ascii="仿宋_GB2312" w:eastAsia="仿宋_GB2312"/>
          <w:sz w:val="32"/>
          <w:szCs w:val="32"/>
        </w:rPr>
        <w:t>%</w:t>
      </w:r>
      <w:r>
        <w:rPr>
          <w:rFonts w:hint="eastAsia" w:ascii="仿宋_GB2312" w:eastAsia="仿宋_GB2312"/>
          <w:sz w:val="32"/>
          <w:szCs w:val="32"/>
        </w:rPr>
        <w:t>。主要原因是减少化解暂付款；贯彻落实</w:t>
      </w:r>
      <w:r>
        <w:rPr>
          <w:rFonts w:hint="eastAsia" w:ascii="仿宋_GB2312" w:eastAsia="仿宋_GB2312"/>
          <w:sz w:val="32"/>
          <w:szCs w:val="32"/>
          <w:lang w:eastAsia="zh-CN"/>
        </w:rPr>
        <w:t>党</w:t>
      </w:r>
      <w:r>
        <w:rPr>
          <w:rFonts w:hint="eastAsia" w:ascii="仿宋_GB2312" w:eastAsia="仿宋_GB2312"/>
          <w:sz w:val="32"/>
          <w:szCs w:val="32"/>
        </w:rPr>
        <w:t>中央“过紧日子”指示精神，从严从紧严控“三公”经费支出，减少公务接待工作开支。其中：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74.2</w:t>
      </w:r>
      <w:r>
        <w:rPr>
          <w:rFonts w:hint="eastAsia" w:ascii="仿宋_GB2312" w:eastAsia="仿宋_GB2312"/>
          <w:sz w:val="32"/>
          <w:szCs w:val="32"/>
        </w:rPr>
        <w:t>万元，主要用于接待人员接待来访工作人员执行公务、开展业务活动开支的交通费、住宿费、用餐费等。国内公务接待700批次，21000人次（不包括陪同人员），共计支出74.2万元，具体内容包括：外来访人员执行公务时所支出的相关费用。</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万元，主要用于接待无。外事接待0批次，0人次（不包括陪同人员），共计支出0万元。</w:t>
      </w:r>
    </w:p>
    <w:p>
      <w:pPr>
        <w:spacing w:line="600" w:lineRule="exact"/>
        <w:ind w:firstLine="640"/>
        <w:outlineLvl w:val="1"/>
        <w:rPr>
          <w:rFonts w:ascii="黑体" w:eastAsia="黑体"/>
          <w:sz w:val="32"/>
          <w:szCs w:val="32"/>
        </w:rPr>
      </w:pPr>
      <w:bookmarkStart w:id="40" w:name="_Toc15377218"/>
      <w:bookmarkStart w:id="41" w:name="_Toc15396610"/>
    </w:p>
    <w:p>
      <w:pPr>
        <w:spacing w:line="600" w:lineRule="exact"/>
        <w:ind w:firstLine="640"/>
        <w:outlineLvl w:val="1"/>
        <w:rPr>
          <w:rStyle w:val="31"/>
          <w:rFonts w:ascii="黑体" w:hAnsi="黑体" w:eastAsia="黑体"/>
        </w:rPr>
      </w:pPr>
      <w:r>
        <w:rPr>
          <w:rFonts w:hint="eastAsia" w:ascii="黑体" w:eastAsia="黑体"/>
          <w:sz w:val="32"/>
          <w:szCs w:val="32"/>
        </w:rPr>
        <w:t>八、</w:t>
      </w:r>
      <w:r>
        <w:rPr>
          <w:rStyle w:val="31"/>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22年政府性基金预算财政拨款支出0万元。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31"/>
          <w:rFonts w:ascii="黑体" w:hAnsi="黑体" w:eastAsia="黑体"/>
          <w:b w:val="0"/>
        </w:rPr>
      </w:pPr>
      <w:bookmarkStart w:id="42" w:name="_Toc15396611"/>
      <w:bookmarkStart w:id="43" w:name="_Toc15377219"/>
      <w:r>
        <w:rPr>
          <w:rStyle w:val="31"/>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31"/>
          <w:rFonts w:ascii="黑体" w:hAnsi="黑体" w:eastAsia="黑体"/>
          <w:b w:val="0"/>
        </w:rPr>
      </w:pPr>
      <w:bookmarkStart w:id="44" w:name="_Toc15377221"/>
      <w:bookmarkStart w:id="45" w:name="_Toc15396612"/>
      <w:r>
        <w:rPr>
          <w:rStyle w:val="31"/>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22年，盐边县机关事务服务中心机关运行经费支出15.15万元，比</w:t>
      </w:r>
      <w:r>
        <w:rPr>
          <w:rFonts w:ascii="仿宋_GB2312" w:eastAsia="仿宋_GB2312"/>
          <w:sz w:val="32"/>
          <w:szCs w:val="32"/>
        </w:rPr>
        <w:t>20</w:t>
      </w:r>
      <w:r>
        <w:rPr>
          <w:rFonts w:hint="eastAsia" w:ascii="仿宋_GB2312" w:eastAsia="仿宋_GB2312"/>
          <w:sz w:val="32"/>
          <w:szCs w:val="32"/>
        </w:rPr>
        <w:t>21年减少0.33万元，下降2.13</w:t>
      </w:r>
      <w:r>
        <w:rPr>
          <w:rFonts w:ascii="仿宋_GB2312" w:eastAsia="仿宋_GB2312"/>
          <w:sz w:val="32"/>
          <w:szCs w:val="32"/>
        </w:rPr>
        <w:t>%</w:t>
      </w:r>
      <w:r>
        <w:rPr>
          <w:rFonts w:hint="eastAsia" w:ascii="仿宋_GB2312" w:eastAsia="仿宋_GB2312"/>
          <w:sz w:val="32"/>
          <w:szCs w:val="32"/>
        </w:rPr>
        <w:t>。主要原因是人员变动，减少基本支出。</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22年，盐边县机关事务服务中心政府采购支出总额0万元，其中：政府采购货物支出0万元、政府采购工程支出0万元、政府采购服务支出0万元。主要用于无。授予中小企业合同金额0万元，占政府采购支出总额的0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日，盐边县机关事务服务中心共有车辆62辆，其中：主要领导干部用车0辆、机要通信用车0辆、应急保障用车61辆、其他用车1辆，其他用车主要是用于开展大型活动载客使用。单价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2022年度预算编制阶段，组织对劳务派遣人员（司勤人员）经费项目、公务用车运行维护项目、公务接待项目等11个项目开展了预算事前绩效评估，对11个项目编制了绩效目标，预算执行过程中，选取11个项目开展绩效监控。</w:t>
      </w:r>
    </w:p>
    <w:p>
      <w:pPr>
        <w:widowControl/>
        <w:ind w:firstLine="640" w:firstLineChars="200"/>
        <w:jc w:val="left"/>
        <w:rPr>
          <w:rFonts w:ascii="仿宋_GB2312" w:eastAsia="仿宋_GB2312"/>
          <w:b/>
          <w:sz w:val="32"/>
          <w:szCs w:val="32"/>
        </w:rPr>
      </w:pPr>
      <w:r>
        <w:rPr>
          <w:rFonts w:hint="eastAsia" w:ascii="仿宋_GB2312" w:hAnsi="仿宋_GB2312" w:eastAsia="仿宋_GB2312" w:cs="仿宋_GB2312"/>
          <w:sz w:val="32"/>
          <w:szCs w:val="32"/>
        </w:rPr>
        <w:t>组织对2022年度部门所有预算资金全面开展绩效自评，形成盐边县机关事务服务中心2022年度部门整体绩效自评报告，其中，盐边县机关事务服务中心2022年度部门整体绩效自评得分为97分，绩效自评综述单位</w:t>
      </w:r>
      <w:r>
        <w:rPr>
          <w:rFonts w:ascii="仿宋_GB2312" w:hAnsi="仿宋_GB2312" w:eastAsia="仿宋_GB2312" w:cs="仿宋_GB2312"/>
          <w:sz w:val="32"/>
          <w:szCs w:val="32"/>
        </w:rPr>
        <w:t>整体绩效自评结果良好。</w:t>
      </w:r>
      <w:r>
        <w:rPr>
          <w:rFonts w:hint="eastAsia" w:ascii="仿宋_GB2312" w:hAnsi="仿宋_GB2312" w:eastAsia="仿宋_GB2312" w:cs="仿宋_GB2312"/>
          <w:sz w:val="32"/>
          <w:szCs w:val="32"/>
        </w:rPr>
        <w:t>绩效自评报告详见附件。</w:t>
      </w: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30"/>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30"/>
          <w:rFonts w:hint="eastAsia" w:ascii="黑体" w:hAnsi="黑体" w:eastAsia="黑体"/>
          <w:b w:val="0"/>
        </w:rPr>
        <w:t>词解释</w:t>
      </w:r>
      <w:bookmarkEnd w:id="49"/>
      <w:bookmarkEnd w:id="50"/>
    </w:p>
    <w:p>
      <w:pPr>
        <w:spacing w:line="600" w:lineRule="exact"/>
        <w:jc w:val="left"/>
        <w:rPr>
          <w:rFonts w:ascii="宋体"/>
          <w:b/>
          <w:sz w:val="44"/>
          <w:szCs w:val="44"/>
        </w:rPr>
      </w:pPr>
    </w:p>
    <w:p>
      <w:pPr>
        <w:spacing w:line="600" w:lineRule="exact"/>
        <w:ind w:firstLine="160" w:firstLineChars="50"/>
        <w:outlineLvl w:val="0"/>
        <w:rPr>
          <w:rFonts w:ascii="仿宋_GB2312" w:hAnsi="Calibri" w:eastAsia="仿宋_GB2312" w:cs="仿宋"/>
          <w:kern w:val="0"/>
          <w:sz w:val="32"/>
          <w:szCs w:val="32"/>
        </w:rPr>
      </w:pPr>
      <w:r>
        <w:rPr>
          <w:rFonts w:ascii="仿宋_GB2312" w:hAnsi="Calibri" w:eastAsia="仿宋_GB2312" w:cs="仿宋"/>
          <w:kern w:val="0"/>
          <w:sz w:val="32"/>
          <w:szCs w:val="32"/>
        </w:rPr>
        <w:t>1.一般公共预算拨款收入：指县级财政当年拨付的资金。</w:t>
      </w:r>
    </w:p>
    <w:p>
      <w:pPr>
        <w:spacing w:line="600" w:lineRule="exact"/>
        <w:ind w:firstLine="160" w:firstLineChars="50"/>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2.一般公共服务支出：反映政府提供一般公共服务的支出。</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3.一般公共服务支出201（类）政府办公厅（室）及相关机构事务03（款）行政运行01（项）：反映行政单位（包括实行公务员管理的事业单位）的基本支出。</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4. 一般公共服务支出201（类）政府办公厅（室）及相关机构事务03（款）一般行政管理事务02（项）：反映行政单位（包括实行公务员管理的事业单位）未单独设置项级科目的其他项目支出。</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5. 一般公共服务支出201（类）政府办公厅（室）及相关机构事务03（款）机关服务03（项）：反映为行政单位（包括实行公务员管理的事业单位）提供后勤服务的各类后勤服务中心、医疗室等附属事业单位的支出。其他事业单位的支出，凡单独设置了项级科目的，在单独设置的项级科目中反映。未单设项级科目的，在“其他”项级科目中反映。</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6. 一般公共服务支出201（类）政府办公厅（室）及相关机构事务03（款）专项业务及机关事务管理05（项）：反映各级政府举行各类重大活动、召开重要会议（如国务院一类会议、国庆招待会、全国劳模大会）的支出，政府机关房地产管理、公务用车管理等方面的支出。</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7. 一般公共服务支出201（类）政府办公厅（室）及相关机构事务03（款）其他政府办公厅（室）及相关机构事务支出99（项）：反映除上述项目以外的其他政府办公厅（室）及相关机构事务支出。</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8. 社会保障和就业支出208（类）行政事业单位养老支出05（款）机关事业单位基本养老保险缴费支出05（项）：反映机关事业单位实施养老保险制度由单位缴纳的基本养老保险费支出。</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9. 社会保障和就业支出208（类）行政事业单位养老支出05（款）机关事业单位职业年金缴费支出（项）：反映机关事业单位实施养老保险制度由单位实际缴纳的职业年金支出。</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10</w:t>
      </w:r>
      <w:r>
        <w:rPr>
          <w:rFonts w:ascii="仿宋_GB2312" w:hAnsi="Calibri" w:eastAsia="仿宋_GB2312" w:cs="仿宋"/>
          <w:kern w:val="0"/>
          <w:sz w:val="32"/>
          <w:szCs w:val="32"/>
        </w:rPr>
        <w:t>.</w:t>
      </w:r>
      <w:r>
        <w:rPr>
          <w:rFonts w:hint="eastAsia" w:ascii="仿宋_GB2312" w:hAnsi="Calibri" w:eastAsia="仿宋_GB2312" w:cs="仿宋"/>
          <w:kern w:val="0"/>
          <w:sz w:val="32"/>
          <w:szCs w:val="32"/>
        </w:rPr>
        <w:t>卫生健康支出210</w:t>
      </w:r>
      <w:r>
        <w:rPr>
          <w:rFonts w:ascii="仿宋_GB2312" w:hAnsi="Calibri" w:eastAsia="仿宋_GB2312" w:cs="仿宋"/>
          <w:kern w:val="0"/>
          <w:sz w:val="32"/>
          <w:szCs w:val="32"/>
        </w:rPr>
        <w:t>（类）行政事业单位医疗</w:t>
      </w:r>
      <w:r>
        <w:rPr>
          <w:rFonts w:hint="eastAsia" w:ascii="仿宋_GB2312" w:hAnsi="Calibri" w:eastAsia="仿宋_GB2312" w:cs="仿宋"/>
          <w:kern w:val="0"/>
          <w:sz w:val="32"/>
          <w:szCs w:val="32"/>
        </w:rPr>
        <w:t>11</w:t>
      </w:r>
      <w:r>
        <w:rPr>
          <w:rFonts w:ascii="仿宋_GB2312" w:hAnsi="Calibri" w:eastAsia="仿宋_GB2312" w:cs="仿宋"/>
          <w:kern w:val="0"/>
          <w:sz w:val="32"/>
          <w:szCs w:val="32"/>
        </w:rPr>
        <w:t>（款）行政单位医疗</w:t>
      </w:r>
      <w:r>
        <w:rPr>
          <w:rFonts w:hint="eastAsia" w:ascii="仿宋_GB2312" w:hAnsi="Calibri" w:eastAsia="仿宋_GB2312" w:cs="仿宋"/>
          <w:kern w:val="0"/>
          <w:sz w:val="32"/>
          <w:szCs w:val="32"/>
        </w:rPr>
        <w:t>01</w:t>
      </w:r>
      <w:r>
        <w:rPr>
          <w:rFonts w:ascii="仿宋_GB2312" w:hAnsi="Calibri" w:eastAsia="仿宋_GB2312" w:cs="仿宋"/>
          <w:kern w:val="0"/>
          <w:sz w:val="32"/>
          <w:szCs w:val="32"/>
        </w:rPr>
        <w:t>（项）：</w:t>
      </w:r>
      <w:r>
        <w:rPr>
          <w:rFonts w:hint="eastAsia" w:ascii="仿宋_GB2312" w:hAnsi="Calibri" w:eastAsia="仿宋_GB2312" w:cs="仿宋"/>
          <w:kern w:val="0"/>
          <w:sz w:val="32"/>
          <w:szCs w:val="32"/>
        </w:rPr>
        <w:t>反映</w:t>
      </w:r>
      <w:r>
        <w:rPr>
          <w:rFonts w:ascii="仿宋_GB2312" w:hAnsi="Calibri" w:eastAsia="仿宋_GB2312" w:cs="仿宋"/>
          <w:kern w:val="0"/>
          <w:sz w:val="32"/>
          <w:szCs w:val="32"/>
        </w:rPr>
        <w:t>财政部门安排的行政单位</w:t>
      </w:r>
      <w:r>
        <w:rPr>
          <w:rFonts w:hint="eastAsia" w:ascii="仿宋_GB2312" w:hAnsi="Calibri" w:eastAsia="仿宋_GB2312" w:cs="仿宋"/>
          <w:kern w:val="0"/>
          <w:sz w:val="32"/>
          <w:szCs w:val="32"/>
        </w:rPr>
        <w:t>（包括实行公务员管理的事业单位，下同）基本医疗保险缴费经费，未参加医疗保险的行政单位的公费医疗经费，按国家规定享受离休人员、红军老战士待遇人员的医疗经费</w:t>
      </w:r>
      <w:r>
        <w:rPr>
          <w:rFonts w:ascii="仿宋_GB2312" w:hAnsi="Calibri" w:eastAsia="仿宋_GB2312" w:cs="仿宋"/>
          <w:kern w:val="0"/>
          <w:sz w:val="32"/>
          <w:szCs w:val="32"/>
        </w:rPr>
        <w:t>。</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11.卫生健康支出210</w:t>
      </w:r>
      <w:r>
        <w:rPr>
          <w:rFonts w:ascii="仿宋_GB2312" w:hAnsi="Calibri" w:eastAsia="仿宋_GB2312" w:cs="仿宋"/>
          <w:kern w:val="0"/>
          <w:sz w:val="32"/>
          <w:szCs w:val="32"/>
        </w:rPr>
        <w:t>（类）行政事业单位医疗</w:t>
      </w:r>
      <w:r>
        <w:rPr>
          <w:rFonts w:hint="eastAsia" w:ascii="仿宋_GB2312" w:hAnsi="Calibri" w:eastAsia="仿宋_GB2312" w:cs="仿宋"/>
          <w:kern w:val="0"/>
          <w:sz w:val="32"/>
          <w:szCs w:val="32"/>
        </w:rPr>
        <w:t>11</w:t>
      </w:r>
      <w:r>
        <w:rPr>
          <w:rFonts w:ascii="仿宋_GB2312" w:hAnsi="Calibri" w:eastAsia="仿宋_GB2312" w:cs="仿宋"/>
          <w:kern w:val="0"/>
          <w:sz w:val="32"/>
          <w:szCs w:val="32"/>
        </w:rPr>
        <w:t>（款）</w:t>
      </w:r>
      <w:r>
        <w:rPr>
          <w:rFonts w:hint="eastAsia" w:ascii="仿宋_GB2312" w:hAnsi="Calibri" w:eastAsia="仿宋_GB2312" w:cs="仿宋"/>
          <w:kern w:val="0"/>
          <w:sz w:val="32"/>
          <w:szCs w:val="32"/>
        </w:rPr>
        <w:t>公务员</w:t>
      </w:r>
      <w:r>
        <w:rPr>
          <w:rFonts w:ascii="仿宋_GB2312" w:hAnsi="Calibri" w:eastAsia="仿宋_GB2312" w:cs="仿宋"/>
          <w:kern w:val="0"/>
          <w:sz w:val="32"/>
          <w:szCs w:val="32"/>
        </w:rPr>
        <w:t>医疗补助</w:t>
      </w:r>
      <w:r>
        <w:rPr>
          <w:rFonts w:hint="eastAsia" w:ascii="仿宋_GB2312" w:hAnsi="Calibri" w:eastAsia="仿宋_GB2312" w:cs="仿宋"/>
          <w:kern w:val="0"/>
          <w:sz w:val="32"/>
          <w:szCs w:val="32"/>
        </w:rPr>
        <w:t>03</w:t>
      </w:r>
      <w:r>
        <w:rPr>
          <w:rFonts w:ascii="仿宋_GB2312" w:hAnsi="Calibri" w:eastAsia="仿宋_GB2312" w:cs="仿宋"/>
          <w:kern w:val="0"/>
          <w:sz w:val="32"/>
          <w:szCs w:val="32"/>
        </w:rPr>
        <w:t>（项）：</w:t>
      </w:r>
      <w:r>
        <w:rPr>
          <w:rFonts w:hint="eastAsia" w:ascii="仿宋_GB2312" w:hAnsi="Calibri" w:eastAsia="仿宋_GB2312" w:cs="仿宋"/>
          <w:kern w:val="0"/>
          <w:sz w:val="32"/>
          <w:szCs w:val="32"/>
        </w:rPr>
        <w:t>反映</w:t>
      </w:r>
      <w:r>
        <w:rPr>
          <w:rFonts w:ascii="仿宋_GB2312" w:hAnsi="Calibri" w:eastAsia="仿宋_GB2312" w:cs="仿宋"/>
          <w:kern w:val="0"/>
          <w:sz w:val="32"/>
          <w:szCs w:val="32"/>
        </w:rPr>
        <w:t>财政部门安排的公务员医疗补助经费。</w:t>
      </w:r>
    </w:p>
    <w:p>
      <w:pPr>
        <w:spacing w:line="600" w:lineRule="exact"/>
        <w:ind w:left="320" w:leftChars="76" w:hanging="160" w:hangingChars="5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12.住房保障支出221（类）住房改革支出02（款）住房公积金01（项）：反映行政事业单位按人力资源和社会保障部、财政部规定的基本工资和津贴补贴以及规定比例为职工缴纳的住房公积金支出。</w:t>
      </w:r>
    </w:p>
    <w:p>
      <w:pPr>
        <w:spacing w:line="600" w:lineRule="exact"/>
        <w:ind w:left="480" w:leftChars="76" w:hanging="320" w:hangingChars="10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13</w:t>
      </w:r>
      <w:r>
        <w:rPr>
          <w:rFonts w:ascii="仿宋_GB2312" w:hAnsi="Calibri" w:eastAsia="仿宋_GB2312" w:cs="仿宋"/>
          <w:kern w:val="0"/>
          <w:sz w:val="32"/>
          <w:szCs w:val="32"/>
        </w:rPr>
        <w:t>.基本支出：指为保证机构正常运转，完成日常工作任务而发生的人员支出和公用支出。</w:t>
      </w:r>
    </w:p>
    <w:p>
      <w:pPr>
        <w:spacing w:line="600" w:lineRule="exact"/>
        <w:ind w:left="480" w:leftChars="76" w:hanging="320" w:hangingChars="10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14</w:t>
      </w:r>
      <w:r>
        <w:rPr>
          <w:rFonts w:ascii="仿宋_GB2312" w:hAnsi="Calibri" w:eastAsia="仿宋_GB2312" w:cs="仿宋"/>
          <w:kern w:val="0"/>
          <w:sz w:val="32"/>
          <w:szCs w:val="32"/>
        </w:rPr>
        <w:t>.项目支出：指在基本支出之外为完成特定</w:t>
      </w:r>
      <w:r>
        <w:rPr>
          <w:rFonts w:hint="eastAsia" w:ascii="仿宋_GB2312" w:hAnsi="Calibri" w:eastAsia="仿宋_GB2312" w:cs="仿宋"/>
          <w:kern w:val="0"/>
          <w:sz w:val="32"/>
          <w:szCs w:val="32"/>
        </w:rPr>
        <w:t>工作任务</w:t>
      </w:r>
      <w:r>
        <w:rPr>
          <w:rFonts w:ascii="仿宋_GB2312" w:hAnsi="Calibri" w:eastAsia="仿宋_GB2312" w:cs="仿宋"/>
          <w:kern w:val="0"/>
          <w:sz w:val="32"/>
          <w:szCs w:val="32"/>
        </w:rPr>
        <w:t>和事业发展目标所发生的支出。</w:t>
      </w:r>
    </w:p>
    <w:p>
      <w:pPr>
        <w:spacing w:line="600" w:lineRule="exact"/>
        <w:ind w:left="480" w:leftChars="76" w:hanging="320" w:hangingChars="100"/>
        <w:jc w:val="left"/>
        <w:outlineLvl w:val="0"/>
        <w:rPr>
          <w:rFonts w:ascii="仿宋_GB2312" w:hAnsi="Calibri" w:eastAsia="仿宋_GB2312" w:cs="仿宋"/>
          <w:kern w:val="0"/>
          <w:sz w:val="32"/>
          <w:szCs w:val="32"/>
        </w:rPr>
      </w:pPr>
      <w:r>
        <w:rPr>
          <w:rFonts w:hint="eastAsia" w:ascii="仿宋_GB2312" w:hAnsi="Calibri" w:eastAsia="仿宋_GB2312" w:cs="仿宋"/>
          <w:kern w:val="0"/>
          <w:sz w:val="32"/>
          <w:szCs w:val="32"/>
        </w:rPr>
        <w:t>15</w:t>
      </w:r>
      <w:r>
        <w:rPr>
          <w:rFonts w:ascii="仿宋_GB2312" w:hAnsi="Calibri" w:eastAsia="仿宋_GB2312" w:cs="仿宋"/>
          <w:kern w:val="0"/>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w:t>
      </w:r>
      <w:r>
        <w:rPr>
          <w:rFonts w:hint="eastAsia" w:ascii="仿宋_GB2312" w:hAnsi="Calibri" w:eastAsia="仿宋_GB2312" w:cs="仿宋"/>
          <w:kern w:val="0"/>
          <w:sz w:val="32"/>
          <w:szCs w:val="32"/>
        </w:rPr>
        <w:t>、</w:t>
      </w:r>
      <w:r>
        <w:rPr>
          <w:rFonts w:ascii="仿宋_GB2312" w:hAnsi="Calibri" w:eastAsia="仿宋_GB2312" w:cs="仿宋"/>
          <w:kern w:val="0"/>
          <w:sz w:val="32"/>
          <w:szCs w:val="32"/>
        </w:rPr>
        <w:t>牌照费）及单位按规定保留的公务用车燃料费、维修费、过路过桥费、保险费</w:t>
      </w:r>
      <w:r>
        <w:rPr>
          <w:rFonts w:hint="eastAsia" w:ascii="仿宋_GB2312" w:hAnsi="Calibri" w:eastAsia="仿宋_GB2312" w:cs="仿宋"/>
          <w:kern w:val="0"/>
          <w:sz w:val="32"/>
          <w:szCs w:val="32"/>
        </w:rPr>
        <w:t>、</w:t>
      </w:r>
      <w:r>
        <w:rPr>
          <w:rFonts w:ascii="仿宋_GB2312" w:hAnsi="Calibri" w:eastAsia="仿宋_GB2312" w:cs="仿宋"/>
          <w:kern w:val="0"/>
          <w:sz w:val="32"/>
          <w:szCs w:val="32"/>
        </w:rPr>
        <w:t>安全奖励费用等支出；公务接待费反映单位按规定开支的各类公务接待（含外宾接待）费用。</w:t>
      </w:r>
    </w:p>
    <w:p>
      <w:pPr>
        <w:spacing w:line="600" w:lineRule="exact"/>
        <w:ind w:left="480" w:leftChars="76" w:hanging="320" w:hangingChars="100"/>
        <w:jc w:val="center"/>
        <w:rPr>
          <w:rStyle w:val="30"/>
          <w:rFonts w:ascii="仿宋" w:hAnsi="仿宋" w:eastAsia="仿宋"/>
          <w:bCs w:val="0"/>
          <w:kern w:val="2"/>
          <w:sz w:val="32"/>
          <w:szCs w:val="32"/>
        </w:rPr>
      </w:pPr>
      <w:r>
        <w:rPr>
          <w:rFonts w:hint="eastAsia" w:ascii="仿宋_GB2312" w:hAnsi="Calibri" w:eastAsia="仿宋_GB2312" w:cs="仿宋"/>
          <w:kern w:val="0"/>
          <w:sz w:val="32"/>
          <w:szCs w:val="32"/>
        </w:rPr>
        <w:t>16</w:t>
      </w:r>
      <w:r>
        <w:rPr>
          <w:rFonts w:ascii="仿宋_GB2312" w:hAnsi="Calibri" w:eastAsia="仿宋_GB2312" w:cs="仿宋"/>
          <w:kern w:val="0"/>
          <w:sz w:val="32"/>
          <w:szCs w:val="32"/>
        </w:rPr>
        <w:t>.</w:t>
      </w:r>
      <w:r>
        <w:rPr>
          <w:rFonts w:hint="eastAsia" w:ascii="仿宋_GB2312" w:hAnsi="Calibri" w:eastAsia="仿宋_GB2312" w:cs="仿宋"/>
          <w:kern w:val="0"/>
          <w:sz w:val="32"/>
          <w:szCs w:val="32"/>
        </w:rPr>
        <w:t>机关</w:t>
      </w:r>
      <w:r>
        <w:rPr>
          <w:rFonts w:ascii="仿宋_GB2312" w:hAnsi="Calibri" w:eastAsia="仿宋_GB2312" w:cs="仿宋"/>
          <w:kern w:val="0"/>
          <w:sz w:val="32"/>
          <w:szCs w:val="32"/>
        </w:rPr>
        <w:t>运行</w:t>
      </w:r>
      <w:r>
        <w:rPr>
          <w:rFonts w:hint="eastAsia" w:ascii="仿宋_GB2312" w:hAnsi="Calibri" w:eastAsia="仿宋_GB2312" w:cs="仿宋"/>
          <w:kern w:val="0"/>
          <w:sz w:val="32"/>
          <w:szCs w:val="32"/>
        </w:rPr>
        <w:t>经</w:t>
      </w:r>
      <w:r>
        <w:rPr>
          <w:rFonts w:ascii="仿宋_GB2312" w:hAnsi="Calibri" w:eastAsia="仿宋_GB2312" w:cs="仿宋"/>
          <w:kern w:val="0"/>
          <w:sz w:val="32"/>
          <w:szCs w:val="32"/>
        </w:rPr>
        <w:t>费：为保障行政单位（包含参照公务员法管理的事业单位）运行用于购买货物和服务的各项资金。包括办公及办公费、水费、电费、印刷费、邮电费、差旅费、会议费等费用开支。</w:t>
      </w: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30"/>
          <w:rFonts w:hint="eastAsia" w:ascii="黑体" w:hAnsi="黑体" w:eastAsia="黑体"/>
          <w:b w:val="0"/>
        </w:rPr>
        <w:t>四部分 附件</w:t>
      </w:r>
      <w:bookmarkEnd w:id="52"/>
    </w:p>
    <w:p>
      <w:pPr>
        <w:widowControl/>
        <w:spacing w:line="560" w:lineRule="exact"/>
        <w:contextualSpacing/>
        <w:rPr>
          <w:rFonts w:ascii="宋体" w:hAnsi="宋体"/>
          <w:b/>
          <w:sz w:val="32"/>
          <w:szCs w:val="32"/>
          <w:shd w:val="clear" w:color="auto" w:fill="FFFFFF"/>
        </w:rPr>
      </w:pPr>
      <w:r>
        <w:rPr>
          <w:rFonts w:hint="eastAsia" w:ascii="宋体" w:hAnsi="宋体"/>
          <w:b/>
          <w:sz w:val="32"/>
          <w:szCs w:val="32"/>
          <w:shd w:val="clear" w:color="auto" w:fill="FFFFFF"/>
        </w:rPr>
        <w:t>附件1</w:t>
      </w:r>
    </w:p>
    <w:p>
      <w:pPr>
        <w:widowControl/>
        <w:spacing w:line="560" w:lineRule="exact"/>
        <w:contextualSpacing/>
        <w:jc w:val="center"/>
        <w:rPr>
          <w:rFonts w:ascii="黑体" w:hAnsi="黑体" w:eastAsia="黑体"/>
          <w:color w:val="000000" w:themeColor="text1"/>
          <w:sz w:val="40"/>
          <w:szCs w:val="32"/>
          <w:shd w:val="clear" w:color="auto" w:fill="FFFFFF"/>
        </w:rPr>
      </w:pPr>
      <w:r>
        <w:rPr>
          <w:rFonts w:hint="eastAsia" w:ascii="黑体" w:hAnsi="黑体" w:eastAsia="黑体"/>
          <w:color w:val="000000" w:themeColor="text1"/>
          <w:sz w:val="40"/>
          <w:szCs w:val="32"/>
          <w:shd w:val="clear" w:color="auto" w:fill="FFFFFF"/>
        </w:rPr>
        <w:t>盐边县机关事务服务中心2022年</w:t>
      </w:r>
    </w:p>
    <w:p>
      <w:pPr>
        <w:widowControl/>
        <w:spacing w:line="560" w:lineRule="exact"/>
        <w:contextualSpacing/>
        <w:jc w:val="center"/>
        <w:rPr>
          <w:rFonts w:ascii="黑体" w:hAnsi="黑体" w:eastAsia="黑体"/>
          <w:color w:val="000000" w:themeColor="text1"/>
          <w:sz w:val="40"/>
          <w:szCs w:val="32"/>
          <w:shd w:val="clear" w:color="auto" w:fill="FFFFFF"/>
        </w:rPr>
      </w:pPr>
      <w:r>
        <w:rPr>
          <w:rFonts w:hint="eastAsia" w:ascii="黑体" w:hAnsi="黑体" w:eastAsia="黑体"/>
          <w:color w:val="000000" w:themeColor="text1"/>
          <w:sz w:val="40"/>
          <w:szCs w:val="32"/>
          <w:shd w:val="clear" w:color="auto" w:fill="FFFFFF"/>
        </w:rPr>
        <w:t>部门整体绩效评价报告</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pPr>
        <w:widowControl/>
        <w:numPr>
          <w:ilvl w:val="0"/>
          <w:numId w:val="5"/>
        </w:numPr>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部门（单位）基本情况</w:t>
      </w:r>
    </w:p>
    <w:p>
      <w:pPr>
        <w:pStyle w:val="29"/>
        <w:widowControl/>
        <w:numPr>
          <w:ilvl w:val="0"/>
          <w:numId w:val="6"/>
        </w:numPr>
        <w:adjustRightInd w:val="0"/>
        <w:snapToGrid w:val="0"/>
        <w:spacing w:line="560" w:lineRule="exact"/>
        <w:ind w:firstLineChars="0"/>
        <w:contextualSpacing/>
        <w:jc w:val="left"/>
        <w:rPr>
          <w:rFonts w:ascii="黑体" w:hAnsi="黑体" w:eastAsia="黑体" w:cs="楷体_GB2312"/>
          <w:bCs/>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机构组成。</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盐边县机关事务服务中心内设综合股、房产股、公车股三个股室。</w:t>
      </w:r>
    </w:p>
    <w:p>
      <w:pPr>
        <w:widowControl/>
        <w:adjustRightInd w:val="0"/>
        <w:snapToGrid w:val="0"/>
        <w:spacing w:line="560" w:lineRule="exact"/>
        <w:ind w:firstLine="640" w:firstLineChars="200"/>
        <w:contextualSpacing/>
        <w:jc w:val="left"/>
        <w:rPr>
          <w:rFonts w:ascii="黑体" w:hAnsi="黑体" w:eastAsia="黑体" w:cs="楷体_GB2312"/>
          <w:bCs/>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（二）机构职能和人员概况。</w:t>
      </w:r>
    </w:p>
    <w:p>
      <w:pPr>
        <w:widowControl/>
        <w:adjustRightInd w:val="0"/>
        <w:snapToGrid w:val="0"/>
        <w:spacing w:line="560" w:lineRule="exact"/>
        <w:ind w:firstLine="640" w:firstLineChars="200"/>
        <w:contextualSpacing/>
        <w:jc w:val="left"/>
        <w:rPr>
          <w:rFonts w:ascii="黑体" w:hAnsi="黑体" w:eastAsia="黑体" w:cs="楷体_GB2312"/>
          <w:bCs/>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1.机构职能</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（1）贯彻执行国家和省、市、县相关政策措施，研究制定机关事务管理工作规章制度并负责组织实施。</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（2）负责对县政府各部门机关事务进行统一管理，指导各乡镇政府机关事务管理工作，建立健全相关管理制度，统筹配置资源。</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（3）会同县级有关部门制定和组织实施机关配置、调剂、处置等具体管理制度。</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（4）统筹管理机关事业单位用地、集中管理机关事业单位办公用房。</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（5）负责对全县机关事业单位公务用车进行统一管理，并建立健全相关管理制度。</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（6）负责拟订国内公务接待的相关制度和公务接待标准，指导政府各部门和乡镇公务接待工作。</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（7）组织开展公共机构节约能源资源工作。</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（8）制定的机关后勤服务管理制度，确定机关后勤服务项目和标准，指导和监督政府各部门后勤服务工作。</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（9）建立健全机关后勤应急保障制度，制定并组织实施后勤应急保障预案。</w:t>
      </w:r>
    </w:p>
    <w:p>
      <w:pPr>
        <w:widowControl/>
        <w:adjustRightInd w:val="0"/>
        <w:snapToGrid w:val="0"/>
        <w:spacing w:line="560" w:lineRule="exact"/>
        <w:ind w:firstLine="640" w:firstLineChars="200"/>
        <w:contextualSpacing/>
        <w:jc w:val="left"/>
        <w:rPr>
          <w:rFonts w:ascii="黑体" w:hAnsi="黑体" w:eastAsia="黑体" w:cs="楷体_GB2312"/>
          <w:bCs/>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2.</w:t>
      </w:r>
      <w:r>
        <w:rPr>
          <w:rFonts w:ascii="黑体" w:hAnsi="黑体" w:eastAsia="黑体" w:cs="楷体_GB2312"/>
          <w:bCs/>
          <w:kern w:val="0"/>
          <w:sz w:val="32"/>
          <w:szCs w:val="32"/>
          <w:shd w:val="clear" w:color="auto" w:fill="FFFFFF"/>
          <w:lang w:val="zh-CN"/>
        </w:rPr>
        <w:t>人员概况。</w:t>
      </w:r>
    </w:p>
    <w:p>
      <w:pPr>
        <w:widowControl/>
        <w:adjustRightInd w:val="0"/>
        <w:snapToGrid w:val="0"/>
        <w:spacing w:line="560" w:lineRule="exact"/>
        <w:ind w:firstLine="640" w:firstLineChars="200"/>
        <w:contextualSpacing/>
        <w:jc w:val="left"/>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单位编制人数</w:t>
      </w:r>
      <w:r>
        <w:rPr>
          <w:rFonts w:hint="eastAsia" w:ascii="仿宋_GB2312" w:hAnsi="楷体_GB2312" w:eastAsia="仿宋_GB2312" w:cs="楷体_GB2312"/>
          <w:bCs/>
          <w:kern w:val="0"/>
          <w:sz w:val="32"/>
          <w:szCs w:val="32"/>
          <w:shd w:val="clear" w:color="auto" w:fill="FFFFFF"/>
        </w:rPr>
        <w:t>7</w:t>
      </w:r>
      <w:r>
        <w:rPr>
          <w:rFonts w:hint="eastAsia" w:ascii="仿宋_GB2312" w:hAnsi="楷体_GB2312" w:eastAsia="仿宋_GB2312" w:cs="楷体_GB2312"/>
          <w:bCs/>
          <w:kern w:val="0"/>
          <w:sz w:val="32"/>
          <w:szCs w:val="32"/>
          <w:shd w:val="clear" w:color="auto" w:fill="FFFFFF"/>
          <w:lang w:val="zh-CN"/>
        </w:rPr>
        <w:t>人，在编正式职工</w:t>
      </w:r>
      <w:r>
        <w:rPr>
          <w:rFonts w:hint="eastAsia" w:ascii="仿宋_GB2312" w:hAnsi="楷体_GB2312" w:eastAsia="仿宋_GB2312" w:cs="楷体_GB2312"/>
          <w:bCs/>
          <w:kern w:val="0"/>
          <w:sz w:val="32"/>
          <w:szCs w:val="32"/>
          <w:shd w:val="clear" w:color="auto" w:fill="FFFFFF"/>
        </w:rPr>
        <w:t>8</w:t>
      </w:r>
      <w:r>
        <w:rPr>
          <w:rFonts w:hint="eastAsia" w:ascii="仿宋_GB2312" w:hAnsi="楷体_GB2312" w:eastAsia="仿宋_GB2312" w:cs="楷体_GB2312"/>
          <w:bCs/>
          <w:kern w:val="0"/>
          <w:sz w:val="32"/>
          <w:szCs w:val="32"/>
          <w:shd w:val="clear" w:color="auto" w:fill="FFFFFF"/>
          <w:lang w:val="zh-CN"/>
        </w:rPr>
        <w:t>人（其中正科级1人，副科级2人，科员</w:t>
      </w:r>
      <w:r>
        <w:rPr>
          <w:rFonts w:hint="eastAsia" w:ascii="仿宋_GB2312" w:hAnsi="楷体_GB2312" w:eastAsia="仿宋_GB2312" w:cs="楷体_GB2312"/>
          <w:bCs/>
          <w:kern w:val="0"/>
          <w:sz w:val="32"/>
          <w:szCs w:val="32"/>
          <w:shd w:val="clear" w:color="auto" w:fill="FFFFFF"/>
        </w:rPr>
        <w:t>5</w:t>
      </w:r>
      <w:r>
        <w:rPr>
          <w:rFonts w:hint="eastAsia" w:ascii="仿宋_GB2312" w:hAnsi="楷体_GB2312" w:eastAsia="仿宋_GB2312" w:cs="楷体_GB2312"/>
          <w:bCs/>
          <w:kern w:val="0"/>
          <w:sz w:val="32"/>
          <w:szCs w:val="32"/>
          <w:shd w:val="clear" w:color="auto" w:fill="FFFFFF"/>
          <w:lang w:val="zh-CN"/>
        </w:rPr>
        <w:t>人），退休</w:t>
      </w:r>
      <w:r>
        <w:rPr>
          <w:rFonts w:hint="eastAsia" w:ascii="仿宋_GB2312" w:hAnsi="楷体_GB2312" w:eastAsia="仿宋_GB2312" w:cs="楷体_GB2312"/>
          <w:bCs/>
          <w:kern w:val="0"/>
          <w:sz w:val="32"/>
          <w:szCs w:val="32"/>
          <w:shd w:val="clear" w:color="auto" w:fill="FFFFFF"/>
        </w:rPr>
        <w:t>1人（2022年10月退休）</w:t>
      </w:r>
      <w:r>
        <w:rPr>
          <w:rFonts w:hint="eastAsia" w:ascii="仿宋_GB2312" w:hAnsi="楷体_GB2312" w:eastAsia="仿宋_GB2312" w:cs="楷体_GB2312"/>
          <w:bCs/>
          <w:kern w:val="0"/>
          <w:sz w:val="32"/>
          <w:szCs w:val="32"/>
          <w:shd w:val="clear" w:color="auto" w:fill="FFFFFF"/>
          <w:lang w:val="zh-CN"/>
        </w:rPr>
        <w:t>。</w:t>
      </w:r>
    </w:p>
    <w:p>
      <w:pPr>
        <w:widowControl/>
        <w:adjustRightInd w:val="0"/>
        <w:snapToGrid w:val="0"/>
        <w:spacing w:line="560" w:lineRule="exact"/>
        <w:ind w:firstLine="640" w:firstLineChars="200"/>
        <w:contextualSpacing/>
        <w:jc w:val="left"/>
        <w:rPr>
          <w:rFonts w:ascii="黑体" w:hAnsi="黑体" w:eastAsia="黑体" w:cs="楷体_GB2312"/>
          <w:bCs/>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（三）年度主要工作任务。</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1、公务用车工作</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（1）管理县级公务用车保障平台，严格执行公务用车票识化管理。</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（2）严格执行公务用车编制管理，2022年公务用车共计62辆，其中新购置公务车10辆，处置11辆。</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（3）加强公务用车日常监督管理。</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（4）积极开展司勤人员培训工作。</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2、公务接待工作</w:t>
      </w:r>
    </w:p>
    <w:p>
      <w:pPr>
        <w:snapToGrid w:val="0"/>
        <w:spacing w:line="520" w:lineRule="exact"/>
        <w:ind w:firstLine="800" w:firstLineChars="25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全年共计完成公务接待700余次，接待人数21000余人。</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3、公共机构节能工作</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（1）积极开展“低碳日”宣传周活动。</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（2）坚持使用新版统计软件。</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（3）组织两家工能示范创建单位参加省、市节能培训。</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4、办公用房管理工作</w:t>
      </w:r>
      <w:r>
        <w:rPr>
          <w:rFonts w:hint="eastAsia" w:ascii="仿宋_GB2312" w:hAnsi="楷体_GB2312" w:eastAsia="仿宋_GB2312" w:cs="楷体_GB2312"/>
          <w:bCs/>
          <w:kern w:val="0"/>
          <w:sz w:val="32"/>
          <w:szCs w:val="32"/>
          <w:shd w:val="clear" w:color="auto" w:fill="FFFFFF"/>
          <w:lang w:val="zh-CN"/>
        </w:rPr>
        <w:tab/>
      </w:r>
    </w:p>
    <w:p>
      <w:pPr>
        <w:snapToGrid w:val="0"/>
        <w:spacing w:line="520" w:lineRule="exact"/>
        <w:ind w:firstLine="800" w:firstLineChars="25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全面摸清底数，狠抓办公用房管理工作。</w:t>
      </w:r>
    </w:p>
    <w:p>
      <w:pPr>
        <w:snapToGrid w:val="0"/>
        <w:spacing w:line="520" w:lineRule="exact"/>
        <w:ind w:firstLine="640" w:firstLineChars="200"/>
        <w:rPr>
          <w:rFonts w:ascii="仿宋_GB2312" w:hAnsi="楷体_GB2312" w:eastAsia="仿宋_GB2312" w:cs="楷体_GB2312"/>
          <w:bCs/>
          <w:kern w:val="0"/>
          <w:sz w:val="32"/>
          <w:szCs w:val="32"/>
          <w:shd w:val="clear" w:color="auto" w:fill="FFFFFF"/>
          <w:lang w:val="zh-CN"/>
        </w:rPr>
      </w:pPr>
      <w:r>
        <w:rPr>
          <w:rFonts w:hint="eastAsia" w:ascii="仿宋_GB2312" w:hAnsi="楷体_GB2312" w:eastAsia="仿宋_GB2312" w:cs="楷体_GB2312"/>
          <w:bCs/>
          <w:kern w:val="0"/>
          <w:sz w:val="32"/>
          <w:szCs w:val="32"/>
          <w:shd w:val="clear" w:color="auto" w:fill="FFFFFF"/>
          <w:lang w:val="zh-CN"/>
        </w:rPr>
        <w:t>5、完成了盐边县机关职工食堂日常工作</w:t>
      </w:r>
    </w:p>
    <w:p>
      <w:pPr>
        <w:widowControl/>
        <w:adjustRightInd w:val="0"/>
        <w:snapToGrid w:val="0"/>
        <w:spacing w:line="560" w:lineRule="exact"/>
        <w:ind w:firstLine="640" w:firstLineChars="200"/>
        <w:contextualSpacing/>
        <w:jc w:val="left"/>
        <w:rPr>
          <w:rFonts w:ascii="黑体" w:hAnsi="黑体" w:eastAsia="黑体" w:cs="楷体_GB2312"/>
          <w:bCs/>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（四）部门整体支出绩效目标。</w:t>
      </w:r>
    </w:p>
    <w:p>
      <w:pPr>
        <w:widowControl/>
        <w:adjustRightInd w:val="0"/>
        <w:snapToGrid w:val="0"/>
        <w:spacing w:line="560" w:lineRule="exact"/>
        <w:ind w:firstLine="960" w:firstLineChars="300"/>
        <w:contextualSpacing/>
        <w:jc w:val="left"/>
        <w:rPr>
          <w:rFonts w:ascii="仿宋_GB2312" w:hAnsi="宋体" w:eastAsia="仿宋_GB2312" w:cs="宋体"/>
          <w:kern w:val="0"/>
          <w:sz w:val="32"/>
          <w:szCs w:val="32"/>
          <w:shd w:val="clear" w:color="auto" w:fill="FFFFFF"/>
        </w:rPr>
      </w:pPr>
      <w:r>
        <w:rPr>
          <w:rFonts w:hint="eastAsia" w:ascii="仿宋_GB2312" w:hAnsi="宋体" w:eastAsia="仿宋_GB2312" w:cs="宋体"/>
          <w:kern w:val="0"/>
          <w:sz w:val="32"/>
          <w:szCs w:val="32"/>
          <w:shd w:val="clear" w:color="auto" w:fill="FFFFFF"/>
        </w:rPr>
        <w:t>绩效目标填报完整合理。按照相关要求，制定了基本支出、项目支出和整体支出的绩效目标管理体系，对重点项目目标进行了量化，并严格按照绩效目标管理实施项目、使用资金，实现了部门整体绩效目标编制完整、合理，项目绩效目标编制明确、量化。预算编制准确，基本支出预算实行定员定额管理，人员支出预算按照工资福利标准和编制内实有人员核定；项目支出预算根据相关项目性质编制预算，做到不漏编，不多编，做到专款专用、规范管理、绩效引导，在保证项目工作按质按量按时完成的前提下严格将经费控制在预算内。</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二、部门资金收支情况</w:t>
      </w:r>
    </w:p>
    <w:p>
      <w:pPr>
        <w:widowControl/>
        <w:adjustRightInd w:val="0"/>
        <w:snapToGrid w:val="0"/>
        <w:spacing w:line="560" w:lineRule="exact"/>
        <w:ind w:firstLine="640" w:firstLineChars="200"/>
        <w:contextualSpacing/>
        <w:jc w:val="left"/>
        <w:rPr>
          <w:rFonts w:ascii="黑体" w:hAnsi="黑体" w:eastAsia="黑体" w:cs="楷体_GB2312"/>
          <w:bCs/>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（一）部门总体收支情况。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1.部门总体收入情况</w:t>
      </w:r>
    </w:p>
    <w:p>
      <w:pPr>
        <w:widowControl/>
        <w:adjustRightInd w:val="0"/>
        <w:snapToGrid w:val="0"/>
        <w:spacing w:line="560" w:lineRule="exact"/>
        <w:ind w:firstLine="800" w:firstLineChars="25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2022年部门总体收入2077.42万元。</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2.部门总体支出情况</w:t>
      </w:r>
    </w:p>
    <w:p>
      <w:pPr>
        <w:widowControl/>
        <w:adjustRightInd w:val="0"/>
        <w:snapToGrid w:val="0"/>
        <w:spacing w:line="560" w:lineRule="exact"/>
        <w:ind w:firstLine="800" w:firstLineChars="25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2022年部门总体支出2077.42万元。</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3.部门总体结转结余情况</w:t>
      </w:r>
    </w:p>
    <w:p>
      <w:pPr>
        <w:widowControl/>
        <w:adjustRightInd w:val="0"/>
        <w:snapToGrid w:val="0"/>
        <w:spacing w:line="560" w:lineRule="exact"/>
        <w:ind w:firstLine="800" w:firstLineChars="250"/>
        <w:contextualSpacing/>
        <w:jc w:val="left"/>
        <w:rPr>
          <w:rFonts w:ascii="楷体_GB2312" w:hAnsi="楷体_GB2312" w:eastAsia="楷体_GB2312" w:cs="楷体_GB2312"/>
          <w:b/>
          <w:bCs/>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rPr>
        <w:t>2022年部门总体结转结余0万元。</w:t>
      </w:r>
    </w:p>
    <w:p>
      <w:pPr>
        <w:widowControl/>
        <w:adjustRightInd w:val="0"/>
        <w:snapToGrid w:val="0"/>
        <w:spacing w:line="560" w:lineRule="exact"/>
        <w:ind w:firstLine="640" w:firstLineChars="200"/>
        <w:contextualSpacing/>
        <w:jc w:val="left"/>
        <w:rPr>
          <w:rFonts w:ascii="黑体" w:hAnsi="黑体" w:eastAsia="黑体" w:cs="楷体_GB2312"/>
          <w:bCs/>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（二）部门财政拨款收支情况。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1.部门财政拨款收入情况</w:t>
      </w:r>
    </w:p>
    <w:p>
      <w:pPr>
        <w:widowControl/>
        <w:adjustRightInd w:val="0"/>
        <w:snapToGrid w:val="0"/>
        <w:spacing w:line="560" w:lineRule="exact"/>
        <w:ind w:firstLine="800" w:firstLineChars="25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2022年部门</w:t>
      </w:r>
      <w:bookmarkStart w:id="67" w:name="_GoBack"/>
      <w:bookmarkEnd w:id="67"/>
      <w:r>
        <w:rPr>
          <w:rFonts w:hint="eastAsia" w:ascii="仿宋_GB2312" w:hAnsi="仿宋_GB2312" w:eastAsia="仿宋_GB2312" w:cs="仿宋_GB2312"/>
          <w:kern w:val="0"/>
          <w:sz w:val="32"/>
          <w:szCs w:val="32"/>
          <w:shd w:val="clear" w:color="auto" w:fill="FFFFFF"/>
          <w:lang w:eastAsia="zh-CN"/>
        </w:rPr>
        <w:t>财政拨款</w:t>
      </w:r>
      <w:r>
        <w:rPr>
          <w:rFonts w:hint="eastAsia" w:ascii="仿宋_GB2312" w:hAnsi="仿宋_GB2312" w:eastAsia="仿宋_GB2312" w:cs="仿宋_GB2312"/>
          <w:kern w:val="0"/>
          <w:sz w:val="32"/>
          <w:szCs w:val="32"/>
          <w:shd w:val="clear" w:color="auto" w:fill="FFFFFF"/>
        </w:rPr>
        <w:t>收入2077.42万元。</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2.部门财政拨款支出情况</w:t>
      </w:r>
    </w:p>
    <w:p>
      <w:pPr>
        <w:widowControl/>
        <w:adjustRightInd w:val="0"/>
        <w:snapToGrid w:val="0"/>
        <w:spacing w:line="560" w:lineRule="exact"/>
        <w:ind w:firstLine="800" w:firstLineChars="25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2022年部门</w:t>
      </w:r>
      <w:r>
        <w:rPr>
          <w:rFonts w:hint="eastAsia" w:ascii="仿宋_GB2312" w:hAnsi="仿宋_GB2312" w:eastAsia="仿宋_GB2312" w:cs="仿宋_GB2312"/>
          <w:kern w:val="0"/>
          <w:sz w:val="32"/>
          <w:szCs w:val="32"/>
          <w:shd w:val="clear" w:color="auto" w:fill="FFFFFF"/>
          <w:lang w:eastAsia="zh-CN"/>
        </w:rPr>
        <w:t>财政拨款</w:t>
      </w:r>
      <w:r>
        <w:rPr>
          <w:rFonts w:hint="eastAsia" w:ascii="仿宋_GB2312" w:hAnsi="仿宋_GB2312" w:eastAsia="仿宋_GB2312" w:cs="仿宋_GB2312"/>
          <w:kern w:val="0"/>
          <w:sz w:val="32"/>
          <w:szCs w:val="32"/>
          <w:shd w:val="clear" w:color="auto" w:fill="FFFFFF"/>
        </w:rPr>
        <w:t>支出2077.42万元。</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3.部门财政拨款结转结余情况</w:t>
      </w:r>
    </w:p>
    <w:p>
      <w:pPr>
        <w:widowControl/>
        <w:adjustRightInd w:val="0"/>
        <w:snapToGrid w:val="0"/>
        <w:spacing w:line="560" w:lineRule="exact"/>
        <w:ind w:firstLine="800" w:firstLineChars="25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2022年部门</w:t>
      </w:r>
      <w:r>
        <w:rPr>
          <w:rFonts w:hint="eastAsia" w:ascii="仿宋_GB2312" w:hAnsi="仿宋_GB2312" w:eastAsia="仿宋_GB2312" w:cs="仿宋_GB2312"/>
          <w:kern w:val="0"/>
          <w:sz w:val="32"/>
          <w:szCs w:val="32"/>
          <w:shd w:val="clear" w:color="auto" w:fill="FFFFFF"/>
          <w:lang w:eastAsia="zh-CN"/>
        </w:rPr>
        <w:t>财政拨款</w:t>
      </w:r>
      <w:r>
        <w:rPr>
          <w:rFonts w:hint="eastAsia" w:ascii="仿宋_GB2312" w:hAnsi="仿宋_GB2312" w:eastAsia="仿宋_GB2312" w:cs="仿宋_GB2312"/>
          <w:kern w:val="0"/>
          <w:sz w:val="32"/>
          <w:szCs w:val="32"/>
          <w:shd w:val="clear" w:color="auto" w:fill="FFFFFF"/>
        </w:rPr>
        <w:t>结转结余0万元。</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三、部门整体绩效分析</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黑体" w:hAnsi="黑体" w:eastAsia="黑体" w:cs="楷体_GB2312"/>
          <w:bCs/>
          <w:kern w:val="0"/>
          <w:sz w:val="32"/>
          <w:szCs w:val="32"/>
          <w:shd w:val="clear" w:color="auto" w:fill="FFFFFF"/>
          <w:lang w:val="zh-CN"/>
        </w:rPr>
        <w:t>（一）部门预算项目绩效分析。</w:t>
      </w:r>
    </w:p>
    <w:p>
      <w:pPr>
        <w:widowControl/>
        <w:adjustRightInd w:val="0"/>
        <w:snapToGrid w:val="0"/>
        <w:spacing w:line="560" w:lineRule="exact"/>
        <w:ind w:firstLine="960" w:firstLineChars="3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预算安排94.15万元用于支付接待人员经费，截止2022年底已支付79.49万元，完成预算99.9%；预算安排461.88万元用于单位司勤人员经费，主要包括人员工资、社保等基本支出。截止2022年底已支付452.2万元，占预算97.9%。</w:t>
      </w:r>
    </w:p>
    <w:p>
      <w:pPr>
        <w:widowControl/>
        <w:adjustRightInd w:val="0"/>
        <w:snapToGrid w:val="0"/>
        <w:spacing w:line="560" w:lineRule="exact"/>
        <w:ind w:firstLine="800" w:firstLineChars="25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预算安排380万元用于公务用车运行维护费用，截止2022年12月31日，公务用车运行维护费已支付354.05万元，完成预算93.17%；预算安排338.16万元用于机关职工食堂运行费用，主要包括职工食堂食材采购费、食堂房屋租赁费、食堂水电费、食堂劳务派遣及食堂相关运行经费等，截止2022年12月31日，机关职工食堂运行经费已支付326.73万元，占预算96.62%；预算安排80万元用于政府大楼及武装部周转房运行经费，主要包括安保及保洁人员、人武部安保勤务人员工资、社保等基本支出，政府办公大楼日常水电费及维修维护费等，截止2022年底政府大楼及武装部周转房运行经费已支付69.23万元，完成预算86.54%；预算安排88万元用于党政机关办公用房管理费用，其中预算安排70万元用于县政府大楼电梯更换采购项目经费，截止2022年底已支付党政机关办公用房维修维护经费8.89万元，完成预算10.1%；预算安排29.31万元用于综治中心办公大楼管理费用，截止2022年底已支付原法院维修改造资金经费29.31万元，完成预算100%；预算安排30万元用于驻盐教师职工周转房维修改造经费，截止2022年底已支付驻盐教师职工周转房维修改造经费30万元，完成预算100%；预算安排426万元用于公务车购置项目，截止2022年底已支付公务车购置费412.95万元，完成预算96.94%。</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3.特定目标类项目绩效分析</w:t>
      </w:r>
    </w:p>
    <w:p>
      <w:pPr>
        <w:widowControl/>
        <w:adjustRightInd w:val="0"/>
        <w:snapToGrid w:val="0"/>
        <w:spacing w:line="560" w:lineRule="exact"/>
        <w:ind w:firstLine="800" w:firstLineChars="25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无特定目标类项目</w:t>
      </w:r>
    </w:p>
    <w:p>
      <w:pPr>
        <w:widowControl/>
        <w:adjustRightInd w:val="0"/>
        <w:snapToGrid w:val="0"/>
        <w:spacing w:line="560" w:lineRule="exact"/>
        <w:ind w:firstLine="640" w:firstLineChars="200"/>
        <w:contextualSpacing/>
        <w:jc w:val="left"/>
        <w:rPr>
          <w:rFonts w:ascii="黑体" w:hAnsi="黑体" w:eastAsia="黑体" w:cs="楷体_GB2312"/>
          <w:bCs/>
          <w:color w:val="000000" w:themeColor="text1"/>
          <w:kern w:val="0"/>
          <w:sz w:val="32"/>
          <w:szCs w:val="32"/>
          <w:shd w:val="clear" w:color="auto" w:fill="FFFFFF"/>
          <w:lang w:val="zh-CN"/>
        </w:rPr>
      </w:pPr>
      <w:r>
        <w:rPr>
          <w:rFonts w:hint="eastAsia" w:ascii="黑体" w:hAnsi="黑体" w:eastAsia="黑体" w:cs="楷体_GB2312"/>
          <w:bCs/>
          <w:color w:val="000000" w:themeColor="text1"/>
          <w:kern w:val="0"/>
          <w:sz w:val="32"/>
          <w:szCs w:val="32"/>
          <w:shd w:val="clear" w:color="auto" w:fill="FFFFFF"/>
          <w:lang w:val="zh-CN"/>
        </w:rPr>
        <w:t>（二）部门整体履职绩效分析。</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lang w:val="zh-CN"/>
        </w:rPr>
      </w:pPr>
      <w:r>
        <w:rPr>
          <w:rFonts w:hint="eastAsia" w:ascii="仿宋_GB2312" w:hAnsi="仿宋_GB2312" w:eastAsia="仿宋_GB2312" w:cs="仿宋_GB2312"/>
          <w:color w:val="000000" w:themeColor="text1"/>
          <w:kern w:val="0"/>
          <w:sz w:val="32"/>
          <w:szCs w:val="32"/>
          <w:shd w:val="clear" w:color="auto" w:fill="FFFFFF"/>
          <w:lang w:val="zh-CN"/>
        </w:rPr>
        <w:t>2022年我中心高度重视，专题研究，将预算编制做细做实；提高意识，及时反馈督促，不断提高预算执行率及资金使用效益；及时纠偏，调整谋划，加快预算支出进度，确保绩效目标如期实现。</w:t>
      </w:r>
    </w:p>
    <w:p>
      <w:pPr>
        <w:widowControl/>
        <w:adjustRightInd w:val="0"/>
        <w:snapToGrid w:val="0"/>
        <w:spacing w:line="560" w:lineRule="exact"/>
        <w:ind w:firstLine="640" w:firstLineChars="200"/>
        <w:contextualSpacing/>
        <w:jc w:val="left"/>
        <w:rPr>
          <w:rFonts w:ascii="黑体" w:hAnsi="黑体" w:eastAsia="黑体" w:cs="楷体_GB2312"/>
          <w:bCs/>
          <w:color w:val="000000" w:themeColor="text1"/>
          <w:kern w:val="0"/>
          <w:sz w:val="32"/>
          <w:szCs w:val="32"/>
          <w:shd w:val="clear" w:color="auto" w:fill="FFFFFF"/>
          <w:lang w:val="zh-CN"/>
        </w:rPr>
      </w:pPr>
      <w:r>
        <w:rPr>
          <w:rFonts w:hint="eastAsia" w:ascii="黑体" w:hAnsi="黑体" w:eastAsia="黑体" w:cs="楷体_GB2312"/>
          <w:bCs/>
          <w:color w:val="000000" w:themeColor="text1"/>
          <w:kern w:val="0"/>
          <w:sz w:val="32"/>
          <w:szCs w:val="32"/>
          <w:shd w:val="clear" w:color="auto" w:fill="FFFFFF"/>
          <w:lang w:val="zh-CN"/>
        </w:rPr>
        <w:t>（三）结果应用情况。</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lang w:val="zh-CN"/>
        </w:rPr>
      </w:pPr>
      <w:r>
        <w:rPr>
          <w:rFonts w:hint="eastAsia" w:ascii="仿宋_GB2312" w:hAnsi="仿宋_GB2312" w:eastAsia="仿宋_GB2312" w:cs="仿宋_GB2312"/>
          <w:color w:val="000000" w:themeColor="text1"/>
          <w:kern w:val="0"/>
          <w:sz w:val="32"/>
          <w:szCs w:val="32"/>
          <w:shd w:val="clear" w:color="auto" w:fill="FFFFFF"/>
          <w:lang w:val="zh-CN"/>
        </w:rPr>
        <w:t>我中心将根据《盐边县财政局关于开展202</w:t>
      </w:r>
      <w:r>
        <w:rPr>
          <w:rFonts w:hint="eastAsia" w:ascii="仿宋_GB2312" w:hAnsi="仿宋_GB2312" w:eastAsia="仿宋_GB2312" w:cs="仿宋_GB2312"/>
          <w:color w:val="000000" w:themeColor="text1"/>
          <w:kern w:val="0"/>
          <w:sz w:val="32"/>
          <w:szCs w:val="32"/>
          <w:shd w:val="clear" w:color="auto" w:fill="FFFFFF"/>
        </w:rPr>
        <w:t>2</w:t>
      </w:r>
      <w:r>
        <w:rPr>
          <w:rFonts w:hint="eastAsia" w:ascii="仿宋_GB2312" w:hAnsi="仿宋_GB2312" w:eastAsia="仿宋_GB2312" w:cs="仿宋_GB2312"/>
          <w:color w:val="000000" w:themeColor="text1"/>
          <w:kern w:val="0"/>
          <w:sz w:val="32"/>
          <w:szCs w:val="32"/>
          <w:shd w:val="clear" w:color="auto" w:fill="FFFFFF"/>
          <w:lang w:val="zh-CN"/>
        </w:rPr>
        <w:t>年度预算绩效自评工作的通知》（盐边财绩〔202</w:t>
      </w:r>
      <w:r>
        <w:rPr>
          <w:rFonts w:hint="eastAsia" w:ascii="仿宋_GB2312" w:hAnsi="仿宋_GB2312" w:eastAsia="仿宋_GB2312" w:cs="仿宋_GB2312"/>
          <w:color w:val="000000" w:themeColor="text1"/>
          <w:kern w:val="0"/>
          <w:sz w:val="32"/>
          <w:szCs w:val="32"/>
          <w:shd w:val="clear" w:color="auto" w:fill="FFFFFF"/>
        </w:rPr>
        <w:t>3</w:t>
      </w:r>
      <w:r>
        <w:rPr>
          <w:rFonts w:hint="eastAsia" w:ascii="仿宋_GB2312" w:hAnsi="仿宋_GB2312" w:eastAsia="仿宋_GB2312" w:cs="仿宋_GB2312"/>
          <w:color w:val="000000" w:themeColor="text1"/>
          <w:kern w:val="0"/>
          <w:sz w:val="32"/>
          <w:szCs w:val="32"/>
          <w:shd w:val="clear" w:color="auto" w:fill="FFFFFF"/>
          <w:lang w:val="zh-CN"/>
        </w:rPr>
        <w:t>〕</w:t>
      </w:r>
      <w:r>
        <w:rPr>
          <w:rFonts w:hint="eastAsia" w:ascii="仿宋_GB2312" w:hAnsi="仿宋_GB2312" w:eastAsia="仿宋_GB2312" w:cs="仿宋_GB2312"/>
          <w:color w:val="000000" w:themeColor="text1"/>
          <w:kern w:val="0"/>
          <w:sz w:val="32"/>
          <w:szCs w:val="32"/>
          <w:shd w:val="clear" w:color="auto" w:fill="FFFFFF"/>
        </w:rPr>
        <w:t>1</w:t>
      </w:r>
      <w:r>
        <w:rPr>
          <w:rFonts w:hint="eastAsia" w:ascii="仿宋_GB2312" w:hAnsi="仿宋_GB2312" w:eastAsia="仿宋_GB2312" w:cs="仿宋_GB2312"/>
          <w:color w:val="000000" w:themeColor="text1"/>
          <w:kern w:val="0"/>
          <w:sz w:val="32"/>
          <w:szCs w:val="32"/>
          <w:shd w:val="clear" w:color="auto" w:fill="FFFFFF"/>
          <w:lang w:val="zh-CN"/>
        </w:rPr>
        <w:t>号）专项绩效评定指标对各项目量化评价，将项目支出后的实际情况与项目申报的绩效目标进行对比分析。使项目申报更加精准，从而使项目资金减少结余。对我中心的绩效目标任务完成情况及时进行总结，并在规定时间内进行公开公示，自觉接受社会监督。</w:t>
      </w:r>
    </w:p>
    <w:p>
      <w:pPr>
        <w:widowControl/>
        <w:numPr>
          <w:ilvl w:val="0"/>
          <w:numId w:val="7"/>
        </w:numPr>
        <w:adjustRightInd w:val="0"/>
        <w:snapToGrid w:val="0"/>
        <w:spacing w:line="560" w:lineRule="exact"/>
        <w:ind w:firstLine="640" w:firstLineChars="200"/>
        <w:contextualSpacing/>
        <w:jc w:val="left"/>
        <w:rPr>
          <w:rFonts w:ascii="黑体" w:hAnsi="黑体" w:eastAsia="黑体" w:cs="楷体_GB2312"/>
          <w:bCs/>
          <w:color w:val="000000" w:themeColor="text1"/>
          <w:kern w:val="0"/>
          <w:sz w:val="32"/>
          <w:szCs w:val="32"/>
          <w:shd w:val="clear" w:color="auto" w:fill="FFFFFF"/>
          <w:lang w:val="zh-CN"/>
        </w:rPr>
      </w:pPr>
      <w:r>
        <w:rPr>
          <w:rFonts w:hint="eastAsia" w:ascii="黑体" w:hAnsi="黑体" w:eastAsia="黑体" w:cs="楷体_GB2312"/>
          <w:bCs/>
          <w:color w:val="000000" w:themeColor="text1"/>
          <w:kern w:val="0"/>
          <w:sz w:val="32"/>
          <w:szCs w:val="32"/>
          <w:shd w:val="clear" w:color="auto" w:fill="FFFFFF"/>
          <w:lang w:val="zh-CN"/>
        </w:rPr>
        <w:t>自评质量。</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单位</w:t>
      </w:r>
      <w:r>
        <w:rPr>
          <w:rFonts w:ascii="仿宋_GB2312" w:hAnsi="仿宋_GB2312" w:eastAsia="仿宋_GB2312" w:cs="仿宋_GB2312"/>
          <w:color w:val="000000" w:themeColor="text1"/>
          <w:kern w:val="0"/>
          <w:sz w:val="32"/>
          <w:szCs w:val="32"/>
          <w:shd w:val="clear" w:color="auto" w:fill="FFFFFF"/>
        </w:rPr>
        <w:t>整体绩效自评结果良好。</w:t>
      </w:r>
    </w:p>
    <w:p>
      <w:pPr>
        <w:widowControl/>
        <w:adjustRightInd w:val="0"/>
        <w:snapToGrid w:val="0"/>
        <w:spacing w:line="560" w:lineRule="exact"/>
        <w:ind w:firstLine="640" w:firstLineChars="200"/>
        <w:contextualSpacing/>
        <w:jc w:val="left"/>
        <w:rPr>
          <w:rFonts w:ascii="黑体" w:hAnsi="宋体" w:eastAsia="黑体" w:cs="宋体"/>
          <w:color w:val="000000" w:themeColor="text1"/>
          <w:kern w:val="0"/>
          <w:sz w:val="32"/>
          <w:szCs w:val="32"/>
          <w:shd w:val="clear" w:color="auto" w:fill="FFFFFF"/>
        </w:rPr>
      </w:pPr>
      <w:r>
        <w:rPr>
          <w:rFonts w:hint="eastAsia" w:ascii="黑体" w:hAnsi="宋体" w:eastAsia="黑体" w:cs="宋体"/>
          <w:color w:val="000000" w:themeColor="text1"/>
          <w:kern w:val="0"/>
          <w:sz w:val="32"/>
          <w:szCs w:val="32"/>
          <w:shd w:val="clear" w:color="auto" w:fill="FFFFFF"/>
        </w:rPr>
        <w:t>四、评价结论及建议</w:t>
      </w:r>
    </w:p>
    <w:p>
      <w:pPr>
        <w:widowControl/>
        <w:adjustRightInd w:val="0"/>
        <w:snapToGrid w:val="0"/>
        <w:spacing w:line="560" w:lineRule="exact"/>
        <w:ind w:firstLine="640" w:firstLineChars="200"/>
        <w:contextualSpacing/>
        <w:jc w:val="left"/>
        <w:rPr>
          <w:rFonts w:ascii="黑体" w:hAnsi="黑体" w:eastAsia="黑体" w:cs="楷体_GB2312"/>
          <w:bCs/>
          <w:color w:val="000000" w:themeColor="text1"/>
          <w:kern w:val="0"/>
          <w:sz w:val="32"/>
          <w:szCs w:val="32"/>
          <w:shd w:val="clear" w:color="auto" w:fill="FFFFFF"/>
          <w:lang w:val="zh-CN"/>
        </w:rPr>
      </w:pPr>
      <w:r>
        <w:rPr>
          <w:rFonts w:hint="eastAsia" w:ascii="黑体" w:hAnsi="黑体" w:eastAsia="黑体" w:cs="楷体_GB2312"/>
          <w:bCs/>
          <w:color w:val="000000" w:themeColor="text1"/>
          <w:kern w:val="0"/>
          <w:sz w:val="32"/>
          <w:szCs w:val="32"/>
          <w:shd w:val="clear" w:color="auto" w:fill="FFFFFF"/>
          <w:lang w:val="zh-CN"/>
        </w:rPr>
        <w:t>（一）评价结论。</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2022年度目标绩效基本完成，完成预算91.66%，有较少项目完成预算50%以上，原因在于年底商家未提供报账相关材料及县政府大楼电梯未完成采购流程，因此未及时支付资金。</w:t>
      </w:r>
    </w:p>
    <w:p>
      <w:pPr>
        <w:pStyle w:val="29"/>
        <w:widowControl/>
        <w:numPr>
          <w:ilvl w:val="0"/>
          <w:numId w:val="6"/>
        </w:numPr>
        <w:adjustRightInd w:val="0"/>
        <w:snapToGrid w:val="0"/>
        <w:spacing w:line="560" w:lineRule="exact"/>
        <w:ind w:firstLineChars="0"/>
        <w:contextualSpacing/>
        <w:jc w:val="left"/>
        <w:rPr>
          <w:rFonts w:ascii="黑体" w:hAnsi="黑体" w:eastAsia="黑体" w:cs="楷体_GB2312"/>
          <w:bCs/>
          <w:color w:val="000000" w:themeColor="text1"/>
          <w:kern w:val="0"/>
          <w:sz w:val="32"/>
          <w:szCs w:val="32"/>
          <w:shd w:val="clear" w:color="auto" w:fill="FFFFFF"/>
          <w:lang w:val="zh-CN"/>
        </w:rPr>
      </w:pPr>
      <w:r>
        <w:rPr>
          <w:rFonts w:hint="eastAsia" w:ascii="黑体" w:hAnsi="黑体" w:eastAsia="黑体" w:cs="楷体_GB2312"/>
          <w:bCs/>
          <w:color w:val="000000" w:themeColor="text1"/>
          <w:kern w:val="0"/>
          <w:sz w:val="32"/>
          <w:szCs w:val="32"/>
          <w:shd w:val="clear" w:color="auto" w:fill="FFFFFF"/>
          <w:lang w:val="zh-CN"/>
        </w:rPr>
        <w:t>存在问题。</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（1）项目资金未能按预算及时使用，项目推进力度有待进一步加强。</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（2）政府采购年初预算与实际执行偏差较大，政府采购预算编制准确性有待提高。</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（3）年末个别绩效目标中亦有少量指标未100%完成。</w:t>
      </w:r>
    </w:p>
    <w:p>
      <w:pPr>
        <w:widowControl/>
        <w:adjustRightInd w:val="0"/>
        <w:snapToGrid w:val="0"/>
        <w:spacing w:line="560" w:lineRule="exact"/>
        <w:ind w:firstLine="640" w:firstLineChars="200"/>
        <w:contextualSpacing/>
        <w:jc w:val="left"/>
        <w:rPr>
          <w:rFonts w:ascii="黑体" w:hAnsi="黑体" w:eastAsia="黑体" w:cs="楷体_GB2312"/>
          <w:bCs/>
          <w:color w:val="000000" w:themeColor="text1"/>
          <w:kern w:val="0"/>
          <w:sz w:val="32"/>
          <w:szCs w:val="32"/>
          <w:shd w:val="clear" w:color="auto" w:fill="FFFFFF"/>
          <w:lang w:val="zh-CN"/>
        </w:rPr>
      </w:pPr>
      <w:r>
        <w:rPr>
          <w:rFonts w:hint="eastAsia" w:ascii="黑体" w:hAnsi="黑体" w:eastAsia="黑体" w:cs="楷体_GB2312"/>
          <w:bCs/>
          <w:color w:val="000000" w:themeColor="text1"/>
          <w:kern w:val="0"/>
          <w:sz w:val="32"/>
          <w:szCs w:val="32"/>
          <w:shd w:val="clear" w:color="auto" w:fill="FFFFFF"/>
          <w:lang w:val="zh-CN"/>
        </w:rPr>
        <w:t>（三）改进建议。</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1）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（2）科学合理编制政府采购预算，强化政府采购预算执行，确保政府采购预算切合单位实际。</w:t>
      </w:r>
    </w:p>
    <w:p>
      <w:pPr>
        <w:widowControl/>
        <w:adjustRightInd w:val="0"/>
        <w:snapToGrid w:val="0"/>
        <w:spacing w:line="560" w:lineRule="exact"/>
        <w:ind w:firstLine="640" w:firstLineChars="200"/>
        <w:contextualSpacing/>
        <w:jc w:val="left"/>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（3）根据年初的绩效考核指标及预算绩效目标，扎实推进相关工作，确保考核指标及预算绩效目标按时、优质完成。</w:t>
      </w:r>
    </w:p>
    <w:p>
      <w:pPr>
        <w:pStyle w:val="15"/>
        <w:spacing w:line="560" w:lineRule="exact"/>
        <w:ind w:left="0" w:leftChars="0" w:firstLine="640"/>
        <w:rPr>
          <w:rFonts w:hAnsi="仿宋_GB2312" w:eastAsia="仿宋_GB2312" w:cs="仿宋_GB2312"/>
          <w:color w:val="000000" w:themeColor="text1"/>
          <w:sz w:val="32"/>
          <w:lang w:val="zh-CN"/>
        </w:rPr>
      </w:pPr>
      <w:r>
        <w:rPr>
          <w:rFonts w:hint="eastAsia" w:hAnsi="仿宋_GB2312" w:eastAsia="仿宋_GB2312" w:cs="仿宋_GB2312"/>
          <w:color w:val="000000" w:themeColor="text1"/>
          <w:sz w:val="32"/>
          <w:lang w:val="zh-CN"/>
        </w:rPr>
        <w:t>附表：</w:t>
      </w:r>
      <w:r>
        <w:rPr>
          <w:rFonts w:hint="eastAsia" w:hAnsi="仿宋_GB2312" w:eastAsia="仿宋_GB2312" w:cs="仿宋_GB2312"/>
          <w:color w:val="000000" w:themeColor="text1"/>
          <w:sz w:val="32"/>
        </w:rPr>
        <w:t>部门预算项目支出绩效自评表（2022年度）见附件</w:t>
      </w:r>
    </w:p>
    <w:p>
      <w:pPr>
        <w:pStyle w:val="15"/>
        <w:spacing w:line="560" w:lineRule="exact"/>
        <w:ind w:left="0" w:leftChars="0" w:firstLine="0" w:firstLineChars="0"/>
        <w:rPr>
          <w:color w:val="FF0000"/>
          <w:sz w:val="32"/>
          <w:lang w:val="zh-CN"/>
        </w:rPr>
      </w:pPr>
    </w:p>
    <w:p>
      <w:pPr>
        <w:spacing w:line="600" w:lineRule="exact"/>
        <w:outlineLvl w:val="0"/>
        <w:rPr>
          <w:rFonts w:ascii="楷体_GB2312" w:hAnsi="宋体" w:eastAsia="楷体_GB2312"/>
          <w:b/>
          <w:sz w:val="32"/>
          <w:szCs w:val="32"/>
          <w:lang w:val="zh-CN"/>
        </w:rPr>
      </w:pPr>
      <w:bookmarkStart w:id="53" w:name="_Toc15396618"/>
    </w:p>
    <w:p>
      <w:pPr>
        <w:spacing w:line="600" w:lineRule="exact"/>
        <w:outlineLvl w:val="0"/>
        <w:rPr>
          <w:rFonts w:ascii="楷体_GB2312" w:hAnsi="宋体" w:eastAsia="楷体_GB2312"/>
          <w:b/>
          <w:sz w:val="32"/>
          <w:szCs w:val="32"/>
          <w:lang w:val="zh-CN"/>
        </w:rPr>
      </w:pPr>
    </w:p>
    <w:p>
      <w:pPr>
        <w:spacing w:line="600" w:lineRule="exact"/>
        <w:outlineLvl w:val="0"/>
        <w:rPr>
          <w:rFonts w:ascii="楷体_GB2312" w:hAnsi="宋体" w:eastAsia="楷体_GB2312"/>
          <w:b/>
          <w:sz w:val="32"/>
          <w:szCs w:val="32"/>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30"/>
          <w:rFonts w:hint="eastAsia" w:ascii="黑体" w:hAnsi="黑体" w:eastAsia="黑体"/>
          <w:b w:val="0"/>
        </w:rPr>
        <w:t>五部分 附表</w:t>
      </w:r>
      <w:bookmarkEnd w:id="51"/>
      <w:bookmarkEnd w:id="53"/>
      <w:bookmarkStart w:id="54" w:name="_Toc15396619"/>
    </w:p>
    <w:p>
      <w:pPr>
        <w:pStyle w:val="4"/>
        <w:rPr>
          <w:rFonts w:ascii="仿宋" w:hAnsi="仿宋" w:eastAsia="仿宋"/>
        </w:rPr>
      </w:pPr>
      <w:r>
        <w:rPr>
          <w:rFonts w:hint="eastAsia" w:ascii="仿宋" w:hAnsi="仿宋" w:eastAsia="仿宋"/>
          <w:b w:val="0"/>
        </w:rPr>
        <w:t>一、收</w:t>
      </w:r>
      <w:r>
        <w:rPr>
          <w:rStyle w:val="31"/>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31"/>
          <w:rFonts w:hint="eastAsia" w:ascii="仿宋" w:hAnsi="仿宋" w:eastAsia="仿宋"/>
          <w:b w:val="0"/>
          <w:bCs w:val="0"/>
        </w:rPr>
        <w:t>入决算表</w:t>
      </w:r>
      <w:bookmarkEnd w:id="55"/>
    </w:p>
    <w:p>
      <w:pPr>
        <w:pStyle w:val="4"/>
        <w:rPr>
          <w:rFonts w:ascii="仿宋" w:hAnsi="仿宋" w:eastAsia="仿宋"/>
        </w:rPr>
      </w:pPr>
      <w:bookmarkStart w:id="56" w:name="_Toc15396621"/>
      <w:r>
        <w:rPr>
          <w:rStyle w:val="31"/>
          <w:rFonts w:hint="eastAsia" w:ascii="仿宋" w:hAnsi="仿宋" w:eastAsia="仿宋"/>
          <w:b w:val="0"/>
          <w:bCs w:val="0"/>
        </w:rPr>
        <w:t>三、</w:t>
      </w:r>
      <w:r>
        <w:rPr>
          <w:rFonts w:hint="eastAsia" w:ascii="仿宋" w:hAnsi="仿宋" w:eastAsia="仿宋"/>
          <w:b w:val="0"/>
        </w:rPr>
        <w:t>支</w:t>
      </w:r>
      <w:r>
        <w:rPr>
          <w:rStyle w:val="31"/>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31"/>
          <w:rFonts w:hint="eastAsia" w:ascii="仿宋" w:hAnsi="仿宋" w:eastAsia="仿宋"/>
          <w:b w:val="0"/>
          <w:bCs w:val="0"/>
        </w:rPr>
        <w:t>四、</w:t>
      </w:r>
      <w:r>
        <w:rPr>
          <w:rFonts w:hint="eastAsia" w:ascii="仿宋" w:hAnsi="仿宋" w:eastAsia="仿宋"/>
          <w:b w:val="0"/>
        </w:rPr>
        <w:t>财</w:t>
      </w:r>
      <w:r>
        <w:rPr>
          <w:rStyle w:val="31"/>
          <w:rFonts w:hint="eastAsia" w:ascii="仿宋" w:hAnsi="仿宋" w:eastAsia="仿宋"/>
          <w:b w:val="0"/>
          <w:bCs w:val="0"/>
        </w:rPr>
        <w:t>政拨款收入支出决算总表</w:t>
      </w:r>
      <w:bookmarkEnd w:id="57"/>
    </w:p>
    <w:p>
      <w:pPr>
        <w:pStyle w:val="4"/>
        <w:rPr>
          <w:rStyle w:val="31"/>
          <w:rFonts w:ascii="仿宋" w:hAnsi="仿宋" w:eastAsia="仿宋"/>
          <w:b w:val="0"/>
          <w:bCs w:val="0"/>
        </w:rPr>
      </w:pPr>
      <w:bookmarkStart w:id="58" w:name="_Toc15396623"/>
      <w:r>
        <w:rPr>
          <w:rStyle w:val="31"/>
          <w:rFonts w:hint="eastAsia" w:ascii="仿宋" w:hAnsi="仿宋" w:eastAsia="仿宋"/>
          <w:b w:val="0"/>
          <w:bCs w:val="0"/>
        </w:rPr>
        <w:t>五、</w:t>
      </w:r>
      <w:r>
        <w:rPr>
          <w:rFonts w:hint="eastAsia" w:ascii="仿宋" w:hAnsi="仿宋" w:eastAsia="仿宋"/>
          <w:b w:val="0"/>
        </w:rPr>
        <w:t>财</w:t>
      </w:r>
      <w:r>
        <w:rPr>
          <w:rStyle w:val="31"/>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31"/>
          <w:rFonts w:hint="eastAsia" w:ascii="仿宋" w:hAnsi="仿宋" w:eastAsia="仿宋"/>
          <w:b w:val="0"/>
          <w:bCs w:val="0"/>
        </w:rPr>
        <w:t>六、</w:t>
      </w:r>
      <w:r>
        <w:rPr>
          <w:rFonts w:hint="eastAsia" w:ascii="仿宋" w:hAnsi="仿宋" w:eastAsia="仿宋"/>
          <w:b w:val="0"/>
        </w:rPr>
        <w:t>一</w:t>
      </w:r>
      <w:r>
        <w:rPr>
          <w:rStyle w:val="31"/>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31"/>
          <w:rFonts w:hint="eastAsia" w:ascii="仿宋" w:hAnsi="仿宋" w:eastAsia="仿宋"/>
          <w:b w:val="0"/>
          <w:bCs w:val="0"/>
        </w:rPr>
        <w:t>七、</w:t>
      </w:r>
      <w:r>
        <w:rPr>
          <w:rFonts w:hint="eastAsia" w:ascii="仿宋" w:hAnsi="仿宋" w:eastAsia="仿宋"/>
          <w:b w:val="0"/>
        </w:rPr>
        <w:t>一</w:t>
      </w:r>
      <w:r>
        <w:rPr>
          <w:rStyle w:val="31"/>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31"/>
          <w:rFonts w:hint="eastAsia" w:ascii="仿宋" w:hAnsi="仿宋" w:eastAsia="仿宋"/>
          <w:b w:val="0"/>
          <w:bCs w:val="0"/>
        </w:rPr>
        <w:t>八、</w:t>
      </w:r>
      <w:r>
        <w:rPr>
          <w:rFonts w:hint="eastAsia" w:ascii="仿宋" w:hAnsi="仿宋" w:eastAsia="仿宋"/>
          <w:b w:val="0"/>
        </w:rPr>
        <w:t>一</w:t>
      </w:r>
      <w:r>
        <w:rPr>
          <w:rStyle w:val="31"/>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31"/>
          <w:rFonts w:hint="eastAsia" w:ascii="仿宋" w:hAnsi="仿宋" w:eastAsia="仿宋"/>
          <w:b w:val="0"/>
          <w:bCs w:val="0"/>
        </w:rPr>
        <w:t>九、</w:t>
      </w:r>
      <w:r>
        <w:rPr>
          <w:rFonts w:hint="eastAsia" w:ascii="仿宋" w:hAnsi="仿宋" w:eastAsia="仿宋"/>
          <w:b w:val="0"/>
        </w:rPr>
        <w:t>一</w:t>
      </w:r>
      <w:r>
        <w:rPr>
          <w:rStyle w:val="31"/>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31"/>
          <w:rFonts w:hint="eastAsia" w:ascii="仿宋" w:hAnsi="仿宋" w:eastAsia="仿宋"/>
          <w:b w:val="0"/>
          <w:bCs w:val="0"/>
        </w:rPr>
        <w:t>十、</w:t>
      </w:r>
      <w:bookmarkEnd w:id="63"/>
      <w:r>
        <w:rPr>
          <w:rFonts w:hint="eastAsia" w:ascii="仿宋" w:hAnsi="仿宋" w:eastAsia="仿宋"/>
          <w:b w:val="0"/>
        </w:rPr>
        <w:t>政</w:t>
      </w:r>
      <w:r>
        <w:rPr>
          <w:rStyle w:val="31"/>
          <w:rFonts w:hint="eastAsia" w:ascii="仿宋" w:hAnsi="仿宋" w:eastAsia="仿宋"/>
          <w:b w:val="0"/>
          <w:bCs w:val="0"/>
        </w:rPr>
        <w:t>府性基金预算财政拨款收入支出决算表</w:t>
      </w:r>
    </w:p>
    <w:p>
      <w:pPr>
        <w:pStyle w:val="4"/>
        <w:rPr>
          <w:rFonts w:ascii="仿宋" w:hAnsi="仿宋" w:eastAsia="仿宋"/>
        </w:rPr>
      </w:pPr>
      <w:bookmarkStart w:id="64" w:name="_Toc15396629"/>
      <w:r>
        <w:rPr>
          <w:rStyle w:val="31"/>
          <w:rFonts w:hint="eastAsia" w:ascii="仿宋" w:hAnsi="仿宋" w:eastAsia="仿宋"/>
          <w:b w:val="0"/>
          <w:bCs w:val="0"/>
        </w:rPr>
        <w:t>十一、</w:t>
      </w:r>
      <w:bookmarkEnd w:id="64"/>
      <w:r>
        <w:rPr>
          <w:rFonts w:hint="eastAsia" w:ascii="仿宋" w:hAnsi="仿宋" w:eastAsia="仿宋"/>
          <w:b w:val="0"/>
        </w:rPr>
        <w:t>国</w:t>
      </w:r>
      <w:r>
        <w:rPr>
          <w:rStyle w:val="31"/>
          <w:rFonts w:hint="eastAsia" w:ascii="仿宋" w:hAnsi="仿宋" w:eastAsia="仿宋"/>
          <w:b w:val="0"/>
          <w:bCs w:val="0"/>
        </w:rPr>
        <w:t>有资本经营预算财政拨款收入支出决算表</w:t>
      </w:r>
    </w:p>
    <w:p>
      <w:pPr>
        <w:pStyle w:val="4"/>
        <w:rPr>
          <w:rFonts w:ascii="仿宋" w:hAnsi="仿宋" w:eastAsia="仿宋"/>
        </w:rPr>
      </w:pPr>
      <w:bookmarkStart w:id="65" w:name="_Toc15396630"/>
      <w:r>
        <w:rPr>
          <w:rStyle w:val="31"/>
          <w:rFonts w:hint="eastAsia" w:ascii="仿宋" w:hAnsi="仿宋" w:eastAsia="仿宋"/>
          <w:b w:val="0"/>
          <w:bCs w:val="0"/>
        </w:rPr>
        <w:t>十二、</w:t>
      </w:r>
      <w:bookmarkEnd w:id="65"/>
      <w:r>
        <w:rPr>
          <w:rStyle w:val="31"/>
          <w:rFonts w:hint="eastAsia" w:ascii="仿宋" w:hAnsi="仿宋" w:eastAsia="仿宋"/>
          <w:b w:val="0"/>
          <w:bCs w:val="0"/>
        </w:rPr>
        <w:t>国有资本经营预算财政拨款支出决算表</w:t>
      </w:r>
    </w:p>
    <w:p>
      <w:pPr>
        <w:pStyle w:val="4"/>
        <w:rPr>
          <w:rStyle w:val="31"/>
          <w:rFonts w:ascii="仿宋" w:hAnsi="仿宋" w:eastAsia="仿宋"/>
          <w:b w:val="0"/>
          <w:bCs w:val="0"/>
        </w:rPr>
      </w:pPr>
      <w:bookmarkStart w:id="66" w:name="_Toc15396631"/>
      <w:r>
        <w:rPr>
          <w:rStyle w:val="31"/>
          <w:rFonts w:hint="eastAsia" w:ascii="仿宋" w:hAnsi="仿宋" w:eastAsia="仿宋"/>
          <w:b w:val="0"/>
          <w:bCs w:val="0"/>
        </w:rPr>
        <w:t>十三、</w:t>
      </w:r>
      <w:bookmarkEnd w:id="66"/>
      <w:r>
        <w:rPr>
          <w:rStyle w:val="31"/>
          <w:rFonts w:hint="eastAsia" w:ascii="仿宋" w:hAnsi="仿宋" w:eastAsia="仿宋"/>
          <w:b w:val="0"/>
          <w:bCs w:val="0"/>
        </w:rPr>
        <w:t>财政拨款“三公”经费支出决算表</w:t>
      </w:r>
    </w:p>
    <w:p/>
    <w:p>
      <w:pPr>
        <w:pStyle w:val="2"/>
        <w:spacing w:before="93"/>
      </w:pPr>
    </w:p>
    <w:p>
      <w:pPr>
        <w:pStyle w:val="2"/>
        <w:spacing w:before="93"/>
      </w:pPr>
      <w:r>
        <w:drawing>
          <wp:inline distT="0" distB="0" distL="0" distR="0">
            <wp:extent cx="6087110" cy="8627110"/>
            <wp:effectExtent l="19050" t="0" r="8449" b="0"/>
            <wp:docPr id="1" name="图片 0"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1.png"/>
                    <pic:cNvPicPr>
                      <a:picLocks noChangeAspect="1"/>
                    </pic:cNvPicPr>
                  </pic:nvPicPr>
                  <pic:blipFill>
                    <a:blip r:embed="rId15"/>
                    <a:stretch>
                      <a:fillRect/>
                    </a:stretch>
                  </pic:blipFill>
                  <pic:spPr>
                    <a:xfrm>
                      <a:off x="0" y="0"/>
                      <a:ext cx="6095591" cy="8638559"/>
                    </a:xfrm>
                    <a:prstGeom prst="rect">
                      <a:avLst/>
                    </a:prstGeom>
                  </pic:spPr>
                </pic:pic>
              </a:graphicData>
            </a:graphic>
          </wp:inline>
        </w:drawing>
      </w:r>
    </w:p>
    <w:p>
      <w:pPr>
        <w:pStyle w:val="2"/>
        <w:spacing w:before="93"/>
      </w:pPr>
      <w:r>
        <w:drawing>
          <wp:inline distT="0" distB="0" distL="0" distR="0">
            <wp:extent cx="6222365" cy="5794375"/>
            <wp:effectExtent l="0" t="0" r="6985" b="15875"/>
            <wp:docPr id="3" name="图片 2"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png"/>
                    <pic:cNvPicPr>
                      <a:picLocks noChangeAspect="1"/>
                    </pic:cNvPicPr>
                  </pic:nvPicPr>
                  <pic:blipFill>
                    <a:blip r:embed="rId16"/>
                    <a:stretch>
                      <a:fillRect/>
                    </a:stretch>
                  </pic:blipFill>
                  <pic:spPr>
                    <a:xfrm>
                      <a:off x="0" y="0"/>
                      <a:ext cx="6228486" cy="5794375"/>
                    </a:xfrm>
                    <a:prstGeom prst="rect">
                      <a:avLst/>
                    </a:prstGeom>
                  </pic:spPr>
                </pic:pic>
              </a:graphicData>
            </a:graphic>
          </wp:inline>
        </w:drawing>
      </w:r>
    </w:p>
    <w:p>
      <w:pPr>
        <w:pStyle w:val="2"/>
        <w:spacing w:before="93"/>
      </w:pPr>
      <w:r>
        <w:drawing>
          <wp:inline distT="0" distB="0" distL="0" distR="0">
            <wp:extent cx="6278245" cy="6586220"/>
            <wp:effectExtent l="0" t="0" r="8255" b="5080"/>
            <wp:docPr id="4" name="图片 3"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3.png"/>
                    <pic:cNvPicPr>
                      <a:picLocks noChangeAspect="1"/>
                    </pic:cNvPicPr>
                  </pic:nvPicPr>
                  <pic:blipFill>
                    <a:blip r:embed="rId17"/>
                    <a:stretch>
                      <a:fillRect/>
                    </a:stretch>
                  </pic:blipFill>
                  <pic:spPr>
                    <a:xfrm>
                      <a:off x="0" y="0"/>
                      <a:ext cx="6285431" cy="6586220"/>
                    </a:xfrm>
                    <a:prstGeom prst="rect">
                      <a:avLst/>
                    </a:prstGeom>
                  </pic:spPr>
                </pic:pic>
              </a:graphicData>
            </a:graphic>
          </wp:inline>
        </w:drawing>
      </w:r>
    </w:p>
    <w:p>
      <w:pPr>
        <w:pStyle w:val="2"/>
        <w:spacing w:before="93"/>
      </w:pPr>
    </w:p>
    <w:p>
      <w:pPr>
        <w:pStyle w:val="2"/>
        <w:spacing w:before="93"/>
      </w:pPr>
      <w:r>
        <w:drawing>
          <wp:inline distT="0" distB="0" distL="0" distR="0">
            <wp:extent cx="6221730" cy="8293100"/>
            <wp:effectExtent l="19050" t="0" r="7470" b="0"/>
            <wp:docPr id="5" name="图片 4"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4.png"/>
                    <pic:cNvPicPr>
                      <a:picLocks noChangeAspect="1"/>
                    </pic:cNvPicPr>
                  </pic:nvPicPr>
                  <pic:blipFill>
                    <a:blip r:embed="rId18"/>
                    <a:stretch>
                      <a:fillRect/>
                    </a:stretch>
                  </pic:blipFill>
                  <pic:spPr>
                    <a:xfrm>
                      <a:off x="0" y="0"/>
                      <a:ext cx="6230074" cy="8304133"/>
                    </a:xfrm>
                    <a:prstGeom prst="rect">
                      <a:avLst/>
                    </a:prstGeom>
                  </pic:spPr>
                </pic:pic>
              </a:graphicData>
            </a:graphic>
          </wp:inline>
        </w:drawing>
      </w:r>
    </w:p>
    <w:p>
      <w:pPr>
        <w:pStyle w:val="2"/>
        <w:spacing w:before="93"/>
      </w:pPr>
    </w:p>
    <w:p>
      <w:pPr>
        <w:pStyle w:val="2"/>
        <w:spacing w:before="93"/>
      </w:pPr>
      <w:r>
        <w:drawing>
          <wp:inline distT="0" distB="0" distL="0" distR="0">
            <wp:extent cx="6285865" cy="9088120"/>
            <wp:effectExtent l="19050" t="0" r="167" b="0"/>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noChangeArrowheads="1"/>
                    </pic:cNvPicPr>
                  </pic:nvPicPr>
                  <pic:blipFill>
                    <a:blip r:embed="rId19"/>
                    <a:srcRect/>
                    <a:stretch>
                      <a:fillRect/>
                    </a:stretch>
                  </pic:blipFill>
                  <pic:spPr>
                    <a:xfrm>
                      <a:off x="0" y="0"/>
                      <a:ext cx="6287129" cy="9089491"/>
                    </a:xfrm>
                    <a:prstGeom prst="rect">
                      <a:avLst/>
                    </a:prstGeom>
                    <a:noFill/>
                    <a:ln w="9525">
                      <a:noFill/>
                      <a:miter lim="800000"/>
                      <a:headEnd/>
                      <a:tailEnd/>
                    </a:ln>
                  </pic:spPr>
                </pic:pic>
              </a:graphicData>
            </a:graphic>
          </wp:inline>
        </w:drawing>
      </w:r>
    </w:p>
    <w:p>
      <w:pPr>
        <w:pStyle w:val="2"/>
        <w:spacing w:before="93"/>
      </w:pPr>
      <w:r>
        <w:rPr>
          <w:rFonts w:hint="eastAsia"/>
        </w:rPr>
        <w:drawing>
          <wp:inline distT="0" distB="0" distL="0" distR="0">
            <wp:extent cx="6200140" cy="8801735"/>
            <wp:effectExtent l="19050" t="0" r="0" b="0"/>
            <wp:docPr id="11" name="图片 10"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6.png"/>
                    <pic:cNvPicPr>
                      <a:picLocks noChangeAspect="1"/>
                    </pic:cNvPicPr>
                  </pic:nvPicPr>
                  <pic:blipFill>
                    <a:blip r:embed="rId20"/>
                    <a:stretch>
                      <a:fillRect/>
                    </a:stretch>
                  </pic:blipFill>
                  <pic:spPr>
                    <a:xfrm>
                      <a:off x="0" y="0"/>
                      <a:ext cx="6207212" cy="8811663"/>
                    </a:xfrm>
                    <a:prstGeom prst="rect">
                      <a:avLst/>
                    </a:prstGeom>
                  </pic:spPr>
                </pic:pic>
              </a:graphicData>
            </a:graphic>
          </wp:inline>
        </w:drawing>
      </w:r>
    </w:p>
    <w:p>
      <w:pPr>
        <w:pStyle w:val="2"/>
        <w:spacing w:before="93"/>
      </w:pPr>
      <w:r>
        <w:rPr>
          <w:rFonts w:hint="eastAsia"/>
        </w:rPr>
        <w:drawing>
          <wp:inline distT="0" distB="0" distL="0" distR="0">
            <wp:extent cx="6360795" cy="4150360"/>
            <wp:effectExtent l="19050" t="0" r="1297" b="0"/>
            <wp:docPr id="40" name="图片 39"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descr="7.1.png"/>
                    <pic:cNvPicPr>
                      <a:picLocks noChangeAspect="1"/>
                    </pic:cNvPicPr>
                  </pic:nvPicPr>
                  <pic:blipFill>
                    <a:blip r:embed="rId21"/>
                    <a:stretch>
                      <a:fillRect/>
                    </a:stretch>
                  </pic:blipFill>
                  <pic:spPr>
                    <a:xfrm>
                      <a:off x="0" y="0"/>
                      <a:ext cx="6375754" cy="4159944"/>
                    </a:xfrm>
                    <a:prstGeom prst="rect">
                      <a:avLst/>
                    </a:prstGeom>
                  </pic:spPr>
                </pic:pic>
              </a:graphicData>
            </a:graphic>
          </wp:inline>
        </w:drawing>
      </w:r>
    </w:p>
    <w:p>
      <w:pPr>
        <w:pStyle w:val="2"/>
        <w:spacing w:before="93"/>
      </w:pPr>
      <w:r>
        <w:rPr>
          <w:rFonts w:hint="eastAsia"/>
        </w:rPr>
        <w:drawing>
          <wp:inline distT="0" distB="0" distL="0" distR="0">
            <wp:extent cx="6360795" cy="4627245"/>
            <wp:effectExtent l="19050" t="0" r="1376" b="0"/>
            <wp:docPr id="41" name="图片 40"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descr="7.2.png"/>
                    <pic:cNvPicPr>
                      <a:picLocks noChangeAspect="1"/>
                    </pic:cNvPicPr>
                  </pic:nvPicPr>
                  <pic:blipFill>
                    <a:blip r:embed="rId22"/>
                    <a:stretch>
                      <a:fillRect/>
                    </a:stretch>
                  </pic:blipFill>
                  <pic:spPr>
                    <a:xfrm>
                      <a:off x="0" y="0"/>
                      <a:ext cx="6367635" cy="4632250"/>
                    </a:xfrm>
                    <a:prstGeom prst="rect">
                      <a:avLst/>
                    </a:prstGeom>
                  </pic:spPr>
                </pic:pic>
              </a:graphicData>
            </a:graphic>
          </wp:inline>
        </w:drawing>
      </w:r>
    </w:p>
    <w:p>
      <w:pPr>
        <w:pStyle w:val="2"/>
        <w:spacing w:before="93"/>
      </w:pPr>
      <w:r>
        <w:drawing>
          <wp:inline distT="0" distB="0" distL="0" distR="0">
            <wp:extent cx="6292850" cy="8928735"/>
            <wp:effectExtent l="19050" t="0" r="0" b="0"/>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noChangeArrowheads="1"/>
                    </pic:cNvPicPr>
                  </pic:nvPicPr>
                  <pic:blipFill>
                    <a:blip r:embed="rId23"/>
                    <a:srcRect/>
                    <a:stretch>
                      <a:fillRect/>
                    </a:stretch>
                  </pic:blipFill>
                  <pic:spPr>
                    <a:xfrm>
                      <a:off x="0" y="0"/>
                      <a:ext cx="6299835" cy="8938521"/>
                    </a:xfrm>
                    <a:prstGeom prst="rect">
                      <a:avLst/>
                    </a:prstGeom>
                    <a:noFill/>
                    <a:ln w="9525">
                      <a:noFill/>
                      <a:miter lim="800000"/>
                      <a:headEnd/>
                      <a:tailEnd/>
                    </a:ln>
                  </pic:spPr>
                </pic:pic>
              </a:graphicData>
            </a:graphic>
          </wp:inline>
        </w:drawing>
      </w:r>
    </w:p>
    <w:p>
      <w:pPr>
        <w:pStyle w:val="2"/>
        <w:spacing w:before="93"/>
      </w:pPr>
      <w:r>
        <w:drawing>
          <wp:inline distT="0" distB="0" distL="0" distR="0">
            <wp:extent cx="6200140" cy="8261350"/>
            <wp:effectExtent l="19050" t="0" r="0" b="0"/>
            <wp:docPr id="3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1"/>
                    <pic:cNvPicPr>
                      <a:picLocks noChangeAspect="1" noChangeArrowheads="1"/>
                    </pic:cNvPicPr>
                  </pic:nvPicPr>
                  <pic:blipFill>
                    <a:blip r:embed="rId24"/>
                    <a:srcRect/>
                    <a:stretch>
                      <a:fillRect/>
                    </a:stretch>
                  </pic:blipFill>
                  <pic:spPr>
                    <a:xfrm>
                      <a:off x="0" y="0"/>
                      <a:ext cx="6210172" cy="8274331"/>
                    </a:xfrm>
                    <a:prstGeom prst="rect">
                      <a:avLst/>
                    </a:prstGeom>
                    <a:noFill/>
                    <a:ln w="9525">
                      <a:noFill/>
                      <a:miter lim="800000"/>
                      <a:headEnd/>
                      <a:tailEnd/>
                    </a:ln>
                  </pic:spPr>
                </pic:pic>
              </a:graphicData>
            </a:graphic>
          </wp:inline>
        </w:drawing>
      </w:r>
    </w:p>
    <w:p>
      <w:pPr>
        <w:pStyle w:val="2"/>
        <w:spacing w:before="93"/>
      </w:pPr>
    </w:p>
    <w:p>
      <w:pPr>
        <w:pStyle w:val="2"/>
        <w:spacing w:before="93"/>
      </w:pPr>
      <w:r>
        <w:drawing>
          <wp:inline distT="0" distB="0" distL="0" distR="0">
            <wp:extent cx="6292850" cy="6631305"/>
            <wp:effectExtent l="19050" t="0" r="0" b="0"/>
            <wp:docPr id="3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7"/>
                    <pic:cNvPicPr>
                      <a:picLocks noChangeAspect="1" noChangeArrowheads="1"/>
                    </pic:cNvPicPr>
                  </pic:nvPicPr>
                  <pic:blipFill>
                    <a:blip r:embed="rId25"/>
                    <a:srcRect/>
                    <a:stretch>
                      <a:fillRect/>
                    </a:stretch>
                  </pic:blipFill>
                  <pic:spPr>
                    <a:xfrm>
                      <a:off x="0" y="0"/>
                      <a:ext cx="6299835" cy="6638225"/>
                    </a:xfrm>
                    <a:prstGeom prst="rect">
                      <a:avLst/>
                    </a:prstGeom>
                    <a:noFill/>
                    <a:ln w="9525">
                      <a:noFill/>
                      <a:miter lim="800000"/>
                      <a:headEnd/>
                      <a:tailEnd/>
                    </a:ln>
                  </pic:spPr>
                </pic:pic>
              </a:graphicData>
            </a:graphic>
          </wp:inline>
        </w:drawing>
      </w:r>
    </w:p>
    <w:p>
      <w:pPr>
        <w:pStyle w:val="2"/>
        <w:spacing w:before="93"/>
      </w:pPr>
      <w:r>
        <w:drawing>
          <wp:inline distT="0" distB="0" distL="0" distR="0">
            <wp:extent cx="6294120" cy="7346950"/>
            <wp:effectExtent l="19050" t="0" r="0" b="0"/>
            <wp:docPr id="3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0"/>
                    <pic:cNvPicPr>
                      <a:picLocks noChangeAspect="1" noChangeArrowheads="1"/>
                    </pic:cNvPicPr>
                  </pic:nvPicPr>
                  <pic:blipFill>
                    <a:blip r:embed="rId26"/>
                    <a:srcRect/>
                    <a:stretch>
                      <a:fillRect/>
                    </a:stretch>
                  </pic:blipFill>
                  <pic:spPr>
                    <a:xfrm>
                      <a:off x="0" y="0"/>
                      <a:ext cx="6299835" cy="7353483"/>
                    </a:xfrm>
                    <a:prstGeom prst="rect">
                      <a:avLst/>
                    </a:prstGeom>
                    <a:noFill/>
                    <a:ln w="9525">
                      <a:noFill/>
                      <a:miter lim="800000"/>
                      <a:headEnd/>
                      <a:tailEnd/>
                    </a:ln>
                  </pic:spPr>
                </pic:pic>
              </a:graphicData>
            </a:graphic>
          </wp:inline>
        </w:drawing>
      </w:r>
    </w:p>
    <w:p>
      <w:pPr>
        <w:pStyle w:val="2"/>
        <w:spacing w:before="93"/>
      </w:pPr>
      <w:r>
        <w:drawing>
          <wp:inline distT="0" distB="0" distL="0" distR="0">
            <wp:extent cx="6292850" cy="6663055"/>
            <wp:effectExtent l="19050" t="0" r="0" b="0"/>
            <wp:docPr id="3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3"/>
                    <pic:cNvPicPr>
                      <a:picLocks noChangeAspect="1" noChangeArrowheads="1"/>
                    </pic:cNvPicPr>
                  </pic:nvPicPr>
                  <pic:blipFill>
                    <a:blip r:embed="rId27"/>
                    <a:srcRect/>
                    <a:stretch>
                      <a:fillRect/>
                    </a:stretch>
                  </pic:blipFill>
                  <pic:spPr>
                    <a:xfrm>
                      <a:off x="0" y="0"/>
                      <a:ext cx="6299835" cy="6670062"/>
                    </a:xfrm>
                    <a:prstGeom prst="rect">
                      <a:avLst/>
                    </a:prstGeom>
                    <a:noFill/>
                    <a:ln w="9525">
                      <a:noFill/>
                      <a:miter lim="800000"/>
                      <a:headEnd/>
                      <a:tailEnd/>
                    </a:ln>
                  </pic:spPr>
                </pic:pic>
              </a:graphicData>
            </a:graphic>
          </wp:inline>
        </w:drawing>
      </w:r>
    </w:p>
    <w:p>
      <w:pPr>
        <w:pStyle w:val="2"/>
        <w:spacing w:before="93"/>
      </w:pPr>
      <w:r>
        <w:drawing>
          <wp:inline distT="0" distB="0" distL="0" distR="0">
            <wp:extent cx="6373495" cy="6122035"/>
            <wp:effectExtent l="19050" t="0" r="7952" b="0"/>
            <wp:docPr id="3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6"/>
                    <pic:cNvPicPr>
                      <a:picLocks noChangeAspect="1" noChangeArrowheads="1"/>
                    </pic:cNvPicPr>
                  </pic:nvPicPr>
                  <pic:blipFill>
                    <a:blip r:embed="rId28"/>
                    <a:srcRect/>
                    <a:stretch>
                      <a:fillRect/>
                    </a:stretch>
                  </pic:blipFill>
                  <pic:spPr>
                    <a:xfrm>
                      <a:off x="0" y="0"/>
                      <a:ext cx="6380370" cy="6128817"/>
                    </a:xfrm>
                    <a:prstGeom prst="rect">
                      <a:avLst/>
                    </a:prstGeom>
                    <a:noFill/>
                    <a:ln w="9525">
                      <a:noFill/>
                      <a:miter lim="800000"/>
                      <a:headEnd/>
                      <a:tailEnd/>
                    </a:ln>
                  </pic:spPr>
                </pic:pic>
              </a:graphicData>
            </a:graphic>
          </wp:inline>
        </w:drawing>
      </w:r>
    </w:p>
    <w:sectPr>
      <w:footerReference r:id="rId6" w:type="first"/>
      <w:pgSz w:w="11906" w:h="16838"/>
      <w:pgMar w:top="851" w:right="1134" w:bottom="1440" w:left="1134"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Luxi Sans">
    <w:altName w:val="Segoe Print"/>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4"/>
      </w:rPr>
      <w:id w:val="-722143964"/>
    </w:sdtPr>
    <w:sdtEndPr>
      <w:rPr>
        <w:rFonts w:asciiTheme="minorEastAsia" w:hAnsiTheme="minorEastAsia" w:eastAsiaTheme="minorEastAsia"/>
        <w:sz w:val="24"/>
      </w:rPr>
    </w:sdtEndPr>
    <w:sdtContent>
      <w:p>
        <w:pPr>
          <w:pStyle w:val="10"/>
          <w:jc w:val="right"/>
          <w:rPr>
            <w:rFonts w:asciiTheme="minorEastAsia" w:hAnsiTheme="minorEastAsia" w:eastAsiaTheme="minorEastAsia"/>
            <w:sz w:val="24"/>
          </w:rPr>
        </w:pPr>
        <w:r>
          <w:rPr>
            <w:rFonts w:asciiTheme="minorEastAsia" w:hAnsiTheme="minorEastAsia" w:eastAsiaTheme="minorEastAsia"/>
            <w:sz w:val="24"/>
          </w:rPr>
          <w:fldChar w:fldCharType="begin"/>
        </w:r>
        <w:r>
          <w:rPr>
            <w:rFonts w:asciiTheme="minorEastAsia" w:hAnsiTheme="minorEastAsia" w:eastAsiaTheme="minorEastAsia"/>
            <w:sz w:val="24"/>
          </w:rPr>
          <w:instrText xml:space="preserve">PAGE   \* MERGEFORMAT</w:instrText>
        </w:r>
        <w:r>
          <w:rPr>
            <w:rFonts w:asciiTheme="minorEastAsia" w:hAnsiTheme="minorEastAsia" w:eastAsiaTheme="minorEastAsia"/>
            <w:sz w:val="24"/>
          </w:rPr>
          <w:fldChar w:fldCharType="separate"/>
        </w:r>
        <w:r>
          <w:rPr>
            <w:rFonts w:asciiTheme="minorEastAsia" w:hAnsiTheme="minorEastAsia" w:eastAsiaTheme="minorEastAsia"/>
            <w:sz w:val="24"/>
            <w:lang w:val="zh-CN"/>
          </w:rPr>
          <w:t>-</w:t>
        </w:r>
        <w:r>
          <w:rPr>
            <w:rFonts w:asciiTheme="minorEastAsia" w:hAnsiTheme="minorEastAsia" w:eastAsiaTheme="minorEastAsia"/>
            <w:sz w:val="24"/>
          </w:rPr>
          <w:t xml:space="preserve"> 7 -</w:t>
        </w:r>
        <w:r>
          <w:rPr>
            <w:rFonts w:asciiTheme="minorEastAsia" w:hAnsiTheme="minorEastAsia" w:eastAsiaTheme="minorEastAsia"/>
            <w:sz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4"/>
      </w:rPr>
      <w:id w:val="1025600823"/>
    </w:sdtPr>
    <w:sdtEndPr>
      <w:rPr>
        <w:rFonts w:asciiTheme="minorEastAsia" w:hAnsiTheme="minorEastAsia" w:eastAsiaTheme="minorEastAsia"/>
        <w:sz w:val="24"/>
      </w:rPr>
    </w:sdtEndPr>
    <w:sdtContent>
      <w:p>
        <w:pPr>
          <w:pStyle w:val="10"/>
          <w:rPr>
            <w:rFonts w:asciiTheme="minorEastAsia" w:hAnsiTheme="minorEastAsia" w:eastAsiaTheme="minorEastAsia"/>
            <w:sz w:val="24"/>
          </w:rPr>
        </w:pPr>
        <w:r>
          <w:rPr>
            <w:rFonts w:asciiTheme="minorEastAsia" w:hAnsiTheme="minorEastAsia" w:eastAsiaTheme="minorEastAsia"/>
            <w:sz w:val="24"/>
          </w:rPr>
          <w:fldChar w:fldCharType="begin"/>
        </w:r>
        <w:r>
          <w:rPr>
            <w:rFonts w:asciiTheme="minorEastAsia" w:hAnsiTheme="minorEastAsia" w:eastAsiaTheme="minorEastAsia"/>
            <w:sz w:val="24"/>
          </w:rPr>
          <w:instrText xml:space="preserve">PAGE   \* MERGEFORMAT</w:instrText>
        </w:r>
        <w:r>
          <w:rPr>
            <w:rFonts w:asciiTheme="minorEastAsia" w:hAnsiTheme="minorEastAsia" w:eastAsiaTheme="minorEastAsia"/>
            <w:sz w:val="24"/>
          </w:rPr>
          <w:fldChar w:fldCharType="separate"/>
        </w:r>
        <w:r>
          <w:rPr>
            <w:rFonts w:asciiTheme="minorEastAsia" w:hAnsiTheme="minorEastAsia" w:eastAsiaTheme="minorEastAsia"/>
            <w:sz w:val="24"/>
            <w:lang w:val="zh-CN"/>
          </w:rPr>
          <w:t>-</w:t>
        </w:r>
        <w:r>
          <w:rPr>
            <w:rFonts w:asciiTheme="minorEastAsia" w:hAnsiTheme="minorEastAsia" w:eastAsiaTheme="minorEastAsia"/>
            <w:sz w:val="24"/>
          </w:rPr>
          <w:t xml:space="preserve"> 10 -</w:t>
        </w:r>
        <w:r>
          <w:rPr>
            <w:rFonts w:asciiTheme="minorEastAsia" w:hAnsiTheme="minorEastAsia" w:eastAsiaTheme="minorEastAsia"/>
            <w:sz w:val="24"/>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2216015"/>
    </w:sdtPr>
    <w:sdtEndPr>
      <w:rPr>
        <w:rFonts w:asciiTheme="minorEastAsia" w:hAnsiTheme="minorEastAsia" w:eastAsiaTheme="minorEastAsia"/>
        <w:sz w:val="24"/>
      </w:rPr>
    </w:sdtEndPr>
    <w:sdtContent>
      <w:p>
        <w:pPr>
          <w:pStyle w:val="10"/>
          <w:jc w:val="right"/>
          <w:rPr>
            <w:rFonts w:asciiTheme="minorEastAsia" w:hAnsiTheme="minorEastAsia" w:eastAsiaTheme="minorEastAsia"/>
            <w:sz w:val="24"/>
          </w:rPr>
        </w:pPr>
        <w:r>
          <w:rPr>
            <w:rFonts w:asciiTheme="minorEastAsia" w:hAnsiTheme="minorEastAsia" w:eastAsiaTheme="minorEastAsia"/>
            <w:sz w:val="24"/>
          </w:rPr>
          <w:fldChar w:fldCharType="begin"/>
        </w:r>
        <w:r>
          <w:rPr>
            <w:rFonts w:asciiTheme="minorEastAsia" w:hAnsiTheme="minorEastAsia" w:eastAsiaTheme="minorEastAsia"/>
            <w:sz w:val="24"/>
          </w:rPr>
          <w:instrText xml:space="preserve">PAGE   \* MERGEFORMAT</w:instrText>
        </w:r>
        <w:r>
          <w:rPr>
            <w:rFonts w:asciiTheme="minorEastAsia" w:hAnsiTheme="minorEastAsia" w:eastAsiaTheme="minorEastAsia"/>
            <w:sz w:val="24"/>
          </w:rPr>
          <w:fldChar w:fldCharType="separate"/>
        </w:r>
        <w:r>
          <w:rPr>
            <w:rFonts w:asciiTheme="minorEastAsia" w:hAnsiTheme="minorEastAsia" w:eastAsiaTheme="minorEastAsia"/>
            <w:sz w:val="24"/>
            <w:lang w:val="zh-CN"/>
          </w:rPr>
          <w:t>-</w:t>
        </w:r>
        <w:r>
          <w:rPr>
            <w:rFonts w:asciiTheme="minorEastAsia" w:hAnsiTheme="minorEastAsia" w:eastAsiaTheme="minorEastAsia"/>
            <w:sz w:val="24"/>
          </w:rPr>
          <w:t xml:space="preserve"> 1 -</w:t>
        </w:r>
        <w:r>
          <w:rPr>
            <w:rFonts w:asciiTheme="minorEastAsia" w:hAnsiTheme="minorEastAsia" w:eastAsiaTheme="minorEastAsia"/>
            <w:sz w:val="24"/>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EBEF323"/>
    <w:multiLevelType w:val="singleLevel"/>
    <w:tmpl w:val="DEBEF323"/>
    <w:lvl w:ilvl="0" w:tentative="0">
      <w:start w:val="4"/>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FF674BC"/>
    <w:multiLevelType w:val="singleLevel"/>
    <w:tmpl w:val="FFF674BC"/>
    <w:lvl w:ilvl="0" w:tentative="0">
      <w:start w:val="1"/>
      <w:numFmt w:val="chineseCounting"/>
      <w:suff w:val="nothing"/>
      <w:lvlText w:val="%1、"/>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lang w:val="en-US"/>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6BB84226"/>
    <w:multiLevelType w:val="multilevel"/>
    <w:tmpl w:val="6BB84226"/>
    <w:lvl w:ilvl="0" w:tentative="0">
      <w:start w:val="1"/>
      <w:numFmt w:val="japaneseCounting"/>
      <w:lvlText w:val="（%1）"/>
      <w:lvlJc w:val="left"/>
      <w:pPr>
        <w:ind w:left="1648" w:hanging="1005"/>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6">
    <w:nsid w:val="7CD959A5"/>
    <w:multiLevelType w:val="multilevel"/>
    <w:tmpl w:val="7CD959A5"/>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4"/>
  </w:num>
  <w:num w:numId="3">
    <w:abstractNumId w:val="0"/>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QzZDVmMTI1ZWI2YWFjMjQ1MzJhMzY5MTg2YjQ2OTQifQ=="/>
  </w:docVars>
  <w:rsids>
    <w:rsidRoot w:val="00F1361C"/>
    <w:rsid w:val="000142FB"/>
    <w:rsid w:val="000222C6"/>
    <w:rsid w:val="0002549F"/>
    <w:rsid w:val="000468DB"/>
    <w:rsid w:val="0006487A"/>
    <w:rsid w:val="00065F8F"/>
    <w:rsid w:val="00070A43"/>
    <w:rsid w:val="000768F2"/>
    <w:rsid w:val="00085062"/>
    <w:rsid w:val="0009184B"/>
    <w:rsid w:val="00094236"/>
    <w:rsid w:val="0009593C"/>
    <w:rsid w:val="00097322"/>
    <w:rsid w:val="000A6A92"/>
    <w:rsid w:val="000B047F"/>
    <w:rsid w:val="000B1D1B"/>
    <w:rsid w:val="000B5923"/>
    <w:rsid w:val="000B5A48"/>
    <w:rsid w:val="000B6FF3"/>
    <w:rsid w:val="000B7774"/>
    <w:rsid w:val="000B7A80"/>
    <w:rsid w:val="000C123E"/>
    <w:rsid w:val="000C3467"/>
    <w:rsid w:val="000C3CA6"/>
    <w:rsid w:val="000D1267"/>
    <w:rsid w:val="000D1D50"/>
    <w:rsid w:val="000D5782"/>
    <w:rsid w:val="000E6613"/>
    <w:rsid w:val="000E7119"/>
    <w:rsid w:val="00114E9B"/>
    <w:rsid w:val="00115EF5"/>
    <w:rsid w:val="00142216"/>
    <w:rsid w:val="00144D6A"/>
    <w:rsid w:val="0014729F"/>
    <w:rsid w:val="00157BAB"/>
    <w:rsid w:val="00161E6A"/>
    <w:rsid w:val="001654D1"/>
    <w:rsid w:val="00174518"/>
    <w:rsid w:val="0017613D"/>
    <w:rsid w:val="0018106D"/>
    <w:rsid w:val="001877A7"/>
    <w:rsid w:val="00191536"/>
    <w:rsid w:val="00196687"/>
    <w:rsid w:val="001A73ED"/>
    <w:rsid w:val="001B6038"/>
    <w:rsid w:val="001C0962"/>
    <w:rsid w:val="001D7531"/>
    <w:rsid w:val="001E737D"/>
    <w:rsid w:val="001F0592"/>
    <w:rsid w:val="001F7506"/>
    <w:rsid w:val="002006CD"/>
    <w:rsid w:val="00202B36"/>
    <w:rsid w:val="00204B7A"/>
    <w:rsid w:val="00204CDE"/>
    <w:rsid w:val="0021101A"/>
    <w:rsid w:val="00220536"/>
    <w:rsid w:val="0022527F"/>
    <w:rsid w:val="00235629"/>
    <w:rsid w:val="002363AC"/>
    <w:rsid w:val="00260C38"/>
    <w:rsid w:val="002616C0"/>
    <w:rsid w:val="00261D6D"/>
    <w:rsid w:val="002647E5"/>
    <w:rsid w:val="00265372"/>
    <w:rsid w:val="002662AA"/>
    <w:rsid w:val="00273943"/>
    <w:rsid w:val="00280496"/>
    <w:rsid w:val="00294DC9"/>
    <w:rsid w:val="00295495"/>
    <w:rsid w:val="002A31DE"/>
    <w:rsid w:val="002A66F7"/>
    <w:rsid w:val="002B2613"/>
    <w:rsid w:val="002D6D05"/>
    <w:rsid w:val="002E10EC"/>
    <w:rsid w:val="002E3B6E"/>
    <w:rsid w:val="002F1818"/>
    <w:rsid w:val="002F567B"/>
    <w:rsid w:val="003216A9"/>
    <w:rsid w:val="00335A74"/>
    <w:rsid w:val="00345A2B"/>
    <w:rsid w:val="0036561B"/>
    <w:rsid w:val="00366F65"/>
    <w:rsid w:val="0037013F"/>
    <w:rsid w:val="00380497"/>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35EB"/>
    <w:rsid w:val="00406254"/>
    <w:rsid w:val="004223DE"/>
    <w:rsid w:val="00434489"/>
    <w:rsid w:val="00437085"/>
    <w:rsid w:val="00443880"/>
    <w:rsid w:val="004464F4"/>
    <w:rsid w:val="0046576D"/>
    <w:rsid w:val="00466256"/>
    <w:rsid w:val="00470E0D"/>
    <w:rsid w:val="00471401"/>
    <w:rsid w:val="00473F31"/>
    <w:rsid w:val="0048263A"/>
    <w:rsid w:val="00487E5D"/>
    <w:rsid w:val="004955FE"/>
    <w:rsid w:val="004A6A10"/>
    <w:rsid w:val="004A711F"/>
    <w:rsid w:val="004B199D"/>
    <w:rsid w:val="004B4690"/>
    <w:rsid w:val="004C78FC"/>
    <w:rsid w:val="004E0A2D"/>
    <w:rsid w:val="004E206B"/>
    <w:rsid w:val="004E5AD9"/>
    <w:rsid w:val="004E6DF7"/>
    <w:rsid w:val="004F0FBD"/>
    <w:rsid w:val="00505A47"/>
    <w:rsid w:val="00506413"/>
    <w:rsid w:val="00512FDA"/>
    <w:rsid w:val="0051436A"/>
    <w:rsid w:val="00520DA0"/>
    <w:rsid w:val="00530938"/>
    <w:rsid w:val="0056015E"/>
    <w:rsid w:val="005664BB"/>
    <w:rsid w:val="00566FFA"/>
    <w:rsid w:val="0057481D"/>
    <w:rsid w:val="0058486E"/>
    <w:rsid w:val="00585B33"/>
    <w:rsid w:val="0059014D"/>
    <w:rsid w:val="005A3796"/>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369E6"/>
    <w:rsid w:val="00642FBC"/>
    <w:rsid w:val="006440E4"/>
    <w:rsid w:val="0066343B"/>
    <w:rsid w:val="00664777"/>
    <w:rsid w:val="00672ACE"/>
    <w:rsid w:val="006748A4"/>
    <w:rsid w:val="00681A31"/>
    <w:rsid w:val="00683E73"/>
    <w:rsid w:val="006A3141"/>
    <w:rsid w:val="006A5E34"/>
    <w:rsid w:val="006B2422"/>
    <w:rsid w:val="006B2B9A"/>
    <w:rsid w:val="006C1937"/>
    <w:rsid w:val="006D483F"/>
    <w:rsid w:val="006E41B8"/>
    <w:rsid w:val="006F020C"/>
    <w:rsid w:val="0070301C"/>
    <w:rsid w:val="007127B7"/>
    <w:rsid w:val="0071798E"/>
    <w:rsid w:val="007361ED"/>
    <w:rsid w:val="007416B6"/>
    <w:rsid w:val="00744BFB"/>
    <w:rsid w:val="0074620D"/>
    <w:rsid w:val="00746F48"/>
    <w:rsid w:val="0075404D"/>
    <w:rsid w:val="007540CD"/>
    <w:rsid w:val="0075658F"/>
    <w:rsid w:val="0076182A"/>
    <w:rsid w:val="00767B7E"/>
    <w:rsid w:val="00775E11"/>
    <w:rsid w:val="007770C3"/>
    <w:rsid w:val="00784D24"/>
    <w:rsid w:val="00785FBA"/>
    <w:rsid w:val="00786E4A"/>
    <w:rsid w:val="007875EB"/>
    <w:rsid w:val="0079426B"/>
    <w:rsid w:val="007A15B9"/>
    <w:rsid w:val="007C1E5F"/>
    <w:rsid w:val="007D1682"/>
    <w:rsid w:val="007D219C"/>
    <w:rsid w:val="007D312A"/>
    <w:rsid w:val="007D3F19"/>
    <w:rsid w:val="007E23B0"/>
    <w:rsid w:val="007E23E5"/>
    <w:rsid w:val="007F1991"/>
    <w:rsid w:val="007F1EA8"/>
    <w:rsid w:val="007F2C2F"/>
    <w:rsid w:val="007F55FC"/>
    <w:rsid w:val="007F5665"/>
    <w:rsid w:val="00800112"/>
    <w:rsid w:val="00813348"/>
    <w:rsid w:val="008253BB"/>
    <w:rsid w:val="0083706E"/>
    <w:rsid w:val="008408F6"/>
    <w:rsid w:val="008423A5"/>
    <w:rsid w:val="00850625"/>
    <w:rsid w:val="00853718"/>
    <w:rsid w:val="00855221"/>
    <w:rsid w:val="00856E37"/>
    <w:rsid w:val="00860645"/>
    <w:rsid w:val="00871F71"/>
    <w:rsid w:val="00872FD8"/>
    <w:rsid w:val="00885AF4"/>
    <w:rsid w:val="008939CD"/>
    <w:rsid w:val="00896546"/>
    <w:rsid w:val="008B768C"/>
    <w:rsid w:val="008C4DB1"/>
    <w:rsid w:val="008C4EAF"/>
    <w:rsid w:val="008C5176"/>
    <w:rsid w:val="008C7FD0"/>
    <w:rsid w:val="008E1DE7"/>
    <w:rsid w:val="008E4FBB"/>
    <w:rsid w:val="008E707C"/>
    <w:rsid w:val="008F31FB"/>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572B"/>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355F"/>
    <w:rsid w:val="00A04EB0"/>
    <w:rsid w:val="00A13CC1"/>
    <w:rsid w:val="00A14A3B"/>
    <w:rsid w:val="00A16847"/>
    <w:rsid w:val="00A20A31"/>
    <w:rsid w:val="00A237D8"/>
    <w:rsid w:val="00A268C4"/>
    <w:rsid w:val="00A307CD"/>
    <w:rsid w:val="00A331C8"/>
    <w:rsid w:val="00A40A00"/>
    <w:rsid w:val="00A4142F"/>
    <w:rsid w:val="00A422EB"/>
    <w:rsid w:val="00A45BB7"/>
    <w:rsid w:val="00A538FA"/>
    <w:rsid w:val="00A5550D"/>
    <w:rsid w:val="00A56DF2"/>
    <w:rsid w:val="00A56E6E"/>
    <w:rsid w:val="00A67AB5"/>
    <w:rsid w:val="00A733B2"/>
    <w:rsid w:val="00A741C2"/>
    <w:rsid w:val="00A9134F"/>
    <w:rsid w:val="00A91760"/>
    <w:rsid w:val="00A93B00"/>
    <w:rsid w:val="00A93C21"/>
    <w:rsid w:val="00AB64C9"/>
    <w:rsid w:val="00AC235E"/>
    <w:rsid w:val="00AC3C6A"/>
    <w:rsid w:val="00AD5620"/>
    <w:rsid w:val="00AD62DD"/>
    <w:rsid w:val="00AD656B"/>
    <w:rsid w:val="00AD6763"/>
    <w:rsid w:val="00AD7C1B"/>
    <w:rsid w:val="00AE16BA"/>
    <w:rsid w:val="00AE1EBE"/>
    <w:rsid w:val="00AF02BC"/>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A5195"/>
    <w:rsid w:val="00BB4DF0"/>
    <w:rsid w:val="00BB7C2C"/>
    <w:rsid w:val="00BC289F"/>
    <w:rsid w:val="00BC2D50"/>
    <w:rsid w:val="00BC5361"/>
    <w:rsid w:val="00BC5460"/>
    <w:rsid w:val="00BC6B50"/>
    <w:rsid w:val="00BD0E25"/>
    <w:rsid w:val="00BE083A"/>
    <w:rsid w:val="00BF5864"/>
    <w:rsid w:val="00BF5BD6"/>
    <w:rsid w:val="00C03E31"/>
    <w:rsid w:val="00C04842"/>
    <w:rsid w:val="00C124A7"/>
    <w:rsid w:val="00C14DDD"/>
    <w:rsid w:val="00C33E72"/>
    <w:rsid w:val="00C354B2"/>
    <w:rsid w:val="00C35554"/>
    <w:rsid w:val="00C42709"/>
    <w:rsid w:val="00C533CC"/>
    <w:rsid w:val="00C53D6F"/>
    <w:rsid w:val="00C5751C"/>
    <w:rsid w:val="00C61BFC"/>
    <w:rsid w:val="00C62B85"/>
    <w:rsid w:val="00C65438"/>
    <w:rsid w:val="00C87FD8"/>
    <w:rsid w:val="00C90202"/>
    <w:rsid w:val="00C91381"/>
    <w:rsid w:val="00C91CBB"/>
    <w:rsid w:val="00CA6D30"/>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5ABD"/>
    <w:rsid w:val="00D36AFE"/>
    <w:rsid w:val="00D51276"/>
    <w:rsid w:val="00D7035F"/>
    <w:rsid w:val="00D91E15"/>
    <w:rsid w:val="00DA634F"/>
    <w:rsid w:val="00DA65AC"/>
    <w:rsid w:val="00DB1913"/>
    <w:rsid w:val="00DB278C"/>
    <w:rsid w:val="00DC410D"/>
    <w:rsid w:val="00DC5A81"/>
    <w:rsid w:val="00DC68CA"/>
    <w:rsid w:val="00DC7CBA"/>
    <w:rsid w:val="00DD73B7"/>
    <w:rsid w:val="00DF28BC"/>
    <w:rsid w:val="00DF34B9"/>
    <w:rsid w:val="00DF49F1"/>
    <w:rsid w:val="00DF6B97"/>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16B8"/>
    <w:rsid w:val="00EE2F57"/>
    <w:rsid w:val="00EF4C34"/>
    <w:rsid w:val="00EF77C6"/>
    <w:rsid w:val="00F05438"/>
    <w:rsid w:val="00F05D1B"/>
    <w:rsid w:val="00F1361C"/>
    <w:rsid w:val="00F156F0"/>
    <w:rsid w:val="00F160C7"/>
    <w:rsid w:val="00F2408F"/>
    <w:rsid w:val="00F240E9"/>
    <w:rsid w:val="00F33C73"/>
    <w:rsid w:val="00F36D8F"/>
    <w:rsid w:val="00F417B1"/>
    <w:rsid w:val="00F45853"/>
    <w:rsid w:val="00F57EEE"/>
    <w:rsid w:val="00F602DF"/>
    <w:rsid w:val="00F754A1"/>
    <w:rsid w:val="00F81FD9"/>
    <w:rsid w:val="00F841AA"/>
    <w:rsid w:val="00F84A94"/>
    <w:rsid w:val="00F87E96"/>
    <w:rsid w:val="00FA23E8"/>
    <w:rsid w:val="00FC156B"/>
    <w:rsid w:val="00FD3CC1"/>
    <w:rsid w:val="00FF1E02"/>
    <w:rsid w:val="00FF30B4"/>
    <w:rsid w:val="015975B8"/>
    <w:rsid w:val="02143E91"/>
    <w:rsid w:val="066E0107"/>
    <w:rsid w:val="07996F6E"/>
    <w:rsid w:val="086D5A4A"/>
    <w:rsid w:val="0A2032A3"/>
    <w:rsid w:val="0F98263C"/>
    <w:rsid w:val="101860EC"/>
    <w:rsid w:val="10C055FF"/>
    <w:rsid w:val="118107EC"/>
    <w:rsid w:val="13D50BC4"/>
    <w:rsid w:val="16BB723D"/>
    <w:rsid w:val="18055657"/>
    <w:rsid w:val="1BE8440E"/>
    <w:rsid w:val="1D155CEE"/>
    <w:rsid w:val="1FF35744"/>
    <w:rsid w:val="23860B96"/>
    <w:rsid w:val="240371BF"/>
    <w:rsid w:val="29FD04D3"/>
    <w:rsid w:val="2C8A61B5"/>
    <w:rsid w:val="2DF04E50"/>
    <w:rsid w:val="2F040D46"/>
    <w:rsid w:val="319F7F4E"/>
    <w:rsid w:val="32FC2BFA"/>
    <w:rsid w:val="3304709D"/>
    <w:rsid w:val="36AA5135"/>
    <w:rsid w:val="376D39B2"/>
    <w:rsid w:val="37E16F03"/>
    <w:rsid w:val="38D469F0"/>
    <w:rsid w:val="3D98207C"/>
    <w:rsid w:val="3E78745D"/>
    <w:rsid w:val="3F676802"/>
    <w:rsid w:val="44E268DA"/>
    <w:rsid w:val="4A627F82"/>
    <w:rsid w:val="4B0E749A"/>
    <w:rsid w:val="4B4F25DA"/>
    <w:rsid w:val="4BE068DB"/>
    <w:rsid w:val="4D577224"/>
    <w:rsid w:val="4EAB630A"/>
    <w:rsid w:val="4ECE2238"/>
    <w:rsid w:val="521F514C"/>
    <w:rsid w:val="537E6D0A"/>
    <w:rsid w:val="552E0CF9"/>
    <w:rsid w:val="5AF92295"/>
    <w:rsid w:val="5B2D2299"/>
    <w:rsid w:val="5B3E441B"/>
    <w:rsid w:val="5CD71FC4"/>
    <w:rsid w:val="6BFB4226"/>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Document Map"/>
    <w:basedOn w:val="1"/>
    <w:link w:val="37"/>
    <w:qFormat/>
    <w:uiPriority w:val="0"/>
    <w:rPr>
      <w:rFonts w:ascii="宋体"/>
      <w:sz w:val="18"/>
      <w:szCs w:val="18"/>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3"/>
    <w:semiHidden/>
    <w:unhideWhenUsed/>
    <w:qFormat/>
    <w:uiPriority w:val="99"/>
    <w:rPr>
      <w:sz w:val="18"/>
      <w:szCs w:val="18"/>
    </w:rPr>
  </w:style>
  <w:style w:type="paragraph" w:styleId="10">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3"/>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link w:val="40"/>
    <w:semiHidden/>
    <w:unhideWhenUsed/>
    <w:qFormat/>
    <w:uiPriority w:val="99"/>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character" w:styleId="20">
    <w:name w:val="footnote reference"/>
    <w:basedOn w:val="17"/>
    <w:semiHidden/>
    <w:unhideWhenUsed/>
    <w:qFormat/>
    <w:uiPriority w:val="99"/>
    <w:rPr>
      <w:vertAlign w:val="superscript"/>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7"/>
    <w:semiHidden/>
    <w:qFormat/>
    <w:uiPriority w:val="99"/>
    <w:rPr>
      <w:rFonts w:ascii="Times New Roman" w:hAnsi="Times New Roman"/>
      <w:sz w:val="18"/>
      <w:szCs w:val="18"/>
    </w:rPr>
  </w:style>
  <w:style w:type="character" w:customStyle="1" w:styleId="23">
    <w:name w:val="页眉 Char"/>
    <w:link w:val="11"/>
    <w:qFormat/>
    <w:locked/>
    <w:uiPriority w:val="99"/>
    <w:rPr>
      <w:sz w:val="18"/>
    </w:rPr>
  </w:style>
  <w:style w:type="character" w:customStyle="1" w:styleId="24">
    <w:name w:val="Footer Char"/>
    <w:basedOn w:val="17"/>
    <w:semiHidden/>
    <w:qFormat/>
    <w:uiPriority w:val="99"/>
    <w:rPr>
      <w:rFonts w:ascii="Times New Roman" w:hAnsi="Times New Roman"/>
      <w:sz w:val="18"/>
      <w:szCs w:val="18"/>
    </w:rPr>
  </w:style>
  <w:style w:type="character" w:customStyle="1" w:styleId="25">
    <w:name w:val="页脚 Char"/>
    <w:link w:val="10"/>
    <w:qFormat/>
    <w:locked/>
    <w:uiPriority w:val="99"/>
    <w:rPr>
      <w:sz w:val="18"/>
    </w:rPr>
  </w:style>
  <w:style w:type="character" w:customStyle="1" w:styleId="26">
    <w:name w:val="Body Text Char"/>
    <w:basedOn w:val="17"/>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7"/>
    <w:link w:val="3"/>
    <w:qFormat/>
    <w:uiPriority w:val="9"/>
    <w:rPr>
      <w:rFonts w:ascii="Times New Roman" w:hAnsi="Times New Roman"/>
      <w:b/>
      <w:bCs/>
      <w:kern w:val="44"/>
      <w:sz w:val="44"/>
      <w:szCs w:val="44"/>
    </w:rPr>
  </w:style>
  <w:style w:type="character" w:customStyle="1" w:styleId="31">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批注框文本 Char"/>
    <w:basedOn w:val="17"/>
    <w:link w:val="9"/>
    <w:semiHidden/>
    <w:qFormat/>
    <w:uiPriority w:val="99"/>
    <w:rPr>
      <w:rFonts w:ascii="Times New Roman" w:hAnsi="Times New Roman"/>
      <w:kern w:val="2"/>
      <w:sz w:val="18"/>
      <w:szCs w:val="18"/>
    </w:rPr>
  </w:style>
  <w:style w:type="character" w:customStyle="1" w:styleId="34">
    <w:name w:val="标题 3 Char"/>
    <w:basedOn w:val="17"/>
    <w:link w:val="5"/>
    <w:qFormat/>
    <w:uiPriority w:val="9"/>
    <w:rPr>
      <w:rFonts w:ascii="Times New Roman" w:hAnsi="Times New Roman"/>
      <w:b/>
      <w:bCs/>
      <w:kern w:val="2"/>
      <w:sz w:val="32"/>
      <w:szCs w:val="32"/>
    </w:rPr>
  </w:style>
  <w:style w:type="paragraph" w:customStyle="1" w:styleId="35">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character" w:customStyle="1" w:styleId="37">
    <w:name w:val="文档结构图 Char"/>
    <w:basedOn w:val="17"/>
    <w:link w:val="6"/>
    <w:qFormat/>
    <w:uiPriority w:val="0"/>
    <w:rPr>
      <w:rFonts w:ascii="宋体" w:hAnsi="Times New Roman" w:eastAsia="宋体" w:cs="Times New Roman"/>
      <w:kern w:val="2"/>
      <w:sz w:val="18"/>
      <w:szCs w:val="18"/>
    </w:rPr>
  </w:style>
  <w:style w:type="paragraph" w:styleId="38">
    <w:name w:val="No Spacing"/>
    <w:link w:val="39"/>
    <w:qFormat/>
    <w:uiPriority w:val="1"/>
    <w:rPr>
      <w:rFonts w:asciiTheme="minorHAnsi" w:hAnsiTheme="minorHAnsi" w:eastAsiaTheme="minorEastAsia" w:cstheme="minorBidi"/>
      <w:sz w:val="22"/>
      <w:szCs w:val="22"/>
      <w:lang w:val="en-US" w:eastAsia="zh-CN" w:bidi="ar-SA"/>
    </w:rPr>
  </w:style>
  <w:style w:type="character" w:customStyle="1" w:styleId="39">
    <w:name w:val="无间隔 Char"/>
    <w:basedOn w:val="17"/>
    <w:link w:val="38"/>
    <w:qFormat/>
    <w:uiPriority w:val="1"/>
    <w:rPr>
      <w:sz w:val="22"/>
      <w:szCs w:val="22"/>
    </w:rPr>
  </w:style>
  <w:style w:type="character" w:customStyle="1" w:styleId="40">
    <w:name w:val="脚注文本 Char"/>
    <w:basedOn w:val="17"/>
    <w:link w:val="13"/>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5614800798588"/>
          <c:y val="0.121282170045486"/>
          <c:w val="0.791330809148496"/>
          <c:h val="0.694994182428228"/>
        </c:manualLayout>
      </c:layout>
      <c:barChart>
        <c:barDir val="col"/>
        <c:grouping val="clustered"/>
        <c:varyColors val="0"/>
        <c:ser>
          <c:idx val="0"/>
          <c:order val="0"/>
          <c:tx>
            <c:strRef>
              <c:f>Sheet1!$B$1</c:f>
              <c:strCache>
                <c:ptCount val="1"/>
                <c:pt idx="0">
                  <c:v>2021年</c:v>
                </c:pt>
              </c:strCache>
            </c:strRef>
          </c:tx>
          <c:invertIfNegative val="0"/>
          <c:dLbls>
            <c:delete val="1"/>
          </c:dLbls>
          <c:cat>
            <c:strRef>
              <c:f>Sheet1!$A$2:$A$5</c:f>
              <c:strCache>
                <c:ptCount val="2"/>
                <c:pt idx="0">
                  <c:v>收入</c:v>
                </c:pt>
                <c:pt idx="1">
                  <c:v>支出</c:v>
                </c:pt>
              </c:strCache>
            </c:strRef>
          </c:cat>
          <c:val>
            <c:numRef>
              <c:f>Sheet1!$B$2:$B$5</c:f>
              <c:numCache>
                <c:formatCode>General</c:formatCode>
                <c:ptCount val="4"/>
                <c:pt idx="0">
                  <c:v>120.34</c:v>
                </c:pt>
                <c:pt idx="1">
                  <c:v>2175.25</c:v>
                </c:pt>
              </c:numCache>
            </c:numRef>
          </c:val>
        </c:ser>
        <c:ser>
          <c:idx val="1"/>
          <c:order val="1"/>
          <c:tx>
            <c:strRef>
              <c:f>Sheet1!$C$1</c:f>
              <c:strCache>
                <c:ptCount val="1"/>
                <c:pt idx="0">
                  <c:v>2022年</c:v>
                </c:pt>
              </c:strCache>
            </c:strRef>
          </c:tx>
          <c:invertIfNegative val="0"/>
          <c:dLbls>
            <c:delete val="1"/>
          </c:dLbls>
          <c:cat>
            <c:strRef>
              <c:f>Sheet1!$A$2:$A$5</c:f>
              <c:strCache>
                <c:ptCount val="2"/>
                <c:pt idx="0">
                  <c:v>收入</c:v>
                </c:pt>
                <c:pt idx="1">
                  <c:v>支出</c:v>
                </c:pt>
              </c:strCache>
            </c:strRef>
          </c:cat>
          <c:val>
            <c:numRef>
              <c:f>Sheet1!$C$2:$C$5</c:f>
              <c:numCache>
                <c:formatCode>General</c:formatCode>
                <c:ptCount val="4"/>
                <c:pt idx="0">
                  <c:v>127.3</c:v>
                </c:pt>
                <c:pt idx="1">
                  <c:v>2077.42</c:v>
                </c:pt>
              </c:numCache>
            </c:numRef>
          </c:val>
        </c:ser>
        <c:dLbls>
          <c:showLegendKey val="0"/>
          <c:showVal val="0"/>
          <c:showCatName val="0"/>
          <c:showSerName val="0"/>
          <c:showPercent val="0"/>
          <c:showBubbleSize val="0"/>
        </c:dLbls>
        <c:gapWidth val="150"/>
        <c:axId val="172281856"/>
        <c:axId val="172283392"/>
      </c:barChart>
      <c:catAx>
        <c:axId val="17228185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2283392"/>
        <c:crosses val="autoZero"/>
        <c:auto val="1"/>
        <c:lblAlgn val="ctr"/>
        <c:lblOffset val="100"/>
        <c:noMultiLvlLbl val="0"/>
      </c:catAx>
      <c:valAx>
        <c:axId val="17228339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228185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2022年收入</c:v>
                </c:pt>
              </c:strCache>
            </c:strRef>
          </c:tx>
          <c:explosion val="0"/>
          <c:dPt>
            <c:idx val="0"/>
            <c:bubble3D val="0"/>
          </c:dPt>
          <c:dLbls>
            <c:delete val="1"/>
          </c:dLbls>
          <c:cat>
            <c:strRef>
              <c:f>Sheet1!$A$2</c:f>
              <c:strCache>
                <c:ptCount val="1"/>
                <c:pt idx="0">
                  <c:v>一般公共预算财政拨款收入</c:v>
                </c:pt>
              </c:strCache>
            </c:strRef>
          </c:cat>
          <c:val>
            <c:numRef>
              <c:f>Sheet1!$B$2</c:f>
              <c:numCache>
                <c:formatCode>General</c:formatCode>
                <c:ptCount val="1"/>
                <c:pt idx="0">
                  <c:v>2077.42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2022年支出</c:v>
                </c:pt>
              </c:strCache>
            </c:strRef>
          </c:tx>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166.93</c:v>
                </c:pt>
                <c:pt idx="1">
                  <c:v>1910.49</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5614800798588"/>
          <c:y val="0.121282170045487"/>
          <c:w val="0.791330809148496"/>
          <c:h val="0.694994182428228"/>
        </c:manualLayout>
      </c:layout>
      <c:barChart>
        <c:barDir val="col"/>
        <c:grouping val="clustered"/>
        <c:varyColors val="0"/>
        <c:ser>
          <c:idx val="0"/>
          <c:order val="0"/>
          <c:tx>
            <c:strRef>
              <c:f>Sheet1!$B$1</c:f>
              <c:strCache>
                <c:ptCount val="1"/>
                <c:pt idx="0">
                  <c:v>2021年</c:v>
                </c:pt>
              </c:strCache>
            </c:strRef>
          </c:tx>
          <c:invertIfNegative val="0"/>
          <c:dLbls>
            <c:delete val="1"/>
          </c:dLbls>
          <c:cat>
            <c:strRef>
              <c:f>Sheet1!$A$2:$A$5</c:f>
              <c:strCache>
                <c:ptCount val="2"/>
                <c:pt idx="0">
                  <c:v>收入</c:v>
                </c:pt>
                <c:pt idx="1">
                  <c:v>支出</c:v>
                </c:pt>
              </c:strCache>
            </c:strRef>
          </c:cat>
          <c:val>
            <c:numRef>
              <c:f>Sheet1!$B$2:$B$5</c:f>
              <c:numCache>
                <c:formatCode>General</c:formatCode>
                <c:ptCount val="4"/>
                <c:pt idx="0">
                  <c:v>120.34</c:v>
                </c:pt>
                <c:pt idx="1">
                  <c:v>2175.25</c:v>
                </c:pt>
              </c:numCache>
            </c:numRef>
          </c:val>
        </c:ser>
        <c:ser>
          <c:idx val="1"/>
          <c:order val="1"/>
          <c:tx>
            <c:strRef>
              <c:f>Sheet1!$C$1</c:f>
              <c:strCache>
                <c:ptCount val="1"/>
                <c:pt idx="0">
                  <c:v>2022年</c:v>
                </c:pt>
              </c:strCache>
            </c:strRef>
          </c:tx>
          <c:invertIfNegative val="0"/>
          <c:dLbls>
            <c:delete val="1"/>
          </c:dLbls>
          <c:cat>
            <c:strRef>
              <c:f>Sheet1!$A$2:$A$5</c:f>
              <c:strCache>
                <c:ptCount val="2"/>
                <c:pt idx="0">
                  <c:v>收入</c:v>
                </c:pt>
                <c:pt idx="1">
                  <c:v>支出</c:v>
                </c:pt>
              </c:strCache>
            </c:strRef>
          </c:cat>
          <c:val>
            <c:numRef>
              <c:f>Sheet1!$C$2:$C$5</c:f>
              <c:numCache>
                <c:formatCode>General</c:formatCode>
                <c:ptCount val="4"/>
                <c:pt idx="0">
                  <c:v>127.3</c:v>
                </c:pt>
                <c:pt idx="1">
                  <c:v>2077.42</c:v>
                </c:pt>
              </c:numCache>
            </c:numRef>
          </c:val>
        </c:ser>
        <c:dLbls>
          <c:showLegendKey val="0"/>
          <c:showVal val="0"/>
          <c:showCatName val="0"/>
          <c:showSerName val="0"/>
          <c:showPercent val="0"/>
          <c:showBubbleSize val="0"/>
        </c:dLbls>
        <c:gapWidth val="150"/>
        <c:axId val="119827456"/>
        <c:axId val="119845632"/>
      </c:barChart>
      <c:catAx>
        <c:axId val="11982745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9845632"/>
        <c:crosses val="autoZero"/>
        <c:auto val="1"/>
        <c:lblAlgn val="ctr"/>
        <c:lblOffset val="100"/>
        <c:noMultiLvlLbl val="0"/>
      </c:catAx>
      <c:valAx>
        <c:axId val="1198456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982745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invertIfNegative val="0"/>
          <c:dLbls>
            <c:delete val="1"/>
          </c:dLbls>
          <c:cat>
            <c:strRef>
              <c:f>Sheet1!$A$2</c:f>
              <c:strCache>
                <c:ptCount val="1"/>
                <c:pt idx="0">
                  <c:v>一般公共预算财政拨款</c:v>
                </c:pt>
              </c:strCache>
            </c:strRef>
          </c:cat>
          <c:val>
            <c:numRef>
              <c:f>Sheet1!$B$2</c:f>
              <c:numCache>
                <c:formatCode>General</c:formatCode>
                <c:ptCount val="1"/>
                <c:pt idx="0">
                  <c:v>2175.25</c:v>
                </c:pt>
              </c:numCache>
            </c:numRef>
          </c:val>
        </c:ser>
        <c:ser>
          <c:idx val="1"/>
          <c:order val="1"/>
          <c:tx>
            <c:strRef>
              <c:f>Sheet1!$C$1</c:f>
              <c:strCache>
                <c:ptCount val="1"/>
                <c:pt idx="0">
                  <c:v>2022年</c:v>
                </c:pt>
              </c:strCache>
            </c:strRef>
          </c:tx>
          <c:invertIfNegative val="0"/>
          <c:dLbls>
            <c:delete val="1"/>
          </c:dLbls>
          <c:cat>
            <c:strRef>
              <c:f>Sheet1!$A$2</c:f>
              <c:strCache>
                <c:ptCount val="1"/>
                <c:pt idx="0">
                  <c:v>一般公共预算财政拨款</c:v>
                </c:pt>
              </c:strCache>
            </c:strRef>
          </c:cat>
          <c:val>
            <c:numRef>
              <c:f>Sheet1!$C$2</c:f>
              <c:numCache>
                <c:formatCode>General</c:formatCode>
                <c:ptCount val="1"/>
                <c:pt idx="0">
                  <c:v>2077.42</c:v>
                </c:pt>
              </c:numCache>
            </c:numRef>
          </c:val>
        </c:ser>
        <c:dLbls>
          <c:showLegendKey val="0"/>
          <c:showVal val="0"/>
          <c:showCatName val="0"/>
          <c:showSerName val="0"/>
          <c:showPercent val="0"/>
          <c:showBubbleSize val="0"/>
        </c:dLbls>
        <c:gapWidth val="150"/>
        <c:axId val="120055296"/>
        <c:axId val="120056832"/>
      </c:barChart>
      <c:catAx>
        <c:axId val="12005529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0056832"/>
        <c:crosses val="autoZero"/>
        <c:auto val="1"/>
        <c:lblAlgn val="ctr"/>
        <c:lblOffset val="100"/>
        <c:noMultiLvlLbl val="0"/>
      </c:catAx>
      <c:valAx>
        <c:axId val="1200568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005529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explosion val="0"/>
          <c:dPt>
            <c:idx val="0"/>
            <c:bubble3D val="0"/>
          </c:dPt>
          <c:dPt>
            <c:idx val="1"/>
            <c:bubble3D val="0"/>
          </c:dPt>
          <c:dPt>
            <c:idx val="2"/>
            <c:bubble3D val="0"/>
          </c:dPt>
          <c:dPt>
            <c:idx val="3"/>
            <c:bubble3D val="0"/>
          </c:dPt>
          <c:dLbls>
            <c:delete val="1"/>
          </c:dLbls>
          <c:cat>
            <c:strRef>
              <c:f>Sheet1!$A$2:$A$5</c:f>
              <c:strCache>
                <c:ptCount val="4"/>
                <c:pt idx="0">
                  <c:v>一般公共服务支出</c:v>
                </c:pt>
                <c:pt idx="1">
                  <c:v>社会保障和就业支出</c:v>
                </c:pt>
                <c:pt idx="2">
                  <c:v>卫生健康支出</c:v>
                </c:pt>
                <c:pt idx="3">
                  <c:v>住房保障支出</c:v>
                </c:pt>
              </c:strCache>
            </c:strRef>
          </c:cat>
          <c:val>
            <c:numRef>
              <c:f>Sheet1!$B$2:$B$5</c:f>
              <c:numCache>
                <c:formatCode>General</c:formatCode>
                <c:ptCount val="4"/>
                <c:pt idx="0">
                  <c:v>2037.36</c:v>
                </c:pt>
                <c:pt idx="1">
                  <c:v>16.69</c:v>
                </c:pt>
                <c:pt idx="2">
                  <c:v>12.11</c:v>
                </c:pt>
                <c:pt idx="3">
                  <c:v>11.26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c:v>
                </c:pt>
              </c:strCache>
            </c:strRef>
          </c:tx>
          <c:explosion val="0"/>
          <c:dPt>
            <c:idx val="0"/>
            <c:bubble3D val="0"/>
          </c:dPt>
          <c:dPt>
            <c:idx val="1"/>
            <c:bubble3D val="0"/>
          </c:dPt>
          <c:dPt>
            <c:idx val="2"/>
            <c:bubble3D val="0"/>
          </c:dPt>
          <c:dLbls>
            <c:delete val="1"/>
          </c:dLbls>
          <c:cat>
            <c:strRef>
              <c:f>Sheet1!$A$2:$A$4</c:f>
              <c:strCache>
                <c:ptCount val="3"/>
                <c:pt idx="0">
                  <c:v>因公出国（境）</c:v>
                </c:pt>
                <c:pt idx="1">
                  <c:v>公务用车购置及运行维护费</c:v>
                </c:pt>
                <c:pt idx="2">
                  <c:v>公务接待费</c:v>
                </c:pt>
              </c:strCache>
            </c:strRef>
          </c:cat>
          <c:val>
            <c:numRef>
              <c:f>Sheet1!$B$2:$B$4</c:f>
              <c:numCache>
                <c:formatCode>General</c:formatCode>
                <c:ptCount val="3"/>
                <c:pt idx="0">
                  <c:v>0</c:v>
                </c:pt>
                <c:pt idx="1">
                  <c:v>679.56</c:v>
                </c:pt>
                <c:pt idx="2">
                  <c:v>74.2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97763A-D656-41ED-B4C4-F410758E8DF2}">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36</Pages>
  <Words>8140</Words>
  <Characters>1102</Characters>
  <Lines>9</Lines>
  <Paragraphs>18</Paragraphs>
  <TotalTime>8</TotalTime>
  <ScaleCrop>false</ScaleCrop>
  <LinksUpToDate>false</LinksUpToDate>
  <CharactersWithSpaces>9224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2023-10-23T18:17:00Z</dcterms:created>
  <dc:creator>Administrator</dc:creator>
  <cp:lastModifiedBy>吴亚麟</cp:lastModifiedBy>
  <cp:lastPrinted>2023-10-25T15:05:00Z</cp:lastPrinted>
  <dcterms:modified xsi:type="dcterms:W3CDTF">2023-11-01T09:03:49Z</dcterms:modified>
  <dc:title>四川省***</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90CFA4FC539B4CAF96712CF6CC496A20_12</vt:lpwstr>
  </property>
</Properties>
</file>