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84F" w:rsidRDefault="00EC184F">
      <w:pPr>
        <w:spacing w:line="600" w:lineRule="exact"/>
        <w:jc w:val="center"/>
        <w:outlineLvl w:val="0"/>
        <w:rPr>
          <w:rFonts w:ascii="方正小标宋简体" w:eastAsia="方正小标宋简体" w:hAnsi="宋体"/>
          <w:sz w:val="72"/>
          <w:szCs w:val="72"/>
        </w:rPr>
      </w:pPr>
      <w:bookmarkStart w:id="0" w:name="_Toc15396597"/>
      <w:bookmarkStart w:id="1" w:name="_Toc15396475"/>
      <w:bookmarkStart w:id="2" w:name="_Toc15377193"/>
      <w:bookmarkStart w:id="3" w:name="_Toc15377425"/>
      <w:bookmarkStart w:id="4" w:name="_Toc15378441"/>
      <w:bookmarkStart w:id="5" w:name="_Toc15306267"/>
    </w:p>
    <w:p w:rsidR="00EC184F" w:rsidRDefault="00EC184F">
      <w:pPr>
        <w:spacing w:line="600" w:lineRule="exact"/>
        <w:jc w:val="center"/>
        <w:outlineLvl w:val="0"/>
        <w:rPr>
          <w:rFonts w:ascii="方正小标宋简体" w:eastAsia="方正小标宋简体" w:hAnsi="宋体"/>
          <w:sz w:val="72"/>
          <w:szCs w:val="72"/>
        </w:rPr>
      </w:pPr>
    </w:p>
    <w:p w:rsidR="00EC184F" w:rsidRDefault="00EC184F">
      <w:pPr>
        <w:spacing w:line="600" w:lineRule="exact"/>
        <w:jc w:val="center"/>
        <w:outlineLvl w:val="0"/>
        <w:rPr>
          <w:rFonts w:ascii="方正小标宋简体" w:eastAsia="方正小标宋简体" w:hAnsi="宋体"/>
          <w:sz w:val="72"/>
          <w:szCs w:val="72"/>
        </w:rPr>
      </w:pPr>
    </w:p>
    <w:p w:rsidR="00EC184F" w:rsidRDefault="00DC6B00">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2022年度</w:t>
      </w:r>
      <w:bookmarkEnd w:id="0"/>
      <w:bookmarkEnd w:id="1"/>
      <w:bookmarkEnd w:id="2"/>
      <w:bookmarkEnd w:id="3"/>
      <w:bookmarkEnd w:id="4"/>
    </w:p>
    <w:p w:rsidR="00EC184F" w:rsidRDefault="00DC6B00">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96476"/>
      <w:bookmarkStart w:id="7" w:name="_Toc15377426"/>
      <w:bookmarkStart w:id="8" w:name="_Toc15396598"/>
      <w:bookmarkStart w:id="9" w:name="_Toc15377194"/>
      <w:bookmarkStart w:id="10" w:name="_Toc15306268"/>
      <w:bookmarkStart w:id="11" w:name="_Toc15378442"/>
      <w:bookmarkEnd w:id="5"/>
      <w:r>
        <w:rPr>
          <w:rFonts w:ascii="方正小标宋简体" w:eastAsia="方正小标宋简体" w:hAnsi="方正小标宋简体" w:cs="方正小标宋简体" w:hint="eastAsia"/>
          <w:sz w:val="72"/>
          <w:szCs w:val="72"/>
        </w:rPr>
        <w:t>盐边县经济信息化和科学技术局部门决算</w:t>
      </w:r>
      <w:bookmarkEnd w:id="6"/>
      <w:bookmarkEnd w:id="7"/>
      <w:bookmarkEnd w:id="8"/>
      <w:bookmarkEnd w:id="9"/>
      <w:bookmarkEnd w:id="10"/>
      <w:bookmarkEnd w:id="11"/>
    </w:p>
    <w:p w:rsidR="00EC184F" w:rsidRDefault="00DC6B00">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EC184F" w:rsidRPr="00F351CE" w:rsidRDefault="00EC184F">
      <w:pPr>
        <w:widowControl/>
        <w:jc w:val="center"/>
        <w:rPr>
          <w:rFonts w:ascii="黑体" w:eastAsia="黑体" w:hAnsi="黑体" w:cstheme="minorBidi"/>
          <w:sz w:val="28"/>
          <w:szCs w:val="28"/>
        </w:rPr>
      </w:pPr>
    </w:p>
    <w:p w:rsidR="00EC184F" w:rsidRDefault="00DC6B00">
      <w:pPr>
        <w:pStyle w:val="10"/>
      </w:pPr>
      <w:r>
        <w:rPr>
          <w:rFonts w:hint="eastAsia"/>
        </w:rPr>
        <w:t>公开时间：2023年10月26日</w:t>
      </w:r>
    </w:p>
    <w:p w:rsidR="00EC184F" w:rsidRDefault="00EC184F"/>
    <w:p w:rsidR="00EC184F" w:rsidRDefault="00DC6B00">
      <w:pPr>
        <w:widowControl/>
        <w:jc w:val="center"/>
        <w:rPr>
          <w:rFonts w:ascii="黑体" w:eastAsia="黑体" w:hAnsi="黑体"/>
          <w:sz w:val="32"/>
          <w:szCs w:val="32"/>
        </w:rPr>
      </w:pPr>
      <w:r>
        <w:rPr>
          <w:rFonts w:ascii="黑体" w:eastAsia="黑体" w:hAnsi="黑体" w:hint="eastAsia"/>
          <w:sz w:val="32"/>
          <w:szCs w:val="32"/>
        </w:rPr>
        <w:t>第一部分部门概况</w:t>
      </w:r>
      <w:r>
        <w:rPr>
          <w:rFonts w:ascii="黑体" w:eastAsia="黑体" w:hAnsi="黑体"/>
          <w:sz w:val="32"/>
          <w:szCs w:val="32"/>
        </w:rPr>
        <w:ptab w:relativeTo="margin" w:alignment="right" w:leader="dot"/>
      </w:r>
      <w:r>
        <w:rPr>
          <w:rFonts w:ascii="黑体" w:eastAsia="黑体" w:hAnsi="黑体" w:hint="eastAsia"/>
          <w:sz w:val="32"/>
          <w:szCs w:val="32"/>
        </w:rPr>
        <w:t>4</w:t>
      </w:r>
    </w:p>
    <w:p w:rsidR="00EC184F" w:rsidRDefault="00DC6B00">
      <w:pPr>
        <w:widowControl/>
        <w:jc w:val="center"/>
        <w:rPr>
          <w:sz w:val="32"/>
          <w:szCs w:val="32"/>
        </w:rPr>
      </w:pPr>
      <w:r>
        <w:rPr>
          <w:rFonts w:hint="eastAsia"/>
          <w:sz w:val="32"/>
          <w:szCs w:val="32"/>
        </w:rPr>
        <w:t>一、部门职责</w:t>
      </w:r>
      <w:r>
        <w:rPr>
          <w:rFonts w:ascii="黑体" w:eastAsia="黑体" w:hAnsi="黑体"/>
          <w:sz w:val="32"/>
          <w:szCs w:val="32"/>
        </w:rPr>
        <w:ptab w:relativeTo="margin" w:alignment="right" w:leader="dot"/>
      </w:r>
      <w:r>
        <w:rPr>
          <w:rFonts w:ascii="黑体" w:eastAsia="黑体" w:hAnsi="黑体" w:hint="eastAsia"/>
          <w:sz w:val="32"/>
          <w:szCs w:val="32"/>
        </w:rPr>
        <w:t>4</w:t>
      </w:r>
    </w:p>
    <w:p w:rsidR="00EC184F" w:rsidRDefault="00DC6B00">
      <w:pPr>
        <w:widowControl/>
        <w:jc w:val="center"/>
        <w:rPr>
          <w:rFonts w:ascii="仿宋" w:eastAsia="仿宋" w:hAnsi="仿宋" w:cstheme="minorBidi"/>
          <w:sz w:val="32"/>
          <w:szCs w:val="32"/>
        </w:rPr>
      </w:pPr>
      <w:r>
        <w:rPr>
          <w:rFonts w:hint="eastAsia"/>
          <w:sz w:val="32"/>
          <w:szCs w:val="32"/>
        </w:rPr>
        <w:t>二、机构设置</w:t>
      </w:r>
      <w:r>
        <w:rPr>
          <w:rFonts w:ascii="黑体" w:eastAsia="黑体" w:hAnsi="黑体"/>
          <w:sz w:val="32"/>
          <w:szCs w:val="32"/>
        </w:rPr>
        <w:ptab w:relativeTo="margin" w:alignment="right" w:leader="dot"/>
      </w:r>
      <w:r>
        <w:rPr>
          <w:rFonts w:ascii="黑体" w:eastAsia="黑体" w:hAnsi="黑体" w:hint="eastAsia"/>
          <w:sz w:val="32"/>
          <w:szCs w:val="32"/>
        </w:rPr>
        <w:t>10</w:t>
      </w:r>
    </w:p>
    <w:p w:rsidR="00EC184F" w:rsidRDefault="00DC6B00">
      <w:pPr>
        <w:widowControl/>
        <w:jc w:val="center"/>
        <w:rPr>
          <w:rFonts w:ascii="黑体" w:eastAsia="黑体" w:hAnsi="黑体"/>
          <w:sz w:val="32"/>
          <w:szCs w:val="32"/>
        </w:rPr>
      </w:pPr>
      <w:r>
        <w:rPr>
          <w:rFonts w:ascii="黑体" w:eastAsia="黑体" w:hAnsi="黑体" w:hint="eastAsia"/>
          <w:sz w:val="32"/>
          <w:szCs w:val="32"/>
        </w:rPr>
        <w:t>第二部分 2022年度部门决算情况说明</w:t>
      </w:r>
      <w:r>
        <w:rPr>
          <w:rFonts w:ascii="黑体" w:eastAsia="黑体" w:hAnsi="黑体"/>
          <w:sz w:val="32"/>
          <w:szCs w:val="32"/>
        </w:rPr>
        <w:ptab w:relativeTo="margin" w:alignment="right" w:leader="dot"/>
      </w:r>
      <w:r>
        <w:rPr>
          <w:rFonts w:ascii="黑体" w:eastAsia="黑体" w:hAnsi="黑体" w:hint="eastAsia"/>
          <w:sz w:val="32"/>
          <w:szCs w:val="32"/>
        </w:rPr>
        <w:t>10</w:t>
      </w:r>
    </w:p>
    <w:p w:rsidR="00EC184F" w:rsidRDefault="00DC6B00">
      <w:pPr>
        <w:pStyle w:val="20"/>
        <w:adjustRightInd w:val="0"/>
        <w:snapToGrid w:val="0"/>
        <w:spacing w:line="440" w:lineRule="exact"/>
        <w:ind w:leftChars="0" w:left="0"/>
        <w:jc w:val="left"/>
        <w:rPr>
          <w:rFonts w:ascii="仿宋" w:eastAsia="仿宋" w:hAnsi="仿宋" w:cstheme="minorBidi"/>
          <w:sz w:val="32"/>
          <w:szCs w:val="32"/>
        </w:rPr>
      </w:pPr>
      <w:r>
        <w:rPr>
          <w:rFonts w:hint="eastAsia"/>
          <w:sz w:val="32"/>
          <w:szCs w:val="32"/>
        </w:rPr>
        <w:t>一、收入支出决算总体情况说明</w:t>
      </w:r>
      <w:r w:rsidR="00907557">
        <w:rPr>
          <w:rFonts w:ascii="黑体" w:eastAsia="黑体" w:hAnsi="黑体"/>
          <w:sz w:val="32"/>
          <w:szCs w:val="32"/>
        </w:rPr>
        <w:ptab w:relativeTo="margin" w:alignment="right" w:leader="dot"/>
      </w:r>
      <w:r w:rsidR="00907557">
        <w:rPr>
          <w:rFonts w:ascii="黑体" w:eastAsia="黑体" w:hAnsi="黑体" w:hint="eastAsia"/>
          <w:sz w:val="32"/>
          <w:szCs w:val="32"/>
        </w:rPr>
        <w:t>10</w:t>
      </w:r>
    </w:p>
    <w:p w:rsidR="00EC184F" w:rsidRDefault="00DC6B00">
      <w:pPr>
        <w:pStyle w:val="20"/>
        <w:adjustRightInd w:val="0"/>
        <w:snapToGrid w:val="0"/>
        <w:spacing w:line="440" w:lineRule="exact"/>
        <w:ind w:leftChars="0" w:left="0"/>
        <w:jc w:val="left"/>
        <w:rPr>
          <w:rFonts w:ascii="仿宋" w:eastAsia="仿宋" w:hAnsi="仿宋" w:cstheme="minorBidi"/>
          <w:sz w:val="32"/>
          <w:szCs w:val="32"/>
        </w:rPr>
      </w:pPr>
      <w:r>
        <w:rPr>
          <w:rFonts w:hint="eastAsia"/>
          <w:sz w:val="32"/>
          <w:szCs w:val="32"/>
        </w:rPr>
        <w:t>二、收入决算情况说明</w:t>
      </w:r>
      <w:r w:rsidR="00907557">
        <w:rPr>
          <w:rFonts w:ascii="黑体" w:eastAsia="黑体" w:hAnsi="黑体"/>
          <w:sz w:val="32"/>
          <w:szCs w:val="32"/>
        </w:rPr>
        <w:ptab w:relativeTo="margin" w:alignment="right" w:leader="dot"/>
      </w:r>
      <w:r w:rsidR="00907557">
        <w:rPr>
          <w:rFonts w:ascii="黑体" w:eastAsia="黑体" w:hAnsi="黑体" w:hint="eastAsia"/>
          <w:sz w:val="32"/>
          <w:szCs w:val="32"/>
        </w:rPr>
        <w:t>11</w:t>
      </w:r>
    </w:p>
    <w:p w:rsidR="00EC184F" w:rsidRDefault="00DC6B00">
      <w:pPr>
        <w:pStyle w:val="20"/>
        <w:adjustRightInd w:val="0"/>
        <w:snapToGrid w:val="0"/>
        <w:spacing w:line="440" w:lineRule="exact"/>
        <w:ind w:leftChars="0" w:left="0"/>
        <w:jc w:val="left"/>
        <w:rPr>
          <w:rFonts w:ascii="仿宋" w:eastAsia="仿宋" w:hAnsi="仿宋" w:cstheme="minorBidi"/>
          <w:sz w:val="32"/>
          <w:szCs w:val="32"/>
        </w:rPr>
      </w:pPr>
      <w:r>
        <w:rPr>
          <w:rFonts w:hint="eastAsia"/>
          <w:sz w:val="32"/>
          <w:szCs w:val="32"/>
        </w:rPr>
        <w:t>三、支出决算情况说明</w:t>
      </w:r>
      <w:r w:rsidR="00907557">
        <w:rPr>
          <w:rFonts w:ascii="黑体" w:eastAsia="黑体" w:hAnsi="黑体"/>
          <w:sz w:val="32"/>
          <w:szCs w:val="32"/>
        </w:rPr>
        <w:ptab w:relativeTo="margin" w:alignment="right" w:leader="dot"/>
      </w:r>
      <w:r w:rsidR="00907557">
        <w:rPr>
          <w:rFonts w:ascii="黑体" w:eastAsia="黑体" w:hAnsi="黑体" w:hint="eastAsia"/>
          <w:sz w:val="32"/>
          <w:szCs w:val="32"/>
        </w:rPr>
        <w:t>11</w:t>
      </w:r>
    </w:p>
    <w:p w:rsidR="00EC184F" w:rsidRDefault="00DC6B00">
      <w:pPr>
        <w:pStyle w:val="20"/>
        <w:adjustRightInd w:val="0"/>
        <w:snapToGrid w:val="0"/>
        <w:spacing w:line="440" w:lineRule="exact"/>
        <w:ind w:leftChars="0" w:left="0"/>
        <w:jc w:val="left"/>
        <w:rPr>
          <w:rFonts w:ascii="仿宋" w:eastAsia="仿宋" w:hAnsi="仿宋" w:cstheme="minorBidi"/>
          <w:sz w:val="32"/>
          <w:szCs w:val="32"/>
        </w:rPr>
      </w:pPr>
      <w:r>
        <w:rPr>
          <w:rFonts w:hint="eastAsia"/>
          <w:sz w:val="32"/>
          <w:szCs w:val="32"/>
        </w:rPr>
        <w:t>四、财政拨款收入支出决算总体情况说明</w:t>
      </w:r>
      <w:r w:rsidR="00907557">
        <w:rPr>
          <w:rFonts w:ascii="黑体" w:eastAsia="黑体" w:hAnsi="黑体"/>
          <w:sz w:val="32"/>
          <w:szCs w:val="32"/>
        </w:rPr>
        <w:ptab w:relativeTo="margin" w:alignment="right" w:leader="dot"/>
      </w:r>
      <w:r w:rsidR="00907557">
        <w:rPr>
          <w:rFonts w:ascii="黑体" w:eastAsia="黑体" w:hAnsi="黑体" w:hint="eastAsia"/>
          <w:sz w:val="32"/>
          <w:szCs w:val="32"/>
        </w:rPr>
        <w:t>12</w:t>
      </w:r>
    </w:p>
    <w:p w:rsidR="00EC184F" w:rsidRDefault="00DC6B00">
      <w:pPr>
        <w:pStyle w:val="20"/>
        <w:adjustRightInd w:val="0"/>
        <w:snapToGrid w:val="0"/>
        <w:spacing w:line="440" w:lineRule="exact"/>
        <w:ind w:leftChars="0" w:left="0"/>
        <w:jc w:val="left"/>
        <w:rPr>
          <w:rFonts w:ascii="仿宋" w:eastAsia="仿宋" w:hAnsi="仿宋" w:cstheme="minorBidi"/>
          <w:sz w:val="32"/>
          <w:szCs w:val="32"/>
        </w:rPr>
      </w:pPr>
      <w:r>
        <w:rPr>
          <w:rFonts w:hint="eastAsia"/>
          <w:sz w:val="32"/>
          <w:szCs w:val="32"/>
        </w:rPr>
        <w:t>五、一般公共预算财政拨款支出决算情况说明</w:t>
      </w:r>
      <w:r w:rsidR="00907557">
        <w:rPr>
          <w:rFonts w:ascii="黑体" w:eastAsia="黑体" w:hAnsi="黑体"/>
          <w:sz w:val="32"/>
          <w:szCs w:val="32"/>
        </w:rPr>
        <w:ptab w:relativeTo="margin" w:alignment="right" w:leader="dot"/>
      </w:r>
      <w:r w:rsidR="00907557">
        <w:rPr>
          <w:rFonts w:ascii="黑体" w:eastAsia="黑体" w:hAnsi="黑体" w:hint="eastAsia"/>
          <w:sz w:val="32"/>
          <w:szCs w:val="32"/>
        </w:rPr>
        <w:t>13</w:t>
      </w:r>
    </w:p>
    <w:p w:rsidR="00EC184F" w:rsidRDefault="00DC6B00">
      <w:pPr>
        <w:pStyle w:val="20"/>
        <w:adjustRightInd w:val="0"/>
        <w:snapToGrid w:val="0"/>
        <w:spacing w:line="440" w:lineRule="exact"/>
        <w:ind w:leftChars="0" w:left="0"/>
        <w:jc w:val="left"/>
        <w:rPr>
          <w:rFonts w:ascii="仿宋" w:eastAsia="仿宋" w:hAnsi="仿宋" w:cstheme="minorBidi"/>
          <w:sz w:val="32"/>
          <w:szCs w:val="32"/>
        </w:rPr>
      </w:pPr>
      <w:r>
        <w:rPr>
          <w:rFonts w:hint="eastAsia"/>
          <w:sz w:val="32"/>
          <w:szCs w:val="32"/>
        </w:rPr>
        <w:t>六、一般公共预算财政拨款基本支出决算情况说明</w:t>
      </w:r>
      <w:r w:rsidR="00907557">
        <w:rPr>
          <w:rFonts w:ascii="黑体" w:eastAsia="黑体" w:hAnsi="黑体"/>
          <w:sz w:val="32"/>
          <w:szCs w:val="32"/>
        </w:rPr>
        <w:ptab w:relativeTo="margin" w:alignment="right" w:leader="dot"/>
      </w:r>
      <w:r w:rsidR="00907557">
        <w:rPr>
          <w:rFonts w:ascii="黑体" w:eastAsia="黑体" w:hAnsi="黑体" w:hint="eastAsia"/>
          <w:sz w:val="32"/>
          <w:szCs w:val="32"/>
        </w:rPr>
        <w:t>17</w:t>
      </w:r>
    </w:p>
    <w:p w:rsidR="00EC184F" w:rsidRDefault="00DC6B00">
      <w:pPr>
        <w:pStyle w:val="20"/>
        <w:adjustRightInd w:val="0"/>
        <w:snapToGrid w:val="0"/>
        <w:spacing w:line="440" w:lineRule="exact"/>
        <w:ind w:leftChars="0" w:left="0"/>
        <w:jc w:val="left"/>
        <w:rPr>
          <w:rFonts w:ascii="仿宋" w:eastAsia="仿宋" w:hAnsi="仿宋" w:cstheme="minorBidi"/>
          <w:sz w:val="32"/>
          <w:szCs w:val="32"/>
        </w:rPr>
      </w:pPr>
      <w:r>
        <w:rPr>
          <w:rFonts w:hint="eastAsia"/>
          <w:sz w:val="32"/>
          <w:szCs w:val="32"/>
        </w:rPr>
        <w:t>七、财政拨款“三公”经费支出决算情况说明</w:t>
      </w:r>
      <w:r w:rsidR="00907557">
        <w:rPr>
          <w:rFonts w:ascii="黑体" w:eastAsia="黑体" w:hAnsi="黑体"/>
          <w:sz w:val="32"/>
          <w:szCs w:val="32"/>
        </w:rPr>
        <w:ptab w:relativeTo="margin" w:alignment="right" w:leader="dot"/>
      </w:r>
      <w:r w:rsidR="00907557">
        <w:rPr>
          <w:rFonts w:ascii="黑体" w:eastAsia="黑体" w:hAnsi="黑体" w:hint="eastAsia"/>
          <w:sz w:val="32"/>
          <w:szCs w:val="32"/>
        </w:rPr>
        <w:t>18</w:t>
      </w:r>
    </w:p>
    <w:p w:rsidR="00EC184F" w:rsidRDefault="00DC6B00">
      <w:pPr>
        <w:pStyle w:val="20"/>
        <w:adjustRightInd w:val="0"/>
        <w:snapToGrid w:val="0"/>
        <w:spacing w:line="440" w:lineRule="exact"/>
        <w:ind w:leftChars="0" w:left="0"/>
        <w:jc w:val="left"/>
        <w:rPr>
          <w:rFonts w:ascii="仿宋" w:eastAsia="仿宋" w:hAnsi="仿宋" w:cstheme="minorBidi"/>
          <w:sz w:val="32"/>
          <w:szCs w:val="32"/>
        </w:rPr>
      </w:pPr>
      <w:r>
        <w:rPr>
          <w:rFonts w:hint="eastAsia"/>
          <w:sz w:val="32"/>
          <w:szCs w:val="32"/>
        </w:rPr>
        <w:t>八、政府性基金预算支出决算情况说明</w:t>
      </w:r>
      <w:r w:rsidR="00907557">
        <w:rPr>
          <w:rFonts w:ascii="黑体" w:eastAsia="黑体" w:hAnsi="黑体"/>
          <w:sz w:val="32"/>
          <w:szCs w:val="32"/>
        </w:rPr>
        <w:ptab w:relativeTo="margin" w:alignment="right" w:leader="dot"/>
      </w:r>
      <w:r w:rsidR="00907557">
        <w:rPr>
          <w:rFonts w:ascii="黑体" w:eastAsia="黑体" w:hAnsi="黑体" w:hint="eastAsia"/>
          <w:sz w:val="32"/>
          <w:szCs w:val="32"/>
        </w:rPr>
        <w:t>20</w:t>
      </w:r>
    </w:p>
    <w:p w:rsidR="00EC184F" w:rsidRDefault="00DC6B00">
      <w:pPr>
        <w:pStyle w:val="20"/>
        <w:adjustRightInd w:val="0"/>
        <w:snapToGrid w:val="0"/>
        <w:spacing w:line="440" w:lineRule="exact"/>
        <w:ind w:leftChars="0" w:left="0"/>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九、国有资本经营预算支出决算情况说明</w:t>
      </w:r>
      <w:r w:rsidR="00907557">
        <w:rPr>
          <w:rFonts w:ascii="黑体" w:eastAsia="黑体" w:hAnsi="黑体"/>
          <w:sz w:val="32"/>
          <w:szCs w:val="32"/>
        </w:rPr>
        <w:ptab w:relativeTo="margin" w:alignment="right" w:leader="dot"/>
      </w:r>
      <w:r w:rsidR="00907557">
        <w:rPr>
          <w:rFonts w:ascii="黑体" w:eastAsia="黑体" w:hAnsi="黑体" w:hint="eastAsia"/>
          <w:sz w:val="32"/>
          <w:szCs w:val="32"/>
        </w:rPr>
        <w:t>20</w:t>
      </w:r>
    </w:p>
    <w:p w:rsidR="00EC184F" w:rsidRDefault="00DC6B00">
      <w:pPr>
        <w:adjustRightInd w:val="0"/>
        <w:snapToGrid w:val="0"/>
        <w:spacing w:line="440" w:lineRule="exact"/>
        <w:jc w:val="left"/>
        <w:rPr>
          <w:rFonts w:asciiTheme="minorEastAsia" w:eastAsiaTheme="minorEastAsia" w:hAnsiTheme="minorEastAsia" w:cstheme="minorEastAsia"/>
          <w:sz w:val="32"/>
          <w:szCs w:val="32"/>
        </w:rPr>
      </w:pPr>
      <w:r>
        <w:rPr>
          <w:rStyle w:val="aa"/>
          <w:rFonts w:asciiTheme="minorEastAsia" w:eastAsiaTheme="minorEastAsia" w:hAnsiTheme="minorEastAsia" w:cstheme="minorEastAsia" w:hint="eastAsia"/>
          <w:color w:val="auto"/>
          <w:sz w:val="32"/>
          <w:szCs w:val="32"/>
          <w:u w:val="none"/>
        </w:rPr>
        <w:t>十、</w:t>
      </w:r>
      <w:r>
        <w:rPr>
          <w:rFonts w:asciiTheme="minorEastAsia" w:eastAsiaTheme="minorEastAsia" w:hAnsiTheme="minorEastAsia" w:cstheme="minorEastAsia" w:hint="eastAsia"/>
          <w:sz w:val="32"/>
          <w:szCs w:val="32"/>
        </w:rPr>
        <w:t>其他重要事项的情况说明</w:t>
      </w:r>
      <w:r>
        <w:rPr>
          <w:rFonts w:asciiTheme="minorEastAsia" w:eastAsiaTheme="minorEastAsia" w:hAnsiTheme="minorEastAsia" w:cstheme="minorEastAsia" w:hint="eastAsia"/>
          <w:sz w:val="32"/>
          <w:szCs w:val="32"/>
        </w:rPr>
        <w:tab/>
      </w:r>
      <w:r w:rsidR="00907557">
        <w:rPr>
          <w:rFonts w:ascii="黑体" w:eastAsia="黑体" w:hAnsi="黑体"/>
          <w:sz w:val="32"/>
          <w:szCs w:val="32"/>
        </w:rPr>
        <w:ptab w:relativeTo="margin" w:alignment="right" w:leader="dot"/>
      </w:r>
      <w:r w:rsidR="00907557">
        <w:rPr>
          <w:rFonts w:ascii="黑体" w:eastAsia="黑体" w:hAnsi="黑体" w:hint="eastAsia"/>
          <w:sz w:val="32"/>
          <w:szCs w:val="32"/>
        </w:rPr>
        <w:t>20</w:t>
      </w:r>
    </w:p>
    <w:p w:rsidR="00EC184F" w:rsidRDefault="00DC6B00">
      <w:pPr>
        <w:widowControl/>
        <w:jc w:val="left"/>
        <w:rPr>
          <w:rFonts w:ascii="黑体" w:eastAsia="黑体" w:hAnsi="黑体"/>
          <w:sz w:val="32"/>
          <w:szCs w:val="32"/>
        </w:rPr>
      </w:pPr>
      <w:r>
        <w:rPr>
          <w:rFonts w:ascii="黑体" w:eastAsia="黑体" w:hAnsi="黑体" w:hint="eastAsia"/>
          <w:sz w:val="32"/>
          <w:szCs w:val="32"/>
        </w:rPr>
        <w:t>第三部分名词解释</w:t>
      </w:r>
      <w:r w:rsidR="00907557">
        <w:rPr>
          <w:rFonts w:ascii="黑体" w:eastAsia="黑体" w:hAnsi="黑体"/>
          <w:sz w:val="32"/>
          <w:szCs w:val="32"/>
        </w:rPr>
        <w:ptab w:relativeTo="margin" w:alignment="right" w:leader="dot"/>
      </w:r>
      <w:r w:rsidR="00907557">
        <w:rPr>
          <w:rFonts w:ascii="黑体" w:eastAsia="黑体" w:hAnsi="黑体" w:hint="eastAsia"/>
          <w:sz w:val="32"/>
          <w:szCs w:val="32"/>
        </w:rPr>
        <w:t>23</w:t>
      </w:r>
    </w:p>
    <w:p w:rsidR="00EC184F" w:rsidRDefault="00DC6B00">
      <w:pPr>
        <w:widowControl/>
        <w:jc w:val="left"/>
        <w:rPr>
          <w:rFonts w:ascii="黑体" w:eastAsia="黑体" w:hAnsi="黑体"/>
          <w:sz w:val="32"/>
          <w:szCs w:val="32"/>
        </w:rPr>
      </w:pPr>
      <w:r>
        <w:rPr>
          <w:rFonts w:ascii="黑体" w:eastAsia="黑体" w:hAnsi="黑体" w:hint="eastAsia"/>
          <w:sz w:val="32"/>
          <w:szCs w:val="32"/>
        </w:rPr>
        <w:t>第四部分附件</w:t>
      </w:r>
      <w:r w:rsidR="00907557">
        <w:rPr>
          <w:rFonts w:ascii="黑体" w:eastAsia="黑体" w:hAnsi="黑体"/>
          <w:sz w:val="32"/>
          <w:szCs w:val="32"/>
        </w:rPr>
        <w:ptab w:relativeTo="margin" w:alignment="right" w:leader="dot"/>
      </w:r>
      <w:r w:rsidR="00907557">
        <w:rPr>
          <w:rFonts w:ascii="黑体" w:eastAsia="黑体" w:hAnsi="黑体" w:hint="eastAsia"/>
          <w:sz w:val="32"/>
          <w:szCs w:val="32"/>
        </w:rPr>
        <w:t>28</w:t>
      </w:r>
    </w:p>
    <w:p w:rsidR="00EC184F" w:rsidRDefault="00DC6B00">
      <w:pPr>
        <w:widowControl/>
        <w:jc w:val="left"/>
        <w:rPr>
          <w:rFonts w:ascii="黑体" w:eastAsia="黑体" w:hAnsi="黑体"/>
          <w:sz w:val="32"/>
          <w:szCs w:val="32"/>
        </w:rPr>
      </w:pPr>
      <w:r>
        <w:rPr>
          <w:rFonts w:ascii="黑体" w:eastAsia="黑体" w:hAnsi="黑体" w:hint="eastAsia"/>
          <w:sz w:val="32"/>
          <w:szCs w:val="32"/>
        </w:rPr>
        <w:t>第五部分附表</w:t>
      </w:r>
      <w:r w:rsidR="00907557">
        <w:rPr>
          <w:rFonts w:ascii="黑体" w:eastAsia="黑体" w:hAnsi="黑体"/>
          <w:sz w:val="32"/>
          <w:szCs w:val="32"/>
        </w:rPr>
        <w:ptab w:relativeTo="margin" w:alignment="right" w:leader="dot"/>
      </w:r>
      <w:r w:rsidR="00907557">
        <w:rPr>
          <w:rFonts w:ascii="黑体" w:eastAsia="黑体" w:hAnsi="黑体" w:hint="eastAsia"/>
          <w:sz w:val="32"/>
          <w:szCs w:val="32"/>
        </w:rPr>
        <w:t>62</w:t>
      </w:r>
    </w:p>
    <w:p w:rsidR="00EC184F" w:rsidRDefault="00DC6B00">
      <w:pPr>
        <w:pStyle w:val="20"/>
        <w:adjustRightInd w:val="0"/>
        <w:snapToGrid w:val="0"/>
        <w:spacing w:line="440" w:lineRule="exact"/>
        <w:ind w:leftChars="0" w:left="0"/>
        <w:jc w:val="left"/>
        <w:rPr>
          <w:sz w:val="32"/>
          <w:szCs w:val="32"/>
        </w:rPr>
      </w:pPr>
      <w:r>
        <w:rPr>
          <w:rFonts w:hint="eastAsia"/>
          <w:sz w:val="32"/>
          <w:szCs w:val="32"/>
        </w:rPr>
        <w:t>一、收入支出决算总表</w:t>
      </w:r>
      <w:r w:rsidR="00907557">
        <w:rPr>
          <w:rFonts w:ascii="黑体" w:eastAsia="黑体" w:hAnsi="黑体"/>
          <w:sz w:val="32"/>
          <w:szCs w:val="32"/>
        </w:rPr>
        <w:ptab w:relativeTo="margin" w:alignment="right" w:leader="dot"/>
      </w:r>
      <w:r w:rsidR="00907557">
        <w:rPr>
          <w:rFonts w:ascii="黑体" w:eastAsia="黑体" w:hAnsi="黑体" w:hint="eastAsia"/>
          <w:sz w:val="32"/>
          <w:szCs w:val="32"/>
        </w:rPr>
        <w:t>62</w:t>
      </w:r>
    </w:p>
    <w:p w:rsidR="00EC184F" w:rsidRDefault="00DC6B00">
      <w:pPr>
        <w:pStyle w:val="20"/>
        <w:adjustRightInd w:val="0"/>
        <w:snapToGrid w:val="0"/>
        <w:spacing w:line="440" w:lineRule="exact"/>
        <w:ind w:leftChars="0" w:left="0"/>
        <w:jc w:val="left"/>
        <w:rPr>
          <w:sz w:val="32"/>
          <w:szCs w:val="32"/>
        </w:rPr>
      </w:pPr>
      <w:r>
        <w:rPr>
          <w:rFonts w:hint="eastAsia"/>
          <w:sz w:val="32"/>
          <w:szCs w:val="32"/>
        </w:rPr>
        <w:t>二、收入决算表</w:t>
      </w:r>
      <w:r w:rsidR="00907557">
        <w:rPr>
          <w:rFonts w:ascii="黑体" w:eastAsia="黑体" w:hAnsi="黑体"/>
          <w:sz w:val="32"/>
          <w:szCs w:val="32"/>
        </w:rPr>
        <w:ptab w:relativeTo="margin" w:alignment="right" w:leader="dot"/>
      </w:r>
      <w:r w:rsidR="00907557">
        <w:rPr>
          <w:rFonts w:ascii="黑体" w:eastAsia="黑体" w:hAnsi="黑体" w:hint="eastAsia"/>
          <w:sz w:val="32"/>
          <w:szCs w:val="32"/>
        </w:rPr>
        <w:t>63</w:t>
      </w:r>
    </w:p>
    <w:p w:rsidR="00EC184F" w:rsidRDefault="00DC6B00">
      <w:pPr>
        <w:pStyle w:val="20"/>
        <w:adjustRightInd w:val="0"/>
        <w:snapToGrid w:val="0"/>
        <w:spacing w:line="440" w:lineRule="exact"/>
        <w:ind w:leftChars="0" w:left="0"/>
        <w:jc w:val="left"/>
        <w:rPr>
          <w:sz w:val="32"/>
          <w:szCs w:val="32"/>
        </w:rPr>
      </w:pPr>
      <w:r>
        <w:rPr>
          <w:rFonts w:hint="eastAsia"/>
          <w:sz w:val="32"/>
          <w:szCs w:val="32"/>
        </w:rPr>
        <w:t>三、支出决算表</w:t>
      </w:r>
      <w:r w:rsidR="00907557">
        <w:rPr>
          <w:rFonts w:ascii="黑体" w:eastAsia="黑体" w:hAnsi="黑体"/>
          <w:sz w:val="32"/>
          <w:szCs w:val="32"/>
        </w:rPr>
        <w:ptab w:relativeTo="margin" w:alignment="right" w:leader="dot"/>
      </w:r>
      <w:r w:rsidR="00907557">
        <w:rPr>
          <w:rFonts w:ascii="黑体" w:eastAsia="黑体" w:hAnsi="黑体" w:hint="eastAsia"/>
          <w:sz w:val="32"/>
          <w:szCs w:val="32"/>
        </w:rPr>
        <w:t>64</w:t>
      </w:r>
    </w:p>
    <w:p w:rsidR="00EC184F" w:rsidRDefault="00DC6B00">
      <w:pPr>
        <w:pStyle w:val="20"/>
        <w:adjustRightInd w:val="0"/>
        <w:snapToGrid w:val="0"/>
        <w:spacing w:line="440" w:lineRule="exact"/>
        <w:ind w:leftChars="0" w:left="0"/>
        <w:jc w:val="left"/>
        <w:rPr>
          <w:sz w:val="32"/>
          <w:szCs w:val="32"/>
        </w:rPr>
      </w:pPr>
      <w:r>
        <w:rPr>
          <w:rFonts w:hint="eastAsia"/>
          <w:sz w:val="32"/>
          <w:szCs w:val="32"/>
        </w:rPr>
        <w:t>四、财政拨款收入支出决算总表</w:t>
      </w:r>
      <w:r w:rsidR="00907557">
        <w:rPr>
          <w:rFonts w:ascii="黑体" w:eastAsia="黑体" w:hAnsi="黑体"/>
          <w:sz w:val="32"/>
          <w:szCs w:val="32"/>
        </w:rPr>
        <w:ptab w:relativeTo="margin" w:alignment="right" w:leader="dot"/>
      </w:r>
      <w:r w:rsidR="00907557">
        <w:rPr>
          <w:rFonts w:ascii="黑体" w:eastAsia="黑体" w:hAnsi="黑体" w:hint="eastAsia"/>
          <w:sz w:val="32"/>
          <w:szCs w:val="32"/>
        </w:rPr>
        <w:t>65</w:t>
      </w:r>
    </w:p>
    <w:p w:rsidR="00EC184F" w:rsidRDefault="00DC6B00">
      <w:pPr>
        <w:pStyle w:val="20"/>
        <w:adjustRightInd w:val="0"/>
        <w:snapToGrid w:val="0"/>
        <w:spacing w:line="440" w:lineRule="exact"/>
        <w:ind w:leftChars="0" w:left="0"/>
        <w:jc w:val="left"/>
        <w:rPr>
          <w:sz w:val="32"/>
          <w:szCs w:val="32"/>
        </w:rPr>
      </w:pPr>
      <w:r>
        <w:rPr>
          <w:rFonts w:hint="eastAsia"/>
          <w:sz w:val="32"/>
          <w:szCs w:val="32"/>
        </w:rPr>
        <w:t>五、财政拨款支出决算明细表</w:t>
      </w:r>
      <w:r w:rsidR="00907557">
        <w:rPr>
          <w:rFonts w:ascii="黑体" w:eastAsia="黑体" w:hAnsi="黑体"/>
          <w:sz w:val="32"/>
          <w:szCs w:val="32"/>
        </w:rPr>
        <w:ptab w:relativeTo="margin" w:alignment="right" w:leader="dot"/>
      </w:r>
      <w:r w:rsidR="00907557">
        <w:rPr>
          <w:rFonts w:ascii="黑体" w:eastAsia="黑体" w:hAnsi="黑体" w:hint="eastAsia"/>
          <w:sz w:val="32"/>
          <w:szCs w:val="32"/>
        </w:rPr>
        <w:t>66</w:t>
      </w:r>
    </w:p>
    <w:p w:rsidR="00EC184F" w:rsidRDefault="00DC6B00">
      <w:pPr>
        <w:pStyle w:val="20"/>
        <w:adjustRightInd w:val="0"/>
        <w:snapToGrid w:val="0"/>
        <w:spacing w:line="440" w:lineRule="exact"/>
        <w:ind w:leftChars="0" w:left="0"/>
        <w:jc w:val="left"/>
        <w:rPr>
          <w:sz w:val="32"/>
          <w:szCs w:val="32"/>
        </w:rPr>
      </w:pPr>
      <w:r>
        <w:rPr>
          <w:rFonts w:hint="eastAsia"/>
          <w:sz w:val="32"/>
          <w:szCs w:val="32"/>
        </w:rPr>
        <w:t>六、一般公共预算财政拨款支出决算表</w:t>
      </w:r>
      <w:r w:rsidR="00907557">
        <w:rPr>
          <w:rFonts w:ascii="黑体" w:eastAsia="黑体" w:hAnsi="黑体"/>
          <w:sz w:val="32"/>
          <w:szCs w:val="32"/>
        </w:rPr>
        <w:ptab w:relativeTo="margin" w:alignment="right" w:leader="dot"/>
      </w:r>
      <w:r w:rsidR="00907557">
        <w:rPr>
          <w:rFonts w:ascii="黑体" w:eastAsia="黑体" w:hAnsi="黑体" w:hint="eastAsia"/>
          <w:sz w:val="32"/>
          <w:szCs w:val="32"/>
        </w:rPr>
        <w:t>68</w:t>
      </w:r>
    </w:p>
    <w:p w:rsidR="00EC184F" w:rsidRDefault="00DC6B00">
      <w:pPr>
        <w:pStyle w:val="20"/>
        <w:adjustRightInd w:val="0"/>
        <w:snapToGrid w:val="0"/>
        <w:spacing w:line="440" w:lineRule="exact"/>
        <w:ind w:leftChars="0" w:left="0"/>
        <w:jc w:val="left"/>
        <w:rPr>
          <w:sz w:val="32"/>
          <w:szCs w:val="32"/>
        </w:rPr>
      </w:pPr>
      <w:r>
        <w:rPr>
          <w:rFonts w:hint="eastAsia"/>
          <w:sz w:val="32"/>
          <w:szCs w:val="32"/>
        </w:rPr>
        <w:lastRenderedPageBreak/>
        <w:t>七、一般公共预算财政拨款支出决算明细表</w:t>
      </w:r>
      <w:r w:rsidR="00907557">
        <w:rPr>
          <w:rFonts w:ascii="黑体" w:eastAsia="黑体" w:hAnsi="黑体"/>
          <w:sz w:val="32"/>
          <w:szCs w:val="32"/>
        </w:rPr>
        <w:ptab w:relativeTo="margin" w:alignment="right" w:leader="dot"/>
      </w:r>
      <w:r w:rsidR="00907557">
        <w:rPr>
          <w:rFonts w:ascii="黑体" w:eastAsia="黑体" w:hAnsi="黑体" w:hint="eastAsia"/>
          <w:sz w:val="32"/>
          <w:szCs w:val="32"/>
        </w:rPr>
        <w:t>69</w:t>
      </w:r>
    </w:p>
    <w:p w:rsidR="00EC184F" w:rsidRDefault="00DC6B00">
      <w:pPr>
        <w:pStyle w:val="20"/>
        <w:adjustRightInd w:val="0"/>
        <w:snapToGrid w:val="0"/>
        <w:spacing w:line="440" w:lineRule="exact"/>
        <w:ind w:leftChars="0" w:left="0"/>
        <w:jc w:val="left"/>
        <w:rPr>
          <w:sz w:val="32"/>
          <w:szCs w:val="32"/>
        </w:rPr>
      </w:pPr>
      <w:r>
        <w:rPr>
          <w:rFonts w:hint="eastAsia"/>
          <w:sz w:val="32"/>
          <w:szCs w:val="32"/>
        </w:rPr>
        <w:t>八、一般公共预算财政拨款基本支出决算明细表</w:t>
      </w:r>
      <w:r w:rsidR="00907557">
        <w:rPr>
          <w:rFonts w:ascii="黑体" w:eastAsia="黑体" w:hAnsi="黑体"/>
          <w:sz w:val="32"/>
          <w:szCs w:val="32"/>
        </w:rPr>
        <w:ptab w:relativeTo="margin" w:alignment="right" w:leader="dot"/>
      </w:r>
      <w:r w:rsidR="000425D8">
        <w:rPr>
          <w:rFonts w:ascii="黑体" w:eastAsia="黑体" w:hAnsi="黑体" w:hint="eastAsia"/>
          <w:sz w:val="32"/>
          <w:szCs w:val="32"/>
        </w:rPr>
        <w:t>80</w:t>
      </w:r>
    </w:p>
    <w:p w:rsidR="00EC184F" w:rsidRDefault="00DC6B00">
      <w:pPr>
        <w:pStyle w:val="20"/>
        <w:adjustRightInd w:val="0"/>
        <w:snapToGrid w:val="0"/>
        <w:spacing w:line="440" w:lineRule="exact"/>
        <w:ind w:leftChars="0" w:left="0"/>
        <w:jc w:val="left"/>
        <w:rPr>
          <w:sz w:val="32"/>
          <w:szCs w:val="32"/>
        </w:rPr>
      </w:pPr>
      <w:r>
        <w:rPr>
          <w:rFonts w:hint="eastAsia"/>
          <w:sz w:val="32"/>
          <w:szCs w:val="32"/>
        </w:rPr>
        <w:t>九、一般公共预算财政拨款项目支出决算表</w:t>
      </w:r>
      <w:r w:rsidR="00907557">
        <w:rPr>
          <w:rFonts w:ascii="黑体" w:eastAsia="黑体" w:hAnsi="黑体"/>
          <w:sz w:val="32"/>
          <w:szCs w:val="32"/>
        </w:rPr>
        <w:ptab w:relativeTo="margin" w:alignment="right" w:leader="dot"/>
      </w:r>
      <w:r w:rsidR="000425D8">
        <w:rPr>
          <w:rFonts w:ascii="黑体" w:eastAsia="黑体" w:hAnsi="黑体" w:hint="eastAsia"/>
          <w:sz w:val="32"/>
          <w:szCs w:val="32"/>
        </w:rPr>
        <w:t>81</w:t>
      </w:r>
    </w:p>
    <w:p w:rsidR="00EC184F" w:rsidRDefault="00DC6B00">
      <w:pPr>
        <w:pStyle w:val="20"/>
        <w:adjustRightInd w:val="0"/>
        <w:snapToGrid w:val="0"/>
        <w:spacing w:line="440" w:lineRule="exact"/>
        <w:ind w:leftChars="0" w:left="0"/>
        <w:jc w:val="left"/>
        <w:rPr>
          <w:sz w:val="32"/>
          <w:szCs w:val="32"/>
        </w:rPr>
      </w:pPr>
      <w:r>
        <w:rPr>
          <w:rFonts w:hint="eastAsia"/>
          <w:sz w:val="32"/>
          <w:szCs w:val="32"/>
        </w:rPr>
        <w:t>十、政府性基金预算财政拨款收入支出决算表</w:t>
      </w:r>
      <w:r w:rsidR="00907557">
        <w:rPr>
          <w:rFonts w:ascii="黑体" w:eastAsia="黑体" w:hAnsi="黑体"/>
          <w:sz w:val="32"/>
          <w:szCs w:val="32"/>
        </w:rPr>
        <w:ptab w:relativeTo="margin" w:alignment="right" w:leader="dot"/>
      </w:r>
      <w:r w:rsidR="000425D8">
        <w:rPr>
          <w:rFonts w:ascii="黑体" w:eastAsia="黑体" w:hAnsi="黑体" w:hint="eastAsia"/>
          <w:sz w:val="32"/>
          <w:szCs w:val="32"/>
        </w:rPr>
        <w:t>82</w:t>
      </w:r>
    </w:p>
    <w:p w:rsidR="00EC184F" w:rsidRDefault="00DC6B00">
      <w:pPr>
        <w:pStyle w:val="20"/>
        <w:adjustRightInd w:val="0"/>
        <w:snapToGrid w:val="0"/>
        <w:spacing w:line="440" w:lineRule="exact"/>
        <w:ind w:leftChars="0" w:left="0"/>
        <w:jc w:val="left"/>
        <w:rPr>
          <w:sz w:val="32"/>
          <w:szCs w:val="32"/>
        </w:rPr>
      </w:pPr>
      <w:r>
        <w:rPr>
          <w:rFonts w:hint="eastAsia"/>
          <w:sz w:val="32"/>
          <w:szCs w:val="32"/>
        </w:rPr>
        <w:t>十一、国有资本经营预算财政拨款收入支出决算表</w:t>
      </w:r>
      <w:r w:rsidR="00907557">
        <w:rPr>
          <w:rFonts w:ascii="黑体" w:eastAsia="黑体" w:hAnsi="黑体"/>
          <w:sz w:val="32"/>
          <w:szCs w:val="32"/>
        </w:rPr>
        <w:ptab w:relativeTo="margin" w:alignment="right" w:leader="dot"/>
      </w:r>
      <w:r w:rsidR="000425D8">
        <w:rPr>
          <w:rFonts w:ascii="黑体" w:eastAsia="黑体" w:hAnsi="黑体" w:hint="eastAsia"/>
          <w:sz w:val="32"/>
          <w:szCs w:val="32"/>
        </w:rPr>
        <w:t>82</w:t>
      </w:r>
    </w:p>
    <w:p w:rsidR="00EC184F" w:rsidRDefault="00DC6B00">
      <w:pPr>
        <w:pStyle w:val="20"/>
        <w:adjustRightInd w:val="0"/>
        <w:snapToGrid w:val="0"/>
        <w:spacing w:line="440" w:lineRule="exact"/>
        <w:ind w:leftChars="0" w:left="0"/>
        <w:jc w:val="left"/>
        <w:rPr>
          <w:sz w:val="32"/>
          <w:szCs w:val="32"/>
        </w:rPr>
      </w:pPr>
      <w:r>
        <w:rPr>
          <w:rFonts w:hint="eastAsia"/>
          <w:sz w:val="32"/>
          <w:szCs w:val="32"/>
        </w:rPr>
        <w:t>十二、国有资本经营预算财政拨款支出决算表</w:t>
      </w:r>
      <w:r w:rsidR="00907557">
        <w:rPr>
          <w:rFonts w:ascii="黑体" w:eastAsia="黑体" w:hAnsi="黑体"/>
          <w:sz w:val="32"/>
          <w:szCs w:val="32"/>
        </w:rPr>
        <w:ptab w:relativeTo="margin" w:alignment="right" w:leader="dot"/>
      </w:r>
      <w:r w:rsidR="000425D8">
        <w:rPr>
          <w:rFonts w:ascii="黑体" w:eastAsia="黑体" w:hAnsi="黑体" w:hint="eastAsia"/>
          <w:sz w:val="32"/>
          <w:szCs w:val="32"/>
        </w:rPr>
        <w:t>83</w:t>
      </w:r>
    </w:p>
    <w:p w:rsidR="00EC184F" w:rsidRDefault="00DC6B00">
      <w:pPr>
        <w:pStyle w:val="20"/>
        <w:adjustRightInd w:val="0"/>
        <w:snapToGrid w:val="0"/>
        <w:spacing w:line="440" w:lineRule="exact"/>
        <w:ind w:leftChars="0" w:left="0"/>
        <w:jc w:val="left"/>
        <w:rPr>
          <w:rFonts w:asciiTheme="minorEastAsia" w:eastAsiaTheme="minorEastAsia" w:hAnsiTheme="minorEastAsia" w:cstheme="minorEastAsia"/>
          <w:sz w:val="32"/>
          <w:szCs w:val="32"/>
        </w:rPr>
      </w:pPr>
      <w:r>
        <w:rPr>
          <w:rFonts w:hint="eastAsia"/>
          <w:sz w:val="32"/>
          <w:szCs w:val="32"/>
        </w:rPr>
        <w:t>十三、财政拨款“三公”经费支出决算表</w:t>
      </w:r>
      <w:r w:rsidR="00907557">
        <w:rPr>
          <w:rFonts w:ascii="黑体" w:eastAsia="黑体" w:hAnsi="黑体"/>
          <w:sz w:val="32"/>
          <w:szCs w:val="32"/>
        </w:rPr>
        <w:ptab w:relativeTo="margin" w:alignment="right" w:leader="dot"/>
      </w:r>
      <w:r w:rsidR="000425D8">
        <w:rPr>
          <w:rFonts w:ascii="黑体" w:eastAsia="黑体" w:hAnsi="黑体" w:hint="eastAsia"/>
          <w:sz w:val="32"/>
          <w:szCs w:val="32"/>
        </w:rPr>
        <w:t>83</w:t>
      </w:r>
    </w:p>
    <w:p w:rsidR="00EC184F" w:rsidRDefault="00DC6B00">
      <w:pPr>
        <w:widowControl/>
        <w:spacing w:line="440" w:lineRule="exact"/>
        <w:jc w:val="left"/>
        <w:rPr>
          <w:rFonts w:ascii="仿宋" w:eastAsia="仿宋" w:hAnsi="仿宋"/>
          <w:bCs/>
          <w:kern w:val="44"/>
          <w:sz w:val="24"/>
        </w:rPr>
      </w:pPr>
      <w:bookmarkStart w:id="12" w:name="_Toc15377196"/>
      <w:bookmarkStart w:id="13" w:name="_Toc15396599"/>
      <w:r>
        <w:rPr>
          <w:rFonts w:ascii="仿宋" w:eastAsia="仿宋" w:hAnsi="仿宋"/>
          <w:b/>
          <w:sz w:val="24"/>
        </w:rPr>
        <w:br w:type="page"/>
      </w:r>
    </w:p>
    <w:p w:rsidR="00EC184F" w:rsidRDefault="00DC6B00">
      <w:pPr>
        <w:pStyle w:val="1"/>
        <w:jc w:val="center"/>
        <w:rPr>
          <w:rStyle w:val="1Char"/>
          <w:rFonts w:ascii="黑体" w:eastAsia="黑体" w:hAnsi="黑体"/>
          <w:b/>
        </w:rPr>
      </w:pPr>
      <w:r>
        <w:rPr>
          <w:rFonts w:ascii="黑体" w:eastAsia="黑体" w:hAnsi="黑体" w:hint="eastAsia"/>
          <w:b w:val="0"/>
        </w:rPr>
        <w:lastRenderedPageBreak/>
        <w:t xml:space="preserve">第一部分 </w:t>
      </w:r>
      <w:r>
        <w:rPr>
          <w:rStyle w:val="1Char"/>
          <w:rFonts w:ascii="黑体" w:eastAsia="黑体" w:hAnsi="黑体" w:hint="eastAsia"/>
        </w:rPr>
        <w:t>部门概况</w:t>
      </w:r>
      <w:bookmarkEnd w:id="12"/>
      <w:bookmarkEnd w:id="13"/>
    </w:p>
    <w:p w:rsidR="00EC184F" w:rsidRDefault="00EC184F">
      <w:pPr>
        <w:widowControl/>
        <w:jc w:val="left"/>
        <w:rPr>
          <w:rFonts w:ascii="黑体" w:eastAsia="黑体"/>
          <w:sz w:val="32"/>
          <w:szCs w:val="32"/>
        </w:rPr>
      </w:pPr>
    </w:p>
    <w:p w:rsidR="00EC184F" w:rsidRDefault="00DC6B00">
      <w:pPr>
        <w:pStyle w:val="2"/>
        <w:rPr>
          <w:rFonts w:ascii="黑体" w:eastAsia="黑体" w:hAnsi="黑体"/>
          <w:b w:val="0"/>
        </w:rPr>
      </w:pPr>
      <w:bookmarkStart w:id="14" w:name="_Toc15396600"/>
      <w:bookmarkStart w:id="15" w:name="_Toc15377197"/>
      <w:r>
        <w:rPr>
          <w:rFonts w:ascii="黑体" w:eastAsia="黑体" w:hAnsi="黑体" w:hint="eastAsia"/>
          <w:b w:val="0"/>
        </w:rPr>
        <w:t>一、</w:t>
      </w:r>
      <w:bookmarkEnd w:id="14"/>
      <w:bookmarkEnd w:id="15"/>
      <w:r>
        <w:rPr>
          <w:rFonts w:ascii="黑体" w:eastAsia="黑体" w:hAnsi="黑体" w:hint="eastAsia"/>
          <w:b w:val="0"/>
        </w:rPr>
        <w:t>部门职责</w:t>
      </w:r>
    </w:p>
    <w:p w:rsidR="00EC184F" w:rsidRDefault="00DC6B00">
      <w:pPr>
        <w:ind w:firstLineChars="250" w:firstLine="800"/>
        <w:rPr>
          <w:rFonts w:ascii="仿宋" w:eastAsia="仿宋" w:hAnsi="仿宋"/>
          <w:sz w:val="32"/>
          <w:szCs w:val="32"/>
        </w:rPr>
      </w:pPr>
      <w:r>
        <w:rPr>
          <w:rFonts w:ascii="仿宋" w:eastAsia="仿宋" w:hAnsi="仿宋" w:hint="eastAsia"/>
          <w:sz w:val="32"/>
          <w:szCs w:val="32"/>
        </w:rPr>
        <w:t>一是</w:t>
      </w:r>
      <w:r>
        <w:rPr>
          <w:rFonts w:ascii="仿宋" w:eastAsia="仿宋" w:hAnsi="仿宋"/>
          <w:sz w:val="32"/>
          <w:szCs w:val="32"/>
        </w:rPr>
        <w:t>贯彻实施国家、省、市有关工业经济、信息化、无线电管理的法律、法规和方针政策，组织实施国家西部大开发战略等有关工业经济的政策措施，拟订我县工业经济、信息化和无线电管理的政策措施并组织实施。负责推进全县工业结构调整，牵头推动信息化和工业化融合、工业化与城镇化联动。负责工业领域、信息化领域、无线电管理领域的行政执法和执法监督检查工作。</w:t>
      </w:r>
    </w:p>
    <w:p w:rsidR="00EC184F" w:rsidRDefault="00DC6B00">
      <w:pPr>
        <w:ind w:firstLineChars="250" w:firstLine="800"/>
        <w:rPr>
          <w:rFonts w:ascii="仿宋" w:eastAsia="仿宋" w:hAnsi="仿宋"/>
          <w:sz w:val="32"/>
          <w:szCs w:val="32"/>
        </w:rPr>
      </w:pPr>
      <w:r>
        <w:rPr>
          <w:rFonts w:ascii="仿宋" w:eastAsia="仿宋" w:hAnsi="仿宋" w:hint="eastAsia"/>
          <w:sz w:val="32"/>
          <w:szCs w:val="32"/>
        </w:rPr>
        <w:t>二是</w:t>
      </w:r>
      <w:r>
        <w:rPr>
          <w:rFonts w:ascii="仿宋" w:eastAsia="仿宋" w:hAnsi="仿宋"/>
          <w:sz w:val="32"/>
          <w:szCs w:val="32"/>
        </w:rPr>
        <w:t>拟订全县创新驱动发展战略以及科技发展、引进国外智力规划和政策措施并组织实施。起草有关科技发展政策措施并组织实施。</w:t>
      </w:r>
    </w:p>
    <w:p w:rsidR="00EC184F" w:rsidRDefault="00DC6B00">
      <w:pPr>
        <w:ind w:firstLineChars="250" w:firstLine="800"/>
        <w:rPr>
          <w:rFonts w:ascii="仿宋" w:eastAsia="仿宋" w:hAnsi="仿宋"/>
          <w:sz w:val="32"/>
          <w:szCs w:val="32"/>
        </w:rPr>
      </w:pPr>
      <w:r>
        <w:rPr>
          <w:rFonts w:ascii="仿宋" w:eastAsia="仿宋" w:hAnsi="仿宋" w:hint="eastAsia"/>
          <w:sz w:val="32"/>
          <w:szCs w:val="32"/>
        </w:rPr>
        <w:t>三是</w:t>
      </w:r>
      <w:r>
        <w:rPr>
          <w:rFonts w:ascii="仿宋" w:eastAsia="仿宋" w:hAnsi="仿宋"/>
          <w:sz w:val="32"/>
          <w:szCs w:val="32"/>
        </w:rPr>
        <w:t>组织拟订新型工业化发展战略和重大政策，协调解决新型工业化进程中的重大问题，组织实施工业强县战略。参与拟订国民经济和社会发展规划，组织制定并牵头实施工业（不含能源，下同）、信息化相关行业的发展规划、年度计划和产业政策，贯彻执行工业领域、信息化领域行业技术规范与行业标准，指导行业质量管理工作。</w:t>
      </w:r>
    </w:p>
    <w:p w:rsidR="00EC184F" w:rsidRDefault="00DC6B00">
      <w:pPr>
        <w:ind w:firstLineChars="250" w:firstLine="800"/>
        <w:rPr>
          <w:rFonts w:ascii="仿宋" w:eastAsia="仿宋" w:hAnsi="仿宋"/>
          <w:sz w:val="32"/>
          <w:szCs w:val="32"/>
        </w:rPr>
      </w:pPr>
      <w:r>
        <w:rPr>
          <w:rFonts w:ascii="仿宋" w:eastAsia="仿宋" w:hAnsi="仿宋" w:hint="eastAsia"/>
          <w:sz w:val="32"/>
          <w:szCs w:val="32"/>
        </w:rPr>
        <w:t>四是</w:t>
      </w:r>
      <w:r>
        <w:rPr>
          <w:rFonts w:ascii="仿宋" w:eastAsia="仿宋" w:hAnsi="仿宋"/>
          <w:sz w:val="32"/>
          <w:szCs w:val="32"/>
        </w:rPr>
        <w:t>统筹推进全县科技创新体系建设和科技体制改</w:t>
      </w:r>
      <w:r>
        <w:rPr>
          <w:rFonts w:ascii="仿宋" w:eastAsia="仿宋" w:hAnsi="仿宋"/>
          <w:sz w:val="32"/>
          <w:szCs w:val="32"/>
        </w:rPr>
        <w:lastRenderedPageBreak/>
        <w:t>革，会同有关部门健全技术创新激励机制。优化科研体系建设，指导科研机构改革发展，推动企业科技创新能力建设，承担推进军民融合发展相关工作；推进全县重大科技决策咨询制度建设。组织拟订全县推进创新创业、促进科技金融结合、科技招商的政策措施并组织实施。</w:t>
      </w:r>
    </w:p>
    <w:p w:rsidR="00EC184F" w:rsidRDefault="00DC6B00">
      <w:pPr>
        <w:ind w:firstLineChars="250" w:firstLine="800"/>
        <w:rPr>
          <w:rFonts w:ascii="仿宋" w:eastAsia="仿宋" w:hAnsi="仿宋"/>
          <w:sz w:val="32"/>
          <w:szCs w:val="32"/>
        </w:rPr>
      </w:pPr>
      <w:r>
        <w:rPr>
          <w:rFonts w:ascii="仿宋" w:eastAsia="仿宋" w:hAnsi="仿宋" w:hint="eastAsia"/>
          <w:sz w:val="32"/>
          <w:szCs w:val="32"/>
        </w:rPr>
        <w:t>五是</w:t>
      </w:r>
      <w:r>
        <w:rPr>
          <w:rFonts w:ascii="仿宋" w:eastAsia="仿宋" w:hAnsi="仿宋"/>
          <w:sz w:val="32"/>
          <w:szCs w:val="32"/>
        </w:rPr>
        <w:t>牵头建立全县科研项目资金协调、实施、评估、监管机制。</w:t>
      </w:r>
    </w:p>
    <w:p w:rsidR="00EC184F" w:rsidRDefault="00DC6B00">
      <w:pPr>
        <w:ind w:firstLineChars="250" w:firstLine="800"/>
        <w:rPr>
          <w:rFonts w:ascii="仿宋" w:eastAsia="仿宋" w:hAnsi="仿宋"/>
          <w:sz w:val="32"/>
          <w:szCs w:val="32"/>
        </w:rPr>
      </w:pPr>
      <w:r>
        <w:rPr>
          <w:rFonts w:ascii="仿宋" w:eastAsia="仿宋" w:hAnsi="仿宋" w:hint="eastAsia"/>
          <w:sz w:val="32"/>
          <w:szCs w:val="32"/>
        </w:rPr>
        <w:t>六是</w:t>
      </w:r>
      <w:r>
        <w:rPr>
          <w:rFonts w:ascii="仿宋" w:eastAsia="仿宋" w:hAnsi="仿宋"/>
          <w:sz w:val="32"/>
          <w:szCs w:val="32"/>
        </w:rPr>
        <w:t>监测、分析全县工业经济运行态势和质量，建立全县工业经济运行预警机制，拟订中、近期工业经济运行目标、政策并组织实施，协调解决经济运行中的重大问题。负责对电力、煤炭、成品油、天然气等要素的综合调控、紧急调度和铁路运输协调工作，负责县级医药储备的监督管理。承办工业经济目标责任考核。</w:t>
      </w:r>
    </w:p>
    <w:p w:rsidR="00EC184F" w:rsidRDefault="00DC6B00">
      <w:pPr>
        <w:ind w:firstLineChars="250" w:firstLine="800"/>
        <w:rPr>
          <w:rFonts w:ascii="仿宋" w:eastAsia="仿宋" w:hAnsi="仿宋"/>
          <w:sz w:val="32"/>
          <w:szCs w:val="32"/>
        </w:rPr>
      </w:pPr>
      <w:r>
        <w:rPr>
          <w:rFonts w:ascii="仿宋" w:eastAsia="仿宋" w:hAnsi="仿宋" w:hint="eastAsia"/>
          <w:sz w:val="32"/>
          <w:szCs w:val="32"/>
        </w:rPr>
        <w:t>七是</w:t>
      </w:r>
      <w:r>
        <w:rPr>
          <w:rFonts w:ascii="仿宋" w:eastAsia="仿宋" w:hAnsi="仿宋"/>
          <w:sz w:val="32"/>
          <w:szCs w:val="32"/>
        </w:rPr>
        <w:t>牵头实施全县企业技术改造推进工作，制定并实施全县企业技术改造投资规划和政策，制定并发布全县企业技术改造投资项目引导目录。提出全县工业和信息化固定资产投资规模的意见，按照规定权限审批、核准、备案、转报全县企业技术改造项目并组织实施。组织实施全县工业重大产业化项目。</w:t>
      </w:r>
    </w:p>
    <w:p w:rsidR="00EC184F" w:rsidRDefault="00DC6B00">
      <w:pPr>
        <w:ind w:firstLineChars="250" w:firstLine="800"/>
        <w:rPr>
          <w:rFonts w:ascii="仿宋" w:eastAsia="仿宋" w:hAnsi="仿宋"/>
          <w:sz w:val="32"/>
          <w:szCs w:val="32"/>
        </w:rPr>
      </w:pPr>
      <w:r>
        <w:rPr>
          <w:rFonts w:ascii="仿宋" w:eastAsia="仿宋" w:hAnsi="仿宋" w:hint="eastAsia"/>
          <w:sz w:val="32"/>
          <w:szCs w:val="32"/>
        </w:rPr>
        <w:t>八是</w:t>
      </w:r>
      <w:r>
        <w:rPr>
          <w:rFonts w:ascii="仿宋" w:eastAsia="仿宋" w:hAnsi="仿宋"/>
          <w:sz w:val="32"/>
          <w:szCs w:val="32"/>
        </w:rPr>
        <w:t>制定全县企业技术创新体系建设，制定鼓励企业技术创新的政策措施，指导企业技术创新、技术引进、重大装备国产化和重大技术装备研制，编制下达全县企业技术创</w:t>
      </w:r>
      <w:r>
        <w:rPr>
          <w:rFonts w:ascii="仿宋" w:eastAsia="仿宋" w:hAnsi="仿宋"/>
          <w:sz w:val="32"/>
          <w:szCs w:val="32"/>
        </w:rPr>
        <w:lastRenderedPageBreak/>
        <w:t>新项目计划并组织实施，组织企业技术中心申报、认定和建设管理工作。</w:t>
      </w:r>
    </w:p>
    <w:p w:rsidR="00EC184F" w:rsidRDefault="00DC6B00">
      <w:pPr>
        <w:ind w:firstLineChars="250" w:firstLine="800"/>
        <w:rPr>
          <w:rFonts w:ascii="仿宋" w:eastAsia="仿宋" w:hAnsi="仿宋"/>
          <w:sz w:val="32"/>
          <w:szCs w:val="32"/>
        </w:rPr>
      </w:pPr>
      <w:r>
        <w:rPr>
          <w:rFonts w:ascii="仿宋" w:eastAsia="仿宋" w:hAnsi="仿宋" w:hint="eastAsia"/>
          <w:sz w:val="32"/>
          <w:szCs w:val="32"/>
        </w:rPr>
        <w:t>九是</w:t>
      </w:r>
      <w:r>
        <w:rPr>
          <w:rFonts w:ascii="仿宋" w:eastAsia="仿宋" w:hAnsi="仿宋"/>
          <w:sz w:val="32"/>
          <w:szCs w:val="32"/>
        </w:rPr>
        <w:t>指导全县产业园区建设发展。</w:t>
      </w:r>
    </w:p>
    <w:p w:rsidR="00EC184F" w:rsidRDefault="00DC6B00">
      <w:pPr>
        <w:ind w:firstLineChars="250" w:firstLine="800"/>
        <w:rPr>
          <w:rFonts w:ascii="仿宋" w:eastAsia="仿宋" w:hAnsi="仿宋"/>
          <w:sz w:val="32"/>
          <w:szCs w:val="32"/>
        </w:rPr>
      </w:pPr>
      <w:r>
        <w:rPr>
          <w:rFonts w:ascii="仿宋" w:eastAsia="仿宋" w:hAnsi="仿宋" w:hint="eastAsia"/>
          <w:sz w:val="32"/>
          <w:szCs w:val="32"/>
        </w:rPr>
        <w:t>十是</w:t>
      </w:r>
      <w:r>
        <w:rPr>
          <w:rFonts w:ascii="仿宋" w:eastAsia="仿宋" w:hAnsi="仿宋"/>
          <w:sz w:val="32"/>
          <w:szCs w:val="32"/>
        </w:rPr>
        <w:t>负责全县工业和信息化领域的节能降耗、清洁生产和资源节约与综合利用工作，推进工业化与生态环境协调发展；组织实施工业循环经济重大示范项目和节能降耗、清洁生产及资源节约与综合利用的新产品、新技术、新工艺、新设备、新材料的推广应用。</w:t>
      </w:r>
    </w:p>
    <w:p w:rsidR="00EC184F" w:rsidRDefault="00DC6B00">
      <w:pPr>
        <w:ind w:firstLineChars="250" w:firstLine="800"/>
        <w:rPr>
          <w:rFonts w:ascii="仿宋" w:eastAsia="仿宋" w:hAnsi="仿宋"/>
          <w:sz w:val="32"/>
          <w:szCs w:val="32"/>
        </w:rPr>
      </w:pPr>
      <w:r>
        <w:rPr>
          <w:rFonts w:ascii="仿宋" w:eastAsia="仿宋" w:hAnsi="仿宋"/>
          <w:sz w:val="32"/>
          <w:szCs w:val="32"/>
        </w:rPr>
        <w:t>十一</w:t>
      </w:r>
      <w:r>
        <w:rPr>
          <w:rFonts w:ascii="仿宋" w:eastAsia="仿宋" w:hAnsi="仿宋" w:hint="eastAsia"/>
          <w:sz w:val="32"/>
          <w:szCs w:val="32"/>
        </w:rPr>
        <w:t>是</w:t>
      </w:r>
      <w:r>
        <w:rPr>
          <w:rFonts w:ascii="仿宋" w:eastAsia="仿宋" w:hAnsi="仿宋"/>
          <w:sz w:val="32"/>
          <w:szCs w:val="32"/>
        </w:rPr>
        <w:t>负责推进企业信用制度建设，负责中小企业信用担保和融资体系建设并实施行业监管。负责制定全县工业发展资金等财政专项资金使用计划；负责企业技术改造、技术创新、生产运行等涉及财政、信贷、税收、保险等方面的协调工作，指导工业企业融资工作。</w:t>
      </w:r>
    </w:p>
    <w:p w:rsidR="00EC184F" w:rsidRDefault="00DC6B00">
      <w:pPr>
        <w:ind w:firstLineChars="250" w:firstLine="800"/>
        <w:rPr>
          <w:rFonts w:ascii="仿宋" w:eastAsia="仿宋" w:hAnsi="仿宋"/>
          <w:sz w:val="32"/>
          <w:szCs w:val="32"/>
        </w:rPr>
      </w:pPr>
      <w:r>
        <w:rPr>
          <w:rFonts w:ascii="仿宋" w:eastAsia="仿宋" w:hAnsi="仿宋"/>
          <w:sz w:val="32"/>
          <w:szCs w:val="32"/>
        </w:rPr>
        <w:t>十二</w:t>
      </w:r>
      <w:r>
        <w:rPr>
          <w:rFonts w:ascii="仿宋" w:eastAsia="仿宋" w:hAnsi="仿宋" w:hint="eastAsia"/>
          <w:sz w:val="32"/>
          <w:szCs w:val="32"/>
        </w:rPr>
        <w:t>是</w:t>
      </w:r>
      <w:r>
        <w:rPr>
          <w:rFonts w:ascii="仿宋" w:eastAsia="仿宋" w:hAnsi="仿宋"/>
          <w:sz w:val="32"/>
          <w:szCs w:val="32"/>
        </w:rPr>
        <w:t>牵头对国家、省、市重大工业经济、中小企业发展鼓励支持和科技政策实施情况进行督查。拟订促进全县中小企业发展的政策措施，负责推进全县中小企业服务体系建设。指导企业建立现代企业制度、改组改造、兼并重组，指导企业经营管理人员、专业技术人员培训，负责全县大企业大集团和龙头骨干企业的培育工作。负责全县企业治乱减负工作。</w:t>
      </w:r>
    </w:p>
    <w:p w:rsidR="00EC184F" w:rsidRDefault="00DC6B00">
      <w:pPr>
        <w:ind w:firstLineChars="250" w:firstLine="800"/>
        <w:rPr>
          <w:rFonts w:ascii="仿宋" w:eastAsia="仿宋" w:hAnsi="仿宋"/>
          <w:sz w:val="32"/>
          <w:szCs w:val="32"/>
        </w:rPr>
      </w:pPr>
      <w:r>
        <w:rPr>
          <w:rFonts w:ascii="仿宋" w:eastAsia="仿宋" w:hAnsi="仿宋"/>
          <w:sz w:val="32"/>
          <w:szCs w:val="32"/>
        </w:rPr>
        <w:t>十三</w:t>
      </w:r>
      <w:r>
        <w:rPr>
          <w:rFonts w:ascii="仿宋" w:eastAsia="仿宋" w:hAnsi="仿宋" w:hint="eastAsia"/>
          <w:sz w:val="32"/>
          <w:szCs w:val="32"/>
        </w:rPr>
        <w:t>是</w:t>
      </w:r>
      <w:r>
        <w:rPr>
          <w:rFonts w:ascii="仿宋" w:eastAsia="仿宋" w:hAnsi="仿宋"/>
          <w:sz w:val="32"/>
          <w:szCs w:val="32"/>
        </w:rPr>
        <w:t>负责对全县工业行业实施行业管理，制定并组织实施相关政策措施，拟订新材料、工业节能环保、机械制</w:t>
      </w:r>
      <w:r>
        <w:rPr>
          <w:rFonts w:ascii="仿宋" w:eastAsia="仿宋" w:hAnsi="仿宋"/>
          <w:sz w:val="32"/>
          <w:szCs w:val="32"/>
        </w:rPr>
        <w:lastRenderedPageBreak/>
        <w:t>造、太阳能、生物医药等战略性新兴产业发展规划、年度计划、政策措施并组织实施。拟订加快农产品加工业发展的政策措施，参与推进农业产业化龙头企业建设，参与推进农业现代化和新农村建设。指导工业、信息化和无线电领域的社会中介组织发展。</w:t>
      </w:r>
    </w:p>
    <w:p w:rsidR="00EC184F" w:rsidRDefault="00DC6B00">
      <w:pPr>
        <w:ind w:firstLineChars="250" w:firstLine="800"/>
        <w:rPr>
          <w:rFonts w:ascii="仿宋" w:eastAsia="仿宋" w:hAnsi="仿宋"/>
          <w:sz w:val="32"/>
          <w:szCs w:val="32"/>
        </w:rPr>
      </w:pPr>
      <w:r>
        <w:rPr>
          <w:rFonts w:ascii="仿宋" w:eastAsia="仿宋" w:hAnsi="仿宋"/>
          <w:sz w:val="32"/>
          <w:szCs w:val="32"/>
        </w:rPr>
        <w:t>十四</w:t>
      </w:r>
      <w:r>
        <w:rPr>
          <w:rFonts w:ascii="仿宋" w:eastAsia="仿宋" w:hAnsi="仿宋" w:hint="eastAsia"/>
          <w:sz w:val="32"/>
          <w:szCs w:val="32"/>
        </w:rPr>
        <w:t>是</w:t>
      </w:r>
      <w:r>
        <w:rPr>
          <w:rFonts w:ascii="仿宋" w:eastAsia="仿宋" w:hAnsi="仿宋"/>
          <w:sz w:val="32"/>
          <w:szCs w:val="32"/>
        </w:rPr>
        <w:t>牵头推进全县信息化工作，制定并组织实施相关政策，指导电子政务、企业信息化、电子商务和物联网发展，推动跨行业、跨部门面向社会服务网络的互联互通和信息资源共享。负责全县信息基础设施建设规划、协调和管理，协调电信市场涉及社会公共利益的重大事项。参与协调全县信息安全保障体系建设，参与处理网络与信息安全重大事件。</w:t>
      </w:r>
    </w:p>
    <w:p w:rsidR="00EC184F" w:rsidRDefault="00DC6B00">
      <w:pPr>
        <w:ind w:firstLineChars="250" w:firstLine="800"/>
        <w:rPr>
          <w:rFonts w:ascii="仿宋" w:eastAsia="仿宋" w:hAnsi="仿宋"/>
          <w:sz w:val="32"/>
          <w:szCs w:val="32"/>
        </w:rPr>
      </w:pPr>
      <w:r>
        <w:rPr>
          <w:rFonts w:ascii="仿宋" w:eastAsia="仿宋" w:hAnsi="仿宋"/>
          <w:sz w:val="32"/>
          <w:szCs w:val="32"/>
        </w:rPr>
        <w:t>十五</w:t>
      </w:r>
      <w:r>
        <w:rPr>
          <w:rFonts w:ascii="仿宋" w:eastAsia="仿宋" w:hAnsi="仿宋" w:hint="eastAsia"/>
          <w:sz w:val="32"/>
          <w:szCs w:val="32"/>
        </w:rPr>
        <w:t>是</w:t>
      </w:r>
      <w:r>
        <w:rPr>
          <w:rFonts w:ascii="仿宋" w:eastAsia="仿宋" w:hAnsi="仿宋"/>
          <w:sz w:val="32"/>
          <w:szCs w:val="32"/>
        </w:rPr>
        <w:t>贯彻执行国家、省、市无线电管理的方针、政策，贯彻执行市无线电管理的具体办法；协调处理无线电管理方面的事务。</w:t>
      </w:r>
    </w:p>
    <w:p w:rsidR="00EC184F" w:rsidRDefault="00DC6B00">
      <w:pPr>
        <w:ind w:firstLineChars="250" w:firstLine="800"/>
        <w:rPr>
          <w:rFonts w:ascii="仿宋" w:eastAsia="仿宋" w:hAnsi="仿宋"/>
          <w:sz w:val="32"/>
          <w:szCs w:val="32"/>
        </w:rPr>
      </w:pPr>
      <w:r>
        <w:rPr>
          <w:rFonts w:ascii="仿宋" w:eastAsia="仿宋" w:hAnsi="仿宋"/>
          <w:sz w:val="32"/>
          <w:szCs w:val="32"/>
        </w:rPr>
        <w:t>十六</w:t>
      </w:r>
      <w:r>
        <w:rPr>
          <w:rFonts w:ascii="仿宋" w:eastAsia="仿宋" w:hAnsi="仿宋" w:hint="eastAsia"/>
          <w:sz w:val="32"/>
          <w:szCs w:val="32"/>
        </w:rPr>
        <w:t>是</w:t>
      </w:r>
      <w:r>
        <w:rPr>
          <w:rFonts w:ascii="仿宋" w:eastAsia="仿宋" w:hAnsi="仿宋"/>
          <w:sz w:val="32"/>
          <w:szCs w:val="32"/>
        </w:rPr>
        <w:t>负责研究制定并推动全县非公有制经济发展规划和政策措施，制定财政专项资金使用计划。指导全县非公有制企业产业结构、产品结构、组织结构、布局结构等优化调整，引导和推进非公有制企业建立现代企业制度，指导非公有制企业科技进步、技术创新、技术改造，为非公有制企业提供政务服务，负责非公有制经济发展目标责任考核。</w:t>
      </w:r>
    </w:p>
    <w:p w:rsidR="00EC184F" w:rsidRDefault="00DC6B00">
      <w:pPr>
        <w:ind w:firstLineChars="250" w:firstLine="800"/>
        <w:rPr>
          <w:rFonts w:ascii="仿宋" w:eastAsia="仿宋" w:hAnsi="仿宋"/>
          <w:sz w:val="32"/>
          <w:szCs w:val="32"/>
        </w:rPr>
      </w:pPr>
      <w:r>
        <w:rPr>
          <w:rFonts w:ascii="仿宋" w:eastAsia="仿宋" w:hAnsi="仿宋"/>
          <w:sz w:val="32"/>
          <w:szCs w:val="32"/>
        </w:rPr>
        <w:t>十七</w:t>
      </w:r>
      <w:r>
        <w:rPr>
          <w:rFonts w:ascii="仿宋" w:eastAsia="仿宋" w:hAnsi="仿宋" w:hint="eastAsia"/>
          <w:sz w:val="32"/>
          <w:szCs w:val="32"/>
        </w:rPr>
        <w:t>是</w:t>
      </w:r>
      <w:r>
        <w:rPr>
          <w:rFonts w:ascii="仿宋" w:eastAsia="仿宋" w:hAnsi="仿宋"/>
          <w:sz w:val="32"/>
          <w:szCs w:val="32"/>
        </w:rPr>
        <w:t>会同有关部门提出工业和信息化领域对外开放</w:t>
      </w:r>
      <w:r>
        <w:rPr>
          <w:rFonts w:ascii="仿宋" w:eastAsia="仿宋" w:hAnsi="仿宋"/>
          <w:sz w:val="32"/>
          <w:szCs w:val="32"/>
        </w:rPr>
        <w:lastRenderedPageBreak/>
        <w:t>和利用外资的政策建议，参与区域经济合作和承接产业转移工作。指导工业和信息化企业开展对外交流与合作、国际化经营、境外投资及兼并重组。</w:t>
      </w:r>
    </w:p>
    <w:p w:rsidR="00EC184F" w:rsidRDefault="00DC6B00">
      <w:pPr>
        <w:ind w:firstLineChars="250" w:firstLine="800"/>
        <w:rPr>
          <w:rFonts w:ascii="仿宋" w:eastAsia="仿宋" w:hAnsi="仿宋"/>
          <w:sz w:val="32"/>
          <w:szCs w:val="32"/>
        </w:rPr>
      </w:pPr>
      <w:r>
        <w:rPr>
          <w:rFonts w:ascii="仿宋" w:eastAsia="仿宋" w:hAnsi="仿宋"/>
          <w:sz w:val="32"/>
          <w:szCs w:val="32"/>
        </w:rPr>
        <w:t>十八</w:t>
      </w:r>
      <w:r>
        <w:rPr>
          <w:rFonts w:ascii="仿宋" w:eastAsia="仿宋" w:hAnsi="仿宋" w:hint="eastAsia"/>
          <w:sz w:val="32"/>
          <w:szCs w:val="32"/>
        </w:rPr>
        <w:t>是</w:t>
      </w:r>
      <w:r>
        <w:rPr>
          <w:rFonts w:ascii="仿宋" w:eastAsia="仿宋" w:hAnsi="仿宋"/>
          <w:sz w:val="32"/>
          <w:szCs w:val="32"/>
        </w:rPr>
        <w:t>负责全县盐业行业管理。</w:t>
      </w:r>
    </w:p>
    <w:p w:rsidR="00EC184F" w:rsidRDefault="00DC6B00">
      <w:pPr>
        <w:ind w:firstLineChars="250" w:firstLine="800"/>
        <w:rPr>
          <w:rFonts w:ascii="仿宋" w:eastAsia="仿宋" w:hAnsi="仿宋"/>
          <w:sz w:val="32"/>
          <w:szCs w:val="32"/>
        </w:rPr>
      </w:pPr>
      <w:r>
        <w:rPr>
          <w:rFonts w:ascii="仿宋" w:eastAsia="仿宋" w:hAnsi="仿宋"/>
          <w:sz w:val="32"/>
          <w:szCs w:val="32"/>
        </w:rPr>
        <w:t>十九</w:t>
      </w:r>
      <w:r>
        <w:rPr>
          <w:rFonts w:ascii="仿宋" w:eastAsia="仿宋" w:hAnsi="仿宋" w:hint="eastAsia"/>
          <w:sz w:val="32"/>
          <w:szCs w:val="32"/>
        </w:rPr>
        <w:t>是</w:t>
      </w:r>
      <w:r>
        <w:rPr>
          <w:rFonts w:ascii="仿宋" w:eastAsia="仿宋" w:hAnsi="仿宋"/>
          <w:sz w:val="32"/>
          <w:szCs w:val="32"/>
        </w:rPr>
        <w:t>组织协调全县重大基础研究和应用基础研究。</w:t>
      </w:r>
    </w:p>
    <w:p w:rsidR="00EC184F" w:rsidRDefault="00DC6B00">
      <w:pPr>
        <w:ind w:firstLineChars="250" w:firstLine="800"/>
        <w:rPr>
          <w:rFonts w:ascii="仿宋" w:eastAsia="仿宋" w:hAnsi="仿宋"/>
          <w:sz w:val="32"/>
          <w:szCs w:val="32"/>
        </w:rPr>
      </w:pPr>
      <w:r>
        <w:rPr>
          <w:rFonts w:ascii="仿宋" w:eastAsia="仿宋" w:hAnsi="仿宋"/>
          <w:sz w:val="32"/>
          <w:szCs w:val="32"/>
        </w:rPr>
        <w:t>二十</w:t>
      </w:r>
      <w:r>
        <w:rPr>
          <w:rFonts w:ascii="仿宋" w:eastAsia="仿宋" w:hAnsi="仿宋" w:hint="eastAsia"/>
          <w:sz w:val="32"/>
          <w:szCs w:val="32"/>
        </w:rPr>
        <w:t>是</w:t>
      </w:r>
      <w:r>
        <w:rPr>
          <w:rFonts w:ascii="仿宋" w:eastAsia="仿宋" w:hAnsi="仿宋"/>
          <w:sz w:val="32"/>
          <w:szCs w:val="32"/>
        </w:rPr>
        <w:t>拟订推进攀西国家战略资源创新开发试验区建设发展的科技支撑计划并组织实施。编制全县重大科技专项方案并组织实施。统筹经济社会发展重要领域的关键共性技术、前沿引领技术、现代工程技术、颠覆性计划的研发和创新，牵头组织重大科技攻关和成果应用示范。组织开展重点领域技术发展需求分析，提出重大科技发展建议并组织实施。负责组织科学技术奖等科技评奖的申报、审核、推荐工作。</w:t>
      </w:r>
    </w:p>
    <w:p w:rsidR="00EC184F" w:rsidRDefault="00DC6B00">
      <w:pPr>
        <w:ind w:firstLineChars="250" w:firstLine="800"/>
        <w:rPr>
          <w:rFonts w:ascii="仿宋" w:eastAsia="仿宋" w:hAnsi="仿宋"/>
          <w:sz w:val="32"/>
          <w:szCs w:val="32"/>
        </w:rPr>
      </w:pPr>
      <w:r>
        <w:rPr>
          <w:rFonts w:ascii="仿宋" w:eastAsia="仿宋" w:hAnsi="仿宋"/>
          <w:sz w:val="32"/>
          <w:szCs w:val="32"/>
        </w:rPr>
        <w:t>二十一</w:t>
      </w:r>
      <w:r>
        <w:rPr>
          <w:rFonts w:ascii="仿宋" w:eastAsia="仿宋" w:hAnsi="仿宋" w:hint="eastAsia"/>
          <w:sz w:val="32"/>
          <w:szCs w:val="32"/>
        </w:rPr>
        <w:t>是</w:t>
      </w:r>
      <w:r>
        <w:rPr>
          <w:rFonts w:ascii="仿宋" w:eastAsia="仿宋" w:hAnsi="仿宋"/>
          <w:sz w:val="32"/>
          <w:szCs w:val="32"/>
        </w:rPr>
        <w:t>组织拟订高新技术发展及产业化的规划和政策措施并组织实施。指导高新技术企业、创新型企业申报和创新平台建设，负责县级创新平台认定管理工作。组织开展科技型中小企业评价的初审工作。</w:t>
      </w:r>
    </w:p>
    <w:p w:rsidR="00EC184F" w:rsidRDefault="00DC6B00">
      <w:pPr>
        <w:ind w:firstLineChars="250" w:firstLine="800"/>
        <w:rPr>
          <w:rFonts w:ascii="仿宋" w:eastAsia="仿宋" w:hAnsi="仿宋"/>
          <w:sz w:val="32"/>
          <w:szCs w:val="32"/>
        </w:rPr>
      </w:pPr>
      <w:r>
        <w:rPr>
          <w:rFonts w:ascii="仿宋" w:eastAsia="仿宋" w:hAnsi="仿宋"/>
          <w:sz w:val="32"/>
          <w:szCs w:val="32"/>
        </w:rPr>
        <w:t>二十二</w:t>
      </w:r>
      <w:r>
        <w:rPr>
          <w:rFonts w:ascii="仿宋" w:eastAsia="仿宋" w:hAnsi="仿宋" w:hint="eastAsia"/>
          <w:sz w:val="32"/>
          <w:szCs w:val="32"/>
        </w:rPr>
        <w:t>是</w:t>
      </w:r>
      <w:r>
        <w:rPr>
          <w:rFonts w:ascii="仿宋" w:eastAsia="仿宋" w:hAnsi="仿宋"/>
          <w:sz w:val="32"/>
          <w:szCs w:val="32"/>
        </w:rPr>
        <w:t>组织拟订科技促进农业农村和社会发展的规划、政策、措施，指导现代农业示范基地建设，推进科技服务民生工作。拟订科学普及、科学传播规划和政策措施并组织实施。</w:t>
      </w:r>
    </w:p>
    <w:p w:rsidR="00EC184F" w:rsidRDefault="00DC6B00">
      <w:pPr>
        <w:ind w:firstLineChars="250" w:firstLine="800"/>
        <w:rPr>
          <w:rFonts w:ascii="仿宋" w:eastAsia="仿宋" w:hAnsi="仿宋"/>
          <w:sz w:val="32"/>
          <w:szCs w:val="32"/>
        </w:rPr>
      </w:pPr>
      <w:r>
        <w:rPr>
          <w:rFonts w:ascii="仿宋" w:eastAsia="仿宋" w:hAnsi="仿宋"/>
          <w:sz w:val="32"/>
          <w:szCs w:val="32"/>
        </w:rPr>
        <w:t>二十三</w:t>
      </w:r>
      <w:r>
        <w:rPr>
          <w:rFonts w:ascii="仿宋" w:eastAsia="仿宋" w:hAnsi="仿宋" w:hint="eastAsia"/>
          <w:sz w:val="32"/>
          <w:szCs w:val="32"/>
        </w:rPr>
        <w:t>是</w:t>
      </w:r>
      <w:r>
        <w:rPr>
          <w:rFonts w:ascii="仿宋" w:eastAsia="仿宋" w:hAnsi="仿宋"/>
          <w:sz w:val="32"/>
          <w:szCs w:val="32"/>
        </w:rPr>
        <w:t>牵头全县技术转移体系建设，拟订科技成果</w:t>
      </w:r>
      <w:r>
        <w:rPr>
          <w:rFonts w:ascii="仿宋" w:eastAsia="仿宋" w:hAnsi="仿宋"/>
          <w:sz w:val="32"/>
          <w:szCs w:val="32"/>
        </w:rPr>
        <w:lastRenderedPageBreak/>
        <w:t>转移转化和促进产学研结合的相关政策措施并组织实施。指导科技服务业、技术市场和科技中介组织发展。</w:t>
      </w:r>
    </w:p>
    <w:p w:rsidR="00EC184F" w:rsidRDefault="00DC6B00">
      <w:pPr>
        <w:ind w:firstLineChars="250" w:firstLine="800"/>
        <w:rPr>
          <w:rFonts w:ascii="仿宋" w:eastAsia="仿宋" w:hAnsi="仿宋"/>
          <w:sz w:val="32"/>
          <w:szCs w:val="32"/>
        </w:rPr>
      </w:pPr>
      <w:r>
        <w:rPr>
          <w:rFonts w:ascii="仿宋" w:eastAsia="仿宋" w:hAnsi="仿宋"/>
          <w:sz w:val="32"/>
          <w:szCs w:val="32"/>
        </w:rPr>
        <w:t>二十四</w:t>
      </w:r>
      <w:r>
        <w:rPr>
          <w:rFonts w:ascii="仿宋" w:eastAsia="仿宋" w:hAnsi="仿宋" w:hint="eastAsia"/>
          <w:sz w:val="32"/>
          <w:szCs w:val="32"/>
        </w:rPr>
        <w:t>是</w:t>
      </w:r>
      <w:r>
        <w:rPr>
          <w:rFonts w:ascii="仿宋" w:eastAsia="仿宋" w:hAnsi="仿宋"/>
          <w:sz w:val="32"/>
          <w:szCs w:val="32"/>
        </w:rPr>
        <w:t>统筹区域科技创新体系建设，指导区域创新发展、科技资源合理布局和协同创新能力建设，推动高新技术园区建设。</w:t>
      </w:r>
    </w:p>
    <w:p w:rsidR="00EC184F" w:rsidRDefault="00DC6B00">
      <w:pPr>
        <w:ind w:firstLineChars="250" w:firstLine="800"/>
        <w:rPr>
          <w:rFonts w:ascii="仿宋" w:eastAsia="仿宋" w:hAnsi="仿宋"/>
          <w:sz w:val="32"/>
          <w:szCs w:val="32"/>
        </w:rPr>
      </w:pPr>
      <w:r>
        <w:rPr>
          <w:rFonts w:ascii="仿宋" w:eastAsia="仿宋" w:hAnsi="仿宋"/>
          <w:sz w:val="32"/>
          <w:szCs w:val="32"/>
        </w:rPr>
        <w:t>二十五</w:t>
      </w:r>
      <w:r>
        <w:rPr>
          <w:rFonts w:ascii="仿宋" w:eastAsia="仿宋" w:hAnsi="仿宋" w:hint="eastAsia"/>
          <w:sz w:val="32"/>
          <w:szCs w:val="32"/>
        </w:rPr>
        <w:t>是</w:t>
      </w:r>
      <w:r>
        <w:rPr>
          <w:rFonts w:ascii="仿宋" w:eastAsia="仿宋" w:hAnsi="仿宋"/>
          <w:sz w:val="32"/>
          <w:szCs w:val="32"/>
        </w:rPr>
        <w:t>会同有关部门拟订科技人才队伍建设规划和政策，建立健全科技人才评价和激励机制，组织实施科技人才计划，推动高端科技创新人才队伍建设。</w:t>
      </w:r>
    </w:p>
    <w:p w:rsidR="00EC184F" w:rsidRDefault="00DC6B00">
      <w:pPr>
        <w:ind w:firstLineChars="250" w:firstLine="800"/>
        <w:rPr>
          <w:rFonts w:ascii="仿宋" w:eastAsia="仿宋" w:hAnsi="仿宋"/>
          <w:sz w:val="32"/>
          <w:szCs w:val="32"/>
        </w:rPr>
      </w:pPr>
      <w:r>
        <w:rPr>
          <w:rFonts w:ascii="仿宋" w:eastAsia="仿宋" w:hAnsi="仿宋"/>
          <w:sz w:val="32"/>
          <w:szCs w:val="32"/>
        </w:rPr>
        <w:t>二十六</w:t>
      </w:r>
      <w:r>
        <w:rPr>
          <w:rFonts w:ascii="仿宋" w:eastAsia="仿宋" w:hAnsi="仿宋" w:hint="eastAsia"/>
          <w:sz w:val="32"/>
          <w:szCs w:val="32"/>
        </w:rPr>
        <w:t>是</w:t>
      </w:r>
      <w:r>
        <w:rPr>
          <w:rFonts w:ascii="仿宋" w:eastAsia="仿宋" w:hAnsi="仿宋"/>
          <w:sz w:val="32"/>
          <w:szCs w:val="32"/>
        </w:rPr>
        <w:t>负责科技监督评价体系建设和相关科技评估管理，指导科技评价机制改革，统筹科研诚信建设。组织实施全县创新调查和科技报告制度，指导全县科技保密相关工作。</w:t>
      </w:r>
    </w:p>
    <w:p w:rsidR="00EC184F" w:rsidRDefault="00DC6B00">
      <w:pPr>
        <w:ind w:firstLineChars="250" w:firstLine="800"/>
        <w:rPr>
          <w:rFonts w:ascii="仿宋" w:eastAsia="仿宋" w:hAnsi="仿宋"/>
          <w:sz w:val="32"/>
          <w:szCs w:val="32"/>
        </w:rPr>
      </w:pPr>
      <w:r>
        <w:rPr>
          <w:rFonts w:ascii="仿宋" w:eastAsia="仿宋" w:hAnsi="仿宋"/>
          <w:sz w:val="32"/>
          <w:szCs w:val="32"/>
        </w:rPr>
        <w:t>二十七</w:t>
      </w:r>
      <w:r>
        <w:rPr>
          <w:rFonts w:ascii="仿宋" w:eastAsia="仿宋" w:hAnsi="仿宋" w:hint="eastAsia"/>
          <w:sz w:val="32"/>
          <w:szCs w:val="32"/>
        </w:rPr>
        <w:t>是</w:t>
      </w:r>
      <w:r>
        <w:rPr>
          <w:rFonts w:ascii="仿宋" w:eastAsia="仿宋" w:hAnsi="仿宋"/>
          <w:sz w:val="32"/>
          <w:szCs w:val="32"/>
        </w:rPr>
        <w:t>负责全县工业、信息化、无线电管理、非公有制经济、工业循环经济等权限内有关行政审批事项的初审、转报、审批。</w:t>
      </w:r>
    </w:p>
    <w:p w:rsidR="00EC184F" w:rsidRDefault="00DC6B00">
      <w:pPr>
        <w:ind w:firstLineChars="250" w:firstLine="800"/>
        <w:rPr>
          <w:rFonts w:ascii="仿宋" w:eastAsia="仿宋" w:hAnsi="仿宋"/>
          <w:sz w:val="32"/>
          <w:szCs w:val="32"/>
        </w:rPr>
      </w:pPr>
      <w:r>
        <w:rPr>
          <w:rFonts w:ascii="仿宋" w:eastAsia="仿宋" w:hAnsi="仿宋"/>
          <w:sz w:val="32"/>
          <w:szCs w:val="32"/>
        </w:rPr>
        <w:t>二十八</w:t>
      </w:r>
      <w:r>
        <w:rPr>
          <w:rFonts w:ascii="仿宋" w:eastAsia="仿宋" w:hAnsi="仿宋" w:hint="eastAsia"/>
          <w:sz w:val="32"/>
          <w:szCs w:val="32"/>
        </w:rPr>
        <w:t>是</w:t>
      </w:r>
      <w:r>
        <w:rPr>
          <w:rFonts w:ascii="仿宋" w:eastAsia="仿宋" w:hAnsi="仿宋"/>
          <w:sz w:val="32"/>
          <w:szCs w:val="32"/>
        </w:rPr>
        <w:t>拟订科技对外交流与创新能力开放合作的规划和政策措施，组织开展对外科技合作与科技人才交流。负责有关科技博览展会参展推广的组织协调工作。</w:t>
      </w:r>
    </w:p>
    <w:p w:rsidR="00EC184F" w:rsidRDefault="00DC6B00">
      <w:pPr>
        <w:ind w:firstLineChars="250" w:firstLine="800"/>
        <w:rPr>
          <w:rFonts w:ascii="仿宋" w:eastAsia="仿宋" w:hAnsi="仿宋"/>
          <w:sz w:val="32"/>
          <w:szCs w:val="32"/>
        </w:rPr>
      </w:pPr>
      <w:r>
        <w:rPr>
          <w:rFonts w:ascii="仿宋" w:eastAsia="仿宋" w:hAnsi="仿宋"/>
          <w:sz w:val="32"/>
          <w:szCs w:val="32"/>
        </w:rPr>
        <w:t>二十九</w:t>
      </w:r>
      <w:r>
        <w:rPr>
          <w:rFonts w:ascii="仿宋" w:eastAsia="仿宋" w:hAnsi="仿宋" w:hint="eastAsia"/>
          <w:sz w:val="32"/>
          <w:szCs w:val="32"/>
        </w:rPr>
        <w:t>是</w:t>
      </w:r>
      <w:r>
        <w:rPr>
          <w:rFonts w:ascii="仿宋" w:eastAsia="仿宋" w:hAnsi="仿宋"/>
          <w:sz w:val="32"/>
          <w:szCs w:val="32"/>
        </w:rPr>
        <w:t>负责引进国外智力工作。拟订全县重点引进外国专家总体规划、计划并组织实施，建立外国顶尖专家、团队吸引集聚机制和重点外国专家联系服务机制。拟订出国（境）培训总体规划、政策和年度计划并监督实施。</w:t>
      </w:r>
    </w:p>
    <w:p w:rsidR="00EC184F" w:rsidRDefault="00DC6B00">
      <w:pPr>
        <w:ind w:firstLineChars="250" w:firstLine="800"/>
        <w:rPr>
          <w:rFonts w:ascii="仿宋" w:eastAsia="仿宋" w:hAnsi="仿宋"/>
          <w:sz w:val="32"/>
          <w:szCs w:val="32"/>
        </w:rPr>
      </w:pPr>
      <w:r>
        <w:rPr>
          <w:rFonts w:ascii="仿宋" w:eastAsia="仿宋" w:hAnsi="仿宋"/>
          <w:sz w:val="32"/>
          <w:szCs w:val="32"/>
        </w:rPr>
        <w:lastRenderedPageBreak/>
        <w:t>三十</w:t>
      </w:r>
      <w:r>
        <w:rPr>
          <w:rFonts w:ascii="仿宋" w:eastAsia="仿宋" w:hAnsi="仿宋" w:hint="eastAsia"/>
          <w:sz w:val="32"/>
          <w:szCs w:val="32"/>
        </w:rPr>
        <w:t>是</w:t>
      </w:r>
      <w:r>
        <w:rPr>
          <w:rFonts w:ascii="仿宋" w:eastAsia="仿宋" w:hAnsi="仿宋"/>
          <w:sz w:val="32"/>
          <w:szCs w:val="32"/>
        </w:rPr>
        <w:t>负责职责范围内安全生产和职业健康、生态环境保护、审批服务便民化等工作。</w:t>
      </w:r>
    </w:p>
    <w:p w:rsidR="00EC184F" w:rsidRDefault="00DC6B00">
      <w:pPr>
        <w:ind w:firstLineChars="250" w:firstLine="800"/>
        <w:rPr>
          <w:rFonts w:ascii="仿宋" w:eastAsia="仿宋" w:hAnsi="仿宋"/>
          <w:sz w:val="32"/>
          <w:szCs w:val="32"/>
        </w:rPr>
      </w:pPr>
      <w:r>
        <w:rPr>
          <w:rFonts w:ascii="仿宋" w:eastAsia="仿宋" w:hAnsi="仿宋"/>
          <w:sz w:val="32"/>
          <w:szCs w:val="32"/>
        </w:rPr>
        <w:t>三十一</w:t>
      </w:r>
      <w:r>
        <w:rPr>
          <w:rFonts w:ascii="仿宋" w:eastAsia="仿宋" w:hAnsi="仿宋" w:hint="eastAsia"/>
          <w:sz w:val="32"/>
          <w:szCs w:val="32"/>
        </w:rPr>
        <w:t>是</w:t>
      </w:r>
      <w:r>
        <w:rPr>
          <w:rFonts w:ascii="仿宋" w:eastAsia="仿宋" w:hAnsi="仿宋"/>
          <w:sz w:val="32"/>
          <w:szCs w:val="32"/>
        </w:rPr>
        <w:t>完成县委、县政府交办的其他任务。</w:t>
      </w:r>
    </w:p>
    <w:p w:rsidR="00EC184F" w:rsidRDefault="00EC184F"/>
    <w:p w:rsidR="00EC184F" w:rsidRDefault="00DC6B00">
      <w:pPr>
        <w:pStyle w:val="2"/>
        <w:rPr>
          <w:rStyle w:val="2Char"/>
        </w:rPr>
      </w:pPr>
      <w:bookmarkStart w:id="16" w:name="_Toc15377200"/>
      <w:bookmarkStart w:id="17" w:name="_Toc15396601"/>
      <w:r>
        <w:rPr>
          <w:rFonts w:ascii="黑体" w:eastAsia="黑体" w:hint="eastAsia"/>
          <w:b w:val="0"/>
        </w:rPr>
        <w:t>二、</w:t>
      </w:r>
      <w:r>
        <w:rPr>
          <w:rFonts w:ascii="黑体" w:eastAsia="黑体" w:hAnsi="黑体" w:hint="eastAsia"/>
          <w:b w:val="0"/>
        </w:rPr>
        <w:t>机</w:t>
      </w:r>
      <w:r>
        <w:rPr>
          <w:rStyle w:val="2Char"/>
          <w:rFonts w:ascii="黑体" w:eastAsia="黑体" w:hAnsi="黑体" w:hint="eastAsia"/>
        </w:rPr>
        <w:t>构设置</w:t>
      </w:r>
      <w:bookmarkEnd w:id="16"/>
      <w:bookmarkEnd w:id="17"/>
    </w:p>
    <w:p w:rsidR="00EC184F" w:rsidRDefault="00DC6B00">
      <w:pPr>
        <w:ind w:firstLineChars="250" w:firstLine="800"/>
        <w:rPr>
          <w:rFonts w:ascii="仿宋" w:eastAsia="仿宋" w:hAnsi="仿宋"/>
          <w:sz w:val="32"/>
          <w:szCs w:val="32"/>
        </w:rPr>
      </w:pPr>
      <w:r>
        <w:rPr>
          <w:rFonts w:ascii="仿宋" w:eastAsia="仿宋" w:hAnsi="仿宋" w:hint="eastAsia"/>
          <w:sz w:val="32"/>
          <w:szCs w:val="32"/>
        </w:rPr>
        <w:t>盐边县经信科技局</w:t>
      </w:r>
      <w:r>
        <w:rPr>
          <w:rFonts w:ascii="仿宋_GB2312" w:eastAsia="仿宋_GB2312" w:hAnsi="仿宋" w:hint="eastAsia"/>
          <w:sz w:val="32"/>
          <w:szCs w:val="32"/>
        </w:rPr>
        <w:t>与盐边县科学技术协会合署办公，</w:t>
      </w:r>
      <w:r>
        <w:rPr>
          <w:rFonts w:ascii="仿宋" w:eastAsia="仿宋" w:hAnsi="仿宋" w:hint="eastAsia"/>
          <w:sz w:val="32"/>
          <w:szCs w:val="32"/>
        </w:rPr>
        <w:t>下属二级预算单位</w:t>
      </w:r>
      <w:r w:rsidR="00F351CE">
        <w:rPr>
          <w:rFonts w:ascii="仿宋" w:eastAsia="仿宋" w:hAnsi="仿宋" w:hint="eastAsia"/>
          <w:sz w:val="32"/>
          <w:szCs w:val="32"/>
        </w:rPr>
        <w:t>0</w:t>
      </w:r>
      <w:r>
        <w:rPr>
          <w:rFonts w:ascii="仿宋" w:eastAsia="仿宋" w:hAnsi="仿宋" w:hint="eastAsia"/>
          <w:sz w:val="32"/>
          <w:szCs w:val="32"/>
        </w:rPr>
        <w:t>个，其中行政单位0个，参照公务员法管理的事业单位</w:t>
      </w:r>
      <w:r>
        <w:rPr>
          <w:rFonts w:ascii="仿宋" w:eastAsia="仿宋" w:hAnsi="仿宋" w:hint="eastAsia"/>
          <w:bCs/>
          <w:sz w:val="32"/>
          <w:szCs w:val="32"/>
        </w:rPr>
        <w:t>0</w:t>
      </w:r>
      <w:r>
        <w:rPr>
          <w:rFonts w:ascii="仿宋" w:eastAsia="仿宋" w:hAnsi="仿宋" w:hint="eastAsia"/>
          <w:sz w:val="32"/>
          <w:szCs w:val="32"/>
        </w:rPr>
        <w:t>个，其他事业单位</w:t>
      </w:r>
      <w:r w:rsidR="00F351CE">
        <w:rPr>
          <w:rFonts w:ascii="仿宋" w:eastAsia="仿宋" w:hAnsi="仿宋" w:hint="eastAsia"/>
          <w:sz w:val="32"/>
          <w:szCs w:val="32"/>
        </w:rPr>
        <w:t>0</w:t>
      </w:r>
      <w:r>
        <w:rPr>
          <w:rFonts w:ascii="仿宋" w:eastAsia="仿宋" w:hAnsi="仿宋" w:hint="eastAsia"/>
          <w:sz w:val="32"/>
          <w:szCs w:val="32"/>
        </w:rPr>
        <w:t>个。</w:t>
      </w:r>
    </w:p>
    <w:p w:rsidR="00EC184F" w:rsidRDefault="00DC6B00">
      <w:pPr>
        <w:pStyle w:val="a0"/>
        <w:adjustRightInd w:val="0"/>
        <w:snapToGrid w:val="0"/>
        <w:spacing w:before="93" w:line="600" w:lineRule="exact"/>
        <w:ind w:firstLineChars="210" w:firstLine="672"/>
        <w:rPr>
          <w:rFonts w:ascii="仿宋" w:eastAsia="仿宋" w:hAnsi="仿宋"/>
          <w:sz w:val="32"/>
          <w:szCs w:val="32"/>
        </w:rPr>
      </w:pPr>
      <w:r>
        <w:rPr>
          <w:rFonts w:ascii="仿宋" w:eastAsia="仿宋" w:hAnsi="仿宋" w:hint="eastAsia"/>
          <w:sz w:val="32"/>
          <w:szCs w:val="32"/>
        </w:rPr>
        <w:t>纳入盐边县经信科技局2022年度部门决算编制范围的</w:t>
      </w:r>
      <w:r w:rsidR="00F351CE">
        <w:rPr>
          <w:rFonts w:ascii="仿宋" w:eastAsia="仿宋" w:hAnsi="仿宋" w:hint="eastAsia"/>
          <w:sz w:val="32"/>
          <w:szCs w:val="32"/>
        </w:rPr>
        <w:t>下属</w:t>
      </w:r>
      <w:r>
        <w:rPr>
          <w:rFonts w:ascii="仿宋" w:eastAsia="仿宋" w:hAnsi="仿宋" w:hint="eastAsia"/>
          <w:sz w:val="32"/>
          <w:szCs w:val="32"/>
        </w:rPr>
        <w:t>单位包括：</w:t>
      </w:r>
    </w:p>
    <w:p w:rsidR="00EC184F" w:rsidRDefault="00DC6B00">
      <w:pPr>
        <w:pStyle w:val="a0"/>
        <w:adjustRightInd w:val="0"/>
        <w:snapToGrid w:val="0"/>
        <w:spacing w:before="93" w:line="600" w:lineRule="exact"/>
        <w:ind w:firstLineChars="210" w:firstLine="672"/>
        <w:rPr>
          <w:rFonts w:ascii="仿宋" w:eastAsia="仿宋" w:hAnsi="仿宋"/>
          <w:sz w:val="32"/>
          <w:szCs w:val="32"/>
        </w:rPr>
      </w:pPr>
      <w:bookmarkStart w:id="18" w:name="_Toc15378449"/>
      <w:bookmarkStart w:id="19" w:name="_Toc15377433"/>
      <w:bookmarkStart w:id="20" w:name="_Toc15306276"/>
      <w:bookmarkStart w:id="21" w:name="_Toc15377202"/>
      <w:r>
        <w:rPr>
          <w:rFonts w:ascii="仿宋" w:eastAsia="仿宋" w:hAnsi="仿宋" w:hint="eastAsia"/>
          <w:sz w:val="32"/>
          <w:szCs w:val="32"/>
        </w:rPr>
        <w:t>1.盐边县大数据产业发展中心</w:t>
      </w:r>
    </w:p>
    <w:p w:rsidR="00EC184F" w:rsidRDefault="00DC6B00">
      <w:pPr>
        <w:pStyle w:val="a0"/>
        <w:adjustRightInd w:val="0"/>
        <w:snapToGrid w:val="0"/>
        <w:spacing w:before="93" w:line="600" w:lineRule="exact"/>
        <w:ind w:firstLineChars="210" w:firstLine="672"/>
        <w:rPr>
          <w:rFonts w:ascii="仿宋" w:eastAsia="仿宋" w:hAnsi="仿宋"/>
          <w:sz w:val="32"/>
          <w:szCs w:val="32"/>
        </w:rPr>
      </w:pPr>
      <w:bookmarkStart w:id="22" w:name="_Toc15377434"/>
      <w:bookmarkStart w:id="23" w:name="_Toc15306277"/>
      <w:bookmarkStart w:id="24" w:name="_Toc15377203"/>
      <w:bookmarkStart w:id="25" w:name="_Toc15378450"/>
      <w:bookmarkEnd w:id="18"/>
      <w:bookmarkEnd w:id="19"/>
      <w:bookmarkEnd w:id="20"/>
      <w:bookmarkEnd w:id="21"/>
      <w:r>
        <w:rPr>
          <w:rFonts w:ascii="仿宋" w:eastAsia="仿宋" w:hAnsi="仿宋" w:hint="eastAsia"/>
          <w:sz w:val="32"/>
          <w:szCs w:val="32"/>
        </w:rPr>
        <w:t>2.盐边县科学馆</w:t>
      </w:r>
    </w:p>
    <w:p w:rsidR="00EC184F" w:rsidRDefault="00DC6B00">
      <w:pPr>
        <w:pStyle w:val="1"/>
        <w:ind w:right="440"/>
        <w:jc w:val="center"/>
        <w:rPr>
          <w:rStyle w:val="1Char"/>
          <w:rFonts w:ascii="黑体" w:eastAsia="黑体" w:hAnsi="黑体"/>
          <w:bCs/>
        </w:rPr>
      </w:pPr>
      <w:bookmarkStart w:id="26" w:name="_Toc15396602"/>
      <w:bookmarkStart w:id="27" w:name="_Toc15377204"/>
      <w:bookmarkEnd w:id="22"/>
      <w:bookmarkEnd w:id="23"/>
      <w:bookmarkEnd w:id="24"/>
      <w:bookmarkEnd w:id="25"/>
      <w:r>
        <w:rPr>
          <w:rFonts w:ascii="黑体" w:eastAsia="黑体" w:hAnsi="黑体" w:hint="eastAsia"/>
          <w:b w:val="0"/>
        </w:rPr>
        <w:t>第二部分 2022年度</w:t>
      </w:r>
      <w:r>
        <w:rPr>
          <w:rStyle w:val="1Char"/>
          <w:rFonts w:ascii="黑体" w:eastAsia="黑体" w:hAnsi="黑体" w:hint="eastAsia"/>
          <w:bCs/>
        </w:rPr>
        <w:t>部门决算情况说明</w:t>
      </w:r>
      <w:bookmarkEnd w:id="26"/>
      <w:bookmarkEnd w:id="27"/>
    </w:p>
    <w:p w:rsidR="00EC184F" w:rsidRDefault="00EC184F"/>
    <w:p w:rsidR="00EC184F" w:rsidRDefault="00DC6B00">
      <w:pPr>
        <w:pStyle w:val="ab"/>
        <w:numPr>
          <w:ilvl w:val="0"/>
          <w:numId w:val="1"/>
        </w:numPr>
        <w:spacing w:line="600" w:lineRule="exact"/>
        <w:ind w:firstLineChars="0"/>
        <w:outlineLvl w:val="1"/>
        <w:rPr>
          <w:rStyle w:val="2Char"/>
          <w:rFonts w:ascii="黑体" w:eastAsia="黑体" w:hAnsi="黑体"/>
          <w:b w:val="0"/>
        </w:rPr>
      </w:pPr>
      <w:bookmarkStart w:id="28" w:name="_Toc15377205"/>
      <w:bookmarkStart w:id="29" w:name="_Toc15396603"/>
      <w:r>
        <w:rPr>
          <w:rFonts w:ascii="黑体" w:eastAsia="黑体" w:hAnsi="黑体" w:hint="eastAsia"/>
          <w:sz w:val="32"/>
          <w:szCs w:val="32"/>
        </w:rPr>
        <w:t>收</w:t>
      </w:r>
      <w:r>
        <w:rPr>
          <w:rStyle w:val="2Char"/>
          <w:rFonts w:ascii="黑体" w:eastAsia="黑体" w:hAnsi="黑体" w:hint="eastAsia"/>
          <w:b w:val="0"/>
        </w:rPr>
        <w:t>入支出决算总体情况说明</w:t>
      </w:r>
      <w:bookmarkEnd w:id="28"/>
      <w:bookmarkEnd w:id="29"/>
    </w:p>
    <w:p w:rsidR="00EC184F" w:rsidRDefault="00DC6B00">
      <w:pPr>
        <w:spacing w:line="600" w:lineRule="exact"/>
        <w:ind w:firstLineChars="200" w:firstLine="640"/>
        <w:rPr>
          <w:lang w:val="zh-CN"/>
        </w:rPr>
      </w:pPr>
      <w:r>
        <w:rPr>
          <w:rFonts w:ascii="仿宋" w:eastAsia="仿宋" w:hAnsi="仿宋" w:hint="eastAsia"/>
          <w:sz w:val="32"/>
          <w:szCs w:val="32"/>
        </w:rPr>
        <w:t>2022年度</w:t>
      </w:r>
      <w:r>
        <w:rPr>
          <w:rFonts w:ascii="仿宋_GB2312" w:eastAsia="仿宋_GB2312" w:hAnsiTheme="minorHAnsi" w:cs="仿宋_GB2312" w:hint="eastAsia"/>
          <w:color w:val="000000"/>
          <w:sz w:val="32"/>
          <w:szCs w:val="32"/>
          <w:lang w:val="zh-CN"/>
        </w:rPr>
        <w:t>收、支总计</w:t>
      </w:r>
      <w:r>
        <w:rPr>
          <w:rFonts w:ascii="仿宋_GB2312" w:eastAsia="仿宋_GB2312" w:hAnsiTheme="minorHAnsi" w:cs="仿宋_GB2312"/>
          <w:color w:val="000000"/>
          <w:sz w:val="32"/>
          <w:szCs w:val="32"/>
          <w:lang w:val="zh-CN"/>
        </w:rPr>
        <w:t>2,988.76</w:t>
      </w:r>
      <w:r>
        <w:rPr>
          <w:rFonts w:ascii="仿宋_GB2312" w:eastAsia="仿宋_GB2312" w:hAnsiTheme="minorHAnsi" w:cs="仿宋_GB2312" w:hint="eastAsia"/>
          <w:color w:val="000000"/>
          <w:sz w:val="32"/>
          <w:szCs w:val="32"/>
          <w:lang w:val="zh-CN"/>
        </w:rPr>
        <w:t>万元。与</w:t>
      </w:r>
      <w:r>
        <w:rPr>
          <w:rFonts w:ascii="仿宋_GB2312" w:eastAsia="仿宋_GB2312" w:hAnsiTheme="minorHAnsi" w:cs="仿宋_GB2312"/>
          <w:color w:val="000000"/>
          <w:sz w:val="32"/>
          <w:szCs w:val="32"/>
          <w:lang w:val="zh-CN"/>
        </w:rPr>
        <w:t>2021</w:t>
      </w:r>
      <w:r>
        <w:rPr>
          <w:rFonts w:ascii="仿宋_GB2312" w:eastAsia="仿宋_GB2312" w:hAnsiTheme="minorHAnsi" w:cs="仿宋_GB2312" w:hint="eastAsia"/>
          <w:color w:val="000000"/>
          <w:sz w:val="32"/>
          <w:szCs w:val="32"/>
          <w:lang w:val="zh-CN"/>
        </w:rPr>
        <w:t>年相比，收、支总计各减少</w:t>
      </w:r>
      <w:r>
        <w:rPr>
          <w:rFonts w:ascii="仿宋_GB2312" w:eastAsia="仿宋_GB2312" w:hAnsiTheme="minorHAnsi" w:cs="仿宋_GB2312"/>
          <w:color w:val="000000"/>
          <w:sz w:val="32"/>
          <w:szCs w:val="32"/>
          <w:lang w:val="zh-CN"/>
        </w:rPr>
        <w:t>148.75</w:t>
      </w:r>
      <w:r>
        <w:rPr>
          <w:rFonts w:ascii="仿宋_GB2312" w:eastAsia="仿宋_GB2312" w:hAnsiTheme="minorHAnsi" w:cs="仿宋_GB2312" w:hint="eastAsia"/>
          <w:color w:val="000000"/>
          <w:sz w:val="32"/>
          <w:szCs w:val="32"/>
          <w:lang w:val="zh-CN"/>
        </w:rPr>
        <w:t>万元，下降</w:t>
      </w:r>
      <w:r>
        <w:rPr>
          <w:rFonts w:ascii="仿宋_GB2312" w:eastAsia="仿宋_GB2312" w:hAnsiTheme="minorHAnsi" w:cs="仿宋_GB2312"/>
          <w:color w:val="000000"/>
          <w:sz w:val="32"/>
          <w:szCs w:val="32"/>
          <w:lang w:val="zh-CN"/>
        </w:rPr>
        <w:t>4.7%</w:t>
      </w:r>
      <w:r>
        <w:rPr>
          <w:rFonts w:ascii="仿宋_GB2312" w:eastAsia="仿宋_GB2312" w:hAnsiTheme="minorHAnsi" w:cs="仿宋_GB2312" w:hint="eastAsia"/>
          <w:color w:val="000000"/>
          <w:sz w:val="32"/>
          <w:szCs w:val="32"/>
          <w:lang w:val="zh-CN"/>
        </w:rPr>
        <w:t>。主要变动原因：一是基本支出较上年增加51.38万元，增加原因2022年发放基础性绩效及补充医疗保险。二是项目支出较上年减少200.13万元，减少原因为2022年项目支出中对企业的补贴支出较上年减少1</w:t>
      </w:r>
      <w:r>
        <w:rPr>
          <w:rFonts w:ascii="仿宋_GB2312" w:eastAsia="仿宋_GB2312" w:cs="仿宋_GB2312"/>
          <w:color w:val="000000"/>
          <w:sz w:val="32"/>
          <w:szCs w:val="32"/>
          <w:lang w:val="zh-CN"/>
        </w:rPr>
        <w:t>,</w:t>
      </w:r>
      <w:r>
        <w:rPr>
          <w:rFonts w:ascii="仿宋_GB2312" w:eastAsia="仿宋_GB2312" w:hAnsiTheme="minorHAnsi" w:cs="仿宋_GB2312" w:hint="eastAsia"/>
          <w:color w:val="000000"/>
          <w:sz w:val="32"/>
          <w:szCs w:val="32"/>
          <w:lang w:val="zh-CN"/>
        </w:rPr>
        <w:t>223.18万元，资本性支出较上年增加</w:t>
      </w:r>
      <w:r>
        <w:rPr>
          <w:rFonts w:ascii="仿宋_GB2312" w:eastAsia="仿宋_GB2312" w:hAnsiTheme="minorHAnsi" w:cs="仿宋_GB2312" w:hint="eastAsia"/>
          <w:color w:val="000000"/>
          <w:sz w:val="32"/>
          <w:szCs w:val="32"/>
          <w:lang w:val="zh-CN"/>
        </w:rPr>
        <w:lastRenderedPageBreak/>
        <w:t>1</w:t>
      </w:r>
      <w:r>
        <w:rPr>
          <w:rFonts w:ascii="仿宋_GB2312" w:eastAsia="仿宋_GB2312" w:cs="仿宋_GB2312"/>
          <w:color w:val="000000"/>
          <w:sz w:val="32"/>
          <w:szCs w:val="32"/>
          <w:lang w:val="zh-CN"/>
        </w:rPr>
        <w:t>,</w:t>
      </w:r>
      <w:r>
        <w:rPr>
          <w:rFonts w:ascii="仿宋_GB2312" w:eastAsia="仿宋_GB2312" w:hAnsiTheme="minorHAnsi" w:cs="仿宋_GB2312" w:hint="eastAsia"/>
          <w:color w:val="000000"/>
          <w:sz w:val="32"/>
          <w:szCs w:val="32"/>
          <w:lang w:val="zh-CN"/>
        </w:rPr>
        <w:t>087.34万元，资本性支出主要为电力线路迁改、基础设施建设支出。</w:t>
      </w:r>
    </w:p>
    <w:p w:rsidR="00EC184F" w:rsidRDefault="00DC6B00">
      <w:pPr>
        <w:pStyle w:val="a0"/>
        <w:spacing w:before="93"/>
        <w:rPr>
          <w:lang w:val="zh-CN"/>
        </w:rPr>
      </w:pPr>
      <w:r>
        <w:rPr>
          <w:noProof/>
        </w:rPr>
        <w:drawing>
          <wp:inline distT="0" distB="0" distL="0" distR="0">
            <wp:extent cx="2733675" cy="1828800"/>
            <wp:effectExtent l="19050" t="0" r="9525" b="0"/>
            <wp:docPr id="2" name="对象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EC184F" w:rsidRDefault="00DC6B00">
      <w:pPr>
        <w:spacing w:line="600" w:lineRule="exact"/>
        <w:ind w:firstLineChars="200" w:firstLine="640"/>
        <w:rPr>
          <w:rFonts w:ascii="仿宋_GB2312" w:eastAsia="仿宋_GB2312"/>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：收、支决算总计变动情况图）（柱状图）</w:t>
      </w:r>
    </w:p>
    <w:p w:rsidR="00EC184F" w:rsidRDefault="00DC6B00">
      <w:pPr>
        <w:pStyle w:val="ab"/>
        <w:numPr>
          <w:ilvl w:val="0"/>
          <w:numId w:val="1"/>
        </w:numPr>
        <w:spacing w:line="600" w:lineRule="exact"/>
        <w:ind w:firstLineChars="0"/>
        <w:outlineLvl w:val="1"/>
        <w:rPr>
          <w:rStyle w:val="2Char"/>
          <w:rFonts w:ascii="黑体" w:eastAsia="黑体" w:hAnsi="黑体"/>
          <w:b w:val="0"/>
        </w:rPr>
      </w:pPr>
      <w:bookmarkStart w:id="30" w:name="_Toc15396604"/>
      <w:bookmarkStart w:id="31" w:name="_Toc15377206"/>
      <w:r>
        <w:rPr>
          <w:rFonts w:ascii="黑体" w:eastAsia="黑体" w:hAnsi="黑体" w:hint="eastAsia"/>
          <w:sz w:val="32"/>
          <w:szCs w:val="32"/>
        </w:rPr>
        <w:t>收</w:t>
      </w:r>
      <w:r>
        <w:rPr>
          <w:rStyle w:val="2Char"/>
          <w:rFonts w:ascii="黑体" w:eastAsia="黑体" w:hAnsi="黑体" w:hint="eastAsia"/>
          <w:b w:val="0"/>
        </w:rPr>
        <w:t>入决算情况说明</w:t>
      </w:r>
      <w:bookmarkEnd w:id="30"/>
      <w:bookmarkEnd w:id="31"/>
    </w:p>
    <w:p w:rsidR="00EC184F" w:rsidRDefault="00DC6B00">
      <w:pPr>
        <w:spacing w:line="600" w:lineRule="exact"/>
        <w:ind w:firstLineChars="200" w:firstLine="640"/>
        <w:outlineLvl w:val="1"/>
        <w:rPr>
          <w:rFonts w:ascii="黑体" w:eastAsia="黑体" w:hAnsi="黑体" w:cstheme="majorBidi"/>
          <w:bCs/>
          <w:sz w:val="32"/>
          <w:szCs w:val="32"/>
        </w:rPr>
      </w:pPr>
      <w:r>
        <w:rPr>
          <w:rFonts w:ascii="仿宋" w:eastAsia="仿宋" w:hAnsi="仿宋"/>
          <w:sz w:val="32"/>
          <w:szCs w:val="32"/>
        </w:rPr>
        <w:t>20</w:t>
      </w:r>
      <w:r>
        <w:rPr>
          <w:rFonts w:ascii="仿宋" w:eastAsia="仿宋" w:hAnsi="仿宋" w:hint="eastAsia"/>
          <w:sz w:val="32"/>
          <w:szCs w:val="32"/>
        </w:rPr>
        <w:t>22年本年收入合计</w:t>
      </w:r>
      <w:r>
        <w:rPr>
          <w:rFonts w:ascii="仿宋_GB2312" w:eastAsia="仿宋_GB2312" w:cs="仿宋_GB2312"/>
          <w:color w:val="000000"/>
          <w:sz w:val="32"/>
          <w:szCs w:val="32"/>
          <w:lang w:val="zh-CN"/>
        </w:rPr>
        <w:t>2,918.39</w:t>
      </w:r>
      <w:r>
        <w:rPr>
          <w:rFonts w:ascii="仿宋_GB2312" w:eastAsia="仿宋_GB2312" w:cs="仿宋_GB2312" w:hint="eastAsia"/>
          <w:color w:val="000000"/>
          <w:sz w:val="32"/>
          <w:szCs w:val="32"/>
          <w:lang w:val="zh-CN"/>
        </w:rPr>
        <w:t>万元，其中：一般公共预算财政拨款收入</w:t>
      </w:r>
      <w:r>
        <w:rPr>
          <w:rFonts w:ascii="仿宋_GB2312" w:eastAsia="仿宋_GB2312" w:cs="仿宋_GB2312"/>
          <w:color w:val="000000"/>
          <w:sz w:val="32"/>
          <w:szCs w:val="32"/>
          <w:lang w:val="zh-CN"/>
        </w:rPr>
        <w:t>1,823.39</w:t>
      </w:r>
      <w:r>
        <w:rPr>
          <w:rFonts w:ascii="仿宋_GB2312" w:eastAsia="仿宋_GB2312" w:cs="仿宋_GB2312" w:hint="eastAsia"/>
          <w:color w:val="000000"/>
          <w:sz w:val="32"/>
          <w:szCs w:val="32"/>
          <w:lang w:val="zh-CN"/>
        </w:rPr>
        <w:t>万元，占</w:t>
      </w:r>
      <w:r>
        <w:rPr>
          <w:rFonts w:ascii="仿宋_GB2312" w:eastAsia="仿宋_GB2312" w:cs="仿宋_GB2312"/>
          <w:color w:val="000000"/>
          <w:sz w:val="32"/>
          <w:szCs w:val="32"/>
          <w:lang w:val="zh-CN"/>
        </w:rPr>
        <w:t>62.5%</w:t>
      </w:r>
      <w:r>
        <w:rPr>
          <w:rFonts w:ascii="仿宋_GB2312" w:eastAsia="仿宋_GB2312" w:cs="仿宋_GB2312" w:hint="eastAsia"/>
          <w:color w:val="000000"/>
          <w:sz w:val="32"/>
          <w:szCs w:val="32"/>
          <w:lang w:val="zh-CN"/>
        </w:rPr>
        <w:t>；政府性基金预算财政拨款收入</w:t>
      </w:r>
      <w:r>
        <w:rPr>
          <w:rFonts w:ascii="仿宋_GB2312" w:eastAsia="仿宋_GB2312" w:cs="仿宋_GB2312"/>
          <w:color w:val="000000"/>
          <w:sz w:val="32"/>
          <w:szCs w:val="32"/>
          <w:lang w:val="zh-CN"/>
        </w:rPr>
        <w:t>770</w:t>
      </w:r>
      <w:r>
        <w:rPr>
          <w:rFonts w:ascii="仿宋_GB2312" w:eastAsia="仿宋_GB2312" w:cs="仿宋_GB2312" w:hint="eastAsia"/>
          <w:color w:val="000000"/>
          <w:sz w:val="32"/>
          <w:szCs w:val="32"/>
          <w:lang w:val="zh-CN"/>
        </w:rPr>
        <w:t>万元，占</w:t>
      </w:r>
      <w:r>
        <w:rPr>
          <w:rFonts w:ascii="仿宋_GB2312" w:eastAsia="仿宋_GB2312" w:cs="仿宋_GB2312"/>
          <w:color w:val="000000"/>
          <w:sz w:val="32"/>
          <w:szCs w:val="32"/>
          <w:lang w:val="zh-CN"/>
        </w:rPr>
        <w:t>26.4%</w:t>
      </w:r>
      <w:r>
        <w:rPr>
          <w:rFonts w:ascii="仿宋_GB2312" w:eastAsia="仿宋_GB2312" w:cs="仿宋_GB2312" w:hint="eastAsia"/>
          <w:color w:val="000000"/>
          <w:sz w:val="32"/>
          <w:szCs w:val="32"/>
          <w:lang w:val="zh-CN"/>
        </w:rPr>
        <w:t>；其他收入</w:t>
      </w:r>
      <w:r>
        <w:rPr>
          <w:rFonts w:ascii="仿宋_GB2312" w:eastAsia="仿宋_GB2312" w:cs="仿宋_GB2312"/>
          <w:color w:val="000000"/>
          <w:sz w:val="32"/>
          <w:szCs w:val="32"/>
          <w:lang w:val="zh-CN"/>
        </w:rPr>
        <w:t>325</w:t>
      </w:r>
      <w:r>
        <w:rPr>
          <w:rFonts w:ascii="仿宋_GB2312" w:eastAsia="仿宋_GB2312" w:cs="仿宋_GB2312" w:hint="eastAsia"/>
          <w:color w:val="000000"/>
          <w:sz w:val="32"/>
          <w:szCs w:val="32"/>
          <w:lang w:val="zh-CN"/>
        </w:rPr>
        <w:t>万元，占</w:t>
      </w:r>
      <w:r>
        <w:rPr>
          <w:rFonts w:ascii="仿宋_GB2312" w:eastAsia="仿宋_GB2312" w:cs="仿宋_GB2312"/>
          <w:color w:val="000000"/>
          <w:sz w:val="32"/>
          <w:szCs w:val="32"/>
          <w:lang w:val="zh-CN"/>
        </w:rPr>
        <w:t>11.1%</w:t>
      </w:r>
      <w:r>
        <w:rPr>
          <w:rFonts w:ascii="仿宋_GB2312" w:eastAsia="仿宋_GB2312" w:cs="仿宋_GB2312" w:hint="eastAsia"/>
          <w:color w:val="000000"/>
          <w:sz w:val="32"/>
          <w:szCs w:val="32"/>
          <w:lang w:val="zh-CN"/>
        </w:rPr>
        <w:t>。</w:t>
      </w:r>
    </w:p>
    <w:p w:rsidR="00EC184F" w:rsidRDefault="00DC6B00">
      <w:pPr>
        <w:pStyle w:val="a0"/>
        <w:spacing w:before="93"/>
      </w:pPr>
      <w:r>
        <w:rPr>
          <w:rFonts w:hint="eastAsia"/>
          <w:noProof/>
        </w:rPr>
        <w:drawing>
          <wp:inline distT="0" distB="0" distL="0" distR="0">
            <wp:extent cx="3020695" cy="2190750"/>
            <wp:effectExtent l="19050" t="0" r="27288" b="0"/>
            <wp:docPr id="7"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EC184F" w:rsidRDefault="00DC6B00">
      <w:pPr>
        <w:spacing w:line="600" w:lineRule="exact"/>
        <w:ind w:firstLineChars="200" w:firstLine="640"/>
        <w:rPr>
          <w:rFonts w:ascii="仿宋_GB2312" w:eastAsia="仿宋_GB2312"/>
          <w:sz w:val="32"/>
          <w:szCs w:val="32"/>
        </w:rPr>
      </w:pPr>
      <w:r>
        <w:rPr>
          <w:rFonts w:ascii="仿宋" w:eastAsia="仿宋" w:hAnsi="仿宋" w:hint="eastAsia"/>
          <w:sz w:val="32"/>
          <w:szCs w:val="32"/>
        </w:rPr>
        <w:t>（图2：收入决算结构图）（饼状图）</w:t>
      </w:r>
    </w:p>
    <w:p w:rsidR="00EC184F" w:rsidRDefault="00DC6B00">
      <w:pPr>
        <w:pStyle w:val="ab"/>
        <w:numPr>
          <w:ilvl w:val="0"/>
          <w:numId w:val="1"/>
        </w:numPr>
        <w:spacing w:line="600" w:lineRule="exact"/>
        <w:ind w:firstLineChars="0"/>
        <w:outlineLvl w:val="1"/>
        <w:rPr>
          <w:rStyle w:val="2Char"/>
          <w:rFonts w:ascii="黑体" w:eastAsia="黑体" w:hAnsi="黑体"/>
          <w:b w:val="0"/>
        </w:rPr>
      </w:pPr>
      <w:bookmarkStart w:id="32" w:name="_Toc15396605"/>
      <w:bookmarkStart w:id="33" w:name="_Toc15377207"/>
      <w:r>
        <w:rPr>
          <w:rFonts w:ascii="黑体" w:eastAsia="黑体" w:hAnsi="黑体" w:hint="eastAsia"/>
          <w:sz w:val="32"/>
          <w:szCs w:val="32"/>
        </w:rPr>
        <w:t>支</w:t>
      </w:r>
      <w:r>
        <w:rPr>
          <w:rStyle w:val="2Char"/>
          <w:rFonts w:ascii="黑体" w:eastAsia="黑体" w:hAnsi="黑体" w:hint="eastAsia"/>
          <w:b w:val="0"/>
        </w:rPr>
        <w:t>出决算情况说明</w:t>
      </w:r>
      <w:bookmarkEnd w:id="32"/>
      <w:bookmarkEnd w:id="33"/>
    </w:p>
    <w:p w:rsidR="00EC184F" w:rsidRDefault="00DC6B00">
      <w:pPr>
        <w:spacing w:line="600" w:lineRule="exact"/>
        <w:ind w:firstLineChars="200" w:firstLine="640"/>
        <w:outlineLvl w:val="1"/>
        <w:rPr>
          <w:rFonts w:ascii="黑体" w:eastAsia="黑体" w:hAnsi="黑体" w:cstheme="majorBidi"/>
          <w:bCs/>
          <w:sz w:val="32"/>
          <w:szCs w:val="32"/>
        </w:rPr>
      </w:pPr>
      <w:r>
        <w:rPr>
          <w:rFonts w:ascii="仿宋" w:eastAsia="仿宋" w:hAnsi="仿宋"/>
          <w:sz w:val="32"/>
          <w:szCs w:val="32"/>
        </w:rPr>
        <w:t>20</w:t>
      </w:r>
      <w:r>
        <w:rPr>
          <w:rFonts w:ascii="仿宋" w:eastAsia="仿宋" w:hAnsi="仿宋" w:hint="eastAsia"/>
          <w:sz w:val="32"/>
          <w:szCs w:val="32"/>
        </w:rPr>
        <w:t>22年本年支出</w:t>
      </w:r>
      <w:r>
        <w:rPr>
          <w:rFonts w:ascii="仿宋_GB2312" w:eastAsia="仿宋_GB2312" w:cs="仿宋_GB2312" w:hint="eastAsia"/>
          <w:color w:val="000000"/>
          <w:sz w:val="32"/>
          <w:szCs w:val="32"/>
          <w:lang w:val="zh-CN"/>
        </w:rPr>
        <w:t>合计</w:t>
      </w:r>
      <w:r>
        <w:rPr>
          <w:rFonts w:ascii="仿宋_GB2312" w:eastAsia="仿宋_GB2312" w:cs="仿宋_GB2312"/>
          <w:color w:val="000000"/>
          <w:sz w:val="32"/>
          <w:szCs w:val="32"/>
          <w:lang w:val="zh-CN"/>
        </w:rPr>
        <w:t>2,988.76</w:t>
      </w:r>
      <w:r>
        <w:rPr>
          <w:rFonts w:ascii="仿宋_GB2312" w:eastAsia="仿宋_GB2312" w:cs="仿宋_GB2312" w:hint="eastAsia"/>
          <w:color w:val="000000"/>
          <w:sz w:val="32"/>
          <w:szCs w:val="32"/>
          <w:lang w:val="zh-CN"/>
        </w:rPr>
        <w:t>万元，其中：基本支出</w:t>
      </w:r>
      <w:r>
        <w:rPr>
          <w:rFonts w:ascii="仿宋_GB2312" w:eastAsia="仿宋_GB2312" w:cs="仿宋_GB2312"/>
          <w:color w:val="000000"/>
          <w:sz w:val="32"/>
          <w:szCs w:val="32"/>
          <w:lang w:val="zh-CN"/>
        </w:rPr>
        <w:lastRenderedPageBreak/>
        <w:t>909.5</w:t>
      </w:r>
      <w:r>
        <w:rPr>
          <w:rFonts w:ascii="仿宋_GB2312" w:eastAsia="仿宋_GB2312" w:cs="仿宋_GB2312" w:hint="eastAsia"/>
          <w:color w:val="000000"/>
          <w:sz w:val="32"/>
          <w:szCs w:val="32"/>
          <w:lang w:val="zh-CN"/>
        </w:rPr>
        <w:t>6万元，占</w:t>
      </w:r>
      <w:r>
        <w:rPr>
          <w:rFonts w:ascii="仿宋_GB2312" w:eastAsia="仿宋_GB2312" w:cs="仿宋_GB2312"/>
          <w:color w:val="000000"/>
          <w:sz w:val="32"/>
          <w:szCs w:val="32"/>
          <w:lang w:val="zh-CN"/>
        </w:rPr>
        <w:t>30.4%</w:t>
      </w:r>
      <w:r>
        <w:rPr>
          <w:rFonts w:ascii="仿宋_GB2312" w:eastAsia="仿宋_GB2312" w:cs="仿宋_GB2312" w:hint="eastAsia"/>
          <w:color w:val="000000"/>
          <w:sz w:val="32"/>
          <w:szCs w:val="32"/>
          <w:lang w:val="zh-CN"/>
        </w:rPr>
        <w:t>；项目支出</w:t>
      </w:r>
      <w:r>
        <w:rPr>
          <w:rFonts w:ascii="仿宋_GB2312" w:eastAsia="仿宋_GB2312" w:cs="仿宋_GB2312"/>
          <w:color w:val="000000"/>
          <w:sz w:val="32"/>
          <w:szCs w:val="32"/>
          <w:lang w:val="zh-CN"/>
        </w:rPr>
        <w:t>2,079.2</w:t>
      </w:r>
      <w:r>
        <w:rPr>
          <w:rFonts w:ascii="仿宋_GB2312" w:eastAsia="仿宋_GB2312" w:cs="仿宋_GB2312" w:hint="eastAsia"/>
          <w:color w:val="000000"/>
          <w:sz w:val="32"/>
          <w:szCs w:val="32"/>
          <w:lang w:val="zh-CN"/>
        </w:rPr>
        <w:t>万元，占</w:t>
      </w:r>
      <w:r>
        <w:rPr>
          <w:rFonts w:ascii="仿宋_GB2312" w:eastAsia="仿宋_GB2312" w:cs="仿宋_GB2312"/>
          <w:color w:val="000000"/>
          <w:sz w:val="32"/>
          <w:szCs w:val="32"/>
          <w:lang w:val="zh-CN"/>
        </w:rPr>
        <w:t>69.6%</w:t>
      </w:r>
      <w:r>
        <w:rPr>
          <w:rFonts w:ascii="仿宋_GB2312" w:eastAsia="仿宋_GB2312" w:cs="仿宋_GB2312" w:hint="eastAsia"/>
          <w:color w:val="000000"/>
          <w:sz w:val="32"/>
          <w:szCs w:val="32"/>
          <w:lang w:val="zh-CN"/>
        </w:rPr>
        <w:t>。</w:t>
      </w:r>
    </w:p>
    <w:p w:rsidR="00EC184F" w:rsidRDefault="00DC6B00">
      <w:pPr>
        <w:pStyle w:val="a0"/>
        <w:spacing w:before="93"/>
      </w:pPr>
      <w:r>
        <w:rPr>
          <w:rFonts w:hint="eastAsia"/>
          <w:noProof/>
        </w:rPr>
        <w:drawing>
          <wp:inline distT="0" distB="0" distL="0" distR="0">
            <wp:extent cx="3020695" cy="2190750"/>
            <wp:effectExtent l="19050" t="0" r="27288" b="0"/>
            <wp:docPr id="8"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EC184F" w:rsidRDefault="00DC6B00">
      <w:pPr>
        <w:spacing w:line="600" w:lineRule="exact"/>
        <w:ind w:firstLineChars="200" w:firstLine="640"/>
        <w:rPr>
          <w:rFonts w:ascii="仿宋" w:eastAsia="仿宋" w:hAnsi="仿宋"/>
          <w:sz w:val="32"/>
          <w:szCs w:val="32"/>
        </w:rPr>
      </w:pPr>
      <w:r>
        <w:rPr>
          <w:rFonts w:ascii="仿宋" w:eastAsia="仿宋" w:hAnsi="仿宋" w:hint="eastAsia"/>
          <w:sz w:val="32"/>
          <w:szCs w:val="32"/>
        </w:rPr>
        <w:t>（图3：支出决算结构图）（饼状图）</w:t>
      </w:r>
    </w:p>
    <w:p w:rsidR="00EC184F" w:rsidRDefault="00DC6B00">
      <w:pPr>
        <w:spacing w:line="600" w:lineRule="exact"/>
        <w:ind w:firstLineChars="200" w:firstLine="640"/>
        <w:outlineLvl w:val="1"/>
        <w:rPr>
          <w:rStyle w:val="2Char"/>
          <w:rFonts w:ascii="黑体" w:eastAsia="黑体" w:hAnsi="黑体"/>
          <w:b w:val="0"/>
        </w:rPr>
      </w:pPr>
      <w:bookmarkStart w:id="34" w:name="_Toc15377208"/>
      <w:bookmarkStart w:id="35" w:name="_Toc15396606"/>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34"/>
      <w:bookmarkEnd w:id="35"/>
    </w:p>
    <w:p w:rsidR="00EC184F" w:rsidRDefault="00DC6B00">
      <w:pPr>
        <w:spacing w:line="600" w:lineRule="exact"/>
        <w:ind w:firstLineChars="200" w:firstLine="640"/>
        <w:rPr>
          <w:lang w:val="zh-CN"/>
        </w:rPr>
      </w:pPr>
      <w:r>
        <w:rPr>
          <w:rFonts w:ascii="仿宋_GB2312" w:eastAsia="仿宋_GB2312" w:cs="仿宋_GB2312"/>
          <w:color w:val="000000"/>
          <w:sz w:val="32"/>
          <w:szCs w:val="32"/>
          <w:lang w:val="zh-CN"/>
        </w:rPr>
        <w:t>2022</w:t>
      </w:r>
      <w:r>
        <w:rPr>
          <w:rFonts w:ascii="仿宋_GB2312" w:eastAsia="仿宋_GB2312" w:cs="仿宋_GB2312" w:hint="eastAsia"/>
          <w:color w:val="000000"/>
          <w:sz w:val="32"/>
          <w:szCs w:val="32"/>
          <w:lang w:val="zh-CN"/>
        </w:rPr>
        <w:t>年财政拨款收、支总计</w:t>
      </w:r>
      <w:r>
        <w:rPr>
          <w:rFonts w:ascii="仿宋_GB2312" w:eastAsia="仿宋_GB2312" w:cs="仿宋_GB2312"/>
          <w:color w:val="000000"/>
          <w:sz w:val="32"/>
          <w:szCs w:val="32"/>
          <w:lang w:val="zh-CN"/>
        </w:rPr>
        <w:t>2,663.76</w:t>
      </w:r>
      <w:r>
        <w:rPr>
          <w:rFonts w:ascii="仿宋_GB2312" w:eastAsia="仿宋_GB2312" w:cs="仿宋_GB2312" w:hint="eastAsia"/>
          <w:color w:val="000000"/>
          <w:sz w:val="32"/>
          <w:szCs w:val="32"/>
          <w:lang w:val="zh-CN"/>
        </w:rPr>
        <w:t>万元。与</w:t>
      </w:r>
      <w:r>
        <w:rPr>
          <w:rFonts w:ascii="仿宋_GB2312" w:eastAsia="仿宋_GB2312" w:cs="仿宋_GB2312"/>
          <w:color w:val="000000"/>
          <w:sz w:val="32"/>
          <w:szCs w:val="32"/>
          <w:lang w:val="zh-CN"/>
        </w:rPr>
        <w:t>2021</w:t>
      </w:r>
      <w:r>
        <w:rPr>
          <w:rFonts w:ascii="仿宋_GB2312" w:eastAsia="仿宋_GB2312" w:cs="仿宋_GB2312" w:hint="eastAsia"/>
          <w:color w:val="000000"/>
          <w:sz w:val="32"/>
          <w:szCs w:val="32"/>
          <w:lang w:val="zh-CN"/>
        </w:rPr>
        <w:t>年相比，财政拨款收、支总计各增加</w:t>
      </w:r>
      <w:r>
        <w:rPr>
          <w:rFonts w:ascii="仿宋_GB2312" w:eastAsia="仿宋_GB2312" w:cs="仿宋_GB2312"/>
          <w:color w:val="000000"/>
          <w:sz w:val="32"/>
          <w:szCs w:val="32"/>
          <w:lang w:val="zh-CN"/>
        </w:rPr>
        <w:t>353.25</w:t>
      </w:r>
      <w:r>
        <w:rPr>
          <w:rFonts w:ascii="仿宋_GB2312" w:eastAsia="仿宋_GB2312" w:cs="仿宋_GB2312" w:hint="eastAsia"/>
          <w:color w:val="000000"/>
          <w:sz w:val="32"/>
          <w:szCs w:val="32"/>
          <w:lang w:val="zh-CN"/>
        </w:rPr>
        <w:t>万元，增长</w:t>
      </w:r>
      <w:r>
        <w:rPr>
          <w:rFonts w:ascii="仿宋_GB2312" w:eastAsia="仿宋_GB2312" w:cs="仿宋_GB2312"/>
          <w:color w:val="000000"/>
          <w:sz w:val="32"/>
          <w:szCs w:val="32"/>
          <w:lang w:val="zh-CN"/>
        </w:rPr>
        <w:t>15.3%</w:t>
      </w:r>
      <w:r>
        <w:rPr>
          <w:rFonts w:ascii="仿宋_GB2312" w:eastAsia="仿宋_GB2312" w:cs="仿宋_GB2312" w:hint="eastAsia"/>
          <w:color w:val="000000"/>
          <w:sz w:val="32"/>
          <w:szCs w:val="32"/>
          <w:lang w:val="zh-CN"/>
        </w:rPr>
        <w:t>。主要变动原因：</w:t>
      </w:r>
      <w:r>
        <w:rPr>
          <w:rFonts w:ascii="仿宋_GB2312" w:eastAsia="仿宋_GB2312" w:hAnsiTheme="minorHAnsi" w:cs="仿宋_GB2312" w:hint="eastAsia"/>
          <w:color w:val="000000"/>
          <w:sz w:val="32"/>
          <w:szCs w:val="32"/>
          <w:lang w:val="zh-CN"/>
        </w:rPr>
        <w:t>一是基本支出较上年增加51.38万元，增加原因2022年发放基础性绩效及补充医疗保险。二是项目支出较上年增加301.87万元，增加原因为2022年项目支出中对企业的补贴支出较上年减少721.17万元，资本性支出较上年增加1</w:t>
      </w:r>
      <w:r>
        <w:rPr>
          <w:rFonts w:ascii="仿宋_GB2312" w:eastAsia="仿宋_GB2312" w:cs="仿宋_GB2312"/>
          <w:color w:val="000000"/>
          <w:sz w:val="32"/>
          <w:szCs w:val="32"/>
          <w:lang w:val="zh-CN"/>
        </w:rPr>
        <w:t>,</w:t>
      </w:r>
      <w:r>
        <w:rPr>
          <w:rFonts w:ascii="仿宋_GB2312" w:eastAsia="仿宋_GB2312" w:hAnsiTheme="minorHAnsi" w:cs="仿宋_GB2312" w:hint="eastAsia"/>
          <w:color w:val="000000"/>
          <w:sz w:val="32"/>
          <w:szCs w:val="32"/>
          <w:lang w:val="zh-CN"/>
        </w:rPr>
        <w:t>087.34万元，资本性支出主要为电力线路迁改、基础设施建设支出。</w:t>
      </w:r>
    </w:p>
    <w:p w:rsidR="00EC184F" w:rsidRDefault="00DC6B00">
      <w:pPr>
        <w:pStyle w:val="a0"/>
        <w:spacing w:before="93"/>
        <w:rPr>
          <w:lang w:val="zh-CN"/>
        </w:rPr>
      </w:pPr>
      <w:r>
        <w:rPr>
          <w:noProof/>
        </w:rPr>
        <w:drawing>
          <wp:inline distT="0" distB="0" distL="0" distR="0">
            <wp:extent cx="2733675" cy="1828800"/>
            <wp:effectExtent l="19050" t="0" r="9525" b="0"/>
            <wp:docPr id="11" name="对象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EC184F" w:rsidRDefault="00DC6B00">
      <w:pPr>
        <w:spacing w:line="600" w:lineRule="exact"/>
        <w:rPr>
          <w:rFonts w:ascii="仿宋" w:eastAsia="仿宋" w:hAnsi="仿宋"/>
          <w:b/>
          <w:sz w:val="32"/>
          <w:szCs w:val="32"/>
        </w:rPr>
      </w:pPr>
      <w:r>
        <w:rPr>
          <w:rFonts w:ascii="仿宋" w:eastAsia="仿宋" w:hAnsi="仿宋" w:hint="eastAsia"/>
          <w:sz w:val="32"/>
          <w:szCs w:val="32"/>
        </w:rPr>
        <w:lastRenderedPageBreak/>
        <w:t>（图4：财政拨款收、支决算总计变动情况）（柱状图）</w:t>
      </w:r>
    </w:p>
    <w:p w:rsidR="00EC184F" w:rsidRDefault="00DC6B00">
      <w:pPr>
        <w:spacing w:line="600" w:lineRule="exact"/>
        <w:ind w:firstLineChars="200" w:firstLine="640"/>
        <w:outlineLvl w:val="1"/>
        <w:rPr>
          <w:rStyle w:val="2Char"/>
          <w:rFonts w:ascii="黑体" w:eastAsia="黑体" w:hAnsi="黑体"/>
          <w:b w:val="0"/>
        </w:rPr>
      </w:pPr>
      <w:bookmarkStart w:id="36" w:name="_Toc15377209"/>
      <w:bookmarkStart w:id="37" w:name="_Toc15396607"/>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36"/>
      <w:bookmarkEnd w:id="37"/>
    </w:p>
    <w:p w:rsidR="00EC184F" w:rsidRDefault="00DC6B00">
      <w:pPr>
        <w:spacing w:line="600" w:lineRule="exact"/>
        <w:ind w:firstLineChars="200" w:firstLine="643"/>
        <w:outlineLvl w:val="2"/>
        <w:rPr>
          <w:rFonts w:ascii="仿宋" w:eastAsia="仿宋" w:hAnsi="仿宋"/>
          <w:b/>
          <w:sz w:val="32"/>
          <w:szCs w:val="32"/>
        </w:rPr>
      </w:pPr>
      <w:bookmarkStart w:id="38" w:name="_Toc15377210"/>
      <w:r>
        <w:rPr>
          <w:rFonts w:ascii="仿宋" w:eastAsia="仿宋" w:hAnsi="仿宋" w:hint="eastAsia"/>
          <w:b/>
          <w:sz w:val="32"/>
          <w:szCs w:val="32"/>
        </w:rPr>
        <w:t>（一）一般公共预算财政拨款支出决算总体情况</w:t>
      </w:r>
      <w:bookmarkEnd w:id="38"/>
    </w:p>
    <w:p w:rsidR="00EC184F" w:rsidRDefault="00DC6B00">
      <w:pPr>
        <w:spacing w:line="600" w:lineRule="exact"/>
        <w:ind w:firstLineChars="200" w:firstLine="640"/>
        <w:outlineLvl w:val="2"/>
        <w:rPr>
          <w:rFonts w:ascii="仿宋" w:eastAsia="仿宋" w:hAnsi="仿宋"/>
          <w:b/>
          <w:sz w:val="32"/>
          <w:szCs w:val="32"/>
        </w:rPr>
      </w:pPr>
      <w:r>
        <w:rPr>
          <w:rFonts w:ascii="仿宋" w:eastAsia="仿宋" w:hAnsi="仿宋"/>
          <w:sz w:val="32"/>
          <w:szCs w:val="32"/>
        </w:rPr>
        <w:t>20</w:t>
      </w:r>
      <w:r>
        <w:rPr>
          <w:rFonts w:ascii="仿宋" w:eastAsia="仿宋" w:hAnsi="仿宋" w:hint="eastAsia"/>
          <w:sz w:val="32"/>
          <w:szCs w:val="32"/>
        </w:rPr>
        <w:t>22年</w:t>
      </w:r>
      <w:r>
        <w:rPr>
          <w:rFonts w:ascii="仿宋_GB2312" w:eastAsia="仿宋_GB2312" w:cs="仿宋_GB2312" w:hint="eastAsia"/>
          <w:color w:val="000000"/>
          <w:sz w:val="32"/>
          <w:szCs w:val="32"/>
          <w:lang w:val="zh-CN"/>
        </w:rPr>
        <w:t>一般公共预算财政拨款支出</w:t>
      </w:r>
      <w:r>
        <w:rPr>
          <w:rFonts w:ascii="仿宋_GB2312" w:eastAsia="仿宋_GB2312" w:cs="仿宋_GB2312"/>
          <w:color w:val="000000"/>
          <w:sz w:val="32"/>
          <w:szCs w:val="32"/>
          <w:lang w:val="zh-CN"/>
        </w:rPr>
        <w:t>1,893.76</w:t>
      </w:r>
      <w:r>
        <w:rPr>
          <w:rFonts w:ascii="仿宋_GB2312" w:eastAsia="仿宋_GB2312" w:cs="仿宋_GB2312" w:hint="eastAsia"/>
          <w:color w:val="000000"/>
          <w:sz w:val="32"/>
          <w:szCs w:val="32"/>
          <w:lang w:val="zh-CN"/>
        </w:rPr>
        <w:t>万元，占本年支出合计的</w:t>
      </w:r>
      <w:r>
        <w:rPr>
          <w:rFonts w:ascii="仿宋_GB2312" w:eastAsia="仿宋_GB2312" w:cs="仿宋_GB2312"/>
          <w:color w:val="000000"/>
          <w:sz w:val="32"/>
          <w:szCs w:val="32"/>
          <w:lang w:val="zh-CN"/>
        </w:rPr>
        <w:t>63.4%</w:t>
      </w:r>
      <w:r>
        <w:rPr>
          <w:rFonts w:ascii="仿宋_GB2312" w:eastAsia="仿宋_GB2312" w:cs="仿宋_GB2312" w:hint="eastAsia"/>
          <w:color w:val="000000"/>
          <w:sz w:val="32"/>
          <w:szCs w:val="32"/>
          <w:lang w:val="zh-CN"/>
        </w:rPr>
        <w:t>。与</w:t>
      </w:r>
      <w:r>
        <w:rPr>
          <w:rFonts w:ascii="仿宋_GB2312" w:eastAsia="仿宋_GB2312" w:cs="仿宋_GB2312"/>
          <w:color w:val="000000"/>
          <w:sz w:val="32"/>
          <w:szCs w:val="32"/>
          <w:lang w:val="zh-CN"/>
        </w:rPr>
        <w:t>2021</w:t>
      </w:r>
      <w:r>
        <w:rPr>
          <w:rFonts w:ascii="仿宋_GB2312" w:eastAsia="仿宋_GB2312" w:cs="仿宋_GB2312" w:hint="eastAsia"/>
          <w:color w:val="000000"/>
          <w:sz w:val="32"/>
          <w:szCs w:val="32"/>
          <w:lang w:val="zh-CN"/>
        </w:rPr>
        <w:t>年相比，一般公共预算财政拨款支出减少</w:t>
      </w:r>
      <w:r>
        <w:rPr>
          <w:rFonts w:ascii="仿宋_GB2312" w:eastAsia="仿宋_GB2312" w:cs="仿宋_GB2312"/>
          <w:color w:val="000000"/>
          <w:sz w:val="32"/>
          <w:szCs w:val="32"/>
          <w:lang w:val="zh-CN"/>
        </w:rPr>
        <w:t>400.95</w:t>
      </w:r>
      <w:r>
        <w:rPr>
          <w:rFonts w:ascii="仿宋_GB2312" w:eastAsia="仿宋_GB2312" w:cs="仿宋_GB2312" w:hint="eastAsia"/>
          <w:color w:val="000000"/>
          <w:sz w:val="32"/>
          <w:szCs w:val="32"/>
          <w:lang w:val="zh-CN"/>
        </w:rPr>
        <w:t>万元，下降</w:t>
      </w:r>
      <w:r>
        <w:rPr>
          <w:rFonts w:ascii="仿宋_GB2312" w:eastAsia="仿宋_GB2312" w:cs="仿宋_GB2312"/>
          <w:color w:val="000000"/>
          <w:sz w:val="32"/>
          <w:szCs w:val="32"/>
          <w:lang w:val="zh-CN"/>
        </w:rPr>
        <w:t>-17.5%</w:t>
      </w:r>
      <w:r>
        <w:rPr>
          <w:rFonts w:ascii="仿宋_GB2312" w:eastAsia="仿宋_GB2312" w:cs="仿宋_GB2312" w:hint="eastAsia"/>
          <w:color w:val="000000"/>
          <w:sz w:val="32"/>
          <w:szCs w:val="32"/>
          <w:lang w:val="zh-CN"/>
        </w:rPr>
        <w:t>。主要变动原因：</w:t>
      </w:r>
      <w:r>
        <w:rPr>
          <w:rFonts w:ascii="仿宋_GB2312" w:eastAsia="仿宋_GB2312" w:hAnsiTheme="minorHAnsi" w:cs="仿宋_GB2312" w:hint="eastAsia"/>
          <w:color w:val="000000"/>
          <w:sz w:val="32"/>
          <w:szCs w:val="32"/>
          <w:lang w:val="zh-CN"/>
        </w:rPr>
        <w:t>一是基本支出较上年增加51.38万元，增加原因2022年发放基础性绩效及补充医疗保险。二是项目支出较上年减少452.33万元，减少原因为对企业的补贴支出减少。</w:t>
      </w:r>
    </w:p>
    <w:p w:rsidR="00EC184F" w:rsidRDefault="00DC6B00">
      <w:pPr>
        <w:pStyle w:val="a0"/>
        <w:spacing w:before="93"/>
      </w:pPr>
      <w:r>
        <w:rPr>
          <w:noProof/>
        </w:rPr>
        <w:drawing>
          <wp:inline distT="0" distB="0" distL="0" distR="0">
            <wp:extent cx="2733675" cy="1828800"/>
            <wp:effectExtent l="19050" t="0" r="9525" b="0"/>
            <wp:docPr id="13" name="对象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C184F" w:rsidRDefault="00DC6B00">
      <w:pPr>
        <w:spacing w:line="600" w:lineRule="exact"/>
        <w:ind w:firstLineChars="200" w:firstLine="640"/>
        <w:rPr>
          <w:rFonts w:ascii="仿宋" w:eastAsia="仿宋" w:hAnsi="仿宋"/>
          <w:sz w:val="32"/>
          <w:szCs w:val="32"/>
        </w:rPr>
      </w:pPr>
      <w:r>
        <w:rPr>
          <w:rFonts w:ascii="仿宋" w:eastAsia="仿宋" w:hAnsi="仿宋" w:hint="eastAsia"/>
          <w:sz w:val="32"/>
          <w:szCs w:val="32"/>
        </w:rPr>
        <w:t>（图5：一般公共预算财政拨款支出决算变动情况）（柱状图）</w:t>
      </w:r>
    </w:p>
    <w:p w:rsidR="00EC184F" w:rsidRDefault="00EC184F">
      <w:pPr>
        <w:spacing w:line="600" w:lineRule="exact"/>
        <w:ind w:firstLineChars="200" w:firstLine="640"/>
        <w:rPr>
          <w:rFonts w:ascii="仿宋" w:eastAsia="仿宋" w:hAnsi="仿宋"/>
          <w:sz w:val="32"/>
          <w:szCs w:val="32"/>
        </w:rPr>
      </w:pPr>
    </w:p>
    <w:p w:rsidR="00EC184F" w:rsidRDefault="00DC6B00">
      <w:pPr>
        <w:spacing w:line="600" w:lineRule="exact"/>
        <w:ind w:firstLineChars="200" w:firstLine="643"/>
        <w:outlineLvl w:val="2"/>
        <w:rPr>
          <w:rFonts w:ascii="仿宋" w:eastAsia="仿宋" w:hAnsi="仿宋"/>
          <w:b/>
          <w:sz w:val="32"/>
          <w:szCs w:val="32"/>
        </w:rPr>
      </w:pPr>
      <w:bookmarkStart w:id="39" w:name="_Toc15377211"/>
      <w:r>
        <w:rPr>
          <w:rFonts w:ascii="仿宋" w:eastAsia="仿宋" w:hAnsi="仿宋" w:hint="eastAsia"/>
          <w:b/>
          <w:sz w:val="32"/>
          <w:szCs w:val="32"/>
        </w:rPr>
        <w:t>（二）一般公共预算财政拨款支出决算结构情况</w:t>
      </w:r>
      <w:bookmarkEnd w:id="39"/>
    </w:p>
    <w:p w:rsidR="00EC184F" w:rsidRDefault="00DC6B00">
      <w:pPr>
        <w:spacing w:line="600" w:lineRule="exact"/>
        <w:ind w:firstLineChars="200" w:firstLine="640"/>
        <w:outlineLvl w:val="2"/>
        <w:rPr>
          <w:rFonts w:ascii="仿宋" w:eastAsia="仿宋" w:hAnsi="仿宋"/>
          <w:b/>
          <w:sz w:val="32"/>
          <w:szCs w:val="32"/>
        </w:rPr>
      </w:pPr>
      <w:r>
        <w:rPr>
          <w:rFonts w:ascii="仿宋" w:eastAsia="仿宋" w:hAnsi="仿宋"/>
          <w:sz w:val="32"/>
          <w:szCs w:val="32"/>
        </w:rPr>
        <w:t>20</w:t>
      </w:r>
      <w:r>
        <w:rPr>
          <w:rFonts w:ascii="仿宋" w:eastAsia="仿宋" w:hAnsi="仿宋" w:hint="eastAsia"/>
          <w:sz w:val="32"/>
          <w:szCs w:val="32"/>
        </w:rPr>
        <w:t>22年一般公共预算财政拨款支出</w:t>
      </w:r>
      <w:r>
        <w:rPr>
          <w:rFonts w:ascii="仿宋_GB2312" w:eastAsia="仿宋_GB2312" w:cs="仿宋_GB2312"/>
          <w:color w:val="000000"/>
          <w:sz w:val="32"/>
          <w:szCs w:val="32"/>
          <w:lang w:val="zh-CN"/>
        </w:rPr>
        <w:t>1,893.76</w:t>
      </w:r>
      <w:r>
        <w:rPr>
          <w:rFonts w:ascii="仿宋_GB2312" w:eastAsia="仿宋_GB2312" w:cs="仿宋_GB2312" w:hint="eastAsia"/>
          <w:color w:val="000000"/>
          <w:sz w:val="32"/>
          <w:szCs w:val="32"/>
          <w:lang w:val="zh-CN"/>
        </w:rPr>
        <w:t>万元，主要用于以下方面</w:t>
      </w:r>
      <w:r>
        <w:rPr>
          <w:rFonts w:ascii="仿宋_GB2312" w:eastAsia="仿宋_GB2312" w:cs="仿宋_GB2312"/>
          <w:color w:val="000000"/>
          <w:sz w:val="32"/>
          <w:szCs w:val="32"/>
          <w:lang w:val="zh-CN"/>
        </w:rPr>
        <w:t>:</w:t>
      </w:r>
      <w:r>
        <w:rPr>
          <w:rFonts w:ascii="仿宋_GB2312" w:eastAsia="仿宋_GB2312" w:cs="仿宋_GB2312" w:hint="eastAsia"/>
          <w:b/>
          <w:color w:val="000000"/>
          <w:sz w:val="32"/>
          <w:szCs w:val="32"/>
          <w:lang w:val="zh-CN"/>
        </w:rPr>
        <w:t>科学技术支出</w:t>
      </w:r>
      <w:r>
        <w:rPr>
          <w:rFonts w:ascii="仿宋_GB2312" w:eastAsia="仿宋_GB2312" w:cs="仿宋_GB2312"/>
          <w:color w:val="000000"/>
          <w:sz w:val="32"/>
          <w:szCs w:val="32"/>
          <w:lang w:val="zh-CN"/>
        </w:rPr>
        <w:t>693.4</w:t>
      </w:r>
      <w:r>
        <w:rPr>
          <w:rFonts w:ascii="仿宋_GB2312" w:eastAsia="仿宋_GB2312" w:cs="仿宋_GB2312" w:hint="eastAsia"/>
          <w:color w:val="000000"/>
          <w:sz w:val="32"/>
          <w:szCs w:val="32"/>
          <w:lang w:val="zh-CN"/>
        </w:rPr>
        <w:t>万元，占</w:t>
      </w:r>
      <w:r>
        <w:rPr>
          <w:rFonts w:ascii="仿宋_GB2312" w:eastAsia="仿宋_GB2312" w:cs="仿宋_GB2312"/>
          <w:color w:val="000000"/>
          <w:sz w:val="32"/>
          <w:szCs w:val="32"/>
          <w:lang w:val="zh-CN"/>
        </w:rPr>
        <w:t>36.6%</w:t>
      </w:r>
      <w:r>
        <w:rPr>
          <w:rFonts w:ascii="仿宋_GB2312" w:eastAsia="仿宋_GB2312" w:cs="仿宋_GB2312" w:hint="eastAsia"/>
          <w:color w:val="000000"/>
          <w:sz w:val="32"/>
          <w:szCs w:val="32"/>
          <w:lang w:val="zh-CN"/>
        </w:rPr>
        <w:t>；</w:t>
      </w:r>
      <w:r>
        <w:rPr>
          <w:rFonts w:ascii="仿宋_GB2312" w:eastAsia="仿宋_GB2312" w:cs="仿宋_GB2312" w:hint="eastAsia"/>
          <w:b/>
          <w:color w:val="000000"/>
          <w:sz w:val="32"/>
          <w:szCs w:val="32"/>
          <w:lang w:val="zh-CN"/>
        </w:rPr>
        <w:t>社会保障和就业支出</w:t>
      </w:r>
      <w:r>
        <w:rPr>
          <w:rFonts w:ascii="仿宋_GB2312" w:eastAsia="仿宋_GB2312" w:cs="仿宋_GB2312"/>
          <w:color w:val="000000"/>
          <w:sz w:val="32"/>
          <w:szCs w:val="32"/>
          <w:lang w:val="zh-CN"/>
        </w:rPr>
        <w:t>255.4</w:t>
      </w:r>
      <w:r>
        <w:rPr>
          <w:rFonts w:ascii="仿宋_GB2312" w:eastAsia="仿宋_GB2312" w:cs="仿宋_GB2312" w:hint="eastAsia"/>
          <w:color w:val="000000"/>
          <w:sz w:val="32"/>
          <w:szCs w:val="32"/>
          <w:lang w:val="zh-CN"/>
        </w:rPr>
        <w:t>万元，占</w:t>
      </w:r>
      <w:r>
        <w:rPr>
          <w:rFonts w:ascii="仿宋_GB2312" w:eastAsia="仿宋_GB2312" w:cs="仿宋_GB2312"/>
          <w:color w:val="000000"/>
          <w:sz w:val="32"/>
          <w:szCs w:val="32"/>
          <w:lang w:val="zh-CN"/>
        </w:rPr>
        <w:t>13.5%</w:t>
      </w:r>
      <w:r>
        <w:rPr>
          <w:rFonts w:ascii="仿宋_GB2312" w:eastAsia="仿宋_GB2312" w:cs="仿宋_GB2312" w:hint="eastAsia"/>
          <w:color w:val="000000"/>
          <w:sz w:val="32"/>
          <w:szCs w:val="32"/>
          <w:lang w:val="zh-CN"/>
        </w:rPr>
        <w:t>；</w:t>
      </w:r>
      <w:r>
        <w:rPr>
          <w:rFonts w:ascii="仿宋_GB2312" w:eastAsia="仿宋_GB2312" w:cs="仿宋_GB2312" w:hint="eastAsia"/>
          <w:b/>
          <w:color w:val="000000"/>
          <w:sz w:val="32"/>
          <w:szCs w:val="32"/>
          <w:lang w:val="zh-CN"/>
        </w:rPr>
        <w:t>卫生健康支出</w:t>
      </w:r>
      <w:r>
        <w:rPr>
          <w:rFonts w:ascii="仿宋_GB2312" w:eastAsia="仿宋_GB2312" w:cs="仿宋_GB2312"/>
          <w:color w:val="000000"/>
          <w:sz w:val="32"/>
          <w:szCs w:val="32"/>
          <w:lang w:val="zh-CN"/>
        </w:rPr>
        <w:t>54.81</w:t>
      </w:r>
      <w:r>
        <w:rPr>
          <w:rFonts w:ascii="仿宋_GB2312" w:eastAsia="仿宋_GB2312" w:cs="仿宋_GB2312" w:hint="eastAsia"/>
          <w:color w:val="000000"/>
          <w:sz w:val="32"/>
          <w:szCs w:val="32"/>
          <w:lang w:val="zh-CN"/>
        </w:rPr>
        <w:t>万元，占</w:t>
      </w:r>
      <w:r>
        <w:rPr>
          <w:rFonts w:ascii="仿宋_GB2312" w:eastAsia="仿宋_GB2312" w:cs="仿宋_GB2312"/>
          <w:color w:val="000000"/>
          <w:sz w:val="32"/>
          <w:szCs w:val="32"/>
          <w:lang w:val="zh-CN"/>
        </w:rPr>
        <w:t>2.9%</w:t>
      </w:r>
      <w:r>
        <w:rPr>
          <w:rFonts w:ascii="仿宋_GB2312" w:eastAsia="仿宋_GB2312" w:cs="仿宋_GB2312" w:hint="eastAsia"/>
          <w:color w:val="000000"/>
          <w:sz w:val="32"/>
          <w:szCs w:val="32"/>
          <w:lang w:val="zh-CN"/>
        </w:rPr>
        <w:t>；</w:t>
      </w:r>
      <w:r>
        <w:rPr>
          <w:rFonts w:ascii="仿宋_GB2312" w:eastAsia="仿宋_GB2312" w:cs="仿宋_GB2312" w:hint="eastAsia"/>
          <w:b/>
          <w:color w:val="000000"/>
          <w:sz w:val="32"/>
          <w:szCs w:val="32"/>
          <w:lang w:val="zh-CN"/>
        </w:rPr>
        <w:t>节能环保支出</w:t>
      </w:r>
      <w:r>
        <w:rPr>
          <w:rFonts w:ascii="仿宋_GB2312" w:eastAsia="仿宋_GB2312" w:cs="仿宋_GB2312"/>
          <w:color w:val="000000"/>
          <w:sz w:val="32"/>
          <w:szCs w:val="32"/>
          <w:lang w:val="zh-CN"/>
        </w:rPr>
        <w:t>142.09</w:t>
      </w:r>
      <w:r>
        <w:rPr>
          <w:rFonts w:ascii="仿宋_GB2312" w:eastAsia="仿宋_GB2312" w:cs="仿宋_GB2312" w:hint="eastAsia"/>
          <w:color w:val="000000"/>
          <w:sz w:val="32"/>
          <w:szCs w:val="32"/>
          <w:lang w:val="zh-CN"/>
        </w:rPr>
        <w:t>万元，占</w:t>
      </w:r>
      <w:r>
        <w:rPr>
          <w:rFonts w:ascii="仿宋_GB2312" w:eastAsia="仿宋_GB2312" w:cs="仿宋_GB2312"/>
          <w:color w:val="000000"/>
          <w:sz w:val="32"/>
          <w:szCs w:val="32"/>
          <w:lang w:val="zh-CN"/>
        </w:rPr>
        <w:t>7.5%</w:t>
      </w:r>
      <w:r>
        <w:rPr>
          <w:rFonts w:ascii="仿宋_GB2312" w:eastAsia="仿宋_GB2312" w:cs="仿宋_GB2312" w:hint="eastAsia"/>
          <w:color w:val="000000"/>
          <w:sz w:val="32"/>
          <w:szCs w:val="32"/>
          <w:lang w:val="zh-CN"/>
        </w:rPr>
        <w:t>；</w:t>
      </w:r>
      <w:r>
        <w:rPr>
          <w:rFonts w:ascii="仿宋_GB2312" w:eastAsia="仿宋_GB2312" w:cs="仿宋_GB2312" w:hint="eastAsia"/>
          <w:b/>
          <w:color w:val="000000"/>
          <w:sz w:val="32"/>
          <w:szCs w:val="32"/>
          <w:lang w:val="zh-CN"/>
        </w:rPr>
        <w:t>农林</w:t>
      </w:r>
      <w:r>
        <w:rPr>
          <w:rFonts w:ascii="仿宋_GB2312" w:eastAsia="仿宋_GB2312" w:cs="仿宋_GB2312" w:hint="eastAsia"/>
          <w:b/>
          <w:color w:val="000000"/>
          <w:sz w:val="32"/>
          <w:szCs w:val="32"/>
          <w:lang w:val="zh-CN"/>
        </w:rPr>
        <w:lastRenderedPageBreak/>
        <w:t>水支出</w:t>
      </w:r>
      <w:r>
        <w:rPr>
          <w:rFonts w:ascii="仿宋_GB2312" w:eastAsia="仿宋_GB2312" w:cs="仿宋_GB2312"/>
          <w:color w:val="000000"/>
          <w:sz w:val="32"/>
          <w:szCs w:val="32"/>
          <w:lang w:val="zh-CN"/>
        </w:rPr>
        <w:t>327.45</w:t>
      </w:r>
      <w:r>
        <w:rPr>
          <w:rFonts w:ascii="仿宋_GB2312" w:eastAsia="仿宋_GB2312" w:cs="仿宋_GB2312" w:hint="eastAsia"/>
          <w:color w:val="000000"/>
          <w:sz w:val="32"/>
          <w:szCs w:val="32"/>
          <w:lang w:val="zh-CN"/>
        </w:rPr>
        <w:t>万元，占</w:t>
      </w:r>
      <w:r>
        <w:rPr>
          <w:rFonts w:ascii="仿宋_GB2312" w:eastAsia="仿宋_GB2312" w:cs="仿宋_GB2312"/>
          <w:color w:val="000000"/>
          <w:sz w:val="32"/>
          <w:szCs w:val="32"/>
          <w:lang w:val="zh-CN"/>
        </w:rPr>
        <w:t>17.</w:t>
      </w:r>
      <w:r>
        <w:rPr>
          <w:rFonts w:ascii="仿宋_GB2312" w:eastAsia="仿宋_GB2312" w:cs="仿宋_GB2312" w:hint="eastAsia"/>
          <w:color w:val="000000"/>
          <w:sz w:val="32"/>
          <w:szCs w:val="32"/>
          <w:lang w:val="zh-CN"/>
        </w:rPr>
        <w:t>29</w:t>
      </w:r>
      <w:r>
        <w:rPr>
          <w:rFonts w:ascii="仿宋_GB2312" w:eastAsia="仿宋_GB2312" w:cs="仿宋_GB2312"/>
          <w:color w:val="000000"/>
          <w:sz w:val="32"/>
          <w:szCs w:val="32"/>
          <w:lang w:val="zh-CN"/>
        </w:rPr>
        <w:t>%</w:t>
      </w:r>
      <w:r>
        <w:rPr>
          <w:rFonts w:ascii="仿宋_GB2312" w:eastAsia="仿宋_GB2312" w:cs="仿宋_GB2312" w:hint="eastAsia"/>
          <w:color w:val="000000"/>
          <w:sz w:val="32"/>
          <w:szCs w:val="32"/>
          <w:lang w:val="zh-CN"/>
        </w:rPr>
        <w:t>；</w:t>
      </w:r>
      <w:r>
        <w:rPr>
          <w:rFonts w:ascii="仿宋_GB2312" w:eastAsia="仿宋_GB2312" w:cs="仿宋_GB2312" w:hint="eastAsia"/>
          <w:b/>
          <w:color w:val="000000"/>
          <w:sz w:val="32"/>
          <w:szCs w:val="32"/>
          <w:lang w:val="zh-CN"/>
        </w:rPr>
        <w:t>资源勘探工业信息等支出</w:t>
      </w:r>
      <w:r>
        <w:rPr>
          <w:rFonts w:ascii="仿宋_GB2312" w:eastAsia="仿宋_GB2312" w:cs="仿宋_GB2312"/>
          <w:color w:val="000000"/>
          <w:sz w:val="32"/>
          <w:szCs w:val="32"/>
          <w:lang w:val="zh-CN"/>
        </w:rPr>
        <w:t>350</w:t>
      </w:r>
      <w:r>
        <w:rPr>
          <w:rFonts w:ascii="仿宋_GB2312" w:eastAsia="仿宋_GB2312" w:cs="仿宋_GB2312" w:hint="eastAsia"/>
          <w:color w:val="000000"/>
          <w:sz w:val="32"/>
          <w:szCs w:val="32"/>
          <w:lang w:val="zh-CN"/>
        </w:rPr>
        <w:t>万元，占</w:t>
      </w:r>
      <w:r>
        <w:rPr>
          <w:rFonts w:ascii="仿宋_GB2312" w:eastAsia="仿宋_GB2312" w:cs="仿宋_GB2312"/>
          <w:color w:val="000000"/>
          <w:sz w:val="32"/>
          <w:szCs w:val="32"/>
          <w:lang w:val="zh-CN"/>
        </w:rPr>
        <w:t>18.5%</w:t>
      </w:r>
      <w:r>
        <w:rPr>
          <w:rFonts w:ascii="仿宋_GB2312" w:eastAsia="仿宋_GB2312" w:cs="仿宋_GB2312" w:hint="eastAsia"/>
          <w:color w:val="000000"/>
          <w:sz w:val="32"/>
          <w:szCs w:val="32"/>
          <w:lang w:val="zh-CN"/>
        </w:rPr>
        <w:t>；</w:t>
      </w:r>
      <w:r>
        <w:rPr>
          <w:rFonts w:ascii="仿宋_GB2312" w:eastAsia="仿宋_GB2312" w:cs="仿宋_GB2312" w:hint="eastAsia"/>
          <w:b/>
          <w:color w:val="000000"/>
          <w:sz w:val="32"/>
          <w:szCs w:val="32"/>
          <w:lang w:val="zh-CN"/>
        </w:rPr>
        <w:t>住房保障支出</w:t>
      </w:r>
      <w:r>
        <w:rPr>
          <w:rFonts w:ascii="仿宋_GB2312" w:eastAsia="仿宋_GB2312" w:cs="仿宋_GB2312"/>
          <w:color w:val="000000"/>
          <w:sz w:val="32"/>
          <w:szCs w:val="32"/>
          <w:lang w:val="zh-CN"/>
        </w:rPr>
        <w:t>54.01</w:t>
      </w:r>
      <w:r>
        <w:rPr>
          <w:rFonts w:ascii="仿宋_GB2312" w:eastAsia="仿宋_GB2312" w:cs="仿宋_GB2312" w:hint="eastAsia"/>
          <w:color w:val="000000"/>
          <w:sz w:val="32"/>
          <w:szCs w:val="32"/>
          <w:lang w:val="zh-CN"/>
        </w:rPr>
        <w:t>万元，占</w:t>
      </w:r>
      <w:r>
        <w:rPr>
          <w:rFonts w:ascii="仿宋_GB2312" w:eastAsia="仿宋_GB2312" w:cs="仿宋_GB2312"/>
          <w:color w:val="000000"/>
          <w:sz w:val="32"/>
          <w:szCs w:val="32"/>
          <w:lang w:val="zh-CN"/>
        </w:rPr>
        <w:t>2.9%</w:t>
      </w:r>
      <w:r>
        <w:rPr>
          <w:rFonts w:ascii="仿宋_GB2312" w:eastAsia="仿宋_GB2312" w:cs="仿宋_GB2312" w:hint="eastAsia"/>
          <w:color w:val="000000"/>
          <w:sz w:val="32"/>
          <w:szCs w:val="32"/>
          <w:lang w:val="zh-CN"/>
        </w:rPr>
        <w:t>；</w:t>
      </w:r>
      <w:r>
        <w:rPr>
          <w:rFonts w:ascii="仿宋_GB2312" w:eastAsia="仿宋_GB2312" w:cs="仿宋_GB2312" w:hint="eastAsia"/>
          <w:b/>
          <w:color w:val="000000"/>
          <w:sz w:val="32"/>
          <w:szCs w:val="32"/>
          <w:lang w:val="zh-CN"/>
        </w:rPr>
        <w:t>灾害防治及应急管理支出</w:t>
      </w:r>
      <w:r>
        <w:rPr>
          <w:rFonts w:ascii="仿宋_GB2312" w:eastAsia="仿宋_GB2312" w:cs="仿宋_GB2312"/>
          <w:color w:val="000000"/>
          <w:sz w:val="32"/>
          <w:szCs w:val="32"/>
          <w:lang w:val="zh-CN"/>
        </w:rPr>
        <w:t>16.6</w:t>
      </w:r>
      <w:r>
        <w:rPr>
          <w:rFonts w:ascii="仿宋_GB2312" w:eastAsia="仿宋_GB2312" w:cs="仿宋_GB2312" w:hint="eastAsia"/>
          <w:color w:val="000000"/>
          <w:sz w:val="32"/>
          <w:szCs w:val="32"/>
          <w:lang w:val="zh-CN"/>
        </w:rPr>
        <w:t>万元，占</w:t>
      </w:r>
      <w:r>
        <w:rPr>
          <w:rFonts w:ascii="仿宋_GB2312" w:eastAsia="仿宋_GB2312" w:cs="仿宋_GB2312"/>
          <w:color w:val="000000"/>
          <w:sz w:val="32"/>
          <w:szCs w:val="32"/>
          <w:lang w:val="zh-CN"/>
        </w:rPr>
        <w:t>0.9%</w:t>
      </w:r>
      <w:r>
        <w:rPr>
          <w:rFonts w:ascii="仿宋_GB2312" w:eastAsia="仿宋_GB2312" w:cs="仿宋_GB2312" w:hint="eastAsia"/>
          <w:color w:val="000000"/>
          <w:sz w:val="32"/>
          <w:szCs w:val="32"/>
          <w:lang w:val="zh-CN"/>
        </w:rPr>
        <w:t>。</w:t>
      </w:r>
    </w:p>
    <w:p w:rsidR="00EC184F" w:rsidRDefault="00DC6B00">
      <w:pPr>
        <w:pStyle w:val="a0"/>
        <w:spacing w:before="93"/>
      </w:pPr>
      <w:r>
        <w:rPr>
          <w:rFonts w:hint="eastAsia"/>
          <w:noProof/>
        </w:rPr>
        <w:drawing>
          <wp:inline distT="0" distB="0" distL="0" distR="0">
            <wp:extent cx="3020695" cy="2190750"/>
            <wp:effectExtent l="19050" t="0" r="27288" b="0"/>
            <wp:docPr id="1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C184F" w:rsidRDefault="00DC6B00">
      <w:pPr>
        <w:spacing w:line="600" w:lineRule="exact"/>
        <w:ind w:firstLineChars="200" w:firstLine="640"/>
        <w:rPr>
          <w:rFonts w:ascii="仿宋" w:eastAsia="仿宋" w:hAnsi="仿宋"/>
          <w:sz w:val="32"/>
          <w:szCs w:val="32"/>
        </w:rPr>
      </w:pPr>
      <w:r>
        <w:rPr>
          <w:rFonts w:ascii="仿宋" w:eastAsia="仿宋" w:hAnsi="仿宋" w:hint="eastAsia"/>
          <w:sz w:val="32"/>
          <w:szCs w:val="32"/>
        </w:rPr>
        <w:t>（图6：一般公共预算财政拨款支出决算结构）（饼状图）</w:t>
      </w:r>
    </w:p>
    <w:p w:rsidR="00EC184F" w:rsidRDefault="00DC6B00">
      <w:pPr>
        <w:spacing w:line="600" w:lineRule="exact"/>
        <w:ind w:firstLineChars="200" w:firstLine="643"/>
        <w:outlineLvl w:val="2"/>
        <w:rPr>
          <w:rFonts w:ascii="仿宋" w:eastAsia="仿宋" w:hAnsi="仿宋"/>
          <w:b/>
          <w:sz w:val="32"/>
          <w:szCs w:val="32"/>
        </w:rPr>
      </w:pPr>
      <w:bookmarkStart w:id="40" w:name="_Toc15377212"/>
      <w:r>
        <w:rPr>
          <w:rFonts w:ascii="仿宋" w:eastAsia="仿宋" w:hAnsi="仿宋" w:hint="eastAsia"/>
          <w:b/>
          <w:sz w:val="32"/>
          <w:szCs w:val="32"/>
        </w:rPr>
        <w:t>（三）一般公共预算财政拨款支出决算具体情况</w:t>
      </w:r>
      <w:bookmarkStart w:id="41" w:name="_Toc15377213"/>
      <w:bookmarkStart w:id="42" w:name="_Toc15378460"/>
      <w:bookmarkStart w:id="43" w:name="_Toc15377444"/>
      <w:bookmarkEnd w:id="40"/>
    </w:p>
    <w:p w:rsidR="00EC184F" w:rsidRDefault="00DC6B00">
      <w:pPr>
        <w:spacing w:line="600" w:lineRule="exact"/>
        <w:ind w:firstLineChars="200" w:firstLine="643"/>
        <w:outlineLvl w:val="2"/>
        <w:rPr>
          <w:rFonts w:ascii="仿宋" w:eastAsia="仿宋" w:hAnsi="仿宋"/>
          <w:b/>
          <w:sz w:val="32"/>
          <w:szCs w:val="32"/>
        </w:rPr>
      </w:pPr>
      <w:r>
        <w:rPr>
          <w:rFonts w:ascii="仿宋" w:eastAsia="仿宋" w:hAnsi="仿宋" w:hint="eastAsia"/>
          <w:b/>
          <w:sz w:val="32"/>
          <w:szCs w:val="32"/>
        </w:rPr>
        <w:t>2022年一般公共预算支出决算数为</w:t>
      </w:r>
      <w:r>
        <w:rPr>
          <w:rFonts w:ascii="仿宋" w:eastAsia="仿宋" w:hAnsi="仿宋"/>
          <w:b/>
          <w:sz w:val="32"/>
          <w:szCs w:val="32"/>
        </w:rPr>
        <w:t>1,893.76</w:t>
      </w:r>
      <w:r>
        <w:rPr>
          <w:rFonts w:ascii="仿宋" w:eastAsia="仿宋" w:hAnsi="仿宋" w:hint="eastAsia"/>
          <w:b/>
          <w:sz w:val="32"/>
          <w:szCs w:val="32"/>
        </w:rPr>
        <w:t>万元，完成预算</w:t>
      </w:r>
      <w:r>
        <w:rPr>
          <w:rFonts w:ascii="仿宋" w:eastAsia="仿宋" w:hAnsi="仿宋"/>
          <w:b/>
          <w:sz w:val="32"/>
          <w:szCs w:val="32"/>
        </w:rPr>
        <w:t>100%</w:t>
      </w:r>
      <w:r>
        <w:rPr>
          <w:rFonts w:ascii="仿宋" w:eastAsia="仿宋" w:hAnsi="仿宋" w:hint="eastAsia"/>
          <w:b/>
          <w:sz w:val="32"/>
          <w:szCs w:val="32"/>
        </w:rPr>
        <w:t>。其中：</w:t>
      </w:r>
    </w:p>
    <w:p w:rsidR="00EC184F" w:rsidRDefault="00DC6B00">
      <w:pPr>
        <w:spacing w:line="600" w:lineRule="exact"/>
        <w:ind w:firstLineChars="200" w:firstLine="643"/>
        <w:rPr>
          <w:rFonts w:ascii="仿宋" w:eastAsia="仿宋" w:hAnsi="仿宋"/>
          <w:color w:val="000000"/>
          <w:sz w:val="32"/>
          <w:szCs w:val="32"/>
        </w:rPr>
      </w:pPr>
      <w:r>
        <w:rPr>
          <w:rFonts w:ascii="仿宋" w:eastAsia="仿宋" w:hAnsi="仿宋" w:hint="eastAsia"/>
          <w:b/>
          <w:color w:val="000000"/>
          <w:sz w:val="32"/>
          <w:szCs w:val="32"/>
        </w:rPr>
        <w:t>1.</w:t>
      </w:r>
      <w:r>
        <w:rPr>
          <w:rFonts w:ascii="仿宋" w:eastAsia="仿宋" w:hAnsi="仿宋" w:hint="eastAsia"/>
          <w:b/>
          <w:bCs/>
          <w:color w:val="000000"/>
          <w:sz w:val="32"/>
          <w:szCs w:val="32"/>
        </w:rPr>
        <w:t xml:space="preserve">科学技术支出（类）科学技术管理事务（款）行政运行（项）: </w:t>
      </w:r>
      <w:r>
        <w:rPr>
          <w:rFonts w:ascii="仿宋" w:eastAsia="仿宋" w:hAnsi="仿宋" w:hint="eastAsia"/>
          <w:color w:val="000000"/>
          <w:sz w:val="32"/>
          <w:szCs w:val="32"/>
        </w:rPr>
        <w:t>支出决算为419.3万元，完成预算100%，决算数等于预算数。</w:t>
      </w:r>
    </w:p>
    <w:p w:rsidR="00EC184F" w:rsidRDefault="00DC6B00">
      <w:pPr>
        <w:spacing w:line="600" w:lineRule="exact"/>
        <w:ind w:firstLineChars="200" w:firstLine="643"/>
        <w:rPr>
          <w:rFonts w:ascii="仿宋" w:eastAsia="仿宋" w:hAnsi="仿宋"/>
          <w:color w:val="000000"/>
          <w:sz w:val="32"/>
          <w:szCs w:val="32"/>
        </w:rPr>
      </w:pPr>
      <w:r>
        <w:rPr>
          <w:rFonts w:ascii="仿宋" w:eastAsia="仿宋" w:hAnsi="仿宋" w:hint="eastAsia"/>
          <w:b/>
          <w:color w:val="000000"/>
          <w:sz w:val="32"/>
          <w:szCs w:val="32"/>
        </w:rPr>
        <w:t>2.</w:t>
      </w:r>
      <w:r>
        <w:rPr>
          <w:rFonts w:ascii="仿宋" w:eastAsia="仿宋" w:hAnsi="仿宋" w:hint="eastAsia"/>
          <w:b/>
          <w:bCs/>
          <w:color w:val="000000"/>
          <w:sz w:val="32"/>
          <w:szCs w:val="32"/>
        </w:rPr>
        <w:t xml:space="preserve">科学技术支出（类）科学技术管理事务（款）一般行政管理事务（项）: </w:t>
      </w:r>
      <w:r>
        <w:rPr>
          <w:rFonts w:ascii="仿宋" w:eastAsia="仿宋" w:hAnsi="仿宋" w:hint="eastAsia"/>
          <w:color w:val="000000"/>
          <w:sz w:val="32"/>
          <w:szCs w:val="32"/>
        </w:rPr>
        <w:t>支出决算为9.7万元，完成预算100%，决算数等于预算数。</w:t>
      </w:r>
    </w:p>
    <w:p w:rsidR="00EC184F" w:rsidRDefault="00DC6B00">
      <w:pPr>
        <w:spacing w:line="600" w:lineRule="exact"/>
        <w:ind w:firstLineChars="200" w:firstLine="643"/>
        <w:rPr>
          <w:rFonts w:ascii="仿宋" w:eastAsia="仿宋" w:hAnsi="仿宋"/>
          <w:color w:val="000000"/>
          <w:sz w:val="32"/>
          <w:szCs w:val="32"/>
        </w:rPr>
      </w:pPr>
      <w:r>
        <w:rPr>
          <w:rFonts w:ascii="仿宋" w:eastAsia="仿宋" w:hAnsi="仿宋" w:hint="eastAsia"/>
          <w:b/>
          <w:color w:val="000000"/>
          <w:sz w:val="32"/>
          <w:szCs w:val="32"/>
        </w:rPr>
        <w:t>3.</w:t>
      </w:r>
      <w:r>
        <w:rPr>
          <w:rFonts w:ascii="仿宋" w:eastAsia="仿宋" w:hAnsi="仿宋" w:hint="eastAsia"/>
          <w:b/>
          <w:bCs/>
          <w:color w:val="000000"/>
          <w:sz w:val="32"/>
          <w:szCs w:val="32"/>
        </w:rPr>
        <w:t xml:space="preserve">科学技术支出（类）科学技术管理事务（款）其他科学技术管理事务支出（项）: </w:t>
      </w:r>
      <w:r>
        <w:rPr>
          <w:rFonts w:ascii="仿宋" w:eastAsia="仿宋" w:hAnsi="仿宋" w:hint="eastAsia"/>
          <w:color w:val="000000"/>
          <w:sz w:val="32"/>
          <w:szCs w:val="32"/>
        </w:rPr>
        <w:t>支出决算为46.74万元，完成</w:t>
      </w:r>
      <w:r>
        <w:rPr>
          <w:rFonts w:ascii="仿宋" w:eastAsia="仿宋" w:hAnsi="仿宋" w:hint="eastAsia"/>
          <w:color w:val="000000"/>
          <w:sz w:val="32"/>
          <w:szCs w:val="32"/>
        </w:rPr>
        <w:lastRenderedPageBreak/>
        <w:t>预算100%，决算数等于预算数。</w:t>
      </w:r>
    </w:p>
    <w:p w:rsidR="00EC184F" w:rsidRDefault="00DC6B00">
      <w:pPr>
        <w:spacing w:line="600" w:lineRule="exact"/>
        <w:ind w:firstLineChars="200" w:firstLine="643"/>
        <w:rPr>
          <w:rFonts w:ascii="仿宋" w:eastAsia="仿宋" w:hAnsi="仿宋"/>
          <w:color w:val="000000"/>
          <w:sz w:val="32"/>
          <w:szCs w:val="32"/>
        </w:rPr>
      </w:pPr>
      <w:r>
        <w:rPr>
          <w:rFonts w:ascii="仿宋" w:eastAsia="仿宋" w:hAnsi="仿宋" w:hint="eastAsia"/>
          <w:b/>
          <w:color w:val="000000"/>
          <w:sz w:val="32"/>
          <w:szCs w:val="32"/>
        </w:rPr>
        <w:t>4.</w:t>
      </w:r>
      <w:r>
        <w:rPr>
          <w:rFonts w:ascii="仿宋" w:eastAsia="仿宋" w:hAnsi="仿宋" w:hint="eastAsia"/>
          <w:b/>
          <w:bCs/>
          <w:color w:val="000000"/>
          <w:sz w:val="32"/>
          <w:szCs w:val="32"/>
        </w:rPr>
        <w:t xml:space="preserve">科学技术支出（类）技术研究与开发（款）科技成果转化与扩散（项）: </w:t>
      </w:r>
      <w:r>
        <w:rPr>
          <w:rFonts w:ascii="仿宋" w:eastAsia="仿宋" w:hAnsi="仿宋" w:hint="eastAsia"/>
          <w:color w:val="000000"/>
          <w:sz w:val="32"/>
          <w:szCs w:val="32"/>
        </w:rPr>
        <w:t>支出决算为13.32万元，完成预算100%，决算数等于预算数。</w:t>
      </w:r>
    </w:p>
    <w:p w:rsidR="00EC184F" w:rsidRDefault="00DC6B00">
      <w:pPr>
        <w:spacing w:line="600" w:lineRule="exact"/>
        <w:ind w:firstLineChars="200" w:firstLine="643"/>
        <w:rPr>
          <w:rFonts w:ascii="仿宋" w:eastAsia="仿宋" w:hAnsi="仿宋"/>
          <w:color w:val="000000"/>
          <w:sz w:val="32"/>
          <w:szCs w:val="32"/>
        </w:rPr>
      </w:pPr>
      <w:r>
        <w:rPr>
          <w:rFonts w:ascii="仿宋" w:eastAsia="仿宋" w:hAnsi="仿宋" w:hint="eastAsia"/>
          <w:b/>
          <w:color w:val="000000"/>
          <w:sz w:val="32"/>
          <w:szCs w:val="32"/>
        </w:rPr>
        <w:t>5.</w:t>
      </w:r>
      <w:r>
        <w:rPr>
          <w:rFonts w:ascii="仿宋" w:eastAsia="仿宋" w:hAnsi="仿宋" w:hint="eastAsia"/>
          <w:b/>
          <w:bCs/>
          <w:color w:val="000000"/>
          <w:sz w:val="32"/>
          <w:szCs w:val="32"/>
        </w:rPr>
        <w:t xml:space="preserve">科学技术支出（类）科学技术普及（款）机构运行（项）: </w:t>
      </w:r>
      <w:r>
        <w:rPr>
          <w:rFonts w:ascii="仿宋" w:eastAsia="仿宋" w:hAnsi="仿宋" w:hint="eastAsia"/>
          <w:color w:val="000000"/>
          <w:sz w:val="32"/>
          <w:szCs w:val="32"/>
        </w:rPr>
        <w:t>支出决算为122.3万元，完成预算100%，决算数等于预算数。</w:t>
      </w:r>
    </w:p>
    <w:p w:rsidR="00EC184F" w:rsidRDefault="00DC6B00">
      <w:pPr>
        <w:spacing w:line="600" w:lineRule="exact"/>
        <w:ind w:firstLineChars="200" w:firstLine="643"/>
        <w:rPr>
          <w:rFonts w:ascii="仿宋" w:eastAsia="仿宋" w:hAnsi="仿宋"/>
          <w:color w:val="000000"/>
          <w:sz w:val="32"/>
          <w:szCs w:val="32"/>
        </w:rPr>
      </w:pPr>
      <w:r>
        <w:rPr>
          <w:rFonts w:ascii="仿宋" w:eastAsia="仿宋" w:hAnsi="仿宋" w:hint="eastAsia"/>
          <w:b/>
          <w:color w:val="000000"/>
          <w:sz w:val="32"/>
          <w:szCs w:val="32"/>
        </w:rPr>
        <w:t>6.</w:t>
      </w:r>
      <w:r>
        <w:rPr>
          <w:rFonts w:ascii="仿宋" w:eastAsia="仿宋" w:hAnsi="仿宋" w:hint="eastAsia"/>
          <w:b/>
          <w:bCs/>
          <w:color w:val="000000"/>
          <w:sz w:val="32"/>
          <w:szCs w:val="32"/>
        </w:rPr>
        <w:t xml:space="preserve">科学技术支出（类）科学技术普及（款）科技馆站（项）: </w:t>
      </w:r>
      <w:r>
        <w:rPr>
          <w:rFonts w:ascii="仿宋" w:eastAsia="仿宋" w:hAnsi="仿宋" w:hint="eastAsia"/>
          <w:color w:val="000000"/>
          <w:sz w:val="32"/>
          <w:szCs w:val="32"/>
        </w:rPr>
        <w:t>支出决算为9.94万元，完成预算100%，决算数等于预算数。</w:t>
      </w:r>
    </w:p>
    <w:p w:rsidR="00EC184F" w:rsidRDefault="00DC6B00">
      <w:pPr>
        <w:spacing w:line="600" w:lineRule="exact"/>
        <w:ind w:firstLineChars="200" w:firstLine="643"/>
        <w:rPr>
          <w:rFonts w:ascii="仿宋" w:eastAsia="仿宋" w:hAnsi="仿宋"/>
          <w:color w:val="000000"/>
          <w:sz w:val="32"/>
          <w:szCs w:val="32"/>
        </w:rPr>
      </w:pPr>
      <w:r>
        <w:rPr>
          <w:rFonts w:ascii="仿宋" w:eastAsia="仿宋" w:hAnsi="仿宋" w:hint="eastAsia"/>
          <w:b/>
          <w:color w:val="000000"/>
          <w:sz w:val="32"/>
          <w:szCs w:val="32"/>
        </w:rPr>
        <w:t>7.</w:t>
      </w:r>
      <w:r>
        <w:rPr>
          <w:rFonts w:ascii="仿宋" w:eastAsia="仿宋" w:hAnsi="仿宋" w:hint="eastAsia"/>
          <w:b/>
          <w:bCs/>
          <w:color w:val="000000"/>
          <w:sz w:val="32"/>
          <w:szCs w:val="32"/>
        </w:rPr>
        <w:t xml:space="preserve">科学技术支出（类）科学技术普及（款）其他科学技术普及支出（项）: </w:t>
      </w:r>
      <w:r>
        <w:rPr>
          <w:rFonts w:ascii="仿宋" w:eastAsia="仿宋" w:hAnsi="仿宋" w:hint="eastAsia"/>
          <w:color w:val="000000"/>
          <w:sz w:val="32"/>
          <w:szCs w:val="32"/>
        </w:rPr>
        <w:t>支出决算为22.11万元，完成预算100%，决算数等于预算数。</w:t>
      </w:r>
    </w:p>
    <w:p w:rsidR="00EC184F" w:rsidRDefault="00DC6B00">
      <w:pPr>
        <w:spacing w:line="600" w:lineRule="exact"/>
        <w:ind w:firstLineChars="200" w:firstLine="643"/>
        <w:rPr>
          <w:rFonts w:ascii="仿宋" w:eastAsia="仿宋" w:hAnsi="仿宋"/>
          <w:color w:val="000000"/>
          <w:sz w:val="32"/>
          <w:szCs w:val="32"/>
        </w:rPr>
      </w:pPr>
      <w:r>
        <w:rPr>
          <w:rFonts w:ascii="仿宋" w:eastAsia="仿宋" w:hAnsi="仿宋" w:hint="eastAsia"/>
          <w:b/>
          <w:bCs/>
          <w:color w:val="000000"/>
          <w:sz w:val="32"/>
          <w:szCs w:val="32"/>
        </w:rPr>
        <w:t xml:space="preserve">8.科学技术支出（类）科技重大项目（款）重点研发计划（项）: </w:t>
      </w:r>
      <w:r>
        <w:rPr>
          <w:rFonts w:ascii="仿宋" w:eastAsia="仿宋" w:hAnsi="仿宋" w:hint="eastAsia"/>
          <w:color w:val="000000"/>
          <w:sz w:val="32"/>
          <w:szCs w:val="32"/>
        </w:rPr>
        <w:t>支出决算为50万元，完成预算100%，决算数等于预算数。</w:t>
      </w:r>
    </w:p>
    <w:p w:rsidR="00EC184F" w:rsidRDefault="00DC6B00">
      <w:pPr>
        <w:spacing w:line="600" w:lineRule="exact"/>
        <w:ind w:firstLineChars="200" w:firstLine="643"/>
        <w:rPr>
          <w:rFonts w:ascii="仿宋" w:eastAsia="仿宋" w:hAnsi="仿宋"/>
          <w:color w:val="000000"/>
          <w:sz w:val="32"/>
          <w:szCs w:val="32"/>
        </w:rPr>
      </w:pPr>
      <w:r>
        <w:rPr>
          <w:rFonts w:ascii="仿宋" w:eastAsia="仿宋" w:hAnsi="仿宋" w:hint="eastAsia"/>
          <w:b/>
          <w:color w:val="000000"/>
          <w:sz w:val="32"/>
          <w:szCs w:val="32"/>
        </w:rPr>
        <w:t>9.</w:t>
      </w:r>
      <w:r>
        <w:rPr>
          <w:rFonts w:ascii="仿宋" w:eastAsia="仿宋" w:hAnsi="仿宋" w:hint="eastAsia"/>
          <w:b/>
          <w:bCs/>
          <w:color w:val="000000"/>
          <w:sz w:val="32"/>
          <w:szCs w:val="32"/>
        </w:rPr>
        <w:t xml:space="preserve">社会保障和就业（类）行政事业单位离退休（款）行政单位离退休（项）: </w:t>
      </w:r>
      <w:r>
        <w:rPr>
          <w:rFonts w:ascii="仿宋" w:eastAsia="仿宋" w:hAnsi="仿宋" w:hint="eastAsia"/>
          <w:color w:val="000000"/>
          <w:sz w:val="32"/>
          <w:szCs w:val="32"/>
        </w:rPr>
        <w:t>支出决算为131.92万元，完成预算100%，决算数等于预算数。</w:t>
      </w:r>
    </w:p>
    <w:p w:rsidR="00EC184F" w:rsidRDefault="00DC6B00">
      <w:pPr>
        <w:spacing w:line="600" w:lineRule="exact"/>
        <w:ind w:firstLineChars="200" w:firstLine="643"/>
        <w:rPr>
          <w:rFonts w:ascii="仿宋" w:eastAsia="仿宋" w:hAnsi="仿宋"/>
          <w:color w:val="000000"/>
          <w:sz w:val="32"/>
          <w:szCs w:val="32"/>
        </w:rPr>
      </w:pPr>
      <w:r>
        <w:rPr>
          <w:rFonts w:ascii="仿宋" w:eastAsia="仿宋" w:hAnsi="仿宋" w:hint="eastAsia"/>
          <w:b/>
          <w:color w:val="000000"/>
          <w:sz w:val="32"/>
          <w:szCs w:val="32"/>
        </w:rPr>
        <w:t>10.</w:t>
      </w:r>
      <w:r>
        <w:rPr>
          <w:rFonts w:ascii="仿宋" w:eastAsia="仿宋" w:hAnsi="仿宋" w:hint="eastAsia"/>
          <w:b/>
          <w:bCs/>
          <w:color w:val="000000"/>
          <w:sz w:val="32"/>
          <w:szCs w:val="32"/>
        </w:rPr>
        <w:t xml:space="preserve">社会保障和就业（类）行政事业单位离退休（款）  事业单位离退休（项）: </w:t>
      </w:r>
      <w:r>
        <w:rPr>
          <w:rFonts w:ascii="仿宋" w:eastAsia="仿宋" w:hAnsi="仿宋" w:hint="eastAsia"/>
          <w:color w:val="000000"/>
          <w:sz w:val="32"/>
          <w:szCs w:val="32"/>
        </w:rPr>
        <w:t>支出决算为8.65元，完成预算100%，决算数等于预算数。</w:t>
      </w:r>
    </w:p>
    <w:p w:rsidR="00EC184F" w:rsidRDefault="00DC6B00">
      <w:pPr>
        <w:spacing w:line="600" w:lineRule="exact"/>
        <w:ind w:firstLineChars="200" w:firstLine="643"/>
        <w:rPr>
          <w:rFonts w:ascii="仿宋" w:eastAsia="仿宋" w:hAnsi="仿宋"/>
          <w:color w:val="000000"/>
          <w:sz w:val="32"/>
          <w:szCs w:val="32"/>
        </w:rPr>
      </w:pPr>
      <w:r>
        <w:rPr>
          <w:rFonts w:ascii="仿宋" w:eastAsia="仿宋" w:hAnsi="仿宋" w:hint="eastAsia"/>
          <w:b/>
          <w:color w:val="000000"/>
          <w:sz w:val="32"/>
          <w:szCs w:val="32"/>
        </w:rPr>
        <w:t>11.</w:t>
      </w:r>
      <w:r>
        <w:rPr>
          <w:rFonts w:ascii="仿宋" w:eastAsia="仿宋" w:hAnsi="仿宋" w:hint="eastAsia"/>
          <w:b/>
          <w:bCs/>
          <w:color w:val="000000"/>
          <w:sz w:val="32"/>
          <w:szCs w:val="32"/>
        </w:rPr>
        <w:t>社会保障和就业支出（类）行政事业单位离退休（款）机关事业单位基本养老保险缴费支出（项）:</w:t>
      </w:r>
      <w:r>
        <w:rPr>
          <w:rFonts w:ascii="仿宋" w:eastAsia="仿宋" w:hAnsi="仿宋" w:hint="eastAsia"/>
          <w:color w:val="000000"/>
          <w:sz w:val="32"/>
          <w:szCs w:val="32"/>
        </w:rPr>
        <w:t>支出决算为48.41万元，完成预算100%，决算数等于预算数。</w:t>
      </w:r>
    </w:p>
    <w:p w:rsidR="00EC184F" w:rsidRDefault="00DC6B00">
      <w:pPr>
        <w:spacing w:line="600" w:lineRule="exact"/>
        <w:ind w:firstLineChars="200" w:firstLine="643"/>
      </w:pPr>
      <w:r>
        <w:rPr>
          <w:rFonts w:ascii="仿宋" w:eastAsia="仿宋" w:hAnsi="仿宋" w:hint="eastAsia"/>
          <w:b/>
          <w:color w:val="000000"/>
          <w:sz w:val="32"/>
          <w:szCs w:val="32"/>
        </w:rPr>
        <w:lastRenderedPageBreak/>
        <w:t>12.</w:t>
      </w:r>
      <w:r>
        <w:rPr>
          <w:rFonts w:ascii="仿宋" w:eastAsia="仿宋" w:hAnsi="仿宋" w:hint="eastAsia"/>
          <w:b/>
          <w:bCs/>
          <w:color w:val="000000"/>
          <w:sz w:val="32"/>
          <w:szCs w:val="32"/>
        </w:rPr>
        <w:t>社会保障和就业支出（类）行政事业单位离退休（款）  机关事业单位职业年金缴费支出（项）:</w:t>
      </w:r>
      <w:r>
        <w:rPr>
          <w:rFonts w:ascii="仿宋" w:eastAsia="仿宋" w:hAnsi="仿宋" w:hint="eastAsia"/>
          <w:color w:val="000000"/>
          <w:sz w:val="32"/>
          <w:szCs w:val="32"/>
        </w:rPr>
        <w:t>支出决算为13.2万元，完成预算100%，决算数等于预算数。</w:t>
      </w:r>
    </w:p>
    <w:p w:rsidR="00EC184F" w:rsidRDefault="00DC6B00">
      <w:pPr>
        <w:spacing w:line="600" w:lineRule="exact"/>
        <w:ind w:firstLineChars="200" w:firstLine="643"/>
        <w:rPr>
          <w:rFonts w:ascii="仿宋" w:eastAsia="仿宋" w:hAnsi="仿宋"/>
          <w:color w:val="000000"/>
          <w:sz w:val="32"/>
          <w:szCs w:val="32"/>
        </w:rPr>
      </w:pPr>
      <w:r>
        <w:rPr>
          <w:rFonts w:ascii="仿宋" w:eastAsia="仿宋" w:hAnsi="仿宋" w:hint="eastAsia"/>
          <w:b/>
          <w:color w:val="000000"/>
          <w:sz w:val="32"/>
          <w:szCs w:val="32"/>
        </w:rPr>
        <w:t>13.</w:t>
      </w:r>
      <w:r>
        <w:rPr>
          <w:rFonts w:ascii="仿宋" w:eastAsia="仿宋" w:hAnsi="仿宋" w:hint="eastAsia"/>
          <w:b/>
          <w:bCs/>
          <w:color w:val="000000"/>
          <w:sz w:val="32"/>
          <w:szCs w:val="32"/>
        </w:rPr>
        <w:t xml:space="preserve">社会保障和就业支出（类）抚恤（款） 死亡抚恤（项）: </w:t>
      </w:r>
      <w:r>
        <w:rPr>
          <w:rFonts w:ascii="仿宋" w:eastAsia="仿宋" w:hAnsi="仿宋" w:hint="eastAsia"/>
          <w:color w:val="000000"/>
          <w:sz w:val="32"/>
          <w:szCs w:val="32"/>
        </w:rPr>
        <w:t>支出决算为41.02万元，完成预算100%，决算数等于预算数。</w:t>
      </w:r>
    </w:p>
    <w:p w:rsidR="00EC184F" w:rsidRDefault="00DC6B00">
      <w:pPr>
        <w:spacing w:line="600" w:lineRule="exact"/>
        <w:ind w:firstLineChars="200" w:firstLine="643"/>
        <w:rPr>
          <w:rFonts w:ascii="仿宋" w:eastAsia="仿宋" w:hAnsi="仿宋"/>
          <w:color w:val="000000"/>
          <w:sz w:val="32"/>
          <w:szCs w:val="32"/>
        </w:rPr>
      </w:pPr>
      <w:r>
        <w:rPr>
          <w:rFonts w:ascii="仿宋" w:eastAsia="仿宋" w:hAnsi="仿宋" w:hint="eastAsia"/>
          <w:b/>
          <w:color w:val="000000"/>
          <w:sz w:val="32"/>
          <w:szCs w:val="32"/>
        </w:rPr>
        <w:t>14.</w:t>
      </w:r>
      <w:r>
        <w:rPr>
          <w:rFonts w:ascii="仿宋" w:eastAsia="仿宋" w:hAnsi="仿宋" w:hint="eastAsia"/>
          <w:b/>
          <w:bCs/>
          <w:color w:val="000000"/>
          <w:sz w:val="32"/>
          <w:szCs w:val="32"/>
        </w:rPr>
        <w:t xml:space="preserve">社会保障和就业支出（类）抚恤（款）伤残抚恤（项）: </w:t>
      </w:r>
      <w:r>
        <w:rPr>
          <w:rFonts w:ascii="仿宋" w:eastAsia="仿宋" w:hAnsi="仿宋" w:hint="eastAsia"/>
          <w:color w:val="000000"/>
          <w:sz w:val="32"/>
          <w:szCs w:val="32"/>
        </w:rPr>
        <w:t>支出决算为12.2万元，完成预算100%，决算数等于预算数。</w:t>
      </w:r>
    </w:p>
    <w:p w:rsidR="00EC184F" w:rsidRDefault="00DC6B00">
      <w:pPr>
        <w:ind w:firstLineChars="200" w:firstLine="643"/>
        <w:rPr>
          <w:rFonts w:ascii="仿宋" w:eastAsia="仿宋" w:hAnsi="仿宋"/>
          <w:color w:val="000000"/>
          <w:sz w:val="32"/>
          <w:szCs w:val="32"/>
        </w:rPr>
      </w:pPr>
      <w:r>
        <w:rPr>
          <w:rFonts w:ascii="仿宋" w:eastAsia="仿宋" w:hAnsi="仿宋" w:hint="eastAsia"/>
          <w:b/>
          <w:color w:val="000000"/>
          <w:sz w:val="32"/>
          <w:szCs w:val="32"/>
        </w:rPr>
        <w:t>15.</w:t>
      </w:r>
      <w:r>
        <w:rPr>
          <w:rFonts w:ascii="仿宋" w:eastAsia="仿宋" w:hAnsi="仿宋" w:hint="eastAsia"/>
          <w:b/>
          <w:bCs/>
          <w:color w:val="000000"/>
          <w:sz w:val="32"/>
          <w:szCs w:val="32"/>
        </w:rPr>
        <w:t xml:space="preserve">卫生健康支出（类）行政事业单位医疗（款）行政单位医疗（项）: </w:t>
      </w:r>
      <w:r>
        <w:rPr>
          <w:rFonts w:ascii="仿宋" w:eastAsia="仿宋" w:hAnsi="仿宋" w:hint="eastAsia"/>
          <w:color w:val="000000"/>
          <w:sz w:val="32"/>
          <w:szCs w:val="32"/>
        </w:rPr>
        <w:t>支出决算为25.91万元，完成预算100%，决算数等于预算数。</w:t>
      </w:r>
    </w:p>
    <w:p w:rsidR="00EC184F" w:rsidRDefault="00DC6B00">
      <w:pPr>
        <w:ind w:firstLineChars="200" w:firstLine="643"/>
        <w:rPr>
          <w:rFonts w:ascii="仿宋" w:eastAsia="仿宋" w:hAnsi="仿宋"/>
          <w:color w:val="000000"/>
          <w:sz w:val="32"/>
          <w:szCs w:val="32"/>
        </w:rPr>
      </w:pPr>
      <w:r>
        <w:rPr>
          <w:rFonts w:ascii="仿宋" w:eastAsia="仿宋" w:hAnsi="仿宋" w:hint="eastAsia"/>
          <w:b/>
          <w:color w:val="000000"/>
          <w:sz w:val="32"/>
          <w:szCs w:val="32"/>
        </w:rPr>
        <w:t>16.</w:t>
      </w:r>
      <w:r>
        <w:rPr>
          <w:rFonts w:ascii="仿宋" w:eastAsia="仿宋" w:hAnsi="仿宋" w:hint="eastAsia"/>
          <w:b/>
          <w:bCs/>
          <w:color w:val="000000"/>
          <w:sz w:val="32"/>
          <w:szCs w:val="32"/>
        </w:rPr>
        <w:t xml:space="preserve">卫生健康支出（类）行政事业单位医疗（款）事业单位医疗（项）: </w:t>
      </w:r>
      <w:r>
        <w:rPr>
          <w:rFonts w:ascii="仿宋" w:eastAsia="仿宋" w:hAnsi="仿宋" w:hint="eastAsia"/>
          <w:color w:val="000000"/>
          <w:sz w:val="32"/>
          <w:szCs w:val="32"/>
        </w:rPr>
        <w:t>支出决算为8.22万元，完成预算100%，决算数等于预算数。</w:t>
      </w:r>
    </w:p>
    <w:p w:rsidR="00EC184F" w:rsidRDefault="00DC6B00">
      <w:pPr>
        <w:ind w:firstLineChars="200" w:firstLine="643"/>
        <w:rPr>
          <w:rFonts w:ascii="仿宋" w:eastAsia="仿宋" w:hAnsi="仿宋"/>
          <w:color w:val="000000"/>
          <w:sz w:val="32"/>
          <w:szCs w:val="32"/>
        </w:rPr>
      </w:pPr>
      <w:r>
        <w:rPr>
          <w:rFonts w:ascii="仿宋" w:eastAsia="仿宋" w:hAnsi="仿宋" w:hint="eastAsia"/>
          <w:b/>
          <w:color w:val="000000"/>
          <w:sz w:val="32"/>
          <w:szCs w:val="32"/>
        </w:rPr>
        <w:t>17.</w:t>
      </w:r>
      <w:r>
        <w:rPr>
          <w:rFonts w:ascii="仿宋" w:eastAsia="仿宋" w:hAnsi="仿宋" w:hint="eastAsia"/>
          <w:b/>
          <w:bCs/>
          <w:color w:val="000000"/>
          <w:sz w:val="32"/>
          <w:szCs w:val="32"/>
        </w:rPr>
        <w:t xml:space="preserve">卫生健康支出（类）行政事业单位医疗（款）公务员医疗补助（项）: </w:t>
      </w:r>
      <w:r>
        <w:rPr>
          <w:rFonts w:ascii="仿宋" w:eastAsia="仿宋" w:hAnsi="仿宋" w:hint="eastAsia"/>
          <w:color w:val="000000"/>
          <w:sz w:val="32"/>
          <w:szCs w:val="32"/>
        </w:rPr>
        <w:t>支出决算为15.83万元，完成预算100%，决算数等于预算数。</w:t>
      </w:r>
    </w:p>
    <w:p w:rsidR="00EC184F" w:rsidRDefault="00DC6B00">
      <w:pPr>
        <w:ind w:firstLineChars="200" w:firstLine="643"/>
        <w:rPr>
          <w:rFonts w:ascii="仿宋" w:eastAsia="仿宋" w:hAnsi="仿宋"/>
          <w:color w:val="000000"/>
          <w:sz w:val="32"/>
          <w:szCs w:val="32"/>
        </w:rPr>
      </w:pPr>
      <w:r>
        <w:rPr>
          <w:rFonts w:ascii="仿宋" w:eastAsia="仿宋" w:hAnsi="仿宋" w:hint="eastAsia"/>
          <w:b/>
          <w:color w:val="000000"/>
          <w:sz w:val="32"/>
          <w:szCs w:val="32"/>
        </w:rPr>
        <w:t>18.</w:t>
      </w:r>
      <w:r>
        <w:rPr>
          <w:rFonts w:ascii="仿宋" w:eastAsia="仿宋" w:hAnsi="仿宋" w:hint="eastAsia"/>
          <w:b/>
          <w:bCs/>
          <w:color w:val="000000"/>
          <w:sz w:val="32"/>
          <w:szCs w:val="32"/>
        </w:rPr>
        <w:t xml:space="preserve">卫生健康支出（类）行政事业单位医疗（款）其他行政事业单位医疗支出（项）: </w:t>
      </w:r>
      <w:r>
        <w:rPr>
          <w:rFonts w:ascii="仿宋" w:eastAsia="仿宋" w:hAnsi="仿宋" w:hint="eastAsia"/>
          <w:color w:val="000000"/>
          <w:sz w:val="32"/>
          <w:szCs w:val="32"/>
        </w:rPr>
        <w:t>支出决算为4.85万元，完成预算100%，决算数等于预算数。</w:t>
      </w:r>
    </w:p>
    <w:p w:rsidR="00EC184F" w:rsidRDefault="00DC6B00">
      <w:pPr>
        <w:ind w:firstLineChars="200" w:firstLine="643"/>
        <w:rPr>
          <w:rFonts w:ascii="仿宋" w:eastAsia="仿宋" w:hAnsi="仿宋"/>
          <w:color w:val="000000"/>
          <w:sz w:val="32"/>
          <w:szCs w:val="32"/>
        </w:rPr>
      </w:pPr>
      <w:r>
        <w:rPr>
          <w:rFonts w:ascii="仿宋" w:eastAsia="仿宋" w:hAnsi="仿宋" w:hint="eastAsia"/>
          <w:b/>
          <w:color w:val="000000"/>
          <w:sz w:val="32"/>
          <w:szCs w:val="32"/>
        </w:rPr>
        <w:t>19.</w:t>
      </w:r>
      <w:r>
        <w:rPr>
          <w:rFonts w:ascii="仿宋" w:eastAsia="仿宋" w:hAnsi="仿宋" w:hint="eastAsia"/>
          <w:b/>
          <w:bCs/>
          <w:color w:val="000000"/>
          <w:sz w:val="32"/>
          <w:szCs w:val="32"/>
        </w:rPr>
        <w:t xml:space="preserve">节能环保支出（类）污染防治（款）其他污染防治支出（项）: </w:t>
      </w:r>
      <w:r>
        <w:rPr>
          <w:rFonts w:ascii="仿宋" w:eastAsia="仿宋" w:hAnsi="仿宋" w:hint="eastAsia"/>
          <w:color w:val="000000"/>
          <w:sz w:val="32"/>
          <w:szCs w:val="32"/>
        </w:rPr>
        <w:t>支出决算为42.09万元，完成预算100%，决算数等于预算数。</w:t>
      </w:r>
    </w:p>
    <w:p w:rsidR="00EC184F" w:rsidRDefault="00DC6B00">
      <w:pPr>
        <w:ind w:firstLineChars="200" w:firstLine="643"/>
      </w:pPr>
      <w:r>
        <w:rPr>
          <w:rFonts w:ascii="仿宋" w:eastAsia="仿宋" w:hAnsi="仿宋" w:hint="eastAsia"/>
          <w:b/>
          <w:color w:val="000000"/>
          <w:sz w:val="32"/>
          <w:szCs w:val="32"/>
        </w:rPr>
        <w:lastRenderedPageBreak/>
        <w:t>20.</w:t>
      </w:r>
      <w:r>
        <w:rPr>
          <w:rFonts w:ascii="仿宋" w:eastAsia="仿宋" w:hAnsi="仿宋" w:hint="eastAsia"/>
          <w:b/>
          <w:bCs/>
          <w:color w:val="000000"/>
          <w:sz w:val="32"/>
          <w:szCs w:val="32"/>
        </w:rPr>
        <w:t xml:space="preserve">节能环保支出（类）自然生态保护（款）农村环境保护（项）: </w:t>
      </w:r>
      <w:r>
        <w:rPr>
          <w:rFonts w:ascii="仿宋" w:eastAsia="仿宋" w:hAnsi="仿宋" w:hint="eastAsia"/>
          <w:color w:val="000000"/>
          <w:sz w:val="32"/>
          <w:szCs w:val="32"/>
        </w:rPr>
        <w:t>支出决算为100万元，完成预算100%，决算数等于预算数。</w:t>
      </w:r>
    </w:p>
    <w:p w:rsidR="00EC184F" w:rsidRDefault="00DC6B00">
      <w:pPr>
        <w:spacing w:line="600" w:lineRule="exact"/>
        <w:ind w:firstLineChars="200" w:firstLine="643"/>
        <w:rPr>
          <w:rFonts w:ascii="仿宋" w:eastAsia="仿宋" w:hAnsi="仿宋"/>
          <w:color w:val="000000"/>
          <w:sz w:val="32"/>
          <w:szCs w:val="32"/>
        </w:rPr>
      </w:pPr>
      <w:r>
        <w:rPr>
          <w:rFonts w:ascii="仿宋" w:eastAsia="仿宋" w:hAnsi="仿宋" w:hint="eastAsia"/>
          <w:b/>
          <w:color w:val="000000"/>
          <w:sz w:val="32"/>
          <w:szCs w:val="32"/>
        </w:rPr>
        <w:t>21.</w:t>
      </w:r>
      <w:r>
        <w:rPr>
          <w:rFonts w:ascii="仿宋" w:eastAsia="仿宋" w:hAnsi="仿宋" w:hint="eastAsia"/>
          <w:b/>
          <w:bCs/>
          <w:color w:val="000000"/>
          <w:sz w:val="32"/>
          <w:szCs w:val="32"/>
        </w:rPr>
        <w:t>农林水支出（类）其他农林水支出（款）其他农林水支出（项）</w:t>
      </w:r>
      <w:r>
        <w:rPr>
          <w:rFonts w:ascii="仿宋" w:eastAsia="仿宋" w:hAnsi="仿宋" w:hint="eastAsia"/>
          <w:color w:val="000000"/>
          <w:sz w:val="32"/>
          <w:szCs w:val="32"/>
        </w:rPr>
        <w:t>: 支出决算为327.45万元，完成预算100%，决算数等于预算数。</w:t>
      </w:r>
    </w:p>
    <w:p w:rsidR="00EC184F" w:rsidRDefault="00DC6B00">
      <w:pPr>
        <w:spacing w:line="600" w:lineRule="exact"/>
        <w:ind w:firstLineChars="200" w:firstLine="643"/>
        <w:rPr>
          <w:rFonts w:ascii="仿宋" w:eastAsia="仿宋" w:hAnsi="仿宋"/>
          <w:color w:val="000000"/>
          <w:sz w:val="32"/>
          <w:szCs w:val="32"/>
        </w:rPr>
      </w:pPr>
      <w:r>
        <w:rPr>
          <w:rFonts w:ascii="仿宋" w:eastAsia="仿宋" w:hAnsi="仿宋" w:hint="eastAsia"/>
          <w:b/>
          <w:color w:val="000000"/>
          <w:sz w:val="32"/>
          <w:szCs w:val="32"/>
        </w:rPr>
        <w:t>22.</w:t>
      </w:r>
      <w:r>
        <w:rPr>
          <w:rFonts w:ascii="仿宋" w:eastAsia="仿宋" w:hAnsi="仿宋" w:hint="eastAsia"/>
          <w:b/>
          <w:bCs/>
          <w:color w:val="000000"/>
          <w:sz w:val="32"/>
          <w:szCs w:val="32"/>
        </w:rPr>
        <w:t>资源勘探工业信息等支出（类）制造业（款）其他制造业支出（项）</w:t>
      </w:r>
      <w:r>
        <w:rPr>
          <w:rFonts w:ascii="仿宋" w:eastAsia="仿宋" w:hAnsi="仿宋" w:hint="eastAsia"/>
          <w:color w:val="000000"/>
          <w:sz w:val="32"/>
          <w:szCs w:val="32"/>
        </w:rPr>
        <w:t>:支出决算为350万元，完成预算100%，决算数等于预算数。</w:t>
      </w:r>
    </w:p>
    <w:p w:rsidR="00EC184F" w:rsidRDefault="00DC6B00">
      <w:pPr>
        <w:spacing w:line="600" w:lineRule="exact"/>
        <w:ind w:firstLineChars="200" w:firstLine="643"/>
        <w:rPr>
          <w:rFonts w:ascii="仿宋" w:eastAsia="仿宋" w:hAnsi="仿宋"/>
          <w:color w:val="000000"/>
          <w:sz w:val="32"/>
          <w:szCs w:val="32"/>
        </w:rPr>
      </w:pPr>
      <w:r>
        <w:rPr>
          <w:rFonts w:ascii="仿宋" w:eastAsia="仿宋" w:hAnsi="仿宋" w:hint="eastAsia"/>
          <w:b/>
          <w:color w:val="000000"/>
          <w:sz w:val="32"/>
          <w:szCs w:val="32"/>
        </w:rPr>
        <w:t>23.</w:t>
      </w:r>
      <w:r>
        <w:rPr>
          <w:rFonts w:ascii="仿宋" w:eastAsia="仿宋" w:hAnsi="仿宋" w:hint="eastAsia"/>
          <w:b/>
          <w:bCs/>
          <w:color w:val="000000"/>
          <w:sz w:val="32"/>
          <w:szCs w:val="32"/>
        </w:rPr>
        <w:t>住房保障支出（类）住房改革支出（款）住房公积金（项）:</w:t>
      </w:r>
      <w:r>
        <w:rPr>
          <w:rFonts w:ascii="仿宋" w:eastAsia="仿宋" w:hAnsi="仿宋" w:hint="eastAsia"/>
          <w:color w:val="000000"/>
          <w:sz w:val="32"/>
          <w:szCs w:val="32"/>
        </w:rPr>
        <w:t xml:space="preserve"> 支出决算为54.01万元，完成预算100%，决算数等于预算数。</w:t>
      </w:r>
    </w:p>
    <w:p w:rsidR="00EC184F" w:rsidRDefault="00DC6B00">
      <w:pPr>
        <w:spacing w:line="600" w:lineRule="exact"/>
        <w:ind w:firstLineChars="200" w:firstLine="643"/>
        <w:rPr>
          <w:rFonts w:ascii="仿宋" w:eastAsia="仿宋" w:hAnsi="仿宋"/>
          <w:color w:val="000000"/>
          <w:sz w:val="32"/>
          <w:szCs w:val="32"/>
        </w:rPr>
      </w:pPr>
      <w:r>
        <w:rPr>
          <w:rFonts w:ascii="仿宋" w:eastAsia="仿宋" w:hAnsi="仿宋" w:hint="eastAsia"/>
          <w:b/>
          <w:bCs/>
          <w:color w:val="000000"/>
          <w:sz w:val="32"/>
          <w:szCs w:val="32"/>
        </w:rPr>
        <w:t xml:space="preserve">24. 灾害防治及应急管理支出（类）自然灾害防治（款）    森林草原防灾减灾（项）: </w:t>
      </w:r>
      <w:r>
        <w:rPr>
          <w:rFonts w:ascii="仿宋" w:eastAsia="仿宋" w:hAnsi="仿宋" w:hint="eastAsia"/>
          <w:color w:val="000000"/>
          <w:sz w:val="32"/>
          <w:szCs w:val="32"/>
        </w:rPr>
        <w:t>支出决算为16.6万元，完成预算100%，决算数等于预算数。</w:t>
      </w:r>
    </w:p>
    <w:p w:rsidR="00EC184F" w:rsidRDefault="00DC6B00">
      <w:pPr>
        <w:tabs>
          <w:tab w:val="right" w:pos="8306"/>
        </w:tabs>
        <w:spacing w:line="600" w:lineRule="exact"/>
        <w:ind w:firstLine="640"/>
        <w:outlineLvl w:val="1"/>
        <w:rPr>
          <w:rStyle w:val="2Char"/>
        </w:rPr>
      </w:pPr>
      <w:bookmarkStart w:id="44" w:name="_Toc15396608"/>
      <w:bookmarkStart w:id="45" w:name="_Toc15377214"/>
      <w:bookmarkEnd w:id="41"/>
      <w:bookmarkEnd w:id="42"/>
      <w:bookmarkEnd w:id="43"/>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44"/>
      <w:bookmarkEnd w:id="45"/>
      <w:r>
        <w:rPr>
          <w:rStyle w:val="2Char"/>
          <w:rFonts w:ascii="黑体" w:eastAsia="黑体" w:hAnsi="黑体"/>
          <w:b w:val="0"/>
        </w:rPr>
        <w:tab/>
      </w:r>
    </w:p>
    <w:p w:rsidR="00EC184F" w:rsidRDefault="00DC6B00">
      <w:pPr>
        <w:autoSpaceDE w:val="0"/>
        <w:autoSpaceDN w:val="0"/>
        <w:adjustRightInd w:val="0"/>
        <w:spacing w:line="576" w:lineRule="exact"/>
        <w:ind w:firstLine="640"/>
        <w:rPr>
          <w:rFonts w:ascii="仿宋_GB2312" w:eastAsia="仿宋_GB2312" w:hAnsi="Cambria" w:cs="仿宋_GB2312"/>
          <w:color w:val="000000"/>
          <w:sz w:val="32"/>
          <w:szCs w:val="32"/>
          <w:lang w:val="zh-CN"/>
        </w:rPr>
      </w:pPr>
      <w:r>
        <w:rPr>
          <w:rFonts w:ascii="仿宋_GB2312" w:eastAsia="仿宋_GB2312" w:hAnsi="Cambria" w:cs="仿宋_GB2312"/>
          <w:color w:val="000000"/>
          <w:sz w:val="32"/>
          <w:szCs w:val="32"/>
          <w:lang w:val="zh-CN"/>
        </w:rPr>
        <w:t>2022</w:t>
      </w:r>
      <w:r>
        <w:rPr>
          <w:rFonts w:ascii="仿宋_GB2312" w:eastAsia="仿宋_GB2312" w:hAnsi="Cambria" w:cs="仿宋_GB2312" w:hint="eastAsia"/>
          <w:color w:val="000000"/>
          <w:sz w:val="32"/>
          <w:szCs w:val="32"/>
          <w:lang w:val="zh-CN"/>
        </w:rPr>
        <w:t>年一般公共预算财政拨款基本支出</w:t>
      </w:r>
      <w:r>
        <w:rPr>
          <w:rFonts w:ascii="仿宋_GB2312" w:eastAsia="仿宋_GB2312" w:hAnsi="Cambria" w:cs="仿宋_GB2312"/>
          <w:color w:val="000000"/>
          <w:sz w:val="32"/>
          <w:szCs w:val="32"/>
          <w:lang w:val="zh-CN"/>
        </w:rPr>
        <w:t>909.55</w:t>
      </w:r>
      <w:r>
        <w:rPr>
          <w:rFonts w:ascii="仿宋_GB2312" w:eastAsia="仿宋_GB2312" w:hAnsi="Cambria" w:cs="仿宋_GB2312" w:hint="eastAsia"/>
          <w:color w:val="000000"/>
          <w:sz w:val="32"/>
          <w:szCs w:val="32"/>
          <w:lang w:val="zh-CN"/>
        </w:rPr>
        <w:t>万元，其中：</w:t>
      </w:r>
    </w:p>
    <w:p w:rsidR="00EC184F" w:rsidRDefault="00DC6B00" w:rsidP="00711C45">
      <w:pPr>
        <w:ind w:firstLineChars="196" w:firstLine="630"/>
        <w:rPr>
          <w:rFonts w:ascii="仿宋" w:eastAsia="仿宋" w:hAnsi="Cambria" w:cs="仿宋"/>
          <w:sz w:val="32"/>
          <w:szCs w:val="32"/>
        </w:rPr>
      </w:pPr>
      <w:r>
        <w:rPr>
          <w:rFonts w:ascii="仿宋_GB2312" w:eastAsia="仿宋_GB2312" w:hAnsi="Cambria" w:cs="仿宋_GB2312" w:hint="eastAsia"/>
          <w:b/>
          <w:bCs/>
          <w:color w:val="000000"/>
          <w:sz w:val="32"/>
          <w:szCs w:val="32"/>
          <w:lang w:val="zh-CN"/>
        </w:rPr>
        <w:t>人员经费</w:t>
      </w:r>
      <w:r>
        <w:rPr>
          <w:rFonts w:ascii="仿宋_GB2312" w:eastAsia="仿宋_GB2312" w:hAnsi="Cambria" w:cs="仿宋_GB2312"/>
          <w:color w:val="000000"/>
          <w:sz w:val="32"/>
          <w:szCs w:val="32"/>
          <w:lang w:val="zh-CN"/>
        </w:rPr>
        <w:t>859.38</w:t>
      </w:r>
      <w:r>
        <w:rPr>
          <w:rFonts w:ascii="仿宋_GB2312" w:eastAsia="仿宋_GB2312" w:hAnsi="Cambria" w:cs="仿宋_GB2312" w:hint="eastAsia"/>
          <w:color w:val="000000"/>
          <w:sz w:val="32"/>
          <w:szCs w:val="32"/>
          <w:lang w:val="zh-CN"/>
        </w:rPr>
        <w:t>万元，主要包括：</w:t>
      </w:r>
      <w:r>
        <w:rPr>
          <w:rFonts w:ascii="仿宋" w:eastAsia="仿宋" w:hAnsi="Cambria" w:cs="仿宋" w:hint="eastAsia"/>
          <w:sz w:val="32"/>
          <w:szCs w:val="32"/>
        </w:rPr>
        <w:t>基本工资、津贴补贴、奖金、绩效工资、机关事业单位基本养老保险缴费、职业年金缴费、职工基本医疗保险缴费、公务员医疗补助缴费、其他社会保障缴费、住房公积金、医疗费、其他工资福利支出</w:t>
      </w:r>
    </w:p>
    <w:p w:rsidR="00EC184F" w:rsidRDefault="00DC6B00">
      <w:pPr>
        <w:rPr>
          <w:rFonts w:ascii="仿宋_GB2312" w:eastAsia="仿宋_GB2312" w:hAnsi="Cambria" w:cs="仿宋_GB2312"/>
          <w:color w:val="000000"/>
          <w:sz w:val="32"/>
          <w:szCs w:val="32"/>
          <w:lang w:val="zh-CN"/>
        </w:rPr>
      </w:pPr>
      <w:r>
        <w:rPr>
          <w:rFonts w:ascii="仿宋" w:eastAsia="仿宋" w:hAnsi="Cambria" w:cs="仿宋" w:hint="eastAsia"/>
          <w:sz w:val="32"/>
          <w:szCs w:val="32"/>
        </w:rPr>
        <w:lastRenderedPageBreak/>
        <w:t>、抚恤金、生活补助、医疗费补助、奖励金、其他对个人和家庭的补助支出</w:t>
      </w:r>
      <w:r>
        <w:rPr>
          <w:rFonts w:ascii="仿宋_GB2312" w:eastAsia="仿宋_GB2312" w:hAnsi="Cambria" w:cs="仿宋_GB2312" w:hint="eastAsia"/>
          <w:color w:val="000000"/>
          <w:sz w:val="32"/>
          <w:szCs w:val="32"/>
          <w:lang w:val="zh-CN"/>
        </w:rPr>
        <w:t>。</w:t>
      </w:r>
    </w:p>
    <w:p w:rsidR="00EC184F" w:rsidRDefault="00DC6B00">
      <w:pPr>
        <w:autoSpaceDE w:val="0"/>
        <w:autoSpaceDN w:val="0"/>
        <w:adjustRightInd w:val="0"/>
        <w:spacing w:line="576" w:lineRule="exact"/>
        <w:ind w:firstLine="643"/>
        <w:rPr>
          <w:rFonts w:ascii="仿宋_GB2312" w:eastAsia="仿宋_GB2312" w:hAnsi="Cambria" w:cs="仿宋_GB2312"/>
          <w:color w:val="000000"/>
          <w:sz w:val="32"/>
          <w:szCs w:val="32"/>
          <w:lang w:val="zh-CN"/>
        </w:rPr>
      </w:pPr>
      <w:r>
        <w:rPr>
          <w:rFonts w:ascii="仿宋_GB2312" w:eastAsia="仿宋_GB2312" w:hAnsi="Cambria" w:cs="仿宋_GB2312" w:hint="eastAsia"/>
          <w:b/>
          <w:bCs/>
          <w:color w:val="000000"/>
          <w:sz w:val="32"/>
          <w:szCs w:val="32"/>
          <w:lang w:val="zh-CN"/>
        </w:rPr>
        <w:t>公用经费</w:t>
      </w:r>
      <w:r>
        <w:rPr>
          <w:rFonts w:ascii="仿宋_GB2312" w:eastAsia="仿宋_GB2312" w:hAnsi="Cambria" w:cs="仿宋_GB2312"/>
          <w:color w:val="000000"/>
          <w:sz w:val="32"/>
          <w:szCs w:val="32"/>
          <w:lang w:val="zh-CN"/>
        </w:rPr>
        <w:t>50.18</w:t>
      </w:r>
      <w:r>
        <w:rPr>
          <w:rFonts w:ascii="仿宋_GB2312" w:eastAsia="仿宋_GB2312" w:hAnsi="Cambria" w:cs="仿宋_GB2312" w:hint="eastAsia"/>
          <w:color w:val="000000"/>
          <w:sz w:val="32"/>
          <w:szCs w:val="32"/>
          <w:lang w:val="zh-CN"/>
        </w:rPr>
        <w:t>万元，主要包括：</w:t>
      </w:r>
      <w:r>
        <w:rPr>
          <w:rFonts w:ascii="仿宋" w:eastAsia="仿宋" w:hAnsi="Cambria" w:cs="仿宋" w:hint="eastAsia"/>
          <w:sz w:val="32"/>
          <w:szCs w:val="32"/>
        </w:rPr>
        <w:t>办公费、水费、电费、邮电费、差旅费、维修（护）费、租赁费、会议费、培训费、公务接待费、劳务费、委托业务费、工会经费、福利费、其他交通费、其他商品和服务支出、办公设备购置</w:t>
      </w:r>
      <w:r>
        <w:rPr>
          <w:rFonts w:ascii="仿宋_GB2312" w:eastAsia="仿宋_GB2312" w:hAnsi="Cambria" w:cs="仿宋_GB2312" w:hint="eastAsia"/>
          <w:color w:val="000000"/>
          <w:sz w:val="32"/>
          <w:szCs w:val="32"/>
          <w:lang w:val="zh-CN"/>
        </w:rPr>
        <w:t>。</w:t>
      </w:r>
    </w:p>
    <w:p w:rsidR="00EC184F" w:rsidRDefault="00DC6B00">
      <w:pPr>
        <w:spacing w:line="600" w:lineRule="exact"/>
        <w:ind w:firstLine="640"/>
        <w:outlineLvl w:val="1"/>
        <w:rPr>
          <w:rStyle w:val="2Char"/>
          <w:rFonts w:ascii="黑体" w:eastAsia="黑体" w:hAnsi="黑体"/>
          <w:b w:val="0"/>
        </w:rPr>
      </w:pPr>
      <w:bookmarkStart w:id="46" w:name="_Toc15377215"/>
      <w:bookmarkStart w:id="47" w:name="_Toc15396609"/>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46"/>
      <w:bookmarkEnd w:id="47"/>
    </w:p>
    <w:p w:rsidR="00EC184F" w:rsidRDefault="00DC6B00">
      <w:pPr>
        <w:spacing w:line="600" w:lineRule="exact"/>
        <w:ind w:firstLine="640"/>
        <w:outlineLvl w:val="2"/>
        <w:rPr>
          <w:rFonts w:ascii="仿宋" w:eastAsia="仿宋" w:hAnsi="仿宋"/>
          <w:b/>
          <w:sz w:val="32"/>
          <w:szCs w:val="32"/>
        </w:rPr>
      </w:pPr>
      <w:bookmarkStart w:id="48" w:name="_Toc15377216"/>
      <w:r>
        <w:rPr>
          <w:rFonts w:ascii="仿宋" w:eastAsia="仿宋" w:hAnsi="仿宋" w:hint="eastAsia"/>
          <w:b/>
          <w:sz w:val="32"/>
          <w:szCs w:val="32"/>
        </w:rPr>
        <w:t>（一）“三公”经费财政拨款支出决算总体情况说明</w:t>
      </w:r>
      <w:bookmarkEnd w:id="48"/>
    </w:p>
    <w:p w:rsidR="00EC184F" w:rsidRDefault="00DC6B00">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22年“三公”经费财政拨款支出决算为</w:t>
      </w:r>
      <w:r>
        <w:rPr>
          <w:rFonts w:ascii="仿宋_GB2312" w:eastAsia="仿宋_GB2312" w:hAnsi="Cambria" w:cs="仿宋_GB2312"/>
          <w:color w:val="000000"/>
          <w:sz w:val="32"/>
          <w:szCs w:val="32"/>
          <w:lang w:val="zh-CN"/>
        </w:rPr>
        <w:t>0.22</w:t>
      </w:r>
      <w:r>
        <w:rPr>
          <w:rFonts w:ascii="仿宋_GB2312" w:eastAsia="仿宋_GB2312" w:hAnsi="Cambria" w:cs="仿宋_GB2312" w:hint="eastAsia"/>
          <w:color w:val="000000"/>
          <w:sz w:val="32"/>
          <w:szCs w:val="32"/>
          <w:lang w:val="zh-CN"/>
        </w:rPr>
        <w:t>万元，完成预算</w:t>
      </w:r>
      <w:r>
        <w:rPr>
          <w:rFonts w:ascii="仿宋_GB2312" w:eastAsia="仿宋_GB2312" w:hAnsi="Cambria" w:cs="仿宋_GB2312"/>
          <w:color w:val="000000"/>
          <w:sz w:val="32"/>
          <w:szCs w:val="32"/>
          <w:lang w:val="zh-CN"/>
        </w:rPr>
        <w:t>100%</w:t>
      </w:r>
      <w:r>
        <w:rPr>
          <w:rFonts w:ascii="仿宋_GB2312" w:eastAsia="仿宋_GB2312" w:hAnsi="Cambria" w:cs="仿宋_GB2312" w:hint="eastAsia"/>
          <w:color w:val="000000"/>
          <w:sz w:val="32"/>
          <w:szCs w:val="32"/>
          <w:lang w:val="zh-CN"/>
        </w:rPr>
        <w:t>；较上年减少</w:t>
      </w:r>
      <w:r>
        <w:rPr>
          <w:rFonts w:ascii="仿宋_GB2312" w:eastAsia="仿宋_GB2312" w:hAnsi="Cambria" w:cs="仿宋_GB2312"/>
          <w:color w:val="000000"/>
          <w:sz w:val="32"/>
          <w:szCs w:val="32"/>
          <w:lang w:val="zh-CN"/>
        </w:rPr>
        <w:t>0.35</w:t>
      </w:r>
      <w:r>
        <w:rPr>
          <w:rFonts w:ascii="仿宋_GB2312" w:eastAsia="仿宋_GB2312" w:hAnsi="Cambria" w:cs="仿宋_GB2312" w:hint="eastAsia"/>
          <w:color w:val="000000"/>
          <w:sz w:val="32"/>
          <w:szCs w:val="32"/>
          <w:lang w:val="zh-CN"/>
        </w:rPr>
        <w:t>万元，下降</w:t>
      </w:r>
      <w:r>
        <w:rPr>
          <w:rFonts w:ascii="仿宋_GB2312" w:eastAsia="仿宋_GB2312" w:hAnsi="Cambria" w:cs="仿宋_GB2312"/>
          <w:color w:val="000000"/>
          <w:sz w:val="32"/>
          <w:szCs w:val="32"/>
          <w:lang w:val="zh-CN"/>
        </w:rPr>
        <w:t>61.4%</w:t>
      </w:r>
      <w:r>
        <w:rPr>
          <w:rFonts w:ascii="仿宋_GB2312" w:eastAsia="仿宋_GB2312" w:hAnsi="Cambria" w:cs="仿宋_GB2312" w:hint="eastAsia"/>
          <w:color w:val="000000"/>
          <w:sz w:val="32"/>
          <w:szCs w:val="32"/>
          <w:lang w:val="zh-CN"/>
        </w:rPr>
        <w:t>。决算</w:t>
      </w:r>
      <w:r>
        <w:rPr>
          <w:rFonts w:ascii="仿宋_GB2312" w:eastAsia="仿宋_GB2312" w:hAnsi="Cambria" w:cs="仿宋_GB2312" w:hint="eastAsia"/>
          <w:color w:val="000000"/>
          <w:sz w:val="32"/>
          <w:szCs w:val="32"/>
          <w:highlight w:val="white"/>
        </w:rPr>
        <w:t>与预算数持平</w:t>
      </w:r>
      <w:r>
        <w:rPr>
          <w:rFonts w:ascii="仿宋" w:eastAsia="仿宋" w:hAnsi="仿宋" w:hint="eastAsia"/>
          <w:sz w:val="32"/>
          <w:szCs w:val="32"/>
        </w:rPr>
        <w:t>。</w:t>
      </w:r>
    </w:p>
    <w:p w:rsidR="00711C45" w:rsidRDefault="00DC6B00" w:rsidP="00711C45">
      <w:pPr>
        <w:spacing w:line="600" w:lineRule="exact"/>
        <w:ind w:firstLine="640"/>
        <w:outlineLvl w:val="2"/>
        <w:rPr>
          <w:rFonts w:ascii="仿宋" w:eastAsia="仿宋" w:hAnsi="仿宋" w:hint="eastAsia"/>
          <w:b/>
          <w:sz w:val="32"/>
          <w:szCs w:val="32"/>
        </w:rPr>
      </w:pPr>
      <w:bookmarkStart w:id="49" w:name="_Toc15377217"/>
      <w:r>
        <w:rPr>
          <w:rFonts w:ascii="仿宋" w:eastAsia="仿宋" w:hAnsi="仿宋" w:hint="eastAsia"/>
          <w:b/>
          <w:sz w:val="32"/>
          <w:szCs w:val="32"/>
        </w:rPr>
        <w:t>（二）“三公”经费财政拨款支出决算具体情况说明</w:t>
      </w:r>
      <w:bookmarkEnd w:id="49"/>
    </w:p>
    <w:p w:rsidR="00EC184F" w:rsidRPr="00711C45" w:rsidRDefault="00DC6B00" w:rsidP="00711C45">
      <w:pPr>
        <w:spacing w:line="600" w:lineRule="exact"/>
        <w:ind w:firstLine="640"/>
        <w:outlineLvl w:val="2"/>
        <w:rPr>
          <w:rFonts w:ascii="仿宋" w:eastAsia="仿宋" w:hAnsi="仿宋"/>
          <w:b/>
          <w:sz w:val="32"/>
          <w:szCs w:val="32"/>
        </w:rPr>
      </w:pPr>
      <w:r>
        <w:rPr>
          <w:rFonts w:ascii="仿宋" w:eastAsia="仿宋" w:hAnsi="仿宋"/>
          <w:sz w:val="32"/>
          <w:szCs w:val="32"/>
        </w:rPr>
        <w:t>20</w:t>
      </w:r>
      <w:r>
        <w:rPr>
          <w:rFonts w:ascii="仿宋" w:eastAsia="仿宋" w:hAnsi="仿宋" w:hint="eastAsia"/>
          <w:sz w:val="32"/>
          <w:szCs w:val="32"/>
        </w:rPr>
        <w:t>22年“三公”经费财政拨款支出决算中，</w:t>
      </w:r>
      <w:r>
        <w:rPr>
          <w:rFonts w:ascii="仿宋_GB2312" w:eastAsia="仿宋_GB2312" w:hAnsi="Cambria" w:cs="仿宋_GB2312" w:hint="eastAsia"/>
          <w:color w:val="000000"/>
          <w:sz w:val="32"/>
          <w:szCs w:val="32"/>
          <w:lang w:val="zh-CN"/>
        </w:rPr>
        <w:t>因公出国（境）费支出决算</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万元，占</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；公务用车购置及运行维护费支出决算</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万元，占</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；公务接待费支出决算</w:t>
      </w:r>
      <w:r>
        <w:rPr>
          <w:rFonts w:ascii="仿宋_GB2312" w:eastAsia="仿宋_GB2312" w:hAnsi="Cambria" w:cs="仿宋_GB2312"/>
          <w:color w:val="000000"/>
          <w:sz w:val="32"/>
          <w:szCs w:val="32"/>
          <w:lang w:val="zh-CN"/>
        </w:rPr>
        <w:t>0.22</w:t>
      </w:r>
      <w:r>
        <w:rPr>
          <w:rFonts w:ascii="仿宋_GB2312" w:eastAsia="仿宋_GB2312" w:hAnsi="Cambria" w:cs="仿宋_GB2312" w:hint="eastAsia"/>
          <w:color w:val="000000"/>
          <w:sz w:val="32"/>
          <w:szCs w:val="32"/>
          <w:lang w:val="zh-CN"/>
        </w:rPr>
        <w:t>万元，占</w:t>
      </w:r>
      <w:r>
        <w:rPr>
          <w:rFonts w:ascii="仿宋_GB2312" w:eastAsia="仿宋_GB2312" w:hAnsi="Cambria" w:cs="仿宋_GB2312"/>
          <w:color w:val="000000"/>
          <w:sz w:val="32"/>
          <w:szCs w:val="32"/>
          <w:lang w:val="zh-CN"/>
        </w:rPr>
        <w:t>100%</w:t>
      </w:r>
      <w:r>
        <w:rPr>
          <w:rFonts w:ascii="仿宋_GB2312" w:eastAsia="仿宋_GB2312" w:hAnsi="Cambria" w:cs="仿宋_GB2312" w:hint="eastAsia"/>
          <w:color w:val="000000"/>
          <w:sz w:val="32"/>
          <w:szCs w:val="32"/>
          <w:lang w:val="zh-CN"/>
        </w:rPr>
        <w:t>。具体情况如下：</w:t>
      </w:r>
    </w:p>
    <w:p w:rsidR="00EC184F" w:rsidRDefault="00EC184F">
      <w:pPr>
        <w:pStyle w:val="a0"/>
        <w:spacing w:before="93"/>
      </w:pPr>
    </w:p>
    <w:p w:rsidR="00EC184F" w:rsidRDefault="00DC6B00">
      <w:pPr>
        <w:pStyle w:val="a0"/>
        <w:spacing w:before="93"/>
      </w:pPr>
      <w:r>
        <w:rPr>
          <w:rFonts w:hint="eastAsia"/>
          <w:noProof/>
        </w:rPr>
        <w:drawing>
          <wp:inline distT="0" distB="0" distL="0" distR="0">
            <wp:extent cx="3020695" cy="2190750"/>
            <wp:effectExtent l="19050" t="0" r="27288" b="0"/>
            <wp:docPr id="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C184F" w:rsidRDefault="00EC184F">
      <w:pPr>
        <w:pStyle w:val="a0"/>
        <w:spacing w:before="93"/>
      </w:pPr>
    </w:p>
    <w:p w:rsidR="00EC184F" w:rsidRDefault="00DC6B00">
      <w:pPr>
        <w:spacing w:line="600" w:lineRule="exact"/>
        <w:ind w:firstLine="640"/>
        <w:rPr>
          <w:rFonts w:ascii="仿宋" w:eastAsia="仿宋" w:hAnsi="仿宋"/>
          <w:sz w:val="32"/>
          <w:szCs w:val="32"/>
        </w:rPr>
      </w:pPr>
      <w:r>
        <w:rPr>
          <w:rFonts w:ascii="仿宋" w:eastAsia="仿宋" w:hAnsi="仿宋" w:hint="eastAsia"/>
          <w:sz w:val="32"/>
          <w:szCs w:val="32"/>
        </w:rPr>
        <w:t>（图7：“三公”经费财政拨款支出结构）（饼状图）</w:t>
      </w:r>
    </w:p>
    <w:p w:rsidR="00EC184F" w:rsidRDefault="00DC6B00">
      <w:pPr>
        <w:spacing w:line="600" w:lineRule="exact"/>
        <w:ind w:firstLine="640"/>
        <w:rPr>
          <w:rFonts w:ascii="仿宋_GB2312" w:eastAsia="仿宋_GB2312" w:hAnsi="Cambria" w:cs="仿宋_GB2312"/>
          <w:color w:val="000000"/>
          <w:sz w:val="32"/>
          <w:szCs w:val="32"/>
          <w:lang w:val="zh-CN"/>
        </w:rPr>
      </w:pPr>
      <w:r>
        <w:rPr>
          <w:rFonts w:ascii="仿宋_GB2312" w:eastAsia="仿宋_GB2312"/>
          <w:b/>
          <w:sz w:val="32"/>
          <w:szCs w:val="32"/>
        </w:rPr>
        <w:t>1.</w:t>
      </w:r>
      <w:r>
        <w:rPr>
          <w:rFonts w:ascii="仿宋_GB2312" w:eastAsia="仿宋_GB2312" w:hint="eastAsia"/>
          <w:b/>
          <w:sz w:val="32"/>
          <w:szCs w:val="32"/>
        </w:rPr>
        <w:t>因公出国（境）经费支出</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万元，完成预算</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。全年安排因公出国（境）团组</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个，出国（境）</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人。因公出国（境）支出决算与</w:t>
      </w:r>
      <w:r>
        <w:rPr>
          <w:rFonts w:ascii="仿宋_GB2312" w:eastAsia="仿宋_GB2312" w:hAnsi="Cambria" w:cs="仿宋_GB2312"/>
          <w:color w:val="000000"/>
          <w:sz w:val="32"/>
          <w:szCs w:val="32"/>
          <w:lang w:val="zh-CN"/>
        </w:rPr>
        <w:t>2021</w:t>
      </w:r>
      <w:r>
        <w:rPr>
          <w:rFonts w:ascii="仿宋_GB2312" w:eastAsia="仿宋_GB2312" w:hAnsi="Cambria" w:cs="仿宋_GB2312" w:hint="eastAsia"/>
          <w:color w:val="000000"/>
          <w:sz w:val="32"/>
          <w:szCs w:val="32"/>
          <w:lang w:val="zh-CN"/>
        </w:rPr>
        <w:t>年持平。</w:t>
      </w:r>
    </w:p>
    <w:p w:rsidR="00EC184F" w:rsidRDefault="00DC6B00">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万元，完成预算</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。公务用车购置及运行维护费支出决算比</w:t>
      </w:r>
      <w:r>
        <w:rPr>
          <w:rFonts w:ascii="仿宋_GB2312" w:eastAsia="仿宋_GB2312" w:hAnsi="Cambria" w:cs="仿宋_GB2312"/>
          <w:color w:val="000000"/>
          <w:sz w:val="32"/>
          <w:szCs w:val="32"/>
          <w:lang w:val="zh-CN"/>
        </w:rPr>
        <w:t>2021</w:t>
      </w:r>
      <w:r>
        <w:rPr>
          <w:rFonts w:ascii="仿宋_GB2312" w:eastAsia="仿宋_GB2312" w:hAnsi="Cambria" w:cs="仿宋_GB2312" w:hint="eastAsia"/>
          <w:color w:val="000000"/>
          <w:sz w:val="32"/>
          <w:szCs w:val="32"/>
          <w:lang w:val="zh-CN"/>
        </w:rPr>
        <w:t>持平</w:t>
      </w:r>
      <w:r>
        <w:rPr>
          <w:rFonts w:ascii="仿宋_GB2312" w:eastAsia="仿宋_GB2312" w:hint="eastAsia"/>
          <w:sz w:val="32"/>
          <w:szCs w:val="32"/>
        </w:rPr>
        <w:t>。</w:t>
      </w:r>
    </w:p>
    <w:p w:rsidR="00EC184F" w:rsidRDefault="00DC6B00">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_GB2312" w:eastAsia="仿宋_GB2312" w:hint="eastAsia"/>
          <w:sz w:val="32"/>
          <w:szCs w:val="32"/>
        </w:rPr>
        <w:t>0万元。全年按规定更新购置公务用车0辆，其中：轿车0辆、金额0万元，越野车0辆、金额0万元，载客汽车0辆、金额0万元，截至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月底，单位共有公务用车0辆，其中：轿车0辆、越野车0辆、载客汽车0辆。</w:t>
      </w:r>
    </w:p>
    <w:p w:rsidR="00EC184F" w:rsidRDefault="00DC6B00">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Pr>
          <w:rFonts w:ascii="仿宋_GB2312" w:eastAsia="仿宋_GB2312" w:hint="eastAsia"/>
          <w:sz w:val="32"/>
          <w:szCs w:val="32"/>
        </w:rPr>
        <w:t>0万元。</w:t>
      </w:r>
    </w:p>
    <w:p w:rsidR="00EC184F" w:rsidRDefault="00DC6B00">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Pr>
          <w:rFonts w:ascii="仿宋_GB2312" w:eastAsia="仿宋_GB2312" w:hAnsi="Cambria" w:cs="仿宋_GB2312"/>
          <w:color w:val="000000"/>
          <w:sz w:val="32"/>
          <w:szCs w:val="32"/>
          <w:lang w:val="zh-CN"/>
        </w:rPr>
        <w:t>0.22</w:t>
      </w:r>
      <w:r>
        <w:rPr>
          <w:rFonts w:ascii="仿宋_GB2312" w:eastAsia="仿宋_GB2312" w:hAnsi="Cambria" w:cs="仿宋_GB2312" w:hint="eastAsia"/>
          <w:color w:val="000000"/>
          <w:sz w:val="32"/>
          <w:szCs w:val="32"/>
          <w:lang w:val="zh-CN"/>
        </w:rPr>
        <w:t>万元，完成预算</w:t>
      </w:r>
      <w:r>
        <w:rPr>
          <w:rFonts w:ascii="仿宋_GB2312" w:eastAsia="仿宋_GB2312" w:hAnsi="Cambria" w:cs="仿宋_GB2312"/>
          <w:color w:val="000000"/>
          <w:sz w:val="32"/>
          <w:szCs w:val="32"/>
          <w:lang w:val="zh-CN"/>
        </w:rPr>
        <w:t>100%</w:t>
      </w:r>
      <w:r>
        <w:rPr>
          <w:rFonts w:ascii="仿宋_GB2312" w:eastAsia="仿宋_GB2312" w:hAnsi="Cambria" w:cs="仿宋_GB2312" w:hint="eastAsia"/>
          <w:color w:val="000000"/>
          <w:sz w:val="32"/>
          <w:szCs w:val="32"/>
          <w:lang w:val="zh-CN"/>
        </w:rPr>
        <w:t>。公务接待费支出决算比</w:t>
      </w:r>
      <w:r>
        <w:rPr>
          <w:rFonts w:ascii="仿宋_GB2312" w:eastAsia="仿宋_GB2312" w:hAnsi="Cambria" w:cs="仿宋_GB2312"/>
          <w:color w:val="000000"/>
          <w:sz w:val="32"/>
          <w:szCs w:val="32"/>
          <w:lang w:val="zh-CN"/>
        </w:rPr>
        <w:t>2021</w:t>
      </w:r>
      <w:r>
        <w:rPr>
          <w:rFonts w:ascii="仿宋_GB2312" w:eastAsia="仿宋_GB2312" w:hAnsi="Cambria" w:cs="仿宋_GB2312" w:hint="eastAsia"/>
          <w:color w:val="000000"/>
          <w:sz w:val="32"/>
          <w:szCs w:val="32"/>
          <w:lang w:val="zh-CN"/>
        </w:rPr>
        <w:t>年减少</w:t>
      </w:r>
      <w:r>
        <w:rPr>
          <w:rFonts w:ascii="仿宋_GB2312" w:eastAsia="仿宋_GB2312" w:hAnsi="Cambria" w:cs="仿宋_GB2312"/>
          <w:color w:val="000000"/>
          <w:sz w:val="32"/>
          <w:szCs w:val="32"/>
          <w:lang w:val="zh-CN"/>
        </w:rPr>
        <w:t>0.35</w:t>
      </w:r>
      <w:r>
        <w:rPr>
          <w:rFonts w:ascii="仿宋_GB2312" w:eastAsia="仿宋_GB2312" w:hAnsi="Cambria" w:cs="仿宋_GB2312" w:hint="eastAsia"/>
          <w:color w:val="000000"/>
          <w:sz w:val="32"/>
          <w:szCs w:val="32"/>
          <w:lang w:val="zh-CN"/>
        </w:rPr>
        <w:t>万元，下降</w:t>
      </w:r>
      <w:r>
        <w:rPr>
          <w:rFonts w:ascii="仿宋_GB2312" w:eastAsia="仿宋_GB2312" w:hAnsi="Cambria" w:cs="仿宋_GB2312"/>
          <w:color w:val="000000"/>
          <w:sz w:val="32"/>
          <w:szCs w:val="32"/>
          <w:lang w:val="zh-CN"/>
        </w:rPr>
        <w:t>61.4%</w:t>
      </w:r>
      <w:r>
        <w:rPr>
          <w:rFonts w:ascii="仿宋_GB2312" w:eastAsia="仿宋_GB2312" w:hAnsi="Cambria" w:cs="仿宋_GB2312" w:hint="eastAsia"/>
          <w:color w:val="000000"/>
          <w:sz w:val="32"/>
          <w:szCs w:val="32"/>
          <w:lang w:val="zh-CN"/>
        </w:rPr>
        <w:t>。主要原因是厉行节约，</w:t>
      </w:r>
      <w:r>
        <w:rPr>
          <w:rFonts w:eastAsia="仿宋_GB2312" w:hint="eastAsia"/>
          <w:sz w:val="32"/>
          <w:szCs w:val="32"/>
        </w:rPr>
        <w:t>公务接待减少</w:t>
      </w:r>
      <w:r>
        <w:rPr>
          <w:rFonts w:ascii="仿宋_GB2312" w:eastAsia="仿宋_GB2312" w:hAnsi="Cambria" w:cs="仿宋_GB2312" w:hint="eastAsia"/>
          <w:color w:val="000000"/>
          <w:sz w:val="32"/>
          <w:szCs w:val="32"/>
          <w:lang w:val="zh-CN"/>
        </w:rPr>
        <w:t>。其中：</w:t>
      </w:r>
    </w:p>
    <w:p w:rsidR="00EC184F" w:rsidRDefault="00DC6B00">
      <w:pPr>
        <w:spacing w:line="600" w:lineRule="exact"/>
        <w:ind w:firstLine="640"/>
        <w:rPr>
          <w:rFonts w:ascii="仿宋_GB2312" w:eastAsia="仿宋_GB2312"/>
          <w:sz w:val="32"/>
          <w:szCs w:val="32"/>
        </w:rPr>
      </w:pPr>
      <w:r>
        <w:rPr>
          <w:rFonts w:ascii="仿宋" w:eastAsia="仿宋" w:hAnsi="仿宋" w:hint="eastAsia"/>
          <w:b/>
          <w:sz w:val="32"/>
          <w:szCs w:val="32"/>
        </w:rPr>
        <w:t>国内公务接待支出</w:t>
      </w:r>
      <w:r>
        <w:rPr>
          <w:rFonts w:ascii="仿宋" w:eastAsia="仿宋" w:hAnsi="仿宋" w:hint="eastAsia"/>
          <w:sz w:val="32"/>
          <w:szCs w:val="32"/>
        </w:rPr>
        <w:t>0.22</w:t>
      </w:r>
      <w:r>
        <w:rPr>
          <w:rFonts w:ascii="仿宋_GB2312" w:eastAsia="仿宋_GB2312" w:hint="eastAsia"/>
          <w:sz w:val="32"/>
          <w:szCs w:val="32"/>
        </w:rPr>
        <w:t>万元，主要用于执行公务、开展业务活动开支用餐费。国内公务接待2批次，18人次（不包括陪同人员），共计支出0.22万元，具体内容包括：农业科技园区调研1070元；调研天府科技云服务工作情况 1100元。</w:t>
      </w:r>
    </w:p>
    <w:p w:rsidR="00EC184F" w:rsidRDefault="00DC6B00">
      <w:pPr>
        <w:spacing w:line="600" w:lineRule="exact"/>
        <w:ind w:firstLineChars="200" w:firstLine="643"/>
        <w:rPr>
          <w:rFonts w:ascii="黑体" w:eastAsia="黑体"/>
          <w:sz w:val="32"/>
          <w:szCs w:val="32"/>
        </w:rPr>
      </w:pPr>
      <w:r>
        <w:rPr>
          <w:rFonts w:ascii="仿宋" w:eastAsia="仿宋" w:hAnsi="仿宋" w:hint="eastAsia"/>
          <w:b/>
          <w:sz w:val="32"/>
          <w:szCs w:val="32"/>
        </w:rPr>
        <w:t>外事接待支出</w:t>
      </w:r>
      <w:r>
        <w:rPr>
          <w:rFonts w:ascii="仿宋" w:eastAsia="仿宋" w:hAnsi="仿宋" w:hint="eastAsia"/>
          <w:sz w:val="32"/>
          <w:szCs w:val="32"/>
        </w:rPr>
        <w:t>0</w:t>
      </w:r>
      <w:r>
        <w:rPr>
          <w:rFonts w:ascii="仿宋_GB2312" w:eastAsia="仿宋_GB2312" w:hint="eastAsia"/>
          <w:sz w:val="32"/>
          <w:szCs w:val="32"/>
        </w:rPr>
        <w:t>万元。</w:t>
      </w:r>
      <w:bookmarkStart w:id="50" w:name="_Toc15377218"/>
      <w:bookmarkStart w:id="51" w:name="_Toc15396610"/>
    </w:p>
    <w:p w:rsidR="00EC184F" w:rsidRDefault="00DC6B00">
      <w:pPr>
        <w:spacing w:line="600" w:lineRule="exact"/>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50"/>
      <w:bookmarkEnd w:id="51"/>
    </w:p>
    <w:p w:rsidR="00EC184F" w:rsidRDefault="00DC6B00">
      <w:pPr>
        <w:autoSpaceDE w:val="0"/>
        <w:autoSpaceDN w:val="0"/>
        <w:adjustRightInd w:val="0"/>
        <w:spacing w:line="576" w:lineRule="exact"/>
        <w:ind w:firstLine="640"/>
        <w:rPr>
          <w:rFonts w:ascii="仿宋_GB2312" w:eastAsia="仿宋_GB2312"/>
          <w:sz w:val="32"/>
          <w:szCs w:val="32"/>
        </w:rPr>
      </w:pPr>
      <w:r>
        <w:rPr>
          <w:rFonts w:ascii="仿宋_GB2312" w:eastAsia="仿宋_GB2312" w:hAnsi="Cambria" w:cs="仿宋_GB2312"/>
          <w:color w:val="000000"/>
          <w:sz w:val="32"/>
          <w:szCs w:val="32"/>
          <w:lang w:val="zh-CN"/>
        </w:rPr>
        <w:lastRenderedPageBreak/>
        <w:t>2022</w:t>
      </w:r>
      <w:r>
        <w:rPr>
          <w:rFonts w:ascii="仿宋_GB2312" w:eastAsia="仿宋_GB2312" w:hAnsi="Cambria" w:cs="仿宋_GB2312" w:hint="eastAsia"/>
          <w:color w:val="000000"/>
          <w:sz w:val="32"/>
          <w:szCs w:val="32"/>
          <w:lang w:val="zh-CN"/>
        </w:rPr>
        <w:t>年政府性基金预算拨款支出</w:t>
      </w:r>
      <w:r>
        <w:rPr>
          <w:rFonts w:ascii="仿宋_GB2312" w:eastAsia="仿宋_GB2312" w:hAnsi="Cambria" w:cs="仿宋_GB2312"/>
          <w:color w:val="000000"/>
          <w:sz w:val="32"/>
          <w:szCs w:val="32"/>
          <w:lang w:val="zh-CN"/>
        </w:rPr>
        <w:t>770</w:t>
      </w:r>
      <w:r>
        <w:rPr>
          <w:rFonts w:ascii="仿宋_GB2312" w:eastAsia="仿宋_GB2312" w:hAnsi="Cambria" w:cs="仿宋_GB2312" w:hint="eastAsia"/>
          <w:color w:val="000000"/>
          <w:sz w:val="32"/>
          <w:szCs w:val="32"/>
          <w:lang w:val="zh-CN"/>
        </w:rPr>
        <w:t>万元。</w:t>
      </w:r>
    </w:p>
    <w:p w:rsidR="00EC184F" w:rsidRDefault="00DC6B00">
      <w:pPr>
        <w:numPr>
          <w:ilvl w:val="0"/>
          <w:numId w:val="2"/>
        </w:numPr>
        <w:spacing w:line="600" w:lineRule="exact"/>
        <w:ind w:firstLine="640"/>
        <w:outlineLvl w:val="1"/>
        <w:rPr>
          <w:rStyle w:val="2Char"/>
          <w:rFonts w:ascii="黑体" w:eastAsia="黑体" w:hAnsi="黑体"/>
          <w:b w:val="0"/>
        </w:rPr>
      </w:pPr>
      <w:bookmarkStart w:id="52" w:name="_Toc15396611"/>
      <w:bookmarkStart w:id="53" w:name="_Toc15377219"/>
      <w:r>
        <w:rPr>
          <w:rStyle w:val="2Char"/>
          <w:rFonts w:ascii="黑体" w:eastAsia="黑体" w:hAnsi="黑体" w:hint="eastAsia"/>
          <w:b w:val="0"/>
        </w:rPr>
        <w:t>国有资本经营预算支出决算情况说明</w:t>
      </w:r>
      <w:bookmarkEnd w:id="52"/>
      <w:bookmarkEnd w:id="53"/>
    </w:p>
    <w:p w:rsidR="00EC184F" w:rsidRDefault="00DC6B00">
      <w:pPr>
        <w:pStyle w:val="ab"/>
        <w:autoSpaceDE w:val="0"/>
        <w:autoSpaceDN w:val="0"/>
        <w:adjustRightInd w:val="0"/>
        <w:spacing w:line="576" w:lineRule="exact"/>
        <w:ind w:left="420" w:firstLineChars="0" w:firstLine="0"/>
        <w:rPr>
          <w:rFonts w:ascii="方正小标宋简体" w:eastAsia="方正小标宋简体" w:hAnsi="方正小标宋简体" w:cs="方正小标宋简体"/>
          <w:sz w:val="44"/>
          <w:szCs w:val="44"/>
        </w:rPr>
      </w:pPr>
      <w:r>
        <w:rPr>
          <w:rFonts w:ascii="仿宋_GB2312" w:eastAsia="仿宋_GB2312" w:hAnsi="Cambria" w:cs="仿宋_GB2312"/>
          <w:color w:val="000000"/>
          <w:sz w:val="32"/>
          <w:szCs w:val="32"/>
          <w:lang w:val="zh-CN"/>
        </w:rPr>
        <w:t>2022</w:t>
      </w:r>
      <w:r>
        <w:rPr>
          <w:rFonts w:ascii="仿宋_GB2312" w:eastAsia="仿宋_GB2312" w:hAnsi="Cambria" w:cs="仿宋_GB2312" w:hint="eastAsia"/>
          <w:color w:val="000000"/>
          <w:sz w:val="32"/>
          <w:szCs w:val="32"/>
          <w:lang w:val="zh-CN"/>
        </w:rPr>
        <w:t>年国有资本经营预算拨款支出</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万元。</w:t>
      </w:r>
    </w:p>
    <w:p w:rsidR="00EC184F" w:rsidRDefault="00DC6B00">
      <w:pPr>
        <w:numPr>
          <w:ilvl w:val="0"/>
          <w:numId w:val="2"/>
        </w:numPr>
        <w:spacing w:line="600" w:lineRule="exact"/>
        <w:ind w:firstLine="640"/>
        <w:outlineLvl w:val="1"/>
        <w:rPr>
          <w:rStyle w:val="2Char"/>
          <w:rFonts w:ascii="黑体" w:eastAsia="黑体" w:hAnsi="黑体"/>
          <w:b w:val="0"/>
        </w:rPr>
      </w:pPr>
      <w:bookmarkStart w:id="54" w:name="_Toc15396612"/>
      <w:bookmarkStart w:id="55" w:name="_Toc15377221"/>
      <w:r>
        <w:rPr>
          <w:rStyle w:val="2Char"/>
          <w:rFonts w:ascii="黑体" w:eastAsia="黑体" w:hAnsi="黑体" w:hint="eastAsia"/>
          <w:b w:val="0"/>
        </w:rPr>
        <w:t>其他重要事项的情况说明</w:t>
      </w:r>
      <w:bookmarkEnd w:id="54"/>
      <w:bookmarkEnd w:id="55"/>
    </w:p>
    <w:p w:rsidR="00EC184F" w:rsidRDefault="00DC6B00">
      <w:pPr>
        <w:spacing w:line="600" w:lineRule="exact"/>
        <w:ind w:firstLineChars="200" w:firstLine="643"/>
        <w:outlineLvl w:val="2"/>
        <w:rPr>
          <w:rFonts w:ascii="仿宋" w:eastAsia="仿宋" w:hAnsi="仿宋"/>
          <w:sz w:val="32"/>
          <w:szCs w:val="32"/>
        </w:rPr>
      </w:pPr>
      <w:bookmarkStart w:id="56" w:name="_Toc15377222"/>
      <w:r>
        <w:rPr>
          <w:rFonts w:ascii="仿宋" w:eastAsia="仿宋" w:hAnsi="仿宋" w:hint="eastAsia"/>
          <w:b/>
          <w:sz w:val="32"/>
          <w:szCs w:val="32"/>
        </w:rPr>
        <w:t>（一）机关运行经费支出情况</w:t>
      </w:r>
      <w:bookmarkEnd w:id="56"/>
    </w:p>
    <w:p w:rsidR="00EC184F" w:rsidRDefault="00DC6B00">
      <w:pPr>
        <w:autoSpaceDE w:val="0"/>
        <w:autoSpaceDN w:val="0"/>
        <w:adjustRightInd w:val="0"/>
        <w:spacing w:line="576" w:lineRule="exact"/>
        <w:ind w:firstLine="640"/>
        <w:rPr>
          <w:rFonts w:ascii="仿宋_GB2312" w:eastAsia="仿宋_GB2312" w:hAnsi="Cambria" w:cs="仿宋_GB2312"/>
          <w:color w:val="000000"/>
          <w:sz w:val="32"/>
          <w:szCs w:val="32"/>
          <w:lang w:val="zh-CN"/>
        </w:rPr>
      </w:pPr>
      <w:r>
        <w:rPr>
          <w:rFonts w:ascii="仿宋_GB2312" w:eastAsia="仿宋_GB2312" w:hAnsi="Cambria" w:cs="仿宋_GB2312"/>
          <w:color w:val="000000"/>
          <w:sz w:val="32"/>
          <w:szCs w:val="32"/>
          <w:lang w:val="zh-CN"/>
        </w:rPr>
        <w:t>2022</w:t>
      </w:r>
      <w:r>
        <w:rPr>
          <w:rFonts w:ascii="仿宋_GB2312" w:eastAsia="仿宋_GB2312" w:hAnsi="Cambria" w:cs="仿宋_GB2312" w:hint="eastAsia"/>
          <w:color w:val="000000"/>
          <w:sz w:val="32"/>
          <w:szCs w:val="32"/>
          <w:lang w:val="zh-CN"/>
        </w:rPr>
        <w:t>年，盐边县经济信息化和科学技术局机关运行经费支出</w:t>
      </w:r>
      <w:r>
        <w:rPr>
          <w:rFonts w:ascii="仿宋_GB2312" w:eastAsia="仿宋_GB2312" w:hAnsi="Cambria" w:cs="仿宋_GB2312"/>
          <w:color w:val="000000"/>
          <w:sz w:val="32"/>
          <w:szCs w:val="32"/>
          <w:lang w:val="zh-CN"/>
        </w:rPr>
        <w:t>50.18</w:t>
      </w:r>
      <w:r>
        <w:rPr>
          <w:rFonts w:ascii="仿宋_GB2312" w:eastAsia="仿宋_GB2312" w:hAnsi="Cambria" w:cs="仿宋_GB2312" w:hint="eastAsia"/>
          <w:color w:val="000000"/>
          <w:sz w:val="32"/>
          <w:szCs w:val="32"/>
          <w:lang w:val="zh-CN"/>
        </w:rPr>
        <w:t>万元，比</w:t>
      </w:r>
      <w:r>
        <w:rPr>
          <w:rFonts w:ascii="仿宋_GB2312" w:eastAsia="仿宋_GB2312" w:hAnsi="Cambria" w:cs="仿宋_GB2312"/>
          <w:color w:val="000000"/>
          <w:sz w:val="32"/>
          <w:szCs w:val="32"/>
          <w:lang w:val="zh-CN"/>
        </w:rPr>
        <w:t>2021</w:t>
      </w:r>
      <w:r>
        <w:rPr>
          <w:rFonts w:ascii="仿宋_GB2312" w:eastAsia="仿宋_GB2312" w:hAnsi="Cambria" w:cs="仿宋_GB2312" w:hint="eastAsia"/>
          <w:color w:val="000000"/>
          <w:sz w:val="32"/>
          <w:szCs w:val="32"/>
          <w:lang w:val="zh-CN"/>
        </w:rPr>
        <w:t>年减少</w:t>
      </w:r>
      <w:r>
        <w:rPr>
          <w:rFonts w:ascii="仿宋_GB2312" w:eastAsia="仿宋_GB2312" w:hAnsi="Cambria" w:cs="仿宋_GB2312"/>
          <w:color w:val="000000"/>
          <w:sz w:val="32"/>
          <w:szCs w:val="32"/>
          <w:lang w:val="zh-CN"/>
        </w:rPr>
        <w:t>11.66</w:t>
      </w:r>
      <w:r>
        <w:rPr>
          <w:rFonts w:ascii="仿宋_GB2312" w:eastAsia="仿宋_GB2312" w:hAnsi="Cambria" w:cs="仿宋_GB2312" w:hint="eastAsia"/>
          <w:color w:val="000000"/>
          <w:sz w:val="32"/>
          <w:szCs w:val="32"/>
          <w:lang w:val="zh-CN"/>
        </w:rPr>
        <w:t>万元，下降</w:t>
      </w:r>
      <w:r>
        <w:rPr>
          <w:rFonts w:ascii="仿宋_GB2312" w:eastAsia="仿宋_GB2312" w:hAnsi="Cambria" w:cs="仿宋_GB2312"/>
          <w:color w:val="000000"/>
          <w:sz w:val="32"/>
          <w:szCs w:val="32"/>
          <w:lang w:val="zh-CN"/>
        </w:rPr>
        <w:t>18.9%</w:t>
      </w:r>
      <w:r>
        <w:rPr>
          <w:rFonts w:ascii="仿宋_GB2312" w:eastAsia="仿宋_GB2312" w:hAnsi="Cambria" w:cs="仿宋_GB2312" w:hint="eastAsia"/>
          <w:color w:val="000000"/>
          <w:sz w:val="32"/>
          <w:szCs w:val="32"/>
          <w:lang w:val="zh-CN"/>
        </w:rPr>
        <w:t>。主要原因是2022年我局人员较上年减少3人，2022年退休2人。</w:t>
      </w:r>
    </w:p>
    <w:p w:rsidR="00EC184F" w:rsidRDefault="00DC6B00">
      <w:pPr>
        <w:autoSpaceDE w:val="0"/>
        <w:autoSpaceDN w:val="0"/>
        <w:adjustRightInd w:val="0"/>
        <w:spacing w:line="600" w:lineRule="exact"/>
        <w:ind w:firstLineChars="200" w:firstLine="643"/>
        <w:jc w:val="left"/>
        <w:outlineLvl w:val="2"/>
        <w:rPr>
          <w:rFonts w:ascii="仿宋" w:eastAsia="仿宋" w:hAnsi="仿宋"/>
          <w:b/>
          <w:sz w:val="32"/>
          <w:szCs w:val="32"/>
        </w:rPr>
      </w:pPr>
      <w:bookmarkStart w:id="57" w:name="_Toc15377223"/>
      <w:r>
        <w:rPr>
          <w:rFonts w:ascii="仿宋" w:eastAsia="仿宋" w:hAnsi="仿宋" w:hint="eastAsia"/>
          <w:b/>
          <w:sz w:val="32"/>
          <w:szCs w:val="32"/>
        </w:rPr>
        <w:t>（二）政府采购支出情况</w:t>
      </w:r>
      <w:bookmarkEnd w:id="57"/>
    </w:p>
    <w:p w:rsidR="00EC184F" w:rsidRDefault="00DC6B00">
      <w:pPr>
        <w:autoSpaceDE w:val="0"/>
        <w:autoSpaceDN w:val="0"/>
        <w:adjustRightInd w:val="0"/>
        <w:spacing w:line="600" w:lineRule="exact"/>
        <w:ind w:firstLineChars="200" w:firstLine="640"/>
        <w:jc w:val="left"/>
        <w:outlineLvl w:val="2"/>
        <w:rPr>
          <w:rFonts w:ascii="仿宋_GB2312" w:eastAsia="仿宋_GB2312" w:hAnsi="Cambria" w:cs="仿宋_GB2312"/>
          <w:color w:val="000000"/>
          <w:sz w:val="32"/>
          <w:szCs w:val="32"/>
          <w:lang w:val="zh-CN"/>
        </w:rPr>
      </w:pPr>
      <w:bookmarkStart w:id="58" w:name="_Toc15377224"/>
      <w:r>
        <w:rPr>
          <w:rFonts w:ascii="仿宋_GB2312" w:eastAsia="仿宋_GB2312" w:hAnsi="Cambria" w:cs="仿宋_GB2312"/>
          <w:color w:val="000000"/>
          <w:sz w:val="32"/>
          <w:szCs w:val="32"/>
          <w:lang w:val="zh-CN"/>
        </w:rPr>
        <w:t>2022</w:t>
      </w:r>
      <w:r>
        <w:rPr>
          <w:rFonts w:ascii="仿宋_GB2312" w:eastAsia="仿宋_GB2312" w:hAnsi="Cambria" w:cs="仿宋_GB2312" w:hint="eastAsia"/>
          <w:color w:val="000000"/>
          <w:sz w:val="32"/>
          <w:szCs w:val="32"/>
          <w:lang w:val="zh-CN"/>
        </w:rPr>
        <w:t>年，盐边县经信科技局政府采购支出总额</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万元，其中：政府采购货物支出</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万元、政府采购工程支出</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万元、政府采购服务支出</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万元。</w:t>
      </w:r>
    </w:p>
    <w:p w:rsidR="00EC184F" w:rsidRDefault="00DC6B00">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（三）国有资产占有使用情况</w:t>
      </w:r>
      <w:bookmarkEnd w:id="58"/>
    </w:p>
    <w:p w:rsidR="00EC184F" w:rsidRDefault="00DC6B00">
      <w:pPr>
        <w:autoSpaceDE w:val="0"/>
        <w:autoSpaceDN w:val="0"/>
        <w:adjustRightInd w:val="0"/>
        <w:spacing w:line="576" w:lineRule="exact"/>
        <w:ind w:firstLine="640"/>
        <w:jc w:val="left"/>
        <w:rPr>
          <w:rFonts w:ascii="仿宋_GB2312" w:eastAsia="仿宋_GB2312" w:hAnsi="Cambria" w:cs="仿宋_GB2312"/>
          <w:color w:val="000000"/>
          <w:sz w:val="32"/>
          <w:szCs w:val="32"/>
          <w:lang w:val="zh-CN"/>
        </w:rPr>
      </w:pPr>
      <w:r>
        <w:rPr>
          <w:rFonts w:ascii="仿宋_GB2312" w:eastAsia="仿宋_GB2312" w:hAnsi="Cambria" w:cs="仿宋_GB2312" w:hint="eastAsia"/>
          <w:color w:val="000000"/>
          <w:sz w:val="32"/>
          <w:szCs w:val="32"/>
          <w:lang w:val="zh-CN"/>
        </w:rPr>
        <w:t>截至</w:t>
      </w:r>
      <w:r>
        <w:rPr>
          <w:rFonts w:ascii="仿宋_GB2312" w:eastAsia="仿宋_GB2312" w:hAnsi="Cambria" w:cs="仿宋_GB2312"/>
          <w:color w:val="000000"/>
          <w:sz w:val="32"/>
          <w:szCs w:val="32"/>
          <w:lang w:val="zh-CN"/>
        </w:rPr>
        <w:t>2022</w:t>
      </w:r>
      <w:r>
        <w:rPr>
          <w:rFonts w:ascii="仿宋_GB2312" w:eastAsia="仿宋_GB2312" w:hAnsi="Cambria" w:cs="仿宋_GB2312" w:hint="eastAsia"/>
          <w:color w:val="000000"/>
          <w:sz w:val="32"/>
          <w:szCs w:val="32"/>
          <w:lang w:val="zh-CN"/>
        </w:rPr>
        <w:t>年</w:t>
      </w:r>
      <w:r>
        <w:rPr>
          <w:rFonts w:ascii="仿宋_GB2312" w:eastAsia="仿宋_GB2312" w:hAnsi="Cambria" w:cs="仿宋_GB2312"/>
          <w:color w:val="000000"/>
          <w:sz w:val="32"/>
          <w:szCs w:val="32"/>
          <w:lang w:val="zh-CN"/>
        </w:rPr>
        <w:t>12</w:t>
      </w:r>
      <w:r>
        <w:rPr>
          <w:rFonts w:ascii="仿宋_GB2312" w:eastAsia="仿宋_GB2312" w:hAnsi="Cambria" w:cs="仿宋_GB2312" w:hint="eastAsia"/>
          <w:color w:val="000000"/>
          <w:sz w:val="32"/>
          <w:szCs w:val="32"/>
          <w:lang w:val="zh-CN"/>
        </w:rPr>
        <w:t>月</w:t>
      </w:r>
      <w:r>
        <w:rPr>
          <w:rFonts w:ascii="仿宋_GB2312" w:eastAsia="仿宋_GB2312" w:hAnsi="Cambria" w:cs="仿宋_GB2312"/>
          <w:color w:val="000000"/>
          <w:sz w:val="32"/>
          <w:szCs w:val="32"/>
          <w:lang w:val="zh-CN"/>
        </w:rPr>
        <w:t>31</w:t>
      </w:r>
      <w:r>
        <w:rPr>
          <w:rFonts w:ascii="仿宋_GB2312" w:eastAsia="仿宋_GB2312" w:hAnsi="Cambria" w:cs="仿宋_GB2312" w:hint="eastAsia"/>
          <w:color w:val="000000"/>
          <w:sz w:val="32"/>
          <w:szCs w:val="32"/>
          <w:lang w:val="zh-CN"/>
        </w:rPr>
        <w:t>日，盐边县经信科技局共有车辆</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辆，其中：副部（省）级及以上领导用车</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辆、主要领导干部用车</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辆、机要通信用车</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辆、应急保障用车</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辆、执法执勤用车</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辆、特种专业技术用车</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辆、离退休干部用车</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辆、其他用车</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辆。单价</w:t>
      </w:r>
      <w:r>
        <w:rPr>
          <w:rFonts w:ascii="仿宋_GB2312" w:eastAsia="仿宋_GB2312" w:hAnsi="Cambria" w:cs="仿宋_GB2312"/>
          <w:color w:val="000000"/>
          <w:sz w:val="32"/>
          <w:szCs w:val="32"/>
          <w:lang w:val="zh-CN"/>
        </w:rPr>
        <w:t>100</w:t>
      </w:r>
      <w:r>
        <w:rPr>
          <w:rFonts w:ascii="仿宋_GB2312" w:eastAsia="仿宋_GB2312" w:hAnsi="Cambria" w:cs="仿宋_GB2312" w:hint="eastAsia"/>
          <w:color w:val="000000"/>
          <w:sz w:val="32"/>
          <w:szCs w:val="32"/>
          <w:lang w:val="zh-CN"/>
        </w:rPr>
        <w:t>万元（含）以上设备</w:t>
      </w:r>
      <w:r>
        <w:rPr>
          <w:rFonts w:ascii="仿宋_GB2312" w:eastAsia="仿宋_GB2312" w:hAnsi="Cambria" w:cs="仿宋_GB2312"/>
          <w:color w:val="000000"/>
          <w:sz w:val="32"/>
          <w:szCs w:val="32"/>
          <w:lang w:val="zh-CN"/>
        </w:rPr>
        <w:t>0</w:t>
      </w:r>
      <w:r>
        <w:rPr>
          <w:rFonts w:ascii="仿宋_GB2312" w:eastAsia="仿宋_GB2312" w:hAnsi="Cambria" w:cs="仿宋_GB2312" w:hint="eastAsia"/>
          <w:color w:val="000000"/>
          <w:sz w:val="32"/>
          <w:szCs w:val="32"/>
          <w:lang w:val="zh-CN"/>
        </w:rPr>
        <w:t>台（套</w:t>
      </w:r>
      <w:r>
        <w:rPr>
          <w:rFonts w:ascii="仿宋_GB2312" w:eastAsia="仿宋_GB2312" w:hAnsi="Cambria" w:cs="仿宋_GB2312"/>
          <w:color w:val="000000"/>
          <w:sz w:val="32"/>
          <w:szCs w:val="32"/>
          <w:lang w:val="zh-CN"/>
        </w:rPr>
        <w:t>)</w:t>
      </w:r>
      <w:r>
        <w:rPr>
          <w:rFonts w:ascii="仿宋_GB2312" w:eastAsia="仿宋_GB2312" w:hAnsi="Cambria" w:cs="仿宋_GB2312" w:hint="eastAsia"/>
          <w:color w:val="000000"/>
          <w:sz w:val="32"/>
          <w:szCs w:val="32"/>
          <w:lang w:val="zh-CN"/>
        </w:rPr>
        <w:t>。</w:t>
      </w:r>
    </w:p>
    <w:p w:rsidR="00EC184F" w:rsidRDefault="00DC6B00">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EC184F" w:rsidRDefault="00DC6B00">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在2022年度预算编制阶段，组织对电子政务外网业务服务费、协同办公平台2022年度运行维护和短信服务费用、森林草原防灭火、新冠肺炎疫情防控等宣传短信经费以上3个项目开展了预算事前绩效</w:t>
      </w:r>
      <w:r>
        <w:rPr>
          <w:rFonts w:ascii="仿宋_GB2312" w:eastAsia="仿宋_GB2312" w:hAnsi="仿宋_GB2312" w:cs="仿宋_GB2312" w:hint="eastAsia"/>
          <w:sz w:val="32"/>
          <w:szCs w:val="32"/>
        </w:rPr>
        <w:lastRenderedPageBreak/>
        <w:t>评估，对3个项目编制了绩效目标，预算执行过程中，选取17个项目开展绩效监控。</w:t>
      </w:r>
    </w:p>
    <w:p w:rsidR="00EC184F" w:rsidRDefault="00DC6B00">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组织对2022年度部门所有预算资金全面开展绩效自评，形成盐边县经济信息化部门整体（含部门预算项目）绩效自评报告、2020年第一批省级科技计划项目资金、2020年科普专项资金等专项预算项目绩效自评报告，其中，盐边县经济信息化和科学技术局部门整体（含部门预算项目）绩效自评综述：2022年我局有较为健全的财务管理制度和内部控制制度，预决算编制和预算执行严格按照国家财经法规、预算资金管理办法、财务管理制度以及专项资金管理办法的规定执行，确保无违规使用资金的情况发生。全年部门预算执行率100%。基本支出2022年按月或季度进行申报，其中人员工资按月申报并直接支付，日常公用经费按月进行申报并支付，执行率100%。部门整体支出绩效良好，保障了机关正常运转和完成各项工作，项目资金拨款及时，专款专用；2021年科普资金专项预算项目绩效自评综述：结合该项目自身特点、评价重点及管理办法等要求，该项目总体较好；2020年科普专项资金专项预算项目绩效自评综述：结合该项目自身特点、评价重点及管理办法等要求，该项目总体较好；2020年第一批省级科技计划项目资金专项预算项目绩效自评综述：1、 解决好“三农”问题，助力乡村振兴，2、对生态</w:t>
      </w:r>
      <w:r>
        <w:rPr>
          <w:rFonts w:ascii="仿宋_GB2312" w:eastAsia="仿宋_GB2312" w:hAnsi="仿宋_GB2312" w:cs="仿宋_GB2312" w:hint="eastAsia"/>
          <w:sz w:val="32"/>
          <w:szCs w:val="32"/>
        </w:rPr>
        <w:lastRenderedPageBreak/>
        <w:t>环境保护具有积极意义，3、项目的实施将蚕桑废弃物变废为宝解决农村垃圾污染问题。绩效自评报告详见附件。</w:t>
      </w:r>
    </w:p>
    <w:p w:rsidR="00EC184F" w:rsidRDefault="00DC6B00">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EC184F" w:rsidRDefault="00DC6B00">
      <w:pPr>
        <w:numPr>
          <w:ilvl w:val="0"/>
          <w:numId w:val="3"/>
        </w:numPr>
        <w:spacing w:line="600" w:lineRule="exact"/>
        <w:ind w:firstLineChars="150" w:firstLine="660"/>
        <w:jc w:val="center"/>
        <w:outlineLvl w:val="0"/>
        <w:rPr>
          <w:rStyle w:val="1Char"/>
          <w:rFonts w:ascii="黑体" w:eastAsia="黑体" w:hAnsi="黑体"/>
          <w:b w:val="0"/>
        </w:rPr>
      </w:pPr>
      <w:bookmarkStart w:id="59" w:name="_Toc15377225"/>
      <w:bookmarkStart w:id="60" w:name="_Toc15396613"/>
      <w:r>
        <w:rPr>
          <w:rFonts w:ascii="黑体" w:eastAsia="黑体" w:hAnsi="黑体" w:hint="eastAsia"/>
          <w:sz w:val="44"/>
          <w:szCs w:val="44"/>
        </w:rPr>
        <w:lastRenderedPageBreak/>
        <w:t>名</w:t>
      </w:r>
      <w:r>
        <w:rPr>
          <w:rStyle w:val="1Char"/>
          <w:rFonts w:ascii="黑体" w:eastAsia="黑体" w:hAnsi="黑体" w:hint="eastAsia"/>
          <w:b w:val="0"/>
        </w:rPr>
        <w:t>词解释</w:t>
      </w:r>
      <w:bookmarkEnd w:id="59"/>
      <w:bookmarkEnd w:id="60"/>
    </w:p>
    <w:p w:rsidR="00EC184F" w:rsidRDefault="00EC184F">
      <w:pPr>
        <w:spacing w:line="600" w:lineRule="exact"/>
        <w:jc w:val="left"/>
        <w:rPr>
          <w:rFonts w:ascii="宋体"/>
          <w:b/>
          <w:sz w:val="44"/>
          <w:szCs w:val="44"/>
        </w:rPr>
      </w:pPr>
    </w:p>
    <w:p w:rsidR="00EC184F" w:rsidRDefault="00DC6B0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EC184F" w:rsidRDefault="00DC6B0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2.</w:t>
      </w:r>
      <w:r>
        <w:rPr>
          <w:rFonts w:ascii="仿宋_GB2312" w:eastAsia="仿宋_GB2312" w:hint="eastAsia"/>
          <w:color w:val="auto"/>
          <w:sz w:val="32"/>
          <w:szCs w:val="32"/>
        </w:rPr>
        <w:t>事业收入：指事业单位开展专业业务活动及辅助活动取得的收入。</w:t>
      </w:r>
    </w:p>
    <w:p w:rsidR="00EC184F" w:rsidRDefault="00DC6B0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3.</w:t>
      </w:r>
      <w:r>
        <w:rPr>
          <w:rFonts w:ascii="仿宋_GB2312" w:eastAsia="仿宋_GB2312" w:hint="eastAsia"/>
          <w:color w:val="auto"/>
          <w:sz w:val="32"/>
          <w:szCs w:val="32"/>
        </w:rPr>
        <w:t>经营收入：指事业单位在专业业务活动及其辅助活动之外开展非独立核算经营活动取得的收入</w:t>
      </w:r>
    </w:p>
    <w:p w:rsidR="00EC184F" w:rsidRDefault="00DC6B0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4.</w:t>
      </w:r>
      <w:r>
        <w:rPr>
          <w:rFonts w:ascii="仿宋_GB2312" w:eastAsia="仿宋_GB2312" w:hint="eastAsia"/>
          <w:color w:val="auto"/>
          <w:sz w:val="32"/>
          <w:szCs w:val="32"/>
        </w:rPr>
        <w:t>其他收入：指单位取得的除上述收入以外的各项收入。主要是单位从非同级财政部门取得的财政预算资金。</w:t>
      </w:r>
    </w:p>
    <w:p w:rsidR="00EC184F" w:rsidRDefault="00DC6B0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5.</w:t>
      </w:r>
      <w:r>
        <w:rPr>
          <w:rFonts w:ascii="仿宋_GB2312" w:eastAsia="仿宋_GB2312" w:hint="eastAsia"/>
          <w:color w:val="auto"/>
          <w:sz w:val="32"/>
          <w:szCs w:val="32"/>
        </w:rPr>
        <w:t>使用非财政拨款结余：指事业单位使用以前年度积累的非财政拨款结余弥补当年收支差额的金额。</w:t>
      </w:r>
    </w:p>
    <w:p w:rsidR="00EC184F" w:rsidRDefault="00DC6B0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6.</w:t>
      </w:r>
      <w:r>
        <w:rPr>
          <w:rFonts w:ascii="仿宋_GB2312" w:eastAsia="仿宋_GB2312" w:hint="eastAsia"/>
          <w:color w:val="auto"/>
          <w:sz w:val="32"/>
          <w:szCs w:val="32"/>
        </w:rPr>
        <w:t>年初结转和结余：指以前年度尚未完成、结转到本年按有关规定继续使用的资金。</w:t>
      </w:r>
    </w:p>
    <w:p w:rsidR="00EC184F" w:rsidRDefault="00DC6B0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7.</w:t>
      </w:r>
      <w:r>
        <w:rPr>
          <w:rFonts w:ascii="仿宋_GB2312" w:eastAsia="仿宋_GB2312" w:hint="eastAsia"/>
          <w:color w:val="auto"/>
          <w:sz w:val="32"/>
          <w:szCs w:val="32"/>
        </w:rPr>
        <w:t>结余分配：指事业单位按照会计制度规定缴纳的所得税、提取的专用结余以及转入非财政拨款结余的金额等。</w:t>
      </w:r>
    </w:p>
    <w:p w:rsidR="00EC184F" w:rsidRDefault="00DC6B0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8</w:t>
      </w:r>
      <w:r>
        <w:rPr>
          <w:rFonts w:ascii="仿宋_GB2312" w:eastAsia="仿宋_GB2312" w:hint="eastAsia"/>
          <w:color w:val="auto"/>
          <w:sz w:val="32"/>
          <w:szCs w:val="32"/>
        </w:rPr>
        <w:t>.年末结转和结余：指单位按有关规定结转到下年或以后年度继续使用的资金。</w:t>
      </w:r>
    </w:p>
    <w:p w:rsidR="00EC184F" w:rsidRDefault="00DC6B0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9.</w:t>
      </w:r>
      <w:r>
        <w:rPr>
          <w:rFonts w:ascii="仿宋_GB2312" w:eastAsia="仿宋_GB2312" w:hint="eastAsia"/>
          <w:b/>
          <w:sz w:val="32"/>
          <w:szCs w:val="32"/>
        </w:rPr>
        <w:t>科学技术支出（类）科学技术管理事务（款）行政运行（项）</w:t>
      </w:r>
      <w:r>
        <w:rPr>
          <w:rFonts w:ascii="仿宋_GB2312" w:eastAsia="仿宋_GB2312" w:hint="eastAsia"/>
          <w:sz w:val="32"/>
          <w:szCs w:val="32"/>
        </w:rPr>
        <w:t>:反映科学技术管理方面，行政单位（包括实行公务员管理的事业单位）的基本支出。</w:t>
      </w:r>
    </w:p>
    <w:p w:rsidR="00EC184F" w:rsidRDefault="00DC6B00">
      <w:pPr>
        <w:pStyle w:val="Default"/>
        <w:spacing w:line="560" w:lineRule="exact"/>
        <w:ind w:firstLineChars="200" w:firstLine="640"/>
        <w:rPr>
          <w:rFonts w:ascii="仿宋_GB2312" w:eastAsia="仿宋_GB2312"/>
          <w:b/>
          <w:sz w:val="32"/>
          <w:szCs w:val="32"/>
        </w:rPr>
      </w:pPr>
      <w:r>
        <w:rPr>
          <w:rFonts w:ascii="仿宋_GB2312" w:eastAsia="仿宋_GB2312" w:hint="eastAsia"/>
          <w:sz w:val="32"/>
          <w:szCs w:val="32"/>
        </w:rPr>
        <w:t>10.</w:t>
      </w:r>
      <w:r>
        <w:rPr>
          <w:rFonts w:ascii="仿宋_GB2312" w:eastAsia="仿宋_GB2312" w:hint="eastAsia"/>
          <w:b/>
          <w:sz w:val="32"/>
          <w:szCs w:val="32"/>
        </w:rPr>
        <w:t>科学技术支出（类）科学技术管理事务（款）一般行政管理事务（项）：</w:t>
      </w:r>
      <w:r>
        <w:rPr>
          <w:rFonts w:ascii="仿宋_GB2312" w:eastAsia="仿宋_GB2312" w:hint="eastAsia"/>
          <w:sz w:val="32"/>
          <w:szCs w:val="32"/>
        </w:rPr>
        <w:t>反映行政单位（包括实行公务员管理的事业单位），未单独设置项级科目的其他项目支出。</w:t>
      </w:r>
    </w:p>
    <w:p w:rsidR="00EC184F" w:rsidRDefault="00DC6B0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11.</w:t>
      </w:r>
      <w:r>
        <w:rPr>
          <w:rFonts w:ascii="仿宋_GB2312" w:eastAsia="仿宋_GB2312" w:hint="eastAsia"/>
          <w:b/>
          <w:sz w:val="32"/>
          <w:szCs w:val="32"/>
        </w:rPr>
        <w:t>科学技术支出（类）科学技术管理事务（款）其他科学技术管理事务支出（项）</w:t>
      </w:r>
      <w:r>
        <w:rPr>
          <w:rFonts w:ascii="仿宋_GB2312" w:eastAsia="仿宋_GB2312" w:hint="eastAsia"/>
          <w:sz w:val="32"/>
          <w:szCs w:val="32"/>
        </w:rPr>
        <w:t>: 反映其他用于科学技术管理事务方面的支出。</w:t>
      </w:r>
    </w:p>
    <w:p w:rsidR="00EC184F" w:rsidRDefault="00DC6B00">
      <w:pPr>
        <w:pStyle w:val="Default"/>
        <w:spacing w:line="560" w:lineRule="exact"/>
        <w:ind w:firstLineChars="200" w:firstLine="643"/>
        <w:rPr>
          <w:rFonts w:ascii="仿宋_GB2312" w:eastAsia="仿宋_GB2312"/>
          <w:sz w:val="32"/>
          <w:szCs w:val="32"/>
        </w:rPr>
      </w:pPr>
      <w:r>
        <w:rPr>
          <w:rFonts w:ascii="仿宋_GB2312" w:eastAsia="仿宋_GB2312" w:hint="eastAsia"/>
          <w:b/>
          <w:sz w:val="32"/>
          <w:szCs w:val="32"/>
        </w:rPr>
        <w:t xml:space="preserve">12.科学技术支出（类）技术研究与开发（款）  科技成果转化与扩散（项）: </w:t>
      </w:r>
      <w:r>
        <w:rPr>
          <w:rFonts w:ascii="仿宋_GB2312" w:eastAsia="仿宋_GB2312" w:hint="eastAsia"/>
          <w:sz w:val="32"/>
          <w:szCs w:val="32"/>
        </w:rPr>
        <w:t>反映促进科技成果转化为现实生产力的应用、推广和引导性支出，以及基本建设支出中用于支持企业科技自主创新的支出。</w:t>
      </w:r>
    </w:p>
    <w:p w:rsidR="00EC184F" w:rsidRDefault="00DC6B00">
      <w:pPr>
        <w:pStyle w:val="Default"/>
        <w:spacing w:line="560" w:lineRule="exact"/>
        <w:ind w:firstLineChars="200" w:firstLine="643"/>
        <w:rPr>
          <w:rFonts w:ascii="仿宋_GB2312" w:eastAsia="仿宋_GB2312"/>
          <w:b/>
          <w:sz w:val="32"/>
          <w:szCs w:val="32"/>
        </w:rPr>
      </w:pPr>
      <w:r>
        <w:rPr>
          <w:rFonts w:ascii="仿宋_GB2312" w:eastAsia="仿宋_GB2312" w:hint="eastAsia"/>
          <w:b/>
          <w:sz w:val="32"/>
          <w:szCs w:val="32"/>
        </w:rPr>
        <w:t>13.科学技术支出（类）科学技术普及（款）  机构运行（项）:</w:t>
      </w:r>
      <w:r>
        <w:rPr>
          <w:rFonts w:ascii="仿宋_GB2312" w:eastAsia="仿宋_GB2312" w:hint="eastAsia"/>
          <w:sz w:val="32"/>
          <w:szCs w:val="32"/>
        </w:rPr>
        <w:t>反映科普事业单位的基本支出。</w:t>
      </w:r>
    </w:p>
    <w:p w:rsidR="00EC184F" w:rsidRDefault="00DC6B00">
      <w:pPr>
        <w:pStyle w:val="Default"/>
        <w:spacing w:line="560" w:lineRule="exact"/>
        <w:ind w:firstLineChars="200" w:firstLine="643"/>
        <w:rPr>
          <w:rFonts w:ascii="仿宋_GB2312" w:eastAsia="仿宋_GB2312"/>
          <w:sz w:val="32"/>
          <w:szCs w:val="32"/>
        </w:rPr>
      </w:pPr>
      <w:r>
        <w:rPr>
          <w:rFonts w:ascii="仿宋_GB2312" w:eastAsia="仿宋_GB2312" w:hint="eastAsia"/>
          <w:b/>
          <w:sz w:val="32"/>
          <w:szCs w:val="32"/>
        </w:rPr>
        <w:t xml:space="preserve">14. 科学技术支出（类）科学技术普及（款）科技馆站（项）: </w:t>
      </w:r>
      <w:r>
        <w:rPr>
          <w:rFonts w:ascii="仿宋_GB2312" w:eastAsia="仿宋_GB2312" w:hint="eastAsia"/>
          <w:sz w:val="32"/>
          <w:szCs w:val="32"/>
        </w:rPr>
        <w:t>反映各级政府科技馆、站的支出。</w:t>
      </w:r>
    </w:p>
    <w:p w:rsidR="00EC184F" w:rsidRDefault="00DC6B00">
      <w:pPr>
        <w:pStyle w:val="Default"/>
        <w:spacing w:line="560" w:lineRule="exact"/>
        <w:ind w:firstLineChars="200" w:firstLine="643"/>
        <w:rPr>
          <w:rFonts w:ascii="仿宋_GB2312" w:eastAsia="仿宋_GB2312"/>
          <w:sz w:val="32"/>
          <w:szCs w:val="32"/>
        </w:rPr>
      </w:pPr>
      <w:r>
        <w:rPr>
          <w:rFonts w:ascii="仿宋_GB2312" w:eastAsia="仿宋_GB2312" w:hint="eastAsia"/>
          <w:b/>
          <w:sz w:val="32"/>
          <w:szCs w:val="32"/>
        </w:rPr>
        <w:t xml:space="preserve">15. 科学技术支出（类）科学技术普及（款）  其他科学技术普及支出（项）: </w:t>
      </w:r>
      <w:r>
        <w:rPr>
          <w:rFonts w:ascii="仿宋_GB2312" w:eastAsia="仿宋_GB2312" w:hint="eastAsia"/>
          <w:sz w:val="32"/>
          <w:szCs w:val="32"/>
        </w:rPr>
        <w:t>反映其他用于科学技术普及方面的支出。</w:t>
      </w:r>
    </w:p>
    <w:p w:rsidR="00EC184F" w:rsidRDefault="00DC6B00">
      <w:pPr>
        <w:pStyle w:val="Default"/>
        <w:spacing w:line="560" w:lineRule="exact"/>
        <w:ind w:firstLineChars="200" w:firstLine="643"/>
        <w:rPr>
          <w:rFonts w:ascii="仿宋_GB2312" w:eastAsia="仿宋_GB2312"/>
          <w:sz w:val="32"/>
          <w:szCs w:val="32"/>
        </w:rPr>
      </w:pPr>
      <w:r>
        <w:rPr>
          <w:rFonts w:ascii="仿宋_GB2312" w:eastAsia="仿宋_GB2312" w:hint="eastAsia"/>
          <w:b/>
          <w:sz w:val="32"/>
          <w:szCs w:val="32"/>
        </w:rPr>
        <w:t>16.科学技术支出（类）科技重大项目（款）  重点研发计划（项）:</w:t>
      </w:r>
      <w:r>
        <w:rPr>
          <w:rFonts w:ascii="仿宋_GB2312" w:eastAsia="仿宋_GB2312" w:hint="eastAsia"/>
          <w:sz w:val="32"/>
          <w:szCs w:val="32"/>
        </w:rPr>
        <w:t>反映用于重点研发计划的有关经费支出。</w:t>
      </w:r>
    </w:p>
    <w:p w:rsidR="00EC184F" w:rsidRDefault="00DC6B0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17.</w:t>
      </w:r>
      <w:r>
        <w:rPr>
          <w:rFonts w:ascii="仿宋_GB2312" w:eastAsia="仿宋_GB2312" w:hint="eastAsia"/>
          <w:b/>
          <w:sz w:val="32"/>
          <w:szCs w:val="32"/>
        </w:rPr>
        <w:t>社会保障和就业支出（类）行政事业单位离退休（款）行政单位离退休（项）:</w:t>
      </w:r>
      <w:r>
        <w:rPr>
          <w:rFonts w:ascii="仿宋_GB2312" w:eastAsia="仿宋_GB2312" w:hint="eastAsia"/>
          <w:sz w:val="32"/>
          <w:szCs w:val="32"/>
        </w:rPr>
        <w:t>反映行政单位（包括实行公务员管理的事业单位）开支的离退休支出。</w:t>
      </w:r>
    </w:p>
    <w:p w:rsidR="00EC184F" w:rsidRDefault="00DC6B0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18.</w:t>
      </w:r>
      <w:r>
        <w:rPr>
          <w:rFonts w:ascii="仿宋_GB2312" w:eastAsia="仿宋_GB2312" w:hint="eastAsia"/>
          <w:b/>
          <w:sz w:val="32"/>
          <w:szCs w:val="32"/>
        </w:rPr>
        <w:t>社会保障和就业支出（类）行政事业单位离退休（款）事业离退休（项）:</w:t>
      </w:r>
      <w:r>
        <w:rPr>
          <w:rFonts w:ascii="仿宋_GB2312" w:eastAsia="仿宋_GB2312" w:hint="eastAsia"/>
          <w:sz w:val="32"/>
          <w:szCs w:val="32"/>
        </w:rPr>
        <w:t>反映事业单位开支的离退休支出。</w:t>
      </w:r>
    </w:p>
    <w:p w:rsidR="00EC184F" w:rsidRDefault="00DC6B0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19.</w:t>
      </w:r>
      <w:r>
        <w:rPr>
          <w:rFonts w:ascii="仿宋_GB2312" w:eastAsia="仿宋_GB2312" w:hint="eastAsia"/>
          <w:b/>
          <w:sz w:val="32"/>
          <w:szCs w:val="32"/>
        </w:rPr>
        <w:t>社会保障和就业支出（类）行政事业单位离退休（款）机关事业单位基本养老保险缴费支出（项）:</w:t>
      </w:r>
      <w:r>
        <w:rPr>
          <w:rFonts w:ascii="仿宋_GB2312" w:eastAsia="仿宋_GB2312" w:hint="eastAsia"/>
          <w:sz w:val="32"/>
          <w:szCs w:val="32"/>
        </w:rPr>
        <w:t>反映行政事业单位基本养老保险缴费的支出。</w:t>
      </w:r>
    </w:p>
    <w:p w:rsidR="00EC184F" w:rsidRDefault="00DC6B0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20</w:t>
      </w:r>
      <w:r>
        <w:rPr>
          <w:rFonts w:ascii="仿宋_GB2312" w:eastAsia="仿宋_GB2312" w:hint="eastAsia"/>
          <w:b/>
          <w:sz w:val="32"/>
          <w:szCs w:val="32"/>
        </w:rPr>
        <w:t>.社会保障和就业支出（类）行政事业单位离退休（款）</w:t>
      </w:r>
      <w:r>
        <w:rPr>
          <w:rFonts w:ascii="仿宋_GB2312" w:eastAsia="仿宋_GB2312" w:hAnsi="仿宋" w:hint="eastAsia"/>
          <w:b/>
          <w:bCs/>
          <w:sz w:val="32"/>
          <w:szCs w:val="32"/>
        </w:rPr>
        <w:t>机关事业单位职业年金缴费支出</w:t>
      </w:r>
      <w:r>
        <w:rPr>
          <w:rFonts w:ascii="仿宋_GB2312" w:eastAsia="仿宋_GB2312" w:hint="eastAsia"/>
          <w:b/>
          <w:sz w:val="32"/>
          <w:szCs w:val="32"/>
        </w:rPr>
        <w:t>（项）:</w:t>
      </w:r>
      <w:r>
        <w:rPr>
          <w:rFonts w:ascii="仿宋_GB2312" w:eastAsia="仿宋_GB2312" w:hint="eastAsia"/>
          <w:sz w:val="32"/>
          <w:szCs w:val="32"/>
        </w:rPr>
        <w:t>反映行政事业单位职业年金缴费的支出。</w:t>
      </w:r>
    </w:p>
    <w:p w:rsidR="00EC184F" w:rsidRDefault="00DC6B0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21</w:t>
      </w:r>
      <w:r>
        <w:rPr>
          <w:rFonts w:ascii="仿宋_GB2312" w:eastAsia="仿宋_GB2312" w:hint="eastAsia"/>
          <w:b/>
          <w:sz w:val="32"/>
          <w:szCs w:val="32"/>
        </w:rPr>
        <w:t>.社会保障和就业支出（类）抚恤（款）死亡抚恤（项）:</w:t>
      </w:r>
      <w:r>
        <w:rPr>
          <w:rFonts w:ascii="仿宋_GB2312" w:eastAsia="仿宋_GB2312" w:hint="eastAsia"/>
          <w:sz w:val="32"/>
          <w:szCs w:val="32"/>
        </w:rPr>
        <w:t>反映按规定用于烈士和牺牲、病故人员家属的一次性和定期抚恤金及丧葬补助费以及烈士褒扬金。</w:t>
      </w:r>
    </w:p>
    <w:p w:rsidR="00EC184F" w:rsidRDefault="00DC6B0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22</w:t>
      </w:r>
      <w:r>
        <w:rPr>
          <w:rFonts w:ascii="仿宋_GB2312" w:eastAsia="仿宋_GB2312" w:hint="eastAsia"/>
          <w:b/>
          <w:sz w:val="32"/>
          <w:szCs w:val="32"/>
        </w:rPr>
        <w:t>.社会保障和就业支出（类）抚恤（款）</w:t>
      </w:r>
      <w:r>
        <w:rPr>
          <w:rFonts w:ascii="仿宋_GB2312" w:eastAsia="仿宋_GB2312" w:hAnsi="仿宋" w:hint="eastAsia"/>
          <w:b/>
          <w:bCs/>
          <w:sz w:val="32"/>
          <w:szCs w:val="32"/>
        </w:rPr>
        <w:t>伤残抚恤</w:t>
      </w:r>
      <w:r>
        <w:rPr>
          <w:rFonts w:ascii="仿宋_GB2312" w:eastAsia="仿宋_GB2312" w:hint="eastAsia"/>
          <w:b/>
          <w:sz w:val="32"/>
          <w:szCs w:val="32"/>
        </w:rPr>
        <w:t>（项）:</w:t>
      </w:r>
      <w:r>
        <w:rPr>
          <w:rFonts w:ascii="仿宋_GB2312" w:eastAsia="仿宋_GB2312" w:hint="eastAsia"/>
          <w:sz w:val="32"/>
          <w:szCs w:val="32"/>
        </w:rPr>
        <w:t>反映按规定用于伤残人员的抚恤金和按规定开支的各种伤残补助费。</w:t>
      </w:r>
    </w:p>
    <w:p w:rsidR="00EC184F" w:rsidRDefault="00DC6B0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23.</w:t>
      </w:r>
      <w:r>
        <w:rPr>
          <w:rFonts w:ascii="仿宋_GB2312" w:eastAsia="仿宋_GB2312" w:hint="eastAsia"/>
          <w:b/>
          <w:sz w:val="32"/>
          <w:szCs w:val="32"/>
        </w:rPr>
        <w:t>卫生健康支出（类）行政事业单位医疗（款）行政单位医疗（项）:</w:t>
      </w:r>
      <w:r>
        <w:rPr>
          <w:rFonts w:ascii="仿宋_GB2312" w:eastAsia="仿宋_GB2312" w:hint="eastAsia"/>
          <w:sz w:val="32"/>
          <w:szCs w:val="32"/>
        </w:rPr>
        <w:t>反映财政部门安排的行政单位（包括实行公务员管理的事业单位）基本医疗保险缴费经费，未参加医疗保险的行政单位的公费医疗经费，按国家规定享受离休人员、红军老战士待遇的医疗经费。</w:t>
      </w:r>
    </w:p>
    <w:p w:rsidR="00EC184F" w:rsidRDefault="00DC6B0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24.</w:t>
      </w:r>
      <w:r>
        <w:rPr>
          <w:rFonts w:ascii="仿宋_GB2312" w:eastAsia="仿宋_GB2312" w:hint="eastAsia"/>
          <w:b/>
          <w:sz w:val="32"/>
          <w:szCs w:val="32"/>
        </w:rPr>
        <w:t>卫生健康支出（类）行政事业单位医疗（款）事业单位医疗（项）:</w:t>
      </w:r>
      <w:r>
        <w:rPr>
          <w:rFonts w:ascii="仿宋_GB2312" w:eastAsia="仿宋_GB2312" w:hint="eastAsia"/>
          <w:sz w:val="32"/>
          <w:szCs w:val="32"/>
        </w:rPr>
        <w:t>反映财政部门安排的事业单位基本医疗保险缴费经费，未参加医疗保险的事业单位的公费医疗经费，按国家规定享受离休人员待遇的医疗经费。</w:t>
      </w:r>
    </w:p>
    <w:p w:rsidR="00EC184F" w:rsidRDefault="00DC6B0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25.</w:t>
      </w:r>
      <w:r>
        <w:rPr>
          <w:rFonts w:ascii="仿宋_GB2312" w:eastAsia="仿宋_GB2312" w:hint="eastAsia"/>
          <w:b/>
          <w:sz w:val="32"/>
          <w:szCs w:val="32"/>
        </w:rPr>
        <w:t>卫生健康支出（类）行政事业单位医疗（款）公务员医疗补助（项）:</w:t>
      </w:r>
      <w:r>
        <w:rPr>
          <w:rFonts w:ascii="仿宋_GB2312" w:eastAsia="仿宋_GB2312" w:hint="eastAsia"/>
          <w:sz w:val="32"/>
          <w:szCs w:val="32"/>
        </w:rPr>
        <w:t>反映财政部门安排公务员补助经费。</w:t>
      </w:r>
    </w:p>
    <w:p w:rsidR="00EC184F" w:rsidRDefault="00DC6B0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26.</w:t>
      </w:r>
      <w:r>
        <w:rPr>
          <w:rFonts w:ascii="仿宋_GB2312" w:eastAsia="仿宋_GB2312" w:hint="eastAsia"/>
          <w:b/>
          <w:sz w:val="32"/>
          <w:szCs w:val="32"/>
        </w:rPr>
        <w:t>卫生健康支出（类）行政事业单位医疗（款）其他行政事业单位医疗支出（项）:</w:t>
      </w:r>
      <w:r>
        <w:rPr>
          <w:rFonts w:ascii="仿宋_GB2312" w:eastAsia="仿宋_GB2312" w:hint="eastAsia"/>
          <w:sz w:val="32"/>
          <w:szCs w:val="32"/>
        </w:rPr>
        <w:t>反映其他用于卫生健康管理事务方面的支出。</w:t>
      </w:r>
    </w:p>
    <w:p w:rsidR="00EC184F" w:rsidRDefault="00DC6B0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27.</w:t>
      </w:r>
      <w:r>
        <w:rPr>
          <w:rFonts w:ascii="仿宋_GB2312" w:eastAsia="仿宋_GB2312" w:hint="eastAsia"/>
          <w:b/>
          <w:sz w:val="32"/>
          <w:szCs w:val="32"/>
        </w:rPr>
        <w:t>节能环保支出（类）污染防治（款）其他污染防治</w:t>
      </w:r>
      <w:r>
        <w:rPr>
          <w:rFonts w:ascii="仿宋_GB2312" w:eastAsia="仿宋_GB2312" w:hint="eastAsia"/>
          <w:b/>
          <w:sz w:val="32"/>
          <w:szCs w:val="32"/>
        </w:rPr>
        <w:lastRenderedPageBreak/>
        <w:t>支出（项）:</w:t>
      </w:r>
      <w:r>
        <w:rPr>
          <w:rFonts w:ascii="仿宋_GB2312" w:eastAsia="仿宋_GB2312" w:hint="eastAsia"/>
          <w:sz w:val="32"/>
          <w:szCs w:val="32"/>
        </w:rPr>
        <w:t>反映其他用于污染防治方面的支出。</w:t>
      </w:r>
    </w:p>
    <w:p w:rsidR="00EC184F" w:rsidRDefault="00DC6B00">
      <w:pPr>
        <w:pStyle w:val="Default"/>
        <w:spacing w:line="560" w:lineRule="exact"/>
        <w:ind w:firstLineChars="200" w:firstLine="640"/>
        <w:rPr>
          <w:rFonts w:ascii="仿宋_GB2312" w:eastAsia="仿宋_GB2312"/>
          <w:b/>
          <w:sz w:val="32"/>
          <w:szCs w:val="32"/>
        </w:rPr>
      </w:pPr>
      <w:r>
        <w:rPr>
          <w:rFonts w:ascii="仿宋_GB2312" w:eastAsia="仿宋_GB2312" w:hint="eastAsia"/>
          <w:sz w:val="32"/>
          <w:szCs w:val="32"/>
        </w:rPr>
        <w:t>28.</w:t>
      </w:r>
      <w:r>
        <w:rPr>
          <w:rFonts w:ascii="仿宋_GB2312" w:eastAsia="仿宋_GB2312" w:hint="eastAsia"/>
          <w:b/>
          <w:sz w:val="32"/>
          <w:szCs w:val="32"/>
        </w:rPr>
        <w:t>节能环保支出（类）自然生态保护（款）农村环境保护（项）:</w:t>
      </w:r>
      <w:r>
        <w:rPr>
          <w:rFonts w:ascii="仿宋_GB2312" w:eastAsia="仿宋_GB2312" w:hint="eastAsia"/>
          <w:sz w:val="32"/>
          <w:szCs w:val="32"/>
        </w:rPr>
        <w:t>反映用于农村环境保护方面的支出。有关事项包括：农村环境综合整治，如生活垃圾、污水处理、，农村饮用水源地监测与保护等；小城镇环境保护，如小城镇环境保护能力建设及环境基础设施建设，环境优美乡镇及生态村创建等；农用化学品（化肥、农药、农膜等）污染防治、畜禽养殖污染防治、土壤污染防治；农产品产地环境监测与监管，有机食品基地建设与管理，秸秆等农业废弃物综合利用；农村环境保护能力建设、宣传、试点示范等。</w:t>
      </w:r>
    </w:p>
    <w:p w:rsidR="00EC184F" w:rsidRDefault="00DC6B00">
      <w:pPr>
        <w:pStyle w:val="Default"/>
        <w:spacing w:line="560" w:lineRule="exact"/>
        <w:ind w:firstLineChars="200" w:firstLine="640"/>
        <w:rPr>
          <w:rFonts w:ascii="仿宋_GB2312" w:eastAsia="仿宋_GB2312"/>
          <w:b/>
          <w:sz w:val="32"/>
          <w:szCs w:val="32"/>
        </w:rPr>
      </w:pPr>
      <w:r>
        <w:rPr>
          <w:rFonts w:ascii="仿宋_GB2312" w:eastAsia="仿宋_GB2312" w:hint="eastAsia"/>
          <w:sz w:val="32"/>
          <w:szCs w:val="32"/>
        </w:rPr>
        <w:t>29.</w:t>
      </w:r>
      <w:r>
        <w:rPr>
          <w:rFonts w:ascii="仿宋_GB2312" w:eastAsia="仿宋_GB2312" w:hint="eastAsia"/>
          <w:b/>
          <w:sz w:val="32"/>
          <w:szCs w:val="32"/>
        </w:rPr>
        <w:t>农林水支出（类）其他农业农村支（款）其他农业农村支出（项）:</w:t>
      </w:r>
      <w:r>
        <w:rPr>
          <w:rFonts w:ascii="仿宋_GB2312" w:eastAsia="仿宋_GB2312" w:hint="eastAsia"/>
          <w:sz w:val="32"/>
          <w:szCs w:val="32"/>
        </w:rPr>
        <w:t>反映除化解债务支出以外其他用于农林水方面的支出。</w:t>
      </w:r>
    </w:p>
    <w:p w:rsidR="00EC184F" w:rsidRDefault="00DC6B00">
      <w:pPr>
        <w:pStyle w:val="Default"/>
        <w:spacing w:line="560" w:lineRule="exact"/>
        <w:ind w:firstLineChars="200" w:firstLine="643"/>
        <w:rPr>
          <w:rFonts w:ascii="仿宋_GB2312" w:eastAsia="仿宋_GB2312"/>
          <w:sz w:val="32"/>
          <w:szCs w:val="32"/>
        </w:rPr>
      </w:pPr>
      <w:r>
        <w:rPr>
          <w:rFonts w:ascii="仿宋_GB2312" w:eastAsia="仿宋_GB2312" w:hint="eastAsia"/>
          <w:b/>
          <w:sz w:val="32"/>
          <w:szCs w:val="32"/>
        </w:rPr>
        <w:t>3</w:t>
      </w:r>
      <w:r>
        <w:rPr>
          <w:rFonts w:ascii="仿宋_GB2312" w:eastAsia="仿宋_GB2312" w:hint="eastAsia"/>
          <w:color w:val="auto"/>
          <w:sz w:val="32"/>
          <w:szCs w:val="32"/>
        </w:rPr>
        <w:t>0.</w:t>
      </w:r>
      <w:r>
        <w:rPr>
          <w:rFonts w:ascii="仿宋_GB2312" w:eastAsia="仿宋_GB2312" w:hint="eastAsia"/>
          <w:b/>
          <w:sz w:val="32"/>
          <w:szCs w:val="32"/>
        </w:rPr>
        <w:t>资源勘探工业信息等支出（类）制造业（款）其他制造业支出（项）:</w:t>
      </w:r>
      <w:r>
        <w:rPr>
          <w:rFonts w:ascii="仿宋_GB2312" w:eastAsia="仿宋_GB2312" w:hint="eastAsia"/>
          <w:sz w:val="32"/>
          <w:szCs w:val="32"/>
        </w:rPr>
        <w:t>反映其他用于制造业方面的支出。</w:t>
      </w:r>
    </w:p>
    <w:p w:rsidR="00EC184F" w:rsidRDefault="00DC6B00">
      <w:pPr>
        <w:pStyle w:val="Default"/>
        <w:spacing w:line="560" w:lineRule="exact"/>
        <w:ind w:firstLineChars="200" w:firstLine="640"/>
        <w:rPr>
          <w:rFonts w:ascii="仿宋_GB2312" w:eastAsia="仿宋_GB2312"/>
          <w:sz w:val="32"/>
          <w:szCs w:val="32"/>
        </w:rPr>
      </w:pPr>
      <w:r>
        <w:rPr>
          <w:rFonts w:ascii="仿宋_GB2312" w:eastAsia="仿宋_GB2312" w:hint="eastAsia"/>
          <w:color w:val="auto"/>
          <w:sz w:val="32"/>
          <w:szCs w:val="32"/>
        </w:rPr>
        <w:t>31.</w:t>
      </w:r>
      <w:r>
        <w:rPr>
          <w:rFonts w:ascii="仿宋_GB2312" w:eastAsia="仿宋_GB2312" w:hint="eastAsia"/>
          <w:b/>
          <w:sz w:val="32"/>
          <w:szCs w:val="32"/>
        </w:rPr>
        <w:t>住房保障支出（类）住房改革支出（款）住房公积金（项）:</w:t>
      </w:r>
      <w:r>
        <w:rPr>
          <w:rFonts w:ascii="仿宋_GB2312" w:eastAsia="仿宋_GB2312" w:hAnsi="Times New Roman" w:cs="Times New Roman" w:hint="eastAsia"/>
          <w:color w:val="auto"/>
          <w:kern w:val="2"/>
          <w:sz w:val="32"/>
          <w:szCs w:val="32"/>
        </w:rPr>
        <w:t>反映行政事业单位按人力资源和社会保障部、财政部规定的基本工资和津贴补贴以及规定比例为职工缴纳的住房公积金。</w:t>
      </w:r>
    </w:p>
    <w:p w:rsidR="00EC184F" w:rsidRDefault="00DC6B00">
      <w:pPr>
        <w:pStyle w:val="Default"/>
        <w:spacing w:line="560" w:lineRule="exact"/>
        <w:ind w:firstLineChars="200" w:firstLine="640"/>
        <w:rPr>
          <w:rFonts w:ascii="仿宋_GB2312" w:eastAsia="仿宋_GB2312"/>
          <w:sz w:val="32"/>
          <w:szCs w:val="32"/>
        </w:rPr>
      </w:pPr>
      <w:r>
        <w:rPr>
          <w:rFonts w:ascii="仿宋_GB2312" w:eastAsia="仿宋_GB2312" w:hint="eastAsia"/>
          <w:color w:val="auto"/>
          <w:sz w:val="32"/>
          <w:szCs w:val="32"/>
        </w:rPr>
        <w:t xml:space="preserve">32. </w:t>
      </w:r>
      <w:r>
        <w:rPr>
          <w:rFonts w:ascii="仿宋_GB2312" w:eastAsia="仿宋_GB2312" w:hint="eastAsia"/>
          <w:b/>
          <w:sz w:val="32"/>
          <w:szCs w:val="32"/>
        </w:rPr>
        <w:t>灾害防治及应急管理支出（类）自然灾害防治（款）    森林草原防灾减灾（项）:</w:t>
      </w:r>
      <w:r>
        <w:rPr>
          <w:rFonts w:ascii="仿宋_GB2312" w:eastAsia="仿宋_GB2312" w:hint="eastAsia"/>
          <w:sz w:val="32"/>
          <w:szCs w:val="32"/>
        </w:rPr>
        <w:t>反映防治森林草原火灾、自然水旱灾害等发生的支出。</w:t>
      </w:r>
    </w:p>
    <w:p w:rsidR="00EC184F" w:rsidRDefault="00DC6B00">
      <w:pPr>
        <w:ind w:firstLineChars="200" w:firstLine="640"/>
        <w:rPr>
          <w:rFonts w:ascii="仿宋_GB2312" w:eastAsia="仿宋_GB2312"/>
          <w:sz w:val="32"/>
          <w:szCs w:val="32"/>
        </w:rPr>
      </w:pPr>
      <w:r>
        <w:rPr>
          <w:rFonts w:ascii="仿宋_GB2312" w:eastAsia="仿宋_GB2312" w:hint="eastAsia"/>
          <w:sz w:val="32"/>
          <w:szCs w:val="32"/>
        </w:rPr>
        <w:t>33</w:t>
      </w:r>
      <w:r>
        <w:rPr>
          <w:rFonts w:ascii="仿宋_GB2312" w:eastAsia="仿宋_GB2312"/>
          <w:sz w:val="32"/>
          <w:szCs w:val="32"/>
        </w:rPr>
        <w:t>.</w:t>
      </w:r>
      <w:r>
        <w:rPr>
          <w:rFonts w:ascii="仿宋_GB2312" w:eastAsia="仿宋_GB2312" w:hint="eastAsia"/>
          <w:sz w:val="32"/>
          <w:szCs w:val="32"/>
        </w:rPr>
        <w:t>基本支出：指为保障机构正常运转、完成日常工作任务而发生的人员支出和公用支出。</w:t>
      </w:r>
    </w:p>
    <w:p w:rsidR="00EC184F" w:rsidRDefault="00DC6B00">
      <w:pPr>
        <w:ind w:firstLineChars="200" w:firstLine="640"/>
        <w:rPr>
          <w:rFonts w:ascii="仿宋_GB2312" w:eastAsia="仿宋_GB2312"/>
          <w:sz w:val="32"/>
          <w:szCs w:val="32"/>
        </w:rPr>
      </w:pPr>
      <w:r>
        <w:rPr>
          <w:rFonts w:ascii="仿宋_GB2312" w:eastAsia="仿宋_GB2312" w:hint="eastAsia"/>
          <w:sz w:val="32"/>
          <w:szCs w:val="32"/>
        </w:rPr>
        <w:lastRenderedPageBreak/>
        <w:t>34</w:t>
      </w:r>
      <w:r>
        <w:rPr>
          <w:rFonts w:ascii="仿宋_GB2312" w:eastAsia="仿宋_GB2312"/>
          <w:sz w:val="32"/>
          <w:szCs w:val="32"/>
        </w:rPr>
        <w:t>.</w:t>
      </w:r>
      <w:r>
        <w:rPr>
          <w:rFonts w:ascii="仿宋_GB2312" w:eastAsia="仿宋_GB2312" w:hint="eastAsia"/>
          <w:sz w:val="32"/>
          <w:szCs w:val="32"/>
        </w:rPr>
        <w:t>项目支出：指在基本支出之外为完成特定行政任务和事业发展目标所发生的支出。</w:t>
      </w:r>
    </w:p>
    <w:p w:rsidR="00EC184F" w:rsidRDefault="00DC6B00">
      <w:pPr>
        <w:ind w:firstLineChars="200" w:firstLine="640"/>
        <w:rPr>
          <w:rFonts w:ascii="仿宋_GB2312" w:eastAsia="仿宋_GB2312"/>
          <w:sz w:val="32"/>
          <w:szCs w:val="32"/>
        </w:rPr>
      </w:pPr>
      <w:r>
        <w:rPr>
          <w:rFonts w:ascii="仿宋_GB2312" w:eastAsia="仿宋_GB2312" w:hint="eastAsia"/>
          <w:sz w:val="32"/>
          <w:szCs w:val="32"/>
        </w:rPr>
        <w:t>35</w:t>
      </w:r>
      <w:r>
        <w:rPr>
          <w:rFonts w:ascii="仿宋_GB2312" w:eastAsia="仿宋_GB2312"/>
          <w:sz w:val="32"/>
          <w:szCs w:val="32"/>
        </w:rPr>
        <w:t>.</w:t>
      </w:r>
      <w:r>
        <w:rPr>
          <w:rFonts w:ascii="仿宋_GB2312" w:eastAsia="仿宋_GB2312" w:hint="eastAsia"/>
          <w:sz w:val="32"/>
          <w:szCs w:val="32"/>
        </w:rPr>
        <w:t>经营支出：指事业单位在专业业务活动及其辅助活动之外开展非独立核算经营活动发生的支出。</w:t>
      </w:r>
    </w:p>
    <w:p w:rsidR="00EC184F" w:rsidRDefault="00DC6B00">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36</w:t>
      </w:r>
      <w:r>
        <w:rPr>
          <w:rFonts w:ascii="仿宋_GB2312" w:eastAsia="仿宋_GB2312"/>
          <w:color w:val="auto"/>
          <w:sz w:val="32"/>
          <w:szCs w:val="32"/>
        </w:rPr>
        <w:t>.</w:t>
      </w:r>
      <w:r>
        <w:rPr>
          <w:rFonts w:ascii="仿宋_GB2312" w:eastAsia="仿宋_GB2312" w:hint="eastAsia"/>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按规定保留的公务用车燃料费、维修费、过桥过路费、保险费、安全奖励费用的支出；公务接待费反映单位按规定开支的各类公务接待（含外宾接待）支出。</w:t>
      </w:r>
    </w:p>
    <w:p w:rsidR="00EC184F" w:rsidRDefault="00DC6B00">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37</w:t>
      </w:r>
      <w:r>
        <w:rPr>
          <w:rFonts w:ascii="仿宋_GB2312" w:eastAsia="仿宋_GB2312"/>
          <w:color w:val="auto"/>
          <w:sz w:val="32"/>
          <w:szCs w:val="32"/>
        </w:rPr>
        <w:t>.</w:t>
      </w:r>
      <w:r>
        <w:rPr>
          <w:rFonts w:ascii="仿宋_GB2312" w:eastAsia="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EC184F" w:rsidRDefault="00EC184F">
      <w:pPr>
        <w:spacing w:line="600" w:lineRule="exact"/>
        <w:jc w:val="center"/>
        <w:outlineLvl w:val="0"/>
        <w:rPr>
          <w:rFonts w:ascii="黑体" w:eastAsia="黑体" w:hAnsi="黑体"/>
          <w:sz w:val="44"/>
          <w:szCs w:val="44"/>
        </w:rPr>
      </w:pPr>
      <w:bookmarkStart w:id="61" w:name="_Toc15396614"/>
      <w:bookmarkStart w:id="62" w:name="_Toc15377226"/>
    </w:p>
    <w:p w:rsidR="00EC184F" w:rsidRDefault="00EC184F">
      <w:pPr>
        <w:spacing w:line="600" w:lineRule="exact"/>
        <w:jc w:val="center"/>
        <w:outlineLvl w:val="0"/>
        <w:rPr>
          <w:rFonts w:ascii="黑体" w:eastAsia="黑体" w:hAnsi="黑体"/>
          <w:sz w:val="44"/>
          <w:szCs w:val="44"/>
        </w:rPr>
      </w:pPr>
    </w:p>
    <w:p w:rsidR="00EC184F" w:rsidRDefault="00EC184F">
      <w:pPr>
        <w:pStyle w:val="a0"/>
        <w:spacing w:before="93"/>
      </w:pPr>
    </w:p>
    <w:p w:rsidR="00EC184F" w:rsidRDefault="00EC184F">
      <w:pPr>
        <w:spacing w:line="600" w:lineRule="exact"/>
        <w:jc w:val="center"/>
        <w:outlineLvl w:val="0"/>
        <w:rPr>
          <w:rFonts w:ascii="黑体" w:eastAsia="黑体" w:hAnsi="黑体"/>
          <w:sz w:val="44"/>
          <w:szCs w:val="44"/>
        </w:rPr>
      </w:pPr>
    </w:p>
    <w:p w:rsidR="00EC184F" w:rsidRDefault="00EC184F">
      <w:pPr>
        <w:spacing w:line="600" w:lineRule="exact"/>
        <w:jc w:val="center"/>
        <w:outlineLvl w:val="0"/>
        <w:rPr>
          <w:rFonts w:ascii="黑体" w:eastAsia="黑体" w:hAnsi="黑体"/>
          <w:sz w:val="44"/>
          <w:szCs w:val="44"/>
        </w:rPr>
      </w:pPr>
    </w:p>
    <w:p w:rsidR="00EC184F" w:rsidRDefault="00EC184F">
      <w:pPr>
        <w:spacing w:line="600" w:lineRule="exact"/>
        <w:jc w:val="center"/>
        <w:outlineLvl w:val="0"/>
        <w:rPr>
          <w:rFonts w:ascii="黑体" w:eastAsia="黑体" w:hAnsi="黑体"/>
          <w:sz w:val="44"/>
          <w:szCs w:val="44"/>
        </w:rPr>
      </w:pPr>
    </w:p>
    <w:p w:rsidR="00EC184F" w:rsidRDefault="00DC6B00">
      <w:pPr>
        <w:spacing w:line="600" w:lineRule="exact"/>
        <w:jc w:val="center"/>
        <w:outlineLvl w:val="0"/>
        <w:rPr>
          <w:rStyle w:val="1Char"/>
          <w:rFonts w:ascii="黑体" w:eastAsia="黑体" w:hAnsi="黑体"/>
          <w:b w:val="0"/>
        </w:rPr>
      </w:pPr>
      <w:r>
        <w:rPr>
          <w:rFonts w:ascii="黑体" w:eastAsia="黑体" w:hAnsi="黑体" w:hint="eastAsia"/>
          <w:sz w:val="44"/>
          <w:szCs w:val="44"/>
        </w:rPr>
        <w:t>第</w:t>
      </w:r>
      <w:r>
        <w:rPr>
          <w:rStyle w:val="1Char"/>
          <w:rFonts w:ascii="黑体" w:eastAsia="黑体" w:hAnsi="黑体" w:hint="eastAsia"/>
          <w:b w:val="0"/>
        </w:rPr>
        <w:t>四部分 附件</w:t>
      </w:r>
      <w:bookmarkEnd w:id="61"/>
    </w:p>
    <w:p w:rsidR="00EC184F" w:rsidRDefault="00DC6B00">
      <w:pPr>
        <w:widowControl/>
        <w:spacing w:line="560" w:lineRule="exact"/>
        <w:contextualSpacing/>
        <w:rPr>
          <w:rFonts w:ascii="宋体" w:hAnsi="宋体"/>
          <w:b/>
          <w:sz w:val="32"/>
          <w:szCs w:val="32"/>
          <w:shd w:val="clear" w:color="auto" w:fill="FFFFFF"/>
        </w:rPr>
      </w:pPr>
      <w:r>
        <w:rPr>
          <w:rFonts w:ascii="宋体" w:hAnsi="宋体" w:hint="eastAsia"/>
          <w:b/>
          <w:sz w:val="32"/>
          <w:szCs w:val="32"/>
          <w:shd w:val="clear" w:color="auto" w:fill="FFFFFF"/>
        </w:rPr>
        <w:t>附件1</w:t>
      </w:r>
    </w:p>
    <w:p w:rsidR="00EC184F" w:rsidRDefault="00DC6B00">
      <w:pPr>
        <w:spacing w:line="640" w:lineRule="exact"/>
        <w:jc w:val="center"/>
        <w:rPr>
          <w:rFonts w:eastAsia="方正小标宋简体"/>
          <w:sz w:val="44"/>
          <w:szCs w:val="44"/>
        </w:rPr>
      </w:pPr>
      <w:r>
        <w:rPr>
          <w:rFonts w:eastAsia="方正小标宋简体"/>
          <w:sz w:val="44"/>
          <w:szCs w:val="44"/>
        </w:rPr>
        <w:t>盐边县经济信息化和科学技术局</w:t>
      </w:r>
    </w:p>
    <w:p w:rsidR="00EC184F" w:rsidRDefault="00DC6B00">
      <w:pPr>
        <w:spacing w:line="640" w:lineRule="exact"/>
        <w:jc w:val="center"/>
        <w:rPr>
          <w:rFonts w:eastAsia="方正小标宋简体"/>
          <w:sz w:val="44"/>
          <w:szCs w:val="44"/>
        </w:rPr>
      </w:pPr>
      <w:r>
        <w:rPr>
          <w:rFonts w:eastAsia="方正小标宋简体"/>
          <w:sz w:val="44"/>
          <w:szCs w:val="44"/>
        </w:rPr>
        <w:t>2022</w:t>
      </w:r>
      <w:r>
        <w:rPr>
          <w:rFonts w:eastAsia="方正小标宋简体"/>
          <w:sz w:val="44"/>
          <w:szCs w:val="44"/>
        </w:rPr>
        <w:t>年</w:t>
      </w:r>
      <w:r>
        <w:rPr>
          <w:rFonts w:eastAsia="方正小标宋_GBK"/>
          <w:sz w:val="44"/>
          <w:szCs w:val="44"/>
        </w:rPr>
        <w:t>部门整体支出绩效评价报告</w:t>
      </w:r>
    </w:p>
    <w:p w:rsidR="00EC184F" w:rsidRDefault="00EC184F">
      <w:pPr>
        <w:spacing w:line="640" w:lineRule="exact"/>
        <w:jc w:val="center"/>
        <w:rPr>
          <w:rFonts w:eastAsia="方正小标宋_GBK"/>
          <w:b/>
          <w:sz w:val="38"/>
          <w:szCs w:val="38"/>
        </w:rPr>
      </w:pPr>
    </w:p>
    <w:p w:rsidR="00EC184F" w:rsidRDefault="00DC6B00">
      <w:pPr>
        <w:widowControl/>
        <w:adjustRightInd w:val="0"/>
        <w:snapToGrid w:val="0"/>
        <w:spacing w:line="560" w:lineRule="exact"/>
        <w:ind w:firstLine="640"/>
        <w:contextualSpacing/>
        <w:rPr>
          <w:rFonts w:eastAsia="方正黑体_GBK"/>
          <w:color w:val="000000"/>
          <w:sz w:val="32"/>
          <w:szCs w:val="32"/>
          <w:shd w:val="clear" w:color="auto" w:fill="FFFFFF"/>
          <w:lang w:val="zh-CN"/>
        </w:rPr>
      </w:pPr>
      <w:r>
        <w:rPr>
          <w:rFonts w:eastAsia="方正黑体_GBK"/>
          <w:color w:val="000000"/>
          <w:sz w:val="32"/>
          <w:szCs w:val="32"/>
          <w:shd w:val="clear" w:color="auto" w:fill="FFFFFF"/>
        </w:rPr>
        <w:t>一、</w:t>
      </w:r>
      <w:r>
        <w:rPr>
          <w:rFonts w:eastAsia="方正黑体_GBK"/>
          <w:color w:val="000000"/>
          <w:sz w:val="32"/>
          <w:szCs w:val="32"/>
          <w:shd w:val="clear" w:color="auto" w:fill="FFFFFF"/>
          <w:lang w:val="zh-CN"/>
        </w:rPr>
        <w:t>部门（单位）概况</w:t>
      </w:r>
    </w:p>
    <w:p w:rsidR="00EC184F" w:rsidRDefault="00DC6B00">
      <w:pPr>
        <w:widowControl/>
        <w:adjustRightInd w:val="0"/>
        <w:snapToGrid w:val="0"/>
        <w:spacing w:line="560" w:lineRule="exact"/>
        <w:ind w:firstLine="640"/>
        <w:contextualSpacing/>
        <w:rPr>
          <w:rFonts w:eastAsia="方正楷体_GBK"/>
          <w:color w:val="000000"/>
          <w:sz w:val="32"/>
          <w:szCs w:val="32"/>
          <w:shd w:val="clear" w:color="auto" w:fill="FFFFFF"/>
          <w:lang w:val="zh-CN"/>
        </w:rPr>
      </w:pPr>
      <w:r>
        <w:rPr>
          <w:rFonts w:eastAsia="方正楷体_GBK"/>
          <w:color w:val="000000"/>
          <w:sz w:val="32"/>
          <w:szCs w:val="32"/>
          <w:shd w:val="clear" w:color="auto" w:fill="FFFFFF"/>
          <w:lang w:val="zh-CN"/>
        </w:rPr>
        <w:t>（一）机构组成</w:t>
      </w:r>
    </w:p>
    <w:p w:rsidR="00EC184F" w:rsidRDefault="00DC6B00">
      <w:pPr>
        <w:snapToGrid w:val="0"/>
        <w:spacing w:line="520" w:lineRule="exact"/>
        <w:ind w:firstLine="640"/>
        <w:rPr>
          <w:rFonts w:eastAsia="方正仿宋_GBK"/>
          <w:sz w:val="32"/>
          <w:szCs w:val="32"/>
        </w:rPr>
      </w:pPr>
      <w:r>
        <w:rPr>
          <w:rFonts w:eastAsia="方正仿宋_GBK"/>
          <w:color w:val="000000"/>
          <w:sz w:val="32"/>
          <w:szCs w:val="32"/>
        </w:rPr>
        <w:t>盐边县经济信息化和科学技术局（简称县经信科技局），为县政府工作部门，为一级预算单位。内设</w:t>
      </w:r>
      <w:r>
        <w:rPr>
          <w:rFonts w:eastAsia="方正仿宋_GBK"/>
          <w:color w:val="000000"/>
          <w:sz w:val="32"/>
          <w:szCs w:val="32"/>
        </w:rPr>
        <w:t>6</w:t>
      </w:r>
      <w:r>
        <w:rPr>
          <w:rFonts w:eastAsia="方正仿宋_GBK"/>
          <w:color w:val="000000"/>
          <w:sz w:val="32"/>
          <w:szCs w:val="32"/>
        </w:rPr>
        <w:t>股</w:t>
      </w:r>
      <w:r>
        <w:rPr>
          <w:rFonts w:eastAsia="方正仿宋_GBK"/>
          <w:color w:val="000000"/>
          <w:sz w:val="32"/>
          <w:szCs w:val="32"/>
        </w:rPr>
        <w:t>1</w:t>
      </w:r>
      <w:r>
        <w:rPr>
          <w:rFonts w:eastAsia="方正仿宋_GBK"/>
          <w:color w:val="000000"/>
          <w:sz w:val="32"/>
          <w:szCs w:val="32"/>
        </w:rPr>
        <w:t>室</w:t>
      </w:r>
      <w:r>
        <w:rPr>
          <w:rFonts w:eastAsia="方正仿宋_GBK"/>
          <w:color w:val="000000"/>
          <w:sz w:val="32"/>
          <w:szCs w:val="32"/>
        </w:rPr>
        <w:t>,</w:t>
      </w:r>
      <w:r>
        <w:rPr>
          <w:rFonts w:eastAsia="方正仿宋_GBK"/>
          <w:color w:val="000000"/>
          <w:sz w:val="32"/>
          <w:szCs w:val="32"/>
        </w:rPr>
        <w:t>办公室（行政审批股）、新能源和新材料股、监督管理与资源综合利用股、经济运行与企业发展股、项目股、要素保障和信息化股、科技股；</w:t>
      </w:r>
      <w:r>
        <w:rPr>
          <w:rFonts w:eastAsia="方正仿宋_GBK"/>
          <w:sz w:val="32"/>
          <w:szCs w:val="32"/>
        </w:rPr>
        <w:t>下属事业单位盐边县大数据开发中心。与盐边县科学技术协会合署办公，盐边县科学技术协会下属事业单位盐边县科学馆。</w:t>
      </w:r>
    </w:p>
    <w:p w:rsidR="00EC184F" w:rsidRDefault="00DC6B00">
      <w:pPr>
        <w:widowControl/>
        <w:adjustRightInd w:val="0"/>
        <w:snapToGrid w:val="0"/>
        <w:spacing w:line="560" w:lineRule="exact"/>
        <w:ind w:firstLine="640"/>
        <w:contextualSpacing/>
        <w:rPr>
          <w:rFonts w:eastAsia="楷体_GB2312"/>
          <w:color w:val="000000"/>
          <w:sz w:val="32"/>
          <w:szCs w:val="32"/>
          <w:shd w:val="clear" w:color="auto" w:fill="FFFFFF"/>
          <w:lang w:val="zh-CN"/>
        </w:rPr>
      </w:pPr>
      <w:r>
        <w:rPr>
          <w:rFonts w:eastAsia="方正楷体_GBK"/>
          <w:color w:val="000000"/>
          <w:sz w:val="32"/>
          <w:szCs w:val="32"/>
          <w:shd w:val="clear" w:color="auto" w:fill="FFFFFF"/>
          <w:lang w:val="zh-CN"/>
        </w:rPr>
        <w:t>（二）机构职能</w:t>
      </w:r>
    </w:p>
    <w:p w:rsidR="00EC184F" w:rsidRDefault="00DC6B00">
      <w:pPr>
        <w:snapToGrid w:val="0"/>
        <w:spacing w:line="520" w:lineRule="exact"/>
        <w:ind w:firstLine="640"/>
        <w:rPr>
          <w:rFonts w:eastAsia="方正仿宋_GBK"/>
          <w:sz w:val="32"/>
          <w:szCs w:val="32"/>
        </w:rPr>
      </w:pPr>
      <w:r>
        <w:rPr>
          <w:rFonts w:eastAsia="方正仿宋_GBK"/>
          <w:sz w:val="32"/>
          <w:szCs w:val="32"/>
        </w:rPr>
        <w:t>一是贯彻实施国家、省、市有关工业经济、信息化、无线电管理的法律、法规和方针政策，组织实施国家西部大开发战略等有关工业经济的政策措施，拟订我县工业经济、信息化和无线电管理的政策措施并组织实施。负责推进全县工业结构调整，牵头推动信息化和工业化融合、工业化与城镇化联动。负责工业领域、信息化领域、无线电管理领域的行政执法和执法监督检查工作。</w:t>
      </w:r>
    </w:p>
    <w:p w:rsidR="00EC184F" w:rsidRDefault="00DC6B00">
      <w:pPr>
        <w:snapToGrid w:val="0"/>
        <w:spacing w:line="520" w:lineRule="exact"/>
        <w:ind w:firstLine="640"/>
        <w:rPr>
          <w:rFonts w:eastAsia="方正仿宋_GBK"/>
          <w:sz w:val="32"/>
          <w:szCs w:val="32"/>
        </w:rPr>
      </w:pPr>
      <w:r>
        <w:rPr>
          <w:rFonts w:eastAsia="方正仿宋_GBK"/>
          <w:sz w:val="32"/>
          <w:szCs w:val="32"/>
        </w:rPr>
        <w:t>二是拟订全县创新驱动发展战略以及科技发展、引进国外智力规划和政策措施并组织实施。起草有关科技发展政策</w:t>
      </w:r>
      <w:r>
        <w:rPr>
          <w:rFonts w:eastAsia="方正仿宋_GBK"/>
          <w:sz w:val="32"/>
          <w:szCs w:val="32"/>
        </w:rPr>
        <w:lastRenderedPageBreak/>
        <w:t>措施并组织实施。</w:t>
      </w:r>
    </w:p>
    <w:p w:rsidR="00EC184F" w:rsidRDefault="00DC6B00">
      <w:pPr>
        <w:snapToGrid w:val="0"/>
        <w:spacing w:line="520" w:lineRule="exact"/>
        <w:ind w:firstLine="640"/>
        <w:rPr>
          <w:rFonts w:eastAsia="方正仿宋_GBK"/>
          <w:sz w:val="32"/>
          <w:szCs w:val="32"/>
        </w:rPr>
      </w:pPr>
      <w:r>
        <w:rPr>
          <w:rFonts w:eastAsia="方正仿宋_GBK"/>
          <w:sz w:val="32"/>
          <w:szCs w:val="32"/>
        </w:rPr>
        <w:t>三是组织拟订新型工业化发展战略和重大政策，协调解决新型工业化进程中的重大问题，组织实施工业强县战略。参与拟订国民经济和社会发展规划，组织制定并牵头实施工业（不含能源，下同）、信息化相关行业的发展规划、年度计划和产业政策，贯彻执行工业领域、信息化领域行业技术规范与行业标准，指导行业质量管理工作。</w:t>
      </w:r>
    </w:p>
    <w:p w:rsidR="00EC184F" w:rsidRDefault="00DC6B00">
      <w:pPr>
        <w:snapToGrid w:val="0"/>
        <w:spacing w:line="520" w:lineRule="exact"/>
        <w:ind w:firstLine="640"/>
        <w:rPr>
          <w:rFonts w:eastAsia="方正仿宋_GBK"/>
          <w:sz w:val="32"/>
          <w:szCs w:val="32"/>
        </w:rPr>
      </w:pPr>
      <w:r>
        <w:rPr>
          <w:rFonts w:eastAsia="方正仿宋_GBK"/>
          <w:sz w:val="32"/>
          <w:szCs w:val="32"/>
        </w:rPr>
        <w:t>四是统筹推进全县科技创新体系建设和科技体制改革，会同有关部门健全技术创新激励机制。优化科研体系建设，指导科研机构改革发展，推动企业科技创新能力建设，承担推进军民融合发展相关工作；推进全县重大科技决策咨询制度建设。组织拟订全县推进创新创业、促进科技金融结合、科技招商的政策措施并组织实施。</w:t>
      </w:r>
    </w:p>
    <w:p w:rsidR="00EC184F" w:rsidRDefault="00DC6B00">
      <w:pPr>
        <w:snapToGrid w:val="0"/>
        <w:spacing w:line="520" w:lineRule="exact"/>
        <w:ind w:firstLine="640"/>
        <w:rPr>
          <w:rFonts w:eastAsia="方正仿宋_GBK"/>
          <w:sz w:val="32"/>
          <w:szCs w:val="32"/>
        </w:rPr>
      </w:pPr>
      <w:r>
        <w:rPr>
          <w:rFonts w:eastAsia="方正仿宋_GBK"/>
          <w:sz w:val="32"/>
          <w:szCs w:val="32"/>
        </w:rPr>
        <w:t>五是牵头建立全县科研项目资金协调、实施、评估、监管机制。</w:t>
      </w:r>
    </w:p>
    <w:p w:rsidR="00EC184F" w:rsidRDefault="00DC6B00">
      <w:pPr>
        <w:snapToGrid w:val="0"/>
        <w:spacing w:line="520" w:lineRule="exact"/>
        <w:ind w:firstLine="640"/>
        <w:rPr>
          <w:rFonts w:eastAsia="方正仿宋_GBK"/>
          <w:sz w:val="32"/>
          <w:szCs w:val="32"/>
        </w:rPr>
      </w:pPr>
      <w:r>
        <w:rPr>
          <w:rFonts w:eastAsia="方正仿宋_GBK"/>
          <w:sz w:val="32"/>
          <w:szCs w:val="32"/>
        </w:rPr>
        <w:t>六是监测、分析全县工业经济运行态势和质量，建立全县工业经济运行预警机制，拟订中、近期工业经济运行目标、政策并组织实施，协调解决经济运行中的重大问题。负责对电力、煤炭、成品油、天然气等要素的综合调控、紧急调度和铁路运输协调工作，负责县级医药储备的监督管理。承办工业经济目标责任考核。</w:t>
      </w:r>
    </w:p>
    <w:p w:rsidR="00EC184F" w:rsidRDefault="00DC6B00">
      <w:pPr>
        <w:snapToGrid w:val="0"/>
        <w:spacing w:line="520" w:lineRule="exact"/>
        <w:ind w:firstLine="640"/>
        <w:rPr>
          <w:rFonts w:eastAsia="方正仿宋_GBK"/>
          <w:sz w:val="32"/>
          <w:szCs w:val="32"/>
        </w:rPr>
      </w:pPr>
      <w:r>
        <w:rPr>
          <w:rFonts w:eastAsia="方正仿宋_GBK"/>
          <w:sz w:val="32"/>
          <w:szCs w:val="32"/>
        </w:rPr>
        <w:t>七是牵头实施全县企业技术改造推进工作，制定并实施全县企业技术改造投资规划和政策，制定并发布全县企业技术改造投资项目引导目录。提出全县工业和信息化固定资产投资规模的意见，按照规定权限审批、核准、备案、转报全县企业技术改造项目并组织实施。组织实施全县工业重大产</w:t>
      </w:r>
      <w:r>
        <w:rPr>
          <w:rFonts w:eastAsia="方正仿宋_GBK"/>
          <w:sz w:val="32"/>
          <w:szCs w:val="32"/>
        </w:rPr>
        <w:lastRenderedPageBreak/>
        <w:t>业化项目。</w:t>
      </w:r>
    </w:p>
    <w:p w:rsidR="00EC184F" w:rsidRDefault="00DC6B00">
      <w:pPr>
        <w:snapToGrid w:val="0"/>
        <w:spacing w:line="520" w:lineRule="exact"/>
        <w:ind w:firstLine="640"/>
        <w:rPr>
          <w:rFonts w:eastAsia="方正仿宋_GBK"/>
          <w:sz w:val="32"/>
          <w:szCs w:val="32"/>
        </w:rPr>
      </w:pPr>
      <w:r>
        <w:rPr>
          <w:rFonts w:eastAsia="方正仿宋_GBK"/>
          <w:sz w:val="32"/>
          <w:szCs w:val="32"/>
        </w:rPr>
        <w:t>八是制定全县企业技术创新体系建设，制定鼓励企业技术创新的政策措施，指导企业技术创新、技术引进、重大装备国产化和重大技术装备研制，编制下达全县企业技术创新项目计划并组织实施，组织企业技术中心申报、认定和建设管理工作。</w:t>
      </w:r>
    </w:p>
    <w:p w:rsidR="00EC184F" w:rsidRDefault="00DC6B00">
      <w:pPr>
        <w:snapToGrid w:val="0"/>
        <w:spacing w:line="520" w:lineRule="exact"/>
        <w:ind w:firstLine="640"/>
        <w:rPr>
          <w:rFonts w:eastAsia="方正仿宋_GBK"/>
          <w:sz w:val="32"/>
          <w:szCs w:val="32"/>
        </w:rPr>
      </w:pPr>
      <w:r>
        <w:rPr>
          <w:rFonts w:eastAsia="方正仿宋_GBK"/>
          <w:sz w:val="32"/>
          <w:szCs w:val="32"/>
        </w:rPr>
        <w:t>九是指导全县产业园区建设发展。</w:t>
      </w:r>
    </w:p>
    <w:p w:rsidR="00EC184F" w:rsidRDefault="00DC6B00">
      <w:pPr>
        <w:snapToGrid w:val="0"/>
        <w:spacing w:line="520" w:lineRule="exact"/>
        <w:ind w:firstLine="640"/>
        <w:rPr>
          <w:rFonts w:eastAsia="方正仿宋_GBK"/>
          <w:sz w:val="32"/>
          <w:szCs w:val="32"/>
        </w:rPr>
      </w:pPr>
      <w:r>
        <w:rPr>
          <w:rFonts w:eastAsia="方正仿宋_GBK"/>
          <w:sz w:val="32"/>
          <w:szCs w:val="32"/>
        </w:rPr>
        <w:t>十是负责全县工业和信息化领域的节能降耗、清洁生产和资源节约与综合利用工作，推进工业化与生态环境协调发展；组织实施工业循环经济重大示范项目和节能降耗、清洁生产及资源节约与综合利用的新产品、新技术、新工艺、新设备、新材料的推广应用。</w:t>
      </w:r>
    </w:p>
    <w:p w:rsidR="00EC184F" w:rsidRDefault="00DC6B00">
      <w:pPr>
        <w:snapToGrid w:val="0"/>
        <w:spacing w:line="520" w:lineRule="exact"/>
        <w:ind w:firstLine="640"/>
        <w:rPr>
          <w:rFonts w:eastAsia="方正仿宋_GBK"/>
          <w:sz w:val="32"/>
          <w:szCs w:val="32"/>
        </w:rPr>
      </w:pPr>
      <w:r>
        <w:rPr>
          <w:rFonts w:eastAsia="方正仿宋_GBK"/>
          <w:sz w:val="32"/>
          <w:szCs w:val="32"/>
        </w:rPr>
        <w:t>十一是负责推进企业信用制度建设，负责中小企业信用担保和融资体系建设并实施行业监管。负责制定全县工业发展资金等财政专项资金使用计划；负责企业技术改造、技术创新、生产运行等涉及财政、信贷、税收、保险等方面的协调工作，指导工业企业融资工作。</w:t>
      </w:r>
    </w:p>
    <w:p w:rsidR="00EC184F" w:rsidRDefault="00DC6B00">
      <w:pPr>
        <w:snapToGrid w:val="0"/>
        <w:spacing w:line="520" w:lineRule="exact"/>
        <w:ind w:firstLine="640"/>
        <w:rPr>
          <w:rFonts w:eastAsia="方正仿宋_GBK"/>
          <w:sz w:val="32"/>
          <w:szCs w:val="32"/>
        </w:rPr>
      </w:pPr>
      <w:r>
        <w:rPr>
          <w:rFonts w:eastAsia="方正仿宋_GBK"/>
          <w:sz w:val="32"/>
          <w:szCs w:val="32"/>
        </w:rPr>
        <w:t>十二是牵头对国家、省、市重大工业经济、中小企业发展鼓励支持和科技政策实施情况进行督查。拟订促进全县中小企业发展的政策措施，负责推进全县中小企业服务体系建设。指导企业建立现代企业制度、改组改造、兼并重组，指导企业经营管理人员、专业技术人员培训，负责全县大企业大集团和龙头骨干企业的培育工作。负责全县企业治乱减负工作。</w:t>
      </w:r>
    </w:p>
    <w:p w:rsidR="00EC184F" w:rsidRDefault="00DC6B00">
      <w:pPr>
        <w:snapToGrid w:val="0"/>
        <w:spacing w:line="520" w:lineRule="exact"/>
        <w:ind w:firstLine="640"/>
        <w:rPr>
          <w:rFonts w:eastAsia="方正仿宋_GBK"/>
          <w:sz w:val="32"/>
          <w:szCs w:val="32"/>
        </w:rPr>
      </w:pPr>
      <w:r>
        <w:rPr>
          <w:rFonts w:eastAsia="方正仿宋_GBK"/>
          <w:sz w:val="32"/>
          <w:szCs w:val="32"/>
        </w:rPr>
        <w:t>十三是负责对全县工业行业实施行业管理，制定并组织实施相关政策措施，拟订新材料、工业节能环保、机械制造、</w:t>
      </w:r>
      <w:r>
        <w:rPr>
          <w:rFonts w:eastAsia="方正仿宋_GBK"/>
          <w:sz w:val="32"/>
          <w:szCs w:val="32"/>
        </w:rPr>
        <w:lastRenderedPageBreak/>
        <w:t>太阳能、生物医药等战略性新兴产业发展规划、年度计划、政策措施并组织实施。拟订加快农产品加工业发展的政策措施，参与推进农业产业化龙头企业建设，参与推进农业现代化和新农村建设。指导工业、信息化和无线电领域的社会中介组织发展。</w:t>
      </w:r>
    </w:p>
    <w:p w:rsidR="00EC184F" w:rsidRDefault="00DC6B00">
      <w:pPr>
        <w:snapToGrid w:val="0"/>
        <w:spacing w:line="520" w:lineRule="exact"/>
        <w:ind w:firstLine="640"/>
        <w:rPr>
          <w:rFonts w:eastAsia="方正仿宋_GBK"/>
          <w:sz w:val="32"/>
          <w:szCs w:val="32"/>
        </w:rPr>
      </w:pPr>
      <w:r>
        <w:rPr>
          <w:rFonts w:eastAsia="方正仿宋_GBK"/>
          <w:sz w:val="32"/>
          <w:szCs w:val="32"/>
        </w:rPr>
        <w:t>十四是牵头推进全县信息化工作，制定并组织实施相关政策，指导电子政务、企业信息化、电子商务和物联网发展，推动跨行业、跨部门面向社会服务网络的互联互通和信息资源共享。负责全县信息基础设施建设规划、协调和管理，协调电信市场涉及社会公共利益的重大事项。参与协调全县信息安全保障体系建设，参与处理网络与信息安全重大事件。</w:t>
      </w:r>
    </w:p>
    <w:p w:rsidR="00EC184F" w:rsidRDefault="00DC6B00">
      <w:pPr>
        <w:snapToGrid w:val="0"/>
        <w:spacing w:line="520" w:lineRule="exact"/>
        <w:ind w:firstLine="640"/>
        <w:rPr>
          <w:rFonts w:eastAsia="方正仿宋_GBK"/>
          <w:sz w:val="32"/>
          <w:szCs w:val="32"/>
        </w:rPr>
      </w:pPr>
      <w:r>
        <w:rPr>
          <w:rFonts w:eastAsia="方正仿宋_GBK"/>
          <w:sz w:val="32"/>
          <w:szCs w:val="32"/>
        </w:rPr>
        <w:t>十五是贯彻执行国家、省、市无线电管理的方针、政策，贯彻执行市无线电管理的具体办法；协调处理无线电管理方面的事务。</w:t>
      </w:r>
    </w:p>
    <w:p w:rsidR="00EC184F" w:rsidRDefault="00DC6B00">
      <w:pPr>
        <w:snapToGrid w:val="0"/>
        <w:spacing w:line="520" w:lineRule="exact"/>
        <w:ind w:firstLine="640"/>
        <w:rPr>
          <w:rFonts w:eastAsia="方正仿宋_GBK"/>
          <w:sz w:val="32"/>
          <w:szCs w:val="32"/>
        </w:rPr>
      </w:pPr>
      <w:r>
        <w:rPr>
          <w:rFonts w:eastAsia="方正仿宋_GBK"/>
          <w:sz w:val="32"/>
          <w:szCs w:val="32"/>
        </w:rPr>
        <w:t>十六是负责研究制定并推动全县非公有制经济发展规划和政策措施，制定财政专项资金使用计划。指导全县非公有制企业产业结构、产品结构、组织结构、布局结构等优化调整，引导和推进非公有制企业建立现代企业制度，指导非公有制企业科技进步、技术创新、技术改造，为非公有制企业提供政务服务，负责非公有制经济发展目标责任考核。</w:t>
      </w:r>
    </w:p>
    <w:p w:rsidR="00EC184F" w:rsidRDefault="00DC6B00">
      <w:pPr>
        <w:snapToGrid w:val="0"/>
        <w:spacing w:line="520" w:lineRule="exact"/>
        <w:ind w:firstLine="640"/>
        <w:rPr>
          <w:rFonts w:eastAsia="方正仿宋_GBK"/>
          <w:sz w:val="32"/>
          <w:szCs w:val="32"/>
        </w:rPr>
      </w:pPr>
      <w:r>
        <w:rPr>
          <w:rFonts w:eastAsia="方正仿宋_GBK"/>
          <w:sz w:val="32"/>
          <w:szCs w:val="32"/>
        </w:rPr>
        <w:t>十七是会同有关部门提出工业和信息化领域对外开放和利用外资的政策建议，参与区域经济合作和承接产业转移工作。指导工业和信息化企业开展对外交流与合作、国际化经营、境外投资及兼并重组。</w:t>
      </w:r>
    </w:p>
    <w:p w:rsidR="00EC184F" w:rsidRDefault="00DC6B00">
      <w:pPr>
        <w:snapToGrid w:val="0"/>
        <w:spacing w:line="520" w:lineRule="exact"/>
        <w:ind w:firstLine="640"/>
        <w:rPr>
          <w:rFonts w:eastAsia="方正仿宋_GBK"/>
          <w:sz w:val="32"/>
          <w:szCs w:val="32"/>
        </w:rPr>
      </w:pPr>
      <w:r>
        <w:rPr>
          <w:rFonts w:eastAsia="方正仿宋_GBK"/>
          <w:sz w:val="32"/>
          <w:szCs w:val="32"/>
        </w:rPr>
        <w:t>十八是负责全县盐业行业管理。</w:t>
      </w:r>
    </w:p>
    <w:p w:rsidR="00EC184F" w:rsidRDefault="00DC6B00">
      <w:pPr>
        <w:snapToGrid w:val="0"/>
        <w:spacing w:line="520" w:lineRule="exact"/>
        <w:ind w:firstLine="640"/>
        <w:rPr>
          <w:rFonts w:eastAsia="方正仿宋_GBK"/>
          <w:sz w:val="32"/>
          <w:szCs w:val="32"/>
        </w:rPr>
      </w:pPr>
      <w:r>
        <w:rPr>
          <w:rFonts w:eastAsia="方正仿宋_GBK"/>
          <w:sz w:val="32"/>
          <w:szCs w:val="32"/>
        </w:rPr>
        <w:t>十九是组织协调全县重大基础研究和应用基础研究。</w:t>
      </w:r>
    </w:p>
    <w:p w:rsidR="00EC184F" w:rsidRDefault="00DC6B00">
      <w:pPr>
        <w:snapToGrid w:val="0"/>
        <w:spacing w:line="520" w:lineRule="exact"/>
        <w:ind w:firstLine="640"/>
        <w:rPr>
          <w:rFonts w:eastAsia="方正仿宋_GBK"/>
          <w:sz w:val="32"/>
          <w:szCs w:val="32"/>
        </w:rPr>
      </w:pPr>
      <w:r>
        <w:rPr>
          <w:rFonts w:eastAsia="方正仿宋_GBK"/>
          <w:sz w:val="32"/>
          <w:szCs w:val="32"/>
        </w:rPr>
        <w:lastRenderedPageBreak/>
        <w:t>二十是拟订推进攀西国家战略资源创新开发试验区建设发展的科技支撑计划并组织实施。编制全县重大科技专项方案并组织实施。统筹经济社会发展重要领域的关键共性技术、前沿引领技术、现代工程技术、颠覆性计划的研发和创新，牵头组织重大科技攻关和成果应用示范。组织开展重点领域技术发展需求分析，提出重大科技发展建议并组织实施。负责组织科学技术奖等科技评奖的申报、审核、推荐工作。</w:t>
      </w:r>
    </w:p>
    <w:p w:rsidR="00EC184F" w:rsidRDefault="00DC6B00">
      <w:pPr>
        <w:snapToGrid w:val="0"/>
        <w:spacing w:line="520" w:lineRule="exact"/>
        <w:ind w:firstLine="640"/>
        <w:rPr>
          <w:rFonts w:eastAsia="方正仿宋_GBK"/>
          <w:sz w:val="32"/>
          <w:szCs w:val="32"/>
        </w:rPr>
      </w:pPr>
      <w:r>
        <w:rPr>
          <w:rFonts w:eastAsia="方正仿宋_GBK"/>
          <w:sz w:val="32"/>
          <w:szCs w:val="32"/>
        </w:rPr>
        <w:t>二十一是组织拟订高新技术发展及产业化的规划和政策措施并组织实施。指导高新技术企业、创新型企业申报和创新平台建设，负责县级创新平台认定管理工作。组织开展科技型中小企业评价的初审工作。</w:t>
      </w:r>
    </w:p>
    <w:p w:rsidR="00EC184F" w:rsidRDefault="00DC6B00">
      <w:pPr>
        <w:snapToGrid w:val="0"/>
        <w:spacing w:line="520" w:lineRule="exact"/>
        <w:ind w:firstLine="640"/>
        <w:rPr>
          <w:rFonts w:eastAsia="方正仿宋_GBK"/>
          <w:sz w:val="32"/>
          <w:szCs w:val="32"/>
        </w:rPr>
      </w:pPr>
      <w:r>
        <w:rPr>
          <w:rFonts w:eastAsia="方正仿宋_GBK"/>
          <w:sz w:val="32"/>
          <w:szCs w:val="32"/>
        </w:rPr>
        <w:t>二十二是组织拟订科技促进农业农村和社会发展的规划、政策、措施，指导现代农业示范基地建设，推进科技服务民生工作。拟订科学普及、科学传播规划和政策措施并组织实施。</w:t>
      </w:r>
    </w:p>
    <w:p w:rsidR="00EC184F" w:rsidRDefault="00DC6B00">
      <w:pPr>
        <w:snapToGrid w:val="0"/>
        <w:spacing w:line="520" w:lineRule="exact"/>
        <w:ind w:firstLine="640"/>
        <w:rPr>
          <w:rFonts w:eastAsia="方正仿宋_GBK"/>
          <w:sz w:val="32"/>
          <w:szCs w:val="32"/>
        </w:rPr>
      </w:pPr>
      <w:r>
        <w:rPr>
          <w:rFonts w:eastAsia="方正仿宋_GBK"/>
          <w:sz w:val="32"/>
          <w:szCs w:val="32"/>
        </w:rPr>
        <w:t>二十三是牵头全县技术转移体系建设，拟订科技成果转移转化和促进产学研结合的相关政策措施并组织实施。指导科技服务业、技术市场和科技中介组织发展。</w:t>
      </w:r>
    </w:p>
    <w:p w:rsidR="00EC184F" w:rsidRDefault="00DC6B00">
      <w:pPr>
        <w:snapToGrid w:val="0"/>
        <w:spacing w:line="520" w:lineRule="exact"/>
        <w:ind w:firstLine="640"/>
        <w:rPr>
          <w:rFonts w:eastAsia="方正仿宋_GBK"/>
          <w:sz w:val="32"/>
          <w:szCs w:val="32"/>
        </w:rPr>
      </w:pPr>
      <w:r>
        <w:rPr>
          <w:rFonts w:eastAsia="方正仿宋_GBK"/>
          <w:sz w:val="32"/>
          <w:szCs w:val="32"/>
        </w:rPr>
        <w:t>二十四是统筹区域科技创新体系建设，指导区域创新发展、科技资源合理布局和协同创新能力建设，推动高新技术园区建设。</w:t>
      </w:r>
    </w:p>
    <w:p w:rsidR="00EC184F" w:rsidRDefault="00DC6B00">
      <w:pPr>
        <w:snapToGrid w:val="0"/>
        <w:spacing w:line="520" w:lineRule="exact"/>
        <w:ind w:firstLine="640"/>
        <w:rPr>
          <w:rFonts w:eastAsia="方正仿宋_GBK"/>
          <w:sz w:val="32"/>
          <w:szCs w:val="32"/>
        </w:rPr>
      </w:pPr>
      <w:r>
        <w:rPr>
          <w:rFonts w:eastAsia="方正仿宋_GBK"/>
          <w:sz w:val="32"/>
          <w:szCs w:val="32"/>
        </w:rPr>
        <w:t>二十五是会同有关部门拟订科技人才队伍建设规划和政策，建立健全科技人才评价和激励机制，组织实施科技人才计划，推动高端科技创新人才队伍建设。</w:t>
      </w:r>
    </w:p>
    <w:p w:rsidR="00EC184F" w:rsidRDefault="00DC6B00">
      <w:pPr>
        <w:snapToGrid w:val="0"/>
        <w:spacing w:line="520" w:lineRule="exact"/>
        <w:ind w:firstLine="640"/>
        <w:rPr>
          <w:rFonts w:eastAsia="方正仿宋_GBK"/>
          <w:sz w:val="32"/>
          <w:szCs w:val="32"/>
        </w:rPr>
      </w:pPr>
      <w:r>
        <w:rPr>
          <w:rFonts w:eastAsia="方正仿宋_GBK"/>
          <w:sz w:val="32"/>
          <w:szCs w:val="32"/>
        </w:rPr>
        <w:t>二十六是负责科技监督评价体系建设和相关科技评估</w:t>
      </w:r>
      <w:r>
        <w:rPr>
          <w:rFonts w:eastAsia="方正仿宋_GBK"/>
          <w:sz w:val="32"/>
          <w:szCs w:val="32"/>
        </w:rPr>
        <w:lastRenderedPageBreak/>
        <w:t>管理，指导科技评价机制改革，统筹科研诚信建设。组织实施全县创新调查和科技报告制度，指导全县科技保密相关工作。</w:t>
      </w:r>
    </w:p>
    <w:p w:rsidR="00EC184F" w:rsidRDefault="00DC6B00">
      <w:pPr>
        <w:snapToGrid w:val="0"/>
        <w:spacing w:line="520" w:lineRule="exact"/>
        <w:ind w:firstLine="640"/>
        <w:rPr>
          <w:rFonts w:eastAsia="方正仿宋_GBK"/>
          <w:sz w:val="32"/>
          <w:szCs w:val="32"/>
        </w:rPr>
      </w:pPr>
      <w:r>
        <w:rPr>
          <w:rFonts w:eastAsia="方正仿宋_GBK"/>
          <w:sz w:val="32"/>
          <w:szCs w:val="32"/>
        </w:rPr>
        <w:t>二十七是负责全县工业、信息化、无线电管理、非公有制经济、工业循环经济等权限内有关行政审批事项的初审、转报、审批。</w:t>
      </w:r>
    </w:p>
    <w:p w:rsidR="00EC184F" w:rsidRDefault="00DC6B00">
      <w:pPr>
        <w:snapToGrid w:val="0"/>
        <w:spacing w:line="520" w:lineRule="exact"/>
        <w:ind w:firstLine="640"/>
        <w:rPr>
          <w:rFonts w:eastAsia="方正仿宋_GBK"/>
          <w:sz w:val="32"/>
          <w:szCs w:val="32"/>
        </w:rPr>
      </w:pPr>
      <w:r>
        <w:rPr>
          <w:rFonts w:eastAsia="方正仿宋_GBK"/>
          <w:sz w:val="32"/>
          <w:szCs w:val="32"/>
        </w:rPr>
        <w:t>二十八是拟订科技对外交流与创新能力开放合作的规划和政策措施，组织开展对外科技合作与科技人才交流。负责有关科技博览展会参展推广的组织协调工作。</w:t>
      </w:r>
    </w:p>
    <w:p w:rsidR="00EC184F" w:rsidRDefault="00DC6B00">
      <w:pPr>
        <w:snapToGrid w:val="0"/>
        <w:spacing w:line="520" w:lineRule="exact"/>
        <w:ind w:firstLine="640"/>
        <w:rPr>
          <w:rFonts w:eastAsia="方正仿宋_GBK"/>
          <w:sz w:val="32"/>
          <w:szCs w:val="32"/>
        </w:rPr>
      </w:pPr>
      <w:r>
        <w:rPr>
          <w:rFonts w:eastAsia="方正仿宋_GBK"/>
          <w:sz w:val="32"/>
          <w:szCs w:val="32"/>
        </w:rPr>
        <w:t>二十九是负责引进国外智力工作。拟订全县重点引进外国专家总体规划、计划并组织实施，建立外国顶尖专家、团队吸引集聚机制和重点外国专家联系服务机制。拟订出国（境）培训总体规划、政策和年度计划并监督实施。</w:t>
      </w:r>
    </w:p>
    <w:p w:rsidR="00EC184F" w:rsidRDefault="00DC6B00">
      <w:pPr>
        <w:snapToGrid w:val="0"/>
        <w:spacing w:line="520" w:lineRule="exact"/>
        <w:ind w:firstLine="640"/>
        <w:rPr>
          <w:rFonts w:eastAsia="方正仿宋_GBK"/>
          <w:sz w:val="32"/>
          <w:szCs w:val="32"/>
        </w:rPr>
      </w:pPr>
      <w:r>
        <w:rPr>
          <w:rFonts w:eastAsia="方正仿宋_GBK"/>
          <w:sz w:val="32"/>
          <w:szCs w:val="32"/>
        </w:rPr>
        <w:t>三十是负责职责范围内安全生产和职业健康、生态环境保护、审批服务便民化等工作。</w:t>
      </w:r>
    </w:p>
    <w:p w:rsidR="00EC184F" w:rsidRDefault="00DC6B00">
      <w:pPr>
        <w:snapToGrid w:val="0"/>
        <w:spacing w:line="520" w:lineRule="exact"/>
        <w:ind w:firstLine="640"/>
        <w:rPr>
          <w:rFonts w:eastAsia="楷体_GB2312"/>
          <w:color w:val="000000"/>
          <w:sz w:val="32"/>
          <w:szCs w:val="32"/>
          <w:shd w:val="clear" w:color="auto" w:fill="FFFFFF"/>
        </w:rPr>
      </w:pPr>
      <w:r>
        <w:rPr>
          <w:rFonts w:eastAsia="方正仿宋_GBK"/>
          <w:sz w:val="32"/>
          <w:szCs w:val="32"/>
        </w:rPr>
        <w:t>三十一是完成县委、县政府交办的其他任务。</w:t>
      </w:r>
    </w:p>
    <w:p w:rsidR="00EC184F" w:rsidRDefault="00DC6B00">
      <w:pPr>
        <w:widowControl/>
        <w:adjustRightInd w:val="0"/>
        <w:snapToGrid w:val="0"/>
        <w:spacing w:line="560" w:lineRule="exact"/>
        <w:ind w:firstLine="640"/>
        <w:contextualSpacing/>
        <w:rPr>
          <w:rFonts w:eastAsia="楷体_GB2312"/>
          <w:color w:val="000000"/>
          <w:sz w:val="32"/>
          <w:szCs w:val="32"/>
          <w:shd w:val="clear" w:color="auto" w:fill="FFFFFF"/>
          <w:lang w:val="zh-CN"/>
        </w:rPr>
      </w:pPr>
      <w:r>
        <w:rPr>
          <w:rFonts w:eastAsia="方正楷体_GBK"/>
          <w:color w:val="000000"/>
          <w:sz w:val="32"/>
          <w:szCs w:val="32"/>
          <w:shd w:val="clear" w:color="auto" w:fill="FFFFFF"/>
          <w:lang w:val="zh-CN"/>
        </w:rPr>
        <w:t>（三）人员概况</w:t>
      </w:r>
    </w:p>
    <w:p w:rsidR="00EC184F" w:rsidRDefault="00DC6B00">
      <w:pPr>
        <w:snapToGrid w:val="0"/>
        <w:spacing w:line="520" w:lineRule="exact"/>
        <w:ind w:firstLine="640"/>
        <w:rPr>
          <w:rFonts w:eastAsia="方正仿宋_GBK"/>
          <w:sz w:val="32"/>
          <w:szCs w:val="32"/>
        </w:rPr>
      </w:pPr>
      <w:r>
        <w:rPr>
          <w:rFonts w:eastAsia="方正仿宋_GBK"/>
          <w:sz w:val="32"/>
          <w:szCs w:val="32"/>
        </w:rPr>
        <w:t>行政编制有</w:t>
      </w:r>
      <w:r>
        <w:rPr>
          <w:rFonts w:eastAsia="方正仿宋_GBK"/>
          <w:sz w:val="32"/>
          <w:szCs w:val="32"/>
        </w:rPr>
        <w:t>17</w:t>
      </w:r>
      <w:r>
        <w:rPr>
          <w:rFonts w:eastAsia="方正仿宋_GBK"/>
          <w:sz w:val="32"/>
          <w:szCs w:val="32"/>
        </w:rPr>
        <w:t>人，机关工勤编制</w:t>
      </w:r>
      <w:r>
        <w:rPr>
          <w:rFonts w:eastAsia="方正仿宋_GBK"/>
          <w:sz w:val="32"/>
          <w:szCs w:val="32"/>
        </w:rPr>
        <w:t>3</w:t>
      </w:r>
      <w:r>
        <w:rPr>
          <w:rFonts w:eastAsia="方正仿宋_GBK"/>
          <w:sz w:val="32"/>
          <w:szCs w:val="32"/>
        </w:rPr>
        <w:t>人，年末实有人员</w:t>
      </w:r>
      <w:r>
        <w:rPr>
          <w:rFonts w:eastAsia="方正仿宋_GBK"/>
          <w:sz w:val="32"/>
          <w:szCs w:val="32"/>
        </w:rPr>
        <w:t>20</w:t>
      </w:r>
      <w:r>
        <w:rPr>
          <w:rFonts w:eastAsia="方正仿宋_GBK"/>
          <w:sz w:val="32"/>
          <w:szCs w:val="32"/>
        </w:rPr>
        <w:t>人，较上年增加</w:t>
      </w:r>
      <w:r>
        <w:rPr>
          <w:rFonts w:eastAsia="方正仿宋_GBK"/>
          <w:sz w:val="32"/>
          <w:szCs w:val="32"/>
        </w:rPr>
        <w:t>1</w:t>
      </w:r>
      <w:r>
        <w:rPr>
          <w:rFonts w:eastAsia="方正仿宋_GBK"/>
          <w:sz w:val="32"/>
          <w:szCs w:val="32"/>
        </w:rPr>
        <w:t>人，原因为</w:t>
      </w:r>
      <w:r>
        <w:rPr>
          <w:rFonts w:eastAsia="方正仿宋_GBK"/>
          <w:sz w:val="32"/>
          <w:szCs w:val="32"/>
        </w:rPr>
        <w:t>2</w:t>
      </w:r>
      <w:r>
        <w:rPr>
          <w:rFonts w:eastAsia="方正仿宋_GBK"/>
          <w:sz w:val="32"/>
          <w:szCs w:val="32"/>
        </w:rPr>
        <w:t>人退休，</w:t>
      </w:r>
      <w:r>
        <w:rPr>
          <w:rFonts w:eastAsia="方正仿宋_GBK"/>
          <w:sz w:val="32"/>
          <w:szCs w:val="32"/>
        </w:rPr>
        <w:t>4</w:t>
      </w:r>
      <w:r>
        <w:rPr>
          <w:rFonts w:eastAsia="方正仿宋_GBK"/>
          <w:sz w:val="32"/>
          <w:szCs w:val="32"/>
        </w:rPr>
        <w:t>人调出，</w:t>
      </w:r>
      <w:r>
        <w:rPr>
          <w:rFonts w:eastAsia="方正仿宋_GBK"/>
          <w:sz w:val="32"/>
          <w:szCs w:val="32"/>
        </w:rPr>
        <w:t>7</w:t>
      </w:r>
      <w:r>
        <w:rPr>
          <w:rFonts w:eastAsia="方正仿宋_GBK"/>
          <w:sz w:val="32"/>
          <w:szCs w:val="32"/>
        </w:rPr>
        <w:t>人调入；事业编制</w:t>
      </w:r>
      <w:r>
        <w:rPr>
          <w:rFonts w:eastAsia="方正仿宋_GBK"/>
          <w:sz w:val="32"/>
          <w:szCs w:val="32"/>
        </w:rPr>
        <w:t>23</w:t>
      </w:r>
      <w:r>
        <w:rPr>
          <w:rFonts w:eastAsia="方正仿宋_GBK"/>
          <w:sz w:val="32"/>
          <w:szCs w:val="32"/>
        </w:rPr>
        <w:t>人，年末实有人数</w:t>
      </w:r>
      <w:r>
        <w:rPr>
          <w:rFonts w:eastAsia="方正仿宋_GBK"/>
          <w:sz w:val="32"/>
          <w:szCs w:val="32"/>
        </w:rPr>
        <w:t>14</w:t>
      </w:r>
      <w:r>
        <w:rPr>
          <w:rFonts w:eastAsia="方正仿宋_GBK"/>
          <w:sz w:val="32"/>
          <w:szCs w:val="32"/>
        </w:rPr>
        <w:t>人，较上年减少</w:t>
      </w:r>
      <w:r>
        <w:rPr>
          <w:rFonts w:eastAsia="方正仿宋_GBK"/>
          <w:sz w:val="32"/>
          <w:szCs w:val="32"/>
        </w:rPr>
        <w:t>2</w:t>
      </w:r>
      <w:r>
        <w:rPr>
          <w:rFonts w:eastAsia="方正仿宋_GBK"/>
          <w:sz w:val="32"/>
          <w:szCs w:val="32"/>
        </w:rPr>
        <w:t>人，原因调出参公事业人员</w:t>
      </w:r>
      <w:r>
        <w:rPr>
          <w:rFonts w:eastAsia="方正仿宋_GBK"/>
          <w:sz w:val="32"/>
          <w:szCs w:val="32"/>
        </w:rPr>
        <w:t>2</w:t>
      </w:r>
      <w:r>
        <w:rPr>
          <w:rFonts w:eastAsia="方正仿宋_GBK"/>
          <w:sz w:val="32"/>
          <w:szCs w:val="32"/>
        </w:rPr>
        <w:t>人，年末在职实有人数</w:t>
      </w:r>
      <w:r>
        <w:rPr>
          <w:rFonts w:eastAsia="方正仿宋_GBK"/>
          <w:sz w:val="32"/>
          <w:szCs w:val="32"/>
        </w:rPr>
        <w:t>34</w:t>
      </w:r>
      <w:r>
        <w:rPr>
          <w:rFonts w:eastAsia="方正仿宋_GBK"/>
          <w:sz w:val="32"/>
          <w:szCs w:val="32"/>
        </w:rPr>
        <w:t>人。</w:t>
      </w:r>
    </w:p>
    <w:p w:rsidR="00EC184F" w:rsidRDefault="00DC6B00">
      <w:pPr>
        <w:widowControl/>
        <w:adjustRightInd w:val="0"/>
        <w:snapToGrid w:val="0"/>
        <w:spacing w:line="560" w:lineRule="exact"/>
        <w:ind w:firstLine="640"/>
        <w:contextualSpacing/>
        <w:rPr>
          <w:rFonts w:eastAsia="方正楷体_GBK"/>
          <w:color w:val="000000"/>
          <w:sz w:val="32"/>
          <w:szCs w:val="32"/>
          <w:shd w:val="clear" w:color="auto" w:fill="FFFFFF"/>
          <w:lang w:val="zh-CN"/>
        </w:rPr>
      </w:pPr>
      <w:r>
        <w:rPr>
          <w:rFonts w:eastAsia="方正楷体_GBK" w:hint="eastAsia"/>
          <w:color w:val="000000"/>
          <w:sz w:val="32"/>
          <w:szCs w:val="32"/>
          <w:shd w:val="clear" w:color="auto" w:fill="FFFFFF"/>
          <w:lang w:val="zh-CN"/>
        </w:rPr>
        <w:t>（四）年度主要工作任务</w:t>
      </w:r>
    </w:p>
    <w:p w:rsidR="00EC184F" w:rsidRDefault="00DC6B00">
      <w:pPr>
        <w:snapToGrid w:val="0"/>
        <w:spacing w:line="520" w:lineRule="exact"/>
        <w:ind w:firstLine="640"/>
        <w:rPr>
          <w:rFonts w:eastAsia="方正仿宋_GBK"/>
          <w:sz w:val="32"/>
          <w:szCs w:val="32"/>
        </w:rPr>
      </w:pPr>
      <w:r>
        <w:rPr>
          <w:rFonts w:eastAsia="方正仿宋_GBK" w:hint="eastAsia"/>
          <w:sz w:val="32"/>
          <w:szCs w:val="32"/>
        </w:rPr>
        <w:t xml:space="preserve">1. </w:t>
      </w:r>
      <w:r>
        <w:rPr>
          <w:rFonts w:eastAsia="方正仿宋_GBK" w:hint="eastAsia"/>
          <w:sz w:val="32"/>
          <w:szCs w:val="32"/>
        </w:rPr>
        <w:t>工业经济主要指标运行稳定</w:t>
      </w:r>
      <w:r>
        <w:rPr>
          <w:rFonts w:eastAsia="方正仿宋_GBK" w:hint="eastAsia"/>
          <w:sz w:val="32"/>
          <w:szCs w:val="32"/>
        </w:rPr>
        <w:t xml:space="preserve">, </w:t>
      </w:r>
      <w:r>
        <w:rPr>
          <w:rFonts w:eastAsia="方正仿宋_GBK" w:hint="eastAsia"/>
          <w:sz w:val="32"/>
          <w:szCs w:val="32"/>
        </w:rPr>
        <w:t>统筹推进项目建设、工业招商、升规培育。</w:t>
      </w:r>
    </w:p>
    <w:p w:rsidR="00EC184F" w:rsidRDefault="00DC6B00">
      <w:pPr>
        <w:snapToGrid w:val="0"/>
        <w:spacing w:line="520" w:lineRule="exact"/>
        <w:ind w:firstLine="640"/>
        <w:rPr>
          <w:rFonts w:eastAsia="方正仿宋_GBK"/>
          <w:sz w:val="32"/>
          <w:szCs w:val="32"/>
        </w:rPr>
      </w:pPr>
      <w:r>
        <w:rPr>
          <w:rFonts w:eastAsia="方正仿宋_GBK" w:hint="eastAsia"/>
          <w:sz w:val="32"/>
          <w:szCs w:val="32"/>
        </w:rPr>
        <w:t xml:space="preserve">2. </w:t>
      </w:r>
      <w:r>
        <w:rPr>
          <w:rFonts w:eastAsia="方正仿宋_GBK" w:hint="eastAsia"/>
          <w:sz w:val="32"/>
          <w:szCs w:val="32"/>
        </w:rPr>
        <w:t>加强行业管理</w:t>
      </w:r>
      <w:r>
        <w:rPr>
          <w:rFonts w:eastAsia="方正仿宋_GBK" w:hint="eastAsia"/>
          <w:sz w:val="32"/>
          <w:szCs w:val="32"/>
        </w:rPr>
        <w:t xml:space="preserve">, </w:t>
      </w:r>
      <w:r>
        <w:rPr>
          <w:rFonts w:eastAsia="方正仿宋_GBK" w:hint="eastAsia"/>
          <w:sz w:val="32"/>
          <w:szCs w:val="32"/>
        </w:rPr>
        <w:t>提升企业安全、环保治理水平，严守安全、环保两个底线。</w:t>
      </w:r>
    </w:p>
    <w:p w:rsidR="00EC184F" w:rsidRDefault="00DC6B00">
      <w:pPr>
        <w:snapToGrid w:val="0"/>
        <w:spacing w:line="520" w:lineRule="exact"/>
        <w:ind w:firstLine="640"/>
        <w:rPr>
          <w:rFonts w:eastAsia="方正仿宋_GBK"/>
          <w:sz w:val="32"/>
          <w:szCs w:val="32"/>
        </w:rPr>
      </w:pPr>
      <w:r>
        <w:rPr>
          <w:rFonts w:eastAsia="方正仿宋_GBK" w:hint="eastAsia"/>
          <w:sz w:val="32"/>
          <w:szCs w:val="32"/>
        </w:rPr>
        <w:lastRenderedPageBreak/>
        <w:t xml:space="preserve">3. </w:t>
      </w:r>
      <w:r>
        <w:rPr>
          <w:rFonts w:eastAsia="方正仿宋_GBK" w:hint="eastAsia"/>
          <w:sz w:val="32"/>
          <w:szCs w:val="32"/>
        </w:rPr>
        <w:t>强化协调服务，助推企业持续健康发展</w:t>
      </w:r>
      <w:r>
        <w:rPr>
          <w:rFonts w:eastAsia="方正仿宋_GBK" w:hint="eastAsia"/>
          <w:sz w:val="32"/>
          <w:szCs w:val="32"/>
        </w:rPr>
        <w:t xml:space="preserve">, </w:t>
      </w:r>
      <w:r>
        <w:rPr>
          <w:rFonts w:eastAsia="方正仿宋_GBK" w:hint="eastAsia"/>
          <w:sz w:val="32"/>
          <w:szCs w:val="32"/>
        </w:rPr>
        <w:t>要素的协调保障，技术改造，中小企业培育。</w:t>
      </w:r>
    </w:p>
    <w:p w:rsidR="00EC184F" w:rsidRDefault="00DC6B00">
      <w:pPr>
        <w:snapToGrid w:val="0"/>
        <w:spacing w:line="520" w:lineRule="exact"/>
        <w:ind w:firstLine="640"/>
        <w:rPr>
          <w:rFonts w:eastAsia="方正仿宋_GBK"/>
          <w:sz w:val="32"/>
          <w:szCs w:val="32"/>
        </w:rPr>
      </w:pPr>
      <w:r>
        <w:rPr>
          <w:rFonts w:eastAsia="方正仿宋_GBK" w:hint="eastAsia"/>
          <w:sz w:val="32"/>
          <w:szCs w:val="32"/>
        </w:rPr>
        <w:t xml:space="preserve">4. </w:t>
      </w:r>
      <w:r>
        <w:rPr>
          <w:rFonts w:eastAsia="方正仿宋_GBK" w:hint="eastAsia"/>
          <w:sz w:val="32"/>
          <w:szCs w:val="32"/>
        </w:rPr>
        <w:t>科技创新工作</w:t>
      </w:r>
      <w:r>
        <w:rPr>
          <w:rFonts w:eastAsia="方正仿宋_GBK" w:hint="eastAsia"/>
          <w:sz w:val="32"/>
          <w:szCs w:val="32"/>
        </w:rPr>
        <w:t xml:space="preserve">, </w:t>
      </w:r>
      <w:r>
        <w:rPr>
          <w:rFonts w:eastAsia="方正仿宋_GBK" w:hint="eastAsia"/>
          <w:sz w:val="32"/>
          <w:szCs w:val="32"/>
        </w:rPr>
        <w:t>建设乡村振兴在线服务平台，结合实施科技特派员工作，促进脱贫攻坚与乡村振兴有效衔接。培育高新技术企业。</w:t>
      </w:r>
    </w:p>
    <w:p w:rsidR="00EC184F" w:rsidRDefault="00DC6B00">
      <w:pPr>
        <w:snapToGrid w:val="0"/>
        <w:spacing w:line="520" w:lineRule="exact"/>
        <w:ind w:firstLine="640"/>
        <w:rPr>
          <w:rFonts w:eastAsia="方正仿宋_GBK"/>
          <w:sz w:val="32"/>
          <w:szCs w:val="32"/>
        </w:rPr>
      </w:pPr>
      <w:r>
        <w:rPr>
          <w:rFonts w:eastAsia="方正仿宋_GBK" w:hint="eastAsia"/>
          <w:sz w:val="32"/>
          <w:szCs w:val="32"/>
        </w:rPr>
        <w:t xml:space="preserve">5. </w:t>
      </w:r>
      <w:r>
        <w:rPr>
          <w:rFonts w:eastAsia="方正仿宋_GBK" w:hint="eastAsia"/>
          <w:sz w:val="32"/>
          <w:szCs w:val="32"/>
        </w:rPr>
        <w:t>推动天府科技云工作有效开展，进一步完善联席会议制度，加大天府科技云宣传力度，加大个人和企事业单位平台用户注册，扎实开展“保姆式”服务工作，做好科技交易服务工作。</w:t>
      </w:r>
    </w:p>
    <w:p w:rsidR="00EC184F" w:rsidRDefault="00DC6B00">
      <w:pPr>
        <w:snapToGrid w:val="0"/>
        <w:spacing w:line="520" w:lineRule="exact"/>
        <w:ind w:firstLine="640"/>
        <w:rPr>
          <w:rFonts w:eastAsia="方正仿宋_GBK"/>
          <w:sz w:val="32"/>
          <w:szCs w:val="32"/>
        </w:rPr>
      </w:pPr>
      <w:r>
        <w:rPr>
          <w:rFonts w:eastAsia="方正仿宋_GBK" w:hint="eastAsia"/>
          <w:sz w:val="32"/>
          <w:szCs w:val="32"/>
        </w:rPr>
        <w:t xml:space="preserve">6. </w:t>
      </w:r>
      <w:r>
        <w:rPr>
          <w:rFonts w:eastAsia="方正仿宋_GBK" w:hint="eastAsia"/>
          <w:sz w:val="32"/>
          <w:szCs w:val="32"/>
        </w:rPr>
        <w:t>稳步提升全民科学素质，不断优化科学馆运行机制，组织好各类培训活动，积极开展科普宣传。</w:t>
      </w:r>
    </w:p>
    <w:p w:rsidR="00EC184F" w:rsidRDefault="00DC6B00">
      <w:pPr>
        <w:widowControl/>
        <w:adjustRightInd w:val="0"/>
        <w:snapToGrid w:val="0"/>
        <w:spacing w:line="560" w:lineRule="exact"/>
        <w:ind w:firstLine="640"/>
        <w:contextualSpacing/>
        <w:rPr>
          <w:rFonts w:eastAsia="方正楷体_GBK"/>
          <w:color w:val="000000"/>
          <w:sz w:val="32"/>
          <w:szCs w:val="32"/>
          <w:shd w:val="clear" w:color="auto" w:fill="FFFFFF"/>
          <w:lang w:val="zh-CN"/>
        </w:rPr>
      </w:pPr>
      <w:r>
        <w:rPr>
          <w:rFonts w:eastAsia="方正楷体_GBK" w:hint="eastAsia"/>
          <w:color w:val="000000"/>
          <w:sz w:val="32"/>
          <w:szCs w:val="32"/>
          <w:shd w:val="clear" w:color="auto" w:fill="FFFFFF"/>
          <w:lang w:val="zh-CN"/>
        </w:rPr>
        <w:t>（五）部门整体支出绩效目标</w:t>
      </w:r>
    </w:p>
    <w:p w:rsidR="00EC184F" w:rsidRDefault="00DC6B00">
      <w:pPr>
        <w:snapToGrid w:val="0"/>
        <w:spacing w:line="520" w:lineRule="exact"/>
        <w:ind w:firstLine="640"/>
        <w:rPr>
          <w:rFonts w:eastAsia="方正仿宋_GBK"/>
          <w:sz w:val="32"/>
          <w:szCs w:val="32"/>
        </w:rPr>
      </w:pPr>
      <w:r>
        <w:rPr>
          <w:rFonts w:eastAsia="方正仿宋_GBK" w:hint="eastAsia"/>
          <w:sz w:val="32"/>
          <w:szCs w:val="32"/>
        </w:rPr>
        <w:t>1.</w:t>
      </w:r>
      <w:r>
        <w:rPr>
          <w:rFonts w:eastAsia="方正仿宋_GBK" w:hint="eastAsia"/>
          <w:sz w:val="32"/>
          <w:szCs w:val="32"/>
        </w:rPr>
        <w:t>抓目标任务引领。坚持工业要有大作为、大贡献，确保各项指标的完成工作。</w:t>
      </w:r>
      <w:r>
        <w:rPr>
          <w:rFonts w:eastAsia="方正仿宋_GBK" w:hint="eastAsia"/>
          <w:sz w:val="32"/>
          <w:szCs w:val="32"/>
        </w:rPr>
        <w:t xml:space="preserve">                                                                     </w:t>
      </w:r>
    </w:p>
    <w:p w:rsidR="00EC184F" w:rsidRDefault="00DC6B00">
      <w:pPr>
        <w:snapToGrid w:val="0"/>
        <w:spacing w:line="520" w:lineRule="exact"/>
        <w:ind w:firstLine="640"/>
        <w:rPr>
          <w:rFonts w:eastAsia="方正仿宋_GBK"/>
          <w:sz w:val="32"/>
          <w:szCs w:val="32"/>
        </w:rPr>
      </w:pPr>
      <w:r>
        <w:rPr>
          <w:rFonts w:eastAsia="方正仿宋_GBK" w:hint="eastAsia"/>
          <w:sz w:val="32"/>
          <w:szCs w:val="32"/>
        </w:rPr>
        <w:t>2.</w:t>
      </w:r>
      <w:r>
        <w:rPr>
          <w:rFonts w:eastAsia="方正仿宋_GBK" w:hint="eastAsia"/>
          <w:sz w:val="32"/>
          <w:szCs w:val="32"/>
        </w:rPr>
        <w:t>抓产业结构调整。根据现有产业布局、特点和发展要求，围绕攀钢、龙蟒、昆钢等龙头企业，做好延链、补链、强链招商引资工作，加快招引一批钒钛钢铁、新能源新材料等重大项目，进一步优化产业结构，做强传统支柱产业，壮大新兴优势产业。</w:t>
      </w:r>
    </w:p>
    <w:p w:rsidR="00EC184F" w:rsidRDefault="00DC6B00">
      <w:pPr>
        <w:snapToGrid w:val="0"/>
        <w:spacing w:line="520" w:lineRule="exact"/>
        <w:ind w:firstLine="640"/>
        <w:rPr>
          <w:rFonts w:eastAsia="方正仿宋_GBK"/>
          <w:sz w:val="32"/>
          <w:szCs w:val="32"/>
        </w:rPr>
      </w:pPr>
      <w:r>
        <w:rPr>
          <w:rFonts w:eastAsia="方正仿宋_GBK" w:hint="eastAsia"/>
          <w:sz w:val="32"/>
          <w:szCs w:val="32"/>
        </w:rPr>
        <w:t>3.</w:t>
      </w:r>
      <w:r>
        <w:rPr>
          <w:rFonts w:eastAsia="方正仿宋_GBK" w:hint="eastAsia"/>
          <w:sz w:val="32"/>
          <w:szCs w:val="32"/>
        </w:rPr>
        <w:t>抓工业项目建设。</w:t>
      </w:r>
    </w:p>
    <w:p w:rsidR="00EC184F" w:rsidRDefault="00DC6B00">
      <w:pPr>
        <w:snapToGrid w:val="0"/>
        <w:spacing w:line="520" w:lineRule="exact"/>
        <w:ind w:firstLine="640"/>
        <w:rPr>
          <w:rFonts w:eastAsia="方正仿宋_GBK"/>
          <w:sz w:val="32"/>
          <w:szCs w:val="32"/>
        </w:rPr>
      </w:pPr>
      <w:r>
        <w:rPr>
          <w:rFonts w:eastAsia="方正仿宋_GBK" w:hint="eastAsia"/>
          <w:sz w:val="32"/>
          <w:szCs w:val="32"/>
        </w:rPr>
        <w:t>4.</w:t>
      </w:r>
      <w:r>
        <w:rPr>
          <w:rFonts w:eastAsia="方正仿宋_GBK" w:hint="eastAsia"/>
          <w:sz w:val="32"/>
          <w:szCs w:val="32"/>
        </w:rPr>
        <w:t>抓政务服务环境。全面贯彻落实促进民营经济健康发展各项政策措施，加大向上争取政策资金力度，强化生产要素保障，进一步营造重商、亲商、爱商、安商的良好氛围。</w:t>
      </w:r>
    </w:p>
    <w:p w:rsidR="00EC184F" w:rsidRDefault="00DC6B00">
      <w:pPr>
        <w:snapToGrid w:val="0"/>
        <w:spacing w:line="520" w:lineRule="exact"/>
        <w:ind w:firstLine="640"/>
        <w:rPr>
          <w:rFonts w:eastAsia="方正仿宋_GBK"/>
          <w:sz w:val="32"/>
          <w:szCs w:val="32"/>
        </w:rPr>
      </w:pPr>
      <w:r>
        <w:rPr>
          <w:rFonts w:eastAsia="方正仿宋_GBK" w:hint="eastAsia"/>
          <w:sz w:val="32"/>
          <w:szCs w:val="32"/>
        </w:rPr>
        <w:t>5.</w:t>
      </w:r>
      <w:r>
        <w:rPr>
          <w:rFonts w:eastAsia="方正仿宋_GBK" w:hint="eastAsia"/>
          <w:sz w:val="32"/>
          <w:szCs w:val="32"/>
        </w:rPr>
        <w:t>抓安全环保工作。持续抓好行业安全生产、环境保护工作，统筹协调，为企业做好指导服务工作，督促企业履行安全生产和环境保护主体责任，提升企业安全、环保治理水</w:t>
      </w:r>
      <w:r>
        <w:rPr>
          <w:rFonts w:eastAsia="方正仿宋_GBK" w:hint="eastAsia"/>
          <w:sz w:val="32"/>
          <w:szCs w:val="32"/>
        </w:rPr>
        <w:lastRenderedPageBreak/>
        <w:t>平，严守安全、环保两个底线。</w:t>
      </w:r>
    </w:p>
    <w:p w:rsidR="00EC184F" w:rsidRDefault="00DC6B00">
      <w:pPr>
        <w:snapToGrid w:val="0"/>
        <w:spacing w:line="520" w:lineRule="exact"/>
        <w:ind w:firstLine="640"/>
        <w:rPr>
          <w:rFonts w:eastAsia="方正仿宋_GBK"/>
          <w:sz w:val="32"/>
          <w:szCs w:val="32"/>
        </w:rPr>
      </w:pPr>
      <w:r>
        <w:rPr>
          <w:rFonts w:eastAsia="方正仿宋_GBK" w:hint="eastAsia"/>
          <w:sz w:val="32"/>
          <w:szCs w:val="32"/>
        </w:rPr>
        <w:t>6.</w:t>
      </w:r>
      <w:r>
        <w:rPr>
          <w:rFonts w:eastAsia="方正仿宋_GBK" w:hint="eastAsia"/>
          <w:sz w:val="32"/>
          <w:szCs w:val="32"/>
        </w:rPr>
        <w:t>抓科技创新工作。抓好省市科技项目的申报和管理工作，积极争取省市科技资金，深入推动科技创新驱动引领高质量发展；开展乡村振兴在线服务平台建设，结合实施科技特派员工作，促进脱贫攻坚与乡村振兴有效衔接；大力实施高新技术企业倍增计划，进一步加大高新技术企业培育力度，促进高新技术企业健康、快速发展。</w:t>
      </w:r>
    </w:p>
    <w:p w:rsidR="00EC184F" w:rsidRDefault="00DC6B00">
      <w:pPr>
        <w:widowControl/>
        <w:adjustRightInd w:val="0"/>
        <w:snapToGrid w:val="0"/>
        <w:spacing w:line="560" w:lineRule="exact"/>
        <w:ind w:firstLine="640"/>
        <w:contextualSpacing/>
        <w:rPr>
          <w:rFonts w:eastAsia="方正黑体_GBK"/>
          <w:color w:val="000000"/>
          <w:sz w:val="32"/>
          <w:szCs w:val="32"/>
          <w:shd w:val="clear" w:color="auto" w:fill="FFFFFF"/>
        </w:rPr>
      </w:pPr>
      <w:r>
        <w:rPr>
          <w:rFonts w:eastAsia="方正黑体_GBK"/>
          <w:color w:val="000000"/>
          <w:sz w:val="32"/>
          <w:szCs w:val="32"/>
          <w:shd w:val="clear" w:color="auto" w:fill="FFFFFF"/>
        </w:rPr>
        <w:t>二、部门资金收支情况</w:t>
      </w:r>
    </w:p>
    <w:p w:rsidR="00EC184F" w:rsidRDefault="00DC6B00">
      <w:pPr>
        <w:widowControl/>
        <w:adjustRightInd w:val="0"/>
        <w:snapToGrid w:val="0"/>
        <w:spacing w:line="560" w:lineRule="exact"/>
        <w:ind w:firstLine="640"/>
        <w:contextualSpacing/>
        <w:rPr>
          <w:rFonts w:eastAsia="方正楷体_GBK"/>
          <w:color w:val="000000"/>
          <w:sz w:val="32"/>
          <w:szCs w:val="32"/>
          <w:shd w:val="clear" w:color="auto" w:fill="FFFFFF"/>
          <w:lang w:val="zh-CN"/>
        </w:rPr>
      </w:pPr>
      <w:r>
        <w:rPr>
          <w:rFonts w:eastAsia="方正楷体_GBK"/>
          <w:color w:val="000000"/>
          <w:sz w:val="32"/>
          <w:szCs w:val="32"/>
          <w:shd w:val="clear" w:color="auto" w:fill="FFFFFF"/>
          <w:lang w:val="zh-CN"/>
        </w:rPr>
        <w:t>（一）部门</w:t>
      </w:r>
      <w:r>
        <w:rPr>
          <w:rFonts w:eastAsia="方正楷体_GBK" w:hint="eastAsia"/>
          <w:color w:val="000000"/>
          <w:sz w:val="32"/>
          <w:szCs w:val="32"/>
          <w:shd w:val="clear" w:color="auto" w:fill="FFFFFF"/>
          <w:lang w:val="zh-CN"/>
        </w:rPr>
        <w:t>总体</w:t>
      </w:r>
      <w:r>
        <w:rPr>
          <w:rFonts w:eastAsia="方正楷体_GBK"/>
          <w:color w:val="000000"/>
          <w:sz w:val="32"/>
          <w:szCs w:val="32"/>
          <w:shd w:val="clear" w:color="auto" w:fill="FFFFFF"/>
          <w:lang w:val="zh-CN"/>
        </w:rPr>
        <w:t>资金收</w:t>
      </w:r>
      <w:r>
        <w:rPr>
          <w:rFonts w:eastAsia="方正楷体_GBK" w:hint="eastAsia"/>
          <w:color w:val="000000"/>
          <w:sz w:val="32"/>
          <w:szCs w:val="32"/>
          <w:shd w:val="clear" w:color="auto" w:fill="FFFFFF"/>
          <w:lang w:val="zh-CN"/>
        </w:rPr>
        <w:t>支</w:t>
      </w:r>
      <w:r>
        <w:rPr>
          <w:rFonts w:eastAsia="方正楷体_GBK"/>
          <w:color w:val="000000"/>
          <w:sz w:val="32"/>
          <w:szCs w:val="32"/>
          <w:shd w:val="clear" w:color="auto" w:fill="FFFFFF"/>
          <w:lang w:val="zh-CN"/>
        </w:rPr>
        <w:t>情况</w:t>
      </w:r>
    </w:p>
    <w:p w:rsidR="00EC184F" w:rsidRDefault="00DC6B00">
      <w:pPr>
        <w:snapToGrid w:val="0"/>
        <w:spacing w:line="520" w:lineRule="exact"/>
        <w:ind w:firstLine="640"/>
        <w:rPr>
          <w:rFonts w:eastAsia="方正仿宋_GBK"/>
          <w:sz w:val="32"/>
          <w:szCs w:val="32"/>
        </w:rPr>
      </w:pPr>
      <w:r>
        <w:rPr>
          <w:rFonts w:eastAsia="方正仿宋_GBK" w:hint="eastAsia"/>
          <w:sz w:val="32"/>
          <w:szCs w:val="32"/>
        </w:rPr>
        <w:t>1.</w:t>
      </w:r>
      <w:r>
        <w:rPr>
          <w:rFonts w:eastAsia="方正仿宋_GBK" w:hint="eastAsia"/>
          <w:sz w:val="32"/>
          <w:szCs w:val="32"/>
        </w:rPr>
        <w:t>部门总体收入情况</w:t>
      </w:r>
    </w:p>
    <w:p w:rsidR="00EC184F" w:rsidRDefault="00DC6B00">
      <w:pPr>
        <w:snapToGrid w:val="0"/>
        <w:spacing w:line="520" w:lineRule="exact"/>
        <w:ind w:firstLine="640"/>
        <w:rPr>
          <w:rFonts w:eastAsia="仿宋_GB2312"/>
          <w:sz w:val="32"/>
          <w:szCs w:val="32"/>
        </w:rPr>
      </w:pPr>
      <w:r>
        <w:rPr>
          <w:rFonts w:eastAsia="方正仿宋_GBK"/>
          <w:sz w:val="32"/>
          <w:szCs w:val="32"/>
        </w:rPr>
        <w:t>盐边县经济信息化和科学技术局</w:t>
      </w:r>
      <w:r>
        <w:rPr>
          <w:rFonts w:eastAsia="方正仿宋_GBK"/>
          <w:sz w:val="32"/>
          <w:szCs w:val="32"/>
        </w:rPr>
        <w:t>2022</w:t>
      </w:r>
      <w:r>
        <w:rPr>
          <w:rFonts w:eastAsia="方正仿宋_GBK"/>
          <w:sz w:val="32"/>
          <w:szCs w:val="32"/>
        </w:rPr>
        <w:t>年年度资金收入</w:t>
      </w:r>
      <w:r>
        <w:rPr>
          <w:rFonts w:eastAsia="方正仿宋_GBK"/>
          <w:sz w:val="32"/>
          <w:szCs w:val="32"/>
        </w:rPr>
        <w:t>2988.76</w:t>
      </w:r>
      <w:r>
        <w:rPr>
          <w:rFonts w:eastAsia="方正仿宋_GBK"/>
          <w:sz w:val="32"/>
          <w:szCs w:val="32"/>
        </w:rPr>
        <w:t>万元，其中本年资金收入</w:t>
      </w:r>
      <w:r>
        <w:rPr>
          <w:rFonts w:eastAsia="方正仿宋_GBK"/>
          <w:sz w:val="32"/>
          <w:szCs w:val="32"/>
        </w:rPr>
        <w:t>2918.39</w:t>
      </w:r>
      <w:r>
        <w:rPr>
          <w:rFonts w:eastAsia="方正仿宋_GBK"/>
          <w:sz w:val="32"/>
          <w:szCs w:val="32"/>
        </w:rPr>
        <w:t>万元（一般公共预算财政拨款收入</w:t>
      </w:r>
      <w:r>
        <w:rPr>
          <w:rFonts w:eastAsia="方正仿宋_GBK"/>
          <w:sz w:val="32"/>
          <w:szCs w:val="32"/>
        </w:rPr>
        <w:t>1823.39</w:t>
      </w:r>
      <w:r>
        <w:rPr>
          <w:rFonts w:eastAsia="方正仿宋_GBK"/>
          <w:sz w:val="32"/>
          <w:szCs w:val="32"/>
        </w:rPr>
        <w:t>万元，占本年是收入</w:t>
      </w:r>
      <w:r>
        <w:rPr>
          <w:rFonts w:eastAsia="方正仿宋_GBK"/>
          <w:sz w:val="32"/>
          <w:szCs w:val="32"/>
        </w:rPr>
        <w:t>62.48%</w:t>
      </w:r>
      <w:r>
        <w:rPr>
          <w:rFonts w:eastAsia="方正仿宋_GBK"/>
          <w:sz w:val="32"/>
          <w:szCs w:val="32"/>
        </w:rPr>
        <w:t>；政府性基金预算财政拨款收入</w:t>
      </w:r>
      <w:r>
        <w:rPr>
          <w:rFonts w:eastAsia="方正仿宋_GBK"/>
          <w:sz w:val="32"/>
          <w:szCs w:val="32"/>
        </w:rPr>
        <w:t>770.00</w:t>
      </w:r>
      <w:r>
        <w:rPr>
          <w:rFonts w:eastAsia="方正仿宋_GBK"/>
          <w:sz w:val="32"/>
          <w:szCs w:val="32"/>
        </w:rPr>
        <w:t>万元，占本年是收入</w:t>
      </w:r>
      <w:r>
        <w:rPr>
          <w:rFonts w:eastAsia="方正仿宋_GBK"/>
          <w:sz w:val="32"/>
          <w:szCs w:val="32"/>
        </w:rPr>
        <w:t>26.38%</w:t>
      </w:r>
      <w:r>
        <w:rPr>
          <w:rFonts w:eastAsia="方正仿宋_GBK"/>
          <w:sz w:val="32"/>
          <w:szCs w:val="32"/>
        </w:rPr>
        <w:t>；其他收入</w:t>
      </w:r>
      <w:r>
        <w:rPr>
          <w:rFonts w:eastAsia="方正仿宋_GBK"/>
          <w:sz w:val="32"/>
          <w:szCs w:val="32"/>
        </w:rPr>
        <w:t>325. 00</w:t>
      </w:r>
      <w:r>
        <w:rPr>
          <w:rFonts w:eastAsia="方正仿宋_GBK"/>
          <w:sz w:val="32"/>
          <w:szCs w:val="32"/>
        </w:rPr>
        <w:t>万元，占本年是收入</w:t>
      </w:r>
      <w:r>
        <w:rPr>
          <w:rFonts w:eastAsia="方正仿宋_GBK"/>
          <w:sz w:val="32"/>
          <w:szCs w:val="32"/>
        </w:rPr>
        <w:t>11.14%</w:t>
      </w:r>
      <w:r w:rsidR="00195EDE">
        <w:rPr>
          <w:rFonts w:eastAsia="方正仿宋_GBK" w:hint="eastAsia"/>
          <w:sz w:val="32"/>
          <w:szCs w:val="32"/>
        </w:rPr>
        <w:t>。</w:t>
      </w:r>
    </w:p>
    <w:p w:rsidR="00EC184F" w:rsidRDefault="00DC6B00">
      <w:pPr>
        <w:snapToGrid w:val="0"/>
        <w:spacing w:line="520" w:lineRule="exact"/>
        <w:ind w:firstLine="640"/>
        <w:rPr>
          <w:rFonts w:eastAsia="方正仿宋_GBK"/>
          <w:sz w:val="32"/>
          <w:szCs w:val="32"/>
        </w:rPr>
      </w:pPr>
      <w:r>
        <w:rPr>
          <w:rFonts w:eastAsia="方正仿宋_GBK" w:hint="eastAsia"/>
          <w:sz w:val="32"/>
          <w:szCs w:val="32"/>
        </w:rPr>
        <w:t>2.</w:t>
      </w:r>
      <w:r>
        <w:rPr>
          <w:rFonts w:eastAsia="方正仿宋_GBK"/>
          <w:sz w:val="32"/>
          <w:szCs w:val="32"/>
        </w:rPr>
        <w:t>部门</w:t>
      </w:r>
      <w:r>
        <w:rPr>
          <w:rFonts w:eastAsia="方正仿宋_GBK" w:hint="eastAsia"/>
          <w:sz w:val="32"/>
          <w:szCs w:val="32"/>
        </w:rPr>
        <w:t>总体</w:t>
      </w:r>
      <w:r>
        <w:rPr>
          <w:rFonts w:eastAsia="方正仿宋_GBK"/>
          <w:sz w:val="32"/>
          <w:szCs w:val="32"/>
        </w:rPr>
        <w:t>资金支出情况</w:t>
      </w:r>
    </w:p>
    <w:p w:rsidR="00EC184F" w:rsidRDefault="00DC6B00">
      <w:pPr>
        <w:snapToGrid w:val="0"/>
        <w:spacing w:line="520" w:lineRule="exact"/>
        <w:ind w:firstLine="640"/>
        <w:rPr>
          <w:rFonts w:eastAsia="方正仿宋_GBK"/>
          <w:sz w:val="32"/>
          <w:szCs w:val="32"/>
        </w:rPr>
      </w:pPr>
      <w:r>
        <w:rPr>
          <w:rFonts w:eastAsia="方正仿宋_GBK"/>
          <w:sz w:val="32"/>
          <w:szCs w:val="32"/>
        </w:rPr>
        <w:t>盐边县经济信息化和科学技术局</w:t>
      </w:r>
      <w:r>
        <w:rPr>
          <w:rFonts w:eastAsia="方正仿宋_GBK"/>
          <w:sz w:val="32"/>
          <w:szCs w:val="32"/>
        </w:rPr>
        <w:t>2022</w:t>
      </w:r>
      <w:r>
        <w:rPr>
          <w:rFonts w:eastAsia="方正仿宋_GBK"/>
          <w:sz w:val="32"/>
          <w:szCs w:val="32"/>
        </w:rPr>
        <w:t>年支出：</w:t>
      </w:r>
      <w:r>
        <w:rPr>
          <w:rFonts w:eastAsia="方正仿宋_GBK"/>
          <w:sz w:val="32"/>
          <w:szCs w:val="32"/>
        </w:rPr>
        <w:t>2988.76</w:t>
      </w:r>
      <w:r>
        <w:rPr>
          <w:rFonts w:eastAsia="方正仿宋_GBK"/>
          <w:sz w:val="32"/>
          <w:szCs w:val="32"/>
        </w:rPr>
        <w:t>万元，</w:t>
      </w:r>
      <w:r>
        <w:rPr>
          <w:rFonts w:ascii="宋体" w:hAnsi="宋体" w:cs="宋体" w:hint="eastAsia"/>
          <w:sz w:val="32"/>
          <w:szCs w:val="32"/>
        </w:rPr>
        <w:t>①</w:t>
      </w:r>
      <w:r>
        <w:rPr>
          <w:rFonts w:eastAsia="方正仿宋_GBK"/>
          <w:sz w:val="32"/>
          <w:szCs w:val="32"/>
        </w:rPr>
        <w:t>按支出性质分基本支出</w:t>
      </w:r>
      <w:r>
        <w:rPr>
          <w:rFonts w:eastAsia="方正仿宋_GBK"/>
          <w:sz w:val="32"/>
          <w:szCs w:val="32"/>
        </w:rPr>
        <w:t>909.56</w:t>
      </w:r>
      <w:r>
        <w:rPr>
          <w:rFonts w:eastAsia="方正仿宋_GBK"/>
          <w:sz w:val="32"/>
          <w:szCs w:val="32"/>
        </w:rPr>
        <w:t>万元，占本年支出</w:t>
      </w:r>
      <w:r>
        <w:rPr>
          <w:rFonts w:eastAsia="方正仿宋_GBK"/>
          <w:sz w:val="32"/>
          <w:szCs w:val="32"/>
        </w:rPr>
        <w:t>30.43%</w:t>
      </w:r>
      <w:r>
        <w:rPr>
          <w:rFonts w:eastAsia="方正仿宋_GBK"/>
          <w:sz w:val="32"/>
          <w:szCs w:val="32"/>
        </w:rPr>
        <w:t>，项目支出：</w:t>
      </w:r>
      <w:r>
        <w:rPr>
          <w:rFonts w:eastAsia="方正仿宋_GBK"/>
          <w:sz w:val="32"/>
          <w:szCs w:val="32"/>
        </w:rPr>
        <w:t>2079.20</w:t>
      </w:r>
      <w:r>
        <w:rPr>
          <w:rFonts w:eastAsia="方正仿宋_GBK"/>
          <w:sz w:val="32"/>
          <w:szCs w:val="32"/>
        </w:rPr>
        <w:t>万元，占本年支出</w:t>
      </w:r>
      <w:r>
        <w:rPr>
          <w:rFonts w:eastAsia="方正仿宋_GBK"/>
          <w:sz w:val="32"/>
          <w:szCs w:val="32"/>
        </w:rPr>
        <w:t>69.57%</w:t>
      </w:r>
      <w:r>
        <w:rPr>
          <w:rFonts w:eastAsia="方正仿宋_GBK"/>
          <w:sz w:val="32"/>
          <w:szCs w:val="32"/>
        </w:rPr>
        <w:t>；</w:t>
      </w:r>
      <w:r>
        <w:rPr>
          <w:rFonts w:ascii="宋体" w:hAnsi="宋体" w:cs="宋体" w:hint="eastAsia"/>
          <w:sz w:val="32"/>
          <w:szCs w:val="32"/>
        </w:rPr>
        <w:t>②</w:t>
      </w:r>
      <w:r>
        <w:rPr>
          <w:rFonts w:eastAsia="方正仿宋_GBK"/>
          <w:sz w:val="32"/>
          <w:szCs w:val="32"/>
        </w:rPr>
        <w:t>按支出经济分类：工资福利支出：</w:t>
      </w:r>
      <w:r>
        <w:rPr>
          <w:rFonts w:eastAsia="方正仿宋_GBK"/>
          <w:sz w:val="32"/>
          <w:szCs w:val="32"/>
        </w:rPr>
        <w:t>664.90</w:t>
      </w:r>
      <w:r>
        <w:rPr>
          <w:rFonts w:eastAsia="方正仿宋_GBK"/>
          <w:sz w:val="32"/>
          <w:szCs w:val="32"/>
        </w:rPr>
        <w:t>万元，占本年支出</w:t>
      </w:r>
      <w:r>
        <w:rPr>
          <w:rFonts w:eastAsia="方正仿宋_GBK"/>
          <w:sz w:val="32"/>
          <w:szCs w:val="32"/>
        </w:rPr>
        <w:t>22.25%</w:t>
      </w:r>
      <w:r>
        <w:rPr>
          <w:rFonts w:eastAsia="方正仿宋_GBK"/>
          <w:sz w:val="32"/>
          <w:szCs w:val="32"/>
        </w:rPr>
        <w:t>，商品和服务支出：</w:t>
      </w:r>
      <w:r>
        <w:rPr>
          <w:rFonts w:eastAsia="方正仿宋_GBK"/>
          <w:sz w:val="32"/>
          <w:szCs w:val="32"/>
        </w:rPr>
        <w:t>141.15</w:t>
      </w:r>
      <w:r>
        <w:rPr>
          <w:rFonts w:eastAsia="方正仿宋_GBK"/>
          <w:sz w:val="32"/>
          <w:szCs w:val="32"/>
        </w:rPr>
        <w:t>万元，占本年支出</w:t>
      </w:r>
      <w:r>
        <w:rPr>
          <w:rFonts w:eastAsia="方正仿宋_GBK"/>
          <w:sz w:val="32"/>
          <w:szCs w:val="32"/>
        </w:rPr>
        <w:t>4.72%</w:t>
      </w:r>
      <w:r>
        <w:rPr>
          <w:rFonts w:eastAsia="方正仿宋_GBK"/>
          <w:sz w:val="32"/>
          <w:szCs w:val="32"/>
        </w:rPr>
        <w:t>，对个人和家庭的补助：</w:t>
      </w:r>
      <w:r>
        <w:rPr>
          <w:rFonts w:eastAsia="方正仿宋_GBK"/>
          <w:sz w:val="32"/>
          <w:szCs w:val="32"/>
        </w:rPr>
        <w:t>204.38</w:t>
      </w:r>
      <w:r>
        <w:rPr>
          <w:rFonts w:eastAsia="方正仿宋_GBK"/>
          <w:sz w:val="32"/>
          <w:szCs w:val="32"/>
        </w:rPr>
        <w:t>万元，占本年支出</w:t>
      </w:r>
      <w:r>
        <w:rPr>
          <w:rFonts w:eastAsia="方正仿宋_GBK"/>
          <w:sz w:val="32"/>
          <w:szCs w:val="32"/>
        </w:rPr>
        <w:t>6.84%</w:t>
      </w:r>
      <w:r>
        <w:rPr>
          <w:rFonts w:eastAsia="方正仿宋_GBK"/>
          <w:sz w:val="32"/>
          <w:szCs w:val="32"/>
        </w:rPr>
        <w:t>，对企事业单位的补贴支出：</w:t>
      </w:r>
      <w:r>
        <w:rPr>
          <w:rFonts w:eastAsia="方正仿宋_GBK"/>
          <w:sz w:val="32"/>
          <w:szCs w:val="32"/>
        </w:rPr>
        <w:t>883.80</w:t>
      </w:r>
      <w:r>
        <w:rPr>
          <w:rFonts w:eastAsia="方正仿宋_GBK"/>
          <w:sz w:val="32"/>
          <w:szCs w:val="32"/>
        </w:rPr>
        <w:t>万元，占本年支出</w:t>
      </w:r>
      <w:r>
        <w:rPr>
          <w:rFonts w:eastAsia="方正仿宋_GBK"/>
          <w:sz w:val="32"/>
          <w:szCs w:val="32"/>
        </w:rPr>
        <w:t>29.57%</w:t>
      </w:r>
      <w:r>
        <w:rPr>
          <w:rFonts w:eastAsia="方正仿宋_GBK"/>
          <w:sz w:val="32"/>
          <w:szCs w:val="32"/>
        </w:rPr>
        <w:t>；资本性支出：</w:t>
      </w:r>
      <w:r>
        <w:rPr>
          <w:rFonts w:eastAsia="方正仿宋_GBK"/>
          <w:sz w:val="32"/>
          <w:szCs w:val="32"/>
        </w:rPr>
        <w:t>1094.53</w:t>
      </w:r>
      <w:r>
        <w:rPr>
          <w:rFonts w:eastAsia="方正仿宋_GBK"/>
          <w:sz w:val="32"/>
          <w:szCs w:val="32"/>
        </w:rPr>
        <w:t>万元，占本年支出</w:t>
      </w:r>
      <w:r>
        <w:rPr>
          <w:rFonts w:eastAsia="方正仿宋_GBK"/>
          <w:sz w:val="32"/>
          <w:szCs w:val="32"/>
        </w:rPr>
        <w:t>36.62%</w:t>
      </w:r>
      <w:r>
        <w:rPr>
          <w:rFonts w:eastAsia="方正仿宋_GBK"/>
          <w:sz w:val="32"/>
          <w:szCs w:val="32"/>
        </w:rPr>
        <w:t>。</w:t>
      </w:r>
    </w:p>
    <w:p w:rsidR="00EC184F" w:rsidRDefault="00DC6B00">
      <w:pPr>
        <w:snapToGrid w:val="0"/>
        <w:spacing w:line="520" w:lineRule="exact"/>
        <w:ind w:firstLine="640"/>
        <w:rPr>
          <w:rFonts w:eastAsia="方正仿宋_GBK"/>
          <w:sz w:val="32"/>
          <w:szCs w:val="32"/>
        </w:rPr>
      </w:pPr>
      <w:r>
        <w:rPr>
          <w:rFonts w:eastAsia="方正仿宋_GBK" w:hint="eastAsia"/>
          <w:sz w:val="32"/>
          <w:szCs w:val="32"/>
        </w:rPr>
        <w:t>3.</w:t>
      </w:r>
      <w:r>
        <w:rPr>
          <w:rFonts w:eastAsia="方正仿宋_GBK" w:hint="eastAsia"/>
          <w:sz w:val="32"/>
          <w:szCs w:val="32"/>
        </w:rPr>
        <w:t>部门总体结转结余情况</w:t>
      </w:r>
    </w:p>
    <w:p w:rsidR="00EC184F" w:rsidRDefault="00195EDE">
      <w:pPr>
        <w:snapToGrid w:val="0"/>
        <w:spacing w:line="520" w:lineRule="exact"/>
        <w:ind w:firstLine="640"/>
        <w:rPr>
          <w:rFonts w:eastAsia="方正仿宋_GBK"/>
          <w:sz w:val="32"/>
          <w:szCs w:val="32"/>
        </w:rPr>
      </w:pPr>
      <w:r>
        <w:rPr>
          <w:rFonts w:eastAsia="方正仿宋_GBK" w:hint="eastAsia"/>
          <w:sz w:val="32"/>
          <w:szCs w:val="32"/>
        </w:rPr>
        <w:t>2022</w:t>
      </w:r>
      <w:r>
        <w:rPr>
          <w:rFonts w:eastAsia="方正仿宋_GBK" w:hint="eastAsia"/>
          <w:sz w:val="32"/>
          <w:szCs w:val="32"/>
        </w:rPr>
        <w:t>年</w:t>
      </w:r>
      <w:r>
        <w:rPr>
          <w:rFonts w:eastAsia="方正仿宋_GBK"/>
          <w:sz w:val="32"/>
          <w:szCs w:val="32"/>
        </w:rPr>
        <w:t>上年结转资金</w:t>
      </w:r>
      <w:r>
        <w:rPr>
          <w:rFonts w:eastAsia="方正仿宋_GBK"/>
          <w:sz w:val="32"/>
          <w:szCs w:val="32"/>
        </w:rPr>
        <w:t>70.37</w:t>
      </w:r>
      <w:r>
        <w:rPr>
          <w:rFonts w:eastAsia="方正仿宋_GBK"/>
          <w:sz w:val="32"/>
          <w:szCs w:val="32"/>
        </w:rPr>
        <w:t>万元（上年结转均为项目资</w:t>
      </w:r>
      <w:r>
        <w:rPr>
          <w:rFonts w:eastAsia="方正仿宋_GBK"/>
          <w:sz w:val="32"/>
          <w:szCs w:val="32"/>
        </w:rPr>
        <w:lastRenderedPageBreak/>
        <w:t>金）。</w:t>
      </w:r>
      <w:r w:rsidR="00DC6B00">
        <w:rPr>
          <w:rFonts w:eastAsia="方正仿宋_GBK" w:hint="eastAsia"/>
          <w:sz w:val="32"/>
          <w:szCs w:val="32"/>
        </w:rPr>
        <w:t>2022</w:t>
      </w:r>
      <w:r w:rsidR="00DC6B00">
        <w:rPr>
          <w:rFonts w:eastAsia="方正仿宋_GBK" w:hint="eastAsia"/>
          <w:sz w:val="32"/>
          <w:szCs w:val="32"/>
        </w:rPr>
        <w:t>年年底部门总体无结转结余</w:t>
      </w:r>
      <w:r>
        <w:rPr>
          <w:rFonts w:eastAsia="方正仿宋_GBK" w:hint="eastAsia"/>
          <w:sz w:val="32"/>
          <w:szCs w:val="32"/>
        </w:rPr>
        <w:t>资金</w:t>
      </w:r>
      <w:r w:rsidR="00DC6B00">
        <w:rPr>
          <w:rFonts w:eastAsia="方正仿宋_GBK" w:hint="eastAsia"/>
          <w:sz w:val="32"/>
          <w:szCs w:val="32"/>
        </w:rPr>
        <w:t>。</w:t>
      </w:r>
    </w:p>
    <w:p w:rsidR="00EC184F" w:rsidRDefault="00DC6B00">
      <w:pPr>
        <w:widowControl/>
        <w:adjustRightInd w:val="0"/>
        <w:snapToGrid w:val="0"/>
        <w:spacing w:line="560" w:lineRule="exact"/>
        <w:ind w:firstLine="640"/>
        <w:contextualSpacing/>
        <w:rPr>
          <w:rFonts w:eastAsia="方正楷体_GBK"/>
          <w:color w:val="000000"/>
          <w:sz w:val="32"/>
          <w:szCs w:val="32"/>
          <w:shd w:val="clear" w:color="auto" w:fill="FFFFFF"/>
          <w:lang w:val="zh-CN"/>
        </w:rPr>
      </w:pPr>
      <w:r>
        <w:rPr>
          <w:rFonts w:eastAsia="方正楷体_GBK" w:hint="eastAsia"/>
          <w:color w:val="000000"/>
          <w:sz w:val="32"/>
          <w:szCs w:val="32"/>
          <w:shd w:val="clear" w:color="auto" w:fill="FFFFFF"/>
          <w:lang w:val="zh-CN"/>
        </w:rPr>
        <w:t>（二）部门财政拨款收支情况</w:t>
      </w:r>
    </w:p>
    <w:p w:rsidR="00EC184F" w:rsidRDefault="00DC6B00">
      <w:pPr>
        <w:snapToGrid w:val="0"/>
        <w:spacing w:line="520" w:lineRule="exact"/>
        <w:ind w:firstLine="640"/>
        <w:rPr>
          <w:rFonts w:eastAsia="方正仿宋_GBK"/>
          <w:sz w:val="32"/>
          <w:szCs w:val="32"/>
        </w:rPr>
      </w:pPr>
      <w:r>
        <w:rPr>
          <w:rFonts w:eastAsia="方正仿宋_GBK" w:hint="eastAsia"/>
          <w:sz w:val="32"/>
          <w:szCs w:val="32"/>
        </w:rPr>
        <w:t>1.</w:t>
      </w:r>
      <w:r>
        <w:rPr>
          <w:rFonts w:eastAsia="方正仿宋_GBK" w:hint="eastAsia"/>
          <w:sz w:val="32"/>
          <w:szCs w:val="32"/>
        </w:rPr>
        <w:t>部门财政拨款收入情况</w:t>
      </w:r>
    </w:p>
    <w:p w:rsidR="00195EDE" w:rsidRDefault="00DC6B00">
      <w:pPr>
        <w:snapToGrid w:val="0"/>
        <w:spacing w:line="520" w:lineRule="exact"/>
        <w:ind w:firstLine="640"/>
        <w:rPr>
          <w:rFonts w:eastAsia="方正仿宋_GBK"/>
          <w:sz w:val="32"/>
          <w:szCs w:val="32"/>
        </w:rPr>
      </w:pPr>
      <w:r>
        <w:rPr>
          <w:rFonts w:eastAsia="方正仿宋_GBK"/>
          <w:sz w:val="32"/>
          <w:szCs w:val="32"/>
        </w:rPr>
        <w:t>盐边县经济信息化和科学技术局</w:t>
      </w:r>
      <w:r>
        <w:rPr>
          <w:rFonts w:eastAsia="方正仿宋_GBK"/>
          <w:sz w:val="32"/>
          <w:szCs w:val="32"/>
        </w:rPr>
        <w:t>2022</w:t>
      </w:r>
      <w:r>
        <w:rPr>
          <w:rFonts w:eastAsia="方正仿宋_GBK"/>
          <w:sz w:val="32"/>
          <w:szCs w:val="32"/>
        </w:rPr>
        <w:t>年年度</w:t>
      </w:r>
      <w:r>
        <w:rPr>
          <w:rFonts w:eastAsia="方正仿宋_GBK" w:hint="eastAsia"/>
          <w:sz w:val="32"/>
          <w:szCs w:val="32"/>
        </w:rPr>
        <w:t>财政拨款</w:t>
      </w:r>
      <w:r>
        <w:rPr>
          <w:rFonts w:eastAsia="方正仿宋_GBK"/>
          <w:sz w:val="32"/>
          <w:szCs w:val="32"/>
        </w:rPr>
        <w:t>资金收入</w:t>
      </w:r>
      <w:r>
        <w:rPr>
          <w:rFonts w:eastAsia="方正仿宋_GBK" w:hint="eastAsia"/>
          <w:sz w:val="32"/>
          <w:szCs w:val="32"/>
        </w:rPr>
        <w:t>2663.76</w:t>
      </w:r>
      <w:r>
        <w:rPr>
          <w:rFonts w:eastAsia="方正仿宋_GBK"/>
          <w:sz w:val="32"/>
          <w:szCs w:val="32"/>
        </w:rPr>
        <w:t>万元，其中本年资金收入</w:t>
      </w:r>
      <w:r>
        <w:rPr>
          <w:rFonts w:eastAsia="方正仿宋_GBK" w:hint="eastAsia"/>
          <w:sz w:val="32"/>
          <w:szCs w:val="32"/>
        </w:rPr>
        <w:t>2593.39</w:t>
      </w:r>
      <w:r>
        <w:rPr>
          <w:rFonts w:eastAsia="方正仿宋_GBK"/>
          <w:sz w:val="32"/>
          <w:szCs w:val="32"/>
        </w:rPr>
        <w:t>万元（一般公共预算财政拨款收入</w:t>
      </w:r>
      <w:r>
        <w:rPr>
          <w:rFonts w:eastAsia="方正仿宋_GBK"/>
          <w:sz w:val="32"/>
          <w:szCs w:val="32"/>
        </w:rPr>
        <w:t>1823.39</w:t>
      </w:r>
      <w:r>
        <w:rPr>
          <w:rFonts w:eastAsia="方正仿宋_GBK"/>
          <w:sz w:val="32"/>
          <w:szCs w:val="32"/>
        </w:rPr>
        <w:t>万元，占本年是收入</w:t>
      </w:r>
      <w:r>
        <w:rPr>
          <w:rFonts w:eastAsia="方正仿宋_GBK" w:hint="eastAsia"/>
          <w:sz w:val="32"/>
          <w:szCs w:val="32"/>
        </w:rPr>
        <w:t>70.31</w:t>
      </w:r>
      <w:r>
        <w:rPr>
          <w:rFonts w:eastAsia="方正仿宋_GBK"/>
          <w:sz w:val="32"/>
          <w:szCs w:val="32"/>
        </w:rPr>
        <w:t>%</w:t>
      </w:r>
      <w:r>
        <w:rPr>
          <w:rFonts w:eastAsia="方正仿宋_GBK"/>
          <w:sz w:val="32"/>
          <w:szCs w:val="32"/>
        </w:rPr>
        <w:t>；政府性基金预算财政拨款收入</w:t>
      </w:r>
      <w:r>
        <w:rPr>
          <w:rFonts w:eastAsia="方正仿宋_GBK"/>
          <w:sz w:val="32"/>
          <w:szCs w:val="32"/>
        </w:rPr>
        <w:t>770.00</w:t>
      </w:r>
      <w:r>
        <w:rPr>
          <w:rFonts w:eastAsia="方正仿宋_GBK"/>
          <w:sz w:val="32"/>
          <w:szCs w:val="32"/>
        </w:rPr>
        <w:t>万元，占本年是收入</w:t>
      </w:r>
      <w:r>
        <w:rPr>
          <w:rFonts w:eastAsia="方正仿宋_GBK" w:hint="eastAsia"/>
          <w:sz w:val="32"/>
          <w:szCs w:val="32"/>
        </w:rPr>
        <w:t>29.69</w:t>
      </w:r>
      <w:r>
        <w:rPr>
          <w:rFonts w:eastAsia="方正仿宋_GBK"/>
          <w:sz w:val="32"/>
          <w:szCs w:val="32"/>
        </w:rPr>
        <w:t>%</w:t>
      </w:r>
      <w:r w:rsidR="00195EDE">
        <w:rPr>
          <w:rFonts w:eastAsia="方正仿宋_GBK" w:hint="eastAsia"/>
          <w:sz w:val="32"/>
          <w:szCs w:val="32"/>
        </w:rPr>
        <w:t>。</w:t>
      </w:r>
    </w:p>
    <w:p w:rsidR="00EC184F" w:rsidRDefault="00DC6B00">
      <w:pPr>
        <w:snapToGrid w:val="0"/>
        <w:spacing w:line="520" w:lineRule="exact"/>
        <w:ind w:firstLine="640"/>
        <w:rPr>
          <w:rFonts w:eastAsia="方正仿宋_GBK"/>
          <w:sz w:val="32"/>
          <w:szCs w:val="32"/>
        </w:rPr>
      </w:pPr>
      <w:r>
        <w:rPr>
          <w:rFonts w:eastAsia="方正仿宋_GBK" w:hint="eastAsia"/>
          <w:sz w:val="32"/>
          <w:szCs w:val="32"/>
        </w:rPr>
        <w:t xml:space="preserve">2. </w:t>
      </w:r>
      <w:r>
        <w:rPr>
          <w:rFonts w:eastAsia="方正仿宋_GBK" w:hint="eastAsia"/>
          <w:sz w:val="32"/>
          <w:szCs w:val="32"/>
        </w:rPr>
        <w:t>部门财政拨款支出情况</w:t>
      </w:r>
    </w:p>
    <w:p w:rsidR="00EC184F" w:rsidRDefault="00DC6B00">
      <w:pPr>
        <w:snapToGrid w:val="0"/>
        <w:spacing w:line="520" w:lineRule="exact"/>
        <w:ind w:firstLine="640"/>
      </w:pPr>
      <w:r>
        <w:rPr>
          <w:rFonts w:eastAsia="方正仿宋_GBK"/>
          <w:sz w:val="32"/>
          <w:szCs w:val="32"/>
        </w:rPr>
        <w:t>盐边县经济信息化和科学技术局</w:t>
      </w:r>
      <w:r>
        <w:rPr>
          <w:rFonts w:eastAsia="方正仿宋_GBK"/>
          <w:sz w:val="32"/>
          <w:szCs w:val="32"/>
        </w:rPr>
        <w:t>2022</w:t>
      </w:r>
      <w:r>
        <w:rPr>
          <w:rFonts w:eastAsia="方正仿宋_GBK"/>
          <w:sz w:val="32"/>
          <w:szCs w:val="32"/>
        </w:rPr>
        <w:t>年</w:t>
      </w:r>
      <w:r>
        <w:rPr>
          <w:rFonts w:eastAsia="方正仿宋_GBK" w:hint="eastAsia"/>
          <w:sz w:val="32"/>
          <w:szCs w:val="32"/>
        </w:rPr>
        <w:t>财政拨款</w:t>
      </w:r>
      <w:r>
        <w:rPr>
          <w:rFonts w:eastAsia="方正仿宋_GBK"/>
          <w:sz w:val="32"/>
          <w:szCs w:val="32"/>
        </w:rPr>
        <w:t>支出：</w:t>
      </w:r>
      <w:r>
        <w:rPr>
          <w:rFonts w:eastAsia="方正仿宋_GBK" w:hint="eastAsia"/>
          <w:sz w:val="32"/>
          <w:szCs w:val="32"/>
        </w:rPr>
        <w:t>2663.76</w:t>
      </w:r>
      <w:r>
        <w:rPr>
          <w:rFonts w:eastAsia="方正仿宋_GBK"/>
          <w:sz w:val="32"/>
          <w:szCs w:val="32"/>
        </w:rPr>
        <w:t>万元，</w:t>
      </w:r>
      <w:r>
        <w:rPr>
          <w:rFonts w:ascii="宋体" w:hAnsi="宋体" w:cs="宋体" w:hint="eastAsia"/>
          <w:sz w:val="32"/>
          <w:szCs w:val="32"/>
        </w:rPr>
        <w:t>①</w:t>
      </w:r>
      <w:r>
        <w:rPr>
          <w:rFonts w:eastAsia="方正仿宋_GBK"/>
          <w:sz w:val="32"/>
          <w:szCs w:val="32"/>
        </w:rPr>
        <w:t>按支出性质分基本支出</w:t>
      </w:r>
      <w:r>
        <w:rPr>
          <w:rFonts w:eastAsia="方正仿宋_GBK"/>
          <w:sz w:val="32"/>
          <w:szCs w:val="32"/>
        </w:rPr>
        <w:t>909.56</w:t>
      </w:r>
      <w:r>
        <w:rPr>
          <w:rFonts w:eastAsia="方正仿宋_GBK"/>
          <w:sz w:val="32"/>
          <w:szCs w:val="32"/>
        </w:rPr>
        <w:t>万元，占本年支出</w:t>
      </w:r>
      <w:r>
        <w:rPr>
          <w:rFonts w:eastAsia="方正仿宋_GBK" w:hint="eastAsia"/>
          <w:sz w:val="32"/>
          <w:szCs w:val="32"/>
        </w:rPr>
        <w:t>34.41</w:t>
      </w:r>
      <w:r>
        <w:rPr>
          <w:rFonts w:eastAsia="方正仿宋_GBK"/>
          <w:sz w:val="32"/>
          <w:szCs w:val="32"/>
        </w:rPr>
        <w:t>%</w:t>
      </w:r>
      <w:r>
        <w:rPr>
          <w:rFonts w:eastAsia="方正仿宋_GBK"/>
          <w:sz w:val="32"/>
          <w:szCs w:val="32"/>
        </w:rPr>
        <w:t>，项目支出：</w:t>
      </w:r>
      <w:r>
        <w:rPr>
          <w:rFonts w:eastAsia="方正仿宋_GBK" w:hint="eastAsia"/>
          <w:sz w:val="32"/>
          <w:szCs w:val="32"/>
        </w:rPr>
        <w:t>1754.2</w:t>
      </w:r>
      <w:r>
        <w:rPr>
          <w:rFonts w:eastAsia="方正仿宋_GBK"/>
          <w:sz w:val="32"/>
          <w:szCs w:val="32"/>
        </w:rPr>
        <w:t>万元，占本年支出</w:t>
      </w:r>
      <w:r>
        <w:rPr>
          <w:rFonts w:eastAsia="方正仿宋_GBK" w:hint="eastAsia"/>
          <w:sz w:val="32"/>
          <w:szCs w:val="32"/>
        </w:rPr>
        <w:t>65.85</w:t>
      </w:r>
      <w:r>
        <w:rPr>
          <w:rFonts w:eastAsia="方正仿宋_GBK"/>
          <w:sz w:val="32"/>
          <w:szCs w:val="32"/>
        </w:rPr>
        <w:t>%</w:t>
      </w:r>
      <w:r>
        <w:rPr>
          <w:rFonts w:eastAsia="方正仿宋_GBK"/>
          <w:sz w:val="32"/>
          <w:szCs w:val="32"/>
        </w:rPr>
        <w:t>；</w:t>
      </w:r>
      <w:r>
        <w:rPr>
          <w:rFonts w:ascii="宋体" w:hAnsi="宋体" w:cs="宋体" w:hint="eastAsia"/>
          <w:sz w:val="32"/>
          <w:szCs w:val="32"/>
        </w:rPr>
        <w:t>②</w:t>
      </w:r>
      <w:r>
        <w:rPr>
          <w:rFonts w:eastAsia="方正仿宋_GBK"/>
          <w:sz w:val="32"/>
          <w:szCs w:val="32"/>
        </w:rPr>
        <w:t>按支出经济分类：工资福利支出：</w:t>
      </w:r>
      <w:r>
        <w:rPr>
          <w:rFonts w:eastAsia="方正仿宋_GBK"/>
          <w:sz w:val="32"/>
          <w:szCs w:val="32"/>
        </w:rPr>
        <w:t>664.90</w:t>
      </w:r>
      <w:r>
        <w:rPr>
          <w:rFonts w:eastAsia="方正仿宋_GBK"/>
          <w:sz w:val="32"/>
          <w:szCs w:val="32"/>
        </w:rPr>
        <w:t>万元，占本年支出</w:t>
      </w:r>
      <w:r>
        <w:rPr>
          <w:rFonts w:eastAsia="方正仿宋_GBK" w:hint="eastAsia"/>
          <w:sz w:val="32"/>
          <w:szCs w:val="32"/>
        </w:rPr>
        <w:t>24.96</w:t>
      </w:r>
      <w:r>
        <w:rPr>
          <w:rFonts w:eastAsia="方正仿宋_GBK"/>
          <w:sz w:val="32"/>
          <w:szCs w:val="32"/>
        </w:rPr>
        <w:t>%</w:t>
      </w:r>
      <w:r>
        <w:rPr>
          <w:rFonts w:eastAsia="方正仿宋_GBK"/>
          <w:sz w:val="32"/>
          <w:szCs w:val="32"/>
        </w:rPr>
        <w:t>，商品和服务支出：</w:t>
      </w:r>
      <w:r>
        <w:rPr>
          <w:rFonts w:eastAsia="方正仿宋_GBK"/>
          <w:sz w:val="32"/>
          <w:szCs w:val="32"/>
        </w:rPr>
        <w:t>141.15</w:t>
      </w:r>
      <w:r>
        <w:rPr>
          <w:rFonts w:eastAsia="方正仿宋_GBK"/>
          <w:sz w:val="32"/>
          <w:szCs w:val="32"/>
        </w:rPr>
        <w:t>万元，占本年支出</w:t>
      </w:r>
      <w:r>
        <w:rPr>
          <w:rFonts w:eastAsia="方正仿宋_GBK" w:hint="eastAsia"/>
          <w:sz w:val="32"/>
          <w:szCs w:val="32"/>
        </w:rPr>
        <w:t>5.3</w:t>
      </w:r>
      <w:r>
        <w:rPr>
          <w:rFonts w:eastAsia="方正仿宋_GBK"/>
          <w:sz w:val="32"/>
          <w:szCs w:val="32"/>
        </w:rPr>
        <w:t>%</w:t>
      </w:r>
      <w:r>
        <w:rPr>
          <w:rFonts w:eastAsia="方正仿宋_GBK"/>
          <w:sz w:val="32"/>
          <w:szCs w:val="32"/>
        </w:rPr>
        <w:t>，对个人和家庭的补助：</w:t>
      </w:r>
      <w:r>
        <w:rPr>
          <w:rFonts w:eastAsia="方正仿宋_GBK"/>
          <w:sz w:val="32"/>
          <w:szCs w:val="32"/>
        </w:rPr>
        <w:t>204.38</w:t>
      </w:r>
      <w:r>
        <w:rPr>
          <w:rFonts w:eastAsia="方正仿宋_GBK"/>
          <w:sz w:val="32"/>
          <w:szCs w:val="32"/>
        </w:rPr>
        <w:t>万元，占本年支出</w:t>
      </w:r>
      <w:r>
        <w:rPr>
          <w:rFonts w:eastAsia="方正仿宋_GBK" w:hint="eastAsia"/>
          <w:sz w:val="32"/>
          <w:szCs w:val="32"/>
        </w:rPr>
        <w:t>7.67</w:t>
      </w:r>
      <w:r>
        <w:rPr>
          <w:rFonts w:eastAsia="方正仿宋_GBK"/>
          <w:sz w:val="32"/>
          <w:szCs w:val="32"/>
        </w:rPr>
        <w:t>%</w:t>
      </w:r>
      <w:r>
        <w:rPr>
          <w:rFonts w:eastAsia="方正仿宋_GBK"/>
          <w:sz w:val="32"/>
          <w:szCs w:val="32"/>
        </w:rPr>
        <w:t>，对企事业单位的补贴支出：</w:t>
      </w:r>
      <w:r>
        <w:rPr>
          <w:rFonts w:eastAsia="方正仿宋_GBK" w:hint="eastAsia"/>
          <w:sz w:val="32"/>
          <w:szCs w:val="32"/>
        </w:rPr>
        <w:t>558.8</w:t>
      </w:r>
      <w:r>
        <w:rPr>
          <w:rFonts w:eastAsia="方正仿宋_GBK"/>
          <w:sz w:val="32"/>
          <w:szCs w:val="32"/>
        </w:rPr>
        <w:t>万元，占本年支出</w:t>
      </w:r>
      <w:r>
        <w:rPr>
          <w:rFonts w:eastAsia="方正仿宋_GBK" w:hint="eastAsia"/>
          <w:sz w:val="32"/>
          <w:szCs w:val="32"/>
        </w:rPr>
        <w:t>20.98</w:t>
      </w:r>
      <w:r>
        <w:rPr>
          <w:rFonts w:eastAsia="方正仿宋_GBK"/>
          <w:sz w:val="32"/>
          <w:szCs w:val="32"/>
        </w:rPr>
        <w:t>%</w:t>
      </w:r>
      <w:r>
        <w:rPr>
          <w:rFonts w:eastAsia="方正仿宋_GBK"/>
          <w:sz w:val="32"/>
          <w:szCs w:val="32"/>
        </w:rPr>
        <w:t>；资本性支出：</w:t>
      </w:r>
      <w:r>
        <w:rPr>
          <w:rFonts w:eastAsia="方正仿宋_GBK"/>
          <w:sz w:val="32"/>
          <w:szCs w:val="32"/>
        </w:rPr>
        <w:t>1094.53</w:t>
      </w:r>
      <w:r>
        <w:rPr>
          <w:rFonts w:eastAsia="方正仿宋_GBK"/>
          <w:sz w:val="32"/>
          <w:szCs w:val="32"/>
        </w:rPr>
        <w:t>万元，占本年支出</w:t>
      </w:r>
      <w:r>
        <w:rPr>
          <w:rFonts w:eastAsia="方正仿宋_GBK" w:hint="eastAsia"/>
          <w:sz w:val="32"/>
          <w:szCs w:val="32"/>
        </w:rPr>
        <w:t>41.09</w:t>
      </w:r>
      <w:r>
        <w:rPr>
          <w:rFonts w:eastAsia="方正仿宋_GBK"/>
          <w:sz w:val="32"/>
          <w:szCs w:val="32"/>
        </w:rPr>
        <w:t>%</w:t>
      </w:r>
      <w:r>
        <w:rPr>
          <w:rFonts w:eastAsia="方正仿宋_GBK"/>
          <w:sz w:val="32"/>
          <w:szCs w:val="32"/>
        </w:rPr>
        <w:t>。</w:t>
      </w:r>
    </w:p>
    <w:p w:rsidR="00EC184F" w:rsidRDefault="00DC6B00">
      <w:pPr>
        <w:snapToGrid w:val="0"/>
        <w:spacing w:line="520" w:lineRule="exact"/>
        <w:ind w:firstLine="640"/>
        <w:rPr>
          <w:rFonts w:eastAsia="方正仿宋_GBK"/>
          <w:sz w:val="32"/>
          <w:szCs w:val="32"/>
        </w:rPr>
      </w:pPr>
      <w:r>
        <w:rPr>
          <w:rFonts w:eastAsia="方正仿宋_GBK" w:hint="eastAsia"/>
          <w:sz w:val="32"/>
          <w:szCs w:val="32"/>
        </w:rPr>
        <w:t xml:space="preserve">3. </w:t>
      </w:r>
      <w:r>
        <w:rPr>
          <w:rFonts w:eastAsia="方正仿宋_GBK" w:hint="eastAsia"/>
          <w:sz w:val="32"/>
          <w:szCs w:val="32"/>
        </w:rPr>
        <w:t>部门财政拨款结转结余情况</w:t>
      </w:r>
    </w:p>
    <w:p w:rsidR="00195EDE" w:rsidRDefault="00195EDE" w:rsidP="00195EDE">
      <w:pPr>
        <w:snapToGrid w:val="0"/>
        <w:spacing w:line="520" w:lineRule="exact"/>
        <w:ind w:firstLine="640"/>
        <w:rPr>
          <w:rFonts w:eastAsia="方正仿宋_GBK"/>
          <w:sz w:val="32"/>
          <w:szCs w:val="32"/>
        </w:rPr>
      </w:pPr>
      <w:r>
        <w:rPr>
          <w:rFonts w:eastAsia="方正仿宋_GBK" w:hint="eastAsia"/>
          <w:sz w:val="32"/>
          <w:szCs w:val="32"/>
        </w:rPr>
        <w:t>2022</w:t>
      </w:r>
      <w:r>
        <w:rPr>
          <w:rFonts w:eastAsia="方正仿宋_GBK" w:hint="eastAsia"/>
          <w:sz w:val="32"/>
          <w:szCs w:val="32"/>
        </w:rPr>
        <w:t>年</w:t>
      </w:r>
      <w:r>
        <w:rPr>
          <w:rFonts w:eastAsia="方正仿宋_GBK"/>
          <w:sz w:val="32"/>
          <w:szCs w:val="32"/>
        </w:rPr>
        <w:t>上年结转资金</w:t>
      </w:r>
      <w:r>
        <w:rPr>
          <w:rFonts w:eastAsia="方正仿宋_GBK"/>
          <w:sz w:val="32"/>
          <w:szCs w:val="32"/>
        </w:rPr>
        <w:t>70.37</w:t>
      </w:r>
      <w:r>
        <w:rPr>
          <w:rFonts w:eastAsia="方正仿宋_GBK"/>
          <w:sz w:val="32"/>
          <w:szCs w:val="32"/>
        </w:rPr>
        <w:t>万元（上年结转均为项目资金）。</w:t>
      </w:r>
      <w:r>
        <w:rPr>
          <w:rFonts w:eastAsia="方正仿宋_GBK" w:hint="eastAsia"/>
          <w:sz w:val="32"/>
          <w:szCs w:val="32"/>
        </w:rPr>
        <w:t>2022</w:t>
      </w:r>
      <w:r>
        <w:rPr>
          <w:rFonts w:eastAsia="方正仿宋_GBK" w:hint="eastAsia"/>
          <w:sz w:val="32"/>
          <w:szCs w:val="32"/>
        </w:rPr>
        <w:t>年年底部门总体无结转结余资金。</w:t>
      </w:r>
    </w:p>
    <w:p w:rsidR="00EC184F" w:rsidRDefault="00DC6B00">
      <w:pPr>
        <w:widowControl/>
        <w:adjustRightInd w:val="0"/>
        <w:snapToGrid w:val="0"/>
        <w:spacing w:line="560" w:lineRule="exact"/>
        <w:ind w:firstLine="640"/>
        <w:contextualSpacing/>
        <w:rPr>
          <w:rFonts w:eastAsia="方正黑体_GBK"/>
          <w:color w:val="000000"/>
          <w:sz w:val="32"/>
          <w:szCs w:val="32"/>
          <w:shd w:val="clear" w:color="auto" w:fill="FFFFFF"/>
        </w:rPr>
      </w:pPr>
      <w:r>
        <w:rPr>
          <w:rFonts w:eastAsia="方正黑体_GBK"/>
          <w:color w:val="000000"/>
          <w:sz w:val="32"/>
          <w:szCs w:val="32"/>
          <w:shd w:val="clear" w:color="auto" w:fill="FFFFFF"/>
        </w:rPr>
        <w:t>三、部门整体预算绩效</w:t>
      </w:r>
      <w:r>
        <w:rPr>
          <w:rFonts w:eastAsia="方正黑体_GBK" w:hint="eastAsia"/>
          <w:color w:val="000000"/>
          <w:sz w:val="32"/>
          <w:szCs w:val="32"/>
          <w:shd w:val="clear" w:color="auto" w:fill="FFFFFF"/>
        </w:rPr>
        <w:t>分析</w:t>
      </w:r>
    </w:p>
    <w:p w:rsidR="00EC184F" w:rsidRDefault="00DC6B00">
      <w:pPr>
        <w:widowControl/>
        <w:adjustRightInd w:val="0"/>
        <w:snapToGrid w:val="0"/>
        <w:spacing w:line="560" w:lineRule="exact"/>
        <w:ind w:firstLine="640"/>
        <w:contextualSpacing/>
        <w:rPr>
          <w:rFonts w:eastAsia="楷体_GB2312"/>
          <w:color w:val="000000"/>
          <w:sz w:val="32"/>
          <w:szCs w:val="32"/>
          <w:shd w:val="clear" w:color="auto" w:fill="FFFFFF"/>
          <w:lang w:val="zh-CN"/>
        </w:rPr>
      </w:pPr>
      <w:r>
        <w:rPr>
          <w:rFonts w:eastAsia="方正楷体_GBK"/>
          <w:color w:val="000000"/>
          <w:sz w:val="32"/>
          <w:szCs w:val="32"/>
          <w:shd w:val="clear" w:color="auto" w:fill="FFFFFF"/>
          <w:lang w:val="zh-CN"/>
        </w:rPr>
        <w:t>（一）部门预算项目绩效</w:t>
      </w:r>
      <w:r>
        <w:rPr>
          <w:rFonts w:eastAsia="方正楷体_GBK" w:hint="eastAsia"/>
          <w:color w:val="000000"/>
          <w:sz w:val="32"/>
          <w:szCs w:val="32"/>
          <w:shd w:val="clear" w:color="auto" w:fill="FFFFFF"/>
          <w:lang w:val="zh-CN"/>
        </w:rPr>
        <w:t>分析</w:t>
      </w:r>
      <w:r>
        <w:rPr>
          <w:rFonts w:eastAsia="楷体_GB2312"/>
          <w:color w:val="000000"/>
          <w:sz w:val="32"/>
          <w:szCs w:val="32"/>
          <w:shd w:val="clear" w:color="auto" w:fill="FFFFFF"/>
          <w:lang w:val="zh-CN"/>
        </w:rPr>
        <w:t>。</w:t>
      </w:r>
    </w:p>
    <w:p w:rsidR="00EC184F" w:rsidRDefault="00DC6B00">
      <w:pPr>
        <w:snapToGrid w:val="0"/>
        <w:spacing w:line="520" w:lineRule="exact"/>
        <w:ind w:firstLine="640"/>
        <w:rPr>
          <w:rFonts w:eastAsia="方正仿宋_GBK"/>
          <w:sz w:val="32"/>
          <w:szCs w:val="32"/>
        </w:rPr>
      </w:pPr>
      <w:r>
        <w:rPr>
          <w:rFonts w:eastAsia="方正仿宋_GBK"/>
          <w:sz w:val="32"/>
          <w:szCs w:val="32"/>
        </w:rPr>
        <w:t xml:space="preserve">1. </w:t>
      </w:r>
      <w:r>
        <w:rPr>
          <w:rFonts w:eastAsia="方正仿宋_GBK"/>
          <w:sz w:val="32"/>
          <w:szCs w:val="32"/>
        </w:rPr>
        <w:t>绩效目标制定</w:t>
      </w:r>
    </w:p>
    <w:p w:rsidR="00EC184F" w:rsidRDefault="00DC6B00">
      <w:pPr>
        <w:snapToGrid w:val="0"/>
        <w:spacing w:line="520" w:lineRule="exact"/>
        <w:ind w:firstLine="640"/>
        <w:rPr>
          <w:rFonts w:eastAsia="方正仿宋_GBK"/>
          <w:sz w:val="32"/>
          <w:szCs w:val="32"/>
        </w:rPr>
      </w:pPr>
      <w:r>
        <w:rPr>
          <w:rFonts w:eastAsia="方正仿宋_GBK"/>
          <w:sz w:val="32"/>
          <w:szCs w:val="32"/>
        </w:rPr>
        <w:t>2022</w:t>
      </w:r>
      <w:r>
        <w:rPr>
          <w:rFonts w:eastAsia="方正仿宋_GBK"/>
          <w:sz w:val="32"/>
          <w:szCs w:val="32"/>
        </w:rPr>
        <w:t>年，盐边县经济信息化和科学技术局严格落实《预算法》及省、市、县绩效管理工作的有关规定编制了部门预算，按照县委、县政府总体部署，结合部门工作职能和工作</w:t>
      </w:r>
      <w:r>
        <w:rPr>
          <w:rFonts w:eastAsia="方正仿宋_GBK"/>
          <w:sz w:val="32"/>
          <w:szCs w:val="32"/>
        </w:rPr>
        <w:lastRenderedPageBreak/>
        <w:t>实际制定部门整体绩效目标，所有项目支出均纳入绩效管理，制定绩效目标。在预算执行中，我局强化支出绩效理念，提升部门责任意识，提高资金使用效率，保障我局全面履行职能职责，保证机构正常运行，圆满完成年度职能目标任务。</w:t>
      </w:r>
    </w:p>
    <w:p w:rsidR="00EC184F" w:rsidRDefault="00DC6B00">
      <w:pPr>
        <w:snapToGrid w:val="0"/>
        <w:spacing w:line="520" w:lineRule="exact"/>
        <w:ind w:firstLine="640"/>
        <w:rPr>
          <w:rFonts w:eastAsia="方正仿宋_GBK"/>
          <w:sz w:val="32"/>
          <w:szCs w:val="32"/>
        </w:rPr>
      </w:pPr>
      <w:r>
        <w:rPr>
          <w:rFonts w:eastAsia="方正仿宋_GBK"/>
          <w:sz w:val="32"/>
          <w:szCs w:val="32"/>
        </w:rPr>
        <w:t xml:space="preserve">2. </w:t>
      </w:r>
      <w:r>
        <w:rPr>
          <w:rFonts w:eastAsia="方正仿宋_GBK"/>
          <w:sz w:val="32"/>
          <w:szCs w:val="32"/>
        </w:rPr>
        <w:t>绩效目标完成情况</w:t>
      </w:r>
    </w:p>
    <w:p w:rsidR="00EC184F" w:rsidRDefault="00DC6B00">
      <w:pPr>
        <w:snapToGrid w:val="0"/>
        <w:spacing w:line="520" w:lineRule="exact"/>
        <w:ind w:firstLine="640"/>
        <w:rPr>
          <w:rFonts w:eastAsia="方正仿宋_GBK"/>
          <w:sz w:val="32"/>
          <w:szCs w:val="32"/>
        </w:rPr>
      </w:pPr>
      <w:r>
        <w:rPr>
          <w:rFonts w:eastAsia="方正仿宋_GBK"/>
          <w:sz w:val="32"/>
          <w:szCs w:val="32"/>
        </w:rPr>
        <w:t>（</w:t>
      </w:r>
      <w:r>
        <w:rPr>
          <w:rFonts w:eastAsia="方正仿宋_GBK"/>
          <w:sz w:val="32"/>
          <w:szCs w:val="32"/>
        </w:rPr>
        <w:t>1</w:t>
      </w:r>
      <w:r>
        <w:rPr>
          <w:rFonts w:eastAsia="方正仿宋_GBK"/>
          <w:sz w:val="32"/>
          <w:szCs w:val="32"/>
        </w:rPr>
        <w:t>）人员类</w:t>
      </w:r>
    </w:p>
    <w:p w:rsidR="00EC184F" w:rsidRDefault="00DC6B00">
      <w:pPr>
        <w:snapToGrid w:val="0"/>
        <w:spacing w:line="520" w:lineRule="exact"/>
        <w:ind w:firstLine="640"/>
        <w:rPr>
          <w:rFonts w:eastAsia="方正仿宋_GBK"/>
          <w:sz w:val="32"/>
          <w:szCs w:val="32"/>
        </w:rPr>
      </w:pPr>
      <w:r>
        <w:rPr>
          <w:rFonts w:eastAsia="方正仿宋_GBK"/>
          <w:sz w:val="32"/>
          <w:szCs w:val="32"/>
        </w:rPr>
        <w:t>2022</w:t>
      </w:r>
      <w:r>
        <w:rPr>
          <w:rFonts w:eastAsia="方正仿宋_GBK"/>
          <w:sz w:val="32"/>
          <w:szCs w:val="32"/>
        </w:rPr>
        <w:t>年盐边县经济信息化和科学技术局人员类支出</w:t>
      </w:r>
      <w:r>
        <w:rPr>
          <w:rFonts w:eastAsia="方正仿宋_GBK"/>
          <w:sz w:val="32"/>
          <w:szCs w:val="32"/>
        </w:rPr>
        <w:t>859.38</w:t>
      </w:r>
      <w:r>
        <w:rPr>
          <w:rFonts w:eastAsia="方正仿宋_GBK"/>
          <w:sz w:val="32"/>
          <w:szCs w:val="32"/>
        </w:rPr>
        <w:t>万元，主要用于：职工工资福利、社会保险缴费、公积金、抚恤金、生活补助等支出，均按月足额及时进行拨付，预算执行率</w:t>
      </w:r>
      <w:r>
        <w:rPr>
          <w:rFonts w:eastAsia="方正仿宋_GBK"/>
          <w:sz w:val="32"/>
          <w:szCs w:val="32"/>
        </w:rPr>
        <w:t>100%</w:t>
      </w:r>
      <w:r>
        <w:rPr>
          <w:rFonts w:eastAsia="方正仿宋_GBK"/>
          <w:sz w:val="32"/>
          <w:szCs w:val="32"/>
        </w:rPr>
        <w:t>，确保全年平稳保障职工工资福利支出，维持单位基本运转。</w:t>
      </w:r>
    </w:p>
    <w:p w:rsidR="00EC184F" w:rsidRDefault="00DC6B00">
      <w:pPr>
        <w:snapToGrid w:val="0"/>
        <w:spacing w:line="520" w:lineRule="exact"/>
        <w:ind w:firstLine="640"/>
        <w:rPr>
          <w:rFonts w:eastAsia="方正仿宋_GBK"/>
          <w:sz w:val="32"/>
          <w:szCs w:val="32"/>
        </w:rPr>
      </w:pPr>
      <w:r>
        <w:rPr>
          <w:rFonts w:eastAsia="方正仿宋_GBK"/>
          <w:sz w:val="32"/>
          <w:szCs w:val="32"/>
        </w:rPr>
        <w:t>（</w:t>
      </w:r>
      <w:r>
        <w:rPr>
          <w:rFonts w:eastAsia="方正仿宋_GBK"/>
          <w:sz w:val="32"/>
          <w:szCs w:val="32"/>
        </w:rPr>
        <w:t>2</w:t>
      </w:r>
      <w:r>
        <w:rPr>
          <w:rFonts w:eastAsia="方正仿宋_GBK"/>
          <w:sz w:val="32"/>
          <w:szCs w:val="32"/>
        </w:rPr>
        <w:t>）运转类</w:t>
      </w:r>
    </w:p>
    <w:p w:rsidR="00EC184F" w:rsidRDefault="00DC6B00">
      <w:pPr>
        <w:snapToGrid w:val="0"/>
        <w:spacing w:line="520" w:lineRule="exact"/>
        <w:ind w:firstLine="640"/>
        <w:rPr>
          <w:rFonts w:eastAsia="方正仿宋_GBK"/>
          <w:sz w:val="32"/>
          <w:szCs w:val="32"/>
        </w:rPr>
      </w:pPr>
      <w:r>
        <w:rPr>
          <w:rFonts w:eastAsia="方正仿宋_GBK"/>
          <w:sz w:val="32"/>
          <w:szCs w:val="32"/>
        </w:rPr>
        <w:t>2022</w:t>
      </w:r>
      <w:r>
        <w:rPr>
          <w:rFonts w:eastAsia="方正仿宋_GBK"/>
          <w:sz w:val="32"/>
          <w:szCs w:val="32"/>
        </w:rPr>
        <w:t>年盐边县经济信息化和科学技术局公用经费支出</w:t>
      </w:r>
      <w:r>
        <w:rPr>
          <w:rFonts w:eastAsia="方正仿宋_GBK"/>
          <w:sz w:val="32"/>
          <w:szCs w:val="32"/>
        </w:rPr>
        <w:t>50.18</w:t>
      </w:r>
      <w:r>
        <w:rPr>
          <w:rFonts w:eastAsia="方正仿宋_GBK"/>
          <w:sz w:val="32"/>
          <w:szCs w:val="32"/>
        </w:rPr>
        <w:t>万元，主要用于办公费、水费、电费、邮电费、差旅费、维修（护）费、租赁费、会议费、培训费、公务接待费、劳务费、委托业务费、工会经费、福利费、其他交通费、其他商品和服务支出等，我局严格按照资金用途申报、使用资金，均已足额按时支付，有力保障了我局机构正常运行和各项工作任务的完成，预算执行率</w:t>
      </w:r>
      <w:r>
        <w:rPr>
          <w:rFonts w:eastAsia="方正仿宋_GBK"/>
          <w:sz w:val="32"/>
          <w:szCs w:val="32"/>
        </w:rPr>
        <w:t>100%</w:t>
      </w:r>
      <w:r>
        <w:rPr>
          <w:rFonts w:eastAsia="方正仿宋_GBK"/>
          <w:sz w:val="32"/>
          <w:szCs w:val="32"/>
        </w:rPr>
        <w:t>。</w:t>
      </w:r>
    </w:p>
    <w:p w:rsidR="00EC184F" w:rsidRDefault="00DC6B00">
      <w:pPr>
        <w:snapToGrid w:val="0"/>
        <w:spacing w:line="520" w:lineRule="exact"/>
        <w:ind w:firstLine="640"/>
        <w:rPr>
          <w:rFonts w:eastAsia="方正仿宋_GBK"/>
          <w:sz w:val="32"/>
          <w:szCs w:val="32"/>
        </w:rPr>
      </w:pPr>
      <w:r>
        <w:rPr>
          <w:rFonts w:eastAsia="方正仿宋_GBK"/>
          <w:sz w:val="32"/>
          <w:szCs w:val="32"/>
        </w:rPr>
        <w:t>（</w:t>
      </w:r>
      <w:r>
        <w:rPr>
          <w:rFonts w:eastAsia="方正仿宋_GBK"/>
          <w:sz w:val="32"/>
          <w:szCs w:val="32"/>
        </w:rPr>
        <w:t>3</w:t>
      </w:r>
      <w:r>
        <w:rPr>
          <w:rFonts w:eastAsia="方正仿宋_GBK"/>
          <w:sz w:val="32"/>
          <w:szCs w:val="32"/>
        </w:rPr>
        <w:t>）特定目标类</w:t>
      </w:r>
    </w:p>
    <w:p w:rsidR="00EC184F" w:rsidRDefault="00DC6B00">
      <w:pPr>
        <w:snapToGrid w:val="0"/>
        <w:spacing w:line="520" w:lineRule="exact"/>
        <w:ind w:firstLine="640"/>
        <w:rPr>
          <w:rFonts w:eastAsia="方正仿宋_GBK"/>
          <w:sz w:val="32"/>
          <w:szCs w:val="32"/>
        </w:rPr>
      </w:pPr>
      <w:r>
        <w:rPr>
          <w:rFonts w:eastAsia="方正仿宋_GBK"/>
          <w:sz w:val="32"/>
          <w:szCs w:val="32"/>
        </w:rPr>
        <w:t>2022</w:t>
      </w:r>
      <w:r>
        <w:rPr>
          <w:rFonts w:eastAsia="方正仿宋_GBK"/>
          <w:sz w:val="32"/>
          <w:szCs w:val="32"/>
        </w:rPr>
        <w:t>年盐边县经济信息化和科学技术局项目支出</w:t>
      </w:r>
      <w:r>
        <w:rPr>
          <w:rFonts w:eastAsia="方正仿宋_GBK"/>
          <w:sz w:val="32"/>
          <w:szCs w:val="32"/>
        </w:rPr>
        <w:t>2079.2</w:t>
      </w:r>
      <w:r>
        <w:rPr>
          <w:rFonts w:eastAsia="方正仿宋_GBK"/>
          <w:sz w:val="32"/>
          <w:szCs w:val="32"/>
        </w:rPr>
        <w:t>万元，其中：商品和服务支出</w:t>
      </w:r>
      <w:r>
        <w:rPr>
          <w:rFonts w:eastAsia="方正仿宋_GBK"/>
          <w:sz w:val="32"/>
          <w:szCs w:val="32"/>
        </w:rPr>
        <w:t>91.53</w:t>
      </w:r>
      <w:r>
        <w:rPr>
          <w:rFonts w:eastAsia="方正仿宋_GBK"/>
          <w:sz w:val="32"/>
          <w:szCs w:val="32"/>
        </w:rPr>
        <w:t>万元，对个人和家庭的补助支出</w:t>
      </w:r>
      <w:r>
        <w:rPr>
          <w:rFonts w:eastAsia="方正仿宋_GBK"/>
          <w:sz w:val="32"/>
          <w:szCs w:val="32"/>
        </w:rPr>
        <w:t>9.9</w:t>
      </w:r>
      <w:r>
        <w:rPr>
          <w:rFonts w:eastAsia="方正仿宋_GBK"/>
          <w:sz w:val="32"/>
          <w:szCs w:val="32"/>
        </w:rPr>
        <w:t>万元，资本性支出</w:t>
      </w:r>
      <w:r>
        <w:rPr>
          <w:rFonts w:eastAsia="方正仿宋_GBK"/>
          <w:sz w:val="32"/>
          <w:szCs w:val="32"/>
        </w:rPr>
        <w:t>1093.97</w:t>
      </w:r>
      <w:r>
        <w:rPr>
          <w:rFonts w:eastAsia="方正仿宋_GBK"/>
          <w:sz w:val="32"/>
          <w:szCs w:val="32"/>
        </w:rPr>
        <w:t>万元，对企业的补贴支出</w:t>
      </w:r>
      <w:r>
        <w:rPr>
          <w:rFonts w:eastAsia="方正仿宋_GBK"/>
          <w:sz w:val="32"/>
          <w:szCs w:val="32"/>
        </w:rPr>
        <w:t>883.8</w:t>
      </w:r>
      <w:r>
        <w:rPr>
          <w:rFonts w:eastAsia="方正仿宋_GBK"/>
          <w:sz w:val="32"/>
          <w:szCs w:val="32"/>
        </w:rPr>
        <w:t>万元。</w:t>
      </w:r>
    </w:p>
    <w:p w:rsidR="00EC184F" w:rsidRDefault="00DC6B00">
      <w:pPr>
        <w:snapToGrid w:val="0"/>
        <w:spacing w:line="520" w:lineRule="exact"/>
        <w:ind w:firstLine="640"/>
        <w:rPr>
          <w:rFonts w:eastAsia="方正仿宋_GBK"/>
          <w:sz w:val="32"/>
          <w:szCs w:val="32"/>
        </w:rPr>
      </w:pPr>
      <w:r>
        <w:rPr>
          <w:rFonts w:eastAsia="方正仿宋_GBK"/>
          <w:sz w:val="32"/>
          <w:szCs w:val="32"/>
        </w:rPr>
        <w:t>根据预算绩效管理要求，我局预算编制阶段所有项目均编制了绩效目标，预算执行过程中，对项目开展绩效监控，</w:t>
      </w:r>
      <w:r>
        <w:rPr>
          <w:rFonts w:eastAsia="方正仿宋_GBK"/>
          <w:sz w:val="32"/>
          <w:szCs w:val="32"/>
        </w:rPr>
        <w:lastRenderedPageBreak/>
        <w:t>严格按照项目资金管理办法管理，严格专款专用，防止了截留、挤占、挪用等问题发生，确保资金安全、规范、有效使用，项目资金按进度支付，预算支付率</w:t>
      </w:r>
      <w:r>
        <w:rPr>
          <w:rFonts w:eastAsia="方正仿宋_GBK"/>
          <w:sz w:val="32"/>
          <w:szCs w:val="32"/>
        </w:rPr>
        <w:t>100%</w:t>
      </w:r>
      <w:r>
        <w:rPr>
          <w:rFonts w:eastAsia="方正仿宋_GBK"/>
          <w:sz w:val="32"/>
          <w:szCs w:val="32"/>
        </w:rPr>
        <w:t>，项目支出绩效目标全部完成。</w:t>
      </w:r>
    </w:p>
    <w:p w:rsidR="00EC184F" w:rsidRDefault="00DC6B00">
      <w:pPr>
        <w:pStyle w:val="a0"/>
        <w:spacing w:before="93"/>
        <w:ind w:firstLineChars="150" w:firstLine="480"/>
        <w:rPr>
          <w:rFonts w:ascii="方正楷体_GBK" w:eastAsia="方正楷体_GBK"/>
          <w:sz w:val="32"/>
          <w:szCs w:val="32"/>
        </w:rPr>
      </w:pPr>
      <w:r>
        <w:rPr>
          <w:rFonts w:ascii="方正楷体_GBK" w:eastAsia="方正楷体_GBK" w:hint="eastAsia"/>
          <w:sz w:val="32"/>
          <w:szCs w:val="32"/>
        </w:rPr>
        <w:t>（二）部门整体履职绩效分析</w:t>
      </w:r>
    </w:p>
    <w:p w:rsidR="00EC184F" w:rsidRDefault="00DC6B00">
      <w:pPr>
        <w:snapToGrid w:val="0"/>
        <w:spacing w:line="520" w:lineRule="exact"/>
        <w:ind w:firstLine="640"/>
        <w:rPr>
          <w:rFonts w:eastAsia="方正仿宋_GBK"/>
          <w:sz w:val="32"/>
          <w:szCs w:val="32"/>
        </w:rPr>
      </w:pPr>
      <w:r>
        <w:rPr>
          <w:rFonts w:eastAsia="方正仿宋_GBK"/>
          <w:sz w:val="32"/>
          <w:szCs w:val="32"/>
        </w:rPr>
        <w:t>2022</w:t>
      </w:r>
      <w:r>
        <w:rPr>
          <w:rFonts w:eastAsia="方正仿宋_GBK"/>
          <w:sz w:val="32"/>
          <w:szCs w:val="32"/>
        </w:rPr>
        <w:t>年度盐边县经济信息化和科学技术局全年资金拨付和使用均按计划进度完成，全年经费的拨付和使用均及时、合理，</w:t>
      </w:r>
      <w:r>
        <w:rPr>
          <w:rFonts w:eastAsia="方正仿宋_GBK"/>
          <w:sz w:val="32"/>
          <w:szCs w:val="32"/>
        </w:rPr>
        <w:t>2022</w:t>
      </w:r>
      <w:r>
        <w:rPr>
          <w:rFonts w:eastAsia="方正仿宋_GBK"/>
          <w:sz w:val="32"/>
          <w:szCs w:val="32"/>
        </w:rPr>
        <w:t>年部门预算整体绩效共设置绩效目标</w:t>
      </w:r>
      <w:r>
        <w:rPr>
          <w:rFonts w:eastAsia="方正仿宋_GBK"/>
          <w:sz w:val="32"/>
          <w:szCs w:val="32"/>
        </w:rPr>
        <w:t>16</w:t>
      </w:r>
      <w:r>
        <w:rPr>
          <w:rFonts w:eastAsia="方正仿宋_GBK"/>
          <w:sz w:val="32"/>
          <w:szCs w:val="32"/>
        </w:rPr>
        <w:t>个，其中数量指标</w:t>
      </w:r>
      <w:r>
        <w:rPr>
          <w:rFonts w:eastAsia="方正仿宋_GBK"/>
          <w:sz w:val="32"/>
          <w:szCs w:val="32"/>
        </w:rPr>
        <w:t>6</w:t>
      </w:r>
      <w:r>
        <w:rPr>
          <w:rFonts w:eastAsia="方正仿宋_GBK"/>
          <w:sz w:val="32"/>
          <w:szCs w:val="32"/>
        </w:rPr>
        <w:t>个，质量指标</w:t>
      </w:r>
      <w:r>
        <w:rPr>
          <w:rFonts w:eastAsia="方正仿宋_GBK"/>
          <w:sz w:val="32"/>
          <w:szCs w:val="32"/>
        </w:rPr>
        <w:t>1</w:t>
      </w:r>
      <w:r>
        <w:rPr>
          <w:rFonts w:eastAsia="方正仿宋_GBK"/>
          <w:sz w:val="32"/>
          <w:szCs w:val="32"/>
        </w:rPr>
        <w:t>个，时效指标</w:t>
      </w:r>
      <w:r>
        <w:rPr>
          <w:rFonts w:eastAsia="方正仿宋_GBK"/>
          <w:sz w:val="32"/>
          <w:szCs w:val="32"/>
        </w:rPr>
        <w:t>1</w:t>
      </w:r>
      <w:r>
        <w:rPr>
          <w:rFonts w:eastAsia="方正仿宋_GBK"/>
          <w:sz w:val="32"/>
          <w:szCs w:val="32"/>
        </w:rPr>
        <w:t>人，社会效益指标</w:t>
      </w:r>
      <w:r>
        <w:rPr>
          <w:rFonts w:eastAsia="方正仿宋_GBK"/>
          <w:sz w:val="32"/>
          <w:szCs w:val="32"/>
        </w:rPr>
        <w:t>4</w:t>
      </w:r>
      <w:r>
        <w:rPr>
          <w:rFonts w:eastAsia="方正仿宋_GBK"/>
          <w:sz w:val="32"/>
          <w:szCs w:val="32"/>
        </w:rPr>
        <w:t>个，可持续影响指标</w:t>
      </w:r>
      <w:r>
        <w:rPr>
          <w:rFonts w:eastAsia="方正仿宋_GBK"/>
          <w:sz w:val="32"/>
          <w:szCs w:val="32"/>
        </w:rPr>
        <w:t>2</w:t>
      </w:r>
      <w:r>
        <w:rPr>
          <w:rFonts w:eastAsia="方正仿宋_GBK"/>
          <w:sz w:val="32"/>
          <w:szCs w:val="32"/>
        </w:rPr>
        <w:t>个，满意度指标</w:t>
      </w:r>
      <w:r>
        <w:rPr>
          <w:rFonts w:eastAsia="方正仿宋_GBK"/>
          <w:sz w:val="32"/>
          <w:szCs w:val="32"/>
        </w:rPr>
        <w:t>2</w:t>
      </w:r>
      <w:r>
        <w:rPr>
          <w:rFonts w:eastAsia="方正仿宋_GBK"/>
          <w:sz w:val="32"/>
          <w:szCs w:val="32"/>
        </w:rPr>
        <w:t>个。</w:t>
      </w:r>
      <w:r>
        <w:rPr>
          <w:rFonts w:eastAsia="方正仿宋_GBK"/>
          <w:sz w:val="32"/>
          <w:szCs w:val="32"/>
        </w:rPr>
        <w:t>2022</w:t>
      </w:r>
      <w:r>
        <w:rPr>
          <w:rFonts w:eastAsia="方正仿宋_GBK"/>
          <w:sz w:val="32"/>
          <w:szCs w:val="32"/>
        </w:rPr>
        <w:t>年绩效目标全部完成。具体情况如下：</w:t>
      </w:r>
    </w:p>
    <w:p w:rsidR="00EC184F" w:rsidRDefault="00886416">
      <w:pPr>
        <w:snapToGrid w:val="0"/>
        <w:spacing w:line="520" w:lineRule="exact"/>
        <w:ind w:firstLine="640"/>
        <w:rPr>
          <w:rFonts w:eastAsia="方正仿宋_GBK"/>
          <w:sz w:val="32"/>
          <w:szCs w:val="32"/>
        </w:rPr>
      </w:pPr>
      <w:r>
        <w:rPr>
          <w:rFonts w:eastAsia="方正仿宋_GBK"/>
          <w:sz w:val="32"/>
          <w:szCs w:val="32"/>
        </w:rPr>
        <w:fldChar w:fldCharType="begin"/>
      </w:r>
      <w:r w:rsidR="00DC6B00">
        <w:rPr>
          <w:rFonts w:eastAsia="方正仿宋_GBK"/>
          <w:sz w:val="32"/>
          <w:szCs w:val="32"/>
        </w:rPr>
        <w:instrText xml:space="preserve"> = 1 \* GB3 </w:instrText>
      </w:r>
      <w:r>
        <w:rPr>
          <w:rFonts w:eastAsia="方正仿宋_GBK"/>
          <w:sz w:val="32"/>
          <w:szCs w:val="32"/>
        </w:rPr>
        <w:fldChar w:fldCharType="separate"/>
      </w:r>
      <w:r w:rsidR="00DC6B00">
        <w:rPr>
          <w:rFonts w:ascii="宋体" w:hAnsi="宋体" w:cs="宋体" w:hint="eastAsia"/>
          <w:sz w:val="32"/>
          <w:szCs w:val="32"/>
        </w:rPr>
        <w:t>①</w:t>
      </w:r>
      <w:r>
        <w:rPr>
          <w:rFonts w:eastAsia="方正仿宋_GBK"/>
          <w:sz w:val="32"/>
          <w:szCs w:val="32"/>
        </w:rPr>
        <w:fldChar w:fldCharType="end"/>
      </w:r>
      <w:r w:rsidR="00DC6B00">
        <w:rPr>
          <w:rFonts w:eastAsia="方正仿宋_GBK"/>
          <w:sz w:val="32"/>
          <w:szCs w:val="32"/>
        </w:rPr>
        <w:t>落实</w:t>
      </w:r>
      <w:r w:rsidR="00DC6B00">
        <w:rPr>
          <w:rFonts w:eastAsia="方正仿宋_GBK"/>
          <w:sz w:val="32"/>
          <w:szCs w:val="32"/>
        </w:rPr>
        <w:t>“</w:t>
      </w:r>
      <w:r w:rsidR="00DC6B00">
        <w:rPr>
          <w:rFonts w:eastAsia="方正仿宋_GBK"/>
          <w:sz w:val="32"/>
          <w:szCs w:val="32"/>
        </w:rPr>
        <w:t>两稳一保</w:t>
      </w:r>
      <w:r w:rsidR="00DC6B00">
        <w:rPr>
          <w:rFonts w:eastAsia="方正仿宋_GBK"/>
          <w:sz w:val="32"/>
          <w:szCs w:val="32"/>
        </w:rPr>
        <w:t>”</w:t>
      </w:r>
      <w:r w:rsidR="00DC6B00">
        <w:rPr>
          <w:rFonts w:eastAsia="方正仿宋_GBK"/>
          <w:sz w:val="32"/>
          <w:szCs w:val="32"/>
        </w:rPr>
        <w:t>，全力以赴抓指标。</w:t>
      </w:r>
    </w:p>
    <w:p w:rsidR="00EC184F" w:rsidRDefault="00DC6B00">
      <w:pPr>
        <w:snapToGrid w:val="0"/>
        <w:spacing w:line="520" w:lineRule="exact"/>
        <w:ind w:firstLine="640"/>
        <w:rPr>
          <w:rFonts w:eastAsia="方正仿宋_GBK"/>
          <w:sz w:val="32"/>
          <w:szCs w:val="32"/>
        </w:rPr>
      </w:pPr>
      <w:r>
        <w:rPr>
          <w:rFonts w:eastAsia="方正仿宋_GBK"/>
          <w:sz w:val="32"/>
          <w:szCs w:val="32"/>
        </w:rPr>
        <w:t>一是全年完成规上工业增加值增速</w:t>
      </w:r>
      <w:r>
        <w:rPr>
          <w:rFonts w:eastAsia="方正仿宋_GBK"/>
          <w:sz w:val="32"/>
          <w:szCs w:val="32"/>
        </w:rPr>
        <w:t>7.8%</w:t>
      </w:r>
      <w:r>
        <w:rPr>
          <w:rFonts w:eastAsia="方正仿宋_GBK"/>
          <w:sz w:val="32"/>
          <w:szCs w:val="32"/>
        </w:rPr>
        <w:t>，工业投资增速达到</w:t>
      </w:r>
      <w:r>
        <w:rPr>
          <w:rFonts w:eastAsia="方正仿宋_GBK"/>
          <w:sz w:val="32"/>
          <w:szCs w:val="32"/>
        </w:rPr>
        <w:t>6%</w:t>
      </w:r>
      <w:r>
        <w:rPr>
          <w:rFonts w:eastAsia="方正仿宋_GBK"/>
          <w:sz w:val="32"/>
          <w:szCs w:val="32"/>
        </w:rPr>
        <w:t>，工业性技改投资增速达到</w:t>
      </w:r>
      <w:r>
        <w:rPr>
          <w:rFonts w:eastAsia="方正仿宋_GBK"/>
          <w:sz w:val="32"/>
          <w:szCs w:val="32"/>
        </w:rPr>
        <w:t>23.9%</w:t>
      </w:r>
      <w:r>
        <w:rPr>
          <w:rFonts w:eastAsia="方正仿宋_GBK"/>
          <w:sz w:val="32"/>
          <w:szCs w:val="32"/>
        </w:rPr>
        <w:t>，工业企业升规入库</w:t>
      </w:r>
      <w:r>
        <w:rPr>
          <w:rFonts w:eastAsia="方正仿宋_GBK"/>
          <w:sz w:val="32"/>
          <w:szCs w:val="32"/>
        </w:rPr>
        <w:t>9</w:t>
      </w:r>
      <w:r>
        <w:rPr>
          <w:rFonts w:eastAsia="方正仿宋_GBK"/>
          <w:sz w:val="32"/>
          <w:szCs w:val="32"/>
        </w:rPr>
        <w:t>户。二是高新技术产业主营业务收入完成</w:t>
      </w:r>
      <w:r>
        <w:rPr>
          <w:rFonts w:eastAsia="方正仿宋_GBK"/>
          <w:sz w:val="32"/>
          <w:szCs w:val="32"/>
        </w:rPr>
        <w:t>87.39</w:t>
      </w:r>
      <w:r>
        <w:rPr>
          <w:rFonts w:eastAsia="方正仿宋_GBK"/>
          <w:sz w:val="32"/>
          <w:szCs w:val="32"/>
        </w:rPr>
        <w:t>亿元；有效高新技术企业</w:t>
      </w:r>
      <w:r>
        <w:rPr>
          <w:rFonts w:eastAsia="方正仿宋_GBK"/>
          <w:sz w:val="32"/>
          <w:szCs w:val="32"/>
        </w:rPr>
        <w:t>7</w:t>
      </w:r>
      <w:r>
        <w:rPr>
          <w:rFonts w:eastAsia="方正仿宋_GBK"/>
          <w:sz w:val="32"/>
          <w:szCs w:val="32"/>
        </w:rPr>
        <w:t>户；技术合同认定额</w:t>
      </w:r>
      <w:r>
        <w:rPr>
          <w:rFonts w:eastAsia="方正仿宋_GBK"/>
          <w:sz w:val="32"/>
          <w:szCs w:val="32"/>
        </w:rPr>
        <w:t>3190</w:t>
      </w:r>
      <w:r>
        <w:rPr>
          <w:rFonts w:eastAsia="方正仿宋_GBK"/>
          <w:sz w:val="32"/>
          <w:szCs w:val="32"/>
        </w:rPr>
        <w:t>万元；科技型中小企业年度评价入库</w:t>
      </w:r>
      <w:r>
        <w:rPr>
          <w:rFonts w:eastAsia="方正仿宋_GBK"/>
          <w:sz w:val="32"/>
          <w:szCs w:val="32"/>
        </w:rPr>
        <w:t>22</w:t>
      </w:r>
      <w:r>
        <w:rPr>
          <w:rFonts w:eastAsia="方正仿宋_GBK"/>
          <w:sz w:val="32"/>
          <w:szCs w:val="32"/>
        </w:rPr>
        <w:t>家；清洁能源领域技术成果储备完成</w:t>
      </w:r>
      <w:r>
        <w:rPr>
          <w:rFonts w:eastAsia="方正仿宋_GBK"/>
          <w:sz w:val="32"/>
          <w:szCs w:val="32"/>
        </w:rPr>
        <w:t>2</w:t>
      </w:r>
      <w:r>
        <w:rPr>
          <w:rFonts w:eastAsia="方正仿宋_GBK"/>
          <w:sz w:val="32"/>
          <w:szCs w:val="32"/>
        </w:rPr>
        <w:t>个。</w:t>
      </w:r>
    </w:p>
    <w:p w:rsidR="00EC184F" w:rsidRDefault="00886416">
      <w:pPr>
        <w:snapToGrid w:val="0"/>
        <w:spacing w:line="520" w:lineRule="exact"/>
        <w:ind w:firstLine="640"/>
        <w:rPr>
          <w:rFonts w:eastAsia="方正仿宋_GBK"/>
          <w:sz w:val="32"/>
          <w:szCs w:val="32"/>
        </w:rPr>
      </w:pPr>
      <w:r>
        <w:rPr>
          <w:rFonts w:eastAsia="方正仿宋_GBK"/>
          <w:sz w:val="32"/>
          <w:szCs w:val="32"/>
        </w:rPr>
        <w:fldChar w:fldCharType="begin"/>
      </w:r>
      <w:r w:rsidR="00DC6B00">
        <w:rPr>
          <w:rFonts w:eastAsia="方正仿宋_GBK"/>
          <w:sz w:val="32"/>
          <w:szCs w:val="32"/>
        </w:rPr>
        <w:instrText xml:space="preserve"> = 2 \* GB3 </w:instrText>
      </w:r>
      <w:r>
        <w:rPr>
          <w:rFonts w:eastAsia="方正仿宋_GBK"/>
          <w:sz w:val="32"/>
          <w:szCs w:val="32"/>
        </w:rPr>
        <w:fldChar w:fldCharType="separate"/>
      </w:r>
      <w:r w:rsidR="00DC6B00">
        <w:rPr>
          <w:rFonts w:ascii="宋体" w:hAnsi="宋体" w:cs="宋体" w:hint="eastAsia"/>
          <w:sz w:val="32"/>
          <w:szCs w:val="32"/>
        </w:rPr>
        <w:t>②</w:t>
      </w:r>
      <w:r>
        <w:rPr>
          <w:rFonts w:eastAsia="方正仿宋_GBK"/>
          <w:sz w:val="32"/>
          <w:szCs w:val="32"/>
        </w:rPr>
        <w:fldChar w:fldCharType="end"/>
      </w:r>
      <w:r w:rsidR="00DC6B00">
        <w:rPr>
          <w:rFonts w:eastAsia="方正仿宋_GBK"/>
          <w:sz w:val="32"/>
          <w:szCs w:val="32"/>
        </w:rPr>
        <w:t>攻坚突破抓项目，增强发展后劲。</w:t>
      </w:r>
    </w:p>
    <w:p w:rsidR="00EC184F" w:rsidRDefault="00DC6B00">
      <w:pPr>
        <w:snapToGrid w:val="0"/>
        <w:spacing w:line="520" w:lineRule="exact"/>
        <w:ind w:firstLine="640"/>
        <w:rPr>
          <w:rFonts w:eastAsia="方正仿宋_GBK"/>
          <w:sz w:val="32"/>
          <w:szCs w:val="32"/>
        </w:rPr>
      </w:pPr>
      <w:r>
        <w:rPr>
          <w:rFonts w:eastAsia="方正仿宋_GBK"/>
          <w:sz w:val="32"/>
          <w:szCs w:val="32"/>
        </w:rPr>
        <w:t>一是成立专班对重点项目建设进行全程跟踪，清单制管理，落实牵头领导和责任股室，每周对重点项目、重点工作进行调度。乐乐能源科技综合利用废物年产</w:t>
      </w:r>
      <w:r>
        <w:rPr>
          <w:rFonts w:eastAsia="方正仿宋_GBK"/>
          <w:sz w:val="32"/>
          <w:szCs w:val="32"/>
        </w:rPr>
        <w:t>45</w:t>
      </w:r>
      <w:r>
        <w:rPr>
          <w:rFonts w:eastAsia="方正仿宋_GBK"/>
          <w:sz w:val="32"/>
          <w:szCs w:val="32"/>
        </w:rPr>
        <w:t>万立方米砌块项目、天钒科技年产</w:t>
      </w:r>
      <w:r>
        <w:rPr>
          <w:rFonts w:eastAsia="方正仿宋_GBK"/>
          <w:sz w:val="32"/>
          <w:szCs w:val="32"/>
        </w:rPr>
        <w:t>5</w:t>
      </w:r>
      <w:r>
        <w:rPr>
          <w:rFonts w:eastAsia="方正仿宋_GBK"/>
          <w:sz w:val="32"/>
          <w:szCs w:val="32"/>
        </w:rPr>
        <w:t>万吨耐磨材料机械精加工项目、金原科技钒钛微合金前沿新材料中试项目等</w:t>
      </w:r>
      <w:r>
        <w:rPr>
          <w:rFonts w:eastAsia="方正仿宋_GBK"/>
          <w:sz w:val="32"/>
          <w:szCs w:val="32"/>
        </w:rPr>
        <w:t>3</w:t>
      </w:r>
      <w:r>
        <w:rPr>
          <w:rFonts w:eastAsia="方正仿宋_GBK"/>
          <w:sz w:val="32"/>
          <w:szCs w:val="32"/>
        </w:rPr>
        <w:t>个项目顺利投产；马家田尾矿库接替库</w:t>
      </w:r>
      <w:r>
        <w:rPr>
          <w:rFonts w:eastAsia="方正仿宋_GBK"/>
          <w:sz w:val="32"/>
          <w:szCs w:val="32"/>
        </w:rPr>
        <w:t>—</w:t>
      </w:r>
      <w:r>
        <w:rPr>
          <w:rFonts w:eastAsia="方正仿宋_GBK"/>
          <w:sz w:val="32"/>
          <w:szCs w:val="32"/>
        </w:rPr>
        <w:t>中沟湾尾矿库工程、龙佰矿冶氯化法钛白粉及钒钪等稀有金属综合利用重大创新工程及</w:t>
      </w:r>
      <w:r>
        <w:rPr>
          <w:rFonts w:eastAsia="方正仿宋_GBK"/>
          <w:sz w:val="32"/>
          <w:szCs w:val="32"/>
        </w:rPr>
        <w:t>6</w:t>
      </w:r>
      <w:r>
        <w:rPr>
          <w:rFonts w:eastAsia="方正仿宋_GBK"/>
          <w:sz w:val="32"/>
          <w:szCs w:val="32"/>
        </w:rPr>
        <w:t>万</w:t>
      </w:r>
      <w:r>
        <w:rPr>
          <w:rFonts w:eastAsia="方正仿宋_GBK"/>
          <w:sz w:val="32"/>
          <w:szCs w:val="32"/>
        </w:rPr>
        <w:lastRenderedPageBreak/>
        <w:t>吨</w:t>
      </w:r>
      <w:r>
        <w:rPr>
          <w:rFonts w:eastAsia="方正仿宋_GBK"/>
          <w:sz w:val="32"/>
          <w:szCs w:val="32"/>
        </w:rPr>
        <w:t>/</w:t>
      </w:r>
      <w:r>
        <w:rPr>
          <w:rFonts w:eastAsia="方正仿宋_GBK"/>
          <w:sz w:val="32"/>
          <w:szCs w:val="32"/>
        </w:rPr>
        <w:t>年转子级海绵钛项目、美利林钒钛材料股份有限公司氯化钛渣及配套钒钛耐磨材料项目、宏金星年产</w:t>
      </w:r>
      <w:r>
        <w:rPr>
          <w:rFonts w:eastAsia="方正仿宋_GBK"/>
          <w:sz w:val="32"/>
          <w:szCs w:val="32"/>
        </w:rPr>
        <w:t>40</w:t>
      </w:r>
      <w:r>
        <w:rPr>
          <w:rFonts w:eastAsia="方正仿宋_GBK"/>
          <w:sz w:val="32"/>
          <w:szCs w:val="32"/>
        </w:rPr>
        <w:t>万</w:t>
      </w:r>
      <w:r>
        <w:rPr>
          <w:rFonts w:eastAsia="方正仿宋_GBK"/>
          <w:sz w:val="32"/>
          <w:szCs w:val="32"/>
        </w:rPr>
        <w:t>t/a</w:t>
      </w:r>
      <w:r>
        <w:rPr>
          <w:rFonts w:eastAsia="方正仿宋_GBK"/>
          <w:sz w:val="32"/>
          <w:szCs w:val="32"/>
        </w:rPr>
        <w:t>陶粒用粘土矿技改扩能项目等</w:t>
      </w:r>
      <w:r>
        <w:rPr>
          <w:rFonts w:eastAsia="方正仿宋_GBK"/>
          <w:sz w:val="32"/>
          <w:szCs w:val="32"/>
        </w:rPr>
        <w:t>4</w:t>
      </w:r>
      <w:r>
        <w:rPr>
          <w:rFonts w:eastAsia="方正仿宋_GBK"/>
          <w:sz w:val="32"/>
          <w:szCs w:val="32"/>
        </w:rPr>
        <w:t>个项目按计划顺利推进。二是清理僵尸企业，盘活存量资源，宏大铜镍已复工复产；伟鹏冶金正在进行设施、设备的技术改造升级。三是争取到省级工业发展专项资金</w:t>
      </w:r>
      <w:r>
        <w:rPr>
          <w:rFonts w:eastAsia="方正仿宋_GBK"/>
          <w:sz w:val="32"/>
          <w:szCs w:val="32"/>
        </w:rPr>
        <w:t>880</w:t>
      </w:r>
      <w:r>
        <w:rPr>
          <w:rFonts w:eastAsia="方正仿宋_GBK"/>
          <w:sz w:val="32"/>
          <w:szCs w:val="32"/>
        </w:rPr>
        <w:t>万元、省级科技项目资金</w:t>
      </w:r>
      <w:r>
        <w:rPr>
          <w:rFonts w:eastAsia="方正仿宋_GBK"/>
          <w:sz w:val="32"/>
          <w:szCs w:val="32"/>
        </w:rPr>
        <w:t>20</w:t>
      </w:r>
      <w:r>
        <w:rPr>
          <w:rFonts w:eastAsia="方正仿宋_GBK"/>
          <w:sz w:val="32"/>
          <w:szCs w:val="32"/>
        </w:rPr>
        <w:t>万元。四是开展制造业招商引资工作，新签约项目</w:t>
      </w:r>
      <w:r>
        <w:rPr>
          <w:rFonts w:eastAsia="方正仿宋_GBK"/>
          <w:sz w:val="32"/>
          <w:szCs w:val="32"/>
        </w:rPr>
        <w:t>1</w:t>
      </w:r>
      <w:r>
        <w:rPr>
          <w:rFonts w:eastAsia="方正仿宋_GBK"/>
          <w:sz w:val="32"/>
          <w:szCs w:val="32"/>
        </w:rPr>
        <w:t>个，签约金额</w:t>
      </w:r>
      <w:r>
        <w:rPr>
          <w:rFonts w:eastAsia="方正仿宋_GBK"/>
          <w:sz w:val="32"/>
          <w:szCs w:val="32"/>
        </w:rPr>
        <w:t>50</w:t>
      </w:r>
      <w:r>
        <w:rPr>
          <w:rFonts w:eastAsia="方正仿宋_GBK"/>
          <w:sz w:val="32"/>
          <w:szCs w:val="32"/>
        </w:rPr>
        <w:t>亿元；落地项目</w:t>
      </w:r>
      <w:r>
        <w:rPr>
          <w:rFonts w:eastAsia="方正仿宋_GBK"/>
          <w:sz w:val="32"/>
          <w:szCs w:val="32"/>
        </w:rPr>
        <w:t>6</w:t>
      </w:r>
      <w:r>
        <w:rPr>
          <w:rFonts w:eastAsia="方正仿宋_GBK"/>
          <w:sz w:val="32"/>
          <w:szCs w:val="32"/>
        </w:rPr>
        <w:t>个，投资金额</w:t>
      </w:r>
      <w:r>
        <w:rPr>
          <w:rFonts w:eastAsia="方正仿宋_GBK"/>
          <w:sz w:val="32"/>
          <w:szCs w:val="32"/>
        </w:rPr>
        <w:t>63.35</w:t>
      </w:r>
      <w:r>
        <w:rPr>
          <w:rFonts w:eastAsia="方正仿宋_GBK"/>
          <w:sz w:val="32"/>
          <w:szCs w:val="32"/>
        </w:rPr>
        <w:t>亿元；新开工项目</w:t>
      </w:r>
      <w:r>
        <w:rPr>
          <w:rFonts w:eastAsia="方正仿宋_GBK"/>
          <w:sz w:val="32"/>
          <w:szCs w:val="32"/>
        </w:rPr>
        <w:t>4</w:t>
      </w:r>
      <w:r>
        <w:rPr>
          <w:rFonts w:eastAsia="方正仿宋_GBK"/>
          <w:sz w:val="32"/>
          <w:szCs w:val="32"/>
        </w:rPr>
        <w:t>个，投资金额</w:t>
      </w:r>
      <w:r>
        <w:rPr>
          <w:rFonts w:eastAsia="方正仿宋_GBK"/>
          <w:sz w:val="32"/>
          <w:szCs w:val="32"/>
        </w:rPr>
        <w:t>50.7</w:t>
      </w:r>
      <w:r>
        <w:rPr>
          <w:rFonts w:eastAsia="方正仿宋_GBK"/>
          <w:sz w:val="32"/>
          <w:szCs w:val="32"/>
        </w:rPr>
        <w:t>亿元。</w:t>
      </w:r>
    </w:p>
    <w:p w:rsidR="00EC184F" w:rsidRDefault="00886416">
      <w:pPr>
        <w:snapToGrid w:val="0"/>
        <w:spacing w:line="520" w:lineRule="exact"/>
        <w:ind w:firstLine="640"/>
        <w:rPr>
          <w:rFonts w:eastAsia="方正仿宋_GBK"/>
          <w:sz w:val="32"/>
          <w:szCs w:val="32"/>
        </w:rPr>
      </w:pPr>
      <w:r>
        <w:rPr>
          <w:rFonts w:eastAsia="方正仿宋_GBK"/>
          <w:sz w:val="32"/>
          <w:szCs w:val="32"/>
        </w:rPr>
        <w:fldChar w:fldCharType="begin"/>
      </w:r>
      <w:r w:rsidR="00DC6B00">
        <w:rPr>
          <w:rFonts w:eastAsia="方正仿宋_GBK"/>
          <w:sz w:val="32"/>
          <w:szCs w:val="32"/>
        </w:rPr>
        <w:instrText xml:space="preserve"> = 3 \* GB3 </w:instrText>
      </w:r>
      <w:r>
        <w:rPr>
          <w:rFonts w:eastAsia="方正仿宋_GBK"/>
          <w:sz w:val="32"/>
          <w:szCs w:val="32"/>
        </w:rPr>
        <w:fldChar w:fldCharType="separate"/>
      </w:r>
      <w:r w:rsidR="00DC6B00">
        <w:rPr>
          <w:rFonts w:ascii="宋体" w:hAnsi="宋体" w:cs="宋体" w:hint="eastAsia"/>
          <w:sz w:val="32"/>
          <w:szCs w:val="32"/>
        </w:rPr>
        <w:t>③</w:t>
      </w:r>
      <w:r>
        <w:rPr>
          <w:rFonts w:eastAsia="方正仿宋_GBK"/>
          <w:sz w:val="32"/>
          <w:szCs w:val="32"/>
        </w:rPr>
        <w:fldChar w:fldCharType="end"/>
      </w:r>
      <w:r w:rsidR="00DC6B00">
        <w:rPr>
          <w:rFonts w:eastAsia="方正仿宋_GBK"/>
          <w:sz w:val="32"/>
          <w:szCs w:val="32"/>
        </w:rPr>
        <w:t>抓实科技创新，助力高质量发展。</w:t>
      </w:r>
    </w:p>
    <w:p w:rsidR="00EC184F" w:rsidRDefault="00DC6B00">
      <w:pPr>
        <w:snapToGrid w:val="0"/>
        <w:spacing w:line="520" w:lineRule="exact"/>
        <w:ind w:firstLine="640"/>
        <w:rPr>
          <w:rFonts w:eastAsia="方正仿宋_GBK"/>
          <w:sz w:val="32"/>
          <w:szCs w:val="32"/>
        </w:rPr>
      </w:pPr>
      <w:r>
        <w:rPr>
          <w:rFonts w:eastAsia="方正仿宋_GBK"/>
          <w:sz w:val="32"/>
          <w:szCs w:val="32"/>
        </w:rPr>
        <w:t>一是组织申报省级科技项目</w:t>
      </w:r>
      <w:r>
        <w:rPr>
          <w:rFonts w:eastAsia="方正仿宋_GBK"/>
          <w:sz w:val="32"/>
          <w:szCs w:val="32"/>
        </w:rPr>
        <w:t>1</w:t>
      </w:r>
      <w:r>
        <w:rPr>
          <w:rFonts w:eastAsia="方正仿宋_GBK"/>
          <w:sz w:val="32"/>
          <w:szCs w:val="32"/>
        </w:rPr>
        <w:t>个、攀西试验区重大科技攻关项目</w:t>
      </w:r>
      <w:r>
        <w:rPr>
          <w:rFonts w:eastAsia="方正仿宋_GBK"/>
          <w:sz w:val="32"/>
          <w:szCs w:val="32"/>
        </w:rPr>
        <w:t>2</w:t>
      </w:r>
      <w:r>
        <w:rPr>
          <w:rFonts w:eastAsia="方正仿宋_GBK"/>
          <w:sz w:val="32"/>
          <w:szCs w:val="32"/>
        </w:rPr>
        <w:t>个。二是认真开展</w:t>
      </w:r>
      <w:r>
        <w:rPr>
          <w:rFonts w:eastAsia="方正仿宋_GBK"/>
          <w:sz w:val="32"/>
          <w:szCs w:val="32"/>
        </w:rPr>
        <w:t>“</w:t>
      </w:r>
      <w:r>
        <w:rPr>
          <w:rFonts w:eastAsia="方正仿宋_GBK"/>
          <w:sz w:val="32"/>
          <w:szCs w:val="32"/>
        </w:rPr>
        <w:t>双创</w:t>
      </w:r>
      <w:r>
        <w:rPr>
          <w:rFonts w:eastAsia="方正仿宋_GBK"/>
          <w:sz w:val="32"/>
          <w:szCs w:val="32"/>
        </w:rPr>
        <w:t>”</w:t>
      </w:r>
      <w:r>
        <w:rPr>
          <w:rFonts w:eastAsia="方正仿宋_GBK"/>
          <w:sz w:val="32"/>
          <w:szCs w:val="32"/>
        </w:rPr>
        <w:t>工作，制定</w:t>
      </w:r>
      <w:r>
        <w:rPr>
          <w:rFonts w:eastAsia="方正仿宋_GBK"/>
          <w:sz w:val="32"/>
          <w:szCs w:val="32"/>
        </w:rPr>
        <w:t>“</w:t>
      </w:r>
      <w:r>
        <w:rPr>
          <w:rFonts w:eastAsia="方正仿宋_GBK"/>
          <w:sz w:val="32"/>
          <w:szCs w:val="32"/>
        </w:rPr>
        <w:t>双创</w:t>
      </w:r>
      <w:r>
        <w:rPr>
          <w:rFonts w:eastAsia="方正仿宋_GBK"/>
          <w:sz w:val="32"/>
          <w:szCs w:val="32"/>
        </w:rPr>
        <w:t>”</w:t>
      </w:r>
      <w:r>
        <w:rPr>
          <w:rFonts w:eastAsia="方正仿宋_GBK"/>
          <w:sz w:val="32"/>
          <w:szCs w:val="32"/>
        </w:rPr>
        <w:t>工作要点，组织开展双创活动</w:t>
      </w:r>
      <w:r>
        <w:rPr>
          <w:rFonts w:eastAsia="方正仿宋_GBK"/>
          <w:sz w:val="32"/>
          <w:szCs w:val="32"/>
        </w:rPr>
        <w:t>1</w:t>
      </w:r>
      <w:r>
        <w:rPr>
          <w:rFonts w:eastAsia="方正仿宋_GBK"/>
          <w:sz w:val="32"/>
          <w:szCs w:val="32"/>
        </w:rPr>
        <w:t>次。三是围绕乡村振兴工作，利用</w:t>
      </w:r>
      <w:r>
        <w:rPr>
          <w:rFonts w:eastAsia="方正仿宋_GBK"/>
          <w:sz w:val="32"/>
          <w:szCs w:val="32"/>
        </w:rPr>
        <w:t>“</w:t>
      </w:r>
      <w:r>
        <w:rPr>
          <w:rFonts w:eastAsia="方正仿宋_GBK"/>
          <w:sz w:val="32"/>
          <w:szCs w:val="32"/>
        </w:rPr>
        <w:t>科技之春</w:t>
      </w:r>
      <w:r>
        <w:rPr>
          <w:rFonts w:eastAsia="方正仿宋_GBK"/>
          <w:sz w:val="32"/>
          <w:szCs w:val="32"/>
        </w:rPr>
        <w:t>”</w:t>
      </w:r>
      <w:r>
        <w:rPr>
          <w:rFonts w:eastAsia="方正仿宋_GBK"/>
          <w:sz w:val="32"/>
          <w:szCs w:val="32"/>
        </w:rPr>
        <w:t>科普宣传月等科普活动，以农村实用技术为重点，围绕晚熟芒果、特色蚕桑、魔芋、生态养殖、现代林业、蔬菜等优势主导产业，举办各类培训（讲座）</w:t>
      </w:r>
      <w:r>
        <w:rPr>
          <w:rFonts w:eastAsia="方正仿宋_GBK"/>
          <w:sz w:val="32"/>
          <w:szCs w:val="32"/>
        </w:rPr>
        <w:t>84</w:t>
      </w:r>
      <w:r>
        <w:rPr>
          <w:rFonts w:eastAsia="方正仿宋_GBK"/>
          <w:sz w:val="32"/>
          <w:szCs w:val="32"/>
        </w:rPr>
        <w:t>场次，培训农民</w:t>
      </w:r>
      <w:r>
        <w:rPr>
          <w:rFonts w:eastAsia="方正仿宋_GBK"/>
          <w:sz w:val="32"/>
          <w:szCs w:val="32"/>
        </w:rPr>
        <w:t>3300</w:t>
      </w:r>
      <w:r>
        <w:rPr>
          <w:rFonts w:eastAsia="方正仿宋_GBK"/>
          <w:sz w:val="32"/>
          <w:szCs w:val="32"/>
        </w:rPr>
        <w:t>余人次。深入乡（镇）、机关、企业、学校开展科普宣传活动</w:t>
      </w:r>
      <w:r>
        <w:rPr>
          <w:rFonts w:eastAsia="方正仿宋_GBK"/>
          <w:sz w:val="32"/>
          <w:szCs w:val="32"/>
        </w:rPr>
        <w:t>3</w:t>
      </w:r>
      <w:r>
        <w:rPr>
          <w:rFonts w:eastAsia="方正仿宋_GBK"/>
          <w:sz w:val="32"/>
          <w:szCs w:val="32"/>
        </w:rPr>
        <w:t>次，发放实用技术资料、科技宣传册子</w:t>
      </w:r>
      <w:r>
        <w:rPr>
          <w:rFonts w:eastAsia="方正仿宋_GBK"/>
          <w:sz w:val="32"/>
          <w:szCs w:val="32"/>
        </w:rPr>
        <w:t>5600</w:t>
      </w:r>
      <w:r>
        <w:rPr>
          <w:rFonts w:eastAsia="方正仿宋_GBK"/>
          <w:sz w:val="32"/>
          <w:szCs w:val="32"/>
        </w:rPr>
        <w:t>余份。四是组织</w:t>
      </w:r>
      <w:r>
        <w:rPr>
          <w:rFonts w:eastAsia="方正仿宋_GBK"/>
          <w:sz w:val="32"/>
          <w:szCs w:val="32"/>
        </w:rPr>
        <w:t>17</w:t>
      </w:r>
      <w:r>
        <w:rPr>
          <w:rFonts w:eastAsia="方正仿宋_GBK"/>
          <w:sz w:val="32"/>
          <w:szCs w:val="32"/>
        </w:rPr>
        <w:t>名科技特派员为农户提供技术服务，解决产业发展技术问题，推动主导产业做大做强。五是开展</w:t>
      </w:r>
      <w:r>
        <w:rPr>
          <w:rFonts w:eastAsia="方正仿宋_GBK"/>
          <w:sz w:val="32"/>
          <w:szCs w:val="32"/>
        </w:rPr>
        <w:t>“</w:t>
      </w:r>
      <w:r>
        <w:rPr>
          <w:rFonts w:eastAsia="方正仿宋_GBK"/>
          <w:sz w:val="32"/>
          <w:szCs w:val="32"/>
        </w:rPr>
        <w:t>四川科技兴村在线平台</w:t>
      </w:r>
      <w:r>
        <w:rPr>
          <w:rFonts w:eastAsia="方正仿宋_GBK"/>
          <w:sz w:val="32"/>
          <w:szCs w:val="32"/>
        </w:rPr>
        <w:t>”</w:t>
      </w:r>
      <w:r>
        <w:rPr>
          <w:rFonts w:eastAsia="方正仿宋_GBK"/>
          <w:sz w:val="32"/>
          <w:szCs w:val="32"/>
        </w:rPr>
        <w:t>服务工作，配备科技专家</w:t>
      </w:r>
      <w:r>
        <w:rPr>
          <w:rFonts w:eastAsia="方正仿宋_GBK"/>
          <w:sz w:val="32"/>
          <w:szCs w:val="32"/>
        </w:rPr>
        <w:t>74</w:t>
      </w:r>
      <w:r>
        <w:rPr>
          <w:rFonts w:eastAsia="方正仿宋_GBK"/>
          <w:sz w:val="32"/>
          <w:szCs w:val="32"/>
        </w:rPr>
        <w:t>名，分诊员</w:t>
      </w:r>
      <w:r>
        <w:rPr>
          <w:rFonts w:eastAsia="方正仿宋_GBK"/>
          <w:sz w:val="32"/>
          <w:szCs w:val="32"/>
        </w:rPr>
        <w:t>2</w:t>
      </w:r>
      <w:r>
        <w:rPr>
          <w:rFonts w:eastAsia="方正仿宋_GBK"/>
          <w:sz w:val="32"/>
          <w:szCs w:val="32"/>
        </w:rPr>
        <w:t>名，信息员</w:t>
      </w:r>
      <w:r>
        <w:rPr>
          <w:rFonts w:eastAsia="方正仿宋_GBK"/>
          <w:sz w:val="32"/>
          <w:szCs w:val="32"/>
        </w:rPr>
        <w:t>217</w:t>
      </w:r>
      <w:r>
        <w:rPr>
          <w:rFonts w:eastAsia="方正仿宋_GBK"/>
          <w:sz w:val="32"/>
          <w:szCs w:val="32"/>
        </w:rPr>
        <w:t>名，累计开展在线咨询服务</w:t>
      </w:r>
      <w:r>
        <w:rPr>
          <w:rFonts w:eastAsia="方正仿宋_GBK"/>
          <w:sz w:val="32"/>
          <w:szCs w:val="32"/>
        </w:rPr>
        <w:t>98</w:t>
      </w:r>
      <w:r>
        <w:rPr>
          <w:rFonts w:eastAsia="方正仿宋_GBK"/>
          <w:sz w:val="32"/>
          <w:szCs w:val="32"/>
        </w:rPr>
        <w:t>条，快速、及时、高效地解决了农民反映的技术需求和生产问题。六是加大天府科技云工作力度，共注册个人用户</w:t>
      </w:r>
      <w:r>
        <w:rPr>
          <w:rFonts w:eastAsia="方正仿宋_GBK"/>
          <w:sz w:val="32"/>
          <w:szCs w:val="32"/>
        </w:rPr>
        <w:t>14696</w:t>
      </w:r>
      <w:r>
        <w:rPr>
          <w:rFonts w:eastAsia="方正仿宋_GBK"/>
          <w:sz w:val="32"/>
          <w:szCs w:val="32"/>
        </w:rPr>
        <w:t>人，注册组织机构用户</w:t>
      </w:r>
      <w:r>
        <w:rPr>
          <w:rFonts w:eastAsia="方正仿宋_GBK"/>
          <w:sz w:val="32"/>
          <w:szCs w:val="32"/>
        </w:rPr>
        <w:t>812</w:t>
      </w:r>
      <w:r>
        <w:rPr>
          <w:rFonts w:eastAsia="方正仿宋_GBK"/>
          <w:sz w:val="32"/>
          <w:szCs w:val="32"/>
        </w:rPr>
        <w:t>家。七是组织</w:t>
      </w:r>
      <w:r>
        <w:rPr>
          <w:rFonts w:eastAsia="方正仿宋_GBK"/>
          <w:sz w:val="32"/>
          <w:szCs w:val="32"/>
        </w:rPr>
        <w:t>3</w:t>
      </w:r>
      <w:r>
        <w:rPr>
          <w:rFonts w:eastAsia="方正仿宋_GBK"/>
          <w:sz w:val="32"/>
          <w:szCs w:val="32"/>
        </w:rPr>
        <w:t>名乡土人才参加四川省第六届农村乡土人才创新创业大赛攀枝花初赛，获得市二</w:t>
      </w:r>
      <w:r>
        <w:rPr>
          <w:rFonts w:eastAsia="方正仿宋_GBK"/>
          <w:sz w:val="32"/>
          <w:szCs w:val="32"/>
        </w:rPr>
        <w:lastRenderedPageBreak/>
        <w:t>等奖</w:t>
      </w:r>
      <w:r>
        <w:rPr>
          <w:rFonts w:eastAsia="方正仿宋_GBK"/>
          <w:sz w:val="32"/>
          <w:szCs w:val="32"/>
        </w:rPr>
        <w:t>1</w:t>
      </w:r>
      <w:r>
        <w:rPr>
          <w:rFonts w:eastAsia="方正仿宋_GBK"/>
          <w:sz w:val="32"/>
          <w:szCs w:val="32"/>
        </w:rPr>
        <w:t>名、市三等奖</w:t>
      </w:r>
      <w:r>
        <w:rPr>
          <w:rFonts w:eastAsia="方正仿宋_GBK"/>
          <w:sz w:val="32"/>
          <w:szCs w:val="32"/>
        </w:rPr>
        <w:t>1</w:t>
      </w:r>
      <w:r>
        <w:rPr>
          <w:rFonts w:eastAsia="方正仿宋_GBK"/>
          <w:sz w:val="32"/>
          <w:szCs w:val="32"/>
        </w:rPr>
        <w:t>名、市优胜奖</w:t>
      </w:r>
      <w:r>
        <w:rPr>
          <w:rFonts w:eastAsia="方正仿宋_GBK"/>
          <w:sz w:val="32"/>
          <w:szCs w:val="32"/>
        </w:rPr>
        <w:t>1</w:t>
      </w:r>
      <w:r>
        <w:rPr>
          <w:rFonts w:eastAsia="方正仿宋_GBK"/>
          <w:sz w:val="32"/>
          <w:szCs w:val="32"/>
        </w:rPr>
        <w:t>名。八是中丝天成成功申报市级专家工作站。</w:t>
      </w:r>
    </w:p>
    <w:p w:rsidR="00EC184F" w:rsidRDefault="00886416">
      <w:pPr>
        <w:snapToGrid w:val="0"/>
        <w:spacing w:line="520" w:lineRule="exact"/>
        <w:ind w:firstLine="640"/>
        <w:rPr>
          <w:rFonts w:eastAsia="方正仿宋_GBK"/>
          <w:sz w:val="32"/>
          <w:szCs w:val="32"/>
        </w:rPr>
      </w:pPr>
      <w:r>
        <w:rPr>
          <w:rFonts w:eastAsia="方正仿宋_GBK"/>
          <w:sz w:val="32"/>
          <w:szCs w:val="32"/>
        </w:rPr>
        <w:fldChar w:fldCharType="begin"/>
      </w:r>
      <w:r w:rsidR="00DC6B00">
        <w:rPr>
          <w:rFonts w:eastAsia="方正仿宋_GBK"/>
          <w:sz w:val="32"/>
          <w:szCs w:val="32"/>
        </w:rPr>
        <w:instrText xml:space="preserve"> = 4 \* GB3 </w:instrText>
      </w:r>
      <w:r>
        <w:rPr>
          <w:rFonts w:eastAsia="方正仿宋_GBK"/>
          <w:sz w:val="32"/>
          <w:szCs w:val="32"/>
        </w:rPr>
        <w:fldChar w:fldCharType="separate"/>
      </w:r>
      <w:r w:rsidR="00DC6B00">
        <w:rPr>
          <w:rFonts w:ascii="宋体" w:hAnsi="宋体" w:cs="宋体" w:hint="eastAsia"/>
          <w:sz w:val="32"/>
          <w:szCs w:val="32"/>
        </w:rPr>
        <w:t>④</w:t>
      </w:r>
      <w:r>
        <w:rPr>
          <w:rFonts w:eastAsia="方正仿宋_GBK"/>
          <w:sz w:val="32"/>
          <w:szCs w:val="32"/>
        </w:rPr>
        <w:fldChar w:fldCharType="end"/>
      </w:r>
      <w:r w:rsidR="00DC6B00">
        <w:rPr>
          <w:rFonts w:eastAsia="方正仿宋_GBK"/>
          <w:sz w:val="32"/>
          <w:szCs w:val="32"/>
        </w:rPr>
        <w:t>加强行业管理，促进绿色低碳发展。</w:t>
      </w:r>
    </w:p>
    <w:p w:rsidR="00EC184F" w:rsidRDefault="00DC6B00">
      <w:pPr>
        <w:snapToGrid w:val="0"/>
        <w:spacing w:line="520" w:lineRule="exact"/>
        <w:ind w:firstLine="640"/>
        <w:rPr>
          <w:rFonts w:eastAsia="方正仿宋_GBK"/>
          <w:sz w:val="32"/>
          <w:szCs w:val="32"/>
        </w:rPr>
      </w:pPr>
      <w:r>
        <w:rPr>
          <w:rFonts w:eastAsia="方正仿宋_GBK"/>
          <w:sz w:val="32"/>
          <w:szCs w:val="32"/>
        </w:rPr>
        <w:t>一是开展钢铁产能认定及自查，核实闽鑫钒钛</w:t>
      </w:r>
      <w:r>
        <w:rPr>
          <w:rFonts w:eastAsia="方正仿宋_GBK"/>
          <w:sz w:val="32"/>
          <w:szCs w:val="32"/>
        </w:rPr>
        <w:t>12500kVA</w:t>
      </w:r>
      <w:r>
        <w:rPr>
          <w:rFonts w:eastAsia="方正仿宋_GBK"/>
          <w:sz w:val="32"/>
          <w:szCs w:val="32"/>
        </w:rPr>
        <w:t>矿热炉综合利用冶金废渣生产硅钒铁合金项目、龙佰矿冶</w:t>
      </w:r>
      <w:r>
        <w:rPr>
          <w:rFonts w:eastAsia="方正仿宋_GBK"/>
          <w:sz w:val="32"/>
          <w:szCs w:val="32"/>
        </w:rPr>
        <w:t>50</w:t>
      </w:r>
      <w:r>
        <w:rPr>
          <w:rFonts w:eastAsia="方正仿宋_GBK"/>
          <w:sz w:val="32"/>
          <w:szCs w:val="32"/>
        </w:rPr>
        <w:t>万吨攀西钛精矿升级转化氯化钛渣创新工程</w:t>
      </w:r>
      <w:r>
        <w:rPr>
          <w:rFonts w:eastAsia="方正仿宋_GBK"/>
          <w:sz w:val="32"/>
          <w:szCs w:val="32"/>
        </w:rPr>
        <w:t>--CXTZ</w:t>
      </w:r>
      <w:r>
        <w:rPr>
          <w:rFonts w:eastAsia="方正仿宋_GBK"/>
          <w:sz w:val="32"/>
          <w:szCs w:val="32"/>
        </w:rPr>
        <w:t>炉升级改造项目是否涉及新增钢铁产能和</w:t>
      </w:r>
      <w:r>
        <w:rPr>
          <w:rFonts w:eastAsia="方正仿宋_GBK"/>
          <w:sz w:val="32"/>
          <w:szCs w:val="32"/>
        </w:rPr>
        <w:t>“</w:t>
      </w:r>
      <w:r>
        <w:rPr>
          <w:rFonts w:eastAsia="方正仿宋_GBK"/>
          <w:sz w:val="32"/>
          <w:szCs w:val="32"/>
        </w:rPr>
        <w:t>地条钢</w:t>
      </w:r>
      <w:r>
        <w:rPr>
          <w:rFonts w:eastAsia="方正仿宋_GBK"/>
          <w:sz w:val="32"/>
          <w:szCs w:val="32"/>
        </w:rPr>
        <w:t>”</w:t>
      </w:r>
      <w:r>
        <w:rPr>
          <w:rFonts w:eastAsia="方正仿宋_GBK"/>
          <w:sz w:val="32"/>
          <w:szCs w:val="32"/>
        </w:rPr>
        <w:t>问题；开展钢铁行业违法违规行为自查，我县现有重点涉钢企业</w:t>
      </w:r>
      <w:r>
        <w:rPr>
          <w:rFonts w:eastAsia="方正仿宋_GBK"/>
          <w:sz w:val="32"/>
          <w:szCs w:val="32"/>
        </w:rPr>
        <w:t>5</w:t>
      </w:r>
      <w:r>
        <w:rPr>
          <w:rFonts w:eastAsia="方正仿宋_GBK"/>
          <w:sz w:val="32"/>
          <w:szCs w:val="32"/>
        </w:rPr>
        <w:t>家，未新发现</w:t>
      </w:r>
      <w:r>
        <w:rPr>
          <w:rFonts w:eastAsia="方正仿宋_GBK"/>
          <w:sz w:val="32"/>
          <w:szCs w:val="32"/>
        </w:rPr>
        <w:t>“</w:t>
      </w:r>
      <w:r>
        <w:rPr>
          <w:rFonts w:eastAsia="方正仿宋_GBK"/>
          <w:sz w:val="32"/>
          <w:szCs w:val="32"/>
        </w:rPr>
        <w:t>地条钢</w:t>
      </w:r>
      <w:r>
        <w:rPr>
          <w:rFonts w:eastAsia="方正仿宋_GBK"/>
          <w:sz w:val="32"/>
          <w:szCs w:val="32"/>
        </w:rPr>
        <w:t>”</w:t>
      </w:r>
      <w:r>
        <w:rPr>
          <w:rFonts w:eastAsia="方正仿宋_GBK"/>
          <w:sz w:val="32"/>
          <w:szCs w:val="32"/>
        </w:rPr>
        <w:t>生产企业，无违规新增产能。二是开展洗选企业能耗核查工作，委托第三方公司对洗选企业进行能耗核查及对标工作，督促、指导</w:t>
      </w:r>
      <w:r>
        <w:rPr>
          <w:rFonts w:eastAsia="方正仿宋_GBK"/>
          <w:sz w:val="32"/>
          <w:szCs w:val="32"/>
        </w:rPr>
        <w:t>1</w:t>
      </w:r>
      <w:r>
        <w:rPr>
          <w:rFonts w:eastAsia="方正仿宋_GBK"/>
          <w:sz w:val="32"/>
          <w:szCs w:val="32"/>
        </w:rPr>
        <w:t>户能耗不达标企业完成节能改造。三是配合分布式光伏项目建设，昔格达村零碳示范村项目顺利推进；配合相关企业开展园区内</w:t>
      </w:r>
      <w:r>
        <w:rPr>
          <w:rFonts w:eastAsia="方正仿宋_GBK"/>
          <w:sz w:val="32"/>
          <w:szCs w:val="32"/>
        </w:rPr>
        <w:t>10</w:t>
      </w:r>
      <w:r>
        <w:rPr>
          <w:rFonts w:eastAsia="方正仿宋_GBK"/>
          <w:sz w:val="32"/>
          <w:szCs w:val="32"/>
        </w:rPr>
        <w:t>余户企业屋顶分布式光伏项目调研等前期工作。四是指导农产品精深加工企业助力乡村振兴，助农增收；农产品精深加工企业升规</w:t>
      </w:r>
      <w:r>
        <w:rPr>
          <w:rFonts w:eastAsia="方正仿宋_GBK"/>
          <w:sz w:val="32"/>
          <w:szCs w:val="32"/>
        </w:rPr>
        <w:t>1</w:t>
      </w:r>
      <w:r>
        <w:rPr>
          <w:rFonts w:eastAsia="方正仿宋_GBK"/>
          <w:sz w:val="32"/>
          <w:szCs w:val="32"/>
        </w:rPr>
        <w:t>户，农林牧渔业加工业产值实现营业收入正增长。五是组织企业注册</w:t>
      </w:r>
      <w:r>
        <w:rPr>
          <w:rFonts w:eastAsia="方正仿宋_GBK"/>
          <w:sz w:val="32"/>
          <w:szCs w:val="32"/>
        </w:rPr>
        <w:t>“</w:t>
      </w:r>
      <w:r>
        <w:rPr>
          <w:rFonts w:eastAsia="方正仿宋_GBK"/>
          <w:sz w:val="32"/>
          <w:szCs w:val="32"/>
        </w:rPr>
        <w:t>天府云销平台</w:t>
      </w:r>
      <w:r>
        <w:rPr>
          <w:rFonts w:eastAsia="方正仿宋_GBK"/>
          <w:sz w:val="32"/>
          <w:szCs w:val="32"/>
        </w:rPr>
        <w:t>”</w:t>
      </w:r>
      <w:r>
        <w:rPr>
          <w:rFonts w:eastAsia="方正仿宋_GBK"/>
          <w:sz w:val="32"/>
          <w:szCs w:val="32"/>
        </w:rPr>
        <w:t>，已注册规上企业</w:t>
      </w:r>
      <w:r>
        <w:rPr>
          <w:rFonts w:eastAsia="方正仿宋_GBK"/>
          <w:sz w:val="32"/>
          <w:szCs w:val="32"/>
        </w:rPr>
        <w:t>52</w:t>
      </w:r>
      <w:r>
        <w:rPr>
          <w:rFonts w:eastAsia="方正仿宋_GBK"/>
          <w:sz w:val="32"/>
          <w:szCs w:val="32"/>
        </w:rPr>
        <w:t>户、规下企业</w:t>
      </w:r>
      <w:r>
        <w:rPr>
          <w:rFonts w:eastAsia="方正仿宋_GBK"/>
          <w:sz w:val="32"/>
          <w:szCs w:val="32"/>
        </w:rPr>
        <w:t>10</w:t>
      </w:r>
      <w:r>
        <w:rPr>
          <w:rFonts w:eastAsia="方正仿宋_GBK"/>
          <w:sz w:val="32"/>
          <w:szCs w:val="32"/>
        </w:rPr>
        <w:t>户。六是推荐乐乐能源申报四川省地方特色优势绿色建材培育产品。七是培育专精特新企业</w:t>
      </w:r>
      <w:r>
        <w:rPr>
          <w:rFonts w:eastAsia="方正仿宋_GBK"/>
          <w:sz w:val="32"/>
          <w:szCs w:val="32"/>
        </w:rPr>
        <w:t>2</w:t>
      </w:r>
      <w:r>
        <w:rPr>
          <w:rFonts w:eastAsia="方正仿宋_GBK"/>
          <w:sz w:val="32"/>
          <w:szCs w:val="32"/>
        </w:rPr>
        <w:t>户，组织美利林申报省级专精特新企业、水钢红发申报国家级专精特新企业；对广川冶金、攀云钛等</w:t>
      </w:r>
      <w:r>
        <w:rPr>
          <w:rFonts w:eastAsia="方正仿宋_GBK"/>
          <w:sz w:val="32"/>
          <w:szCs w:val="32"/>
        </w:rPr>
        <w:t>2</w:t>
      </w:r>
      <w:r>
        <w:rPr>
          <w:rFonts w:eastAsia="方正仿宋_GBK"/>
          <w:sz w:val="32"/>
          <w:szCs w:val="32"/>
        </w:rPr>
        <w:t>户省级专精特新企业进行复核认定。组织龙佰矿冶成功申报市级企业技术中心，正在申报省级企业技术中心。</w:t>
      </w:r>
    </w:p>
    <w:p w:rsidR="00EC184F" w:rsidRDefault="00886416">
      <w:pPr>
        <w:snapToGrid w:val="0"/>
        <w:spacing w:line="520" w:lineRule="exact"/>
        <w:ind w:firstLine="640"/>
        <w:rPr>
          <w:rFonts w:eastAsia="方正仿宋_GBK"/>
          <w:sz w:val="32"/>
          <w:szCs w:val="32"/>
        </w:rPr>
      </w:pPr>
      <w:r>
        <w:rPr>
          <w:rFonts w:eastAsia="方正仿宋_GBK"/>
          <w:sz w:val="32"/>
          <w:szCs w:val="32"/>
        </w:rPr>
        <w:fldChar w:fldCharType="begin"/>
      </w:r>
      <w:r w:rsidR="00DC6B00">
        <w:rPr>
          <w:rFonts w:eastAsia="方正仿宋_GBK"/>
          <w:sz w:val="32"/>
          <w:szCs w:val="32"/>
        </w:rPr>
        <w:instrText xml:space="preserve"> = 5 \* GB3 </w:instrText>
      </w:r>
      <w:r>
        <w:rPr>
          <w:rFonts w:eastAsia="方正仿宋_GBK"/>
          <w:sz w:val="32"/>
          <w:szCs w:val="32"/>
        </w:rPr>
        <w:fldChar w:fldCharType="separate"/>
      </w:r>
      <w:r w:rsidR="00DC6B00">
        <w:rPr>
          <w:rFonts w:ascii="宋体" w:hAnsi="宋体" w:cs="宋体" w:hint="eastAsia"/>
          <w:sz w:val="32"/>
          <w:szCs w:val="32"/>
        </w:rPr>
        <w:t>⑤</w:t>
      </w:r>
      <w:r>
        <w:rPr>
          <w:rFonts w:eastAsia="方正仿宋_GBK"/>
          <w:sz w:val="32"/>
          <w:szCs w:val="32"/>
        </w:rPr>
        <w:fldChar w:fldCharType="end"/>
      </w:r>
      <w:r w:rsidR="00DC6B00">
        <w:rPr>
          <w:rFonts w:eastAsia="方正仿宋_GBK"/>
          <w:sz w:val="32"/>
          <w:szCs w:val="32"/>
        </w:rPr>
        <w:t>强化要素保障，夯实发展基础。</w:t>
      </w:r>
    </w:p>
    <w:p w:rsidR="00EC184F" w:rsidRDefault="00DC6B00">
      <w:pPr>
        <w:snapToGrid w:val="0"/>
        <w:spacing w:line="520" w:lineRule="exact"/>
        <w:ind w:firstLine="640"/>
        <w:rPr>
          <w:rFonts w:eastAsia="方正仿宋_GBK"/>
          <w:sz w:val="32"/>
          <w:szCs w:val="32"/>
        </w:rPr>
      </w:pPr>
      <w:r>
        <w:rPr>
          <w:rFonts w:eastAsia="方正仿宋_GBK"/>
          <w:sz w:val="32"/>
          <w:szCs w:val="32"/>
        </w:rPr>
        <w:t>一是强化成品油零售经营管理，保障成品油市场供给，</w:t>
      </w:r>
      <w:r>
        <w:rPr>
          <w:rFonts w:eastAsia="方正仿宋_GBK"/>
          <w:sz w:val="32"/>
          <w:szCs w:val="32"/>
        </w:rPr>
        <w:t>1-10</w:t>
      </w:r>
      <w:r>
        <w:rPr>
          <w:rFonts w:eastAsia="方正仿宋_GBK"/>
          <w:sz w:val="32"/>
          <w:szCs w:val="32"/>
        </w:rPr>
        <w:t>月，全县销售成品油</w:t>
      </w:r>
      <w:r>
        <w:rPr>
          <w:rFonts w:eastAsia="方正仿宋_GBK"/>
          <w:sz w:val="32"/>
          <w:szCs w:val="32"/>
        </w:rPr>
        <w:t>33752.3</w:t>
      </w:r>
      <w:r>
        <w:rPr>
          <w:rFonts w:eastAsia="方正仿宋_GBK"/>
          <w:sz w:val="32"/>
          <w:szCs w:val="32"/>
        </w:rPr>
        <w:t>吨</w:t>
      </w:r>
      <w:r>
        <w:rPr>
          <w:rFonts w:eastAsia="方正仿宋_GBK"/>
          <w:sz w:val="32"/>
          <w:szCs w:val="32"/>
        </w:rPr>
        <w:t>,</w:t>
      </w:r>
      <w:r>
        <w:rPr>
          <w:rFonts w:eastAsia="方正仿宋_GBK"/>
          <w:sz w:val="32"/>
          <w:szCs w:val="32"/>
        </w:rPr>
        <w:t>同比下降</w:t>
      </w:r>
      <w:r>
        <w:rPr>
          <w:rFonts w:eastAsia="方正仿宋_GBK"/>
          <w:sz w:val="32"/>
          <w:szCs w:val="32"/>
        </w:rPr>
        <w:t>1.88%</w:t>
      </w:r>
      <w:r>
        <w:rPr>
          <w:rFonts w:eastAsia="方正仿宋_GBK"/>
          <w:sz w:val="32"/>
          <w:szCs w:val="32"/>
        </w:rPr>
        <w:t>。其中：</w:t>
      </w:r>
      <w:r>
        <w:rPr>
          <w:rFonts w:eastAsia="方正仿宋_GBK"/>
          <w:sz w:val="32"/>
          <w:szCs w:val="32"/>
        </w:rPr>
        <w:lastRenderedPageBreak/>
        <w:t>柴油销售量</w:t>
      </w:r>
      <w:r>
        <w:rPr>
          <w:rFonts w:eastAsia="方正仿宋_GBK"/>
          <w:sz w:val="32"/>
          <w:szCs w:val="32"/>
        </w:rPr>
        <w:t>17258.09</w:t>
      </w:r>
      <w:r>
        <w:rPr>
          <w:rFonts w:eastAsia="方正仿宋_GBK"/>
          <w:sz w:val="32"/>
          <w:szCs w:val="32"/>
        </w:rPr>
        <w:t>吨，同比下降</w:t>
      </w:r>
      <w:r>
        <w:rPr>
          <w:rFonts w:eastAsia="方正仿宋_GBK"/>
          <w:sz w:val="32"/>
          <w:szCs w:val="32"/>
        </w:rPr>
        <w:t>0.29%</w:t>
      </w:r>
      <w:r>
        <w:rPr>
          <w:rFonts w:eastAsia="方正仿宋_GBK"/>
          <w:sz w:val="32"/>
          <w:szCs w:val="32"/>
        </w:rPr>
        <w:t>；汽油销售量</w:t>
      </w:r>
      <w:r>
        <w:rPr>
          <w:rFonts w:eastAsia="方正仿宋_GBK"/>
          <w:sz w:val="32"/>
          <w:szCs w:val="32"/>
        </w:rPr>
        <w:t>16494.21</w:t>
      </w:r>
      <w:r>
        <w:rPr>
          <w:rFonts w:eastAsia="方正仿宋_GBK"/>
          <w:sz w:val="32"/>
          <w:szCs w:val="32"/>
        </w:rPr>
        <w:t>吨，同比下降</w:t>
      </w:r>
      <w:r>
        <w:rPr>
          <w:rFonts w:eastAsia="方正仿宋_GBK"/>
          <w:sz w:val="32"/>
          <w:szCs w:val="32"/>
        </w:rPr>
        <w:t>3.5%</w:t>
      </w:r>
      <w:r>
        <w:rPr>
          <w:rFonts w:eastAsia="方正仿宋_GBK"/>
          <w:sz w:val="32"/>
          <w:szCs w:val="32"/>
        </w:rPr>
        <w:t>。二是做好铁路运输协调保供工作，</w:t>
      </w:r>
      <w:r>
        <w:rPr>
          <w:rFonts w:eastAsia="方正仿宋_GBK"/>
          <w:sz w:val="32"/>
          <w:szCs w:val="32"/>
        </w:rPr>
        <w:t>1-10</w:t>
      </w:r>
      <w:r>
        <w:rPr>
          <w:rFonts w:eastAsia="方正仿宋_GBK"/>
          <w:sz w:val="32"/>
          <w:szCs w:val="32"/>
        </w:rPr>
        <w:t>月，重点企业铁路运输量</w:t>
      </w:r>
      <w:r>
        <w:rPr>
          <w:rFonts w:eastAsia="方正仿宋_GBK"/>
          <w:sz w:val="32"/>
          <w:szCs w:val="32"/>
        </w:rPr>
        <w:t>267.61</w:t>
      </w:r>
      <w:r>
        <w:rPr>
          <w:rFonts w:eastAsia="方正仿宋_GBK"/>
          <w:sz w:val="32"/>
          <w:szCs w:val="32"/>
        </w:rPr>
        <w:t>万吨，同比增长</w:t>
      </w:r>
      <w:r>
        <w:rPr>
          <w:rFonts w:eastAsia="方正仿宋_GBK"/>
          <w:sz w:val="32"/>
          <w:szCs w:val="32"/>
        </w:rPr>
        <w:t>1.1%</w:t>
      </w:r>
      <w:r>
        <w:rPr>
          <w:rFonts w:eastAsia="方正仿宋_GBK"/>
          <w:sz w:val="32"/>
          <w:szCs w:val="32"/>
        </w:rPr>
        <w:t>。三是加快推进通信网络基础设施建设，全县已建成</w:t>
      </w:r>
      <w:r>
        <w:rPr>
          <w:rFonts w:eastAsia="方正仿宋_GBK"/>
          <w:sz w:val="32"/>
          <w:szCs w:val="32"/>
        </w:rPr>
        <w:t>5G</w:t>
      </w:r>
      <w:r>
        <w:rPr>
          <w:rFonts w:eastAsia="方正仿宋_GBK"/>
          <w:sz w:val="32"/>
          <w:szCs w:val="32"/>
        </w:rPr>
        <w:t>基站</w:t>
      </w:r>
      <w:r>
        <w:rPr>
          <w:rFonts w:eastAsia="方正仿宋_GBK"/>
          <w:sz w:val="32"/>
          <w:szCs w:val="32"/>
        </w:rPr>
        <w:t>172</w:t>
      </w:r>
      <w:r>
        <w:rPr>
          <w:rFonts w:eastAsia="方正仿宋_GBK"/>
          <w:sz w:val="32"/>
          <w:szCs w:val="32"/>
        </w:rPr>
        <w:t>个，其中，</w:t>
      </w:r>
      <w:r>
        <w:rPr>
          <w:rFonts w:eastAsia="方正仿宋_GBK"/>
          <w:sz w:val="32"/>
          <w:szCs w:val="32"/>
        </w:rPr>
        <w:t>2022</w:t>
      </w:r>
      <w:r>
        <w:rPr>
          <w:rFonts w:eastAsia="方正仿宋_GBK"/>
          <w:sz w:val="32"/>
          <w:szCs w:val="32"/>
        </w:rPr>
        <w:t>年新建</w:t>
      </w:r>
      <w:r>
        <w:rPr>
          <w:rFonts w:eastAsia="方正仿宋_GBK"/>
          <w:sz w:val="32"/>
          <w:szCs w:val="32"/>
        </w:rPr>
        <w:t>5G</w:t>
      </w:r>
      <w:r>
        <w:rPr>
          <w:rFonts w:eastAsia="方正仿宋_GBK"/>
          <w:sz w:val="32"/>
          <w:szCs w:val="32"/>
        </w:rPr>
        <w:t>基站</w:t>
      </w:r>
      <w:r>
        <w:rPr>
          <w:rFonts w:eastAsia="方正仿宋_GBK"/>
          <w:sz w:val="32"/>
          <w:szCs w:val="32"/>
        </w:rPr>
        <w:t>62</w:t>
      </w:r>
      <w:r>
        <w:rPr>
          <w:rFonts w:eastAsia="方正仿宋_GBK"/>
          <w:sz w:val="32"/>
          <w:szCs w:val="32"/>
        </w:rPr>
        <w:t>个，升级改造</w:t>
      </w:r>
      <w:r>
        <w:rPr>
          <w:rFonts w:eastAsia="方正仿宋_GBK"/>
          <w:sz w:val="32"/>
          <w:szCs w:val="32"/>
        </w:rPr>
        <w:t>4G</w:t>
      </w:r>
      <w:r>
        <w:rPr>
          <w:rFonts w:eastAsia="方正仿宋_GBK"/>
          <w:sz w:val="32"/>
          <w:szCs w:val="32"/>
        </w:rPr>
        <w:t>基站</w:t>
      </w:r>
      <w:r>
        <w:rPr>
          <w:rFonts w:eastAsia="方正仿宋_GBK"/>
          <w:sz w:val="32"/>
          <w:szCs w:val="32"/>
        </w:rPr>
        <w:t>91</w:t>
      </w:r>
      <w:r>
        <w:rPr>
          <w:rFonts w:eastAsia="方正仿宋_GBK"/>
          <w:sz w:val="32"/>
          <w:szCs w:val="32"/>
        </w:rPr>
        <w:t>个。四是进一步加强无线电管理和保障，配合开展</w:t>
      </w:r>
      <w:r>
        <w:rPr>
          <w:rFonts w:eastAsia="方正仿宋_GBK"/>
          <w:sz w:val="32"/>
          <w:szCs w:val="32"/>
        </w:rPr>
        <w:t>“</w:t>
      </w:r>
      <w:r>
        <w:rPr>
          <w:rFonts w:eastAsia="方正仿宋_GBK"/>
          <w:sz w:val="32"/>
          <w:szCs w:val="32"/>
        </w:rPr>
        <w:t>两会</w:t>
      </w:r>
      <w:r>
        <w:rPr>
          <w:rFonts w:eastAsia="方正仿宋_GBK"/>
          <w:sz w:val="32"/>
          <w:szCs w:val="32"/>
        </w:rPr>
        <w:t>”</w:t>
      </w:r>
      <w:r>
        <w:rPr>
          <w:rFonts w:eastAsia="方正仿宋_GBK"/>
          <w:sz w:val="32"/>
          <w:szCs w:val="32"/>
        </w:rPr>
        <w:t>、</w:t>
      </w:r>
      <w:r>
        <w:rPr>
          <w:rFonts w:eastAsia="方正仿宋_GBK"/>
          <w:sz w:val="32"/>
          <w:szCs w:val="32"/>
        </w:rPr>
        <w:t>“</w:t>
      </w:r>
      <w:r>
        <w:rPr>
          <w:rFonts w:eastAsia="方正仿宋_GBK"/>
          <w:sz w:val="32"/>
          <w:szCs w:val="32"/>
        </w:rPr>
        <w:t>两节</w:t>
      </w:r>
      <w:r>
        <w:rPr>
          <w:rFonts w:eastAsia="方正仿宋_GBK"/>
          <w:sz w:val="32"/>
          <w:szCs w:val="32"/>
        </w:rPr>
        <w:t>”</w:t>
      </w:r>
      <w:r>
        <w:rPr>
          <w:rFonts w:eastAsia="方正仿宋_GBK"/>
          <w:sz w:val="32"/>
          <w:szCs w:val="32"/>
        </w:rPr>
        <w:t>等重要时段的无线电监测检查工作，做好高考、公务员等考试的无线电保障和监测工作。五是做好电力保障，</w:t>
      </w:r>
      <w:r>
        <w:rPr>
          <w:rFonts w:eastAsia="方正仿宋_GBK"/>
          <w:sz w:val="32"/>
          <w:szCs w:val="32"/>
        </w:rPr>
        <w:t>1-10</w:t>
      </w:r>
      <w:r>
        <w:rPr>
          <w:rFonts w:eastAsia="方正仿宋_GBK"/>
          <w:sz w:val="32"/>
          <w:szCs w:val="32"/>
        </w:rPr>
        <w:t>月，全县用电量</w:t>
      </w:r>
      <w:r>
        <w:rPr>
          <w:rFonts w:eastAsia="方正仿宋_GBK"/>
          <w:sz w:val="32"/>
          <w:szCs w:val="32"/>
        </w:rPr>
        <w:t>15.86</w:t>
      </w:r>
      <w:r>
        <w:rPr>
          <w:rFonts w:eastAsia="方正仿宋_GBK"/>
          <w:sz w:val="32"/>
          <w:szCs w:val="32"/>
        </w:rPr>
        <w:t>亿千瓦时，同比上升</w:t>
      </w:r>
      <w:r>
        <w:rPr>
          <w:rFonts w:eastAsia="方正仿宋_GBK"/>
          <w:sz w:val="32"/>
          <w:szCs w:val="32"/>
        </w:rPr>
        <w:t>33.87%</w:t>
      </w:r>
      <w:r>
        <w:rPr>
          <w:rFonts w:eastAsia="方正仿宋_GBK"/>
          <w:sz w:val="32"/>
          <w:szCs w:val="32"/>
        </w:rPr>
        <w:t>。其中：工业用电量</w:t>
      </w:r>
      <w:r>
        <w:rPr>
          <w:rFonts w:eastAsia="方正仿宋_GBK"/>
          <w:sz w:val="32"/>
          <w:szCs w:val="32"/>
        </w:rPr>
        <w:t>13.9</w:t>
      </w:r>
      <w:r>
        <w:rPr>
          <w:rFonts w:eastAsia="方正仿宋_GBK"/>
          <w:sz w:val="32"/>
          <w:szCs w:val="32"/>
        </w:rPr>
        <w:t>亿千瓦时，同比上升</w:t>
      </w:r>
      <w:r>
        <w:rPr>
          <w:rFonts w:eastAsia="方正仿宋_GBK"/>
          <w:sz w:val="32"/>
          <w:szCs w:val="32"/>
        </w:rPr>
        <w:t xml:space="preserve">38.17% </w:t>
      </w:r>
      <w:r>
        <w:rPr>
          <w:rFonts w:eastAsia="方正仿宋_GBK"/>
          <w:sz w:val="32"/>
          <w:szCs w:val="32"/>
        </w:rPr>
        <w:t>，工业用电量占全社会用电量的</w:t>
      </w:r>
      <w:r>
        <w:rPr>
          <w:rFonts w:eastAsia="方正仿宋_GBK"/>
          <w:sz w:val="32"/>
          <w:szCs w:val="32"/>
        </w:rPr>
        <w:t>87.66%</w:t>
      </w:r>
      <w:r>
        <w:rPr>
          <w:rFonts w:eastAsia="方正仿宋_GBK"/>
          <w:sz w:val="32"/>
          <w:szCs w:val="32"/>
        </w:rPr>
        <w:t>；有序推进南入口、钛材加工园场平工程、巴拉河桥连接线与红格大道交叉口工程、钒钛大道</w:t>
      </w:r>
      <w:r>
        <w:rPr>
          <w:rFonts w:eastAsia="方正仿宋_GBK"/>
          <w:sz w:val="32"/>
          <w:szCs w:val="32"/>
        </w:rPr>
        <w:t>A</w:t>
      </w:r>
      <w:r>
        <w:rPr>
          <w:rFonts w:eastAsia="方正仿宋_GBK"/>
          <w:sz w:val="32"/>
          <w:szCs w:val="32"/>
        </w:rPr>
        <w:t>段、高速路连接线工程、</w:t>
      </w:r>
      <w:r>
        <w:rPr>
          <w:rFonts w:eastAsia="方正仿宋_GBK"/>
          <w:sz w:val="32"/>
          <w:szCs w:val="32"/>
        </w:rPr>
        <w:t>G4216</w:t>
      </w:r>
      <w:r>
        <w:rPr>
          <w:rFonts w:eastAsia="方正仿宋_GBK"/>
          <w:sz w:val="32"/>
          <w:szCs w:val="32"/>
        </w:rPr>
        <w:t>连接线项目、龙佰集团、兑泰公司、县城电梯安装等重点项目、重点企业涉强弱电迁改和县城光缆入地工作。</w:t>
      </w:r>
    </w:p>
    <w:p w:rsidR="00EC184F" w:rsidRDefault="00886416">
      <w:pPr>
        <w:snapToGrid w:val="0"/>
        <w:spacing w:line="520" w:lineRule="exact"/>
        <w:ind w:firstLine="640"/>
        <w:rPr>
          <w:rFonts w:eastAsia="方正仿宋_GBK"/>
          <w:sz w:val="32"/>
          <w:szCs w:val="32"/>
        </w:rPr>
      </w:pPr>
      <w:r>
        <w:rPr>
          <w:rFonts w:eastAsia="方正仿宋_GBK"/>
          <w:sz w:val="32"/>
          <w:szCs w:val="32"/>
        </w:rPr>
        <w:fldChar w:fldCharType="begin"/>
      </w:r>
      <w:r w:rsidR="00DC6B00">
        <w:rPr>
          <w:rFonts w:eastAsia="方正仿宋_GBK"/>
          <w:sz w:val="32"/>
          <w:szCs w:val="32"/>
        </w:rPr>
        <w:instrText xml:space="preserve"> = 6 \* GB3 </w:instrText>
      </w:r>
      <w:r>
        <w:rPr>
          <w:rFonts w:eastAsia="方正仿宋_GBK"/>
          <w:sz w:val="32"/>
          <w:szCs w:val="32"/>
        </w:rPr>
        <w:fldChar w:fldCharType="separate"/>
      </w:r>
      <w:r w:rsidR="00DC6B00">
        <w:rPr>
          <w:rFonts w:ascii="宋体" w:hAnsi="宋体" w:cs="宋体" w:hint="eastAsia"/>
          <w:sz w:val="32"/>
          <w:szCs w:val="32"/>
        </w:rPr>
        <w:t>⑥</w:t>
      </w:r>
      <w:r>
        <w:rPr>
          <w:rFonts w:eastAsia="方正仿宋_GBK"/>
          <w:sz w:val="32"/>
          <w:szCs w:val="32"/>
        </w:rPr>
        <w:fldChar w:fldCharType="end"/>
      </w:r>
      <w:r w:rsidR="00DC6B00">
        <w:rPr>
          <w:rFonts w:eastAsia="方正仿宋_GBK"/>
          <w:sz w:val="32"/>
          <w:szCs w:val="32"/>
        </w:rPr>
        <w:t>强化监督检查，筑牢安全防线。</w:t>
      </w:r>
    </w:p>
    <w:p w:rsidR="00EC184F" w:rsidRDefault="00DC6B00">
      <w:pPr>
        <w:snapToGrid w:val="0"/>
        <w:spacing w:line="520" w:lineRule="exact"/>
        <w:ind w:firstLine="640"/>
        <w:rPr>
          <w:rFonts w:eastAsia="仿宋_GB2312"/>
          <w:sz w:val="32"/>
          <w:szCs w:val="32"/>
        </w:rPr>
      </w:pPr>
      <w:r>
        <w:rPr>
          <w:rFonts w:eastAsia="方正仿宋_GBK"/>
          <w:sz w:val="32"/>
          <w:szCs w:val="32"/>
        </w:rPr>
        <w:t>一是狠抓重点行业领域安全风险管控和生态环境问题整改工作，结合日常安全监管工作扎实开展工业行业安全生产大检查、货车非法改拼装专项整治、货运源头治理等工作。排查出安全隐患</w:t>
      </w:r>
      <w:r>
        <w:rPr>
          <w:rFonts w:eastAsia="方正仿宋_GBK"/>
          <w:sz w:val="32"/>
          <w:szCs w:val="32"/>
        </w:rPr>
        <w:t>352</w:t>
      </w:r>
      <w:r>
        <w:rPr>
          <w:rFonts w:eastAsia="方正仿宋_GBK"/>
          <w:sz w:val="32"/>
          <w:szCs w:val="32"/>
        </w:rPr>
        <w:t>条，已闭环整改</w:t>
      </w:r>
      <w:r>
        <w:rPr>
          <w:rFonts w:eastAsia="方正仿宋_GBK"/>
          <w:sz w:val="32"/>
          <w:szCs w:val="32"/>
        </w:rPr>
        <w:t>347</w:t>
      </w:r>
      <w:r>
        <w:rPr>
          <w:rFonts w:eastAsia="方正仿宋_GBK"/>
          <w:sz w:val="32"/>
          <w:szCs w:val="32"/>
        </w:rPr>
        <w:t>条，正在整改</w:t>
      </w:r>
      <w:r>
        <w:rPr>
          <w:rFonts w:eastAsia="方正仿宋_GBK"/>
          <w:sz w:val="32"/>
          <w:szCs w:val="32"/>
        </w:rPr>
        <w:t>5</w:t>
      </w:r>
      <w:r>
        <w:rPr>
          <w:rFonts w:eastAsia="方正仿宋_GBK"/>
          <w:sz w:val="32"/>
          <w:szCs w:val="32"/>
        </w:rPr>
        <w:t>条，发提醒敦促函</w:t>
      </w:r>
      <w:r>
        <w:rPr>
          <w:rFonts w:eastAsia="方正仿宋_GBK"/>
          <w:sz w:val="32"/>
          <w:szCs w:val="32"/>
        </w:rPr>
        <w:t>4</w:t>
      </w:r>
      <w:r>
        <w:rPr>
          <w:rFonts w:eastAsia="方正仿宋_GBK"/>
          <w:sz w:val="32"/>
          <w:szCs w:val="32"/>
        </w:rPr>
        <w:t>份，依法停电</w:t>
      </w:r>
      <w:r>
        <w:rPr>
          <w:rFonts w:eastAsia="方正仿宋_GBK"/>
          <w:sz w:val="32"/>
          <w:szCs w:val="32"/>
        </w:rPr>
        <w:t>3</w:t>
      </w:r>
      <w:r>
        <w:rPr>
          <w:rFonts w:eastAsia="方正仿宋_GBK"/>
          <w:sz w:val="32"/>
          <w:szCs w:val="32"/>
        </w:rPr>
        <w:t>户。对</w:t>
      </w:r>
      <w:r>
        <w:rPr>
          <w:rFonts w:eastAsia="方正仿宋_GBK"/>
          <w:sz w:val="32"/>
          <w:szCs w:val="32"/>
        </w:rPr>
        <w:t>52</w:t>
      </w:r>
      <w:r>
        <w:rPr>
          <w:rFonts w:eastAsia="方正仿宋_GBK"/>
          <w:sz w:val="32"/>
          <w:szCs w:val="32"/>
        </w:rPr>
        <w:t>户选矿企业开展了全覆盖检查，排查出生态环境问题</w:t>
      </w:r>
      <w:r>
        <w:rPr>
          <w:rFonts w:eastAsia="方正仿宋_GBK"/>
          <w:sz w:val="32"/>
          <w:szCs w:val="32"/>
        </w:rPr>
        <w:t>151</w:t>
      </w:r>
      <w:r>
        <w:rPr>
          <w:rFonts w:eastAsia="方正仿宋_GBK"/>
          <w:sz w:val="32"/>
          <w:szCs w:val="32"/>
        </w:rPr>
        <w:t>条，已整改</w:t>
      </w:r>
      <w:r>
        <w:rPr>
          <w:rFonts w:eastAsia="方正仿宋_GBK"/>
          <w:sz w:val="32"/>
          <w:szCs w:val="32"/>
        </w:rPr>
        <w:t>118</w:t>
      </w:r>
      <w:r>
        <w:rPr>
          <w:rFonts w:eastAsia="方正仿宋_GBK"/>
          <w:sz w:val="32"/>
          <w:szCs w:val="32"/>
        </w:rPr>
        <w:t>条，正在整改</w:t>
      </w:r>
      <w:r>
        <w:rPr>
          <w:rFonts w:eastAsia="方正仿宋_GBK"/>
          <w:sz w:val="32"/>
          <w:szCs w:val="32"/>
        </w:rPr>
        <w:t>34</w:t>
      </w:r>
      <w:r>
        <w:rPr>
          <w:rFonts w:eastAsia="方正仿宋_GBK"/>
          <w:sz w:val="32"/>
          <w:szCs w:val="32"/>
        </w:rPr>
        <w:t>条。二是扎实开展林区输配电线路森林草原防灭火工作，排查出隐患</w:t>
      </w:r>
      <w:r>
        <w:rPr>
          <w:rFonts w:eastAsia="方正仿宋_GBK"/>
          <w:sz w:val="32"/>
          <w:szCs w:val="32"/>
        </w:rPr>
        <w:t>752</w:t>
      </w:r>
      <w:r>
        <w:rPr>
          <w:rFonts w:eastAsia="方正仿宋_GBK"/>
          <w:sz w:val="32"/>
          <w:szCs w:val="32"/>
        </w:rPr>
        <w:t>条，已整改</w:t>
      </w:r>
      <w:r>
        <w:rPr>
          <w:rFonts w:eastAsia="方正仿宋_GBK"/>
          <w:sz w:val="32"/>
          <w:szCs w:val="32"/>
        </w:rPr>
        <w:t>731</w:t>
      </w:r>
      <w:r>
        <w:rPr>
          <w:rFonts w:eastAsia="方正仿宋_GBK"/>
          <w:sz w:val="32"/>
          <w:szCs w:val="32"/>
        </w:rPr>
        <w:t>条，正在整改</w:t>
      </w:r>
      <w:r>
        <w:rPr>
          <w:rFonts w:eastAsia="方正仿宋_GBK"/>
          <w:sz w:val="32"/>
          <w:szCs w:val="32"/>
        </w:rPr>
        <w:t>21</w:t>
      </w:r>
      <w:r>
        <w:rPr>
          <w:rFonts w:eastAsia="方正仿宋_GBK"/>
          <w:sz w:val="32"/>
          <w:szCs w:val="32"/>
        </w:rPr>
        <w:t>条（停电停运</w:t>
      </w:r>
      <w:r>
        <w:rPr>
          <w:rFonts w:eastAsia="方正仿宋_GBK"/>
          <w:sz w:val="32"/>
          <w:szCs w:val="32"/>
        </w:rPr>
        <w:t>8</w:t>
      </w:r>
      <w:r>
        <w:rPr>
          <w:rFonts w:eastAsia="方正仿宋_GBK"/>
          <w:sz w:val="32"/>
          <w:szCs w:val="32"/>
        </w:rPr>
        <w:t>条）；开展测风</w:t>
      </w:r>
      <w:r>
        <w:rPr>
          <w:rFonts w:eastAsia="方正仿宋_GBK"/>
          <w:sz w:val="32"/>
          <w:szCs w:val="32"/>
        </w:rPr>
        <w:t>3222</w:t>
      </w:r>
      <w:r>
        <w:rPr>
          <w:rFonts w:eastAsia="方正仿宋_GBK"/>
          <w:sz w:val="32"/>
          <w:szCs w:val="32"/>
        </w:rPr>
        <w:t>次，主动停运避险</w:t>
      </w:r>
      <w:r>
        <w:rPr>
          <w:rFonts w:eastAsia="方正仿宋_GBK"/>
          <w:sz w:val="32"/>
          <w:szCs w:val="32"/>
        </w:rPr>
        <w:t>4</w:t>
      </w:r>
      <w:r>
        <w:rPr>
          <w:rFonts w:eastAsia="方正仿宋_GBK"/>
          <w:sz w:val="32"/>
          <w:szCs w:val="32"/>
        </w:rPr>
        <w:t>次；完成林区基杆塔下方可燃物清理</w:t>
      </w:r>
      <w:r>
        <w:rPr>
          <w:rFonts w:eastAsia="方正仿宋_GBK"/>
          <w:sz w:val="32"/>
          <w:szCs w:val="32"/>
        </w:rPr>
        <w:t>37.3</w:t>
      </w:r>
      <w:r>
        <w:rPr>
          <w:rFonts w:eastAsia="方正仿宋_GBK"/>
          <w:sz w:val="32"/>
          <w:szCs w:val="32"/>
        </w:rPr>
        <w:t>万余平方米。三是</w:t>
      </w:r>
      <w:r>
        <w:rPr>
          <w:rFonts w:eastAsia="方正仿宋_GBK"/>
          <w:sz w:val="32"/>
          <w:szCs w:val="32"/>
        </w:rPr>
        <w:lastRenderedPageBreak/>
        <w:t>抓好疫情防控工作，开展大数据排查，落实专人</w:t>
      </w:r>
      <w:r>
        <w:rPr>
          <w:rFonts w:eastAsia="方正仿宋_GBK"/>
          <w:sz w:val="32"/>
          <w:szCs w:val="32"/>
        </w:rPr>
        <w:t>24</w:t>
      </w:r>
      <w:r>
        <w:rPr>
          <w:rFonts w:eastAsia="方正仿宋_GBK"/>
          <w:sz w:val="32"/>
          <w:szCs w:val="32"/>
        </w:rPr>
        <w:t>小时接收、分发、核查红黄码、重点地区来返盐人员数据；加强企业常态化疫情防控督导检查；落实重点人群及环境监测，完成规上工业企业每周每户抽检不低于</w:t>
      </w:r>
      <w:r>
        <w:rPr>
          <w:rFonts w:eastAsia="方正仿宋_GBK"/>
          <w:sz w:val="32"/>
          <w:szCs w:val="32"/>
        </w:rPr>
        <w:t>25%</w:t>
      </w:r>
      <w:r>
        <w:rPr>
          <w:rFonts w:eastAsia="方正仿宋_GBK"/>
          <w:sz w:val="32"/>
          <w:szCs w:val="32"/>
        </w:rPr>
        <w:t>的低风险岗位人员，每周抽检</w:t>
      </w:r>
      <w:r>
        <w:rPr>
          <w:rFonts w:eastAsia="方正仿宋_GBK"/>
          <w:sz w:val="32"/>
          <w:szCs w:val="32"/>
        </w:rPr>
        <w:t>5</w:t>
      </w:r>
      <w:r>
        <w:rPr>
          <w:rFonts w:eastAsia="方正仿宋_GBK"/>
          <w:sz w:val="32"/>
          <w:szCs w:val="32"/>
        </w:rPr>
        <w:t>户企业环境及物品检测；全面实行</w:t>
      </w:r>
      <w:r>
        <w:rPr>
          <w:rFonts w:eastAsia="方正仿宋_GBK"/>
          <w:sz w:val="32"/>
          <w:szCs w:val="32"/>
        </w:rPr>
        <w:t>“</w:t>
      </w:r>
      <w:r>
        <w:rPr>
          <w:rFonts w:eastAsia="方正仿宋_GBK"/>
          <w:sz w:val="32"/>
          <w:szCs w:val="32"/>
        </w:rPr>
        <w:t>防疫泡泡</w:t>
      </w:r>
      <w:r>
        <w:rPr>
          <w:rFonts w:eastAsia="方正仿宋_GBK"/>
          <w:sz w:val="32"/>
          <w:szCs w:val="32"/>
        </w:rPr>
        <w:t>”</w:t>
      </w:r>
      <w:r>
        <w:rPr>
          <w:rFonts w:eastAsia="方正仿宋_GBK"/>
          <w:sz w:val="32"/>
          <w:szCs w:val="32"/>
        </w:rPr>
        <w:t>闭环运输模式，组建服务企业工作专班，落实闭环管理、闭环运转等工作举措，最大限度保持产业链供应链稳定、企业正常生产。</w:t>
      </w:r>
    </w:p>
    <w:p w:rsidR="00EC184F" w:rsidRDefault="00DC6B00">
      <w:pPr>
        <w:widowControl/>
        <w:adjustRightInd w:val="0"/>
        <w:snapToGrid w:val="0"/>
        <w:spacing w:line="560" w:lineRule="exact"/>
        <w:ind w:firstLine="640"/>
        <w:contextualSpacing/>
        <w:rPr>
          <w:rFonts w:eastAsia="楷体_GB2312"/>
          <w:color w:val="000000"/>
          <w:sz w:val="32"/>
          <w:szCs w:val="32"/>
          <w:shd w:val="clear" w:color="auto" w:fill="FFFFFF"/>
          <w:lang w:val="zh-CN"/>
        </w:rPr>
      </w:pPr>
      <w:r>
        <w:rPr>
          <w:rFonts w:eastAsia="方正楷体_GBK"/>
          <w:color w:val="000000"/>
          <w:sz w:val="32"/>
          <w:szCs w:val="32"/>
          <w:shd w:val="clear" w:color="auto" w:fill="FFFFFF"/>
          <w:lang w:val="zh-CN"/>
        </w:rPr>
        <w:t>（</w:t>
      </w:r>
      <w:r w:rsidR="00C30159">
        <w:rPr>
          <w:rFonts w:eastAsia="方正楷体_GBK" w:hint="eastAsia"/>
          <w:color w:val="000000"/>
          <w:sz w:val="32"/>
          <w:szCs w:val="32"/>
          <w:shd w:val="clear" w:color="auto" w:fill="FFFFFF"/>
          <w:lang w:val="zh-CN"/>
        </w:rPr>
        <w:t>三</w:t>
      </w:r>
      <w:r>
        <w:rPr>
          <w:rFonts w:eastAsia="方正楷体_GBK"/>
          <w:color w:val="000000"/>
          <w:sz w:val="32"/>
          <w:szCs w:val="32"/>
          <w:shd w:val="clear" w:color="auto" w:fill="FFFFFF"/>
          <w:lang w:val="zh-CN"/>
        </w:rPr>
        <w:t>）结果应用情况</w:t>
      </w:r>
    </w:p>
    <w:p w:rsidR="00EC184F" w:rsidRDefault="00DC6B00">
      <w:pPr>
        <w:snapToGrid w:val="0"/>
        <w:spacing w:line="520" w:lineRule="exact"/>
        <w:ind w:firstLine="640"/>
        <w:rPr>
          <w:rFonts w:eastAsia="方正仿宋_GBK"/>
          <w:sz w:val="32"/>
          <w:szCs w:val="32"/>
        </w:rPr>
      </w:pPr>
      <w:r>
        <w:rPr>
          <w:rFonts w:eastAsia="方正仿宋_GBK"/>
          <w:sz w:val="32"/>
          <w:szCs w:val="32"/>
        </w:rPr>
        <w:t xml:space="preserve">1. </w:t>
      </w:r>
      <w:r>
        <w:rPr>
          <w:rFonts w:eastAsia="方正仿宋_GBK"/>
          <w:sz w:val="32"/>
          <w:szCs w:val="32"/>
        </w:rPr>
        <w:t>规定时间内及时在县门户网站设立的预决算公开统一专栏上集中公开部门年初绩效目标表、部门预算整体绩效及项目支出绩效评价表、部门预算整体绩效及项目支出绩效评价表绩效评价报告。</w:t>
      </w:r>
    </w:p>
    <w:p w:rsidR="00EC184F" w:rsidRDefault="00DC6B00">
      <w:pPr>
        <w:snapToGrid w:val="0"/>
        <w:spacing w:line="520" w:lineRule="exact"/>
        <w:ind w:firstLine="640"/>
        <w:rPr>
          <w:rFonts w:eastAsia="方正仿宋_GBK"/>
          <w:sz w:val="32"/>
          <w:szCs w:val="32"/>
        </w:rPr>
      </w:pPr>
      <w:r>
        <w:rPr>
          <w:rFonts w:eastAsia="方正仿宋_GBK"/>
          <w:sz w:val="32"/>
          <w:szCs w:val="32"/>
        </w:rPr>
        <w:t>2.</w:t>
      </w:r>
      <w:r>
        <w:rPr>
          <w:rFonts w:eastAsia="方正仿宋_GBK"/>
          <w:sz w:val="32"/>
          <w:szCs w:val="32"/>
        </w:rPr>
        <w:t>根据预算执行中和绩效评价发现的问题，及时整改，及时落实，完善绩效评价体系，增强绩效评价结果的可比性、可信度。加强对绩效管理工作的跟踪督查，做到绩效管理有依据、按程序、有奖惩，实现绩效管理的规范化、常态化。</w:t>
      </w:r>
    </w:p>
    <w:p w:rsidR="00EC184F" w:rsidRDefault="00DC6B00">
      <w:pPr>
        <w:snapToGrid w:val="0"/>
        <w:spacing w:line="520" w:lineRule="exact"/>
        <w:ind w:firstLine="640"/>
        <w:rPr>
          <w:rFonts w:eastAsia="方正仿宋_GBK"/>
          <w:sz w:val="32"/>
          <w:szCs w:val="32"/>
        </w:rPr>
      </w:pPr>
      <w:r>
        <w:rPr>
          <w:rFonts w:eastAsia="方正仿宋_GBK"/>
          <w:sz w:val="32"/>
          <w:szCs w:val="32"/>
        </w:rPr>
        <w:t>3.</w:t>
      </w:r>
      <w:r>
        <w:rPr>
          <w:rFonts w:eastAsia="方正仿宋_GBK"/>
          <w:sz w:val="32"/>
          <w:szCs w:val="32"/>
        </w:rPr>
        <w:t>绩效评价结果将作为以后年度项目立项和经费支持的重要依据。</w:t>
      </w:r>
    </w:p>
    <w:p w:rsidR="00EC184F" w:rsidRDefault="00DC6B00">
      <w:pPr>
        <w:widowControl/>
        <w:adjustRightInd w:val="0"/>
        <w:snapToGrid w:val="0"/>
        <w:spacing w:line="560" w:lineRule="exact"/>
        <w:ind w:firstLineChars="200" w:firstLine="640"/>
        <w:contextualSpacing/>
        <w:rPr>
          <w:rFonts w:eastAsia="方正楷体_GBK"/>
          <w:color w:val="000000"/>
          <w:sz w:val="32"/>
          <w:szCs w:val="32"/>
          <w:shd w:val="clear" w:color="auto" w:fill="FFFFFF"/>
          <w:lang w:val="zh-CN"/>
        </w:rPr>
      </w:pPr>
      <w:r>
        <w:rPr>
          <w:rFonts w:eastAsia="方正楷体_GBK" w:hint="eastAsia"/>
          <w:color w:val="000000"/>
          <w:sz w:val="32"/>
          <w:szCs w:val="32"/>
          <w:shd w:val="clear" w:color="auto" w:fill="FFFFFF"/>
          <w:lang w:val="zh-CN"/>
        </w:rPr>
        <w:t>（四）</w:t>
      </w:r>
      <w:r>
        <w:rPr>
          <w:rFonts w:eastAsia="方正楷体_GBK"/>
          <w:color w:val="000000"/>
          <w:sz w:val="32"/>
          <w:szCs w:val="32"/>
          <w:shd w:val="clear" w:color="auto" w:fill="FFFFFF"/>
          <w:lang w:val="zh-CN"/>
        </w:rPr>
        <w:t>自评质量</w:t>
      </w:r>
    </w:p>
    <w:p w:rsidR="00EC184F" w:rsidRDefault="00DC6B00">
      <w:pPr>
        <w:snapToGrid w:val="0"/>
        <w:spacing w:line="520" w:lineRule="exact"/>
        <w:ind w:firstLine="640"/>
        <w:rPr>
          <w:rFonts w:eastAsia="仿宋_GB2312"/>
          <w:sz w:val="32"/>
          <w:szCs w:val="32"/>
        </w:rPr>
      </w:pPr>
      <w:r>
        <w:rPr>
          <w:rFonts w:eastAsia="方正仿宋_GBK"/>
          <w:sz w:val="32"/>
          <w:szCs w:val="32"/>
        </w:rPr>
        <w:t>2022</w:t>
      </w:r>
      <w:r>
        <w:rPr>
          <w:rFonts w:eastAsia="方正仿宋_GBK"/>
          <w:sz w:val="32"/>
          <w:szCs w:val="32"/>
        </w:rPr>
        <w:t>年盐边县经济信息化和科学技术局部门整体支出自评及项目支出自评均按照绩效评价相关要求，安排专人开展工作，事实求实进行评价。</w:t>
      </w:r>
    </w:p>
    <w:p w:rsidR="00EC184F" w:rsidRDefault="00DC6B00">
      <w:pPr>
        <w:widowControl/>
        <w:adjustRightInd w:val="0"/>
        <w:snapToGrid w:val="0"/>
        <w:spacing w:line="560" w:lineRule="exact"/>
        <w:ind w:firstLine="640"/>
        <w:contextualSpacing/>
        <w:rPr>
          <w:rFonts w:eastAsia="方正黑体_GBK"/>
          <w:color w:val="000000"/>
          <w:sz w:val="32"/>
          <w:szCs w:val="32"/>
          <w:shd w:val="clear" w:color="auto" w:fill="FFFFFF"/>
        </w:rPr>
      </w:pPr>
      <w:r>
        <w:rPr>
          <w:rFonts w:eastAsia="方正黑体_GBK"/>
          <w:color w:val="000000"/>
          <w:sz w:val="32"/>
          <w:szCs w:val="32"/>
          <w:shd w:val="clear" w:color="auto" w:fill="FFFFFF"/>
        </w:rPr>
        <w:t>四、评价结论及建议</w:t>
      </w:r>
    </w:p>
    <w:p w:rsidR="00EC184F" w:rsidRDefault="00DC6B00">
      <w:pPr>
        <w:widowControl/>
        <w:adjustRightInd w:val="0"/>
        <w:snapToGrid w:val="0"/>
        <w:spacing w:line="560" w:lineRule="exact"/>
        <w:ind w:firstLine="640"/>
        <w:contextualSpacing/>
        <w:rPr>
          <w:rFonts w:eastAsia="方正楷体_GBK"/>
          <w:color w:val="000000"/>
          <w:sz w:val="32"/>
          <w:szCs w:val="32"/>
          <w:shd w:val="clear" w:color="auto" w:fill="FFFFFF"/>
          <w:lang w:val="zh-CN"/>
        </w:rPr>
      </w:pPr>
      <w:r>
        <w:rPr>
          <w:rFonts w:eastAsia="方正楷体_GBK"/>
          <w:color w:val="000000"/>
          <w:sz w:val="32"/>
          <w:szCs w:val="32"/>
          <w:shd w:val="clear" w:color="auto" w:fill="FFFFFF"/>
          <w:lang w:val="zh-CN"/>
        </w:rPr>
        <w:t>（一）评价结论</w:t>
      </w:r>
    </w:p>
    <w:p w:rsidR="00EC184F" w:rsidRDefault="00DC6B00">
      <w:pPr>
        <w:snapToGrid w:val="0"/>
        <w:spacing w:line="520" w:lineRule="exact"/>
        <w:ind w:firstLine="640"/>
        <w:rPr>
          <w:rFonts w:eastAsia="仿宋_GB2312"/>
          <w:sz w:val="32"/>
          <w:szCs w:val="32"/>
        </w:rPr>
      </w:pPr>
      <w:r>
        <w:rPr>
          <w:rFonts w:eastAsia="方正仿宋_GBK"/>
          <w:sz w:val="32"/>
          <w:szCs w:val="32"/>
        </w:rPr>
        <w:t>2022</w:t>
      </w:r>
      <w:r>
        <w:rPr>
          <w:rFonts w:eastAsia="方正仿宋_GBK"/>
          <w:sz w:val="32"/>
          <w:szCs w:val="32"/>
        </w:rPr>
        <w:t>年我局有较为健全的财务管理制度和内部控制制</w:t>
      </w:r>
      <w:r>
        <w:rPr>
          <w:rFonts w:eastAsia="方正仿宋_GBK"/>
          <w:sz w:val="32"/>
          <w:szCs w:val="32"/>
        </w:rPr>
        <w:lastRenderedPageBreak/>
        <w:t>度，预决算编制和预算执行严格按照国家财经法规、预算资金管理办法、财务管理制度以及专项资金管理办法的规定执行，确保无违规使用资金的情况发生。全年部门预算执行率</w:t>
      </w:r>
      <w:r>
        <w:rPr>
          <w:rFonts w:eastAsia="方正仿宋_GBK"/>
          <w:sz w:val="32"/>
          <w:szCs w:val="32"/>
        </w:rPr>
        <w:t>100%</w:t>
      </w:r>
      <w:r>
        <w:rPr>
          <w:rFonts w:eastAsia="方正仿宋_GBK"/>
          <w:sz w:val="32"/>
          <w:szCs w:val="32"/>
        </w:rPr>
        <w:t>。基本支出</w:t>
      </w:r>
      <w:r>
        <w:rPr>
          <w:rFonts w:eastAsia="方正仿宋_GBK"/>
          <w:sz w:val="32"/>
          <w:szCs w:val="32"/>
        </w:rPr>
        <w:t>2022</w:t>
      </w:r>
      <w:r>
        <w:rPr>
          <w:rFonts w:eastAsia="方正仿宋_GBK"/>
          <w:sz w:val="32"/>
          <w:szCs w:val="32"/>
        </w:rPr>
        <w:t>年按月或季度进行申报，其中人员工资按月申报并直接支付，日常公用经费按月进行申报并支付，执行率</w:t>
      </w:r>
      <w:r>
        <w:rPr>
          <w:rFonts w:eastAsia="方正仿宋_GBK"/>
          <w:sz w:val="32"/>
          <w:szCs w:val="32"/>
        </w:rPr>
        <w:t>100%</w:t>
      </w:r>
      <w:r>
        <w:rPr>
          <w:rFonts w:eastAsia="方正仿宋_GBK"/>
          <w:sz w:val="32"/>
          <w:szCs w:val="32"/>
        </w:rPr>
        <w:t>。部门整体支出绩效良好，保障了机关正常运转和完成各项工作，项目资金拨款及时，专款专用。</w:t>
      </w:r>
    </w:p>
    <w:p w:rsidR="00EC184F" w:rsidRDefault="00DC6B00">
      <w:pPr>
        <w:widowControl/>
        <w:adjustRightInd w:val="0"/>
        <w:snapToGrid w:val="0"/>
        <w:spacing w:line="560" w:lineRule="exact"/>
        <w:ind w:firstLine="640"/>
        <w:contextualSpacing/>
        <w:rPr>
          <w:rFonts w:eastAsia="楷体_GB2312"/>
          <w:color w:val="000000"/>
          <w:sz w:val="32"/>
          <w:szCs w:val="32"/>
          <w:shd w:val="clear" w:color="auto" w:fill="FFFFFF"/>
          <w:lang w:val="zh-CN"/>
        </w:rPr>
      </w:pPr>
      <w:r>
        <w:rPr>
          <w:rFonts w:eastAsia="方正楷体_GBK"/>
          <w:color w:val="000000"/>
          <w:sz w:val="32"/>
          <w:szCs w:val="32"/>
          <w:shd w:val="clear" w:color="auto" w:fill="FFFFFF"/>
          <w:lang w:val="zh-CN"/>
        </w:rPr>
        <w:t>（二）存在问题</w:t>
      </w:r>
    </w:p>
    <w:p w:rsidR="00EC184F" w:rsidRDefault="00DC6B00">
      <w:pPr>
        <w:snapToGrid w:val="0"/>
        <w:spacing w:line="520" w:lineRule="exact"/>
        <w:ind w:firstLine="640"/>
        <w:rPr>
          <w:rFonts w:eastAsia="方正仿宋_GBK"/>
          <w:sz w:val="32"/>
          <w:szCs w:val="32"/>
        </w:rPr>
      </w:pPr>
      <w:r>
        <w:rPr>
          <w:rFonts w:eastAsia="方正仿宋_GBK"/>
          <w:sz w:val="32"/>
          <w:szCs w:val="32"/>
        </w:rPr>
        <w:t xml:space="preserve">1. </w:t>
      </w:r>
      <w:r>
        <w:rPr>
          <w:rFonts w:eastAsia="方正仿宋_GBK"/>
          <w:sz w:val="32"/>
          <w:szCs w:val="32"/>
        </w:rPr>
        <w:t>部门预算绩效管理工作与业务工作结合不够，预算绩效目标编制可行性、科学性、有效性等有待加强。</w:t>
      </w:r>
    </w:p>
    <w:p w:rsidR="00EC184F" w:rsidRDefault="00DC6B00">
      <w:pPr>
        <w:snapToGrid w:val="0"/>
        <w:spacing w:line="520" w:lineRule="exact"/>
        <w:ind w:firstLine="640"/>
        <w:rPr>
          <w:rFonts w:eastAsia="方正仿宋_GBK"/>
          <w:sz w:val="32"/>
          <w:szCs w:val="32"/>
        </w:rPr>
      </w:pPr>
      <w:r>
        <w:rPr>
          <w:rFonts w:eastAsia="方正仿宋_GBK"/>
          <w:sz w:val="32"/>
          <w:szCs w:val="32"/>
        </w:rPr>
        <w:t>2.</w:t>
      </w:r>
      <w:r>
        <w:rPr>
          <w:rFonts w:eastAsia="方正仿宋_GBK"/>
          <w:sz w:val="32"/>
          <w:szCs w:val="32"/>
        </w:rPr>
        <w:t>内部控制制度执行有待加强。内控制度执行过程中，虽然基本明确了相关业务岗位的有关风险等级和风险防控措施，但目前领会认识深度不够，存在平铺式理解，没有提升到全局</w:t>
      </w:r>
      <w:r>
        <w:rPr>
          <w:rFonts w:eastAsia="方正仿宋_GBK"/>
          <w:sz w:val="32"/>
          <w:szCs w:val="32"/>
        </w:rPr>
        <w:t>“</w:t>
      </w:r>
      <w:r>
        <w:rPr>
          <w:rFonts w:eastAsia="方正仿宋_GBK"/>
          <w:sz w:val="32"/>
          <w:szCs w:val="32"/>
        </w:rPr>
        <w:t>一盘棋</w:t>
      </w:r>
      <w:r>
        <w:rPr>
          <w:rFonts w:eastAsia="方正仿宋_GBK"/>
          <w:sz w:val="32"/>
          <w:szCs w:val="32"/>
        </w:rPr>
        <w:t>”</w:t>
      </w:r>
      <w:r>
        <w:rPr>
          <w:rFonts w:eastAsia="方正仿宋_GBK"/>
          <w:sz w:val="32"/>
          <w:szCs w:val="32"/>
        </w:rPr>
        <w:t>的高度。</w:t>
      </w:r>
      <w:r>
        <w:rPr>
          <w:rFonts w:eastAsia="方正仿宋_GBK"/>
          <w:sz w:val="32"/>
          <w:szCs w:val="32"/>
        </w:rPr>
        <w:t xml:space="preserve">  </w:t>
      </w:r>
    </w:p>
    <w:p w:rsidR="00EC184F" w:rsidRDefault="00DC6B00">
      <w:pPr>
        <w:snapToGrid w:val="0"/>
        <w:spacing w:line="520" w:lineRule="exact"/>
        <w:ind w:firstLine="640"/>
        <w:rPr>
          <w:rFonts w:eastAsia="仿宋_GB2312"/>
          <w:sz w:val="32"/>
          <w:szCs w:val="32"/>
        </w:rPr>
      </w:pPr>
      <w:r>
        <w:rPr>
          <w:rFonts w:eastAsia="方正仿宋_GBK"/>
          <w:sz w:val="32"/>
          <w:szCs w:val="32"/>
        </w:rPr>
        <w:t>3.</w:t>
      </w:r>
      <w:r>
        <w:rPr>
          <w:rFonts w:eastAsia="方正仿宋_GBK"/>
          <w:sz w:val="32"/>
          <w:szCs w:val="32"/>
        </w:rPr>
        <w:t>对评价结果的应用环节偏薄弱。</w:t>
      </w:r>
    </w:p>
    <w:p w:rsidR="00EC184F" w:rsidRDefault="00DC6B00">
      <w:pPr>
        <w:widowControl/>
        <w:adjustRightInd w:val="0"/>
        <w:snapToGrid w:val="0"/>
        <w:spacing w:line="560" w:lineRule="exact"/>
        <w:ind w:firstLine="640"/>
        <w:contextualSpacing/>
        <w:rPr>
          <w:rFonts w:eastAsia="楷体_GB2312"/>
          <w:color w:val="000000"/>
          <w:sz w:val="32"/>
          <w:szCs w:val="32"/>
          <w:shd w:val="clear" w:color="auto" w:fill="FFFFFF"/>
          <w:lang w:val="zh-CN"/>
        </w:rPr>
      </w:pPr>
      <w:r>
        <w:rPr>
          <w:rFonts w:eastAsia="方正楷体_GBK"/>
          <w:color w:val="000000"/>
          <w:sz w:val="32"/>
          <w:szCs w:val="32"/>
          <w:shd w:val="clear" w:color="auto" w:fill="FFFFFF"/>
          <w:lang w:val="zh-CN"/>
        </w:rPr>
        <w:t>（三）改进建议</w:t>
      </w:r>
    </w:p>
    <w:p w:rsidR="00EC184F" w:rsidRDefault="00DC6B00">
      <w:pPr>
        <w:snapToGrid w:val="0"/>
        <w:spacing w:line="520" w:lineRule="exact"/>
        <w:ind w:firstLine="640"/>
        <w:rPr>
          <w:rFonts w:eastAsia="方正仿宋_GBK"/>
          <w:sz w:val="32"/>
          <w:szCs w:val="32"/>
        </w:rPr>
      </w:pPr>
      <w:r>
        <w:rPr>
          <w:rFonts w:eastAsia="方正仿宋_GBK"/>
          <w:sz w:val="32"/>
          <w:szCs w:val="32"/>
        </w:rPr>
        <w:t xml:space="preserve">1. </w:t>
      </w:r>
      <w:r>
        <w:rPr>
          <w:rFonts w:eastAsia="方正仿宋_GBK"/>
          <w:sz w:val="32"/>
          <w:szCs w:val="32"/>
        </w:rPr>
        <w:t>部门绩效评价工作政策性强、涉及面广、工作量大且有相当的难度和专业性。加强学习如何科学合理制定绩效目标及考核体系，理论联系实际结合业务工作，充分发挥绩效工作效用。</w:t>
      </w:r>
    </w:p>
    <w:p w:rsidR="00EC184F" w:rsidRDefault="00DC6B00">
      <w:pPr>
        <w:snapToGrid w:val="0"/>
        <w:spacing w:line="520" w:lineRule="exact"/>
        <w:ind w:firstLine="640"/>
        <w:rPr>
          <w:rFonts w:eastAsia="方正仿宋_GBK"/>
          <w:sz w:val="32"/>
          <w:szCs w:val="32"/>
        </w:rPr>
      </w:pPr>
      <w:r>
        <w:rPr>
          <w:rFonts w:eastAsia="方正仿宋_GBK"/>
          <w:sz w:val="32"/>
          <w:szCs w:val="32"/>
        </w:rPr>
        <w:t xml:space="preserve">2. </w:t>
      </w:r>
      <w:r>
        <w:rPr>
          <w:rFonts w:eastAsia="方正仿宋_GBK"/>
          <w:sz w:val="32"/>
          <w:szCs w:val="32"/>
        </w:rPr>
        <w:t>加强内部控制，突出风险防控。要按照《行政事业单位内部控制规范（试行）》有关规定，严格执行单位内部控制相关制度，不断查找业务风险点，制定风险防范应对策略，使决策、执行和监督相互分离、相互制约的长效机制有效运行。</w:t>
      </w:r>
    </w:p>
    <w:p w:rsidR="00EC184F" w:rsidRDefault="00DC6B00">
      <w:pPr>
        <w:snapToGrid w:val="0"/>
        <w:spacing w:line="520" w:lineRule="exact"/>
        <w:ind w:firstLine="640"/>
        <w:rPr>
          <w:rFonts w:eastAsia="仿宋_GB2312"/>
          <w:sz w:val="32"/>
          <w:szCs w:val="32"/>
        </w:rPr>
      </w:pPr>
      <w:r>
        <w:rPr>
          <w:rFonts w:eastAsia="方正仿宋_GBK"/>
          <w:sz w:val="32"/>
          <w:szCs w:val="32"/>
        </w:rPr>
        <w:t>3</w:t>
      </w:r>
      <w:r>
        <w:rPr>
          <w:rFonts w:eastAsia="方正仿宋_GBK"/>
          <w:sz w:val="32"/>
          <w:szCs w:val="32"/>
        </w:rPr>
        <w:t>．积极开展预算绩效管理工作。在今后的工作中，通</w:t>
      </w:r>
      <w:r>
        <w:rPr>
          <w:rFonts w:eastAsia="方正仿宋_GBK"/>
          <w:sz w:val="32"/>
          <w:szCs w:val="32"/>
        </w:rPr>
        <w:lastRenderedPageBreak/>
        <w:t>过预算绩效的事前编制，预算绩效执行中的自评以及预算绩效的事后评价，加大对预算绩效事后评价的利用，更好发挥绩效评价的作用。</w:t>
      </w:r>
    </w:p>
    <w:p w:rsidR="00EC184F" w:rsidRDefault="00DC6B00">
      <w:pPr>
        <w:pStyle w:val="21"/>
        <w:spacing w:line="560" w:lineRule="exact"/>
        <w:ind w:leftChars="0" w:left="0" w:firstLine="640"/>
        <w:rPr>
          <w:rFonts w:eastAsia="仿宋_GB2312" w:hAnsi="仿宋_GB2312" w:cs="仿宋_GB2312"/>
          <w:color w:val="000000" w:themeColor="text1"/>
          <w:sz w:val="32"/>
          <w:lang w:val="zh-CN"/>
        </w:rPr>
      </w:pPr>
      <w:r>
        <w:rPr>
          <w:rFonts w:eastAsia="仿宋_GB2312" w:hAnsi="仿宋_GB2312" w:cs="仿宋_GB2312" w:hint="eastAsia"/>
          <w:color w:val="000000" w:themeColor="text1"/>
          <w:sz w:val="32"/>
          <w:lang w:val="zh-CN"/>
        </w:rPr>
        <w:t>附表：</w:t>
      </w:r>
      <w:r>
        <w:rPr>
          <w:rFonts w:eastAsia="仿宋_GB2312" w:hAnsi="仿宋_GB2312" w:cs="仿宋_GB2312" w:hint="eastAsia"/>
          <w:color w:val="000000" w:themeColor="text1"/>
          <w:sz w:val="32"/>
        </w:rPr>
        <w:t>部门预算项目支出绩效自评表（2022年度）</w:t>
      </w:r>
    </w:p>
    <w:p w:rsidR="00EC184F" w:rsidRDefault="00EC184F">
      <w:pPr>
        <w:pStyle w:val="21"/>
        <w:spacing w:line="560" w:lineRule="exact"/>
        <w:ind w:leftChars="0" w:left="0" w:firstLine="640"/>
        <w:rPr>
          <w:rFonts w:eastAsia="仿宋_GB2312" w:hAnsi="仿宋_GB2312" w:cs="仿宋_GB2312"/>
          <w:color w:val="000000" w:themeColor="text1"/>
          <w:sz w:val="32"/>
        </w:rPr>
      </w:pPr>
    </w:p>
    <w:p w:rsidR="00EC184F" w:rsidRDefault="00EC184F">
      <w:pPr>
        <w:pStyle w:val="21"/>
        <w:spacing w:line="560" w:lineRule="exact"/>
        <w:ind w:leftChars="0" w:left="0" w:firstLine="640"/>
        <w:rPr>
          <w:rFonts w:eastAsia="仿宋_GB2312" w:hAnsi="仿宋_GB2312" w:cs="仿宋_GB2312"/>
          <w:color w:val="000000" w:themeColor="text1"/>
          <w:sz w:val="32"/>
        </w:rPr>
      </w:pPr>
    </w:p>
    <w:p w:rsidR="00EC184F" w:rsidRDefault="00EC184F">
      <w:pPr>
        <w:pStyle w:val="21"/>
        <w:spacing w:line="560" w:lineRule="exact"/>
        <w:ind w:leftChars="0" w:left="0" w:firstLine="640"/>
        <w:rPr>
          <w:rFonts w:eastAsia="仿宋_GB2312" w:hAnsi="仿宋_GB2312" w:cs="仿宋_GB2312"/>
          <w:color w:val="000000" w:themeColor="text1"/>
          <w:sz w:val="32"/>
        </w:rPr>
      </w:pPr>
    </w:p>
    <w:p w:rsidR="00EC184F" w:rsidRDefault="00EC184F">
      <w:pPr>
        <w:pStyle w:val="21"/>
        <w:spacing w:line="560" w:lineRule="exact"/>
        <w:ind w:leftChars="0" w:left="0" w:firstLine="640"/>
        <w:rPr>
          <w:rFonts w:eastAsia="仿宋_GB2312" w:hAnsi="仿宋_GB2312" w:cs="仿宋_GB2312"/>
          <w:color w:val="000000" w:themeColor="text1"/>
          <w:sz w:val="32"/>
        </w:rPr>
      </w:pPr>
    </w:p>
    <w:p w:rsidR="00EC184F" w:rsidRDefault="00EC184F">
      <w:pPr>
        <w:pStyle w:val="21"/>
        <w:spacing w:line="560" w:lineRule="exact"/>
        <w:ind w:leftChars="0" w:left="0" w:firstLine="640"/>
        <w:rPr>
          <w:rFonts w:eastAsia="仿宋_GB2312" w:hAnsi="仿宋_GB2312" w:cs="仿宋_GB2312"/>
          <w:color w:val="000000" w:themeColor="text1"/>
          <w:sz w:val="32"/>
        </w:rPr>
      </w:pPr>
    </w:p>
    <w:p w:rsidR="00EC184F" w:rsidRDefault="00EC184F">
      <w:pPr>
        <w:pStyle w:val="21"/>
        <w:spacing w:line="560" w:lineRule="exact"/>
        <w:ind w:leftChars="0" w:left="0" w:firstLine="640"/>
        <w:rPr>
          <w:rFonts w:eastAsia="仿宋_GB2312" w:hAnsi="仿宋_GB2312" w:cs="仿宋_GB2312"/>
          <w:color w:val="000000" w:themeColor="text1"/>
          <w:sz w:val="32"/>
        </w:rPr>
      </w:pPr>
    </w:p>
    <w:p w:rsidR="00EC184F" w:rsidRDefault="00EC184F">
      <w:pPr>
        <w:pStyle w:val="21"/>
        <w:spacing w:line="560" w:lineRule="exact"/>
        <w:ind w:leftChars="0" w:left="0" w:firstLine="640"/>
        <w:rPr>
          <w:rFonts w:eastAsia="仿宋_GB2312" w:hAnsi="仿宋_GB2312" w:cs="仿宋_GB2312"/>
          <w:color w:val="000000" w:themeColor="text1"/>
          <w:sz w:val="32"/>
        </w:rPr>
      </w:pPr>
    </w:p>
    <w:p w:rsidR="00EC184F" w:rsidRDefault="00EC184F">
      <w:pPr>
        <w:pStyle w:val="21"/>
        <w:spacing w:line="560" w:lineRule="exact"/>
        <w:ind w:leftChars="0" w:left="0" w:firstLine="640"/>
        <w:rPr>
          <w:rFonts w:eastAsia="仿宋_GB2312" w:hAnsi="仿宋_GB2312" w:cs="仿宋_GB2312"/>
          <w:color w:val="000000" w:themeColor="text1"/>
          <w:sz w:val="32"/>
        </w:rPr>
      </w:pPr>
    </w:p>
    <w:p w:rsidR="00EC184F" w:rsidRDefault="00EC184F">
      <w:pPr>
        <w:pStyle w:val="21"/>
        <w:spacing w:line="560" w:lineRule="exact"/>
        <w:ind w:leftChars="0" w:left="0" w:firstLine="640"/>
        <w:rPr>
          <w:rFonts w:eastAsia="仿宋_GB2312" w:hAnsi="仿宋_GB2312" w:cs="仿宋_GB2312"/>
          <w:color w:val="000000" w:themeColor="text1"/>
          <w:sz w:val="32"/>
          <w:lang w:val="zh-CN"/>
        </w:rPr>
      </w:pPr>
    </w:p>
    <w:p w:rsidR="00EC184F" w:rsidRDefault="00EC184F">
      <w:pPr>
        <w:pStyle w:val="21"/>
        <w:spacing w:line="560" w:lineRule="exact"/>
        <w:ind w:leftChars="0" w:left="0" w:firstLineChars="0" w:firstLine="0"/>
        <w:rPr>
          <w:color w:val="FF0000"/>
          <w:sz w:val="32"/>
          <w:lang w:val="zh-CN"/>
        </w:rPr>
      </w:pPr>
    </w:p>
    <w:p w:rsidR="00EC184F" w:rsidRDefault="00EC184F">
      <w:pPr>
        <w:pStyle w:val="a0"/>
        <w:spacing w:before="93"/>
        <w:rPr>
          <w:rFonts w:hAnsi="宋体" w:cs="宋体"/>
          <w:sz w:val="32"/>
          <w:szCs w:val="32"/>
          <w:shd w:val="clear" w:color="auto" w:fill="FFFFFF"/>
          <w:lang w:val="zh-CN"/>
        </w:rPr>
      </w:pPr>
    </w:p>
    <w:p w:rsidR="00357322" w:rsidRDefault="00357322">
      <w:pPr>
        <w:pStyle w:val="a0"/>
        <w:spacing w:before="93"/>
        <w:rPr>
          <w:rFonts w:hAnsi="宋体" w:cs="宋体"/>
          <w:sz w:val="32"/>
          <w:szCs w:val="32"/>
          <w:shd w:val="clear" w:color="auto" w:fill="FFFFFF"/>
          <w:lang w:val="zh-CN"/>
        </w:rPr>
      </w:pPr>
    </w:p>
    <w:p w:rsidR="00357322" w:rsidRDefault="00357322">
      <w:pPr>
        <w:pStyle w:val="a0"/>
        <w:spacing w:before="93"/>
        <w:rPr>
          <w:rFonts w:hAnsi="宋体" w:cs="宋体"/>
          <w:sz w:val="32"/>
          <w:szCs w:val="32"/>
          <w:shd w:val="clear" w:color="auto" w:fill="FFFFFF"/>
          <w:lang w:val="zh-CN"/>
        </w:rPr>
      </w:pPr>
    </w:p>
    <w:p w:rsidR="00357322" w:rsidRDefault="00357322">
      <w:pPr>
        <w:pStyle w:val="a0"/>
        <w:spacing w:before="93"/>
        <w:rPr>
          <w:rFonts w:hAnsi="宋体" w:cs="宋体"/>
          <w:sz w:val="32"/>
          <w:szCs w:val="32"/>
          <w:shd w:val="clear" w:color="auto" w:fill="FFFFFF"/>
          <w:lang w:val="zh-CN"/>
        </w:rPr>
      </w:pPr>
    </w:p>
    <w:p w:rsidR="00C30159" w:rsidRDefault="00C30159">
      <w:pPr>
        <w:pStyle w:val="a0"/>
        <w:spacing w:before="93"/>
        <w:rPr>
          <w:rFonts w:hAnsi="宋体" w:cs="宋体"/>
          <w:sz w:val="32"/>
          <w:szCs w:val="32"/>
          <w:shd w:val="clear" w:color="auto" w:fill="FFFFFF"/>
          <w:lang w:val="zh-CN"/>
        </w:rPr>
      </w:pPr>
    </w:p>
    <w:p w:rsidR="00C30159" w:rsidRDefault="00C30159">
      <w:pPr>
        <w:pStyle w:val="a0"/>
        <w:spacing w:before="93"/>
        <w:rPr>
          <w:rFonts w:hAnsi="宋体" w:cs="宋体"/>
          <w:sz w:val="32"/>
          <w:szCs w:val="32"/>
          <w:shd w:val="clear" w:color="auto" w:fill="FFFFFF"/>
          <w:lang w:val="zh-CN"/>
        </w:rPr>
      </w:pPr>
    </w:p>
    <w:p w:rsidR="00C30159" w:rsidRDefault="00C30159">
      <w:pPr>
        <w:pStyle w:val="a0"/>
        <w:spacing w:before="93"/>
        <w:rPr>
          <w:rFonts w:hAnsi="宋体" w:cs="宋体"/>
          <w:sz w:val="32"/>
          <w:szCs w:val="32"/>
          <w:shd w:val="clear" w:color="auto" w:fill="FFFFFF"/>
          <w:lang w:val="zh-CN"/>
        </w:rPr>
      </w:pPr>
    </w:p>
    <w:p w:rsidR="00EC184F" w:rsidRDefault="00DC6B00">
      <w:pPr>
        <w:pStyle w:val="a0"/>
        <w:spacing w:before="93"/>
        <w:rPr>
          <w:sz w:val="32"/>
          <w:szCs w:val="32"/>
        </w:rPr>
      </w:pPr>
      <w:r>
        <w:rPr>
          <w:rFonts w:hAnsi="宋体" w:cs="宋体" w:hint="eastAsia"/>
          <w:sz w:val="32"/>
          <w:szCs w:val="32"/>
          <w:shd w:val="clear" w:color="auto" w:fill="FFFFFF"/>
          <w:lang w:val="zh-CN"/>
        </w:rPr>
        <w:lastRenderedPageBreak/>
        <w:t>附件</w:t>
      </w:r>
      <w:r>
        <w:rPr>
          <w:rFonts w:hAnsi="宋体" w:cs="宋体" w:hint="eastAsia"/>
          <w:sz w:val="32"/>
          <w:szCs w:val="32"/>
          <w:shd w:val="clear" w:color="auto" w:fill="FFFFFF"/>
        </w:rPr>
        <w:t>2</w:t>
      </w:r>
    </w:p>
    <w:p w:rsidR="00EC184F" w:rsidRDefault="00DC6B00">
      <w:pPr>
        <w:spacing w:line="600" w:lineRule="exact"/>
        <w:jc w:val="center"/>
        <w:rPr>
          <w:rFonts w:eastAsia="方正小标宋简体"/>
          <w:sz w:val="40"/>
          <w:szCs w:val="40"/>
        </w:rPr>
      </w:pPr>
      <w:r>
        <w:rPr>
          <w:rFonts w:eastAsia="方正小标宋简体" w:hint="eastAsia"/>
          <w:sz w:val="40"/>
          <w:szCs w:val="40"/>
        </w:rPr>
        <w:t>盐边县经济信息化和科学技术局</w:t>
      </w:r>
    </w:p>
    <w:p w:rsidR="00EC184F" w:rsidRDefault="00DC6B00">
      <w:pPr>
        <w:spacing w:line="640" w:lineRule="exact"/>
        <w:jc w:val="center"/>
        <w:rPr>
          <w:rFonts w:eastAsia="方正小标宋_GBK"/>
          <w:sz w:val="44"/>
          <w:szCs w:val="44"/>
        </w:rPr>
      </w:pPr>
      <w:r>
        <w:rPr>
          <w:rFonts w:eastAsia="方正小标宋_GBK" w:hint="eastAsia"/>
          <w:sz w:val="44"/>
          <w:szCs w:val="44"/>
        </w:rPr>
        <w:t>川财教</w:t>
      </w:r>
      <w:r>
        <w:rPr>
          <w:rFonts w:eastAsia="方正小标宋_GBK" w:hint="eastAsia"/>
          <w:sz w:val="44"/>
          <w:szCs w:val="44"/>
        </w:rPr>
        <w:t>[2021]148</w:t>
      </w:r>
      <w:r>
        <w:rPr>
          <w:rFonts w:eastAsia="方正小标宋_GBK" w:hint="eastAsia"/>
          <w:sz w:val="44"/>
          <w:szCs w:val="44"/>
        </w:rPr>
        <w:t>号下达</w:t>
      </w:r>
      <w:r>
        <w:rPr>
          <w:rFonts w:eastAsia="方正小标宋_GBK" w:hint="eastAsia"/>
          <w:sz w:val="44"/>
          <w:szCs w:val="44"/>
        </w:rPr>
        <w:t>2021</w:t>
      </w:r>
      <w:r>
        <w:rPr>
          <w:rFonts w:eastAsia="方正小标宋_GBK" w:hint="eastAsia"/>
          <w:sz w:val="44"/>
          <w:szCs w:val="44"/>
        </w:rPr>
        <w:t>年科普资金</w:t>
      </w:r>
      <w:r>
        <w:rPr>
          <w:rFonts w:eastAsia="方正小标宋_GBK"/>
          <w:sz w:val="44"/>
          <w:szCs w:val="44"/>
        </w:rPr>
        <w:t>项目支出绩效自评报告</w:t>
      </w:r>
    </w:p>
    <w:p w:rsidR="00EC184F" w:rsidRDefault="00EC184F">
      <w:pPr>
        <w:spacing w:line="600" w:lineRule="exact"/>
        <w:ind w:firstLine="640"/>
        <w:jc w:val="center"/>
        <w:rPr>
          <w:sz w:val="32"/>
          <w:szCs w:val="32"/>
          <w:lang w:val="zh-CN"/>
        </w:rPr>
      </w:pPr>
    </w:p>
    <w:p w:rsidR="00EC184F" w:rsidRDefault="00DC6B00">
      <w:pPr>
        <w:spacing w:line="560" w:lineRule="exact"/>
        <w:ind w:firstLineChars="200" w:firstLine="640"/>
        <w:rPr>
          <w:rFonts w:ascii="仿宋_GB2312" w:eastAsia="仿宋_GB2312"/>
          <w:sz w:val="32"/>
          <w:szCs w:val="32"/>
        </w:rPr>
      </w:pPr>
      <w:r>
        <w:rPr>
          <w:rFonts w:ascii="仿宋_GB2312" w:eastAsia="仿宋_GB2312" w:hint="eastAsia"/>
          <w:sz w:val="32"/>
          <w:szCs w:val="32"/>
        </w:rPr>
        <w:t>一、项目概况</w:t>
      </w:r>
    </w:p>
    <w:p w:rsidR="00EC184F" w:rsidRDefault="00DC6B00">
      <w:pPr>
        <w:spacing w:line="560" w:lineRule="exact"/>
        <w:ind w:firstLineChars="200" w:firstLine="640"/>
        <w:rPr>
          <w:rFonts w:ascii="仿宋_GB2312" w:eastAsia="仿宋_GB2312"/>
          <w:sz w:val="32"/>
          <w:szCs w:val="32"/>
        </w:rPr>
      </w:pPr>
      <w:r>
        <w:rPr>
          <w:rFonts w:ascii="仿宋_GB2312" w:eastAsia="仿宋_GB2312" w:hint="eastAsia"/>
          <w:sz w:val="32"/>
          <w:szCs w:val="32"/>
        </w:rPr>
        <w:t>（一）项目基本情况。</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天府科技云服务：“天府科技云”服务就是依托“天府科技云”，开展精准科技服务。通过电脑、手机等，使每个科技工作者（团队）都可自主、便捷向“天府科技云”上传其“科技所能”，每个企事业单位都可自主、便捷上传其“科技所需”，每个城乡群众都可自主、便捷上传其“科普所需”，运用云平台大数据、云计算、人工智能等技术，实现科技（科普）供需智能匹配、精准对接、精准服务。根据省科协《关于精准落实习近平总书记“四服务”重要指示 深入贯彻省委决策部署 以全员“保姆式”服务推进“天府科技云服务”高质量发展的意见》（川科协发〔2021〕86号）和攀枝花市科学技术协会关于印发《关于以全员“保姆式”服务推进 “天府科技云服务”高质量发展的实施方案》的通知的要求，采取购买服务的方式开展天府科技云服务工作。</w:t>
      </w:r>
    </w:p>
    <w:p w:rsidR="00EC184F" w:rsidRDefault="00DC6B00" w:rsidP="00567ED2">
      <w:pPr>
        <w:spacing w:line="480" w:lineRule="exact"/>
        <w:ind w:firstLineChars="214" w:firstLine="685"/>
        <w:rPr>
          <w:rFonts w:ascii="仿宋_GB2312" w:eastAsia="仿宋_GB2312" w:cs="仿宋_GB2312"/>
          <w:color w:val="000000"/>
          <w:sz w:val="32"/>
          <w:szCs w:val="32"/>
        </w:rPr>
      </w:pPr>
      <w:r>
        <w:rPr>
          <w:rFonts w:ascii="仿宋_GB2312" w:eastAsia="仿宋_GB2312" w:cs="仿宋_GB2312" w:hint="eastAsia"/>
          <w:color w:val="000000"/>
          <w:sz w:val="32"/>
          <w:szCs w:val="32"/>
        </w:rPr>
        <w:t>芒果新品种选育及良种繁育基地建设：</w:t>
      </w:r>
      <w:r>
        <w:rPr>
          <w:rFonts w:ascii="仿宋_GB2312" w:eastAsia="仿宋_GB2312" w:hAnsi="仿宋_GB2312" w:cs="仿宋_GB2312" w:hint="eastAsia"/>
          <w:sz w:val="32"/>
          <w:szCs w:val="32"/>
        </w:rPr>
        <w:t>我县首次发现芒果变异新品种，该品种经过目前考查属于攀枝花盐边县内新发现的变异新品种，具有果色优良、挂果率高、抗病虫害强的新品种。适应攀枝花芒果的改良提供优质种苗源。该品种具有较强抗病能力，能减少病虫害、减少农民农资方面的投入、减少农产品成本。由于该品种属于晚熟品种，可在攀枝花全面扩种，提高我市芒果的品质，增加农民收入。</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lastRenderedPageBreak/>
        <w:t>1.盐边县科学技术协会通过该项工作，能使全县人民群众把科学的思想和技术运用到生产生活实际中去，使其对科学的思想、科学的技术方法有新的认识，逐步地向学科学、懂科学、用科学的方向迈进，为推动科技进步、促进现代化进程起到了积极的推动作用。可以让全县人民群众摒弃陋习、树立新风，共建科学文明健康的新生活。</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2. 该项目的立项依据是省科协《关于2021年科普专项资金使用管理及项目备案的通知》文件，资金申报的依据是财政厅、省科协《关于下达2021年四川省科普专项资金预算的通知》（川财教【2021】148号）文件。</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3. 县科协按照省财政厅、省科协关于印发《四川省科普专项资金管理办法》的通知（川财教【2020】83号）文件的要求管理下拨的科普资金，严格按照省科协《关于2021年科普专项资金使用管理及项目备案的通知》文件的要求，支持天府科技云服务工作以及芒果新品种选育及良种繁育基地建设等，上报备案书备市科协审查，均采取补助的方式给予支持。</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4. 资金的分配是通过项目具体负责人上报备案书，经相关部门共同研究，根据项目的合理性、绩效目标及预期成果、实施条件、科学性等因素进行资金分配。</w:t>
      </w:r>
    </w:p>
    <w:p w:rsidR="00EC184F" w:rsidRDefault="00DC6B00">
      <w:pPr>
        <w:spacing w:line="560" w:lineRule="exact"/>
        <w:ind w:firstLineChars="200" w:firstLine="640"/>
        <w:rPr>
          <w:rFonts w:ascii="仿宋_GB2312" w:eastAsia="仿宋_GB2312"/>
          <w:sz w:val="32"/>
          <w:szCs w:val="32"/>
        </w:rPr>
      </w:pPr>
      <w:r>
        <w:rPr>
          <w:rFonts w:ascii="仿宋_GB2312" w:eastAsia="仿宋_GB2312" w:hint="eastAsia"/>
          <w:sz w:val="32"/>
          <w:szCs w:val="32"/>
        </w:rPr>
        <w:t>（二）项目绩效目标。</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1.川财教[2021]148号下达科普专项资金项目的主要内容包括天府科技云服务工作以及芒果新品种选育及良种繁育基地建设等，共计80000元。</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2.通过项目的实施，我县科协部门服务广大科技工作者、企事业单位或人民群众来访洽谈接待服务的重要平台，做到精准服务科技工作者，精准服务企事业单位，精准服务全民科学素质提升，科普宣传推广的重要“窗口“服务平台，</w:t>
      </w:r>
      <w:r>
        <w:rPr>
          <w:rFonts w:ascii="仿宋_GB2312" w:eastAsia="仿宋_GB2312" w:hint="eastAsia"/>
          <w:sz w:val="32"/>
          <w:szCs w:val="32"/>
        </w:rPr>
        <w:lastRenderedPageBreak/>
        <w:t>帮助广大科技工作者释放创新能力，为辖区内广大科技工作者正确发布科技成果，提供科技服务，转化科研成果，承接科研项目，共享科普资源提供便捷服务和指导帮助。通过项目的实施，进一步增加农民的收入。川财教[2021]148号下达科普专项资金项目均在2022年年底前按备案书进度完成。</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3.经现场查看验收，项目申报内容与实际相符，申报目标合理</w:t>
      </w:r>
    </w:p>
    <w:p w:rsidR="00EC184F" w:rsidRDefault="00DC6B00">
      <w:pPr>
        <w:spacing w:line="560" w:lineRule="exact"/>
        <w:ind w:firstLineChars="200" w:firstLine="640"/>
        <w:rPr>
          <w:rFonts w:ascii="仿宋_GB2312" w:eastAsia="仿宋_GB2312"/>
          <w:sz w:val="32"/>
          <w:szCs w:val="32"/>
        </w:rPr>
      </w:pPr>
      <w:r>
        <w:rPr>
          <w:rFonts w:ascii="仿宋_GB2312" w:eastAsia="仿宋_GB2312" w:hint="eastAsia"/>
          <w:sz w:val="32"/>
          <w:szCs w:val="32"/>
        </w:rPr>
        <w:t>（三）项目自评步骤及方法。</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1.前期准备</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县科协认真开展自评工作，收集相关项目资料。明确绩效自评的目标及内容。</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2.组织过程</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县科协对材料进行了认真核查，对项目资金拨付、管理、使用情况进行了综合汇总分析，形成自评报告报领导审核。</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3.分析评价</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该项目资金严格按照相关资金管理办法使用，及时拨付，所有绩效申报目标均达成。</w:t>
      </w:r>
    </w:p>
    <w:p w:rsidR="00EC184F" w:rsidRDefault="00DC6B00">
      <w:pPr>
        <w:spacing w:line="560" w:lineRule="exact"/>
        <w:ind w:firstLineChars="200" w:firstLine="640"/>
        <w:rPr>
          <w:rFonts w:ascii="仿宋_GB2312" w:eastAsia="仿宋_GB2312"/>
          <w:sz w:val="32"/>
          <w:szCs w:val="32"/>
        </w:rPr>
      </w:pPr>
      <w:r>
        <w:rPr>
          <w:rFonts w:ascii="仿宋_GB2312" w:eastAsia="仿宋_GB2312" w:hint="eastAsia"/>
          <w:sz w:val="32"/>
          <w:szCs w:val="32"/>
        </w:rPr>
        <w:t>二、项目资金申报及使用情况</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（一）项目资金申报及批复情况。</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省财政厅、省科协关于印发《四川省科普专项资金管理办法》的通知（川财教【2020】83号）文件的要求管理下拨的科普资金，严格按照省科协《关于2021年科普专项资金使用管理及项目备案的通知》文件的要求，以及和相关部门共同研究，根据项目的合理性、绩效目标及预期成果、实施条件、科学性等因素进行资金分配并进行申报备案。</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（二）资金计划、到位及使用情况。</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1.资金计划。该项目是省级科普专项资金141,084.64元。</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lastRenderedPageBreak/>
        <w:t>2.资金到位。2021年12月省级科普专项资金全部到位。</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3.资金使用。2022年12月，该项目资金支出80000元，资金支付范围、支付标准、支付进度、支付依据等都是合规合法、与预算相符，目前尚未发现的相关问题。</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（三）项目财务管理情况。</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该项目的财务管理制度健全，并严格执行财务管理制度，账务处理及时，会计核算规范。</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三、项目实施及管理情况</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（一）该项目组织架构健全，实施流程合法合规。</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（二）项目管理情况。该项目盐边县科学技术协会严格执行相关法律法规及项目管理制度等，严格按照相关制度、规定等实施该项目。</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（三）项目监管情况。为加强项目的监管，盐边县科协主要领导亲自督办该项目，亲自到场指挥，亲自监督。</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四、项目绩效情况</w:t>
      </w:r>
      <w:r>
        <w:rPr>
          <w:rFonts w:ascii="仿宋_GB2312" w:eastAsia="仿宋_GB2312" w:hint="eastAsia"/>
          <w:sz w:val="32"/>
          <w:szCs w:val="32"/>
        </w:rPr>
        <w:tab/>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（一）项目完成情况。</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该项目严格按照上级要求和《绩效目标申报表》计划100%完成相关工作，并于2022年12月底前完成。</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（二）项目效益情况。</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通过项目的实施，做到精准服务科技工作者，精准服务企事业单位，精准服务全民科学素质提升，帮助广大科技工作者释放创新能力，为辖区内广大科技工作者正确发布科技成果，提供科技服务，转化科研成果，承接科研项目，共享科普资源提供便捷服务和指导帮助。通过项目的实施，进一步增加农民的收入。</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五、评价结论及建议</w:t>
      </w:r>
    </w:p>
    <w:p w:rsidR="00EC184F" w:rsidRDefault="00C30159"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（一）评价结论</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结合该项目自身特点、评价重点及管理办法等要求，该项目总体较好。</w:t>
      </w:r>
    </w:p>
    <w:p w:rsidR="00EC184F" w:rsidRDefault="00C30159"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lastRenderedPageBreak/>
        <w:t>（二）存在的问题</w:t>
      </w:r>
    </w:p>
    <w:p w:rsidR="00EC184F" w:rsidRDefault="00DC6B00"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目前暂未发现相关问题。</w:t>
      </w:r>
    </w:p>
    <w:p w:rsidR="00EC184F" w:rsidRDefault="00C30159" w:rsidP="00567ED2">
      <w:pPr>
        <w:spacing w:line="480" w:lineRule="exact"/>
        <w:ind w:firstLineChars="214" w:firstLine="685"/>
        <w:rPr>
          <w:rFonts w:ascii="仿宋_GB2312" w:eastAsia="仿宋_GB2312"/>
          <w:sz w:val="32"/>
          <w:szCs w:val="32"/>
        </w:rPr>
      </w:pPr>
      <w:r>
        <w:rPr>
          <w:rFonts w:ascii="仿宋_GB2312" w:eastAsia="仿宋_GB2312" w:hint="eastAsia"/>
          <w:sz w:val="32"/>
          <w:szCs w:val="32"/>
        </w:rPr>
        <w:t>（三）相关建议</w:t>
      </w:r>
    </w:p>
    <w:p w:rsidR="00EC184F" w:rsidRDefault="00DC6B00" w:rsidP="00357322">
      <w:pPr>
        <w:spacing w:line="480" w:lineRule="exact"/>
        <w:ind w:firstLineChars="264" w:firstLine="845"/>
        <w:rPr>
          <w:rFonts w:ascii="仿宋_GB2312" w:eastAsia="仿宋_GB2312"/>
          <w:sz w:val="32"/>
          <w:szCs w:val="32"/>
        </w:rPr>
      </w:pPr>
      <w:r>
        <w:rPr>
          <w:rFonts w:ascii="仿宋_GB2312" w:eastAsia="仿宋_GB2312" w:hint="eastAsia"/>
          <w:sz w:val="32"/>
          <w:szCs w:val="32"/>
        </w:rPr>
        <w:t>暂无相关建议</w:t>
      </w:r>
      <w:r w:rsidR="00357322">
        <w:rPr>
          <w:rFonts w:ascii="仿宋_GB2312" w:eastAsia="仿宋_GB2312" w:hint="eastAsia"/>
          <w:sz w:val="32"/>
          <w:szCs w:val="32"/>
        </w:rPr>
        <w:t>。</w:t>
      </w:r>
    </w:p>
    <w:p w:rsidR="00EC184F" w:rsidRDefault="00EC184F">
      <w:pPr>
        <w:rPr>
          <w:rFonts w:ascii="仿宋_GB2312" w:eastAsia="仿宋_GB2312"/>
          <w:sz w:val="32"/>
          <w:szCs w:val="32"/>
        </w:rPr>
      </w:pPr>
    </w:p>
    <w:p w:rsidR="00EC184F" w:rsidRDefault="00EC184F">
      <w:pPr>
        <w:rPr>
          <w:rFonts w:ascii="仿宋_GB2312" w:eastAsia="仿宋_GB2312"/>
          <w:sz w:val="32"/>
          <w:szCs w:val="32"/>
        </w:rPr>
      </w:pPr>
    </w:p>
    <w:p w:rsidR="00EC184F" w:rsidRDefault="00DC6B00">
      <w:pPr>
        <w:rPr>
          <w:rFonts w:eastAsia="仿宋_GB2312"/>
          <w:sz w:val="32"/>
          <w:szCs w:val="32"/>
        </w:rPr>
      </w:pPr>
      <w:r>
        <w:rPr>
          <w:rFonts w:ascii="仿宋_GB2312" w:eastAsia="仿宋_GB2312" w:hint="eastAsia"/>
          <w:sz w:val="32"/>
          <w:szCs w:val="32"/>
        </w:rPr>
        <w:t xml:space="preserve"> </w:t>
      </w:r>
    </w:p>
    <w:p w:rsidR="00EC184F" w:rsidRDefault="00EC184F">
      <w:pPr>
        <w:rPr>
          <w:rFonts w:eastAsia="仿宋_GB2312"/>
          <w:sz w:val="32"/>
          <w:szCs w:val="32"/>
        </w:rPr>
      </w:pPr>
    </w:p>
    <w:p w:rsidR="00EC184F" w:rsidRDefault="00EC184F">
      <w:pPr>
        <w:rPr>
          <w:rFonts w:eastAsia="仿宋_GB2312"/>
          <w:sz w:val="32"/>
          <w:szCs w:val="32"/>
        </w:rPr>
      </w:pPr>
    </w:p>
    <w:p w:rsidR="00EC184F" w:rsidRDefault="00EC184F">
      <w:pPr>
        <w:rPr>
          <w:rFonts w:eastAsia="仿宋_GB2312"/>
          <w:sz w:val="32"/>
          <w:szCs w:val="32"/>
        </w:rPr>
      </w:pPr>
    </w:p>
    <w:p w:rsidR="00EC184F" w:rsidRDefault="00EC184F">
      <w:pPr>
        <w:rPr>
          <w:rFonts w:eastAsia="仿宋_GB2312"/>
          <w:sz w:val="32"/>
          <w:szCs w:val="32"/>
        </w:rPr>
      </w:pPr>
    </w:p>
    <w:p w:rsidR="00EC184F" w:rsidRDefault="00EC184F">
      <w:pPr>
        <w:rPr>
          <w:rFonts w:eastAsia="仿宋_GB2312"/>
          <w:sz w:val="32"/>
          <w:szCs w:val="32"/>
        </w:rPr>
      </w:pPr>
    </w:p>
    <w:p w:rsidR="00EC184F" w:rsidRDefault="00EC184F">
      <w:pPr>
        <w:rPr>
          <w:rFonts w:eastAsia="仿宋_GB2312"/>
          <w:sz w:val="32"/>
          <w:szCs w:val="32"/>
        </w:rPr>
      </w:pPr>
    </w:p>
    <w:p w:rsidR="00EC184F" w:rsidRDefault="00EC184F">
      <w:pPr>
        <w:rPr>
          <w:rFonts w:eastAsia="仿宋_GB2312"/>
          <w:sz w:val="32"/>
          <w:szCs w:val="32"/>
        </w:rPr>
      </w:pPr>
    </w:p>
    <w:p w:rsidR="00EC184F" w:rsidRDefault="00EC184F">
      <w:pPr>
        <w:rPr>
          <w:rFonts w:eastAsia="仿宋_GB2312"/>
          <w:sz w:val="32"/>
          <w:szCs w:val="32"/>
        </w:rPr>
      </w:pPr>
    </w:p>
    <w:p w:rsidR="00EC184F" w:rsidRDefault="00EC184F">
      <w:pPr>
        <w:rPr>
          <w:rFonts w:eastAsia="仿宋_GB2312"/>
          <w:sz w:val="32"/>
          <w:szCs w:val="32"/>
        </w:rPr>
      </w:pPr>
    </w:p>
    <w:p w:rsidR="00EC184F" w:rsidRDefault="00EC184F">
      <w:pPr>
        <w:rPr>
          <w:rFonts w:eastAsia="仿宋_GB2312"/>
          <w:sz w:val="32"/>
          <w:szCs w:val="32"/>
        </w:rPr>
      </w:pPr>
    </w:p>
    <w:p w:rsidR="00EC184F" w:rsidRDefault="00EC184F">
      <w:pPr>
        <w:rPr>
          <w:rFonts w:eastAsia="仿宋_GB2312"/>
          <w:sz w:val="32"/>
          <w:szCs w:val="32"/>
        </w:rPr>
      </w:pPr>
    </w:p>
    <w:p w:rsidR="00EC184F" w:rsidRDefault="00EC184F">
      <w:pPr>
        <w:rPr>
          <w:rFonts w:eastAsia="仿宋_GB2312"/>
          <w:sz w:val="32"/>
          <w:szCs w:val="32"/>
        </w:rPr>
      </w:pPr>
    </w:p>
    <w:p w:rsidR="00EC184F" w:rsidRDefault="00EC184F">
      <w:pPr>
        <w:rPr>
          <w:rFonts w:eastAsia="仿宋_GB2312"/>
          <w:sz w:val="32"/>
          <w:szCs w:val="32"/>
        </w:rPr>
      </w:pPr>
    </w:p>
    <w:p w:rsidR="00EC184F" w:rsidRDefault="00EC184F">
      <w:pPr>
        <w:rPr>
          <w:rFonts w:eastAsia="仿宋_GB2312"/>
          <w:sz w:val="32"/>
          <w:szCs w:val="32"/>
        </w:rPr>
      </w:pPr>
    </w:p>
    <w:p w:rsidR="00357322" w:rsidRDefault="00357322">
      <w:pPr>
        <w:spacing w:line="600" w:lineRule="exact"/>
        <w:jc w:val="center"/>
        <w:rPr>
          <w:rFonts w:eastAsia="黑体"/>
          <w:sz w:val="32"/>
          <w:szCs w:val="32"/>
        </w:rPr>
      </w:pPr>
    </w:p>
    <w:p w:rsidR="00357322" w:rsidRDefault="00357322">
      <w:pPr>
        <w:spacing w:line="600" w:lineRule="exact"/>
        <w:jc w:val="center"/>
        <w:rPr>
          <w:rFonts w:eastAsia="黑体"/>
          <w:sz w:val="32"/>
          <w:szCs w:val="32"/>
        </w:rPr>
      </w:pPr>
    </w:p>
    <w:p w:rsidR="00EC184F" w:rsidRDefault="00DC6B00">
      <w:pPr>
        <w:spacing w:line="600" w:lineRule="exact"/>
        <w:jc w:val="center"/>
        <w:rPr>
          <w:rFonts w:eastAsia="方正小标宋简体"/>
          <w:sz w:val="40"/>
          <w:szCs w:val="40"/>
        </w:rPr>
      </w:pPr>
      <w:r>
        <w:rPr>
          <w:rFonts w:eastAsia="方正小标宋简体" w:hint="eastAsia"/>
          <w:sz w:val="40"/>
          <w:szCs w:val="40"/>
        </w:rPr>
        <w:lastRenderedPageBreak/>
        <w:t>盐边县经济信息化和科学技术局</w:t>
      </w:r>
    </w:p>
    <w:p w:rsidR="00EC184F" w:rsidRDefault="00DC6B00">
      <w:pPr>
        <w:spacing w:line="640" w:lineRule="exact"/>
        <w:jc w:val="center"/>
        <w:rPr>
          <w:rFonts w:eastAsia="方正小标宋_GBK"/>
          <w:sz w:val="44"/>
          <w:szCs w:val="44"/>
        </w:rPr>
      </w:pPr>
      <w:r>
        <w:rPr>
          <w:rFonts w:eastAsia="方正小标宋_GBK" w:hint="eastAsia"/>
          <w:sz w:val="44"/>
          <w:szCs w:val="44"/>
        </w:rPr>
        <w:t>川财教</w:t>
      </w:r>
      <w:r>
        <w:rPr>
          <w:rFonts w:eastAsia="方正小标宋_GBK" w:hint="eastAsia"/>
          <w:sz w:val="44"/>
          <w:szCs w:val="44"/>
        </w:rPr>
        <w:t>[2020]77</w:t>
      </w:r>
      <w:r>
        <w:rPr>
          <w:rFonts w:eastAsia="方正小标宋_GBK" w:hint="eastAsia"/>
          <w:sz w:val="44"/>
          <w:szCs w:val="44"/>
        </w:rPr>
        <w:t>号下达科普专项资金</w:t>
      </w:r>
      <w:r>
        <w:rPr>
          <w:rFonts w:eastAsia="方正小标宋_GBK"/>
          <w:sz w:val="44"/>
          <w:szCs w:val="44"/>
        </w:rPr>
        <w:t>项目支出绩效自评报告</w:t>
      </w:r>
    </w:p>
    <w:p w:rsidR="00EC184F" w:rsidRDefault="00EC184F">
      <w:pPr>
        <w:spacing w:line="600" w:lineRule="exact"/>
        <w:ind w:firstLine="640"/>
        <w:jc w:val="center"/>
        <w:rPr>
          <w:sz w:val="32"/>
          <w:szCs w:val="32"/>
          <w:lang w:val="zh-CN"/>
        </w:rPr>
      </w:pPr>
    </w:p>
    <w:p w:rsidR="00EC184F" w:rsidRDefault="00DC6B00">
      <w:pPr>
        <w:spacing w:line="440" w:lineRule="exact"/>
        <w:ind w:firstLineChars="200" w:firstLine="640"/>
        <w:rPr>
          <w:rFonts w:eastAsia="黑体"/>
          <w:sz w:val="32"/>
          <w:szCs w:val="32"/>
        </w:rPr>
      </w:pPr>
      <w:r>
        <w:rPr>
          <w:rFonts w:eastAsia="黑体"/>
          <w:sz w:val="32"/>
          <w:szCs w:val="32"/>
        </w:rPr>
        <w:t>一、项目概况</w:t>
      </w:r>
    </w:p>
    <w:p w:rsidR="00EC184F" w:rsidRDefault="00DC6B00">
      <w:pPr>
        <w:spacing w:line="440" w:lineRule="exact"/>
        <w:ind w:firstLineChars="200" w:firstLine="640"/>
        <w:rPr>
          <w:rFonts w:eastAsia="楷体_GB2312"/>
          <w:sz w:val="32"/>
          <w:szCs w:val="32"/>
        </w:rPr>
      </w:pPr>
      <w:r>
        <w:rPr>
          <w:rFonts w:eastAsia="楷体_GB2312"/>
          <w:sz w:val="32"/>
          <w:szCs w:val="32"/>
        </w:rPr>
        <w:t>（一）项目基本情况。</w:t>
      </w:r>
    </w:p>
    <w:p w:rsidR="00EC184F" w:rsidRDefault="00DC6B00">
      <w:pPr>
        <w:spacing w:line="440" w:lineRule="exact"/>
        <w:ind w:firstLine="645"/>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hint="eastAsia"/>
          <w:color w:val="333333"/>
          <w:spacing w:val="8"/>
          <w:kern w:val="0"/>
          <w:sz w:val="32"/>
          <w:szCs w:val="32"/>
          <w:shd w:val="clear" w:color="auto" w:fill="FFFFFF"/>
        </w:rPr>
        <w:t>习近平总书记在全国科技创新大会、两院院士大会、中国科协第九次全国代表大会上的重要讲话中强调，科技创新、科学普及是实现创新发展的两翼，要把科学普及放在与科技创新同等重要的位置。刘延东副总理在《全民科学素质行动计划》实施工作电视电话会议上的讲话指出，各级党委和政府要把提升全民科学素质工作摆上重要议事日程，在国家和地方国民经济和社会发展规划、相关专项规划以及有关科技教育传播与普及的法律法规中，体现公民科学素质建设的目标和要求，与经济社会发展其他指标同考核、同奖惩，把科普工作由“软任务”变成“硬措施”。根据财政厅、省科协《关于下达2020年四川省科普专项资金预算的通知》（川财教【2020】77号）文件的要求，要切实增加对科普工作、天府科技云的投入，保障科普工作顺利开展。</w:t>
      </w:r>
    </w:p>
    <w:p w:rsidR="00EC184F" w:rsidRDefault="00DC6B00">
      <w:pPr>
        <w:spacing w:line="440" w:lineRule="exact"/>
        <w:ind w:firstLine="645"/>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hint="eastAsia"/>
          <w:color w:val="333333"/>
          <w:spacing w:val="8"/>
          <w:kern w:val="0"/>
          <w:sz w:val="32"/>
          <w:szCs w:val="32"/>
          <w:shd w:val="clear" w:color="auto" w:fill="FFFFFF"/>
        </w:rPr>
        <w:t>1.</w:t>
      </w:r>
      <w:r>
        <w:rPr>
          <w:rFonts w:ascii="仿宋_GB2312" w:eastAsia="仿宋_GB2312" w:hAnsi="微软雅黑" w:cs="宋体"/>
          <w:color w:val="333333"/>
          <w:spacing w:val="8"/>
          <w:kern w:val="0"/>
          <w:sz w:val="32"/>
          <w:szCs w:val="32"/>
          <w:shd w:val="clear" w:color="auto" w:fill="FFFFFF"/>
        </w:rPr>
        <w:t>科普工作是实施科教兴国战略的一项基础性工程，是提高全民科学文化素质的重要任务，是社会主义精神文明建设的重要组成部分。国家高度重视科普宣传工作，出台了《中华人民共和国科学技术普及法》《国家中长期科学技术发展纲要》《全民科学素质行动计划纲要》《中华人民共和国科学技术进步法》（新修订）等，这为科普宣传工作指明了方向，提出了明确要求。盐边县科学技术协会通过该项工作，能使全县人民群众把科学的思想和技术运用到生产生活实际中去，使其对科学的思想、科学的技术方法有新的认识，逐步地向学科学、懂科学、用科学的</w:t>
      </w:r>
      <w:r>
        <w:rPr>
          <w:rFonts w:ascii="仿宋_GB2312" w:eastAsia="仿宋_GB2312" w:hAnsi="微软雅黑" w:cs="宋体"/>
          <w:color w:val="333333"/>
          <w:spacing w:val="8"/>
          <w:kern w:val="0"/>
          <w:sz w:val="32"/>
          <w:szCs w:val="32"/>
          <w:shd w:val="clear" w:color="auto" w:fill="FFFFFF"/>
        </w:rPr>
        <w:lastRenderedPageBreak/>
        <w:t>方向迈进，为推动科技进步、促进现代化进程起到了积极的推动作用。可以让全县人民群众摒弃陋习、树立新风，共建科学文明健康的新生活。</w:t>
      </w:r>
    </w:p>
    <w:p w:rsidR="00EC184F" w:rsidRDefault="00DC6B00">
      <w:pPr>
        <w:spacing w:line="44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该项目</w:t>
      </w:r>
      <w:r>
        <w:rPr>
          <w:rFonts w:eastAsia="仿宋_GB2312"/>
          <w:sz w:val="32"/>
          <w:szCs w:val="32"/>
        </w:rPr>
        <w:t>的立项依据是</w:t>
      </w:r>
      <w:r>
        <w:rPr>
          <w:rFonts w:ascii="仿宋_GB2312" w:eastAsia="仿宋_GB2312" w:hAnsi="微软雅黑" w:cs="宋体" w:hint="eastAsia"/>
          <w:color w:val="333333"/>
          <w:spacing w:val="8"/>
          <w:kern w:val="0"/>
          <w:sz w:val="32"/>
          <w:szCs w:val="32"/>
          <w:shd w:val="clear" w:color="auto" w:fill="FFFFFF"/>
        </w:rPr>
        <w:t>省科协《关于2020年科普专项资金使用管理及项目备案的通知》（川科协发【2020】48号）文件</w:t>
      </w:r>
      <w:r>
        <w:rPr>
          <w:rFonts w:eastAsia="仿宋_GB2312" w:hint="eastAsia"/>
          <w:sz w:val="32"/>
          <w:szCs w:val="32"/>
        </w:rPr>
        <w:t>，</w:t>
      </w:r>
      <w:r>
        <w:rPr>
          <w:rFonts w:eastAsia="仿宋_GB2312"/>
          <w:sz w:val="32"/>
          <w:szCs w:val="32"/>
        </w:rPr>
        <w:t>资金申报的依据是</w:t>
      </w:r>
      <w:r>
        <w:rPr>
          <w:rFonts w:ascii="仿宋_GB2312" w:eastAsia="仿宋_GB2312" w:hAnsi="微软雅黑" w:cs="宋体" w:hint="eastAsia"/>
          <w:color w:val="333333"/>
          <w:spacing w:val="8"/>
          <w:kern w:val="0"/>
          <w:sz w:val="32"/>
          <w:szCs w:val="32"/>
          <w:shd w:val="clear" w:color="auto" w:fill="FFFFFF"/>
        </w:rPr>
        <w:t>财政厅、省科协《关于下达2020年四川省科普专项资金预算的通知》（川财教【2020】77号）文件</w:t>
      </w:r>
      <w:r>
        <w:rPr>
          <w:rFonts w:eastAsia="仿宋_GB2312"/>
          <w:sz w:val="32"/>
          <w:szCs w:val="32"/>
        </w:rPr>
        <w:t>。</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color w:val="333333"/>
          <w:spacing w:val="8"/>
          <w:kern w:val="0"/>
          <w:sz w:val="32"/>
          <w:szCs w:val="32"/>
          <w:shd w:val="clear" w:color="auto" w:fill="FFFFFF"/>
        </w:rPr>
        <w:t>3.</w:t>
      </w:r>
      <w:r>
        <w:rPr>
          <w:rFonts w:ascii="仿宋_GB2312" w:eastAsia="仿宋_GB2312" w:hAnsi="微软雅黑" w:cs="宋体" w:hint="eastAsia"/>
          <w:color w:val="333333"/>
          <w:spacing w:val="8"/>
          <w:kern w:val="0"/>
          <w:sz w:val="32"/>
          <w:szCs w:val="32"/>
          <w:shd w:val="clear" w:color="auto" w:fill="FFFFFF"/>
        </w:rPr>
        <w:t>县科协</w:t>
      </w:r>
      <w:r>
        <w:rPr>
          <w:rFonts w:ascii="仿宋_GB2312" w:eastAsia="仿宋_GB2312" w:hAnsi="微软雅黑" w:cs="宋体"/>
          <w:color w:val="333333"/>
          <w:spacing w:val="8"/>
          <w:kern w:val="0"/>
          <w:sz w:val="32"/>
          <w:szCs w:val="32"/>
          <w:shd w:val="clear" w:color="auto" w:fill="FFFFFF"/>
        </w:rPr>
        <w:t>按照省财政厅、省科协关于印发《四川省科普专项资金管理办法》的通知</w:t>
      </w:r>
      <w:r>
        <w:rPr>
          <w:rFonts w:ascii="仿宋_GB2312" w:eastAsia="仿宋_GB2312" w:hAnsi="微软雅黑" w:cs="宋体" w:hint="eastAsia"/>
          <w:color w:val="333333"/>
          <w:spacing w:val="8"/>
          <w:kern w:val="0"/>
          <w:sz w:val="32"/>
          <w:szCs w:val="32"/>
          <w:shd w:val="clear" w:color="auto" w:fill="FFFFFF"/>
        </w:rPr>
        <w:t>（川财教【2020】83号）文件的要求管理下拨</w:t>
      </w:r>
      <w:r>
        <w:rPr>
          <w:rFonts w:ascii="仿宋_GB2312" w:eastAsia="仿宋_GB2312" w:hAnsi="微软雅黑" w:cs="宋体"/>
          <w:color w:val="333333"/>
          <w:spacing w:val="8"/>
          <w:kern w:val="0"/>
          <w:sz w:val="32"/>
          <w:szCs w:val="32"/>
          <w:shd w:val="clear" w:color="auto" w:fill="FFFFFF"/>
        </w:rPr>
        <w:t>的科普资金，严格按照</w:t>
      </w:r>
      <w:r>
        <w:rPr>
          <w:rFonts w:ascii="仿宋_GB2312" w:eastAsia="仿宋_GB2312" w:hAnsi="微软雅黑" w:cs="宋体" w:hint="eastAsia"/>
          <w:color w:val="333333"/>
          <w:spacing w:val="8"/>
          <w:kern w:val="0"/>
          <w:sz w:val="32"/>
          <w:szCs w:val="32"/>
          <w:shd w:val="clear" w:color="auto" w:fill="FFFFFF"/>
        </w:rPr>
        <w:t>省科协《关于2020年科普专项资金使用管理及项目备案的通知》（川科协发【2020】48号）文件的要求，支持科协的科普工作、天府科技云服务工作、科学馆的展教活动以及番茄园标准化示范园建设等，上报备案书备市科协审查，均采取补助的方式给予支持。</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color w:val="333333"/>
          <w:spacing w:val="8"/>
          <w:kern w:val="0"/>
          <w:sz w:val="32"/>
          <w:szCs w:val="32"/>
          <w:shd w:val="clear" w:color="auto" w:fill="FFFFFF"/>
        </w:rPr>
        <w:t>4.资金的分配是通过项目具体负责人上报备案书，经县委分管领导及相关部门共同研究，根据项目的合理性、</w:t>
      </w:r>
      <w:r>
        <w:rPr>
          <w:rFonts w:ascii="仿宋_GB2312" w:eastAsia="仿宋_GB2312" w:hAnsi="微软雅黑" w:cs="宋体" w:hint="eastAsia"/>
          <w:color w:val="333333"/>
          <w:spacing w:val="8"/>
          <w:kern w:val="0"/>
          <w:sz w:val="32"/>
          <w:szCs w:val="32"/>
          <w:shd w:val="clear" w:color="auto" w:fill="FFFFFF"/>
        </w:rPr>
        <w:t>绩效目标及预期成果、实施条件、科学性等因素进行资金分配。</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color w:val="333333"/>
          <w:spacing w:val="8"/>
          <w:kern w:val="0"/>
          <w:sz w:val="32"/>
          <w:szCs w:val="32"/>
          <w:shd w:val="clear" w:color="auto" w:fill="FFFFFF"/>
        </w:rPr>
        <w:t>（二）项目绩效目标。</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color w:val="333333"/>
          <w:spacing w:val="8"/>
          <w:kern w:val="0"/>
          <w:sz w:val="32"/>
          <w:szCs w:val="32"/>
          <w:shd w:val="clear" w:color="auto" w:fill="FFFFFF"/>
        </w:rPr>
        <w:t>1.</w:t>
      </w:r>
      <w:r>
        <w:rPr>
          <w:rFonts w:ascii="仿宋_GB2312" w:eastAsia="仿宋_GB2312" w:hAnsi="微软雅黑" w:cs="宋体" w:hint="eastAsia"/>
          <w:color w:val="333333"/>
          <w:spacing w:val="8"/>
          <w:kern w:val="0"/>
          <w:sz w:val="32"/>
          <w:szCs w:val="32"/>
          <w:shd w:val="clear" w:color="auto" w:fill="FFFFFF"/>
        </w:rPr>
        <w:t>川财教[2020]77号下达科普专项资金项目的主要内容包括科普工作、天府科技云服务工作、科学馆的展教活动以及番茄园标准化示范园建设等，共计</w:t>
      </w:r>
      <w:r>
        <w:rPr>
          <w:rFonts w:ascii="仿宋_GB2312" w:eastAsia="仿宋_GB2312" w:hAnsi="微软雅黑" w:cs="宋体"/>
          <w:color w:val="333333"/>
          <w:spacing w:val="8"/>
          <w:kern w:val="0"/>
          <w:sz w:val="32"/>
          <w:szCs w:val="32"/>
          <w:shd w:val="clear" w:color="auto" w:fill="FFFFFF"/>
        </w:rPr>
        <w:t>141,084.64元。</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color w:val="333333"/>
          <w:spacing w:val="8"/>
          <w:kern w:val="0"/>
          <w:sz w:val="32"/>
          <w:szCs w:val="32"/>
          <w:shd w:val="clear" w:color="auto" w:fill="FFFFFF"/>
        </w:rPr>
        <w:t>2.通过项目的实施，</w:t>
      </w:r>
      <w:r>
        <w:rPr>
          <w:rFonts w:ascii="仿宋_GB2312" w:eastAsia="仿宋_GB2312" w:hAnsi="微软雅黑" w:cs="宋体" w:hint="eastAsia"/>
          <w:color w:val="333333"/>
          <w:spacing w:val="8"/>
          <w:kern w:val="0"/>
          <w:sz w:val="32"/>
          <w:szCs w:val="32"/>
          <w:shd w:val="clear" w:color="auto" w:fill="FFFFFF"/>
        </w:rPr>
        <w:t>我县科协部门服务广大科技工作者、企事业单位或人民群众来访洽谈接待服务的重要平台，做到精准服务科技工作者，精准服务企事业单位，精准服务全民科学素质提升，科普宣传推广的重要“窗口“服务平台，帮助广大科技工作者释放创新能力，为辖区内广大科技工作者正确发布科技成果，提供科技服务，转化科</w:t>
      </w:r>
      <w:r>
        <w:rPr>
          <w:rFonts w:ascii="仿宋_GB2312" w:eastAsia="仿宋_GB2312" w:hAnsi="微软雅黑" w:cs="宋体" w:hint="eastAsia"/>
          <w:color w:val="333333"/>
          <w:spacing w:val="8"/>
          <w:kern w:val="0"/>
          <w:sz w:val="32"/>
          <w:szCs w:val="32"/>
          <w:shd w:val="clear" w:color="auto" w:fill="FFFFFF"/>
        </w:rPr>
        <w:lastRenderedPageBreak/>
        <w:t>研成果，承接科研项目，共享科普资源提供便捷服务和指导帮助。</w:t>
      </w:r>
      <w:r>
        <w:rPr>
          <w:rFonts w:ascii="仿宋_GB2312" w:eastAsia="仿宋_GB2312" w:hAnsi="微软雅黑" w:cs="宋体"/>
          <w:color w:val="333333"/>
          <w:spacing w:val="8"/>
          <w:kern w:val="0"/>
          <w:sz w:val="32"/>
          <w:szCs w:val="32"/>
          <w:shd w:val="clear" w:color="auto" w:fill="FFFFFF"/>
        </w:rPr>
        <w:t>通过项目的实施，</w:t>
      </w:r>
      <w:r>
        <w:rPr>
          <w:rFonts w:ascii="仿宋_GB2312" w:eastAsia="仿宋_GB2312" w:hAnsi="微软雅黑" w:cs="宋体" w:hint="eastAsia"/>
          <w:color w:val="333333"/>
          <w:spacing w:val="8"/>
          <w:kern w:val="0"/>
          <w:sz w:val="32"/>
          <w:szCs w:val="32"/>
          <w:shd w:val="clear" w:color="auto" w:fill="FFFFFF"/>
        </w:rPr>
        <w:t>增强青少年的创新衣是，提高青少年的创新能力，提高我县公众的科学文化素质。</w:t>
      </w:r>
      <w:r>
        <w:rPr>
          <w:rFonts w:ascii="仿宋_GB2312" w:eastAsia="仿宋_GB2312" w:hAnsi="微软雅黑" w:cs="宋体"/>
          <w:color w:val="333333"/>
          <w:spacing w:val="8"/>
          <w:kern w:val="0"/>
          <w:sz w:val="32"/>
          <w:szCs w:val="32"/>
          <w:shd w:val="clear" w:color="auto" w:fill="FFFFFF"/>
        </w:rPr>
        <w:t>通过项目的实施，</w:t>
      </w:r>
      <w:r>
        <w:rPr>
          <w:rFonts w:ascii="仿宋_GB2312" w:eastAsia="仿宋_GB2312" w:hAnsi="微软雅黑" w:cs="宋体" w:hint="eastAsia"/>
          <w:color w:val="333333"/>
          <w:spacing w:val="8"/>
          <w:kern w:val="0"/>
          <w:sz w:val="32"/>
          <w:szCs w:val="32"/>
          <w:shd w:val="clear" w:color="auto" w:fill="FFFFFF"/>
        </w:rPr>
        <w:t>进一步提升全县人民科学素质，让人民</w:t>
      </w:r>
      <w:r>
        <w:rPr>
          <w:rFonts w:ascii="仿宋_GB2312" w:eastAsia="仿宋_GB2312" w:hAnsi="微软雅黑" w:cs="宋体"/>
          <w:color w:val="333333"/>
          <w:spacing w:val="8"/>
          <w:kern w:val="0"/>
          <w:sz w:val="32"/>
          <w:szCs w:val="32"/>
          <w:shd w:val="clear" w:color="auto" w:fill="FFFFFF"/>
        </w:rPr>
        <w:t>群众把科学的思想和技术运用到生产生活实际中去，使其对科学的思想、科学的技术方法有新的认识，逐步地向学科学、</w:t>
      </w:r>
      <w:r>
        <w:rPr>
          <w:rFonts w:ascii="仿宋_GB2312" w:eastAsia="仿宋_GB2312" w:hAnsi="微软雅黑" w:cs="宋体" w:hint="eastAsia"/>
          <w:color w:val="333333"/>
          <w:spacing w:val="8"/>
          <w:kern w:val="0"/>
          <w:sz w:val="32"/>
          <w:szCs w:val="32"/>
          <w:shd w:val="clear" w:color="auto" w:fill="FFFFFF"/>
        </w:rPr>
        <w:t>爱</w:t>
      </w:r>
      <w:r>
        <w:rPr>
          <w:rFonts w:ascii="仿宋_GB2312" w:eastAsia="仿宋_GB2312" w:hAnsi="微软雅黑" w:cs="宋体"/>
          <w:color w:val="333333"/>
          <w:spacing w:val="8"/>
          <w:kern w:val="0"/>
          <w:sz w:val="32"/>
          <w:szCs w:val="32"/>
          <w:shd w:val="clear" w:color="auto" w:fill="FFFFFF"/>
        </w:rPr>
        <w:t>科学、用科学的方向迈进，让</w:t>
      </w:r>
      <w:r>
        <w:rPr>
          <w:rFonts w:ascii="仿宋_GB2312" w:eastAsia="仿宋_GB2312" w:hAnsi="微软雅黑" w:cs="宋体" w:hint="eastAsia"/>
          <w:color w:val="333333"/>
          <w:spacing w:val="8"/>
          <w:kern w:val="0"/>
          <w:sz w:val="32"/>
          <w:szCs w:val="32"/>
          <w:shd w:val="clear" w:color="auto" w:fill="FFFFFF"/>
        </w:rPr>
        <w:t>全县</w:t>
      </w:r>
      <w:r>
        <w:rPr>
          <w:rFonts w:ascii="仿宋_GB2312" w:eastAsia="仿宋_GB2312" w:hAnsi="微软雅黑" w:cs="宋体"/>
          <w:color w:val="333333"/>
          <w:spacing w:val="8"/>
          <w:kern w:val="0"/>
          <w:sz w:val="32"/>
          <w:szCs w:val="32"/>
          <w:shd w:val="clear" w:color="auto" w:fill="FFFFFF"/>
        </w:rPr>
        <w:t>人民摒弃陋习、树立新风，共建科学文明健康的新生活</w:t>
      </w:r>
      <w:r>
        <w:rPr>
          <w:rFonts w:ascii="仿宋_GB2312" w:eastAsia="仿宋_GB2312" w:hAnsi="微软雅黑" w:cs="宋体" w:hint="eastAsia"/>
          <w:color w:val="333333"/>
          <w:spacing w:val="8"/>
          <w:kern w:val="0"/>
          <w:sz w:val="32"/>
          <w:szCs w:val="32"/>
          <w:shd w:val="clear" w:color="auto" w:fill="FFFFFF"/>
        </w:rPr>
        <w:t>。</w:t>
      </w:r>
      <w:r>
        <w:rPr>
          <w:rFonts w:ascii="仿宋_GB2312" w:eastAsia="仿宋_GB2312" w:hAnsi="微软雅黑" w:cs="宋体"/>
          <w:color w:val="333333"/>
          <w:spacing w:val="8"/>
          <w:kern w:val="0"/>
          <w:sz w:val="32"/>
          <w:szCs w:val="32"/>
          <w:shd w:val="clear" w:color="auto" w:fill="FFFFFF"/>
        </w:rPr>
        <w:t>通过项目的实施，</w:t>
      </w:r>
      <w:r>
        <w:rPr>
          <w:rFonts w:ascii="仿宋_GB2312" w:eastAsia="仿宋_GB2312" w:hAnsi="微软雅黑" w:cs="宋体" w:hint="eastAsia"/>
          <w:color w:val="333333"/>
          <w:spacing w:val="8"/>
          <w:kern w:val="0"/>
          <w:sz w:val="32"/>
          <w:szCs w:val="32"/>
          <w:shd w:val="clear" w:color="auto" w:fill="FFFFFF"/>
        </w:rPr>
        <w:t>进一步增加农民的收入。川财教[2020]77号下达科普专项资金项目均在2021年年底前按备案书进度完成</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color w:val="333333"/>
          <w:spacing w:val="8"/>
          <w:kern w:val="0"/>
          <w:sz w:val="32"/>
          <w:szCs w:val="32"/>
          <w:shd w:val="clear" w:color="auto" w:fill="FFFFFF"/>
        </w:rPr>
        <w:t>3.经现场查看验收，项目申报内容与实际相符，申报目标合理</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color w:val="333333"/>
          <w:spacing w:val="8"/>
          <w:kern w:val="0"/>
          <w:sz w:val="32"/>
          <w:szCs w:val="32"/>
          <w:shd w:val="clear" w:color="auto" w:fill="FFFFFF"/>
        </w:rPr>
        <w:t>（三）项目自评步骤及方法。</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hint="eastAsia"/>
          <w:color w:val="333333"/>
          <w:spacing w:val="8"/>
          <w:kern w:val="0"/>
          <w:sz w:val="32"/>
          <w:szCs w:val="32"/>
          <w:shd w:val="clear" w:color="auto" w:fill="FFFFFF"/>
        </w:rPr>
        <w:t>1.前期准备</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hint="eastAsia"/>
          <w:color w:val="333333"/>
          <w:spacing w:val="8"/>
          <w:kern w:val="0"/>
          <w:sz w:val="32"/>
          <w:szCs w:val="32"/>
          <w:shd w:val="clear" w:color="auto" w:fill="FFFFFF"/>
        </w:rPr>
        <w:t>县科协认真开展自评工作,收集相关项目资料。明确绩效自评的目标及内容。</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hint="eastAsia"/>
          <w:color w:val="333333"/>
          <w:spacing w:val="8"/>
          <w:kern w:val="0"/>
          <w:sz w:val="32"/>
          <w:szCs w:val="32"/>
          <w:shd w:val="clear" w:color="auto" w:fill="FFFFFF"/>
        </w:rPr>
        <w:t>2.组织过程</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hint="eastAsia"/>
          <w:color w:val="333333"/>
          <w:spacing w:val="8"/>
          <w:kern w:val="0"/>
          <w:sz w:val="32"/>
          <w:szCs w:val="32"/>
          <w:shd w:val="clear" w:color="auto" w:fill="FFFFFF"/>
        </w:rPr>
        <w:t>县科协对材料进行了认真核查，对项目资金拨付、管理、使用情况进行了综合汇总分析，形成自评报告报领导审核。</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hint="eastAsia"/>
          <w:color w:val="333333"/>
          <w:spacing w:val="8"/>
          <w:kern w:val="0"/>
          <w:sz w:val="32"/>
          <w:szCs w:val="32"/>
          <w:shd w:val="clear" w:color="auto" w:fill="FFFFFF"/>
        </w:rPr>
        <w:t>3.分析评价</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hint="eastAsia"/>
          <w:color w:val="333333"/>
          <w:spacing w:val="8"/>
          <w:kern w:val="0"/>
          <w:sz w:val="32"/>
          <w:szCs w:val="32"/>
          <w:shd w:val="clear" w:color="auto" w:fill="FFFFFF"/>
        </w:rPr>
        <w:t>该项目资金严格按照相关资金管理办法使用，及时拨付，所有绩效申报目标均达成。</w:t>
      </w:r>
    </w:p>
    <w:p w:rsidR="00EC184F" w:rsidRDefault="00DC6B00">
      <w:pPr>
        <w:spacing w:line="440" w:lineRule="exact"/>
        <w:ind w:firstLineChars="200" w:firstLine="640"/>
        <w:rPr>
          <w:rFonts w:eastAsia="黑体"/>
          <w:sz w:val="32"/>
          <w:szCs w:val="32"/>
        </w:rPr>
      </w:pPr>
      <w:r>
        <w:rPr>
          <w:rFonts w:eastAsia="黑体"/>
          <w:sz w:val="32"/>
          <w:szCs w:val="32"/>
        </w:rPr>
        <w:t>二、项目资金申报及使用情况</w:t>
      </w:r>
    </w:p>
    <w:p w:rsidR="00EC184F" w:rsidRDefault="00DC6B00">
      <w:pPr>
        <w:spacing w:line="440" w:lineRule="exact"/>
        <w:ind w:firstLineChars="200" w:firstLine="640"/>
        <w:rPr>
          <w:rFonts w:eastAsia="楷体_GB2312"/>
          <w:sz w:val="32"/>
          <w:szCs w:val="32"/>
        </w:rPr>
      </w:pPr>
      <w:r>
        <w:rPr>
          <w:rFonts w:eastAsia="楷体_GB2312"/>
          <w:sz w:val="32"/>
          <w:szCs w:val="32"/>
        </w:rPr>
        <w:t>（一）项目资金申报及批复情况。</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hint="eastAsia"/>
          <w:color w:val="333333"/>
          <w:spacing w:val="8"/>
          <w:kern w:val="0"/>
          <w:sz w:val="32"/>
          <w:szCs w:val="32"/>
          <w:shd w:val="clear" w:color="auto" w:fill="FFFFFF"/>
        </w:rPr>
        <w:t>省财政厅、省科协关于印发《四川省科普专项资金管理办法》的通知（川财教【2020】83号）文件的要求管理下拨的科普资金，严格按照省科协《关于2020年科普专项资金使用管理及项目备案的通知》（川科协发【2020】48号）文件的要求，以及</w:t>
      </w:r>
      <w:r>
        <w:rPr>
          <w:rFonts w:ascii="仿宋_GB2312" w:eastAsia="仿宋_GB2312" w:hAnsi="微软雅黑" w:cs="宋体"/>
          <w:color w:val="333333"/>
          <w:spacing w:val="8"/>
          <w:kern w:val="0"/>
          <w:sz w:val="32"/>
          <w:szCs w:val="32"/>
          <w:shd w:val="clear" w:color="auto" w:fill="FFFFFF"/>
        </w:rPr>
        <w:t>县委分管领导及相关部门共同研究，根据项目的合理性、</w:t>
      </w:r>
      <w:r>
        <w:rPr>
          <w:rFonts w:ascii="仿宋_GB2312" w:eastAsia="仿宋_GB2312" w:hAnsi="微软雅黑" w:cs="宋体" w:hint="eastAsia"/>
          <w:color w:val="333333"/>
          <w:spacing w:val="8"/>
          <w:kern w:val="0"/>
          <w:sz w:val="32"/>
          <w:szCs w:val="32"/>
          <w:shd w:val="clear" w:color="auto" w:fill="FFFFFF"/>
        </w:rPr>
        <w:t>绩效目标及预期成果、实施条</w:t>
      </w:r>
      <w:r>
        <w:rPr>
          <w:rFonts w:ascii="仿宋_GB2312" w:eastAsia="仿宋_GB2312" w:hAnsi="微软雅黑" w:cs="宋体" w:hint="eastAsia"/>
          <w:color w:val="333333"/>
          <w:spacing w:val="8"/>
          <w:kern w:val="0"/>
          <w:sz w:val="32"/>
          <w:szCs w:val="32"/>
          <w:shd w:val="clear" w:color="auto" w:fill="FFFFFF"/>
        </w:rPr>
        <w:lastRenderedPageBreak/>
        <w:t>件、科学性等因素进行资金分配并进行申报备案。</w:t>
      </w:r>
    </w:p>
    <w:p w:rsidR="00EC184F" w:rsidRDefault="00DC6B00">
      <w:pPr>
        <w:spacing w:line="440" w:lineRule="exact"/>
        <w:ind w:firstLineChars="200" w:firstLine="640"/>
        <w:rPr>
          <w:rFonts w:eastAsia="楷体_GB2312"/>
          <w:sz w:val="32"/>
          <w:szCs w:val="32"/>
        </w:rPr>
      </w:pPr>
      <w:r>
        <w:rPr>
          <w:rFonts w:eastAsia="楷体_GB2312"/>
          <w:sz w:val="32"/>
          <w:szCs w:val="32"/>
        </w:rPr>
        <w:t>（二）资金计划、到位及使用情况。</w:t>
      </w:r>
    </w:p>
    <w:p w:rsidR="00EC184F" w:rsidRDefault="00DC6B00">
      <w:pPr>
        <w:spacing w:line="440" w:lineRule="exact"/>
        <w:ind w:firstLineChars="200" w:firstLine="643"/>
        <w:rPr>
          <w:rFonts w:ascii="仿宋_GB2312" w:eastAsia="仿宋_GB2312" w:hAnsi="微软雅黑" w:cs="宋体"/>
          <w:color w:val="333333"/>
          <w:spacing w:val="8"/>
          <w:kern w:val="0"/>
          <w:sz w:val="32"/>
          <w:szCs w:val="32"/>
          <w:shd w:val="clear" w:color="auto" w:fill="FFFFFF"/>
        </w:rPr>
      </w:pPr>
      <w:r>
        <w:rPr>
          <w:rFonts w:eastAsia="仿宋_GB2312"/>
          <w:b/>
          <w:sz w:val="32"/>
          <w:szCs w:val="32"/>
        </w:rPr>
        <w:t>1.</w:t>
      </w:r>
      <w:r>
        <w:rPr>
          <w:rFonts w:eastAsia="仿宋_GB2312"/>
          <w:b/>
          <w:sz w:val="32"/>
          <w:szCs w:val="32"/>
        </w:rPr>
        <w:t>资金计划。</w:t>
      </w:r>
      <w:r>
        <w:rPr>
          <w:rFonts w:ascii="仿宋_GB2312" w:eastAsia="仿宋_GB2312" w:hAnsi="微软雅黑" w:cs="宋体" w:hint="eastAsia"/>
          <w:color w:val="333333"/>
          <w:spacing w:val="8"/>
          <w:kern w:val="0"/>
          <w:sz w:val="32"/>
          <w:szCs w:val="32"/>
          <w:shd w:val="clear" w:color="auto" w:fill="FFFFFF"/>
        </w:rPr>
        <w:t>该项目</w:t>
      </w:r>
      <w:r>
        <w:rPr>
          <w:rFonts w:ascii="仿宋_GB2312" w:eastAsia="仿宋_GB2312" w:hAnsi="微软雅黑" w:cs="宋体"/>
          <w:color w:val="333333"/>
          <w:spacing w:val="8"/>
          <w:kern w:val="0"/>
          <w:sz w:val="32"/>
          <w:szCs w:val="32"/>
          <w:shd w:val="clear" w:color="auto" w:fill="FFFFFF"/>
        </w:rPr>
        <w:t>是省级科普专项资金141,084.64元。</w:t>
      </w:r>
    </w:p>
    <w:p w:rsidR="00EC184F" w:rsidRDefault="00DC6B00">
      <w:pPr>
        <w:spacing w:line="440" w:lineRule="exact"/>
        <w:ind w:firstLineChars="200" w:firstLine="643"/>
        <w:rPr>
          <w:rFonts w:ascii="仿宋_GB2312" w:eastAsia="仿宋_GB2312" w:hAnsi="微软雅黑" w:cs="宋体"/>
          <w:color w:val="333333"/>
          <w:spacing w:val="8"/>
          <w:kern w:val="0"/>
          <w:sz w:val="32"/>
          <w:szCs w:val="32"/>
          <w:shd w:val="clear" w:color="auto" w:fill="FFFFFF"/>
        </w:rPr>
      </w:pPr>
      <w:r>
        <w:rPr>
          <w:rFonts w:eastAsia="仿宋_GB2312"/>
          <w:b/>
          <w:sz w:val="32"/>
          <w:szCs w:val="32"/>
        </w:rPr>
        <w:t>2.</w:t>
      </w:r>
      <w:r>
        <w:rPr>
          <w:rFonts w:eastAsia="仿宋_GB2312"/>
          <w:b/>
          <w:sz w:val="32"/>
          <w:szCs w:val="32"/>
        </w:rPr>
        <w:t>资金到位。</w:t>
      </w:r>
      <w:r>
        <w:rPr>
          <w:rFonts w:ascii="仿宋_GB2312" w:eastAsia="仿宋_GB2312" w:hAnsi="微软雅黑" w:cs="宋体" w:hint="eastAsia"/>
          <w:color w:val="333333"/>
          <w:spacing w:val="8"/>
          <w:kern w:val="0"/>
          <w:sz w:val="32"/>
          <w:szCs w:val="32"/>
          <w:shd w:val="clear" w:color="auto" w:fill="FFFFFF"/>
        </w:rPr>
        <w:t>2020年7月省级科普专项资金全部到位。</w:t>
      </w:r>
    </w:p>
    <w:p w:rsidR="00EC184F" w:rsidRDefault="00DC6B00">
      <w:pPr>
        <w:spacing w:line="440" w:lineRule="exact"/>
        <w:ind w:firstLineChars="200" w:firstLine="643"/>
        <w:rPr>
          <w:rFonts w:ascii="仿宋_GB2312" w:eastAsia="仿宋_GB2312" w:hAnsi="微软雅黑" w:cs="宋体"/>
          <w:color w:val="333333"/>
          <w:spacing w:val="8"/>
          <w:kern w:val="0"/>
          <w:sz w:val="32"/>
          <w:szCs w:val="32"/>
          <w:shd w:val="clear" w:color="auto" w:fill="FFFFFF"/>
        </w:rPr>
      </w:pPr>
      <w:r>
        <w:rPr>
          <w:rFonts w:eastAsia="仿宋_GB2312"/>
          <w:b/>
          <w:sz w:val="32"/>
          <w:szCs w:val="32"/>
        </w:rPr>
        <w:t>3.</w:t>
      </w:r>
      <w:r>
        <w:rPr>
          <w:rFonts w:eastAsia="仿宋_GB2312"/>
          <w:b/>
          <w:sz w:val="32"/>
          <w:szCs w:val="32"/>
        </w:rPr>
        <w:t>资金使用。</w:t>
      </w:r>
      <w:r>
        <w:rPr>
          <w:rFonts w:ascii="仿宋_GB2312" w:eastAsia="仿宋_GB2312" w:hAnsi="微软雅黑" w:cs="宋体" w:hint="eastAsia"/>
          <w:color w:val="333333"/>
          <w:spacing w:val="8"/>
          <w:kern w:val="0"/>
          <w:sz w:val="32"/>
          <w:szCs w:val="32"/>
          <w:shd w:val="clear" w:color="auto" w:fill="FFFFFF"/>
        </w:rPr>
        <w:t>2021年12月，该项目资金支出141,084.64元，资金支付范围、支付标准、支付进度、支付依据等都是合规合法、与预算相符，目前尚未发现的相关问题。</w:t>
      </w:r>
    </w:p>
    <w:p w:rsidR="00EC184F" w:rsidRDefault="00DC6B00">
      <w:pPr>
        <w:spacing w:line="440" w:lineRule="exact"/>
        <w:ind w:firstLineChars="200" w:firstLine="640"/>
        <w:rPr>
          <w:rFonts w:eastAsia="楷体_GB2312"/>
          <w:sz w:val="32"/>
          <w:szCs w:val="32"/>
        </w:rPr>
      </w:pPr>
      <w:r>
        <w:rPr>
          <w:rFonts w:eastAsia="楷体_GB2312"/>
          <w:sz w:val="32"/>
          <w:szCs w:val="32"/>
        </w:rPr>
        <w:t>（三）项目财务管理情况。</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hint="eastAsia"/>
          <w:color w:val="333333"/>
          <w:spacing w:val="8"/>
          <w:kern w:val="0"/>
          <w:sz w:val="32"/>
          <w:szCs w:val="32"/>
          <w:shd w:val="clear" w:color="auto" w:fill="FFFFFF"/>
        </w:rPr>
        <w:t>该项目的财务管理制度健全，并严格执行财务管理制度，账务处理及时，会计核算规范。</w:t>
      </w:r>
    </w:p>
    <w:p w:rsidR="00EC184F" w:rsidRDefault="00DC6B00">
      <w:pPr>
        <w:spacing w:line="440" w:lineRule="exact"/>
        <w:ind w:firstLineChars="200" w:firstLine="640"/>
        <w:rPr>
          <w:rFonts w:eastAsia="黑体"/>
          <w:sz w:val="32"/>
          <w:szCs w:val="32"/>
        </w:rPr>
      </w:pPr>
      <w:r>
        <w:rPr>
          <w:rFonts w:eastAsia="黑体"/>
          <w:sz w:val="32"/>
          <w:szCs w:val="32"/>
        </w:rPr>
        <w:t>三、项目实施及管理情况</w:t>
      </w:r>
    </w:p>
    <w:p w:rsidR="00EC184F" w:rsidRDefault="00DC6B00">
      <w:pPr>
        <w:spacing w:line="440" w:lineRule="exact"/>
        <w:ind w:firstLineChars="200" w:firstLine="640"/>
        <w:rPr>
          <w:rFonts w:eastAsia="楷体_GB2312"/>
          <w:sz w:val="32"/>
          <w:szCs w:val="32"/>
        </w:rPr>
      </w:pPr>
      <w:r>
        <w:rPr>
          <w:rFonts w:eastAsia="楷体_GB2312"/>
          <w:sz w:val="32"/>
          <w:szCs w:val="32"/>
        </w:rPr>
        <w:t>（一）该项目组织架构健全</w:t>
      </w:r>
      <w:r>
        <w:rPr>
          <w:rFonts w:eastAsia="楷体_GB2312" w:hint="eastAsia"/>
          <w:sz w:val="32"/>
          <w:szCs w:val="32"/>
        </w:rPr>
        <w:t>，</w:t>
      </w:r>
      <w:r>
        <w:rPr>
          <w:rFonts w:eastAsia="楷体_GB2312"/>
          <w:sz w:val="32"/>
          <w:szCs w:val="32"/>
        </w:rPr>
        <w:t>实施流程合法合规。</w:t>
      </w:r>
    </w:p>
    <w:p w:rsidR="00EC184F" w:rsidRDefault="00DC6B00">
      <w:pPr>
        <w:spacing w:line="440" w:lineRule="exact"/>
        <w:ind w:firstLineChars="200" w:firstLine="640"/>
        <w:rPr>
          <w:rFonts w:eastAsia="楷体_GB2312"/>
          <w:sz w:val="32"/>
          <w:szCs w:val="32"/>
        </w:rPr>
      </w:pPr>
      <w:r>
        <w:rPr>
          <w:rFonts w:eastAsia="楷体_GB2312"/>
          <w:sz w:val="32"/>
          <w:szCs w:val="32"/>
        </w:rPr>
        <w:t>（二）项目管理情况。</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hint="eastAsia"/>
          <w:color w:val="333333"/>
          <w:spacing w:val="8"/>
          <w:kern w:val="0"/>
          <w:sz w:val="32"/>
          <w:szCs w:val="32"/>
          <w:shd w:val="clear" w:color="auto" w:fill="FFFFFF"/>
        </w:rPr>
        <w:t>该</w:t>
      </w:r>
      <w:r>
        <w:rPr>
          <w:rFonts w:ascii="仿宋_GB2312" w:eastAsia="仿宋_GB2312" w:hAnsi="微软雅黑" w:cs="宋体"/>
          <w:color w:val="333333"/>
          <w:spacing w:val="8"/>
          <w:kern w:val="0"/>
          <w:sz w:val="32"/>
          <w:szCs w:val="32"/>
          <w:shd w:val="clear" w:color="auto" w:fill="FFFFFF"/>
        </w:rPr>
        <w:t>项目</w:t>
      </w:r>
      <w:r>
        <w:rPr>
          <w:rFonts w:ascii="仿宋_GB2312" w:eastAsia="仿宋_GB2312" w:hAnsi="微软雅黑" w:cs="宋体" w:hint="eastAsia"/>
          <w:color w:val="333333"/>
          <w:spacing w:val="8"/>
          <w:kern w:val="0"/>
          <w:sz w:val="32"/>
          <w:szCs w:val="32"/>
          <w:shd w:val="clear" w:color="auto" w:fill="FFFFFF"/>
        </w:rPr>
        <w:t>盐边县科学技术协会严格</w:t>
      </w:r>
      <w:r>
        <w:rPr>
          <w:rFonts w:ascii="仿宋_GB2312" w:eastAsia="仿宋_GB2312" w:hAnsi="微软雅黑" w:cs="宋体"/>
          <w:color w:val="333333"/>
          <w:spacing w:val="8"/>
          <w:kern w:val="0"/>
          <w:sz w:val="32"/>
          <w:szCs w:val="32"/>
          <w:shd w:val="clear" w:color="auto" w:fill="FFFFFF"/>
        </w:rPr>
        <w:t>执行相关法律法规及项目管理制度等，</w:t>
      </w:r>
      <w:r>
        <w:rPr>
          <w:rFonts w:ascii="仿宋_GB2312" w:eastAsia="仿宋_GB2312" w:hAnsi="微软雅黑" w:cs="宋体" w:hint="eastAsia"/>
          <w:color w:val="333333"/>
          <w:spacing w:val="8"/>
          <w:kern w:val="0"/>
          <w:sz w:val="32"/>
          <w:szCs w:val="32"/>
          <w:shd w:val="clear" w:color="auto" w:fill="FFFFFF"/>
        </w:rPr>
        <w:t>严格按照相关制度</w:t>
      </w:r>
      <w:r>
        <w:rPr>
          <w:rFonts w:ascii="仿宋_GB2312" w:eastAsia="仿宋_GB2312" w:hAnsi="微软雅黑" w:cs="宋体"/>
          <w:color w:val="333333"/>
          <w:spacing w:val="8"/>
          <w:kern w:val="0"/>
          <w:sz w:val="32"/>
          <w:szCs w:val="32"/>
          <w:shd w:val="clear" w:color="auto" w:fill="FFFFFF"/>
        </w:rPr>
        <w:t>、规定等实施该项目。</w:t>
      </w:r>
    </w:p>
    <w:p w:rsidR="00EC184F" w:rsidRDefault="00DC6B00">
      <w:pPr>
        <w:spacing w:line="440" w:lineRule="exact"/>
        <w:ind w:firstLineChars="200" w:firstLine="640"/>
        <w:rPr>
          <w:rFonts w:eastAsia="楷体_GB2312"/>
          <w:sz w:val="32"/>
          <w:szCs w:val="32"/>
        </w:rPr>
      </w:pPr>
      <w:r>
        <w:rPr>
          <w:rFonts w:eastAsia="楷体_GB2312"/>
          <w:sz w:val="32"/>
          <w:szCs w:val="32"/>
        </w:rPr>
        <w:t>（三）项目监管情况。</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hint="eastAsia"/>
          <w:color w:val="333333"/>
          <w:spacing w:val="8"/>
          <w:kern w:val="0"/>
          <w:sz w:val="32"/>
          <w:szCs w:val="32"/>
          <w:shd w:val="clear" w:color="auto" w:fill="FFFFFF"/>
        </w:rPr>
        <w:t>为加强项目的监管，盐边县科协主要领导亲自督办该项目，亲自到场指挥，亲自监督。</w:t>
      </w:r>
    </w:p>
    <w:p w:rsidR="00EC184F" w:rsidRDefault="00DC6B00">
      <w:pPr>
        <w:spacing w:line="440" w:lineRule="exact"/>
        <w:ind w:firstLineChars="200" w:firstLine="640"/>
        <w:rPr>
          <w:rFonts w:eastAsia="楷体_GB2312"/>
          <w:sz w:val="32"/>
          <w:szCs w:val="32"/>
        </w:rPr>
      </w:pPr>
      <w:r>
        <w:rPr>
          <w:rFonts w:eastAsia="黑体"/>
          <w:sz w:val="32"/>
          <w:szCs w:val="32"/>
        </w:rPr>
        <w:t>四、项目绩效情况</w:t>
      </w:r>
      <w:r>
        <w:rPr>
          <w:rFonts w:eastAsia="黑体"/>
          <w:sz w:val="32"/>
          <w:szCs w:val="32"/>
        </w:rPr>
        <w:tab/>
      </w:r>
    </w:p>
    <w:p w:rsidR="00EC184F" w:rsidRDefault="00DC6B00">
      <w:pPr>
        <w:spacing w:line="440" w:lineRule="exact"/>
        <w:ind w:firstLineChars="200" w:firstLine="640"/>
        <w:rPr>
          <w:rFonts w:eastAsia="楷体_GB2312"/>
          <w:sz w:val="32"/>
          <w:szCs w:val="32"/>
        </w:rPr>
      </w:pPr>
      <w:r>
        <w:rPr>
          <w:rFonts w:eastAsia="楷体_GB2312"/>
          <w:sz w:val="32"/>
          <w:szCs w:val="32"/>
        </w:rPr>
        <w:t>（一）项目完成情况。</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hint="eastAsia"/>
          <w:color w:val="333333"/>
          <w:spacing w:val="8"/>
          <w:kern w:val="0"/>
          <w:sz w:val="32"/>
          <w:szCs w:val="32"/>
          <w:shd w:val="clear" w:color="auto" w:fill="FFFFFF"/>
        </w:rPr>
        <w:t>该项目严格按照上级要求和《绩效目标申报表》计划100%完成相关工作，并于2021年12月底前完成。</w:t>
      </w:r>
    </w:p>
    <w:p w:rsidR="00EC184F" w:rsidRDefault="00DC6B00">
      <w:pPr>
        <w:spacing w:line="440" w:lineRule="exact"/>
        <w:ind w:firstLineChars="200" w:firstLine="640"/>
        <w:rPr>
          <w:rFonts w:eastAsia="楷体_GB2312"/>
          <w:sz w:val="32"/>
          <w:szCs w:val="32"/>
        </w:rPr>
      </w:pPr>
      <w:r>
        <w:rPr>
          <w:rFonts w:eastAsia="楷体_GB2312"/>
          <w:sz w:val="32"/>
          <w:szCs w:val="32"/>
        </w:rPr>
        <w:t>（二）项目效益情况。</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hint="eastAsia"/>
          <w:color w:val="333333"/>
          <w:spacing w:val="8"/>
          <w:kern w:val="0"/>
          <w:sz w:val="32"/>
          <w:szCs w:val="32"/>
          <w:shd w:val="clear" w:color="auto" w:fill="FFFFFF"/>
        </w:rPr>
        <w:t>通过项目的实施，做到精准服务科技工作者，精准服务企事业单位，精准服务全民科学素质提升，帮助广大科技工作者释放创新能力，为辖区内广大科技工作者正确发布科技成果，提供科技服务，转化科研成果，承接科研项目，共享科普资源提供便捷服务和指导帮助。通过项目的</w:t>
      </w:r>
      <w:r>
        <w:rPr>
          <w:rFonts w:ascii="仿宋_GB2312" w:eastAsia="仿宋_GB2312" w:hAnsi="微软雅黑" w:cs="宋体" w:hint="eastAsia"/>
          <w:color w:val="333333"/>
          <w:spacing w:val="8"/>
          <w:kern w:val="0"/>
          <w:sz w:val="32"/>
          <w:szCs w:val="32"/>
          <w:shd w:val="clear" w:color="auto" w:fill="FFFFFF"/>
        </w:rPr>
        <w:lastRenderedPageBreak/>
        <w:t>实施，增强青少年的创新意识，提高青少年的创新能力，提高我县公众的科学文化素质。通过项目的实施，进一步提升全县人民科学素质，让人民群众把科学的思想和技术运用到生产生活实际中去，使其对科学的思想、科学的技术方法有新的认识，逐步地向学科学、爱科学、用科学的方向迈进，让全县人民摒弃陋习、树立新风，共建科学文明健康的新生活。通过项目的实施，进一步增加农民的收入。</w:t>
      </w:r>
    </w:p>
    <w:p w:rsidR="00EC184F" w:rsidRDefault="00DC6B00">
      <w:pPr>
        <w:spacing w:line="440" w:lineRule="exact"/>
        <w:ind w:firstLineChars="200" w:firstLine="640"/>
        <w:rPr>
          <w:rFonts w:eastAsia="黑体"/>
          <w:sz w:val="32"/>
          <w:szCs w:val="32"/>
        </w:rPr>
      </w:pPr>
      <w:r>
        <w:rPr>
          <w:rFonts w:eastAsia="黑体"/>
          <w:sz w:val="32"/>
          <w:szCs w:val="32"/>
        </w:rPr>
        <w:t>五、评价结论及建议</w:t>
      </w:r>
    </w:p>
    <w:p w:rsidR="00EC184F" w:rsidRDefault="00737EFD">
      <w:pPr>
        <w:spacing w:line="440" w:lineRule="exact"/>
        <w:ind w:firstLineChars="200" w:firstLine="640"/>
        <w:rPr>
          <w:rFonts w:eastAsia="楷体_GB2312"/>
          <w:sz w:val="32"/>
          <w:szCs w:val="32"/>
        </w:rPr>
      </w:pPr>
      <w:r>
        <w:rPr>
          <w:rFonts w:eastAsia="楷体_GB2312"/>
          <w:sz w:val="32"/>
          <w:szCs w:val="32"/>
        </w:rPr>
        <w:t>（一）评价结论</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color w:val="333333"/>
          <w:spacing w:val="8"/>
          <w:kern w:val="0"/>
          <w:sz w:val="32"/>
          <w:szCs w:val="32"/>
          <w:shd w:val="clear" w:color="auto" w:fill="FFFFFF"/>
        </w:rPr>
        <w:t>结合该项目自身特点、评价重点及管理办法等要求，</w:t>
      </w:r>
      <w:r>
        <w:rPr>
          <w:rFonts w:ascii="仿宋_GB2312" w:eastAsia="仿宋_GB2312" w:hAnsi="微软雅黑" w:cs="宋体" w:hint="eastAsia"/>
          <w:color w:val="333333"/>
          <w:spacing w:val="8"/>
          <w:kern w:val="0"/>
          <w:sz w:val="32"/>
          <w:szCs w:val="32"/>
          <w:shd w:val="clear" w:color="auto" w:fill="FFFFFF"/>
        </w:rPr>
        <w:t>该</w:t>
      </w:r>
      <w:r>
        <w:rPr>
          <w:rFonts w:ascii="仿宋_GB2312" w:eastAsia="仿宋_GB2312" w:hAnsi="微软雅黑" w:cs="宋体"/>
          <w:color w:val="333333"/>
          <w:spacing w:val="8"/>
          <w:kern w:val="0"/>
          <w:sz w:val="32"/>
          <w:szCs w:val="32"/>
          <w:shd w:val="clear" w:color="auto" w:fill="FFFFFF"/>
        </w:rPr>
        <w:t>项目总体较好。</w:t>
      </w:r>
    </w:p>
    <w:p w:rsidR="00EC184F" w:rsidRDefault="00737EFD">
      <w:pPr>
        <w:spacing w:line="440" w:lineRule="exact"/>
        <w:ind w:firstLineChars="200" w:firstLine="640"/>
        <w:rPr>
          <w:rFonts w:eastAsia="楷体_GB2312"/>
          <w:sz w:val="32"/>
          <w:szCs w:val="32"/>
        </w:rPr>
      </w:pPr>
      <w:r>
        <w:rPr>
          <w:rFonts w:eastAsia="楷体_GB2312"/>
          <w:sz w:val="32"/>
          <w:szCs w:val="32"/>
        </w:rPr>
        <w:t>（二）存在的问题</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hint="eastAsia"/>
          <w:color w:val="333333"/>
          <w:spacing w:val="8"/>
          <w:kern w:val="0"/>
          <w:sz w:val="32"/>
          <w:szCs w:val="32"/>
          <w:shd w:val="clear" w:color="auto" w:fill="FFFFFF"/>
        </w:rPr>
        <w:t>目前</w:t>
      </w:r>
      <w:r>
        <w:rPr>
          <w:rFonts w:ascii="仿宋_GB2312" w:eastAsia="仿宋_GB2312" w:hAnsi="微软雅黑" w:cs="宋体"/>
          <w:color w:val="333333"/>
          <w:spacing w:val="8"/>
          <w:kern w:val="0"/>
          <w:sz w:val="32"/>
          <w:szCs w:val="32"/>
          <w:shd w:val="clear" w:color="auto" w:fill="FFFFFF"/>
        </w:rPr>
        <w:t>暂未发现相关问题。</w:t>
      </w:r>
    </w:p>
    <w:p w:rsidR="00EC184F" w:rsidRDefault="00737EFD">
      <w:pPr>
        <w:spacing w:line="440" w:lineRule="exact"/>
        <w:ind w:firstLineChars="200" w:firstLine="640"/>
        <w:rPr>
          <w:rFonts w:eastAsia="楷体_GB2312"/>
          <w:sz w:val="32"/>
          <w:szCs w:val="32"/>
        </w:rPr>
      </w:pPr>
      <w:r>
        <w:rPr>
          <w:rFonts w:eastAsia="楷体_GB2312"/>
          <w:sz w:val="32"/>
          <w:szCs w:val="32"/>
        </w:rPr>
        <w:t>（三）相关建议</w:t>
      </w:r>
    </w:p>
    <w:p w:rsidR="00EC184F" w:rsidRDefault="00DC6B00">
      <w:pPr>
        <w:spacing w:line="440" w:lineRule="exact"/>
        <w:ind w:firstLineChars="200" w:firstLine="672"/>
        <w:rPr>
          <w:rFonts w:ascii="仿宋_GB2312" w:eastAsia="仿宋_GB2312" w:hAnsi="微软雅黑" w:cs="宋体"/>
          <w:color w:val="333333"/>
          <w:spacing w:val="8"/>
          <w:kern w:val="0"/>
          <w:sz w:val="32"/>
          <w:szCs w:val="32"/>
          <w:shd w:val="clear" w:color="auto" w:fill="FFFFFF"/>
        </w:rPr>
      </w:pPr>
      <w:r>
        <w:rPr>
          <w:rFonts w:ascii="仿宋_GB2312" w:eastAsia="仿宋_GB2312" w:hAnsi="微软雅黑" w:cs="宋体" w:hint="eastAsia"/>
          <w:color w:val="333333"/>
          <w:spacing w:val="8"/>
          <w:kern w:val="0"/>
          <w:sz w:val="32"/>
          <w:szCs w:val="32"/>
          <w:shd w:val="clear" w:color="auto" w:fill="FFFFFF"/>
        </w:rPr>
        <w:t>暂无</w:t>
      </w:r>
      <w:r>
        <w:rPr>
          <w:rFonts w:ascii="仿宋_GB2312" w:eastAsia="仿宋_GB2312" w:hAnsi="微软雅黑" w:cs="宋体"/>
          <w:color w:val="333333"/>
          <w:spacing w:val="8"/>
          <w:kern w:val="0"/>
          <w:sz w:val="32"/>
          <w:szCs w:val="32"/>
          <w:shd w:val="clear" w:color="auto" w:fill="FFFFFF"/>
        </w:rPr>
        <w:t>相关建议</w:t>
      </w:r>
      <w:r w:rsidR="00357322">
        <w:rPr>
          <w:rFonts w:ascii="仿宋_GB2312" w:eastAsia="仿宋_GB2312" w:hAnsi="微软雅黑" w:cs="宋体" w:hint="eastAsia"/>
          <w:color w:val="333333"/>
          <w:spacing w:val="8"/>
          <w:kern w:val="0"/>
          <w:sz w:val="32"/>
          <w:szCs w:val="32"/>
          <w:shd w:val="clear" w:color="auto" w:fill="FFFFFF"/>
        </w:rPr>
        <w:t>。</w:t>
      </w:r>
    </w:p>
    <w:p w:rsidR="00EC184F" w:rsidRDefault="00DC6B00">
      <w:pPr>
        <w:wordWrap w:val="0"/>
        <w:jc w:val="right"/>
        <w:rPr>
          <w:rFonts w:eastAsia="仿宋_GB2312"/>
          <w:sz w:val="32"/>
          <w:szCs w:val="32"/>
        </w:rPr>
      </w:pPr>
      <w:r>
        <w:rPr>
          <w:rFonts w:eastAsia="仿宋_GB2312" w:hint="eastAsia"/>
          <w:sz w:val="32"/>
          <w:szCs w:val="32"/>
        </w:rPr>
        <w:t xml:space="preserve"> </w:t>
      </w:r>
    </w:p>
    <w:p w:rsidR="00EC184F" w:rsidRDefault="00EC184F">
      <w:pPr>
        <w:rPr>
          <w:rFonts w:eastAsia="仿宋_GB2312"/>
          <w:sz w:val="32"/>
          <w:szCs w:val="32"/>
        </w:rPr>
      </w:pPr>
    </w:p>
    <w:p w:rsidR="00EC184F" w:rsidRDefault="00EC184F">
      <w:pPr>
        <w:widowControl/>
        <w:spacing w:before="100" w:beforeAutospacing="1" w:after="100" w:afterAutospacing="1" w:line="27" w:lineRule="atLeast"/>
        <w:jc w:val="center"/>
        <w:rPr>
          <w:rFonts w:eastAsia="方正小标宋_GBK"/>
          <w:bCs/>
          <w:spacing w:val="-6"/>
          <w:sz w:val="44"/>
          <w:szCs w:val="44"/>
        </w:rPr>
      </w:pPr>
    </w:p>
    <w:p w:rsidR="00EC184F" w:rsidRDefault="00EC184F">
      <w:pPr>
        <w:widowControl/>
        <w:spacing w:before="100" w:beforeAutospacing="1" w:after="100" w:afterAutospacing="1" w:line="27" w:lineRule="atLeast"/>
        <w:jc w:val="center"/>
        <w:rPr>
          <w:rFonts w:eastAsia="方正小标宋_GBK"/>
          <w:bCs/>
          <w:spacing w:val="-6"/>
          <w:sz w:val="44"/>
          <w:szCs w:val="44"/>
        </w:rPr>
      </w:pPr>
    </w:p>
    <w:p w:rsidR="00EC184F" w:rsidRDefault="00EC184F">
      <w:pPr>
        <w:widowControl/>
        <w:spacing w:before="100" w:beforeAutospacing="1" w:after="100" w:afterAutospacing="1" w:line="27" w:lineRule="atLeast"/>
        <w:jc w:val="center"/>
        <w:rPr>
          <w:rFonts w:eastAsia="方正小标宋_GBK"/>
          <w:bCs/>
          <w:spacing w:val="-6"/>
          <w:sz w:val="44"/>
          <w:szCs w:val="44"/>
        </w:rPr>
      </w:pPr>
    </w:p>
    <w:p w:rsidR="00EC184F" w:rsidRDefault="00EC184F">
      <w:pPr>
        <w:pStyle w:val="a0"/>
        <w:spacing w:before="93"/>
      </w:pPr>
    </w:p>
    <w:p w:rsidR="00EC184F" w:rsidRDefault="00EC184F">
      <w:pPr>
        <w:widowControl/>
        <w:spacing w:before="100" w:beforeAutospacing="1" w:after="100" w:afterAutospacing="1" w:line="27" w:lineRule="atLeast"/>
        <w:jc w:val="left"/>
        <w:rPr>
          <w:rFonts w:eastAsia="方正小标宋_GBK"/>
          <w:bCs/>
          <w:spacing w:val="-6"/>
          <w:sz w:val="44"/>
          <w:szCs w:val="44"/>
        </w:rPr>
      </w:pPr>
    </w:p>
    <w:p w:rsidR="00357322" w:rsidRPr="00357322" w:rsidRDefault="00357322" w:rsidP="00357322">
      <w:pPr>
        <w:pStyle w:val="a0"/>
        <w:spacing w:before="93"/>
      </w:pPr>
    </w:p>
    <w:p w:rsidR="00EC184F" w:rsidRDefault="00DC6B00">
      <w:pPr>
        <w:widowControl/>
        <w:spacing w:before="100" w:beforeAutospacing="1" w:after="100" w:afterAutospacing="1" w:line="27" w:lineRule="atLeast"/>
        <w:jc w:val="center"/>
        <w:rPr>
          <w:rFonts w:eastAsia="方正小标宋_GBK"/>
          <w:bCs/>
          <w:spacing w:val="-6"/>
          <w:sz w:val="44"/>
          <w:szCs w:val="44"/>
        </w:rPr>
      </w:pPr>
      <w:r>
        <w:rPr>
          <w:rFonts w:eastAsia="方正小标宋_GBK" w:hint="eastAsia"/>
          <w:bCs/>
          <w:spacing w:val="-6"/>
          <w:sz w:val="44"/>
          <w:szCs w:val="44"/>
        </w:rPr>
        <w:lastRenderedPageBreak/>
        <w:t>2020</w:t>
      </w:r>
      <w:r>
        <w:rPr>
          <w:rFonts w:eastAsia="方正小标宋_GBK" w:hint="eastAsia"/>
          <w:bCs/>
          <w:spacing w:val="-6"/>
          <w:sz w:val="44"/>
          <w:szCs w:val="44"/>
        </w:rPr>
        <w:t>年第一批省级科技计划项目资金</w:t>
      </w:r>
    </w:p>
    <w:p w:rsidR="00EC184F" w:rsidRDefault="00DC6B00">
      <w:pPr>
        <w:widowControl/>
        <w:spacing w:before="100" w:beforeAutospacing="1" w:after="100" w:afterAutospacing="1" w:line="27" w:lineRule="atLeast"/>
        <w:jc w:val="center"/>
        <w:rPr>
          <w:rFonts w:eastAsia="方正小标宋_GBK"/>
          <w:bCs/>
          <w:spacing w:val="-6"/>
          <w:sz w:val="44"/>
          <w:szCs w:val="44"/>
        </w:rPr>
      </w:pPr>
      <w:r>
        <w:rPr>
          <w:rFonts w:eastAsia="方正小标宋_GBK"/>
          <w:bCs/>
          <w:spacing w:val="-6"/>
          <w:sz w:val="44"/>
          <w:szCs w:val="44"/>
        </w:rPr>
        <w:t>专项预算项目支出绩效自评报告</w:t>
      </w:r>
    </w:p>
    <w:p w:rsidR="00EC184F" w:rsidRDefault="00DC6B00">
      <w:pPr>
        <w:spacing w:line="440" w:lineRule="exact"/>
        <w:ind w:firstLineChars="200" w:firstLine="640"/>
        <w:rPr>
          <w:rFonts w:ascii="黑体" w:eastAsia="黑体" w:hAnsi="黑体" w:cs="方正黑体_GBK"/>
          <w:bCs/>
          <w:sz w:val="32"/>
          <w:szCs w:val="32"/>
        </w:rPr>
      </w:pPr>
      <w:r>
        <w:rPr>
          <w:rFonts w:ascii="黑体" w:eastAsia="黑体" w:hAnsi="黑体" w:cs="方正黑体_GBK" w:hint="eastAsia"/>
          <w:bCs/>
          <w:sz w:val="32"/>
          <w:szCs w:val="32"/>
        </w:rPr>
        <w:t>一、项目概况</w:t>
      </w:r>
    </w:p>
    <w:p w:rsidR="00EC184F" w:rsidRDefault="00DC6B00">
      <w:pPr>
        <w:spacing w:line="440" w:lineRule="exact"/>
        <w:ind w:firstLineChars="200" w:firstLine="643"/>
        <w:rPr>
          <w:rFonts w:ascii="仿宋_GB2312" w:eastAsia="仿宋_GB2312" w:hAnsi="方正楷体_GBK" w:cs="方正楷体_GBK"/>
          <w:b/>
          <w:sz w:val="32"/>
          <w:szCs w:val="32"/>
        </w:rPr>
      </w:pPr>
      <w:r>
        <w:rPr>
          <w:rFonts w:ascii="仿宋_GB2312" w:eastAsia="仿宋_GB2312" w:hAnsi="方正楷体_GBK" w:cs="方正楷体_GBK" w:hint="eastAsia"/>
          <w:b/>
          <w:sz w:val="32"/>
          <w:szCs w:val="32"/>
        </w:rPr>
        <w:t>（一）项目基本情况</w:t>
      </w:r>
    </w:p>
    <w:p w:rsidR="00EC184F" w:rsidRDefault="00DC6B00">
      <w:pPr>
        <w:spacing w:line="440" w:lineRule="exact"/>
        <w:ind w:firstLineChars="200" w:firstLine="640"/>
        <w:rPr>
          <w:rFonts w:ascii="仿宋_GB2312" w:eastAsia="仿宋_GB2312"/>
          <w:bCs/>
          <w:sz w:val="32"/>
          <w:szCs w:val="32"/>
        </w:rPr>
      </w:pPr>
      <w:r>
        <w:rPr>
          <w:rFonts w:ascii="仿宋_GB2312" w:eastAsia="仿宋_GB2312" w:hint="eastAsia"/>
          <w:bCs/>
          <w:sz w:val="32"/>
          <w:szCs w:val="32"/>
        </w:rPr>
        <w:t>1、盐边县经济信息化和科学技术局是项目的推荐、监管部门，负责项目的实施进度、企业项目资金监督管理工作。</w:t>
      </w:r>
    </w:p>
    <w:p w:rsidR="00EC184F" w:rsidRDefault="00DC6B00">
      <w:pPr>
        <w:spacing w:line="440" w:lineRule="exact"/>
        <w:ind w:firstLineChars="200" w:firstLine="640"/>
        <w:rPr>
          <w:rFonts w:ascii="仿宋_GB2312" w:eastAsia="仿宋_GB2312"/>
          <w:bCs/>
          <w:sz w:val="32"/>
          <w:szCs w:val="32"/>
        </w:rPr>
      </w:pPr>
      <w:r>
        <w:rPr>
          <w:rFonts w:ascii="仿宋_GB2312" w:eastAsia="仿宋_GB2312" w:hint="eastAsia"/>
          <w:bCs/>
          <w:sz w:val="32"/>
          <w:szCs w:val="32"/>
        </w:rPr>
        <w:t>2、项目立项、资金申报依据：四川省财政厅、四川省科学技术厅关于下达2020年第一批省级科技计划项目资金预算的通知。（川财教〔2020〕16号）</w:t>
      </w:r>
    </w:p>
    <w:p w:rsidR="00EC184F" w:rsidRDefault="00DC6B00">
      <w:pPr>
        <w:spacing w:line="440" w:lineRule="exact"/>
        <w:ind w:firstLineChars="200" w:firstLine="640"/>
        <w:rPr>
          <w:rFonts w:ascii="仿宋_GB2312" w:eastAsia="仿宋_GB2312"/>
          <w:bCs/>
          <w:sz w:val="32"/>
          <w:szCs w:val="32"/>
        </w:rPr>
      </w:pPr>
      <w:r>
        <w:rPr>
          <w:rFonts w:ascii="仿宋_GB2312" w:eastAsia="仿宋_GB2312" w:hint="eastAsia"/>
          <w:bCs/>
          <w:sz w:val="32"/>
          <w:szCs w:val="32"/>
        </w:rPr>
        <w:t>3、资金管理办法制定情况，资金支持具体项目的条件、范围与支持方式概况。为保证科技计划项目的顺利实施，提供财政科技计划项目资金的使用绩效，促进项目科学、规范、高效、公正管理，在下面的实施过程中，县经科局严格按照四川省财政厅、四川省科学技术厅关于印发《四川省科技计划专项资金管理办法》的通知（川财规〔2019〕28号）精神，加强项目管理。资金支持高新技术企业或科技型中小企业，符合项目申报指南，支持资金小于等于项目自筹资金。</w:t>
      </w:r>
    </w:p>
    <w:p w:rsidR="00EC184F" w:rsidRDefault="00DC6B00">
      <w:pPr>
        <w:spacing w:line="440" w:lineRule="exact"/>
        <w:ind w:firstLineChars="200" w:firstLine="640"/>
        <w:rPr>
          <w:rFonts w:ascii="仿宋_GB2312" w:eastAsia="仿宋_GB2312"/>
          <w:bCs/>
          <w:sz w:val="32"/>
          <w:szCs w:val="32"/>
        </w:rPr>
      </w:pPr>
      <w:r>
        <w:rPr>
          <w:rFonts w:ascii="仿宋_GB2312" w:eastAsia="仿宋_GB2312" w:hint="eastAsia"/>
          <w:bCs/>
          <w:sz w:val="32"/>
          <w:szCs w:val="32"/>
        </w:rPr>
        <w:t>4、资金分配的原则及考虑要素。资金分配原则为项目研究内容及预算金额大小以及项目的创新性、难易程度、产生的经济效益和社会效益等。</w:t>
      </w:r>
    </w:p>
    <w:p w:rsidR="00EC184F" w:rsidRDefault="00DC6B00">
      <w:pPr>
        <w:spacing w:line="440" w:lineRule="exact"/>
        <w:ind w:firstLineChars="200" w:firstLine="643"/>
        <w:rPr>
          <w:rFonts w:ascii="仿宋_GB2312" w:eastAsia="仿宋_GB2312" w:hAnsi="方正楷体_GBK" w:cs="方正楷体_GBK"/>
          <w:b/>
          <w:sz w:val="32"/>
          <w:szCs w:val="32"/>
        </w:rPr>
      </w:pPr>
      <w:r>
        <w:rPr>
          <w:rFonts w:ascii="仿宋_GB2312" w:eastAsia="仿宋_GB2312" w:hAnsi="方正楷体_GBK" w:cs="方正楷体_GBK" w:hint="eastAsia"/>
          <w:b/>
          <w:sz w:val="32"/>
          <w:szCs w:val="32"/>
        </w:rPr>
        <w:t>（二）项目绩效目标</w:t>
      </w:r>
    </w:p>
    <w:p w:rsidR="00EC184F" w:rsidRDefault="00DC6B00">
      <w:pPr>
        <w:spacing w:line="440" w:lineRule="exact"/>
        <w:ind w:firstLineChars="200" w:firstLine="640"/>
        <w:rPr>
          <w:rFonts w:ascii="仿宋_GB2312" w:eastAsia="仿宋_GB2312"/>
          <w:bCs/>
          <w:sz w:val="32"/>
          <w:szCs w:val="32"/>
        </w:rPr>
      </w:pPr>
      <w:r>
        <w:rPr>
          <w:rFonts w:ascii="仿宋_GB2312" w:eastAsia="仿宋_GB2312" w:hint="eastAsia"/>
          <w:bCs/>
          <w:sz w:val="32"/>
          <w:szCs w:val="32"/>
        </w:rPr>
        <w:t>1、主要研究内容：</w:t>
      </w:r>
    </w:p>
    <w:p w:rsidR="00EC184F" w:rsidRDefault="00DC6B00">
      <w:pPr>
        <w:spacing w:line="440" w:lineRule="exact"/>
        <w:ind w:firstLineChars="200" w:firstLine="640"/>
        <w:rPr>
          <w:rFonts w:ascii="仿宋_GB2312" w:eastAsia="仿宋_GB2312"/>
          <w:bCs/>
          <w:sz w:val="32"/>
          <w:szCs w:val="32"/>
        </w:rPr>
      </w:pPr>
      <w:r>
        <w:rPr>
          <w:rFonts w:ascii="仿宋_GB2312" w:eastAsia="仿宋_GB2312" w:hint="eastAsia"/>
          <w:bCs/>
          <w:sz w:val="32"/>
          <w:szCs w:val="32"/>
        </w:rPr>
        <w:t>（1）在现有20个桑椹种质资源基础上，收集达到80余个桑椹种质资源，建立 10 亩桑椹品种种质资源库；对桑椹药用性基于组学技术的品质鉴定；在筛选出产量高、抗性（旱）强、成分(主要功效成分的测定、药用品种的特色成分)含量高品种基础上，按照药用桑椹标准要求进行品种创新研究，选育优良药用桑椹品种。</w:t>
      </w:r>
    </w:p>
    <w:p w:rsidR="00EC184F" w:rsidRDefault="00DC6B00">
      <w:pPr>
        <w:spacing w:line="440" w:lineRule="exact"/>
        <w:ind w:firstLineChars="200" w:firstLine="640"/>
        <w:rPr>
          <w:rFonts w:ascii="仿宋_GB2312" w:eastAsia="仿宋_GB2312"/>
          <w:bCs/>
          <w:sz w:val="32"/>
          <w:szCs w:val="32"/>
        </w:rPr>
      </w:pPr>
      <w:r>
        <w:rPr>
          <w:rFonts w:ascii="仿宋_GB2312" w:eastAsia="仿宋_GB2312" w:hint="eastAsia"/>
          <w:bCs/>
          <w:sz w:val="32"/>
          <w:szCs w:val="32"/>
        </w:rPr>
        <w:lastRenderedPageBreak/>
        <w:t>（2）基于组学技术（包括液质联用技术、成分指纹技术、活性成</w:t>
      </w:r>
      <w:r>
        <w:rPr>
          <w:rFonts w:eastAsia="仿宋_GB2312" w:hint="eastAsia"/>
          <w:bCs/>
          <w:sz w:val="32"/>
          <w:szCs w:val="32"/>
        </w:rPr>
        <w:t> </w:t>
      </w:r>
      <w:r>
        <w:rPr>
          <w:rFonts w:ascii="仿宋_GB2312" w:eastAsia="仿宋_GB2312" w:hint="eastAsia"/>
          <w:bCs/>
          <w:sz w:val="32"/>
          <w:szCs w:val="32"/>
        </w:rPr>
        <w:t>分筛选等）解析攀西优质药用桑椹品质形成机制；对桑椹药材的品质解析进行多维度评价，包括攀西桑椹药效物质的作用和机理；探索资源保护与环境友好的多维度中药材培育新模式，研究中药资源桑椹及附属的桑叶、桑枝、桑白皮等的综合开发与可持续利用。</w:t>
      </w:r>
    </w:p>
    <w:p w:rsidR="00EC184F" w:rsidRDefault="00DC6B00">
      <w:pPr>
        <w:spacing w:line="440" w:lineRule="exact"/>
        <w:ind w:firstLineChars="200" w:firstLine="640"/>
        <w:rPr>
          <w:rFonts w:ascii="仿宋_GB2312" w:eastAsia="仿宋_GB2312"/>
          <w:bCs/>
          <w:sz w:val="32"/>
          <w:szCs w:val="32"/>
        </w:rPr>
      </w:pPr>
      <w:r>
        <w:rPr>
          <w:rFonts w:ascii="仿宋_GB2312" w:eastAsia="仿宋_GB2312" w:hint="eastAsia"/>
          <w:bCs/>
          <w:sz w:val="32"/>
          <w:szCs w:val="32"/>
        </w:rPr>
        <w:t>（3）重点研发基于药用桑椹的系列新产品，主要包括：桑椹饮片、配方颗粒、健康食品、特殊功能提取物等的生产标准及工艺流程。</w:t>
      </w:r>
    </w:p>
    <w:p w:rsidR="00EC184F" w:rsidRDefault="00DC6B00">
      <w:pPr>
        <w:spacing w:line="440" w:lineRule="exact"/>
        <w:ind w:firstLineChars="200" w:firstLine="640"/>
        <w:rPr>
          <w:rFonts w:ascii="仿宋_GB2312" w:eastAsia="仿宋_GB2312"/>
          <w:bCs/>
          <w:sz w:val="32"/>
          <w:szCs w:val="32"/>
        </w:rPr>
      </w:pPr>
      <w:r>
        <w:rPr>
          <w:rFonts w:ascii="仿宋_GB2312" w:eastAsia="仿宋_GB2312" w:hint="eastAsia"/>
          <w:bCs/>
          <w:sz w:val="32"/>
          <w:szCs w:val="32"/>
        </w:rPr>
        <w:t>（4）攀西地区药用桑椹道地产区认证，建立道地药材攀西桑椹的种植生产技术行业标准或地方标准及桑椹饮片和桑椹特殊功能提取物的企业标准。</w:t>
      </w:r>
    </w:p>
    <w:p w:rsidR="00EC184F" w:rsidRDefault="00DC6B00">
      <w:pPr>
        <w:spacing w:line="440" w:lineRule="exact"/>
        <w:ind w:firstLineChars="200" w:firstLine="640"/>
        <w:rPr>
          <w:rFonts w:ascii="仿宋_GB2312" w:eastAsia="仿宋_GB2312"/>
          <w:bCs/>
          <w:sz w:val="32"/>
          <w:szCs w:val="32"/>
        </w:rPr>
      </w:pPr>
      <w:r>
        <w:rPr>
          <w:rFonts w:ascii="仿宋_GB2312" w:eastAsia="仿宋_GB2312" w:hint="eastAsia"/>
          <w:bCs/>
          <w:sz w:val="32"/>
          <w:szCs w:val="32"/>
        </w:rPr>
        <w:t>2、绩效考核目标：</w:t>
      </w:r>
    </w:p>
    <w:p w:rsidR="00EC184F" w:rsidRDefault="00DC6B00">
      <w:pPr>
        <w:spacing w:line="440" w:lineRule="exact"/>
        <w:ind w:firstLineChars="200" w:firstLine="640"/>
        <w:rPr>
          <w:rFonts w:ascii="仿宋_GB2312" w:eastAsia="仿宋_GB2312"/>
          <w:bCs/>
          <w:sz w:val="32"/>
          <w:szCs w:val="32"/>
        </w:rPr>
      </w:pPr>
      <w:r>
        <w:rPr>
          <w:rFonts w:ascii="仿宋_GB2312" w:eastAsia="仿宋_GB2312" w:hint="eastAsia"/>
          <w:bCs/>
          <w:sz w:val="32"/>
          <w:szCs w:val="32"/>
        </w:rPr>
        <w:t>（1）聚焦我省攀西地区道地特色中药——桑椹，以现有桑椹种质资源（母本园）为基础，收集桑椹种质资源，建立国内品种最齐全的药用桑椹种质资源库。</w:t>
      </w:r>
    </w:p>
    <w:p w:rsidR="00EC184F" w:rsidRDefault="00DC6B00">
      <w:pPr>
        <w:spacing w:line="440" w:lineRule="exact"/>
        <w:ind w:firstLineChars="200" w:firstLine="640"/>
        <w:rPr>
          <w:rFonts w:ascii="仿宋_GB2312" w:eastAsia="仿宋_GB2312"/>
          <w:bCs/>
          <w:sz w:val="32"/>
          <w:szCs w:val="32"/>
        </w:rPr>
      </w:pPr>
      <w:r>
        <w:rPr>
          <w:rFonts w:ascii="仿宋_GB2312" w:eastAsia="仿宋_GB2312" w:hint="eastAsia"/>
          <w:bCs/>
          <w:sz w:val="32"/>
          <w:szCs w:val="32"/>
        </w:rPr>
        <w:t xml:space="preserve">（2）展开药用桑椹良种繁育及品种创新研究，按照药用桑椹标准要求，选育优良药用桑椹品种 1-2个。 </w:t>
      </w:r>
    </w:p>
    <w:p w:rsidR="00EC184F" w:rsidRDefault="00DC6B00">
      <w:pPr>
        <w:spacing w:line="440" w:lineRule="exact"/>
        <w:ind w:firstLineChars="200" w:firstLine="640"/>
        <w:rPr>
          <w:rFonts w:ascii="仿宋_GB2312" w:eastAsia="仿宋_GB2312"/>
          <w:bCs/>
          <w:sz w:val="32"/>
          <w:szCs w:val="32"/>
        </w:rPr>
      </w:pPr>
      <w:r>
        <w:rPr>
          <w:rFonts w:ascii="仿宋_GB2312" w:eastAsia="仿宋_GB2312" w:hint="eastAsia"/>
          <w:bCs/>
          <w:sz w:val="32"/>
          <w:szCs w:val="32"/>
        </w:rPr>
        <w:t>（3）多维度探讨攀西地区道地特色中药——桑椹的药效物质及其形成机制和作用机制、质量鉴定和控制的技术方法，完善桑椹药材国家标准、起草桑椹饮片行业标准和制定药用桑椹标准化种植管理技术地方标准。</w:t>
      </w:r>
    </w:p>
    <w:p w:rsidR="00EC184F" w:rsidRDefault="00DC6B00">
      <w:pPr>
        <w:spacing w:line="440" w:lineRule="exact"/>
        <w:ind w:firstLineChars="200" w:firstLine="640"/>
        <w:rPr>
          <w:rFonts w:ascii="仿宋_GB2312" w:eastAsia="仿宋_GB2312"/>
          <w:bCs/>
          <w:sz w:val="32"/>
          <w:szCs w:val="32"/>
        </w:rPr>
      </w:pPr>
      <w:r>
        <w:rPr>
          <w:rFonts w:ascii="仿宋_GB2312" w:eastAsia="仿宋_GB2312" w:hint="eastAsia"/>
          <w:bCs/>
          <w:sz w:val="32"/>
          <w:szCs w:val="32"/>
        </w:rPr>
        <w:t>（4）研究桑椹（桑椹饮片、配方颗粒、健康食品、特殊功能提取物 等）、桑叶、桑枝和桑白皮等资源的综合及可持续利用，形成药用桑 椹系列新产品的生产技术及工艺流程，制定药用桑椹系列新产品生产的企业标准。</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rPr>
        <w:t>（5） 在上述基础上形成资源保护与环境友好种植的中药材大品种 培育新模式（基地）；申请药用桑椹道地产区认证和产品认证，使攀西地区成为品质优良、开发与保护并</w:t>
      </w:r>
      <w:r>
        <w:rPr>
          <w:rFonts w:ascii="仿宋_GB2312" w:eastAsia="仿宋_GB2312" w:hint="eastAsia"/>
          <w:bCs/>
          <w:sz w:val="32"/>
          <w:szCs w:val="32"/>
          <w:lang w:val="zh-CN"/>
        </w:rPr>
        <w:t>重，享誉全国的药用桑椹道地产区。</w:t>
      </w:r>
    </w:p>
    <w:p w:rsidR="00EC184F" w:rsidRDefault="00DC6B00">
      <w:pPr>
        <w:spacing w:line="440" w:lineRule="exact"/>
        <w:ind w:firstLineChars="200" w:firstLine="640"/>
        <w:rPr>
          <w:rFonts w:ascii="仿宋_GB2312" w:eastAsia="仿宋_GB2312"/>
          <w:bCs/>
          <w:sz w:val="32"/>
          <w:szCs w:val="32"/>
        </w:rPr>
      </w:pPr>
      <w:r>
        <w:rPr>
          <w:rFonts w:ascii="仿宋_GB2312" w:eastAsia="仿宋_GB2312" w:hint="eastAsia"/>
          <w:bCs/>
          <w:sz w:val="32"/>
          <w:szCs w:val="32"/>
        </w:rPr>
        <w:t>3、</w:t>
      </w:r>
      <w:r>
        <w:rPr>
          <w:rFonts w:ascii="仿宋_GB2312" w:eastAsia="仿宋_GB2312" w:hint="eastAsia"/>
          <w:bCs/>
          <w:sz w:val="32"/>
          <w:szCs w:val="32"/>
          <w:lang w:val="zh-CN"/>
        </w:rPr>
        <w:t>本研究</w:t>
      </w:r>
      <w:r>
        <w:rPr>
          <w:rFonts w:ascii="仿宋_GB2312" w:eastAsia="仿宋_GB2312" w:hint="eastAsia"/>
          <w:bCs/>
          <w:sz w:val="32"/>
          <w:szCs w:val="32"/>
        </w:rPr>
        <w:t>引进全国不同产地桑椹品种，通过品种试验，</w:t>
      </w:r>
      <w:r>
        <w:rPr>
          <w:rFonts w:ascii="仿宋_GB2312" w:eastAsia="仿宋_GB2312" w:hint="eastAsia"/>
          <w:bCs/>
          <w:sz w:val="32"/>
          <w:szCs w:val="32"/>
        </w:rPr>
        <w:lastRenderedPageBreak/>
        <w:t>对不同品种桑椹的外形指标、营养品质、功能特性和抗氧化能力进行分析，构建攀西地区不同品种桑椹的化学成分和功能特性的数据库。筛选出适合药用的优良桑品种，为科学鉴定桑椹品质奠定基础，进而为品种识别、品质评价、选种育种、采后处理和贮藏加工方法的选择等提供依据。收集全国不同产区的桑椹品种10余个，结合药效学筛选的桑椹药用成分，通过性状鉴定、显微鉴别、薄层鉴别、水分、总灰分、总酚、总黄酮、总多糖、总花色苷含量等构建了桑椹质量评价体系，并修订了桑椹药材国家标准，提高了桑椹醇浸出物的含量，建立了桑椹薄层鉴别方法和紫外法测定桑椹总酚的含量测定方法。能提高攀西地区果桑的经济产出，推动桑椹产业的拓展和衍生，促进桑椹的开发利用。</w:t>
      </w:r>
      <w:r>
        <w:rPr>
          <w:rFonts w:ascii="仿宋_GB2312" w:eastAsia="仿宋_GB2312" w:hint="eastAsia"/>
          <w:bCs/>
          <w:sz w:val="32"/>
          <w:szCs w:val="32"/>
          <w:lang w:val="zh-CN"/>
        </w:rPr>
        <w:t>增加桑园的经济效益和桑农的收入，对发展</w:t>
      </w:r>
      <w:r>
        <w:rPr>
          <w:rFonts w:ascii="仿宋_GB2312" w:eastAsia="仿宋_GB2312" w:hint="eastAsia"/>
          <w:bCs/>
          <w:sz w:val="32"/>
          <w:szCs w:val="32"/>
        </w:rPr>
        <w:t>四川</w:t>
      </w:r>
      <w:r>
        <w:rPr>
          <w:rFonts w:ascii="仿宋_GB2312" w:eastAsia="仿宋_GB2312" w:hint="eastAsia"/>
          <w:bCs/>
          <w:sz w:val="32"/>
          <w:szCs w:val="32"/>
          <w:lang w:val="zh-CN"/>
        </w:rPr>
        <w:t>省的产业经济、生态经济具有重要的意义。</w:t>
      </w:r>
    </w:p>
    <w:p w:rsidR="00EC184F" w:rsidRDefault="00DC6B00">
      <w:pPr>
        <w:spacing w:line="44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二、资金申报及执行情况</w:t>
      </w:r>
    </w:p>
    <w:p w:rsidR="00EC184F" w:rsidRDefault="00DC6B00">
      <w:pPr>
        <w:spacing w:line="440" w:lineRule="exact"/>
        <w:ind w:firstLineChars="200" w:firstLine="643"/>
        <w:rPr>
          <w:rFonts w:ascii="仿宋_GB2312" w:eastAsia="仿宋_GB2312" w:hAnsi="方正楷体_GBK" w:cs="方正楷体_GBK"/>
          <w:b/>
          <w:sz w:val="32"/>
          <w:szCs w:val="32"/>
          <w:shd w:val="clear" w:color="auto" w:fill="FFFFFF"/>
        </w:rPr>
      </w:pPr>
      <w:r>
        <w:rPr>
          <w:rFonts w:ascii="仿宋_GB2312" w:eastAsia="仿宋_GB2312" w:hAnsi="方正楷体_GBK" w:cs="方正楷体_GBK" w:hint="eastAsia"/>
          <w:b/>
          <w:sz w:val="32"/>
          <w:szCs w:val="32"/>
          <w:shd w:val="clear" w:color="auto" w:fill="FFFFFF"/>
        </w:rPr>
        <w:t>（一）项目资金申报及批复情况。</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说明项目资金申报、批复及预算调整等程序的相关情况。</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根据项目申报指南条件要求，企业网上填报申报书，省科技部门组织专家组评审，竞争立项。项目预算未调整。</w:t>
      </w:r>
    </w:p>
    <w:p w:rsidR="00EC184F" w:rsidRDefault="00DC6B00">
      <w:pPr>
        <w:spacing w:line="440" w:lineRule="exact"/>
        <w:ind w:firstLineChars="200" w:firstLine="643"/>
        <w:rPr>
          <w:rFonts w:ascii="仿宋_GB2312" w:eastAsia="仿宋_GB2312" w:hAnsi="方正楷体_GBK" w:cs="方正楷体_GBK"/>
          <w:b/>
          <w:sz w:val="32"/>
          <w:szCs w:val="32"/>
          <w:shd w:val="clear" w:color="auto" w:fill="FFFFFF"/>
        </w:rPr>
      </w:pPr>
      <w:r>
        <w:rPr>
          <w:rFonts w:ascii="仿宋_GB2312" w:eastAsia="仿宋_GB2312" w:hAnsi="方正楷体_GBK" w:cs="方正楷体_GBK" w:hint="eastAsia"/>
          <w:b/>
          <w:sz w:val="32"/>
          <w:szCs w:val="32"/>
          <w:shd w:val="clear" w:color="auto" w:fill="FFFFFF"/>
        </w:rPr>
        <w:t>（二）资金计划、到位及使用情况（可用表格形式反映）。</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1.资金计划。属省级科技计划财政资金。</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2.资金到位。资金全部到位。资金按项目进度到位，资金到位率100%。</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3.资金使用。资金使用安全、规范、有效，支付依据合规合法、与预算相符。</w:t>
      </w:r>
    </w:p>
    <w:p w:rsidR="00EC184F" w:rsidRDefault="00DC6B00">
      <w:pPr>
        <w:spacing w:line="440" w:lineRule="exact"/>
        <w:ind w:firstLineChars="200" w:firstLine="643"/>
        <w:rPr>
          <w:rFonts w:ascii="仿宋_GB2312" w:eastAsia="仿宋_GB2312" w:hAnsi="方正楷体_GBK" w:cs="方正楷体_GBK"/>
          <w:b/>
          <w:sz w:val="32"/>
          <w:szCs w:val="32"/>
          <w:shd w:val="clear" w:color="auto" w:fill="FFFFFF"/>
        </w:rPr>
      </w:pPr>
      <w:r>
        <w:rPr>
          <w:rFonts w:ascii="仿宋_GB2312" w:eastAsia="仿宋_GB2312" w:hAnsi="方正楷体_GBK" w:cs="方正楷体_GBK" w:hint="eastAsia"/>
          <w:b/>
          <w:sz w:val="32"/>
          <w:szCs w:val="32"/>
          <w:shd w:val="clear" w:color="auto" w:fill="FFFFFF"/>
        </w:rPr>
        <w:t>（三）项目财务管理情况。</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rPr>
        <w:t>1、</w:t>
      </w:r>
      <w:r>
        <w:rPr>
          <w:rFonts w:ascii="仿宋_GB2312" w:eastAsia="仿宋_GB2312" w:hint="eastAsia"/>
          <w:bCs/>
          <w:sz w:val="32"/>
          <w:szCs w:val="32"/>
          <w:lang w:val="zh-CN"/>
        </w:rPr>
        <w:t>项目实施单位统一监管做账，有完整的费用报销程序，财务人员岗位责任制度，项目经费使用严格遵守财经制度，按照专款专用，单独建账的管理模式。项目支出预算按“零基预算”的方法编制，预算执行的控制根据项目任务书</w:t>
      </w:r>
      <w:r>
        <w:rPr>
          <w:rFonts w:ascii="仿宋_GB2312" w:eastAsia="仿宋_GB2312" w:hint="eastAsia"/>
          <w:bCs/>
          <w:sz w:val="32"/>
          <w:szCs w:val="32"/>
          <w:lang w:val="zh-CN"/>
        </w:rPr>
        <w:lastRenderedPageBreak/>
        <w:t>签订的工作内容和项目年度经费预算情况进行控制，确保预算的严格执行。</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rPr>
        <w:t>2、</w:t>
      </w:r>
      <w:r>
        <w:rPr>
          <w:rFonts w:ascii="仿宋_GB2312" w:eastAsia="仿宋_GB2312" w:hint="eastAsia"/>
          <w:bCs/>
          <w:sz w:val="32"/>
          <w:szCs w:val="32"/>
          <w:lang w:val="zh-CN"/>
        </w:rPr>
        <w:t>建立相应的财务专账管理办法：按照专项资金管理办法，制定内部管理办法，对专项资金单独设账，单独核算。严格执行财务管理制度、财务处理及时、会计核算规范。</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rPr>
        <w:t>3、</w:t>
      </w:r>
      <w:r>
        <w:rPr>
          <w:rFonts w:ascii="仿宋_GB2312" w:eastAsia="仿宋_GB2312" w:hint="eastAsia"/>
          <w:bCs/>
          <w:sz w:val="32"/>
          <w:szCs w:val="32"/>
          <w:lang w:val="zh-CN"/>
        </w:rPr>
        <w:t>支付依据国家相关规定，建立了专帐，专款专用，全部用于本项目开发，并按照计划性</w:t>
      </w:r>
      <w:r w:rsidR="00041088">
        <w:rPr>
          <w:rFonts w:ascii="仿宋_GB2312" w:eastAsia="仿宋_GB2312" w:hint="eastAsia"/>
          <w:bCs/>
          <w:sz w:val="32"/>
          <w:szCs w:val="32"/>
          <w:lang w:val="zh-CN"/>
        </w:rPr>
        <w:t>任</w:t>
      </w:r>
      <w:r>
        <w:rPr>
          <w:rFonts w:ascii="仿宋_GB2312" w:eastAsia="仿宋_GB2312" w:hint="eastAsia"/>
          <w:bCs/>
          <w:sz w:val="32"/>
          <w:szCs w:val="32"/>
          <w:lang w:val="zh-CN"/>
        </w:rPr>
        <w:t>务书的预算额度开支合规合法，资金支付预算相符，没有超预算支出。</w:t>
      </w:r>
    </w:p>
    <w:p w:rsidR="00EC184F" w:rsidRDefault="00DC6B00">
      <w:pPr>
        <w:spacing w:line="44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三、项目组织实施情况</w:t>
      </w:r>
    </w:p>
    <w:p w:rsidR="00EC184F" w:rsidRDefault="00DC6B00">
      <w:pPr>
        <w:spacing w:line="440" w:lineRule="exact"/>
        <w:ind w:firstLineChars="200" w:firstLine="643"/>
        <w:rPr>
          <w:rFonts w:ascii="仿宋_GB2312" w:eastAsia="仿宋_GB2312" w:hAnsi="方正楷体_GBK" w:cs="方正楷体_GBK"/>
          <w:b/>
          <w:sz w:val="32"/>
          <w:szCs w:val="32"/>
          <w:shd w:val="clear" w:color="auto" w:fill="FFFFFF"/>
        </w:rPr>
      </w:pPr>
      <w:r>
        <w:rPr>
          <w:rFonts w:ascii="仿宋_GB2312" w:eastAsia="仿宋_GB2312" w:hAnsi="方正楷体_GBK" w:cs="方正楷体_GBK" w:hint="eastAsia"/>
          <w:b/>
          <w:sz w:val="32"/>
          <w:szCs w:val="32"/>
          <w:shd w:val="clear" w:color="auto" w:fill="FFFFFF"/>
        </w:rPr>
        <w:t>（一）项目组织架构及实施流程。</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单位主要负责人牵头，分管领导具体负责，股室负责人日常监管，定期检查项目实施进度和资金使用情况，督促项目承担单位按期结题验收。</w:t>
      </w:r>
    </w:p>
    <w:p w:rsidR="00EC184F" w:rsidRDefault="00DC6B00">
      <w:pPr>
        <w:spacing w:line="440" w:lineRule="exact"/>
        <w:ind w:firstLineChars="200" w:firstLine="643"/>
        <w:rPr>
          <w:rFonts w:ascii="仿宋_GB2312" w:eastAsia="仿宋_GB2312" w:hAnsi="方正楷体_GBK" w:cs="方正楷体_GBK"/>
          <w:b/>
          <w:sz w:val="32"/>
          <w:szCs w:val="32"/>
          <w:shd w:val="clear" w:color="auto" w:fill="FFFFFF"/>
        </w:rPr>
      </w:pPr>
      <w:r>
        <w:rPr>
          <w:rFonts w:ascii="仿宋_GB2312" w:eastAsia="仿宋_GB2312" w:hAnsi="方正楷体_GBK" w:cs="方正楷体_GBK" w:hint="eastAsia"/>
          <w:b/>
          <w:sz w:val="32"/>
          <w:szCs w:val="32"/>
          <w:shd w:val="clear" w:color="auto" w:fill="FFFFFF"/>
        </w:rPr>
        <w:t>（二）项目管理情况。</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结合项目特点，督促项目实施单位严格执行相关法律法规及项目管理制度。</w:t>
      </w:r>
    </w:p>
    <w:p w:rsidR="00EC184F" w:rsidRDefault="00DC6B00">
      <w:pPr>
        <w:spacing w:line="440" w:lineRule="exact"/>
        <w:ind w:firstLineChars="200" w:firstLine="643"/>
        <w:rPr>
          <w:rFonts w:ascii="仿宋_GB2312" w:eastAsia="仿宋_GB2312" w:hAnsi="方正楷体_GBK" w:cs="方正楷体_GBK"/>
          <w:b/>
          <w:sz w:val="32"/>
          <w:szCs w:val="32"/>
          <w:shd w:val="clear" w:color="auto" w:fill="FFFFFF"/>
        </w:rPr>
      </w:pPr>
      <w:r>
        <w:rPr>
          <w:rFonts w:ascii="仿宋_GB2312" w:eastAsia="仿宋_GB2312" w:hAnsi="方正楷体_GBK" w:cs="方正楷体_GBK" w:hint="eastAsia"/>
          <w:b/>
          <w:sz w:val="32"/>
          <w:szCs w:val="32"/>
          <w:shd w:val="clear" w:color="auto" w:fill="FFFFFF"/>
        </w:rPr>
        <w:t>（三）项目监管情况。</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协调项目实施单位与合作单位互相协作，互相支持，充分发挥各方面的优势，促进承担任务的顺利完成。</w:t>
      </w:r>
    </w:p>
    <w:p w:rsidR="00EC184F" w:rsidRDefault="00DC6B00">
      <w:pPr>
        <w:spacing w:line="44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四 、绩效情况：</w:t>
      </w:r>
    </w:p>
    <w:p w:rsidR="00EC184F" w:rsidRDefault="00DC6B00">
      <w:pPr>
        <w:spacing w:line="440" w:lineRule="exact"/>
        <w:ind w:firstLineChars="200" w:firstLine="643"/>
        <w:rPr>
          <w:rFonts w:ascii="仿宋_GB2312" w:eastAsia="仿宋_GB2312" w:hAnsi="方正楷体_GBK" w:cs="方正楷体_GBK"/>
          <w:b/>
          <w:sz w:val="32"/>
          <w:szCs w:val="32"/>
          <w:shd w:val="clear" w:color="auto" w:fill="FFFFFF"/>
        </w:rPr>
      </w:pPr>
      <w:r>
        <w:rPr>
          <w:rFonts w:ascii="仿宋_GB2312" w:eastAsia="仿宋_GB2312" w:hAnsi="方正楷体_GBK" w:cs="方正楷体_GBK" w:hint="eastAsia"/>
          <w:b/>
          <w:sz w:val="32"/>
          <w:szCs w:val="32"/>
          <w:shd w:val="clear" w:color="auto" w:fill="FFFFFF"/>
        </w:rPr>
        <w:t>（一）完成情况：</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1、参加人数：21人，其中高级职称4人，中级职称2人，初级2人，其他13人</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2、获专利17项： 其中国内发明专利受理5项，授权0项，受理5项；国内新型实用专利12项，授权10项，受理2项。</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3、新（改）标准化药材桑椹种植示范基地1316.6亩，合作种植800亩；收集引进桑树种质资源（品种）86 个，建立国内品种最齐全的药用桑椹种质资源库；建立生产线 1条，年产桑椹饮片200吨。</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4、制定地方标准2项；修订行业标准及国家标准2项；</w:t>
      </w:r>
      <w:r>
        <w:rPr>
          <w:rFonts w:ascii="仿宋_GB2312" w:eastAsia="仿宋_GB2312" w:hint="eastAsia"/>
          <w:bCs/>
          <w:sz w:val="32"/>
          <w:szCs w:val="32"/>
          <w:lang w:val="zh-CN"/>
        </w:rPr>
        <w:lastRenderedPageBreak/>
        <w:t>制定企业标准1及操作规程1项。</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5、经济效益：新增产值7200万元，销售额6227万元，利税702万元。</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6、建立了桑椹饮片药效物质（桑椹多糖和桑椹多酚）质量鉴定和控制方法；建立并优化了特殊功能提取物（桑椹多糖提取物和桑椹多酚提取物）提取方法，并测定了桑椹多糖功能提取物中桑椹多糖，桑椹总酚提取物中花青素和总黄酮的含量。</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7、发表论文3篇。</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8、认证认可</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（1）项目实施期间，四川黑金椹阳光农业有限公司申请了高新技术企业论证，现已获得高新技术企业。</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（2）启动盐边县桑椹道地药材论证相关工作，争取将桑椹药材道地产区落户盐边。与道地药材论证机构签订了合同，论证相关工作正在开展，已经建立了桑椹道地药材相关质量管理体系。</w:t>
      </w:r>
    </w:p>
    <w:p w:rsidR="00EC184F" w:rsidRDefault="00DC6B00">
      <w:pPr>
        <w:spacing w:line="440" w:lineRule="exact"/>
        <w:ind w:firstLineChars="200" w:firstLine="643"/>
        <w:rPr>
          <w:rFonts w:ascii="仿宋_GB2312" w:eastAsia="仿宋_GB2312" w:hAnsi="方正楷体_GBK" w:cs="方正楷体_GBK"/>
          <w:b/>
          <w:sz w:val="32"/>
          <w:szCs w:val="32"/>
          <w:shd w:val="clear" w:color="auto" w:fill="FFFFFF"/>
        </w:rPr>
      </w:pPr>
      <w:r>
        <w:rPr>
          <w:rFonts w:ascii="仿宋_GB2312" w:eastAsia="仿宋_GB2312" w:hAnsi="方正楷体_GBK" w:cs="方正楷体_GBK" w:hint="eastAsia"/>
          <w:b/>
          <w:sz w:val="32"/>
          <w:szCs w:val="32"/>
          <w:shd w:val="clear" w:color="auto" w:fill="FFFFFF"/>
        </w:rPr>
        <w:t>（二）项目效益：</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1、示范基地规模及带动效应：</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以惠民乡兴隆村、德阳村、水库村、和平村和渔门镇双龙村为核心按项目研发技术应用推广果桑种植 50000亩，其中惠民乡种植 18600亩、渔门镇及其他乡镇种植31400亩。</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在惠民乡建立了316.6亩标准化的桑椹药材标准化示范基地，与村委会签订了租地合同及新扩建种植协议，新（改建）种植基地1000亩,合作种植800亩。形成了资源保护与环境友好种植的中药材大品种培育新模式（基地），为药用桑椹道地产区认证和产品认证奠定基础，使攀西地区成为品质优良、开发与保护并重，享誉全国的药用桑椹道地产区。</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2、中试线及规模</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建立了一条桑椹饮片中试生产线一条，目前工厂建设已经完成，2021年9月已投入运行，年处理鲜桑果 5000 吨，干桑果 2000 吨，桑叶 5000 吨。</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lastRenderedPageBreak/>
        <w:t xml:space="preserve"> 3、经济效益指标</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2020 年，公司年产值 3309 万元，销售额 3011 万元，2021 年，2021年，公司年产值 3496 万元，销售额 3216 万元，受疫情影响，产量下滑，销售形势有所降低，本项指标完成65.5%。</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4、技术培训指标</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办了7期培训班，共培训人员 1200余人；其中农村科技人员120余人，企业科技人员 50人，由于疫情影响，有部分培训是通过网课来完成的。</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5、社会效益指标</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 xml:space="preserve">（1） 通过桑椹药用品种的选育及母本园（种质资源库）的建立，为川产道地药材桑椹的系列研究奠定坚实的基础；为推广优良的药用桑椹品种提供优质穗条（种子）；为川产道地药材（桑椹）产业健康可持续发展做出重大贡献。 </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 xml:space="preserve">（2） 通过项目实施解决农民桑椹销售难问题，提升药用桑椹产品附加值，确保农户种植效益，为脱贫攻坚、乡村振兴提供新的增收途径。 </w:t>
      </w:r>
    </w:p>
    <w:p w:rsidR="00EC184F" w:rsidRDefault="00DC6B00">
      <w:pPr>
        <w:spacing w:line="44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（3） 促进攀西地区水土保持，打造良好生态环境。对保护生态环境具有积极意义 。桑树是多年生经济林木，桑树根系发达，固土保水，绿化环境，是我省退耕还林的首选。通过项目实施，扩大了桑树种植面积，增加植被覆盖，减少了水土流失，同时通过养蚕将获得大量有机肥料，可减少化肥、农药的用量，生产出更多的“绿色食品”，项目的实施对生态环境保护有积极意义。</w:t>
      </w:r>
    </w:p>
    <w:p w:rsidR="00EC184F" w:rsidRDefault="00DC6B00">
      <w:pPr>
        <w:spacing w:line="44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五、评价结论及建议</w:t>
      </w:r>
    </w:p>
    <w:p w:rsidR="00EC184F" w:rsidRDefault="00DC6B00">
      <w:pPr>
        <w:widowControl/>
        <w:spacing w:line="440" w:lineRule="exact"/>
        <w:ind w:firstLineChars="200" w:firstLine="640"/>
        <w:rPr>
          <w:rFonts w:ascii="仿宋_GB2312" w:eastAsia="仿宋_GB2312"/>
          <w:sz w:val="32"/>
          <w:szCs w:val="32"/>
        </w:rPr>
      </w:pPr>
      <w:r>
        <w:rPr>
          <w:rFonts w:ascii="仿宋_GB2312" w:eastAsia="仿宋_GB2312" w:hint="eastAsia"/>
          <w:sz w:val="32"/>
          <w:szCs w:val="32"/>
        </w:rPr>
        <w:t>（一）评价结论</w:t>
      </w:r>
    </w:p>
    <w:p w:rsidR="00EC184F" w:rsidRDefault="00DC6B00">
      <w:pPr>
        <w:widowControl/>
        <w:spacing w:line="440" w:lineRule="exact"/>
        <w:ind w:firstLineChars="200" w:firstLine="640"/>
        <w:rPr>
          <w:rFonts w:ascii="仿宋_GB2312" w:eastAsia="仿宋_GB2312"/>
          <w:sz w:val="32"/>
          <w:szCs w:val="32"/>
        </w:rPr>
      </w:pPr>
      <w:r>
        <w:rPr>
          <w:rFonts w:ascii="仿宋_GB2312" w:eastAsia="仿宋_GB2312" w:hint="eastAsia"/>
          <w:sz w:val="32"/>
          <w:szCs w:val="32"/>
        </w:rPr>
        <w:t>1、 解决好“三农”问题，助力乡村振兴</w:t>
      </w:r>
    </w:p>
    <w:p w:rsidR="00EC184F" w:rsidRDefault="00DC6B00">
      <w:pPr>
        <w:widowControl/>
        <w:spacing w:line="440" w:lineRule="exact"/>
        <w:ind w:firstLineChars="200" w:firstLine="640"/>
        <w:rPr>
          <w:rFonts w:ascii="仿宋_GB2312" w:eastAsia="仿宋_GB2312"/>
          <w:sz w:val="32"/>
          <w:szCs w:val="32"/>
        </w:rPr>
      </w:pPr>
      <w:r>
        <w:rPr>
          <w:rFonts w:ascii="仿宋_GB2312" w:eastAsia="仿宋_GB2312" w:hint="eastAsia"/>
          <w:sz w:val="32"/>
          <w:szCs w:val="32"/>
        </w:rPr>
        <w:t>项目实施后，大大促进了盐边县桑果产业的发展，稳定农民增收脱贫，促进农村经济发展，新农村建设，为脱贫攻坚、乡村振兴战略做贡献。</w:t>
      </w:r>
    </w:p>
    <w:p w:rsidR="00EC184F" w:rsidRDefault="00DC6B00">
      <w:pPr>
        <w:widowControl/>
        <w:spacing w:line="440" w:lineRule="exact"/>
        <w:ind w:firstLineChars="200" w:firstLine="640"/>
        <w:rPr>
          <w:rFonts w:ascii="仿宋_GB2312" w:eastAsia="仿宋_GB2312"/>
          <w:sz w:val="32"/>
          <w:szCs w:val="32"/>
        </w:rPr>
      </w:pPr>
      <w:r>
        <w:rPr>
          <w:rFonts w:ascii="仿宋_GB2312" w:eastAsia="仿宋_GB2312" w:hint="eastAsia"/>
          <w:sz w:val="32"/>
          <w:szCs w:val="32"/>
        </w:rPr>
        <w:t>2、对生态环境保护具有积极意义</w:t>
      </w:r>
    </w:p>
    <w:p w:rsidR="00EC184F" w:rsidRDefault="00DC6B00">
      <w:pPr>
        <w:widowControl/>
        <w:spacing w:line="440" w:lineRule="exact"/>
        <w:ind w:firstLineChars="200" w:firstLine="640"/>
        <w:rPr>
          <w:rFonts w:ascii="仿宋_GB2312" w:eastAsia="仿宋_GB2312"/>
          <w:sz w:val="32"/>
          <w:szCs w:val="32"/>
        </w:rPr>
      </w:pPr>
      <w:r>
        <w:rPr>
          <w:rFonts w:ascii="仿宋_GB2312" w:eastAsia="仿宋_GB2312" w:hint="eastAsia"/>
          <w:sz w:val="32"/>
          <w:szCs w:val="32"/>
        </w:rPr>
        <w:lastRenderedPageBreak/>
        <w:t>桑树是多年生经济林木，桑树根系发达，固土保水，绿化环境，是我省退耕还林的首选。通过项目实施，扩大了桑树种植面积，增加植被覆盖，减少了水土流失，同时通过养蚕将获得大量有机肥料，可减少化肥、农药的用量，生产出更多的“绿色食品”，项目的实施对生态环境保护具有积极意义故具有良好的生态效益。</w:t>
      </w:r>
    </w:p>
    <w:p w:rsidR="00EC184F" w:rsidRDefault="00DC6B00">
      <w:pPr>
        <w:widowControl/>
        <w:spacing w:line="440" w:lineRule="exact"/>
        <w:ind w:firstLineChars="200" w:firstLine="640"/>
        <w:rPr>
          <w:rFonts w:ascii="仿宋_GB2312" w:eastAsia="仿宋_GB2312"/>
          <w:sz w:val="32"/>
          <w:szCs w:val="32"/>
        </w:rPr>
      </w:pPr>
      <w:r>
        <w:rPr>
          <w:rFonts w:ascii="仿宋_GB2312" w:eastAsia="仿宋_GB2312" w:hint="eastAsia"/>
          <w:sz w:val="32"/>
          <w:szCs w:val="32"/>
        </w:rPr>
        <w:t>3、项目的实施将蚕桑废弃物变废为宝解决农村垃圾污染问题</w:t>
      </w:r>
    </w:p>
    <w:p w:rsidR="00EC184F" w:rsidRDefault="00DC6B00">
      <w:pPr>
        <w:widowControl/>
        <w:spacing w:line="440" w:lineRule="exact"/>
        <w:ind w:firstLineChars="200" w:firstLine="640"/>
        <w:rPr>
          <w:rFonts w:ascii="仿宋_GB2312" w:eastAsia="仿宋_GB2312"/>
          <w:sz w:val="32"/>
          <w:szCs w:val="32"/>
        </w:rPr>
      </w:pPr>
      <w:r>
        <w:rPr>
          <w:rFonts w:ascii="仿宋_GB2312" w:eastAsia="仿宋_GB2312" w:hint="eastAsia"/>
          <w:sz w:val="32"/>
          <w:szCs w:val="32"/>
        </w:rPr>
        <w:t>盐边县桑树种植面积</w:t>
      </w:r>
      <w:r w:rsidR="004E10C1">
        <w:rPr>
          <w:rFonts w:ascii="仿宋_GB2312" w:eastAsia="仿宋_GB2312" w:hint="eastAsia"/>
          <w:sz w:val="32"/>
          <w:szCs w:val="32"/>
        </w:rPr>
        <w:t>15</w:t>
      </w:r>
      <w:r>
        <w:rPr>
          <w:rFonts w:ascii="仿宋_GB2312" w:eastAsia="仿宋_GB2312" w:hint="eastAsia"/>
          <w:sz w:val="32"/>
          <w:szCs w:val="32"/>
        </w:rPr>
        <w:t>万亩，每年蚕农要修桑树枝条，每亩剪伐下来的桑枝条 800-1000 公斤/亩，每年约 12 万吨的桑枝条被蚕农当作废弃物丢弃，占用大量场地堆放，成为农作物病虫害潜伏越冬的场所。本项目的实施将解决这些农村垃圾污染环境的问题。</w:t>
      </w:r>
    </w:p>
    <w:p w:rsidR="00EC184F" w:rsidRDefault="00DC6B00">
      <w:pPr>
        <w:tabs>
          <w:tab w:val="left" w:pos="2021"/>
        </w:tabs>
        <w:spacing w:line="440" w:lineRule="exact"/>
        <w:ind w:right="1800" w:firstLineChars="130" w:firstLine="418"/>
        <w:jc w:val="left"/>
        <w:rPr>
          <w:rFonts w:ascii="仿宋_GB2312" w:eastAsia="仿宋_GB2312" w:hAnsi="方正楷体_GBK" w:cs="方正楷体_GBK"/>
          <w:b/>
          <w:sz w:val="32"/>
          <w:szCs w:val="32"/>
          <w:shd w:val="clear" w:color="auto" w:fill="FFFFFF"/>
        </w:rPr>
      </w:pPr>
      <w:r>
        <w:rPr>
          <w:rFonts w:ascii="仿宋_GB2312" w:eastAsia="仿宋_GB2312" w:hAnsi="方正楷体_GBK" w:cs="方正楷体_GBK" w:hint="eastAsia"/>
          <w:b/>
          <w:sz w:val="32"/>
          <w:szCs w:val="32"/>
          <w:shd w:val="clear" w:color="auto" w:fill="FFFFFF"/>
        </w:rPr>
        <w:t>（二）存在的问题</w:t>
      </w:r>
    </w:p>
    <w:p w:rsidR="00EC184F" w:rsidRDefault="00DC6B00">
      <w:pPr>
        <w:widowControl/>
        <w:spacing w:line="440" w:lineRule="exact"/>
        <w:ind w:firstLineChars="200" w:firstLine="640"/>
        <w:rPr>
          <w:rFonts w:ascii="仿宋_GB2312" w:eastAsia="仿宋_GB2312"/>
          <w:sz w:val="32"/>
          <w:szCs w:val="32"/>
        </w:rPr>
      </w:pPr>
      <w:r>
        <w:rPr>
          <w:rFonts w:ascii="仿宋_GB2312" w:eastAsia="仿宋_GB2312" w:hint="eastAsia"/>
          <w:sz w:val="32"/>
          <w:szCs w:val="32"/>
        </w:rPr>
        <w:t>桑椹药食同源，很多研究主要在传统的栽桑养蚕，在中医药应用上还是空白，本项目研究时间短，任务重，很多研究还是一个初步结论，还有待更深入的研究，将桑椹产业服务于中医药行业。近年来，由于受疫情影响，经济下滑，就业形势严峻，给企业的经济形势和人才引进造成了一定的影响，经济指标难以完成，就业形势严峻，加大了人才引进的难度。</w:t>
      </w:r>
    </w:p>
    <w:p w:rsidR="00EC184F" w:rsidRDefault="00DC6B00">
      <w:pPr>
        <w:tabs>
          <w:tab w:val="left" w:pos="2021"/>
        </w:tabs>
        <w:spacing w:line="440" w:lineRule="exact"/>
        <w:ind w:right="1800" w:firstLineChars="130" w:firstLine="418"/>
        <w:jc w:val="left"/>
        <w:rPr>
          <w:rFonts w:ascii="仿宋_GB2312" w:eastAsia="仿宋_GB2312" w:hAnsi="方正楷体_GBK" w:cs="方正楷体_GBK"/>
          <w:b/>
          <w:sz w:val="32"/>
          <w:szCs w:val="32"/>
          <w:shd w:val="clear" w:color="auto" w:fill="FFFFFF"/>
        </w:rPr>
      </w:pPr>
      <w:r>
        <w:rPr>
          <w:rFonts w:ascii="仿宋_GB2312" w:eastAsia="仿宋_GB2312" w:hAnsi="方正楷体_GBK" w:cs="方正楷体_GBK" w:hint="eastAsia"/>
          <w:b/>
          <w:sz w:val="32"/>
          <w:szCs w:val="32"/>
          <w:shd w:val="clear" w:color="auto" w:fill="FFFFFF"/>
        </w:rPr>
        <w:t>（三）建议</w:t>
      </w:r>
    </w:p>
    <w:p w:rsidR="00EC184F" w:rsidRDefault="00DC6B00">
      <w:pPr>
        <w:spacing w:line="440" w:lineRule="exact"/>
        <w:ind w:firstLineChars="200" w:firstLine="640"/>
        <w:rPr>
          <w:rFonts w:ascii="仿宋_GB2312" w:eastAsia="仿宋_GB2312"/>
          <w:sz w:val="32"/>
          <w:szCs w:val="32"/>
        </w:rPr>
      </w:pPr>
      <w:r>
        <w:rPr>
          <w:rFonts w:eastAsia="仿宋_GB2312" w:hint="eastAsia"/>
          <w:sz w:val="32"/>
          <w:szCs w:val="32"/>
        </w:rPr>
        <w:t> </w:t>
      </w:r>
      <w:r>
        <w:rPr>
          <w:rFonts w:ascii="仿宋_GB2312" w:eastAsia="仿宋_GB2312" w:hint="eastAsia"/>
          <w:sz w:val="32"/>
          <w:szCs w:val="32"/>
        </w:rPr>
        <w:t>进一步加强对桑椹药材的研究，推动桑产业的拓展及衍生，促进桑产业的开发与利用，增加桑园经济及桑农收入，为中医药的发展及乡村振兴做出应有的贡献。</w:t>
      </w:r>
    </w:p>
    <w:p w:rsidR="00EC184F" w:rsidRDefault="00EC184F">
      <w:pPr>
        <w:rPr>
          <w:rFonts w:eastAsia="仿宋_GB2312"/>
          <w:sz w:val="32"/>
          <w:szCs w:val="32"/>
        </w:rPr>
      </w:pPr>
    </w:p>
    <w:p w:rsidR="00EC184F" w:rsidRDefault="00EC184F">
      <w:pPr>
        <w:spacing w:line="600" w:lineRule="exact"/>
        <w:jc w:val="center"/>
        <w:outlineLvl w:val="0"/>
        <w:rPr>
          <w:rFonts w:ascii="黑体" w:eastAsia="黑体" w:hAnsi="黑体"/>
          <w:sz w:val="44"/>
          <w:szCs w:val="44"/>
        </w:rPr>
      </w:pPr>
      <w:bookmarkStart w:id="63" w:name="_Toc15396618"/>
    </w:p>
    <w:p w:rsidR="00EC184F" w:rsidRDefault="00EC184F">
      <w:pPr>
        <w:pStyle w:val="a0"/>
        <w:spacing w:before="93"/>
      </w:pPr>
    </w:p>
    <w:p w:rsidR="00EC184F" w:rsidRDefault="00EC184F">
      <w:pPr>
        <w:spacing w:line="600" w:lineRule="exact"/>
        <w:jc w:val="center"/>
        <w:outlineLvl w:val="0"/>
        <w:rPr>
          <w:rFonts w:ascii="黑体" w:eastAsia="黑体" w:hAnsi="黑体"/>
          <w:sz w:val="44"/>
          <w:szCs w:val="44"/>
        </w:rPr>
      </w:pPr>
    </w:p>
    <w:p w:rsidR="00EC184F" w:rsidRDefault="00DC6B00">
      <w:pPr>
        <w:spacing w:line="600" w:lineRule="exact"/>
        <w:jc w:val="center"/>
        <w:outlineLvl w:val="0"/>
        <w:rPr>
          <w:rFonts w:ascii="仿宋" w:eastAsia="仿宋" w:hAnsi="仿宋"/>
        </w:rPr>
      </w:pPr>
      <w:r>
        <w:rPr>
          <w:rFonts w:ascii="黑体" w:eastAsia="黑体" w:hAnsi="黑体" w:hint="eastAsia"/>
          <w:sz w:val="44"/>
          <w:szCs w:val="44"/>
        </w:rPr>
        <w:lastRenderedPageBreak/>
        <w:t>第</w:t>
      </w:r>
      <w:r>
        <w:rPr>
          <w:rStyle w:val="1Char"/>
          <w:rFonts w:ascii="黑体" w:eastAsia="黑体" w:hAnsi="黑体" w:hint="eastAsia"/>
          <w:b w:val="0"/>
        </w:rPr>
        <w:t>五部分 附表</w:t>
      </w:r>
      <w:bookmarkStart w:id="64" w:name="_Toc15396619"/>
      <w:bookmarkEnd w:id="62"/>
      <w:bookmarkEnd w:id="63"/>
    </w:p>
    <w:p w:rsidR="00EC184F" w:rsidRDefault="00DC6B00">
      <w:pPr>
        <w:pStyle w:val="2"/>
      </w:pPr>
      <w:r>
        <w:rPr>
          <w:rFonts w:ascii="仿宋" w:eastAsia="仿宋" w:hAnsi="仿宋" w:hint="eastAsia"/>
          <w:b w:val="0"/>
        </w:rPr>
        <w:t>一、收</w:t>
      </w:r>
      <w:r>
        <w:rPr>
          <w:rStyle w:val="2Char"/>
          <w:rFonts w:ascii="仿宋" w:eastAsia="仿宋" w:hAnsi="仿宋" w:hint="eastAsia"/>
        </w:rPr>
        <w:t>入支出决算总表</w:t>
      </w:r>
      <w:bookmarkEnd w:id="64"/>
    </w:p>
    <w:p w:rsidR="00EC184F" w:rsidRDefault="00DC6B00">
      <w:pPr>
        <w:pStyle w:val="a0"/>
        <w:spacing w:before="93"/>
      </w:pPr>
      <w:r>
        <w:rPr>
          <w:noProof/>
        </w:rPr>
        <w:drawing>
          <wp:inline distT="0" distB="0" distL="114300" distR="114300">
            <wp:extent cx="5267960" cy="4381500"/>
            <wp:effectExtent l="0" t="0" r="889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5"/>
                    <a:stretch>
                      <a:fillRect/>
                    </a:stretch>
                  </pic:blipFill>
                  <pic:spPr>
                    <a:xfrm>
                      <a:off x="0" y="0"/>
                      <a:ext cx="5267960" cy="4381500"/>
                    </a:xfrm>
                    <a:prstGeom prst="rect">
                      <a:avLst/>
                    </a:prstGeom>
                    <a:noFill/>
                    <a:ln>
                      <a:noFill/>
                    </a:ln>
                  </pic:spPr>
                </pic:pic>
              </a:graphicData>
            </a:graphic>
          </wp:inline>
        </w:drawing>
      </w:r>
    </w:p>
    <w:p w:rsidR="00EC184F" w:rsidRDefault="00EC184F">
      <w:pPr>
        <w:pStyle w:val="a0"/>
        <w:spacing w:before="93"/>
      </w:pPr>
    </w:p>
    <w:p w:rsidR="00EC184F" w:rsidRDefault="00EC184F">
      <w:pPr>
        <w:pStyle w:val="a0"/>
        <w:spacing w:before="93"/>
      </w:pPr>
    </w:p>
    <w:p w:rsidR="00EC184F" w:rsidRDefault="00EC184F">
      <w:pPr>
        <w:pStyle w:val="a0"/>
        <w:spacing w:before="93"/>
      </w:pPr>
    </w:p>
    <w:p w:rsidR="00EC184F" w:rsidRDefault="00EC184F">
      <w:pPr>
        <w:pStyle w:val="a0"/>
        <w:spacing w:before="93"/>
      </w:pPr>
    </w:p>
    <w:p w:rsidR="00EC184F" w:rsidRDefault="00EC184F">
      <w:pPr>
        <w:pStyle w:val="a0"/>
        <w:spacing w:before="93"/>
      </w:pPr>
    </w:p>
    <w:p w:rsidR="00EC184F" w:rsidRDefault="00EC184F">
      <w:pPr>
        <w:pStyle w:val="a0"/>
        <w:spacing w:before="93"/>
      </w:pPr>
    </w:p>
    <w:p w:rsidR="00EC184F" w:rsidRDefault="00EC184F">
      <w:pPr>
        <w:pStyle w:val="a0"/>
        <w:spacing w:before="93"/>
      </w:pPr>
    </w:p>
    <w:p w:rsidR="00EC184F" w:rsidRDefault="00EC184F">
      <w:pPr>
        <w:pStyle w:val="a0"/>
        <w:spacing w:before="93"/>
      </w:pPr>
    </w:p>
    <w:p w:rsidR="00EC184F" w:rsidRDefault="00DC6B00">
      <w:pPr>
        <w:pStyle w:val="2"/>
        <w:numPr>
          <w:ilvl w:val="0"/>
          <w:numId w:val="4"/>
        </w:numPr>
        <w:rPr>
          <w:rStyle w:val="2Char"/>
          <w:rFonts w:ascii="仿宋" w:eastAsia="仿宋" w:hAnsi="仿宋"/>
        </w:rPr>
      </w:pPr>
      <w:bookmarkStart w:id="65" w:name="_Toc15396620"/>
      <w:r>
        <w:rPr>
          <w:rFonts w:ascii="仿宋" w:eastAsia="仿宋" w:hAnsi="仿宋" w:hint="eastAsia"/>
          <w:b w:val="0"/>
        </w:rPr>
        <w:t>收</w:t>
      </w:r>
      <w:r>
        <w:rPr>
          <w:rStyle w:val="2Char"/>
          <w:rFonts w:ascii="仿宋" w:eastAsia="仿宋" w:hAnsi="仿宋" w:hint="eastAsia"/>
        </w:rPr>
        <w:t>入决算表</w:t>
      </w:r>
      <w:bookmarkEnd w:id="65"/>
    </w:p>
    <w:p w:rsidR="00EC184F" w:rsidRDefault="00EC184F"/>
    <w:p w:rsidR="00EC184F" w:rsidRDefault="00DC6B00" w:rsidP="00567ED2">
      <w:pPr>
        <w:pStyle w:val="a0"/>
        <w:spacing w:before="93"/>
      </w:pPr>
      <w:r>
        <w:rPr>
          <w:noProof/>
        </w:rPr>
        <w:drawing>
          <wp:inline distT="0" distB="0" distL="114300" distR="114300">
            <wp:extent cx="5264150" cy="6362700"/>
            <wp:effectExtent l="1905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6"/>
                    <a:stretch>
                      <a:fillRect/>
                    </a:stretch>
                  </pic:blipFill>
                  <pic:spPr>
                    <a:xfrm>
                      <a:off x="0" y="0"/>
                      <a:ext cx="5266690" cy="6365770"/>
                    </a:xfrm>
                    <a:prstGeom prst="rect">
                      <a:avLst/>
                    </a:prstGeom>
                    <a:noFill/>
                    <a:ln>
                      <a:noFill/>
                    </a:ln>
                  </pic:spPr>
                </pic:pic>
              </a:graphicData>
            </a:graphic>
          </wp:inline>
        </w:drawing>
      </w:r>
    </w:p>
    <w:p w:rsidR="00EC184F" w:rsidRDefault="00EC184F" w:rsidP="00567ED2">
      <w:pPr>
        <w:pStyle w:val="a0"/>
        <w:spacing w:before="93"/>
      </w:pPr>
    </w:p>
    <w:p w:rsidR="00EC184F" w:rsidRDefault="00EC184F" w:rsidP="00567ED2">
      <w:pPr>
        <w:pStyle w:val="a0"/>
        <w:spacing w:before="93"/>
      </w:pPr>
    </w:p>
    <w:p w:rsidR="00EC184F" w:rsidRDefault="00DC6B00">
      <w:pPr>
        <w:pStyle w:val="2"/>
        <w:numPr>
          <w:ilvl w:val="0"/>
          <w:numId w:val="4"/>
        </w:numPr>
        <w:rPr>
          <w:rStyle w:val="2Char"/>
          <w:rFonts w:ascii="仿宋" w:eastAsia="仿宋" w:hAnsi="仿宋"/>
        </w:rPr>
      </w:pPr>
      <w:bookmarkStart w:id="66" w:name="_Toc15396621"/>
      <w:r>
        <w:rPr>
          <w:rFonts w:ascii="仿宋" w:eastAsia="仿宋" w:hAnsi="仿宋" w:hint="eastAsia"/>
          <w:b w:val="0"/>
        </w:rPr>
        <w:lastRenderedPageBreak/>
        <w:t>支</w:t>
      </w:r>
      <w:r>
        <w:rPr>
          <w:rStyle w:val="2Char"/>
          <w:rFonts w:ascii="仿宋" w:eastAsia="仿宋" w:hAnsi="仿宋" w:hint="eastAsia"/>
        </w:rPr>
        <w:t>出决算表</w:t>
      </w:r>
      <w:bookmarkEnd w:id="66"/>
    </w:p>
    <w:p w:rsidR="00EC184F" w:rsidRDefault="00DC6B00">
      <w:r>
        <w:rPr>
          <w:noProof/>
        </w:rPr>
        <w:drawing>
          <wp:inline distT="0" distB="0" distL="114300" distR="114300">
            <wp:extent cx="5265420" cy="6229350"/>
            <wp:effectExtent l="0" t="0" r="11430"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7"/>
                    <a:stretch>
                      <a:fillRect/>
                    </a:stretch>
                  </pic:blipFill>
                  <pic:spPr>
                    <a:xfrm>
                      <a:off x="0" y="0"/>
                      <a:ext cx="5265420" cy="6229350"/>
                    </a:xfrm>
                    <a:prstGeom prst="rect">
                      <a:avLst/>
                    </a:prstGeom>
                    <a:noFill/>
                    <a:ln>
                      <a:noFill/>
                    </a:ln>
                  </pic:spPr>
                </pic:pic>
              </a:graphicData>
            </a:graphic>
          </wp:inline>
        </w:drawing>
      </w:r>
    </w:p>
    <w:p w:rsidR="00EC184F" w:rsidRDefault="00EC184F" w:rsidP="00567ED2">
      <w:pPr>
        <w:pStyle w:val="a0"/>
        <w:spacing w:before="93"/>
      </w:pPr>
    </w:p>
    <w:p w:rsidR="00EC184F" w:rsidRDefault="00EC184F" w:rsidP="00567ED2">
      <w:pPr>
        <w:pStyle w:val="a0"/>
        <w:spacing w:before="93"/>
      </w:pPr>
    </w:p>
    <w:p w:rsidR="00EC184F" w:rsidRDefault="00DC6B00">
      <w:pPr>
        <w:pStyle w:val="2"/>
        <w:numPr>
          <w:ilvl w:val="0"/>
          <w:numId w:val="4"/>
        </w:numPr>
        <w:rPr>
          <w:rStyle w:val="2Char"/>
          <w:rFonts w:ascii="仿宋" w:eastAsia="仿宋" w:hAnsi="仿宋"/>
        </w:rPr>
      </w:pPr>
      <w:bookmarkStart w:id="67" w:name="_Toc15396622"/>
      <w:r>
        <w:rPr>
          <w:rFonts w:ascii="仿宋" w:eastAsia="仿宋" w:hAnsi="仿宋" w:hint="eastAsia"/>
          <w:b w:val="0"/>
        </w:rPr>
        <w:lastRenderedPageBreak/>
        <w:t>财</w:t>
      </w:r>
      <w:r>
        <w:rPr>
          <w:rStyle w:val="2Char"/>
          <w:rFonts w:ascii="仿宋" w:eastAsia="仿宋" w:hAnsi="仿宋" w:hint="eastAsia"/>
        </w:rPr>
        <w:t>政拨款收入支出决算总表</w:t>
      </w:r>
      <w:bookmarkEnd w:id="67"/>
    </w:p>
    <w:p w:rsidR="00EC184F" w:rsidRDefault="00DC6B00" w:rsidP="00041088">
      <w:r>
        <w:rPr>
          <w:noProof/>
        </w:rPr>
        <w:drawing>
          <wp:inline distT="0" distB="0" distL="114300" distR="114300">
            <wp:extent cx="5272405" cy="3910330"/>
            <wp:effectExtent l="0" t="0" r="4445" b="1397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18"/>
                    <a:stretch>
                      <a:fillRect/>
                    </a:stretch>
                  </pic:blipFill>
                  <pic:spPr>
                    <a:xfrm>
                      <a:off x="0" y="0"/>
                      <a:ext cx="5272405" cy="3910330"/>
                    </a:xfrm>
                    <a:prstGeom prst="rect">
                      <a:avLst/>
                    </a:prstGeom>
                    <a:noFill/>
                    <a:ln>
                      <a:noFill/>
                    </a:ln>
                  </pic:spPr>
                </pic:pic>
              </a:graphicData>
            </a:graphic>
          </wp:inline>
        </w:drawing>
      </w:r>
    </w:p>
    <w:p w:rsidR="00041088" w:rsidRDefault="00041088" w:rsidP="00041088">
      <w:pPr>
        <w:pStyle w:val="a0"/>
        <w:spacing w:before="93"/>
      </w:pPr>
    </w:p>
    <w:p w:rsidR="00041088" w:rsidRDefault="00041088" w:rsidP="00041088">
      <w:pPr>
        <w:pStyle w:val="a0"/>
        <w:spacing w:before="93"/>
      </w:pPr>
    </w:p>
    <w:p w:rsidR="00041088" w:rsidRDefault="00041088" w:rsidP="00041088">
      <w:pPr>
        <w:pStyle w:val="a0"/>
        <w:spacing w:before="93"/>
      </w:pPr>
    </w:p>
    <w:p w:rsidR="00041088" w:rsidRDefault="00041088" w:rsidP="00041088">
      <w:pPr>
        <w:pStyle w:val="a0"/>
        <w:spacing w:before="93"/>
      </w:pPr>
    </w:p>
    <w:p w:rsidR="00041088" w:rsidRDefault="00041088" w:rsidP="00041088">
      <w:pPr>
        <w:pStyle w:val="a0"/>
        <w:spacing w:before="93"/>
      </w:pPr>
    </w:p>
    <w:p w:rsidR="00041088" w:rsidRDefault="00041088" w:rsidP="00041088">
      <w:pPr>
        <w:pStyle w:val="a0"/>
        <w:spacing w:before="93"/>
      </w:pPr>
    </w:p>
    <w:p w:rsidR="00041088" w:rsidRDefault="00041088" w:rsidP="00041088">
      <w:pPr>
        <w:pStyle w:val="a0"/>
        <w:spacing w:before="93"/>
      </w:pPr>
    </w:p>
    <w:p w:rsidR="00041088" w:rsidRDefault="00041088" w:rsidP="00041088">
      <w:pPr>
        <w:pStyle w:val="a0"/>
        <w:spacing w:before="93"/>
      </w:pPr>
    </w:p>
    <w:p w:rsidR="00EC184F" w:rsidRDefault="00DC6B00">
      <w:pPr>
        <w:pStyle w:val="2"/>
        <w:numPr>
          <w:ilvl w:val="0"/>
          <w:numId w:val="4"/>
        </w:numPr>
        <w:rPr>
          <w:rStyle w:val="2Char"/>
          <w:rFonts w:ascii="仿宋" w:eastAsia="仿宋" w:hAnsi="仿宋"/>
        </w:rPr>
      </w:pPr>
      <w:bookmarkStart w:id="68" w:name="_Toc15396623"/>
      <w:r>
        <w:rPr>
          <w:rFonts w:ascii="仿宋" w:eastAsia="仿宋" w:hAnsi="仿宋" w:hint="eastAsia"/>
          <w:b w:val="0"/>
        </w:rPr>
        <w:lastRenderedPageBreak/>
        <w:t>财</w:t>
      </w:r>
      <w:r>
        <w:rPr>
          <w:rStyle w:val="2Char"/>
          <w:rFonts w:ascii="仿宋" w:eastAsia="仿宋" w:hAnsi="仿宋" w:hint="eastAsia"/>
        </w:rPr>
        <w:t>政拨款支出决算明细表</w:t>
      </w:r>
      <w:bookmarkStart w:id="69" w:name="_Toc15396624"/>
      <w:bookmarkEnd w:id="68"/>
    </w:p>
    <w:p w:rsidR="00EC184F" w:rsidRDefault="00DC6B00" w:rsidP="00567ED2">
      <w:pPr>
        <w:pStyle w:val="a0"/>
        <w:spacing w:before="93"/>
      </w:pPr>
      <w:r>
        <w:rPr>
          <w:noProof/>
        </w:rPr>
        <w:lastRenderedPageBreak/>
        <w:drawing>
          <wp:inline distT="0" distB="0" distL="114300" distR="114300">
            <wp:extent cx="5265420" cy="8855710"/>
            <wp:effectExtent l="0" t="0" r="11430" b="254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9"/>
                    <a:stretch>
                      <a:fillRect/>
                    </a:stretch>
                  </pic:blipFill>
                  <pic:spPr>
                    <a:xfrm>
                      <a:off x="0" y="0"/>
                      <a:ext cx="5265420" cy="8855710"/>
                    </a:xfrm>
                    <a:prstGeom prst="rect">
                      <a:avLst/>
                    </a:prstGeom>
                    <a:noFill/>
                    <a:ln>
                      <a:noFill/>
                    </a:ln>
                  </pic:spPr>
                </pic:pic>
              </a:graphicData>
            </a:graphic>
          </wp:inline>
        </w:drawing>
      </w:r>
    </w:p>
    <w:p w:rsidR="00EC184F" w:rsidRDefault="00DC6B00">
      <w:pPr>
        <w:pStyle w:val="2"/>
        <w:numPr>
          <w:ilvl w:val="0"/>
          <w:numId w:val="4"/>
        </w:numPr>
        <w:rPr>
          <w:rStyle w:val="2Char"/>
          <w:rFonts w:ascii="仿宋" w:eastAsia="仿宋" w:hAnsi="仿宋"/>
        </w:rPr>
      </w:pPr>
      <w:r>
        <w:rPr>
          <w:rFonts w:ascii="仿宋" w:eastAsia="仿宋" w:hAnsi="仿宋" w:hint="eastAsia"/>
          <w:b w:val="0"/>
        </w:rPr>
        <w:lastRenderedPageBreak/>
        <w:t>一</w:t>
      </w:r>
      <w:r>
        <w:rPr>
          <w:rStyle w:val="2Char"/>
          <w:rFonts w:ascii="仿宋" w:eastAsia="仿宋" w:hAnsi="仿宋" w:hint="eastAsia"/>
        </w:rPr>
        <w:t>般公共预算财政拨款支出决算表</w:t>
      </w:r>
      <w:bookmarkEnd w:id="69"/>
    </w:p>
    <w:p w:rsidR="00EC184F" w:rsidRDefault="00DC6B00" w:rsidP="00567ED2">
      <w:r>
        <w:rPr>
          <w:noProof/>
        </w:rPr>
        <w:drawing>
          <wp:inline distT="0" distB="0" distL="114300" distR="114300">
            <wp:extent cx="5267960" cy="7432040"/>
            <wp:effectExtent l="0" t="0" r="8890" b="16510"/>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20"/>
                    <a:stretch>
                      <a:fillRect/>
                    </a:stretch>
                  </pic:blipFill>
                  <pic:spPr>
                    <a:xfrm>
                      <a:off x="0" y="0"/>
                      <a:ext cx="5267960" cy="7432040"/>
                    </a:xfrm>
                    <a:prstGeom prst="rect">
                      <a:avLst/>
                    </a:prstGeom>
                    <a:noFill/>
                    <a:ln>
                      <a:noFill/>
                    </a:ln>
                  </pic:spPr>
                </pic:pic>
              </a:graphicData>
            </a:graphic>
          </wp:inline>
        </w:drawing>
      </w:r>
      <w:r w:rsidR="00567ED2">
        <w:br w:type="page"/>
      </w:r>
    </w:p>
    <w:p w:rsidR="00EC184F" w:rsidRDefault="00DC6B00">
      <w:pPr>
        <w:pStyle w:val="2"/>
        <w:numPr>
          <w:ilvl w:val="0"/>
          <w:numId w:val="4"/>
        </w:numPr>
        <w:rPr>
          <w:rStyle w:val="2Char"/>
          <w:rFonts w:ascii="仿宋" w:eastAsia="仿宋" w:hAnsi="仿宋"/>
        </w:rPr>
      </w:pPr>
      <w:bookmarkStart w:id="70" w:name="_Toc15396625"/>
      <w:r>
        <w:rPr>
          <w:rFonts w:ascii="仿宋" w:eastAsia="仿宋" w:hAnsi="仿宋" w:hint="eastAsia"/>
          <w:b w:val="0"/>
        </w:rPr>
        <w:lastRenderedPageBreak/>
        <w:t>一</w:t>
      </w:r>
      <w:r>
        <w:rPr>
          <w:rStyle w:val="2Char"/>
          <w:rFonts w:ascii="仿宋" w:eastAsia="仿宋" w:hAnsi="仿宋" w:hint="eastAsia"/>
        </w:rPr>
        <w:t>般公共预算财政拨款支出决算明细表</w:t>
      </w:r>
      <w:bookmarkEnd w:id="70"/>
    </w:p>
    <w:p w:rsidR="00DC6B00" w:rsidRDefault="00DC6B00" w:rsidP="00DC6B00">
      <w:r>
        <w:rPr>
          <w:rFonts w:hint="eastAsia"/>
          <w:noProof/>
        </w:rPr>
        <w:drawing>
          <wp:inline distT="0" distB="0" distL="0" distR="0">
            <wp:extent cx="5274945" cy="3705860"/>
            <wp:effectExtent l="19050" t="0" r="1905" b="0"/>
            <wp:docPr id="25" name="图片 24" descr="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png"/>
                    <pic:cNvPicPr/>
                  </pic:nvPicPr>
                  <pic:blipFill>
                    <a:blip r:embed="rId21"/>
                    <a:stretch>
                      <a:fillRect/>
                    </a:stretch>
                  </pic:blipFill>
                  <pic:spPr>
                    <a:xfrm>
                      <a:off x="0" y="0"/>
                      <a:ext cx="5274945" cy="3705860"/>
                    </a:xfrm>
                    <a:prstGeom prst="rect">
                      <a:avLst/>
                    </a:prstGeom>
                  </pic:spPr>
                </pic:pic>
              </a:graphicData>
            </a:graphic>
          </wp:inline>
        </w:drawing>
      </w:r>
    </w:p>
    <w:p w:rsidR="00EC184F" w:rsidRDefault="00DC6B00">
      <w:r>
        <w:rPr>
          <w:noProof/>
        </w:rPr>
        <w:drawing>
          <wp:inline distT="0" distB="0" distL="0" distR="0">
            <wp:extent cx="5274945" cy="3715385"/>
            <wp:effectExtent l="19050" t="0" r="1905" b="0"/>
            <wp:docPr id="24" name="图片 23" descr="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png"/>
                    <pic:cNvPicPr/>
                  </pic:nvPicPr>
                  <pic:blipFill>
                    <a:blip r:embed="rId22"/>
                    <a:stretch>
                      <a:fillRect/>
                    </a:stretch>
                  </pic:blipFill>
                  <pic:spPr>
                    <a:xfrm>
                      <a:off x="0" y="0"/>
                      <a:ext cx="5274945" cy="3715385"/>
                    </a:xfrm>
                    <a:prstGeom prst="rect">
                      <a:avLst/>
                    </a:prstGeom>
                  </pic:spPr>
                </pic:pic>
              </a:graphicData>
            </a:graphic>
          </wp:inline>
        </w:drawing>
      </w:r>
    </w:p>
    <w:p w:rsidR="00EC184F" w:rsidRDefault="00EC184F" w:rsidP="00567ED2">
      <w:pPr>
        <w:pStyle w:val="a0"/>
        <w:spacing w:before="93"/>
      </w:pPr>
    </w:p>
    <w:p w:rsidR="00EC184F" w:rsidRPr="00567ED2" w:rsidRDefault="00DC6B00" w:rsidP="00567ED2">
      <w:pPr>
        <w:pStyle w:val="a0"/>
        <w:spacing w:before="93"/>
      </w:pPr>
      <w:r>
        <w:rPr>
          <w:noProof/>
        </w:rPr>
        <w:lastRenderedPageBreak/>
        <w:drawing>
          <wp:inline distT="0" distB="0" distL="0" distR="0">
            <wp:extent cx="5274945" cy="3716020"/>
            <wp:effectExtent l="19050" t="0" r="1905" b="0"/>
            <wp:docPr id="26" name="图片 25" descr="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3.png"/>
                    <pic:cNvPicPr/>
                  </pic:nvPicPr>
                  <pic:blipFill>
                    <a:blip r:embed="rId23"/>
                    <a:stretch>
                      <a:fillRect/>
                    </a:stretch>
                  </pic:blipFill>
                  <pic:spPr>
                    <a:xfrm>
                      <a:off x="0" y="0"/>
                      <a:ext cx="5274945" cy="3716020"/>
                    </a:xfrm>
                    <a:prstGeom prst="rect">
                      <a:avLst/>
                    </a:prstGeom>
                  </pic:spPr>
                </pic:pic>
              </a:graphicData>
            </a:graphic>
          </wp:inline>
        </w:drawing>
      </w:r>
    </w:p>
    <w:p w:rsidR="00EC184F" w:rsidRDefault="00DC6B00" w:rsidP="00567ED2">
      <w:pPr>
        <w:pStyle w:val="a0"/>
        <w:spacing w:before="93"/>
      </w:pPr>
      <w:r>
        <w:rPr>
          <w:noProof/>
        </w:rPr>
        <w:drawing>
          <wp:inline distT="0" distB="0" distL="0" distR="0">
            <wp:extent cx="5274945" cy="3707130"/>
            <wp:effectExtent l="19050" t="0" r="1905" b="0"/>
            <wp:docPr id="27" name="图片 26" descr="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4.png"/>
                    <pic:cNvPicPr/>
                  </pic:nvPicPr>
                  <pic:blipFill>
                    <a:blip r:embed="rId24"/>
                    <a:stretch>
                      <a:fillRect/>
                    </a:stretch>
                  </pic:blipFill>
                  <pic:spPr>
                    <a:xfrm>
                      <a:off x="0" y="0"/>
                      <a:ext cx="5274945" cy="3707130"/>
                    </a:xfrm>
                    <a:prstGeom prst="rect">
                      <a:avLst/>
                    </a:prstGeom>
                  </pic:spPr>
                </pic:pic>
              </a:graphicData>
            </a:graphic>
          </wp:inline>
        </w:drawing>
      </w:r>
    </w:p>
    <w:p w:rsidR="00EC184F" w:rsidRDefault="00EC184F" w:rsidP="00567ED2">
      <w:pPr>
        <w:pStyle w:val="a0"/>
        <w:spacing w:before="93"/>
      </w:pPr>
    </w:p>
    <w:p w:rsidR="00EC184F" w:rsidRDefault="00EC184F" w:rsidP="00567ED2">
      <w:pPr>
        <w:pStyle w:val="a0"/>
        <w:spacing w:before="93"/>
      </w:pPr>
    </w:p>
    <w:p w:rsidR="00EC184F" w:rsidRDefault="00DC6B00" w:rsidP="00567ED2">
      <w:pPr>
        <w:pStyle w:val="a0"/>
        <w:spacing w:before="93"/>
      </w:pPr>
      <w:r>
        <w:rPr>
          <w:noProof/>
        </w:rPr>
        <w:lastRenderedPageBreak/>
        <w:drawing>
          <wp:inline distT="0" distB="0" distL="0" distR="0">
            <wp:extent cx="5274945" cy="3653155"/>
            <wp:effectExtent l="19050" t="0" r="1905" b="0"/>
            <wp:docPr id="28" name="图片 27" descr="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5.png"/>
                    <pic:cNvPicPr/>
                  </pic:nvPicPr>
                  <pic:blipFill>
                    <a:blip r:embed="rId25"/>
                    <a:stretch>
                      <a:fillRect/>
                    </a:stretch>
                  </pic:blipFill>
                  <pic:spPr>
                    <a:xfrm>
                      <a:off x="0" y="0"/>
                      <a:ext cx="5274945" cy="3653155"/>
                    </a:xfrm>
                    <a:prstGeom prst="rect">
                      <a:avLst/>
                    </a:prstGeom>
                  </pic:spPr>
                </pic:pic>
              </a:graphicData>
            </a:graphic>
          </wp:inline>
        </w:drawing>
      </w:r>
    </w:p>
    <w:p w:rsidR="00EC184F" w:rsidRDefault="00DC6B00" w:rsidP="00567ED2">
      <w:pPr>
        <w:pStyle w:val="a0"/>
        <w:spacing w:before="93"/>
      </w:pPr>
      <w:r>
        <w:rPr>
          <w:noProof/>
        </w:rPr>
        <w:drawing>
          <wp:inline distT="0" distB="0" distL="0" distR="0">
            <wp:extent cx="5274945" cy="3658235"/>
            <wp:effectExtent l="19050" t="0" r="1905" b="0"/>
            <wp:docPr id="29" name="图片 28" descr="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6.png"/>
                    <pic:cNvPicPr/>
                  </pic:nvPicPr>
                  <pic:blipFill>
                    <a:blip r:embed="rId26"/>
                    <a:stretch>
                      <a:fillRect/>
                    </a:stretch>
                  </pic:blipFill>
                  <pic:spPr>
                    <a:xfrm>
                      <a:off x="0" y="0"/>
                      <a:ext cx="5274945" cy="3658235"/>
                    </a:xfrm>
                    <a:prstGeom prst="rect">
                      <a:avLst/>
                    </a:prstGeom>
                  </pic:spPr>
                </pic:pic>
              </a:graphicData>
            </a:graphic>
          </wp:inline>
        </w:drawing>
      </w:r>
    </w:p>
    <w:p w:rsidR="00EC184F" w:rsidRDefault="00EC184F" w:rsidP="00567ED2">
      <w:pPr>
        <w:pStyle w:val="a0"/>
        <w:spacing w:before="93"/>
      </w:pPr>
    </w:p>
    <w:p w:rsidR="00EC184F" w:rsidRDefault="00EC184F" w:rsidP="00567ED2">
      <w:pPr>
        <w:pStyle w:val="a0"/>
        <w:spacing w:before="93"/>
      </w:pPr>
    </w:p>
    <w:p w:rsidR="00DC6B00" w:rsidRDefault="00DC6B00" w:rsidP="00567ED2">
      <w:pPr>
        <w:pStyle w:val="a0"/>
        <w:spacing w:before="93"/>
      </w:pPr>
      <w:r>
        <w:rPr>
          <w:noProof/>
        </w:rPr>
        <w:lastRenderedPageBreak/>
        <w:drawing>
          <wp:inline distT="0" distB="0" distL="0" distR="0">
            <wp:extent cx="5274945" cy="3643630"/>
            <wp:effectExtent l="19050" t="0" r="1905" b="0"/>
            <wp:docPr id="30" name="图片 29" descr="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7.png"/>
                    <pic:cNvPicPr/>
                  </pic:nvPicPr>
                  <pic:blipFill>
                    <a:blip r:embed="rId27"/>
                    <a:stretch>
                      <a:fillRect/>
                    </a:stretch>
                  </pic:blipFill>
                  <pic:spPr>
                    <a:xfrm>
                      <a:off x="0" y="0"/>
                      <a:ext cx="5274945" cy="3643630"/>
                    </a:xfrm>
                    <a:prstGeom prst="rect">
                      <a:avLst/>
                    </a:prstGeom>
                  </pic:spPr>
                </pic:pic>
              </a:graphicData>
            </a:graphic>
          </wp:inline>
        </w:drawing>
      </w:r>
    </w:p>
    <w:p w:rsidR="00EC184F" w:rsidRDefault="00DC6B00" w:rsidP="00567ED2">
      <w:pPr>
        <w:pStyle w:val="a0"/>
        <w:spacing w:before="93"/>
      </w:pPr>
      <w:r>
        <w:rPr>
          <w:noProof/>
        </w:rPr>
        <w:drawing>
          <wp:inline distT="0" distB="0" distL="0" distR="0">
            <wp:extent cx="5274945" cy="3592830"/>
            <wp:effectExtent l="19050" t="0" r="1905" b="0"/>
            <wp:docPr id="31" name="图片 30" descr="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8.png"/>
                    <pic:cNvPicPr/>
                  </pic:nvPicPr>
                  <pic:blipFill>
                    <a:blip r:embed="rId28"/>
                    <a:stretch>
                      <a:fillRect/>
                    </a:stretch>
                  </pic:blipFill>
                  <pic:spPr>
                    <a:xfrm>
                      <a:off x="0" y="0"/>
                      <a:ext cx="5274945" cy="3592830"/>
                    </a:xfrm>
                    <a:prstGeom prst="rect">
                      <a:avLst/>
                    </a:prstGeom>
                  </pic:spPr>
                </pic:pic>
              </a:graphicData>
            </a:graphic>
          </wp:inline>
        </w:drawing>
      </w:r>
    </w:p>
    <w:p w:rsidR="00DC6B00" w:rsidRDefault="00DC6B00" w:rsidP="00567ED2">
      <w:pPr>
        <w:pStyle w:val="a0"/>
        <w:spacing w:before="93"/>
      </w:pPr>
    </w:p>
    <w:p w:rsidR="00DC6B00" w:rsidRDefault="00DC6B00" w:rsidP="00567ED2">
      <w:pPr>
        <w:pStyle w:val="a0"/>
        <w:spacing w:before="93"/>
      </w:pPr>
    </w:p>
    <w:p w:rsidR="00DC6B00" w:rsidRDefault="00DC6B00" w:rsidP="00567ED2">
      <w:pPr>
        <w:pStyle w:val="a0"/>
        <w:spacing w:before="93"/>
      </w:pPr>
      <w:r>
        <w:rPr>
          <w:noProof/>
        </w:rPr>
        <w:lastRenderedPageBreak/>
        <w:drawing>
          <wp:inline distT="0" distB="0" distL="0" distR="0">
            <wp:extent cx="5274945" cy="3608070"/>
            <wp:effectExtent l="19050" t="0" r="1905" b="0"/>
            <wp:docPr id="32" name="图片 31" descr="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9.png"/>
                    <pic:cNvPicPr/>
                  </pic:nvPicPr>
                  <pic:blipFill>
                    <a:blip r:embed="rId29"/>
                    <a:stretch>
                      <a:fillRect/>
                    </a:stretch>
                  </pic:blipFill>
                  <pic:spPr>
                    <a:xfrm>
                      <a:off x="0" y="0"/>
                      <a:ext cx="5274945" cy="3608070"/>
                    </a:xfrm>
                    <a:prstGeom prst="rect">
                      <a:avLst/>
                    </a:prstGeom>
                  </pic:spPr>
                </pic:pic>
              </a:graphicData>
            </a:graphic>
          </wp:inline>
        </w:drawing>
      </w:r>
      <w:r>
        <w:rPr>
          <w:noProof/>
        </w:rPr>
        <w:drawing>
          <wp:inline distT="0" distB="0" distL="0" distR="0">
            <wp:extent cx="5274945" cy="3673475"/>
            <wp:effectExtent l="19050" t="0" r="1905" b="0"/>
            <wp:docPr id="33" name="图片 32" descr="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png"/>
                    <pic:cNvPicPr/>
                  </pic:nvPicPr>
                  <pic:blipFill>
                    <a:blip r:embed="rId30"/>
                    <a:stretch>
                      <a:fillRect/>
                    </a:stretch>
                  </pic:blipFill>
                  <pic:spPr>
                    <a:xfrm>
                      <a:off x="0" y="0"/>
                      <a:ext cx="5274945" cy="3673475"/>
                    </a:xfrm>
                    <a:prstGeom prst="rect">
                      <a:avLst/>
                    </a:prstGeom>
                  </pic:spPr>
                </pic:pic>
              </a:graphicData>
            </a:graphic>
          </wp:inline>
        </w:drawing>
      </w:r>
      <w:r>
        <w:rPr>
          <w:noProof/>
        </w:rPr>
        <w:lastRenderedPageBreak/>
        <w:drawing>
          <wp:inline distT="0" distB="0" distL="0" distR="0">
            <wp:extent cx="5274945" cy="3691255"/>
            <wp:effectExtent l="19050" t="0" r="1905" b="0"/>
            <wp:docPr id="34" name="图片 33" descr="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png"/>
                    <pic:cNvPicPr/>
                  </pic:nvPicPr>
                  <pic:blipFill>
                    <a:blip r:embed="rId31"/>
                    <a:stretch>
                      <a:fillRect/>
                    </a:stretch>
                  </pic:blipFill>
                  <pic:spPr>
                    <a:xfrm>
                      <a:off x="0" y="0"/>
                      <a:ext cx="5274945" cy="3691255"/>
                    </a:xfrm>
                    <a:prstGeom prst="rect">
                      <a:avLst/>
                    </a:prstGeom>
                  </pic:spPr>
                </pic:pic>
              </a:graphicData>
            </a:graphic>
          </wp:inline>
        </w:drawing>
      </w:r>
      <w:r>
        <w:rPr>
          <w:noProof/>
        </w:rPr>
        <w:drawing>
          <wp:inline distT="0" distB="0" distL="0" distR="0">
            <wp:extent cx="5274945" cy="3702685"/>
            <wp:effectExtent l="19050" t="0" r="1905" b="0"/>
            <wp:docPr id="35" name="图片 34" descr="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png"/>
                    <pic:cNvPicPr/>
                  </pic:nvPicPr>
                  <pic:blipFill>
                    <a:blip r:embed="rId32"/>
                    <a:stretch>
                      <a:fillRect/>
                    </a:stretch>
                  </pic:blipFill>
                  <pic:spPr>
                    <a:xfrm>
                      <a:off x="0" y="0"/>
                      <a:ext cx="5274945" cy="3702685"/>
                    </a:xfrm>
                    <a:prstGeom prst="rect">
                      <a:avLst/>
                    </a:prstGeom>
                  </pic:spPr>
                </pic:pic>
              </a:graphicData>
            </a:graphic>
          </wp:inline>
        </w:drawing>
      </w:r>
      <w:r>
        <w:rPr>
          <w:noProof/>
        </w:rPr>
        <w:lastRenderedPageBreak/>
        <w:drawing>
          <wp:inline distT="0" distB="0" distL="0" distR="0">
            <wp:extent cx="5274945" cy="3749040"/>
            <wp:effectExtent l="19050" t="0" r="1905" b="0"/>
            <wp:docPr id="36" name="图片 35" descr="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png"/>
                    <pic:cNvPicPr/>
                  </pic:nvPicPr>
                  <pic:blipFill>
                    <a:blip r:embed="rId33"/>
                    <a:stretch>
                      <a:fillRect/>
                    </a:stretch>
                  </pic:blipFill>
                  <pic:spPr>
                    <a:xfrm>
                      <a:off x="0" y="0"/>
                      <a:ext cx="5274945" cy="3749040"/>
                    </a:xfrm>
                    <a:prstGeom prst="rect">
                      <a:avLst/>
                    </a:prstGeom>
                  </pic:spPr>
                </pic:pic>
              </a:graphicData>
            </a:graphic>
          </wp:inline>
        </w:drawing>
      </w:r>
      <w:r>
        <w:rPr>
          <w:noProof/>
        </w:rPr>
        <w:drawing>
          <wp:inline distT="0" distB="0" distL="0" distR="0">
            <wp:extent cx="5274945" cy="3728085"/>
            <wp:effectExtent l="19050" t="0" r="1905" b="0"/>
            <wp:docPr id="37" name="图片 36" descr="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png"/>
                    <pic:cNvPicPr/>
                  </pic:nvPicPr>
                  <pic:blipFill>
                    <a:blip r:embed="rId34"/>
                    <a:stretch>
                      <a:fillRect/>
                    </a:stretch>
                  </pic:blipFill>
                  <pic:spPr>
                    <a:xfrm>
                      <a:off x="0" y="0"/>
                      <a:ext cx="5274945" cy="3728085"/>
                    </a:xfrm>
                    <a:prstGeom prst="rect">
                      <a:avLst/>
                    </a:prstGeom>
                  </pic:spPr>
                </pic:pic>
              </a:graphicData>
            </a:graphic>
          </wp:inline>
        </w:drawing>
      </w:r>
      <w:r>
        <w:rPr>
          <w:noProof/>
        </w:rPr>
        <w:lastRenderedPageBreak/>
        <w:drawing>
          <wp:inline distT="0" distB="0" distL="0" distR="0">
            <wp:extent cx="5274945" cy="3736340"/>
            <wp:effectExtent l="19050" t="0" r="1905" b="0"/>
            <wp:docPr id="38" name="图片 37" descr="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png"/>
                    <pic:cNvPicPr/>
                  </pic:nvPicPr>
                  <pic:blipFill>
                    <a:blip r:embed="rId35"/>
                    <a:stretch>
                      <a:fillRect/>
                    </a:stretch>
                  </pic:blipFill>
                  <pic:spPr>
                    <a:xfrm>
                      <a:off x="0" y="0"/>
                      <a:ext cx="5274945" cy="3736340"/>
                    </a:xfrm>
                    <a:prstGeom prst="rect">
                      <a:avLst/>
                    </a:prstGeom>
                  </pic:spPr>
                </pic:pic>
              </a:graphicData>
            </a:graphic>
          </wp:inline>
        </w:drawing>
      </w:r>
      <w:r>
        <w:rPr>
          <w:noProof/>
        </w:rPr>
        <w:drawing>
          <wp:inline distT="0" distB="0" distL="0" distR="0">
            <wp:extent cx="5274945" cy="3745865"/>
            <wp:effectExtent l="19050" t="0" r="1905" b="0"/>
            <wp:docPr id="39" name="图片 38" descr="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png"/>
                    <pic:cNvPicPr/>
                  </pic:nvPicPr>
                  <pic:blipFill>
                    <a:blip r:embed="rId36"/>
                    <a:stretch>
                      <a:fillRect/>
                    </a:stretch>
                  </pic:blipFill>
                  <pic:spPr>
                    <a:xfrm>
                      <a:off x="0" y="0"/>
                      <a:ext cx="5274945" cy="3745865"/>
                    </a:xfrm>
                    <a:prstGeom prst="rect">
                      <a:avLst/>
                    </a:prstGeom>
                  </pic:spPr>
                </pic:pic>
              </a:graphicData>
            </a:graphic>
          </wp:inline>
        </w:drawing>
      </w:r>
      <w:r>
        <w:rPr>
          <w:noProof/>
        </w:rPr>
        <w:lastRenderedPageBreak/>
        <w:drawing>
          <wp:inline distT="0" distB="0" distL="0" distR="0">
            <wp:extent cx="5274945" cy="3674110"/>
            <wp:effectExtent l="19050" t="0" r="1905" b="0"/>
            <wp:docPr id="40" name="图片 39" descr="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png"/>
                    <pic:cNvPicPr/>
                  </pic:nvPicPr>
                  <pic:blipFill>
                    <a:blip r:embed="rId37"/>
                    <a:stretch>
                      <a:fillRect/>
                    </a:stretch>
                  </pic:blipFill>
                  <pic:spPr>
                    <a:xfrm>
                      <a:off x="0" y="0"/>
                      <a:ext cx="5274945" cy="3674110"/>
                    </a:xfrm>
                    <a:prstGeom prst="rect">
                      <a:avLst/>
                    </a:prstGeom>
                  </pic:spPr>
                </pic:pic>
              </a:graphicData>
            </a:graphic>
          </wp:inline>
        </w:drawing>
      </w:r>
      <w:r>
        <w:rPr>
          <w:noProof/>
        </w:rPr>
        <w:drawing>
          <wp:inline distT="0" distB="0" distL="0" distR="0">
            <wp:extent cx="5274945" cy="3601720"/>
            <wp:effectExtent l="19050" t="0" r="1905" b="0"/>
            <wp:docPr id="41" name="图片 40" descr="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png"/>
                    <pic:cNvPicPr/>
                  </pic:nvPicPr>
                  <pic:blipFill>
                    <a:blip r:embed="rId38"/>
                    <a:stretch>
                      <a:fillRect/>
                    </a:stretch>
                  </pic:blipFill>
                  <pic:spPr>
                    <a:xfrm>
                      <a:off x="0" y="0"/>
                      <a:ext cx="5274945" cy="3601720"/>
                    </a:xfrm>
                    <a:prstGeom prst="rect">
                      <a:avLst/>
                    </a:prstGeom>
                  </pic:spPr>
                </pic:pic>
              </a:graphicData>
            </a:graphic>
          </wp:inline>
        </w:drawing>
      </w:r>
      <w:r>
        <w:rPr>
          <w:noProof/>
        </w:rPr>
        <w:lastRenderedPageBreak/>
        <w:drawing>
          <wp:inline distT="0" distB="0" distL="0" distR="0">
            <wp:extent cx="5274945" cy="3655060"/>
            <wp:effectExtent l="19050" t="0" r="1905" b="0"/>
            <wp:docPr id="42" name="图片 41" descr="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png"/>
                    <pic:cNvPicPr/>
                  </pic:nvPicPr>
                  <pic:blipFill>
                    <a:blip r:embed="rId39"/>
                    <a:stretch>
                      <a:fillRect/>
                    </a:stretch>
                  </pic:blipFill>
                  <pic:spPr>
                    <a:xfrm>
                      <a:off x="0" y="0"/>
                      <a:ext cx="5274945" cy="3655060"/>
                    </a:xfrm>
                    <a:prstGeom prst="rect">
                      <a:avLst/>
                    </a:prstGeom>
                  </pic:spPr>
                </pic:pic>
              </a:graphicData>
            </a:graphic>
          </wp:inline>
        </w:drawing>
      </w:r>
      <w:r>
        <w:rPr>
          <w:noProof/>
        </w:rPr>
        <w:drawing>
          <wp:inline distT="0" distB="0" distL="0" distR="0">
            <wp:extent cx="5274945" cy="3653790"/>
            <wp:effectExtent l="19050" t="0" r="1905" b="0"/>
            <wp:docPr id="43" name="图片 42" descr="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png"/>
                    <pic:cNvPicPr/>
                  </pic:nvPicPr>
                  <pic:blipFill>
                    <a:blip r:embed="rId40"/>
                    <a:stretch>
                      <a:fillRect/>
                    </a:stretch>
                  </pic:blipFill>
                  <pic:spPr>
                    <a:xfrm>
                      <a:off x="0" y="0"/>
                      <a:ext cx="5274945" cy="3653790"/>
                    </a:xfrm>
                    <a:prstGeom prst="rect">
                      <a:avLst/>
                    </a:prstGeom>
                  </pic:spPr>
                </pic:pic>
              </a:graphicData>
            </a:graphic>
          </wp:inline>
        </w:drawing>
      </w:r>
      <w:r>
        <w:rPr>
          <w:noProof/>
        </w:rPr>
        <w:lastRenderedPageBreak/>
        <w:drawing>
          <wp:inline distT="0" distB="0" distL="0" distR="0">
            <wp:extent cx="5274945" cy="3672840"/>
            <wp:effectExtent l="19050" t="0" r="1905" b="0"/>
            <wp:docPr id="44" name="图片 43" descr="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png"/>
                    <pic:cNvPicPr/>
                  </pic:nvPicPr>
                  <pic:blipFill>
                    <a:blip r:embed="rId41"/>
                    <a:stretch>
                      <a:fillRect/>
                    </a:stretch>
                  </pic:blipFill>
                  <pic:spPr>
                    <a:xfrm>
                      <a:off x="0" y="0"/>
                      <a:ext cx="5274945" cy="3672840"/>
                    </a:xfrm>
                    <a:prstGeom prst="rect">
                      <a:avLst/>
                    </a:prstGeom>
                  </pic:spPr>
                </pic:pic>
              </a:graphicData>
            </a:graphic>
          </wp:inline>
        </w:drawing>
      </w:r>
      <w:r>
        <w:rPr>
          <w:noProof/>
        </w:rPr>
        <w:drawing>
          <wp:inline distT="0" distB="0" distL="0" distR="0">
            <wp:extent cx="5274945" cy="3728085"/>
            <wp:effectExtent l="19050" t="0" r="1905" b="0"/>
            <wp:docPr id="45" name="图片 44" descr="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png"/>
                    <pic:cNvPicPr/>
                  </pic:nvPicPr>
                  <pic:blipFill>
                    <a:blip r:embed="rId42"/>
                    <a:stretch>
                      <a:fillRect/>
                    </a:stretch>
                  </pic:blipFill>
                  <pic:spPr>
                    <a:xfrm>
                      <a:off x="0" y="0"/>
                      <a:ext cx="5274945" cy="3728085"/>
                    </a:xfrm>
                    <a:prstGeom prst="rect">
                      <a:avLst/>
                    </a:prstGeom>
                  </pic:spPr>
                </pic:pic>
              </a:graphicData>
            </a:graphic>
          </wp:inline>
        </w:drawing>
      </w:r>
    </w:p>
    <w:p w:rsidR="00DC6B00" w:rsidRDefault="00DC6B00" w:rsidP="00567ED2">
      <w:pPr>
        <w:pStyle w:val="a0"/>
        <w:spacing w:before="93"/>
      </w:pPr>
    </w:p>
    <w:p w:rsidR="00EC184F" w:rsidRDefault="00DC6B00">
      <w:pPr>
        <w:pStyle w:val="2"/>
        <w:numPr>
          <w:ilvl w:val="0"/>
          <w:numId w:val="4"/>
        </w:numPr>
        <w:rPr>
          <w:rStyle w:val="2Char"/>
          <w:rFonts w:ascii="仿宋" w:eastAsia="仿宋" w:hAnsi="仿宋"/>
        </w:rPr>
      </w:pPr>
      <w:bookmarkStart w:id="71" w:name="_Toc15396626"/>
      <w:r>
        <w:rPr>
          <w:rFonts w:ascii="仿宋" w:eastAsia="仿宋" w:hAnsi="仿宋" w:hint="eastAsia"/>
          <w:b w:val="0"/>
        </w:rPr>
        <w:lastRenderedPageBreak/>
        <w:t>一</w:t>
      </w:r>
      <w:r>
        <w:rPr>
          <w:rStyle w:val="2Char"/>
          <w:rFonts w:ascii="仿宋" w:eastAsia="仿宋" w:hAnsi="仿宋" w:hint="eastAsia"/>
        </w:rPr>
        <w:t>般公共预算财政拨款基本支出决算表</w:t>
      </w:r>
      <w:bookmarkEnd w:id="71"/>
    </w:p>
    <w:p w:rsidR="00EC184F" w:rsidRDefault="00EC184F"/>
    <w:p w:rsidR="00EC184F" w:rsidRDefault="00DC6B00" w:rsidP="00567ED2">
      <w:pPr>
        <w:pStyle w:val="a0"/>
        <w:spacing w:before="93"/>
      </w:pPr>
      <w:r>
        <w:rPr>
          <w:noProof/>
        </w:rPr>
        <w:drawing>
          <wp:inline distT="0" distB="0" distL="114300" distR="114300">
            <wp:extent cx="5267960" cy="3090545"/>
            <wp:effectExtent l="0" t="0" r="8890" b="14605"/>
            <wp:docPr id="1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
                    <pic:cNvPicPr>
                      <a:picLocks noChangeAspect="1"/>
                    </pic:cNvPicPr>
                  </pic:nvPicPr>
                  <pic:blipFill>
                    <a:blip r:embed="rId43"/>
                    <a:stretch>
                      <a:fillRect/>
                    </a:stretch>
                  </pic:blipFill>
                  <pic:spPr>
                    <a:xfrm>
                      <a:off x="0" y="0"/>
                      <a:ext cx="5267960" cy="3090545"/>
                    </a:xfrm>
                    <a:prstGeom prst="rect">
                      <a:avLst/>
                    </a:prstGeom>
                    <a:noFill/>
                    <a:ln>
                      <a:noFill/>
                    </a:ln>
                  </pic:spPr>
                </pic:pic>
              </a:graphicData>
            </a:graphic>
          </wp:inline>
        </w:drawing>
      </w:r>
    </w:p>
    <w:p w:rsidR="00EC184F" w:rsidRDefault="00EC184F" w:rsidP="00567ED2">
      <w:pPr>
        <w:pStyle w:val="a0"/>
        <w:spacing w:before="93"/>
      </w:pPr>
    </w:p>
    <w:p w:rsidR="00EC184F" w:rsidRDefault="00EC184F" w:rsidP="00567ED2">
      <w:pPr>
        <w:pStyle w:val="a0"/>
        <w:spacing w:before="93"/>
      </w:pPr>
    </w:p>
    <w:p w:rsidR="00EC184F" w:rsidRDefault="00EC184F" w:rsidP="00567ED2">
      <w:pPr>
        <w:pStyle w:val="a0"/>
        <w:spacing w:before="93"/>
      </w:pPr>
    </w:p>
    <w:p w:rsidR="00EC184F" w:rsidRDefault="00EC184F" w:rsidP="00567ED2">
      <w:pPr>
        <w:pStyle w:val="a0"/>
        <w:spacing w:before="93"/>
      </w:pPr>
    </w:p>
    <w:p w:rsidR="00EC184F" w:rsidRDefault="00EC184F" w:rsidP="00567ED2">
      <w:pPr>
        <w:pStyle w:val="a0"/>
        <w:spacing w:before="93"/>
      </w:pPr>
    </w:p>
    <w:p w:rsidR="00EC184F" w:rsidRDefault="00EC184F" w:rsidP="00567ED2">
      <w:pPr>
        <w:pStyle w:val="a0"/>
        <w:spacing w:before="93"/>
      </w:pPr>
    </w:p>
    <w:p w:rsidR="00EC184F" w:rsidRDefault="00EC184F" w:rsidP="00567ED2">
      <w:pPr>
        <w:pStyle w:val="a0"/>
        <w:spacing w:before="93"/>
      </w:pPr>
    </w:p>
    <w:p w:rsidR="00EC184F" w:rsidRDefault="00EC184F" w:rsidP="00567ED2">
      <w:pPr>
        <w:pStyle w:val="a0"/>
        <w:spacing w:before="93"/>
      </w:pPr>
    </w:p>
    <w:p w:rsidR="00EC184F" w:rsidRDefault="00EC184F" w:rsidP="00567ED2">
      <w:pPr>
        <w:pStyle w:val="a0"/>
        <w:spacing w:before="93"/>
      </w:pPr>
    </w:p>
    <w:p w:rsidR="00EC184F" w:rsidRDefault="00DC6B00">
      <w:pPr>
        <w:pStyle w:val="2"/>
        <w:numPr>
          <w:ilvl w:val="0"/>
          <w:numId w:val="4"/>
        </w:numPr>
        <w:rPr>
          <w:rStyle w:val="2Char"/>
          <w:rFonts w:ascii="仿宋" w:eastAsia="仿宋" w:hAnsi="仿宋"/>
        </w:rPr>
      </w:pPr>
      <w:bookmarkStart w:id="72" w:name="_Toc15396627"/>
      <w:r>
        <w:rPr>
          <w:rFonts w:ascii="仿宋" w:eastAsia="仿宋" w:hAnsi="仿宋" w:hint="eastAsia"/>
          <w:b w:val="0"/>
        </w:rPr>
        <w:lastRenderedPageBreak/>
        <w:t>一</w:t>
      </w:r>
      <w:r>
        <w:rPr>
          <w:rStyle w:val="2Char"/>
          <w:rFonts w:ascii="仿宋" w:eastAsia="仿宋" w:hAnsi="仿宋" w:hint="eastAsia"/>
        </w:rPr>
        <w:t>般公共预算财政拨款项目支出决算表</w:t>
      </w:r>
      <w:bookmarkEnd w:id="72"/>
    </w:p>
    <w:p w:rsidR="00EC184F" w:rsidRDefault="00EC184F"/>
    <w:p w:rsidR="00EC184F" w:rsidRDefault="00DC6B00" w:rsidP="00567ED2">
      <w:pPr>
        <w:pStyle w:val="a0"/>
        <w:spacing w:before="93"/>
      </w:pPr>
      <w:r>
        <w:rPr>
          <w:noProof/>
        </w:rPr>
        <w:drawing>
          <wp:inline distT="0" distB="0" distL="114300" distR="114300">
            <wp:extent cx="5272405" cy="5523865"/>
            <wp:effectExtent l="0" t="0" r="4445" b="635"/>
            <wp:docPr id="1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9"/>
                    <pic:cNvPicPr>
                      <a:picLocks noChangeAspect="1"/>
                    </pic:cNvPicPr>
                  </pic:nvPicPr>
                  <pic:blipFill>
                    <a:blip r:embed="rId44"/>
                    <a:stretch>
                      <a:fillRect/>
                    </a:stretch>
                  </pic:blipFill>
                  <pic:spPr>
                    <a:xfrm>
                      <a:off x="0" y="0"/>
                      <a:ext cx="5272405" cy="5523865"/>
                    </a:xfrm>
                    <a:prstGeom prst="rect">
                      <a:avLst/>
                    </a:prstGeom>
                    <a:noFill/>
                    <a:ln>
                      <a:noFill/>
                    </a:ln>
                  </pic:spPr>
                </pic:pic>
              </a:graphicData>
            </a:graphic>
          </wp:inline>
        </w:drawing>
      </w:r>
    </w:p>
    <w:p w:rsidR="00EC184F" w:rsidRDefault="00EC184F" w:rsidP="00567ED2">
      <w:pPr>
        <w:pStyle w:val="a0"/>
        <w:spacing w:before="93"/>
      </w:pPr>
    </w:p>
    <w:p w:rsidR="00EC184F" w:rsidRDefault="00EC184F" w:rsidP="00567ED2">
      <w:pPr>
        <w:pStyle w:val="a0"/>
        <w:spacing w:before="93"/>
      </w:pPr>
    </w:p>
    <w:p w:rsidR="00EC184F" w:rsidRDefault="00EC184F" w:rsidP="00567ED2">
      <w:pPr>
        <w:pStyle w:val="a0"/>
        <w:spacing w:before="93"/>
      </w:pPr>
    </w:p>
    <w:p w:rsidR="00EC184F" w:rsidRDefault="00EC184F" w:rsidP="00567ED2">
      <w:pPr>
        <w:pStyle w:val="a0"/>
        <w:spacing w:before="93"/>
      </w:pPr>
    </w:p>
    <w:p w:rsidR="00EC184F" w:rsidRDefault="00EC184F" w:rsidP="00567ED2">
      <w:pPr>
        <w:pStyle w:val="a0"/>
        <w:spacing w:before="93"/>
      </w:pPr>
    </w:p>
    <w:p w:rsidR="00EC184F" w:rsidRDefault="00DC6B00">
      <w:pPr>
        <w:pStyle w:val="2"/>
        <w:numPr>
          <w:ilvl w:val="0"/>
          <w:numId w:val="4"/>
        </w:numPr>
        <w:rPr>
          <w:rStyle w:val="2Char"/>
          <w:rFonts w:ascii="仿宋" w:eastAsia="仿宋" w:hAnsi="仿宋"/>
        </w:rPr>
      </w:pPr>
      <w:r>
        <w:rPr>
          <w:rFonts w:ascii="仿宋" w:eastAsia="仿宋" w:hAnsi="仿宋" w:hint="eastAsia"/>
          <w:b w:val="0"/>
        </w:rPr>
        <w:lastRenderedPageBreak/>
        <w:t>政</w:t>
      </w:r>
      <w:r>
        <w:rPr>
          <w:rStyle w:val="2Char"/>
          <w:rFonts w:ascii="仿宋" w:eastAsia="仿宋" w:hAnsi="仿宋" w:hint="eastAsia"/>
        </w:rPr>
        <w:t>府性基金预算财政拨款收入支出决算表</w:t>
      </w:r>
    </w:p>
    <w:p w:rsidR="00EC184F" w:rsidRDefault="00EC184F"/>
    <w:p w:rsidR="00EC184F" w:rsidRDefault="00DC6B00" w:rsidP="00567ED2">
      <w:pPr>
        <w:pStyle w:val="a0"/>
        <w:spacing w:before="93"/>
      </w:pPr>
      <w:r>
        <w:rPr>
          <w:noProof/>
        </w:rPr>
        <w:drawing>
          <wp:inline distT="0" distB="0" distL="114300" distR="114300">
            <wp:extent cx="5272405" cy="1901190"/>
            <wp:effectExtent l="0" t="0" r="4445" b="3810"/>
            <wp:docPr id="1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
                    <pic:cNvPicPr>
                      <a:picLocks noChangeAspect="1"/>
                    </pic:cNvPicPr>
                  </pic:nvPicPr>
                  <pic:blipFill>
                    <a:blip r:embed="rId45"/>
                    <a:stretch>
                      <a:fillRect/>
                    </a:stretch>
                  </pic:blipFill>
                  <pic:spPr>
                    <a:xfrm>
                      <a:off x="0" y="0"/>
                      <a:ext cx="5272405" cy="1901190"/>
                    </a:xfrm>
                    <a:prstGeom prst="rect">
                      <a:avLst/>
                    </a:prstGeom>
                    <a:noFill/>
                    <a:ln>
                      <a:noFill/>
                    </a:ln>
                  </pic:spPr>
                </pic:pic>
              </a:graphicData>
            </a:graphic>
          </wp:inline>
        </w:drawing>
      </w:r>
    </w:p>
    <w:p w:rsidR="00EC184F" w:rsidRDefault="00DC6B00">
      <w:pPr>
        <w:pStyle w:val="2"/>
        <w:numPr>
          <w:ilvl w:val="0"/>
          <w:numId w:val="4"/>
        </w:numPr>
        <w:rPr>
          <w:rStyle w:val="2Char"/>
          <w:rFonts w:ascii="仿宋" w:eastAsia="仿宋" w:hAnsi="仿宋"/>
        </w:rPr>
      </w:pPr>
      <w:r>
        <w:rPr>
          <w:rFonts w:ascii="仿宋" w:eastAsia="仿宋" w:hAnsi="仿宋" w:hint="eastAsia"/>
          <w:b w:val="0"/>
        </w:rPr>
        <w:t>国</w:t>
      </w:r>
      <w:r>
        <w:rPr>
          <w:rStyle w:val="2Char"/>
          <w:rFonts w:ascii="仿宋" w:eastAsia="仿宋" w:hAnsi="仿宋" w:hint="eastAsia"/>
        </w:rPr>
        <w:t>有资本经营预算财政拨款收入支出决算表</w:t>
      </w:r>
    </w:p>
    <w:p w:rsidR="00EC184F" w:rsidRDefault="00EC184F"/>
    <w:p w:rsidR="00EC184F" w:rsidRDefault="00DC6B00" w:rsidP="00567ED2">
      <w:pPr>
        <w:pStyle w:val="a0"/>
        <w:spacing w:before="93"/>
      </w:pPr>
      <w:r>
        <w:rPr>
          <w:noProof/>
        </w:rPr>
        <w:drawing>
          <wp:inline distT="0" distB="0" distL="114300" distR="114300">
            <wp:extent cx="5271135" cy="2417445"/>
            <wp:effectExtent l="0" t="0" r="5715" b="1905"/>
            <wp:docPr id="1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1"/>
                    <pic:cNvPicPr>
                      <a:picLocks noChangeAspect="1"/>
                    </pic:cNvPicPr>
                  </pic:nvPicPr>
                  <pic:blipFill>
                    <a:blip r:embed="rId46"/>
                    <a:stretch>
                      <a:fillRect/>
                    </a:stretch>
                  </pic:blipFill>
                  <pic:spPr>
                    <a:xfrm>
                      <a:off x="0" y="0"/>
                      <a:ext cx="5271135" cy="2417445"/>
                    </a:xfrm>
                    <a:prstGeom prst="rect">
                      <a:avLst/>
                    </a:prstGeom>
                    <a:noFill/>
                    <a:ln>
                      <a:noFill/>
                    </a:ln>
                  </pic:spPr>
                </pic:pic>
              </a:graphicData>
            </a:graphic>
          </wp:inline>
        </w:drawing>
      </w:r>
    </w:p>
    <w:p w:rsidR="00EC184F" w:rsidRDefault="00EC184F" w:rsidP="00567ED2">
      <w:pPr>
        <w:pStyle w:val="a0"/>
        <w:spacing w:before="93"/>
      </w:pPr>
    </w:p>
    <w:p w:rsidR="00EC184F" w:rsidRDefault="00EC184F" w:rsidP="00567ED2">
      <w:pPr>
        <w:pStyle w:val="a0"/>
        <w:spacing w:before="93"/>
      </w:pPr>
    </w:p>
    <w:p w:rsidR="00EC184F" w:rsidRDefault="00EC184F" w:rsidP="00567ED2">
      <w:pPr>
        <w:pStyle w:val="a0"/>
        <w:spacing w:before="93"/>
      </w:pPr>
    </w:p>
    <w:p w:rsidR="00EC184F" w:rsidRDefault="00EC184F" w:rsidP="00567ED2">
      <w:pPr>
        <w:pStyle w:val="a0"/>
        <w:spacing w:before="93"/>
      </w:pPr>
    </w:p>
    <w:p w:rsidR="00EC184F" w:rsidRDefault="00EC184F" w:rsidP="00567ED2">
      <w:pPr>
        <w:pStyle w:val="a0"/>
        <w:spacing w:before="93"/>
      </w:pPr>
    </w:p>
    <w:p w:rsidR="00EC184F" w:rsidRDefault="00DC6B00">
      <w:pPr>
        <w:pStyle w:val="2"/>
        <w:numPr>
          <w:ilvl w:val="0"/>
          <w:numId w:val="4"/>
        </w:numPr>
        <w:rPr>
          <w:rStyle w:val="2Char"/>
          <w:rFonts w:ascii="仿宋" w:eastAsia="仿宋" w:hAnsi="仿宋"/>
        </w:rPr>
      </w:pPr>
      <w:r>
        <w:rPr>
          <w:rStyle w:val="2Char"/>
          <w:rFonts w:ascii="仿宋" w:eastAsia="仿宋" w:hAnsi="仿宋" w:hint="eastAsia"/>
        </w:rPr>
        <w:lastRenderedPageBreak/>
        <w:t>国有资本经营预算财政拨款支出决算表</w:t>
      </w:r>
    </w:p>
    <w:p w:rsidR="00EC184F" w:rsidRDefault="00EC184F"/>
    <w:p w:rsidR="00EC184F" w:rsidRDefault="00EC184F" w:rsidP="00567ED2">
      <w:pPr>
        <w:pStyle w:val="a0"/>
        <w:spacing w:before="93"/>
      </w:pPr>
    </w:p>
    <w:p w:rsidR="00EC184F" w:rsidRDefault="00DC6B00" w:rsidP="00567ED2">
      <w:pPr>
        <w:pStyle w:val="a0"/>
        <w:spacing w:before="93"/>
      </w:pPr>
      <w:r>
        <w:rPr>
          <w:noProof/>
        </w:rPr>
        <w:drawing>
          <wp:inline distT="0" distB="0" distL="114300" distR="114300">
            <wp:extent cx="5269865" cy="2543810"/>
            <wp:effectExtent l="0" t="0" r="6985" b="8890"/>
            <wp:docPr id="2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3"/>
                    <pic:cNvPicPr>
                      <a:picLocks noChangeAspect="1"/>
                    </pic:cNvPicPr>
                  </pic:nvPicPr>
                  <pic:blipFill>
                    <a:blip r:embed="rId47"/>
                    <a:stretch>
                      <a:fillRect/>
                    </a:stretch>
                  </pic:blipFill>
                  <pic:spPr>
                    <a:xfrm>
                      <a:off x="0" y="0"/>
                      <a:ext cx="5269865" cy="2543810"/>
                    </a:xfrm>
                    <a:prstGeom prst="rect">
                      <a:avLst/>
                    </a:prstGeom>
                    <a:noFill/>
                    <a:ln>
                      <a:noFill/>
                    </a:ln>
                  </pic:spPr>
                </pic:pic>
              </a:graphicData>
            </a:graphic>
          </wp:inline>
        </w:drawing>
      </w:r>
    </w:p>
    <w:p w:rsidR="00EC184F" w:rsidRDefault="00EC184F" w:rsidP="00567ED2">
      <w:pPr>
        <w:pStyle w:val="a0"/>
        <w:spacing w:before="93"/>
      </w:pPr>
    </w:p>
    <w:p w:rsidR="00EC184F" w:rsidRDefault="00EC184F" w:rsidP="00567ED2">
      <w:pPr>
        <w:pStyle w:val="a0"/>
        <w:spacing w:before="93"/>
      </w:pPr>
    </w:p>
    <w:p w:rsidR="00EC184F" w:rsidRDefault="00EC184F" w:rsidP="00567ED2">
      <w:pPr>
        <w:pStyle w:val="a0"/>
        <w:spacing w:before="93"/>
      </w:pPr>
    </w:p>
    <w:p w:rsidR="00EC184F" w:rsidRDefault="00DC6B00">
      <w:pPr>
        <w:pStyle w:val="2"/>
        <w:numPr>
          <w:ilvl w:val="0"/>
          <w:numId w:val="4"/>
        </w:numPr>
        <w:rPr>
          <w:rStyle w:val="2Char"/>
          <w:rFonts w:ascii="仿宋" w:eastAsia="仿宋" w:hAnsi="仿宋"/>
        </w:rPr>
      </w:pPr>
      <w:r>
        <w:rPr>
          <w:rStyle w:val="2Char"/>
          <w:rFonts w:ascii="仿宋" w:eastAsia="仿宋" w:hAnsi="仿宋" w:hint="eastAsia"/>
        </w:rPr>
        <w:t>财政拨款“三公”经费支出决算表</w:t>
      </w:r>
    </w:p>
    <w:p w:rsidR="00EC184F" w:rsidRDefault="00DC6B00">
      <w:r>
        <w:rPr>
          <w:noProof/>
        </w:rPr>
        <w:drawing>
          <wp:inline distT="0" distB="0" distL="114300" distR="114300">
            <wp:extent cx="5269230" cy="1087755"/>
            <wp:effectExtent l="0" t="0" r="7620" b="17145"/>
            <wp:docPr id="2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4"/>
                    <pic:cNvPicPr>
                      <a:picLocks noChangeAspect="1"/>
                    </pic:cNvPicPr>
                  </pic:nvPicPr>
                  <pic:blipFill>
                    <a:blip r:embed="rId48"/>
                    <a:stretch>
                      <a:fillRect/>
                    </a:stretch>
                  </pic:blipFill>
                  <pic:spPr>
                    <a:xfrm>
                      <a:off x="0" y="0"/>
                      <a:ext cx="5269230" cy="1087755"/>
                    </a:xfrm>
                    <a:prstGeom prst="rect">
                      <a:avLst/>
                    </a:prstGeom>
                    <a:noFill/>
                    <a:ln>
                      <a:noFill/>
                    </a:ln>
                  </pic:spPr>
                </pic:pic>
              </a:graphicData>
            </a:graphic>
          </wp:inline>
        </w:drawing>
      </w:r>
    </w:p>
    <w:sectPr w:rsidR="00EC184F" w:rsidSect="00567ED2">
      <w:headerReference w:type="default" r:id="rId49"/>
      <w:footerReference w:type="default" r:id="rId50"/>
      <w:pgSz w:w="11907" w:h="16839" w:code="9"/>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3007" w:rsidRDefault="009C3007" w:rsidP="00EC184F">
      <w:r>
        <w:separator/>
      </w:r>
    </w:p>
  </w:endnote>
  <w:endnote w:type="continuationSeparator" w:id="1">
    <w:p w:rsidR="009C3007" w:rsidRDefault="009C3007" w:rsidP="00EC18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0"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楷体_GB2312">
    <w:altName w:val="微软雅黑"/>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56525"/>
    </w:sdtPr>
    <w:sdtContent>
      <w:p w:rsidR="00DC6B00" w:rsidRDefault="00886416">
        <w:pPr>
          <w:pStyle w:val="a6"/>
          <w:jc w:val="center"/>
        </w:pPr>
        <w:r w:rsidRPr="00886416">
          <w:fldChar w:fldCharType="begin"/>
        </w:r>
        <w:r w:rsidR="00DC6B00">
          <w:instrText>PAGE   \* MERGEFORMAT</w:instrText>
        </w:r>
        <w:r w:rsidRPr="00886416">
          <w:fldChar w:fldCharType="separate"/>
        </w:r>
        <w:r w:rsidR="00711C45" w:rsidRPr="00711C45">
          <w:rPr>
            <w:noProof/>
            <w:lang w:val="zh-CN"/>
          </w:rPr>
          <w:t>20</w:t>
        </w:r>
        <w:r>
          <w:rPr>
            <w:lang w:val="zh-CN"/>
          </w:rPr>
          <w:fldChar w:fldCharType="end"/>
        </w:r>
      </w:p>
    </w:sdtContent>
  </w:sdt>
  <w:p w:rsidR="00DC6B00" w:rsidRDefault="00DC6B00">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3007" w:rsidRDefault="009C3007" w:rsidP="00EC184F">
      <w:r>
        <w:separator/>
      </w:r>
    </w:p>
  </w:footnote>
  <w:footnote w:type="continuationSeparator" w:id="1">
    <w:p w:rsidR="009C3007" w:rsidRDefault="009C3007" w:rsidP="00EC184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B00" w:rsidRDefault="00DC6B00">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D87675"/>
    <w:multiLevelType w:val="singleLevel"/>
    <w:tmpl w:val="82D87675"/>
    <w:lvl w:ilvl="0">
      <w:start w:val="2"/>
      <w:numFmt w:val="chineseCounting"/>
      <w:suff w:val="nothing"/>
      <w:lvlText w:val="%1、"/>
      <w:lvlJc w:val="left"/>
      <w:rPr>
        <w:rFonts w:hint="eastAsia"/>
      </w:r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1361C"/>
    <w:rsid w:val="D8D6DB89"/>
    <w:rsid w:val="DB6F4CAB"/>
    <w:rsid w:val="DF6F9789"/>
    <w:rsid w:val="00005D27"/>
    <w:rsid w:val="000142FB"/>
    <w:rsid w:val="000222C6"/>
    <w:rsid w:val="0002549F"/>
    <w:rsid w:val="000379E1"/>
    <w:rsid w:val="00041088"/>
    <w:rsid w:val="000425D8"/>
    <w:rsid w:val="000468DB"/>
    <w:rsid w:val="000513B9"/>
    <w:rsid w:val="00052AB9"/>
    <w:rsid w:val="0006487A"/>
    <w:rsid w:val="00065F8F"/>
    <w:rsid w:val="00070A43"/>
    <w:rsid w:val="00070BE6"/>
    <w:rsid w:val="000768F2"/>
    <w:rsid w:val="000863E8"/>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6613"/>
    <w:rsid w:val="000E7119"/>
    <w:rsid w:val="00114E9B"/>
    <w:rsid w:val="00115EF5"/>
    <w:rsid w:val="001337CD"/>
    <w:rsid w:val="00135DD1"/>
    <w:rsid w:val="00142216"/>
    <w:rsid w:val="00144D6A"/>
    <w:rsid w:val="0014729F"/>
    <w:rsid w:val="00157BAB"/>
    <w:rsid w:val="001654D1"/>
    <w:rsid w:val="00174518"/>
    <w:rsid w:val="0018106D"/>
    <w:rsid w:val="001877A7"/>
    <w:rsid w:val="00191536"/>
    <w:rsid w:val="00195EDE"/>
    <w:rsid w:val="00196687"/>
    <w:rsid w:val="001C0962"/>
    <w:rsid w:val="001D7531"/>
    <w:rsid w:val="001E737D"/>
    <w:rsid w:val="001F0592"/>
    <w:rsid w:val="001F7506"/>
    <w:rsid w:val="002006CD"/>
    <w:rsid w:val="00202B36"/>
    <w:rsid w:val="002039D0"/>
    <w:rsid w:val="00204B7A"/>
    <w:rsid w:val="00204CDE"/>
    <w:rsid w:val="00207B55"/>
    <w:rsid w:val="0021101A"/>
    <w:rsid w:val="00220536"/>
    <w:rsid w:val="0022527F"/>
    <w:rsid w:val="00235629"/>
    <w:rsid w:val="00260C38"/>
    <w:rsid w:val="002616C0"/>
    <w:rsid w:val="00265372"/>
    <w:rsid w:val="002662AA"/>
    <w:rsid w:val="00280496"/>
    <w:rsid w:val="00293ADF"/>
    <w:rsid w:val="00294DC9"/>
    <w:rsid w:val="00295495"/>
    <w:rsid w:val="002A31DE"/>
    <w:rsid w:val="002A66F7"/>
    <w:rsid w:val="002B11CD"/>
    <w:rsid w:val="002B2613"/>
    <w:rsid w:val="002D6D05"/>
    <w:rsid w:val="002F1818"/>
    <w:rsid w:val="002F47E0"/>
    <w:rsid w:val="002F567B"/>
    <w:rsid w:val="003216A9"/>
    <w:rsid w:val="0033467C"/>
    <w:rsid w:val="00335A74"/>
    <w:rsid w:val="00354C31"/>
    <w:rsid w:val="00357322"/>
    <w:rsid w:val="0036561B"/>
    <w:rsid w:val="0037013F"/>
    <w:rsid w:val="003753C4"/>
    <w:rsid w:val="00380C92"/>
    <w:rsid w:val="003A484F"/>
    <w:rsid w:val="003A4883"/>
    <w:rsid w:val="003A5509"/>
    <w:rsid w:val="003B0BE0"/>
    <w:rsid w:val="003B0C1B"/>
    <w:rsid w:val="003B688C"/>
    <w:rsid w:val="003C0291"/>
    <w:rsid w:val="003C39AE"/>
    <w:rsid w:val="003C4B0A"/>
    <w:rsid w:val="003C6115"/>
    <w:rsid w:val="003C7B60"/>
    <w:rsid w:val="003D0C0F"/>
    <w:rsid w:val="003D1FB2"/>
    <w:rsid w:val="003D66DA"/>
    <w:rsid w:val="003E1310"/>
    <w:rsid w:val="003E6F55"/>
    <w:rsid w:val="00406254"/>
    <w:rsid w:val="004160B0"/>
    <w:rsid w:val="004223DE"/>
    <w:rsid w:val="00432A28"/>
    <w:rsid w:val="00434489"/>
    <w:rsid w:val="00437085"/>
    <w:rsid w:val="00443880"/>
    <w:rsid w:val="004464F4"/>
    <w:rsid w:val="00471401"/>
    <w:rsid w:val="00473F31"/>
    <w:rsid w:val="00474B01"/>
    <w:rsid w:val="0048263A"/>
    <w:rsid w:val="00487E5D"/>
    <w:rsid w:val="004A711F"/>
    <w:rsid w:val="004B199D"/>
    <w:rsid w:val="004B4690"/>
    <w:rsid w:val="004B5719"/>
    <w:rsid w:val="004C0838"/>
    <w:rsid w:val="004D429F"/>
    <w:rsid w:val="004E0A2D"/>
    <w:rsid w:val="004E10C1"/>
    <w:rsid w:val="004E206B"/>
    <w:rsid w:val="004E6DF7"/>
    <w:rsid w:val="004F0FBD"/>
    <w:rsid w:val="004F718E"/>
    <w:rsid w:val="00505A47"/>
    <w:rsid w:val="00512FDA"/>
    <w:rsid w:val="005142C5"/>
    <w:rsid w:val="00520DA0"/>
    <w:rsid w:val="00527C97"/>
    <w:rsid w:val="005664BB"/>
    <w:rsid w:val="00566FFA"/>
    <w:rsid w:val="00567ED2"/>
    <w:rsid w:val="0057481D"/>
    <w:rsid w:val="005750A3"/>
    <w:rsid w:val="00581B85"/>
    <w:rsid w:val="0058486E"/>
    <w:rsid w:val="00585B33"/>
    <w:rsid w:val="0059014D"/>
    <w:rsid w:val="00595DBD"/>
    <w:rsid w:val="00597F72"/>
    <w:rsid w:val="005A2646"/>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2FBC"/>
    <w:rsid w:val="006440E4"/>
    <w:rsid w:val="0066343B"/>
    <w:rsid w:val="00664777"/>
    <w:rsid w:val="006748A4"/>
    <w:rsid w:val="00681A31"/>
    <w:rsid w:val="0068375D"/>
    <w:rsid w:val="00683E73"/>
    <w:rsid w:val="00696355"/>
    <w:rsid w:val="006A3141"/>
    <w:rsid w:val="006A5E34"/>
    <w:rsid w:val="006B2422"/>
    <w:rsid w:val="006B2B9A"/>
    <w:rsid w:val="006C1937"/>
    <w:rsid w:val="006F020C"/>
    <w:rsid w:val="00711C45"/>
    <w:rsid w:val="00711EB1"/>
    <w:rsid w:val="007127B7"/>
    <w:rsid w:val="0071798E"/>
    <w:rsid w:val="00737EFD"/>
    <w:rsid w:val="007416B6"/>
    <w:rsid w:val="00746F48"/>
    <w:rsid w:val="0075404D"/>
    <w:rsid w:val="007540CD"/>
    <w:rsid w:val="0076182A"/>
    <w:rsid w:val="00765B2E"/>
    <w:rsid w:val="00767B7E"/>
    <w:rsid w:val="00771F03"/>
    <w:rsid w:val="00773D69"/>
    <w:rsid w:val="007770C3"/>
    <w:rsid w:val="00784D24"/>
    <w:rsid w:val="00785FBA"/>
    <w:rsid w:val="00786E4A"/>
    <w:rsid w:val="007875EB"/>
    <w:rsid w:val="0079426B"/>
    <w:rsid w:val="007A3425"/>
    <w:rsid w:val="007B1667"/>
    <w:rsid w:val="007C4430"/>
    <w:rsid w:val="007D1682"/>
    <w:rsid w:val="007D312A"/>
    <w:rsid w:val="007D3F19"/>
    <w:rsid w:val="007E23B0"/>
    <w:rsid w:val="007E23E5"/>
    <w:rsid w:val="007E758D"/>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60DD2"/>
    <w:rsid w:val="00863004"/>
    <w:rsid w:val="00871F71"/>
    <w:rsid w:val="00872FD8"/>
    <w:rsid w:val="008757EA"/>
    <w:rsid w:val="00876C5F"/>
    <w:rsid w:val="00885AF4"/>
    <w:rsid w:val="00886416"/>
    <w:rsid w:val="008939CD"/>
    <w:rsid w:val="00893C31"/>
    <w:rsid w:val="008A64B7"/>
    <w:rsid w:val="008B768C"/>
    <w:rsid w:val="008C4DB1"/>
    <w:rsid w:val="008C4EAF"/>
    <w:rsid w:val="008C5176"/>
    <w:rsid w:val="008C7FD0"/>
    <w:rsid w:val="008E1DE7"/>
    <w:rsid w:val="008E707C"/>
    <w:rsid w:val="008F7771"/>
    <w:rsid w:val="00900B08"/>
    <w:rsid w:val="00902155"/>
    <w:rsid w:val="00902FA3"/>
    <w:rsid w:val="00904DAA"/>
    <w:rsid w:val="00907557"/>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C3007"/>
    <w:rsid w:val="009D3447"/>
    <w:rsid w:val="009D4711"/>
    <w:rsid w:val="009D5CBA"/>
    <w:rsid w:val="009F1185"/>
    <w:rsid w:val="009F18CD"/>
    <w:rsid w:val="009F2A13"/>
    <w:rsid w:val="009F7527"/>
    <w:rsid w:val="00A04EB0"/>
    <w:rsid w:val="00A13CC1"/>
    <w:rsid w:val="00A16847"/>
    <w:rsid w:val="00A237D8"/>
    <w:rsid w:val="00A268C4"/>
    <w:rsid w:val="00A307CD"/>
    <w:rsid w:val="00A32477"/>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A3C52"/>
    <w:rsid w:val="00AB64C9"/>
    <w:rsid w:val="00AC3C6A"/>
    <w:rsid w:val="00AC6DE7"/>
    <w:rsid w:val="00AD5620"/>
    <w:rsid w:val="00AD656B"/>
    <w:rsid w:val="00AD6763"/>
    <w:rsid w:val="00AD7C1B"/>
    <w:rsid w:val="00AE16BA"/>
    <w:rsid w:val="00AE1EBE"/>
    <w:rsid w:val="00AF7E45"/>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675C6"/>
    <w:rsid w:val="00B7223A"/>
    <w:rsid w:val="00B77EA6"/>
    <w:rsid w:val="00B81598"/>
    <w:rsid w:val="00B841F1"/>
    <w:rsid w:val="00B90A81"/>
    <w:rsid w:val="00B944D6"/>
    <w:rsid w:val="00B96FD4"/>
    <w:rsid w:val="00BB4DF0"/>
    <w:rsid w:val="00BB5A3D"/>
    <w:rsid w:val="00BC289F"/>
    <w:rsid w:val="00BC2D50"/>
    <w:rsid w:val="00BC5361"/>
    <w:rsid w:val="00BC5460"/>
    <w:rsid w:val="00BC6B50"/>
    <w:rsid w:val="00BD0E25"/>
    <w:rsid w:val="00BE083A"/>
    <w:rsid w:val="00BF5BD6"/>
    <w:rsid w:val="00C03E31"/>
    <w:rsid w:val="00C12B11"/>
    <w:rsid w:val="00C30159"/>
    <w:rsid w:val="00C33E72"/>
    <w:rsid w:val="00C354B2"/>
    <w:rsid w:val="00C35554"/>
    <w:rsid w:val="00C403A1"/>
    <w:rsid w:val="00C42709"/>
    <w:rsid w:val="00C533CC"/>
    <w:rsid w:val="00C55918"/>
    <w:rsid w:val="00C5751C"/>
    <w:rsid w:val="00C61BFC"/>
    <w:rsid w:val="00C62B85"/>
    <w:rsid w:val="00C65438"/>
    <w:rsid w:val="00C87FD8"/>
    <w:rsid w:val="00C91381"/>
    <w:rsid w:val="00C91CBB"/>
    <w:rsid w:val="00CB287A"/>
    <w:rsid w:val="00CB4E70"/>
    <w:rsid w:val="00CC09B6"/>
    <w:rsid w:val="00CC666F"/>
    <w:rsid w:val="00CD1E3F"/>
    <w:rsid w:val="00CD2311"/>
    <w:rsid w:val="00CE44F6"/>
    <w:rsid w:val="00CE49DA"/>
    <w:rsid w:val="00CE7B61"/>
    <w:rsid w:val="00CF2FD5"/>
    <w:rsid w:val="00D00095"/>
    <w:rsid w:val="00D114F0"/>
    <w:rsid w:val="00D20620"/>
    <w:rsid w:val="00D254F7"/>
    <w:rsid w:val="00D26091"/>
    <w:rsid w:val="00D2685C"/>
    <w:rsid w:val="00D34E7C"/>
    <w:rsid w:val="00D35489"/>
    <w:rsid w:val="00D3638E"/>
    <w:rsid w:val="00D36AFE"/>
    <w:rsid w:val="00D51276"/>
    <w:rsid w:val="00D7035F"/>
    <w:rsid w:val="00D90616"/>
    <w:rsid w:val="00DA4FA4"/>
    <w:rsid w:val="00DA634F"/>
    <w:rsid w:val="00DA65AC"/>
    <w:rsid w:val="00DB1913"/>
    <w:rsid w:val="00DC410D"/>
    <w:rsid w:val="00DC5A81"/>
    <w:rsid w:val="00DC68CA"/>
    <w:rsid w:val="00DC6B00"/>
    <w:rsid w:val="00DC7CBA"/>
    <w:rsid w:val="00DD73B7"/>
    <w:rsid w:val="00DE54F9"/>
    <w:rsid w:val="00DF28BC"/>
    <w:rsid w:val="00DF34B9"/>
    <w:rsid w:val="00DF49F1"/>
    <w:rsid w:val="00E01053"/>
    <w:rsid w:val="00E07ACF"/>
    <w:rsid w:val="00E113FC"/>
    <w:rsid w:val="00E32E0D"/>
    <w:rsid w:val="00E331A1"/>
    <w:rsid w:val="00E33202"/>
    <w:rsid w:val="00E336A9"/>
    <w:rsid w:val="00E472B1"/>
    <w:rsid w:val="00E50624"/>
    <w:rsid w:val="00E5174E"/>
    <w:rsid w:val="00E568DF"/>
    <w:rsid w:val="00E64269"/>
    <w:rsid w:val="00E66224"/>
    <w:rsid w:val="00E82267"/>
    <w:rsid w:val="00E82457"/>
    <w:rsid w:val="00E853CE"/>
    <w:rsid w:val="00E867B6"/>
    <w:rsid w:val="00EA010F"/>
    <w:rsid w:val="00EC184F"/>
    <w:rsid w:val="00EC58D3"/>
    <w:rsid w:val="00ED1B63"/>
    <w:rsid w:val="00ED3C1F"/>
    <w:rsid w:val="00ED4085"/>
    <w:rsid w:val="00ED420E"/>
    <w:rsid w:val="00ED6FBE"/>
    <w:rsid w:val="00EE2F57"/>
    <w:rsid w:val="00EF4C34"/>
    <w:rsid w:val="00EF77C6"/>
    <w:rsid w:val="00F05438"/>
    <w:rsid w:val="00F05D1B"/>
    <w:rsid w:val="00F1361C"/>
    <w:rsid w:val="00F156F0"/>
    <w:rsid w:val="00F160C7"/>
    <w:rsid w:val="00F176A8"/>
    <w:rsid w:val="00F2408F"/>
    <w:rsid w:val="00F240E9"/>
    <w:rsid w:val="00F351CE"/>
    <w:rsid w:val="00F36D8F"/>
    <w:rsid w:val="00F417B1"/>
    <w:rsid w:val="00F45853"/>
    <w:rsid w:val="00F503A7"/>
    <w:rsid w:val="00F602DF"/>
    <w:rsid w:val="00F754A1"/>
    <w:rsid w:val="00F81FD9"/>
    <w:rsid w:val="00F841AA"/>
    <w:rsid w:val="00F84A94"/>
    <w:rsid w:val="00F87E96"/>
    <w:rsid w:val="00FA23E8"/>
    <w:rsid w:val="00FB6EE0"/>
    <w:rsid w:val="00FD3CC1"/>
    <w:rsid w:val="00FD584A"/>
    <w:rsid w:val="00FE4FD9"/>
    <w:rsid w:val="00FF1E02"/>
    <w:rsid w:val="00FF30B4"/>
    <w:rsid w:val="015975B8"/>
    <w:rsid w:val="02143E91"/>
    <w:rsid w:val="066E0107"/>
    <w:rsid w:val="07996F6E"/>
    <w:rsid w:val="08F80883"/>
    <w:rsid w:val="0A2032A3"/>
    <w:rsid w:val="0F98263C"/>
    <w:rsid w:val="101860EC"/>
    <w:rsid w:val="10C055FF"/>
    <w:rsid w:val="118107EC"/>
    <w:rsid w:val="13D50BC4"/>
    <w:rsid w:val="16BB723D"/>
    <w:rsid w:val="17044252"/>
    <w:rsid w:val="1BE8440E"/>
    <w:rsid w:val="1D155CEE"/>
    <w:rsid w:val="1FF35744"/>
    <w:rsid w:val="23860B96"/>
    <w:rsid w:val="240371BF"/>
    <w:rsid w:val="29FD04D3"/>
    <w:rsid w:val="2C8A61B5"/>
    <w:rsid w:val="2DF04E50"/>
    <w:rsid w:val="2F040D46"/>
    <w:rsid w:val="30952F75"/>
    <w:rsid w:val="319F7F4E"/>
    <w:rsid w:val="32EC20E8"/>
    <w:rsid w:val="3304709D"/>
    <w:rsid w:val="36AA5135"/>
    <w:rsid w:val="376D39B2"/>
    <w:rsid w:val="37E16F03"/>
    <w:rsid w:val="38D469F0"/>
    <w:rsid w:val="3D98207C"/>
    <w:rsid w:val="3E78745D"/>
    <w:rsid w:val="44E268DA"/>
    <w:rsid w:val="4A627F82"/>
    <w:rsid w:val="4A7D1808"/>
    <w:rsid w:val="4B0E749A"/>
    <w:rsid w:val="4B4F25DA"/>
    <w:rsid w:val="4BE068DB"/>
    <w:rsid w:val="4D577224"/>
    <w:rsid w:val="4EAB630A"/>
    <w:rsid w:val="4ECE2238"/>
    <w:rsid w:val="537E6D0A"/>
    <w:rsid w:val="5AF92295"/>
    <w:rsid w:val="5CD71FC4"/>
    <w:rsid w:val="61D329E3"/>
    <w:rsid w:val="62E0512D"/>
    <w:rsid w:val="6C4A05C8"/>
    <w:rsid w:val="6E7E3605"/>
    <w:rsid w:val="6FF5CC65"/>
    <w:rsid w:val="715C0E4B"/>
    <w:rsid w:val="72734D90"/>
    <w:rsid w:val="73AD73D5"/>
    <w:rsid w:val="73B6EB34"/>
    <w:rsid w:val="744731E5"/>
    <w:rsid w:val="76E3355F"/>
    <w:rsid w:val="778769C8"/>
    <w:rsid w:val="79EE5BA4"/>
    <w:rsid w:val="7A894339"/>
    <w:rsid w:val="7EEF11D3"/>
    <w:rsid w:val="7FA30C79"/>
    <w:rsid w:val="7FB7269E"/>
    <w:rsid w:val="7FC966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EC184F"/>
    <w:pPr>
      <w:widowControl w:val="0"/>
      <w:jc w:val="both"/>
    </w:pPr>
    <w:rPr>
      <w:kern w:val="2"/>
      <w:sz w:val="21"/>
      <w:szCs w:val="24"/>
    </w:rPr>
  </w:style>
  <w:style w:type="paragraph" w:styleId="1">
    <w:name w:val="heading 1"/>
    <w:basedOn w:val="a"/>
    <w:next w:val="a"/>
    <w:link w:val="1Char"/>
    <w:uiPriority w:val="9"/>
    <w:qFormat/>
    <w:rsid w:val="00EC184F"/>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C184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EC184F"/>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EC184F"/>
    <w:pPr>
      <w:spacing w:beforeLines="30"/>
    </w:pPr>
    <w:rPr>
      <w:rFonts w:ascii="仿宋_GB2312" w:eastAsia="仿宋_GB2312"/>
      <w:kern w:val="0"/>
      <w:sz w:val="30"/>
    </w:rPr>
  </w:style>
  <w:style w:type="paragraph" w:styleId="a4">
    <w:name w:val="Body Text Indent"/>
    <w:basedOn w:val="a"/>
    <w:qFormat/>
    <w:rsid w:val="00EC184F"/>
    <w:pPr>
      <w:spacing w:after="120"/>
      <w:ind w:leftChars="200" w:left="200"/>
    </w:pPr>
    <w:rPr>
      <w:rFonts w:ascii="仿宋_GB2312"/>
      <w:szCs w:val="32"/>
    </w:rPr>
  </w:style>
  <w:style w:type="paragraph" w:styleId="30">
    <w:name w:val="toc 3"/>
    <w:basedOn w:val="a"/>
    <w:next w:val="a"/>
    <w:uiPriority w:val="39"/>
    <w:unhideWhenUsed/>
    <w:qFormat/>
    <w:rsid w:val="00EC184F"/>
    <w:pPr>
      <w:tabs>
        <w:tab w:val="right" w:leader="dot" w:pos="8296"/>
      </w:tabs>
      <w:ind w:leftChars="400" w:left="840"/>
    </w:pPr>
  </w:style>
  <w:style w:type="paragraph" w:styleId="a5">
    <w:name w:val="Balloon Text"/>
    <w:basedOn w:val="a"/>
    <w:link w:val="Char0"/>
    <w:uiPriority w:val="99"/>
    <w:semiHidden/>
    <w:unhideWhenUsed/>
    <w:qFormat/>
    <w:rsid w:val="00EC184F"/>
    <w:rPr>
      <w:sz w:val="18"/>
      <w:szCs w:val="18"/>
    </w:rPr>
  </w:style>
  <w:style w:type="paragraph" w:styleId="a6">
    <w:name w:val="footer"/>
    <w:basedOn w:val="a"/>
    <w:link w:val="Char1"/>
    <w:uiPriority w:val="99"/>
    <w:qFormat/>
    <w:rsid w:val="00EC184F"/>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rsid w:val="00EC184F"/>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EC184F"/>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EC184F"/>
    <w:pPr>
      <w:tabs>
        <w:tab w:val="right" w:leader="dot" w:pos="8296"/>
      </w:tabs>
      <w:ind w:leftChars="200" w:left="420"/>
    </w:pPr>
  </w:style>
  <w:style w:type="paragraph" w:styleId="a8">
    <w:name w:val="Normal (Web)"/>
    <w:basedOn w:val="a"/>
    <w:qFormat/>
    <w:rsid w:val="00EC184F"/>
    <w:pPr>
      <w:spacing w:before="100" w:beforeAutospacing="1" w:after="100" w:afterAutospacing="1"/>
      <w:jc w:val="left"/>
    </w:pPr>
    <w:rPr>
      <w:rFonts w:ascii="Calibri" w:hAnsi="Calibri"/>
      <w:kern w:val="0"/>
      <w:sz w:val="24"/>
    </w:rPr>
  </w:style>
  <w:style w:type="paragraph" w:styleId="21">
    <w:name w:val="Body Text First Indent 2"/>
    <w:basedOn w:val="a4"/>
    <w:uiPriority w:val="99"/>
    <w:unhideWhenUsed/>
    <w:qFormat/>
    <w:rsid w:val="00EC184F"/>
    <w:pPr>
      <w:ind w:firstLineChars="200" w:firstLine="420"/>
    </w:pPr>
  </w:style>
  <w:style w:type="character" w:styleId="a9">
    <w:name w:val="Strong"/>
    <w:basedOn w:val="a1"/>
    <w:uiPriority w:val="99"/>
    <w:qFormat/>
    <w:rsid w:val="00EC184F"/>
    <w:rPr>
      <w:b/>
    </w:rPr>
  </w:style>
  <w:style w:type="character" w:styleId="aa">
    <w:name w:val="Hyperlink"/>
    <w:basedOn w:val="a1"/>
    <w:uiPriority w:val="99"/>
    <w:unhideWhenUsed/>
    <w:qFormat/>
    <w:rsid w:val="00EC184F"/>
    <w:rPr>
      <w:color w:val="0000FF" w:themeColor="hyperlink"/>
      <w:u w:val="single"/>
    </w:rPr>
  </w:style>
  <w:style w:type="paragraph" w:customStyle="1" w:styleId="5">
    <w:name w:val="标题 5（有编号）（绿盟科技）"/>
    <w:next w:val="a"/>
    <w:uiPriority w:val="99"/>
    <w:qFormat/>
    <w:rsid w:val="00EC184F"/>
    <w:pPr>
      <w:keepNext/>
      <w:keepLines/>
      <w:widowControl w:val="0"/>
      <w:spacing w:before="280" w:after="156" w:line="377" w:lineRule="auto"/>
      <w:outlineLvl w:val="4"/>
    </w:pPr>
    <w:rPr>
      <w:rFonts w:ascii="Arial" w:eastAsia="黑体" w:hAnsi="Arial"/>
      <w:b/>
      <w:kern w:val="2"/>
      <w:sz w:val="24"/>
      <w:szCs w:val="28"/>
    </w:rPr>
  </w:style>
  <w:style w:type="character" w:customStyle="1" w:styleId="HeaderChar">
    <w:name w:val="Header Char"/>
    <w:basedOn w:val="a1"/>
    <w:uiPriority w:val="99"/>
    <w:semiHidden/>
    <w:qFormat/>
    <w:rsid w:val="00EC184F"/>
    <w:rPr>
      <w:rFonts w:ascii="Times New Roman" w:hAnsi="Times New Roman"/>
      <w:sz w:val="18"/>
      <w:szCs w:val="18"/>
    </w:rPr>
  </w:style>
  <w:style w:type="character" w:customStyle="1" w:styleId="Char2">
    <w:name w:val="页眉 Char"/>
    <w:link w:val="a7"/>
    <w:uiPriority w:val="99"/>
    <w:semiHidden/>
    <w:qFormat/>
    <w:locked/>
    <w:rsid w:val="00EC184F"/>
    <w:rPr>
      <w:sz w:val="18"/>
    </w:rPr>
  </w:style>
  <w:style w:type="character" w:customStyle="1" w:styleId="FooterChar">
    <w:name w:val="Footer Char"/>
    <w:basedOn w:val="a1"/>
    <w:uiPriority w:val="99"/>
    <w:semiHidden/>
    <w:qFormat/>
    <w:rsid w:val="00EC184F"/>
    <w:rPr>
      <w:rFonts w:ascii="Times New Roman" w:hAnsi="Times New Roman"/>
      <w:sz w:val="18"/>
      <w:szCs w:val="18"/>
    </w:rPr>
  </w:style>
  <w:style w:type="character" w:customStyle="1" w:styleId="Char1">
    <w:name w:val="页脚 Char"/>
    <w:link w:val="a6"/>
    <w:uiPriority w:val="99"/>
    <w:qFormat/>
    <w:locked/>
    <w:rsid w:val="00EC184F"/>
    <w:rPr>
      <w:sz w:val="18"/>
    </w:rPr>
  </w:style>
  <w:style w:type="character" w:customStyle="1" w:styleId="BodyTextChar">
    <w:name w:val="Body Text Char"/>
    <w:basedOn w:val="a1"/>
    <w:uiPriority w:val="99"/>
    <w:semiHidden/>
    <w:qFormat/>
    <w:rsid w:val="00EC184F"/>
    <w:rPr>
      <w:rFonts w:ascii="Times New Roman" w:hAnsi="Times New Roman"/>
      <w:szCs w:val="24"/>
    </w:rPr>
  </w:style>
  <w:style w:type="character" w:customStyle="1" w:styleId="Char">
    <w:name w:val="正文文本 Char"/>
    <w:link w:val="a0"/>
    <w:uiPriority w:val="99"/>
    <w:qFormat/>
    <w:locked/>
    <w:rsid w:val="00EC184F"/>
    <w:rPr>
      <w:rFonts w:ascii="仿宋_GB2312" w:eastAsia="仿宋_GB2312" w:hAnsi="Times New Roman"/>
      <w:sz w:val="24"/>
    </w:rPr>
  </w:style>
  <w:style w:type="paragraph" w:customStyle="1" w:styleId="Default">
    <w:name w:val="Default"/>
    <w:qFormat/>
    <w:rsid w:val="00EC184F"/>
    <w:pPr>
      <w:widowControl w:val="0"/>
      <w:autoSpaceDE w:val="0"/>
      <w:autoSpaceDN w:val="0"/>
      <w:adjustRightInd w:val="0"/>
    </w:pPr>
    <w:rPr>
      <w:rFonts w:ascii="仿宋" w:eastAsia="仿宋" w:hAnsi="Calibri" w:cs="仿宋"/>
      <w:color w:val="000000"/>
      <w:sz w:val="24"/>
      <w:szCs w:val="24"/>
    </w:rPr>
  </w:style>
  <w:style w:type="paragraph" w:styleId="ab">
    <w:name w:val="List Paragraph"/>
    <w:basedOn w:val="a"/>
    <w:uiPriority w:val="1"/>
    <w:qFormat/>
    <w:rsid w:val="00EC184F"/>
    <w:pPr>
      <w:ind w:firstLineChars="200" w:firstLine="420"/>
    </w:pPr>
  </w:style>
  <w:style w:type="character" w:customStyle="1" w:styleId="1Char">
    <w:name w:val="标题 1 Char"/>
    <w:basedOn w:val="a1"/>
    <w:link w:val="1"/>
    <w:uiPriority w:val="9"/>
    <w:qFormat/>
    <w:rsid w:val="00EC184F"/>
    <w:rPr>
      <w:rFonts w:ascii="Times New Roman" w:hAnsi="Times New Roman"/>
      <w:b/>
      <w:bCs/>
      <w:kern w:val="44"/>
      <w:sz w:val="44"/>
      <w:szCs w:val="44"/>
    </w:rPr>
  </w:style>
  <w:style w:type="character" w:customStyle="1" w:styleId="2Char">
    <w:name w:val="标题 2 Char"/>
    <w:basedOn w:val="a1"/>
    <w:link w:val="2"/>
    <w:uiPriority w:val="9"/>
    <w:qFormat/>
    <w:rsid w:val="00EC184F"/>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EC184F"/>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5"/>
    <w:uiPriority w:val="99"/>
    <w:semiHidden/>
    <w:qFormat/>
    <w:rsid w:val="00EC184F"/>
    <w:rPr>
      <w:rFonts w:ascii="Times New Roman" w:hAnsi="Times New Roman"/>
      <w:kern w:val="2"/>
      <w:sz w:val="18"/>
      <w:szCs w:val="18"/>
    </w:rPr>
  </w:style>
  <w:style w:type="character" w:customStyle="1" w:styleId="3Char">
    <w:name w:val="标题 3 Char"/>
    <w:basedOn w:val="a1"/>
    <w:link w:val="3"/>
    <w:uiPriority w:val="9"/>
    <w:qFormat/>
    <w:rsid w:val="00EC184F"/>
    <w:rPr>
      <w:rFonts w:ascii="Times New Roman" w:hAnsi="Times New Roman"/>
      <w:b/>
      <w:bCs/>
      <w:kern w:val="2"/>
      <w:sz w:val="32"/>
      <w:szCs w:val="32"/>
    </w:rPr>
  </w:style>
  <w:style w:type="paragraph" w:customStyle="1" w:styleId="TOC2">
    <w:name w:val="TOC 标题2"/>
    <w:basedOn w:val="1"/>
    <w:next w:val="a"/>
    <w:uiPriority w:val="39"/>
    <w:unhideWhenUsed/>
    <w:qFormat/>
    <w:rsid w:val="00EC184F"/>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c">
    <w:name w:val="四号正文"/>
    <w:basedOn w:val="a"/>
    <w:qFormat/>
    <w:rsid w:val="00EC184F"/>
    <w:pPr>
      <w:spacing w:line="360" w:lineRule="auto"/>
    </w:pPr>
    <w:rPr>
      <w:rFonts w:ascii="??" w:hAnsi="??"/>
      <w:color w:val="000000"/>
      <w:kern w:val="0"/>
      <w:sz w:val="28"/>
      <w:szCs w:val="21"/>
      <w:lang w:val="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chart" Target="charts/chart6.xml"/><Relationship Id="rId18" Type="http://schemas.openxmlformats.org/officeDocument/2006/relationships/image" Target="media/image4.png"/><Relationship Id="rId26" Type="http://schemas.openxmlformats.org/officeDocument/2006/relationships/image" Target="media/image12.png"/><Relationship Id="rId39" Type="http://schemas.openxmlformats.org/officeDocument/2006/relationships/image" Target="media/image25.png"/><Relationship Id="rId3" Type="http://schemas.openxmlformats.org/officeDocument/2006/relationships/styles" Target="styles.xml"/><Relationship Id="rId21" Type="http://schemas.openxmlformats.org/officeDocument/2006/relationships/image" Target="media/image7.png"/><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image" Target="media/image33.png"/><Relationship Id="rId50"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image" Target="media/image15.png"/><Relationship Id="rId41" Type="http://schemas.openxmlformats.org/officeDocument/2006/relationships/image" Target="media/image2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 Type="http://schemas.openxmlformats.org/officeDocument/2006/relationships/webSettings" Target="webSettings.xml"/><Relationship Id="rId15" Type="http://schemas.openxmlformats.org/officeDocument/2006/relationships/image" Target="media/image1.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49" Type="http://schemas.openxmlformats.org/officeDocument/2006/relationships/header" Target="header1.xml"/><Relationship Id="rId10" Type="http://schemas.openxmlformats.org/officeDocument/2006/relationships/chart" Target="charts/chart3.xml"/><Relationship Id="rId19" Type="http://schemas.openxmlformats.org/officeDocument/2006/relationships/image" Target="media/image5.png"/><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png"/><Relationship Id="rId8" Type="http://schemas.openxmlformats.org/officeDocument/2006/relationships/chart" Target="charts/chart1.xml"/><Relationship Id="rId51"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style val="4"/>
  <c:chart>
    <c:autoTitleDeleted val="1"/>
    <c:plotArea>
      <c:layout/>
      <c:barChart>
        <c:barDir val="col"/>
        <c:grouping val="clustered"/>
        <c:ser>
          <c:idx val="0"/>
          <c:order val="0"/>
          <c:tx>
            <c:strRef>
              <c:f>Sheet1!$A$2</c:f>
              <c:strCache>
                <c:ptCount val="1"/>
                <c:pt idx="0">
                  <c:v>2021</c:v>
                </c:pt>
              </c:strCache>
            </c:strRef>
          </c:tx>
          <c:cat>
            <c:numRef>
              <c:f>Sheet1!$B$1:$B$1</c:f>
              <c:numCache>
                <c:formatCode>General</c:formatCode>
                <c:ptCount val="1"/>
              </c:numCache>
            </c:numRef>
          </c:cat>
          <c:val>
            <c:numRef>
              <c:f>Sheet1!$B$2:$B$2</c:f>
              <c:numCache>
                <c:formatCode>General</c:formatCode>
                <c:ptCount val="1"/>
                <c:pt idx="0">
                  <c:v>3137.51</c:v>
                </c:pt>
              </c:numCache>
            </c:numRef>
          </c:val>
        </c:ser>
        <c:ser>
          <c:idx val="1"/>
          <c:order val="1"/>
          <c:tx>
            <c:strRef>
              <c:f>Sheet1!$A$3</c:f>
              <c:strCache>
                <c:ptCount val="1"/>
                <c:pt idx="0">
                  <c:v>2022</c:v>
                </c:pt>
              </c:strCache>
            </c:strRef>
          </c:tx>
          <c:cat>
            <c:numRef>
              <c:f>Sheet1!$B$1:$B$1</c:f>
              <c:numCache>
                <c:formatCode>General</c:formatCode>
                <c:ptCount val="1"/>
              </c:numCache>
            </c:numRef>
          </c:cat>
          <c:val>
            <c:numRef>
              <c:f>Sheet1!$B$3:$B$3</c:f>
              <c:numCache>
                <c:formatCode>General</c:formatCode>
                <c:ptCount val="1"/>
                <c:pt idx="0">
                  <c:v>2988.7599999999998</c:v>
                </c:pt>
              </c:numCache>
            </c:numRef>
          </c:val>
        </c:ser>
        <c:axId val="275737216"/>
        <c:axId val="275879040"/>
      </c:barChart>
      <c:catAx>
        <c:axId val="275737216"/>
        <c:scaling>
          <c:orientation val="minMax"/>
        </c:scaling>
        <c:axPos val="b"/>
        <c:numFmt formatCode="General" sourceLinked="1"/>
        <c:majorTickMark val="none"/>
        <c:tickLblPos val="low"/>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75879040"/>
        <c:crosses val="autoZero"/>
        <c:auto val="1"/>
        <c:lblAlgn val="ctr"/>
        <c:lblOffset val="100"/>
        <c:tickLblSkip val="1"/>
      </c:catAx>
      <c:valAx>
        <c:axId val="275879040"/>
        <c:scaling>
          <c:orientation val="minMax"/>
        </c:scaling>
        <c:axPos val="l"/>
        <c:majorGridlines/>
        <c:numFmt formatCode="General" sourceLinked="1"/>
        <c:majorTickMark val="none"/>
        <c:tickLblPos val="nextTo"/>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75737216"/>
        <c:crosses val="autoZero"/>
        <c:crossBetween val="between"/>
      </c:valAx>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chart>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本年收入</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Val val="1"/>
            <c:showCatName val="1"/>
            <c:showLeaderLines val="1"/>
            <c:extLst>
              <c:ext xmlns:c15="http://schemas.microsoft.com/office/drawing/2012/chart" uri="{CE6537A1-D6FC-4f65-9D91-7224C49458BB}">
                <c15:layout/>
                <c15:showLeaderLines val="1"/>
                <c15:leaderLines/>
              </c:ext>
            </c:extLst>
          </c:dLbls>
          <c:cat>
            <c:strRef>
              <c:f>Sheet1!$A$2:$A$5</c:f>
              <c:strCache>
                <c:ptCount val="3"/>
                <c:pt idx="0">
                  <c:v>一般公共预算财政拨款收入</c:v>
                </c:pt>
                <c:pt idx="1">
                  <c:v>政府性基金预算财政拨款收入</c:v>
                </c:pt>
                <c:pt idx="2">
                  <c:v>其他收入</c:v>
                </c:pt>
              </c:strCache>
            </c:strRef>
          </c:cat>
          <c:val>
            <c:numRef>
              <c:f>Sheet1!$B$2:$B$5</c:f>
              <c:numCache>
                <c:formatCode>General</c:formatCode>
                <c:ptCount val="4"/>
                <c:pt idx="0">
                  <c:v>1823.3899999999999</c:v>
                </c:pt>
                <c:pt idx="1">
                  <c:v>770</c:v>
                </c:pt>
                <c:pt idx="2">
                  <c:v>325</c:v>
                </c:pt>
              </c:numCache>
            </c:numRef>
          </c:val>
        </c:ser>
        <c:dLbls>
          <c:showVal val="1"/>
          <c:showCatName val="1"/>
        </c:dLbls>
        <c:firstSliceAng val="15"/>
      </c:pieChart>
      <c:spPr>
        <a:noFill/>
        <a:ln>
          <a:noFill/>
        </a:ln>
        <a:effectLst/>
      </c:spPr>
    </c:plotArea>
    <c:plotVisOnly val="1"/>
    <c:dispBlanksAs val="zero"/>
  </c:chart>
  <c:txPr>
    <a:bodyPr/>
    <a:lstStyle/>
    <a:p>
      <a:pPr>
        <a:defRPr lang="zh-CN"/>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本年支出</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Val val="1"/>
            <c:showCatName val="1"/>
            <c:showLeaderLines val="1"/>
            <c:extLst>
              <c:ext xmlns:c15="http://schemas.microsoft.com/office/drawing/2012/chart" uri="{CE6537A1-D6FC-4f65-9D91-7224C49458BB}">
                <c15:layout/>
                <c15:showLeaderLines val="1"/>
                <c15:leaderLines/>
              </c:ext>
            </c:extLst>
          </c:dLbls>
          <c:cat>
            <c:strRef>
              <c:f>Sheet1!$A$2:$A$4</c:f>
              <c:strCache>
                <c:ptCount val="2"/>
                <c:pt idx="0">
                  <c:v>基本支出</c:v>
                </c:pt>
                <c:pt idx="1">
                  <c:v>项目支出</c:v>
                </c:pt>
              </c:strCache>
            </c:strRef>
          </c:cat>
          <c:val>
            <c:numRef>
              <c:f>Sheet1!$B$2:$B$4</c:f>
              <c:numCache>
                <c:formatCode>General</c:formatCode>
                <c:ptCount val="3"/>
                <c:pt idx="0">
                  <c:v>909.56</c:v>
                </c:pt>
                <c:pt idx="1">
                  <c:v>2079.1999999999998</c:v>
                </c:pt>
              </c:numCache>
            </c:numRef>
          </c:val>
        </c:ser>
        <c:dLbls>
          <c:showVal val="1"/>
          <c:showCatName val="1"/>
        </c:dLbls>
        <c:firstSliceAng val="0"/>
      </c:pieChart>
    </c:plotArea>
    <c:plotVisOnly val="1"/>
    <c:dispBlanksAs val="zero"/>
  </c:chart>
  <c:txPr>
    <a:bodyPr/>
    <a:lstStyle/>
    <a:p>
      <a:pPr>
        <a:defRPr lang="zh-CN"/>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style val="4"/>
  <c:chart>
    <c:autoTitleDeleted val="1"/>
    <c:plotArea>
      <c:layout/>
      <c:barChart>
        <c:barDir val="col"/>
        <c:grouping val="clustered"/>
        <c:ser>
          <c:idx val="0"/>
          <c:order val="0"/>
          <c:tx>
            <c:strRef>
              <c:f>Sheet1!$A$2</c:f>
              <c:strCache>
                <c:ptCount val="1"/>
                <c:pt idx="0">
                  <c:v>2021</c:v>
                </c:pt>
              </c:strCache>
            </c:strRef>
          </c:tx>
          <c:cat>
            <c:numRef>
              <c:f>Sheet1!$B$1:$B$1</c:f>
              <c:numCache>
                <c:formatCode>General</c:formatCode>
                <c:ptCount val="1"/>
              </c:numCache>
            </c:numRef>
          </c:cat>
          <c:val>
            <c:numRef>
              <c:f>Sheet1!$B$2:$B$2</c:f>
              <c:numCache>
                <c:formatCode>General</c:formatCode>
                <c:ptCount val="1"/>
                <c:pt idx="0">
                  <c:v>2310.5100000000002</c:v>
                </c:pt>
              </c:numCache>
            </c:numRef>
          </c:val>
        </c:ser>
        <c:ser>
          <c:idx val="1"/>
          <c:order val="1"/>
          <c:tx>
            <c:strRef>
              <c:f>Sheet1!$A$3</c:f>
              <c:strCache>
                <c:ptCount val="1"/>
                <c:pt idx="0">
                  <c:v>2022</c:v>
                </c:pt>
              </c:strCache>
            </c:strRef>
          </c:tx>
          <c:cat>
            <c:numRef>
              <c:f>Sheet1!$B$1:$B$1</c:f>
              <c:numCache>
                <c:formatCode>General</c:formatCode>
                <c:ptCount val="1"/>
              </c:numCache>
            </c:numRef>
          </c:cat>
          <c:val>
            <c:numRef>
              <c:f>Sheet1!$B$3:$B$3</c:f>
              <c:numCache>
                <c:formatCode>General</c:formatCode>
                <c:ptCount val="1"/>
                <c:pt idx="0">
                  <c:v>2663.7599999999998</c:v>
                </c:pt>
              </c:numCache>
            </c:numRef>
          </c:val>
        </c:ser>
        <c:axId val="280804736"/>
        <c:axId val="275920000"/>
      </c:barChart>
      <c:catAx>
        <c:axId val="280804736"/>
        <c:scaling>
          <c:orientation val="minMax"/>
        </c:scaling>
        <c:axPos val="b"/>
        <c:numFmt formatCode="General" sourceLinked="1"/>
        <c:majorTickMark val="none"/>
        <c:tickLblPos val="low"/>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75920000"/>
        <c:crosses val="autoZero"/>
        <c:auto val="1"/>
        <c:lblAlgn val="ctr"/>
        <c:lblOffset val="100"/>
        <c:tickLblSkip val="1"/>
      </c:catAx>
      <c:valAx>
        <c:axId val="275920000"/>
        <c:scaling>
          <c:orientation val="minMax"/>
        </c:scaling>
        <c:axPos val="l"/>
        <c:majorGridlines/>
        <c:numFmt formatCode="General" sourceLinked="1"/>
        <c:majorTickMark val="none"/>
        <c:tickLblPos val="nextTo"/>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80804736"/>
        <c:crosses val="autoZero"/>
        <c:crossBetween val="between"/>
      </c:valAx>
      <c:spPr>
        <a:solidFill>
          <a:schemeClr val="bg1"/>
        </a:solidFill>
        <a:ln>
          <a:noFill/>
        </a:ln>
        <a:effectLst/>
      </c:spPr>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chart>
  <c:txPr>
    <a:bodyPr/>
    <a:lstStyle/>
    <a:p>
      <a:pPr>
        <a:defRPr lang="zh-CN"/>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style val="4"/>
  <c:chart>
    <c:autoTitleDeleted val="1"/>
    <c:plotArea>
      <c:layout/>
      <c:barChart>
        <c:barDir val="col"/>
        <c:grouping val="clustered"/>
        <c:ser>
          <c:idx val="0"/>
          <c:order val="0"/>
          <c:tx>
            <c:strRef>
              <c:f>Sheet1!$A$2</c:f>
              <c:strCache>
                <c:ptCount val="1"/>
                <c:pt idx="0">
                  <c:v>2021</c:v>
                </c:pt>
              </c:strCache>
            </c:strRef>
          </c:tx>
          <c:cat>
            <c:numRef>
              <c:f>Sheet1!$B$1:$B$1</c:f>
              <c:numCache>
                <c:formatCode>General</c:formatCode>
                <c:ptCount val="1"/>
              </c:numCache>
            </c:numRef>
          </c:cat>
          <c:val>
            <c:numRef>
              <c:f>Sheet1!$B$2:$B$2</c:f>
              <c:numCache>
                <c:formatCode>General</c:formatCode>
                <c:ptCount val="1"/>
                <c:pt idx="0">
                  <c:v>2294.71</c:v>
                </c:pt>
              </c:numCache>
            </c:numRef>
          </c:val>
        </c:ser>
        <c:ser>
          <c:idx val="1"/>
          <c:order val="1"/>
          <c:tx>
            <c:strRef>
              <c:f>Sheet1!$A$3</c:f>
              <c:strCache>
                <c:ptCount val="1"/>
                <c:pt idx="0">
                  <c:v>2022</c:v>
                </c:pt>
              </c:strCache>
            </c:strRef>
          </c:tx>
          <c:cat>
            <c:numRef>
              <c:f>Sheet1!$B$1:$B$1</c:f>
              <c:numCache>
                <c:formatCode>General</c:formatCode>
                <c:ptCount val="1"/>
              </c:numCache>
            </c:numRef>
          </c:cat>
          <c:val>
            <c:numRef>
              <c:f>Sheet1!$B$3:$B$3</c:f>
              <c:numCache>
                <c:formatCode>General</c:formatCode>
                <c:ptCount val="1"/>
                <c:pt idx="0">
                  <c:v>1893.76</c:v>
                </c:pt>
              </c:numCache>
            </c:numRef>
          </c:val>
        </c:ser>
        <c:axId val="280949888"/>
        <c:axId val="280951424"/>
      </c:barChart>
      <c:catAx>
        <c:axId val="280949888"/>
        <c:scaling>
          <c:orientation val="minMax"/>
        </c:scaling>
        <c:axPos val="b"/>
        <c:numFmt formatCode="General" sourceLinked="1"/>
        <c:majorTickMark val="none"/>
        <c:tickLblPos val="low"/>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80951424"/>
        <c:crosses val="autoZero"/>
        <c:auto val="1"/>
        <c:lblAlgn val="ctr"/>
        <c:lblOffset val="100"/>
        <c:tickLblSkip val="1"/>
      </c:catAx>
      <c:valAx>
        <c:axId val="280951424"/>
        <c:scaling>
          <c:orientation val="minMax"/>
        </c:scaling>
        <c:axPos val="l"/>
        <c:majorGridlines/>
        <c:numFmt formatCode="General" sourceLinked="1"/>
        <c:majorTickMark val="none"/>
        <c:tickLblPos val="nextTo"/>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80949888"/>
        <c:crosses val="autoZero"/>
        <c:crossBetween val="between"/>
      </c:valAx>
      <c:spPr>
        <a:solidFill>
          <a:schemeClr val="bg1"/>
        </a:solidFill>
        <a:ln>
          <a:noFill/>
        </a:ln>
        <a:effectLst/>
      </c:spPr>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chart>
  <c:txPr>
    <a:bodyPr/>
    <a:lstStyle/>
    <a:p>
      <a:pPr>
        <a:defRPr lang="zh-CN"/>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本年支出</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Val val="1"/>
            <c:showCatName val="1"/>
            <c:showLeaderLines val="1"/>
            <c:extLst>
              <c:ext xmlns:c15="http://schemas.microsoft.com/office/drawing/2012/chart" uri="{CE6537A1-D6FC-4f65-9D91-7224C49458BB}">
                <c15:layout/>
                <c15:showLeaderLines val="1"/>
                <c15:leaderLines/>
              </c:ext>
            </c:extLst>
          </c:dLbls>
          <c:cat>
            <c:strRef>
              <c:f>Sheet1!$A$2:$A$10</c:f>
              <c:strCache>
                <c:ptCount val="8"/>
                <c:pt idx="0">
                  <c:v>科学技术支出</c:v>
                </c:pt>
                <c:pt idx="1">
                  <c:v>社会保障和就业支出</c:v>
                </c:pt>
                <c:pt idx="2">
                  <c:v>卫生健康支出</c:v>
                </c:pt>
                <c:pt idx="3">
                  <c:v>节能环保支出</c:v>
                </c:pt>
                <c:pt idx="4">
                  <c:v>农林水支出</c:v>
                </c:pt>
                <c:pt idx="5">
                  <c:v>资源勘探工业信息等支出</c:v>
                </c:pt>
                <c:pt idx="6">
                  <c:v>住房保障支出</c:v>
                </c:pt>
                <c:pt idx="7">
                  <c:v>灾害防治及应急管理支出</c:v>
                </c:pt>
              </c:strCache>
            </c:strRef>
          </c:cat>
          <c:val>
            <c:numRef>
              <c:f>Sheet1!$B$2:$B$10</c:f>
              <c:numCache>
                <c:formatCode>General</c:formatCode>
                <c:ptCount val="9"/>
                <c:pt idx="0">
                  <c:v>693.4</c:v>
                </c:pt>
                <c:pt idx="1">
                  <c:v>255.4</c:v>
                </c:pt>
                <c:pt idx="2">
                  <c:v>54.81</c:v>
                </c:pt>
                <c:pt idx="3">
                  <c:v>142.09</c:v>
                </c:pt>
                <c:pt idx="4">
                  <c:v>327.45</c:v>
                </c:pt>
                <c:pt idx="5">
                  <c:v>350</c:v>
                </c:pt>
                <c:pt idx="6">
                  <c:v>54.01</c:v>
                </c:pt>
                <c:pt idx="7">
                  <c:v>16.600000000000001</c:v>
                </c:pt>
              </c:numCache>
            </c:numRef>
          </c:val>
        </c:ser>
        <c:dLbls>
          <c:showVal val="1"/>
          <c:showCatName val="1"/>
        </c:dLbls>
        <c:firstSliceAng val="15"/>
      </c:pieChart>
      <c:spPr>
        <a:noFill/>
        <a:ln>
          <a:noFill/>
        </a:ln>
        <a:effectLst/>
      </c:spPr>
    </c:plotArea>
    <c:plotVisOnly val="1"/>
    <c:dispBlanksAs val="zero"/>
  </c:chart>
  <c:txPr>
    <a:bodyPr/>
    <a:lstStyle/>
    <a:p>
      <a:pPr>
        <a:defRPr lang="zh-CN"/>
      </a:pPr>
      <a:endParaRPr lang="zh-CN"/>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列1</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Val val="1"/>
            <c:showCatName val="1"/>
            <c:showLeaderLines val="1"/>
            <c:extLst>
              <c:ext xmlns:c15="http://schemas.microsoft.com/office/drawing/2012/chart" uri="{CE6537A1-D6FC-4f65-9D91-7224C49458BB}">
                <c15:layout/>
                <c15:showLeaderLines val="1"/>
                <c15:leaderLines/>
              </c:ext>
            </c:extLst>
          </c:dLbls>
          <c:cat>
            <c:strRef>
              <c:f>Sheet1!$A$2</c:f>
              <c:strCache>
                <c:ptCount val="1"/>
                <c:pt idx="0">
                  <c:v>公务接待费</c:v>
                </c:pt>
              </c:strCache>
            </c:strRef>
          </c:cat>
          <c:val>
            <c:numRef>
              <c:f>Sheet1!$B$2</c:f>
              <c:numCache>
                <c:formatCode>General</c:formatCode>
                <c:ptCount val="1"/>
                <c:pt idx="0">
                  <c:v>0.22</c:v>
                </c:pt>
              </c:numCache>
            </c:numRef>
          </c:val>
        </c:ser>
        <c:dLbls>
          <c:showVal val="1"/>
          <c:showCatName val="1"/>
        </c:dLbls>
        <c:firstSliceAng val="0"/>
      </c:pieChart>
    </c:plotArea>
    <c:plotVisOnly val="1"/>
    <c:dispBlanksAs val="zero"/>
  </c:chart>
  <c:txPr>
    <a:bodyPr/>
    <a:lstStyle/>
    <a:p>
      <a:pPr>
        <a:defRPr lang="zh-CN"/>
      </a:pPr>
      <a:endParaRPr lang="zh-CN"/>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83</Pages>
  <Words>4649</Words>
  <Characters>26504</Characters>
  <Application>Microsoft Office Word</Application>
  <DocSecurity>0</DocSecurity>
  <Lines>220</Lines>
  <Paragraphs>62</Paragraphs>
  <ScaleCrop>false</ScaleCrop>
  <Company>四川省财政厅</Company>
  <LinksUpToDate>false</LinksUpToDate>
  <CharactersWithSpaces>31091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Admin</cp:lastModifiedBy>
  <cp:revision>18</cp:revision>
  <cp:lastPrinted>2023-10-27T03:32:00Z</cp:lastPrinted>
  <dcterms:created xsi:type="dcterms:W3CDTF">2023-10-26T09:01:00Z</dcterms:created>
  <dcterms:modified xsi:type="dcterms:W3CDTF">2023-10-30T09:58:00Z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2052-11.1.0.10214</vt:lpwstr>
  </property>
</Properties>
</file>