
<file path=[Content_Types].xml><?xml version="1.0" encoding="utf-8"?>
<Types xmlns="http://schemas.openxmlformats.org/package/2006/content-types">
  <Default Extension="xml" ContentType="application/xml"/>
  <Default Extension="xlsx" ContentType="application/vnd.openxmlformats-officedocument.spreadsheetml.shee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Arial Unicode MS" w:hAnsi="宋体" w:eastAsia="Arial Unicode MS"/>
          <w:szCs w:val="21"/>
        </w:rPr>
      </w:pPr>
      <w:bookmarkStart w:id="0" w:name="_Toc15306267"/>
    </w:p>
    <w:p>
      <w:pPr>
        <w:spacing w:line="600" w:lineRule="exact"/>
        <w:jc w:val="center"/>
        <w:outlineLvl w:val="0"/>
        <w:rPr>
          <w:rFonts w:ascii="Arial Unicode MS" w:hAnsi="宋体" w:eastAsia="Arial Unicode MS"/>
          <w:sz w:val="72"/>
          <w:szCs w:val="72"/>
        </w:rPr>
      </w:pPr>
    </w:p>
    <w:p>
      <w:pPr>
        <w:spacing w:line="600" w:lineRule="exact"/>
        <w:jc w:val="center"/>
        <w:outlineLvl w:val="0"/>
        <w:rPr>
          <w:rFonts w:ascii="Arial Unicode MS" w:hAnsi="宋体" w:eastAsia="Arial Unicode MS"/>
          <w:sz w:val="72"/>
          <w:szCs w:val="72"/>
        </w:rPr>
      </w:pPr>
    </w:p>
    <w:p>
      <w:pPr>
        <w:adjustRightInd w:val="0"/>
        <w:snapToGrid w:val="0"/>
        <w:spacing w:line="360" w:lineRule="auto"/>
        <w:jc w:val="center"/>
        <w:outlineLvl w:val="0"/>
        <w:rPr>
          <w:rFonts w:ascii="Arial Unicode MS" w:hAnsi="Arial Unicode MS" w:eastAsia="Arial Unicode MS" w:cs="Arial Unicode MS"/>
          <w:sz w:val="72"/>
          <w:szCs w:val="72"/>
        </w:rPr>
      </w:pPr>
      <w:bookmarkStart w:id="1" w:name="_Toc15378441"/>
      <w:bookmarkStart w:id="2" w:name="_Toc15396475"/>
      <w:bookmarkStart w:id="3" w:name="_Toc15377193"/>
      <w:bookmarkStart w:id="4" w:name="_Toc15377425"/>
      <w:bookmarkStart w:id="5" w:name="_Toc15396597"/>
      <w:r>
        <w:rPr>
          <w:rFonts w:hint="eastAsia" w:ascii="Arial Unicode MS" w:hAnsi="Arial Unicode MS" w:eastAsia="Arial Unicode MS" w:cs="Arial Unicode MS"/>
          <w:sz w:val="72"/>
          <w:szCs w:val="72"/>
        </w:rPr>
        <w:t>2022年度</w:t>
      </w:r>
      <w:bookmarkEnd w:id="1"/>
      <w:bookmarkEnd w:id="2"/>
      <w:bookmarkEnd w:id="3"/>
      <w:bookmarkEnd w:id="4"/>
      <w:bookmarkEnd w:id="5"/>
    </w:p>
    <w:p>
      <w:pPr>
        <w:adjustRightInd w:val="0"/>
        <w:snapToGrid w:val="0"/>
        <w:spacing w:line="360" w:lineRule="auto"/>
        <w:jc w:val="center"/>
        <w:outlineLvl w:val="0"/>
        <w:rPr>
          <w:rFonts w:ascii="Arial Unicode MS" w:hAnsi="Arial Unicode MS" w:eastAsia="Arial Unicode MS" w:cs="Arial Unicode MS"/>
          <w:sz w:val="72"/>
          <w:szCs w:val="72"/>
        </w:rPr>
      </w:pPr>
      <w:bookmarkStart w:id="6" w:name="_Toc15378442"/>
      <w:bookmarkStart w:id="7" w:name="_Toc15396598"/>
      <w:bookmarkStart w:id="8" w:name="_Toc15396476"/>
      <w:bookmarkStart w:id="9" w:name="_Toc15377426"/>
      <w:bookmarkStart w:id="10" w:name="_Toc15377194"/>
      <w:r>
        <w:rPr>
          <w:rFonts w:hint="eastAsia" w:ascii="Arial Unicode MS" w:hAnsi="Arial Unicode MS" w:eastAsia="Arial Unicode MS" w:cs="Arial Unicode MS"/>
          <w:sz w:val="72"/>
          <w:szCs w:val="72"/>
        </w:rPr>
        <w:t>四川省</w:t>
      </w:r>
      <w:bookmarkEnd w:id="0"/>
      <w:bookmarkStart w:id="11" w:name="_Toc15306268"/>
      <w:r>
        <w:rPr>
          <w:rFonts w:hint="eastAsia" w:ascii="Arial Unicode MS" w:hAnsi="Arial Unicode MS" w:eastAsia="Arial Unicode MS" w:cs="Arial Unicode MS"/>
          <w:sz w:val="72"/>
          <w:szCs w:val="72"/>
        </w:rPr>
        <w:t>攀枝花市</w:t>
      </w:r>
    </w:p>
    <w:p>
      <w:pPr>
        <w:adjustRightInd w:val="0"/>
        <w:snapToGrid w:val="0"/>
        <w:spacing w:line="360" w:lineRule="auto"/>
        <w:jc w:val="center"/>
        <w:outlineLvl w:val="0"/>
        <w:rPr>
          <w:rFonts w:ascii="Arial Unicode MS" w:hAnsi="Arial Unicode MS" w:eastAsia="Arial Unicode MS" w:cs="Arial Unicode MS"/>
          <w:sz w:val="72"/>
          <w:szCs w:val="72"/>
        </w:rPr>
      </w:pPr>
      <w:r>
        <w:rPr>
          <w:rFonts w:hint="eastAsia" w:ascii="Arial Unicode MS" w:hAnsi="Arial Unicode MS" w:eastAsia="Arial Unicode MS" w:cs="Arial Unicode MS"/>
          <w:sz w:val="72"/>
          <w:szCs w:val="72"/>
        </w:rPr>
        <w:t>盐边县文化馆单位决算</w:t>
      </w:r>
      <w:bookmarkEnd w:id="6"/>
      <w:bookmarkEnd w:id="7"/>
      <w:bookmarkEnd w:id="8"/>
      <w:bookmarkEnd w:id="9"/>
      <w:bookmarkEnd w:id="10"/>
      <w:bookmarkEnd w:id="11"/>
    </w:p>
    <w:p>
      <w:pPr>
        <w:widowControl/>
        <w:jc w:val="center"/>
        <w:rPr>
          <w:rFonts w:ascii="黑体" w:hAnsi="黑体" w:eastAsia="黑体"/>
          <w:sz w:val="48"/>
          <w:szCs w:val="48"/>
        </w:rPr>
      </w:pPr>
      <w:r>
        <w:rPr>
          <w:rFonts w:ascii="Arial Unicode MS" w:hAnsi="宋体" w:eastAsia="Arial Unicode MS"/>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pPr>
      <w:r>
        <w:rPr>
          <w:rFonts w:hint="eastAsia"/>
        </w:rPr>
        <w:t>公开时间：2023年1</w:t>
      </w:r>
      <w:r>
        <w:t>0</w:t>
      </w:r>
      <w:r>
        <w:rPr>
          <w:rFonts w:hint="eastAsia"/>
        </w:rPr>
        <w:t>月26日</w:t>
      </w:r>
    </w:p>
    <w:p/>
    <w:p>
      <w:pPr>
        <w:pStyle w:val="11"/>
        <w:adjustRightInd w:val="0"/>
        <w:snapToGrid w:val="0"/>
        <w:spacing w:before="0" w:line="440" w:lineRule="exact"/>
        <w:jc w:val="left"/>
        <w:rPr>
          <w:rFonts w:ascii="仿宋_GB2312" w:hAnsi="仿宋_GB2312" w:eastAsia="仿宋_GB2312" w:cs="仿宋_GB2312"/>
        </w:rPr>
      </w:pPr>
      <w:r>
        <w:rPr>
          <w:rFonts w:hint="eastAsia"/>
          <w:sz w:val="24"/>
        </w:rPr>
        <w:t>第一部分 单位概况</w:t>
      </w:r>
      <w:r>
        <w:rPr>
          <w:rFonts w:ascii="Times New Roman" w:hAnsi="Times New Roman"/>
          <w:sz w:val="24"/>
          <w:szCs w:val="24"/>
        </w:rPr>
        <w:t>...................................................</w:t>
      </w:r>
      <w:r>
        <w:rPr>
          <w:rFonts w:hint="eastAsia" w:ascii="Times New Roman" w:hAnsi="Times New Roman"/>
          <w:sz w:val="24"/>
          <w:szCs w:val="24"/>
        </w:rPr>
        <w:t>...................................................</w:t>
      </w:r>
      <w:r>
        <w:rPr>
          <w:rFonts w:hint="eastAsia" w:ascii="仿宋_GB2312" w:hAnsi="仿宋_GB2312" w:eastAsia="仿宋_GB2312" w:cs="仿宋_GB2312"/>
        </w:rPr>
        <w:t>4</w:t>
      </w:r>
    </w:p>
    <w:p>
      <w:pPr>
        <w:pStyle w:val="12"/>
        <w:adjustRightInd w:val="0"/>
        <w:snapToGrid w:val="0"/>
        <w:spacing w:line="440" w:lineRule="exact"/>
        <w:jc w:val="left"/>
        <w:rPr>
          <w:rFonts w:ascii="仿宋_GB2312" w:hAnsi="仿宋_GB2312" w:eastAsia="仿宋_GB2312" w:cs="仿宋_GB2312"/>
          <w:sz w:val="28"/>
          <w:szCs w:val="28"/>
        </w:rPr>
      </w:pPr>
      <w:r>
        <w:rPr>
          <w:rFonts w:hint="eastAsia"/>
          <w:sz w:val="24"/>
        </w:rPr>
        <w:t>一、主要职责</w:t>
      </w:r>
      <w:r>
        <w:rPr>
          <w:rFonts w:eastAsia="仿宋"/>
          <w:sz w:val="24"/>
        </w:rPr>
        <w:t>.....................................................</w:t>
      </w:r>
      <w:r>
        <w:rPr>
          <w:rFonts w:hint="eastAsia" w:eastAsia="仿宋"/>
          <w:sz w:val="24"/>
        </w:rPr>
        <w:t>....................................................</w:t>
      </w:r>
      <w:r>
        <w:rPr>
          <w:rFonts w:hint="eastAsia" w:ascii="仿宋_GB2312" w:hAnsi="仿宋_GB2312" w:eastAsia="仿宋_GB2312" w:cs="仿宋_GB2312"/>
          <w:sz w:val="28"/>
          <w:szCs w:val="28"/>
        </w:rPr>
        <w:t>4</w:t>
      </w:r>
    </w:p>
    <w:p>
      <w:pPr>
        <w:pStyle w:val="12"/>
        <w:adjustRightInd w:val="0"/>
        <w:snapToGrid w:val="0"/>
        <w:spacing w:line="440" w:lineRule="exact"/>
        <w:jc w:val="left"/>
        <w:rPr>
          <w:rFonts w:ascii="仿宋" w:hAnsi="仿宋" w:cs="仿宋"/>
          <w:sz w:val="28"/>
          <w:szCs w:val="28"/>
        </w:rPr>
      </w:pPr>
      <w:r>
        <w:rPr>
          <w:rFonts w:hint="eastAsia"/>
          <w:sz w:val="24"/>
        </w:rPr>
        <w:t>二、机构设置</w:t>
      </w:r>
      <w:r>
        <w:rPr>
          <w:rFonts w:eastAsia="仿宋"/>
          <w:sz w:val="24"/>
        </w:rPr>
        <w:t>.....................................................</w:t>
      </w:r>
      <w:r>
        <w:rPr>
          <w:rFonts w:hint="eastAsia" w:eastAsia="仿宋"/>
          <w:sz w:val="24"/>
        </w:rPr>
        <w:t>....................................................</w:t>
      </w:r>
      <w:r>
        <w:rPr>
          <w:rFonts w:hint="eastAsia" w:ascii="仿宋" w:hAnsi="仿宋" w:eastAsia="仿宋" w:cs="仿宋"/>
          <w:sz w:val="28"/>
          <w:szCs w:val="28"/>
        </w:rPr>
        <w:t>4</w:t>
      </w:r>
    </w:p>
    <w:p>
      <w:pPr>
        <w:pStyle w:val="11"/>
        <w:adjustRightInd w:val="0"/>
        <w:snapToGrid w:val="0"/>
        <w:spacing w:before="0" w:line="440" w:lineRule="exact"/>
        <w:jc w:val="left"/>
        <w:rPr>
          <w:sz w:val="24"/>
          <w:szCs w:val="24"/>
        </w:rPr>
      </w:pPr>
      <w:r>
        <w:rPr>
          <w:rFonts w:hint="eastAsia"/>
          <w:sz w:val="24"/>
        </w:rPr>
        <w:t>第二部分 2022年度单位决算情况说明</w:t>
      </w:r>
      <w:r>
        <w:rPr>
          <w:rFonts w:ascii="Times New Roman" w:hAnsi="Times New Roman"/>
          <w:sz w:val="24"/>
          <w:szCs w:val="24"/>
        </w:rPr>
        <w:t>..................................</w:t>
      </w:r>
      <w:r>
        <w:rPr>
          <w:rFonts w:hint="eastAsia" w:ascii="Times New Roman" w:hAnsi="Times New Roman"/>
          <w:sz w:val="24"/>
          <w:szCs w:val="24"/>
        </w:rPr>
        <w:t>...................................</w:t>
      </w:r>
      <w:r>
        <w:rPr>
          <w:rFonts w:hint="eastAsia"/>
        </w:rPr>
        <w:t>5</w:t>
      </w:r>
    </w:p>
    <w:p>
      <w:pPr>
        <w:pStyle w:val="12"/>
        <w:adjustRightInd w:val="0"/>
        <w:snapToGrid w:val="0"/>
        <w:spacing w:line="440" w:lineRule="exact"/>
        <w:jc w:val="left"/>
        <w:rPr>
          <w:rFonts w:ascii="仿宋" w:hAnsi="仿宋" w:cstheme="minorBidi"/>
          <w:sz w:val="24"/>
        </w:rPr>
      </w:pPr>
      <w:r>
        <w:rPr>
          <w:rFonts w:hint="eastAsia"/>
          <w:sz w:val="24"/>
        </w:rPr>
        <w:t>一、收入支出决算总体情况说明</w:t>
      </w:r>
      <w:r>
        <w:rPr>
          <w:rFonts w:eastAsia="仿宋"/>
          <w:sz w:val="24"/>
        </w:rPr>
        <w:t>.....................................</w:t>
      </w:r>
      <w:r>
        <w:rPr>
          <w:rFonts w:hint="eastAsia" w:eastAsia="仿宋"/>
          <w:sz w:val="24"/>
        </w:rPr>
        <w:t>....................................</w:t>
      </w:r>
      <w:r>
        <w:rPr>
          <w:rFonts w:hint="eastAsia" w:ascii="仿宋" w:hAnsi="仿宋" w:eastAsia="仿宋" w:cs="仿宋"/>
          <w:sz w:val="28"/>
          <w:szCs w:val="28"/>
        </w:rPr>
        <w:t>5</w:t>
      </w:r>
    </w:p>
    <w:p>
      <w:pPr>
        <w:pStyle w:val="12"/>
        <w:adjustRightInd w:val="0"/>
        <w:snapToGrid w:val="0"/>
        <w:spacing w:line="440" w:lineRule="exact"/>
        <w:jc w:val="left"/>
        <w:rPr>
          <w:rFonts w:ascii="仿宋" w:hAnsi="仿宋" w:cstheme="minorBidi"/>
          <w:sz w:val="24"/>
        </w:rPr>
      </w:pPr>
      <w:r>
        <w:rPr>
          <w:rFonts w:hint="eastAsia"/>
          <w:sz w:val="24"/>
        </w:rPr>
        <w:t>二、收入决算情况说明.........................................................................................</w:t>
      </w:r>
      <w:r>
        <w:rPr>
          <w:rFonts w:hint="eastAsia"/>
          <w:sz w:val="28"/>
          <w:szCs w:val="28"/>
        </w:rPr>
        <w:t>5</w:t>
      </w:r>
    </w:p>
    <w:p>
      <w:pPr>
        <w:pStyle w:val="12"/>
        <w:adjustRightInd w:val="0"/>
        <w:snapToGrid w:val="0"/>
        <w:spacing w:line="440" w:lineRule="exact"/>
        <w:jc w:val="left"/>
        <w:rPr>
          <w:rFonts w:ascii="仿宋" w:hAnsi="仿宋" w:cstheme="minorBidi"/>
          <w:sz w:val="24"/>
        </w:rPr>
      </w:pPr>
      <w:r>
        <w:rPr>
          <w:rFonts w:hint="eastAsia"/>
          <w:sz w:val="24"/>
        </w:rPr>
        <w:t>三、支出决算情况说明.........................................................................................</w:t>
      </w:r>
      <w:r>
        <w:rPr>
          <w:rFonts w:hint="eastAsia"/>
          <w:sz w:val="28"/>
          <w:szCs w:val="28"/>
        </w:rPr>
        <w:t>6</w:t>
      </w:r>
    </w:p>
    <w:p>
      <w:pPr>
        <w:pStyle w:val="12"/>
        <w:adjustRightInd w:val="0"/>
        <w:snapToGrid w:val="0"/>
        <w:spacing w:line="440" w:lineRule="exact"/>
        <w:jc w:val="left"/>
        <w:rPr>
          <w:rFonts w:ascii="仿宋" w:hAnsi="仿宋" w:cstheme="minorBidi"/>
          <w:sz w:val="24"/>
        </w:rPr>
      </w:pPr>
      <w:r>
        <w:rPr>
          <w:rFonts w:hint="eastAsia"/>
          <w:sz w:val="24"/>
        </w:rPr>
        <w:t>四、财政拨款收入支出决算总体情况说明.........................................................</w:t>
      </w:r>
      <w:r>
        <w:rPr>
          <w:rFonts w:hint="eastAsia"/>
          <w:sz w:val="28"/>
          <w:szCs w:val="28"/>
        </w:rPr>
        <w:t>7</w:t>
      </w:r>
    </w:p>
    <w:p>
      <w:pPr>
        <w:pStyle w:val="12"/>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rPr>
          <w:rFonts w:hint="eastAsia"/>
          <w:sz w:val="28"/>
          <w:szCs w:val="28"/>
        </w:rPr>
        <w:t>7</w:t>
      </w:r>
    </w:p>
    <w:p>
      <w:pPr>
        <w:pStyle w:val="12"/>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rPr>
          <w:rFonts w:hint="eastAsia"/>
          <w:sz w:val="28"/>
          <w:szCs w:val="28"/>
        </w:rPr>
        <w:t>10</w:t>
      </w:r>
    </w:p>
    <w:p>
      <w:pPr>
        <w:pStyle w:val="12"/>
        <w:adjustRightInd w:val="0"/>
        <w:snapToGrid w:val="0"/>
        <w:spacing w:line="440" w:lineRule="exact"/>
        <w:jc w:val="left"/>
        <w:rPr>
          <w:rFonts w:ascii="仿宋" w:hAnsi="仿宋" w:cstheme="minorBidi"/>
          <w:sz w:val="24"/>
        </w:rPr>
      </w:pPr>
      <w:r>
        <w:rPr>
          <w:rFonts w:hint="eastAsia"/>
          <w:sz w:val="24"/>
        </w:rPr>
        <w:t>七、财政拨款“三公”经费支出决算情况说明...............................................</w:t>
      </w:r>
      <w:r>
        <w:rPr>
          <w:rFonts w:hint="eastAsia"/>
          <w:sz w:val="28"/>
          <w:szCs w:val="28"/>
        </w:rPr>
        <w:t>10</w:t>
      </w:r>
    </w:p>
    <w:p>
      <w:pPr>
        <w:pStyle w:val="12"/>
        <w:adjustRightInd w:val="0"/>
        <w:snapToGrid w:val="0"/>
        <w:spacing w:line="440" w:lineRule="exact"/>
        <w:jc w:val="left"/>
        <w:rPr>
          <w:rFonts w:ascii="仿宋" w:hAnsi="仿宋" w:cstheme="minorBidi"/>
          <w:sz w:val="24"/>
        </w:rPr>
      </w:pPr>
      <w:r>
        <w:rPr>
          <w:rFonts w:hint="eastAsia"/>
          <w:sz w:val="24"/>
        </w:rPr>
        <w:t>八、政府性基金预算支出决算情况说明...........................................................</w:t>
      </w:r>
      <w:r>
        <w:rPr>
          <w:rFonts w:hint="eastAsia"/>
          <w:sz w:val="28"/>
          <w:szCs w:val="28"/>
        </w:rPr>
        <w:t>12</w:t>
      </w:r>
    </w:p>
    <w:p>
      <w:pPr>
        <w:pStyle w:val="12"/>
        <w:adjustRightInd w:val="0"/>
        <w:snapToGrid w:val="0"/>
        <w:spacing w:line="440" w:lineRule="exact"/>
        <w:jc w:val="left"/>
        <w:rPr>
          <w:sz w:val="24"/>
        </w:rPr>
      </w:pPr>
      <w:r>
        <w:rPr>
          <w:rFonts w:hint="eastAsia"/>
          <w:sz w:val="24"/>
        </w:rPr>
        <w:t>九、国有资本经营预算支出决算情况说明.......................................................</w:t>
      </w:r>
      <w:r>
        <w:rPr>
          <w:rFonts w:hint="eastAsia"/>
          <w:sz w:val="28"/>
          <w:szCs w:val="28"/>
        </w:rPr>
        <w:t>12</w:t>
      </w:r>
    </w:p>
    <w:p>
      <w:pPr>
        <w:pStyle w:val="12"/>
        <w:adjustRightInd w:val="0"/>
        <w:snapToGrid w:val="0"/>
        <w:spacing w:line="440" w:lineRule="exact"/>
        <w:jc w:val="left"/>
        <w:rPr>
          <w:sz w:val="28"/>
          <w:szCs w:val="28"/>
        </w:rPr>
      </w:pPr>
      <w:r>
        <w:rPr>
          <w:rFonts w:hint="eastAsia"/>
          <w:sz w:val="24"/>
        </w:rPr>
        <w:t>十、其他重要事项的情况说明...........................................................................</w:t>
      </w:r>
      <w:r>
        <w:rPr>
          <w:rFonts w:hint="eastAsia"/>
          <w:sz w:val="28"/>
          <w:szCs w:val="28"/>
        </w:rPr>
        <w:t>12</w:t>
      </w:r>
    </w:p>
    <w:p>
      <w:pPr>
        <w:pStyle w:val="11"/>
        <w:adjustRightInd w:val="0"/>
        <w:snapToGrid w:val="0"/>
        <w:spacing w:before="0" w:line="440" w:lineRule="exact"/>
        <w:jc w:val="left"/>
        <w:rPr>
          <w:rFonts w:cstheme="minorBidi"/>
          <w:sz w:val="24"/>
          <w:szCs w:val="24"/>
        </w:rPr>
      </w:pPr>
      <w:r>
        <w:rPr>
          <w:rFonts w:hint="eastAsia"/>
          <w:sz w:val="24"/>
        </w:rPr>
        <w:t>第三部分名词解释</w:t>
      </w:r>
      <w:r>
        <w:rPr>
          <w:rFonts w:ascii="Times New Roman" w:hAnsi="Times New Roman"/>
          <w:sz w:val="24"/>
        </w:rPr>
        <w:t>........................</w:t>
      </w:r>
      <w:r>
        <w:rPr>
          <w:rFonts w:hint="eastAsia" w:ascii="Times New Roman" w:hAnsi="Times New Roman"/>
          <w:sz w:val="24"/>
        </w:rPr>
        <w:t>.............................................................................</w:t>
      </w:r>
      <w:r>
        <w:rPr>
          <w:rFonts w:hint="eastAsia" w:ascii="Times New Roman" w:hAnsi="Times New Roman"/>
        </w:rPr>
        <w:t>14</w:t>
      </w:r>
    </w:p>
    <w:p>
      <w:pPr>
        <w:pStyle w:val="11"/>
        <w:adjustRightInd w:val="0"/>
        <w:snapToGrid w:val="0"/>
        <w:spacing w:before="0" w:line="440" w:lineRule="exact"/>
        <w:jc w:val="left"/>
        <w:rPr>
          <w:rFonts w:cstheme="minorBidi"/>
          <w:sz w:val="24"/>
          <w:szCs w:val="24"/>
        </w:rPr>
      </w:pPr>
      <w:r>
        <w:rPr>
          <w:rFonts w:hint="eastAsia"/>
          <w:sz w:val="24"/>
        </w:rPr>
        <w:t>第四部分附件</w:t>
      </w:r>
      <w:r>
        <w:rPr>
          <w:rFonts w:ascii="Times New Roman" w:hAnsi="Times New Roman"/>
          <w:sz w:val="24"/>
        </w:rPr>
        <w:t>..........</w:t>
      </w:r>
      <w:r>
        <w:rPr>
          <w:rFonts w:hint="eastAsia" w:ascii="Times New Roman" w:hAnsi="Times New Roman"/>
          <w:sz w:val="24"/>
        </w:rPr>
        <w:t>...................................................................................................</w:t>
      </w:r>
      <w:r>
        <w:rPr>
          <w:rFonts w:hint="eastAsia" w:ascii="Times New Roman" w:hAnsi="Times New Roman"/>
        </w:rPr>
        <w:t>17</w:t>
      </w:r>
    </w:p>
    <w:p>
      <w:pPr>
        <w:pStyle w:val="11"/>
        <w:adjustRightInd w:val="0"/>
        <w:snapToGrid w:val="0"/>
        <w:spacing w:before="0" w:line="440" w:lineRule="exact"/>
        <w:jc w:val="left"/>
        <w:rPr>
          <w:rFonts w:cstheme="minorBidi"/>
          <w:sz w:val="24"/>
          <w:szCs w:val="24"/>
        </w:rPr>
      </w:pPr>
      <w:r>
        <w:rPr>
          <w:rFonts w:hint="eastAsia"/>
          <w:sz w:val="24"/>
        </w:rPr>
        <w:t>第五部分附表</w:t>
      </w:r>
      <w:r>
        <w:rPr>
          <w:rFonts w:ascii="Times New Roman" w:hAnsi="Times New Roman"/>
          <w:sz w:val="24"/>
        </w:rPr>
        <w:t>...............</w:t>
      </w:r>
      <w:r>
        <w:rPr>
          <w:rFonts w:hint="eastAsia" w:ascii="Times New Roman" w:hAnsi="Times New Roman"/>
          <w:sz w:val="24"/>
        </w:rPr>
        <w:t>..............................................................................................</w:t>
      </w:r>
      <w:r>
        <w:rPr>
          <w:rFonts w:hint="eastAsia" w:ascii="Times New Roman" w:hAnsi="Times New Roman"/>
        </w:rPr>
        <w:t>18</w:t>
      </w:r>
    </w:p>
    <w:p>
      <w:pPr>
        <w:pStyle w:val="12"/>
        <w:adjustRightInd w:val="0"/>
        <w:snapToGrid w:val="0"/>
        <w:spacing w:line="440" w:lineRule="exact"/>
        <w:jc w:val="left"/>
        <w:rPr>
          <w:rFonts w:hint="eastAsia" w:eastAsia="宋体"/>
          <w:sz w:val="24"/>
          <w:lang w:eastAsia="zh-CN"/>
        </w:rPr>
      </w:pPr>
      <w:r>
        <w:rPr>
          <w:rFonts w:hint="eastAsia"/>
          <w:sz w:val="24"/>
        </w:rPr>
        <w:t>一、收入支出决算总表......................................................................................</w:t>
      </w:r>
      <w:r>
        <w:rPr>
          <w:rFonts w:hint="eastAsia"/>
          <w:sz w:val="28"/>
          <w:szCs w:val="28"/>
        </w:rPr>
        <w:t>1</w:t>
      </w:r>
      <w:r>
        <w:rPr>
          <w:rFonts w:hint="eastAsia"/>
          <w:sz w:val="28"/>
          <w:szCs w:val="28"/>
          <w:lang w:val="en-US" w:eastAsia="zh-CN"/>
        </w:rPr>
        <w:t>9</w:t>
      </w:r>
    </w:p>
    <w:p>
      <w:pPr>
        <w:pStyle w:val="12"/>
        <w:adjustRightInd w:val="0"/>
        <w:snapToGrid w:val="0"/>
        <w:spacing w:line="440" w:lineRule="exact"/>
        <w:jc w:val="left"/>
        <w:rPr>
          <w:rFonts w:hint="default" w:eastAsia="宋体"/>
          <w:sz w:val="24"/>
          <w:lang w:val="en-US" w:eastAsia="zh-CN"/>
        </w:rPr>
      </w:pPr>
      <w:r>
        <w:rPr>
          <w:rFonts w:hint="eastAsia"/>
          <w:sz w:val="24"/>
        </w:rPr>
        <w:t>二、收入决算表..................................................................................................</w:t>
      </w:r>
      <w:r>
        <w:rPr>
          <w:rFonts w:hint="eastAsia"/>
          <w:sz w:val="28"/>
          <w:szCs w:val="28"/>
          <w:lang w:val="en-US" w:eastAsia="zh-CN"/>
        </w:rPr>
        <w:t>20</w:t>
      </w:r>
    </w:p>
    <w:p>
      <w:pPr>
        <w:pStyle w:val="12"/>
        <w:adjustRightInd w:val="0"/>
        <w:snapToGrid w:val="0"/>
        <w:spacing w:line="440" w:lineRule="exact"/>
        <w:jc w:val="left"/>
        <w:rPr>
          <w:rFonts w:hint="default" w:eastAsia="宋体"/>
          <w:sz w:val="24"/>
          <w:lang w:val="en-US" w:eastAsia="zh-CN"/>
        </w:rPr>
      </w:pPr>
      <w:r>
        <w:rPr>
          <w:rFonts w:hint="eastAsia"/>
          <w:sz w:val="24"/>
        </w:rPr>
        <w:t>三、支出决算表..................................................................................................</w:t>
      </w:r>
      <w:r>
        <w:rPr>
          <w:rFonts w:hint="eastAsia"/>
          <w:sz w:val="28"/>
          <w:szCs w:val="28"/>
          <w:lang w:val="en-US" w:eastAsia="zh-CN"/>
        </w:rPr>
        <w:t>21</w:t>
      </w:r>
      <w:r>
        <w:rPr>
          <w:rFonts w:hint="eastAsia"/>
          <w:sz w:val="24"/>
        </w:rPr>
        <w:t>四、财政拨款收入支出决算总表......................................................................</w:t>
      </w:r>
      <w:r>
        <w:rPr>
          <w:rFonts w:hint="eastAsia"/>
          <w:sz w:val="28"/>
          <w:szCs w:val="28"/>
          <w:lang w:val="en-US" w:eastAsia="zh-CN"/>
        </w:rPr>
        <w:t>22</w:t>
      </w:r>
    </w:p>
    <w:p>
      <w:pPr>
        <w:pStyle w:val="12"/>
        <w:adjustRightInd w:val="0"/>
        <w:snapToGrid w:val="0"/>
        <w:spacing w:line="440" w:lineRule="exact"/>
        <w:jc w:val="left"/>
        <w:rPr>
          <w:rFonts w:hint="default" w:eastAsia="宋体"/>
          <w:sz w:val="24"/>
          <w:lang w:val="en-US" w:eastAsia="zh-CN"/>
        </w:rPr>
      </w:pPr>
      <w:r>
        <w:rPr>
          <w:rFonts w:hint="eastAsia"/>
          <w:sz w:val="24"/>
        </w:rPr>
        <w:t>五、财政拨款支出决算明细表..........................................................................</w:t>
      </w:r>
      <w:r>
        <w:rPr>
          <w:rFonts w:hint="eastAsia"/>
          <w:sz w:val="28"/>
          <w:szCs w:val="28"/>
          <w:lang w:val="en-US" w:eastAsia="zh-CN"/>
        </w:rPr>
        <w:t>23</w:t>
      </w:r>
    </w:p>
    <w:p>
      <w:pPr>
        <w:pStyle w:val="12"/>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hint="eastAsia"/>
          <w:sz w:val="28"/>
          <w:szCs w:val="28"/>
          <w:lang w:val="en-US" w:eastAsia="zh-CN"/>
        </w:rPr>
        <w:t>25</w:t>
      </w:r>
    </w:p>
    <w:p>
      <w:pPr>
        <w:pStyle w:val="12"/>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hint="eastAsia"/>
          <w:sz w:val="28"/>
          <w:szCs w:val="28"/>
          <w:lang w:val="en-US" w:eastAsia="zh-CN"/>
        </w:rPr>
        <w:t>40</w:t>
      </w:r>
    </w:p>
    <w:p>
      <w:pPr>
        <w:pStyle w:val="12"/>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rPr>
          <w:rFonts w:hint="eastAsia"/>
          <w:sz w:val="28"/>
          <w:szCs w:val="28"/>
          <w:lang w:val="en-US" w:eastAsia="zh-CN"/>
        </w:rPr>
        <w:t>41</w:t>
      </w:r>
      <w:r>
        <w:rPr>
          <w:rFonts w:hint="eastAsia"/>
          <w:sz w:val="24"/>
        </w:rPr>
        <w:t>九、一般公共预算财政拨款项目支出决算表..................................................</w:t>
      </w:r>
      <w:r>
        <w:rPr>
          <w:rFonts w:hint="eastAsia"/>
          <w:sz w:val="28"/>
          <w:szCs w:val="28"/>
          <w:lang w:val="en-US" w:eastAsia="zh-CN"/>
        </w:rPr>
        <w:t>42</w:t>
      </w:r>
    </w:p>
    <w:p>
      <w:pPr>
        <w:pStyle w:val="12"/>
        <w:adjustRightInd w:val="0"/>
        <w:snapToGrid w:val="0"/>
        <w:spacing w:line="440" w:lineRule="exact"/>
        <w:jc w:val="left"/>
        <w:rPr>
          <w:rFonts w:hint="default" w:eastAsia="宋体"/>
          <w:sz w:val="24"/>
          <w:lang w:val="en-US" w:eastAsia="zh-CN"/>
        </w:rPr>
      </w:pPr>
      <w:r>
        <w:rPr>
          <w:rFonts w:hint="eastAsia"/>
          <w:sz w:val="24"/>
        </w:rPr>
        <w:t>十、政府性基金预算财政拨款收入支出决算表................................................</w:t>
      </w:r>
      <w:r>
        <w:rPr>
          <w:rFonts w:hint="eastAsia"/>
          <w:sz w:val="28"/>
          <w:szCs w:val="28"/>
          <w:lang w:val="en-US" w:eastAsia="zh-CN"/>
        </w:rPr>
        <w:t>43</w:t>
      </w:r>
    </w:p>
    <w:p>
      <w:pPr>
        <w:pStyle w:val="12"/>
        <w:adjustRightInd w:val="0"/>
        <w:snapToGrid w:val="0"/>
        <w:spacing w:line="440" w:lineRule="exact"/>
        <w:jc w:val="left"/>
        <w:rPr>
          <w:rFonts w:hint="default" w:eastAsia="宋体"/>
          <w:sz w:val="24"/>
          <w:lang w:val="en-US" w:eastAsia="zh-CN"/>
        </w:rPr>
      </w:pPr>
      <w:r>
        <w:rPr>
          <w:rFonts w:hint="eastAsia"/>
          <w:sz w:val="24"/>
        </w:rPr>
        <w:t>十一、国有资本经营预算财政拨款收入支出决算表.......................................</w:t>
      </w:r>
      <w:r>
        <w:rPr>
          <w:rFonts w:hint="eastAsia"/>
          <w:sz w:val="28"/>
          <w:szCs w:val="28"/>
          <w:lang w:val="en-US" w:eastAsia="zh-CN"/>
        </w:rPr>
        <w:t>44</w:t>
      </w:r>
    </w:p>
    <w:p>
      <w:pPr>
        <w:pStyle w:val="12"/>
        <w:adjustRightInd w:val="0"/>
        <w:snapToGrid w:val="0"/>
        <w:spacing w:line="440" w:lineRule="exact"/>
        <w:jc w:val="left"/>
        <w:rPr>
          <w:rFonts w:hint="default" w:eastAsia="宋体"/>
          <w:sz w:val="24"/>
          <w:lang w:val="en-US" w:eastAsia="zh-CN"/>
        </w:rPr>
      </w:pPr>
      <w:r>
        <w:rPr>
          <w:rFonts w:hint="eastAsia"/>
          <w:sz w:val="24"/>
        </w:rPr>
        <w:t>十二、国有资本经营预算财政拨款支出决算表...............................................</w:t>
      </w:r>
      <w:r>
        <w:rPr>
          <w:rFonts w:hint="eastAsia"/>
          <w:sz w:val="28"/>
          <w:szCs w:val="28"/>
          <w:lang w:val="en-US" w:eastAsia="zh-CN"/>
        </w:rPr>
        <w:t>45</w:t>
      </w:r>
      <w:r>
        <w:rPr>
          <w:rFonts w:hint="eastAsia"/>
          <w:sz w:val="24"/>
        </w:rPr>
        <w:t>十三、财政拨款“三公”经费支出决算表.......................................................</w:t>
      </w:r>
      <w:r>
        <w:rPr>
          <w:rFonts w:hint="eastAsia"/>
          <w:sz w:val="28"/>
          <w:szCs w:val="28"/>
          <w:lang w:val="en-US" w:eastAsia="zh-CN"/>
        </w:rPr>
        <w:t>46</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26"/>
          <w:rFonts w:ascii="黑体" w:hAnsi="黑体" w:eastAsia="黑体"/>
          <w:b/>
          <w:bCs w:val="0"/>
        </w:rPr>
      </w:pPr>
      <w:r>
        <w:rPr>
          <w:rFonts w:hint="eastAsia" w:ascii="黑体" w:hAnsi="黑体" w:eastAsia="黑体"/>
          <w:b w:val="0"/>
        </w:rPr>
        <w:t>第一部分 单位</w:t>
      </w:r>
      <w:r>
        <w:rPr>
          <w:rStyle w:val="26"/>
          <w:rFonts w:hint="eastAsia" w:ascii="黑体" w:hAnsi="黑体" w:eastAsia="黑体"/>
          <w:b w:val="0"/>
          <w:bCs w:val="0"/>
        </w:rPr>
        <w:t>概况</w:t>
      </w:r>
      <w:bookmarkEnd w:id="12"/>
      <w:bookmarkEnd w:id="13"/>
    </w:p>
    <w:p>
      <w:pPr>
        <w:pStyle w:val="4"/>
        <w:ind w:firstLine="640" w:firstLineChars="200"/>
        <w:rPr>
          <w:rStyle w:val="27"/>
          <w:rFonts w:ascii="黑体" w:hAnsi="黑体" w:eastAsia="黑体"/>
          <w:b w:val="0"/>
          <w:bCs w:val="0"/>
        </w:rPr>
      </w:pPr>
      <w:bookmarkStart w:id="14" w:name="_Toc15377197"/>
      <w:bookmarkStart w:id="15" w:name="_Toc15396600"/>
      <w:r>
        <w:rPr>
          <w:rStyle w:val="27"/>
          <w:rFonts w:hint="eastAsia" w:ascii="黑体" w:hAnsi="黑体" w:eastAsia="黑体"/>
          <w:b w:val="0"/>
          <w:bCs w:val="0"/>
        </w:rPr>
        <w:t>一、主要职责</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展公益性文化艺术活动和社会公益培训，实行免费开放；组织指导和推广群众性文艺创作；对基层群众文化组织进行业务指导；组织开展群众文化理论研究和交流活动；收集、整理、研究非物质文化遗产，开展非物质文化遗产的普查、展示、宣传活动，指导传承人开展传习活动。</w:t>
      </w:r>
    </w:p>
    <w:p>
      <w:pPr>
        <w:ind w:firstLine="640" w:firstLineChars="200"/>
        <w:rPr>
          <w:rFonts w:ascii="黑体" w:hAnsi="黑体" w:eastAsia="黑体"/>
          <w:sz w:val="32"/>
          <w:szCs w:val="32"/>
        </w:rPr>
      </w:pPr>
      <w:r>
        <w:rPr>
          <w:rFonts w:hint="eastAsia" w:ascii="黑体" w:hAnsi="黑体" w:eastAsia="黑体"/>
          <w:sz w:val="32"/>
          <w:szCs w:val="32"/>
        </w:rPr>
        <w:t>二、机构设置</w:t>
      </w:r>
    </w:p>
    <w:bookmarkEnd w:id="14"/>
    <w:bookmarkEnd w:id="15"/>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盐边县文化馆是盐边县文化广播电视和旅游局下属公益一类事业单位，同时挂盐边县图书馆、盐边县美术馆和盐边县文化遗产保护中心牌子，实行四块牌子一套人马，属于一级预算单位，无</w:t>
      </w:r>
      <w:r>
        <w:rPr>
          <w:rFonts w:hint="eastAsia" w:ascii="仿宋_GB2312" w:hAnsi="仿宋_GB2312" w:eastAsia="仿宋_GB2312" w:cs="仿宋_GB2312"/>
          <w:color w:val="000000"/>
          <w:sz w:val="32"/>
          <w:szCs w:val="32"/>
        </w:rPr>
        <w:t>纳入202</w:t>
      </w: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年度部门决算编制范围的二级预算单位</w:t>
      </w:r>
      <w:r>
        <w:rPr>
          <w:rFonts w:hint="eastAsia" w:ascii="仿宋_GB2312" w:hAnsi="仿宋_GB2312" w:eastAsia="仿宋_GB2312" w:cs="仿宋_GB2312"/>
          <w:kern w:val="0"/>
          <w:sz w:val="32"/>
          <w:szCs w:val="32"/>
        </w:rPr>
        <w:t>。</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6"/>
          <w:rFonts w:ascii="黑体" w:hAnsi="黑体" w:eastAsia="黑体"/>
          <w:b w:val="0"/>
          <w:bCs/>
        </w:rPr>
      </w:pPr>
      <w:bookmarkStart w:id="16" w:name="_Toc15377204"/>
      <w:bookmarkStart w:id="17" w:name="_Toc15396602"/>
      <w:r>
        <w:rPr>
          <w:rFonts w:hint="eastAsia" w:ascii="黑体" w:hAnsi="黑体" w:eastAsia="黑体"/>
          <w:b w:val="0"/>
        </w:rPr>
        <w:t>第二部分 2022年度</w:t>
      </w:r>
      <w:r>
        <w:rPr>
          <w:rStyle w:val="26"/>
          <w:rFonts w:hint="eastAsia" w:ascii="黑体" w:hAnsi="黑体" w:eastAsia="黑体"/>
          <w:b w:val="0"/>
          <w:bCs/>
        </w:rPr>
        <w:t>单位决算情况说明</w:t>
      </w:r>
      <w:bookmarkEnd w:id="16"/>
      <w:bookmarkEnd w:id="17"/>
    </w:p>
    <w:p/>
    <w:p>
      <w:pPr>
        <w:pStyle w:val="25"/>
        <w:numPr>
          <w:ilvl w:val="0"/>
          <w:numId w:val="1"/>
        </w:numPr>
        <w:spacing w:line="600" w:lineRule="exact"/>
        <w:ind w:firstLineChars="0"/>
        <w:outlineLvl w:val="1"/>
        <w:rPr>
          <w:rStyle w:val="27"/>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7"/>
          <w:rFonts w:hint="eastAsia" w:ascii="黑体" w:hAnsi="黑体" w:eastAsia="黑体"/>
          <w:b w:val="0"/>
        </w:rPr>
        <w:t>入支出决算总体情况说明</w:t>
      </w:r>
      <w:bookmarkEnd w:id="18"/>
      <w:bookmarkEnd w:id="19"/>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2022年度收、支总计193.64万元。与2021年相比，收、支总计各减少74.77万元，下降27.86%。主要变动原因是项目经费比上年减少。</w:t>
      </w:r>
    </w:p>
    <w:p>
      <w:pPr>
        <w:pStyle w:val="2"/>
        <w:spacing w:before="93"/>
        <w:ind w:firstLine="640" w:firstLineChars="200"/>
        <w:rPr>
          <w:rFonts w:hAnsi="仿宋_GB2312" w:cs="仿宋_GB2312"/>
          <w:sz w:val="32"/>
          <w:szCs w:val="32"/>
        </w:rPr>
      </w:pPr>
      <w:r>
        <w:rPr>
          <w:rFonts w:hint="eastAsia" w:hAnsi="仿宋_GB2312" w:cs="仿宋_GB2312"/>
          <w:sz w:val="32"/>
          <w:szCs w:val="32"/>
        </w:rPr>
        <w:t>（图1：收、支决算总计变动情况图）</w:t>
      </w:r>
    </w:p>
    <w:p>
      <w:pPr>
        <w:pStyle w:val="2"/>
        <w:spacing w:before="93"/>
      </w:pPr>
      <w:r>
        <w:rPr>
          <w:sz w:val="32"/>
          <w:szCs w:val="32"/>
        </w:rPr>
        <w:drawing>
          <wp:inline distT="0" distB="0" distL="0" distR="0">
            <wp:extent cx="5274310" cy="3076575"/>
            <wp:effectExtent l="0" t="0" r="2540"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5"/>
        <w:numPr>
          <w:ilvl w:val="0"/>
          <w:numId w:val="1"/>
        </w:numPr>
        <w:spacing w:line="600" w:lineRule="exact"/>
        <w:ind w:firstLineChars="0"/>
        <w:outlineLvl w:val="1"/>
        <w:rPr>
          <w:rStyle w:val="27"/>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7"/>
          <w:rFonts w:hint="eastAsia" w:ascii="黑体" w:hAnsi="黑体" w:eastAsia="黑体"/>
          <w:b w:val="0"/>
        </w:rPr>
        <w:t>入决算情况说明</w:t>
      </w:r>
      <w:bookmarkEnd w:id="20"/>
      <w:bookmarkEnd w:id="21"/>
    </w:p>
    <w:p>
      <w:pPr>
        <w:spacing w:line="60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2022年收入合计193.64万元，其中：一般公共预算财政拨款收入193.64万元，占100%；政府性基金预算财政拨款收入0元，占0%；国有资本经营预算财政拨款收入0万元，占0%；上级补助收入0万元，占0%；事业收入0万元，占0%；经营收入0万元，占0%；附属单位上缴收入0万元，占0%；其他收入0万元，占0%。</w:t>
      </w:r>
    </w:p>
    <w:p>
      <w:pPr>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（图2：收入决算结构图）（饼状图）</w:t>
      </w:r>
    </w:p>
    <w:p>
      <w:pPr>
        <w:pStyle w:val="2"/>
        <w:spacing w:before="93"/>
      </w:pPr>
      <w:r>
        <w:rPr>
          <w:rFonts w:hint="eastAsia"/>
          <w:sz w:val="32"/>
          <w:szCs w:val="32"/>
        </w:rPr>
        <w:drawing>
          <wp:inline distT="0" distB="0" distL="0" distR="0">
            <wp:extent cx="5274310" cy="3076575"/>
            <wp:effectExtent l="0" t="0" r="2540" b="952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5"/>
        <w:numPr>
          <w:ilvl w:val="0"/>
          <w:numId w:val="1"/>
        </w:numPr>
        <w:spacing w:line="600" w:lineRule="exact"/>
        <w:ind w:firstLineChars="0"/>
        <w:outlineLvl w:val="1"/>
        <w:rPr>
          <w:rStyle w:val="27"/>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7"/>
          <w:rFonts w:hint="eastAsia" w:ascii="黑体" w:hAnsi="黑体" w:eastAsia="黑体"/>
          <w:b w:val="0"/>
        </w:rPr>
        <w:t>出决算情况说明</w:t>
      </w:r>
      <w:bookmarkEnd w:id="22"/>
      <w:bookmarkEnd w:id="23"/>
    </w:p>
    <w:p>
      <w:pPr>
        <w:spacing w:line="60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2022年本年支出合计193.64万元，其中：基本支出134.06万元，占69.23%；项目支出59.58万元，占30.77%；上缴上级支出0万元，占0%；经营支出0万元，占0%；对附属单位补助支出0万元，占0%。</w:t>
      </w:r>
    </w:p>
    <w:p>
      <w:pPr>
        <w:spacing w:line="600" w:lineRule="exact"/>
        <w:ind w:firstLine="640" w:firstLineChars="200"/>
        <w:rPr>
          <w:rFonts w:ascii="仿宋" w:hAnsi="仿宋" w:eastAsia="仿宋"/>
          <w:sz w:val="32"/>
          <w:szCs w:val="32"/>
        </w:rPr>
      </w:pPr>
      <w:r>
        <w:rPr>
          <w:rFonts w:hint="eastAsia" w:ascii="仿宋_GB2312" w:hAnsi="仿宋_GB2312" w:eastAsia="仿宋_GB2312" w:cs="仿宋_GB2312"/>
          <w:sz w:val="32"/>
          <w:szCs w:val="32"/>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592455</wp:posOffset>
            </wp:positionV>
            <wp:extent cx="5021580" cy="2781300"/>
            <wp:effectExtent l="19050" t="0" r="26670" b="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仿宋_GB2312" w:hAnsi="仿宋_GB2312" w:eastAsia="仿宋_GB2312" w:cs="仿宋_GB2312"/>
          <w:sz w:val="32"/>
          <w:szCs w:val="32"/>
        </w:rPr>
        <w:t>（图3：支出决算结构图）（饼状图）</w:t>
      </w:r>
    </w:p>
    <w:p>
      <w:pPr>
        <w:spacing w:line="600" w:lineRule="exact"/>
        <w:ind w:firstLine="640" w:firstLineChars="200"/>
        <w:outlineLvl w:val="1"/>
        <w:rPr>
          <w:rStyle w:val="27"/>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24"/>
      <w:bookmarkEnd w:id="25"/>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2022年财政拨款收、支总计193.64万元。与2021年相比，财政拨款收、支总计各减少74.77万元，下降27.86%。主要变动原因是项目支出减少。</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60288" behindDoc="0" locked="0" layoutInCell="1" allowOverlap="1">
            <wp:simplePos x="0" y="0"/>
            <wp:positionH relativeFrom="column">
              <wp:posOffset>236220</wp:posOffset>
            </wp:positionH>
            <wp:positionV relativeFrom="paragraph">
              <wp:posOffset>571500</wp:posOffset>
            </wp:positionV>
            <wp:extent cx="5274310" cy="3076575"/>
            <wp:effectExtent l="0" t="0" r="2540" b="9525"/>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仿宋_GB2312" w:hAnsi="仿宋_GB2312" w:eastAsia="仿宋_GB2312" w:cs="仿宋_GB2312"/>
          <w:sz w:val="32"/>
          <w:szCs w:val="32"/>
        </w:rPr>
        <w:t>（图4：财政拨款收、支决算总计变动情况）（柱状图）</w:t>
      </w:r>
    </w:p>
    <w:p>
      <w:pPr>
        <w:spacing w:line="600" w:lineRule="exact"/>
        <w:ind w:firstLine="640" w:firstLineChars="200"/>
        <w:outlineLvl w:val="1"/>
        <w:rPr>
          <w:rStyle w:val="27"/>
          <w:rFonts w:ascii="黑体" w:hAnsi="黑体" w:eastAsia="黑体" w:cs="Times New Roman"/>
          <w:b w:val="0"/>
          <w:bCs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方正楷体简体" w:hAnsi="方正楷体简体" w:eastAsia="方正楷体简体" w:cs="方正楷体简体"/>
          <w:b/>
          <w:sz w:val="32"/>
          <w:szCs w:val="32"/>
        </w:rPr>
      </w:pPr>
      <w:bookmarkStart w:id="28" w:name="_Toc15377210"/>
      <w:r>
        <w:rPr>
          <w:rFonts w:hint="eastAsia" w:ascii="方正楷体简体" w:hAnsi="方正楷体简体" w:eastAsia="方正楷体简体" w:cs="方正楷体简体"/>
          <w:b/>
          <w:sz w:val="32"/>
          <w:szCs w:val="32"/>
        </w:rPr>
        <w:t>（一）一般公共预算财政拨款支出决算总体情况</w:t>
      </w:r>
      <w:bookmarkEnd w:id="28"/>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2022年一般公共预算财政拨款支出193.64万元，占本年支出合计的100%。与2021年相比，一般公共预算财政拨款支出减少74.77万元，下降27.86%。主要变动原因是项目支出减少。</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（图5：一般公共预算财政拨款支出决算变动情况）（柱状图）</w:t>
      </w:r>
    </w:p>
    <w:p>
      <w:pPr>
        <w:spacing w:line="600" w:lineRule="exact"/>
        <w:ind w:firstLine="643" w:firstLineChars="200"/>
        <w:outlineLvl w:val="2"/>
        <w:rPr>
          <w:rFonts w:ascii="仿宋" w:hAnsi="仿宋" w:eastAsia="仿宋"/>
          <w:b/>
          <w:sz w:val="32"/>
          <w:szCs w:val="32"/>
        </w:rPr>
      </w:pPr>
      <w:bookmarkStart w:id="29" w:name="_Toc15377211"/>
      <w:r>
        <w:rPr>
          <w:rFonts w:ascii="仿宋" w:hAnsi="仿宋" w:eastAsia="仿宋"/>
          <w:b/>
          <w:sz w:val="32"/>
          <w:szCs w:val="32"/>
        </w:rPr>
        <w:drawing>
          <wp:anchor distT="0" distB="0" distL="114300" distR="114300" simplePos="0" relativeHeight="251661312" behindDoc="0" locked="0" layoutInCell="1" allowOverlap="1">
            <wp:simplePos x="0" y="0"/>
            <wp:positionH relativeFrom="column">
              <wp:posOffset>241935</wp:posOffset>
            </wp:positionH>
            <wp:positionV relativeFrom="paragraph">
              <wp:posOffset>0</wp:posOffset>
            </wp:positionV>
            <wp:extent cx="5274310" cy="3076575"/>
            <wp:effectExtent l="0" t="0" r="2540" b="952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600" w:lineRule="exact"/>
        <w:ind w:firstLine="643" w:firstLineChars="200"/>
        <w:outlineLvl w:val="2"/>
        <w:rPr>
          <w:rFonts w:ascii="方正楷体简体" w:hAnsi="方正楷体简体" w:eastAsia="方正楷体简体" w:cs="方正楷体简体"/>
          <w:b/>
          <w:sz w:val="32"/>
          <w:szCs w:val="32"/>
        </w:rPr>
      </w:pPr>
      <w:r>
        <w:rPr>
          <w:rFonts w:hint="eastAsia" w:ascii="方正楷体简体" w:hAnsi="方正楷体简体" w:eastAsia="方正楷体简体" w:cs="方正楷体简体"/>
          <w:b/>
          <w:sz w:val="32"/>
          <w:szCs w:val="32"/>
        </w:rPr>
        <w:t>（二）一般公共预算财政拨款支出决算结构情况</w:t>
      </w:r>
      <w:bookmarkEnd w:id="29"/>
    </w:p>
    <w:p>
      <w:pPr>
        <w:spacing w:line="600" w:lineRule="exact"/>
        <w:ind w:firstLine="640"/>
        <w:rPr>
          <w:rFonts w:ascii="仿宋_GB2312" w:hAnsi="仿宋_GB2312" w:eastAsia="仿宋_GB2312" w:cs="仿宋_GB2312"/>
          <w:b/>
          <w:sz w:val="32"/>
          <w:szCs w:val="32"/>
        </w:rPr>
      </w:pPr>
      <w:r>
        <w:rPr>
          <w:rFonts w:hint="eastAsia" w:ascii="仿宋_GB2312" w:hAnsi="仿宋_GB2312" w:eastAsia="仿宋_GB2312" w:cs="仿宋_GB2312"/>
          <w:sz w:val="32"/>
          <w:szCs w:val="32"/>
        </w:rPr>
        <w:t>2022年一般公共预算财政拨款支出193.64万元，主要用于以下方面:</w:t>
      </w:r>
      <w:r>
        <w:rPr>
          <w:rFonts w:hint="eastAsia" w:ascii="仿宋_GB2312" w:hAnsi="仿宋_GB2312" w:eastAsia="仿宋_GB2312" w:cs="仿宋_GB2312"/>
          <w:b/>
          <w:bCs/>
          <w:sz w:val="32"/>
          <w:szCs w:val="32"/>
        </w:rPr>
        <w:t>一般公共文化服务支出（类）支出</w:t>
      </w:r>
      <w:r>
        <w:rPr>
          <w:rFonts w:hint="eastAsia" w:ascii="仿宋_GB2312" w:hAnsi="仿宋_GB2312" w:eastAsia="仿宋_GB2312" w:cs="仿宋_GB2312"/>
          <w:sz w:val="32"/>
          <w:szCs w:val="32"/>
        </w:rPr>
        <w:t>1.08万元，占0.57%；</w:t>
      </w:r>
      <w:r>
        <w:rPr>
          <w:rFonts w:hint="eastAsia" w:ascii="仿宋_GB2312" w:hAnsi="仿宋_GB2312" w:eastAsia="仿宋_GB2312" w:cs="仿宋_GB2312"/>
          <w:b/>
          <w:sz w:val="32"/>
          <w:szCs w:val="32"/>
        </w:rPr>
        <w:t>文化旅游体育与传媒支出（类）支出</w:t>
      </w:r>
      <w:r>
        <w:rPr>
          <w:rFonts w:hint="eastAsia" w:ascii="仿宋_GB2312" w:hAnsi="仿宋_GB2312" w:eastAsia="仿宋_GB2312" w:cs="仿宋_GB2312"/>
          <w:bCs/>
          <w:sz w:val="32"/>
          <w:szCs w:val="32"/>
        </w:rPr>
        <w:t>143.67万元，占74.19%；</w:t>
      </w:r>
      <w:r>
        <w:rPr>
          <w:rFonts w:hint="eastAsia" w:ascii="仿宋_GB2312" w:hAnsi="仿宋_GB2312" w:eastAsia="仿宋_GB2312" w:cs="仿宋_GB2312"/>
          <w:b/>
          <w:sz w:val="32"/>
          <w:szCs w:val="32"/>
        </w:rPr>
        <w:t>社会保障和就业（类）</w:t>
      </w:r>
      <w:r>
        <w:rPr>
          <w:rFonts w:hint="eastAsia" w:ascii="仿宋_GB2312" w:hAnsi="仿宋_GB2312" w:eastAsia="仿宋_GB2312" w:cs="仿宋_GB2312"/>
          <w:sz w:val="32"/>
          <w:szCs w:val="32"/>
        </w:rPr>
        <w:t>支出31.9万元，占16.47%。</w:t>
      </w:r>
      <w:r>
        <w:rPr>
          <w:rFonts w:hint="eastAsia" w:ascii="仿宋_GB2312" w:hAnsi="仿宋_GB2312" w:eastAsia="仿宋_GB2312" w:cs="仿宋_GB2312"/>
          <w:b/>
          <w:bCs/>
          <w:sz w:val="32"/>
          <w:szCs w:val="32"/>
        </w:rPr>
        <w:t>卫生健康支出（类）</w:t>
      </w:r>
      <w:r>
        <w:rPr>
          <w:rFonts w:hint="eastAsia" w:ascii="仿宋_GB2312" w:hAnsi="仿宋_GB2312" w:eastAsia="仿宋_GB2312" w:cs="仿宋_GB2312"/>
          <w:sz w:val="32"/>
          <w:szCs w:val="32"/>
        </w:rPr>
        <w:t>8.88万元，占4.59%；</w:t>
      </w:r>
      <w:r>
        <w:rPr>
          <w:rFonts w:hint="eastAsia" w:ascii="仿宋_GB2312" w:hAnsi="仿宋_GB2312" w:eastAsia="仿宋_GB2312" w:cs="仿宋_GB2312"/>
          <w:b/>
          <w:bCs/>
          <w:sz w:val="32"/>
          <w:szCs w:val="32"/>
        </w:rPr>
        <w:t>住房保障支出（类）支出</w:t>
      </w:r>
      <w:r>
        <w:rPr>
          <w:rFonts w:hint="eastAsia" w:ascii="仿宋_GB2312" w:hAnsi="仿宋_GB2312" w:eastAsia="仿宋_GB2312" w:cs="仿宋_GB2312"/>
          <w:sz w:val="32"/>
          <w:szCs w:val="32"/>
        </w:rPr>
        <w:t>8.1万元，占4.18%。</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62336" behindDoc="0" locked="0" layoutInCell="1" allowOverlap="1">
            <wp:simplePos x="0" y="0"/>
            <wp:positionH relativeFrom="margin">
              <wp:posOffset>191770</wp:posOffset>
            </wp:positionH>
            <wp:positionV relativeFrom="paragraph">
              <wp:posOffset>662305</wp:posOffset>
            </wp:positionV>
            <wp:extent cx="5013960" cy="1921510"/>
            <wp:effectExtent l="4445" t="4445" r="10795" b="9525"/>
            <wp:wrapSquare wrapText="bothSides"/>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_GB2312" w:hAnsi="仿宋_GB2312" w:eastAsia="仿宋_GB2312" w:cs="仿宋_GB2312"/>
          <w:sz w:val="32"/>
          <w:szCs w:val="32"/>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30" w:name="_Toc15377212"/>
      <w:r>
        <w:rPr>
          <w:rFonts w:hint="eastAsia" w:ascii="方正楷体简体" w:hAnsi="方正楷体简体" w:eastAsia="方正楷体简体" w:cs="方正楷体简体"/>
          <w:b/>
          <w:sz w:val="32"/>
          <w:szCs w:val="32"/>
        </w:rPr>
        <w:t>（三）一般公共预算财政拨款支出决算具体情况</w:t>
      </w:r>
      <w:bookmarkEnd w:id="30"/>
    </w:p>
    <w:p>
      <w:pPr>
        <w:spacing w:line="600" w:lineRule="exact"/>
        <w:ind w:firstLine="643" w:firstLineChars="200"/>
        <w:outlineLvl w:val="2"/>
        <w:rPr>
          <w:rFonts w:ascii="仿宋_GB2312" w:hAnsi="仿宋_GB2312" w:eastAsia="仿宋_GB2312" w:cs="仿宋_GB2312"/>
          <w:sz w:val="32"/>
          <w:szCs w:val="32"/>
        </w:rPr>
      </w:pPr>
      <w:bookmarkStart w:id="31" w:name="_Toc15377444"/>
      <w:bookmarkStart w:id="32" w:name="_Toc15378460"/>
      <w:bookmarkStart w:id="33" w:name="_Toc15377213"/>
      <w:r>
        <w:rPr>
          <w:rFonts w:hint="eastAsia" w:ascii="仿宋_GB2312" w:hAnsi="仿宋_GB2312" w:eastAsia="仿宋_GB2312" w:cs="仿宋_GB2312"/>
          <w:b/>
          <w:sz w:val="32"/>
          <w:szCs w:val="32"/>
        </w:rPr>
        <w:t>2022年一般公共预算支出决算数为193.64万元</w:t>
      </w:r>
      <w:r>
        <w:rPr>
          <w:rFonts w:hint="eastAsia" w:ascii="仿宋_GB2312" w:hAnsi="仿宋_GB2312" w:eastAsia="仿宋_GB2312" w:cs="仿宋_GB2312"/>
          <w:sz w:val="32"/>
          <w:szCs w:val="32"/>
        </w:rPr>
        <w:t>，</w:t>
      </w:r>
      <w:r>
        <w:rPr>
          <w:rStyle w:val="16"/>
          <w:rFonts w:hint="eastAsia" w:ascii="仿宋_GB2312" w:hAnsi="仿宋_GB2312" w:eastAsia="仿宋_GB2312" w:cs="仿宋_GB2312"/>
          <w:bCs/>
          <w:sz w:val="32"/>
          <w:szCs w:val="32"/>
        </w:rPr>
        <w:t>完成预算100%。其中：</w:t>
      </w:r>
      <w:bookmarkEnd w:id="31"/>
      <w:bookmarkEnd w:id="32"/>
      <w:bookmarkEnd w:id="33"/>
    </w:p>
    <w:p>
      <w:pPr>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bCs/>
          <w:sz w:val="32"/>
          <w:szCs w:val="32"/>
        </w:rPr>
        <w:t>1.一般公共文化服务支出（类）民族事务（款）民族工作专项（项）</w:t>
      </w:r>
      <w:r>
        <w:rPr>
          <w:rStyle w:val="16"/>
          <w:rFonts w:hint="eastAsia" w:ascii="仿宋_GB2312" w:hAnsi="仿宋_GB2312" w:eastAsia="仿宋_GB2312" w:cs="仿宋_GB2312"/>
          <w:bCs/>
          <w:sz w:val="32"/>
          <w:szCs w:val="32"/>
        </w:rPr>
        <w:t>支出决算为</w:t>
      </w:r>
      <w:r>
        <w:rPr>
          <w:rFonts w:hint="eastAsia" w:ascii="仿宋_GB2312" w:hAnsi="仿宋_GB2312" w:eastAsia="仿宋_GB2312" w:cs="仿宋_GB2312"/>
          <w:b/>
          <w:bCs/>
          <w:sz w:val="32"/>
          <w:szCs w:val="32"/>
        </w:rPr>
        <w:t>1.08万元，</w:t>
      </w:r>
      <w:r>
        <w:rPr>
          <w:rStyle w:val="16"/>
          <w:rFonts w:hint="eastAsia" w:ascii="仿宋_GB2312" w:hAnsi="仿宋_GB2312" w:eastAsia="仿宋_GB2312" w:cs="仿宋_GB2312"/>
          <w:b w:val="0"/>
          <w:bCs/>
          <w:sz w:val="32"/>
          <w:szCs w:val="32"/>
        </w:rPr>
        <w:t>完成预算100%，决算数等于预算数。</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sz w:val="32"/>
          <w:szCs w:val="32"/>
        </w:rPr>
        <w:t>文化旅游体育与传媒支出（类）文化和旅游（款）群众文化（项）支出决算为85.17万元，</w:t>
      </w:r>
      <w:r>
        <w:rPr>
          <w:rStyle w:val="16"/>
          <w:rFonts w:hint="eastAsia" w:ascii="仿宋_GB2312" w:hAnsi="仿宋_GB2312" w:eastAsia="仿宋_GB2312" w:cs="仿宋_GB2312"/>
          <w:b w:val="0"/>
          <w:bCs/>
          <w:sz w:val="32"/>
          <w:szCs w:val="32"/>
        </w:rPr>
        <w:t>完成预算100%，决算数等于预算数。</w:t>
      </w:r>
    </w:p>
    <w:p>
      <w:pPr>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3.文化旅游体育与传媒支出（类）文化和旅游（款）其他文化和旅游支出（项）支出决算为58.5万元，</w:t>
      </w:r>
      <w:r>
        <w:rPr>
          <w:rStyle w:val="16"/>
          <w:rFonts w:hint="eastAsia" w:ascii="仿宋_GB2312" w:hAnsi="仿宋_GB2312" w:eastAsia="仿宋_GB2312" w:cs="仿宋_GB2312"/>
          <w:b w:val="0"/>
          <w:bCs/>
          <w:sz w:val="32"/>
          <w:szCs w:val="32"/>
        </w:rPr>
        <w:t>完成预算100%，决算数等于预算数。</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
          <w:sz w:val="32"/>
          <w:szCs w:val="32"/>
        </w:rPr>
        <w:t>社会保障和就业（类）行政事业单位养老（款）事业单位离退休（项）</w:t>
      </w:r>
      <w:r>
        <w:rPr>
          <w:rFonts w:hint="eastAsia" w:ascii="仿宋_GB2312" w:hAnsi="仿宋_GB2312" w:eastAsia="仿宋_GB2312" w:cs="仿宋_GB2312"/>
          <w:b/>
          <w:bCs/>
          <w:sz w:val="32"/>
          <w:szCs w:val="32"/>
        </w:rPr>
        <w:t>支出决算为18.07万元，</w:t>
      </w:r>
      <w:r>
        <w:rPr>
          <w:rStyle w:val="16"/>
          <w:rFonts w:hint="eastAsia" w:ascii="仿宋_GB2312" w:hAnsi="仿宋_GB2312" w:eastAsia="仿宋_GB2312" w:cs="仿宋_GB2312"/>
          <w:b w:val="0"/>
          <w:bCs/>
          <w:sz w:val="32"/>
          <w:szCs w:val="32"/>
        </w:rPr>
        <w:t>完成预算100%，决算数等于预算数。</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b/>
          <w:sz w:val="32"/>
          <w:szCs w:val="32"/>
        </w:rPr>
        <w:t>社会保障和就业（类）行政事业单位养老（款）机关事业单位基本养老保险缴费支出（项）</w:t>
      </w:r>
      <w:r>
        <w:rPr>
          <w:rFonts w:hint="eastAsia" w:ascii="仿宋_GB2312" w:hAnsi="仿宋_GB2312" w:eastAsia="仿宋_GB2312" w:cs="仿宋_GB2312"/>
          <w:b/>
          <w:bCs/>
          <w:sz w:val="32"/>
          <w:szCs w:val="32"/>
        </w:rPr>
        <w:t>支出决算为7.61万元，</w:t>
      </w:r>
      <w:r>
        <w:rPr>
          <w:rStyle w:val="16"/>
          <w:rFonts w:hint="eastAsia" w:ascii="仿宋_GB2312" w:hAnsi="仿宋_GB2312" w:eastAsia="仿宋_GB2312" w:cs="仿宋_GB2312"/>
          <w:b w:val="0"/>
          <w:bCs/>
          <w:sz w:val="32"/>
          <w:szCs w:val="32"/>
        </w:rPr>
        <w:t>完成预算100%，决算数等于预算数。</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b/>
          <w:sz w:val="32"/>
          <w:szCs w:val="32"/>
        </w:rPr>
        <w:t>社会保障和就业（类）行政事业单位养老（款）机关事业单位职业年金缴费支出（项）</w:t>
      </w:r>
      <w:r>
        <w:rPr>
          <w:rFonts w:hint="eastAsia" w:ascii="仿宋_GB2312" w:hAnsi="仿宋_GB2312" w:eastAsia="仿宋_GB2312" w:cs="仿宋_GB2312"/>
          <w:b/>
          <w:bCs/>
          <w:sz w:val="32"/>
          <w:szCs w:val="32"/>
        </w:rPr>
        <w:t>支出决算为6.22万元，</w:t>
      </w:r>
      <w:r>
        <w:rPr>
          <w:rStyle w:val="16"/>
          <w:rFonts w:hint="eastAsia" w:ascii="仿宋_GB2312" w:hAnsi="仿宋_GB2312" w:eastAsia="仿宋_GB2312" w:cs="仿宋_GB2312"/>
          <w:b w:val="0"/>
          <w:bCs/>
          <w:sz w:val="32"/>
          <w:szCs w:val="32"/>
        </w:rPr>
        <w:t>完成预算100%，决算数等于预算数。</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b/>
          <w:bCs/>
          <w:sz w:val="32"/>
          <w:szCs w:val="32"/>
        </w:rPr>
        <w:t>卫生健康支出（类）行政事业单位医疗（款）事业单位医疗（项）支出决算为5.51万元，</w:t>
      </w:r>
      <w:r>
        <w:rPr>
          <w:rStyle w:val="16"/>
          <w:rFonts w:hint="eastAsia" w:ascii="仿宋_GB2312" w:hAnsi="仿宋_GB2312" w:eastAsia="仿宋_GB2312" w:cs="仿宋_GB2312"/>
          <w:b w:val="0"/>
          <w:bCs/>
          <w:sz w:val="32"/>
          <w:szCs w:val="32"/>
        </w:rPr>
        <w:t>完成预算100%，决算数等于预算数。</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b/>
          <w:bCs/>
          <w:sz w:val="32"/>
          <w:szCs w:val="32"/>
        </w:rPr>
        <w:t>卫生健康支出（类）行政事业单位医疗（款）其他行政事业单位医疗支出（项）支出决算为3.37万元，</w:t>
      </w:r>
      <w:r>
        <w:rPr>
          <w:rStyle w:val="16"/>
          <w:rFonts w:hint="eastAsia" w:ascii="仿宋_GB2312" w:hAnsi="仿宋_GB2312" w:eastAsia="仿宋_GB2312" w:cs="仿宋_GB2312"/>
          <w:b w:val="0"/>
          <w:bCs/>
          <w:sz w:val="32"/>
          <w:szCs w:val="32"/>
        </w:rPr>
        <w:t>完成预算100%，决算数等于预算数。</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b/>
          <w:bCs/>
          <w:sz w:val="32"/>
          <w:szCs w:val="32"/>
        </w:rPr>
        <w:t>住房保障支出（类）住房改革支出（款）住房公积金（项）支出决算为8.1万元，</w:t>
      </w:r>
      <w:r>
        <w:rPr>
          <w:rStyle w:val="16"/>
          <w:rFonts w:hint="eastAsia" w:ascii="仿宋_GB2312" w:hAnsi="仿宋_GB2312" w:eastAsia="仿宋_GB2312" w:cs="仿宋_GB2312"/>
          <w:b w:val="0"/>
          <w:bCs/>
          <w:sz w:val="32"/>
          <w:szCs w:val="32"/>
        </w:rPr>
        <w:t>完成预算100%，决算数等于预算数。</w:t>
      </w:r>
    </w:p>
    <w:p>
      <w:pPr>
        <w:tabs>
          <w:tab w:val="right" w:pos="8306"/>
        </w:tabs>
        <w:spacing w:line="600" w:lineRule="exact"/>
        <w:ind w:firstLine="640"/>
        <w:outlineLvl w:val="1"/>
        <w:rPr>
          <w:rStyle w:val="27"/>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7"/>
          <w:rFonts w:hint="eastAsia" w:ascii="黑体" w:hAnsi="黑体" w:eastAsia="黑体"/>
          <w:b w:val="0"/>
        </w:rPr>
        <w:t>般公共预算财政拨款基本支出决算情况说明</w:t>
      </w:r>
      <w:bookmarkEnd w:id="34"/>
      <w:bookmarkEnd w:id="35"/>
      <w:r>
        <w:rPr>
          <w:rStyle w:val="27"/>
          <w:rFonts w:ascii="黑体" w:hAnsi="黑体" w:eastAsia="黑体"/>
          <w:b w:val="0"/>
        </w:rPr>
        <w:tab/>
      </w:r>
    </w:p>
    <w:p>
      <w:pPr>
        <w:spacing w:line="60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2022年一般公共预算财政拨款基本支出134.06万元，其中：</w:t>
      </w:r>
    </w:p>
    <w:p>
      <w:pPr>
        <w:spacing w:line="60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人员经费126.52万元，主要包括：基本工资、津贴补贴、绩效工资、机关事业单位基本养老保险缴费、职业年金缴费、职工基本医疗保险缴费、公务员医疗补助缴费、其他社会保障缴费、住房公积金、医疗费、其他工资福利支出、生活补助、医疗费补助等。</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公用经费7.54万元，主要包括：办公费、水费、邮电费、差旅费、维修（护）费、工会经费、福利费、其他商品和服务支出等。</w:t>
      </w:r>
    </w:p>
    <w:p>
      <w:pPr>
        <w:spacing w:line="600" w:lineRule="exact"/>
        <w:ind w:firstLine="640"/>
        <w:outlineLvl w:val="1"/>
        <w:rPr>
          <w:rStyle w:val="27"/>
          <w:rFonts w:ascii="黑体" w:hAnsi="黑体" w:eastAsia="黑体"/>
          <w:b w:val="0"/>
        </w:rPr>
      </w:pPr>
      <w:bookmarkStart w:id="36" w:name="_Toc15377215"/>
      <w:bookmarkStart w:id="37" w:name="_Toc15396609"/>
      <w:r>
        <w:rPr>
          <w:rFonts w:hint="eastAsia" w:ascii="黑体" w:eastAsia="黑体"/>
          <w:sz w:val="32"/>
          <w:szCs w:val="32"/>
        </w:rPr>
        <w:t>七、</w:t>
      </w:r>
      <w:r>
        <w:rPr>
          <w:rStyle w:val="27"/>
          <w:rFonts w:hint="eastAsia" w:ascii="黑体" w:hAnsi="黑体" w:eastAsia="黑体"/>
          <w:b w:val="0"/>
        </w:rPr>
        <w:t>财政拨款</w:t>
      </w:r>
      <w:r>
        <w:rPr>
          <w:rStyle w:val="27"/>
          <w:rFonts w:hint="eastAsia" w:ascii="黑体" w:hAnsi="黑体" w:eastAsia="黑体"/>
        </w:rPr>
        <w:t>“</w:t>
      </w:r>
      <w:r>
        <w:rPr>
          <w:rStyle w:val="27"/>
          <w:rFonts w:hint="eastAsia" w:ascii="黑体" w:hAnsi="黑体" w:eastAsia="黑体"/>
          <w:b w:val="0"/>
        </w:rPr>
        <w:t>三公”经费支出决算情况说明</w:t>
      </w:r>
      <w:bookmarkEnd w:id="36"/>
      <w:bookmarkEnd w:id="37"/>
    </w:p>
    <w:p>
      <w:pPr>
        <w:spacing w:line="600" w:lineRule="exact"/>
        <w:ind w:firstLine="640"/>
        <w:outlineLvl w:val="2"/>
        <w:rPr>
          <w:rFonts w:ascii="方正楷体简体" w:hAnsi="方正楷体简体" w:eastAsia="方正楷体简体" w:cs="方正楷体简体"/>
          <w:b/>
          <w:sz w:val="32"/>
          <w:szCs w:val="32"/>
        </w:rPr>
      </w:pPr>
      <w:bookmarkStart w:id="38" w:name="_Toc15377216"/>
      <w:r>
        <w:rPr>
          <w:rFonts w:hint="eastAsia" w:ascii="方正楷体简体" w:hAnsi="方正楷体简体" w:eastAsia="方正楷体简体" w:cs="方正楷体简体"/>
          <w:b/>
          <w:sz w:val="32"/>
          <w:szCs w:val="32"/>
        </w:rPr>
        <w:t>（一）“三公”经费财政拨款支出决算总体情况说明</w:t>
      </w:r>
      <w:bookmarkEnd w:id="38"/>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2022年“三公”经费财政拨款支出决算为0万元，完成预算0%，较上年减少0.05万元，下降100%。决算数与预算数持平。</w:t>
      </w:r>
    </w:p>
    <w:p>
      <w:pPr>
        <w:spacing w:line="600" w:lineRule="exact"/>
        <w:ind w:firstLine="640"/>
        <w:outlineLvl w:val="2"/>
        <w:rPr>
          <w:rFonts w:ascii="方正楷体简体" w:hAnsi="方正楷体简体" w:eastAsia="方正楷体简体" w:cs="方正楷体简体"/>
          <w:b/>
          <w:sz w:val="32"/>
          <w:szCs w:val="32"/>
        </w:rPr>
      </w:pPr>
      <w:bookmarkStart w:id="39" w:name="_Toc15377217"/>
      <w:r>
        <w:rPr>
          <w:rFonts w:hint="eastAsia" w:ascii="方正楷体简体" w:hAnsi="方正楷体简体" w:eastAsia="方正楷体简体" w:cs="方正楷体简体"/>
          <w:b/>
          <w:sz w:val="32"/>
          <w:szCs w:val="32"/>
        </w:rPr>
        <w:t>（二）“三公”经费财政拨款支出决算具体情况说明</w:t>
      </w:r>
      <w:bookmarkEnd w:id="39"/>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2022年“三公”经费财政拨款支出决算中，因公出国（境）费支出决算0万元，占0%；公务用车购置及运行维护费支出决算0万元，占0%；公务接待费支出决算0万元，占0%。具体情况如下：</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6"/>
          <w:rFonts w:hint="eastAsia" w:ascii="仿宋" w:hAnsi="仿宋" w:eastAsia="仿宋"/>
          <w:b w:val="0"/>
          <w:bCs/>
          <w:sz w:val="32"/>
          <w:szCs w:val="32"/>
        </w:rPr>
        <w:t>完成预算0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全年安排因公出国（境）团组0次，出国（境）0人。因公出国（境）支出决算与</w:t>
      </w:r>
      <w:r>
        <w:rPr>
          <w:rFonts w:ascii="仿宋_GB2312" w:eastAsia="仿宋_GB2312"/>
          <w:sz w:val="32"/>
          <w:szCs w:val="32"/>
        </w:rPr>
        <w:t>20</w:t>
      </w:r>
      <w:r>
        <w:rPr>
          <w:rFonts w:hint="eastAsia" w:ascii="仿宋_GB2312" w:eastAsia="仿宋_GB2312"/>
          <w:sz w:val="32"/>
          <w:szCs w:val="32"/>
        </w:rPr>
        <w:t>21年持平，均为0元，主要是这两年均未安排因公出国（境）经费。</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6"/>
          <w:rFonts w:hint="eastAsia" w:ascii="仿宋" w:hAnsi="仿宋" w:eastAsia="仿宋"/>
          <w:b w:val="0"/>
          <w:bCs/>
          <w:sz w:val="32"/>
          <w:szCs w:val="32"/>
        </w:rPr>
        <w:t>完成预算0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21年减少0.05万元，下降100</w:t>
      </w:r>
      <w:r>
        <w:rPr>
          <w:rFonts w:ascii="仿宋_GB2312" w:eastAsia="仿宋_GB2312"/>
          <w:sz w:val="32"/>
          <w:szCs w:val="32"/>
        </w:rPr>
        <w:t>%</w:t>
      </w:r>
      <w:r>
        <w:rPr>
          <w:rFonts w:hint="eastAsia" w:ascii="仿宋_GB2312" w:eastAsia="仿宋_GB2312"/>
          <w:sz w:val="32"/>
          <w:szCs w:val="32"/>
        </w:rPr>
        <w:t>。主要原因是2022年无公务用车购置及运行维护费。</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月底，单位共有公务用车</w:t>
      </w:r>
      <w:r>
        <w:rPr>
          <w:rFonts w:ascii="仿宋_GB2312" w:eastAsia="仿宋_GB2312"/>
          <w:sz w:val="32"/>
          <w:szCs w:val="32"/>
        </w:rPr>
        <w:t>0</w:t>
      </w:r>
      <w:r>
        <w:rPr>
          <w:rFonts w:hint="eastAsia" w:ascii="仿宋_GB2312" w:eastAsia="仿宋_GB2312"/>
          <w:sz w:val="32"/>
          <w:szCs w:val="32"/>
        </w:rPr>
        <w:t>辆，其中：轿车</w:t>
      </w:r>
      <w:r>
        <w:rPr>
          <w:rFonts w:ascii="仿宋_GB2312" w:eastAsia="仿宋_GB2312"/>
          <w:sz w:val="32"/>
          <w:szCs w:val="32"/>
        </w:rPr>
        <w:t>0</w:t>
      </w:r>
      <w:r>
        <w:rPr>
          <w:rFonts w:hint="eastAsia" w:ascii="仿宋_GB2312" w:eastAsia="仿宋_GB2312"/>
          <w:sz w:val="32"/>
          <w:szCs w:val="32"/>
        </w:rPr>
        <w:t>辆、越野车</w:t>
      </w:r>
      <w:r>
        <w:rPr>
          <w:rFonts w:ascii="仿宋_GB2312" w:eastAsia="仿宋_GB2312"/>
          <w:sz w:val="32"/>
          <w:szCs w:val="32"/>
        </w:rPr>
        <w:t>0</w:t>
      </w:r>
      <w:r>
        <w:rPr>
          <w:rFonts w:hint="eastAsia" w:ascii="仿宋_GB2312" w:eastAsia="仿宋_GB2312"/>
          <w:sz w:val="32"/>
          <w:szCs w:val="32"/>
        </w:rPr>
        <w:t>辆、载客汽车</w:t>
      </w:r>
      <w:r>
        <w:rPr>
          <w:rFonts w:ascii="仿宋_GB2312" w:eastAsia="仿宋_GB2312"/>
          <w:sz w:val="32"/>
          <w:szCs w:val="32"/>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0万元，</w:t>
      </w:r>
      <w:r>
        <w:rPr>
          <w:rStyle w:val="16"/>
          <w:rFonts w:hint="eastAsia" w:ascii="仿宋" w:hAnsi="仿宋" w:eastAsia="仿宋"/>
          <w:b w:val="0"/>
          <w:bCs/>
          <w:sz w:val="32"/>
          <w:szCs w:val="32"/>
        </w:rPr>
        <w:t>完成预算0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公务接待费支出决算与</w:t>
      </w:r>
      <w:r>
        <w:rPr>
          <w:rFonts w:ascii="仿宋_GB2312" w:eastAsia="仿宋_GB2312"/>
          <w:sz w:val="32"/>
          <w:szCs w:val="32"/>
        </w:rPr>
        <w:t>20</w:t>
      </w:r>
      <w:r>
        <w:rPr>
          <w:rFonts w:hint="eastAsia" w:ascii="仿宋_GB2312" w:eastAsia="仿宋_GB2312"/>
          <w:sz w:val="32"/>
          <w:szCs w:val="32"/>
        </w:rPr>
        <w:t>21年持平。主要原因是这两年均未发生公务接待费支出。其中：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w:t>
      </w:r>
      <w:r>
        <w:rPr>
          <w:rFonts w:hint="eastAsia" w:ascii="仿宋_GB2312" w:eastAsia="仿宋_GB2312"/>
          <w:sz w:val="32"/>
          <w:szCs w:val="32"/>
        </w:rPr>
        <w:t>万元。国内公务接待0批次，0人次（不包括陪同人员），共计支出0万元。</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万元。外事接待0批次，0人次（不包括陪同人员），共计支出0万元。</w:t>
      </w:r>
      <w:bookmarkStart w:id="40" w:name="_Toc15377218"/>
      <w:bookmarkStart w:id="41" w:name="_Toc15396610"/>
    </w:p>
    <w:p>
      <w:pPr>
        <w:spacing w:line="600" w:lineRule="exact"/>
        <w:ind w:firstLine="640"/>
        <w:outlineLvl w:val="1"/>
        <w:rPr>
          <w:rStyle w:val="27"/>
          <w:rFonts w:ascii="黑体" w:hAnsi="黑体" w:eastAsia="黑体"/>
        </w:rPr>
      </w:pPr>
      <w:r>
        <w:rPr>
          <w:rFonts w:hint="eastAsia" w:ascii="黑体" w:eastAsia="黑体"/>
          <w:sz w:val="32"/>
          <w:szCs w:val="32"/>
        </w:rPr>
        <w:t>八、</w:t>
      </w:r>
      <w:r>
        <w:rPr>
          <w:rStyle w:val="27"/>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22年政府性基金预算财政拨款支出0万元。</w:t>
      </w:r>
    </w:p>
    <w:p>
      <w:pPr>
        <w:numPr>
          <w:ilvl w:val="0"/>
          <w:numId w:val="2"/>
        </w:numPr>
        <w:spacing w:line="600" w:lineRule="exact"/>
        <w:ind w:firstLine="640"/>
        <w:outlineLvl w:val="1"/>
        <w:rPr>
          <w:rStyle w:val="27"/>
          <w:rFonts w:ascii="黑体" w:hAnsi="黑体" w:eastAsia="黑体"/>
          <w:b w:val="0"/>
        </w:rPr>
      </w:pPr>
      <w:bookmarkStart w:id="42" w:name="_Toc15377219"/>
      <w:bookmarkStart w:id="43" w:name="_Toc15396611"/>
      <w:r>
        <w:rPr>
          <w:rStyle w:val="27"/>
          <w:rFonts w:hint="eastAsia" w:ascii="黑体" w:hAnsi="黑体" w:eastAsia="黑体"/>
          <w:b w:val="0"/>
        </w:rPr>
        <w:t>国有资本经营预算支出决算情况说明</w:t>
      </w:r>
      <w:bookmarkEnd w:id="42"/>
      <w:bookmarkEnd w:id="43"/>
    </w:p>
    <w:p>
      <w:pPr>
        <w:spacing w:line="600" w:lineRule="exact"/>
        <w:ind w:firstLine="640"/>
        <w:rPr>
          <w:rFonts w:ascii="Arial Unicode MS" w:hAnsi="Arial Unicode MS" w:eastAsia="Arial Unicode MS" w:cs="Arial Unicode MS"/>
          <w:sz w:val="44"/>
          <w:szCs w:val="44"/>
        </w:rPr>
      </w:pPr>
      <w:r>
        <w:rPr>
          <w:rFonts w:ascii="仿宋_GB2312" w:eastAsia="仿宋_GB2312"/>
          <w:sz w:val="32"/>
          <w:szCs w:val="32"/>
        </w:rPr>
        <w:t>20</w:t>
      </w:r>
      <w:r>
        <w:rPr>
          <w:rFonts w:hint="eastAsia" w:ascii="仿宋_GB2312" w:eastAsia="仿宋_GB2312"/>
          <w:sz w:val="32"/>
          <w:szCs w:val="32"/>
        </w:rPr>
        <w:t>22年国有资本经营预算财政拨款支出0万元。</w:t>
      </w:r>
    </w:p>
    <w:p>
      <w:pPr>
        <w:numPr>
          <w:ilvl w:val="0"/>
          <w:numId w:val="2"/>
        </w:numPr>
        <w:spacing w:line="600" w:lineRule="exact"/>
        <w:ind w:firstLine="640"/>
        <w:outlineLvl w:val="1"/>
        <w:rPr>
          <w:rStyle w:val="27"/>
          <w:rFonts w:ascii="黑体" w:hAnsi="黑体" w:eastAsia="黑体"/>
          <w:b w:val="0"/>
        </w:rPr>
      </w:pPr>
      <w:bookmarkStart w:id="44" w:name="_Toc15396612"/>
      <w:bookmarkStart w:id="45" w:name="_Toc15377221"/>
      <w:r>
        <w:rPr>
          <w:rStyle w:val="27"/>
          <w:rFonts w:hint="eastAsia" w:ascii="黑体" w:hAnsi="黑体" w:eastAsia="黑体"/>
          <w:b w:val="0"/>
        </w:rPr>
        <w:t>其他重要事项的情况说明</w:t>
      </w:r>
      <w:bookmarkEnd w:id="44"/>
      <w:bookmarkEnd w:id="45"/>
    </w:p>
    <w:p>
      <w:pPr>
        <w:spacing w:line="600" w:lineRule="exact"/>
        <w:ind w:firstLine="643" w:firstLineChars="200"/>
        <w:outlineLvl w:val="2"/>
        <w:rPr>
          <w:rFonts w:ascii="方正楷体简体" w:hAnsi="方正楷体简体" w:eastAsia="方正楷体简体" w:cs="方正楷体简体"/>
          <w:sz w:val="32"/>
          <w:szCs w:val="32"/>
        </w:rPr>
      </w:pPr>
      <w:bookmarkStart w:id="46" w:name="_Toc15377222"/>
      <w:r>
        <w:rPr>
          <w:rFonts w:hint="eastAsia" w:ascii="方正楷体简体" w:hAnsi="方正楷体简体" w:eastAsia="方正楷体简体" w:cs="方正楷体简体"/>
          <w:b/>
          <w:sz w:val="32"/>
          <w:szCs w:val="32"/>
        </w:rPr>
        <w:t>（一）机关运行经费支出情况</w:t>
      </w:r>
      <w:bookmarkEnd w:id="46"/>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2022年，盐边县文化馆机关运行经费支出0万元，与2021年决算数持平。主要原因是本单位是事业单位，无机关运行经费。</w:t>
      </w:r>
    </w:p>
    <w:p>
      <w:pPr>
        <w:autoSpaceDE w:val="0"/>
        <w:autoSpaceDN w:val="0"/>
        <w:adjustRightInd w:val="0"/>
        <w:spacing w:line="600" w:lineRule="exact"/>
        <w:ind w:firstLine="643" w:firstLineChars="200"/>
        <w:jc w:val="left"/>
        <w:outlineLvl w:val="2"/>
        <w:rPr>
          <w:rFonts w:ascii="仿宋_GB2312" w:hAnsi="仿宋_GB2312" w:eastAsia="仿宋_GB2312" w:cs="仿宋_GB2312"/>
          <w:b/>
          <w:sz w:val="32"/>
          <w:szCs w:val="32"/>
        </w:rPr>
      </w:pPr>
      <w:bookmarkStart w:id="47" w:name="_Toc15377223"/>
      <w:r>
        <w:rPr>
          <w:rFonts w:hint="eastAsia" w:ascii="仿宋_GB2312" w:hAnsi="仿宋_GB2312" w:eastAsia="仿宋_GB2312" w:cs="仿宋_GB2312"/>
          <w:b/>
          <w:sz w:val="32"/>
          <w:szCs w:val="32"/>
        </w:rPr>
        <w:t>（二）政府采购支出情况</w:t>
      </w:r>
      <w:bookmarkEnd w:id="4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22年，盐边县文化馆政府采购支出总额0万元，其中：政府采购货物支出0万元、政府采购工程支出0万元、政府采购服务支出0万元。授予中小企业合同金额0万元，占政府采购支出总额的0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日，盐边县文化馆共有车辆0辆，其中：主要领导干部用车0辆、机要通信用车0辆、应急保障用车0辆、其他用车0辆。单价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widowControl/>
        <w:ind w:firstLine="640" w:firstLineChars="200"/>
        <w:jc w:val="left"/>
        <w:rPr>
          <w:rFonts w:ascii="仿宋_GB2312" w:eastAsia="仿宋_GB2312"/>
          <w:b/>
          <w:sz w:val="32"/>
          <w:szCs w:val="32"/>
        </w:rPr>
      </w:pPr>
      <w:r>
        <w:rPr>
          <w:rFonts w:hint="eastAsia" w:ascii="仿宋_GB2312" w:hAnsi="仿宋_GB2312" w:eastAsia="仿宋_GB2312" w:cs="仿宋_GB2312"/>
          <w:sz w:val="32"/>
          <w:szCs w:val="32"/>
        </w:rPr>
        <w:t>根据预算绩效管理要求，本单位在2022年度预算编制阶段，组织对公共图书馆、文化馆免费开放项目、公共文化服务体系建设等6个项目开展了预算事前绩效评估，对6个项目编制了绩效目标，预算执行过程中，选取6个项目开展绩效监控,组织对6个项目开展绩效自评，绩效自评表详见第四部分附件。</w:t>
      </w: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26"/>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6"/>
          <w:rFonts w:hint="eastAsia" w:ascii="黑体" w:hAnsi="黑体" w:eastAsia="黑体"/>
          <w:b w:val="0"/>
        </w:rPr>
        <w:t>词解释</w:t>
      </w:r>
      <w:bookmarkEnd w:id="49"/>
      <w:bookmarkEnd w:id="50"/>
    </w:p>
    <w:p>
      <w:pPr>
        <w:spacing w:line="600" w:lineRule="exact"/>
        <w:jc w:val="left"/>
        <w:rPr>
          <w:rFonts w:ascii="宋体"/>
          <w:b/>
          <w:sz w:val="44"/>
          <w:szCs w:val="44"/>
        </w:rPr>
      </w:pP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年初结转和结余：指以前年度尚未完成、结转到本年按有关规定继续使用的资金。</w:t>
      </w:r>
    </w:p>
    <w:p>
      <w:pPr>
        <w:pStyle w:val="24"/>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3</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4"/>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4.年末结转和结余：指单位按有关规定结转到下年或以后年度继续使用的资金。</w:t>
      </w:r>
    </w:p>
    <w:p>
      <w:pPr>
        <w:widowControl/>
        <w:shd w:val="clear" w:color="auto" w:fill="FFFFFF"/>
        <w:spacing w:line="600" w:lineRule="atLeast"/>
        <w:ind w:firstLine="643"/>
        <w:jc w:val="left"/>
        <w:rPr>
          <w:rFonts w:ascii="仿宋_GB2312" w:hAnsi="Calibri" w:eastAsia="仿宋_GB2312" w:cs="仿宋"/>
          <w:kern w:val="0"/>
          <w:sz w:val="32"/>
          <w:szCs w:val="32"/>
        </w:rPr>
      </w:pPr>
      <w:r>
        <w:rPr>
          <w:rFonts w:hint="eastAsia" w:ascii="仿宋_GB2312" w:hAnsi="Calibri" w:eastAsia="仿宋_GB2312" w:cs="仿宋"/>
          <w:kern w:val="0"/>
          <w:sz w:val="32"/>
          <w:szCs w:val="32"/>
        </w:rPr>
        <w:t>4</w:t>
      </w:r>
      <w:r>
        <w:rPr>
          <w:rFonts w:ascii="仿宋_GB2312" w:hAnsi="Calibri" w:eastAsia="仿宋_GB2312" w:cs="仿宋"/>
          <w:kern w:val="0"/>
          <w:sz w:val="32"/>
          <w:szCs w:val="32"/>
        </w:rPr>
        <w:t>.</w:t>
      </w:r>
      <w:r>
        <w:rPr>
          <w:rFonts w:hint="eastAsia" w:ascii="仿宋_GB2312" w:hAnsi="Calibri" w:eastAsia="仿宋_GB2312" w:cs="仿宋"/>
          <w:kern w:val="0"/>
          <w:sz w:val="32"/>
          <w:szCs w:val="32"/>
        </w:rPr>
        <w:t>文化旅游体育与传媒支出—文化和旅游—群众文化：反映群众文化方面的支出，包括基层文化馆（站）、群众艺术馆支出等。</w:t>
      </w:r>
    </w:p>
    <w:p>
      <w:pPr>
        <w:spacing w:line="600" w:lineRule="exact"/>
        <w:ind w:firstLine="640" w:firstLineChars="200"/>
        <w:rPr>
          <w:rFonts w:ascii="仿宋_GB2312" w:hAnsi="Calibri" w:eastAsia="仿宋_GB2312" w:cs="仿宋"/>
          <w:kern w:val="0"/>
          <w:sz w:val="32"/>
          <w:szCs w:val="32"/>
        </w:rPr>
      </w:pPr>
      <w:r>
        <w:rPr>
          <w:rFonts w:hint="eastAsia" w:ascii="仿宋_GB2312" w:hAnsi="Calibri" w:eastAsia="仿宋_GB2312" w:cs="仿宋"/>
          <w:kern w:val="0"/>
          <w:sz w:val="32"/>
          <w:szCs w:val="32"/>
        </w:rPr>
        <w:t>5.文化旅游体育与传媒支出—文化和旅游—文化创作与保护：反映鼓励文学、艺术创作和优秀传统文化保护方面的支出。</w:t>
      </w:r>
    </w:p>
    <w:p>
      <w:pPr>
        <w:pStyle w:val="2"/>
        <w:spacing w:before="93"/>
        <w:ind w:firstLine="640" w:firstLineChars="200"/>
      </w:pPr>
      <w:r>
        <w:rPr>
          <w:rFonts w:hint="eastAsia" w:hAnsi="Calibri" w:cs="仿宋"/>
          <w:sz w:val="32"/>
          <w:szCs w:val="32"/>
        </w:rPr>
        <w:t>6.文化旅游体育与传媒支出—文化和旅游—其他文化和旅游支出：反映其他用于文化和旅游方面的支出。</w:t>
      </w:r>
    </w:p>
    <w:p>
      <w:pPr>
        <w:spacing w:line="600" w:lineRule="exact"/>
        <w:ind w:firstLine="640" w:firstLineChars="200"/>
        <w:rPr>
          <w:rFonts w:ascii="仿宋_GB2312" w:hAnsi="Calibri" w:eastAsia="仿宋_GB2312" w:cs="仿宋"/>
          <w:kern w:val="0"/>
          <w:sz w:val="32"/>
          <w:szCs w:val="32"/>
        </w:rPr>
      </w:pPr>
      <w:r>
        <w:rPr>
          <w:rFonts w:hint="eastAsia" w:ascii="仿宋_GB2312" w:hAnsi="Calibri" w:eastAsia="仿宋_GB2312" w:cs="仿宋"/>
          <w:kern w:val="0"/>
          <w:sz w:val="32"/>
          <w:szCs w:val="32"/>
        </w:rPr>
        <w:t>7.社会保障和就业支出—行政事业单位养老支出—事业单位离退休:反映事业单位开支的离退休经费。</w:t>
      </w:r>
    </w:p>
    <w:p>
      <w:pPr>
        <w:widowControl/>
        <w:shd w:val="clear" w:color="auto" w:fill="FFFFFF"/>
        <w:spacing w:line="600" w:lineRule="atLeast"/>
        <w:ind w:firstLine="640" w:firstLineChars="200"/>
        <w:jc w:val="left"/>
        <w:rPr>
          <w:rFonts w:ascii="仿宋_GB2312" w:hAnsi="Calibri" w:eastAsia="仿宋_GB2312" w:cs="仿宋"/>
          <w:kern w:val="0"/>
          <w:sz w:val="32"/>
          <w:szCs w:val="32"/>
        </w:rPr>
      </w:pPr>
      <w:r>
        <w:rPr>
          <w:rFonts w:hint="eastAsia" w:ascii="仿宋_GB2312" w:hAnsi="Calibri" w:eastAsia="仿宋_GB2312" w:cs="仿宋"/>
          <w:kern w:val="0"/>
          <w:sz w:val="32"/>
          <w:szCs w:val="32"/>
        </w:rPr>
        <w:t>8.社会保障和就业支出—行政事业单位养老支出—机关事业单位基本养老保险缴费支出：反映机关事业单位实施养老保险制度由单位缴纳的基本养老保险费支出。</w:t>
      </w:r>
    </w:p>
    <w:p>
      <w:pPr>
        <w:widowControl/>
        <w:shd w:val="clear" w:color="auto" w:fill="FFFFFF"/>
        <w:spacing w:line="600" w:lineRule="atLeast"/>
        <w:ind w:firstLine="640" w:firstLineChars="200"/>
        <w:jc w:val="left"/>
        <w:rPr>
          <w:rFonts w:ascii="仿宋_GB2312" w:hAnsi="Calibri" w:eastAsia="仿宋_GB2312" w:cs="仿宋"/>
          <w:kern w:val="0"/>
          <w:sz w:val="32"/>
          <w:szCs w:val="32"/>
        </w:rPr>
      </w:pPr>
      <w:r>
        <w:rPr>
          <w:rFonts w:hint="eastAsia" w:ascii="仿宋_GB2312" w:hAnsi="Calibri" w:eastAsia="仿宋_GB2312" w:cs="仿宋"/>
          <w:kern w:val="0"/>
          <w:sz w:val="32"/>
          <w:szCs w:val="32"/>
        </w:rPr>
        <w:t>9.卫生健康支出—行政事业单位医疗—事业单位医疗：反映财政部门安排的事业单位基本医疗保险缴费经费。</w:t>
      </w:r>
    </w:p>
    <w:p>
      <w:pPr>
        <w:pStyle w:val="2"/>
        <w:spacing w:before="93"/>
      </w:pPr>
      <w:r>
        <w:rPr>
          <w:rFonts w:hint="eastAsia" w:hAnsi="Calibri" w:cs="仿宋"/>
          <w:sz w:val="32"/>
          <w:szCs w:val="32"/>
        </w:rPr>
        <w:t xml:space="preserve">    10.卫生健康支出—行政事业单位医疗—其他行政事业单位医疗支出：反映其他用于行政事业单位医疗方面的支出。</w:t>
      </w:r>
    </w:p>
    <w:p>
      <w:pPr>
        <w:widowControl/>
        <w:shd w:val="clear" w:color="auto" w:fill="FFFFFF"/>
        <w:spacing w:line="600" w:lineRule="atLeast"/>
        <w:ind w:firstLine="640" w:firstLineChars="200"/>
        <w:jc w:val="left"/>
        <w:rPr>
          <w:rFonts w:ascii="仿宋_GB2312" w:hAnsi="Calibri" w:eastAsia="仿宋_GB2312" w:cs="仿宋"/>
          <w:kern w:val="0"/>
          <w:sz w:val="32"/>
          <w:szCs w:val="32"/>
        </w:rPr>
      </w:pPr>
      <w:r>
        <w:rPr>
          <w:rFonts w:hint="eastAsia" w:ascii="仿宋_GB2312" w:hAnsi="Calibri" w:eastAsia="仿宋_GB2312" w:cs="仿宋"/>
          <w:kern w:val="0"/>
          <w:sz w:val="32"/>
          <w:szCs w:val="32"/>
        </w:rPr>
        <w:t>11.住房保障支出—住房改革支出—住房公积金:反映行政事业单位按人力资源和社会保障部、财政部规定的基本工资和津贴补贴以及规定比例为职工缴纳的住房公积金。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ascii="仿宋_GB2312" w:eastAsia="仿宋_GB2312"/>
          <w:sz w:val="32"/>
          <w:szCs w:val="32"/>
        </w:rPr>
        <w:t>12.</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ascii="仿宋_GB2312" w:eastAsia="仿宋_GB2312"/>
          <w:sz w:val="32"/>
          <w:szCs w:val="32"/>
        </w:rPr>
        <w:t>13.</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ascii="仿宋_GB2312" w:eastAsia="仿宋_GB2312"/>
          <w:sz w:val="32"/>
          <w:szCs w:val="32"/>
        </w:rPr>
        <w:t>14.</w:t>
      </w:r>
      <w:r>
        <w:rPr>
          <w:rFonts w:hint="eastAsia" w:ascii="仿宋_GB2312" w:eastAsia="仿宋_GB2312"/>
          <w:sz w:val="32"/>
          <w:szCs w:val="32"/>
        </w:rPr>
        <w:t>经营支出：指事业单位在专业业务活动及其辅助活动之外开展非独立核算经营活动发生的支出。</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15.</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16.</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6"/>
          <w:rFonts w:ascii="黑体" w:hAnsi="黑体" w:eastAsia="黑体"/>
          <w:b w:val="0"/>
        </w:rPr>
      </w:pPr>
      <w:bookmarkStart w:id="51" w:name="_Toc15377226"/>
    </w:p>
    <w:p>
      <w:pPr>
        <w:spacing w:line="600" w:lineRule="exact"/>
        <w:outlineLvl w:val="0"/>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pStyle w:val="2"/>
        <w:spacing w:before="93"/>
        <w:rPr>
          <w:rStyle w:val="26"/>
          <w:rFonts w:ascii="黑体" w:hAnsi="黑体" w:eastAsia="黑体"/>
          <w:b w:val="0"/>
        </w:rPr>
      </w:pPr>
    </w:p>
    <w:p>
      <w:pPr>
        <w:spacing w:line="600" w:lineRule="exact"/>
        <w:jc w:val="center"/>
        <w:outlineLvl w:val="0"/>
        <w:rPr>
          <w:rStyle w:val="26"/>
          <w:rFonts w:ascii="黑体" w:hAnsi="黑体" w:eastAsia="黑体"/>
          <w:b w:val="0"/>
        </w:rPr>
      </w:pPr>
      <w:r>
        <w:rPr>
          <w:rFonts w:hint="eastAsia" w:ascii="黑体" w:hAnsi="黑体" w:eastAsia="黑体"/>
          <w:sz w:val="44"/>
          <w:szCs w:val="44"/>
        </w:rPr>
        <w:t>第</w:t>
      </w:r>
      <w:r>
        <w:rPr>
          <w:rStyle w:val="26"/>
          <w:rFonts w:hint="eastAsia" w:ascii="黑体" w:hAnsi="黑体" w:eastAsia="黑体"/>
        </w:rPr>
        <w:t>四部分附件</w:t>
      </w:r>
    </w:p>
    <w:p>
      <w:pPr>
        <w:pStyle w:val="13"/>
        <w:spacing w:line="560" w:lineRule="exact"/>
        <w:ind w:left="0" w:leftChars="0" w:firstLine="640"/>
        <w:rPr>
          <w:rFonts w:ascii="仿宋_GB2312" w:hAnsi="仿宋_GB2312" w:eastAsia="仿宋_GB2312" w:cs="仿宋_GB2312"/>
          <w:sz w:val="32"/>
          <w:szCs w:val="32"/>
        </w:rPr>
      </w:pPr>
    </w:p>
    <w:p>
      <w:pPr>
        <w:pStyle w:val="13"/>
        <w:spacing w:line="560" w:lineRule="exact"/>
        <w:ind w:left="0" w:leftChars="0" w:firstLine="800" w:firstLineChars="250"/>
        <w:rPr>
          <w:rFonts w:hAnsi="仿宋_GB2312" w:eastAsia="仿宋_GB2312" w:cs="仿宋_GB2312"/>
          <w:sz w:val="32"/>
          <w:lang w:val="zh-CN"/>
        </w:rPr>
      </w:pPr>
      <w:r>
        <w:rPr>
          <w:rFonts w:hint="eastAsia" w:ascii="仿宋_GB2312" w:hAnsi="仿宋_GB2312" w:eastAsia="仿宋_GB2312" w:cs="仿宋_GB2312"/>
          <w:sz w:val="32"/>
          <w:szCs w:val="32"/>
        </w:rPr>
        <w:t>部门预算项目支出绩效自评表（2022年度）见附件</w:t>
      </w:r>
    </w:p>
    <w:p>
      <w:pPr>
        <w:pStyle w:val="2"/>
        <w:spacing w:before="93"/>
        <w:rPr>
          <w:rFonts w:hAnsi="Calibri" w:cs="仿宋"/>
          <w:sz w:val="32"/>
          <w:szCs w:val="32"/>
        </w:rPr>
      </w:pPr>
      <w:bookmarkStart w:id="52" w:name="_Toc15396618"/>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6"/>
          <w:rFonts w:hint="eastAsia" w:ascii="黑体" w:hAnsi="黑体" w:eastAsia="黑体"/>
          <w:b w:val="0"/>
        </w:rPr>
        <w:t>五部分附表</w:t>
      </w:r>
      <w:bookmarkEnd w:id="51"/>
      <w:bookmarkEnd w:id="52"/>
      <w:bookmarkStart w:id="53" w:name="_Toc15396619"/>
    </w:p>
    <w:p>
      <w:pPr>
        <w:pStyle w:val="4"/>
        <w:rPr>
          <w:rFonts w:ascii="仿宋" w:hAnsi="仿宋" w:eastAsia="仿宋"/>
        </w:rPr>
      </w:pPr>
      <w:r>
        <w:rPr>
          <w:rFonts w:hint="eastAsia" w:ascii="仿宋" w:hAnsi="仿宋" w:eastAsia="仿宋"/>
          <w:b w:val="0"/>
        </w:rPr>
        <w:t>一、收</w:t>
      </w:r>
      <w:r>
        <w:rPr>
          <w:rStyle w:val="27"/>
          <w:rFonts w:hint="eastAsia" w:ascii="仿宋" w:hAnsi="仿宋" w:eastAsia="仿宋"/>
          <w:b w:val="0"/>
          <w:bCs w:val="0"/>
        </w:rPr>
        <w:t>入支出决算总表</w:t>
      </w:r>
      <w:bookmarkEnd w:id="53"/>
    </w:p>
    <w:p>
      <w:pPr>
        <w:pStyle w:val="4"/>
        <w:rPr>
          <w:rFonts w:ascii="仿宋" w:hAnsi="仿宋" w:eastAsia="仿宋"/>
        </w:rPr>
      </w:pPr>
      <w:bookmarkStart w:id="54" w:name="_Toc15396620"/>
      <w:r>
        <w:rPr>
          <w:rFonts w:hint="eastAsia" w:ascii="仿宋" w:hAnsi="仿宋" w:eastAsia="仿宋"/>
          <w:b w:val="0"/>
        </w:rPr>
        <w:t>二、收</w:t>
      </w:r>
      <w:r>
        <w:rPr>
          <w:rStyle w:val="27"/>
          <w:rFonts w:hint="eastAsia" w:ascii="仿宋" w:hAnsi="仿宋" w:eastAsia="仿宋"/>
          <w:b w:val="0"/>
          <w:bCs w:val="0"/>
        </w:rPr>
        <w:t>入决算表</w:t>
      </w:r>
      <w:bookmarkEnd w:id="54"/>
    </w:p>
    <w:p>
      <w:pPr>
        <w:pStyle w:val="4"/>
        <w:rPr>
          <w:rFonts w:ascii="仿宋" w:hAnsi="仿宋" w:eastAsia="仿宋"/>
        </w:rPr>
      </w:pPr>
      <w:bookmarkStart w:id="55" w:name="_Toc15396621"/>
      <w:r>
        <w:rPr>
          <w:rStyle w:val="27"/>
          <w:rFonts w:hint="eastAsia" w:ascii="仿宋" w:hAnsi="仿宋" w:eastAsia="仿宋"/>
          <w:b w:val="0"/>
          <w:bCs w:val="0"/>
        </w:rPr>
        <w:t>三、</w:t>
      </w:r>
      <w:r>
        <w:rPr>
          <w:rFonts w:hint="eastAsia" w:ascii="仿宋" w:hAnsi="仿宋" w:eastAsia="仿宋"/>
          <w:b w:val="0"/>
        </w:rPr>
        <w:t>支</w:t>
      </w:r>
      <w:r>
        <w:rPr>
          <w:rStyle w:val="27"/>
          <w:rFonts w:hint="eastAsia" w:ascii="仿宋" w:hAnsi="仿宋" w:eastAsia="仿宋"/>
          <w:b w:val="0"/>
          <w:bCs w:val="0"/>
        </w:rPr>
        <w:t>出决算表</w:t>
      </w:r>
      <w:bookmarkEnd w:id="55"/>
    </w:p>
    <w:p>
      <w:pPr>
        <w:pStyle w:val="4"/>
        <w:rPr>
          <w:rFonts w:ascii="仿宋" w:hAnsi="仿宋" w:eastAsia="仿宋"/>
          <w:b w:val="0"/>
        </w:rPr>
      </w:pPr>
      <w:bookmarkStart w:id="56" w:name="_Toc15396622"/>
      <w:r>
        <w:rPr>
          <w:rStyle w:val="27"/>
          <w:rFonts w:hint="eastAsia" w:ascii="仿宋" w:hAnsi="仿宋" w:eastAsia="仿宋"/>
          <w:b w:val="0"/>
          <w:bCs w:val="0"/>
        </w:rPr>
        <w:t>四、</w:t>
      </w:r>
      <w:r>
        <w:rPr>
          <w:rFonts w:hint="eastAsia" w:ascii="仿宋" w:hAnsi="仿宋" w:eastAsia="仿宋"/>
          <w:b w:val="0"/>
        </w:rPr>
        <w:t>财</w:t>
      </w:r>
      <w:r>
        <w:rPr>
          <w:rStyle w:val="27"/>
          <w:rFonts w:hint="eastAsia" w:ascii="仿宋" w:hAnsi="仿宋" w:eastAsia="仿宋"/>
          <w:b w:val="0"/>
          <w:bCs w:val="0"/>
        </w:rPr>
        <w:t>政拨款收入支出决算总表</w:t>
      </w:r>
      <w:bookmarkEnd w:id="56"/>
    </w:p>
    <w:p>
      <w:pPr>
        <w:pStyle w:val="4"/>
        <w:rPr>
          <w:rStyle w:val="27"/>
          <w:rFonts w:ascii="仿宋" w:hAnsi="仿宋" w:eastAsia="仿宋"/>
          <w:b w:val="0"/>
          <w:bCs w:val="0"/>
        </w:rPr>
      </w:pPr>
      <w:bookmarkStart w:id="57" w:name="_Toc15396623"/>
      <w:r>
        <w:rPr>
          <w:rStyle w:val="27"/>
          <w:rFonts w:hint="eastAsia" w:ascii="仿宋" w:hAnsi="仿宋" w:eastAsia="仿宋"/>
          <w:b w:val="0"/>
          <w:bCs w:val="0"/>
        </w:rPr>
        <w:t>五、</w:t>
      </w:r>
      <w:r>
        <w:rPr>
          <w:rFonts w:hint="eastAsia" w:ascii="仿宋" w:hAnsi="仿宋" w:eastAsia="仿宋"/>
          <w:b w:val="0"/>
        </w:rPr>
        <w:t>财</w:t>
      </w:r>
      <w:r>
        <w:rPr>
          <w:rStyle w:val="27"/>
          <w:rFonts w:hint="eastAsia" w:ascii="仿宋" w:hAnsi="仿宋" w:eastAsia="仿宋"/>
          <w:b w:val="0"/>
          <w:bCs w:val="0"/>
        </w:rPr>
        <w:t>政拨款支出决算明细表</w:t>
      </w:r>
      <w:bookmarkEnd w:id="57"/>
      <w:bookmarkStart w:id="58" w:name="_Toc15396624"/>
    </w:p>
    <w:p>
      <w:pPr>
        <w:pStyle w:val="4"/>
        <w:rPr>
          <w:rFonts w:ascii="仿宋" w:hAnsi="仿宋" w:eastAsia="仿宋"/>
        </w:rPr>
      </w:pPr>
      <w:r>
        <w:rPr>
          <w:rStyle w:val="27"/>
          <w:rFonts w:hint="eastAsia" w:ascii="仿宋" w:hAnsi="仿宋" w:eastAsia="仿宋"/>
          <w:b w:val="0"/>
          <w:bCs w:val="0"/>
        </w:rPr>
        <w:t>六、</w:t>
      </w:r>
      <w:r>
        <w:rPr>
          <w:rFonts w:hint="eastAsia" w:ascii="仿宋" w:hAnsi="仿宋" w:eastAsia="仿宋"/>
          <w:b w:val="0"/>
        </w:rPr>
        <w:t>一</w:t>
      </w:r>
      <w:r>
        <w:rPr>
          <w:rStyle w:val="27"/>
          <w:rFonts w:hint="eastAsia" w:ascii="仿宋" w:hAnsi="仿宋" w:eastAsia="仿宋"/>
          <w:b w:val="0"/>
          <w:bCs w:val="0"/>
        </w:rPr>
        <w:t>般公共预算财政拨款支出决算表</w:t>
      </w:r>
      <w:bookmarkEnd w:id="58"/>
    </w:p>
    <w:p>
      <w:pPr>
        <w:pStyle w:val="4"/>
        <w:rPr>
          <w:rFonts w:ascii="仿宋" w:hAnsi="仿宋" w:eastAsia="仿宋"/>
        </w:rPr>
      </w:pPr>
      <w:bookmarkStart w:id="59" w:name="_Toc15396625"/>
      <w:r>
        <w:rPr>
          <w:rStyle w:val="27"/>
          <w:rFonts w:hint="eastAsia" w:ascii="仿宋" w:hAnsi="仿宋" w:eastAsia="仿宋"/>
          <w:b w:val="0"/>
          <w:bCs w:val="0"/>
        </w:rPr>
        <w:t>七、</w:t>
      </w:r>
      <w:r>
        <w:rPr>
          <w:rFonts w:hint="eastAsia" w:ascii="仿宋" w:hAnsi="仿宋" w:eastAsia="仿宋"/>
          <w:b w:val="0"/>
        </w:rPr>
        <w:t>一</w:t>
      </w:r>
      <w:r>
        <w:rPr>
          <w:rStyle w:val="27"/>
          <w:rFonts w:hint="eastAsia" w:ascii="仿宋" w:hAnsi="仿宋" w:eastAsia="仿宋"/>
          <w:b w:val="0"/>
          <w:bCs w:val="0"/>
        </w:rPr>
        <w:t>般公共预算财政拨款支出决算明细表</w:t>
      </w:r>
      <w:bookmarkEnd w:id="59"/>
    </w:p>
    <w:p>
      <w:pPr>
        <w:pStyle w:val="4"/>
        <w:rPr>
          <w:rFonts w:ascii="仿宋" w:hAnsi="仿宋" w:eastAsia="仿宋"/>
        </w:rPr>
      </w:pPr>
      <w:bookmarkStart w:id="60" w:name="_Toc15396626"/>
      <w:r>
        <w:rPr>
          <w:rStyle w:val="27"/>
          <w:rFonts w:hint="eastAsia" w:ascii="仿宋" w:hAnsi="仿宋" w:eastAsia="仿宋"/>
          <w:b w:val="0"/>
          <w:bCs w:val="0"/>
        </w:rPr>
        <w:t>八、</w:t>
      </w:r>
      <w:r>
        <w:rPr>
          <w:rFonts w:hint="eastAsia" w:ascii="仿宋" w:hAnsi="仿宋" w:eastAsia="仿宋"/>
          <w:b w:val="0"/>
        </w:rPr>
        <w:t>一</w:t>
      </w:r>
      <w:r>
        <w:rPr>
          <w:rStyle w:val="27"/>
          <w:rFonts w:hint="eastAsia" w:ascii="仿宋" w:hAnsi="仿宋" w:eastAsia="仿宋"/>
          <w:b w:val="0"/>
          <w:bCs w:val="0"/>
        </w:rPr>
        <w:t>般公共预算财政拨款基本支出决算表</w:t>
      </w:r>
      <w:bookmarkEnd w:id="60"/>
    </w:p>
    <w:p>
      <w:pPr>
        <w:pStyle w:val="4"/>
        <w:rPr>
          <w:rFonts w:ascii="仿宋" w:hAnsi="仿宋" w:eastAsia="仿宋"/>
        </w:rPr>
      </w:pPr>
      <w:bookmarkStart w:id="61" w:name="_Toc15396627"/>
      <w:r>
        <w:rPr>
          <w:rStyle w:val="27"/>
          <w:rFonts w:hint="eastAsia" w:ascii="仿宋" w:hAnsi="仿宋" w:eastAsia="仿宋"/>
          <w:b w:val="0"/>
          <w:bCs w:val="0"/>
        </w:rPr>
        <w:t>九、</w:t>
      </w:r>
      <w:r>
        <w:rPr>
          <w:rFonts w:hint="eastAsia" w:ascii="仿宋" w:hAnsi="仿宋" w:eastAsia="仿宋"/>
          <w:b w:val="0"/>
        </w:rPr>
        <w:t>一</w:t>
      </w:r>
      <w:r>
        <w:rPr>
          <w:rStyle w:val="27"/>
          <w:rFonts w:hint="eastAsia" w:ascii="仿宋" w:hAnsi="仿宋" w:eastAsia="仿宋"/>
          <w:b w:val="0"/>
          <w:bCs w:val="0"/>
        </w:rPr>
        <w:t>般公共预算财政拨款项目支出决算表</w:t>
      </w:r>
      <w:bookmarkEnd w:id="61"/>
    </w:p>
    <w:p>
      <w:pPr>
        <w:pStyle w:val="4"/>
        <w:rPr>
          <w:rFonts w:ascii="仿宋" w:hAnsi="仿宋" w:eastAsia="仿宋"/>
        </w:rPr>
      </w:pPr>
      <w:bookmarkStart w:id="62" w:name="_Toc15396628"/>
      <w:r>
        <w:rPr>
          <w:rStyle w:val="27"/>
          <w:rFonts w:hint="eastAsia" w:ascii="仿宋" w:hAnsi="仿宋" w:eastAsia="仿宋"/>
          <w:b w:val="0"/>
          <w:bCs w:val="0"/>
        </w:rPr>
        <w:t>十、</w:t>
      </w:r>
      <w:bookmarkEnd w:id="62"/>
      <w:r>
        <w:rPr>
          <w:rFonts w:hint="eastAsia" w:ascii="仿宋" w:hAnsi="仿宋" w:eastAsia="仿宋"/>
          <w:b w:val="0"/>
        </w:rPr>
        <w:t>政</w:t>
      </w:r>
      <w:r>
        <w:rPr>
          <w:rStyle w:val="27"/>
          <w:rFonts w:hint="eastAsia" w:ascii="仿宋" w:hAnsi="仿宋" w:eastAsia="仿宋"/>
          <w:b w:val="0"/>
          <w:bCs w:val="0"/>
        </w:rPr>
        <w:t>府性基金预算财政拨款收入支出决算表</w:t>
      </w:r>
    </w:p>
    <w:p>
      <w:pPr>
        <w:pStyle w:val="4"/>
        <w:rPr>
          <w:rFonts w:ascii="仿宋" w:hAnsi="仿宋" w:eastAsia="仿宋"/>
        </w:rPr>
      </w:pPr>
      <w:bookmarkStart w:id="63" w:name="_Toc15396629"/>
      <w:r>
        <w:rPr>
          <w:rStyle w:val="27"/>
          <w:rFonts w:hint="eastAsia" w:ascii="仿宋" w:hAnsi="仿宋" w:eastAsia="仿宋"/>
          <w:b w:val="0"/>
          <w:bCs w:val="0"/>
        </w:rPr>
        <w:t>十一、</w:t>
      </w:r>
      <w:bookmarkEnd w:id="63"/>
      <w:r>
        <w:rPr>
          <w:rFonts w:hint="eastAsia" w:ascii="仿宋" w:hAnsi="仿宋" w:eastAsia="仿宋"/>
          <w:b w:val="0"/>
        </w:rPr>
        <w:t>国</w:t>
      </w:r>
      <w:r>
        <w:rPr>
          <w:rStyle w:val="27"/>
          <w:rFonts w:hint="eastAsia" w:ascii="仿宋" w:hAnsi="仿宋" w:eastAsia="仿宋"/>
          <w:b w:val="0"/>
          <w:bCs w:val="0"/>
        </w:rPr>
        <w:t>有资本经营预算财政拨款收入支出决算表</w:t>
      </w:r>
    </w:p>
    <w:p>
      <w:pPr>
        <w:pStyle w:val="4"/>
        <w:rPr>
          <w:rFonts w:ascii="仿宋" w:hAnsi="仿宋" w:eastAsia="仿宋"/>
        </w:rPr>
      </w:pPr>
      <w:bookmarkStart w:id="64" w:name="_Toc15396630"/>
      <w:r>
        <w:rPr>
          <w:rStyle w:val="27"/>
          <w:rFonts w:hint="eastAsia" w:ascii="仿宋" w:hAnsi="仿宋" w:eastAsia="仿宋"/>
          <w:b w:val="0"/>
          <w:bCs w:val="0"/>
        </w:rPr>
        <w:t>十二、</w:t>
      </w:r>
      <w:bookmarkEnd w:id="64"/>
      <w:r>
        <w:rPr>
          <w:rStyle w:val="27"/>
          <w:rFonts w:hint="eastAsia" w:ascii="仿宋" w:hAnsi="仿宋" w:eastAsia="仿宋"/>
          <w:b w:val="0"/>
          <w:bCs w:val="0"/>
        </w:rPr>
        <w:t>国有资本经营预算财政拨款支出决算表</w:t>
      </w:r>
    </w:p>
    <w:p>
      <w:pPr>
        <w:pStyle w:val="4"/>
        <w:rPr>
          <w:rStyle w:val="27"/>
          <w:rFonts w:ascii="仿宋" w:hAnsi="仿宋" w:eastAsia="仿宋"/>
          <w:b w:val="0"/>
          <w:bCs w:val="0"/>
        </w:rPr>
      </w:pPr>
      <w:bookmarkStart w:id="65" w:name="_Toc15396631"/>
      <w:r>
        <w:rPr>
          <w:rStyle w:val="27"/>
          <w:rFonts w:hint="eastAsia" w:ascii="仿宋" w:hAnsi="仿宋" w:eastAsia="仿宋"/>
          <w:b w:val="0"/>
          <w:bCs w:val="0"/>
        </w:rPr>
        <w:t>十三、</w:t>
      </w:r>
      <w:bookmarkEnd w:id="65"/>
      <w:r>
        <w:rPr>
          <w:rStyle w:val="27"/>
          <w:rFonts w:hint="eastAsia" w:ascii="仿宋" w:hAnsi="仿宋" w:eastAsia="仿宋"/>
          <w:b w:val="0"/>
          <w:bCs w:val="0"/>
        </w:rPr>
        <w:t>财政拨款“三公”经费支出决算表</w:t>
      </w:r>
    </w:p>
    <w:p>
      <w:pPr>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ascii="仿宋_GB2312" w:hAnsi="Times New Roman" w:eastAsia="仿宋_GB2312" w:cs="Times New Roman"/>
          <w:b w:val="0"/>
          <w:bCs w:val="0"/>
          <w:kern w:val="0"/>
          <w:sz w:val="30"/>
          <w:szCs w:val="24"/>
        </w:rPr>
        <w:drawing>
          <wp:inline distT="0" distB="0" distL="0" distR="0">
            <wp:extent cx="5273675" cy="77800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74878" cy="7781795"/>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675894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4494" cy="6759990"/>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707136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5025" cy="7074022"/>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78486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925" cy="7850460"/>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ascii="仿宋_GB2312" w:hAnsi="Times New Roman" w:eastAsia="仿宋_GB2312" w:cs="Times New Roman"/>
          <w:b w:val="0"/>
          <w:bCs w:val="0"/>
          <w:kern w:val="0"/>
          <w:sz w:val="30"/>
          <w:szCs w:val="24"/>
        </w:rPr>
        <w:drawing>
          <wp:inline distT="0" distB="0" distL="0" distR="0">
            <wp:extent cx="5273040" cy="88468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7040" cy="8853531"/>
                    </a:xfrm>
                    <a:prstGeom prst="rect">
                      <a:avLst/>
                    </a:prstGeom>
                    <a:noFill/>
                    <a:ln>
                      <a:noFill/>
                    </a:ln>
                  </pic:spPr>
                </pic:pic>
              </a:graphicData>
            </a:graphic>
          </wp:inline>
        </w:drawing>
      </w:r>
    </w:p>
    <w:p>
      <w:pPr>
        <w:pStyle w:val="2"/>
        <w:spacing w:before="93"/>
        <w:rPr>
          <w:rStyle w:val="27"/>
          <w:rFonts w:ascii="仿宋" w:hAnsi="仿宋" w:eastAsia="仿宋"/>
          <w:b w:val="0"/>
          <w:bCs w:val="0"/>
        </w:rPr>
      </w:pPr>
      <w:r>
        <w:rPr>
          <w:rStyle w:val="27"/>
          <w:rFonts w:ascii="仿宋_GB2312" w:hAnsi="Times New Roman" w:eastAsia="仿宋_GB2312" w:cs="Times New Roman"/>
          <w:b w:val="0"/>
          <w:bCs w:val="0"/>
          <w:kern w:val="0"/>
          <w:sz w:val="30"/>
          <w:szCs w:val="24"/>
        </w:rPr>
        <w:drawing>
          <wp:inline distT="0" distB="0" distL="0" distR="0">
            <wp:extent cx="5273675" cy="85344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75222" cy="8536904"/>
                    </a:xfrm>
                    <a:prstGeom prst="rect">
                      <a:avLst/>
                    </a:prstGeom>
                    <a:noFill/>
                    <a:ln>
                      <a:noFill/>
                    </a:ln>
                  </pic:spPr>
                </pic:pic>
              </a:graphicData>
            </a:graphic>
          </wp:inline>
        </w:drawing>
      </w:r>
    </w:p>
    <w:p>
      <w:pPr>
        <w:pStyle w:val="2"/>
        <w:spacing w:before="93"/>
        <w:rPr>
          <w:rStyle w:val="27"/>
          <w:rFonts w:ascii="仿宋" w:hAnsi="仿宋" w:eastAsia="仿宋"/>
          <w:b w:val="0"/>
          <w:bCs w:val="0"/>
        </w:rPr>
      </w:pPr>
      <w:r>
        <w:rPr>
          <w:rStyle w:val="27"/>
          <w:rFonts w:ascii="仿宋_GB2312" w:hAnsi="Times New Roman" w:eastAsia="仿宋_GB2312" w:cs="Times New Roman"/>
          <w:b w:val="0"/>
          <w:bCs w:val="0"/>
          <w:kern w:val="0"/>
          <w:sz w:val="30"/>
          <w:szCs w:val="24"/>
        </w:rPr>
        <w:drawing>
          <wp:inline distT="0" distB="0" distL="0" distR="0">
            <wp:extent cx="5273040" cy="75209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283301" cy="7534862"/>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widowControl/>
        <w:jc w:val="left"/>
        <w:rPr>
          <w:rStyle w:val="27"/>
          <w:rFonts w:ascii="仿宋" w:hAnsi="仿宋" w:eastAsia="仿宋"/>
          <w:b w:val="0"/>
          <w:bCs w:val="0"/>
        </w:rPr>
      </w:pPr>
    </w:p>
    <w:p>
      <w:pPr>
        <w:widowControl/>
        <w:jc w:val="left"/>
        <w:rPr>
          <w:rStyle w:val="27"/>
          <w:rFonts w:ascii="仿宋" w:hAnsi="仿宋" w:eastAsia="仿宋"/>
          <w:b w:val="0"/>
          <w:bCs w:val="0"/>
        </w:rPr>
      </w:pPr>
      <w:r>
        <w:rPr>
          <w:rStyle w:val="27"/>
          <w:rFonts w:ascii="仿宋" w:hAnsi="仿宋" w:eastAsia="仿宋"/>
          <w:b w:val="0"/>
          <w:bCs w:val="0"/>
        </w:rPr>
        <w:br w:type="page"/>
      </w: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hint="eastAsia"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616458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276524" cy="6167623"/>
                    </a:xfrm>
                    <a:prstGeom prst="rect">
                      <a:avLst/>
                    </a:prstGeom>
                    <a:noFill/>
                    <a:ln>
                      <a:noFill/>
                    </a:ln>
                  </pic:spPr>
                </pic:pic>
              </a:graphicData>
            </a:graphic>
          </wp:inline>
        </w:drawing>
      </w:r>
    </w:p>
    <w:p>
      <w:pPr>
        <w:pStyle w:val="2"/>
        <w:spacing w:before="93"/>
        <w:ind w:firstLine="1440" w:firstLineChars="450"/>
        <w:rPr>
          <w:rStyle w:val="27"/>
          <w:rFonts w:ascii="仿宋" w:hAnsi="仿宋" w:eastAsia="仿宋"/>
          <w:b w:val="0"/>
          <w:bCs w:val="0"/>
        </w:rPr>
      </w:pPr>
    </w:p>
    <w:p>
      <w:pPr>
        <w:pStyle w:val="2"/>
        <w:spacing w:before="93"/>
        <w:ind w:firstLine="1440" w:firstLineChars="450"/>
        <w:rPr>
          <w:rStyle w:val="27"/>
          <w:rFonts w:hint="eastAsia" w:ascii="仿宋" w:hAnsi="仿宋" w:eastAsia="仿宋"/>
          <w:b w:val="0"/>
          <w:bCs w:val="0"/>
        </w:rPr>
      </w:pPr>
    </w:p>
    <w:p>
      <w:pPr>
        <w:pStyle w:val="2"/>
        <w:spacing w:before="93"/>
        <w:ind w:firstLine="1440" w:firstLineChars="450"/>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sz w:val="18"/>
          <w:szCs w:val="18"/>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hint="eastAsia"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61722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275800" cy="6174513"/>
                    </a:xfrm>
                    <a:prstGeom prst="rect">
                      <a:avLst/>
                    </a:prstGeom>
                    <a:noFill/>
                    <a:ln>
                      <a:noFill/>
                    </a:ln>
                  </pic:spPr>
                </pic:pic>
              </a:graphicData>
            </a:graphic>
          </wp:inline>
        </w:drawing>
      </w:r>
    </w:p>
    <w:p>
      <w:pPr>
        <w:pStyle w:val="2"/>
        <w:spacing w:before="93"/>
        <w:ind w:firstLine="1440" w:firstLineChars="450"/>
        <w:rPr>
          <w:rStyle w:val="27"/>
          <w:rFonts w:ascii="仿宋" w:hAnsi="仿宋" w:eastAsia="仿宋"/>
          <w:b w:val="0"/>
          <w:bCs w:val="0"/>
        </w:rPr>
      </w:pPr>
    </w:p>
    <w:p>
      <w:pPr>
        <w:pStyle w:val="2"/>
        <w:spacing w:before="93"/>
        <w:ind w:firstLine="1440" w:firstLineChars="450"/>
        <w:rPr>
          <w:rStyle w:val="27"/>
          <w:rFonts w:ascii="仿宋" w:hAnsi="仿宋" w:eastAsia="仿宋"/>
          <w:b w:val="0"/>
          <w:bCs w:val="0"/>
        </w:rPr>
      </w:pPr>
    </w:p>
    <w:p>
      <w:pPr>
        <w:pStyle w:val="2"/>
        <w:spacing w:before="93"/>
        <w:ind w:firstLine="1440" w:firstLineChars="450"/>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sz w:val="18"/>
          <w:szCs w:val="18"/>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hint="eastAsia"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61341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5276893" cy="6138153"/>
                    </a:xfrm>
                    <a:prstGeom prst="rect">
                      <a:avLst/>
                    </a:prstGeom>
                    <a:noFill/>
                    <a:ln>
                      <a:noFill/>
                    </a:ln>
                  </pic:spPr>
                </pic:pic>
              </a:graphicData>
            </a:graphic>
          </wp:inline>
        </w:drawing>
      </w:r>
    </w:p>
    <w:p>
      <w:pPr>
        <w:pStyle w:val="2"/>
        <w:spacing w:before="93"/>
        <w:ind w:firstLine="1440" w:firstLineChars="450"/>
        <w:rPr>
          <w:rStyle w:val="27"/>
          <w:rFonts w:ascii="仿宋" w:hAnsi="仿宋" w:eastAsia="仿宋"/>
          <w:b w:val="0"/>
          <w:bCs w:val="0"/>
        </w:rPr>
      </w:pPr>
    </w:p>
    <w:p>
      <w:pPr>
        <w:pStyle w:val="2"/>
        <w:spacing w:before="93"/>
        <w:ind w:firstLine="1440" w:firstLineChars="450"/>
        <w:rPr>
          <w:rStyle w:val="27"/>
          <w:rFonts w:ascii="仿宋" w:hAnsi="仿宋" w:eastAsia="仿宋"/>
          <w:b w:val="0"/>
          <w:bCs w:val="0"/>
        </w:rPr>
      </w:pPr>
    </w:p>
    <w:p>
      <w:pPr>
        <w:pStyle w:val="2"/>
        <w:spacing w:before="93"/>
        <w:ind w:firstLine="1440" w:firstLineChars="450"/>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ascii="仿宋" w:hAnsi="仿宋" w:eastAsia="仿宋"/>
          <w:b w:val="0"/>
          <w:bCs w:val="0"/>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hint="eastAsia"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61722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75055" cy="6173641"/>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sz w:val="18"/>
          <w:szCs w:val="18"/>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ascii="仿宋_GB2312" w:hAnsi="Times New Roman" w:eastAsia="仿宋_GB2312" w:cs="Times New Roman"/>
          <w:b w:val="0"/>
          <w:bCs w:val="0"/>
          <w:kern w:val="0"/>
          <w:sz w:val="30"/>
          <w:szCs w:val="24"/>
        </w:rPr>
        <w:drawing>
          <wp:inline distT="0" distB="0" distL="0" distR="0">
            <wp:extent cx="5273675" cy="682752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75353" cy="6829500"/>
                    </a:xfrm>
                    <a:prstGeom prst="rect">
                      <a:avLst/>
                    </a:prstGeom>
                    <a:noFill/>
                    <a:ln>
                      <a:noFill/>
                    </a:ln>
                  </pic:spPr>
                </pic:pic>
              </a:graphicData>
            </a:graphic>
          </wp:inline>
        </w:drawing>
      </w:r>
    </w:p>
    <w:p>
      <w:pPr>
        <w:widowControl/>
        <w:jc w:val="left"/>
        <w:rPr>
          <w:rStyle w:val="27"/>
          <w:rFonts w:ascii="仿宋" w:hAnsi="仿宋" w:eastAsia="仿宋"/>
          <w:b w:val="0"/>
          <w:bCs w:val="0"/>
        </w:rPr>
      </w:pPr>
      <w:r>
        <w:rPr>
          <w:rStyle w:val="27"/>
          <w:rFonts w:ascii="仿宋" w:hAnsi="仿宋" w:eastAsia="仿宋"/>
          <w:b w:val="0"/>
          <w:bCs w:val="0"/>
        </w:rPr>
        <w:br w:type="page"/>
      </w: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kern w:val="0"/>
          <w:sz w:val="18"/>
          <w:szCs w:val="18"/>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ascii="仿宋_GB2312" w:hAnsi="Times New Roman" w:eastAsia="仿宋_GB2312" w:cs="Times New Roman"/>
          <w:b w:val="0"/>
          <w:bCs w:val="0"/>
          <w:kern w:val="0"/>
          <w:sz w:val="30"/>
          <w:szCs w:val="24"/>
        </w:rPr>
        <w:drawing>
          <wp:inline distT="0" distB="0" distL="0" distR="0">
            <wp:extent cx="5273040" cy="634746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76663" cy="6351821"/>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ascii="仿宋" w:hAnsi="仿宋" w:eastAsia="仿宋"/>
          <w:b w:val="0"/>
          <w:bCs w:val="0"/>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66370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76282" cy="6639681"/>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32"/>
          <w:szCs w:val="32"/>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sz w:val="18"/>
          <w:szCs w:val="18"/>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ascii="仿宋_GB2312" w:hAnsi="Times New Roman" w:eastAsia="仿宋_GB2312" w:cs="Times New Roman"/>
          <w:b w:val="0"/>
          <w:bCs w:val="0"/>
          <w:kern w:val="0"/>
          <w:sz w:val="30"/>
          <w:szCs w:val="24"/>
        </w:rPr>
        <w:drawing>
          <wp:inline distT="0" distB="0" distL="0" distR="0">
            <wp:extent cx="5273675" cy="669036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275354" cy="6692490"/>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sz w:val="18"/>
          <w:szCs w:val="18"/>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672084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277556" cy="6725097"/>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ascii="仿宋" w:hAnsi="仿宋" w:eastAsia="仿宋"/>
          <w:b w:val="0"/>
          <w:bCs w:val="0"/>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596646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75204" cy="5968021"/>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ascii="仿宋" w:hAnsi="仿宋" w:eastAsia="仿宋"/>
          <w:b w:val="0"/>
          <w:bCs w:val="0"/>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642366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76450" cy="6427293"/>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32"/>
          <w:szCs w:val="32"/>
          <w:lang w:eastAsia="zh-CN"/>
        </w:rPr>
      </w:pPr>
    </w:p>
    <w:p>
      <w:pPr>
        <w:pStyle w:val="2"/>
        <w:spacing w:before="93"/>
        <w:jc w:val="center"/>
        <w:rPr>
          <w:rStyle w:val="27"/>
          <w:rFonts w:hint="eastAsia" w:asciiTheme="minorEastAsia" w:hAnsiTheme="minorEastAsia" w:eastAsiaTheme="minorEastAsia" w:cstheme="minorEastAsia"/>
          <w:b w:val="0"/>
          <w:bCs w:val="0"/>
          <w:kern w:val="0"/>
          <w:sz w:val="32"/>
          <w:szCs w:val="32"/>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sz w:val="18"/>
          <w:szCs w:val="18"/>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60579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77621" cy="6062817"/>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p>
    <w:p>
      <w:pPr>
        <w:pStyle w:val="2"/>
        <w:spacing w:before="93"/>
        <w:jc w:val="center"/>
        <w:rPr>
          <w:rStyle w:val="27"/>
          <w:rFonts w:hint="eastAsia" w:asciiTheme="minorEastAsia" w:hAnsiTheme="minorEastAsia" w:eastAsiaTheme="minorEastAsia" w:cstheme="minorEastAsia"/>
          <w:b w:val="0"/>
          <w:bCs w:val="0"/>
          <w:kern w:val="0"/>
          <w:sz w:val="32"/>
          <w:szCs w:val="32"/>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hint="eastAsia" w:asciiTheme="minorEastAsia" w:hAnsiTheme="minorEastAsia" w:eastAsiaTheme="minorEastAsia" w:cstheme="minorEastAsia"/>
          <w:b w:val="0"/>
          <w:bCs w:val="0"/>
          <w:sz w:val="18"/>
          <w:szCs w:val="18"/>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582168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275134" cy="5823063"/>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jc w:val="center"/>
        <w:rPr>
          <w:rStyle w:val="27"/>
          <w:rFonts w:hint="eastAsia" w:asciiTheme="minorEastAsia" w:hAnsiTheme="minorEastAsia" w:eastAsiaTheme="minorEastAsia" w:cstheme="minorEastAsia"/>
          <w:b w:val="0"/>
          <w:bCs w:val="0"/>
          <w:kern w:val="0"/>
          <w:sz w:val="28"/>
          <w:szCs w:val="28"/>
          <w:lang w:eastAsia="zh-CN"/>
        </w:rPr>
      </w:pPr>
      <w:r>
        <w:rPr>
          <w:rStyle w:val="27"/>
          <w:rFonts w:hint="eastAsia" w:asciiTheme="minorEastAsia" w:hAnsiTheme="minorEastAsia" w:eastAsiaTheme="minorEastAsia" w:cstheme="minorEastAsia"/>
          <w:b w:val="0"/>
          <w:bCs w:val="0"/>
          <w:kern w:val="0"/>
          <w:sz w:val="28"/>
          <w:szCs w:val="28"/>
          <w:lang w:eastAsia="zh-CN"/>
        </w:rPr>
        <w:t>一般公共预算财政拨款支出决算表</w:t>
      </w:r>
    </w:p>
    <w:p>
      <w:pPr>
        <w:pStyle w:val="2"/>
        <w:spacing w:before="93"/>
        <w:jc w:val="right"/>
        <w:rPr>
          <w:rStyle w:val="27"/>
          <w:rFonts w:hint="eastAsia" w:asciiTheme="minorEastAsia" w:hAnsiTheme="minorEastAsia" w:eastAsiaTheme="minorEastAsia" w:cstheme="minorEastAsia"/>
          <w:b w:val="0"/>
          <w:bCs w:val="0"/>
          <w:kern w:val="0"/>
          <w:sz w:val="18"/>
          <w:szCs w:val="18"/>
          <w:lang w:val="en-US" w:eastAsia="zh-CN"/>
        </w:rPr>
      </w:pPr>
      <w:r>
        <w:rPr>
          <w:rStyle w:val="27"/>
          <w:rFonts w:hint="eastAsia" w:asciiTheme="minorEastAsia" w:hAnsiTheme="minorEastAsia" w:eastAsiaTheme="minorEastAsia" w:cstheme="minorEastAsia"/>
          <w:b w:val="0"/>
          <w:bCs w:val="0"/>
          <w:kern w:val="0"/>
          <w:sz w:val="18"/>
          <w:szCs w:val="18"/>
          <w:lang w:eastAsia="zh-CN"/>
        </w:rPr>
        <w:t>公开</w:t>
      </w:r>
      <w:r>
        <w:rPr>
          <w:rStyle w:val="27"/>
          <w:rFonts w:hint="eastAsia" w:asciiTheme="minorEastAsia" w:hAnsiTheme="minorEastAsia" w:eastAsiaTheme="minorEastAsia" w:cstheme="minorEastAsia"/>
          <w:b w:val="0"/>
          <w:bCs w:val="0"/>
          <w:kern w:val="0"/>
          <w:sz w:val="18"/>
          <w:szCs w:val="18"/>
          <w:lang w:val="en-US" w:eastAsia="zh-CN"/>
        </w:rPr>
        <w:t>06表</w:t>
      </w:r>
    </w:p>
    <w:p>
      <w:pPr>
        <w:pStyle w:val="2"/>
        <w:spacing w:before="93"/>
        <w:jc w:val="right"/>
        <w:rPr>
          <w:rStyle w:val="27"/>
          <w:rFonts w:ascii="仿宋" w:hAnsi="仿宋" w:eastAsia="仿宋"/>
          <w:b w:val="0"/>
          <w:bCs w:val="0"/>
        </w:rPr>
      </w:pPr>
      <w:r>
        <w:rPr>
          <w:rStyle w:val="27"/>
          <w:rFonts w:hint="eastAsia" w:asciiTheme="minorEastAsia" w:hAnsiTheme="minorEastAsia" w:eastAsiaTheme="minorEastAsia" w:cstheme="minorEastAsia"/>
          <w:b w:val="0"/>
          <w:bCs w:val="0"/>
          <w:kern w:val="0"/>
          <w:sz w:val="18"/>
          <w:szCs w:val="18"/>
          <w:lang w:val="en-US" w:eastAsia="zh-CN"/>
        </w:rPr>
        <w:t>金额单位：万元</w:t>
      </w: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60579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5275200" cy="6060177"/>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584454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275694" cy="5846394"/>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bookmarkStart w:id="66" w:name="_GoBack"/>
      <w:bookmarkEnd w:id="66"/>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64770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5277510" cy="6481999"/>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440436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5275156" cy="4405892"/>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450342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5280160" cy="4509168"/>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675" cy="467868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5278391" cy="4682347"/>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3040" cy="440436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5275294" cy="4406140"/>
                    </a:xfrm>
                    <a:prstGeom prst="rect">
                      <a:avLst/>
                    </a:prstGeom>
                    <a:noFill/>
                    <a:ln>
                      <a:noFill/>
                    </a:ln>
                  </pic:spPr>
                </pic:pic>
              </a:graphicData>
            </a:graphic>
          </wp:inline>
        </w:drawing>
      </w: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ascii="仿宋" w:hAnsi="仿宋" w:eastAsia="仿宋"/>
          <w:b w:val="0"/>
          <w:bCs w:val="0"/>
        </w:rPr>
      </w:pPr>
    </w:p>
    <w:p>
      <w:pPr>
        <w:pStyle w:val="2"/>
        <w:spacing w:before="93"/>
        <w:rPr>
          <w:rStyle w:val="27"/>
          <w:rFonts w:hint="eastAsia" w:ascii="仿宋" w:hAnsi="仿宋" w:eastAsia="仿宋"/>
          <w:b w:val="0"/>
          <w:bCs w:val="0"/>
        </w:rPr>
      </w:pPr>
      <w:r>
        <w:rPr>
          <w:rStyle w:val="27"/>
          <w:rFonts w:hint="eastAsia" w:ascii="仿宋_GB2312" w:hAnsi="Times New Roman" w:eastAsia="仿宋_GB2312" w:cs="Times New Roman"/>
          <w:b w:val="0"/>
          <w:bCs w:val="0"/>
          <w:kern w:val="0"/>
          <w:sz w:val="30"/>
          <w:szCs w:val="24"/>
        </w:rPr>
        <w:drawing>
          <wp:inline distT="0" distB="0" distL="0" distR="0">
            <wp:extent cx="5271770" cy="348996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5279204" cy="3494881"/>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26EABC7-345C-4CC6-AC1C-33E3BF3311F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5B2A8AF-840A-41BA-8505-44FFED664656}"/>
  </w:font>
  <w:font w:name="Cambria">
    <w:panose1 w:val="02040503050406030204"/>
    <w:charset w:val="00"/>
    <w:family w:val="roman"/>
    <w:pitch w:val="default"/>
    <w:sig w:usb0="E00002FF" w:usb1="400004FF" w:usb2="00000000" w:usb3="00000000" w:csb0="2000019F" w:csb1="00000000"/>
    <w:embedRegular r:id="rId3" w:fontKey="{9D162E6F-F188-4260-920A-EDA7698EAA5C}"/>
  </w:font>
  <w:font w:name="仿宋_GB2312">
    <w:panose1 w:val="02010609030101010101"/>
    <w:charset w:val="86"/>
    <w:family w:val="modern"/>
    <w:pitch w:val="default"/>
    <w:sig w:usb0="00000001" w:usb1="080E0000" w:usb2="00000000" w:usb3="00000000" w:csb0="00040000" w:csb1="00000000"/>
    <w:embedRegular r:id="rId4" w:fontKey="{739E2564-0CEE-46D6-BA52-3AF4478F6B8A}"/>
  </w:font>
  <w:font w:name="仿宋">
    <w:panose1 w:val="02010609060101010101"/>
    <w:charset w:val="86"/>
    <w:family w:val="modern"/>
    <w:pitch w:val="default"/>
    <w:sig w:usb0="800002BF" w:usb1="38CF7CFA" w:usb2="00000016" w:usb3="00000000" w:csb0="00040001" w:csb1="00000000"/>
    <w:embedRegular r:id="rId5" w:fontKey="{7FD77C8A-44C6-47E6-B8BC-504E296978D9}"/>
  </w:font>
  <w:font w:name="??">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embedRegular r:id="rId6" w:fontKey="{B827B197-CF80-457C-B219-B0EE8FC217AB}"/>
  </w:font>
  <w:font w:name="方正楷体简体">
    <w:panose1 w:val="03000509000000000000"/>
    <w:charset w:val="86"/>
    <w:family w:val="script"/>
    <w:pitch w:val="default"/>
    <w:sig w:usb0="00000001" w:usb1="080E0000" w:usb2="00000000" w:usb3="00000000" w:csb0="00040000" w:csb1="00000000"/>
    <w:embedRegular r:id="rId7" w:fontKey="{D96AA29E-4D3C-4F8A-A8B8-0298CB8E7D2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31</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lang w:val="en-US"/>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BmMGQ0ZTdmOGEwODA0MTQ0NDFlYWVlZmY1NWY4MG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7022"/>
    <w:rsid w:val="00142216"/>
    <w:rsid w:val="00144D6A"/>
    <w:rsid w:val="0014729F"/>
    <w:rsid w:val="00157BAB"/>
    <w:rsid w:val="001654D1"/>
    <w:rsid w:val="00174518"/>
    <w:rsid w:val="0018106D"/>
    <w:rsid w:val="001855C0"/>
    <w:rsid w:val="001877A7"/>
    <w:rsid w:val="00191536"/>
    <w:rsid w:val="00196687"/>
    <w:rsid w:val="001C0962"/>
    <w:rsid w:val="001D1977"/>
    <w:rsid w:val="001D4D74"/>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E1310"/>
    <w:rsid w:val="003E6F55"/>
    <w:rsid w:val="003F73E3"/>
    <w:rsid w:val="00401788"/>
    <w:rsid w:val="00406254"/>
    <w:rsid w:val="004223DE"/>
    <w:rsid w:val="00422AE2"/>
    <w:rsid w:val="00434489"/>
    <w:rsid w:val="00437085"/>
    <w:rsid w:val="00443880"/>
    <w:rsid w:val="004464F4"/>
    <w:rsid w:val="00471401"/>
    <w:rsid w:val="00473F31"/>
    <w:rsid w:val="00481882"/>
    <w:rsid w:val="0048263A"/>
    <w:rsid w:val="00487E5D"/>
    <w:rsid w:val="004901A5"/>
    <w:rsid w:val="004A711F"/>
    <w:rsid w:val="004A7FEF"/>
    <w:rsid w:val="004B199D"/>
    <w:rsid w:val="004B4690"/>
    <w:rsid w:val="004E0A2D"/>
    <w:rsid w:val="004E206B"/>
    <w:rsid w:val="004E6DF7"/>
    <w:rsid w:val="004F0FBD"/>
    <w:rsid w:val="00505A47"/>
    <w:rsid w:val="00512FDA"/>
    <w:rsid w:val="00520DA0"/>
    <w:rsid w:val="00523130"/>
    <w:rsid w:val="00556D90"/>
    <w:rsid w:val="00562F18"/>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474CE"/>
    <w:rsid w:val="00662BB3"/>
    <w:rsid w:val="0066343B"/>
    <w:rsid w:val="00664777"/>
    <w:rsid w:val="00666DF1"/>
    <w:rsid w:val="006748A4"/>
    <w:rsid w:val="006811A1"/>
    <w:rsid w:val="00681A31"/>
    <w:rsid w:val="00683E73"/>
    <w:rsid w:val="00691047"/>
    <w:rsid w:val="006A3141"/>
    <w:rsid w:val="006A4C3A"/>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D7156"/>
    <w:rsid w:val="007E23B0"/>
    <w:rsid w:val="007E23E5"/>
    <w:rsid w:val="007E4BCE"/>
    <w:rsid w:val="007E5BBE"/>
    <w:rsid w:val="007F1991"/>
    <w:rsid w:val="007F2C2F"/>
    <w:rsid w:val="007F55FC"/>
    <w:rsid w:val="007F5665"/>
    <w:rsid w:val="00800112"/>
    <w:rsid w:val="00802852"/>
    <w:rsid w:val="00804F68"/>
    <w:rsid w:val="00813348"/>
    <w:rsid w:val="008253BB"/>
    <w:rsid w:val="00836A92"/>
    <w:rsid w:val="0083706E"/>
    <w:rsid w:val="008408F6"/>
    <w:rsid w:val="008423A5"/>
    <w:rsid w:val="00846D6C"/>
    <w:rsid w:val="00850625"/>
    <w:rsid w:val="00853718"/>
    <w:rsid w:val="00855221"/>
    <w:rsid w:val="00860645"/>
    <w:rsid w:val="00871F71"/>
    <w:rsid w:val="00872FD8"/>
    <w:rsid w:val="00885AF4"/>
    <w:rsid w:val="008929C3"/>
    <w:rsid w:val="008939CD"/>
    <w:rsid w:val="008B6D1B"/>
    <w:rsid w:val="008B768C"/>
    <w:rsid w:val="008C4DB1"/>
    <w:rsid w:val="008C4EAF"/>
    <w:rsid w:val="008C5176"/>
    <w:rsid w:val="008C7FD0"/>
    <w:rsid w:val="008D0AC2"/>
    <w:rsid w:val="008E1DE7"/>
    <w:rsid w:val="008E707C"/>
    <w:rsid w:val="00900B08"/>
    <w:rsid w:val="00900D46"/>
    <w:rsid w:val="009019F4"/>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02F6"/>
    <w:rsid w:val="009C22F4"/>
    <w:rsid w:val="009C2A4B"/>
    <w:rsid w:val="009C2E98"/>
    <w:rsid w:val="009D3447"/>
    <w:rsid w:val="009D4711"/>
    <w:rsid w:val="009F1185"/>
    <w:rsid w:val="009F18CD"/>
    <w:rsid w:val="009F2A13"/>
    <w:rsid w:val="009F53CD"/>
    <w:rsid w:val="009F7527"/>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21C8"/>
    <w:rsid w:val="00AB64C9"/>
    <w:rsid w:val="00AC3C6A"/>
    <w:rsid w:val="00AD5620"/>
    <w:rsid w:val="00AD656B"/>
    <w:rsid w:val="00AD7C1B"/>
    <w:rsid w:val="00AE16BA"/>
    <w:rsid w:val="00AE1EBE"/>
    <w:rsid w:val="00B03C9D"/>
    <w:rsid w:val="00B060AE"/>
    <w:rsid w:val="00B10517"/>
    <w:rsid w:val="00B14E76"/>
    <w:rsid w:val="00B161B8"/>
    <w:rsid w:val="00B2048C"/>
    <w:rsid w:val="00B21627"/>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1778"/>
    <w:rsid w:val="00BC289F"/>
    <w:rsid w:val="00BC2D50"/>
    <w:rsid w:val="00BC5361"/>
    <w:rsid w:val="00BC5460"/>
    <w:rsid w:val="00BC6B50"/>
    <w:rsid w:val="00BD0E25"/>
    <w:rsid w:val="00BD3F86"/>
    <w:rsid w:val="00BF5BD6"/>
    <w:rsid w:val="00C03E31"/>
    <w:rsid w:val="00C10B3D"/>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D6337"/>
    <w:rsid w:val="00CE44F6"/>
    <w:rsid w:val="00CE49DA"/>
    <w:rsid w:val="00CE7B61"/>
    <w:rsid w:val="00D00095"/>
    <w:rsid w:val="00D114F0"/>
    <w:rsid w:val="00D20620"/>
    <w:rsid w:val="00D2395D"/>
    <w:rsid w:val="00D254F7"/>
    <w:rsid w:val="00D26091"/>
    <w:rsid w:val="00D2685C"/>
    <w:rsid w:val="00D34E7C"/>
    <w:rsid w:val="00D35489"/>
    <w:rsid w:val="00D36AFE"/>
    <w:rsid w:val="00D51276"/>
    <w:rsid w:val="00D7035F"/>
    <w:rsid w:val="00D753C5"/>
    <w:rsid w:val="00DA634F"/>
    <w:rsid w:val="00DA65AC"/>
    <w:rsid w:val="00DB1913"/>
    <w:rsid w:val="00DC410D"/>
    <w:rsid w:val="00DC5A81"/>
    <w:rsid w:val="00DC68CA"/>
    <w:rsid w:val="00DC7CBA"/>
    <w:rsid w:val="00DD73B7"/>
    <w:rsid w:val="00DF1952"/>
    <w:rsid w:val="00DF28BC"/>
    <w:rsid w:val="00DF34B9"/>
    <w:rsid w:val="00E01053"/>
    <w:rsid w:val="00E07ACF"/>
    <w:rsid w:val="00E11855"/>
    <w:rsid w:val="00E331A1"/>
    <w:rsid w:val="00E33202"/>
    <w:rsid w:val="00E336A9"/>
    <w:rsid w:val="00E472B1"/>
    <w:rsid w:val="00E50624"/>
    <w:rsid w:val="00E53DE4"/>
    <w:rsid w:val="00E568DF"/>
    <w:rsid w:val="00E56B29"/>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53365"/>
    <w:rsid w:val="00F602DF"/>
    <w:rsid w:val="00F754A1"/>
    <w:rsid w:val="00F773CD"/>
    <w:rsid w:val="00F81FD9"/>
    <w:rsid w:val="00F841AA"/>
    <w:rsid w:val="00F84A94"/>
    <w:rsid w:val="00F87E96"/>
    <w:rsid w:val="00FA23E8"/>
    <w:rsid w:val="00FD3CC1"/>
    <w:rsid w:val="00FD3DAB"/>
    <w:rsid w:val="00FF1E02"/>
    <w:rsid w:val="00FF30B4"/>
    <w:rsid w:val="03EE0393"/>
    <w:rsid w:val="053A62B5"/>
    <w:rsid w:val="086230FE"/>
    <w:rsid w:val="09BC05EC"/>
    <w:rsid w:val="0A165F4E"/>
    <w:rsid w:val="0A2032A3"/>
    <w:rsid w:val="0B8A37D8"/>
    <w:rsid w:val="0EF34AB0"/>
    <w:rsid w:val="10C055FF"/>
    <w:rsid w:val="118107EC"/>
    <w:rsid w:val="11DD6519"/>
    <w:rsid w:val="1219298D"/>
    <w:rsid w:val="15DB44F0"/>
    <w:rsid w:val="16BB723D"/>
    <w:rsid w:val="18015F3F"/>
    <w:rsid w:val="1BE8440E"/>
    <w:rsid w:val="1D155CEE"/>
    <w:rsid w:val="20F57F95"/>
    <w:rsid w:val="240371BF"/>
    <w:rsid w:val="25711CC6"/>
    <w:rsid w:val="25C741E6"/>
    <w:rsid w:val="27842671"/>
    <w:rsid w:val="29FD04D3"/>
    <w:rsid w:val="2ABE7A3E"/>
    <w:rsid w:val="2CA234A8"/>
    <w:rsid w:val="2DE350E2"/>
    <w:rsid w:val="2EFA178C"/>
    <w:rsid w:val="30B46D73"/>
    <w:rsid w:val="319F7F4E"/>
    <w:rsid w:val="346E5A84"/>
    <w:rsid w:val="36D668E1"/>
    <w:rsid w:val="383D272C"/>
    <w:rsid w:val="396D7E17"/>
    <w:rsid w:val="39AE70AB"/>
    <w:rsid w:val="3C0C0783"/>
    <w:rsid w:val="3C9568F7"/>
    <w:rsid w:val="3F9F3A96"/>
    <w:rsid w:val="42EF4FB3"/>
    <w:rsid w:val="46E45E93"/>
    <w:rsid w:val="46FD57C4"/>
    <w:rsid w:val="48BF60AB"/>
    <w:rsid w:val="493C27E9"/>
    <w:rsid w:val="496F39ED"/>
    <w:rsid w:val="49A5461D"/>
    <w:rsid w:val="49FF41D3"/>
    <w:rsid w:val="4B2730E9"/>
    <w:rsid w:val="4BE068DB"/>
    <w:rsid w:val="4BF6002B"/>
    <w:rsid w:val="4ECE2238"/>
    <w:rsid w:val="51DB4B86"/>
    <w:rsid w:val="55333C3E"/>
    <w:rsid w:val="59C528CA"/>
    <w:rsid w:val="5B0A0784"/>
    <w:rsid w:val="631303F2"/>
    <w:rsid w:val="64CA39A1"/>
    <w:rsid w:val="65E61F7F"/>
    <w:rsid w:val="69630ADE"/>
    <w:rsid w:val="6BEB1F0C"/>
    <w:rsid w:val="6C4A05C8"/>
    <w:rsid w:val="6D3B1A89"/>
    <w:rsid w:val="71BF4EC2"/>
    <w:rsid w:val="72734D90"/>
    <w:rsid w:val="7412278C"/>
    <w:rsid w:val="764E02E0"/>
    <w:rsid w:val="76A5715B"/>
    <w:rsid w:val="77811976"/>
    <w:rsid w:val="79E7B28D"/>
    <w:rsid w:val="7D3E3C07"/>
    <w:rsid w:val="7D99681D"/>
    <w:rsid w:val="7E7C2E97"/>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Body Text Indent"/>
    <w:basedOn w:val="1"/>
    <w:link w:val="32"/>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semiHidden/>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正文文本缩进 Char"/>
    <w:basedOn w:val="15"/>
    <w:link w:val="6"/>
    <w:semiHidden/>
    <w:qFormat/>
    <w:uiPriority w:val="99"/>
    <w:rPr>
      <w:rFonts w:ascii="Times New Roman" w:hAnsi="Times New Roman" w:eastAsia="宋体" w:cs="Times New Roman"/>
      <w:kern w:val="2"/>
      <w:sz w:val="21"/>
      <w:szCs w:val="24"/>
    </w:rPr>
  </w:style>
  <w:style w:type="character" w:customStyle="1" w:styleId="33">
    <w:name w:val="正文首行缩进 2 Char"/>
    <w:basedOn w:val="32"/>
    <w:link w:val="13"/>
    <w:semiHidden/>
    <w:qFormat/>
    <w:uiPriority w:val="99"/>
    <w:rPr>
      <w:rFonts w:ascii="Times New Roman" w:hAnsi="Times New Roman" w:eastAsia="宋体" w:cs="Times New Roman"/>
      <w:kern w:val="2"/>
      <w:sz w:val="21"/>
      <w:szCs w:val="24"/>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2" Type="http://schemas.openxmlformats.org/officeDocument/2006/relationships/fontTable" Target="fontTable.xml"/><Relationship Id="rId41" Type="http://schemas.openxmlformats.org/officeDocument/2006/relationships/customXml" Target="../customXml/item1.xml"/><Relationship Id="rId40" Type="http://schemas.openxmlformats.org/officeDocument/2006/relationships/numbering" Target="numbering.xml"/><Relationship Id="rId4" Type="http://schemas.openxmlformats.org/officeDocument/2006/relationships/footer" Target="footer1.xml"/><Relationship Id="rId39" Type="http://schemas.openxmlformats.org/officeDocument/2006/relationships/image" Target="media/image28.emf"/><Relationship Id="rId38" Type="http://schemas.openxmlformats.org/officeDocument/2006/relationships/image" Target="media/image27.emf"/><Relationship Id="rId37" Type="http://schemas.openxmlformats.org/officeDocument/2006/relationships/image" Target="media/image26.emf"/><Relationship Id="rId36" Type="http://schemas.openxmlformats.org/officeDocument/2006/relationships/image" Target="media/image25.emf"/><Relationship Id="rId35" Type="http://schemas.openxmlformats.org/officeDocument/2006/relationships/image" Target="media/image24.emf"/><Relationship Id="rId34" Type="http://schemas.openxmlformats.org/officeDocument/2006/relationships/image" Target="media/image23.emf"/><Relationship Id="rId33" Type="http://schemas.openxmlformats.org/officeDocument/2006/relationships/image" Target="media/image22.emf"/><Relationship Id="rId32" Type="http://schemas.openxmlformats.org/officeDocument/2006/relationships/image" Target="media/image21.emf"/><Relationship Id="rId31" Type="http://schemas.openxmlformats.org/officeDocument/2006/relationships/image" Target="media/image20.emf"/><Relationship Id="rId30" Type="http://schemas.openxmlformats.org/officeDocument/2006/relationships/image" Target="media/image19.emf"/><Relationship Id="rId3" Type="http://schemas.openxmlformats.org/officeDocument/2006/relationships/header" Target="header1.xml"/><Relationship Id="rId29" Type="http://schemas.openxmlformats.org/officeDocument/2006/relationships/image" Target="media/image18.emf"/><Relationship Id="rId28" Type="http://schemas.openxmlformats.org/officeDocument/2006/relationships/image" Target="media/image17.emf"/><Relationship Id="rId27" Type="http://schemas.openxmlformats.org/officeDocument/2006/relationships/image" Target="media/image16.emf"/><Relationship Id="rId26" Type="http://schemas.openxmlformats.org/officeDocument/2006/relationships/image" Target="media/image15.emf"/><Relationship Id="rId25" Type="http://schemas.openxmlformats.org/officeDocument/2006/relationships/image" Target="media/image14.emf"/><Relationship Id="rId24" Type="http://schemas.openxmlformats.org/officeDocument/2006/relationships/image" Target="media/image13.emf"/><Relationship Id="rId23" Type="http://schemas.openxmlformats.org/officeDocument/2006/relationships/image" Target="media/image12.emf"/><Relationship Id="rId22" Type="http://schemas.openxmlformats.org/officeDocument/2006/relationships/image" Target="media/image11.emf"/><Relationship Id="rId21" Type="http://schemas.openxmlformats.org/officeDocument/2006/relationships/image" Target="media/image10.emf"/><Relationship Id="rId20" Type="http://schemas.openxmlformats.org/officeDocument/2006/relationships/image" Target="media/image9.emf"/><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image" Target="media/image7.emf"/><Relationship Id="rId17" Type="http://schemas.openxmlformats.org/officeDocument/2006/relationships/image" Target="media/image6.emf"/><Relationship Id="rId16" Type="http://schemas.openxmlformats.org/officeDocument/2006/relationships/image" Target="media/image5.emf"/><Relationship Id="rId15" Type="http://schemas.openxmlformats.org/officeDocument/2006/relationships/image" Target="media/image4.emf"/><Relationship Id="rId14" Type="http://schemas.openxmlformats.org/officeDocument/2006/relationships/image" Target="media/image3.emf"/><Relationship Id="rId13" Type="http://schemas.openxmlformats.org/officeDocument/2006/relationships/image" Target="media/image2.emf"/><Relationship Id="rId12" Type="http://schemas.openxmlformats.org/officeDocument/2006/relationships/image" Target="media/image1.emf"/><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r>
              <a:rPr lang="zh-CN" altLang="zh-CN" sz="1400" b="0" i="0" u="none" strike="noStrike" cap="none" baseline="0">
                <a:effectLst/>
              </a:rPr>
              <a:t>收、支决算总计变动情况图</a:t>
            </a:r>
            <a:endParaRPr lang="zh-CN"/>
          </a:p>
        </c:rich>
      </c:tx>
      <c:layout/>
      <c:overlay val="0"/>
      <c:spPr>
        <a:noFill/>
        <a:ln>
          <a:noFill/>
        </a:ln>
        <a:effectLst/>
      </c:spPr>
    </c:title>
    <c:autoTitleDeleted val="0"/>
    <c:plotArea>
      <c:layout>
        <c:manualLayout>
          <c:layoutTarget val="inner"/>
          <c:xMode val="edge"/>
          <c:yMode val="edge"/>
          <c:x val="0.0346957232320436"/>
          <c:y val="0.0226729398763235"/>
          <c:w val="0.926777910285895"/>
          <c:h val="0.649170912459472"/>
        </c:manualLayout>
      </c:layout>
      <c:barChart>
        <c:barDir val="col"/>
        <c:grouping val="clustered"/>
        <c:varyColors val="0"/>
        <c:ser>
          <c:idx val="0"/>
          <c:order val="0"/>
          <c:tx>
            <c:strRef>
              <c:f>Sheet1!$B$1</c:f>
              <c:strCache>
                <c:ptCount val="1"/>
                <c:pt idx="0">
                  <c:v>收入</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2"/>
                <c:pt idx="0">
                  <c:v>2021年</c:v>
                </c:pt>
                <c:pt idx="1">
                  <c:v>2022年</c:v>
                </c:pt>
              </c:strCache>
            </c:strRef>
          </c:cat>
          <c:val>
            <c:numRef>
              <c:f>Sheet1!$B$2:$B$5</c:f>
              <c:numCache>
                <c:formatCode>General</c:formatCode>
                <c:ptCount val="4"/>
                <c:pt idx="0">
                  <c:v>268.41</c:v>
                </c:pt>
                <c:pt idx="1">
                  <c:v>193.64</c:v>
                </c:pt>
              </c:numCache>
            </c:numRef>
          </c:val>
        </c:ser>
        <c:ser>
          <c:idx val="1"/>
          <c:order val="1"/>
          <c:tx>
            <c:strRef>
              <c:f>Sheet1!$C$1</c:f>
              <c:strCache>
                <c:ptCount val="1"/>
                <c:pt idx="0">
                  <c:v>支出</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2"/>
                <c:pt idx="0">
                  <c:v>2021年</c:v>
                </c:pt>
                <c:pt idx="1">
                  <c:v>2022年</c:v>
                </c:pt>
              </c:strCache>
            </c:strRef>
          </c:cat>
          <c:val>
            <c:numRef>
              <c:f>Sheet1!$C$2:$C$5</c:f>
              <c:numCache>
                <c:formatCode>General</c:formatCode>
                <c:ptCount val="4"/>
                <c:pt idx="0">
                  <c:v>268.41</c:v>
                </c:pt>
                <c:pt idx="1">
                  <c:v>193.64</c:v>
                </c:pt>
              </c:numCache>
            </c:numRef>
          </c:val>
        </c:ser>
        <c:dLbls>
          <c:showLegendKey val="0"/>
          <c:showVal val="1"/>
          <c:showCatName val="0"/>
          <c:showSerName val="0"/>
          <c:showPercent val="0"/>
          <c:showBubbleSize val="0"/>
        </c:dLbls>
        <c:gapWidth val="100"/>
        <c:overlap val="-24"/>
        <c:axId val="301277264"/>
        <c:axId val="303464960"/>
      </c:barChart>
      <c:catAx>
        <c:axId val="301277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3464960"/>
        <c:crosses val="autoZero"/>
        <c:auto val="1"/>
        <c:lblAlgn val="ctr"/>
        <c:lblOffset val="100"/>
        <c:noMultiLvlLbl val="0"/>
      </c:catAx>
      <c:valAx>
        <c:axId val="3034649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12772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Pt>
            <c:idx val="5"/>
            <c:bubble3D val="0"/>
            <c:spPr>
              <a:gradFill rotWithShape="1">
                <a:gsLst>
                  <a:gs pos="0">
                    <a:schemeClr val="accent6">
                      <a:tint val="50000"/>
                      <a:satMod val="300000"/>
                    </a:schemeClr>
                  </a:gs>
                  <a:gs pos="35000">
                    <a:schemeClr val="accent6">
                      <a:tint val="37000"/>
                      <a:satMod val="300000"/>
                    </a:schemeClr>
                  </a:gs>
                  <a:gs pos="100000">
                    <a:schemeClr val="accent6">
                      <a:tint val="15000"/>
                      <a:satMod val="350000"/>
                    </a:schemeClr>
                  </a:gs>
                </a:gsLst>
                <a:lin ang="16200000" scaled="1"/>
              </a:gradFill>
              <a:ln w="9525" cap="flat" cmpd="sng" algn="ctr">
                <a:solidFill>
                  <a:schemeClr val="accent6">
                    <a:shade val="95000"/>
                  </a:schemeClr>
                </a:solidFill>
                <a:round/>
              </a:ln>
              <a:effectLst>
                <a:outerShdw blurRad="40000" dist="20000" dir="5400000" rotWithShape="0">
                  <a:srgbClr val="000000">
                    <a:alpha val="38000"/>
                  </a:srgbClr>
                </a:outerShdw>
              </a:effectLst>
            </c:spPr>
          </c:dPt>
          <c:dPt>
            <c:idx val="6"/>
            <c:bubble3D val="0"/>
            <c:spPr>
              <a:gradFill rotWithShape="1">
                <a:gsLst>
                  <a:gs pos="0">
                    <a:schemeClr val="accent1">
                      <a:lumMod val="60000"/>
                      <a:tint val="50000"/>
                      <a:satMod val="300000"/>
                    </a:schemeClr>
                  </a:gs>
                  <a:gs pos="35000">
                    <a:schemeClr val="accent1">
                      <a:lumMod val="60000"/>
                      <a:tint val="37000"/>
                      <a:satMod val="300000"/>
                    </a:schemeClr>
                  </a:gs>
                  <a:gs pos="100000">
                    <a:schemeClr val="accent1">
                      <a:lumMod val="60000"/>
                      <a:tint val="15000"/>
                      <a:satMod val="350000"/>
                    </a:schemeClr>
                  </a:gs>
                </a:gsLst>
                <a:lin ang="16200000" scaled="1"/>
              </a:gradFill>
              <a:ln w="9525" cap="flat" cmpd="sng" algn="ctr">
                <a:solidFill>
                  <a:schemeClr val="accent1">
                    <a:lumMod val="60000"/>
                    <a:shade val="95000"/>
                  </a:schemeClr>
                </a:solidFill>
                <a:round/>
              </a:ln>
              <a:effectLst>
                <a:outerShdw blurRad="40000" dist="20000" dir="5400000" rotWithShape="0">
                  <a:srgbClr val="000000">
                    <a:alpha val="38000"/>
                  </a:srgbClr>
                </a:outerShdw>
              </a:effectLst>
            </c:spPr>
          </c:dPt>
          <c:dPt>
            <c:idx val="7"/>
            <c:bubble3D val="0"/>
            <c:spPr>
              <a:gradFill rotWithShape="1">
                <a:gsLst>
                  <a:gs pos="0">
                    <a:schemeClr val="accent2">
                      <a:lumMod val="60000"/>
                      <a:tint val="50000"/>
                      <a:satMod val="300000"/>
                    </a:schemeClr>
                  </a:gs>
                  <a:gs pos="35000">
                    <a:schemeClr val="accent2">
                      <a:lumMod val="60000"/>
                      <a:tint val="37000"/>
                      <a:satMod val="300000"/>
                    </a:schemeClr>
                  </a:gs>
                  <a:gs pos="100000">
                    <a:schemeClr val="accent2">
                      <a:lumMod val="60000"/>
                      <a:tint val="15000"/>
                      <a:satMod val="350000"/>
                    </a:schemeClr>
                  </a:gs>
                </a:gsLst>
                <a:lin ang="16200000" scaled="1"/>
              </a:gradFill>
              <a:ln w="9525" cap="flat" cmpd="sng" algn="ctr">
                <a:solidFill>
                  <a:schemeClr val="accent2">
                    <a:lumMod val="60000"/>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65000"/>
                        <a:lumOff val="35000"/>
                      </a:schemeClr>
                    </a:solidFill>
                    <a:latin typeface="+mn-lt"/>
                    <a:ea typeface="+mn-ea"/>
                    <a:cs typeface="+mn-cs"/>
                  </a:defRPr>
                </a:pPr>
              </a:p>
            </c:txPr>
            <c:dLblPos val="inEnd"/>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0%</c:formatCode>
                <c:ptCount val="8"/>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view3D>
      <c:rotX val="75"/>
      <c:rotY val="0"/>
      <c:depthPercent val="100"/>
      <c:rAngAx val="0"/>
    </c:view3D>
    <c:floor>
      <c:thickness val="0"/>
    </c:floor>
    <c:sideWall>
      <c:thickness val="0"/>
      <c:spPr>
        <a:noFill/>
        <a:ln>
          <a:noFill/>
        </a:ln>
        <a:effectLst/>
      </c:spPr>
    </c:sideWall>
    <c:backWall>
      <c:thickness val="0"/>
      <c:spPr>
        <a:noFill/>
        <a:ln>
          <a:noFill/>
        </a:ln>
        <a:effectLst/>
      </c:spPr>
    </c:backWall>
    <c:plotArea>
      <c:layout/>
      <c:pie3DChart>
        <c:varyColors val="1"/>
        <c:ser>
          <c:idx val="0"/>
          <c:order val="0"/>
          <c:tx>
            <c:strRef>
              <c:f>Sheet1!$B$1</c:f>
              <c:strCache>
                <c:ptCount val="1"/>
                <c:pt idx="0">
                  <c:v>支出决算结构图</c:v>
                </c:pt>
              </c:strCache>
            </c:strRef>
          </c:tx>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65000"/>
                        <a:lumOff val="3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0.00%</c:formatCode>
                <c:ptCount val="5"/>
                <c:pt idx="0">
                  <c:v>0.6923</c:v>
                </c:pt>
                <c:pt idx="1">
                  <c:v>0.3077</c:v>
                </c:pt>
                <c:pt idx="2" c:formatCode="General">
                  <c:v>0</c:v>
                </c:pt>
                <c:pt idx="3" c:formatCode="General">
                  <c:v>0</c:v>
                </c:pt>
                <c:pt idx="4" c:formatCode="General">
                  <c:v>0</c:v>
                </c:pt>
              </c:numCache>
            </c:numRef>
          </c:val>
        </c:ser>
        <c:ser>
          <c:idx val="1"/>
          <c:order val="1"/>
          <c:tx>
            <c:strRef>
              <c:f>Sheet1!$C$1</c:f>
              <c:strCache>
                <c:ptCount val="1"/>
                <c:pt idx="0">
                  <c:v>列1</c:v>
                </c:pt>
              </c:strCache>
            </c:strRef>
          </c:tx>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Lbls>
            <c:delete val="1"/>
          </c:dLbls>
          <c:cat>
            <c:strRef>
              <c:f>Sheet1!$A$2:$A$6</c:f>
              <c:strCache>
                <c:ptCount val="5"/>
                <c:pt idx="0">
                  <c:v>基本支出</c:v>
                </c:pt>
                <c:pt idx="1">
                  <c:v>项目支出</c:v>
                </c:pt>
                <c:pt idx="2">
                  <c:v>上缴上级支出</c:v>
                </c:pt>
                <c:pt idx="3">
                  <c:v>经营支出</c:v>
                </c:pt>
                <c:pt idx="4">
                  <c:v>对附属单位补助支出</c:v>
                </c:pt>
              </c:strCache>
            </c:strRef>
          </c:cat>
          <c:val>
            <c:numRef>
              <c:f>Sheet1!$C$2:$C$6</c:f>
              <c:numCache>
                <c:formatCode>General</c:formatCode>
                <c:ptCount val="5"/>
              </c:numCache>
            </c:numRef>
          </c:val>
        </c:ser>
        <c:dLbls>
          <c:showLegendKey val="0"/>
          <c:showVal val="0"/>
          <c:showCatName val="0"/>
          <c:showSerName val="0"/>
          <c:showPercent val="0"/>
          <c:showBubbleSize val="0"/>
        </c:dLbls>
      </c:pie3DChart>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r>
              <a:rPr lang="zh-CN" altLang="en-US" sz="1400" b="0" i="0" u="none" strike="noStrike" cap="none" baseline="0">
                <a:effectLst/>
              </a:rPr>
              <a:t>财政拨款</a:t>
            </a:r>
            <a:r>
              <a:rPr lang="zh-CN" altLang="zh-CN" sz="1400" b="0" i="0" u="none" strike="noStrike" cap="none" baseline="0">
                <a:effectLst/>
              </a:rPr>
              <a:t>收、支决算总计变动情况图</a:t>
            </a:r>
            <a:endParaRPr lang="zh-CN"/>
          </a:p>
        </c:rich>
      </c:tx>
      <c:layout>
        <c:manualLayout>
          <c:xMode val="edge"/>
          <c:yMode val="edge"/>
          <c:x val="0.272212858174813"/>
          <c:y val="0.0288957688338493"/>
        </c:manualLayout>
      </c:layout>
      <c:overlay val="0"/>
      <c:spPr>
        <a:noFill/>
        <a:ln>
          <a:noFill/>
        </a:ln>
        <a:effectLst/>
      </c:spPr>
    </c:title>
    <c:autoTitleDeleted val="0"/>
    <c:plotArea>
      <c:layout>
        <c:manualLayout>
          <c:layoutTarget val="inner"/>
          <c:xMode val="edge"/>
          <c:yMode val="edge"/>
          <c:x val="0.0346957232320436"/>
          <c:y val="0.0226729398763235"/>
          <c:w val="0.926777910285895"/>
          <c:h val="0.649170912459472"/>
        </c:manualLayout>
      </c:layout>
      <c:barChart>
        <c:barDir val="col"/>
        <c:grouping val="clustered"/>
        <c:varyColors val="0"/>
        <c:ser>
          <c:idx val="0"/>
          <c:order val="0"/>
          <c:tx>
            <c:strRef>
              <c:f>Sheet1!$B$1</c:f>
              <c:strCache>
                <c:ptCount val="1"/>
                <c:pt idx="0">
                  <c:v>收入</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2"/>
                <c:pt idx="0">
                  <c:v>2021年</c:v>
                </c:pt>
                <c:pt idx="1">
                  <c:v>2022年</c:v>
                </c:pt>
              </c:strCache>
            </c:strRef>
          </c:cat>
          <c:val>
            <c:numRef>
              <c:f>Sheet1!$B$2:$B$5</c:f>
              <c:numCache>
                <c:formatCode>General</c:formatCode>
                <c:ptCount val="4"/>
                <c:pt idx="0">
                  <c:v>268.41</c:v>
                </c:pt>
                <c:pt idx="1">
                  <c:v>193.64</c:v>
                </c:pt>
              </c:numCache>
            </c:numRef>
          </c:val>
        </c:ser>
        <c:ser>
          <c:idx val="1"/>
          <c:order val="1"/>
          <c:tx>
            <c:strRef>
              <c:f>Sheet1!$C$1</c:f>
              <c:strCache>
                <c:ptCount val="1"/>
                <c:pt idx="0">
                  <c:v>支出</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2"/>
                <c:pt idx="0">
                  <c:v>2021年</c:v>
                </c:pt>
                <c:pt idx="1">
                  <c:v>2022年</c:v>
                </c:pt>
              </c:strCache>
            </c:strRef>
          </c:cat>
          <c:val>
            <c:numRef>
              <c:f>Sheet1!$C$2:$C$5</c:f>
              <c:numCache>
                <c:formatCode>General</c:formatCode>
                <c:ptCount val="4"/>
                <c:pt idx="0">
                  <c:v>268.41</c:v>
                </c:pt>
                <c:pt idx="1">
                  <c:v>193.64</c:v>
                </c:pt>
              </c:numCache>
            </c:numRef>
          </c:val>
        </c:ser>
        <c:dLbls>
          <c:showLegendKey val="0"/>
          <c:showVal val="1"/>
          <c:showCatName val="0"/>
          <c:showSerName val="0"/>
          <c:showPercent val="0"/>
          <c:showBubbleSize val="0"/>
        </c:dLbls>
        <c:gapWidth val="100"/>
        <c:overlap val="-24"/>
        <c:axId val="303464176"/>
        <c:axId val="303462216"/>
      </c:barChart>
      <c:catAx>
        <c:axId val="303464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3462216"/>
        <c:crosses val="autoZero"/>
        <c:auto val="1"/>
        <c:lblAlgn val="ctr"/>
        <c:lblOffset val="100"/>
        <c:noMultiLvlLbl val="0"/>
      </c:catAx>
      <c:valAx>
        <c:axId val="3034622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346417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一般公共预算财政拨款支出决算变动情况</a:t>
            </a:r>
            <a:endParaRPr lang="zh-CN" altLang="en-US"/>
          </a:p>
        </c:rich>
      </c:tx>
      <c:layout/>
      <c:overlay val="0"/>
      <c:spPr>
        <a:noFill/>
        <a:ln>
          <a:noFill/>
        </a:ln>
        <a:effectLst/>
      </c:spPr>
    </c:title>
    <c:autoTitleDeleted val="0"/>
    <c:plotArea>
      <c:layout>
        <c:manualLayout>
          <c:layoutTarget val="inner"/>
          <c:xMode val="edge"/>
          <c:yMode val="edge"/>
          <c:x val="0.087719720683843"/>
          <c:y val="0.157275541795666"/>
          <c:w val="0.908668432458464"/>
          <c:h val="0.341259029927761"/>
        </c:manualLayout>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delete val="1"/>
          </c:dLbls>
          <c:cat>
            <c:strRef>
              <c:f>Sheet1!$A$2:$A$5</c:f>
              <c:strCache>
                <c:ptCount val="1"/>
                <c:pt idx="0">
                  <c:v>一般公共预算财政拨款支出</c:v>
                </c:pt>
              </c:strCache>
            </c:strRef>
          </c:cat>
          <c:val>
            <c:numRef>
              <c:f>Sheet1!$B$2:$B$5</c:f>
              <c:numCache>
                <c:formatCode>General</c:formatCode>
                <c:ptCount val="4"/>
                <c:pt idx="0">
                  <c:v>268.41</c:v>
                </c:pt>
              </c:numCache>
            </c:numRef>
          </c:val>
        </c:ser>
        <c:ser>
          <c:idx val="1"/>
          <c:order val="1"/>
          <c:tx>
            <c:strRef>
              <c:f>Sheet1!$C$1</c:f>
              <c:strCache>
                <c:ptCount val="1"/>
                <c:pt idx="0">
                  <c:v>2022年</c:v>
                </c:pt>
              </c:strCache>
            </c:strRef>
          </c:tx>
          <c:spPr>
            <a:solidFill>
              <a:schemeClr val="accent2"/>
            </a:solidFill>
            <a:ln>
              <a:noFill/>
            </a:ln>
            <a:effectLst/>
          </c:spPr>
          <c:invertIfNegative val="0"/>
          <c:dLbls>
            <c:delete val="1"/>
          </c:dLbls>
          <c:cat>
            <c:strRef>
              <c:f>Sheet1!$A$2:$A$5</c:f>
              <c:strCache>
                <c:ptCount val="1"/>
                <c:pt idx="0">
                  <c:v>一般公共预算财政拨款支出</c:v>
                </c:pt>
              </c:strCache>
            </c:strRef>
          </c:cat>
          <c:val>
            <c:numRef>
              <c:f>Sheet1!$C$2:$C$5</c:f>
              <c:numCache>
                <c:formatCode>General</c:formatCode>
                <c:ptCount val="4"/>
                <c:pt idx="0">
                  <c:v>193.64</c:v>
                </c:pt>
              </c:numCache>
            </c:numRef>
          </c:val>
        </c:ser>
        <c:dLbls>
          <c:showLegendKey val="0"/>
          <c:showVal val="0"/>
          <c:showCatName val="0"/>
          <c:showSerName val="0"/>
          <c:showPercent val="0"/>
          <c:showBubbleSize val="0"/>
        </c:dLbls>
        <c:gapWidth val="86"/>
        <c:overlap val="-100"/>
        <c:axId val="303464568"/>
        <c:axId val="303465744"/>
      </c:barChart>
      <c:catAx>
        <c:axId val="3034645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3465744"/>
        <c:crosses val="autoZero"/>
        <c:auto val="1"/>
        <c:lblAlgn val="ctr"/>
        <c:lblOffset val="100"/>
        <c:noMultiLvlLbl val="0"/>
      </c:catAx>
      <c:valAx>
        <c:axId val="3034657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346456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40860215053763"/>
          <c:y val="0.0157728706624606"/>
        </c:manualLayout>
      </c:layout>
      <c:overlay val="0"/>
      <c:spPr>
        <a:noFill/>
        <a:ln>
          <a:noFill/>
        </a:ln>
        <a:effectLst/>
      </c:spPr>
      <c:txPr>
        <a:bodyPr rot="0" spcFirstLastPara="1"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spPr/>
          <c:explosion val="0"/>
          <c:dPt>
            <c:idx val="0"/>
            <c:bubble3D val="0"/>
            <c:spPr>
              <a:solidFill>
                <a:schemeClr val="accent2"/>
              </a:solidFill>
              <a:ln>
                <a:noFill/>
              </a:ln>
              <a:effectLst>
                <a:outerShdw blurRad="63500" sx="102000" sy="102000" algn="ctr" rotWithShape="0">
                  <a:prstClr val="black">
                    <a:alpha val="20000"/>
                  </a:prstClr>
                </a:outerShdw>
              </a:effectLst>
            </c:spPr>
          </c:dPt>
          <c:dPt>
            <c:idx val="1"/>
            <c:bubble3D val="0"/>
            <c:spPr>
              <a:solidFill>
                <a:schemeClr val="accent4"/>
              </a:solidFill>
              <a:ln>
                <a:noFill/>
              </a:ln>
              <a:effectLst>
                <a:outerShdw blurRad="63500" sx="102000" sy="102000" algn="ctr" rotWithShape="0">
                  <a:prstClr val="black">
                    <a:alpha val="20000"/>
                  </a:prstClr>
                </a:outerShdw>
              </a:effectLst>
            </c:spPr>
          </c:dPt>
          <c:dPt>
            <c:idx val="2"/>
            <c:bubble3D val="0"/>
            <c:spPr>
              <a:solidFill>
                <a:schemeClr val="accent6"/>
              </a:solidFill>
              <a:ln>
                <a:noFill/>
              </a:ln>
              <a:effectLst>
                <a:outerShdw blurRad="63500" sx="102000" sy="102000" algn="ctr" rotWithShape="0">
                  <a:prstClr val="black">
                    <a:alpha val="20000"/>
                  </a:prstClr>
                </a:outerShdw>
              </a:effectLst>
            </c:spPr>
          </c:dPt>
          <c:dPt>
            <c:idx val="3"/>
            <c:bubble3D val="0"/>
            <c:spPr>
              <a:solidFill>
                <a:schemeClr val="accent2">
                  <a:lumMod val="60000"/>
                </a:schemeClr>
              </a:solidFill>
              <a:ln>
                <a:noFill/>
              </a:ln>
              <a:effectLst>
                <a:outerShdw blurRad="63500" sx="102000" sy="102000" algn="ctr" rotWithShape="0">
                  <a:prstClr val="black">
                    <a:alpha val="20000"/>
                  </a:prstClr>
                </a:outerShdw>
              </a:effectLst>
            </c:spPr>
          </c:dPt>
          <c:dPt>
            <c:idx val="4"/>
            <c:bubble3D val="0"/>
            <c:spPr>
              <a:solidFill>
                <a:schemeClr val="accent4">
                  <a:lumMod val="60000"/>
                </a:schemeClr>
              </a:solidFill>
              <a:ln>
                <a:noFill/>
              </a:ln>
              <a:effectLst>
                <a:outerShdw blurRad="63500" sx="102000" sy="102000" algn="ctr" rotWithShape="0">
                  <a:prstClr val="black">
                    <a:alpha val="20000"/>
                  </a:prstClr>
                </a:outerShdw>
              </a:effectLst>
            </c:spPr>
          </c:dPt>
          <c:dLbls>
            <c:dLbl>
              <c:idx val="0"/>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6"/>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lumMod val="60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4"/>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lumMod val="60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一般公共文化服务支出</c:v>
                </c:pt>
                <c:pt idx="1">
                  <c:v>文化旅游体育与传媒支出</c:v>
                </c:pt>
                <c:pt idx="2">
                  <c:v>社会保障和就业</c:v>
                </c:pt>
                <c:pt idx="3">
                  <c:v>卫生健康支出</c:v>
                </c:pt>
                <c:pt idx="4">
                  <c:v>住房保障支出</c:v>
                </c:pt>
              </c:strCache>
            </c:strRef>
          </c:cat>
          <c:val>
            <c:numRef>
              <c:f>Sheet1!$B$2:$B$6</c:f>
              <c:numCache>
                <c:formatCode>0.00%</c:formatCode>
                <c:ptCount val="5"/>
                <c:pt idx="0">
                  <c:v>0.0057</c:v>
                </c:pt>
                <c:pt idx="1">
                  <c:v>0.749</c:v>
                </c:pt>
                <c:pt idx="2">
                  <c:v>0.0647</c:v>
                </c:pt>
                <c:pt idx="3">
                  <c:v>0.0459</c:v>
                </c:pt>
                <c:pt idx="4">
                  <c:v>0.0418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3BD3C8-0C83-4587-A35A-A312C0F4C392}">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46</Pages>
  <Words>4717</Words>
  <Characters>2932</Characters>
  <Lines>24</Lines>
  <Paragraphs>15</Paragraphs>
  <TotalTime>20</TotalTime>
  <ScaleCrop>false</ScaleCrop>
  <LinksUpToDate>false</LinksUpToDate>
  <CharactersWithSpaces>7634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2023-10-14T14:29:00Z</dcterms:created>
  <dc:creator>曹颖</dc:creator>
  <cp:lastModifiedBy>丫头</cp:lastModifiedBy>
  <cp:lastPrinted>2023-07-31T02:35:00Z</cp:lastPrinted>
  <dcterms:modified xsi:type="dcterms:W3CDTF">2023-10-27T02:52:37Z</dcterms:modified>
  <dc:title>四川省***</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648FD2E42C6B41759D3BC2B05184E031_12</vt:lpwstr>
  </property>
</Properties>
</file>