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eastAsia="方正小标宋简体"/>
          <w:sz w:val="72"/>
          <w:szCs w:val="72"/>
        </w:rPr>
      </w:pPr>
      <w:bookmarkStart w:id="0" w:name="_Toc15306267"/>
      <w:bookmarkStart w:id="1" w:name="_Toc15378441"/>
      <w:bookmarkStart w:id="2" w:name="_Toc15377425"/>
      <w:bookmarkStart w:id="3" w:name="_Toc15377193"/>
      <w:bookmarkStart w:id="4" w:name="_Toc15396597"/>
      <w:bookmarkStart w:id="5" w:name="_Toc15396475"/>
    </w:p>
    <w:p>
      <w:pPr>
        <w:spacing w:line="600" w:lineRule="exact"/>
        <w:jc w:val="center"/>
        <w:outlineLvl w:val="0"/>
        <w:rPr>
          <w:rFonts w:eastAsia="方正小标宋简体"/>
          <w:sz w:val="72"/>
          <w:szCs w:val="72"/>
        </w:rPr>
      </w:pPr>
    </w:p>
    <w:p>
      <w:pPr>
        <w:spacing w:line="600" w:lineRule="exact"/>
        <w:jc w:val="center"/>
        <w:outlineLvl w:val="0"/>
        <w:rPr>
          <w:rFonts w:eastAsia="方正小标宋简体"/>
          <w:sz w:val="72"/>
          <w:szCs w:val="72"/>
        </w:rPr>
      </w:pPr>
    </w:p>
    <w:p>
      <w:pPr>
        <w:spacing w:line="600" w:lineRule="exact"/>
        <w:jc w:val="center"/>
        <w:outlineLvl w:val="0"/>
        <w:rPr>
          <w:rFonts w:eastAsia="方正小标宋简体"/>
          <w:sz w:val="72"/>
          <w:szCs w:val="72"/>
        </w:rPr>
      </w:pPr>
    </w:p>
    <w:bookmarkEnd w:id="0"/>
    <w:bookmarkEnd w:id="1"/>
    <w:bookmarkEnd w:id="2"/>
    <w:bookmarkEnd w:id="3"/>
    <w:bookmarkEnd w:id="4"/>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2022年度</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06268"/>
      <w:bookmarkStart w:id="8" w:name="_Toc15396476"/>
      <w:bookmarkStart w:id="9" w:name="_Toc15377194"/>
      <w:bookmarkStart w:id="10" w:name="_Toc15396598"/>
      <w:bookmarkStart w:id="11" w:name="_Toc15378442"/>
      <w:r>
        <w:rPr>
          <w:rFonts w:hint="eastAsia" w:ascii="方正小标宋简体" w:hAnsi="方正小标宋简体" w:eastAsia="方正小标宋简体" w:cs="方正小标宋简体"/>
          <w:sz w:val="72"/>
          <w:szCs w:val="72"/>
        </w:rPr>
        <w:t xml:space="preserve"> 中共盐边县委办公室</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p>
    <w:p>
      <w:pPr>
        <w:pStyle w:val="2"/>
        <w:spacing w:before="93"/>
        <w:rPr>
          <w:rFonts w:ascii="Times New Roman"/>
        </w:rPr>
      </w:pPr>
    </w:p>
    <w:p>
      <w:pPr>
        <w:pStyle w:val="2"/>
        <w:spacing w:before="93"/>
        <w:rPr>
          <w:rFonts w:ascii="Times New Roman"/>
          <w:color w:val="993300"/>
        </w:rPr>
      </w:pPr>
    </w:p>
    <w:p>
      <w:pPr>
        <w:widowControl/>
        <w:jc w:val="center"/>
        <w:rPr>
          <w:rFonts w:hint="eastAsia" w:ascii="方正小标宋_GBK" w:hAnsi="方正小标宋_GBK" w:eastAsia="方正小标宋_GBK" w:cs="方正小标宋_GBK"/>
          <w:sz w:val="38"/>
          <w:szCs w:val="38"/>
        </w:rPr>
      </w:pPr>
      <w:r>
        <w:rPr>
          <w:rFonts w:eastAsia="方正小标宋简体"/>
          <w:sz w:val="36"/>
          <w:szCs w:val="36"/>
        </w:rPr>
        <w:br w:type="page"/>
      </w:r>
      <w:r>
        <w:rPr>
          <w:rFonts w:hint="eastAsia" w:ascii="方正小标宋_GBK" w:hAnsi="方正小标宋_GBK" w:eastAsia="方正小标宋_GBK" w:cs="方正小标宋_GBK"/>
          <w:sz w:val="38"/>
          <w:szCs w:val="38"/>
        </w:rPr>
        <w:t>目录</w:t>
      </w:r>
    </w:p>
    <w:p>
      <w:pPr>
        <w:widowControl/>
        <w:jc w:val="center"/>
        <w:rPr>
          <w:rFonts w:ascii="黑体" w:hAnsi="黑体" w:eastAsia="黑体" w:cstheme="minorBidi"/>
          <w:sz w:val="28"/>
          <w:szCs w:val="28"/>
        </w:rPr>
      </w:pPr>
    </w:p>
    <w:p>
      <w:pPr>
        <w:pStyle w:val="12"/>
        <w:rPr>
          <w:rFonts w:hint="eastAsia" w:ascii="方正仿宋_GBK" w:hAnsi="方正仿宋_GBK" w:eastAsia="方正仿宋_GBK" w:cs="方正仿宋_GBK"/>
          <w:sz w:val="33"/>
          <w:szCs w:val="33"/>
        </w:rPr>
      </w:pPr>
      <w:r>
        <w:rPr>
          <w:rFonts w:hint="eastAsia" w:ascii="方正仿宋_GBK" w:hAnsi="方正仿宋_GBK" w:eastAsia="方正仿宋_GBK" w:cs="方正仿宋_GBK"/>
          <w:sz w:val="33"/>
          <w:szCs w:val="33"/>
        </w:rPr>
        <w:t>公开时间：2023年10月26日</w:t>
      </w:r>
    </w:p>
    <w:p/>
    <w:p>
      <w:pPr>
        <w:pStyle w:val="2"/>
      </w:pPr>
    </w:p>
    <w:p>
      <w:pPr>
        <w:pStyle w:val="12"/>
        <w:bidi w:val="0"/>
        <w:jc w:val="both"/>
        <w:rPr>
          <w:rFonts w:hint="eastAsia" w:ascii="方正小标宋简体" w:hAnsi="方正小标宋简体" w:eastAsia="方正小标宋简体" w:cs="方正小标宋简体"/>
          <w:sz w:val="24"/>
          <w:szCs w:val="24"/>
        </w:rPr>
      </w:pPr>
      <w:r>
        <w:rPr>
          <w:rFonts w:hint="eastAsia" w:ascii="方正黑体_GBK" w:hAnsi="方正黑体_GBK" w:eastAsia="方正黑体_GBK" w:cs="方正黑体_GBK"/>
          <w:kern w:val="2"/>
          <w:sz w:val="22"/>
          <w:szCs w:val="22"/>
          <w:lang w:val="en-US" w:eastAsia="zh-CN" w:bidi="ar-SA"/>
        </w:rPr>
        <w:t>第一部分单位概况</w:t>
      </w:r>
      <w:r>
        <w:rPr>
          <w:rFonts w:hint="eastAsia" w:ascii="方正仿宋_GBK" w:hAnsi="方正仿宋_GBK" w:eastAsia="方正仿宋_GBK" w:cs="方正仿宋_GBK"/>
          <w:sz w:val="22"/>
          <w:szCs w:val="22"/>
          <w:u w:val="none"/>
          <w:lang w:eastAsia="zh-CN"/>
        </w:rPr>
        <w:tab/>
      </w:r>
      <w:r>
        <w:rPr>
          <w:rFonts w:hint="eastAsia" w:ascii="方正仿宋_GBK" w:hAnsi="方正仿宋_GBK" w:eastAsia="方正仿宋_GBK" w:cs="方正仿宋_GBK"/>
          <w:sz w:val="22"/>
          <w:szCs w:val="22"/>
          <w:lang w:val="en-US" w:eastAsia="zh-CN"/>
        </w:rPr>
        <w:t xml:space="preserve">     </w:t>
      </w:r>
      <w:r>
        <w:rPr>
          <w:rFonts w:hint="eastAsia" w:ascii="方正黑体_GBK" w:hAnsi="方正黑体_GBK" w:eastAsia="方正黑体_GBK" w:cs="方正黑体_GBK"/>
          <w:sz w:val="22"/>
          <w:szCs w:val="22"/>
          <w:lang w:val="en-US" w:eastAsia="zh-CN"/>
        </w:rPr>
        <w:t xml:space="preserve">1 </w:t>
      </w:r>
      <w:r>
        <w:rPr>
          <w:rFonts w:hint="eastAsia" w:ascii="方正仿宋_GBK" w:hAnsi="方正仿宋_GBK" w:eastAsia="方正仿宋_GBK" w:cs="方正仿宋_GBK"/>
          <w:sz w:val="22"/>
          <w:szCs w:val="22"/>
          <w:lang w:val="en-US" w:eastAsia="zh-CN"/>
        </w:rPr>
        <w:t xml:space="preserve">    </w:t>
      </w:r>
      <w:r>
        <w:rPr>
          <w:rFonts w:hint="eastAsia" w:ascii="方正小标宋简体" w:hAnsi="方正小标宋简体" w:eastAsia="方正小标宋简体" w:cs="方正小标宋简体"/>
          <w:sz w:val="24"/>
          <w:szCs w:val="24"/>
          <w:lang w:val="en-US" w:eastAsia="zh-CN"/>
        </w:rPr>
        <w:t xml:space="preserve">                                                  </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一、主要职责</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7</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二、机构设置</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8</w:t>
      </w:r>
    </w:p>
    <w:p>
      <w:pPr>
        <w:pStyle w:val="13"/>
        <w:bidi w:val="0"/>
        <w:ind w:left="0" w:leftChars="0" w:right="0" w:rightChars="0" w:firstLine="0" w:firstLineChars="0"/>
        <w:rPr>
          <w:rFonts w:hint="eastAsia" w:ascii="方正黑体_GBK" w:hAnsi="方正黑体_GBK" w:eastAsia="方正黑体_GBK" w:cs="方正黑体_GBK"/>
          <w:sz w:val="22"/>
          <w:szCs w:val="22"/>
          <w:lang w:val="en-US" w:eastAsia="zh-CN"/>
        </w:rPr>
      </w:pPr>
      <w:r>
        <w:rPr>
          <w:rFonts w:hint="eastAsia" w:ascii="方正黑体_GBK" w:hAnsi="方正黑体_GBK" w:eastAsia="方正黑体_GBK" w:cs="方正黑体_GBK"/>
          <w:kern w:val="2"/>
          <w:sz w:val="22"/>
          <w:szCs w:val="22"/>
          <w:lang w:val="en-US" w:eastAsia="zh-CN" w:bidi="ar-SA"/>
        </w:rPr>
        <w:t xml:space="preserve">第二部分 2022年度单位决算情况说明 </w:t>
      </w:r>
      <w:r>
        <w:rPr>
          <w:rFonts w:hint="eastAsia" w:ascii="方正仿宋_GBK" w:hAnsi="方正仿宋_GBK" w:eastAsia="方正仿宋_GBK" w:cs="方正仿宋_GBK"/>
          <w:sz w:val="22"/>
          <w:szCs w:val="22"/>
          <w:u w:val="none"/>
          <w:lang w:eastAsia="zh-CN"/>
        </w:rPr>
        <w:tab/>
      </w:r>
      <w:r>
        <w:rPr>
          <w:rFonts w:hint="eastAsia" w:ascii="方正黑体_GBK" w:hAnsi="方正黑体_GBK" w:eastAsia="方正黑体_GBK" w:cs="方正黑体_GBK"/>
          <w:sz w:val="22"/>
          <w:szCs w:val="22"/>
          <w:lang w:val="en-US" w:eastAsia="zh-CN"/>
        </w:rPr>
        <w:t xml:space="preserve">  9    </w:t>
      </w:r>
      <w:r>
        <w:rPr>
          <w:rFonts w:hint="eastAsia" w:ascii="方正小标宋简体" w:hAnsi="方正小标宋简体" w:eastAsia="方正小标宋简体" w:cs="方正小标宋简体"/>
          <w:sz w:val="24"/>
          <w:szCs w:val="24"/>
          <w:lang w:val="en-US" w:eastAsia="zh-CN"/>
        </w:rPr>
        <w:t xml:space="preserve"> </w:t>
      </w:r>
      <w:r>
        <w:rPr>
          <w:rFonts w:hint="eastAsia" w:ascii="方正黑体_GBK" w:hAnsi="方正黑体_GBK" w:eastAsia="方正黑体_GBK" w:cs="方正黑体_GBK"/>
          <w:sz w:val="22"/>
          <w:szCs w:val="22"/>
          <w:lang w:val="en-US" w:eastAsia="zh-CN"/>
        </w:rPr>
        <w:t xml:space="preserve">                          </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一、收入支出决算总体情况说明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10</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二、收入决算情况说明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10</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三、支出决算情况说明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11</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四、财政拨款收入支出决算总体情况说明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12</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五、一般公共预算财政拨款支出决算情况说明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16</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六、一般公共预算财政拨款基本支出决算情况说明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16</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七、财政拨款“三公”经费支出决算情况说明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18</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八、政府性基金预算支出决算情况说明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18</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九、国有资本经营预算支出决算情况说明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18</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十、其他重要事项的情况说明</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20</w:t>
      </w:r>
    </w:p>
    <w:p>
      <w:pPr>
        <w:pStyle w:val="12"/>
        <w:adjustRightInd w:val="0"/>
        <w:snapToGrid w:val="0"/>
        <w:spacing w:before="0" w:line="440" w:lineRule="exact"/>
        <w:jc w:val="left"/>
        <w:rPr>
          <w:rFonts w:hint="eastAsia" w:ascii="方正黑体_GBK" w:hAnsi="方正黑体_GBK" w:eastAsia="方正黑体_GBK" w:cs="方正黑体_GBK"/>
          <w:kern w:val="2"/>
          <w:sz w:val="22"/>
          <w:szCs w:val="22"/>
          <w:lang w:val="en-US" w:eastAsia="zh-CN" w:bidi="ar-SA"/>
        </w:rPr>
      </w:pPr>
      <w:r>
        <w:rPr>
          <w:rFonts w:hint="eastAsia" w:ascii="方正黑体_GBK" w:hAnsi="方正黑体_GBK" w:eastAsia="方正黑体_GBK" w:cs="方正黑体_GBK"/>
          <w:kern w:val="2"/>
          <w:sz w:val="22"/>
          <w:szCs w:val="22"/>
          <w:lang w:val="en-US" w:eastAsia="zh-CN" w:bidi="ar-SA"/>
        </w:rPr>
        <w:t>第三部分名词解释</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24 </w:t>
      </w:r>
      <w:r>
        <w:rPr>
          <w:rFonts w:hint="eastAsia" w:ascii="方正仿宋_GBK" w:hAnsi="方正仿宋_GBK" w:eastAsia="方正仿宋_GBK" w:cs="方正仿宋_GBK"/>
          <w:sz w:val="22"/>
          <w:szCs w:val="22"/>
          <w:u w:val="none"/>
          <w:lang w:eastAsia="zh-CN"/>
        </w:rPr>
        <w:tab/>
      </w:r>
      <w:r>
        <w:rPr>
          <w:rFonts w:hint="eastAsia" w:ascii="方正仿宋_GBK" w:hAnsi="方正仿宋_GBK" w:eastAsia="方正仿宋_GBK" w:cs="方正仿宋_GBK"/>
          <w:sz w:val="22"/>
          <w:szCs w:val="22"/>
          <w:lang w:val="en-US" w:eastAsia="zh-CN"/>
        </w:rPr>
        <w:t xml:space="preserve">                                               </w:t>
      </w:r>
      <w:r>
        <w:rPr>
          <w:rFonts w:hint="eastAsia" w:ascii="方正黑体_GBK" w:hAnsi="方正黑体_GBK" w:eastAsia="方正黑体_GBK" w:cs="方正黑体_GBK"/>
          <w:kern w:val="2"/>
          <w:sz w:val="22"/>
          <w:szCs w:val="22"/>
          <w:lang w:val="en-US" w:eastAsia="zh-CN" w:bidi="ar-SA"/>
        </w:rPr>
        <w:t xml:space="preserve">  </w:t>
      </w:r>
    </w:p>
    <w:p>
      <w:pPr>
        <w:pStyle w:val="12"/>
        <w:adjustRightInd w:val="0"/>
        <w:snapToGrid w:val="0"/>
        <w:spacing w:before="0" w:line="440" w:lineRule="exact"/>
        <w:jc w:val="left"/>
        <w:rPr>
          <w:rFonts w:hint="eastAsia"/>
          <w:lang w:val="en-US" w:eastAsia="zh-CN"/>
        </w:rPr>
      </w:pPr>
      <w:r>
        <w:rPr>
          <w:rFonts w:hint="eastAsia" w:ascii="方正黑体_GBK" w:hAnsi="方正黑体_GBK" w:eastAsia="方正黑体_GBK" w:cs="方正黑体_GBK"/>
          <w:kern w:val="2"/>
          <w:sz w:val="22"/>
          <w:szCs w:val="22"/>
          <w:lang w:val="en-US" w:eastAsia="zh-CN" w:bidi="ar-SA"/>
        </w:rPr>
        <w:t>第四部分附件</w:t>
      </w:r>
      <w:r>
        <w:rPr>
          <w:rFonts w:hint="eastAsia" w:ascii="方正仿宋_GBK" w:hAnsi="方正仿宋_GBK" w:eastAsia="方正仿宋_GBK" w:cs="方正仿宋_GBK"/>
          <w:sz w:val="22"/>
          <w:szCs w:val="22"/>
          <w:lang w:val="en-US" w:eastAsia="zh-CN"/>
        </w:rPr>
        <w:t xml:space="preserve"> </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38       </w:t>
      </w:r>
    </w:p>
    <w:p>
      <w:pPr>
        <w:bidi w:val="0"/>
        <w:jc w:val="center"/>
        <w:rPr>
          <w:rFonts w:hint="eastAsia"/>
          <w:lang w:val="en-US" w:eastAsia="zh-CN"/>
        </w:rPr>
      </w:pPr>
      <w:r>
        <w:rPr>
          <w:rFonts w:hint="eastAsia" w:ascii="方正仿宋_GBK" w:hAnsi="方正仿宋_GBK" w:eastAsia="方正仿宋_GBK" w:cs="方正仿宋_GBK"/>
          <w:sz w:val="22"/>
          <w:szCs w:val="22"/>
          <w:lang w:val="en-US" w:eastAsia="zh-CN"/>
        </w:rPr>
        <w:t xml:space="preserve"> </w:t>
      </w:r>
    </w:p>
    <w:p>
      <w:pPr>
        <w:pStyle w:val="12"/>
        <w:tabs>
          <w:tab w:val="right" w:pos="8820"/>
          <w:tab w:val="clear" w:pos="8296"/>
        </w:tabs>
        <w:adjustRightInd w:val="0"/>
        <w:snapToGrid w:val="0"/>
        <w:spacing w:before="0" w:line="440" w:lineRule="exact"/>
        <w:ind w:firstLine="220" w:firstLineChars="100"/>
        <w:jc w:val="left"/>
        <w:rPr>
          <w:rFonts w:hint="eastAsia" w:ascii="方正黑体_GBK" w:hAnsi="方正黑体_GBK" w:eastAsia="方正黑体_GBK" w:cs="方正黑体_GBK"/>
          <w:kern w:val="2"/>
          <w:sz w:val="22"/>
          <w:szCs w:val="22"/>
          <w:lang w:val="en-US" w:eastAsia="zh-CN" w:bidi="ar-SA"/>
        </w:rPr>
      </w:pPr>
      <w:r>
        <w:rPr>
          <w:rFonts w:hint="eastAsia" w:ascii="方正黑体_GBK" w:hAnsi="方正黑体_GBK" w:eastAsia="方正黑体_GBK" w:cs="方正黑体_GBK"/>
          <w:kern w:val="2"/>
          <w:sz w:val="22"/>
          <w:szCs w:val="22"/>
          <w:lang w:val="en-US" w:eastAsia="zh-CN" w:bidi="ar-SA"/>
        </w:rPr>
        <w:t>第五部分附表 --------------------------------------------------39</w:t>
      </w:r>
      <w:r>
        <w:rPr>
          <w:rFonts w:hint="eastAsia" w:ascii="方正黑体_GBK" w:hAnsi="方正黑体_GBK" w:eastAsia="方正黑体_GBK" w:cs="方正黑体_GBK"/>
          <w:kern w:val="2"/>
          <w:sz w:val="22"/>
          <w:szCs w:val="22"/>
          <w:lang w:val="en-US" w:eastAsia="zh-CN" w:bidi="ar-SA"/>
        </w:rPr>
        <w:tab/>
      </w:r>
      <w:r>
        <w:rPr>
          <w:rFonts w:hint="eastAsia" w:ascii="方正仿宋_GBK" w:hAnsi="方正仿宋_GBK" w:eastAsia="方正仿宋_GBK" w:cs="方正仿宋_GBK"/>
          <w:sz w:val="22"/>
          <w:szCs w:val="22"/>
          <w:lang w:eastAsia="zh-CN"/>
        </w:rPr>
        <w:tab/>
      </w:r>
      <w:r>
        <w:rPr>
          <w:rFonts w:hint="eastAsia" w:ascii="方正黑体_GBK" w:hAnsi="方正黑体_GBK" w:eastAsia="方正黑体_GBK" w:cs="方正黑体_GBK"/>
          <w:kern w:val="2"/>
          <w:sz w:val="22"/>
          <w:szCs w:val="22"/>
          <w:lang w:val="en-US" w:eastAsia="zh-CN" w:bidi="ar-SA"/>
        </w:rPr>
        <w:t xml:space="preserve"> </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eastAsia="zh-CN"/>
        </w:rPr>
        <w:tab/>
      </w:r>
      <w:r>
        <w:rPr>
          <w:rFonts w:hint="eastAsia" w:ascii="方正黑体_GBK" w:hAnsi="方正黑体_GBK" w:eastAsia="方正黑体_GBK" w:cs="方正黑体_GBK"/>
          <w:kern w:val="2"/>
          <w:sz w:val="22"/>
          <w:szCs w:val="22"/>
          <w:lang w:val="en-US" w:eastAsia="zh-CN" w:bidi="ar-SA"/>
        </w:rPr>
        <w:t xml:space="preserve">   </w:t>
      </w:r>
      <w:r>
        <w:rPr>
          <w:rFonts w:hint="eastAsia" w:ascii="方正仿宋_GBK" w:hAnsi="方正仿宋_GBK" w:eastAsia="方正仿宋_GBK" w:cs="方正仿宋_GBK"/>
          <w:sz w:val="22"/>
          <w:szCs w:val="22"/>
          <w:lang w:val="en-US" w:eastAsia="zh-CN"/>
        </w:rPr>
        <w:t xml:space="preserve">    </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w:t>
      </w:r>
      <w:r>
        <w:rPr>
          <w:rFonts w:hint="eastAsia" w:ascii="方正黑体_GBK" w:hAnsi="方正黑体_GBK" w:eastAsia="方正黑体_GBK" w:cs="方正黑体_GBK"/>
          <w:kern w:val="2"/>
          <w:sz w:val="22"/>
          <w:szCs w:val="22"/>
          <w:lang w:val="en-US" w:eastAsia="zh-CN" w:bidi="ar-SA"/>
        </w:rPr>
        <w:t xml:space="preserve">   39</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一、收入支出决算总表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39 </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二、收入决算表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40    </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三、支出决算表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41</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四、财政拨款收入支出决算总表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42</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五、财政拨款支出决算明细表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43</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六、一般公共预算财政拨款支出决算表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44</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七、一般公共预算财政拨款支出决算明细表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45  </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w:t>
      </w:r>
    </w:p>
    <w:p>
      <w:pPr>
        <w:pStyle w:val="13"/>
        <w:bidi w:val="0"/>
        <w:rPr>
          <w:rFonts w:hint="default"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八、一般公共预算财政拨款基本支出决算明细表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49</w:t>
      </w:r>
    </w:p>
    <w:p>
      <w:pPr>
        <w:pStyle w:val="13"/>
        <w:bidi w:val="0"/>
        <w:rPr>
          <w:rFonts w:hint="default"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九、一般公共预算财政拨款项目支出决算表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50</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十、政府性基金预算财政拨款收入支出决算表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51</w:t>
      </w:r>
      <w:r>
        <w:rPr>
          <w:rFonts w:hint="eastAsia" w:ascii="方正仿宋_GBK" w:hAnsi="方正仿宋_GBK" w:eastAsia="方正仿宋_GBK" w:cs="方正仿宋_GBK"/>
          <w:sz w:val="22"/>
          <w:szCs w:val="22"/>
          <w:lang w:val="en-US" w:eastAsia="zh-CN"/>
        </w:rPr>
        <w:tab/>
      </w:r>
    </w:p>
    <w:p>
      <w:pPr>
        <w:pStyle w:val="13"/>
        <w:bidi w:val="0"/>
        <w:rPr>
          <w:rFonts w:hint="default"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十一、国有资本经营预算财政拨款收入支出决算表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51</w:t>
      </w:r>
    </w:p>
    <w:p>
      <w:pPr>
        <w:pStyle w:val="13"/>
        <w:bidi w:val="0"/>
        <w:rPr>
          <w:rFonts w:hint="default"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十二、国有资本经营预算财政拨款支出决算表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52</w:t>
      </w:r>
    </w:p>
    <w:p>
      <w:pPr>
        <w:pStyle w:val="13"/>
        <w:bidi w:val="0"/>
        <w:rPr>
          <w:rFonts w:hint="eastAsia" w:ascii="方正仿宋_GBK" w:hAnsi="方正仿宋_GBK" w:eastAsia="方正仿宋_GBK" w:cs="方正仿宋_GBK"/>
          <w:sz w:val="22"/>
          <w:szCs w:val="22"/>
          <w:lang w:val="en-US" w:eastAsia="zh-CN"/>
        </w:rPr>
      </w:pPr>
      <w:r>
        <w:rPr>
          <w:rFonts w:hint="eastAsia" w:ascii="方正仿宋_GBK" w:hAnsi="方正仿宋_GBK" w:eastAsia="方正仿宋_GBK" w:cs="方正仿宋_GBK"/>
          <w:sz w:val="22"/>
          <w:szCs w:val="22"/>
        </w:rPr>
        <w:t>十三、财政拨款“三公”经费支出决算表</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52  </w:t>
      </w:r>
      <w:r>
        <w:rPr>
          <w:rFonts w:hint="eastAsia" w:ascii="方正仿宋_GBK" w:hAnsi="方正仿宋_GBK" w:eastAsia="方正仿宋_GBK" w:cs="方正仿宋_GBK"/>
          <w:sz w:val="22"/>
          <w:szCs w:val="22"/>
          <w:lang w:eastAsia="zh-CN"/>
        </w:rPr>
        <w:tab/>
      </w:r>
      <w:r>
        <w:rPr>
          <w:rFonts w:hint="eastAsia" w:ascii="方正仿宋_GBK" w:hAnsi="方正仿宋_GBK" w:eastAsia="方正仿宋_GBK" w:cs="方正仿宋_GBK"/>
          <w:sz w:val="22"/>
          <w:szCs w:val="22"/>
          <w:lang w:val="en-US" w:eastAsia="zh-CN"/>
        </w:rPr>
        <w:t xml:space="preserve">                             </w:t>
      </w:r>
    </w:p>
    <w:p>
      <w:pPr>
        <w:widowControl/>
        <w:spacing w:line="440" w:lineRule="exact"/>
        <w:jc w:val="center"/>
        <w:rPr>
          <w:rFonts w:hint="eastAsia" w:ascii="方正小标宋_GBK" w:hAnsi="方正小标宋_GBK" w:eastAsia="方正小标宋_GBK" w:cs="方正小标宋_GBK"/>
          <w:b/>
          <w:bCs/>
          <w:sz w:val="38"/>
          <w:szCs w:val="38"/>
          <w:lang w:val="en-US" w:eastAsia="zh-CN"/>
        </w:rPr>
      </w:pPr>
      <w:bookmarkStart w:id="12" w:name="_Toc15377196"/>
      <w:bookmarkStart w:id="13" w:name="_Toc15396599"/>
      <w:r>
        <w:rPr>
          <w:rFonts w:hint="eastAsia" w:ascii="方正小标宋_GBK" w:hAnsi="方正小标宋_GBK" w:eastAsia="方正小标宋_GBK" w:cs="方正小标宋_GBK"/>
          <w:b/>
          <w:bCs/>
          <w:sz w:val="38"/>
          <w:szCs w:val="38"/>
          <w:lang w:val="en-US" w:eastAsia="zh-CN"/>
        </w:rPr>
        <w:t xml:space="preserve"> </w:t>
      </w:r>
    </w:p>
    <w:p>
      <w:pPr>
        <w:widowControl/>
        <w:spacing w:line="440" w:lineRule="exact"/>
        <w:jc w:val="center"/>
        <w:rPr>
          <w:rFonts w:hint="eastAsia" w:ascii="方正小标宋_GBK" w:hAnsi="方正小标宋_GBK" w:eastAsia="方正小标宋_GBK" w:cs="方正小标宋_GBK"/>
          <w:b/>
          <w:bCs/>
          <w:sz w:val="38"/>
          <w:szCs w:val="38"/>
          <w:lang w:val="en-US" w:eastAsia="zh-CN"/>
        </w:rPr>
      </w:pPr>
    </w:p>
    <w:p>
      <w:pPr>
        <w:widowControl/>
        <w:spacing w:line="440" w:lineRule="exact"/>
        <w:jc w:val="center"/>
        <w:rPr>
          <w:rFonts w:hint="eastAsia" w:ascii="方正小标宋_GBK" w:hAnsi="方正小标宋_GBK" w:eastAsia="方正小标宋_GBK" w:cs="方正小标宋_GBK"/>
          <w:b/>
          <w:bCs/>
          <w:sz w:val="38"/>
          <w:szCs w:val="38"/>
          <w:lang w:val="en-US" w:eastAsia="zh-CN"/>
        </w:rPr>
      </w:pPr>
    </w:p>
    <w:p>
      <w:pPr>
        <w:widowControl/>
        <w:spacing w:line="440" w:lineRule="exact"/>
        <w:jc w:val="center"/>
        <w:rPr>
          <w:rFonts w:hint="eastAsia" w:ascii="方正小标宋_GBK" w:hAnsi="方正小标宋_GBK" w:eastAsia="方正小标宋_GBK" w:cs="方正小标宋_GBK"/>
          <w:b/>
          <w:bCs/>
          <w:sz w:val="38"/>
          <w:szCs w:val="38"/>
          <w:lang w:val="en-US" w:eastAsia="zh-CN"/>
        </w:rPr>
      </w:pPr>
    </w:p>
    <w:p>
      <w:pPr>
        <w:widowControl/>
        <w:spacing w:line="440" w:lineRule="exact"/>
        <w:jc w:val="center"/>
        <w:rPr>
          <w:rFonts w:hint="eastAsia" w:ascii="方正小标宋_GBK" w:hAnsi="方正小标宋_GBK" w:eastAsia="方正小标宋_GBK" w:cs="方正小标宋_GBK"/>
          <w:b/>
          <w:bCs/>
          <w:sz w:val="38"/>
          <w:szCs w:val="38"/>
          <w:lang w:val="en-US" w:eastAsia="zh-CN"/>
        </w:rPr>
      </w:pPr>
    </w:p>
    <w:p>
      <w:pPr>
        <w:widowControl/>
        <w:spacing w:line="440" w:lineRule="exact"/>
        <w:jc w:val="center"/>
        <w:rPr>
          <w:rFonts w:hint="eastAsia" w:ascii="方正小标宋_GBK" w:hAnsi="方正小标宋_GBK" w:eastAsia="方正小标宋_GBK" w:cs="方正小标宋_GBK"/>
          <w:b/>
          <w:bCs/>
          <w:sz w:val="38"/>
          <w:szCs w:val="38"/>
          <w:lang w:val="en-US" w:eastAsia="zh-CN"/>
        </w:rPr>
      </w:pPr>
    </w:p>
    <w:p>
      <w:pPr>
        <w:widowControl/>
        <w:spacing w:line="440" w:lineRule="exact"/>
        <w:jc w:val="center"/>
        <w:rPr>
          <w:rFonts w:hint="eastAsia" w:ascii="方正小标宋_GBK" w:hAnsi="方正小标宋_GBK" w:eastAsia="方正小标宋_GBK" w:cs="方正小标宋_GBK"/>
          <w:b/>
          <w:bCs/>
          <w:sz w:val="38"/>
          <w:szCs w:val="38"/>
          <w:lang w:val="en-US" w:eastAsia="zh-CN"/>
        </w:rPr>
      </w:pPr>
    </w:p>
    <w:p>
      <w:pPr>
        <w:widowControl/>
        <w:spacing w:line="440" w:lineRule="exact"/>
        <w:jc w:val="both"/>
        <w:rPr>
          <w:rFonts w:hint="eastAsia" w:ascii="方正小标宋_GBK" w:hAnsi="方正小标宋_GBK" w:eastAsia="方正小标宋_GBK" w:cs="方正小标宋_GBK"/>
          <w:b/>
          <w:bCs/>
          <w:sz w:val="38"/>
          <w:szCs w:val="38"/>
          <w:lang w:val="en-US" w:eastAsia="zh-CN"/>
        </w:rPr>
      </w:pPr>
    </w:p>
    <w:p>
      <w:pPr>
        <w:widowControl/>
        <w:spacing w:line="440" w:lineRule="exact"/>
        <w:jc w:val="center"/>
        <w:rPr>
          <w:rFonts w:hint="eastAsia" w:ascii="方正小标宋_GBK" w:hAnsi="方正小标宋_GBK" w:eastAsia="方正小标宋_GBK" w:cs="方正小标宋_GBK"/>
          <w:b/>
          <w:bCs/>
          <w:sz w:val="38"/>
          <w:szCs w:val="38"/>
          <w:lang w:val="en-US" w:eastAsia="zh-CN"/>
        </w:rPr>
        <w:sectPr>
          <w:footerReference r:id="rId5" w:type="first"/>
          <w:headerReference r:id="rId3" w:type="default"/>
          <w:footerReference r:id="rId4" w:type="default"/>
          <w:pgSz w:w="11906" w:h="16838"/>
          <w:pgMar w:top="2098" w:right="1498" w:bottom="1984" w:left="1588" w:header="851" w:footer="992" w:gutter="0"/>
          <w:pgNumType w:fmt="decimal" w:start="1"/>
          <w:cols w:space="425" w:num="1"/>
          <w:titlePg/>
          <w:docGrid w:type="lines" w:linePitch="312" w:charSpace="0"/>
        </w:sectPr>
      </w:pPr>
    </w:p>
    <w:p>
      <w:pPr>
        <w:pStyle w:val="2"/>
        <w:rPr>
          <w:rFonts w:hint="eastAsia"/>
          <w:lang w:val="en-US" w:eastAsia="zh-CN"/>
        </w:rPr>
      </w:pPr>
    </w:p>
    <w:p>
      <w:pPr>
        <w:widowControl/>
        <w:spacing w:line="440" w:lineRule="exact"/>
        <w:jc w:val="center"/>
        <w:rPr>
          <w:rFonts w:ascii="方正小标宋_GBK" w:hAnsi="方正小标宋_GBK" w:eastAsia="方正小标宋_GBK" w:cs="方正小标宋_GBK"/>
          <w:b/>
          <w:bCs/>
          <w:sz w:val="38"/>
          <w:szCs w:val="38"/>
        </w:rPr>
      </w:pPr>
      <w:r>
        <w:rPr>
          <w:rFonts w:ascii="方正小标宋_GBK" w:hAnsi="方正小标宋_GBK" w:eastAsia="方正小标宋_GBK" w:cs="方正小标宋_GBK"/>
          <w:b/>
          <w:bCs/>
          <w:sz w:val="38"/>
          <w:szCs w:val="38"/>
        </w:rPr>
        <w:t>第一部分 部门概况</w:t>
      </w:r>
      <w:bookmarkEnd w:id="12"/>
      <w:bookmarkEnd w:id="13"/>
    </w:p>
    <w:p>
      <w:pPr>
        <w:pStyle w:val="13"/>
        <w:adjustRightInd w:val="0"/>
        <w:snapToGrid w:val="0"/>
        <w:ind w:left="0" w:leftChars="0" w:firstLine="640" w:firstLineChars="200"/>
        <w:jc w:val="left"/>
        <w:rPr>
          <w:rFonts w:eastAsia="黑体"/>
          <w:sz w:val="32"/>
          <w:szCs w:val="32"/>
        </w:rPr>
      </w:pPr>
    </w:p>
    <w:p>
      <w:pPr>
        <w:ind w:firstLine="660" w:firstLineChars="200"/>
        <w:rPr>
          <w:rStyle w:val="34"/>
          <w:rFonts w:ascii="Times New Roman" w:hAnsi="Times New Roman" w:eastAsia="方正黑体_GBK" w:cs="Times New Roman"/>
          <w:b w:val="0"/>
          <w:bCs w:val="0"/>
          <w:sz w:val="33"/>
          <w:szCs w:val="33"/>
        </w:rPr>
      </w:pPr>
      <w:bookmarkStart w:id="14" w:name="_Toc15396600"/>
      <w:bookmarkStart w:id="15" w:name="_Toc15377197"/>
      <w:r>
        <w:rPr>
          <w:rStyle w:val="34"/>
          <w:rFonts w:ascii="Times New Roman" w:hAnsi="Times New Roman" w:eastAsia="方正黑体_GBK" w:cs="Times New Roman"/>
          <w:b w:val="0"/>
          <w:bCs w:val="0"/>
          <w:sz w:val="33"/>
          <w:szCs w:val="33"/>
        </w:rPr>
        <w:t>一、</w:t>
      </w:r>
      <w:bookmarkEnd w:id="14"/>
      <w:bookmarkEnd w:id="15"/>
      <w:r>
        <w:rPr>
          <w:rStyle w:val="34"/>
          <w:rFonts w:hint="eastAsia" w:eastAsia="方正黑体_GBK" w:cs="Times New Roman"/>
          <w:b w:val="0"/>
          <w:bCs w:val="0"/>
          <w:sz w:val="33"/>
          <w:szCs w:val="33"/>
        </w:rPr>
        <w:t>主要职责</w:t>
      </w:r>
    </w:p>
    <w:p>
      <w:pPr>
        <w:pStyle w:val="2"/>
        <w:adjustRightInd w:val="0"/>
        <w:snapToGrid w:val="0"/>
        <w:spacing w:beforeLines="0"/>
        <w:ind w:firstLine="696" w:firstLineChars="210"/>
        <w:outlineLvl w:val="2"/>
        <w:rPr>
          <w:rFonts w:ascii="Times New Roman" w:eastAsia="方正楷体_GBK"/>
          <w:b/>
          <w:sz w:val="33"/>
          <w:szCs w:val="33"/>
        </w:rPr>
      </w:pPr>
      <w:bookmarkStart w:id="16" w:name="_Toc15377198"/>
      <w:bookmarkStart w:id="17" w:name="_Toc15378445"/>
      <w:r>
        <w:rPr>
          <w:rFonts w:ascii="Times New Roman" w:eastAsia="方正楷体_GBK"/>
          <w:b/>
          <w:sz w:val="33"/>
          <w:szCs w:val="33"/>
        </w:rPr>
        <w:t>（一）主要职能</w:t>
      </w:r>
    </w:p>
    <w:p>
      <w:pPr>
        <w:ind w:firstLine="660" w:firstLineChars="200"/>
        <w:rPr>
          <w:rFonts w:eastAsia="方正仿宋_GBK"/>
          <w:sz w:val="33"/>
          <w:szCs w:val="33"/>
        </w:rPr>
      </w:pPr>
      <w:r>
        <w:rPr>
          <w:rFonts w:eastAsia="方正仿宋_GBK"/>
          <w:sz w:val="33"/>
          <w:szCs w:val="33"/>
        </w:rPr>
        <w:t>（1）围绕县委的中心工作，对涉及全县经济建设、深化改革、依法治县、社会稳定、党的建设等全局性重大问题和实践中出现的新情况、新问题开展调查研究，向县委提供具有参考价值的情况、信息和建议，为县委决策服务。</w:t>
      </w:r>
    </w:p>
    <w:p>
      <w:pPr>
        <w:ind w:firstLine="660" w:firstLineChars="200"/>
        <w:rPr>
          <w:rFonts w:eastAsia="方正仿宋_GBK"/>
          <w:sz w:val="33"/>
          <w:szCs w:val="33"/>
        </w:rPr>
      </w:pPr>
      <w:r>
        <w:rPr>
          <w:rFonts w:eastAsia="方正仿宋_GBK"/>
          <w:sz w:val="33"/>
          <w:szCs w:val="33"/>
        </w:rPr>
        <w:t>（2）对党的路线方针政策和省委、市委、县委的重要决策、重大部署以及领导同志的重要批示、批件贯彻落实情况进行督促检查。</w:t>
      </w:r>
    </w:p>
    <w:p>
      <w:pPr>
        <w:ind w:firstLine="660" w:firstLineChars="200"/>
        <w:rPr>
          <w:rFonts w:eastAsia="方正仿宋_GBK"/>
          <w:sz w:val="33"/>
          <w:szCs w:val="33"/>
        </w:rPr>
      </w:pPr>
      <w:r>
        <w:rPr>
          <w:rFonts w:eastAsia="方正仿宋_GBK"/>
          <w:sz w:val="33"/>
          <w:szCs w:val="33"/>
        </w:rPr>
        <w:t>（3）负责起草、复核以县委、县委办公室名义发布的文件和各种会议材料，处理县委往来文件、电报、信函，承办各乡（镇）、各部门（单位）向县委的请示报告，做好文件和材料的印制、分发、清退、归档工作。</w:t>
      </w:r>
    </w:p>
    <w:p>
      <w:pPr>
        <w:ind w:firstLine="660" w:firstLineChars="200"/>
        <w:rPr>
          <w:rFonts w:eastAsia="方正仿宋_GBK"/>
          <w:sz w:val="33"/>
          <w:szCs w:val="33"/>
        </w:rPr>
      </w:pPr>
      <w:r>
        <w:rPr>
          <w:rFonts w:eastAsia="方正仿宋_GBK"/>
          <w:sz w:val="33"/>
          <w:szCs w:val="33"/>
        </w:rPr>
        <w:t>（4）负责县委召开的各种会议的筹备、组织和会务工作，做好县委领导参加的各种会议的督促落实工作，协助县委领导组织实施会议决定事项。</w:t>
      </w:r>
    </w:p>
    <w:p>
      <w:pPr>
        <w:ind w:firstLine="660" w:firstLineChars="200"/>
        <w:rPr>
          <w:rFonts w:eastAsia="方正仿宋_GBK"/>
          <w:sz w:val="33"/>
          <w:szCs w:val="33"/>
        </w:rPr>
      </w:pPr>
      <w:r>
        <w:rPr>
          <w:rFonts w:eastAsia="方正仿宋_GBK"/>
          <w:sz w:val="33"/>
          <w:szCs w:val="33"/>
        </w:rPr>
        <w:t>（5）认真做好会议、县委领导活动、公文处理和其他重要事项等综合协调工作，围绕县委处置突发性事件搞好服务，保证县委各项工作的顺利进行。</w:t>
      </w:r>
    </w:p>
    <w:p>
      <w:pPr>
        <w:ind w:firstLine="660" w:firstLineChars="200"/>
        <w:rPr>
          <w:rFonts w:eastAsia="方正仿宋_GBK"/>
          <w:sz w:val="33"/>
          <w:szCs w:val="33"/>
        </w:rPr>
      </w:pPr>
      <w:r>
        <w:rPr>
          <w:rFonts w:eastAsia="方正仿宋_GBK"/>
          <w:sz w:val="33"/>
          <w:szCs w:val="33"/>
        </w:rPr>
        <w:t>（6）及时、准确、全面地向县委及上级党委办公室报送信息，反映工作动态。</w:t>
      </w:r>
    </w:p>
    <w:p>
      <w:pPr>
        <w:ind w:firstLine="660" w:firstLineChars="200"/>
        <w:rPr>
          <w:rFonts w:eastAsia="方正仿宋_GBK"/>
          <w:sz w:val="33"/>
          <w:szCs w:val="33"/>
        </w:rPr>
      </w:pPr>
      <w:r>
        <w:rPr>
          <w:rFonts w:eastAsia="方正仿宋_GBK"/>
          <w:sz w:val="33"/>
          <w:szCs w:val="33"/>
        </w:rPr>
        <w:t>（7）负责全县党政系统的密码通信和密码管理工作，承担县密码领导小组办公室工作。</w:t>
      </w:r>
    </w:p>
    <w:p>
      <w:pPr>
        <w:ind w:firstLine="660" w:firstLineChars="200"/>
        <w:rPr>
          <w:rFonts w:eastAsia="方正仿宋_GBK"/>
          <w:sz w:val="33"/>
          <w:szCs w:val="33"/>
        </w:rPr>
      </w:pPr>
      <w:r>
        <w:rPr>
          <w:rFonts w:eastAsia="方正仿宋_GBK"/>
          <w:sz w:val="33"/>
          <w:szCs w:val="33"/>
        </w:rPr>
        <w:t>（8）负责人民群众来信来访工作，协调处理有关信访事项，提出有关解决信访事项的意见和建议。</w:t>
      </w:r>
    </w:p>
    <w:p>
      <w:pPr>
        <w:ind w:firstLine="660" w:firstLineChars="200"/>
        <w:rPr>
          <w:rFonts w:eastAsia="方正仿宋_GBK"/>
          <w:sz w:val="33"/>
          <w:szCs w:val="33"/>
        </w:rPr>
      </w:pPr>
      <w:r>
        <w:rPr>
          <w:rFonts w:eastAsia="方正仿宋_GBK"/>
          <w:sz w:val="33"/>
          <w:szCs w:val="33"/>
        </w:rPr>
        <w:t>（9）负责全县保密工作的规划、宣传教育、指导协调、监督管理和泄密事件查处工作，管理县委保密委员会办公室。</w:t>
      </w:r>
    </w:p>
    <w:p>
      <w:pPr>
        <w:ind w:firstLine="660" w:firstLineChars="200"/>
        <w:rPr>
          <w:rFonts w:eastAsia="方正仿宋_GBK"/>
          <w:sz w:val="33"/>
          <w:szCs w:val="33"/>
        </w:rPr>
      </w:pPr>
      <w:r>
        <w:rPr>
          <w:rFonts w:eastAsia="方正仿宋_GBK"/>
          <w:sz w:val="33"/>
          <w:szCs w:val="33"/>
        </w:rPr>
        <w:t>（10）负责县委机关行政后勤事务、财产管理、绿化美化、环境卫生、安全保卫工作，组织协调省、市重要来客的接待服务工作。</w:t>
      </w:r>
    </w:p>
    <w:p>
      <w:pPr>
        <w:ind w:firstLine="660" w:firstLineChars="200"/>
        <w:rPr>
          <w:rFonts w:eastAsia="方正仿宋_GBK"/>
          <w:sz w:val="33"/>
          <w:szCs w:val="33"/>
        </w:rPr>
      </w:pPr>
      <w:r>
        <w:rPr>
          <w:rFonts w:eastAsia="方正仿宋_GBK"/>
          <w:sz w:val="33"/>
          <w:szCs w:val="33"/>
        </w:rPr>
        <w:t>（11）对各乡（镇）党委办公室、县委各部门办公室进行业务指导。</w:t>
      </w:r>
    </w:p>
    <w:p>
      <w:pPr>
        <w:ind w:firstLine="660" w:firstLineChars="200"/>
        <w:rPr>
          <w:rFonts w:eastAsia="方正仿宋_GBK"/>
          <w:sz w:val="33"/>
          <w:szCs w:val="33"/>
        </w:rPr>
      </w:pPr>
      <w:r>
        <w:rPr>
          <w:rFonts w:eastAsia="方正仿宋_GBK"/>
          <w:sz w:val="33"/>
          <w:szCs w:val="33"/>
        </w:rPr>
        <w:t>（12）办理县委领导交办的其他工作事项。</w:t>
      </w:r>
    </w:p>
    <w:bookmarkEnd w:id="16"/>
    <w:bookmarkEnd w:id="17"/>
    <w:p>
      <w:pPr>
        <w:pStyle w:val="2"/>
        <w:adjustRightInd w:val="0"/>
        <w:snapToGrid w:val="0"/>
        <w:spacing w:beforeLines="0"/>
        <w:ind w:firstLine="696" w:firstLineChars="210"/>
        <w:outlineLvl w:val="2"/>
        <w:rPr>
          <w:rFonts w:ascii="Times New Roman" w:eastAsia="方正楷体_GBK"/>
          <w:b/>
          <w:sz w:val="33"/>
          <w:szCs w:val="33"/>
        </w:rPr>
      </w:pPr>
      <w:bookmarkStart w:id="18" w:name="_Toc15378446"/>
      <w:bookmarkStart w:id="19" w:name="_Toc15377199"/>
      <w:r>
        <w:rPr>
          <w:rFonts w:ascii="Times New Roman" w:eastAsia="方正楷体_GBK"/>
          <w:b/>
          <w:sz w:val="33"/>
          <w:szCs w:val="33"/>
        </w:rPr>
        <w:t>（二）</w:t>
      </w:r>
      <w:r>
        <w:rPr>
          <w:rFonts w:hint="eastAsia" w:ascii="Times New Roman" w:eastAsia="方正楷体_GBK"/>
          <w:b/>
          <w:sz w:val="33"/>
          <w:szCs w:val="33"/>
        </w:rPr>
        <w:t>2022</w:t>
      </w:r>
      <w:r>
        <w:rPr>
          <w:rFonts w:ascii="Times New Roman" w:eastAsia="方正楷体_GBK"/>
          <w:b/>
          <w:sz w:val="33"/>
          <w:szCs w:val="33"/>
        </w:rPr>
        <w:t>年重点工作完成情况</w:t>
      </w:r>
      <w:bookmarkEnd w:id="18"/>
      <w:bookmarkEnd w:id="19"/>
    </w:p>
    <w:p>
      <w:pPr>
        <w:ind w:firstLine="663" w:firstLineChars="200"/>
        <w:rPr>
          <w:rFonts w:ascii="Times New Roman" w:hAnsi="Times New Roman" w:eastAsia="方正仿宋_GBK" w:cs="Times New Roman"/>
          <w:sz w:val="33"/>
          <w:szCs w:val="33"/>
        </w:rPr>
      </w:pPr>
      <w:bookmarkStart w:id="20" w:name="_Toc15377200"/>
      <w:bookmarkStart w:id="21" w:name="_Toc15396601"/>
      <w:r>
        <w:rPr>
          <w:rFonts w:hint="eastAsia" w:ascii="方正仿宋_GBK" w:hAnsi="方正仿宋_GBK" w:eastAsia="方正仿宋_GBK" w:cs="方正仿宋_GBK"/>
          <w:b/>
          <w:sz w:val="33"/>
          <w:szCs w:val="33"/>
          <w:lang w:val="en-US" w:eastAsia="zh-CN"/>
        </w:rPr>
        <w:t>1.</w:t>
      </w:r>
      <w:r>
        <w:rPr>
          <w:rFonts w:hint="eastAsia" w:ascii="方正仿宋_GBK" w:hAnsi="方正仿宋_GBK" w:eastAsia="方正仿宋_GBK" w:cs="方正仿宋_GBK"/>
          <w:b/>
          <w:sz w:val="33"/>
          <w:szCs w:val="33"/>
        </w:rPr>
        <w:t>狠抓自身建设，推动工作规范化、制度化</w:t>
      </w:r>
      <w:r>
        <w:rPr>
          <w:rFonts w:hint="eastAsia" w:ascii="方正仿宋_GBK" w:hAnsi="方正仿宋_GBK" w:eastAsia="方正仿宋_GBK" w:cs="方正仿宋_GBK"/>
          <w:b/>
          <w:sz w:val="33"/>
          <w:szCs w:val="33"/>
          <w:lang w:eastAsia="zh-CN"/>
        </w:rPr>
        <w:t>。</w:t>
      </w:r>
      <w:r>
        <w:rPr>
          <w:rFonts w:ascii="Times New Roman" w:hAnsi="Times New Roman" w:eastAsia="方正仿宋_GBK" w:cs="Times New Roman"/>
          <w:sz w:val="33"/>
          <w:szCs w:val="33"/>
        </w:rPr>
        <w:t>始终把学习作为提高素质、搞好服务的重要前提，采取有效措施，</w:t>
      </w:r>
      <w:r>
        <w:rPr>
          <w:rFonts w:hint="eastAsia" w:eastAsia="方正仿宋_GBK" w:cs="Times New Roman"/>
          <w:sz w:val="33"/>
          <w:szCs w:val="33"/>
          <w:lang w:eastAsia="zh-CN"/>
        </w:rPr>
        <w:t>常</w:t>
      </w:r>
      <w:r>
        <w:rPr>
          <w:rFonts w:ascii="Times New Roman" w:hAnsi="Times New Roman" w:eastAsia="方正仿宋_GBK" w:cs="Times New Roman"/>
          <w:sz w:val="33"/>
          <w:szCs w:val="33"/>
        </w:rPr>
        <w:t>抓不懈。推进党史学习教育常态化制度化，根据办公室实际，以集中学习、专题讲座、交流研讨等方式，全年开展集中学习活动38场次，通过组织干部职工认真学习党章党规党纪党史、习近平新时代中国特色社会主义思想、党的二十大精神和中央省市县委各项决策部署，使办公室干部职工“四个意识”进一步增强，政策业务水平、组织协调能力和守纪律讲规矩的意识不断得到提升。</w:t>
      </w:r>
    </w:p>
    <w:p>
      <w:pPr>
        <w:ind w:firstLine="663" w:firstLineChars="200"/>
        <w:rPr>
          <w:rFonts w:ascii="Times New Roman" w:hAnsi="Times New Roman" w:eastAsia="方正仿宋_GBK" w:cs="Times New Roman"/>
          <w:sz w:val="33"/>
          <w:szCs w:val="33"/>
        </w:rPr>
      </w:pPr>
      <w:r>
        <w:rPr>
          <w:rFonts w:hint="eastAsia" w:ascii="方正仿宋_GBK" w:hAnsi="方正仿宋_GBK" w:eastAsia="方正仿宋_GBK" w:cs="方正仿宋_GBK"/>
          <w:b/>
          <w:sz w:val="33"/>
          <w:szCs w:val="33"/>
          <w:lang w:val="en-US" w:eastAsia="zh-CN"/>
        </w:rPr>
        <w:t>2.建章立制，促进各项工作规范运行。</w:t>
      </w:r>
      <w:r>
        <w:rPr>
          <w:rFonts w:ascii="Times New Roman" w:hAnsi="Times New Roman" w:eastAsia="方正仿宋_GBK" w:cs="Times New Roman"/>
          <w:sz w:val="33"/>
          <w:szCs w:val="33"/>
        </w:rPr>
        <w:t>在总结办公室工作规律和经验教训的基础上，通过认真讨论，进一步明确、细化班子成员工作职责和分工，认真落实集体领导与分工负责制，充分调动班子成员的主观能动性，做到了责任到人、各负其责，互相补台不拆台、职责到位不越位，大事讲原则、小事讲风格，在班子内部营造了风正气顺、心齐劲一、团结和谐的良好氛围。进一步细化办文办会、调查研究、机要保密、后勤接待等工作程序，较好地解决了职责交叉、分工不清、都管不好的问题，并严格抓好各项制度落实，减少了工作疏漏，工作节奏不断加快，服务质量进一步提升。</w:t>
      </w:r>
    </w:p>
    <w:p>
      <w:pPr>
        <w:ind w:firstLine="663" w:firstLineChars="200"/>
        <w:rPr>
          <w:rFonts w:ascii="Times New Roman" w:hAnsi="Times New Roman" w:eastAsia="方正仿宋_GBK" w:cs="Times New Roman"/>
          <w:sz w:val="33"/>
          <w:szCs w:val="33"/>
        </w:rPr>
      </w:pPr>
      <w:r>
        <w:rPr>
          <w:rFonts w:hint="eastAsia" w:ascii="方正仿宋_GBK" w:hAnsi="方正仿宋_GBK" w:eastAsia="方正仿宋_GBK" w:cs="方正仿宋_GBK"/>
          <w:b/>
          <w:sz w:val="33"/>
          <w:szCs w:val="33"/>
          <w:lang w:val="en-US" w:eastAsia="zh-CN"/>
        </w:rPr>
        <w:t>3.</w:t>
      </w:r>
      <w:r>
        <w:rPr>
          <w:rFonts w:hint="eastAsia" w:ascii="方正仿宋_GBK" w:hAnsi="方正仿宋_GBK" w:eastAsia="方正仿宋_GBK" w:cs="方正仿宋_GBK"/>
          <w:b/>
          <w:sz w:val="33"/>
          <w:szCs w:val="33"/>
        </w:rPr>
        <w:t>抓干部培养，营造创业育人的工作氛围。</w:t>
      </w:r>
      <w:r>
        <w:rPr>
          <w:rFonts w:ascii="Times New Roman" w:hAnsi="Times New Roman" w:eastAsia="方正仿宋_GBK" w:cs="Times New Roman"/>
          <w:sz w:val="33"/>
          <w:szCs w:val="33"/>
        </w:rPr>
        <w:t>加大年轻干部培养，主动给他们出题目、压担子，提高其在工作中挑大梁、独</w:t>
      </w:r>
      <w:r>
        <w:rPr>
          <w:rFonts w:hint="eastAsia" w:eastAsia="方正仿宋_GBK" w:cs="Times New Roman"/>
          <w:sz w:val="33"/>
          <w:szCs w:val="33"/>
          <w:lang w:eastAsia="zh-CN"/>
        </w:rPr>
        <w:t>当</w:t>
      </w:r>
      <w:bookmarkStart w:id="70" w:name="_GoBack"/>
      <w:bookmarkEnd w:id="70"/>
      <w:r>
        <w:rPr>
          <w:rFonts w:ascii="Times New Roman" w:hAnsi="Times New Roman" w:eastAsia="方正仿宋_GBK" w:cs="Times New Roman"/>
          <w:sz w:val="33"/>
          <w:szCs w:val="33"/>
        </w:rPr>
        <w:t>一面的能力。新考录了9名优秀年轻同志，从其他单位抽调了10名骨干同志。积极向组织部门推荐条件成熟的干部，争取早日走上领导岗位，年内有</w:t>
      </w:r>
      <w:r>
        <w:rPr>
          <w:rFonts w:hint="eastAsia" w:ascii="Times New Roman" w:hAnsi="Times New Roman" w:eastAsia="方正仿宋_GBK" w:cs="Times New Roman"/>
          <w:sz w:val="33"/>
          <w:szCs w:val="33"/>
        </w:rPr>
        <w:t>16</w:t>
      </w:r>
      <w:r>
        <w:rPr>
          <w:rFonts w:ascii="Times New Roman" w:hAnsi="Times New Roman" w:eastAsia="方正仿宋_GBK" w:cs="Times New Roman"/>
          <w:sz w:val="33"/>
          <w:szCs w:val="33"/>
        </w:rPr>
        <w:t>名干部得到提拔使用。同时，通过各种途径关心干部职工工作生活，努力做到用事业留人、靠感情留心，进一步凝聚了人心，调动了干部职工的积极性，形成了不计名利、任劳任怨、奋发向上、争创一流的浓厚氛围，树立了党委办公机关的良好形象。</w:t>
      </w:r>
    </w:p>
    <w:p>
      <w:pPr>
        <w:ind w:firstLine="663" w:firstLineChars="200"/>
        <w:rPr>
          <w:rFonts w:hint="eastAsia" w:ascii="方正楷体_GBK" w:hAnsi="方正楷体_GBK" w:eastAsia="方正楷体_GBK" w:cs="方正楷体_GBK"/>
          <w:b/>
          <w:bCs/>
          <w:sz w:val="33"/>
          <w:szCs w:val="33"/>
        </w:rPr>
      </w:pPr>
      <w:r>
        <w:rPr>
          <w:rFonts w:hint="eastAsia" w:ascii="方正楷体_GBK" w:hAnsi="方正楷体_GBK" w:eastAsia="方正楷体_GBK" w:cs="方正楷体_GBK"/>
          <w:b/>
          <w:bCs/>
          <w:sz w:val="33"/>
          <w:szCs w:val="33"/>
          <w:lang w:eastAsia="zh-CN"/>
        </w:rPr>
        <w:t>（</w:t>
      </w:r>
      <w:r>
        <w:rPr>
          <w:rFonts w:hint="eastAsia" w:ascii="方正楷体_GBK" w:hAnsi="方正楷体_GBK" w:eastAsia="方正楷体_GBK" w:cs="方正楷体_GBK"/>
          <w:b/>
          <w:bCs/>
          <w:sz w:val="33"/>
          <w:szCs w:val="33"/>
          <w:lang w:val="en-US" w:eastAsia="zh-CN"/>
        </w:rPr>
        <w:t>三</w:t>
      </w:r>
      <w:r>
        <w:rPr>
          <w:rFonts w:hint="eastAsia" w:ascii="方正楷体_GBK" w:hAnsi="方正楷体_GBK" w:eastAsia="方正楷体_GBK" w:cs="方正楷体_GBK"/>
          <w:b/>
          <w:bCs/>
          <w:sz w:val="33"/>
          <w:szCs w:val="33"/>
          <w:lang w:eastAsia="zh-CN"/>
        </w:rPr>
        <w:t>）</w:t>
      </w:r>
      <w:r>
        <w:rPr>
          <w:rFonts w:hint="eastAsia" w:ascii="方正楷体_GBK" w:hAnsi="方正楷体_GBK" w:eastAsia="方正楷体_GBK" w:cs="方正楷体_GBK"/>
          <w:b/>
          <w:bCs/>
          <w:sz w:val="33"/>
          <w:szCs w:val="33"/>
        </w:rPr>
        <w:t>当好参谋助手,服务水平得到不断提升</w:t>
      </w:r>
    </w:p>
    <w:p>
      <w:pPr>
        <w:ind w:firstLine="663" w:firstLineChars="200"/>
        <w:rPr>
          <w:rFonts w:ascii="Times New Roman" w:hAnsi="Times New Roman" w:eastAsia="方正仿宋_GBK" w:cs="Times New Roman"/>
          <w:sz w:val="33"/>
          <w:szCs w:val="33"/>
        </w:rPr>
      </w:pPr>
      <w:r>
        <w:rPr>
          <w:rFonts w:hint="eastAsia" w:ascii="方正仿宋_GBK" w:hAnsi="方正仿宋_GBK" w:eastAsia="方正仿宋_GBK" w:cs="方正仿宋_GBK"/>
          <w:b/>
          <w:sz w:val="33"/>
          <w:szCs w:val="33"/>
          <w:lang w:val="en-US" w:eastAsia="zh-CN"/>
        </w:rPr>
        <w:t>1.抓好以文辅政工作。</w:t>
      </w:r>
      <w:r>
        <w:rPr>
          <w:rFonts w:ascii="Times New Roman" w:hAnsi="Times New Roman" w:eastAsia="方正仿宋_GBK" w:cs="Times New Roman"/>
          <w:sz w:val="33"/>
          <w:szCs w:val="33"/>
        </w:rPr>
        <w:t> 始终把以文辅政作为首要工作职责，强化“精品”意识，主动站位县委高度和大局，紧贴领导思想和意图，注重质量与实效，高质量起草文稿，高标准办理文件，做好文字起草制发工作。全年共</w:t>
      </w:r>
      <w:r>
        <w:rPr>
          <w:rFonts w:ascii="Times New Roman" w:hAnsi="Times New Roman" w:eastAsia="方正仿宋_GBK" w:cs="Times New Roman"/>
          <w:spacing w:val="-4"/>
          <w:sz w:val="33"/>
          <w:szCs w:val="33"/>
        </w:rPr>
        <w:t>发出《办公室通报》4期，制发文件149份，传达领导批示精神958次，开展党内规范性文件审查3件，制发规范性文件7份，向市委办公室备案7份。</w:t>
      </w:r>
    </w:p>
    <w:p>
      <w:pPr>
        <w:ind w:firstLine="663" w:firstLineChars="200"/>
        <w:rPr>
          <w:rFonts w:ascii="Times New Roman" w:hAnsi="Times New Roman" w:eastAsia="方正仿宋_GBK" w:cs="Times New Roman"/>
          <w:sz w:val="33"/>
          <w:szCs w:val="33"/>
        </w:rPr>
      </w:pPr>
      <w:r>
        <w:rPr>
          <w:rFonts w:hint="eastAsia" w:ascii="方正仿宋_GBK" w:hAnsi="方正仿宋_GBK" w:eastAsia="方正仿宋_GBK" w:cs="方正仿宋_GBK"/>
          <w:b/>
          <w:sz w:val="33"/>
          <w:szCs w:val="33"/>
          <w:lang w:val="en-US" w:eastAsia="zh-CN"/>
        </w:rPr>
        <w:t>2.抓好信息服务工作。</w:t>
      </w:r>
      <w:r>
        <w:rPr>
          <w:rFonts w:ascii="Times New Roman" w:hAnsi="Times New Roman" w:eastAsia="方正仿宋_GBK" w:cs="Times New Roman"/>
          <w:sz w:val="33"/>
          <w:szCs w:val="33"/>
        </w:rPr>
        <w:t>充分发挥党委信息主渠道作用，坚持贯彻落实办公室全员抓信息工作制度，积极构建省、市、县三级信息报送互通机制，紧贴县委中心工作，围绕热点、难点问题，积极报送苗头性、倾向性、预测性信息和经验类、综合性信息，努力为党委决策提供全方位、多领域、多角度的信息服务。年内向市委办报送党委信息和简讯406条、信息专报6篇，被省委办公厅《每日要情》采用单篇信息1条，被市委《每日要情》采用信息和简讯102条，均完成了目标任务。按时保质完成市委办信息室约稿163期，印发《盐边要情》49期。</w:t>
      </w:r>
    </w:p>
    <w:p>
      <w:pPr>
        <w:ind w:firstLine="663" w:firstLineChars="200"/>
        <w:rPr>
          <w:rFonts w:ascii="Times New Roman" w:hAnsi="Times New Roman" w:eastAsia="方正仿宋_GBK" w:cs="Times New Roman"/>
          <w:sz w:val="33"/>
          <w:szCs w:val="33"/>
        </w:rPr>
      </w:pPr>
      <w:r>
        <w:rPr>
          <w:rFonts w:hint="eastAsia" w:ascii="方正仿宋_GBK" w:hAnsi="方正仿宋_GBK" w:eastAsia="方正仿宋_GBK" w:cs="方正仿宋_GBK"/>
          <w:b/>
          <w:sz w:val="33"/>
          <w:szCs w:val="33"/>
          <w:lang w:val="en-US" w:eastAsia="zh-CN"/>
        </w:rPr>
        <w:t>3. 抓好综合协调工作。</w:t>
      </w:r>
      <w:r>
        <w:rPr>
          <w:rFonts w:ascii="Times New Roman" w:hAnsi="Times New Roman" w:eastAsia="方正仿宋_GBK" w:cs="Times New Roman"/>
          <w:sz w:val="33"/>
          <w:szCs w:val="33"/>
        </w:rPr>
        <w:t>充分发挥办公室协调效能，照应各方关切，配置各方资源，调动各方力量，抓统筹、重协作，保障全县重要会议、重要活动、重要接待的统筹安排、有效对接和圆满完成，确保四套班子和各有关方面步调一致地开展工作。今年以来，先后筹办各类大中型会议活动等152余场次，确保了重大会议活动的顺利进行。</w:t>
      </w:r>
    </w:p>
    <w:p>
      <w:pPr>
        <w:ind w:firstLine="653" w:firstLineChars="197"/>
        <w:rPr>
          <w:rFonts w:ascii="Times New Roman" w:hAnsi="Times New Roman" w:eastAsia="方正仿宋_GBK" w:cs="Times New Roman"/>
          <w:sz w:val="33"/>
          <w:szCs w:val="33"/>
        </w:rPr>
      </w:pPr>
      <w:r>
        <w:rPr>
          <w:rFonts w:hint="eastAsia" w:ascii="方正仿宋_GBK" w:hAnsi="方正仿宋_GBK" w:eastAsia="方正仿宋_GBK" w:cs="方正仿宋_GBK"/>
          <w:b/>
          <w:sz w:val="33"/>
          <w:szCs w:val="33"/>
          <w:lang w:val="en-US" w:eastAsia="zh-CN"/>
        </w:rPr>
        <w:t>4.抓好重点任务的督办落实。</w:t>
      </w:r>
      <w:r>
        <w:rPr>
          <w:rFonts w:ascii="Times New Roman" w:hAnsi="Times New Roman" w:eastAsia="方正仿宋_GBK" w:cs="Times New Roman"/>
          <w:sz w:val="33"/>
          <w:szCs w:val="33"/>
        </w:rPr>
        <w:t>制定市县委常委会议研究事项落实机制，对市县委常委会确定的事项，以下发督办通知等形式及时跟进落实，落实情况在县委常委会上进行通报。对市、县委部署的重点工作，及时分解落实，及时掌握推进情况，及时汇总报告，确保了市县委各项决策部署的有效落实。全年召开县委全面深化改革会议3次，上会审议专项改革方案9个。报送改革月报12篇、改革动态信息12篇，被市级采用3篇，省级采用1篇。</w:t>
      </w:r>
    </w:p>
    <w:p>
      <w:pPr>
        <w:ind w:firstLine="663" w:firstLineChars="200"/>
        <w:rPr>
          <w:rFonts w:ascii="Times New Roman" w:hAnsi="Times New Roman" w:eastAsia="方正仿宋_GBK" w:cs="Times New Roman"/>
          <w:sz w:val="33"/>
          <w:szCs w:val="33"/>
        </w:rPr>
      </w:pPr>
      <w:r>
        <w:rPr>
          <w:rFonts w:hint="eastAsia" w:ascii="方正仿宋_GBK" w:hAnsi="方正仿宋_GBK" w:eastAsia="方正仿宋_GBK" w:cs="方正仿宋_GBK"/>
          <w:b/>
          <w:sz w:val="33"/>
          <w:szCs w:val="33"/>
          <w:lang w:val="en-US" w:eastAsia="zh-CN"/>
        </w:rPr>
        <w:t>5.抓好后勤保障工作。</w:t>
      </w:r>
      <w:r>
        <w:rPr>
          <w:rFonts w:ascii="Times New Roman" w:hAnsi="Times New Roman" w:eastAsia="方正仿宋_GBK" w:cs="Times New Roman"/>
          <w:sz w:val="33"/>
          <w:szCs w:val="33"/>
        </w:rPr>
        <w:t>按照“厉行节约、量财办事、保障有力”的要求，严格执行财务预算和公用经费定额标准及管理办法，进一步加强财务、固定资产管理，合理安排预算开支，切实加强后勤保障工作。认真执行公务接待管理办法和会议审批及会议经费管理办法，抓好公务接待“公函派单”以及会议分级审批工作，年内无超标准接待等问题发生。</w:t>
      </w:r>
    </w:p>
    <w:p>
      <w:pPr>
        <w:ind w:firstLine="663" w:firstLineChars="200"/>
        <w:rPr>
          <w:rFonts w:ascii="Times New Roman" w:hAnsi="Times New Roman" w:eastAsia="方正仿宋_GBK" w:cs="Times New Roman"/>
          <w:sz w:val="33"/>
          <w:szCs w:val="33"/>
        </w:rPr>
      </w:pPr>
      <w:r>
        <w:rPr>
          <w:rFonts w:hint="eastAsia" w:ascii="方正仿宋_GBK" w:hAnsi="方正仿宋_GBK" w:eastAsia="方正仿宋_GBK" w:cs="方正仿宋_GBK"/>
          <w:b/>
          <w:sz w:val="33"/>
          <w:szCs w:val="33"/>
          <w:lang w:val="en-US" w:eastAsia="zh-CN"/>
        </w:rPr>
        <w:t>6.</w:t>
      </w:r>
      <w:r>
        <w:rPr>
          <w:rFonts w:hint="eastAsia" w:ascii="方正仿宋_GBK" w:hAnsi="方正仿宋_GBK" w:eastAsia="方正仿宋_GBK" w:cs="方正仿宋_GBK"/>
          <w:b/>
          <w:sz w:val="33"/>
          <w:szCs w:val="33"/>
        </w:rPr>
        <w:t>统筹推进其他工作。</w:t>
      </w:r>
      <w:r>
        <w:rPr>
          <w:rFonts w:ascii="Times New Roman" w:hAnsi="Times New Roman" w:eastAsia="方正仿宋_GBK" w:cs="Times New Roman"/>
          <w:sz w:val="33"/>
          <w:szCs w:val="33"/>
        </w:rPr>
        <w:t>坚持分工协作、各负其责,统筹抓好国家安全、机要保密、档案、史志等工作。</w:t>
      </w:r>
      <w:r>
        <w:rPr>
          <w:rFonts w:ascii="Times New Roman" w:hAnsi="Times New Roman" w:eastAsia="方正仿宋_GBK" w:cs="Times New Roman"/>
          <w:spacing w:val="-4"/>
          <w:sz w:val="33"/>
          <w:szCs w:val="33"/>
        </w:rPr>
        <w:t>积极组织</w:t>
      </w:r>
      <w:r>
        <w:rPr>
          <w:rFonts w:ascii="Times New Roman" w:hAnsi="Times New Roman" w:eastAsia="方正仿宋_GBK" w:cs="Times New Roman"/>
          <w:sz w:val="33"/>
          <w:szCs w:val="33"/>
        </w:rPr>
        <w:t>“全民国家安全教育日”宣传活动，发放宣传海报1500张，开展全县国家安全工作培训1次。在机要保密工作方面，</w:t>
      </w:r>
      <w:r>
        <w:rPr>
          <w:rFonts w:ascii="Times New Roman" w:hAnsi="Times New Roman" w:eastAsia="方正仿宋_GBK" w:cs="Times New Roman"/>
          <w:spacing w:val="-4"/>
          <w:sz w:val="33"/>
          <w:szCs w:val="33"/>
        </w:rPr>
        <w:t>开展进基层、进机关、进学校等实地保密宣传宣传，组织开展在线网站保密培训，组织保密知识宣讲20余场，发放保密宣传海报1500余张，培训80余人。</w:t>
      </w:r>
      <w:r>
        <w:rPr>
          <w:rFonts w:ascii="Times New Roman" w:hAnsi="Times New Roman" w:eastAsia="方正仿宋_GBK" w:cs="Times New Roman"/>
          <w:sz w:val="33"/>
          <w:szCs w:val="33"/>
        </w:rPr>
        <w:t>坚持全面落实保密管理责任制，执行24小时值班制度，确保了县委与上级党委机关的工作联系、信息畅通和涉密信息的绝对安全。开展以“二滩开发，改变了盐边什么”为主题的档案编研工作，形成《跟着档案走二滩——二滩开发，改变了盐边什么》研究报告，全面、真实、准确地反映出全县人民为支援国家重点建设项目展现的顾全大局、无私奉献的精神。完成《盐边年鉴（2022）》《中国共产党盐边县执政实录》（第十一卷）编撰工作；上报《四川年鉴》《中国共产党攀枝花执政实录》《攀枝花年鉴》共计5万余字的盐边县情资料。同时，机关党务、廉政建设、信访接待、综治维稳、意识形态、精神文明等其他工作与办公室中心工作相互协调、共同促进，也都取得了新成效。</w:t>
      </w:r>
      <w:r>
        <w:rPr>
          <w:rFonts w:ascii="Times New Roman" w:hAnsi="Times New Roman" w:eastAsia="方正黑体_GBK" w:cs="Times New Roman"/>
          <w:sz w:val="33"/>
          <w:szCs w:val="33"/>
        </w:rPr>
        <w:t xml:space="preserve">    </w:t>
      </w:r>
    </w:p>
    <w:p>
      <w:pPr>
        <w:ind w:firstLine="660" w:firstLineChars="200"/>
        <w:rPr>
          <w:rFonts w:hint="eastAsia" w:ascii="方正楷体_GBK" w:hAnsi="方正楷体_GBK" w:eastAsia="方正楷体_GBK" w:cs="方正楷体_GBK"/>
          <w:sz w:val="33"/>
          <w:szCs w:val="33"/>
        </w:rPr>
      </w:pPr>
      <w:r>
        <w:rPr>
          <w:rFonts w:hint="eastAsia" w:ascii="方正楷体_GBK" w:hAnsi="方正楷体_GBK" w:eastAsia="方正楷体_GBK" w:cs="方正楷体_GBK"/>
          <w:sz w:val="33"/>
          <w:szCs w:val="33"/>
          <w:lang w:eastAsia="zh-CN"/>
        </w:rPr>
        <w:t>（</w:t>
      </w:r>
      <w:r>
        <w:rPr>
          <w:rFonts w:hint="eastAsia" w:ascii="方正楷体_GBK" w:hAnsi="方正楷体_GBK" w:eastAsia="方正楷体_GBK" w:cs="方正楷体_GBK"/>
          <w:sz w:val="33"/>
          <w:szCs w:val="33"/>
          <w:lang w:val="en-US" w:eastAsia="zh-CN"/>
        </w:rPr>
        <w:t>三</w:t>
      </w:r>
      <w:r>
        <w:rPr>
          <w:rFonts w:hint="eastAsia" w:ascii="方正楷体_GBK" w:hAnsi="方正楷体_GBK" w:eastAsia="方正楷体_GBK" w:cs="方正楷体_GBK"/>
          <w:sz w:val="33"/>
          <w:szCs w:val="33"/>
          <w:lang w:eastAsia="zh-CN"/>
        </w:rPr>
        <w:t>）</w:t>
      </w:r>
      <w:r>
        <w:rPr>
          <w:rFonts w:hint="eastAsia" w:ascii="方正楷体_GBK" w:hAnsi="方正楷体_GBK" w:eastAsia="方正楷体_GBK" w:cs="方正楷体_GBK"/>
          <w:sz w:val="33"/>
          <w:szCs w:val="33"/>
        </w:rPr>
        <w:t>抓好廉政建设，工作作风得到持续转变</w:t>
      </w:r>
    </w:p>
    <w:p>
      <w:pPr>
        <w:pStyle w:val="2"/>
        <w:tabs>
          <w:tab w:val="left" w:pos="9156"/>
        </w:tabs>
        <w:ind w:firstLine="660" w:firstLineChars="200"/>
        <w:rPr>
          <w:rFonts w:ascii="Times New Roman" w:hAnsi="Times New Roman" w:eastAsia="方正仿宋_GBK"/>
          <w:sz w:val="33"/>
          <w:szCs w:val="33"/>
        </w:rPr>
      </w:pPr>
      <w:r>
        <w:rPr>
          <w:rFonts w:ascii="Times New Roman" w:hAnsi="Times New Roman" w:eastAsia="方正仿宋_GBK"/>
          <w:sz w:val="33"/>
          <w:szCs w:val="33"/>
        </w:rPr>
        <w:t>坚持把党风廉政建设和反腐败工作始终贯穿于办公室各项工作的始终，把党风廉政建设工作细化到分管领导、具体工作人员，明确责任，落实任务，认真落实党风廉政建设主体责任，严格执行党风廉政建设。深化以案促改，组织干部职工观看《滥权“上头”的女镇长》《警钟长鸣》等警示教育片6部，切实筑牢干部职工拒腐防变意识、勤政廉政意识。持续加强作风建设，深入贯彻落实中央八项规定</w:t>
      </w:r>
      <w:r>
        <w:rPr>
          <w:rFonts w:hint="eastAsia" w:ascii="Times New Roman" w:eastAsia="方正仿宋_GBK"/>
          <w:sz w:val="33"/>
          <w:szCs w:val="33"/>
          <w:lang w:eastAsia="zh-CN"/>
        </w:rPr>
        <w:t>精神</w:t>
      </w:r>
      <w:r>
        <w:rPr>
          <w:rFonts w:ascii="Times New Roman" w:hAnsi="Times New Roman" w:eastAsia="方正仿宋_GBK"/>
          <w:sz w:val="33"/>
          <w:szCs w:val="33"/>
        </w:rPr>
        <w:t>，开展反腐倡廉宣传和警示教育，筑牢干部职工思想道德防线，力求使各项纪律规定内化于心、外化于行，确保了单位内部风清气正。</w:t>
      </w:r>
      <w:r>
        <w:rPr>
          <w:rFonts w:hint="eastAsia" w:ascii="Times New Roman" w:hAnsi="Times New Roman" w:eastAsia="方正仿宋_GBK"/>
          <w:sz w:val="33"/>
          <w:szCs w:val="33"/>
        </w:rPr>
        <w:t>全年</w:t>
      </w:r>
      <w:r>
        <w:rPr>
          <w:rFonts w:ascii="Times New Roman" w:hAnsi="Times New Roman" w:eastAsia="方正仿宋_GBK"/>
          <w:bCs/>
          <w:sz w:val="33"/>
          <w:szCs w:val="33"/>
        </w:rPr>
        <w:t>召开室务会研究党风廉政建设工作2次、听取工作汇报2次、集体</w:t>
      </w:r>
      <w:r>
        <w:rPr>
          <w:rFonts w:ascii="Times New Roman" w:hAnsi="Times New Roman" w:eastAsia="方正仿宋_GBK"/>
          <w:color w:val="000000"/>
          <w:sz w:val="33"/>
          <w:szCs w:val="33"/>
        </w:rPr>
        <w:t>廉政谈话2次、与班子成员谈心谈话1轮次</w:t>
      </w:r>
      <w:r>
        <w:rPr>
          <w:rFonts w:hint="eastAsia" w:ascii="Times New Roman" w:hAnsi="Times New Roman" w:eastAsia="方正仿宋_GBK"/>
          <w:color w:val="000000"/>
          <w:sz w:val="33"/>
          <w:szCs w:val="33"/>
        </w:rPr>
        <w:t>，</w:t>
      </w:r>
      <w:r>
        <w:rPr>
          <w:rFonts w:ascii="Times New Roman" w:hAnsi="Times New Roman" w:eastAsia="方正仿宋_GBK"/>
          <w:sz w:val="33"/>
          <w:szCs w:val="33"/>
        </w:rPr>
        <w:t>无违规公款吃喝、发放钱物等现象，干部职工没有违法违纪问题发生。</w:t>
      </w:r>
    </w:p>
    <w:p>
      <w:pPr>
        <w:pStyle w:val="2"/>
        <w:tabs>
          <w:tab w:val="left" w:pos="9156"/>
        </w:tabs>
        <w:ind w:firstLine="660" w:firstLineChars="200"/>
        <w:rPr>
          <w:rFonts w:ascii="方正仿宋_GBK" w:eastAsia="方正仿宋_GBK"/>
          <w:sz w:val="33"/>
          <w:szCs w:val="33"/>
        </w:rPr>
      </w:pPr>
      <w:r>
        <w:rPr>
          <w:rFonts w:ascii="Times New Roman" w:hAnsi="Times New Roman" w:eastAsia="方正仿宋_GBK"/>
          <w:sz w:val="33"/>
          <w:szCs w:val="33"/>
        </w:rPr>
        <w:t>一年来，在全体干部职工的共同努力下，县委办公室各项工作都有了新的进步和起色。但在工作中还存在调查研究不够深入、干部综合素质有待进一步提高、工作落实力度需进一步加强等一些问题和薄弱环节。今后我们将认真学习贯彻党的二十大精神，以习近平新时代中国特色社会主义思想为指引，紧紧围绕县委中心工作，不断总结经验得失，改进方法方式，进一步提高工作质量和服务水平，努力开创工作新局面，为建设“钒钛首县、滋味盐边”做出新的贡献。</w:t>
      </w:r>
    </w:p>
    <w:p>
      <w:pPr>
        <w:ind w:firstLine="660" w:firstLineChars="200"/>
        <w:rPr>
          <w:rStyle w:val="34"/>
          <w:rFonts w:ascii="Times New Roman" w:hAnsi="Times New Roman" w:eastAsia="方正黑体_GBK" w:cs="Times New Roman"/>
          <w:b w:val="0"/>
          <w:bCs w:val="0"/>
          <w:sz w:val="33"/>
          <w:szCs w:val="33"/>
        </w:rPr>
      </w:pPr>
      <w:r>
        <w:rPr>
          <w:rStyle w:val="34"/>
          <w:rFonts w:ascii="Times New Roman" w:hAnsi="Times New Roman" w:eastAsia="方正黑体_GBK" w:cs="Times New Roman"/>
          <w:b w:val="0"/>
          <w:bCs w:val="0"/>
          <w:sz w:val="33"/>
          <w:szCs w:val="33"/>
        </w:rPr>
        <w:t>二、机构设置</w:t>
      </w:r>
      <w:bookmarkEnd w:id="20"/>
      <w:bookmarkEnd w:id="21"/>
    </w:p>
    <w:p>
      <w:pPr>
        <w:ind w:firstLine="660" w:firstLineChars="200"/>
        <w:rPr>
          <w:rFonts w:eastAsia="方正仿宋_GBK"/>
          <w:sz w:val="33"/>
          <w:szCs w:val="33"/>
        </w:rPr>
      </w:pPr>
      <w:r>
        <w:rPr>
          <w:rFonts w:eastAsia="方正仿宋_GBK"/>
          <w:sz w:val="33"/>
          <w:szCs w:val="33"/>
        </w:rPr>
        <w:t>我办为一级行政单位，财务核算和管理包括</w:t>
      </w:r>
      <w:r>
        <w:rPr>
          <w:rFonts w:hint="eastAsia" w:eastAsia="方正仿宋_GBK"/>
          <w:sz w:val="33"/>
          <w:szCs w:val="33"/>
        </w:rPr>
        <w:t>：</w:t>
      </w:r>
      <w:r>
        <w:rPr>
          <w:rFonts w:eastAsia="方正仿宋_GBK"/>
          <w:sz w:val="33"/>
          <w:szCs w:val="33"/>
        </w:rPr>
        <w:t>县委办公室、县绩效管理办、县史志办、县工商联、县团委、县妇联等6个一级部门机构及县目标绩效评估中心、县内网服务中心2个事业单位。县委办内设机构9个</w:t>
      </w:r>
      <w:r>
        <w:rPr>
          <w:rFonts w:hint="eastAsia" w:eastAsia="方正仿宋_GBK"/>
          <w:sz w:val="33"/>
          <w:szCs w:val="33"/>
        </w:rPr>
        <w:t>，</w:t>
      </w:r>
      <w:r>
        <w:rPr>
          <w:rFonts w:eastAsia="方正仿宋_GBK"/>
          <w:sz w:val="33"/>
          <w:szCs w:val="33"/>
        </w:rPr>
        <w:t>为调研室、信息股、政策研究室、综合股、秘书法规股、后勤股、国安股、保密室和机要室等9个股室。组织机构代码为008340018，组织机构信用代码为11510322008340018Y。</w:t>
      </w:r>
    </w:p>
    <w:p>
      <w:pPr>
        <w:ind w:firstLine="660" w:firstLineChars="200"/>
        <w:rPr>
          <w:rFonts w:eastAsia="方正仿宋_GBK"/>
          <w:sz w:val="33"/>
          <w:szCs w:val="33"/>
        </w:rPr>
      </w:pPr>
      <w:r>
        <w:rPr>
          <w:rFonts w:eastAsia="方正仿宋_GBK"/>
          <w:sz w:val="33"/>
          <w:szCs w:val="33"/>
        </w:rPr>
        <w:t>县委办公室及其他7个部门总编制62名，其中</w:t>
      </w:r>
      <w:r>
        <w:rPr>
          <w:rFonts w:hint="eastAsia" w:eastAsia="方正仿宋_GBK"/>
          <w:sz w:val="33"/>
          <w:szCs w:val="33"/>
        </w:rPr>
        <w:t>：</w:t>
      </w:r>
      <w:r>
        <w:rPr>
          <w:rFonts w:eastAsia="方正仿宋_GBK"/>
          <w:sz w:val="33"/>
          <w:szCs w:val="33"/>
        </w:rPr>
        <w:t>行政编制42名</w:t>
      </w:r>
      <w:r>
        <w:rPr>
          <w:rFonts w:hint="eastAsia" w:eastAsia="方正仿宋_GBK"/>
          <w:sz w:val="33"/>
          <w:szCs w:val="33"/>
        </w:rPr>
        <w:t>（</w:t>
      </w:r>
      <w:r>
        <w:rPr>
          <w:rFonts w:eastAsia="方正仿宋_GBK"/>
          <w:sz w:val="33"/>
          <w:szCs w:val="33"/>
        </w:rPr>
        <w:t>其中</w:t>
      </w:r>
      <w:r>
        <w:rPr>
          <w:rFonts w:hint="eastAsia" w:eastAsia="方正仿宋_GBK"/>
          <w:sz w:val="33"/>
          <w:szCs w:val="33"/>
        </w:rPr>
        <w:t>：</w:t>
      </w:r>
      <w:r>
        <w:rPr>
          <w:rFonts w:eastAsia="方正仿宋_GBK"/>
          <w:sz w:val="33"/>
          <w:szCs w:val="33"/>
        </w:rPr>
        <w:t>机关后勤编制7名</w:t>
      </w:r>
      <w:r>
        <w:rPr>
          <w:rFonts w:hint="eastAsia" w:eastAsia="方正仿宋_GBK"/>
          <w:sz w:val="33"/>
          <w:szCs w:val="33"/>
        </w:rPr>
        <w:t>）</w:t>
      </w:r>
      <w:r>
        <w:rPr>
          <w:rFonts w:eastAsia="方正仿宋_GBK"/>
          <w:sz w:val="33"/>
          <w:szCs w:val="33"/>
        </w:rPr>
        <w:t>；事业编制20名</w:t>
      </w:r>
      <w:r>
        <w:rPr>
          <w:rFonts w:hint="eastAsia" w:eastAsia="方正仿宋_GBK"/>
          <w:sz w:val="33"/>
          <w:szCs w:val="33"/>
        </w:rPr>
        <w:t>，</w:t>
      </w:r>
      <w:r>
        <w:rPr>
          <w:rFonts w:eastAsia="方正仿宋_GBK"/>
          <w:sz w:val="33"/>
          <w:szCs w:val="33"/>
        </w:rPr>
        <w:t>截至</w:t>
      </w:r>
      <w:r>
        <w:rPr>
          <w:rFonts w:hint="eastAsia" w:eastAsia="方正仿宋_GBK"/>
          <w:sz w:val="33"/>
          <w:szCs w:val="33"/>
        </w:rPr>
        <w:t>2022</w:t>
      </w:r>
      <w:r>
        <w:rPr>
          <w:rFonts w:eastAsia="方正仿宋_GBK"/>
          <w:sz w:val="33"/>
          <w:szCs w:val="33"/>
        </w:rPr>
        <w:t>年12月底，实际在职在编人员预算</w:t>
      </w:r>
      <w:r>
        <w:rPr>
          <w:rFonts w:hint="eastAsia" w:eastAsia="方正仿宋_GBK"/>
          <w:sz w:val="33"/>
          <w:szCs w:val="33"/>
        </w:rPr>
        <w:t>54</w:t>
      </w:r>
      <w:r>
        <w:rPr>
          <w:rFonts w:eastAsia="方正仿宋_GBK"/>
          <w:sz w:val="33"/>
          <w:szCs w:val="33"/>
        </w:rPr>
        <w:t xml:space="preserve"> 人其中：行政人员 47 人</w:t>
      </w:r>
      <w:r>
        <w:rPr>
          <w:rFonts w:hint="eastAsia" w:eastAsia="方正仿宋_GBK"/>
          <w:sz w:val="33"/>
          <w:szCs w:val="33"/>
        </w:rPr>
        <w:t>（</w:t>
      </w:r>
      <w:r>
        <w:rPr>
          <w:rFonts w:eastAsia="方正仿宋_GBK"/>
          <w:sz w:val="33"/>
          <w:szCs w:val="33"/>
        </w:rPr>
        <w:t>其中机关工勤人员7人</w:t>
      </w:r>
      <w:r>
        <w:rPr>
          <w:rFonts w:hint="eastAsia" w:eastAsia="方正仿宋_GBK"/>
          <w:sz w:val="33"/>
          <w:szCs w:val="33"/>
        </w:rPr>
        <w:t>），事业人员7人，</w:t>
      </w:r>
      <w:r>
        <w:rPr>
          <w:rFonts w:eastAsia="方正仿宋_GBK"/>
          <w:sz w:val="33"/>
          <w:szCs w:val="33"/>
        </w:rPr>
        <w:t>退休人员</w:t>
      </w:r>
      <w:r>
        <w:rPr>
          <w:rFonts w:hint="eastAsia" w:eastAsia="方正仿宋_GBK"/>
          <w:sz w:val="33"/>
          <w:szCs w:val="33"/>
          <w:lang w:val="en-US" w:eastAsia="zh-CN"/>
        </w:rPr>
        <w:t>22</w:t>
      </w:r>
      <w:r>
        <w:rPr>
          <w:rFonts w:eastAsia="方正仿宋_GBK"/>
          <w:sz w:val="33"/>
          <w:szCs w:val="33"/>
        </w:rPr>
        <w:t>人。</w:t>
      </w:r>
    </w:p>
    <w:p>
      <w:pPr>
        <w:pStyle w:val="2"/>
        <w:adjustRightInd w:val="0"/>
        <w:snapToGrid w:val="0"/>
        <w:spacing w:beforeLines="0"/>
        <w:ind w:firstLine="660" w:firstLineChars="200"/>
        <w:rPr>
          <w:rFonts w:ascii="Times New Roman" w:eastAsia="方正仿宋_GBK"/>
          <w:color w:val="000000"/>
          <w:sz w:val="33"/>
          <w:szCs w:val="33"/>
        </w:rPr>
      </w:pPr>
      <w:r>
        <w:rPr>
          <w:rFonts w:ascii="Times New Roman" w:eastAsia="方正仿宋_GBK"/>
          <w:color w:val="000000"/>
          <w:sz w:val="33"/>
          <w:szCs w:val="33"/>
        </w:rPr>
        <w:t>纳入盐边县委办公室</w:t>
      </w:r>
      <w:r>
        <w:rPr>
          <w:rFonts w:hint="eastAsia" w:ascii="Times New Roman" w:eastAsia="方正仿宋_GBK"/>
          <w:color w:val="000000"/>
          <w:sz w:val="33"/>
          <w:szCs w:val="33"/>
        </w:rPr>
        <w:t>2022</w:t>
      </w:r>
      <w:r>
        <w:rPr>
          <w:rFonts w:ascii="Times New Roman" w:eastAsia="方正仿宋_GBK"/>
          <w:color w:val="000000"/>
          <w:sz w:val="33"/>
          <w:szCs w:val="33"/>
        </w:rPr>
        <w:t>年度</w:t>
      </w:r>
      <w:r>
        <w:rPr>
          <w:rFonts w:hint="eastAsia" w:ascii="Times New Roman" w:eastAsia="方正仿宋_GBK"/>
          <w:color w:val="000000"/>
          <w:sz w:val="33"/>
          <w:szCs w:val="33"/>
          <w:lang w:val="en-US" w:eastAsia="zh-CN"/>
        </w:rPr>
        <w:t>单位</w:t>
      </w:r>
      <w:r>
        <w:rPr>
          <w:rFonts w:ascii="Times New Roman" w:eastAsia="方正仿宋_GBK"/>
          <w:color w:val="000000"/>
          <w:sz w:val="33"/>
          <w:szCs w:val="33"/>
        </w:rPr>
        <w:t>决算</w:t>
      </w:r>
      <w:r>
        <w:rPr>
          <w:rFonts w:hint="eastAsia" w:ascii="Times New Roman" w:eastAsia="方正仿宋_GBK"/>
          <w:color w:val="000000"/>
          <w:sz w:val="33"/>
          <w:szCs w:val="33"/>
          <w:lang w:val="en-US" w:eastAsia="zh-CN"/>
        </w:rPr>
        <w:t>的</w:t>
      </w:r>
      <w:r>
        <w:rPr>
          <w:rFonts w:ascii="Times New Roman" w:eastAsia="方正仿宋_GBK"/>
          <w:color w:val="000000"/>
          <w:sz w:val="33"/>
          <w:szCs w:val="33"/>
        </w:rPr>
        <w:t>包括：</w:t>
      </w:r>
    </w:p>
    <w:p>
      <w:pPr>
        <w:pStyle w:val="2"/>
        <w:adjustRightInd w:val="0"/>
        <w:snapToGrid w:val="0"/>
        <w:spacing w:beforeLines="0"/>
        <w:ind w:firstLine="660" w:firstLineChars="200"/>
        <w:rPr>
          <w:rFonts w:ascii="Times New Roman" w:eastAsia="方正仿宋_GBK"/>
          <w:kern w:val="2"/>
          <w:sz w:val="33"/>
          <w:szCs w:val="33"/>
        </w:rPr>
      </w:pPr>
      <w:r>
        <w:rPr>
          <w:rFonts w:hint="eastAsia" w:ascii="Times New Roman" w:eastAsia="方正仿宋_GBK"/>
          <w:kern w:val="2"/>
          <w:sz w:val="33"/>
          <w:szCs w:val="33"/>
        </w:rPr>
        <w:t>1.</w:t>
      </w:r>
      <w:r>
        <w:rPr>
          <w:rFonts w:ascii="Times New Roman" w:eastAsia="方正仿宋_GBK"/>
          <w:kern w:val="2"/>
          <w:sz w:val="33"/>
          <w:szCs w:val="33"/>
        </w:rPr>
        <w:t>县委办公室</w:t>
      </w:r>
    </w:p>
    <w:p>
      <w:pPr>
        <w:pStyle w:val="2"/>
        <w:adjustRightInd w:val="0"/>
        <w:snapToGrid w:val="0"/>
        <w:spacing w:beforeLines="0"/>
        <w:ind w:firstLine="660" w:firstLineChars="200"/>
        <w:rPr>
          <w:rFonts w:ascii="Times New Roman" w:eastAsia="方正仿宋_GBK"/>
          <w:kern w:val="2"/>
          <w:sz w:val="33"/>
          <w:szCs w:val="33"/>
        </w:rPr>
      </w:pPr>
      <w:r>
        <w:rPr>
          <w:rFonts w:hint="eastAsia" w:ascii="Times New Roman" w:eastAsia="方正仿宋_GBK"/>
          <w:kern w:val="2"/>
          <w:sz w:val="33"/>
          <w:szCs w:val="33"/>
        </w:rPr>
        <w:t>2.</w:t>
      </w:r>
      <w:r>
        <w:rPr>
          <w:rFonts w:ascii="Times New Roman" w:eastAsia="方正仿宋_GBK"/>
          <w:kern w:val="2"/>
          <w:sz w:val="33"/>
          <w:szCs w:val="33"/>
        </w:rPr>
        <w:t>县绩效管理办</w:t>
      </w:r>
    </w:p>
    <w:p>
      <w:pPr>
        <w:pStyle w:val="2"/>
        <w:adjustRightInd w:val="0"/>
        <w:snapToGrid w:val="0"/>
        <w:spacing w:beforeLines="0"/>
        <w:ind w:firstLine="660" w:firstLineChars="200"/>
        <w:rPr>
          <w:rFonts w:ascii="Times New Roman" w:eastAsia="方正仿宋_GBK"/>
          <w:kern w:val="2"/>
          <w:sz w:val="33"/>
          <w:szCs w:val="33"/>
        </w:rPr>
      </w:pPr>
      <w:r>
        <w:rPr>
          <w:rFonts w:hint="eastAsia" w:ascii="Times New Roman" w:eastAsia="方正仿宋_GBK"/>
          <w:kern w:val="2"/>
          <w:sz w:val="33"/>
          <w:szCs w:val="33"/>
        </w:rPr>
        <w:t>3.</w:t>
      </w:r>
      <w:r>
        <w:rPr>
          <w:rFonts w:ascii="Times New Roman" w:eastAsia="方正仿宋_GBK"/>
          <w:kern w:val="2"/>
          <w:sz w:val="33"/>
          <w:szCs w:val="33"/>
        </w:rPr>
        <w:t>县史志办</w:t>
      </w:r>
    </w:p>
    <w:p>
      <w:pPr>
        <w:pStyle w:val="2"/>
        <w:adjustRightInd w:val="0"/>
        <w:snapToGrid w:val="0"/>
        <w:spacing w:beforeLines="0"/>
        <w:ind w:firstLine="660" w:firstLineChars="200"/>
        <w:rPr>
          <w:rFonts w:ascii="Times New Roman" w:eastAsia="方正仿宋_GBK"/>
          <w:kern w:val="2"/>
          <w:sz w:val="33"/>
          <w:szCs w:val="33"/>
        </w:rPr>
      </w:pPr>
      <w:r>
        <w:rPr>
          <w:rFonts w:hint="eastAsia" w:ascii="Times New Roman" w:eastAsia="方正仿宋_GBK"/>
          <w:kern w:val="2"/>
          <w:sz w:val="33"/>
          <w:szCs w:val="33"/>
        </w:rPr>
        <w:t>4.</w:t>
      </w:r>
      <w:r>
        <w:rPr>
          <w:rFonts w:ascii="Times New Roman" w:eastAsia="方正仿宋_GBK"/>
          <w:kern w:val="2"/>
          <w:sz w:val="33"/>
          <w:szCs w:val="33"/>
        </w:rPr>
        <w:t>县工商联</w:t>
      </w:r>
    </w:p>
    <w:p>
      <w:pPr>
        <w:pStyle w:val="2"/>
        <w:adjustRightInd w:val="0"/>
        <w:snapToGrid w:val="0"/>
        <w:spacing w:beforeLines="0"/>
        <w:ind w:firstLine="660" w:firstLineChars="200"/>
        <w:rPr>
          <w:rFonts w:ascii="Times New Roman" w:eastAsia="方正仿宋_GBK"/>
          <w:kern w:val="2"/>
          <w:sz w:val="33"/>
          <w:szCs w:val="33"/>
        </w:rPr>
      </w:pPr>
      <w:r>
        <w:rPr>
          <w:rFonts w:hint="eastAsia" w:ascii="Times New Roman" w:eastAsia="方正仿宋_GBK"/>
          <w:kern w:val="2"/>
          <w:sz w:val="33"/>
          <w:szCs w:val="33"/>
        </w:rPr>
        <w:t>5.</w:t>
      </w:r>
      <w:r>
        <w:rPr>
          <w:rFonts w:ascii="Times New Roman" w:eastAsia="方正仿宋_GBK"/>
          <w:kern w:val="2"/>
          <w:sz w:val="33"/>
          <w:szCs w:val="33"/>
        </w:rPr>
        <w:t>县团委</w:t>
      </w:r>
    </w:p>
    <w:p>
      <w:pPr>
        <w:pStyle w:val="2"/>
        <w:adjustRightInd w:val="0"/>
        <w:snapToGrid w:val="0"/>
        <w:spacing w:beforeLines="0"/>
        <w:ind w:firstLine="660" w:firstLineChars="200"/>
        <w:rPr>
          <w:rFonts w:ascii="Times New Roman" w:eastAsia="方正仿宋_GBK"/>
          <w:kern w:val="2"/>
          <w:sz w:val="33"/>
          <w:szCs w:val="33"/>
        </w:rPr>
      </w:pPr>
      <w:r>
        <w:rPr>
          <w:rFonts w:hint="eastAsia" w:ascii="Times New Roman" w:eastAsia="方正仿宋_GBK"/>
          <w:kern w:val="2"/>
          <w:sz w:val="33"/>
          <w:szCs w:val="33"/>
        </w:rPr>
        <w:t>6.</w:t>
      </w:r>
      <w:r>
        <w:rPr>
          <w:rFonts w:ascii="Times New Roman" w:eastAsia="方正仿宋_GBK"/>
          <w:kern w:val="2"/>
          <w:sz w:val="33"/>
          <w:szCs w:val="33"/>
        </w:rPr>
        <w:t>县妇联</w:t>
      </w:r>
    </w:p>
    <w:p>
      <w:pPr>
        <w:pStyle w:val="2"/>
        <w:adjustRightInd w:val="0"/>
        <w:snapToGrid w:val="0"/>
        <w:spacing w:beforeLines="0"/>
        <w:ind w:firstLine="660" w:firstLineChars="200"/>
        <w:rPr>
          <w:rFonts w:ascii="Times New Roman" w:eastAsia="方正仿宋_GBK"/>
          <w:kern w:val="2"/>
          <w:sz w:val="33"/>
          <w:szCs w:val="33"/>
        </w:rPr>
      </w:pPr>
      <w:r>
        <w:rPr>
          <w:rFonts w:hint="eastAsia" w:ascii="Times New Roman" w:eastAsia="方正仿宋_GBK"/>
          <w:kern w:val="2"/>
          <w:sz w:val="33"/>
          <w:szCs w:val="33"/>
        </w:rPr>
        <w:t>7.</w:t>
      </w:r>
      <w:r>
        <w:rPr>
          <w:rFonts w:ascii="Times New Roman" w:eastAsia="方正仿宋_GBK"/>
          <w:kern w:val="2"/>
          <w:sz w:val="33"/>
          <w:szCs w:val="33"/>
        </w:rPr>
        <w:t>县目标绩效评估中心</w:t>
      </w:r>
    </w:p>
    <w:p>
      <w:pPr>
        <w:pStyle w:val="2"/>
        <w:adjustRightInd w:val="0"/>
        <w:snapToGrid w:val="0"/>
        <w:spacing w:beforeLines="0"/>
        <w:ind w:firstLine="660" w:firstLineChars="200"/>
        <w:rPr>
          <w:rFonts w:ascii="Times New Roman" w:eastAsia="方正仿宋_GBK"/>
          <w:kern w:val="2"/>
          <w:sz w:val="33"/>
          <w:szCs w:val="33"/>
        </w:rPr>
      </w:pPr>
      <w:r>
        <w:rPr>
          <w:rFonts w:hint="eastAsia" w:ascii="Times New Roman" w:eastAsia="方正仿宋_GBK"/>
          <w:kern w:val="2"/>
          <w:sz w:val="33"/>
          <w:szCs w:val="33"/>
        </w:rPr>
        <w:t>8.</w:t>
      </w:r>
      <w:r>
        <w:rPr>
          <w:rFonts w:ascii="Times New Roman" w:eastAsia="方正仿宋_GBK"/>
          <w:kern w:val="2"/>
          <w:sz w:val="33"/>
          <w:szCs w:val="33"/>
        </w:rPr>
        <w:t>县内网服务中心</w:t>
      </w:r>
    </w:p>
    <w:p>
      <w:pPr>
        <w:pStyle w:val="2"/>
        <w:spacing w:beforeLines="0"/>
        <w:rPr>
          <w:rFonts w:ascii="Times New Roman" w:eastAsia="方正仿宋_GBK"/>
          <w:sz w:val="33"/>
          <w:szCs w:val="33"/>
        </w:rPr>
      </w:pPr>
    </w:p>
    <w:p>
      <w:pPr>
        <w:widowControl/>
        <w:spacing w:line="440" w:lineRule="exact"/>
        <w:jc w:val="both"/>
        <w:rPr>
          <w:rFonts w:eastAsia="方正小标宋_GBK"/>
          <w:b/>
          <w:sz w:val="38"/>
          <w:szCs w:val="38"/>
        </w:rPr>
      </w:pPr>
      <w:bookmarkStart w:id="22" w:name="_Toc15377204"/>
      <w:bookmarkStart w:id="23" w:name="_Toc15396602"/>
    </w:p>
    <w:p>
      <w:pPr>
        <w:jc w:val="center"/>
        <w:outlineLvl w:val="0"/>
        <w:rPr>
          <w:rFonts w:ascii="方正小标宋_GBK" w:hAnsi="方正小标宋_GBK" w:eastAsia="方正小标宋_GBK" w:cs="方正小标宋_GBK"/>
          <w:b/>
          <w:bCs/>
          <w:sz w:val="38"/>
          <w:szCs w:val="38"/>
        </w:rPr>
      </w:pPr>
      <w:r>
        <w:rPr>
          <w:rFonts w:hint="eastAsia" w:ascii="方正小标宋_GBK" w:hAnsi="方正小标宋_GBK" w:eastAsia="方正小标宋_GBK" w:cs="方正小标宋_GBK"/>
          <w:b/>
          <w:bCs/>
          <w:sz w:val="38"/>
          <w:szCs w:val="38"/>
        </w:rPr>
        <w:t>第二部分</w:t>
      </w:r>
      <w:r>
        <w:rPr>
          <w:rFonts w:hint="eastAsia" w:ascii="方正小标宋_GBK" w:hAnsi="方正小标宋_GBK" w:eastAsia="方正小标宋_GBK" w:cs="方正小标宋_GBK"/>
          <w:b/>
          <w:bCs/>
          <w:sz w:val="38"/>
          <w:szCs w:val="38"/>
          <w:lang w:val="en-US" w:eastAsia="zh-CN"/>
        </w:rPr>
        <w:t>2022</w:t>
      </w:r>
      <w:r>
        <w:rPr>
          <w:rFonts w:ascii="方正小标宋_GBK" w:hAnsi="方正小标宋_GBK" w:eastAsia="方正小标宋_GBK" w:cs="方正小标宋_GBK"/>
          <w:b/>
          <w:bCs/>
          <w:sz w:val="38"/>
          <w:szCs w:val="38"/>
        </w:rPr>
        <w:t>年度</w:t>
      </w:r>
      <w:r>
        <w:rPr>
          <w:rFonts w:hint="eastAsia" w:ascii="方正小标宋_GBK" w:hAnsi="方正小标宋_GBK" w:eastAsia="方正小标宋_GBK" w:cs="方正小标宋_GBK"/>
          <w:b/>
          <w:bCs/>
          <w:sz w:val="38"/>
          <w:szCs w:val="38"/>
        </w:rPr>
        <w:t>单位</w:t>
      </w:r>
      <w:r>
        <w:rPr>
          <w:rFonts w:ascii="方正小标宋_GBK" w:hAnsi="方正小标宋_GBK" w:eastAsia="方正小标宋_GBK" w:cs="方正小标宋_GBK"/>
          <w:b/>
          <w:bCs/>
          <w:sz w:val="38"/>
          <w:szCs w:val="38"/>
        </w:rPr>
        <w:t>决算情况说明</w:t>
      </w:r>
      <w:bookmarkEnd w:id="22"/>
      <w:bookmarkEnd w:id="23"/>
    </w:p>
    <w:p>
      <w:pPr>
        <w:pStyle w:val="30"/>
        <w:ind w:left="-720" w:firstLine="0" w:firstLineChars="0"/>
        <w:outlineLvl w:val="1"/>
        <w:rPr>
          <w:rFonts w:eastAsia="方正仿宋_GBK"/>
          <w:sz w:val="33"/>
          <w:szCs w:val="33"/>
        </w:rPr>
      </w:pPr>
      <w:bookmarkStart w:id="24" w:name="_Toc15396603"/>
      <w:bookmarkStart w:id="25" w:name="_Toc15377205"/>
    </w:p>
    <w:p>
      <w:pPr>
        <w:pStyle w:val="30"/>
        <w:ind w:firstLine="660"/>
        <w:outlineLvl w:val="1"/>
        <w:rPr>
          <w:rStyle w:val="20"/>
          <w:rFonts w:ascii="方正黑体_GBK" w:hAnsi="方正黑体_GBK" w:eastAsia="方正黑体_GBK" w:cs="方正黑体_GBK"/>
          <w:b w:val="0"/>
          <w:sz w:val="33"/>
          <w:szCs w:val="33"/>
        </w:rPr>
      </w:pPr>
      <w:r>
        <w:rPr>
          <w:rFonts w:hint="eastAsia" w:ascii="方正黑体_GBK" w:hAnsi="方正黑体_GBK" w:eastAsia="方正黑体_GBK" w:cs="方正黑体_GBK"/>
          <w:sz w:val="33"/>
          <w:szCs w:val="33"/>
        </w:rPr>
        <w:t>一、收</w:t>
      </w:r>
      <w:r>
        <w:rPr>
          <w:rStyle w:val="20"/>
          <w:rFonts w:hint="eastAsia" w:ascii="方正黑体_GBK" w:hAnsi="方正黑体_GBK" w:eastAsia="方正黑体_GBK" w:cs="方正黑体_GBK"/>
          <w:b w:val="0"/>
          <w:sz w:val="33"/>
          <w:szCs w:val="33"/>
        </w:rPr>
        <w:t>入支出决算总体情况说明</w:t>
      </w:r>
      <w:bookmarkEnd w:id="24"/>
      <w:bookmarkEnd w:id="25"/>
    </w:p>
    <w:p>
      <w:pPr>
        <w:ind w:firstLine="640"/>
        <w:rPr>
          <w:rFonts w:eastAsia="方正仿宋_GBK"/>
          <w:color w:val="000000" w:themeColor="text1"/>
          <w:sz w:val="33"/>
          <w:szCs w:val="33"/>
          <w14:textFill>
            <w14:solidFill>
              <w14:schemeClr w14:val="tx1"/>
            </w14:solidFill>
          </w14:textFill>
        </w:rPr>
      </w:pP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年一般公共预算财政拨款收入决算总额为</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万元，其中：当年财政拨款收入</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w:t>
      </w:r>
      <w:r>
        <w:rPr>
          <w:rFonts w:hint="eastAsia" w:eastAsia="方正仿宋_GBK"/>
          <w:color w:val="000000" w:themeColor="text1"/>
          <w:sz w:val="33"/>
          <w:szCs w:val="33"/>
          <w14:textFill>
            <w14:solidFill>
              <w14:schemeClr w14:val="tx1"/>
            </w14:solidFill>
          </w14:textFill>
        </w:rPr>
        <w:t>，</w:t>
      </w:r>
      <w:r>
        <w:rPr>
          <w:rFonts w:eastAsia="方正仿宋_GBK"/>
          <w:color w:val="000000" w:themeColor="text1"/>
          <w:sz w:val="33"/>
          <w:szCs w:val="33"/>
          <w14:textFill>
            <w14:solidFill>
              <w14:schemeClr w14:val="tx1"/>
            </w14:solidFill>
          </w14:textFill>
        </w:rPr>
        <w:t xml:space="preserve"> 年初结转和结余</w:t>
      </w:r>
      <w:r>
        <w:rPr>
          <w:rFonts w:hint="eastAsia" w:eastAsia="方正仿宋_GBK"/>
          <w:color w:val="000000" w:themeColor="text1"/>
          <w:sz w:val="33"/>
          <w:szCs w:val="33"/>
          <w14:textFill>
            <w14:solidFill>
              <w14:schemeClr w14:val="tx1"/>
            </w14:solidFill>
          </w14:textFill>
        </w:rPr>
        <w:t>0</w:t>
      </w:r>
      <w:r>
        <w:rPr>
          <w:rFonts w:eastAsia="方正仿宋_GBK"/>
          <w:color w:val="000000" w:themeColor="text1"/>
          <w:sz w:val="33"/>
          <w:szCs w:val="33"/>
          <w14:textFill>
            <w14:solidFill>
              <w14:schemeClr w14:val="tx1"/>
            </w14:solidFill>
          </w14:textFill>
        </w:rPr>
        <w:t>万元，收入决算总额较</w:t>
      </w:r>
      <w:r>
        <w:rPr>
          <w:rFonts w:hint="eastAsia" w:eastAsia="方正仿宋_GBK"/>
          <w:color w:val="000000" w:themeColor="text1"/>
          <w:sz w:val="33"/>
          <w:szCs w:val="33"/>
          <w14:textFill>
            <w14:solidFill>
              <w14:schemeClr w14:val="tx1"/>
            </w14:solidFill>
          </w14:textFill>
        </w:rPr>
        <w:t>2021</w:t>
      </w:r>
      <w:r>
        <w:rPr>
          <w:rFonts w:eastAsia="方正仿宋_GBK"/>
          <w:color w:val="000000" w:themeColor="text1"/>
          <w:sz w:val="33"/>
          <w:szCs w:val="33"/>
          <w14:textFill>
            <w14:solidFill>
              <w14:schemeClr w14:val="tx1"/>
            </w14:solidFill>
          </w14:textFill>
        </w:rPr>
        <w:t>年（</w:t>
      </w:r>
      <w:r>
        <w:rPr>
          <w:rFonts w:hint="eastAsia" w:eastAsia="方正仿宋_GBK"/>
          <w:color w:val="000000" w:themeColor="text1"/>
          <w:sz w:val="33"/>
          <w:szCs w:val="33"/>
          <w14:textFill>
            <w14:solidFill>
              <w14:schemeClr w14:val="tx1"/>
            </w14:solidFill>
          </w14:textFill>
        </w:rPr>
        <w:t>1839.85</w:t>
      </w:r>
      <w:r>
        <w:rPr>
          <w:rFonts w:eastAsia="方正仿宋_GBK"/>
          <w:color w:val="000000" w:themeColor="text1"/>
          <w:sz w:val="33"/>
          <w:szCs w:val="33"/>
          <w14:textFill>
            <w14:solidFill>
              <w14:schemeClr w14:val="tx1"/>
            </w14:solidFill>
          </w14:textFill>
        </w:rPr>
        <w:t>万元）减少了</w:t>
      </w:r>
      <w:r>
        <w:rPr>
          <w:rFonts w:hint="eastAsia" w:eastAsia="方正仿宋_GBK"/>
          <w:color w:val="000000" w:themeColor="text1"/>
          <w:sz w:val="33"/>
          <w:szCs w:val="33"/>
          <w14:textFill>
            <w14:solidFill>
              <w14:schemeClr w14:val="tx1"/>
            </w14:solidFill>
          </w14:textFill>
        </w:rPr>
        <w:t>164.63</w:t>
      </w:r>
      <w:r>
        <w:rPr>
          <w:rFonts w:eastAsia="方正仿宋_GBK"/>
          <w:color w:val="000000" w:themeColor="text1"/>
          <w:sz w:val="33"/>
          <w:szCs w:val="33"/>
          <w14:textFill>
            <w14:solidFill>
              <w14:schemeClr w14:val="tx1"/>
            </w14:solidFill>
          </w14:textFill>
        </w:rPr>
        <w:t>万元</w:t>
      </w:r>
      <w:r>
        <w:rPr>
          <w:rFonts w:hint="eastAsia" w:eastAsia="方正仿宋_GBK"/>
          <w:color w:val="000000" w:themeColor="text1"/>
          <w:sz w:val="33"/>
          <w:szCs w:val="33"/>
          <w14:textFill>
            <w14:solidFill>
              <w14:schemeClr w14:val="tx1"/>
            </w14:solidFill>
          </w14:textFill>
        </w:rPr>
        <w:t>，</w:t>
      </w:r>
      <w:r>
        <w:rPr>
          <w:rFonts w:eastAsia="方正仿宋_GBK"/>
          <w:color w:val="000000" w:themeColor="text1"/>
          <w:sz w:val="33"/>
          <w:szCs w:val="33"/>
          <w14:textFill>
            <w14:solidFill>
              <w14:schemeClr w14:val="tx1"/>
            </w14:solidFill>
          </w14:textFill>
        </w:rPr>
        <w:t>下降率为</w:t>
      </w:r>
      <w:r>
        <w:rPr>
          <w:rFonts w:hint="eastAsia" w:eastAsia="方正仿宋_GBK"/>
          <w:color w:val="000000" w:themeColor="text1"/>
          <w:sz w:val="33"/>
          <w:szCs w:val="33"/>
          <w14:textFill>
            <w14:solidFill>
              <w14:schemeClr w14:val="tx1"/>
            </w14:solidFill>
          </w14:textFill>
        </w:rPr>
        <w:t>8.9</w:t>
      </w:r>
      <w:r>
        <w:rPr>
          <w:rFonts w:eastAsia="方正仿宋_GBK"/>
          <w:color w:val="000000" w:themeColor="text1"/>
          <w:sz w:val="33"/>
          <w:szCs w:val="33"/>
          <w14:textFill>
            <w14:solidFill>
              <w14:schemeClr w14:val="tx1"/>
            </w14:solidFill>
          </w14:textFill>
        </w:rPr>
        <w:t>%。主要</w:t>
      </w:r>
      <w:r>
        <w:rPr>
          <w:rFonts w:hint="eastAsia" w:eastAsia="方正仿宋_GBK"/>
          <w:color w:val="000000" w:themeColor="text1"/>
          <w:sz w:val="33"/>
          <w:szCs w:val="33"/>
          <w14:textFill>
            <w14:solidFill>
              <w14:schemeClr w14:val="tx1"/>
            </w14:solidFill>
          </w14:textFill>
        </w:rPr>
        <w:t>原因</w:t>
      </w:r>
      <w:r>
        <w:rPr>
          <w:rFonts w:eastAsia="方正仿宋_GBK"/>
          <w:color w:val="000000" w:themeColor="text1"/>
          <w:sz w:val="33"/>
          <w:szCs w:val="33"/>
          <w14:textFill>
            <w14:solidFill>
              <w14:schemeClr w14:val="tx1"/>
            </w14:solidFill>
          </w14:textFill>
        </w:rPr>
        <w:t>是</w:t>
      </w: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年县委办公室贯彻中央精神，进一步压缩三公经费、公务接待等，实现开源节流。</w:t>
      </w:r>
    </w:p>
    <w:p>
      <w:pPr>
        <w:ind w:firstLine="640"/>
        <w:rPr>
          <w:rFonts w:eastAsia="方正仿宋_GBK"/>
          <w:color w:val="000000" w:themeColor="text1"/>
          <w:sz w:val="33"/>
          <w:szCs w:val="33"/>
          <w14:textFill>
            <w14:solidFill>
              <w14:schemeClr w14:val="tx1"/>
            </w14:solidFill>
          </w14:textFill>
        </w:rPr>
      </w:pP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年一般公共预算财政拨款支出决算总额为</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万元，其中：一般公共服务支出</w:t>
      </w:r>
      <w:r>
        <w:rPr>
          <w:rFonts w:hint="eastAsia" w:eastAsia="方正仿宋_GBK"/>
          <w:color w:val="000000" w:themeColor="text1"/>
          <w:sz w:val="33"/>
          <w:szCs w:val="33"/>
          <w14:textFill>
            <w14:solidFill>
              <w14:schemeClr w14:val="tx1"/>
            </w14:solidFill>
          </w14:textFill>
        </w:rPr>
        <w:t>1327.23</w:t>
      </w:r>
      <w:r>
        <w:rPr>
          <w:rFonts w:eastAsia="方正仿宋_GBK"/>
          <w:color w:val="000000" w:themeColor="text1"/>
          <w:sz w:val="33"/>
          <w:szCs w:val="33"/>
          <w14:textFill>
            <w14:solidFill>
              <w14:schemeClr w14:val="tx1"/>
            </w14:solidFill>
          </w14:textFill>
        </w:rPr>
        <w:t>万元，社会保障和就业</w:t>
      </w:r>
      <w:r>
        <w:rPr>
          <w:rFonts w:hint="eastAsia" w:eastAsia="方正仿宋_GBK"/>
          <w:color w:val="000000" w:themeColor="text1"/>
          <w:sz w:val="33"/>
          <w:szCs w:val="33"/>
          <w14:textFill>
            <w14:solidFill>
              <w14:schemeClr w14:val="tx1"/>
            </w14:solidFill>
          </w14:textFill>
        </w:rPr>
        <w:t>155.91</w:t>
      </w:r>
      <w:r>
        <w:rPr>
          <w:rFonts w:eastAsia="方正仿宋_GBK"/>
          <w:color w:val="000000" w:themeColor="text1"/>
          <w:sz w:val="33"/>
          <w:szCs w:val="33"/>
          <w14:textFill>
            <w14:solidFill>
              <w14:schemeClr w14:val="tx1"/>
            </w14:solidFill>
          </w14:textFill>
        </w:rPr>
        <w:t>万元，卫生健康支出</w:t>
      </w:r>
      <w:r>
        <w:rPr>
          <w:rFonts w:hint="eastAsia" w:eastAsia="方正仿宋_GBK"/>
          <w:color w:val="000000" w:themeColor="text1"/>
          <w:sz w:val="33"/>
          <w:szCs w:val="33"/>
          <w14:textFill>
            <w14:solidFill>
              <w14:schemeClr w14:val="tx1"/>
            </w14:solidFill>
          </w14:textFill>
        </w:rPr>
        <w:t>80.44</w:t>
      </w:r>
      <w:r>
        <w:rPr>
          <w:rFonts w:eastAsia="方正仿宋_GBK"/>
          <w:color w:val="000000" w:themeColor="text1"/>
          <w:sz w:val="33"/>
          <w:szCs w:val="33"/>
          <w14:textFill>
            <w14:solidFill>
              <w14:schemeClr w14:val="tx1"/>
            </w14:solidFill>
          </w14:textFill>
        </w:rPr>
        <w:t>万元，住房保障支出</w:t>
      </w:r>
      <w:r>
        <w:rPr>
          <w:rFonts w:hint="eastAsia" w:eastAsia="方正仿宋_GBK"/>
          <w:color w:val="000000" w:themeColor="text1"/>
          <w:sz w:val="33"/>
          <w:szCs w:val="33"/>
          <w14:textFill>
            <w14:solidFill>
              <w14:schemeClr w14:val="tx1"/>
            </w14:solidFill>
          </w14:textFill>
        </w:rPr>
        <w:t>83.05</w:t>
      </w:r>
      <w:r>
        <w:rPr>
          <w:rFonts w:eastAsia="方正仿宋_GBK"/>
          <w:color w:val="000000" w:themeColor="text1"/>
          <w:sz w:val="33"/>
          <w:szCs w:val="33"/>
          <w14:textFill>
            <w14:solidFill>
              <w14:schemeClr w14:val="tx1"/>
            </w14:solidFill>
          </w14:textFill>
        </w:rPr>
        <w:t>万元，</w:t>
      </w:r>
      <w:r>
        <w:rPr>
          <w:rFonts w:hint="eastAsia" w:eastAsia="方正仿宋_GBK"/>
          <w:color w:val="000000" w:themeColor="text1"/>
          <w:sz w:val="33"/>
          <w:szCs w:val="33"/>
          <w14:textFill>
            <w14:solidFill>
              <w14:schemeClr w14:val="tx1"/>
            </w14:solidFill>
          </w14:textFill>
        </w:rPr>
        <w:t>文化旅游体育与传媒</w:t>
      </w:r>
      <w:r>
        <w:rPr>
          <w:rFonts w:eastAsia="方正仿宋_GBK"/>
          <w:color w:val="000000" w:themeColor="text1"/>
          <w:sz w:val="33"/>
          <w:szCs w:val="33"/>
          <w14:textFill>
            <w14:solidFill>
              <w14:schemeClr w14:val="tx1"/>
            </w14:solidFill>
          </w14:textFill>
        </w:rPr>
        <w:t>支出</w:t>
      </w:r>
      <w:r>
        <w:rPr>
          <w:rFonts w:hint="eastAsia" w:eastAsia="方正仿宋_GBK"/>
          <w:color w:val="000000" w:themeColor="text1"/>
          <w:sz w:val="33"/>
          <w:szCs w:val="33"/>
          <w14:textFill>
            <w14:solidFill>
              <w14:schemeClr w14:val="tx1"/>
            </w14:solidFill>
          </w14:textFill>
        </w:rPr>
        <w:t>14.03</w:t>
      </w:r>
      <w:r>
        <w:rPr>
          <w:rFonts w:eastAsia="方正仿宋_GBK"/>
          <w:color w:val="000000" w:themeColor="text1"/>
          <w:sz w:val="33"/>
          <w:szCs w:val="33"/>
          <w14:textFill>
            <w14:solidFill>
              <w14:schemeClr w14:val="tx1"/>
            </w14:solidFill>
          </w14:textFill>
        </w:rPr>
        <w:t>万元，其他支出</w:t>
      </w:r>
      <w:r>
        <w:rPr>
          <w:rFonts w:hint="eastAsia" w:eastAsia="方正仿宋_GBK"/>
          <w:color w:val="000000" w:themeColor="text1"/>
          <w:sz w:val="33"/>
          <w:szCs w:val="33"/>
          <w14:textFill>
            <w14:solidFill>
              <w14:schemeClr w14:val="tx1"/>
            </w14:solidFill>
          </w14:textFill>
        </w:rPr>
        <w:t>14.56</w:t>
      </w:r>
      <w:r>
        <w:rPr>
          <w:rFonts w:eastAsia="方正仿宋_GBK"/>
          <w:color w:val="000000" w:themeColor="text1"/>
          <w:sz w:val="33"/>
          <w:szCs w:val="33"/>
          <w14:textFill>
            <w14:solidFill>
              <w14:schemeClr w14:val="tx1"/>
            </w14:solidFill>
          </w14:textFill>
        </w:rPr>
        <w:t>万元。支出预算总额较</w:t>
      </w:r>
      <w:r>
        <w:rPr>
          <w:rFonts w:hint="eastAsia" w:eastAsia="方正仿宋_GBK"/>
          <w:color w:val="000000" w:themeColor="text1"/>
          <w:sz w:val="33"/>
          <w:szCs w:val="33"/>
          <w14:textFill>
            <w14:solidFill>
              <w14:schemeClr w14:val="tx1"/>
            </w14:solidFill>
          </w14:textFill>
        </w:rPr>
        <w:t>2021</w:t>
      </w:r>
      <w:r>
        <w:rPr>
          <w:rFonts w:eastAsia="方正仿宋_GBK"/>
          <w:color w:val="000000" w:themeColor="text1"/>
          <w:sz w:val="33"/>
          <w:szCs w:val="33"/>
          <w14:textFill>
            <w14:solidFill>
              <w14:schemeClr w14:val="tx1"/>
            </w14:solidFill>
          </w14:textFill>
        </w:rPr>
        <w:t>年（</w:t>
      </w:r>
      <w:r>
        <w:rPr>
          <w:rFonts w:hint="eastAsia" w:eastAsia="方正仿宋_GBK"/>
          <w:color w:val="000000" w:themeColor="text1"/>
          <w:sz w:val="33"/>
          <w:szCs w:val="33"/>
          <w14:textFill>
            <w14:solidFill>
              <w14:schemeClr w14:val="tx1"/>
            </w14:solidFill>
          </w14:textFill>
        </w:rPr>
        <w:t>1839.85</w:t>
      </w:r>
      <w:r>
        <w:rPr>
          <w:rFonts w:eastAsia="方正仿宋_GBK"/>
          <w:color w:val="000000" w:themeColor="text1"/>
          <w:sz w:val="33"/>
          <w:szCs w:val="33"/>
          <w14:textFill>
            <w14:solidFill>
              <w14:schemeClr w14:val="tx1"/>
            </w14:solidFill>
          </w14:textFill>
        </w:rPr>
        <w:t>万元）减少了</w:t>
      </w:r>
      <w:r>
        <w:rPr>
          <w:rFonts w:hint="eastAsia" w:eastAsia="方正仿宋_GBK"/>
          <w:color w:val="000000" w:themeColor="text1"/>
          <w:sz w:val="33"/>
          <w:szCs w:val="33"/>
          <w14:textFill>
            <w14:solidFill>
              <w14:schemeClr w14:val="tx1"/>
            </w14:solidFill>
          </w14:textFill>
        </w:rPr>
        <w:t>164.63</w:t>
      </w:r>
      <w:r>
        <w:rPr>
          <w:rFonts w:eastAsia="方正仿宋_GBK"/>
          <w:color w:val="000000" w:themeColor="text1"/>
          <w:sz w:val="33"/>
          <w:szCs w:val="33"/>
          <w14:textFill>
            <w14:solidFill>
              <w14:schemeClr w14:val="tx1"/>
            </w14:solidFill>
          </w14:textFill>
        </w:rPr>
        <w:t>万元，同比下降</w:t>
      </w:r>
      <w:r>
        <w:rPr>
          <w:rFonts w:hint="eastAsia" w:eastAsia="方正仿宋_GBK"/>
          <w:color w:val="000000" w:themeColor="text1"/>
          <w:sz w:val="33"/>
          <w:szCs w:val="33"/>
          <w14:textFill>
            <w14:solidFill>
              <w14:schemeClr w14:val="tx1"/>
            </w14:solidFill>
          </w14:textFill>
        </w:rPr>
        <w:t>8.9</w:t>
      </w:r>
      <w:r>
        <w:rPr>
          <w:rFonts w:eastAsia="方正仿宋_GBK"/>
          <w:color w:val="000000" w:themeColor="text1"/>
          <w:sz w:val="33"/>
          <w:szCs w:val="33"/>
          <w14:textFill>
            <w14:solidFill>
              <w14:schemeClr w14:val="tx1"/>
            </w14:solidFill>
          </w14:textFill>
        </w:rPr>
        <w:t>%，主要</w:t>
      </w:r>
      <w:r>
        <w:rPr>
          <w:rFonts w:hint="eastAsia" w:eastAsia="方正仿宋_GBK"/>
          <w:color w:val="000000" w:themeColor="text1"/>
          <w:sz w:val="33"/>
          <w:szCs w:val="33"/>
          <w14:textFill>
            <w14:solidFill>
              <w14:schemeClr w14:val="tx1"/>
            </w14:solidFill>
          </w14:textFill>
        </w:rPr>
        <w:t>原因</w:t>
      </w:r>
      <w:r>
        <w:rPr>
          <w:rFonts w:eastAsia="方正仿宋_GBK"/>
          <w:color w:val="000000" w:themeColor="text1"/>
          <w:sz w:val="33"/>
          <w:szCs w:val="33"/>
          <w14:textFill>
            <w14:solidFill>
              <w14:schemeClr w14:val="tx1"/>
            </w14:solidFill>
          </w14:textFill>
        </w:rPr>
        <w:t>是</w:t>
      </w: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年县财政贯彻中央精神，调减财政拨款，进一步压缩三公经费、公务接待等，实现开源节流。</w:t>
      </w:r>
    </w:p>
    <w:p>
      <w:pPr>
        <w:pStyle w:val="2"/>
        <w:spacing w:beforeLines="0"/>
        <w:rPr>
          <w:rFonts w:ascii="Times New Roman" w:eastAsia="方正仿宋_GBK"/>
          <w:color w:val="993300"/>
          <w:sz w:val="33"/>
          <w:szCs w:val="33"/>
        </w:rPr>
      </w:pPr>
      <w:r>
        <w:rPr>
          <w:rFonts w:ascii="Times New Roman" w:eastAsia="方正仿宋_GBK"/>
          <w:sz w:val="33"/>
          <w:szCs w:val="33"/>
        </w:rPr>
        <w:object>
          <v:shape id="_x0000_i1025" o:spt="75" type="#_x0000_t75" style="height:128.85pt;width:339.7pt;" o:ole="t" filled="f" o:preferrelative="t" stroked="f" coordsize="21600,21600">
            <v:path/>
            <v:fill on="f" focussize="0,0"/>
            <v:stroke on="f" joinstyle="miter"/>
            <v:imagedata r:id="rId10" o:title=""/>
            <o:lock v:ext="edit" aspectratio="t"/>
            <w10:wrap type="none"/>
            <w10:anchorlock/>
          </v:shape>
          <o:OLEObject Type="Embed" ProgID="Excel.Chart.8" ShapeID="_x0000_i1025" DrawAspect="Content" ObjectID="_1468075725" r:id="rId9">
            <o:LockedField>false</o:LockedField>
          </o:OLEObject>
        </w:object>
      </w:r>
    </w:p>
    <w:p>
      <w:pPr>
        <w:ind w:firstLine="640"/>
        <w:rPr>
          <w:rFonts w:eastAsia="方正仿宋_GBK"/>
          <w:color w:val="000000" w:themeColor="text1"/>
          <w:sz w:val="33"/>
          <w:szCs w:val="33"/>
          <w14:textFill>
            <w14:solidFill>
              <w14:schemeClr w14:val="tx1"/>
            </w14:solidFill>
          </w14:textFill>
        </w:rPr>
      </w:pPr>
      <w:r>
        <w:rPr>
          <w:rFonts w:eastAsia="方正仿宋_GBK"/>
          <w:color w:val="000000" w:themeColor="text1"/>
          <w:sz w:val="33"/>
          <w:szCs w:val="33"/>
          <w14:textFill>
            <w14:solidFill>
              <w14:schemeClr w14:val="tx1"/>
            </w14:solidFill>
          </w14:textFill>
        </w:rPr>
        <w:t>（图1：收、支决算总计变动情况图）（柱状图）</w:t>
      </w:r>
    </w:p>
    <w:p>
      <w:pPr>
        <w:pStyle w:val="2"/>
        <w:spacing w:before="93"/>
      </w:pPr>
    </w:p>
    <w:p>
      <w:pPr>
        <w:pStyle w:val="30"/>
        <w:ind w:firstLine="660"/>
        <w:outlineLvl w:val="1"/>
        <w:rPr>
          <w:rFonts w:ascii="方正黑体_GBK" w:hAnsi="方正黑体_GBK" w:eastAsia="方正黑体_GBK" w:cs="方正黑体_GBK"/>
          <w:sz w:val="33"/>
          <w:szCs w:val="33"/>
        </w:rPr>
      </w:pPr>
      <w:bookmarkStart w:id="26" w:name="_Toc15377206"/>
      <w:bookmarkStart w:id="27" w:name="_Toc15396604"/>
      <w:r>
        <w:rPr>
          <w:rFonts w:ascii="方正黑体_GBK" w:hAnsi="方正黑体_GBK" w:eastAsia="方正黑体_GBK" w:cs="方正黑体_GBK"/>
          <w:sz w:val="33"/>
          <w:szCs w:val="33"/>
        </w:rPr>
        <w:t>二、收入决算情况说明</w:t>
      </w:r>
      <w:bookmarkEnd w:id="26"/>
      <w:bookmarkEnd w:id="27"/>
    </w:p>
    <w:p>
      <w:pPr>
        <w:ind w:firstLine="640"/>
        <w:rPr>
          <w:rFonts w:eastAsia="方正仿宋_GBK"/>
          <w:color w:val="000000" w:themeColor="text1"/>
          <w:sz w:val="33"/>
          <w:szCs w:val="33"/>
          <w14:textFill>
            <w14:solidFill>
              <w14:schemeClr w14:val="tx1"/>
            </w14:solidFill>
          </w14:textFill>
        </w:rPr>
      </w:pP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年本年收入合计</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万元，其中：一般公共预算财政拨款收入</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万元（其中：当年财政拨款收入</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万元，年初结转和结余</w:t>
      </w:r>
      <w:r>
        <w:rPr>
          <w:rFonts w:hint="eastAsia" w:eastAsia="方正仿宋_GBK"/>
          <w:color w:val="000000" w:themeColor="text1"/>
          <w:sz w:val="33"/>
          <w:szCs w:val="33"/>
          <w14:textFill>
            <w14:solidFill>
              <w14:schemeClr w14:val="tx1"/>
            </w14:solidFill>
          </w14:textFill>
        </w:rPr>
        <w:t>0</w:t>
      </w:r>
      <w:r>
        <w:rPr>
          <w:rFonts w:eastAsia="方正仿宋_GBK"/>
          <w:color w:val="000000" w:themeColor="text1"/>
          <w:sz w:val="33"/>
          <w:szCs w:val="33"/>
          <w14:textFill>
            <w14:solidFill>
              <w14:schemeClr w14:val="tx1"/>
            </w14:solidFill>
          </w14:textFill>
        </w:rPr>
        <w:t>万元），占100%；政府性基金预算财政拨款收入0万元，占0%；国有资本经营预算财政拨款收入0万元，占0%；上级补助收入0万元，占0%；事业收入0万元，占0%；经营收入0万元，占0%；附属单位上缴收入0万元，占0%；其他收入0万元，占0%。</w:t>
      </w:r>
    </w:p>
    <w:p>
      <w:pPr>
        <w:ind w:firstLine="640"/>
        <w:rPr>
          <w:rFonts w:eastAsia="方正仿宋_GBK"/>
          <w:color w:val="000000" w:themeColor="text1"/>
          <w:sz w:val="33"/>
          <w:szCs w:val="33"/>
          <w14:textFill>
            <w14:solidFill>
              <w14:schemeClr w14:val="tx1"/>
            </w14:solidFill>
          </w14:textFill>
        </w:rPr>
      </w:pPr>
      <w:r>
        <w:rPr>
          <w:rFonts w:eastAsia="方正仿宋_GBK"/>
          <w:color w:val="000000" w:themeColor="text1"/>
          <w:sz w:val="33"/>
          <w:szCs w:val="33"/>
          <w14:textFill>
            <w14:solidFill>
              <w14:schemeClr w14:val="tx1"/>
            </w14:solidFill>
          </w14:textFill>
        </w:rPr>
        <w:pict>
          <v:shape id="_x0000_s1026" o:spid="_x0000_s1026" o:spt="75" type="#_x0000_t75" style="position:absolute;left:0pt;margin-left:16.25pt;margin-top:13.15pt;height:134.3pt;width:324.35pt;mso-wrap-distance-bottom:0pt;mso-wrap-distance-left:9pt;mso-wrap-distance-right:9pt;mso-wrap-distance-top:0pt;z-index:251659264;mso-width-relative:page;mso-height-relative:page;" o:ole="t" filled="f" o:preferrelative="t" stroked="f" coordsize="21600,21600">
            <v:path/>
            <v:fill on="f" focussize="0,0"/>
            <v:stroke on="f" joinstyle="miter"/>
            <v:imagedata r:id="rId12" o:title=""/>
            <o:lock v:ext="edit" aspectratio="t"/>
            <w10:wrap type="square"/>
          </v:shape>
          <o:OLEObject Type="Embed" ProgID="Excel.Chart.8" ShapeID="_x0000_s1026" DrawAspect="Content" ObjectID="_1468075726" r:id="rId11">
            <o:LockedField>false</o:LockedField>
          </o:OLEObject>
        </w:pict>
      </w:r>
    </w:p>
    <w:p>
      <w:pPr>
        <w:ind w:firstLine="640"/>
        <w:rPr>
          <w:rFonts w:eastAsia="方正仿宋_GBK"/>
          <w:color w:val="000000" w:themeColor="text1"/>
          <w:sz w:val="33"/>
          <w:szCs w:val="33"/>
          <w14:textFill>
            <w14:solidFill>
              <w14:schemeClr w14:val="tx1"/>
            </w14:solidFill>
          </w14:textFill>
        </w:rPr>
      </w:pPr>
    </w:p>
    <w:p>
      <w:pPr>
        <w:ind w:firstLine="640"/>
        <w:rPr>
          <w:rFonts w:eastAsia="方正仿宋_GBK"/>
          <w:color w:val="000000" w:themeColor="text1"/>
          <w:sz w:val="33"/>
          <w:szCs w:val="33"/>
          <w14:textFill>
            <w14:solidFill>
              <w14:schemeClr w14:val="tx1"/>
            </w14:solidFill>
          </w14:textFill>
        </w:rPr>
      </w:pPr>
    </w:p>
    <w:p>
      <w:pPr>
        <w:ind w:firstLine="640"/>
        <w:rPr>
          <w:rFonts w:eastAsia="方正仿宋_GBK"/>
          <w:color w:val="000000" w:themeColor="text1"/>
          <w:sz w:val="33"/>
          <w:szCs w:val="33"/>
          <w14:textFill>
            <w14:solidFill>
              <w14:schemeClr w14:val="tx1"/>
            </w14:solidFill>
          </w14:textFill>
        </w:rPr>
      </w:pPr>
    </w:p>
    <w:p>
      <w:pPr>
        <w:ind w:firstLine="640"/>
        <w:rPr>
          <w:rFonts w:eastAsia="方正仿宋_GBK"/>
          <w:color w:val="000000" w:themeColor="text1"/>
          <w:sz w:val="33"/>
          <w:szCs w:val="33"/>
          <w14:textFill>
            <w14:solidFill>
              <w14:schemeClr w14:val="tx1"/>
            </w14:solidFill>
          </w14:textFill>
        </w:rPr>
      </w:pPr>
    </w:p>
    <w:p>
      <w:pPr>
        <w:spacing w:line="600" w:lineRule="exact"/>
        <w:ind w:firstLine="640" w:firstLineChars="200"/>
        <w:rPr>
          <w:rFonts w:ascii="仿宋" w:hAnsi="仿宋" w:eastAsia="仿宋"/>
          <w:sz w:val="32"/>
          <w:szCs w:val="32"/>
        </w:rPr>
      </w:pPr>
      <w:r>
        <w:rPr>
          <w:rFonts w:ascii="仿宋" w:hAnsi="仿宋" w:eastAsia="仿宋"/>
          <w:sz w:val="32"/>
          <w:szCs w:val="32"/>
        </w:rPr>
        <w:t>（图2：收入决算结构图）（饼状图）</w:t>
      </w:r>
    </w:p>
    <w:p>
      <w:pPr>
        <w:ind w:firstLine="640"/>
        <w:rPr>
          <w:rFonts w:eastAsia="方正仿宋_GBK"/>
          <w:color w:val="000000" w:themeColor="text1"/>
          <w:sz w:val="33"/>
          <w:szCs w:val="33"/>
          <w14:textFill>
            <w14:solidFill>
              <w14:schemeClr w14:val="tx1"/>
            </w14:solidFill>
          </w14:textFill>
        </w:rPr>
      </w:pPr>
    </w:p>
    <w:p>
      <w:pPr>
        <w:pStyle w:val="30"/>
        <w:ind w:firstLine="660"/>
        <w:outlineLvl w:val="1"/>
        <w:rPr>
          <w:rFonts w:ascii="方正黑体_GBK" w:hAnsi="方正黑体_GBK" w:eastAsia="方正黑体_GBK" w:cs="方正黑体_GBK"/>
          <w:sz w:val="33"/>
          <w:szCs w:val="33"/>
        </w:rPr>
      </w:pPr>
      <w:bookmarkStart w:id="28" w:name="_Toc15377207"/>
      <w:bookmarkStart w:id="29" w:name="_Toc15396605"/>
      <w:r>
        <w:rPr>
          <w:rFonts w:ascii="方正黑体_GBK" w:hAnsi="方正黑体_GBK" w:eastAsia="方正黑体_GBK" w:cs="方正黑体_GBK"/>
          <w:sz w:val="33"/>
          <w:szCs w:val="33"/>
        </w:rPr>
        <w:t>三、支出决算情况说明</w:t>
      </w:r>
      <w:bookmarkEnd w:id="28"/>
      <w:bookmarkEnd w:id="29"/>
    </w:p>
    <w:p>
      <w:pPr>
        <w:ind w:firstLine="640"/>
        <w:rPr>
          <w:rFonts w:eastAsia="方正仿宋_GBK"/>
          <w:color w:val="000000" w:themeColor="text1"/>
          <w:sz w:val="33"/>
          <w:szCs w:val="33"/>
          <w14:textFill>
            <w14:solidFill>
              <w14:schemeClr w14:val="tx1"/>
            </w14:solidFill>
          </w14:textFill>
        </w:rPr>
      </w:pP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年本年支出合计</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万元，其中：基本支出</w:t>
      </w:r>
      <w:r>
        <w:rPr>
          <w:rFonts w:hint="eastAsia" w:eastAsia="方正仿宋_GBK"/>
          <w:color w:val="000000" w:themeColor="text1"/>
          <w:sz w:val="33"/>
          <w:szCs w:val="33"/>
          <w14:textFill>
            <w14:solidFill>
              <w14:schemeClr w14:val="tx1"/>
            </w14:solidFill>
          </w14:textFill>
        </w:rPr>
        <w:t>1143.77</w:t>
      </w:r>
      <w:r>
        <w:rPr>
          <w:rFonts w:eastAsia="方正仿宋_GBK"/>
          <w:color w:val="000000" w:themeColor="text1"/>
          <w:sz w:val="33"/>
          <w:szCs w:val="33"/>
          <w14:textFill>
            <w14:solidFill>
              <w14:schemeClr w14:val="tx1"/>
            </w14:solidFill>
          </w14:textFill>
        </w:rPr>
        <w:t>万元，占</w:t>
      </w:r>
      <w:r>
        <w:rPr>
          <w:rFonts w:hint="eastAsia" w:eastAsia="方正仿宋_GBK"/>
          <w:color w:val="000000" w:themeColor="text1"/>
          <w:sz w:val="33"/>
          <w:szCs w:val="33"/>
          <w14:textFill>
            <w14:solidFill>
              <w14:schemeClr w14:val="tx1"/>
            </w14:solidFill>
          </w14:textFill>
        </w:rPr>
        <w:t>68.28</w:t>
      </w:r>
      <w:r>
        <w:rPr>
          <w:rFonts w:eastAsia="方正仿宋_GBK"/>
          <w:color w:val="000000" w:themeColor="text1"/>
          <w:sz w:val="33"/>
          <w:szCs w:val="33"/>
          <w14:textFill>
            <w14:solidFill>
              <w14:schemeClr w14:val="tx1"/>
            </w14:solidFill>
          </w14:textFill>
        </w:rPr>
        <w:t>%；项目支出</w:t>
      </w:r>
      <w:r>
        <w:rPr>
          <w:rFonts w:hint="eastAsia" w:eastAsia="方正仿宋_GBK"/>
          <w:color w:val="000000" w:themeColor="text1"/>
          <w:sz w:val="33"/>
          <w:szCs w:val="33"/>
          <w14:textFill>
            <w14:solidFill>
              <w14:schemeClr w14:val="tx1"/>
            </w14:solidFill>
          </w14:textFill>
        </w:rPr>
        <w:t>531.45</w:t>
      </w:r>
      <w:r>
        <w:rPr>
          <w:rFonts w:eastAsia="方正仿宋_GBK"/>
          <w:color w:val="000000" w:themeColor="text1"/>
          <w:sz w:val="33"/>
          <w:szCs w:val="33"/>
          <w14:textFill>
            <w14:solidFill>
              <w14:schemeClr w14:val="tx1"/>
            </w14:solidFill>
          </w14:textFill>
        </w:rPr>
        <w:t>万元，占</w:t>
      </w:r>
      <w:r>
        <w:rPr>
          <w:rFonts w:hint="eastAsia" w:eastAsia="方正仿宋_GBK"/>
          <w:color w:val="000000" w:themeColor="text1"/>
          <w:sz w:val="33"/>
          <w:szCs w:val="33"/>
          <w14:textFill>
            <w14:solidFill>
              <w14:schemeClr w14:val="tx1"/>
            </w14:solidFill>
          </w14:textFill>
        </w:rPr>
        <w:t>31.72</w:t>
      </w:r>
      <w:r>
        <w:rPr>
          <w:rFonts w:eastAsia="方正仿宋_GBK"/>
          <w:color w:val="000000" w:themeColor="text1"/>
          <w:sz w:val="33"/>
          <w:szCs w:val="33"/>
          <w14:textFill>
            <w14:solidFill>
              <w14:schemeClr w14:val="tx1"/>
            </w14:solidFill>
          </w14:textFill>
        </w:rPr>
        <w:t>%；上缴上级支出0万元，占0%；经营支出0万元，占0%；对</w:t>
      </w:r>
    </w:p>
    <w:p>
      <w:pPr>
        <w:rPr>
          <w:rFonts w:eastAsia="方正仿宋_GBK"/>
          <w:color w:val="000000" w:themeColor="text1"/>
          <w:sz w:val="33"/>
          <w:szCs w:val="33"/>
          <w14:textFill>
            <w14:solidFill>
              <w14:schemeClr w14:val="tx1"/>
            </w14:solidFill>
          </w14:textFill>
        </w:rPr>
      </w:pPr>
      <w:r>
        <w:rPr>
          <w:rFonts w:eastAsia="方正仿宋_GBK"/>
          <w:color w:val="000000" w:themeColor="text1"/>
          <w:sz w:val="33"/>
          <w:szCs w:val="33"/>
          <w14:textFill>
            <w14:solidFill>
              <w14:schemeClr w14:val="tx1"/>
            </w14:solidFill>
          </w14:textFill>
        </w:rPr>
        <w:t>附属单位补助支出0万元，占0%。</w:t>
      </w:r>
    </w:p>
    <w:p>
      <w:pPr>
        <w:ind w:firstLine="640"/>
        <w:rPr>
          <w:rFonts w:eastAsia="方正仿宋_GBK"/>
          <w:color w:val="993300"/>
          <w:sz w:val="33"/>
          <w:szCs w:val="33"/>
        </w:rPr>
      </w:pPr>
      <w:r>
        <w:rPr>
          <w:rFonts w:eastAsia="方正仿宋_GBK"/>
          <w:color w:val="993300"/>
          <w:sz w:val="33"/>
          <w:szCs w:val="33"/>
        </w:rPr>
        <w:pict>
          <v:shape id="_x0000_s1029" o:spid="_x0000_s1029" o:spt="75" type="#_x0000_t75" style="position:absolute;left:0pt;margin-left:4.25pt;margin-top:18pt;height:189pt;width:351.8pt;mso-wrap-distance-left:9pt;mso-wrap-distance-right:9pt;z-index:-251656192;mso-width-relative:page;mso-height-relative:page;" o:ole="t" filled="f" o:preferrelative="t" stroked="f" coordsize="21600,21600" wrapcoords="21591 -2 0 0 0 21599 21591 21601 8 21601 21599 21599 21599 0 8 -2 21591 -2">
            <v:path/>
            <v:fill on="f" focussize="0,0"/>
            <v:stroke on="f" joinstyle="miter"/>
            <v:imagedata r:id="rId14" o:title=""/>
            <o:lock v:ext="edit" aspectratio="t"/>
            <w10:wrap type="tight"/>
          </v:shape>
          <o:OLEObject Type="Embed" ProgID="Excel.Chart.8" ShapeID="_x0000_s1029" DrawAspect="Content" ObjectID="_1468075727" r:id="rId13">
            <o:LockedField>false</o:LockedField>
          </o:OLEObject>
        </w:pict>
      </w:r>
    </w:p>
    <w:p>
      <w:pPr>
        <w:ind w:firstLine="640"/>
        <w:rPr>
          <w:rFonts w:eastAsia="方正仿宋_GBK"/>
          <w:color w:val="993300"/>
          <w:sz w:val="33"/>
          <w:szCs w:val="33"/>
        </w:rPr>
      </w:pPr>
    </w:p>
    <w:p>
      <w:pPr>
        <w:ind w:firstLine="640"/>
        <w:rPr>
          <w:rFonts w:eastAsia="方正仿宋_GBK"/>
          <w:color w:val="993300"/>
          <w:sz w:val="33"/>
          <w:szCs w:val="33"/>
        </w:rPr>
      </w:pPr>
    </w:p>
    <w:p>
      <w:pPr>
        <w:rPr>
          <w:rFonts w:eastAsia="方正仿宋_GBK"/>
          <w:color w:val="993300"/>
          <w:sz w:val="33"/>
          <w:szCs w:val="33"/>
        </w:rPr>
      </w:pPr>
    </w:p>
    <w:p>
      <w:pPr>
        <w:rPr>
          <w:rFonts w:eastAsia="方正仿宋_GBK"/>
          <w:color w:val="993300"/>
          <w:sz w:val="33"/>
          <w:szCs w:val="33"/>
        </w:rPr>
      </w:pPr>
    </w:p>
    <w:p>
      <w:pPr>
        <w:jc w:val="center"/>
        <w:rPr>
          <w:rFonts w:eastAsia="方正仿宋_GBK"/>
          <w:color w:val="993300"/>
          <w:sz w:val="33"/>
          <w:szCs w:val="33"/>
        </w:rPr>
      </w:pPr>
    </w:p>
    <w:p>
      <w:pPr>
        <w:rPr>
          <w:rFonts w:eastAsia="方正仿宋_GBK"/>
          <w:color w:val="993300"/>
          <w:sz w:val="33"/>
          <w:szCs w:val="33"/>
        </w:rPr>
      </w:pPr>
    </w:p>
    <w:p>
      <w:pPr>
        <w:spacing w:line="600" w:lineRule="exact"/>
        <w:ind w:firstLine="640" w:firstLineChars="200"/>
        <w:rPr>
          <w:rFonts w:ascii="仿宋" w:hAnsi="仿宋" w:eastAsia="仿宋"/>
          <w:sz w:val="32"/>
          <w:szCs w:val="32"/>
        </w:rPr>
      </w:pPr>
      <w:r>
        <w:rPr>
          <w:rFonts w:ascii="仿宋" w:hAnsi="仿宋" w:eastAsia="仿宋"/>
          <w:sz w:val="32"/>
          <w:szCs w:val="32"/>
        </w:rPr>
        <w:t>（图3：支出决算结构图）（饼状图）</w:t>
      </w:r>
    </w:p>
    <w:p>
      <w:pPr>
        <w:pStyle w:val="2"/>
        <w:spacing w:before="93"/>
      </w:pPr>
    </w:p>
    <w:p>
      <w:pPr>
        <w:pStyle w:val="30"/>
        <w:ind w:firstLine="660"/>
        <w:outlineLvl w:val="1"/>
        <w:rPr>
          <w:rFonts w:ascii="方正黑体_GBK" w:hAnsi="方正黑体_GBK" w:eastAsia="方正黑体_GBK" w:cs="方正黑体_GBK"/>
          <w:sz w:val="33"/>
          <w:szCs w:val="33"/>
        </w:rPr>
      </w:pPr>
      <w:bookmarkStart w:id="30" w:name="_Toc15396606"/>
      <w:bookmarkStart w:id="31" w:name="_Toc15377208"/>
      <w:r>
        <w:rPr>
          <w:rFonts w:ascii="方正黑体_GBK" w:hAnsi="方正黑体_GBK" w:eastAsia="方正黑体_GBK" w:cs="方正黑体_GBK"/>
          <w:sz w:val="33"/>
          <w:szCs w:val="33"/>
        </w:rPr>
        <w:t>四、财政拨款收入支出决算总体情况说明</w:t>
      </w:r>
      <w:bookmarkEnd w:id="30"/>
      <w:bookmarkEnd w:id="31"/>
    </w:p>
    <w:p>
      <w:pPr>
        <w:ind w:firstLine="640"/>
        <w:rPr>
          <w:rFonts w:eastAsia="方正仿宋_GBK"/>
          <w:color w:val="993300"/>
          <w:sz w:val="33"/>
          <w:szCs w:val="33"/>
        </w:rPr>
      </w:pP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年财政拨款收入总计</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万元，其中：当年财政拨款收入</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w:t>
      </w:r>
      <w:r>
        <w:rPr>
          <w:rFonts w:hint="eastAsia" w:eastAsia="方正仿宋_GBK"/>
          <w:color w:val="000000" w:themeColor="text1"/>
          <w:sz w:val="33"/>
          <w:szCs w:val="33"/>
          <w14:textFill>
            <w14:solidFill>
              <w14:schemeClr w14:val="tx1"/>
            </w14:solidFill>
          </w14:textFill>
        </w:rPr>
        <w:t>，</w:t>
      </w:r>
      <w:r>
        <w:rPr>
          <w:rFonts w:eastAsia="方正仿宋_GBK"/>
          <w:color w:val="000000" w:themeColor="text1"/>
          <w:sz w:val="33"/>
          <w:szCs w:val="33"/>
          <w14:textFill>
            <w14:solidFill>
              <w14:schemeClr w14:val="tx1"/>
            </w14:solidFill>
          </w14:textFill>
        </w:rPr>
        <w:t xml:space="preserve"> 年初结转和结余</w:t>
      </w:r>
      <w:r>
        <w:rPr>
          <w:rFonts w:hint="eastAsia" w:eastAsia="方正仿宋_GBK"/>
          <w:color w:val="000000" w:themeColor="text1"/>
          <w:sz w:val="33"/>
          <w:szCs w:val="33"/>
          <w14:textFill>
            <w14:solidFill>
              <w14:schemeClr w14:val="tx1"/>
            </w14:solidFill>
          </w14:textFill>
        </w:rPr>
        <w:t>0</w:t>
      </w:r>
      <w:r>
        <w:rPr>
          <w:rFonts w:eastAsia="方正仿宋_GBK"/>
          <w:color w:val="000000" w:themeColor="text1"/>
          <w:sz w:val="33"/>
          <w:szCs w:val="33"/>
          <w14:textFill>
            <w14:solidFill>
              <w14:schemeClr w14:val="tx1"/>
            </w14:solidFill>
          </w14:textFill>
        </w:rPr>
        <w:t>万元，收入决算总额较</w:t>
      </w:r>
      <w:r>
        <w:rPr>
          <w:rFonts w:hint="eastAsia" w:eastAsia="方正仿宋_GBK"/>
          <w:color w:val="000000" w:themeColor="text1"/>
          <w:sz w:val="33"/>
          <w:szCs w:val="33"/>
          <w14:textFill>
            <w14:solidFill>
              <w14:schemeClr w14:val="tx1"/>
            </w14:solidFill>
          </w14:textFill>
        </w:rPr>
        <w:t>2021</w:t>
      </w:r>
      <w:r>
        <w:rPr>
          <w:rFonts w:eastAsia="方正仿宋_GBK"/>
          <w:color w:val="000000" w:themeColor="text1"/>
          <w:sz w:val="33"/>
          <w:szCs w:val="33"/>
          <w14:textFill>
            <w14:solidFill>
              <w14:schemeClr w14:val="tx1"/>
            </w14:solidFill>
          </w14:textFill>
        </w:rPr>
        <w:t>年（</w:t>
      </w:r>
      <w:r>
        <w:rPr>
          <w:rFonts w:hint="eastAsia" w:eastAsia="方正仿宋_GBK"/>
          <w:color w:val="000000" w:themeColor="text1"/>
          <w:sz w:val="33"/>
          <w:szCs w:val="33"/>
          <w14:textFill>
            <w14:solidFill>
              <w14:schemeClr w14:val="tx1"/>
            </w14:solidFill>
          </w14:textFill>
        </w:rPr>
        <w:t>1839.85</w:t>
      </w:r>
      <w:r>
        <w:rPr>
          <w:rFonts w:eastAsia="方正仿宋_GBK"/>
          <w:color w:val="000000" w:themeColor="text1"/>
          <w:sz w:val="33"/>
          <w:szCs w:val="33"/>
          <w14:textFill>
            <w14:solidFill>
              <w14:schemeClr w14:val="tx1"/>
            </w14:solidFill>
          </w14:textFill>
        </w:rPr>
        <w:t>万元）减少了</w:t>
      </w:r>
      <w:r>
        <w:rPr>
          <w:rFonts w:hint="eastAsia" w:eastAsia="方正仿宋_GBK"/>
          <w:color w:val="000000" w:themeColor="text1"/>
          <w:sz w:val="33"/>
          <w:szCs w:val="33"/>
          <w14:textFill>
            <w14:solidFill>
              <w14:schemeClr w14:val="tx1"/>
            </w14:solidFill>
          </w14:textFill>
        </w:rPr>
        <w:t>164.63</w:t>
      </w:r>
      <w:r>
        <w:rPr>
          <w:rFonts w:eastAsia="方正仿宋_GBK"/>
          <w:color w:val="000000" w:themeColor="text1"/>
          <w:sz w:val="33"/>
          <w:szCs w:val="33"/>
          <w14:textFill>
            <w14:solidFill>
              <w14:schemeClr w14:val="tx1"/>
            </w14:solidFill>
          </w14:textFill>
        </w:rPr>
        <w:t>万元</w:t>
      </w:r>
      <w:r>
        <w:rPr>
          <w:rFonts w:hint="eastAsia" w:eastAsia="方正仿宋_GBK"/>
          <w:color w:val="000000" w:themeColor="text1"/>
          <w:sz w:val="33"/>
          <w:szCs w:val="33"/>
          <w14:textFill>
            <w14:solidFill>
              <w14:schemeClr w14:val="tx1"/>
            </w14:solidFill>
          </w14:textFill>
        </w:rPr>
        <w:t>，</w:t>
      </w:r>
      <w:r>
        <w:rPr>
          <w:rFonts w:eastAsia="方正仿宋_GBK"/>
          <w:color w:val="000000" w:themeColor="text1"/>
          <w:sz w:val="33"/>
          <w:szCs w:val="33"/>
          <w14:textFill>
            <w14:solidFill>
              <w14:schemeClr w14:val="tx1"/>
            </w14:solidFill>
          </w14:textFill>
        </w:rPr>
        <w:t>下降率为</w:t>
      </w:r>
      <w:r>
        <w:rPr>
          <w:rFonts w:hint="eastAsia" w:eastAsia="方正仿宋_GBK"/>
          <w:color w:val="000000" w:themeColor="text1"/>
          <w:sz w:val="33"/>
          <w:szCs w:val="33"/>
          <w14:textFill>
            <w14:solidFill>
              <w14:schemeClr w14:val="tx1"/>
            </w14:solidFill>
          </w14:textFill>
        </w:rPr>
        <w:t>8.9</w:t>
      </w:r>
      <w:r>
        <w:rPr>
          <w:rFonts w:eastAsia="方正仿宋_GBK"/>
          <w:color w:val="000000" w:themeColor="text1"/>
          <w:sz w:val="33"/>
          <w:szCs w:val="33"/>
          <w14:textFill>
            <w14:solidFill>
              <w14:schemeClr w14:val="tx1"/>
            </w14:solidFill>
          </w14:textFill>
        </w:rPr>
        <w:t>%</w:t>
      </w:r>
      <w:r>
        <w:rPr>
          <w:rFonts w:eastAsia="方正仿宋_GBK"/>
          <w:sz w:val="33"/>
          <w:szCs w:val="33"/>
        </w:rPr>
        <w:t>。主</w:t>
      </w:r>
      <w:r>
        <w:rPr>
          <w:rFonts w:eastAsia="方正仿宋_GBK"/>
          <w:color w:val="000000" w:themeColor="text1"/>
          <w:sz w:val="33"/>
          <w:szCs w:val="33"/>
          <w14:textFill>
            <w14:solidFill>
              <w14:schemeClr w14:val="tx1"/>
            </w14:solidFill>
          </w14:textFill>
        </w:rPr>
        <w:t>要</w:t>
      </w:r>
      <w:r>
        <w:rPr>
          <w:rFonts w:hint="eastAsia" w:eastAsia="方正仿宋_GBK"/>
          <w:color w:val="000000" w:themeColor="text1"/>
          <w:sz w:val="33"/>
          <w:szCs w:val="33"/>
          <w14:textFill>
            <w14:solidFill>
              <w14:schemeClr w14:val="tx1"/>
            </w14:solidFill>
          </w14:textFill>
        </w:rPr>
        <w:t>原因</w:t>
      </w:r>
      <w:r>
        <w:rPr>
          <w:rFonts w:eastAsia="方正仿宋_GBK"/>
          <w:color w:val="000000" w:themeColor="text1"/>
          <w:sz w:val="33"/>
          <w:szCs w:val="33"/>
          <w14:textFill>
            <w14:solidFill>
              <w14:schemeClr w14:val="tx1"/>
            </w14:solidFill>
          </w14:textFill>
        </w:rPr>
        <w:t>是</w:t>
      </w: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年县财政贯彻中央精神，调减财政拨款，进一步压缩三公经费、公务接待等，实现开源节流。</w:t>
      </w:r>
    </w:p>
    <w:p>
      <w:pPr>
        <w:ind w:firstLine="640"/>
        <w:rPr>
          <w:rFonts w:eastAsia="方正仿宋_GBK"/>
          <w:color w:val="000000" w:themeColor="text1"/>
          <w:sz w:val="33"/>
          <w:szCs w:val="33"/>
          <w14:textFill>
            <w14:solidFill>
              <w14:schemeClr w14:val="tx1"/>
            </w14:solidFill>
          </w14:textFill>
        </w:rPr>
      </w:pP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年财政拨款支出总计</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万元，其中：一般公共服务支出</w:t>
      </w:r>
      <w:r>
        <w:rPr>
          <w:rFonts w:hint="eastAsia" w:eastAsia="方正仿宋_GBK"/>
          <w:color w:val="000000" w:themeColor="text1"/>
          <w:sz w:val="33"/>
          <w:szCs w:val="33"/>
          <w14:textFill>
            <w14:solidFill>
              <w14:schemeClr w14:val="tx1"/>
            </w14:solidFill>
          </w14:textFill>
        </w:rPr>
        <w:t>1327.23</w:t>
      </w:r>
      <w:r>
        <w:rPr>
          <w:rFonts w:eastAsia="方正仿宋_GBK"/>
          <w:color w:val="000000" w:themeColor="text1"/>
          <w:sz w:val="33"/>
          <w:szCs w:val="33"/>
          <w14:textFill>
            <w14:solidFill>
              <w14:schemeClr w14:val="tx1"/>
            </w14:solidFill>
          </w14:textFill>
        </w:rPr>
        <w:t>万元，社会保障和就业</w:t>
      </w:r>
      <w:r>
        <w:rPr>
          <w:rFonts w:hint="eastAsia" w:eastAsia="方正仿宋_GBK"/>
          <w:color w:val="000000" w:themeColor="text1"/>
          <w:sz w:val="33"/>
          <w:szCs w:val="33"/>
          <w14:textFill>
            <w14:solidFill>
              <w14:schemeClr w14:val="tx1"/>
            </w14:solidFill>
          </w14:textFill>
        </w:rPr>
        <w:t>155.91</w:t>
      </w:r>
      <w:r>
        <w:rPr>
          <w:rFonts w:eastAsia="方正仿宋_GBK"/>
          <w:color w:val="000000" w:themeColor="text1"/>
          <w:sz w:val="33"/>
          <w:szCs w:val="33"/>
          <w14:textFill>
            <w14:solidFill>
              <w14:schemeClr w14:val="tx1"/>
            </w14:solidFill>
          </w14:textFill>
        </w:rPr>
        <w:t>万元，卫生健康支出</w:t>
      </w:r>
      <w:r>
        <w:rPr>
          <w:rFonts w:hint="eastAsia" w:eastAsia="方正仿宋_GBK"/>
          <w:color w:val="000000" w:themeColor="text1"/>
          <w:sz w:val="33"/>
          <w:szCs w:val="33"/>
          <w14:textFill>
            <w14:solidFill>
              <w14:schemeClr w14:val="tx1"/>
            </w14:solidFill>
          </w14:textFill>
        </w:rPr>
        <w:t>80.44</w:t>
      </w:r>
      <w:r>
        <w:rPr>
          <w:rFonts w:eastAsia="方正仿宋_GBK"/>
          <w:color w:val="000000" w:themeColor="text1"/>
          <w:sz w:val="33"/>
          <w:szCs w:val="33"/>
          <w14:textFill>
            <w14:solidFill>
              <w14:schemeClr w14:val="tx1"/>
            </w14:solidFill>
          </w14:textFill>
        </w:rPr>
        <w:t>万元，住房保障支出</w:t>
      </w:r>
      <w:r>
        <w:rPr>
          <w:rFonts w:hint="eastAsia" w:eastAsia="方正仿宋_GBK"/>
          <w:color w:val="000000" w:themeColor="text1"/>
          <w:sz w:val="33"/>
          <w:szCs w:val="33"/>
          <w14:textFill>
            <w14:solidFill>
              <w14:schemeClr w14:val="tx1"/>
            </w14:solidFill>
          </w14:textFill>
        </w:rPr>
        <w:t>83.05</w:t>
      </w:r>
      <w:r>
        <w:rPr>
          <w:rFonts w:eastAsia="方正仿宋_GBK"/>
          <w:color w:val="000000" w:themeColor="text1"/>
          <w:sz w:val="33"/>
          <w:szCs w:val="33"/>
          <w14:textFill>
            <w14:solidFill>
              <w14:schemeClr w14:val="tx1"/>
            </w14:solidFill>
          </w14:textFill>
        </w:rPr>
        <w:t>万元，</w:t>
      </w:r>
      <w:r>
        <w:rPr>
          <w:rFonts w:hint="eastAsia" w:eastAsia="方正仿宋_GBK"/>
          <w:color w:val="000000" w:themeColor="text1"/>
          <w:sz w:val="33"/>
          <w:szCs w:val="33"/>
          <w14:textFill>
            <w14:solidFill>
              <w14:schemeClr w14:val="tx1"/>
            </w14:solidFill>
          </w14:textFill>
        </w:rPr>
        <w:t>文化旅游体育与传媒</w:t>
      </w:r>
      <w:r>
        <w:rPr>
          <w:rFonts w:eastAsia="方正仿宋_GBK"/>
          <w:color w:val="000000" w:themeColor="text1"/>
          <w:sz w:val="33"/>
          <w:szCs w:val="33"/>
          <w14:textFill>
            <w14:solidFill>
              <w14:schemeClr w14:val="tx1"/>
            </w14:solidFill>
          </w14:textFill>
        </w:rPr>
        <w:t>支出</w:t>
      </w:r>
      <w:r>
        <w:rPr>
          <w:rFonts w:hint="eastAsia" w:eastAsia="方正仿宋_GBK"/>
          <w:color w:val="000000" w:themeColor="text1"/>
          <w:sz w:val="33"/>
          <w:szCs w:val="33"/>
          <w14:textFill>
            <w14:solidFill>
              <w14:schemeClr w14:val="tx1"/>
            </w14:solidFill>
          </w14:textFill>
        </w:rPr>
        <w:t>14.03</w:t>
      </w:r>
      <w:r>
        <w:rPr>
          <w:rFonts w:eastAsia="方正仿宋_GBK"/>
          <w:color w:val="000000" w:themeColor="text1"/>
          <w:sz w:val="33"/>
          <w:szCs w:val="33"/>
          <w14:textFill>
            <w14:solidFill>
              <w14:schemeClr w14:val="tx1"/>
            </w14:solidFill>
          </w14:textFill>
        </w:rPr>
        <w:t>万元，其他支出</w:t>
      </w:r>
      <w:r>
        <w:rPr>
          <w:rFonts w:hint="eastAsia" w:eastAsia="方正仿宋_GBK"/>
          <w:color w:val="000000" w:themeColor="text1"/>
          <w:sz w:val="33"/>
          <w:szCs w:val="33"/>
          <w14:textFill>
            <w14:solidFill>
              <w14:schemeClr w14:val="tx1"/>
            </w14:solidFill>
          </w14:textFill>
        </w:rPr>
        <w:t>14.56</w:t>
      </w:r>
      <w:r>
        <w:rPr>
          <w:rFonts w:eastAsia="方正仿宋_GBK"/>
          <w:color w:val="000000" w:themeColor="text1"/>
          <w:sz w:val="33"/>
          <w:szCs w:val="33"/>
          <w14:textFill>
            <w14:solidFill>
              <w14:schemeClr w14:val="tx1"/>
            </w14:solidFill>
          </w14:textFill>
        </w:rPr>
        <w:t>万元。支出预算总额较</w:t>
      </w:r>
      <w:r>
        <w:rPr>
          <w:rFonts w:hint="eastAsia" w:eastAsia="方正仿宋_GBK"/>
          <w:color w:val="000000" w:themeColor="text1"/>
          <w:sz w:val="33"/>
          <w:szCs w:val="33"/>
          <w14:textFill>
            <w14:solidFill>
              <w14:schemeClr w14:val="tx1"/>
            </w14:solidFill>
          </w14:textFill>
        </w:rPr>
        <w:t>2021</w:t>
      </w:r>
      <w:r>
        <w:rPr>
          <w:rFonts w:eastAsia="方正仿宋_GBK"/>
          <w:color w:val="000000" w:themeColor="text1"/>
          <w:sz w:val="33"/>
          <w:szCs w:val="33"/>
          <w14:textFill>
            <w14:solidFill>
              <w14:schemeClr w14:val="tx1"/>
            </w14:solidFill>
          </w14:textFill>
        </w:rPr>
        <w:t>年（</w:t>
      </w:r>
      <w:r>
        <w:rPr>
          <w:rFonts w:hint="eastAsia" w:eastAsia="方正仿宋_GBK"/>
          <w:color w:val="000000" w:themeColor="text1"/>
          <w:sz w:val="33"/>
          <w:szCs w:val="33"/>
          <w14:textFill>
            <w14:solidFill>
              <w14:schemeClr w14:val="tx1"/>
            </w14:solidFill>
          </w14:textFill>
        </w:rPr>
        <w:t>1839.85</w:t>
      </w:r>
      <w:r>
        <w:rPr>
          <w:rFonts w:eastAsia="方正仿宋_GBK"/>
          <w:color w:val="000000" w:themeColor="text1"/>
          <w:sz w:val="33"/>
          <w:szCs w:val="33"/>
          <w14:textFill>
            <w14:solidFill>
              <w14:schemeClr w14:val="tx1"/>
            </w14:solidFill>
          </w14:textFill>
        </w:rPr>
        <w:t>万元）减少了</w:t>
      </w:r>
      <w:r>
        <w:rPr>
          <w:rFonts w:hint="eastAsia" w:eastAsia="方正仿宋_GBK"/>
          <w:color w:val="000000" w:themeColor="text1"/>
          <w:sz w:val="33"/>
          <w:szCs w:val="33"/>
          <w14:textFill>
            <w14:solidFill>
              <w14:schemeClr w14:val="tx1"/>
            </w14:solidFill>
          </w14:textFill>
        </w:rPr>
        <w:t>164.63</w:t>
      </w:r>
      <w:r>
        <w:rPr>
          <w:rFonts w:eastAsia="方正仿宋_GBK"/>
          <w:color w:val="000000" w:themeColor="text1"/>
          <w:sz w:val="33"/>
          <w:szCs w:val="33"/>
          <w14:textFill>
            <w14:solidFill>
              <w14:schemeClr w14:val="tx1"/>
            </w14:solidFill>
          </w14:textFill>
        </w:rPr>
        <w:t>万元，同比下降</w:t>
      </w:r>
      <w:r>
        <w:rPr>
          <w:rFonts w:hint="eastAsia" w:eastAsia="方正仿宋_GBK"/>
          <w:color w:val="000000" w:themeColor="text1"/>
          <w:sz w:val="33"/>
          <w:szCs w:val="33"/>
          <w14:textFill>
            <w14:solidFill>
              <w14:schemeClr w14:val="tx1"/>
            </w14:solidFill>
          </w14:textFill>
        </w:rPr>
        <w:t>8.9</w:t>
      </w:r>
      <w:r>
        <w:rPr>
          <w:rFonts w:eastAsia="方正仿宋_GBK"/>
          <w:color w:val="000000" w:themeColor="text1"/>
          <w:sz w:val="33"/>
          <w:szCs w:val="33"/>
          <w14:textFill>
            <w14:solidFill>
              <w14:schemeClr w14:val="tx1"/>
            </w14:solidFill>
          </w14:textFill>
        </w:rPr>
        <w:t>%，</w:t>
      </w:r>
      <w:r>
        <w:rPr>
          <w:rFonts w:eastAsia="方正仿宋_GBK"/>
          <w:sz w:val="33"/>
          <w:szCs w:val="33"/>
        </w:rPr>
        <w:t>。主要是</w:t>
      </w:r>
      <w:r>
        <w:rPr>
          <w:rFonts w:hint="eastAsia" w:eastAsia="方正仿宋_GBK"/>
          <w:sz w:val="33"/>
          <w:szCs w:val="33"/>
        </w:rPr>
        <w:t>2022</w:t>
      </w:r>
      <w:r>
        <w:rPr>
          <w:rFonts w:eastAsia="方正仿宋_GBK"/>
          <w:sz w:val="33"/>
          <w:szCs w:val="33"/>
        </w:rPr>
        <w:t>年县财政贯彻</w:t>
      </w:r>
      <w:r>
        <w:rPr>
          <w:rFonts w:eastAsia="方正仿宋_GBK"/>
          <w:color w:val="000000" w:themeColor="text1"/>
          <w:sz w:val="33"/>
          <w:szCs w:val="33"/>
          <w14:textFill>
            <w14:solidFill>
              <w14:schemeClr w14:val="tx1"/>
            </w14:solidFill>
          </w14:textFill>
        </w:rPr>
        <w:t>中央精神，进一步压缩三公经费、公务接待等，实现开源节流。</w:t>
      </w:r>
    </w:p>
    <w:p>
      <w:pPr>
        <w:pStyle w:val="2"/>
        <w:spacing w:beforeLines="0"/>
        <w:jc w:val="center"/>
        <w:rPr>
          <w:rFonts w:ascii="Times New Roman" w:eastAsia="方正仿宋_GBK"/>
          <w:kern w:val="2"/>
          <w:sz w:val="33"/>
          <w:szCs w:val="33"/>
        </w:rPr>
      </w:pPr>
      <w:r>
        <w:rPr>
          <w:rFonts w:ascii="Times New Roman" w:eastAsia="方正仿宋_GBK"/>
          <w:sz w:val="33"/>
          <w:szCs w:val="33"/>
        </w:rPr>
        <w:object>
          <v:shape id="_x0000_i1026" o:spt="75" type="#_x0000_t75" style="height:128.85pt;width:339.7pt;" o:ole="t" filled="f" o:preferrelative="t" stroked="f" coordsize="21600,21600">
            <v:path/>
            <v:fill on="f" focussize="0,0"/>
            <v:stroke on="f" joinstyle="miter"/>
            <v:imagedata r:id="rId16" o:title=""/>
            <o:lock v:ext="edit" aspectratio="t"/>
            <w10:wrap type="none"/>
            <w10:anchorlock/>
          </v:shape>
          <o:OLEObject Type="Embed" ProgID="Excel.Chart.8" ShapeID="_x0000_i1026" DrawAspect="Content" ObjectID="_1468075728" r:id="rId15">
            <o:LockedField>false</o:LockedField>
          </o:OLEObject>
        </w:object>
      </w:r>
    </w:p>
    <w:p>
      <w:pPr>
        <w:ind w:firstLine="640"/>
        <w:rPr>
          <w:rFonts w:eastAsia="方正仿宋_GBK"/>
          <w:color w:val="000000" w:themeColor="text1"/>
          <w:sz w:val="33"/>
          <w:szCs w:val="33"/>
          <w14:textFill>
            <w14:solidFill>
              <w14:schemeClr w14:val="tx1"/>
            </w14:solidFill>
          </w14:textFill>
        </w:rPr>
      </w:pPr>
      <w:r>
        <w:rPr>
          <w:rFonts w:eastAsia="方正仿宋_GBK"/>
          <w:color w:val="000000" w:themeColor="text1"/>
          <w:sz w:val="33"/>
          <w:szCs w:val="33"/>
          <w14:textFill>
            <w14:solidFill>
              <w14:schemeClr w14:val="tx1"/>
            </w14:solidFill>
          </w14:textFill>
        </w:rPr>
        <w:t>（图4：财政拨款收、支决算总计变动情况）（柱状图）</w:t>
      </w:r>
    </w:p>
    <w:p>
      <w:pPr>
        <w:pStyle w:val="2"/>
        <w:spacing w:before="93"/>
      </w:pPr>
    </w:p>
    <w:p>
      <w:pPr>
        <w:pStyle w:val="30"/>
        <w:ind w:firstLine="660"/>
        <w:outlineLvl w:val="1"/>
        <w:rPr>
          <w:rFonts w:ascii="方正黑体_GBK" w:hAnsi="方正黑体_GBK" w:eastAsia="方正黑体_GBK" w:cs="方正黑体_GBK"/>
          <w:sz w:val="33"/>
          <w:szCs w:val="33"/>
        </w:rPr>
      </w:pPr>
      <w:bookmarkStart w:id="32" w:name="_Toc15377209"/>
      <w:bookmarkStart w:id="33" w:name="_Toc15396607"/>
      <w:r>
        <w:rPr>
          <w:rFonts w:ascii="方正黑体_GBK" w:hAnsi="方正黑体_GBK" w:eastAsia="方正黑体_GBK" w:cs="方正黑体_GBK"/>
          <w:sz w:val="33"/>
          <w:szCs w:val="33"/>
        </w:rPr>
        <w:t>五、一般公共预算财政拨款支出决算情况说明</w:t>
      </w:r>
      <w:bookmarkEnd w:id="32"/>
      <w:bookmarkEnd w:id="33"/>
    </w:p>
    <w:p>
      <w:pPr>
        <w:ind w:firstLine="640"/>
        <w:rPr>
          <w:rFonts w:ascii="方正楷体_GBK" w:hAnsi="方正楷体_GBK" w:eastAsia="方正楷体_GBK" w:cs="方正楷体_GBK"/>
          <w:b/>
          <w:bCs/>
          <w:color w:val="000000" w:themeColor="text1"/>
          <w:sz w:val="33"/>
          <w:szCs w:val="33"/>
          <w14:textFill>
            <w14:solidFill>
              <w14:schemeClr w14:val="tx1"/>
            </w14:solidFill>
          </w14:textFill>
        </w:rPr>
      </w:pPr>
      <w:bookmarkStart w:id="34" w:name="_Toc15377210"/>
      <w:r>
        <w:rPr>
          <w:rFonts w:hint="eastAsia" w:ascii="方正楷体_GBK" w:hAnsi="方正楷体_GBK" w:eastAsia="方正楷体_GBK" w:cs="方正楷体_GBK"/>
          <w:b/>
          <w:bCs/>
          <w:color w:val="000000" w:themeColor="text1"/>
          <w:sz w:val="33"/>
          <w:szCs w:val="33"/>
          <w14:textFill>
            <w14:solidFill>
              <w14:schemeClr w14:val="tx1"/>
            </w14:solidFill>
          </w14:textFill>
        </w:rPr>
        <w:t>（一）一般公共预算财政拨款支出决算总体情况</w:t>
      </w:r>
      <w:bookmarkEnd w:id="34"/>
    </w:p>
    <w:p>
      <w:pPr>
        <w:ind w:firstLine="640"/>
        <w:rPr>
          <w:rFonts w:eastAsia="方正仿宋_GBK"/>
          <w:color w:val="993300"/>
          <w:sz w:val="33"/>
          <w:szCs w:val="33"/>
        </w:rPr>
      </w:pP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年一般公共预算财政拨款支出</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万元，占本年支出合计的100%。</w:t>
      </w:r>
      <w:r>
        <w:rPr>
          <w:rFonts w:eastAsia="方正仿宋_GBK"/>
          <w:sz w:val="33"/>
          <w:szCs w:val="33"/>
        </w:rPr>
        <w:t>与</w:t>
      </w:r>
      <w:r>
        <w:rPr>
          <w:rFonts w:hint="eastAsia" w:eastAsia="方正仿宋_GBK"/>
          <w:sz w:val="33"/>
          <w:szCs w:val="33"/>
        </w:rPr>
        <w:t>2021</w:t>
      </w:r>
      <w:r>
        <w:rPr>
          <w:rFonts w:eastAsia="方正仿宋_GBK"/>
          <w:sz w:val="33"/>
          <w:szCs w:val="33"/>
        </w:rPr>
        <w:t>年（</w:t>
      </w:r>
      <w:r>
        <w:rPr>
          <w:rFonts w:hint="eastAsia" w:eastAsia="方正仿宋_GBK"/>
          <w:sz w:val="33"/>
          <w:szCs w:val="33"/>
        </w:rPr>
        <w:t>1839.85</w:t>
      </w:r>
      <w:r>
        <w:rPr>
          <w:rFonts w:eastAsia="方正仿宋_GBK"/>
          <w:sz w:val="33"/>
          <w:szCs w:val="33"/>
        </w:rPr>
        <w:t>万元）相比，一般公共预算财政拨款支出减少</w:t>
      </w:r>
      <w:r>
        <w:rPr>
          <w:rFonts w:hint="eastAsia" w:eastAsia="方正仿宋_GBK"/>
          <w:sz w:val="33"/>
          <w:szCs w:val="33"/>
        </w:rPr>
        <w:t>164.63</w:t>
      </w:r>
      <w:r>
        <w:rPr>
          <w:rFonts w:eastAsia="方正仿宋_GBK"/>
          <w:sz w:val="33"/>
          <w:szCs w:val="33"/>
        </w:rPr>
        <w:t>万元，下降</w:t>
      </w:r>
      <w:r>
        <w:rPr>
          <w:rFonts w:hint="eastAsia" w:eastAsia="方正仿宋_GBK"/>
          <w:sz w:val="33"/>
          <w:szCs w:val="33"/>
        </w:rPr>
        <w:t>8.9</w:t>
      </w:r>
      <w:r>
        <w:rPr>
          <w:rFonts w:eastAsia="方正仿宋_GBK"/>
          <w:sz w:val="33"/>
          <w:szCs w:val="33"/>
        </w:rPr>
        <w:t>%。主要变动原因是主要是</w:t>
      </w:r>
      <w:r>
        <w:rPr>
          <w:rFonts w:hint="eastAsia" w:eastAsia="方正仿宋_GBK"/>
          <w:sz w:val="33"/>
          <w:szCs w:val="33"/>
        </w:rPr>
        <w:t>2022</w:t>
      </w:r>
      <w:r>
        <w:rPr>
          <w:rFonts w:eastAsia="方正仿宋_GBK"/>
          <w:color w:val="000000" w:themeColor="text1"/>
          <w:sz w:val="33"/>
          <w:szCs w:val="33"/>
          <w14:textFill>
            <w14:solidFill>
              <w14:schemeClr w14:val="tx1"/>
            </w14:solidFill>
          </w14:textFill>
        </w:rPr>
        <w:t>年县财政贯彻中央精神，调减财政拨款，进一步压缩三公经费、公务接待等，实现开源节流。</w:t>
      </w:r>
    </w:p>
    <w:p>
      <w:pPr>
        <w:pStyle w:val="2"/>
        <w:spacing w:beforeLines="0"/>
        <w:rPr>
          <w:rFonts w:ascii="Times New Roman" w:eastAsia="方正仿宋_GBK"/>
          <w:color w:val="993300"/>
          <w:sz w:val="33"/>
          <w:szCs w:val="33"/>
        </w:rPr>
      </w:pPr>
      <w:r>
        <w:rPr>
          <w:rFonts w:ascii="Times New Roman" w:eastAsia="方正仿宋_GBK"/>
          <w:sz w:val="33"/>
          <w:szCs w:val="33"/>
        </w:rPr>
        <w:pict>
          <v:shape id="_x0000_s1030" o:spid="_x0000_s1030" o:spt="75" type="#_x0000_t75" style="position:absolute;left:0pt;margin-left:-6.25pt;margin-top:18.75pt;height:180.75pt;width:377.25pt;mso-wrap-distance-left:9pt;mso-wrap-distance-right:9pt;z-index:251661312;mso-width-relative:page;mso-height-relative:page;" o:ole="t" filled="f" o:preferrelative="t" stroked="f" coordsize="21600,21600" wrapcoords="21592 -2 0 0 0 21599 21592 21601 8 21601 21600 21599 21600 0 8 -2 21592 -2">
            <v:path/>
            <v:fill on="f" focussize="0,0"/>
            <v:stroke on="f" joinstyle="miter"/>
            <v:imagedata r:id="rId18" o:title=""/>
            <o:lock v:ext="edit" aspectratio="t"/>
            <w10:wrap type="tight"/>
          </v:shape>
          <o:OLEObject Type="Embed" ProgID="Excel.Chart.8" ShapeID="_x0000_s1030" DrawAspect="Content" ObjectID="_1468075729" r:id="rId17">
            <o:LockedField>false</o:LockedField>
          </o:OLEObject>
        </w:pict>
      </w:r>
    </w:p>
    <w:p>
      <w:pPr>
        <w:ind w:firstLine="660" w:firstLineChars="200"/>
        <w:rPr>
          <w:rFonts w:eastAsia="方正仿宋_GBK"/>
          <w:sz w:val="33"/>
          <w:szCs w:val="33"/>
        </w:rPr>
      </w:pPr>
    </w:p>
    <w:p>
      <w:pPr>
        <w:pStyle w:val="2"/>
        <w:spacing w:beforeLines="0"/>
        <w:rPr>
          <w:rFonts w:ascii="Times New Roman" w:eastAsia="方正仿宋_GBK"/>
          <w:sz w:val="33"/>
          <w:szCs w:val="33"/>
        </w:rPr>
      </w:pPr>
    </w:p>
    <w:p>
      <w:pPr>
        <w:ind w:firstLine="660" w:firstLineChars="200"/>
        <w:rPr>
          <w:rFonts w:eastAsia="方正仿宋_GBK"/>
          <w:sz w:val="33"/>
          <w:szCs w:val="33"/>
        </w:rPr>
      </w:pPr>
      <w:r>
        <w:rPr>
          <w:rFonts w:eastAsia="方正仿宋_GBK"/>
          <w:sz w:val="33"/>
          <w:szCs w:val="33"/>
        </w:rPr>
        <w:t>（图5：一般公共预算财政拨款支出决算变动情况）（柱状图）</w:t>
      </w:r>
    </w:p>
    <w:p>
      <w:pPr>
        <w:pStyle w:val="2"/>
        <w:spacing w:before="93"/>
      </w:pPr>
    </w:p>
    <w:p>
      <w:pPr>
        <w:ind w:firstLine="640"/>
        <w:rPr>
          <w:rFonts w:ascii="方正楷体_GBK" w:hAnsi="方正楷体_GBK" w:eastAsia="方正楷体_GBK" w:cs="方正楷体_GBK"/>
          <w:b/>
          <w:bCs/>
          <w:color w:val="000000" w:themeColor="text1"/>
          <w:sz w:val="33"/>
          <w:szCs w:val="33"/>
          <w14:textFill>
            <w14:solidFill>
              <w14:schemeClr w14:val="tx1"/>
            </w14:solidFill>
          </w14:textFill>
        </w:rPr>
      </w:pPr>
      <w:bookmarkStart w:id="35" w:name="_Toc15377211"/>
      <w:r>
        <w:rPr>
          <w:rFonts w:ascii="方正楷体_GBK" w:hAnsi="方正楷体_GBK" w:eastAsia="方正楷体_GBK" w:cs="方正楷体_GBK"/>
          <w:b/>
          <w:bCs/>
          <w:color w:val="000000" w:themeColor="text1"/>
          <w:sz w:val="33"/>
          <w:szCs w:val="33"/>
          <w14:textFill>
            <w14:solidFill>
              <w14:schemeClr w14:val="tx1"/>
            </w14:solidFill>
          </w14:textFill>
        </w:rPr>
        <w:t>（二）一般公共预算财政拨款支出决算结构情况</w:t>
      </w:r>
      <w:bookmarkEnd w:id="35"/>
    </w:p>
    <w:p>
      <w:pPr>
        <w:ind w:firstLine="640"/>
        <w:rPr>
          <w:rFonts w:eastAsia="方正仿宋_GBK"/>
          <w:color w:val="993300"/>
          <w:sz w:val="33"/>
          <w:szCs w:val="33"/>
        </w:rPr>
      </w:pPr>
      <w:r>
        <w:rPr>
          <w:rFonts w:hint="eastAsia" w:eastAsia="方正仿宋_GBK"/>
          <w:color w:val="000000" w:themeColor="text1"/>
          <w:sz w:val="33"/>
          <w:szCs w:val="33"/>
          <w14:textFill>
            <w14:solidFill>
              <w14:schemeClr w14:val="tx1"/>
            </w14:solidFill>
          </w14:textFill>
        </w:rPr>
        <w:t>2022</w:t>
      </w:r>
      <w:r>
        <w:rPr>
          <w:rFonts w:eastAsia="方正仿宋_GBK"/>
          <w:color w:val="000000" w:themeColor="text1"/>
          <w:sz w:val="33"/>
          <w:szCs w:val="33"/>
          <w14:textFill>
            <w14:solidFill>
              <w14:schemeClr w14:val="tx1"/>
            </w14:solidFill>
          </w14:textFill>
        </w:rPr>
        <w:t>年一般公共预算财政拨款支出</w:t>
      </w:r>
      <w:r>
        <w:rPr>
          <w:rFonts w:hint="eastAsia" w:eastAsia="方正仿宋_GBK"/>
          <w:color w:val="000000" w:themeColor="text1"/>
          <w:sz w:val="33"/>
          <w:szCs w:val="33"/>
          <w14:textFill>
            <w14:solidFill>
              <w14:schemeClr w14:val="tx1"/>
            </w14:solidFill>
          </w14:textFill>
        </w:rPr>
        <w:t>1675.22</w:t>
      </w:r>
      <w:r>
        <w:rPr>
          <w:rFonts w:eastAsia="方正仿宋_GBK"/>
          <w:color w:val="000000" w:themeColor="text1"/>
          <w:sz w:val="33"/>
          <w:szCs w:val="33"/>
          <w14:textFill>
            <w14:solidFill>
              <w14:schemeClr w14:val="tx1"/>
            </w14:solidFill>
          </w14:textFill>
        </w:rPr>
        <w:t>万元，主要用于以下方面</w:t>
      </w:r>
      <w:r>
        <w:rPr>
          <w:rFonts w:hint="eastAsia" w:eastAsia="方正仿宋_GBK"/>
          <w:color w:val="000000" w:themeColor="text1"/>
          <w:sz w:val="33"/>
          <w:szCs w:val="33"/>
          <w14:textFill>
            <w14:solidFill>
              <w14:schemeClr w14:val="tx1"/>
            </w14:solidFill>
          </w14:textFill>
        </w:rPr>
        <w:t>：</w:t>
      </w:r>
      <w:r>
        <w:rPr>
          <w:rFonts w:eastAsia="方正仿宋_GBK"/>
          <w:color w:val="000000" w:themeColor="text1"/>
          <w:sz w:val="33"/>
          <w:szCs w:val="33"/>
          <w14:textFill>
            <w14:solidFill>
              <w14:schemeClr w14:val="tx1"/>
            </w14:solidFill>
          </w14:textFill>
        </w:rPr>
        <w:t>一般公共服务（类）支出</w:t>
      </w:r>
      <w:r>
        <w:rPr>
          <w:rFonts w:hint="eastAsia" w:eastAsia="方正仿宋_GBK"/>
          <w:color w:val="000000" w:themeColor="text1"/>
          <w:sz w:val="33"/>
          <w:szCs w:val="33"/>
          <w14:textFill>
            <w14:solidFill>
              <w14:schemeClr w14:val="tx1"/>
            </w14:solidFill>
          </w14:textFill>
        </w:rPr>
        <w:t>1327.23</w:t>
      </w:r>
      <w:r>
        <w:rPr>
          <w:rFonts w:eastAsia="方正仿宋_GBK"/>
          <w:color w:val="000000" w:themeColor="text1"/>
          <w:sz w:val="33"/>
          <w:szCs w:val="33"/>
          <w14:textFill>
            <w14:solidFill>
              <w14:schemeClr w14:val="tx1"/>
            </w14:solidFill>
          </w14:textFill>
        </w:rPr>
        <w:t>万元，占</w:t>
      </w:r>
      <w:r>
        <w:rPr>
          <w:rFonts w:hint="eastAsia" w:eastAsia="方正仿宋_GBK"/>
          <w:color w:val="000000" w:themeColor="text1"/>
          <w:sz w:val="33"/>
          <w:szCs w:val="33"/>
          <w14:textFill>
            <w14:solidFill>
              <w14:schemeClr w14:val="tx1"/>
            </w14:solidFill>
          </w14:textFill>
        </w:rPr>
        <w:t>79.23%</w:t>
      </w:r>
      <w:r>
        <w:rPr>
          <w:rFonts w:eastAsia="方正仿宋_GBK"/>
          <w:color w:val="000000" w:themeColor="text1"/>
          <w:sz w:val="33"/>
          <w:szCs w:val="33"/>
          <w14:textFill>
            <w14:solidFill>
              <w14:schemeClr w14:val="tx1"/>
            </w14:solidFill>
          </w14:textFill>
        </w:rPr>
        <w:t>；社会保障和就业（类）支出</w:t>
      </w:r>
      <w:r>
        <w:rPr>
          <w:rFonts w:hint="eastAsia" w:eastAsia="方正仿宋_GBK"/>
          <w:color w:val="000000" w:themeColor="text1"/>
          <w:sz w:val="33"/>
          <w:szCs w:val="33"/>
          <w14:textFill>
            <w14:solidFill>
              <w14:schemeClr w14:val="tx1"/>
            </w14:solidFill>
          </w14:textFill>
        </w:rPr>
        <w:t>155.91</w:t>
      </w:r>
      <w:r>
        <w:rPr>
          <w:rFonts w:eastAsia="方正仿宋_GBK"/>
          <w:color w:val="000000" w:themeColor="text1"/>
          <w:sz w:val="33"/>
          <w:szCs w:val="33"/>
          <w14:textFill>
            <w14:solidFill>
              <w14:schemeClr w14:val="tx1"/>
            </w14:solidFill>
          </w14:textFill>
        </w:rPr>
        <w:t>万元，占</w:t>
      </w:r>
      <w:r>
        <w:rPr>
          <w:rFonts w:hint="eastAsia" w:eastAsia="方正仿宋_GBK"/>
          <w:color w:val="000000" w:themeColor="text1"/>
          <w:sz w:val="33"/>
          <w:szCs w:val="33"/>
          <w14:textFill>
            <w14:solidFill>
              <w14:schemeClr w14:val="tx1"/>
            </w14:solidFill>
          </w14:textFill>
        </w:rPr>
        <w:t>9.31</w:t>
      </w:r>
      <w:r>
        <w:rPr>
          <w:rFonts w:eastAsia="方正仿宋_GBK"/>
          <w:color w:val="000000" w:themeColor="text1"/>
          <w:sz w:val="33"/>
          <w:szCs w:val="33"/>
          <w14:textFill>
            <w14:solidFill>
              <w14:schemeClr w14:val="tx1"/>
            </w14:solidFill>
          </w14:textFill>
        </w:rPr>
        <w:t>%；卫生健康支出</w:t>
      </w:r>
      <w:r>
        <w:rPr>
          <w:rFonts w:hint="eastAsia" w:eastAsia="方正仿宋_GBK"/>
          <w:color w:val="000000" w:themeColor="text1"/>
          <w:sz w:val="33"/>
          <w:szCs w:val="33"/>
          <w14:textFill>
            <w14:solidFill>
              <w14:schemeClr w14:val="tx1"/>
            </w14:solidFill>
          </w14:textFill>
        </w:rPr>
        <w:t>80.44</w:t>
      </w:r>
      <w:r>
        <w:rPr>
          <w:rFonts w:eastAsia="方正仿宋_GBK"/>
          <w:color w:val="000000" w:themeColor="text1"/>
          <w:sz w:val="33"/>
          <w:szCs w:val="33"/>
          <w14:textFill>
            <w14:solidFill>
              <w14:schemeClr w14:val="tx1"/>
            </w14:solidFill>
          </w14:textFill>
        </w:rPr>
        <w:t>万元，占</w:t>
      </w:r>
      <w:r>
        <w:rPr>
          <w:rFonts w:hint="eastAsia" w:eastAsia="方正仿宋_GBK"/>
          <w:color w:val="000000" w:themeColor="text1"/>
          <w:sz w:val="33"/>
          <w:szCs w:val="33"/>
          <w14:textFill>
            <w14:solidFill>
              <w14:schemeClr w14:val="tx1"/>
            </w14:solidFill>
          </w14:textFill>
        </w:rPr>
        <w:t>4.80</w:t>
      </w:r>
      <w:r>
        <w:rPr>
          <w:rFonts w:eastAsia="方正仿宋_GBK"/>
          <w:color w:val="000000" w:themeColor="text1"/>
          <w:sz w:val="33"/>
          <w:szCs w:val="33"/>
          <w14:textFill>
            <w14:solidFill>
              <w14:schemeClr w14:val="tx1"/>
            </w14:solidFill>
          </w14:textFill>
        </w:rPr>
        <w:t>%；住房保障支出</w:t>
      </w:r>
      <w:r>
        <w:rPr>
          <w:rFonts w:hint="eastAsia" w:eastAsia="方正仿宋_GBK"/>
          <w:color w:val="000000" w:themeColor="text1"/>
          <w:sz w:val="33"/>
          <w:szCs w:val="33"/>
          <w14:textFill>
            <w14:solidFill>
              <w14:schemeClr w14:val="tx1"/>
            </w14:solidFill>
          </w14:textFill>
        </w:rPr>
        <w:t>83.05</w:t>
      </w:r>
      <w:r>
        <w:rPr>
          <w:rFonts w:eastAsia="方正仿宋_GBK"/>
          <w:color w:val="000000" w:themeColor="text1"/>
          <w:sz w:val="33"/>
          <w:szCs w:val="33"/>
          <w14:textFill>
            <w14:solidFill>
              <w14:schemeClr w14:val="tx1"/>
            </w14:solidFill>
          </w14:textFill>
        </w:rPr>
        <w:t>万元，占</w:t>
      </w:r>
      <w:r>
        <w:rPr>
          <w:rFonts w:hint="eastAsia" w:eastAsia="方正仿宋_GBK"/>
          <w:color w:val="000000" w:themeColor="text1"/>
          <w:sz w:val="33"/>
          <w:szCs w:val="33"/>
          <w14:textFill>
            <w14:solidFill>
              <w14:schemeClr w14:val="tx1"/>
            </w14:solidFill>
          </w14:textFill>
        </w:rPr>
        <w:t>4.96</w:t>
      </w:r>
      <w:r>
        <w:rPr>
          <w:rFonts w:eastAsia="方正仿宋_GBK"/>
          <w:color w:val="000000" w:themeColor="text1"/>
          <w:sz w:val="33"/>
          <w:szCs w:val="33"/>
          <w14:textFill>
            <w14:solidFill>
              <w14:schemeClr w14:val="tx1"/>
            </w14:solidFill>
          </w14:textFill>
        </w:rPr>
        <w:t>%；</w:t>
      </w:r>
      <w:r>
        <w:rPr>
          <w:rFonts w:hint="eastAsia" w:eastAsia="方正仿宋_GBK"/>
          <w:color w:val="000000" w:themeColor="text1"/>
          <w:sz w:val="33"/>
          <w:szCs w:val="33"/>
          <w14:textFill>
            <w14:solidFill>
              <w14:schemeClr w14:val="tx1"/>
            </w14:solidFill>
          </w14:textFill>
        </w:rPr>
        <w:t>文化旅游体育与传媒支出14.03</w:t>
      </w:r>
      <w:r>
        <w:rPr>
          <w:rFonts w:eastAsia="方正仿宋_GBK"/>
          <w:color w:val="000000" w:themeColor="text1"/>
          <w:sz w:val="33"/>
          <w:szCs w:val="33"/>
          <w14:textFill>
            <w14:solidFill>
              <w14:schemeClr w14:val="tx1"/>
            </w14:solidFill>
          </w14:textFill>
        </w:rPr>
        <w:t>万元，占</w:t>
      </w:r>
      <w:r>
        <w:rPr>
          <w:rFonts w:hint="eastAsia" w:eastAsia="方正仿宋_GBK"/>
          <w:color w:val="000000" w:themeColor="text1"/>
          <w:sz w:val="33"/>
          <w:szCs w:val="33"/>
          <w14:textFill>
            <w14:solidFill>
              <w14:schemeClr w14:val="tx1"/>
            </w14:solidFill>
          </w14:textFill>
        </w:rPr>
        <w:t>0.84</w:t>
      </w:r>
      <w:r>
        <w:rPr>
          <w:rFonts w:eastAsia="方正仿宋_GBK"/>
          <w:color w:val="000000" w:themeColor="text1"/>
          <w:sz w:val="33"/>
          <w:szCs w:val="33"/>
          <w14:textFill>
            <w14:solidFill>
              <w14:schemeClr w14:val="tx1"/>
            </w14:solidFill>
          </w14:textFill>
        </w:rPr>
        <w:t>%；其他支出</w:t>
      </w:r>
      <w:r>
        <w:rPr>
          <w:rFonts w:hint="eastAsia" w:eastAsia="方正仿宋_GBK"/>
          <w:color w:val="000000" w:themeColor="text1"/>
          <w:sz w:val="33"/>
          <w:szCs w:val="33"/>
          <w14:textFill>
            <w14:solidFill>
              <w14:schemeClr w14:val="tx1"/>
            </w14:solidFill>
          </w14:textFill>
        </w:rPr>
        <w:t>14.56</w:t>
      </w:r>
      <w:r>
        <w:rPr>
          <w:rFonts w:eastAsia="方正仿宋_GBK"/>
          <w:color w:val="000000" w:themeColor="text1"/>
          <w:sz w:val="33"/>
          <w:szCs w:val="33"/>
          <w14:textFill>
            <w14:solidFill>
              <w14:schemeClr w14:val="tx1"/>
            </w14:solidFill>
          </w14:textFill>
        </w:rPr>
        <w:t>万元，占</w:t>
      </w:r>
      <w:r>
        <w:rPr>
          <w:rFonts w:hint="eastAsia" w:eastAsia="方正仿宋_GBK"/>
          <w:color w:val="000000" w:themeColor="text1"/>
          <w:sz w:val="33"/>
          <w:szCs w:val="33"/>
          <w14:textFill>
            <w14:solidFill>
              <w14:schemeClr w14:val="tx1"/>
            </w14:solidFill>
          </w14:textFill>
        </w:rPr>
        <w:t>0.87</w:t>
      </w:r>
      <w:r>
        <w:rPr>
          <w:rFonts w:eastAsia="方正仿宋_GBK"/>
          <w:color w:val="000000" w:themeColor="text1"/>
          <w:sz w:val="33"/>
          <w:szCs w:val="33"/>
          <w14:textFill>
            <w14:solidFill>
              <w14:schemeClr w14:val="tx1"/>
            </w14:solidFill>
          </w14:textFill>
        </w:rPr>
        <w:t>%。</w:t>
      </w:r>
    </w:p>
    <w:p>
      <w:pPr>
        <w:pStyle w:val="2"/>
        <w:spacing w:beforeLines="0"/>
        <w:rPr>
          <w:rFonts w:ascii="Times New Roman" w:eastAsia="方正仿宋_GBK"/>
          <w:color w:val="993300"/>
          <w:sz w:val="33"/>
          <w:szCs w:val="33"/>
        </w:rPr>
      </w:pPr>
    </w:p>
    <w:p>
      <w:pPr>
        <w:pStyle w:val="2"/>
        <w:spacing w:beforeLines="0"/>
        <w:rPr>
          <w:rFonts w:ascii="Times New Roman" w:eastAsia="方正仿宋_GBK"/>
          <w:color w:val="993300"/>
          <w:sz w:val="33"/>
          <w:szCs w:val="33"/>
        </w:rPr>
      </w:pPr>
    </w:p>
    <w:p>
      <w:pPr>
        <w:pStyle w:val="2"/>
        <w:spacing w:beforeLines="0"/>
        <w:rPr>
          <w:rFonts w:ascii="Times New Roman" w:eastAsia="方正仿宋_GBK"/>
          <w:color w:val="993300"/>
          <w:sz w:val="33"/>
          <w:szCs w:val="33"/>
        </w:rPr>
      </w:pPr>
    </w:p>
    <w:p>
      <w:pPr>
        <w:pStyle w:val="2"/>
        <w:spacing w:beforeLines="0"/>
        <w:rPr>
          <w:rFonts w:ascii="Times New Roman" w:eastAsia="方正仿宋_GBK"/>
          <w:color w:val="993300"/>
          <w:sz w:val="33"/>
          <w:szCs w:val="33"/>
        </w:rPr>
      </w:pPr>
    </w:p>
    <w:p>
      <w:pPr>
        <w:pStyle w:val="2"/>
        <w:spacing w:beforeLines="0"/>
        <w:rPr>
          <w:rFonts w:ascii="Times New Roman" w:eastAsia="方正仿宋_GBK"/>
          <w:color w:val="993300"/>
          <w:sz w:val="33"/>
          <w:szCs w:val="33"/>
        </w:rPr>
      </w:pPr>
    </w:p>
    <w:p>
      <w:pPr>
        <w:pStyle w:val="2"/>
        <w:spacing w:beforeLines="0"/>
        <w:rPr>
          <w:rFonts w:ascii="Times New Roman" w:eastAsia="方正仿宋_GBK"/>
          <w:color w:val="993300"/>
          <w:sz w:val="33"/>
          <w:szCs w:val="33"/>
        </w:rPr>
      </w:pPr>
    </w:p>
    <w:p>
      <w:pPr>
        <w:pStyle w:val="2"/>
        <w:spacing w:beforeLines="0"/>
        <w:rPr>
          <w:rFonts w:ascii="Times New Roman" w:eastAsia="方正仿宋_GBK"/>
          <w:color w:val="993300"/>
          <w:sz w:val="33"/>
          <w:szCs w:val="33"/>
        </w:rPr>
      </w:pPr>
    </w:p>
    <w:p>
      <w:pPr>
        <w:pStyle w:val="2"/>
        <w:spacing w:beforeLines="0"/>
        <w:rPr>
          <w:rFonts w:ascii="Times New Roman" w:eastAsia="方正仿宋_GBK"/>
          <w:color w:val="993300"/>
          <w:sz w:val="33"/>
          <w:szCs w:val="33"/>
        </w:rPr>
      </w:pPr>
    </w:p>
    <w:p>
      <w:pPr>
        <w:pStyle w:val="2"/>
        <w:spacing w:beforeLines="0"/>
        <w:rPr>
          <w:rFonts w:ascii="Times New Roman" w:eastAsia="方正仿宋_GBK"/>
          <w:color w:val="993300"/>
          <w:sz w:val="33"/>
          <w:szCs w:val="33"/>
        </w:rPr>
      </w:pPr>
    </w:p>
    <w:p>
      <w:pPr>
        <w:pStyle w:val="2"/>
        <w:spacing w:beforeLines="0"/>
        <w:rPr>
          <w:rFonts w:ascii="Times New Roman" w:eastAsia="方正仿宋_GBK"/>
          <w:color w:val="993300"/>
          <w:sz w:val="33"/>
          <w:szCs w:val="33"/>
        </w:rPr>
      </w:pPr>
    </w:p>
    <w:p>
      <w:pPr>
        <w:rPr>
          <w:rFonts w:eastAsia="方正仿宋_GBK"/>
          <w:sz w:val="33"/>
          <w:szCs w:val="33"/>
        </w:rPr>
      </w:pPr>
      <w:r>
        <w:rPr>
          <w:rFonts w:eastAsia="方正仿宋_GBK"/>
          <w:sz w:val="33"/>
          <w:szCs w:val="33"/>
        </w:rPr>
        <w:pict>
          <v:shape id="_x0000_s1031" o:spid="_x0000_s1031" o:spt="75" type="#_x0000_t75" style="position:absolute;left:0pt;margin-left:0pt;margin-top:-198.75pt;height:222.75pt;width:338.25pt;mso-wrap-distance-bottom:0pt;mso-wrap-distance-left:9pt;mso-wrap-distance-right:9pt;mso-wrap-distance-top:0pt;z-index:251662336;mso-width-relative:page;mso-height-relative:page;" o:ole="t" filled="f" o:preferrelative="t" stroked="f" coordsize="21600,21600">
            <v:path/>
            <v:fill on="f" focussize="0,0"/>
            <v:stroke on="f" joinstyle="miter"/>
            <v:imagedata r:id="rId20" o:title=""/>
            <o:lock v:ext="edit" aspectratio="t"/>
            <w10:wrap type="square"/>
          </v:shape>
          <o:OLEObject Type="Embed" ProgID="Excel.Chart.8" ShapeID="_x0000_s1031" DrawAspect="Content" ObjectID="_1468075730" r:id="rId19">
            <o:LockedField>false</o:LockedField>
          </o:OLEObject>
        </w:pict>
      </w:r>
    </w:p>
    <w:p>
      <w:pPr>
        <w:rPr>
          <w:rFonts w:eastAsia="方正仿宋_GBK"/>
          <w:sz w:val="33"/>
          <w:szCs w:val="33"/>
        </w:rPr>
      </w:pPr>
      <w:r>
        <w:rPr>
          <w:rFonts w:eastAsia="方正仿宋_GBK"/>
          <w:sz w:val="33"/>
          <w:szCs w:val="33"/>
        </w:rPr>
        <w:t>（图6：一般公共预算财政拨款支出决算结构）（饼状图）</w:t>
      </w:r>
    </w:p>
    <w:p>
      <w:pPr>
        <w:pStyle w:val="2"/>
        <w:spacing w:before="93"/>
      </w:pPr>
    </w:p>
    <w:p>
      <w:pPr>
        <w:ind w:firstLine="640"/>
        <w:rPr>
          <w:rFonts w:ascii="方正楷体_GBK" w:hAnsi="方正楷体_GBK" w:eastAsia="方正楷体_GBK" w:cs="方正楷体_GBK"/>
          <w:b/>
          <w:bCs/>
          <w:color w:val="000000" w:themeColor="text1"/>
          <w:sz w:val="33"/>
          <w:szCs w:val="33"/>
          <w14:textFill>
            <w14:solidFill>
              <w14:schemeClr w14:val="tx1"/>
            </w14:solidFill>
          </w14:textFill>
        </w:rPr>
      </w:pPr>
      <w:bookmarkStart w:id="36" w:name="_Toc15377212"/>
      <w:r>
        <w:rPr>
          <w:rFonts w:ascii="方正楷体_GBK" w:hAnsi="方正楷体_GBK" w:eastAsia="方正楷体_GBK" w:cs="方正楷体_GBK"/>
          <w:b/>
          <w:bCs/>
          <w:color w:val="000000" w:themeColor="text1"/>
          <w:sz w:val="33"/>
          <w:szCs w:val="33"/>
          <w14:textFill>
            <w14:solidFill>
              <w14:schemeClr w14:val="tx1"/>
            </w14:solidFill>
          </w14:textFill>
        </w:rPr>
        <w:t>（三）一般公共预算财政拨款支出决算具体情况</w:t>
      </w:r>
      <w:bookmarkEnd w:id="36"/>
    </w:p>
    <w:p>
      <w:pPr>
        <w:ind w:firstLine="663" w:firstLineChars="200"/>
        <w:rPr>
          <w:rStyle w:val="17"/>
          <w:rFonts w:eastAsia="方正仿宋_GBK"/>
          <w:bCs/>
          <w:color w:val="000000" w:themeColor="text1"/>
          <w:sz w:val="33"/>
          <w:szCs w:val="33"/>
          <w14:textFill>
            <w14:solidFill>
              <w14:schemeClr w14:val="tx1"/>
            </w14:solidFill>
          </w14:textFill>
        </w:rPr>
      </w:pPr>
      <w:bookmarkStart w:id="37" w:name="_Toc15377444"/>
      <w:bookmarkStart w:id="38" w:name="_Toc15378460"/>
      <w:bookmarkStart w:id="39" w:name="_Toc15377213"/>
      <w:r>
        <w:rPr>
          <w:rStyle w:val="17"/>
          <w:rFonts w:hint="eastAsia" w:eastAsia="方正仿宋_GBK"/>
          <w:bCs/>
          <w:color w:val="000000" w:themeColor="text1"/>
          <w:sz w:val="33"/>
          <w:szCs w:val="33"/>
          <w14:textFill>
            <w14:solidFill>
              <w14:schemeClr w14:val="tx1"/>
            </w14:solidFill>
          </w14:textFill>
        </w:rPr>
        <w:t>2022</w:t>
      </w:r>
      <w:r>
        <w:rPr>
          <w:rStyle w:val="17"/>
          <w:rFonts w:eastAsia="方正仿宋_GBK"/>
          <w:bCs/>
          <w:color w:val="000000" w:themeColor="text1"/>
          <w:sz w:val="33"/>
          <w:szCs w:val="33"/>
          <w14:textFill>
            <w14:solidFill>
              <w14:schemeClr w14:val="tx1"/>
            </w14:solidFill>
          </w14:textFill>
        </w:rPr>
        <w:t>年一般公共预算支出决算数为</w:t>
      </w:r>
      <w:r>
        <w:rPr>
          <w:rStyle w:val="17"/>
          <w:rFonts w:hint="eastAsia" w:eastAsia="方正仿宋_GBK"/>
          <w:bCs/>
          <w:color w:val="000000" w:themeColor="text1"/>
          <w:sz w:val="33"/>
          <w:szCs w:val="33"/>
          <w14:textFill>
            <w14:solidFill>
              <w14:schemeClr w14:val="tx1"/>
            </w14:solidFill>
          </w14:textFill>
        </w:rPr>
        <w:t>1675.22</w:t>
      </w:r>
      <w:r>
        <w:rPr>
          <w:rStyle w:val="17"/>
          <w:rFonts w:eastAsia="方正仿宋_GBK"/>
          <w:bCs/>
          <w:color w:val="000000" w:themeColor="text1"/>
          <w:sz w:val="33"/>
          <w:szCs w:val="33"/>
          <w14:textFill>
            <w14:solidFill>
              <w14:schemeClr w14:val="tx1"/>
            </w14:solidFill>
          </w14:textFill>
        </w:rPr>
        <w:t>万元，完成预算100%。其中：</w:t>
      </w:r>
      <w:bookmarkEnd w:id="37"/>
      <w:bookmarkEnd w:id="38"/>
      <w:bookmarkEnd w:id="39"/>
    </w:p>
    <w:p>
      <w:pPr>
        <w:ind w:firstLine="663" w:firstLineChars="200"/>
        <w:rPr>
          <w:rStyle w:val="17"/>
          <w:rFonts w:eastAsia="方正仿宋_GBK"/>
          <w:b w:val="0"/>
          <w:bCs/>
          <w:color w:val="000000" w:themeColor="text1"/>
          <w:sz w:val="33"/>
          <w:szCs w:val="33"/>
          <w14:textFill>
            <w14:solidFill>
              <w14:schemeClr w14:val="tx1"/>
            </w14:solidFill>
          </w14:textFill>
        </w:rPr>
      </w:pPr>
      <w:r>
        <w:rPr>
          <w:rStyle w:val="17"/>
          <w:rFonts w:hint="eastAsia" w:eastAsia="方正仿宋_GBK"/>
          <w:bCs/>
          <w:color w:val="000000" w:themeColor="text1"/>
          <w:sz w:val="33"/>
          <w:szCs w:val="33"/>
          <w14:textFill>
            <w14:solidFill>
              <w14:schemeClr w14:val="tx1"/>
            </w14:solidFill>
          </w14:textFill>
        </w:rPr>
        <w:t>1.</w:t>
      </w:r>
      <w:r>
        <w:rPr>
          <w:rStyle w:val="17"/>
          <w:rFonts w:eastAsia="方正仿宋_GBK"/>
          <w:bCs/>
          <w:color w:val="000000" w:themeColor="text1"/>
          <w:sz w:val="33"/>
          <w:szCs w:val="33"/>
          <w14:textFill>
            <w14:solidFill>
              <w14:schemeClr w14:val="tx1"/>
            </w14:solidFill>
          </w14:textFill>
        </w:rPr>
        <w:t>一般公共服务支出（类）民主党派及工商联事务（款）行政运行</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w:t>
      </w:r>
      <w:r>
        <w:rPr>
          <w:rStyle w:val="17"/>
          <w:rFonts w:eastAsia="方正仿宋_GBK"/>
          <w:b w:val="0"/>
          <w:bCs/>
          <w:color w:val="000000" w:themeColor="text1"/>
          <w:sz w:val="33"/>
          <w:szCs w:val="33"/>
          <w14:textFill>
            <w14:solidFill>
              <w14:schemeClr w14:val="tx1"/>
            </w14:solidFill>
          </w14:textFill>
        </w:rPr>
        <w:t>支出决算为</w:t>
      </w:r>
      <w:r>
        <w:rPr>
          <w:rStyle w:val="17"/>
          <w:rFonts w:hint="eastAsia" w:eastAsia="方正仿宋_GBK"/>
          <w:b w:val="0"/>
          <w:bCs/>
          <w:color w:val="000000" w:themeColor="text1"/>
          <w:sz w:val="33"/>
          <w:szCs w:val="33"/>
          <w14:textFill>
            <w14:solidFill>
              <w14:schemeClr w14:val="tx1"/>
            </w14:solidFill>
          </w14:textFill>
        </w:rPr>
        <w:t>58.58</w:t>
      </w:r>
      <w:r>
        <w:rPr>
          <w:rStyle w:val="17"/>
          <w:rFonts w:eastAsia="方正仿宋_GBK"/>
          <w:b w:val="0"/>
          <w:bCs/>
          <w:color w:val="000000" w:themeColor="text1"/>
          <w:sz w:val="33"/>
          <w:szCs w:val="33"/>
          <w14:textFill>
            <w14:solidFill>
              <w14:schemeClr w14:val="tx1"/>
            </w14:solidFill>
          </w14:textFill>
        </w:rPr>
        <w:t>万元，完成预算100%。</w:t>
      </w:r>
    </w:p>
    <w:p>
      <w:pPr>
        <w:ind w:firstLine="663" w:firstLineChars="200"/>
        <w:rPr>
          <w:rFonts w:eastAsia="方正仿宋_GBK"/>
          <w:color w:val="000000" w:themeColor="text1"/>
          <w:sz w:val="33"/>
          <w:szCs w:val="33"/>
          <w14:textFill>
            <w14:solidFill>
              <w14:schemeClr w14:val="tx1"/>
            </w14:solidFill>
          </w14:textFill>
        </w:rPr>
      </w:pPr>
      <w:r>
        <w:rPr>
          <w:rStyle w:val="17"/>
          <w:rFonts w:eastAsia="方正仿宋_GBK"/>
          <w:bCs/>
          <w:color w:val="000000" w:themeColor="text1"/>
          <w:sz w:val="33"/>
          <w:szCs w:val="33"/>
          <w14:textFill>
            <w14:solidFill>
              <w14:schemeClr w14:val="tx1"/>
            </w14:solidFill>
          </w14:textFill>
        </w:rPr>
        <w:t>2.一般公共服务（类）民主党派及工商联事务（款）</w:t>
      </w:r>
      <w:r>
        <w:rPr>
          <w:rStyle w:val="17"/>
          <w:rFonts w:hint="eastAsia" w:eastAsia="方正仿宋_GBK"/>
          <w:bCs/>
          <w:color w:val="000000" w:themeColor="text1"/>
          <w:sz w:val="33"/>
          <w:szCs w:val="33"/>
          <w14:textFill>
            <w14:solidFill>
              <w14:schemeClr w14:val="tx1"/>
            </w14:solidFill>
          </w14:textFill>
        </w:rPr>
        <w:t>其他民主党派及工商联事务支出</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w:t>
      </w:r>
      <w:r>
        <w:rPr>
          <w:rStyle w:val="17"/>
          <w:rFonts w:eastAsia="方正仿宋_GBK"/>
          <w:b w:val="0"/>
          <w:bCs/>
          <w:color w:val="000000" w:themeColor="text1"/>
          <w:sz w:val="33"/>
          <w:szCs w:val="33"/>
          <w14:textFill>
            <w14:solidFill>
              <w14:schemeClr w14:val="tx1"/>
            </w14:solidFill>
          </w14:textFill>
        </w:rPr>
        <w:t>支出决算为</w:t>
      </w:r>
      <w:r>
        <w:rPr>
          <w:rStyle w:val="17"/>
          <w:rFonts w:hint="eastAsia" w:eastAsia="方正仿宋_GBK"/>
          <w:b w:val="0"/>
          <w:bCs/>
          <w:color w:val="000000" w:themeColor="text1"/>
          <w:sz w:val="33"/>
          <w:szCs w:val="33"/>
          <w14:textFill>
            <w14:solidFill>
              <w14:schemeClr w14:val="tx1"/>
            </w14:solidFill>
          </w14:textFill>
        </w:rPr>
        <w:t>18.25</w:t>
      </w:r>
      <w:r>
        <w:rPr>
          <w:rStyle w:val="17"/>
          <w:rFonts w:eastAsia="方正仿宋_GBK"/>
          <w:b w:val="0"/>
          <w:bCs/>
          <w:color w:val="000000" w:themeColor="text1"/>
          <w:sz w:val="33"/>
          <w:szCs w:val="33"/>
          <w14:textFill>
            <w14:solidFill>
              <w14:schemeClr w14:val="tx1"/>
            </w14:solidFill>
          </w14:textFill>
        </w:rPr>
        <w:t>万元，完成预算100%。</w:t>
      </w:r>
    </w:p>
    <w:p>
      <w:pPr>
        <w:ind w:firstLine="663" w:firstLineChars="200"/>
        <w:rPr>
          <w:rFonts w:eastAsia="方正仿宋_GBK"/>
          <w:b/>
          <w:color w:val="000000" w:themeColor="text1"/>
          <w:sz w:val="33"/>
          <w:szCs w:val="33"/>
          <w14:textFill>
            <w14:solidFill>
              <w14:schemeClr w14:val="tx1"/>
            </w14:solidFill>
          </w14:textFill>
        </w:rPr>
      </w:pPr>
      <w:r>
        <w:rPr>
          <w:rStyle w:val="17"/>
          <w:rFonts w:eastAsia="方正仿宋_GBK"/>
          <w:bCs/>
          <w:color w:val="000000" w:themeColor="text1"/>
          <w:sz w:val="33"/>
          <w:szCs w:val="33"/>
          <w14:textFill>
            <w14:solidFill>
              <w14:schemeClr w14:val="tx1"/>
            </w14:solidFill>
          </w14:textFill>
        </w:rPr>
        <w:t>3.一般公共服务支出（类）群众团体事务（款）行政运行</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w:t>
      </w:r>
      <w:r>
        <w:rPr>
          <w:rStyle w:val="17"/>
          <w:rFonts w:eastAsia="方正仿宋_GBK"/>
          <w:b w:val="0"/>
          <w:bCs/>
          <w:color w:val="000000" w:themeColor="text1"/>
          <w:sz w:val="33"/>
          <w:szCs w:val="33"/>
          <w14:textFill>
            <w14:solidFill>
              <w14:schemeClr w14:val="tx1"/>
            </w14:solidFill>
          </w14:textFill>
        </w:rPr>
        <w:t>支出决算为</w:t>
      </w:r>
      <w:r>
        <w:rPr>
          <w:rStyle w:val="17"/>
          <w:rFonts w:hint="eastAsia" w:eastAsia="方正仿宋_GBK"/>
          <w:b w:val="0"/>
          <w:bCs/>
          <w:color w:val="000000" w:themeColor="text1"/>
          <w:sz w:val="33"/>
          <w:szCs w:val="33"/>
          <w14:textFill>
            <w14:solidFill>
              <w14:schemeClr w14:val="tx1"/>
            </w14:solidFill>
          </w14:textFill>
        </w:rPr>
        <w:t>98.62</w:t>
      </w:r>
      <w:r>
        <w:rPr>
          <w:rStyle w:val="17"/>
          <w:rFonts w:eastAsia="方正仿宋_GBK"/>
          <w:b w:val="0"/>
          <w:bCs/>
          <w:color w:val="000000" w:themeColor="text1"/>
          <w:sz w:val="33"/>
          <w:szCs w:val="33"/>
          <w14:textFill>
            <w14:solidFill>
              <w14:schemeClr w14:val="tx1"/>
            </w14:solidFill>
          </w14:textFill>
        </w:rPr>
        <w:t>万元，完成预算100%。</w:t>
      </w:r>
    </w:p>
    <w:p>
      <w:pPr>
        <w:ind w:firstLine="663" w:firstLineChars="200"/>
        <w:rPr>
          <w:rFonts w:eastAsia="方正仿宋_GBK"/>
          <w:b/>
          <w:color w:val="000000" w:themeColor="text1"/>
          <w:sz w:val="33"/>
          <w:szCs w:val="33"/>
          <w14:textFill>
            <w14:solidFill>
              <w14:schemeClr w14:val="tx1"/>
            </w14:solidFill>
          </w14:textFill>
        </w:rPr>
      </w:pPr>
      <w:r>
        <w:rPr>
          <w:rStyle w:val="17"/>
          <w:rFonts w:eastAsia="方正仿宋_GBK"/>
          <w:bCs/>
          <w:color w:val="000000" w:themeColor="text1"/>
          <w:sz w:val="33"/>
          <w:szCs w:val="33"/>
          <w14:textFill>
            <w14:solidFill>
              <w14:schemeClr w14:val="tx1"/>
            </w14:solidFill>
          </w14:textFill>
        </w:rPr>
        <w:t>4.一般公共服务支出（类）群众团体事务（款）一般行政管理事务</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w:t>
      </w:r>
      <w:r>
        <w:rPr>
          <w:rStyle w:val="17"/>
          <w:rFonts w:eastAsia="方正仿宋_GBK"/>
          <w:b w:val="0"/>
          <w:bCs/>
          <w:color w:val="000000" w:themeColor="text1"/>
          <w:sz w:val="33"/>
          <w:szCs w:val="33"/>
          <w14:textFill>
            <w14:solidFill>
              <w14:schemeClr w14:val="tx1"/>
            </w14:solidFill>
          </w14:textFill>
        </w:rPr>
        <w:t>支出决算为</w:t>
      </w:r>
      <w:r>
        <w:rPr>
          <w:rStyle w:val="17"/>
          <w:rFonts w:hint="eastAsia" w:eastAsia="方正仿宋_GBK"/>
          <w:b w:val="0"/>
          <w:bCs/>
          <w:color w:val="000000" w:themeColor="text1"/>
          <w:sz w:val="33"/>
          <w:szCs w:val="33"/>
          <w14:textFill>
            <w14:solidFill>
              <w14:schemeClr w14:val="tx1"/>
            </w14:solidFill>
          </w14:textFill>
        </w:rPr>
        <w:t>8.29</w:t>
      </w:r>
      <w:r>
        <w:rPr>
          <w:rStyle w:val="17"/>
          <w:rFonts w:eastAsia="方正仿宋_GBK"/>
          <w:b w:val="0"/>
          <w:bCs/>
          <w:color w:val="000000" w:themeColor="text1"/>
          <w:sz w:val="33"/>
          <w:szCs w:val="33"/>
          <w14:textFill>
            <w14:solidFill>
              <w14:schemeClr w14:val="tx1"/>
            </w14:solidFill>
          </w14:textFill>
        </w:rPr>
        <w:t>万元，完成预算100%。</w:t>
      </w:r>
    </w:p>
    <w:p>
      <w:pPr>
        <w:ind w:firstLine="663" w:firstLineChars="200"/>
        <w:rPr>
          <w:rStyle w:val="17"/>
          <w:rFonts w:eastAsia="方正仿宋_GBK"/>
          <w:b w:val="0"/>
          <w:bCs/>
          <w:color w:val="000000" w:themeColor="text1"/>
          <w:sz w:val="33"/>
          <w:szCs w:val="33"/>
          <w14:textFill>
            <w14:solidFill>
              <w14:schemeClr w14:val="tx1"/>
            </w14:solidFill>
          </w14:textFill>
        </w:rPr>
      </w:pPr>
      <w:r>
        <w:rPr>
          <w:rStyle w:val="17"/>
          <w:rFonts w:eastAsia="方正仿宋_GBK"/>
          <w:bCs/>
          <w:color w:val="000000" w:themeColor="text1"/>
          <w:sz w:val="33"/>
          <w:szCs w:val="33"/>
          <w14:textFill>
            <w14:solidFill>
              <w14:schemeClr w14:val="tx1"/>
            </w14:solidFill>
          </w14:textFill>
        </w:rPr>
        <w:t>5.一般公共服务支出（类）群众团体事务（款）其他群众团体事务支出</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w:t>
      </w:r>
      <w:r>
        <w:rPr>
          <w:rStyle w:val="17"/>
          <w:rFonts w:eastAsia="方正仿宋_GBK"/>
          <w:b w:val="0"/>
          <w:bCs/>
          <w:color w:val="000000" w:themeColor="text1"/>
          <w:sz w:val="33"/>
          <w:szCs w:val="33"/>
          <w14:textFill>
            <w14:solidFill>
              <w14:schemeClr w14:val="tx1"/>
            </w14:solidFill>
          </w14:textFill>
        </w:rPr>
        <w:t>支出决算为</w:t>
      </w:r>
      <w:r>
        <w:rPr>
          <w:rStyle w:val="17"/>
          <w:rFonts w:hint="eastAsia" w:eastAsia="方正仿宋_GBK"/>
          <w:b w:val="0"/>
          <w:bCs/>
          <w:color w:val="000000" w:themeColor="text1"/>
          <w:sz w:val="33"/>
          <w:szCs w:val="33"/>
          <w14:textFill>
            <w14:solidFill>
              <w14:schemeClr w14:val="tx1"/>
            </w14:solidFill>
          </w14:textFill>
        </w:rPr>
        <w:t>278.79</w:t>
      </w:r>
      <w:r>
        <w:rPr>
          <w:rStyle w:val="17"/>
          <w:rFonts w:eastAsia="方正仿宋_GBK"/>
          <w:b w:val="0"/>
          <w:bCs/>
          <w:color w:val="000000" w:themeColor="text1"/>
          <w:sz w:val="33"/>
          <w:szCs w:val="33"/>
          <w14:textFill>
            <w14:solidFill>
              <w14:schemeClr w14:val="tx1"/>
            </w14:solidFill>
          </w14:textFill>
        </w:rPr>
        <w:t>万元，完成预算100%。</w:t>
      </w:r>
    </w:p>
    <w:p>
      <w:pPr>
        <w:pStyle w:val="2"/>
        <w:spacing w:beforeLines="0"/>
        <w:ind w:firstLine="663" w:firstLineChars="200"/>
        <w:rPr>
          <w:rFonts w:ascii="Times New Roman" w:eastAsia="方正仿宋_GBK"/>
          <w:color w:val="000000" w:themeColor="text1"/>
          <w:sz w:val="33"/>
          <w:szCs w:val="33"/>
          <w14:textFill>
            <w14:solidFill>
              <w14:schemeClr w14:val="tx1"/>
            </w14:solidFill>
          </w14:textFill>
        </w:rPr>
      </w:pPr>
      <w:r>
        <w:rPr>
          <w:rStyle w:val="17"/>
          <w:rFonts w:ascii="Times New Roman" w:eastAsia="方正仿宋_GBK"/>
          <w:bCs/>
          <w:color w:val="000000" w:themeColor="text1"/>
          <w:sz w:val="33"/>
          <w:szCs w:val="33"/>
          <w14:textFill>
            <w14:solidFill>
              <w14:schemeClr w14:val="tx1"/>
            </w14:solidFill>
          </w14:textFill>
        </w:rPr>
        <w:t>6.一般公共服务支出（类）党委办公厅（室）及相关机构事务（款）行政运行</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ascii="Times New Roman" w:eastAsia="方正仿宋_GBK"/>
          <w:bCs/>
          <w:color w:val="000000" w:themeColor="text1"/>
          <w:sz w:val="33"/>
          <w:szCs w:val="33"/>
          <w14:textFill>
            <w14:solidFill>
              <w14:schemeClr w14:val="tx1"/>
            </w14:solidFill>
          </w14:textFill>
        </w:rPr>
        <w:t>、一般行政管理事务</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ascii="Times New Roman" w:eastAsia="方正仿宋_GBK"/>
          <w:bCs/>
          <w:color w:val="000000" w:themeColor="text1"/>
          <w:sz w:val="33"/>
          <w:szCs w:val="33"/>
          <w14:textFill>
            <w14:solidFill>
              <w14:schemeClr w14:val="tx1"/>
            </w14:solidFill>
          </w14:textFill>
        </w:rPr>
        <w:t>、事业运行</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ascii="Times New Roman" w:eastAsia="方正仿宋_GBK"/>
          <w:bCs/>
          <w:color w:val="000000" w:themeColor="text1"/>
          <w:sz w:val="33"/>
          <w:szCs w:val="33"/>
          <w14:textFill>
            <w14:solidFill>
              <w14:schemeClr w14:val="tx1"/>
            </w14:solidFill>
          </w14:textFill>
        </w:rPr>
        <w:t>、其他党委办公厅（室）及相关机构事务支出</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ascii="Times New Roman" w:eastAsia="方正仿宋_GBK"/>
          <w:bCs/>
          <w:color w:val="000000" w:themeColor="text1"/>
          <w:sz w:val="33"/>
          <w:szCs w:val="33"/>
          <w14:textFill>
            <w14:solidFill>
              <w14:schemeClr w14:val="tx1"/>
            </w14:solidFill>
          </w14:textFill>
        </w:rPr>
        <w:t>：</w:t>
      </w:r>
      <w:r>
        <w:rPr>
          <w:rStyle w:val="17"/>
          <w:rFonts w:ascii="Times New Roman" w:eastAsia="方正仿宋_GBK"/>
          <w:b w:val="0"/>
          <w:bCs/>
          <w:color w:val="000000" w:themeColor="text1"/>
          <w:sz w:val="33"/>
          <w:szCs w:val="33"/>
          <w14:textFill>
            <w14:solidFill>
              <w14:schemeClr w14:val="tx1"/>
            </w14:solidFill>
          </w14:textFill>
        </w:rPr>
        <w:t>支出决算为</w:t>
      </w:r>
      <w:r>
        <w:rPr>
          <w:rStyle w:val="17"/>
          <w:rFonts w:hint="eastAsia" w:ascii="Times New Roman" w:eastAsia="方正仿宋_GBK"/>
          <w:b w:val="0"/>
          <w:bCs/>
          <w:color w:val="000000" w:themeColor="text1"/>
          <w:sz w:val="33"/>
          <w:szCs w:val="33"/>
          <w14:textFill>
            <w14:solidFill>
              <w14:schemeClr w14:val="tx1"/>
            </w14:solidFill>
          </w14:textFill>
        </w:rPr>
        <w:t>864.70</w:t>
      </w:r>
      <w:r>
        <w:rPr>
          <w:rStyle w:val="17"/>
          <w:rFonts w:ascii="Times New Roman" w:eastAsia="方正仿宋_GBK"/>
          <w:b w:val="0"/>
          <w:bCs/>
          <w:color w:val="000000" w:themeColor="text1"/>
          <w:sz w:val="33"/>
          <w:szCs w:val="33"/>
          <w14:textFill>
            <w14:solidFill>
              <w14:schemeClr w14:val="tx1"/>
            </w14:solidFill>
          </w14:textFill>
        </w:rPr>
        <w:t>万元，完成预算100%。</w:t>
      </w:r>
    </w:p>
    <w:p>
      <w:pPr>
        <w:ind w:firstLine="663" w:firstLineChars="200"/>
        <w:rPr>
          <w:rStyle w:val="17"/>
          <w:rFonts w:eastAsia="方正仿宋_GBK"/>
          <w:b w:val="0"/>
          <w:bCs/>
          <w:color w:val="000000" w:themeColor="text1"/>
          <w:sz w:val="33"/>
          <w:szCs w:val="33"/>
          <w14:textFill>
            <w14:solidFill>
              <w14:schemeClr w14:val="tx1"/>
            </w14:solidFill>
          </w14:textFill>
        </w:rPr>
      </w:pPr>
      <w:r>
        <w:rPr>
          <w:rStyle w:val="17"/>
          <w:rFonts w:eastAsia="方正仿宋_GBK"/>
          <w:bCs/>
          <w:color w:val="000000" w:themeColor="text1"/>
          <w:sz w:val="33"/>
          <w:szCs w:val="33"/>
          <w14:textFill>
            <w14:solidFill>
              <w14:schemeClr w14:val="tx1"/>
            </w14:solidFill>
          </w14:textFill>
        </w:rPr>
        <w:t>7.社会保障和就业支出（类）行政事业单位养老支出（款）行政单位离退休</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eastAsia="方正仿宋_GBK"/>
          <w:bCs/>
          <w:color w:val="000000" w:themeColor="text1"/>
          <w:sz w:val="33"/>
          <w:szCs w:val="33"/>
          <w14:textFill>
            <w14:solidFill>
              <w14:schemeClr w14:val="tx1"/>
            </w14:solidFill>
          </w14:textFill>
        </w:rPr>
        <w:t>、机关事业单位基本养老保险缴费支出</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eastAsia="方正仿宋_GBK"/>
          <w:bCs/>
          <w:color w:val="000000" w:themeColor="text1"/>
          <w:sz w:val="33"/>
          <w:szCs w:val="33"/>
          <w14:textFill>
            <w14:solidFill>
              <w14:schemeClr w14:val="tx1"/>
            </w14:solidFill>
          </w14:textFill>
        </w:rPr>
        <w:t>、机关事业单位职业年金缴费支出</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w:t>
      </w:r>
      <w:r>
        <w:rPr>
          <w:rStyle w:val="17"/>
          <w:rFonts w:eastAsia="方正仿宋_GBK"/>
          <w:b w:val="0"/>
          <w:bCs/>
          <w:color w:val="000000" w:themeColor="text1"/>
          <w:sz w:val="33"/>
          <w:szCs w:val="33"/>
          <w14:textFill>
            <w14:solidFill>
              <w14:schemeClr w14:val="tx1"/>
            </w14:solidFill>
          </w14:textFill>
        </w:rPr>
        <w:t>支出决算为</w:t>
      </w:r>
      <w:r>
        <w:rPr>
          <w:rStyle w:val="17"/>
          <w:rFonts w:hint="eastAsia" w:eastAsia="方正仿宋_GBK"/>
          <w:b w:val="0"/>
          <w:bCs/>
          <w:color w:val="000000" w:themeColor="text1"/>
          <w:sz w:val="33"/>
          <w:szCs w:val="33"/>
          <w14:textFill>
            <w14:solidFill>
              <w14:schemeClr w14:val="tx1"/>
            </w14:solidFill>
          </w14:textFill>
        </w:rPr>
        <w:t>128.70</w:t>
      </w:r>
      <w:r>
        <w:rPr>
          <w:rStyle w:val="17"/>
          <w:rFonts w:eastAsia="方正仿宋_GBK"/>
          <w:b w:val="0"/>
          <w:bCs/>
          <w:color w:val="000000" w:themeColor="text1"/>
          <w:sz w:val="33"/>
          <w:szCs w:val="33"/>
          <w14:textFill>
            <w14:solidFill>
              <w14:schemeClr w14:val="tx1"/>
            </w14:solidFill>
          </w14:textFill>
        </w:rPr>
        <w:t>万元，完成预算100%。</w:t>
      </w:r>
    </w:p>
    <w:p>
      <w:pPr>
        <w:pStyle w:val="2"/>
        <w:spacing w:beforeLines="0"/>
        <w:ind w:firstLine="663" w:firstLineChars="200"/>
        <w:rPr>
          <w:rStyle w:val="17"/>
          <w:rFonts w:ascii="Times New Roman" w:eastAsia="方正仿宋_GBK"/>
          <w:b w:val="0"/>
          <w:bCs/>
          <w:color w:val="000000" w:themeColor="text1"/>
          <w:kern w:val="2"/>
          <w:sz w:val="33"/>
          <w:szCs w:val="33"/>
          <w14:textFill>
            <w14:solidFill>
              <w14:schemeClr w14:val="tx1"/>
            </w14:solidFill>
          </w14:textFill>
        </w:rPr>
      </w:pPr>
      <w:r>
        <w:rPr>
          <w:rStyle w:val="17"/>
          <w:rFonts w:ascii="Times New Roman" w:eastAsia="方正仿宋_GBK"/>
          <w:bCs/>
          <w:color w:val="000000" w:themeColor="text1"/>
          <w:sz w:val="33"/>
          <w:szCs w:val="33"/>
          <w14:textFill>
            <w14:solidFill>
              <w14:schemeClr w14:val="tx1"/>
            </w14:solidFill>
          </w14:textFill>
        </w:rPr>
        <w:t>8.社会保障和就业支出（类）抚恤（款）伤残抚恤</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ascii="Times New Roman" w:eastAsia="方正仿宋_GBK"/>
          <w:bCs/>
          <w:color w:val="000000" w:themeColor="text1"/>
          <w:sz w:val="33"/>
          <w:szCs w:val="33"/>
          <w14:textFill>
            <w14:solidFill>
              <w14:schemeClr w14:val="tx1"/>
            </w14:solidFill>
          </w14:textFill>
        </w:rPr>
        <w:t>：</w:t>
      </w:r>
      <w:r>
        <w:rPr>
          <w:rStyle w:val="17"/>
          <w:rFonts w:ascii="Times New Roman" w:eastAsia="方正仿宋_GBK"/>
          <w:b w:val="0"/>
          <w:bCs/>
          <w:color w:val="000000" w:themeColor="text1"/>
          <w:kern w:val="2"/>
          <w:sz w:val="33"/>
          <w:szCs w:val="33"/>
          <w14:textFill>
            <w14:solidFill>
              <w14:schemeClr w14:val="tx1"/>
            </w14:solidFill>
          </w14:textFill>
        </w:rPr>
        <w:t>支出决算</w:t>
      </w:r>
      <w:r>
        <w:rPr>
          <w:rStyle w:val="17"/>
          <w:rFonts w:hint="eastAsia" w:ascii="Times New Roman" w:eastAsia="方正仿宋_GBK"/>
          <w:b w:val="0"/>
          <w:bCs/>
          <w:color w:val="000000" w:themeColor="text1"/>
          <w:kern w:val="2"/>
          <w:sz w:val="33"/>
          <w:szCs w:val="33"/>
          <w14:textFill>
            <w14:solidFill>
              <w14:schemeClr w14:val="tx1"/>
            </w14:solidFill>
          </w14:textFill>
        </w:rPr>
        <w:t>27.22</w:t>
      </w:r>
      <w:r>
        <w:rPr>
          <w:rStyle w:val="17"/>
          <w:rFonts w:ascii="Times New Roman" w:eastAsia="方正仿宋_GBK"/>
          <w:b w:val="0"/>
          <w:bCs/>
          <w:color w:val="000000" w:themeColor="text1"/>
          <w:kern w:val="2"/>
          <w:sz w:val="33"/>
          <w:szCs w:val="33"/>
          <w14:textFill>
            <w14:solidFill>
              <w14:schemeClr w14:val="tx1"/>
            </w14:solidFill>
          </w14:textFill>
        </w:rPr>
        <w:t>万元，完成预算100%。</w:t>
      </w:r>
    </w:p>
    <w:p>
      <w:pPr>
        <w:ind w:firstLine="663" w:firstLineChars="200"/>
        <w:rPr>
          <w:rStyle w:val="17"/>
          <w:rFonts w:eastAsia="方正仿宋_GBK"/>
          <w:b w:val="0"/>
          <w:bCs/>
          <w:color w:val="000000" w:themeColor="text1"/>
          <w:sz w:val="33"/>
          <w:szCs w:val="33"/>
          <w14:textFill>
            <w14:solidFill>
              <w14:schemeClr w14:val="tx1"/>
            </w14:solidFill>
          </w14:textFill>
        </w:rPr>
      </w:pPr>
      <w:r>
        <w:rPr>
          <w:rStyle w:val="17"/>
          <w:rFonts w:eastAsia="方正仿宋_GBK"/>
          <w:bCs/>
          <w:color w:val="000000" w:themeColor="text1"/>
          <w:sz w:val="33"/>
          <w:szCs w:val="33"/>
          <w14:textFill>
            <w14:solidFill>
              <w14:schemeClr w14:val="tx1"/>
            </w14:solidFill>
          </w14:textFill>
        </w:rPr>
        <w:t>9卫生健康支出（类）行政事业单位医疗（款）行政单位</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eastAsia="方正仿宋_GBK"/>
          <w:bCs/>
          <w:color w:val="000000" w:themeColor="text1"/>
          <w:sz w:val="33"/>
          <w:szCs w:val="33"/>
          <w14:textFill>
            <w14:solidFill>
              <w14:schemeClr w14:val="tx1"/>
            </w14:solidFill>
          </w14:textFill>
        </w:rPr>
        <w:t>、事业单位</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eastAsia="方正仿宋_GBK"/>
          <w:bCs/>
          <w:color w:val="000000" w:themeColor="text1"/>
          <w:sz w:val="33"/>
          <w:szCs w:val="33"/>
          <w14:textFill>
            <w14:solidFill>
              <w14:schemeClr w14:val="tx1"/>
            </w14:solidFill>
          </w14:textFill>
        </w:rPr>
        <w:t>、公务员医疗补助</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 xml:space="preserve"> ：</w:t>
      </w:r>
      <w:r>
        <w:rPr>
          <w:rStyle w:val="17"/>
          <w:rFonts w:eastAsia="方正仿宋_GBK"/>
          <w:b w:val="0"/>
          <w:bCs/>
          <w:color w:val="000000" w:themeColor="text1"/>
          <w:sz w:val="33"/>
          <w:szCs w:val="33"/>
          <w14:textFill>
            <w14:solidFill>
              <w14:schemeClr w14:val="tx1"/>
            </w14:solidFill>
          </w14:textFill>
        </w:rPr>
        <w:t>支出决算为</w:t>
      </w:r>
      <w:r>
        <w:rPr>
          <w:rStyle w:val="17"/>
          <w:rFonts w:hint="eastAsia" w:eastAsia="方正仿宋_GBK"/>
          <w:b w:val="0"/>
          <w:bCs/>
          <w:color w:val="000000" w:themeColor="text1"/>
          <w:sz w:val="33"/>
          <w:szCs w:val="33"/>
          <w14:textFill>
            <w14:solidFill>
              <w14:schemeClr w14:val="tx1"/>
            </w14:solidFill>
          </w14:textFill>
        </w:rPr>
        <w:t>78.99</w:t>
      </w:r>
      <w:r>
        <w:rPr>
          <w:rStyle w:val="17"/>
          <w:rFonts w:eastAsia="方正仿宋_GBK"/>
          <w:b w:val="0"/>
          <w:bCs/>
          <w:color w:val="000000" w:themeColor="text1"/>
          <w:sz w:val="33"/>
          <w:szCs w:val="33"/>
          <w14:textFill>
            <w14:solidFill>
              <w14:schemeClr w14:val="tx1"/>
            </w14:solidFill>
          </w14:textFill>
        </w:rPr>
        <w:t>万元，完成预算100%。</w:t>
      </w:r>
    </w:p>
    <w:p>
      <w:pPr>
        <w:pStyle w:val="2"/>
        <w:spacing w:beforeLines="0"/>
        <w:ind w:firstLine="663" w:firstLineChars="200"/>
        <w:rPr>
          <w:rFonts w:ascii="Times New Roman" w:eastAsia="方正仿宋_GBK"/>
          <w:color w:val="000000" w:themeColor="text1"/>
          <w:sz w:val="33"/>
          <w:szCs w:val="33"/>
          <w14:textFill>
            <w14:solidFill>
              <w14:schemeClr w14:val="tx1"/>
            </w14:solidFill>
          </w14:textFill>
        </w:rPr>
      </w:pPr>
      <w:r>
        <w:rPr>
          <w:rStyle w:val="17"/>
          <w:rFonts w:ascii="Times New Roman" w:eastAsia="方正仿宋_GBK"/>
          <w:bCs/>
          <w:color w:val="000000" w:themeColor="text1"/>
          <w:sz w:val="33"/>
          <w:szCs w:val="33"/>
          <w14:textFill>
            <w14:solidFill>
              <w14:schemeClr w14:val="tx1"/>
            </w14:solidFill>
          </w14:textFill>
        </w:rPr>
        <w:t>10.卫生健康支出（类）行政事业单位医疗（款）</w:t>
      </w:r>
      <w:r>
        <w:rPr>
          <w:rStyle w:val="17"/>
          <w:rFonts w:hint="eastAsia" w:ascii="Times New Roman" w:eastAsia="方正仿宋_GBK"/>
          <w:bCs/>
          <w:color w:val="000000" w:themeColor="text1"/>
          <w:sz w:val="33"/>
          <w:szCs w:val="33"/>
          <w14:textFill>
            <w14:solidFill>
              <w14:schemeClr w14:val="tx1"/>
            </w14:solidFill>
          </w14:textFill>
        </w:rPr>
        <w:t>其他行政事业单位医疗支出</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ascii="Times New Roman" w:eastAsia="方正仿宋_GBK"/>
          <w:bCs/>
          <w:color w:val="000000" w:themeColor="text1"/>
          <w:sz w:val="33"/>
          <w:szCs w:val="33"/>
          <w14:textFill>
            <w14:solidFill>
              <w14:schemeClr w14:val="tx1"/>
            </w14:solidFill>
          </w14:textFill>
        </w:rPr>
        <w:t>：</w:t>
      </w:r>
      <w:r>
        <w:rPr>
          <w:rStyle w:val="17"/>
          <w:rFonts w:ascii="Times New Roman" w:eastAsia="方正仿宋_GBK"/>
          <w:b w:val="0"/>
          <w:bCs/>
          <w:color w:val="000000" w:themeColor="text1"/>
          <w:sz w:val="33"/>
          <w:szCs w:val="33"/>
          <w14:textFill>
            <w14:solidFill>
              <w14:schemeClr w14:val="tx1"/>
            </w14:solidFill>
          </w14:textFill>
        </w:rPr>
        <w:t>支出决算为</w:t>
      </w:r>
      <w:r>
        <w:rPr>
          <w:rStyle w:val="17"/>
          <w:rFonts w:hint="eastAsia" w:ascii="Times New Roman" w:eastAsia="方正仿宋_GBK"/>
          <w:b w:val="0"/>
          <w:bCs/>
          <w:color w:val="000000" w:themeColor="text1"/>
          <w:sz w:val="33"/>
          <w:szCs w:val="33"/>
          <w14:textFill>
            <w14:solidFill>
              <w14:schemeClr w14:val="tx1"/>
            </w14:solidFill>
          </w14:textFill>
        </w:rPr>
        <w:t>1.45</w:t>
      </w:r>
      <w:r>
        <w:rPr>
          <w:rStyle w:val="17"/>
          <w:rFonts w:ascii="Times New Roman" w:eastAsia="方正仿宋_GBK"/>
          <w:b w:val="0"/>
          <w:bCs/>
          <w:color w:val="000000" w:themeColor="text1"/>
          <w:sz w:val="33"/>
          <w:szCs w:val="33"/>
          <w14:textFill>
            <w14:solidFill>
              <w14:schemeClr w14:val="tx1"/>
            </w14:solidFill>
          </w14:textFill>
        </w:rPr>
        <w:t>万元，完成预算100%。</w:t>
      </w:r>
    </w:p>
    <w:p>
      <w:pPr>
        <w:ind w:firstLine="663" w:firstLineChars="200"/>
        <w:rPr>
          <w:rFonts w:eastAsia="方正仿宋_GBK"/>
          <w:b/>
          <w:color w:val="000000" w:themeColor="text1"/>
          <w:sz w:val="33"/>
          <w:szCs w:val="33"/>
          <w14:textFill>
            <w14:solidFill>
              <w14:schemeClr w14:val="tx1"/>
            </w14:solidFill>
          </w14:textFill>
        </w:rPr>
      </w:pPr>
      <w:r>
        <w:rPr>
          <w:rStyle w:val="17"/>
          <w:rFonts w:eastAsia="方正仿宋_GBK"/>
          <w:bCs/>
          <w:color w:val="000000" w:themeColor="text1"/>
          <w:sz w:val="33"/>
          <w:szCs w:val="33"/>
          <w14:textFill>
            <w14:solidFill>
              <w14:schemeClr w14:val="tx1"/>
            </w14:solidFill>
          </w14:textFill>
        </w:rPr>
        <w:t>11.住房保障支出（类）住房改革支出（款）住房公积金</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w:t>
      </w:r>
      <w:r>
        <w:rPr>
          <w:rStyle w:val="17"/>
          <w:rFonts w:eastAsia="方正仿宋_GBK"/>
          <w:b w:val="0"/>
          <w:bCs/>
          <w:color w:val="000000" w:themeColor="text1"/>
          <w:sz w:val="33"/>
          <w:szCs w:val="33"/>
          <w14:textFill>
            <w14:solidFill>
              <w14:schemeClr w14:val="tx1"/>
            </w14:solidFill>
          </w14:textFill>
        </w:rPr>
        <w:t>支出决算为</w:t>
      </w:r>
      <w:r>
        <w:rPr>
          <w:rStyle w:val="17"/>
          <w:rFonts w:hint="eastAsia" w:eastAsia="方正仿宋_GBK"/>
          <w:b w:val="0"/>
          <w:bCs/>
          <w:color w:val="000000" w:themeColor="text1"/>
          <w:sz w:val="33"/>
          <w:szCs w:val="33"/>
          <w14:textFill>
            <w14:solidFill>
              <w14:schemeClr w14:val="tx1"/>
            </w14:solidFill>
          </w14:textFill>
        </w:rPr>
        <w:t xml:space="preserve"> 83.05</w:t>
      </w:r>
      <w:r>
        <w:rPr>
          <w:rStyle w:val="17"/>
          <w:rFonts w:eastAsia="方正仿宋_GBK"/>
          <w:b w:val="0"/>
          <w:bCs/>
          <w:color w:val="000000" w:themeColor="text1"/>
          <w:sz w:val="33"/>
          <w:szCs w:val="33"/>
          <w14:textFill>
            <w14:solidFill>
              <w14:schemeClr w14:val="tx1"/>
            </w14:solidFill>
          </w14:textFill>
        </w:rPr>
        <w:t>万元，完成预算100%。</w:t>
      </w:r>
    </w:p>
    <w:p>
      <w:pPr>
        <w:ind w:firstLine="663" w:firstLineChars="200"/>
        <w:rPr>
          <w:rStyle w:val="17"/>
          <w:rFonts w:eastAsia="方正仿宋_GBK"/>
          <w:b w:val="0"/>
          <w:bCs/>
          <w:color w:val="000000" w:themeColor="text1"/>
          <w:sz w:val="33"/>
          <w:szCs w:val="33"/>
          <w14:textFill>
            <w14:solidFill>
              <w14:schemeClr w14:val="tx1"/>
            </w14:solidFill>
          </w14:textFill>
        </w:rPr>
      </w:pPr>
      <w:r>
        <w:rPr>
          <w:rStyle w:val="17"/>
          <w:rFonts w:eastAsia="方正仿宋_GBK"/>
          <w:bCs/>
          <w:color w:val="000000" w:themeColor="text1"/>
          <w:sz w:val="33"/>
          <w:szCs w:val="33"/>
          <w14:textFill>
            <w14:solidFill>
              <w14:schemeClr w14:val="tx1"/>
            </w14:solidFill>
          </w14:textFill>
        </w:rPr>
        <w:t>12.</w:t>
      </w:r>
      <w:r>
        <w:rPr>
          <w:rStyle w:val="17"/>
          <w:rFonts w:hint="eastAsia" w:eastAsia="方正仿宋_GBK"/>
          <w:bCs/>
          <w:color w:val="000000" w:themeColor="text1"/>
          <w:sz w:val="33"/>
          <w:szCs w:val="33"/>
          <w14:textFill>
            <w14:solidFill>
              <w14:schemeClr w14:val="tx1"/>
            </w14:solidFill>
          </w14:textFill>
        </w:rPr>
        <w:t>文化旅游体育与传媒支出</w:t>
      </w:r>
      <w:r>
        <w:rPr>
          <w:rStyle w:val="17"/>
          <w:rFonts w:eastAsia="方正仿宋_GBK"/>
          <w:bCs/>
          <w:color w:val="000000" w:themeColor="text1"/>
          <w:sz w:val="33"/>
          <w:szCs w:val="33"/>
          <w14:textFill>
            <w14:solidFill>
              <w14:schemeClr w14:val="tx1"/>
            </w14:solidFill>
          </w14:textFill>
        </w:rPr>
        <w:t>（类）</w:t>
      </w:r>
      <w:r>
        <w:rPr>
          <w:rStyle w:val="17"/>
          <w:rFonts w:hint="eastAsia" w:eastAsia="方正仿宋_GBK"/>
          <w:bCs/>
          <w:color w:val="000000" w:themeColor="text1"/>
          <w:sz w:val="33"/>
          <w:szCs w:val="33"/>
          <w14:textFill>
            <w14:solidFill>
              <w14:schemeClr w14:val="tx1"/>
            </w14:solidFill>
          </w14:textFill>
        </w:rPr>
        <w:t>文化和旅游</w:t>
      </w:r>
      <w:r>
        <w:rPr>
          <w:rStyle w:val="17"/>
          <w:rFonts w:eastAsia="方正仿宋_GBK"/>
          <w:bCs/>
          <w:color w:val="000000" w:themeColor="text1"/>
          <w:sz w:val="33"/>
          <w:szCs w:val="33"/>
          <w14:textFill>
            <w14:solidFill>
              <w14:schemeClr w14:val="tx1"/>
            </w14:solidFill>
          </w14:textFill>
        </w:rPr>
        <w:t>（款）</w:t>
      </w:r>
      <w:r>
        <w:rPr>
          <w:rStyle w:val="17"/>
          <w:rFonts w:hint="eastAsia" w:eastAsia="方正仿宋_GBK"/>
          <w:bCs/>
          <w:color w:val="000000" w:themeColor="text1"/>
          <w:sz w:val="33"/>
          <w:szCs w:val="33"/>
          <w14:textFill>
            <w14:solidFill>
              <w14:schemeClr w14:val="tx1"/>
            </w14:solidFill>
          </w14:textFill>
        </w:rPr>
        <w:t>文化活动</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w:t>
      </w:r>
      <w:r>
        <w:rPr>
          <w:rStyle w:val="17"/>
          <w:rFonts w:eastAsia="方正仿宋_GBK"/>
          <w:b w:val="0"/>
          <w:bCs/>
          <w:color w:val="000000" w:themeColor="text1"/>
          <w:sz w:val="33"/>
          <w:szCs w:val="33"/>
          <w14:textFill>
            <w14:solidFill>
              <w14:schemeClr w14:val="tx1"/>
            </w14:solidFill>
          </w14:textFill>
        </w:rPr>
        <w:t>支出决算为</w:t>
      </w:r>
      <w:r>
        <w:rPr>
          <w:rStyle w:val="17"/>
          <w:rFonts w:hint="eastAsia" w:eastAsia="方正仿宋_GBK"/>
          <w:b w:val="0"/>
          <w:bCs/>
          <w:color w:val="000000" w:themeColor="text1"/>
          <w:sz w:val="33"/>
          <w:szCs w:val="33"/>
          <w14:textFill>
            <w14:solidFill>
              <w14:schemeClr w14:val="tx1"/>
            </w14:solidFill>
          </w14:textFill>
        </w:rPr>
        <w:t>14.03</w:t>
      </w:r>
      <w:r>
        <w:rPr>
          <w:rStyle w:val="17"/>
          <w:rFonts w:eastAsia="方正仿宋_GBK"/>
          <w:b w:val="0"/>
          <w:bCs/>
          <w:color w:val="000000" w:themeColor="text1"/>
          <w:sz w:val="33"/>
          <w:szCs w:val="33"/>
          <w14:textFill>
            <w14:solidFill>
              <w14:schemeClr w14:val="tx1"/>
            </w14:solidFill>
          </w14:textFill>
        </w:rPr>
        <w:t>万元，完成预算100%。</w:t>
      </w:r>
    </w:p>
    <w:p>
      <w:pPr>
        <w:ind w:firstLine="663" w:firstLineChars="200"/>
        <w:rPr>
          <w:rStyle w:val="17"/>
          <w:rFonts w:eastAsia="方正仿宋_GBK"/>
          <w:bCs/>
          <w:color w:val="000000" w:themeColor="text1"/>
          <w:sz w:val="33"/>
          <w:szCs w:val="33"/>
          <w14:textFill>
            <w14:solidFill>
              <w14:schemeClr w14:val="tx1"/>
            </w14:solidFill>
          </w14:textFill>
        </w:rPr>
      </w:pPr>
      <w:r>
        <w:rPr>
          <w:rStyle w:val="17"/>
          <w:rFonts w:eastAsia="方正仿宋_GBK"/>
          <w:bCs/>
          <w:color w:val="000000" w:themeColor="text1"/>
          <w:sz w:val="33"/>
          <w:szCs w:val="33"/>
          <w14:textFill>
            <w14:solidFill>
              <w14:schemeClr w14:val="tx1"/>
            </w14:solidFill>
          </w14:textFill>
        </w:rPr>
        <w:t>13.其他支出（类）其他支出（款）其他支出</w:t>
      </w:r>
      <w:r>
        <w:rPr>
          <w:rStyle w:val="17"/>
          <w:rFonts w:hint="eastAsia" w:eastAsia="方正仿宋_GBK"/>
          <w:bCs/>
          <w:color w:val="000000" w:themeColor="text1"/>
          <w:sz w:val="33"/>
          <w:szCs w:val="33"/>
          <w:lang w:eastAsia="zh-CN"/>
          <w14:textFill>
            <w14:solidFill>
              <w14:schemeClr w14:val="tx1"/>
            </w14:solidFill>
          </w14:textFill>
        </w:rPr>
        <w:t>（</w:t>
      </w:r>
      <w:r>
        <w:rPr>
          <w:rStyle w:val="17"/>
          <w:rFonts w:hint="eastAsia" w:eastAsia="方正仿宋_GBK"/>
          <w:bCs/>
          <w:color w:val="000000" w:themeColor="text1"/>
          <w:sz w:val="33"/>
          <w:szCs w:val="33"/>
          <w:lang w:val="en-US" w:eastAsia="zh-CN"/>
          <w14:textFill>
            <w14:solidFill>
              <w14:schemeClr w14:val="tx1"/>
            </w14:solidFill>
          </w14:textFill>
        </w:rPr>
        <w:t>项</w:t>
      </w:r>
      <w:r>
        <w:rPr>
          <w:rStyle w:val="17"/>
          <w:rFonts w:hint="eastAsia" w:eastAsia="方正仿宋_GBK"/>
          <w:bCs/>
          <w:color w:val="000000" w:themeColor="text1"/>
          <w:sz w:val="33"/>
          <w:szCs w:val="33"/>
          <w:lang w:eastAsia="zh-CN"/>
          <w14:textFill>
            <w14:solidFill>
              <w14:schemeClr w14:val="tx1"/>
            </w14:solidFill>
          </w14:textFill>
        </w:rPr>
        <w:t>）</w:t>
      </w:r>
      <w:r>
        <w:rPr>
          <w:rStyle w:val="17"/>
          <w:rFonts w:eastAsia="方正仿宋_GBK"/>
          <w:bCs/>
          <w:color w:val="000000" w:themeColor="text1"/>
          <w:sz w:val="33"/>
          <w:szCs w:val="33"/>
          <w14:textFill>
            <w14:solidFill>
              <w14:schemeClr w14:val="tx1"/>
            </w14:solidFill>
          </w14:textFill>
        </w:rPr>
        <w:t>：</w:t>
      </w:r>
      <w:r>
        <w:rPr>
          <w:rStyle w:val="17"/>
          <w:rFonts w:hint="eastAsia" w:eastAsia="方正仿宋_GBK"/>
          <w:bCs/>
          <w:color w:val="000000" w:themeColor="text1"/>
          <w:sz w:val="33"/>
          <w:szCs w:val="33"/>
          <w14:textFill>
            <w14:solidFill>
              <w14:schemeClr w14:val="tx1"/>
            </w14:solidFill>
          </w14:textFill>
        </w:rPr>
        <w:t>14.56</w:t>
      </w:r>
      <w:r>
        <w:rPr>
          <w:rStyle w:val="17"/>
          <w:rFonts w:eastAsia="方正仿宋_GBK"/>
          <w:bCs/>
          <w:color w:val="000000" w:themeColor="text1"/>
          <w:sz w:val="33"/>
          <w:szCs w:val="33"/>
          <w14:textFill>
            <w14:solidFill>
              <w14:schemeClr w14:val="tx1"/>
            </w14:solidFill>
          </w14:textFill>
        </w:rPr>
        <w:t>万元。</w:t>
      </w:r>
    </w:p>
    <w:p>
      <w:pPr>
        <w:pStyle w:val="2"/>
        <w:spacing w:before="93"/>
      </w:pPr>
    </w:p>
    <w:p>
      <w:pPr>
        <w:pStyle w:val="30"/>
        <w:ind w:firstLine="660"/>
        <w:outlineLvl w:val="1"/>
        <w:rPr>
          <w:rFonts w:ascii="方正黑体_GBK" w:hAnsi="方正黑体_GBK" w:eastAsia="方正黑体_GBK" w:cs="方正黑体_GBK"/>
          <w:sz w:val="33"/>
          <w:szCs w:val="33"/>
        </w:rPr>
      </w:pPr>
      <w:bookmarkStart w:id="40" w:name="_Toc15396608"/>
      <w:bookmarkStart w:id="41" w:name="_Toc15377214"/>
      <w:r>
        <w:rPr>
          <w:rFonts w:ascii="方正黑体_GBK" w:hAnsi="方正黑体_GBK" w:eastAsia="方正黑体_GBK" w:cs="方正黑体_GBK"/>
          <w:sz w:val="33"/>
          <w:szCs w:val="33"/>
        </w:rPr>
        <w:t>六、一般公共预算财政拨款基本支出决算情况说明</w:t>
      </w:r>
      <w:bookmarkEnd w:id="40"/>
      <w:bookmarkEnd w:id="41"/>
      <w:r>
        <w:rPr>
          <w:rFonts w:ascii="方正黑体_GBK" w:hAnsi="方正黑体_GBK" w:eastAsia="方正黑体_GBK" w:cs="方正黑体_GBK"/>
          <w:sz w:val="33"/>
          <w:szCs w:val="33"/>
        </w:rPr>
        <w:tab/>
      </w:r>
    </w:p>
    <w:p>
      <w:pPr>
        <w:ind w:firstLine="645"/>
        <w:rPr>
          <w:rFonts w:eastAsia="方正仿宋_GBK"/>
          <w:sz w:val="33"/>
          <w:szCs w:val="33"/>
        </w:rPr>
      </w:pPr>
      <w:r>
        <w:rPr>
          <w:rFonts w:hint="eastAsia" w:eastAsia="方正仿宋_GBK"/>
          <w:sz w:val="33"/>
          <w:szCs w:val="33"/>
        </w:rPr>
        <w:t>2022</w:t>
      </w:r>
      <w:r>
        <w:rPr>
          <w:rFonts w:eastAsia="方正仿宋_GBK"/>
          <w:sz w:val="33"/>
          <w:szCs w:val="33"/>
        </w:rPr>
        <w:t>年一般公共预算财政拨款基本支出</w:t>
      </w:r>
      <w:r>
        <w:rPr>
          <w:rFonts w:hint="eastAsia" w:eastAsia="方正仿宋_GBK"/>
          <w:sz w:val="33"/>
          <w:szCs w:val="33"/>
        </w:rPr>
        <w:t>1143.77</w:t>
      </w:r>
      <w:r>
        <w:rPr>
          <w:rFonts w:eastAsia="方正仿宋_GBK"/>
          <w:sz w:val="33"/>
          <w:szCs w:val="33"/>
        </w:rPr>
        <w:t>万元，其中：</w:t>
      </w:r>
    </w:p>
    <w:p>
      <w:pPr>
        <w:ind w:firstLine="645"/>
        <w:rPr>
          <w:rFonts w:eastAsia="方正仿宋_GBK"/>
          <w:spacing w:val="-4"/>
          <w:sz w:val="33"/>
          <w:szCs w:val="33"/>
        </w:rPr>
      </w:pPr>
      <w:r>
        <w:rPr>
          <w:rFonts w:eastAsia="方正仿宋_GBK"/>
          <w:sz w:val="33"/>
          <w:szCs w:val="33"/>
        </w:rPr>
        <w:t>人员经费</w:t>
      </w:r>
      <w:r>
        <w:rPr>
          <w:rFonts w:hint="eastAsia" w:eastAsia="方正仿宋_GBK"/>
          <w:sz w:val="33"/>
          <w:szCs w:val="33"/>
        </w:rPr>
        <w:t>1059.53</w:t>
      </w:r>
      <w:r>
        <w:rPr>
          <w:rFonts w:eastAsia="方正仿宋_GBK"/>
          <w:sz w:val="33"/>
          <w:szCs w:val="33"/>
        </w:rPr>
        <w:t>万元，主要包括：</w:t>
      </w:r>
      <w:r>
        <w:rPr>
          <w:rFonts w:eastAsia="方正仿宋_GBK"/>
          <w:spacing w:val="-4"/>
          <w:sz w:val="33"/>
          <w:szCs w:val="33"/>
        </w:rPr>
        <w:t>主要包括：基本工资、津贴补贴、奖金、绩效工资、机关事业单位基本养老保险缴费、职业年金缴费、</w:t>
      </w:r>
      <w:r>
        <w:rPr>
          <w:rFonts w:hint="eastAsia" w:eastAsia="方正仿宋_GBK"/>
          <w:spacing w:val="-4"/>
          <w:sz w:val="33"/>
          <w:szCs w:val="33"/>
          <w:lang w:val="en-US" w:eastAsia="zh-CN"/>
        </w:rPr>
        <w:t>职工基本医疗保险缴费、公务员医疗补助缴费、</w:t>
      </w:r>
      <w:r>
        <w:rPr>
          <w:rFonts w:eastAsia="方正仿宋_GBK"/>
          <w:spacing w:val="-4"/>
          <w:sz w:val="33"/>
          <w:szCs w:val="33"/>
        </w:rPr>
        <w:t>其他社会保障缴费、其他工资福利支出、抚恤金、生活补助、医疗费补助、住房公积金、</w:t>
      </w:r>
      <w:r>
        <w:rPr>
          <w:rFonts w:hint="eastAsia" w:eastAsia="方正仿宋_GBK"/>
          <w:spacing w:val="-4"/>
          <w:sz w:val="33"/>
          <w:szCs w:val="33"/>
          <w:lang w:val="en-US" w:eastAsia="zh-CN"/>
        </w:rPr>
        <w:t>医疗费、</w:t>
      </w:r>
      <w:r>
        <w:rPr>
          <w:rFonts w:eastAsia="方正仿宋_GBK"/>
          <w:spacing w:val="-4"/>
          <w:sz w:val="33"/>
          <w:szCs w:val="33"/>
        </w:rPr>
        <w:t>其他</w:t>
      </w:r>
      <w:r>
        <w:rPr>
          <w:rFonts w:hint="eastAsia" w:eastAsia="方正仿宋_GBK"/>
          <w:spacing w:val="-4"/>
          <w:sz w:val="33"/>
          <w:szCs w:val="33"/>
          <w:lang w:val="en-US" w:eastAsia="zh-CN"/>
        </w:rPr>
        <w:t>工资福利支出</w:t>
      </w:r>
      <w:r>
        <w:rPr>
          <w:rFonts w:eastAsia="方正仿宋_GBK"/>
          <w:spacing w:val="-4"/>
          <w:sz w:val="33"/>
          <w:szCs w:val="33"/>
        </w:rPr>
        <w:t>。</w:t>
      </w:r>
    </w:p>
    <w:p>
      <w:pPr>
        <w:ind w:firstLine="660" w:firstLineChars="200"/>
        <w:rPr>
          <w:rFonts w:eastAsia="方正仿宋_GBK"/>
          <w:sz w:val="33"/>
          <w:szCs w:val="33"/>
        </w:rPr>
      </w:pPr>
      <w:r>
        <w:rPr>
          <w:rFonts w:eastAsia="方正仿宋_GBK"/>
          <w:sz w:val="33"/>
          <w:szCs w:val="33"/>
        </w:rPr>
        <w:t>公用经费</w:t>
      </w:r>
      <w:r>
        <w:rPr>
          <w:rFonts w:hint="eastAsia" w:eastAsia="方正仿宋_GBK"/>
          <w:sz w:val="33"/>
          <w:szCs w:val="33"/>
        </w:rPr>
        <w:t>84.24</w:t>
      </w:r>
      <w:r>
        <w:rPr>
          <w:rFonts w:eastAsia="方正仿宋_GBK"/>
          <w:sz w:val="33"/>
          <w:szCs w:val="33"/>
        </w:rPr>
        <w:t>万元，主要包括：</w:t>
      </w:r>
      <w:bookmarkStart w:id="42" w:name="_Toc15377215"/>
      <w:bookmarkStart w:id="43" w:name="_Toc15396609"/>
      <w:r>
        <w:rPr>
          <w:rFonts w:eastAsia="方正仿宋_GBK"/>
          <w:spacing w:val="-4"/>
          <w:sz w:val="33"/>
          <w:szCs w:val="33"/>
        </w:rPr>
        <w:t>办公费、水费、电费、邮电费、差旅费、维修（护）费、培训费、公务接待费、劳务费、工会经费、福利费、其他交通费、税金及附加费用、其他商品和服务支出。</w:t>
      </w:r>
    </w:p>
    <w:p>
      <w:pPr>
        <w:pStyle w:val="2"/>
        <w:spacing w:before="93"/>
      </w:pPr>
    </w:p>
    <w:p>
      <w:pPr>
        <w:pStyle w:val="30"/>
        <w:ind w:firstLine="660"/>
        <w:outlineLvl w:val="1"/>
        <w:rPr>
          <w:rFonts w:ascii="方正黑体_GBK" w:hAnsi="方正黑体_GBK" w:eastAsia="方正黑体_GBK" w:cs="方正黑体_GBK"/>
          <w:sz w:val="33"/>
          <w:szCs w:val="33"/>
        </w:rPr>
      </w:pPr>
      <w:r>
        <w:rPr>
          <w:rFonts w:ascii="方正黑体_GBK" w:hAnsi="方正黑体_GBK" w:eastAsia="方正黑体_GBK" w:cs="方正黑体_GBK"/>
          <w:sz w:val="33"/>
          <w:szCs w:val="33"/>
        </w:rPr>
        <w:t>七、“三公”经费财政拨款支出决算情况说明</w:t>
      </w:r>
      <w:bookmarkEnd w:id="42"/>
      <w:bookmarkEnd w:id="43"/>
    </w:p>
    <w:p>
      <w:pPr>
        <w:ind w:firstLine="640"/>
        <w:rPr>
          <w:rFonts w:ascii="方正楷体_GBK" w:hAnsi="方正楷体_GBK" w:eastAsia="方正楷体_GBK" w:cs="方正楷体_GBK"/>
          <w:b/>
          <w:bCs/>
          <w:color w:val="000000" w:themeColor="text1"/>
          <w:sz w:val="33"/>
          <w:szCs w:val="33"/>
          <w14:textFill>
            <w14:solidFill>
              <w14:schemeClr w14:val="tx1"/>
            </w14:solidFill>
          </w14:textFill>
        </w:rPr>
      </w:pPr>
      <w:bookmarkStart w:id="44" w:name="_Toc15377216"/>
      <w:r>
        <w:rPr>
          <w:rFonts w:ascii="方正楷体_GBK" w:hAnsi="方正楷体_GBK" w:eastAsia="方正楷体_GBK" w:cs="方正楷体_GBK"/>
          <w:b/>
          <w:bCs/>
          <w:color w:val="000000" w:themeColor="text1"/>
          <w:sz w:val="33"/>
          <w:szCs w:val="33"/>
          <w14:textFill>
            <w14:solidFill>
              <w14:schemeClr w14:val="tx1"/>
            </w14:solidFill>
          </w14:textFill>
        </w:rPr>
        <w:t>（一）“三公”经费财政拨款支出决算总体情况说明</w:t>
      </w:r>
      <w:bookmarkEnd w:id="44"/>
    </w:p>
    <w:p>
      <w:pPr>
        <w:ind w:firstLine="640"/>
        <w:rPr>
          <w:rFonts w:eastAsia="方正仿宋_GBK"/>
          <w:sz w:val="33"/>
          <w:szCs w:val="33"/>
        </w:rPr>
      </w:pPr>
      <w:r>
        <w:rPr>
          <w:rFonts w:hint="eastAsia" w:eastAsia="方正仿宋_GBK"/>
          <w:sz w:val="33"/>
          <w:szCs w:val="33"/>
        </w:rPr>
        <w:t>2022</w:t>
      </w:r>
      <w:r>
        <w:rPr>
          <w:rFonts w:eastAsia="方正仿宋_GBK"/>
          <w:sz w:val="33"/>
          <w:szCs w:val="33"/>
        </w:rPr>
        <w:t>年“三公”经费财政拨款支出决算为</w:t>
      </w:r>
      <w:r>
        <w:rPr>
          <w:rFonts w:hint="eastAsia" w:eastAsia="方正仿宋_GBK"/>
          <w:sz w:val="33"/>
          <w:szCs w:val="33"/>
        </w:rPr>
        <w:t>3.20</w:t>
      </w:r>
      <w:r>
        <w:rPr>
          <w:rFonts w:eastAsia="方正仿宋_GBK"/>
          <w:sz w:val="33"/>
          <w:szCs w:val="33"/>
        </w:rPr>
        <w:t>万元，完成预算100%。</w:t>
      </w:r>
    </w:p>
    <w:p>
      <w:pPr>
        <w:ind w:firstLine="640"/>
        <w:rPr>
          <w:rFonts w:ascii="方正楷体_GBK" w:hAnsi="方正楷体_GBK" w:eastAsia="方正楷体_GBK" w:cs="方正楷体_GBK"/>
          <w:b/>
          <w:bCs/>
          <w:color w:val="000000" w:themeColor="text1"/>
          <w:sz w:val="33"/>
          <w:szCs w:val="33"/>
          <w14:textFill>
            <w14:solidFill>
              <w14:schemeClr w14:val="tx1"/>
            </w14:solidFill>
          </w14:textFill>
        </w:rPr>
      </w:pPr>
      <w:bookmarkStart w:id="45" w:name="_Toc15377217"/>
      <w:r>
        <w:rPr>
          <w:rFonts w:hint="eastAsia" w:eastAsia="方正仿宋_GBK"/>
          <w:b/>
          <w:sz w:val="33"/>
          <w:szCs w:val="33"/>
        </w:rPr>
        <w:t xml:space="preserve"> </w:t>
      </w:r>
      <w:r>
        <w:rPr>
          <w:rFonts w:ascii="方正楷体_GBK" w:hAnsi="方正楷体_GBK" w:eastAsia="方正楷体_GBK" w:cs="方正楷体_GBK"/>
          <w:b/>
          <w:bCs/>
          <w:color w:val="000000" w:themeColor="text1"/>
          <w:sz w:val="33"/>
          <w:szCs w:val="33"/>
          <w14:textFill>
            <w14:solidFill>
              <w14:schemeClr w14:val="tx1"/>
            </w14:solidFill>
          </w14:textFill>
        </w:rPr>
        <w:t>（二）“三公”经费财政拨款支出决算具体情况说明</w:t>
      </w:r>
      <w:bookmarkEnd w:id="45"/>
    </w:p>
    <w:p>
      <w:pPr>
        <w:ind w:firstLine="640"/>
        <w:rPr>
          <w:rFonts w:eastAsia="方正仿宋_GBK"/>
          <w:sz w:val="33"/>
          <w:szCs w:val="33"/>
        </w:rPr>
      </w:pPr>
      <w:r>
        <w:rPr>
          <w:rFonts w:hint="eastAsia" w:eastAsia="方正仿宋_GBK"/>
          <w:sz w:val="33"/>
          <w:szCs w:val="33"/>
        </w:rPr>
        <w:t>2022</w:t>
      </w:r>
      <w:r>
        <w:rPr>
          <w:rFonts w:eastAsia="方正仿宋_GBK"/>
          <w:sz w:val="33"/>
          <w:szCs w:val="33"/>
        </w:rPr>
        <w:t>年“三公”经费财政拨款支出决算中，因公出国（境）费支出决算0万元，占0%；公务用车购置及运行维护费支出决算3万元，占</w:t>
      </w:r>
      <w:r>
        <w:rPr>
          <w:rFonts w:hint="eastAsia" w:eastAsia="方正仿宋_GBK"/>
          <w:sz w:val="33"/>
          <w:szCs w:val="33"/>
        </w:rPr>
        <w:t>93.8</w:t>
      </w:r>
      <w:r>
        <w:rPr>
          <w:rFonts w:eastAsia="方正仿宋_GBK"/>
          <w:sz w:val="33"/>
          <w:szCs w:val="33"/>
        </w:rPr>
        <w:t>%；公务接待费支出决算</w:t>
      </w:r>
      <w:r>
        <w:rPr>
          <w:rFonts w:hint="eastAsia" w:eastAsia="方正仿宋_GBK"/>
          <w:sz w:val="33"/>
          <w:szCs w:val="33"/>
        </w:rPr>
        <w:t>0.2</w:t>
      </w:r>
      <w:r>
        <w:rPr>
          <w:rFonts w:eastAsia="方正仿宋_GBK"/>
          <w:sz w:val="33"/>
          <w:szCs w:val="33"/>
        </w:rPr>
        <w:t>万元，占</w:t>
      </w:r>
      <w:r>
        <w:rPr>
          <w:rFonts w:hint="eastAsia" w:eastAsia="方正仿宋_GBK"/>
          <w:sz w:val="33"/>
          <w:szCs w:val="33"/>
        </w:rPr>
        <w:t>6.2</w:t>
      </w:r>
      <w:r>
        <w:rPr>
          <w:rFonts w:eastAsia="方正仿宋_GBK"/>
          <w:sz w:val="33"/>
          <w:szCs w:val="33"/>
        </w:rPr>
        <w:t>%。具体情况如下：</w:t>
      </w:r>
    </w:p>
    <w:p>
      <w:pPr>
        <w:pStyle w:val="2"/>
        <w:spacing w:beforeLines="0"/>
        <w:rPr>
          <w:rFonts w:ascii="Times New Roman" w:eastAsia="方正仿宋_GBK"/>
          <w:sz w:val="33"/>
          <w:szCs w:val="33"/>
        </w:rPr>
      </w:pPr>
      <w:r>
        <w:rPr>
          <w:rFonts w:ascii="Times New Roman" w:eastAsia="方正仿宋_GBK"/>
          <w:sz w:val="33"/>
          <w:szCs w:val="33"/>
        </w:rPr>
        <w:object>
          <v:shape id="_x0000_i1027" o:spt="75" type="#_x0000_t75" style="height:222.75pt;width:387.7pt;" o:ole="t" filled="f" o:preferrelative="t" stroked="f" coordsize="21600,21600">
            <v:path/>
            <v:fill on="f" focussize="0,0"/>
            <v:stroke on="f" joinstyle="miter"/>
            <v:imagedata r:id="rId22" o:title=""/>
            <o:lock v:ext="edit" aspectratio="t"/>
            <w10:wrap type="none"/>
            <w10:anchorlock/>
          </v:shape>
          <o:OLEObject Type="Embed" ProgID="Excel.Chart.8" ShapeID="_x0000_i1027" DrawAspect="Content" ObjectID="_1468075731" r:id="rId21">
            <o:LockedField>false</o:LockedField>
          </o:OLEObject>
        </w:object>
      </w:r>
    </w:p>
    <w:p>
      <w:pPr>
        <w:ind w:firstLine="640"/>
        <w:rPr>
          <w:rFonts w:eastAsia="方正仿宋_GBK"/>
          <w:sz w:val="33"/>
          <w:szCs w:val="33"/>
        </w:rPr>
      </w:pPr>
      <w:r>
        <w:rPr>
          <w:rFonts w:eastAsia="方正仿宋_GBK"/>
          <w:sz w:val="33"/>
          <w:szCs w:val="33"/>
        </w:rPr>
        <w:t>（图7：“三公”经费财政拨款支出结构）（饼状图）</w:t>
      </w:r>
    </w:p>
    <w:p>
      <w:pPr>
        <w:ind w:firstLine="640"/>
        <w:rPr>
          <w:rFonts w:eastAsia="方正仿宋_GBK"/>
          <w:sz w:val="33"/>
          <w:szCs w:val="33"/>
        </w:rPr>
      </w:pPr>
      <w:r>
        <w:rPr>
          <w:rFonts w:eastAsia="方正仿宋_GBK"/>
          <w:b/>
          <w:sz w:val="33"/>
          <w:szCs w:val="33"/>
        </w:rPr>
        <w:t>1.因公出国（境）经费支出</w:t>
      </w:r>
      <w:r>
        <w:rPr>
          <w:rFonts w:eastAsia="方正仿宋_GBK"/>
          <w:sz w:val="33"/>
          <w:szCs w:val="33"/>
        </w:rPr>
        <w:t>0万元，</w:t>
      </w:r>
      <w:r>
        <w:rPr>
          <w:rStyle w:val="17"/>
          <w:rFonts w:eastAsia="方正仿宋_GBK"/>
          <w:b w:val="0"/>
          <w:bCs/>
          <w:sz w:val="33"/>
          <w:szCs w:val="33"/>
        </w:rPr>
        <w:t>完成预算0%。</w:t>
      </w:r>
      <w:r>
        <w:rPr>
          <w:rFonts w:eastAsia="方正仿宋_GBK"/>
          <w:sz w:val="33"/>
          <w:szCs w:val="33"/>
        </w:rPr>
        <w:t>全年安排因公出国（境）团组0次，出国（境）0人。</w:t>
      </w:r>
    </w:p>
    <w:p>
      <w:pPr>
        <w:ind w:firstLine="640"/>
        <w:rPr>
          <w:rFonts w:eastAsia="方正仿宋_GBK"/>
          <w:b/>
          <w:sz w:val="33"/>
          <w:szCs w:val="33"/>
        </w:rPr>
      </w:pPr>
      <w:r>
        <w:rPr>
          <w:rFonts w:eastAsia="方正仿宋_GBK"/>
          <w:b/>
          <w:sz w:val="33"/>
          <w:szCs w:val="33"/>
        </w:rPr>
        <w:t>2.公务用车购置及运行维护费支出</w:t>
      </w:r>
      <w:r>
        <w:rPr>
          <w:rFonts w:eastAsia="方正仿宋_GBK"/>
          <w:sz w:val="33"/>
          <w:szCs w:val="33"/>
        </w:rPr>
        <w:t>3万元</w:t>
      </w:r>
      <w:r>
        <w:rPr>
          <w:rFonts w:hint="eastAsia" w:eastAsia="方正仿宋_GBK"/>
          <w:sz w:val="33"/>
          <w:szCs w:val="33"/>
        </w:rPr>
        <w:t>，</w:t>
      </w:r>
      <w:r>
        <w:rPr>
          <w:rStyle w:val="17"/>
          <w:rFonts w:eastAsia="方正仿宋_GBK"/>
          <w:b w:val="0"/>
          <w:bCs/>
          <w:sz w:val="33"/>
          <w:szCs w:val="33"/>
        </w:rPr>
        <w:t>完成预算100%。</w:t>
      </w:r>
      <w:r>
        <w:rPr>
          <w:rFonts w:eastAsia="方正仿宋_GBK"/>
          <w:sz w:val="33"/>
          <w:szCs w:val="33"/>
        </w:rPr>
        <w:t>公务用车购置及运行维护费支出决算</w:t>
      </w:r>
      <w:r>
        <w:rPr>
          <w:rFonts w:hint="eastAsia" w:eastAsia="方正仿宋_GBK"/>
          <w:sz w:val="33"/>
          <w:szCs w:val="33"/>
        </w:rPr>
        <w:t>与2021</w:t>
      </w:r>
      <w:r>
        <w:rPr>
          <w:rFonts w:eastAsia="方正仿宋_GBK"/>
          <w:sz w:val="33"/>
          <w:szCs w:val="33"/>
        </w:rPr>
        <w:t>年</w:t>
      </w:r>
      <w:r>
        <w:rPr>
          <w:rFonts w:hint="eastAsia" w:eastAsia="方正仿宋_GBK"/>
          <w:sz w:val="33"/>
          <w:szCs w:val="33"/>
        </w:rPr>
        <w:t>持平，主要用于机要车保险、维修、邮费、ETC扣费等支出。</w:t>
      </w:r>
    </w:p>
    <w:p>
      <w:pPr>
        <w:ind w:firstLine="660" w:firstLineChars="200"/>
        <w:rPr>
          <w:rFonts w:eastAsia="方正仿宋_GBK"/>
          <w:b/>
          <w:sz w:val="33"/>
          <w:szCs w:val="33"/>
        </w:rPr>
      </w:pPr>
      <w:r>
        <w:rPr>
          <w:rFonts w:eastAsia="方正仿宋_GBK"/>
          <w:sz w:val="33"/>
          <w:szCs w:val="33"/>
        </w:rPr>
        <w:t>其中：</w:t>
      </w:r>
      <w:r>
        <w:rPr>
          <w:rFonts w:eastAsia="方正仿宋_GBK"/>
          <w:b/>
          <w:sz w:val="33"/>
          <w:szCs w:val="33"/>
        </w:rPr>
        <w:t>公务用车购置支出</w:t>
      </w:r>
      <w:r>
        <w:rPr>
          <w:rFonts w:eastAsia="方正仿宋_GBK"/>
          <w:sz w:val="33"/>
          <w:szCs w:val="33"/>
        </w:rPr>
        <w:t>0万元。截至</w:t>
      </w:r>
      <w:r>
        <w:rPr>
          <w:rFonts w:hint="eastAsia" w:eastAsia="方正仿宋_GBK"/>
          <w:sz w:val="33"/>
          <w:szCs w:val="33"/>
        </w:rPr>
        <w:t>2022</w:t>
      </w:r>
      <w:r>
        <w:rPr>
          <w:rFonts w:eastAsia="方正仿宋_GBK"/>
          <w:sz w:val="33"/>
          <w:szCs w:val="33"/>
        </w:rPr>
        <w:t>年12月底，单位共有公务用车1辆，其中：轿车1辆、越野车0辆、载客汽车0辆。</w:t>
      </w:r>
    </w:p>
    <w:p>
      <w:pPr>
        <w:ind w:firstLine="640"/>
        <w:rPr>
          <w:rFonts w:eastAsia="方正仿宋_GBK"/>
          <w:sz w:val="33"/>
          <w:szCs w:val="33"/>
        </w:rPr>
      </w:pPr>
      <w:r>
        <w:rPr>
          <w:rFonts w:eastAsia="方正仿宋_GBK"/>
          <w:b/>
          <w:sz w:val="33"/>
          <w:szCs w:val="33"/>
        </w:rPr>
        <w:t>公务用车运行维护费支出</w:t>
      </w:r>
      <w:r>
        <w:rPr>
          <w:rFonts w:eastAsia="方正仿宋_GBK"/>
          <w:sz w:val="33"/>
          <w:szCs w:val="33"/>
        </w:rPr>
        <w:t>3万元。主要用于县委主要领导用车及机要通信用车等所需的公务用车燃料费、维修费、过路过桥费、保险费等支出。</w:t>
      </w:r>
    </w:p>
    <w:p>
      <w:pPr>
        <w:ind w:firstLine="640"/>
        <w:rPr>
          <w:rFonts w:eastAsia="方正仿宋_GBK"/>
          <w:sz w:val="33"/>
          <w:szCs w:val="33"/>
        </w:rPr>
      </w:pPr>
      <w:r>
        <w:rPr>
          <w:rFonts w:eastAsia="方正仿宋_GBK"/>
          <w:b/>
          <w:sz w:val="33"/>
          <w:szCs w:val="33"/>
        </w:rPr>
        <w:t>3.公务接待费支出</w:t>
      </w:r>
      <w:r>
        <w:rPr>
          <w:rFonts w:hint="eastAsia" w:eastAsia="方正仿宋_GBK"/>
          <w:sz w:val="33"/>
          <w:szCs w:val="33"/>
        </w:rPr>
        <w:t>0.20</w:t>
      </w:r>
      <w:r>
        <w:rPr>
          <w:rFonts w:eastAsia="方正仿宋_GBK"/>
          <w:sz w:val="33"/>
          <w:szCs w:val="33"/>
        </w:rPr>
        <w:t>万元，</w:t>
      </w:r>
      <w:r>
        <w:rPr>
          <w:rStyle w:val="17"/>
          <w:rFonts w:eastAsia="方正仿宋_GBK"/>
          <w:b w:val="0"/>
          <w:bCs/>
          <w:sz w:val="33"/>
          <w:szCs w:val="33"/>
        </w:rPr>
        <w:t>完成预算100%。</w:t>
      </w:r>
      <w:r>
        <w:rPr>
          <w:rFonts w:eastAsia="方正仿宋_GBK"/>
          <w:sz w:val="33"/>
          <w:szCs w:val="33"/>
        </w:rPr>
        <w:t>公务接待费支出决算比</w:t>
      </w:r>
      <w:r>
        <w:rPr>
          <w:rFonts w:hint="eastAsia" w:eastAsia="方正仿宋_GBK"/>
          <w:sz w:val="33"/>
          <w:szCs w:val="33"/>
        </w:rPr>
        <w:t>2021</w:t>
      </w:r>
      <w:r>
        <w:rPr>
          <w:rFonts w:eastAsia="方正仿宋_GBK"/>
          <w:sz w:val="33"/>
          <w:szCs w:val="33"/>
        </w:rPr>
        <w:t>年</w:t>
      </w:r>
      <w:r>
        <w:rPr>
          <w:rFonts w:hint="eastAsia" w:eastAsia="方正仿宋_GBK"/>
          <w:sz w:val="33"/>
          <w:szCs w:val="33"/>
        </w:rPr>
        <w:t>减少0.69</w:t>
      </w:r>
      <w:r>
        <w:rPr>
          <w:rFonts w:eastAsia="方正仿宋_GBK"/>
          <w:sz w:val="33"/>
          <w:szCs w:val="33"/>
        </w:rPr>
        <w:t>万元，</w:t>
      </w:r>
      <w:r>
        <w:rPr>
          <w:rFonts w:hint="eastAsia" w:eastAsia="方正仿宋_GBK"/>
          <w:sz w:val="33"/>
          <w:szCs w:val="33"/>
        </w:rPr>
        <w:t>下降78</w:t>
      </w:r>
      <w:r>
        <w:rPr>
          <w:rFonts w:eastAsia="方正仿宋_GBK"/>
          <w:sz w:val="33"/>
          <w:szCs w:val="33"/>
        </w:rPr>
        <w:t>%。主要原因是</w:t>
      </w:r>
      <w:r>
        <w:rPr>
          <w:rFonts w:hint="eastAsia" w:eastAsia="方正仿宋_GBK"/>
          <w:sz w:val="33"/>
          <w:szCs w:val="33"/>
        </w:rPr>
        <w:t>2022年进一步控制接待费支出，且公务接待较少。</w:t>
      </w:r>
    </w:p>
    <w:p>
      <w:pPr>
        <w:spacing w:line="560" w:lineRule="exact"/>
        <w:ind w:firstLine="663" w:firstLineChars="200"/>
        <w:rPr>
          <w:rFonts w:eastAsia="方正仿宋_GBK"/>
          <w:sz w:val="33"/>
          <w:szCs w:val="33"/>
        </w:rPr>
      </w:pPr>
      <w:r>
        <w:rPr>
          <w:rFonts w:eastAsia="方正仿宋_GBK"/>
          <w:b/>
          <w:sz w:val="33"/>
          <w:szCs w:val="33"/>
        </w:rPr>
        <w:t>国内公务接待支出</w:t>
      </w:r>
      <w:r>
        <w:rPr>
          <w:rFonts w:hint="eastAsia" w:eastAsia="方正仿宋_GBK"/>
          <w:sz w:val="33"/>
          <w:szCs w:val="33"/>
        </w:rPr>
        <w:t>0.20</w:t>
      </w:r>
      <w:r>
        <w:rPr>
          <w:rFonts w:eastAsia="方正仿宋_GBK"/>
          <w:sz w:val="33"/>
          <w:szCs w:val="33"/>
        </w:rPr>
        <w:t>万元，</w:t>
      </w:r>
      <w:r>
        <w:rPr>
          <w:rFonts w:hint="eastAsia" w:eastAsia="仿宋_GB2312"/>
          <w:sz w:val="32"/>
          <w:szCs w:val="32"/>
        </w:rPr>
        <w:t>国内公务接待1批次，73人，外事接待</w:t>
      </w:r>
      <w:r>
        <w:rPr>
          <w:rFonts w:eastAsia="仿宋_GB2312"/>
          <w:sz w:val="32"/>
          <w:szCs w:val="32"/>
        </w:rPr>
        <w:t>0</w:t>
      </w:r>
      <w:r>
        <w:rPr>
          <w:rFonts w:hint="eastAsia" w:eastAsia="仿宋_GB2312"/>
          <w:sz w:val="32"/>
          <w:szCs w:val="32"/>
        </w:rPr>
        <w:t>批次。与2021年比较减少0.69万元。</w:t>
      </w:r>
      <w:r>
        <w:rPr>
          <w:rFonts w:eastAsia="方正仿宋_GBK"/>
          <w:sz w:val="33"/>
          <w:szCs w:val="33"/>
        </w:rPr>
        <w:t>主要用于执行公务、开展业务活动开支的交通费、住宿费、用餐费等。</w:t>
      </w:r>
    </w:p>
    <w:p>
      <w:pPr>
        <w:ind w:firstLine="663" w:firstLineChars="200"/>
        <w:rPr>
          <w:rFonts w:eastAsia="方正仿宋_GBK"/>
          <w:sz w:val="33"/>
          <w:szCs w:val="33"/>
        </w:rPr>
      </w:pPr>
      <w:r>
        <w:rPr>
          <w:rFonts w:eastAsia="方正仿宋_GBK"/>
          <w:b/>
          <w:sz w:val="33"/>
          <w:szCs w:val="33"/>
        </w:rPr>
        <w:t>外事接待支出</w:t>
      </w:r>
      <w:r>
        <w:rPr>
          <w:rFonts w:eastAsia="方正仿宋_GBK"/>
          <w:sz w:val="33"/>
          <w:szCs w:val="33"/>
        </w:rPr>
        <w:t>0万元，外事接待0批次，0人。</w:t>
      </w:r>
    </w:p>
    <w:p>
      <w:pPr>
        <w:pStyle w:val="2"/>
        <w:spacing w:before="93"/>
      </w:pPr>
    </w:p>
    <w:p>
      <w:pPr>
        <w:pStyle w:val="30"/>
        <w:ind w:firstLine="660"/>
        <w:outlineLvl w:val="1"/>
        <w:rPr>
          <w:rFonts w:ascii="方正黑体_GBK" w:hAnsi="方正黑体_GBK" w:eastAsia="方正黑体_GBK" w:cs="方正黑体_GBK"/>
          <w:sz w:val="33"/>
          <w:szCs w:val="33"/>
        </w:rPr>
      </w:pPr>
      <w:bookmarkStart w:id="46" w:name="_Toc15396610"/>
      <w:bookmarkStart w:id="47" w:name="_Toc15377218"/>
      <w:r>
        <w:rPr>
          <w:rFonts w:ascii="方正黑体_GBK" w:hAnsi="方正黑体_GBK" w:eastAsia="方正黑体_GBK" w:cs="方正黑体_GBK"/>
          <w:sz w:val="33"/>
          <w:szCs w:val="33"/>
        </w:rPr>
        <w:t>八、政府性基金预算支出决算情况说明</w:t>
      </w:r>
      <w:bookmarkEnd w:id="46"/>
      <w:bookmarkEnd w:id="47"/>
    </w:p>
    <w:p>
      <w:pPr>
        <w:ind w:firstLine="660" w:firstLineChars="200"/>
        <w:rPr>
          <w:rFonts w:eastAsia="方正仿宋_GBK"/>
          <w:sz w:val="33"/>
          <w:szCs w:val="33"/>
        </w:rPr>
      </w:pPr>
      <w:r>
        <w:rPr>
          <w:rFonts w:hint="eastAsia" w:eastAsia="方正仿宋_GBK"/>
          <w:sz w:val="33"/>
          <w:szCs w:val="33"/>
        </w:rPr>
        <w:t>2022</w:t>
      </w:r>
      <w:r>
        <w:rPr>
          <w:rFonts w:eastAsia="方正仿宋_GBK"/>
          <w:sz w:val="33"/>
          <w:szCs w:val="33"/>
        </w:rPr>
        <w:t>年政府性基金预算财政拨款支出0万元。</w:t>
      </w:r>
    </w:p>
    <w:p>
      <w:pPr>
        <w:pStyle w:val="2"/>
        <w:spacing w:before="93"/>
      </w:pPr>
    </w:p>
    <w:p>
      <w:pPr>
        <w:pStyle w:val="30"/>
        <w:numPr>
          <w:ilvl w:val="0"/>
          <w:numId w:val="1"/>
        </w:numPr>
        <w:ind w:firstLine="660"/>
        <w:outlineLvl w:val="1"/>
        <w:rPr>
          <w:rFonts w:ascii="方正黑体_GBK" w:hAnsi="方正黑体_GBK" w:eastAsia="方正黑体_GBK" w:cs="方正黑体_GBK"/>
          <w:sz w:val="33"/>
          <w:szCs w:val="33"/>
        </w:rPr>
      </w:pPr>
      <w:bookmarkStart w:id="48" w:name="_Toc15396611"/>
      <w:bookmarkStart w:id="49" w:name="_Toc15377219"/>
      <w:r>
        <w:rPr>
          <w:rFonts w:ascii="方正黑体_GBK" w:hAnsi="方正黑体_GBK" w:eastAsia="方正黑体_GBK" w:cs="方正黑体_GBK"/>
          <w:sz w:val="33"/>
          <w:szCs w:val="33"/>
        </w:rPr>
        <w:t>国有资本经营预算支出决算情况说明</w:t>
      </w:r>
      <w:bookmarkEnd w:id="48"/>
      <w:bookmarkEnd w:id="49"/>
    </w:p>
    <w:p>
      <w:pPr>
        <w:ind w:firstLine="640"/>
        <w:rPr>
          <w:rFonts w:eastAsia="方正仿宋_GBK"/>
          <w:sz w:val="33"/>
          <w:szCs w:val="33"/>
        </w:rPr>
      </w:pPr>
      <w:r>
        <w:rPr>
          <w:rFonts w:hint="eastAsia" w:eastAsia="方正仿宋_GBK"/>
          <w:sz w:val="33"/>
          <w:szCs w:val="33"/>
        </w:rPr>
        <w:t>2022</w:t>
      </w:r>
      <w:r>
        <w:rPr>
          <w:rFonts w:eastAsia="方正仿宋_GBK"/>
          <w:sz w:val="33"/>
          <w:szCs w:val="33"/>
        </w:rPr>
        <w:t>年国有资本经营预算财政拨款支出0万元。</w:t>
      </w:r>
    </w:p>
    <w:p>
      <w:pPr>
        <w:pStyle w:val="2"/>
        <w:spacing w:before="93"/>
      </w:pPr>
    </w:p>
    <w:p>
      <w:pPr>
        <w:pStyle w:val="30"/>
        <w:ind w:firstLine="660"/>
        <w:outlineLvl w:val="1"/>
        <w:rPr>
          <w:rFonts w:ascii="方正黑体_GBK" w:hAnsi="方正黑体_GBK" w:eastAsia="方正黑体_GBK" w:cs="方正黑体_GBK"/>
          <w:sz w:val="33"/>
          <w:szCs w:val="33"/>
        </w:rPr>
      </w:pPr>
      <w:bookmarkStart w:id="50" w:name="_Toc15396612"/>
      <w:bookmarkStart w:id="51" w:name="_Toc15377221"/>
      <w:r>
        <w:rPr>
          <w:rFonts w:hint="eastAsia" w:ascii="方正黑体_GBK" w:hAnsi="方正黑体_GBK" w:eastAsia="方正黑体_GBK" w:cs="方正黑体_GBK"/>
          <w:sz w:val="33"/>
          <w:szCs w:val="33"/>
        </w:rPr>
        <w:t>十、</w:t>
      </w:r>
      <w:r>
        <w:rPr>
          <w:rFonts w:ascii="方正黑体_GBK" w:hAnsi="方正黑体_GBK" w:eastAsia="方正黑体_GBK" w:cs="方正黑体_GBK"/>
          <w:sz w:val="33"/>
          <w:szCs w:val="33"/>
        </w:rPr>
        <w:t>其他重要事项的情况说明</w:t>
      </w:r>
      <w:bookmarkEnd w:id="50"/>
      <w:bookmarkEnd w:id="51"/>
    </w:p>
    <w:p>
      <w:pPr>
        <w:ind w:firstLine="640"/>
        <w:rPr>
          <w:rFonts w:ascii="方正楷体_GBK" w:hAnsi="方正楷体_GBK" w:eastAsia="方正楷体_GBK" w:cs="方正楷体_GBK"/>
          <w:b/>
          <w:bCs/>
          <w:color w:val="000000" w:themeColor="text1"/>
          <w:sz w:val="33"/>
          <w:szCs w:val="33"/>
          <w14:textFill>
            <w14:solidFill>
              <w14:schemeClr w14:val="tx1"/>
            </w14:solidFill>
          </w14:textFill>
        </w:rPr>
      </w:pPr>
      <w:bookmarkStart w:id="52" w:name="_Toc15377222"/>
      <w:r>
        <w:rPr>
          <w:rFonts w:ascii="方正楷体_GBK" w:hAnsi="方正楷体_GBK" w:eastAsia="方正楷体_GBK" w:cs="方正楷体_GBK"/>
          <w:b/>
          <w:bCs/>
          <w:color w:val="000000" w:themeColor="text1"/>
          <w:sz w:val="33"/>
          <w:szCs w:val="33"/>
          <w14:textFill>
            <w14:solidFill>
              <w14:schemeClr w14:val="tx1"/>
            </w14:solidFill>
          </w14:textFill>
        </w:rPr>
        <w:t>（一）机关运行经费支出情况</w:t>
      </w:r>
      <w:bookmarkEnd w:id="52"/>
    </w:p>
    <w:p>
      <w:pPr>
        <w:ind w:firstLine="660" w:firstLineChars="200"/>
        <w:rPr>
          <w:rFonts w:eastAsia="方正仿宋_GBK"/>
          <w:sz w:val="33"/>
          <w:szCs w:val="33"/>
        </w:rPr>
      </w:pPr>
      <w:r>
        <w:rPr>
          <w:rFonts w:hint="eastAsia" w:eastAsia="方正仿宋_GBK"/>
          <w:sz w:val="33"/>
          <w:szCs w:val="33"/>
        </w:rPr>
        <w:t>2022</w:t>
      </w:r>
      <w:r>
        <w:rPr>
          <w:rFonts w:eastAsia="方正仿宋_GBK"/>
          <w:sz w:val="33"/>
          <w:szCs w:val="33"/>
        </w:rPr>
        <w:t>年，中共盐边县委办公室机关运行经费支出</w:t>
      </w:r>
      <w:r>
        <w:rPr>
          <w:rFonts w:hint="eastAsia" w:eastAsia="方正仿宋_GBK"/>
          <w:sz w:val="33"/>
          <w:szCs w:val="33"/>
        </w:rPr>
        <w:t>84.24</w:t>
      </w:r>
      <w:r>
        <w:rPr>
          <w:rFonts w:eastAsia="方正仿宋_GBK"/>
          <w:sz w:val="33"/>
          <w:szCs w:val="33"/>
        </w:rPr>
        <w:t>万元，比</w:t>
      </w:r>
      <w:r>
        <w:rPr>
          <w:rFonts w:hint="eastAsia" w:eastAsia="方正仿宋_GBK"/>
          <w:sz w:val="33"/>
          <w:szCs w:val="33"/>
        </w:rPr>
        <w:t>2021</w:t>
      </w:r>
      <w:r>
        <w:rPr>
          <w:rFonts w:eastAsia="方正仿宋_GBK"/>
          <w:sz w:val="33"/>
          <w:szCs w:val="33"/>
        </w:rPr>
        <w:t>年（</w:t>
      </w:r>
      <w:r>
        <w:rPr>
          <w:rFonts w:hint="eastAsia" w:eastAsia="方正仿宋_GBK"/>
          <w:sz w:val="33"/>
          <w:szCs w:val="33"/>
        </w:rPr>
        <w:t>95.66</w:t>
      </w:r>
      <w:r>
        <w:rPr>
          <w:rFonts w:eastAsia="方正仿宋_GBK"/>
          <w:sz w:val="33"/>
          <w:szCs w:val="33"/>
        </w:rPr>
        <w:t>万元）</w:t>
      </w:r>
      <w:r>
        <w:rPr>
          <w:rFonts w:hint="eastAsia" w:eastAsia="方正仿宋_GBK"/>
          <w:sz w:val="33"/>
          <w:szCs w:val="33"/>
        </w:rPr>
        <w:t>减少11.42</w:t>
      </w:r>
      <w:r>
        <w:rPr>
          <w:rFonts w:eastAsia="方正仿宋_GBK"/>
          <w:sz w:val="33"/>
          <w:szCs w:val="33"/>
        </w:rPr>
        <w:t>万元，</w:t>
      </w:r>
      <w:r>
        <w:rPr>
          <w:rFonts w:hint="eastAsia" w:eastAsia="方正仿宋_GBK"/>
          <w:sz w:val="33"/>
          <w:szCs w:val="33"/>
        </w:rPr>
        <w:t>降低11.9</w:t>
      </w:r>
      <w:r>
        <w:rPr>
          <w:rFonts w:eastAsia="方正仿宋_GBK"/>
          <w:sz w:val="33"/>
          <w:szCs w:val="33"/>
        </w:rPr>
        <w:t>%。主要</w:t>
      </w:r>
      <w:r>
        <w:rPr>
          <w:rFonts w:hint="eastAsia" w:eastAsia="方正仿宋_GBK"/>
          <w:sz w:val="33"/>
          <w:szCs w:val="33"/>
          <w:lang w:val="en-US" w:eastAsia="zh-CN"/>
        </w:rPr>
        <w:t>变动</w:t>
      </w:r>
      <w:r>
        <w:rPr>
          <w:rFonts w:eastAsia="方正仿宋_GBK"/>
          <w:sz w:val="33"/>
          <w:szCs w:val="33"/>
        </w:rPr>
        <w:t>原因</w:t>
      </w:r>
      <w:r>
        <w:rPr>
          <w:rFonts w:hint="eastAsia" w:eastAsia="方正仿宋_GBK"/>
          <w:sz w:val="33"/>
          <w:szCs w:val="33"/>
          <w:lang w:val="en-US" w:eastAsia="zh-CN"/>
        </w:rPr>
        <w:t>是</w:t>
      </w:r>
      <w:r>
        <w:rPr>
          <w:rFonts w:hint="eastAsia" w:eastAsia="方正仿宋_GBK"/>
          <w:sz w:val="33"/>
          <w:szCs w:val="33"/>
        </w:rPr>
        <w:t>2022</w:t>
      </w:r>
      <w:r>
        <w:rPr>
          <w:rFonts w:eastAsia="方正仿宋_GBK"/>
          <w:sz w:val="33"/>
          <w:szCs w:val="33"/>
        </w:rPr>
        <w:t>年较去年一是</w:t>
      </w:r>
      <w:r>
        <w:rPr>
          <w:rFonts w:hint="eastAsia" w:eastAsia="方正仿宋_GBK"/>
          <w:sz w:val="33"/>
          <w:szCs w:val="33"/>
        </w:rPr>
        <w:t>减少政务支出，严格控制支出</w:t>
      </w:r>
      <w:r>
        <w:rPr>
          <w:rFonts w:eastAsia="方正仿宋_GBK"/>
          <w:sz w:val="33"/>
          <w:szCs w:val="33"/>
        </w:rPr>
        <w:t>；二是</w:t>
      </w:r>
      <w:r>
        <w:rPr>
          <w:rFonts w:hint="eastAsia" w:eastAsia="方正仿宋_GBK"/>
          <w:sz w:val="33"/>
          <w:szCs w:val="33"/>
        </w:rPr>
        <w:t>机关运行类相关支出比去年产生费用较少。</w:t>
      </w:r>
    </w:p>
    <w:p>
      <w:pPr>
        <w:ind w:firstLine="640"/>
        <w:rPr>
          <w:rFonts w:ascii="方正楷体_GBK" w:hAnsi="方正楷体_GBK" w:eastAsia="方正楷体_GBK" w:cs="方正楷体_GBK"/>
          <w:b/>
          <w:bCs/>
          <w:color w:val="000000" w:themeColor="text1"/>
          <w:sz w:val="33"/>
          <w:szCs w:val="33"/>
          <w14:textFill>
            <w14:solidFill>
              <w14:schemeClr w14:val="tx1"/>
            </w14:solidFill>
          </w14:textFill>
        </w:rPr>
      </w:pPr>
      <w:bookmarkStart w:id="53" w:name="_Toc15377223"/>
      <w:r>
        <w:rPr>
          <w:rFonts w:ascii="方正楷体_GBK" w:hAnsi="方正楷体_GBK" w:eastAsia="方正楷体_GBK" w:cs="方正楷体_GBK"/>
          <w:b/>
          <w:bCs/>
          <w:color w:val="000000" w:themeColor="text1"/>
          <w:sz w:val="33"/>
          <w:szCs w:val="33"/>
          <w14:textFill>
            <w14:solidFill>
              <w14:schemeClr w14:val="tx1"/>
            </w14:solidFill>
          </w14:textFill>
        </w:rPr>
        <w:t>（二）政府采购支出情况</w:t>
      </w:r>
      <w:bookmarkEnd w:id="53"/>
    </w:p>
    <w:p>
      <w:pPr>
        <w:ind w:firstLine="660" w:firstLineChars="200"/>
        <w:rPr>
          <w:rFonts w:eastAsia="方正仿宋_GBK"/>
          <w:sz w:val="33"/>
          <w:szCs w:val="33"/>
        </w:rPr>
      </w:pPr>
      <w:bookmarkStart w:id="54" w:name="_Toc15377224"/>
      <w:r>
        <w:rPr>
          <w:rFonts w:eastAsia="方正仿宋_GBK"/>
          <w:sz w:val="33"/>
          <w:szCs w:val="33"/>
        </w:rPr>
        <w:t>20</w:t>
      </w:r>
      <w:r>
        <w:rPr>
          <w:rFonts w:hint="eastAsia" w:eastAsia="方正仿宋_GBK"/>
          <w:sz w:val="33"/>
          <w:szCs w:val="33"/>
        </w:rPr>
        <w:t>22年，县委办政府采购支出总额</w:t>
      </w:r>
      <w:r>
        <w:rPr>
          <w:rFonts w:hint="eastAsia" w:eastAsia="方正仿宋_GBK"/>
          <w:sz w:val="33"/>
          <w:szCs w:val="33"/>
          <w:lang w:val="en-US" w:eastAsia="zh-CN"/>
        </w:rPr>
        <w:t>0</w:t>
      </w:r>
      <w:r>
        <w:rPr>
          <w:rFonts w:hint="eastAsia" w:eastAsia="方正仿宋_GBK"/>
          <w:sz w:val="33"/>
          <w:szCs w:val="33"/>
        </w:rPr>
        <w:t>元，其中：政府采购货物支出</w:t>
      </w:r>
      <w:r>
        <w:rPr>
          <w:rFonts w:hint="eastAsia" w:eastAsia="方正仿宋_GBK"/>
          <w:sz w:val="33"/>
          <w:szCs w:val="33"/>
          <w:lang w:val="en-US" w:eastAsia="zh-CN"/>
        </w:rPr>
        <w:t>0</w:t>
      </w:r>
      <w:r>
        <w:rPr>
          <w:rFonts w:hint="eastAsia" w:eastAsia="方正仿宋_GBK"/>
          <w:sz w:val="33"/>
          <w:szCs w:val="33"/>
        </w:rPr>
        <w:t>元、政府采购工程支出0元、政府采购服务支出0万元。主要用于工商联组建钒钛产业开发区商会经费。授予中小企业合同金额</w:t>
      </w:r>
      <w:r>
        <w:rPr>
          <w:rFonts w:hint="eastAsia" w:eastAsia="方正仿宋_GBK"/>
          <w:sz w:val="33"/>
          <w:szCs w:val="33"/>
          <w:lang w:val="en-US" w:eastAsia="zh-CN"/>
        </w:rPr>
        <w:t>0</w:t>
      </w:r>
      <w:r>
        <w:rPr>
          <w:rFonts w:hint="eastAsia" w:eastAsia="方正仿宋_GBK"/>
          <w:sz w:val="33"/>
          <w:szCs w:val="33"/>
        </w:rPr>
        <w:t>元，占政府采购支出总额的</w:t>
      </w:r>
      <w:r>
        <w:rPr>
          <w:rFonts w:hint="eastAsia" w:eastAsia="方正仿宋_GBK"/>
          <w:sz w:val="33"/>
          <w:szCs w:val="33"/>
          <w:lang w:val="en-US" w:eastAsia="zh-CN"/>
        </w:rPr>
        <w:t>0</w:t>
      </w:r>
      <w:r>
        <w:rPr>
          <w:rFonts w:hint="eastAsia" w:eastAsia="方正仿宋_GBK"/>
          <w:sz w:val="33"/>
          <w:szCs w:val="33"/>
        </w:rPr>
        <w:t>，其中：授予小微企业合同金额</w:t>
      </w:r>
      <w:r>
        <w:rPr>
          <w:rFonts w:hint="eastAsia" w:eastAsia="方正仿宋_GBK"/>
          <w:sz w:val="33"/>
          <w:szCs w:val="33"/>
          <w:lang w:val="en-US" w:eastAsia="zh-CN"/>
        </w:rPr>
        <w:t>0</w:t>
      </w:r>
      <w:r>
        <w:rPr>
          <w:rFonts w:hint="eastAsia" w:eastAsia="方正仿宋_GBK"/>
          <w:sz w:val="33"/>
          <w:szCs w:val="33"/>
        </w:rPr>
        <w:t>元，占政府采购支出总额的</w:t>
      </w:r>
      <w:r>
        <w:rPr>
          <w:rFonts w:hint="eastAsia" w:eastAsia="方正仿宋_GBK"/>
          <w:sz w:val="33"/>
          <w:szCs w:val="33"/>
          <w:lang w:val="en-US" w:eastAsia="zh-CN"/>
        </w:rPr>
        <w:t>0</w:t>
      </w:r>
      <w:r>
        <w:rPr>
          <w:rFonts w:hint="eastAsia" w:eastAsia="方正仿宋_GBK"/>
          <w:sz w:val="33"/>
          <w:szCs w:val="33"/>
        </w:rPr>
        <w:t>。</w:t>
      </w:r>
    </w:p>
    <w:p>
      <w:pPr>
        <w:ind w:firstLine="640"/>
        <w:rPr>
          <w:rFonts w:ascii="方正楷体_GBK" w:hAnsi="方正楷体_GBK" w:eastAsia="方正楷体_GBK" w:cs="方正楷体_GBK"/>
          <w:b/>
          <w:bCs/>
          <w:color w:val="000000" w:themeColor="text1"/>
          <w:sz w:val="33"/>
          <w:szCs w:val="33"/>
          <w14:textFill>
            <w14:solidFill>
              <w14:schemeClr w14:val="tx1"/>
            </w14:solidFill>
          </w14:textFill>
        </w:rPr>
      </w:pPr>
      <w:r>
        <w:rPr>
          <w:rFonts w:ascii="方正楷体_GBK" w:hAnsi="方正楷体_GBK" w:eastAsia="方正楷体_GBK" w:cs="方正楷体_GBK"/>
          <w:b/>
          <w:bCs/>
          <w:color w:val="000000" w:themeColor="text1"/>
          <w:sz w:val="33"/>
          <w:szCs w:val="33"/>
          <w14:textFill>
            <w14:solidFill>
              <w14:schemeClr w14:val="tx1"/>
            </w14:solidFill>
          </w14:textFill>
        </w:rPr>
        <w:t>（三）国有资产占有使用情况</w:t>
      </w:r>
      <w:bookmarkEnd w:id="54"/>
    </w:p>
    <w:p>
      <w:pPr>
        <w:ind w:firstLine="660" w:firstLineChars="200"/>
        <w:rPr>
          <w:rFonts w:eastAsia="方正仿宋_GBK"/>
          <w:sz w:val="33"/>
          <w:szCs w:val="33"/>
        </w:rPr>
      </w:pPr>
      <w:r>
        <w:rPr>
          <w:rFonts w:eastAsia="方正仿宋_GBK"/>
          <w:sz w:val="33"/>
          <w:szCs w:val="33"/>
        </w:rPr>
        <w:t>截至</w:t>
      </w:r>
      <w:r>
        <w:rPr>
          <w:rFonts w:hint="eastAsia" w:eastAsia="方正仿宋_GBK"/>
          <w:sz w:val="33"/>
          <w:szCs w:val="33"/>
        </w:rPr>
        <w:t>2022</w:t>
      </w:r>
      <w:r>
        <w:rPr>
          <w:rFonts w:eastAsia="方正仿宋_GBK"/>
          <w:sz w:val="33"/>
          <w:szCs w:val="33"/>
        </w:rPr>
        <w:t>年12月31日，中共盐边县委办共有车辆1辆，其中：主要领导干部用车0辆、机要通信用车1辆、应急保障用车0辆、其他用车0辆，单价50万元以上通用设备0台（套），单价100万元以上专用设备0台（套）。</w:t>
      </w:r>
    </w:p>
    <w:p>
      <w:pPr>
        <w:ind w:firstLine="640"/>
        <w:rPr>
          <w:rFonts w:ascii="方正楷体_GBK" w:hAnsi="方正楷体_GBK" w:eastAsia="方正楷体_GBK" w:cs="方正楷体_GBK"/>
          <w:b/>
          <w:bCs/>
          <w:color w:val="000000" w:themeColor="text1"/>
          <w:sz w:val="33"/>
          <w:szCs w:val="33"/>
          <w14:textFill>
            <w14:solidFill>
              <w14:schemeClr w14:val="tx1"/>
            </w14:solidFill>
          </w14:textFill>
        </w:rPr>
      </w:pPr>
      <w:r>
        <w:rPr>
          <w:rFonts w:ascii="方正楷体_GBK" w:hAnsi="方正楷体_GBK" w:eastAsia="方正楷体_GBK" w:cs="方正楷体_GBK"/>
          <w:b/>
          <w:bCs/>
          <w:color w:val="000000" w:themeColor="text1"/>
          <w:sz w:val="33"/>
          <w:szCs w:val="33"/>
          <w14:textFill>
            <w14:solidFill>
              <w14:schemeClr w14:val="tx1"/>
            </w14:solidFill>
          </w14:textFill>
        </w:rPr>
        <w:t>（四）预算绩效管理情况</w:t>
      </w:r>
    </w:p>
    <w:p>
      <w:pPr>
        <w:ind w:firstLine="660" w:firstLineChars="200"/>
        <w:rPr>
          <w:rFonts w:eastAsia="方正仿宋_GBK"/>
          <w:sz w:val="33"/>
          <w:szCs w:val="33"/>
        </w:rPr>
      </w:pPr>
      <w:r>
        <w:rPr>
          <w:rFonts w:eastAsia="方正仿宋_GBK"/>
          <w:sz w:val="33"/>
          <w:szCs w:val="33"/>
        </w:rPr>
        <w:t>根据预算绩效管理要求，本部门在</w:t>
      </w:r>
      <w:r>
        <w:rPr>
          <w:rFonts w:hint="eastAsia" w:eastAsia="方正仿宋_GBK"/>
          <w:sz w:val="33"/>
          <w:szCs w:val="33"/>
        </w:rPr>
        <w:t>2022</w:t>
      </w:r>
      <w:r>
        <w:rPr>
          <w:rFonts w:eastAsia="方正仿宋_GBK"/>
          <w:sz w:val="33"/>
          <w:szCs w:val="33"/>
        </w:rPr>
        <w:t>年度预算编制阶段，组织对民主党派及工商联事务项目等项目开展了预算事前绩效评估，对</w:t>
      </w:r>
      <w:r>
        <w:rPr>
          <w:rFonts w:hint="eastAsia" w:eastAsia="方正仿宋_GBK"/>
          <w:sz w:val="33"/>
          <w:szCs w:val="33"/>
          <w:lang w:val="en-US" w:eastAsia="zh-CN"/>
        </w:rPr>
        <w:t>所有</w:t>
      </w:r>
      <w:r>
        <w:rPr>
          <w:rFonts w:eastAsia="方正仿宋_GBK"/>
          <w:sz w:val="33"/>
          <w:szCs w:val="33"/>
        </w:rPr>
        <w:t>项目编制了绩效目标，预算执行过程中，选取</w:t>
      </w:r>
      <w:r>
        <w:rPr>
          <w:rFonts w:hint="eastAsia" w:eastAsia="方正仿宋_GBK"/>
          <w:sz w:val="33"/>
          <w:szCs w:val="33"/>
          <w:lang w:val="en-US" w:eastAsia="zh-CN"/>
        </w:rPr>
        <w:t>所有</w:t>
      </w:r>
      <w:r>
        <w:rPr>
          <w:rFonts w:eastAsia="方正仿宋_GBK"/>
          <w:sz w:val="33"/>
          <w:szCs w:val="33"/>
        </w:rPr>
        <w:t>项目开展绩效监控，年终执行完毕后，对</w:t>
      </w:r>
      <w:r>
        <w:rPr>
          <w:rFonts w:hint="eastAsia" w:eastAsia="方正仿宋_GBK"/>
          <w:sz w:val="33"/>
          <w:szCs w:val="33"/>
          <w:lang w:val="en-US" w:eastAsia="zh-CN"/>
        </w:rPr>
        <w:t>所有</w:t>
      </w:r>
      <w:r>
        <w:rPr>
          <w:rFonts w:eastAsia="方正仿宋_GBK"/>
          <w:sz w:val="33"/>
          <w:szCs w:val="33"/>
        </w:rPr>
        <w:t>项目开展了绩效自评。同时，本部门对</w:t>
      </w:r>
      <w:r>
        <w:rPr>
          <w:rFonts w:hint="eastAsia" w:eastAsia="方正仿宋_GBK"/>
          <w:sz w:val="33"/>
          <w:szCs w:val="33"/>
        </w:rPr>
        <w:t>2022</w:t>
      </w:r>
      <w:r>
        <w:rPr>
          <w:rFonts w:eastAsia="方正仿宋_GBK"/>
          <w:sz w:val="33"/>
          <w:szCs w:val="33"/>
        </w:rPr>
        <w:t>年部门整体开展绩效自评，《</w:t>
      </w:r>
      <w:r>
        <w:rPr>
          <w:rFonts w:hint="eastAsia" w:eastAsia="方正仿宋_GBK"/>
          <w:sz w:val="33"/>
          <w:szCs w:val="33"/>
        </w:rPr>
        <w:t>2022</w:t>
      </w:r>
      <w:r>
        <w:rPr>
          <w:rFonts w:eastAsia="方正仿宋_GBK"/>
          <w:sz w:val="33"/>
          <w:szCs w:val="33"/>
        </w:rPr>
        <w:t>年中共盐边县委办整体绩效评价报告》见附件（第四部分）。</w:t>
      </w:r>
    </w:p>
    <w:p>
      <w:pPr>
        <w:widowControl/>
        <w:jc w:val="left"/>
        <w:rPr>
          <w:rFonts w:eastAsia="仿宋_GB2312"/>
          <w:b/>
          <w:sz w:val="32"/>
          <w:szCs w:val="32"/>
        </w:rPr>
      </w:pPr>
      <w:r>
        <w:rPr>
          <w:rFonts w:eastAsia="仿宋_GB2312"/>
          <w:b/>
          <w:sz w:val="32"/>
          <w:szCs w:val="32"/>
        </w:rPr>
        <w:br w:type="page"/>
      </w:r>
    </w:p>
    <w:p>
      <w:pPr>
        <w:jc w:val="center"/>
        <w:outlineLvl w:val="0"/>
        <w:rPr>
          <w:rFonts w:ascii="方正小标宋_GBK" w:hAnsi="方正小标宋_GBK" w:eastAsia="方正小标宋_GBK" w:cs="方正小标宋_GBK"/>
          <w:b/>
          <w:bCs/>
          <w:sz w:val="38"/>
          <w:szCs w:val="38"/>
        </w:rPr>
      </w:pPr>
      <w:bookmarkStart w:id="55" w:name="_Toc15377225"/>
      <w:bookmarkStart w:id="56" w:name="_Toc15396613"/>
      <w:r>
        <w:rPr>
          <w:rFonts w:hint="eastAsia" w:ascii="方正小标宋_GBK" w:hAnsi="方正小标宋_GBK" w:eastAsia="方正小标宋_GBK" w:cs="方正小标宋_GBK"/>
          <w:b/>
          <w:bCs/>
          <w:sz w:val="38"/>
          <w:szCs w:val="38"/>
        </w:rPr>
        <w:t xml:space="preserve">第三部分 </w:t>
      </w:r>
      <w:r>
        <w:rPr>
          <w:rFonts w:ascii="方正小标宋_GBK" w:hAnsi="方正小标宋_GBK" w:eastAsia="方正小标宋_GBK" w:cs="方正小标宋_GBK"/>
          <w:b/>
          <w:bCs/>
          <w:sz w:val="38"/>
          <w:szCs w:val="38"/>
        </w:rPr>
        <w:t>名词解释</w:t>
      </w:r>
      <w:bookmarkEnd w:id="55"/>
      <w:bookmarkEnd w:id="56"/>
    </w:p>
    <w:p>
      <w:pPr>
        <w:jc w:val="left"/>
        <w:rPr>
          <w:b/>
          <w:sz w:val="44"/>
          <w:szCs w:val="44"/>
        </w:rPr>
      </w:pPr>
    </w:p>
    <w:p>
      <w:pPr>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1.财政拨款收入：指</w:t>
      </w:r>
      <w:r>
        <w:rPr>
          <w:rFonts w:eastAsia="方正仿宋_GBK"/>
          <w:sz w:val="33"/>
          <w:szCs w:val="33"/>
        </w:rPr>
        <w:t>单位</w:t>
      </w:r>
      <w:r>
        <w:rPr>
          <w:rFonts w:ascii="Times New Roman" w:hAnsi="Times New Roman" w:eastAsia="方正仿宋_GBK" w:cs="Times New Roman"/>
          <w:sz w:val="33"/>
          <w:szCs w:val="33"/>
        </w:rPr>
        <w:t>从同级财政部门取得的财政预算资金。</w:t>
      </w:r>
    </w:p>
    <w:p>
      <w:pPr>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2.年初</w:t>
      </w:r>
      <w:r>
        <w:rPr>
          <w:rFonts w:eastAsia="方正仿宋_GBK"/>
          <w:sz w:val="33"/>
          <w:szCs w:val="33"/>
        </w:rPr>
        <w:t>结转</w:t>
      </w:r>
      <w:r>
        <w:rPr>
          <w:rFonts w:ascii="Times New Roman" w:hAnsi="Times New Roman" w:eastAsia="方正仿宋_GBK" w:cs="Times New Roman"/>
          <w:sz w:val="33"/>
          <w:szCs w:val="33"/>
        </w:rPr>
        <w:t>和结余：指以前年度尚未完成、结转到本年按有关规定继续使用的资金。</w:t>
      </w:r>
    </w:p>
    <w:p>
      <w:pPr>
        <w:pStyle w:val="29"/>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3.结余分配：指事业单位按照事业单位会计制度的规定从非财政补助结余中分配的事业基金和职工福利基金等。</w:t>
      </w:r>
    </w:p>
    <w:p>
      <w:pPr>
        <w:pStyle w:val="29"/>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4.年末结转和结余：指单位按有关规定结转到下年或以后年度继续使用的资金。</w:t>
      </w:r>
    </w:p>
    <w:p>
      <w:pPr>
        <w:ind w:firstLine="660" w:firstLineChars="200"/>
        <w:rPr>
          <w:rFonts w:eastAsia="方正仿宋_GBK"/>
          <w:sz w:val="33"/>
          <w:szCs w:val="33"/>
        </w:rPr>
      </w:pPr>
      <w:r>
        <w:rPr>
          <w:rFonts w:eastAsia="方正仿宋_GBK"/>
          <w:sz w:val="33"/>
          <w:szCs w:val="33"/>
        </w:rPr>
        <w:t>5.一般公共预算拨款收入：指县级财政当年拨付的资金。</w:t>
      </w:r>
    </w:p>
    <w:p>
      <w:pPr>
        <w:ind w:firstLine="660" w:firstLineChars="200"/>
        <w:outlineLvl w:val="0"/>
        <w:rPr>
          <w:rStyle w:val="17"/>
          <w:rFonts w:eastAsia="方正仿宋_GBK"/>
          <w:b w:val="0"/>
          <w:bCs/>
          <w:color w:val="000000"/>
          <w:sz w:val="33"/>
          <w:szCs w:val="33"/>
        </w:rPr>
      </w:pPr>
      <w:r>
        <w:rPr>
          <w:rFonts w:eastAsia="方正仿宋_GBK"/>
          <w:sz w:val="33"/>
          <w:szCs w:val="33"/>
        </w:rPr>
        <w:t>6.</w:t>
      </w:r>
      <w:r>
        <w:rPr>
          <w:rStyle w:val="17"/>
          <w:rFonts w:eastAsia="方正仿宋_GBK"/>
          <w:b w:val="0"/>
          <w:bCs/>
          <w:color w:val="000000"/>
          <w:sz w:val="33"/>
          <w:szCs w:val="33"/>
        </w:rPr>
        <w:t>一般公共服务（类）民主党派及工商联事务、群众团体事务、党委办公厅（室）及相关机构事务、统战事务（款）行政运行（项）</w:t>
      </w:r>
      <w:r>
        <w:rPr>
          <w:rFonts w:eastAsia="方正仿宋_GBK"/>
          <w:color w:val="000000"/>
          <w:kern w:val="0"/>
          <w:sz w:val="33"/>
          <w:szCs w:val="33"/>
        </w:rPr>
        <w:t>反映行政单位（包括实行公务员管理的事业单位）的基本支出。</w:t>
      </w:r>
    </w:p>
    <w:p>
      <w:pPr>
        <w:ind w:firstLine="660" w:firstLineChars="200"/>
        <w:rPr>
          <w:rFonts w:eastAsia="方正仿宋_GBK"/>
          <w:sz w:val="33"/>
          <w:szCs w:val="33"/>
        </w:rPr>
      </w:pPr>
      <w:r>
        <w:rPr>
          <w:rFonts w:eastAsia="方正仿宋_GBK"/>
          <w:sz w:val="33"/>
          <w:szCs w:val="33"/>
        </w:rPr>
        <w:t>7.一般公共服务（类）民主党派及工商联事务、群众团体事务、党委办公厅（室）及相关机构事务、统战事务（款）一般行政管理事务（项）：反映行政单位（包括实行公务员管理的事业单位）未单独设置项级科目的其他项目支出。</w:t>
      </w:r>
    </w:p>
    <w:p>
      <w:pPr>
        <w:pStyle w:val="6"/>
        <w:ind w:firstLine="660"/>
        <w:rPr>
          <w:rFonts w:eastAsia="方正仿宋_GBK"/>
          <w:sz w:val="33"/>
          <w:szCs w:val="33"/>
        </w:rPr>
      </w:pPr>
      <w:r>
        <w:rPr>
          <w:rFonts w:eastAsia="方正仿宋_GBK"/>
          <w:sz w:val="33"/>
          <w:szCs w:val="33"/>
        </w:rPr>
        <w:t>8.</w:t>
      </w:r>
      <w:r>
        <w:rPr>
          <w:rStyle w:val="17"/>
          <w:rFonts w:eastAsia="方正仿宋_GBK"/>
          <w:b w:val="0"/>
          <w:bCs/>
          <w:color w:val="000000"/>
          <w:sz w:val="33"/>
          <w:szCs w:val="33"/>
        </w:rPr>
        <w:t>一般公共服务（类）民主党派及工商联事务、群众团体事务、党委办公厅（室）及相关机构事务、统战事务（款）</w:t>
      </w:r>
      <w:r>
        <w:rPr>
          <w:rFonts w:eastAsia="方正仿宋_GBK"/>
          <w:sz w:val="33"/>
          <w:szCs w:val="33"/>
        </w:rPr>
        <w:t>一般行政管理事务（项）反映行政单位（包括实行公务员管理的事业单位）未单独设置项级科目的其他项目支出。</w:t>
      </w:r>
    </w:p>
    <w:p>
      <w:pPr>
        <w:ind w:firstLine="660" w:firstLineChars="200"/>
        <w:rPr>
          <w:rFonts w:eastAsia="方正仿宋_GBK"/>
          <w:sz w:val="33"/>
          <w:szCs w:val="33"/>
        </w:rPr>
      </w:pPr>
      <w:r>
        <w:rPr>
          <w:rFonts w:eastAsia="方正仿宋_GBK"/>
          <w:sz w:val="33"/>
          <w:szCs w:val="33"/>
        </w:rPr>
        <w:t>9.</w:t>
      </w:r>
      <w:r>
        <w:rPr>
          <w:rStyle w:val="17"/>
          <w:rFonts w:eastAsia="方正仿宋_GBK"/>
          <w:b w:val="0"/>
          <w:bCs/>
          <w:color w:val="000000"/>
          <w:sz w:val="33"/>
          <w:szCs w:val="33"/>
        </w:rPr>
        <w:t>一般公共服务（类）群众团体事务（款）</w:t>
      </w:r>
      <w:r>
        <w:rPr>
          <w:rFonts w:eastAsia="方正仿宋_GBK"/>
          <w:sz w:val="33"/>
          <w:szCs w:val="33"/>
        </w:rPr>
        <w:t>其他群众团体事务支出（项）反映上述项目以外其他用于群众团体事务方面的支出。</w:t>
      </w:r>
    </w:p>
    <w:p>
      <w:pPr>
        <w:pStyle w:val="6"/>
        <w:ind w:firstLine="660"/>
        <w:rPr>
          <w:rFonts w:eastAsia="方正仿宋_GBK"/>
          <w:sz w:val="33"/>
          <w:szCs w:val="33"/>
        </w:rPr>
      </w:pPr>
      <w:r>
        <w:rPr>
          <w:rFonts w:eastAsia="方正仿宋_GBK"/>
          <w:sz w:val="33"/>
          <w:szCs w:val="33"/>
        </w:rPr>
        <w:t>10.</w:t>
      </w:r>
      <w:r>
        <w:rPr>
          <w:rStyle w:val="17"/>
          <w:rFonts w:eastAsia="方正仿宋_GBK"/>
          <w:b w:val="0"/>
          <w:bCs/>
          <w:color w:val="000000"/>
          <w:sz w:val="33"/>
          <w:szCs w:val="33"/>
        </w:rPr>
        <w:t>一般公共服务（类）统战事务（款）</w:t>
      </w:r>
      <w:r>
        <w:rPr>
          <w:rFonts w:eastAsia="方正仿宋_GBK"/>
          <w:sz w:val="33"/>
          <w:szCs w:val="33"/>
        </w:rPr>
        <w:t>其他统战事务支出（项）反映上述项目以外其他用于中国共产党统战部门的事务支出。</w:t>
      </w:r>
    </w:p>
    <w:p>
      <w:pPr>
        <w:ind w:firstLine="660" w:firstLineChars="200"/>
        <w:rPr>
          <w:rFonts w:eastAsia="方正仿宋_GBK"/>
          <w:sz w:val="33"/>
          <w:szCs w:val="33"/>
        </w:rPr>
      </w:pPr>
      <w:r>
        <w:rPr>
          <w:rFonts w:eastAsia="方正仿宋_GBK"/>
          <w:sz w:val="33"/>
          <w:szCs w:val="33"/>
        </w:rPr>
        <w:t>11.社会保障和就业支出（类）行政事业单位离退休（款）未归口管理的行政单位离退休（项）：反映未实行归口管理的行政单位（包括实行公务员管理的事业单位）开支的离退休支出。</w:t>
      </w:r>
    </w:p>
    <w:p>
      <w:pPr>
        <w:ind w:firstLine="660" w:firstLineChars="200"/>
        <w:rPr>
          <w:rFonts w:eastAsia="方正仿宋_GBK"/>
          <w:sz w:val="33"/>
          <w:szCs w:val="33"/>
        </w:rPr>
      </w:pPr>
      <w:r>
        <w:rPr>
          <w:rFonts w:eastAsia="方正仿宋_GBK"/>
          <w:sz w:val="33"/>
          <w:szCs w:val="33"/>
        </w:rPr>
        <w:t>12.社会保障和就业支出（类）抚恤（款）死亡抚恤（项）：反映按规定用于烈士和牺牲、病故人员家属的一次性和定期抚恤金以及丧葬补助费。</w:t>
      </w:r>
    </w:p>
    <w:p>
      <w:pPr>
        <w:ind w:firstLine="660" w:firstLineChars="200"/>
        <w:rPr>
          <w:rFonts w:eastAsia="方正仿宋_GBK"/>
          <w:sz w:val="33"/>
          <w:szCs w:val="33"/>
        </w:rPr>
      </w:pPr>
      <w:r>
        <w:rPr>
          <w:rFonts w:eastAsia="方正仿宋_GBK"/>
          <w:sz w:val="33"/>
          <w:szCs w:val="33"/>
        </w:rPr>
        <w:t>13.社会保障和就业支出（类）行政事业单位离退休（款）机关事业单位基本养老保险缴费支出（项）：反映机关事业单位实施养老保险制度由单位缴纳的基本养老保险费支出。</w:t>
      </w:r>
    </w:p>
    <w:p>
      <w:pPr>
        <w:ind w:firstLine="660" w:firstLineChars="200"/>
        <w:rPr>
          <w:rFonts w:eastAsia="方正仿宋_GBK"/>
          <w:sz w:val="33"/>
          <w:szCs w:val="33"/>
        </w:rPr>
      </w:pPr>
      <w:r>
        <w:rPr>
          <w:rFonts w:eastAsia="方正仿宋_GBK"/>
          <w:sz w:val="33"/>
          <w:szCs w:val="33"/>
        </w:rPr>
        <w:t>14.社会保障和就业支出（类）行政事业单位离退休（款）机关事业单位职业年金缴费支出（项）：反映机关事业单位实施养老保险制度由单位实际缴纳的职业年金支出。</w:t>
      </w:r>
    </w:p>
    <w:p>
      <w:pPr>
        <w:ind w:firstLine="660" w:firstLineChars="200"/>
        <w:rPr>
          <w:rFonts w:eastAsia="方正仿宋_GBK"/>
          <w:sz w:val="33"/>
          <w:szCs w:val="33"/>
        </w:rPr>
      </w:pPr>
      <w:r>
        <w:rPr>
          <w:rFonts w:eastAsia="方正仿宋_GBK"/>
          <w:sz w:val="33"/>
          <w:szCs w:val="33"/>
        </w:rPr>
        <w:t>15.住房保障支出（类）住房改革支出（款）住房公积金（项）：反映行政事业单位按人力资源和社会保障部、财政部规定的基本工资和津贴补贴以及规定比例为职工缴纳的住房公积金。</w:t>
      </w:r>
    </w:p>
    <w:p>
      <w:pPr>
        <w:ind w:firstLine="660" w:firstLineChars="200"/>
        <w:rPr>
          <w:rFonts w:eastAsia="方正仿宋_GBK"/>
          <w:color w:val="000000"/>
          <w:sz w:val="33"/>
          <w:szCs w:val="33"/>
        </w:rPr>
      </w:pPr>
      <w:r>
        <w:rPr>
          <w:rFonts w:eastAsia="方正仿宋_GBK"/>
          <w:color w:val="000000"/>
          <w:sz w:val="33"/>
          <w:szCs w:val="33"/>
        </w:rPr>
        <w:t>16.基本支出：指为保障机构正常运转、完成日常工作任务而发生的人员支出和公用支出。</w:t>
      </w:r>
    </w:p>
    <w:p>
      <w:pPr>
        <w:ind w:firstLine="660" w:firstLineChars="200"/>
        <w:rPr>
          <w:rFonts w:eastAsia="方正仿宋_GBK"/>
          <w:color w:val="000000"/>
          <w:sz w:val="33"/>
          <w:szCs w:val="33"/>
        </w:rPr>
      </w:pPr>
      <w:r>
        <w:rPr>
          <w:rFonts w:eastAsia="方正仿宋_GBK"/>
          <w:color w:val="000000"/>
          <w:sz w:val="33"/>
          <w:szCs w:val="33"/>
        </w:rPr>
        <w:t>17.项目支出：指在基本支出之外为完成特定行政任务和事业发展目标所发生的支出。</w:t>
      </w:r>
    </w:p>
    <w:p>
      <w:pPr>
        <w:ind w:firstLine="660" w:firstLineChars="200"/>
        <w:rPr>
          <w:rFonts w:eastAsia="方正仿宋_GBK"/>
          <w:color w:val="000000"/>
          <w:sz w:val="33"/>
          <w:szCs w:val="33"/>
        </w:rPr>
      </w:pPr>
      <w:r>
        <w:rPr>
          <w:rFonts w:eastAsia="方正仿宋_GBK"/>
          <w:color w:val="000000"/>
          <w:sz w:val="33"/>
          <w:szCs w:val="33"/>
        </w:rPr>
        <w:t>18.经营支出：指事业单位在专业业务活动及其辅助活动之外开展非独立核算经营活动发生的支出。</w:t>
      </w:r>
    </w:p>
    <w:p>
      <w:pPr>
        <w:pStyle w:val="29"/>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19.“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9"/>
        <w:ind w:firstLine="660" w:firstLineChars="200"/>
        <w:rPr>
          <w:rFonts w:ascii="Times New Roman" w:hAnsi="Times New Roman" w:eastAsia="方正仿宋_GBK" w:cs="Times New Roman"/>
          <w:sz w:val="33"/>
          <w:szCs w:val="33"/>
        </w:rPr>
      </w:pPr>
      <w:r>
        <w:rPr>
          <w:rFonts w:ascii="Times New Roman" w:hAnsi="Times New Roman" w:eastAsia="方正仿宋_GBK" w:cs="Times New Roman"/>
          <w:sz w:val="33"/>
          <w:szCs w:val="33"/>
        </w:rPr>
        <w:t>20.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pStyle w:val="29"/>
        <w:ind w:firstLine="660" w:firstLineChars="200"/>
        <w:rPr>
          <w:rFonts w:ascii="Times New Roman" w:hAnsi="Times New Roman" w:eastAsia="方正仿宋_GBK" w:cs="Times New Roman"/>
          <w:color w:val="auto"/>
          <w:sz w:val="33"/>
          <w:szCs w:val="33"/>
        </w:rPr>
      </w:pPr>
    </w:p>
    <w:p>
      <w:pPr>
        <w:jc w:val="center"/>
        <w:outlineLvl w:val="0"/>
        <w:rPr>
          <w:rStyle w:val="19"/>
          <w:rFonts w:ascii="方正小标宋_GBK" w:hAnsi="方正小标宋_GBK" w:eastAsia="方正小标宋_GBK" w:cs="方正小标宋_GBK"/>
          <w:sz w:val="38"/>
          <w:szCs w:val="38"/>
        </w:rPr>
      </w:pPr>
      <w:bookmarkStart w:id="57" w:name="_Toc15396614"/>
      <w:bookmarkStart w:id="58" w:name="_Toc15377226"/>
      <w:r>
        <w:rPr>
          <w:rFonts w:hint="eastAsia" w:ascii="方正小标宋_GBK" w:hAnsi="方正小标宋_GBK" w:eastAsia="方正小标宋_GBK" w:cs="方正小标宋_GBK"/>
          <w:b/>
          <w:bCs/>
          <w:sz w:val="38"/>
          <w:szCs w:val="38"/>
        </w:rPr>
        <w:t>第</w:t>
      </w:r>
      <w:r>
        <w:rPr>
          <w:rStyle w:val="19"/>
          <w:rFonts w:hint="eastAsia" w:ascii="方正小标宋_GBK" w:hAnsi="方正小标宋_GBK" w:eastAsia="方正小标宋_GBK" w:cs="方正小标宋_GBK"/>
          <w:sz w:val="38"/>
          <w:szCs w:val="38"/>
        </w:rPr>
        <w:t>四部分 附  件</w:t>
      </w:r>
      <w:bookmarkEnd w:id="57"/>
    </w:p>
    <w:p>
      <w:pPr>
        <w:jc w:val="left"/>
        <w:outlineLvl w:val="0"/>
        <w:rPr>
          <w:rFonts w:eastAsia="黑体"/>
          <w:sz w:val="32"/>
          <w:szCs w:val="32"/>
        </w:rPr>
      </w:pPr>
    </w:p>
    <w:p>
      <w:pPr>
        <w:jc w:val="left"/>
        <w:outlineLvl w:val="0"/>
        <w:rPr>
          <w:rFonts w:ascii="方正小标宋_GBK" w:hAnsi="方正小标宋_GBK" w:eastAsia="方正小标宋_GBK" w:cs="方正小标宋_GBK"/>
          <w:kern w:val="0"/>
          <w:sz w:val="38"/>
          <w:szCs w:val="38"/>
        </w:rPr>
      </w:pPr>
      <w:r>
        <w:rPr>
          <w:rFonts w:hint="eastAsia" w:ascii="方正黑体_GBK" w:hAnsi="方正黑体_GBK" w:eastAsia="方正黑体_GBK" w:cs="方正黑体_GBK"/>
          <w:sz w:val="33"/>
          <w:szCs w:val="33"/>
        </w:rPr>
        <w:t>附件</w:t>
      </w:r>
    </w:p>
    <w:tbl>
      <w:tblPr>
        <w:tblStyle w:val="15"/>
        <w:tblpPr w:leftFromText="180" w:rightFromText="180" w:vertAnchor="text" w:horzAnchor="page" w:tblpX="1281" w:tblpY="660"/>
        <w:tblOverlap w:val="never"/>
        <w:tblW w:w="236" w:type="dxa"/>
        <w:tblInd w:w="0" w:type="dxa"/>
        <w:tblLayout w:type="fixed"/>
        <w:tblCellMar>
          <w:top w:w="0" w:type="dxa"/>
          <w:left w:w="108" w:type="dxa"/>
          <w:bottom w:w="0" w:type="dxa"/>
          <w:right w:w="108" w:type="dxa"/>
        </w:tblCellMar>
      </w:tblPr>
      <w:tblGrid>
        <w:gridCol w:w="236"/>
      </w:tblGrid>
      <w:tr>
        <w:tblPrEx>
          <w:tblLayout w:type="fixed"/>
          <w:tblCellMar>
            <w:top w:w="0" w:type="dxa"/>
            <w:left w:w="108" w:type="dxa"/>
            <w:bottom w:w="0" w:type="dxa"/>
            <w:right w:w="108" w:type="dxa"/>
          </w:tblCellMar>
        </w:tblPrEx>
        <w:trPr>
          <w:trHeight w:val="675" w:hRule="atLeast"/>
        </w:trPr>
        <w:tc>
          <w:tcPr>
            <w:tcW w:w="236" w:type="dxa"/>
            <w:tcBorders>
              <w:top w:val="nil"/>
              <w:left w:val="nil"/>
              <w:bottom w:val="nil"/>
              <w:right w:val="nil"/>
            </w:tcBorders>
            <w:vAlign w:val="center"/>
          </w:tcPr>
          <w:p>
            <w:pPr>
              <w:widowControl/>
              <w:jc w:val="center"/>
              <w:textAlignment w:val="center"/>
              <w:rPr>
                <w:rFonts w:eastAsia="方正仿宋_GBK"/>
                <w:b/>
                <w:kern w:val="0"/>
                <w:sz w:val="33"/>
                <w:szCs w:val="33"/>
              </w:rPr>
            </w:pPr>
          </w:p>
        </w:tc>
      </w:tr>
      <w:tr>
        <w:tblPrEx>
          <w:tblLayout w:type="fixed"/>
          <w:tblCellMar>
            <w:top w:w="0" w:type="dxa"/>
            <w:left w:w="108" w:type="dxa"/>
            <w:bottom w:w="0" w:type="dxa"/>
            <w:right w:w="108" w:type="dxa"/>
          </w:tblCellMar>
        </w:tblPrEx>
        <w:trPr>
          <w:trHeight w:val="675" w:hRule="atLeast"/>
        </w:trPr>
        <w:tc>
          <w:tcPr>
            <w:tcW w:w="236" w:type="dxa"/>
            <w:tcBorders>
              <w:top w:val="nil"/>
              <w:left w:val="nil"/>
              <w:bottom w:val="nil"/>
              <w:right w:val="nil"/>
            </w:tcBorders>
            <w:shd w:val="clear" w:color="auto" w:fill="auto"/>
            <w:vAlign w:val="center"/>
          </w:tcPr>
          <w:p>
            <w:pPr>
              <w:widowControl/>
              <w:jc w:val="center"/>
              <w:textAlignment w:val="center"/>
              <w:rPr>
                <w:b/>
                <w:kern w:val="0"/>
                <w:sz w:val="32"/>
                <w:szCs w:val="32"/>
              </w:rPr>
            </w:pPr>
          </w:p>
        </w:tc>
      </w:tr>
    </w:tbl>
    <w:p>
      <w:pPr>
        <w:pStyle w:val="2"/>
        <w:spacing w:before="93"/>
        <w:rPr>
          <w:rFonts w:ascii="Times New Roman"/>
          <w:sz w:val="32"/>
          <w:szCs w:val="32"/>
          <w:shd w:val="clear" w:color="auto" w:fill="FFFFFF"/>
          <w:lang w:val="zh-CN"/>
        </w:rPr>
      </w:pPr>
      <w:r>
        <w:drawing>
          <wp:inline distT="0" distB="0" distL="114300" distR="114300">
            <wp:extent cx="5607685" cy="4196715"/>
            <wp:effectExtent l="0" t="0" r="12065" b="13335"/>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23"/>
                    <a:stretch>
                      <a:fillRect/>
                    </a:stretch>
                  </pic:blipFill>
                  <pic:spPr>
                    <a:xfrm>
                      <a:off x="0" y="0"/>
                      <a:ext cx="5607685" cy="4196715"/>
                    </a:xfrm>
                    <a:prstGeom prst="rect">
                      <a:avLst/>
                    </a:prstGeom>
                    <a:noFill/>
                    <a:ln>
                      <a:noFill/>
                    </a:ln>
                  </pic:spPr>
                </pic:pic>
              </a:graphicData>
            </a:graphic>
          </wp:inline>
        </w:drawing>
      </w:r>
    </w:p>
    <w:p>
      <w:pPr>
        <w:widowControl/>
        <w:adjustRightInd w:val="0"/>
        <w:snapToGrid w:val="0"/>
        <w:spacing w:line="580" w:lineRule="exact"/>
        <w:contextualSpacing/>
        <w:jc w:val="left"/>
        <w:rPr>
          <w:b/>
          <w:bCs/>
        </w:rPr>
      </w:pPr>
    </w:p>
    <w:p>
      <w:pPr>
        <w:widowControl/>
        <w:jc w:val="center"/>
        <w:rPr>
          <w:rStyle w:val="19"/>
          <w:rFonts w:eastAsia="黑体"/>
          <w:b w:val="0"/>
        </w:rPr>
      </w:pPr>
    </w:p>
    <w:p>
      <w:pPr>
        <w:widowControl/>
        <w:jc w:val="center"/>
        <w:rPr>
          <w:rStyle w:val="19"/>
          <w:rFonts w:eastAsia="黑体"/>
          <w:b w:val="0"/>
        </w:rPr>
      </w:pPr>
    </w:p>
    <w:p>
      <w:pPr>
        <w:widowControl/>
        <w:rPr>
          <w:rStyle w:val="19"/>
          <w:rFonts w:eastAsia="黑体"/>
          <w:b w:val="0"/>
        </w:rPr>
      </w:pPr>
    </w:p>
    <w:p>
      <w:pPr>
        <w:widowControl/>
        <w:jc w:val="center"/>
      </w:pPr>
      <w:r>
        <w:drawing>
          <wp:inline distT="0" distB="0" distL="114300" distR="114300">
            <wp:extent cx="5607685" cy="4095750"/>
            <wp:effectExtent l="0" t="0" r="12065"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24"/>
                    <a:stretch>
                      <a:fillRect/>
                    </a:stretch>
                  </pic:blipFill>
                  <pic:spPr>
                    <a:xfrm>
                      <a:off x="0" y="0"/>
                      <a:ext cx="5607685" cy="4095750"/>
                    </a:xfrm>
                    <a:prstGeom prst="rect">
                      <a:avLst/>
                    </a:prstGeom>
                    <a:noFill/>
                    <a:ln>
                      <a:noFill/>
                    </a:ln>
                  </pic:spPr>
                </pic:pic>
              </a:graphicData>
            </a:graphic>
          </wp:inline>
        </w:drawing>
      </w: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pPr>
    </w:p>
    <w:p>
      <w:pPr>
        <w:widowControl/>
        <w:jc w:val="center"/>
      </w:pPr>
      <w:r>
        <w:drawing>
          <wp:inline distT="0" distB="0" distL="114300" distR="114300">
            <wp:extent cx="5607685" cy="5113655"/>
            <wp:effectExtent l="0" t="0" r="12065" b="10795"/>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25"/>
                    <a:stretch>
                      <a:fillRect/>
                    </a:stretch>
                  </pic:blipFill>
                  <pic:spPr>
                    <a:xfrm>
                      <a:off x="0" y="0"/>
                      <a:ext cx="5607685" cy="5113655"/>
                    </a:xfrm>
                    <a:prstGeom prst="rect">
                      <a:avLst/>
                    </a:prstGeom>
                    <a:noFill/>
                    <a:ln>
                      <a:noFill/>
                    </a:ln>
                  </pic:spPr>
                </pic:pic>
              </a:graphicData>
            </a:graphic>
          </wp:inline>
        </w:drawing>
      </w: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widowControl/>
        <w:jc w:val="center"/>
      </w:pPr>
    </w:p>
    <w:p>
      <w:pPr>
        <w:pStyle w:val="2"/>
        <w:spacing w:before="93"/>
      </w:pPr>
    </w:p>
    <w:p>
      <w:pPr>
        <w:pStyle w:val="2"/>
        <w:spacing w:before="93"/>
      </w:pPr>
    </w:p>
    <w:p>
      <w:pPr>
        <w:widowControl/>
        <w:jc w:val="center"/>
      </w:pPr>
      <w:r>
        <w:drawing>
          <wp:inline distT="0" distB="0" distL="114300" distR="114300">
            <wp:extent cx="5607685" cy="5637530"/>
            <wp:effectExtent l="0" t="0" r="12065" b="127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26"/>
                    <a:stretch>
                      <a:fillRect/>
                    </a:stretch>
                  </pic:blipFill>
                  <pic:spPr>
                    <a:xfrm>
                      <a:off x="0" y="0"/>
                      <a:ext cx="5607685" cy="5637530"/>
                    </a:xfrm>
                    <a:prstGeom prst="rect">
                      <a:avLst/>
                    </a:prstGeom>
                    <a:noFill/>
                    <a:ln>
                      <a:noFill/>
                    </a:ln>
                  </pic:spPr>
                </pic:pic>
              </a:graphicData>
            </a:graphic>
          </wp:inline>
        </w:drawing>
      </w:r>
    </w:p>
    <w:p>
      <w:pPr>
        <w:widowControl/>
        <w:jc w:val="center"/>
        <w:rPr>
          <w:rStyle w:val="19"/>
          <w:rFonts w:eastAsia="黑体"/>
          <w:b w:val="0"/>
        </w:rPr>
      </w:pPr>
    </w:p>
    <w:p>
      <w:pPr>
        <w:widowControl/>
        <w:jc w:val="center"/>
        <w:rPr>
          <w:rStyle w:val="19"/>
          <w:rFonts w:eastAsia="黑体"/>
          <w:b w:val="0"/>
        </w:rPr>
      </w:pPr>
    </w:p>
    <w:p>
      <w:pPr>
        <w:widowControl/>
        <w:jc w:val="center"/>
        <w:rPr>
          <w:rStyle w:val="19"/>
          <w:rFonts w:eastAsia="黑体"/>
          <w:b w:val="0"/>
        </w:rPr>
      </w:pPr>
    </w:p>
    <w:p>
      <w:pPr>
        <w:pStyle w:val="2"/>
        <w:spacing w:before="93"/>
        <w:rPr>
          <w:rStyle w:val="19"/>
          <w:rFonts w:eastAsia="黑体"/>
          <w:b w:val="0"/>
        </w:rPr>
      </w:pPr>
    </w:p>
    <w:p>
      <w:pPr>
        <w:pStyle w:val="2"/>
        <w:spacing w:before="93"/>
        <w:rPr>
          <w:rStyle w:val="19"/>
          <w:rFonts w:eastAsia="黑体"/>
          <w:b w:val="0"/>
        </w:rPr>
      </w:pPr>
    </w:p>
    <w:p>
      <w:pPr>
        <w:widowControl/>
        <w:rPr>
          <w:rStyle w:val="19"/>
          <w:rFonts w:eastAsia="黑体"/>
          <w:b w:val="0"/>
        </w:rPr>
      </w:pPr>
    </w:p>
    <w:p>
      <w:pPr>
        <w:widowControl/>
        <w:jc w:val="center"/>
        <w:rPr>
          <w:rStyle w:val="19"/>
          <w:rFonts w:eastAsia="黑体"/>
          <w:b w:val="0"/>
        </w:rPr>
      </w:pPr>
      <w:r>
        <w:drawing>
          <wp:inline distT="0" distB="0" distL="114300" distR="114300">
            <wp:extent cx="5607685" cy="4786630"/>
            <wp:effectExtent l="0" t="0" r="12065" b="1397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27"/>
                    <a:stretch>
                      <a:fillRect/>
                    </a:stretch>
                  </pic:blipFill>
                  <pic:spPr>
                    <a:xfrm>
                      <a:off x="0" y="0"/>
                      <a:ext cx="5607685" cy="4786630"/>
                    </a:xfrm>
                    <a:prstGeom prst="rect">
                      <a:avLst/>
                    </a:prstGeom>
                    <a:noFill/>
                    <a:ln>
                      <a:noFill/>
                    </a:ln>
                  </pic:spPr>
                </pic:pic>
              </a:graphicData>
            </a:graphic>
          </wp:inline>
        </w:drawing>
      </w:r>
    </w:p>
    <w:p>
      <w:pPr>
        <w:widowControl/>
        <w:rPr>
          <w:rStyle w:val="19"/>
          <w:rFonts w:eastAsia="黑体"/>
          <w:b w:val="0"/>
        </w:rPr>
      </w:pPr>
    </w:p>
    <w:p>
      <w:pPr>
        <w:widowControl/>
        <w:rPr>
          <w:rStyle w:val="19"/>
          <w:rFonts w:eastAsia="黑体"/>
          <w:b w:val="0"/>
        </w:rPr>
      </w:pPr>
    </w:p>
    <w:p>
      <w:pPr>
        <w:widowControl/>
        <w:rPr>
          <w:rStyle w:val="19"/>
          <w:rFonts w:eastAsia="黑体"/>
          <w:b w:val="0"/>
        </w:rPr>
      </w:pPr>
    </w:p>
    <w:p>
      <w:pPr>
        <w:widowControl/>
        <w:rPr>
          <w:rStyle w:val="19"/>
          <w:rFonts w:eastAsia="黑体"/>
          <w:b w:val="0"/>
        </w:rPr>
      </w:pPr>
    </w:p>
    <w:p>
      <w:pPr>
        <w:widowControl/>
        <w:rPr>
          <w:rStyle w:val="19"/>
          <w:rFonts w:eastAsia="黑体"/>
          <w:b w:val="0"/>
        </w:rPr>
      </w:pPr>
    </w:p>
    <w:p>
      <w:pPr>
        <w:pStyle w:val="2"/>
        <w:spacing w:before="93"/>
        <w:rPr>
          <w:rStyle w:val="19"/>
          <w:rFonts w:eastAsia="黑体"/>
          <w:b w:val="0"/>
        </w:rPr>
      </w:pPr>
    </w:p>
    <w:p>
      <w:pPr>
        <w:widowControl/>
        <w:rPr>
          <w:rStyle w:val="19"/>
          <w:rFonts w:eastAsia="黑体"/>
          <w:b w:val="0"/>
        </w:rPr>
      </w:pPr>
      <w:r>
        <w:drawing>
          <wp:inline distT="0" distB="0" distL="114300" distR="114300">
            <wp:extent cx="5607685" cy="4095750"/>
            <wp:effectExtent l="0" t="0" r="12065" b="0"/>
            <wp:docPr id="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pic:cNvPicPr>
                      <a:picLocks noChangeAspect="1"/>
                    </pic:cNvPicPr>
                  </pic:nvPicPr>
                  <pic:blipFill>
                    <a:blip r:embed="rId28"/>
                    <a:stretch>
                      <a:fillRect/>
                    </a:stretch>
                  </pic:blipFill>
                  <pic:spPr>
                    <a:xfrm>
                      <a:off x="0" y="0"/>
                      <a:ext cx="5607685" cy="4095750"/>
                    </a:xfrm>
                    <a:prstGeom prst="rect">
                      <a:avLst/>
                    </a:prstGeom>
                    <a:noFill/>
                    <a:ln>
                      <a:noFill/>
                    </a:ln>
                  </pic:spPr>
                </pic:pic>
              </a:graphicData>
            </a:graphic>
          </wp:inline>
        </w:drawing>
      </w:r>
    </w:p>
    <w:p>
      <w:pPr>
        <w:widowControl/>
        <w:rPr>
          <w:rStyle w:val="19"/>
          <w:rFonts w:eastAsia="黑体"/>
          <w:b w:val="0"/>
        </w:rPr>
      </w:pPr>
    </w:p>
    <w:p>
      <w:pPr>
        <w:widowControl/>
        <w:rPr>
          <w:rStyle w:val="19"/>
          <w:rFonts w:eastAsia="黑体"/>
          <w:b w:val="0"/>
        </w:rPr>
      </w:pPr>
    </w:p>
    <w:p>
      <w:pPr>
        <w:widowControl/>
        <w:rPr>
          <w:rStyle w:val="19"/>
          <w:rFonts w:eastAsia="黑体"/>
          <w:b w:val="0"/>
        </w:rPr>
      </w:pPr>
    </w:p>
    <w:p>
      <w:pPr>
        <w:widowControl/>
        <w:rPr>
          <w:rStyle w:val="19"/>
          <w:rFonts w:eastAsia="黑体"/>
          <w:b w:val="0"/>
        </w:rPr>
      </w:pPr>
    </w:p>
    <w:p>
      <w:pPr>
        <w:widowControl/>
        <w:rPr>
          <w:rStyle w:val="19"/>
          <w:rFonts w:eastAsia="黑体"/>
          <w:b w:val="0"/>
        </w:rPr>
      </w:pPr>
    </w:p>
    <w:p>
      <w:pPr>
        <w:widowControl/>
        <w:rPr>
          <w:rStyle w:val="19"/>
          <w:rFonts w:eastAsia="黑体"/>
          <w:b w:val="0"/>
        </w:rPr>
      </w:pPr>
    </w:p>
    <w:p>
      <w:pPr>
        <w:pStyle w:val="2"/>
        <w:spacing w:before="93"/>
        <w:rPr>
          <w:rStyle w:val="19"/>
          <w:rFonts w:eastAsia="黑体"/>
          <w:b w:val="0"/>
        </w:rPr>
      </w:pPr>
    </w:p>
    <w:p>
      <w:pPr>
        <w:pStyle w:val="2"/>
        <w:spacing w:before="93"/>
        <w:rPr>
          <w:rStyle w:val="19"/>
          <w:rFonts w:eastAsia="黑体"/>
          <w:b w:val="0"/>
        </w:rPr>
      </w:pPr>
    </w:p>
    <w:p>
      <w:pPr>
        <w:pStyle w:val="2"/>
        <w:spacing w:before="93"/>
        <w:rPr>
          <w:rStyle w:val="19"/>
          <w:rFonts w:eastAsia="黑体"/>
          <w:b w:val="0"/>
        </w:rPr>
      </w:pPr>
    </w:p>
    <w:p>
      <w:pPr>
        <w:pStyle w:val="2"/>
        <w:spacing w:before="93"/>
      </w:pPr>
      <w:r>
        <w:drawing>
          <wp:inline distT="0" distB="0" distL="114300" distR="114300">
            <wp:extent cx="5607685" cy="5863590"/>
            <wp:effectExtent l="0" t="0" r="12065" b="3810"/>
            <wp:docPr id="1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1"/>
                    <pic:cNvPicPr>
                      <a:picLocks noChangeAspect="1"/>
                    </pic:cNvPicPr>
                  </pic:nvPicPr>
                  <pic:blipFill>
                    <a:blip r:embed="rId29"/>
                    <a:stretch>
                      <a:fillRect/>
                    </a:stretch>
                  </pic:blipFill>
                  <pic:spPr>
                    <a:xfrm>
                      <a:off x="0" y="0"/>
                      <a:ext cx="5607685" cy="5863590"/>
                    </a:xfrm>
                    <a:prstGeom prst="rect">
                      <a:avLst/>
                    </a:prstGeom>
                    <a:noFill/>
                    <a:ln>
                      <a:noFill/>
                    </a:ln>
                  </pic:spPr>
                </pic:pic>
              </a:graphicData>
            </a:graphic>
          </wp:inline>
        </w:drawing>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widowControl/>
      </w:pPr>
      <w:r>
        <w:drawing>
          <wp:inline distT="0" distB="0" distL="114300" distR="114300">
            <wp:extent cx="5607685" cy="3643630"/>
            <wp:effectExtent l="0" t="0" r="12065" b="13970"/>
            <wp:docPr id="1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pic:cNvPicPr>
                      <a:picLocks noChangeAspect="1"/>
                    </pic:cNvPicPr>
                  </pic:nvPicPr>
                  <pic:blipFill>
                    <a:blip r:embed="rId30"/>
                    <a:stretch>
                      <a:fillRect/>
                    </a:stretch>
                  </pic:blipFill>
                  <pic:spPr>
                    <a:xfrm>
                      <a:off x="0" y="0"/>
                      <a:ext cx="5607685" cy="3643630"/>
                    </a:xfrm>
                    <a:prstGeom prst="rect">
                      <a:avLst/>
                    </a:prstGeom>
                    <a:noFill/>
                    <a:ln>
                      <a:noFill/>
                    </a:ln>
                  </pic:spPr>
                </pic:pic>
              </a:graphicData>
            </a:graphic>
          </wp:inline>
        </w:drawing>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widowControl/>
      </w:pPr>
      <w:r>
        <w:drawing>
          <wp:inline distT="0" distB="0" distL="114300" distR="114300">
            <wp:extent cx="5607685" cy="4923155"/>
            <wp:effectExtent l="0" t="0" r="12065" b="10795"/>
            <wp:docPr id="1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3"/>
                    <pic:cNvPicPr>
                      <a:picLocks noChangeAspect="1"/>
                    </pic:cNvPicPr>
                  </pic:nvPicPr>
                  <pic:blipFill>
                    <a:blip r:embed="rId31"/>
                    <a:stretch>
                      <a:fillRect/>
                    </a:stretch>
                  </pic:blipFill>
                  <pic:spPr>
                    <a:xfrm>
                      <a:off x="0" y="0"/>
                      <a:ext cx="5607685" cy="4923155"/>
                    </a:xfrm>
                    <a:prstGeom prst="rect">
                      <a:avLst/>
                    </a:prstGeom>
                    <a:noFill/>
                    <a:ln>
                      <a:noFill/>
                    </a:ln>
                  </pic:spPr>
                </pic:pic>
              </a:graphicData>
            </a:graphic>
          </wp:inline>
        </w:drawing>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widowControl/>
      </w:pPr>
      <w:r>
        <w:drawing>
          <wp:inline distT="0" distB="0" distL="114300" distR="114300">
            <wp:extent cx="5607685" cy="4834255"/>
            <wp:effectExtent l="0" t="0" r="12065" b="4445"/>
            <wp:docPr id="1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4"/>
                    <pic:cNvPicPr>
                      <a:picLocks noChangeAspect="1"/>
                    </pic:cNvPicPr>
                  </pic:nvPicPr>
                  <pic:blipFill>
                    <a:blip r:embed="rId32"/>
                    <a:stretch>
                      <a:fillRect/>
                    </a:stretch>
                  </pic:blipFill>
                  <pic:spPr>
                    <a:xfrm>
                      <a:off x="0" y="0"/>
                      <a:ext cx="5607685" cy="4834255"/>
                    </a:xfrm>
                    <a:prstGeom prst="rect">
                      <a:avLst/>
                    </a:prstGeom>
                    <a:noFill/>
                    <a:ln>
                      <a:noFill/>
                    </a:ln>
                  </pic:spPr>
                </pic:pic>
              </a:graphicData>
            </a:graphic>
          </wp:inline>
        </w:drawing>
      </w: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r>
        <w:drawing>
          <wp:inline distT="0" distB="0" distL="114300" distR="114300">
            <wp:extent cx="5607685" cy="3643630"/>
            <wp:effectExtent l="0" t="0" r="12065" b="13970"/>
            <wp:docPr id="1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5"/>
                    <pic:cNvPicPr>
                      <a:picLocks noChangeAspect="1"/>
                    </pic:cNvPicPr>
                  </pic:nvPicPr>
                  <pic:blipFill>
                    <a:blip r:embed="rId33"/>
                    <a:stretch>
                      <a:fillRect/>
                    </a:stretch>
                  </pic:blipFill>
                  <pic:spPr>
                    <a:xfrm>
                      <a:off x="0" y="0"/>
                      <a:ext cx="5607685" cy="3643630"/>
                    </a:xfrm>
                    <a:prstGeom prst="rect">
                      <a:avLst/>
                    </a:prstGeom>
                    <a:noFill/>
                    <a:ln>
                      <a:noFill/>
                    </a:ln>
                  </pic:spPr>
                </pic:pic>
              </a:graphicData>
            </a:graphic>
          </wp:inline>
        </w:drawing>
      </w: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r>
        <w:drawing>
          <wp:inline distT="0" distB="0" distL="114300" distR="114300">
            <wp:extent cx="5607685" cy="4205605"/>
            <wp:effectExtent l="0" t="0" r="12065" b="4445"/>
            <wp:docPr id="1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6"/>
                    <pic:cNvPicPr>
                      <a:picLocks noChangeAspect="1"/>
                    </pic:cNvPicPr>
                  </pic:nvPicPr>
                  <pic:blipFill>
                    <a:blip r:embed="rId34"/>
                    <a:stretch>
                      <a:fillRect/>
                    </a:stretch>
                  </pic:blipFill>
                  <pic:spPr>
                    <a:xfrm>
                      <a:off x="0" y="0"/>
                      <a:ext cx="5607685" cy="4205605"/>
                    </a:xfrm>
                    <a:prstGeom prst="rect">
                      <a:avLst/>
                    </a:prstGeom>
                    <a:noFill/>
                    <a:ln>
                      <a:noFill/>
                    </a:ln>
                  </pic:spPr>
                </pic:pic>
              </a:graphicData>
            </a:graphic>
          </wp:inline>
        </w:drawing>
      </w: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r>
        <w:drawing>
          <wp:inline distT="0" distB="0" distL="114300" distR="114300">
            <wp:extent cx="5607685" cy="3643630"/>
            <wp:effectExtent l="0" t="0" r="12065" b="13970"/>
            <wp:docPr id="1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pic:cNvPicPr>
                      <a:picLocks noChangeAspect="1"/>
                    </pic:cNvPicPr>
                  </pic:nvPicPr>
                  <pic:blipFill>
                    <a:blip r:embed="rId35"/>
                    <a:stretch>
                      <a:fillRect/>
                    </a:stretch>
                  </pic:blipFill>
                  <pic:spPr>
                    <a:xfrm>
                      <a:off x="0" y="0"/>
                      <a:ext cx="5607685" cy="3643630"/>
                    </a:xfrm>
                    <a:prstGeom prst="rect">
                      <a:avLst/>
                    </a:prstGeom>
                    <a:noFill/>
                    <a:ln>
                      <a:noFill/>
                    </a:ln>
                  </pic:spPr>
                </pic:pic>
              </a:graphicData>
            </a:graphic>
          </wp:inline>
        </w:drawing>
      </w: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r>
        <w:drawing>
          <wp:inline distT="0" distB="0" distL="114300" distR="114300">
            <wp:extent cx="5607685" cy="3982720"/>
            <wp:effectExtent l="0" t="0" r="12065" b="17780"/>
            <wp:docPr id="1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pic:cNvPicPr>
                      <a:picLocks noChangeAspect="1"/>
                    </pic:cNvPicPr>
                  </pic:nvPicPr>
                  <pic:blipFill>
                    <a:blip r:embed="rId36"/>
                    <a:stretch>
                      <a:fillRect/>
                    </a:stretch>
                  </pic:blipFill>
                  <pic:spPr>
                    <a:xfrm>
                      <a:off x="0" y="0"/>
                      <a:ext cx="5607685" cy="3982720"/>
                    </a:xfrm>
                    <a:prstGeom prst="rect">
                      <a:avLst/>
                    </a:prstGeom>
                    <a:noFill/>
                    <a:ln>
                      <a:noFill/>
                    </a:ln>
                  </pic:spPr>
                </pic:pic>
              </a:graphicData>
            </a:graphic>
          </wp:inline>
        </w:drawing>
      </w: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pPr>
    </w:p>
    <w:p>
      <w:pPr>
        <w:widowControl/>
        <w:rPr>
          <w:rFonts w:hint="eastAsia"/>
        </w:rPr>
      </w:pPr>
    </w:p>
    <w:p>
      <w:pPr>
        <w:pStyle w:val="2"/>
        <w:spacing w:before="93"/>
        <w:rPr>
          <w:rFonts w:hint="eastAsia"/>
        </w:rPr>
      </w:pPr>
    </w:p>
    <w:p>
      <w:pPr>
        <w:pStyle w:val="2"/>
        <w:spacing w:before="93"/>
        <w:rPr>
          <w:rFonts w:hint="eastAsia"/>
        </w:rPr>
      </w:pPr>
    </w:p>
    <w:p>
      <w:pPr>
        <w:spacing w:line="600" w:lineRule="exact"/>
        <w:jc w:val="center"/>
        <w:outlineLvl w:val="0"/>
        <w:rPr>
          <w:rFonts w:ascii="仿宋" w:hAnsi="仿宋" w:eastAsia="仿宋"/>
        </w:rPr>
      </w:pPr>
      <w:r>
        <w:rPr>
          <w:rStyle w:val="19"/>
          <w:rFonts w:eastAsia="黑体"/>
          <w:b w:val="0"/>
        </w:rPr>
        <w:br w:type="page"/>
      </w:r>
      <w:bookmarkEnd w:id="58"/>
      <w:r>
        <w:rPr>
          <w:rFonts w:hint="eastAsia" w:ascii="黑体" w:hAnsi="黑体" w:eastAsia="黑体"/>
          <w:sz w:val="44"/>
          <w:szCs w:val="44"/>
        </w:rPr>
        <w:t>第</w:t>
      </w:r>
      <w:r>
        <w:rPr>
          <w:rStyle w:val="35"/>
          <w:rFonts w:hint="eastAsia" w:ascii="黑体" w:hAnsi="黑体" w:eastAsia="黑体"/>
          <w:b w:val="0"/>
        </w:rPr>
        <w:t>五部分 附表</w:t>
      </w:r>
      <w:bookmarkStart w:id="59" w:name="_Toc15396619"/>
    </w:p>
    <w:p>
      <w:pPr>
        <w:pStyle w:val="4"/>
        <w:numPr>
          <w:ilvl w:val="0"/>
          <w:numId w:val="2"/>
        </w:numPr>
        <w:rPr>
          <w:rStyle w:val="34"/>
          <w:rFonts w:hint="eastAsia" w:ascii="仿宋" w:hAnsi="仿宋" w:eastAsia="仿宋"/>
          <w:b w:val="0"/>
          <w:bCs w:val="0"/>
        </w:rPr>
      </w:pPr>
      <w:r>
        <w:rPr>
          <w:rFonts w:hint="eastAsia" w:ascii="仿宋" w:hAnsi="仿宋" w:eastAsia="仿宋"/>
          <w:b w:val="0"/>
        </w:rPr>
        <w:t>收</w:t>
      </w:r>
      <w:r>
        <w:rPr>
          <w:rStyle w:val="34"/>
          <w:rFonts w:hint="eastAsia" w:ascii="仿宋" w:hAnsi="仿宋" w:eastAsia="仿宋"/>
          <w:b w:val="0"/>
          <w:bCs w:val="0"/>
        </w:rPr>
        <w:t>入支出决算总表</w:t>
      </w:r>
      <w:bookmarkEnd w:id="59"/>
    </w:p>
    <w:p>
      <w:r>
        <w:drawing>
          <wp:inline distT="0" distB="0" distL="114300" distR="114300">
            <wp:extent cx="5607685" cy="4664075"/>
            <wp:effectExtent l="0" t="0" r="12065" b="3175"/>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37"/>
                    <a:stretch>
                      <a:fillRect/>
                    </a:stretch>
                  </pic:blipFill>
                  <pic:spPr>
                    <a:xfrm>
                      <a:off x="0" y="0"/>
                      <a:ext cx="5607685" cy="4664075"/>
                    </a:xfrm>
                    <a:prstGeom prst="rect">
                      <a:avLst/>
                    </a:prstGeom>
                    <a:noFill/>
                    <a:ln>
                      <a:noFill/>
                    </a:ln>
                  </pic:spPr>
                </pic:pic>
              </a:graphicData>
            </a:graphic>
          </wp:inline>
        </w:drawing>
      </w:r>
    </w:p>
    <w:p>
      <w:pPr>
        <w:pStyle w:val="4"/>
        <w:numPr>
          <w:ilvl w:val="0"/>
          <w:numId w:val="2"/>
        </w:numPr>
        <w:rPr>
          <w:rStyle w:val="34"/>
          <w:rFonts w:hint="eastAsia" w:ascii="仿宋" w:hAnsi="仿宋" w:eastAsia="仿宋"/>
          <w:b w:val="0"/>
          <w:bCs w:val="0"/>
        </w:rPr>
      </w:pPr>
      <w:bookmarkStart w:id="60" w:name="_Toc15396620"/>
      <w:r>
        <w:rPr>
          <w:rFonts w:hint="eastAsia" w:ascii="仿宋" w:hAnsi="仿宋" w:eastAsia="仿宋"/>
          <w:b w:val="0"/>
        </w:rPr>
        <w:t>收</w:t>
      </w:r>
      <w:r>
        <w:rPr>
          <w:rStyle w:val="34"/>
          <w:rFonts w:hint="eastAsia" w:ascii="仿宋" w:hAnsi="仿宋" w:eastAsia="仿宋"/>
          <w:b w:val="0"/>
          <w:bCs w:val="0"/>
        </w:rPr>
        <w:t>入决算表</w:t>
      </w:r>
      <w:bookmarkEnd w:id="60"/>
    </w:p>
    <w:p>
      <w:r>
        <w:drawing>
          <wp:inline distT="0" distB="0" distL="114300" distR="114300">
            <wp:extent cx="5612130" cy="4517390"/>
            <wp:effectExtent l="0" t="0" r="7620" b="1651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38"/>
                    <a:stretch>
                      <a:fillRect/>
                    </a:stretch>
                  </pic:blipFill>
                  <pic:spPr>
                    <a:xfrm>
                      <a:off x="0" y="0"/>
                      <a:ext cx="5612130" cy="4517390"/>
                    </a:xfrm>
                    <a:prstGeom prst="rect">
                      <a:avLst/>
                    </a:prstGeom>
                    <a:noFill/>
                    <a:ln>
                      <a:noFill/>
                    </a:ln>
                  </pic:spPr>
                </pic:pic>
              </a:graphicData>
            </a:graphic>
          </wp:inline>
        </w:drawing>
      </w:r>
    </w:p>
    <w:p>
      <w:pPr>
        <w:pStyle w:val="4"/>
        <w:numPr>
          <w:ilvl w:val="0"/>
          <w:numId w:val="2"/>
        </w:numPr>
        <w:rPr>
          <w:rStyle w:val="34"/>
          <w:rFonts w:hint="eastAsia" w:ascii="仿宋" w:hAnsi="仿宋" w:eastAsia="仿宋"/>
          <w:b w:val="0"/>
          <w:bCs w:val="0"/>
        </w:rPr>
      </w:pPr>
      <w:bookmarkStart w:id="61" w:name="_Toc15396621"/>
      <w:r>
        <w:rPr>
          <w:rFonts w:hint="eastAsia" w:ascii="仿宋" w:hAnsi="仿宋" w:eastAsia="仿宋"/>
          <w:b w:val="0"/>
        </w:rPr>
        <w:t>支</w:t>
      </w:r>
      <w:r>
        <w:rPr>
          <w:rStyle w:val="34"/>
          <w:rFonts w:hint="eastAsia" w:ascii="仿宋" w:hAnsi="仿宋" w:eastAsia="仿宋"/>
          <w:b w:val="0"/>
          <w:bCs w:val="0"/>
        </w:rPr>
        <w:t>出决算表</w:t>
      </w:r>
      <w:bookmarkEnd w:id="61"/>
    </w:p>
    <w:p>
      <w:r>
        <w:drawing>
          <wp:inline distT="0" distB="0" distL="114300" distR="114300">
            <wp:extent cx="5615305" cy="5037455"/>
            <wp:effectExtent l="0" t="0" r="4445" b="10795"/>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39"/>
                    <a:stretch>
                      <a:fillRect/>
                    </a:stretch>
                  </pic:blipFill>
                  <pic:spPr>
                    <a:xfrm>
                      <a:off x="0" y="0"/>
                      <a:ext cx="5615305" cy="5037455"/>
                    </a:xfrm>
                    <a:prstGeom prst="rect">
                      <a:avLst/>
                    </a:prstGeom>
                    <a:noFill/>
                    <a:ln>
                      <a:noFill/>
                    </a:ln>
                  </pic:spPr>
                </pic:pic>
              </a:graphicData>
            </a:graphic>
          </wp:inline>
        </w:drawing>
      </w:r>
    </w:p>
    <w:p>
      <w:pPr>
        <w:pStyle w:val="4"/>
        <w:numPr>
          <w:ilvl w:val="0"/>
          <w:numId w:val="2"/>
        </w:numPr>
        <w:rPr>
          <w:rStyle w:val="34"/>
          <w:rFonts w:hint="eastAsia" w:ascii="仿宋" w:hAnsi="仿宋" w:eastAsia="仿宋"/>
          <w:b w:val="0"/>
          <w:bCs w:val="0"/>
        </w:rPr>
      </w:pPr>
      <w:bookmarkStart w:id="62" w:name="_Toc15396622"/>
      <w:r>
        <w:rPr>
          <w:rFonts w:hint="eastAsia" w:ascii="仿宋" w:hAnsi="仿宋" w:eastAsia="仿宋"/>
          <w:b w:val="0"/>
        </w:rPr>
        <w:t>财</w:t>
      </w:r>
      <w:r>
        <w:rPr>
          <w:rStyle w:val="34"/>
          <w:rFonts w:hint="eastAsia" w:ascii="仿宋" w:hAnsi="仿宋" w:eastAsia="仿宋"/>
          <w:b w:val="0"/>
          <w:bCs w:val="0"/>
        </w:rPr>
        <w:t>政拨款收入支出决算总表</w:t>
      </w:r>
      <w:bookmarkEnd w:id="62"/>
    </w:p>
    <w:p>
      <w:r>
        <w:drawing>
          <wp:inline distT="0" distB="0" distL="114300" distR="114300">
            <wp:extent cx="5609590" cy="4160520"/>
            <wp:effectExtent l="0" t="0" r="10160" b="11430"/>
            <wp:docPr id="2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
                    <pic:cNvPicPr>
                      <a:picLocks noChangeAspect="1"/>
                    </pic:cNvPicPr>
                  </pic:nvPicPr>
                  <pic:blipFill>
                    <a:blip r:embed="rId40"/>
                    <a:stretch>
                      <a:fillRect/>
                    </a:stretch>
                  </pic:blipFill>
                  <pic:spPr>
                    <a:xfrm>
                      <a:off x="0" y="0"/>
                      <a:ext cx="5609590" cy="4160520"/>
                    </a:xfrm>
                    <a:prstGeom prst="rect">
                      <a:avLst/>
                    </a:prstGeom>
                    <a:noFill/>
                    <a:ln>
                      <a:noFill/>
                    </a:ln>
                  </pic:spPr>
                </pic:pic>
              </a:graphicData>
            </a:graphic>
          </wp:inline>
        </w:drawing>
      </w:r>
    </w:p>
    <w:p>
      <w:pPr>
        <w:pStyle w:val="4"/>
        <w:numPr>
          <w:ilvl w:val="0"/>
          <w:numId w:val="2"/>
        </w:numPr>
        <w:rPr>
          <w:rStyle w:val="34"/>
          <w:rFonts w:hint="eastAsia" w:ascii="仿宋" w:hAnsi="仿宋" w:eastAsia="仿宋"/>
          <w:b w:val="0"/>
          <w:bCs w:val="0"/>
        </w:rPr>
      </w:pPr>
      <w:bookmarkStart w:id="63" w:name="_Toc15396623"/>
      <w:r>
        <w:rPr>
          <w:rFonts w:hint="eastAsia" w:ascii="仿宋" w:hAnsi="仿宋" w:eastAsia="仿宋"/>
          <w:b w:val="0"/>
        </w:rPr>
        <w:t>财</w:t>
      </w:r>
      <w:r>
        <w:rPr>
          <w:rStyle w:val="34"/>
          <w:rFonts w:hint="eastAsia" w:ascii="仿宋" w:hAnsi="仿宋" w:eastAsia="仿宋"/>
          <w:b w:val="0"/>
          <w:bCs w:val="0"/>
        </w:rPr>
        <w:t>政拨款支出决算明细表</w:t>
      </w:r>
      <w:bookmarkEnd w:id="63"/>
      <w:bookmarkStart w:id="64" w:name="_Toc15396624"/>
    </w:p>
    <w:p>
      <w:r>
        <w:drawing>
          <wp:inline distT="0" distB="0" distL="114300" distR="114300">
            <wp:extent cx="5613400" cy="7026275"/>
            <wp:effectExtent l="0" t="0" r="6350" b="3175"/>
            <wp:docPr id="2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
                    <pic:cNvPicPr>
                      <a:picLocks noChangeAspect="1"/>
                    </pic:cNvPicPr>
                  </pic:nvPicPr>
                  <pic:blipFill>
                    <a:blip r:embed="rId41"/>
                    <a:stretch>
                      <a:fillRect/>
                    </a:stretch>
                  </pic:blipFill>
                  <pic:spPr>
                    <a:xfrm>
                      <a:off x="0" y="0"/>
                      <a:ext cx="5613400" cy="7026275"/>
                    </a:xfrm>
                    <a:prstGeom prst="rect">
                      <a:avLst/>
                    </a:prstGeom>
                    <a:noFill/>
                    <a:ln>
                      <a:noFill/>
                    </a:ln>
                  </pic:spPr>
                </pic:pic>
              </a:graphicData>
            </a:graphic>
          </wp:inline>
        </w:drawing>
      </w:r>
    </w:p>
    <w:p>
      <w:pPr>
        <w:pStyle w:val="4"/>
        <w:numPr>
          <w:ilvl w:val="0"/>
          <w:numId w:val="2"/>
        </w:numPr>
        <w:rPr>
          <w:rStyle w:val="34"/>
          <w:rFonts w:hint="eastAsia" w:ascii="仿宋" w:hAnsi="仿宋" w:eastAsia="仿宋"/>
          <w:b w:val="0"/>
          <w:bCs w:val="0"/>
        </w:rPr>
      </w:pPr>
      <w:r>
        <w:rPr>
          <w:rFonts w:hint="eastAsia" w:ascii="仿宋" w:hAnsi="仿宋" w:eastAsia="仿宋"/>
          <w:b w:val="0"/>
        </w:rPr>
        <w:t>一</w:t>
      </w:r>
      <w:r>
        <w:rPr>
          <w:rStyle w:val="34"/>
          <w:rFonts w:hint="eastAsia" w:ascii="仿宋" w:hAnsi="仿宋" w:eastAsia="仿宋"/>
          <w:b w:val="0"/>
          <w:bCs w:val="0"/>
        </w:rPr>
        <w:t>般公共预算财政拨款支出决算表</w:t>
      </w:r>
      <w:bookmarkEnd w:id="64"/>
    </w:p>
    <w:p>
      <w:r>
        <w:drawing>
          <wp:inline distT="0" distB="0" distL="114300" distR="114300">
            <wp:extent cx="5609590" cy="6761480"/>
            <wp:effectExtent l="0" t="0" r="10160" b="1270"/>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42"/>
                    <a:stretch>
                      <a:fillRect/>
                    </a:stretch>
                  </pic:blipFill>
                  <pic:spPr>
                    <a:xfrm>
                      <a:off x="0" y="0"/>
                      <a:ext cx="5609590" cy="6761480"/>
                    </a:xfrm>
                    <a:prstGeom prst="rect">
                      <a:avLst/>
                    </a:prstGeom>
                    <a:noFill/>
                    <a:ln>
                      <a:noFill/>
                    </a:ln>
                  </pic:spPr>
                </pic:pic>
              </a:graphicData>
            </a:graphic>
          </wp:inline>
        </w:drawing>
      </w:r>
      <w:bookmarkStart w:id="65" w:name="_Toc15396625"/>
    </w:p>
    <w:p/>
    <w:p/>
    <w:p>
      <w:r>
        <w:rPr>
          <w:rStyle w:val="34"/>
          <w:rFonts w:hint="eastAsia" w:ascii="仿宋" w:hAnsi="仿宋" w:eastAsia="仿宋"/>
          <w:b w:val="0"/>
          <w:bCs w:val="0"/>
          <w:lang w:val="en-US" w:eastAsia="zh-CN"/>
        </w:rPr>
        <w:t>七、</w:t>
      </w:r>
      <w:r>
        <w:rPr>
          <w:rStyle w:val="34"/>
          <w:rFonts w:hint="eastAsia" w:ascii="仿宋" w:hAnsi="仿宋" w:eastAsia="仿宋"/>
          <w:b w:val="0"/>
          <w:bCs w:val="0"/>
        </w:rPr>
        <w:t>一般公共预算财政拨款支出决算明细表</w:t>
      </w:r>
      <w:bookmarkEnd w:id="65"/>
    </w:p>
    <w:p>
      <w:pPr>
        <w:pStyle w:val="2"/>
      </w:pPr>
      <w:r>
        <w:drawing>
          <wp:inline distT="0" distB="0" distL="114300" distR="114300">
            <wp:extent cx="5607685" cy="3975735"/>
            <wp:effectExtent l="0" t="0" r="12065" b="5715"/>
            <wp:docPr id="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pic:cNvPicPr>
                      <a:picLocks noChangeAspect="1"/>
                    </pic:cNvPicPr>
                  </pic:nvPicPr>
                  <pic:blipFill>
                    <a:blip r:embed="rId43"/>
                    <a:stretch>
                      <a:fillRect/>
                    </a:stretch>
                  </pic:blipFill>
                  <pic:spPr>
                    <a:xfrm>
                      <a:off x="0" y="0"/>
                      <a:ext cx="5607685" cy="3975735"/>
                    </a:xfrm>
                    <a:prstGeom prst="rect">
                      <a:avLst/>
                    </a:prstGeom>
                    <a:noFill/>
                    <a:ln>
                      <a:noFill/>
                    </a:ln>
                  </pic:spPr>
                </pic:pic>
              </a:graphicData>
            </a:graphic>
          </wp:inline>
        </w:drawing>
      </w:r>
    </w:p>
    <w:p>
      <w:pPr>
        <w:pStyle w:val="2"/>
      </w:pPr>
      <w:r>
        <w:drawing>
          <wp:inline distT="0" distB="0" distL="114300" distR="114300">
            <wp:extent cx="5614670" cy="2459355"/>
            <wp:effectExtent l="0" t="0" r="5080" b="17145"/>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pic:cNvPicPr>
                      <a:picLocks noChangeAspect="1"/>
                    </pic:cNvPicPr>
                  </pic:nvPicPr>
                  <pic:blipFill>
                    <a:blip r:embed="rId44"/>
                    <a:stretch>
                      <a:fillRect/>
                    </a:stretch>
                  </pic:blipFill>
                  <pic:spPr>
                    <a:xfrm>
                      <a:off x="0" y="0"/>
                      <a:ext cx="5614670" cy="2459355"/>
                    </a:xfrm>
                    <a:prstGeom prst="rect">
                      <a:avLst/>
                    </a:prstGeom>
                    <a:noFill/>
                    <a:ln>
                      <a:noFill/>
                    </a:ln>
                  </pic:spPr>
                </pic:pic>
              </a:graphicData>
            </a:graphic>
          </wp:inline>
        </w:drawing>
      </w:r>
    </w:p>
    <w:p>
      <w:pPr>
        <w:pStyle w:val="2"/>
      </w:pPr>
    </w:p>
    <w:p>
      <w:pPr>
        <w:pStyle w:val="2"/>
      </w:pPr>
      <w:r>
        <w:drawing>
          <wp:inline distT="0" distB="0" distL="114300" distR="114300">
            <wp:extent cx="5607685" cy="4197350"/>
            <wp:effectExtent l="0" t="0" r="12065" b="12700"/>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pic:cNvPicPr>
                  </pic:nvPicPr>
                  <pic:blipFill>
                    <a:blip r:embed="rId45"/>
                    <a:stretch>
                      <a:fillRect/>
                    </a:stretch>
                  </pic:blipFill>
                  <pic:spPr>
                    <a:xfrm>
                      <a:off x="0" y="0"/>
                      <a:ext cx="5607685" cy="419735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r>
        <w:drawing>
          <wp:inline distT="0" distB="0" distL="114300" distR="114300">
            <wp:extent cx="5613400" cy="3682365"/>
            <wp:effectExtent l="0" t="0" r="6350" b="13335"/>
            <wp:docPr id="3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8"/>
                    <pic:cNvPicPr>
                      <a:picLocks noChangeAspect="1"/>
                    </pic:cNvPicPr>
                  </pic:nvPicPr>
                  <pic:blipFill>
                    <a:blip r:embed="rId46"/>
                    <a:stretch>
                      <a:fillRect/>
                    </a:stretch>
                  </pic:blipFill>
                  <pic:spPr>
                    <a:xfrm>
                      <a:off x="0" y="0"/>
                      <a:ext cx="5613400" cy="3682365"/>
                    </a:xfrm>
                    <a:prstGeom prst="rect">
                      <a:avLst/>
                    </a:prstGeom>
                    <a:noFill/>
                    <a:ln>
                      <a:noFill/>
                    </a:ln>
                  </pic:spPr>
                </pic:pic>
              </a:graphicData>
            </a:graphic>
          </wp:inline>
        </w:drawing>
      </w:r>
    </w:p>
    <w:p>
      <w:pPr>
        <w:pStyle w:val="2"/>
      </w:pPr>
    </w:p>
    <w:p>
      <w:pPr>
        <w:pStyle w:val="2"/>
      </w:pPr>
    </w:p>
    <w:p>
      <w:pPr>
        <w:pStyle w:val="2"/>
      </w:pPr>
    </w:p>
    <w:p>
      <w:pPr>
        <w:pStyle w:val="4"/>
        <w:numPr>
          <w:ilvl w:val="0"/>
          <w:numId w:val="0"/>
        </w:numPr>
        <w:ind w:leftChars="0"/>
        <w:rPr>
          <w:rStyle w:val="34"/>
          <w:rFonts w:hint="eastAsia" w:ascii="仿宋" w:hAnsi="仿宋" w:eastAsia="仿宋"/>
          <w:b w:val="0"/>
          <w:bCs w:val="0"/>
        </w:rPr>
      </w:pPr>
      <w:r>
        <w:drawing>
          <wp:inline distT="0" distB="0" distL="114300" distR="114300">
            <wp:extent cx="5596890" cy="3324860"/>
            <wp:effectExtent l="0" t="0" r="3810" b="8890"/>
            <wp:docPr id="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pic:cNvPicPr>
                      <a:picLocks noChangeAspect="1"/>
                    </pic:cNvPicPr>
                  </pic:nvPicPr>
                  <pic:blipFill>
                    <a:blip r:embed="rId47"/>
                    <a:stretch>
                      <a:fillRect/>
                    </a:stretch>
                  </pic:blipFill>
                  <pic:spPr>
                    <a:xfrm>
                      <a:off x="0" y="0"/>
                      <a:ext cx="5596890" cy="3324860"/>
                    </a:xfrm>
                    <a:prstGeom prst="rect">
                      <a:avLst/>
                    </a:prstGeom>
                    <a:noFill/>
                    <a:ln>
                      <a:noFill/>
                    </a:ln>
                  </pic:spPr>
                </pic:pic>
              </a:graphicData>
            </a:graphic>
          </wp:inline>
        </w:drawing>
      </w:r>
    </w:p>
    <w:p>
      <w:pPr>
        <w:rPr>
          <w:rStyle w:val="34"/>
          <w:rFonts w:hint="eastAsia" w:ascii="仿宋" w:hAnsi="仿宋" w:eastAsia="仿宋"/>
          <w:b w:val="0"/>
          <w:bCs w:val="0"/>
        </w:rPr>
      </w:pPr>
    </w:p>
    <w:p>
      <w:pPr>
        <w:pStyle w:val="2"/>
        <w:rPr>
          <w:rStyle w:val="34"/>
          <w:rFonts w:hint="eastAsia" w:ascii="仿宋" w:hAnsi="仿宋" w:eastAsia="仿宋"/>
          <w:b w:val="0"/>
          <w:bCs w:val="0"/>
        </w:rPr>
      </w:pPr>
    </w:p>
    <w:p>
      <w:pPr>
        <w:pStyle w:val="2"/>
        <w:rPr>
          <w:rStyle w:val="34"/>
          <w:rFonts w:hint="eastAsia" w:ascii="仿宋" w:hAnsi="仿宋" w:eastAsia="仿宋"/>
          <w:b w:val="0"/>
          <w:bCs w:val="0"/>
        </w:rPr>
      </w:pPr>
    </w:p>
    <w:p>
      <w:pPr>
        <w:pStyle w:val="2"/>
        <w:rPr>
          <w:rStyle w:val="34"/>
          <w:rFonts w:hint="eastAsia" w:ascii="仿宋" w:hAnsi="仿宋" w:eastAsia="仿宋"/>
          <w:b w:val="0"/>
          <w:bCs w:val="0"/>
        </w:rPr>
      </w:pPr>
    </w:p>
    <w:p>
      <w:pPr>
        <w:pStyle w:val="2"/>
        <w:rPr>
          <w:rStyle w:val="34"/>
          <w:rFonts w:hint="eastAsia" w:ascii="仿宋" w:hAnsi="仿宋" w:eastAsia="仿宋"/>
          <w:b w:val="0"/>
          <w:bCs w:val="0"/>
        </w:rPr>
      </w:pPr>
    </w:p>
    <w:p>
      <w:pPr>
        <w:pStyle w:val="2"/>
        <w:rPr>
          <w:rStyle w:val="34"/>
          <w:rFonts w:hint="eastAsia" w:ascii="仿宋" w:hAnsi="仿宋" w:eastAsia="仿宋"/>
          <w:b w:val="0"/>
          <w:bCs w:val="0"/>
        </w:rPr>
      </w:pPr>
    </w:p>
    <w:p>
      <w:pPr>
        <w:pStyle w:val="2"/>
        <w:rPr>
          <w:rStyle w:val="34"/>
          <w:rFonts w:hint="eastAsia" w:ascii="仿宋" w:hAnsi="仿宋" w:eastAsia="仿宋"/>
          <w:b w:val="0"/>
          <w:bCs w:val="0"/>
        </w:rPr>
      </w:pPr>
    </w:p>
    <w:p>
      <w:pPr>
        <w:pStyle w:val="2"/>
        <w:rPr>
          <w:rStyle w:val="34"/>
          <w:rFonts w:hint="eastAsia" w:ascii="仿宋" w:hAnsi="仿宋" w:eastAsia="仿宋"/>
          <w:b w:val="0"/>
          <w:bCs w:val="0"/>
        </w:rPr>
      </w:pPr>
    </w:p>
    <w:p>
      <w:pPr>
        <w:pStyle w:val="2"/>
        <w:rPr>
          <w:rStyle w:val="34"/>
          <w:rFonts w:hint="eastAsia" w:ascii="仿宋" w:hAnsi="仿宋" w:eastAsia="仿宋"/>
          <w:b w:val="0"/>
          <w:bCs w:val="0"/>
        </w:rPr>
      </w:pPr>
    </w:p>
    <w:p>
      <w:pPr>
        <w:pStyle w:val="2"/>
        <w:rPr>
          <w:rStyle w:val="34"/>
          <w:rFonts w:hint="eastAsia" w:ascii="仿宋" w:hAnsi="仿宋" w:eastAsia="仿宋"/>
          <w:b w:val="0"/>
          <w:bCs w:val="0"/>
        </w:rPr>
      </w:pPr>
    </w:p>
    <w:p>
      <w:pPr>
        <w:pStyle w:val="2"/>
        <w:rPr>
          <w:rStyle w:val="34"/>
          <w:rFonts w:hint="eastAsia" w:ascii="仿宋" w:hAnsi="仿宋" w:eastAsia="仿宋"/>
          <w:b w:val="0"/>
          <w:bCs w:val="0"/>
        </w:rPr>
      </w:pPr>
    </w:p>
    <w:p>
      <w:pPr>
        <w:numPr>
          <w:ilvl w:val="0"/>
          <w:numId w:val="0"/>
        </w:numPr>
        <w:ind w:leftChars="0"/>
        <w:rPr>
          <w:rStyle w:val="34"/>
          <w:rFonts w:hint="eastAsia" w:ascii="仿宋" w:hAnsi="仿宋" w:eastAsia="仿宋"/>
          <w:b w:val="0"/>
          <w:bCs w:val="0"/>
          <w:lang w:val="en-US" w:eastAsia="zh-CN" w:bidi="ar-SA"/>
        </w:rPr>
      </w:pPr>
      <w:r>
        <w:rPr>
          <w:rStyle w:val="34"/>
          <w:rFonts w:hint="eastAsia" w:ascii="仿宋" w:hAnsi="仿宋" w:eastAsia="仿宋"/>
          <w:b w:val="0"/>
          <w:bCs w:val="0"/>
          <w:lang w:val="en-US" w:eastAsia="zh-CN" w:bidi="ar-SA"/>
        </w:rPr>
        <w:t>八、一般公共预算财政拨款基本支出决算明细表</w:t>
      </w:r>
    </w:p>
    <w:p>
      <w:pPr>
        <w:pStyle w:val="2"/>
        <w:numPr>
          <w:ilvl w:val="0"/>
          <w:numId w:val="0"/>
        </w:numPr>
        <w:ind w:leftChars="0"/>
        <w:rPr>
          <w:rFonts w:hint="default"/>
          <w:lang w:val="en-US" w:eastAsia="zh-CN"/>
        </w:rPr>
      </w:pPr>
      <w:r>
        <w:drawing>
          <wp:inline distT="0" distB="0" distL="114300" distR="114300">
            <wp:extent cx="5607050" cy="3289300"/>
            <wp:effectExtent l="0" t="0" r="12700" b="6350"/>
            <wp:docPr id="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
                    <pic:cNvPicPr>
                      <a:picLocks noChangeAspect="1"/>
                    </pic:cNvPicPr>
                  </pic:nvPicPr>
                  <pic:blipFill>
                    <a:blip r:embed="rId48"/>
                    <a:stretch>
                      <a:fillRect/>
                    </a:stretch>
                  </pic:blipFill>
                  <pic:spPr>
                    <a:xfrm>
                      <a:off x="0" y="0"/>
                      <a:ext cx="5607050" cy="3289300"/>
                    </a:xfrm>
                    <a:prstGeom prst="rect">
                      <a:avLst/>
                    </a:prstGeom>
                    <a:noFill/>
                    <a:ln>
                      <a:noFill/>
                    </a:ln>
                  </pic:spPr>
                </pic:pic>
              </a:graphicData>
            </a:graphic>
          </wp:inline>
        </w:drawing>
      </w:r>
    </w:p>
    <w:p>
      <w:pPr>
        <w:pStyle w:val="4"/>
        <w:numPr>
          <w:ilvl w:val="0"/>
          <w:numId w:val="0"/>
        </w:numPr>
        <w:ind w:leftChars="0"/>
        <w:rPr>
          <w:rFonts w:hint="eastAsia" w:ascii="仿宋" w:hAnsi="仿宋" w:eastAsia="仿宋" w:cstheme="majorBidi"/>
          <w:b w:val="0"/>
          <w:bCs w:val="0"/>
        </w:rPr>
      </w:pPr>
      <w:bookmarkStart w:id="66" w:name="_Toc15396627"/>
      <w:r>
        <w:rPr>
          <w:rFonts w:hint="eastAsia" w:ascii="仿宋" w:hAnsi="仿宋" w:eastAsia="仿宋"/>
          <w:b w:val="0"/>
          <w:lang w:val="en-US" w:eastAsia="zh-CN"/>
        </w:rPr>
        <w:t>九、</w:t>
      </w:r>
      <w:r>
        <w:rPr>
          <w:rFonts w:hint="eastAsia" w:ascii="仿宋" w:hAnsi="仿宋" w:eastAsia="仿宋"/>
          <w:b w:val="0"/>
        </w:rPr>
        <w:t>一</w:t>
      </w:r>
      <w:r>
        <w:rPr>
          <w:rStyle w:val="34"/>
          <w:rFonts w:hint="eastAsia" w:ascii="仿宋" w:hAnsi="仿宋" w:eastAsia="仿宋"/>
          <w:b w:val="0"/>
          <w:bCs w:val="0"/>
        </w:rPr>
        <w:t>般公共预算财政拨款项目支出决算表</w:t>
      </w:r>
      <w:bookmarkEnd w:id="66"/>
    </w:p>
    <w:p>
      <w:r>
        <w:drawing>
          <wp:inline distT="0" distB="0" distL="114300" distR="114300">
            <wp:extent cx="5614035" cy="4096385"/>
            <wp:effectExtent l="0" t="0" r="5715" b="18415"/>
            <wp:docPr id="2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2"/>
                    <pic:cNvPicPr>
                      <a:picLocks noChangeAspect="1"/>
                    </pic:cNvPicPr>
                  </pic:nvPicPr>
                  <pic:blipFill>
                    <a:blip r:embed="rId49"/>
                    <a:stretch>
                      <a:fillRect/>
                    </a:stretch>
                  </pic:blipFill>
                  <pic:spPr>
                    <a:xfrm>
                      <a:off x="0" y="0"/>
                      <a:ext cx="5614035" cy="409638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rPr>
      </w:pPr>
    </w:p>
    <w:p>
      <w:pPr>
        <w:pStyle w:val="2"/>
        <w:spacing w:before="93"/>
      </w:pPr>
    </w:p>
    <w:p>
      <w:pPr>
        <w:pStyle w:val="4"/>
        <w:numPr>
          <w:ilvl w:val="0"/>
          <w:numId w:val="0"/>
        </w:numPr>
        <w:ind w:leftChars="0"/>
        <w:rPr>
          <w:rStyle w:val="34"/>
          <w:rFonts w:hint="eastAsia" w:ascii="仿宋" w:hAnsi="仿宋" w:eastAsia="仿宋"/>
          <w:b w:val="0"/>
          <w:bCs w:val="0"/>
        </w:rPr>
      </w:pPr>
      <w:r>
        <w:rPr>
          <w:rFonts w:hint="eastAsia" w:ascii="仿宋" w:hAnsi="仿宋" w:eastAsia="仿宋"/>
          <w:b w:val="0"/>
          <w:lang w:val="en-US" w:eastAsia="zh-CN"/>
        </w:rPr>
        <w:t>十、</w:t>
      </w:r>
      <w:r>
        <w:rPr>
          <w:rFonts w:hint="eastAsia" w:ascii="仿宋" w:hAnsi="仿宋" w:eastAsia="仿宋"/>
          <w:b w:val="0"/>
        </w:rPr>
        <w:t>政</w:t>
      </w:r>
      <w:r>
        <w:rPr>
          <w:rStyle w:val="34"/>
          <w:rFonts w:hint="eastAsia" w:ascii="仿宋" w:hAnsi="仿宋" w:eastAsia="仿宋"/>
          <w:b w:val="0"/>
          <w:bCs w:val="0"/>
        </w:rPr>
        <w:t>府性基金预算财政拨款收入支出决算表</w:t>
      </w:r>
    </w:p>
    <w:p>
      <w:pPr>
        <w:rPr>
          <w:rFonts w:hint="eastAsia"/>
        </w:rPr>
      </w:pPr>
      <w:r>
        <w:drawing>
          <wp:inline distT="0" distB="0" distL="114300" distR="114300">
            <wp:extent cx="5615940" cy="1800860"/>
            <wp:effectExtent l="0" t="0" r="3810" b="8890"/>
            <wp:docPr id="2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3"/>
                    <pic:cNvPicPr>
                      <a:picLocks noChangeAspect="1"/>
                    </pic:cNvPicPr>
                  </pic:nvPicPr>
                  <pic:blipFill>
                    <a:blip r:embed="rId50"/>
                    <a:stretch>
                      <a:fillRect/>
                    </a:stretch>
                  </pic:blipFill>
                  <pic:spPr>
                    <a:xfrm>
                      <a:off x="0" y="0"/>
                      <a:ext cx="5615940" cy="1800860"/>
                    </a:xfrm>
                    <a:prstGeom prst="rect">
                      <a:avLst/>
                    </a:prstGeom>
                    <a:noFill/>
                    <a:ln>
                      <a:noFill/>
                    </a:ln>
                  </pic:spPr>
                </pic:pic>
              </a:graphicData>
            </a:graphic>
          </wp:inline>
        </w:drawing>
      </w:r>
    </w:p>
    <w:p>
      <w:pPr>
        <w:pStyle w:val="2"/>
        <w:spacing w:before="93"/>
      </w:pPr>
    </w:p>
    <w:p>
      <w:pPr>
        <w:pStyle w:val="4"/>
        <w:rPr>
          <w:rStyle w:val="34"/>
          <w:rFonts w:hint="eastAsia" w:ascii="仿宋" w:hAnsi="仿宋" w:eastAsia="仿宋"/>
          <w:b w:val="0"/>
          <w:bCs w:val="0"/>
        </w:rPr>
      </w:pPr>
      <w:bookmarkStart w:id="67" w:name="_Toc15396629"/>
      <w:r>
        <w:rPr>
          <w:rStyle w:val="34"/>
          <w:rFonts w:hint="eastAsia" w:ascii="仿宋" w:hAnsi="仿宋" w:eastAsia="仿宋"/>
          <w:b w:val="0"/>
          <w:bCs w:val="0"/>
        </w:rPr>
        <w:t>十一、</w:t>
      </w:r>
      <w:bookmarkEnd w:id="67"/>
      <w:r>
        <w:rPr>
          <w:rFonts w:hint="eastAsia" w:ascii="仿宋" w:hAnsi="仿宋" w:eastAsia="仿宋"/>
          <w:b w:val="0"/>
        </w:rPr>
        <w:t>国</w:t>
      </w:r>
      <w:r>
        <w:rPr>
          <w:rStyle w:val="34"/>
          <w:rFonts w:hint="eastAsia" w:ascii="仿宋" w:hAnsi="仿宋" w:eastAsia="仿宋"/>
          <w:b w:val="0"/>
          <w:bCs w:val="0"/>
        </w:rPr>
        <w:t>有资本经营预算财政拨款收入支出决算表</w:t>
      </w:r>
    </w:p>
    <w:p>
      <w:r>
        <w:drawing>
          <wp:inline distT="0" distB="0" distL="114300" distR="114300">
            <wp:extent cx="5615305" cy="2310765"/>
            <wp:effectExtent l="0" t="0" r="4445" b="13335"/>
            <wp:docPr id="2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4"/>
                    <pic:cNvPicPr>
                      <a:picLocks noChangeAspect="1"/>
                    </pic:cNvPicPr>
                  </pic:nvPicPr>
                  <pic:blipFill>
                    <a:blip r:embed="rId51"/>
                    <a:stretch>
                      <a:fillRect/>
                    </a:stretch>
                  </pic:blipFill>
                  <pic:spPr>
                    <a:xfrm>
                      <a:off x="0" y="0"/>
                      <a:ext cx="5615305" cy="2310765"/>
                    </a:xfrm>
                    <a:prstGeom prst="rect">
                      <a:avLst/>
                    </a:prstGeom>
                    <a:noFill/>
                    <a:ln>
                      <a:noFill/>
                    </a:ln>
                  </pic:spPr>
                </pic:pic>
              </a:graphicData>
            </a:graphic>
          </wp:inline>
        </w:drawing>
      </w:r>
    </w:p>
    <w:p>
      <w:pPr>
        <w:pStyle w:val="4"/>
        <w:rPr>
          <w:rStyle w:val="34"/>
          <w:rFonts w:hint="eastAsia" w:ascii="仿宋" w:hAnsi="仿宋" w:eastAsia="仿宋"/>
          <w:b w:val="0"/>
          <w:bCs w:val="0"/>
        </w:rPr>
      </w:pPr>
      <w:bookmarkStart w:id="68" w:name="_Toc15396630"/>
      <w:r>
        <w:rPr>
          <w:rStyle w:val="34"/>
          <w:rFonts w:hint="eastAsia" w:ascii="仿宋" w:hAnsi="仿宋" w:eastAsia="仿宋"/>
          <w:b w:val="0"/>
          <w:bCs w:val="0"/>
        </w:rPr>
        <w:t>十二、</w:t>
      </w:r>
      <w:bookmarkEnd w:id="68"/>
      <w:r>
        <w:rPr>
          <w:rStyle w:val="34"/>
          <w:rFonts w:hint="eastAsia" w:ascii="仿宋" w:hAnsi="仿宋" w:eastAsia="仿宋"/>
          <w:b w:val="0"/>
          <w:bCs w:val="0"/>
        </w:rPr>
        <w:t>国有资本经营预算财政拨款支出决算表</w:t>
      </w:r>
    </w:p>
    <w:p>
      <w:r>
        <w:drawing>
          <wp:inline distT="0" distB="0" distL="114300" distR="114300">
            <wp:extent cx="5612130" cy="2708910"/>
            <wp:effectExtent l="0" t="0" r="7620" b="15240"/>
            <wp:docPr id="2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6"/>
                    <pic:cNvPicPr>
                      <a:picLocks noChangeAspect="1"/>
                    </pic:cNvPicPr>
                  </pic:nvPicPr>
                  <pic:blipFill>
                    <a:blip r:embed="rId52"/>
                    <a:stretch>
                      <a:fillRect/>
                    </a:stretch>
                  </pic:blipFill>
                  <pic:spPr>
                    <a:xfrm>
                      <a:off x="0" y="0"/>
                      <a:ext cx="5612130" cy="2708910"/>
                    </a:xfrm>
                    <a:prstGeom prst="rect">
                      <a:avLst/>
                    </a:prstGeom>
                    <a:noFill/>
                    <a:ln>
                      <a:noFill/>
                    </a:ln>
                  </pic:spPr>
                </pic:pic>
              </a:graphicData>
            </a:graphic>
          </wp:inline>
        </w:drawing>
      </w:r>
    </w:p>
    <w:p>
      <w:pPr>
        <w:pStyle w:val="4"/>
        <w:rPr>
          <w:rFonts w:eastAsia="仿宋"/>
        </w:rPr>
      </w:pPr>
      <w:bookmarkStart w:id="69" w:name="_Toc15396631"/>
      <w:r>
        <w:rPr>
          <w:rStyle w:val="34"/>
          <w:rFonts w:hint="eastAsia" w:ascii="仿宋" w:hAnsi="仿宋" w:eastAsia="仿宋"/>
          <w:b w:val="0"/>
          <w:bCs w:val="0"/>
        </w:rPr>
        <w:t>十三、</w:t>
      </w:r>
      <w:bookmarkEnd w:id="69"/>
      <w:r>
        <w:rPr>
          <w:rStyle w:val="34"/>
          <w:rFonts w:hint="eastAsia" w:ascii="仿宋" w:hAnsi="仿宋" w:eastAsia="仿宋"/>
          <w:b w:val="0"/>
          <w:bCs w:val="0"/>
        </w:rPr>
        <w:t>财政拨款“三公”经费支出决算表</w:t>
      </w:r>
    </w:p>
    <w:p>
      <w:pPr>
        <w:pStyle w:val="2"/>
        <w:spacing w:beforeLines="0" w:line="600" w:lineRule="auto"/>
        <w:rPr>
          <w:rFonts w:ascii="Times New Roman" w:eastAsia="方正仿宋_GBK"/>
          <w:sz w:val="33"/>
          <w:szCs w:val="33"/>
        </w:rPr>
      </w:pPr>
      <w:r>
        <w:drawing>
          <wp:inline distT="0" distB="0" distL="114300" distR="114300">
            <wp:extent cx="5613400" cy="1158240"/>
            <wp:effectExtent l="0" t="0" r="6350" b="3810"/>
            <wp:docPr id="3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7"/>
                    <pic:cNvPicPr>
                      <a:picLocks noChangeAspect="1"/>
                    </pic:cNvPicPr>
                  </pic:nvPicPr>
                  <pic:blipFill>
                    <a:blip r:embed="rId53"/>
                    <a:stretch>
                      <a:fillRect/>
                    </a:stretch>
                  </pic:blipFill>
                  <pic:spPr>
                    <a:xfrm>
                      <a:off x="0" y="0"/>
                      <a:ext cx="5613400" cy="1158240"/>
                    </a:xfrm>
                    <a:prstGeom prst="rect">
                      <a:avLst/>
                    </a:prstGeom>
                    <a:noFill/>
                    <a:ln>
                      <a:noFill/>
                    </a:ln>
                  </pic:spPr>
                </pic:pic>
              </a:graphicData>
            </a:graphic>
          </wp:inline>
        </w:drawing>
      </w:r>
    </w:p>
    <w:sectPr>
      <w:footerReference r:id="rId7" w:type="first"/>
      <w:footerReference r:id="rId6" w:type="default"/>
      <w:pgSz w:w="11906" w:h="16838"/>
      <w:pgMar w:top="2098" w:right="1498" w:bottom="1984" w:left="1588"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asciiTheme="minorEastAsia" w:hAnsiTheme="minorEastAsia" w:eastAsiaTheme="minorEastAsia" w:cstheme="minorEastAsia"/>
                              <w:sz w:val="28"/>
                              <w:szCs w:val="28"/>
                            </w:rP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DOqXm5zwAAAAUBAAAPAAAAAAAAAAEA&#10;IAAAACIAAABkcnMvZG93bnJldi54bWxQSwECFAAUAAAACACHTuJAlsQVTKYBAABBAwAADgAAAAAA&#10;AAABACAAAAAeAQAAZHJzL2Uyb0RvYy54bWxQSwUGAAAAAAYABgBZAQAANgUAAAAA&#10;">
              <v:fill on="f" focussize="0,0"/>
              <v:stroke on="f"/>
              <v:imagedata o:title=""/>
              <o:lock v:ext="edit" aspectratio="f"/>
              <v:textbox inset="0mm,0mm,0mm,0mm" style="mso-fit-shape-to-text:t;">
                <w:txbxContent>
                  <w:p>
                    <w:pPr>
                      <w:pStyle w:val="10"/>
                      <w:rPr>
                        <w:rFonts w:asciiTheme="minorEastAsia" w:hAnsiTheme="minorEastAsia" w:eastAsiaTheme="minorEastAsia" w:cstheme="minorEastAsia"/>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M6pebnPAAAABQEAAA8AAAAAAAAA&#10;AQAgAAAAIgAAAGRycy9kb3ducmV2LnhtbFBLAQIUABQAAAAIAIdO4kBl7lRmqAEAAEEDAAAOAAAA&#10;AAAAAAEAIAAAAB4BAABkcnMvZTJvRG9jLnhtbFBLBQYAAAAABgAGAFkBAAA4BQAAAAA=&#10;">
              <v:fill on="f" focussize="0,0"/>
              <v:stroke on="f"/>
              <v:imagedata o:title=""/>
              <o:lock v:ext="edit" aspectratio="f"/>
              <v:textbox inset="0mm,0mm,0mm,0mm" style="mso-fit-shape-to-text:t;">
                <w:txbxContent>
                  <w:p>
                    <w:pPr>
                      <w:pStyle w:val="10"/>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M6pebnPAAAABQEAAA8AAAAAAAAAAQAg&#10;AAAAIgAAAGRycy9kb3ducmV2LnhtbFBLAQIUABQAAAAIAIdO4kDgdDgMpQEAAD8DAAAOAAAAAAAA&#10;AAEAIAAAAB4BAABkcnMvZTJvRG9jLnhtbFBLBQYAAAAABgAGAFkBAAA1BQAAAAA=&#10;">
              <v:fill on="f" focussize="0,0"/>
              <v:stroke on="f"/>
              <v:imagedata o:title=""/>
              <o:lock v:ext="edit" aspectratio="f"/>
              <v:textbox inset="0mm,0mm,0mm,0mm" style="mso-fit-shape-to-text:t;">
                <w:txbxContent>
                  <w:p>
                    <w:pPr>
                      <w:pStyle w:val="1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46</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DOqXm5zwAAAAUBAAAPAAAAAAAAAAEA&#10;IAAAACIAAABkcnMvZG93bnJldi54bWxQSwECFAAUAAAACACHTuJAIZKpRaYBAAA/AwAADgAAAAAA&#10;AAABACAAAAAeAQAAZHJzL2Uyb0RvYy54bWxQSwUGAAAAAAYABgBZAQAANgUAAAAA&#10;">
              <v:fill on="f" focussize="0,0"/>
              <v:stroke on="f"/>
              <v:imagedata o:title=""/>
              <o:lock v:ext="edit" aspectratio="f"/>
              <v:textbox inset="0mm,0mm,0mm,0mm" style="mso-fit-shape-to-text:t;">
                <w:txbxContent>
                  <w:p>
                    <w:pPr>
                      <w:pStyle w:val="10"/>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94EA26"/>
    <w:multiLevelType w:val="singleLevel"/>
    <w:tmpl w:val="F594EA26"/>
    <w:lvl w:ilvl="0" w:tentative="0">
      <w:start w:val="9"/>
      <w:numFmt w:val="chineseCounting"/>
      <w:suff w:val="nothing"/>
      <w:lvlText w:val="%1、"/>
      <w:lvlJc w:val="left"/>
      <w:rPr>
        <w:rFonts w:hint="eastAsia"/>
      </w:rPr>
    </w:lvl>
  </w:abstractNum>
  <w:abstractNum w:abstractNumId="1">
    <w:nsid w:val="17927C03"/>
    <w:multiLevelType w:val="multilevel"/>
    <w:tmpl w:val="17927C03"/>
    <w:lvl w:ilvl="0" w:tentative="0">
      <w:start w:val="1"/>
      <w:numFmt w:val="japaneseCounting"/>
      <w:lvlText w:val="%1、"/>
      <w:lvlJc w:val="left"/>
      <w:pPr>
        <w:ind w:left="660" w:hanging="660"/>
      </w:pPr>
      <w:rPr>
        <w:rFonts w:hint="default"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jllMjhhZjdmZWI4Zjk0YjU3ZGZjNDQ3YjFlZmEifQ=="/>
  </w:docVars>
  <w:rsids>
    <w:rsidRoot w:val="00F1361C"/>
    <w:rsid w:val="000222C6"/>
    <w:rsid w:val="0002549F"/>
    <w:rsid w:val="00027F36"/>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C1128"/>
    <w:rsid w:val="001D7531"/>
    <w:rsid w:val="001E737D"/>
    <w:rsid w:val="001F0592"/>
    <w:rsid w:val="001F7506"/>
    <w:rsid w:val="002006CD"/>
    <w:rsid w:val="00202B36"/>
    <w:rsid w:val="00204B7A"/>
    <w:rsid w:val="00204CDE"/>
    <w:rsid w:val="00204F1B"/>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3D05"/>
    <w:rsid w:val="003357D8"/>
    <w:rsid w:val="00335A74"/>
    <w:rsid w:val="00355A3C"/>
    <w:rsid w:val="0036561B"/>
    <w:rsid w:val="0037013F"/>
    <w:rsid w:val="00380C92"/>
    <w:rsid w:val="003A187E"/>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1F7A"/>
    <w:rsid w:val="004223DE"/>
    <w:rsid w:val="00434489"/>
    <w:rsid w:val="00437085"/>
    <w:rsid w:val="00443880"/>
    <w:rsid w:val="004464F4"/>
    <w:rsid w:val="00457321"/>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759FA"/>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65539"/>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B6F09"/>
    <w:rsid w:val="007D1682"/>
    <w:rsid w:val="007D312A"/>
    <w:rsid w:val="007D3F19"/>
    <w:rsid w:val="007D3F65"/>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95F09"/>
    <w:rsid w:val="008B768C"/>
    <w:rsid w:val="008C4DB1"/>
    <w:rsid w:val="008C4EAF"/>
    <w:rsid w:val="008C5176"/>
    <w:rsid w:val="008C7FD0"/>
    <w:rsid w:val="008E1DE7"/>
    <w:rsid w:val="008E275A"/>
    <w:rsid w:val="008E707C"/>
    <w:rsid w:val="00900B08"/>
    <w:rsid w:val="00901CFC"/>
    <w:rsid w:val="00902155"/>
    <w:rsid w:val="00902FA3"/>
    <w:rsid w:val="00923564"/>
    <w:rsid w:val="0092392E"/>
    <w:rsid w:val="009315F9"/>
    <w:rsid w:val="00933499"/>
    <w:rsid w:val="00935C98"/>
    <w:rsid w:val="00936CCB"/>
    <w:rsid w:val="00946945"/>
    <w:rsid w:val="00951248"/>
    <w:rsid w:val="0095152F"/>
    <w:rsid w:val="00954C49"/>
    <w:rsid w:val="00955E37"/>
    <w:rsid w:val="0097099F"/>
    <w:rsid w:val="00971997"/>
    <w:rsid w:val="00971FFC"/>
    <w:rsid w:val="0098660A"/>
    <w:rsid w:val="009931C3"/>
    <w:rsid w:val="009A2E62"/>
    <w:rsid w:val="009B2C43"/>
    <w:rsid w:val="009B4EAE"/>
    <w:rsid w:val="009B7573"/>
    <w:rsid w:val="009C22F4"/>
    <w:rsid w:val="009C2A4B"/>
    <w:rsid w:val="009C2E98"/>
    <w:rsid w:val="009D3447"/>
    <w:rsid w:val="009D4711"/>
    <w:rsid w:val="009E3764"/>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57ECC"/>
    <w:rsid w:val="00A67AB5"/>
    <w:rsid w:val="00A733B2"/>
    <w:rsid w:val="00A741C2"/>
    <w:rsid w:val="00A91760"/>
    <w:rsid w:val="00A93B00"/>
    <w:rsid w:val="00A93C21"/>
    <w:rsid w:val="00A96B60"/>
    <w:rsid w:val="00AB64C9"/>
    <w:rsid w:val="00AC3C6A"/>
    <w:rsid w:val="00AC784D"/>
    <w:rsid w:val="00AD0C25"/>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01A2"/>
    <w:rsid w:val="00B77EA6"/>
    <w:rsid w:val="00B81598"/>
    <w:rsid w:val="00B841F1"/>
    <w:rsid w:val="00B944D6"/>
    <w:rsid w:val="00BB4DF0"/>
    <w:rsid w:val="00BC289F"/>
    <w:rsid w:val="00BC2D50"/>
    <w:rsid w:val="00BC5361"/>
    <w:rsid w:val="00BC5460"/>
    <w:rsid w:val="00BC6B50"/>
    <w:rsid w:val="00BD0E25"/>
    <w:rsid w:val="00BF5BD6"/>
    <w:rsid w:val="00C03E31"/>
    <w:rsid w:val="00C22BD0"/>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396A"/>
    <w:rsid w:val="00D254F7"/>
    <w:rsid w:val="00D26091"/>
    <w:rsid w:val="00D2685C"/>
    <w:rsid w:val="00D34E7C"/>
    <w:rsid w:val="00D35489"/>
    <w:rsid w:val="00D36AFE"/>
    <w:rsid w:val="00D51276"/>
    <w:rsid w:val="00D7035F"/>
    <w:rsid w:val="00D97DB6"/>
    <w:rsid w:val="00DA634F"/>
    <w:rsid w:val="00DA65AC"/>
    <w:rsid w:val="00DB1913"/>
    <w:rsid w:val="00DB23D8"/>
    <w:rsid w:val="00DC410D"/>
    <w:rsid w:val="00DC5A81"/>
    <w:rsid w:val="00DC68CA"/>
    <w:rsid w:val="00DC7CBA"/>
    <w:rsid w:val="00DD73B7"/>
    <w:rsid w:val="00DF28BC"/>
    <w:rsid w:val="00DF34B9"/>
    <w:rsid w:val="00DF62A8"/>
    <w:rsid w:val="00E01053"/>
    <w:rsid w:val="00E07ACF"/>
    <w:rsid w:val="00E331A1"/>
    <w:rsid w:val="00E33202"/>
    <w:rsid w:val="00E336A9"/>
    <w:rsid w:val="00E472B1"/>
    <w:rsid w:val="00E50624"/>
    <w:rsid w:val="00E568DF"/>
    <w:rsid w:val="00E60ACD"/>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179D7"/>
    <w:rsid w:val="00F2408F"/>
    <w:rsid w:val="00F240E9"/>
    <w:rsid w:val="00F3540D"/>
    <w:rsid w:val="00F36D8F"/>
    <w:rsid w:val="00F4072C"/>
    <w:rsid w:val="00F417B1"/>
    <w:rsid w:val="00F45853"/>
    <w:rsid w:val="00F602DF"/>
    <w:rsid w:val="00F7385E"/>
    <w:rsid w:val="00F754A1"/>
    <w:rsid w:val="00F81FD9"/>
    <w:rsid w:val="00F841AA"/>
    <w:rsid w:val="00F84A94"/>
    <w:rsid w:val="00F87E96"/>
    <w:rsid w:val="00FA23E8"/>
    <w:rsid w:val="00FD3CC1"/>
    <w:rsid w:val="00FF1E02"/>
    <w:rsid w:val="00FF30B4"/>
    <w:rsid w:val="013069E0"/>
    <w:rsid w:val="02FC7ACC"/>
    <w:rsid w:val="031E62CB"/>
    <w:rsid w:val="036068E4"/>
    <w:rsid w:val="05086F6E"/>
    <w:rsid w:val="05145A02"/>
    <w:rsid w:val="05E25075"/>
    <w:rsid w:val="066E0107"/>
    <w:rsid w:val="071076A1"/>
    <w:rsid w:val="073B3672"/>
    <w:rsid w:val="07996F6E"/>
    <w:rsid w:val="0802440D"/>
    <w:rsid w:val="08AD7A76"/>
    <w:rsid w:val="09C21D36"/>
    <w:rsid w:val="0A2032A3"/>
    <w:rsid w:val="0C8303D1"/>
    <w:rsid w:val="0EED12DC"/>
    <w:rsid w:val="101860EC"/>
    <w:rsid w:val="10383EE4"/>
    <w:rsid w:val="105C0914"/>
    <w:rsid w:val="106E2803"/>
    <w:rsid w:val="107050FC"/>
    <w:rsid w:val="108121F8"/>
    <w:rsid w:val="109E6C37"/>
    <w:rsid w:val="10C055FF"/>
    <w:rsid w:val="118107EC"/>
    <w:rsid w:val="11D577A5"/>
    <w:rsid w:val="12623816"/>
    <w:rsid w:val="132536A6"/>
    <w:rsid w:val="1349263C"/>
    <w:rsid w:val="13971DF9"/>
    <w:rsid w:val="13D50BC4"/>
    <w:rsid w:val="14184DD7"/>
    <w:rsid w:val="14A33F64"/>
    <w:rsid w:val="14FC1313"/>
    <w:rsid w:val="152D6CCA"/>
    <w:rsid w:val="15A02874"/>
    <w:rsid w:val="16BB723D"/>
    <w:rsid w:val="16F5338F"/>
    <w:rsid w:val="18D11017"/>
    <w:rsid w:val="190E24E6"/>
    <w:rsid w:val="19BA0D80"/>
    <w:rsid w:val="1BE8440E"/>
    <w:rsid w:val="1C4F2FD3"/>
    <w:rsid w:val="1CC4538C"/>
    <w:rsid w:val="1CD56B58"/>
    <w:rsid w:val="1D155CEE"/>
    <w:rsid w:val="1E5D54F9"/>
    <w:rsid w:val="1F242C40"/>
    <w:rsid w:val="1F7C02AD"/>
    <w:rsid w:val="1FEC2967"/>
    <w:rsid w:val="227932DA"/>
    <w:rsid w:val="23860B96"/>
    <w:rsid w:val="240371BF"/>
    <w:rsid w:val="27DA3386"/>
    <w:rsid w:val="284B1061"/>
    <w:rsid w:val="28572C54"/>
    <w:rsid w:val="286C78A9"/>
    <w:rsid w:val="292E5828"/>
    <w:rsid w:val="29FD04D3"/>
    <w:rsid w:val="29FF33CA"/>
    <w:rsid w:val="2A993608"/>
    <w:rsid w:val="2AF23A16"/>
    <w:rsid w:val="2BC37160"/>
    <w:rsid w:val="2C8A61B5"/>
    <w:rsid w:val="2CB012EE"/>
    <w:rsid w:val="2DF04E50"/>
    <w:rsid w:val="2E47051C"/>
    <w:rsid w:val="2E786928"/>
    <w:rsid w:val="2F2A5E74"/>
    <w:rsid w:val="310810F6"/>
    <w:rsid w:val="319F7F4E"/>
    <w:rsid w:val="31DE6EDC"/>
    <w:rsid w:val="31E16592"/>
    <w:rsid w:val="32252923"/>
    <w:rsid w:val="33207C06"/>
    <w:rsid w:val="33C25996"/>
    <w:rsid w:val="342F1837"/>
    <w:rsid w:val="348A4665"/>
    <w:rsid w:val="34B00BC9"/>
    <w:rsid w:val="35790BB8"/>
    <w:rsid w:val="36013008"/>
    <w:rsid w:val="36967C98"/>
    <w:rsid w:val="36A96BEB"/>
    <w:rsid w:val="36AA5135"/>
    <w:rsid w:val="37DD6918"/>
    <w:rsid w:val="37E16F03"/>
    <w:rsid w:val="39736981"/>
    <w:rsid w:val="39932937"/>
    <w:rsid w:val="3AC54CA3"/>
    <w:rsid w:val="3B5549A5"/>
    <w:rsid w:val="3B750D9D"/>
    <w:rsid w:val="3C3B1DED"/>
    <w:rsid w:val="3D404AB5"/>
    <w:rsid w:val="3D98207C"/>
    <w:rsid w:val="3EFC19A9"/>
    <w:rsid w:val="40DE03A3"/>
    <w:rsid w:val="420C64FE"/>
    <w:rsid w:val="42C81863"/>
    <w:rsid w:val="438B7B56"/>
    <w:rsid w:val="43AD78DA"/>
    <w:rsid w:val="44C5172E"/>
    <w:rsid w:val="44E268DA"/>
    <w:rsid w:val="46854C68"/>
    <w:rsid w:val="48AF2AEE"/>
    <w:rsid w:val="48B07C09"/>
    <w:rsid w:val="4A123335"/>
    <w:rsid w:val="4A627F82"/>
    <w:rsid w:val="4AAB1F76"/>
    <w:rsid w:val="4AB110E5"/>
    <w:rsid w:val="4AD13949"/>
    <w:rsid w:val="4B4F25DA"/>
    <w:rsid w:val="4B7324F9"/>
    <w:rsid w:val="4BE068DB"/>
    <w:rsid w:val="4D577224"/>
    <w:rsid w:val="4EAB630A"/>
    <w:rsid w:val="4ECE2238"/>
    <w:rsid w:val="4FA333AF"/>
    <w:rsid w:val="505A1EBF"/>
    <w:rsid w:val="507A1C34"/>
    <w:rsid w:val="509245FA"/>
    <w:rsid w:val="515F3303"/>
    <w:rsid w:val="520F6167"/>
    <w:rsid w:val="55935C72"/>
    <w:rsid w:val="5596222E"/>
    <w:rsid w:val="58160B7D"/>
    <w:rsid w:val="58E97957"/>
    <w:rsid w:val="59953E2F"/>
    <w:rsid w:val="5AF23CAF"/>
    <w:rsid w:val="5AF92295"/>
    <w:rsid w:val="5CD71FC4"/>
    <w:rsid w:val="5DB33117"/>
    <w:rsid w:val="5DFB7EC1"/>
    <w:rsid w:val="5F1F142F"/>
    <w:rsid w:val="5F317B4F"/>
    <w:rsid w:val="60636240"/>
    <w:rsid w:val="60A83C37"/>
    <w:rsid w:val="62426A55"/>
    <w:rsid w:val="62DB239E"/>
    <w:rsid w:val="64436541"/>
    <w:rsid w:val="649D09DA"/>
    <w:rsid w:val="64B1040C"/>
    <w:rsid w:val="65796303"/>
    <w:rsid w:val="67F22050"/>
    <w:rsid w:val="689F1E16"/>
    <w:rsid w:val="6C4A05C8"/>
    <w:rsid w:val="6C4A7714"/>
    <w:rsid w:val="6CA6030D"/>
    <w:rsid w:val="6D2C2D63"/>
    <w:rsid w:val="6D371139"/>
    <w:rsid w:val="6E7E3605"/>
    <w:rsid w:val="6E7F693B"/>
    <w:rsid w:val="6EA86ED1"/>
    <w:rsid w:val="6EE31840"/>
    <w:rsid w:val="6F606B33"/>
    <w:rsid w:val="6F71501C"/>
    <w:rsid w:val="6FF5CC65"/>
    <w:rsid w:val="70EC6EE8"/>
    <w:rsid w:val="715C0E4B"/>
    <w:rsid w:val="718D5813"/>
    <w:rsid w:val="72734D90"/>
    <w:rsid w:val="73AD73D5"/>
    <w:rsid w:val="73B6EB34"/>
    <w:rsid w:val="78CD5711"/>
    <w:rsid w:val="79EE5BA4"/>
    <w:rsid w:val="7A392DDE"/>
    <w:rsid w:val="7A894339"/>
    <w:rsid w:val="7C6B04FF"/>
    <w:rsid w:val="7D2B1D04"/>
    <w:rsid w:val="7E52031C"/>
    <w:rsid w:val="7E6126AF"/>
    <w:rsid w:val="7EEF11D3"/>
    <w:rsid w:val="7FA30C79"/>
    <w:rsid w:val="7FC96657"/>
    <w:rsid w:val="D8D6DB89"/>
    <w:rsid w:val="DB6F4CAB"/>
    <w:rsid w:val="DF6F97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0" w:semiHidden="0" w:name="Normal Indent" w:locked="1"/>
    <w:lsdException w:uiPriority="99" w:name="footnote text" w:locked="1"/>
    <w:lsdException w:uiPriority="99" w:name="annotation text" w:locked="1"/>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qFormat="1" w:unhideWhenUsed="0" w:uiPriority="0" w:semiHidden="0" w:name="Plain Text" w:locked="1"/>
    <w:lsdException w:uiPriority="99" w:name="E-mail Signature" w:locked="1"/>
    <w:lsdException w:qFormat="1" w:unhideWhenUsed="0" w:uiPriority="0"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5"/>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4"/>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1"/>
    <w:qFormat/>
    <w:uiPriority w:val="9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8"/>
    <w:qFormat/>
    <w:uiPriority w:val="99"/>
    <w:pPr>
      <w:spacing w:beforeLines="30"/>
    </w:pPr>
    <w:rPr>
      <w:rFonts w:ascii="仿宋_GB2312" w:eastAsia="仿宋_GB2312"/>
      <w:kern w:val="0"/>
      <w:sz w:val="24"/>
      <w:szCs w:val="20"/>
    </w:rPr>
  </w:style>
  <w:style w:type="paragraph" w:styleId="6">
    <w:name w:val="Normal Indent"/>
    <w:basedOn w:val="1"/>
    <w:qFormat/>
    <w:locked/>
    <w:uiPriority w:val="0"/>
    <w:pPr>
      <w:ind w:firstLine="420" w:firstLineChars="200"/>
    </w:pPr>
    <w:rPr>
      <w:szCs w:val="21"/>
    </w:rPr>
  </w:style>
  <w:style w:type="paragraph" w:styleId="7">
    <w:name w:val="toc 3"/>
    <w:basedOn w:val="1"/>
    <w:next w:val="1"/>
    <w:qFormat/>
    <w:uiPriority w:val="99"/>
    <w:pPr>
      <w:tabs>
        <w:tab w:val="right" w:leader="dot" w:pos="8296"/>
      </w:tabs>
      <w:ind w:left="840" w:leftChars="400"/>
    </w:pPr>
  </w:style>
  <w:style w:type="paragraph" w:styleId="8">
    <w:name w:val="Plain Text"/>
    <w:basedOn w:val="1"/>
    <w:qFormat/>
    <w:locked/>
    <w:uiPriority w:val="0"/>
    <w:rPr>
      <w:rFonts w:ascii="宋体" w:hAnsi="Courier New"/>
      <w:szCs w:val="22"/>
    </w:rPr>
  </w:style>
  <w:style w:type="paragraph" w:styleId="9">
    <w:name w:val="Balloon Text"/>
    <w:basedOn w:val="1"/>
    <w:link w:val="23"/>
    <w:semiHidden/>
    <w:qFormat/>
    <w:uiPriority w:val="99"/>
    <w:rPr>
      <w:sz w:val="18"/>
      <w:szCs w:val="18"/>
    </w:rPr>
  </w:style>
  <w:style w:type="paragraph" w:styleId="10">
    <w:name w:val="footer"/>
    <w:basedOn w:val="1"/>
    <w:link w:val="27"/>
    <w:qFormat/>
    <w:uiPriority w:val="99"/>
    <w:pPr>
      <w:tabs>
        <w:tab w:val="center" w:pos="4153"/>
        <w:tab w:val="right" w:pos="8306"/>
      </w:tabs>
      <w:snapToGrid w:val="0"/>
      <w:jc w:val="left"/>
    </w:pPr>
    <w:rPr>
      <w:rFonts w:ascii="Calibri" w:hAnsi="Calibri"/>
      <w:kern w:val="0"/>
      <w:sz w:val="18"/>
      <w:szCs w:val="20"/>
    </w:rPr>
  </w:style>
  <w:style w:type="paragraph" w:styleId="11">
    <w:name w:val="header"/>
    <w:basedOn w:val="1"/>
    <w:link w:val="26"/>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2">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3">
    <w:name w:val="toc 2"/>
    <w:basedOn w:val="1"/>
    <w:next w:val="1"/>
    <w:qFormat/>
    <w:uiPriority w:val="99"/>
    <w:pPr>
      <w:tabs>
        <w:tab w:val="right" w:leader="dot" w:pos="8296"/>
      </w:tabs>
      <w:ind w:left="420" w:leftChars="200"/>
    </w:pPr>
  </w:style>
  <w:style w:type="paragraph" w:styleId="14">
    <w:name w:val="Normal (Web)"/>
    <w:basedOn w:val="1"/>
    <w:qFormat/>
    <w:locked/>
    <w:uiPriority w:val="0"/>
    <w:pPr>
      <w:spacing w:before="100" w:beforeAutospacing="1" w:after="100" w:afterAutospacing="1"/>
      <w:jc w:val="left"/>
    </w:pPr>
    <w:rPr>
      <w:kern w:val="0"/>
      <w:sz w:val="24"/>
    </w:rPr>
  </w:style>
  <w:style w:type="character" w:styleId="17">
    <w:name w:val="Strong"/>
    <w:basedOn w:val="16"/>
    <w:qFormat/>
    <w:uiPriority w:val="99"/>
    <w:rPr>
      <w:rFonts w:cs="Times New Roman"/>
      <w:b/>
    </w:rPr>
  </w:style>
  <w:style w:type="character" w:styleId="18">
    <w:name w:val="Hyperlink"/>
    <w:basedOn w:val="16"/>
    <w:qFormat/>
    <w:uiPriority w:val="99"/>
    <w:rPr>
      <w:rFonts w:cs="Times New Roman"/>
      <w:color w:val="0000FF"/>
      <w:u w:val="single"/>
    </w:rPr>
  </w:style>
  <w:style w:type="character" w:customStyle="1" w:styleId="19">
    <w:name w:val="Heading 1 Char"/>
    <w:basedOn w:val="16"/>
    <w:qFormat/>
    <w:locked/>
    <w:uiPriority w:val="99"/>
    <w:rPr>
      <w:rFonts w:ascii="Times New Roman" w:hAnsi="Times New Roman" w:cs="Times New Roman"/>
      <w:b/>
      <w:bCs/>
      <w:kern w:val="44"/>
      <w:sz w:val="44"/>
      <w:szCs w:val="44"/>
    </w:rPr>
  </w:style>
  <w:style w:type="character" w:customStyle="1" w:styleId="20">
    <w:name w:val="Heading 2 Char"/>
    <w:basedOn w:val="16"/>
    <w:qFormat/>
    <w:locked/>
    <w:uiPriority w:val="99"/>
    <w:rPr>
      <w:rFonts w:ascii="Cambria" w:hAnsi="Cambria" w:eastAsia="宋体" w:cs="Times New Roman"/>
      <w:b/>
      <w:bCs/>
      <w:kern w:val="2"/>
      <w:sz w:val="32"/>
      <w:szCs w:val="32"/>
    </w:rPr>
  </w:style>
  <w:style w:type="character" w:customStyle="1" w:styleId="21">
    <w:name w:val="标题 3 Char"/>
    <w:basedOn w:val="16"/>
    <w:link w:val="5"/>
    <w:qFormat/>
    <w:locked/>
    <w:uiPriority w:val="99"/>
    <w:rPr>
      <w:rFonts w:ascii="Times New Roman" w:hAnsi="Times New Roman" w:cs="Times New Roman"/>
      <w:b/>
      <w:bCs/>
      <w:kern w:val="2"/>
      <w:sz w:val="32"/>
      <w:szCs w:val="32"/>
    </w:rPr>
  </w:style>
  <w:style w:type="character" w:customStyle="1" w:styleId="22">
    <w:name w:val="Body Text Char"/>
    <w:basedOn w:val="16"/>
    <w:semiHidden/>
    <w:qFormat/>
    <w:locked/>
    <w:uiPriority w:val="99"/>
    <w:rPr>
      <w:rFonts w:ascii="Times New Roman" w:hAnsi="Times New Roman" w:cs="Times New Roman"/>
      <w:sz w:val="24"/>
      <w:szCs w:val="24"/>
    </w:rPr>
  </w:style>
  <w:style w:type="character" w:customStyle="1" w:styleId="23">
    <w:name w:val="批注框文本 Char"/>
    <w:basedOn w:val="16"/>
    <w:link w:val="9"/>
    <w:semiHidden/>
    <w:qFormat/>
    <w:locked/>
    <w:uiPriority w:val="99"/>
    <w:rPr>
      <w:rFonts w:ascii="Times New Roman" w:hAnsi="Times New Roman" w:cs="Times New Roman"/>
      <w:kern w:val="2"/>
      <w:sz w:val="18"/>
      <w:szCs w:val="18"/>
    </w:rPr>
  </w:style>
  <w:style w:type="character" w:customStyle="1" w:styleId="24">
    <w:name w:val="Footer Char"/>
    <w:basedOn w:val="16"/>
    <w:semiHidden/>
    <w:qFormat/>
    <w:locked/>
    <w:uiPriority w:val="99"/>
    <w:rPr>
      <w:rFonts w:ascii="Times New Roman" w:hAnsi="Times New Roman" w:cs="Times New Roman"/>
      <w:sz w:val="18"/>
      <w:szCs w:val="18"/>
    </w:rPr>
  </w:style>
  <w:style w:type="character" w:customStyle="1" w:styleId="25">
    <w:name w:val="Header Char"/>
    <w:basedOn w:val="16"/>
    <w:semiHidden/>
    <w:qFormat/>
    <w:locked/>
    <w:uiPriority w:val="99"/>
    <w:rPr>
      <w:rFonts w:ascii="Times New Roman" w:hAnsi="Times New Roman" w:cs="Times New Roman"/>
      <w:sz w:val="18"/>
      <w:szCs w:val="18"/>
    </w:rPr>
  </w:style>
  <w:style w:type="character" w:customStyle="1" w:styleId="26">
    <w:name w:val="页眉 Char"/>
    <w:link w:val="11"/>
    <w:semiHidden/>
    <w:qFormat/>
    <w:locked/>
    <w:uiPriority w:val="99"/>
    <w:rPr>
      <w:sz w:val="18"/>
    </w:rPr>
  </w:style>
  <w:style w:type="character" w:customStyle="1" w:styleId="27">
    <w:name w:val="页脚 Char"/>
    <w:link w:val="10"/>
    <w:qFormat/>
    <w:locked/>
    <w:uiPriority w:val="99"/>
    <w:rPr>
      <w:sz w:val="18"/>
    </w:rPr>
  </w:style>
  <w:style w:type="character" w:customStyle="1" w:styleId="28">
    <w:name w:val="正文文本 Char"/>
    <w:link w:val="2"/>
    <w:qFormat/>
    <w:locked/>
    <w:uiPriority w:val="99"/>
    <w:rPr>
      <w:rFonts w:ascii="仿宋_GB2312" w:hAnsi="Times New Roman" w:eastAsia="仿宋_GB2312"/>
      <w:sz w:val="24"/>
    </w:r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0">
    <w:name w:val="List Paragraph"/>
    <w:basedOn w:val="1"/>
    <w:qFormat/>
    <w:uiPriority w:val="99"/>
    <w:pPr>
      <w:ind w:firstLine="420" w:firstLineChars="200"/>
    </w:pPr>
  </w:style>
  <w:style w:type="paragraph" w:customStyle="1" w:styleId="31">
    <w:name w:val="TOC 标题1"/>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paragraph" w:customStyle="1" w:styleId="32">
    <w:name w:val="TOC 标题2"/>
    <w:basedOn w:val="3"/>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33">
    <w:name w:val="Char Char6"/>
    <w:basedOn w:val="16"/>
    <w:qFormat/>
    <w:locked/>
    <w:uiPriority w:val="9"/>
    <w:rPr>
      <w:rFonts w:ascii="Times New Roman" w:hAnsi="Times New Roman" w:cs="Times New Roman"/>
      <w:b/>
      <w:bCs/>
      <w:kern w:val="44"/>
      <w:sz w:val="44"/>
      <w:szCs w:val="44"/>
    </w:rPr>
  </w:style>
  <w:style w:type="character" w:customStyle="1" w:styleId="34">
    <w:name w:val="标题 2 Char"/>
    <w:basedOn w:val="16"/>
    <w:link w:val="4"/>
    <w:qFormat/>
    <w:uiPriority w:val="9"/>
    <w:rPr>
      <w:rFonts w:asciiTheme="majorHAnsi" w:hAnsiTheme="majorHAnsi" w:eastAsiaTheme="majorEastAsia" w:cstheme="majorBidi"/>
      <w:b/>
      <w:bCs/>
      <w:kern w:val="2"/>
      <w:sz w:val="32"/>
      <w:szCs w:val="32"/>
    </w:rPr>
  </w:style>
  <w:style w:type="character" w:customStyle="1" w:styleId="35">
    <w:name w:val="标题 1 Char"/>
    <w:basedOn w:val="16"/>
    <w:link w:val="3"/>
    <w:qFormat/>
    <w:uiPriority w:val="9"/>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6" Type="http://schemas.openxmlformats.org/officeDocument/2006/relationships/fontTable" Target="fontTable.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38.png"/><Relationship Id="rId52" Type="http://schemas.openxmlformats.org/officeDocument/2006/relationships/image" Target="media/image37.png"/><Relationship Id="rId51" Type="http://schemas.openxmlformats.org/officeDocument/2006/relationships/image" Target="media/image36.png"/><Relationship Id="rId50" Type="http://schemas.openxmlformats.org/officeDocument/2006/relationships/image" Target="media/image35.png"/><Relationship Id="rId5" Type="http://schemas.openxmlformats.org/officeDocument/2006/relationships/footer" Target="footer2.xml"/><Relationship Id="rId49" Type="http://schemas.openxmlformats.org/officeDocument/2006/relationships/image" Target="media/image34.png"/><Relationship Id="rId48" Type="http://schemas.openxmlformats.org/officeDocument/2006/relationships/image" Target="media/image33.png"/><Relationship Id="rId47" Type="http://schemas.openxmlformats.org/officeDocument/2006/relationships/image" Target="media/image32.png"/><Relationship Id="rId46" Type="http://schemas.openxmlformats.org/officeDocument/2006/relationships/image" Target="media/image31.png"/><Relationship Id="rId45" Type="http://schemas.openxmlformats.org/officeDocument/2006/relationships/image" Target="media/image30.png"/><Relationship Id="rId44" Type="http://schemas.openxmlformats.org/officeDocument/2006/relationships/image" Target="media/image29.png"/><Relationship Id="rId43" Type="http://schemas.openxmlformats.org/officeDocument/2006/relationships/image" Target="media/image28.png"/><Relationship Id="rId42" Type="http://schemas.openxmlformats.org/officeDocument/2006/relationships/image" Target="media/image27.png"/><Relationship Id="rId41" Type="http://schemas.openxmlformats.org/officeDocument/2006/relationships/image" Target="media/image26.png"/><Relationship Id="rId40" Type="http://schemas.openxmlformats.org/officeDocument/2006/relationships/image" Target="media/image25.png"/><Relationship Id="rId4" Type="http://schemas.openxmlformats.org/officeDocument/2006/relationships/footer" Target="footer1.xml"/><Relationship Id="rId39" Type="http://schemas.openxmlformats.org/officeDocument/2006/relationships/image" Target="media/image24.png"/><Relationship Id="rId38" Type="http://schemas.openxmlformats.org/officeDocument/2006/relationships/image" Target="media/image23.png"/><Relationship Id="rId37" Type="http://schemas.openxmlformats.org/officeDocument/2006/relationships/image" Target="media/image22.png"/><Relationship Id="rId36" Type="http://schemas.openxmlformats.org/officeDocument/2006/relationships/image" Target="media/image21.png"/><Relationship Id="rId35" Type="http://schemas.openxmlformats.org/officeDocument/2006/relationships/image" Target="media/image20.png"/><Relationship Id="rId34" Type="http://schemas.openxmlformats.org/officeDocument/2006/relationships/image" Target="media/image19.png"/><Relationship Id="rId33" Type="http://schemas.openxmlformats.org/officeDocument/2006/relationships/image" Target="media/image18.png"/><Relationship Id="rId32" Type="http://schemas.openxmlformats.org/officeDocument/2006/relationships/image" Target="media/image17.png"/><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header" Target="header1.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emf"/><Relationship Id="rId21" Type="http://schemas.openxmlformats.org/officeDocument/2006/relationships/oleObject" Target="embeddings/oleObject7.bin"/><Relationship Id="rId20" Type="http://schemas.openxmlformats.org/officeDocument/2006/relationships/image" Target="media/image6.emf"/><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5.emf"/><Relationship Id="rId17" Type="http://schemas.openxmlformats.org/officeDocument/2006/relationships/oleObject" Target="embeddings/oleObject5.bin"/><Relationship Id="rId16" Type="http://schemas.openxmlformats.org/officeDocument/2006/relationships/image" Target="media/image4.emf"/><Relationship Id="rId15" Type="http://schemas.openxmlformats.org/officeDocument/2006/relationships/oleObject" Target="embeddings/oleObject4.bin"/><Relationship Id="rId14" Type="http://schemas.openxmlformats.org/officeDocument/2006/relationships/image" Target="media/image3.emf"/><Relationship Id="rId13" Type="http://schemas.openxmlformats.org/officeDocument/2006/relationships/oleObject" Target="embeddings/oleObject3.bin"/><Relationship Id="rId12" Type="http://schemas.openxmlformats.org/officeDocument/2006/relationships/image" Target="media/image2.emf"/><Relationship Id="rId11" Type="http://schemas.openxmlformats.org/officeDocument/2006/relationships/oleObject" Target="embeddings/oleObject2.bin"/><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51</Pages>
  <Words>1503</Words>
  <Characters>8569</Characters>
  <Lines>71</Lines>
  <Paragraphs>20</Paragraphs>
  <TotalTime>20</TotalTime>
  <ScaleCrop>false</ScaleCrop>
  <LinksUpToDate>false</LinksUpToDate>
  <CharactersWithSpaces>10052</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2022-10-13T15:42:00Z</dcterms:created>
  <dc:creator>曹颖</dc:creator>
  <cp:lastModifiedBy>雨点儿</cp:lastModifiedBy>
  <cp:lastPrinted>2022-08-08T17:11:00Z</cp:lastPrinted>
  <dcterms:modified xsi:type="dcterms:W3CDTF">2023-10-26T12:01:57Z</dcterms:modified>
  <dc:title>四川省***</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CC6433D2C08D4199B0E3DEF39B69C5F7_13</vt:lpwstr>
  </property>
</Properties>
</file>