
<file path=[Content_Types].xml><?xml version="1.0" encoding="utf-8"?>
<Types xmlns="http://schemas.openxmlformats.org/package/2006/content-types">
  <Default Extension="xml" ContentType="application/xml"/>
  <Default Extension="xlsx" ContentType="application/vnd.openxmlformats-officedocument.spreadsheetml.sheet"/>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eastAsia="方正小标宋简体"/>
          <w:sz w:val="72"/>
          <w:szCs w:val="72"/>
        </w:rPr>
      </w:pPr>
      <w:bookmarkStart w:id="0" w:name="_Toc15377425"/>
      <w:bookmarkStart w:id="1" w:name="_Toc15396597"/>
      <w:bookmarkStart w:id="2" w:name="_Toc15396475"/>
      <w:bookmarkStart w:id="3" w:name="_Toc15378441"/>
      <w:bookmarkStart w:id="4" w:name="_Toc15377193"/>
      <w:bookmarkStart w:id="5" w:name="_Toc15306267"/>
    </w:p>
    <w:p>
      <w:pPr>
        <w:spacing w:line="600" w:lineRule="exact"/>
        <w:jc w:val="center"/>
        <w:outlineLvl w:val="0"/>
        <w:rPr>
          <w:rFonts w:eastAsia="方正小标宋简体"/>
          <w:sz w:val="72"/>
          <w:szCs w:val="72"/>
        </w:rPr>
      </w:pPr>
    </w:p>
    <w:p>
      <w:pPr>
        <w:spacing w:line="600" w:lineRule="exact"/>
        <w:jc w:val="center"/>
        <w:outlineLvl w:val="0"/>
        <w:rPr>
          <w:rFonts w:eastAsia="方正小标宋简体"/>
          <w:sz w:val="72"/>
          <w:szCs w:val="72"/>
        </w:rPr>
      </w:pPr>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hint="eastAsia" w:ascii="方正小标宋简体" w:hAnsi="方正小标宋简体" w:eastAsia="方正小标宋简体" w:cs="方正小标宋简体"/>
          <w:sz w:val="72"/>
          <w:szCs w:val="72"/>
        </w:rPr>
      </w:pPr>
      <w:r>
        <w:rPr>
          <w:rFonts w:hint="default" w:ascii="Times New Roman" w:hAnsi="Times New Roman" w:eastAsia="方正小标宋简体" w:cs="Times New Roman"/>
          <w:sz w:val="72"/>
          <w:szCs w:val="72"/>
        </w:rPr>
        <w:t>2022年度</w:t>
      </w:r>
      <w:bookmarkEnd w:id="0"/>
      <w:bookmarkEnd w:id="1"/>
      <w:bookmarkEnd w:id="2"/>
      <w:bookmarkEnd w:id="3"/>
      <w:bookmarkEnd w:id="4"/>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eastAsia="方正小标宋简体"/>
          <w:sz w:val="72"/>
          <w:szCs w:val="72"/>
        </w:rPr>
      </w:pPr>
    </w:p>
    <w:bookmarkEnd w:id="5"/>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hint="eastAsia" w:ascii="方正小标宋简体" w:hAnsi="方正小标宋简体" w:eastAsia="方正小标宋简体" w:cs="方正小标宋简体"/>
          <w:sz w:val="72"/>
          <w:szCs w:val="72"/>
        </w:rPr>
      </w:pPr>
      <w:bookmarkStart w:id="6" w:name="_Toc15396598"/>
      <w:bookmarkStart w:id="7" w:name="_Toc15377194"/>
      <w:bookmarkStart w:id="8" w:name="_Toc15377426"/>
      <w:bookmarkStart w:id="9" w:name="_Toc15306268"/>
      <w:bookmarkStart w:id="10" w:name="_Toc15396476"/>
      <w:bookmarkStart w:id="11" w:name="_Toc15378442"/>
      <w:r>
        <w:rPr>
          <w:rFonts w:hint="eastAsia" w:ascii="方正小标宋简体" w:hAnsi="方正小标宋简体" w:eastAsia="方正小标宋简体" w:cs="方正小标宋简体"/>
          <w:sz w:val="72"/>
          <w:szCs w:val="72"/>
        </w:rPr>
        <w:t>中国共产党盐边县纪律检</w:t>
      </w:r>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hint="eastAsia" w:ascii="方正小标宋简体" w:hAnsi="方正小标宋简体" w:eastAsia="方正小标宋简体" w:cs="方正小标宋简体"/>
          <w:sz w:val="72"/>
          <w:szCs w:val="72"/>
        </w:rPr>
      </w:pPr>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查委员会部门决算</w:t>
      </w:r>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center"/>
        <w:textAlignment w:val="auto"/>
        <w:outlineLvl w:val="0"/>
        <w:rPr>
          <w:rFonts w:hint="eastAsia" w:ascii="方正小标宋简体" w:hAnsi="方正小标宋简体" w:eastAsia="方正小标宋简体" w:cs="方正小标宋简体"/>
          <w:sz w:val="72"/>
          <w:szCs w:val="72"/>
        </w:rPr>
        <w:sectPr>
          <w:footerReference r:id="rId4" w:type="first"/>
          <w:headerReference r:id="rId3" w:type="default"/>
          <w:pgSz w:w="11906" w:h="16838"/>
          <w:pgMar w:top="1440" w:right="1800" w:bottom="1440" w:left="1800" w:header="851" w:footer="992" w:gutter="0"/>
          <w:pgNumType w:start="123"/>
          <w:cols w:space="425" w:num="1"/>
          <w:titlePg/>
          <w:docGrid w:type="lines" w:linePitch="312" w:charSpace="0"/>
        </w:sectPr>
      </w:pPr>
    </w:p>
    <w:p>
      <w:pPr>
        <w:widowControl/>
        <w:jc w:val="center"/>
        <w:rPr>
          <w:rFonts w:eastAsia="黑体"/>
          <w:sz w:val="48"/>
          <w:szCs w:val="48"/>
        </w:rPr>
      </w:pPr>
      <w:r>
        <w:rPr>
          <w:rFonts w:eastAsia="黑体"/>
          <w:sz w:val="48"/>
          <w:szCs w:val="48"/>
        </w:rPr>
        <w:t>目录</w:t>
      </w:r>
    </w:p>
    <w:p>
      <w:pPr>
        <w:widowControl/>
        <w:jc w:val="center"/>
        <w:rPr>
          <w:rFonts w:eastAsia="黑体"/>
          <w:sz w:val="28"/>
          <w:szCs w:val="28"/>
        </w:rPr>
      </w:pPr>
    </w:p>
    <w:p>
      <w:pPr>
        <w:pStyle w:val="13"/>
        <w:rPr>
          <w:rFonts w:ascii="Times New Roman" w:hAnsi="Times New Roman"/>
        </w:rPr>
      </w:pPr>
      <w:r>
        <w:rPr>
          <w:rFonts w:ascii="Times New Roman" w:hAnsi="Times New Roman"/>
        </w:rPr>
        <w:t>公开时间：2023年10月26日</w:t>
      </w:r>
    </w:p>
    <w:p/>
    <w:p>
      <w:pPr>
        <w:pStyle w:val="13"/>
        <w:adjustRightInd w:val="0"/>
        <w:snapToGrid w:val="0"/>
        <w:spacing w:before="0" w:line="440" w:lineRule="exact"/>
        <w:jc w:val="left"/>
        <w:rPr>
          <w:rFonts w:ascii="Times New Roman" w:hAnsi="Times New Roman"/>
          <w:sz w:val="24"/>
          <w:szCs w:val="24"/>
        </w:rPr>
      </w:pPr>
      <w:r>
        <w:rPr>
          <w:rFonts w:ascii="Times New Roman" w:hAnsi="Times New Roman"/>
          <w:sz w:val="24"/>
        </w:rPr>
        <w:t>第一部分部门概况</w:t>
      </w:r>
      <w:r>
        <w:rPr>
          <w:rFonts w:ascii="Times New Roman" w:hAnsi="Times New Roman"/>
        </w:rPr>
        <w:ptab w:relativeTo="margin" w:alignment="right" w:leader="dot"/>
      </w:r>
      <w:r>
        <w:rPr>
          <w:rFonts w:ascii="Times New Roman" w:hAnsi="Times New Roman" w:eastAsia="宋体"/>
          <w:sz w:val="21"/>
          <w:szCs w:val="24"/>
        </w:rPr>
        <w:t>1</w:t>
      </w:r>
    </w:p>
    <w:p>
      <w:pPr>
        <w:pStyle w:val="14"/>
        <w:adjustRightInd w:val="0"/>
        <w:snapToGrid w:val="0"/>
        <w:spacing w:line="440" w:lineRule="exact"/>
        <w:jc w:val="left"/>
        <w:rPr>
          <w:sz w:val="24"/>
        </w:rPr>
      </w:pPr>
      <w:r>
        <w:rPr>
          <w:sz w:val="24"/>
        </w:rPr>
        <w:t>一、部门职责</w:t>
      </w:r>
      <w:r>
        <w:ptab w:relativeTo="margin" w:alignment="right" w:leader="dot"/>
      </w:r>
      <w:r>
        <w:t>1</w:t>
      </w:r>
    </w:p>
    <w:p>
      <w:pPr>
        <w:pStyle w:val="14"/>
        <w:adjustRightInd w:val="0"/>
        <w:snapToGrid w:val="0"/>
        <w:spacing w:line="440" w:lineRule="exact"/>
        <w:jc w:val="left"/>
      </w:pPr>
      <w:r>
        <w:rPr>
          <w:sz w:val="24"/>
        </w:rPr>
        <w:t>二、机构设置</w:t>
      </w:r>
      <w:r>
        <w:ptab w:relativeTo="margin" w:alignment="right" w:leader="dot"/>
      </w:r>
      <w:r>
        <w:t>1</w:t>
      </w:r>
    </w:p>
    <w:p>
      <w:pPr>
        <w:pStyle w:val="13"/>
        <w:adjustRightInd w:val="0"/>
        <w:snapToGrid w:val="0"/>
        <w:spacing w:before="0" w:line="440" w:lineRule="exact"/>
        <w:jc w:val="left"/>
        <w:rPr>
          <w:rFonts w:ascii="Times New Roman" w:hAnsi="Times New Roman"/>
          <w:sz w:val="24"/>
          <w:szCs w:val="24"/>
        </w:rPr>
      </w:pPr>
      <w:r>
        <w:rPr>
          <w:rFonts w:ascii="Times New Roman" w:hAnsi="Times New Roman"/>
          <w:sz w:val="24"/>
        </w:rPr>
        <w:t>第二部分 2022年度部门决算情况说明</w:t>
      </w:r>
      <w:r>
        <w:rPr>
          <w:rFonts w:ascii="Times New Roman" w:hAnsi="Times New Roman"/>
        </w:rPr>
        <w:ptab w:relativeTo="margin" w:alignment="right" w:leader="dot"/>
      </w:r>
      <w:r>
        <w:rPr>
          <w:rFonts w:hint="eastAsia" w:ascii="Times New Roman" w:hAnsi="Times New Roman" w:eastAsia="宋体"/>
          <w:sz w:val="21"/>
          <w:szCs w:val="24"/>
        </w:rPr>
        <w:t>2</w:t>
      </w:r>
    </w:p>
    <w:p>
      <w:pPr>
        <w:pStyle w:val="14"/>
        <w:adjustRightInd w:val="0"/>
        <w:snapToGrid w:val="0"/>
        <w:spacing w:line="440" w:lineRule="exact"/>
        <w:jc w:val="left"/>
        <w:rPr>
          <w:rFonts w:eastAsia="仿宋"/>
          <w:sz w:val="24"/>
        </w:rPr>
      </w:pPr>
      <w:r>
        <w:rPr>
          <w:sz w:val="24"/>
        </w:rPr>
        <w:t>一、收入支出决算总体情况说明</w:t>
      </w:r>
      <w:r>
        <w:ptab w:relativeTo="margin" w:alignment="right" w:leader="dot"/>
      </w:r>
      <w:r>
        <w:rPr>
          <w:rFonts w:hint="eastAsia"/>
        </w:rPr>
        <w:t>2</w:t>
      </w:r>
    </w:p>
    <w:p>
      <w:pPr>
        <w:pStyle w:val="14"/>
        <w:adjustRightInd w:val="0"/>
        <w:snapToGrid w:val="0"/>
        <w:spacing w:line="440" w:lineRule="exact"/>
        <w:jc w:val="left"/>
        <w:rPr>
          <w:rFonts w:eastAsia="仿宋"/>
          <w:sz w:val="24"/>
        </w:rPr>
      </w:pPr>
      <w:r>
        <w:rPr>
          <w:sz w:val="24"/>
        </w:rPr>
        <w:t>二、收入决算情况说明</w:t>
      </w:r>
      <w:r>
        <w:ptab w:relativeTo="margin" w:alignment="right" w:leader="dot"/>
      </w:r>
      <w:r>
        <w:rPr>
          <w:rFonts w:hint="eastAsia"/>
        </w:rPr>
        <w:t>2</w:t>
      </w:r>
    </w:p>
    <w:p>
      <w:pPr>
        <w:pStyle w:val="14"/>
        <w:adjustRightInd w:val="0"/>
        <w:snapToGrid w:val="0"/>
        <w:spacing w:line="440" w:lineRule="exact"/>
        <w:jc w:val="left"/>
        <w:rPr>
          <w:rFonts w:eastAsia="仿宋"/>
          <w:sz w:val="24"/>
        </w:rPr>
      </w:pPr>
      <w:r>
        <w:rPr>
          <w:sz w:val="24"/>
        </w:rPr>
        <w:t>三、支出决算情况说明</w:t>
      </w:r>
      <w:r>
        <w:ptab w:relativeTo="margin" w:alignment="right" w:leader="dot"/>
      </w:r>
      <w:r>
        <w:rPr>
          <w:rFonts w:hint="eastAsia"/>
        </w:rPr>
        <w:t>3</w:t>
      </w:r>
    </w:p>
    <w:p>
      <w:pPr>
        <w:pStyle w:val="14"/>
        <w:adjustRightInd w:val="0"/>
        <w:snapToGrid w:val="0"/>
        <w:spacing w:line="440" w:lineRule="exact"/>
        <w:jc w:val="left"/>
        <w:rPr>
          <w:rFonts w:eastAsia="仿宋"/>
          <w:sz w:val="24"/>
        </w:rPr>
      </w:pPr>
      <w:r>
        <w:rPr>
          <w:sz w:val="24"/>
        </w:rPr>
        <w:t>四、财政拨款收入支出决算总体情况说明</w:t>
      </w:r>
      <w:r>
        <w:ptab w:relativeTo="margin" w:alignment="right" w:leader="dot"/>
      </w:r>
      <w:r>
        <w:rPr>
          <w:rFonts w:hint="eastAsia"/>
        </w:rPr>
        <w:t>3</w:t>
      </w:r>
    </w:p>
    <w:p>
      <w:pPr>
        <w:pStyle w:val="14"/>
        <w:adjustRightInd w:val="0"/>
        <w:snapToGrid w:val="0"/>
        <w:spacing w:line="440" w:lineRule="exact"/>
        <w:jc w:val="left"/>
        <w:rPr>
          <w:rFonts w:eastAsia="仿宋"/>
          <w:sz w:val="24"/>
        </w:rPr>
      </w:pPr>
      <w:r>
        <w:rPr>
          <w:sz w:val="24"/>
        </w:rPr>
        <w:t>五、一般公共预算财政拨款支出决算情况说明</w:t>
      </w:r>
      <w:r>
        <w:ptab w:relativeTo="margin" w:alignment="right" w:leader="dot"/>
      </w:r>
      <w:r>
        <w:rPr>
          <w:rFonts w:hint="eastAsia"/>
        </w:rPr>
        <w:t>4</w:t>
      </w:r>
    </w:p>
    <w:p>
      <w:pPr>
        <w:pStyle w:val="14"/>
        <w:adjustRightInd w:val="0"/>
        <w:snapToGrid w:val="0"/>
        <w:spacing w:line="440" w:lineRule="exact"/>
        <w:jc w:val="left"/>
        <w:rPr>
          <w:rFonts w:eastAsia="仿宋"/>
          <w:sz w:val="24"/>
        </w:rPr>
      </w:pPr>
      <w:r>
        <w:rPr>
          <w:sz w:val="24"/>
        </w:rPr>
        <w:t>六、一般公共预算财政拨款基本支出决算情况说明</w:t>
      </w:r>
      <w:r>
        <w:ptab w:relativeTo="margin" w:alignment="right" w:leader="dot"/>
      </w:r>
      <w:r>
        <w:rPr>
          <w:rFonts w:hint="eastAsia"/>
        </w:rPr>
        <w:t>7</w:t>
      </w:r>
    </w:p>
    <w:p>
      <w:pPr>
        <w:pStyle w:val="14"/>
        <w:adjustRightInd w:val="0"/>
        <w:snapToGrid w:val="0"/>
        <w:spacing w:line="440" w:lineRule="exact"/>
        <w:jc w:val="left"/>
        <w:rPr>
          <w:rFonts w:eastAsia="仿宋"/>
          <w:sz w:val="24"/>
        </w:rPr>
      </w:pPr>
      <w:r>
        <w:rPr>
          <w:sz w:val="24"/>
        </w:rPr>
        <w:t>七、财政拨款“三公”经费支出决算情况说明</w:t>
      </w:r>
      <w:r>
        <w:ptab w:relativeTo="margin" w:alignment="right" w:leader="dot"/>
      </w:r>
      <w:r>
        <w:rPr>
          <w:rFonts w:hint="eastAsia"/>
        </w:rPr>
        <w:t>7</w:t>
      </w:r>
    </w:p>
    <w:p>
      <w:pPr>
        <w:pStyle w:val="14"/>
        <w:adjustRightInd w:val="0"/>
        <w:snapToGrid w:val="0"/>
        <w:spacing w:line="440" w:lineRule="exact"/>
        <w:jc w:val="left"/>
        <w:rPr>
          <w:rFonts w:eastAsia="仿宋"/>
          <w:sz w:val="24"/>
        </w:rPr>
      </w:pPr>
      <w:r>
        <w:rPr>
          <w:sz w:val="24"/>
        </w:rPr>
        <w:t>八、政府性基金预算支出决算情况说明</w:t>
      </w:r>
      <w:r>
        <w:ptab w:relativeTo="margin" w:alignment="right" w:leader="dot"/>
      </w:r>
      <w:r>
        <w:rPr>
          <w:rFonts w:hint="eastAsia"/>
        </w:rPr>
        <w:t>9</w:t>
      </w:r>
    </w:p>
    <w:p>
      <w:pPr>
        <w:pStyle w:val="14"/>
        <w:adjustRightInd w:val="0"/>
        <w:snapToGrid w:val="0"/>
        <w:spacing w:line="440" w:lineRule="exact"/>
        <w:ind w:leftChars="0"/>
        <w:jc w:val="left"/>
        <w:rPr>
          <w:rFonts w:eastAsiaTheme="minorEastAsia"/>
          <w:sz w:val="24"/>
        </w:rPr>
      </w:pPr>
      <w:r>
        <w:rPr>
          <w:rFonts w:eastAsiaTheme="minorEastAsia"/>
          <w:sz w:val="24"/>
        </w:rPr>
        <w:t>九、国有资本经营预算支出决算情况说明</w:t>
      </w:r>
      <w:r>
        <w:ptab w:relativeTo="margin" w:alignment="right" w:leader="dot"/>
      </w:r>
      <w:r>
        <w:rPr>
          <w:rFonts w:hint="eastAsia"/>
        </w:rPr>
        <w:t>9</w:t>
      </w:r>
    </w:p>
    <w:p>
      <w:pPr>
        <w:adjustRightInd w:val="0"/>
        <w:snapToGrid w:val="0"/>
        <w:spacing w:line="440" w:lineRule="exact"/>
        <w:ind w:firstLine="420" w:firstLineChars="175"/>
        <w:jc w:val="left"/>
        <w:rPr>
          <w:rFonts w:eastAsiaTheme="minorEastAsia"/>
          <w:sz w:val="24"/>
        </w:rPr>
      </w:pPr>
      <w:r>
        <w:rPr>
          <w:rStyle w:val="18"/>
          <w:rFonts w:eastAsiaTheme="minorEastAsia"/>
          <w:color w:val="auto"/>
          <w:sz w:val="24"/>
          <w:u w:val="none"/>
        </w:rPr>
        <w:t>十、</w:t>
      </w:r>
      <w:r>
        <w:rPr>
          <w:rFonts w:eastAsiaTheme="minorEastAsia"/>
          <w:sz w:val="24"/>
        </w:rPr>
        <w:t>其他重要事项的情况说明</w:t>
      </w:r>
      <w:r>
        <w:ptab w:relativeTo="margin" w:alignment="right" w:leader="dot"/>
      </w:r>
      <w:r>
        <w:rPr>
          <w:rFonts w:hint="eastAsia"/>
        </w:rPr>
        <w:t>9</w:t>
      </w:r>
    </w:p>
    <w:p>
      <w:pPr>
        <w:pStyle w:val="13"/>
        <w:adjustRightInd w:val="0"/>
        <w:snapToGrid w:val="0"/>
        <w:spacing w:before="0" w:line="440" w:lineRule="exact"/>
        <w:jc w:val="left"/>
        <w:rPr>
          <w:rFonts w:ascii="Times New Roman" w:hAnsi="Times New Roman"/>
          <w:sz w:val="24"/>
          <w:szCs w:val="24"/>
        </w:rPr>
      </w:pPr>
      <w:r>
        <w:rPr>
          <w:rFonts w:ascii="Times New Roman" w:hAnsi="Times New Roman"/>
          <w:sz w:val="24"/>
        </w:rPr>
        <w:t>第三部分名词解释</w:t>
      </w:r>
      <w:r>
        <w:rPr>
          <w:rFonts w:ascii="Times New Roman" w:hAnsi="Times New Roman"/>
        </w:rPr>
        <w:ptab w:relativeTo="margin" w:alignment="right" w:leader="dot"/>
      </w:r>
      <w:r>
        <w:rPr>
          <w:rFonts w:hint="eastAsia" w:ascii="Times New Roman" w:hAnsi="Times New Roman" w:eastAsia="宋体"/>
          <w:sz w:val="21"/>
          <w:szCs w:val="24"/>
        </w:rPr>
        <w:t>11</w:t>
      </w:r>
    </w:p>
    <w:p>
      <w:pPr>
        <w:pStyle w:val="13"/>
        <w:adjustRightInd w:val="0"/>
        <w:snapToGrid w:val="0"/>
        <w:spacing w:before="0" w:line="440" w:lineRule="exact"/>
        <w:jc w:val="left"/>
        <w:rPr>
          <w:rFonts w:ascii="Times New Roman" w:hAnsi="Times New Roman"/>
          <w:sz w:val="24"/>
          <w:szCs w:val="24"/>
        </w:rPr>
      </w:pPr>
      <w:r>
        <w:rPr>
          <w:rFonts w:ascii="Times New Roman" w:hAnsi="Times New Roman"/>
          <w:sz w:val="24"/>
        </w:rPr>
        <w:t>第四部分附件</w:t>
      </w:r>
      <w:r>
        <w:rPr>
          <w:rFonts w:ascii="Times New Roman" w:hAnsi="Times New Roman"/>
        </w:rPr>
        <w:ptab w:relativeTo="margin" w:alignment="right" w:leader="dot"/>
      </w:r>
      <w:r>
        <w:rPr>
          <w:rFonts w:hint="eastAsia" w:ascii="Times New Roman" w:hAnsi="Times New Roman" w:eastAsia="宋体"/>
          <w:sz w:val="21"/>
          <w:szCs w:val="24"/>
        </w:rPr>
        <w:t>15</w:t>
      </w:r>
    </w:p>
    <w:p>
      <w:pPr>
        <w:pStyle w:val="13"/>
        <w:adjustRightInd w:val="0"/>
        <w:snapToGrid w:val="0"/>
        <w:spacing w:before="0" w:line="440" w:lineRule="exact"/>
        <w:jc w:val="left"/>
        <w:rPr>
          <w:rFonts w:ascii="Times New Roman" w:hAnsi="Times New Roman"/>
          <w:sz w:val="24"/>
          <w:szCs w:val="24"/>
        </w:rPr>
      </w:pPr>
      <w:r>
        <w:rPr>
          <w:rFonts w:ascii="Times New Roman" w:hAnsi="Times New Roman"/>
          <w:sz w:val="24"/>
        </w:rPr>
        <w:t>第五部分附表</w:t>
      </w:r>
      <w:r>
        <w:rPr>
          <w:rFonts w:ascii="Times New Roman" w:hAnsi="Times New Roman"/>
        </w:rPr>
        <w:ptab w:relativeTo="margin" w:alignment="right" w:leader="dot"/>
      </w:r>
      <w:r>
        <w:rPr>
          <w:rFonts w:hint="eastAsia" w:ascii="Times New Roman" w:hAnsi="Times New Roman" w:eastAsia="宋体"/>
          <w:sz w:val="21"/>
          <w:szCs w:val="24"/>
          <w:lang w:val="en-US" w:eastAsia="zh-CN"/>
        </w:rPr>
        <w:t>30</w:t>
      </w:r>
    </w:p>
    <w:p>
      <w:pPr>
        <w:pStyle w:val="14"/>
        <w:adjustRightInd w:val="0"/>
        <w:snapToGrid w:val="0"/>
        <w:spacing w:line="440" w:lineRule="exact"/>
        <w:jc w:val="left"/>
        <w:rPr>
          <w:sz w:val="24"/>
        </w:rPr>
      </w:pPr>
      <w:r>
        <w:rPr>
          <w:sz w:val="24"/>
        </w:rPr>
        <w:t>一、收入支出决算总表</w:t>
      </w:r>
      <w:r>
        <w:ptab w:relativeTo="margin" w:alignment="right" w:leader="dot"/>
      </w:r>
      <w:r>
        <w:rPr>
          <w:rFonts w:hint="eastAsia"/>
        </w:rPr>
        <w:t>3</w:t>
      </w:r>
      <w:r>
        <w:rPr>
          <w:rFonts w:hint="eastAsia"/>
          <w:lang w:val="en-US" w:eastAsia="zh-CN"/>
        </w:rPr>
        <w:t>1</w:t>
      </w:r>
    </w:p>
    <w:p>
      <w:pPr>
        <w:pStyle w:val="14"/>
        <w:adjustRightInd w:val="0"/>
        <w:snapToGrid w:val="0"/>
        <w:spacing w:line="440" w:lineRule="exact"/>
        <w:jc w:val="left"/>
        <w:rPr>
          <w:sz w:val="24"/>
        </w:rPr>
      </w:pPr>
      <w:r>
        <w:rPr>
          <w:sz w:val="24"/>
        </w:rPr>
        <w:t>二、收入决算表</w:t>
      </w:r>
      <w:r>
        <w:ptab w:relativeTo="margin" w:alignment="right" w:leader="dot"/>
      </w:r>
      <w:r>
        <w:rPr>
          <w:rFonts w:hint="eastAsia"/>
        </w:rPr>
        <w:t>3</w:t>
      </w:r>
      <w:r>
        <w:rPr>
          <w:rFonts w:hint="eastAsia"/>
          <w:lang w:val="en-US" w:eastAsia="zh-CN"/>
        </w:rPr>
        <w:t>2</w:t>
      </w:r>
    </w:p>
    <w:p>
      <w:pPr>
        <w:pStyle w:val="14"/>
        <w:adjustRightInd w:val="0"/>
        <w:snapToGrid w:val="0"/>
        <w:spacing w:line="440" w:lineRule="exact"/>
        <w:jc w:val="left"/>
        <w:rPr>
          <w:sz w:val="24"/>
        </w:rPr>
      </w:pPr>
      <w:r>
        <w:rPr>
          <w:sz w:val="24"/>
        </w:rPr>
        <w:t>三、支出决算表</w:t>
      </w:r>
      <w:r>
        <w:ptab w:relativeTo="margin" w:alignment="right" w:leader="dot"/>
      </w:r>
      <w:r>
        <w:rPr>
          <w:rFonts w:hint="eastAsia"/>
        </w:rPr>
        <w:t>3</w:t>
      </w:r>
      <w:r>
        <w:rPr>
          <w:rFonts w:hint="eastAsia"/>
          <w:lang w:val="en-US" w:eastAsia="zh-CN"/>
        </w:rPr>
        <w:t>3</w:t>
      </w:r>
    </w:p>
    <w:p>
      <w:pPr>
        <w:pStyle w:val="14"/>
        <w:adjustRightInd w:val="0"/>
        <w:snapToGrid w:val="0"/>
        <w:spacing w:line="440" w:lineRule="exact"/>
        <w:jc w:val="left"/>
        <w:rPr>
          <w:sz w:val="24"/>
        </w:rPr>
      </w:pPr>
      <w:r>
        <w:rPr>
          <w:sz w:val="24"/>
        </w:rPr>
        <w:t>四、财政拨款收入支出决算总表</w:t>
      </w:r>
      <w:r>
        <w:ptab w:relativeTo="margin" w:alignment="right" w:leader="dot"/>
      </w:r>
      <w:r>
        <w:rPr>
          <w:rFonts w:hint="eastAsia"/>
        </w:rPr>
        <w:t>3</w:t>
      </w:r>
      <w:r>
        <w:rPr>
          <w:rFonts w:hint="eastAsia"/>
          <w:lang w:val="en-US" w:eastAsia="zh-CN"/>
        </w:rPr>
        <w:t>4</w:t>
      </w:r>
    </w:p>
    <w:p>
      <w:pPr>
        <w:pStyle w:val="14"/>
        <w:adjustRightInd w:val="0"/>
        <w:snapToGrid w:val="0"/>
        <w:spacing w:line="440" w:lineRule="exact"/>
        <w:jc w:val="left"/>
        <w:rPr>
          <w:sz w:val="24"/>
        </w:rPr>
      </w:pPr>
      <w:r>
        <w:rPr>
          <w:sz w:val="24"/>
        </w:rPr>
        <w:t>五、财政拨款支出决算明细表</w:t>
      </w:r>
      <w:r>
        <w:ptab w:relativeTo="margin" w:alignment="right" w:leader="dot"/>
      </w:r>
      <w:r>
        <w:rPr>
          <w:rFonts w:hint="eastAsia"/>
        </w:rPr>
        <w:t>3</w:t>
      </w:r>
      <w:r>
        <w:rPr>
          <w:rFonts w:hint="eastAsia"/>
          <w:lang w:val="en-US" w:eastAsia="zh-CN"/>
        </w:rPr>
        <w:t>5</w:t>
      </w:r>
    </w:p>
    <w:p>
      <w:pPr>
        <w:pStyle w:val="14"/>
        <w:adjustRightInd w:val="0"/>
        <w:snapToGrid w:val="0"/>
        <w:spacing w:line="440" w:lineRule="exact"/>
        <w:jc w:val="left"/>
        <w:rPr>
          <w:sz w:val="24"/>
        </w:rPr>
      </w:pPr>
      <w:r>
        <w:rPr>
          <w:sz w:val="24"/>
        </w:rPr>
        <w:t>六、一般公共预算财政拨款支出决算表</w:t>
      </w:r>
      <w:r>
        <w:ptab w:relativeTo="margin" w:alignment="right" w:leader="dot"/>
      </w:r>
      <w:r>
        <w:rPr>
          <w:rFonts w:hint="eastAsia"/>
        </w:rPr>
        <w:t>3</w:t>
      </w:r>
      <w:r>
        <w:rPr>
          <w:rFonts w:hint="eastAsia"/>
          <w:lang w:val="en-US" w:eastAsia="zh-CN"/>
        </w:rPr>
        <w:t>9</w:t>
      </w:r>
    </w:p>
    <w:p>
      <w:pPr>
        <w:pStyle w:val="14"/>
        <w:adjustRightInd w:val="0"/>
        <w:snapToGrid w:val="0"/>
        <w:spacing w:line="440" w:lineRule="exact"/>
        <w:jc w:val="left"/>
        <w:rPr>
          <w:sz w:val="24"/>
        </w:rPr>
      </w:pPr>
      <w:r>
        <w:rPr>
          <w:sz w:val="24"/>
        </w:rPr>
        <w:t>七、一般公共预算财政拨款支出决算明细表</w:t>
      </w:r>
      <w:r>
        <w:ptab w:relativeTo="margin" w:alignment="right" w:leader="dot"/>
      </w:r>
      <w:r>
        <w:rPr>
          <w:rFonts w:hint="eastAsia"/>
          <w:lang w:val="en-US" w:eastAsia="zh-CN"/>
        </w:rPr>
        <w:t>40</w:t>
      </w:r>
    </w:p>
    <w:p>
      <w:pPr>
        <w:pStyle w:val="14"/>
        <w:adjustRightInd w:val="0"/>
        <w:snapToGrid w:val="0"/>
        <w:spacing w:line="440" w:lineRule="exact"/>
        <w:jc w:val="left"/>
        <w:rPr>
          <w:sz w:val="24"/>
        </w:rPr>
      </w:pPr>
      <w:r>
        <w:rPr>
          <w:sz w:val="24"/>
        </w:rPr>
        <w:t>八、一般公共预算财政拨款基本支出决算明细表</w:t>
      </w:r>
      <w:r>
        <w:ptab w:relativeTo="margin" w:alignment="right" w:leader="dot"/>
      </w:r>
      <w:r>
        <w:rPr>
          <w:rFonts w:hint="eastAsia"/>
        </w:rPr>
        <w:t>5</w:t>
      </w:r>
      <w:r>
        <w:rPr>
          <w:rFonts w:hint="eastAsia"/>
          <w:lang w:val="en-US" w:eastAsia="zh-CN"/>
        </w:rPr>
        <w:t>6</w:t>
      </w:r>
    </w:p>
    <w:p>
      <w:pPr>
        <w:pStyle w:val="14"/>
        <w:adjustRightInd w:val="0"/>
        <w:snapToGrid w:val="0"/>
        <w:spacing w:line="440" w:lineRule="exact"/>
        <w:jc w:val="left"/>
        <w:rPr>
          <w:sz w:val="24"/>
        </w:rPr>
      </w:pPr>
      <w:r>
        <w:rPr>
          <w:sz w:val="24"/>
        </w:rPr>
        <w:t>九、一般公共预算财政拨款项目支出决算表</w:t>
      </w:r>
      <w:r>
        <w:ptab w:relativeTo="margin" w:alignment="right" w:leader="dot"/>
      </w:r>
      <w:r>
        <w:rPr>
          <w:rFonts w:hint="eastAsia"/>
        </w:rPr>
        <w:t>5</w:t>
      </w:r>
      <w:r>
        <w:rPr>
          <w:rFonts w:hint="eastAsia"/>
          <w:lang w:val="en-US" w:eastAsia="zh-CN"/>
        </w:rPr>
        <w:t>7</w:t>
      </w:r>
    </w:p>
    <w:p>
      <w:pPr>
        <w:pStyle w:val="14"/>
        <w:adjustRightInd w:val="0"/>
        <w:snapToGrid w:val="0"/>
        <w:spacing w:line="440" w:lineRule="exact"/>
        <w:jc w:val="left"/>
        <w:rPr>
          <w:sz w:val="24"/>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p>
    <w:p>
      <w:pPr>
        <w:pStyle w:val="14"/>
        <w:adjustRightInd w:val="0"/>
        <w:snapToGrid w:val="0"/>
        <w:spacing w:line="440" w:lineRule="exact"/>
        <w:jc w:val="left"/>
        <w:rPr>
          <w:sz w:val="24"/>
        </w:rPr>
      </w:pPr>
      <w:r>
        <w:rPr>
          <w:sz w:val="24"/>
        </w:rPr>
        <w:t>十、政府性基金预算财政拨款收入支出决算表</w:t>
      </w:r>
      <w:r>
        <w:ptab w:relativeTo="margin" w:alignment="right" w:leader="dot"/>
      </w:r>
      <w:r>
        <w:rPr>
          <w:rFonts w:hint="eastAsia"/>
        </w:rPr>
        <w:t>5</w:t>
      </w:r>
      <w:r>
        <w:rPr>
          <w:rFonts w:hint="eastAsia"/>
          <w:lang w:val="en-US" w:eastAsia="zh-CN"/>
        </w:rPr>
        <w:t>8</w:t>
      </w:r>
    </w:p>
    <w:p>
      <w:pPr>
        <w:pStyle w:val="14"/>
        <w:adjustRightInd w:val="0"/>
        <w:snapToGrid w:val="0"/>
        <w:spacing w:line="440" w:lineRule="exact"/>
        <w:jc w:val="left"/>
        <w:rPr>
          <w:sz w:val="24"/>
        </w:rPr>
      </w:pPr>
      <w:r>
        <w:rPr>
          <w:sz w:val="24"/>
        </w:rPr>
        <w:t>十一、国有资本经营预算财政拨款收入支出决算表</w:t>
      </w:r>
      <w:r>
        <w:ptab w:relativeTo="margin" w:alignment="right" w:leader="dot"/>
      </w:r>
      <w:r>
        <w:rPr>
          <w:rFonts w:hint="eastAsia"/>
        </w:rPr>
        <w:t>5</w:t>
      </w:r>
      <w:r>
        <w:rPr>
          <w:rFonts w:hint="eastAsia"/>
          <w:lang w:val="en-US" w:eastAsia="zh-CN"/>
        </w:rPr>
        <w:t>9</w:t>
      </w:r>
    </w:p>
    <w:p>
      <w:pPr>
        <w:pStyle w:val="14"/>
        <w:adjustRightInd w:val="0"/>
        <w:snapToGrid w:val="0"/>
        <w:spacing w:line="440" w:lineRule="exact"/>
        <w:jc w:val="left"/>
        <w:rPr>
          <w:sz w:val="24"/>
        </w:rPr>
      </w:pPr>
      <w:r>
        <w:rPr>
          <w:sz w:val="24"/>
        </w:rPr>
        <w:t>十二、国有资本经营预算财政拨款支出决算表</w:t>
      </w:r>
      <w:r>
        <w:ptab w:relativeTo="margin" w:alignment="right" w:leader="dot"/>
      </w:r>
      <w:r>
        <w:rPr>
          <w:rFonts w:hint="eastAsia"/>
          <w:lang w:val="en-US" w:eastAsia="zh-CN"/>
        </w:rPr>
        <w:t>60</w:t>
      </w:r>
    </w:p>
    <w:p>
      <w:pPr>
        <w:pStyle w:val="14"/>
        <w:adjustRightInd w:val="0"/>
        <w:snapToGrid w:val="0"/>
        <w:spacing w:line="440" w:lineRule="exact"/>
        <w:jc w:val="left"/>
        <w:rPr>
          <w:rFonts w:eastAsiaTheme="minorEastAsia"/>
          <w:sz w:val="24"/>
        </w:rPr>
      </w:pPr>
      <w:r>
        <w:rPr>
          <w:sz w:val="24"/>
        </w:rPr>
        <w:t>十三、财政拨款“三公”经费支出决算表</w:t>
      </w:r>
      <w:r>
        <w:ptab w:relativeTo="margin" w:alignment="right" w:leader="dot"/>
      </w:r>
      <w:r>
        <w:rPr>
          <w:rFonts w:hint="eastAsia"/>
        </w:rPr>
        <w:t>6</w:t>
      </w:r>
      <w:r>
        <w:rPr>
          <w:rFonts w:hint="eastAsia"/>
          <w:lang w:val="en-US" w:eastAsia="zh-CN"/>
        </w:rPr>
        <w:t>1</w:t>
      </w:r>
      <w:bookmarkStart w:id="64" w:name="_GoBack"/>
      <w:bookmarkEnd w:id="64"/>
    </w:p>
    <w:p>
      <w:pPr>
        <w:pStyle w:val="3"/>
        <w:jc w:val="center"/>
        <w:rPr>
          <w:rFonts w:eastAsia="黑体"/>
          <w:b w:val="0"/>
        </w:rPr>
        <w:sectPr>
          <w:footerReference r:id="rId7" w:type="default"/>
          <w:pgSz w:w="11906" w:h="16838"/>
          <w:pgMar w:top="1440" w:right="1800" w:bottom="1440" w:left="1800" w:header="851" w:footer="992" w:gutter="0"/>
          <w:pgNumType w:start="2"/>
          <w:cols w:space="425" w:num="1"/>
          <w:docGrid w:type="lines" w:linePitch="312" w:charSpace="0"/>
        </w:sectPr>
      </w:pPr>
      <w:bookmarkStart w:id="12" w:name="_Toc15377204"/>
      <w:bookmarkStart w:id="13" w:name="_Toc15396602"/>
    </w:p>
    <w:p>
      <w:pPr>
        <w:pStyle w:val="3"/>
        <w:jc w:val="center"/>
        <w:rPr>
          <w:rStyle w:val="29"/>
          <w:rFonts w:eastAsia="黑体"/>
          <w:b/>
          <w:bCs w:val="0"/>
        </w:rPr>
      </w:pPr>
      <w:r>
        <w:rPr>
          <w:rFonts w:eastAsia="黑体"/>
          <w:b w:val="0"/>
        </w:rPr>
        <w:t xml:space="preserve">第一部分 </w:t>
      </w:r>
      <w:r>
        <w:rPr>
          <w:rStyle w:val="29"/>
          <w:rFonts w:eastAsia="黑体"/>
          <w:b w:val="0"/>
          <w:bCs w:val="0"/>
        </w:rPr>
        <w:t>部门概况</w:t>
      </w:r>
    </w:p>
    <w:p>
      <w:pPr>
        <w:spacing w:line="580" w:lineRule="exact"/>
        <w:ind w:firstLine="663"/>
        <w:rPr>
          <w:rFonts w:ascii="黑体" w:hAnsi="黑体" w:eastAsia="黑体" w:cs="黑体"/>
          <w:sz w:val="32"/>
          <w:szCs w:val="32"/>
        </w:rPr>
      </w:pPr>
      <w:r>
        <w:rPr>
          <w:rFonts w:hint="eastAsia" w:ascii="黑体" w:hAnsi="黑体" w:eastAsia="黑体" w:cs="黑体"/>
        </w:rPr>
        <w:t>　　</w:t>
      </w:r>
      <w:r>
        <w:rPr>
          <w:rFonts w:hint="eastAsia" w:ascii="黑体" w:hAnsi="黑体" w:eastAsia="黑体" w:cs="黑体"/>
          <w:sz w:val="32"/>
          <w:szCs w:val="32"/>
        </w:rPr>
        <w:t>一、部门职责</w:t>
      </w:r>
    </w:p>
    <w:p>
      <w:pPr>
        <w:spacing w:line="580" w:lineRule="exact"/>
        <w:ind w:firstLine="663"/>
        <w:rPr>
          <w:rFonts w:eastAsia="仿宋_GB2312"/>
          <w:sz w:val="32"/>
          <w:szCs w:val="32"/>
        </w:rPr>
      </w:pPr>
      <w:r>
        <w:rPr>
          <w:rFonts w:hint="eastAsia" w:ascii="方正楷体_GBK" w:hAnsi="方正楷体_GBK" w:eastAsia="方正楷体_GBK" w:cs="方正楷体_GBK"/>
          <w:sz w:val="32"/>
          <w:szCs w:val="32"/>
        </w:rPr>
        <w:t>（一）主要职能</w:t>
      </w:r>
    </w:p>
    <w:p>
      <w:pPr>
        <w:spacing w:line="580" w:lineRule="exact"/>
        <w:ind w:firstLine="663"/>
        <w:rPr>
          <w:rFonts w:eastAsia="仿宋_GB2312"/>
          <w:sz w:val="32"/>
          <w:szCs w:val="32"/>
        </w:rPr>
      </w:pPr>
      <w:r>
        <w:rPr>
          <w:rFonts w:eastAsia="仿宋_GB2312"/>
          <w:sz w:val="32"/>
          <w:szCs w:val="32"/>
        </w:rPr>
        <w:t>中共盐边县纪委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pPr>
        <w:spacing w:line="580" w:lineRule="exact"/>
        <w:ind w:firstLine="663"/>
        <w:rPr>
          <w:rFonts w:ascii="方正楷体_GBK" w:hAnsi="方正楷体_GBK" w:eastAsia="方正楷体_GBK" w:cs="方正楷体_GBK"/>
          <w:sz w:val="32"/>
          <w:szCs w:val="32"/>
        </w:rPr>
      </w:pPr>
      <w:r>
        <w:rPr>
          <w:rFonts w:ascii="方正楷体_GBK" w:hAnsi="方正楷体_GBK" w:eastAsia="方正楷体_GBK" w:cs="方正楷体_GBK"/>
          <w:sz w:val="32"/>
          <w:szCs w:val="32"/>
        </w:rPr>
        <w:t>（二）2022年重点工作完成情况</w:t>
      </w:r>
    </w:p>
    <w:p>
      <w:pPr>
        <w:spacing w:line="580" w:lineRule="exact"/>
        <w:ind w:firstLine="663"/>
        <w:rPr>
          <w:rFonts w:ascii="方正楷体_GBK" w:hAnsi="方正楷体_GBK" w:eastAsia="方正楷体_GBK" w:cs="方正楷体_GBK"/>
          <w:sz w:val="32"/>
          <w:szCs w:val="32"/>
        </w:rPr>
      </w:pPr>
      <w:r>
        <w:rPr>
          <w:rFonts w:eastAsia="仿宋_GB2312"/>
          <w:sz w:val="32"/>
          <w:szCs w:val="32"/>
        </w:rPr>
        <w:t>1．着力保障执行、服务发展，常态化开展政治监督；2.着力系统施治、标本兼治，“三不”一体推进同向发力；3. 着力管出习惯、化风成俗，持之以恒纠“四风”树新风；4. 着力贯通监督、融入治理，全面提升监督治理效能；5. 着力察改并重、震慑常在，充分发挥巡察利剑作用；6. 着力系统集成、协同高效，深化纪检监察体制改革；7. 着力政治引领、提升能力，从严从实锻造忠诚卫士。</w:t>
      </w:r>
    </w:p>
    <w:p>
      <w:pPr>
        <w:spacing w:line="580" w:lineRule="exact"/>
        <w:ind w:firstLine="663"/>
        <w:rPr>
          <w:rFonts w:ascii="黑体" w:hAnsi="黑体" w:eastAsia="黑体" w:cs="黑体"/>
          <w:sz w:val="32"/>
          <w:szCs w:val="32"/>
        </w:rPr>
      </w:pPr>
      <w:bookmarkStart w:id="14" w:name="_Toc15377200"/>
      <w:bookmarkStart w:id="15" w:name="_Toc15396601"/>
      <w:r>
        <w:rPr>
          <w:rFonts w:hint="eastAsia" w:ascii="黑体" w:hAnsi="黑体" w:eastAsia="黑体" w:cs="黑体"/>
          <w:sz w:val="32"/>
          <w:szCs w:val="32"/>
        </w:rPr>
        <w:t>二</w:t>
      </w:r>
      <w:r>
        <w:rPr>
          <w:rFonts w:ascii="黑体" w:hAnsi="黑体" w:eastAsia="黑体" w:cs="黑体"/>
          <w:sz w:val="32"/>
          <w:szCs w:val="32"/>
        </w:rPr>
        <w:t>、机构设置</w:t>
      </w:r>
      <w:bookmarkEnd w:id="14"/>
      <w:bookmarkEnd w:id="15"/>
    </w:p>
    <w:p>
      <w:pPr>
        <w:spacing w:line="580" w:lineRule="exact"/>
        <w:ind w:firstLine="663"/>
        <w:rPr>
          <w:rFonts w:eastAsia="仿宋_GB2312"/>
          <w:sz w:val="32"/>
          <w:szCs w:val="32"/>
        </w:rPr>
      </w:pPr>
      <w:r>
        <w:rPr>
          <w:rFonts w:eastAsia="仿宋_GB2312"/>
          <w:bCs/>
          <w:sz w:val="32"/>
          <w:szCs w:val="32"/>
        </w:rPr>
        <w:t>按照决算管理有关规定，部门决算编报内容包括本级和所属预算单位的全部收支情况。县纪委监委机关下属二级预算单位</w:t>
      </w:r>
      <w:r>
        <w:rPr>
          <w:rFonts w:hint="eastAsia" w:eastAsia="仿宋_GB2312"/>
          <w:sz w:val="32"/>
          <w:szCs w:val="32"/>
          <w:lang w:val="en-US" w:eastAsia="zh-CN"/>
        </w:rPr>
        <w:t>0</w:t>
      </w:r>
      <w:r>
        <w:rPr>
          <w:rFonts w:eastAsia="仿宋_GB2312"/>
          <w:sz w:val="32"/>
          <w:szCs w:val="32"/>
        </w:rPr>
        <w:t>个，</w:t>
      </w:r>
      <w:r>
        <w:rPr>
          <w:rFonts w:hint="eastAsia" w:eastAsia="仿宋_GB2312"/>
          <w:sz w:val="32"/>
          <w:szCs w:val="32"/>
        </w:rPr>
        <w:t>其中行政单位</w:t>
      </w:r>
      <w:r>
        <w:rPr>
          <w:rFonts w:hint="eastAsia" w:eastAsia="仿宋_GB2312"/>
          <w:sz w:val="32"/>
          <w:szCs w:val="32"/>
          <w:lang w:val="en-US" w:eastAsia="zh-CN"/>
        </w:rPr>
        <w:t>0</w:t>
      </w:r>
      <w:r>
        <w:rPr>
          <w:rFonts w:hint="eastAsia" w:eastAsia="仿宋_GB2312"/>
          <w:sz w:val="32"/>
          <w:szCs w:val="32"/>
        </w:rPr>
        <w:t>个，参照公务员法管理的事业单位</w:t>
      </w:r>
      <w:r>
        <w:rPr>
          <w:rFonts w:hint="eastAsia" w:eastAsia="仿宋_GB2312"/>
          <w:sz w:val="32"/>
          <w:szCs w:val="32"/>
          <w:lang w:val="en-US" w:eastAsia="zh-CN"/>
        </w:rPr>
        <w:t>0</w:t>
      </w:r>
      <w:r>
        <w:rPr>
          <w:rFonts w:hint="eastAsia" w:eastAsia="仿宋_GB2312"/>
          <w:sz w:val="32"/>
          <w:szCs w:val="32"/>
        </w:rPr>
        <w:t>个，其他事业单位</w:t>
      </w:r>
      <w:r>
        <w:rPr>
          <w:rFonts w:hint="eastAsia" w:eastAsia="仿宋_GB2312"/>
          <w:sz w:val="32"/>
          <w:szCs w:val="32"/>
          <w:lang w:val="en-US" w:eastAsia="zh-CN"/>
        </w:rPr>
        <w:t>0</w:t>
      </w:r>
      <w:r>
        <w:rPr>
          <w:rFonts w:hint="eastAsia" w:eastAsia="仿宋_GB2312"/>
          <w:sz w:val="32"/>
          <w:szCs w:val="32"/>
        </w:rPr>
        <w:t>个。</w:t>
      </w:r>
    </w:p>
    <w:p/>
    <w:p>
      <w:pPr>
        <w:pStyle w:val="3"/>
        <w:ind w:right="440"/>
        <w:jc w:val="center"/>
        <w:rPr>
          <w:rStyle w:val="29"/>
          <w:rFonts w:eastAsia="黑体"/>
          <w:b w:val="0"/>
          <w:bCs/>
        </w:rPr>
      </w:pPr>
      <w:r>
        <w:rPr>
          <w:rFonts w:eastAsia="黑体"/>
          <w:b w:val="0"/>
        </w:rPr>
        <w:t>第二部分 2022年度</w:t>
      </w:r>
      <w:r>
        <w:rPr>
          <w:rStyle w:val="29"/>
          <w:rFonts w:eastAsia="黑体"/>
          <w:b w:val="0"/>
          <w:bCs/>
        </w:rPr>
        <w:t>部门决算情况说明</w:t>
      </w:r>
      <w:bookmarkEnd w:id="12"/>
      <w:bookmarkEnd w:id="13"/>
    </w:p>
    <w:p/>
    <w:p>
      <w:pPr>
        <w:pStyle w:val="28"/>
        <w:numPr>
          <w:ilvl w:val="0"/>
          <w:numId w:val="1"/>
        </w:numPr>
        <w:spacing w:line="600" w:lineRule="exact"/>
        <w:ind w:firstLineChars="0"/>
        <w:outlineLvl w:val="1"/>
        <w:rPr>
          <w:rStyle w:val="30"/>
          <w:rFonts w:ascii="Times New Roman" w:hAnsi="Times New Roman" w:eastAsia="黑体" w:cs="Times New Roman"/>
          <w:b w:val="0"/>
        </w:rPr>
      </w:pPr>
      <w:bookmarkStart w:id="16" w:name="_Toc15377205"/>
      <w:bookmarkStart w:id="17" w:name="_Toc15396603"/>
      <w:r>
        <w:rPr>
          <w:rFonts w:eastAsia="黑体"/>
          <w:sz w:val="32"/>
          <w:szCs w:val="32"/>
        </w:rPr>
        <w:t>收</w:t>
      </w:r>
      <w:r>
        <w:rPr>
          <w:rStyle w:val="30"/>
          <w:rFonts w:ascii="Times New Roman" w:hAnsi="Times New Roman" w:eastAsia="黑体" w:cs="Times New Roman"/>
          <w:b w:val="0"/>
        </w:rPr>
        <w:t>入支出决算总体情况说明</w:t>
      </w:r>
      <w:bookmarkEnd w:id="16"/>
      <w:bookmarkEnd w:id="17"/>
    </w:p>
    <w:p>
      <w:pPr>
        <w:spacing w:line="580" w:lineRule="exact"/>
        <w:ind w:firstLine="663"/>
        <w:rPr>
          <w:rFonts w:eastAsia="仿宋_GB2312"/>
          <w:bCs/>
          <w:sz w:val="32"/>
          <w:szCs w:val="32"/>
        </w:rPr>
      </w:pPr>
      <w:r>
        <w:rPr>
          <w:rFonts w:eastAsia="仿宋_GB2312"/>
          <w:bCs/>
          <w:sz w:val="32"/>
          <w:szCs w:val="32"/>
        </w:rPr>
        <w:t>2022年度收、支总计1877.32万元。与2021年相比，收、支总计各增加348.71万元，增长22.81%。主要变动原因是2022年一般公共预算财政拨款收入增加。</w:t>
      </w:r>
    </w:p>
    <w:p>
      <w:pPr>
        <w:spacing w:line="580" w:lineRule="exact"/>
        <w:ind w:firstLine="663"/>
        <w:rPr>
          <w:rFonts w:eastAsia="仿宋_GB2312"/>
          <w:bCs/>
          <w:sz w:val="32"/>
          <w:szCs w:val="32"/>
        </w:rPr>
      </w:pPr>
      <w:r>
        <w:rPr>
          <w:rFonts w:hint="eastAsia" w:eastAsia="仿宋_GB2312"/>
          <w:bCs/>
          <w:sz w:val="32"/>
          <w:szCs w:val="32"/>
          <w:lang w:val="en-US" w:eastAsia="zh-CN"/>
        </w:rPr>
        <w:t xml:space="preserve">    </w:t>
      </w:r>
      <w:r>
        <w:rPr>
          <w:rFonts w:eastAsia="仿宋_GB2312"/>
          <w:bCs/>
          <w:sz w:val="32"/>
          <w:szCs w:val="32"/>
        </w:rPr>
        <w:t>（图1：收、支决算总计变动情况图）</w:t>
      </w:r>
    </w:p>
    <w:p>
      <w:pPr>
        <w:pStyle w:val="2"/>
        <w:spacing w:before="93"/>
        <w:rPr>
          <w:rFonts w:ascii="Times New Roman" w:eastAsia="仿宋"/>
          <w:sz w:val="32"/>
          <w:szCs w:val="32"/>
        </w:rPr>
      </w:pPr>
      <w:r>
        <w:rPr>
          <w:rFonts w:ascii="Times New Roman" w:eastAsia="仿宋"/>
          <w:sz w:val="32"/>
          <w:szCs w:val="32"/>
        </w:rPr>
        <w:drawing>
          <wp:anchor distT="0" distB="0" distL="114300" distR="114300" simplePos="0" relativeHeight="251659264" behindDoc="1" locked="0" layoutInCell="1" allowOverlap="1">
            <wp:simplePos x="0" y="0"/>
            <wp:positionH relativeFrom="column">
              <wp:posOffset>189230</wp:posOffset>
            </wp:positionH>
            <wp:positionV relativeFrom="paragraph">
              <wp:posOffset>149860</wp:posOffset>
            </wp:positionV>
            <wp:extent cx="4826635" cy="1804670"/>
            <wp:effectExtent l="4445" t="5080" r="10795" b="15875"/>
            <wp:wrapTight wrapText="bothSides">
              <wp:wrapPolygon>
                <wp:start x="-20" y="-61"/>
                <wp:lineTo x="-20" y="21410"/>
                <wp:lineTo x="21506" y="21410"/>
                <wp:lineTo x="21506" y="-61"/>
                <wp:lineTo x="-20" y="-61"/>
              </wp:wrapPolygon>
            </wp:wrapTight>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2"/>
        <w:spacing w:before="93"/>
        <w:rPr>
          <w:rFonts w:ascii="Times New Roman" w:eastAsia="仿宋"/>
          <w:sz w:val="32"/>
          <w:szCs w:val="32"/>
        </w:rPr>
      </w:pPr>
    </w:p>
    <w:p>
      <w:pPr>
        <w:pStyle w:val="2"/>
        <w:spacing w:before="93"/>
        <w:rPr>
          <w:rFonts w:ascii="Times New Roman" w:eastAsia="仿宋"/>
          <w:sz w:val="32"/>
          <w:szCs w:val="32"/>
        </w:rPr>
      </w:pPr>
    </w:p>
    <w:p>
      <w:pPr>
        <w:pStyle w:val="2"/>
        <w:spacing w:before="93"/>
        <w:rPr>
          <w:rFonts w:ascii="Times New Roman" w:eastAsia="仿宋"/>
          <w:sz w:val="32"/>
          <w:szCs w:val="32"/>
        </w:rPr>
      </w:pPr>
    </w:p>
    <w:p>
      <w:pPr>
        <w:pStyle w:val="2"/>
        <w:spacing w:before="93"/>
        <w:rPr>
          <w:rFonts w:ascii="Times New Roman" w:eastAsia="仿宋"/>
          <w:sz w:val="32"/>
          <w:szCs w:val="32"/>
        </w:rPr>
      </w:pPr>
    </w:p>
    <w:p>
      <w:pPr>
        <w:pStyle w:val="28"/>
        <w:numPr>
          <w:ilvl w:val="0"/>
          <w:numId w:val="1"/>
        </w:numPr>
        <w:spacing w:line="600" w:lineRule="exact"/>
        <w:ind w:firstLineChars="0"/>
        <w:outlineLvl w:val="1"/>
        <w:rPr>
          <w:rStyle w:val="30"/>
          <w:rFonts w:ascii="Times New Roman" w:hAnsi="Times New Roman" w:eastAsia="黑体" w:cs="Times New Roman"/>
          <w:b w:val="0"/>
        </w:rPr>
      </w:pPr>
      <w:bookmarkStart w:id="18" w:name="_Toc15396604"/>
      <w:bookmarkStart w:id="19" w:name="_Toc15377206"/>
      <w:r>
        <w:rPr>
          <w:rFonts w:eastAsia="黑体"/>
          <w:sz w:val="32"/>
          <w:szCs w:val="32"/>
        </w:rPr>
        <w:t>收</w:t>
      </w:r>
      <w:r>
        <w:rPr>
          <w:rStyle w:val="30"/>
          <w:rFonts w:ascii="Times New Roman" w:hAnsi="Times New Roman" w:eastAsia="黑体" w:cs="Times New Roman"/>
          <w:b w:val="0"/>
        </w:rPr>
        <w:t>入决算情况说明</w:t>
      </w:r>
      <w:bookmarkEnd w:id="18"/>
      <w:bookmarkEnd w:id="19"/>
    </w:p>
    <w:p>
      <w:pPr>
        <w:spacing w:line="580" w:lineRule="exact"/>
        <w:ind w:firstLine="663"/>
        <w:rPr>
          <w:rFonts w:eastAsia="仿宋_GB2312"/>
          <w:bCs/>
          <w:sz w:val="32"/>
          <w:szCs w:val="32"/>
        </w:rPr>
      </w:pPr>
      <w:r>
        <w:rPr>
          <w:rFonts w:eastAsia="仿宋_GB2312"/>
          <w:bCs/>
          <w:sz w:val="32"/>
          <w:szCs w:val="32"/>
        </w:rPr>
        <w:t>2022年本年收入合计1495.48万元，其中：一般公共预算财政拨款收入1495.48万元，占100%；政府性基金预算财政拨款收入0万元，占0%；国有资本经营预算财政拨款收入0万元，占0%；上级补助收入0万元，占0%；事业收入0万元，占0%；经营收入0万元，占0%；附属单位上缴收入0万元，占0%；其他收入0万元，占0%。</w:t>
      </w:r>
    </w:p>
    <w:p>
      <w:pPr>
        <w:spacing w:line="580" w:lineRule="exact"/>
        <w:ind w:firstLine="663"/>
        <w:rPr>
          <w:rFonts w:eastAsia="仿宋_GB2312"/>
          <w:bCs/>
          <w:sz w:val="32"/>
          <w:szCs w:val="32"/>
        </w:rPr>
      </w:pPr>
    </w:p>
    <w:p>
      <w:pPr>
        <w:spacing w:line="580" w:lineRule="exact"/>
        <w:ind w:firstLine="663"/>
        <w:rPr>
          <w:rFonts w:eastAsia="仿宋_GB2312"/>
          <w:bCs/>
          <w:sz w:val="32"/>
          <w:szCs w:val="32"/>
        </w:rPr>
      </w:pPr>
    </w:p>
    <w:p>
      <w:pPr>
        <w:spacing w:line="580" w:lineRule="exact"/>
        <w:ind w:firstLine="663"/>
        <w:rPr>
          <w:rFonts w:eastAsia="仿宋_GB2312"/>
          <w:bCs/>
          <w:sz w:val="32"/>
          <w:szCs w:val="32"/>
        </w:rPr>
      </w:pPr>
    </w:p>
    <w:p>
      <w:pPr>
        <w:spacing w:line="580" w:lineRule="exact"/>
        <w:ind w:firstLine="663"/>
        <w:jc w:val="center"/>
        <w:rPr>
          <w:rFonts w:eastAsia="仿宋_GB2312"/>
          <w:bCs/>
          <w:sz w:val="32"/>
          <w:szCs w:val="32"/>
        </w:rPr>
      </w:pPr>
      <w:r>
        <w:rPr>
          <w:rFonts w:eastAsia="仿宋_GB2312"/>
          <w:bCs/>
          <w:sz w:val="32"/>
          <w:szCs w:val="32"/>
        </w:rPr>
        <w:t>（图2：收入决算结构图）</w:t>
      </w:r>
    </w:p>
    <w:p>
      <w:pPr>
        <w:pStyle w:val="2"/>
        <w:spacing w:before="93"/>
        <w:rPr>
          <w:rFonts w:ascii="Times New Roman" w:eastAsia="黑体"/>
          <w:kern w:val="2"/>
          <w:sz w:val="32"/>
          <w:szCs w:val="32"/>
        </w:rPr>
      </w:pPr>
      <w:r>
        <w:rPr>
          <w:rFonts w:ascii="Times New Roman" w:eastAsia="仿宋"/>
          <w:sz w:val="32"/>
          <w:szCs w:val="32"/>
        </w:rPr>
        <w:drawing>
          <wp:anchor distT="0" distB="0" distL="114300" distR="114300" simplePos="0" relativeHeight="251662336" behindDoc="1" locked="0" layoutInCell="1" allowOverlap="1">
            <wp:simplePos x="0" y="0"/>
            <wp:positionH relativeFrom="column">
              <wp:posOffset>213360</wp:posOffset>
            </wp:positionH>
            <wp:positionV relativeFrom="paragraph">
              <wp:posOffset>21590</wp:posOffset>
            </wp:positionV>
            <wp:extent cx="5080000" cy="1967230"/>
            <wp:effectExtent l="4445" t="4445" r="11430" b="44450"/>
            <wp:wrapTight wrapText="bothSides">
              <wp:wrapPolygon>
                <wp:start x="-19" y="-49"/>
                <wp:lineTo x="-19" y="21391"/>
                <wp:lineTo x="21514" y="21391"/>
                <wp:lineTo x="21514" y="-49"/>
                <wp:lineTo x="-19" y="-49"/>
              </wp:wrapPolygon>
            </wp:wrapTight>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Times New Roman" w:eastAsia="黑体"/>
          <w:kern w:val="2"/>
          <w:sz w:val="32"/>
          <w:szCs w:val="32"/>
        </w:rPr>
        <w:t>　　</w:t>
      </w:r>
      <w:r>
        <w:rPr>
          <w:rFonts w:ascii="Times New Roman" w:eastAsia="黑体"/>
          <w:kern w:val="2"/>
          <w:sz w:val="32"/>
          <w:szCs w:val="32"/>
        </w:rPr>
        <w:t>三、</w:t>
      </w:r>
      <w:bookmarkStart w:id="20" w:name="_Toc15396605"/>
      <w:bookmarkStart w:id="21" w:name="_Toc15377207"/>
      <w:r>
        <w:rPr>
          <w:rFonts w:ascii="Times New Roman" w:eastAsia="黑体"/>
          <w:kern w:val="2"/>
          <w:sz w:val="32"/>
          <w:szCs w:val="32"/>
        </w:rPr>
        <w:t>支出决算情况说明</w:t>
      </w:r>
      <w:bookmarkEnd w:id="20"/>
      <w:bookmarkEnd w:id="21"/>
    </w:p>
    <w:p>
      <w:pPr>
        <w:spacing w:line="580" w:lineRule="exact"/>
        <w:ind w:firstLine="663"/>
        <w:rPr>
          <w:rFonts w:eastAsia="仿宋_GB2312"/>
          <w:bCs/>
          <w:sz w:val="32"/>
          <w:szCs w:val="32"/>
        </w:rPr>
      </w:pPr>
      <w:r>
        <w:rPr>
          <w:rFonts w:eastAsia="仿宋_GB2312"/>
          <w:bCs/>
          <w:sz w:val="32"/>
          <w:szCs w:val="32"/>
        </w:rPr>
        <w:t>2022年本年支出合计1877.32万元，其中：基本支出1023.10万元，占54.50%；项目支出854.22万元，占45.50%；上缴上级支出0万元，占0%；经营支出0万元，占0%；对附属单位补助支出0万元，占0%。</w:t>
      </w:r>
    </w:p>
    <w:p>
      <w:pPr>
        <w:spacing w:line="580" w:lineRule="exact"/>
        <w:ind w:firstLine="663"/>
        <w:jc w:val="center"/>
        <w:rPr>
          <w:rFonts w:eastAsia="仿宋_GB2312"/>
          <w:bCs/>
          <w:sz w:val="32"/>
          <w:szCs w:val="32"/>
        </w:rPr>
      </w:pPr>
      <w:r>
        <w:rPr>
          <w:rFonts w:eastAsia="仿宋_GB2312"/>
          <w:bCs/>
          <w:sz w:val="32"/>
          <w:szCs w:val="32"/>
        </w:rPr>
        <w:t>（图3：支出决算结构图）</w:t>
      </w:r>
    </w:p>
    <w:p>
      <w:pPr>
        <w:pStyle w:val="2"/>
        <w:spacing w:before="93"/>
        <w:rPr>
          <w:rStyle w:val="30"/>
          <w:rFonts w:ascii="Times New Roman" w:hAnsi="Times New Roman" w:eastAsia="黑体" w:cs="Times New Roman"/>
          <w:b w:val="0"/>
        </w:rPr>
      </w:pPr>
      <w:r>
        <w:rPr>
          <w:rFonts w:ascii="Times New Roman" w:eastAsia="仿宋"/>
          <w:sz w:val="32"/>
          <w:szCs w:val="32"/>
        </w:rPr>
        <w:drawing>
          <wp:anchor distT="0" distB="0" distL="114300" distR="114300" simplePos="0" relativeHeight="251666432" behindDoc="1" locked="0" layoutInCell="1" allowOverlap="1">
            <wp:simplePos x="0" y="0"/>
            <wp:positionH relativeFrom="column">
              <wp:posOffset>6350</wp:posOffset>
            </wp:positionH>
            <wp:positionV relativeFrom="paragraph">
              <wp:posOffset>221615</wp:posOffset>
            </wp:positionV>
            <wp:extent cx="5080000" cy="1944370"/>
            <wp:effectExtent l="4445" t="4445" r="11430" b="19685"/>
            <wp:wrapTight wrapText="bothSides">
              <wp:wrapPolygon>
                <wp:start x="-19" y="-49"/>
                <wp:lineTo x="-19" y="21466"/>
                <wp:lineTo x="21514" y="21466"/>
                <wp:lineTo x="21514" y="-49"/>
                <wp:lineTo x="-19" y="-49"/>
              </wp:wrapPolygon>
            </wp:wrapTight>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22" w:name="_Toc15396606"/>
      <w:bookmarkStart w:id="23" w:name="_Toc15377208"/>
      <w:r>
        <w:rPr>
          <w:rFonts w:hint="eastAsia" w:ascii="Times New Roman" w:eastAsia="黑体"/>
          <w:sz w:val="32"/>
          <w:szCs w:val="32"/>
        </w:rPr>
        <w:t>　　</w:t>
      </w:r>
      <w:r>
        <w:rPr>
          <w:rFonts w:ascii="Times New Roman" w:eastAsia="黑体"/>
          <w:sz w:val="32"/>
          <w:szCs w:val="32"/>
        </w:rPr>
        <w:t>四、财</w:t>
      </w:r>
      <w:r>
        <w:rPr>
          <w:rStyle w:val="30"/>
          <w:rFonts w:ascii="Times New Roman" w:hAnsi="Times New Roman" w:eastAsia="黑体" w:cs="Times New Roman"/>
          <w:b w:val="0"/>
        </w:rPr>
        <w:t>政拨款收入支出决算总体情况说明</w:t>
      </w:r>
      <w:bookmarkEnd w:id="22"/>
      <w:bookmarkEnd w:id="23"/>
    </w:p>
    <w:p>
      <w:pPr>
        <w:spacing w:line="580" w:lineRule="exact"/>
        <w:ind w:firstLine="663"/>
        <w:rPr>
          <w:rFonts w:eastAsia="仿宋_GB2312"/>
          <w:bCs/>
          <w:sz w:val="32"/>
          <w:szCs w:val="32"/>
        </w:rPr>
      </w:pPr>
      <w:r>
        <w:rPr>
          <w:rFonts w:eastAsia="仿宋_GB2312"/>
          <w:bCs/>
          <w:sz w:val="32"/>
          <w:szCs w:val="32"/>
        </w:rPr>
        <w:t>2022年财政拨款收、支总计1877.32万元。与2021年相比，财政拨款收、支总计各增加348.71万元，增长22.81%。主要变动原因是一般公共预算财政拨款收入增加。</w:t>
      </w:r>
    </w:p>
    <w:p>
      <w:pPr>
        <w:spacing w:line="580" w:lineRule="exact"/>
        <w:ind w:firstLine="663"/>
        <w:jc w:val="center"/>
        <w:rPr>
          <w:rFonts w:eastAsia="仿宋_GB2312"/>
          <w:bCs/>
          <w:sz w:val="32"/>
          <w:szCs w:val="32"/>
        </w:rPr>
      </w:pPr>
      <w:r>
        <w:rPr>
          <w:rFonts w:eastAsia="仿宋_GB2312"/>
          <w:bCs/>
          <w:sz w:val="32"/>
          <w:szCs w:val="32"/>
        </w:rPr>
        <w:t>（图4：财政拨款收、支决算总计变动情况）</w:t>
      </w:r>
    </w:p>
    <w:p>
      <w:pPr>
        <w:pStyle w:val="2"/>
        <w:spacing w:before="93"/>
        <w:rPr>
          <w:rFonts w:ascii="Times New Roman" w:eastAsia="仿宋"/>
          <w:sz w:val="32"/>
          <w:szCs w:val="32"/>
        </w:rPr>
      </w:pPr>
      <w:r>
        <w:rPr>
          <w:rFonts w:ascii="Times New Roman" w:eastAsia="仿宋"/>
          <w:sz w:val="32"/>
          <w:szCs w:val="32"/>
        </w:rPr>
        <w:drawing>
          <wp:anchor distT="0" distB="0" distL="114300" distR="114300" simplePos="0" relativeHeight="251671552" behindDoc="1" locked="0" layoutInCell="1" allowOverlap="1">
            <wp:simplePos x="0" y="0"/>
            <wp:positionH relativeFrom="column">
              <wp:posOffset>252730</wp:posOffset>
            </wp:positionH>
            <wp:positionV relativeFrom="paragraph">
              <wp:posOffset>229870</wp:posOffset>
            </wp:positionV>
            <wp:extent cx="4826635" cy="1804670"/>
            <wp:effectExtent l="4445" t="5080" r="10795" b="15875"/>
            <wp:wrapTight wrapText="bothSides">
              <wp:wrapPolygon>
                <wp:start x="-20" y="-61"/>
                <wp:lineTo x="-20" y="21410"/>
                <wp:lineTo x="21506" y="21410"/>
                <wp:lineTo x="21506" y="-61"/>
                <wp:lineTo x="-20" y="-61"/>
              </wp:wrapPolygon>
            </wp:wrapTight>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pStyle w:val="2"/>
        <w:spacing w:before="93"/>
        <w:rPr>
          <w:rFonts w:ascii="Times New Roman" w:eastAsia="仿宋"/>
          <w:sz w:val="32"/>
          <w:szCs w:val="32"/>
        </w:rPr>
      </w:pPr>
    </w:p>
    <w:p>
      <w:pPr>
        <w:pStyle w:val="2"/>
        <w:spacing w:before="93"/>
        <w:rPr>
          <w:rFonts w:ascii="Times New Roman" w:eastAsia="仿宋"/>
          <w:sz w:val="32"/>
          <w:szCs w:val="32"/>
        </w:rPr>
      </w:pPr>
    </w:p>
    <w:p>
      <w:pPr>
        <w:pStyle w:val="2"/>
        <w:spacing w:before="93"/>
        <w:rPr>
          <w:rFonts w:ascii="Times New Roman" w:eastAsia="仿宋"/>
          <w:sz w:val="32"/>
          <w:szCs w:val="32"/>
        </w:rPr>
      </w:pPr>
    </w:p>
    <w:p>
      <w:pPr>
        <w:spacing w:line="600" w:lineRule="exact"/>
        <w:ind w:firstLine="640" w:firstLineChars="200"/>
        <w:outlineLvl w:val="1"/>
        <w:rPr>
          <w:rStyle w:val="30"/>
          <w:rFonts w:ascii="Times New Roman" w:hAnsi="Times New Roman" w:eastAsia="黑体" w:cs="Times New Roman"/>
          <w:b w:val="0"/>
        </w:rPr>
      </w:pPr>
      <w:bookmarkStart w:id="24" w:name="_Toc15377209"/>
      <w:bookmarkStart w:id="25" w:name="_Toc15396607"/>
      <w:r>
        <w:rPr>
          <w:rStyle w:val="30"/>
          <w:rFonts w:ascii="Times New Roman" w:hAnsi="Times New Roman" w:eastAsia="黑体" w:cs="Times New Roman"/>
          <w:b w:val="0"/>
        </w:rPr>
        <w:t>五、一般公共预算财政拨款支出决算情况说明</w:t>
      </w:r>
      <w:bookmarkEnd w:id="24"/>
      <w:bookmarkEnd w:id="25"/>
    </w:p>
    <w:p>
      <w:pPr>
        <w:spacing w:line="600" w:lineRule="exact"/>
        <w:ind w:firstLine="640" w:firstLineChars="200"/>
        <w:outlineLvl w:val="2"/>
        <w:rPr>
          <w:rFonts w:ascii="方正楷体_GBK" w:hAnsi="方正楷体_GBK" w:eastAsia="方正楷体_GBK" w:cs="方正楷体_GBK"/>
          <w:bCs/>
          <w:sz w:val="32"/>
          <w:szCs w:val="32"/>
        </w:rPr>
      </w:pPr>
      <w:bookmarkStart w:id="26" w:name="_Toc15377210"/>
      <w:r>
        <w:rPr>
          <w:rFonts w:hint="eastAsia" w:ascii="方正楷体_GBK" w:hAnsi="方正楷体_GBK" w:eastAsia="方正楷体_GBK" w:cs="方正楷体_GBK"/>
          <w:bCs/>
          <w:sz w:val="32"/>
          <w:szCs w:val="32"/>
        </w:rPr>
        <w:t>（一）一般公共预算财政拨款支出决算总体情况</w:t>
      </w:r>
      <w:bookmarkEnd w:id="26"/>
    </w:p>
    <w:p>
      <w:pPr>
        <w:spacing w:line="580" w:lineRule="exact"/>
        <w:ind w:firstLine="663"/>
        <w:rPr>
          <w:rFonts w:eastAsia="仿宋_GB2312"/>
          <w:bCs/>
          <w:sz w:val="32"/>
          <w:szCs w:val="32"/>
        </w:rPr>
      </w:pPr>
      <w:r>
        <w:rPr>
          <w:rFonts w:eastAsia="仿宋_GB2312"/>
          <w:bCs/>
          <w:sz w:val="32"/>
          <w:szCs w:val="32"/>
        </w:rPr>
        <w:t>2022年一般公共预算财政拨款支出1877.32万元，占本年支出合计的100%。与2021年相比，一般公共预算财政拨款支出增加348.71万元，增长22.81%。主要变动原因是本年度查办大案要案数量增加，办案所需的场所费、差旅费、人员公杂费等开支也相应增加，再加上纪检监察宣传、专网建设维护、廉洁文化展示馆打造、简易审批村庄建设项目专项治理等开支，因而本年度较上年度增长幅度大。</w:t>
      </w:r>
    </w:p>
    <w:p>
      <w:pPr>
        <w:spacing w:line="580" w:lineRule="exact"/>
        <w:ind w:firstLine="663"/>
        <w:jc w:val="center"/>
        <w:rPr>
          <w:rFonts w:eastAsia="仿宋_GB2312"/>
          <w:bCs/>
          <w:sz w:val="32"/>
          <w:szCs w:val="32"/>
        </w:rPr>
      </w:pPr>
      <w:r>
        <w:rPr>
          <w:rFonts w:eastAsia="仿宋_GB2312"/>
          <w:bCs/>
          <w:sz w:val="32"/>
          <w:szCs w:val="32"/>
        </w:rPr>
        <w:t>（图5：一般公共预算财政拨款支出决算变动情况）</w:t>
      </w:r>
    </w:p>
    <w:p>
      <w:pPr>
        <w:pStyle w:val="2"/>
        <w:spacing w:before="93"/>
        <w:rPr>
          <w:rFonts w:ascii="Times New Roman" w:eastAsia="仿宋"/>
          <w:sz w:val="32"/>
          <w:szCs w:val="32"/>
        </w:rPr>
      </w:pPr>
      <w:r>
        <w:rPr>
          <w:rFonts w:ascii="Times New Roman" w:eastAsia="仿宋"/>
          <w:sz w:val="32"/>
          <w:szCs w:val="32"/>
        </w:rPr>
        <w:drawing>
          <wp:anchor distT="0" distB="0" distL="114300" distR="114300" simplePos="0" relativeHeight="251677696" behindDoc="1" locked="0" layoutInCell="1" allowOverlap="1">
            <wp:simplePos x="0" y="0"/>
            <wp:positionH relativeFrom="column">
              <wp:posOffset>189230</wp:posOffset>
            </wp:positionH>
            <wp:positionV relativeFrom="paragraph">
              <wp:posOffset>172085</wp:posOffset>
            </wp:positionV>
            <wp:extent cx="4826635" cy="1804670"/>
            <wp:effectExtent l="4445" t="5080" r="10795" b="15875"/>
            <wp:wrapTight wrapText="bothSides">
              <wp:wrapPolygon>
                <wp:start x="-20" y="-61"/>
                <wp:lineTo x="-20" y="21410"/>
                <wp:lineTo x="21506" y="21410"/>
                <wp:lineTo x="21506" y="-61"/>
                <wp:lineTo x="-20" y="-61"/>
              </wp:wrapPolygon>
            </wp:wrapTight>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pStyle w:val="2"/>
        <w:spacing w:before="93"/>
        <w:rPr>
          <w:rFonts w:ascii="Times New Roman" w:eastAsia="仿宋"/>
          <w:sz w:val="32"/>
          <w:szCs w:val="32"/>
        </w:rPr>
      </w:pPr>
    </w:p>
    <w:p>
      <w:pPr>
        <w:pStyle w:val="2"/>
        <w:spacing w:before="93"/>
        <w:rPr>
          <w:rFonts w:ascii="Times New Roman" w:eastAsia="仿宋"/>
          <w:sz w:val="32"/>
          <w:szCs w:val="32"/>
        </w:rPr>
      </w:pPr>
    </w:p>
    <w:p>
      <w:pPr>
        <w:pStyle w:val="2"/>
        <w:spacing w:before="93"/>
        <w:rPr>
          <w:rFonts w:ascii="Times New Roman" w:eastAsia="仿宋"/>
          <w:sz w:val="32"/>
          <w:szCs w:val="32"/>
        </w:rPr>
      </w:pPr>
    </w:p>
    <w:p>
      <w:pPr>
        <w:spacing w:line="600" w:lineRule="exact"/>
        <w:ind w:firstLine="640" w:firstLineChars="200"/>
        <w:outlineLvl w:val="2"/>
        <w:rPr>
          <w:rFonts w:ascii="方正楷体_GBK" w:hAnsi="方正楷体_GBK" w:eastAsia="方正楷体_GBK" w:cs="方正楷体_GBK"/>
          <w:bCs/>
          <w:sz w:val="32"/>
          <w:szCs w:val="32"/>
        </w:rPr>
      </w:pPr>
      <w:bookmarkStart w:id="27" w:name="_Toc15377211"/>
      <w:r>
        <w:rPr>
          <w:rFonts w:ascii="方正楷体_GBK" w:hAnsi="方正楷体_GBK" w:eastAsia="方正楷体_GBK" w:cs="方正楷体_GBK"/>
          <w:bCs/>
          <w:sz w:val="32"/>
          <w:szCs w:val="32"/>
        </w:rPr>
        <w:t>（二）一般公共预算财政拨款支出决算结构情况</w:t>
      </w:r>
      <w:bookmarkEnd w:id="27"/>
    </w:p>
    <w:p>
      <w:pPr>
        <w:spacing w:line="580" w:lineRule="exact"/>
        <w:ind w:firstLine="663"/>
        <w:jc w:val="left"/>
        <w:rPr>
          <w:rFonts w:eastAsia="仿宋_GB2312"/>
          <w:bCs/>
          <w:sz w:val="32"/>
          <w:szCs w:val="32"/>
        </w:rPr>
      </w:pPr>
      <w:r>
        <w:rPr>
          <w:rFonts w:eastAsia="仿宋_GB2312"/>
          <w:bCs/>
          <w:sz w:val="32"/>
          <w:szCs w:val="32"/>
        </w:rPr>
        <w:t>2022年一般公共预算财政拨款支出1877.32万元，主要用于以下方面:一般公共服务支出1624.68万元，占86.54%；社会保障和就业支出96.36万元，占5.13%；卫生健康支出78.99万元，占4.21%；住房保障支出77.29万元，占4.12%。</w:t>
      </w:r>
    </w:p>
    <w:p>
      <w:pPr>
        <w:spacing w:line="580" w:lineRule="exact"/>
        <w:ind w:firstLine="663"/>
        <w:jc w:val="center"/>
        <w:rPr>
          <w:rFonts w:eastAsia="仿宋_GB2312"/>
          <w:bCs/>
          <w:sz w:val="32"/>
          <w:szCs w:val="32"/>
        </w:rPr>
      </w:pPr>
      <w:r>
        <w:rPr>
          <w:rFonts w:eastAsia="仿宋_GB2312"/>
          <w:bCs/>
          <w:sz w:val="32"/>
          <w:szCs w:val="32"/>
        </w:rPr>
        <w:t>（图6：一般公共预算财政拨款支出决算结构）</w:t>
      </w:r>
    </w:p>
    <w:p>
      <w:pPr>
        <w:pStyle w:val="2"/>
        <w:spacing w:before="93"/>
        <w:rPr>
          <w:rFonts w:ascii="方正楷体_GBK" w:hAnsi="方正楷体_GBK" w:eastAsia="方正楷体_GBK" w:cs="方正楷体_GBK"/>
          <w:bCs/>
          <w:kern w:val="2"/>
          <w:sz w:val="32"/>
          <w:szCs w:val="32"/>
        </w:rPr>
      </w:pPr>
      <w:r>
        <w:rPr>
          <w:rFonts w:ascii="方正楷体_GBK" w:hAnsi="方正楷体_GBK" w:eastAsia="方正楷体_GBK" w:cs="方正楷体_GBK"/>
          <w:bCs/>
          <w:kern w:val="2"/>
          <w:sz w:val="32"/>
          <w:szCs w:val="32"/>
        </w:rPr>
        <w:drawing>
          <wp:anchor distT="0" distB="0" distL="114300" distR="114300" simplePos="0" relativeHeight="251684864" behindDoc="1" locked="0" layoutInCell="1" allowOverlap="1">
            <wp:simplePos x="0" y="0"/>
            <wp:positionH relativeFrom="column">
              <wp:posOffset>149225</wp:posOffset>
            </wp:positionH>
            <wp:positionV relativeFrom="paragraph">
              <wp:posOffset>207010</wp:posOffset>
            </wp:positionV>
            <wp:extent cx="5080000" cy="2180590"/>
            <wp:effectExtent l="4445" t="4445" r="11430" b="5715"/>
            <wp:wrapTight wrapText="bothSides">
              <wp:wrapPolygon>
                <wp:start x="-19" y="-44"/>
                <wp:lineTo x="-19" y="21499"/>
                <wp:lineTo x="21514" y="21499"/>
                <wp:lineTo x="21514" y="-44"/>
                <wp:lineTo x="-19" y="-44"/>
              </wp:wrapPolygon>
            </wp:wrapTight>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bookmarkStart w:id="28" w:name="_Toc15377212"/>
      <w:r>
        <w:rPr>
          <w:rFonts w:hint="eastAsia" w:ascii="方正楷体_GBK" w:hAnsi="方正楷体_GBK" w:eastAsia="方正楷体_GBK" w:cs="方正楷体_GBK"/>
          <w:bCs/>
          <w:kern w:val="2"/>
          <w:sz w:val="32"/>
          <w:szCs w:val="32"/>
        </w:rPr>
        <w:t>　　</w:t>
      </w:r>
      <w:r>
        <w:rPr>
          <w:rFonts w:ascii="方正楷体_GBK" w:hAnsi="方正楷体_GBK" w:eastAsia="方正楷体_GBK" w:cs="方正楷体_GBK"/>
          <w:bCs/>
          <w:kern w:val="2"/>
          <w:sz w:val="32"/>
          <w:szCs w:val="32"/>
        </w:rPr>
        <w:t>（三）一般公共预算财政拨款支出决算具体情况</w:t>
      </w:r>
      <w:bookmarkEnd w:id="28"/>
    </w:p>
    <w:p>
      <w:pPr>
        <w:spacing w:line="580" w:lineRule="exact"/>
        <w:ind w:firstLine="663"/>
        <w:jc w:val="left"/>
        <w:rPr>
          <w:rFonts w:eastAsia="仿宋_GB2312"/>
          <w:bCs/>
          <w:sz w:val="32"/>
          <w:szCs w:val="32"/>
        </w:rPr>
      </w:pPr>
      <w:bookmarkStart w:id="29" w:name="_Toc15378460"/>
      <w:bookmarkStart w:id="30" w:name="_Toc15377213"/>
      <w:bookmarkStart w:id="31" w:name="_Toc15377444"/>
      <w:r>
        <w:rPr>
          <w:rFonts w:eastAsia="仿宋_GB2312"/>
          <w:bCs/>
          <w:sz w:val="32"/>
          <w:szCs w:val="32"/>
        </w:rPr>
        <w:t>2022年一般公共预算支出决算数为1877.32，完成预算100%。其中：</w:t>
      </w:r>
      <w:bookmarkEnd w:id="29"/>
      <w:bookmarkEnd w:id="30"/>
      <w:bookmarkEnd w:id="31"/>
    </w:p>
    <w:p>
      <w:pPr>
        <w:spacing w:line="580" w:lineRule="exact"/>
        <w:ind w:firstLine="663"/>
        <w:jc w:val="left"/>
        <w:rPr>
          <w:rFonts w:eastAsia="仿宋_GB2312"/>
          <w:bCs/>
          <w:sz w:val="32"/>
          <w:szCs w:val="32"/>
        </w:rPr>
      </w:pPr>
      <w:r>
        <w:rPr>
          <w:rFonts w:eastAsia="仿宋_GB2312"/>
          <w:bCs/>
          <w:sz w:val="32"/>
          <w:szCs w:val="32"/>
        </w:rPr>
        <w:t>1.一般公共服务支出（类）纪检监察事务（款）行政运行（项）:支出决算为672.99万元，完成预算100%。</w:t>
      </w:r>
    </w:p>
    <w:p>
      <w:pPr>
        <w:spacing w:line="580" w:lineRule="exact"/>
        <w:ind w:firstLine="663"/>
        <w:jc w:val="left"/>
        <w:rPr>
          <w:rFonts w:eastAsia="仿宋_GB2312"/>
          <w:bCs/>
          <w:sz w:val="32"/>
          <w:szCs w:val="32"/>
        </w:rPr>
      </w:pPr>
      <w:r>
        <w:rPr>
          <w:rFonts w:eastAsia="仿宋_GB2312"/>
          <w:bCs/>
          <w:sz w:val="32"/>
          <w:szCs w:val="32"/>
        </w:rPr>
        <w:t>2.一般公共服务支出（类）纪检监察事务（款）一般行政管理事务（项）:支出决算为394.54万元，完成预算100%。</w:t>
      </w:r>
    </w:p>
    <w:p>
      <w:pPr>
        <w:spacing w:line="580" w:lineRule="exact"/>
        <w:ind w:firstLine="663"/>
        <w:jc w:val="left"/>
        <w:rPr>
          <w:rFonts w:eastAsia="仿宋_GB2312"/>
          <w:bCs/>
          <w:sz w:val="32"/>
          <w:szCs w:val="32"/>
        </w:rPr>
      </w:pPr>
      <w:r>
        <w:rPr>
          <w:rFonts w:eastAsia="仿宋_GB2312"/>
          <w:bCs/>
          <w:sz w:val="32"/>
          <w:szCs w:val="32"/>
        </w:rPr>
        <w:t>3.一般公共服务支出（类）纪检监察事务（款）大案要案查处（项）:支出决算为187.18万元，完成预算100%。</w:t>
      </w:r>
    </w:p>
    <w:p>
      <w:pPr>
        <w:spacing w:line="580" w:lineRule="exact"/>
        <w:ind w:firstLine="663"/>
        <w:jc w:val="left"/>
        <w:rPr>
          <w:rFonts w:eastAsia="仿宋_GB2312"/>
          <w:bCs/>
          <w:sz w:val="32"/>
          <w:szCs w:val="32"/>
        </w:rPr>
      </w:pPr>
      <w:r>
        <w:rPr>
          <w:rFonts w:eastAsia="仿宋_GB2312"/>
          <w:bCs/>
          <w:sz w:val="32"/>
          <w:szCs w:val="32"/>
        </w:rPr>
        <w:t>4.一般公共服务支出（类）纪检监察事务（款）巡视工作（项）:支出决算为57.85万元，完成预算100%。</w:t>
      </w:r>
    </w:p>
    <w:p>
      <w:pPr>
        <w:spacing w:line="580" w:lineRule="exact"/>
        <w:ind w:firstLine="663"/>
        <w:jc w:val="left"/>
        <w:rPr>
          <w:rFonts w:eastAsia="仿宋_GB2312"/>
          <w:bCs/>
          <w:sz w:val="32"/>
          <w:szCs w:val="32"/>
        </w:rPr>
      </w:pPr>
      <w:r>
        <w:rPr>
          <w:rFonts w:eastAsia="仿宋_GB2312"/>
          <w:bCs/>
          <w:sz w:val="32"/>
          <w:szCs w:val="32"/>
        </w:rPr>
        <w:t xml:space="preserve"> 5.一般公共服务支出（类）纪检监察事务（款）事业运行（项）:支出决算为97.47万元，完成预算100%。</w:t>
      </w:r>
    </w:p>
    <w:p>
      <w:pPr>
        <w:spacing w:line="580" w:lineRule="exact"/>
        <w:ind w:firstLine="663"/>
        <w:jc w:val="left"/>
        <w:rPr>
          <w:rFonts w:eastAsia="仿宋_GB2312"/>
          <w:bCs/>
          <w:sz w:val="32"/>
          <w:szCs w:val="32"/>
        </w:rPr>
      </w:pPr>
      <w:r>
        <w:rPr>
          <w:rFonts w:eastAsia="仿宋_GB2312"/>
          <w:bCs/>
          <w:sz w:val="32"/>
          <w:szCs w:val="32"/>
        </w:rPr>
        <w:t xml:space="preserve"> 6.一般公共服务支出（类）纪检监察事务（款） 其他纪检监察事务支出（项）:支出决算为214.65万元，完成预算100%。</w:t>
      </w:r>
    </w:p>
    <w:p>
      <w:pPr>
        <w:spacing w:line="580" w:lineRule="exact"/>
        <w:ind w:firstLine="663"/>
        <w:jc w:val="left"/>
        <w:rPr>
          <w:rFonts w:eastAsia="仿宋_GB2312"/>
          <w:bCs/>
          <w:sz w:val="32"/>
          <w:szCs w:val="32"/>
        </w:rPr>
      </w:pPr>
      <w:r>
        <w:rPr>
          <w:rFonts w:eastAsia="仿宋_GB2312"/>
          <w:bCs/>
          <w:sz w:val="32"/>
          <w:szCs w:val="32"/>
        </w:rPr>
        <w:t xml:space="preserve"> 7.社会保障和就业支出（类）行政事业单位养老支出（款）行政单位离退休（项）:支出决算为18.08万元，完成预算100%。</w:t>
      </w:r>
    </w:p>
    <w:p>
      <w:pPr>
        <w:spacing w:line="580" w:lineRule="exact"/>
        <w:ind w:firstLine="663"/>
        <w:jc w:val="left"/>
        <w:rPr>
          <w:rFonts w:eastAsia="仿宋_GB2312"/>
          <w:bCs/>
          <w:sz w:val="32"/>
          <w:szCs w:val="32"/>
        </w:rPr>
      </w:pPr>
      <w:r>
        <w:rPr>
          <w:rFonts w:eastAsia="仿宋_GB2312"/>
          <w:bCs/>
          <w:sz w:val="32"/>
          <w:szCs w:val="32"/>
        </w:rPr>
        <w:t xml:space="preserve"> 8.社会保障和就业支出（类）行政事业单位养老支出（款）机关事业单位基本养老保险缴费支出（项）:支出决算为63.96万元，完成预算100%。</w:t>
      </w:r>
    </w:p>
    <w:p>
      <w:pPr>
        <w:spacing w:line="580" w:lineRule="exact"/>
        <w:ind w:firstLine="663"/>
        <w:jc w:val="left"/>
        <w:rPr>
          <w:rFonts w:eastAsia="仿宋_GB2312"/>
          <w:bCs/>
          <w:sz w:val="32"/>
          <w:szCs w:val="32"/>
        </w:rPr>
      </w:pPr>
      <w:r>
        <w:rPr>
          <w:rFonts w:eastAsia="仿宋_GB2312"/>
          <w:bCs/>
          <w:sz w:val="32"/>
          <w:szCs w:val="32"/>
        </w:rPr>
        <w:t xml:space="preserve"> 9.社会保障和就业支出（类）行政事业单位养老支出（款） 机关事业单位职业年金缴费支出（项）:支出决算为11.95万元，完成预算100%。</w:t>
      </w:r>
    </w:p>
    <w:p>
      <w:pPr>
        <w:spacing w:line="580" w:lineRule="exact"/>
        <w:ind w:firstLine="663"/>
        <w:jc w:val="left"/>
        <w:rPr>
          <w:rFonts w:eastAsia="仿宋_GB2312"/>
          <w:bCs/>
          <w:sz w:val="32"/>
          <w:szCs w:val="32"/>
        </w:rPr>
      </w:pPr>
      <w:r>
        <w:rPr>
          <w:rFonts w:eastAsia="仿宋_GB2312"/>
          <w:bCs/>
          <w:sz w:val="32"/>
          <w:szCs w:val="32"/>
        </w:rPr>
        <w:t>10.社会保障和就业支出（类）抚恤（款）伤残抚恤（项）:支出决算为2.37万元，完成预算100%。</w:t>
      </w:r>
    </w:p>
    <w:p>
      <w:pPr>
        <w:spacing w:line="580" w:lineRule="exact"/>
        <w:ind w:firstLine="663"/>
        <w:jc w:val="left"/>
        <w:rPr>
          <w:rFonts w:eastAsia="仿宋_GB2312"/>
          <w:bCs/>
          <w:sz w:val="32"/>
          <w:szCs w:val="32"/>
        </w:rPr>
      </w:pPr>
      <w:r>
        <w:rPr>
          <w:rFonts w:eastAsia="仿宋_GB2312"/>
          <w:bCs/>
          <w:sz w:val="32"/>
          <w:szCs w:val="32"/>
        </w:rPr>
        <w:t>11.卫生健康支出（类）行政事业单位医疗（款）行政单位医疗（项）:支出决算为43.53万元，完成预算100%。</w:t>
      </w:r>
    </w:p>
    <w:p>
      <w:pPr>
        <w:spacing w:line="580" w:lineRule="exact"/>
        <w:ind w:firstLine="663"/>
        <w:jc w:val="left"/>
        <w:rPr>
          <w:rFonts w:eastAsia="仿宋_GB2312"/>
          <w:bCs/>
          <w:sz w:val="32"/>
          <w:szCs w:val="32"/>
        </w:rPr>
      </w:pPr>
      <w:r>
        <w:rPr>
          <w:rFonts w:eastAsia="仿宋_GB2312"/>
          <w:bCs/>
          <w:sz w:val="32"/>
          <w:szCs w:val="32"/>
        </w:rPr>
        <w:t>12.卫生健康支出（类）行政事业单位医疗（款）事业单位医疗（项）:支出决算为6.5万元，完成预算100%。</w:t>
      </w:r>
    </w:p>
    <w:p>
      <w:pPr>
        <w:spacing w:line="580" w:lineRule="exact"/>
        <w:ind w:firstLine="663"/>
        <w:jc w:val="left"/>
        <w:rPr>
          <w:rFonts w:eastAsia="仿宋_GB2312"/>
          <w:bCs/>
          <w:sz w:val="32"/>
          <w:szCs w:val="32"/>
        </w:rPr>
      </w:pPr>
      <w:r>
        <w:rPr>
          <w:rFonts w:eastAsia="仿宋_GB2312"/>
          <w:bCs/>
          <w:sz w:val="32"/>
          <w:szCs w:val="32"/>
        </w:rPr>
        <w:t>13.卫生健康支出（类）行政事业单位医疗（款）公务员医疗补助（项）:支出决算为25.69万元，完成预算100%。</w:t>
      </w:r>
    </w:p>
    <w:p>
      <w:pPr>
        <w:spacing w:line="580" w:lineRule="exact"/>
        <w:ind w:firstLine="663"/>
        <w:jc w:val="left"/>
        <w:rPr>
          <w:rFonts w:eastAsia="仿宋_GB2312"/>
          <w:bCs/>
          <w:sz w:val="32"/>
          <w:szCs w:val="32"/>
        </w:rPr>
      </w:pPr>
      <w:r>
        <w:rPr>
          <w:rFonts w:eastAsia="仿宋_GB2312"/>
          <w:bCs/>
          <w:sz w:val="32"/>
          <w:szCs w:val="32"/>
        </w:rPr>
        <w:t>14.卫生健康支出（类）行政事业单位医疗（款）其他行政事业单位医疗支出（项）:支出决算为3.27万元，完成预算100%。</w:t>
      </w:r>
    </w:p>
    <w:p>
      <w:pPr>
        <w:spacing w:line="580" w:lineRule="exact"/>
        <w:ind w:firstLine="663"/>
        <w:jc w:val="left"/>
        <w:rPr>
          <w:rFonts w:eastAsia="仿宋_GB2312"/>
          <w:bCs/>
          <w:sz w:val="32"/>
          <w:szCs w:val="32"/>
        </w:rPr>
      </w:pPr>
      <w:r>
        <w:rPr>
          <w:rFonts w:eastAsia="仿宋_GB2312"/>
          <w:bCs/>
          <w:sz w:val="32"/>
          <w:szCs w:val="32"/>
        </w:rPr>
        <w:t>15.住房保障支出（类）住房改革支出(款）住房公积金（项）：支出决算为77.29万元，完成预算100%。</w:t>
      </w:r>
    </w:p>
    <w:p>
      <w:pPr>
        <w:tabs>
          <w:tab w:val="right" w:pos="8306"/>
        </w:tabs>
        <w:spacing w:line="600" w:lineRule="exact"/>
        <w:ind w:firstLine="640"/>
        <w:outlineLvl w:val="1"/>
        <w:rPr>
          <w:rStyle w:val="30"/>
          <w:rFonts w:ascii="Times New Roman" w:hAnsi="Times New Roman" w:cs="Times New Roman"/>
        </w:rPr>
      </w:pPr>
      <w:bookmarkStart w:id="32" w:name="_Toc15396608"/>
      <w:bookmarkStart w:id="33" w:name="_Toc15377214"/>
      <w:r>
        <w:rPr>
          <w:rStyle w:val="30"/>
          <w:rFonts w:ascii="Times New Roman" w:hAnsi="Times New Roman" w:eastAsia="黑体" w:cs="Times New Roman"/>
          <w:b w:val="0"/>
        </w:rPr>
        <w:t>六、一般公共预算财政拨款基本支出决算情况说明</w:t>
      </w:r>
      <w:bookmarkEnd w:id="32"/>
      <w:bookmarkEnd w:id="33"/>
      <w:r>
        <w:rPr>
          <w:rStyle w:val="30"/>
          <w:rFonts w:ascii="Times New Roman" w:hAnsi="Times New Roman" w:eastAsia="黑体" w:cs="Times New Roman"/>
          <w:b w:val="0"/>
        </w:rPr>
        <w:tab/>
      </w:r>
    </w:p>
    <w:p>
      <w:pPr>
        <w:spacing w:line="580" w:lineRule="exact"/>
        <w:ind w:firstLine="663"/>
        <w:jc w:val="left"/>
        <w:rPr>
          <w:rFonts w:eastAsia="仿宋_GB2312"/>
          <w:bCs/>
          <w:sz w:val="32"/>
          <w:szCs w:val="32"/>
        </w:rPr>
      </w:pPr>
      <w:r>
        <w:rPr>
          <w:rFonts w:eastAsia="仿宋_GB2312"/>
          <w:bCs/>
          <w:sz w:val="32"/>
          <w:szCs w:val="32"/>
        </w:rPr>
        <w:t>2022年一般公共预算财政拨款基本支出1023.10万元，其中：</w:t>
      </w:r>
    </w:p>
    <w:p>
      <w:pPr>
        <w:spacing w:line="580" w:lineRule="exact"/>
        <w:ind w:firstLine="663"/>
        <w:jc w:val="left"/>
        <w:rPr>
          <w:rFonts w:eastAsia="仿宋_GB2312"/>
          <w:bCs/>
          <w:sz w:val="32"/>
          <w:szCs w:val="32"/>
        </w:rPr>
      </w:pPr>
      <w:r>
        <w:rPr>
          <w:rFonts w:eastAsia="仿宋_GB2312"/>
          <w:bCs/>
          <w:sz w:val="32"/>
          <w:szCs w:val="32"/>
        </w:rPr>
        <w:t>人员经费938.24万元，主要包括：基本工资、津贴补贴、奖金、绩效工资、机关事业单位基本养老保险缴费、职业年金缴费、职工基本医疗保险缴费、公务员医疗补助缴费、其他社会保障缴费、住房公积金、其他工资福利支出、抚恤金、生活补助、医疗费补助、奖励金。</w:t>
      </w:r>
      <w:r>
        <w:rPr>
          <w:rFonts w:eastAsia="仿宋_GB2312"/>
          <w:bCs/>
          <w:sz w:val="32"/>
          <w:szCs w:val="32"/>
        </w:rPr>
        <w:br w:type="textWrapping"/>
      </w:r>
      <w:r>
        <w:rPr>
          <w:rFonts w:eastAsia="仿宋_GB2312"/>
          <w:bCs/>
          <w:sz w:val="32"/>
          <w:szCs w:val="32"/>
        </w:rPr>
        <w:t>　　公用经费84.86万元，主要包括：办公费、印刷费、水费、电费、邮电费、差旅费、维修（护）费、会议费、培训费、委托业务费、工会经费、福利费、公务用车运行维护费、其他交通费、其他商品和服务支出。</w:t>
      </w:r>
    </w:p>
    <w:p>
      <w:pPr>
        <w:spacing w:line="600" w:lineRule="exact"/>
        <w:ind w:firstLine="640"/>
        <w:outlineLvl w:val="1"/>
        <w:rPr>
          <w:rStyle w:val="30"/>
          <w:rFonts w:ascii="Times New Roman" w:hAnsi="Times New Roman" w:eastAsia="黑体" w:cs="Times New Roman"/>
          <w:b w:val="0"/>
        </w:rPr>
      </w:pPr>
      <w:bookmarkStart w:id="34" w:name="_Toc15377215"/>
      <w:bookmarkStart w:id="35" w:name="_Toc15396609"/>
      <w:r>
        <w:rPr>
          <w:rFonts w:eastAsia="黑体"/>
          <w:sz w:val="32"/>
          <w:szCs w:val="32"/>
        </w:rPr>
        <w:t>七、</w:t>
      </w:r>
      <w:r>
        <w:rPr>
          <w:rStyle w:val="30"/>
          <w:rFonts w:ascii="Times New Roman" w:hAnsi="Times New Roman" w:eastAsia="黑体" w:cs="Times New Roman"/>
          <w:b w:val="0"/>
        </w:rPr>
        <w:t>财政拨款</w:t>
      </w:r>
      <w:r>
        <w:rPr>
          <w:rStyle w:val="30"/>
          <w:rFonts w:ascii="Times New Roman" w:hAnsi="Times New Roman" w:eastAsia="黑体" w:cs="Times New Roman"/>
          <w:b w:val="0"/>
          <w:bCs w:val="0"/>
        </w:rPr>
        <w:t>“</w:t>
      </w:r>
      <w:r>
        <w:rPr>
          <w:rStyle w:val="30"/>
          <w:rFonts w:ascii="Times New Roman" w:hAnsi="Times New Roman" w:eastAsia="黑体" w:cs="Times New Roman"/>
          <w:b w:val="0"/>
        </w:rPr>
        <w:t>三公”经费支出决算情况说明</w:t>
      </w:r>
      <w:bookmarkEnd w:id="34"/>
      <w:bookmarkEnd w:id="35"/>
    </w:p>
    <w:p>
      <w:pPr>
        <w:spacing w:line="600" w:lineRule="exact"/>
        <w:ind w:firstLine="640"/>
        <w:outlineLvl w:val="2"/>
        <w:rPr>
          <w:rFonts w:ascii="方正楷体_GBK" w:hAnsi="方正楷体_GBK" w:eastAsia="方正楷体_GBK" w:cs="方正楷体_GBK"/>
          <w:bCs/>
          <w:sz w:val="32"/>
          <w:szCs w:val="32"/>
        </w:rPr>
      </w:pPr>
      <w:bookmarkStart w:id="36" w:name="_Toc15377216"/>
      <w:r>
        <w:rPr>
          <w:rFonts w:hint="eastAsia" w:ascii="方正楷体_GBK" w:hAnsi="方正楷体_GBK" w:eastAsia="方正楷体_GBK" w:cs="方正楷体_GBK"/>
          <w:bCs/>
          <w:sz w:val="32"/>
          <w:szCs w:val="32"/>
        </w:rPr>
        <w:t>（一）“三公”经费财政拨款支出决算总体情况说明</w:t>
      </w:r>
      <w:bookmarkEnd w:id="36"/>
    </w:p>
    <w:p>
      <w:pPr>
        <w:spacing w:line="580" w:lineRule="exact"/>
        <w:ind w:firstLine="663"/>
        <w:jc w:val="left"/>
        <w:rPr>
          <w:rFonts w:eastAsia="仿宋_GB2312"/>
          <w:bCs/>
          <w:sz w:val="32"/>
          <w:szCs w:val="32"/>
        </w:rPr>
      </w:pPr>
      <w:r>
        <w:rPr>
          <w:rFonts w:eastAsia="仿宋_GB2312"/>
          <w:bCs/>
          <w:sz w:val="32"/>
          <w:szCs w:val="32"/>
        </w:rPr>
        <w:t>2022年“三公”经费财政拨款支出决算为4.15万元，完成预算100%，较上年减少18.31万元，下降81.52%。决算数与预算数持平。县纪委2022年落实过紧日子要求，厉行节约，从严控制和压缩“三公”经费支出。</w:t>
      </w:r>
    </w:p>
    <w:p>
      <w:pPr>
        <w:spacing w:line="600" w:lineRule="exact"/>
        <w:ind w:firstLine="640"/>
        <w:outlineLvl w:val="2"/>
        <w:rPr>
          <w:rFonts w:ascii="方正楷体_GBK" w:hAnsi="方正楷体_GBK" w:eastAsia="方正楷体_GBK" w:cs="方正楷体_GBK"/>
          <w:bCs/>
          <w:sz w:val="32"/>
          <w:szCs w:val="32"/>
        </w:rPr>
      </w:pPr>
      <w:bookmarkStart w:id="37" w:name="_Toc15377217"/>
      <w:r>
        <w:rPr>
          <w:rFonts w:ascii="方正楷体_GBK" w:hAnsi="方正楷体_GBK" w:eastAsia="方正楷体_GBK" w:cs="方正楷体_GBK"/>
          <w:bCs/>
          <w:sz w:val="32"/>
          <w:szCs w:val="32"/>
        </w:rPr>
        <w:t>（二）“三公”经费财政拨款支出决算具体情况说明</w:t>
      </w:r>
      <w:bookmarkEnd w:id="37"/>
    </w:p>
    <w:p>
      <w:pPr>
        <w:spacing w:line="580" w:lineRule="exact"/>
        <w:ind w:firstLine="663"/>
        <w:jc w:val="left"/>
        <w:rPr>
          <w:rFonts w:eastAsia="仿宋_GB2312"/>
          <w:bCs/>
          <w:sz w:val="32"/>
          <w:szCs w:val="32"/>
        </w:rPr>
      </w:pPr>
      <w:r>
        <w:rPr>
          <w:rFonts w:eastAsia="仿宋_GB2312"/>
          <w:bCs/>
          <w:sz w:val="32"/>
          <w:szCs w:val="32"/>
        </w:rPr>
        <w:t>2022年“三公”经费财政拨款支出决算中，因公出国（境）费支出决算0万元，占0%；公务用车购置及运行维护费支出决算4.15万元，占100%；公务接待费支出决算0万元，占0%。具体情况如下：</w:t>
      </w:r>
    </w:p>
    <w:p>
      <w:pPr>
        <w:spacing w:line="580" w:lineRule="exact"/>
        <w:ind w:firstLine="663"/>
        <w:jc w:val="center"/>
        <w:rPr>
          <w:rFonts w:eastAsia="仿宋_GB2312"/>
          <w:bCs/>
          <w:sz w:val="32"/>
          <w:szCs w:val="32"/>
        </w:rPr>
      </w:pPr>
      <w:r>
        <w:rPr>
          <w:rFonts w:eastAsia="仿宋_GB2312"/>
          <w:bCs/>
          <w:sz w:val="32"/>
          <w:szCs w:val="32"/>
        </w:rPr>
        <w:t>（图7：“三公”经费财政拨款支出结构）</w:t>
      </w:r>
    </w:p>
    <w:p>
      <w:pPr>
        <w:spacing w:line="580" w:lineRule="exact"/>
        <w:ind w:firstLine="663"/>
        <w:jc w:val="left"/>
        <w:rPr>
          <w:rFonts w:eastAsia="仿宋_GB2312"/>
          <w:bCs/>
          <w:sz w:val="32"/>
          <w:szCs w:val="32"/>
        </w:rPr>
      </w:pPr>
      <w:r>
        <w:rPr>
          <w:rFonts w:eastAsia="仿宋_GB2312"/>
          <w:bCs/>
          <w:sz w:val="32"/>
          <w:szCs w:val="32"/>
        </w:rPr>
        <w:drawing>
          <wp:anchor distT="0" distB="0" distL="114300" distR="114300" simplePos="0" relativeHeight="251693056" behindDoc="1" locked="0" layoutInCell="1" allowOverlap="1">
            <wp:simplePos x="0" y="0"/>
            <wp:positionH relativeFrom="column">
              <wp:posOffset>78105</wp:posOffset>
            </wp:positionH>
            <wp:positionV relativeFrom="paragraph">
              <wp:posOffset>185420</wp:posOffset>
            </wp:positionV>
            <wp:extent cx="5274310" cy="2113280"/>
            <wp:effectExtent l="4445" t="4445" r="7620" b="9525"/>
            <wp:wrapTight wrapText="bothSides">
              <wp:wrapPolygon>
                <wp:start x="-18" y="-45"/>
                <wp:lineTo x="-18" y="21373"/>
                <wp:lineTo x="21501" y="21373"/>
                <wp:lineTo x="21501" y="-45"/>
                <wp:lineTo x="-18" y="-45"/>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eastAsia="仿宋_GB2312"/>
          <w:bCs/>
          <w:sz w:val="32"/>
          <w:szCs w:val="32"/>
        </w:rPr>
        <w:t>1.因公出国（境）经费支出0万元，完成预算0%。全年安排因公出国（境）团组0次，出国（境）0人。因公出国（境）支出决算和2021年持平。</w:t>
      </w:r>
    </w:p>
    <w:p>
      <w:pPr>
        <w:spacing w:line="580" w:lineRule="exact"/>
        <w:ind w:firstLine="663"/>
        <w:jc w:val="left"/>
        <w:rPr>
          <w:rFonts w:eastAsia="仿宋_GB2312"/>
          <w:bCs/>
          <w:sz w:val="32"/>
          <w:szCs w:val="32"/>
        </w:rPr>
      </w:pPr>
      <w:r>
        <w:rPr>
          <w:rFonts w:eastAsia="仿宋_GB2312"/>
          <w:bCs/>
          <w:sz w:val="32"/>
          <w:szCs w:val="32"/>
        </w:rPr>
        <w:t>2.公务用车购置及运行维护费支出4.15万元,完成预算100%。公务用车购置及运行维护费支出决算比2021年减少17.84万元，下降81.13%。主要原因是县纪委2021年度化解了公务用车运行维护费相关暂付款17.82万元，因而2021年度的公务用车购置及运行维护费高，2022年度下降幅度大。</w:t>
      </w:r>
    </w:p>
    <w:p>
      <w:pPr>
        <w:spacing w:line="580" w:lineRule="exact"/>
        <w:ind w:firstLine="663"/>
        <w:jc w:val="left"/>
        <w:rPr>
          <w:rFonts w:eastAsia="仿宋_GB2312"/>
          <w:bCs/>
          <w:sz w:val="32"/>
          <w:szCs w:val="32"/>
        </w:rPr>
      </w:pPr>
      <w:r>
        <w:rPr>
          <w:rFonts w:eastAsia="仿宋_GB2312"/>
          <w:bCs/>
          <w:sz w:val="32"/>
          <w:szCs w:val="32"/>
        </w:rPr>
        <w:t>其中：公务用车购置支出0万元。全年按规定更新购置公务用车0辆，其中：轿车0辆、金额0万元，越野车0辆、金额0万元，载客汽车0辆、金额0万元。截至2022年12月底，单位共有公务用车2辆，其中：轿车0辆、越野车0辆、载客汽车0辆，执法执勤用车2辆。</w:t>
      </w:r>
    </w:p>
    <w:p>
      <w:pPr>
        <w:spacing w:line="580" w:lineRule="exact"/>
        <w:ind w:firstLine="663"/>
        <w:jc w:val="left"/>
        <w:rPr>
          <w:rFonts w:eastAsia="仿宋_GB2312"/>
          <w:bCs/>
          <w:sz w:val="32"/>
          <w:szCs w:val="32"/>
        </w:rPr>
      </w:pPr>
      <w:r>
        <w:rPr>
          <w:rFonts w:eastAsia="仿宋_GB2312"/>
          <w:bCs/>
          <w:sz w:val="32"/>
          <w:szCs w:val="32"/>
        </w:rPr>
        <w:t>公务用车运行维护费支出4.15万元。主要用于办案车辆办案需要发生的公务用车燃料费、维修费、过路过桥费、保险费</w:t>
      </w:r>
      <w:r>
        <w:rPr>
          <w:rFonts w:hint="eastAsia" w:eastAsia="仿宋_GB2312"/>
          <w:bCs/>
          <w:sz w:val="32"/>
          <w:szCs w:val="32"/>
          <w:lang w:eastAsia="zh-CN"/>
        </w:rPr>
        <w:t>、安全奖励费用</w:t>
      </w:r>
      <w:r>
        <w:rPr>
          <w:rFonts w:eastAsia="仿宋_GB2312"/>
          <w:bCs/>
          <w:sz w:val="32"/>
          <w:szCs w:val="32"/>
        </w:rPr>
        <w:t>等支出。</w:t>
      </w:r>
    </w:p>
    <w:p>
      <w:pPr>
        <w:spacing w:line="580" w:lineRule="exact"/>
        <w:ind w:firstLine="663"/>
        <w:jc w:val="left"/>
        <w:rPr>
          <w:rFonts w:eastAsia="仿宋_GB2312"/>
          <w:bCs/>
          <w:sz w:val="32"/>
          <w:szCs w:val="32"/>
        </w:rPr>
      </w:pPr>
      <w:r>
        <w:rPr>
          <w:rFonts w:eastAsia="仿宋_GB2312"/>
          <w:bCs/>
          <w:sz w:val="32"/>
          <w:szCs w:val="32"/>
        </w:rPr>
        <w:t>3.公务接待费支出0万元，完成预算0%。公务接待费支出决算比2021年减少0.47万元，下降100%。主要原因是落实过紧日子要求，厉行节约，从而控制和压缩相关经费支出。其中：</w:t>
      </w:r>
    </w:p>
    <w:p>
      <w:pPr>
        <w:spacing w:line="580" w:lineRule="exact"/>
        <w:ind w:firstLine="663"/>
        <w:jc w:val="left"/>
        <w:rPr>
          <w:rFonts w:eastAsia="仿宋_GB2312"/>
          <w:bCs/>
          <w:sz w:val="32"/>
          <w:szCs w:val="32"/>
        </w:rPr>
      </w:pPr>
      <w:r>
        <w:rPr>
          <w:rFonts w:eastAsia="仿宋_GB2312"/>
          <w:bCs/>
          <w:sz w:val="32"/>
          <w:szCs w:val="32"/>
        </w:rPr>
        <w:t>国内公务接待支出0万元。国内公务接待0批次，0人次（不包括陪同人员），共计支出0万元。</w:t>
      </w:r>
    </w:p>
    <w:p>
      <w:pPr>
        <w:spacing w:line="580" w:lineRule="exact"/>
        <w:ind w:firstLine="663"/>
        <w:jc w:val="left"/>
        <w:rPr>
          <w:rFonts w:eastAsia="仿宋_GB2312"/>
          <w:bCs/>
          <w:sz w:val="32"/>
          <w:szCs w:val="32"/>
        </w:rPr>
      </w:pPr>
      <w:r>
        <w:rPr>
          <w:rFonts w:eastAsia="仿宋_GB2312"/>
          <w:bCs/>
          <w:sz w:val="32"/>
          <w:szCs w:val="32"/>
        </w:rPr>
        <w:t>外事接待支出0万元。外事接待0批次，0人次（不包括陪同人员），共计支出0万元。</w:t>
      </w:r>
    </w:p>
    <w:p>
      <w:pPr>
        <w:spacing w:line="600" w:lineRule="exact"/>
        <w:ind w:firstLine="640"/>
        <w:outlineLvl w:val="1"/>
        <w:rPr>
          <w:rStyle w:val="30"/>
          <w:rFonts w:ascii="Times New Roman" w:hAnsi="Times New Roman" w:eastAsia="黑体" w:cs="Times New Roman"/>
          <w:b w:val="0"/>
        </w:rPr>
      </w:pPr>
      <w:bookmarkStart w:id="38" w:name="_Toc15377218"/>
      <w:bookmarkStart w:id="39" w:name="_Toc15396610"/>
      <w:r>
        <w:rPr>
          <w:rStyle w:val="30"/>
          <w:rFonts w:ascii="Times New Roman" w:hAnsi="Times New Roman" w:eastAsia="黑体" w:cs="Times New Roman"/>
          <w:b w:val="0"/>
        </w:rPr>
        <w:t>八、政府性基金预算支出决算情况说明</w:t>
      </w:r>
      <w:bookmarkEnd w:id="38"/>
      <w:bookmarkEnd w:id="39"/>
    </w:p>
    <w:p>
      <w:pPr>
        <w:spacing w:line="600" w:lineRule="exact"/>
        <w:ind w:firstLine="640"/>
        <w:rPr>
          <w:rFonts w:eastAsia="仿宋_GB2312"/>
          <w:sz w:val="32"/>
          <w:szCs w:val="32"/>
        </w:rPr>
      </w:pPr>
      <w:r>
        <w:rPr>
          <w:rFonts w:eastAsia="仿宋_GB2312"/>
          <w:sz w:val="32"/>
          <w:szCs w:val="32"/>
        </w:rPr>
        <w:t>2022年政府性基金预算财政拨款支出0万元。</w:t>
      </w:r>
    </w:p>
    <w:p>
      <w:pPr>
        <w:spacing w:line="600" w:lineRule="exact"/>
        <w:ind w:firstLine="640"/>
        <w:outlineLvl w:val="1"/>
        <w:rPr>
          <w:rStyle w:val="30"/>
          <w:rFonts w:ascii="Times New Roman" w:hAnsi="Times New Roman" w:eastAsia="黑体" w:cs="Times New Roman"/>
          <w:b w:val="0"/>
        </w:rPr>
      </w:pPr>
      <w:bookmarkStart w:id="40" w:name="_Toc15377219"/>
      <w:bookmarkStart w:id="41" w:name="_Toc15396611"/>
      <w:r>
        <w:rPr>
          <w:rStyle w:val="30"/>
          <w:rFonts w:hint="eastAsia" w:eastAsia="黑体" w:cs="Times New Roman"/>
          <w:b w:val="0"/>
        </w:rPr>
        <w:t>九、</w:t>
      </w:r>
      <w:r>
        <w:rPr>
          <w:rStyle w:val="30"/>
          <w:rFonts w:ascii="Times New Roman" w:hAnsi="Times New Roman" w:eastAsia="黑体" w:cs="Times New Roman"/>
          <w:b w:val="0"/>
        </w:rPr>
        <w:t>国有资本经营预算支出决算情况说明</w:t>
      </w:r>
      <w:bookmarkEnd w:id="40"/>
      <w:bookmarkEnd w:id="41"/>
    </w:p>
    <w:p>
      <w:pPr>
        <w:spacing w:line="600" w:lineRule="exact"/>
        <w:ind w:firstLine="640"/>
        <w:rPr>
          <w:rFonts w:eastAsia="仿宋_GB2312"/>
          <w:sz w:val="32"/>
          <w:szCs w:val="32"/>
        </w:rPr>
      </w:pPr>
      <w:r>
        <w:rPr>
          <w:rFonts w:eastAsia="仿宋_GB2312"/>
          <w:sz w:val="32"/>
          <w:szCs w:val="32"/>
        </w:rPr>
        <w:t>2022年国有资本经营预算财政拨款支出0万元。</w:t>
      </w:r>
    </w:p>
    <w:p>
      <w:pPr>
        <w:spacing w:line="600" w:lineRule="exact"/>
        <w:outlineLvl w:val="1"/>
        <w:rPr>
          <w:rStyle w:val="30"/>
          <w:rFonts w:ascii="Times New Roman" w:hAnsi="Times New Roman" w:eastAsia="黑体" w:cs="Times New Roman"/>
          <w:b w:val="0"/>
        </w:rPr>
      </w:pPr>
      <w:bookmarkStart w:id="42" w:name="_Toc15396612"/>
      <w:bookmarkStart w:id="43" w:name="_Toc15377221"/>
      <w:r>
        <w:rPr>
          <w:rStyle w:val="30"/>
          <w:rFonts w:hint="eastAsia" w:eastAsia="黑体" w:cs="Times New Roman"/>
          <w:b w:val="0"/>
        </w:rPr>
        <w:t>　　十、</w:t>
      </w:r>
      <w:r>
        <w:rPr>
          <w:rStyle w:val="30"/>
          <w:rFonts w:ascii="Times New Roman" w:hAnsi="Times New Roman" w:eastAsia="黑体" w:cs="Times New Roman"/>
          <w:b w:val="0"/>
        </w:rPr>
        <w:t>其他重要事项的情况说明</w:t>
      </w:r>
      <w:bookmarkEnd w:id="42"/>
      <w:bookmarkEnd w:id="43"/>
    </w:p>
    <w:p>
      <w:pPr>
        <w:spacing w:line="600" w:lineRule="exact"/>
        <w:ind w:firstLine="640"/>
        <w:outlineLvl w:val="2"/>
        <w:rPr>
          <w:rFonts w:ascii="方正楷体_GBK" w:hAnsi="方正楷体_GBK" w:eastAsia="方正楷体_GBK" w:cs="方正楷体_GBK"/>
          <w:bCs/>
          <w:sz w:val="32"/>
          <w:szCs w:val="32"/>
        </w:rPr>
      </w:pPr>
      <w:bookmarkStart w:id="44" w:name="_Toc15377222"/>
      <w:r>
        <w:rPr>
          <w:rFonts w:ascii="方正楷体_GBK" w:hAnsi="方正楷体_GBK" w:eastAsia="方正楷体_GBK" w:cs="方正楷体_GBK"/>
          <w:bCs/>
          <w:sz w:val="32"/>
          <w:szCs w:val="32"/>
        </w:rPr>
        <w:t>（一）机关运行经费支出情况</w:t>
      </w:r>
      <w:bookmarkEnd w:id="44"/>
    </w:p>
    <w:p>
      <w:pPr>
        <w:spacing w:line="600" w:lineRule="exact"/>
        <w:ind w:firstLine="640" w:firstLineChars="200"/>
        <w:rPr>
          <w:rFonts w:eastAsia="仿宋_GB2312"/>
          <w:sz w:val="32"/>
          <w:szCs w:val="32"/>
        </w:rPr>
      </w:pPr>
      <w:r>
        <w:rPr>
          <w:rFonts w:eastAsia="仿宋_GB2312"/>
          <w:sz w:val="32"/>
          <w:szCs w:val="32"/>
        </w:rPr>
        <w:t>2022年，县纪委机关运行经费支出84.86万元，比2021年减少4.61万元，下降5.15%。主要原因是落实过紧日子要求，厉行节约，从严控制和压缩相关经费支出。</w:t>
      </w:r>
    </w:p>
    <w:p>
      <w:pPr>
        <w:spacing w:line="600" w:lineRule="exact"/>
        <w:ind w:firstLine="640"/>
        <w:outlineLvl w:val="2"/>
        <w:rPr>
          <w:rFonts w:ascii="方正楷体_GBK" w:hAnsi="方正楷体_GBK" w:eastAsia="方正楷体_GBK" w:cs="方正楷体_GBK"/>
          <w:bCs/>
          <w:sz w:val="32"/>
          <w:szCs w:val="32"/>
        </w:rPr>
      </w:pPr>
      <w:bookmarkStart w:id="45" w:name="_Toc15377223"/>
      <w:r>
        <w:rPr>
          <w:rFonts w:ascii="方正楷体_GBK" w:hAnsi="方正楷体_GBK" w:eastAsia="方正楷体_GBK" w:cs="方正楷体_GBK"/>
          <w:bCs/>
          <w:sz w:val="32"/>
          <w:szCs w:val="32"/>
        </w:rPr>
        <w:t>（二）政府采购支出情况</w:t>
      </w:r>
      <w:bookmarkEnd w:id="45"/>
    </w:p>
    <w:p>
      <w:pPr>
        <w:spacing w:line="600" w:lineRule="exact"/>
        <w:ind w:firstLine="640" w:firstLineChars="200"/>
        <w:rPr>
          <w:rFonts w:eastAsia="仿宋_GB2312"/>
          <w:sz w:val="32"/>
          <w:szCs w:val="32"/>
        </w:rPr>
      </w:pPr>
      <w:r>
        <w:rPr>
          <w:rFonts w:eastAsia="仿宋_GB2312"/>
          <w:sz w:val="32"/>
          <w:szCs w:val="32"/>
        </w:rPr>
        <w:t>2022年，县纪委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spacing w:line="600" w:lineRule="exact"/>
        <w:ind w:firstLine="640"/>
        <w:outlineLvl w:val="2"/>
        <w:rPr>
          <w:rFonts w:ascii="方正楷体_GBK" w:hAnsi="方正楷体_GBK" w:eastAsia="方正楷体_GBK" w:cs="方正楷体_GBK"/>
          <w:bCs/>
          <w:sz w:val="32"/>
          <w:szCs w:val="32"/>
        </w:rPr>
      </w:pPr>
      <w:bookmarkStart w:id="46" w:name="_Toc15377224"/>
      <w:r>
        <w:rPr>
          <w:rFonts w:ascii="方正楷体_GBK" w:hAnsi="方正楷体_GBK" w:eastAsia="方正楷体_GBK" w:cs="方正楷体_GBK"/>
          <w:bCs/>
          <w:sz w:val="32"/>
          <w:szCs w:val="32"/>
        </w:rPr>
        <w:t>（三）国有资产占有使用情况</w:t>
      </w:r>
      <w:bookmarkEnd w:id="46"/>
    </w:p>
    <w:p>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截至2022年12月31日，县纪委共有车辆2辆，其中：主要领导干部用车0辆、机要通信用车0辆、应急保障用车0辆、其他用车2辆，其他用车主要是用于案件办理。单价100万元以上专用设备1台（套）。</w:t>
      </w:r>
    </w:p>
    <w:p>
      <w:pPr>
        <w:spacing w:line="600" w:lineRule="exact"/>
        <w:ind w:firstLine="640"/>
        <w:outlineLvl w:val="2"/>
        <w:rPr>
          <w:rFonts w:ascii="方正楷体_GBK" w:hAnsi="方正楷体_GBK" w:eastAsia="方正楷体_GBK" w:cs="方正楷体_GBK"/>
          <w:bCs/>
          <w:sz w:val="32"/>
          <w:szCs w:val="32"/>
        </w:rPr>
      </w:pPr>
      <w:r>
        <w:rPr>
          <w:rFonts w:ascii="方正楷体_GBK" w:hAnsi="方正楷体_GBK" w:eastAsia="方正楷体_GBK" w:cs="方正楷体_GBK"/>
          <w:bCs/>
          <w:sz w:val="32"/>
          <w:szCs w:val="32"/>
        </w:rPr>
        <w:t>（四）预算绩效管理情况</w:t>
      </w:r>
    </w:p>
    <w:p>
      <w:pPr>
        <w:spacing w:line="600" w:lineRule="exact"/>
        <w:ind w:firstLine="640" w:firstLineChars="200"/>
        <w:rPr>
          <w:rFonts w:eastAsia="仿宋_GB2312"/>
          <w:sz w:val="32"/>
          <w:szCs w:val="32"/>
        </w:rPr>
      </w:pPr>
      <w:bookmarkStart w:id="47" w:name="_Toc15396613"/>
      <w:bookmarkStart w:id="48" w:name="_Toc15377225"/>
      <w:r>
        <w:rPr>
          <w:rFonts w:eastAsia="仿宋_GB2312"/>
          <w:sz w:val="32"/>
          <w:szCs w:val="32"/>
        </w:rPr>
        <w:t>根据预算绩效管理要求，本部门在2022年度预算编制阶段，组织对纪检监察干部培训费用等13个项目开展了预算事前绩效评估，对13个项目编制了绩效目标，预算执行过程中，</w:t>
      </w:r>
      <w:r>
        <w:rPr>
          <w:rFonts w:hint="eastAsia" w:eastAsia="仿宋_GB2312"/>
          <w:sz w:val="32"/>
          <w:szCs w:val="32"/>
          <w:lang w:eastAsia="zh-CN"/>
        </w:rPr>
        <w:t>对</w:t>
      </w:r>
      <w:r>
        <w:rPr>
          <w:rFonts w:hint="eastAsia" w:eastAsia="仿宋_GB2312"/>
          <w:sz w:val="32"/>
          <w:szCs w:val="32"/>
          <w:lang w:val="en-US" w:eastAsia="zh-CN"/>
        </w:rPr>
        <w:t>13</w:t>
      </w:r>
      <w:r>
        <w:rPr>
          <w:rFonts w:eastAsia="仿宋_GB2312"/>
          <w:sz w:val="32"/>
          <w:szCs w:val="32"/>
        </w:rPr>
        <w:t>个项目开展绩效监控，年终执行完毕后，对1个项目开展了绩效自评。同时，本部门对2022年部门整体开展绩效自评，《2022年盐边县纪委监委整体绩效评价报告》见附件（第四部分）。</w:t>
      </w:r>
    </w:p>
    <w:p>
      <w:pPr>
        <w:pStyle w:val="2"/>
        <w:spacing w:before="93"/>
        <w:rPr>
          <w:rFonts w:ascii="Times New Roman"/>
          <w:sz w:val="32"/>
          <w:szCs w:val="32"/>
        </w:rPr>
      </w:pPr>
    </w:p>
    <w:p>
      <w:pPr>
        <w:pStyle w:val="2"/>
        <w:spacing w:before="93"/>
        <w:rPr>
          <w:rFonts w:ascii="Times New Roman"/>
          <w:sz w:val="32"/>
          <w:szCs w:val="32"/>
        </w:rPr>
      </w:pPr>
    </w:p>
    <w:p>
      <w:pPr>
        <w:pStyle w:val="2"/>
        <w:spacing w:before="93"/>
        <w:rPr>
          <w:rFonts w:ascii="Times New Roman"/>
          <w:sz w:val="32"/>
          <w:szCs w:val="32"/>
        </w:rPr>
      </w:pPr>
    </w:p>
    <w:p>
      <w:pPr>
        <w:pStyle w:val="2"/>
        <w:spacing w:before="93"/>
        <w:rPr>
          <w:rFonts w:ascii="Times New Roman"/>
          <w:sz w:val="32"/>
          <w:szCs w:val="32"/>
        </w:rPr>
      </w:pPr>
    </w:p>
    <w:p>
      <w:pPr>
        <w:pStyle w:val="2"/>
        <w:spacing w:before="93"/>
        <w:rPr>
          <w:rFonts w:ascii="Times New Roman"/>
          <w:sz w:val="32"/>
          <w:szCs w:val="32"/>
        </w:rPr>
      </w:pPr>
    </w:p>
    <w:p>
      <w:pPr>
        <w:pStyle w:val="2"/>
        <w:spacing w:before="93"/>
        <w:rPr>
          <w:rFonts w:ascii="Times New Roman"/>
          <w:sz w:val="32"/>
          <w:szCs w:val="32"/>
        </w:rPr>
      </w:pPr>
    </w:p>
    <w:p>
      <w:pPr>
        <w:numPr>
          <w:ilvl w:val="0"/>
          <w:numId w:val="2"/>
        </w:numPr>
        <w:spacing w:line="600" w:lineRule="exact"/>
        <w:ind w:firstLine="660" w:firstLineChars="150"/>
        <w:jc w:val="center"/>
        <w:outlineLvl w:val="0"/>
        <w:rPr>
          <w:rStyle w:val="29"/>
          <w:rFonts w:eastAsia="黑体"/>
          <w:b w:val="0"/>
        </w:rPr>
      </w:pPr>
      <w:r>
        <w:rPr>
          <w:rFonts w:eastAsia="黑体"/>
          <w:sz w:val="44"/>
          <w:szCs w:val="44"/>
        </w:rPr>
        <w:t>名</w:t>
      </w:r>
      <w:r>
        <w:rPr>
          <w:rStyle w:val="29"/>
          <w:rFonts w:eastAsia="黑体"/>
          <w:b w:val="0"/>
        </w:rPr>
        <w:t>词解释</w:t>
      </w:r>
      <w:bookmarkEnd w:id="47"/>
      <w:bookmarkEnd w:id="48"/>
    </w:p>
    <w:p>
      <w:pPr>
        <w:spacing w:line="600" w:lineRule="exact"/>
        <w:jc w:val="left"/>
        <w:rPr>
          <w:b/>
          <w:sz w:val="44"/>
          <w:szCs w:val="44"/>
        </w:rPr>
      </w:pP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5.使用非财政拨款结余：指事业单位使用以前年度积累的非财政拨款结余弥补当年收支差额的金额。</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pPr>
        <w:spacing w:line="600" w:lineRule="exact"/>
        <w:ind w:firstLine="640" w:firstLineChars="200"/>
        <w:rPr>
          <w:rFonts w:eastAsia="仿宋_GB2312"/>
          <w:kern w:val="0"/>
          <w:sz w:val="32"/>
          <w:szCs w:val="32"/>
        </w:rPr>
      </w:pPr>
      <w:r>
        <w:rPr>
          <w:rFonts w:eastAsia="仿宋_GB2312"/>
          <w:kern w:val="0"/>
          <w:sz w:val="32"/>
          <w:szCs w:val="32"/>
        </w:rPr>
        <w:t>9.一般公共服务支出（类）纪检监察事务（款）行政运行（项）:指行政单位（包括实行公务员管理的事业单位）的基本支出。</w:t>
      </w:r>
    </w:p>
    <w:p>
      <w:pPr>
        <w:spacing w:line="600" w:lineRule="exact"/>
        <w:ind w:firstLine="640" w:firstLineChars="200"/>
        <w:rPr>
          <w:rFonts w:eastAsia="仿宋"/>
          <w:b/>
          <w:sz w:val="32"/>
          <w:szCs w:val="32"/>
        </w:rPr>
      </w:pPr>
      <w:r>
        <w:rPr>
          <w:rFonts w:eastAsia="仿宋_GB2312"/>
          <w:kern w:val="0"/>
          <w:sz w:val="32"/>
          <w:szCs w:val="32"/>
        </w:rPr>
        <w:t>10.一般公共服务支出（类）纪检监察事务（款）一般行政管理事务（项）:指行政单位（包括实行公务员管理的事业单位）未单独设置项级科目的其他项目支出</w:t>
      </w:r>
      <w:r>
        <w:rPr>
          <w:rStyle w:val="17"/>
          <w:rFonts w:eastAsia="仿宋"/>
          <w:b w:val="0"/>
          <w:bCs/>
          <w:sz w:val="32"/>
          <w:szCs w:val="32"/>
        </w:rPr>
        <w:t>。</w:t>
      </w:r>
    </w:p>
    <w:p>
      <w:pPr>
        <w:spacing w:line="600" w:lineRule="exact"/>
        <w:ind w:firstLine="640" w:firstLineChars="200"/>
        <w:rPr>
          <w:rFonts w:eastAsia="仿宋_GB2312"/>
          <w:kern w:val="0"/>
          <w:sz w:val="32"/>
          <w:szCs w:val="32"/>
        </w:rPr>
      </w:pPr>
      <w:r>
        <w:rPr>
          <w:rFonts w:eastAsia="仿宋_GB2312"/>
          <w:kern w:val="0"/>
          <w:sz w:val="32"/>
          <w:szCs w:val="32"/>
        </w:rPr>
        <w:t>11.一般公共服务支出（类）纪检监察事务（款）大案要案查处（项）:指查处大要（专）案的支出。</w:t>
      </w:r>
    </w:p>
    <w:p>
      <w:pPr>
        <w:spacing w:line="600" w:lineRule="exact"/>
        <w:rPr>
          <w:rFonts w:eastAsia="仿宋_GB2312"/>
          <w:kern w:val="0"/>
          <w:sz w:val="32"/>
          <w:szCs w:val="32"/>
        </w:rPr>
      </w:pPr>
      <w:r>
        <w:rPr>
          <w:rFonts w:hint="eastAsia" w:eastAsia="仿宋_GB2312"/>
          <w:kern w:val="0"/>
          <w:sz w:val="32"/>
          <w:szCs w:val="32"/>
        </w:rPr>
        <w:t>　　</w:t>
      </w:r>
      <w:r>
        <w:rPr>
          <w:rFonts w:eastAsia="仿宋_GB2312"/>
          <w:kern w:val="0"/>
          <w:sz w:val="32"/>
          <w:szCs w:val="32"/>
        </w:rPr>
        <w:t>12.一般公共服务支出（类）纪检监察事务（款）巡视工作（项）:指中央和地方巡视机构的专项业务支出。</w:t>
      </w:r>
    </w:p>
    <w:p>
      <w:pPr>
        <w:spacing w:line="600" w:lineRule="exact"/>
        <w:rPr>
          <w:rFonts w:eastAsia="仿宋_GB2312"/>
          <w:kern w:val="0"/>
          <w:sz w:val="32"/>
          <w:szCs w:val="32"/>
        </w:rPr>
      </w:pPr>
      <w:r>
        <w:rPr>
          <w:rStyle w:val="17"/>
          <w:rFonts w:hint="eastAsia" w:eastAsia="仿宋"/>
          <w:b w:val="0"/>
          <w:bCs/>
          <w:sz w:val="32"/>
          <w:szCs w:val="32"/>
        </w:rPr>
        <w:t>　　</w:t>
      </w:r>
      <w:r>
        <w:rPr>
          <w:rStyle w:val="17"/>
          <w:rFonts w:eastAsia="仿宋"/>
          <w:b w:val="0"/>
          <w:bCs/>
          <w:sz w:val="32"/>
          <w:szCs w:val="32"/>
        </w:rPr>
        <w:t>13.</w:t>
      </w:r>
      <w:r>
        <w:rPr>
          <w:rFonts w:eastAsia="仿宋_GB2312"/>
          <w:kern w:val="0"/>
          <w:sz w:val="32"/>
          <w:szCs w:val="32"/>
        </w:rPr>
        <w:t>一般公共服务支出（类）纪检监察事务（款）事业运行（项）:指事业单位的基本支出，不包括行政单位（包括实行公务员管理的事业单位）后勤服务中心、医务室等附属事业单位。</w:t>
      </w:r>
    </w:p>
    <w:p>
      <w:pPr>
        <w:spacing w:line="600" w:lineRule="exact"/>
        <w:rPr>
          <w:rFonts w:eastAsia="仿宋_GB2312"/>
          <w:kern w:val="0"/>
          <w:sz w:val="32"/>
          <w:szCs w:val="32"/>
        </w:rPr>
      </w:pPr>
      <w:r>
        <w:rPr>
          <w:rStyle w:val="17"/>
          <w:rFonts w:hint="eastAsia" w:eastAsia="仿宋"/>
          <w:b w:val="0"/>
          <w:bCs/>
          <w:sz w:val="32"/>
          <w:szCs w:val="32"/>
        </w:rPr>
        <w:t>　　</w:t>
      </w:r>
      <w:r>
        <w:rPr>
          <w:rStyle w:val="17"/>
          <w:rFonts w:eastAsia="仿宋"/>
          <w:b w:val="0"/>
          <w:bCs/>
          <w:sz w:val="32"/>
          <w:szCs w:val="32"/>
        </w:rPr>
        <w:t>14.</w:t>
      </w:r>
      <w:r>
        <w:rPr>
          <w:rFonts w:eastAsia="仿宋_GB2312"/>
          <w:kern w:val="0"/>
          <w:sz w:val="32"/>
          <w:szCs w:val="32"/>
        </w:rPr>
        <w:t>一般公共服务支出（类）纪检监察事务（款） 其他纪检监察事务支出（项）:指除行政运行、一般行政管理事务、机关服务、公务员事务、事业运行以外其他用于纪检监察事务方面的支出。</w:t>
      </w:r>
    </w:p>
    <w:p>
      <w:pPr>
        <w:pStyle w:val="2"/>
        <w:spacing w:before="93"/>
        <w:rPr>
          <w:rFonts w:ascii="Times New Roman"/>
          <w:sz w:val="32"/>
          <w:szCs w:val="32"/>
        </w:rPr>
      </w:pPr>
      <w:r>
        <w:rPr>
          <w:rFonts w:hint="eastAsia" w:ascii="Times New Roman"/>
          <w:sz w:val="32"/>
          <w:szCs w:val="32"/>
        </w:rPr>
        <w:t>　　</w:t>
      </w:r>
      <w:r>
        <w:rPr>
          <w:rFonts w:ascii="Times New Roman"/>
          <w:sz w:val="32"/>
          <w:szCs w:val="32"/>
        </w:rPr>
        <w:t>15.社会保障和就业支出（类）行政事业单位养老支出（款）行政单位离退休（项）:指行政单位（包括实行公务员管理的事业单位）开支的离退休经费。</w:t>
      </w:r>
    </w:p>
    <w:p>
      <w:pPr>
        <w:pStyle w:val="2"/>
        <w:spacing w:before="93"/>
        <w:rPr>
          <w:rFonts w:ascii="Times New Roman"/>
          <w:sz w:val="32"/>
          <w:szCs w:val="32"/>
        </w:rPr>
      </w:pPr>
      <w:r>
        <w:rPr>
          <w:rFonts w:hint="eastAsia" w:ascii="Times New Roman"/>
          <w:sz w:val="32"/>
          <w:szCs w:val="32"/>
        </w:rPr>
        <w:t>　　</w:t>
      </w:r>
      <w:r>
        <w:rPr>
          <w:rFonts w:ascii="Times New Roman"/>
          <w:sz w:val="32"/>
          <w:szCs w:val="32"/>
        </w:rPr>
        <w:t>16.社会保障和就业支出（类）行政事业单位养老支出（款）机关事业单位基本养老保险缴费支出（项）:指机关事业单位实施养老保险制度由单位缴纳的基本养老保险费支出。</w:t>
      </w:r>
    </w:p>
    <w:p>
      <w:pPr>
        <w:pStyle w:val="2"/>
        <w:spacing w:before="93"/>
        <w:rPr>
          <w:rFonts w:ascii="Times New Roman"/>
          <w:sz w:val="32"/>
          <w:szCs w:val="32"/>
        </w:rPr>
      </w:pPr>
      <w:r>
        <w:rPr>
          <w:rFonts w:hint="eastAsia" w:ascii="Times New Roman"/>
          <w:sz w:val="32"/>
          <w:szCs w:val="32"/>
        </w:rPr>
        <w:t>　　</w:t>
      </w:r>
      <w:r>
        <w:rPr>
          <w:rFonts w:ascii="Times New Roman"/>
          <w:sz w:val="32"/>
          <w:szCs w:val="32"/>
        </w:rPr>
        <w:t>17.社会保障和就业支出（类）行政事业单位养老支出（款） 机关事业单位职业年金缴费支出（项）:指机关事业单位实施养老保险制度由单位实际缴纳的职业年金支出。</w:t>
      </w:r>
    </w:p>
    <w:p>
      <w:pPr>
        <w:pStyle w:val="2"/>
        <w:spacing w:before="93"/>
        <w:rPr>
          <w:rStyle w:val="17"/>
          <w:rFonts w:ascii="Times New Roman" w:eastAsia="仿宋"/>
          <w:b w:val="0"/>
          <w:bCs/>
          <w:sz w:val="32"/>
          <w:szCs w:val="32"/>
        </w:rPr>
      </w:pPr>
      <w:r>
        <w:rPr>
          <w:rFonts w:hint="eastAsia" w:ascii="Times New Roman"/>
          <w:sz w:val="32"/>
          <w:szCs w:val="32"/>
        </w:rPr>
        <w:t>　　</w:t>
      </w:r>
      <w:r>
        <w:rPr>
          <w:rFonts w:ascii="Times New Roman"/>
          <w:sz w:val="32"/>
          <w:szCs w:val="32"/>
        </w:rPr>
        <w:t>18.社会保障和就业支出（类）抚恤（款）伤残抚恤（项）:指按规定用于伤残人员的抚恤金和按规定开支的各种伤残</w:t>
      </w:r>
      <w:r>
        <w:rPr>
          <w:rStyle w:val="17"/>
          <w:rFonts w:ascii="Times New Roman" w:eastAsia="仿宋"/>
          <w:b w:val="0"/>
          <w:bCs/>
          <w:sz w:val="32"/>
          <w:szCs w:val="32"/>
        </w:rPr>
        <w:t>。</w:t>
      </w:r>
    </w:p>
    <w:p>
      <w:pPr>
        <w:pStyle w:val="2"/>
        <w:spacing w:before="93"/>
        <w:rPr>
          <w:rFonts w:ascii="Times New Roman"/>
          <w:sz w:val="32"/>
          <w:szCs w:val="32"/>
        </w:rPr>
      </w:pPr>
      <w:r>
        <w:rPr>
          <w:rFonts w:hint="eastAsia" w:ascii="Times New Roman"/>
          <w:sz w:val="32"/>
          <w:szCs w:val="32"/>
        </w:rPr>
        <w:t>　　</w:t>
      </w:r>
      <w:r>
        <w:rPr>
          <w:rFonts w:ascii="Times New Roman"/>
          <w:sz w:val="32"/>
          <w:szCs w:val="32"/>
        </w:rPr>
        <w:t>19.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pPr>
        <w:widowControl/>
        <w:shd w:val="clear" w:color="auto" w:fill="FFFFFF"/>
        <w:spacing w:line="560" w:lineRule="exact"/>
        <w:jc w:val="left"/>
        <w:rPr>
          <w:rFonts w:eastAsia="仿宋_GB2312"/>
          <w:kern w:val="0"/>
          <w:sz w:val="32"/>
          <w:szCs w:val="32"/>
        </w:rPr>
      </w:pPr>
      <w:r>
        <w:rPr>
          <w:rFonts w:hint="eastAsia" w:eastAsia="仿宋_GB2312"/>
          <w:kern w:val="0"/>
          <w:sz w:val="32"/>
          <w:szCs w:val="32"/>
        </w:rPr>
        <w:t>　　</w:t>
      </w:r>
      <w:r>
        <w:rPr>
          <w:rFonts w:eastAsia="仿宋_GB2312"/>
          <w:kern w:val="0"/>
          <w:sz w:val="32"/>
          <w:szCs w:val="32"/>
        </w:rPr>
        <w:t>20.卫生健康支出（类）行政事业单位医疗（款）事业单位医疗（项）:指财政部门安排的事业单位基本医疗保险缴费经费，未参加医疗保险的事业单位的公费医疗经费，按国家规定享受离休人员待遇的医疗经费。</w:t>
      </w:r>
    </w:p>
    <w:p>
      <w:pPr>
        <w:pStyle w:val="2"/>
        <w:spacing w:before="93"/>
        <w:rPr>
          <w:rStyle w:val="17"/>
          <w:rFonts w:ascii="Times New Roman" w:eastAsia="仿宋"/>
          <w:b w:val="0"/>
          <w:bCs/>
          <w:sz w:val="32"/>
          <w:szCs w:val="32"/>
        </w:rPr>
      </w:pPr>
      <w:r>
        <w:rPr>
          <w:rFonts w:hint="eastAsia" w:ascii="Times New Roman"/>
          <w:sz w:val="32"/>
          <w:szCs w:val="32"/>
        </w:rPr>
        <w:t>　　</w:t>
      </w:r>
      <w:r>
        <w:rPr>
          <w:rFonts w:ascii="Times New Roman"/>
          <w:sz w:val="32"/>
          <w:szCs w:val="32"/>
        </w:rPr>
        <w:t>21.卫生健康支出（类）行政事业单位医疗（款）公务员医疗补助（项）:指财政部门安排的公务员医疗补助经费。</w:t>
      </w:r>
    </w:p>
    <w:p>
      <w:pPr>
        <w:pStyle w:val="2"/>
        <w:spacing w:before="93"/>
        <w:rPr>
          <w:rFonts w:ascii="Times New Roman"/>
          <w:sz w:val="32"/>
          <w:szCs w:val="32"/>
        </w:rPr>
      </w:pPr>
      <w:r>
        <w:rPr>
          <w:rFonts w:hint="eastAsia" w:ascii="Times New Roman"/>
          <w:sz w:val="32"/>
          <w:szCs w:val="32"/>
        </w:rPr>
        <w:t>　　</w:t>
      </w:r>
      <w:r>
        <w:rPr>
          <w:rFonts w:ascii="Times New Roman"/>
          <w:sz w:val="32"/>
          <w:szCs w:val="32"/>
        </w:rPr>
        <w:t>22.卫生健康支出（类）行政事业单位医疗（款）其他行政事业单位医疗支出（项）:指除行政单位医疗、事业单位医疗、公务员医疗补助的其他用于行政事业单位医疗方面的支出。</w:t>
      </w:r>
    </w:p>
    <w:p>
      <w:pPr>
        <w:rPr>
          <w:rFonts w:eastAsia="仿宋_GB2312"/>
          <w:kern w:val="0"/>
          <w:sz w:val="32"/>
          <w:szCs w:val="32"/>
        </w:rPr>
      </w:pPr>
      <w:r>
        <w:rPr>
          <w:rFonts w:hint="eastAsia" w:eastAsia="仿宋_GB2312"/>
          <w:kern w:val="0"/>
          <w:sz w:val="32"/>
          <w:szCs w:val="32"/>
        </w:rPr>
        <w:t>　　</w:t>
      </w:r>
      <w:r>
        <w:rPr>
          <w:rFonts w:eastAsia="仿宋_GB2312"/>
          <w:kern w:val="0"/>
          <w:sz w:val="32"/>
          <w:szCs w:val="32"/>
        </w:rPr>
        <w:t>23.住房保障支出（类）住房改革支出(款）住房公积金（项）：</w:t>
      </w:r>
      <w:r>
        <w:rPr>
          <w:rFonts w:eastAsia="仿宋_GB2312"/>
          <w:bCs/>
          <w:color w:val="000000"/>
          <w:sz w:val="32"/>
          <w:szCs w:val="32"/>
        </w:rPr>
        <w:t>指行政事业单位按人力资源和社会保障部、财政部规定的基本工资和津贴补贴以及规定比例为职工缴纳的住房公积金</w:t>
      </w:r>
      <w:r>
        <w:rPr>
          <w:rFonts w:eastAsia="仿宋_GB2312"/>
          <w:kern w:val="0"/>
          <w:sz w:val="32"/>
          <w:szCs w:val="32"/>
        </w:rPr>
        <w:t>。</w:t>
      </w:r>
    </w:p>
    <w:p>
      <w:pPr>
        <w:rPr>
          <w:rFonts w:eastAsia="仿宋_GB2312"/>
          <w:sz w:val="32"/>
          <w:szCs w:val="32"/>
        </w:rPr>
      </w:pPr>
      <w:r>
        <w:rPr>
          <w:rFonts w:hint="eastAsia" w:eastAsia="仿宋_GB2312"/>
          <w:sz w:val="32"/>
          <w:szCs w:val="32"/>
        </w:rPr>
        <w:t>　　</w:t>
      </w:r>
      <w:r>
        <w:rPr>
          <w:rFonts w:eastAsia="仿宋_GB2312"/>
          <w:sz w:val="32"/>
          <w:szCs w:val="32"/>
        </w:rPr>
        <w:t>24.基本支出：指为保障机构正常运转、完成日常工作任务而发生的人员支出和公用支出。</w:t>
      </w:r>
    </w:p>
    <w:p>
      <w:pPr>
        <w:ind w:firstLine="640" w:firstLineChars="200"/>
        <w:rPr>
          <w:rFonts w:eastAsia="仿宋_GB2312"/>
          <w:sz w:val="32"/>
          <w:szCs w:val="32"/>
        </w:rPr>
      </w:pPr>
      <w:r>
        <w:rPr>
          <w:rFonts w:eastAsia="仿宋_GB2312"/>
          <w:sz w:val="32"/>
          <w:szCs w:val="32"/>
        </w:rPr>
        <w:t>25.项目支出：指在基本支出之外为完成特定行政任务和事业发展目标所发生的支出。</w:t>
      </w:r>
    </w:p>
    <w:p>
      <w:pPr>
        <w:ind w:firstLine="640" w:firstLineChars="200"/>
        <w:rPr>
          <w:rFonts w:eastAsia="仿宋_GB2312"/>
          <w:sz w:val="32"/>
          <w:szCs w:val="32"/>
        </w:rPr>
      </w:pPr>
      <w:r>
        <w:rPr>
          <w:rFonts w:eastAsia="仿宋_GB2312"/>
          <w:sz w:val="32"/>
          <w:szCs w:val="32"/>
        </w:rPr>
        <w:t>26.经营支出：指事业单位在专业业务活动及其辅助活动之外开展非独立核算经营活动发生的支出。</w:t>
      </w:r>
    </w:p>
    <w:p>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27.“三公”经费：指部门用财政拨款安排的因公出国（境）费、公务用车购置及运行费和公务接待费。其中，因公出国（境）费反映单位公务出国（境）的国际旅费、国外城市间交通费、住宿费、伙食费、培训费、公杂费等支出；公务用车购置及运行</w:t>
      </w:r>
      <w:r>
        <w:rPr>
          <w:rFonts w:hint="eastAsia" w:ascii="Times New Roman" w:hAnsi="Times New Roman" w:eastAsia="仿宋_GB2312" w:cs="Times New Roman"/>
          <w:color w:val="auto"/>
          <w:sz w:val="32"/>
          <w:szCs w:val="32"/>
          <w:lang w:eastAsia="zh-CN"/>
        </w:rPr>
        <w:t>维护</w:t>
      </w:r>
      <w:r>
        <w:rPr>
          <w:rFonts w:ascii="Times New Roman" w:hAnsi="Times New Roman" w:eastAsia="仿宋_GB2312" w:cs="Times New Roman"/>
          <w:color w:val="auto"/>
          <w:sz w:val="32"/>
          <w:szCs w:val="32"/>
        </w:rPr>
        <w:t>费反映单位公务用车购置支出（含车辆购置税</w:t>
      </w:r>
      <w:r>
        <w:rPr>
          <w:rFonts w:hint="eastAsia" w:ascii="Times New Roman" w:hAnsi="Times New Roman" w:eastAsia="仿宋_GB2312" w:cs="Times New Roman"/>
          <w:color w:val="auto"/>
          <w:sz w:val="32"/>
          <w:szCs w:val="32"/>
          <w:lang w:eastAsia="zh-CN"/>
        </w:rPr>
        <w:t>、牌照费</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及按规定保留的公务用车</w:t>
      </w:r>
      <w:r>
        <w:rPr>
          <w:rFonts w:ascii="Times New Roman" w:hAnsi="Times New Roman" w:eastAsia="仿宋_GB2312" w:cs="Times New Roman"/>
          <w:color w:val="auto"/>
          <w:sz w:val="32"/>
          <w:szCs w:val="32"/>
        </w:rPr>
        <w:t>燃料费、维修费、过桥</w:t>
      </w:r>
      <w:r>
        <w:rPr>
          <w:rFonts w:hint="eastAsia" w:ascii="Times New Roman" w:hAnsi="Times New Roman" w:eastAsia="仿宋_GB2312" w:cs="Times New Roman"/>
          <w:color w:val="auto"/>
          <w:sz w:val="32"/>
          <w:szCs w:val="32"/>
          <w:lang w:eastAsia="zh-CN"/>
        </w:rPr>
        <w:t>过路</w:t>
      </w:r>
      <w:r>
        <w:rPr>
          <w:rFonts w:ascii="Times New Roman" w:hAnsi="Times New Roman" w:eastAsia="仿宋_GB2312" w:cs="Times New Roman"/>
          <w:color w:val="auto"/>
          <w:sz w:val="32"/>
          <w:szCs w:val="32"/>
        </w:rPr>
        <w:t>费、保险费</w:t>
      </w:r>
      <w:r>
        <w:rPr>
          <w:rFonts w:hint="eastAsia" w:ascii="Times New Roman" w:hAnsi="Times New Roman" w:eastAsia="仿宋_GB2312" w:cs="Times New Roman"/>
          <w:color w:val="auto"/>
          <w:sz w:val="32"/>
          <w:szCs w:val="32"/>
          <w:lang w:eastAsia="zh-CN"/>
        </w:rPr>
        <w:t>、安全奖励费用</w:t>
      </w:r>
      <w:r>
        <w:rPr>
          <w:rFonts w:ascii="Times New Roman" w:hAnsi="Times New Roman" w:eastAsia="仿宋_GB2312" w:cs="Times New Roman"/>
          <w:color w:val="auto"/>
          <w:sz w:val="32"/>
          <w:szCs w:val="32"/>
        </w:rPr>
        <w:t>等支出；公务接待费反映单位按规定开支的各类公务接待（含外宾接待）</w:t>
      </w:r>
      <w:r>
        <w:rPr>
          <w:rFonts w:hint="eastAsia" w:ascii="Times New Roman" w:hAnsi="Times New Roman" w:eastAsia="仿宋_GB2312" w:cs="Times New Roman"/>
          <w:color w:val="auto"/>
          <w:sz w:val="32"/>
          <w:szCs w:val="32"/>
          <w:lang w:eastAsia="zh-CN"/>
        </w:rPr>
        <w:t>费用</w:t>
      </w:r>
      <w:r>
        <w:rPr>
          <w:rFonts w:ascii="Times New Roman" w:hAnsi="Times New Roman" w:eastAsia="仿宋_GB2312" w:cs="Times New Roman"/>
          <w:color w:val="auto"/>
          <w:sz w:val="32"/>
          <w:szCs w:val="32"/>
        </w:rPr>
        <w:t>。</w:t>
      </w:r>
    </w:p>
    <w:p>
      <w:pPr>
        <w:pStyle w:val="27"/>
        <w:spacing w:line="560" w:lineRule="exact"/>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w:t>
      </w:r>
      <w:r>
        <w:rPr>
          <w:rFonts w:ascii="Times New Roman" w:hAnsi="Times New Roman" w:eastAsia="仿宋_GB2312" w:cs="Times New Roman"/>
          <w:color w:val="auto"/>
          <w:sz w:val="32"/>
          <w:szCs w:val="32"/>
        </w:rPr>
        <w:t>28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eastAsia="黑体"/>
          <w:sz w:val="44"/>
          <w:szCs w:val="44"/>
        </w:rPr>
      </w:pPr>
      <w:bookmarkStart w:id="49" w:name="_Toc15377226"/>
    </w:p>
    <w:p>
      <w:pPr>
        <w:pStyle w:val="2"/>
        <w:spacing w:before="93"/>
        <w:rPr>
          <w:rFonts w:ascii="Times New Roman" w:eastAsia="黑体"/>
          <w:sz w:val="44"/>
          <w:szCs w:val="44"/>
        </w:rPr>
      </w:pPr>
    </w:p>
    <w:p>
      <w:pPr>
        <w:pStyle w:val="2"/>
        <w:spacing w:before="93"/>
        <w:rPr>
          <w:rFonts w:ascii="Times New Roman" w:eastAsia="黑体"/>
          <w:sz w:val="44"/>
          <w:szCs w:val="44"/>
        </w:rPr>
      </w:pPr>
    </w:p>
    <w:p>
      <w:pPr>
        <w:pStyle w:val="2"/>
        <w:spacing w:before="93"/>
        <w:rPr>
          <w:rFonts w:ascii="Times New Roman" w:eastAsia="黑体"/>
          <w:sz w:val="44"/>
          <w:szCs w:val="44"/>
        </w:rPr>
      </w:pPr>
    </w:p>
    <w:p>
      <w:pPr>
        <w:pStyle w:val="2"/>
        <w:spacing w:before="93"/>
        <w:rPr>
          <w:rFonts w:ascii="Times New Roman" w:eastAsia="黑体"/>
          <w:sz w:val="44"/>
          <w:szCs w:val="44"/>
        </w:rPr>
      </w:pPr>
    </w:p>
    <w:p>
      <w:pPr>
        <w:spacing w:line="600" w:lineRule="exact"/>
        <w:jc w:val="center"/>
        <w:outlineLvl w:val="0"/>
        <w:rPr>
          <w:rStyle w:val="29"/>
          <w:rFonts w:eastAsia="黑体"/>
          <w:b w:val="0"/>
        </w:rPr>
      </w:pPr>
      <w:r>
        <w:rPr>
          <w:rFonts w:eastAsia="黑体"/>
          <w:sz w:val="44"/>
          <w:szCs w:val="44"/>
        </w:rPr>
        <w:t>第</w:t>
      </w:r>
      <w:r>
        <w:rPr>
          <w:rStyle w:val="29"/>
          <w:rFonts w:eastAsia="黑体"/>
          <w:b w:val="0"/>
        </w:rPr>
        <w:t>四部分 附件</w:t>
      </w:r>
    </w:p>
    <w:p>
      <w:pPr>
        <w:widowControl/>
        <w:spacing w:line="560" w:lineRule="exact"/>
        <w:contextualSpacing/>
        <w:rPr>
          <w:rFonts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rPr>
        <w:t>附件1</w:t>
      </w:r>
    </w:p>
    <w:p>
      <w:pPr>
        <w:pStyle w:val="2"/>
        <w:spacing w:before="93"/>
      </w:pPr>
    </w:p>
    <w:p>
      <w:pPr>
        <w:widowControl/>
        <w:spacing w:line="560" w:lineRule="exact"/>
        <w:contextualSpacing/>
        <w:jc w:val="center"/>
        <w:rPr>
          <w:b/>
          <w:color w:val="000000" w:themeColor="text1"/>
          <w:sz w:val="32"/>
          <w:szCs w:val="32"/>
          <w:shd w:val="clear" w:color="auto" w:fill="FFFFFF"/>
          <w14:textFill>
            <w14:solidFill>
              <w14:schemeClr w14:val="tx1"/>
            </w14:solidFill>
          </w14:textFill>
        </w:rPr>
      </w:pPr>
      <w:r>
        <w:rPr>
          <w:rFonts w:hint="default" w:ascii="Times New Roman" w:hAnsi="Times New Roman" w:eastAsia="方正小标宋_GBK" w:cs="Times New Roman"/>
          <w:bCs/>
          <w:color w:val="000000" w:themeColor="text1"/>
          <w:sz w:val="44"/>
          <w:szCs w:val="44"/>
          <w:shd w:val="clear" w:color="auto" w:fill="FFFFFF"/>
          <w14:textFill>
            <w14:solidFill>
              <w14:schemeClr w14:val="tx1"/>
            </w14:solidFill>
          </w14:textFill>
        </w:rPr>
        <w:t>2022年</w:t>
      </w:r>
      <w:r>
        <w:rPr>
          <w:rFonts w:hint="eastAsia" w:ascii="方正小标宋_GBK" w:hAnsi="方正小标宋_GBK" w:eastAsia="方正小标宋_GBK" w:cs="方正小标宋_GBK"/>
          <w:bCs/>
          <w:color w:val="000000" w:themeColor="text1"/>
          <w:sz w:val="44"/>
          <w:szCs w:val="44"/>
          <w:shd w:val="clear" w:color="auto" w:fill="FFFFFF"/>
          <w14:textFill>
            <w14:solidFill>
              <w14:schemeClr w14:val="tx1"/>
            </w14:solidFill>
          </w14:textFill>
        </w:rPr>
        <w:t>盐边县纪委监委整体绩效评价报告</w:t>
      </w:r>
    </w:p>
    <w:p>
      <w:pPr>
        <w:widowControl/>
        <w:adjustRightInd w:val="0"/>
        <w:snapToGrid w:val="0"/>
        <w:spacing w:line="560" w:lineRule="exact"/>
        <w:ind w:firstLine="640" w:firstLineChars="200"/>
        <w:contextualSpacing/>
        <w:jc w:val="left"/>
        <w:rPr>
          <w:rFonts w:eastAsia="黑体"/>
          <w:kern w:val="0"/>
          <w:sz w:val="32"/>
          <w:szCs w:val="32"/>
          <w:highlight w:val="yellow"/>
          <w:shd w:val="clear" w:color="auto" w:fill="FFFFFF"/>
        </w:rPr>
      </w:pPr>
    </w:p>
    <w:p>
      <w:pPr>
        <w:widowControl/>
        <w:numPr>
          <w:ilvl w:val="0"/>
          <w:numId w:val="3"/>
        </w:numPr>
        <w:adjustRightInd w:val="0"/>
        <w:snapToGrid w:val="0"/>
        <w:spacing w:line="560"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部门（单位）基本情况</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（一）机构组成</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2022年末，县纪委监委实有内设科室13个室（部）：办公室、组织部、宣传部、党风政风监督室、第一至第五纪检监察室、案件审理室、案件申诉复查室、信访室、案管室。直属事业单位：纪检监察教育培训与信息中心，无独立预算权限。另外中共盐边县委巡察工作领导小组办公室列入县委工作机关序列。</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（二）机构职能</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盐边县纪委监委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（三）人员概况</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2022年度因工作调动的原因，我单位人数较上年有所减少。其中，招录行政人员2人，调入行政人员12人，调入机关工勤1人，调出行政人员16人，退休机关工勤1人。截止2022年末，单位实有人员47人，其中行政人员38人、机关工勤人员2人、事业人员7人。</w:t>
      </w:r>
    </w:p>
    <w:p>
      <w:pPr>
        <w:ind w:firstLine="660" w:firstLineChars="200"/>
        <w:rPr>
          <w:rFonts w:eastAsia="方正黑体_GBK"/>
          <w:sz w:val="33"/>
          <w:szCs w:val="33"/>
        </w:rPr>
      </w:pPr>
      <w:r>
        <w:rPr>
          <w:rFonts w:eastAsia="方正黑体_GBK"/>
          <w:sz w:val="33"/>
          <w:szCs w:val="33"/>
        </w:rPr>
        <w:t>二、部门财政资金收支情况</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（一）部门财政资金收入情况</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2022年县纪委监委决算收入总额1877.32万元，其中：当年财政拨款收入1495.48万元，年初结转资金收入381.84万元。</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（二）部门财政资金支出情况</w:t>
      </w:r>
    </w:p>
    <w:p>
      <w:pPr>
        <w:ind w:firstLine="640" w:firstLineChars="200"/>
        <w:rPr>
          <w:rFonts w:eastAsia="方正仿宋_GBK"/>
          <w:sz w:val="33"/>
          <w:szCs w:val="33"/>
        </w:rPr>
      </w:pPr>
      <w:r>
        <w:rPr>
          <w:rFonts w:ascii="Times New Roman" w:hAnsi="Times New Roman" w:eastAsia="仿宋_GB2312" w:cs="Times New Roman"/>
          <w:color w:val="auto"/>
          <w:kern w:val="0"/>
          <w:sz w:val="32"/>
          <w:szCs w:val="32"/>
          <w:lang w:val="en-US" w:eastAsia="zh-CN" w:bidi="ar-SA"/>
        </w:rPr>
        <w:t>2022年县纪委监委决算支出总额1877.32万元，其中：基本支出1023.10万元，项目支出854.22万元。</w:t>
      </w:r>
    </w:p>
    <w:p>
      <w:pPr>
        <w:widowControl/>
        <w:adjustRightInd w:val="0"/>
        <w:snapToGrid w:val="0"/>
        <w:ind w:firstLine="660" w:firstLineChars="200"/>
        <w:jc w:val="left"/>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（三）财政资金结转结余情况</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上年结转本年资金收入381.84万元；本年无结转和结余。</w:t>
      </w:r>
    </w:p>
    <w:p>
      <w:pPr>
        <w:ind w:firstLine="660" w:firstLineChars="200"/>
        <w:rPr>
          <w:rFonts w:eastAsia="方正黑体_GBK"/>
          <w:sz w:val="33"/>
          <w:szCs w:val="33"/>
        </w:rPr>
      </w:pPr>
      <w:r>
        <w:rPr>
          <w:rFonts w:eastAsia="方正黑体_GBK"/>
          <w:sz w:val="33"/>
          <w:szCs w:val="33"/>
        </w:rPr>
        <w:t>三、部门整体预算绩效管理情况</w:t>
      </w:r>
    </w:p>
    <w:p>
      <w:pPr>
        <w:ind w:firstLine="660" w:firstLineChars="200"/>
        <w:rPr>
          <w:rFonts w:eastAsia="方正仿宋_GBK"/>
          <w:bCs/>
          <w:sz w:val="33"/>
          <w:szCs w:val="33"/>
        </w:rPr>
      </w:pPr>
      <w:r>
        <w:rPr>
          <w:rFonts w:eastAsia="方正楷体_GBK"/>
          <w:bCs/>
          <w:color w:val="000000"/>
          <w:kern w:val="0"/>
          <w:sz w:val="33"/>
          <w:szCs w:val="33"/>
          <w:shd w:val="clear" w:color="auto" w:fill="FFFFFF"/>
          <w:lang w:val="zh-CN"/>
        </w:rPr>
        <w:t>（一）部门预算项目绩效管理</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1.总体绩效：</w:t>
      </w:r>
      <w:r>
        <w:rPr>
          <w:rFonts w:ascii="Times New Roman" w:hAnsi="Times New Roman" w:eastAsia="仿宋_GB2312" w:cs="Times New Roman"/>
          <w:color w:val="auto"/>
          <w:kern w:val="0"/>
          <w:sz w:val="32"/>
          <w:szCs w:val="32"/>
          <w:lang w:val="en-US" w:eastAsia="zh-CN" w:bidi="ar-SA"/>
        </w:rPr>
        <w:t xml:space="preserve">2022全年预算数1877.32万元，执行1877.32万元，执行率达100%。 </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2.主要目标绩效完成情况：</w:t>
      </w:r>
      <w:r>
        <w:rPr>
          <w:rFonts w:ascii="Times New Roman" w:hAnsi="Times New Roman" w:eastAsia="仿宋_GB2312" w:cs="Times New Roman"/>
          <w:color w:val="auto"/>
          <w:kern w:val="0"/>
          <w:sz w:val="32"/>
          <w:szCs w:val="32"/>
          <w:lang w:val="en-US" w:eastAsia="zh-CN" w:bidi="ar-SA"/>
        </w:rPr>
        <w:t>数量指标完成情况优良，质量指标完成情况良好，时效指标完成情况良好，成本指标完成情况优良；社会效益指标和满意度指标均为优良。</w:t>
      </w:r>
    </w:p>
    <w:p>
      <w:pPr>
        <w:ind w:firstLine="660" w:firstLineChars="200"/>
        <w:rPr>
          <w:rFonts w:eastAsia="方正楷体_GBK"/>
          <w:bCs/>
          <w:color w:val="000000"/>
          <w:kern w:val="0"/>
          <w:sz w:val="33"/>
          <w:szCs w:val="33"/>
          <w:shd w:val="clear" w:color="auto" w:fill="FFFFFF"/>
          <w:lang w:val="zh-CN"/>
        </w:rPr>
      </w:pPr>
      <w:r>
        <w:rPr>
          <w:rFonts w:eastAsia="方正楷体_GBK"/>
          <w:bCs/>
          <w:color w:val="000000"/>
          <w:kern w:val="0"/>
          <w:sz w:val="33"/>
          <w:szCs w:val="33"/>
          <w:shd w:val="clear" w:color="auto" w:fill="FFFFFF"/>
          <w:lang w:val="zh-CN"/>
        </w:rPr>
        <w:t>（二）结果应用情况</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1.全年基本支出及专项资金分配情况。</w:t>
      </w:r>
      <w:r>
        <w:rPr>
          <w:rFonts w:ascii="Times New Roman" w:hAnsi="Times New Roman" w:eastAsia="仿宋_GB2312" w:cs="Times New Roman"/>
          <w:color w:val="auto"/>
          <w:kern w:val="0"/>
          <w:sz w:val="32"/>
          <w:szCs w:val="32"/>
          <w:lang w:val="en-US" w:eastAsia="zh-CN" w:bidi="ar-SA"/>
        </w:rPr>
        <w:t>全年基本支出1023.10万元，严格按照财政预算编制规定和要求，结合单位年度工作计划采取人员经费按照县委组织部公务员股以及人社局工资福利股审核过的工资进行编制，公用经费按定额编制的方法按时完成人员经费、日常公用经费编制工作，切实做到数据完整和准确无误；专项资金分配情况：全年项目支出854.22万元，年初预算编制阶段，开展了预算事前绩效评估，对本年项目编制了绩效目标，预算执行过程中，对项目开展绩效监控，年终执行完毕后，对项目开展了绩效目标完成情况梳理填报，全年项目支出全部用于纪检监察机关办案专项经费、2022年巡察工作专项经费、纪检监察宣传专项经费、纪检监察干部培训经费、纪委监委谈话场所安全改造费用、办公办案场所配套设施专项工作经费等相关项目，年末无结转结余。</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2.资产管理。</w:t>
      </w:r>
      <w:r>
        <w:rPr>
          <w:rFonts w:ascii="Times New Roman" w:hAnsi="Times New Roman" w:eastAsia="仿宋_GB2312" w:cs="Times New Roman"/>
          <w:color w:val="auto"/>
          <w:kern w:val="0"/>
          <w:sz w:val="32"/>
          <w:szCs w:val="32"/>
          <w:lang w:val="en-US" w:eastAsia="zh-CN" w:bidi="ar-SA"/>
        </w:rPr>
        <w:t>严格按照财政部门相关要求进行管理，并按时向提交2022年度国有资产报告。</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3.内控制度管理。</w:t>
      </w:r>
      <w:r>
        <w:rPr>
          <w:rFonts w:ascii="Times New Roman" w:hAnsi="Times New Roman" w:eastAsia="仿宋_GB2312" w:cs="Times New Roman"/>
          <w:color w:val="auto"/>
          <w:kern w:val="0"/>
          <w:sz w:val="32"/>
          <w:szCs w:val="32"/>
          <w:lang w:val="en-US" w:eastAsia="zh-CN" w:bidi="ar-SA"/>
        </w:rPr>
        <w:t>内部控制制度的设置及执行情况。建立健全内控制度体系，制定了内部控制一系列制度文件，按时向综合股提交2022年度内控制度报告。部门内部控制制度的执行。成立了内部控制领导小组和内部控制工作小组，按照要求召开了会议，进行不相容岗位分离，对本单位内部控制按要求进行自查等。</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4.信息公开。</w:t>
      </w:r>
      <w:r>
        <w:rPr>
          <w:rFonts w:ascii="Times New Roman" w:hAnsi="Times New Roman" w:eastAsia="仿宋_GB2312" w:cs="Times New Roman"/>
          <w:color w:val="auto"/>
          <w:kern w:val="0"/>
          <w:sz w:val="32"/>
          <w:szCs w:val="32"/>
          <w:lang w:val="en-US" w:eastAsia="zh-CN" w:bidi="ar-SA"/>
        </w:rPr>
        <w:t>报告编制完成后报县级财政业务股室及财监股备查（不含涉密项目），并及时在盐边县公众信息网制定栏目中进行公开公示，自觉接受监督。</w:t>
      </w:r>
    </w:p>
    <w:p>
      <w:pPr>
        <w:ind w:firstLine="642"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t>5.绩效监控。</w:t>
      </w:r>
      <w:r>
        <w:rPr>
          <w:rFonts w:ascii="Times New Roman" w:hAnsi="Times New Roman" w:eastAsia="仿宋_GB2312" w:cs="Times New Roman"/>
          <w:color w:val="auto"/>
          <w:kern w:val="0"/>
          <w:sz w:val="32"/>
          <w:szCs w:val="32"/>
          <w:lang w:val="en-US" w:eastAsia="zh-CN" w:bidi="ar-SA"/>
        </w:rPr>
        <w:t>按照《关于开展 2022年度事中绩效监控工作的通知》的工作要求，已对2022年 1-8 月部门（项目）预算执行、预算调整、绩效目标完成及实现情况全面开展绩效监控，并按时将事中绩效监控表及绩效监控报告报县财政局。</w:t>
      </w:r>
    </w:p>
    <w:p>
      <w:pPr>
        <w:ind w:firstLine="660" w:firstLineChars="200"/>
        <w:rPr>
          <w:rFonts w:eastAsia="楷体_GB2312"/>
          <w:bCs/>
          <w:sz w:val="32"/>
          <w:szCs w:val="32"/>
        </w:rPr>
      </w:pPr>
      <w:r>
        <w:rPr>
          <w:rFonts w:eastAsia="方正楷体_GBK"/>
          <w:bCs/>
          <w:color w:val="000000"/>
          <w:kern w:val="0"/>
          <w:sz w:val="33"/>
          <w:szCs w:val="33"/>
          <w:shd w:val="clear" w:color="auto" w:fill="FFFFFF"/>
          <w:lang w:val="zh-CN"/>
        </w:rPr>
        <w:t>（三）自评质量</w:t>
      </w:r>
    </w:p>
    <w:p>
      <w:pPr>
        <w:pStyle w:val="8"/>
        <w:spacing w:line="600" w:lineRule="exact"/>
        <w:ind w:firstLine="640" w:firstLineChars="200"/>
        <w:jc w:val="left"/>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总体来看，资金执行情况较好，符合专款专用的要求，不存在挪用、截留、故意拖欠的情况发生，同时资金的使用过程中厉行节俭，尽可能的提升了资金使用效率。各项绩效指标达到年初预算要求，社会效益发挥良好，群众满意度有所上升。经综合评价，中共盐边县纪委2022年度部门预算整体绩效达到年初预期。</w:t>
      </w:r>
    </w:p>
    <w:p>
      <w:pPr>
        <w:ind w:firstLine="660" w:firstLineChars="200"/>
        <w:rPr>
          <w:rFonts w:eastAsia="方正黑体_GBK"/>
          <w:sz w:val="33"/>
          <w:szCs w:val="33"/>
        </w:rPr>
      </w:pPr>
      <w:r>
        <w:rPr>
          <w:rFonts w:eastAsia="方正黑体_GBK"/>
          <w:sz w:val="33"/>
          <w:szCs w:val="33"/>
        </w:rPr>
        <w:t>四、评价结论及建议</w:t>
      </w:r>
    </w:p>
    <w:p>
      <w:pPr>
        <w:pStyle w:val="8"/>
        <w:spacing w:line="600" w:lineRule="exact"/>
        <w:ind w:firstLine="66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方正楷体_GBK"/>
          <w:bCs/>
          <w:color w:val="000000"/>
          <w:kern w:val="0"/>
          <w:sz w:val="33"/>
          <w:szCs w:val="33"/>
          <w:shd w:val="clear" w:color="auto" w:fill="FFFFFF"/>
          <w:lang w:val="zh-CN"/>
        </w:rPr>
        <w:t>（一）评价结论。</w:t>
      </w:r>
      <w:r>
        <w:rPr>
          <w:rFonts w:ascii="Times New Roman" w:hAnsi="Times New Roman" w:eastAsia="仿宋_GB2312" w:cs="Times New Roman"/>
          <w:color w:val="auto"/>
          <w:kern w:val="0"/>
          <w:sz w:val="32"/>
          <w:szCs w:val="32"/>
          <w:lang w:val="en-US" w:eastAsia="zh-CN" w:bidi="ar-SA"/>
        </w:rPr>
        <w:t>根据盐边县财政局《关于开展2022年度部门预算整体及项目支出绩效自评工作的通知》（盐边财绩〔2023〕1号）文件精神，围绕年初预算编制、年末决算编制、预算执行情况、年度总体目标完成情况、各项绩效目标完成情况等方面对我单位预算整体绩效开展了自评工作。总体来看，资金执行情况较好，符合专款专用的要求，不存在挪用、截留、故意拖欠的情况发生，同时资金的使用过程中厉行节俭，尽可能的提升了资金使用效率。各项绩效指标达到年初预算要求，社会效益发挥良好，群众满意度有所上升。经综合评价，盐边县纪委监委2022年度部门预算整体绩效达到年初预期。</w:t>
      </w:r>
    </w:p>
    <w:p>
      <w:pPr>
        <w:ind w:firstLine="660" w:firstLineChars="200"/>
        <w:rPr>
          <w:rFonts w:ascii="Times New Roman" w:hAnsi="Times New Roman" w:eastAsia="仿宋_GB2312" w:cs="Times New Roman"/>
          <w:color w:val="auto"/>
          <w:kern w:val="0"/>
          <w:sz w:val="32"/>
          <w:szCs w:val="32"/>
          <w:lang w:val="en-US" w:eastAsia="zh-CN" w:bidi="ar-SA"/>
        </w:rPr>
      </w:pPr>
      <w:r>
        <w:rPr>
          <w:rFonts w:eastAsia="方正楷体_GBK"/>
          <w:bCs/>
          <w:color w:val="000000"/>
          <w:kern w:val="0"/>
          <w:sz w:val="33"/>
          <w:szCs w:val="33"/>
          <w:shd w:val="clear" w:color="auto" w:fill="FFFFFF"/>
          <w:lang w:val="zh-CN"/>
        </w:rPr>
        <w:t>（二）存在问题。</w:t>
      </w:r>
      <w:r>
        <w:rPr>
          <w:rFonts w:ascii="Times New Roman" w:hAnsi="Times New Roman" w:eastAsia="仿宋_GB2312" w:cs="Times New Roman"/>
          <w:color w:val="auto"/>
          <w:kern w:val="0"/>
          <w:sz w:val="32"/>
          <w:szCs w:val="32"/>
          <w:lang w:val="en-US" w:eastAsia="zh-CN" w:bidi="ar-SA"/>
        </w:rPr>
        <w:t>存在强调“绩”，对“效”的评判仍然需优化的问题；在时效方面仍有较大进步空间；因纪委工作特殊性，仍然在合理设定评价指标上存在技术壁垒。</w:t>
      </w:r>
    </w:p>
    <w:p>
      <w:pPr>
        <w:ind w:firstLine="660" w:firstLineChars="200"/>
        <w:rPr>
          <w:rFonts w:eastAsia="方正仿宋_GBK"/>
          <w:sz w:val="33"/>
          <w:szCs w:val="33"/>
        </w:rPr>
        <w:sectPr>
          <w:footerReference r:id="rId8" w:type="default"/>
          <w:pgSz w:w="11906" w:h="16838"/>
          <w:pgMar w:top="1440" w:right="1800" w:bottom="1440" w:left="1800" w:header="851" w:footer="992" w:gutter="0"/>
          <w:pgNumType w:start="1"/>
          <w:cols w:space="425" w:num="1"/>
          <w:docGrid w:type="lines" w:linePitch="312" w:charSpace="0"/>
        </w:sectPr>
      </w:pPr>
      <w:r>
        <w:rPr>
          <w:rFonts w:eastAsia="方正楷体_GBK"/>
          <w:bCs/>
          <w:color w:val="000000"/>
          <w:kern w:val="0"/>
          <w:sz w:val="33"/>
          <w:szCs w:val="33"/>
          <w:shd w:val="clear" w:color="auto" w:fill="FFFFFF"/>
          <w:lang w:val="zh-CN"/>
        </w:rPr>
        <w:t>（三）改进建议。</w:t>
      </w:r>
      <w:r>
        <w:rPr>
          <w:rFonts w:ascii="Times New Roman" w:hAnsi="Times New Roman" w:eastAsia="仿宋_GB2312" w:cs="Times New Roman"/>
          <w:color w:val="auto"/>
          <w:kern w:val="0"/>
          <w:sz w:val="32"/>
          <w:szCs w:val="32"/>
          <w:lang w:val="en-US" w:eastAsia="zh-CN" w:bidi="ar-SA"/>
        </w:rPr>
        <w:t>一是加强学习相关理论知识，在实践中严格控制预算执行单位预算，资金使用严格按照资金类型申报支付，支付流程合法合规并自觉接受县财政局的监督；二是进一步巩固绩效评价结果，此次自评将为以后单位预算提供数据支撑和参考依据，同时也为新的一年各项工作计划及任务的制定提供一定的指导，让预算资金的分类、分配、申报更加科学、合理、准确；三是合理利用评价并针对问题进行整改，在今后工作中，严格遵守各项规章制度，严格审核各项经费支出，进一步提高工作效率，把有限的资金用在刀刃上，保证单位各项工作顺利有限开展。</w:t>
      </w:r>
    </w:p>
    <w:tbl>
      <w:tblPr>
        <w:tblStyle w:val="19"/>
        <w:tblW w:w="14160" w:type="dxa"/>
        <w:tblInd w:w="94" w:type="dxa"/>
        <w:tblLayout w:type="fixed"/>
        <w:tblCellMar>
          <w:top w:w="0" w:type="dxa"/>
          <w:left w:w="108" w:type="dxa"/>
          <w:bottom w:w="0" w:type="dxa"/>
          <w:right w:w="108" w:type="dxa"/>
        </w:tblCellMar>
      </w:tblPr>
      <w:tblGrid>
        <w:gridCol w:w="696"/>
        <w:gridCol w:w="2014"/>
        <w:gridCol w:w="1748"/>
        <w:gridCol w:w="2219"/>
        <w:gridCol w:w="520"/>
        <w:gridCol w:w="1643"/>
        <w:gridCol w:w="516"/>
        <w:gridCol w:w="1092"/>
        <w:gridCol w:w="576"/>
        <w:gridCol w:w="576"/>
        <w:gridCol w:w="2560"/>
      </w:tblGrid>
      <w:tr>
        <w:tblPrEx>
          <w:tblLayout w:type="fixed"/>
          <w:tblCellMar>
            <w:top w:w="0" w:type="dxa"/>
            <w:left w:w="108" w:type="dxa"/>
            <w:bottom w:w="0" w:type="dxa"/>
            <w:right w:w="108" w:type="dxa"/>
          </w:tblCellMar>
        </w:tblPrEx>
        <w:trPr>
          <w:trHeight w:val="409" w:hRule="atLeast"/>
        </w:trPr>
        <w:tc>
          <w:tcPr>
            <w:tcW w:w="6677" w:type="dxa"/>
            <w:gridSpan w:val="4"/>
            <w:tcBorders>
              <w:top w:val="nil"/>
              <w:left w:val="nil"/>
              <w:bottom w:val="nil"/>
              <w:right w:val="nil"/>
            </w:tcBorders>
            <w:shd w:val="clear" w:color="auto" w:fill="auto"/>
            <w:vAlign w:val="center"/>
          </w:tcPr>
          <w:p>
            <w:pPr>
              <w:widowControl/>
              <w:jc w:val="left"/>
              <w:rPr>
                <w:rFonts w:ascii="宋体" w:hAnsi="宋体" w:cs="宋体"/>
                <w:color w:val="C0C0C0"/>
                <w:kern w:val="0"/>
                <w:sz w:val="20"/>
                <w:szCs w:val="20"/>
              </w:rPr>
            </w:pPr>
          </w:p>
        </w:tc>
        <w:tc>
          <w:tcPr>
            <w:tcW w:w="52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3251" w:type="dxa"/>
            <w:gridSpan w:val="3"/>
            <w:tcBorders>
              <w:top w:val="nil"/>
              <w:left w:val="nil"/>
              <w:bottom w:val="nil"/>
              <w:right w:val="nil"/>
            </w:tcBorders>
            <w:shd w:val="clear" w:color="auto" w:fill="auto"/>
            <w:vAlign w:val="center"/>
          </w:tcPr>
          <w:p>
            <w:pPr>
              <w:widowControl/>
              <w:jc w:val="left"/>
              <w:rPr>
                <w:rFonts w:ascii="宋体" w:hAnsi="宋体" w:cs="宋体"/>
                <w:color w:val="000000"/>
                <w:kern w:val="0"/>
                <w:sz w:val="20"/>
                <w:szCs w:val="20"/>
              </w:rPr>
            </w:pPr>
          </w:p>
        </w:tc>
        <w:tc>
          <w:tcPr>
            <w:tcW w:w="576"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576"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2560" w:type="dxa"/>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719" w:hRule="atLeast"/>
        </w:trPr>
        <w:tc>
          <w:tcPr>
            <w:tcW w:w="141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Layout w:type="fixed"/>
          <w:tblCellMar>
            <w:top w:w="0" w:type="dxa"/>
            <w:left w:w="108" w:type="dxa"/>
            <w:bottom w:w="0" w:type="dxa"/>
            <w:right w:w="108" w:type="dxa"/>
          </w:tblCellMar>
        </w:tblPrEx>
        <w:trPr>
          <w:trHeight w:val="404" w:hRule="atLeast"/>
        </w:trPr>
        <w:tc>
          <w:tcPr>
            <w:tcW w:w="2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1450"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中国共产党盐边县纪律检查委员会基本支出</w:t>
            </w:r>
          </w:p>
        </w:tc>
      </w:tr>
      <w:tr>
        <w:tblPrEx>
          <w:tblLayout w:type="fixed"/>
          <w:tblCellMar>
            <w:top w:w="0" w:type="dxa"/>
            <w:left w:w="108" w:type="dxa"/>
            <w:bottom w:w="0" w:type="dxa"/>
            <w:right w:w="108" w:type="dxa"/>
          </w:tblCellMar>
        </w:tblPrEx>
        <w:trPr>
          <w:trHeight w:val="514" w:hRule="atLeast"/>
        </w:trPr>
        <w:tc>
          <w:tcPr>
            <w:tcW w:w="2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中国共产党盐边县纪律检查委员会（部门）</w:t>
            </w:r>
          </w:p>
        </w:tc>
        <w:tc>
          <w:tcPr>
            <w:tcW w:w="1092"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7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w:t>
            </w:r>
          </w:p>
        </w:tc>
      </w:tr>
      <w:tr>
        <w:tblPrEx>
          <w:tblLayout w:type="fixed"/>
          <w:tblCellMar>
            <w:top w:w="0" w:type="dxa"/>
            <w:left w:w="108" w:type="dxa"/>
            <w:bottom w:w="0" w:type="dxa"/>
            <w:right w:w="108" w:type="dxa"/>
          </w:tblCellMar>
        </w:tblPrEx>
        <w:trPr>
          <w:trHeight w:val="285" w:hRule="atLeast"/>
        </w:trPr>
        <w:tc>
          <w:tcPr>
            <w:tcW w:w="69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201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804"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年度目标完成情况</w:t>
            </w:r>
          </w:p>
        </w:tc>
      </w:tr>
      <w:tr>
        <w:tblPrEx>
          <w:tblLayout w:type="fixed"/>
          <w:tblCellMar>
            <w:top w:w="0" w:type="dxa"/>
            <w:left w:w="108" w:type="dxa"/>
            <w:bottom w:w="0" w:type="dxa"/>
            <w:right w:w="108" w:type="dxa"/>
          </w:tblCellMar>
        </w:tblPrEx>
        <w:trPr>
          <w:trHeight w:val="709"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646"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4804"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保障了单位日常运转，提高了预算编制质量，严格执行预算</w:t>
            </w:r>
          </w:p>
        </w:tc>
      </w:tr>
      <w:tr>
        <w:tblPrEx>
          <w:tblLayout w:type="fixed"/>
          <w:tblCellMar>
            <w:top w:w="0" w:type="dxa"/>
            <w:left w:w="108" w:type="dxa"/>
            <w:bottom w:w="0" w:type="dxa"/>
            <w:right w:w="108" w:type="dxa"/>
          </w:tblCellMar>
        </w:tblPrEx>
        <w:trPr>
          <w:trHeight w:val="694"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1450"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为保证机构正常运转，完成日常工作任务而发生的人员支出和公用支出</w:t>
            </w:r>
          </w:p>
        </w:tc>
      </w:tr>
      <w:tr>
        <w:tblPrEx>
          <w:tblLayout w:type="fixed"/>
          <w:tblCellMar>
            <w:top w:w="0" w:type="dxa"/>
            <w:left w:w="108" w:type="dxa"/>
            <w:bottom w:w="0" w:type="dxa"/>
            <w:right w:w="108" w:type="dxa"/>
          </w:tblCellMar>
        </w:tblPrEx>
        <w:trPr>
          <w:trHeight w:val="360" w:hRule="atLeast"/>
        </w:trPr>
        <w:tc>
          <w:tcPr>
            <w:tcW w:w="69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Layout w:type="fixed"/>
          <w:tblCellMar>
            <w:top w:w="0" w:type="dxa"/>
            <w:left w:w="108" w:type="dxa"/>
            <w:bottom w:w="0" w:type="dxa"/>
            <w:right w:w="108" w:type="dxa"/>
          </w:tblCellMar>
        </w:tblPrEx>
        <w:trPr>
          <w:trHeight w:val="584"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744.33</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1,023.10</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1,023.10</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256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结合单位实际情况，测算相对合理，资金分配科学，下达及时，拨付合规，使用规范执行准确，既不铺张浪费，又满足工作需要。</w:t>
            </w:r>
          </w:p>
        </w:tc>
      </w:tr>
      <w:tr>
        <w:tblPrEx>
          <w:tblLayout w:type="fixed"/>
          <w:tblCellMar>
            <w:top w:w="0" w:type="dxa"/>
            <w:left w:w="108" w:type="dxa"/>
            <w:bottom w:w="0" w:type="dxa"/>
            <w:right w:w="108" w:type="dxa"/>
          </w:tblCellMar>
        </w:tblPrEx>
        <w:trPr>
          <w:trHeight w:val="689"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744.33</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1,023.10</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1,023.10</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682"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504"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652"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679"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525" w:hRule="atLeast"/>
        </w:trPr>
        <w:tc>
          <w:tcPr>
            <w:tcW w:w="69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2014"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48"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219"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20"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43"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516"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092"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Layout w:type="fixed"/>
          <w:tblCellMar>
            <w:top w:w="0" w:type="dxa"/>
            <w:left w:w="108" w:type="dxa"/>
            <w:bottom w:w="0" w:type="dxa"/>
            <w:right w:w="108" w:type="dxa"/>
          </w:tblCellMar>
        </w:tblPrEx>
        <w:trPr>
          <w:trHeight w:val="454" w:hRule="atLeast"/>
        </w:trPr>
        <w:tc>
          <w:tcPr>
            <w:tcW w:w="696"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4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21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5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1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1092"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w:t>
            </w:r>
          </w:p>
        </w:tc>
        <w:tc>
          <w:tcPr>
            <w:tcW w:w="57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w:t>
            </w:r>
          </w:p>
        </w:tc>
        <w:tc>
          <w:tcPr>
            <w:tcW w:w="25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720"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4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1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4"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4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1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810" w:hRule="atLeast"/>
        </w:trPr>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1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4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“基本支出”控制率[计算方法为：（基本支出实际支出数/预算安排数]×100%）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4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1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09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02" w:hRule="atLeast"/>
        </w:trPr>
        <w:tc>
          <w:tcPr>
            <w:tcW w:w="104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9</w:t>
            </w:r>
            <w:r>
              <w:rPr>
                <w:rFonts w:hint="eastAsia" w:ascii="宋体" w:hAnsi="宋体" w:cs="宋体"/>
                <w:color w:val="000000"/>
                <w:kern w:val="0"/>
                <w:sz w:val="18"/>
                <w:szCs w:val="18"/>
                <w:lang w:val="en-US" w:eastAsia="zh-CN"/>
              </w:rPr>
              <w:t>8</w:t>
            </w:r>
            <w:r>
              <w:rPr>
                <w:rFonts w:hint="eastAsia" w:ascii="宋体" w:hAnsi="宋体" w:cs="宋体"/>
                <w:color w:val="000000"/>
                <w:kern w:val="0"/>
                <w:sz w:val="18"/>
                <w:szCs w:val="18"/>
              </w:rPr>
              <w:t>.5</w:t>
            </w:r>
          </w:p>
        </w:tc>
        <w:tc>
          <w:tcPr>
            <w:tcW w:w="256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604" w:hRule="atLeast"/>
        </w:trPr>
        <w:tc>
          <w:tcPr>
            <w:tcW w:w="69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3464"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基本支出使用科学合理，依据充分，管理较为规范，完成效果好，实施后达到了预期目的，经评价为良。</w:t>
            </w:r>
          </w:p>
        </w:tc>
      </w:tr>
      <w:tr>
        <w:tblPrEx>
          <w:tblLayout w:type="fixed"/>
          <w:tblCellMar>
            <w:top w:w="0" w:type="dxa"/>
            <w:left w:w="108" w:type="dxa"/>
            <w:bottom w:w="0" w:type="dxa"/>
            <w:right w:w="108" w:type="dxa"/>
          </w:tblCellMar>
        </w:tblPrEx>
        <w:trPr>
          <w:trHeight w:val="574" w:hRule="atLeast"/>
        </w:trPr>
        <w:tc>
          <w:tcPr>
            <w:tcW w:w="69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3464"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存在强调“绩”，对“效”的评判仍需优化的问题；因纪委工作特殊性，仍然存在合理设定评价指标上存在技术壁垒。</w:t>
            </w:r>
          </w:p>
        </w:tc>
      </w:tr>
      <w:tr>
        <w:tblPrEx>
          <w:tblLayout w:type="fixed"/>
          <w:tblCellMar>
            <w:top w:w="0" w:type="dxa"/>
            <w:left w:w="108" w:type="dxa"/>
            <w:bottom w:w="0" w:type="dxa"/>
            <w:right w:w="108" w:type="dxa"/>
          </w:tblCellMar>
        </w:tblPrEx>
        <w:trPr>
          <w:trHeight w:val="1077" w:hRule="atLeast"/>
        </w:trPr>
        <w:tc>
          <w:tcPr>
            <w:tcW w:w="69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3464" w:type="dxa"/>
            <w:gridSpan w:val="10"/>
            <w:tcBorders>
              <w:top w:val="single" w:color="000000" w:sz="4" w:space="0"/>
              <w:left w:val="nil"/>
              <w:bottom w:val="single" w:color="000000" w:sz="4" w:space="0"/>
              <w:right w:val="single" w:color="000000" w:sz="4" w:space="0"/>
            </w:tcBorders>
            <w:shd w:val="clear" w:color="auto" w:fill="auto"/>
            <w:vAlign w:val="center"/>
          </w:tcPr>
          <w:p>
            <w:pPr>
              <w:widowControl/>
              <w:numPr>
                <w:ilvl w:val="0"/>
                <w:numId w:val="4"/>
              </w:numPr>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加强学习相关理论知识，在实践中严格控制预算执行单位预算，资金使用严格按照资金类型申报支付，支付流程合法合规并自觉接受县财政局的监督。           </w:t>
            </w:r>
          </w:p>
          <w:p>
            <w:pPr>
              <w:widowControl/>
              <w:numPr>
                <w:ilvl w:val="0"/>
                <w:numId w:val="0"/>
              </w:numPr>
              <w:jc w:val="left"/>
              <w:rPr>
                <w:rFonts w:ascii="宋体" w:hAnsi="宋体" w:cs="宋体"/>
                <w:color w:val="000000"/>
                <w:kern w:val="0"/>
                <w:sz w:val="18"/>
                <w:szCs w:val="18"/>
              </w:rPr>
            </w:pPr>
            <w:r>
              <w:rPr>
                <w:rFonts w:hint="eastAsia" w:ascii="宋体" w:hAnsi="宋体" w:cs="宋体"/>
                <w:color w:val="000000"/>
                <w:kern w:val="0"/>
                <w:sz w:val="18"/>
                <w:szCs w:val="18"/>
              </w:rPr>
              <w:t>2、进一步巩固绩效评价结果，此次自评将为以后单位预算提供数据支撑和参考依据，同时也为新的一年各项工作计划及任务的制定提供一定的指导，让预算资金的分类、分配、申报更加科学、合理、准确。</w:t>
            </w:r>
          </w:p>
        </w:tc>
      </w:tr>
      <w:tr>
        <w:tblPrEx>
          <w:tblLayout w:type="fixed"/>
          <w:tblCellMar>
            <w:top w:w="0" w:type="dxa"/>
            <w:left w:w="108" w:type="dxa"/>
            <w:bottom w:w="0" w:type="dxa"/>
            <w:right w:w="108" w:type="dxa"/>
          </w:tblCellMar>
        </w:tblPrEx>
        <w:trPr>
          <w:trHeight w:val="696" w:hRule="atLeast"/>
        </w:trPr>
        <w:tc>
          <w:tcPr>
            <w:tcW w:w="71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项目负责人：朱斌</w:t>
            </w:r>
          </w:p>
        </w:tc>
        <w:tc>
          <w:tcPr>
            <w:tcW w:w="696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财务负责人：张晓华</w:t>
            </w:r>
          </w:p>
        </w:tc>
      </w:tr>
    </w:tbl>
    <w:p>
      <w:pPr>
        <w:ind w:firstLine="640" w:firstLineChars="200"/>
        <w:rPr>
          <w:rFonts w:eastAsia="仿宋_GB2312"/>
          <w:sz w:val="32"/>
          <w:szCs w:val="32"/>
        </w:rPr>
      </w:pPr>
    </w:p>
    <w:p>
      <w:pPr>
        <w:pStyle w:val="2"/>
        <w:spacing w:before="93"/>
      </w:pPr>
    </w:p>
    <w:p>
      <w:pPr>
        <w:pStyle w:val="2"/>
        <w:spacing w:before="93"/>
      </w:pPr>
    </w:p>
    <w:tbl>
      <w:tblPr>
        <w:tblStyle w:val="19"/>
        <w:tblW w:w="14160" w:type="dxa"/>
        <w:tblInd w:w="94" w:type="dxa"/>
        <w:tblLayout w:type="fixed"/>
        <w:tblCellMar>
          <w:top w:w="0" w:type="dxa"/>
          <w:left w:w="108" w:type="dxa"/>
          <w:bottom w:w="0" w:type="dxa"/>
          <w:right w:w="108" w:type="dxa"/>
        </w:tblCellMar>
      </w:tblPr>
      <w:tblGrid>
        <w:gridCol w:w="700"/>
        <w:gridCol w:w="2060"/>
        <w:gridCol w:w="1780"/>
        <w:gridCol w:w="2260"/>
        <w:gridCol w:w="520"/>
        <w:gridCol w:w="1680"/>
        <w:gridCol w:w="520"/>
        <w:gridCol w:w="1100"/>
        <w:gridCol w:w="520"/>
        <w:gridCol w:w="460"/>
        <w:gridCol w:w="2560"/>
      </w:tblGrid>
      <w:tr>
        <w:tblPrEx>
          <w:tblLayout w:type="fixed"/>
          <w:tblCellMar>
            <w:top w:w="0" w:type="dxa"/>
            <w:left w:w="108" w:type="dxa"/>
            <w:bottom w:w="0" w:type="dxa"/>
            <w:right w:w="108" w:type="dxa"/>
          </w:tblCellMar>
        </w:tblPrEx>
        <w:trPr>
          <w:trHeight w:val="904" w:hRule="atLeast"/>
        </w:trPr>
        <w:tc>
          <w:tcPr>
            <w:tcW w:w="141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Layout w:type="fixed"/>
          <w:tblCellMar>
            <w:top w:w="0" w:type="dxa"/>
            <w:left w:w="108" w:type="dxa"/>
            <w:bottom w:w="0" w:type="dxa"/>
            <w:right w:w="108" w:type="dxa"/>
          </w:tblCellMar>
        </w:tblPrEx>
        <w:trPr>
          <w:trHeight w:val="285"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1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51042222T000004715366-纪检监察干部培训费用</w:t>
            </w:r>
          </w:p>
        </w:tc>
      </w:tr>
      <w:tr>
        <w:tblPrEx>
          <w:tblLayout w:type="fixed"/>
          <w:tblCellMar>
            <w:top w:w="0" w:type="dxa"/>
            <w:left w:w="108" w:type="dxa"/>
            <w:bottom w:w="0" w:type="dxa"/>
            <w:right w:w="108" w:type="dxa"/>
          </w:tblCellMar>
        </w:tblPrEx>
        <w:trPr>
          <w:trHeight w:val="514"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760"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中国共产党盐边县纪律检查委员会（部门）</w:t>
            </w:r>
          </w:p>
        </w:tc>
        <w:tc>
          <w:tcPr>
            <w:tcW w:w="1100"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中国共产党盐边县纪律检查委员会</w:t>
            </w:r>
          </w:p>
        </w:tc>
      </w:tr>
      <w:tr>
        <w:tblPrEx>
          <w:tblLayout w:type="fixed"/>
          <w:tblCellMar>
            <w:top w:w="0" w:type="dxa"/>
            <w:left w:w="108" w:type="dxa"/>
            <w:bottom w:w="0" w:type="dxa"/>
            <w:right w:w="108" w:type="dxa"/>
          </w:tblCellMar>
        </w:tblPrEx>
        <w:trPr>
          <w:trHeight w:val="285"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760"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64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Layout w:type="fixed"/>
          <w:tblCellMar>
            <w:top w:w="0" w:type="dxa"/>
            <w:left w:w="108" w:type="dxa"/>
            <w:bottom w:w="0" w:type="dxa"/>
            <w:right w:w="108" w:type="dxa"/>
          </w:tblCellMar>
        </w:tblPrEx>
        <w:trPr>
          <w:trHeight w:val="709"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760"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贯彻落实中央纪委和省、市纪委关于持续开展纪检监察干部全员培训的要求，提高纪检监察干部综合素质，通过选送、自主办班等方式，每年分期分批组织县、乡、村三级纪检监察干部开展业务培训，用5年时间对全县纪检监察干部轮训一遍。</w:t>
            </w:r>
          </w:p>
        </w:tc>
        <w:tc>
          <w:tcPr>
            <w:tcW w:w="464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根据2022年纪检监察干部全员培训的工作要求，完成了重点任务。召开盐边县纪检监察干部综合素质提升培训班，开展了两期培训班，覆盖84人次。</w:t>
            </w:r>
          </w:p>
        </w:tc>
      </w:tr>
      <w:tr>
        <w:tblPrEx>
          <w:tblLayout w:type="fixed"/>
          <w:tblCellMar>
            <w:top w:w="0" w:type="dxa"/>
            <w:left w:w="108" w:type="dxa"/>
            <w:bottom w:w="0" w:type="dxa"/>
            <w:right w:w="108" w:type="dxa"/>
          </w:tblCellMar>
        </w:tblPrEx>
        <w:trPr>
          <w:trHeight w:val="69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1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召开盐边县纪检监察干部综合素质提升培训班，组织培训弘扬三线精神，做忠诚干净担当的纪检监察干部、全面从严治党的形势与任务、党内法规体系解读、乡镇信访工作的实践与思考、村镇社区基层纪检监察干部的职责职权与履职方法等内容，采取全日制脱产封闭式培训方式，开展了两期培训班，覆盖84人次，产生的培训费以及师资费，合计18.65万元，年末无结转和结余。</w:t>
            </w:r>
          </w:p>
        </w:tc>
      </w:tr>
      <w:tr>
        <w:tblPrEx>
          <w:tblLayout w:type="fixed"/>
          <w:tblCellMar>
            <w:top w:w="0" w:type="dxa"/>
            <w:left w:w="108" w:type="dxa"/>
            <w:bottom w:w="0" w:type="dxa"/>
            <w:right w:w="108" w:type="dxa"/>
          </w:tblCellMar>
        </w:tblPrEx>
        <w:trPr>
          <w:trHeight w:val="360"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Layout w:type="fixed"/>
          <w:tblCellMar>
            <w:top w:w="0" w:type="dxa"/>
            <w:left w:w="108" w:type="dxa"/>
            <w:bottom w:w="0" w:type="dxa"/>
            <w:right w:w="108" w:type="dxa"/>
          </w:tblCellMar>
        </w:tblPrEx>
        <w:trPr>
          <w:trHeight w:val="387"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256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结合单位实际情况，测算相对合理，资金分配科学，下达及时，拨付合规，使用规范执行准确，既不铺张浪费，又满足工作需要。</w:t>
            </w:r>
          </w:p>
        </w:tc>
      </w:tr>
      <w:tr>
        <w:tblPrEx>
          <w:tblLayout w:type="fixed"/>
          <w:tblCellMar>
            <w:top w:w="0" w:type="dxa"/>
            <w:left w:w="108" w:type="dxa"/>
            <w:bottom w:w="0" w:type="dxa"/>
            <w:right w:w="108" w:type="dxa"/>
          </w:tblCellMar>
        </w:tblPrEx>
        <w:trPr>
          <w:trHeight w:val="432"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7"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02"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79"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nil"/>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4"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2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Layout w:type="fixed"/>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指标1：纪检监察干部综合素质提升培训班</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期</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12</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0"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2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指标1：纪检监察干部综合素质提升培训</w:t>
            </w:r>
          </w:p>
        </w:tc>
        <w:tc>
          <w:tcPr>
            <w:tcW w:w="5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指标1：完成时限</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指标1：项目费用</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18.65</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效益指标</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指标1：塑造“阳光纪检”干部队伍形象</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指标1：完成时限</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2" w:hRule="atLeast"/>
        </w:trPr>
        <w:tc>
          <w:tcPr>
            <w:tcW w:w="70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7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指标1：党员干部群众对纪检监察干部的满意度</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Layout w:type="fixed"/>
          <w:tblCellMar>
            <w:top w:w="0" w:type="dxa"/>
            <w:left w:w="108" w:type="dxa"/>
            <w:bottom w:w="0" w:type="dxa"/>
            <w:right w:w="108" w:type="dxa"/>
          </w:tblCellMar>
        </w:tblPrEx>
        <w:trPr>
          <w:trHeight w:val="285" w:hRule="atLeast"/>
        </w:trPr>
        <w:tc>
          <w:tcPr>
            <w:tcW w:w="106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jc w:val="righ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97</w:t>
            </w:r>
          </w:p>
        </w:tc>
        <w:tc>
          <w:tcPr>
            <w:tcW w:w="256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604"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3460"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评价重点在于实际完成情况、财务规范情况及自评表指标设定科学性合理性等，经评价为良。</w:t>
            </w:r>
          </w:p>
        </w:tc>
      </w:tr>
      <w:tr>
        <w:tblPrEx>
          <w:tblLayout w:type="fixed"/>
          <w:tblCellMar>
            <w:top w:w="0" w:type="dxa"/>
            <w:left w:w="108" w:type="dxa"/>
            <w:bottom w:w="0" w:type="dxa"/>
            <w:right w:w="108" w:type="dxa"/>
          </w:tblCellMar>
        </w:tblPrEx>
        <w:trPr>
          <w:trHeight w:val="1062"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3460"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绩效评价管理制度尚不健全。评价体系尚不完善（如：评价指标设置有待进一步科学化），在当前财政管理体制中，绩效评价还未纳入财政管理全过程，与预算编制、执行相结合的工作机制和部门协调机制尚未建立。</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2、对绩效评价工作的认识不够。通过绩效评价工作的逐步推进，虽然逐步树立了绩效理念，对预算计算评价工作的态度由“被动接受”变为“主动实施”，但了解还不够深入，对单位绩效不重视。</w:t>
            </w:r>
          </w:p>
        </w:tc>
      </w:tr>
      <w:tr>
        <w:tblPrEx>
          <w:tblLayout w:type="fixed"/>
          <w:tblCellMar>
            <w:top w:w="0" w:type="dxa"/>
            <w:left w:w="108" w:type="dxa"/>
            <w:bottom w:w="0" w:type="dxa"/>
            <w:right w:w="108" w:type="dxa"/>
          </w:tblCellMar>
        </w:tblPrEx>
        <w:trPr>
          <w:trHeight w:val="1320"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3460" w:type="dxa"/>
            <w:gridSpan w:val="10"/>
            <w:tcBorders>
              <w:top w:val="single" w:color="000000" w:sz="4" w:space="0"/>
              <w:left w:val="nil"/>
              <w:bottom w:val="single" w:color="000000" w:sz="4" w:space="0"/>
              <w:right w:val="single" w:color="000000" w:sz="4" w:space="0"/>
            </w:tcBorders>
            <w:shd w:val="clear" w:color="auto" w:fill="auto"/>
            <w:vAlign w:val="center"/>
          </w:tcPr>
          <w:p>
            <w:pPr>
              <w:widowControl/>
              <w:numPr>
                <w:ilvl w:val="0"/>
                <w:numId w:val="5"/>
              </w:numPr>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完善绩效评价工作制度。逐步建立和完善财政支出绩效评价相关制度，包括绩效目标审查制度、项目绩效考核制度、绩效奖惩制度。                         </w:t>
            </w:r>
          </w:p>
          <w:p>
            <w:pPr>
              <w:widowControl/>
              <w:numPr>
                <w:ilvl w:val="0"/>
                <w:numId w:val="0"/>
              </w:numPr>
              <w:jc w:val="left"/>
              <w:rPr>
                <w:rFonts w:ascii="宋体" w:hAnsi="宋体" w:cs="宋体"/>
                <w:color w:val="000000"/>
                <w:kern w:val="0"/>
                <w:sz w:val="18"/>
                <w:szCs w:val="18"/>
              </w:rPr>
            </w:pPr>
            <w:r>
              <w:rPr>
                <w:rFonts w:hint="eastAsia" w:ascii="宋体" w:hAnsi="宋体" w:cs="宋体"/>
                <w:color w:val="000000"/>
                <w:kern w:val="0"/>
                <w:sz w:val="18"/>
                <w:szCs w:val="18"/>
              </w:rPr>
              <w:t>2、加强学习培训，提升业务能力。由于绩效评价工作要求高，工作量大，涉及项目业务、财务、效益待多方面的专业知识，对各预算部门、财政部门的机构能力和人员素质来说，无疑是一场严峻的考验，只有通过进行多方位多层次的学习培训，努力提高相关人员素质，才能真正将预算绩效管理工作落实到位。</w:t>
            </w:r>
          </w:p>
        </w:tc>
      </w:tr>
      <w:tr>
        <w:tblPrEx>
          <w:tblLayout w:type="fixed"/>
          <w:tblCellMar>
            <w:top w:w="0" w:type="dxa"/>
            <w:left w:w="108" w:type="dxa"/>
            <w:bottom w:w="0" w:type="dxa"/>
            <w:right w:w="108" w:type="dxa"/>
          </w:tblCellMar>
        </w:tblPrEx>
        <w:trPr>
          <w:trHeight w:val="285" w:hRule="atLeast"/>
        </w:trPr>
        <w:tc>
          <w:tcPr>
            <w:tcW w:w="73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项目负责人：李煜祺</w:t>
            </w:r>
          </w:p>
        </w:tc>
        <w:tc>
          <w:tcPr>
            <w:tcW w:w="684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财务负责人：张晓华</w:t>
            </w:r>
          </w:p>
        </w:tc>
      </w:tr>
    </w:tbl>
    <w:p>
      <w:pPr>
        <w:pStyle w:val="2"/>
        <w:spacing w:before="93"/>
        <w:rPr>
          <w:rFonts w:ascii="Times New Roman"/>
          <w:sz w:val="32"/>
          <w:szCs w:val="32"/>
          <w:shd w:val="clear" w:color="auto" w:fill="FFFFFF"/>
          <w:lang w:val="zh-CN"/>
        </w:rPr>
      </w:pPr>
    </w:p>
    <w:p>
      <w:pPr>
        <w:pStyle w:val="2"/>
        <w:spacing w:before="93"/>
        <w:rPr>
          <w:rFonts w:ascii="Times New Roman"/>
          <w:sz w:val="32"/>
          <w:szCs w:val="32"/>
          <w:shd w:val="clear" w:color="auto" w:fill="FFFFFF"/>
          <w:lang w:val="zh-CN"/>
        </w:rPr>
        <w:sectPr>
          <w:pgSz w:w="16838" w:h="11906" w:orient="landscape"/>
          <w:pgMar w:top="1440" w:right="1080" w:bottom="1440" w:left="1080" w:header="851" w:footer="992" w:gutter="0"/>
          <w:cols w:space="425" w:num="1"/>
          <w:docGrid w:type="lines" w:linePitch="312" w:charSpace="0"/>
        </w:sectPr>
      </w:pPr>
    </w:p>
    <w:p>
      <w:pPr>
        <w:pStyle w:val="2"/>
        <w:spacing w:before="93"/>
        <w:rPr>
          <w:rFonts w:ascii="Times New Roman"/>
          <w:sz w:val="32"/>
          <w:szCs w:val="32"/>
          <w:shd w:val="clear" w:color="auto" w:fill="FFFFFF"/>
        </w:rPr>
      </w:pPr>
      <w:r>
        <w:rPr>
          <w:rFonts w:ascii="Times New Roman"/>
          <w:sz w:val="32"/>
          <w:szCs w:val="32"/>
          <w:shd w:val="clear" w:color="auto" w:fill="FFFFFF"/>
          <w:lang w:val="zh-CN"/>
        </w:rPr>
        <w:t>附件</w:t>
      </w:r>
      <w:r>
        <w:rPr>
          <w:rFonts w:ascii="Times New Roman"/>
          <w:sz w:val="32"/>
          <w:szCs w:val="32"/>
          <w:shd w:val="clear" w:color="auto" w:fill="FFFFFF"/>
        </w:rPr>
        <w:t>2</w:t>
      </w:r>
    </w:p>
    <w:p>
      <w:pPr>
        <w:pStyle w:val="2"/>
        <w:spacing w:before="93"/>
        <w:rPr>
          <w:rFonts w:ascii="Times New Roman"/>
          <w:sz w:val="32"/>
          <w:szCs w:val="32"/>
          <w:shd w:val="clear" w:color="auto" w:fill="FFFFFF"/>
        </w:rPr>
      </w:pPr>
    </w:p>
    <w:p>
      <w:pPr>
        <w:spacing w:line="640" w:lineRule="exact"/>
        <w:jc w:val="center"/>
        <w:rPr>
          <w:rFonts w:ascii="方正小标宋_GBK" w:hAnsi="方正小标宋_GBK" w:eastAsia="方正小标宋_GBK" w:cs="方正小标宋_GBK"/>
          <w:sz w:val="44"/>
          <w:szCs w:val="44"/>
        </w:rPr>
      </w:pPr>
      <w:r>
        <w:rPr>
          <w:rFonts w:hint="default" w:ascii="Times New Roman" w:hAnsi="Times New Roman" w:eastAsia="方正小标宋_GBK" w:cs="Times New Roman"/>
          <w:sz w:val="44"/>
          <w:szCs w:val="44"/>
        </w:rPr>
        <w:t>2022年专</w:t>
      </w:r>
      <w:r>
        <w:rPr>
          <w:rFonts w:hint="eastAsia" w:ascii="方正小标宋_GBK" w:hAnsi="方正小标宋_GBK" w:eastAsia="方正小标宋_GBK" w:cs="方正小标宋_GBK"/>
          <w:sz w:val="44"/>
          <w:szCs w:val="44"/>
        </w:rPr>
        <w:t>项预算项目支出绩效自评报告</w:t>
      </w:r>
    </w:p>
    <w:p>
      <w:pPr>
        <w:spacing w:line="640" w:lineRule="exact"/>
        <w:jc w:val="center"/>
        <w:rPr>
          <w:rFonts w:eastAsia="楷体"/>
          <w:sz w:val="32"/>
          <w:szCs w:val="32"/>
        </w:rPr>
      </w:pPr>
      <w:r>
        <w:rPr>
          <w:rFonts w:eastAsia="楷体"/>
          <w:sz w:val="32"/>
          <w:szCs w:val="32"/>
        </w:rPr>
        <w:t>（纪检监察干部培训费用）</w:t>
      </w:r>
    </w:p>
    <w:p>
      <w:pPr>
        <w:rPr>
          <w:rFonts w:eastAsia="黑体"/>
          <w:sz w:val="32"/>
          <w:szCs w:val="32"/>
        </w:rPr>
      </w:pPr>
    </w:p>
    <w:p>
      <w:pPr>
        <w:rPr>
          <w:rFonts w:eastAsia="黑体"/>
          <w:sz w:val="32"/>
          <w:szCs w:val="32"/>
        </w:rPr>
      </w:pPr>
      <w:r>
        <w:rPr>
          <w:rFonts w:hint="eastAsia" w:eastAsia="黑体"/>
          <w:sz w:val="32"/>
          <w:szCs w:val="32"/>
        </w:rPr>
        <w:t>　　</w:t>
      </w:r>
      <w:r>
        <w:rPr>
          <w:rFonts w:eastAsia="黑体"/>
          <w:sz w:val="32"/>
          <w:szCs w:val="32"/>
        </w:rPr>
        <w:t>一、项目概况</w:t>
      </w:r>
    </w:p>
    <w:p>
      <w:pPr>
        <w:ind w:firstLine="630" w:firstLineChars="197"/>
        <w:rPr>
          <w:rFonts w:eastAsia="楷体"/>
          <w:sz w:val="32"/>
          <w:szCs w:val="32"/>
        </w:rPr>
      </w:pPr>
      <w:r>
        <w:rPr>
          <w:rFonts w:eastAsia="楷体"/>
          <w:sz w:val="32"/>
          <w:szCs w:val="32"/>
        </w:rPr>
        <w:t>（一）项目基本情况</w:t>
      </w:r>
    </w:p>
    <w:p>
      <w:pPr>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2021年，县、乡、村三级陆续换届，县、乡、村三级纪检监察干部调整较多。为贯彻落实中央纪委和省、市纪委关于持续开展纪检监察干部全员培训的要求，提高纪检监察干部综合素质，通过选送、自主办班等方式，从2022年起每年分期分批组织县、乡、村三级纪检监察干部开展业务培训，用5年时间对全县纪检监察干部轮训一遍。覆盖84人次，产生的培训费以及师资费，合计18.65万元，年末无结转和结余。由财政拨款，严格执行政府收支分类科目相关政策。</w:t>
      </w:r>
    </w:p>
    <w:p>
      <w:pPr>
        <w:numPr>
          <w:ilvl w:val="0"/>
          <w:numId w:val="6"/>
        </w:numPr>
        <w:ind w:firstLine="630" w:firstLineChars="197"/>
        <w:rPr>
          <w:rFonts w:eastAsia="楷体"/>
          <w:sz w:val="32"/>
          <w:szCs w:val="32"/>
        </w:rPr>
      </w:pPr>
      <w:r>
        <w:rPr>
          <w:rFonts w:eastAsia="楷体"/>
          <w:sz w:val="32"/>
          <w:szCs w:val="32"/>
        </w:rPr>
        <w:t>项目绩效目标</w:t>
      </w:r>
    </w:p>
    <w:p>
      <w:pPr>
        <w:ind w:firstLine="642"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b/>
          <w:bCs/>
          <w:color w:val="auto"/>
          <w:kern w:val="0"/>
          <w:sz w:val="32"/>
          <w:szCs w:val="32"/>
          <w:lang w:val="en-US" w:eastAsia="zh-CN" w:bidi="ar-SA"/>
        </w:rPr>
        <w:t>1.项目主要内容。</w:t>
      </w:r>
      <w:r>
        <w:rPr>
          <w:rFonts w:hint="eastAsia" w:ascii="Times New Roman" w:hAnsi="Times New Roman" w:eastAsia="仿宋_GB2312" w:cs="Times New Roman"/>
          <w:color w:val="auto"/>
          <w:kern w:val="0"/>
          <w:sz w:val="32"/>
          <w:szCs w:val="32"/>
          <w:lang w:val="en-US" w:eastAsia="zh-CN" w:bidi="ar-SA"/>
        </w:rPr>
        <w:t>召开盐边县纪检监察干部综合素质提升培训班，组织培训弘扬三线精神，做忠诚干净担当的纪检监察干部、全面从严治党的形势与任务、党内法规体系解读、乡镇信访工作的实践与思考、村镇社区基层纪检监察干部的职责职权与履职方法等内容，采取全日制脱产封闭式培训方式，开展了两期培训班。</w:t>
      </w:r>
    </w:p>
    <w:p>
      <w:pPr>
        <w:ind w:firstLine="642"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b/>
          <w:bCs/>
          <w:color w:val="auto"/>
          <w:kern w:val="0"/>
          <w:sz w:val="32"/>
          <w:szCs w:val="32"/>
          <w:lang w:val="en-US" w:eastAsia="zh-CN" w:bidi="ar-SA"/>
        </w:rPr>
        <w:t>2.项目应实现的具体绩效目标。</w:t>
      </w:r>
      <w:r>
        <w:rPr>
          <w:rFonts w:hint="eastAsia" w:ascii="Times New Roman" w:hAnsi="Times New Roman" w:eastAsia="仿宋_GB2312" w:cs="Times New Roman"/>
          <w:color w:val="auto"/>
          <w:kern w:val="0"/>
          <w:sz w:val="32"/>
          <w:szCs w:val="32"/>
          <w:lang w:val="en-US" w:eastAsia="zh-CN" w:bidi="ar-SA"/>
        </w:rPr>
        <w:t>锤炼纪检监察干部理想信念，锻造监督执纪执法能力，促进广大纪检监察干部树立“心向阳光，干净担当”的心态。</w:t>
      </w:r>
    </w:p>
    <w:p>
      <w:pPr>
        <w:ind w:firstLine="642" w:firstLineChars="200"/>
        <w:rPr>
          <w:rFonts w:hint="default"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b/>
          <w:bCs/>
          <w:color w:val="auto"/>
          <w:kern w:val="0"/>
          <w:sz w:val="32"/>
          <w:szCs w:val="32"/>
          <w:lang w:val="en-US" w:eastAsia="zh-CN" w:bidi="ar-SA"/>
        </w:rPr>
        <w:t>3.申报内容与实际相符情况。</w:t>
      </w:r>
      <w:r>
        <w:rPr>
          <w:rFonts w:hint="eastAsia" w:ascii="Times New Roman" w:hAnsi="Times New Roman" w:eastAsia="仿宋_GB2312" w:cs="Times New Roman"/>
          <w:color w:val="auto"/>
          <w:kern w:val="0"/>
          <w:sz w:val="32"/>
          <w:szCs w:val="32"/>
          <w:lang w:val="en-US" w:eastAsia="zh-CN" w:bidi="ar-SA"/>
        </w:rPr>
        <w:t>项目申报内容与具体实施内容大致相符，严格按照绩效目标完成项目申报内容。</w:t>
      </w:r>
    </w:p>
    <w:p>
      <w:pPr>
        <w:ind w:firstLine="630" w:firstLineChars="197"/>
        <w:rPr>
          <w:rFonts w:eastAsia="楷体"/>
          <w:sz w:val="32"/>
          <w:szCs w:val="32"/>
        </w:rPr>
      </w:pPr>
      <w:r>
        <w:rPr>
          <w:rFonts w:eastAsia="楷体"/>
          <w:sz w:val="32"/>
          <w:szCs w:val="32"/>
        </w:rPr>
        <w:t>（三）项目自评步骤及方法</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组织财务人员按照《盐边县财政局关于开展 2022年度部门整体支出的通知》相关要求和2022提交至财政局的目标申报表（纪检监察干部培训费用）进行自评。项目总体评价为良。</w:t>
      </w:r>
    </w:p>
    <w:p>
      <w:pPr>
        <w:rPr>
          <w:rFonts w:eastAsia="黑体"/>
          <w:sz w:val="32"/>
          <w:szCs w:val="32"/>
        </w:rPr>
      </w:pPr>
      <w:r>
        <w:rPr>
          <w:rFonts w:hint="eastAsia" w:eastAsia="黑体"/>
          <w:sz w:val="32"/>
          <w:szCs w:val="32"/>
        </w:rPr>
        <w:t>　　</w:t>
      </w:r>
      <w:r>
        <w:rPr>
          <w:rFonts w:eastAsia="黑体"/>
          <w:sz w:val="32"/>
          <w:szCs w:val="32"/>
        </w:rPr>
        <w:t>二、项目资金申报及使用情况</w:t>
      </w:r>
    </w:p>
    <w:p>
      <w:pPr>
        <w:ind w:firstLine="630" w:firstLineChars="197"/>
        <w:rPr>
          <w:rFonts w:eastAsia="楷体"/>
          <w:sz w:val="32"/>
          <w:szCs w:val="32"/>
        </w:rPr>
      </w:pPr>
      <w:r>
        <w:rPr>
          <w:rFonts w:eastAsia="楷体"/>
          <w:sz w:val="32"/>
          <w:szCs w:val="32"/>
        </w:rPr>
        <w:t>（一）项目资金申报及批复情况</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填制目标申报表并向财政说明情况申请资金后获得批复，批复文号为：盐财资行〔2022〕510号，将县级专项资金下达（纪检监察干部培训费用）。</w:t>
      </w:r>
    </w:p>
    <w:p>
      <w:pPr>
        <w:ind w:firstLine="630" w:firstLineChars="197"/>
        <w:rPr>
          <w:rFonts w:eastAsia="楷体"/>
          <w:sz w:val="32"/>
          <w:szCs w:val="32"/>
        </w:rPr>
      </w:pPr>
      <w:r>
        <w:rPr>
          <w:rFonts w:eastAsia="楷体"/>
          <w:sz w:val="32"/>
          <w:szCs w:val="32"/>
        </w:rPr>
        <w:t>（二）资金计划、到位及使用情况</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1.资金计划：由盐边县财政局拨款。</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2.资金到位及时。</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3.资金使用：根据2022年纪检监察干部全员培训的工作要求，完成了以下重点任务。召开盐边县纪检监察干部综合素质提升培训班，组织培训弘扬三线精神，做忠诚干净担当的纪检监察干部、全面从严治党的形势与任务、党内法规体系解读、乡镇信访工作的实践与思考、村镇社区基层纪检监察干部的职责职权与履职方法等内容，采取全日制脱产封闭式培训方式，开展了两期培训班，覆盖84人次，产生的培训费以及师资费，合计18.65万元，年末无结转和结余。资金使用安全、规范，严格按照相关政策进行支付，与预算相符。</w:t>
      </w:r>
    </w:p>
    <w:p>
      <w:pPr>
        <w:ind w:firstLine="630" w:firstLineChars="197"/>
        <w:rPr>
          <w:rFonts w:eastAsia="楷体"/>
          <w:sz w:val="32"/>
          <w:szCs w:val="32"/>
        </w:rPr>
      </w:pPr>
      <w:r>
        <w:rPr>
          <w:rFonts w:eastAsia="楷体"/>
          <w:sz w:val="32"/>
          <w:szCs w:val="32"/>
        </w:rPr>
        <w:t>（三）项目财务管理情况</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我委财务管理制度健全，严格执行财务管理制度，账务处理及时，会计核算等均符合财政工作要求。</w:t>
      </w:r>
    </w:p>
    <w:p>
      <w:pPr>
        <w:rPr>
          <w:rFonts w:eastAsia="黑体"/>
          <w:sz w:val="32"/>
          <w:szCs w:val="32"/>
        </w:rPr>
      </w:pPr>
      <w:r>
        <w:rPr>
          <w:rFonts w:hint="eastAsia" w:eastAsia="黑体"/>
          <w:sz w:val="32"/>
          <w:szCs w:val="32"/>
        </w:rPr>
        <w:t>　　</w:t>
      </w:r>
      <w:r>
        <w:rPr>
          <w:rFonts w:eastAsia="黑体"/>
          <w:sz w:val="32"/>
          <w:szCs w:val="32"/>
        </w:rPr>
        <w:t>三、项目实施及管理情况</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eastAsia="楷体"/>
          <w:sz w:val="32"/>
          <w:szCs w:val="32"/>
        </w:rPr>
        <w:t>（一）项目组织架构及实施流程：</w:t>
      </w:r>
      <w:r>
        <w:rPr>
          <w:rFonts w:hint="eastAsia" w:ascii="Times New Roman" w:hAnsi="Times New Roman" w:eastAsia="仿宋_GB2312" w:cs="Times New Roman"/>
          <w:color w:val="auto"/>
          <w:kern w:val="0"/>
          <w:sz w:val="32"/>
          <w:szCs w:val="32"/>
          <w:lang w:val="en-US" w:eastAsia="zh-CN" w:bidi="ar-SA"/>
        </w:rPr>
        <w:t>由组织部发起申请，财务人员向财政部门提交用款申请和绩效目标申请表等，待财政资金获批下达后，由业务经办人（主要为县纪委监委机关组织部人员）组织实施具体业务，将报销单据交给财务人员，财务人员严格按照财经纪律进行报销。</w:t>
      </w:r>
    </w:p>
    <w:p>
      <w:pPr>
        <w:ind w:firstLine="640" w:firstLineChars="200"/>
        <w:rPr>
          <w:rFonts w:eastAsia="仿宋_GB2312"/>
          <w:sz w:val="32"/>
          <w:szCs w:val="32"/>
        </w:rPr>
      </w:pPr>
      <w:r>
        <w:rPr>
          <w:rFonts w:eastAsia="楷体"/>
          <w:sz w:val="32"/>
          <w:szCs w:val="32"/>
        </w:rPr>
        <w:t>（二）项目管理情况：</w:t>
      </w:r>
      <w:r>
        <w:rPr>
          <w:rFonts w:hint="eastAsia" w:ascii="Times New Roman" w:hAnsi="Times New Roman" w:eastAsia="仿宋_GB2312" w:cs="Times New Roman"/>
          <w:color w:val="auto"/>
          <w:kern w:val="0"/>
          <w:sz w:val="32"/>
          <w:szCs w:val="32"/>
          <w:lang w:val="en-US" w:eastAsia="zh-CN" w:bidi="ar-SA"/>
        </w:rPr>
        <w:t>项目未发生集中采购，相关业务活动由归口科室进行管理（主要为组织部和办公室）。</w:t>
      </w:r>
    </w:p>
    <w:p>
      <w:pPr>
        <w:ind w:firstLine="640" w:firstLineChars="200"/>
        <w:rPr>
          <w:rFonts w:hint="eastAsia" w:ascii="Times New Roman" w:hAnsi="Times New Roman" w:eastAsia="仿宋_GB2312" w:cs="Times New Roman"/>
          <w:color w:val="auto"/>
          <w:kern w:val="0"/>
          <w:sz w:val="32"/>
          <w:szCs w:val="32"/>
          <w:lang w:val="en-US" w:eastAsia="zh-CN" w:bidi="ar-SA"/>
        </w:rPr>
      </w:pPr>
      <w:r>
        <w:rPr>
          <w:rFonts w:eastAsia="楷体"/>
          <w:sz w:val="32"/>
          <w:szCs w:val="32"/>
        </w:rPr>
        <w:t>（三）项目监管情况：</w:t>
      </w:r>
      <w:r>
        <w:rPr>
          <w:rFonts w:hint="eastAsia" w:ascii="Times New Roman" w:hAnsi="Times New Roman" w:eastAsia="仿宋_GB2312" w:cs="Times New Roman"/>
          <w:color w:val="auto"/>
          <w:kern w:val="0"/>
          <w:sz w:val="32"/>
          <w:szCs w:val="32"/>
          <w:lang w:val="en-US" w:eastAsia="zh-CN" w:bidi="ar-SA"/>
        </w:rPr>
        <w:t>严格按照财务相关程序、单位内部工作流程进行项目监管，及时请示汇报领导，未出现监管纰漏。</w:t>
      </w:r>
    </w:p>
    <w:p>
      <w:pPr>
        <w:rPr>
          <w:rFonts w:eastAsia="黑体"/>
          <w:sz w:val="32"/>
          <w:szCs w:val="32"/>
        </w:rPr>
      </w:pPr>
      <w:r>
        <w:rPr>
          <w:rFonts w:hint="eastAsia" w:eastAsia="黑体"/>
          <w:sz w:val="32"/>
          <w:szCs w:val="32"/>
        </w:rPr>
        <w:t>　　</w:t>
      </w:r>
      <w:r>
        <w:rPr>
          <w:rFonts w:eastAsia="黑体"/>
          <w:sz w:val="32"/>
          <w:szCs w:val="32"/>
        </w:rPr>
        <w:t>四、项目绩效情况</w:t>
      </w:r>
      <w:r>
        <w:rPr>
          <w:rFonts w:eastAsia="黑体"/>
          <w:sz w:val="32"/>
          <w:szCs w:val="32"/>
        </w:rPr>
        <w:tab/>
      </w:r>
    </w:p>
    <w:p>
      <w:pPr>
        <w:ind w:firstLine="640" w:firstLineChars="200"/>
        <w:rPr>
          <w:rFonts w:hint="eastAsia" w:eastAsia="楷体"/>
          <w:sz w:val="32"/>
          <w:szCs w:val="32"/>
          <w:lang w:eastAsia="zh-CN"/>
        </w:rPr>
      </w:pPr>
      <w:r>
        <w:rPr>
          <w:rFonts w:hint="eastAsia" w:eastAsia="楷体"/>
          <w:sz w:val="32"/>
          <w:szCs w:val="32"/>
          <w:lang w:eastAsia="zh-CN"/>
        </w:rPr>
        <w:t>（一）</w:t>
      </w:r>
      <w:r>
        <w:rPr>
          <w:rFonts w:eastAsia="楷体"/>
          <w:sz w:val="32"/>
          <w:szCs w:val="32"/>
        </w:rPr>
        <w:t>项目完成情况</w:t>
      </w:r>
    </w:p>
    <w:p>
      <w:pPr>
        <w:pStyle w:val="2"/>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培训人次覆盖84人次，产生的培训费以及师资费，合计18.65万元，年底全部完成支付。</w:t>
      </w:r>
    </w:p>
    <w:p>
      <w:pPr>
        <w:ind w:firstLine="640" w:firstLineChars="200"/>
        <w:rPr>
          <w:rFonts w:hint="eastAsia" w:eastAsia="楷体"/>
          <w:sz w:val="32"/>
          <w:szCs w:val="32"/>
          <w:lang w:eastAsia="zh-CN"/>
        </w:rPr>
      </w:pPr>
      <w:r>
        <w:rPr>
          <w:rFonts w:hint="eastAsia" w:eastAsia="楷体"/>
          <w:sz w:val="32"/>
          <w:szCs w:val="32"/>
          <w:lang w:eastAsia="zh-CN"/>
        </w:rPr>
        <w:t>（二）项目效益情况</w:t>
      </w:r>
    </w:p>
    <w:p>
      <w:pPr>
        <w:pStyle w:val="2"/>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培训费用得以保障，确保干部培训工作如期开展，才能不断推进盐边县纪检监察工作高质量发展。</w:t>
      </w:r>
    </w:p>
    <w:p>
      <w:pPr>
        <w:rPr>
          <w:rFonts w:eastAsia="仿宋_GB2312"/>
          <w:sz w:val="32"/>
          <w:szCs w:val="32"/>
        </w:rPr>
      </w:pPr>
      <w:r>
        <w:rPr>
          <w:rFonts w:hint="eastAsia" w:eastAsia="黑体"/>
          <w:sz w:val="32"/>
          <w:szCs w:val="32"/>
        </w:rPr>
        <w:t>　　</w:t>
      </w:r>
      <w:r>
        <w:rPr>
          <w:rFonts w:eastAsia="黑体"/>
          <w:sz w:val="32"/>
          <w:szCs w:val="32"/>
        </w:rPr>
        <w:t>五、评价结论及建议</w:t>
      </w:r>
    </w:p>
    <w:p>
      <w:pPr>
        <w:ind w:firstLine="640" w:firstLineChars="200"/>
        <w:rPr>
          <w:rFonts w:eastAsia="仿宋_GB2312"/>
          <w:sz w:val="32"/>
          <w:szCs w:val="32"/>
        </w:rPr>
      </w:pPr>
      <w:r>
        <w:rPr>
          <w:rFonts w:eastAsia="楷体"/>
          <w:sz w:val="32"/>
          <w:szCs w:val="32"/>
        </w:rPr>
        <w:t>（一）评价结论：</w:t>
      </w:r>
      <w:r>
        <w:rPr>
          <w:rFonts w:hint="eastAsia" w:ascii="Times New Roman" w:hAnsi="Times New Roman" w:eastAsia="仿宋_GB2312" w:cs="Times New Roman"/>
          <w:color w:val="auto"/>
          <w:kern w:val="0"/>
          <w:sz w:val="32"/>
          <w:szCs w:val="32"/>
          <w:lang w:val="en-US" w:eastAsia="zh-CN" w:bidi="ar-SA"/>
        </w:rPr>
        <w:t>评价重点在于实际完成情况、财务规范情况及自评表指标设定科学性合理性等，经评价为良。</w:t>
      </w:r>
    </w:p>
    <w:p>
      <w:pPr>
        <w:ind w:firstLine="640" w:firstLineChars="200"/>
        <w:rPr>
          <w:rFonts w:eastAsia="楷体"/>
          <w:sz w:val="32"/>
          <w:szCs w:val="32"/>
        </w:rPr>
      </w:pPr>
      <w:r>
        <w:rPr>
          <w:rFonts w:eastAsia="楷体"/>
          <w:sz w:val="32"/>
          <w:szCs w:val="32"/>
        </w:rPr>
        <w:t>（二）存在的问题</w:t>
      </w:r>
    </w:p>
    <w:p>
      <w:pPr>
        <w:pStyle w:val="15"/>
        <w:widowControl/>
        <w:ind w:firstLine="600"/>
        <w:jc w:val="both"/>
        <w:rPr>
          <w:rFonts w:hint="eastAsia" w:ascii="Times New Roman" w:hAnsi="Times New Roman" w:eastAsia="仿宋_GB2312" w:cs="Times New Roman"/>
          <w:color w:val="auto"/>
          <w:kern w:val="0"/>
          <w:sz w:val="32"/>
          <w:szCs w:val="32"/>
          <w:lang w:val="en-US" w:eastAsia="zh-CN" w:bidi="ar-SA"/>
        </w:rPr>
      </w:pPr>
      <w:r>
        <w:rPr>
          <w:rStyle w:val="17"/>
          <w:bCs/>
          <w:color w:val="333333"/>
          <w:sz w:val="32"/>
          <w:szCs w:val="32"/>
        </w:rPr>
        <w:t>1.</w:t>
      </w:r>
      <w:r>
        <w:rPr>
          <w:b/>
          <w:bCs/>
          <w:kern w:val="2"/>
          <w:sz w:val="32"/>
          <w:szCs w:val="32"/>
        </w:rPr>
        <w:t>绩效评价管理制度尚不健全。</w:t>
      </w:r>
      <w:r>
        <w:rPr>
          <w:rFonts w:hint="eastAsia" w:ascii="Times New Roman" w:hAnsi="Times New Roman" w:eastAsia="仿宋_GB2312" w:cs="Times New Roman"/>
          <w:color w:val="auto"/>
          <w:kern w:val="0"/>
          <w:sz w:val="32"/>
          <w:szCs w:val="32"/>
          <w:lang w:val="en-US" w:eastAsia="zh-CN" w:bidi="ar-SA"/>
        </w:rPr>
        <w:t>评价体系尚不完善（如：评价指标设置有待进一步科学化），在当前财政管理体制中，绩效评价还未纳入财政管理全过程，与预算编制、执行相结合的工作机制和部门协调机制尚未建立。客观上财政支出绩效相关的法律法规尚不健全，缺乏强有力的制度保障。</w:t>
      </w:r>
    </w:p>
    <w:p>
      <w:pPr>
        <w:pStyle w:val="15"/>
        <w:widowControl/>
        <w:ind w:firstLine="600"/>
        <w:jc w:val="both"/>
        <w:rPr>
          <w:rFonts w:hint="eastAsia" w:ascii="Times New Roman" w:hAnsi="Times New Roman" w:eastAsia="仿宋_GB2312" w:cs="Times New Roman"/>
          <w:color w:val="auto"/>
          <w:kern w:val="0"/>
          <w:sz w:val="32"/>
          <w:szCs w:val="32"/>
          <w:lang w:val="en-US" w:eastAsia="zh-CN" w:bidi="ar-SA"/>
        </w:rPr>
      </w:pPr>
      <w:r>
        <w:rPr>
          <w:b/>
          <w:bCs/>
          <w:kern w:val="2"/>
          <w:sz w:val="32"/>
          <w:szCs w:val="32"/>
        </w:rPr>
        <w:t>2.对绩效评价工作的认识不够。</w:t>
      </w:r>
      <w:r>
        <w:rPr>
          <w:rFonts w:hint="eastAsia" w:ascii="Times New Roman" w:hAnsi="Times New Roman" w:eastAsia="仿宋_GB2312" w:cs="Times New Roman"/>
          <w:color w:val="auto"/>
          <w:kern w:val="0"/>
          <w:sz w:val="32"/>
          <w:szCs w:val="32"/>
          <w:lang w:val="en-US" w:eastAsia="zh-CN" w:bidi="ar-SA"/>
        </w:rPr>
        <w:t>通过绩效评价工作的逐步推进，虽然逐步树立了绩效理念，对预算计算评价工作的态度由“被动接受”变为“主动实施”，但了解还不够深入，对单位绩效不重视，认为绩效评价只是财务部门的事情，相关项目职责部门配合不够，往往只能提供有限的财经资料或简单的工作计划、工作总结，绩效评价工作资料非常有限，内容粗浅。大多就直接借用工作计划，工作总结等做为绩效自评报告的主要内容。</w:t>
      </w:r>
    </w:p>
    <w:p>
      <w:pPr>
        <w:pStyle w:val="15"/>
        <w:widowControl/>
        <w:ind w:firstLine="552" w:firstLineChars="172"/>
        <w:jc w:val="both"/>
        <w:rPr>
          <w:rFonts w:hint="eastAsia" w:ascii="Times New Roman" w:hAnsi="Times New Roman" w:eastAsia="仿宋_GB2312" w:cs="Times New Roman"/>
          <w:color w:val="auto"/>
          <w:kern w:val="0"/>
          <w:sz w:val="32"/>
          <w:szCs w:val="32"/>
          <w:lang w:val="en-US" w:eastAsia="zh-CN" w:bidi="ar-SA"/>
        </w:rPr>
      </w:pPr>
      <w:r>
        <w:rPr>
          <w:b/>
          <w:bCs/>
          <w:kern w:val="2"/>
          <w:sz w:val="32"/>
          <w:szCs w:val="32"/>
        </w:rPr>
        <w:t>3.人员素质有待进一步提高。</w:t>
      </w:r>
      <w:r>
        <w:rPr>
          <w:rFonts w:hint="eastAsia" w:ascii="Times New Roman" w:hAnsi="Times New Roman" w:eastAsia="仿宋_GB2312" w:cs="Times New Roman"/>
          <w:color w:val="auto"/>
          <w:kern w:val="0"/>
          <w:sz w:val="32"/>
          <w:szCs w:val="32"/>
          <w:lang w:val="en-US" w:eastAsia="zh-CN" w:bidi="ar-SA"/>
        </w:rPr>
        <w:t>由于预算绩效管理工作开展时间短，涉及面广，专业性强，加上缺乏系统的培训，无论是预算单位还是财政部门相关人员，对预算绩效管理理解不充分，对预算绩效管理业务不精通，在一定程度上影响了绩效评价工作质量。</w:t>
      </w:r>
    </w:p>
    <w:p>
      <w:pPr>
        <w:ind w:firstLine="640" w:firstLineChars="200"/>
        <w:rPr>
          <w:rFonts w:eastAsia="楷体"/>
          <w:sz w:val="32"/>
          <w:szCs w:val="32"/>
        </w:rPr>
      </w:pPr>
      <w:r>
        <w:rPr>
          <w:rFonts w:eastAsia="楷体"/>
          <w:sz w:val="32"/>
          <w:szCs w:val="32"/>
        </w:rPr>
        <w:t>（三）相关建议</w:t>
      </w:r>
    </w:p>
    <w:p>
      <w:pPr>
        <w:pStyle w:val="15"/>
        <w:widowControl/>
        <w:ind w:firstLine="600" w:firstLineChars="187"/>
        <w:jc w:val="both"/>
        <w:rPr>
          <w:sz w:val="32"/>
          <w:szCs w:val="32"/>
        </w:rPr>
      </w:pPr>
      <w:r>
        <w:rPr>
          <w:b/>
          <w:bCs/>
          <w:kern w:val="2"/>
          <w:sz w:val="32"/>
          <w:szCs w:val="32"/>
        </w:rPr>
        <w:t>1.</w:t>
      </w:r>
      <w:r>
        <w:rPr>
          <w:rStyle w:val="17"/>
          <w:bCs/>
          <w:sz w:val="32"/>
          <w:szCs w:val="32"/>
        </w:rPr>
        <w:t>完善绩效评价工作制度。</w:t>
      </w:r>
      <w:r>
        <w:rPr>
          <w:sz w:val="32"/>
          <w:szCs w:val="32"/>
        </w:rPr>
        <w:t>一是逐步建立和完善财政支出绩效评价相关制度，包括绩效目标审查制度、项目绩效考核制度、绩效奖惩制度等；二是建议将预算绩效管理与政府绩效考评结合起来，将单位预算绩效考评工作力度加大，前者主要是项目层面的管理，后者是部门层面的管理，二者应该是一种互相促动的关系，即构建一套符合公共需求的绩效目标体系，提高政府的公共服务水平。</w:t>
      </w:r>
    </w:p>
    <w:p>
      <w:pPr>
        <w:pStyle w:val="15"/>
        <w:widowControl/>
        <w:ind w:firstLine="600" w:firstLineChars="187"/>
        <w:jc w:val="both"/>
        <w:rPr>
          <w:sz w:val="32"/>
          <w:szCs w:val="32"/>
        </w:rPr>
      </w:pPr>
      <w:r>
        <w:rPr>
          <w:b/>
          <w:bCs/>
          <w:kern w:val="2"/>
          <w:sz w:val="32"/>
          <w:szCs w:val="32"/>
        </w:rPr>
        <w:t>2.</w:t>
      </w:r>
      <w:r>
        <w:rPr>
          <w:rStyle w:val="17"/>
          <w:bCs/>
          <w:sz w:val="32"/>
          <w:szCs w:val="32"/>
        </w:rPr>
        <w:t>加强学习培训，提升业务能力。</w:t>
      </w:r>
      <w:r>
        <w:rPr>
          <w:sz w:val="32"/>
          <w:szCs w:val="32"/>
        </w:rPr>
        <w:t>由于绩效评价工作要求高，工作量大，涉及项目业务、财务、效益待多方面的专业知识，对各预算部门、财政部门的机构能力和人员素质来说，无疑是一场严峻的考验，只有通过进行多方位多层次的学习培训，努力提高相关人员素质，才能真正将预算绩效管理工作落实到位。对内财政部门相关人员可以通过业务培训、考察交流和实地调研等形式开展，在实际工作中不断积累经验，加强理论研究；对外加强对部门单位的绩效管理知识培训，可以采取邀请专家讲课、财政部门辅导和案例剖析等方式，不断提升绩效人员业务能力。</w:t>
      </w: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pStyle w:val="15"/>
        <w:widowControl/>
        <w:ind w:firstLine="598" w:firstLineChars="187"/>
        <w:jc w:val="both"/>
        <w:rPr>
          <w:sz w:val="32"/>
          <w:szCs w:val="32"/>
          <w:lang w:val="zh-CN"/>
        </w:rPr>
      </w:pPr>
    </w:p>
    <w:p>
      <w:pPr>
        <w:spacing w:line="600" w:lineRule="exact"/>
        <w:jc w:val="center"/>
        <w:outlineLvl w:val="0"/>
        <w:rPr>
          <w:rFonts w:eastAsia="黑体"/>
          <w:sz w:val="44"/>
          <w:szCs w:val="44"/>
        </w:rPr>
      </w:pPr>
      <w:bookmarkStart w:id="50" w:name="_Toc15396618"/>
    </w:p>
    <w:p>
      <w:pPr>
        <w:spacing w:line="600" w:lineRule="exact"/>
        <w:jc w:val="center"/>
        <w:outlineLvl w:val="0"/>
        <w:rPr>
          <w:rFonts w:eastAsia="仿宋"/>
        </w:rPr>
      </w:pPr>
      <w:r>
        <w:rPr>
          <w:rFonts w:eastAsia="黑体"/>
          <w:sz w:val="44"/>
          <w:szCs w:val="44"/>
        </w:rPr>
        <w:t>第</w:t>
      </w:r>
      <w:r>
        <w:rPr>
          <w:rStyle w:val="29"/>
          <w:rFonts w:eastAsia="黑体"/>
          <w:b w:val="0"/>
        </w:rPr>
        <w:t>五部分 附表</w:t>
      </w:r>
      <w:bookmarkEnd w:id="49"/>
      <w:bookmarkEnd w:id="50"/>
      <w:bookmarkStart w:id="51" w:name="_Toc15396619"/>
    </w:p>
    <w:p>
      <w:pPr>
        <w:pStyle w:val="4"/>
        <w:rPr>
          <w:rFonts w:ascii="Times New Roman" w:hAnsi="Times New Roman" w:eastAsia="仿宋" w:cs="Times New Roman"/>
        </w:rPr>
      </w:pPr>
      <w:r>
        <w:rPr>
          <w:rFonts w:ascii="Times New Roman" w:hAnsi="Times New Roman" w:eastAsia="仿宋" w:cs="Times New Roman"/>
          <w:b w:val="0"/>
        </w:rPr>
        <w:t>一、收</w:t>
      </w:r>
      <w:r>
        <w:rPr>
          <w:rStyle w:val="30"/>
          <w:rFonts w:ascii="Times New Roman" w:hAnsi="Times New Roman" w:eastAsia="仿宋" w:cs="Times New Roman"/>
          <w:b w:val="0"/>
          <w:bCs w:val="0"/>
        </w:rPr>
        <w:t>入支出决算总表</w:t>
      </w:r>
      <w:bookmarkEnd w:id="51"/>
    </w:p>
    <w:p>
      <w:pPr>
        <w:pStyle w:val="4"/>
        <w:rPr>
          <w:rFonts w:ascii="Times New Roman" w:hAnsi="Times New Roman" w:eastAsia="仿宋" w:cs="Times New Roman"/>
        </w:rPr>
      </w:pPr>
      <w:bookmarkStart w:id="52" w:name="_Toc15396620"/>
      <w:r>
        <w:rPr>
          <w:rFonts w:ascii="Times New Roman" w:hAnsi="Times New Roman" w:eastAsia="仿宋" w:cs="Times New Roman"/>
          <w:b w:val="0"/>
        </w:rPr>
        <w:t>二、收</w:t>
      </w:r>
      <w:r>
        <w:rPr>
          <w:rStyle w:val="30"/>
          <w:rFonts w:ascii="Times New Roman" w:hAnsi="Times New Roman" w:eastAsia="仿宋" w:cs="Times New Roman"/>
          <w:b w:val="0"/>
          <w:bCs w:val="0"/>
        </w:rPr>
        <w:t>入决算表</w:t>
      </w:r>
      <w:bookmarkEnd w:id="52"/>
    </w:p>
    <w:p>
      <w:pPr>
        <w:pStyle w:val="4"/>
        <w:rPr>
          <w:rFonts w:ascii="Times New Roman" w:hAnsi="Times New Roman" w:eastAsia="仿宋" w:cs="Times New Roman"/>
        </w:rPr>
      </w:pPr>
      <w:bookmarkStart w:id="53" w:name="_Toc15396621"/>
      <w:r>
        <w:rPr>
          <w:rStyle w:val="30"/>
          <w:rFonts w:ascii="Times New Roman" w:hAnsi="Times New Roman" w:eastAsia="仿宋" w:cs="Times New Roman"/>
          <w:b w:val="0"/>
          <w:bCs w:val="0"/>
        </w:rPr>
        <w:t>三、</w:t>
      </w:r>
      <w:r>
        <w:rPr>
          <w:rFonts w:ascii="Times New Roman" w:hAnsi="Times New Roman" w:eastAsia="仿宋" w:cs="Times New Roman"/>
          <w:b w:val="0"/>
        </w:rPr>
        <w:t>支</w:t>
      </w:r>
      <w:r>
        <w:rPr>
          <w:rStyle w:val="30"/>
          <w:rFonts w:ascii="Times New Roman" w:hAnsi="Times New Roman" w:eastAsia="仿宋" w:cs="Times New Roman"/>
          <w:b w:val="0"/>
          <w:bCs w:val="0"/>
        </w:rPr>
        <w:t>出决算表</w:t>
      </w:r>
      <w:bookmarkEnd w:id="53"/>
    </w:p>
    <w:p>
      <w:pPr>
        <w:pStyle w:val="4"/>
        <w:rPr>
          <w:rFonts w:ascii="Times New Roman" w:hAnsi="Times New Roman" w:eastAsia="仿宋" w:cs="Times New Roman"/>
          <w:b w:val="0"/>
        </w:rPr>
      </w:pPr>
      <w:bookmarkStart w:id="54" w:name="_Toc15396622"/>
      <w:r>
        <w:rPr>
          <w:rStyle w:val="30"/>
          <w:rFonts w:ascii="Times New Roman" w:hAnsi="Times New Roman" w:eastAsia="仿宋" w:cs="Times New Roman"/>
          <w:b w:val="0"/>
          <w:bCs w:val="0"/>
        </w:rPr>
        <w:t>四、</w:t>
      </w:r>
      <w:r>
        <w:rPr>
          <w:rFonts w:ascii="Times New Roman" w:hAnsi="Times New Roman" w:eastAsia="仿宋" w:cs="Times New Roman"/>
          <w:b w:val="0"/>
        </w:rPr>
        <w:t>财</w:t>
      </w:r>
      <w:r>
        <w:rPr>
          <w:rStyle w:val="30"/>
          <w:rFonts w:ascii="Times New Roman" w:hAnsi="Times New Roman" w:eastAsia="仿宋" w:cs="Times New Roman"/>
          <w:b w:val="0"/>
          <w:bCs w:val="0"/>
        </w:rPr>
        <w:t>政拨款收入支出决算总表</w:t>
      </w:r>
      <w:bookmarkEnd w:id="54"/>
    </w:p>
    <w:p>
      <w:pPr>
        <w:pStyle w:val="4"/>
        <w:rPr>
          <w:rStyle w:val="30"/>
          <w:rFonts w:ascii="Times New Roman" w:hAnsi="Times New Roman" w:eastAsia="仿宋" w:cs="Times New Roman"/>
          <w:b w:val="0"/>
          <w:bCs w:val="0"/>
        </w:rPr>
      </w:pPr>
      <w:bookmarkStart w:id="55" w:name="_Toc15396623"/>
      <w:r>
        <w:rPr>
          <w:rStyle w:val="30"/>
          <w:rFonts w:ascii="Times New Roman" w:hAnsi="Times New Roman" w:eastAsia="仿宋" w:cs="Times New Roman"/>
          <w:b w:val="0"/>
          <w:bCs w:val="0"/>
        </w:rPr>
        <w:t>五、</w:t>
      </w:r>
      <w:r>
        <w:rPr>
          <w:rFonts w:ascii="Times New Roman" w:hAnsi="Times New Roman" w:eastAsia="仿宋" w:cs="Times New Roman"/>
          <w:b w:val="0"/>
        </w:rPr>
        <w:t>财</w:t>
      </w:r>
      <w:r>
        <w:rPr>
          <w:rStyle w:val="30"/>
          <w:rFonts w:ascii="Times New Roman" w:hAnsi="Times New Roman" w:eastAsia="仿宋" w:cs="Times New Roman"/>
          <w:b w:val="0"/>
          <w:bCs w:val="0"/>
        </w:rPr>
        <w:t>政拨款支出决算明细表</w:t>
      </w:r>
      <w:bookmarkEnd w:id="55"/>
      <w:bookmarkStart w:id="56" w:name="_Toc15396624"/>
    </w:p>
    <w:p>
      <w:pPr>
        <w:pStyle w:val="4"/>
        <w:rPr>
          <w:rFonts w:ascii="Times New Roman" w:hAnsi="Times New Roman" w:eastAsia="仿宋" w:cs="Times New Roman"/>
        </w:rPr>
      </w:pPr>
      <w:r>
        <w:rPr>
          <w:rStyle w:val="30"/>
          <w:rFonts w:ascii="Times New Roman" w:hAnsi="Times New Roman" w:eastAsia="仿宋" w:cs="Times New Roman"/>
          <w:b w:val="0"/>
          <w:bCs w:val="0"/>
        </w:rPr>
        <w:t>六、</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般公共预算财政拨款支出决算表</w:t>
      </w:r>
      <w:bookmarkEnd w:id="56"/>
    </w:p>
    <w:p>
      <w:pPr>
        <w:pStyle w:val="4"/>
        <w:rPr>
          <w:rFonts w:ascii="Times New Roman" w:hAnsi="Times New Roman" w:eastAsia="仿宋" w:cs="Times New Roman"/>
        </w:rPr>
      </w:pPr>
      <w:bookmarkStart w:id="57" w:name="_Toc15396625"/>
      <w:r>
        <w:rPr>
          <w:rStyle w:val="30"/>
          <w:rFonts w:ascii="Times New Roman" w:hAnsi="Times New Roman" w:eastAsia="仿宋" w:cs="Times New Roman"/>
          <w:b w:val="0"/>
          <w:bCs w:val="0"/>
        </w:rPr>
        <w:t>七、</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般公共预算财政拨款支出决算明细表</w:t>
      </w:r>
      <w:bookmarkEnd w:id="57"/>
    </w:p>
    <w:p>
      <w:pPr>
        <w:pStyle w:val="4"/>
        <w:rPr>
          <w:rFonts w:ascii="Times New Roman" w:hAnsi="Times New Roman" w:eastAsia="仿宋" w:cs="Times New Roman"/>
        </w:rPr>
      </w:pPr>
      <w:bookmarkStart w:id="58" w:name="_Toc15396626"/>
      <w:r>
        <w:rPr>
          <w:rStyle w:val="30"/>
          <w:rFonts w:ascii="Times New Roman" w:hAnsi="Times New Roman" w:eastAsia="仿宋" w:cs="Times New Roman"/>
          <w:b w:val="0"/>
          <w:bCs w:val="0"/>
        </w:rPr>
        <w:t>八、</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般公共预算财政拨款基本支出决算表</w:t>
      </w:r>
      <w:bookmarkEnd w:id="58"/>
    </w:p>
    <w:p>
      <w:pPr>
        <w:pStyle w:val="4"/>
        <w:rPr>
          <w:rFonts w:ascii="Times New Roman" w:hAnsi="Times New Roman" w:eastAsia="仿宋" w:cs="Times New Roman"/>
        </w:rPr>
      </w:pPr>
      <w:bookmarkStart w:id="59" w:name="_Toc15396627"/>
      <w:r>
        <w:rPr>
          <w:rStyle w:val="30"/>
          <w:rFonts w:ascii="Times New Roman" w:hAnsi="Times New Roman" w:eastAsia="仿宋" w:cs="Times New Roman"/>
          <w:b w:val="0"/>
          <w:bCs w:val="0"/>
        </w:rPr>
        <w:t>九、</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般公共预算财政拨款项目支出决算表</w:t>
      </w:r>
      <w:bookmarkEnd w:id="59"/>
    </w:p>
    <w:p>
      <w:pPr>
        <w:pStyle w:val="4"/>
        <w:rPr>
          <w:rFonts w:ascii="Times New Roman" w:hAnsi="Times New Roman" w:eastAsia="仿宋" w:cs="Times New Roman"/>
        </w:rPr>
      </w:pPr>
      <w:bookmarkStart w:id="60" w:name="_Toc15396628"/>
      <w:r>
        <w:rPr>
          <w:rStyle w:val="30"/>
          <w:rFonts w:ascii="Times New Roman" w:hAnsi="Times New Roman" w:eastAsia="仿宋" w:cs="Times New Roman"/>
          <w:b w:val="0"/>
          <w:bCs w:val="0"/>
        </w:rPr>
        <w:t>十、</w:t>
      </w:r>
      <w:bookmarkEnd w:id="60"/>
      <w:r>
        <w:rPr>
          <w:rFonts w:ascii="Times New Roman" w:hAnsi="Times New Roman" w:eastAsia="仿宋" w:cs="Times New Roman"/>
          <w:b w:val="0"/>
        </w:rPr>
        <w:t>政</w:t>
      </w:r>
      <w:r>
        <w:rPr>
          <w:rStyle w:val="30"/>
          <w:rFonts w:ascii="Times New Roman" w:hAnsi="Times New Roman" w:eastAsia="仿宋" w:cs="Times New Roman"/>
          <w:b w:val="0"/>
          <w:bCs w:val="0"/>
        </w:rPr>
        <w:t>府性基金预算财政拨款收入支出决算表</w:t>
      </w:r>
    </w:p>
    <w:p>
      <w:pPr>
        <w:pStyle w:val="4"/>
        <w:rPr>
          <w:rFonts w:ascii="Times New Roman" w:hAnsi="Times New Roman" w:eastAsia="仿宋" w:cs="Times New Roman"/>
        </w:rPr>
      </w:pPr>
      <w:bookmarkStart w:id="61" w:name="_Toc15396629"/>
      <w:r>
        <w:rPr>
          <w:rStyle w:val="30"/>
          <w:rFonts w:ascii="Times New Roman" w:hAnsi="Times New Roman" w:eastAsia="仿宋" w:cs="Times New Roman"/>
          <w:b w:val="0"/>
          <w:bCs w:val="0"/>
        </w:rPr>
        <w:t>十一、</w:t>
      </w:r>
      <w:bookmarkEnd w:id="61"/>
      <w:r>
        <w:rPr>
          <w:rFonts w:ascii="Times New Roman" w:hAnsi="Times New Roman" w:eastAsia="仿宋" w:cs="Times New Roman"/>
          <w:b w:val="0"/>
        </w:rPr>
        <w:t>国</w:t>
      </w:r>
      <w:r>
        <w:rPr>
          <w:rStyle w:val="30"/>
          <w:rFonts w:ascii="Times New Roman" w:hAnsi="Times New Roman" w:eastAsia="仿宋" w:cs="Times New Roman"/>
          <w:b w:val="0"/>
          <w:bCs w:val="0"/>
        </w:rPr>
        <w:t>有资本经营预算财政拨款收入支出决算表</w:t>
      </w:r>
    </w:p>
    <w:p>
      <w:pPr>
        <w:pStyle w:val="4"/>
        <w:rPr>
          <w:rFonts w:ascii="Times New Roman" w:hAnsi="Times New Roman" w:eastAsia="仿宋" w:cs="Times New Roman"/>
        </w:rPr>
      </w:pPr>
      <w:bookmarkStart w:id="62" w:name="_Toc15396630"/>
      <w:r>
        <w:rPr>
          <w:rStyle w:val="30"/>
          <w:rFonts w:ascii="Times New Roman" w:hAnsi="Times New Roman" w:eastAsia="仿宋" w:cs="Times New Roman"/>
          <w:b w:val="0"/>
          <w:bCs w:val="0"/>
        </w:rPr>
        <w:t>十二、</w:t>
      </w:r>
      <w:bookmarkEnd w:id="62"/>
      <w:r>
        <w:rPr>
          <w:rStyle w:val="30"/>
          <w:rFonts w:ascii="Times New Roman" w:hAnsi="Times New Roman" w:eastAsia="仿宋" w:cs="Times New Roman"/>
          <w:b w:val="0"/>
          <w:bCs w:val="0"/>
        </w:rPr>
        <w:t>国有资本经营预算财政拨款支出决算表</w:t>
      </w:r>
    </w:p>
    <w:p>
      <w:pPr>
        <w:pStyle w:val="4"/>
        <w:rPr>
          <w:rStyle w:val="30"/>
          <w:rFonts w:ascii="Times New Roman" w:hAnsi="Times New Roman" w:eastAsia="仿宋" w:cs="Times New Roman"/>
          <w:b w:val="0"/>
          <w:bCs w:val="0"/>
        </w:rPr>
      </w:pPr>
      <w:bookmarkStart w:id="63" w:name="_Toc15396631"/>
      <w:r>
        <w:rPr>
          <w:rStyle w:val="30"/>
          <w:rFonts w:ascii="Times New Roman" w:hAnsi="Times New Roman" w:eastAsia="仿宋" w:cs="Times New Roman"/>
          <w:b w:val="0"/>
          <w:bCs w:val="0"/>
        </w:rPr>
        <w:t>十三、</w:t>
      </w:r>
      <w:bookmarkEnd w:id="63"/>
      <w:r>
        <w:rPr>
          <w:rStyle w:val="30"/>
          <w:rFonts w:ascii="Times New Roman" w:hAnsi="Times New Roman" w:eastAsia="仿宋" w:cs="Times New Roman"/>
          <w:b w:val="0"/>
          <w:bCs w:val="0"/>
        </w:rPr>
        <w:t>财政拨款“三公”经费支出决算表</w:t>
      </w:r>
    </w:p>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697152" behindDoc="0" locked="0" layoutInCell="1" allowOverlap="1">
            <wp:simplePos x="0" y="0"/>
            <wp:positionH relativeFrom="margin">
              <wp:align>center</wp:align>
            </wp:positionH>
            <wp:positionV relativeFrom="margin">
              <wp:align>top</wp:align>
            </wp:positionV>
            <wp:extent cx="5915025" cy="6029325"/>
            <wp:effectExtent l="19050" t="0" r="9525" b="0"/>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17"/>
                    <a:srcRect/>
                    <a:stretch>
                      <a:fillRect/>
                    </a:stretch>
                  </pic:blipFill>
                  <pic:spPr>
                    <a:xfrm>
                      <a:off x="0" y="0"/>
                      <a:ext cx="5915025" cy="6029325"/>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sectPr>
          <w:pgSz w:w="11906" w:h="16838"/>
          <w:pgMar w:top="1440" w:right="1800" w:bottom="1440" w:left="1800" w:header="851" w:footer="992" w:gutter="0"/>
          <w:cols w:space="425" w:num="1"/>
          <w:docGrid w:type="lines" w:linePitch="312" w:charSpace="0"/>
        </w:sectPr>
      </w:pPr>
    </w:p>
    <w:p>
      <w:pPr>
        <w:pStyle w:val="2"/>
        <w:spacing w:before="93"/>
        <w:jc w:val="center"/>
        <w:rPr>
          <w:rFonts w:ascii="Times New Roman"/>
        </w:rPr>
      </w:pPr>
      <w:r>
        <w:rPr>
          <w:rFonts w:ascii="Times New Roman"/>
        </w:rPr>
        <w:drawing>
          <wp:anchor distT="0" distB="0" distL="114300" distR="114300" simplePos="0" relativeHeight="251696128" behindDoc="0" locked="0" layoutInCell="1" allowOverlap="1">
            <wp:simplePos x="0" y="0"/>
            <wp:positionH relativeFrom="margin">
              <wp:align>center</wp:align>
            </wp:positionH>
            <wp:positionV relativeFrom="margin">
              <wp:align>center</wp:align>
            </wp:positionV>
            <wp:extent cx="8867775" cy="5133975"/>
            <wp:effectExtent l="19050" t="0" r="9525" b="0"/>
            <wp:wrapSquare wrapText="bothSides"/>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noChangeArrowheads="1"/>
                    </pic:cNvPicPr>
                  </pic:nvPicPr>
                  <pic:blipFill>
                    <a:blip r:embed="rId18"/>
                    <a:srcRect/>
                    <a:stretch>
                      <a:fillRect/>
                    </a:stretch>
                  </pic:blipFill>
                  <pic:spPr>
                    <a:xfrm>
                      <a:off x="0" y="0"/>
                      <a:ext cx="8867775" cy="5133975"/>
                    </a:xfrm>
                    <a:prstGeom prst="rect">
                      <a:avLst/>
                    </a:prstGeom>
                    <a:noFill/>
                    <a:ln w="9525">
                      <a:noFill/>
                      <a:miter lim="800000"/>
                      <a:headEnd/>
                      <a:tailEnd/>
                    </a:ln>
                  </pic:spPr>
                </pic:pic>
              </a:graphicData>
            </a:graphic>
          </wp:anchor>
        </w:drawing>
      </w:r>
    </w:p>
    <w:p>
      <w:pPr>
        <w:pStyle w:val="2"/>
        <w:spacing w:before="93"/>
        <w:rPr>
          <w:rFonts w:ascii="Times New Roman"/>
        </w:rPr>
        <w:sectPr>
          <w:pgSz w:w="16838" w:h="11906" w:orient="landscape"/>
          <w:pgMar w:top="1440" w:right="1080" w:bottom="1440" w:left="1080" w:header="851" w:footer="992" w:gutter="0"/>
          <w:cols w:space="425" w:num="1"/>
          <w:titlePg/>
          <w:docGrid w:type="lines" w:linePitch="312" w:charSpace="0"/>
        </w:sectPr>
      </w:pPr>
      <w:r>
        <w:rPr>
          <w:rFonts w:ascii="Times New Roman"/>
        </w:rPr>
        <w:drawing>
          <wp:anchor distT="0" distB="0" distL="114300" distR="114300" simplePos="0" relativeHeight="251695104" behindDoc="0" locked="0" layoutInCell="1" allowOverlap="1">
            <wp:simplePos x="0" y="0"/>
            <wp:positionH relativeFrom="margin">
              <wp:align>center</wp:align>
            </wp:positionH>
            <wp:positionV relativeFrom="margin">
              <wp:align>center</wp:align>
            </wp:positionV>
            <wp:extent cx="8877300" cy="5715000"/>
            <wp:effectExtent l="19050" t="0" r="0" b="0"/>
            <wp:wrapSquare wrapText="bothSides"/>
            <wp:docPr id="2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pic:cNvPicPr>
                      <a:picLocks noChangeAspect="1" noChangeArrowheads="1"/>
                    </pic:cNvPicPr>
                  </pic:nvPicPr>
                  <pic:blipFill>
                    <a:blip r:embed="rId19"/>
                    <a:srcRect/>
                    <a:stretch>
                      <a:fillRect/>
                    </a:stretch>
                  </pic:blipFill>
                  <pic:spPr>
                    <a:xfrm>
                      <a:off x="0" y="0"/>
                      <a:ext cx="8877300" cy="5715000"/>
                    </a:xfrm>
                    <a:prstGeom prst="rect">
                      <a:avLst/>
                    </a:prstGeom>
                    <a:noFill/>
                    <a:ln w="9525">
                      <a:noFill/>
                      <a:miter lim="800000"/>
                      <a:headEnd/>
                      <a:tailEnd/>
                    </a:ln>
                  </pic:spPr>
                </pic:pic>
              </a:graphicData>
            </a:graphic>
          </wp:anchor>
        </w:drawing>
      </w:r>
    </w:p>
    <w:p>
      <w:pPr>
        <w:widowControl/>
        <w:jc w:val="left"/>
        <w:rPr>
          <w:rFonts w:eastAsia="仿宋_GB2312"/>
          <w:kern w:val="0"/>
          <w:sz w:val="30"/>
        </w:rPr>
      </w:pPr>
      <w:r>
        <w:drawing>
          <wp:anchor distT="0" distB="0" distL="114300" distR="114300" simplePos="0" relativeHeight="251698176" behindDoc="0" locked="0" layoutInCell="1" allowOverlap="1">
            <wp:simplePos x="0" y="0"/>
            <wp:positionH relativeFrom="margin">
              <wp:align>center</wp:align>
            </wp:positionH>
            <wp:positionV relativeFrom="margin">
              <wp:posOffset>-657225</wp:posOffset>
            </wp:positionV>
            <wp:extent cx="9324975" cy="6981825"/>
            <wp:effectExtent l="19050" t="0" r="9525" b="0"/>
            <wp:wrapSquare wrapText="bothSides"/>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20"/>
                    <a:srcRect/>
                    <a:stretch>
                      <a:fillRect/>
                    </a:stretch>
                  </pic:blipFill>
                  <pic:spPr>
                    <a:xfrm>
                      <a:off x="0" y="0"/>
                      <a:ext cx="9324975" cy="6981825"/>
                    </a:xfrm>
                    <a:prstGeom prst="rect">
                      <a:avLst/>
                    </a:prstGeom>
                    <a:noFill/>
                    <a:ln w="9525">
                      <a:noFill/>
                      <a:miter lim="800000"/>
                      <a:headEnd/>
                      <a:tailEnd/>
                    </a:ln>
                  </pic:spPr>
                </pic:pic>
              </a:graphicData>
            </a:graphic>
          </wp:anchor>
        </w:drawing>
      </w:r>
      <w:r>
        <w:br w:type="page"/>
      </w:r>
    </w:p>
    <w:p>
      <w:r>
        <w:drawing>
          <wp:anchor distT="0" distB="0" distL="114300" distR="114300" simplePos="0" relativeHeight="251699200" behindDoc="0" locked="0" layoutInCell="1" allowOverlap="1">
            <wp:simplePos x="0" y="0"/>
            <wp:positionH relativeFrom="margin">
              <wp:align>center</wp:align>
            </wp:positionH>
            <wp:positionV relativeFrom="margin">
              <wp:align>center</wp:align>
            </wp:positionV>
            <wp:extent cx="9324975" cy="5743575"/>
            <wp:effectExtent l="19050" t="0" r="9525" b="0"/>
            <wp:wrapSquare wrapText="bothSides"/>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21"/>
                    <a:srcRect/>
                    <a:stretch>
                      <a:fillRect/>
                    </a:stretch>
                  </pic:blipFill>
                  <pic:spPr>
                    <a:xfrm>
                      <a:off x="0" y="0"/>
                      <a:ext cx="9324975" cy="5743575"/>
                    </a:xfrm>
                    <a:prstGeom prst="rect">
                      <a:avLst/>
                    </a:prstGeom>
                    <a:noFill/>
                    <a:ln w="9525">
                      <a:noFill/>
                      <a:miter lim="800000"/>
                      <a:headEnd/>
                      <a:tailEnd/>
                    </a:ln>
                  </pic:spPr>
                </pic:pic>
              </a:graphicData>
            </a:graphic>
          </wp:anchor>
        </w:drawing>
      </w:r>
    </w:p>
    <w:p>
      <w:pPr>
        <w:pStyle w:val="2"/>
        <w:spacing w:before="93"/>
        <w:rPr>
          <w:rFonts w:ascii="Times New Roman"/>
        </w:rPr>
      </w:pPr>
      <w:r>
        <w:rPr>
          <w:rFonts w:ascii="Times New Roman"/>
        </w:rPr>
        <w:drawing>
          <wp:anchor distT="0" distB="0" distL="114300" distR="114300" simplePos="0" relativeHeight="251700224" behindDoc="0" locked="0" layoutInCell="1" allowOverlap="1">
            <wp:simplePos x="0" y="0"/>
            <wp:positionH relativeFrom="margin">
              <wp:align>center</wp:align>
            </wp:positionH>
            <wp:positionV relativeFrom="margin">
              <wp:align>center</wp:align>
            </wp:positionV>
            <wp:extent cx="9324975" cy="5743575"/>
            <wp:effectExtent l="19050" t="0" r="9525" b="0"/>
            <wp:wrapSquare wrapText="bothSides"/>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noChangeArrowheads="1"/>
                    </pic:cNvPicPr>
                  </pic:nvPicPr>
                  <pic:blipFill>
                    <a:blip r:embed="rId22"/>
                    <a:srcRect/>
                    <a:stretch>
                      <a:fillRect/>
                    </a:stretch>
                  </pic:blipFill>
                  <pic:spPr>
                    <a:xfrm>
                      <a:off x="0" y="0"/>
                      <a:ext cx="9324975" cy="5743575"/>
                    </a:xfrm>
                    <a:prstGeom prst="rect">
                      <a:avLst/>
                    </a:prstGeom>
                    <a:noFill/>
                    <a:ln w="9525">
                      <a:noFill/>
                      <a:miter lim="800000"/>
                      <a:headEnd/>
                      <a:tailEnd/>
                    </a:ln>
                  </pic:spPr>
                </pic:pic>
              </a:graphicData>
            </a:graphic>
          </wp:anchor>
        </w:drawing>
      </w:r>
    </w:p>
    <w:p>
      <w:pPr>
        <w:pStyle w:val="2"/>
        <w:spacing w:before="93"/>
        <w:rPr>
          <w:rFonts w:ascii="Times New Roman"/>
        </w:rPr>
      </w:pPr>
      <w:r>
        <w:rPr>
          <w:rFonts w:ascii="Times New Roman"/>
        </w:rPr>
        <w:drawing>
          <wp:anchor distT="0" distB="0" distL="114300" distR="114300" simplePos="0" relativeHeight="251701248" behindDoc="0" locked="0" layoutInCell="1" allowOverlap="1">
            <wp:simplePos x="0" y="0"/>
            <wp:positionH relativeFrom="margin">
              <wp:align>center</wp:align>
            </wp:positionH>
            <wp:positionV relativeFrom="margin">
              <wp:align>center</wp:align>
            </wp:positionV>
            <wp:extent cx="9324975" cy="5781675"/>
            <wp:effectExtent l="19050" t="0" r="9525" b="0"/>
            <wp:wrapSquare wrapText="bothSides"/>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noChangeArrowheads="1"/>
                    </pic:cNvPicPr>
                  </pic:nvPicPr>
                  <pic:blipFill>
                    <a:blip r:embed="rId23"/>
                    <a:srcRect/>
                    <a:stretch>
                      <a:fillRect/>
                    </a:stretch>
                  </pic:blipFill>
                  <pic:spPr>
                    <a:xfrm>
                      <a:off x="0" y="0"/>
                      <a:ext cx="9324975" cy="5781675"/>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702272" behindDoc="0" locked="0" layoutInCell="1" allowOverlap="1">
            <wp:simplePos x="0" y="0"/>
            <wp:positionH relativeFrom="margin">
              <wp:align>center</wp:align>
            </wp:positionH>
            <wp:positionV relativeFrom="margin">
              <wp:align>top</wp:align>
            </wp:positionV>
            <wp:extent cx="9324975" cy="4400550"/>
            <wp:effectExtent l="19050" t="0" r="9525" b="0"/>
            <wp:wrapSquare wrapText="bothSides"/>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noChangeArrowheads="1"/>
                    </pic:cNvPicPr>
                  </pic:nvPicPr>
                  <pic:blipFill>
                    <a:blip r:embed="rId24"/>
                    <a:srcRect/>
                    <a:stretch>
                      <a:fillRect/>
                    </a:stretch>
                  </pic:blipFill>
                  <pic:spPr>
                    <a:xfrm>
                      <a:off x="0" y="0"/>
                      <a:ext cx="9324975" cy="4400550"/>
                    </a:xfrm>
                    <a:prstGeom prst="rect">
                      <a:avLst/>
                    </a:prstGeom>
                    <a:noFill/>
                    <a:ln w="9525">
                      <a:noFill/>
                      <a:miter lim="800000"/>
                      <a:headEnd/>
                      <a:tailEnd/>
                    </a:ln>
                  </pic:spPr>
                </pic:pic>
              </a:graphicData>
            </a:graphic>
          </wp:anchor>
        </w:drawing>
      </w:r>
    </w:p>
    <w:p>
      <w:pPr>
        <w:pStyle w:val="2"/>
        <w:spacing w:before="93"/>
        <w:rPr>
          <w:rFonts w:ascii="Times New Roman"/>
        </w:rPr>
      </w:pPr>
      <w:r>
        <w:rPr>
          <w:rFonts w:ascii="Times New Roman"/>
        </w:rPr>
        <w:drawing>
          <wp:anchor distT="0" distB="0" distL="114300" distR="114300" simplePos="0" relativeHeight="251703296" behindDoc="0" locked="0" layoutInCell="1" allowOverlap="1">
            <wp:simplePos x="0" y="0"/>
            <wp:positionH relativeFrom="margin">
              <wp:align>center</wp:align>
            </wp:positionH>
            <wp:positionV relativeFrom="margin">
              <wp:align>center</wp:align>
            </wp:positionV>
            <wp:extent cx="7677150" cy="6210300"/>
            <wp:effectExtent l="19050" t="0" r="0" b="0"/>
            <wp:wrapSquare wrapText="bothSides"/>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noChangeArrowheads="1"/>
                    </pic:cNvPicPr>
                  </pic:nvPicPr>
                  <pic:blipFill>
                    <a:blip r:embed="rId25"/>
                    <a:srcRect/>
                    <a:stretch>
                      <a:fillRect/>
                    </a:stretch>
                  </pic:blipFill>
                  <pic:spPr>
                    <a:xfrm>
                      <a:off x="0" y="0"/>
                      <a:ext cx="7677150" cy="6210300"/>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jc w:val="center"/>
        <w:rPr>
          <w:rFonts w:ascii="Times New Roman"/>
        </w:rPr>
      </w:pPr>
      <w:r>
        <w:rPr>
          <w:rFonts w:ascii="Times New Roman"/>
        </w:rPr>
        <w:drawing>
          <wp:inline distT="0" distB="0" distL="114300" distR="114300">
            <wp:extent cx="8531860" cy="5729605"/>
            <wp:effectExtent l="0" t="0" r="8890" b="127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6"/>
                    <a:stretch>
                      <a:fillRect/>
                    </a:stretch>
                  </pic:blipFill>
                  <pic:spPr>
                    <a:xfrm>
                      <a:off x="0" y="0"/>
                      <a:ext cx="8531860" cy="5729605"/>
                    </a:xfrm>
                    <a:prstGeom prst="rect">
                      <a:avLst/>
                    </a:prstGeom>
                    <a:noFill/>
                    <a:ln w="9525">
                      <a:noFill/>
                    </a:ln>
                  </pic:spPr>
                </pic:pic>
              </a:graphicData>
            </a:graphic>
          </wp:inline>
        </w:drawing>
      </w:r>
    </w:p>
    <w:p>
      <w:pPr>
        <w:widowControl/>
        <w:jc w:val="center"/>
        <w:rPr>
          <w:rFonts w:eastAsia="仿宋_GB2312"/>
          <w:kern w:val="0"/>
          <w:sz w:val="30"/>
        </w:rPr>
      </w:pPr>
      <w:r>
        <w:drawing>
          <wp:inline distT="0" distB="0" distL="114300" distR="114300">
            <wp:extent cx="7778750" cy="5730240"/>
            <wp:effectExtent l="0" t="0" r="0" b="63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7"/>
                    <a:stretch>
                      <a:fillRect/>
                    </a:stretch>
                  </pic:blipFill>
                  <pic:spPr>
                    <a:xfrm>
                      <a:off x="0" y="0"/>
                      <a:ext cx="7778750" cy="5730240"/>
                    </a:xfrm>
                    <a:prstGeom prst="rect">
                      <a:avLst/>
                    </a:prstGeom>
                    <a:noFill/>
                    <a:ln w="9525">
                      <a:noFill/>
                    </a:ln>
                  </pic:spPr>
                </pic:pic>
              </a:graphicData>
            </a:graphic>
          </wp:inline>
        </w:drawing>
      </w:r>
      <w:r>
        <w:br w:type="page"/>
      </w:r>
    </w:p>
    <w:p>
      <w:pPr>
        <w:widowControl/>
        <w:jc w:val="center"/>
        <w:rPr>
          <w:rFonts w:eastAsia="仿宋_GB2312"/>
          <w:kern w:val="0"/>
          <w:sz w:val="30"/>
        </w:rPr>
      </w:pPr>
      <w:r>
        <w:drawing>
          <wp:inline distT="0" distB="0" distL="114300" distR="114300">
            <wp:extent cx="9319260" cy="5831205"/>
            <wp:effectExtent l="0" t="0" r="15240" b="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28"/>
                    <a:stretch>
                      <a:fillRect/>
                    </a:stretch>
                  </pic:blipFill>
                  <pic:spPr>
                    <a:xfrm>
                      <a:off x="0" y="0"/>
                      <a:ext cx="9319260" cy="5831205"/>
                    </a:xfrm>
                    <a:prstGeom prst="rect">
                      <a:avLst/>
                    </a:prstGeom>
                    <a:noFill/>
                    <a:ln w="9525">
                      <a:noFill/>
                    </a:ln>
                  </pic:spPr>
                </pic:pic>
              </a:graphicData>
            </a:graphic>
          </wp:inline>
        </w:drawing>
      </w:r>
    </w:p>
    <w:p>
      <w:pPr>
        <w:widowControl/>
        <w:jc w:val="center"/>
      </w:pPr>
      <w:r>
        <w:drawing>
          <wp:inline distT="0" distB="0" distL="114300" distR="114300">
            <wp:extent cx="9319260" cy="5831205"/>
            <wp:effectExtent l="0" t="0" r="15240"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29"/>
                    <a:stretch>
                      <a:fillRect/>
                    </a:stretch>
                  </pic:blipFill>
                  <pic:spPr>
                    <a:xfrm>
                      <a:off x="0" y="0"/>
                      <a:ext cx="9319260" cy="5831205"/>
                    </a:xfrm>
                    <a:prstGeom prst="rect">
                      <a:avLst/>
                    </a:prstGeom>
                    <a:noFill/>
                    <a:ln w="9525">
                      <a:noFill/>
                    </a:ln>
                  </pic:spPr>
                </pic:pic>
              </a:graphicData>
            </a:graphic>
          </wp:inline>
        </w:drawing>
      </w:r>
      <w:r>
        <w:br w:type="page"/>
      </w:r>
      <w:r>
        <w:drawing>
          <wp:inline distT="0" distB="0" distL="114300" distR="114300">
            <wp:extent cx="9311640" cy="5466715"/>
            <wp:effectExtent l="0" t="0" r="6985" b="10160"/>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pic:cNvPicPr>
                  </pic:nvPicPr>
                  <pic:blipFill>
                    <a:blip r:embed="rId30"/>
                    <a:stretch>
                      <a:fillRect/>
                    </a:stretch>
                  </pic:blipFill>
                  <pic:spPr>
                    <a:xfrm>
                      <a:off x="0" y="0"/>
                      <a:ext cx="9311640" cy="5466715"/>
                    </a:xfrm>
                    <a:prstGeom prst="rect">
                      <a:avLst/>
                    </a:prstGeom>
                    <a:noFill/>
                    <a:ln w="9525">
                      <a:noFill/>
                    </a:ln>
                  </pic:spPr>
                </pic:pic>
              </a:graphicData>
            </a:graphic>
          </wp:inline>
        </w:drawing>
      </w:r>
    </w:p>
    <w:p>
      <w:pPr>
        <w:widowControl/>
        <w:jc w:val="left"/>
      </w:pPr>
      <w:r>
        <w:br w:type="page"/>
      </w:r>
      <w:r>
        <w:drawing>
          <wp:inline distT="0" distB="0" distL="114300" distR="114300">
            <wp:extent cx="8203565" cy="5727065"/>
            <wp:effectExtent l="0" t="0" r="3810" b="3810"/>
            <wp:docPr id="5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6"/>
                    <pic:cNvPicPr>
                      <a:picLocks noChangeAspect="1"/>
                    </pic:cNvPicPr>
                  </pic:nvPicPr>
                  <pic:blipFill>
                    <a:blip r:embed="rId31"/>
                    <a:stretch>
                      <a:fillRect/>
                    </a:stretch>
                  </pic:blipFill>
                  <pic:spPr>
                    <a:xfrm>
                      <a:off x="0" y="0"/>
                      <a:ext cx="8203565" cy="5727065"/>
                    </a:xfrm>
                    <a:prstGeom prst="rect">
                      <a:avLst/>
                    </a:prstGeom>
                    <a:noFill/>
                    <a:ln w="9525">
                      <a:noFill/>
                    </a:ln>
                  </pic:spPr>
                </pic:pic>
              </a:graphicData>
            </a:graphic>
          </wp:inline>
        </w:drawing>
      </w:r>
    </w:p>
    <w:p>
      <w:pPr>
        <w:widowControl/>
        <w:jc w:val="center"/>
        <w:rPr>
          <w:rFonts w:eastAsia="仿宋_GB2312"/>
          <w:kern w:val="0"/>
          <w:sz w:val="30"/>
        </w:rPr>
      </w:pPr>
      <w:r>
        <w:drawing>
          <wp:inline distT="0" distB="0" distL="114300" distR="114300">
            <wp:extent cx="7623175" cy="5727065"/>
            <wp:effectExtent l="0" t="0" r="12700" b="0"/>
            <wp:docPr id="3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7"/>
                    <pic:cNvPicPr>
                      <a:picLocks noChangeAspect="1"/>
                    </pic:cNvPicPr>
                  </pic:nvPicPr>
                  <pic:blipFill>
                    <a:blip r:embed="rId32"/>
                    <a:stretch>
                      <a:fillRect/>
                    </a:stretch>
                  </pic:blipFill>
                  <pic:spPr>
                    <a:xfrm>
                      <a:off x="0" y="0"/>
                      <a:ext cx="7623175" cy="5727065"/>
                    </a:xfrm>
                    <a:prstGeom prst="rect">
                      <a:avLst/>
                    </a:prstGeom>
                    <a:noFill/>
                    <a:ln w="9525">
                      <a:noFill/>
                    </a:ln>
                  </pic:spPr>
                </pic:pic>
              </a:graphicData>
            </a:graphic>
          </wp:inline>
        </w:drawing>
      </w:r>
      <w:r>
        <w:br w:type="page"/>
      </w:r>
    </w:p>
    <w:p>
      <w:pPr>
        <w:widowControl/>
        <w:jc w:val="center"/>
        <w:rPr>
          <w:rFonts w:eastAsia="仿宋_GB2312"/>
          <w:kern w:val="0"/>
          <w:sz w:val="30"/>
        </w:rPr>
      </w:pPr>
      <w:r>
        <w:drawing>
          <wp:inline distT="0" distB="0" distL="114300" distR="114300">
            <wp:extent cx="7623175" cy="5727065"/>
            <wp:effectExtent l="0" t="0" r="12700" b="0"/>
            <wp:docPr id="4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8"/>
                    <pic:cNvPicPr>
                      <a:picLocks noChangeAspect="1"/>
                    </pic:cNvPicPr>
                  </pic:nvPicPr>
                  <pic:blipFill>
                    <a:blip r:embed="rId33"/>
                    <a:stretch>
                      <a:fillRect/>
                    </a:stretch>
                  </pic:blipFill>
                  <pic:spPr>
                    <a:xfrm>
                      <a:off x="0" y="0"/>
                      <a:ext cx="7623175" cy="5727065"/>
                    </a:xfrm>
                    <a:prstGeom prst="rect">
                      <a:avLst/>
                    </a:prstGeom>
                    <a:noFill/>
                    <a:ln w="9525">
                      <a:noFill/>
                    </a:ln>
                  </pic:spPr>
                </pic:pic>
              </a:graphicData>
            </a:graphic>
          </wp:inline>
        </w:drawing>
      </w:r>
    </w:p>
    <w:p>
      <w:pPr>
        <w:widowControl/>
        <w:jc w:val="center"/>
        <w:rPr>
          <w:rFonts w:eastAsia="仿宋_GB2312"/>
        </w:rPr>
      </w:pPr>
      <w:r>
        <w:drawing>
          <wp:inline distT="0" distB="0" distL="114300" distR="114300">
            <wp:extent cx="8361045" cy="5727065"/>
            <wp:effectExtent l="0" t="0" r="5080" b="3810"/>
            <wp:docPr id="4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0"/>
                    <pic:cNvPicPr>
                      <a:picLocks noChangeAspect="1"/>
                    </pic:cNvPicPr>
                  </pic:nvPicPr>
                  <pic:blipFill>
                    <a:blip r:embed="rId34"/>
                    <a:stretch>
                      <a:fillRect/>
                    </a:stretch>
                  </pic:blipFill>
                  <pic:spPr>
                    <a:xfrm>
                      <a:off x="0" y="0"/>
                      <a:ext cx="8361045" cy="5727065"/>
                    </a:xfrm>
                    <a:prstGeom prst="rect">
                      <a:avLst/>
                    </a:prstGeom>
                    <a:noFill/>
                    <a:ln w="9525">
                      <a:noFill/>
                    </a:ln>
                  </pic:spPr>
                </pic:pic>
              </a:graphicData>
            </a:graphic>
          </wp:inline>
        </w:drawing>
      </w:r>
    </w:p>
    <w:p>
      <w:pPr>
        <w:widowControl/>
        <w:jc w:val="center"/>
        <w:rPr>
          <w:rFonts w:eastAsia="仿宋_GB2312"/>
          <w:kern w:val="0"/>
          <w:sz w:val="30"/>
        </w:rPr>
      </w:pPr>
      <w:r>
        <w:drawing>
          <wp:inline distT="0" distB="0" distL="114300" distR="114300">
            <wp:extent cx="7995920" cy="5727065"/>
            <wp:effectExtent l="0" t="0" r="5080" b="3810"/>
            <wp:docPr id="4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1"/>
                    <pic:cNvPicPr>
                      <a:picLocks noChangeAspect="1"/>
                    </pic:cNvPicPr>
                  </pic:nvPicPr>
                  <pic:blipFill>
                    <a:blip r:embed="rId35"/>
                    <a:stretch>
                      <a:fillRect/>
                    </a:stretch>
                  </pic:blipFill>
                  <pic:spPr>
                    <a:xfrm>
                      <a:off x="0" y="0"/>
                      <a:ext cx="7995920" cy="5727065"/>
                    </a:xfrm>
                    <a:prstGeom prst="rect">
                      <a:avLst/>
                    </a:prstGeom>
                    <a:noFill/>
                    <a:ln w="9525">
                      <a:noFill/>
                    </a:ln>
                  </pic:spPr>
                </pic:pic>
              </a:graphicData>
            </a:graphic>
          </wp:inline>
        </w:drawing>
      </w:r>
      <w:r>
        <w:br w:type="page"/>
      </w:r>
    </w:p>
    <w:p>
      <w:pPr>
        <w:pStyle w:val="2"/>
        <w:spacing w:before="93"/>
        <w:jc w:val="center"/>
        <w:rPr>
          <w:rFonts w:ascii="Times New Roman"/>
        </w:rPr>
      </w:pPr>
      <w:r>
        <w:rPr>
          <w:rFonts w:ascii="Times New Roman"/>
        </w:rPr>
        <w:drawing>
          <wp:inline distT="0" distB="0" distL="114300" distR="114300">
            <wp:extent cx="7631430" cy="5725795"/>
            <wp:effectExtent l="0" t="0" r="4445" b="5080"/>
            <wp:docPr id="5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4"/>
                    <pic:cNvPicPr>
                      <a:picLocks noChangeAspect="1"/>
                    </pic:cNvPicPr>
                  </pic:nvPicPr>
                  <pic:blipFill>
                    <a:blip r:embed="rId36"/>
                    <a:stretch>
                      <a:fillRect/>
                    </a:stretch>
                  </pic:blipFill>
                  <pic:spPr>
                    <a:xfrm>
                      <a:off x="0" y="0"/>
                      <a:ext cx="7631430" cy="5725795"/>
                    </a:xfrm>
                    <a:prstGeom prst="rect">
                      <a:avLst/>
                    </a:prstGeom>
                    <a:noFill/>
                    <a:ln w="9525">
                      <a:noFill/>
                    </a:ln>
                  </pic:spPr>
                </pic:pic>
              </a:graphicData>
            </a:graphic>
          </wp:inline>
        </w:drawing>
      </w:r>
      <w:r>
        <w:rPr>
          <w:rFonts w:ascii="Times New Roman"/>
        </w:rPr>
        <w:drawing>
          <wp:inline distT="0" distB="0" distL="114300" distR="114300">
            <wp:extent cx="9312275" cy="5283835"/>
            <wp:effectExtent l="0" t="0" r="6350" b="2540"/>
            <wp:docPr id="4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3"/>
                    <pic:cNvPicPr>
                      <a:picLocks noChangeAspect="1"/>
                    </pic:cNvPicPr>
                  </pic:nvPicPr>
                  <pic:blipFill>
                    <a:blip r:embed="rId37"/>
                    <a:stretch>
                      <a:fillRect/>
                    </a:stretch>
                  </pic:blipFill>
                  <pic:spPr>
                    <a:xfrm>
                      <a:off x="0" y="0"/>
                      <a:ext cx="9312275" cy="5283835"/>
                    </a:xfrm>
                    <a:prstGeom prst="rect">
                      <a:avLst/>
                    </a:prstGeom>
                    <a:noFill/>
                    <a:ln w="9525">
                      <a:noFill/>
                    </a:ln>
                  </pic:spPr>
                </pic:pic>
              </a:graphicData>
            </a:graphic>
          </wp:inline>
        </w:drawing>
      </w:r>
    </w:p>
    <w:p>
      <w:pPr>
        <w:pStyle w:val="2"/>
        <w:spacing w:before="93"/>
        <w:jc w:val="center"/>
        <w:rPr>
          <w:rFonts w:ascii="Times New Roman"/>
        </w:rPr>
      </w:pPr>
    </w:p>
    <w:p>
      <w:pPr>
        <w:pStyle w:val="2"/>
        <w:spacing w:before="93"/>
        <w:jc w:val="center"/>
        <w:rPr>
          <w:rFonts w:ascii="Times New Roman"/>
        </w:rPr>
      </w:pPr>
      <w:r>
        <w:rPr>
          <w:rFonts w:ascii="Times New Roman"/>
        </w:rPr>
        <w:drawing>
          <wp:inline distT="0" distB="0" distL="114300" distR="114300">
            <wp:extent cx="6972300" cy="5730875"/>
            <wp:effectExtent l="0" t="0" r="12700" b="0"/>
            <wp:docPr id="4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4"/>
                    <pic:cNvPicPr>
                      <a:picLocks noChangeAspect="1"/>
                    </pic:cNvPicPr>
                  </pic:nvPicPr>
                  <pic:blipFill>
                    <a:blip r:embed="rId38"/>
                    <a:stretch>
                      <a:fillRect/>
                    </a:stretch>
                  </pic:blipFill>
                  <pic:spPr>
                    <a:xfrm>
                      <a:off x="0" y="0"/>
                      <a:ext cx="6972300" cy="5730875"/>
                    </a:xfrm>
                    <a:prstGeom prst="rect">
                      <a:avLst/>
                    </a:prstGeom>
                    <a:noFill/>
                    <a:ln w="9525">
                      <a:noFill/>
                    </a:ln>
                  </pic:spPr>
                </pic:pic>
              </a:graphicData>
            </a:graphic>
          </wp:inline>
        </w:drawing>
      </w:r>
    </w:p>
    <w:p>
      <w:pPr>
        <w:pStyle w:val="2"/>
        <w:spacing w:before="93"/>
        <w:jc w:val="center"/>
        <w:rPr>
          <w:rFonts w:ascii="Times New Roman"/>
        </w:rPr>
      </w:pPr>
      <w:r>
        <w:rPr>
          <w:rFonts w:ascii="Times New Roman"/>
        </w:rPr>
        <w:drawing>
          <wp:inline distT="0" distB="0" distL="114300" distR="114300">
            <wp:extent cx="8049260" cy="5727065"/>
            <wp:effectExtent l="0" t="0" r="15240" b="0"/>
            <wp:docPr id="4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5"/>
                    <pic:cNvPicPr>
                      <a:picLocks noChangeAspect="1"/>
                    </pic:cNvPicPr>
                  </pic:nvPicPr>
                  <pic:blipFill>
                    <a:blip r:embed="rId39"/>
                    <a:stretch>
                      <a:fillRect/>
                    </a:stretch>
                  </pic:blipFill>
                  <pic:spPr>
                    <a:xfrm>
                      <a:off x="0" y="0"/>
                      <a:ext cx="8049260" cy="5727065"/>
                    </a:xfrm>
                    <a:prstGeom prst="rect">
                      <a:avLst/>
                    </a:prstGeom>
                    <a:noFill/>
                    <a:ln w="9525">
                      <a:noFill/>
                    </a:ln>
                  </pic:spPr>
                </pic:pic>
              </a:graphicData>
            </a:graphic>
          </wp:inline>
        </w:drawing>
      </w:r>
    </w:p>
    <w:p>
      <w:pPr>
        <w:pStyle w:val="2"/>
        <w:spacing w:before="93"/>
        <w:jc w:val="center"/>
        <w:rPr>
          <w:rFonts w:ascii="Times New Roman"/>
        </w:rPr>
      </w:pPr>
      <w:r>
        <w:rPr>
          <w:rFonts w:ascii="Times New Roman"/>
        </w:rPr>
        <w:drawing>
          <wp:inline distT="0" distB="0" distL="114300" distR="114300">
            <wp:extent cx="7319010" cy="5725795"/>
            <wp:effectExtent l="0" t="0" r="15240" b="0"/>
            <wp:docPr id="4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7"/>
                    <pic:cNvPicPr>
                      <a:picLocks noChangeAspect="1"/>
                    </pic:cNvPicPr>
                  </pic:nvPicPr>
                  <pic:blipFill>
                    <a:blip r:embed="rId40"/>
                    <a:stretch>
                      <a:fillRect/>
                    </a:stretch>
                  </pic:blipFill>
                  <pic:spPr>
                    <a:xfrm>
                      <a:off x="0" y="0"/>
                      <a:ext cx="7319010" cy="5725795"/>
                    </a:xfrm>
                    <a:prstGeom prst="rect">
                      <a:avLst/>
                    </a:prstGeom>
                    <a:noFill/>
                    <a:ln w="9525">
                      <a:noFill/>
                    </a:ln>
                  </pic:spPr>
                </pic:pic>
              </a:graphicData>
            </a:graphic>
          </wp:inline>
        </w:drawing>
      </w:r>
    </w:p>
    <w:p>
      <w:pPr>
        <w:pStyle w:val="2"/>
        <w:spacing w:before="93"/>
        <w:jc w:val="center"/>
        <w:rPr>
          <w:rFonts w:ascii="Times New Roman"/>
        </w:rPr>
      </w:pPr>
      <w:r>
        <w:rPr>
          <w:rFonts w:ascii="Times New Roman"/>
        </w:rPr>
        <w:drawing>
          <wp:inline distT="0" distB="0" distL="114300" distR="114300">
            <wp:extent cx="8454390" cy="5725795"/>
            <wp:effectExtent l="0" t="0" r="6985" b="0"/>
            <wp:docPr id="5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9"/>
                    <pic:cNvPicPr>
                      <a:picLocks noChangeAspect="1"/>
                    </pic:cNvPicPr>
                  </pic:nvPicPr>
                  <pic:blipFill>
                    <a:blip r:embed="rId41"/>
                    <a:stretch>
                      <a:fillRect/>
                    </a:stretch>
                  </pic:blipFill>
                  <pic:spPr>
                    <a:xfrm>
                      <a:off x="0" y="0"/>
                      <a:ext cx="8454390" cy="5725795"/>
                    </a:xfrm>
                    <a:prstGeom prst="rect">
                      <a:avLst/>
                    </a:prstGeom>
                    <a:noFill/>
                    <a:ln w="9525">
                      <a:noFill/>
                    </a:ln>
                  </pic:spPr>
                </pic:pic>
              </a:graphicData>
            </a:graphic>
          </wp:inline>
        </w:drawing>
      </w:r>
    </w:p>
    <w:p>
      <w:pPr>
        <w:pStyle w:val="2"/>
        <w:spacing w:before="93"/>
        <w:rPr>
          <w:rFonts w:ascii="Times New Roman"/>
        </w:rPr>
      </w:pPr>
      <w:r>
        <w:rPr>
          <w:rFonts w:ascii="Times New Roman"/>
        </w:rPr>
        <w:drawing>
          <wp:anchor distT="0" distB="0" distL="114300" distR="114300" simplePos="0" relativeHeight="251704320" behindDoc="0" locked="0" layoutInCell="1" allowOverlap="1">
            <wp:simplePos x="0" y="0"/>
            <wp:positionH relativeFrom="margin">
              <wp:align>center</wp:align>
            </wp:positionH>
            <wp:positionV relativeFrom="margin">
              <wp:align>center</wp:align>
            </wp:positionV>
            <wp:extent cx="9324975" cy="6134100"/>
            <wp:effectExtent l="19050" t="0" r="9525" b="0"/>
            <wp:wrapSquare wrapText="bothSides"/>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pic:cNvPicPr>
                      <a:picLocks noChangeAspect="1" noChangeArrowheads="1"/>
                    </pic:cNvPicPr>
                  </pic:nvPicPr>
                  <pic:blipFill>
                    <a:blip r:embed="rId42"/>
                    <a:srcRect/>
                    <a:stretch>
                      <a:fillRect/>
                    </a:stretch>
                  </pic:blipFill>
                  <pic:spPr>
                    <a:xfrm>
                      <a:off x="0" y="0"/>
                      <a:ext cx="9324975" cy="6134100"/>
                    </a:xfrm>
                    <a:prstGeom prst="rect">
                      <a:avLst/>
                    </a:prstGeom>
                    <a:noFill/>
                    <a:ln w="9525">
                      <a:noFill/>
                      <a:miter lim="800000"/>
                      <a:headEnd/>
                      <a:tailEnd/>
                    </a:ln>
                  </pic:spPr>
                </pic:pic>
              </a:graphicData>
            </a:graphic>
          </wp:anchor>
        </w:drawing>
      </w:r>
    </w:p>
    <w:p>
      <w:pPr>
        <w:pStyle w:val="2"/>
        <w:spacing w:before="93"/>
        <w:rPr>
          <w:rFonts w:ascii="Times New Roman"/>
        </w:rPr>
      </w:pPr>
      <w:r>
        <w:rPr>
          <w:rFonts w:ascii="Times New Roman"/>
        </w:rPr>
        <w:drawing>
          <wp:anchor distT="0" distB="0" distL="114300" distR="114300" simplePos="0" relativeHeight="251705344" behindDoc="0" locked="0" layoutInCell="1" allowOverlap="1">
            <wp:simplePos x="0" y="0"/>
            <wp:positionH relativeFrom="margin">
              <wp:align>center</wp:align>
            </wp:positionH>
            <wp:positionV relativeFrom="margin">
              <wp:align>center</wp:align>
            </wp:positionV>
            <wp:extent cx="6410325" cy="3086100"/>
            <wp:effectExtent l="19050" t="0" r="9525" b="0"/>
            <wp:wrapSquare wrapText="bothSides"/>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pic:cNvPicPr>
                      <a:picLocks noChangeAspect="1" noChangeArrowheads="1"/>
                    </pic:cNvPicPr>
                  </pic:nvPicPr>
                  <pic:blipFill>
                    <a:blip r:embed="rId43"/>
                    <a:srcRect/>
                    <a:stretch>
                      <a:fillRect/>
                    </a:stretch>
                  </pic:blipFill>
                  <pic:spPr>
                    <a:xfrm>
                      <a:off x="0" y="0"/>
                      <a:ext cx="6410325" cy="3086100"/>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706368" behindDoc="0" locked="0" layoutInCell="1" allowOverlap="1">
            <wp:simplePos x="0" y="0"/>
            <wp:positionH relativeFrom="margin">
              <wp:align>center</wp:align>
            </wp:positionH>
            <wp:positionV relativeFrom="margin">
              <wp:align>center</wp:align>
            </wp:positionV>
            <wp:extent cx="8010525" cy="3810000"/>
            <wp:effectExtent l="19050" t="0" r="9525" b="0"/>
            <wp:wrapSquare wrapText="bothSides"/>
            <wp:docPr id="2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pic:cNvPicPr>
                      <a:picLocks noChangeAspect="1" noChangeArrowheads="1"/>
                    </pic:cNvPicPr>
                  </pic:nvPicPr>
                  <pic:blipFill>
                    <a:blip r:embed="rId44"/>
                    <a:srcRect/>
                    <a:stretch>
                      <a:fillRect/>
                    </a:stretch>
                  </pic:blipFill>
                  <pic:spPr>
                    <a:xfrm>
                      <a:off x="0" y="0"/>
                      <a:ext cx="8010525" cy="3810000"/>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707392" behindDoc="0" locked="0" layoutInCell="1" allowOverlap="1">
            <wp:simplePos x="0" y="0"/>
            <wp:positionH relativeFrom="margin">
              <wp:align>center</wp:align>
            </wp:positionH>
            <wp:positionV relativeFrom="margin">
              <wp:align>center</wp:align>
            </wp:positionV>
            <wp:extent cx="7105650" cy="3362325"/>
            <wp:effectExtent l="19050" t="0" r="0" b="0"/>
            <wp:wrapSquare wrapText="bothSides"/>
            <wp:docPr id="2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
                    <pic:cNvPicPr>
                      <a:picLocks noChangeAspect="1" noChangeArrowheads="1"/>
                    </pic:cNvPicPr>
                  </pic:nvPicPr>
                  <pic:blipFill>
                    <a:blip r:embed="rId45"/>
                    <a:srcRect/>
                    <a:stretch>
                      <a:fillRect/>
                    </a:stretch>
                  </pic:blipFill>
                  <pic:spPr>
                    <a:xfrm>
                      <a:off x="0" y="0"/>
                      <a:ext cx="7105650" cy="3362325"/>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708416" behindDoc="0" locked="0" layoutInCell="1" allowOverlap="1">
            <wp:simplePos x="0" y="0"/>
            <wp:positionH relativeFrom="margin">
              <wp:align>center</wp:align>
            </wp:positionH>
            <wp:positionV relativeFrom="margin">
              <wp:align>center</wp:align>
            </wp:positionV>
            <wp:extent cx="5829300" cy="3048000"/>
            <wp:effectExtent l="19050" t="0" r="0" b="0"/>
            <wp:wrapSquare wrapText="bothSides"/>
            <wp:docPr id="2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6"/>
                    <pic:cNvPicPr>
                      <a:picLocks noChangeAspect="1" noChangeArrowheads="1"/>
                    </pic:cNvPicPr>
                  </pic:nvPicPr>
                  <pic:blipFill>
                    <a:blip r:embed="rId46"/>
                    <a:srcRect/>
                    <a:stretch>
                      <a:fillRect/>
                    </a:stretch>
                  </pic:blipFill>
                  <pic:spPr>
                    <a:xfrm>
                      <a:off x="0" y="0"/>
                      <a:ext cx="5829300" cy="3048000"/>
                    </a:xfrm>
                    <a:prstGeom prst="rect">
                      <a:avLst/>
                    </a:prstGeom>
                    <a:noFill/>
                    <a:ln w="9525">
                      <a:noFill/>
                      <a:miter lim="800000"/>
                      <a:headEnd/>
                      <a:tailEnd/>
                    </a:ln>
                  </pic:spPr>
                </pic:pic>
              </a:graphicData>
            </a:graphic>
          </wp:anchor>
        </w:drawing>
      </w: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p>
    <w:p>
      <w:pPr>
        <w:pStyle w:val="2"/>
        <w:spacing w:before="93"/>
        <w:rPr>
          <w:rFonts w:ascii="Times New Roman"/>
        </w:rPr>
      </w:pPr>
      <w:r>
        <w:rPr>
          <w:rFonts w:ascii="Times New Roman"/>
        </w:rPr>
        <w:drawing>
          <wp:anchor distT="0" distB="0" distL="114300" distR="114300" simplePos="0" relativeHeight="251709440" behindDoc="0" locked="0" layoutInCell="1" allowOverlap="1">
            <wp:simplePos x="0" y="0"/>
            <wp:positionH relativeFrom="margin">
              <wp:align>center</wp:align>
            </wp:positionH>
            <wp:positionV relativeFrom="margin">
              <wp:align>center</wp:align>
            </wp:positionV>
            <wp:extent cx="8791575" cy="3162300"/>
            <wp:effectExtent l="19050" t="0" r="9525" b="0"/>
            <wp:wrapSquare wrapText="bothSides"/>
            <wp:docPr id="2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pic:cNvPicPr>
                      <a:picLocks noChangeAspect="1" noChangeArrowheads="1"/>
                    </pic:cNvPicPr>
                  </pic:nvPicPr>
                  <pic:blipFill>
                    <a:blip r:embed="rId47"/>
                    <a:srcRect/>
                    <a:stretch>
                      <a:fillRect/>
                    </a:stretch>
                  </pic:blipFill>
                  <pic:spPr>
                    <a:xfrm>
                      <a:off x="0" y="0"/>
                      <a:ext cx="8791575" cy="3162300"/>
                    </a:xfrm>
                    <a:prstGeom prst="rect">
                      <a:avLst/>
                    </a:prstGeom>
                    <a:noFill/>
                    <a:ln w="9525">
                      <a:noFill/>
                      <a:miter lim="800000"/>
                      <a:headEnd/>
                      <a:tailEnd/>
                    </a:ln>
                  </pic:spPr>
                </pic:pic>
              </a:graphicData>
            </a:graphic>
          </wp:anchor>
        </w:drawing>
      </w:r>
    </w:p>
    <w:sectPr>
      <w:pgSz w:w="16838" w:h="11906" w:orient="landscape"/>
      <w:pgMar w:top="1440" w:right="1080" w:bottom="1440" w:left="108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书宋_GBK">
    <w:altName w:val="Arial Unicode MS"/>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Noto Sans Syriac Eastern">
    <w:altName w:val="宋体"/>
    <w:panose1 w:val="02040503050306020203"/>
    <w:charset w:val="86"/>
    <w:family w:val="auto"/>
    <w:pitch w:val="default"/>
    <w:sig w:usb0="00000000" w:usb1="00000000" w:usb2="00000080" w:usb3="00000000" w:csb0="203E0161" w:csb1="D7FF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D81ez9HAIAACMEAAAO&#10;AAAAAAAAAAEAIAAAAB8BAABkcnMvZTJvRG9jLnhtbFBLBQYAAAAABgAGAFkBAACt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FxZQUbAgAAIwQAAA4AAABkcnMvZTJvRG9jLnhtbK1Ty47TMBTdI/EP&#10;lvc0aUe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DFxZQUbAgAAIwQAAA4A&#10;AAAAAAAAAQAgAAAAHwEAAGRycy9lMm9Eb2MueG1sUEsFBgAAAAAGAAYAWQEAAKw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33</w:t>
                    </w:r>
                    <w:r>
                      <w:rPr>
                        <w:rFonts w:hint="eastAsia"/>
                        <w:sz w:val="18"/>
                      </w:rPr>
                      <w:fldChar w:fldCharType="end"/>
                    </w:r>
                  </w:p>
                </w:txbxContent>
              </v:textbox>
            </v:shape>
          </w:pict>
        </mc:Fallback>
      </mc:AlternateConten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N1nprgbAgAAIwQAAA4A&#10;AAAAAAAAAQAgAAAAHwEAAGRycy9lMm9Eb2MueG1sUEsFBgAAAAAGAAYAWQEAAKw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23</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BazWj8HAIAACMEAAAO&#10;AAAAAAAAAAEAIAAAAB8BAABkcnMvZTJvRG9jLnhtbFBLBQYAAAAABgAGAFkBAACt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FA047D"/>
    <w:multiLevelType w:val="singleLevel"/>
    <w:tmpl w:val="E2FA047D"/>
    <w:lvl w:ilvl="0" w:tentative="0">
      <w:start w:val="3"/>
      <w:numFmt w:val="chineseCounting"/>
      <w:suff w:val="space"/>
      <w:lvlText w:val="第%1部分"/>
      <w:lvlJc w:val="left"/>
      <w:rPr>
        <w:rFonts w:hint="eastAsia"/>
      </w:rPr>
    </w:lvl>
  </w:abstractNum>
  <w:abstractNum w:abstractNumId="1">
    <w:nsid w:val="FFF674BC"/>
    <w:multiLevelType w:val="singleLevel"/>
    <w:tmpl w:val="FFF674BC"/>
    <w:lvl w:ilvl="0" w:tentative="0">
      <w:start w:val="1"/>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0E378E9"/>
    <w:multiLevelType w:val="singleLevel"/>
    <w:tmpl w:val="50E378E9"/>
    <w:lvl w:ilvl="0" w:tentative="0">
      <w:start w:val="2"/>
      <w:numFmt w:val="chineseCounting"/>
      <w:suff w:val="nothing"/>
      <w:lvlText w:val="（%1）"/>
      <w:lvlJc w:val="left"/>
      <w:rPr>
        <w:rFonts w:hint="eastAsia"/>
      </w:rPr>
    </w:lvl>
  </w:abstractNum>
  <w:abstractNum w:abstractNumId="4">
    <w:nsid w:val="6535DB87"/>
    <w:multiLevelType w:val="singleLevel"/>
    <w:tmpl w:val="6535DB87"/>
    <w:lvl w:ilvl="0" w:tentative="0">
      <w:start w:val="1"/>
      <w:numFmt w:val="decimal"/>
      <w:suff w:val="nothing"/>
      <w:lvlText w:val="%1、"/>
      <w:lvlJc w:val="left"/>
    </w:lvl>
  </w:abstractNum>
  <w:abstractNum w:abstractNumId="5">
    <w:nsid w:val="653878E8"/>
    <w:multiLevelType w:val="singleLevel"/>
    <w:tmpl w:val="653878E8"/>
    <w:lvl w:ilvl="0" w:tentative="0">
      <w:start w:val="1"/>
      <w:numFmt w:val="decimal"/>
      <w:suff w:val="nothing"/>
      <w:lvlText w:val="%1、"/>
      <w:lvlJc w:val="left"/>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142FB"/>
    <w:rsid w:val="000222C6"/>
    <w:rsid w:val="00024689"/>
    <w:rsid w:val="0002549F"/>
    <w:rsid w:val="00026923"/>
    <w:rsid w:val="00033AA6"/>
    <w:rsid w:val="00035A96"/>
    <w:rsid w:val="000425FC"/>
    <w:rsid w:val="0004657F"/>
    <w:rsid w:val="000468DB"/>
    <w:rsid w:val="0006487A"/>
    <w:rsid w:val="00065F8F"/>
    <w:rsid w:val="000665F5"/>
    <w:rsid w:val="00066803"/>
    <w:rsid w:val="00070A43"/>
    <w:rsid w:val="000768F2"/>
    <w:rsid w:val="00081C01"/>
    <w:rsid w:val="00087AA2"/>
    <w:rsid w:val="0009184B"/>
    <w:rsid w:val="00094236"/>
    <w:rsid w:val="0009593C"/>
    <w:rsid w:val="00097322"/>
    <w:rsid w:val="000A0E33"/>
    <w:rsid w:val="000A6A92"/>
    <w:rsid w:val="000B047F"/>
    <w:rsid w:val="000B1D1B"/>
    <w:rsid w:val="000B5923"/>
    <w:rsid w:val="000B5A48"/>
    <w:rsid w:val="000B6FF3"/>
    <w:rsid w:val="000B7774"/>
    <w:rsid w:val="000C3467"/>
    <w:rsid w:val="000C3CA6"/>
    <w:rsid w:val="000D1267"/>
    <w:rsid w:val="000D1D50"/>
    <w:rsid w:val="000D5782"/>
    <w:rsid w:val="000E4FE0"/>
    <w:rsid w:val="000E6613"/>
    <w:rsid w:val="000E6662"/>
    <w:rsid w:val="000E7119"/>
    <w:rsid w:val="001013AA"/>
    <w:rsid w:val="001017E5"/>
    <w:rsid w:val="00103474"/>
    <w:rsid w:val="00105575"/>
    <w:rsid w:val="00114E9B"/>
    <w:rsid w:val="00115706"/>
    <w:rsid w:val="00115EF5"/>
    <w:rsid w:val="00116863"/>
    <w:rsid w:val="0013474E"/>
    <w:rsid w:val="00142216"/>
    <w:rsid w:val="00144D6A"/>
    <w:rsid w:val="0014729F"/>
    <w:rsid w:val="00157BAB"/>
    <w:rsid w:val="001654D1"/>
    <w:rsid w:val="00174518"/>
    <w:rsid w:val="0018106D"/>
    <w:rsid w:val="001877A7"/>
    <w:rsid w:val="00191536"/>
    <w:rsid w:val="00196687"/>
    <w:rsid w:val="001C0962"/>
    <w:rsid w:val="001C3644"/>
    <w:rsid w:val="001D7531"/>
    <w:rsid w:val="001E737D"/>
    <w:rsid w:val="001F0592"/>
    <w:rsid w:val="001F1ECC"/>
    <w:rsid w:val="001F7506"/>
    <w:rsid w:val="002006CD"/>
    <w:rsid w:val="00202B36"/>
    <w:rsid w:val="00204B7A"/>
    <w:rsid w:val="00204CDE"/>
    <w:rsid w:val="0021101A"/>
    <w:rsid w:val="00220536"/>
    <w:rsid w:val="0022527F"/>
    <w:rsid w:val="00232942"/>
    <w:rsid w:val="00235629"/>
    <w:rsid w:val="002400AD"/>
    <w:rsid w:val="00260C38"/>
    <w:rsid w:val="002616C0"/>
    <w:rsid w:val="00265372"/>
    <w:rsid w:val="002662AA"/>
    <w:rsid w:val="00280496"/>
    <w:rsid w:val="00294DC9"/>
    <w:rsid w:val="00295495"/>
    <w:rsid w:val="00295B54"/>
    <w:rsid w:val="002A31DE"/>
    <w:rsid w:val="002A38EC"/>
    <w:rsid w:val="002A66F7"/>
    <w:rsid w:val="002B2613"/>
    <w:rsid w:val="002D3132"/>
    <w:rsid w:val="002D6D05"/>
    <w:rsid w:val="002F1818"/>
    <w:rsid w:val="002F567B"/>
    <w:rsid w:val="00305245"/>
    <w:rsid w:val="003216A9"/>
    <w:rsid w:val="00335107"/>
    <w:rsid w:val="00335A74"/>
    <w:rsid w:val="00345505"/>
    <w:rsid w:val="0036561B"/>
    <w:rsid w:val="0037013F"/>
    <w:rsid w:val="00380C92"/>
    <w:rsid w:val="003A484F"/>
    <w:rsid w:val="003A4883"/>
    <w:rsid w:val="003A51A0"/>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1B56"/>
    <w:rsid w:val="004223DE"/>
    <w:rsid w:val="00425722"/>
    <w:rsid w:val="00434489"/>
    <w:rsid w:val="00437085"/>
    <w:rsid w:val="00441484"/>
    <w:rsid w:val="00441EDE"/>
    <w:rsid w:val="00443880"/>
    <w:rsid w:val="004464F4"/>
    <w:rsid w:val="004575D0"/>
    <w:rsid w:val="00471401"/>
    <w:rsid w:val="00473F31"/>
    <w:rsid w:val="0048263A"/>
    <w:rsid w:val="00487E5D"/>
    <w:rsid w:val="00497FD3"/>
    <w:rsid w:val="004A5D00"/>
    <w:rsid w:val="004A711F"/>
    <w:rsid w:val="004B0515"/>
    <w:rsid w:val="004B199D"/>
    <w:rsid w:val="004B4690"/>
    <w:rsid w:val="004E0A2D"/>
    <w:rsid w:val="004E206B"/>
    <w:rsid w:val="004E6DF7"/>
    <w:rsid w:val="004F0FBD"/>
    <w:rsid w:val="00505A47"/>
    <w:rsid w:val="00511FBD"/>
    <w:rsid w:val="00512FDA"/>
    <w:rsid w:val="00520DA0"/>
    <w:rsid w:val="00565E8B"/>
    <w:rsid w:val="005664BB"/>
    <w:rsid w:val="00566FFA"/>
    <w:rsid w:val="0057481D"/>
    <w:rsid w:val="00574AE3"/>
    <w:rsid w:val="0058486E"/>
    <w:rsid w:val="00585B33"/>
    <w:rsid w:val="0059014D"/>
    <w:rsid w:val="005A404D"/>
    <w:rsid w:val="005A69D9"/>
    <w:rsid w:val="005B5C64"/>
    <w:rsid w:val="005C5337"/>
    <w:rsid w:val="005C6BD0"/>
    <w:rsid w:val="005D1C8B"/>
    <w:rsid w:val="005D468D"/>
    <w:rsid w:val="005D5CED"/>
    <w:rsid w:val="005F1A4C"/>
    <w:rsid w:val="006040CC"/>
    <w:rsid w:val="00605688"/>
    <w:rsid w:val="006070AF"/>
    <w:rsid w:val="00607E6C"/>
    <w:rsid w:val="006101B1"/>
    <w:rsid w:val="00614E44"/>
    <w:rsid w:val="00617D93"/>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876A2"/>
    <w:rsid w:val="006A3141"/>
    <w:rsid w:val="006A5E34"/>
    <w:rsid w:val="006B2422"/>
    <w:rsid w:val="006B2B9A"/>
    <w:rsid w:val="006C1937"/>
    <w:rsid w:val="006F020C"/>
    <w:rsid w:val="007127B7"/>
    <w:rsid w:val="0071798E"/>
    <w:rsid w:val="007256B6"/>
    <w:rsid w:val="007416B6"/>
    <w:rsid w:val="00746F48"/>
    <w:rsid w:val="0075404D"/>
    <w:rsid w:val="007540CD"/>
    <w:rsid w:val="0076182A"/>
    <w:rsid w:val="00767B7E"/>
    <w:rsid w:val="007770C3"/>
    <w:rsid w:val="00784D24"/>
    <w:rsid w:val="00785FBA"/>
    <w:rsid w:val="00786E4A"/>
    <w:rsid w:val="007875EB"/>
    <w:rsid w:val="007920DC"/>
    <w:rsid w:val="0079426B"/>
    <w:rsid w:val="007A067F"/>
    <w:rsid w:val="007A6410"/>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3B3F"/>
    <w:rsid w:val="00847CCE"/>
    <w:rsid w:val="00850625"/>
    <w:rsid w:val="00853718"/>
    <w:rsid w:val="00855221"/>
    <w:rsid w:val="00860645"/>
    <w:rsid w:val="00871F71"/>
    <w:rsid w:val="00872FD8"/>
    <w:rsid w:val="00885AF4"/>
    <w:rsid w:val="00887D5E"/>
    <w:rsid w:val="008939CD"/>
    <w:rsid w:val="008B768C"/>
    <w:rsid w:val="008C4DB1"/>
    <w:rsid w:val="008C4EAF"/>
    <w:rsid w:val="008C5176"/>
    <w:rsid w:val="008C7FD0"/>
    <w:rsid w:val="008E1DE7"/>
    <w:rsid w:val="008E324C"/>
    <w:rsid w:val="008E707C"/>
    <w:rsid w:val="008F3354"/>
    <w:rsid w:val="008F7771"/>
    <w:rsid w:val="008F7E07"/>
    <w:rsid w:val="00900B08"/>
    <w:rsid w:val="00902155"/>
    <w:rsid w:val="00902FA3"/>
    <w:rsid w:val="00923564"/>
    <w:rsid w:val="0092392E"/>
    <w:rsid w:val="009315F9"/>
    <w:rsid w:val="00933499"/>
    <w:rsid w:val="00935C98"/>
    <w:rsid w:val="00946945"/>
    <w:rsid w:val="00951248"/>
    <w:rsid w:val="0095152F"/>
    <w:rsid w:val="00954C49"/>
    <w:rsid w:val="00955E37"/>
    <w:rsid w:val="009609E4"/>
    <w:rsid w:val="00965525"/>
    <w:rsid w:val="009707D5"/>
    <w:rsid w:val="0097099F"/>
    <w:rsid w:val="00971997"/>
    <w:rsid w:val="00971FFC"/>
    <w:rsid w:val="0097775D"/>
    <w:rsid w:val="0098660A"/>
    <w:rsid w:val="009931C3"/>
    <w:rsid w:val="009B2C43"/>
    <w:rsid w:val="009B4EAE"/>
    <w:rsid w:val="009B7573"/>
    <w:rsid w:val="009C22F4"/>
    <w:rsid w:val="009C2A4B"/>
    <w:rsid w:val="009C2E98"/>
    <w:rsid w:val="009C35A2"/>
    <w:rsid w:val="009D3447"/>
    <w:rsid w:val="009D4711"/>
    <w:rsid w:val="009E172F"/>
    <w:rsid w:val="009E4497"/>
    <w:rsid w:val="009F1185"/>
    <w:rsid w:val="009F18CD"/>
    <w:rsid w:val="009F2A13"/>
    <w:rsid w:val="009F7272"/>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30"/>
    <w:rsid w:val="00A67AB5"/>
    <w:rsid w:val="00A733B2"/>
    <w:rsid w:val="00A741C2"/>
    <w:rsid w:val="00A906A0"/>
    <w:rsid w:val="00A9134F"/>
    <w:rsid w:val="00A91760"/>
    <w:rsid w:val="00A93B00"/>
    <w:rsid w:val="00A93C21"/>
    <w:rsid w:val="00A95C3E"/>
    <w:rsid w:val="00AA2C83"/>
    <w:rsid w:val="00AB64C9"/>
    <w:rsid w:val="00AC3C6A"/>
    <w:rsid w:val="00AC6CA7"/>
    <w:rsid w:val="00AD5620"/>
    <w:rsid w:val="00AD656B"/>
    <w:rsid w:val="00AD6763"/>
    <w:rsid w:val="00AD7C1B"/>
    <w:rsid w:val="00AE16BA"/>
    <w:rsid w:val="00AE1EBE"/>
    <w:rsid w:val="00B00941"/>
    <w:rsid w:val="00B03C9D"/>
    <w:rsid w:val="00B060AE"/>
    <w:rsid w:val="00B10517"/>
    <w:rsid w:val="00B14E76"/>
    <w:rsid w:val="00B161B8"/>
    <w:rsid w:val="00B2048C"/>
    <w:rsid w:val="00B22137"/>
    <w:rsid w:val="00B24543"/>
    <w:rsid w:val="00B310B9"/>
    <w:rsid w:val="00B35F3F"/>
    <w:rsid w:val="00B36CBB"/>
    <w:rsid w:val="00B425E0"/>
    <w:rsid w:val="00B435A5"/>
    <w:rsid w:val="00B440AA"/>
    <w:rsid w:val="00B44B70"/>
    <w:rsid w:val="00B4502B"/>
    <w:rsid w:val="00B53C56"/>
    <w:rsid w:val="00B54F56"/>
    <w:rsid w:val="00B55BC2"/>
    <w:rsid w:val="00B57DAF"/>
    <w:rsid w:val="00B6127B"/>
    <w:rsid w:val="00B77EA6"/>
    <w:rsid w:val="00B81598"/>
    <w:rsid w:val="00B83C95"/>
    <w:rsid w:val="00B841F1"/>
    <w:rsid w:val="00B90A81"/>
    <w:rsid w:val="00B944D6"/>
    <w:rsid w:val="00B960C3"/>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D4C8A"/>
    <w:rsid w:val="00CE1A56"/>
    <w:rsid w:val="00CE44F6"/>
    <w:rsid w:val="00CE49DA"/>
    <w:rsid w:val="00CE7023"/>
    <w:rsid w:val="00CE7B61"/>
    <w:rsid w:val="00CF2FD5"/>
    <w:rsid w:val="00CF5062"/>
    <w:rsid w:val="00D00095"/>
    <w:rsid w:val="00D114F0"/>
    <w:rsid w:val="00D20620"/>
    <w:rsid w:val="00D254F7"/>
    <w:rsid w:val="00D26091"/>
    <w:rsid w:val="00D2685C"/>
    <w:rsid w:val="00D34E7C"/>
    <w:rsid w:val="00D35489"/>
    <w:rsid w:val="00D36AFE"/>
    <w:rsid w:val="00D51276"/>
    <w:rsid w:val="00D6567E"/>
    <w:rsid w:val="00D7035F"/>
    <w:rsid w:val="00D86C33"/>
    <w:rsid w:val="00D932E6"/>
    <w:rsid w:val="00DA634F"/>
    <w:rsid w:val="00DA65AC"/>
    <w:rsid w:val="00DB1913"/>
    <w:rsid w:val="00DB705F"/>
    <w:rsid w:val="00DC410D"/>
    <w:rsid w:val="00DC5A81"/>
    <w:rsid w:val="00DC68CA"/>
    <w:rsid w:val="00DC7CBA"/>
    <w:rsid w:val="00DD73B7"/>
    <w:rsid w:val="00DF28BC"/>
    <w:rsid w:val="00DF34B9"/>
    <w:rsid w:val="00DF49F1"/>
    <w:rsid w:val="00E01053"/>
    <w:rsid w:val="00E07ACF"/>
    <w:rsid w:val="00E07BC4"/>
    <w:rsid w:val="00E100B5"/>
    <w:rsid w:val="00E153DE"/>
    <w:rsid w:val="00E27542"/>
    <w:rsid w:val="00E331A1"/>
    <w:rsid w:val="00E33202"/>
    <w:rsid w:val="00E336A9"/>
    <w:rsid w:val="00E472B1"/>
    <w:rsid w:val="00E50624"/>
    <w:rsid w:val="00E5174E"/>
    <w:rsid w:val="00E568DF"/>
    <w:rsid w:val="00E64269"/>
    <w:rsid w:val="00E82267"/>
    <w:rsid w:val="00E853CE"/>
    <w:rsid w:val="00E867B6"/>
    <w:rsid w:val="00E97AB7"/>
    <w:rsid w:val="00EA010F"/>
    <w:rsid w:val="00EC65BC"/>
    <w:rsid w:val="00ED1B63"/>
    <w:rsid w:val="00ED3C1F"/>
    <w:rsid w:val="00ED4085"/>
    <w:rsid w:val="00ED420E"/>
    <w:rsid w:val="00ED6FBE"/>
    <w:rsid w:val="00EE2F57"/>
    <w:rsid w:val="00EF4C34"/>
    <w:rsid w:val="00EF77C6"/>
    <w:rsid w:val="00F05438"/>
    <w:rsid w:val="00F05D1B"/>
    <w:rsid w:val="00F1361C"/>
    <w:rsid w:val="00F156F0"/>
    <w:rsid w:val="00F160C7"/>
    <w:rsid w:val="00F2183E"/>
    <w:rsid w:val="00F2408F"/>
    <w:rsid w:val="00F240E9"/>
    <w:rsid w:val="00F2577C"/>
    <w:rsid w:val="00F27CCC"/>
    <w:rsid w:val="00F36D8F"/>
    <w:rsid w:val="00F417B1"/>
    <w:rsid w:val="00F45853"/>
    <w:rsid w:val="00F53294"/>
    <w:rsid w:val="00F569CD"/>
    <w:rsid w:val="00F602DF"/>
    <w:rsid w:val="00F656A1"/>
    <w:rsid w:val="00F754A1"/>
    <w:rsid w:val="00F81FD9"/>
    <w:rsid w:val="00F841AA"/>
    <w:rsid w:val="00F84A94"/>
    <w:rsid w:val="00F8623D"/>
    <w:rsid w:val="00F87E96"/>
    <w:rsid w:val="00FA23E8"/>
    <w:rsid w:val="00FD00B4"/>
    <w:rsid w:val="00FD28CE"/>
    <w:rsid w:val="00FD3CC1"/>
    <w:rsid w:val="00FE6ADC"/>
    <w:rsid w:val="00FF1E02"/>
    <w:rsid w:val="00FF30B4"/>
    <w:rsid w:val="01227503"/>
    <w:rsid w:val="01464A13"/>
    <w:rsid w:val="015975B8"/>
    <w:rsid w:val="017F71FB"/>
    <w:rsid w:val="01830F54"/>
    <w:rsid w:val="020F6523"/>
    <w:rsid w:val="02143E91"/>
    <w:rsid w:val="027B1D25"/>
    <w:rsid w:val="02AD3FCA"/>
    <w:rsid w:val="02D50621"/>
    <w:rsid w:val="034A3395"/>
    <w:rsid w:val="038F0F1E"/>
    <w:rsid w:val="039C1CB6"/>
    <w:rsid w:val="039E213F"/>
    <w:rsid w:val="040542C1"/>
    <w:rsid w:val="04127B48"/>
    <w:rsid w:val="049769C2"/>
    <w:rsid w:val="04AF0617"/>
    <w:rsid w:val="04B353EE"/>
    <w:rsid w:val="04C2646B"/>
    <w:rsid w:val="0516300D"/>
    <w:rsid w:val="05235EBE"/>
    <w:rsid w:val="0523789C"/>
    <w:rsid w:val="053A1AD6"/>
    <w:rsid w:val="057E65E5"/>
    <w:rsid w:val="05930558"/>
    <w:rsid w:val="05AB6915"/>
    <w:rsid w:val="05B9308F"/>
    <w:rsid w:val="05BE25F5"/>
    <w:rsid w:val="0607666A"/>
    <w:rsid w:val="06124BA3"/>
    <w:rsid w:val="064570F8"/>
    <w:rsid w:val="066E0107"/>
    <w:rsid w:val="076529B4"/>
    <w:rsid w:val="078A566A"/>
    <w:rsid w:val="07972C69"/>
    <w:rsid w:val="07996F6E"/>
    <w:rsid w:val="0852562C"/>
    <w:rsid w:val="08590AE4"/>
    <w:rsid w:val="08865458"/>
    <w:rsid w:val="0A2032A3"/>
    <w:rsid w:val="0A250E87"/>
    <w:rsid w:val="0A2958BC"/>
    <w:rsid w:val="0A35450C"/>
    <w:rsid w:val="0A3A0B0E"/>
    <w:rsid w:val="0A774CDD"/>
    <w:rsid w:val="0A8B4A9F"/>
    <w:rsid w:val="0AC52598"/>
    <w:rsid w:val="0B014267"/>
    <w:rsid w:val="0B30423A"/>
    <w:rsid w:val="0BAE6339"/>
    <w:rsid w:val="0BEC2489"/>
    <w:rsid w:val="0C2742CC"/>
    <w:rsid w:val="0C400B2D"/>
    <w:rsid w:val="0CC30F4D"/>
    <w:rsid w:val="0CC634EF"/>
    <w:rsid w:val="0D051AD8"/>
    <w:rsid w:val="0D254E66"/>
    <w:rsid w:val="0D4A7533"/>
    <w:rsid w:val="0E1F6C56"/>
    <w:rsid w:val="0E37126D"/>
    <w:rsid w:val="0E5B1481"/>
    <w:rsid w:val="0E8176B4"/>
    <w:rsid w:val="0EC14583"/>
    <w:rsid w:val="0EF41718"/>
    <w:rsid w:val="0F2735EA"/>
    <w:rsid w:val="0F98263C"/>
    <w:rsid w:val="0F983415"/>
    <w:rsid w:val="0FA53F0C"/>
    <w:rsid w:val="0FA62C5B"/>
    <w:rsid w:val="0FAB16D0"/>
    <w:rsid w:val="0FB823D1"/>
    <w:rsid w:val="0FD462C8"/>
    <w:rsid w:val="0FF41492"/>
    <w:rsid w:val="10075007"/>
    <w:rsid w:val="101860EC"/>
    <w:rsid w:val="103A1667"/>
    <w:rsid w:val="10C055FF"/>
    <w:rsid w:val="1153336F"/>
    <w:rsid w:val="11635D3C"/>
    <w:rsid w:val="118107EC"/>
    <w:rsid w:val="11A6144F"/>
    <w:rsid w:val="1219138F"/>
    <w:rsid w:val="121D743D"/>
    <w:rsid w:val="126779E1"/>
    <w:rsid w:val="126B39EA"/>
    <w:rsid w:val="12E0662F"/>
    <w:rsid w:val="13A4428B"/>
    <w:rsid w:val="13BE2238"/>
    <w:rsid w:val="13C5200F"/>
    <w:rsid w:val="13D50BC4"/>
    <w:rsid w:val="14137C68"/>
    <w:rsid w:val="142E0166"/>
    <w:rsid w:val="148D6305"/>
    <w:rsid w:val="14A37862"/>
    <w:rsid w:val="14BB30F4"/>
    <w:rsid w:val="14D863BB"/>
    <w:rsid w:val="14EE7D05"/>
    <w:rsid w:val="14F72B5F"/>
    <w:rsid w:val="154C396F"/>
    <w:rsid w:val="15544B78"/>
    <w:rsid w:val="156E6189"/>
    <w:rsid w:val="15C60A71"/>
    <w:rsid w:val="15C869D4"/>
    <w:rsid w:val="15D84B81"/>
    <w:rsid w:val="15E256AF"/>
    <w:rsid w:val="15F2418F"/>
    <w:rsid w:val="16057018"/>
    <w:rsid w:val="16075A36"/>
    <w:rsid w:val="162E36BB"/>
    <w:rsid w:val="16452E3B"/>
    <w:rsid w:val="165F772B"/>
    <w:rsid w:val="16BB723D"/>
    <w:rsid w:val="16CB419A"/>
    <w:rsid w:val="16ED50EF"/>
    <w:rsid w:val="171B0855"/>
    <w:rsid w:val="1754665F"/>
    <w:rsid w:val="17737818"/>
    <w:rsid w:val="180D7DEF"/>
    <w:rsid w:val="1821354E"/>
    <w:rsid w:val="18240702"/>
    <w:rsid w:val="18520D43"/>
    <w:rsid w:val="18BD4F88"/>
    <w:rsid w:val="19101757"/>
    <w:rsid w:val="198C4451"/>
    <w:rsid w:val="198D7D62"/>
    <w:rsid w:val="19AC4B39"/>
    <w:rsid w:val="19DC487F"/>
    <w:rsid w:val="19ED27AB"/>
    <w:rsid w:val="1A464288"/>
    <w:rsid w:val="1A5A50C4"/>
    <w:rsid w:val="1A936441"/>
    <w:rsid w:val="1AAC3591"/>
    <w:rsid w:val="1BE8440E"/>
    <w:rsid w:val="1BF93641"/>
    <w:rsid w:val="1BFF48E2"/>
    <w:rsid w:val="1C575E86"/>
    <w:rsid w:val="1C7424A1"/>
    <w:rsid w:val="1C7C185F"/>
    <w:rsid w:val="1C975708"/>
    <w:rsid w:val="1CBE3726"/>
    <w:rsid w:val="1CEA0E37"/>
    <w:rsid w:val="1D0F6372"/>
    <w:rsid w:val="1D155CEE"/>
    <w:rsid w:val="1D232D68"/>
    <w:rsid w:val="1D3E238F"/>
    <w:rsid w:val="1D472262"/>
    <w:rsid w:val="1D5E1134"/>
    <w:rsid w:val="1D8443E8"/>
    <w:rsid w:val="1D891B50"/>
    <w:rsid w:val="1DA1068F"/>
    <w:rsid w:val="1DDF5ED2"/>
    <w:rsid w:val="1DFB49B0"/>
    <w:rsid w:val="1E3C776D"/>
    <w:rsid w:val="1E520296"/>
    <w:rsid w:val="1EA604C7"/>
    <w:rsid w:val="1EBE7B4F"/>
    <w:rsid w:val="1EE67A5A"/>
    <w:rsid w:val="1EF25C86"/>
    <w:rsid w:val="1F007E0C"/>
    <w:rsid w:val="1F3207A8"/>
    <w:rsid w:val="1F3E5E3D"/>
    <w:rsid w:val="1F4878A8"/>
    <w:rsid w:val="1F9A5155"/>
    <w:rsid w:val="1FA41DE3"/>
    <w:rsid w:val="1FC814B0"/>
    <w:rsid w:val="1FF1390D"/>
    <w:rsid w:val="1FF35744"/>
    <w:rsid w:val="201E027B"/>
    <w:rsid w:val="201F3045"/>
    <w:rsid w:val="20246A62"/>
    <w:rsid w:val="20734DD2"/>
    <w:rsid w:val="21044A24"/>
    <w:rsid w:val="21084094"/>
    <w:rsid w:val="21E45CB1"/>
    <w:rsid w:val="220C47FB"/>
    <w:rsid w:val="2215430D"/>
    <w:rsid w:val="22384D0E"/>
    <w:rsid w:val="22413FD4"/>
    <w:rsid w:val="2257278B"/>
    <w:rsid w:val="22B93B9E"/>
    <w:rsid w:val="22BB1D3E"/>
    <w:rsid w:val="2353260A"/>
    <w:rsid w:val="23746273"/>
    <w:rsid w:val="23860B96"/>
    <w:rsid w:val="23AF00FF"/>
    <w:rsid w:val="240371BF"/>
    <w:rsid w:val="24241B27"/>
    <w:rsid w:val="247A5BA2"/>
    <w:rsid w:val="24870FA7"/>
    <w:rsid w:val="252E22D1"/>
    <w:rsid w:val="25463F03"/>
    <w:rsid w:val="25DB1FD1"/>
    <w:rsid w:val="260178B3"/>
    <w:rsid w:val="262F45BA"/>
    <w:rsid w:val="264B4662"/>
    <w:rsid w:val="26A23673"/>
    <w:rsid w:val="26BA67FF"/>
    <w:rsid w:val="27083A02"/>
    <w:rsid w:val="273D2A7B"/>
    <w:rsid w:val="2770625C"/>
    <w:rsid w:val="27743F64"/>
    <w:rsid w:val="27954CCD"/>
    <w:rsid w:val="27AC43BC"/>
    <w:rsid w:val="27D4356F"/>
    <w:rsid w:val="28EC3BDC"/>
    <w:rsid w:val="29456CCC"/>
    <w:rsid w:val="29480AF2"/>
    <w:rsid w:val="2990701F"/>
    <w:rsid w:val="29C75D6B"/>
    <w:rsid w:val="29CE4B49"/>
    <w:rsid w:val="29FD04D3"/>
    <w:rsid w:val="2A0D2A7A"/>
    <w:rsid w:val="2A3061E9"/>
    <w:rsid w:val="2A4A5EEA"/>
    <w:rsid w:val="2A98222B"/>
    <w:rsid w:val="2AAF480E"/>
    <w:rsid w:val="2AC206B3"/>
    <w:rsid w:val="2AEC747B"/>
    <w:rsid w:val="2B5F4A18"/>
    <w:rsid w:val="2B806A0C"/>
    <w:rsid w:val="2B810C89"/>
    <w:rsid w:val="2B9015E9"/>
    <w:rsid w:val="2BB3333F"/>
    <w:rsid w:val="2BC05313"/>
    <w:rsid w:val="2BDE51A8"/>
    <w:rsid w:val="2C3F3A65"/>
    <w:rsid w:val="2C640352"/>
    <w:rsid w:val="2C8A61B5"/>
    <w:rsid w:val="2C9046A9"/>
    <w:rsid w:val="2D09363B"/>
    <w:rsid w:val="2D210BDC"/>
    <w:rsid w:val="2D663C72"/>
    <w:rsid w:val="2D9F2627"/>
    <w:rsid w:val="2DDB4E87"/>
    <w:rsid w:val="2DE6333F"/>
    <w:rsid w:val="2DF04E50"/>
    <w:rsid w:val="2DF904E8"/>
    <w:rsid w:val="2E1F05E2"/>
    <w:rsid w:val="2E454C97"/>
    <w:rsid w:val="2EBC4E1A"/>
    <w:rsid w:val="2EFB0B39"/>
    <w:rsid w:val="2F040D46"/>
    <w:rsid w:val="2F673A6D"/>
    <w:rsid w:val="2F6E3281"/>
    <w:rsid w:val="2F9D42AB"/>
    <w:rsid w:val="2FD80C47"/>
    <w:rsid w:val="30283E76"/>
    <w:rsid w:val="305746FE"/>
    <w:rsid w:val="306F1418"/>
    <w:rsid w:val="306F21CB"/>
    <w:rsid w:val="319F7F4E"/>
    <w:rsid w:val="31AE4B2D"/>
    <w:rsid w:val="31B206FA"/>
    <w:rsid w:val="31DE7536"/>
    <w:rsid w:val="32077B36"/>
    <w:rsid w:val="32B00DE6"/>
    <w:rsid w:val="32B36132"/>
    <w:rsid w:val="32E91ED0"/>
    <w:rsid w:val="3304709D"/>
    <w:rsid w:val="33185991"/>
    <w:rsid w:val="33532CDA"/>
    <w:rsid w:val="340E0EBF"/>
    <w:rsid w:val="34954593"/>
    <w:rsid w:val="34B157F4"/>
    <w:rsid w:val="34C85A01"/>
    <w:rsid w:val="34EA383E"/>
    <w:rsid w:val="34EB1934"/>
    <w:rsid w:val="34F2606F"/>
    <w:rsid w:val="34F713F8"/>
    <w:rsid w:val="350A6B02"/>
    <w:rsid w:val="353C3ECF"/>
    <w:rsid w:val="354E728D"/>
    <w:rsid w:val="357D291B"/>
    <w:rsid w:val="35AB5A86"/>
    <w:rsid w:val="35BF55E7"/>
    <w:rsid w:val="360B3BE9"/>
    <w:rsid w:val="369B11D5"/>
    <w:rsid w:val="36AA5135"/>
    <w:rsid w:val="36B8324E"/>
    <w:rsid w:val="36CE13F9"/>
    <w:rsid w:val="376D39B2"/>
    <w:rsid w:val="37E16F03"/>
    <w:rsid w:val="37E463A4"/>
    <w:rsid w:val="37E82515"/>
    <w:rsid w:val="37F937CD"/>
    <w:rsid w:val="3890226A"/>
    <w:rsid w:val="38996D51"/>
    <w:rsid w:val="38D469F0"/>
    <w:rsid w:val="39065052"/>
    <w:rsid w:val="39391F4F"/>
    <w:rsid w:val="39431596"/>
    <w:rsid w:val="399C0E31"/>
    <w:rsid w:val="399D6F59"/>
    <w:rsid w:val="39AD0C96"/>
    <w:rsid w:val="39D71C9A"/>
    <w:rsid w:val="39DD4DAE"/>
    <w:rsid w:val="3A0E20EF"/>
    <w:rsid w:val="3A2814B6"/>
    <w:rsid w:val="3B263DA0"/>
    <w:rsid w:val="3BCE6B12"/>
    <w:rsid w:val="3BFD13D3"/>
    <w:rsid w:val="3C37609B"/>
    <w:rsid w:val="3C5046A5"/>
    <w:rsid w:val="3C853E31"/>
    <w:rsid w:val="3C883379"/>
    <w:rsid w:val="3C8F295B"/>
    <w:rsid w:val="3CA8400F"/>
    <w:rsid w:val="3CCC1706"/>
    <w:rsid w:val="3D2120BA"/>
    <w:rsid w:val="3D276056"/>
    <w:rsid w:val="3D3925DC"/>
    <w:rsid w:val="3D713065"/>
    <w:rsid w:val="3D98207C"/>
    <w:rsid w:val="3DC31F80"/>
    <w:rsid w:val="3E09122C"/>
    <w:rsid w:val="3E640863"/>
    <w:rsid w:val="3E696B0B"/>
    <w:rsid w:val="3E78745D"/>
    <w:rsid w:val="3EA02C05"/>
    <w:rsid w:val="3EF20588"/>
    <w:rsid w:val="3F2F4B71"/>
    <w:rsid w:val="3FBBE37A"/>
    <w:rsid w:val="404129E4"/>
    <w:rsid w:val="4044002E"/>
    <w:rsid w:val="40AC1353"/>
    <w:rsid w:val="40B74E08"/>
    <w:rsid w:val="40BB13A3"/>
    <w:rsid w:val="40BE42FD"/>
    <w:rsid w:val="40CD0E58"/>
    <w:rsid w:val="41AE24E9"/>
    <w:rsid w:val="41D247A0"/>
    <w:rsid w:val="41F46EE5"/>
    <w:rsid w:val="421A5A6E"/>
    <w:rsid w:val="42235AA9"/>
    <w:rsid w:val="427E2CE9"/>
    <w:rsid w:val="42AD13E4"/>
    <w:rsid w:val="42C14126"/>
    <w:rsid w:val="42C74BEB"/>
    <w:rsid w:val="4313175C"/>
    <w:rsid w:val="43775007"/>
    <w:rsid w:val="43F21759"/>
    <w:rsid w:val="44322C7E"/>
    <w:rsid w:val="445968B2"/>
    <w:rsid w:val="44E268DA"/>
    <w:rsid w:val="45002F2B"/>
    <w:rsid w:val="450C2B50"/>
    <w:rsid w:val="452739F0"/>
    <w:rsid w:val="45B82848"/>
    <w:rsid w:val="45DA0E0F"/>
    <w:rsid w:val="46BF0A1E"/>
    <w:rsid w:val="46E446FF"/>
    <w:rsid w:val="4709109C"/>
    <w:rsid w:val="470A1F09"/>
    <w:rsid w:val="471731ED"/>
    <w:rsid w:val="4717369A"/>
    <w:rsid w:val="478B05B2"/>
    <w:rsid w:val="48047D35"/>
    <w:rsid w:val="48156EA6"/>
    <w:rsid w:val="486B6824"/>
    <w:rsid w:val="48BD0B11"/>
    <w:rsid w:val="491F1F92"/>
    <w:rsid w:val="492C6A4E"/>
    <w:rsid w:val="49630FE3"/>
    <w:rsid w:val="4979348C"/>
    <w:rsid w:val="49A576EA"/>
    <w:rsid w:val="49A70397"/>
    <w:rsid w:val="49E93B13"/>
    <w:rsid w:val="4A0E0E28"/>
    <w:rsid w:val="4A157299"/>
    <w:rsid w:val="4A231319"/>
    <w:rsid w:val="4A266894"/>
    <w:rsid w:val="4A3F390D"/>
    <w:rsid w:val="4A627F82"/>
    <w:rsid w:val="4A846201"/>
    <w:rsid w:val="4ACB54A5"/>
    <w:rsid w:val="4AEA0A53"/>
    <w:rsid w:val="4B0E749A"/>
    <w:rsid w:val="4B4C1BD1"/>
    <w:rsid w:val="4B4F25DA"/>
    <w:rsid w:val="4B512D44"/>
    <w:rsid w:val="4B8E22F5"/>
    <w:rsid w:val="4BDA5D5E"/>
    <w:rsid w:val="4BDD4191"/>
    <w:rsid w:val="4BE068DB"/>
    <w:rsid w:val="4C792CF5"/>
    <w:rsid w:val="4CA10D22"/>
    <w:rsid w:val="4CC53053"/>
    <w:rsid w:val="4CFD1A4B"/>
    <w:rsid w:val="4CFD35CB"/>
    <w:rsid w:val="4D162D81"/>
    <w:rsid w:val="4D442E8B"/>
    <w:rsid w:val="4D500B57"/>
    <w:rsid w:val="4D577224"/>
    <w:rsid w:val="4E1B2029"/>
    <w:rsid w:val="4E6D3922"/>
    <w:rsid w:val="4E8E1F35"/>
    <w:rsid w:val="4EAB630A"/>
    <w:rsid w:val="4ECE2238"/>
    <w:rsid w:val="4EE77B5E"/>
    <w:rsid w:val="4EE914CD"/>
    <w:rsid w:val="4F335B15"/>
    <w:rsid w:val="4F6B2D1E"/>
    <w:rsid w:val="4F7E61A6"/>
    <w:rsid w:val="4FA96F4A"/>
    <w:rsid w:val="4FBF62BA"/>
    <w:rsid w:val="4FD12F11"/>
    <w:rsid w:val="4FEF2F79"/>
    <w:rsid w:val="50851482"/>
    <w:rsid w:val="508A700F"/>
    <w:rsid w:val="508C7781"/>
    <w:rsid w:val="50F3723D"/>
    <w:rsid w:val="512567DA"/>
    <w:rsid w:val="513777C3"/>
    <w:rsid w:val="514E0FE8"/>
    <w:rsid w:val="5182262A"/>
    <w:rsid w:val="51A52D54"/>
    <w:rsid w:val="51D63694"/>
    <w:rsid w:val="51E34677"/>
    <w:rsid w:val="51EE1061"/>
    <w:rsid w:val="525E7CF9"/>
    <w:rsid w:val="52680DA1"/>
    <w:rsid w:val="527D5EA6"/>
    <w:rsid w:val="52836493"/>
    <w:rsid w:val="52A95E13"/>
    <w:rsid w:val="52FD700B"/>
    <w:rsid w:val="53004536"/>
    <w:rsid w:val="530A22F6"/>
    <w:rsid w:val="53254A03"/>
    <w:rsid w:val="53351F49"/>
    <w:rsid w:val="53427B0D"/>
    <w:rsid w:val="53586453"/>
    <w:rsid w:val="537E6D0A"/>
    <w:rsid w:val="53981323"/>
    <w:rsid w:val="53AE54E9"/>
    <w:rsid w:val="53C51CDA"/>
    <w:rsid w:val="54961F16"/>
    <w:rsid w:val="54B90767"/>
    <w:rsid w:val="54D01CC8"/>
    <w:rsid w:val="54EA6E6D"/>
    <w:rsid w:val="55360C0A"/>
    <w:rsid w:val="5580531D"/>
    <w:rsid w:val="558378C7"/>
    <w:rsid w:val="56037306"/>
    <w:rsid w:val="563D277F"/>
    <w:rsid w:val="565A04F7"/>
    <w:rsid w:val="565B652C"/>
    <w:rsid w:val="566013B8"/>
    <w:rsid w:val="566535FF"/>
    <w:rsid w:val="56862245"/>
    <w:rsid w:val="56A9251F"/>
    <w:rsid w:val="56CC54BF"/>
    <w:rsid w:val="56CE6877"/>
    <w:rsid w:val="56D67103"/>
    <w:rsid w:val="56FE3A50"/>
    <w:rsid w:val="57594B75"/>
    <w:rsid w:val="577554CF"/>
    <w:rsid w:val="57CE4666"/>
    <w:rsid w:val="582F35BD"/>
    <w:rsid w:val="584A361D"/>
    <w:rsid w:val="58833A7C"/>
    <w:rsid w:val="58F509C7"/>
    <w:rsid w:val="58FF3AAD"/>
    <w:rsid w:val="59262561"/>
    <w:rsid w:val="59280FD2"/>
    <w:rsid w:val="592C4515"/>
    <w:rsid w:val="598C6D79"/>
    <w:rsid w:val="5A114A09"/>
    <w:rsid w:val="5A147319"/>
    <w:rsid w:val="5A1A5DF9"/>
    <w:rsid w:val="5A3A7EA3"/>
    <w:rsid w:val="5A3F6A42"/>
    <w:rsid w:val="5A6D66F0"/>
    <w:rsid w:val="5AB23760"/>
    <w:rsid w:val="5AB57AF4"/>
    <w:rsid w:val="5ABB787B"/>
    <w:rsid w:val="5AC65908"/>
    <w:rsid w:val="5AD93C42"/>
    <w:rsid w:val="5AE2686D"/>
    <w:rsid w:val="5AF92295"/>
    <w:rsid w:val="5B101FD3"/>
    <w:rsid w:val="5B8A77BD"/>
    <w:rsid w:val="5B8E0F5A"/>
    <w:rsid w:val="5B9C655B"/>
    <w:rsid w:val="5BCD6AA6"/>
    <w:rsid w:val="5BD97D5A"/>
    <w:rsid w:val="5BDD68F0"/>
    <w:rsid w:val="5C036190"/>
    <w:rsid w:val="5C7B7C53"/>
    <w:rsid w:val="5CD71FC4"/>
    <w:rsid w:val="5D391A82"/>
    <w:rsid w:val="5D564D19"/>
    <w:rsid w:val="5D853EE9"/>
    <w:rsid w:val="5D8736B8"/>
    <w:rsid w:val="5D9308A9"/>
    <w:rsid w:val="5E020E6D"/>
    <w:rsid w:val="5E2155A0"/>
    <w:rsid w:val="5E33676A"/>
    <w:rsid w:val="5E6F1EC9"/>
    <w:rsid w:val="5E80124C"/>
    <w:rsid w:val="5EE77F59"/>
    <w:rsid w:val="5EF778B5"/>
    <w:rsid w:val="5F003C3B"/>
    <w:rsid w:val="5F51723B"/>
    <w:rsid w:val="5F64660C"/>
    <w:rsid w:val="5F7D1E8A"/>
    <w:rsid w:val="5F8501A4"/>
    <w:rsid w:val="5FC277AD"/>
    <w:rsid w:val="5FCE07E1"/>
    <w:rsid w:val="5FDB44D3"/>
    <w:rsid w:val="5FF927FA"/>
    <w:rsid w:val="60030E9E"/>
    <w:rsid w:val="6022076A"/>
    <w:rsid w:val="60262DB4"/>
    <w:rsid w:val="6043588F"/>
    <w:rsid w:val="605C131E"/>
    <w:rsid w:val="60A84C64"/>
    <w:rsid w:val="60B12A70"/>
    <w:rsid w:val="60E81B25"/>
    <w:rsid w:val="6109040E"/>
    <w:rsid w:val="610D097C"/>
    <w:rsid w:val="61542EC1"/>
    <w:rsid w:val="6164277A"/>
    <w:rsid w:val="61C30F90"/>
    <w:rsid w:val="62211A4E"/>
    <w:rsid w:val="627D6B10"/>
    <w:rsid w:val="629B769B"/>
    <w:rsid w:val="62CB6F98"/>
    <w:rsid w:val="62D0314B"/>
    <w:rsid w:val="62D701CE"/>
    <w:rsid w:val="62F14A77"/>
    <w:rsid w:val="6308095C"/>
    <w:rsid w:val="632433E9"/>
    <w:rsid w:val="634645E3"/>
    <w:rsid w:val="63BC3A99"/>
    <w:rsid w:val="642C2CD1"/>
    <w:rsid w:val="64610A7A"/>
    <w:rsid w:val="64696CF1"/>
    <w:rsid w:val="64C936A5"/>
    <w:rsid w:val="6540083D"/>
    <w:rsid w:val="654F7349"/>
    <w:rsid w:val="661D70CC"/>
    <w:rsid w:val="666C35EF"/>
    <w:rsid w:val="6715239E"/>
    <w:rsid w:val="6728672D"/>
    <w:rsid w:val="674A64BC"/>
    <w:rsid w:val="67663602"/>
    <w:rsid w:val="67791C26"/>
    <w:rsid w:val="677FB473"/>
    <w:rsid w:val="67AE60F9"/>
    <w:rsid w:val="68274D06"/>
    <w:rsid w:val="68495007"/>
    <w:rsid w:val="689B66E2"/>
    <w:rsid w:val="68A04B56"/>
    <w:rsid w:val="68DA0107"/>
    <w:rsid w:val="69822D81"/>
    <w:rsid w:val="69FE1971"/>
    <w:rsid w:val="6A1B0C96"/>
    <w:rsid w:val="6A6C3BCE"/>
    <w:rsid w:val="6A6F40B0"/>
    <w:rsid w:val="6A9E6CB4"/>
    <w:rsid w:val="6B3E4043"/>
    <w:rsid w:val="6B6E2E73"/>
    <w:rsid w:val="6B842E94"/>
    <w:rsid w:val="6B93543F"/>
    <w:rsid w:val="6BDA5167"/>
    <w:rsid w:val="6C4A05C8"/>
    <w:rsid w:val="6C5F7AAC"/>
    <w:rsid w:val="6CB33184"/>
    <w:rsid w:val="6CBA3D59"/>
    <w:rsid w:val="6D7444E3"/>
    <w:rsid w:val="6DB37817"/>
    <w:rsid w:val="6DE61AC4"/>
    <w:rsid w:val="6DF3326A"/>
    <w:rsid w:val="6DF71FFC"/>
    <w:rsid w:val="6E7E3605"/>
    <w:rsid w:val="6EB44424"/>
    <w:rsid w:val="6EB5FFB5"/>
    <w:rsid w:val="6EF6242B"/>
    <w:rsid w:val="6F2E451F"/>
    <w:rsid w:val="6FA11E62"/>
    <w:rsid w:val="6FF5CC65"/>
    <w:rsid w:val="70D517EA"/>
    <w:rsid w:val="715C0E4B"/>
    <w:rsid w:val="71601103"/>
    <w:rsid w:val="724C1C57"/>
    <w:rsid w:val="726273E3"/>
    <w:rsid w:val="72734D90"/>
    <w:rsid w:val="730347BF"/>
    <w:rsid w:val="7313056B"/>
    <w:rsid w:val="739A17D8"/>
    <w:rsid w:val="73AD73D5"/>
    <w:rsid w:val="73B6EB34"/>
    <w:rsid w:val="741A1E3F"/>
    <w:rsid w:val="743E70D9"/>
    <w:rsid w:val="744731E5"/>
    <w:rsid w:val="744F0439"/>
    <w:rsid w:val="7460383E"/>
    <w:rsid w:val="74831B2C"/>
    <w:rsid w:val="74C43375"/>
    <w:rsid w:val="74E9068F"/>
    <w:rsid w:val="752F5394"/>
    <w:rsid w:val="75392670"/>
    <w:rsid w:val="758D14E7"/>
    <w:rsid w:val="75B00C5A"/>
    <w:rsid w:val="75B832E8"/>
    <w:rsid w:val="75BF7B5A"/>
    <w:rsid w:val="76642BD8"/>
    <w:rsid w:val="766662AD"/>
    <w:rsid w:val="76CB37DD"/>
    <w:rsid w:val="76D908C1"/>
    <w:rsid w:val="76E3355F"/>
    <w:rsid w:val="775611C3"/>
    <w:rsid w:val="778769C8"/>
    <w:rsid w:val="77EC2D61"/>
    <w:rsid w:val="781829CB"/>
    <w:rsid w:val="789C041E"/>
    <w:rsid w:val="78A54684"/>
    <w:rsid w:val="78A87465"/>
    <w:rsid w:val="791713E0"/>
    <w:rsid w:val="79186A8C"/>
    <w:rsid w:val="792259D9"/>
    <w:rsid w:val="79266979"/>
    <w:rsid w:val="797634D3"/>
    <w:rsid w:val="79880546"/>
    <w:rsid w:val="79BC601D"/>
    <w:rsid w:val="79EE5BA4"/>
    <w:rsid w:val="7A40422F"/>
    <w:rsid w:val="7A823DCF"/>
    <w:rsid w:val="7A894339"/>
    <w:rsid w:val="7AAC7E42"/>
    <w:rsid w:val="7AB16FEF"/>
    <w:rsid w:val="7AC47EAB"/>
    <w:rsid w:val="7B02275F"/>
    <w:rsid w:val="7B3B7BCE"/>
    <w:rsid w:val="7B8D52D0"/>
    <w:rsid w:val="7BED68EA"/>
    <w:rsid w:val="7BF0670B"/>
    <w:rsid w:val="7C5107E1"/>
    <w:rsid w:val="7C596DB8"/>
    <w:rsid w:val="7C7FDEDB"/>
    <w:rsid w:val="7CAA6845"/>
    <w:rsid w:val="7D0259F6"/>
    <w:rsid w:val="7D74019D"/>
    <w:rsid w:val="7DAC6817"/>
    <w:rsid w:val="7DB94FFF"/>
    <w:rsid w:val="7DBB45E2"/>
    <w:rsid w:val="7DD3700A"/>
    <w:rsid w:val="7DDC59E7"/>
    <w:rsid w:val="7DE3745D"/>
    <w:rsid w:val="7DEA29A7"/>
    <w:rsid w:val="7DFB7459"/>
    <w:rsid w:val="7E0D30BE"/>
    <w:rsid w:val="7E13041E"/>
    <w:rsid w:val="7E776C17"/>
    <w:rsid w:val="7E92565C"/>
    <w:rsid w:val="7EA05F8C"/>
    <w:rsid w:val="7EED5422"/>
    <w:rsid w:val="7EEF11D3"/>
    <w:rsid w:val="7F3D55DD"/>
    <w:rsid w:val="7F735E05"/>
    <w:rsid w:val="7FA30C79"/>
    <w:rsid w:val="7FB7269E"/>
    <w:rsid w:val="7FC96657"/>
    <w:rsid w:val="D8D6DB89"/>
    <w:rsid w:val="DB6F4CAB"/>
    <w:rsid w:val="DC7BE002"/>
    <w:rsid w:val="DF6F9789"/>
    <w:rsid w:val="FFFF41E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26"/>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unhideWhenUsed/>
    <w:qFormat/>
    <w:uiPriority w:val="99"/>
    <w:rPr>
      <w:rFonts w:ascii="宋体" w:hAnsi="Courier New"/>
    </w:rPr>
  </w:style>
  <w:style w:type="paragraph" w:styleId="9">
    <w:name w:val="Balloon Text"/>
    <w:basedOn w:val="1"/>
    <w:link w:val="32"/>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Body Text First Indent 2"/>
    <w:basedOn w:val="6"/>
    <w:unhideWhenUsed/>
    <w:qFormat/>
    <w:uiPriority w:val="99"/>
    <w:pPr>
      <w:ind w:firstLine="420" w:firstLineChars="200"/>
    </w:p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unhideWhenUsed/>
    <w:qFormat/>
    <w:uiPriority w:val="99"/>
    <w:pPr>
      <w:jc w:val="left"/>
    </w:pPr>
    <w:rPr>
      <w:rFonts w:eastAsia="仿宋_GB2312"/>
      <w:kern w:val="0"/>
      <w:sz w:val="24"/>
    </w:r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6"/>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6"/>
    <w:semiHidden/>
    <w:qFormat/>
    <w:uiPriority w:val="99"/>
    <w:rPr>
      <w:rFonts w:ascii="Times New Roman" w:hAnsi="Times New Roman"/>
      <w:sz w:val="18"/>
      <w:szCs w:val="18"/>
    </w:rPr>
  </w:style>
  <w:style w:type="character" w:customStyle="1" w:styleId="24">
    <w:name w:val="页脚 Char"/>
    <w:link w:val="10"/>
    <w:qFormat/>
    <w:locked/>
    <w:uiPriority w:val="99"/>
    <w:rPr>
      <w:sz w:val="18"/>
    </w:rPr>
  </w:style>
  <w:style w:type="character" w:customStyle="1" w:styleId="25">
    <w:name w:val="Body Text Char"/>
    <w:basedOn w:val="16"/>
    <w:semiHidden/>
    <w:qFormat/>
    <w:uiPriority w:val="99"/>
    <w:rPr>
      <w:rFonts w:ascii="Times New Roman" w:hAnsi="Times New Roman"/>
      <w:szCs w:val="24"/>
    </w:rPr>
  </w:style>
  <w:style w:type="character" w:customStyle="1" w:styleId="26">
    <w:name w:val="正文文本 Char"/>
    <w:link w:val="2"/>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8">
    <w:name w:val="列出段落1"/>
    <w:basedOn w:val="1"/>
    <w:qFormat/>
    <w:uiPriority w:val="34"/>
    <w:pPr>
      <w:ind w:firstLine="420" w:firstLineChars="200"/>
    </w:pPr>
  </w:style>
  <w:style w:type="character" w:customStyle="1" w:styleId="29">
    <w:name w:val="标题 1 Char"/>
    <w:basedOn w:val="16"/>
    <w:link w:val="3"/>
    <w:qFormat/>
    <w:uiPriority w:val="9"/>
    <w:rPr>
      <w:rFonts w:ascii="Times New Roman" w:hAnsi="Times New Roman"/>
      <w:b/>
      <w:bCs/>
      <w:kern w:val="44"/>
      <w:sz w:val="44"/>
      <w:szCs w:val="44"/>
    </w:rPr>
  </w:style>
  <w:style w:type="character" w:customStyle="1" w:styleId="30">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6"/>
    <w:link w:val="9"/>
    <w:semiHidden/>
    <w:qFormat/>
    <w:uiPriority w:val="99"/>
    <w:rPr>
      <w:rFonts w:ascii="Times New Roman" w:hAnsi="Times New Roman"/>
      <w:kern w:val="2"/>
      <w:sz w:val="18"/>
      <w:szCs w:val="18"/>
    </w:rPr>
  </w:style>
  <w:style w:type="character" w:customStyle="1" w:styleId="33">
    <w:name w:val="标题 3 Char"/>
    <w:basedOn w:val="16"/>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0" Type="http://schemas.openxmlformats.org/officeDocument/2006/relationships/fontTable" Target="fontTable.xml"/><Relationship Id="rId5" Type="http://schemas.openxmlformats.org/officeDocument/2006/relationships/footer" Target="footer2.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31.wmf"/><Relationship Id="rId46" Type="http://schemas.openxmlformats.org/officeDocument/2006/relationships/image" Target="media/image30.wmf"/><Relationship Id="rId45" Type="http://schemas.openxmlformats.org/officeDocument/2006/relationships/image" Target="media/image29.wmf"/><Relationship Id="rId44" Type="http://schemas.openxmlformats.org/officeDocument/2006/relationships/image" Target="media/image28.wmf"/><Relationship Id="rId43" Type="http://schemas.openxmlformats.org/officeDocument/2006/relationships/image" Target="media/image27.wmf"/><Relationship Id="rId42" Type="http://schemas.openxmlformats.org/officeDocument/2006/relationships/image" Target="media/image26.wmf"/><Relationship Id="rId41" Type="http://schemas.openxmlformats.org/officeDocument/2006/relationships/image" Target="media/image25.emf"/><Relationship Id="rId40" Type="http://schemas.openxmlformats.org/officeDocument/2006/relationships/image" Target="media/image24.emf"/><Relationship Id="rId4" Type="http://schemas.openxmlformats.org/officeDocument/2006/relationships/footer" Target="footer1.xml"/><Relationship Id="rId39" Type="http://schemas.openxmlformats.org/officeDocument/2006/relationships/image" Target="media/image23.emf"/><Relationship Id="rId38" Type="http://schemas.openxmlformats.org/officeDocument/2006/relationships/image" Target="media/image22.emf"/><Relationship Id="rId37" Type="http://schemas.openxmlformats.org/officeDocument/2006/relationships/image" Target="media/image21.emf"/><Relationship Id="rId36" Type="http://schemas.openxmlformats.org/officeDocument/2006/relationships/image" Target="media/image20.emf"/><Relationship Id="rId35" Type="http://schemas.openxmlformats.org/officeDocument/2006/relationships/image" Target="media/image19.emf"/><Relationship Id="rId34" Type="http://schemas.openxmlformats.org/officeDocument/2006/relationships/image" Target="media/image18.emf"/><Relationship Id="rId33" Type="http://schemas.openxmlformats.org/officeDocument/2006/relationships/image" Target="media/image17.emf"/><Relationship Id="rId32" Type="http://schemas.openxmlformats.org/officeDocument/2006/relationships/image" Target="media/image16.emf"/><Relationship Id="rId31" Type="http://schemas.openxmlformats.org/officeDocument/2006/relationships/image" Target="media/image15.emf"/><Relationship Id="rId30" Type="http://schemas.openxmlformats.org/officeDocument/2006/relationships/image" Target="media/image14.emf"/><Relationship Id="rId3" Type="http://schemas.openxmlformats.org/officeDocument/2006/relationships/header" Target="header1.xml"/><Relationship Id="rId29" Type="http://schemas.openxmlformats.org/officeDocument/2006/relationships/image" Target="media/image13.emf"/><Relationship Id="rId28" Type="http://schemas.openxmlformats.org/officeDocument/2006/relationships/image" Target="media/image12.emf"/><Relationship Id="rId27" Type="http://schemas.openxmlformats.org/officeDocument/2006/relationships/image" Target="media/image11.emf"/><Relationship Id="rId26" Type="http://schemas.openxmlformats.org/officeDocument/2006/relationships/image" Target="media/image10.emf"/><Relationship Id="rId25" Type="http://schemas.openxmlformats.org/officeDocument/2006/relationships/image" Target="media/image9.wmf"/><Relationship Id="rId24" Type="http://schemas.openxmlformats.org/officeDocument/2006/relationships/image" Target="media/image8.wmf"/><Relationship Id="rId23" Type="http://schemas.openxmlformats.org/officeDocument/2006/relationships/image" Target="media/image7.wmf"/><Relationship Id="rId22" Type="http://schemas.openxmlformats.org/officeDocument/2006/relationships/image" Target="media/image6.wmf"/><Relationship Id="rId21" Type="http://schemas.openxmlformats.org/officeDocument/2006/relationships/image" Target="media/image5.wmf"/><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image" Target="media/image2.wmf"/><Relationship Id="rId17" Type="http://schemas.openxmlformats.org/officeDocument/2006/relationships/image" Target="media/image1.wmf"/><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收、支决算总计变动情况图（万元）</a:t>
            </a:r>
            <a:endParaRPr sz="1500"/>
          </a:p>
        </c:rich>
      </c:tx>
      <c:layout>
        <c:manualLayout>
          <c:xMode val="edge"/>
          <c:yMode val="edge"/>
          <c:x val="0.186960301276148"/>
          <c:y val="0.0591133004926108"/>
        </c:manualLayout>
      </c:layout>
      <c:overlay val="0"/>
      <c:spPr>
        <a:noFill/>
        <a:ln>
          <a:noFill/>
        </a:ln>
        <a:effectLst/>
      </c:spPr>
    </c:title>
    <c:autoTitleDeleted val="0"/>
    <c:plotArea>
      <c:layout>
        <c:manualLayout>
          <c:layoutTarget val="inner"/>
          <c:xMode val="edge"/>
          <c:yMode val="edge"/>
          <c:x val="0.105720365502566"/>
          <c:y val="0.292209505906474"/>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2022年收、支总计</c:v>
                </c:pt>
                <c:pt idx="1">
                  <c:v>2021年收、支总计</c:v>
                </c:pt>
              </c:strCache>
            </c:strRef>
          </c:cat>
          <c:val>
            <c:numRef>
              <c:f>Sheet1!$B$1:$B$2</c:f>
              <c:numCache>
                <c:formatCode>General</c:formatCode>
                <c:ptCount val="2"/>
                <c:pt idx="0">
                  <c:v>1877.32</c:v>
                </c:pt>
                <c:pt idx="1">
                  <c:v>1528.61</c:v>
                </c:pt>
              </c:numCache>
            </c:numRef>
          </c:val>
        </c:ser>
        <c:dLbls>
          <c:showLegendKey val="0"/>
          <c:showVal val="1"/>
          <c:showCatName val="0"/>
          <c:showSerName val="0"/>
          <c:showPercent val="0"/>
          <c:showBubbleSize val="0"/>
        </c:dLbls>
        <c:gapWidth val="150"/>
        <c:overlap val="100"/>
        <c:axId val="191724928"/>
        <c:axId val="191751296"/>
      </c:barChart>
      <c:catAx>
        <c:axId val="19172492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1751296"/>
        <c:crosses val="autoZero"/>
        <c:auto val="1"/>
        <c:lblAlgn val="ctr"/>
        <c:lblOffset val="100"/>
        <c:noMultiLvlLbl val="0"/>
      </c:catAx>
      <c:valAx>
        <c:axId val="1917512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17249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一般公共预算财政拨款收入</c:v>
                </c:pt>
              </c:strCache>
            </c:strRef>
          </c:cat>
          <c:val>
            <c:numRef>
              <c:f>Sheet1!$B$2</c:f>
              <c:numCache>
                <c:formatCode>0.00%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基本支出</c:v>
                </c:pt>
                <c:pt idx="1">
                  <c:v>项目支出</c:v>
                </c:pt>
              </c:strCache>
            </c:strRef>
          </c:cat>
          <c:val>
            <c:numRef>
              <c:f>Sheet1!$B$2:$B$5</c:f>
              <c:numCache>
                <c:formatCode>0.00%</c:formatCode>
                <c:ptCount val="4"/>
                <c:pt idx="0">
                  <c:v>0.545</c:v>
                </c:pt>
                <c:pt idx="1">
                  <c:v>0.455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财政拨款收、支决算总计变动情况（万元）</a:t>
            </a:r>
            <a:endParaRPr sz="1500"/>
          </a:p>
        </c:rich>
      </c:tx>
      <c:layout>
        <c:manualLayout>
          <c:xMode val="edge"/>
          <c:yMode val="edge"/>
          <c:x val="0.18525"/>
          <c:y val="0.00770020533880903"/>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2022年财政拨款收、支总计</c:v>
                </c:pt>
                <c:pt idx="1">
                  <c:v>2021年财政拨款收、支总计</c:v>
                </c:pt>
              </c:strCache>
            </c:strRef>
          </c:cat>
          <c:val>
            <c:numRef>
              <c:f>Sheet1!$B$1:$B$2</c:f>
              <c:numCache>
                <c:formatCode>General</c:formatCode>
                <c:ptCount val="2"/>
                <c:pt idx="0">
                  <c:v>1877.32</c:v>
                </c:pt>
                <c:pt idx="1">
                  <c:v>1528.61</c:v>
                </c:pt>
              </c:numCache>
            </c:numRef>
          </c:val>
        </c:ser>
        <c:dLbls>
          <c:showLegendKey val="0"/>
          <c:showVal val="1"/>
          <c:showCatName val="0"/>
          <c:showSerName val="0"/>
          <c:showPercent val="0"/>
          <c:showBubbleSize val="0"/>
        </c:dLbls>
        <c:gapWidth val="150"/>
        <c:overlap val="100"/>
        <c:axId val="192316160"/>
        <c:axId val="192317696"/>
      </c:barChart>
      <c:catAx>
        <c:axId val="1923161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17696"/>
        <c:crosses val="autoZero"/>
        <c:auto val="1"/>
        <c:lblAlgn val="ctr"/>
        <c:lblOffset val="100"/>
        <c:noMultiLvlLbl val="0"/>
      </c:catAx>
      <c:valAx>
        <c:axId val="1923176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161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一般公共预算财政拨款支出决算变动情况（万元）</a:t>
            </a:r>
            <a:endParaRPr sz="1500"/>
          </a:p>
        </c:rich>
      </c:tx>
      <c:layout>
        <c:manualLayout>
          <c:xMode val="edge"/>
          <c:yMode val="edge"/>
          <c:x val="0.165504538876464"/>
          <c:y val="0.0281491907107671"/>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2022年一般公共预算财政拨款支出</c:v>
                </c:pt>
                <c:pt idx="1">
                  <c:v>2021年一般公共预算财政拨款支出</c:v>
                </c:pt>
              </c:strCache>
            </c:strRef>
          </c:cat>
          <c:val>
            <c:numRef>
              <c:f>Sheet1!$B$1:$B$2</c:f>
              <c:numCache>
                <c:formatCode>General</c:formatCode>
                <c:ptCount val="2"/>
                <c:pt idx="0">
                  <c:v>1877.32</c:v>
                </c:pt>
                <c:pt idx="1">
                  <c:v>1528.61</c:v>
                </c:pt>
              </c:numCache>
            </c:numRef>
          </c:val>
        </c:ser>
        <c:dLbls>
          <c:showLegendKey val="0"/>
          <c:showVal val="1"/>
          <c:showCatName val="0"/>
          <c:showSerName val="0"/>
          <c:showPercent val="0"/>
          <c:showBubbleSize val="0"/>
        </c:dLbls>
        <c:gapWidth val="150"/>
        <c:overlap val="100"/>
        <c:axId val="192379136"/>
        <c:axId val="192397312"/>
      </c:barChart>
      <c:catAx>
        <c:axId val="19237913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97312"/>
        <c:crosses val="autoZero"/>
        <c:auto val="1"/>
        <c:lblAlgn val="ctr"/>
        <c:lblOffset val="100"/>
        <c:noMultiLvlLbl val="0"/>
      </c:catAx>
      <c:valAx>
        <c:axId val="1923973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2379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manualLayout>
          <c:xMode val="edge"/>
          <c:yMode val="edge"/>
          <c:x val="0.21675"/>
          <c:y val="0.0532906231799651"/>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3"/>
              <c:layout>
                <c:manualLayout>
                  <c:x val="0.0186430147919914"/>
                  <c:y val="-0.01564365557890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0.00%</c:formatCode>
                <c:ptCount val="4"/>
                <c:pt idx="0">
                  <c:v>0.8654</c:v>
                </c:pt>
                <c:pt idx="1">
                  <c:v>0.0513</c:v>
                </c:pt>
                <c:pt idx="2">
                  <c:v>0.0421</c:v>
                </c:pt>
                <c:pt idx="3">
                  <c:v>0.0412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800" b="1" i="0" u="none" strike="noStrike" baseline="0"/>
              <a:t>“三公”经费财政拨款支出结构</a:t>
            </a:r>
            <a:endParaRPr lang="zh-CN" altLang="en-US"/>
          </a:p>
        </c:rich>
      </c:tx>
      <c:layout>
        <c:manualLayout>
          <c:xMode val="edge"/>
          <c:yMode val="edge"/>
          <c:x val="0.200337105706718"/>
          <c:y val="0.0135216346153846"/>
        </c:manualLayout>
      </c:layout>
      <c:overlay val="0"/>
    </c:title>
    <c:autoTitleDeleted val="0"/>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Lbls>
            <c:dLbl>
              <c:idx val="0"/>
              <c:layout>
                <c:manualLayout>
                  <c:x val="-0.203125716918421"/>
                  <c:y val="0.2049857829620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233043943188777"/>
                  <c:y val="0.31475715690337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241993739465447"/>
                  <c:y val="0.075120192307692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formatCode="0%">
                  <c:v>1</c:v>
                </c:pt>
                <c:pt idx="2">
                  <c:v>0</c:v>
                </c:pt>
              </c:numCache>
            </c:numRef>
          </c:val>
        </c:ser>
        <c:dLbls>
          <c:showLegendKey val="0"/>
          <c:showVal val="1"/>
          <c:showCatName val="1"/>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63</Pages>
  <Words>12664</Words>
  <Characters>1956</Characters>
  <Lines>16</Lines>
  <Paragraphs>29</Paragraphs>
  <TotalTime>0</TotalTime>
  <ScaleCrop>false</ScaleCrop>
  <LinksUpToDate>false</LinksUpToDate>
  <CharactersWithSpaces>14591</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2023-10-12T02:25:00Z</dcterms:created>
  <dc:creator>曹颖</dc:creator>
  <cp:lastModifiedBy>PC</cp:lastModifiedBy>
  <cp:lastPrinted>2023-08-01T02:35:00Z</cp:lastPrinted>
  <dcterms:modified xsi:type="dcterms:W3CDTF">2023-10-25T02:57:21Z</dcterms:modified>
  <dc:title>四川省***</dc:title>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