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9"/>
        <w:rPr>
          <w:rFonts w:ascii="方正小标宋简体" w:hAnsi="宋体" w:eastAsia="方正小标宋简体"/>
          <w:szCs w:val="21"/>
        </w:rPr>
      </w:pPr>
      <w:bookmarkStart w:id="0"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9"/>
        <w:rPr>
          <w:rFonts w:ascii="方正小标宋简体" w:hAnsi="方正小标宋简体" w:eastAsia="方正小标宋简体" w:cs="方正小标宋简体"/>
          <w:sz w:val="72"/>
          <w:szCs w:val="72"/>
        </w:rPr>
      </w:pPr>
      <w:bookmarkStart w:id="1" w:name="_Toc15377193"/>
      <w:bookmarkStart w:id="2" w:name="_Toc15396475"/>
      <w:bookmarkStart w:id="3" w:name="_Toc15396597"/>
      <w:bookmarkStart w:id="4" w:name="_Toc15377425"/>
      <w:bookmarkStart w:id="5" w:name="_Toc15378441"/>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p>
    <w:bookmarkEnd w:id="0"/>
    <w:p>
      <w:pPr>
        <w:adjustRightInd w:val="0"/>
        <w:snapToGrid w:val="0"/>
        <w:spacing w:line="360" w:lineRule="auto"/>
        <w:jc w:val="center"/>
        <w:outlineLvl w:val="9"/>
        <w:rPr>
          <w:rFonts w:hint="eastAsia" w:ascii="方正小标宋简体" w:hAnsi="方正小标宋简体" w:eastAsia="方正小标宋简体" w:cs="方正小标宋简体"/>
          <w:sz w:val="72"/>
          <w:szCs w:val="72"/>
          <w:lang w:val="en-US" w:eastAsia="zh-CN"/>
        </w:rPr>
      </w:pPr>
      <w:bookmarkStart w:id="6" w:name="_Toc15377426"/>
      <w:bookmarkStart w:id="7" w:name="_Toc15378442"/>
      <w:bookmarkStart w:id="8" w:name="_Toc15377194"/>
      <w:bookmarkStart w:id="9" w:name="_Toc15396476"/>
      <w:bookmarkStart w:id="10" w:name="_Toc15396598"/>
      <w:bookmarkStart w:id="11" w:name="_Toc15306268"/>
      <w:r>
        <w:rPr>
          <w:rFonts w:hint="eastAsia" w:ascii="方正小标宋简体" w:hAnsi="方正小标宋简体" w:eastAsia="方正小标宋简体" w:cs="方正小标宋简体"/>
          <w:sz w:val="72"/>
          <w:szCs w:val="72"/>
          <w:lang w:val="en-US" w:eastAsia="zh-CN"/>
        </w:rPr>
        <w:t>盐边县社会保险事务中心</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val="en-US" w:eastAsia="zh-CN"/>
        </w:rPr>
        <w:t>公开</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公开时间：2023年</w:t>
      </w:r>
      <w:r>
        <w:rPr>
          <w:rFonts w:hint="eastAsia"/>
          <w:lang w:val="en-US" w:eastAsia="zh-CN"/>
        </w:rPr>
        <w:t>10</w:t>
      </w:r>
      <w:r>
        <w:rPr>
          <w:rFonts w:hint="eastAsia"/>
        </w:rPr>
        <w:t>月</w:t>
      </w:r>
      <w:r>
        <w:rPr>
          <w:rFonts w:hint="eastAsia"/>
          <w:lang w:val="en-US" w:eastAsia="zh-CN"/>
        </w:rPr>
        <w:t>26</w:t>
      </w:r>
      <w:r>
        <w:rPr>
          <w:rFonts w:hint="eastAsia"/>
        </w:rPr>
        <w:t>日</w:t>
      </w:r>
      <w:bookmarkStart w:id="96" w:name="_GoBack"/>
      <w:bookmarkEnd w:id="96"/>
    </w:p>
    <w:p/>
    <w:sdt>
      <w:sdtPr>
        <w:rPr>
          <w:rFonts w:ascii="宋体" w:hAnsi="宋体" w:eastAsia="宋体" w:cs="Times New Roman"/>
          <w:kern w:val="2"/>
          <w:sz w:val="21"/>
          <w:szCs w:val="24"/>
          <w:lang w:val="en-US" w:eastAsia="zh-CN" w:bidi="ar-SA"/>
        </w:rPr>
        <w:id w:val="147468507"/>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pPr>
        </w:p>
        <w:p>
          <w:pPr>
            <w:pStyle w:val="1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line="560" w:lineRule="exact"/>
            <w:ind w:left="0" w:leftChars="0"/>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"1-3" \h \u </w:instrText>
          </w:r>
          <w:r>
            <w:rPr>
              <w:rFonts w:hint="eastAsia" w:ascii="宋体" w:hAnsi="宋体" w:eastAsia="宋体" w:cs="宋体"/>
              <w:sz w:val="24"/>
              <w:szCs w:val="24"/>
            </w:rPr>
            <w:fldChar w:fldCharType="separate"/>
          </w:r>
          <w:r>
            <w:rPr>
              <w:rFonts w:hint="eastAsia" w:ascii="宋体" w:hAnsi="宋体" w:eastAsia="宋体" w:cs="宋体"/>
              <w:szCs w:val="24"/>
            </w:rPr>
            <w:fldChar w:fldCharType="begin"/>
          </w:r>
          <w:r>
            <w:rPr>
              <w:rFonts w:hint="eastAsia" w:ascii="宋体" w:hAnsi="宋体" w:eastAsia="宋体" w:cs="宋体"/>
              <w:szCs w:val="24"/>
            </w:rPr>
            <w:instrText xml:space="preserve"> HYPERLINK \l _Toc8477 </w:instrText>
          </w:r>
          <w:r>
            <w:rPr>
              <w:rFonts w:hint="eastAsia" w:ascii="宋体" w:hAnsi="宋体" w:eastAsia="宋体" w:cs="宋体"/>
              <w:szCs w:val="24"/>
            </w:rPr>
            <w:fldChar w:fldCharType="separate"/>
          </w:r>
          <w:r>
            <w:rPr>
              <w:rFonts w:hint="default" w:ascii="Times New Roman" w:hAnsi="Times New Roman" w:eastAsia="黑体" w:cs="Times New Roman"/>
            </w:rPr>
            <w:t>第一部分 单位</w:t>
          </w:r>
          <w:r>
            <w:rPr>
              <w:rFonts w:hint="default" w:ascii="Times New Roman" w:hAnsi="Times New Roman" w:eastAsia="黑体" w:cs="Times New Roman"/>
              <w:bCs w:val="0"/>
            </w:rPr>
            <w:t>概况</w:t>
          </w:r>
          <w: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_Toc8477 \h </w:instrText>
          </w:r>
          <w:r>
            <w:rPr>
              <w:rFonts w:hint="eastAsia" w:ascii="黑体" w:hAnsi="黑体" w:eastAsia="黑体" w:cs="黑体"/>
              <w:sz w:val="21"/>
              <w:szCs w:val="21"/>
            </w:rPr>
            <w:fldChar w:fldCharType="separate"/>
          </w:r>
          <w:r>
            <w:rPr>
              <w:rFonts w:hint="eastAsia" w:ascii="黑体" w:hAnsi="黑体" w:eastAsia="黑体" w:cs="黑体"/>
              <w:sz w:val="21"/>
              <w:szCs w:val="21"/>
            </w:rPr>
            <w:t>1</w:t>
          </w:r>
          <w:r>
            <w:rPr>
              <w:rFonts w:hint="eastAsia" w:ascii="黑体" w:hAnsi="黑体" w:eastAsia="黑体" w:cs="黑体"/>
              <w:sz w:val="21"/>
              <w:szCs w:val="21"/>
            </w:rPr>
            <w:fldChar w:fldCharType="end"/>
          </w:r>
          <w:r>
            <w:rPr>
              <w:rFonts w:hint="eastAsia" w:ascii="宋体" w:hAnsi="宋体" w:eastAsia="宋体" w:cs="宋体"/>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_Toc22331 </w:instrText>
          </w:r>
          <w:r>
            <w:rPr>
              <w:rFonts w:hint="eastAsia" w:ascii="黑体" w:hAnsi="黑体" w:eastAsia="黑体"/>
            </w:rPr>
            <w:fldChar w:fldCharType="separate"/>
          </w:r>
          <w:r>
            <w:rPr>
              <w:rFonts w:hint="eastAsia" w:ascii="黑体" w:hAnsi="黑体" w:eastAsia="黑体"/>
            </w:rPr>
            <w:t>一、</w:t>
          </w:r>
          <w:r>
            <w:rPr>
              <w:rFonts w:hint="default" w:ascii="黑体" w:hAnsi="黑体" w:eastAsia="黑体"/>
            </w:rPr>
            <w:t>主要职责</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_Toc22331 \h </w:instrText>
          </w:r>
          <w:r>
            <w:rPr>
              <w:rFonts w:hint="eastAsia" w:ascii="黑体" w:hAnsi="黑体" w:eastAsia="黑体"/>
            </w:rPr>
            <w:fldChar w:fldCharType="separate"/>
          </w:r>
          <w:r>
            <w:rPr>
              <w:rFonts w:hint="eastAsia" w:ascii="黑体" w:hAnsi="黑体" w:eastAsia="黑体"/>
            </w:rPr>
            <w:t>1</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pPr>
          <w:r>
            <w:rPr>
              <w:rFonts w:hint="eastAsia" w:ascii="黑体" w:hAnsi="黑体" w:eastAsia="黑体"/>
            </w:rPr>
            <w:fldChar w:fldCharType="begin"/>
          </w:r>
          <w:r>
            <w:rPr>
              <w:rFonts w:hint="eastAsia" w:ascii="黑体" w:hAnsi="黑体" w:eastAsia="黑体"/>
            </w:rPr>
            <w:instrText xml:space="preserve"> HYPERLINK \l _Toc1892 </w:instrText>
          </w:r>
          <w:r>
            <w:rPr>
              <w:rFonts w:hint="eastAsia" w:ascii="黑体" w:hAnsi="黑体" w:eastAsia="黑体"/>
            </w:rPr>
            <w:fldChar w:fldCharType="separate"/>
          </w:r>
          <w:r>
            <w:rPr>
              <w:rFonts w:hint="eastAsia" w:ascii="黑体" w:hAnsi="黑体" w:eastAsia="黑体"/>
            </w:rPr>
            <w:t>二、</w:t>
          </w:r>
          <w:r>
            <w:rPr>
              <w:rFonts w:hint="default" w:ascii="黑体" w:hAnsi="黑体" w:eastAsia="黑体"/>
            </w:rPr>
            <w:t>机构设置</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_Toc1892 \h </w:instrText>
          </w:r>
          <w:r>
            <w:rPr>
              <w:rFonts w:hint="eastAsia" w:ascii="黑体" w:hAnsi="黑体" w:eastAsia="黑体"/>
            </w:rPr>
            <w:fldChar w:fldCharType="separate"/>
          </w:r>
          <w:r>
            <w:rPr>
              <w:rFonts w:hint="eastAsia" w:ascii="黑体" w:hAnsi="黑体" w:eastAsia="黑体"/>
            </w:rPr>
            <w:t>1</w:t>
          </w:r>
          <w:r>
            <w:rPr>
              <w:rFonts w:hint="eastAsia" w:ascii="黑体" w:hAnsi="黑体" w:eastAsia="黑体"/>
            </w:rPr>
            <w:fldChar w:fldCharType="end"/>
          </w:r>
          <w:r>
            <w:rPr>
              <w:rFonts w:hint="eastAsia" w:ascii="黑体" w:hAnsi="黑体" w:eastAsia="黑体"/>
            </w:rPr>
            <w:fldChar w:fldCharType="end"/>
          </w:r>
        </w:p>
        <w:p>
          <w:pPr>
            <w:pStyle w:val="1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line="560" w:lineRule="exact"/>
            <w:ind w:left="0" w:leftChars="0"/>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_Toc29326 </w:instrText>
          </w:r>
          <w:r>
            <w:rPr>
              <w:rFonts w:hint="eastAsia" w:ascii="宋体" w:hAnsi="宋体" w:eastAsia="宋体" w:cs="宋体"/>
              <w:szCs w:val="24"/>
            </w:rPr>
            <w:fldChar w:fldCharType="separate"/>
          </w:r>
          <w:r>
            <w:rPr>
              <w:rFonts w:hint="eastAsia" w:ascii="黑体" w:hAnsi="黑体" w:eastAsia="黑体"/>
            </w:rPr>
            <w:t>第二部分 2022年度</w:t>
          </w:r>
          <w:r>
            <w:rPr>
              <w:rFonts w:hint="eastAsia" w:ascii="黑体" w:hAnsi="黑体" w:eastAsia="黑体"/>
              <w:bCs/>
            </w:rPr>
            <w:t>单位决算情况说明</w:t>
          </w:r>
          <w: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_Toc29326 \h </w:instrText>
          </w:r>
          <w:r>
            <w:rPr>
              <w:rFonts w:hint="eastAsia" w:ascii="黑体" w:hAnsi="黑体" w:eastAsia="黑体" w:cs="黑体"/>
              <w:sz w:val="21"/>
              <w:szCs w:val="21"/>
            </w:rPr>
            <w:fldChar w:fldCharType="separate"/>
          </w:r>
          <w:r>
            <w:rPr>
              <w:rFonts w:hint="eastAsia" w:ascii="黑体" w:hAnsi="黑体" w:eastAsia="黑体" w:cs="黑体"/>
              <w:sz w:val="21"/>
              <w:szCs w:val="21"/>
            </w:rPr>
            <w:t>2</w:t>
          </w:r>
          <w:r>
            <w:rPr>
              <w:rFonts w:hint="eastAsia" w:ascii="黑体" w:hAnsi="黑体" w:eastAsia="黑体" w:cs="黑体"/>
              <w:sz w:val="21"/>
              <w:szCs w:val="21"/>
            </w:rPr>
            <w:fldChar w:fldCharType="end"/>
          </w:r>
          <w:r>
            <w:rPr>
              <w:rFonts w:hint="eastAsia" w:ascii="宋体" w:hAnsi="宋体" w:eastAsia="宋体" w:cs="宋体"/>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_Toc9356 </w:instrText>
          </w:r>
          <w:r>
            <w:rPr>
              <w:rFonts w:hint="eastAsia" w:ascii="黑体" w:hAnsi="黑体" w:eastAsia="黑体"/>
            </w:rPr>
            <w:fldChar w:fldCharType="separate"/>
          </w:r>
          <w:r>
            <w:rPr>
              <w:rFonts w:hint="default" w:ascii="黑体" w:hAnsi="黑体" w:eastAsia="黑体"/>
            </w:rPr>
            <w:t>一、</w:t>
          </w:r>
          <w:r>
            <w:rPr>
              <w:rFonts w:hint="eastAsia" w:ascii="黑体" w:hAnsi="黑体" w:eastAsia="黑体"/>
            </w:rPr>
            <w:t>收入支出决算总体情况说明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_Toc9356 \h </w:instrText>
          </w:r>
          <w:r>
            <w:rPr>
              <w:rFonts w:hint="default" w:ascii="黑体" w:hAnsi="黑体" w:eastAsia="黑体"/>
            </w:rPr>
            <w:fldChar w:fldCharType="separate"/>
          </w:r>
          <w:r>
            <w:rPr>
              <w:rFonts w:hint="default" w:ascii="黑体" w:hAnsi="黑体" w:eastAsia="黑体"/>
            </w:rPr>
            <w:t>2</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_Toc16593 </w:instrText>
          </w:r>
          <w:r>
            <w:rPr>
              <w:rFonts w:hint="eastAsia" w:ascii="黑体" w:hAnsi="黑体" w:eastAsia="黑体"/>
            </w:rPr>
            <w:fldChar w:fldCharType="separate"/>
          </w:r>
          <w:r>
            <w:rPr>
              <w:rFonts w:hint="eastAsia" w:ascii="黑体" w:hAnsi="黑体" w:eastAsia="黑体"/>
              <w:lang w:val="en-US" w:eastAsia="zh-CN"/>
            </w:rPr>
            <w:t>二、</w:t>
          </w:r>
          <w:r>
            <w:rPr>
              <w:rFonts w:hint="eastAsia" w:ascii="黑体" w:hAnsi="黑体" w:eastAsia="黑体"/>
            </w:rPr>
            <w:t>收入决算情况说明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_Toc16593 \h </w:instrText>
          </w:r>
          <w:r>
            <w:rPr>
              <w:rFonts w:hint="default" w:ascii="黑体" w:hAnsi="黑体" w:eastAsia="黑体"/>
            </w:rPr>
            <w:fldChar w:fldCharType="separate"/>
          </w:r>
          <w:r>
            <w:rPr>
              <w:rFonts w:hint="default" w:ascii="黑体" w:hAnsi="黑体" w:eastAsia="黑体"/>
            </w:rPr>
            <w:t>2</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_Toc28473 </w:instrText>
          </w:r>
          <w:r>
            <w:rPr>
              <w:rFonts w:hint="eastAsia" w:ascii="黑体" w:hAnsi="黑体" w:eastAsia="黑体"/>
            </w:rPr>
            <w:fldChar w:fldCharType="separate"/>
          </w:r>
          <w:r>
            <w:rPr>
              <w:rFonts w:hint="eastAsia" w:ascii="黑体" w:hAnsi="黑体" w:eastAsia="黑体"/>
              <w:lang w:val="en-US" w:eastAsia="zh-CN"/>
            </w:rPr>
            <w:t>三、</w:t>
          </w:r>
          <w:r>
            <w:rPr>
              <w:rFonts w:hint="eastAsia" w:ascii="黑体" w:hAnsi="黑体" w:eastAsia="黑体"/>
            </w:rPr>
            <w:t>支出决算情况说明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_Toc28473 \h </w:instrText>
          </w:r>
          <w:r>
            <w:rPr>
              <w:rFonts w:hint="default" w:ascii="黑体" w:hAnsi="黑体" w:eastAsia="黑体"/>
            </w:rPr>
            <w:fldChar w:fldCharType="separate"/>
          </w:r>
          <w:r>
            <w:rPr>
              <w:rFonts w:hint="default" w:ascii="黑体" w:hAnsi="黑体" w:eastAsia="黑体"/>
            </w:rPr>
            <w:t>3</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_Toc19596 </w:instrText>
          </w:r>
          <w:r>
            <w:rPr>
              <w:rFonts w:hint="eastAsia" w:ascii="黑体" w:hAnsi="黑体" w:eastAsia="黑体"/>
            </w:rPr>
            <w:fldChar w:fldCharType="separate"/>
          </w:r>
          <w:r>
            <w:rPr>
              <w:rFonts w:hint="eastAsia" w:ascii="黑体" w:hAnsi="黑体" w:eastAsia="黑体"/>
            </w:rPr>
            <w:t>四、财政拨款收入支出决算总体情况说明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_Toc19596 \h </w:instrText>
          </w:r>
          <w:r>
            <w:rPr>
              <w:rFonts w:hint="default" w:ascii="黑体" w:hAnsi="黑体" w:eastAsia="黑体"/>
            </w:rPr>
            <w:fldChar w:fldCharType="separate"/>
          </w:r>
          <w:r>
            <w:rPr>
              <w:rFonts w:hint="default" w:ascii="黑体" w:hAnsi="黑体" w:eastAsia="黑体"/>
            </w:rPr>
            <w:t>4</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_Toc25695 </w:instrText>
          </w:r>
          <w:r>
            <w:rPr>
              <w:rFonts w:hint="eastAsia" w:ascii="黑体" w:hAnsi="黑体" w:eastAsia="黑体"/>
            </w:rPr>
            <w:fldChar w:fldCharType="separate"/>
          </w:r>
          <w:r>
            <w:rPr>
              <w:rFonts w:hint="eastAsia" w:ascii="黑体" w:hAnsi="黑体" w:eastAsia="黑体"/>
            </w:rPr>
            <w:t>五、一般公共预算财政拨款支出决算情况说明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_Toc25695 \h </w:instrText>
          </w:r>
          <w:r>
            <w:rPr>
              <w:rFonts w:hint="default" w:ascii="黑体" w:hAnsi="黑体" w:eastAsia="黑体"/>
            </w:rPr>
            <w:fldChar w:fldCharType="separate"/>
          </w:r>
          <w:r>
            <w:rPr>
              <w:rFonts w:hint="default" w:ascii="黑体" w:hAnsi="黑体" w:eastAsia="黑体"/>
            </w:rPr>
            <w:t>4</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_Toc4398 </w:instrText>
          </w:r>
          <w:r>
            <w:rPr>
              <w:rFonts w:hint="eastAsia" w:ascii="黑体" w:hAnsi="黑体" w:eastAsia="黑体"/>
            </w:rPr>
            <w:fldChar w:fldCharType="separate"/>
          </w:r>
          <w:r>
            <w:rPr>
              <w:rFonts w:hint="eastAsia" w:ascii="黑体" w:hAnsi="黑体" w:eastAsia="黑体"/>
            </w:rPr>
            <w:t>六、一般公共预算财政拨款基本支出决算情况说明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_Toc4398 \h </w:instrText>
          </w:r>
          <w:r>
            <w:rPr>
              <w:rFonts w:hint="default" w:ascii="黑体" w:hAnsi="黑体" w:eastAsia="黑体"/>
            </w:rPr>
            <w:fldChar w:fldCharType="separate"/>
          </w:r>
          <w:r>
            <w:rPr>
              <w:rFonts w:hint="default" w:ascii="黑体" w:hAnsi="黑体" w:eastAsia="黑体"/>
            </w:rPr>
            <w:t>7</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_Toc25304 </w:instrText>
          </w:r>
          <w:r>
            <w:rPr>
              <w:rFonts w:hint="eastAsia" w:ascii="黑体" w:hAnsi="黑体" w:eastAsia="黑体"/>
            </w:rPr>
            <w:fldChar w:fldCharType="separate"/>
          </w:r>
          <w:r>
            <w:rPr>
              <w:rFonts w:hint="eastAsia" w:ascii="黑体" w:hAnsi="黑体" w:eastAsia="黑体"/>
            </w:rPr>
            <w:t>七、财政拨款“三公”经费支出决算情况说明</w:t>
          </w:r>
          <w:r>
            <w:rPr>
              <w:rFonts w:hint="default" w:ascii="黑体" w:hAnsi="黑体" w:eastAsia="黑体"/>
            </w:rPr>
            <w:tab/>
          </w:r>
          <w:r>
            <w:rPr>
              <w:rFonts w:hint="default" w:ascii="黑体" w:hAnsi="黑体" w:eastAsia="黑体" w:cs="黑体"/>
              <w:kern w:val="2"/>
              <w:sz w:val="21"/>
              <w:szCs w:val="21"/>
              <w:lang w:val="en-US" w:eastAsia="zh-CN" w:bidi="ar-SA"/>
            </w:rPr>
            <w:fldChar w:fldCharType="begin"/>
          </w:r>
          <w:r>
            <w:rPr>
              <w:rFonts w:hint="default" w:ascii="黑体" w:hAnsi="黑体" w:eastAsia="黑体" w:cs="黑体"/>
              <w:kern w:val="2"/>
              <w:sz w:val="21"/>
              <w:szCs w:val="21"/>
              <w:lang w:val="en-US" w:eastAsia="zh-CN" w:bidi="ar-SA"/>
            </w:rPr>
            <w:instrText xml:space="preserve"> PAGEREF _Toc25304 \h </w:instrText>
          </w:r>
          <w:r>
            <w:rPr>
              <w:rFonts w:hint="default" w:ascii="黑体" w:hAnsi="黑体" w:eastAsia="黑体" w:cs="黑体"/>
              <w:kern w:val="2"/>
              <w:sz w:val="21"/>
              <w:szCs w:val="21"/>
              <w:lang w:val="en-US" w:eastAsia="zh-CN" w:bidi="ar-SA"/>
            </w:rPr>
            <w:fldChar w:fldCharType="separate"/>
          </w:r>
          <w:r>
            <w:rPr>
              <w:rFonts w:hint="default" w:ascii="黑体" w:hAnsi="黑体" w:eastAsia="黑体" w:cs="黑体"/>
              <w:kern w:val="2"/>
              <w:sz w:val="21"/>
              <w:szCs w:val="21"/>
              <w:lang w:val="en-US" w:eastAsia="zh-CN" w:bidi="ar-SA"/>
            </w:rPr>
            <w:t>8</w:t>
          </w:r>
          <w:r>
            <w:rPr>
              <w:rFonts w:hint="default" w:ascii="黑体" w:hAnsi="黑体" w:eastAsia="黑体" w:cs="黑体"/>
              <w:kern w:val="2"/>
              <w:sz w:val="21"/>
              <w:szCs w:val="21"/>
              <w:lang w:val="en-US" w:eastAsia="zh-CN" w:bidi="ar-SA"/>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_Toc1736 </w:instrText>
          </w:r>
          <w:r>
            <w:rPr>
              <w:rFonts w:hint="eastAsia" w:ascii="黑体" w:hAnsi="黑体" w:eastAsia="黑体"/>
            </w:rPr>
            <w:fldChar w:fldCharType="separate"/>
          </w:r>
          <w:r>
            <w:rPr>
              <w:rFonts w:hint="eastAsia" w:ascii="黑体" w:hAnsi="黑体" w:eastAsia="黑体"/>
            </w:rPr>
            <w:t>八</w:t>
          </w:r>
          <w:r>
            <w:rPr>
              <w:rFonts w:hint="eastAsia" w:ascii="黑体" w:hAnsi="黑体" w:eastAsia="黑体"/>
              <w:lang w:eastAsia="zh-CN"/>
            </w:rPr>
            <w:t>、</w:t>
          </w:r>
          <w:r>
            <w:rPr>
              <w:rFonts w:hint="eastAsia" w:ascii="黑体" w:hAnsi="黑体" w:eastAsia="黑体"/>
            </w:rPr>
            <w:t>政府性基金预算支出决算情况说明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_Toc1736 \h </w:instrText>
          </w:r>
          <w:r>
            <w:rPr>
              <w:rFonts w:hint="default" w:ascii="黑体" w:hAnsi="黑体" w:eastAsia="黑体"/>
            </w:rPr>
            <w:fldChar w:fldCharType="separate"/>
          </w:r>
          <w:r>
            <w:rPr>
              <w:rFonts w:hint="default" w:ascii="黑体" w:hAnsi="黑体" w:eastAsia="黑体"/>
            </w:rPr>
            <w:t>9</w:t>
          </w:r>
          <w:r>
            <w:rPr>
              <w:rFonts w:hint="default"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default"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_Toc11425 </w:instrText>
          </w:r>
          <w:r>
            <w:rPr>
              <w:rFonts w:hint="eastAsia" w:ascii="黑体" w:hAnsi="黑体" w:eastAsia="黑体"/>
            </w:rPr>
            <w:fldChar w:fldCharType="separate"/>
          </w:r>
          <w:r>
            <w:rPr>
              <w:rFonts w:hint="eastAsia" w:ascii="黑体" w:hAnsi="黑体" w:eastAsia="黑体"/>
            </w:rPr>
            <w:t>九、国有资本经营预算支出决算情况说明</w:t>
          </w:r>
          <w:r>
            <w:rPr>
              <w:rFonts w:hint="default" w:ascii="黑体" w:hAnsi="黑体" w:eastAsia="黑体"/>
            </w:rPr>
            <w:tab/>
          </w:r>
          <w:r>
            <w:rPr>
              <w:rFonts w:hint="default" w:ascii="黑体" w:hAnsi="黑体" w:eastAsia="黑体" w:cs="黑体"/>
              <w:kern w:val="2"/>
              <w:sz w:val="21"/>
              <w:szCs w:val="21"/>
              <w:lang w:val="en-US" w:eastAsia="zh-CN" w:bidi="ar-SA"/>
            </w:rPr>
            <w:fldChar w:fldCharType="begin"/>
          </w:r>
          <w:r>
            <w:rPr>
              <w:rFonts w:hint="default" w:ascii="黑体" w:hAnsi="黑体" w:eastAsia="黑体" w:cs="黑体"/>
              <w:kern w:val="2"/>
              <w:sz w:val="21"/>
              <w:szCs w:val="21"/>
              <w:lang w:val="en-US" w:eastAsia="zh-CN" w:bidi="ar-SA"/>
            </w:rPr>
            <w:instrText xml:space="preserve"> PAGEREF _Toc11425 \h </w:instrText>
          </w:r>
          <w:r>
            <w:rPr>
              <w:rFonts w:hint="default" w:ascii="黑体" w:hAnsi="黑体" w:eastAsia="黑体" w:cs="黑体"/>
              <w:kern w:val="2"/>
              <w:sz w:val="21"/>
              <w:szCs w:val="21"/>
              <w:lang w:val="en-US" w:eastAsia="zh-CN" w:bidi="ar-SA"/>
            </w:rPr>
            <w:fldChar w:fldCharType="separate"/>
          </w:r>
          <w:r>
            <w:rPr>
              <w:rFonts w:hint="default" w:ascii="黑体" w:hAnsi="黑体" w:eastAsia="黑体" w:cs="黑体"/>
              <w:kern w:val="2"/>
              <w:sz w:val="21"/>
              <w:szCs w:val="21"/>
              <w:lang w:val="en-US" w:eastAsia="zh-CN" w:bidi="ar-SA"/>
            </w:rPr>
            <w:t>9</w:t>
          </w:r>
          <w:r>
            <w:rPr>
              <w:rFonts w:hint="default" w:ascii="黑体" w:hAnsi="黑体" w:eastAsia="黑体" w:cs="黑体"/>
              <w:kern w:val="2"/>
              <w:sz w:val="21"/>
              <w:szCs w:val="21"/>
              <w:lang w:val="en-US" w:eastAsia="zh-CN" w:bidi="ar-SA"/>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pPr>
          <w:r>
            <w:rPr>
              <w:rFonts w:hint="eastAsia" w:ascii="黑体" w:hAnsi="黑体" w:eastAsia="黑体"/>
            </w:rPr>
            <w:fldChar w:fldCharType="begin"/>
          </w:r>
          <w:r>
            <w:rPr>
              <w:rFonts w:hint="eastAsia" w:ascii="黑体" w:hAnsi="黑体" w:eastAsia="黑体"/>
            </w:rPr>
            <w:instrText xml:space="preserve"> HYPERLINK \l _Toc12486 </w:instrText>
          </w:r>
          <w:r>
            <w:rPr>
              <w:rFonts w:hint="eastAsia" w:ascii="黑体" w:hAnsi="黑体" w:eastAsia="黑体"/>
            </w:rPr>
            <w:fldChar w:fldCharType="separate"/>
          </w:r>
          <w:r>
            <w:rPr>
              <w:rFonts w:hint="eastAsia" w:ascii="黑体" w:hAnsi="黑体" w:eastAsia="黑体"/>
            </w:rPr>
            <w:t>十、其他重要事项的情况说明</w:t>
          </w:r>
          <w:r>
            <w:rPr>
              <w:rFonts w:hint="default" w:ascii="黑体" w:hAnsi="黑体" w:eastAsia="黑体"/>
            </w:rPr>
            <w:tab/>
          </w:r>
          <w:r>
            <w:rPr>
              <w:rFonts w:hint="default" w:ascii="黑体" w:hAnsi="黑体" w:eastAsia="黑体"/>
            </w:rPr>
            <w:fldChar w:fldCharType="begin"/>
          </w:r>
          <w:r>
            <w:rPr>
              <w:rFonts w:hint="default" w:ascii="黑体" w:hAnsi="黑体" w:eastAsia="黑体"/>
            </w:rPr>
            <w:instrText xml:space="preserve"> PAGEREF _Toc12486 \h </w:instrText>
          </w:r>
          <w:r>
            <w:rPr>
              <w:rFonts w:hint="default" w:ascii="黑体" w:hAnsi="黑体" w:eastAsia="黑体"/>
            </w:rPr>
            <w:fldChar w:fldCharType="separate"/>
          </w:r>
          <w:r>
            <w:rPr>
              <w:rFonts w:hint="default" w:ascii="黑体" w:hAnsi="黑体" w:eastAsia="黑体"/>
            </w:rPr>
            <w:t>9</w:t>
          </w:r>
          <w:r>
            <w:rPr>
              <w:rFonts w:hint="default" w:ascii="黑体" w:hAnsi="黑体" w:eastAsia="黑体"/>
            </w:rPr>
            <w:fldChar w:fldCharType="end"/>
          </w:r>
          <w:r>
            <w:rPr>
              <w:rFonts w:hint="eastAsia" w:ascii="黑体" w:hAnsi="黑体" w:eastAsia="黑体"/>
            </w:rPr>
            <w:fldChar w:fldCharType="end"/>
          </w:r>
        </w:p>
        <w:p>
          <w:pPr>
            <w:pStyle w:val="1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line="560" w:lineRule="exact"/>
            <w:ind w:left="0" w:leftChars="0"/>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_Toc826 </w:instrText>
          </w:r>
          <w:r>
            <w:rPr>
              <w:rFonts w:hint="eastAsia" w:ascii="宋体" w:hAnsi="宋体" w:eastAsia="宋体" w:cs="宋体"/>
              <w:szCs w:val="24"/>
            </w:rPr>
            <w:fldChar w:fldCharType="separate"/>
          </w:r>
          <w:r>
            <w:rPr>
              <w:rFonts w:hint="eastAsia" w:ascii="黑体" w:hAnsi="黑体" w:eastAsia="黑体" w:cs="黑体"/>
              <w:szCs w:val="44"/>
            </w:rPr>
            <w:t>第三部分 名词解释</w:t>
          </w:r>
          <w: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_Toc826 \h </w:instrText>
          </w:r>
          <w:r>
            <w:rPr>
              <w:rFonts w:hint="eastAsia" w:ascii="黑体" w:hAnsi="黑体" w:eastAsia="黑体" w:cs="黑体"/>
              <w:sz w:val="21"/>
              <w:szCs w:val="21"/>
            </w:rPr>
            <w:fldChar w:fldCharType="separate"/>
          </w:r>
          <w:r>
            <w:rPr>
              <w:rFonts w:hint="eastAsia" w:ascii="黑体" w:hAnsi="黑体" w:eastAsia="黑体" w:cs="黑体"/>
              <w:sz w:val="21"/>
              <w:szCs w:val="21"/>
            </w:rPr>
            <w:t>11</w:t>
          </w:r>
          <w:r>
            <w:rPr>
              <w:rFonts w:hint="eastAsia" w:ascii="黑体" w:hAnsi="黑体" w:eastAsia="黑体" w:cs="黑体"/>
              <w:sz w:val="21"/>
              <w:szCs w:val="21"/>
            </w:rPr>
            <w:fldChar w:fldCharType="end"/>
          </w:r>
          <w:r>
            <w:rPr>
              <w:rFonts w:hint="eastAsia" w:ascii="宋体" w:hAnsi="宋体" w:eastAsia="宋体" w:cs="宋体"/>
              <w:szCs w:val="24"/>
            </w:rPr>
            <w:fldChar w:fldCharType="end"/>
          </w:r>
        </w:p>
        <w:p>
          <w:pPr>
            <w:pStyle w:val="1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line="560" w:lineRule="exact"/>
            <w:ind w:left="0" w:leftChars="0"/>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_Toc28520 </w:instrText>
          </w:r>
          <w:r>
            <w:rPr>
              <w:rFonts w:hint="eastAsia" w:ascii="宋体" w:hAnsi="宋体" w:eastAsia="宋体" w:cs="宋体"/>
              <w:szCs w:val="24"/>
            </w:rPr>
            <w:fldChar w:fldCharType="separate"/>
          </w:r>
          <w:r>
            <w:rPr>
              <w:rFonts w:hint="eastAsia" w:ascii="黑体" w:hAnsi="黑体" w:eastAsia="黑体"/>
              <w:szCs w:val="44"/>
            </w:rPr>
            <w:t>第</w:t>
          </w:r>
          <w:r>
            <w:rPr>
              <w:rFonts w:hint="eastAsia" w:ascii="黑体" w:hAnsi="黑体" w:eastAsia="黑体"/>
            </w:rPr>
            <w:t>四部分 附件</w:t>
          </w:r>
          <w: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_Toc28520 \h </w:instrText>
          </w:r>
          <w:r>
            <w:rPr>
              <w:rFonts w:hint="eastAsia" w:ascii="黑体" w:hAnsi="黑体" w:eastAsia="黑体" w:cs="黑体"/>
              <w:sz w:val="21"/>
              <w:szCs w:val="21"/>
            </w:rPr>
            <w:fldChar w:fldCharType="separate"/>
          </w:r>
          <w:r>
            <w:rPr>
              <w:rFonts w:hint="eastAsia" w:ascii="黑体" w:hAnsi="黑体" w:eastAsia="黑体" w:cs="黑体"/>
              <w:sz w:val="21"/>
              <w:szCs w:val="21"/>
            </w:rPr>
            <w:t>15</w:t>
          </w:r>
          <w:r>
            <w:rPr>
              <w:rFonts w:hint="eastAsia" w:ascii="黑体" w:hAnsi="黑体" w:eastAsia="黑体" w:cs="黑体"/>
              <w:sz w:val="21"/>
              <w:szCs w:val="21"/>
            </w:rPr>
            <w:fldChar w:fldCharType="end"/>
          </w:r>
          <w:r>
            <w:rPr>
              <w:rFonts w:hint="eastAsia" w:ascii="宋体" w:hAnsi="宋体" w:eastAsia="宋体" w:cs="宋体"/>
              <w:szCs w:val="24"/>
            </w:rPr>
            <w:fldChar w:fldCharType="end"/>
          </w:r>
        </w:p>
        <w:p>
          <w:pPr>
            <w:pStyle w:val="1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line="560" w:lineRule="exact"/>
            <w:ind w:left="0" w:leftChars="0"/>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_Toc4612 </w:instrText>
          </w:r>
          <w:r>
            <w:rPr>
              <w:rFonts w:hint="eastAsia" w:ascii="宋体" w:hAnsi="宋体" w:eastAsia="宋体" w:cs="宋体"/>
              <w:szCs w:val="24"/>
            </w:rPr>
            <w:fldChar w:fldCharType="separate"/>
          </w:r>
          <w:r>
            <w:rPr>
              <w:rFonts w:hint="eastAsia" w:ascii="黑体" w:hAnsi="黑体" w:eastAsia="黑体"/>
              <w:szCs w:val="44"/>
            </w:rPr>
            <w:t>第</w:t>
          </w:r>
          <w:r>
            <w:rPr>
              <w:rFonts w:hint="eastAsia" w:ascii="黑体" w:hAnsi="黑体" w:eastAsia="黑体"/>
            </w:rPr>
            <w:t>五部分 附表</w:t>
          </w:r>
          <w:r>
            <w:tab/>
          </w: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PAGEREF _Toc4612 \h </w:instrText>
          </w:r>
          <w:r>
            <w:rPr>
              <w:rFonts w:hint="eastAsia" w:ascii="黑体" w:hAnsi="黑体" w:eastAsia="黑体" w:cs="黑体"/>
              <w:sz w:val="21"/>
              <w:szCs w:val="21"/>
            </w:rPr>
            <w:fldChar w:fldCharType="separate"/>
          </w:r>
          <w:r>
            <w:rPr>
              <w:rFonts w:hint="eastAsia" w:ascii="黑体" w:hAnsi="黑体" w:eastAsia="黑体" w:cs="黑体"/>
              <w:sz w:val="21"/>
              <w:szCs w:val="21"/>
            </w:rPr>
            <w:t>15</w:t>
          </w:r>
          <w:r>
            <w:rPr>
              <w:rFonts w:hint="eastAsia" w:ascii="黑体" w:hAnsi="黑体" w:eastAsia="黑体" w:cs="黑体"/>
              <w:sz w:val="21"/>
              <w:szCs w:val="21"/>
            </w:rPr>
            <w:fldChar w:fldCharType="end"/>
          </w:r>
          <w:r>
            <w:rPr>
              <w:rFonts w:hint="eastAsia" w:ascii="宋体" w:hAnsi="宋体" w:eastAsia="宋体" w:cs="宋体"/>
              <w:szCs w:val="24"/>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_Toc3177 </w:instrText>
          </w:r>
          <w:r>
            <w:rPr>
              <w:rFonts w:hint="eastAsia" w:ascii="黑体" w:hAnsi="黑体" w:eastAsia="黑体"/>
            </w:rPr>
            <w:fldChar w:fldCharType="separate"/>
          </w:r>
          <w:r>
            <w:rPr>
              <w:rFonts w:hint="eastAsia" w:ascii="黑体" w:hAnsi="黑体" w:eastAsia="黑体"/>
            </w:rPr>
            <w:t>一、收入支出决算总表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_Toc3177 \h </w:instrText>
          </w:r>
          <w:r>
            <w:rPr>
              <w:rFonts w:hint="eastAsia" w:ascii="黑体" w:hAnsi="黑体" w:eastAsia="黑体"/>
            </w:rPr>
            <w:fldChar w:fldCharType="separate"/>
          </w:r>
          <w:r>
            <w:rPr>
              <w:rFonts w:hint="eastAsia" w:ascii="黑体" w:hAnsi="黑体" w:eastAsia="黑体"/>
            </w:rPr>
            <w:t>15</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_Toc22619 </w:instrText>
          </w:r>
          <w:r>
            <w:rPr>
              <w:rFonts w:hint="eastAsia" w:ascii="黑体" w:hAnsi="黑体" w:eastAsia="黑体"/>
            </w:rPr>
            <w:fldChar w:fldCharType="separate"/>
          </w:r>
          <w:r>
            <w:rPr>
              <w:rFonts w:hint="eastAsia" w:ascii="黑体" w:hAnsi="黑体" w:eastAsia="黑体"/>
            </w:rPr>
            <w:t>二、收入决算表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_Toc22619 \h </w:instrText>
          </w:r>
          <w:r>
            <w:rPr>
              <w:rFonts w:hint="eastAsia" w:ascii="黑体" w:hAnsi="黑体" w:eastAsia="黑体"/>
            </w:rPr>
            <w:fldChar w:fldCharType="separate"/>
          </w:r>
          <w:r>
            <w:rPr>
              <w:rFonts w:hint="eastAsia" w:ascii="黑体" w:hAnsi="黑体" w:eastAsia="黑体"/>
            </w:rPr>
            <w:t>16</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_Toc21904 </w:instrText>
          </w:r>
          <w:r>
            <w:rPr>
              <w:rFonts w:hint="eastAsia" w:ascii="黑体" w:hAnsi="黑体" w:eastAsia="黑体"/>
            </w:rPr>
            <w:fldChar w:fldCharType="separate"/>
          </w:r>
          <w:r>
            <w:rPr>
              <w:rFonts w:hint="eastAsia" w:ascii="黑体" w:hAnsi="黑体" w:eastAsia="黑体"/>
            </w:rPr>
            <w:t>三、支出决算表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_Toc21904 \h </w:instrText>
          </w:r>
          <w:r>
            <w:rPr>
              <w:rFonts w:hint="eastAsia" w:ascii="黑体" w:hAnsi="黑体" w:eastAsia="黑体"/>
            </w:rPr>
            <w:fldChar w:fldCharType="separate"/>
          </w:r>
          <w:r>
            <w:rPr>
              <w:rFonts w:hint="eastAsia" w:ascii="黑体" w:hAnsi="黑体" w:eastAsia="黑体"/>
            </w:rPr>
            <w:t>16</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_Toc17283 </w:instrText>
          </w:r>
          <w:r>
            <w:rPr>
              <w:rFonts w:hint="eastAsia" w:ascii="黑体" w:hAnsi="黑体" w:eastAsia="黑体"/>
            </w:rPr>
            <w:fldChar w:fldCharType="separate"/>
          </w:r>
          <w:r>
            <w:rPr>
              <w:rFonts w:hint="eastAsia" w:ascii="黑体" w:hAnsi="黑体" w:eastAsia="黑体"/>
              <w:lang w:val="en-US" w:eastAsia="zh-CN"/>
            </w:rPr>
            <w:t>四、</w:t>
          </w:r>
          <w:r>
            <w:rPr>
              <w:rFonts w:hint="eastAsia" w:ascii="黑体" w:hAnsi="黑体" w:eastAsia="黑体"/>
            </w:rPr>
            <w:t>财政拨款收入支出决算总表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_Toc17283 \h </w:instrText>
          </w:r>
          <w:r>
            <w:rPr>
              <w:rFonts w:hint="eastAsia" w:ascii="黑体" w:hAnsi="黑体" w:eastAsia="黑体"/>
            </w:rPr>
            <w:fldChar w:fldCharType="separate"/>
          </w:r>
          <w:r>
            <w:rPr>
              <w:rFonts w:hint="eastAsia" w:ascii="黑体" w:hAnsi="黑体" w:eastAsia="黑体"/>
            </w:rPr>
            <w:t>17</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_Toc28390 </w:instrText>
          </w:r>
          <w:r>
            <w:rPr>
              <w:rFonts w:hint="eastAsia" w:ascii="黑体" w:hAnsi="黑体" w:eastAsia="黑体"/>
            </w:rPr>
            <w:fldChar w:fldCharType="separate"/>
          </w:r>
          <w:r>
            <w:rPr>
              <w:rFonts w:hint="eastAsia" w:ascii="黑体" w:hAnsi="黑体" w:eastAsia="黑体"/>
              <w:lang w:val="en-US" w:eastAsia="zh-CN"/>
            </w:rPr>
            <w:t>五、财政拨款支出决算明细表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_Toc28390 \h </w:instrText>
          </w:r>
          <w:r>
            <w:rPr>
              <w:rFonts w:hint="eastAsia" w:ascii="黑体" w:hAnsi="黑体" w:eastAsia="黑体"/>
            </w:rPr>
            <w:fldChar w:fldCharType="separate"/>
          </w:r>
          <w:r>
            <w:rPr>
              <w:rFonts w:hint="eastAsia" w:ascii="黑体" w:hAnsi="黑体" w:eastAsia="黑体"/>
            </w:rPr>
            <w:t>18</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_Toc23349 </w:instrText>
          </w:r>
          <w:r>
            <w:rPr>
              <w:rFonts w:hint="eastAsia" w:ascii="黑体" w:hAnsi="黑体" w:eastAsia="黑体"/>
            </w:rPr>
            <w:fldChar w:fldCharType="separate"/>
          </w:r>
          <w:r>
            <w:rPr>
              <w:rFonts w:hint="eastAsia" w:ascii="黑体" w:hAnsi="黑体" w:eastAsia="黑体"/>
              <w:lang w:val="en-US" w:eastAsia="zh-CN"/>
            </w:rPr>
            <w:t>六、一般公共预算财政拨款支出决算表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_Toc23349 \h </w:instrText>
          </w:r>
          <w:r>
            <w:rPr>
              <w:rFonts w:hint="eastAsia" w:ascii="黑体" w:hAnsi="黑体" w:eastAsia="黑体"/>
            </w:rPr>
            <w:fldChar w:fldCharType="separate"/>
          </w:r>
          <w:r>
            <w:rPr>
              <w:rFonts w:hint="eastAsia" w:ascii="黑体" w:hAnsi="黑体" w:eastAsia="黑体"/>
            </w:rPr>
            <w:t>20</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_Toc8276 </w:instrText>
          </w:r>
          <w:r>
            <w:rPr>
              <w:rFonts w:hint="eastAsia" w:ascii="黑体" w:hAnsi="黑体" w:eastAsia="黑体"/>
            </w:rPr>
            <w:fldChar w:fldCharType="separate"/>
          </w:r>
          <w:r>
            <w:rPr>
              <w:rFonts w:hint="eastAsia" w:ascii="黑体" w:hAnsi="黑体" w:eastAsia="黑体"/>
              <w:lang w:val="en-US" w:eastAsia="zh-CN"/>
            </w:rPr>
            <w:t>七、一般公共预算财政拨款支出决算明细表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_Toc8276 \h </w:instrText>
          </w:r>
          <w:r>
            <w:rPr>
              <w:rFonts w:hint="eastAsia" w:ascii="黑体" w:hAnsi="黑体" w:eastAsia="黑体"/>
            </w:rPr>
            <w:fldChar w:fldCharType="separate"/>
          </w:r>
          <w:r>
            <w:rPr>
              <w:rFonts w:hint="eastAsia" w:ascii="黑体" w:hAnsi="黑体" w:eastAsia="黑体"/>
            </w:rPr>
            <w:t>20</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_Toc29313 </w:instrText>
          </w:r>
          <w:r>
            <w:rPr>
              <w:rFonts w:hint="eastAsia" w:ascii="黑体" w:hAnsi="黑体" w:eastAsia="黑体"/>
            </w:rPr>
            <w:fldChar w:fldCharType="separate"/>
          </w:r>
          <w:r>
            <w:rPr>
              <w:rFonts w:hint="eastAsia" w:ascii="黑体" w:hAnsi="黑体" w:eastAsia="黑体"/>
              <w:lang w:val="en-US" w:eastAsia="zh-CN"/>
            </w:rPr>
            <w:t>八、一般公共预算财政拨款基本支出决算表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_Toc29313 \h </w:instrText>
          </w:r>
          <w:r>
            <w:rPr>
              <w:rFonts w:hint="eastAsia" w:ascii="黑体" w:hAnsi="黑体" w:eastAsia="黑体"/>
            </w:rPr>
            <w:fldChar w:fldCharType="separate"/>
          </w:r>
          <w:r>
            <w:rPr>
              <w:rFonts w:hint="eastAsia" w:ascii="黑体" w:hAnsi="黑体" w:eastAsia="黑体"/>
            </w:rPr>
            <w:t>22</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_Toc6216 </w:instrText>
          </w:r>
          <w:r>
            <w:rPr>
              <w:rFonts w:hint="eastAsia" w:ascii="黑体" w:hAnsi="黑体" w:eastAsia="黑体"/>
            </w:rPr>
            <w:fldChar w:fldCharType="separate"/>
          </w:r>
          <w:r>
            <w:rPr>
              <w:rFonts w:hint="eastAsia" w:ascii="黑体" w:hAnsi="黑体" w:eastAsia="黑体"/>
              <w:lang w:val="en-US" w:eastAsia="zh-CN"/>
            </w:rPr>
            <w:t>九、一般公共预算财政拨款项目支出决算表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_Toc6216 \h </w:instrText>
          </w:r>
          <w:r>
            <w:rPr>
              <w:rFonts w:hint="eastAsia" w:ascii="黑体" w:hAnsi="黑体" w:eastAsia="黑体"/>
            </w:rPr>
            <w:fldChar w:fldCharType="separate"/>
          </w:r>
          <w:r>
            <w:rPr>
              <w:rFonts w:hint="eastAsia" w:ascii="黑体" w:hAnsi="黑体" w:eastAsia="黑体"/>
            </w:rPr>
            <w:t>23</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_Toc3898 </w:instrText>
          </w:r>
          <w:r>
            <w:rPr>
              <w:rFonts w:hint="eastAsia" w:ascii="黑体" w:hAnsi="黑体" w:eastAsia="黑体"/>
            </w:rPr>
            <w:fldChar w:fldCharType="separate"/>
          </w:r>
          <w:r>
            <w:rPr>
              <w:rFonts w:hint="eastAsia" w:ascii="黑体" w:hAnsi="黑体" w:eastAsia="黑体"/>
              <w:lang w:val="en-US" w:eastAsia="zh-CN"/>
            </w:rPr>
            <w:t>十、政府性基金预算财政拨款收入支出决算表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_Toc3898 \h </w:instrText>
          </w:r>
          <w:r>
            <w:rPr>
              <w:rFonts w:hint="eastAsia" w:ascii="黑体" w:hAnsi="黑体" w:eastAsia="黑体"/>
            </w:rPr>
            <w:fldChar w:fldCharType="separate"/>
          </w:r>
          <w:r>
            <w:rPr>
              <w:rFonts w:hint="eastAsia" w:ascii="黑体" w:hAnsi="黑体" w:eastAsia="黑体"/>
            </w:rPr>
            <w:t>23</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_Toc31232 </w:instrText>
          </w:r>
          <w:r>
            <w:rPr>
              <w:rFonts w:hint="eastAsia" w:ascii="黑体" w:hAnsi="黑体" w:eastAsia="黑体"/>
            </w:rPr>
            <w:fldChar w:fldCharType="separate"/>
          </w:r>
          <w:r>
            <w:rPr>
              <w:rFonts w:hint="eastAsia" w:ascii="黑体" w:hAnsi="黑体" w:eastAsia="黑体"/>
              <w:lang w:val="en-US" w:eastAsia="zh-CN"/>
            </w:rPr>
            <w:t>十一、国有资本经营预算财政拨款收入支出决算表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_Toc31232 \h </w:instrText>
          </w:r>
          <w:r>
            <w:rPr>
              <w:rFonts w:hint="eastAsia" w:ascii="黑体" w:hAnsi="黑体" w:eastAsia="黑体"/>
            </w:rPr>
            <w:fldChar w:fldCharType="separate"/>
          </w:r>
          <w:r>
            <w:rPr>
              <w:rFonts w:hint="eastAsia" w:ascii="黑体" w:hAnsi="黑体" w:eastAsia="黑体"/>
            </w:rPr>
            <w:t>24</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rPr>
              <w:rFonts w:hint="eastAsia" w:ascii="黑体" w:hAnsi="黑体" w:eastAsia="黑体"/>
            </w:rPr>
          </w:pPr>
          <w:r>
            <w:rPr>
              <w:rFonts w:hint="eastAsia" w:ascii="黑体" w:hAnsi="黑体" w:eastAsia="黑体"/>
            </w:rPr>
            <w:fldChar w:fldCharType="begin"/>
          </w:r>
          <w:r>
            <w:rPr>
              <w:rFonts w:hint="eastAsia" w:ascii="黑体" w:hAnsi="黑体" w:eastAsia="黑体"/>
            </w:rPr>
            <w:instrText xml:space="preserve"> HYPERLINK \l _Toc29073 </w:instrText>
          </w:r>
          <w:r>
            <w:rPr>
              <w:rFonts w:hint="eastAsia" w:ascii="黑体" w:hAnsi="黑体" w:eastAsia="黑体"/>
            </w:rPr>
            <w:fldChar w:fldCharType="separate"/>
          </w:r>
          <w:r>
            <w:rPr>
              <w:rFonts w:hint="eastAsia" w:ascii="黑体" w:hAnsi="黑体" w:eastAsia="黑体"/>
              <w:lang w:val="en-US" w:eastAsia="zh-CN"/>
            </w:rPr>
            <w:t>十二、国有资本经营预算财政拨款支出决算表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_Toc29073 \h </w:instrText>
          </w:r>
          <w:r>
            <w:rPr>
              <w:rFonts w:hint="eastAsia" w:ascii="黑体" w:hAnsi="黑体" w:eastAsia="黑体"/>
            </w:rPr>
            <w:fldChar w:fldCharType="separate"/>
          </w:r>
          <w:r>
            <w:rPr>
              <w:rFonts w:hint="eastAsia" w:ascii="黑体" w:hAnsi="黑体" w:eastAsia="黑体"/>
            </w:rPr>
            <w:t>24</w:t>
          </w:r>
          <w:r>
            <w:rPr>
              <w:rFonts w:hint="eastAsia" w:ascii="黑体" w:hAnsi="黑体" w:eastAsia="黑体"/>
            </w:rPr>
            <w:fldChar w:fldCharType="end"/>
          </w:r>
          <w:r>
            <w:rPr>
              <w:rFonts w:hint="eastAsia" w:ascii="黑体" w:hAnsi="黑体" w:eastAsia="黑体"/>
            </w:rPr>
            <w:fldChar w:fldCharType="end"/>
          </w:r>
        </w:p>
        <w:p>
          <w:pPr>
            <w:pStyle w:val="12"/>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560" w:lineRule="exact"/>
            <w:ind w:left="0" w:leftChars="0" w:firstLine="420" w:firstLineChars="200"/>
            <w:textAlignment w:val="auto"/>
          </w:pPr>
          <w:r>
            <w:rPr>
              <w:rFonts w:hint="eastAsia" w:ascii="黑体" w:hAnsi="黑体" w:eastAsia="黑体"/>
            </w:rPr>
            <w:fldChar w:fldCharType="begin"/>
          </w:r>
          <w:r>
            <w:rPr>
              <w:rFonts w:hint="eastAsia" w:ascii="黑体" w:hAnsi="黑体" w:eastAsia="黑体"/>
            </w:rPr>
            <w:instrText xml:space="preserve"> HYPERLINK \l _Toc12071 </w:instrText>
          </w:r>
          <w:r>
            <w:rPr>
              <w:rFonts w:hint="eastAsia" w:ascii="黑体" w:hAnsi="黑体" w:eastAsia="黑体"/>
            </w:rPr>
            <w:fldChar w:fldCharType="separate"/>
          </w:r>
          <w:r>
            <w:rPr>
              <w:rFonts w:hint="eastAsia" w:ascii="黑体" w:hAnsi="黑体" w:eastAsia="黑体"/>
              <w:lang w:val="en-US" w:eastAsia="zh-CN"/>
            </w:rPr>
            <w:t>十三、财政拨款“三公”经费支出决算表</w:t>
          </w:r>
          <w:r>
            <w:rPr>
              <w:rFonts w:hint="eastAsia" w:ascii="黑体" w:hAnsi="黑体" w:eastAsia="黑体"/>
            </w:rPr>
            <w:tab/>
          </w:r>
          <w:r>
            <w:rPr>
              <w:rFonts w:hint="eastAsia" w:ascii="黑体" w:hAnsi="黑体" w:eastAsia="黑体"/>
            </w:rPr>
            <w:fldChar w:fldCharType="begin"/>
          </w:r>
          <w:r>
            <w:rPr>
              <w:rFonts w:hint="eastAsia" w:ascii="黑体" w:hAnsi="黑体" w:eastAsia="黑体"/>
            </w:rPr>
            <w:instrText xml:space="preserve"> PAGEREF _Toc12071 \h </w:instrText>
          </w:r>
          <w:r>
            <w:rPr>
              <w:rFonts w:hint="eastAsia" w:ascii="黑体" w:hAnsi="黑体" w:eastAsia="黑体"/>
            </w:rPr>
            <w:fldChar w:fldCharType="separate"/>
          </w:r>
          <w:r>
            <w:rPr>
              <w:rFonts w:hint="eastAsia" w:ascii="黑体" w:hAnsi="黑体" w:eastAsia="黑体"/>
            </w:rPr>
            <w:t>24</w:t>
          </w:r>
          <w:r>
            <w:rPr>
              <w:rFonts w:hint="eastAsia" w:ascii="黑体" w:hAnsi="黑体" w:eastAsia="黑体"/>
            </w:rPr>
            <w:fldChar w:fldCharType="end"/>
          </w:r>
          <w:r>
            <w:rPr>
              <w:rFonts w:hint="eastAsia" w:ascii="黑体" w:hAnsi="黑体" w:eastAsia="黑体"/>
            </w:rPr>
            <w:fldChar w:fldCharType="end"/>
          </w:r>
        </w:p>
        <w:p>
          <w:pPr>
            <w:rPr>
              <w:rFonts w:hint="eastAsia" w:ascii="黑体" w:hAnsi="黑体" w:eastAsia="黑体"/>
              <w:b w:val="0"/>
            </w:rPr>
          </w:pPr>
          <w:r>
            <w:rPr>
              <w:rFonts w:hint="eastAsia" w:ascii="宋体" w:hAnsi="宋体" w:eastAsia="宋体" w:cs="宋体"/>
              <w:szCs w:val="24"/>
            </w:rPr>
            <w:fldChar w:fldCharType="end"/>
          </w:r>
        </w:p>
      </w:sdtContent>
    </w:sdt>
    <w:p>
      <w:pPr>
        <w:pStyle w:val="3"/>
        <w:jc w:val="both"/>
        <w:outlineLvl w:val="9"/>
        <w:rPr>
          <w:rFonts w:hint="eastAsia" w:ascii="黑体" w:hAnsi="黑体" w:eastAsia="黑体"/>
          <w:b w:val="0"/>
        </w:rPr>
      </w:pPr>
    </w:p>
    <w:p>
      <w:pPr>
        <w:pStyle w:val="4"/>
        <w:jc w:val="both"/>
        <w:rPr>
          <w:rFonts w:hint="eastAsia" w:ascii="黑体" w:hAnsi="黑体" w:eastAsia="黑体"/>
          <w:b w:val="0"/>
        </w:rPr>
        <w:sectPr>
          <w:headerReference r:id="rId3" w:type="default"/>
          <w:pgSz w:w="11906" w:h="16838"/>
          <w:pgMar w:top="1440" w:right="1800" w:bottom="1440" w:left="1800" w:header="851" w:footer="992" w:gutter="0"/>
          <w:pgNumType w:start="1"/>
          <w:cols w:space="425" w:num="1"/>
          <w:titlePg/>
          <w:docGrid w:type="lines" w:linePitch="312" w:charSpace="0"/>
        </w:sectPr>
      </w:pPr>
    </w:p>
    <w:p>
      <w:pPr>
        <w:pStyle w:val="3"/>
        <w:jc w:val="center"/>
        <w:outlineLvl w:val="0"/>
        <w:rPr>
          <w:rFonts w:hint="default" w:ascii="Times New Roman" w:hAnsi="Times New Roman" w:eastAsia="黑体" w:cs="Times New Roman"/>
          <w:sz w:val="32"/>
          <w:szCs w:val="32"/>
        </w:rPr>
      </w:pPr>
      <w:bookmarkStart w:id="12" w:name="_Toc8477"/>
      <w:r>
        <w:rPr>
          <w:rFonts w:hint="default" w:ascii="Times New Roman" w:hAnsi="Times New Roman" w:eastAsia="黑体" w:cs="Times New Roman"/>
          <w:b w:val="0"/>
        </w:rPr>
        <w:t>第一部分 单位</w:t>
      </w:r>
      <w:r>
        <w:rPr>
          <w:rStyle w:val="26"/>
          <w:rFonts w:hint="default" w:ascii="Times New Roman" w:hAnsi="Times New Roman" w:eastAsia="黑体" w:cs="Times New Roman"/>
          <w:b w:val="0"/>
          <w:bCs w:val="0"/>
        </w:rPr>
        <w:t>概况</w:t>
      </w:r>
      <w:bookmarkEnd w:id="12"/>
    </w:p>
    <w:p>
      <w:pPr>
        <w:pStyle w:val="4"/>
        <w:pageBreakBefore w:val="0"/>
        <w:widowControl w:val="0"/>
        <w:numPr>
          <w:ilvl w:val="0"/>
          <w:numId w:val="1"/>
        </w:numPr>
        <w:kinsoku/>
        <w:wordWrap/>
        <w:overflowPunct/>
        <w:topLinePunct w:val="0"/>
        <w:autoSpaceDE/>
        <w:autoSpaceDN/>
        <w:bidi w:val="0"/>
        <w:adjustRightInd/>
        <w:spacing w:before="0" w:after="0" w:line="560" w:lineRule="exact"/>
        <w:ind w:left="-640" w:leftChars="0" w:firstLine="640" w:firstLineChars="0"/>
        <w:textAlignment w:val="auto"/>
        <w:rPr>
          <w:rStyle w:val="27"/>
          <w:rFonts w:hint="default" w:ascii="Times New Roman" w:hAnsi="Times New Roman" w:eastAsia="黑体" w:cs="Times New Roman"/>
          <w:b w:val="0"/>
          <w:bCs w:val="0"/>
        </w:rPr>
      </w:pPr>
      <w:bookmarkStart w:id="13" w:name="_Toc22331"/>
      <w:bookmarkStart w:id="14" w:name="_Toc15396600"/>
      <w:bookmarkStart w:id="15" w:name="_Toc15377197"/>
      <w:r>
        <w:rPr>
          <w:rStyle w:val="27"/>
          <w:rFonts w:hint="default" w:ascii="Times New Roman" w:hAnsi="Times New Roman" w:eastAsia="黑体" w:cs="Times New Roman"/>
          <w:b w:val="0"/>
          <w:bCs w:val="0"/>
        </w:rPr>
        <w:t>主要职责</w:t>
      </w:r>
      <w:bookmarkEnd w:id="13"/>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color w:val="auto"/>
          <w:sz w:val="32"/>
          <w:szCs w:val="32"/>
          <w:highlight w:val="none"/>
          <w:lang w:val="en-US" w:eastAsia="zh-CN"/>
        </w:rPr>
        <w:t>盐边县社会保险事务中心</w:t>
      </w:r>
      <w:r>
        <w:rPr>
          <w:rFonts w:hint="default" w:ascii="Times New Roman" w:hAnsi="Times New Roman" w:eastAsia="仿宋_GB2312" w:cs="Times New Roman"/>
          <w:b w:val="0"/>
          <w:bCs w:val="0"/>
          <w:color w:val="auto"/>
          <w:sz w:val="32"/>
          <w:szCs w:val="32"/>
          <w:highlight w:val="none"/>
          <w:lang w:eastAsia="zh-CN"/>
        </w:rPr>
        <w:t>负责全县城镇职工、城乡居民、机关事业单位养老保险、职业年金的基金征收计划核定工作。负责办理参保职工社会保险关系转移、接续等工作（失业保险、医疗保险、生育保险除外）。负责全县参保单位的社会保险稽核检查工作（医疗保险、生育保险除外）。负责全县离退休人员待遇核定、养老金领取资格认证、待遇发放及社会化管理工作。负责工伤保险待遇发放工作。负责社会保险档案管理工作。</w:t>
      </w:r>
    </w:p>
    <w:p>
      <w:pPr>
        <w:pStyle w:val="4"/>
        <w:pageBreakBefore w:val="0"/>
        <w:widowControl w:val="0"/>
        <w:numPr>
          <w:ilvl w:val="0"/>
          <w:numId w:val="1"/>
        </w:numPr>
        <w:kinsoku/>
        <w:wordWrap/>
        <w:overflowPunct/>
        <w:topLinePunct w:val="0"/>
        <w:autoSpaceDE/>
        <w:autoSpaceDN/>
        <w:bidi w:val="0"/>
        <w:adjustRightInd/>
        <w:spacing w:before="0" w:after="0" w:line="560" w:lineRule="exact"/>
        <w:ind w:left="-640" w:leftChars="0" w:firstLine="640" w:firstLineChars="0"/>
        <w:textAlignment w:val="auto"/>
        <w:outlineLvl w:val="1"/>
        <w:rPr>
          <w:rFonts w:hint="default" w:ascii="Times New Roman" w:hAnsi="Times New Roman" w:eastAsia="黑体" w:cs="Times New Roman"/>
          <w:b w:val="0"/>
        </w:rPr>
      </w:pPr>
      <w:bookmarkStart w:id="16" w:name="_Toc1892"/>
      <w:r>
        <w:rPr>
          <w:rFonts w:hint="default" w:ascii="Times New Roman" w:hAnsi="Times New Roman" w:eastAsia="黑体" w:cs="Times New Roman"/>
          <w:b w:val="0"/>
        </w:rPr>
        <w:t>机构设置</w:t>
      </w:r>
      <w:bookmarkEnd w:id="16"/>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zh-CN" w:eastAsia="zh-CN"/>
        </w:rPr>
        <w:t>本单位属参照公务员法管理的事业单位，主管单位为盐边县人力资源和社会保障局，因机构改革，</w:t>
      </w:r>
      <w:r>
        <w:rPr>
          <w:rFonts w:hint="default" w:ascii="Times New Roman" w:hAnsi="Times New Roman" w:eastAsia="仿宋_GB2312" w:cs="Times New Roman"/>
          <w:b w:val="0"/>
          <w:bCs w:val="0"/>
          <w:color w:val="auto"/>
          <w:sz w:val="32"/>
          <w:szCs w:val="32"/>
          <w:highlight w:val="none"/>
          <w:lang w:val="en-US" w:eastAsia="zh-CN"/>
        </w:rPr>
        <w:t>自</w:t>
      </w:r>
      <w:r>
        <w:rPr>
          <w:rFonts w:hint="default" w:ascii="Times New Roman" w:hAnsi="Times New Roman" w:eastAsia="仿宋_GB2312" w:cs="Times New Roman"/>
          <w:b w:val="0"/>
          <w:bCs w:val="0"/>
          <w:color w:val="auto"/>
          <w:sz w:val="32"/>
          <w:szCs w:val="32"/>
          <w:highlight w:val="none"/>
          <w:lang w:val="zh-CN" w:eastAsia="zh-CN"/>
        </w:rPr>
        <w:t>2020年起，撤销盐边县新型农村社会养老保险局，将盐边县社会保险管理局更名为盐边县社会保险事务中心，核定编制数12人。</w:t>
      </w:r>
      <w:r>
        <w:rPr>
          <w:rFonts w:hint="default" w:ascii="Times New Roman" w:hAnsi="Times New Roman" w:eastAsia="仿宋_GB2312" w:cs="Times New Roman"/>
          <w:b w:val="0"/>
          <w:bCs w:val="0"/>
          <w:color w:val="auto"/>
          <w:sz w:val="32"/>
          <w:szCs w:val="32"/>
          <w:highlight w:val="none"/>
          <w:lang w:val="en-US" w:eastAsia="zh-CN"/>
        </w:rPr>
        <w:t>2022年末本单位实际在编在岗10人。</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p>
    <w:bookmarkEnd w:id="14"/>
    <w:bookmarkEnd w:id="15"/>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pPr>
      <w:bookmarkStart w:id="17" w:name="_Toc15377204"/>
      <w:bookmarkStart w:id="18" w:name="_Toc15396602"/>
      <w:bookmarkStart w:id="19" w:name="_Toc29326"/>
      <w:r>
        <w:rPr>
          <w:rFonts w:hint="eastAsia" w:ascii="黑体" w:hAnsi="黑体" w:eastAsia="黑体"/>
          <w:b w:val="0"/>
        </w:rPr>
        <w:t>第二部分 2022年度</w:t>
      </w:r>
      <w:r>
        <w:rPr>
          <w:rStyle w:val="26"/>
          <w:rFonts w:hint="eastAsia" w:ascii="黑体" w:hAnsi="黑体" w:eastAsia="黑体"/>
          <w:b w:val="0"/>
          <w:bCs/>
        </w:rPr>
        <w:t>单位决算情况说明</w:t>
      </w:r>
      <w:bookmarkEnd w:id="17"/>
      <w:bookmarkEnd w:id="18"/>
      <w:bookmarkEnd w:id="19"/>
    </w:p>
    <w:p>
      <w:pPr>
        <w:pStyle w:val="25"/>
        <w:numPr>
          <w:ilvl w:val="0"/>
          <w:numId w:val="2"/>
        </w:numPr>
        <w:spacing w:line="600" w:lineRule="exact"/>
        <w:ind w:left="1560" w:leftChars="0" w:firstLineChars="0"/>
        <w:outlineLvl w:val="1"/>
        <w:rPr>
          <w:rStyle w:val="27"/>
          <w:rFonts w:ascii="黑体" w:hAnsi="黑体" w:eastAsia="黑体"/>
          <w:b w:val="0"/>
        </w:rPr>
      </w:pPr>
      <w:bookmarkStart w:id="20" w:name="_Toc9356"/>
      <w:bookmarkStart w:id="21" w:name="_Toc15396603"/>
      <w:bookmarkStart w:id="22" w:name="_Toc15377205"/>
      <w:r>
        <w:rPr>
          <w:rFonts w:hint="eastAsia" w:ascii="黑体" w:hAnsi="黑体" w:eastAsia="黑体"/>
          <w:sz w:val="32"/>
          <w:szCs w:val="32"/>
        </w:rPr>
        <w:t>收</w:t>
      </w:r>
      <w:r>
        <w:rPr>
          <w:rStyle w:val="27"/>
          <w:rFonts w:hint="eastAsia" w:ascii="黑体" w:hAnsi="黑体" w:eastAsia="黑体"/>
          <w:b w:val="0"/>
        </w:rPr>
        <w:t>入支出决算总体情况说明</w:t>
      </w:r>
      <w:bookmarkEnd w:id="20"/>
      <w:bookmarkEnd w:id="21"/>
      <w:bookmarkEnd w:id="2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lang w:eastAsia="zh-CN"/>
        </w:rPr>
      </w:pPr>
      <w:r>
        <w:rPr>
          <w:rFonts w:hint="eastAsia" w:ascii="仿宋_GB2312" w:hAnsi="仿宋_GB2312" w:eastAsia="仿宋_GB2312" w:cs="仿宋_GB2312"/>
          <w:sz w:val="32"/>
          <w:szCs w:val="32"/>
        </w:rPr>
        <w:t>2022年度收、支总计</w:t>
      </w:r>
      <w:r>
        <w:rPr>
          <w:rFonts w:hint="eastAsia" w:ascii="仿宋_GB2312" w:hAnsi="仿宋_GB2312" w:eastAsia="仿宋_GB2312" w:cs="仿宋_GB2312"/>
          <w:sz w:val="32"/>
          <w:szCs w:val="32"/>
          <w:lang w:val="en-US" w:eastAsia="zh-CN"/>
        </w:rPr>
        <w:t>289.34</w:t>
      </w:r>
      <w:r>
        <w:rPr>
          <w:rFonts w:hint="eastAsia" w:ascii="仿宋_GB2312" w:hAnsi="仿宋_GB2312" w:eastAsia="仿宋_GB2312" w:cs="仿宋_GB2312"/>
          <w:sz w:val="32"/>
          <w:szCs w:val="32"/>
        </w:rPr>
        <w:t>万元。与2021年相比，收、支总计各减少</w:t>
      </w:r>
      <w:r>
        <w:rPr>
          <w:rFonts w:hint="eastAsia" w:ascii="仿宋_GB2312" w:hAnsi="仿宋_GB2312" w:eastAsia="仿宋_GB2312" w:cs="仿宋_GB2312"/>
          <w:sz w:val="32"/>
          <w:szCs w:val="32"/>
          <w:lang w:val="en-US" w:eastAsia="zh-CN"/>
        </w:rPr>
        <w:t>0.88</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-0.3</w:t>
      </w:r>
      <w:r>
        <w:rPr>
          <w:rFonts w:hint="eastAsia" w:ascii="仿宋_GB2312" w:hAnsi="仿宋_GB2312" w:eastAsia="仿宋_GB2312" w:cs="仿宋_GB2312"/>
          <w:sz w:val="32"/>
          <w:szCs w:val="32"/>
        </w:rPr>
        <w:t>%。主要变动原因是</w:t>
      </w:r>
      <w:r>
        <w:rPr>
          <w:rFonts w:hint="eastAsia" w:ascii="仿宋_GB2312" w:hAnsi="仿宋_GB2312" w:eastAsia="仿宋_GB2312" w:cs="仿宋_GB2312"/>
          <w:b w:val="0"/>
          <w:bCs w:val="0"/>
          <w:color w:val="auto"/>
          <w:sz w:val="32"/>
          <w:szCs w:val="32"/>
          <w:highlight w:val="none"/>
          <w:lang w:val="en-US" w:eastAsia="zh-CN"/>
        </w:rPr>
        <w:t>因机构调整及正常人员变动，本年度调离单位8人，在职工工资福利支出方面变动较大</w:t>
      </w:r>
      <w:r>
        <w:rPr>
          <w:rFonts w:hint="eastAsia" w:ascii="仿宋_GB2312" w:hAnsi="仿宋_GB2312" w:eastAsia="仿宋_GB2312" w:cs="仿宋_GB2312"/>
          <w:sz w:val="32"/>
          <w:szCs w:val="32"/>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59264" behindDoc="0" locked="0" layoutInCell="1" allowOverlap="1">
            <wp:simplePos x="0" y="0"/>
            <wp:positionH relativeFrom="column">
              <wp:posOffset>467995</wp:posOffset>
            </wp:positionH>
            <wp:positionV relativeFrom="page">
              <wp:posOffset>3557270</wp:posOffset>
            </wp:positionV>
            <wp:extent cx="4841875" cy="3610610"/>
            <wp:effectExtent l="4445" t="4445" r="11430" b="2349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pStyle w:val="2"/>
        <w:rPr>
          <w:rFonts w:hint="eastAsia"/>
        </w:rPr>
      </w:pPr>
    </w:p>
    <w:p>
      <w:pPr>
        <w:spacing w:line="600" w:lineRule="exact"/>
        <w:ind w:firstLine="640" w:firstLineChars="200"/>
        <w:rPr>
          <w:rFonts w:hint="eastAsia" w:ascii="仿宋" w:hAnsi="仿宋" w:eastAsia="仿宋"/>
          <w:sz w:val="32"/>
          <w:szCs w:val="32"/>
        </w:rPr>
      </w:pPr>
    </w:p>
    <w:p>
      <w:pPr>
        <w:spacing w:line="600" w:lineRule="exact"/>
        <w:jc w:val="left"/>
        <w:rPr>
          <w:rFonts w:ascii="仿宋_GB2312" w:eastAsia="仿宋_GB2312"/>
          <w:sz w:val="32"/>
          <w:szCs w:val="32"/>
        </w:rPr>
      </w:pPr>
    </w:p>
    <w:p>
      <w:pPr>
        <w:pStyle w:val="2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outlineLvl w:val="1"/>
        <w:rPr>
          <w:rStyle w:val="27"/>
          <w:rFonts w:ascii="黑体" w:hAnsi="黑体" w:eastAsia="黑体"/>
          <w:b w:val="0"/>
        </w:rPr>
      </w:pPr>
      <w:bookmarkStart w:id="23" w:name="_Toc15396604"/>
      <w:bookmarkStart w:id="24" w:name="_Toc15377206"/>
      <w:bookmarkStart w:id="25" w:name="_Toc16593"/>
      <w:r>
        <w:rPr>
          <w:rFonts w:hint="eastAsia" w:ascii="黑体" w:hAnsi="黑体" w:eastAsia="黑体"/>
          <w:sz w:val="32"/>
          <w:szCs w:val="32"/>
          <w:lang w:val="en-US" w:eastAsia="zh-CN"/>
        </w:rPr>
        <w:t>二、</w:t>
      </w:r>
      <w:r>
        <w:rPr>
          <w:rFonts w:hint="eastAsia" w:ascii="黑体" w:hAnsi="黑体" w:eastAsia="黑体"/>
          <w:sz w:val="32"/>
          <w:szCs w:val="32"/>
        </w:rPr>
        <w:t>收</w:t>
      </w:r>
      <w:r>
        <w:rPr>
          <w:rStyle w:val="27"/>
          <w:rFonts w:hint="eastAsia" w:ascii="黑体" w:hAnsi="黑体" w:eastAsia="黑体"/>
          <w:b w:val="0"/>
        </w:rPr>
        <w:t>入决算情况说明</w:t>
      </w:r>
      <w:bookmarkEnd w:id="23"/>
      <w:bookmarkEnd w:id="24"/>
      <w:bookmarkEnd w:id="2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仿宋_GB2312" w:cs="Times New Roman"/>
          <w:b w:val="0"/>
          <w:bCs w:val="0"/>
          <w:color w:val="auto"/>
          <w:sz w:val="32"/>
          <w:szCs w:val="32"/>
          <w:highlight w:val="none"/>
          <w:lang w:eastAsia="zh-CN"/>
        </w:rPr>
        <w:t>202</w:t>
      </w: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lang w:eastAsia="zh-CN"/>
        </w:rPr>
        <w:t>年本年收入合计</w:t>
      </w:r>
      <w:r>
        <w:rPr>
          <w:rFonts w:hint="default" w:ascii="Times New Roman" w:hAnsi="Times New Roman" w:eastAsia="仿宋_GB2312" w:cs="Times New Roman"/>
          <w:b w:val="0"/>
          <w:bCs w:val="0"/>
          <w:color w:val="auto"/>
          <w:sz w:val="32"/>
          <w:szCs w:val="32"/>
          <w:highlight w:val="none"/>
          <w:lang w:val="en-US" w:eastAsia="zh-CN"/>
        </w:rPr>
        <w:t>289.34</w:t>
      </w:r>
      <w:r>
        <w:rPr>
          <w:rFonts w:hint="default" w:ascii="Times New Roman" w:hAnsi="Times New Roman" w:eastAsia="仿宋_GB2312" w:cs="Times New Roman"/>
          <w:b w:val="0"/>
          <w:bCs w:val="0"/>
          <w:color w:val="auto"/>
          <w:sz w:val="32"/>
          <w:szCs w:val="32"/>
          <w:highlight w:val="none"/>
          <w:lang w:eastAsia="zh-CN"/>
        </w:rPr>
        <w:t>万元，其中：一般公共预算财政拨款收入</w:t>
      </w:r>
      <w:r>
        <w:rPr>
          <w:rFonts w:hint="default" w:ascii="Times New Roman" w:hAnsi="Times New Roman" w:eastAsia="仿宋_GB2312" w:cs="Times New Roman"/>
          <w:b w:val="0"/>
          <w:bCs w:val="0"/>
          <w:color w:val="auto"/>
          <w:sz w:val="32"/>
          <w:szCs w:val="32"/>
          <w:highlight w:val="none"/>
          <w:lang w:val="en-US" w:eastAsia="zh-CN"/>
        </w:rPr>
        <w:t>289.34</w:t>
      </w:r>
      <w:r>
        <w:rPr>
          <w:rFonts w:hint="default" w:ascii="Times New Roman" w:hAnsi="Times New Roman" w:eastAsia="仿宋_GB2312" w:cs="Times New Roman"/>
          <w:b w:val="0"/>
          <w:bCs w:val="0"/>
          <w:color w:val="auto"/>
          <w:sz w:val="32"/>
          <w:szCs w:val="32"/>
          <w:highlight w:val="none"/>
          <w:lang w:eastAsia="zh-CN"/>
        </w:rPr>
        <w:t>万元，占</w:t>
      </w:r>
      <w:r>
        <w:rPr>
          <w:rFonts w:hint="default" w:ascii="Times New Roman" w:hAnsi="Times New Roman" w:eastAsia="仿宋_GB2312" w:cs="Times New Roman"/>
          <w:b w:val="0"/>
          <w:bCs w:val="0"/>
          <w:color w:val="auto"/>
          <w:sz w:val="32"/>
          <w:szCs w:val="32"/>
          <w:highlight w:val="none"/>
          <w:lang w:val="en-US" w:eastAsia="zh-CN"/>
        </w:rPr>
        <w:t>100</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sz w:val="32"/>
          <w:szCs w:val="32"/>
        </w:rPr>
        <w:t>政府性基金预算财政拨款收入0万元，占0%；国有资本经营预算财政拨款收入0万元，占0%；上级补助收入0万元，占0%；事业收入0万元，占0%；经营收入0万元，占0%；附属单位上缴收入0万元，占0%；其他收入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pPr>
        <w:spacing w:line="600" w:lineRule="exact"/>
        <w:ind w:firstLine="640" w:firstLineChars="200"/>
        <w:rPr>
          <w:rFonts w:hint="eastAsia" w:ascii="仿宋" w:hAnsi="仿宋" w:eastAsia="仿宋"/>
          <w:sz w:val="32"/>
          <w:szCs w:val="32"/>
          <w:lang w:eastAsia="zh-CN"/>
        </w:rPr>
        <w:sectPr>
          <w:footerReference r:id="rId5" w:type="first"/>
          <w:footerReference r:id="rId4" w:type="default"/>
          <w:pgSz w:w="11906" w:h="16838"/>
          <w:pgMar w:top="1440" w:right="1800" w:bottom="1440" w:left="1800" w:header="851" w:footer="992" w:gutter="0"/>
          <w:pgNumType w:fmt="decimal" w:start="1"/>
          <w:cols w:space="425" w:num="1"/>
          <w:docGrid w:type="lines" w:linePitch="312" w:charSpace="0"/>
        </w:sectPr>
      </w:pPr>
    </w:p>
    <w:p>
      <w:pPr>
        <w:spacing w:line="600" w:lineRule="exact"/>
        <w:ind w:firstLine="640" w:firstLineChars="200"/>
        <w:rPr>
          <w:rFonts w:hint="eastAsia" w:ascii="仿宋" w:hAnsi="仿宋" w:eastAsia="仿宋"/>
          <w:sz w:val="32"/>
          <w:szCs w:val="32"/>
          <w:lang w:eastAsia="zh-CN"/>
        </w:rPr>
      </w:pPr>
      <w:r>
        <w:rPr>
          <w:rFonts w:hint="default" w:ascii="Times New Roman" w:hAnsi="Times New Roman" w:eastAsia="仿宋" w:cs="Times New Roman"/>
          <w:sz w:val="32"/>
          <w:szCs w:val="32"/>
          <w:lang w:eastAsia="zh-CN"/>
        </w:rPr>
        <w:drawing>
          <wp:anchor distT="0" distB="0" distL="114300" distR="114300" simplePos="0" relativeHeight="251661312" behindDoc="0" locked="0" layoutInCell="1" allowOverlap="1">
            <wp:simplePos x="0" y="0"/>
            <wp:positionH relativeFrom="column">
              <wp:posOffset>190500</wp:posOffset>
            </wp:positionH>
            <wp:positionV relativeFrom="page">
              <wp:posOffset>1390650</wp:posOffset>
            </wp:positionV>
            <wp:extent cx="4812665" cy="3403600"/>
            <wp:effectExtent l="4445" t="5080" r="21590" b="20320"/>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pStyle w:val="25"/>
        <w:numPr>
          <w:ilvl w:val="0"/>
          <w:numId w:val="0"/>
        </w:numPr>
        <w:spacing w:line="600" w:lineRule="exact"/>
        <w:outlineLvl w:val="9"/>
        <w:rPr>
          <w:rStyle w:val="27"/>
          <w:rFonts w:ascii="黑体" w:hAnsi="黑体" w:eastAsia="黑体"/>
          <w:b w:val="0"/>
        </w:rPr>
      </w:pPr>
      <w:bookmarkStart w:id="26" w:name="_Toc15377207"/>
      <w:bookmarkStart w:id="27" w:name="_Toc15396605"/>
    </w:p>
    <w:p>
      <w:pPr>
        <w:pStyle w:val="25"/>
        <w:numPr>
          <w:ilvl w:val="0"/>
          <w:numId w:val="0"/>
        </w:numPr>
        <w:spacing w:line="600" w:lineRule="exact"/>
        <w:outlineLvl w:val="9"/>
        <w:rPr>
          <w:rStyle w:val="27"/>
          <w:rFonts w:ascii="黑体" w:hAnsi="黑体" w:eastAsia="黑体"/>
          <w:b w:val="0"/>
        </w:rPr>
      </w:pPr>
    </w:p>
    <w:p>
      <w:pPr>
        <w:pStyle w:val="25"/>
        <w:numPr>
          <w:ilvl w:val="0"/>
          <w:numId w:val="0"/>
        </w:numPr>
        <w:spacing w:line="600" w:lineRule="exact"/>
        <w:ind w:left="840" w:leftChars="0"/>
        <w:outlineLvl w:val="1"/>
        <w:rPr>
          <w:rStyle w:val="27"/>
          <w:rFonts w:ascii="黑体" w:hAnsi="黑体" w:eastAsia="黑体"/>
          <w:b w:val="0"/>
        </w:rPr>
      </w:pPr>
      <w:bookmarkStart w:id="28" w:name="_Toc28473"/>
      <w:r>
        <w:rPr>
          <w:rFonts w:hint="eastAsia" w:ascii="黑体" w:hAnsi="黑体" w:eastAsia="黑体"/>
          <w:sz w:val="32"/>
          <w:szCs w:val="32"/>
          <w:lang w:val="en-US" w:eastAsia="zh-CN"/>
        </w:rPr>
        <w:t>三、</w:t>
      </w:r>
      <w:r>
        <w:rPr>
          <w:rFonts w:hint="eastAsia" w:ascii="黑体" w:hAnsi="黑体" w:eastAsia="黑体"/>
          <w:sz w:val="32"/>
          <w:szCs w:val="32"/>
        </w:rPr>
        <w:t>支</w:t>
      </w:r>
      <w:r>
        <w:rPr>
          <w:rStyle w:val="27"/>
          <w:rFonts w:hint="eastAsia" w:ascii="黑体" w:hAnsi="黑体" w:eastAsia="黑体"/>
          <w:b w:val="0"/>
        </w:rPr>
        <w:t>出决算情况说明</w:t>
      </w:r>
      <w:bookmarkEnd w:id="26"/>
      <w:bookmarkEnd w:id="27"/>
      <w:bookmarkEnd w:id="2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2022年本年支出合计</w:t>
      </w:r>
      <w:r>
        <w:rPr>
          <w:rFonts w:hint="default" w:ascii="Times New Roman" w:hAnsi="Times New Roman" w:eastAsia="仿宋_GB2312" w:cs="Times New Roman"/>
          <w:sz w:val="32"/>
          <w:szCs w:val="32"/>
          <w:lang w:val="en-US" w:eastAsia="zh-CN"/>
        </w:rPr>
        <w:t>289.34</w:t>
      </w:r>
      <w:r>
        <w:rPr>
          <w:rFonts w:hint="default"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lang w:val="en-US" w:eastAsia="zh-CN"/>
        </w:rPr>
        <w:t>256.24</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88.56</w:t>
      </w:r>
      <w:r>
        <w:rPr>
          <w:rFonts w:hint="default" w:ascii="Times New Roman" w:hAnsi="Times New Roman" w:eastAsia="仿宋_GB2312" w:cs="Times New Roman"/>
          <w:sz w:val="32"/>
          <w:szCs w:val="32"/>
        </w:rPr>
        <w:t>%；项目支出</w:t>
      </w:r>
      <w:r>
        <w:rPr>
          <w:rFonts w:hint="default" w:ascii="Times New Roman" w:hAnsi="Times New Roman" w:eastAsia="仿宋_GB2312" w:cs="Times New Roman"/>
          <w:sz w:val="32"/>
          <w:szCs w:val="32"/>
          <w:lang w:val="en-US" w:eastAsia="zh-CN"/>
        </w:rPr>
        <w:t>33.09</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11.44</w:t>
      </w:r>
      <w:r>
        <w:rPr>
          <w:rFonts w:hint="default" w:ascii="Times New Roman" w:hAnsi="Times New Roman" w:eastAsia="仿宋_GB2312" w:cs="Times New Roman"/>
          <w:sz w:val="32"/>
          <w:szCs w:val="32"/>
        </w:rPr>
        <w:t>%；上缴上级支出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w:t>
      </w:r>
      <w:r>
        <w:rPr>
          <w:rFonts w:hint="eastAsia" w:eastAsia="仿宋_GB2312" w:cs="Times New Roman"/>
          <w:sz w:val="32"/>
          <w:szCs w:val="32"/>
          <w:lang w:val="en-US" w:eastAsia="zh-CN"/>
        </w:rPr>
        <w:t>占0%</w:t>
      </w:r>
      <w:r>
        <w:rPr>
          <w:rFonts w:hint="default" w:ascii="Times New Roman" w:hAnsi="Times New Roman" w:eastAsia="仿宋_GB2312" w:cs="Times New Roman"/>
          <w:sz w:val="32"/>
          <w:szCs w:val="32"/>
        </w:rPr>
        <w:t>；经营支出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w:t>
      </w:r>
      <w:r>
        <w:rPr>
          <w:rFonts w:hint="eastAsia" w:eastAsia="仿宋_GB2312" w:cs="Times New Roman"/>
          <w:sz w:val="32"/>
          <w:szCs w:val="32"/>
          <w:lang w:val="en-US" w:eastAsia="zh-CN"/>
        </w:rPr>
        <w:t>占0%</w:t>
      </w:r>
      <w:r>
        <w:rPr>
          <w:rFonts w:hint="default" w:ascii="Times New Roman" w:hAnsi="Times New Roman" w:eastAsia="仿宋_GB2312" w:cs="Times New Roman"/>
          <w:sz w:val="32"/>
          <w:szCs w:val="32"/>
        </w:rPr>
        <w:t>；对附属单位补助支出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w:t>
      </w:r>
      <w:r>
        <w:rPr>
          <w:rFonts w:hint="eastAsia" w:eastAsia="仿宋_GB2312" w:cs="Times New Roman"/>
          <w:sz w:val="32"/>
          <w:szCs w:val="32"/>
          <w:lang w:val="en-US" w:eastAsia="zh-CN"/>
        </w:rPr>
        <w:t>占0%</w:t>
      </w:r>
      <w:r>
        <w:rPr>
          <w:rFonts w:hint="default" w:ascii="Times New Roman" w:hAnsi="Times New Roman" w:eastAsia="仿宋_GB2312" w:cs="Times New Roman"/>
          <w:sz w:val="32"/>
          <w:szCs w:val="32"/>
        </w:rPr>
        <w:t>。</w:t>
      </w:r>
    </w:p>
    <w:p>
      <w:pPr>
        <w:pStyle w:val="2"/>
        <w:rPr>
          <w:rFonts w:hint="eastAsia" w:ascii="仿宋" w:hAnsi="仿宋" w:eastAsia="仿宋"/>
          <w:b/>
          <w:sz w:val="32"/>
          <w:szCs w:val="32"/>
        </w:rPr>
      </w:pPr>
      <w:r>
        <w:rPr>
          <w:rFonts w:hint="default" w:ascii="Times New Roman" w:hAnsi="Times New Roman" w:eastAsia="仿宋_GB2312" w:cs="Times New Roman"/>
          <w:b/>
          <w:sz w:val="32"/>
          <w:szCs w:val="32"/>
          <w:lang w:eastAsia="zh-CN"/>
        </w:rPr>
        <w:drawing>
          <wp:anchor distT="0" distB="0" distL="114300" distR="114300" simplePos="0" relativeHeight="251664384" behindDoc="0" locked="0" layoutInCell="1" allowOverlap="1">
            <wp:simplePos x="0" y="0"/>
            <wp:positionH relativeFrom="column">
              <wp:posOffset>509270</wp:posOffset>
            </wp:positionH>
            <wp:positionV relativeFrom="page">
              <wp:posOffset>6615430</wp:posOffset>
            </wp:positionV>
            <wp:extent cx="4194810" cy="2963545"/>
            <wp:effectExtent l="4445" t="5080" r="10795" b="2222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2"/>
        <w:rPr>
          <w:rFonts w:hint="eastAsia" w:ascii="仿宋" w:hAnsi="仿宋" w:eastAsia="仿宋"/>
          <w:b/>
          <w:sz w:val="32"/>
          <w:szCs w:val="32"/>
        </w:rPr>
      </w:pPr>
    </w:p>
    <w:p>
      <w:pPr>
        <w:spacing w:line="600" w:lineRule="exact"/>
        <w:ind w:firstLine="640"/>
        <w:rPr>
          <w:rFonts w:ascii="仿宋" w:hAnsi="仿宋" w:eastAsia="仿宋"/>
          <w:sz w:val="32"/>
          <w:szCs w:val="32"/>
          <w:shd w:val="pct10" w:color="auto" w:fill="FFFFFF"/>
        </w:rPr>
      </w:pPr>
    </w:p>
    <w:p>
      <w:pPr>
        <w:spacing w:line="600" w:lineRule="exact"/>
        <w:ind w:firstLine="640" w:firstLineChars="200"/>
        <w:outlineLvl w:val="9"/>
        <w:rPr>
          <w:rFonts w:hint="eastAsia" w:ascii="黑体" w:hAnsi="黑体" w:eastAsia="黑体"/>
          <w:sz w:val="32"/>
          <w:szCs w:val="32"/>
        </w:rPr>
      </w:pPr>
      <w:bookmarkStart w:id="29" w:name="_Toc15377208"/>
      <w:bookmarkStart w:id="30" w:name="_Toc15396606"/>
    </w:p>
    <w:p>
      <w:pPr>
        <w:pStyle w:val="2"/>
        <w:rPr>
          <w:rFonts w:hint="eastAsia" w:ascii="黑体" w:hAnsi="黑体" w:eastAsia="黑体"/>
          <w:sz w:val="32"/>
          <w:szCs w:val="32"/>
        </w:rPr>
      </w:pPr>
    </w:p>
    <w:p>
      <w:pPr>
        <w:pStyle w:val="2"/>
        <w:rPr>
          <w:rFonts w:hint="eastAsia" w:ascii="黑体" w:hAnsi="黑体" w:eastAsia="黑体"/>
          <w:sz w:val="32"/>
          <w:szCs w:val="32"/>
        </w:rPr>
      </w:pPr>
    </w:p>
    <w:p>
      <w:pPr>
        <w:spacing w:line="600" w:lineRule="exact"/>
        <w:outlineLvl w:val="9"/>
        <w:rPr>
          <w:rFonts w:hint="eastAsia" w:ascii="黑体" w:hAnsi="黑体" w:eastAsia="黑体"/>
          <w:sz w:val="32"/>
          <w:szCs w:val="32"/>
        </w:rPr>
      </w:pPr>
    </w:p>
    <w:p>
      <w:pPr>
        <w:spacing w:line="600" w:lineRule="exact"/>
        <w:ind w:firstLine="640" w:firstLineChars="200"/>
        <w:outlineLvl w:val="1"/>
        <w:rPr>
          <w:rStyle w:val="27"/>
          <w:rFonts w:ascii="黑体" w:hAnsi="黑体" w:eastAsia="黑体"/>
          <w:b w:val="0"/>
        </w:rPr>
      </w:pPr>
      <w:bookmarkStart w:id="31" w:name="_Toc19596"/>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2022年财政拨款收、支总计289.34万元。与2021年相比，财政拨款收、支总计各减少0.88万元，下降0.3%。主要变动原因是</w:t>
      </w:r>
      <w:r>
        <w:rPr>
          <w:rFonts w:hint="eastAsia" w:ascii="仿宋_GB2312" w:hAnsi="仿宋_GB2312" w:eastAsia="仿宋_GB2312" w:cs="仿宋_GB2312"/>
          <w:b w:val="0"/>
          <w:bCs w:val="0"/>
          <w:color w:val="auto"/>
          <w:sz w:val="32"/>
          <w:szCs w:val="32"/>
          <w:highlight w:val="none"/>
          <w:lang w:val="en-US" w:eastAsia="zh-CN"/>
        </w:rPr>
        <w:t>本年度调离单位8人，在职工工资福利支出方面变动较大，单位基本支出256.24万元比上年减少8.82万元，项目支出方面省级财政困难群众社会保险代缴资金项目，因代缴人数增加，该项目支出增加6.79万元，其他方面支出变动不大</w:t>
      </w:r>
      <w:r>
        <w:rPr>
          <w:rFonts w:hint="eastAsia" w:ascii="仿宋_GB2312" w:hAnsi="仿宋_GB2312" w:eastAsia="仿宋_GB2312" w:cs="仿宋_GB2312"/>
          <w:sz w:val="32"/>
          <w:szCs w:val="32"/>
        </w:rPr>
        <w:t>。</w:t>
      </w:r>
    </w:p>
    <w:p>
      <w:pPr>
        <w:pStyle w:val="2"/>
        <w:rPr>
          <w:rFonts w:hint="eastAsia" w:ascii="仿宋" w:hAnsi="仿宋" w:eastAsia="仿宋"/>
          <w:sz w:val="32"/>
          <w:szCs w:val="32"/>
          <w:lang w:eastAsia="zh-CN"/>
        </w:rPr>
      </w:pPr>
      <w:r>
        <w:rPr>
          <w:rFonts w:hint="eastAsia" w:ascii="仿宋" w:hAnsi="仿宋" w:eastAsia="仿宋"/>
          <w:sz w:val="32"/>
          <w:szCs w:val="32"/>
          <w:lang w:eastAsia="zh-CN"/>
        </w:rPr>
        <w:drawing>
          <wp:anchor distT="0" distB="0" distL="114300" distR="114300" simplePos="0" relativeHeight="251665408" behindDoc="0" locked="0" layoutInCell="1" allowOverlap="1">
            <wp:simplePos x="0" y="0"/>
            <wp:positionH relativeFrom="column">
              <wp:posOffset>471170</wp:posOffset>
            </wp:positionH>
            <wp:positionV relativeFrom="page">
              <wp:posOffset>3893185</wp:posOffset>
            </wp:positionV>
            <wp:extent cx="4413885" cy="3180715"/>
            <wp:effectExtent l="4445" t="4445" r="20320" b="15240"/>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spacing w:line="600" w:lineRule="exact"/>
        <w:ind w:firstLine="640" w:firstLineChars="200"/>
        <w:outlineLvl w:val="9"/>
        <w:rPr>
          <w:rFonts w:hint="eastAsia" w:ascii="黑体" w:hAnsi="黑体" w:eastAsia="黑体"/>
          <w:sz w:val="32"/>
          <w:szCs w:val="32"/>
        </w:rPr>
      </w:pPr>
      <w:bookmarkStart w:id="32" w:name="_Toc15377209"/>
      <w:bookmarkStart w:id="33" w:name="_Toc15396607"/>
    </w:p>
    <w:p>
      <w:pPr>
        <w:spacing w:line="600" w:lineRule="exact"/>
        <w:ind w:firstLine="640" w:firstLineChars="200"/>
        <w:outlineLvl w:val="1"/>
        <w:rPr>
          <w:rStyle w:val="27"/>
          <w:rFonts w:ascii="黑体" w:hAnsi="黑体" w:eastAsia="黑体"/>
          <w:b w:val="0"/>
        </w:rPr>
      </w:pPr>
      <w:bookmarkStart w:id="34" w:name="_Toc25695"/>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32"/>
      <w:bookmarkEnd w:id="33"/>
      <w:bookmarkEnd w:id="3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Times New Roman" w:hAnsi="Times New Roman" w:eastAsia="仿宋_GB2312" w:cs="Times New Roman"/>
          <w:b/>
          <w:sz w:val="32"/>
          <w:szCs w:val="32"/>
        </w:rPr>
      </w:pPr>
      <w:bookmarkStart w:id="35" w:name="_Toc15377210"/>
      <w:r>
        <w:rPr>
          <w:rFonts w:hint="default" w:ascii="Times New Roman" w:hAnsi="Times New Roman" w:eastAsia="仿宋_GB2312" w:cs="Times New Roman"/>
          <w:b/>
          <w:sz w:val="32"/>
          <w:szCs w:val="32"/>
        </w:rPr>
        <w:t>（一）一般公共预算财政拨款支出决算总体情况</w:t>
      </w:r>
      <w:bookmarkEnd w:id="3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2022年一般公共预算财政拨款支出</w:t>
      </w:r>
      <w:r>
        <w:rPr>
          <w:rFonts w:hint="default" w:ascii="Times New Roman" w:hAnsi="Times New Roman" w:eastAsia="仿宋_GB2312" w:cs="Times New Roman"/>
          <w:sz w:val="32"/>
          <w:szCs w:val="32"/>
          <w:lang w:val="en-US" w:eastAsia="zh-CN"/>
        </w:rPr>
        <w:t>289.34</w:t>
      </w:r>
      <w:r>
        <w:rPr>
          <w:rFonts w:hint="default"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%。与2021年相比，一般公共预算财政拨款支出减少</w:t>
      </w:r>
      <w:r>
        <w:rPr>
          <w:rFonts w:hint="default" w:ascii="Times New Roman" w:hAnsi="Times New Roman" w:eastAsia="仿宋_GB2312" w:cs="Times New Roman"/>
          <w:sz w:val="32"/>
          <w:szCs w:val="32"/>
          <w:lang w:val="en-US" w:eastAsia="zh-CN"/>
        </w:rPr>
        <w:t>0.88</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0.3</w:t>
      </w:r>
      <w:r>
        <w:rPr>
          <w:rFonts w:hint="default" w:ascii="Times New Roman" w:hAnsi="Times New Roman" w:eastAsia="仿宋_GB2312" w:cs="Times New Roman"/>
          <w:sz w:val="32"/>
          <w:szCs w:val="32"/>
        </w:rPr>
        <w:t>%。主要变动原因是</w:t>
      </w:r>
      <w:r>
        <w:rPr>
          <w:rFonts w:hint="default" w:ascii="Times New Roman" w:hAnsi="Times New Roman" w:eastAsia="仿宋_GB2312" w:cs="Times New Roman"/>
          <w:b w:val="0"/>
          <w:bCs w:val="0"/>
          <w:color w:val="auto"/>
          <w:sz w:val="32"/>
          <w:szCs w:val="32"/>
          <w:highlight w:val="none"/>
          <w:lang w:val="en-US" w:eastAsia="zh-CN"/>
        </w:rPr>
        <w:t>本年度调离单位8人，在职工工资福利支出方面变动较大，单位基本支出256.24万元比上年减少8.82万元，项目支出方面省级财政困难群众社会保险代缴资金项目，因代缴人数增加，该项目支出增加6.79万元，其他方面支出变动不大</w:t>
      </w:r>
      <w:r>
        <w:rPr>
          <w:rFonts w:hint="default" w:ascii="Times New Roman" w:hAnsi="Times New Roman" w:eastAsia="仿宋_GB2312" w:cs="Times New Roman"/>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63360" behindDoc="0" locked="0" layoutInCell="1" allowOverlap="1">
            <wp:simplePos x="0" y="0"/>
            <wp:positionH relativeFrom="column">
              <wp:posOffset>353695</wp:posOffset>
            </wp:positionH>
            <wp:positionV relativeFrom="page">
              <wp:posOffset>2085975</wp:posOffset>
            </wp:positionV>
            <wp:extent cx="4681220" cy="2991485"/>
            <wp:effectExtent l="4445" t="4445" r="19685" b="1397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9"/>
        <w:rPr>
          <w:rFonts w:hint="eastAsia" w:ascii="仿宋" w:hAnsi="仿宋" w:eastAsia="仿宋"/>
          <w:b/>
          <w:sz w:val="32"/>
          <w:szCs w:val="32"/>
        </w:rPr>
      </w:pPr>
      <w:bookmarkStart w:id="36" w:name="_Toc15377211"/>
    </w:p>
    <w:p>
      <w:pPr>
        <w:spacing w:line="600" w:lineRule="exact"/>
        <w:ind w:firstLine="643" w:firstLineChars="200"/>
        <w:outlineLvl w:val="9"/>
        <w:rPr>
          <w:rFonts w:hint="eastAsia" w:ascii="仿宋" w:hAnsi="仿宋" w:eastAsia="仿宋"/>
          <w:b/>
          <w:sz w:val="32"/>
          <w:szCs w:val="32"/>
        </w:rPr>
      </w:pPr>
    </w:p>
    <w:p>
      <w:pPr>
        <w:spacing w:line="600" w:lineRule="exact"/>
        <w:ind w:firstLine="643" w:firstLineChars="200"/>
        <w:outlineLvl w:val="9"/>
        <w:rPr>
          <w:rFonts w:hint="eastAsia" w:ascii="仿宋" w:hAnsi="仿宋" w:eastAsia="仿宋"/>
          <w:b/>
          <w:sz w:val="32"/>
          <w:szCs w:val="32"/>
        </w:rPr>
      </w:pPr>
    </w:p>
    <w:p>
      <w:pPr>
        <w:spacing w:line="600" w:lineRule="exact"/>
        <w:ind w:firstLine="643" w:firstLineChars="200"/>
        <w:outlineLvl w:val="9"/>
        <w:rPr>
          <w:rFonts w:hint="eastAsia" w:ascii="仿宋" w:hAnsi="仿宋" w:eastAsia="仿宋"/>
          <w:b/>
          <w:sz w:val="32"/>
          <w:szCs w:val="32"/>
        </w:rPr>
      </w:pPr>
    </w:p>
    <w:p>
      <w:pPr>
        <w:spacing w:line="600" w:lineRule="exact"/>
        <w:ind w:firstLine="643" w:firstLineChars="200"/>
        <w:outlineLvl w:val="9"/>
        <w:rPr>
          <w:rFonts w:hint="eastAsia" w:ascii="仿宋" w:hAnsi="仿宋" w:eastAsia="仿宋"/>
          <w:b/>
          <w:sz w:val="32"/>
          <w:szCs w:val="32"/>
        </w:rPr>
      </w:pPr>
    </w:p>
    <w:p>
      <w:pPr>
        <w:pStyle w:val="2"/>
        <w:keepNext w:val="0"/>
        <w:keepLines w:val="0"/>
        <w:pageBreakBefore w:val="0"/>
        <w:widowControl w:val="0"/>
        <w:kinsoku/>
        <w:wordWrap/>
        <w:overflowPunct/>
        <w:topLinePunct w:val="0"/>
        <w:autoSpaceDE/>
        <w:autoSpaceDN/>
        <w:bidi w:val="0"/>
        <w:adjustRightInd/>
        <w:snapToGrid/>
        <w:spacing w:beforeLines="0"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（二）一般公共预算财政拨款支出决算结构情况</w:t>
      </w:r>
      <w:bookmarkEnd w:id="3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2022年一般公共预算财政拨款支出</w:t>
      </w:r>
      <w:r>
        <w:rPr>
          <w:rFonts w:hint="default" w:ascii="Times New Roman" w:hAnsi="Times New Roman" w:eastAsia="仿宋_GB2312" w:cs="Times New Roman"/>
          <w:sz w:val="32"/>
          <w:szCs w:val="32"/>
          <w:lang w:val="en-US" w:eastAsia="zh-CN"/>
        </w:rPr>
        <w:t>289.34</w:t>
      </w:r>
      <w:r>
        <w:rPr>
          <w:rFonts w:hint="default" w:ascii="Times New Roman" w:hAnsi="Times New Roman" w:eastAsia="仿宋_GB2312" w:cs="Times New Roman"/>
          <w:sz w:val="32"/>
          <w:szCs w:val="32"/>
        </w:rPr>
        <w:t>万元，主要用于以下方面:</w:t>
      </w:r>
      <w:r>
        <w:rPr>
          <w:rFonts w:hint="default" w:ascii="Times New Roman" w:hAnsi="Times New Roman" w:eastAsia="仿宋_GB2312" w:cs="Times New Roman"/>
          <w:b/>
          <w:sz w:val="32"/>
          <w:szCs w:val="32"/>
        </w:rPr>
        <w:t>社会保障和就业</w:t>
      </w:r>
      <w:r>
        <w:rPr>
          <w:rFonts w:hint="default" w:ascii="Times New Roman" w:hAnsi="Times New Roman" w:eastAsia="仿宋_GB2312" w:cs="Times New Roman"/>
          <w:b/>
          <w:bCs/>
          <w:sz w:val="32"/>
          <w:szCs w:val="32"/>
        </w:rPr>
        <w:t>支出</w:t>
      </w:r>
      <w:r>
        <w:rPr>
          <w:rFonts w:hint="default" w:ascii="Times New Roman" w:hAnsi="Times New Roman" w:eastAsia="仿宋_GB2312" w:cs="Times New Roman"/>
          <w:sz w:val="32"/>
          <w:szCs w:val="32"/>
          <w:lang w:val="en-US" w:eastAsia="zh-CN"/>
        </w:rPr>
        <w:t>252.35</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87.2</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卫生健康支出</w:t>
      </w:r>
      <w:r>
        <w:rPr>
          <w:rFonts w:hint="default" w:ascii="Times New Roman" w:hAnsi="Times New Roman" w:eastAsia="仿宋_GB2312" w:cs="Times New Roman"/>
          <w:sz w:val="32"/>
          <w:szCs w:val="32"/>
          <w:lang w:val="en-US" w:eastAsia="zh-CN"/>
        </w:rPr>
        <w:t>19.62</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6.8</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住房保障支出</w:t>
      </w:r>
      <w:r>
        <w:rPr>
          <w:rFonts w:hint="default" w:ascii="Times New Roman" w:hAnsi="Times New Roman" w:eastAsia="仿宋_GB2312" w:cs="Times New Roman"/>
          <w:sz w:val="32"/>
          <w:szCs w:val="32"/>
          <w:lang w:val="en-US" w:eastAsia="zh-CN"/>
        </w:rPr>
        <w:t>17.37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p>
    <w:p>
      <w:pPr>
        <w:pStyle w:val="2"/>
        <w:rPr>
          <w:rFonts w:ascii="仿宋" w:hAnsi="仿宋" w:eastAsia="仿宋"/>
          <w:sz w:val="32"/>
          <w:szCs w:val="32"/>
        </w:rPr>
      </w:pPr>
      <w:r>
        <w:rPr>
          <w:rFonts w:hint="eastAsia" w:ascii="仿宋" w:hAnsi="仿宋" w:eastAsia="仿宋"/>
          <w:b/>
          <w:sz w:val="32"/>
          <w:szCs w:val="32"/>
          <w:lang w:eastAsia="zh-CN"/>
        </w:rPr>
        <w:drawing>
          <wp:anchor distT="0" distB="0" distL="114300" distR="114300" simplePos="0" relativeHeight="251666432" behindDoc="0" locked="0" layoutInCell="1" allowOverlap="1">
            <wp:simplePos x="0" y="0"/>
            <wp:positionH relativeFrom="column">
              <wp:posOffset>580390</wp:posOffset>
            </wp:positionH>
            <wp:positionV relativeFrom="page">
              <wp:posOffset>6849110</wp:posOffset>
            </wp:positionV>
            <wp:extent cx="4222750" cy="2838450"/>
            <wp:effectExtent l="4445" t="5080" r="20955" b="1397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pStyle w:val="2"/>
        <w:rPr>
          <w:rFonts w:ascii="仿宋" w:hAnsi="仿宋" w:eastAsia="仿宋"/>
          <w:sz w:val="32"/>
          <w:szCs w:val="32"/>
        </w:rPr>
      </w:pPr>
    </w:p>
    <w:p>
      <w:pPr>
        <w:pStyle w:val="2"/>
        <w:rPr>
          <w:rFonts w:ascii="仿宋" w:hAnsi="仿宋" w:eastAsia="仿宋"/>
          <w:sz w:val="32"/>
          <w:szCs w:val="32"/>
        </w:rPr>
      </w:pPr>
    </w:p>
    <w:p>
      <w:pPr>
        <w:pStyle w:val="2"/>
        <w:rPr>
          <w:rFonts w:ascii="仿宋" w:hAnsi="仿宋" w:eastAsia="仿宋"/>
          <w:sz w:val="32"/>
          <w:szCs w:val="32"/>
        </w:rPr>
      </w:pPr>
    </w:p>
    <w:p>
      <w:pPr>
        <w:spacing w:line="600" w:lineRule="exact"/>
        <w:rPr>
          <w:rFonts w:hint="eastAsia" w:ascii="仿宋" w:hAnsi="仿宋" w:eastAsia="仿宋"/>
          <w:sz w:val="32"/>
          <w:szCs w:val="32"/>
        </w:rPr>
      </w:pPr>
    </w:p>
    <w:p>
      <w:pPr>
        <w:spacing w:line="600" w:lineRule="exact"/>
        <w:ind w:firstLine="640"/>
        <w:outlineLvl w:val="9"/>
        <w:rPr>
          <w:rFonts w:hint="eastAsia" w:ascii="楷体" w:hAnsi="楷体" w:eastAsia="楷体" w:cs="楷体"/>
          <w:b w:val="0"/>
          <w:bCs/>
          <w:sz w:val="32"/>
          <w:szCs w:val="32"/>
        </w:rPr>
      </w:pPr>
      <w:bookmarkStart w:id="37" w:name="_Toc15377212"/>
      <w:bookmarkStart w:id="38" w:name="_Toc18918"/>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9"/>
        <w:rPr>
          <w:rFonts w:hint="eastAsia" w:ascii="楷体" w:hAnsi="楷体" w:eastAsia="楷体" w:cs="楷体"/>
          <w:b w:val="0"/>
          <w:bCs/>
          <w:sz w:val="32"/>
          <w:szCs w:val="32"/>
          <w:lang w:eastAsia="zh-CN"/>
        </w:rPr>
      </w:pP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b/>
          <w:bCs w:val="0"/>
          <w:sz w:val="32"/>
          <w:szCs w:val="32"/>
        </w:rPr>
        <w:t>三）一般公共预算财政拨款支出决算具体情况</w:t>
      </w:r>
      <w:bookmarkEnd w:id="37"/>
      <w:bookmarkEnd w:id="38"/>
      <w:r>
        <w:rPr>
          <w:rFonts w:hint="eastAsia" w:ascii="仿宋_GB2312" w:hAnsi="仿宋_GB2312" w:eastAsia="仿宋_GB2312" w:cs="仿宋_GB2312"/>
          <w:b/>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outlineLvl w:val="9"/>
        <w:rPr>
          <w:rFonts w:hint="eastAsia" w:ascii="仿宋_GB2312" w:hAnsi="仿宋_GB2312" w:eastAsia="仿宋_GB2312" w:cs="仿宋_GB2312"/>
          <w:sz w:val="32"/>
          <w:szCs w:val="32"/>
        </w:rPr>
      </w:pPr>
      <w:bookmarkStart w:id="39" w:name="_Toc15377213"/>
      <w:bookmarkStart w:id="40" w:name="_Toc15378460"/>
      <w:bookmarkStart w:id="41" w:name="_Toc15377444"/>
      <w:r>
        <w:rPr>
          <w:rFonts w:hint="eastAsia" w:ascii="仿宋_GB2312" w:hAnsi="仿宋_GB2312" w:eastAsia="仿宋_GB2312" w:cs="仿宋_GB2312"/>
          <w:b/>
          <w:sz w:val="32"/>
          <w:szCs w:val="32"/>
        </w:rPr>
        <w:t>2022年一般公共预算支出决算数为</w:t>
      </w:r>
      <w:r>
        <w:rPr>
          <w:rFonts w:hint="eastAsia" w:ascii="仿宋_GB2312" w:hAnsi="仿宋_GB2312" w:eastAsia="仿宋_GB2312" w:cs="仿宋_GB2312"/>
          <w:b/>
          <w:sz w:val="32"/>
          <w:szCs w:val="32"/>
          <w:lang w:val="en-US" w:eastAsia="zh-CN"/>
        </w:rPr>
        <w:t>289.34</w:t>
      </w:r>
      <w:r>
        <w:rPr>
          <w:rFonts w:hint="eastAsia" w:ascii="仿宋_GB2312" w:hAnsi="仿宋_GB2312" w:eastAsia="仿宋_GB2312" w:cs="仿宋_GB2312"/>
          <w:sz w:val="32"/>
          <w:szCs w:val="32"/>
        </w:rPr>
        <w:t>，</w:t>
      </w:r>
      <w:r>
        <w:rPr>
          <w:rStyle w:val="16"/>
          <w:rFonts w:hint="eastAsia" w:ascii="仿宋_GB2312" w:hAnsi="仿宋_GB2312" w:eastAsia="仿宋_GB2312" w:cs="仿宋_GB2312"/>
          <w:bCs/>
          <w:sz w:val="32"/>
          <w:szCs w:val="32"/>
        </w:rPr>
        <w:t>完成预算</w:t>
      </w:r>
      <w:r>
        <w:rPr>
          <w:rStyle w:val="16"/>
          <w:rFonts w:hint="eastAsia" w:ascii="仿宋_GB2312" w:hAnsi="仿宋_GB2312" w:eastAsia="仿宋_GB2312" w:cs="仿宋_GB2312"/>
          <w:bCs/>
          <w:sz w:val="32"/>
          <w:szCs w:val="32"/>
          <w:lang w:val="en-US" w:eastAsia="zh-CN"/>
        </w:rPr>
        <w:t>100</w:t>
      </w:r>
      <w:r>
        <w:rPr>
          <w:rStyle w:val="16"/>
          <w:rFonts w:hint="eastAsia" w:ascii="仿宋_GB2312" w:hAnsi="仿宋_GB2312" w:eastAsia="仿宋_GB2312" w:cs="仿宋_GB2312"/>
          <w:bCs/>
          <w:sz w:val="32"/>
          <w:szCs w:val="32"/>
        </w:rPr>
        <w:t>%。其中：</w:t>
      </w:r>
      <w:bookmarkEnd w:id="39"/>
      <w:bookmarkEnd w:id="40"/>
      <w:bookmarkEnd w:id="41"/>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rPr>
        <w:t>社会保障和就业（</w:t>
      </w:r>
      <w:r>
        <w:rPr>
          <w:rFonts w:hint="default" w:ascii="Times New Roman" w:hAnsi="Times New Roman" w:eastAsia="仿宋_GB2312" w:cs="Times New Roman"/>
          <w:b/>
          <w:bCs/>
          <w:color w:val="auto"/>
          <w:sz w:val="32"/>
          <w:szCs w:val="32"/>
          <w:lang w:val="en-US" w:eastAsia="zh-CN"/>
        </w:rPr>
        <w:t>208类</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eastAsia="zh-CN"/>
        </w:rPr>
        <w:t>支出决算数为</w:t>
      </w:r>
      <w:r>
        <w:rPr>
          <w:rFonts w:hint="default" w:ascii="Times New Roman" w:hAnsi="Times New Roman" w:eastAsia="仿宋_GB2312" w:cs="Times New Roman"/>
          <w:b/>
          <w:bCs/>
          <w:color w:val="auto"/>
          <w:sz w:val="32"/>
          <w:szCs w:val="32"/>
          <w:lang w:val="en-US" w:eastAsia="zh-CN"/>
        </w:rPr>
        <w:t>252.36万元，其中：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（1）</w:t>
      </w:r>
      <w:r>
        <w:rPr>
          <w:rFonts w:hint="default" w:ascii="Times New Roman" w:hAnsi="Times New Roman" w:eastAsia="仿宋_GB2312" w:cs="Times New Roman"/>
          <w:b/>
          <w:bCs/>
          <w:color w:val="auto"/>
          <w:sz w:val="32"/>
          <w:szCs w:val="32"/>
        </w:rPr>
        <w:t>人力资源和社会保障管理事务（</w:t>
      </w:r>
      <w:r>
        <w:rPr>
          <w:rFonts w:hint="default" w:ascii="Times New Roman" w:hAnsi="Times New Roman" w:eastAsia="仿宋_GB2312" w:cs="Times New Roman"/>
          <w:b/>
          <w:bCs/>
          <w:color w:val="auto"/>
          <w:sz w:val="32"/>
          <w:szCs w:val="32"/>
          <w:lang w:val="en-US" w:eastAsia="zh-CN"/>
        </w:rPr>
        <w:t>01款</w:t>
      </w:r>
      <w:r>
        <w:rPr>
          <w:rFonts w:hint="default" w:ascii="Times New Roman" w:hAnsi="Times New Roman" w:eastAsia="仿宋_GB2312" w:cs="Times New Roman"/>
          <w:b/>
          <w:bCs/>
          <w:color w:val="auto"/>
          <w:sz w:val="32"/>
          <w:szCs w:val="32"/>
        </w:rPr>
        <w:t>）行政运行（</w:t>
      </w:r>
      <w:r>
        <w:rPr>
          <w:rFonts w:hint="default" w:ascii="Times New Roman" w:hAnsi="Times New Roman" w:eastAsia="仿宋_GB2312" w:cs="Times New Roman"/>
          <w:b/>
          <w:bCs/>
          <w:color w:val="auto"/>
          <w:sz w:val="32"/>
          <w:szCs w:val="32"/>
          <w:lang w:val="en-US" w:eastAsia="zh-CN"/>
        </w:rPr>
        <w:t>01项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162.42</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bCs/>
          <w:color w:val="auto"/>
          <w:sz w:val="32"/>
          <w:szCs w:val="32"/>
          <w:lang w:val="en-US" w:eastAsia="zh-CN"/>
        </w:rPr>
        <w:t>2）</w:t>
      </w:r>
      <w:r>
        <w:rPr>
          <w:rFonts w:hint="default" w:ascii="Times New Roman" w:hAnsi="Times New Roman" w:eastAsia="仿宋_GB2312" w:cs="Times New Roman"/>
          <w:b/>
          <w:bCs/>
          <w:color w:val="auto"/>
          <w:sz w:val="32"/>
          <w:szCs w:val="32"/>
        </w:rPr>
        <w:t>人力资源和社会保障管理事务（</w:t>
      </w:r>
      <w:r>
        <w:rPr>
          <w:rFonts w:hint="default" w:ascii="Times New Roman" w:hAnsi="Times New Roman" w:eastAsia="仿宋_GB2312" w:cs="Times New Roman"/>
          <w:b/>
          <w:bCs/>
          <w:color w:val="auto"/>
          <w:sz w:val="32"/>
          <w:szCs w:val="32"/>
          <w:lang w:val="en-US" w:eastAsia="zh-CN"/>
        </w:rPr>
        <w:t>01款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eastAsia="zh-CN"/>
        </w:rPr>
        <w:t>一般行政管理事务</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02项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0.72</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人力资源和社会保障管理事务（</w:t>
      </w:r>
      <w:r>
        <w:rPr>
          <w:rFonts w:hint="default" w:ascii="Times New Roman" w:hAnsi="Times New Roman" w:eastAsia="仿宋_GB2312" w:cs="Times New Roman"/>
          <w:b/>
          <w:bCs/>
          <w:color w:val="auto"/>
          <w:sz w:val="32"/>
          <w:szCs w:val="32"/>
          <w:lang w:val="en-US" w:eastAsia="zh-CN"/>
        </w:rPr>
        <w:t>01款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其他人力资源和社会保障管理事务支出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99项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41.71</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（4）</w:t>
      </w:r>
      <w:r>
        <w:rPr>
          <w:rFonts w:hint="default" w:ascii="Times New Roman" w:hAnsi="Times New Roman" w:eastAsia="仿宋_GB2312" w:cs="Times New Roman"/>
          <w:b/>
          <w:bCs/>
          <w:color w:val="auto"/>
          <w:sz w:val="32"/>
          <w:szCs w:val="32"/>
          <w:lang w:eastAsia="zh-CN"/>
        </w:rPr>
        <w:t>行政事业单位养老支出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05款</w:t>
      </w:r>
      <w:r>
        <w:rPr>
          <w:rFonts w:hint="default" w:ascii="Times New Roman" w:hAnsi="Times New Roman" w:eastAsia="仿宋_GB2312" w:cs="Times New Roman"/>
          <w:b/>
          <w:bCs/>
          <w:color w:val="auto"/>
          <w:sz w:val="32"/>
          <w:szCs w:val="32"/>
        </w:rPr>
        <w:t>）行政</w:t>
      </w:r>
      <w:r>
        <w:rPr>
          <w:rFonts w:hint="default" w:ascii="Times New Roman" w:hAnsi="Times New Roman" w:eastAsia="仿宋_GB2312" w:cs="Times New Roman"/>
          <w:b/>
          <w:bCs/>
          <w:color w:val="auto"/>
          <w:sz w:val="32"/>
          <w:szCs w:val="32"/>
          <w:lang w:eastAsia="zh-CN"/>
        </w:rPr>
        <w:t>单位离退休</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01项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8.02</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bCs/>
          <w:color w:val="auto"/>
          <w:sz w:val="32"/>
          <w:szCs w:val="32"/>
          <w:lang w:val="en-US" w:eastAsia="zh-CN"/>
        </w:rPr>
        <w:t>5）</w:t>
      </w:r>
      <w:r>
        <w:rPr>
          <w:rFonts w:hint="default" w:ascii="Times New Roman" w:hAnsi="Times New Roman" w:eastAsia="仿宋_GB2312" w:cs="Times New Roman"/>
          <w:b/>
          <w:bCs/>
          <w:color w:val="auto"/>
          <w:sz w:val="32"/>
          <w:szCs w:val="32"/>
          <w:lang w:eastAsia="zh-CN"/>
        </w:rPr>
        <w:t>行政事业单位养老支出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05款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eastAsia="zh-CN"/>
        </w:rPr>
        <w:t>机关事业单位养老保险缴费支出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05项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16.41</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lang w:eastAsia="zh-CN"/>
        </w:rPr>
        <w:t>行政事业单位养老支出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05款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eastAsia="zh-CN"/>
        </w:rPr>
        <w:t>机关事业单位</w:t>
      </w:r>
      <w:r>
        <w:rPr>
          <w:rFonts w:hint="default" w:ascii="Times New Roman" w:hAnsi="Times New Roman" w:eastAsia="仿宋_GB2312" w:cs="Times New Roman"/>
          <w:b/>
          <w:bCs/>
          <w:color w:val="auto"/>
          <w:sz w:val="32"/>
          <w:szCs w:val="32"/>
          <w:lang w:val="en-US" w:eastAsia="zh-CN"/>
        </w:rPr>
        <w:t>职业年金缴费支出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06项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0.68</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color w:val="auto"/>
          <w:sz w:val="32"/>
          <w:szCs w:val="32"/>
          <w:lang w:val="en-US" w:eastAsia="zh-CN"/>
        </w:rPr>
        <w:t>（7）</w:t>
      </w:r>
      <w:r>
        <w:rPr>
          <w:rFonts w:hint="default" w:ascii="Times New Roman" w:hAnsi="Times New Roman" w:eastAsia="仿宋_GB2312" w:cs="Times New Roman"/>
          <w:b/>
          <w:bCs/>
          <w:color w:val="auto"/>
          <w:sz w:val="32"/>
          <w:szCs w:val="32"/>
          <w:lang w:eastAsia="zh-CN"/>
        </w:rPr>
        <w:t>行政事业单位养老支出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05款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其他行政事业单位养老支出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99项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2.54</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（8）</w:t>
      </w:r>
      <w:r>
        <w:rPr>
          <w:rFonts w:hint="default" w:ascii="Times New Roman" w:hAnsi="Times New Roman" w:eastAsia="仿宋_GB2312" w:cs="Times New Roman"/>
          <w:b/>
          <w:bCs w:val="0"/>
          <w:color w:val="auto"/>
          <w:sz w:val="32"/>
          <w:szCs w:val="32"/>
          <w:lang w:val="en-US" w:eastAsia="zh-CN"/>
        </w:rPr>
        <w:t>财政代缴社会保险费支出</w:t>
      </w:r>
      <w:r>
        <w:rPr>
          <w:rFonts w:hint="default" w:ascii="Times New Roman" w:hAnsi="Times New Roman" w:eastAsia="仿宋_GB2312" w:cs="Times New Roman"/>
          <w:b/>
          <w:bCs w:val="0"/>
          <w:color w:val="auto"/>
          <w:sz w:val="32"/>
          <w:szCs w:val="32"/>
          <w:lang w:eastAsia="zh-CN"/>
        </w:rPr>
        <w:t>（</w:t>
      </w:r>
      <w:r>
        <w:rPr>
          <w:rFonts w:hint="default" w:ascii="Times New Roman" w:hAnsi="Times New Roman" w:eastAsia="仿宋_GB2312" w:cs="Times New Roman"/>
          <w:b/>
          <w:bCs w:val="0"/>
          <w:color w:val="auto"/>
          <w:sz w:val="32"/>
          <w:szCs w:val="32"/>
          <w:lang w:val="en-US" w:eastAsia="zh-CN"/>
        </w:rPr>
        <w:t>30款）财政代缴城乡居民基本养老保险费支出</w:t>
      </w:r>
      <w:r>
        <w:rPr>
          <w:rFonts w:hint="default" w:ascii="Times New Roman" w:hAnsi="Times New Roman" w:eastAsia="仿宋_GB2312" w:cs="Times New Roman"/>
          <w:b/>
          <w:bCs w:val="0"/>
          <w:color w:val="auto"/>
          <w:sz w:val="32"/>
          <w:szCs w:val="32"/>
          <w:lang w:eastAsia="zh-CN"/>
        </w:rPr>
        <w:t>（</w:t>
      </w:r>
      <w:r>
        <w:rPr>
          <w:rFonts w:hint="default" w:ascii="Times New Roman" w:hAnsi="Times New Roman" w:eastAsia="仿宋_GB2312" w:cs="Times New Roman"/>
          <w:b/>
          <w:bCs w:val="0"/>
          <w:color w:val="auto"/>
          <w:sz w:val="32"/>
          <w:szCs w:val="32"/>
          <w:lang w:val="en-US" w:eastAsia="zh-CN"/>
        </w:rPr>
        <w:t>01项）：</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19.86</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val="0"/>
          <w:color w:val="auto"/>
          <w:sz w:val="32"/>
          <w:szCs w:val="32"/>
          <w:lang w:val="en-US" w:eastAsia="zh-CN"/>
        </w:rPr>
        <w:t>卫生健康支出</w:t>
      </w:r>
      <w:r>
        <w:rPr>
          <w:rFonts w:hint="default" w:ascii="Times New Roman" w:hAnsi="Times New Roman" w:eastAsia="仿宋_GB2312" w:cs="Times New Roman"/>
          <w:b/>
          <w:bCs w:val="0"/>
          <w:color w:val="auto"/>
          <w:sz w:val="32"/>
          <w:szCs w:val="32"/>
          <w:lang w:eastAsia="zh-CN"/>
        </w:rPr>
        <w:t>（</w:t>
      </w:r>
      <w:r>
        <w:rPr>
          <w:rFonts w:hint="default" w:ascii="Times New Roman" w:hAnsi="Times New Roman" w:eastAsia="仿宋_GB2312" w:cs="Times New Roman"/>
          <w:b/>
          <w:bCs w:val="0"/>
          <w:color w:val="auto"/>
          <w:sz w:val="32"/>
          <w:szCs w:val="32"/>
          <w:lang w:val="en-US" w:eastAsia="zh-CN"/>
        </w:rPr>
        <w:t>210类）</w:t>
      </w:r>
      <w:r>
        <w:rPr>
          <w:rFonts w:hint="default" w:ascii="Times New Roman" w:hAnsi="Times New Roman" w:eastAsia="仿宋_GB2312" w:cs="Times New Roman"/>
          <w:b/>
          <w:bCs/>
          <w:color w:val="auto"/>
          <w:sz w:val="32"/>
          <w:szCs w:val="32"/>
          <w:lang w:eastAsia="zh-CN"/>
        </w:rPr>
        <w:t>支出决算数为</w:t>
      </w:r>
      <w:r>
        <w:rPr>
          <w:rFonts w:hint="default" w:ascii="Times New Roman" w:hAnsi="Times New Roman" w:eastAsia="仿宋_GB2312" w:cs="Times New Roman"/>
          <w:b/>
          <w:bCs/>
          <w:color w:val="auto"/>
          <w:sz w:val="32"/>
          <w:szCs w:val="32"/>
          <w:lang w:val="en-US" w:eastAsia="zh-CN"/>
        </w:rPr>
        <w:t>19.61万元，其中：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（1）行政事业单位医疗</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11款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行政单位医疗</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01项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 xml:space="preserve"> 支出决算为</w:t>
      </w:r>
      <w:r>
        <w:rPr>
          <w:rFonts w:hint="default" w:ascii="Times New Roman" w:hAnsi="Times New Roman" w:eastAsia="仿宋_GB2312" w:cs="Times New Roman"/>
          <w:b w:val="0"/>
          <w:bCs/>
          <w:color w:val="auto"/>
          <w:sz w:val="32"/>
          <w:szCs w:val="32"/>
          <w:lang w:val="en-US" w:eastAsia="zh-CN"/>
        </w:rPr>
        <w:t>9.64</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（2）行政事业单位医疗</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11款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事业单位医疗</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02项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 xml:space="preserve"> 支出决算为</w:t>
      </w:r>
      <w:r>
        <w:rPr>
          <w:rFonts w:hint="default" w:ascii="Times New Roman" w:hAnsi="Times New Roman" w:eastAsia="仿宋_GB2312" w:cs="Times New Roman"/>
          <w:b w:val="0"/>
          <w:bCs/>
          <w:color w:val="auto"/>
          <w:sz w:val="32"/>
          <w:szCs w:val="32"/>
          <w:lang w:val="en-US" w:eastAsia="zh-CN"/>
        </w:rPr>
        <w:t>1.44</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b/>
          <w:bCs/>
          <w:color w:val="auto"/>
          <w:sz w:val="32"/>
          <w:szCs w:val="32"/>
          <w:lang w:val="en-US" w:eastAsia="zh-CN"/>
        </w:rPr>
        <w:t>（3）行政事业单位医疗</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11款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公务员医疗补助</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03项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 xml:space="preserve"> 支出决算为</w:t>
      </w:r>
      <w:r>
        <w:rPr>
          <w:rFonts w:hint="default" w:ascii="Times New Roman" w:hAnsi="Times New Roman" w:eastAsia="仿宋_GB2312" w:cs="Times New Roman"/>
          <w:b w:val="0"/>
          <w:bCs/>
          <w:color w:val="auto"/>
          <w:sz w:val="32"/>
          <w:szCs w:val="32"/>
          <w:lang w:val="en-US" w:eastAsia="zh-CN"/>
        </w:rPr>
        <w:t>6.16</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color w:val="auto"/>
          <w:sz w:val="32"/>
          <w:szCs w:val="32"/>
          <w:lang w:val="en-US" w:eastAsia="zh-CN"/>
        </w:rPr>
        <w:t>（4）行政事业单位医疗</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11款</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其他行政事业单位医疗支出</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99项</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val="0"/>
          <w:bCs/>
          <w:color w:val="auto"/>
          <w:sz w:val="32"/>
          <w:szCs w:val="32"/>
        </w:rPr>
        <w:t xml:space="preserve"> 支出决算为</w:t>
      </w:r>
      <w:r>
        <w:rPr>
          <w:rFonts w:hint="default" w:ascii="Times New Roman" w:hAnsi="Times New Roman" w:eastAsia="仿宋_GB2312" w:cs="Times New Roman"/>
          <w:b w:val="0"/>
          <w:bCs/>
          <w:color w:val="auto"/>
          <w:sz w:val="32"/>
          <w:szCs w:val="32"/>
          <w:lang w:val="en-US" w:eastAsia="zh-CN"/>
        </w:rPr>
        <w:t>2.37</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3" w:firstLineChars="200"/>
        <w:textAlignment w:val="auto"/>
        <w:outlineLvl w:val="9"/>
        <w:rPr>
          <w:rFonts w:hint="default" w:ascii="Times New Roman" w:hAnsi="Times New Roman" w:eastAsia="仿宋_GB2312" w:cs="Times New Roman"/>
          <w:b/>
          <w:sz w:val="32"/>
          <w:szCs w:val="32"/>
        </w:rPr>
      </w:pPr>
      <w:r>
        <w:rPr>
          <w:rFonts w:hint="default" w:ascii="Times New Roman" w:hAnsi="Times New Roman" w:eastAsia="仿宋_GB2312" w:cs="Times New Roman"/>
          <w:b/>
          <w:bCs w:val="0"/>
          <w:color w:val="auto"/>
          <w:sz w:val="32"/>
          <w:szCs w:val="32"/>
          <w:lang w:eastAsia="zh-CN"/>
        </w:rPr>
        <w:t>住房保障支出（</w:t>
      </w:r>
      <w:r>
        <w:rPr>
          <w:rFonts w:hint="default" w:ascii="Times New Roman" w:hAnsi="Times New Roman" w:eastAsia="仿宋_GB2312" w:cs="Times New Roman"/>
          <w:b/>
          <w:bCs w:val="0"/>
          <w:color w:val="auto"/>
          <w:sz w:val="32"/>
          <w:szCs w:val="32"/>
          <w:lang w:val="en-US" w:eastAsia="zh-CN"/>
        </w:rPr>
        <w:t>221类）住房改革支出（02款）住房公积金支出（01项）</w:t>
      </w:r>
      <w:r>
        <w:rPr>
          <w:rFonts w:hint="default"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auto"/>
          <w:sz w:val="32"/>
          <w:szCs w:val="32"/>
        </w:rPr>
        <w:t>支出决算为</w:t>
      </w:r>
      <w:r>
        <w:rPr>
          <w:rFonts w:hint="default" w:ascii="Times New Roman" w:hAnsi="Times New Roman" w:eastAsia="仿宋_GB2312" w:cs="Times New Roman"/>
          <w:b w:val="0"/>
          <w:bCs/>
          <w:color w:val="auto"/>
          <w:sz w:val="32"/>
          <w:szCs w:val="32"/>
          <w:lang w:val="en-US" w:eastAsia="zh-CN"/>
        </w:rPr>
        <w:t>17.37</w:t>
      </w:r>
      <w:r>
        <w:rPr>
          <w:rFonts w:hint="default" w:ascii="Times New Roman" w:hAnsi="Times New Roman" w:eastAsia="仿宋_GB2312" w:cs="Times New Roman"/>
          <w:b w:val="0"/>
          <w:bCs/>
          <w:color w:val="auto"/>
          <w:sz w:val="32"/>
          <w:szCs w:val="32"/>
        </w:rPr>
        <w:t>万元，完成预算</w:t>
      </w:r>
      <w:r>
        <w:rPr>
          <w:rFonts w:hint="default" w:ascii="Times New Roman" w:hAnsi="Times New Roman" w:eastAsia="仿宋_GB2312" w:cs="Times New Roman"/>
          <w:b w:val="0"/>
          <w:bCs/>
          <w:color w:val="auto"/>
          <w:sz w:val="32"/>
          <w:szCs w:val="32"/>
          <w:lang w:val="en-US" w:eastAsia="zh-CN"/>
        </w:rPr>
        <w:t>100</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color w:val="auto"/>
          <w:sz w:val="32"/>
          <w:szCs w:val="32"/>
          <w:lang w:eastAsia="zh-CN"/>
        </w:rPr>
        <w:t>。</w:t>
      </w:r>
    </w:p>
    <w:p>
      <w:pPr>
        <w:tabs>
          <w:tab w:val="right" w:pos="8306"/>
        </w:tabs>
        <w:spacing w:line="600" w:lineRule="exact"/>
        <w:ind w:firstLine="640"/>
        <w:outlineLvl w:val="1"/>
        <w:rPr>
          <w:rStyle w:val="27"/>
        </w:rPr>
      </w:pPr>
      <w:bookmarkStart w:id="42" w:name="_Toc4398"/>
      <w:bookmarkStart w:id="43" w:name="_Toc15377214"/>
      <w:bookmarkStart w:id="44"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42"/>
      <w:bookmarkEnd w:id="43"/>
      <w:bookmarkEnd w:id="44"/>
      <w:r>
        <w:rPr>
          <w:rStyle w:val="27"/>
          <w:rFonts w:ascii="黑体" w:hAnsi="黑体" w:eastAsia="黑体"/>
          <w:b w:val="0"/>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2022年一般公共预算财政拨款基本支出</w:t>
      </w:r>
      <w:r>
        <w:rPr>
          <w:rFonts w:hint="default" w:ascii="Times New Roman" w:hAnsi="Times New Roman" w:eastAsia="仿宋_GB2312" w:cs="Times New Roman"/>
          <w:sz w:val="32"/>
          <w:szCs w:val="32"/>
          <w:lang w:val="en-US" w:eastAsia="zh-CN"/>
        </w:rPr>
        <w:t>256.24</w:t>
      </w:r>
      <w:r>
        <w:rPr>
          <w:rFonts w:hint="default" w:ascii="Times New Roman" w:hAnsi="Times New Roman" w:eastAsia="仿宋_GB2312" w:cs="Times New Roman"/>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人员经费</w:t>
      </w:r>
      <w:r>
        <w:rPr>
          <w:rFonts w:hint="default" w:ascii="Times New Roman" w:hAnsi="Times New Roman" w:eastAsia="仿宋_GB2312" w:cs="Times New Roman"/>
          <w:sz w:val="32"/>
          <w:szCs w:val="32"/>
          <w:lang w:val="en-US" w:eastAsia="zh-CN"/>
        </w:rPr>
        <w:t>231.48</w:t>
      </w:r>
      <w:r>
        <w:rPr>
          <w:rFonts w:hint="default" w:ascii="Times New Roman" w:hAnsi="Times New Roman" w:eastAsia="仿宋_GB2312" w:cs="Times New Roman"/>
          <w:sz w:val="32"/>
          <w:szCs w:val="32"/>
        </w:rPr>
        <w:t>万元，主要包括：基本工资、津贴补贴、奖金、绩效工资、机关事业单位基本养老保险缴费、职业年金缴费、</w:t>
      </w:r>
      <w:r>
        <w:rPr>
          <w:rFonts w:hint="default" w:ascii="Times New Roman" w:hAnsi="Times New Roman" w:eastAsia="仿宋_GB2312" w:cs="Times New Roman"/>
          <w:sz w:val="32"/>
          <w:szCs w:val="32"/>
          <w:lang w:val="en-US" w:eastAsia="zh-CN"/>
        </w:rPr>
        <w:t>职工基本医疗保险缴费、公务员医疗补助缴费、</w:t>
      </w:r>
      <w:r>
        <w:rPr>
          <w:rFonts w:hint="default" w:ascii="Times New Roman" w:hAnsi="Times New Roman" w:eastAsia="仿宋_GB2312" w:cs="Times New Roman"/>
          <w:sz w:val="32"/>
          <w:szCs w:val="32"/>
        </w:rPr>
        <w:t>其他社会保障缴费、其他工资福利支出、生活补助、医疗费补助、住房公积金、</w:t>
      </w:r>
      <w:r>
        <w:rPr>
          <w:rFonts w:hint="default" w:ascii="Times New Roman" w:hAnsi="Times New Roman" w:eastAsia="仿宋_GB2312" w:cs="Times New Roman"/>
          <w:sz w:val="32"/>
          <w:szCs w:val="32"/>
          <w:lang w:val="en-US" w:eastAsia="zh-CN"/>
        </w:rPr>
        <w:t>代缴社会保险费</w:t>
      </w:r>
      <w:r>
        <w:rPr>
          <w:rFonts w:hint="default" w:ascii="Times New Roman" w:hAnsi="Times New Roman" w:eastAsia="仿宋_GB2312" w:cs="Times New Roman"/>
          <w:sz w:val="32"/>
          <w:szCs w:val="32"/>
        </w:rPr>
        <w:t>等。</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公用经费</w:t>
      </w:r>
      <w:r>
        <w:rPr>
          <w:rFonts w:hint="default" w:ascii="Times New Roman" w:hAnsi="Times New Roman" w:eastAsia="仿宋_GB2312" w:cs="Times New Roman"/>
          <w:sz w:val="32"/>
          <w:szCs w:val="32"/>
          <w:lang w:val="en-US" w:eastAsia="zh-CN"/>
        </w:rPr>
        <w:t>24.76</w:t>
      </w:r>
      <w:r>
        <w:rPr>
          <w:rFonts w:hint="default" w:ascii="Times New Roman" w:hAnsi="Times New Roman" w:eastAsia="仿宋_GB2312" w:cs="Times New Roman"/>
          <w:sz w:val="32"/>
          <w:szCs w:val="32"/>
        </w:rPr>
        <w:t>万元，主要包括：办公费、印刷费、水费、邮电费、差旅费、维修（护）费、租赁费、劳务费、工会经费、福利费、其他交通费、其他商品和服务支出、办公设备购置等。</w:t>
      </w:r>
    </w:p>
    <w:p>
      <w:pPr>
        <w:spacing w:line="600" w:lineRule="exact"/>
        <w:ind w:firstLine="640"/>
        <w:outlineLvl w:val="1"/>
        <w:rPr>
          <w:rStyle w:val="27"/>
          <w:rFonts w:ascii="黑体" w:hAnsi="黑体" w:eastAsia="黑体"/>
          <w:b w:val="0"/>
        </w:rPr>
      </w:pPr>
      <w:bookmarkStart w:id="45" w:name="_Toc15377215"/>
      <w:bookmarkStart w:id="46" w:name="_Toc25304"/>
      <w:bookmarkStart w:id="47" w:name="_Toc15396609"/>
      <w:r>
        <w:rPr>
          <w:rFonts w:hint="eastAsia" w:ascii="黑体" w:eastAsia="黑体"/>
          <w:sz w:val="32"/>
          <w:szCs w:val="32"/>
        </w:rPr>
        <w:t>七、</w:t>
      </w:r>
      <w:r>
        <w:rPr>
          <w:rStyle w:val="27"/>
          <w:rFonts w:hint="eastAsia" w:ascii="黑体" w:hAnsi="黑体" w:eastAsia="黑体"/>
          <w:b w:val="0"/>
        </w:rPr>
        <w:t>财政拨款</w:t>
      </w:r>
      <w:r>
        <w:rPr>
          <w:rStyle w:val="27"/>
          <w:rFonts w:hint="eastAsia" w:ascii="黑体" w:hAnsi="黑体" w:eastAsia="黑体"/>
        </w:rPr>
        <w:t>“</w:t>
      </w:r>
      <w:r>
        <w:rPr>
          <w:rStyle w:val="27"/>
          <w:rFonts w:hint="eastAsia" w:ascii="黑体" w:hAnsi="黑体" w:eastAsia="黑体"/>
          <w:b w:val="0"/>
        </w:rPr>
        <w:t>三公”经费支出决算情况说明</w:t>
      </w:r>
      <w:bookmarkEnd w:id="45"/>
      <w:bookmarkEnd w:id="46"/>
      <w:bookmarkEnd w:id="47"/>
    </w:p>
    <w:p>
      <w:pPr>
        <w:spacing w:line="600" w:lineRule="exact"/>
        <w:ind w:firstLine="640"/>
        <w:outlineLvl w:val="9"/>
        <w:rPr>
          <w:rFonts w:hint="default" w:ascii="Times New Roman" w:hAnsi="Times New Roman" w:eastAsia="仿宋_GB2312" w:cs="Times New Roman"/>
          <w:b/>
          <w:sz w:val="32"/>
          <w:szCs w:val="32"/>
        </w:rPr>
      </w:pPr>
      <w:bookmarkStart w:id="48" w:name="_Toc15377216"/>
      <w:r>
        <w:rPr>
          <w:rFonts w:hint="default" w:ascii="Times New Roman" w:hAnsi="Times New Roman" w:eastAsia="仿宋_GB2312" w:cs="Times New Roman"/>
          <w:b/>
          <w:sz w:val="32"/>
          <w:szCs w:val="32"/>
        </w:rPr>
        <w:t>（一）“三公”经费财政拨款支出决算总体情况说明</w:t>
      </w:r>
      <w:bookmarkEnd w:id="48"/>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2022年“三公”经费财政拨款支出决算为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%，较上年</w:t>
      </w:r>
      <w:r>
        <w:rPr>
          <w:rFonts w:hint="default" w:ascii="Times New Roman" w:hAnsi="Times New Roman" w:eastAsia="仿宋_GB2312" w:cs="Times New Roman"/>
          <w:sz w:val="32"/>
          <w:szCs w:val="32"/>
          <w:lang w:val="en-US" w:eastAsia="zh-CN"/>
        </w:rPr>
        <w:t>无变动</w:t>
      </w:r>
      <w:r>
        <w:rPr>
          <w:rFonts w:hint="default" w:ascii="Times New Roman" w:hAnsi="Times New Roman" w:eastAsia="仿宋_GB2312" w:cs="Times New Roman"/>
          <w:sz w:val="32"/>
          <w:szCs w:val="32"/>
        </w:rPr>
        <w:t>。决算数或与预算数持平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val="en-US" w:eastAsia="zh-CN"/>
        </w:rPr>
        <w:t>本年度单位未发生公务用车、公务接待，因公出国（境）等业务</w:t>
      </w:r>
      <w:r>
        <w:rPr>
          <w:rFonts w:hint="default" w:ascii="Times New Roman" w:hAnsi="Times New Roman" w:eastAsia="仿宋_GB2312" w:cs="Times New Roman"/>
          <w:sz w:val="32"/>
          <w:szCs w:val="32"/>
        </w:rPr>
        <w:t>。</w:t>
      </w:r>
    </w:p>
    <w:p>
      <w:pPr>
        <w:spacing w:line="600" w:lineRule="exact"/>
        <w:ind w:firstLine="640"/>
        <w:outlineLvl w:val="9"/>
        <w:rPr>
          <w:rFonts w:hint="default" w:ascii="Times New Roman" w:hAnsi="Times New Roman" w:eastAsia="仿宋_GB2312" w:cs="Times New Roman"/>
          <w:b/>
          <w:sz w:val="32"/>
          <w:szCs w:val="32"/>
        </w:rPr>
      </w:pPr>
      <w:bookmarkStart w:id="49" w:name="_Toc15377217"/>
      <w:r>
        <w:rPr>
          <w:rFonts w:hint="default" w:ascii="Times New Roman" w:hAnsi="Times New Roman" w:eastAsia="仿宋_GB2312" w:cs="Times New Roman"/>
          <w:b/>
          <w:sz w:val="32"/>
          <w:szCs w:val="32"/>
        </w:rPr>
        <w:t>（二）“三公”经费财政拨款支出决算具体情况说明</w:t>
      </w:r>
      <w:bookmarkEnd w:id="49"/>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2022年“三公”经费财政拨款支出决算中，因公出国（境）费支出决算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%。具体情况如下：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color w:val="auto"/>
          <w:sz w:val="32"/>
          <w:szCs w:val="32"/>
        </w:rPr>
        <w:t>因公出国（境）经费支出决算数与</w:t>
      </w:r>
      <w:r>
        <w:rPr>
          <w:rFonts w:hint="default" w:ascii="Times New Roman" w:hAnsi="Times New Roman" w:eastAsia="仿宋_GB2312" w:cs="Times New Roman"/>
          <w:color w:val="auto"/>
          <w:sz w:val="32"/>
          <w:szCs w:val="32"/>
          <w:lang w:val="en-US" w:eastAsia="zh-CN"/>
        </w:rPr>
        <w:t>2021</w:t>
      </w:r>
      <w:r>
        <w:rPr>
          <w:rFonts w:hint="default" w:ascii="Times New Roman" w:hAnsi="Times New Roman" w:eastAsia="仿宋_GB2312" w:cs="Times New Roman"/>
          <w:color w:val="auto"/>
          <w:sz w:val="32"/>
          <w:szCs w:val="32"/>
        </w:rPr>
        <w:t>年持平，无增减变动。</w:t>
      </w:r>
      <w:r>
        <w:rPr>
          <w:rFonts w:hint="default" w:ascii="Times New Roman" w:hAnsi="Times New Roman" w:eastAsia="仿宋_GB2312" w:cs="Times New Roman"/>
          <w:color w:val="auto"/>
          <w:sz w:val="32"/>
          <w:szCs w:val="32"/>
          <w:lang w:eastAsia="zh-CN"/>
        </w:rPr>
        <w:t>本年无</w:t>
      </w:r>
      <w:r>
        <w:rPr>
          <w:rFonts w:hint="default" w:ascii="Times New Roman" w:hAnsi="Times New Roman" w:eastAsia="仿宋_GB2312" w:cs="Times New Roman"/>
          <w:color w:val="auto"/>
          <w:sz w:val="32"/>
          <w:szCs w:val="32"/>
        </w:rPr>
        <w:t>因公出国（境）</w:t>
      </w:r>
      <w:r>
        <w:rPr>
          <w:rFonts w:hint="default" w:ascii="Times New Roman" w:hAnsi="Times New Roman" w:eastAsia="仿宋_GB2312" w:cs="Times New Roman"/>
          <w:color w:val="auto"/>
          <w:sz w:val="32"/>
          <w:szCs w:val="32"/>
          <w:lang w:eastAsia="zh-CN"/>
        </w:rPr>
        <w:t>支出的</w:t>
      </w:r>
      <w:r>
        <w:rPr>
          <w:rFonts w:hint="default" w:ascii="Times New Roman" w:hAnsi="Times New Roman" w:eastAsia="仿宋_GB2312" w:cs="Times New Roman"/>
          <w:color w:val="auto"/>
          <w:sz w:val="32"/>
          <w:szCs w:val="32"/>
        </w:rPr>
        <w:t>主要原因是</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本单位未安排出国公务，未产生出国境费用。</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0</w:t>
      </w:r>
      <w:r>
        <w:rPr>
          <w:rStyle w:val="16"/>
          <w:rFonts w:hint="default" w:ascii="Times New Roman" w:hAnsi="Times New Roman" w:eastAsia="仿宋_GB2312" w:cs="Times New Roman"/>
          <w:b w:val="0"/>
          <w:bCs/>
          <w:sz w:val="32"/>
          <w:szCs w:val="32"/>
        </w:rPr>
        <w:t>%。</w:t>
      </w:r>
      <w:r>
        <w:rPr>
          <w:rStyle w:val="16"/>
          <w:rFonts w:hint="default" w:ascii="Times New Roman" w:hAnsi="Times New Roman" w:eastAsia="仿宋_GB2312" w:cs="Times New Roman"/>
          <w:b w:val="0"/>
          <w:bCs/>
          <w:color w:val="auto"/>
          <w:sz w:val="32"/>
          <w:szCs w:val="32"/>
        </w:rPr>
        <w:t>公务用车购置及运行维护费支出决算数与</w:t>
      </w:r>
      <w:r>
        <w:rPr>
          <w:rStyle w:val="16"/>
          <w:rFonts w:hint="default" w:ascii="Times New Roman" w:hAnsi="Times New Roman" w:eastAsia="仿宋_GB2312" w:cs="Times New Roman"/>
          <w:b w:val="0"/>
          <w:bCs/>
          <w:color w:val="auto"/>
          <w:sz w:val="32"/>
          <w:szCs w:val="32"/>
          <w:lang w:val="en-US" w:eastAsia="zh-CN"/>
        </w:rPr>
        <w:t>2021</w:t>
      </w:r>
      <w:r>
        <w:rPr>
          <w:rStyle w:val="16"/>
          <w:rFonts w:hint="default" w:ascii="Times New Roman" w:hAnsi="Times New Roman" w:eastAsia="仿宋_GB2312" w:cs="Times New Roman"/>
          <w:b w:val="0"/>
          <w:bCs/>
          <w:color w:val="auto"/>
          <w:sz w:val="32"/>
          <w:szCs w:val="32"/>
        </w:rPr>
        <w:t>年持平，无增减变动。</w:t>
      </w:r>
      <w:r>
        <w:rPr>
          <w:rStyle w:val="16"/>
          <w:rFonts w:hint="default" w:ascii="Times New Roman" w:hAnsi="Times New Roman" w:eastAsia="仿宋_GB2312" w:cs="Times New Roman"/>
          <w:b w:val="0"/>
          <w:bCs/>
          <w:color w:val="auto"/>
          <w:sz w:val="32"/>
          <w:szCs w:val="32"/>
          <w:lang w:eastAsia="zh-CN"/>
        </w:rPr>
        <w:t>本年未产生</w:t>
      </w:r>
      <w:r>
        <w:rPr>
          <w:rStyle w:val="16"/>
          <w:rFonts w:hint="default" w:ascii="Times New Roman" w:hAnsi="Times New Roman" w:eastAsia="仿宋_GB2312" w:cs="Times New Roman"/>
          <w:b w:val="0"/>
          <w:bCs/>
          <w:color w:val="auto"/>
          <w:sz w:val="32"/>
          <w:szCs w:val="32"/>
        </w:rPr>
        <w:t>公务用车运行维护费</w:t>
      </w:r>
      <w:r>
        <w:rPr>
          <w:rStyle w:val="16"/>
          <w:rFonts w:hint="default" w:ascii="Times New Roman" w:hAnsi="Times New Roman" w:eastAsia="仿宋_GB2312" w:cs="Times New Roman"/>
          <w:b w:val="0"/>
          <w:bCs/>
          <w:color w:val="auto"/>
          <w:sz w:val="32"/>
          <w:szCs w:val="32"/>
          <w:lang w:eastAsia="zh-CN"/>
        </w:rPr>
        <w:t>的</w:t>
      </w:r>
      <w:r>
        <w:rPr>
          <w:rStyle w:val="16"/>
          <w:rFonts w:hint="default" w:ascii="Times New Roman" w:hAnsi="Times New Roman" w:eastAsia="仿宋_GB2312" w:cs="Times New Roman"/>
          <w:b w:val="0"/>
          <w:bCs/>
          <w:color w:val="auto"/>
          <w:sz w:val="32"/>
          <w:szCs w:val="32"/>
        </w:rPr>
        <w:t>主要原因是</w:t>
      </w:r>
      <w:r>
        <w:rPr>
          <w:rStyle w:val="16"/>
          <w:rFonts w:hint="default" w:ascii="Times New Roman" w:hAnsi="Times New Roman" w:eastAsia="仿宋_GB2312" w:cs="Times New Roman"/>
          <w:b w:val="0"/>
          <w:bCs/>
          <w:color w:val="auto"/>
          <w:sz w:val="32"/>
          <w:szCs w:val="32"/>
          <w:lang w:eastAsia="zh-CN"/>
        </w:rPr>
        <w:t>：</w:t>
      </w:r>
      <w:r>
        <w:rPr>
          <w:rStyle w:val="16"/>
          <w:rFonts w:hint="default" w:ascii="Times New Roman" w:hAnsi="Times New Roman" w:eastAsia="仿宋_GB2312" w:cs="Times New Roman"/>
          <w:b w:val="0"/>
          <w:bCs/>
          <w:color w:val="auto"/>
          <w:sz w:val="32"/>
          <w:szCs w:val="32"/>
        </w:rPr>
        <w:t>本单位未保留公务用车，未产生公务用车运行维护费用支出。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sz w:val="32"/>
          <w:szCs w:val="32"/>
        </w:rPr>
      </w:pPr>
      <w:r>
        <w:rPr>
          <w:rStyle w:val="16"/>
          <w:rFonts w:hint="default" w:ascii="Times New Roman" w:hAnsi="Times New Roman" w:eastAsia="仿宋_GB2312" w:cs="Times New Roman"/>
          <w:b w:val="0"/>
          <w:bCs/>
          <w:color w:val="auto"/>
          <w:sz w:val="32"/>
          <w:szCs w:val="32"/>
        </w:rPr>
        <w:t>全年未进行公务用车购置，</w:t>
      </w:r>
      <w:r>
        <w:rPr>
          <w:rStyle w:val="16"/>
          <w:rFonts w:hint="default" w:ascii="Times New Roman" w:hAnsi="Times New Roman" w:eastAsia="仿宋_GB2312" w:cs="Times New Roman"/>
          <w:b w:val="0"/>
          <w:bCs/>
          <w:color w:val="auto"/>
          <w:sz w:val="32"/>
          <w:szCs w:val="32"/>
          <w:lang w:val="en-US" w:eastAsia="zh-CN"/>
        </w:rPr>
        <w:t>截至2022年12月底，本部门共有公务用车0辆，故</w:t>
      </w:r>
      <w:r>
        <w:rPr>
          <w:rStyle w:val="16"/>
          <w:rFonts w:hint="default" w:ascii="Times New Roman" w:hAnsi="Times New Roman" w:eastAsia="仿宋_GB2312" w:cs="Times New Roman"/>
          <w:b w:val="0"/>
          <w:bCs/>
          <w:color w:val="auto"/>
          <w:sz w:val="32"/>
          <w:szCs w:val="32"/>
        </w:rPr>
        <w:t>未产生公务用车运行维护费支出。</w:t>
      </w:r>
    </w:p>
    <w:p>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color w:val="auto"/>
          <w:sz w:val="32"/>
          <w:szCs w:val="32"/>
        </w:rPr>
        <w:t>务接待费支出决算与</w:t>
      </w:r>
      <w:r>
        <w:rPr>
          <w:rFonts w:hint="default" w:ascii="Times New Roman" w:hAnsi="Times New Roman" w:eastAsia="仿宋_GB2312" w:cs="Times New Roman"/>
          <w:color w:val="auto"/>
          <w:sz w:val="32"/>
          <w:szCs w:val="32"/>
          <w:lang w:val="en-US" w:eastAsia="zh-CN"/>
        </w:rPr>
        <w:t>2021</w:t>
      </w:r>
      <w:r>
        <w:rPr>
          <w:rFonts w:hint="default" w:ascii="Times New Roman" w:hAnsi="Times New Roman" w:eastAsia="仿宋_GB2312" w:cs="Times New Roman"/>
          <w:color w:val="auto"/>
          <w:sz w:val="32"/>
          <w:szCs w:val="32"/>
        </w:rPr>
        <w:t>年持平。主要原因是本年度公务活动未安排就餐，故未产生公务接待费用支出。</w:t>
      </w:r>
    </w:p>
    <w:p>
      <w:pPr>
        <w:keepNext w:val="0"/>
        <w:keepLines w:val="0"/>
        <w:pageBreakBefore w:val="0"/>
        <w:kinsoku/>
        <w:wordWrap/>
        <w:overflowPunct/>
        <w:topLinePunct w:val="0"/>
        <w:bidi w:val="0"/>
        <w:snapToGrid/>
        <w:spacing w:line="560" w:lineRule="exact"/>
        <w:ind w:firstLine="640"/>
        <w:textAlignment w:val="auto"/>
        <w:outlineLvl w:val="1"/>
        <w:rPr>
          <w:rStyle w:val="27"/>
          <w:rFonts w:ascii="黑体" w:hAnsi="黑体" w:eastAsia="黑体"/>
        </w:rPr>
      </w:pPr>
      <w:bookmarkStart w:id="50" w:name="_Toc15396610"/>
      <w:bookmarkStart w:id="51" w:name="_Toc15377218"/>
      <w:bookmarkStart w:id="52" w:name="_Toc1736"/>
      <w:r>
        <w:rPr>
          <w:rFonts w:hint="eastAsia" w:ascii="黑体" w:eastAsia="黑体"/>
          <w:sz w:val="32"/>
          <w:szCs w:val="32"/>
        </w:rPr>
        <w:t>八、</w:t>
      </w:r>
      <w:r>
        <w:rPr>
          <w:rStyle w:val="27"/>
          <w:rFonts w:hint="eastAsia" w:ascii="黑体" w:hAnsi="黑体" w:eastAsia="黑体"/>
          <w:b w:val="0"/>
        </w:rPr>
        <w:t>政府性基金预算支出决算情况说明</w:t>
      </w:r>
      <w:bookmarkEnd w:id="50"/>
      <w:bookmarkEnd w:id="51"/>
      <w:bookmarkEnd w:id="52"/>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default" w:ascii="Times New Roman" w:hAnsi="Times New Roman" w:eastAsia="方正仿宋_GBK" w:cs="Times New Roman"/>
          <w:sz w:val="32"/>
          <w:szCs w:val="32"/>
          <w:lang w:val="en-US" w:eastAsia="zh-CN"/>
        </w:rPr>
        <w:t>无政府性基金预算拨款支出</w:t>
      </w:r>
      <w:r>
        <w:rPr>
          <w:rFonts w:hint="default" w:ascii="Times New Roman" w:hAnsi="Times New Roman" w:eastAsia="方正仿宋_GBK" w:cs="Times New Roman"/>
          <w:sz w:val="32"/>
          <w:szCs w:val="32"/>
        </w:rPr>
        <w:t>。</w:t>
      </w:r>
    </w:p>
    <w:p>
      <w:pPr>
        <w:keepNext w:val="0"/>
        <w:keepLines w:val="0"/>
        <w:pageBreakBefore w:val="0"/>
        <w:numPr>
          <w:ilvl w:val="0"/>
          <w:numId w:val="4"/>
        </w:numPr>
        <w:kinsoku/>
        <w:wordWrap/>
        <w:overflowPunct/>
        <w:topLinePunct w:val="0"/>
        <w:bidi w:val="0"/>
        <w:snapToGrid/>
        <w:spacing w:line="560" w:lineRule="exact"/>
        <w:ind w:firstLine="640"/>
        <w:textAlignment w:val="auto"/>
        <w:outlineLvl w:val="1"/>
        <w:rPr>
          <w:rStyle w:val="27"/>
          <w:rFonts w:ascii="黑体" w:hAnsi="黑体" w:eastAsia="黑体"/>
          <w:b w:val="0"/>
        </w:rPr>
      </w:pPr>
      <w:bookmarkStart w:id="53" w:name="_Toc15396611"/>
      <w:bookmarkStart w:id="54" w:name="_Toc15377219"/>
      <w:bookmarkStart w:id="55" w:name="_Toc11425"/>
      <w:r>
        <w:rPr>
          <w:rStyle w:val="27"/>
          <w:rFonts w:hint="eastAsia" w:ascii="黑体" w:hAnsi="黑体" w:eastAsia="黑体"/>
          <w:b w:val="0"/>
        </w:rPr>
        <w:t>国有资本经营预算支出决算情况说明</w:t>
      </w:r>
      <w:bookmarkEnd w:id="53"/>
      <w:bookmarkEnd w:id="54"/>
      <w:bookmarkEnd w:id="55"/>
    </w:p>
    <w:p>
      <w:pPr>
        <w:keepNext w:val="0"/>
        <w:keepLines w:val="0"/>
        <w:pageBreakBefore w:val="0"/>
        <w:kinsoku/>
        <w:wordWrap/>
        <w:overflowPunct/>
        <w:topLinePunct w:val="0"/>
        <w:bidi w:val="0"/>
        <w:snapToGrid/>
        <w:spacing w:line="560" w:lineRule="exact"/>
        <w:ind w:firstLine="640"/>
        <w:textAlignment w:val="auto"/>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22年国有资本经营预算财政拨款支出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default" w:ascii="Times New Roman" w:hAnsi="Times New Roman" w:eastAsia="方正仿宋_GBK" w:cs="Times New Roman"/>
          <w:sz w:val="32"/>
          <w:szCs w:val="32"/>
          <w:lang w:val="en-US" w:eastAsia="zh-CN"/>
        </w:rPr>
        <w:t>无国有资本经营预算拨款支出</w:t>
      </w:r>
      <w:r>
        <w:rPr>
          <w:rFonts w:hint="eastAsia" w:ascii="仿宋_GB2312" w:eastAsia="仿宋_GB2312"/>
          <w:sz w:val="32"/>
          <w:szCs w:val="32"/>
        </w:rPr>
        <w:t>。</w:t>
      </w:r>
    </w:p>
    <w:p>
      <w:pPr>
        <w:keepNext w:val="0"/>
        <w:keepLines w:val="0"/>
        <w:pageBreakBefore w:val="0"/>
        <w:numPr>
          <w:ilvl w:val="0"/>
          <w:numId w:val="4"/>
        </w:numPr>
        <w:kinsoku/>
        <w:wordWrap/>
        <w:overflowPunct/>
        <w:topLinePunct w:val="0"/>
        <w:bidi w:val="0"/>
        <w:snapToGrid/>
        <w:spacing w:line="560" w:lineRule="exact"/>
        <w:ind w:firstLine="640"/>
        <w:textAlignment w:val="auto"/>
        <w:outlineLvl w:val="1"/>
        <w:rPr>
          <w:rStyle w:val="27"/>
          <w:rFonts w:ascii="黑体" w:hAnsi="黑体" w:eastAsia="黑体"/>
          <w:b w:val="0"/>
        </w:rPr>
      </w:pPr>
      <w:bookmarkStart w:id="56" w:name="_Toc15377221"/>
      <w:bookmarkStart w:id="57" w:name="_Toc15396612"/>
      <w:bookmarkStart w:id="58" w:name="_Toc12486"/>
      <w:r>
        <w:rPr>
          <w:rStyle w:val="27"/>
          <w:rFonts w:hint="eastAsia" w:ascii="黑体" w:hAnsi="黑体" w:eastAsia="黑体"/>
          <w:b w:val="0"/>
        </w:rPr>
        <w:t>其他重要事项的情况说明</w:t>
      </w:r>
      <w:bookmarkEnd w:id="56"/>
      <w:bookmarkEnd w:id="57"/>
      <w:bookmarkEnd w:id="58"/>
    </w:p>
    <w:p>
      <w:pPr>
        <w:keepNext w:val="0"/>
        <w:keepLines w:val="0"/>
        <w:pageBreakBefore w:val="0"/>
        <w:kinsoku/>
        <w:wordWrap/>
        <w:overflowPunct/>
        <w:topLinePunct w:val="0"/>
        <w:bidi w:val="0"/>
        <w:snapToGrid/>
        <w:spacing w:line="560" w:lineRule="exact"/>
        <w:ind w:firstLine="643" w:firstLineChars="200"/>
        <w:textAlignment w:val="auto"/>
        <w:outlineLvl w:val="9"/>
        <w:rPr>
          <w:rFonts w:ascii="仿宋" w:hAnsi="仿宋" w:eastAsia="仿宋"/>
          <w:sz w:val="32"/>
          <w:szCs w:val="32"/>
        </w:rPr>
      </w:pPr>
      <w:bookmarkStart w:id="59" w:name="_Toc15377222"/>
      <w:r>
        <w:rPr>
          <w:rFonts w:hint="eastAsia" w:ascii="仿宋" w:hAnsi="仿宋" w:eastAsia="仿宋"/>
          <w:b/>
          <w:sz w:val="32"/>
          <w:szCs w:val="32"/>
        </w:rPr>
        <w:t>（一）机关运行经费支出情况</w:t>
      </w:r>
      <w:bookmarkEnd w:id="59"/>
    </w:p>
    <w:p>
      <w:pPr>
        <w:keepNext w:val="0"/>
        <w:keepLines w:val="0"/>
        <w:pageBreakBefore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en-US" w:eastAsia="zh-CN"/>
        </w:rPr>
        <w:t>盐边县社会保险事务中心</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24.76</w:t>
      </w:r>
      <w:r>
        <w:rPr>
          <w:rFonts w:hint="default" w:ascii="Times New Roman" w:hAnsi="Times New Roman" w:eastAsia="仿宋_GB2312" w:cs="Times New Roman"/>
          <w:sz w:val="32"/>
          <w:szCs w:val="32"/>
        </w:rPr>
        <w:t>万元，比2021年增加</w:t>
      </w:r>
      <w:r>
        <w:rPr>
          <w:rFonts w:hint="default" w:ascii="Times New Roman" w:hAnsi="Times New Roman" w:eastAsia="仿宋_GB2312" w:cs="Times New Roman"/>
          <w:sz w:val="32"/>
          <w:szCs w:val="32"/>
          <w:lang w:val="en-US" w:eastAsia="zh-CN"/>
        </w:rPr>
        <w:t>7.65</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44</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val="en-US" w:eastAsia="zh-CN"/>
        </w:rPr>
        <w:t>2022年进行了职工体检，此项支出增加1.79万元，开展业务资料档案影像化业务支出4.5万元。</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jc w:val="left"/>
        <w:textAlignment w:val="auto"/>
        <w:outlineLvl w:val="9"/>
        <w:rPr>
          <w:rFonts w:hint="default" w:ascii="Times New Roman" w:hAnsi="Times New Roman" w:eastAsia="仿宋" w:cs="Times New Roman"/>
          <w:b/>
          <w:sz w:val="32"/>
          <w:szCs w:val="32"/>
        </w:rPr>
      </w:pPr>
      <w:bookmarkStart w:id="60" w:name="_Toc15377223"/>
      <w:r>
        <w:rPr>
          <w:rFonts w:hint="default" w:ascii="Times New Roman" w:hAnsi="Times New Roman" w:eastAsia="仿宋" w:cs="Times New Roman"/>
          <w:b/>
          <w:sz w:val="32"/>
          <w:szCs w:val="32"/>
        </w:rPr>
        <w:t>（二）政府采购支出情况</w:t>
      </w:r>
      <w:bookmarkEnd w:id="60"/>
    </w:p>
    <w:p>
      <w:pPr>
        <w:keepNext w:val="0"/>
        <w:keepLines w:val="0"/>
        <w:pageBreakBefore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val="en-US" w:eastAsia="zh-CN"/>
        </w:rPr>
        <w:t>本中心</w:t>
      </w:r>
      <w:r>
        <w:rPr>
          <w:rFonts w:hint="default"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政府采购货物支出0万元，政府采购工程支出0万元，政府采购服务支出0万元。</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jc w:val="left"/>
        <w:textAlignment w:val="auto"/>
        <w:outlineLvl w:val="9"/>
        <w:rPr>
          <w:rFonts w:ascii="仿宋" w:hAnsi="仿宋" w:eastAsia="仿宋"/>
          <w:b/>
          <w:sz w:val="32"/>
          <w:szCs w:val="32"/>
        </w:rPr>
      </w:pPr>
      <w:bookmarkStart w:id="61" w:name="_Toc15377224"/>
      <w:r>
        <w:rPr>
          <w:rFonts w:hint="eastAsia" w:ascii="仿宋" w:hAnsi="仿宋" w:eastAsia="仿宋"/>
          <w:b/>
          <w:sz w:val="32"/>
          <w:szCs w:val="32"/>
        </w:rPr>
        <w:t>（三）国有资产占有使用情况</w:t>
      </w:r>
      <w:bookmarkEnd w:id="6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截至2022年12月31日，</w:t>
      </w:r>
      <w:r>
        <w:rPr>
          <w:rFonts w:hint="default" w:ascii="Times New Roman" w:hAnsi="Times New Roman" w:eastAsia="仿宋_GB2312" w:cs="Times New Roman"/>
          <w:sz w:val="32"/>
          <w:szCs w:val="32"/>
          <w:lang w:val="en-US" w:eastAsia="zh-CN"/>
        </w:rPr>
        <w:t>盐边县社会保险事务中心共有车辆0辆，</w:t>
      </w:r>
      <w:r>
        <w:rPr>
          <w:rFonts w:hint="eastAsia" w:eastAsia="仿宋_GB2312" w:cs="Times New Roman"/>
          <w:sz w:val="32"/>
          <w:szCs w:val="32"/>
          <w:lang w:val="en-US" w:eastAsia="zh-CN"/>
        </w:rPr>
        <w:t>单价100万元（含）以上设备0台（套）</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val="0"/>
        <w:autoSpaceDN w:val="0"/>
        <w:bidi w:val="0"/>
        <w:adjustRightInd w:val="0"/>
        <w:snapToGrid/>
        <w:spacing w:line="560" w:lineRule="exact"/>
        <w:ind w:firstLine="643" w:firstLineChars="200"/>
        <w:jc w:val="left"/>
        <w:textAlignment w:val="auto"/>
        <w:outlineLvl w:val="9"/>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pPr>
        <w:keepNext w:val="0"/>
        <w:keepLines w:val="0"/>
        <w:pageBreakBefore w:val="0"/>
        <w:widowControl/>
        <w:kinsoku/>
        <w:wordWrap/>
        <w:overflowPunct/>
        <w:topLinePunct w:val="0"/>
        <w:bidi w:val="0"/>
        <w:snapToGrid/>
        <w:spacing w:line="560" w:lineRule="exact"/>
        <w:ind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根据预算绩效管理要求，本</w:t>
      </w:r>
      <w:r>
        <w:rPr>
          <w:rFonts w:hint="default" w:ascii="Times New Roman" w:hAnsi="Times New Roman" w:eastAsia="仿宋_GB2312" w:cs="Times New Roman"/>
          <w:color w:val="auto"/>
          <w:sz w:val="32"/>
          <w:szCs w:val="32"/>
          <w:lang w:val="en-US" w:eastAsia="zh-CN"/>
        </w:rPr>
        <w:t>单位</w:t>
      </w:r>
      <w:r>
        <w:rPr>
          <w:rFonts w:hint="default" w:ascii="Times New Roman" w:hAnsi="Times New Roman" w:eastAsia="仿宋_GB2312" w:cs="Times New Roman"/>
          <w:color w:val="auto"/>
          <w:sz w:val="32"/>
          <w:szCs w:val="32"/>
        </w:rPr>
        <w:t>在</w:t>
      </w:r>
      <w:r>
        <w:rPr>
          <w:rFonts w:hint="default" w:ascii="Times New Roman" w:hAnsi="Times New Roman" w:eastAsia="仿宋_GB2312" w:cs="Times New Roman"/>
          <w:color w:val="auto"/>
          <w:sz w:val="32"/>
          <w:szCs w:val="32"/>
          <w:lang w:val="en-US" w:eastAsia="zh-CN"/>
        </w:rPr>
        <w:t>2022</w:t>
      </w:r>
      <w:r>
        <w:rPr>
          <w:rFonts w:hint="default" w:ascii="Times New Roman" w:hAnsi="Times New Roman" w:eastAsia="仿宋_GB2312" w:cs="Times New Roman"/>
          <w:color w:val="auto"/>
          <w:sz w:val="32"/>
          <w:szCs w:val="32"/>
        </w:rPr>
        <w:t>年度预算编制阶段，组织对</w:t>
      </w:r>
      <w:r>
        <w:rPr>
          <w:rFonts w:hint="default" w:ascii="Times New Roman" w:hAnsi="Times New Roman" w:eastAsia="仿宋_GB2312" w:cs="Times New Roman"/>
          <w:color w:val="auto"/>
          <w:sz w:val="32"/>
          <w:szCs w:val="32"/>
          <w:lang w:val="en-US" w:eastAsia="zh-CN"/>
        </w:rPr>
        <w:t>2022</w:t>
      </w:r>
      <w:r>
        <w:rPr>
          <w:rFonts w:hint="default" w:ascii="Times New Roman" w:hAnsi="Times New Roman" w:eastAsia="仿宋_GB2312" w:cs="Times New Roman"/>
          <w:color w:val="auto"/>
          <w:sz w:val="32"/>
          <w:szCs w:val="32"/>
        </w:rPr>
        <w:t>年度省级财政困难群众社会保险个人缴费财政代缴资金项目</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2022</w:t>
      </w:r>
      <w:r>
        <w:rPr>
          <w:rFonts w:hint="default" w:ascii="Times New Roman" w:hAnsi="Times New Roman" w:eastAsia="仿宋_GB2312" w:cs="Times New Roman"/>
          <w:color w:val="auto"/>
          <w:sz w:val="32"/>
          <w:szCs w:val="32"/>
          <w:lang w:eastAsia="zh-CN"/>
        </w:rPr>
        <w:t>年省级财政社保公共服务能力建设资金</w:t>
      </w:r>
      <w:r>
        <w:rPr>
          <w:rFonts w:hint="default" w:ascii="Times New Roman" w:hAnsi="Times New Roman" w:eastAsia="仿宋_GB2312" w:cs="Times New Roman"/>
          <w:color w:val="auto"/>
          <w:sz w:val="32"/>
          <w:szCs w:val="32"/>
          <w:lang w:val="en-US" w:eastAsia="zh-CN"/>
        </w:rPr>
        <w:t>等2</w:t>
      </w:r>
      <w:r>
        <w:rPr>
          <w:rFonts w:hint="default" w:ascii="Times New Roman" w:hAnsi="Times New Roman" w:eastAsia="仿宋_GB2312" w:cs="Times New Roman"/>
          <w:color w:val="auto"/>
          <w:sz w:val="32"/>
          <w:szCs w:val="32"/>
        </w:rPr>
        <w:t>个项目开展了预算事前绩效评估，对</w:t>
      </w:r>
      <w:r>
        <w:rPr>
          <w:rFonts w:hint="default" w:ascii="Times New Roman" w:hAnsi="Times New Roman" w:eastAsia="仿宋_GB2312" w:cs="Times New Roman"/>
          <w:color w:val="auto"/>
          <w:sz w:val="32"/>
          <w:szCs w:val="32"/>
          <w:lang w:val="en-US" w:eastAsia="zh-CN"/>
        </w:rPr>
        <w:t>上述2</w:t>
      </w:r>
      <w:r>
        <w:rPr>
          <w:rFonts w:hint="default" w:ascii="Times New Roman" w:hAnsi="Times New Roman" w:eastAsia="仿宋_GB2312" w:cs="Times New Roman"/>
          <w:color w:val="auto"/>
          <w:sz w:val="32"/>
          <w:szCs w:val="32"/>
        </w:rPr>
        <w:t>个项目编制了绩效目标，预算执行过程中，</w:t>
      </w:r>
      <w:r>
        <w:rPr>
          <w:rFonts w:hint="default" w:ascii="Times New Roman" w:hAnsi="Times New Roman" w:eastAsia="仿宋_GB2312" w:cs="Times New Roman"/>
          <w:color w:val="auto"/>
          <w:sz w:val="32"/>
          <w:szCs w:val="32"/>
          <w:lang w:val="en-US" w:eastAsia="zh-CN"/>
        </w:rPr>
        <w:t>对上述2</w:t>
      </w:r>
      <w:r>
        <w:rPr>
          <w:rFonts w:hint="default" w:ascii="Times New Roman" w:hAnsi="Times New Roman" w:eastAsia="仿宋_GB2312" w:cs="Times New Roman"/>
          <w:color w:val="auto"/>
          <w:sz w:val="32"/>
          <w:szCs w:val="32"/>
        </w:rPr>
        <w:t>个项目开展绩效监控，年终执行完毕后，对</w:t>
      </w:r>
      <w:r>
        <w:rPr>
          <w:rFonts w:hint="default" w:ascii="Times New Roman" w:hAnsi="Times New Roman" w:eastAsia="仿宋_GB2312" w:cs="Times New Roman"/>
          <w:color w:val="auto"/>
          <w:sz w:val="32"/>
          <w:szCs w:val="32"/>
          <w:lang w:val="en-US" w:eastAsia="zh-CN"/>
        </w:rPr>
        <w:t>上述2</w:t>
      </w:r>
      <w:r>
        <w:rPr>
          <w:rFonts w:hint="default" w:ascii="Times New Roman" w:hAnsi="Times New Roman" w:eastAsia="仿宋_GB2312" w:cs="Times New Roman"/>
          <w:color w:val="auto"/>
          <w:sz w:val="32"/>
          <w:szCs w:val="32"/>
        </w:rPr>
        <w:t>个项目开展了绩效自评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绩效自评表详见第四部分附件。</w:t>
      </w:r>
    </w:p>
    <w:p>
      <w:pPr>
        <w:widowControl/>
        <w:ind w:firstLine="643" w:firstLineChars="200"/>
        <w:jc w:val="left"/>
        <w:rPr>
          <w:rFonts w:ascii="仿宋_GB2312" w:eastAsia="仿宋_GB2312"/>
          <w:b/>
          <w:sz w:val="32"/>
          <w:szCs w:val="32"/>
        </w:rPr>
      </w:pPr>
      <w:r>
        <w:rPr>
          <w:rFonts w:ascii="仿宋_GB2312" w:eastAsia="仿宋_GB2312"/>
          <w:b/>
          <w:sz w:val="32"/>
          <w:szCs w:val="32"/>
        </w:rPr>
        <w:br w:type="page"/>
      </w:r>
    </w:p>
    <w:p>
      <w:pPr>
        <w:keepNext w:val="0"/>
        <w:keepLines w:val="0"/>
        <w:pageBreakBefore w:val="0"/>
        <w:widowControl w:val="0"/>
        <w:numPr>
          <w:ilvl w:val="0"/>
          <w:numId w:val="5"/>
        </w:numPr>
        <w:kinsoku/>
        <w:wordWrap/>
        <w:overflowPunct/>
        <w:topLinePunct w:val="0"/>
        <w:bidi w:val="0"/>
        <w:snapToGrid/>
        <w:spacing w:line="560" w:lineRule="exact"/>
        <w:ind w:firstLine="880" w:firstLineChars="200"/>
        <w:jc w:val="center"/>
        <w:textAlignment w:val="auto"/>
        <w:outlineLvl w:val="0"/>
        <w:rPr>
          <w:rFonts w:hint="eastAsia" w:ascii="黑体" w:hAnsi="黑体" w:eastAsia="黑体" w:cs="黑体"/>
          <w:sz w:val="44"/>
          <w:szCs w:val="44"/>
        </w:rPr>
      </w:pPr>
      <w:bookmarkStart w:id="62" w:name="_Toc15396613"/>
      <w:bookmarkStart w:id="63" w:name="_Toc15377225"/>
      <w:bookmarkStart w:id="64" w:name="_Toc826"/>
      <w:r>
        <w:rPr>
          <w:rFonts w:hint="eastAsia" w:ascii="黑体" w:hAnsi="黑体" w:eastAsia="黑体" w:cs="黑体"/>
          <w:sz w:val="44"/>
          <w:szCs w:val="44"/>
        </w:rPr>
        <w:t>名词解释</w:t>
      </w:r>
      <w:bookmarkEnd w:id="62"/>
      <w:bookmarkEnd w:id="63"/>
      <w:bookmarkEnd w:id="64"/>
    </w:p>
    <w:p>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3.经营收入：指事业单位在专业业务活动及其辅助活动之外开展非独立核算经营活动取得的收入。</w:t>
      </w:r>
    </w:p>
    <w:p>
      <w:pPr>
        <w:pStyle w:val="24"/>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4.其他收入：指单位取得的除上述收入以外的各项收入。</w:t>
      </w:r>
    </w:p>
    <w:p>
      <w:pPr>
        <w:pStyle w:val="24"/>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5.使用非财政拨款结余：指事业单位使用以前年度积累的非财政拨款结余弥补当年收支差额的金额。</w:t>
      </w:r>
    </w:p>
    <w:p>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6.年初结转和结余：指以前年度尚未完成、结转到本年按有关规定继续使用的资金。</w:t>
      </w:r>
    </w:p>
    <w:p>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pPr>
        <w:pStyle w:val="24"/>
        <w:keepNext w:val="0"/>
        <w:keepLines w:val="0"/>
        <w:pageBreakBefore w:val="0"/>
        <w:widowControl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8.年末结转和结余：指单位按有关规定结转到下年或以后年度继续使用的资金。</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社会保障和就业</w:t>
      </w:r>
      <w:r>
        <w:rPr>
          <w:rFonts w:hint="default" w:ascii="Times New Roman" w:hAnsi="Times New Roman" w:eastAsia="仿宋_GB2312" w:cs="Times New Roman"/>
          <w:color w:val="000000"/>
          <w:sz w:val="32"/>
          <w:szCs w:val="32"/>
          <w:lang w:eastAsia="zh-CN"/>
        </w:rPr>
        <w:t>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208类</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人力资源和社会保障管理事务（</w:t>
      </w:r>
      <w:r>
        <w:rPr>
          <w:rFonts w:hint="default" w:ascii="Times New Roman" w:hAnsi="Times New Roman" w:eastAsia="仿宋_GB2312" w:cs="Times New Roman"/>
          <w:color w:val="000000"/>
          <w:sz w:val="32"/>
          <w:szCs w:val="32"/>
          <w:lang w:val="en-US" w:eastAsia="zh-CN"/>
        </w:rPr>
        <w:t>01款）</w:t>
      </w:r>
      <w:r>
        <w:rPr>
          <w:rFonts w:hint="default" w:ascii="Times New Roman" w:hAnsi="Times New Roman" w:eastAsia="仿宋_GB2312" w:cs="Times New Roman"/>
          <w:color w:val="000000"/>
          <w:sz w:val="32"/>
          <w:szCs w:val="32"/>
          <w:lang w:eastAsia="zh-CN"/>
        </w:rPr>
        <w:t>行政运行（</w:t>
      </w:r>
      <w:r>
        <w:rPr>
          <w:rFonts w:hint="default" w:ascii="Times New Roman" w:hAnsi="Times New Roman" w:eastAsia="仿宋_GB2312" w:cs="Times New Roman"/>
          <w:color w:val="000000"/>
          <w:sz w:val="32"/>
          <w:szCs w:val="32"/>
          <w:lang w:val="en-US" w:eastAsia="zh-CN"/>
        </w:rPr>
        <w:t>01项）：</w:t>
      </w:r>
      <w:r>
        <w:rPr>
          <w:rFonts w:hint="default" w:ascii="Times New Roman" w:hAnsi="Times New Roman" w:eastAsia="仿宋_GB2312" w:cs="Times New Roman"/>
          <w:color w:val="000000"/>
          <w:sz w:val="32"/>
          <w:szCs w:val="32"/>
          <w:lang w:eastAsia="zh-CN"/>
        </w:rPr>
        <w:t>指反映行政单位（包括实行公务员管理的事业单位）的基本</w:t>
      </w:r>
      <w:r>
        <w:rPr>
          <w:rFonts w:hint="default" w:ascii="Times New Roman" w:hAnsi="Times New Roman" w:eastAsia="仿宋_GB2312" w:cs="Times New Roman"/>
          <w:color w:val="000000"/>
          <w:sz w:val="32"/>
          <w:szCs w:val="32"/>
          <w:lang w:val="en-US" w:eastAsia="zh-CN"/>
        </w:rPr>
        <w:t>支</w:t>
      </w:r>
      <w:r>
        <w:rPr>
          <w:rFonts w:hint="default" w:ascii="Times New Roman" w:hAnsi="Times New Roman" w:eastAsia="仿宋_GB2312" w:cs="Times New Roman"/>
          <w:color w:val="000000"/>
          <w:sz w:val="32"/>
          <w:szCs w:val="32"/>
          <w:lang w:eastAsia="zh-CN"/>
        </w:rPr>
        <w:t>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社会保障和就业</w:t>
      </w:r>
      <w:r>
        <w:rPr>
          <w:rFonts w:hint="default" w:ascii="Times New Roman" w:hAnsi="Times New Roman" w:eastAsia="仿宋_GB2312" w:cs="Times New Roman"/>
          <w:color w:val="000000"/>
          <w:sz w:val="32"/>
          <w:szCs w:val="32"/>
          <w:lang w:eastAsia="zh-CN"/>
        </w:rPr>
        <w:t>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208类</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人力资源和社会保障管理事务（</w:t>
      </w:r>
      <w:r>
        <w:rPr>
          <w:rFonts w:hint="default" w:ascii="Times New Roman" w:hAnsi="Times New Roman" w:eastAsia="仿宋_GB2312" w:cs="Times New Roman"/>
          <w:color w:val="000000"/>
          <w:sz w:val="32"/>
          <w:szCs w:val="32"/>
          <w:lang w:val="en-US" w:eastAsia="zh-CN"/>
        </w:rPr>
        <w:t>01款）</w:t>
      </w:r>
      <w:r>
        <w:rPr>
          <w:rFonts w:hint="default" w:ascii="Times New Roman" w:hAnsi="Times New Roman" w:eastAsia="仿宋_GB2312" w:cs="Times New Roman"/>
          <w:color w:val="000000"/>
          <w:sz w:val="32"/>
          <w:szCs w:val="32"/>
          <w:lang w:eastAsia="zh-CN"/>
        </w:rPr>
        <w:t>一般行政管理事务（</w:t>
      </w:r>
      <w:r>
        <w:rPr>
          <w:rFonts w:hint="default" w:ascii="Times New Roman" w:hAnsi="Times New Roman" w:eastAsia="仿宋_GB2312" w:cs="Times New Roman"/>
          <w:color w:val="000000"/>
          <w:sz w:val="32"/>
          <w:szCs w:val="32"/>
          <w:lang w:val="en-US" w:eastAsia="zh-CN"/>
        </w:rPr>
        <w:t>02项）：</w:t>
      </w:r>
      <w:r>
        <w:rPr>
          <w:rFonts w:hint="default" w:ascii="Times New Roman" w:hAnsi="Times New Roman" w:eastAsia="仿宋_GB2312" w:cs="Times New Roman"/>
          <w:color w:val="000000"/>
          <w:sz w:val="32"/>
          <w:szCs w:val="32"/>
          <w:lang w:eastAsia="zh-CN"/>
        </w:rPr>
        <w:t>指反映行政单位（包括实行公务员管理的事业单位）未单独设置项级科目的其他项目支出。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11.</w:t>
      </w:r>
      <w:r>
        <w:rPr>
          <w:rFonts w:hint="default" w:ascii="Times New Roman" w:hAnsi="Times New Roman" w:eastAsia="仿宋_GB2312" w:cs="Times New Roman"/>
          <w:color w:val="000000"/>
          <w:sz w:val="32"/>
          <w:szCs w:val="32"/>
        </w:rPr>
        <w:t>社会保障和就业</w:t>
      </w:r>
      <w:r>
        <w:rPr>
          <w:rFonts w:hint="default" w:ascii="Times New Roman" w:hAnsi="Times New Roman" w:eastAsia="仿宋_GB2312" w:cs="Times New Roman"/>
          <w:color w:val="000000"/>
          <w:sz w:val="32"/>
          <w:szCs w:val="32"/>
          <w:lang w:eastAsia="zh-CN"/>
        </w:rPr>
        <w:t>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208类）</w:t>
      </w:r>
      <w:r>
        <w:rPr>
          <w:rFonts w:hint="default" w:ascii="Times New Roman" w:hAnsi="Times New Roman" w:eastAsia="仿宋_GB2312" w:cs="Times New Roman"/>
          <w:color w:val="000000"/>
          <w:sz w:val="32"/>
          <w:szCs w:val="32"/>
          <w:lang w:eastAsia="zh-CN"/>
        </w:rPr>
        <w:t>人力资源和社会保障管理事务（</w:t>
      </w:r>
      <w:r>
        <w:rPr>
          <w:rFonts w:hint="default" w:ascii="Times New Roman" w:hAnsi="Times New Roman" w:eastAsia="仿宋_GB2312" w:cs="Times New Roman"/>
          <w:color w:val="000000"/>
          <w:sz w:val="32"/>
          <w:szCs w:val="32"/>
          <w:lang w:val="en-US" w:eastAsia="zh-CN"/>
        </w:rPr>
        <w:t>01款）其他人力资源和社会保障管理事务支出（99项</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：指维持基本运转的支出</w:t>
      </w:r>
      <w:r>
        <w:rPr>
          <w:rFonts w:hint="default" w:ascii="Times New Roman" w:hAnsi="Times New Roman" w:eastAsia="仿宋_GB2312" w:cs="Times New Roman"/>
          <w:color w:val="000000"/>
          <w:sz w:val="32"/>
          <w:szCs w:val="32"/>
          <w:lang w:val="en-US" w:eastAsia="zh-CN"/>
        </w:rPr>
        <w:t>和其他用于人力资源和社会保障管理事务方面的支出</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工资和福利支出</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商品和服务支出</w:t>
      </w:r>
      <w:r>
        <w:rPr>
          <w:rFonts w:hint="default" w:ascii="Times New Roman" w:hAnsi="Times New Roman" w:eastAsia="仿宋_GB2312" w:cs="Times New Roman"/>
          <w:color w:val="000000"/>
          <w:sz w:val="32"/>
          <w:szCs w:val="32"/>
          <w:lang w:eastAsia="zh-CN"/>
        </w:rPr>
        <w:t>、对个人和家庭的补助支出、</w:t>
      </w:r>
      <w:r>
        <w:rPr>
          <w:rFonts w:hint="default" w:ascii="Times New Roman" w:hAnsi="Times New Roman" w:eastAsia="仿宋_GB2312" w:cs="Times New Roman"/>
          <w:color w:val="000000"/>
          <w:sz w:val="32"/>
          <w:szCs w:val="32"/>
          <w:lang w:val="en-US" w:eastAsia="zh-CN"/>
        </w:rPr>
        <w:t>资本性支出——用于办公设备购置</w:t>
      </w:r>
      <w:r>
        <w:rPr>
          <w:rFonts w:hint="default"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12.</w:t>
      </w:r>
      <w:r>
        <w:rPr>
          <w:rFonts w:hint="default" w:ascii="Times New Roman" w:hAnsi="Times New Roman" w:eastAsia="仿宋_GB2312" w:cs="Times New Roman"/>
          <w:color w:val="000000"/>
          <w:sz w:val="32"/>
          <w:szCs w:val="32"/>
        </w:rPr>
        <w:t>社会保障和就业</w:t>
      </w:r>
      <w:r>
        <w:rPr>
          <w:rFonts w:hint="default" w:ascii="Times New Roman" w:hAnsi="Times New Roman" w:eastAsia="仿宋_GB2312" w:cs="Times New Roman"/>
          <w:color w:val="000000"/>
          <w:sz w:val="32"/>
          <w:szCs w:val="32"/>
          <w:lang w:eastAsia="zh-CN"/>
        </w:rPr>
        <w:t>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208类）行政事业单位养老支出（05款）行政单位离退休（01项</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：指反映行政单位（包括实行公务员管理的事业单位）开支的离退休经费。</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13.</w:t>
      </w:r>
      <w:r>
        <w:rPr>
          <w:rFonts w:hint="default" w:ascii="Times New Roman" w:hAnsi="Times New Roman" w:eastAsia="仿宋_GB2312" w:cs="Times New Roman"/>
          <w:color w:val="000000"/>
          <w:sz w:val="32"/>
          <w:szCs w:val="32"/>
        </w:rPr>
        <w:t>社会保障和就业</w:t>
      </w:r>
      <w:r>
        <w:rPr>
          <w:rFonts w:hint="default" w:ascii="Times New Roman" w:hAnsi="Times New Roman" w:eastAsia="仿宋_GB2312" w:cs="Times New Roman"/>
          <w:color w:val="000000"/>
          <w:sz w:val="32"/>
          <w:szCs w:val="32"/>
          <w:lang w:eastAsia="zh-CN"/>
        </w:rPr>
        <w:t>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208类）行政事业单位养老支出（05款）机关事业单位基本养老保险缴费支出（05项</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：指机关事业单位实施养老保险制度由单位缴纳的基本养老保险费支出。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14.</w:t>
      </w:r>
      <w:r>
        <w:rPr>
          <w:rFonts w:hint="default" w:ascii="Times New Roman" w:hAnsi="Times New Roman" w:eastAsia="仿宋_GB2312" w:cs="Times New Roman"/>
          <w:color w:val="000000"/>
          <w:sz w:val="32"/>
          <w:szCs w:val="32"/>
          <w:lang w:eastAsia="zh-CN"/>
        </w:rPr>
        <w:t>社会保障和就业支出（</w:t>
      </w:r>
      <w:r>
        <w:rPr>
          <w:rFonts w:hint="default" w:ascii="Times New Roman" w:hAnsi="Times New Roman" w:eastAsia="仿宋_GB2312" w:cs="Times New Roman"/>
          <w:color w:val="000000"/>
          <w:sz w:val="32"/>
          <w:szCs w:val="32"/>
          <w:lang w:val="en-US" w:eastAsia="zh-CN"/>
        </w:rPr>
        <w:t>208类）行政事业单位养老支出（05款）机关事业单位职业年金缴费支出（06项</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反映机关事业单位实施养老保险制度由单位实际缴纳的职业年金支出。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15.社会保障和就业支出（208类）行政事业单位养老支出（05款）其他行政事业单位养老支出（99项）：其他用于行政事业单位养老方面的支出。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16.</w:t>
      </w:r>
      <w:r>
        <w:rPr>
          <w:rFonts w:hint="default" w:ascii="Times New Roman" w:hAnsi="Times New Roman" w:eastAsia="仿宋_GB2312" w:cs="Times New Roman"/>
          <w:color w:val="000000"/>
          <w:sz w:val="32"/>
          <w:szCs w:val="32"/>
        </w:rPr>
        <w:t>社会保障和就业</w:t>
      </w:r>
      <w:r>
        <w:rPr>
          <w:rFonts w:hint="default" w:ascii="Times New Roman" w:hAnsi="Times New Roman" w:eastAsia="仿宋_GB2312" w:cs="Times New Roman"/>
          <w:color w:val="000000"/>
          <w:sz w:val="32"/>
          <w:szCs w:val="32"/>
          <w:lang w:eastAsia="zh-CN"/>
        </w:rPr>
        <w:t>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208类）财政代缴社会保险费支出（30款）财政代缴城乡居民基本养老保险费支出（01项</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：指财政为生活困难人员缴纳的城乡居民基本养老保险费</w:t>
      </w:r>
      <w:r>
        <w:rPr>
          <w:rFonts w:hint="default" w:ascii="Times New Roman" w:hAnsi="Times New Roman" w:eastAsia="仿宋_GB2312" w:cs="Times New Roman"/>
          <w:color w:val="000000"/>
          <w:sz w:val="32"/>
          <w:szCs w:val="32"/>
          <w:lang w:val="en-US" w:eastAsia="zh-CN"/>
        </w:rPr>
        <w:t>支出</w:t>
      </w:r>
      <w:r>
        <w:rPr>
          <w:rFonts w:hint="default"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16.卫生健康支出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210类）行政事业单位医疗（11款）行政单位医疗（01项）：指财政部门安排的行政单位（包括实行公务员管理的事业单位，下同）基本医疗保险缴费经费，按国家规定享受离休人员待遇的医疗经费。</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17.卫生健康支出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210类）行政事业单位医疗（11款）事业单位医疗（02项）：财政部门安排的事业单位基本医疗保险缴费经费，按国家规定享受离休人员待遇的医疗经费。</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color w:val="000000"/>
          <w:sz w:val="32"/>
          <w:szCs w:val="32"/>
          <w:lang w:val="en-US" w:eastAsia="zh-CN"/>
        </w:rPr>
        <w:t>18</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卫生健康支出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210类）行政事业单位医疗（11款）公务员医疗补助（03项）：</w:t>
      </w:r>
      <w:r>
        <w:rPr>
          <w:rFonts w:hint="default" w:ascii="Times New Roman" w:hAnsi="Times New Roman" w:eastAsia="仿宋_GB2312" w:cs="Times New Roman"/>
          <w:color w:val="000000"/>
          <w:sz w:val="32"/>
          <w:szCs w:val="32"/>
          <w:lang w:eastAsia="zh-CN"/>
        </w:rPr>
        <w:t>指财政部门安排的公务员医疗补助经费</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sz w:val="32"/>
          <w:szCs w:val="32"/>
          <w:lang w:val="en-US" w:eastAsia="zh-CN"/>
        </w:rPr>
        <w:t>19</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卫生健康支出</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210类）行政事业单位医疗（11款）其他行政事业单位医疗支出（99项）：其他用于行政事业单位医疗方面的支出。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20.住房保障支出（221类）住房改革支出（02款）住房公积金（01项）：指行政事业单位按人力资源和社会保障部、财政部规定的基本工资和津贴补贴以及规定比例为职工缴纳的住房公积金。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21.其他交通费用：反映单位除公务用车运行维护费以外的其他交通费用。如公务交通补贴，租车费用、出租车费用，飞机、船舶的燃料费、维修费、保险费等。</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22.基本支出：指为保障机构正常运转、完成日常工作任务而发生的人员支出和公用支出。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23.项目支出：指在基本支出之外为完成特定行政任务和事业发展目标所发生的支出。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24.经营支出：指事业单位在专业业务活动及其辅助活动之外开展非独立核算经营活动发生的支出。</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25.“三公”经费：指部门用财政拨款安排的因公出国（境）费、公务用车运行维护费和公务接待费。其中，因公出国（境）费反映机关和参公事业单位公务出国（境）的国际旅游费、国外城市间交通费、住宿费、伙食费、培训费、公杂费等支出；公务用车运行维护费反映机关和参公事业单位按规定保留的公务用车燃料费、维修费、过桥过路费、保险费、安全奖励费用等支出；公务接待费反映机关和参公事业单位按规定开支的各类公务接待（含外宾接待）费用。</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26.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以及其他费用。</w:t>
      </w:r>
    </w:p>
    <w:p>
      <w:pPr>
        <w:keepNext w:val="0"/>
        <w:keepLines w:val="0"/>
        <w:pageBreakBefore w:val="0"/>
        <w:widowControl w:val="0"/>
        <w:kinsoku/>
        <w:wordWrap/>
        <w:overflowPunct/>
        <w:topLinePunct w:val="0"/>
        <w:bidi w:val="0"/>
        <w:snapToGrid/>
        <w:spacing w:before="0" w:after="0" w:line="560" w:lineRule="exact"/>
        <w:ind w:left="0" w:leftChars="0" w:right="0" w:rightChars="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27.金保网：</w:t>
      </w:r>
      <w:r>
        <w:rPr>
          <w:rFonts w:hint="default" w:ascii="Times New Roman" w:hAnsi="Times New Roman" w:eastAsia="仿宋_GB2312" w:cs="Times New Roman"/>
          <w:color w:val="000000"/>
          <w:sz w:val="32"/>
          <w:szCs w:val="32"/>
          <w:lang w:val="en-US" w:eastAsia="zh-CN"/>
        </w:rPr>
        <w:fldChar w:fldCharType="begin"/>
      </w:r>
      <w:r>
        <w:rPr>
          <w:rFonts w:hint="default" w:ascii="Times New Roman" w:hAnsi="Times New Roman" w:eastAsia="仿宋_GB2312" w:cs="Times New Roman"/>
          <w:color w:val="000000"/>
          <w:sz w:val="32"/>
          <w:szCs w:val="32"/>
          <w:lang w:val="en-US" w:eastAsia="zh-CN"/>
        </w:rPr>
        <w:instrText xml:space="preserve"> HYPERLINK "https://insurance.cngold.org/shebaoju/" \t "https://insurance.cngold.org/zt/_blank" </w:instrText>
      </w:r>
      <w:r>
        <w:rPr>
          <w:rFonts w:hint="default" w:ascii="Times New Roman" w:hAnsi="Times New Roman" w:eastAsia="仿宋_GB2312" w:cs="Times New Roman"/>
          <w:color w:val="000000"/>
          <w:sz w:val="32"/>
          <w:szCs w:val="32"/>
          <w:lang w:val="en-US" w:eastAsia="zh-CN"/>
        </w:rPr>
        <w:fldChar w:fldCharType="separate"/>
      </w:r>
      <w:r>
        <w:rPr>
          <w:rFonts w:hint="default" w:ascii="Times New Roman" w:hAnsi="Times New Roman" w:eastAsia="仿宋_GB2312" w:cs="Times New Roman"/>
          <w:color w:val="000000"/>
          <w:sz w:val="32"/>
          <w:szCs w:val="32"/>
          <w:lang w:val="en-US" w:eastAsia="zh-CN"/>
        </w:rPr>
        <w:t>社会保险业务专用网站</w:t>
      </w:r>
      <w:r>
        <w:rPr>
          <w:rFonts w:hint="default" w:ascii="Times New Roman" w:hAnsi="Times New Roman" w:eastAsia="仿宋_GB2312" w:cs="Times New Roman"/>
          <w:color w:val="000000"/>
          <w:sz w:val="32"/>
          <w:szCs w:val="32"/>
          <w:lang w:val="en-US" w:eastAsia="zh-CN"/>
        </w:rPr>
        <w:fldChar w:fldCharType="end"/>
      </w:r>
      <w:r>
        <w:rPr>
          <w:rFonts w:hint="default" w:ascii="Times New Roman" w:hAnsi="Times New Roman" w:eastAsia="仿宋_GB2312" w:cs="Times New Roman"/>
          <w:color w:val="000000"/>
          <w:sz w:val="32"/>
          <w:szCs w:val="32"/>
          <w:lang w:val="en-US" w:eastAsia="zh-CN"/>
        </w:rPr>
        <w:t>，专用于办理各项社会保险业务。</w:t>
      </w:r>
    </w:p>
    <w:p>
      <w:pPr>
        <w:keepNext w:val="0"/>
        <w:keepLines w:val="0"/>
        <w:pageBreakBefore w:val="0"/>
        <w:widowControl w:val="0"/>
        <w:kinsoku/>
        <w:wordWrap/>
        <w:overflowPunct/>
        <w:topLinePunct w:val="0"/>
        <w:bidi w:val="0"/>
        <w:snapToGrid/>
        <w:spacing w:line="560" w:lineRule="exact"/>
        <w:ind w:firstLine="640" w:firstLineChars="200"/>
        <w:jc w:val="center"/>
        <w:textAlignment w:val="auto"/>
        <w:outlineLvl w:val="9"/>
        <w:rPr>
          <w:rStyle w:val="26"/>
          <w:rFonts w:hint="eastAsia" w:ascii="仿宋_GB2312" w:hAnsi="仿宋_GB2312" w:eastAsia="仿宋_GB2312" w:cs="仿宋_GB2312"/>
          <w:b w:val="0"/>
          <w:sz w:val="32"/>
          <w:szCs w:val="32"/>
        </w:rPr>
      </w:pPr>
      <w:bookmarkStart w:id="65" w:name="_Toc15377226"/>
    </w:p>
    <w:p>
      <w:pPr>
        <w:spacing w:line="600" w:lineRule="exact"/>
        <w:jc w:val="center"/>
        <w:outlineLvl w:val="9"/>
        <w:rPr>
          <w:rStyle w:val="26"/>
          <w:rFonts w:ascii="黑体" w:hAnsi="黑体" w:eastAsia="黑体"/>
          <w:b w:val="0"/>
        </w:rPr>
      </w:pPr>
    </w:p>
    <w:p>
      <w:pPr>
        <w:spacing w:line="600" w:lineRule="exact"/>
        <w:jc w:val="center"/>
        <w:outlineLvl w:val="9"/>
        <w:rPr>
          <w:rStyle w:val="26"/>
          <w:rFonts w:ascii="黑体" w:hAnsi="黑体" w:eastAsia="黑体"/>
          <w:b w:val="0"/>
        </w:rPr>
      </w:pPr>
    </w:p>
    <w:p>
      <w:pPr>
        <w:spacing w:line="600" w:lineRule="exact"/>
        <w:jc w:val="center"/>
        <w:outlineLvl w:val="9"/>
        <w:rPr>
          <w:rStyle w:val="26"/>
          <w:rFonts w:ascii="黑体" w:hAnsi="黑体" w:eastAsia="黑体"/>
          <w:b w:val="0"/>
        </w:rPr>
      </w:pPr>
    </w:p>
    <w:p>
      <w:pPr>
        <w:spacing w:line="600" w:lineRule="exact"/>
        <w:jc w:val="center"/>
        <w:outlineLvl w:val="9"/>
        <w:rPr>
          <w:rStyle w:val="26"/>
          <w:rFonts w:ascii="黑体" w:hAnsi="黑体" w:eastAsia="黑体"/>
          <w:b w:val="0"/>
        </w:rPr>
      </w:pPr>
    </w:p>
    <w:p>
      <w:pPr>
        <w:spacing w:line="600" w:lineRule="exact"/>
        <w:jc w:val="center"/>
        <w:outlineLvl w:val="9"/>
        <w:rPr>
          <w:rStyle w:val="26"/>
          <w:rFonts w:ascii="黑体" w:hAnsi="黑体" w:eastAsia="黑体"/>
          <w:b w:val="0"/>
        </w:rPr>
      </w:pPr>
    </w:p>
    <w:p>
      <w:pPr>
        <w:pStyle w:val="2"/>
      </w:pPr>
    </w:p>
    <w:p>
      <w:pPr>
        <w:spacing w:line="600" w:lineRule="exact"/>
        <w:jc w:val="center"/>
        <w:outlineLvl w:val="9"/>
        <w:rPr>
          <w:rStyle w:val="26"/>
          <w:rFonts w:ascii="黑体" w:hAnsi="黑体" w:eastAsia="黑体"/>
          <w:b w:val="0"/>
        </w:rPr>
      </w:pPr>
    </w:p>
    <w:p>
      <w:pPr>
        <w:spacing w:line="600" w:lineRule="exact"/>
        <w:jc w:val="center"/>
        <w:outlineLvl w:val="0"/>
        <w:rPr>
          <w:rFonts w:ascii="仿宋_GB2312" w:hAnsi="仿宋_GB2312" w:eastAsia="仿宋_GB2312" w:cs="仿宋_GB2312"/>
          <w:sz w:val="32"/>
          <w:szCs w:val="32"/>
        </w:rPr>
      </w:pPr>
      <w:r>
        <w:rPr>
          <w:rStyle w:val="26"/>
          <w:rFonts w:ascii="黑体" w:hAnsi="黑体" w:eastAsia="黑体"/>
          <w:b w:val="0"/>
        </w:rPr>
        <w:t xml:space="preserve"> </w:t>
      </w:r>
      <w:bookmarkStart w:id="66" w:name="_Toc28520"/>
      <w:r>
        <w:rPr>
          <w:rFonts w:hint="eastAsia" w:ascii="黑体" w:hAnsi="黑体" w:eastAsia="黑体"/>
          <w:sz w:val="44"/>
          <w:szCs w:val="44"/>
        </w:rPr>
        <w:t>第</w:t>
      </w:r>
      <w:r>
        <w:rPr>
          <w:rStyle w:val="26"/>
          <w:rFonts w:hint="eastAsia" w:ascii="黑体" w:hAnsi="黑体" w:eastAsia="黑体"/>
        </w:rPr>
        <w:t>四部分 附件</w:t>
      </w:r>
      <w:bookmarkEnd w:id="66"/>
    </w:p>
    <w:p>
      <w:pPr>
        <w:pStyle w:val="13"/>
        <w:spacing w:line="560" w:lineRule="exact"/>
        <w:ind w:left="0" w:leftChars="0" w:firstLine="800" w:firstLineChars="250"/>
        <w:outlineLvl w:val="1"/>
        <w:rPr>
          <w:rFonts w:hint="eastAsia" w:ascii="黑体" w:hAnsi="黑体" w:eastAsia="黑体"/>
          <w:sz w:val="44"/>
          <w:szCs w:val="44"/>
        </w:rPr>
      </w:pPr>
      <w:bookmarkStart w:id="67" w:name="_Toc16306"/>
      <w:r>
        <w:rPr>
          <w:rFonts w:hint="eastAsia" w:ascii="仿宋_GB2312" w:hAnsi="仿宋_GB2312" w:eastAsia="仿宋_GB2312" w:cs="仿宋_GB2312"/>
          <w:sz w:val="32"/>
          <w:szCs w:val="32"/>
        </w:rPr>
        <w:t>部门预算项目支出绩效自评表（2022年度）见附件</w:t>
      </w:r>
      <w:bookmarkEnd w:id="67"/>
      <w:bookmarkStart w:id="68" w:name="_Toc15396618"/>
    </w:p>
    <w:p>
      <w:pPr>
        <w:spacing w:line="600" w:lineRule="exact"/>
        <w:jc w:val="center"/>
        <w:outlineLvl w:val="0"/>
        <w:rPr>
          <w:rFonts w:ascii="仿宋" w:hAnsi="仿宋" w:eastAsia="仿宋"/>
        </w:rPr>
      </w:pPr>
      <w:bookmarkStart w:id="69" w:name="_Toc4612"/>
      <w:r>
        <w:rPr>
          <w:rFonts w:hint="eastAsia" w:ascii="黑体" w:hAnsi="黑体" w:eastAsia="黑体"/>
          <w:sz w:val="44"/>
          <w:szCs w:val="44"/>
        </w:rPr>
        <w:t>第</w:t>
      </w:r>
      <w:r>
        <w:rPr>
          <w:rStyle w:val="26"/>
          <w:rFonts w:hint="eastAsia" w:ascii="黑体" w:hAnsi="黑体" w:eastAsia="黑体"/>
          <w:b w:val="0"/>
        </w:rPr>
        <w:t>五部分 附表</w:t>
      </w:r>
      <w:bookmarkEnd w:id="65"/>
      <w:bookmarkEnd w:id="68"/>
      <w:bookmarkEnd w:id="69"/>
      <w:bookmarkStart w:id="70" w:name="_Toc15396619"/>
    </w:p>
    <w:p>
      <w:pPr>
        <w:pStyle w:val="4"/>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Style w:val="27"/>
          <w:rFonts w:hint="eastAsia" w:ascii="仿宋" w:hAnsi="仿宋" w:eastAsia="仿宋"/>
          <w:b w:val="0"/>
          <w:bCs w:val="0"/>
        </w:rPr>
      </w:pPr>
      <w:bookmarkStart w:id="71" w:name="_Toc3177"/>
      <w:r>
        <w:rPr>
          <w:rFonts w:hint="eastAsia" w:ascii="仿宋" w:hAnsi="仿宋" w:eastAsia="仿宋"/>
          <w:b w:val="0"/>
        </w:rPr>
        <w:t>一、收</w:t>
      </w:r>
      <w:r>
        <w:rPr>
          <w:rStyle w:val="27"/>
          <w:rFonts w:hint="eastAsia" w:ascii="仿宋" w:hAnsi="仿宋" w:eastAsia="仿宋"/>
          <w:b w:val="0"/>
          <w:bCs w:val="0"/>
        </w:rPr>
        <w:t>入支出决算总表</w:t>
      </w:r>
      <w:bookmarkEnd w:id="70"/>
      <w:bookmarkEnd w:id="71"/>
    </w:p>
    <w:p>
      <w:pPr>
        <w:rPr>
          <w:rFonts w:hint="eastAsia" w:eastAsia="仿宋"/>
          <w:lang w:eastAsia="zh-CN"/>
        </w:rPr>
      </w:pPr>
      <w:r>
        <w:rPr>
          <w:rFonts w:hint="eastAsia" w:eastAsia="仿宋"/>
          <w:lang w:eastAsia="zh-CN"/>
        </w:rPr>
        <w:drawing>
          <wp:inline distT="0" distB="0" distL="114300" distR="114300">
            <wp:extent cx="5269865" cy="4648835"/>
            <wp:effectExtent l="0" t="0" r="6985" b="18415"/>
            <wp:docPr id="6" name="图片 6" descr="盐边县社会保险事务中心2022年度部门决算公开表_G01 收入支出决算总表(公开01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盐边县社会保险事务中心2022年度部门决算公开表_G01 收入支出决算总表(公开01表)"/>
                    <pic:cNvPicPr>
                      <a:picLocks noChangeAspect="1"/>
                    </pic:cNvPicPr>
                  </pic:nvPicPr>
                  <pic:blipFill>
                    <a:blip r:embed="rId14"/>
                    <a:stretch>
                      <a:fillRect/>
                    </a:stretch>
                  </pic:blipFill>
                  <pic:spPr>
                    <a:xfrm>
                      <a:off x="0" y="0"/>
                      <a:ext cx="5269865" cy="4648835"/>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 w:val="0"/>
        </w:rPr>
      </w:pPr>
      <w:bookmarkStart w:id="72" w:name="_Toc15396620"/>
      <w:bookmarkStart w:id="73" w:name="_Toc22619"/>
      <w:r>
        <w:rPr>
          <w:rFonts w:hint="eastAsia" w:ascii="仿宋" w:hAnsi="仿宋" w:eastAsia="仿宋"/>
          <w:b w:val="0"/>
        </w:rPr>
        <w:t>二、收入决算表</w:t>
      </w:r>
      <w:bookmarkEnd w:id="72"/>
      <w:bookmarkEnd w:id="73"/>
    </w:p>
    <w:p>
      <w:pPr>
        <w:rPr>
          <w:rFonts w:hint="eastAsia" w:eastAsia="宋体"/>
          <w:lang w:eastAsia="zh-CN"/>
        </w:rPr>
      </w:pPr>
      <w:r>
        <w:rPr>
          <w:rFonts w:hint="eastAsia" w:eastAsia="宋体"/>
          <w:lang w:eastAsia="zh-CN"/>
        </w:rPr>
        <w:drawing>
          <wp:inline distT="0" distB="0" distL="114300" distR="114300">
            <wp:extent cx="5264785" cy="2858770"/>
            <wp:effectExtent l="0" t="0" r="12065" b="17780"/>
            <wp:docPr id="8" name="图片 8" descr="盐边县社会保险事务中心2022年度部门决算公开表_G02 收入决算表(公开02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盐边县社会保险事务中心2022年度部门决算公开表_G02 收入决算表(公开02表)"/>
                    <pic:cNvPicPr>
                      <a:picLocks noChangeAspect="1"/>
                    </pic:cNvPicPr>
                  </pic:nvPicPr>
                  <pic:blipFill>
                    <a:blip r:embed="rId15"/>
                    <a:stretch>
                      <a:fillRect/>
                    </a:stretch>
                  </pic:blipFill>
                  <pic:spPr>
                    <a:xfrm>
                      <a:off x="0" y="0"/>
                      <a:ext cx="5264785" cy="2858770"/>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 w:val="0"/>
        </w:rPr>
      </w:pPr>
      <w:bookmarkStart w:id="74" w:name="_Toc15396621"/>
      <w:bookmarkStart w:id="75" w:name="_Toc21904"/>
      <w:r>
        <w:rPr>
          <w:rFonts w:hint="eastAsia" w:ascii="仿宋" w:hAnsi="仿宋" w:eastAsia="仿宋"/>
          <w:b w:val="0"/>
        </w:rPr>
        <w:t>三、支出决算表</w:t>
      </w:r>
      <w:bookmarkEnd w:id="74"/>
      <w:bookmarkEnd w:id="75"/>
    </w:p>
    <w:p>
      <w:pPr>
        <w:outlineLvl w:val="9"/>
        <w:rPr>
          <w:rFonts w:hint="eastAsia" w:eastAsia="宋体"/>
          <w:lang w:eastAsia="zh-CN"/>
        </w:rPr>
      </w:pPr>
      <w:r>
        <w:rPr>
          <w:rFonts w:hint="eastAsia" w:eastAsia="宋体"/>
          <w:lang w:eastAsia="zh-CN"/>
        </w:rPr>
        <w:drawing>
          <wp:inline distT="0" distB="0" distL="114300" distR="114300">
            <wp:extent cx="5272405" cy="3180715"/>
            <wp:effectExtent l="0" t="0" r="4445" b="635"/>
            <wp:docPr id="9" name="图片 9" descr="盐边县社会保险事务中心2022年度部门决算公开表_G03 支出决算表(公开03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盐边县社会保险事务中心2022年度部门决算公开表_G03 支出决算表(公开03表)"/>
                    <pic:cNvPicPr>
                      <a:picLocks noChangeAspect="1"/>
                    </pic:cNvPicPr>
                  </pic:nvPicPr>
                  <pic:blipFill>
                    <a:blip r:embed="rId16"/>
                    <a:stretch>
                      <a:fillRect/>
                    </a:stretch>
                  </pic:blipFill>
                  <pic:spPr>
                    <a:xfrm>
                      <a:off x="0" y="0"/>
                      <a:ext cx="5272405" cy="3180715"/>
                    </a:xfrm>
                    <a:prstGeom prst="rect">
                      <a:avLst/>
                    </a:prstGeom>
                  </pic:spPr>
                </pic:pic>
              </a:graphicData>
            </a:graphic>
          </wp:inline>
        </w:drawing>
      </w:r>
      <w:bookmarkStart w:id="76" w:name="_Toc15396622"/>
    </w:p>
    <w:p>
      <w:pPr>
        <w:keepNext/>
        <w:keepLines/>
        <w:pageBreakBefore w:val="0"/>
        <w:widowControl w:val="0"/>
        <w:kinsoku/>
        <w:wordWrap/>
        <w:overflowPunct/>
        <w:topLinePunct w:val="0"/>
        <w:autoSpaceDE/>
        <w:autoSpaceDN/>
        <w:bidi w:val="0"/>
        <w:adjustRightInd/>
        <w:snapToGrid/>
        <w:spacing w:before="0" w:after="0" w:line="560" w:lineRule="exact"/>
        <w:textAlignment w:val="auto"/>
        <w:outlineLvl w:val="9"/>
        <w:rPr>
          <w:rFonts w:hint="eastAsia" w:ascii="仿宋" w:hAnsi="仿宋" w:eastAsia="仿宋"/>
          <w:b w:val="0"/>
          <w:lang w:val="en-US" w:eastAsia="zh-CN"/>
        </w:rPr>
      </w:pPr>
    </w:p>
    <w:p>
      <w:pPr>
        <w:rPr>
          <w:rFonts w:hint="eastAsia" w:ascii="仿宋" w:hAnsi="仿宋" w:eastAsia="仿宋"/>
          <w:b w:val="0"/>
          <w:lang w:val="en-US" w:eastAsia="zh-CN"/>
        </w:rPr>
      </w:pPr>
    </w:p>
    <w:p>
      <w:pPr>
        <w:pStyle w:val="2"/>
        <w:rPr>
          <w:rFonts w:hint="eastAsia"/>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rPr>
      </w:pPr>
      <w:bookmarkStart w:id="77" w:name="_Toc17283"/>
      <w:r>
        <w:rPr>
          <w:rFonts w:hint="eastAsia" w:ascii="仿宋" w:hAnsi="仿宋" w:eastAsia="仿宋"/>
          <w:b w:val="0"/>
          <w:lang w:val="en-US" w:eastAsia="zh-CN"/>
        </w:rPr>
        <w:t>四、</w:t>
      </w:r>
      <w:r>
        <w:rPr>
          <w:rFonts w:hint="eastAsia" w:ascii="仿宋" w:hAnsi="仿宋" w:eastAsia="仿宋"/>
          <w:b w:val="0"/>
        </w:rPr>
        <w:t>财政拨款收入支出决算总表</w:t>
      </w:r>
      <w:bookmarkEnd w:id="76"/>
      <w:bookmarkEnd w:id="77"/>
    </w:p>
    <w:p>
      <w:pPr>
        <w:pStyle w:val="2"/>
        <w:numPr>
          <w:ilvl w:val="0"/>
          <w:numId w:val="0"/>
        </w:numPr>
        <w:ind w:leftChars="200"/>
        <w:rPr>
          <w:rFonts w:hint="eastAsia"/>
        </w:rPr>
      </w:pPr>
    </w:p>
    <w:p>
      <w:pPr>
        <w:jc w:val="left"/>
        <w:outlineLvl w:val="9"/>
        <w:rPr>
          <w:rFonts w:hint="eastAsia" w:ascii="仿宋" w:hAnsi="仿宋" w:eastAsia="仿宋"/>
          <w:b w:val="0"/>
          <w:lang w:eastAsia="zh-CN"/>
        </w:rPr>
      </w:pPr>
      <w:r>
        <w:rPr>
          <w:rFonts w:hint="eastAsia" w:ascii="仿宋" w:hAnsi="仿宋" w:eastAsia="仿宋"/>
          <w:b w:val="0"/>
          <w:lang w:eastAsia="zh-CN"/>
        </w:rPr>
        <w:drawing>
          <wp:inline distT="0" distB="0" distL="114300" distR="114300">
            <wp:extent cx="5274310" cy="3947795"/>
            <wp:effectExtent l="0" t="0" r="2540" b="14605"/>
            <wp:docPr id="10" name="图片 10" descr="盐边县社会保险事务中心2022年度部门决算公开表_G04 财政拨款收入支出决算总表(公开04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盐边县社会保险事务中心2022年度部门决算公开表_G04 财政拨款收入支出决算总表(公开04表)"/>
                    <pic:cNvPicPr>
                      <a:picLocks noChangeAspect="1"/>
                    </pic:cNvPicPr>
                  </pic:nvPicPr>
                  <pic:blipFill>
                    <a:blip r:embed="rId17"/>
                    <a:stretch>
                      <a:fillRect/>
                    </a:stretch>
                  </pic:blipFill>
                  <pic:spPr>
                    <a:xfrm>
                      <a:off x="0" y="0"/>
                      <a:ext cx="5274310" cy="3947795"/>
                    </a:xfrm>
                    <a:prstGeom prst="rect">
                      <a:avLst/>
                    </a:prstGeom>
                  </pic:spPr>
                </pic:pic>
              </a:graphicData>
            </a:graphic>
          </wp:inline>
        </w:drawing>
      </w:r>
    </w:p>
    <w:p>
      <w:pPr>
        <w:outlineLvl w:val="9"/>
        <w:rPr>
          <w:rStyle w:val="27"/>
          <w:rFonts w:hint="eastAsia" w:ascii="仿宋" w:hAnsi="仿宋" w:eastAsia="仿宋"/>
          <w:b w:val="0"/>
          <w:bCs w:val="0"/>
        </w:rPr>
      </w:pPr>
      <w:bookmarkStart w:id="78" w:name="_Toc15396623"/>
    </w:p>
    <w:p>
      <w:pPr>
        <w:outlineLvl w:val="9"/>
        <w:rPr>
          <w:rStyle w:val="27"/>
          <w:rFonts w:hint="eastAsia" w:ascii="仿宋" w:hAnsi="仿宋" w:eastAsia="仿宋"/>
          <w:b w:val="0"/>
          <w:bCs w:val="0"/>
        </w:rPr>
      </w:pPr>
    </w:p>
    <w:p>
      <w:pPr>
        <w:outlineLvl w:val="9"/>
        <w:rPr>
          <w:rStyle w:val="27"/>
          <w:rFonts w:hint="eastAsia" w:ascii="仿宋" w:hAnsi="仿宋" w:eastAsia="仿宋"/>
          <w:b w:val="0"/>
          <w:bCs w:val="0"/>
        </w:rPr>
      </w:pPr>
    </w:p>
    <w:p>
      <w:pPr>
        <w:outlineLvl w:val="9"/>
        <w:rPr>
          <w:rStyle w:val="27"/>
          <w:rFonts w:hint="eastAsia" w:ascii="仿宋" w:hAnsi="仿宋" w:eastAsia="仿宋"/>
          <w:b w:val="0"/>
          <w:bCs w:val="0"/>
        </w:rPr>
      </w:pPr>
    </w:p>
    <w:p>
      <w:pPr>
        <w:outlineLvl w:val="9"/>
        <w:rPr>
          <w:rStyle w:val="27"/>
          <w:rFonts w:hint="eastAsia" w:ascii="仿宋" w:hAnsi="仿宋" w:eastAsia="仿宋"/>
          <w:b w:val="0"/>
          <w:bCs w:val="0"/>
        </w:rPr>
      </w:pPr>
    </w:p>
    <w:p>
      <w:pPr>
        <w:outlineLvl w:val="9"/>
        <w:rPr>
          <w:rStyle w:val="27"/>
          <w:rFonts w:hint="eastAsia" w:ascii="仿宋" w:hAnsi="仿宋" w:eastAsia="仿宋"/>
          <w:b w:val="0"/>
          <w:bCs w:val="0"/>
        </w:rPr>
      </w:pPr>
    </w:p>
    <w:p>
      <w:pPr>
        <w:outlineLvl w:val="9"/>
        <w:rPr>
          <w:rStyle w:val="27"/>
          <w:rFonts w:hint="eastAsia" w:ascii="仿宋" w:hAnsi="仿宋" w:eastAsia="仿宋"/>
          <w:b w:val="0"/>
          <w:bCs w:val="0"/>
        </w:rPr>
      </w:pPr>
    </w:p>
    <w:p>
      <w:pPr>
        <w:outlineLvl w:val="9"/>
        <w:rPr>
          <w:rStyle w:val="27"/>
          <w:rFonts w:hint="eastAsia" w:ascii="仿宋" w:hAnsi="仿宋" w:eastAsia="仿宋"/>
          <w:b w:val="0"/>
          <w:bCs w:val="0"/>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79" w:name="_Toc28390"/>
      <w:r>
        <w:rPr>
          <w:rFonts w:hint="eastAsia" w:ascii="仿宋" w:hAnsi="仿宋" w:eastAsia="仿宋"/>
          <w:b w:val="0"/>
          <w:lang w:val="en-US" w:eastAsia="zh-CN"/>
        </w:rPr>
        <w:t>五、财政拨款支出决算明细表</w:t>
      </w:r>
      <w:bookmarkEnd w:id="78"/>
      <w:bookmarkEnd w:id="79"/>
      <w:bookmarkStart w:id="80" w:name="_Toc15396624"/>
    </w:p>
    <w:p>
      <w:pPr>
        <w:rPr>
          <w:rFonts w:hint="eastAsia" w:eastAsia="仿宋"/>
          <w:lang w:eastAsia="zh-CN"/>
        </w:rPr>
      </w:pPr>
      <w:r>
        <w:rPr>
          <w:rFonts w:hint="eastAsia" w:eastAsia="仿宋"/>
          <w:lang w:eastAsia="zh-CN"/>
        </w:rPr>
        <w:drawing>
          <wp:inline distT="0" distB="0" distL="114300" distR="114300">
            <wp:extent cx="5265420" cy="4714240"/>
            <wp:effectExtent l="0" t="0" r="11430" b="10160"/>
            <wp:docPr id="12" name="图片 12" descr="盐边县社会保险事务中心2022年度部门决算公开表_G05 财政拨款支出决算明细表(公开05表)(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盐边县社会保险事务中心2022年度部门决算公开表_G05 财政拨款支出决算明细表(公开05表)(3)"/>
                    <pic:cNvPicPr>
                      <a:picLocks noChangeAspect="1"/>
                    </pic:cNvPicPr>
                  </pic:nvPicPr>
                  <pic:blipFill>
                    <a:blip r:embed="rId18"/>
                    <a:stretch>
                      <a:fillRect/>
                    </a:stretch>
                  </pic:blipFill>
                  <pic:spPr>
                    <a:xfrm>
                      <a:off x="0" y="0"/>
                      <a:ext cx="5265420" cy="4714240"/>
                    </a:xfrm>
                    <a:prstGeom prst="rect">
                      <a:avLst/>
                    </a:prstGeom>
                  </pic:spPr>
                </pic:pic>
              </a:graphicData>
            </a:graphic>
          </wp:inline>
        </w:drawing>
      </w:r>
      <w:r>
        <w:rPr>
          <w:rFonts w:hint="eastAsia" w:eastAsia="仿宋"/>
          <w:lang w:eastAsia="zh-CN"/>
        </w:rPr>
        <w:drawing>
          <wp:inline distT="0" distB="0" distL="114300" distR="114300">
            <wp:extent cx="5266055" cy="6226175"/>
            <wp:effectExtent l="0" t="0" r="10795" b="3175"/>
            <wp:docPr id="13" name="图片 13" descr="财政拨款支出决算明细表5.2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财政拨款支出决算明细表5.2_Sheet1"/>
                    <pic:cNvPicPr>
                      <a:picLocks noChangeAspect="1"/>
                    </pic:cNvPicPr>
                  </pic:nvPicPr>
                  <pic:blipFill>
                    <a:blip r:embed="rId19"/>
                    <a:stretch>
                      <a:fillRect/>
                    </a:stretch>
                  </pic:blipFill>
                  <pic:spPr>
                    <a:xfrm>
                      <a:off x="0" y="0"/>
                      <a:ext cx="5266055" cy="6226175"/>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81" w:name="_Toc23349"/>
      <w:r>
        <w:rPr>
          <w:rFonts w:hint="eastAsia" w:ascii="仿宋" w:hAnsi="仿宋" w:eastAsia="仿宋"/>
          <w:b w:val="0"/>
          <w:lang w:val="en-US" w:eastAsia="zh-CN"/>
        </w:rPr>
        <w:t>六、一般公共预算财政拨款支出决算表</w:t>
      </w:r>
      <w:bookmarkEnd w:id="80"/>
      <w:bookmarkEnd w:id="81"/>
    </w:p>
    <w:p>
      <w:pPr>
        <w:rPr>
          <w:rFonts w:hint="eastAsia" w:eastAsia="宋体"/>
          <w:lang w:eastAsia="zh-CN"/>
        </w:rPr>
      </w:pPr>
      <w:r>
        <w:rPr>
          <w:rFonts w:hint="eastAsia" w:eastAsia="宋体"/>
          <w:lang w:eastAsia="zh-CN"/>
        </w:rPr>
        <w:drawing>
          <wp:inline distT="0" distB="0" distL="114300" distR="114300">
            <wp:extent cx="5270500" cy="4450080"/>
            <wp:effectExtent l="0" t="0" r="6350" b="7620"/>
            <wp:docPr id="14" name="图片 14" descr="盐边县社会保险事务中心2022年度部门决算公开表_G06 一般公共预算财政拨款支出决算表(公开06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盐边县社会保险事务中心2022年度部门决算公开表_G06 一般公共预算财政拨款支出决算表(公开06表)"/>
                    <pic:cNvPicPr>
                      <a:picLocks noChangeAspect="1"/>
                    </pic:cNvPicPr>
                  </pic:nvPicPr>
                  <pic:blipFill>
                    <a:blip r:embed="rId20"/>
                    <a:stretch>
                      <a:fillRect/>
                    </a:stretch>
                  </pic:blipFill>
                  <pic:spPr>
                    <a:xfrm>
                      <a:off x="0" y="0"/>
                      <a:ext cx="5270500" cy="4450080"/>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82" w:name="_Toc15396625"/>
      <w:bookmarkStart w:id="83" w:name="_Toc8276"/>
      <w:r>
        <w:rPr>
          <w:rFonts w:hint="eastAsia" w:ascii="仿宋" w:hAnsi="仿宋" w:eastAsia="仿宋"/>
          <w:b w:val="0"/>
          <w:lang w:val="en-US" w:eastAsia="zh-CN"/>
        </w:rPr>
        <w:t>七、一般公共预算财政拨款支出决算明细表</w:t>
      </w:r>
      <w:bookmarkEnd w:id="82"/>
      <w:bookmarkEnd w:id="83"/>
    </w:p>
    <w:p>
      <w:pPr>
        <w:numPr>
          <w:ilvl w:val="0"/>
          <w:numId w:val="0"/>
        </w:numPr>
        <w:jc w:val="left"/>
        <w:outlineLvl w:val="9"/>
        <w:rPr>
          <w:rFonts w:hint="eastAsia" w:ascii="仿宋" w:hAnsi="仿宋" w:eastAsia="仿宋"/>
          <w:lang w:eastAsia="zh-CN"/>
        </w:rPr>
      </w:pPr>
      <w:r>
        <w:rPr>
          <w:rFonts w:hint="eastAsia" w:ascii="仿宋" w:hAnsi="仿宋" w:eastAsia="仿宋"/>
          <w:lang w:eastAsia="zh-CN"/>
        </w:rPr>
        <w:drawing>
          <wp:inline distT="0" distB="0" distL="114300" distR="114300">
            <wp:extent cx="5462270" cy="2737485"/>
            <wp:effectExtent l="0" t="0" r="5080" b="5715"/>
            <wp:docPr id="28" name="图片 28" descr="财政拨款支出决算明细表5.2_Shee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财政拨款支出决算明细表5.2_Sheet2"/>
                    <pic:cNvPicPr>
                      <a:picLocks noChangeAspect="1"/>
                    </pic:cNvPicPr>
                  </pic:nvPicPr>
                  <pic:blipFill>
                    <a:blip r:embed="rId21"/>
                    <a:stretch>
                      <a:fillRect/>
                    </a:stretch>
                  </pic:blipFill>
                  <pic:spPr>
                    <a:xfrm>
                      <a:off x="0" y="0"/>
                      <a:ext cx="5462270" cy="2737485"/>
                    </a:xfrm>
                    <a:prstGeom prst="rect">
                      <a:avLst/>
                    </a:prstGeom>
                  </pic:spPr>
                </pic:pic>
              </a:graphicData>
            </a:graphic>
          </wp:inline>
        </w:drawing>
      </w:r>
      <w:r>
        <w:rPr>
          <w:rFonts w:hint="eastAsia" w:ascii="仿宋" w:hAnsi="仿宋" w:eastAsia="仿宋"/>
          <w:lang w:eastAsia="zh-CN"/>
        </w:rPr>
        <w:drawing>
          <wp:inline distT="0" distB="0" distL="114300" distR="114300">
            <wp:extent cx="5541010" cy="2894330"/>
            <wp:effectExtent l="0" t="0" r="2540" b="1270"/>
            <wp:docPr id="26" name="图片 26" descr="财政拨款支出决算明细表5.2_Shee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财政拨款支出决算明细表5.2_Sheet3"/>
                    <pic:cNvPicPr>
                      <a:picLocks noChangeAspect="1"/>
                    </pic:cNvPicPr>
                  </pic:nvPicPr>
                  <pic:blipFill>
                    <a:blip r:embed="rId22"/>
                    <a:stretch>
                      <a:fillRect/>
                    </a:stretch>
                  </pic:blipFill>
                  <pic:spPr>
                    <a:xfrm>
                      <a:off x="0" y="0"/>
                      <a:ext cx="5541010" cy="2894330"/>
                    </a:xfrm>
                    <a:prstGeom prst="rect">
                      <a:avLst/>
                    </a:prstGeom>
                  </pic:spPr>
                </pic:pic>
              </a:graphicData>
            </a:graphic>
          </wp:inline>
        </w:drawing>
      </w:r>
      <w:r>
        <w:rPr>
          <w:rFonts w:hint="eastAsia" w:ascii="仿宋" w:hAnsi="仿宋" w:eastAsia="仿宋"/>
          <w:lang w:eastAsia="zh-CN"/>
        </w:rPr>
        <w:drawing>
          <wp:inline distT="0" distB="0" distL="114300" distR="114300">
            <wp:extent cx="5518785" cy="2738120"/>
            <wp:effectExtent l="0" t="0" r="5715" b="5080"/>
            <wp:docPr id="27" name="图片 27" descr="财政拨款支出决算明细表5.2_Shee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财政拨款支出决算明细表5.2_Sheet4"/>
                    <pic:cNvPicPr>
                      <a:picLocks noChangeAspect="1"/>
                    </pic:cNvPicPr>
                  </pic:nvPicPr>
                  <pic:blipFill>
                    <a:blip r:embed="rId23"/>
                    <a:stretch>
                      <a:fillRect/>
                    </a:stretch>
                  </pic:blipFill>
                  <pic:spPr>
                    <a:xfrm>
                      <a:off x="0" y="0"/>
                      <a:ext cx="5518785" cy="2738120"/>
                    </a:xfrm>
                    <a:prstGeom prst="rect">
                      <a:avLst/>
                    </a:prstGeom>
                  </pic:spPr>
                </pic:pic>
              </a:graphicData>
            </a:graphic>
          </wp:inline>
        </w:drawing>
      </w:r>
      <w:r>
        <w:rPr>
          <w:rFonts w:hint="eastAsia" w:ascii="仿宋" w:hAnsi="仿宋" w:eastAsia="仿宋"/>
          <w:lang w:eastAsia="zh-CN"/>
        </w:rPr>
        <w:drawing>
          <wp:inline distT="0" distB="0" distL="114300" distR="114300">
            <wp:extent cx="5729605" cy="4133850"/>
            <wp:effectExtent l="0" t="0" r="4445" b="0"/>
            <wp:docPr id="19" name="图片 19" descr="财政拨款支出决算明细表5.2_Sheet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财政拨款支出决算明细表5.2_Sheet5"/>
                    <pic:cNvPicPr>
                      <a:picLocks noChangeAspect="1"/>
                    </pic:cNvPicPr>
                  </pic:nvPicPr>
                  <pic:blipFill>
                    <a:blip r:embed="rId24"/>
                    <a:stretch>
                      <a:fillRect/>
                    </a:stretch>
                  </pic:blipFill>
                  <pic:spPr>
                    <a:xfrm>
                      <a:off x="0" y="0"/>
                      <a:ext cx="5729605" cy="4133850"/>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84" w:name="_Toc29313"/>
      <w:bookmarkStart w:id="85" w:name="_Toc15396626"/>
      <w:r>
        <w:rPr>
          <w:rFonts w:hint="eastAsia" w:ascii="仿宋" w:hAnsi="仿宋" w:eastAsia="仿宋"/>
          <w:b w:val="0"/>
          <w:lang w:val="en-US" w:eastAsia="zh-CN"/>
        </w:rPr>
        <w:t>八、一般公共预算财政拨款基本支出决算表</w:t>
      </w:r>
      <w:bookmarkEnd w:id="84"/>
      <w:bookmarkEnd w:id="85"/>
    </w:p>
    <w:p>
      <w:pPr>
        <w:jc w:val="left"/>
        <w:outlineLvl w:val="9"/>
        <w:rPr>
          <w:rFonts w:hint="eastAsia" w:ascii="仿宋" w:hAnsi="仿宋" w:eastAsia="仿宋"/>
          <w:lang w:eastAsia="zh-CN"/>
        </w:rPr>
      </w:pPr>
      <w:r>
        <w:rPr>
          <w:rFonts w:hint="eastAsia" w:ascii="仿宋" w:hAnsi="仿宋" w:eastAsia="仿宋"/>
          <w:lang w:eastAsia="zh-CN"/>
        </w:rPr>
        <w:drawing>
          <wp:inline distT="0" distB="0" distL="114300" distR="114300">
            <wp:extent cx="5331460" cy="3395980"/>
            <wp:effectExtent l="0" t="0" r="2540" b="13970"/>
            <wp:docPr id="20" name="图片 20" descr="盐边县社会保险事务中心2022年度部门决算公开表_G08 一般公共预算财政拨款基本支出决算明细表(公开08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盐边县社会保险事务中心2022年度部门决算公开表_G08 一般公共预算财政拨款基本支出决算明细表(公开08表)"/>
                    <pic:cNvPicPr>
                      <a:picLocks noChangeAspect="1"/>
                    </pic:cNvPicPr>
                  </pic:nvPicPr>
                  <pic:blipFill>
                    <a:blip r:embed="rId25"/>
                    <a:stretch>
                      <a:fillRect/>
                    </a:stretch>
                  </pic:blipFill>
                  <pic:spPr>
                    <a:xfrm>
                      <a:off x="0" y="0"/>
                      <a:ext cx="5331460" cy="3395980"/>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86" w:name="_Toc15396627"/>
      <w:bookmarkStart w:id="87" w:name="_Toc6216"/>
      <w:r>
        <w:rPr>
          <w:rFonts w:hint="eastAsia" w:ascii="仿宋" w:hAnsi="仿宋" w:eastAsia="仿宋"/>
          <w:b w:val="0"/>
          <w:lang w:val="en-US" w:eastAsia="zh-CN"/>
        </w:rPr>
        <w:t>九、一般公共预算财政拨款项目支出决算表</w:t>
      </w:r>
      <w:bookmarkEnd w:id="86"/>
      <w:bookmarkEnd w:id="87"/>
    </w:p>
    <w:p>
      <w:pPr>
        <w:jc w:val="left"/>
        <w:outlineLvl w:val="9"/>
        <w:rPr>
          <w:rFonts w:hint="eastAsia" w:ascii="仿宋" w:hAnsi="仿宋" w:eastAsia="仿宋"/>
          <w:lang w:eastAsia="zh-CN"/>
        </w:rPr>
      </w:pPr>
      <w:r>
        <w:rPr>
          <w:rFonts w:hint="eastAsia" w:ascii="仿宋" w:hAnsi="仿宋" w:eastAsia="仿宋"/>
          <w:lang w:eastAsia="zh-CN"/>
        </w:rPr>
        <w:drawing>
          <wp:inline distT="0" distB="0" distL="114300" distR="114300">
            <wp:extent cx="5272405" cy="3384550"/>
            <wp:effectExtent l="0" t="0" r="4445" b="6350"/>
            <wp:docPr id="21" name="图片 21" descr="盐边县社会保险事务中心2022年度部门决算公开表_G09 一般公共预算财政拨款项目支出决算表(公开09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盐边县社会保险事务中心2022年度部门决算公开表_G09 一般公共预算财政拨款项目支出决算表(公开09表)"/>
                    <pic:cNvPicPr>
                      <a:picLocks noChangeAspect="1"/>
                    </pic:cNvPicPr>
                  </pic:nvPicPr>
                  <pic:blipFill>
                    <a:blip r:embed="rId26"/>
                    <a:stretch>
                      <a:fillRect/>
                    </a:stretch>
                  </pic:blipFill>
                  <pic:spPr>
                    <a:xfrm>
                      <a:off x="0" y="0"/>
                      <a:ext cx="5272405" cy="3384550"/>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88" w:name="_Toc15396628"/>
      <w:bookmarkStart w:id="89" w:name="_Toc3898"/>
      <w:r>
        <w:rPr>
          <w:rFonts w:hint="eastAsia" w:ascii="仿宋" w:hAnsi="仿宋" w:eastAsia="仿宋"/>
          <w:b w:val="0"/>
          <w:lang w:val="en-US" w:eastAsia="zh-CN"/>
        </w:rPr>
        <w:t>十、</w:t>
      </w:r>
      <w:bookmarkEnd w:id="88"/>
      <w:r>
        <w:rPr>
          <w:rFonts w:hint="eastAsia" w:ascii="仿宋" w:hAnsi="仿宋" w:eastAsia="仿宋"/>
          <w:b w:val="0"/>
          <w:lang w:val="en-US" w:eastAsia="zh-CN"/>
        </w:rPr>
        <w:t>政府性基金预算财政拨款收入支出决算表</w:t>
      </w:r>
      <w:bookmarkEnd w:id="89"/>
    </w:p>
    <w:p>
      <w:pPr>
        <w:jc w:val="left"/>
        <w:outlineLvl w:val="9"/>
        <w:rPr>
          <w:rFonts w:hint="eastAsia" w:ascii="仿宋" w:hAnsi="仿宋" w:eastAsia="仿宋"/>
          <w:lang w:eastAsia="zh-CN"/>
        </w:rPr>
      </w:pPr>
      <w:r>
        <w:rPr>
          <w:rFonts w:hint="eastAsia" w:ascii="仿宋" w:hAnsi="仿宋" w:eastAsia="仿宋"/>
          <w:lang w:eastAsia="zh-CN"/>
        </w:rPr>
        <w:drawing>
          <wp:inline distT="0" distB="0" distL="114300" distR="114300">
            <wp:extent cx="5483225" cy="2454275"/>
            <wp:effectExtent l="0" t="0" r="3175" b="3175"/>
            <wp:docPr id="22" name="图片 22" descr="盐边县社会保险事务中心2022年度部门决算公开表_G10 政府性基金预算财政拨款收入支出决算表(公开10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盐边县社会保险事务中心2022年度部门决算公开表_G10 政府性基金预算财政拨款收入支出决算表(公开10表)"/>
                    <pic:cNvPicPr>
                      <a:picLocks noChangeAspect="1"/>
                    </pic:cNvPicPr>
                  </pic:nvPicPr>
                  <pic:blipFill>
                    <a:blip r:embed="rId27"/>
                    <a:stretch>
                      <a:fillRect/>
                    </a:stretch>
                  </pic:blipFill>
                  <pic:spPr>
                    <a:xfrm>
                      <a:off x="0" y="0"/>
                      <a:ext cx="5483225" cy="2454275"/>
                    </a:xfrm>
                    <a:prstGeom prst="rect">
                      <a:avLst/>
                    </a:prstGeom>
                  </pic:spPr>
                </pic:pic>
              </a:graphicData>
            </a:graphic>
          </wp:inline>
        </w:drawing>
      </w:r>
    </w:p>
    <w:p>
      <w:pPr>
        <w:jc w:val="left"/>
        <w:outlineLvl w:val="9"/>
        <w:rPr>
          <w:rStyle w:val="27"/>
          <w:rFonts w:hint="eastAsia" w:ascii="仿宋" w:hAnsi="仿宋" w:eastAsia="仿宋"/>
          <w:b w:val="0"/>
          <w:bCs w:val="0"/>
        </w:rPr>
      </w:pPr>
      <w:bookmarkStart w:id="90" w:name="_Toc15396629"/>
    </w:p>
    <w:p>
      <w:pPr>
        <w:jc w:val="left"/>
        <w:outlineLvl w:val="9"/>
        <w:rPr>
          <w:rStyle w:val="27"/>
          <w:rFonts w:hint="eastAsia" w:ascii="仿宋" w:hAnsi="仿宋" w:eastAsia="仿宋"/>
          <w:b w:val="0"/>
          <w:bCs w:val="0"/>
        </w:rPr>
      </w:pPr>
    </w:p>
    <w:p>
      <w:pPr>
        <w:jc w:val="left"/>
        <w:outlineLvl w:val="9"/>
        <w:rPr>
          <w:rStyle w:val="27"/>
          <w:rFonts w:hint="eastAsia" w:ascii="仿宋" w:hAnsi="仿宋" w:eastAsia="仿宋"/>
          <w:b w:val="0"/>
          <w:bCs w:val="0"/>
        </w:rPr>
      </w:pPr>
    </w:p>
    <w:p>
      <w:pPr>
        <w:jc w:val="left"/>
        <w:outlineLvl w:val="9"/>
        <w:rPr>
          <w:rStyle w:val="27"/>
          <w:rFonts w:hint="eastAsia" w:ascii="仿宋" w:hAnsi="仿宋" w:eastAsia="仿宋"/>
          <w:b w:val="0"/>
          <w:bCs w:val="0"/>
        </w:rPr>
      </w:pPr>
    </w:p>
    <w:p>
      <w:pPr>
        <w:jc w:val="left"/>
        <w:outlineLvl w:val="9"/>
        <w:rPr>
          <w:rStyle w:val="27"/>
          <w:rFonts w:hint="eastAsia" w:ascii="仿宋" w:hAnsi="仿宋" w:eastAsia="仿宋"/>
          <w:b w:val="0"/>
          <w:bCs w:val="0"/>
        </w:rPr>
      </w:pP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91" w:name="_Toc31232"/>
      <w:r>
        <w:rPr>
          <w:rFonts w:hint="eastAsia" w:ascii="仿宋" w:hAnsi="仿宋" w:eastAsia="仿宋"/>
          <w:b w:val="0"/>
          <w:lang w:val="en-US" w:eastAsia="zh-CN"/>
        </w:rPr>
        <w:t>十一、</w:t>
      </w:r>
      <w:bookmarkEnd w:id="90"/>
      <w:r>
        <w:rPr>
          <w:rFonts w:hint="eastAsia" w:ascii="仿宋" w:hAnsi="仿宋" w:eastAsia="仿宋"/>
          <w:b w:val="0"/>
          <w:lang w:val="en-US" w:eastAsia="zh-CN"/>
        </w:rPr>
        <w:t>国有资本经营预算财政拨款收入支出决算表</w:t>
      </w:r>
      <w:bookmarkEnd w:id="91"/>
    </w:p>
    <w:p>
      <w:pPr>
        <w:jc w:val="left"/>
        <w:outlineLvl w:val="9"/>
        <w:rPr>
          <w:rFonts w:hint="eastAsia" w:ascii="仿宋" w:hAnsi="仿宋" w:eastAsia="仿宋"/>
          <w:lang w:eastAsia="zh-CN"/>
        </w:rPr>
      </w:pPr>
      <w:r>
        <w:rPr>
          <w:rFonts w:hint="eastAsia" w:ascii="仿宋" w:hAnsi="仿宋" w:eastAsia="仿宋"/>
          <w:lang w:eastAsia="zh-CN"/>
        </w:rPr>
        <w:drawing>
          <wp:inline distT="0" distB="0" distL="114300" distR="114300">
            <wp:extent cx="5271135" cy="2735580"/>
            <wp:effectExtent l="0" t="0" r="5715" b="7620"/>
            <wp:docPr id="23" name="图片 23" descr="盐边县社会保险事务中心2022年度部门决算公开表_G11 国有资本经营预算财政拨款收入支出决算表(公开11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盐边县社会保险事务中心2022年度部门决算公开表_G11 国有资本经营预算财政拨款收入支出决算表(公开11表)"/>
                    <pic:cNvPicPr>
                      <a:picLocks noChangeAspect="1"/>
                    </pic:cNvPicPr>
                  </pic:nvPicPr>
                  <pic:blipFill>
                    <a:blip r:embed="rId28"/>
                    <a:stretch>
                      <a:fillRect/>
                    </a:stretch>
                  </pic:blipFill>
                  <pic:spPr>
                    <a:xfrm>
                      <a:off x="0" y="0"/>
                      <a:ext cx="5271135" cy="2735580"/>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92" w:name="_Toc15396630"/>
      <w:bookmarkStart w:id="93" w:name="_Toc29073"/>
      <w:r>
        <w:rPr>
          <w:rFonts w:hint="eastAsia" w:ascii="仿宋" w:hAnsi="仿宋" w:eastAsia="仿宋"/>
          <w:b w:val="0"/>
          <w:lang w:val="en-US" w:eastAsia="zh-CN"/>
        </w:rPr>
        <w:t>十二、</w:t>
      </w:r>
      <w:bookmarkEnd w:id="92"/>
      <w:r>
        <w:rPr>
          <w:rFonts w:hint="eastAsia" w:ascii="仿宋" w:hAnsi="仿宋" w:eastAsia="仿宋"/>
          <w:b w:val="0"/>
          <w:lang w:val="en-US" w:eastAsia="zh-CN"/>
        </w:rPr>
        <w:t>国有资本经营预算财政拨款支出决算表</w:t>
      </w:r>
      <w:bookmarkEnd w:id="93"/>
    </w:p>
    <w:p>
      <w:pPr>
        <w:jc w:val="left"/>
        <w:outlineLvl w:val="9"/>
        <w:rPr>
          <w:rFonts w:hint="eastAsia" w:ascii="仿宋" w:hAnsi="仿宋" w:eastAsia="仿宋"/>
          <w:lang w:eastAsia="zh-CN"/>
        </w:rPr>
      </w:pPr>
      <w:r>
        <w:rPr>
          <w:rFonts w:hint="eastAsia" w:ascii="仿宋" w:hAnsi="仿宋" w:eastAsia="仿宋"/>
          <w:lang w:eastAsia="zh-CN"/>
        </w:rPr>
        <w:drawing>
          <wp:inline distT="0" distB="0" distL="114300" distR="114300">
            <wp:extent cx="5269230" cy="2919095"/>
            <wp:effectExtent l="0" t="0" r="7620" b="14605"/>
            <wp:docPr id="24" name="图片 24" descr="盐边县社会保险事务中心2022年度部门决算公开表_G12 国有资本经营预算财政拨款支出决算表(公开12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盐边县社会保险事务中心2022年度部门决算公开表_G12 国有资本经营预算财政拨款支出决算表(公开12表)"/>
                    <pic:cNvPicPr>
                      <a:picLocks noChangeAspect="1"/>
                    </pic:cNvPicPr>
                  </pic:nvPicPr>
                  <pic:blipFill>
                    <a:blip r:embed="rId29"/>
                    <a:stretch>
                      <a:fillRect/>
                    </a:stretch>
                  </pic:blipFill>
                  <pic:spPr>
                    <a:xfrm>
                      <a:off x="0" y="0"/>
                      <a:ext cx="5269230" cy="2919095"/>
                    </a:xfrm>
                    <a:prstGeom prst="rect">
                      <a:avLst/>
                    </a:prstGeom>
                  </pic:spPr>
                </pic:pic>
              </a:graphicData>
            </a:graphic>
          </wp:inline>
        </w:drawing>
      </w:r>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 w:hAnsi="仿宋" w:eastAsia="仿宋"/>
          <w:b w:val="0"/>
          <w:lang w:val="en-US" w:eastAsia="zh-CN"/>
        </w:rPr>
      </w:pPr>
      <w:bookmarkStart w:id="94" w:name="_Toc15396631"/>
      <w:bookmarkStart w:id="95" w:name="_Toc12071"/>
      <w:r>
        <w:rPr>
          <w:rFonts w:hint="eastAsia" w:ascii="仿宋" w:hAnsi="仿宋" w:eastAsia="仿宋"/>
          <w:b w:val="0"/>
          <w:lang w:val="en-US" w:eastAsia="zh-CN"/>
        </w:rPr>
        <w:t>十三、</w:t>
      </w:r>
      <w:bookmarkEnd w:id="94"/>
      <w:r>
        <w:rPr>
          <w:rFonts w:hint="eastAsia" w:ascii="仿宋" w:hAnsi="仿宋" w:eastAsia="仿宋"/>
          <w:b w:val="0"/>
          <w:lang w:val="en-US" w:eastAsia="zh-CN"/>
        </w:rPr>
        <w:t>财政拨款“三公”经费支出决算表</w:t>
      </w:r>
      <w:bookmarkEnd w:id="95"/>
    </w:p>
    <w:p>
      <w:pPr>
        <w:jc w:val="left"/>
        <w:outlineLvl w:val="9"/>
        <w:rPr>
          <w:rFonts w:hint="eastAsia" w:eastAsia="仿宋"/>
          <w:lang w:eastAsia="zh-CN"/>
        </w:rPr>
      </w:pPr>
      <w:r>
        <w:rPr>
          <w:rFonts w:hint="eastAsia" w:eastAsia="仿宋"/>
          <w:lang w:eastAsia="zh-CN"/>
        </w:rPr>
        <w:drawing>
          <wp:inline distT="0" distB="0" distL="114300" distR="114300">
            <wp:extent cx="5266055" cy="1349375"/>
            <wp:effectExtent l="0" t="0" r="10795" b="3175"/>
            <wp:docPr id="25" name="图片 25" descr="盐边县社会保险事务中心2022年度部门决算公开表_G13 财政拨款“三公”经费支出决算表(公开13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盐边县社会保险事务中心2022年度部门决算公开表_G13 财政拨款“三公”经费支出决算表(公开13表)"/>
                    <pic:cNvPicPr>
                      <a:picLocks noChangeAspect="1"/>
                    </pic:cNvPicPr>
                  </pic:nvPicPr>
                  <pic:blipFill>
                    <a:blip r:embed="rId30"/>
                    <a:stretch>
                      <a:fillRect/>
                    </a:stretch>
                  </pic:blipFill>
                  <pic:spPr>
                    <a:xfrm>
                      <a:off x="0" y="0"/>
                      <a:ext cx="5266055" cy="1349375"/>
                    </a:xfrm>
                    <a:prstGeom prst="rect">
                      <a:avLst/>
                    </a:prstGeom>
                  </pic:spPr>
                </pic:pic>
              </a:graphicData>
            </a:graphic>
          </wp:inline>
        </w:drawing>
      </w:r>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2"/>
                </w:pPr>
              </w:p>
            </w:txbxContent>
          </v:textbox>
        </v:shape>
      </w:pic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3075" o:spid="_x0000_s3075"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2"/>
                </w:pPr>
              </w:p>
            </w:txbxContent>
          </v:textbox>
        </v:shape>
      </w:pic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5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pPr>
        <w:ind w:left="-640"/>
      </w:pPr>
      <w:rPr>
        <w:rFonts w:hint="eastAsia"/>
      </w:rPr>
    </w:lvl>
  </w:abstractNum>
  <w:abstractNum w:abstractNumId="4">
    <w:nsid w:val="61652C4E"/>
    <w:multiLevelType w:val="singleLevel"/>
    <w:tmpl w:val="61652C4E"/>
    <w:lvl w:ilvl="0" w:tentative="0">
      <w:start w:val="1"/>
      <w:numFmt w:val="decimal"/>
      <w:suff w:val="nothing"/>
      <w:lvlText w:val="%1."/>
      <w:lvlJc w:val="left"/>
      <w:pPr>
        <w:ind w:left="-13"/>
      </w:pPr>
      <w:rPr>
        <w:rFonts w:hint="default"/>
        <w:b/>
        <w:bCs/>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M1MDMxNzk5MGJlY2NiOWU5NDQzNzM4MzA5ODIyYT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737D"/>
    <w:rsid w:val="001F0592"/>
    <w:rsid w:val="001F7506"/>
    <w:rsid w:val="002006CD"/>
    <w:rsid w:val="00202B36"/>
    <w:rsid w:val="00204B7A"/>
    <w:rsid w:val="00204CDE"/>
    <w:rsid w:val="0021101A"/>
    <w:rsid w:val="00220536"/>
    <w:rsid w:val="002224FF"/>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2EF7"/>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4C2744C"/>
    <w:rsid w:val="04F13F8A"/>
    <w:rsid w:val="053A4F12"/>
    <w:rsid w:val="053A62B5"/>
    <w:rsid w:val="0A2032A3"/>
    <w:rsid w:val="0B8A37D8"/>
    <w:rsid w:val="0B8C3FEE"/>
    <w:rsid w:val="0D200B6E"/>
    <w:rsid w:val="0F9B0CA3"/>
    <w:rsid w:val="0FED14FF"/>
    <w:rsid w:val="105772C0"/>
    <w:rsid w:val="10C055FF"/>
    <w:rsid w:val="118107EC"/>
    <w:rsid w:val="11DD6519"/>
    <w:rsid w:val="11E2710E"/>
    <w:rsid w:val="12303925"/>
    <w:rsid w:val="14887A48"/>
    <w:rsid w:val="15DF3AF9"/>
    <w:rsid w:val="16783AEC"/>
    <w:rsid w:val="16BB723D"/>
    <w:rsid w:val="172D2B29"/>
    <w:rsid w:val="18015F3F"/>
    <w:rsid w:val="18B3705E"/>
    <w:rsid w:val="1B9405AB"/>
    <w:rsid w:val="1BE8440E"/>
    <w:rsid w:val="1CE247F8"/>
    <w:rsid w:val="1D155CEE"/>
    <w:rsid w:val="1D9236E6"/>
    <w:rsid w:val="1ED81FB9"/>
    <w:rsid w:val="1F1A3225"/>
    <w:rsid w:val="1F316F2E"/>
    <w:rsid w:val="20370574"/>
    <w:rsid w:val="2076109D"/>
    <w:rsid w:val="20F57F95"/>
    <w:rsid w:val="240371BF"/>
    <w:rsid w:val="25711CC6"/>
    <w:rsid w:val="25987D07"/>
    <w:rsid w:val="25C741E6"/>
    <w:rsid w:val="274F01C0"/>
    <w:rsid w:val="27842671"/>
    <w:rsid w:val="278A3635"/>
    <w:rsid w:val="28FD7C33"/>
    <w:rsid w:val="29193321"/>
    <w:rsid w:val="29FD04D3"/>
    <w:rsid w:val="2A2B114A"/>
    <w:rsid w:val="2ABE7A3E"/>
    <w:rsid w:val="2AD73D07"/>
    <w:rsid w:val="2CA234A8"/>
    <w:rsid w:val="2D510EC7"/>
    <w:rsid w:val="2D8D5C78"/>
    <w:rsid w:val="2EFA178C"/>
    <w:rsid w:val="2F837332"/>
    <w:rsid w:val="30B46D73"/>
    <w:rsid w:val="319F7F4E"/>
    <w:rsid w:val="32AF043E"/>
    <w:rsid w:val="33111D90"/>
    <w:rsid w:val="348B0152"/>
    <w:rsid w:val="36902F20"/>
    <w:rsid w:val="36D76967"/>
    <w:rsid w:val="3797548A"/>
    <w:rsid w:val="383D272C"/>
    <w:rsid w:val="39331E25"/>
    <w:rsid w:val="39AE70AB"/>
    <w:rsid w:val="39FE2D95"/>
    <w:rsid w:val="3C0C0783"/>
    <w:rsid w:val="3C241E9D"/>
    <w:rsid w:val="3C5A58BF"/>
    <w:rsid w:val="3E725142"/>
    <w:rsid w:val="3F9F3A96"/>
    <w:rsid w:val="44AB57B0"/>
    <w:rsid w:val="44EB4C38"/>
    <w:rsid w:val="48BF60AB"/>
    <w:rsid w:val="48C91E02"/>
    <w:rsid w:val="493C27E9"/>
    <w:rsid w:val="496F0BFB"/>
    <w:rsid w:val="496F39ED"/>
    <w:rsid w:val="49FF41D3"/>
    <w:rsid w:val="4A9D2749"/>
    <w:rsid w:val="4B741E70"/>
    <w:rsid w:val="4BE068DB"/>
    <w:rsid w:val="4BE21088"/>
    <w:rsid w:val="4BF6002B"/>
    <w:rsid w:val="4D813AF4"/>
    <w:rsid w:val="4DC64B62"/>
    <w:rsid w:val="4E090986"/>
    <w:rsid w:val="4E4A7541"/>
    <w:rsid w:val="4ECD1F20"/>
    <w:rsid w:val="4ECE2238"/>
    <w:rsid w:val="4F50502B"/>
    <w:rsid w:val="51DB4B86"/>
    <w:rsid w:val="54063F0A"/>
    <w:rsid w:val="54134879"/>
    <w:rsid w:val="54885481"/>
    <w:rsid w:val="549A5EE9"/>
    <w:rsid w:val="55333C3E"/>
    <w:rsid w:val="55AD03B6"/>
    <w:rsid w:val="55E42029"/>
    <w:rsid w:val="565A678F"/>
    <w:rsid w:val="5A3F1F24"/>
    <w:rsid w:val="5A985AD8"/>
    <w:rsid w:val="5BB24978"/>
    <w:rsid w:val="5EA07AD7"/>
    <w:rsid w:val="60C35EC4"/>
    <w:rsid w:val="60E47381"/>
    <w:rsid w:val="62A849C5"/>
    <w:rsid w:val="63692828"/>
    <w:rsid w:val="64917820"/>
    <w:rsid w:val="64CA39A1"/>
    <w:rsid w:val="651C1188"/>
    <w:rsid w:val="652D5826"/>
    <w:rsid w:val="682664D1"/>
    <w:rsid w:val="69630ADE"/>
    <w:rsid w:val="6A8A438F"/>
    <w:rsid w:val="6BB81B36"/>
    <w:rsid w:val="6BE50451"/>
    <w:rsid w:val="6C2B460C"/>
    <w:rsid w:val="6C4A05C8"/>
    <w:rsid w:val="6D1E7A9D"/>
    <w:rsid w:val="6D3B1A89"/>
    <w:rsid w:val="6D3C22F3"/>
    <w:rsid w:val="6F5E47A3"/>
    <w:rsid w:val="6FA848B0"/>
    <w:rsid w:val="700E1E1E"/>
    <w:rsid w:val="70ED2282"/>
    <w:rsid w:val="71B20DD6"/>
    <w:rsid w:val="71BE1972"/>
    <w:rsid w:val="71BF4EC2"/>
    <w:rsid w:val="71F53DEB"/>
    <w:rsid w:val="72734D90"/>
    <w:rsid w:val="72F86CBC"/>
    <w:rsid w:val="730B69EF"/>
    <w:rsid w:val="73E13BF4"/>
    <w:rsid w:val="7412278C"/>
    <w:rsid w:val="74BA671F"/>
    <w:rsid w:val="755300CB"/>
    <w:rsid w:val="78A11890"/>
    <w:rsid w:val="78B96EEE"/>
    <w:rsid w:val="797F5A41"/>
    <w:rsid w:val="79863AE0"/>
    <w:rsid w:val="799D236B"/>
    <w:rsid w:val="79E7B28D"/>
    <w:rsid w:val="7A513882"/>
    <w:rsid w:val="7AA37E55"/>
    <w:rsid w:val="7B7610C6"/>
    <w:rsid w:val="7BCE7867"/>
    <w:rsid w:val="7CFD384D"/>
    <w:rsid w:val="7D4A288D"/>
    <w:rsid w:val="7E290672"/>
    <w:rsid w:val="7E727550"/>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qFormat/>
    <w:uiPriority w:val="99"/>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7.pn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1</a:t>
            </a:r>
            <a:r>
              <a:rPr altLang="en-US"/>
              <a:t>：</a:t>
            </a:r>
            <a:r>
              <a:t>收、支决算总计变动情况图</a:t>
            </a:r>
          </a:p>
        </c:rich>
      </c:tx>
      <c:layout/>
      <c:overlay val="0"/>
      <c:spPr>
        <a:noFill/>
        <a:ln>
          <a:noFill/>
        </a:ln>
        <a:effectLst/>
      </c:spPr>
    </c:title>
    <c:autoTitleDeleted val="0"/>
    <c:plotArea>
      <c:layout>
        <c:manualLayout>
          <c:layoutTarget val="inner"/>
          <c:xMode val="edge"/>
          <c:yMode val="edge"/>
          <c:x val="0.0467"/>
          <c:y val="0.2345"/>
          <c:w val="0.905175"/>
          <c:h val="0.716566666666667"/>
        </c:manualLayout>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收入决算</c:v>
                </c:pt>
                <c:pt idx="1">
                  <c:v>支出决算</c:v>
                </c:pt>
              </c:strCache>
            </c:strRef>
          </c:cat>
          <c:val>
            <c:numRef>
              <c:f>Sheet1!$B$2:$B$3</c:f>
              <c:numCache>
                <c:formatCode>General</c:formatCode>
                <c:ptCount val="2"/>
                <c:pt idx="0">
                  <c:v>290.22</c:v>
                </c:pt>
                <c:pt idx="1">
                  <c:v>290.22</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收入决算</c:v>
                </c:pt>
                <c:pt idx="1">
                  <c:v>支出决算</c:v>
                </c:pt>
              </c:strCache>
            </c:strRef>
          </c:cat>
          <c:val>
            <c:numRef>
              <c:f>Sheet1!$C$2:$C$3</c:f>
              <c:numCache>
                <c:formatCode>General</c:formatCode>
                <c:ptCount val="2"/>
                <c:pt idx="0">
                  <c:v>289.34</c:v>
                </c:pt>
                <c:pt idx="1">
                  <c:v>289.34</c:v>
                </c:pt>
              </c:numCache>
            </c:numRef>
          </c:val>
        </c:ser>
        <c:dLbls>
          <c:showLegendKey val="0"/>
          <c:showVal val="1"/>
          <c:showCatName val="0"/>
          <c:showSerName val="0"/>
          <c:showPercent val="0"/>
          <c:showBubbleSize val="0"/>
        </c:dLbls>
        <c:gapWidth val="219"/>
        <c:overlap val="-27"/>
        <c:axId val="682763800"/>
        <c:axId val="856166883"/>
        <c:extLst>
          <c:ext xmlns:c15="http://schemas.microsoft.com/office/drawing/2012/chart" uri="{02D57815-91ED-43cb-92C2-25804820EDAC}">
            <c15:filteredBarSeries>
              <c15:ser>
                <c:idx val="2"/>
                <c:order val="2"/>
                <c:tx>
                  <c:strRef>
                    <c:extLst>
                      <c:ext uri="{02D57815-91ED-43cb-92C2-25804820EDAC}">
                        <c15:formulaRef>
                          <c15:sqref>Sheet1!#REF!</c15:sqref>
                        </c15:formulaRef>
                      </c:ext>
                    </c:extLst>
                    <c:strCache>
                      <c:ptCount val="1"/>
                      <c:pt idx="0">
                        <c:v/>
                      </c:pt>
                    </c:strCache>
                  </c:strRef>
                </c:tx>
                <c:spPr>
                  <a:solidFill>
                    <a:schemeClr val="accent3"/>
                  </a:solidFill>
                  <a:ln>
                    <a:noFill/>
                  </a:ln>
                  <a:effectLst/>
                </c:spPr>
                <c:invertIfNegative val="0"/>
                <c:dLbls>
                  <c:delete val="1"/>
                </c:dLbls>
                <c:cat>
                  <c:strRef>
                    <c:extLst>
                      <c:ext uri="{02D57815-91ED-43cb-92C2-25804820EDAC}">
                        <c15:fullRef>
                          <c15:sqref/>
                        </c15:fullRef>
                        <c15:formulaRef>
                          <c15:sqref>Sheet1!$A$2:$A$3</c15:sqref>
                        </c15:formulaRef>
                      </c:ext>
                    </c:extLst>
                    <c:strCache>
                      <c:ptCount val="2"/>
                      <c:pt idx="0">
                        <c:v>收入决算</c:v>
                      </c:pt>
                      <c:pt idx="1">
                        <c:v>支出决算</c:v>
                      </c:pt>
                    </c:strCache>
                  </c:strRef>
                </c:cat>
                <c:val>
                  <c:numRef>
                    <c:extLst>
                      <c:ext uri="{02D57815-91ED-43cb-92C2-25804820EDAC}">
                        <c15:formulaRef>
                          <c15:sqref>Sheet1!#REF!</c15:sqref>
                        </c15:formulaRef>
                      </c:ext>
                    </c:extLst>
                    <c:numCache>
                      <c:formatCode>General</c:formatCode>
                      <c:ptCount val="1"/>
                      <c:pt idx="0">
                        <c:v>1</c:v>
                      </c:pt>
                    </c:numCache>
                  </c:numRef>
                </c:val>
              </c15:ser>
            </c15:filteredBarSeries>
          </c:ext>
        </c:extLst>
      </c:barChart>
      <c:catAx>
        <c:axId val="68276380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56166883"/>
        <c:crosses val="autoZero"/>
        <c:auto val="1"/>
        <c:lblAlgn val="ctr"/>
        <c:lblOffset val="100"/>
        <c:noMultiLvlLbl val="0"/>
      </c:catAx>
      <c:valAx>
        <c:axId val="85616688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763800"/>
        <c:crosses val="autoZero"/>
        <c:crossBetween val="between"/>
      </c:valAx>
      <c:spPr>
        <a:noFill/>
        <a:ln>
          <a:noFill/>
        </a:ln>
        <a:effectLst/>
      </c:spPr>
    </c:plotArea>
    <c:legend>
      <c:legendPos val="b"/>
      <c:layout>
        <c:manualLayout>
          <c:xMode val="edge"/>
          <c:yMode val="edge"/>
          <c:x val="0.3769375"/>
          <c:y val="0.934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cap="none" spc="20" baseline="0">
                <a:solidFill>
                  <a:schemeClr val="tx1">
                    <a:lumMod val="50000"/>
                    <a:lumOff val="50000"/>
                  </a:schemeClr>
                </a:solidFill>
                <a:latin typeface="+mn-lt"/>
                <a:ea typeface="+mn-ea"/>
                <a:cs typeface="+mn-cs"/>
              </a:defRPr>
            </a:pPr>
            <a:r>
              <a:t>图</a:t>
            </a:r>
            <a:r>
              <a:rPr lang="en-US" altLang="zh-CN"/>
              <a:t>2</a:t>
            </a:r>
            <a:r>
              <a:rPr altLang="en-US"/>
              <a:t>：</a:t>
            </a:r>
            <a:r>
              <a:t>收入决算结构图</a:t>
            </a:r>
          </a:p>
        </c:rich>
      </c:tx>
      <c:layout/>
      <c:overlay val="0"/>
      <c:spPr>
        <a:noFill/>
        <a:ln>
          <a:noFill/>
        </a:ln>
        <a:effectLst/>
      </c:spPr>
    </c:title>
    <c:autoTitleDeleted val="0"/>
    <c:plotArea>
      <c:layout>
        <c:manualLayout>
          <c:layoutTarget val="inner"/>
          <c:xMode val="edge"/>
          <c:yMode val="edge"/>
          <c:x val="0.048819105422879"/>
          <c:y val="0.157835820895522"/>
          <c:w val="0.577252935743502"/>
          <c:h val="0.816231343283582"/>
        </c:manualLayout>
      </c:layout>
      <c:pieChart>
        <c:varyColors val="1"/>
        <c:ser>
          <c:idx val="0"/>
          <c:order val="0"/>
          <c:tx>
            <c:strRef>
              <c:f>Sheet1!$B$1</c:f>
              <c:strCache>
                <c:ptCount val="1"/>
                <c:pt idx="0">
                  <c:v>收入决算</c:v>
                </c:pt>
              </c:strCache>
            </c:strRef>
          </c:tx>
          <c:spPr/>
          <c:explosion val="0"/>
          <c:dPt>
            <c:idx val="0"/>
            <c:bubble3D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dPt>
          <c:dPt>
            <c:idx val="1"/>
            <c:bubble3D val="0"/>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dPt>
          <c:dPt>
            <c:idx val="2"/>
            <c:bubble3D val="0"/>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dPt>
          <c:dPt>
            <c:idx val="3"/>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w="9525" cap="flat" cmpd="sng" algn="ctr">
                <a:solidFill>
                  <a:schemeClr val="accent4">
                    <a:shade val="95000"/>
                  </a:schemeClr>
                </a:solidFill>
                <a:round/>
              </a:ln>
              <a:effectLst>
                <a:outerShdw blurRad="40000" dist="20000" dir="5400000" rotWithShape="0">
                  <a:srgbClr val="000000">
                    <a:alpha val="38000"/>
                  </a:srgbClr>
                </a:outerShdw>
              </a:effectLst>
            </c:spPr>
          </c:dPt>
          <c:dPt>
            <c:idx val="4"/>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chemeClr>
                </a:solidFill>
                <a:round/>
              </a:ln>
              <a:effectLst>
                <a:outerShdw blurRad="40000" dist="20000" dir="5400000" rotWithShape="0">
                  <a:srgbClr val="000000">
                    <a:alpha val="38000"/>
                  </a:srgbClr>
                </a:outerShdw>
              </a:effectLst>
            </c:spPr>
          </c:dPt>
          <c:dPt>
            <c:idx val="5"/>
            <c:bubble3D val="0"/>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w="9525" cap="flat" cmpd="sng" algn="ctr">
                <a:solidFill>
                  <a:schemeClr val="accent6">
                    <a:shade val="95000"/>
                  </a:schemeClr>
                </a:solidFill>
                <a:round/>
              </a:ln>
              <a:effectLst>
                <a:outerShdw blurRad="40000" dist="20000" dir="5400000" rotWithShape="0">
                  <a:srgbClr val="000000">
                    <a:alpha val="38000"/>
                  </a:srgbClr>
                </a:outerShdw>
              </a:effectLst>
            </c:spPr>
          </c:dPt>
          <c:dPt>
            <c:idx val="6"/>
            <c:bubble3D val="0"/>
            <c:spPr>
              <a:gradFill rotWithShape="1">
                <a:gsLst>
                  <a:gs pos="0">
                    <a:schemeClr val="accent1">
                      <a:lumMod val="60000"/>
                      <a:tint val="50000"/>
                      <a:satMod val="300000"/>
                    </a:schemeClr>
                  </a:gs>
                  <a:gs pos="35000">
                    <a:schemeClr val="accent1">
                      <a:lumMod val="60000"/>
                      <a:tint val="37000"/>
                      <a:satMod val="300000"/>
                    </a:schemeClr>
                  </a:gs>
                  <a:gs pos="100000">
                    <a:schemeClr val="accent1">
                      <a:lumMod val="60000"/>
                      <a:tint val="15000"/>
                      <a:satMod val="350000"/>
                    </a:schemeClr>
                  </a:gs>
                </a:gsLst>
                <a:lin ang="16200000" scaled="1"/>
              </a:gradFill>
              <a:ln w="9525" cap="flat" cmpd="sng" algn="ctr">
                <a:solidFill>
                  <a:schemeClr val="accent1">
                    <a:lumMod val="60000"/>
                    <a:shade val="95000"/>
                  </a:schemeClr>
                </a:solidFill>
                <a:round/>
              </a:ln>
              <a:effectLst>
                <a:outerShdw blurRad="40000" dist="20000" dir="5400000" rotWithShape="0">
                  <a:srgbClr val="000000">
                    <a:alpha val="38000"/>
                  </a:srgbClr>
                </a:outerShdw>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65000"/>
                        <a:lumOff val="3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Sheet1!$A$2:$A$8</c:f>
              <c:strCache>
                <c:ptCount val="7"/>
                <c:pt idx="0">
                  <c:v>一般公共预算财政拨款收入</c:v>
                </c:pt>
                <c:pt idx="1">
                  <c:v>政府性基金预算财政拨款收入</c:v>
                </c:pt>
                <c:pt idx="2">
                  <c:v>上级补助收入</c:v>
                </c:pt>
                <c:pt idx="3">
                  <c:v>事业收入</c:v>
                </c:pt>
                <c:pt idx="4">
                  <c:v>经营收入</c:v>
                </c:pt>
                <c:pt idx="5">
                  <c:v>附属单位上缴收入</c:v>
                </c:pt>
                <c:pt idx="6">
                  <c:v>其他收入</c:v>
                </c:pt>
              </c:strCache>
            </c:strRef>
          </c:cat>
          <c:val>
            <c:numRef>
              <c:f>Sheet1!$B$2:$B$8</c:f>
              <c:numCache>
                <c:formatCode>General</c:formatCode>
                <c:ptCount val="7"/>
                <c:pt idx="0">
                  <c:v>100</c:v>
                </c:pt>
                <c:pt idx="1">
                  <c:v>0</c:v>
                </c:pt>
                <c:pt idx="2">
                  <c:v>0</c:v>
                </c:pt>
                <c:pt idx="3">
                  <c:v>0</c:v>
                </c:pt>
                <c:pt idx="4">
                  <c:v>0</c:v>
                </c:pt>
                <c:pt idx="5">
                  <c:v>0</c:v>
                </c:pt>
                <c:pt idx="6">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665787043145534"/>
          <c:y val="0.17014925373134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3</a:t>
            </a:r>
            <a:r>
              <a:rPr altLang="en-US"/>
              <a:t>：支出决算结构图</a:t>
            </a:r>
            <a:endParaRPr altLang="en-US"/>
          </a:p>
        </c:rich>
      </c:tx>
      <c:layout/>
      <c:overlay val="0"/>
      <c:spPr>
        <a:noFill/>
        <a:ln>
          <a:noFill/>
        </a:ln>
        <a:effectLst/>
      </c:spPr>
    </c:title>
    <c:autoTitleDeleted val="0"/>
    <c:plotArea>
      <c:layout/>
      <c:pieChart>
        <c:varyColors val="1"/>
        <c:ser>
          <c:idx val="0"/>
          <c:order val="0"/>
          <c:tx>
            <c:strRef>
              <c:f>Sheet1!$B$1</c:f>
              <c:strCache>
                <c:ptCount val="1"/>
                <c:pt idx="0">
                  <c:v>支出决算</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21648177244747"/>
                  <c:y val="-0.3633804786596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256.24</c:v>
                </c:pt>
                <c:pt idx="1">
                  <c:v>33.09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4</a:t>
            </a:r>
            <a:r>
              <a:rPr altLang="en-US"/>
              <a:t>：财政拨款收、支决算总计变动情况</a:t>
            </a:r>
            <a:endParaRPr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财政拨款收、支决算总计变动</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290.22</c:v>
                </c:pt>
                <c:pt idx="1">
                  <c:v>289.34</c:v>
                </c:pt>
              </c:numCache>
            </c:numRef>
          </c:val>
        </c:ser>
        <c:dLbls>
          <c:showLegendKey val="0"/>
          <c:showVal val="1"/>
          <c:showCatName val="0"/>
          <c:showSerName val="0"/>
          <c:showPercent val="0"/>
          <c:showBubbleSize val="0"/>
        </c:dLbls>
        <c:gapWidth val="219"/>
        <c:overlap val="-27"/>
        <c:axId val="500817756"/>
        <c:axId val="817376814"/>
      </c:barChart>
      <c:catAx>
        <c:axId val="50081775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7376814"/>
        <c:crosses val="autoZero"/>
        <c:auto val="1"/>
        <c:lblAlgn val="ctr"/>
        <c:lblOffset val="100"/>
        <c:noMultiLvlLbl val="0"/>
      </c:catAx>
      <c:valAx>
        <c:axId val="817376814"/>
        <c:scaling>
          <c:orientation val="minMax"/>
          <c:max val="295"/>
          <c:min val="28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0081775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5</a:t>
            </a:r>
            <a:r>
              <a:rPr altLang="en-US"/>
              <a:t>：一般公共预算财政支出决算变动情况表</a:t>
            </a:r>
            <a:endParaRPr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一般公共预算财政支出决算</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290.22</c:v>
                </c:pt>
                <c:pt idx="1">
                  <c:v>289.34</c:v>
                </c:pt>
              </c:numCache>
            </c:numRef>
          </c:val>
        </c:ser>
        <c:dLbls>
          <c:showLegendKey val="0"/>
          <c:showVal val="1"/>
          <c:showCatName val="0"/>
          <c:showSerName val="0"/>
          <c:showPercent val="0"/>
          <c:showBubbleSize val="0"/>
        </c:dLbls>
        <c:gapWidth val="219"/>
        <c:overlap val="-27"/>
        <c:axId val="659682152"/>
        <c:axId val="741996091"/>
      </c:barChart>
      <c:catAx>
        <c:axId val="65968215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1996091"/>
        <c:crosses val="autoZero"/>
        <c:auto val="1"/>
        <c:lblAlgn val="ctr"/>
        <c:lblOffset val="100"/>
        <c:noMultiLvlLbl val="0"/>
      </c:catAx>
      <c:valAx>
        <c:axId val="741996091"/>
        <c:scaling>
          <c:orientation val="minMax"/>
          <c:max val="294"/>
          <c:min val="28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968215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6</a:t>
            </a:r>
            <a:r>
              <a:rPr altLang="en-US"/>
              <a:t>：</a:t>
            </a:r>
            <a:r>
              <a:t>一般公共预算财政拨款支出决算</a:t>
            </a:r>
          </a:p>
        </c:rich>
      </c:tx>
      <c:layout>
        <c:manualLayout>
          <c:xMode val="edge"/>
          <c:yMode val="edge"/>
          <c:x val="0.190353143841516"/>
          <c:y val="0.00563274502440856"/>
        </c:manualLayout>
      </c:layout>
      <c:overlay val="0"/>
      <c:spPr>
        <a:noFill/>
        <a:ln>
          <a:noFill/>
        </a:ln>
        <a:effectLst/>
      </c:spPr>
    </c:title>
    <c:autoTitleDeleted val="0"/>
    <c:plotArea>
      <c:layout/>
      <c:pieChart>
        <c:varyColors val="1"/>
        <c:ser>
          <c:idx val="0"/>
          <c:order val="0"/>
          <c:tx>
            <c:strRef>
              <c:f>Sheet1!$B$1</c:f>
              <c:strCache>
                <c:ptCount val="1"/>
                <c:pt idx="0">
                  <c:v>一般公共预算财政拨款支出决算</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252.35</c:v>
                </c:pt>
                <c:pt idx="1">
                  <c:v>19.62</c:v>
                </c:pt>
                <c:pt idx="2">
                  <c:v>17.37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textRotate="1"/>
    <customShpInfo spid="_x0000_s3074" textRotate="1"/>
    <customShpInfo spid="_x0000_s307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27</Pages>
  <Words>5712</Words>
  <Characters>6247</Characters>
  <Lines>41</Lines>
  <Paragraphs>11</Paragraphs>
  <TotalTime>9</TotalTime>
  <ScaleCrop>false</ScaleCrop>
  <LinksUpToDate>false</LinksUpToDate>
  <CharactersWithSpaces>11329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唐明燕</cp:lastModifiedBy>
  <cp:lastPrinted>2023-10-26T09:17:41Z</cp:lastPrinted>
  <dcterms:modified xsi:type="dcterms:W3CDTF">2023-10-26T09:20:41Z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06B358563894463196822D2D64E29418</vt:lpwstr>
  </property>
</Properties>
</file>