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B9A" w:rsidRDefault="00FC5B9A">
      <w:pPr>
        <w:spacing w:line="600" w:lineRule="exact"/>
        <w:jc w:val="center"/>
        <w:outlineLvl w:val="0"/>
        <w:rPr>
          <w:rFonts w:ascii="方正小标宋简体" w:eastAsia="方正小标宋简体" w:hAnsi="宋体"/>
          <w:sz w:val="72"/>
          <w:szCs w:val="72"/>
        </w:rPr>
      </w:pPr>
      <w:bookmarkStart w:id="0" w:name="_Toc15377193"/>
      <w:bookmarkStart w:id="1" w:name="_Toc15396597"/>
      <w:bookmarkStart w:id="2" w:name="_Toc15396475"/>
      <w:bookmarkStart w:id="3" w:name="_Toc15377425"/>
      <w:bookmarkStart w:id="4" w:name="_Toc15378441"/>
      <w:bookmarkStart w:id="5" w:name="_Toc15306267"/>
    </w:p>
    <w:p w:rsidR="00FC5B9A" w:rsidRDefault="00FC5B9A">
      <w:pPr>
        <w:spacing w:line="600" w:lineRule="exact"/>
        <w:jc w:val="center"/>
        <w:outlineLvl w:val="0"/>
        <w:rPr>
          <w:rFonts w:ascii="方正小标宋简体" w:eastAsia="方正小标宋简体" w:hAnsi="宋体"/>
          <w:sz w:val="72"/>
          <w:szCs w:val="72"/>
        </w:rPr>
      </w:pPr>
    </w:p>
    <w:p w:rsidR="00FC5B9A" w:rsidRDefault="00FC5B9A">
      <w:pPr>
        <w:spacing w:line="600" w:lineRule="exact"/>
        <w:jc w:val="center"/>
        <w:outlineLvl w:val="0"/>
        <w:rPr>
          <w:rFonts w:ascii="方正小标宋简体" w:eastAsia="方正小标宋简体" w:hAnsi="宋体"/>
          <w:sz w:val="72"/>
          <w:szCs w:val="72"/>
        </w:rPr>
      </w:pPr>
    </w:p>
    <w:p w:rsidR="00FC5B9A" w:rsidRDefault="00A50BEA">
      <w:pPr>
        <w:adjustRightInd w:val="0"/>
        <w:snapToGrid w:val="0"/>
        <w:spacing w:line="360" w:lineRule="auto"/>
        <w:jc w:val="center"/>
        <w:outlineLvl w:val="0"/>
        <w:rPr>
          <w:rFonts w:ascii="方正小标宋简体" w:eastAsia="方正小标宋简体" w:hAnsi="方正小标宋简体" w:cs="方正小标宋简体"/>
          <w:sz w:val="72"/>
          <w:szCs w:val="72"/>
        </w:rPr>
      </w:pPr>
      <w:r>
        <w:rPr>
          <w:rFonts w:ascii="方正小标宋简体" w:eastAsia="方正小标宋简体" w:hAnsi="方正小标宋简体" w:cs="方正小标宋简体" w:hint="eastAsia"/>
          <w:sz w:val="72"/>
          <w:szCs w:val="72"/>
        </w:rPr>
        <w:t>2022年度</w:t>
      </w:r>
      <w:bookmarkEnd w:id="0"/>
      <w:bookmarkEnd w:id="1"/>
      <w:bookmarkEnd w:id="2"/>
      <w:bookmarkEnd w:id="3"/>
      <w:bookmarkEnd w:id="4"/>
    </w:p>
    <w:p w:rsidR="00FC5B9A" w:rsidRDefault="00A50BEA">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6" w:name="_Toc15377426"/>
      <w:bookmarkStart w:id="7" w:name="_Toc15378442"/>
      <w:bookmarkStart w:id="8" w:name="_Toc15377194"/>
      <w:bookmarkStart w:id="9" w:name="_Toc15396598"/>
      <w:bookmarkStart w:id="10" w:name="_Toc15396476"/>
      <w:r>
        <w:rPr>
          <w:rFonts w:ascii="方正小标宋简体" w:eastAsia="方正小标宋简体" w:hAnsi="方正小标宋简体" w:cs="方正小标宋简体" w:hint="eastAsia"/>
          <w:sz w:val="72"/>
          <w:szCs w:val="72"/>
        </w:rPr>
        <w:t>四川省</w:t>
      </w:r>
      <w:bookmarkStart w:id="11" w:name="_Toc15306268"/>
      <w:bookmarkEnd w:id="5"/>
      <w:r>
        <w:rPr>
          <w:rFonts w:ascii="方正小标宋简体" w:eastAsia="方正小标宋简体" w:hAnsi="方正小标宋简体" w:cs="方正小标宋简体" w:hint="eastAsia"/>
          <w:sz w:val="72"/>
          <w:szCs w:val="72"/>
        </w:rPr>
        <w:t>盐边县融媒体中心部门决算</w:t>
      </w:r>
      <w:bookmarkEnd w:id="6"/>
      <w:bookmarkEnd w:id="7"/>
      <w:bookmarkEnd w:id="8"/>
      <w:bookmarkEnd w:id="9"/>
      <w:bookmarkEnd w:id="10"/>
      <w:bookmarkEnd w:id="11"/>
    </w:p>
    <w:p w:rsidR="00FC5B9A" w:rsidRDefault="00A50BEA">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rsidR="00FC5B9A" w:rsidRDefault="00FC5B9A">
      <w:pPr>
        <w:widowControl/>
        <w:jc w:val="center"/>
        <w:rPr>
          <w:rFonts w:ascii="黑体" w:eastAsia="黑体" w:hAnsi="黑体" w:cstheme="minorBidi"/>
          <w:sz w:val="28"/>
          <w:szCs w:val="28"/>
        </w:rPr>
      </w:pPr>
    </w:p>
    <w:p w:rsidR="00FC5B9A" w:rsidRDefault="00A50BEA">
      <w:pPr>
        <w:pStyle w:val="10"/>
      </w:pPr>
      <w:r>
        <w:rPr>
          <w:rFonts w:hint="eastAsia"/>
        </w:rPr>
        <w:t>公开时间：2023年10月26日</w:t>
      </w:r>
    </w:p>
    <w:p w:rsidR="00FC5B9A" w:rsidRDefault="00FC5B9A">
      <w:pPr>
        <w:rPr>
          <w:rFonts w:ascii="仿宋" w:eastAsia="仿宋" w:hAnsi="仿宋"/>
          <w:sz w:val="32"/>
          <w:szCs w:val="32"/>
        </w:rPr>
      </w:pPr>
    </w:p>
    <w:p w:rsidR="00FC5B9A" w:rsidRDefault="00A50BEA">
      <w:pPr>
        <w:pStyle w:val="10"/>
        <w:adjustRightInd w:val="0"/>
        <w:snapToGrid w:val="0"/>
        <w:spacing w:before="0" w:line="440" w:lineRule="exact"/>
        <w:jc w:val="left"/>
        <w:rPr>
          <w:rFonts w:cstheme="minorBidi"/>
          <w:sz w:val="32"/>
          <w:szCs w:val="32"/>
        </w:rPr>
      </w:pPr>
      <w:r>
        <w:rPr>
          <w:rFonts w:hint="eastAsia"/>
          <w:sz w:val="32"/>
          <w:szCs w:val="32"/>
        </w:rPr>
        <w:t>第一部分部门概况</w:t>
      </w:r>
      <w:r>
        <w:rPr>
          <w:rFonts w:hint="eastAsia"/>
          <w:sz w:val="32"/>
          <w:szCs w:val="32"/>
        </w:rPr>
        <w:ptab w:relativeTo="margin" w:alignment="right" w:leader="dot"/>
      </w:r>
      <w:r>
        <w:rPr>
          <w:rFonts w:hint="eastAsia"/>
          <w:sz w:val="32"/>
          <w:szCs w:val="32"/>
        </w:rPr>
        <w:t>1</w:t>
      </w:r>
    </w:p>
    <w:p w:rsidR="00FC5B9A" w:rsidRDefault="00A50BEA">
      <w:pPr>
        <w:pStyle w:val="20"/>
        <w:adjustRightInd w:val="0"/>
        <w:snapToGrid w:val="0"/>
        <w:spacing w:line="440" w:lineRule="exact"/>
        <w:ind w:firstLineChars="50" w:firstLine="160"/>
        <w:jc w:val="left"/>
        <w:rPr>
          <w:rFonts w:ascii="仿宋" w:eastAsia="仿宋" w:hAnsi="仿宋"/>
          <w:sz w:val="32"/>
          <w:szCs w:val="32"/>
        </w:rPr>
      </w:pPr>
      <w:r>
        <w:rPr>
          <w:rFonts w:ascii="仿宋" w:eastAsia="仿宋" w:hAnsi="仿宋" w:hint="eastAsia"/>
          <w:sz w:val="32"/>
          <w:szCs w:val="32"/>
        </w:rPr>
        <w:t>一、部门职责</w:t>
      </w:r>
      <w:r>
        <w:rPr>
          <w:rFonts w:ascii="仿宋" w:eastAsia="仿宋" w:hAnsi="仿宋" w:hint="eastAsia"/>
          <w:sz w:val="32"/>
          <w:szCs w:val="32"/>
        </w:rPr>
        <w:ptab w:relativeTo="margin" w:alignment="right" w:leader="dot"/>
      </w:r>
      <w:r>
        <w:rPr>
          <w:rFonts w:ascii="仿宋" w:eastAsia="仿宋" w:hAnsi="仿宋" w:hint="eastAsia"/>
          <w:sz w:val="32"/>
          <w:szCs w:val="32"/>
        </w:rPr>
        <w:t>1</w:t>
      </w:r>
    </w:p>
    <w:p w:rsidR="00FC5B9A" w:rsidRDefault="00A50BEA">
      <w:pPr>
        <w:pStyle w:val="20"/>
        <w:adjustRightInd w:val="0"/>
        <w:snapToGrid w:val="0"/>
        <w:spacing w:line="440" w:lineRule="exact"/>
        <w:ind w:firstLineChars="50" w:firstLine="160"/>
        <w:jc w:val="left"/>
        <w:rPr>
          <w:rFonts w:ascii="仿宋" w:eastAsia="仿宋" w:hAnsi="仿宋" w:cstheme="minorBidi"/>
          <w:sz w:val="32"/>
          <w:szCs w:val="32"/>
        </w:rPr>
      </w:pPr>
      <w:r>
        <w:rPr>
          <w:rFonts w:ascii="仿宋" w:eastAsia="仿宋" w:hAnsi="仿宋" w:hint="eastAsia"/>
          <w:sz w:val="32"/>
          <w:szCs w:val="32"/>
        </w:rPr>
        <w:t>二、机构设置</w:t>
      </w:r>
      <w:r>
        <w:rPr>
          <w:rFonts w:ascii="仿宋" w:eastAsia="仿宋" w:hAnsi="仿宋" w:hint="eastAsia"/>
          <w:sz w:val="32"/>
          <w:szCs w:val="32"/>
        </w:rPr>
        <w:ptab w:relativeTo="margin" w:alignment="right" w:leader="dot"/>
      </w:r>
      <w:r>
        <w:rPr>
          <w:rFonts w:ascii="仿宋" w:eastAsia="仿宋" w:hAnsi="仿宋" w:hint="eastAsia"/>
          <w:sz w:val="32"/>
          <w:szCs w:val="32"/>
        </w:rPr>
        <w:t>1</w:t>
      </w:r>
    </w:p>
    <w:p w:rsidR="00FC5B9A" w:rsidRDefault="00A50BEA">
      <w:pPr>
        <w:pStyle w:val="10"/>
        <w:adjustRightInd w:val="0"/>
        <w:snapToGrid w:val="0"/>
        <w:spacing w:before="0" w:line="440" w:lineRule="exact"/>
        <w:jc w:val="left"/>
        <w:rPr>
          <w:sz w:val="32"/>
          <w:szCs w:val="32"/>
        </w:rPr>
      </w:pPr>
      <w:r>
        <w:rPr>
          <w:rFonts w:hint="eastAsia"/>
          <w:sz w:val="32"/>
          <w:szCs w:val="32"/>
        </w:rPr>
        <w:t>第二部分 2022年度部门决算情况说明</w:t>
      </w:r>
      <w:r>
        <w:rPr>
          <w:rFonts w:hint="eastAsia"/>
          <w:sz w:val="32"/>
          <w:szCs w:val="32"/>
        </w:rPr>
        <w:ptab w:relativeTo="margin" w:alignment="right" w:leader="dot"/>
      </w:r>
      <w:r>
        <w:rPr>
          <w:rFonts w:hint="eastAsia"/>
          <w:sz w:val="32"/>
          <w:szCs w:val="32"/>
        </w:rPr>
        <w:t>2</w:t>
      </w:r>
    </w:p>
    <w:p w:rsidR="00FC5B9A" w:rsidRDefault="00A50BEA">
      <w:pPr>
        <w:pStyle w:val="20"/>
        <w:adjustRightInd w:val="0"/>
        <w:snapToGrid w:val="0"/>
        <w:spacing w:line="440" w:lineRule="exact"/>
        <w:ind w:firstLineChars="50" w:firstLine="160"/>
        <w:jc w:val="left"/>
        <w:rPr>
          <w:rFonts w:ascii="仿宋" w:eastAsia="仿宋" w:hAnsi="仿宋" w:cstheme="minorBidi"/>
          <w:sz w:val="32"/>
          <w:szCs w:val="32"/>
        </w:rPr>
      </w:pPr>
      <w:r>
        <w:rPr>
          <w:rFonts w:ascii="仿宋" w:eastAsia="仿宋" w:hAnsi="仿宋" w:hint="eastAsia"/>
          <w:sz w:val="32"/>
          <w:szCs w:val="32"/>
        </w:rPr>
        <w:t>一、收入支出决算总体情况说明</w:t>
      </w:r>
      <w:r>
        <w:rPr>
          <w:rFonts w:ascii="仿宋" w:eastAsia="仿宋" w:hAnsi="仿宋" w:hint="eastAsia"/>
          <w:sz w:val="32"/>
          <w:szCs w:val="32"/>
        </w:rPr>
        <w:ptab w:relativeTo="margin" w:alignment="right" w:leader="dot"/>
      </w:r>
      <w:r>
        <w:rPr>
          <w:rFonts w:ascii="仿宋" w:eastAsia="仿宋" w:hAnsi="仿宋" w:hint="eastAsia"/>
          <w:sz w:val="32"/>
          <w:szCs w:val="32"/>
        </w:rPr>
        <w:t>2</w:t>
      </w:r>
    </w:p>
    <w:p w:rsidR="00FC5B9A" w:rsidRDefault="00A50BEA">
      <w:pPr>
        <w:pStyle w:val="20"/>
        <w:adjustRightInd w:val="0"/>
        <w:snapToGrid w:val="0"/>
        <w:spacing w:line="440" w:lineRule="exact"/>
        <w:ind w:firstLineChars="50" w:firstLine="160"/>
        <w:jc w:val="left"/>
        <w:rPr>
          <w:rFonts w:ascii="仿宋" w:eastAsia="仿宋" w:hAnsi="仿宋" w:cstheme="minorBidi"/>
          <w:sz w:val="32"/>
          <w:szCs w:val="32"/>
        </w:rPr>
      </w:pPr>
      <w:r>
        <w:rPr>
          <w:rFonts w:ascii="仿宋" w:eastAsia="仿宋" w:hAnsi="仿宋" w:hint="eastAsia"/>
          <w:sz w:val="32"/>
          <w:szCs w:val="32"/>
        </w:rPr>
        <w:t>二、收入决算情况说明</w:t>
      </w:r>
      <w:r>
        <w:rPr>
          <w:rFonts w:ascii="仿宋" w:eastAsia="仿宋" w:hAnsi="仿宋" w:hint="eastAsia"/>
          <w:sz w:val="32"/>
          <w:szCs w:val="32"/>
        </w:rPr>
        <w:ptab w:relativeTo="margin" w:alignment="right" w:leader="dot"/>
      </w:r>
      <w:r>
        <w:rPr>
          <w:rFonts w:ascii="仿宋" w:eastAsia="仿宋" w:hAnsi="仿宋" w:hint="eastAsia"/>
          <w:sz w:val="32"/>
          <w:szCs w:val="32"/>
        </w:rPr>
        <w:t>2</w:t>
      </w:r>
    </w:p>
    <w:p w:rsidR="00FC5B9A" w:rsidRDefault="00A50BEA">
      <w:pPr>
        <w:pStyle w:val="20"/>
        <w:adjustRightInd w:val="0"/>
        <w:snapToGrid w:val="0"/>
        <w:spacing w:line="440" w:lineRule="exact"/>
        <w:ind w:firstLineChars="50" w:firstLine="160"/>
        <w:jc w:val="left"/>
        <w:rPr>
          <w:rFonts w:ascii="仿宋" w:eastAsia="仿宋" w:hAnsi="仿宋" w:cstheme="minorBidi"/>
          <w:sz w:val="32"/>
          <w:szCs w:val="32"/>
        </w:rPr>
      </w:pPr>
      <w:r>
        <w:rPr>
          <w:rFonts w:ascii="仿宋" w:eastAsia="仿宋" w:hAnsi="仿宋" w:hint="eastAsia"/>
          <w:sz w:val="32"/>
          <w:szCs w:val="32"/>
        </w:rPr>
        <w:t>三、支出决算情况说明</w:t>
      </w:r>
      <w:r>
        <w:rPr>
          <w:rFonts w:ascii="仿宋" w:eastAsia="仿宋" w:hAnsi="仿宋" w:hint="eastAsia"/>
          <w:sz w:val="32"/>
          <w:szCs w:val="32"/>
        </w:rPr>
        <w:ptab w:relativeTo="margin" w:alignment="right" w:leader="dot"/>
      </w:r>
      <w:r>
        <w:rPr>
          <w:rFonts w:ascii="仿宋" w:eastAsia="仿宋" w:hAnsi="仿宋" w:hint="eastAsia"/>
          <w:sz w:val="32"/>
          <w:szCs w:val="32"/>
        </w:rPr>
        <w:t>3</w:t>
      </w:r>
    </w:p>
    <w:p w:rsidR="00FC5B9A" w:rsidRDefault="00A50BEA">
      <w:pPr>
        <w:pStyle w:val="20"/>
        <w:adjustRightInd w:val="0"/>
        <w:snapToGrid w:val="0"/>
        <w:spacing w:line="440" w:lineRule="exact"/>
        <w:ind w:firstLineChars="50" w:firstLine="160"/>
        <w:jc w:val="left"/>
        <w:rPr>
          <w:rFonts w:ascii="仿宋" w:eastAsia="仿宋" w:hAnsi="仿宋" w:cstheme="minorBidi"/>
          <w:sz w:val="32"/>
          <w:szCs w:val="32"/>
        </w:rPr>
      </w:pPr>
      <w:r>
        <w:rPr>
          <w:rFonts w:ascii="仿宋" w:eastAsia="仿宋" w:hAnsi="仿宋" w:hint="eastAsia"/>
          <w:sz w:val="32"/>
          <w:szCs w:val="32"/>
        </w:rPr>
        <w:t>四、财政拨款收入支出决算总体情况说明</w:t>
      </w:r>
      <w:r>
        <w:rPr>
          <w:rFonts w:ascii="仿宋" w:eastAsia="仿宋" w:hAnsi="仿宋" w:hint="eastAsia"/>
          <w:sz w:val="32"/>
          <w:szCs w:val="32"/>
        </w:rPr>
        <w:ptab w:relativeTo="margin" w:alignment="right" w:leader="dot"/>
      </w:r>
      <w:r>
        <w:rPr>
          <w:rFonts w:ascii="仿宋" w:eastAsia="仿宋" w:hAnsi="仿宋" w:hint="eastAsia"/>
          <w:sz w:val="32"/>
          <w:szCs w:val="32"/>
        </w:rPr>
        <w:t>4</w:t>
      </w:r>
    </w:p>
    <w:p w:rsidR="00FC5B9A" w:rsidRDefault="00A50BEA">
      <w:pPr>
        <w:pStyle w:val="20"/>
        <w:adjustRightInd w:val="0"/>
        <w:snapToGrid w:val="0"/>
        <w:spacing w:line="440" w:lineRule="exact"/>
        <w:ind w:firstLineChars="50" w:firstLine="160"/>
        <w:jc w:val="left"/>
        <w:rPr>
          <w:rFonts w:ascii="仿宋" w:eastAsia="仿宋" w:hAnsi="仿宋" w:cstheme="minorBidi"/>
          <w:sz w:val="32"/>
          <w:szCs w:val="32"/>
        </w:rPr>
      </w:pPr>
      <w:r>
        <w:rPr>
          <w:rFonts w:ascii="仿宋" w:eastAsia="仿宋" w:hAnsi="仿宋" w:hint="eastAsia"/>
          <w:sz w:val="32"/>
          <w:szCs w:val="32"/>
        </w:rPr>
        <w:t>五、一般公共预算财政拨款支出决算情况说明</w:t>
      </w:r>
      <w:r>
        <w:rPr>
          <w:rFonts w:ascii="仿宋" w:eastAsia="仿宋" w:hAnsi="仿宋" w:hint="eastAsia"/>
          <w:sz w:val="32"/>
          <w:szCs w:val="32"/>
        </w:rPr>
        <w:ptab w:relativeTo="margin" w:alignment="right" w:leader="dot"/>
      </w:r>
      <w:r>
        <w:rPr>
          <w:rFonts w:ascii="仿宋" w:eastAsia="仿宋" w:hAnsi="仿宋" w:hint="eastAsia"/>
          <w:sz w:val="32"/>
          <w:szCs w:val="32"/>
        </w:rPr>
        <w:t>4</w:t>
      </w:r>
    </w:p>
    <w:p w:rsidR="00FC5B9A" w:rsidRDefault="00A50BEA">
      <w:pPr>
        <w:pStyle w:val="20"/>
        <w:adjustRightInd w:val="0"/>
        <w:snapToGrid w:val="0"/>
        <w:spacing w:line="440" w:lineRule="exact"/>
        <w:ind w:firstLineChars="50" w:firstLine="160"/>
        <w:jc w:val="left"/>
        <w:rPr>
          <w:rFonts w:ascii="仿宋" w:eastAsia="仿宋" w:hAnsi="仿宋" w:cstheme="minorBidi"/>
          <w:sz w:val="32"/>
          <w:szCs w:val="32"/>
        </w:rPr>
      </w:pPr>
      <w:r>
        <w:rPr>
          <w:rFonts w:ascii="仿宋" w:eastAsia="仿宋" w:hAnsi="仿宋" w:hint="eastAsia"/>
          <w:sz w:val="32"/>
          <w:szCs w:val="32"/>
        </w:rPr>
        <w:t>六、一般公共预算财政拨款基本支出决算情况说明</w:t>
      </w:r>
      <w:r>
        <w:rPr>
          <w:rFonts w:ascii="仿宋" w:eastAsia="仿宋" w:hAnsi="仿宋" w:hint="eastAsia"/>
          <w:sz w:val="32"/>
          <w:szCs w:val="32"/>
        </w:rPr>
        <w:ptab w:relativeTo="margin" w:alignment="right" w:leader="dot"/>
      </w:r>
      <w:r>
        <w:rPr>
          <w:rFonts w:ascii="仿宋" w:eastAsia="仿宋" w:hAnsi="仿宋" w:hint="eastAsia"/>
          <w:sz w:val="32"/>
          <w:szCs w:val="32"/>
        </w:rPr>
        <w:t>7</w:t>
      </w:r>
    </w:p>
    <w:p w:rsidR="00FC5B9A" w:rsidRDefault="00A50BEA">
      <w:pPr>
        <w:pStyle w:val="20"/>
        <w:adjustRightInd w:val="0"/>
        <w:snapToGrid w:val="0"/>
        <w:spacing w:line="440" w:lineRule="exact"/>
        <w:ind w:firstLineChars="50" w:firstLine="160"/>
        <w:jc w:val="left"/>
        <w:rPr>
          <w:rFonts w:ascii="仿宋" w:eastAsia="仿宋" w:hAnsi="仿宋" w:cstheme="minorBidi"/>
          <w:sz w:val="32"/>
          <w:szCs w:val="32"/>
        </w:rPr>
      </w:pPr>
      <w:r>
        <w:rPr>
          <w:rFonts w:ascii="仿宋" w:eastAsia="仿宋" w:hAnsi="仿宋" w:hint="eastAsia"/>
          <w:sz w:val="32"/>
          <w:szCs w:val="32"/>
        </w:rPr>
        <w:t>七、财政拨款“三公”经费支出决算情况说明</w:t>
      </w:r>
      <w:r>
        <w:rPr>
          <w:rFonts w:ascii="仿宋" w:eastAsia="仿宋" w:hAnsi="仿宋" w:hint="eastAsia"/>
          <w:sz w:val="32"/>
          <w:szCs w:val="32"/>
        </w:rPr>
        <w:ptab w:relativeTo="margin" w:alignment="right" w:leader="dot"/>
      </w:r>
      <w:r>
        <w:rPr>
          <w:rFonts w:ascii="仿宋" w:eastAsia="仿宋" w:hAnsi="仿宋" w:hint="eastAsia"/>
          <w:sz w:val="32"/>
          <w:szCs w:val="32"/>
        </w:rPr>
        <w:t>8</w:t>
      </w:r>
    </w:p>
    <w:p w:rsidR="00FC5B9A" w:rsidRDefault="00A50BEA">
      <w:pPr>
        <w:pStyle w:val="20"/>
        <w:adjustRightInd w:val="0"/>
        <w:snapToGrid w:val="0"/>
        <w:spacing w:line="440" w:lineRule="exact"/>
        <w:ind w:firstLineChars="50" w:firstLine="160"/>
        <w:jc w:val="left"/>
        <w:rPr>
          <w:rFonts w:ascii="仿宋" w:eastAsia="仿宋" w:hAnsi="仿宋" w:cstheme="minorBidi"/>
          <w:sz w:val="32"/>
          <w:szCs w:val="32"/>
        </w:rPr>
      </w:pPr>
      <w:r>
        <w:rPr>
          <w:rFonts w:ascii="仿宋" w:eastAsia="仿宋" w:hAnsi="仿宋" w:hint="eastAsia"/>
          <w:sz w:val="32"/>
          <w:szCs w:val="32"/>
        </w:rPr>
        <w:t>八、政府性基金预算支出决算情况说明</w:t>
      </w:r>
      <w:r>
        <w:rPr>
          <w:rFonts w:ascii="仿宋" w:eastAsia="仿宋" w:hAnsi="仿宋" w:hint="eastAsia"/>
          <w:sz w:val="32"/>
          <w:szCs w:val="32"/>
        </w:rPr>
        <w:ptab w:relativeTo="margin" w:alignment="right" w:leader="dot"/>
      </w:r>
      <w:r>
        <w:rPr>
          <w:rFonts w:ascii="仿宋" w:eastAsia="仿宋" w:hAnsi="仿宋" w:hint="eastAsia"/>
          <w:sz w:val="32"/>
          <w:szCs w:val="32"/>
        </w:rPr>
        <w:t>9</w:t>
      </w:r>
    </w:p>
    <w:p w:rsidR="00FC5B9A" w:rsidRDefault="00A50BEA">
      <w:pPr>
        <w:pStyle w:val="20"/>
        <w:adjustRightInd w:val="0"/>
        <w:snapToGrid w:val="0"/>
        <w:spacing w:line="440" w:lineRule="exact"/>
        <w:ind w:firstLineChars="50" w:firstLine="160"/>
        <w:jc w:val="left"/>
        <w:rPr>
          <w:rFonts w:ascii="仿宋" w:eastAsia="仿宋" w:hAnsi="仿宋" w:cstheme="minorEastAsia"/>
          <w:sz w:val="32"/>
          <w:szCs w:val="32"/>
        </w:rPr>
      </w:pPr>
      <w:r>
        <w:rPr>
          <w:rFonts w:ascii="仿宋" w:eastAsia="仿宋" w:hAnsi="仿宋" w:cstheme="minorEastAsia" w:hint="eastAsia"/>
          <w:sz w:val="32"/>
          <w:szCs w:val="32"/>
        </w:rPr>
        <w:t>九、国有资本经营预算支出决算情况说明</w:t>
      </w:r>
      <w:r>
        <w:rPr>
          <w:rFonts w:ascii="仿宋" w:eastAsia="仿宋" w:hAnsi="仿宋" w:hint="eastAsia"/>
          <w:sz w:val="32"/>
          <w:szCs w:val="32"/>
        </w:rPr>
        <w:ptab w:relativeTo="margin" w:alignment="right" w:leader="dot"/>
      </w:r>
      <w:r>
        <w:rPr>
          <w:rFonts w:ascii="仿宋" w:eastAsia="仿宋" w:hAnsi="仿宋" w:hint="eastAsia"/>
          <w:sz w:val="32"/>
          <w:szCs w:val="32"/>
        </w:rPr>
        <w:t>9</w:t>
      </w:r>
    </w:p>
    <w:p w:rsidR="00FC5B9A" w:rsidRDefault="00A50BEA">
      <w:pPr>
        <w:adjustRightInd w:val="0"/>
        <w:snapToGrid w:val="0"/>
        <w:spacing w:line="440" w:lineRule="exact"/>
        <w:ind w:firstLineChars="175" w:firstLine="560"/>
        <w:jc w:val="left"/>
        <w:rPr>
          <w:rFonts w:ascii="仿宋" w:eastAsia="仿宋" w:hAnsi="仿宋" w:cstheme="minorEastAsia"/>
          <w:sz w:val="32"/>
          <w:szCs w:val="32"/>
        </w:rPr>
      </w:pPr>
      <w:r>
        <w:rPr>
          <w:rStyle w:val="aa"/>
          <w:rFonts w:ascii="仿宋" w:eastAsia="仿宋" w:hAnsi="仿宋" w:cstheme="minorEastAsia" w:hint="eastAsia"/>
          <w:color w:val="auto"/>
          <w:sz w:val="32"/>
          <w:szCs w:val="32"/>
          <w:u w:val="none"/>
        </w:rPr>
        <w:t>十、</w:t>
      </w:r>
      <w:r>
        <w:rPr>
          <w:rFonts w:ascii="仿宋" w:eastAsia="仿宋" w:hAnsi="仿宋" w:cstheme="minorEastAsia" w:hint="eastAsia"/>
          <w:sz w:val="32"/>
          <w:szCs w:val="32"/>
        </w:rPr>
        <w:t>其他重要事项的情况说明</w:t>
      </w:r>
      <w:r>
        <w:rPr>
          <w:rFonts w:ascii="仿宋" w:eastAsia="仿宋" w:hAnsi="仿宋" w:hint="eastAsia"/>
          <w:sz w:val="32"/>
          <w:szCs w:val="32"/>
        </w:rPr>
        <w:ptab w:relativeTo="margin" w:alignment="right" w:leader="dot"/>
      </w:r>
      <w:r>
        <w:rPr>
          <w:rFonts w:ascii="仿宋" w:eastAsia="仿宋" w:hAnsi="仿宋" w:hint="eastAsia"/>
          <w:sz w:val="32"/>
          <w:szCs w:val="32"/>
        </w:rPr>
        <w:t>9</w:t>
      </w:r>
    </w:p>
    <w:p w:rsidR="00FC5B9A" w:rsidRDefault="00A50BEA">
      <w:pPr>
        <w:pStyle w:val="10"/>
        <w:adjustRightInd w:val="0"/>
        <w:snapToGrid w:val="0"/>
        <w:spacing w:before="0" w:line="440" w:lineRule="exact"/>
        <w:jc w:val="left"/>
        <w:rPr>
          <w:rFonts w:cstheme="minorBidi"/>
          <w:sz w:val="32"/>
          <w:szCs w:val="32"/>
        </w:rPr>
      </w:pPr>
      <w:r>
        <w:rPr>
          <w:rFonts w:hint="eastAsia"/>
          <w:sz w:val="32"/>
          <w:szCs w:val="32"/>
        </w:rPr>
        <w:t>第三部分名词解释</w:t>
      </w:r>
      <w:r>
        <w:rPr>
          <w:rFonts w:hint="eastAsia"/>
          <w:sz w:val="32"/>
          <w:szCs w:val="32"/>
        </w:rPr>
        <w:ptab w:relativeTo="margin" w:alignment="right" w:leader="dot"/>
      </w:r>
      <w:r>
        <w:rPr>
          <w:rFonts w:hint="eastAsia"/>
          <w:sz w:val="32"/>
          <w:szCs w:val="32"/>
        </w:rPr>
        <w:t>11</w:t>
      </w:r>
    </w:p>
    <w:p w:rsidR="00FC5B9A" w:rsidRDefault="00A50BEA">
      <w:pPr>
        <w:pStyle w:val="10"/>
        <w:adjustRightInd w:val="0"/>
        <w:snapToGrid w:val="0"/>
        <w:spacing w:before="0" w:line="440" w:lineRule="exact"/>
        <w:jc w:val="left"/>
        <w:rPr>
          <w:rFonts w:cstheme="minorBidi"/>
          <w:sz w:val="32"/>
          <w:szCs w:val="32"/>
        </w:rPr>
      </w:pPr>
      <w:r>
        <w:rPr>
          <w:rFonts w:hint="eastAsia"/>
          <w:sz w:val="32"/>
          <w:szCs w:val="32"/>
        </w:rPr>
        <w:t>第四部分附件</w:t>
      </w:r>
      <w:r>
        <w:rPr>
          <w:rFonts w:hint="eastAsia"/>
          <w:sz w:val="32"/>
          <w:szCs w:val="32"/>
        </w:rPr>
        <w:ptab w:relativeTo="margin" w:alignment="right" w:leader="dot"/>
      </w:r>
      <w:r>
        <w:rPr>
          <w:rFonts w:hint="eastAsia"/>
          <w:sz w:val="32"/>
          <w:szCs w:val="32"/>
        </w:rPr>
        <w:t>14</w:t>
      </w:r>
    </w:p>
    <w:p w:rsidR="00FC5B9A" w:rsidRDefault="00A50BEA">
      <w:pPr>
        <w:pStyle w:val="10"/>
        <w:adjustRightInd w:val="0"/>
        <w:snapToGrid w:val="0"/>
        <w:spacing w:before="0" w:line="440" w:lineRule="exact"/>
        <w:jc w:val="left"/>
        <w:rPr>
          <w:rFonts w:cstheme="minorBidi"/>
          <w:sz w:val="32"/>
          <w:szCs w:val="32"/>
        </w:rPr>
      </w:pPr>
      <w:r>
        <w:rPr>
          <w:rFonts w:hint="eastAsia"/>
          <w:sz w:val="32"/>
          <w:szCs w:val="32"/>
        </w:rPr>
        <w:t>第五部分附表</w:t>
      </w:r>
      <w:r>
        <w:rPr>
          <w:rFonts w:hint="eastAsia"/>
          <w:sz w:val="32"/>
          <w:szCs w:val="32"/>
        </w:rPr>
        <w:ptab w:relativeTo="margin" w:alignment="right" w:leader="dot"/>
      </w:r>
      <w:r>
        <w:rPr>
          <w:rFonts w:hint="eastAsia"/>
          <w:sz w:val="32"/>
          <w:szCs w:val="32"/>
        </w:rPr>
        <w:t>38</w:t>
      </w:r>
    </w:p>
    <w:p w:rsidR="00FC5B9A" w:rsidRDefault="00A50BEA">
      <w:pPr>
        <w:pStyle w:val="20"/>
        <w:adjustRightInd w:val="0"/>
        <w:snapToGrid w:val="0"/>
        <w:spacing w:line="440" w:lineRule="exact"/>
        <w:ind w:firstLineChars="50" w:firstLine="160"/>
        <w:jc w:val="left"/>
        <w:rPr>
          <w:rFonts w:ascii="仿宋" w:eastAsia="仿宋" w:hAnsi="仿宋"/>
          <w:sz w:val="32"/>
          <w:szCs w:val="32"/>
        </w:rPr>
      </w:pPr>
      <w:r>
        <w:rPr>
          <w:rFonts w:ascii="仿宋" w:eastAsia="仿宋" w:hAnsi="仿宋" w:hint="eastAsia"/>
          <w:sz w:val="32"/>
          <w:szCs w:val="32"/>
        </w:rPr>
        <w:t>一、收入支出决算总表</w:t>
      </w:r>
      <w:r>
        <w:rPr>
          <w:rFonts w:ascii="仿宋" w:eastAsia="仿宋" w:hAnsi="仿宋" w:hint="eastAsia"/>
          <w:sz w:val="32"/>
          <w:szCs w:val="32"/>
        </w:rPr>
        <w:ptab w:relativeTo="margin" w:alignment="right" w:leader="dot"/>
      </w:r>
      <w:r>
        <w:rPr>
          <w:rFonts w:ascii="仿宋" w:eastAsia="仿宋" w:hAnsi="仿宋" w:hint="eastAsia"/>
          <w:sz w:val="32"/>
          <w:szCs w:val="32"/>
        </w:rPr>
        <w:t>39</w:t>
      </w:r>
    </w:p>
    <w:p w:rsidR="00FC5B9A" w:rsidRDefault="00A50BEA">
      <w:pPr>
        <w:pStyle w:val="20"/>
        <w:adjustRightInd w:val="0"/>
        <w:snapToGrid w:val="0"/>
        <w:spacing w:line="440" w:lineRule="exact"/>
        <w:ind w:firstLineChars="50" w:firstLine="160"/>
        <w:jc w:val="left"/>
        <w:rPr>
          <w:rFonts w:ascii="仿宋" w:eastAsia="仿宋" w:hAnsi="仿宋"/>
          <w:sz w:val="32"/>
          <w:szCs w:val="32"/>
        </w:rPr>
      </w:pPr>
      <w:r>
        <w:rPr>
          <w:rFonts w:ascii="仿宋" w:eastAsia="仿宋" w:hAnsi="仿宋" w:hint="eastAsia"/>
          <w:sz w:val="32"/>
          <w:szCs w:val="32"/>
        </w:rPr>
        <w:t>二、收入决算表</w:t>
      </w:r>
      <w:r>
        <w:rPr>
          <w:rFonts w:ascii="仿宋" w:eastAsia="仿宋" w:hAnsi="仿宋" w:hint="eastAsia"/>
          <w:sz w:val="32"/>
          <w:szCs w:val="32"/>
        </w:rPr>
        <w:ptab w:relativeTo="margin" w:alignment="right" w:leader="dot"/>
      </w:r>
      <w:r>
        <w:rPr>
          <w:rFonts w:ascii="仿宋" w:eastAsia="仿宋" w:hAnsi="仿宋" w:hint="eastAsia"/>
          <w:sz w:val="32"/>
          <w:szCs w:val="32"/>
        </w:rPr>
        <w:t>40</w:t>
      </w:r>
    </w:p>
    <w:p w:rsidR="00FC5B9A" w:rsidRDefault="00A50BEA">
      <w:pPr>
        <w:pStyle w:val="20"/>
        <w:adjustRightInd w:val="0"/>
        <w:snapToGrid w:val="0"/>
        <w:spacing w:line="440" w:lineRule="exact"/>
        <w:ind w:firstLineChars="50" w:firstLine="160"/>
        <w:jc w:val="left"/>
        <w:rPr>
          <w:rFonts w:ascii="仿宋" w:eastAsia="仿宋" w:hAnsi="仿宋"/>
          <w:sz w:val="32"/>
          <w:szCs w:val="32"/>
        </w:rPr>
      </w:pPr>
      <w:r>
        <w:rPr>
          <w:rFonts w:ascii="仿宋" w:eastAsia="仿宋" w:hAnsi="仿宋" w:hint="eastAsia"/>
          <w:sz w:val="32"/>
          <w:szCs w:val="32"/>
        </w:rPr>
        <w:t>三、支出决算表</w:t>
      </w:r>
      <w:r>
        <w:rPr>
          <w:rFonts w:ascii="仿宋" w:eastAsia="仿宋" w:hAnsi="仿宋" w:hint="eastAsia"/>
          <w:sz w:val="32"/>
          <w:szCs w:val="32"/>
        </w:rPr>
        <w:ptab w:relativeTo="margin" w:alignment="right" w:leader="dot"/>
      </w:r>
      <w:r>
        <w:rPr>
          <w:rFonts w:ascii="仿宋" w:eastAsia="仿宋" w:hAnsi="仿宋" w:hint="eastAsia"/>
          <w:sz w:val="32"/>
          <w:szCs w:val="32"/>
        </w:rPr>
        <w:t>41</w:t>
      </w:r>
    </w:p>
    <w:p w:rsidR="00FC5B9A" w:rsidRDefault="00A50BEA">
      <w:pPr>
        <w:pStyle w:val="20"/>
        <w:adjustRightInd w:val="0"/>
        <w:snapToGrid w:val="0"/>
        <w:spacing w:line="440" w:lineRule="exact"/>
        <w:ind w:firstLineChars="50" w:firstLine="160"/>
        <w:jc w:val="left"/>
        <w:rPr>
          <w:rFonts w:ascii="仿宋" w:eastAsia="仿宋" w:hAnsi="仿宋"/>
          <w:sz w:val="32"/>
          <w:szCs w:val="32"/>
        </w:rPr>
      </w:pPr>
      <w:r>
        <w:rPr>
          <w:rFonts w:ascii="仿宋" w:eastAsia="仿宋" w:hAnsi="仿宋" w:hint="eastAsia"/>
          <w:sz w:val="32"/>
          <w:szCs w:val="32"/>
        </w:rPr>
        <w:t>四、财政拨款收入支出决算总表</w:t>
      </w:r>
      <w:r>
        <w:rPr>
          <w:rFonts w:ascii="仿宋" w:eastAsia="仿宋" w:hAnsi="仿宋" w:hint="eastAsia"/>
          <w:sz w:val="32"/>
          <w:szCs w:val="32"/>
        </w:rPr>
        <w:ptab w:relativeTo="margin" w:alignment="right" w:leader="dot"/>
      </w:r>
      <w:r>
        <w:rPr>
          <w:rFonts w:ascii="仿宋" w:eastAsia="仿宋" w:hAnsi="仿宋" w:hint="eastAsia"/>
          <w:sz w:val="32"/>
          <w:szCs w:val="32"/>
        </w:rPr>
        <w:t>42</w:t>
      </w:r>
    </w:p>
    <w:p w:rsidR="00FC5B9A" w:rsidRDefault="00A50BEA">
      <w:pPr>
        <w:pStyle w:val="20"/>
        <w:adjustRightInd w:val="0"/>
        <w:snapToGrid w:val="0"/>
        <w:spacing w:line="440" w:lineRule="exact"/>
        <w:ind w:firstLineChars="50" w:firstLine="160"/>
        <w:jc w:val="left"/>
        <w:rPr>
          <w:rFonts w:ascii="仿宋" w:eastAsia="仿宋" w:hAnsi="仿宋"/>
          <w:sz w:val="32"/>
          <w:szCs w:val="32"/>
        </w:rPr>
      </w:pPr>
      <w:r>
        <w:rPr>
          <w:rFonts w:ascii="仿宋" w:eastAsia="仿宋" w:hAnsi="仿宋" w:hint="eastAsia"/>
          <w:sz w:val="32"/>
          <w:szCs w:val="32"/>
        </w:rPr>
        <w:t>五、财政拨款支出决算明细表</w:t>
      </w:r>
      <w:r>
        <w:rPr>
          <w:rFonts w:ascii="仿宋" w:eastAsia="仿宋" w:hAnsi="仿宋" w:hint="eastAsia"/>
          <w:sz w:val="32"/>
          <w:szCs w:val="32"/>
        </w:rPr>
        <w:ptab w:relativeTo="margin" w:alignment="right" w:leader="dot"/>
      </w:r>
      <w:r>
        <w:rPr>
          <w:rFonts w:ascii="仿宋" w:eastAsia="仿宋" w:hAnsi="仿宋" w:hint="eastAsia"/>
          <w:sz w:val="32"/>
          <w:szCs w:val="32"/>
        </w:rPr>
        <w:t>43</w:t>
      </w:r>
    </w:p>
    <w:p w:rsidR="00FC5B9A" w:rsidRDefault="00A50BEA">
      <w:pPr>
        <w:pStyle w:val="20"/>
        <w:adjustRightInd w:val="0"/>
        <w:snapToGrid w:val="0"/>
        <w:spacing w:line="440" w:lineRule="exact"/>
        <w:ind w:firstLineChars="50" w:firstLine="160"/>
        <w:jc w:val="left"/>
        <w:rPr>
          <w:rFonts w:ascii="仿宋" w:eastAsia="仿宋" w:hAnsi="仿宋"/>
          <w:sz w:val="32"/>
          <w:szCs w:val="32"/>
        </w:rPr>
      </w:pPr>
      <w:r>
        <w:rPr>
          <w:rFonts w:ascii="仿宋" w:eastAsia="仿宋" w:hAnsi="仿宋" w:hint="eastAsia"/>
          <w:sz w:val="32"/>
          <w:szCs w:val="32"/>
        </w:rPr>
        <w:t>六、一般公共预算财政拨款支出决算表</w:t>
      </w:r>
      <w:r>
        <w:rPr>
          <w:rFonts w:ascii="仿宋" w:eastAsia="仿宋" w:hAnsi="仿宋" w:hint="eastAsia"/>
          <w:sz w:val="32"/>
          <w:szCs w:val="32"/>
        </w:rPr>
        <w:ptab w:relativeTo="margin" w:alignment="right" w:leader="dot"/>
      </w:r>
      <w:r>
        <w:rPr>
          <w:rFonts w:ascii="仿宋" w:eastAsia="仿宋" w:hAnsi="仿宋" w:hint="eastAsia"/>
          <w:sz w:val="32"/>
          <w:szCs w:val="32"/>
        </w:rPr>
        <w:t>47</w:t>
      </w:r>
    </w:p>
    <w:p w:rsidR="00FC5B9A" w:rsidRDefault="00A50BEA">
      <w:pPr>
        <w:pStyle w:val="20"/>
        <w:adjustRightInd w:val="0"/>
        <w:snapToGrid w:val="0"/>
        <w:spacing w:line="440" w:lineRule="exact"/>
        <w:ind w:firstLineChars="50" w:firstLine="160"/>
        <w:jc w:val="left"/>
        <w:rPr>
          <w:rFonts w:ascii="仿宋" w:eastAsia="仿宋" w:hAnsi="仿宋"/>
          <w:sz w:val="32"/>
          <w:szCs w:val="32"/>
        </w:rPr>
      </w:pPr>
      <w:r>
        <w:rPr>
          <w:rFonts w:ascii="仿宋" w:eastAsia="仿宋" w:hAnsi="仿宋" w:hint="eastAsia"/>
          <w:sz w:val="32"/>
          <w:szCs w:val="32"/>
        </w:rPr>
        <w:t>七、一般公共预算财政拨款支出决算明细表</w:t>
      </w:r>
      <w:r>
        <w:rPr>
          <w:rFonts w:ascii="仿宋" w:eastAsia="仿宋" w:hAnsi="仿宋" w:hint="eastAsia"/>
          <w:sz w:val="32"/>
          <w:szCs w:val="32"/>
        </w:rPr>
        <w:ptab w:relativeTo="margin" w:alignment="right" w:leader="dot"/>
      </w:r>
      <w:r>
        <w:rPr>
          <w:rFonts w:ascii="仿宋" w:eastAsia="仿宋" w:hAnsi="仿宋" w:hint="eastAsia"/>
          <w:sz w:val="32"/>
          <w:szCs w:val="32"/>
        </w:rPr>
        <w:t>48</w:t>
      </w:r>
    </w:p>
    <w:p w:rsidR="00FC5B9A" w:rsidRDefault="00A50BEA">
      <w:pPr>
        <w:pStyle w:val="20"/>
        <w:adjustRightInd w:val="0"/>
        <w:snapToGrid w:val="0"/>
        <w:spacing w:line="440" w:lineRule="exact"/>
        <w:ind w:firstLineChars="50" w:firstLine="160"/>
        <w:jc w:val="left"/>
        <w:rPr>
          <w:rFonts w:ascii="仿宋" w:eastAsia="仿宋" w:hAnsi="仿宋"/>
          <w:sz w:val="32"/>
          <w:szCs w:val="32"/>
        </w:rPr>
      </w:pPr>
      <w:r>
        <w:rPr>
          <w:rFonts w:ascii="仿宋" w:eastAsia="仿宋" w:hAnsi="仿宋" w:hint="eastAsia"/>
          <w:sz w:val="32"/>
          <w:szCs w:val="32"/>
        </w:rPr>
        <w:t>八、一般公共预算财政拨款基本支出决算明细表</w:t>
      </w:r>
      <w:r>
        <w:rPr>
          <w:rFonts w:ascii="仿宋" w:eastAsia="仿宋" w:hAnsi="仿宋" w:hint="eastAsia"/>
          <w:sz w:val="32"/>
          <w:szCs w:val="32"/>
        </w:rPr>
        <w:ptab w:relativeTo="margin" w:alignment="right" w:leader="dot"/>
      </w:r>
      <w:r>
        <w:rPr>
          <w:rFonts w:ascii="仿宋" w:eastAsia="仿宋" w:hAnsi="仿宋" w:hint="eastAsia"/>
          <w:sz w:val="32"/>
          <w:szCs w:val="32"/>
        </w:rPr>
        <w:t>55</w:t>
      </w:r>
    </w:p>
    <w:p w:rsidR="00FC5B9A" w:rsidRDefault="00A50BEA">
      <w:pPr>
        <w:pStyle w:val="20"/>
        <w:adjustRightInd w:val="0"/>
        <w:snapToGrid w:val="0"/>
        <w:spacing w:line="440" w:lineRule="exact"/>
        <w:ind w:firstLineChars="50" w:firstLine="160"/>
        <w:jc w:val="left"/>
        <w:rPr>
          <w:rFonts w:ascii="仿宋" w:eastAsia="仿宋" w:hAnsi="仿宋"/>
          <w:sz w:val="32"/>
          <w:szCs w:val="32"/>
        </w:rPr>
      </w:pPr>
      <w:r>
        <w:rPr>
          <w:rFonts w:ascii="仿宋" w:eastAsia="仿宋" w:hAnsi="仿宋" w:hint="eastAsia"/>
          <w:sz w:val="32"/>
          <w:szCs w:val="32"/>
        </w:rPr>
        <w:lastRenderedPageBreak/>
        <w:t>九、一般公共预算财政拨款项目支出决算表</w:t>
      </w:r>
      <w:r>
        <w:rPr>
          <w:rFonts w:ascii="仿宋" w:eastAsia="仿宋" w:hAnsi="仿宋" w:hint="eastAsia"/>
          <w:sz w:val="32"/>
          <w:szCs w:val="32"/>
        </w:rPr>
        <w:ptab w:relativeTo="margin" w:alignment="right" w:leader="dot"/>
      </w:r>
      <w:r>
        <w:rPr>
          <w:rFonts w:ascii="仿宋" w:eastAsia="仿宋" w:hAnsi="仿宋" w:hint="eastAsia"/>
          <w:sz w:val="32"/>
          <w:szCs w:val="32"/>
        </w:rPr>
        <w:t>56</w:t>
      </w:r>
    </w:p>
    <w:p w:rsidR="00FC5B9A" w:rsidRDefault="00A50BEA">
      <w:pPr>
        <w:pStyle w:val="20"/>
        <w:adjustRightInd w:val="0"/>
        <w:snapToGrid w:val="0"/>
        <w:spacing w:line="440" w:lineRule="exact"/>
        <w:ind w:firstLineChars="50" w:firstLine="160"/>
        <w:jc w:val="left"/>
        <w:rPr>
          <w:rFonts w:ascii="仿宋" w:eastAsia="仿宋" w:hAnsi="仿宋"/>
          <w:sz w:val="32"/>
          <w:szCs w:val="32"/>
        </w:rPr>
      </w:pPr>
      <w:r>
        <w:rPr>
          <w:rFonts w:ascii="仿宋" w:eastAsia="仿宋" w:hAnsi="仿宋" w:hint="eastAsia"/>
          <w:sz w:val="32"/>
          <w:szCs w:val="32"/>
        </w:rPr>
        <w:t>十、政府性基金预算财政拨款收入支出决算表</w:t>
      </w:r>
      <w:r>
        <w:rPr>
          <w:rFonts w:ascii="仿宋" w:eastAsia="仿宋" w:hAnsi="仿宋" w:hint="eastAsia"/>
          <w:sz w:val="32"/>
          <w:szCs w:val="32"/>
        </w:rPr>
        <w:ptab w:relativeTo="margin" w:alignment="right" w:leader="dot"/>
      </w:r>
      <w:r>
        <w:rPr>
          <w:rFonts w:ascii="仿宋" w:eastAsia="仿宋" w:hAnsi="仿宋" w:hint="eastAsia"/>
          <w:sz w:val="32"/>
          <w:szCs w:val="32"/>
        </w:rPr>
        <w:t>57</w:t>
      </w:r>
    </w:p>
    <w:p w:rsidR="00FC5B9A" w:rsidRDefault="00A50BEA">
      <w:pPr>
        <w:pStyle w:val="20"/>
        <w:adjustRightInd w:val="0"/>
        <w:snapToGrid w:val="0"/>
        <w:spacing w:line="440" w:lineRule="exact"/>
        <w:ind w:firstLineChars="50" w:firstLine="160"/>
        <w:jc w:val="left"/>
        <w:rPr>
          <w:rFonts w:ascii="仿宋" w:eastAsia="仿宋" w:hAnsi="仿宋"/>
          <w:sz w:val="32"/>
          <w:szCs w:val="32"/>
        </w:rPr>
      </w:pPr>
      <w:r>
        <w:rPr>
          <w:rFonts w:ascii="仿宋" w:eastAsia="仿宋" w:hAnsi="仿宋" w:hint="eastAsia"/>
          <w:sz w:val="32"/>
          <w:szCs w:val="32"/>
        </w:rPr>
        <w:t>十一、国有资本经营预算财政拨款收入支出决算表</w:t>
      </w:r>
      <w:r>
        <w:rPr>
          <w:rFonts w:ascii="仿宋" w:eastAsia="仿宋" w:hAnsi="仿宋" w:hint="eastAsia"/>
          <w:sz w:val="32"/>
          <w:szCs w:val="32"/>
        </w:rPr>
        <w:ptab w:relativeTo="margin" w:alignment="right" w:leader="dot"/>
      </w:r>
      <w:r>
        <w:rPr>
          <w:rFonts w:ascii="仿宋" w:eastAsia="仿宋" w:hAnsi="仿宋" w:hint="eastAsia"/>
          <w:sz w:val="32"/>
          <w:szCs w:val="32"/>
        </w:rPr>
        <w:t>58</w:t>
      </w:r>
    </w:p>
    <w:p w:rsidR="00FC5B9A" w:rsidRDefault="00A50BEA">
      <w:pPr>
        <w:pStyle w:val="20"/>
        <w:adjustRightInd w:val="0"/>
        <w:snapToGrid w:val="0"/>
        <w:spacing w:line="440" w:lineRule="exact"/>
        <w:ind w:firstLineChars="50" w:firstLine="160"/>
        <w:jc w:val="left"/>
        <w:rPr>
          <w:rFonts w:ascii="仿宋" w:eastAsia="仿宋" w:hAnsi="仿宋"/>
          <w:sz w:val="32"/>
          <w:szCs w:val="32"/>
        </w:rPr>
      </w:pPr>
      <w:r>
        <w:rPr>
          <w:rFonts w:ascii="仿宋" w:eastAsia="仿宋" w:hAnsi="仿宋" w:hint="eastAsia"/>
          <w:sz w:val="32"/>
          <w:szCs w:val="32"/>
        </w:rPr>
        <w:t>十二、国有资本经营预算财政拨款支出决算表</w:t>
      </w:r>
      <w:r>
        <w:rPr>
          <w:rFonts w:ascii="仿宋" w:eastAsia="仿宋" w:hAnsi="仿宋" w:hint="eastAsia"/>
          <w:sz w:val="32"/>
          <w:szCs w:val="32"/>
        </w:rPr>
        <w:ptab w:relativeTo="margin" w:alignment="right" w:leader="dot"/>
      </w:r>
      <w:r>
        <w:rPr>
          <w:rFonts w:ascii="仿宋" w:eastAsia="仿宋" w:hAnsi="仿宋" w:hint="eastAsia"/>
          <w:sz w:val="32"/>
          <w:szCs w:val="32"/>
        </w:rPr>
        <w:t>59</w:t>
      </w:r>
    </w:p>
    <w:p w:rsidR="00FC5B9A" w:rsidRDefault="00A50BEA">
      <w:pPr>
        <w:pStyle w:val="20"/>
        <w:adjustRightInd w:val="0"/>
        <w:snapToGrid w:val="0"/>
        <w:spacing w:line="440" w:lineRule="exact"/>
        <w:ind w:firstLineChars="50" w:firstLine="160"/>
        <w:jc w:val="left"/>
        <w:rPr>
          <w:rFonts w:ascii="仿宋" w:eastAsia="仿宋" w:hAnsi="仿宋" w:cstheme="minorEastAsia"/>
          <w:sz w:val="32"/>
          <w:szCs w:val="32"/>
        </w:rPr>
      </w:pPr>
      <w:r>
        <w:rPr>
          <w:rFonts w:ascii="仿宋" w:eastAsia="仿宋" w:hAnsi="仿宋" w:hint="eastAsia"/>
          <w:sz w:val="32"/>
          <w:szCs w:val="32"/>
        </w:rPr>
        <w:t>十三、财政拨款“三公”经费支出决算表</w:t>
      </w:r>
      <w:r>
        <w:rPr>
          <w:rFonts w:ascii="仿宋" w:eastAsia="仿宋" w:hAnsi="仿宋" w:hint="eastAsia"/>
          <w:sz w:val="32"/>
          <w:szCs w:val="32"/>
        </w:rPr>
        <w:ptab w:relativeTo="margin" w:alignment="right" w:leader="dot"/>
      </w:r>
      <w:r>
        <w:rPr>
          <w:rFonts w:ascii="仿宋" w:eastAsia="仿宋" w:hAnsi="仿宋" w:hint="eastAsia"/>
          <w:sz w:val="32"/>
          <w:szCs w:val="32"/>
        </w:rPr>
        <w:t>60</w:t>
      </w:r>
    </w:p>
    <w:p w:rsidR="00FC5B9A" w:rsidRDefault="00FC5B9A">
      <w:pPr>
        <w:pStyle w:val="1"/>
        <w:jc w:val="center"/>
        <w:rPr>
          <w:rFonts w:ascii="黑体" w:eastAsia="黑体" w:hAnsi="黑体"/>
          <w:b w:val="0"/>
        </w:rPr>
        <w:sectPr w:rsidR="00FC5B9A">
          <w:headerReference w:type="default" r:id="rId8"/>
          <w:footerReference w:type="default" r:id="rId9"/>
          <w:pgSz w:w="11906" w:h="16838"/>
          <w:pgMar w:top="1440" w:right="1800" w:bottom="1440" w:left="1800" w:header="851" w:footer="992" w:gutter="0"/>
          <w:pgNumType w:start="1"/>
          <w:cols w:space="425"/>
          <w:titlePg/>
          <w:docGrid w:type="lines" w:linePitch="312"/>
        </w:sectPr>
      </w:pPr>
      <w:bookmarkStart w:id="12" w:name="_Toc15377196"/>
      <w:bookmarkStart w:id="13" w:name="_Toc15396599"/>
    </w:p>
    <w:p w:rsidR="00FC5B9A" w:rsidRDefault="00A50BEA">
      <w:pPr>
        <w:pStyle w:val="1"/>
        <w:jc w:val="center"/>
        <w:rPr>
          <w:rStyle w:val="1Char"/>
          <w:rFonts w:ascii="黑体" w:eastAsia="黑体" w:hAnsi="黑体"/>
          <w:b/>
        </w:rPr>
      </w:pPr>
      <w:r>
        <w:rPr>
          <w:rFonts w:ascii="黑体" w:eastAsia="黑体" w:hAnsi="黑体" w:hint="eastAsia"/>
          <w:b w:val="0"/>
        </w:rPr>
        <w:lastRenderedPageBreak/>
        <w:t xml:space="preserve">第一部分 </w:t>
      </w:r>
      <w:r>
        <w:rPr>
          <w:rStyle w:val="1Char"/>
          <w:rFonts w:ascii="黑体" w:eastAsia="黑体" w:hAnsi="黑体" w:hint="eastAsia"/>
        </w:rPr>
        <w:t>部门概况</w:t>
      </w:r>
      <w:bookmarkEnd w:id="12"/>
      <w:bookmarkEnd w:id="13"/>
    </w:p>
    <w:p w:rsidR="00FC5B9A" w:rsidRDefault="00FC5B9A">
      <w:pPr>
        <w:widowControl/>
        <w:jc w:val="left"/>
        <w:rPr>
          <w:rFonts w:ascii="黑体" w:eastAsia="黑体"/>
          <w:sz w:val="32"/>
          <w:szCs w:val="32"/>
        </w:rPr>
      </w:pPr>
    </w:p>
    <w:p w:rsidR="00FC5B9A" w:rsidRDefault="00A50BEA">
      <w:pPr>
        <w:pStyle w:val="2"/>
        <w:numPr>
          <w:ilvl w:val="0"/>
          <w:numId w:val="1"/>
        </w:numPr>
        <w:rPr>
          <w:rFonts w:ascii="黑体" w:eastAsia="黑体" w:hAnsi="黑体"/>
          <w:b w:val="0"/>
        </w:rPr>
      </w:pPr>
      <w:r>
        <w:rPr>
          <w:rFonts w:ascii="黑体" w:eastAsia="黑体" w:hAnsi="黑体" w:hint="eastAsia"/>
          <w:b w:val="0"/>
        </w:rPr>
        <w:t>部门职责</w:t>
      </w:r>
    </w:p>
    <w:p w:rsidR="00FC5B9A" w:rsidRDefault="00A50BEA">
      <w:pPr>
        <w:ind w:firstLineChars="200" w:firstLine="640"/>
        <w:rPr>
          <w:rFonts w:ascii="仿宋" w:eastAsia="仿宋" w:hAnsi="仿宋"/>
        </w:rPr>
      </w:pPr>
      <w:r>
        <w:rPr>
          <w:rFonts w:ascii="仿宋" w:eastAsia="仿宋" w:hAnsi="仿宋" w:hint="eastAsia"/>
          <w:sz w:val="32"/>
          <w:szCs w:val="32"/>
        </w:rPr>
        <w:t>负责融媒体服务相关事务性工作。</w:t>
      </w:r>
    </w:p>
    <w:p w:rsidR="00FC5B9A" w:rsidRDefault="00A50BEA">
      <w:pPr>
        <w:pStyle w:val="2"/>
        <w:rPr>
          <w:rStyle w:val="2Char"/>
        </w:rPr>
      </w:pPr>
      <w:bookmarkStart w:id="14" w:name="_Toc15396601"/>
      <w:bookmarkStart w:id="15" w:name="_Toc15377200"/>
      <w:r>
        <w:rPr>
          <w:rFonts w:ascii="黑体" w:eastAsia="黑体" w:hint="eastAsia"/>
          <w:b w:val="0"/>
        </w:rPr>
        <w:t>二、</w:t>
      </w:r>
      <w:r>
        <w:rPr>
          <w:rFonts w:ascii="黑体" w:eastAsia="黑体" w:hAnsi="黑体" w:hint="eastAsia"/>
          <w:b w:val="0"/>
        </w:rPr>
        <w:t>机</w:t>
      </w:r>
      <w:r>
        <w:rPr>
          <w:rStyle w:val="2Char"/>
          <w:rFonts w:ascii="黑体" w:eastAsia="黑体" w:hAnsi="黑体" w:hint="eastAsia"/>
        </w:rPr>
        <w:t>构设置</w:t>
      </w:r>
      <w:bookmarkEnd w:id="14"/>
      <w:bookmarkEnd w:id="15"/>
    </w:p>
    <w:p w:rsidR="00FC5B9A" w:rsidRDefault="00A50BEA">
      <w:pPr>
        <w:ind w:firstLineChars="250" w:firstLine="800"/>
        <w:rPr>
          <w:rFonts w:ascii="仿宋" w:eastAsia="仿宋" w:hAnsi="仿宋"/>
          <w:sz w:val="32"/>
          <w:szCs w:val="32"/>
        </w:rPr>
      </w:pPr>
      <w:r>
        <w:rPr>
          <w:rFonts w:ascii="仿宋" w:eastAsia="仿宋" w:hAnsi="仿宋" w:hint="eastAsia"/>
          <w:sz w:val="32"/>
          <w:szCs w:val="32"/>
        </w:rPr>
        <w:t>盐边县融媒体中心下属二级预算单位0个，其中行政单位0个，参照公务员法管理的事业单位</w:t>
      </w:r>
      <w:r>
        <w:rPr>
          <w:rFonts w:ascii="仿宋" w:eastAsia="仿宋" w:hAnsi="仿宋" w:hint="eastAsia"/>
          <w:bCs/>
          <w:sz w:val="32"/>
          <w:szCs w:val="32"/>
        </w:rPr>
        <w:t>0</w:t>
      </w:r>
      <w:r>
        <w:rPr>
          <w:rFonts w:ascii="仿宋" w:eastAsia="仿宋" w:hAnsi="仿宋" w:hint="eastAsia"/>
          <w:sz w:val="32"/>
          <w:szCs w:val="32"/>
        </w:rPr>
        <w:t>个，其他事业单位0个。盐边县融媒体中心属县委直属事业单位，由县委宣传部代管，机构类别为公益一类，经费形式全额拨款。纳入预算编制范围的机构个数1个，单位内设机构4个，分别是：办公室、运维股、采编股、播发股。</w:t>
      </w:r>
    </w:p>
    <w:p w:rsidR="00FC5B9A" w:rsidRDefault="00FC5B9A">
      <w:pPr>
        <w:pStyle w:val="a0"/>
        <w:spacing w:before="93"/>
      </w:pPr>
    </w:p>
    <w:p w:rsidR="00FC5B9A" w:rsidRDefault="00A50BEA">
      <w:pPr>
        <w:widowControl/>
        <w:jc w:val="left"/>
        <w:rPr>
          <w:rFonts w:ascii="仿宋" w:eastAsia="仿宋" w:hAnsi="仿宋"/>
          <w:kern w:val="0"/>
          <w:sz w:val="32"/>
          <w:szCs w:val="32"/>
        </w:rPr>
      </w:pPr>
      <w:r>
        <w:rPr>
          <w:rFonts w:ascii="仿宋" w:eastAsia="仿宋" w:hAnsi="仿宋"/>
          <w:sz w:val="32"/>
          <w:szCs w:val="32"/>
        </w:rPr>
        <w:br w:type="page"/>
      </w:r>
    </w:p>
    <w:p w:rsidR="00FC5B9A" w:rsidRDefault="00A50BEA">
      <w:pPr>
        <w:pStyle w:val="1"/>
        <w:ind w:right="440"/>
        <w:jc w:val="center"/>
        <w:rPr>
          <w:rStyle w:val="1Char"/>
          <w:rFonts w:ascii="黑体" w:eastAsia="黑体" w:hAnsi="黑体"/>
          <w:bCs/>
        </w:rPr>
      </w:pPr>
      <w:bookmarkStart w:id="16" w:name="_Toc15377204"/>
      <w:bookmarkStart w:id="17" w:name="_Toc15396602"/>
      <w:r>
        <w:rPr>
          <w:rFonts w:ascii="黑体" w:eastAsia="黑体" w:hAnsi="黑体" w:hint="eastAsia"/>
          <w:b w:val="0"/>
        </w:rPr>
        <w:lastRenderedPageBreak/>
        <w:t>第二部分 2022年度</w:t>
      </w:r>
      <w:r>
        <w:rPr>
          <w:rStyle w:val="1Char"/>
          <w:rFonts w:ascii="黑体" w:eastAsia="黑体" w:hAnsi="黑体" w:hint="eastAsia"/>
          <w:bCs/>
        </w:rPr>
        <w:t>部门决算情况说明</w:t>
      </w:r>
      <w:bookmarkEnd w:id="16"/>
      <w:bookmarkEnd w:id="17"/>
    </w:p>
    <w:p w:rsidR="00FC5B9A" w:rsidRDefault="00FC5B9A"/>
    <w:p w:rsidR="00FC5B9A" w:rsidRDefault="00A50BEA">
      <w:pPr>
        <w:pStyle w:val="ab"/>
        <w:numPr>
          <w:ilvl w:val="0"/>
          <w:numId w:val="2"/>
        </w:numPr>
        <w:spacing w:line="600" w:lineRule="exact"/>
        <w:ind w:firstLineChars="0"/>
        <w:outlineLvl w:val="1"/>
        <w:rPr>
          <w:rStyle w:val="2Char"/>
          <w:rFonts w:ascii="黑体" w:eastAsia="黑体" w:hAnsi="黑体"/>
          <w:b w:val="0"/>
        </w:rPr>
      </w:pPr>
      <w:bookmarkStart w:id="18" w:name="_Toc15396603"/>
      <w:bookmarkStart w:id="19" w:name="_Toc15377205"/>
      <w:r>
        <w:rPr>
          <w:rFonts w:ascii="黑体" w:eastAsia="黑体" w:hAnsi="黑体" w:hint="eastAsia"/>
          <w:sz w:val="32"/>
          <w:szCs w:val="32"/>
        </w:rPr>
        <w:t>收</w:t>
      </w:r>
      <w:r>
        <w:rPr>
          <w:rStyle w:val="2Char"/>
          <w:rFonts w:ascii="黑体" w:eastAsia="黑体" w:hAnsi="黑体" w:hint="eastAsia"/>
          <w:b w:val="0"/>
        </w:rPr>
        <w:t>入支出决算总体情况说明</w:t>
      </w:r>
      <w:bookmarkEnd w:id="18"/>
      <w:bookmarkEnd w:id="19"/>
    </w:p>
    <w:p w:rsidR="00FC5B9A" w:rsidRDefault="00A50BEA">
      <w:pPr>
        <w:spacing w:line="600" w:lineRule="exact"/>
        <w:ind w:firstLineChars="200" w:firstLine="640"/>
        <w:rPr>
          <w:rFonts w:ascii="仿宋" w:eastAsia="仿宋" w:hAnsi="仿宋"/>
          <w:sz w:val="32"/>
          <w:szCs w:val="32"/>
        </w:rPr>
      </w:pPr>
      <w:r>
        <w:rPr>
          <w:rFonts w:ascii="仿宋" w:eastAsia="仿宋" w:hAnsi="仿宋" w:hint="eastAsia"/>
          <w:sz w:val="32"/>
          <w:szCs w:val="32"/>
        </w:rPr>
        <w:t>2022年度收、支总计524.29万元。与2021年相比，收、支总计各增加37.46万元，增长7.14%。主要变动原因是增加人员工资调标补费、医疗保险调标补费及死亡抚恤支出。</w:t>
      </w:r>
    </w:p>
    <w:p w:rsidR="00FC5B9A" w:rsidRDefault="00A50BEA">
      <w:pPr>
        <w:spacing w:line="600" w:lineRule="exact"/>
        <w:ind w:firstLineChars="200" w:firstLine="640"/>
        <w:rPr>
          <w:rFonts w:ascii="仿宋" w:eastAsia="仿宋" w:hAnsi="仿宋"/>
          <w:sz w:val="32"/>
          <w:szCs w:val="32"/>
        </w:rPr>
      </w:pPr>
      <w:r>
        <w:rPr>
          <w:rFonts w:ascii="仿宋" w:eastAsia="仿宋" w:hAnsi="仿宋" w:hint="eastAsia"/>
          <w:sz w:val="32"/>
          <w:szCs w:val="32"/>
        </w:rPr>
        <w:t>（图1：收、支决算总计变动情况图）（柱状图）</w:t>
      </w:r>
    </w:p>
    <w:p w:rsidR="00FC5B9A" w:rsidRDefault="00A50BEA">
      <w:pPr>
        <w:pStyle w:val="a0"/>
        <w:spacing w:before="93"/>
      </w:pPr>
      <w:r>
        <w:rPr>
          <w:noProof/>
        </w:rPr>
        <w:drawing>
          <wp:inline distT="0" distB="0" distL="0" distR="0">
            <wp:extent cx="5153025" cy="2238375"/>
            <wp:effectExtent l="19050" t="0" r="9525" b="0"/>
            <wp:docPr id="5"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FC5B9A" w:rsidRDefault="00A50BEA">
      <w:pPr>
        <w:pStyle w:val="ab"/>
        <w:numPr>
          <w:ilvl w:val="0"/>
          <w:numId w:val="2"/>
        </w:numPr>
        <w:spacing w:line="600" w:lineRule="exact"/>
        <w:ind w:firstLineChars="0"/>
        <w:outlineLvl w:val="1"/>
        <w:rPr>
          <w:rStyle w:val="2Char"/>
          <w:rFonts w:ascii="黑体" w:eastAsia="黑体" w:hAnsi="黑体"/>
          <w:b w:val="0"/>
        </w:rPr>
      </w:pPr>
      <w:bookmarkStart w:id="20" w:name="_Toc15377206"/>
      <w:bookmarkStart w:id="21" w:name="_Toc15396604"/>
      <w:r>
        <w:rPr>
          <w:rFonts w:ascii="黑体" w:eastAsia="黑体" w:hAnsi="黑体" w:hint="eastAsia"/>
          <w:sz w:val="32"/>
          <w:szCs w:val="32"/>
        </w:rPr>
        <w:t>收</w:t>
      </w:r>
      <w:r>
        <w:rPr>
          <w:rStyle w:val="2Char"/>
          <w:rFonts w:ascii="黑体" w:eastAsia="黑体" w:hAnsi="黑体" w:hint="eastAsia"/>
          <w:b w:val="0"/>
        </w:rPr>
        <w:t>入决算情况说明</w:t>
      </w:r>
      <w:bookmarkEnd w:id="20"/>
      <w:bookmarkEnd w:id="21"/>
    </w:p>
    <w:p w:rsidR="00FC5B9A" w:rsidRDefault="00A50BEA">
      <w:pPr>
        <w:spacing w:line="600" w:lineRule="exact"/>
        <w:ind w:firstLineChars="200" w:firstLine="640"/>
        <w:outlineLvl w:val="1"/>
        <w:rPr>
          <w:rFonts w:ascii="仿宋" w:eastAsia="仿宋" w:hAnsi="仿宋"/>
          <w:sz w:val="32"/>
          <w:szCs w:val="32"/>
        </w:rPr>
      </w:pPr>
      <w:r>
        <w:rPr>
          <w:rFonts w:ascii="仿宋" w:eastAsia="仿宋" w:hAnsi="仿宋" w:hint="eastAsia"/>
          <w:sz w:val="32"/>
          <w:szCs w:val="32"/>
        </w:rPr>
        <w:t>2022年本年收入合计524.29万元，其中：一般公共预算财政拨款收入524.29万元，占100%；政府性基金预算财政拨款收入0万元，占0%；国有资本经营预算财政拨款收入0万元，占0%；上级补助收入0万元，占0%；事业收入0万元，占0%；经营收</w:t>
      </w:r>
      <w:bookmarkStart w:id="22" w:name="_GoBack"/>
      <w:bookmarkEnd w:id="22"/>
      <w:r>
        <w:rPr>
          <w:rFonts w:ascii="仿宋" w:eastAsia="仿宋" w:hAnsi="仿宋" w:hint="eastAsia"/>
          <w:sz w:val="32"/>
          <w:szCs w:val="32"/>
        </w:rPr>
        <w:t>入0万元，占0%；附属单位上缴收入0万元，占0%；其他收入0万元，占0%。</w:t>
      </w:r>
    </w:p>
    <w:p w:rsidR="00FC5B9A" w:rsidRDefault="00A50BEA">
      <w:pPr>
        <w:spacing w:line="600" w:lineRule="exact"/>
        <w:ind w:firstLineChars="200" w:firstLine="640"/>
        <w:rPr>
          <w:rFonts w:ascii="仿宋" w:eastAsia="仿宋" w:hAnsi="仿宋"/>
          <w:sz w:val="32"/>
          <w:szCs w:val="32"/>
        </w:rPr>
      </w:pPr>
      <w:r>
        <w:rPr>
          <w:rFonts w:ascii="仿宋" w:eastAsia="仿宋" w:hAnsi="仿宋" w:hint="eastAsia"/>
          <w:sz w:val="32"/>
          <w:szCs w:val="32"/>
        </w:rPr>
        <w:t>（图2：收入决算结构图）（饼状图）</w:t>
      </w:r>
    </w:p>
    <w:p w:rsidR="00FC5B9A" w:rsidRDefault="00A50BEA">
      <w:pPr>
        <w:pStyle w:val="a0"/>
        <w:spacing w:before="93"/>
        <w:ind w:firstLineChars="200" w:firstLine="600"/>
        <w:rPr>
          <w:rStyle w:val="2Char"/>
          <w:rFonts w:ascii="黑体" w:eastAsia="黑体" w:hAnsi="黑体"/>
          <w:b w:val="0"/>
        </w:rPr>
      </w:pPr>
      <w:r>
        <w:rPr>
          <w:noProof/>
        </w:rPr>
        <w:lastRenderedPageBreak/>
        <w:drawing>
          <wp:anchor distT="0" distB="0" distL="114300" distR="114300" simplePos="0" relativeHeight="251660288" behindDoc="0" locked="0" layoutInCell="1" allowOverlap="1">
            <wp:simplePos x="0" y="0"/>
            <wp:positionH relativeFrom="column">
              <wp:align>left</wp:align>
            </wp:positionH>
            <wp:positionV relativeFrom="paragraph">
              <wp:align>top</wp:align>
            </wp:positionV>
            <wp:extent cx="5153025" cy="2781300"/>
            <wp:effectExtent l="19050" t="0" r="9525" b="0"/>
            <wp:wrapSquare wrapText="bothSides"/>
            <wp:docPr id="9"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bookmarkStart w:id="23" w:name="_Toc15377207"/>
      <w:bookmarkStart w:id="24" w:name="_Toc15396605"/>
      <w:r>
        <w:rPr>
          <w:rFonts w:ascii="黑体" w:eastAsia="黑体" w:hAnsi="黑体" w:hint="eastAsia"/>
          <w:sz w:val="32"/>
          <w:szCs w:val="32"/>
        </w:rPr>
        <w:t>三、支</w:t>
      </w:r>
      <w:r>
        <w:rPr>
          <w:rStyle w:val="2Char"/>
          <w:rFonts w:ascii="黑体" w:eastAsia="黑体" w:hAnsi="黑体" w:hint="eastAsia"/>
          <w:b w:val="0"/>
        </w:rPr>
        <w:t>出决算情况说明</w:t>
      </w:r>
      <w:bookmarkEnd w:id="23"/>
      <w:bookmarkEnd w:id="24"/>
    </w:p>
    <w:p w:rsidR="00FC5B9A" w:rsidRDefault="00A50BEA">
      <w:pPr>
        <w:spacing w:line="600" w:lineRule="exact"/>
        <w:ind w:firstLineChars="200" w:firstLine="640"/>
        <w:outlineLvl w:val="1"/>
        <w:rPr>
          <w:rFonts w:ascii="仿宋" w:eastAsia="仿宋" w:hAnsi="仿宋"/>
          <w:sz w:val="32"/>
          <w:szCs w:val="32"/>
        </w:rPr>
      </w:pPr>
      <w:r>
        <w:rPr>
          <w:rFonts w:ascii="仿宋" w:eastAsia="仿宋" w:hAnsi="仿宋" w:hint="eastAsia"/>
          <w:sz w:val="32"/>
          <w:szCs w:val="32"/>
        </w:rPr>
        <w:t>2022年本年支出合计524.29万元，其中：基本支出518.12万元，占98.82%；项目支出6.17万元，占1.18%；上缴上级支出0万元，占0%；经营支出0万元，占0%；对附属单位补助支出0万元，占0%。</w:t>
      </w:r>
    </w:p>
    <w:p w:rsidR="00FC5B9A" w:rsidRDefault="00A50BEA">
      <w:pPr>
        <w:spacing w:line="600" w:lineRule="exact"/>
        <w:ind w:firstLineChars="500" w:firstLine="1600"/>
        <w:rPr>
          <w:rFonts w:ascii="仿宋" w:eastAsia="仿宋" w:hAnsi="仿宋"/>
          <w:sz w:val="32"/>
          <w:szCs w:val="32"/>
        </w:rPr>
      </w:pPr>
      <w:r>
        <w:rPr>
          <w:rFonts w:ascii="仿宋" w:eastAsia="仿宋" w:hAnsi="仿宋" w:hint="eastAsia"/>
          <w:sz w:val="32"/>
          <w:szCs w:val="32"/>
        </w:rPr>
        <w:t>（图3：支出决算结构图）（饼状图）</w:t>
      </w:r>
    </w:p>
    <w:p w:rsidR="00FC5B9A" w:rsidRDefault="00A50BEA">
      <w:pPr>
        <w:pStyle w:val="a0"/>
        <w:spacing w:before="93"/>
      </w:pPr>
      <w:r>
        <w:rPr>
          <w:noProof/>
        </w:rPr>
        <w:drawing>
          <wp:inline distT="0" distB="0" distL="0" distR="0">
            <wp:extent cx="5534025" cy="3095625"/>
            <wp:effectExtent l="19050" t="0" r="9525" b="0"/>
            <wp:docPr id="12"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FC5B9A" w:rsidRDefault="00FC5B9A">
      <w:pPr>
        <w:pStyle w:val="a0"/>
        <w:spacing w:before="93"/>
      </w:pPr>
    </w:p>
    <w:p w:rsidR="00FC5B9A" w:rsidRDefault="00A50BEA">
      <w:pPr>
        <w:spacing w:line="600" w:lineRule="exact"/>
        <w:ind w:firstLineChars="200" w:firstLine="640"/>
        <w:outlineLvl w:val="1"/>
        <w:rPr>
          <w:rStyle w:val="2Char"/>
          <w:rFonts w:ascii="黑体" w:eastAsia="黑体" w:hAnsi="黑体"/>
          <w:b w:val="0"/>
        </w:rPr>
      </w:pPr>
      <w:bookmarkStart w:id="25" w:name="_Toc15377208"/>
      <w:bookmarkStart w:id="26" w:name="_Toc15396606"/>
      <w:r>
        <w:rPr>
          <w:rFonts w:ascii="黑体" w:eastAsia="黑体" w:hAnsi="黑体" w:hint="eastAsia"/>
          <w:sz w:val="32"/>
          <w:szCs w:val="32"/>
        </w:rPr>
        <w:lastRenderedPageBreak/>
        <w:t>四、财</w:t>
      </w:r>
      <w:r>
        <w:rPr>
          <w:rStyle w:val="2Char"/>
          <w:rFonts w:ascii="黑体" w:eastAsia="黑体" w:hAnsi="黑体" w:hint="eastAsia"/>
          <w:b w:val="0"/>
        </w:rPr>
        <w:t>政拨款收入支出决算总体情况说明</w:t>
      </w:r>
      <w:bookmarkEnd w:id="25"/>
      <w:bookmarkEnd w:id="26"/>
    </w:p>
    <w:p w:rsidR="00FC5B9A" w:rsidRDefault="00A50BEA">
      <w:pPr>
        <w:spacing w:line="600" w:lineRule="exact"/>
        <w:ind w:firstLine="640"/>
        <w:rPr>
          <w:rFonts w:ascii="仿宋" w:eastAsia="仿宋" w:hAnsi="仿宋"/>
          <w:sz w:val="32"/>
          <w:szCs w:val="32"/>
        </w:rPr>
      </w:pPr>
      <w:r>
        <w:rPr>
          <w:rFonts w:ascii="仿宋" w:eastAsia="仿宋" w:hAnsi="仿宋" w:hint="eastAsia"/>
          <w:sz w:val="32"/>
          <w:szCs w:val="32"/>
        </w:rPr>
        <w:t>2022年财政拨款收、支总计524.29万元。与2021年相比，财政拨款收、支总计各增加37.46万元，增长7.14%。主要变动原因是增加人员工资调标补费、医疗保险调标补费及死亡抚恤支出。</w:t>
      </w:r>
    </w:p>
    <w:p w:rsidR="00FC5B9A" w:rsidRDefault="00A50BEA">
      <w:pPr>
        <w:spacing w:line="600" w:lineRule="exact"/>
        <w:ind w:firstLineChars="200" w:firstLine="640"/>
        <w:rPr>
          <w:rFonts w:ascii="仿宋" w:eastAsia="仿宋" w:hAnsi="仿宋"/>
          <w:sz w:val="32"/>
          <w:szCs w:val="32"/>
        </w:rPr>
      </w:pPr>
      <w:r>
        <w:rPr>
          <w:rFonts w:ascii="仿宋" w:eastAsia="仿宋" w:hAnsi="仿宋" w:hint="eastAsia"/>
          <w:sz w:val="32"/>
          <w:szCs w:val="32"/>
        </w:rPr>
        <w:t>（图4：财政拨款收、支决算总计变动情况）（柱状图）</w:t>
      </w:r>
    </w:p>
    <w:p w:rsidR="00FC5B9A" w:rsidRDefault="00A50BEA">
      <w:pPr>
        <w:pStyle w:val="a0"/>
        <w:spacing w:before="93"/>
      </w:pPr>
      <w:r>
        <w:rPr>
          <w:noProof/>
        </w:rPr>
        <w:drawing>
          <wp:inline distT="0" distB="0" distL="0" distR="0">
            <wp:extent cx="5274310" cy="2343150"/>
            <wp:effectExtent l="19050" t="0" r="21590" b="0"/>
            <wp:docPr id="14"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FC5B9A" w:rsidRDefault="00A50BEA">
      <w:pPr>
        <w:spacing w:line="600" w:lineRule="exact"/>
        <w:ind w:firstLineChars="200" w:firstLine="640"/>
        <w:outlineLvl w:val="1"/>
        <w:rPr>
          <w:rStyle w:val="2Char"/>
          <w:rFonts w:ascii="黑体" w:eastAsia="黑体" w:hAnsi="黑体"/>
          <w:b w:val="0"/>
        </w:rPr>
      </w:pPr>
      <w:bookmarkStart w:id="27" w:name="_Toc15396607"/>
      <w:bookmarkStart w:id="28" w:name="_Toc15377209"/>
      <w:r>
        <w:rPr>
          <w:rFonts w:ascii="黑体" w:eastAsia="黑体" w:hAnsi="黑体" w:hint="eastAsia"/>
          <w:sz w:val="32"/>
          <w:szCs w:val="32"/>
        </w:rPr>
        <w:t>五、</w:t>
      </w:r>
      <w:r>
        <w:rPr>
          <w:rFonts w:ascii="黑体" w:eastAsia="黑体" w:hAnsi="黑体" w:hint="eastAsia"/>
          <w:b/>
          <w:sz w:val="32"/>
          <w:szCs w:val="32"/>
        </w:rPr>
        <w:t>一</w:t>
      </w:r>
      <w:r>
        <w:rPr>
          <w:rStyle w:val="2Char"/>
          <w:rFonts w:ascii="黑体" w:eastAsia="黑体" w:hAnsi="黑体" w:hint="eastAsia"/>
          <w:b w:val="0"/>
        </w:rPr>
        <w:t>般公共预算财政拨款支出决算情况说明</w:t>
      </w:r>
      <w:bookmarkEnd w:id="27"/>
      <w:bookmarkEnd w:id="28"/>
    </w:p>
    <w:p w:rsidR="00FC5B9A" w:rsidRDefault="00A50BEA">
      <w:pPr>
        <w:spacing w:line="600" w:lineRule="exact"/>
        <w:ind w:firstLineChars="200" w:firstLine="643"/>
        <w:outlineLvl w:val="2"/>
        <w:rPr>
          <w:rFonts w:ascii="仿宋" w:eastAsia="仿宋" w:hAnsi="仿宋"/>
          <w:b/>
          <w:sz w:val="32"/>
          <w:szCs w:val="32"/>
        </w:rPr>
      </w:pPr>
      <w:bookmarkStart w:id="29" w:name="_Toc15377210"/>
      <w:r>
        <w:rPr>
          <w:rFonts w:ascii="仿宋" w:eastAsia="仿宋" w:hAnsi="仿宋" w:hint="eastAsia"/>
          <w:b/>
          <w:sz w:val="32"/>
          <w:szCs w:val="32"/>
        </w:rPr>
        <w:t>（一）一般公共预算财政拨款支出决算总体情况</w:t>
      </w:r>
      <w:bookmarkEnd w:id="29"/>
    </w:p>
    <w:p w:rsidR="00FC5B9A" w:rsidRDefault="00A50BEA">
      <w:pPr>
        <w:spacing w:line="600" w:lineRule="exact"/>
        <w:ind w:firstLineChars="200" w:firstLine="640"/>
        <w:rPr>
          <w:rFonts w:ascii="仿宋" w:eastAsia="仿宋" w:hAnsi="仿宋"/>
          <w:sz w:val="32"/>
          <w:szCs w:val="32"/>
        </w:rPr>
      </w:pPr>
      <w:r>
        <w:rPr>
          <w:rFonts w:ascii="仿宋" w:eastAsia="仿宋" w:hAnsi="仿宋" w:hint="eastAsia"/>
          <w:sz w:val="32"/>
          <w:szCs w:val="32"/>
        </w:rPr>
        <w:t>2022年一般公共预算财政拨款支出524.29万元，占本年支出合计的100%。与2021年相比，一般公共预算财政拨款支出增加37.46万元，增长7.14%。主要变动原因是增加人员工资调标补费、医疗保险调标补费及死亡抚恤支出。</w:t>
      </w:r>
    </w:p>
    <w:p w:rsidR="00FC5B9A" w:rsidRDefault="00A50BEA">
      <w:pPr>
        <w:spacing w:line="600" w:lineRule="exact"/>
        <w:ind w:firstLineChars="200" w:firstLine="640"/>
        <w:rPr>
          <w:rFonts w:ascii="仿宋" w:eastAsia="仿宋" w:hAnsi="仿宋"/>
          <w:sz w:val="32"/>
          <w:szCs w:val="32"/>
        </w:rPr>
      </w:pPr>
      <w:r>
        <w:rPr>
          <w:rFonts w:ascii="仿宋" w:eastAsia="仿宋" w:hAnsi="仿宋" w:hint="eastAsia"/>
          <w:sz w:val="32"/>
          <w:szCs w:val="32"/>
        </w:rPr>
        <w:t>（图5：一般公共预算财政拨款支出决算变动情况）（柱状图）</w:t>
      </w:r>
    </w:p>
    <w:p w:rsidR="00FC5B9A" w:rsidRDefault="00FC5B9A">
      <w:pPr>
        <w:spacing w:line="600" w:lineRule="exact"/>
        <w:rPr>
          <w:rFonts w:ascii="仿宋" w:eastAsia="仿宋" w:hAnsi="仿宋"/>
          <w:sz w:val="32"/>
          <w:szCs w:val="32"/>
        </w:rPr>
      </w:pPr>
    </w:p>
    <w:p w:rsidR="00FC5B9A" w:rsidRDefault="00A50BEA">
      <w:pPr>
        <w:pStyle w:val="a0"/>
        <w:spacing w:before="93"/>
      </w:pPr>
      <w:r>
        <w:rPr>
          <w:noProof/>
        </w:rPr>
        <w:lastRenderedPageBreak/>
        <w:drawing>
          <wp:inline distT="0" distB="0" distL="0" distR="0">
            <wp:extent cx="5429250" cy="2428875"/>
            <wp:effectExtent l="19050" t="0" r="19050" b="0"/>
            <wp:docPr id="15"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FC5B9A" w:rsidRDefault="00A50BEA">
      <w:pPr>
        <w:spacing w:line="600" w:lineRule="exact"/>
        <w:ind w:firstLineChars="200" w:firstLine="643"/>
        <w:outlineLvl w:val="2"/>
        <w:rPr>
          <w:rFonts w:ascii="仿宋" w:eastAsia="仿宋" w:hAnsi="仿宋"/>
          <w:b/>
          <w:sz w:val="32"/>
          <w:szCs w:val="32"/>
        </w:rPr>
      </w:pPr>
      <w:bookmarkStart w:id="30" w:name="_Toc15377211"/>
      <w:r>
        <w:rPr>
          <w:rFonts w:ascii="仿宋" w:eastAsia="仿宋" w:hAnsi="仿宋" w:hint="eastAsia"/>
          <w:b/>
          <w:sz w:val="32"/>
          <w:szCs w:val="32"/>
        </w:rPr>
        <w:t>（二）一般公共预算财政拨款支出决算结构情况</w:t>
      </w:r>
      <w:bookmarkEnd w:id="30"/>
    </w:p>
    <w:p w:rsidR="00FC5B9A" w:rsidRDefault="00A50BEA">
      <w:pPr>
        <w:spacing w:line="600" w:lineRule="exact"/>
        <w:ind w:firstLine="640"/>
        <w:rPr>
          <w:rFonts w:ascii="仿宋" w:eastAsia="仿宋" w:hAnsi="仿宋"/>
          <w:sz w:val="32"/>
          <w:szCs w:val="32"/>
        </w:rPr>
      </w:pPr>
      <w:r>
        <w:rPr>
          <w:rFonts w:ascii="仿宋" w:eastAsia="仿宋" w:hAnsi="仿宋" w:hint="eastAsia"/>
          <w:sz w:val="32"/>
          <w:szCs w:val="32"/>
        </w:rPr>
        <w:t>2022年一般公共预算财政拨款支出524.29万元，主要用于以下方面:一般公共服务</w:t>
      </w:r>
      <w:r>
        <w:rPr>
          <w:rFonts w:ascii="仿宋" w:eastAsia="仿宋" w:hAnsi="仿宋" w:hint="eastAsia"/>
          <w:bCs/>
          <w:sz w:val="32"/>
          <w:szCs w:val="32"/>
        </w:rPr>
        <w:t>支出</w:t>
      </w:r>
      <w:r>
        <w:rPr>
          <w:rFonts w:ascii="仿宋" w:eastAsia="仿宋" w:hAnsi="仿宋" w:hint="eastAsia"/>
          <w:sz w:val="32"/>
          <w:szCs w:val="32"/>
        </w:rPr>
        <w:t>4.12万元，占0.78%；</w:t>
      </w:r>
      <w:r>
        <w:rPr>
          <w:rFonts w:ascii="仿宋" w:eastAsia="仿宋" w:hAnsi="仿宋" w:hint="eastAsia"/>
          <w:bCs/>
          <w:sz w:val="32"/>
          <w:szCs w:val="32"/>
        </w:rPr>
        <w:t>文化旅游体育与传媒支出410.98万元，占78.39%</w:t>
      </w:r>
      <w:r>
        <w:rPr>
          <w:rFonts w:ascii="仿宋" w:eastAsia="仿宋" w:hAnsi="仿宋" w:hint="eastAsia"/>
          <w:sz w:val="32"/>
          <w:szCs w:val="32"/>
        </w:rPr>
        <w:t>；社会保障和就业</w:t>
      </w:r>
      <w:r>
        <w:rPr>
          <w:rFonts w:ascii="仿宋" w:eastAsia="仿宋" w:hAnsi="仿宋" w:hint="eastAsia"/>
          <w:bCs/>
          <w:sz w:val="32"/>
          <w:szCs w:val="32"/>
        </w:rPr>
        <w:t>支出</w:t>
      </w:r>
      <w:r>
        <w:rPr>
          <w:rFonts w:ascii="仿宋" w:eastAsia="仿宋" w:hAnsi="仿宋" w:hint="eastAsia"/>
          <w:sz w:val="32"/>
          <w:szCs w:val="32"/>
        </w:rPr>
        <w:t>52万元，占9.92%；</w:t>
      </w:r>
      <w:r>
        <w:rPr>
          <w:rFonts w:ascii="仿宋" w:eastAsia="仿宋" w:hAnsi="仿宋" w:hint="eastAsia"/>
          <w:bCs/>
          <w:sz w:val="32"/>
          <w:szCs w:val="32"/>
        </w:rPr>
        <w:t>卫生健康支出</w:t>
      </w:r>
      <w:r>
        <w:rPr>
          <w:rFonts w:ascii="仿宋" w:eastAsia="仿宋" w:hAnsi="仿宋" w:hint="eastAsia"/>
          <w:sz w:val="32"/>
          <w:szCs w:val="32"/>
        </w:rPr>
        <w:t>29.23万元，占5.58%；</w:t>
      </w:r>
      <w:r>
        <w:rPr>
          <w:rFonts w:ascii="仿宋" w:eastAsia="仿宋" w:hAnsi="仿宋" w:hint="eastAsia"/>
          <w:bCs/>
          <w:sz w:val="32"/>
          <w:szCs w:val="32"/>
        </w:rPr>
        <w:t>住房保障支出</w:t>
      </w:r>
      <w:r>
        <w:rPr>
          <w:rFonts w:ascii="仿宋" w:eastAsia="仿宋" w:hAnsi="仿宋" w:hint="eastAsia"/>
          <w:sz w:val="32"/>
          <w:szCs w:val="32"/>
        </w:rPr>
        <w:t>27.96万元，占5.33%。</w:t>
      </w:r>
    </w:p>
    <w:p w:rsidR="00FC5B9A" w:rsidRDefault="00A50BEA">
      <w:pPr>
        <w:spacing w:line="600" w:lineRule="exact"/>
        <w:ind w:firstLineChars="200" w:firstLine="640"/>
        <w:rPr>
          <w:rFonts w:ascii="仿宋" w:eastAsia="仿宋" w:hAnsi="仿宋"/>
          <w:sz w:val="32"/>
          <w:szCs w:val="32"/>
        </w:rPr>
      </w:pPr>
      <w:r>
        <w:rPr>
          <w:rFonts w:ascii="仿宋" w:eastAsia="仿宋" w:hAnsi="仿宋" w:hint="eastAsia"/>
          <w:sz w:val="32"/>
          <w:szCs w:val="32"/>
        </w:rPr>
        <w:t>（图6：一般公共预算财政拨款支出决算结构）（饼状图）</w:t>
      </w:r>
    </w:p>
    <w:p w:rsidR="00FC5B9A" w:rsidRDefault="00A50BEA">
      <w:pPr>
        <w:pStyle w:val="a0"/>
        <w:spacing w:before="93"/>
      </w:pPr>
      <w:r>
        <w:rPr>
          <w:noProof/>
        </w:rPr>
        <w:drawing>
          <wp:inline distT="0" distB="0" distL="0" distR="0">
            <wp:extent cx="5274310" cy="3429000"/>
            <wp:effectExtent l="19050" t="0" r="21590" b="0"/>
            <wp:docPr id="19"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FC5B9A" w:rsidRDefault="00A50BEA">
      <w:pPr>
        <w:spacing w:line="600" w:lineRule="exact"/>
        <w:ind w:firstLineChars="200" w:firstLine="643"/>
        <w:outlineLvl w:val="2"/>
        <w:rPr>
          <w:rFonts w:ascii="仿宋" w:eastAsia="仿宋" w:hAnsi="仿宋"/>
          <w:b/>
          <w:sz w:val="32"/>
          <w:szCs w:val="32"/>
        </w:rPr>
      </w:pPr>
      <w:bookmarkStart w:id="31" w:name="_Toc15377212"/>
      <w:r>
        <w:rPr>
          <w:rFonts w:ascii="仿宋" w:eastAsia="仿宋" w:hAnsi="仿宋" w:hint="eastAsia"/>
          <w:b/>
          <w:sz w:val="32"/>
          <w:szCs w:val="32"/>
        </w:rPr>
        <w:lastRenderedPageBreak/>
        <w:t>（三）一般公共预算财政拨款支出决算具体情况</w:t>
      </w:r>
      <w:bookmarkEnd w:id="31"/>
    </w:p>
    <w:p w:rsidR="00FC5B9A" w:rsidRPr="00856741" w:rsidRDefault="00A50BEA" w:rsidP="00856741">
      <w:pPr>
        <w:spacing w:line="600" w:lineRule="exact"/>
        <w:ind w:firstLineChars="200" w:firstLine="640"/>
        <w:outlineLvl w:val="2"/>
        <w:rPr>
          <w:rFonts w:ascii="仿宋" w:eastAsia="仿宋" w:hAnsi="仿宋"/>
          <w:b/>
          <w:sz w:val="32"/>
          <w:szCs w:val="32"/>
        </w:rPr>
      </w:pPr>
      <w:bookmarkStart w:id="32" w:name="_Toc15377213"/>
      <w:bookmarkStart w:id="33" w:name="_Toc15377444"/>
      <w:bookmarkStart w:id="34" w:name="_Toc15378460"/>
      <w:r w:rsidRPr="00856741">
        <w:rPr>
          <w:rFonts w:ascii="仿宋" w:eastAsia="仿宋" w:hAnsi="仿宋" w:hint="eastAsia"/>
          <w:sz w:val="32"/>
          <w:szCs w:val="32"/>
        </w:rPr>
        <w:t>2022年一般公共预算支出决算数为524.29，</w:t>
      </w:r>
      <w:r w:rsidRPr="00856741">
        <w:rPr>
          <w:rStyle w:val="a9"/>
          <w:rFonts w:ascii="仿宋" w:eastAsia="仿宋" w:hAnsi="仿宋" w:hint="eastAsia"/>
          <w:b w:val="0"/>
          <w:bCs/>
          <w:sz w:val="32"/>
          <w:szCs w:val="32"/>
        </w:rPr>
        <w:t>完成预算100</w:t>
      </w:r>
      <w:r w:rsidRPr="00856741">
        <w:rPr>
          <w:rStyle w:val="a9"/>
          <w:rFonts w:ascii="仿宋" w:eastAsia="仿宋" w:hAnsi="仿宋"/>
          <w:b w:val="0"/>
          <w:bCs/>
          <w:sz w:val="32"/>
          <w:szCs w:val="32"/>
        </w:rPr>
        <w:t>%</w:t>
      </w:r>
      <w:r w:rsidRPr="00856741">
        <w:rPr>
          <w:rStyle w:val="a9"/>
          <w:rFonts w:ascii="仿宋" w:eastAsia="仿宋" w:hAnsi="仿宋" w:hint="eastAsia"/>
          <w:b w:val="0"/>
          <w:bCs/>
          <w:sz w:val="32"/>
          <w:szCs w:val="32"/>
        </w:rPr>
        <w:t>。其中：</w:t>
      </w:r>
      <w:bookmarkEnd w:id="32"/>
      <w:bookmarkEnd w:id="33"/>
      <w:bookmarkEnd w:id="34"/>
    </w:p>
    <w:p w:rsidR="00FC5B9A" w:rsidRDefault="00A50BEA" w:rsidP="00856741">
      <w:pPr>
        <w:spacing w:line="600" w:lineRule="exact"/>
        <w:ind w:firstLineChars="200" w:firstLine="640"/>
        <w:rPr>
          <w:rFonts w:ascii="仿宋_GB2312" w:eastAsia="仿宋_GB2312" w:hAnsi="仿宋"/>
          <w:b/>
          <w:sz w:val="32"/>
          <w:szCs w:val="32"/>
        </w:rPr>
      </w:pPr>
      <w:r w:rsidRPr="00856741">
        <w:rPr>
          <w:rStyle w:val="a9"/>
          <w:rFonts w:ascii="仿宋" w:eastAsia="仿宋" w:hAnsi="仿宋"/>
          <w:b w:val="0"/>
          <w:bCs/>
          <w:sz w:val="32"/>
          <w:szCs w:val="32"/>
        </w:rPr>
        <w:t>1.</w:t>
      </w:r>
      <w:r w:rsidRPr="00856741">
        <w:rPr>
          <w:rStyle w:val="a9"/>
          <w:rFonts w:ascii="仿宋" w:eastAsia="仿宋" w:hAnsi="仿宋" w:hint="eastAsia"/>
          <w:b w:val="0"/>
          <w:bCs/>
          <w:sz w:val="32"/>
          <w:szCs w:val="32"/>
        </w:rPr>
        <w:t>一般公共服务（类）民</w:t>
      </w:r>
      <w:r w:rsidRPr="00856741">
        <w:rPr>
          <w:rStyle w:val="a9"/>
          <w:rFonts w:ascii="仿宋" w:eastAsia="仿宋" w:hAnsi="仿宋"/>
          <w:b w:val="0"/>
          <w:bCs/>
          <w:sz w:val="32"/>
          <w:szCs w:val="32"/>
        </w:rPr>
        <w:t>族</w:t>
      </w:r>
      <w:r w:rsidRPr="00856741">
        <w:rPr>
          <w:rStyle w:val="a9"/>
          <w:rFonts w:ascii="仿宋" w:eastAsia="仿宋" w:hAnsi="仿宋" w:hint="eastAsia"/>
          <w:b w:val="0"/>
          <w:bCs/>
          <w:sz w:val="32"/>
          <w:szCs w:val="32"/>
        </w:rPr>
        <w:t>事务（款）民</w:t>
      </w:r>
      <w:r w:rsidRPr="00856741">
        <w:rPr>
          <w:rStyle w:val="a9"/>
          <w:rFonts w:ascii="仿宋" w:eastAsia="仿宋" w:hAnsi="仿宋"/>
          <w:b w:val="0"/>
          <w:bCs/>
          <w:sz w:val="32"/>
          <w:szCs w:val="32"/>
        </w:rPr>
        <w:t>族</w:t>
      </w:r>
      <w:r w:rsidRPr="00856741">
        <w:rPr>
          <w:rStyle w:val="a9"/>
          <w:rFonts w:ascii="仿宋" w:eastAsia="仿宋" w:hAnsi="仿宋" w:hint="eastAsia"/>
          <w:b w:val="0"/>
          <w:bCs/>
          <w:sz w:val="32"/>
          <w:szCs w:val="32"/>
        </w:rPr>
        <w:t>工作专项（项）</w:t>
      </w:r>
      <w:r w:rsidRPr="00856741">
        <w:rPr>
          <w:rStyle w:val="a9"/>
          <w:rFonts w:ascii="仿宋" w:eastAsia="仿宋" w:hAnsi="仿宋"/>
          <w:b w:val="0"/>
          <w:bCs/>
          <w:sz w:val="32"/>
          <w:szCs w:val="32"/>
        </w:rPr>
        <w:t>:</w:t>
      </w:r>
      <w:r>
        <w:rPr>
          <w:rStyle w:val="a9"/>
          <w:rFonts w:ascii="仿宋" w:eastAsia="仿宋" w:hAnsi="仿宋" w:hint="eastAsia"/>
          <w:b w:val="0"/>
          <w:bCs/>
          <w:sz w:val="32"/>
          <w:szCs w:val="32"/>
        </w:rPr>
        <w:t>支出决算为4.12万元，完成预算100%，决算数等于预算数。</w:t>
      </w:r>
    </w:p>
    <w:p w:rsidR="00FC5B9A" w:rsidRDefault="00A50BEA" w:rsidP="00856741">
      <w:pPr>
        <w:spacing w:line="600" w:lineRule="exact"/>
        <w:ind w:firstLineChars="200" w:firstLine="640"/>
        <w:rPr>
          <w:rStyle w:val="a9"/>
          <w:rFonts w:ascii="仿宋" w:eastAsia="仿宋" w:hAnsi="仿宋"/>
          <w:b w:val="0"/>
          <w:bCs/>
          <w:sz w:val="32"/>
          <w:szCs w:val="32"/>
        </w:rPr>
      </w:pPr>
      <w:r w:rsidRPr="00856741">
        <w:rPr>
          <w:rStyle w:val="a9"/>
          <w:rFonts w:ascii="仿宋" w:eastAsia="仿宋" w:hAnsi="仿宋"/>
          <w:b w:val="0"/>
          <w:bCs/>
          <w:sz w:val="32"/>
          <w:szCs w:val="32"/>
        </w:rPr>
        <w:t>2.</w:t>
      </w:r>
      <w:r w:rsidRPr="00856741">
        <w:rPr>
          <w:rStyle w:val="a9"/>
          <w:rFonts w:ascii="仿宋" w:eastAsia="仿宋" w:hAnsi="仿宋" w:hint="eastAsia"/>
          <w:b w:val="0"/>
          <w:bCs/>
          <w:sz w:val="32"/>
          <w:szCs w:val="32"/>
        </w:rPr>
        <w:t>文化旅游体育与传媒（类）广播</w:t>
      </w:r>
      <w:r w:rsidRPr="00856741">
        <w:rPr>
          <w:rStyle w:val="a9"/>
          <w:rFonts w:ascii="仿宋" w:eastAsia="仿宋" w:hAnsi="仿宋"/>
          <w:b w:val="0"/>
          <w:bCs/>
          <w:sz w:val="32"/>
          <w:szCs w:val="32"/>
        </w:rPr>
        <w:t>电视</w:t>
      </w:r>
      <w:r w:rsidRPr="00856741">
        <w:rPr>
          <w:rStyle w:val="a9"/>
          <w:rFonts w:ascii="仿宋" w:eastAsia="仿宋" w:hAnsi="仿宋" w:hint="eastAsia"/>
          <w:b w:val="0"/>
          <w:bCs/>
          <w:sz w:val="32"/>
          <w:szCs w:val="32"/>
        </w:rPr>
        <w:t>（款）广播</w:t>
      </w:r>
      <w:r w:rsidRPr="00856741">
        <w:rPr>
          <w:rStyle w:val="a9"/>
          <w:rFonts w:ascii="仿宋" w:eastAsia="仿宋" w:hAnsi="仿宋"/>
          <w:b w:val="0"/>
          <w:bCs/>
          <w:sz w:val="32"/>
          <w:szCs w:val="32"/>
        </w:rPr>
        <w:t>电视事务</w:t>
      </w:r>
      <w:r w:rsidRPr="00856741">
        <w:rPr>
          <w:rStyle w:val="a9"/>
          <w:rFonts w:ascii="仿宋" w:eastAsia="仿宋" w:hAnsi="仿宋" w:hint="eastAsia"/>
          <w:b w:val="0"/>
          <w:bCs/>
          <w:sz w:val="32"/>
          <w:szCs w:val="32"/>
        </w:rPr>
        <w:t>（项）</w:t>
      </w:r>
      <w:r w:rsidRPr="00856741">
        <w:rPr>
          <w:rStyle w:val="a9"/>
          <w:rFonts w:ascii="仿宋" w:eastAsia="仿宋" w:hAnsi="仿宋"/>
          <w:b w:val="0"/>
          <w:bCs/>
          <w:sz w:val="32"/>
          <w:szCs w:val="32"/>
        </w:rPr>
        <w:t>:</w:t>
      </w:r>
      <w:r w:rsidRPr="00856741">
        <w:rPr>
          <w:rStyle w:val="a9"/>
          <w:rFonts w:ascii="仿宋" w:eastAsia="仿宋" w:hAnsi="仿宋" w:hint="eastAsia"/>
          <w:b w:val="0"/>
          <w:bCs/>
          <w:sz w:val="32"/>
          <w:szCs w:val="32"/>
        </w:rPr>
        <w:t>支出决算为408.93万元，完成预算100%，决算</w:t>
      </w:r>
      <w:r>
        <w:rPr>
          <w:rStyle w:val="a9"/>
          <w:rFonts w:ascii="仿宋" w:eastAsia="仿宋" w:hAnsi="仿宋" w:hint="eastAsia"/>
          <w:b w:val="0"/>
          <w:bCs/>
          <w:sz w:val="32"/>
          <w:szCs w:val="32"/>
        </w:rPr>
        <w:t>数等于预算数。</w:t>
      </w:r>
    </w:p>
    <w:p w:rsidR="00FC5B9A" w:rsidRDefault="00A50BEA" w:rsidP="00856741">
      <w:pPr>
        <w:spacing w:line="600" w:lineRule="exact"/>
        <w:ind w:firstLineChars="200" w:firstLine="640"/>
        <w:rPr>
          <w:rStyle w:val="a9"/>
          <w:rFonts w:ascii="仿宋" w:eastAsia="仿宋" w:hAnsi="仿宋"/>
          <w:b w:val="0"/>
          <w:bCs/>
          <w:sz w:val="32"/>
          <w:szCs w:val="32"/>
        </w:rPr>
      </w:pPr>
      <w:r w:rsidRPr="00856741">
        <w:rPr>
          <w:rStyle w:val="a9"/>
          <w:rFonts w:ascii="仿宋" w:eastAsia="仿宋" w:hAnsi="仿宋" w:hint="eastAsia"/>
          <w:b w:val="0"/>
          <w:bCs/>
          <w:sz w:val="32"/>
          <w:szCs w:val="32"/>
        </w:rPr>
        <w:t>3</w:t>
      </w:r>
      <w:r w:rsidRPr="00856741">
        <w:rPr>
          <w:rStyle w:val="a9"/>
          <w:rFonts w:ascii="仿宋" w:eastAsia="仿宋" w:hAnsi="仿宋"/>
          <w:b w:val="0"/>
          <w:bCs/>
          <w:sz w:val="32"/>
          <w:szCs w:val="32"/>
        </w:rPr>
        <w:t>.</w:t>
      </w:r>
      <w:r w:rsidRPr="00856741">
        <w:rPr>
          <w:rStyle w:val="a9"/>
          <w:rFonts w:ascii="仿宋" w:eastAsia="仿宋" w:hAnsi="仿宋" w:hint="eastAsia"/>
          <w:b w:val="0"/>
          <w:bCs/>
          <w:sz w:val="32"/>
          <w:szCs w:val="32"/>
        </w:rPr>
        <w:t>文化旅游体育与传媒（类）其他文化旅游体育与传媒支出（款）其他文化旅游体育与传媒支出（项）</w:t>
      </w:r>
      <w:r w:rsidRPr="00856741">
        <w:rPr>
          <w:rStyle w:val="a9"/>
          <w:rFonts w:ascii="仿宋" w:eastAsia="仿宋" w:hAnsi="仿宋"/>
          <w:b w:val="0"/>
          <w:bCs/>
          <w:sz w:val="32"/>
          <w:szCs w:val="32"/>
        </w:rPr>
        <w:t>:</w:t>
      </w:r>
      <w:r w:rsidRPr="00856741">
        <w:rPr>
          <w:rStyle w:val="a9"/>
          <w:rFonts w:ascii="仿宋" w:eastAsia="仿宋" w:hAnsi="仿宋" w:hint="eastAsia"/>
          <w:b w:val="0"/>
          <w:bCs/>
          <w:sz w:val="32"/>
          <w:szCs w:val="32"/>
        </w:rPr>
        <w:t>支出决算</w:t>
      </w:r>
      <w:r>
        <w:rPr>
          <w:rStyle w:val="a9"/>
          <w:rFonts w:ascii="仿宋" w:eastAsia="仿宋" w:hAnsi="仿宋" w:hint="eastAsia"/>
          <w:b w:val="0"/>
          <w:bCs/>
          <w:sz w:val="32"/>
          <w:szCs w:val="32"/>
        </w:rPr>
        <w:t>为2.05万元，完成预算100%，决算数等于预算数。</w:t>
      </w:r>
    </w:p>
    <w:p w:rsidR="00FC5B9A" w:rsidRPr="00856741" w:rsidRDefault="00A50BEA" w:rsidP="00856741">
      <w:pPr>
        <w:spacing w:line="600" w:lineRule="exact"/>
        <w:ind w:firstLineChars="200" w:firstLine="640"/>
        <w:rPr>
          <w:rStyle w:val="a9"/>
          <w:rFonts w:ascii="仿宋" w:eastAsia="仿宋" w:hAnsi="仿宋"/>
          <w:b w:val="0"/>
          <w:bCs/>
          <w:sz w:val="32"/>
          <w:szCs w:val="32"/>
        </w:rPr>
      </w:pPr>
      <w:r w:rsidRPr="00856741">
        <w:rPr>
          <w:rStyle w:val="a9"/>
          <w:rFonts w:ascii="仿宋" w:eastAsia="仿宋" w:hAnsi="仿宋" w:hint="eastAsia"/>
          <w:b w:val="0"/>
          <w:bCs/>
          <w:sz w:val="32"/>
          <w:szCs w:val="32"/>
        </w:rPr>
        <w:t>4</w:t>
      </w:r>
      <w:r w:rsidRPr="00856741">
        <w:rPr>
          <w:rStyle w:val="a9"/>
          <w:rFonts w:ascii="仿宋" w:eastAsia="仿宋" w:hAnsi="仿宋"/>
          <w:b w:val="0"/>
          <w:bCs/>
          <w:sz w:val="32"/>
          <w:szCs w:val="32"/>
        </w:rPr>
        <w:t>.</w:t>
      </w:r>
      <w:r w:rsidRPr="00856741">
        <w:rPr>
          <w:rStyle w:val="a9"/>
          <w:rFonts w:ascii="仿宋" w:eastAsia="仿宋" w:hAnsi="仿宋" w:hint="eastAsia"/>
          <w:b w:val="0"/>
          <w:bCs/>
          <w:sz w:val="32"/>
          <w:szCs w:val="32"/>
        </w:rPr>
        <w:t>社会保障和就业（类）行政</w:t>
      </w:r>
      <w:r w:rsidRPr="00856741">
        <w:rPr>
          <w:rStyle w:val="a9"/>
          <w:rFonts w:ascii="仿宋" w:eastAsia="仿宋" w:hAnsi="仿宋"/>
          <w:b w:val="0"/>
          <w:bCs/>
          <w:sz w:val="32"/>
          <w:szCs w:val="32"/>
        </w:rPr>
        <w:t>事业单位养老支出</w:t>
      </w:r>
      <w:r w:rsidRPr="00856741">
        <w:rPr>
          <w:rStyle w:val="a9"/>
          <w:rFonts w:ascii="仿宋" w:eastAsia="仿宋" w:hAnsi="仿宋" w:hint="eastAsia"/>
          <w:b w:val="0"/>
          <w:bCs/>
          <w:sz w:val="32"/>
          <w:szCs w:val="32"/>
        </w:rPr>
        <w:t>（款）行政</w:t>
      </w:r>
      <w:r w:rsidRPr="00856741">
        <w:rPr>
          <w:rStyle w:val="a9"/>
          <w:rFonts w:ascii="仿宋" w:eastAsia="仿宋" w:hAnsi="仿宋"/>
          <w:b w:val="0"/>
          <w:bCs/>
          <w:sz w:val="32"/>
          <w:szCs w:val="32"/>
        </w:rPr>
        <w:t>单位离退休</w:t>
      </w:r>
      <w:r w:rsidRPr="00856741">
        <w:rPr>
          <w:rStyle w:val="a9"/>
          <w:rFonts w:ascii="仿宋" w:eastAsia="仿宋" w:hAnsi="仿宋" w:hint="eastAsia"/>
          <w:b w:val="0"/>
          <w:bCs/>
          <w:sz w:val="32"/>
          <w:szCs w:val="32"/>
        </w:rPr>
        <w:t>（项）</w:t>
      </w:r>
      <w:r w:rsidRPr="00856741">
        <w:rPr>
          <w:rStyle w:val="a9"/>
          <w:rFonts w:ascii="仿宋" w:eastAsia="仿宋" w:hAnsi="仿宋"/>
          <w:b w:val="0"/>
          <w:bCs/>
          <w:sz w:val="32"/>
          <w:szCs w:val="32"/>
        </w:rPr>
        <w:t>:</w:t>
      </w:r>
      <w:r w:rsidRPr="00856741">
        <w:rPr>
          <w:rStyle w:val="a9"/>
          <w:rFonts w:ascii="仿宋" w:eastAsia="仿宋" w:hAnsi="仿宋" w:hint="eastAsia"/>
          <w:b w:val="0"/>
          <w:bCs/>
          <w:sz w:val="32"/>
          <w:szCs w:val="32"/>
        </w:rPr>
        <w:t>支出决算为0.4万元，完成预算100</w:t>
      </w:r>
      <w:r w:rsidRPr="00856741">
        <w:rPr>
          <w:rStyle w:val="a9"/>
          <w:rFonts w:ascii="仿宋" w:eastAsia="仿宋" w:hAnsi="仿宋"/>
          <w:b w:val="0"/>
          <w:bCs/>
          <w:sz w:val="32"/>
          <w:szCs w:val="32"/>
        </w:rPr>
        <w:t>%</w:t>
      </w:r>
      <w:r w:rsidRPr="00856741">
        <w:rPr>
          <w:rStyle w:val="a9"/>
          <w:rFonts w:ascii="仿宋" w:eastAsia="仿宋" w:hAnsi="仿宋" w:hint="eastAsia"/>
          <w:b w:val="0"/>
          <w:bCs/>
          <w:sz w:val="32"/>
          <w:szCs w:val="32"/>
        </w:rPr>
        <w:t>，决算数等于预算数。</w:t>
      </w:r>
    </w:p>
    <w:p w:rsidR="00FC5B9A" w:rsidRPr="00856741" w:rsidRDefault="00A50BEA" w:rsidP="00856741">
      <w:pPr>
        <w:pStyle w:val="a0"/>
        <w:spacing w:before="93"/>
        <w:ind w:firstLineChars="196" w:firstLine="627"/>
        <w:rPr>
          <w:rStyle w:val="a9"/>
          <w:rFonts w:ascii="仿宋" w:eastAsia="仿宋" w:hAnsi="仿宋"/>
          <w:b w:val="0"/>
          <w:bCs/>
          <w:sz w:val="32"/>
          <w:szCs w:val="32"/>
        </w:rPr>
      </w:pPr>
      <w:r w:rsidRPr="00856741">
        <w:rPr>
          <w:rStyle w:val="a9"/>
          <w:rFonts w:ascii="仿宋" w:eastAsia="仿宋" w:hAnsi="仿宋" w:hint="eastAsia"/>
          <w:b w:val="0"/>
          <w:bCs/>
          <w:sz w:val="32"/>
          <w:szCs w:val="32"/>
        </w:rPr>
        <w:t>5</w:t>
      </w:r>
      <w:r w:rsidRPr="00856741">
        <w:rPr>
          <w:rStyle w:val="a9"/>
          <w:rFonts w:ascii="仿宋" w:eastAsia="仿宋" w:hAnsi="仿宋"/>
          <w:b w:val="0"/>
          <w:bCs/>
          <w:sz w:val="32"/>
          <w:szCs w:val="32"/>
        </w:rPr>
        <w:t>.</w:t>
      </w:r>
      <w:r w:rsidRPr="00856741">
        <w:rPr>
          <w:rStyle w:val="a9"/>
          <w:rFonts w:ascii="仿宋" w:eastAsia="仿宋" w:hAnsi="仿宋" w:hint="eastAsia"/>
          <w:b w:val="0"/>
          <w:bCs/>
          <w:sz w:val="32"/>
          <w:szCs w:val="32"/>
        </w:rPr>
        <w:t>社会保障和就业（类）行政</w:t>
      </w:r>
      <w:r w:rsidRPr="00856741">
        <w:rPr>
          <w:rStyle w:val="a9"/>
          <w:rFonts w:ascii="仿宋" w:eastAsia="仿宋" w:hAnsi="仿宋"/>
          <w:b w:val="0"/>
          <w:bCs/>
          <w:sz w:val="32"/>
          <w:szCs w:val="32"/>
        </w:rPr>
        <w:t>事业单位养老支出</w:t>
      </w:r>
      <w:r w:rsidRPr="00856741">
        <w:rPr>
          <w:rStyle w:val="a9"/>
          <w:rFonts w:ascii="仿宋" w:eastAsia="仿宋" w:hAnsi="仿宋" w:hint="eastAsia"/>
          <w:b w:val="0"/>
          <w:bCs/>
          <w:sz w:val="32"/>
          <w:szCs w:val="32"/>
        </w:rPr>
        <w:t>（款）事业</w:t>
      </w:r>
      <w:r w:rsidRPr="00856741">
        <w:rPr>
          <w:rStyle w:val="a9"/>
          <w:rFonts w:ascii="仿宋" w:eastAsia="仿宋" w:hAnsi="仿宋"/>
          <w:b w:val="0"/>
          <w:bCs/>
          <w:sz w:val="32"/>
          <w:szCs w:val="32"/>
        </w:rPr>
        <w:t>单位离退休</w:t>
      </w:r>
      <w:r w:rsidRPr="00856741">
        <w:rPr>
          <w:rStyle w:val="a9"/>
          <w:rFonts w:ascii="仿宋" w:eastAsia="仿宋" w:hAnsi="仿宋" w:hint="eastAsia"/>
          <w:b w:val="0"/>
          <w:bCs/>
          <w:sz w:val="32"/>
          <w:szCs w:val="32"/>
        </w:rPr>
        <w:t>（项）</w:t>
      </w:r>
      <w:r w:rsidRPr="00856741">
        <w:rPr>
          <w:rStyle w:val="a9"/>
          <w:rFonts w:ascii="仿宋" w:eastAsia="仿宋" w:hAnsi="仿宋"/>
          <w:b w:val="0"/>
          <w:bCs/>
          <w:sz w:val="32"/>
          <w:szCs w:val="32"/>
        </w:rPr>
        <w:t>:</w:t>
      </w:r>
      <w:r w:rsidRPr="00856741">
        <w:rPr>
          <w:rStyle w:val="a9"/>
          <w:rFonts w:ascii="仿宋" w:eastAsia="仿宋" w:hAnsi="仿宋" w:hint="eastAsia"/>
          <w:b w:val="0"/>
          <w:bCs/>
          <w:sz w:val="32"/>
          <w:szCs w:val="32"/>
        </w:rPr>
        <w:t>支出决算为12.68万元，完成预算100</w:t>
      </w:r>
      <w:r w:rsidRPr="00856741">
        <w:rPr>
          <w:rStyle w:val="a9"/>
          <w:rFonts w:ascii="仿宋" w:eastAsia="仿宋" w:hAnsi="仿宋"/>
          <w:b w:val="0"/>
          <w:bCs/>
          <w:sz w:val="32"/>
          <w:szCs w:val="32"/>
        </w:rPr>
        <w:t>%</w:t>
      </w:r>
      <w:r w:rsidRPr="00856741">
        <w:rPr>
          <w:rStyle w:val="a9"/>
          <w:rFonts w:ascii="仿宋" w:eastAsia="仿宋" w:hAnsi="仿宋" w:hint="eastAsia"/>
          <w:b w:val="0"/>
          <w:bCs/>
          <w:sz w:val="32"/>
          <w:szCs w:val="32"/>
        </w:rPr>
        <w:t>，决算数等于预算数。</w:t>
      </w:r>
    </w:p>
    <w:p w:rsidR="00FC5B9A" w:rsidRPr="00856741" w:rsidRDefault="00A50BEA" w:rsidP="00856741">
      <w:pPr>
        <w:pStyle w:val="a0"/>
        <w:spacing w:before="93"/>
        <w:ind w:firstLineChars="196" w:firstLine="627"/>
        <w:rPr>
          <w:rStyle w:val="a9"/>
          <w:rFonts w:ascii="仿宋" w:eastAsia="仿宋" w:hAnsi="仿宋"/>
          <w:b w:val="0"/>
          <w:bCs/>
          <w:sz w:val="32"/>
          <w:szCs w:val="32"/>
        </w:rPr>
      </w:pPr>
      <w:r w:rsidRPr="00856741">
        <w:rPr>
          <w:rStyle w:val="a9"/>
          <w:rFonts w:ascii="仿宋" w:eastAsia="仿宋" w:hAnsi="仿宋" w:hint="eastAsia"/>
          <w:b w:val="0"/>
          <w:bCs/>
          <w:sz w:val="32"/>
          <w:szCs w:val="32"/>
        </w:rPr>
        <w:t>6</w:t>
      </w:r>
      <w:r w:rsidRPr="00856741">
        <w:rPr>
          <w:rStyle w:val="a9"/>
          <w:rFonts w:ascii="仿宋" w:eastAsia="仿宋" w:hAnsi="仿宋"/>
          <w:b w:val="0"/>
          <w:bCs/>
          <w:sz w:val="32"/>
          <w:szCs w:val="32"/>
        </w:rPr>
        <w:t>.</w:t>
      </w:r>
      <w:r w:rsidRPr="00856741">
        <w:rPr>
          <w:rStyle w:val="a9"/>
          <w:rFonts w:ascii="仿宋" w:eastAsia="仿宋" w:hAnsi="仿宋" w:hint="eastAsia"/>
          <w:b w:val="0"/>
          <w:bCs/>
          <w:sz w:val="32"/>
          <w:szCs w:val="32"/>
        </w:rPr>
        <w:t>社会保障和就业（类）行政</w:t>
      </w:r>
      <w:r w:rsidRPr="00856741">
        <w:rPr>
          <w:rStyle w:val="a9"/>
          <w:rFonts w:ascii="仿宋" w:eastAsia="仿宋" w:hAnsi="仿宋"/>
          <w:b w:val="0"/>
          <w:bCs/>
          <w:sz w:val="32"/>
          <w:szCs w:val="32"/>
        </w:rPr>
        <w:t>事业单位养老支出</w:t>
      </w:r>
      <w:r w:rsidRPr="00856741">
        <w:rPr>
          <w:rStyle w:val="a9"/>
          <w:rFonts w:ascii="仿宋" w:eastAsia="仿宋" w:hAnsi="仿宋" w:hint="eastAsia"/>
          <w:b w:val="0"/>
          <w:bCs/>
          <w:sz w:val="32"/>
          <w:szCs w:val="32"/>
        </w:rPr>
        <w:t>（款）机关事业单位基本养老保险缴费支出（项）</w:t>
      </w:r>
      <w:r w:rsidRPr="00856741">
        <w:rPr>
          <w:rStyle w:val="a9"/>
          <w:rFonts w:ascii="仿宋" w:eastAsia="仿宋" w:hAnsi="仿宋"/>
          <w:b w:val="0"/>
          <w:bCs/>
          <w:sz w:val="32"/>
          <w:szCs w:val="32"/>
        </w:rPr>
        <w:t>:</w:t>
      </w:r>
      <w:r w:rsidRPr="00856741">
        <w:rPr>
          <w:rStyle w:val="a9"/>
          <w:rFonts w:ascii="仿宋" w:eastAsia="仿宋" w:hAnsi="仿宋" w:hint="eastAsia"/>
          <w:b w:val="0"/>
          <w:bCs/>
          <w:sz w:val="32"/>
          <w:szCs w:val="32"/>
        </w:rPr>
        <w:t>支出决算为25.09万元，完成预算100</w:t>
      </w:r>
      <w:r w:rsidRPr="00856741">
        <w:rPr>
          <w:rStyle w:val="a9"/>
          <w:rFonts w:ascii="仿宋" w:eastAsia="仿宋" w:hAnsi="仿宋"/>
          <w:b w:val="0"/>
          <w:bCs/>
          <w:sz w:val="32"/>
          <w:szCs w:val="32"/>
        </w:rPr>
        <w:t>%</w:t>
      </w:r>
      <w:r w:rsidRPr="00856741">
        <w:rPr>
          <w:rStyle w:val="a9"/>
          <w:rFonts w:ascii="仿宋" w:eastAsia="仿宋" w:hAnsi="仿宋" w:hint="eastAsia"/>
          <w:b w:val="0"/>
          <w:bCs/>
          <w:sz w:val="32"/>
          <w:szCs w:val="32"/>
        </w:rPr>
        <w:t>，决算数等于预算数。</w:t>
      </w:r>
    </w:p>
    <w:p w:rsidR="00FC5B9A" w:rsidRDefault="00A50BEA" w:rsidP="00856741">
      <w:pPr>
        <w:pStyle w:val="a0"/>
        <w:spacing w:before="93"/>
        <w:ind w:firstLineChars="196" w:firstLine="627"/>
        <w:rPr>
          <w:rStyle w:val="a9"/>
          <w:rFonts w:ascii="仿宋" w:eastAsia="仿宋" w:hAnsi="仿宋"/>
          <w:b w:val="0"/>
          <w:bCs/>
          <w:sz w:val="32"/>
          <w:szCs w:val="32"/>
        </w:rPr>
      </w:pPr>
      <w:r w:rsidRPr="00856741">
        <w:rPr>
          <w:rStyle w:val="a9"/>
          <w:rFonts w:ascii="仿宋" w:eastAsia="仿宋" w:hAnsi="仿宋" w:hint="eastAsia"/>
          <w:b w:val="0"/>
          <w:bCs/>
          <w:sz w:val="32"/>
          <w:szCs w:val="32"/>
        </w:rPr>
        <w:t>7</w:t>
      </w:r>
      <w:r w:rsidRPr="00856741">
        <w:rPr>
          <w:rStyle w:val="a9"/>
          <w:rFonts w:ascii="仿宋" w:eastAsia="仿宋" w:hAnsi="仿宋"/>
          <w:b w:val="0"/>
          <w:bCs/>
          <w:sz w:val="32"/>
          <w:szCs w:val="32"/>
        </w:rPr>
        <w:t>.</w:t>
      </w:r>
      <w:r w:rsidRPr="00856741">
        <w:rPr>
          <w:rStyle w:val="a9"/>
          <w:rFonts w:ascii="仿宋" w:eastAsia="仿宋" w:hAnsi="仿宋" w:hint="eastAsia"/>
          <w:b w:val="0"/>
          <w:bCs/>
          <w:sz w:val="32"/>
          <w:szCs w:val="32"/>
        </w:rPr>
        <w:t>社会保障和就业（类）行政</w:t>
      </w:r>
      <w:r w:rsidRPr="00856741">
        <w:rPr>
          <w:rStyle w:val="a9"/>
          <w:rFonts w:ascii="仿宋" w:eastAsia="仿宋" w:hAnsi="仿宋"/>
          <w:b w:val="0"/>
          <w:bCs/>
          <w:sz w:val="32"/>
          <w:szCs w:val="32"/>
        </w:rPr>
        <w:t>事业单位养老支出</w:t>
      </w:r>
      <w:r w:rsidRPr="00856741">
        <w:rPr>
          <w:rStyle w:val="a9"/>
          <w:rFonts w:ascii="仿宋" w:eastAsia="仿宋" w:hAnsi="仿宋" w:hint="eastAsia"/>
          <w:b w:val="0"/>
          <w:bCs/>
          <w:sz w:val="32"/>
          <w:szCs w:val="32"/>
        </w:rPr>
        <w:t>（款）机关事业单位业年金缴费支出（项）</w:t>
      </w:r>
      <w:r w:rsidRPr="00856741">
        <w:rPr>
          <w:rStyle w:val="a9"/>
          <w:rFonts w:ascii="仿宋" w:eastAsia="仿宋" w:hAnsi="仿宋"/>
          <w:b w:val="0"/>
          <w:bCs/>
          <w:sz w:val="32"/>
          <w:szCs w:val="32"/>
        </w:rPr>
        <w:t>:</w:t>
      </w:r>
      <w:r w:rsidRPr="00856741">
        <w:rPr>
          <w:rStyle w:val="a9"/>
          <w:rFonts w:ascii="仿宋" w:eastAsia="仿宋" w:hAnsi="仿宋" w:hint="eastAsia"/>
          <w:b w:val="0"/>
          <w:bCs/>
          <w:sz w:val="32"/>
          <w:szCs w:val="32"/>
        </w:rPr>
        <w:t>支出决算为4.44万元，</w:t>
      </w:r>
      <w:r>
        <w:rPr>
          <w:rStyle w:val="a9"/>
          <w:rFonts w:ascii="仿宋" w:eastAsia="仿宋" w:hAnsi="仿宋" w:hint="eastAsia"/>
          <w:b w:val="0"/>
          <w:bCs/>
          <w:sz w:val="32"/>
          <w:szCs w:val="32"/>
        </w:rPr>
        <w:lastRenderedPageBreak/>
        <w:t>完成预算100</w:t>
      </w:r>
      <w:r>
        <w:rPr>
          <w:rStyle w:val="a9"/>
          <w:rFonts w:ascii="仿宋" w:eastAsia="仿宋" w:hAnsi="仿宋"/>
          <w:b w:val="0"/>
          <w:bCs/>
          <w:sz w:val="32"/>
          <w:szCs w:val="32"/>
        </w:rPr>
        <w:t>%</w:t>
      </w:r>
      <w:r>
        <w:rPr>
          <w:rStyle w:val="a9"/>
          <w:rFonts w:ascii="仿宋" w:eastAsia="仿宋" w:hAnsi="仿宋" w:hint="eastAsia"/>
          <w:b w:val="0"/>
          <w:bCs/>
          <w:sz w:val="32"/>
          <w:szCs w:val="32"/>
        </w:rPr>
        <w:t>，决算数等于预算数。</w:t>
      </w:r>
    </w:p>
    <w:p w:rsidR="00FC5B9A" w:rsidRPr="00856741" w:rsidRDefault="00A50BEA" w:rsidP="00856741">
      <w:pPr>
        <w:pStyle w:val="a0"/>
        <w:spacing w:before="93"/>
        <w:ind w:firstLineChars="196" w:firstLine="627"/>
        <w:rPr>
          <w:b/>
        </w:rPr>
      </w:pPr>
      <w:r w:rsidRPr="00856741">
        <w:rPr>
          <w:rStyle w:val="a9"/>
          <w:rFonts w:ascii="仿宋" w:eastAsia="仿宋" w:hAnsi="仿宋" w:hint="eastAsia"/>
          <w:b w:val="0"/>
          <w:bCs/>
          <w:sz w:val="32"/>
          <w:szCs w:val="32"/>
        </w:rPr>
        <w:t>8</w:t>
      </w:r>
      <w:r w:rsidRPr="00856741">
        <w:rPr>
          <w:rStyle w:val="a9"/>
          <w:rFonts w:ascii="仿宋" w:eastAsia="仿宋" w:hAnsi="仿宋"/>
          <w:b w:val="0"/>
          <w:bCs/>
          <w:sz w:val="32"/>
          <w:szCs w:val="32"/>
        </w:rPr>
        <w:t>.</w:t>
      </w:r>
      <w:r w:rsidRPr="00856741">
        <w:rPr>
          <w:rStyle w:val="a9"/>
          <w:rFonts w:ascii="仿宋" w:eastAsia="仿宋" w:hAnsi="仿宋" w:hint="eastAsia"/>
          <w:b w:val="0"/>
          <w:bCs/>
          <w:sz w:val="32"/>
          <w:szCs w:val="32"/>
        </w:rPr>
        <w:t>社会保障和就业（类）抚恤（款）死亡抚恤（项）</w:t>
      </w:r>
      <w:r w:rsidRPr="00856741">
        <w:rPr>
          <w:rStyle w:val="a9"/>
          <w:rFonts w:ascii="仿宋" w:eastAsia="仿宋" w:hAnsi="仿宋"/>
          <w:b w:val="0"/>
          <w:bCs/>
          <w:sz w:val="32"/>
          <w:szCs w:val="32"/>
        </w:rPr>
        <w:t>:</w:t>
      </w:r>
      <w:r w:rsidRPr="00856741">
        <w:rPr>
          <w:rStyle w:val="a9"/>
          <w:rFonts w:ascii="仿宋" w:eastAsia="仿宋" w:hAnsi="仿宋" w:hint="eastAsia"/>
          <w:b w:val="0"/>
          <w:bCs/>
          <w:sz w:val="32"/>
          <w:szCs w:val="32"/>
        </w:rPr>
        <w:t>支出决算为9.38万元，完成预算100</w:t>
      </w:r>
      <w:r w:rsidRPr="00856741">
        <w:rPr>
          <w:rStyle w:val="a9"/>
          <w:rFonts w:ascii="仿宋" w:eastAsia="仿宋" w:hAnsi="仿宋"/>
          <w:b w:val="0"/>
          <w:bCs/>
          <w:sz w:val="32"/>
          <w:szCs w:val="32"/>
        </w:rPr>
        <w:t>%</w:t>
      </w:r>
      <w:r w:rsidRPr="00856741">
        <w:rPr>
          <w:rStyle w:val="a9"/>
          <w:rFonts w:ascii="仿宋" w:eastAsia="仿宋" w:hAnsi="仿宋" w:hint="eastAsia"/>
          <w:b w:val="0"/>
          <w:bCs/>
          <w:sz w:val="32"/>
          <w:szCs w:val="32"/>
        </w:rPr>
        <w:t>，决算数等于预算数。</w:t>
      </w:r>
    </w:p>
    <w:p w:rsidR="00FC5B9A" w:rsidRPr="00856741" w:rsidRDefault="00A50BEA" w:rsidP="00856741">
      <w:pPr>
        <w:spacing w:line="600" w:lineRule="exact"/>
        <w:ind w:firstLineChars="200" w:firstLine="640"/>
        <w:rPr>
          <w:rStyle w:val="a9"/>
          <w:rFonts w:ascii="仿宋" w:eastAsia="仿宋" w:hAnsi="仿宋"/>
          <w:b w:val="0"/>
          <w:bCs/>
          <w:sz w:val="32"/>
          <w:szCs w:val="32"/>
        </w:rPr>
      </w:pPr>
      <w:r w:rsidRPr="00856741">
        <w:rPr>
          <w:rStyle w:val="a9"/>
          <w:rFonts w:ascii="仿宋" w:eastAsia="仿宋" w:hAnsi="仿宋" w:hint="eastAsia"/>
          <w:b w:val="0"/>
          <w:bCs/>
          <w:sz w:val="32"/>
          <w:szCs w:val="32"/>
        </w:rPr>
        <w:t>9</w:t>
      </w:r>
      <w:r w:rsidRPr="00856741">
        <w:rPr>
          <w:rStyle w:val="a9"/>
          <w:rFonts w:ascii="仿宋" w:eastAsia="仿宋" w:hAnsi="仿宋"/>
          <w:b w:val="0"/>
          <w:bCs/>
          <w:sz w:val="32"/>
          <w:szCs w:val="32"/>
        </w:rPr>
        <w:t>.</w:t>
      </w:r>
      <w:r w:rsidRPr="00856741">
        <w:rPr>
          <w:rFonts w:ascii="仿宋" w:eastAsia="仿宋" w:hAnsi="仿宋" w:hint="eastAsia"/>
          <w:bCs/>
          <w:sz w:val="32"/>
          <w:szCs w:val="32"/>
        </w:rPr>
        <w:t>卫生健康</w:t>
      </w:r>
      <w:r w:rsidRPr="00856741">
        <w:rPr>
          <w:rStyle w:val="a9"/>
          <w:rFonts w:ascii="仿宋" w:eastAsia="仿宋" w:hAnsi="仿宋" w:hint="eastAsia"/>
          <w:b w:val="0"/>
          <w:bCs/>
          <w:sz w:val="32"/>
          <w:szCs w:val="32"/>
        </w:rPr>
        <w:t>（类）行政</w:t>
      </w:r>
      <w:r w:rsidRPr="00856741">
        <w:rPr>
          <w:rStyle w:val="a9"/>
          <w:rFonts w:ascii="仿宋" w:eastAsia="仿宋" w:hAnsi="仿宋"/>
          <w:b w:val="0"/>
          <w:bCs/>
          <w:sz w:val="32"/>
          <w:szCs w:val="32"/>
        </w:rPr>
        <w:t>事业单位医疗</w:t>
      </w:r>
      <w:r w:rsidRPr="00856741">
        <w:rPr>
          <w:rStyle w:val="a9"/>
          <w:rFonts w:ascii="仿宋" w:eastAsia="仿宋" w:hAnsi="仿宋" w:hint="eastAsia"/>
          <w:b w:val="0"/>
          <w:bCs/>
          <w:sz w:val="32"/>
          <w:szCs w:val="32"/>
        </w:rPr>
        <w:t>（款）行政</w:t>
      </w:r>
      <w:r w:rsidRPr="00856741">
        <w:rPr>
          <w:rStyle w:val="a9"/>
          <w:rFonts w:ascii="仿宋" w:eastAsia="仿宋" w:hAnsi="仿宋"/>
          <w:b w:val="0"/>
          <w:bCs/>
          <w:sz w:val="32"/>
          <w:szCs w:val="32"/>
        </w:rPr>
        <w:t>单位医疗</w:t>
      </w:r>
      <w:r w:rsidRPr="00856741">
        <w:rPr>
          <w:rStyle w:val="a9"/>
          <w:rFonts w:ascii="仿宋" w:eastAsia="仿宋" w:hAnsi="仿宋" w:hint="eastAsia"/>
          <w:b w:val="0"/>
          <w:bCs/>
          <w:sz w:val="32"/>
          <w:szCs w:val="32"/>
        </w:rPr>
        <w:t>（项）</w:t>
      </w:r>
      <w:r w:rsidRPr="00856741">
        <w:rPr>
          <w:rStyle w:val="a9"/>
          <w:rFonts w:ascii="仿宋" w:eastAsia="仿宋" w:hAnsi="仿宋"/>
          <w:b w:val="0"/>
          <w:bCs/>
          <w:sz w:val="32"/>
          <w:szCs w:val="32"/>
        </w:rPr>
        <w:t>:</w:t>
      </w:r>
      <w:r w:rsidRPr="00856741">
        <w:rPr>
          <w:rStyle w:val="a9"/>
          <w:rFonts w:ascii="仿宋" w:eastAsia="仿宋" w:hAnsi="仿宋" w:hint="eastAsia"/>
          <w:b w:val="0"/>
          <w:bCs/>
          <w:sz w:val="32"/>
          <w:szCs w:val="32"/>
        </w:rPr>
        <w:t>支出决算为1.1万元，完成预算100</w:t>
      </w:r>
      <w:r w:rsidRPr="00856741">
        <w:rPr>
          <w:rStyle w:val="a9"/>
          <w:rFonts w:ascii="仿宋" w:eastAsia="仿宋" w:hAnsi="仿宋"/>
          <w:b w:val="0"/>
          <w:bCs/>
          <w:sz w:val="32"/>
          <w:szCs w:val="32"/>
        </w:rPr>
        <w:t>%</w:t>
      </w:r>
      <w:r w:rsidRPr="00856741">
        <w:rPr>
          <w:rStyle w:val="a9"/>
          <w:rFonts w:ascii="仿宋" w:eastAsia="仿宋" w:hAnsi="仿宋" w:hint="eastAsia"/>
          <w:b w:val="0"/>
          <w:bCs/>
          <w:sz w:val="32"/>
          <w:szCs w:val="32"/>
        </w:rPr>
        <w:t>，决算数等于预算数。</w:t>
      </w:r>
    </w:p>
    <w:p w:rsidR="00FC5B9A" w:rsidRPr="00856741" w:rsidRDefault="00A50BEA" w:rsidP="00856741">
      <w:pPr>
        <w:spacing w:line="600" w:lineRule="exact"/>
        <w:ind w:firstLineChars="200" w:firstLine="640"/>
        <w:rPr>
          <w:rStyle w:val="a9"/>
          <w:rFonts w:ascii="仿宋" w:eastAsia="仿宋" w:hAnsi="仿宋"/>
          <w:b w:val="0"/>
          <w:bCs/>
          <w:sz w:val="32"/>
          <w:szCs w:val="32"/>
        </w:rPr>
      </w:pPr>
      <w:r w:rsidRPr="00856741">
        <w:rPr>
          <w:rStyle w:val="a9"/>
          <w:rFonts w:ascii="仿宋" w:eastAsia="仿宋" w:hAnsi="仿宋" w:hint="eastAsia"/>
          <w:b w:val="0"/>
          <w:bCs/>
          <w:sz w:val="32"/>
          <w:szCs w:val="32"/>
        </w:rPr>
        <w:t>10</w:t>
      </w:r>
      <w:r w:rsidRPr="00856741">
        <w:rPr>
          <w:rStyle w:val="a9"/>
          <w:rFonts w:ascii="仿宋" w:eastAsia="仿宋" w:hAnsi="仿宋"/>
          <w:b w:val="0"/>
          <w:bCs/>
          <w:sz w:val="32"/>
          <w:szCs w:val="32"/>
        </w:rPr>
        <w:t>.</w:t>
      </w:r>
      <w:r w:rsidRPr="00856741">
        <w:rPr>
          <w:rFonts w:ascii="仿宋" w:eastAsia="仿宋" w:hAnsi="仿宋" w:hint="eastAsia"/>
          <w:bCs/>
          <w:sz w:val="32"/>
          <w:szCs w:val="32"/>
        </w:rPr>
        <w:t>卫生健康</w:t>
      </w:r>
      <w:r w:rsidRPr="00856741">
        <w:rPr>
          <w:rStyle w:val="a9"/>
          <w:rFonts w:ascii="仿宋" w:eastAsia="仿宋" w:hAnsi="仿宋" w:hint="eastAsia"/>
          <w:b w:val="0"/>
          <w:bCs/>
          <w:sz w:val="32"/>
          <w:szCs w:val="32"/>
        </w:rPr>
        <w:t>（类）行政</w:t>
      </w:r>
      <w:r w:rsidRPr="00856741">
        <w:rPr>
          <w:rStyle w:val="a9"/>
          <w:rFonts w:ascii="仿宋" w:eastAsia="仿宋" w:hAnsi="仿宋"/>
          <w:b w:val="0"/>
          <w:bCs/>
          <w:sz w:val="32"/>
          <w:szCs w:val="32"/>
        </w:rPr>
        <w:t>事业单位医疗</w:t>
      </w:r>
      <w:r w:rsidRPr="00856741">
        <w:rPr>
          <w:rStyle w:val="a9"/>
          <w:rFonts w:ascii="仿宋" w:eastAsia="仿宋" w:hAnsi="仿宋" w:hint="eastAsia"/>
          <w:b w:val="0"/>
          <w:bCs/>
          <w:sz w:val="32"/>
          <w:szCs w:val="32"/>
        </w:rPr>
        <w:t>（款）事业</w:t>
      </w:r>
      <w:r w:rsidRPr="00856741">
        <w:rPr>
          <w:rStyle w:val="a9"/>
          <w:rFonts w:ascii="仿宋" w:eastAsia="仿宋" w:hAnsi="仿宋"/>
          <w:b w:val="0"/>
          <w:bCs/>
          <w:sz w:val="32"/>
          <w:szCs w:val="32"/>
        </w:rPr>
        <w:t>单位医疗</w:t>
      </w:r>
      <w:r w:rsidRPr="00856741">
        <w:rPr>
          <w:rStyle w:val="a9"/>
          <w:rFonts w:ascii="仿宋" w:eastAsia="仿宋" w:hAnsi="仿宋" w:hint="eastAsia"/>
          <w:b w:val="0"/>
          <w:bCs/>
          <w:sz w:val="32"/>
          <w:szCs w:val="32"/>
        </w:rPr>
        <w:t>（项）</w:t>
      </w:r>
      <w:r w:rsidRPr="00856741">
        <w:rPr>
          <w:rStyle w:val="a9"/>
          <w:rFonts w:ascii="仿宋" w:eastAsia="仿宋" w:hAnsi="仿宋"/>
          <w:b w:val="0"/>
          <w:bCs/>
          <w:sz w:val="32"/>
          <w:szCs w:val="32"/>
        </w:rPr>
        <w:t>:</w:t>
      </w:r>
      <w:r w:rsidRPr="00856741">
        <w:rPr>
          <w:rStyle w:val="a9"/>
          <w:rFonts w:ascii="仿宋" w:eastAsia="仿宋" w:hAnsi="仿宋" w:hint="eastAsia"/>
          <w:b w:val="0"/>
          <w:bCs/>
          <w:sz w:val="32"/>
          <w:szCs w:val="32"/>
        </w:rPr>
        <w:t>支出决算为17.26万元，完成预算100</w:t>
      </w:r>
      <w:r w:rsidRPr="00856741">
        <w:rPr>
          <w:rStyle w:val="a9"/>
          <w:rFonts w:ascii="仿宋" w:eastAsia="仿宋" w:hAnsi="仿宋"/>
          <w:b w:val="0"/>
          <w:bCs/>
          <w:sz w:val="32"/>
          <w:szCs w:val="32"/>
        </w:rPr>
        <w:t>%</w:t>
      </w:r>
      <w:r w:rsidRPr="00856741">
        <w:rPr>
          <w:rStyle w:val="a9"/>
          <w:rFonts w:ascii="仿宋" w:eastAsia="仿宋" w:hAnsi="仿宋" w:hint="eastAsia"/>
          <w:b w:val="0"/>
          <w:bCs/>
          <w:sz w:val="32"/>
          <w:szCs w:val="32"/>
        </w:rPr>
        <w:t>，决算数等于预算数。</w:t>
      </w:r>
    </w:p>
    <w:p w:rsidR="00FC5B9A" w:rsidRPr="00856741" w:rsidRDefault="00A50BEA" w:rsidP="00856741">
      <w:pPr>
        <w:spacing w:line="600" w:lineRule="exact"/>
        <w:ind w:firstLineChars="200" w:firstLine="640"/>
        <w:rPr>
          <w:rStyle w:val="a9"/>
          <w:rFonts w:ascii="仿宋" w:eastAsia="仿宋" w:hAnsi="仿宋"/>
          <w:b w:val="0"/>
          <w:bCs/>
          <w:sz w:val="32"/>
          <w:szCs w:val="32"/>
        </w:rPr>
      </w:pPr>
      <w:r w:rsidRPr="00856741">
        <w:rPr>
          <w:rStyle w:val="a9"/>
          <w:rFonts w:ascii="仿宋" w:eastAsia="仿宋" w:hAnsi="仿宋" w:hint="eastAsia"/>
          <w:b w:val="0"/>
          <w:bCs/>
          <w:sz w:val="32"/>
          <w:szCs w:val="32"/>
        </w:rPr>
        <w:t>11</w:t>
      </w:r>
      <w:r w:rsidRPr="00856741">
        <w:rPr>
          <w:rStyle w:val="a9"/>
          <w:rFonts w:ascii="仿宋" w:eastAsia="仿宋" w:hAnsi="仿宋"/>
          <w:b w:val="0"/>
          <w:bCs/>
          <w:sz w:val="32"/>
          <w:szCs w:val="32"/>
        </w:rPr>
        <w:t>.</w:t>
      </w:r>
      <w:r w:rsidRPr="00856741">
        <w:rPr>
          <w:rFonts w:ascii="仿宋" w:eastAsia="仿宋" w:hAnsi="仿宋" w:hint="eastAsia"/>
          <w:bCs/>
          <w:sz w:val="32"/>
          <w:szCs w:val="32"/>
        </w:rPr>
        <w:t>卫生健康</w:t>
      </w:r>
      <w:r w:rsidRPr="00856741">
        <w:rPr>
          <w:rStyle w:val="a9"/>
          <w:rFonts w:ascii="仿宋" w:eastAsia="仿宋" w:hAnsi="仿宋" w:hint="eastAsia"/>
          <w:b w:val="0"/>
          <w:bCs/>
          <w:sz w:val="32"/>
          <w:szCs w:val="32"/>
        </w:rPr>
        <w:t>（类）行政</w:t>
      </w:r>
      <w:r w:rsidRPr="00856741">
        <w:rPr>
          <w:rStyle w:val="a9"/>
          <w:rFonts w:ascii="仿宋" w:eastAsia="仿宋" w:hAnsi="仿宋"/>
          <w:b w:val="0"/>
          <w:bCs/>
          <w:sz w:val="32"/>
          <w:szCs w:val="32"/>
        </w:rPr>
        <w:t>事业单位医疗</w:t>
      </w:r>
      <w:r w:rsidRPr="00856741">
        <w:rPr>
          <w:rStyle w:val="a9"/>
          <w:rFonts w:ascii="仿宋" w:eastAsia="仿宋" w:hAnsi="仿宋" w:hint="eastAsia"/>
          <w:b w:val="0"/>
          <w:bCs/>
          <w:sz w:val="32"/>
          <w:szCs w:val="32"/>
        </w:rPr>
        <w:t>（款）公务员医疗补助（项）</w:t>
      </w:r>
      <w:r w:rsidRPr="00856741">
        <w:rPr>
          <w:rStyle w:val="a9"/>
          <w:rFonts w:ascii="仿宋" w:eastAsia="仿宋" w:hAnsi="仿宋"/>
          <w:b w:val="0"/>
          <w:bCs/>
          <w:sz w:val="32"/>
          <w:szCs w:val="32"/>
        </w:rPr>
        <w:t>:</w:t>
      </w:r>
      <w:r w:rsidRPr="00856741">
        <w:rPr>
          <w:rStyle w:val="a9"/>
          <w:rFonts w:ascii="仿宋" w:eastAsia="仿宋" w:hAnsi="仿宋" w:hint="eastAsia"/>
          <w:b w:val="0"/>
          <w:bCs/>
          <w:sz w:val="32"/>
          <w:szCs w:val="32"/>
        </w:rPr>
        <w:t>支出决算为0.08万元，完成预算100</w:t>
      </w:r>
      <w:r w:rsidRPr="00856741">
        <w:rPr>
          <w:rStyle w:val="a9"/>
          <w:rFonts w:ascii="仿宋" w:eastAsia="仿宋" w:hAnsi="仿宋"/>
          <w:b w:val="0"/>
          <w:bCs/>
          <w:sz w:val="32"/>
          <w:szCs w:val="32"/>
        </w:rPr>
        <w:t>%</w:t>
      </w:r>
      <w:r w:rsidRPr="00856741">
        <w:rPr>
          <w:rStyle w:val="a9"/>
          <w:rFonts w:ascii="仿宋" w:eastAsia="仿宋" w:hAnsi="仿宋" w:hint="eastAsia"/>
          <w:b w:val="0"/>
          <w:bCs/>
          <w:sz w:val="32"/>
          <w:szCs w:val="32"/>
        </w:rPr>
        <w:t>，决算数等于预算数。</w:t>
      </w:r>
    </w:p>
    <w:p w:rsidR="00FC5B9A" w:rsidRPr="00856741" w:rsidRDefault="00A50BEA" w:rsidP="00856741">
      <w:pPr>
        <w:spacing w:line="600" w:lineRule="exact"/>
        <w:ind w:firstLineChars="200" w:firstLine="640"/>
        <w:rPr>
          <w:rStyle w:val="a9"/>
          <w:rFonts w:ascii="仿宋" w:eastAsia="仿宋" w:hAnsi="仿宋"/>
          <w:b w:val="0"/>
          <w:bCs/>
          <w:sz w:val="32"/>
          <w:szCs w:val="32"/>
        </w:rPr>
      </w:pPr>
      <w:r w:rsidRPr="00856741">
        <w:rPr>
          <w:rStyle w:val="a9"/>
          <w:rFonts w:ascii="仿宋" w:eastAsia="仿宋" w:hAnsi="仿宋" w:hint="eastAsia"/>
          <w:b w:val="0"/>
          <w:bCs/>
          <w:sz w:val="32"/>
          <w:szCs w:val="32"/>
        </w:rPr>
        <w:t>12</w:t>
      </w:r>
      <w:r w:rsidRPr="00856741">
        <w:rPr>
          <w:rStyle w:val="a9"/>
          <w:rFonts w:ascii="仿宋" w:eastAsia="仿宋" w:hAnsi="仿宋"/>
          <w:b w:val="0"/>
          <w:bCs/>
          <w:sz w:val="32"/>
          <w:szCs w:val="32"/>
        </w:rPr>
        <w:t>.</w:t>
      </w:r>
      <w:r w:rsidRPr="00856741">
        <w:rPr>
          <w:rFonts w:ascii="仿宋" w:eastAsia="仿宋" w:hAnsi="仿宋" w:hint="eastAsia"/>
          <w:bCs/>
          <w:sz w:val="32"/>
          <w:szCs w:val="32"/>
        </w:rPr>
        <w:t>卫生健康</w:t>
      </w:r>
      <w:r w:rsidRPr="00856741">
        <w:rPr>
          <w:rStyle w:val="a9"/>
          <w:rFonts w:ascii="仿宋" w:eastAsia="仿宋" w:hAnsi="仿宋" w:hint="eastAsia"/>
          <w:b w:val="0"/>
          <w:bCs/>
          <w:sz w:val="32"/>
          <w:szCs w:val="32"/>
        </w:rPr>
        <w:t>（类）行政</w:t>
      </w:r>
      <w:r w:rsidRPr="00856741">
        <w:rPr>
          <w:rStyle w:val="a9"/>
          <w:rFonts w:ascii="仿宋" w:eastAsia="仿宋" w:hAnsi="仿宋"/>
          <w:b w:val="0"/>
          <w:bCs/>
          <w:sz w:val="32"/>
          <w:szCs w:val="32"/>
        </w:rPr>
        <w:t>事业单位医疗</w:t>
      </w:r>
      <w:r w:rsidRPr="00856741">
        <w:rPr>
          <w:rStyle w:val="a9"/>
          <w:rFonts w:ascii="仿宋" w:eastAsia="仿宋" w:hAnsi="仿宋" w:hint="eastAsia"/>
          <w:b w:val="0"/>
          <w:bCs/>
          <w:sz w:val="32"/>
          <w:szCs w:val="32"/>
        </w:rPr>
        <w:t>（款）其他行政事业单位医疗支出（项）</w:t>
      </w:r>
      <w:r w:rsidRPr="00856741">
        <w:rPr>
          <w:rStyle w:val="a9"/>
          <w:rFonts w:ascii="仿宋" w:eastAsia="仿宋" w:hAnsi="仿宋"/>
          <w:b w:val="0"/>
          <w:bCs/>
          <w:sz w:val="32"/>
          <w:szCs w:val="32"/>
        </w:rPr>
        <w:t>:</w:t>
      </w:r>
      <w:r w:rsidRPr="00856741">
        <w:rPr>
          <w:rStyle w:val="a9"/>
          <w:rFonts w:ascii="仿宋" w:eastAsia="仿宋" w:hAnsi="仿宋" w:hint="eastAsia"/>
          <w:b w:val="0"/>
          <w:bCs/>
          <w:sz w:val="32"/>
          <w:szCs w:val="32"/>
        </w:rPr>
        <w:t>支出决算为10.79万元，完成预算100</w:t>
      </w:r>
      <w:r w:rsidRPr="00856741">
        <w:rPr>
          <w:rStyle w:val="a9"/>
          <w:rFonts w:ascii="仿宋" w:eastAsia="仿宋" w:hAnsi="仿宋"/>
          <w:b w:val="0"/>
          <w:bCs/>
          <w:sz w:val="32"/>
          <w:szCs w:val="32"/>
        </w:rPr>
        <w:t>%</w:t>
      </w:r>
      <w:r w:rsidRPr="00856741">
        <w:rPr>
          <w:rStyle w:val="a9"/>
          <w:rFonts w:ascii="仿宋" w:eastAsia="仿宋" w:hAnsi="仿宋" w:hint="eastAsia"/>
          <w:b w:val="0"/>
          <w:bCs/>
          <w:sz w:val="32"/>
          <w:szCs w:val="32"/>
        </w:rPr>
        <w:t>，决算数等于预算数。</w:t>
      </w:r>
    </w:p>
    <w:p w:rsidR="00FC5B9A" w:rsidRPr="00856741" w:rsidRDefault="00A50BEA" w:rsidP="00856741">
      <w:pPr>
        <w:spacing w:line="600" w:lineRule="exact"/>
        <w:ind w:firstLineChars="200" w:firstLine="640"/>
        <w:rPr>
          <w:rStyle w:val="a9"/>
          <w:rFonts w:ascii="仿宋" w:eastAsia="仿宋" w:hAnsi="仿宋"/>
          <w:b w:val="0"/>
          <w:bCs/>
          <w:sz w:val="32"/>
          <w:szCs w:val="32"/>
        </w:rPr>
      </w:pPr>
      <w:r w:rsidRPr="00856741">
        <w:rPr>
          <w:rStyle w:val="a9"/>
          <w:rFonts w:ascii="仿宋" w:eastAsia="仿宋" w:hAnsi="仿宋" w:hint="eastAsia"/>
          <w:b w:val="0"/>
          <w:bCs/>
          <w:sz w:val="32"/>
          <w:szCs w:val="32"/>
        </w:rPr>
        <w:t>13</w:t>
      </w:r>
      <w:r w:rsidRPr="00856741">
        <w:rPr>
          <w:rStyle w:val="a9"/>
          <w:rFonts w:ascii="仿宋" w:eastAsia="仿宋" w:hAnsi="仿宋"/>
          <w:b w:val="0"/>
          <w:bCs/>
          <w:sz w:val="32"/>
          <w:szCs w:val="32"/>
        </w:rPr>
        <w:t>.</w:t>
      </w:r>
      <w:r w:rsidRPr="00856741">
        <w:rPr>
          <w:rFonts w:ascii="仿宋" w:eastAsia="仿宋" w:hAnsi="仿宋" w:hint="eastAsia"/>
          <w:bCs/>
          <w:sz w:val="32"/>
          <w:szCs w:val="32"/>
        </w:rPr>
        <w:t>住房保障</w:t>
      </w:r>
      <w:r w:rsidRPr="00856741">
        <w:rPr>
          <w:rStyle w:val="a9"/>
          <w:rFonts w:ascii="仿宋" w:eastAsia="仿宋" w:hAnsi="仿宋" w:hint="eastAsia"/>
          <w:b w:val="0"/>
          <w:bCs/>
          <w:sz w:val="32"/>
          <w:szCs w:val="32"/>
        </w:rPr>
        <w:t>（类）住房改革（款）住房公积金（项）</w:t>
      </w:r>
      <w:r w:rsidRPr="00856741">
        <w:rPr>
          <w:rStyle w:val="a9"/>
          <w:rFonts w:ascii="仿宋" w:eastAsia="仿宋" w:hAnsi="仿宋"/>
          <w:b w:val="0"/>
          <w:bCs/>
          <w:sz w:val="32"/>
          <w:szCs w:val="32"/>
        </w:rPr>
        <w:t>:</w:t>
      </w:r>
      <w:r w:rsidRPr="00856741">
        <w:rPr>
          <w:rStyle w:val="a9"/>
          <w:rFonts w:ascii="仿宋" w:eastAsia="仿宋" w:hAnsi="仿宋" w:hint="eastAsia"/>
          <w:b w:val="0"/>
          <w:bCs/>
          <w:sz w:val="32"/>
          <w:szCs w:val="32"/>
        </w:rPr>
        <w:t>支出决算为27.96万元，完成预算100</w:t>
      </w:r>
      <w:r w:rsidRPr="00856741">
        <w:rPr>
          <w:rStyle w:val="a9"/>
          <w:rFonts w:ascii="仿宋" w:eastAsia="仿宋" w:hAnsi="仿宋"/>
          <w:b w:val="0"/>
          <w:bCs/>
          <w:sz w:val="32"/>
          <w:szCs w:val="32"/>
        </w:rPr>
        <w:t>%</w:t>
      </w:r>
      <w:r w:rsidRPr="00856741">
        <w:rPr>
          <w:rStyle w:val="a9"/>
          <w:rFonts w:ascii="仿宋" w:eastAsia="仿宋" w:hAnsi="仿宋" w:hint="eastAsia"/>
          <w:b w:val="0"/>
          <w:bCs/>
          <w:sz w:val="32"/>
          <w:szCs w:val="32"/>
        </w:rPr>
        <w:t>，决算数等于预算数。</w:t>
      </w:r>
    </w:p>
    <w:p w:rsidR="00FC5B9A" w:rsidRDefault="00A50BEA">
      <w:pPr>
        <w:tabs>
          <w:tab w:val="right" w:pos="8306"/>
        </w:tabs>
        <w:spacing w:line="600" w:lineRule="exact"/>
        <w:ind w:firstLine="640"/>
        <w:outlineLvl w:val="1"/>
        <w:rPr>
          <w:rStyle w:val="2Char"/>
        </w:rPr>
      </w:pPr>
      <w:bookmarkStart w:id="35" w:name="_Toc15396608"/>
      <w:bookmarkStart w:id="36" w:name="_Toc15377214"/>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Char"/>
          <w:rFonts w:ascii="黑体" w:eastAsia="黑体" w:hAnsi="黑体" w:hint="eastAsia"/>
          <w:b w:val="0"/>
        </w:rPr>
        <w:t>般公共预算财政拨款基本支出决算情况说明</w:t>
      </w:r>
      <w:bookmarkEnd w:id="35"/>
      <w:bookmarkEnd w:id="36"/>
      <w:r>
        <w:rPr>
          <w:rStyle w:val="2Char"/>
          <w:rFonts w:ascii="黑体" w:eastAsia="黑体" w:hAnsi="黑体"/>
          <w:b w:val="0"/>
        </w:rPr>
        <w:tab/>
      </w:r>
    </w:p>
    <w:p w:rsidR="00FC5B9A" w:rsidRDefault="00A50BEA">
      <w:pPr>
        <w:spacing w:line="600" w:lineRule="exact"/>
        <w:ind w:firstLine="645"/>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22年一般公共预算财政拨款基本支出524.29万元，其中：</w:t>
      </w:r>
    </w:p>
    <w:p w:rsidR="00FC5B9A" w:rsidRDefault="00A50BEA">
      <w:pPr>
        <w:spacing w:line="600" w:lineRule="exact"/>
        <w:ind w:firstLine="645"/>
        <w:rPr>
          <w:rFonts w:ascii="仿宋" w:eastAsia="仿宋" w:hAnsi="仿宋"/>
          <w:sz w:val="32"/>
          <w:szCs w:val="32"/>
        </w:rPr>
      </w:pPr>
      <w:r>
        <w:rPr>
          <w:rFonts w:ascii="仿宋" w:eastAsia="仿宋" w:hAnsi="仿宋" w:hint="eastAsia"/>
          <w:sz w:val="32"/>
          <w:szCs w:val="32"/>
        </w:rPr>
        <w:t>人员经费460.08万元，主要包括：基本工资、津贴补贴、奖金、绩效工资、机关事业单位基本养老保险缴费、职</w:t>
      </w:r>
      <w:r>
        <w:rPr>
          <w:rFonts w:ascii="仿宋" w:eastAsia="仿宋" w:hAnsi="仿宋" w:hint="eastAsia"/>
          <w:sz w:val="32"/>
          <w:szCs w:val="32"/>
        </w:rPr>
        <w:lastRenderedPageBreak/>
        <w:t>业年金缴费、其他社会保障缴费、其他工资福利支出、抚恤金、生活补助、医疗费补助、住房公积金等。</w:t>
      </w:r>
      <w:r>
        <w:rPr>
          <w:rFonts w:ascii="仿宋" w:eastAsia="仿宋" w:hAnsi="仿宋"/>
          <w:sz w:val="32"/>
          <w:szCs w:val="32"/>
        </w:rPr>
        <w:br/>
      </w:r>
      <w:r>
        <w:rPr>
          <w:rFonts w:ascii="仿宋" w:eastAsia="仿宋" w:hAnsi="仿宋" w:hint="eastAsia"/>
          <w:sz w:val="32"/>
          <w:szCs w:val="32"/>
        </w:rPr>
        <w:t xml:space="preserve">　　公用经费58.04万元，主要包括：办公费、水费、电费、邮电费、差旅费、维修（护）费、培训费委托业务费、工会经费、福利费、其他交通费、其他商品和服务支出等。</w:t>
      </w:r>
    </w:p>
    <w:p w:rsidR="00FC5B9A" w:rsidRDefault="00A50BEA">
      <w:pPr>
        <w:spacing w:line="600" w:lineRule="exact"/>
        <w:ind w:firstLine="640"/>
        <w:outlineLvl w:val="1"/>
        <w:rPr>
          <w:rStyle w:val="2Char"/>
          <w:rFonts w:ascii="黑体" w:eastAsia="黑体" w:hAnsi="黑体"/>
          <w:b w:val="0"/>
        </w:rPr>
      </w:pPr>
      <w:bookmarkStart w:id="37" w:name="_Toc15396609"/>
      <w:bookmarkStart w:id="38" w:name="_Toc15377215"/>
      <w:r>
        <w:rPr>
          <w:rFonts w:ascii="黑体" w:eastAsia="黑体" w:hint="eastAsia"/>
          <w:sz w:val="32"/>
          <w:szCs w:val="32"/>
        </w:rPr>
        <w:t>七、</w:t>
      </w:r>
      <w:r>
        <w:rPr>
          <w:rStyle w:val="2Char"/>
          <w:rFonts w:ascii="黑体" w:eastAsia="黑体" w:hAnsi="黑体" w:hint="eastAsia"/>
          <w:b w:val="0"/>
        </w:rPr>
        <w:t>财政拨款</w:t>
      </w:r>
      <w:r>
        <w:rPr>
          <w:rStyle w:val="2Char"/>
          <w:rFonts w:ascii="黑体" w:eastAsia="黑体" w:hAnsi="黑体" w:hint="eastAsia"/>
        </w:rPr>
        <w:t>“</w:t>
      </w:r>
      <w:r>
        <w:rPr>
          <w:rStyle w:val="2Char"/>
          <w:rFonts w:ascii="黑体" w:eastAsia="黑体" w:hAnsi="黑体" w:hint="eastAsia"/>
          <w:b w:val="0"/>
        </w:rPr>
        <w:t>三公”经费支出决算情况说明</w:t>
      </w:r>
      <w:bookmarkEnd w:id="37"/>
      <w:bookmarkEnd w:id="38"/>
    </w:p>
    <w:p w:rsidR="00FC5B9A" w:rsidRDefault="00A50BEA">
      <w:pPr>
        <w:spacing w:line="600" w:lineRule="exact"/>
        <w:ind w:firstLine="640"/>
        <w:outlineLvl w:val="2"/>
        <w:rPr>
          <w:rFonts w:ascii="仿宋" w:eastAsia="仿宋" w:hAnsi="仿宋"/>
          <w:b/>
          <w:sz w:val="32"/>
          <w:szCs w:val="32"/>
        </w:rPr>
      </w:pPr>
      <w:bookmarkStart w:id="39" w:name="_Toc15377216"/>
      <w:r>
        <w:rPr>
          <w:rFonts w:ascii="仿宋" w:eastAsia="仿宋" w:hAnsi="仿宋" w:hint="eastAsia"/>
          <w:b/>
          <w:sz w:val="32"/>
          <w:szCs w:val="32"/>
        </w:rPr>
        <w:t>（一）“三公”经费财政拨款支出决算总体情况说明</w:t>
      </w:r>
      <w:bookmarkEnd w:id="39"/>
    </w:p>
    <w:p w:rsidR="00FC5B9A" w:rsidRDefault="00A50BEA">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22年“三公”经费财政拨款支出决算为0万元，完成预算0</w:t>
      </w:r>
      <w:r>
        <w:rPr>
          <w:rFonts w:ascii="仿宋" w:eastAsia="仿宋" w:hAnsi="仿宋"/>
          <w:sz w:val="32"/>
          <w:szCs w:val="32"/>
        </w:rPr>
        <w:t>%</w:t>
      </w:r>
      <w:r>
        <w:rPr>
          <w:rFonts w:ascii="仿宋" w:eastAsia="仿宋" w:hAnsi="仿宋" w:hint="eastAsia"/>
          <w:sz w:val="32"/>
          <w:szCs w:val="32"/>
        </w:rPr>
        <w:t>，</w:t>
      </w:r>
      <w:r w:rsidR="00856741">
        <w:rPr>
          <w:rFonts w:ascii="仿宋" w:eastAsia="仿宋" w:hAnsi="仿宋" w:hint="eastAsia"/>
          <w:sz w:val="32"/>
          <w:szCs w:val="32"/>
        </w:rPr>
        <w:t>与上年持平</w:t>
      </w:r>
      <w:r>
        <w:rPr>
          <w:rFonts w:ascii="仿宋" w:eastAsia="仿宋" w:hAnsi="仿宋" w:hint="eastAsia"/>
          <w:sz w:val="32"/>
          <w:szCs w:val="32"/>
        </w:rPr>
        <w:t>。</w:t>
      </w:r>
    </w:p>
    <w:p w:rsidR="00FC5B9A" w:rsidRDefault="00A50BEA">
      <w:pPr>
        <w:spacing w:line="600" w:lineRule="exact"/>
        <w:ind w:firstLine="640"/>
        <w:outlineLvl w:val="2"/>
        <w:rPr>
          <w:rFonts w:ascii="仿宋" w:eastAsia="仿宋" w:hAnsi="仿宋"/>
          <w:b/>
          <w:sz w:val="32"/>
          <w:szCs w:val="32"/>
        </w:rPr>
      </w:pPr>
      <w:bookmarkStart w:id="40" w:name="_Toc15377217"/>
      <w:r>
        <w:rPr>
          <w:rFonts w:ascii="仿宋" w:eastAsia="仿宋" w:hAnsi="仿宋" w:hint="eastAsia"/>
          <w:b/>
          <w:sz w:val="32"/>
          <w:szCs w:val="32"/>
        </w:rPr>
        <w:t>（二）“三公”经费财政拨款支出决算具体情况说明</w:t>
      </w:r>
      <w:bookmarkEnd w:id="40"/>
    </w:p>
    <w:p w:rsidR="00FC5B9A" w:rsidRPr="00856741" w:rsidRDefault="00A50BEA">
      <w:pPr>
        <w:spacing w:line="600" w:lineRule="exact"/>
        <w:ind w:firstLine="640"/>
        <w:rPr>
          <w:rFonts w:ascii="仿宋" w:eastAsia="仿宋" w:hAnsi="仿宋"/>
          <w:sz w:val="32"/>
          <w:szCs w:val="32"/>
        </w:rPr>
      </w:pPr>
      <w:r w:rsidRPr="00856741">
        <w:rPr>
          <w:rFonts w:ascii="仿宋" w:eastAsia="仿宋" w:hAnsi="仿宋"/>
          <w:sz w:val="32"/>
          <w:szCs w:val="32"/>
        </w:rPr>
        <w:t>20</w:t>
      </w:r>
      <w:r w:rsidRPr="00856741">
        <w:rPr>
          <w:rFonts w:ascii="仿宋" w:eastAsia="仿宋" w:hAnsi="仿宋" w:hint="eastAsia"/>
          <w:sz w:val="32"/>
          <w:szCs w:val="32"/>
        </w:rPr>
        <w:t>22年“三公”经费财政拨款支出决算中，因公出国（境）费支出决算0万元，占0</w:t>
      </w:r>
      <w:r w:rsidRPr="00856741">
        <w:rPr>
          <w:rFonts w:ascii="仿宋" w:eastAsia="仿宋" w:hAnsi="仿宋"/>
          <w:sz w:val="32"/>
          <w:szCs w:val="32"/>
        </w:rPr>
        <w:t>%</w:t>
      </w:r>
      <w:r w:rsidRPr="00856741">
        <w:rPr>
          <w:rFonts w:ascii="仿宋" w:eastAsia="仿宋" w:hAnsi="仿宋" w:hint="eastAsia"/>
          <w:sz w:val="32"/>
          <w:szCs w:val="32"/>
        </w:rPr>
        <w:t>；公务用车购置及运行维护费支出决算0万元，占0</w:t>
      </w:r>
      <w:r w:rsidRPr="00856741">
        <w:rPr>
          <w:rFonts w:ascii="仿宋" w:eastAsia="仿宋" w:hAnsi="仿宋"/>
          <w:sz w:val="32"/>
          <w:szCs w:val="32"/>
        </w:rPr>
        <w:t>%</w:t>
      </w:r>
      <w:r w:rsidRPr="00856741">
        <w:rPr>
          <w:rFonts w:ascii="仿宋" w:eastAsia="仿宋" w:hAnsi="仿宋" w:hint="eastAsia"/>
          <w:sz w:val="32"/>
          <w:szCs w:val="32"/>
        </w:rPr>
        <w:t>；公务接待费支出决算0万元，占0</w:t>
      </w:r>
      <w:r w:rsidRPr="00856741">
        <w:rPr>
          <w:rFonts w:ascii="仿宋" w:eastAsia="仿宋" w:hAnsi="仿宋"/>
          <w:sz w:val="32"/>
          <w:szCs w:val="32"/>
        </w:rPr>
        <w:t>%</w:t>
      </w:r>
      <w:r w:rsidRPr="00856741">
        <w:rPr>
          <w:rFonts w:ascii="仿宋" w:eastAsia="仿宋" w:hAnsi="仿宋" w:hint="eastAsia"/>
          <w:sz w:val="32"/>
          <w:szCs w:val="32"/>
        </w:rPr>
        <w:t>。具体情况如下：</w:t>
      </w:r>
    </w:p>
    <w:p w:rsidR="00FC5B9A" w:rsidRPr="00856741" w:rsidRDefault="00A50BEA">
      <w:pPr>
        <w:spacing w:line="600" w:lineRule="exact"/>
        <w:ind w:firstLine="640"/>
        <w:rPr>
          <w:rFonts w:ascii="仿宋" w:eastAsia="仿宋" w:hAnsi="仿宋"/>
          <w:sz w:val="32"/>
          <w:szCs w:val="32"/>
        </w:rPr>
      </w:pPr>
      <w:r w:rsidRPr="00856741">
        <w:rPr>
          <w:rFonts w:ascii="仿宋" w:eastAsia="仿宋" w:hAnsi="仿宋"/>
          <w:sz w:val="32"/>
          <w:szCs w:val="32"/>
        </w:rPr>
        <w:t>1.</w:t>
      </w:r>
      <w:r w:rsidRPr="00856741">
        <w:rPr>
          <w:rFonts w:ascii="仿宋" w:eastAsia="仿宋" w:hAnsi="仿宋" w:hint="eastAsia"/>
          <w:sz w:val="32"/>
          <w:szCs w:val="32"/>
        </w:rPr>
        <w:t>因公出国（境）经费支出0万元，</w:t>
      </w:r>
      <w:r w:rsidRPr="00856741">
        <w:rPr>
          <w:rStyle w:val="a9"/>
          <w:rFonts w:ascii="仿宋" w:eastAsia="仿宋" w:hAnsi="仿宋" w:hint="eastAsia"/>
          <w:b w:val="0"/>
          <w:bCs/>
          <w:sz w:val="32"/>
          <w:szCs w:val="32"/>
        </w:rPr>
        <w:t>完成预算0</w:t>
      </w:r>
      <w:r w:rsidRPr="00856741">
        <w:rPr>
          <w:rStyle w:val="a9"/>
          <w:rFonts w:ascii="仿宋" w:eastAsia="仿宋" w:hAnsi="仿宋"/>
          <w:b w:val="0"/>
          <w:bCs/>
          <w:sz w:val="32"/>
          <w:szCs w:val="32"/>
        </w:rPr>
        <w:t>%</w:t>
      </w:r>
      <w:r w:rsidRPr="00856741">
        <w:rPr>
          <w:rStyle w:val="a9"/>
          <w:rFonts w:ascii="仿宋" w:eastAsia="仿宋" w:hAnsi="仿宋" w:hint="eastAsia"/>
          <w:b w:val="0"/>
          <w:bCs/>
          <w:sz w:val="32"/>
          <w:szCs w:val="32"/>
        </w:rPr>
        <w:t>。</w:t>
      </w:r>
      <w:r w:rsidRPr="00856741">
        <w:rPr>
          <w:rFonts w:ascii="仿宋" w:eastAsia="仿宋" w:hAnsi="仿宋" w:hint="eastAsia"/>
          <w:sz w:val="32"/>
          <w:szCs w:val="32"/>
        </w:rPr>
        <w:t>全年安排因公出国（境）团组0次，出国（境）0人。因公出国（境）支出决算</w:t>
      </w:r>
      <w:r w:rsidR="00856741">
        <w:rPr>
          <w:rFonts w:ascii="仿宋" w:eastAsia="仿宋" w:hAnsi="仿宋" w:hint="eastAsia"/>
          <w:sz w:val="32"/>
          <w:szCs w:val="32"/>
        </w:rPr>
        <w:t>与上年持平</w:t>
      </w:r>
      <w:r w:rsidRPr="00856741">
        <w:rPr>
          <w:rFonts w:ascii="仿宋" w:eastAsia="仿宋" w:hAnsi="仿宋" w:hint="eastAsia"/>
          <w:sz w:val="32"/>
          <w:szCs w:val="32"/>
        </w:rPr>
        <w:t>。</w:t>
      </w:r>
    </w:p>
    <w:p w:rsidR="00FC5B9A" w:rsidRPr="00856741" w:rsidRDefault="00A50BEA">
      <w:pPr>
        <w:spacing w:line="600" w:lineRule="exact"/>
        <w:ind w:firstLine="640"/>
        <w:rPr>
          <w:rFonts w:ascii="仿宋" w:eastAsia="仿宋" w:hAnsi="仿宋"/>
          <w:sz w:val="32"/>
          <w:szCs w:val="32"/>
        </w:rPr>
      </w:pPr>
      <w:r w:rsidRPr="00856741">
        <w:rPr>
          <w:rFonts w:ascii="仿宋" w:eastAsia="仿宋" w:hAnsi="仿宋"/>
          <w:sz w:val="32"/>
          <w:szCs w:val="32"/>
        </w:rPr>
        <w:t>2.</w:t>
      </w:r>
      <w:r w:rsidRPr="00856741">
        <w:rPr>
          <w:rFonts w:ascii="仿宋" w:eastAsia="仿宋" w:hAnsi="仿宋" w:hint="eastAsia"/>
          <w:sz w:val="32"/>
          <w:szCs w:val="32"/>
        </w:rPr>
        <w:t>公务用车购置及运行维护费支出0万元,</w:t>
      </w:r>
      <w:r w:rsidRPr="00856741">
        <w:rPr>
          <w:rStyle w:val="a9"/>
          <w:rFonts w:ascii="仿宋" w:eastAsia="仿宋" w:hAnsi="仿宋" w:hint="eastAsia"/>
          <w:b w:val="0"/>
          <w:bCs/>
          <w:sz w:val="32"/>
          <w:szCs w:val="32"/>
        </w:rPr>
        <w:t>完成预算0</w:t>
      </w:r>
      <w:r w:rsidRPr="00856741">
        <w:rPr>
          <w:rStyle w:val="a9"/>
          <w:rFonts w:ascii="仿宋" w:eastAsia="仿宋" w:hAnsi="仿宋"/>
          <w:b w:val="0"/>
          <w:bCs/>
          <w:sz w:val="32"/>
          <w:szCs w:val="32"/>
        </w:rPr>
        <w:t>%</w:t>
      </w:r>
      <w:r w:rsidRPr="00856741">
        <w:rPr>
          <w:rStyle w:val="a9"/>
          <w:rFonts w:ascii="仿宋" w:eastAsia="仿宋" w:hAnsi="仿宋" w:hint="eastAsia"/>
          <w:b w:val="0"/>
          <w:bCs/>
          <w:sz w:val="32"/>
          <w:szCs w:val="32"/>
        </w:rPr>
        <w:t>。</w:t>
      </w:r>
      <w:r w:rsidRPr="00856741">
        <w:rPr>
          <w:rFonts w:ascii="仿宋" w:eastAsia="仿宋" w:hAnsi="仿宋" w:hint="eastAsia"/>
          <w:sz w:val="32"/>
          <w:szCs w:val="32"/>
        </w:rPr>
        <w:t>公务用车购置及运行维护费支出决算</w:t>
      </w:r>
      <w:r w:rsidR="00856741">
        <w:rPr>
          <w:rFonts w:ascii="仿宋" w:eastAsia="仿宋" w:hAnsi="仿宋" w:hint="eastAsia"/>
          <w:sz w:val="32"/>
          <w:szCs w:val="32"/>
        </w:rPr>
        <w:t>与上年持平。</w:t>
      </w:r>
    </w:p>
    <w:p w:rsidR="00FC5B9A" w:rsidRDefault="00A50BEA">
      <w:pPr>
        <w:spacing w:line="600" w:lineRule="exact"/>
        <w:ind w:firstLineChars="200" w:firstLine="640"/>
        <w:rPr>
          <w:rFonts w:ascii="仿宋" w:eastAsia="仿宋" w:hAnsi="仿宋"/>
          <w:b/>
          <w:sz w:val="32"/>
          <w:szCs w:val="32"/>
        </w:rPr>
      </w:pPr>
      <w:r>
        <w:rPr>
          <w:rFonts w:ascii="仿宋" w:eastAsia="仿宋" w:hAnsi="仿宋" w:hint="eastAsia"/>
          <w:sz w:val="32"/>
          <w:szCs w:val="32"/>
        </w:rPr>
        <w:t>其中：公务用车购置支出0万元。全年按规定更新购置公务用车0辆，其中：轿车0辆、金额0万元，越野车0辆、金额0万元，载客汽车0辆、金额0万元。截至</w:t>
      </w:r>
      <w:r>
        <w:rPr>
          <w:rFonts w:ascii="仿宋" w:eastAsia="仿宋" w:hAnsi="仿宋"/>
          <w:sz w:val="32"/>
          <w:szCs w:val="32"/>
        </w:rPr>
        <w:t>20</w:t>
      </w:r>
      <w:r>
        <w:rPr>
          <w:rFonts w:ascii="仿宋" w:eastAsia="仿宋" w:hAnsi="仿宋" w:hint="eastAsia"/>
          <w:sz w:val="32"/>
          <w:szCs w:val="32"/>
        </w:rPr>
        <w:t>22年</w:t>
      </w:r>
      <w:r>
        <w:rPr>
          <w:rFonts w:ascii="仿宋" w:eastAsia="仿宋" w:hAnsi="仿宋"/>
          <w:sz w:val="32"/>
          <w:szCs w:val="32"/>
        </w:rPr>
        <w:t>12</w:t>
      </w:r>
      <w:r>
        <w:rPr>
          <w:rFonts w:ascii="仿宋" w:eastAsia="仿宋" w:hAnsi="仿宋" w:hint="eastAsia"/>
          <w:sz w:val="32"/>
          <w:szCs w:val="32"/>
        </w:rPr>
        <w:t>月底，单位共有公务用车0辆，其中：轿车0辆、越野车0</w:t>
      </w:r>
      <w:r>
        <w:rPr>
          <w:rFonts w:ascii="仿宋" w:eastAsia="仿宋" w:hAnsi="仿宋" w:hint="eastAsia"/>
          <w:sz w:val="32"/>
          <w:szCs w:val="32"/>
        </w:rPr>
        <w:lastRenderedPageBreak/>
        <w:t>辆、载客汽车0辆。</w:t>
      </w:r>
    </w:p>
    <w:p w:rsidR="00FC5B9A" w:rsidRDefault="00A50BEA">
      <w:pPr>
        <w:spacing w:line="600" w:lineRule="exact"/>
        <w:ind w:firstLine="640"/>
        <w:rPr>
          <w:rFonts w:ascii="仿宋" w:eastAsia="仿宋" w:hAnsi="仿宋"/>
          <w:sz w:val="32"/>
          <w:szCs w:val="32"/>
        </w:rPr>
      </w:pPr>
      <w:r>
        <w:rPr>
          <w:rFonts w:ascii="仿宋" w:eastAsia="仿宋" w:hAnsi="仿宋" w:hint="eastAsia"/>
          <w:sz w:val="32"/>
          <w:szCs w:val="32"/>
        </w:rPr>
        <w:t>公务用车运行维护费支出0万元。</w:t>
      </w:r>
    </w:p>
    <w:p w:rsidR="00FC5B9A" w:rsidRDefault="00A50BEA">
      <w:pPr>
        <w:spacing w:line="600" w:lineRule="exact"/>
        <w:ind w:firstLine="640"/>
        <w:rPr>
          <w:rFonts w:ascii="仿宋" w:eastAsia="仿宋" w:hAnsi="仿宋"/>
          <w:sz w:val="32"/>
          <w:szCs w:val="32"/>
        </w:rPr>
      </w:pPr>
      <w:r w:rsidRPr="00633406">
        <w:rPr>
          <w:rFonts w:ascii="仿宋_GB2312" w:eastAsia="仿宋_GB2312"/>
          <w:sz w:val="32"/>
          <w:szCs w:val="32"/>
        </w:rPr>
        <w:t>3.</w:t>
      </w:r>
      <w:r w:rsidRPr="00633406">
        <w:rPr>
          <w:rFonts w:ascii="仿宋_GB2312" w:eastAsia="仿宋_GB2312" w:hint="eastAsia"/>
          <w:sz w:val="32"/>
          <w:szCs w:val="32"/>
        </w:rPr>
        <w:t>公务接待费支出</w:t>
      </w:r>
      <w:r>
        <w:rPr>
          <w:rFonts w:ascii="仿宋" w:eastAsia="仿宋" w:hAnsi="仿宋" w:hint="eastAsia"/>
          <w:sz w:val="32"/>
          <w:szCs w:val="32"/>
        </w:rPr>
        <w:t>0万元，</w:t>
      </w:r>
      <w:r>
        <w:rPr>
          <w:rStyle w:val="a9"/>
          <w:rFonts w:ascii="仿宋" w:eastAsia="仿宋" w:hAnsi="仿宋" w:hint="eastAsia"/>
          <w:b w:val="0"/>
          <w:bCs/>
          <w:sz w:val="32"/>
          <w:szCs w:val="32"/>
        </w:rPr>
        <w:t>完成预算0</w:t>
      </w:r>
      <w:r>
        <w:rPr>
          <w:rStyle w:val="a9"/>
          <w:rFonts w:ascii="仿宋" w:eastAsia="仿宋" w:hAnsi="仿宋"/>
          <w:b w:val="0"/>
          <w:bCs/>
          <w:sz w:val="32"/>
          <w:szCs w:val="32"/>
        </w:rPr>
        <w:t>%</w:t>
      </w:r>
      <w:r>
        <w:rPr>
          <w:rStyle w:val="a9"/>
          <w:rFonts w:ascii="仿宋" w:eastAsia="仿宋" w:hAnsi="仿宋" w:hint="eastAsia"/>
          <w:b w:val="0"/>
          <w:bCs/>
          <w:sz w:val="32"/>
          <w:szCs w:val="32"/>
        </w:rPr>
        <w:t>。</w:t>
      </w:r>
      <w:r>
        <w:rPr>
          <w:rFonts w:ascii="仿宋" w:eastAsia="仿宋" w:hAnsi="仿宋" w:hint="eastAsia"/>
          <w:sz w:val="32"/>
          <w:szCs w:val="32"/>
        </w:rPr>
        <w:t>公务接待费支出决算</w:t>
      </w:r>
      <w:r w:rsidR="00856741">
        <w:rPr>
          <w:rFonts w:ascii="仿宋" w:eastAsia="仿宋" w:hAnsi="仿宋" w:hint="eastAsia"/>
          <w:sz w:val="32"/>
          <w:szCs w:val="32"/>
        </w:rPr>
        <w:t>与上年持平</w:t>
      </w:r>
      <w:r>
        <w:rPr>
          <w:rFonts w:ascii="仿宋" w:eastAsia="仿宋" w:hAnsi="仿宋" w:hint="eastAsia"/>
          <w:sz w:val="32"/>
          <w:szCs w:val="32"/>
        </w:rPr>
        <w:t>。其中：</w:t>
      </w:r>
    </w:p>
    <w:p w:rsidR="00FC5B9A" w:rsidRDefault="00A50BEA">
      <w:pPr>
        <w:spacing w:line="600" w:lineRule="exact"/>
        <w:ind w:firstLine="640"/>
        <w:rPr>
          <w:rFonts w:ascii="仿宋" w:eastAsia="仿宋" w:hAnsi="仿宋"/>
          <w:sz w:val="32"/>
          <w:szCs w:val="32"/>
        </w:rPr>
      </w:pPr>
      <w:r w:rsidRPr="00856741">
        <w:rPr>
          <w:rFonts w:ascii="仿宋" w:eastAsia="仿宋" w:hAnsi="仿宋" w:hint="eastAsia"/>
          <w:sz w:val="32"/>
          <w:szCs w:val="32"/>
        </w:rPr>
        <w:t>国内公务接待支出</w:t>
      </w:r>
      <w:r>
        <w:rPr>
          <w:rFonts w:ascii="仿宋" w:eastAsia="仿宋" w:hAnsi="仿宋" w:hint="eastAsia"/>
          <w:sz w:val="32"/>
          <w:szCs w:val="32"/>
        </w:rPr>
        <w:t>0万元。国内公务接待0批次，0人次（不包括陪同人员），共计支出0万元。</w:t>
      </w:r>
    </w:p>
    <w:p w:rsidR="00FC5B9A" w:rsidRDefault="00A50BEA" w:rsidP="00856741">
      <w:pPr>
        <w:spacing w:line="600" w:lineRule="exact"/>
        <w:ind w:firstLineChars="200" w:firstLine="640"/>
        <w:rPr>
          <w:rFonts w:ascii="仿宋" w:eastAsia="仿宋" w:hAnsi="仿宋"/>
          <w:sz w:val="32"/>
          <w:szCs w:val="32"/>
        </w:rPr>
      </w:pPr>
      <w:r w:rsidRPr="00856741">
        <w:rPr>
          <w:rFonts w:ascii="仿宋" w:eastAsia="仿宋" w:hAnsi="仿宋" w:hint="eastAsia"/>
          <w:sz w:val="32"/>
          <w:szCs w:val="32"/>
        </w:rPr>
        <w:t>外事接待支出</w:t>
      </w:r>
      <w:r>
        <w:rPr>
          <w:rFonts w:ascii="仿宋" w:eastAsia="仿宋" w:hAnsi="仿宋" w:hint="eastAsia"/>
          <w:sz w:val="32"/>
          <w:szCs w:val="32"/>
        </w:rPr>
        <w:t>0万元。外事接待0批次，0人次（不包括陪同人员），共计支出0万元。</w:t>
      </w:r>
    </w:p>
    <w:p w:rsidR="00FC5B9A" w:rsidRDefault="00A50BEA">
      <w:pPr>
        <w:spacing w:line="600" w:lineRule="exact"/>
        <w:ind w:firstLine="640"/>
        <w:outlineLvl w:val="1"/>
        <w:rPr>
          <w:rStyle w:val="2Char"/>
          <w:rFonts w:ascii="黑体" w:eastAsia="黑体" w:hAnsi="黑体"/>
        </w:rPr>
      </w:pPr>
      <w:bookmarkStart w:id="41" w:name="_Toc15377218"/>
      <w:bookmarkStart w:id="42" w:name="_Toc15396610"/>
      <w:r>
        <w:rPr>
          <w:rFonts w:ascii="黑体" w:eastAsia="黑体" w:hint="eastAsia"/>
          <w:sz w:val="32"/>
          <w:szCs w:val="32"/>
        </w:rPr>
        <w:t>八、</w:t>
      </w:r>
      <w:r>
        <w:rPr>
          <w:rStyle w:val="2Char"/>
          <w:rFonts w:ascii="黑体" w:eastAsia="黑体" w:hAnsi="黑体" w:hint="eastAsia"/>
          <w:b w:val="0"/>
        </w:rPr>
        <w:t>政府性基金预算支出决算情况说明</w:t>
      </w:r>
      <w:bookmarkEnd w:id="41"/>
      <w:bookmarkEnd w:id="42"/>
    </w:p>
    <w:p w:rsidR="00FC5B9A" w:rsidRDefault="00A50BEA">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22年政府性基金预算财政拨款支出0万元。</w:t>
      </w:r>
    </w:p>
    <w:p w:rsidR="00FC5B9A" w:rsidRDefault="00A50BEA">
      <w:pPr>
        <w:numPr>
          <w:ilvl w:val="0"/>
          <w:numId w:val="3"/>
        </w:numPr>
        <w:spacing w:line="600" w:lineRule="exact"/>
        <w:ind w:firstLine="640"/>
        <w:outlineLvl w:val="1"/>
        <w:rPr>
          <w:rStyle w:val="2Char"/>
          <w:rFonts w:ascii="黑体" w:eastAsia="黑体" w:hAnsi="黑体"/>
          <w:b w:val="0"/>
        </w:rPr>
      </w:pPr>
      <w:bookmarkStart w:id="43" w:name="_Toc15396611"/>
      <w:bookmarkStart w:id="44" w:name="_Toc15377219"/>
      <w:r>
        <w:rPr>
          <w:rStyle w:val="2Char"/>
          <w:rFonts w:ascii="黑体" w:eastAsia="黑体" w:hAnsi="黑体" w:hint="eastAsia"/>
          <w:b w:val="0"/>
        </w:rPr>
        <w:t>国有资本经营预算支出决算情况说明</w:t>
      </w:r>
      <w:bookmarkEnd w:id="43"/>
      <w:bookmarkEnd w:id="44"/>
    </w:p>
    <w:p w:rsidR="00FC5B9A" w:rsidRDefault="00A50BEA">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22年国有资本经营预算财政拨款支出0万元。</w:t>
      </w:r>
    </w:p>
    <w:p w:rsidR="00FC5B9A" w:rsidRDefault="00A50BEA">
      <w:pPr>
        <w:numPr>
          <w:ilvl w:val="0"/>
          <w:numId w:val="3"/>
        </w:numPr>
        <w:spacing w:line="600" w:lineRule="exact"/>
        <w:ind w:firstLine="640"/>
        <w:outlineLvl w:val="1"/>
        <w:rPr>
          <w:rStyle w:val="2Char"/>
          <w:rFonts w:ascii="黑体" w:eastAsia="黑体" w:hAnsi="黑体"/>
          <w:b w:val="0"/>
        </w:rPr>
      </w:pPr>
      <w:bookmarkStart w:id="45" w:name="_Toc15377221"/>
      <w:bookmarkStart w:id="46" w:name="_Toc15396612"/>
      <w:r>
        <w:rPr>
          <w:rStyle w:val="2Char"/>
          <w:rFonts w:ascii="黑体" w:eastAsia="黑体" w:hAnsi="黑体" w:hint="eastAsia"/>
          <w:b w:val="0"/>
        </w:rPr>
        <w:t>其他重要事项的情况说明</w:t>
      </w:r>
      <w:bookmarkEnd w:id="45"/>
      <w:bookmarkEnd w:id="46"/>
    </w:p>
    <w:p w:rsidR="00FC5B9A" w:rsidRDefault="00A50BEA">
      <w:pPr>
        <w:spacing w:line="600" w:lineRule="exact"/>
        <w:ind w:firstLineChars="200" w:firstLine="643"/>
        <w:outlineLvl w:val="2"/>
        <w:rPr>
          <w:rFonts w:ascii="仿宋" w:eastAsia="仿宋" w:hAnsi="仿宋"/>
          <w:sz w:val="32"/>
          <w:szCs w:val="32"/>
        </w:rPr>
      </w:pPr>
      <w:bookmarkStart w:id="47" w:name="_Toc15377222"/>
      <w:r>
        <w:rPr>
          <w:rFonts w:ascii="仿宋" w:eastAsia="仿宋" w:hAnsi="仿宋" w:hint="eastAsia"/>
          <w:b/>
          <w:sz w:val="32"/>
          <w:szCs w:val="32"/>
        </w:rPr>
        <w:t>（一）机关运行经费支出情况</w:t>
      </w:r>
      <w:bookmarkEnd w:id="47"/>
    </w:p>
    <w:p w:rsidR="00FC5B9A" w:rsidRDefault="00A50BEA">
      <w:pPr>
        <w:spacing w:line="600" w:lineRule="exact"/>
        <w:ind w:firstLineChars="200"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22年，县</w:t>
      </w:r>
      <w:r>
        <w:rPr>
          <w:rFonts w:ascii="仿宋" w:eastAsia="仿宋" w:hAnsi="仿宋"/>
          <w:sz w:val="32"/>
          <w:szCs w:val="32"/>
        </w:rPr>
        <w:t>融媒体中心</w:t>
      </w:r>
      <w:r>
        <w:rPr>
          <w:rFonts w:ascii="仿宋" w:eastAsia="仿宋" w:hAnsi="仿宋" w:hint="eastAsia"/>
          <w:sz w:val="32"/>
          <w:szCs w:val="32"/>
        </w:rPr>
        <w:t>机关运行经费支出0万元，</w:t>
      </w:r>
      <w:r w:rsidR="00BD15B6">
        <w:rPr>
          <w:rFonts w:ascii="仿宋" w:eastAsia="仿宋" w:hAnsi="仿宋" w:hint="eastAsia"/>
          <w:sz w:val="32"/>
          <w:szCs w:val="32"/>
        </w:rPr>
        <w:t>与上</w:t>
      </w:r>
      <w:r>
        <w:rPr>
          <w:rFonts w:ascii="仿宋" w:eastAsia="仿宋" w:hAnsi="仿宋" w:hint="eastAsia"/>
          <w:sz w:val="32"/>
          <w:szCs w:val="32"/>
        </w:rPr>
        <w:t>年</w:t>
      </w:r>
      <w:r w:rsidR="00856741">
        <w:rPr>
          <w:rFonts w:ascii="仿宋" w:eastAsia="仿宋" w:hAnsi="仿宋" w:hint="eastAsia"/>
          <w:sz w:val="32"/>
          <w:szCs w:val="32"/>
        </w:rPr>
        <w:t>持平</w:t>
      </w:r>
      <w:r>
        <w:rPr>
          <w:rFonts w:ascii="仿宋" w:eastAsia="仿宋" w:hAnsi="仿宋" w:hint="eastAsia"/>
          <w:sz w:val="32"/>
          <w:szCs w:val="32"/>
        </w:rPr>
        <w:t>。</w:t>
      </w:r>
    </w:p>
    <w:p w:rsidR="00FC5B9A" w:rsidRDefault="00A50BEA">
      <w:pPr>
        <w:autoSpaceDE w:val="0"/>
        <w:autoSpaceDN w:val="0"/>
        <w:adjustRightInd w:val="0"/>
        <w:spacing w:line="600" w:lineRule="exact"/>
        <w:ind w:firstLineChars="200" w:firstLine="643"/>
        <w:jc w:val="left"/>
        <w:outlineLvl w:val="2"/>
        <w:rPr>
          <w:rFonts w:ascii="仿宋" w:eastAsia="仿宋" w:hAnsi="仿宋"/>
          <w:b/>
          <w:sz w:val="32"/>
          <w:szCs w:val="32"/>
        </w:rPr>
      </w:pPr>
      <w:bookmarkStart w:id="48" w:name="_Toc15377223"/>
      <w:r>
        <w:rPr>
          <w:rFonts w:ascii="仿宋" w:eastAsia="仿宋" w:hAnsi="仿宋" w:hint="eastAsia"/>
          <w:b/>
          <w:sz w:val="32"/>
          <w:szCs w:val="32"/>
        </w:rPr>
        <w:t>（二）政府采购支出情况</w:t>
      </w:r>
      <w:bookmarkEnd w:id="48"/>
    </w:p>
    <w:p w:rsidR="00FC5B9A" w:rsidRDefault="00A50BEA">
      <w:pPr>
        <w:spacing w:line="600" w:lineRule="exact"/>
        <w:ind w:firstLineChars="200"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22年，县</w:t>
      </w:r>
      <w:r>
        <w:rPr>
          <w:rFonts w:ascii="仿宋" w:eastAsia="仿宋" w:hAnsi="仿宋"/>
          <w:sz w:val="32"/>
          <w:szCs w:val="32"/>
        </w:rPr>
        <w:t>融媒体中心</w:t>
      </w:r>
      <w:r>
        <w:rPr>
          <w:rFonts w:ascii="仿宋" w:eastAsia="仿宋" w:hAnsi="仿宋" w:hint="eastAsia"/>
          <w:sz w:val="32"/>
          <w:szCs w:val="32"/>
        </w:rPr>
        <w:t>政府采购支出总额0万元，其中：政府采购货物支出0万元、政府采购工程支出0万元、政府采购服务支出0万元。授予中小企业合同金额0万元，占政府采购支出总额的0</w:t>
      </w:r>
      <w:r>
        <w:rPr>
          <w:rFonts w:ascii="仿宋" w:eastAsia="仿宋" w:hAnsi="仿宋"/>
          <w:sz w:val="32"/>
          <w:szCs w:val="32"/>
        </w:rPr>
        <w:t>%</w:t>
      </w:r>
      <w:r>
        <w:rPr>
          <w:rFonts w:ascii="仿宋" w:eastAsia="仿宋" w:hAnsi="仿宋" w:hint="eastAsia"/>
          <w:sz w:val="32"/>
          <w:szCs w:val="32"/>
        </w:rPr>
        <w:t>，其中：授予小微企业合同金额0万元，占政府采购支出总额的0</w:t>
      </w:r>
      <w:r>
        <w:rPr>
          <w:rFonts w:ascii="仿宋" w:eastAsia="仿宋" w:hAnsi="仿宋"/>
          <w:sz w:val="32"/>
          <w:szCs w:val="32"/>
        </w:rPr>
        <w:t>%</w:t>
      </w:r>
      <w:r>
        <w:rPr>
          <w:rFonts w:ascii="仿宋" w:eastAsia="仿宋" w:hAnsi="仿宋" w:hint="eastAsia"/>
          <w:sz w:val="32"/>
          <w:szCs w:val="32"/>
        </w:rPr>
        <w:t>。</w:t>
      </w:r>
    </w:p>
    <w:p w:rsidR="00FC5B9A" w:rsidRDefault="00A50BEA">
      <w:pPr>
        <w:autoSpaceDE w:val="0"/>
        <w:autoSpaceDN w:val="0"/>
        <w:adjustRightInd w:val="0"/>
        <w:spacing w:line="600" w:lineRule="exact"/>
        <w:ind w:firstLineChars="200" w:firstLine="643"/>
        <w:jc w:val="left"/>
        <w:outlineLvl w:val="2"/>
        <w:rPr>
          <w:rFonts w:ascii="仿宋" w:eastAsia="仿宋" w:hAnsi="仿宋"/>
          <w:b/>
          <w:sz w:val="32"/>
          <w:szCs w:val="32"/>
        </w:rPr>
      </w:pPr>
      <w:bookmarkStart w:id="49" w:name="_Toc15377224"/>
      <w:r>
        <w:rPr>
          <w:rFonts w:ascii="仿宋" w:eastAsia="仿宋" w:hAnsi="仿宋" w:hint="eastAsia"/>
          <w:b/>
          <w:sz w:val="32"/>
          <w:szCs w:val="32"/>
        </w:rPr>
        <w:t>（三）国有资产占有使用情况</w:t>
      </w:r>
      <w:bookmarkEnd w:id="49"/>
    </w:p>
    <w:p w:rsidR="00FC5B9A" w:rsidRDefault="00A50BEA">
      <w:pPr>
        <w:autoSpaceDE w:val="0"/>
        <w:autoSpaceDN w:val="0"/>
        <w:adjustRightInd w:val="0"/>
        <w:spacing w:line="600" w:lineRule="exact"/>
        <w:ind w:firstLineChars="200" w:firstLine="640"/>
        <w:jc w:val="left"/>
        <w:rPr>
          <w:rFonts w:ascii="仿宋" w:eastAsia="仿宋" w:hAnsi="仿宋"/>
          <w:sz w:val="32"/>
          <w:szCs w:val="32"/>
        </w:rPr>
      </w:pPr>
      <w:r>
        <w:rPr>
          <w:rFonts w:ascii="仿宋" w:eastAsia="仿宋" w:hAnsi="仿宋" w:hint="eastAsia"/>
          <w:sz w:val="32"/>
          <w:szCs w:val="32"/>
        </w:rPr>
        <w:lastRenderedPageBreak/>
        <w:t>截至</w:t>
      </w:r>
      <w:r>
        <w:rPr>
          <w:rFonts w:ascii="仿宋" w:eastAsia="仿宋" w:hAnsi="仿宋"/>
          <w:sz w:val="32"/>
          <w:szCs w:val="32"/>
        </w:rPr>
        <w:t>20</w:t>
      </w:r>
      <w:r>
        <w:rPr>
          <w:rFonts w:ascii="仿宋" w:eastAsia="仿宋" w:hAnsi="仿宋" w:hint="eastAsia"/>
          <w:sz w:val="32"/>
          <w:szCs w:val="32"/>
        </w:rPr>
        <w:t>22年</w:t>
      </w:r>
      <w:r>
        <w:rPr>
          <w:rFonts w:ascii="仿宋" w:eastAsia="仿宋" w:hAnsi="仿宋"/>
          <w:sz w:val="32"/>
          <w:szCs w:val="32"/>
        </w:rPr>
        <w:t>12</w:t>
      </w:r>
      <w:r>
        <w:rPr>
          <w:rFonts w:ascii="仿宋" w:eastAsia="仿宋" w:hAnsi="仿宋" w:hint="eastAsia"/>
          <w:sz w:val="32"/>
          <w:szCs w:val="32"/>
        </w:rPr>
        <w:t>月</w:t>
      </w:r>
      <w:r>
        <w:rPr>
          <w:rFonts w:ascii="仿宋" w:eastAsia="仿宋" w:hAnsi="仿宋"/>
          <w:sz w:val="32"/>
          <w:szCs w:val="32"/>
        </w:rPr>
        <w:t>31</w:t>
      </w:r>
      <w:r>
        <w:rPr>
          <w:rFonts w:ascii="仿宋" w:eastAsia="仿宋" w:hAnsi="仿宋" w:hint="eastAsia"/>
          <w:sz w:val="32"/>
          <w:szCs w:val="32"/>
        </w:rPr>
        <w:t>日，县</w:t>
      </w:r>
      <w:r>
        <w:rPr>
          <w:rFonts w:ascii="仿宋" w:eastAsia="仿宋" w:hAnsi="仿宋"/>
          <w:sz w:val="32"/>
          <w:szCs w:val="32"/>
        </w:rPr>
        <w:t>融媒体中心</w:t>
      </w:r>
      <w:r>
        <w:rPr>
          <w:rFonts w:ascii="仿宋" w:eastAsia="仿宋" w:hAnsi="仿宋" w:hint="eastAsia"/>
          <w:sz w:val="32"/>
          <w:szCs w:val="32"/>
        </w:rPr>
        <w:t>共有车辆0辆，其中：主要领导干部用车0辆、机要通信用车0辆、应急保障用车0辆、其他用车0辆。单价</w:t>
      </w:r>
      <w:r>
        <w:rPr>
          <w:rFonts w:ascii="仿宋" w:eastAsia="仿宋" w:hAnsi="仿宋"/>
          <w:sz w:val="32"/>
          <w:szCs w:val="32"/>
        </w:rPr>
        <w:t>100</w:t>
      </w:r>
      <w:r>
        <w:rPr>
          <w:rFonts w:ascii="仿宋" w:eastAsia="仿宋" w:hAnsi="仿宋" w:hint="eastAsia"/>
          <w:sz w:val="32"/>
          <w:szCs w:val="32"/>
        </w:rPr>
        <w:t>万元以上专用设备0台（套）。</w:t>
      </w:r>
    </w:p>
    <w:p w:rsidR="00FC5B9A" w:rsidRDefault="00A50BEA">
      <w:pPr>
        <w:autoSpaceDE w:val="0"/>
        <w:autoSpaceDN w:val="0"/>
        <w:adjustRightInd w:val="0"/>
        <w:spacing w:line="600" w:lineRule="exact"/>
        <w:ind w:firstLineChars="200" w:firstLine="643"/>
        <w:jc w:val="left"/>
        <w:outlineLvl w:val="2"/>
        <w:rPr>
          <w:rFonts w:ascii="仿宋" w:eastAsia="仿宋" w:hAnsi="仿宋"/>
          <w:b/>
          <w:sz w:val="32"/>
          <w:szCs w:val="32"/>
        </w:rPr>
      </w:pPr>
      <w:r>
        <w:rPr>
          <w:rFonts w:ascii="仿宋" w:eastAsia="仿宋" w:hAnsi="仿宋" w:hint="eastAsia"/>
          <w:b/>
          <w:sz w:val="32"/>
          <w:szCs w:val="32"/>
        </w:rPr>
        <w:t>（四）预算绩效管理情况</w:t>
      </w:r>
    </w:p>
    <w:p w:rsidR="00FC5B9A" w:rsidRDefault="00A50BEA">
      <w:pPr>
        <w:widowControl/>
        <w:ind w:firstLineChars="200" w:firstLine="640"/>
        <w:jc w:val="left"/>
        <w:rPr>
          <w:rFonts w:ascii="仿宋" w:eastAsia="仿宋" w:hAnsi="仿宋" w:cs="仿宋_GB2312"/>
          <w:sz w:val="32"/>
          <w:szCs w:val="32"/>
        </w:rPr>
      </w:pPr>
      <w:r>
        <w:rPr>
          <w:rFonts w:ascii="仿宋" w:eastAsia="仿宋" w:hAnsi="仿宋" w:cs="仿宋_GB2312" w:hint="eastAsia"/>
          <w:sz w:val="32"/>
          <w:szCs w:val="32"/>
        </w:rPr>
        <w:t>根据预算绩效管理要求，本部门在2022年度</w:t>
      </w:r>
      <w:r w:rsidR="009E401D">
        <w:rPr>
          <w:rFonts w:ascii="仿宋" w:eastAsia="仿宋" w:hAnsi="仿宋" w:cs="仿宋_GB2312" w:hint="eastAsia"/>
          <w:sz w:val="32"/>
          <w:szCs w:val="32"/>
        </w:rPr>
        <w:t>预算编制阶段，组织对民族工作专项及其他文化旅游体育与传媒支出</w:t>
      </w:r>
      <w:r>
        <w:rPr>
          <w:rFonts w:ascii="仿宋" w:eastAsia="仿宋" w:hAnsi="仿宋" w:cs="仿宋_GB2312" w:hint="eastAsia"/>
          <w:sz w:val="32"/>
          <w:szCs w:val="32"/>
        </w:rPr>
        <w:t>等2个项目开展了预算事前绩效评估，对2个项目编制了绩效目标，预算执行过程中，选取2个项目开展绩效监控。</w:t>
      </w:r>
    </w:p>
    <w:p w:rsidR="00FC5B9A" w:rsidRDefault="00A50BEA">
      <w:pPr>
        <w:widowControl/>
        <w:ind w:firstLineChars="200" w:firstLine="640"/>
        <w:jc w:val="left"/>
        <w:rPr>
          <w:rFonts w:ascii="仿宋" w:eastAsia="仿宋" w:hAnsi="仿宋" w:cs="仿宋_GB2312"/>
          <w:sz w:val="32"/>
          <w:szCs w:val="32"/>
        </w:rPr>
      </w:pPr>
      <w:r>
        <w:rPr>
          <w:rFonts w:ascii="仿宋" w:eastAsia="仿宋" w:hAnsi="仿宋" w:cs="仿宋_GB2312" w:hint="eastAsia"/>
          <w:sz w:val="32"/>
          <w:szCs w:val="32"/>
        </w:rPr>
        <w:t>组织对2022年度部门所有预算资金全面开展绩效自评，形成县融媒体中心部门整体绩效自评报告、民族工作专项及其他文化旅游体育与传媒支出项目等专项预算项目绩效自评报告，绩效自评报告详见附件。</w:t>
      </w:r>
    </w:p>
    <w:p w:rsidR="00FC5B9A" w:rsidRDefault="00FC5B9A">
      <w:pPr>
        <w:pStyle w:val="a0"/>
        <w:spacing w:before="93"/>
      </w:pPr>
    </w:p>
    <w:p w:rsidR="00FC5B9A" w:rsidRDefault="00FC5B9A">
      <w:pPr>
        <w:pStyle w:val="a0"/>
        <w:spacing w:before="93"/>
      </w:pPr>
    </w:p>
    <w:p w:rsidR="00FC5B9A" w:rsidRDefault="00FC5B9A">
      <w:pPr>
        <w:pStyle w:val="a0"/>
        <w:spacing w:before="93"/>
      </w:pPr>
    </w:p>
    <w:p w:rsidR="00856741" w:rsidRDefault="00856741">
      <w:pPr>
        <w:pStyle w:val="a0"/>
        <w:spacing w:before="93"/>
      </w:pPr>
    </w:p>
    <w:p w:rsidR="00856741" w:rsidRDefault="00856741">
      <w:pPr>
        <w:pStyle w:val="a0"/>
        <w:spacing w:before="93"/>
      </w:pPr>
    </w:p>
    <w:p w:rsidR="00856741" w:rsidRDefault="00856741">
      <w:pPr>
        <w:pStyle w:val="a0"/>
        <w:spacing w:before="93"/>
      </w:pPr>
    </w:p>
    <w:p w:rsidR="00856741" w:rsidRDefault="00856741">
      <w:pPr>
        <w:pStyle w:val="a0"/>
        <w:spacing w:before="93"/>
      </w:pPr>
    </w:p>
    <w:p w:rsidR="00856741" w:rsidRDefault="00856741">
      <w:pPr>
        <w:pStyle w:val="a0"/>
        <w:spacing w:before="93"/>
      </w:pPr>
    </w:p>
    <w:p w:rsidR="00856741" w:rsidRDefault="00856741">
      <w:pPr>
        <w:pStyle w:val="a0"/>
        <w:spacing w:before="93"/>
      </w:pPr>
    </w:p>
    <w:p w:rsidR="00FC5B9A" w:rsidRDefault="00A50BEA">
      <w:pPr>
        <w:numPr>
          <w:ilvl w:val="0"/>
          <w:numId w:val="4"/>
        </w:numPr>
        <w:spacing w:line="600" w:lineRule="exact"/>
        <w:ind w:firstLineChars="150" w:firstLine="660"/>
        <w:jc w:val="center"/>
        <w:outlineLvl w:val="0"/>
        <w:rPr>
          <w:rStyle w:val="1Char"/>
          <w:rFonts w:ascii="黑体" w:eastAsia="黑体" w:hAnsi="黑体"/>
          <w:b w:val="0"/>
        </w:rPr>
      </w:pPr>
      <w:bookmarkStart w:id="50" w:name="_Toc15377225"/>
      <w:bookmarkStart w:id="51" w:name="_Toc15396613"/>
      <w:r>
        <w:rPr>
          <w:rFonts w:ascii="黑体" w:eastAsia="黑体" w:hAnsi="黑体" w:hint="eastAsia"/>
          <w:sz w:val="44"/>
          <w:szCs w:val="44"/>
        </w:rPr>
        <w:lastRenderedPageBreak/>
        <w:t>名</w:t>
      </w:r>
      <w:r>
        <w:rPr>
          <w:rStyle w:val="1Char"/>
          <w:rFonts w:ascii="黑体" w:eastAsia="黑体" w:hAnsi="黑体" w:hint="eastAsia"/>
          <w:b w:val="0"/>
        </w:rPr>
        <w:t>词解释</w:t>
      </w:r>
      <w:bookmarkEnd w:id="50"/>
      <w:bookmarkEnd w:id="51"/>
    </w:p>
    <w:p w:rsidR="00FC5B9A" w:rsidRDefault="00FC5B9A">
      <w:pPr>
        <w:spacing w:line="600" w:lineRule="exact"/>
        <w:jc w:val="left"/>
        <w:rPr>
          <w:rFonts w:ascii="仿宋" w:eastAsia="仿宋" w:hAnsi="仿宋"/>
          <w:b/>
          <w:sz w:val="44"/>
          <w:szCs w:val="44"/>
        </w:rPr>
      </w:pPr>
    </w:p>
    <w:p w:rsidR="00FC5B9A" w:rsidRDefault="00A50BEA">
      <w:pPr>
        <w:pStyle w:val="Default"/>
        <w:spacing w:line="560" w:lineRule="exact"/>
        <w:ind w:firstLineChars="200" w:firstLine="640"/>
        <w:rPr>
          <w:rFonts w:hAnsi="仿宋"/>
          <w:color w:val="auto"/>
          <w:sz w:val="32"/>
          <w:szCs w:val="32"/>
        </w:rPr>
      </w:pPr>
      <w:r>
        <w:rPr>
          <w:rFonts w:hAnsi="仿宋"/>
          <w:color w:val="auto"/>
          <w:sz w:val="32"/>
          <w:szCs w:val="32"/>
        </w:rPr>
        <w:t>1.</w:t>
      </w:r>
      <w:r>
        <w:rPr>
          <w:rFonts w:hAnsi="仿宋" w:hint="eastAsia"/>
          <w:color w:val="auto"/>
          <w:sz w:val="32"/>
          <w:szCs w:val="32"/>
        </w:rPr>
        <w:t>财政拨款收入：指单位从同级财政部门取得的财政预算资金。</w:t>
      </w:r>
    </w:p>
    <w:p w:rsidR="00FC5B9A" w:rsidRDefault="00A50BEA">
      <w:pPr>
        <w:pStyle w:val="Default"/>
        <w:spacing w:line="560" w:lineRule="exact"/>
        <w:ind w:firstLineChars="200" w:firstLine="640"/>
        <w:rPr>
          <w:rFonts w:hAnsi="仿宋"/>
          <w:sz w:val="32"/>
          <w:szCs w:val="32"/>
        </w:rPr>
      </w:pPr>
      <w:r>
        <w:rPr>
          <w:rFonts w:hAnsi="仿宋"/>
          <w:color w:val="auto"/>
          <w:sz w:val="32"/>
          <w:szCs w:val="32"/>
        </w:rPr>
        <w:t>2.</w:t>
      </w:r>
      <w:r>
        <w:rPr>
          <w:rFonts w:hAnsi="仿宋" w:hint="eastAsia"/>
          <w:sz w:val="32"/>
          <w:szCs w:val="32"/>
        </w:rPr>
        <w:t>一般公共服务（类）民族事务（款）民族工作专项（项）：指用于民族事务管理方面的专项支出。</w:t>
      </w:r>
    </w:p>
    <w:p w:rsidR="00FC5B9A" w:rsidRDefault="00A50BEA">
      <w:pPr>
        <w:ind w:firstLineChars="200" w:firstLine="640"/>
        <w:rPr>
          <w:rFonts w:ascii="仿宋" w:eastAsia="仿宋" w:hAnsi="仿宋"/>
          <w:sz w:val="32"/>
          <w:szCs w:val="32"/>
        </w:rPr>
      </w:pPr>
      <w:r>
        <w:rPr>
          <w:rFonts w:ascii="仿宋" w:eastAsia="仿宋" w:hAnsi="仿宋" w:hint="eastAsia"/>
          <w:sz w:val="32"/>
          <w:szCs w:val="32"/>
        </w:rPr>
        <w:t>3</w:t>
      </w:r>
      <w:r>
        <w:rPr>
          <w:rFonts w:ascii="仿宋" w:eastAsia="仿宋" w:hAnsi="仿宋"/>
          <w:sz w:val="32"/>
          <w:szCs w:val="32"/>
        </w:rPr>
        <w:t>.</w:t>
      </w:r>
      <w:r>
        <w:rPr>
          <w:rFonts w:ascii="仿宋" w:eastAsia="仿宋" w:hAnsi="仿宋" w:hint="eastAsia"/>
          <w:sz w:val="32"/>
          <w:szCs w:val="32"/>
        </w:rPr>
        <w:t>文化旅游体育与传媒（类）广播电视（款）广播电视事务（项）：指</w:t>
      </w:r>
      <w:r>
        <w:rPr>
          <w:rFonts w:ascii="仿宋" w:eastAsia="仿宋" w:hAnsi="仿宋" w:hint="eastAsia"/>
          <w:color w:val="000000"/>
          <w:sz w:val="32"/>
          <w:szCs w:val="32"/>
        </w:rPr>
        <w:t>反映广播电视台等的支出</w:t>
      </w:r>
      <w:r>
        <w:rPr>
          <w:rFonts w:ascii="仿宋" w:eastAsia="仿宋" w:hAnsi="仿宋" w:hint="eastAsia"/>
          <w:sz w:val="32"/>
          <w:szCs w:val="32"/>
        </w:rPr>
        <w:t>。</w:t>
      </w:r>
    </w:p>
    <w:p w:rsidR="00FC5B9A" w:rsidRDefault="00A50BEA">
      <w:pPr>
        <w:ind w:firstLineChars="200" w:firstLine="640"/>
        <w:rPr>
          <w:rFonts w:ascii="仿宋" w:eastAsia="仿宋" w:hAnsi="仿宋"/>
          <w:sz w:val="32"/>
          <w:szCs w:val="32"/>
        </w:rPr>
      </w:pPr>
      <w:r>
        <w:rPr>
          <w:rFonts w:ascii="仿宋" w:eastAsia="仿宋" w:hAnsi="仿宋" w:hint="eastAsia"/>
          <w:sz w:val="32"/>
          <w:szCs w:val="32"/>
        </w:rPr>
        <w:t>4</w:t>
      </w:r>
      <w:r>
        <w:rPr>
          <w:rFonts w:ascii="仿宋" w:eastAsia="仿宋" w:hAnsi="仿宋"/>
          <w:sz w:val="32"/>
          <w:szCs w:val="32"/>
        </w:rPr>
        <w:t>.</w:t>
      </w:r>
      <w:r>
        <w:rPr>
          <w:rFonts w:ascii="仿宋" w:eastAsia="仿宋" w:hAnsi="仿宋" w:hint="eastAsia"/>
          <w:sz w:val="32"/>
          <w:szCs w:val="32"/>
        </w:rPr>
        <w:t>文化旅游体育与传媒（类）其他文化旅游体育与传媒支出（款）其他文化旅游体育与传媒支出（项）：指</w:t>
      </w:r>
      <w:r>
        <w:rPr>
          <w:rFonts w:ascii="仿宋" w:eastAsia="仿宋" w:hAnsi="仿宋" w:hint="eastAsia"/>
          <w:color w:val="000000"/>
          <w:sz w:val="32"/>
          <w:szCs w:val="32"/>
        </w:rPr>
        <w:t>其他用于文化旅游体育与传媒方面的支出</w:t>
      </w:r>
      <w:r>
        <w:rPr>
          <w:rFonts w:ascii="仿宋" w:eastAsia="仿宋" w:hAnsi="仿宋" w:hint="eastAsia"/>
          <w:sz w:val="32"/>
          <w:szCs w:val="32"/>
        </w:rPr>
        <w:t>。</w:t>
      </w:r>
    </w:p>
    <w:p w:rsidR="00FC5B9A" w:rsidRDefault="00A50BEA">
      <w:pPr>
        <w:ind w:firstLineChars="200" w:firstLine="640"/>
        <w:rPr>
          <w:rFonts w:ascii="仿宋" w:eastAsia="仿宋" w:hAnsi="仿宋"/>
          <w:sz w:val="32"/>
          <w:szCs w:val="32"/>
        </w:rPr>
      </w:pPr>
      <w:r>
        <w:rPr>
          <w:rFonts w:ascii="仿宋" w:eastAsia="仿宋" w:hAnsi="仿宋" w:hint="eastAsia"/>
          <w:sz w:val="32"/>
          <w:szCs w:val="32"/>
        </w:rPr>
        <w:t>5</w:t>
      </w:r>
      <w:r>
        <w:rPr>
          <w:rFonts w:ascii="仿宋" w:eastAsia="仿宋" w:hAnsi="仿宋"/>
          <w:sz w:val="32"/>
          <w:szCs w:val="32"/>
        </w:rPr>
        <w:t>.</w:t>
      </w:r>
      <w:r>
        <w:rPr>
          <w:rFonts w:ascii="仿宋" w:eastAsia="仿宋" w:hAnsi="仿宋" w:hint="eastAsia"/>
          <w:sz w:val="32"/>
          <w:szCs w:val="32"/>
        </w:rPr>
        <w:t>社会保障和就业（类）行政事业单位养老支出（款）行政单位离退休（项）：指行政单位开支的离退休经费。</w:t>
      </w:r>
    </w:p>
    <w:p w:rsidR="00FC5B9A" w:rsidRDefault="00A50BEA">
      <w:pPr>
        <w:pStyle w:val="a0"/>
        <w:spacing w:before="93"/>
        <w:ind w:firstLineChars="200" w:firstLine="640"/>
        <w:rPr>
          <w:rFonts w:ascii="仿宋" w:eastAsia="仿宋" w:hAnsi="仿宋"/>
          <w:sz w:val="32"/>
          <w:szCs w:val="32"/>
        </w:rPr>
      </w:pPr>
      <w:r>
        <w:rPr>
          <w:rFonts w:ascii="仿宋" w:eastAsia="仿宋" w:hAnsi="仿宋" w:hint="eastAsia"/>
          <w:sz w:val="32"/>
          <w:szCs w:val="32"/>
        </w:rPr>
        <w:t>6</w:t>
      </w:r>
      <w:r>
        <w:rPr>
          <w:rFonts w:ascii="仿宋" w:eastAsia="仿宋" w:hAnsi="仿宋"/>
          <w:sz w:val="32"/>
          <w:szCs w:val="32"/>
        </w:rPr>
        <w:t>.</w:t>
      </w:r>
      <w:r>
        <w:rPr>
          <w:rFonts w:ascii="仿宋" w:eastAsia="仿宋" w:hAnsi="仿宋" w:hint="eastAsia"/>
          <w:sz w:val="32"/>
          <w:szCs w:val="32"/>
        </w:rPr>
        <w:t>社会保障和就业（类）行政事业单位养老支出（款）事业单位离退休（项）：指事业单位开支的离退休经费。</w:t>
      </w:r>
    </w:p>
    <w:p w:rsidR="00FC5B9A" w:rsidRDefault="00A50BEA">
      <w:pPr>
        <w:pStyle w:val="a0"/>
        <w:spacing w:before="93"/>
        <w:ind w:firstLineChars="200" w:firstLine="640"/>
        <w:rPr>
          <w:rFonts w:ascii="仿宋" w:eastAsia="仿宋" w:hAnsi="仿宋"/>
          <w:sz w:val="32"/>
          <w:szCs w:val="32"/>
        </w:rPr>
      </w:pPr>
      <w:r>
        <w:rPr>
          <w:rFonts w:ascii="仿宋" w:eastAsia="仿宋" w:hAnsi="仿宋" w:hint="eastAsia"/>
          <w:sz w:val="32"/>
          <w:szCs w:val="32"/>
        </w:rPr>
        <w:t>7</w:t>
      </w:r>
      <w:r>
        <w:rPr>
          <w:rFonts w:ascii="仿宋" w:eastAsia="仿宋" w:hAnsi="仿宋"/>
          <w:sz w:val="32"/>
          <w:szCs w:val="32"/>
        </w:rPr>
        <w:t>.</w:t>
      </w:r>
      <w:r>
        <w:rPr>
          <w:rFonts w:ascii="仿宋" w:eastAsia="仿宋" w:hAnsi="仿宋" w:hint="eastAsia"/>
          <w:sz w:val="32"/>
          <w:szCs w:val="32"/>
        </w:rPr>
        <w:t>社会保障和就业（类）行政事业单位养老支出（款）机关事业单位基本养老保险缴费支出（项）：指机关事业单位实施养老保险制度由单位缴纳的基本养老保险费支出。</w:t>
      </w:r>
    </w:p>
    <w:p w:rsidR="00FC5B9A" w:rsidRDefault="00A50BEA">
      <w:pPr>
        <w:pStyle w:val="a0"/>
        <w:spacing w:before="93"/>
        <w:ind w:firstLineChars="200" w:firstLine="640"/>
        <w:rPr>
          <w:rFonts w:ascii="仿宋" w:eastAsia="仿宋" w:hAnsi="仿宋"/>
          <w:sz w:val="32"/>
          <w:szCs w:val="32"/>
        </w:rPr>
      </w:pPr>
      <w:r>
        <w:rPr>
          <w:rFonts w:ascii="仿宋" w:eastAsia="仿宋" w:hAnsi="仿宋" w:hint="eastAsia"/>
          <w:sz w:val="32"/>
          <w:szCs w:val="32"/>
        </w:rPr>
        <w:t>8</w:t>
      </w:r>
      <w:r>
        <w:rPr>
          <w:rFonts w:ascii="仿宋" w:eastAsia="仿宋" w:hAnsi="仿宋"/>
          <w:sz w:val="32"/>
          <w:szCs w:val="32"/>
        </w:rPr>
        <w:t>.</w:t>
      </w:r>
      <w:r>
        <w:rPr>
          <w:rFonts w:ascii="仿宋" w:eastAsia="仿宋" w:hAnsi="仿宋" w:hint="eastAsia"/>
          <w:sz w:val="32"/>
          <w:szCs w:val="32"/>
        </w:rPr>
        <w:t>社会保障和就业（类）行政事业单位养老支出（款）机关事业单位职业年金缴费支出（项）：指机关事业单位实施养老保险制度由单位实际缴纳的职业年金支出。</w:t>
      </w:r>
    </w:p>
    <w:p w:rsidR="00FC5B9A" w:rsidRDefault="00A50BEA">
      <w:pPr>
        <w:ind w:firstLineChars="200" w:firstLine="640"/>
        <w:rPr>
          <w:rFonts w:ascii="仿宋" w:eastAsia="仿宋" w:hAnsi="仿宋"/>
          <w:sz w:val="32"/>
          <w:szCs w:val="32"/>
        </w:rPr>
      </w:pPr>
      <w:r>
        <w:rPr>
          <w:rFonts w:ascii="仿宋" w:eastAsia="仿宋" w:hAnsi="仿宋" w:hint="eastAsia"/>
          <w:sz w:val="32"/>
          <w:szCs w:val="32"/>
        </w:rPr>
        <w:t>9</w:t>
      </w:r>
      <w:r>
        <w:rPr>
          <w:rFonts w:ascii="仿宋" w:eastAsia="仿宋" w:hAnsi="仿宋"/>
          <w:sz w:val="32"/>
          <w:szCs w:val="32"/>
        </w:rPr>
        <w:t>.</w:t>
      </w:r>
      <w:r>
        <w:rPr>
          <w:rFonts w:ascii="仿宋" w:eastAsia="仿宋" w:hAnsi="仿宋" w:hint="eastAsia"/>
          <w:sz w:val="32"/>
          <w:szCs w:val="32"/>
        </w:rPr>
        <w:t>社会保障和就业（类）抚恤（款）死亡抚恤（项）：</w:t>
      </w:r>
      <w:r>
        <w:rPr>
          <w:rFonts w:ascii="仿宋" w:eastAsia="仿宋" w:hAnsi="仿宋" w:hint="eastAsia"/>
          <w:sz w:val="32"/>
          <w:szCs w:val="32"/>
        </w:rPr>
        <w:lastRenderedPageBreak/>
        <w:t>指按规定用于烈士和牺牲、病故人员家属的一次性和定期抚恤金、丧葬补助费以及烈士褒扬金。</w:t>
      </w:r>
    </w:p>
    <w:p w:rsidR="00FC5B9A" w:rsidRDefault="00A50BEA">
      <w:pPr>
        <w:ind w:firstLineChars="200" w:firstLine="64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卫生健康（类）行政事业单位医疗（款）行政单位医疗（项）：指财政部门安排的行政单位基本医疗保险缴费经费，未参加医疗保险的行政单位公费医疗经费。</w:t>
      </w:r>
    </w:p>
    <w:p w:rsidR="00FC5B9A" w:rsidRDefault="00A50BEA">
      <w:pPr>
        <w:pStyle w:val="a0"/>
        <w:spacing w:before="93"/>
        <w:ind w:firstLineChars="200" w:firstLine="640"/>
        <w:rPr>
          <w:rFonts w:ascii="仿宋" w:eastAsia="仿宋" w:hAnsi="仿宋"/>
        </w:rPr>
      </w:pPr>
      <w:r>
        <w:rPr>
          <w:rFonts w:ascii="仿宋" w:eastAsia="仿宋" w:hAnsi="仿宋"/>
          <w:sz w:val="32"/>
          <w:szCs w:val="32"/>
        </w:rPr>
        <w:t>1</w:t>
      </w:r>
      <w:r>
        <w:rPr>
          <w:rFonts w:ascii="仿宋" w:eastAsia="仿宋" w:hAnsi="仿宋" w:hint="eastAsia"/>
          <w:sz w:val="32"/>
          <w:szCs w:val="32"/>
        </w:rPr>
        <w:t>1</w:t>
      </w:r>
      <w:r>
        <w:rPr>
          <w:rFonts w:ascii="仿宋" w:eastAsia="仿宋" w:hAnsi="仿宋"/>
          <w:sz w:val="32"/>
          <w:szCs w:val="32"/>
        </w:rPr>
        <w:t>.</w:t>
      </w:r>
      <w:r>
        <w:rPr>
          <w:rFonts w:ascii="仿宋" w:eastAsia="仿宋" w:hAnsi="仿宋" w:hint="eastAsia"/>
          <w:sz w:val="32"/>
          <w:szCs w:val="32"/>
        </w:rPr>
        <w:t>卫生健康（类）行政事业单位医疗（款）事业单位医疗（项）：指财政部门安排的事业单位基本医疗保险缴费经费，未参加医疗保险的事业单位的公费医疗经费，按国家规定享受离休人员待遇的医疗经费。</w:t>
      </w:r>
    </w:p>
    <w:p w:rsidR="00FC5B9A" w:rsidRDefault="00A50BEA">
      <w:pPr>
        <w:ind w:firstLineChars="200" w:firstLine="64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2</w:t>
      </w:r>
      <w:r>
        <w:rPr>
          <w:rFonts w:ascii="仿宋" w:eastAsia="仿宋" w:hAnsi="仿宋"/>
          <w:sz w:val="32"/>
          <w:szCs w:val="32"/>
        </w:rPr>
        <w:t>.</w:t>
      </w:r>
      <w:r>
        <w:rPr>
          <w:rFonts w:ascii="仿宋" w:eastAsia="仿宋" w:hAnsi="仿宋" w:hint="eastAsia"/>
          <w:sz w:val="32"/>
          <w:szCs w:val="32"/>
        </w:rPr>
        <w:t>卫生健康（类）行政事业单位医疗（款）公务员医疗（项）：指财政部门安排的公务员医疗补助经费。</w:t>
      </w:r>
    </w:p>
    <w:p w:rsidR="00FC5B9A" w:rsidRDefault="00A50BEA">
      <w:pPr>
        <w:pStyle w:val="a0"/>
        <w:spacing w:before="93"/>
        <w:ind w:firstLineChars="200" w:firstLine="640"/>
        <w:rPr>
          <w:rFonts w:ascii="仿宋" w:eastAsia="仿宋" w:hAnsi="仿宋"/>
        </w:rPr>
      </w:pPr>
      <w:r>
        <w:rPr>
          <w:rFonts w:ascii="仿宋" w:eastAsia="仿宋" w:hAnsi="仿宋"/>
          <w:sz w:val="32"/>
          <w:szCs w:val="32"/>
        </w:rPr>
        <w:t>1</w:t>
      </w:r>
      <w:r>
        <w:rPr>
          <w:rFonts w:ascii="仿宋" w:eastAsia="仿宋" w:hAnsi="仿宋" w:hint="eastAsia"/>
          <w:sz w:val="32"/>
          <w:szCs w:val="32"/>
        </w:rPr>
        <w:t>3</w:t>
      </w:r>
      <w:r>
        <w:rPr>
          <w:rFonts w:ascii="仿宋" w:eastAsia="仿宋" w:hAnsi="仿宋"/>
          <w:sz w:val="32"/>
          <w:szCs w:val="32"/>
        </w:rPr>
        <w:t>.</w:t>
      </w:r>
      <w:r>
        <w:rPr>
          <w:rFonts w:ascii="仿宋" w:eastAsia="仿宋" w:hAnsi="仿宋" w:hint="eastAsia"/>
          <w:sz w:val="32"/>
          <w:szCs w:val="32"/>
        </w:rPr>
        <w:t>卫生健康（类）行政事业单位医疗（款）其他行政事业单位医疗支出（项）：指其他用于行政事业单位医疗方面的支出。</w:t>
      </w:r>
    </w:p>
    <w:p w:rsidR="00FC5B9A" w:rsidRDefault="00A50BEA">
      <w:pPr>
        <w:ind w:firstLineChars="200" w:firstLine="640"/>
        <w:rPr>
          <w:rFonts w:ascii="仿宋" w:eastAsia="仿宋" w:hAnsi="仿宋"/>
          <w:sz w:val="32"/>
          <w:szCs w:val="32"/>
        </w:rPr>
      </w:pPr>
      <w:r>
        <w:rPr>
          <w:rFonts w:ascii="仿宋" w:eastAsia="仿宋" w:hAnsi="仿宋" w:hint="eastAsia"/>
          <w:sz w:val="32"/>
          <w:szCs w:val="32"/>
        </w:rPr>
        <w:t>14.住房保障（类）住房改革支出（款）住房公积金（项）：指</w:t>
      </w:r>
      <w:r>
        <w:rPr>
          <w:rFonts w:ascii="仿宋" w:eastAsia="仿宋" w:hAnsi="仿宋" w:hint="eastAsia"/>
          <w:color w:val="000000"/>
          <w:sz w:val="32"/>
          <w:szCs w:val="32"/>
        </w:rPr>
        <w:t>行政事业单位按人力资源和社会保障部、财政部规定的基本工资和津贴补贴以及规定比例为职工缴纳的住房公积金</w:t>
      </w:r>
      <w:r>
        <w:rPr>
          <w:rFonts w:ascii="仿宋" w:eastAsia="仿宋" w:hAnsi="仿宋" w:hint="eastAsia"/>
          <w:sz w:val="32"/>
          <w:szCs w:val="32"/>
        </w:rPr>
        <w:t>。</w:t>
      </w:r>
    </w:p>
    <w:p w:rsidR="00FC5B9A" w:rsidRDefault="00A50BEA">
      <w:pPr>
        <w:ind w:firstLineChars="200" w:firstLine="640"/>
        <w:rPr>
          <w:rFonts w:ascii="仿宋" w:eastAsia="仿宋" w:hAnsi="仿宋"/>
          <w:sz w:val="32"/>
          <w:szCs w:val="32"/>
        </w:rPr>
      </w:pPr>
      <w:r>
        <w:rPr>
          <w:rFonts w:ascii="仿宋" w:eastAsia="仿宋" w:hAnsi="仿宋" w:hint="eastAsia"/>
          <w:sz w:val="32"/>
          <w:szCs w:val="32"/>
        </w:rPr>
        <w:t>15</w:t>
      </w:r>
      <w:r>
        <w:rPr>
          <w:rFonts w:ascii="仿宋" w:eastAsia="仿宋" w:hAnsi="仿宋"/>
          <w:sz w:val="32"/>
          <w:szCs w:val="32"/>
        </w:rPr>
        <w:t>.</w:t>
      </w:r>
      <w:r>
        <w:rPr>
          <w:rFonts w:ascii="仿宋" w:eastAsia="仿宋" w:hAnsi="仿宋" w:hint="eastAsia"/>
          <w:sz w:val="32"/>
          <w:szCs w:val="32"/>
        </w:rPr>
        <w:t>基本支出：指为保障机构正常运转、完成日常工作任务而发生的人员支出和公用支出。</w:t>
      </w:r>
    </w:p>
    <w:p w:rsidR="00FC5B9A" w:rsidRDefault="00A50BEA">
      <w:pPr>
        <w:ind w:firstLineChars="200" w:firstLine="640"/>
        <w:rPr>
          <w:rFonts w:ascii="仿宋" w:eastAsia="仿宋" w:hAnsi="仿宋"/>
          <w:sz w:val="32"/>
          <w:szCs w:val="32"/>
        </w:rPr>
      </w:pPr>
      <w:r>
        <w:rPr>
          <w:rFonts w:ascii="仿宋" w:eastAsia="仿宋" w:hAnsi="仿宋" w:hint="eastAsia"/>
          <w:sz w:val="32"/>
          <w:szCs w:val="32"/>
        </w:rPr>
        <w:t>16</w:t>
      </w:r>
      <w:r>
        <w:rPr>
          <w:rFonts w:ascii="仿宋" w:eastAsia="仿宋" w:hAnsi="仿宋"/>
          <w:sz w:val="32"/>
          <w:szCs w:val="32"/>
        </w:rPr>
        <w:t>.</w:t>
      </w:r>
      <w:r>
        <w:rPr>
          <w:rFonts w:ascii="仿宋" w:eastAsia="仿宋" w:hAnsi="仿宋" w:hint="eastAsia"/>
          <w:sz w:val="32"/>
          <w:szCs w:val="32"/>
        </w:rPr>
        <w:t>项目支出：指在基本支出之外为完成特定行政任务和事业发展目标所发生的支出。</w:t>
      </w:r>
    </w:p>
    <w:p w:rsidR="00FC5B9A" w:rsidRDefault="00A50BEA">
      <w:pPr>
        <w:pStyle w:val="Default"/>
        <w:spacing w:line="560" w:lineRule="exact"/>
        <w:ind w:firstLineChars="200" w:firstLine="640"/>
        <w:rPr>
          <w:rFonts w:hAnsi="仿宋"/>
          <w:color w:val="auto"/>
          <w:sz w:val="32"/>
          <w:szCs w:val="32"/>
        </w:rPr>
      </w:pPr>
      <w:r>
        <w:rPr>
          <w:rFonts w:hAnsi="仿宋" w:hint="eastAsia"/>
          <w:color w:val="auto"/>
          <w:sz w:val="32"/>
          <w:szCs w:val="32"/>
        </w:rPr>
        <w:t>17</w:t>
      </w:r>
      <w:r>
        <w:rPr>
          <w:rFonts w:hAnsi="仿宋"/>
          <w:color w:val="auto"/>
          <w:sz w:val="32"/>
          <w:szCs w:val="32"/>
        </w:rPr>
        <w:t>.</w:t>
      </w:r>
      <w:r>
        <w:rPr>
          <w:rFonts w:hAnsi="仿宋" w:hint="eastAsia"/>
          <w:color w:val="auto"/>
          <w:sz w:val="32"/>
          <w:szCs w:val="32"/>
        </w:rPr>
        <w:t>“三公”经费：指部门用财政拨款安排的因公出国</w:t>
      </w:r>
      <w:r>
        <w:rPr>
          <w:rFonts w:hAnsi="仿宋" w:hint="eastAsia"/>
          <w:color w:val="auto"/>
          <w:sz w:val="32"/>
          <w:szCs w:val="32"/>
        </w:rPr>
        <w:lastRenderedPageBreak/>
        <w:t>（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w:t>
      </w:r>
      <w:r w:rsidR="009060D9">
        <w:rPr>
          <w:rFonts w:hAnsi="仿宋" w:hint="eastAsia"/>
          <w:color w:val="auto"/>
          <w:sz w:val="32"/>
          <w:szCs w:val="32"/>
        </w:rPr>
        <w:t>、安全奖励费用</w:t>
      </w:r>
      <w:r>
        <w:rPr>
          <w:rFonts w:hAnsi="仿宋" w:hint="eastAsia"/>
          <w:color w:val="auto"/>
          <w:sz w:val="32"/>
          <w:szCs w:val="32"/>
        </w:rPr>
        <w:t>等支出；公务接待费反映单位按规定开支的各类公务接待（含外宾接待）支出。</w:t>
      </w:r>
    </w:p>
    <w:p w:rsidR="00FC5B9A" w:rsidRDefault="00A50BEA">
      <w:pPr>
        <w:spacing w:line="600" w:lineRule="exact"/>
        <w:jc w:val="center"/>
        <w:outlineLvl w:val="0"/>
        <w:rPr>
          <w:rStyle w:val="1Char"/>
          <w:rFonts w:ascii="黑体" w:eastAsia="黑体" w:hAnsi="黑体"/>
          <w:b w:val="0"/>
        </w:rPr>
      </w:pPr>
      <w:bookmarkStart w:id="52" w:name="_Toc15377226"/>
      <w:r>
        <w:rPr>
          <w:rFonts w:ascii="仿宋" w:eastAsia="仿宋" w:hAnsi="仿宋"/>
          <w:b/>
          <w:sz w:val="44"/>
          <w:szCs w:val="44"/>
        </w:rPr>
        <w:br w:type="page"/>
      </w:r>
      <w:bookmarkStart w:id="53" w:name="_Toc15396614"/>
      <w:r>
        <w:rPr>
          <w:rFonts w:ascii="黑体" w:eastAsia="黑体" w:hAnsi="黑体" w:hint="eastAsia"/>
          <w:sz w:val="44"/>
          <w:szCs w:val="44"/>
        </w:rPr>
        <w:lastRenderedPageBreak/>
        <w:t>第</w:t>
      </w:r>
      <w:r>
        <w:rPr>
          <w:rStyle w:val="1Char"/>
          <w:rFonts w:ascii="黑体" w:eastAsia="黑体" w:hAnsi="黑体" w:hint="eastAsia"/>
          <w:b w:val="0"/>
        </w:rPr>
        <w:t>四部分 附件</w:t>
      </w:r>
      <w:bookmarkEnd w:id="53"/>
    </w:p>
    <w:p w:rsidR="00FC5B9A" w:rsidRDefault="00A50BEA">
      <w:pPr>
        <w:widowControl/>
        <w:spacing w:line="560" w:lineRule="exact"/>
        <w:contextualSpacing/>
        <w:rPr>
          <w:rFonts w:ascii="黑体" w:eastAsia="黑体" w:hAnsi="黑体"/>
          <w:b/>
          <w:sz w:val="32"/>
          <w:szCs w:val="32"/>
          <w:shd w:val="clear" w:color="auto" w:fill="FFFFFF"/>
        </w:rPr>
      </w:pPr>
      <w:r>
        <w:rPr>
          <w:rFonts w:ascii="黑体" w:eastAsia="黑体" w:hAnsi="黑体" w:hint="eastAsia"/>
          <w:b/>
          <w:sz w:val="32"/>
          <w:szCs w:val="32"/>
          <w:shd w:val="clear" w:color="auto" w:fill="FFFFFF"/>
        </w:rPr>
        <w:t>附件1</w:t>
      </w:r>
    </w:p>
    <w:p w:rsidR="00FC5B9A" w:rsidRDefault="00A50BEA">
      <w:pPr>
        <w:widowControl/>
        <w:spacing w:line="560" w:lineRule="exact"/>
        <w:contextualSpacing/>
        <w:jc w:val="center"/>
        <w:rPr>
          <w:rFonts w:ascii="方正小标宋_GBK" w:eastAsia="方正小标宋_GBK" w:hAnsi="宋体"/>
          <w:color w:val="000000" w:themeColor="text1"/>
          <w:sz w:val="44"/>
          <w:szCs w:val="44"/>
          <w:shd w:val="clear" w:color="auto" w:fill="FFFFFF"/>
        </w:rPr>
      </w:pPr>
      <w:r>
        <w:rPr>
          <w:rFonts w:ascii="方正小标宋_GBK" w:eastAsia="方正小标宋_GBK" w:hAnsi="宋体" w:hint="eastAsia"/>
          <w:color w:val="000000" w:themeColor="text1"/>
          <w:sz w:val="44"/>
          <w:szCs w:val="44"/>
          <w:shd w:val="clear" w:color="auto" w:fill="FFFFFF"/>
        </w:rPr>
        <w:t>2022年部门整体绩效评价报告</w:t>
      </w:r>
    </w:p>
    <w:p w:rsidR="00FC5B9A" w:rsidRDefault="00FC5B9A">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p>
    <w:p w:rsidR="00FC5B9A" w:rsidRDefault="00A50BEA">
      <w:pPr>
        <w:widowControl/>
        <w:numPr>
          <w:ilvl w:val="0"/>
          <w:numId w:val="5"/>
        </w:numPr>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lang w:val="zh-CN"/>
        </w:rPr>
      </w:pPr>
      <w:r>
        <w:rPr>
          <w:rFonts w:ascii="黑体" w:eastAsia="黑体" w:hAnsi="宋体" w:cs="宋体" w:hint="eastAsia"/>
          <w:kern w:val="0"/>
          <w:sz w:val="32"/>
          <w:szCs w:val="32"/>
          <w:shd w:val="clear" w:color="auto" w:fill="FFFFFF"/>
          <w:lang w:val="zh-CN"/>
        </w:rPr>
        <w:t>部门（单位）基本情况</w:t>
      </w:r>
    </w:p>
    <w:p w:rsidR="00FC5B9A" w:rsidRDefault="00A50BEA">
      <w:pPr>
        <w:pStyle w:val="ab"/>
        <w:widowControl/>
        <w:numPr>
          <w:ilvl w:val="0"/>
          <w:numId w:val="6"/>
        </w:numPr>
        <w:adjustRightInd w:val="0"/>
        <w:snapToGrid w:val="0"/>
        <w:spacing w:line="560" w:lineRule="exact"/>
        <w:ind w:firstLineChars="0"/>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机构组成。</w:t>
      </w:r>
    </w:p>
    <w:p w:rsidR="00FC5B9A" w:rsidRDefault="00A50BEA">
      <w:pPr>
        <w:pStyle w:val="a0"/>
        <w:spacing w:before="93"/>
        <w:ind w:firstLineChars="200" w:firstLine="640"/>
        <w:rPr>
          <w:rFonts w:ascii="仿宋" w:eastAsia="仿宋" w:hAnsi="仿宋"/>
          <w:lang w:val="zh-CN"/>
        </w:rPr>
      </w:pPr>
      <w:r>
        <w:rPr>
          <w:rFonts w:ascii="仿宋" w:eastAsia="仿宋" w:hAnsi="仿宋" w:cs="仿宋_GB2312" w:hint="eastAsia"/>
          <w:color w:val="000000"/>
          <w:sz w:val="32"/>
          <w:szCs w:val="32"/>
          <w:shd w:val="clear" w:color="auto" w:fill="FFFFFF"/>
          <w:lang w:val="zh-CN"/>
        </w:rPr>
        <w:t>盐边县融媒体中心是县委直属事业单位，由县委宣传部代管。机构类别为公益一类，经费形式全额拨款。</w:t>
      </w:r>
    </w:p>
    <w:p w:rsidR="00FC5B9A" w:rsidRDefault="00A50BEA">
      <w:pPr>
        <w:pStyle w:val="ab"/>
        <w:widowControl/>
        <w:numPr>
          <w:ilvl w:val="0"/>
          <w:numId w:val="6"/>
        </w:numPr>
        <w:adjustRightInd w:val="0"/>
        <w:snapToGrid w:val="0"/>
        <w:spacing w:line="560" w:lineRule="exact"/>
        <w:ind w:firstLineChars="0"/>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机构职能和人员概况。</w:t>
      </w:r>
    </w:p>
    <w:p w:rsidR="00FC5B9A" w:rsidRDefault="00A50BEA">
      <w:pPr>
        <w:pStyle w:val="a0"/>
        <w:spacing w:before="93"/>
        <w:ind w:firstLineChars="200" w:firstLine="640"/>
        <w:rPr>
          <w:rFonts w:ascii="仿宋" w:eastAsia="仿宋" w:hAnsi="仿宋" w:cs="仿宋_GB2312"/>
          <w:color w:val="000000"/>
          <w:sz w:val="32"/>
          <w:szCs w:val="32"/>
          <w:shd w:val="clear" w:color="auto" w:fill="FFFFFF"/>
          <w:lang w:val="zh-CN"/>
        </w:rPr>
      </w:pPr>
      <w:r>
        <w:rPr>
          <w:rFonts w:ascii="仿宋" w:eastAsia="仿宋" w:hAnsi="仿宋" w:cs="仿宋_GB2312" w:hint="eastAsia"/>
          <w:color w:val="000000"/>
          <w:sz w:val="32"/>
          <w:szCs w:val="32"/>
          <w:shd w:val="clear" w:color="auto" w:fill="FFFFFF"/>
          <w:lang w:val="zh-CN"/>
        </w:rPr>
        <w:t>机构职能：负</w:t>
      </w:r>
      <w:r>
        <w:rPr>
          <w:rFonts w:ascii="仿宋" w:eastAsia="仿宋" w:hAnsi="仿宋" w:hint="eastAsia"/>
          <w:color w:val="000000"/>
          <w:sz w:val="32"/>
          <w:szCs w:val="32"/>
          <w:lang w:val="zh-CN"/>
        </w:rPr>
        <w:t>责</w:t>
      </w:r>
      <w:r>
        <w:rPr>
          <w:rFonts w:ascii="仿宋" w:eastAsia="仿宋" w:hAnsi="仿宋" w:hint="eastAsia"/>
          <w:color w:val="000000"/>
          <w:sz w:val="32"/>
          <w:szCs w:val="32"/>
        </w:rPr>
        <w:t>全县新闻宣传报道及</w:t>
      </w:r>
      <w:r>
        <w:rPr>
          <w:rFonts w:ascii="仿宋" w:eastAsia="仿宋" w:hAnsi="仿宋" w:hint="eastAsia"/>
          <w:color w:val="000000"/>
          <w:sz w:val="32"/>
          <w:szCs w:val="32"/>
          <w:lang w:val="zh-CN"/>
        </w:rPr>
        <w:t>相</w:t>
      </w:r>
      <w:r>
        <w:rPr>
          <w:rFonts w:ascii="仿宋" w:eastAsia="仿宋" w:hAnsi="仿宋" w:cs="仿宋_GB2312" w:hint="eastAsia"/>
          <w:color w:val="000000"/>
          <w:sz w:val="32"/>
          <w:szCs w:val="32"/>
          <w:shd w:val="clear" w:color="auto" w:fill="FFFFFF"/>
          <w:lang w:val="zh-CN"/>
        </w:rPr>
        <w:t>关事务性工作。</w:t>
      </w:r>
    </w:p>
    <w:p w:rsidR="00FC5B9A" w:rsidRDefault="00A50BEA">
      <w:pPr>
        <w:pStyle w:val="a0"/>
        <w:spacing w:before="93"/>
        <w:ind w:firstLineChars="200" w:firstLine="640"/>
        <w:rPr>
          <w:rFonts w:ascii="仿宋" w:eastAsia="仿宋" w:hAnsi="仿宋" w:cs="仿宋_GB2312"/>
          <w:color w:val="000000"/>
          <w:sz w:val="32"/>
          <w:szCs w:val="32"/>
          <w:shd w:val="clear" w:color="auto" w:fill="FFFFFF"/>
          <w:lang w:val="zh-CN"/>
        </w:rPr>
      </w:pPr>
      <w:r>
        <w:rPr>
          <w:rFonts w:ascii="仿宋" w:eastAsia="仿宋" w:hAnsi="仿宋" w:cs="仿宋_GB2312" w:hint="eastAsia"/>
          <w:color w:val="000000"/>
          <w:sz w:val="32"/>
          <w:szCs w:val="32"/>
          <w:shd w:val="clear" w:color="auto" w:fill="FFFFFF"/>
          <w:lang w:val="zh-CN"/>
        </w:rPr>
        <w:t>人员概况：重新</w:t>
      </w:r>
      <w:r>
        <w:rPr>
          <w:rFonts w:ascii="仿宋" w:eastAsia="仿宋" w:hAnsi="仿宋" w:hint="eastAsia"/>
          <w:color w:val="000000"/>
          <w:sz w:val="32"/>
          <w:szCs w:val="32"/>
        </w:rPr>
        <w:t>核定事业编制</w:t>
      </w:r>
      <w:r>
        <w:rPr>
          <w:rFonts w:ascii="仿宋" w:eastAsia="仿宋" w:hAnsi="仿宋"/>
          <w:color w:val="000000"/>
          <w:sz w:val="32"/>
          <w:szCs w:val="32"/>
        </w:rPr>
        <w:t>2</w:t>
      </w:r>
      <w:r>
        <w:rPr>
          <w:rFonts w:ascii="仿宋" w:eastAsia="仿宋" w:hAnsi="仿宋" w:hint="eastAsia"/>
          <w:color w:val="000000"/>
          <w:sz w:val="32"/>
          <w:szCs w:val="32"/>
        </w:rPr>
        <w:t>1人，设主任</w:t>
      </w:r>
      <w:r>
        <w:rPr>
          <w:rFonts w:ascii="仿宋" w:eastAsia="仿宋" w:hAnsi="仿宋"/>
          <w:color w:val="000000"/>
          <w:sz w:val="32"/>
          <w:szCs w:val="32"/>
        </w:rPr>
        <w:t>1</w:t>
      </w:r>
      <w:r>
        <w:rPr>
          <w:rFonts w:ascii="仿宋" w:eastAsia="仿宋" w:hAnsi="仿宋" w:hint="eastAsia"/>
          <w:color w:val="000000"/>
          <w:sz w:val="32"/>
          <w:szCs w:val="32"/>
        </w:rPr>
        <w:t>人（正科级），副主任</w:t>
      </w:r>
      <w:r>
        <w:rPr>
          <w:rFonts w:ascii="仿宋" w:eastAsia="仿宋" w:hAnsi="仿宋"/>
          <w:color w:val="000000"/>
          <w:sz w:val="32"/>
          <w:szCs w:val="32"/>
        </w:rPr>
        <w:t>2</w:t>
      </w:r>
      <w:r>
        <w:rPr>
          <w:rFonts w:ascii="仿宋" w:eastAsia="仿宋" w:hAnsi="仿宋" w:hint="eastAsia"/>
          <w:color w:val="000000"/>
          <w:sz w:val="32"/>
          <w:szCs w:val="32"/>
        </w:rPr>
        <w:t>人（副科级）。本年实有在编在岗人员19人，退休人员</w:t>
      </w:r>
      <w:r>
        <w:rPr>
          <w:rFonts w:ascii="仿宋" w:eastAsia="仿宋" w:hAnsi="仿宋"/>
          <w:color w:val="000000"/>
          <w:sz w:val="32"/>
          <w:szCs w:val="32"/>
        </w:rPr>
        <w:t>7</w:t>
      </w:r>
      <w:r>
        <w:rPr>
          <w:rFonts w:ascii="仿宋" w:eastAsia="仿宋" w:hAnsi="仿宋" w:hint="eastAsia"/>
          <w:color w:val="000000"/>
          <w:sz w:val="32"/>
          <w:szCs w:val="32"/>
        </w:rPr>
        <w:t>人，聘用及实习人员</w:t>
      </w:r>
      <w:r>
        <w:rPr>
          <w:rFonts w:ascii="仿宋" w:eastAsia="仿宋" w:hAnsi="仿宋"/>
          <w:color w:val="000000"/>
          <w:sz w:val="32"/>
          <w:szCs w:val="32"/>
        </w:rPr>
        <w:t>14</w:t>
      </w:r>
      <w:r>
        <w:rPr>
          <w:rFonts w:ascii="仿宋" w:eastAsia="仿宋" w:hAnsi="仿宋" w:hint="eastAsia"/>
          <w:color w:val="000000"/>
          <w:sz w:val="32"/>
          <w:szCs w:val="32"/>
        </w:rPr>
        <w:t>人（记者、播音、编辑）。</w:t>
      </w:r>
    </w:p>
    <w:p w:rsidR="00FC5B9A" w:rsidRDefault="00A50BEA">
      <w:pPr>
        <w:pStyle w:val="ab"/>
        <w:widowControl/>
        <w:numPr>
          <w:ilvl w:val="0"/>
          <w:numId w:val="6"/>
        </w:numPr>
        <w:adjustRightInd w:val="0"/>
        <w:snapToGrid w:val="0"/>
        <w:spacing w:line="560" w:lineRule="exact"/>
        <w:ind w:firstLineChars="0"/>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年度主要工作任务。</w:t>
      </w:r>
    </w:p>
    <w:p w:rsidR="00FC5B9A" w:rsidRDefault="00A50BEA">
      <w:pPr>
        <w:pStyle w:val="a0"/>
        <w:spacing w:before="93"/>
        <w:ind w:firstLineChars="200" w:firstLine="624"/>
        <w:rPr>
          <w:rFonts w:ascii="仿宋" w:eastAsia="仿宋" w:hAnsi="仿宋"/>
          <w:sz w:val="32"/>
          <w:szCs w:val="32"/>
          <w:lang w:val="zh-CN"/>
        </w:rPr>
      </w:pPr>
      <w:r>
        <w:rPr>
          <w:rFonts w:ascii="仿宋" w:eastAsia="仿宋" w:hAnsi="仿宋"/>
          <w:spacing w:val="-4"/>
          <w:sz w:val="32"/>
          <w:szCs w:val="32"/>
        </w:rPr>
        <w:t>县融媒体中心坚持以宣传贯彻</w:t>
      </w:r>
      <w:r>
        <w:rPr>
          <w:rFonts w:ascii="仿宋" w:eastAsia="仿宋" w:hAnsi="仿宋" w:hint="eastAsia"/>
          <w:spacing w:val="-4"/>
          <w:sz w:val="32"/>
          <w:szCs w:val="32"/>
        </w:rPr>
        <w:t>党的二十大精神</w:t>
      </w:r>
      <w:r>
        <w:rPr>
          <w:rFonts w:ascii="仿宋" w:eastAsia="仿宋" w:hAnsi="仿宋"/>
          <w:spacing w:val="-4"/>
          <w:sz w:val="32"/>
          <w:szCs w:val="32"/>
        </w:rPr>
        <w:t>为主线，紧紧围绕县委、县政府的中心工作，牢牢把握我县经济社会发展的主要目标和总体战略部署，聚焦“钒钛首</w:t>
      </w:r>
      <w:r>
        <w:rPr>
          <w:rFonts w:ascii="仿宋" w:eastAsia="仿宋" w:hAnsi="仿宋" w:hint="eastAsia"/>
          <w:spacing w:val="-4"/>
          <w:sz w:val="32"/>
          <w:szCs w:val="32"/>
        </w:rPr>
        <w:t>县</w:t>
      </w:r>
      <w:r>
        <w:rPr>
          <w:rFonts w:ascii="仿宋" w:eastAsia="仿宋" w:hAnsi="仿宋"/>
          <w:spacing w:val="-4"/>
          <w:sz w:val="32"/>
          <w:szCs w:val="32"/>
        </w:rPr>
        <w:t>、滋味盐边”这一发展定位，坚持正面宣传引导，不断推动平台赋能、队伍强化、新闻提质</w:t>
      </w:r>
      <w:r>
        <w:rPr>
          <w:rFonts w:ascii="仿宋" w:eastAsia="仿宋" w:hAnsi="仿宋" w:hint="eastAsia"/>
          <w:spacing w:val="-4"/>
          <w:sz w:val="32"/>
          <w:szCs w:val="32"/>
        </w:rPr>
        <w:t>，致力于打造舆论引导、新闻宣传、信息发布、公共服务为一体的新型主流媒体，</w:t>
      </w:r>
      <w:r>
        <w:rPr>
          <w:rFonts w:ascii="仿宋" w:eastAsia="仿宋" w:hAnsi="仿宋"/>
          <w:spacing w:val="-4"/>
          <w:sz w:val="32"/>
          <w:szCs w:val="32"/>
        </w:rPr>
        <w:t>为全县经济社会发展提供舆论宣传保障。</w:t>
      </w:r>
    </w:p>
    <w:p w:rsidR="00FC5B9A" w:rsidRDefault="00A50BEA">
      <w:pPr>
        <w:pStyle w:val="ab"/>
        <w:widowControl/>
        <w:numPr>
          <w:ilvl w:val="0"/>
          <w:numId w:val="6"/>
        </w:numPr>
        <w:adjustRightInd w:val="0"/>
        <w:snapToGrid w:val="0"/>
        <w:spacing w:line="560" w:lineRule="exact"/>
        <w:ind w:firstLineChars="0"/>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lastRenderedPageBreak/>
        <w:t>部门整体支出绩效目标。</w:t>
      </w:r>
    </w:p>
    <w:p w:rsidR="00FC5B9A" w:rsidRDefault="00A50BEA">
      <w:pPr>
        <w:pStyle w:val="a0"/>
        <w:spacing w:before="93"/>
        <w:ind w:firstLineChars="200" w:firstLine="640"/>
        <w:rPr>
          <w:rFonts w:ascii="仿宋" w:eastAsia="仿宋" w:hAnsi="仿宋"/>
          <w:sz w:val="32"/>
          <w:szCs w:val="32"/>
          <w:lang w:val="zh-CN"/>
        </w:rPr>
      </w:pPr>
      <w:r>
        <w:rPr>
          <w:rFonts w:ascii="仿宋" w:eastAsia="仿宋" w:hAnsi="仿宋" w:hint="eastAsia"/>
          <w:sz w:val="32"/>
          <w:szCs w:val="32"/>
        </w:rPr>
        <w:t>2022年财政预算拨款收入支出524.29万元，一是人员类经费支出</w:t>
      </w:r>
      <w:r>
        <w:rPr>
          <w:rFonts w:ascii="仿宋" w:eastAsia="仿宋" w:hAnsi="仿宋" w:hint="eastAsia"/>
          <w:color w:val="000000"/>
          <w:sz w:val="32"/>
          <w:szCs w:val="32"/>
        </w:rPr>
        <w:t>严格按照县财政预算编制规定和要求，结合本单位年度工作计划，按县人社局审核通过的工资进行编制，全年</w:t>
      </w:r>
      <w:r>
        <w:rPr>
          <w:rFonts w:ascii="仿宋" w:eastAsia="仿宋" w:hAnsi="仿宋" w:hint="eastAsia"/>
          <w:sz w:val="32"/>
          <w:szCs w:val="32"/>
        </w:rPr>
        <w:t>人员类</w:t>
      </w:r>
      <w:r>
        <w:rPr>
          <w:rFonts w:ascii="仿宋" w:eastAsia="仿宋" w:hAnsi="仿宋" w:hint="eastAsia"/>
          <w:color w:val="000000"/>
          <w:sz w:val="32"/>
          <w:szCs w:val="32"/>
        </w:rPr>
        <w:t>支出</w:t>
      </w:r>
      <w:r>
        <w:rPr>
          <w:rFonts w:ascii="仿宋" w:eastAsia="仿宋" w:hAnsi="仿宋" w:hint="eastAsia"/>
          <w:sz w:val="32"/>
          <w:szCs w:val="32"/>
        </w:rPr>
        <w:t>460.08</w:t>
      </w:r>
      <w:r>
        <w:rPr>
          <w:rFonts w:ascii="仿宋" w:eastAsia="仿宋" w:hAnsi="仿宋" w:hint="eastAsia"/>
          <w:color w:val="000000"/>
          <w:sz w:val="32"/>
          <w:szCs w:val="32"/>
        </w:rPr>
        <w:t>万元，</w:t>
      </w:r>
      <w:r>
        <w:rPr>
          <w:rFonts w:ascii="仿宋" w:eastAsia="仿宋" w:hAnsi="仿宋" w:hint="eastAsia"/>
          <w:sz w:val="32"/>
          <w:szCs w:val="32"/>
        </w:rPr>
        <w:t>占本年支出87.75%，二是</w:t>
      </w:r>
      <w:r>
        <w:rPr>
          <w:rFonts w:ascii="仿宋" w:eastAsia="仿宋" w:hAnsi="仿宋" w:hint="eastAsia"/>
          <w:color w:val="000000"/>
          <w:sz w:val="32"/>
          <w:szCs w:val="32"/>
        </w:rPr>
        <w:t>全年运转类</w:t>
      </w:r>
      <w:r>
        <w:rPr>
          <w:rFonts w:ascii="仿宋" w:eastAsia="仿宋" w:hAnsi="仿宋" w:hint="eastAsia"/>
          <w:sz w:val="32"/>
          <w:szCs w:val="32"/>
        </w:rPr>
        <w:t>支出58.04万元，占本年支出11.07%</w:t>
      </w:r>
      <w:r>
        <w:rPr>
          <w:rFonts w:ascii="仿宋" w:eastAsia="仿宋" w:hAnsi="仿宋" w:hint="eastAsia"/>
          <w:color w:val="000000"/>
          <w:sz w:val="32"/>
          <w:szCs w:val="32"/>
        </w:rPr>
        <w:t>；三是</w:t>
      </w:r>
      <w:r>
        <w:rPr>
          <w:rFonts w:ascii="仿宋" w:eastAsia="仿宋" w:hAnsi="仿宋"/>
          <w:color w:val="000000"/>
          <w:sz w:val="32"/>
          <w:szCs w:val="32"/>
        </w:rPr>
        <w:t>特定目标类</w:t>
      </w:r>
      <w:r>
        <w:rPr>
          <w:rFonts w:ascii="仿宋" w:eastAsia="仿宋" w:hAnsi="仿宋" w:hint="eastAsia"/>
          <w:sz w:val="32"/>
          <w:szCs w:val="32"/>
        </w:rPr>
        <w:t>支出是对项目资金的预算，并提出项目具体的目标和实施计划，精准编制项目支出绩效申报表，切实做到项目资金编制的合理化、人性化，并在规定的时限内完整、准确报送到县级财政部门，全年特定目标类支出6.17万元，占本年支出1.18%。</w:t>
      </w:r>
    </w:p>
    <w:p w:rsidR="00FC5B9A" w:rsidRDefault="00A50BEA">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t>二、部门资金收支情况</w:t>
      </w:r>
    </w:p>
    <w:p w:rsidR="00FC5B9A" w:rsidRDefault="00A50BEA" w:rsidP="00F57344">
      <w:pPr>
        <w:widowControl/>
        <w:adjustRightInd w:val="0"/>
        <w:snapToGrid w:val="0"/>
        <w:spacing w:line="560" w:lineRule="exact"/>
        <w:ind w:firstLineChars="200" w:firstLine="640"/>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（一）部门总体收支情况。</w:t>
      </w:r>
    </w:p>
    <w:p w:rsidR="00FC5B9A" w:rsidRDefault="00A50BEA">
      <w:pPr>
        <w:widowControl/>
        <w:adjustRightInd w:val="0"/>
        <w:snapToGrid w:val="0"/>
        <w:spacing w:line="560" w:lineRule="exact"/>
        <w:ind w:firstLineChars="200" w:firstLine="640"/>
        <w:contextualSpacing/>
        <w:jc w:val="left"/>
        <w:rPr>
          <w:rFonts w:ascii="仿宋" w:eastAsia="仿宋" w:hAnsi="仿宋" w:cs="仿宋_GB2312"/>
          <w:kern w:val="0"/>
          <w:sz w:val="32"/>
          <w:szCs w:val="32"/>
          <w:shd w:val="clear" w:color="auto" w:fill="FFFFFF"/>
        </w:rPr>
      </w:pPr>
      <w:r>
        <w:rPr>
          <w:rFonts w:ascii="仿宋" w:eastAsia="仿宋" w:hAnsi="仿宋" w:cs="仿宋_GB2312" w:hint="eastAsia"/>
          <w:kern w:val="0"/>
          <w:sz w:val="32"/>
          <w:szCs w:val="32"/>
          <w:shd w:val="clear" w:color="auto" w:fill="FFFFFF"/>
        </w:rPr>
        <w:t>1.部门总体收入情况</w:t>
      </w:r>
    </w:p>
    <w:p w:rsidR="00FC5B9A" w:rsidRDefault="00A50BEA">
      <w:pPr>
        <w:pStyle w:val="a0"/>
        <w:spacing w:before="93"/>
        <w:ind w:firstLineChars="200" w:firstLine="640"/>
        <w:rPr>
          <w:rFonts w:ascii="仿宋" w:eastAsia="仿宋" w:hAnsi="仿宋"/>
          <w:sz w:val="32"/>
          <w:szCs w:val="32"/>
        </w:rPr>
      </w:pPr>
      <w:r>
        <w:rPr>
          <w:rFonts w:ascii="仿宋" w:eastAsia="仿宋" w:hAnsi="仿宋" w:hint="eastAsia"/>
          <w:sz w:val="32"/>
          <w:szCs w:val="32"/>
        </w:rPr>
        <w:t>本年度一般公共预算财政拨款收入524.29万元，与上年度对比</w:t>
      </w:r>
      <w:r>
        <w:rPr>
          <w:rFonts w:ascii="仿宋" w:eastAsia="仿宋" w:hAnsi="仿宋" w:hint="eastAsia"/>
          <w:color w:val="000000"/>
          <w:sz w:val="32"/>
          <w:szCs w:val="32"/>
        </w:rPr>
        <w:t>增加37.46万元，</w:t>
      </w:r>
      <w:r>
        <w:rPr>
          <w:rFonts w:ascii="仿宋" w:eastAsia="仿宋" w:hAnsi="仿宋" w:hint="eastAsia"/>
          <w:sz w:val="32"/>
          <w:szCs w:val="32"/>
        </w:rPr>
        <w:t>增长7.14</w:t>
      </w:r>
      <w:r>
        <w:rPr>
          <w:rFonts w:ascii="仿宋" w:eastAsia="仿宋" w:hAnsi="仿宋"/>
          <w:sz w:val="32"/>
          <w:szCs w:val="32"/>
        </w:rPr>
        <w:t>%</w:t>
      </w:r>
      <w:r>
        <w:rPr>
          <w:rFonts w:ascii="仿宋" w:eastAsia="仿宋" w:hAnsi="仿宋" w:hint="eastAsia"/>
          <w:sz w:val="32"/>
          <w:szCs w:val="32"/>
        </w:rPr>
        <w:t>。原因是增加了人员工资调标补费、退休人员生活补助、死亡抚恤、工作运行经费。</w:t>
      </w:r>
    </w:p>
    <w:p w:rsidR="00FC5B9A" w:rsidRDefault="00A50BEA">
      <w:pPr>
        <w:widowControl/>
        <w:adjustRightInd w:val="0"/>
        <w:snapToGrid w:val="0"/>
        <w:spacing w:line="560" w:lineRule="exact"/>
        <w:ind w:firstLineChars="200" w:firstLine="640"/>
        <w:contextualSpacing/>
        <w:jc w:val="left"/>
        <w:rPr>
          <w:rFonts w:ascii="仿宋" w:eastAsia="仿宋" w:hAnsi="仿宋" w:cs="仿宋_GB2312"/>
          <w:kern w:val="0"/>
          <w:sz w:val="32"/>
          <w:szCs w:val="32"/>
          <w:shd w:val="clear" w:color="auto" w:fill="FFFFFF"/>
        </w:rPr>
      </w:pPr>
      <w:r>
        <w:rPr>
          <w:rFonts w:ascii="仿宋" w:eastAsia="仿宋" w:hAnsi="仿宋" w:cs="仿宋_GB2312" w:hint="eastAsia"/>
          <w:kern w:val="0"/>
          <w:sz w:val="32"/>
          <w:szCs w:val="32"/>
          <w:shd w:val="clear" w:color="auto" w:fill="FFFFFF"/>
        </w:rPr>
        <w:t>2.部门总体支出情况</w:t>
      </w:r>
    </w:p>
    <w:p w:rsidR="00FC5B9A" w:rsidRDefault="00A50BEA">
      <w:pPr>
        <w:pStyle w:val="a0"/>
        <w:spacing w:before="93"/>
        <w:ind w:firstLineChars="200" w:firstLine="640"/>
        <w:rPr>
          <w:rFonts w:ascii="仿宋" w:eastAsia="仿宋" w:hAnsi="仿宋"/>
          <w:sz w:val="32"/>
          <w:szCs w:val="32"/>
        </w:rPr>
      </w:pPr>
      <w:r>
        <w:rPr>
          <w:rFonts w:ascii="仿宋" w:eastAsia="仿宋" w:hAnsi="仿宋" w:hint="eastAsia"/>
          <w:sz w:val="32"/>
          <w:szCs w:val="32"/>
        </w:rPr>
        <w:t>本</w:t>
      </w:r>
      <w:r>
        <w:rPr>
          <w:rFonts w:ascii="仿宋" w:eastAsia="仿宋" w:hAnsi="仿宋" w:hint="eastAsia"/>
          <w:color w:val="000000"/>
          <w:sz w:val="32"/>
          <w:szCs w:val="32"/>
        </w:rPr>
        <w:t>年度一般公共预算财政拨款</w:t>
      </w:r>
      <w:r>
        <w:rPr>
          <w:rFonts w:ascii="仿宋" w:eastAsia="仿宋" w:hAnsi="仿宋" w:hint="eastAsia"/>
          <w:sz w:val="32"/>
          <w:szCs w:val="32"/>
        </w:rPr>
        <w:t>支出为</w:t>
      </w:r>
      <w:r>
        <w:rPr>
          <w:rFonts w:ascii="仿宋" w:eastAsia="仿宋" w:hAnsi="仿宋" w:hint="eastAsia"/>
          <w:color w:val="000000"/>
          <w:sz w:val="32"/>
          <w:szCs w:val="32"/>
        </w:rPr>
        <w:t>524.29万元。按支出性质分为</w:t>
      </w:r>
      <w:r>
        <w:rPr>
          <w:rFonts w:ascii="仿宋" w:eastAsia="仿宋" w:hAnsi="仿宋" w:hint="eastAsia"/>
          <w:sz w:val="32"/>
          <w:szCs w:val="32"/>
        </w:rPr>
        <w:t>基本支出518.12万元，其中：人员经费460.08万元；公用经费58.04万元。项目支出6.17万元。</w:t>
      </w:r>
    </w:p>
    <w:p w:rsidR="00FC5B9A" w:rsidRDefault="00A50BEA">
      <w:pPr>
        <w:widowControl/>
        <w:adjustRightInd w:val="0"/>
        <w:snapToGrid w:val="0"/>
        <w:spacing w:line="560" w:lineRule="exact"/>
        <w:ind w:firstLineChars="200" w:firstLine="640"/>
        <w:contextualSpacing/>
        <w:jc w:val="left"/>
        <w:rPr>
          <w:rFonts w:ascii="仿宋" w:eastAsia="仿宋" w:hAnsi="仿宋" w:cs="仿宋_GB2312"/>
          <w:kern w:val="0"/>
          <w:sz w:val="32"/>
          <w:szCs w:val="32"/>
          <w:shd w:val="clear" w:color="auto" w:fill="FFFFFF"/>
        </w:rPr>
      </w:pPr>
      <w:r>
        <w:rPr>
          <w:rFonts w:ascii="仿宋" w:eastAsia="仿宋" w:hAnsi="仿宋" w:cs="仿宋_GB2312" w:hint="eastAsia"/>
          <w:kern w:val="0"/>
          <w:sz w:val="32"/>
          <w:szCs w:val="32"/>
          <w:shd w:val="clear" w:color="auto" w:fill="FFFFFF"/>
        </w:rPr>
        <w:lastRenderedPageBreak/>
        <w:t>3.部门总体结转结余情况</w:t>
      </w:r>
    </w:p>
    <w:p w:rsidR="00FC5B9A" w:rsidRDefault="00A50BEA">
      <w:pPr>
        <w:pStyle w:val="a0"/>
        <w:spacing w:before="93"/>
        <w:ind w:firstLineChars="200" w:firstLine="640"/>
        <w:rPr>
          <w:rFonts w:ascii="仿宋" w:eastAsia="仿宋" w:hAnsi="仿宋"/>
          <w:sz w:val="32"/>
          <w:szCs w:val="32"/>
        </w:rPr>
      </w:pPr>
      <w:r>
        <w:rPr>
          <w:rFonts w:ascii="仿宋" w:eastAsia="仿宋" w:hAnsi="仿宋"/>
          <w:sz w:val="32"/>
          <w:szCs w:val="32"/>
        </w:rPr>
        <w:t>本年度部门总体无结转结余。</w:t>
      </w:r>
    </w:p>
    <w:p w:rsidR="00FC5B9A" w:rsidRDefault="00A50BEA" w:rsidP="00F57344">
      <w:pPr>
        <w:widowControl/>
        <w:adjustRightInd w:val="0"/>
        <w:snapToGrid w:val="0"/>
        <w:spacing w:line="560" w:lineRule="exact"/>
        <w:ind w:firstLineChars="200" w:firstLine="640"/>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（二）部门财政拨款收支情况。</w:t>
      </w:r>
    </w:p>
    <w:p w:rsidR="00FC5B9A" w:rsidRDefault="00A50BEA">
      <w:pPr>
        <w:widowControl/>
        <w:adjustRightInd w:val="0"/>
        <w:snapToGrid w:val="0"/>
        <w:spacing w:line="560" w:lineRule="exact"/>
        <w:ind w:firstLineChars="200" w:firstLine="640"/>
        <w:contextualSpacing/>
        <w:jc w:val="left"/>
        <w:rPr>
          <w:rFonts w:ascii="仿宋" w:eastAsia="仿宋" w:hAnsi="仿宋" w:cs="仿宋_GB2312"/>
          <w:kern w:val="0"/>
          <w:sz w:val="32"/>
          <w:szCs w:val="32"/>
          <w:shd w:val="clear" w:color="auto" w:fill="FFFFFF"/>
        </w:rPr>
      </w:pPr>
      <w:r>
        <w:rPr>
          <w:rFonts w:ascii="仿宋" w:eastAsia="仿宋" w:hAnsi="仿宋" w:cs="仿宋_GB2312" w:hint="eastAsia"/>
          <w:kern w:val="0"/>
          <w:sz w:val="32"/>
          <w:szCs w:val="32"/>
          <w:shd w:val="clear" w:color="auto" w:fill="FFFFFF"/>
        </w:rPr>
        <w:t>1.部门财政拨款收入情况</w:t>
      </w:r>
    </w:p>
    <w:p w:rsidR="00FC5B9A" w:rsidRDefault="00A50BEA">
      <w:pPr>
        <w:widowControl/>
        <w:adjustRightInd w:val="0"/>
        <w:snapToGrid w:val="0"/>
        <w:spacing w:line="560" w:lineRule="exact"/>
        <w:ind w:firstLineChars="200" w:firstLine="640"/>
        <w:contextualSpacing/>
        <w:jc w:val="left"/>
        <w:rPr>
          <w:rFonts w:ascii="仿宋" w:eastAsia="仿宋" w:hAnsi="仿宋" w:cs="仿宋_GB2312"/>
          <w:kern w:val="0"/>
          <w:sz w:val="32"/>
          <w:szCs w:val="32"/>
          <w:shd w:val="clear" w:color="auto" w:fill="FFFFFF"/>
        </w:rPr>
      </w:pPr>
      <w:r>
        <w:rPr>
          <w:rFonts w:ascii="仿宋" w:eastAsia="仿宋" w:hAnsi="仿宋" w:hint="eastAsia"/>
          <w:sz w:val="32"/>
          <w:szCs w:val="32"/>
        </w:rPr>
        <w:t>本年度财政拨款收入预算安排为524.29万元，与上年相比增加37.46万元。原因是增加人员工资调标补费、医疗保险调标补费及死亡抚恤支出。</w:t>
      </w:r>
    </w:p>
    <w:p w:rsidR="00FC5B9A" w:rsidRDefault="00A50BEA">
      <w:pPr>
        <w:widowControl/>
        <w:adjustRightInd w:val="0"/>
        <w:snapToGrid w:val="0"/>
        <w:spacing w:line="560" w:lineRule="exact"/>
        <w:ind w:firstLineChars="200" w:firstLine="640"/>
        <w:contextualSpacing/>
        <w:jc w:val="left"/>
        <w:rPr>
          <w:rFonts w:ascii="仿宋" w:eastAsia="仿宋" w:hAnsi="仿宋" w:cs="仿宋_GB2312"/>
          <w:kern w:val="0"/>
          <w:sz w:val="32"/>
          <w:szCs w:val="32"/>
          <w:shd w:val="clear" w:color="auto" w:fill="FFFFFF"/>
        </w:rPr>
      </w:pPr>
      <w:r>
        <w:rPr>
          <w:rFonts w:ascii="仿宋" w:eastAsia="仿宋" w:hAnsi="仿宋" w:cs="仿宋_GB2312" w:hint="eastAsia"/>
          <w:kern w:val="0"/>
          <w:sz w:val="32"/>
          <w:szCs w:val="32"/>
          <w:shd w:val="clear" w:color="auto" w:fill="FFFFFF"/>
        </w:rPr>
        <w:t>2.部门财政拨款支出情况</w:t>
      </w:r>
    </w:p>
    <w:p w:rsidR="00FC5B9A" w:rsidRDefault="00A50BEA">
      <w:pPr>
        <w:pStyle w:val="a0"/>
        <w:spacing w:before="93"/>
        <w:ind w:firstLineChars="200" w:firstLine="640"/>
        <w:rPr>
          <w:rFonts w:ascii="仿宋" w:eastAsia="仿宋" w:hAnsi="仿宋"/>
          <w:sz w:val="32"/>
          <w:szCs w:val="32"/>
          <w:lang w:val="zh-CN"/>
        </w:rPr>
      </w:pPr>
      <w:r>
        <w:rPr>
          <w:rFonts w:ascii="仿宋" w:eastAsia="仿宋" w:hAnsi="仿宋" w:hint="eastAsia"/>
          <w:color w:val="000000"/>
          <w:sz w:val="32"/>
          <w:szCs w:val="32"/>
        </w:rPr>
        <w:t>财政拨款</w:t>
      </w:r>
      <w:r>
        <w:rPr>
          <w:rFonts w:ascii="仿宋" w:eastAsia="仿宋" w:hAnsi="仿宋" w:hint="eastAsia"/>
          <w:sz w:val="32"/>
          <w:szCs w:val="32"/>
        </w:rPr>
        <w:t>支出预算总额为524.29万元。其中：</w:t>
      </w:r>
      <w:r>
        <w:rPr>
          <w:rFonts w:ascii="仿宋" w:eastAsia="仿宋" w:hAnsi="仿宋" w:hint="eastAsia"/>
          <w:color w:val="000000"/>
          <w:sz w:val="32"/>
          <w:szCs w:val="32"/>
        </w:rPr>
        <w:t>工资福利支出</w:t>
      </w:r>
      <w:r>
        <w:rPr>
          <w:rFonts w:ascii="仿宋" w:eastAsia="仿宋" w:hAnsi="仿宋" w:hint="eastAsia"/>
          <w:sz w:val="32"/>
          <w:szCs w:val="32"/>
        </w:rPr>
        <w:t>436.84</w:t>
      </w:r>
      <w:r>
        <w:rPr>
          <w:rFonts w:ascii="仿宋" w:eastAsia="仿宋" w:hAnsi="仿宋" w:hint="eastAsia"/>
          <w:color w:val="000000"/>
          <w:sz w:val="32"/>
          <w:szCs w:val="32"/>
        </w:rPr>
        <w:t>万元，</w:t>
      </w:r>
      <w:r>
        <w:rPr>
          <w:rFonts w:ascii="仿宋" w:eastAsia="仿宋" w:hAnsi="仿宋" w:hint="eastAsia"/>
          <w:sz w:val="32"/>
          <w:szCs w:val="32"/>
        </w:rPr>
        <w:t>商品和服务支出58.04万元</w:t>
      </w:r>
      <w:r>
        <w:rPr>
          <w:rFonts w:ascii="仿宋" w:eastAsia="仿宋" w:hAnsi="仿宋" w:hint="eastAsia"/>
          <w:color w:val="000000"/>
          <w:sz w:val="32"/>
          <w:szCs w:val="32"/>
        </w:rPr>
        <w:t>，对个人和家庭的补助支出</w:t>
      </w:r>
      <w:r>
        <w:rPr>
          <w:rFonts w:ascii="仿宋" w:eastAsia="仿宋" w:hAnsi="仿宋" w:hint="eastAsia"/>
          <w:sz w:val="32"/>
          <w:szCs w:val="32"/>
        </w:rPr>
        <w:t>23.24</w:t>
      </w:r>
      <w:r>
        <w:rPr>
          <w:rFonts w:ascii="仿宋" w:eastAsia="仿宋" w:hAnsi="仿宋" w:hint="eastAsia"/>
          <w:color w:val="000000"/>
          <w:sz w:val="32"/>
          <w:szCs w:val="32"/>
        </w:rPr>
        <w:t>万元，项目支出6.17万元</w:t>
      </w:r>
      <w:r>
        <w:rPr>
          <w:rFonts w:ascii="仿宋" w:eastAsia="仿宋" w:hAnsi="仿宋" w:hint="eastAsia"/>
          <w:sz w:val="32"/>
          <w:szCs w:val="32"/>
        </w:rPr>
        <w:t>。</w:t>
      </w:r>
    </w:p>
    <w:p w:rsidR="00FC5B9A" w:rsidRDefault="00A50BEA">
      <w:pPr>
        <w:widowControl/>
        <w:adjustRightInd w:val="0"/>
        <w:snapToGrid w:val="0"/>
        <w:spacing w:line="560" w:lineRule="exact"/>
        <w:ind w:firstLineChars="200" w:firstLine="640"/>
        <w:contextualSpacing/>
        <w:jc w:val="left"/>
        <w:rPr>
          <w:rFonts w:ascii="仿宋" w:eastAsia="仿宋" w:hAnsi="仿宋" w:cs="仿宋_GB2312"/>
          <w:kern w:val="0"/>
          <w:sz w:val="32"/>
          <w:szCs w:val="32"/>
          <w:shd w:val="clear" w:color="auto" w:fill="FFFFFF"/>
        </w:rPr>
      </w:pPr>
      <w:r>
        <w:rPr>
          <w:rFonts w:ascii="仿宋" w:eastAsia="仿宋" w:hAnsi="仿宋" w:cs="仿宋_GB2312" w:hint="eastAsia"/>
          <w:kern w:val="0"/>
          <w:sz w:val="32"/>
          <w:szCs w:val="32"/>
          <w:shd w:val="clear" w:color="auto" w:fill="FFFFFF"/>
        </w:rPr>
        <w:t>3.部门财政拨款结转结余情况</w:t>
      </w:r>
    </w:p>
    <w:p w:rsidR="00FC5B9A" w:rsidRDefault="00A50BEA">
      <w:pPr>
        <w:pStyle w:val="a0"/>
        <w:spacing w:before="93"/>
        <w:ind w:firstLineChars="200" w:firstLine="640"/>
        <w:rPr>
          <w:rFonts w:ascii="仿宋" w:eastAsia="仿宋" w:hAnsi="仿宋"/>
        </w:rPr>
      </w:pPr>
      <w:r>
        <w:rPr>
          <w:rFonts w:ascii="仿宋" w:eastAsia="仿宋" w:hAnsi="仿宋"/>
          <w:sz w:val="32"/>
          <w:szCs w:val="32"/>
        </w:rPr>
        <w:t>本年度部门财政拨款无结转结余。</w:t>
      </w:r>
    </w:p>
    <w:p w:rsidR="00FC5B9A" w:rsidRDefault="00A50BEA">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t>三、部门整体绩效分析</w:t>
      </w:r>
    </w:p>
    <w:p w:rsidR="00FC5B9A" w:rsidRDefault="00A50BEA" w:rsidP="00F57344">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楷体_GB2312" w:eastAsia="楷体_GB2312" w:hAnsi="楷体_GB2312" w:cs="楷体_GB2312" w:hint="eastAsia"/>
          <w:b/>
          <w:bCs/>
          <w:kern w:val="0"/>
          <w:sz w:val="32"/>
          <w:szCs w:val="32"/>
          <w:shd w:val="clear" w:color="auto" w:fill="FFFFFF"/>
          <w:lang w:val="zh-CN"/>
        </w:rPr>
        <w:t>（一）部门预算项目绩效分析。</w:t>
      </w:r>
    </w:p>
    <w:p w:rsidR="00FC5B9A" w:rsidRDefault="00A50BEA">
      <w:pPr>
        <w:widowControl/>
        <w:adjustRightInd w:val="0"/>
        <w:snapToGrid w:val="0"/>
        <w:spacing w:line="560" w:lineRule="exact"/>
        <w:ind w:firstLineChars="200" w:firstLine="640"/>
        <w:contextualSpacing/>
        <w:jc w:val="left"/>
        <w:rPr>
          <w:rFonts w:ascii="仿宋" w:eastAsia="仿宋" w:hAnsi="仿宋" w:cs="仿宋_GB2312"/>
          <w:kern w:val="0"/>
          <w:sz w:val="32"/>
          <w:szCs w:val="32"/>
          <w:shd w:val="clear" w:color="auto" w:fill="FFFFFF"/>
        </w:rPr>
      </w:pPr>
      <w:r>
        <w:rPr>
          <w:rFonts w:ascii="仿宋" w:eastAsia="仿宋" w:hAnsi="仿宋" w:cs="仿宋_GB2312" w:hint="eastAsia"/>
          <w:kern w:val="0"/>
          <w:sz w:val="32"/>
          <w:szCs w:val="32"/>
          <w:shd w:val="clear" w:color="auto" w:fill="FFFFFF"/>
        </w:rPr>
        <w:t>1.人员类项目绩效分析</w:t>
      </w:r>
    </w:p>
    <w:p w:rsidR="00FC5B9A" w:rsidRDefault="00A50BEA">
      <w:pPr>
        <w:pStyle w:val="a0"/>
        <w:spacing w:before="93"/>
        <w:ind w:firstLineChars="200" w:firstLine="640"/>
        <w:rPr>
          <w:rFonts w:ascii="仿宋" w:eastAsia="仿宋" w:hAnsi="仿宋"/>
          <w:sz w:val="32"/>
          <w:szCs w:val="32"/>
        </w:rPr>
      </w:pPr>
      <w:r>
        <w:rPr>
          <w:rFonts w:ascii="仿宋" w:eastAsia="仿宋" w:hAnsi="仿宋" w:hint="eastAsia"/>
          <w:sz w:val="32"/>
          <w:szCs w:val="32"/>
        </w:rPr>
        <w:t>根据部门整体支出绩效目标自评和项目支出绩效目标自评情况，县融媒体中心编制绩效目标科学合理、要素完整，但绩效指标还不够细化量化。人员类经费支出460.08万元，占本年支出的87.75%，其中：工资福利支出436.84万元，主要用于人员工资、津贴、奖金及五险一金等支出；对个人和家庭的补助支出23.24万元，主要用于死亡抚恤金、退休人员生活补助、医疗费补助等支出。目标完成率100%，支出</w:t>
      </w:r>
      <w:r>
        <w:rPr>
          <w:rFonts w:ascii="仿宋" w:eastAsia="仿宋" w:hAnsi="仿宋" w:hint="eastAsia"/>
          <w:sz w:val="32"/>
          <w:szCs w:val="32"/>
        </w:rPr>
        <w:lastRenderedPageBreak/>
        <w:t>完成年初预算的100%，无资金结余，无违规情况。</w:t>
      </w:r>
    </w:p>
    <w:p w:rsidR="00FC5B9A" w:rsidRDefault="00A50BEA">
      <w:pPr>
        <w:widowControl/>
        <w:adjustRightInd w:val="0"/>
        <w:snapToGrid w:val="0"/>
        <w:spacing w:line="560" w:lineRule="exact"/>
        <w:ind w:firstLineChars="200" w:firstLine="640"/>
        <w:contextualSpacing/>
        <w:jc w:val="left"/>
        <w:rPr>
          <w:rFonts w:ascii="仿宋" w:eastAsia="仿宋" w:hAnsi="仿宋" w:cs="仿宋_GB2312"/>
          <w:color w:val="000000" w:themeColor="text1"/>
          <w:kern w:val="0"/>
          <w:sz w:val="32"/>
          <w:szCs w:val="32"/>
          <w:shd w:val="clear" w:color="auto" w:fill="FFFFFF"/>
        </w:rPr>
      </w:pPr>
      <w:r>
        <w:rPr>
          <w:rFonts w:ascii="仿宋" w:eastAsia="仿宋" w:hAnsi="仿宋" w:cs="仿宋_GB2312" w:hint="eastAsia"/>
          <w:color w:val="000000" w:themeColor="text1"/>
          <w:kern w:val="0"/>
          <w:sz w:val="32"/>
          <w:szCs w:val="32"/>
          <w:shd w:val="clear" w:color="auto" w:fill="FFFFFF"/>
        </w:rPr>
        <w:t>2.运转类项目绩效分析</w:t>
      </w:r>
    </w:p>
    <w:p w:rsidR="00FC5B9A" w:rsidRDefault="00A50BEA">
      <w:pPr>
        <w:widowControl/>
        <w:adjustRightInd w:val="0"/>
        <w:snapToGrid w:val="0"/>
        <w:spacing w:line="560" w:lineRule="exact"/>
        <w:ind w:firstLineChars="200" w:firstLine="640"/>
        <w:contextualSpacing/>
        <w:jc w:val="left"/>
        <w:rPr>
          <w:rFonts w:ascii="仿宋" w:eastAsia="仿宋" w:hAnsi="仿宋" w:cs="仿宋_GB2312"/>
          <w:color w:val="000000" w:themeColor="text1"/>
          <w:kern w:val="0"/>
          <w:sz w:val="32"/>
          <w:szCs w:val="32"/>
          <w:shd w:val="clear" w:color="auto" w:fill="FFFFFF"/>
        </w:rPr>
      </w:pPr>
      <w:r>
        <w:rPr>
          <w:rFonts w:ascii="仿宋" w:eastAsia="仿宋" w:hAnsi="仿宋" w:hint="eastAsia"/>
          <w:color w:val="000000"/>
          <w:sz w:val="32"/>
          <w:szCs w:val="32"/>
        </w:rPr>
        <w:t>按照定额编制要求按时完成编制，切实做到数据完整和准确无误，</w:t>
      </w:r>
      <w:r>
        <w:rPr>
          <w:rFonts w:ascii="仿宋" w:eastAsia="仿宋" w:hAnsi="仿宋" w:cs="仿宋_GB2312" w:hint="eastAsia"/>
          <w:color w:val="000000" w:themeColor="text1"/>
          <w:kern w:val="0"/>
          <w:sz w:val="32"/>
          <w:szCs w:val="32"/>
          <w:shd w:val="clear" w:color="auto" w:fill="FFFFFF"/>
        </w:rPr>
        <w:t>运</w:t>
      </w:r>
      <w:r>
        <w:rPr>
          <w:rFonts w:ascii="仿宋" w:eastAsia="仿宋" w:hAnsi="仿宋" w:cs="宋体" w:hint="eastAsia"/>
          <w:color w:val="000000" w:themeColor="text1"/>
          <w:kern w:val="0"/>
          <w:sz w:val="32"/>
          <w:szCs w:val="32"/>
          <w:shd w:val="clear" w:color="auto" w:fill="FFFFFF"/>
        </w:rPr>
        <w:t>转类经费支出公用经费（商品和服务支出）58.04万元，</w:t>
      </w:r>
      <w:r>
        <w:rPr>
          <w:rFonts w:ascii="仿宋" w:eastAsia="仿宋" w:hAnsi="仿宋" w:hint="eastAsia"/>
          <w:sz w:val="32"/>
          <w:szCs w:val="32"/>
        </w:rPr>
        <w:t>占本年支出的11.07%</w:t>
      </w:r>
      <w:r>
        <w:rPr>
          <w:rFonts w:ascii="仿宋" w:eastAsia="仿宋" w:hAnsi="仿宋" w:hint="eastAsia"/>
          <w:color w:val="000000"/>
          <w:sz w:val="32"/>
          <w:szCs w:val="32"/>
        </w:rPr>
        <w:t>，</w:t>
      </w:r>
      <w:r>
        <w:rPr>
          <w:rFonts w:ascii="仿宋" w:eastAsia="仿宋" w:hAnsi="仿宋" w:cs="宋体" w:hint="eastAsia"/>
          <w:color w:val="000000" w:themeColor="text1"/>
          <w:kern w:val="0"/>
          <w:sz w:val="32"/>
          <w:szCs w:val="32"/>
          <w:shd w:val="clear" w:color="auto" w:fill="FFFFFF"/>
        </w:rPr>
        <w:t>主要用于办公费、水费、电费、邮电费、差旅费、维修费、培训费等日常开支。</w:t>
      </w:r>
      <w:r>
        <w:rPr>
          <w:rFonts w:ascii="仿宋" w:eastAsia="仿宋" w:hAnsi="仿宋" w:hint="eastAsia"/>
          <w:sz w:val="32"/>
          <w:szCs w:val="32"/>
        </w:rPr>
        <w:t>目标完成率100%，支出完成年初预算的100%，无资金结余，无违规情况。</w:t>
      </w:r>
    </w:p>
    <w:p w:rsidR="00FC5B9A" w:rsidRDefault="00A50BEA">
      <w:pPr>
        <w:widowControl/>
        <w:adjustRightInd w:val="0"/>
        <w:snapToGrid w:val="0"/>
        <w:spacing w:line="560" w:lineRule="exact"/>
        <w:ind w:firstLineChars="200" w:firstLine="640"/>
        <w:contextualSpacing/>
        <w:jc w:val="left"/>
        <w:rPr>
          <w:rFonts w:ascii="仿宋" w:eastAsia="仿宋" w:hAnsi="仿宋" w:cs="仿宋_GB2312"/>
          <w:color w:val="000000" w:themeColor="text1"/>
          <w:kern w:val="0"/>
          <w:sz w:val="32"/>
          <w:szCs w:val="32"/>
          <w:shd w:val="clear" w:color="auto" w:fill="FFFFFF"/>
        </w:rPr>
      </w:pPr>
      <w:r>
        <w:rPr>
          <w:rFonts w:ascii="仿宋" w:eastAsia="仿宋" w:hAnsi="仿宋" w:cs="仿宋_GB2312" w:hint="eastAsia"/>
          <w:color w:val="000000" w:themeColor="text1"/>
          <w:kern w:val="0"/>
          <w:sz w:val="32"/>
          <w:szCs w:val="32"/>
          <w:shd w:val="clear" w:color="auto" w:fill="FFFFFF"/>
        </w:rPr>
        <w:t>3.特定目标类项目绩效分析</w:t>
      </w:r>
    </w:p>
    <w:p w:rsidR="00FC5B9A" w:rsidRDefault="00A50BEA">
      <w:pPr>
        <w:widowControl/>
        <w:adjustRightInd w:val="0"/>
        <w:snapToGrid w:val="0"/>
        <w:spacing w:line="560" w:lineRule="exact"/>
        <w:ind w:firstLineChars="200" w:firstLine="640"/>
        <w:contextualSpacing/>
        <w:jc w:val="left"/>
        <w:rPr>
          <w:rFonts w:ascii="仿宋" w:eastAsia="仿宋" w:hAnsi="仿宋" w:cs="仿宋_GB2312"/>
          <w:color w:val="000000" w:themeColor="text1"/>
          <w:kern w:val="0"/>
          <w:sz w:val="32"/>
          <w:szCs w:val="32"/>
          <w:shd w:val="clear" w:color="auto" w:fill="FFFFFF"/>
        </w:rPr>
      </w:pPr>
      <w:r>
        <w:rPr>
          <w:rFonts w:ascii="仿宋" w:eastAsia="仿宋" w:hAnsi="仿宋" w:cs="仿宋_GB2312" w:hint="eastAsia"/>
          <w:color w:val="000000" w:themeColor="text1"/>
          <w:kern w:val="0"/>
          <w:sz w:val="32"/>
          <w:szCs w:val="32"/>
          <w:shd w:val="clear" w:color="auto" w:fill="FFFFFF"/>
        </w:rPr>
        <w:t>特定目标类经费支出6.17万元，占</w:t>
      </w:r>
      <w:r>
        <w:rPr>
          <w:rFonts w:ascii="仿宋" w:eastAsia="仿宋" w:hAnsi="仿宋" w:hint="eastAsia"/>
          <w:sz w:val="32"/>
          <w:szCs w:val="32"/>
        </w:rPr>
        <w:t>本年支出1.18%，其中：民族工作专项经费4.12万元，</w:t>
      </w:r>
      <w:r>
        <w:rPr>
          <w:rFonts w:ascii="仿宋" w:eastAsia="仿宋" w:hAnsi="仿宋" w:cs="仿宋_GB2312" w:hint="eastAsia"/>
          <w:sz w:val="32"/>
          <w:szCs w:val="32"/>
        </w:rPr>
        <w:t>制作民族团结进步示范创建专题片，大力开展民族宗教理论政策宣传；</w:t>
      </w:r>
      <w:r>
        <w:rPr>
          <w:rFonts w:ascii="仿宋" w:eastAsia="仿宋" w:hAnsi="仿宋" w:hint="eastAsia"/>
          <w:kern w:val="0"/>
          <w:sz w:val="32"/>
          <w:szCs w:val="32"/>
        </w:rPr>
        <w:t>2021年中央支持地方公共文化服务体系建设补助资金（县级融媒体中心建设项目）</w:t>
      </w:r>
      <w:r>
        <w:rPr>
          <w:rFonts w:ascii="仿宋" w:eastAsia="仿宋" w:hAnsi="仿宋" w:hint="eastAsia"/>
          <w:sz w:val="32"/>
          <w:szCs w:val="32"/>
        </w:rPr>
        <w:t>2.05万元</w:t>
      </w:r>
      <w:r>
        <w:rPr>
          <w:rFonts w:ascii="仿宋" w:eastAsia="仿宋" w:hAnsi="仿宋" w:hint="eastAsia"/>
          <w:kern w:val="0"/>
          <w:sz w:val="32"/>
          <w:szCs w:val="32"/>
        </w:rPr>
        <w:t>，支付移动公司云业务经费。</w:t>
      </w:r>
    </w:p>
    <w:p w:rsidR="00FC5B9A" w:rsidRDefault="00A50BEA" w:rsidP="00F57344">
      <w:pPr>
        <w:widowControl/>
        <w:adjustRightInd w:val="0"/>
        <w:snapToGrid w:val="0"/>
        <w:spacing w:line="560" w:lineRule="exact"/>
        <w:ind w:firstLineChars="200" w:firstLine="640"/>
        <w:contextualSpacing/>
        <w:jc w:val="left"/>
        <w:rPr>
          <w:rFonts w:ascii="楷体_GB2312" w:eastAsia="楷体_GB2312" w:hAnsi="楷体_GB2312" w:cs="楷体_GB2312"/>
          <w:b/>
          <w:bCs/>
          <w:color w:val="000000" w:themeColor="text1"/>
          <w:kern w:val="0"/>
          <w:sz w:val="32"/>
          <w:szCs w:val="32"/>
          <w:shd w:val="clear" w:color="auto" w:fill="FFFFFF"/>
          <w:lang w:val="zh-CN"/>
        </w:rPr>
      </w:pPr>
      <w:r>
        <w:rPr>
          <w:rFonts w:ascii="楷体_GB2312" w:eastAsia="楷体_GB2312" w:hAnsi="楷体_GB2312" w:cs="楷体_GB2312" w:hint="eastAsia"/>
          <w:b/>
          <w:bCs/>
          <w:color w:val="000000" w:themeColor="text1"/>
          <w:kern w:val="0"/>
          <w:sz w:val="32"/>
          <w:szCs w:val="32"/>
          <w:shd w:val="clear" w:color="auto" w:fill="FFFFFF"/>
          <w:lang w:val="zh-CN"/>
        </w:rPr>
        <w:t>（二）部门整体履职绩效分析。</w:t>
      </w:r>
    </w:p>
    <w:p w:rsidR="00FC5B9A" w:rsidRDefault="00A50BEA">
      <w:pPr>
        <w:pStyle w:val="a0"/>
        <w:spacing w:before="93"/>
        <w:ind w:firstLineChars="150" w:firstLine="480"/>
        <w:rPr>
          <w:rFonts w:ascii="仿宋" w:eastAsia="仿宋" w:hAnsi="仿宋"/>
          <w:sz w:val="32"/>
          <w:szCs w:val="32"/>
          <w:lang w:val="zh-CN"/>
        </w:rPr>
      </w:pPr>
      <w:r>
        <w:rPr>
          <w:rFonts w:ascii="仿宋" w:eastAsia="仿宋" w:hAnsi="仿宋" w:hint="eastAsia"/>
          <w:sz w:val="32"/>
          <w:szCs w:val="32"/>
          <w:lang w:val="zh-CN"/>
        </w:rPr>
        <w:t xml:space="preserve"> 县融媒体中心充分履行职责职能，严格按照财经法规及制度使用、管理资金，把有限的资金都用在刀刃上，保障了干部职工工资、津贴的及时足额发放，保障了单位各项工作的正常运转顺利。</w:t>
      </w:r>
    </w:p>
    <w:p w:rsidR="00FC5B9A" w:rsidRDefault="00A50BEA" w:rsidP="00F57344">
      <w:pPr>
        <w:widowControl/>
        <w:adjustRightInd w:val="0"/>
        <w:snapToGrid w:val="0"/>
        <w:spacing w:line="560" w:lineRule="exact"/>
        <w:ind w:firstLineChars="200" w:firstLine="640"/>
        <w:contextualSpacing/>
        <w:jc w:val="left"/>
        <w:rPr>
          <w:rFonts w:ascii="楷体_GB2312" w:eastAsia="楷体_GB2312" w:hAnsi="楷体_GB2312" w:cs="楷体_GB2312"/>
          <w:b/>
          <w:bCs/>
          <w:color w:val="000000" w:themeColor="text1"/>
          <w:kern w:val="0"/>
          <w:sz w:val="32"/>
          <w:szCs w:val="32"/>
          <w:shd w:val="clear" w:color="auto" w:fill="FFFFFF"/>
          <w:lang w:val="zh-CN"/>
        </w:rPr>
      </w:pPr>
      <w:r>
        <w:rPr>
          <w:rFonts w:ascii="楷体_GB2312" w:eastAsia="楷体_GB2312" w:hAnsi="楷体_GB2312" w:cs="楷体_GB2312" w:hint="eastAsia"/>
          <w:b/>
          <w:bCs/>
          <w:color w:val="000000" w:themeColor="text1"/>
          <w:kern w:val="0"/>
          <w:sz w:val="32"/>
          <w:szCs w:val="32"/>
          <w:shd w:val="clear" w:color="auto" w:fill="FFFFFF"/>
          <w:lang w:val="zh-CN"/>
        </w:rPr>
        <w:t>（三）结果应用情况。</w:t>
      </w:r>
    </w:p>
    <w:p w:rsidR="00FC5B9A" w:rsidRDefault="00A50BEA">
      <w:pPr>
        <w:widowControl/>
        <w:adjustRightInd w:val="0"/>
        <w:snapToGrid w:val="0"/>
        <w:spacing w:line="580" w:lineRule="exact"/>
        <w:ind w:firstLineChars="200" w:firstLine="640"/>
        <w:contextualSpacing/>
        <w:jc w:val="left"/>
        <w:rPr>
          <w:rFonts w:ascii="仿宋" w:eastAsia="仿宋" w:hAnsi="仿宋"/>
          <w:color w:val="000000"/>
          <w:sz w:val="32"/>
          <w:szCs w:val="32"/>
        </w:rPr>
      </w:pPr>
      <w:r>
        <w:rPr>
          <w:rFonts w:ascii="仿宋" w:eastAsia="仿宋" w:hAnsi="仿宋" w:hint="eastAsia"/>
          <w:color w:val="000000"/>
          <w:sz w:val="32"/>
          <w:szCs w:val="32"/>
        </w:rPr>
        <w:t>1.内部应用</w:t>
      </w:r>
    </w:p>
    <w:p w:rsidR="00FC5B9A" w:rsidRDefault="00A50BEA">
      <w:pPr>
        <w:widowControl/>
        <w:adjustRightInd w:val="0"/>
        <w:snapToGrid w:val="0"/>
        <w:spacing w:line="580" w:lineRule="exact"/>
        <w:ind w:firstLineChars="200" w:firstLine="640"/>
        <w:contextualSpacing/>
        <w:jc w:val="left"/>
        <w:rPr>
          <w:rFonts w:ascii="仿宋" w:eastAsia="仿宋" w:hAnsi="仿宋"/>
          <w:color w:val="000000"/>
          <w:sz w:val="32"/>
          <w:szCs w:val="32"/>
        </w:rPr>
      </w:pPr>
      <w:r>
        <w:rPr>
          <w:rFonts w:ascii="仿宋" w:eastAsia="仿宋" w:hAnsi="仿宋" w:hint="eastAsia"/>
          <w:color w:val="000000"/>
          <w:sz w:val="32"/>
          <w:szCs w:val="32"/>
        </w:rPr>
        <w:t>建立“预算</w:t>
      </w:r>
      <w:r>
        <w:rPr>
          <w:rFonts w:ascii="仿宋" w:eastAsia="仿宋" w:hAnsi="仿宋" w:cs="宋体" w:hint="eastAsia"/>
          <w:color w:val="000000"/>
          <w:sz w:val="32"/>
          <w:szCs w:val="32"/>
        </w:rPr>
        <w:t>编制有目标、预算执行有监控、预算完成有评价、评价结果有反馈、反馈结果有应用”的全过程预算绩效管理机制。</w:t>
      </w:r>
    </w:p>
    <w:p w:rsidR="00FC5B9A" w:rsidRDefault="00A50BEA">
      <w:pPr>
        <w:widowControl/>
        <w:adjustRightInd w:val="0"/>
        <w:snapToGrid w:val="0"/>
        <w:spacing w:line="580" w:lineRule="exact"/>
        <w:ind w:firstLineChars="200" w:firstLine="640"/>
        <w:contextualSpacing/>
        <w:jc w:val="left"/>
        <w:rPr>
          <w:rFonts w:ascii="仿宋" w:eastAsia="仿宋" w:hAnsi="仿宋"/>
          <w:color w:val="000000"/>
          <w:sz w:val="32"/>
          <w:szCs w:val="32"/>
        </w:rPr>
      </w:pPr>
      <w:r>
        <w:rPr>
          <w:rFonts w:ascii="仿宋" w:eastAsia="仿宋" w:hAnsi="仿宋" w:hint="eastAsia"/>
          <w:color w:val="000000"/>
          <w:sz w:val="32"/>
          <w:szCs w:val="32"/>
        </w:rPr>
        <w:lastRenderedPageBreak/>
        <w:t>2.自评公开</w:t>
      </w:r>
    </w:p>
    <w:p w:rsidR="00FC5B9A" w:rsidRDefault="00A50BEA">
      <w:pPr>
        <w:pStyle w:val="a0"/>
        <w:spacing w:before="93"/>
        <w:ind w:firstLineChars="200" w:firstLine="640"/>
        <w:rPr>
          <w:rFonts w:ascii="仿宋" w:eastAsia="仿宋" w:hAnsi="仿宋"/>
        </w:rPr>
      </w:pPr>
      <w:r>
        <w:rPr>
          <w:rFonts w:ascii="仿宋" w:eastAsia="仿宋" w:hAnsi="仿宋" w:hint="eastAsia"/>
          <w:sz w:val="32"/>
          <w:szCs w:val="32"/>
        </w:rPr>
        <w:t>加强预算绩效信息发布管理制度建设，完善绩效信息公开机制，及时将部门整体支出绩效评价报告及自评表等信息按相关规定和要求在“盐边县公众信息网”财政信息版块“财政绩效评价信息”专栏中进行公开公示。</w:t>
      </w:r>
    </w:p>
    <w:p w:rsidR="00FC5B9A" w:rsidRDefault="00A50BEA">
      <w:pPr>
        <w:widowControl/>
        <w:adjustRightInd w:val="0"/>
        <w:snapToGrid w:val="0"/>
        <w:spacing w:line="580" w:lineRule="exact"/>
        <w:ind w:firstLineChars="200" w:firstLine="640"/>
        <w:contextualSpacing/>
        <w:jc w:val="left"/>
        <w:rPr>
          <w:rFonts w:ascii="仿宋" w:eastAsia="仿宋" w:hAnsi="仿宋"/>
          <w:color w:val="000000"/>
          <w:sz w:val="32"/>
          <w:szCs w:val="32"/>
        </w:rPr>
      </w:pPr>
      <w:r>
        <w:rPr>
          <w:rFonts w:ascii="仿宋" w:eastAsia="仿宋" w:hAnsi="仿宋" w:hint="eastAsia"/>
          <w:color w:val="000000"/>
          <w:sz w:val="32"/>
          <w:szCs w:val="32"/>
        </w:rPr>
        <w:t>3.问题整改</w:t>
      </w:r>
    </w:p>
    <w:p w:rsidR="00FC5B9A" w:rsidRDefault="00A50BEA">
      <w:pPr>
        <w:widowControl/>
        <w:adjustRightInd w:val="0"/>
        <w:snapToGrid w:val="0"/>
        <w:spacing w:line="580" w:lineRule="exact"/>
        <w:ind w:firstLineChars="200" w:firstLine="640"/>
        <w:contextualSpacing/>
        <w:jc w:val="left"/>
        <w:rPr>
          <w:rFonts w:ascii="仿宋" w:eastAsia="仿宋" w:hAnsi="仿宋"/>
          <w:color w:val="000000"/>
          <w:sz w:val="32"/>
          <w:szCs w:val="32"/>
        </w:rPr>
      </w:pPr>
      <w:r>
        <w:rPr>
          <w:rFonts w:ascii="仿宋" w:eastAsia="仿宋" w:hAnsi="仿宋" w:hint="eastAsia"/>
          <w:color w:val="000000"/>
          <w:sz w:val="32"/>
          <w:szCs w:val="32"/>
        </w:rPr>
        <w:t>通过绩效自评，更进一步掌握中心整体支出的使用情况和取得的效果，并发现工作中存在的问题和不足，为下一步提高资金的使用效益、加强财政资金支出的规范化管理，健全和完善支出项目和资金使用管理办法，完善预算编制，加强绩效目标管理和绩效考核工作提供依据。</w:t>
      </w:r>
    </w:p>
    <w:p w:rsidR="00FC5B9A" w:rsidRDefault="00A50BEA">
      <w:pPr>
        <w:widowControl/>
        <w:adjustRightInd w:val="0"/>
        <w:snapToGrid w:val="0"/>
        <w:spacing w:line="580" w:lineRule="exact"/>
        <w:ind w:firstLineChars="200" w:firstLine="640"/>
        <w:contextualSpacing/>
        <w:jc w:val="left"/>
        <w:rPr>
          <w:rFonts w:ascii="仿宋" w:eastAsia="仿宋" w:hAnsi="仿宋"/>
          <w:color w:val="000000"/>
          <w:kern w:val="0"/>
          <w:sz w:val="32"/>
          <w:szCs w:val="32"/>
          <w:shd w:val="clear" w:color="auto" w:fill="FFFFFF"/>
        </w:rPr>
      </w:pPr>
      <w:r>
        <w:rPr>
          <w:rFonts w:ascii="仿宋" w:eastAsia="仿宋" w:hAnsi="仿宋" w:hint="eastAsia"/>
          <w:color w:val="000000"/>
          <w:kern w:val="0"/>
          <w:sz w:val="32"/>
          <w:szCs w:val="32"/>
          <w:shd w:val="clear" w:color="auto" w:fill="FFFFFF"/>
        </w:rPr>
        <w:t>4.应用反馈</w:t>
      </w:r>
    </w:p>
    <w:p w:rsidR="00FC5B9A" w:rsidRDefault="00A50BEA">
      <w:pPr>
        <w:pStyle w:val="a0"/>
        <w:spacing w:before="93"/>
        <w:rPr>
          <w:rFonts w:ascii="仿宋" w:eastAsia="仿宋" w:hAnsi="仿宋"/>
          <w:sz w:val="32"/>
          <w:szCs w:val="32"/>
        </w:rPr>
      </w:pPr>
      <w:r>
        <w:rPr>
          <w:rFonts w:ascii="仿宋" w:eastAsia="仿宋" w:hAnsi="仿宋" w:hint="eastAsia"/>
          <w:sz w:val="32"/>
          <w:szCs w:val="32"/>
        </w:rPr>
        <w:t xml:space="preserve">    按照县财政局要求，及时报告部门反馈应用绩效结果情况。</w:t>
      </w:r>
    </w:p>
    <w:p w:rsidR="00FC5B9A" w:rsidRDefault="00A50BEA" w:rsidP="00F57344">
      <w:pPr>
        <w:widowControl/>
        <w:numPr>
          <w:ilvl w:val="0"/>
          <w:numId w:val="7"/>
        </w:numPr>
        <w:adjustRightInd w:val="0"/>
        <w:snapToGrid w:val="0"/>
        <w:spacing w:line="560" w:lineRule="exact"/>
        <w:ind w:firstLineChars="200" w:firstLine="640"/>
        <w:contextualSpacing/>
        <w:jc w:val="left"/>
        <w:rPr>
          <w:rFonts w:ascii="楷体_GB2312" w:eastAsia="楷体_GB2312" w:hAnsi="楷体_GB2312" w:cs="楷体_GB2312"/>
          <w:b/>
          <w:bCs/>
          <w:color w:val="000000" w:themeColor="text1"/>
          <w:kern w:val="0"/>
          <w:sz w:val="32"/>
          <w:szCs w:val="32"/>
          <w:shd w:val="clear" w:color="auto" w:fill="FFFFFF"/>
          <w:lang w:val="zh-CN"/>
        </w:rPr>
      </w:pPr>
      <w:r>
        <w:rPr>
          <w:rFonts w:ascii="楷体_GB2312" w:eastAsia="楷体_GB2312" w:hAnsi="楷体_GB2312" w:cs="楷体_GB2312" w:hint="eastAsia"/>
          <w:b/>
          <w:bCs/>
          <w:color w:val="000000" w:themeColor="text1"/>
          <w:kern w:val="0"/>
          <w:sz w:val="32"/>
          <w:szCs w:val="32"/>
          <w:shd w:val="clear" w:color="auto" w:fill="FFFFFF"/>
          <w:lang w:val="zh-CN"/>
        </w:rPr>
        <w:t>自评质量。</w:t>
      </w:r>
    </w:p>
    <w:p w:rsidR="00FC5B9A" w:rsidRDefault="00A50BEA">
      <w:pPr>
        <w:pStyle w:val="a0"/>
        <w:spacing w:before="93"/>
        <w:ind w:firstLineChars="200" w:firstLine="640"/>
        <w:rPr>
          <w:rFonts w:ascii="仿宋" w:eastAsia="仿宋" w:hAnsi="仿宋"/>
          <w:sz w:val="32"/>
          <w:szCs w:val="32"/>
        </w:rPr>
      </w:pPr>
      <w:r>
        <w:rPr>
          <w:rFonts w:ascii="仿宋" w:eastAsia="仿宋" w:hAnsi="仿宋" w:cs="宋体" w:hint="eastAsia"/>
          <w:sz w:val="32"/>
          <w:szCs w:val="32"/>
          <w:shd w:val="clear" w:color="auto" w:fill="FFFFFF"/>
        </w:rPr>
        <w:t>严格按照县委、县政府的决策部署，对我中心提质增效专项资金的管理、使用、绩效考核等情况进行了监督检查，对专项资金的支出，进行了分年度归集和核算，数据核算准确，经济事项清楚详细、反映真实。各项目资金严格实行专款专用，未出现项目资金被挤占、挪用的情况，保证了项目的顺利实施，做到了党媒信息广泛宣传，为民服务，使各项奖励政策做到家喻户晓，深入人心。</w:t>
      </w:r>
    </w:p>
    <w:p w:rsidR="00FC5B9A" w:rsidRDefault="00A50BEA">
      <w:pPr>
        <w:widowControl/>
        <w:adjustRightInd w:val="0"/>
        <w:snapToGrid w:val="0"/>
        <w:spacing w:line="560" w:lineRule="exact"/>
        <w:ind w:firstLineChars="200" w:firstLine="640"/>
        <w:contextualSpacing/>
        <w:jc w:val="left"/>
        <w:rPr>
          <w:rFonts w:ascii="黑体" w:eastAsia="黑体" w:hAnsi="宋体" w:cs="宋体"/>
          <w:color w:val="000000" w:themeColor="text1"/>
          <w:kern w:val="0"/>
          <w:sz w:val="32"/>
          <w:szCs w:val="32"/>
          <w:shd w:val="clear" w:color="auto" w:fill="FFFFFF"/>
        </w:rPr>
      </w:pPr>
      <w:r>
        <w:rPr>
          <w:rFonts w:ascii="黑体" w:eastAsia="黑体" w:hAnsi="宋体" w:cs="宋体" w:hint="eastAsia"/>
          <w:color w:val="000000" w:themeColor="text1"/>
          <w:kern w:val="0"/>
          <w:sz w:val="32"/>
          <w:szCs w:val="32"/>
          <w:shd w:val="clear" w:color="auto" w:fill="FFFFFF"/>
        </w:rPr>
        <w:lastRenderedPageBreak/>
        <w:t>四、评价结论及建议</w:t>
      </w:r>
    </w:p>
    <w:p w:rsidR="00FC5B9A" w:rsidRDefault="00A50BEA" w:rsidP="00F57344">
      <w:pPr>
        <w:widowControl/>
        <w:adjustRightInd w:val="0"/>
        <w:snapToGrid w:val="0"/>
        <w:spacing w:line="560" w:lineRule="exact"/>
        <w:ind w:firstLineChars="200" w:firstLine="640"/>
        <w:contextualSpacing/>
        <w:jc w:val="left"/>
        <w:rPr>
          <w:rFonts w:ascii="楷体_GB2312" w:eastAsia="楷体_GB2312" w:hAnsi="楷体_GB2312" w:cs="楷体_GB2312"/>
          <w:b/>
          <w:bCs/>
          <w:color w:val="000000" w:themeColor="text1"/>
          <w:kern w:val="0"/>
          <w:sz w:val="32"/>
          <w:szCs w:val="32"/>
          <w:shd w:val="clear" w:color="auto" w:fill="FFFFFF"/>
          <w:lang w:val="zh-CN"/>
        </w:rPr>
      </w:pPr>
      <w:r>
        <w:rPr>
          <w:rFonts w:ascii="楷体_GB2312" w:eastAsia="楷体_GB2312" w:hAnsi="楷体_GB2312" w:cs="楷体_GB2312" w:hint="eastAsia"/>
          <w:b/>
          <w:bCs/>
          <w:color w:val="000000" w:themeColor="text1"/>
          <w:kern w:val="0"/>
          <w:sz w:val="32"/>
          <w:szCs w:val="32"/>
          <w:shd w:val="clear" w:color="auto" w:fill="FFFFFF"/>
          <w:lang w:val="zh-CN"/>
        </w:rPr>
        <w:t>（一）评价结论。</w:t>
      </w:r>
    </w:p>
    <w:p w:rsidR="00FC5B9A" w:rsidRDefault="00A50BEA">
      <w:pPr>
        <w:widowControl/>
        <w:adjustRightInd w:val="0"/>
        <w:snapToGrid w:val="0"/>
        <w:spacing w:line="600" w:lineRule="exact"/>
        <w:ind w:firstLineChars="200" w:firstLine="640"/>
        <w:contextualSpacing/>
        <w:jc w:val="left"/>
        <w:rPr>
          <w:rFonts w:ascii="仿宋" w:eastAsia="仿宋" w:hAnsi="仿宋"/>
          <w:color w:val="000000"/>
          <w:kern w:val="0"/>
          <w:sz w:val="32"/>
          <w:szCs w:val="32"/>
          <w:shd w:val="clear" w:color="auto" w:fill="FFFFFF"/>
        </w:rPr>
      </w:pPr>
      <w:r>
        <w:rPr>
          <w:rFonts w:ascii="仿宋" w:eastAsia="仿宋" w:hAnsi="仿宋" w:hint="eastAsia"/>
          <w:sz w:val="32"/>
          <w:szCs w:val="32"/>
        </w:rPr>
        <w:t>2022年，我单位认真做好年度财政资金的预算编制工作，在资金使用和管理方面，进一步强化资金统筹，优化资金结构，明确开支范围，细化资金用途，确保部门职责任务顺利完成。全年基本支出保证了部门的正常运行和日常工作的正常开展，达到预期绩效目标，总体较为满意。</w:t>
      </w:r>
    </w:p>
    <w:p w:rsidR="00FC5B9A" w:rsidRDefault="00A50BEA" w:rsidP="00F57344">
      <w:pPr>
        <w:widowControl/>
        <w:adjustRightInd w:val="0"/>
        <w:snapToGrid w:val="0"/>
        <w:spacing w:line="560" w:lineRule="exact"/>
        <w:ind w:firstLineChars="200" w:firstLine="640"/>
        <w:contextualSpacing/>
        <w:jc w:val="left"/>
        <w:rPr>
          <w:rFonts w:ascii="楷体_GB2312" w:eastAsia="楷体_GB2312" w:hAnsi="楷体_GB2312" w:cs="楷体_GB2312"/>
          <w:b/>
          <w:bCs/>
          <w:color w:val="000000" w:themeColor="text1"/>
          <w:kern w:val="0"/>
          <w:sz w:val="32"/>
          <w:szCs w:val="32"/>
          <w:shd w:val="clear" w:color="auto" w:fill="FFFFFF"/>
          <w:lang w:val="zh-CN"/>
        </w:rPr>
      </w:pPr>
      <w:r>
        <w:rPr>
          <w:rFonts w:ascii="楷体_GB2312" w:eastAsia="楷体_GB2312" w:hAnsi="楷体_GB2312" w:cs="楷体_GB2312" w:hint="eastAsia"/>
          <w:b/>
          <w:bCs/>
          <w:color w:val="000000" w:themeColor="text1"/>
          <w:kern w:val="0"/>
          <w:sz w:val="32"/>
          <w:szCs w:val="32"/>
          <w:shd w:val="clear" w:color="auto" w:fill="FFFFFF"/>
          <w:lang w:val="zh-CN"/>
        </w:rPr>
        <w:t>（二）存在问题。</w:t>
      </w:r>
    </w:p>
    <w:p w:rsidR="00FC5B9A" w:rsidRDefault="00A50BEA">
      <w:pPr>
        <w:pStyle w:val="a8"/>
        <w:widowControl/>
        <w:spacing w:before="0" w:beforeAutospacing="0" w:after="0" w:afterAutospacing="0" w:line="600" w:lineRule="exact"/>
        <w:ind w:firstLineChars="200" w:firstLine="640"/>
        <w:rPr>
          <w:rFonts w:ascii="仿宋" w:eastAsia="仿宋" w:hAnsi="仿宋"/>
          <w:kern w:val="2"/>
          <w:sz w:val="32"/>
          <w:szCs w:val="32"/>
        </w:rPr>
      </w:pPr>
      <w:r>
        <w:rPr>
          <w:rFonts w:ascii="仿宋" w:eastAsia="仿宋" w:hAnsi="仿宋" w:hint="eastAsia"/>
          <w:kern w:val="2"/>
          <w:sz w:val="32"/>
          <w:szCs w:val="32"/>
        </w:rPr>
        <w:t>1.绩效评价工作业务有待加强，评价指标体系有待细化。</w:t>
      </w:r>
    </w:p>
    <w:p w:rsidR="00FC5B9A" w:rsidRDefault="00A50BEA">
      <w:pPr>
        <w:widowControl/>
        <w:adjustRightInd w:val="0"/>
        <w:snapToGrid w:val="0"/>
        <w:spacing w:line="600" w:lineRule="exact"/>
        <w:ind w:firstLineChars="200" w:firstLine="640"/>
        <w:contextualSpacing/>
        <w:jc w:val="left"/>
        <w:rPr>
          <w:rFonts w:ascii="仿宋" w:eastAsia="仿宋" w:hAnsi="仿宋"/>
          <w:color w:val="000000"/>
          <w:sz w:val="32"/>
          <w:szCs w:val="32"/>
        </w:rPr>
      </w:pPr>
      <w:r>
        <w:rPr>
          <w:rFonts w:ascii="仿宋" w:eastAsia="仿宋" w:hAnsi="仿宋" w:hint="eastAsia"/>
          <w:sz w:val="32"/>
          <w:szCs w:val="32"/>
        </w:rPr>
        <w:t>2.预算管理水平及执行进度不够。</w:t>
      </w:r>
    </w:p>
    <w:p w:rsidR="00FC5B9A" w:rsidRDefault="00A50BEA" w:rsidP="00F57344">
      <w:pPr>
        <w:widowControl/>
        <w:adjustRightInd w:val="0"/>
        <w:snapToGrid w:val="0"/>
        <w:spacing w:line="560" w:lineRule="exact"/>
        <w:ind w:firstLineChars="200" w:firstLine="640"/>
        <w:contextualSpacing/>
        <w:jc w:val="left"/>
        <w:rPr>
          <w:rFonts w:ascii="楷体_GB2312" w:eastAsia="楷体_GB2312" w:hAnsi="楷体_GB2312" w:cs="楷体_GB2312"/>
          <w:b/>
          <w:bCs/>
          <w:color w:val="000000" w:themeColor="text1"/>
          <w:kern w:val="0"/>
          <w:sz w:val="32"/>
          <w:szCs w:val="32"/>
          <w:shd w:val="clear" w:color="auto" w:fill="FFFFFF"/>
          <w:lang w:val="zh-CN"/>
        </w:rPr>
      </w:pPr>
      <w:r>
        <w:rPr>
          <w:rFonts w:ascii="楷体_GB2312" w:eastAsia="楷体_GB2312" w:hAnsi="楷体_GB2312" w:cs="楷体_GB2312" w:hint="eastAsia"/>
          <w:b/>
          <w:bCs/>
          <w:color w:val="000000" w:themeColor="text1"/>
          <w:kern w:val="0"/>
          <w:sz w:val="32"/>
          <w:szCs w:val="32"/>
          <w:shd w:val="clear" w:color="auto" w:fill="FFFFFF"/>
          <w:lang w:val="zh-CN"/>
        </w:rPr>
        <w:t>（三）改进建议。</w:t>
      </w:r>
    </w:p>
    <w:p w:rsidR="00FC5B9A" w:rsidRDefault="00A50BEA">
      <w:pPr>
        <w:pStyle w:val="a8"/>
        <w:widowControl/>
        <w:spacing w:before="0" w:beforeAutospacing="0" w:after="0" w:afterAutospacing="0" w:line="600" w:lineRule="exact"/>
        <w:ind w:firstLineChars="200" w:firstLine="640"/>
        <w:rPr>
          <w:rFonts w:ascii="仿宋" w:eastAsia="仿宋" w:hAnsi="仿宋"/>
          <w:kern w:val="2"/>
          <w:sz w:val="32"/>
          <w:szCs w:val="32"/>
        </w:rPr>
      </w:pPr>
      <w:r>
        <w:rPr>
          <w:rFonts w:ascii="仿宋" w:eastAsia="仿宋" w:hAnsi="仿宋" w:hint="eastAsia"/>
          <w:kern w:val="2"/>
          <w:sz w:val="32"/>
          <w:szCs w:val="32"/>
        </w:rPr>
        <w:t>1.加强绩效目标编制和审核。</w:t>
      </w:r>
      <w:r>
        <w:rPr>
          <w:rFonts w:ascii="仿宋" w:eastAsia="仿宋" w:hAnsi="仿宋" w:hint="eastAsia"/>
          <w:sz w:val="32"/>
          <w:szCs w:val="32"/>
        </w:rPr>
        <w:t>强化绩效管理理念，强化绩效目标管理的主体责任意识，科学合理编制绩效目标。部门整体支出绩效目标应根据单位职能职责和年度工作任务进行编制，目标应反映单位履职所要达到的总体产出和效果。项目绩效目标应根据项目实际进行编制，编制目标要细化量化、规范完整。</w:t>
      </w:r>
    </w:p>
    <w:p w:rsidR="00FC5B9A" w:rsidRDefault="00A50BEA">
      <w:pPr>
        <w:pStyle w:val="a8"/>
        <w:widowControl/>
        <w:spacing w:before="0" w:beforeAutospacing="0" w:after="0" w:afterAutospacing="0" w:line="600" w:lineRule="exact"/>
        <w:ind w:firstLineChars="200" w:firstLine="640"/>
        <w:rPr>
          <w:rFonts w:ascii="仿宋" w:eastAsia="仿宋" w:hAnsi="仿宋"/>
          <w:kern w:val="2"/>
          <w:sz w:val="32"/>
          <w:szCs w:val="32"/>
        </w:rPr>
      </w:pPr>
      <w:r>
        <w:rPr>
          <w:rFonts w:ascii="仿宋" w:eastAsia="仿宋" w:hAnsi="仿宋" w:hint="eastAsia"/>
          <w:kern w:val="2"/>
          <w:sz w:val="32"/>
          <w:szCs w:val="32"/>
        </w:rPr>
        <w:t>2.提高预算管理水平及执行进度。合理安排支出结构，提高预算编制的准确度，积极运用绩效监控结果指导预算调整，提高预算编制与执行的一致性，强化预算精细化管理水平。</w:t>
      </w:r>
    </w:p>
    <w:p w:rsidR="00FC5B9A" w:rsidRDefault="00FC5B9A">
      <w:pPr>
        <w:pStyle w:val="a0"/>
        <w:spacing w:before="93"/>
        <w:rPr>
          <w:lang w:val="zh-CN"/>
        </w:rPr>
      </w:pPr>
    </w:p>
    <w:p w:rsidR="00FC5B9A" w:rsidRDefault="00FC5B9A">
      <w:pPr>
        <w:pStyle w:val="a0"/>
        <w:spacing w:before="93"/>
        <w:rPr>
          <w:lang w:val="zh-CN"/>
        </w:rPr>
      </w:pPr>
    </w:p>
    <w:p w:rsidR="00FC5B9A" w:rsidRDefault="00A50BEA">
      <w:pPr>
        <w:pStyle w:val="21"/>
        <w:spacing w:line="560" w:lineRule="exact"/>
        <w:ind w:leftChars="0" w:left="0" w:firstLineChars="0" w:firstLine="0"/>
        <w:rPr>
          <w:sz w:val="32"/>
          <w:lang w:val="zh-CN"/>
        </w:rPr>
      </w:pPr>
      <w:r>
        <w:rPr>
          <w:rFonts w:hint="eastAsia"/>
          <w:sz w:val="32"/>
          <w:lang w:val="zh-CN"/>
        </w:rPr>
        <w:lastRenderedPageBreak/>
        <w:t>附表：部门预算项目支出绩效自评表（</w:t>
      </w:r>
      <w:r>
        <w:rPr>
          <w:rFonts w:hint="eastAsia"/>
          <w:sz w:val="32"/>
          <w:lang w:val="zh-CN"/>
        </w:rPr>
        <w:t>2022</w:t>
      </w:r>
      <w:r>
        <w:rPr>
          <w:rFonts w:hint="eastAsia"/>
          <w:sz w:val="32"/>
          <w:lang w:val="zh-CN"/>
        </w:rPr>
        <w:t>年度）</w:t>
      </w:r>
    </w:p>
    <w:p w:rsidR="00FC5B9A" w:rsidRDefault="007370E0">
      <w:pPr>
        <w:pStyle w:val="a0"/>
        <w:spacing w:before="93"/>
        <w:rPr>
          <w:rFonts w:hAnsi="宋体" w:cs="宋体"/>
          <w:sz w:val="32"/>
          <w:szCs w:val="32"/>
          <w:shd w:val="clear" w:color="auto" w:fill="FFFFFF"/>
          <w:lang w:val="zh-CN"/>
        </w:rPr>
      </w:pPr>
      <w:r w:rsidRPr="007370E0">
        <w:rPr>
          <w:noProof/>
          <w:szCs w:val="32"/>
          <w:shd w:val="clear" w:color="auto" w:fill="FFFFFF"/>
        </w:rPr>
        <w:drawing>
          <wp:inline distT="0" distB="0" distL="0" distR="0">
            <wp:extent cx="5274310" cy="8096250"/>
            <wp:effectExtent l="19050" t="0" r="2540" b="0"/>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srcRect/>
                    <a:stretch>
                      <a:fillRect/>
                    </a:stretch>
                  </pic:blipFill>
                  <pic:spPr bwMode="auto">
                    <a:xfrm>
                      <a:off x="0" y="0"/>
                      <a:ext cx="5274310" cy="8096250"/>
                    </a:xfrm>
                    <a:prstGeom prst="rect">
                      <a:avLst/>
                    </a:prstGeom>
                    <a:noFill/>
                    <a:ln w="9525">
                      <a:noFill/>
                      <a:miter lim="800000"/>
                      <a:headEnd/>
                      <a:tailEnd/>
                    </a:ln>
                  </pic:spPr>
                </pic:pic>
              </a:graphicData>
            </a:graphic>
          </wp:inline>
        </w:drawing>
      </w:r>
    </w:p>
    <w:p w:rsidR="007370E0" w:rsidRDefault="006C7D11">
      <w:pPr>
        <w:pStyle w:val="a0"/>
        <w:spacing w:before="93"/>
        <w:rPr>
          <w:noProof/>
          <w:szCs w:val="32"/>
          <w:shd w:val="clear" w:color="auto" w:fill="FFFFFF"/>
        </w:rPr>
      </w:pPr>
      <w:r w:rsidRPr="006C7D11">
        <w:rPr>
          <w:szCs w:val="32"/>
          <w:shd w:val="clear" w:color="auto" w:fill="FFFFFF"/>
        </w:rPr>
        <w:lastRenderedPageBreak/>
        <w:drawing>
          <wp:inline distT="0" distB="0" distL="0" distR="0">
            <wp:extent cx="5274310" cy="8534400"/>
            <wp:effectExtent l="19050" t="0" r="2540" b="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srcRect/>
                    <a:stretch>
                      <a:fillRect/>
                    </a:stretch>
                  </pic:blipFill>
                  <pic:spPr bwMode="auto">
                    <a:xfrm>
                      <a:off x="0" y="0"/>
                      <a:ext cx="5274310" cy="8534400"/>
                    </a:xfrm>
                    <a:prstGeom prst="rect">
                      <a:avLst/>
                    </a:prstGeom>
                    <a:noFill/>
                    <a:ln w="9525">
                      <a:noFill/>
                      <a:miter lim="800000"/>
                      <a:headEnd/>
                      <a:tailEnd/>
                    </a:ln>
                  </pic:spPr>
                </pic:pic>
              </a:graphicData>
            </a:graphic>
          </wp:inline>
        </w:drawing>
      </w:r>
    </w:p>
    <w:p w:rsidR="007370E0" w:rsidRDefault="007370E0">
      <w:pPr>
        <w:pStyle w:val="a0"/>
        <w:spacing w:before="93"/>
        <w:rPr>
          <w:rFonts w:hAnsi="宋体" w:cs="宋体"/>
          <w:sz w:val="32"/>
          <w:szCs w:val="32"/>
          <w:shd w:val="clear" w:color="auto" w:fill="FFFFFF"/>
          <w:lang w:val="zh-CN"/>
        </w:rPr>
      </w:pPr>
      <w:r w:rsidRPr="007370E0">
        <w:rPr>
          <w:noProof/>
          <w:szCs w:val="32"/>
          <w:shd w:val="clear" w:color="auto" w:fill="FFFFFF"/>
        </w:rPr>
        <w:lastRenderedPageBreak/>
        <w:drawing>
          <wp:inline distT="0" distB="0" distL="0" distR="0">
            <wp:extent cx="5274310" cy="8229600"/>
            <wp:effectExtent l="19050" t="0" r="2540" b="0"/>
            <wp:docPr id="1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srcRect/>
                    <a:stretch>
                      <a:fillRect/>
                    </a:stretch>
                  </pic:blipFill>
                  <pic:spPr bwMode="auto">
                    <a:xfrm>
                      <a:off x="0" y="0"/>
                      <a:ext cx="5274310" cy="8229600"/>
                    </a:xfrm>
                    <a:prstGeom prst="rect">
                      <a:avLst/>
                    </a:prstGeom>
                    <a:noFill/>
                    <a:ln w="9525">
                      <a:noFill/>
                      <a:miter lim="800000"/>
                      <a:headEnd/>
                      <a:tailEnd/>
                    </a:ln>
                  </pic:spPr>
                </pic:pic>
              </a:graphicData>
            </a:graphic>
          </wp:inline>
        </w:drawing>
      </w:r>
    </w:p>
    <w:p w:rsidR="007370E0" w:rsidRDefault="007370E0">
      <w:pPr>
        <w:pStyle w:val="a0"/>
        <w:spacing w:before="93"/>
        <w:rPr>
          <w:rFonts w:hAnsi="宋体" w:cs="宋体"/>
          <w:sz w:val="32"/>
          <w:szCs w:val="32"/>
          <w:shd w:val="clear" w:color="auto" w:fill="FFFFFF"/>
          <w:lang w:val="zh-CN"/>
        </w:rPr>
      </w:pPr>
    </w:p>
    <w:p w:rsidR="00FC5B9A" w:rsidRDefault="00A50BEA">
      <w:pPr>
        <w:pStyle w:val="a0"/>
        <w:spacing w:before="93"/>
        <w:rPr>
          <w:sz w:val="32"/>
          <w:szCs w:val="32"/>
        </w:rPr>
      </w:pPr>
      <w:r>
        <w:rPr>
          <w:rFonts w:hAnsi="宋体" w:cs="宋体" w:hint="eastAsia"/>
          <w:sz w:val="32"/>
          <w:szCs w:val="32"/>
          <w:shd w:val="clear" w:color="auto" w:fill="FFFFFF"/>
          <w:lang w:val="zh-CN"/>
        </w:rPr>
        <w:lastRenderedPageBreak/>
        <w:t>附件</w:t>
      </w:r>
      <w:r>
        <w:rPr>
          <w:rFonts w:hAnsi="宋体" w:cs="宋体" w:hint="eastAsia"/>
          <w:sz w:val="32"/>
          <w:szCs w:val="32"/>
          <w:shd w:val="clear" w:color="auto" w:fill="FFFFFF"/>
        </w:rPr>
        <w:t>2</w:t>
      </w:r>
    </w:p>
    <w:p w:rsidR="00FC5B9A" w:rsidRDefault="00A50BEA">
      <w:pPr>
        <w:pStyle w:val="ac"/>
        <w:spacing w:line="578" w:lineRule="exact"/>
        <w:jc w:val="center"/>
        <w:rPr>
          <w:rFonts w:ascii="方正小标宋简体" w:eastAsia="方正小标宋简体" w:hAnsi="方正小标宋简体" w:cs="方正小标宋简体"/>
          <w:color w:val="FF0000"/>
          <w:kern w:val="2"/>
          <w:sz w:val="32"/>
          <w:szCs w:val="32"/>
          <w:lang w:val="en-US"/>
        </w:rPr>
      </w:pPr>
      <w:r>
        <w:rPr>
          <w:rFonts w:ascii="方正小标宋简体" w:eastAsia="方正小标宋简体" w:hAnsi="方正小标宋简体" w:cs="方正小标宋简体" w:hint="eastAsia"/>
          <w:color w:val="000000" w:themeColor="text1"/>
          <w:kern w:val="2"/>
          <w:sz w:val="32"/>
          <w:szCs w:val="32"/>
          <w:lang w:val="en-US"/>
        </w:rPr>
        <w:t>2022年专项资金预算项目绩效自评报告</w:t>
      </w:r>
    </w:p>
    <w:p w:rsidR="00FC5B9A" w:rsidRDefault="00A50BEA">
      <w:pPr>
        <w:pStyle w:val="ac"/>
        <w:spacing w:line="578" w:lineRule="exact"/>
        <w:ind w:firstLine="640"/>
        <w:jc w:val="center"/>
        <w:rPr>
          <w:rFonts w:ascii="方正小标宋简体" w:eastAsia="方正小标宋简体" w:hAnsi="宋体"/>
          <w:color w:val="auto"/>
          <w:kern w:val="2"/>
          <w:sz w:val="32"/>
          <w:szCs w:val="32"/>
        </w:rPr>
      </w:pPr>
      <w:r>
        <w:rPr>
          <w:rFonts w:ascii="方正小标宋简体" w:eastAsia="方正小标宋简体" w:hAnsi="宋体" w:hint="eastAsia"/>
          <w:color w:val="auto"/>
          <w:kern w:val="2"/>
          <w:sz w:val="32"/>
          <w:szCs w:val="32"/>
        </w:rPr>
        <w:t>（民族工作专项）</w:t>
      </w:r>
    </w:p>
    <w:p w:rsidR="00FC5B9A" w:rsidRDefault="00A50BEA">
      <w:pPr>
        <w:adjustRightInd w:val="0"/>
        <w:snapToGrid w:val="0"/>
        <w:spacing w:line="578" w:lineRule="exact"/>
        <w:ind w:firstLine="720"/>
        <w:rPr>
          <w:rFonts w:ascii="黑体" w:eastAsia="黑体" w:hAnsi="宋体"/>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rsidR="00FC5B9A" w:rsidRDefault="00A50BEA">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（一）项目基本情况。</w:t>
      </w:r>
    </w:p>
    <w:p w:rsidR="00FC5B9A" w:rsidRDefault="00A50BEA">
      <w:pPr>
        <w:widowControl/>
        <w:adjustRightInd w:val="0"/>
        <w:snapToGrid w:val="0"/>
        <w:spacing w:line="578" w:lineRule="exact"/>
        <w:ind w:leftChars="228" w:left="479" w:firstLineChars="50" w:firstLine="160"/>
        <w:contextualSpacing/>
        <w:jc w:val="left"/>
        <w:rPr>
          <w:rFonts w:ascii="仿宋" w:eastAsia="仿宋" w:hAnsi="仿宋" w:cs="仿宋_GB2312"/>
          <w:color w:val="FF0000"/>
          <w:kern w:val="0"/>
          <w:sz w:val="32"/>
          <w:szCs w:val="32"/>
          <w:shd w:val="clear" w:color="auto" w:fill="FFFFFF"/>
          <w:lang w:val="zh-CN"/>
        </w:rPr>
      </w:pPr>
      <w:r>
        <w:rPr>
          <w:rFonts w:ascii="仿宋" w:eastAsia="仿宋" w:hAnsi="仿宋" w:cs="仿宋_GB2312" w:hint="eastAsia"/>
          <w:kern w:val="0"/>
          <w:sz w:val="32"/>
          <w:szCs w:val="32"/>
          <w:shd w:val="clear" w:color="auto" w:fill="FFFFFF"/>
          <w:lang w:val="zh-CN"/>
        </w:rPr>
        <w:t>1．项目主管部门（单位）在该项目管理中的职能</w:t>
      </w:r>
    </w:p>
    <w:p w:rsidR="00FC5B9A" w:rsidRDefault="00A50BEA">
      <w:pPr>
        <w:widowControl/>
        <w:adjustRightInd w:val="0"/>
        <w:snapToGrid w:val="0"/>
        <w:spacing w:line="578" w:lineRule="exact"/>
        <w:ind w:firstLineChars="200" w:firstLine="640"/>
        <w:contextualSpacing/>
        <w:jc w:val="left"/>
        <w:rPr>
          <w:rFonts w:ascii="仿宋" w:eastAsia="仿宋" w:hAnsi="仿宋" w:cs="仿宋_GB2312"/>
          <w:color w:val="000000"/>
          <w:kern w:val="0"/>
          <w:sz w:val="32"/>
          <w:szCs w:val="32"/>
          <w:shd w:val="clear" w:color="auto" w:fill="FFFFFF"/>
          <w:lang w:val="zh-CN"/>
        </w:rPr>
      </w:pPr>
      <w:r>
        <w:rPr>
          <w:rFonts w:ascii="仿宋" w:eastAsia="仿宋" w:hAnsi="仿宋" w:cs="仿宋_GB2312" w:hint="eastAsia"/>
          <w:color w:val="000000"/>
          <w:kern w:val="0"/>
          <w:sz w:val="32"/>
          <w:szCs w:val="32"/>
          <w:shd w:val="clear" w:color="auto" w:fill="FFFFFF"/>
          <w:lang w:val="zh-CN"/>
        </w:rPr>
        <w:t>盐边县融媒体中心是县委直属公益一类事业单位，由县委宣传部代管，负</w:t>
      </w:r>
      <w:r>
        <w:rPr>
          <w:rFonts w:ascii="仿宋" w:eastAsia="仿宋" w:hAnsi="仿宋" w:hint="eastAsia"/>
          <w:color w:val="000000"/>
          <w:sz w:val="32"/>
          <w:szCs w:val="32"/>
          <w:lang w:val="zh-CN"/>
        </w:rPr>
        <w:t>责</w:t>
      </w:r>
      <w:r>
        <w:rPr>
          <w:rFonts w:ascii="仿宋" w:eastAsia="仿宋" w:hAnsi="仿宋" w:hint="eastAsia"/>
          <w:color w:val="000000"/>
          <w:sz w:val="32"/>
          <w:szCs w:val="32"/>
        </w:rPr>
        <w:t>全县新闻宣传报道及</w:t>
      </w:r>
      <w:r>
        <w:rPr>
          <w:rFonts w:ascii="仿宋" w:eastAsia="仿宋" w:hAnsi="仿宋" w:hint="eastAsia"/>
          <w:color w:val="000000"/>
          <w:sz w:val="32"/>
          <w:szCs w:val="32"/>
          <w:lang w:val="zh-CN"/>
        </w:rPr>
        <w:t>相</w:t>
      </w:r>
      <w:r>
        <w:rPr>
          <w:rFonts w:ascii="仿宋" w:eastAsia="仿宋" w:hAnsi="仿宋" w:cs="仿宋_GB2312" w:hint="eastAsia"/>
          <w:color w:val="000000"/>
          <w:kern w:val="0"/>
          <w:sz w:val="32"/>
          <w:szCs w:val="32"/>
          <w:shd w:val="clear" w:color="auto" w:fill="FFFFFF"/>
          <w:lang w:val="zh-CN"/>
        </w:rPr>
        <w:t xml:space="preserve">关事务性工作。 </w:t>
      </w:r>
    </w:p>
    <w:p w:rsidR="00FC5B9A" w:rsidRDefault="00A50BEA">
      <w:pPr>
        <w:widowControl/>
        <w:adjustRightInd w:val="0"/>
        <w:snapToGrid w:val="0"/>
        <w:spacing w:line="578" w:lineRule="exact"/>
        <w:ind w:firstLineChars="200" w:firstLine="640"/>
        <w:contextualSpacing/>
        <w:jc w:val="left"/>
        <w:rPr>
          <w:rFonts w:ascii="仿宋" w:eastAsia="仿宋" w:hAnsi="仿宋" w:cs="仿宋_GB2312"/>
          <w:color w:val="FF0000"/>
          <w:kern w:val="0"/>
          <w:sz w:val="32"/>
          <w:szCs w:val="32"/>
          <w:shd w:val="clear" w:color="auto" w:fill="FFFFFF"/>
          <w:lang w:val="zh-CN"/>
        </w:rPr>
      </w:pPr>
      <w:r>
        <w:rPr>
          <w:rFonts w:ascii="仿宋" w:eastAsia="仿宋" w:hAnsi="仿宋" w:cs="仿宋_GB2312" w:hint="eastAsia"/>
          <w:kern w:val="0"/>
          <w:sz w:val="32"/>
          <w:szCs w:val="32"/>
          <w:shd w:val="clear" w:color="auto" w:fill="FFFFFF"/>
          <w:lang w:val="zh-CN"/>
        </w:rPr>
        <w:t>2．项目立项、资金申报的依据，</w:t>
      </w:r>
      <w:r>
        <w:rPr>
          <w:rFonts w:ascii="仿宋" w:eastAsia="仿宋" w:hAnsi="仿宋" w:cs="仿宋_GB2312" w:hint="eastAsia"/>
          <w:kern w:val="0"/>
          <w:sz w:val="32"/>
          <w:szCs w:val="32"/>
          <w:shd w:val="clear" w:color="auto" w:fill="FFFFFF"/>
        </w:rPr>
        <w:t>包括但不限于：项目涉及的中省相关政策文件和规划、项目设立论证资料、资金安排相关文件等。</w:t>
      </w:r>
    </w:p>
    <w:p w:rsidR="00FC5B9A" w:rsidRDefault="00A50BEA">
      <w:pPr>
        <w:pStyle w:val="a0"/>
        <w:spacing w:before="93"/>
        <w:ind w:firstLineChars="200" w:firstLine="640"/>
        <w:rPr>
          <w:rFonts w:ascii="仿宋" w:eastAsia="仿宋" w:hAnsi="仿宋"/>
          <w:sz w:val="32"/>
          <w:szCs w:val="32"/>
          <w:lang w:val="zh-CN"/>
        </w:rPr>
      </w:pPr>
      <w:r>
        <w:rPr>
          <w:rFonts w:ascii="仿宋" w:eastAsia="仿宋" w:hAnsi="仿宋" w:cs="仿宋_GB2312" w:hint="eastAsia"/>
          <w:sz w:val="32"/>
          <w:szCs w:val="32"/>
        </w:rPr>
        <w:t>根据盐边县财政局《关于下达创建民族团结进步示范县所需经费的通知》（盐财资行〔</w:t>
      </w:r>
      <w:r>
        <w:rPr>
          <w:rFonts w:ascii="仿宋" w:eastAsia="仿宋" w:hAnsi="仿宋" w:cs="仿宋_GB2312"/>
          <w:sz w:val="32"/>
          <w:szCs w:val="32"/>
        </w:rPr>
        <w:t>202</w:t>
      </w:r>
      <w:r>
        <w:rPr>
          <w:rFonts w:ascii="仿宋" w:eastAsia="仿宋" w:hAnsi="仿宋" w:cs="仿宋_GB2312" w:hint="eastAsia"/>
          <w:sz w:val="32"/>
          <w:szCs w:val="32"/>
        </w:rPr>
        <w:t>2〕468号）文件的资金计划要求，下达县融媒体中心民族团结进步示范创建专题片制作6万元，大力开展民族宗教理论政策宣传。按照“谁使用、谁负责”的原则，纳入单位财务统一管理，承担管理使用责任，作为该项目的立项依据，项目的设立符合申报条件。</w:t>
      </w:r>
    </w:p>
    <w:p w:rsidR="00FC5B9A" w:rsidRDefault="00A50BEA">
      <w:pPr>
        <w:widowControl/>
        <w:adjustRightInd w:val="0"/>
        <w:snapToGrid w:val="0"/>
        <w:spacing w:line="578" w:lineRule="exact"/>
        <w:ind w:firstLineChars="200" w:firstLine="640"/>
        <w:contextualSpacing/>
        <w:jc w:val="left"/>
        <w:rPr>
          <w:rFonts w:ascii="仿宋" w:eastAsia="仿宋" w:hAnsi="仿宋" w:cs="仿宋_GB2312"/>
          <w:color w:val="FF0000"/>
          <w:kern w:val="0"/>
          <w:sz w:val="32"/>
          <w:szCs w:val="32"/>
          <w:shd w:val="clear" w:color="auto" w:fill="FFFFFF"/>
        </w:rPr>
      </w:pPr>
      <w:r>
        <w:rPr>
          <w:rFonts w:ascii="仿宋" w:eastAsia="仿宋" w:hAnsi="仿宋" w:cs="仿宋_GB2312" w:hint="eastAsia"/>
          <w:kern w:val="0"/>
          <w:sz w:val="32"/>
          <w:szCs w:val="32"/>
          <w:shd w:val="clear" w:color="auto" w:fill="FFFFFF"/>
          <w:lang w:val="zh-CN"/>
        </w:rPr>
        <w:t>3．资金</w:t>
      </w:r>
      <w:r>
        <w:rPr>
          <w:rFonts w:ascii="仿宋" w:eastAsia="仿宋" w:hAnsi="仿宋" w:cs="仿宋_GB2312" w:hint="eastAsia"/>
          <w:kern w:val="0"/>
          <w:sz w:val="32"/>
          <w:szCs w:val="32"/>
          <w:shd w:val="clear" w:color="auto" w:fill="FFFFFF"/>
        </w:rPr>
        <w:t>或项目</w:t>
      </w:r>
      <w:r>
        <w:rPr>
          <w:rFonts w:ascii="仿宋" w:eastAsia="仿宋" w:hAnsi="仿宋" w:cs="仿宋_GB2312" w:hint="eastAsia"/>
          <w:kern w:val="0"/>
          <w:sz w:val="32"/>
          <w:szCs w:val="32"/>
          <w:shd w:val="clear" w:color="auto" w:fill="FFFFFF"/>
          <w:lang w:val="zh-CN"/>
        </w:rPr>
        <w:t>管理办法制定情况，资金支持具体项目的条件、范围与支持方式概况。</w:t>
      </w:r>
    </w:p>
    <w:p w:rsidR="00FC5B9A" w:rsidRDefault="00A50BEA">
      <w:pPr>
        <w:widowControl/>
        <w:spacing w:line="590" w:lineRule="exact"/>
        <w:ind w:firstLineChars="200" w:firstLine="640"/>
        <w:rPr>
          <w:rFonts w:ascii="仿宋" w:eastAsia="仿宋" w:hAnsi="仿宋"/>
          <w:sz w:val="32"/>
          <w:szCs w:val="32"/>
        </w:rPr>
      </w:pPr>
      <w:r>
        <w:rPr>
          <w:rFonts w:ascii="仿宋" w:eastAsia="仿宋" w:hAnsi="仿宋" w:cs="仿宋_GB2312" w:hint="eastAsia"/>
          <w:sz w:val="32"/>
          <w:szCs w:val="32"/>
        </w:rPr>
        <w:t>县融媒体中心管理制度健全，已制定相应的财务和业务管理制度，制度合法、合规、完整。项目资金使用合规，符合财经法规和财务管理制度以及有关专项资金管理办法的规定，有完整的审批程序和手续，符合项目预算规定的用途，</w:t>
      </w:r>
      <w:r>
        <w:rPr>
          <w:rFonts w:ascii="仿宋" w:eastAsia="仿宋" w:hAnsi="仿宋" w:cs="仿宋_GB2312" w:hint="eastAsia"/>
          <w:sz w:val="32"/>
          <w:szCs w:val="32"/>
        </w:rPr>
        <w:lastRenderedPageBreak/>
        <w:t>不存在截留、挤占、挪用、虚列支出等情况。资金到位率</w:t>
      </w:r>
      <w:r>
        <w:rPr>
          <w:rFonts w:ascii="仿宋" w:eastAsia="仿宋" w:hAnsi="仿宋" w:cs="仿宋_GB2312"/>
          <w:sz w:val="32"/>
          <w:szCs w:val="32"/>
        </w:rPr>
        <w:t>100%</w:t>
      </w:r>
      <w:r>
        <w:rPr>
          <w:rFonts w:ascii="仿宋" w:eastAsia="仿宋" w:hAnsi="仿宋" w:cs="仿宋_GB2312" w:hint="eastAsia"/>
          <w:sz w:val="32"/>
          <w:szCs w:val="32"/>
        </w:rPr>
        <w:t>，预算执行率</w:t>
      </w:r>
      <w:r>
        <w:rPr>
          <w:rFonts w:ascii="仿宋" w:eastAsia="仿宋" w:hAnsi="仿宋" w:cs="仿宋_GB2312"/>
          <w:sz w:val="32"/>
          <w:szCs w:val="32"/>
        </w:rPr>
        <w:t>100%</w:t>
      </w:r>
      <w:r>
        <w:rPr>
          <w:rFonts w:ascii="仿宋" w:eastAsia="仿宋" w:hAnsi="仿宋" w:cs="仿宋_GB2312" w:hint="eastAsia"/>
          <w:sz w:val="32"/>
          <w:szCs w:val="32"/>
        </w:rPr>
        <w:t>。</w:t>
      </w:r>
    </w:p>
    <w:p w:rsidR="00FC5B9A" w:rsidRDefault="00A50BEA">
      <w:pPr>
        <w:widowControl/>
        <w:adjustRightInd w:val="0"/>
        <w:snapToGrid w:val="0"/>
        <w:spacing w:line="578" w:lineRule="exact"/>
        <w:ind w:firstLineChars="200" w:firstLine="640"/>
        <w:contextualSpacing/>
        <w:jc w:val="left"/>
        <w:rPr>
          <w:rFonts w:ascii="仿宋" w:eastAsia="仿宋" w:hAnsi="仿宋" w:cs="仿宋_GB2312"/>
          <w:kern w:val="0"/>
          <w:sz w:val="32"/>
          <w:szCs w:val="32"/>
          <w:shd w:val="clear" w:color="auto" w:fill="FFFFFF"/>
          <w:lang w:val="zh-CN"/>
        </w:rPr>
      </w:pPr>
      <w:r>
        <w:rPr>
          <w:rFonts w:ascii="仿宋" w:eastAsia="仿宋" w:hAnsi="仿宋" w:cs="仿宋_GB2312" w:hint="eastAsia"/>
          <w:kern w:val="0"/>
          <w:sz w:val="32"/>
          <w:szCs w:val="32"/>
          <w:shd w:val="clear" w:color="auto" w:fill="FFFFFF"/>
          <w:lang w:val="zh-CN"/>
        </w:rPr>
        <w:t>4．资金分配的原则及考虑因素。</w:t>
      </w:r>
    </w:p>
    <w:p w:rsidR="00FC5B9A" w:rsidRDefault="00A50BEA">
      <w:pPr>
        <w:widowControl/>
        <w:adjustRightInd w:val="0"/>
        <w:snapToGrid w:val="0"/>
        <w:spacing w:line="578" w:lineRule="exact"/>
        <w:ind w:firstLineChars="200" w:firstLine="640"/>
        <w:contextualSpacing/>
        <w:jc w:val="left"/>
        <w:rPr>
          <w:rFonts w:ascii="仿宋" w:eastAsia="仿宋" w:hAnsi="仿宋" w:cs="仿宋_GB2312"/>
          <w:kern w:val="0"/>
          <w:sz w:val="32"/>
          <w:szCs w:val="32"/>
          <w:shd w:val="clear" w:color="auto" w:fill="FFFFFF"/>
          <w:lang w:val="zh-CN"/>
        </w:rPr>
      </w:pPr>
      <w:r>
        <w:rPr>
          <w:rFonts w:ascii="仿宋" w:eastAsia="仿宋" w:hAnsi="仿宋" w:hint="eastAsia"/>
          <w:kern w:val="0"/>
          <w:sz w:val="32"/>
          <w:szCs w:val="32"/>
        </w:rPr>
        <w:t>该笔资金全部用于</w:t>
      </w:r>
      <w:r>
        <w:rPr>
          <w:rFonts w:ascii="仿宋" w:eastAsia="仿宋" w:hAnsi="仿宋" w:cs="仿宋_GB2312" w:hint="eastAsia"/>
          <w:sz w:val="32"/>
          <w:szCs w:val="32"/>
        </w:rPr>
        <w:t>民族团结进步示范创建专题片制作</w:t>
      </w:r>
      <w:r>
        <w:rPr>
          <w:rFonts w:ascii="仿宋" w:eastAsia="仿宋" w:hAnsi="仿宋" w:hint="eastAsia"/>
          <w:kern w:val="0"/>
          <w:sz w:val="32"/>
          <w:szCs w:val="32"/>
        </w:rPr>
        <w:t>项目，实行专款专用。</w:t>
      </w:r>
    </w:p>
    <w:p w:rsidR="00FC5B9A" w:rsidRDefault="00A50BEA">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（二）项目绩效目标。</w:t>
      </w:r>
    </w:p>
    <w:p w:rsidR="00FC5B9A" w:rsidRDefault="00A50BEA">
      <w:pPr>
        <w:widowControl/>
        <w:adjustRightInd w:val="0"/>
        <w:snapToGrid w:val="0"/>
        <w:spacing w:line="578" w:lineRule="exact"/>
        <w:ind w:firstLineChars="200" w:firstLine="640"/>
        <w:contextualSpacing/>
        <w:jc w:val="left"/>
        <w:rPr>
          <w:rFonts w:ascii="仿宋" w:eastAsia="仿宋" w:hAnsi="仿宋" w:cs="仿宋_GB2312"/>
          <w:kern w:val="0"/>
          <w:sz w:val="32"/>
          <w:szCs w:val="32"/>
          <w:shd w:val="clear" w:color="auto" w:fill="FFFFFF"/>
          <w:lang w:val="zh-CN"/>
        </w:rPr>
      </w:pPr>
      <w:r>
        <w:rPr>
          <w:rFonts w:ascii="仿宋" w:eastAsia="仿宋" w:hAnsi="仿宋" w:cs="仿宋_GB2312" w:hint="eastAsia"/>
          <w:kern w:val="0"/>
          <w:sz w:val="32"/>
          <w:szCs w:val="32"/>
          <w:shd w:val="clear" w:color="auto" w:fill="FFFFFF"/>
          <w:lang w:val="zh-CN"/>
        </w:rPr>
        <w:t>1．项目主要内容。</w:t>
      </w:r>
    </w:p>
    <w:p w:rsidR="00FC5B9A" w:rsidRDefault="00A50BEA">
      <w:pPr>
        <w:spacing w:line="590" w:lineRule="exact"/>
        <w:ind w:firstLine="620"/>
        <w:rPr>
          <w:rFonts w:ascii="仿宋" w:eastAsia="仿宋" w:hAnsi="仿宋" w:cs="仿宋_GB2312"/>
          <w:sz w:val="32"/>
          <w:szCs w:val="32"/>
        </w:rPr>
      </w:pPr>
      <w:r>
        <w:rPr>
          <w:rFonts w:ascii="仿宋" w:eastAsia="仿宋" w:hAnsi="仿宋" w:cs="仿宋_GB2312" w:hint="eastAsia"/>
          <w:sz w:val="32"/>
          <w:szCs w:val="32"/>
        </w:rPr>
        <w:t>民族团结进步创建是全国各族人民共同打造的一块金字招牌，党的十八大以来得到了创新性发展。创建工作已经成为促进地方经济社会发展的一个助推器。把民族团结进步创建工作融入到经济社会发展中，既促进了经济发展、产业升级，又改善了民生，解决了群众身边实际困难和问题，促进了团结和进步双丰收。</w:t>
      </w:r>
    </w:p>
    <w:p w:rsidR="00FC5B9A" w:rsidRDefault="00A50BEA">
      <w:pPr>
        <w:widowControl/>
        <w:adjustRightInd w:val="0"/>
        <w:snapToGrid w:val="0"/>
        <w:spacing w:line="578" w:lineRule="exact"/>
        <w:ind w:firstLineChars="200" w:firstLine="640"/>
        <w:contextualSpacing/>
        <w:jc w:val="left"/>
        <w:rPr>
          <w:rFonts w:ascii="仿宋" w:eastAsia="仿宋" w:hAnsi="仿宋" w:cs="仿宋_GB2312"/>
          <w:kern w:val="0"/>
          <w:sz w:val="32"/>
          <w:szCs w:val="32"/>
          <w:shd w:val="clear" w:color="auto" w:fill="FFFFFF"/>
          <w:lang w:val="zh-CN"/>
        </w:rPr>
      </w:pPr>
      <w:r>
        <w:rPr>
          <w:rFonts w:ascii="仿宋" w:eastAsia="仿宋" w:hAnsi="仿宋" w:cs="仿宋_GB2312" w:hint="eastAsia"/>
          <w:kern w:val="0"/>
          <w:sz w:val="32"/>
          <w:szCs w:val="32"/>
          <w:shd w:val="clear" w:color="auto" w:fill="FFFFFF"/>
          <w:lang w:val="zh-CN"/>
        </w:rPr>
        <w:t>2．项目应实现的具体绩效目标，</w:t>
      </w:r>
      <w:r>
        <w:rPr>
          <w:rFonts w:ascii="仿宋" w:eastAsia="仿宋" w:hAnsi="仿宋" w:cs="仿宋_GB2312" w:hint="eastAsia"/>
          <w:kern w:val="0"/>
          <w:sz w:val="32"/>
          <w:szCs w:val="32"/>
          <w:shd w:val="clear" w:color="auto" w:fill="FFFFFF"/>
        </w:rPr>
        <w:t>包括但不限于：绩效</w:t>
      </w:r>
      <w:r>
        <w:rPr>
          <w:rFonts w:ascii="仿宋" w:eastAsia="仿宋" w:hAnsi="仿宋" w:cs="仿宋_GB2312" w:hint="eastAsia"/>
          <w:kern w:val="0"/>
          <w:sz w:val="32"/>
          <w:szCs w:val="32"/>
          <w:shd w:val="clear" w:color="auto" w:fill="FFFFFF"/>
          <w:lang w:val="zh-CN"/>
        </w:rPr>
        <w:t>目标的量化细化情况、项目实施进度计划等。</w:t>
      </w:r>
    </w:p>
    <w:p w:rsidR="00FC5B9A" w:rsidRDefault="00A50BEA">
      <w:pPr>
        <w:pStyle w:val="a0"/>
        <w:spacing w:before="93"/>
        <w:ind w:firstLineChars="200" w:firstLine="640"/>
        <w:rPr>
          <w:rFonts w:ascii="仿宋" w:eastAsia="仿宋" w:hAnsi="仿宋"/>
          <w:sz w:val="32"/>
          <w:szCs w:val="32"/>
          <w:lang w:val="zh-CN"/>
        </w:rPr>
      </w:pPr>
      <w:r>
        <w:rPr>
          <w:rFonts w:ascii="仿宋" w:eastAsia="仿宋" w:hAnsi="仿宋" w:cs="仿宋_GB2312" w:hint="eastAsia"/>
          <w:sz w:val="32"/>
          <w:szCs w:val="32"/>
        </w:rPr>
        <w:t>盐边县始终坚持把基层党建与民族团结进步创建深度融合，突出党建引领作用，筑牢民族团结之基。县融媒体中心开展民族团结进步示范创建工作，主要通过“三微一端”等平台开展线上氛围营造、政策宣传及典型引领等内容，宣传促进当地的经济、文化发展，营造民族团结浓厚氛围，使党的民族宗教政策深入人心，构建和谐平等的民族关系，确保助推2022年成功创建为全国民族团结进步示范县。2022年，县融媒体中心聘请专业拍摄团队与我中心紧密合作，制</w:t>
      </w:r>
      <w:r>
        <w:rPr>
          <w:rFonts w:ascii="仿宋" w:eastAsia="仿宋" w:hAnsi="仿宋" w:cs="仿宋_GB2312" w:hint="eastAsia"/>
          <w:sz w:val="32"/>
          <w:szCs w:val="32"/>
        </w:rPr>
        <w:lastRenderedPageBreak/>
        <w:t>作推出了盐边县民族团结专题片，进一步宣传好盐边平等团结互助和谐的民族关系。</w:t>
      </w:r>
    </w:p>
    <w:p w:rsidR="00FC5B9A" w:rsidRDefault="00A50BEA">
      <w:pPr>
        <w:widowControl/>
        <w:adjustRightInd w:val="0"/>
        <w:snapToGrid w:val="0"/>
        <w:spacing w:line="578" w:lineRule="exact"/>
        <w:ind w:firstLineChars="200" w:firstLine="640"/>
        <w:contextualSpacing/>
        <w:jc w:val="left"/>
        <w:rPr>
          <w:rFonts w:ascii="仿宋" w:eastAsia="仿宋" w:hAnsi="仿宋" w:cs="仿宋_GB2312"/>
          <w:kern w:val="0"/>
          <w:sz w:val="32"/>
          <w:szCs w:val="32"/>
          <w:shd w:val="clear" w:color="auto" w:fill="FFFFFF"/>
          <w:lang w:val="zh-CN"/>
        </w:rPr>
      </w:pPr>
      <w:r>
        <w:rPr>
          <w:rFonts w:ascii="仿宋" w:eastAsia="仿宋" w:hAnsi="仿宋" w:cs="仿宋_GB2312" w:hint="eastAsia"/>
          <w:kern w:val="0"/>
          <w:sz w:val="32"/>
          <w:szCs w:val="32"/>
          <w:shd w:val="clear" w:color="auto" w:fill="FFFFFF"/>
          <w:lang w:val="zh-CN"/>
        </w:rPr>
        <w:t>3．分析评价申报内容是否与实际相符，申报目标是否合理可行。</w:t>
      </w:r>
    </w:p>
    <w:p w:rsidR="00FC5B9A" w:rsidRDefault="00A50BEA">
      <w:pPr>
        <w:pStyle w:val="a8"/>
        <w:widowControl/>
        <w:shd w:val="clear" w:color="auto" w:fill="FFFFFF"/>
        <w:spacing w:beforeAutospacing="0" w:afterAutospacing="0" w:line="560" w:lineRule="exact"/>
        <w:ind w:firstLineChars="200" w:firstLine="640"/>
        <w:jc w:val="both"/>
        <w:rPr>
          <w:rFonts w:ascii="仿宋" w:eastAsia="仿宋" w:hAnsi="仿宋" w:cs="仿宋_GB2312"/>
          <w:sz w:val="32"/>
          <w:szCs w:val="32"/>
        </w:rPr>
      </w:pPr>
      <w:r>
        <w:rPr>
          <w:rFonts w:ascii="仿宋" w:eastAsia="仿宋" w:hAnsi="仿宋" w:cs="仿宋_GB2312" w:hint="eastAsia"/>
          <w:sz w:val="32"/>
          <w:szCs w:val="32"/>
        </w:rPr>
        <w:t>我单位对项目资金做到了科学计划，申报内容与具体实施内容相符，申报目标合理可行。</w:t>
      </w:r>
    </w:p>
    <w:p w:rsidR="00FC5B9A" w:rsidRDefault="00A50BEA">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（三）项目自评步骤及方法。</w:t>
      </w:r>
    </w:p>
    <w:p w:rsidR="00FC5B9A" w:rsidRDefault="00A50BEA">
      <w:pPr>
        <w:widowControl/>
        <w:adjustRightInd w:val="0"/>
        <w:snapToGrid w:val="0"/>
        <w:spacing w:line="576" w:lineRule="exact"/>
        <w:ind w:firstLine="645"/>
        <w:contextualSpacing/>
        <w:jc w:val="left"/>
        <w:rPr>
          <w:rFonts w:ascii="仿宋" w:eastAsia="仿宋" w:hAnsi="仿宋" w:cs="宋体"/>
          <w:kern w:val="0"/>
          <w:sz w:val="32"/>
          <w:szCs w:val="32"/>
          <w:shd w:val="clear" w:color="auto" w:fill="FFFFFF"/>
          <w:lang w:val="zh-CN"/>
        </w:rPr>
      </w:pPr>
      <w:r>
        <w:rPr>
          <w:rFonts w:ascii="仿宋" w:eastAsia="仿宋" w:hAnsi="仿宋" w:cs="宋体"/>
          <w:kern w:val="0"/>
          <w:sz w:val="32"/>
          <w:szCs w:val="32"/>
          <w:shd w:val="clear" w:color="auto" w:fill="FFFFFF"/>
        </w:rPr>
        <w:t>1.</w:t>
      </w:r>
      <w:r>
        <w:rPr>
          <w:rFonts w:ascii="仿宋" w:eastAsia="仿宋" w:hAnsi="仿宋" w:cs="宋体" w:hint="eastAsia"/>
          <w:kern w:val="0"/>
          <w:sz w:val="32"/>
          <w:szCs w:val="32"/>
          <w:shd w:val="clear" w:color="auto" w:fill="FFFFFF"/>
        </w:rPr>
        <w:t>前期准备。</w:t>
      </w:r>
      <w:r>
        <w:rPr>
          <w:rFonts w:ascii="仿宋" w:eastAsia="仿宋" w:hAnsi="仿宋" w:cs="宋体" w:hint="eastAsia"/>
          <w:kern w:val="0"/>
          <w:sz w:val="32"/>
          <w:szCs w:val="32"/>
          <w:shd w:val="clear" w:color="auto" w:fill="FFFFFF"/>
          <w:lang w:val="zh-CN"/>
        </w:rPr>
        <w:t>成立绩效评价工作领导小组、绩效评价工作组，召开评价工作安排部署会，制定了整体支出绩效评价的工作方案、评价指标，明确了绩效目标。</w:t>
      </w:r>
    </w:p>
    <w:p w:rsidR="00FC5B9A" w:rsidRDefault="00A50BEA">
      <w:pPr>
        <w:widowControl/>
        <w:adjustRightInd w:val="0"/>
        <w:snapToGrid w:val="0"/>
        <w:spacing w:line="576" w:lineRule="exact"/>
        <w:ind w:firstLine="645"/>
        <w:contextualSpacing/>
        <w:jc w:val="left"/>
        <w:rPr>
          <w:rFonts w:ascii="仿宋" w:eastAsia="仿宋" w:hAnsi="仿宋" w:cs="宋体"/>
          <w:kern w:val="0"/>
          <w:sz w:val="32"/>
          <w:szCs w:val="32"/>
          <w:shd w:val="clear" w:color="auto" w:fill="FFFFFF"/>
          <w:lang w:val="zh-CN"/>
        </w:rPr>
      </w:pPr>
      <w:r>
        <w:rPr>
          <w:rFonts w:ascii="仿宋" w:eastAsia="仿宋" w:hAnsi="仿宋" w:cs="宋体"/>
          <w:kern w:val="0"/>
          <w:sz w:val="32"/>
          <w:szCs w:val="32"/>
          <w:shd w:val="clear" w:color="auto" w:fill="FFFFFF"/>
        </w:rPr>
        <w:t>2.</w:t>
      </w:r>
      <w:r>
        <w:rPr>
          <w:rFonts w:ascii="仿宋" w:eastAsia="仿宋" w:hAnsi="仿宋" w:cs="宋体" w:hint="eastAsia"/>
          <w:kern w:val="0"/>
          <w:sz w:val="32"/>
          <w:szCs w:val="32"/>
          <w:shd w:val="clear" w:color="auto" w:fill="FFFFFF"/>
          <w:lang w:val="zh-CN"/>
        </w:rPr>
        <w:t>组织实施。中心绩效评价工作组根据绩效评价的基本原理、原则和项目特点，结合绩效目标，按确定的评价指标体系、评分标准、评价方法和相关的工作程序和步骤，通过核实数据、查阅资料、归纳汇总等步骤在规定的时间节点内开展绩效自评工作。</w:t>
      </w:r>
    </w:p>
    <w:p w:rsidR="00FC5B9A" w:rsidRDefault="00A50BEA">
      <w:pPr>
        <w:widowControl/>
        <w:adjustRightInd w:val="0"/>
        <w:snapToGrid w:val="0"/>
        <w:spacing w:line="576" w:lineRule="exact"/>
        <w:ind w:firstLine="645"/>
        <w:contextualSpacing/>
        <w:jc w:val="left"/>
        <w:rPr>
          <w:rFonts w:ascii="仿宋" w:eastAsia="仿宋" w:hAnsi="仿宋"/>
          <w:kern w:val="0"/>
          <w:sz w:val="32"/>
          <w:szCs w:val="32"/>
          <w:lang w:val="zh-CN"/>
        </w:rPr>
      </w:pPr>
      <w:r>
        <w:rPr>
          <w:rFonts w:ascii="仿宋" w:eastAsia="仿宋" w:hAnsi="仿宋" w:cs="宋体"/>
          <w:kern w:val="0"/>
          <w:sz w:val="32"/>
          <w:szCs w:val="32"/>
          <w:shd w:val="clear" w:color="auto" w:fill="FFFFFF"/>
        </w:rPr>
        <w:t>3.</w:t>
      </w:r>
      <w:r>
        <w:rPr>
          <w:rFonts w:ascii="仿宋" w:eastAsia="仿宋" w:hAnsi="仿宋" w:cs="宋体" w:hint="eastAsia"/>
          <w:kern w:val="0"/>
          <w:sz w:val="32"/>
          <w:szCs w:val="32"/>
          <w:shd w:val="clear" w:color="auto" w:fill="FFFFFF"/>
          <w:lang w:val="zh-CN"/>
        </w:rPr>
        <w:t>分析评价。该项目各项目标达到了相应时期执行进度，项目经费按预算实施，</w:t>
      </w:r>
      <w:r>
        <w:rPr>
          <w:rFonts w:ascii="仿宋" w:eastAsia="仿宋" w:hAnsi="仿宋" w:cs="宋体" w:hint="eastAsia"/>
          <w:kern w:val="0"/>
          <w:sz w:val="32"/>
          <w:szCs w:val="32"/>
          <w:shd w:val="clear" w:color="auto" w:fill="FFFFFF"/>
        </w:rPr>
        <w:t>经过定量和定性分析形成评价结论，经过复核和交换意见后，形成绩效评价报告。</w:t>
      </w:r>
    </w:p>
    <w:p w:rsidR="00FC5B9A" w:rsidRDefault="00A50BEA">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二、项目资金申报及使用情况</w:t>
      </w:r>
    </w:p>
    <w:p w:rsidR="00FC5B9A" w:rsidRDefault="00A50BEA">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（一）项目资金申报及批复情况。</w:t>
      </w:r>
    </w:p>
    <w:p w:rsidR="00FC5B9A" w:rsidRDefault="00A50BEA">
      <w:pPr>
        <w:pStyle w:val="a0"/>
        <w:spacing w:before="93"/>
        <w:ind w:firstLineChars="200" w:firstLine="640"/>
        <w:rPr>
          <w:rFonts w:ascii="仿宋" w:eastAsia="仿宋" w:hAnsi="仿宋"/>
          <w:sz w:val="32"/>
          <w:szCs w:val="32"/>
          <w:lang w:val="zh-CN"/>
        </w:rPr>
      </w:pPr>
      <w:r>
        <w:rPr>
          <w:rFonts w:ascii="仿宋" w:eastAsia="仿宋" w:hAnsi="仿宋" w:cs="仿宋_GB2312" w:hint="eastAsia"/>
          <w:sz w:val="32"/>
          <w:szCs w:val="32"/>
        </w:rPr>
        <w:t>盐边县财政局《关于下达创建民族团结进步示范县所需经费的通知》（盐财资行〔</w:t>
      </w:r>
      <w:r>
        <w:rPr>
          <w:rFonts w:ascii="仿宋" w:eastAsia="仿宋" w:hAnsi="仿宋" w:cs="仿宋_GB2312"/>
          <w:sz w:val="32"/>
          <w:szCs w:val="32"/>
        </w:rPr>
        <w:t>202</w:t>
      </w:r>
      <w:r>
        <w:rPr>
          <w:rFonts w:ascii="仿宋" w:eastAsia="仿宋" w:hAnsi="仿宋" w:cs="仿宋_GB2312" w:hint="eastAsia"/>
          <w:sz w:val="32"/>
          <w:szCs w:val="32"/>
        </w:rPr>
        <w:t>2〕468号）文件的资金计划要求，下达县融媒体中心民族团结进步示范创建专题片制作</w:t>
      </w:r>
      <w:r>
        <w:rPr>
          <w:rFonts w:ascii="仿宋" w:eastAsia="仿宋" w:hAnsi="仿宋" w:cs="仿宋_GB2312" w:hint="eastAsia"/>
          <w:sz w:val="32"/>
          <w:szCs w:val="32"/>
        </w:rPr>
        <w:lastRenderedPageBreak/>
        <w:t>费6万元，专项用于民族团结进步示范创建专题片制作。</w:t>
      </w:r>
    </w:p>
    <w:p w:rsidR="00FC5B9A" w:rsidRDefault="00C41804">
      <w:pPr>
        <w:adjustRightInd w:val="0"/>
        <w:snapToGrid w:val="0"/>
        <w:spacing w:line="578" w:lineRule="exact"/>
        <w:ind w:firstLine="720"/>
        <w:rPr>
          <w:rFonts w:ascii="仿宋_GB2312" w:hAnsi="宋体"/>
          <w:sz w:val="32"/>
          <w:szCs w:val="32"/>
          <w:lang w:val="zh-CN"/>
        </w:rPr>
      </w:pPr>
      <w:r>
        <w:rPr>
          <w:rFonts w:ascii="楷体_GB2312" w:eastAsia="楷体_GB2312" w:hAnsi="宋体" w:hint="eastAsia"/>
          <w:b/>
          <w:sz w:val="32"/>
          <w:szCs w:val="32"/>
          <w:lang w:val="zh-CN"/>
        </w:rPr>
        <w:t>（二）资金计划、到位及使用情况</w:t>
      </w:r>
      <w:r w:rsidR="00A50BEA">
        <w:rPr>
          <w:rFonts w:ascii="楷体_GB2312" w:eastAsia="楷体_GB2312" w:hAnsi="宋体" w:hint="eastAsia"/>
          <w:b/>
          <w:sz w:val="32"/>
          <w:szCs w:val="32"/>
          <w:lang w:val="zh-CN"/>
        </w:rPr>
        <w:t>。</w:t>
      </w:r>
    </w:p>
    <w:p w:rsidR="00FC5B9A" w:rsidRDefault="00A50BEA">
      <w:pPr>
        <w:widowControl/>
        <w:adjustRightInd w:val="0"/>
        <w:snapToGrid w:val="0"/>
        <w:spacing w:line="578" w:lineRule="exact"/>
        <w:ind w:firstLineChars="200" w:firstLine="640"/>
        <w:contextualSpacing/>
        <w:jc w:val="left"/>
        <w:rPr>
          <w:rFonts w:ascii="仿宋_GB2312" w:eastAsia="仿宋_GB2312" w:hAnsi="仿宋_GB2312" w:cs="仿宋_GB2312"/>
          <w:color w:val="FF0000"/>
          <w:kern w:val="0"/>
          <w:sz w:val="32"/>
          <w:szCs w:val="32"/>
          <w:shd w:val="clear" w:color="auto" w:fill="FFFFFF"/>
          <w:lang w:val="zh-CN"/>
        </w:rPr>
      </w:pPr>
      <w:r>
        <w:rPr>
          <w:rFonts w:ascii="仿宋" w:eastAsia="仿宋" w:hAnsi="仿宋" w:cs="仿宋_GB2312" w:hint="eastAsia"/>
          <w:kern w:val="0"/>
          <w:sz w:val="32"/>
          <w:szCs w:val="32"/>
          <w:shd w:val="clear" w:color="auto" w:fill="FFFFFF"/>
          <w:lang w:val="zh-CN"/>
        </w:rPr>
        <w:t>1</w:t>
      </w:r>
      <w:r>
        <w:rPr>
          <w:rFonts w:ascii="仿宋" w:eastAsia="仿宋" w:hAnsi="仿宋" w:cs="仿宋_GB2312" w:hint="eastAsia"/>
          <w:color w:val="000000" w:themeColor="text1"/>
          <w:kern w:val="0"/>
          <w:sz w:val="32"/>
          <w:szCs w:val="32"/>
          <w:shd w:val="clear" w:color="auto" w:fill="FFFFFF"/>
          <w:lang w:val="zh-CN"/>
        </w:rPr>
        <w:t>．资金计划。</w:t>
      </w:r>
    </w:p>
    <w:p w:rsidR="00FC5B9A" w:rsidRDefault="00A50BEA">
      <w:pPr>
        <w:pStyle w:val="a0"/>
        <w:spacing w:before="93"/>
        <w:ind w:firstLineChars="200" w:firstLine="640"/>
        <w:rPr>
          <w:rFonts w:ascii="仿宋" w:eastAsia="仿宋" w:hAnsi="仿宋"/>
          <w:lang w:val="zh-CN"/>
        </w:rPr>
      </w:pPr>
      <w:r>
        <w:rPr>
          <w:rFonts w:ascii="仿宋" w:eastAsia="仿宋" w:hAnsi="仿宋" w:hint="eastAsia"/>
          <w:sz w:val="32"/>
          <w:szCs w:val="32"/>
        </w:rPr>
        <w:t>县融媒体中心</w:t>
      </w:r>
      <w:r>
        <w:rPr>
          <w:rFonts w:ascii="仿宋" w:eastAsia="仿宋" w:hAnsi="仿宋" w:cs="仿宋_GB2312" w:hint="eastAsia"/>
          <w:sz w:val="32"/>
          <w:szCs w:val="32"/>
        </w:rPr>
        <w:t>民族团结进步示范创建专题片制作</w:t>
      </w:r>
      <w:r>
        <w:rPr>
          <w:rFonts w:ascii="仿宋" w:eastAsia="仿宋" w:hAnsi="仿宋" w:hint="eastAsia"/>
          <w:sz w:val="32"/>
          <w:szCs w:val="32"/>
        </w:rPr>
        <w:t>项目资金县财政拨款</w:t>
      </w:r>
      <w:r>
        <w:rPr>
          <w:rFonts w:ascii="仿宋" w:eastAsia="仿宋" w:hAnsi="仿宋"/>
          <w:sz w:val="32"/>
          <w:szCs w:val="32"/>
        </w:rPr>
        <w:t>6</w:t>
      </w:r>
      <w:r>
        <w:rPr>
          <w:rFonts w:ascii="仿宋" w:eastAsia="仿宋" w:hAnsi="仿宋" w:hint="eastAsia"/>
          <w:sz w:val="32"/>
          <w:szCs w:val="32"/>
        </w:rPr>
        <w:t>万元。</w:t>
      </w:r>
    </w:p>
    <w:p w:rsidR="00FC5B9A" w:rsidRDefault="00A50BEA">
      <w:pPr>
        <w:widowControl/>
        <w:adjustRightInd w:val="0"/>
        <w:snapToGrid w:val="0"/>
        <w:spacing w:line="578" w:lineRule="exact"/>
        <w:ind w:firstLineChars="200" w:firstLine="640"/>
        <w:contextualSpacing/>
        <w:jc w:val="left"/>
        <w:rPr>
          <w:rFonts w:ascii="仿宋_GB2312" w:eastAsia="仿宋_GB2312" w:hAnsi="仿宋_GB2312" w:cs="仿宋_GB2312"/>
          <w:color w:val="FF0000"/>
          <w:kern w:val="0"/>
          <w:sz w:val="32"/>
          <w:szCs w:val="32"/>
          <w:shd w:val="clear" w:color="auto" w:fill="FFFFFF"/>
          <w:lang w:val="zh-CN"/>
        </w:rPr>
      </w:pPr>
      <w:r>
        <w:rPr>
          <w:rFonts w:ascii="仿宋" w:eastAsia="仿宋" w:hAnsi="仿宋" w:cs="仿宋_GB2312" w:hint="eastAsia"/>
          <w:color w:val="000000" w:themeColor="text1"/>
          <w:kern w:val="0"/>
          <w:sz w:val="32"/>
          <w:szCs w:val="32"/>
          <w:shd w:val="clear" w:color="auto" w:fill="FFFFFF"/>
          <w:lang w:val="zh-CN"/>
        </w:rPr>
        <w:t>2．资金到位。</w:t>
      </w:r>
    </w:p>
    <w:p w:rsidR="00FC5B9A" w:rsidRDefault="00A50BEA">
      <w:pPr>
        <w:widowControl/>
        <w:adjustRightInd w:val="0"/>
        <w:snapToGrid w:val="0"/>
        <w:spacing w:line="578" w:lineRule="exact"/>
        <w:ind w:firstLineChars="200" w:firstLine="640"/>
        <w:contextualSpacing/>
        <w:jc w:val="left"/>
        <w:rPr>
          <w:rFonts w:ascii="仿宋" w:eastAsia="仿宋" w:hAnsi="仿宋" w:cs="仿宋_GB2312"/>
          <w:color w:val="000000"/>
          <w:sz w:val="32"/>
          <w:szCs w:val="32"/>
          <w:shd w:val="clear" w:color="auto" w:fill="FFFFFF"/>
        </w:rPr>
      </w:pPr>
      <w:r>
        <w:rPr>
          <w:rFonts w:ascii="仿宋" w:eastAsia="仿宋" w:hAnsi="仿宋" w:hint="eastAsia"/>
          <w:kern w:val="0"/>
          <w:sz w:val="32"/>
          <w:szCs w:val="32"/>
        </w:rPr>
        <w:t>根据</w:t>
      </w:r>
      <w:r>
        <w:rPr>
          <w:rFonts w:ascii="仿宋" w:eastAsia="仿宋" w:hAnsi="仿宋" w:cs="仿宋_GB2312" w:hint="eastAsia"/>
          <w:sz w:val="32"/>
          <w:szCs w:val="32"/>
        </w:rPr>
        <w:t>（盐财资行〔</w:t>
      </w:r>
      <w:r>
        <w:rPr>
          <w:rFonts w:ascii="仿宋" w:eastAsia="仿宋" w:hAnsi="仿宋" w:cs="仿宋_GB2312"/>
          <w:sz w:val="32"/>
          <w:szCs w:val="32"/>
        </w:rPr>
        <w:t>202</w:t>
      </w:r>
      <w:r>
        <w:rPr>
          <w:rFonts w:ascii="仿宋" w:eastAsia="仿宋" w:hAnsi="仿宋" w:cs="仿宋_GB2312" w:hint="eastAsia"/>
          <w:sz w:val="32"/>
          <w:szCs w:val="32"/>
        </w:rPr>
        <w:t>2〕468号）文件，下达</w:t>
      </w:r>
      <w:r>
        <w:rPr>
          <w:rFonts w:ascii="仿宋" w:eastAsia="仿宋" w:hAnsi="仿宋" w:hint="eastAsia"/>
          <w:kern w:val="0"/>
          <w:sz w:val="32"/>
          <w:szCs w:val="32"/>
        </w:rPr>
        <w:t>县融媒体中心</w:t>
      </w:r>
      <w:r>
        <w:rPr>
          <w:rFonts w:ascii="仿宋" w:eastAsia="仿宋" w:hAnsi="仿宋" w:cs="仿宋_GB2312" w:hint="eastAsia"/>
          <w:sz w:val="32"/>
          <w:szCs w:val="32"/>
        </w:rPr>
        <w:t>民族团结进步示范创建专题片制作</w:t>
      </w:r>
      <w:r>
        <w:rPr>
          <w:rFonts w:ascii="仿宋" w:eastAsia="仿宋" w:hAnsi="仿宋" w:hint="eastAsia"/>
          <w:kern w:val="0"/>
          <w:sz w:val="32"/>
          <w:szCs w:val="32"/>
        </w:rPr>
        <w:t>资金</w:t>
      </w:r>
      <w:r>
        <w:rPr>
          <w:rFonts w:ascii="仿宋" w:eastAsia="仿宋" w:hAnsi="仿宋"/>
          <w:kern w:val="0"/>
          <w:sz w:val="32"/>
          <w:szCs w:val="32"/>
        </w:rPr>
        <w:t>6</w:t>
      </w:r>
      <w:r>
        <w:rPr>
          <w:rFonts w:ascii="仿宋" w:eastAsia="仿宋" w:hAnsi="仿宋" w:hint="eastAsia"/>
          <w:kern w:val="0"/>
          <w:sz w:val="32"/>
          <w:szCs w:val="32"/>
        </w:rPr>
        <w:t>万元，通知文件于</w:t>
      </w:r>
      <w:r>
        <w:rPr>
          <w:rFonts w:ascii="仿宋" w:eastAsia="仿宋" w:hAnsi="仿宋"/>
          <w:kern w:val="0"/>
          <w:sz w:val="32"/>
          <w:szCs w:val="32"/>
        </w:rPr>
        <w:t>202</w:t>
      </w:r>
      <w:r>
        <w:rPr>
          <w:rFonts w:ascii="仿宋" w:eastAsia="仿宋" w:hAnsi="仿宋" w:hint="eastAsia"/>
          <w:kern w:val="0"/>
          <w:sz w:val="32"/>
          <w:szCs w:val="32"/>
        </w:rPr>
        <w:t>2年10月下达并足额到位，</w:t>
      </w:r>
      <w:r>
        <w:rPr>
          <w:rFonts w:ascii="仿宋" w:eastAsia="仿宋" w:hAnsi="仿宋" w:cs="仿宋_GB2312" w:hint="eastAsia"/>
          <w:color w:val="000000"/>
          <w:sz w:val="32"/>
          <w:szCs w:val="32"/>
          <w:shd w:val="clear" w:color="auto" w:fill="FFFFFF"/>
        </w:rPr>
        <w:t>我单位按照工作实际开展情况已按进度使用。</w:t>
      </w:r>
    </w:p>
    <w:p w:rsidR="00FC5B9A" w:rsidRDefault="00A50BEA">
      <w:pPr>
        <w:widowControl/>
        <w:adjustRightInd w:val="0"/>
        <w:snapToGrid w:val="0"/>
        <w:spacing w:line="578" w:lineRule="exact"/>
        <w:ind w:firstLineChars="200" w:firstLine="640"/>
        <w:contextualSpacing/>
        <w:jc w:val="left"/>
        <w:rPr>
          <w:rFonts w:ascii="仿宋_GB2312" w:eastAsia="仿宋_GB2312" w:hAnsi="仿宋_GB2312" w:cs="仿宋_GB2312"/>
          <w:color w:val="FF0000"/>
          <w:kern w:val="0"/>
          <w:sz w:val="32"/>
          <w:szCs w:val="32"/>
          <w:shd w:val="clear" w:color="auto" w:fill="FFFFFF"/>
          <w:lang w:val="zh-CN"/>
        </w:rPr>
      </w:pPr>
      <w:r>
        <w:rPr>
          <w:rFonts w:ascii="仿宋" w:eastAsia="仿宋" w:hAnsi="仿宋" w:cs="仿宋_GB2312" w:hint="eastAsia"/>
          <w:kern w:val="0"/>
          <w:sz w:val="32"/>
          <w:szCs w:val="32"/>
          <w:shd w:val="clear" w:color="auto" w:fill="FFFFFF"/>
          <w:lang w:val="zh-CN"/>
        </w:rPr>
        <w:t>3．资金使用。</w:t>
      </w:r>
    </w:p>
    <w:p w:rsidR="00FC5B9A" w:rsidRDefault="00A50BEA">
      <w:pPr>
        <w:pStyle w:val="a0"/>
        <w:spacing w:before="93"/>
        <w:ind w:firstLineChars="200" w:firstLine="640"/>
        <w:rPr>
          <w:rFonts w:ascii="仿宋" w:eastAsia="仿宋" w:hAnsi="仿宋"/>
          <w:sz w:val="32"/>
          <w:szCs w:val="32"/>
          <w:lang w:val="zh-CN"/>
        </w:rPr>
      </w:pPr>
      <w:r>
        <w:rPr>
          <w:rFonts w:ascii="仿宋" w:eastAsia="仿宋" w:hAnsi="仿宋" w:hint="eastAsia"/>
          <w:sz w:val="32"/>
          <w:szCs w:val="32"/>
        </w:rPr>
        <w:t>2022年度项目资金下达后，我单位高度重视，专题研究，明确了牵头负责的领导和具体工作人员，特别是明确了项目专项资金管理办法，对预算资金做到了科学计划，合理安排，办公室和财务人员密切联系实际，对预算资金做到了严格控制、规范使用，完善制度，并按专题片制作完成情况进行支付，制作完成后实际总支出为4.12万元，结余1.88万元县财政收回。</w:t>
      </w:r>
    </w:p>
    <w:p w:rsidR="00FC5B9A" w:rsidRDefault="00A50BEA">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（三）项目财务管理情况。</w:t>
      </w:r>
    </w:p>
    <w:p w:rsidR="00FC5B9A" w:rsidRDefault="00A50BEA">
      <w:pPr>
        <w:widowControl/>
        <w:adjustRightInd w:val="0"/>
        <w:snapToGrid w:val="0"/>
        <w:spacing w:line="578" w:lineRule="exact"/>
        <w:ind w:firstLineChars="200" w:firstLine="640"/>
        <w:contextualSpacing/>
        <w:jc w:val="left"/>
        <w:rPr>
          <w:rFonts w:ascii="仿宋" w:eastAsia="仿宋" w:hAnsi="仿宋" w:cs="仿宋_GB2312"/>
          <w:kern w:val="0"/>
          <w:sz w:val="32"/>
          <w:szCs w:val="32"/>
          <w:shd w:val="clear" w:color="auto" w:fill="FFFFFF"/>
          <w:lang w:val="zh-CN"/>
        </w:rPr>
      </w:pPr>
      <w:r>
        <w:rPr>
          <w:rFonts w:ascii="仿宋" w:eastAsia="仿宋" w:hAnsi="仿宋" w:cs="仿宋_GB2312" w:hint="eastAsia"/>
          <w:kern w:val="0"/>
          <w:sz w:val="32"/>
          <w:szCs w:val="32"/>
          <w:shd w:val="clear" w:color="auto" w:fill="FFFFFF"/>
          <w:lang w:val="zh-CN"/>
        </w:rPr>
        <w:t>总体评价各项目实施单位财务管理制度是否健全，是否严格执行财务管理制度，账务处理是否及时，会计核算是否规范等。</w:t>
      </w:r>
    </w:p>
    <w:p w:rsidR="00FC5B9A" w:rsidRDefault="00A50BEA">
      <w:pPr>
        <w:autoSpaceDE w:val="0"/>
        <w:autoSpaceDN w:val="0"/>
        <w:adjustRightInd w:val="0"/>
        <w:spacing w:line="560" w:lineRule="exact"/>
        <w:ind w:firstLineChars="200" w:firstLine="640"/>
        <w:jc w:val="left"/>
      </w:pPr>
      <w:r>
        <w:rPr>
          <w:rFonts w:ascii="仿宋" w:eastAsia="仿宋" w:hAnsi="仿宋" w:hint="eastAsia"/>
          <w:kern w:val="0"/>
          <w:sz w:val="32"/>
          <w:szCs w:val="32"/>
        </w:rPr>
        <w:t>项目资金实行专款专用，无违反财务管理、财经纪律情</w:t>
      </w:r>
      <w:r>
        <w:rPr>
          <w:rFonts w:ascii="仿宋" w:eastAsia="仿宋" w:hAnsi="仿宋" w:hint="eastAsia"/>
          <w:kern w:val="0"/>
          <w:sz w:val="32"/>
          <w:szCs w:val="32"/>
        </w:rPr>
        <w:lastRenderedPageBreak/>
        <w:t>况发生，项目资金支出和原定用途、财政拨款用途相符，支出符合国家财经法规和财务管理制度规定；资金拨付程序规范，资金管理制度健全；财务管理按规定执行，符合相关财务会计管理规定；</w:t>
      </w:r>
      <w:r>
        <w:rPr>
          <w:rFonts w:ascii="仿宋" w:eastAsia="仿宋" w:hAnsi="仿宋" w:cs="仿宋_GB2312" w:hint="eastAsia"/>
          <w:sz w:val="32"/>
          <w:szCs w:val="32"/>
        </w:rPr>
        <w:t>不存在截留、挤占、挪用、虚列支出等情况。</w:t>
      </w:r>
    </w:p>
    <w:p w:rsidR="00FC5B9A" w:rsidRDefault="00A50BEA">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三、项目实施及管理情况</w:t>
      </w:r>
    </w:p>
    <w:p w:rsidR="00FC5B9A" w:rsidRDefault="00A50BEA">
      <w:pPr>
        <w:widowControl/>
        <w:adjustRightInd w:val="0"/>
        <w:snapToGrid w:val="0"/>
        <w:spacing w:line="578" w:lineRule="exact"/>
        <w:ind w:firstLineChars="200" w:firstLine="640"/>
        <w:contextualSpacing/>
        <w:jc w:val="left"/>
        <w:rPr>
          <w:rFonts w:ascii="仿宋" w:eastAsia="仿宋" w:hAnsi="仿宋" w:cs="仿宋_GB2312"/>
          <w:kern w:val="0"/>
          <w:sz w:val="32"/>
          <w:szCs w:val="32"/>
          <w:shd w:val="clear" w:color="auto" w:fill="FFFFFF"/>
          <w:lang w:val="zh-CN"/>
        </w:rPr>
      </w:pPr>
      <w:r>
        <w:rPr>
          <w:rFonts w:ascii="仿宋" w:eastAsia="仿宋" w:hAnsi="仿宋" w:cs="仿宋_GB2312" w:hint="eastAsia"/>
          <w:kern w:val="0"/>
          <w:sz w:val="32"/>
          <w:szCs w:val="32"/>
          <w:shd w:val="clear" w:color="auto" w:fill="FFFFFF"/>
          <w:lang w:val="zh-CN"/>
        </w:rPr>
        <w:t>结合项目组织实施管理办法，重点围绕以下内容进行分析评价，并对自评中发现的问题分析说明。</w:t>
      </w:r>
    </w:p>
    <w:p w:rsidR="00FC5B9A" w:rsidRDefault="00A50BEA">
      <w:pPr>
        <w:adjustRightInd w:val="0"/>
        <w:snapToGrid w:val="0"/>
        <w:spacing w:line="578" w:lineRule="exact"/>
        <w:ind w:left="720"/>
        <w:rPr>
          <w:rFonts w:ascii="楷体_GB2312" w:eastAsia="楷体_GB2312" w:hAnsi="宋体"/>
          <w:b/>
          <w:sz w:val="32"/>
          <w:szCs w:val="32"/>
          <w:lang w:val="zh-CN"/>
        </w:rPr>
      </w:pPr>
      <w:r>
        <w:rPr>
          <w:rFonts w:ascii="楷体_GB2312" w:eastAsia="楷体_GB2312" w:hAnsi="宋体" w:hint="eastAsia"/>
          <w:b/>
          <w:sz w:val="32"/>
          <w:szCs w:val="32"/>
          <w:lang w:val="zh-CN"/>
        </w:rPr>
        <w:t>（一）项目组织架构及实施流程。</w:t>
      </w:r>
    </w:p>
    <w:p w:rsidR="00FC5B9A" w:rsidRDefault="00A50BEA">
      <w:pPr>
        <w:spacing w:line="560" w:lineRule="exact"/>
        <w:ind w:firstLineChars="200" w:firstLine="640"/>
        <w:rPr>
          <w:rFonts w:ascii="仿宋" w:eastAsia="仿宋" w:hAnsi="仿宋"/>
          <w:sz w:val="32"/>
          <w:szCs w:val="32"/>
        </w:rPr>
      </w:pPr>
      <w:r>
        <w:rPr>
          <w:rFonts w:ascii="仿宋" w:eastAsia="仿宋" w:hAnsi="仿宋"/>
          <w:sz w:val="32"/>
          <w:szCs w:val="32"/>
        </w:rPr>
        <w:t>项目资金下达后，我单位高度重视，专题研究，明确了牵头负责的领导和具体工作人员，确立了中长期目标和年度目标，特别是明确了项目专项资金管理办法，对预算资金做到了科学计划，合理安排，</w:t>
      </w:r>
      <w:r>
        <w:rPr>
          <w:rFonts w:ascii="仿宋" w:eastAsia="仿宋" w:hAnsi="仿宋" w:cs="仿宋_GB2312" w:hint="eastAsia"/>
          <w:sz w:val="32"/>
          <w:szCs w:val="32"/>
        </w:rPr>
        <w:t>保障资金使用安全规范有效，确保发挥更大效益。</w:t>
      </w:r>
    </w:p>
    <w:p w:rsidR="00FC5B9A" w:rsidRDefault="00A50BEA">
      <w:pPr>
        <w:adjustRightInd w:val="0"/>
        <w:snapToGrid w:val="0"/>
        <w:spacing w:line="578" w:lineRule="exact"/>
        <w:ind w:left="720"/>
        <w:rPr>
          <w:rFonts w:ascii="楷体_GB2312" w:eastAsia="楷体_GB2312" w:hAnsi="宋体"/>
          <w:b/>
          <w:sz w:val="32"/>
          <w:szCs w:val="32"/>
          <w:lang w:val="zh-CN"/>
        </w:rPr>
      </w:pPr>
      <w:r>
        <w:rPr>
          <w:rFonts w:ascii="楷体_GB2312" w:eastAsia="楷体_GB2312" w:hAnsi="宋体" w:hint="eastAsia"/>
          <w:b/>
          <w:sz w:val="32"/>
          <w:szCs w:val="32"/>
          <w:lang w:val="zh-CN"/>
        </w:rPr>
        <w:t>（二）项目管理情况。</w:t>
      </w:r>
    </w:p>
    <w:p w:rsidR="00FC5B9A" w:rsidRDefault="00A50BEA">
      <w:pPr>
        <w:autoSpaceDE w:val="0"/>
        <w:autoSpaceDN w:val="0"/>
        <w:adjustRightInd w:val="0"/>
        <w:spacing w:line="580" w:lineRule="exact"/>
        <w:ind w:firstLineChars="200" w:firstLine="640"/>
        <w:jc w:val="left"/>
        <w:rPr>
          <w:rFonts w:ascii="仿宋" w:eastAsia="仿宋" w:hAnsi="仿宋"/>
          <w:sz w:val="32"/>
          <w:szCs w:val="32"/>
        </w:rPr>
      </w:pPr>
      <w:r>
        <w:rPr>
          <w:rFonts w:ascii="仿宋" w:eastAsia="仿宋" w:hAnsi="仿宋" w:hint="eastAsia"/>
          <w:kern w:val="0"/>
          <w:sz w:val="32"/>
          <w:szCs w:val="32"/>
        </w:rPr>
        <w:t>按照财经法规、财务管理制度对</w:t>
      </w:r>
      <w:r>
        <w:rPr>
          <w:rFonts w:ascii="仿宋" w:eastAsia="仿宋" w:hAnsi="仿宋" w:cs="仿宋_GB2312" w:hint="eastAsia"/>
          <w:sz w:val="32"/>
          <w:szCs w:val="32"/>
        </w:rPr>
        <w:t>民族团结进步示范创建进行专题片制作，聘请专业拍摄团队与我中心紧密合作，制作推出了盐边县民族团结专题宣传片，进一步宣传好盐边平等团结互助和谐的民族关系，确保2022年成功创建为全国民族团结进步示范县。</w:t>
      </w:r>
    </w:p>
    <w:p w:rsidR="00FC5B9A" w:rsidRDefault="00A50BEA">
      <w:pPr>
        <w:adjustRightInd w:val="0"/>
        <w:snapToGrid w:val="0"/>
        <w:spacing w:line="578" w:lineRule="exact"/>
        <w:ind w:firstLine="720"/>
        <w:rPr>
          <w:rFonts w:ascii="仿宋_GB2312" w:eastAsia="仿宋_GB2312" w:hAnsi="仿宋_GB2312" w:cs="仿宋_GB2312"/>
          <w:color w:val="FF0000"/>
          <w:kern w:val="0"/>
          <w:sz w:val="32"/>
          <w:szCs w:val="32"/>
          <w:shd w:val="clear" w:color="auto" w:fill="FFFFFF"/>
          <w:lang w:val="zh-CN"/>
        </w:rPr>
      </w:pPr>
      <w:r>
        <w:rPr>
          <w:rFonts w:ascii="楷体_GB2312" w:eastAsia="楷体_GB2312" w:hAnsi="宋体" w:hint="eastAsia"/>
          <w:b/>
          <w:sz w:val="32"/>
          <w:szCs w:val="32"/>
          <w:lang w:val="zh-CN"/>
        </w:rPr>
        <w:t>（三）项目监管情况。</w:t>
      </w:r>
    </w:p>
    <w:p w:rsidR="00FC5B9A" w:rsidRDefault="00A50BEA">
      <w:pPr>
        <w:autoSpaceDE w:val="0"/>
        <w:autoSpaceDN w:val="0"/>
        <w:adjustRightInd w:val="0"/>
        <w:spacing w:line="580" w:lineRule="exact"/>
        <w:ind w:firstLineChars="200" w:firstLine="640"/>
        <w:jc w:val="left"/>
        <w:rPr>
          <w:rFonts w:ascii="仿宋" w:eastAsia="仿宋" w:hAnsi="仿宋"/>
        </w:rPr>
      </w:pPr>
      <w:r>
        <w:rPr>
          <w:rFonts w:ascii="仿宋" w:eastAsia="仿宋" w:hAnsi="仿宋" w:hint="eastAsia"/>
          <w:kern w:val="0"/>
          <w:sz w:val="32"/>
          <w:szCs w:val="32"/>
        </w:rPr>
        <w:t>根据相关财经政策要求，认真做好本单位部门绩效事中监控，切实分析本单位在预算绩效管理工作中存在的问题，提出具体措施加以改进，并将事中绩效评价报告报县财政局</w:t>
      </w:r>
      <w:r>
        <w:rPr>
          <w:rFonts w:ascii="仿宋" w:eastAsia="仿宋" w:hAnsi="仿宋" w:hint="eastAsia"/>
          <w:kern w:val="0"/>
          <w:sz w:val="32"/>
          <w:szCs w:val="32"/>
        </w:rPr>
        <w:lastRenderedPageBreak/>
        <w:t>备案。</w:t>
      </w:r>
    </w:p>
    <w:p w:rsidR="00FC5B9A" w:rsidRDefault="00A50BEA">
      <w:pPr>
        <w:adjustRightInd w:val="0"/>
        <w:snapToGrid w:val="0"/>
        <w:spacing w:line="578" w:lineRule="exact"/>
        <w:ind w:firstLine="720"/>
        <w:rPr>
          <w:rFonts w:ascii="仿宋_GB2312" w:hAnsi="宋体"/>
          <w:sz w:val="32"/>
          <w:szCs w:val="32"/>
          <w:lang w:val="zh-CN"/>
        </w:rPr>
      </w:pPr>
      <w:r>
        <w:rPr>
          <w:rFonts w:ascii="黑体" w:eastAsia="黑体" w:hAnsi="宋体" w:hint="eastAsia"/>
          <w:sz w:val="32"/>
          <w:szCs w:val="32"/>
        </w:rPr>
        <w:t>四、项目绩效情况</w:t>
      </w:r>
      <w:r>
        <w:rPr>
          <w:rFonts w:ascii="仿宋_GB2312" w:hAnsi="宋体" w:hint="eastAsia"/>
          <w:sz w:val="32"/>
          <w:szCs w:val="32"/>
          <w:lang w:val="zh-CN"/>
        </w:rPr>
        <w:tab/>
      </w:r>
    </w:p>
    <w:p w:rsidR="00FC5B9A" w:rsidRDefault="00A50BEA">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（一）项目完成情况。</w:t>
      </w:r>
    </w:p>
    <w:p w:rsidR="00FC5B9A" w:rsidRDefault="00A50BEA">
      <w:pPr>
        <w:spacing w:line="560" w:lineRule="exact"/>
        <w:ind w:firstLineChars="200" w:firstLine="640"/>
        <w:rPr>
          <w:rFonts w:ascii="仿宋" w:eastAsia="仿宋" w:hAnsi="仿宋"/>
          <w:sz w:val="32"/>
          <w:szCs w:val="32"/>
        </w:rPr>
      </w:pPr>
      <w:r>
        <w:rPr>
          <w:rFonts w:ascii="仿宋" w:eastAsia="仿宋" w:hAnsi="仿宋"/>
          <w:sz w:val="32"/>
          <w:szCs w:val="32"/>
        </w:rPr>
        <w:t>2022年度专项经费及时到位，充分发挥了资金的使用效益</w:t>
      </w:r>
      <w:r>
        <w:rPr>
          <w:rFonts w:ascii="仿宋" w:eastAsia="仿宋" w:hAnsi="仿宋" w:hint="eastAsia"/>
          <w:sz w:val="32"/>
          <w:szCs w:val="32"/>
        </w:rPr>
        <w:t>，</w:t>
      </w:r>
      <w:r>
        <w:rPr>
          <w:rFonts w:ascii="仿宋" w:eastAsia="仿宋" w:hAnsi="仿宋"/>
          <w:sz w:val="32"/>
          <w:szCs w:val="32"/>
        </w:rPr>
        <w:t>保障</w:t>
      </w:r>
      <w:r>
        <w:rPr>
          <w:rFonts w:ascii="仿宋" w:eastAsia="仿宋" w:hAnsi="仿宋" w:hint="eastAsia"/>
          <w:sz w:val="32"/>
          <w:szCs w:val="32"/>
        </w:rPr>
        <w:t>民族团结创建</w:t>
      </w:r>
      <w:r>
        <w:rPr>
          <w:rFonts w:ascii="仿宋" w:eastAsia="仿宋" w:hAnsi="仿宋"/>
          <w:sz w:val="32"/>
          <w:szCs w:val="32"/>
        </w:rPr>
        <w:t>工作的有序开展。包括项目完成数量、质量、时效、成本，项目资金结余情况，违规记录等情况，对照项目计划完成目标，对截至评价时点的任务量完成、质量标准、进度计划、成本控制目标的实现程度进行自评、分析、说明。</w:t>
      </w:r>
    </w:p>
    <w:p w:rsidR="00FC5B9A" w:rsidRDefault="00A50BEA">
      <w:pPr>
        <w:autoSpaceDE w:val="0"/>
        <w:autoSpaceDN w:val="0"/>
        <w:adjustRightInd w:val="0"/>
        <w:spacing w:line="560" w:lineRule="exact"/>
        <w:ind w:firstLineChars="200" w:firstLine="640"/>
        <w:jc w:val="left"/>
        <w:rPr>
          <w:rFonts w:ascii="仿宋" w:eastAsia="仿宋" w:hAnsi="仿宋"/>
          <w:kern w:val="0"/>
          <w:sz w:val="32"/>
          <w:szCs w:val="32"/>
        </w:rPr>
      </w:pPr>
      <w:r>
        <w:rPr>
          <w:rFonts w:ascii="仿宋" w:eastAsia="仿宋" w:hAnsi="仿宋" w:hint="eastAsia"/>
          <w:kern w:val="0"/>
          <w:sz w:val="32"/>
          <w:szCs w:val="32"/>
        </w:rPr>
        <w:t>项目完成数量：较好地完成了</w:t>
      </w:r>
      <w:r>
        <w:rPr>
          <w:rFonts w:ascii="仿宋" w:eastAsia="仿宋" w:hAnsi="仿宋" w:cs="仿宋_GB2312" w:hint="eastAsia"/>
          <w:sz w:val="32"/>
          <w:szCs w:val="32"/>
        </w:rPr>
        <w:t>民族团结进步示范创建专题片拍摄制作</w:t>
      </w:r>
      <w:r>
        <w:rPr>
          <w:rFonts w:ascii="仿宋" w:eastAsia="仿宋" w:hAnsi="仿宋" w:hint="eastAsia"/>
          <w:kern w:val="0"/>
          <w:sz w:val="32"/>
          <w:szCs w:val="32"/>
        </w:rPr>
        <w:t>，确保了项目的有序开展，目前已完成全部项目的</w:t>
      </w:r>
      <w:r>
        <w:rPr>
          <w:rFonts w:ascii="仿宋" w:eastAsia="仿宋" w:hAnsi="仿宋"/>
          <w:kern w:val="0"/>
          <w:sz w:val="32"/>
          <w:szCs w:val="32"/>
        </w:rPr>
        <w:t>100%</w:t>
      </w:r>
      <w:r>
        <w:rPr>
          <w:rFonts w:ascii="仿宋" w:eastAsia="仿宋" w:hAnsi="仿宋" w:hint="eastAsia"/>
          <w:kern w:val="0"/>
          <w:sz w:val="32"/>
          <w:szCs w:val="32"/>
        </w:rPr>
        <w:t>，资金拨付达到</w:t>
      </w:r>
      <w:r>
        <w:rPr>
          <w:rFonts w:ascii="仿宋" w:eastAsia="仿宋" w:hAnsi="仿宋"/>
          <w:kern w:val="0"/>
          <w:sz w:val="32"/>
          <w:szCs w:val="32"/>
        </w:rPr>
        <w:t>100%</w:t>
      </w:r>
      <w:r>
        <w:rPr>
          <w:rFonts w:ascii="仿宋" w:eastAsia="仿宋" w:hAnsi="仿宋" w:hint="eastAsia"/>
          <w:kern w:val="0"/>
          <w:sz w:val="32"/>
          <w:szCs w:val="32"/>
        </w:rPr>
        <w:t>。</w:t>
      </w:r>
    </w:p>
    <w:p w:rsidR="00FC5B9A" w:rsidRDefault="00A50BEA">
      <w:pPr>
        <w:autoSpaceDE w:val="0"/>
        <w:autoSpaceDN w:val="0"/>
        <w:adjustRightInd w:val="0"/>
        <w:spacing w:line="560" w:lineRule="exact"/>
        <w:ind w:firstLineChars="200" w:firstLine="640"/>
        <w:jc w:val="left"/>
        <w:rPr>
          <w:rFonts w:ascii="仿宋" w:eastAsia="仿宋" w:hAnsi="仿宋"/>
          <w:kern w:val="0"/>
          <w:sz w:val="32"/>
          <w:szCs w:val="32"/>
        </w:rPr>
      </w:pPr>
      <w:r>
        <w:rPr>
          <w:rFonts w:ascii="仿宋" w:eastAsia="仿宋" w:hAnsi="仿宋" w:hint="eastAsia"/>
          <w:kern w:val="0"/>
          <w:sz w:val="32"/>
          <w:szCs w:val="32"/>
        </w:rPr>
        <w:t>项目完成质量：按照既定工作目标全部保质保量完成，达到了预期的效果。</w:t>
      </w:r>
    </w:p>
    <w:p w:rsidR="00FC5B9A" w:rsidRDefault="00A50BEA">
      <w:pPr>
        <w:autoSpaceDE w:val="0"/>
        <w:autoSpaceDN w:val="0"/>
        <w:adjustRightInd w:val="0"/>
        <w:spacing w:line="560" w:lineRule="exact"/>
        <w:ind w:firstLineChars="200" w:firstLine="640"/>
        <w:jc w:val="left"/>
        <w:rPr>
          <w:rFonts w:ascii="仿宋" w:eastAsia="仿宋" w:hAnsi="仿宋"/>
          <w:kern w:val="0"/>
          <w:sz w:val="32"/>
          <w:szCs w:val="32"/>
        </w:rPr>
      </w:pPr>
      <w:r>
        <w:rPr>
          <w:rFonts w:ascii="仿宋" w:eastAsia="仿宋" w:hAnsi="仿宋" w:hint="eastAsia"/>
          <w:kern w:val="0"/>
          <w:sz w:val="32"/>
          <w:szCs w:val="32"/>
        </w:rPr>
        <w:t>项目完成时效：项目得到有序开展，到2022年底完成全部项目的100%，完成项目验收率达到100%。</w:t>
      </w:r>
    </w:p>
    <w:p w:rsidR="00FC5B9A" w:rsidRDefault="00A50BEA">
      <w:pPr>
        <w:autoSpaceDE w:val="0"/>
        <w:autoSpaceDN w:val="0"/>
        <w:adjustRightInd w:val="0"/>
        <w:spacing w:line="560" w:lineRule="exact"/>
        <w:ind w:firstLineChars="200" w:firstLine="640"/>
        <w:jc w:val="left"/>
      </w:pPr>
      <w:r>
        <w:rPr>
          <w:rFonts w:ascii="仿宋" w:eastAsia="仿宋" w:hAnsi="仿宋" w:hint="eastAsia"/>
          <w:kern w:val="0"/>
          <w:sz w:val="32"/>
          <w:szCs w:val="32"/>
        </w:rPr>
        <w:t>项目完成成本：项目资金6万元，完成4.12万元，节余1.88万元。</w:t>
      </w:r>
    </w:p>
    <w:p w:rsidR="00FC5B9A" w:rsidRDefault="00A50BEA">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（二）项目效益情况。</w:t>
      </w:r>
    </w:p>
    <w:p w:rsidR="00FC5B9A" w:rsidRDefault="00A50BEA">
      <w:pPr>
        <w:autoSpaceDE w:val="0"/>
        <w:autoSpaceDN w:val="0"/>
        <w:adjustRightInd w:val="0"/>
        <w:spacing w:line="560" w:lineRule="exact"/>
        <w:ind w:firstLineChars="200" w:firstLine="640"/>
        <w:jc w:val="left"/>
        <w:rPr>
          <w:rFonts w:ascii="仿宋" w:eastAsia="仿宋" w:hAnsi="仿宋"/>
          <w:kern w:val="0"/>
          <w:sz w:val="32"/>
          <w:szCs w:val="32"/>
        </w:rPr>
      </w:pPr>
      <w:r>
        <w:rPr>
          <w:rFonts w:ascii="仿宋" w:eastAsia="仿宋" w:hAnsi="仿宋" w:hint="eastAsia"/>
          <w:kern w:val="0"/>
          <w:sz w:val="32"/>
          <w:szCs w:val="32"/>
        </w:rPr>
        <w:t>我单位对项目实施和整体社会效益及满意度等各项指标调查，效益明显，达到了预期效果。</w:t>
      </w:r>
    </w:p>
    <w:p w:rsidR="00FC5B9A" w:rsidRDefault="00A50BEA">
      <w:pPr>
        <w:autoSpaceDE w:val="0"/>
        <w:autoSpaceDN w:val="0"/>
        <w:adjustRightInd w:val="0"/>
        <w:spacing w:line="560" w:lineRule="exact"/>
        <w:ind w:firstLineChars="200" w:firstLine="640"/>
        <w:jc w:val="left"/>
        <w:rPr>
          <w:rFonts w:ascii="仿宋" w:eastAsia="仿宋" w:hAnsi="仿宋"/>
          <w:kern w:val="0"/>
          <w:sz w:val="32"/>
          <w:szCs w:val="32"/>
        </w:rPr>
      </w:pPr>
      <w:r>
        <w:rPr>
          <w:rFonts w:ascii="仿宋" w:eastAsia="仿宋" w:hAnsi="仿宋" w:hint="eastAsia"/>
          <w:kern w:val="0"/>
          <w:sz w:val="32"/>
          <w:szCs w:val="32"/>
        </w:rPr>
        <w:t>项目社会效益：</w:t>
      </w:r>
      <w:r>
        <w:rPr>
          <w:rFonts w:ascii="仿宋" w:eastAsia="仿宋" w:hAnsi="仿宋" w:cs="仿宋_GB2312" w:hint="eastAsia"/>
          <w:sz w:val="32"/>
          <w:szCs w:val="32"/>
        </w:rPr>
        <w:t>通过拍摄制作创建专题片，推动我县成功创建全国民族团结进步示范县，</w:t>
      </w:r>
      <w:r>
        <w:rPr>
          <w:rFonts w:ascii="仿宋" w:eastAsia="仿宋" w:hAnsi="仿宋" w:hint="eastAsia"/>
          <w:kern w:val="0"/>
          <w:sz w:val="32"/>
          <w:szCs w:val="32"/>
        </w:rPr>
        <w:t>县融媒体中心更好地服务党委政府中心工作，群众认知度不断提升。</w:t>
      </w:r>
    </w:p>
    <w:p w:rsidR="00FC5B9A" w:rsidRDefault="00A50BEA">
      <w:pPr>
        <w:autoSpaceDE w:val="0"/>
        <w:autoSpaceDN w:val="0"/>
        <w:adjustRightInd w:val="0"/>
        <w:spacing w:line="560" w:lineRule="exact"/>
        <w:ind w:firstLineChars="200" w:firstLine="640"/>
        <w:jc w:val="left"/>
        <w:rPr>
          <w:rFonts w:ascii="仿宋" w:eastAsia="仿宋" w:hAnsi="仿宋"/>
          <w:kern w:val="0"/>
          <w:sz w:val="32"/>
          <w:szCs w:val="32"/>
        </w:rPr>
      </w:pPr>
      <w:r>
        <w:rPr>
          <w:rFonts w:ascii="仿宋" w:eastAsia="仿宋" w:hAnsi="仿宋" w:hint="eastAsia"/>
          <w:kern w:val="0"/>
          <w:sz w:val="32"/>
          <w:szCs w:val="32"/>
        </w:rPr>
        <w:lastRenderedPageBreak/>
        <w:t>可持续效益：</w:t>
      </w:r>
      <w:r>
        <w:rPr>
          <w:rFonts w:ascii="仿宋" w:eastAsia="仿宋" w:hAnsi="仿宋" w:cs="仿宋_GB2312" w:hint="eastAsia"/>
          <w:sz w:val="32"/>
          <w:szCs w:val="32"/>
        </w:rPr>
        <w:t>进一步推进我县民族团结进步事业高质量发展，切实保障各民族合法权益，进一步促进各民族交往交流交融，推动各民族共同团结进步，共同繁荣发展。</w:t>
      </w:r>
    </w:p>
    <w:p w:rsidR="00FC5B9A" w:rsidRDefault="00A50BEA">
      <w:pPr>
        <w:autoSpaceDE w:val="0"/>
        <w:autoSpaceDN w:val="0"/>
        <w:adjustRightInd w:val="0"/>
        <w:spacing w:line="560" w:lineRule="exact"/>
        <w:ind w:firstLineChars="200" w:firstLine="640"/>
        <w:jc w:val="left"/>
        <w:rPr>
          <w:rFonts w:ascii="仿宋" w:eastAsia="仿宋" w:hAnsi="仿宋"/>
          <w:sz w:val="32"/>
          <w:szCs w:val="32"/>
        </w:rPr>
      </w:pPr>
      <w:r>
        <w:rPr>
          <w:rFonts w:ascii="仿宋" w:eastAsia="仿宋" w:hAnsi="仿宋" w:hint="eastAsia"/>
          <w:kern w:val="0"/>
          <w:sz w:val="32"/>
          <w:szCs w:val="32"/>
        </w:rPr>
        <w:t>服务对象满意度：群众对项目实施的满意度达到</w:t>
      </w:r>
      <w:r>
        <w:rPr>
          <w:rFonts w:ascii="仿宋" w:eastAsia="仿宋" w:hAnsi="仿宋"/>
          <w:kern w:val="0"/>
          <w:sz w:val="32"/>
          <w:szCs w:val="32"/>
        </w:rPr>
        <w:t>9</w:t>
      </w:r>
      <w:r>
        <w:rPr>
          <w:rFonts w:ascii="仿宋" w:eastAsia="仿宋" w:hAnsi="仿宋" w:hint="eastAsia"/>
          <w:kern w:val="0"/>
          <w:sz w:val="32"/>
          <w:szCs w:val="32"/>
        </w:rPr>
        <w:t>5</w:t>
      </w:r>
      <w:r>
        <w:rPr>
          <w:rFonts w:ascii="仿宋" w:eastAsia="仿宋" w:hAnsi="仿宋"/>
          <w:kern w:val="0"/>
          <w:sz w:val="32"/>
          <w:szCs w:val="32"/>
        </w:rPr>
        <w:t>%</w:t>
      </w:r>
      <w:r>
        <w:rPr>
          <w:rFonts w:ascii="仿宋" w:eastAsia="仿宋" w:hAnsi="仿宋" w:hint="eastAsia"/>
          <w:kern w:val="0"/>
          <w:sz w:val="32"/>
          <w:szCs w:val="32"/>
        </w:rPr>
        <w:t>以上。</w:t>
      </w:r>
    </w:p>
    <w:p w:rsidR="00FC5B9A" w:rsidRDefault="00A50BEA">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五、评价结论及建议</w:t>
      </w:r>
    </w:p>
    <w:p w:rsidR="00FC5B9A" w:rsidRDefault="00A50BEA">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（一）评价结论。</w:t>
      </w:r>
    </w:p>
    <w:p w:rsidR="00FC5B9A" w:rsidRDefault="00A50BEA">
      <w:pPr>
        <w:pStyle w:val="a0"/>
        <w:spacing w:before="93"/>
        <w:ind w:firstLineChars="200" w:firstLine="620"/>
        <w:rPr>
          <w:rFonts w:ascii="仿宋" w:eastAsia="仿宋" w:hAnsi="仿宋"/>
          <w:lang w:val="zh-CN"/>
        </w:rPr>
      </w:pPr>
      <w:r>
        <w:rPr>
          <w:rFonts w:ascii="仿宋" w:eastAsia="仿宋" w:hAnsi="仿宋" w:cs="仿宋_GB2312" w:hint="eastAsia"/>
          <w:sz w:val="31"/>
          <w:szCs w:val="31"/>
        </w:rPr>
        <w:t>通过对项目的指标和指标值综合评估，项目决策在总的方面立项充分，有立项程序；经费测算符合相关要求和定额标准，与设定的绩效目标相符合；资金用途和开支范围明确；能按期达到项目计划能力，推广传播率</w:t>
      </w:r>
      <w:r>
        <w:rPr>
          <w:rFonts w:ascii="仿宋" w:eastAsia="仿宋" w:hAnsi="仿宋" w:cs="仿宋_GB2312"/>
          <w:sz w:val="31"/>
          <w:szCs w:val="31"/>
        </w:rPr>
        <w:t>100%</w:t>
      </w:r>
      <w:r>
        <w:rPr>
          <w:rFonts w:ascii="仿宋" w:eastAsia="仿宋" w:hAnsi="仿宋" w:cs="仿宋_GB2312" w:hint="eastAsia"/>
          <w:sz w:val="31"/>
          <w:szCs w:val="31"/>
        </w:rPr>
        <w:t>，满意度达</w:t>
      </w:r>
      <w:r>
        <w:rPr>
          <w:rFonts w:ascii="仿宋" w:eastAsia="仿宋" w:hAnsi="仿宋" w:cs="仿宋_GB2312"/>
          <w:sz w:val="31"/>
          <w:szCs w:val="31"/>
        </w:rPr>
        <w:t>9</w:t>
      </w:r>
      <w:r>
        <w:rPr>
          <w:rFonts w:ascii="仿宋" w:eastAsia="仿宋" w:hAnsi="仿宋" w:cs="仿宋_GB2312" w:hint="eastAsia"/>
          <w:sz w:val="31"/>
          <w:szCs w:val="31"/>
        </w:rPr>
        <w:t>5</w:t>
      </w:r>
      <w:r>
        <w:rPr>
          <w:rFonts w:ascii="仿宋" w:eastAsia="仿宋" w:hAnsi="仿宋" w:cs="仿宋_GB2312"/>
          <w:sz w:val="31"/>
          <w:szCs w:val="31"/>
        </w:rPr>
        <w:t>%</w:t>
      </w:r>
      <w:r>
        <w:rPr>
          <w:rFonts w:ascii="仿宋" w:eastAsia="仿宋" w:hAnsi="仿宋" w:cs="仿宋_GB2312" w:hint="eastAsia"/>
          <w:sz w:val="31"/>
          <w:szCs w:val="31"/>
        </w:rPr>
        <w:t>以上。县融媒体中心在项目决策方面履行较规范，目标完成方面达到了预期的计划，项目效果方面取得较好，经费使用达到资金整体支出预期。</w:t>
      </w:r>
    </w:p>
    <w:p w:rsidR="00FC5B9A" w:rsidRDefault="00A50BEA">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（二）存在的问题。</w:t>
      </w:r>
    </w:p>
    <w:p w:rsidR="00FC5B9A" w:rsidRDefault="00A50BEA">
      <w:pPr>
        <w:widowControl/>
        <w:shd w:val="clear" w:color="auto" w:fill="FFFFFF"/>
        <w:spacing w:line="560" w:lineRule="exact"/>
        <w:ind w:firstLine="640"/>
        <w:jc w:val="left"/>
        <w:rPr>
          <w:rFonts w:ascii="仿宋" w:eastAsia="仿宋" w:hAnsi="仿宋"/>
          <w:sz w:val="32"/>
          <w:szCs w:val="32"/>
        </w:rPr>
      </w:pPr>
      <w:r>
        <w:rPr>
          <w:rFonts w:ascii="仿宋" w:eastAsia="仿宋" w:hAnsi="仿宋" w:hint="eastAsia"/>
          <w:kern w:val="0"/>
          <w:sz w:val="32"/>
          <w:szCs w:val="32"/>
        </w:rPr>
        <w:t>专项资金进度还应督促加强；</w:t>
      </w:r>
      <w:r>
        <w:rPr>
          <w:rFonts w:ascii="仿宋" w:eastAsia="仿宋" w:hAnsi="仿宋" w:cs="仿宋" w:hint="eastAsia"/>
          <w:color w:val="000000"/>
          <w:kern w:val="0"/>
          <w:sz w:val="32"/>
          <w:szCs w:val="32"/>
          <w:shd w:val="clear" w:color="auto" w:fill="FFFFFF"/>
        </w:rPr>
        <w:t>预算管理力度不够，在今后的预算工作中，加强预算管理，更加细化和完善预算编制。</w:t>
      </w:r>
    </w:p>
    <w:p w:rsidR="00FC5B9A" w:rsidRDefault="00A50BEA" w:rsidP="00F57344">
      <w:pPr>
        <w:widowControl/>
        <w:adjustRightInd w:val="0"/>
        <w:snapToGrid w:val="0"/>
        <w:spacing w:line="578" w:lineRule="exact"/>
        <w:ind w:firstLineChars="200" w:firstLine="640"/>
        <w:contextualSpacing/>
        <w:jc w:val="left"/>
        <w:rPr>
          <w:rFonts w:ascii="楷体_GB2312" w:eastAsia="楷体_GB2312" w:hAnsi="宋体"/>
          <w:b/>
          <w:sz w:val="32"/>
          <w:szCs w:val="32"/>
          <w:lang w:val="zh-CN"/>
        </w:rPr>
      </w:pPr>
      <w:r>
        <w:rPr>
          <w:rFonts w:ascii="楷体_GB2312" w:eastAsia="楷体_GB2312" w:hAnsi="宋体" w:hint="eastAsia"/>
          <w:b/>
          <w:sz w:val="32"/>
          <w:szCs w:val="32"/>
          <w:lang w:val="zh-CN"/>
        </w:rPr>
        <w:t>（三）相关建议。</w:t>
      </w:r>
    </w:p>
    <w:p w:rsidR="00FC5B9A" w:rsidRDefault="00A50BEA">
      <w:pPr>
        <w:widowControl/>
        <w:shd w:val="clear" w:color="auto" w:fill="FFFFFF"/>
        <w:spacing w:line="560" w:lineRule="exact"/>
        <w:ind w:firstLine="640"/>
        <w:jc w:val="left"/>
        <w:rPr>
          <w:rFonts w:ascii="仿宋" w:eastAsia="仿宋" w:hAnsi="仿宋" w:cs="仿宋_GB2312"/>
          <w:sz w:val="32"/>
          <w:szCs w:val="32"/>
        </w:rPr>
      </w:pPr>
      <w:r>
        <w:rPr>
          <w:rFonts w:ascii="仿宋" w:eastAsia="仿宋" w:hAnsi="仿宋" w:hint="eastAsia"/>
          <w:kern w:val="0"/>
          <w:sz w:val="32"/>
          <w:szCs w:val="32"/>
        </w:rPr>
        <w:t>一是继续加强资金管理，使有限的资金发挥更大的效益；二</w:t>
      </w:r>
      <w:r>
        <w:rPr>
          <w:rFonts w:ascii="仿宋" w:eastAsia="仿宋" w:hAnsi="仿宋" w:cs="仿宋_GB2312" w:hint="eastAsia"/>
          <w:sz w:val="32"/>
          <w:szCs w:val="32"/>
        </w:rPr>
        <w:t>是通过查找内部管理薄弱环节，建立健全各项内控制度，规范内部权力运行、促进依法行政、推进廉政建设中的重要作用。</w:t>
      </w:r>
    </w:p>
    <w:p w:rsidR="00FC5B9A" w:rsidRDefault="00FC5B9A">
      <w:pPr>
        <w:spacing w:line="580" w:lineRule="exact"/>
        <w:rPr>
          <w:rStyle w:val="1Char"/>
          <w:rFonts w:ascii="黑体" w:eastAsia="黑体" w:hAnsi="黑体"/>
          <w:b w:val="0"/>
        </w:rPr>
      </w:pPr>
    </w:p>
    <w:p w:rsidR="00FC5B9A" w:rsidRDefault="00A50BEA">
      <w:pPr>
        <w:pStyle w:val="a0"/>
        <w:spacing w:before="93"/>
        <w:rPr>
          <w:sz w:val="32"/>
          <w:szCs w:val="32"/>
        </w:rPr>
      </w:pPr>
      <w:r>
        <w:rPr>
          <w:rStyle w:val="1Char"/>
          <w:rFonts w:ascii="黑体" w:eastAsia="黑体" w:hAnsi="黑体"/>
          <w:b w:val="0"/>
        </w:rPr>
        <w:br w:type="page"/>
      </w:r>
      <w:r>
        <w:rPr>
          <w:rFonts w:hAnsi="宋体" w:cs="宋体" w:hint="eastAsia"/>
          <w:sz w:val="32"/>
          <w:szCs w:val="32"/>
          <w:shd w:val="clear" w:color="auto" w:fill="FFFFFF"/>
          <w:lang w:val="zh-CN"/>
        </w:rPr>
        <w:lastRenderedPageBreak/>
        <w:t>附件</w:t>
      </w:r>
      <w:r>
        <w:rPr>
          <w:rFonts w:hAnsi="宋体" w:cs="宋体" w:hint="eastAsia"/>
          <w:sz w:val="32"/>
          <w:szCs w:val="32"/>
          <w:shd w:val="clear" w:color="auto" w:fill="FFFFFF"/>
        </w:rPr>
        <w:t>2</w:t>
      </w:r>
    </w:p>
    <w:p w:rsidR="00FC5B9A" w:rsidRDefault="00A50BEA">
      <w:pPr>
        <w:pStyle w:val="ac"/>
        <w:spacing w:line="578" w:lineRule="exact"/>
        <w:jc w:val="center"/>
        <w:rPr>
          <w:rFonts w:ascii="方正小标宋简体" w:eastAsia="方正小标宋简体" w:hAnsi="方正小标宋简体" w:cs="方正小标宋简体"/>
          <w:color w:val="FF0000"/>
          <w:kern w:val="2"/>
          <w:sz w:val="32"/>
          <w:szCs w:val="32"/>
          <w:lang w:val="en-US"/>
        </w:rPr>
      </w:pPr>
      <w:r>
        <w:rPr>
          <w:rFonts w:ascii="方正小标宋简体" w:eastAsia="方正小标宋简体" w:hAnsi="方正小标宋简体" w:cs="方正小标宋简体" w:hint="eastAsia"/>
          <w:color w:val="000000" w:themeColor="text1"/>
          <w:kern w:val="2"/>
          <w:sz w:val="32"/>
          <w:szCs w:val="32"/>
          <w:lang w:val="en-US"/>
        </w:rPr>
        <w:t>2022年专项资金预算项目绩效自评报告</w:t>
      </w:r>
    </w:p>
    <w:p w:rsidR="00FC5B9A" w:rsidRDefault="00FC5B9A">
      <w:pPr>
        <w:pStyle w:val="ac"/>
        <w:spacing w:line="578" w:lineRule="exact"/>
        <w:ind w:firstLine="640"/>
        <w:jc w:val="center"/>
        <w:rPr>
          <w:rFonts w:ascii="宋体" w:hAnsi="宋体"/>
          <w:color w:val="auto"/>
          <w:kern w:val="2"/>
          <w:sz w:val="32"/>
          <w:szCs w:val="32"/>
        </w:rPr>
      </w:pPr>
    </w:p>
    <w:p w:rsidR="00FC5B9A" w:rsidRDefault="00A50BEA">
      <w:pPr>
        <w:adjustRightInd w:val="0"/>
        <w:snapToGrid w:val="0"/>
        <w:spacing w:line="578" w:lineRule="exact"/>
        <w:ind w:firstLine="720"/>
        <w:rPr>
          <w:rFonts w:ascii="黑体" w:eastAsia="黑体" w:hAnsi="宋体"/>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rsidR="00FC5B9A" w:rsidRDefault="00A50BEA">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（一）项目基本情况。</w:t>
      </w:r>
    </w:p>
    <w:p w:rsidR="00FC5B9A" w:rsidRDefault="00A50BEA">
      <w:pPr>
        <w:widowControl/>
        <w:adjustRightInd w:val="0"/>
        <w:snapToGrid w:val="0"/>
        <w:spacing w:line="578" w:lineRule="exact"/>
        <w:ind w:leftChars="228" w:left="479" w:firstLineChars="50" w:firstLine="160"/>
        <w:contextualSpacing/>
        <w:jc w:val="left"/>
        <w:rPr>
          <w:rFonts w:ascii="仿宋" w:eastAsia="仿宋" w:hAnsi="仿宋" w:cs="仿宋_GB2312"/>
          <w:color w:val="FF0000"/>
          <w:kern w:val="0"/>
          <w:sz w:val="32"/>
          <w:szCs w:val="32"/>
          <w:shd w:val="clear" w:color="auto" w:fill="FFFFFF"/>
          <w:lang w:val="zh-CN"/>
        </w:rPr>
      </w:pPr>
      <w:r>
        <w:rPr>
          <w:rFonts w:ascii="仿宋" w:eastAsia="仿宋" w:hAnsi="仿宋" w:cs="仿宋_GB2312" w:hint="eastAsia"/>
          <w:kern w:val="0"/>
          <w:sz w:val="32"/>
          <w:szCs w:val="32"/>
          <w:shd w:val="clear" w:color="auto" w:fill="FFFFFF"/>
          <w:lang w:val="zh-CN"/>
        </w:rPr>
        <w:t>1．项目主管部门（单位）在该项目管理中的职能</w:t>
      </w:r>
    </w:p>
    <w:p w:rsidR="00FC5B9A" w:rsidRDefault="00A50BEA">
      <w:pPr>
        <w:widowControl/>
        <w:adjustRightInd w:val="0"/>
        <w:snapToGrid w:val="0"/>
        <w:spacing w:line="578" w:lineRule="exact"/>
        <w:ind w:firstLineChars="200" w:firstLine="640"/>
        <w:contextualSpacing/>
        <w:jc w:val="left"/>
        <w:rPr>
          <w:rFonts w:ascii="仿宋" w:eastAsia="仿宋" w:hAnsi="仿宋" w:cs="仿宋_GB2312"/>
          <w:color w:val="000000"/>
          <w:kern w:val="0"/>
          <w:sz w:val="32"/>
          <w:szCs w:val="32"/>
          <w:shd w:val="clear" w:color="auto" w:fill="FFFFFF"/>
          <w:lang w:val="zh-CN"/>
        </w:rPr>
      </w:pPr>
      <w:r>
        <w:rPr>
          <w:rFonts w:ascii="仿宋" w:eastAsia="仿宋" w:hAnsi="仿宋" w:cs="仿宋_GB2312" w:hint="eastAsia"/>
          <w:color w:val="000000"/>
          <w:kern w:val="0"/>
          <w:sz w:val="32"/>
          <w:szCs w:val="32"/>
          <w:shd w:val="clear" w:color="auto" w:fill="FFFFFF"/>
          <w:lang w:val="zh-CN"/>
        </w:rPr>
        <w:t>盐边县融媒体中心是县委直属公益一类事业单位，由县委宣传部代管，负</w:t>
      </w:r>
      <w:r>
        <w:rPr>
          <w:rFonts w:ascii="仿宋" w:eastAsia="仿宋" w:hAnsi="仿宋" w:hint="eastAsia"/>
          <w:color w:val="000000"/>
          <w:sz w:val="32"/>
          <w:szCs w:val="32"/>
          <w:lang w:val="zh-CN"/>
        </w:rPr>
        <w:t>责</w:t>
      </w:r>
      <w:r>
        <w:rPr>
          <w:rFonts w:ascii="仿宋" w:eastAsia="仿宋" w:hAnsi="仿宋" w:hint="eastAsia"/>
          <w:color w:val="000000"/>
          <w:sz w:val="32"/>
          <w:szCs w:val="32"/>
        </w:rPr>
        <w:t>全县新闻宣传报道及</w:t>
      </w:r>
      <w:r>
        <w:rPr>
          <w:rFonts w:ascii="仿宋" w:eastAsia="仿宋" w:hAnsi="仿宋" w:hint="eastAsia"/>
          <w:color w:val="000000"/>
          <w:sz w:val="32"/>
          <w:szCs w:val="32"/>
          <w:lang w:val="zh-CN"/>
        </w:rPr>
        <w:t>相</w:t>
      </w:r>
      <w:r>
        <w:rPr>
          <w:rFonts w:ascii="仿宋" w:eastAsia="仿宋" w:hAnsi="仿宋" w:cs="仿宋_GB2312" w:hint="eastAsia"/>
          <w:color w:val="000000"/>
          <w:kern w:val="0"/>
          <w:sz w:val="32"/>
          <w:szCs w:val="32"/>
          <w:shd w:val="clear" w:color="auto" w:fill="FFFFFF"/>
          <w:lang w:val="zh-CN"/>
        </w:rPr>
        <w:t xml:space="preserve">关事务性工作。 </w:t>
      </w:r>
    </w:p>
    <w:p w:rsidR="00FC5B9A" w:rsidRDefault="00A50BEA">
      <w:pPr>
        <w:widowControl/>
        <w:adjustRightInd w:val="0"/>
        <w:snapToGrid w:val="0"/>
        <w:spacing w:line="578" w:lineRule="exact"/>
        <w:ind w:firstLineChars="200" w:firstLine="640"/>
        <w:contextualSpacing/>
        <w:jc w:val="left"/>
        <w:rPr>
          <w:rFonts w:ascii="仿宋" w:eastAsia="仿宋" w:hAnsi="仿宋" w:cs="仿宋_GB2312"/>
          <w:color w:val="FF0000"/>
          <w:kern w:val="0"/>
          <w:sz w:val="32"/>
          <w:szCs w:val="32"/>
          <w:shd w:val="clear" w:color="auto" w:fill="FFFFFF"/>
          <w:lang w:val="zh-CN"/>
        </w:rPr>
      </w:pPr>
      <w:r>
        <w:rPr>
          <w:rFonts w:ascii="仿宋" w:eastAsia="仿宋" w:hAnsi="仿宋" w:cs="仿宋_GB2312" w:hint="eastAsia"/>
          <w:kern w:val="0"/>
          <w:sz w:val="32"/>
          <w:szCs w:val="32"/>
          <w:shd w:val="clear" w:color="auto" w:fill="FFFFFF"/>
          <w:lang w:val="zh-CN"/>
        </w:rPr>
        <w:t>2．项目立项、资金申报的依据，</w:t>
      </w:r>
      <w:r>
        <w:rPr>
          <w:rFonts w:ascii="仿宋" w:eastAsia="仿宋" w:hAnsi="仿宋" w:cs="仿宋_GB2312" w:hint="eastAsia"/>
          <w:kern w:val="0"/>
          <w:sz w:val="32"/>
          <w:szCs w:val="32"/>
          <w:shd w:val="clear" w:color="auto" w:fill="FFFFFF"/>
        </w:rPr>
        <w:t>包括但不限于：项目涉及的中省相关政策文件和规划、项目设立论证资料、资金安排相关文件等。</w:t>
      </w:r>
    </w:p>
    <w:p w:rsidR="00FC5B9A" w:rsidRDefault="00A50BEA">
      <w:pPr>
        <w:pStyle w:val="a0"/>
        <w:spacing w:before="93" w:line="560" w:lineRule="exact"/>
        <w:ind w:firstLineChars="200" w:firstLine="640"/>
        <w:rPr>
          <w:rFonts w:ascii="仿宋" w:eastAsia="仿宋" w:hAnsi="仿宋"/>
          <w:sz w:val="32"/>
          <w:szCs w:val="32"/>
          <w:lang w:val="zh-CN"/>
        </w:rPr>
      </w:pPr>
      <w:r>
        <w:rPr>
          <w:rFonts w:ascii="仿宋" w:eastAsia="仿宋" w:hAnsi="仿宋" w:cs="仿宋_GB2312" w:hint="eastAsia"/>
          <w:sz w:val="32"/>
          <w:szCs w:val="32"/>
        </w:rPr>
        <w:t>县财政局《关于印发2022年部门预算批复的通知》（盐边财政〔</w:t>
      </w:r>
      <w:r>
        <w:rPr>
          <w:rFonts w:ascii="仿宋" w:eastAsia="仿宋" w:hAnsi="仿宋" w:cs="仿宋_GB2312"/>
          <w:sz w:val="32"/>
          <w:szCs w:val="32"/>
        </w:rPr>
        <w:t>202</w:t>
      </w:r>
      <w:r>
        <w:rPr>
          <w:rFonts w:ascii="仿宋" w:eastAsia="仿宋" w:hAnsi="仿宋" w:cs="仿宋_GB2312" w:hint="eastAsia"/>
          <w:sz w:val="32"/>
          <w:szCs w:val="32"/>
        </w:rPr>
        <w:t>2〕8号）文件，批复县融媒体中心中央支持地方公共文化服务体系建设补助资金48万元，打造具有强大影响力和竞争力的新型主流媒体。按照“谁使用、谁负责”的原则，纳入单位财务统一管理，承担管理使用责任，作为该项目的立项依据，项目的设立符合申报条件。</w:t>
      </w:r>
    </w:p>
    <w:p w:rsidR="00FC5B9A" w:rsidRDefault="00A50BEA">
      <w:pPr>
        <w:widowControl/>
        <w:adjustRightInd w:val="0"/>
        <w:snapToGrid w:val="0"/>
        <w:spacing w:line="578" w:lineRule="exact"/>
        <w:ind w:firstLineChars="200" w:firstLine="640"/>
        <w:contextualSpacing/>
        <w:jc w:val="left"/>
        <w:rPr>
          <w:rFonts w:ascii="仿宋" w:eastAsia="仿宋" w:hAnsi="仿宋" w:cs="仿宋_GB2312"/>
          <w:color w:val="FF0000"/>
          <w:kern w:val="0"/>
          <w:sz w:val="32"/>
          <w:szCs w:val="32"/>
          <w:shd w:val="clear" w:color="auto" w:fill="FFFFFF"/>
        </w:rPr>
      </w:pPr>
      <w:r>
        <w:rPr>
          <w:rFonts w:ascii="仿宋" w:eastAsia="仿宋" w:hAnsi="仿宋" w:cs="仿宋_GB2312" w:hint="eastAsia"/>
          <w:kern w:val="0"/>
          <w:sz w:val="32"/>
          <w:szCs w:val="32"/>
          <w:shd w:val="clear" w:color="auto" w:fill="FFFFFF"/>
          <w:lang w:val="zh-CN"/>
        </w:rPr>
        <w:t>3．资金</w:t>
      </w:r>
      <w:r>
        <w:rPr>
          <w:rFonts w:ascii="仿宋" w:eastAsia="仿宋" w:hAnsi="仿宋" w:cs="仿宋_GB2312" w:hint="eastAsia"/>
          <w:kern w:val="0"/>
          <w:sz w:val="32"/>
          <w:szCs w:val="32"/>
          <w:shd w:val="clear" w:color="auto" w:fill="FFFFFF"/>
        </w:rPr>
        <w:t>或项目</w:t>
      </w:r>
      <w:r>
        <w:rPr>
          <w:rFonts w:ascii="仿宋" w:eastAsia="仿宋" w:hAnsi="仿宋" w:cs="仿宋_GB2312" w:hint="eastAsia"/>
          <w:kern w:val="0"/>
          <w:sz w:val="32"/>
          <w:szCs w:val="32"/>
          <w:shd w:val="clear" w:color="auto" w:fill="FFFFFF"/>
          <w:lang w:val="zh-CN"/>
        </w:rPr>
        <w:t>管理办法制定情况，资金支持具体项目的条件、范围与支持方式概况。</w:t>
      </w:r>
    </w:p>
    <w:p w:rsidR="00FC5B9A" w:rsidRDefault="00A50BEA">
      <w:pPr>
        <w:widowControl/>
        <w:spacing w:line="590" w:lineRule="exact"/>
        <w:ind w:firstLineChars="200" w:firstLine="640"/>
        <w:rPr>
          <w:rFonts w:ascii="仿宋" w:eastAsia="仿宋" w:hAnsi="仿宋"/>
          <w:sz w:val="32"/>
          <w:szCs w:val="32"/>
        </w:rPr>
      </w:pPr>
      <w:r>
        <w:rPr>
          <w:rFonts w:ascii="仿宋" w:eastAsia="仿宋" w:hAnsi="仿宋" w:cs="仿宋_GB2312" w:hint="eastAsia"/>
          <w:sz w:val="32"/>
          <w:szCs w:val="32"/>
        </w:rPr>
        <w:t>县融媒体中心管理制度健全，已制定相应的财务和业务管理制度，制度合法、合规、完整。项目资金使用合规，符合财经法规和财务管理制度以及有关专项资金管理办法的规定，有完整的审批程序和手续，符合项目预算规定的用途，</w:t>
      </w:r>
      <w:r>
        <w:rPr>
          <w:rFonts w:ascii="仿宋" w:eastAsia="仿宋" w:hAnsi="仿宋" w:cs="仿宋_GB2312" w:hint="eastAsia"/>
          <w:sz w:val="32"/>
          <w:szCs w:val="32"/>
        </w:rPr>
        <w:lastRenderedPageBreak/>
        <w:t>不存在截留、挤占、挪用、虚列支出等情况。资金到位率</w:t>
      </w:r>
      <w:r>
        <w:rPr>
          <w:rFonts w:ascii="仿宋" w:eastAsia="仿宋" w:hAnsi="仿宋" w:cs="仿宋_GB2312"/>
          <w:sz w:val="32"/>
          <w:szCs w:val="32"/>
        </w:rPr>
        <w:t>100%</w:t>
      </w:r>
      <w:r>
        <w:rPr>
          <w:rFonts w:ascii="仿宋" w:eastAsia="仿宋" w:hAnsi="仿宋" w:cs="仿宋_GB2312" w:hint="eastAsia"/>
          <w:sz w:val="32"/>
          <w:szCs w:val="32"/>
        </w:rPr>
        <w:t>，预算执行率</w:t>
      </w:r>
      <w:r>
        <w:rPr>
          <w:rFonts w:ascii="仿宋" w:eastAsia="仿宋" w:hAnsi="仿宋" w:cs="仿宋_GB2312"/>
          <w:sz w:val="32"/>
          <w:szCs w:val="32"/>
        </w:rPr>
        <w:t>100%</w:t>
      </w:r>
      <w:r>
        <w:rPr>
          <w:rFonts w:ascii="仿宋" w:eastAsia="仿宋" w:hAnsi="仿宋" w:cs="仿宋_GB2312" w:hint="eastAsia"/>
          <w:sz w:val="32"/>
          <w:szCs w:val="32"/>
        </w:rPr>
        <w:t>。</w:t>
      </w:r>
    </w:p>
    <w:p w:rsidR="00FC5B9A" w:rsidRDefault="00A50BEA">
      <w:pPr>
        <w:widowControl/>
        <w:adjustRightInd w:val="0"/>
        <w:snapToGrid w:val="0"/>
        <w:spacing w:line="578" w:lineRule="exact"/>
        <w:ind w:firstLineChars="200" w:firstLine="640"/>
        <w:contextualSpacing/>
        <w:jc w:val="left"/>
        <w:rPr>
          <w:rFonts w:ascii="仿宋" w:eastAsia="仿宋" w:hAnsi="仿宋" w:cs="仿宋_GB2312"/>
          <w:kern w:val="0"/>
          <w:sz w:val="32"/>
          <w:szCs w:val="32"/>
          <w:shd w:val="clear" w:color="auto" w:fill="FFFFFF"/>
          <w:lang w:val="zh-CN"/>
        </w:rPr>
      </w:pPr>
      <w:r>
        <w:rPr>
          <w:rFonts w:ascii="仿宋" w:eastAsia="仿宋" w:hAnsi="仿宋" w:cs="仿宋_GB2312" w:hint="eastAsia"/>
          <w:kern w:val="0"/>
          <w:sz w:val="32"/>
          <w:szCs w:val="32"/>
          <w:shd w:val="clear" w:color="auto" w:fill="FFFFFF"/>
          <w:lang w:val="zh-CN"/>
        </w:rPr>
        <w:t>4．资金分配的原则及考虑因素。</w:t>
      </w:r>
    </w:p>
    <w:p w:rsidR="00FC5B9A" w:rsidRDefault="00A50BEA">
      <w:pPr>
        <w:widowControl/>
        <w:adjustRightInd w:val="0"/>
        <w:snapToGrid w:val="0"/>
        <w:spacing w:line="578" w:lineRule="exact"/>
        <w:ind w:firstLineChars="200" w:firstLine="640"/>
        <w:contextualSpacing/>
        <w:jc w:val="left"/>
        <w:rPr>
          <w:rFonts w:ascii="仿宋" w:eastAsia="仿宋" w:hAnsi="仿宋" w:cs="仿宋_GB2312"/>
          <w:kern w:val="0"/>
          <w:sz w:val="32"/>
          <w:szCs w:val="32"/>
          <w:shd w:val="clear" w:color="auto" w:fill="FFFFFF"/>
          <w:lang w:val="zh-CN"/>
        </w:rPr>
      </w:pPr>
      <w:r>
        <w:rPr>
          <w:rFonts w:ascii="仿宋" w:eastAsia="仿宋" w:hAnsi="仿宋" w:hint="eastAsia"/>
          <w:kern w:val="0"/>
          <w:sz w:val="32"/>
          <w:szCs w:val="32"/>
        </w:rPr>
        <w:t>该笔资金全部用于县融媒体中心建设改造项目，实行专款专用。</w:t>
      </w:r>
    </w:p>
    <w:p w:rsidR="00FC5B9A" w:rsidRDefault="00A50BEA">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（二）项目绩效目标。</w:t>
      </w:r>
    </w:p>
    <w:p w:rsidR="00FC5B9A" w:rsidRDefault="00A50BEA">
      <w:pPr>
        <w:widowControl/>
        <w:adjustRightInd w:val="0"/>
        <w:snapToGrid w:val="0"/>
        <w:spacing w:line="578" w:lineRule="exact"/>
        <w:ind w:firstLineChars="200" w:firstLine="640"/>
        <w:contextualSpacing/>
        <w:jc w:val="left"/>
        <w:rPr>
          <w:rFonts w:ascii="仿宋" w:eastAsia="仿宋" w:hAnsi="仿宋" w:cs="仿宋_GB2312"/>
          <w:kern w:val="0"/>
          <w:sz w:val="32"/>
          <w:szCs w:val="32"/>
          <w:shd w:val="clear" w:color="auto" w:fill="FFFFFF"/>
          <w:lang w:val="zh-CN"/>
        </w:rPr>
      </w:pPr>
      <w:r>
        <w:rPr>
          <w:rFonts w:ascii="仿宋" w:eastAsia="仿宋" w:hAnsi="仿宋" w:cs="仿宋_GB2312" w:hint="eastAsia"/>
          <w:kern w:val="0"/>
          <w:sz w:val="32"/>
          <w:szCs w:val="32"/>
          <w:shd w:val="clear" w:color="auto" w:fill="FFFFFF"/>
          <w:lang w:val="zh-CN"/>
        </w:rPr>
        <w:t>1．项目主要内容。</w:t>
      </w:r>
    </w:p>
    <w:p w:rsidR="00FC5B9A" w:rsidRDefault="00A50BEA">
      <w:pPr>
        <w:spacing w:line="590" w:lineRule="exact"/>
        <w:ind w:firstLine="620"/>
        <w:rPr>
          <w:rFonts w:ascii="仿宋" w:eastAsia="仿宋" w:hAnsi="仿宋" w:cs="仿宋_GB2312"/>
          <w:sz w:val="32"/>
          <w:szCs w:val="32"/>
        </w:rPr>
      </w:pPr>
      <w:r>
        <w:rPr>
          <w:rFonts w:ascii="仿宋" w:eastAsia="仿宋" w:hAnsi="仿宋" w:cs="仿宋_GB2312" w:hint="eastAsia"/>
          <w:sz w:val="32"/>
          <w:szCs w:val="32"/>
        </w:rPr>
        <w:t>为推动媒体融合不断向纵深发展，将县融媒体中心建成一个传播力、影响力、引导力、公信力、竞争力强大的主流舆论媒体，主流平台，需要进一步优化流程、再造平台，打造新型主流媒体传播矩阵。</w:t>
      </w:r>
    </w:p>
    <w:p w:rsidR="00FC5B9A" w:rsidRDefault="00A50BEA">
      <w:pPr>
        <w:widowControl/>
        <w:adjustRightInd w:val="0"/>
        <w:snapToGrid w:val="0"/>
        <w:spacing w:line="578" w:lineRule="exact"/>
        <w:ind w:firstLineChars="200" w:firstLine="640"/>
        <w:contextualSpacing/>
        <w:jc w:val="left"/>
        <w:rPr>
          <w:rFonts w:ascii="仿宋" w:eastAsia="仿宋" w:hAnsi="仿宋" w:cs="仿宋_GB2312"/>
          <w:kern w:val="0"/>
          <w:sz w:val="32"/>
          <w:szCs w:val="32"/>
          <w:shd w:val="clear" w:color="auto" w:fill="FFFFFF"/>
          <w:lang w:val="zh-CN"/>
        </w:rPr>
      </w:pPr>
      <w:r>
        <w:rPr>
          <w:rFonts w:ascii="仿宋" w:eastAsia="仿宋" w:hAnsi="仿宋" w:cs="仿宋_GB2312" w:hint="eastAsia"/>
          <w:kern w:val="0"/>
          <w:sz w:val="32"/>
          <w:szCs w:val="32"/>
          <w:shd w:val="clear" w:color="auto" w:fill="FFFFFF"/>
          <w:lang w:val="zh-CN"/>
        </w:rPr>
        <w:t>2．项目应实现的具体绩效目标，</w:t>
      </w:r>
      <w:r>
        <w:rPr>
          <w:rFonts w:ascii="仿宋" w:eastAsia="仿宋" w:hAnsi="仿宋" w:cs="仿宋_GB2312" w:hint="eastAsia"/>
          <w:kern w:val="0"/>
          <w:sz w:val="32"/>
          <w:szCs w:val="32"/>
          <w:shd w:val="clear" w:color="auto" w:fill="FFFFFF"/>
        </w:rPr>
        <w:t>包括但不限于：绩效</w:t>
      </w:r>
      <w:r>
        <w:rPr>
          <w:rFonts w:ascii="仿宋" w:eastAsia="仿宋" w:hAnsi="仿宋" w:cs="仿宋_GB2312" w:hint="eastAsia"/>
          <w:kern w:val="0"/>
          <w:sz w:val="32"/>
          <w:szCs w:val="32"/>
          <w:shd w:val="clear" w:color="auto" w:fill="FFFFFF"/>
          <w:lang w:val="zh-CN"/>
        </w:rPr>
        <w:t>目标的量化细化情况、项目实施进度计划等。</w:t>
      </w:r>
    </w:p>
    <w:p w:rsidR="00FC5B9A" w:rsidRDefault="00A50BEA">
      <w:pPr>
        <w:spacing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盐边县融媒体中心紧紧围绕县委、县政府中心工作，充分发挥新闻媒体的职能作用，全面展示我县时政、各条战线和广大农村生产生活，为全县经济社会高质量发展起到极大助推作用。融媒体中心播控、录制平台是整个宣传阵地的核心管理，主要具备日常广播电视节目录制、语音切播、播发控制、设备信息管理、系统运行监控、安全认证等功能，是政策宣传、普及法律知识、传播文明及信息的重要载体。</w:t>
      </w:r>
    </w:p>
    <w:p w:rsidR="00FC5B9A" w:rsidRDefault="00A50BEA">
      <w:pPr>
        <w:widowControl/>
        <w:adjustRightInd w:val="0"/>
        <w:snapToGrid w:val="0"/>
        <w:spacing w:line="578" w:lineRule="exact"/>
        <w:ind w:firstLineChars="200" w:firstLine="640"/>
        <w:contextualSpacing/>
        <w:jc w:val="left"/>
        <w:rPr>
          <w:rFonts w:ascii="仿宋" w:eastAsia="仿宋" w:hAnsi="仿宋" w:cs="仿宋_GB2312"/>
          <w:kern w:val="0"/>
          <w:sz w:val="32"/>
          <w:szCs w:val="32"/>
          <w:shd w:val="clear" w:color="auto" w:fill="FFFFFF"/>
          <w:lang w:val="zh-CN"/>
        </w:rPr>
      </w:pPr>
      <w:r>
        <w:rPr>
          <w:rFonts w:ascii="仿宋" w:eastAsia="仿宋" w:hAnsi="仿宋" w:cs="仿宋_GB2312" w:hint="eastAsia"/>
          <w:kern w:val="0"/>
          <w:sz w:val="32"/>
          <w:szCs w:val="32"/>
          <w:shd w:val="clear" w:color="auto" w:fill="FFFFFF"/>
          <w:lang w:val="zh-CN"/>
        </w:rPr>
        <w:t>3．分析评价申报内容是否与实际相符，申报目标是否合理可行。</w:t>
      </w:r>
    </w:p>
    <w:p w:rsidR="00FC5B9A" w:rsidRDefault="00A50BEA">
      <w:pPr>
        <w:pStyle w:val="a8"/>
        <w:widowControl/>
        <w:shd w:val="clear" w:color="auto" w:fill="FFFFFF"/>
        <w:spacing w:beforeAutospacing="0" w:afterAutospacing="0" w:line="560" w:lineRule="exact"/>
        <w:ind w:firstLineChars="200" w:firstLine="640"/>
        <w:jc w:val="both"/>
        <w:rPr>
          <w:rFonts w:ascii="仿宋" w:eastAsia="仿宋" w:hAnsi="仿宋" w:cs="仿宋_GB2312"/>
          <w:sz w:val="32"/>
          <w:szCs w:val="32"/>
        </w:rPr>
      </w:pPr>
      <w:r>
        <w:rPr>
          <w:rFonts w:ascii="仿宋" w:eastAsia="仿宋" w:hAnsi="仿宋" w:cs="仿宋_GB2312" w:hint="eastAsia"/>
          <w:sz w:val="32"/>
          <w:szCs w:val="32"/>
        </w:rPr>
        <w:t>我单位对项目资金做到了科学计划，申报内容与具体实施内容相符，申报目标合理可行。</w:t>
      </w:r>
    </w:p>
    <w:p w:rsidR="00FC5B9A" w:rsidRDefault="00A50BEA">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lastRenderedPageBreak/>
        <w:t>（三）项目自评步骤及方法。</w:t>
      </w:r>
    </w:p>
    <w:p w:rsidR="00FC5B9A" w:rsidRDefault="00A50BEA">
      <w:pPr>
        <w:widowControl/>
        <w:adjustRightInd w:val="0"/>
        <w:snapToGrid w:val="0"/>
        <w:spacing w:line="576" w:lineRule="exact"/>
        <w:ind w:firstLine="645"/>
        <w:contextualSpacing/>
        <w:jc w:val="left"/>
        <w:rPr>
          <w:rFonts w:ascii="仿宋" w:eastAsia="仿宋" w:hAnsi="仿宋" w:cs="宋体"/>
          <w:kern w:val="0"/>
          <w:sz w:val="32"/>
          <w:szCs w:val="32"/>
          <w:shd w:val="clear" w:color="auto" w:fill="FFFFFF"/>
          <w:lang w:val="zh-CN"/>
        </w:rPr>
      </w:pPr>
      <w:r>
        <w:rPr>
          <w:rFonts w:ascii="仿宋" w:eastAsia="仿宋" w:hAnsi="仿宋" w:cs="宋体"/>
          <w:kern w:val="0"/>
          <w:sz w:val="32"/>
          <w:szCs w:val="32"/>
          <w:shd w:val="clear" w:color="auto" w:fill="FFFFFF"/>
        </w:rPr>
        <w:t>1.</w:t>
      </w:r>
      <w:r>
        <w:rPr>
          <w:rFonts w:ascii="仿宋" w:eastAsia="仿宋" w:hAnsi="仿宋" w:cs="宋体" w:hint="eastAsia"/>
          <w:kern w:val="0"/>
          <w:sz w:val="32"/>
          <w:szCs w:val="32"/>
          <w:shd w:val="clear" w:color="auto" w:fill="FFFFFF"/>
        </w:rPr>
        <w:t>前期准备。</w:t>
      </w:r>
      <w:r>
        <w:rPr>
          <w:rFonts w:ascii="仿宋" w:eastAsia="仿宋" w:hAnsi="仿宋" w:cs="宋体" w:hint="eastAsia"/>
          <w:kern w:val="0"/>
          <w:sz w:val="32"/>
          <w:szCs w:val="32"/>
          <w:shd w:val="clear" w:color="auto" w:fill="FFFFFF"/>
          <w:lang w:val="zh-CN"/>
        </w:rPr>
        <w:t>成立绩效评价工作领导小组、绩效评价工作组，召开评价工作安排部署会，制定了整体支出绩效评价的工作方案、评价指标，明确了绩效目标。</w:t>
      </w:r>
    </w:p>
    <w:p w:rsidR="00FC5B9A" w:rsidRDefault="00A50BEA">
      <w:pPr>
        <w:widowControl/>
        <w:adjustRightInd w:val="0"/>
        <w:snapToGrid w:val="0"/>
        <w:spacing w:line="576" w:lineRule="exact"/>
        <w:ind w:firstLine="645"/>
        <w:contextualSpacing/>
        <w:jc w:val="left"/>
        <w:rPr>
          <w:rFonts w:ascii="仿宋" w:eastAsia="仿宋" w:hAnsi="仿宋" w:cs="宋体"/>
          <w:kern w:val="0"/>
          <w:sz w:val="32"/>
          <w:szCs w:val="32"/>
          <w:shd w:val="clear" w:color="auto" w:fill="FFFFFF"/>
          <w:lang w:val="zh-CN"/>
        </w:rPr>
      </w:pPr>
      <w:r>
        <w:rPr>
          <w:rFonts w:ascii="仿宋" w:eastAsia="仿宋" w:hAnsi="仿宋" w:cs="宋体"/>
          <w:kern w:val="0"/>
          <w:sz w:val="32"/>
          <w:szCs w:val="32"/>
          <w:shd w:val="clear" w:color="auto" w:fill="FFFFFF"/>
        </w:rPr>
        <w:t>2.</w:t>
      </w:r>
      <w:r>
        <w:rPr>
          <w:rFonts w:ascii="仿宋" w:eastAsia="仿宋" w:hAnsi="仿宋" w:cs="宋体" w:hint="eastAsia"/>
          <w:kern w:val="0"/>
          <w:sz w:val="32"/>
          <w:szCs w:val="32"/>
          <w:shd w:val="clear" w:color="auto" w:fill="FFFFFF"/>
          <w:lang w:val="zh-CN"/>
        </w:rPr>
        <w:t>组织实施。中心绩效评价工作组根据绩效评价的基本原理、原则和项目特点，结合绩效目标，按确定的评价指标体系、评分标准、评价方法和相关的工作程序和步骤，通过核实数据、查阅资料、归纳汇总等步骤在规定的时间节点内开展绩效自评工作。</w:t>
      </w:r>
    </w:p>
    <w:p w:rsidR="00FC5B9A" w:rsidRDefault="00A50BEA">
      <w:pPr>
        <w:widowControl/>
        <w:adjustRightInd w:val="0"/>
        <w:snapToGrid w:val="0"/>
        <w:spacing w:line="576" w:lineRule="exact"/>
        <w:ind w:firstLine="645"/>
        <w:contextualSpacing/>
        <w:jc w:val="left"/>
        <w:rPr>
          <w:rFonts w:ascii="仿宋" w:eastAsia="仿宋" w:hAnsi="仿宋"/>
          <w:kern w:val="0"/>
          <w:sz w:val="32"/>
          <w:szCs w:val="32"/>
          <w:lang w:val="zh-CN"/>
        </w:rPr>
      </w:pPr>
      <w:r>
        <w:rPr>
          <w:rFonts w:ascii="仿宋" w:eastAsia="仿宋" w:hAnsi="仿宋" w:cs="宋体"/>
          <w:kern w:val="0"/>
          <w:sz w:val="32"/>
          <w:szCs w:val="32"/>
          <w:shd w:val="clear" w:color="auto" w:fill="FFFFFF"/>
        </w:rPr>
        <w:t>3.</w:t>
      </w:r>
      <w:r>
        <w:rPr>
          <w:rFonts w:ascii="仿宋" w:eastAsia="仿宋" w:hAnsi="仿宋" w:cs="宋体" w:hint="eastAsia"/>
          <w:kern w:val="0"/>
          <w:sz w:val="32"/>
          <w:szCs w:val="32"/>
          <w:shd w:val="clear" w:color="auto" w:fill="FFFFFF"/>
          <w:lang w:val="zh-CN"/>
        </w:rPr>
        <w:t>分析评价。该项目各项目标达到了相应时期执行进度，项目经费按预算实施，</w:t>
      </w:r>
      <w:r>
        <w:rPr>
          <w:rFonts w:ascii="仿宋" w:eastAsia="仿宋" w:hAnsi="仿宋" w:cs="宋体" w:hint="eastAsia"/>
          <w:kern w:val="0"/>
          <w:sz w:val="32"/>
          <w:szCs w:val="32"/>
          <w:shd w:val="clear" w:color="auto" w:fill="FFFFFF"/>
        </w:rPr>
        <w:t>经过定量和定性分析形成评价结论，经过复核和交换意见后，形成绩效评价报告。</w:t>
      </w:r>
    </w:p>
    <w:p w:rsidR="00FC5B9A" w:rsidRDefault="00A50BEA">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二、项目资金申报及使用情况</w:t>
      </w:r>
    </w:p>
    <w:p w:rsidR="00FC5B9A" w:rsidRDefault="00A50BEA">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（一）项目资金申报及批复情况。</w:t>
      </w:r>
    </w:p>
    <w:p w:rsidR="00FC5B9A" w:rsidRDefault="00A50BEA">
      <w:pPr>
        <w:pStyle w:val="a0"/>
        <w:spacing w:before="93"/>
        <w:ind w:firstLineChars="200" w:firstLine="640"/>
        <w:rPr>
          <w:rFonts w:ascii="仿宋" w:eastAsia="仿宋" w:hAnsi="仿宋"/>
          <w:sz w:val="32"/>
          <w:szCs w:val="32"/>
          <w:lang w:val="zh-CN"/>
        </w:rPr>
      </w:pPr>
      <w:r>
        <w:rPr>
          <w:rFonts w:ascii="仿宋" w:eastAsia="仿宋" w:hAnsi="仿宋" w:cs="仿宋_GB2312" w:hint="eastAsia"/>
          <w:sz w:val="32"/>
          <w:szCs w:val="32"/>
        </w:rPr>
        <w:t>为推动媒体融合不断向纵深发展，将县融媒体中心建成一个传播力、影响力、引导力、公信力、竞争力强大的主流舆论媒体，主流平台，需要进一步优化流程、再造平台，打造新型主流媒体传播矩阵。县财政局《关于印发2022年部门预算批复的通知》（盐边财政〔</w:t>
      </w:r>
      <w:r>
        <w:rPr>
          <w:rFonts w:ascii="仿宋" w:eastAsia="仿宋" w:hAnsi="仿宋" w:cs="仿宋_GB2312"/>
          <w:sz w:val="32"/>
          <w:szCs w:val="32"/>
        </w:rPr>
        <w:t>202</w:t>
      </w:r>
      <w:r>
        <w:rPr>
          <w:rFonts w:ascii="仿宋" w:eastAsia="仿宋" w:hAnsi="仿宋" w:cs="仿宋_GB2312" w:hint="eastAsia"/>
          <w:sz w:val="32"/>
          <w:szCs w:val="32"/>
        </w:rPr>
        <w:t>2〕8号）文件，批复县融媒体中心中央支持地方公共文化服务体系建设补助资金48万元，打造具有强大影响力和竞争力的新型主流媒体。</w:t>
      </w:r>
    </w:p>
    <w:p w:rsidR="00FC5B9A" w:rsidRDefault="00B712B0">
      <w:pPr>
        <w:adjustRightInd w:val="0"/>
        <w:snapToGrid w:val="0"/>
        <w:spacing w:line="578" w:lineRule="exact"/>
        <w:ind w:firstLine="720"/>
        <w:rPr>
          <w:rFonts w:ascii="仿宋_GB2312" w:hAnsi="宋体"/>
          <w:sz w:val="32"/>
          <w:szCs w:val="32"/>
          <w:lang w:val="zh-CN"/>
        </w:rPr>
      </w:pPr>
      <w:r>
        <w:rPr>
          <w:rFonts w:ascii="楷体_GB2312" w:eastAsia="楷体_GB2312" w:hAnsi="宋体" w:hint="eastAsia"/>
          <w:b/>
          <w:sz w:val="32"/>
          <w:szCs w:val="32"/>
          <w:lang w:val="zh-CN"/>
        </w:rPr>
        <w:t>（二）资金计划、到位及使用情况</w:t>
      </w:r>
      <w:r w:rsidR="00A50BEA">
        <w:rPr>
          <w:rFonts w:ascii="楷体_GB2312" w:eastAsia="楷体_GB2312" w:hAnsi="宋体" w:hint="eastAsia"/>
          <w:b/>
          <w:sz w:val="32"/>
          <w:szCs w:val="32"/>
          <w:lang w:val="zh-CN"/>
        </w:rPr>
        <w:t>。</w:t>
      </w:r>
    </w:p>
    <w:p w:rsidR="00FC5B9A" w:rsidRDefault="00A50BEA">
      <w:pPr>
        <w:widowControl/>
        <w:adjustRightInd w:val="0"/>
        <w:snapToGrid w:val="0"/>
        <w:spacing w:line="578" w:lineRule="exact"/>
        <w:ind w:firstLineChars="200" w:firstLine="640"/>
        <w:contextualSpacing/>
        <w:jc w:val="left"/>
        <w:rPr>
          <w:rFonts w:ascii="仿宋" w:eastAsia="仿宋" w:hAnsi="仿宋" w:cs="仿宋_GB2312"/>
          <w:sz w:val="32"/>
          <w:szCs w:val="32"/>
        </w:rPr>
      </w:pPr>
      <w:r>
        <w:rPr>
          <w:rFonts w:ascii="仿宋" w:eastAsia="仿宋" w:hAnsi="仿宋" w:cs="仿宋_GB2312" w:hint="eastAsia"/>
          <w:kern w:val="0"/>
          <w:sz w:val="32"/>
          <w:szCs w:val="32"/>
          <w:shd w:val="clear" w:color="auto" w:fill="FFFFFF"/>
          <w:lang w:val="zh-CN"/>
        </w:rPr>
        <w:lastRenderedPageBreak/>
        <w:t>1</w:t>
      </w:r>
      <w:r>
        <w:rPr>
          <w:rFonts w:ascii="仿宋" w:eastAsia="仿宋" w:hAnsi="仿宋" w:cs="仿宋_GB2312" w:hint="eastAsia"/>
          <w:color w:val="000000" w:themeColor="text1"/>
          <w:kern w:val="0"/>
          <w:sz w:val="32"/>
          <w:szCs w:val="32"/>
          <w:shd w:val="clear" w:color="auto" w:fill="FFFFFF"/>
          <w:lang w:val="zh-CN"/>
        </w:rPr>
        <w:t>．资金计划。</w:t>
      </w:r>
      <w:r>
        <w:rPr>
          <w:rFonts w:ascii="仿宋" w:eastAsia="仿宋" w:hAnsi="仿宋" w:hint="eastAsia"/>
          <w:kern w:val="0"/>
          <w:sz w:val="32"/>
          <w:szCs w:val="32"/>
        </w:rPr>
        <w:t>中共四川省委宣传部关于下达2021年中央支持地方公共文化服务体系建设补助资金预算（县级融媒体中心建设项目）的通知（川财教【2021】41号）文件，盐边财政2021年6月下达专项资金未使用，2022年3月预算批复继续使用</w:t>
      </w:r>
      <w:r>
        <w:rPr>
          <w:rFonts w:ascii="仿宋" w:eastAsia="仿宋" w:hAnsi="仿宋" w:cs="仿宋_GB2312" w:hint="eastAsia"/>
          <w:sz w:val="32"/>
          <w:szCs w:val="32"/>
        </w:rPr>
        <w:t>。</w:t>
      </w:r>
    </w:p>
    <w:p w:rsidR="00FC5B9A" w:rsidRDefault="00A50BEA">
      <w:pPr>
        <w:widowControl/>
        <w:adjustRightInd w:val="0"/>
        <w:snapToGrid w:val="0"/>
        <w:spacing w:line="578" w:lineRule="exact"/>
        <w:ind w:firstLineChars="200" w:firstLine="640"/>
        <w:contextualSpacing/>
        <w:jc w:val="left"/>
        <w:rPr>
          <w:rFonts w:ascii="仿宋" w:eastAsia="仿宋" w:hAnsi="仿宋" w:cs="仿宋_GB2312"/>
          <w:color w:val="FF0000"/>
          <w:kern w:val="0"/>
          <w:sz w:val="32"/>
          <w:szCs w:val="32"/>
          <w:shd w:val="clear" w:color="auto" w:fill="FFFFFF"/>
          <w:lang w:val="zh-CN"/>
        </w:rPr>
      </w:pPr>
      <w:r>
        <w:rPr>
          <w:rFonts w:ascii="仿宋" w:eastAsia="仿宋" w:hAnsi="仿宋" w:cs="仿宋_GB2312" w:hint="eastAsia"/>
          <w:color w:val="000000" w:themeColor="text1"/>
          <w:kern w:val="0"/>
          <w:sz w:val="32"/>
          <w:szCs w:val="32"/>
          <w:shd w:val="clear" w:color="auto" w:fill="FFFFFF"/>
          <w:lang w:val="zh-CN"/>
        </w:rPr>
        <w:t>2．资金到位。</w:t>
      </w:r>
    </w:p>
    <w:p w:rsidR="00FC5B9A" w:rsidRDefault="00A50BEA">
      <w:pPr>
        <w:autoSpaceDE w:val="0"/>
        <w:autoSpaceDN w:val="0"/>
        <w:adjustRightInd w:val="0"/>
        <w:spacing w:line="560" w:lineRule="exact"/>
        <w:ind w:firstLineChars="200" w:firstLine="640"/>
        <w:jc w:val="left"/>
        <w:rPr>
          <w:rFonts w:ascii="仿宋" w:eastAsia="仿宋" w:hAnsi="仿宋"/>
          <w:kern w:val="0"/>
          <w:sz w:val="32"/>
          <w:szCs w:val="32"/>
        </w:rPr>
      </w:pPr>
      <w:r>
        <w:rPr>
          <w:rFonts w:ascii="仿宋" w:eastAsia="仿宋" w:hAnsi="仿宋" w:hint="eastAsia"/>
          <w:kern w:val="0"/>
          <w:sz w:val="32"/>
          <w:szCs w:val="32"/>
        </w:rPr>
        <w:t>根据</w:t>
      </w:r>
      <w:r>
        <w:rPr>
          <w:rFonts w:ascii="仿宋" w:eastAsia="仿宋" w:hAnsi="仿宋" w:cs="仿宋_GB2312" w:hint="eastAsia"/>
          <w:sz w:val="32"/>
          <w:szCs w:val="32"/>
        </w:rPr>
        <w:t>（盐边财政〔</w:t>
      </w:r>
      <w:r>
        <w:rPr>
          <w:rFonts w:ascii="仿宋" w:eastAsia="仿宋" w:hAnsi="仿宋" w:cs="仿宋_GB2312"/>
          <w:sz w:val="32"/>
          <w:szCs w:val="32"/>
        </w:rPr>
        <w:t>202</w:t>
      </w:r>
      <w:r>
        <w:rPr>
          <w:rFonts w:ascii="仿宋" w:eastAsia="仿宋" w:hAnsi="仿宋" w:cs="仿宋_GB2312" w:hint="eastAsia"/>
          <w:sz w:val="32"/>
          <w:szCs w:val="32"/>
        </w:rPr>
        <w:t>2〕8号）文件，批复</w:t>
      </w:r>
      <w:r>
        <w:rPr>
          <w:rFonts w:ascii="仿宋" w:eastAsia="仿宋" w:hAnsi="仿宋" w:hint="eastAsia"/>
          <w:kern w:val="0"/>
          <w:sz w:val="32"/>
          <w:szCs w:val="32"/>
        </w:rPr>
        <w:t>县融媒体中心专项资金48万元并足额到位，</w:t>
      </w:r>
      <w:r>
        <w:rPr>
          <w:rFonts w:ascii="仿宋" w:eastAsia="仿宋" w:hAnsi="仿宋" w:cs="仿宋_GB2312" w:hint="eastAsia"/>
          <w:color w:val="000000"/>
          <w:sz w:val="32"/>
          <w:szCs w:val="32"/>
          <w:shd w:val="clear" w:color="auto" w:fill="FFFFFF"/>
        </w:rPr>
        <w:t>我单位按照工作实际开展情况已按进度使用。</w:t>
      </w:r>
    </w:p>
    <w:p w:rsidR="00FC5B9A" w:rsidRDefault="00A50BEA">
      <w:pPr>
        <w:widowControl/>
        <w:adjustRightInd w:val="0"/>
        <w:snapToGrid w:val="0"/>
        <w:spacing w:line="578" w:lineRule="exact"/>
        <w:ind w:firstLineChars="200" w:firstLine="640"/>
        <w:contextualSpacing/>
        <w:jc w:val="left"/>
        <w:rPr>
          <w:rFonts w:ascii="仿宋" w:eastAsia="仿宋" w:hAnsi="仿宋" w:cs="仿宋_GB2312"/>
          <w:color w:val="FF0000"/>
          <w:kern w:val="0"/>
          <w:sz w:val="32"/>
          <w:szCs w:val="32"/>
          <w:shd w:val="clear" w:color="auto" w:fill="FFFFFF"/>
          <w:lang w:val="zh-CN"/>
        </w:rPr>
      </w:pPr>
      <w:r>
        <w:rPr>
          <w:rFonts w:ascii="仿宋" w:eastAsia="仿宋" w:hAnsi="仿宋" w:cs="仿宋_GB2312" w:hint="eastAsia"/>
          <w:kern w:val="0"/>
          <w:sz w:val="32"/>
          <w:szCs w:val="32"/>
          <w:shd w:val="clear" w:color="auto" w:fill="FFFFFF"/>
          <w:lang w:val="zh-CN"/>
        </w:rPr>
        <w:t>3．资金使用。</w:t>
      </w:r>
    </w:p>
    <w:p w:rsidR="00FC5B9A" w:rsidRDefault="00A50BEA">
      <w:pPr>
        <w:autoSpaceDE w:val="0"/>
        <w:autoSpaceDN w:val="0"/>
        <w:adjustRightInd w:val="0"/>
        <w:spacing w:line="560" w:lineRule="exact"/>
        <w:ind w:firstLineChars="200" w:firstLine="640"/>
        <w:jc w:val="left"/>
        <w:rPr>
          <w:rFonts w:ascii="仿宋" w:eastAsia="仿宋" w:hAnsi="仿宋"/>
          <w:kern w:val="0"/>
          <w:sz w:val="32"/>
          <w:szCs w:val="32"/>
        </w:rPr>
      </w:pPr>
      <w:r>
        <w:rPr>
          <w:rFonts w:ascii="仿宋" w:eastAsia="仿宋" w:hAnsi="仿宋" w:hint="eastAsia"/>
          <w:kern w:val="0"/>
          <w:sz w:val="32"/>
          <w:szCs w:val="32"/>
        </w:rPr>
        <w:t>2022年度项目资金下达后，我单位高度重视，专题研究，明确了牵头负责的领导和具体工作人员，特别是明确了项目专项资金管理办法，对预算资金做到了科学计划，合理安排，办公室和财务人员密切联系实际，对预算资金做到了严格控制、规范使用，完善制度，并按制播能力升级改造项目合同49.11万元及移动公司云业务合同2.05万元进行支付，因财政资金困难实际总支出移动公司2.05万元，其余资金财政暂未审核支付。</w:t>
      </w:r>
    </w:p>
    <w:p w:rsidR="00FC5B9A" w:rsidRDefault="00A50BEA">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（三）项目财务管理情况。</w:t>
      </w:r>
    </w:p>
    <w:p w:rsidR="00FC5B9A" w:rsidRDefault="00A50BEA">
      <w:pPr>
        <w:widowControl/>
        <w:adjustRightInd w:val="0"/>
        <w:snapToGrid w:val="0"/>
        <w:spacing w:line="578" w:lineRule="exact"/>
        <w:ind w:firstLineChars="200" w:firstLine="640"/>
        <w:contextualSpacing/>
        <w:jc w:val="left"/>
        <w:rPr>
          <w:rFonts w:ascii="仿宋" w:eastAsia="仿宋" w:hAnsi="仿宋" w:cs="仿宋_GB2312"/>
          <w:kern w:val="0"/>
          <w:sz w:val="32"/>
          <w:szCs w:val="32"/>
          <w:shd w:val="clear" w:color="auto" w:fill="FFFFFF"/>
          <w:lang w:val="zh-CN"/>
        </w:rPr>
      </w:pPr>
      <w:r>
        <w:rPr>
          <w:rFonts w:ascii="仿宋" w:eastAsia="仿宋" w:hAnsi="仿宋" w:cs="仿宋_GB2312" w:hint="eastAsia"/>
          <w:kern w:val="0"/>
          <w:sz w:val="32"/>
          <w:szCs w:val="32"/>
          <w:shd w:val="clear" w:color="auto" w:fill="FFFFFF"/>
          <w:lang w:val="zh-CN"/>
        </w:rPr>
        <w:t>总体评价各项目实施单位财务管理制度是否健全，是否严格执行财务管理制度，账务处理是否及时，会计核算是否规范等。</w:t>
      </w:r>
    </w:p>
    <w:p w:rsidR="00FC5B9A" w:rsidRDefault="00A50BEA">
      <w:pPr>
        <w:autoSpaceDE w:val="0"/>
        <w:autoSpaceDN w:val="0"/>
        <w:adjustRightInd w:val="0"/>
        <w:spacing w:line="560" w:lineRule="exact"/>
        <w:ind w:firstLineChars="200" w:firstLine="640"/>
        <w:jc w:val="left"/>
      </w:pPr>
      <w:r>
        <w:rPr>
          <w:rFonts w:ascii="仿宋" w:eastAsia="仿宋" w:hAnsi="仿宋" w:hint="eastAsia"/>
          <w:kern w:val="0"/>
          <w:sz w:val="32"/>
          <w:szCs w:val="32"/>
        </w:rPr>
        <w:t>项目资金实行专款专用，无违反财务管理、财经纪律情况发生，项目资金支出和原定用途、财政拨款用途相符，支</w:t>
      </w:r>
      <w:r>
        <w:rPr>
          <w:rFonts w:ascii="仿宋" w:eastAsia="仿宋" w:hAnsi="仿宋" w:hint="eastAsia"/>
          <w:kern w:val="0"/>
          <w:sz w:val="32"/>
          <w:szCs w:val="32"/>
        </w:rPr>
        <w:lastRenderedPageBreak/>
        <w:t>出符合国家财经法规和财务管理制度规定；资金拨付程序规范，资金管理制度健全；财务管理按规定执行，符合相关财务会计管理规定；</w:t>
      </w:r>
      <w:r>
        <w:rPr>
          <w:rFonts w:ascii="仿宋" w:eastAsia="仿宋" w:hAnsi="仿宋" w:cs="仿宋_GB2312" w:hint="eastAsia"/>
          <w:sz w:val="32"/>
          <w:szCs w:val="32"/>
        </w:rPr>
        <w:t>不存在截留、挤占、挪用、虚列支出等情况。</w:t>
      </w:r>
    </w:p>
    <w:p w:rsidR="00FC5B9A" w:rsidRDefault="00A50BEA">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三、项目实施及管理情况</w:t>
      </w:r>
    </w:p>
    <w:p w:rsidR="00FC5B9A" w:rsidRDefault="00A50BEA">
      <w:pPr>
        <w:widowControl/>
        <w:adjustRightInd w:val="0"/>
        <w:snapToGrid w:val="0"/>
        <w:spacing w:line="578" w:lineRule="exact"/>
        <w:ind w:firstLineChars="200" w:firstLine="640"/>
        <w:contextualSpacing/>
        <w:jc w:val="left"/>
        <w:rPr>
          <w:rFonts w:ascii="仿宋" w:eastAsia="仿宋" w:hAnsi="仿宋" w:cs="仿宋_GB2312"/>
          <w:kern w:val="0"/>
          <w:sz w:val="32"/>
          <w:szCs w:val="32"/>
          <w:shd w:val="clear" w:color="auto" w:fill="FFFFFF"/>
          <w:lang w:val="zh-CN"/>
        </w:rPr>
      </w:pPr>
      <w:r>
        <w:rPr>
          <w:rFonts w:ascii="仿宋" w:eastAsia="仿宋" w:hAnsi="仿宋" w:cs="仿宋_GB2312" w:hint="eastAsia"/>
          <w:kern w:val="0"/>
          <w:sz w:val="32"/>
          <w:szCs w:val="32"/>
          <w:shd w:val="clear" w:color="auto" w:fill="FFFFFF"/>
          <w:lang w:val="zh-CN"/>
        </w:rPr>
        <w:t>结合项目组织实施管理办法，重点围绕以下内容进行分析评价，并对自评中发现的问题分析说明。</w:t>
      </w:r>
    </w:p>
    <w:p w:rsidR="00FC5B9A" w:rsidRDefault="00A50BEA">
      <w:pPr>
        <w:adjustRightInd w:val="0"/>
        <w:snapToGrid w:val="0"/>
        <w:spacing w:line="578" w:lineRule="exact"/>
        <w:ind w:left="720"/>
        <w:rPr>
          <w:rFonts w:ascii="楷体_GB2312" w:eastAsia="楷体_GB2312" w:hAnsi="宋体"/>
          <w:b/>
          <w:sz w:val="32"/>
          <w:szCs w:val="32"/>
          <w:lang w:val="zh-CN"/>
        </w:rPr>
      </w:pPr>
      <w:r>
        <w:rPr>
          <w:rFonts w:ascii="楷体_GB2312" w:eastAsia="楷体_GB2312" w:hAnsi="宋体" w:hint="eastAsia"/>
          <w:b/>
          <w:sz w:val="32"/>
          <w:szCs w:val="32"/>
          <w:lang w:val="zh-CN"/>
        </w:rPr>
        <w:t>（一）项目组织架构及实施流程。</w:t>
      </w:r>
    </w:p>
    <w:p w:rsidR="00FC5B9A" w:rsidRDefault="00A50BEA">
      <w:pPr>
        <w:spacing w:line="560" w:lineRule="exact"/>
        <w:ind w:firstLineChars="200" w:firstLine="640"/>
        <w:rPr>
          <w:rFonts w:ascii="仿宋" w:eastAsia="仿宋" w:hAnsi="仿宋"/>
          <w:sz w:val="32"/>
          <w:szCs w:val="32"/>
        </w:rPr>
      </w:pPr>
      <w:r>
        <w:rPr>
          <w:rFonts w:ascii="仿宋" w:eastAsia="仿宋" w:hAnsi="仿宋"/>
          <w:sz w:val="32"/>
          <w:szCs w:val="32"/>
        </w:rPr>
        <w:t>项目资金下达后，我单位高度重视，专题研究，明确了牵头负责的领导和具体工作人员，确立了中长期目标和年度目标，特别是明确了项目专项资金管理办法，对预算资金做到了科学计划，合理安排，</w:t>
      </w:r>
      <w:r>
        <w:rPr>
          <w:rFonts w:ascii="仿宋" w:eastAsia="仿宋" w:hAnsi="仿宋" w:cs="仿宋_GB2312" w:hint="eastAsia"/>
          <w:sz w:val="32"/>
          <w:szCs w:val="32"/>
        </w:rPr>
        <w:t>保障资金使用安全规范有效，确保发挥更大效益。</w:t>
      </w:r>
    </w:p>
    <w:p w:rsidR="00FC5B9A" w:rsidRDefault="00A50BEA">
      <w:pPr>
        <w:adjustRightInd w:val="0"/>
        <w:snapToGrid w:val="0"/>
        <w:spacing w:line="578" w:lineRule="exact"/>
        <w:ind w:left="720"/>
        <w:rPr>
          <w:rFonts w:ascii="楷体_GB2312" w:eastAsia="楷体_GB2312" w:hAnsi="宋体"/>
          <w:b/>
          <w:sz w:val="32"/>
          <w:szCs w:val="32"/>
          <w:lang w:val="zh-CN"/>
        </w:rPr>
      </w:pPr>
      <w:r>
        <w:rPr>
          <w:rFonts w:ascii="楷体_GB2312" w:eastAsia="楷体_GB2312" w:hAnsi="宋体" w:hint="eastAsia"/>
          <w:b/>
          <w:sz w:val="32"/>
          <w:szCs w:val="32"/>
          <w:lang w:val="zh-CN"/>
        </w:rPr>
        <w:t>（二）项目管理情况。</w:t>
      </w:r>
    </w:p>
    <w:p w:rsidR="00FC5B9A" w:rsidRDefault="00A50BEA">
      <w:pPr>
        <w:autoSpaceDE w:val="0"/>
        <w:autoSpaceDN w:val="0"/>
        <w:adjustRightInd w:val="0"/>
        <w:spacing w:line="580" w:lineRule="exact"/>
        <w:ind w:firstLineChars="200" w:firstLine="640"/>
        <w:jc w:val="left"/>
        <w:rPr>
          <w:rFonts w:ascii="仿宋" w:eastAsia="仿宋" w:hAnsi="仿宋"/>
          <w:kern w:val="0"/>
          <w:sz w:val="32"/>
          <w:szCs w:val="32"/>
        </w:rPr>
      </w:pPr>
      <w:r>
        <w:rPr>
          <w:rFonts w:ascii="仿宋" w:eastAsia="仿宋" w:hAnsi="仿宋" w:hint="eastAsia"/>
          <w:kern w:val="0"/>
          <w:sz w:val="32"/>
          <w:szCs w:val="32"/>
        </w:rPr>
        <w:t>该项目对中心提供了数据统计、新闻信息编辑等服务功能，按照合同要求进行设备安装、测试和试运行，及时保障了融媒体中心的网络正常运行、节目制作、频道播出的传输等，进一步加强中心内部的沟通，提高工作效率，拓宽了新闻信息服务大众的渠道，提升了群众的满意度。</w:t>
      </w:r>
    </w:p>
    <w:p w:rsidR="00FC5B9A" w:rsidRDefault="00A50BEA" w:rsidP="00F57344">
      <w:pPr>
        <w:autoSpaceDE w:val="0"/>
        <w:autoSpaceDN w:val="0"/>
        <w:adjustRightInd w:val="0"/>
        <w:spacing w:line="580" w:lineRule="exact"/>
        <w:ind w:firstLineChars="200" w:firstLine="640"/>
        <w:jc w:val="left"/>
        <w:rPr>
          <w:rFonts w:ascii="仿宋" w:eastAsia="仿宋" w:hAnsi="仿宋" w:cs="仿宋_GB2312"/>
          <w:color w:val="FF0000"/>
          <w:kern w:val="0"/>
          <w:sz w:val="32"/>
          <w:szCs w:val="32"/>
          <w:shd w:val="clear" w:color="auto" w:fill="FFFFFF"/>
          <w:lang w:val="zh-CN"/>
        </w:rPr>
      </w:pPr>
      <w:r>
        <w:rPr>
          <w:rFonts w:ascii="楷体_GB2312" w:eastAsia="楷体_GB2312" w:hAnsi="宋体" w:hint="eastAsia"/>
          <w:b/>
          <w:sz w:val="32"/>
          <w:szCs w:val="32"/>
          <w:lang w:val="zh-CN"/>
        </w:rPr>
        <w:t>（三）项目监管情况。</w:t>
      </w:r>
    </w:p>
    <w:p w:rsidR="00FC5B9A" w:rsidRDefault="00A50BEA">
      <w:pPr>
        <w:autoSpaceDE w:val="0"/>
        <w:autoSpaceDN w:val="0"/>
        <w:adjustRightInd w:val="0"/>
        <w:spacing w:line="580" w:lineRule="exact"/>
        <w:ind w:firstLineChars="200" w:firstLine="640"/>
        <w:jc w:val="left"/>
        <w:rPr>
          <w:rFonts w:ascii="仿宋" w:eastAsia="仿宋" w:hAnsi="仿宋"/>
        </w:rPr>
      </w:pPr>
      <w:r>
        <w:rPr>
          <w:rFonts w:ascii="仿宋" w:eastAsia="仿宋" w:hAnsi="仿宋" w:hint="eastAsia"/>
          <w:kern w:val="0"/>
          <w:sz w:val="32"/>
          <w:szCs w:val="32"/>
        </w:rPr>
        <w:t>根据相关财经政策要求，认真做好本单位部门绩效事中监控，切实分析本单位在预算绩效管理工作中存在的问题，提出具体措施加以改进，并将事中绩效评价报告报县财政局备案。</w:t>
      </w:r>
    </w:p>
    <w:p w:rsidR="00FC5B9A" w:rsidRDefault="00A50BEA">
      <w:pPr>
        <w:adjustRightInd w:val="0"/>
        <w:snapToGrid w:val="0"/>
        <w:spacing w:line="578" w:lineRule="exact"/>
        <w:ind w:firstLine="720"/>
        <w:rPr>
          <w:rFonts w:ascii="仿宋_GB2312" w:hAnsi="宋体"/>
          <w:sz w:val="32"/>
          <w:szCs w:val="32"/>
          <w:lang w:val="zh-CN"/>
        </w:rPr>
      </w:pPr>
      <w:r>
        <w:rPr>
          <w:rFonts w:ascii="黑体" w:eastAsia="黑体" w:hAnsi="宋体" w:hint="eastAsia"/>
          <w:sz w:val="32"/>
          <w:szCs w:val="32"/>
        </w:rPr>
        <w:lastRenderedPageBreak/>
        <w:t>四、项目绩效情况</w:t>
      </w:r>
      <w:r>
        <w:rPr>
          <w:rFonts w:ascii="仿宋_GB2312" w:hAnsi="宋体" w:hint="eastAsia"/>
          <w:sz w:val="32"/>
          <w:szCs w:val="32"/>
          <w:lang w:val="zh-CN"/>
        </w:rPr>
        <w:tab/>
      </w:r>
    </w:p>
    <w:p w:rsidR="00FC5B9A" w:rsidRDefault="00A50BEA">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（一）项目完成情况。</w:t>
      </w:r>
    </w:p>
    <w:p w:rsidR="00FC5B9A" w:rsidRDefault="00A50BEA">
      <w:pPr>
        <w:spacing w:line="560" w:lineRule="exact"/>
        <w:ind w:firstLineChars="200" w:firstLine="640"/>
        <w:rPr>
          <w:rFonts w:ascii="仿宋" w:eastAsia="仿宋" w:hAnsi="仿宋"/>
          <w:sz w:val="32"/>
          <w:szCs w:val="32"/>
        </w:rPr>
      </w:pPr>
      <w:r>
        <w:rPr>
          <w:rFonts w:ascii="仿宋" w:eastAsia="仿宋" w:hAnsi="仿宋"/>
          <w:sz w:val="32"/>
          <w:szCs w:val="32"/>
        </w:rPr>
        <w:t>2022年度专项经费及时到位，充分发挥了资金的使用效益</w:t>
      </w:r>
      <w:r>
        <w:rPr>
          <w:rFonts w:ascii="仿宋" w:eastAsia="仿宋" w:hAnsi="仿宋" w:hint="eastAsia"/>
          <w:sz w:val="32"/>
          <w:szCs w:val="32"/>
        </w:rPr>
        <w:t>，</w:t>
      </w:r>
      <w:r>
        <w:rPr>
          <w:rFonts w:ascii="仿宋" w:eastAsia="仿宋" w:hAnsi="仿宋"/>
          <w:sz w:val="32"/>
          <w:szCs w:val="32"/>
        </w:rPr>
        <w:t>保障</w:t>
      </w:r>
      <w:r>
        <w:rPr>
          <w:rFonts w:ascii="仿宋" w:eastAsia="仿宋" w:hAnsi="仿宋" w:hint="eastAsia"/>
          <w:sz w:val="32"/>
          <w:szCs w:val="32"/>
        </w:rPr>
        <w:t>融媒体中心建设项目</w:t>
      </w:r>
      <w:r>
        <w:rPr>
          <w:rFonts w:ascii="仿宋" w:eastAsia="仿宋" w:hAnsi="仿宋"/>
          <w:sz w:val="32"/>
          <w:szCs w:val="32"/>
        </w:rPr>
        <w:t>的有序开展。包括项目完成数量、质量、时效、成本，项目资金结余情况，违规记录等情况，对照项目计划完成目标，对截至评价时点的任务量完成、质量标准、进度计划、成本控制目标的实现程度进行自评、分析、说明。</w:t>
      </w:r>
    </w:p>
    <w:p w:rsidR="00FC5B9A" w:rsidRDefault="00A50BEA">
      <w:pPr>
        <w:autoSpaceDE w:val="0"/>
        <w:autoSpaceDN w:val="0"/>
        <w:adjustRightInd w:val="0"/>
        <w:spacing w:line="560" w:lineRule="exact"/>
        <w:ind w:firstLineChars="200" w:firstLine="640"/>
        <w:jc w:val="left"/>
        <w:rPr>
          <w:rFonts w:ascii="仿宋" w:eastAsia="仿宋" w:hAnsi="仿宋"/>
          <w:kern w:val="0"/>
          <w:sz w:val="32"/>
          <w:szCs w:val="32"/>
        </w:rPr>
      </w:pPr>
      <w:r>
        <w:rPr>
          <w:rFonts w:ascii="仿宋" w:eastAsia="仿宋" w:hAnsi="仿宋" w:hint="eastAsia"/>
          <w:kern w:val="0"/>
          <w:sz w:val="32"/>
          <w:szCs w:val="32"/>
        </w:rPr>
        <w:t>项目完成数量：较好地完成了</w:t>
      </w:r>
      <w:r>
        <w:rPr>
          <w:rFonts w:ascii="仿宋" w:eastAsia="仿宋" w:hAnsi="仿宋" w:cs="仿宋_GB2312" w:hint="eastAsia"/>
          <w:sz w:val="32"/>
          <w:szCs w:val="32"/>
        </w:rPr>
        <w:t>融媒体中心建设项目</w:t>
      </w:r>
      <w:r>
        <w:rPr>
          <w:rFonts w:ascii="仿宋" w:eastAsia="仿宋" w:hAnsi="仿宋" w:hint="eastAsia"/>
          <w:kern w:val="0"/>
          <w:sz w:val="32"/>
          <w:szCs w:val="32"/>
        </w:rPr>
        <w:t>，确保了项目的有序开展，目前已完成全部项目的</w:t>
      </w:r>
      <w:r>
        <w:rPr>
          <w:rFonts w:ascii="仿宋" w:eastAsia="仿宋" w:hAnsi="仿宋"/>
          <w:kern w:val="0"/>
          <w:sz w:val="32"/>
          <w:szCs w:val="32"/>
        </w:rPr>
        <w:t>100%</w:t>
      </w:r>
      <w:r>
        <w:rPr>
          <w:rFonts w:ascii="仿宋" w:eastAsia="仿宋" w:hAnsi="仿宋" w:hint="eastAsia"/>
          <w:kern w:val="0"/>
          <w:sz w:val="32"/>
          <w:szCs w:val="32"/>
        </w:rPr>
        <w:t>，资金拨付达到</w:t>
      </w:r>
      <w:r>
        <w:rPr>
          <w:rFonts w:ascii="仿宋" w:eastAsia="仿宋" w:hAnsi="仿宋"/>
          <w:kern w:val="0"/>
          <w:sz w:val="32"/>
          <w:szCs w:val="32"/>
        </w:rPr>
        <w:t>100%</w:t>
      </w:r>
      <w:r>
        <w:rPr>
          <w:rFonts w:ascii="仿宋" w:eastAsia="仿宋" w:hAnsi="仿宋" w:hint="eastAsia"/>
          <w:kern w:val="0"/>
          <w:sz w:val="32"/>
          <w:szCs w:val="32"/>
        </w:rPr>
        <w:t>。</w:t>
      </w:r>
    </w:p>
    <w:p w:rsidR="00FC5B9A" w:rsidRDefault="00A50BEA">
      <w:pPr>
        <w:autoSpaceDE w:val="0"/>
        <w:autoSpaceDN w:val="0"/>
        <w:adjustRightInd w:val="0"/>
        <w:spacing w:line="560" w:lineRule="exact"/>
        <w:ind w:firstLineChars="200" w:firstLine="640"/>
        <w:jc w:val="left"/>
        <w:rPr>
          <w:rFonts w:ascii="仿宋" w:eastAsia="仿宋" w:hAnsi="仿宋"/>
          <w:kern w:val="0"/>
          <w:sz w:val="32"/>
          <w:szCs w:val="32"/>
        </w:rPr>
      </w:pPr>
      <w:r>
        <w:rPr>
          <w:rFonts w:ascii="仿宋" w:eastAsia="仿宋" w:hAnsi="仿宋" w:hint="eastAsia"/>
          <w:kern w:val="0"/>
          <w:sz w:val="32"/>
          <w:szCs w:val="32"/>
        </w:rPr>
        <w:t>项目完成质量：按照既定工作目标全部保质保量完成，达到了预期的效果。</w:t>
      </w:r>
    </w:p>
    <w:p w:rsidR="00FC5B9A" w:rsidRDefault="00A50BEA">
      <w:pPr>
        <w:autoSpaceDE w:val="0"/>
        <w:autoSpaceDN w:val="0"/>
        <w:adjustRightInd w:val="0"/>
        <w:spacing w:line="560" w:lineRule="exact"/>
        <w:ind w:firstLineChars="200" w:firstLine="640"/>
        <w:jc w:val="left"/>
        <w:rPr>
          <w:rFonts w:ascii="仿宋" w:eastAsia="仿宋" w:hAnsi="仿宋"/>
          <w:kern w:val="0"/>
          <w:sz w:val="32"/>
          <w:szCs w:val="32"/>
        </w:rPr>
      </w:pPr>
      <w:r>
        <w:rPr>
          <w:rFonts w:ascii="仿宋" w:eastAsia="仿宋" w:hAnsi="仿宋" w:hint="eastAsia"/>
          <w:kern w:val="0"/>
          <w:sz w:val="32"/>
          <w:szCs w:val="32"/>
        </w:rPr>
        <w:t>项目完成时效：项目得到有序开展，到2022年底完成全部项目的100%，完成项目验收率达到100%。</w:t>
      </w:r>
    </w:p>
    <w:p w:rsidR="00FC5B9A" w:rsidRDefault="00A50BEA">
      <w:pPr>
        <w:autoSpaceDE w:val="0"/>
        <w:autoSpaceDN w:val="0"/>
        <w:adjustRightInd w:val="0"/>
        <w:spacing w:line="560" w:lineRule="exact"/>
        <w:ind w:firstLineChars="200" w:firstLine="640"/>
        <w:jc w:val="left"/>
        <w:rPr>
          <w:rFonts w:ascii="仿宋" w:eastAsia="仿宋" w:hAnsi="仿宋"/>
          <w:sz w:val="32"/>
          <w:szCs w:val="32"/>
        </w:rPr>
      </w:pPr>
      <w:r>
        <w:rPr>
          <w:rFonts w:ascii="仿宋" w:eastAsia="仿宋" w:hAnsi="仿宋" w:hint="eastAsia"/>
          <w:kern w:val="0"/>
          <w:sz w:val="32"/>
          <w:szCs w:val="32"/>
        </w:rPr>
        <w:t>项目完成成本：项目资金51.16万元，完成2.05万元，其余资金2023年待财政审核后支付。</w:t>
      </w:r>
    </w:p>
    <w:p w:rsidR="00FC5B9A" w:rsidRDefault="00A50BEA">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（二）项目效益情况。</w:t>
      </w:r>
    </w:p>
    <w:p w:rsidR="00FC5B9A" w:rsidRDefault="00A50BEA">
      <w:pPr>
        <w:autoSpaceDE w:val="0"/>
        <w:autoSpaceDN w:val="0"/>
        <w:adjustRightInd w:val="0"/>
        <w:spacing w:line="560" w:lineRule="exact"/>
        <w:ind w:firstLineChars="200" w:firstLine="640"/>
        <w:jc w:val="left"/>
        <w:rPr>
          <w:rFonts w:ascii="仿宋" w:eastAsia="仿宋" w:hAnsi="仿宋"/>
          <w:kern w:val="0"/>
          <w:sz w:val="32"/>
          <w:szCs w:val="32"/>
        </w:rPr>
      </w:pPr>
      <w:r>
        <w:rPr>
          <w:rFonts w:ascii="仿宋" w:eastAsia="仿宋" w:hAnsi="仿宋" w:hint="eastAsia"/>
          <w:kern w:val="0"/>
          <w:sz w:val="32"/>
          <w:szCs w:val="32"/>
        </w:rPr>
        <w:t>我单位对项目实施和整体社会效益及满意度等各项指标调查，效益明显，达到了预期效果。</w:t>
      </w:r>
    </w:p>
    <w:p w:rsidR="00FC5B9A" w:rsidRDefault="00A50BEA">
      <w:pPr>
        <w:autoSpaceDE w:val="0"/>
        <w:autoSpaceDN w:val="0"/>
        <w:adjustRightInd w:val="0"/>
        <w:spacing w:line="560" w:lineRule="exact"/>
        <w:ind w:firstLineChars="200" w:firstLine="640"/>
        <w:jc w:val="left"/>
        <w:rPr>
          <w:rFonts w:ascii="仿宋" w:eastAsia="仿宋" w:hAnsi="仿宋"/>
          <w:kern w:val="0"/>
          <w:sz w:val="32"/>
          <w:szCs w:val="32"/>
        </w:rPr>
      </w:pPr>
      <w:r>
        <w:rPr>
          <w:rFonts w:ascii="仿宋" w:eastAsia="仿宋" w:hAnsi="仿宋" w:hint="eastAsia"/>
          <w:kern w:val="0"/>
          <w:sz w:val="32"/>
          <w:szCs w:val="32"/>
        </w:rPr>
        <w:t>项目社会效益：</w:t>
      </w:r>
      <w:r>
        <w:rPr>
          <w:rFonts w:ascii="仿宋" w:eastAsia="仿宋" w:hAnsi="仿宋" w:cs="仿宋_GB2312" w:hint="eastAsia"/>
          <w:sz w:val="32"/>
          <w:szCs w:val="32"/>
        </w:rPr>
        <w:t>通过该项目的实施，可进一步优化传统媒体与新兴媒体的融合发展，占领互联网传播阵地，提升本地主流媒体影响力，成为党联系人民群众的重要桥梁纽带。</w:t>
      </w:r>
    </w:p>
    <w:p w:rsidR="00FC5B9A" w:rsidRDefault="00A50BEA">
      <w:pPr>
        <w:autoSpaceDE w:val="0"/>
        <w:autoSpaceDN w:val="0"/>
        <w:adjustRightInd w:val="0"/>
        <w:spacing w:line="560" w:lineRule="exact"/>
        <w:ind w:firstLineChars="200" w:firstLine="640"/>
        <w:jc w:val="left"/>
        <w:rPr>
          <w:rFonts w:ascii="仿宋" w:eastAsia="仿宋" w:hAnsi="仿宋"/>
          <w:kern w:val="0"/>
          <w:sz w:val="32"/>
          <w:szCs w:val="32"/>
        </w:rPr>
      </w:pPr>
      <w:r>
        <w:rPr>
          <w:rFonts w:ascii="仿宋" w:eastAsia="仿宋" w:hAnsi="仿宋" w:hint="eastAsia"/>
          <w:kern w:val="0"/>
          <w:sz w:val="32"/>
          <w:szCs w:val="32"/>
        </w:rPr>
        <w:t>可持续效益：</w:t>
      </w:r>
      <w:r>
        <w:rPr>
          <w:rFonts w:ascii="仿宋" w:eastAsia="仿宋" w:hAnsi="仿宋" w:cs="仿宋_GB2312" w:hint="eastAsia"/>
          <w:sz w:val="32"/>
          <w:szCs w:val="32"/>
        </w:rPr>
        <w:t>有效提升新闻创作及传播效率，对播出安</w:t>
      </w:r>
      <w:r>
        <w:rPr>
          <w:rFonts w:ascii="仿宋" w:eastAsia="仿宋" w:hAnsi="仿宋" w:cs="仿宋_GB2312" w:hint="eastAsia"/>
          <w:sz w:val="32"/>
          <w:szCs w:val="32"/>
        </w:rPr>
        <w:lastRenderedPageBreak/>
        <w:t>全系统检测更新、推进采编播流程重塑更加顺畅高效，为中心的各项工作提供先进的信息服务平台和创新提供后备力量，进一步提高媒体的舆论导向水平，提高县级媒体的引导力和公信力，促进媒体资源的创新深化与一体运用，推动媒体融合发展向纵深推进。</w:t>
      </w:r>
    </w:p>
    <w:p w:rsidR="00FC5B9A" w:rsidRDefault="00A50BEA">
      <w:pPr>
        <w:autoSpaceDE w:val="0"/>
        <w:autoSpaceDN w:val="0"/>
        <w:adjustRightInd w:val="0"/>
        <w:spacing w:line="560" w:lineRule="exact"/>
        <w:ind w:firstLineChars="200" w:firstLine="640"/>
        <w:jc w:val="left"/>
        <w:rPr>
          <w:rFonts w:ascii="仿宋" w:eastAsia="仿宋" w:hAnsi="仿宋"/>
          <w:sz w:val="32"/>
          <w:szCs w:val="32"/>
        </w:rPr>
      </w:pPr>
      <w:r>
        <w:rPr>
          <w:rFonts w:ascii="仿宋" w:eastAsia="仿宋" w:hAnsi="仿宋" w:hint="eastAsia"/>
          <w:kern w:val="0"/>
          <w:sz w:val="32"/>
          <w:szCs w:val="32"/>
        </w:rPr>
        <w:t>服务对象满意度：群众对项目实施的满意度达到</w:t>
      </w:r>
      <w:r>
        <w:rPr>
          <w:rFonts w:ascii="仿宋" w:eastAsia="仿宋" w:hAnsi="仿宋"/>
          <w:kern w:val="0"/>
          <w:sz w:val="32"/>
          <w:szCs w:val="32"/>
        </w:rPr>
        <w:t>90%</w:t>
      </w:r>
      <w:r>
        <w:rPr>
          <w:rFonts w:ascii="仿宋" w:eastAsia="仿宋" w:hAnsi="仿宋" w:hint="eastAsia"/>
          <w:kern w:val="0"/>
          <w:sz w:val="32"/>
          <w:szCs w:val="32"/>
        </w:rPr>
        <w:t>以上。</w:t>
      </w:r>
    </w:p>
    <w:p w:rsidR="00FC5B9A" w:rsidRDefault="00A50BEA">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五、评价结论及建议</w:t>
      </w:r>
    </w:p>
    <w:p w:rsidR="00FC5B9A" w:rsidRDefault="00A50BEA">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（一）评价结论。</w:t>
      </w:r>
    </w:p>
    <w:p w:rsidR="00FC5B9A" w:rsidRDefault="00A50BEA">
      <w:pPr>
        <w:pStyle w:val="a0"/>
        <w:spacing w:before="93"/>
        <w:ind w:firstLineChars="200" w:firstLine="640"/>
        <w:rPr>
          <w:rFonts w:ascii="仿宋" w:eastAsia="仿宋" w:hAnsi="仿宋"/>
          <w:sz w:val="32"/>
          <w:szCs w:val="32"/>
          <w:lang w:val="zh-CN"/>
        </w:rPr>
      </w:pPr>
      <w:r>
        <w:rPr>
          <w:rFonts w:ascii="仿宋" w:eastAsia="仿宋" w:hAnsi="仿宋" w:cs="仿宋_GB2312" w:hint="eastAsia"/>
          <w:sz w:val="32"/>
          <w:szCs w:val="32"/>
        </w:rPr>
        <w:t>通过对项目的指标和指标值综合评估，项目决策在总的方面立项充分，有立项程序；经费测算符合相关要求和定额标准，与设定的绩效目标相符合；资金用途和开支范围明确；能按期达到项目计划能力，推广传播率</w:t>
      </w:r>
      <w:r>
        <w:rPr>
          <w:rFonts w:ascii="仿宋" w:eastAsia="仿宋" w:hAnsi="仿宋" w:cs="仿宋_GB2312"/>
          <w:sz w:val="32"/>
          <w:szCs w:val="32"/>
        </w:rPr>
        <w:t>100%</w:t>
      </w:r>
      <w:r>
        <w:rPr>
          <w:rFonts w:ascii="仿宋" w:eastAsia="仿宋" w:hAnsi="仿宋" w:cs="仿宋_GB2312" w:hint="eastAsia"/>
          <w:sz w:val="32"/>
          <w:szCs w:val="32"/>
        </w:rPr>
        <w:t>，满意度达</w:t>
      </w:r>
      <w:r>
        <w:rPr>
          <w:rFonts w:ascii="仿宋" w:eastAsia="仿宋" w:hAnsi="仿宋" w:cs="仿宋_GB2312"/>
          <w:sz w:val="32"/>
          <w:szCs w:val="32"/>
        </w:rPr>
        <w:t>9</w:t>
      </w:r>
      <w:r>
        <w:rPr>
          <w:rFonts w:ascii="仿宋" w:eastAsia="仿宋" w:hAnsi="仿宋" w:cs="仿宋_GB2312" w:hint="eastAsia"/>
          <w:sz w:val="32"/>
          <w:szCs w:val="32"/>
        </w:rPr>
        <w:t>5</w:t>
      </w:r>
      <w:r>
        <w:rPr>
          <w:rFonts w:ascii="仿宋" w:eastAsia="仿宋" w:hAnsi="仿宋" w:cs="仿宋_GB2312"/>
          <w:sz w:val="32"/>
          <w:szCs w:val="32"/>
        </w:rPr>
        <w:t>%</w:t>
      </w:r>
      <w:r>
        <w:rPr>
          <w:rFonts w:ascii="仿宋" w:eastAsia="仿宋" w:hAnsi="仿宋" w:cs="仿宋_GB2312" w:hint="eastAsia"/>
          <w:sz w:val="32"/>
          <w:szCs w:val="32"/>
        </w:rPr>
        <w:t>以上。县融媒体中心在项目决策方面履行较规范，目标完成方面达到了预期的计划，项目效果方面取得较好，经费使用达到资金整体支出预期。</w:t>
      </w:r>
    </w:p>
    <w:p w:rsidR="00FC5B9A" w:rsidRDefault="00A50BEA">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（二）存在的问题。</w:t>
      </w:r>
    </w:p>
    <w:p w:rsidR="00FC5B9A" w:rsidRDefault="00A50BEA">
      <w:pPr>
        <w:widowControl/>
        <w:shd w:val="clear" w:color="auto" w:fill="FFFFFF"/>
        <w:spacing w:line="560" w:lineRule="exact"/>
        <w:ind w:firstLine="640"/>
        <w:jc w:val="left"/>
        <w:rPr>
          <w:rFonts w:ascii="仿宋" w:eastAsia="仿宋" w:hAnsi="仿宋"/>
          <w:sz w:val="32"/>
          <w:szCs w:val="32"/>
        </w:rPr>
      </w:pPr>
      <w:r>
        <w:rPr>
          <w:rFonts w:ascii="仿宋" w:eastAsia="仿宋" w:hAnsi="仿宋" w:hint="eastAsia"/>
          <w:kern w:val="0"/>
          <w:sz w:val="32"/>
          <w:szCs w:val="32"/>
        </w:rPr>
        <w:t>专项资金进度还应督促加强；</w:t>
      </w:r>
      <w:r>
        <w:rPr>
          <w:rFonts w:ascii="仿宋" w:eastAsia="仿宋" w:hAnsi="仿宋" w:cs="仿宋" w:hint="eastAsia"/>
          <w:color w:val="000000"/>
          <w:kern w:val="0"/>
          <w:sz w:val="32"/>
          <w:szCs w:val="32"/>
          <w:shd w:val="clear" w:color="auto" w:fill="FFFFFF"/>
        </w:rPr>
        <w:t>预算管理力度不够，在今后的预算工作中，加强预算管理，更加细化和完善预算编制。</w:t>
      </w:r>
    </w:p>
    <w:p w:rsidR="00FC5B9A" w:rsidRDefault="00A50BEA" w:rsidP="00F57344">
      <w:pPr>
        <w:widowControl/>
        <w:adjustRightInd w:val="0"/>
        <w:snapToGrid w:val="0"/>
        <w:spacing w:line="578" w:lineRule="exact"/>
        <w:ind w:firstLineChars="200" w:firstLine="640"/>
        <w:contextualSpacing/>
        <w:jc w:val="left"/>
        <w:rPr>
          <w:rFonts w:ascii="楷体_GB2312" w:eastAsia="楷体_GB2312" w:hAnsi="宋体"/>
          <w:b/>
          <w:sz w:val="32"/>
          <w:szCs w:val="32"/>
          <w:lang w:val="zh-CN"/>
        </w:rPr>
      </w:pPr>
      <w:r>
        <w:rPr>
          <w:rFonts w:ascii="楷体_GB2312" w:eastAsia="楷体_GB2312" w:hAnsi="宋体" w:hint="eastAsia"/>
          <w:b/>
          <w:sz w:val="32"/>
          <w:szCs w:val="32"/>
          <w:lang w:val="zh-CN"/>
        </w:rPr>
        <w:t>（三）相关建议。</w:t>
      </w:r>
    </w:p>
    <w:p w:rsidR="00FC5B9A" w:rsidRDefault="00A50BEA">
      <w:pPr>
        <w:widowControl/>
        <w:shd w:val="clear" w:color="auto" w:fill="FFFFFF"/>
        <w:spacing w:line="560" w:lineRule="exact"/>
        <w:ind w:firstLine="640"/>
        <w:jc w:val="left"/>
        <w:rPr>
          <w:rFonts w:ascii="仿宋" w:eastAsia="仿宋" w:hAnsi="仿宋" w:cs="仿宋_GB2312"/>
          <w:sz w:val="32"/>
          <w:szCs w:val="32"/>
        </w:rPr>
      </w:pPr>
      <w:r>
        <w:rPr>
          <w:rFonts w:ascii="仿宋" w:eastAsia="仿宋" w:hAnsi="仿宋" w:hint="eastAsia"/>
          <w:kern w:val="0"/>
          <w:sz w:val="32"/>
          <w:szCs w:val="32"/>
        </w:rPr>
        <w:t>一是继续加强资金管理，使有限的资金发挥更大的效益；二</w:t>
      </w:r>
      <w:r>
        <w:rPr>
          <w:rFonts w:ascii="仿宋" w:eastAsia="仿宋" w:hAnsi="仿宋" w:cs="仿宋_GB2312" w:hint="eastAsia"/>
          <w:sz w:val="32"/>
          <w:szCs w:val="32"/>
        </w:rPr>
        <w:t>是通过查找内部管理薄弱环节，建立健全各项内控制度，</w:t>
      </w:r>
      <w:r>
        <w:rPr>
          <w:rFonts w:ascii="仿宋" w:eastAsia="仿宋" w:hAnsi="仿宋" w:cs="仿宋_GB2312" w:hint="eastAsia"/>
          <w:sz w:val="32"/>
          <w:szCs w:val="32"/>
        </w:rPr>
        <w:lastRenderedPageBreak/>
        <w:t>规范内部权力运行、促进依法行政、推进廉政建设中的重要作用。</w:t>
      </w:r>
    </w:p>
    <w:p w:rsidR="00FC5B9A" w:rsidRDefault="00FC5B9A">
      <w:pPr>
        <w:spacing w:line="580" w:lineRule="exact"/>
        <w:rPr>
          <w:rStyle w:val="1Char"/>
          <w:rFonts w:ascii="黑体" w:eastAsia="黑体" w:hAnsi="黑体"/>
          <w:b w:val="0"/>
        </w:rPr>
      </w:pPr>
    </w:p>
    <w:p w:rsidR="00FC5B9A" w:rsidRDefault="00A50BEA">
      <w:pPr>
        <w:widowControl/>
        <w:jc w:val="left"/>
        <w:rPr>
          <w:rStyle w:val="1Char"/>
          <w:rFonts w:ascii="黑体" w:eastAsia="黑体" w:hAnsi="黑体"/>
          <w:b w:val="0"/>
        </w:rPr>
      </w:pPr>
      <w:r>
        <w:rPr>
          <w:rStyle w:val="1Char"/>
          <w:rFonts w:ascii="黑体" w:eastAsia="黑体" w:hAnsi="黑体"/>
          <w:b w:val="0"/>
        </w:rPr>
        <w:br w:type="page"/>
      </w:r>
    </w:p>
    <w:p w:rsidR="00FC5B9A" w:rsidRDefault="00FC5B9A">
      <w:pPr>
        <w:widowControl/>
        <w:jc w:val="left"/>
        <w:rPr>
          <w:rStyle w:val="1Char"/>
          <w:rFonts w:ascii="黑体" w:eastAsia="黑体" w:hAnsi="黑体"/>
          <w:b w:val="0"/>
        </w:rPr>
      </w:pPr>
    </w:p>
    <w:p w:rsidR="00FC5B9A" w:rsidRDefault="00A50BEA">
      <w:pPr>
        <w:spacing w:line="600" w:lineRule="exact"/>
        <w:jc w:val="center"/>
        <w:outlineLvl w:val="0"/>
        <w:rPr>
          <w:rFonts w:ascii="仿宋" w:eastAsia="仿宋" w:hAnsi="仿宋"/>
        </w:rPr>
      </w:pPr>
      <w:bookmarkStart w:id="54" w:name="_Toc15396618"/>
      <w:r>
        <w:rPr>
          <w:rFonts w:ascii="黑体" w:eastAsia="黑体" w:hAnsi="黑体" w:hint="eastAsia"/>
          <w:sz w:val="44"/>
          <w:szCs w:val="44"/>
        </w:rPr>
        <w:t>第</w:t>
      </w:r>
      <w:r>
        <w:rPr>
          <w:rStyle w:val="1Char"/>
          <w:rFonts w:ascii="黑体" w:eastAsia="黑体" w:hAnsi="黑体" w:hint="eastAsia"/>
          <w:b w:val="0"/>
        </w:rPr>
        <w:t>五部分 附表</w:t>
      </w:r>
      <w:bookmarkStart w:id="55" w:name="_Toc15396619"/>
      <w:bookmarkEnd w:id="52"/>
      <w:bookmarkEnd w:id="54"/>
    </w:p>
    <w:p w:rsidR="00FC5B9A" w:rsidRDefault="00A50BEA">
      <w:pPr>
        <w:pStyle w:val="2"/>
        <w:rPr>
          <w:rFonts w:ascii="仿宋" w:eastAsia="仿宋" w:hAnsi="仿宋"/>
        </w:rPr>
      </w:pPr>
      <w:r>
        <w:rPr>
          <w:rFonts w:ascii="仿宋" w:eastAsia="仿宋" w:hAnsi="仿宋" w:hint="eastAsia"/>
          <w:b w:val="0"/>
        </w:rPr>
        <w:t>一、收</w:t>
      </w:r>
      <w:r>
        <w:rPr>
          <w:rStyle w:val="2Char"/>
          <w:rFonts w:ascii="仿宋" w:eastAsia="仿宋" w:hAnsi="仿宋" w:hint="eastAsia"/>
        </w:rPr>
        <w:t>入支出决算总表</w:t>
      </w:r>
      <w:bookmarkEnd w:id="55"/>
    </w:p>
    <w:p w:rsidR="00FC5B9A" w:rsidRDefault="00A50BEA">
      <w:pPr>
        <w:pStyle w:val="2"/>
        <w:rPr>
          <w:rFonts w:ascii="仿宋" w:eastAsia="仿宋" w:hAnsi="仿宋"/>
        </w:rPr>
      </w:pPr>
      <w:bookmarkStart w:id="56" w:name="_Toc15396620"/>
      <w:r>
        <w:rPr>
          <w:rFonts w:ascii="仿宋" w:eastAsia="仿宋" w:hAnsi="仿宋" w:hint="eastAsia"/>
          <w:b w:val="0"/>
        </w:rPr>
        <w:t>二、收</w:t>
      </w:r>
      <w:r>
        <w:rPr>
          <w:rStyle w:val="2Char"/>
          <w:rFonts w:ascii="仿宋" w:eastAsia="仿宋" w:hAnsi="仿宋" w:hint="eastAsia"/>
        </w:rPr>
        <w:t>入决算表</w:t>
      </w:r>
      <w:bookmarkEnd w:id="56"/>
    </w:p>
    <w:p w:rsidR="00FC5B9A" w:rsidRDefault="00A50BEA">
      <w:pPr>
        <w:pStyle w:val="2"/>
        <w:rPr>
          <w:rFonts w:ascii="仿宋" w:eastAsia="仿宋" w:hAnsi="仿宋"/>
        </w:rPr>
      </w:pPr>
      <w:bookmarkStart w:id="57" w:name="_Toc15396621"/>
      <w:r>
        <w:rPr>
          <w:rStyle w:val="2Char"/>
          <w:rFonts w:ascii="仿宋" w:eastAsia="仿宋" w:hAnsi="仿宋" w:hint="eastAsia"/>
        </w:rPr>
        <w:t>三、</w:t>
      </w:r>
      <w:r>
        <w:rPr>
          <w:rFonts w:ascii="仿宋" w:eastAsia="仿宋" w:hAnsi="仿宋" w:hint="eastAsia"/>
          <w:b w:val="0"/>
        </w:rPr>
        <w:t>支</w:t>
      </w:r>
      <w:r>
        <w:rPr>
          <w:rStyle w:val="2Char"/>
          <w:rFonts w:ascii="仿宋" w:eastAsia="仿宋" w:hAnsi="仿宋" w:hint="eastAsia"/>
        </w:rPr>
        <w:t>出决算表</w:t>
      </w:r>
      <w:bookmarkEnd w:id="57"/>
    </w:p>
    <w:p w:rsidR="00FC5B9A" w:rsidRDefault="00A50BEA">
      <w:pPr>
        <w:pStyle w:val="2"/>
        <w:rPr>
          <w:rFonts w:ascii="仿宋" w:eastAsia="仿宋" w:hAnsi="仿宋"/>
          <w:b w:val="0"/>
        </w:rPr>
      </w:pPr>
      <w:bookmarkStart w:id="58" w:name="_Toc15396622"/>
      <w:r>
        <w:rPr>
          <w:rStyle w:val="2Char"/>
          <w:rFonts w:ascii="仿宋" w:eastAsia="仿宋" w:hAnsi="仿宋" w:hint="eastAsia"/>
        </w:rPr>
        <w:t>四、</w:t>
      </w:r>
      <w:r>
        <w:rPr>
          <w:rFonts w:ascii="仿宋" w:eastAsia="仿宋" w:hAnsi="仿宋" w:hint="eastAsia"/>
          <w:b w:val="0"/>
        </w:rPr>
        <w:t>财</w:t>
      </w:r>
      <w:r>
        <w:rPr>
          <w:rStyle w:val="2Char"/>
          <w:rFonts w:ascii="仿宋" w:eastAsia="仿宋" w:hAnsi="仿宋" w:hint="eastAsia"/>
        </w:rPr>
        <w:t>政拨款收入支出决算总表</w:t>
      </w:r>
      <w:bookmarkEnd w:id="58"/>
    </w:p>
    <w:p w:rsidR="00FC5B9A" w:rsidRDefault="00A50BEA">
      <w:pPr>
        <w:pStyle w:val="2"/>
        <w:rPr>
          <w:rStyle w:val="2Char"/>
          <w:rFonts w:ascii="仿宋" w:eastAsia="仿宋" w:hAnsi="仿宋"/>
        </w:rPr>
      </w:pPr>
      <w:bookmarkStart w:id="59" w:name="_Toc15396623"/>
      <w:r>
        <w:rPr>
          <w:rStyle w:val="2Char"/>
          <w:rFonts w:ascii="仿宋" w:eastAsia="仿宋" w:hAnsi="仿宋" w:hint="eastAsia"/>
        </w:rPr>
        <w:t>五、</w:t>
      </w:r>
      <w:r>
        <w:rPr>
          <w:rFonts w:ascii="仿宋" w:eastAsia="仿宋" w:hAnsi="仿宋" w:hint="eastAsia"/>
          <w:b w:val="0"/>
        </w:rPr>
        <w:t>财</w:t>
      </w:r>
      <w:r>
        <w:rPr>
          <w:rStyle w:val="2Char"/>
          <w:rFonts w:ascii="仿宋" w:eastAsia="仿宋" w:hAnsi="仿宋" w:hint="eastAsia"/>
        </w:rPr>
        <w:t>政拨款支出决算明细表</w:t>
      </w:r>
      <w:bookmarkStart w:id="60" w:name="_Toc15396624"/>
      <w:bookmarkEnd w:id="59"/>
    </w:p>
    <w:p w:rsidR="00FC5B9A" w:rsidRDefault="00A50BEA">
      <w:pPr>
        <w:pStyle w:val="2"/>
        <w:rPr>
          <w:rFonts w:ascii="仿宋" w:eastAsia="仿宋" w:hAnsi="仿宋"/>
        </w:rPr>
      </w:pPr>
      <w:r>
        <w:rPr>
          <w:rStyle w:val="2Char"/>
          <w:rFonts w:ascii="仿宋" w:eastAsia="仿宋" w:hAnsi="仿宋" w:hint="eastAsia"/>
        </w:rPr>
        <w:t>六、</w:t>
      </w:r>
      <w:r>
        <w:rPr>
          <w:rFonts w:ascii="仿宋" w:eastAsia="仿宋" w:hAnsi="仿宋" w:hint="eastAsia"/>
          <w:b w:val="0"/>
        </w:rPr>
        <w:t>一</w:t>
      </w:r>
      <w:r>
        <w:rPr>
          <w:rStyle w:val="2Char"/>
          <w:rFonts w:ascii="仿宋" w:eastAsia="仿宋" w:hAnsi="仿宋" w:hint="eastAsia"/>
        </w:rPr>
        <w:t>般公共预算财政拨款支出决算表</w:t>
      </w:r>
      <w:bookmarkEnd w:id="60"/>
    </w:p>
    <w:p w:rsidR="00FC5B9A" w:rsidRDefault="00A50BEA">
      <w:pPr>
        <w:pStyle w:val="2"/>
        <w:rPr>
          <w:rFonts w:ascii="仿宋" w:eastAsia="仿宋" w:hAnsi="仿宋"/>
        </w:rPr>
      </w:pPr>
      <w:bookmarkStart w:id="61" w:name="_Toc15396625"/>
      <w:r>
        <w:rPr>
          <w:rStyle w:val="2Char"/>
          <w:rFonts w:ascii="仿宋" w:eastAsia="仿宋" w:hAnsi="仿宋" w:hint="eastAsia"/>
        </w:rPr>
        <w:t>七、</w:t>
      </w:r>
      <w:r>
        <w:rPr>
          <w:rFonts w:ascii="仿宋" w:eastAsia="仿宋" w:hAnsi="仿宋" w:hint="eastAsia"/>
          <w:b w:val="0"/>
        </w:rPr>
        <w:t>一</w:t>
      </w:r>
      <w:r>
        <w:rPr>
          <w:rStyle w:val="2Char"/>
          <w:rFonts w:ascii="仿宋" w:eastAsia="仿宋" w:hAnsi="仿宋" w:hint="eastAsia"/>
        </w:rPr>
        <w:t>般公共预算财政拨款支出决算明细表</w:t>
      </w:r>
      <w:bookmarkEnd w:id="61"/>
    </w:p>
    <w:p w:rsidR="00FC5B9A" w:rsidRDefault="00A50BEA">
      <w:pPr>
        <w:pStyle w:val="2"/>
        <w:rPr>
          <w:rFonts w:ascii="仿宋" w:eastAsia="仿宋" w:hAnsi="仿宋"/>
        </w:rPr>
      </w:pPr>
      <w:bookmarkStart w:id="62" w:name="_Toc15396626"/>
      <w:r>
        <w:rPr>
          <w:rStyle w:val="2Char"/>
          <w:rFonts w:ascii="仿宋" w:eastAsia="仿宋" w:hAnsi="仿宋" w:hint="eastAsia"/>
        </w:rPr>
        <w:t>八、</w:t>
      </w:r>
      <w:r>
        <w:rPr>
          <w:rFonts w:ascii="仿宋" w:eastAsia="仿宋" w:hAnsi="仿宋" w:hint="eastAsia"/>
          <w:b w:val="0"/>
        </w:rPr>
        <w:t>一</w:t>
      </w:r>
      <w:r>
        <w:rPr>
          <w:rStyle w:val="2Char"/>
          <w:rFonts w:ascii="仿宋" w:eastAsia="仿宋" w:hAnsi="仿宋" w:hint="eastAsia"/>
        </w:rPr>
        <w:t>般公共预算财政拨款基本支出决算表</w:t>
      </w:r>
      <w:bookmarkEnd w:id="62"/>
    </w:p>
    <w:p w:rsidR="00FC5B9A" w:rsidRDefault="00A50BEA">
      <w:pPr>
        <w:pStyle w:val="2"/>
        <w:rPr>
          <w:rFonts w:ascii="仿宋" w:eastAsia="仿宋" w:hAnsi="仿宋"/>
        </w:rPr>
      </w:pPr>
      <w:bookmarkStart w:id="63" w:name="_Toc15396627"/>
      <w:r>
        <w:rPr>
          <w:rStyle w:val="2Char"/>
          <w:rFonts w:ascii="仿宋" w:eastAsia="仿宋" w:hAnsi="仿宋" w:hint="eastAsia"/>
        </w:rPr>
        <w:t>九、</w:t>
      </w:r>
      <w:r>
        <w:rPr>
          <w:rFonts w:ascii="仿宋" w:eastAsia="仿宋" w:hAnsi="仿宋" w:hint="eastAsia"/>
          <w:b w:val="0"/>
        </w:rPr>
        <w:t>一</w:t>
      </w:r>
      <w:r>
        <w:rPr>
          <w:rStyle w:val="2Char"/>
          <w:rFonts w:ascii="仿宋" w:eastAsia="仿宋" w:hAnsi="仿宋" w:hint="eastAsia"/>
        </w:rPr>
        <w:t>般公共预算财政拨款项目支出决算表</w:t>
      </w:r>
      <w:bookmarkEnd w:id="63"/>
    </w:p>
    <w:p w:rsidR="00FC5B9A" w:rsidRDefault="00A50BEA">
      <w:pPr>
        <w:pStyle w:val="2"/>
        <w:rPr>
          <w:rFonts w:ascii="仿宋" w:eastAsia="仿宋" w:hAnsi="仿宋"/>
        </w:rPr>
      </w:pPr>
      <w:bookmarkStart w:id="64" w:name="_Toc15396628"/>
      <w:r>
        <w:rPr>
          <w:rStyle w:val="2Char"/>
          <w:rFonts w:ascii="仿宋" w:eastAsia="仿宋" w:hAnsi="仿宋" w:hint="eastAsia"/>
        </w:rPr>
        <w:t>十、</w:t>
      </w:r>
      <w:bookmarkEnd w:id="64"/>
      <w:r>
        <w:rPr>
          <w:rFonts w:ascii="仿宋" w:eastAsia="仿宋" w:hAnsi="仿宋" w:hint="eastAsia"/>
          <w:b w:val="0"/>
        </w:rPr>
        <w:t>政</w:t>
      </w:r>
      <w:r>
        <w:rPr>
          <w:rStyle w:val="2Char"/>
          <w:rFonts w:ascii="仿宋" w:eastAsia="仿宋" w:hAnsi="仿宋" w:hint="eastAsia"/>
        </w:rPr>
        <w:t>府性基金预算财政拨款收入支出决算表</w:t>
      </w:r>
    </w:p>
    <w:p w:rsidR="00FC5B9A" w:rsidRDefault="00A50BEA">
      <w:pPr>
        <w:pStyle w:val="2"/>
        <w:rPr>
          <w:rFonts w:ascii="仿宋" w:eastAsia="仿宋" w:hAnsi="仿宋"/>
        </w:rPr>
      </w:pPr>
      <w:bookmarkStart w:id="65" w:name="_Toc15396629"/>
      <w:r>
        <w:rPr>
          <w:rStyle w:val="2Char"/>
          <w:rFonts w:ascii="仿宋" w:eastAsia="仿宋" w:hAnsi="仿宋" w:hint="eastAsia"/>
        </w:rPr>
        <w:t>十一、</w:t>
      </w:r>
      <w:bookmarkEnd w:id="65"/>
      <w:r>
        <w:rPr>
          <w:rFonts w:ascii="仿宋" w:eastAsia="仿宋" w:hAnsi="仿宋" w:hint="eastAsia"/>
          <w:b w:val="0"/>
        </w:rPr>
        <w:t>国</w:t>
      </w:r>
      <w:r>
        <w:rPr>
          <w:rStyle w:val="2Char"/>
          <w:rFonts w:ascii="仿宋" w:eastAsia="仿宋" w:hAnsi="仿宋" w:hint="eastAsia"/>
        </w:rPr>
        <w:t>有资本经营预算财政拨款收入支出决算表</w:t>
      </w:r>
    </w:p>
    <w:p w:rsidR="00FC5B9A" w:rsidRDefault="00A50BEA">
      <w:pPr>
        <w:pStyle w:val="2"/>
        <w:rPr>
          <w:rFonts w:ascii="仿宋" w:eastAsia="仿宋" w:hAnsi="仿宋"/>
        </w:rPr>
      </w:pPr>
      <w:bookmarkStart w:id="66" w:name="_Toc15396630"/>
      <w:r>
        <w:rPr>
          <w:rStyle w:val="2Char"/>
          <w:rFonts w:ascii="仿宋" w:eastAsia="仿宋" w:hAnsi="仿宋" w:hint="eastAsia"/>
        </w:rPr>
        <w:t>十二、</w:t>
      </w:r>
      <w:bookmarkEnd w:id="66"/>
      <w:r>
        <w:rPr>
          <w:rStyle w:val="2Char"/>
          <w:rFonts w:ascii="仿宋" w:eastAsia="仿宋" w:hAnsi="仿宋" w:hint="eastAsia"/>
        </w:rPr>
        <w:t>国有资本经营预算财政拨款支出决算表</w:t>
      </w:r>
    </w:p>
    <w:p w:rsidR="00FC5B9A" w:rsidRDefault="00A50BEA">
      <w:pPr>
        <w:pStyle w:val="2"/>
        <w:rPr>
          <w:rStyle w:val="2Char"/>
          <w:rFonts w:ascii="仿宋" w:eastAsia="仿宋" w:hAnsi="仿宋"/>
        </w:rPr>
      </w:pPr>
      <w:bookmarkStart w:id="67" w:name="_Toc15396631"/>
      <w:r>
        <w:rPr>
          <w:rStyle w:val="2Char"/>
          <w:rFonts w:ascii="仿宋" w:eastAsia="仿宋" w:hAnsi="仿宋" w:hint="eastAsia"/>
        </w:rPr>
        <w:t>十三、</w:t>
      </w:r>
      <w:bookmarkEnd w:id="67"/>
      <w:r>
        <w:rPr>
          <w:rStyle w:val="2Char"/>
          <w:rFonts w:ascii="仿宋" w:eastAsia="仿宋" w:hAnsi="仿宋" w:hint="eastAsia"/>
        </w:rPr>
        <w:t>财政拨款“三公”经费支出决算表</w:t>
      </w:r>
    </w:p>
    <w:p w:rsidR="00FC5B9A" w:rsidRDefault="00FC5B9A">
      <w:pPr>
        <w:widowControl/>
        <w:jc w:val="left"/>
        <w:sectPr w:rsidR="00FC5B9A">
          <w:footerReference w:type="default" r:id="rId19"/>
          <w:footerReference w:type="first" r:id="rId20"/>
          <w:pgSz w:w="11906" w:h="16838"/>
          <w:pgMar w:top="1440" w:right="1800" w:bottom="1440" w:left="1800" w:header="851" w:footer="992" w:gutter="0"/>
          <w:pgNumType w:start="1"/>
          <w:cols w:space="425"/>
          <w:titlePg/>
          <w:docGrid w:type="lines" w:linePitch="312"/>
        </w:sectPr>
      </w:pPr>
    </w:p>
    <w:p w:rsidR="00FC5B9A" w:rsidRDefault="00A50BEA">
      <w:pPr>
        <w:pStyle w:val="a0"/>
        <w:spacing w:before="93"/>
      </w:pPr>
      <w:r>
        <w:rPr>
          <w:rFonts w:hint="eastAsia"/>
          <w:noProof/>
        </w:rPr>
        <w:lastRenderedPageBreak/>
        <w:drawing>
          <wp:anchor distT="0" distB="0" distL="114300" distR="114300" simplePos="0" relativeHeight="251661312" behindDoc="0" locked="0" layoutInCell="1" allowOverlap="1">
            <wp:simplePos x="0" y="0"/>
            <wp:positionH relativeFrom="column">
              <wp:posOffset>76200</wp:posOffset>
            </wp:positionH>
            <wp:positionV relativeFrom="paragraph">
              <wp:posOffset>76200</wp:posOffset>
            </wp:positionV>
            <wp:extent cx="8801100" cy="5467350"/>
            <wp:effectExtent l="19050" t="0" r="0" b="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21"/>
                    <a:srcRect/>
                    <a:stretch>
                      <a:fillRect/>
                    </a:stretch>
                  </pic:blipFill>
                  <pic:spPr>
                    <a:xfrm>
                      <a:off x="0" y="0"/>
                      <a:ext cx="8801100" cy="5467350"/>
                    </a:xfrm>
                    <a:prstGeom prst="rect">
                      <a:avLst/>
                    </a:prstGeom>
                    <a:noFill/>
                    <a:ln w="9525">
                      <a:noFill/>
                      <a:miter lim="800000"/>
                      <a:headEnd/>
                      <a:tailEnd/>
                    </a:ln>
                  </pic:spPr>
                </pic:pic>
              </a:graphicData>
            </a:graphic>
          </wp:anchor>
        </w:drawing>
      </w:r>
    </w:p>
    <w:p w:rsidR="00FC5B9A" w:rsidRDefault="00FC5B9A">
      <w:pPr>
        <w:pStyle w:val="a0"/>
        <w:spacing w:before="93"/>
      </w:pPr>
    </w:p>
    <w:p w:rsidR="00FC5B9A" w:rsidRDefault="00FC5B9A">
      <w:pPr>
        <w:pStyle w:val="a0"/>
        <w:spacing w:before="93"/>
      </w:pPr>
    </w:p>
    <w:p w:rsidR="00FC5B9A" w:rsidRDefault="00FC5B9A">
      <w:pPr>
        <w:pStyle w:val="a0"/>
        <w:spacing w:before="93"/>
      </w:pPr>
    </w:p>
    <w:p w:rsidR="00FC5B9A" w:rsidRDefault="00FC5B9A">
      <w:pPr>
        <w:pStyle w:val="a0"/>
        <w:spacing w:before="93"/>
      </w:pPr>
    </w:p>
    <w:p w:rsidR="00FC5B9A" w:rsidRDefault="00FC5B9A">
      <w:pPr>
        <w:pStyle w:val="a0"/>
        <w:spacing w:before="93"/>
      </w:pPr>
    </w:p>
    <w:p w:rsidR="00FC5B9A" w:rsidRDefault="00FC5B9A">
      <w:pPr>
        <w:pStyle w:val="a0"/>
        <w:spacing w:before="93"/>
      </w:pPr>
    </w:p>
    <w:p w:rsidR="00FC5B9A" w:rsidRDefault="00FC5B9A">
      <w:pPr>
        <w:pStyle w:val="a0"/>
        <w:spacing w:before="93"/>
      </w:pPr>
    </w:p>
    <w:p w:rsidR="00FC5B9A" w:rsidRDefault="00FC5B9A">
      <w:pPr>
        <w:pStyle w:val="a0"/>
        <w:spacing w:before="93"/>
      </w:pPr>
    </w:p>
    <w:p w:rsidR="00FC5B9A" w:rsidRDefault="00FC5B9A">
      <w:pPr>
        <w:pStyle w:val="a0"/>
        <w:spacing w:before="93"/>
      </w:pPr>
    </w:p>
    <w:p w:rsidR="00FC5B9A" w:rsidRDefault="00FC5B9A">
      <w:pPr>
        <w:pStyle w:val="a0"/>
        <w:spacing w:before="93"/>
      </w:pPr>
    </w:p>
    <w:p w:rsidR="00FC5B9A" w:rsidRDefault="00A50BEA">
      <w:pPr>
        <w:pStyle w:val="a0"/>
        <w:spacing w:before="93"/>
      </w:pPr>
      <w:r>
        <w:rPr>
          <w:rFonts w:hint="eastAsia"/>
          <w:noProof/>
        </w:rPr>
        <w:lastRenderedPageBreak/>
        <w:drawing>
          <wp:inline distT="0" distB="0" distL="0" distR="0">
            <wp:extent cx="8862695" cy="5181600"/>
            <wp:effectExtent l="19050" t="0" r="0"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noChangeArrowheads="1"/>
                    </pic:cNvPicPr>
                  </pic:nvPicPr>
                  <pic:blipFill>
                    <a:blip r:embed="rId22"/>
                    <a:srcRect/>
                    <a:stretch>
                      <a:fillRect/>
                    </a:stretch>
                  </pic:blipFill>
                  <pic:spPr>
                    <a:xfrm>
                      <a:off x="0" y="0"/>
                      <a:ext cx="8863330" cy="5181922"/>
                    </a:xfrm>
                    <a:prstGeom prst="rect">
                      <a:avLst/>
                    </a:prstGeom>
                    <a:noFill/>
                    <a:ln w="9525">
                      <a:noFill/>
                      <a:miter lim="800000"/>
                      <a:headEnd/>
                      <a:tailEnd/>
                    </a:ln>
                  </pic:spPr>
                </pic:pic>
              </a:graphicData>
            </a:graphic>
          </wp:inline>
        </w:drawing>
      </w:r>
    </w:p>
    <w:p w:rsidR="00FC5B9A" w:rsidRDefault="00A50BEA">
      <w:pPr>
        <w:pStyle w:val="a0"/>
        <w:spacing w:before="93"/>
      </w:pPr>
      <w:r>
        <w:rPr>
          <w:rFonts w:hint="eastAsia"/>
          <w:noProof/>
        </w:rPr>
        <w:lastRenderedPageBreak/>
        <w:drawing>
          <wp:inline distT="0" distB="0" distL="0" distR="0">
            <wp:extent cx="8648065" cy="5086350"/>
            <wp:effectExtent l="19050" t="0" r="1" b="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noChangeArrowheads="1"/>
                    </pic:cNvPicPr>
                  </pic:nvPicPr>
                  <pic:blipFill>
                    <a:blip r:embed="rId23"/>
                    <a:srcRect/>
                    <a:stretch>
                      <a:fillRect/>
                    </a:stretch>
                  </pic:blipFill>
                  <pic:spPr>
                    <a:xfrm>
                      <a:off x="0" y="0"/>
                      <a:ext cx="8648032" cy="5085958"/>
                    </a:xfrm>
                    <a:prstGeom prst="rect">
                      <a:avLst/>
                    </a:prstGeom>
                    <a:noFill/>
                    <a:ln w="9525">
                      <a:noFill/>
                      <a:miter lim="800000"/>
                      <a:headEnd/>
                      <a:tailEnd/>
                    </a:ln>
                  </pic:spPr>
                </pic:pic>
              </a:graphicData>
            </a:graphic>
          </wp:inline>
        </w:drawing>
      </w:r>
    </w:p>
    <w:p w:rsidR="00FC5B9A" w:rsidRDefault="00A50BEA">
      <w:pPr>
        <w:pStyle w:val="a0"/>
        <w:spacing w:before="93"/>
      </w:pPr>
      <w:r>
        <w:rPr>
          <w:rFonts w:hint="eastAsia"/>
          <w:noProof/>
        </w:rPr>
        <w:lastRenderedPageBreak/>
        <w:drawing>
          <wp:inline distT="0" distB="0" distL="0" distR="0">
            <wp:extent cx="8801100" cy="4972050"/>
            <wp:effectExtent l="19050" t="0" r="0" b="0"/>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noChangeArrowheads="1"/>
                    </pic:cNvPicPr>
                  </pic:nvPicPr>
                  <pic:blipFill>
                    <a:blip r:embed="rId24"/>
                    <a:srcRect/>
                    <a:stretch>
                      <a:fillRect/>
                    </a:stretch>
                  </pic:blipFill>
                  <pic:spPr>
                    <a:xfrm>
                      <a:off x="0" y="0"/>
                      <a:ext cx="8806148" cy="4974902"/>
                    </a:xfrm>
                    <a:prstGeom prst="rect">
                      <a:avLst/>
                    </a:prstGeom>
                    <a:noFill/>
                    <a:ln w="9525">
                      <a:noFill/>
                      <a:miter lim="800000"/>
                      <a:headEnd/>
                      <a:tailEnd/>
                    </a:ln>
                  </pic:spPr>
                </pic:pic>
              </a:graphicData>
            </a:graphic>
          </wp:inline>
        </w:drawing>
      </w:r>
    </w:p>
    <w:p w:rsidR="00FC5B9A" w:rsidRDefault="00A50BEA">
      <w:pPr>
        <w:pStyle w:val="a0"/>
        <w:spacing w:before="93"/>
      </w:pPr>
      <w:r>
        <w:rPr>
          <w:rFonts w:hint="eastAsia"/>
          <w:noProof/>
        </w:rPr>
        <w:lastRenderedPageBreak/>
        <w:drawing>
          <wp:inline distT="0" distB="0" distL="0" distR="0">
            <wp:extent cx="8877300" cy="5210175"/>
            <wp:effectExtent l="19050" t="0" r="0" b="0"/>
            <wp:docPr id="2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3"/>
                    <pic:cNvPicPr>
                      <a:picLocks noChangeAspect="1" noChangeArrowheads="1"/>
                    </pic:cNvPicPr>
                  </pic:nvPicPr>
                  <pic:blipFill>
                    <a:blip r:embed="rId25"/>
                    <a:srcRect/>
                    <a:stretch>
                      <a:fillRect/>
                    </a:stretch>
                  </pic:blipFill>
                  <pic:spPr>
                    <a:xfrm>
                      <a:off x="0" y="0"/>
                      <a:ext cx="8877300" cy="5210175"/>
                    </a:xfrm>
                    <a:prstGeom prst="rect">
                      <a:avLst/>
                    </a:prstGeom>
                    <a:noFill/>
                    <a:ln w="9525">
                      <a:noFill/>
                      <a:miter lim="800000"/>
                      <a:headEnd/>
                      <a:tailEnd/>
                    </a:ln>
                  </pic:spPr>
                </pic:pic>
              </a:graphicData>
            </a:graphic>
          </wp:inline>
        </w:drawing>
      </w:r>
    </w:p>
    <w:p w:rsidR="00FC5B9A" w:rsidRDefault="00A50BEA">
      <w:pPr>
        <w:pStyle w:val="a0"/>
        <w:spacing w:before="93"/>
      </w:pPr>
      <w:r>
        <w:rPr>
          <w:rFonts w:hint="eastAsia"/>
          <w:noProof/>
        </w:rPr>
        <w:lastRenderedPageBreak/>
        <w:drawing>
          <wp:inline distT="0" distB="0" distL="0" distR="0">
            <wp:extent cx="8810625" cy="5172075"/>
            <wp:effectExtent l="19050" t="0" r="9525" b="0"/>
            <wp:docPr id="24"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7"/>
                    <pic:cNvPicPr>
                      <a:picLocks noChangeAspect="1" noChangeArrowheads="1"/>
                    </pic:cNvPicPr>
                  </pic:nvPicPr>
                  <pic:blipFill>
                    <a:blip r:embed="rId26"/>
                    <a:srcRect/>
                    <a:stretch>
                      <a:fillRect/>
                    </a:stretch>
                  </pic:blipFill>
                  <pic:spPr>
                    <a:xfrm>
                      <a:off x="0" y="0"/>
                      <a:ext cx="8810625" cy="5172075"/>
                    </a:xfrm>
                    <a:prstGeom prst="rect">
                      <a:avLst/>
                    </a:prstGeom>
                    <a:noFill/>
                    <a:ln w="9525">
                      <a:noFill/>
                      <a:miter lim="800000"/>
                      <a:headEnd/>
                      <a:tailEnd/>
                    </a:ln>
                  </pic:spPr>
                </pic:pic>
              </a:graphicData>
            </a:graphic>
          </wp:inline>
        </w:drawing>
      </w:r>
    </w:p>
    <w:p w:rsidR="00FC5B9A" w:rsidRDefault="00A50BEA">
      <w:pPr>
        <w:pStyle w:val="a0"/>
        <w:spacing w:before="93"/>
      </w:pPr>
      <w:r>
        <w:rPr>
          <w:rFonts w:hint="eastAsia"/>
          <w:noProof/>
        </w:rPr>
        <w:lastRenderedPageBreak/>
        <w:drawing>
          <wp:inline distT="0" distB="0" distL="0" distR="0">
            <wp:extent cx="8820150" cy="5172075"/>
            <wp:effectExtent l="19050" t="0" r="0" b="0"/>
            <wp:docPr id="25"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8"/>
                    <pic:cNvPicPr>
                      <a:picLocks noChangeAspect="1" noChangeArrowheads="1"/>
                    </pic:cNvPicPr>
                  </pic:nvPicPr>
                  <pic:blipFill>
                    <a:blip r:embed="rId27"/>
                    <a:srcRect/>
                    <a:stretch>
                      <a:fillRect/>
                    </a:stretch>
                  </pic:blipFill>
                  <pic:spPr>
                    <a:xfrm>
                      <a:off x="0" y="0"/>
                      <a:ext cx="8820150" cy="5172075"/>
                    </a:xfrm>
                    <a:prstGeom prst="rect">
                      <a:avLst/>
                    </a:prstGeom>
                    <a:noFill/>
                    <a:ln w="9525">
                      <a:noFill/>
                      <a:miter lim="800000"/>
                      <a:headEnd/>
                      <a:tailEnd/>
                    </a:ln>
                  </pic:spPr>
                </pic:pic>
              </a:graphicData>
            </a:graphic>
          </wp:inline>
        </w:drawing>
      </w:r>
    </w:p>
    <w:p w:rsidR="00FC5B9A" w:rsidRDefault="00A50BEA">
      <w:pPr>
        <w:pStyle w:val="a0"/>
        <w:spacing w:before="93"/>
      </w:pPr>
      <w:r>
        <w:rPr>
          <w:rFonts w:hint="eastAsia"/>
          <w:noProof/>
        </w:rPr>
        <w:lastRenderedPageBreak/>
        <w:drawing>
          <wp:inline distT="0" distB="0" distL="0" distR="0">
            <wp:extent cx="8877300" cy="5162550"/>
            <wp:effectExtent l="19050" t="0" r="0" b="0"/>
            <wp:docPr id="26"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9"/>
                    <pic:cNvPicPr>
                      <a:picLocks noChangeAspect="1" noChangeArrowheads="1"/>
                    </pic:cNvPicPr>
                  </pic:nvPicPr>
                  <pic:blipFill>
                    <a:blip r:embed="rId28"/>
                    <a:srcRect/>
                    <a:stretch>
                      <a:fillRect/>
                    </a:stretch>
                  </pic:blipFill>
                  <pic:spPr>
                    <a:xfrm>
                      <a:off x="0" y="0"/>
                      <a:ext cx="8877300" cy="5162550"/>
                    </a:xfrm>
                    <a:prstGeom prst="rect">
                      <a:avLst/>
                    </a:prstGeom>
                    <a:noFill/>
                    <a:ln w="9525">
                      <a:noFill/>
                      <a:miter lim="800000"/>
                      <a:headEnd/>
                      <a:tailEnd/>
                    </a:ln>
                  </pic:spPr>
                </pic:pic>
              </a:graphicData>
            </a:graphic>
          </wp:inline>
        </w:drawing>
      </w:r>
    </w:p>
    <w:p w:rsidR="00FC5B9A" w:rsidRDefault="00A50BEA">
      <w:pPr>
        <w:pStyle w:val="a0"/>
        <w:spacing w:before="93"/>
      </w:pPr>
      <w:r>
        <w:rPr>
          <w:rFonts w:hint="eastAsia"/>
          <w:noProof/>
        </w:rPr>
        <w:lastRenderedPageBreak/>
        <w:drawing>
          <wp:inline distT="0" distB="0" distL="0" distR="0">
            <wp:extent cx="8972550" cy="5105400"/>
            <wp:effectExtent l="19050" t="0" r="0" b="0"/>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noChangeArrowheads="1"/>
                    </pic:cNvPicPr>
                  </pic:nvPicPr>
                  <pic:blipFill>
                    <a:blip r:embed="rId29"/>
                    <a:srcRect/>
                    <a:stretch>
                      <a:fillRect/>
                    </a:stretch>
                  </pic:blipFill>
                  <pic:spPr>
                    <a:xfrm>
                      <a:off x="0" y="0"/>
                      <a:ext cx="8972550" cy="5105400"/>
                    </a:xfrm>
                    <a:prstGeom prst="rect">
                      <a:avLst/>
                    </a:prstGeom>
                    <a:noFill/>
                    <a:ln w="9525">
                      <a:noFill/>
                      <a:miter lim="800000"/>
                      <a:headEnd/>
                      <a:tailEnd/>
                    </a:ln>
                  </pic:spPr>
                </pic:pic>
              </a:graphicData>
            </a:graphic>
          </wp:inline>
        </w:drawing>
      </w:r>
    </w:p>
    <w:p w:rsidR="00FC5B9A" w:rsidRDefault="00A50BEA">
      <w:pPr>
        <w:pStyle w:val="a0"/>
        <w:spacing w:before="93"/>
      </w:pPr>
      <w:r>
        <w:rPr>
          <w:rFonts w:hint="eastAsia"/>
          <w:noProof/>
        </w:rPr>
        <w:lastRenderedPageBreak/>
        <w:drawing>
          <wp:inline distT="0" distB="0" distL="0" distR="0">
            <wp:extent cx="8972550" cy="5162550"/>
            <wp:effectExtent l="19050" t="0" r="0" b="0"/>
            <wp:docPr id="27"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0"/>
                    <pic:cNvPicPr>
                      <a:picLocks noChangeAspect="1" noChangeArrowheads="1"/>
                    </pic:cNvPicPr>
                  </pic:nvPicPr>
                  <pic:blipFill>
                    <a:blip r:embed="rId30"/>
                    <a:srcRect/>
                    <a:stretch>
                      <a:fillRect/>
                    </a:stretch>
                  </pic:blipFill>
                  <pic:spPr>
                    <a:xfrm>
                      <a:off x="0" y="0"/>
                      <a:ext cx="8968544" cy="5160245"/>
                    </a:xfrm>
                    <a:prstGeom prst="rect">
                      <a:avLst/>
                    </a:prstGeom>
                    <a:noFill/>
                    <a:ln w="9525">
                      <a:noFill/>
                      <a:miter lim="800000"/>
                      <a:headEnd/>
                      <a:tailEnd/>
                    </a:ln>
                  </pic:spPr>
                </pic:pic>
              </a:graphicData>
            </a:graphic>
          </wp:inline>
        </w:drawing>
      </w:r>
    </w:p>
    <w:p w:rsidR="00FC5B9A" w:rsidRDefault="00A50BEA">
      <w:pPr>
        <w:pStyle w:val="a0"/>
        <w:spacing w:before="93"/>
      </w:pPr>
      <w:r>
        <w:rPr>
          <w:rFonts w:hint="eastAsia"/>
          <w:noProof/>
        </w:rPr>
        <w:lastRenderedPageBreak/>
        <w:drawing>
          <wp:inline distT="0" distB="0" distL="0" distR="0">
            <wp:extent cx="8763000" cy="5067300"/>
            <wp:effectExtent l="19050" t="0" r="0" b="0"/>
            <wp:docPr id="28"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1"/>
                    <pic:cNvPicPr>
                      <a:picLocks noChangeAspect="1" noChangeArrowheads="1"/>
                    </pic:cNvPicPr>
                  </pic:nvPicPr>
                  <pic:blipFill>
                    <a:blip r:embed="rId31"/>
                    <a:srcRect/>
                    <a:stretch>
                      <a:fillRect/>
                    </a:stretch>
                  </pic:blipFill>
                  <pic:spPr>
                    <a:xfrm>
                      <a:off x="0" y="0"/>
                      <a:ext cx="8770121" cy="5071418"/>
                    </a:xfrm>
                    <a:prstGeom prst="rect">
                      <a:avLst/>
                    </a:prstGeom>
                    <a:noFill/>
                    <a:ln w="9525">
                      <a:noFill/>
                      <a:miter lim="800000"/>
                      <a:headEnd/>
                      <a:tailEnd/>
                    </a:ln>
                  </pic:spPr>
                </pic:pic>
              </a:graphicData>
            </a:graphic>
          </wp:inline>
        </w:drawing>
      </w:r>
    </w:p>
    <w:p w:rsidR="00FC5B9A" w:rsidRDefault="00A50BEA">
      <w:pPr>
        <w:pStyle w:val="a0"/>
        <w:spacing w:before="93"/>
      </w:pPr>
      <w:r>
        <w:rPr>
          <w:rFonts w:hint="eastAsia"/>
          <w:noProof/>
        </w:rPr>
        <w:lastRenderedPageBreak/>
        <w:drawing>
          <wp:inline distT="0" distB="0" distL="0" distR="0">
            <wp:extent cx="8867775" cy="5029200"/>
            <wp:effectExtent l="19050" t="0" r="9525" b="0"/>
            <wp:docPr id="30"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3"/>
                    <pic:cNvPicPr>
                      <a:picLocks noChangeAspect="1" noChangeArrowheads="1"/>
                    </pic:cNvPicPr>
                  </pic:nvPicPr>
                  <pic:blipFill>
                    <a:blip r:embed="rId32"/>
                    <a:srcRect/>
                    <a:stretch>
                      <a:fillRect/>
                    </a:stretch>
                  </pic:blipFill>
                  <pic:spPr>
                    <a:xfrm>
                      <a:off x="0" y="0"/>
                      <a:ext cx="8872860" cy="5032084"/>
                    </a:xfrm>
                    <a:prstGeom prst="rect">
                      <a:avLst/>
                    </a:prstGeom>
                    <a:noFill/>
                    <a:ln w="9525">
                      <a:noFill/>
                      <a:miter lim="800000"/>
                      <a:headEnd/>
                      <a:tailEnd/>
                    </a:ln>
                  </pic:spPr>
                </pic:pic>
              </a:graphicData>
            </a:graphic>
          </wp:inline>
        </w:drawing>
      </w:r>
    </w:p>
    <w:p w:rsidR="00FC5B9A" w:rsidRDefault="00A50BEA">
      <w:pPr>
        <w:pStyle w:val="a0"/>
        <w:spacing w:before="93"/>
      </w:pPr>
      <w:r>
        <w:rPr>
          <w:rFonts w:hint="eastAsia"/>
          <w:noProof/>
        </w:rPr>
        <w:lastRenderedPageBreak/>
        <w:drawing>
          <wp:inline distT="0" distB="0" distL="0" distR="0">
            <wp:extent cx="8859520" cy="5086350"/>
            <wp:effectExtent l="19050" t="0" r="0" b="0"/>
            <wp:docPr id="31"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4"/>
                    <pic:cNvPicPr>
                      <a:picLocks noChangeAspect="1" noChangeArrowheads="1"/>
                    </pic:cNvPicPr>
                  </pic:nvPicPr>
                  <pic:blipFill>
                    <a:blip r:embed="rId33"/>
                    <a:srcRect/>
                    <a:stretch>
                      <a:fillRect/>
                    </a:stretch>
                  </pic:blipFill>
                  <pic:spPr>
                    <a:xfrm>
                      <a:off x="0" y="0"/>
                      <a:ext cx="8863330" cy="5088186"/>
                    </a:xfrm>
                    <a:prstGeom prst="rect">
                      <a:avLst/>
                    </a:prstGeom>
                    <a:noFill/>
                    <a:ln w="9525">
                      <a:noFill/>
                      <a:miter lim="800000"/>
                      <a:headEnd/>
                      <a:tailEnd/>
                    </a:ln>
                  </pic:spPr>
                </pic:pic>
              </a:graphicData>
            </a:graphic>
          </wp:inline>
        </w:drawing>
      </w:r>
    </w:p>
    <w:p w:rsidR="00FC5B9A" w:rsidRDefault="00A50BEA">
      <w:pPr>
        <w:pStyle w:val="a0"/>
        <w:spacing w:before="93"/>
      </w:pPr>
      <w:r>
        <w:rPr>
          <w:rFonts w:hint="eastAsia"/>
          <w:noProof/>
        </w:rPr>
        <w:lastRenderedPageBreak/>
        <w:drawing>
          <wp:inline distT="0" distB="0" distL="0" distR="0">
            <wp:extent cx="8791575" cy="5029200"/>
            <wp:effectExtent l="19050" t="0" r="9525" b="0"/>
            <wp:docPr id="32"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5"/>
                    <pic:cNvPicPr>
                      <a:picLocks noChangeAspect="1" noChangeArrowheads="1"/>
                    </pic:cNvPicPr>
                  </pic:nvPicPr>
                  <pic:blipFill>
                    <a:blip r:embed="rId34"/>
                    <a:srcRect/>
                    <a:stretch>
                      <a:fillRect/>
                    </a:stretch>
                  </pic:blipFill>
                  <pic:spPr>
                    <a:xfrm>
                      <a:off x="0" y="0"/>
                      <a:ext cx="8788420" cy="5027395"/>
                    </a:xfrm>
                    <a:prstGeom prst="rect">
                      <a:avLst/>
                    </a:prstGeom>
                    <a:noFill/>
                    <a:ln w="9525">
                      <a:noFill/>
                      <a:miter lim="800000"/>
                      <a:headEnd/>
                      <a:tailEnd/>
                    </a:ln>
                  </pic:spPr>
                </pic:pic>
              </a:graphicData>
            </a:graphic>
          </wp:inline>
        </w:drawing>
      </w:r>
    </w:p>
    <w:p w:rsidR="00FC5B9A" w:rsidRDefault="00A50BEA">
      <w:pPr>
        <w:pStyle w:val="a0"/>
        <w:spacing w:before="93"/>
      </w:pPr>
      <w:r>
        <w:rPr>
          <w:rFonts w:hint="eastAsia"/>
          <w:noProof/>
        </w:rPr>
        <w:lastRenderedPageBreak/>
        <w:drawing>
          <wp:inline distT="0" distB="0" distL="0" distR="0">
            <wp:extent cx="8857615" cy="5067300"/>
            <wp:effectExtent l="19050" t="0" r="79" b="0"/>
            <wp:docPr id="33"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6"/>
                    <pic:cNvPicPr>
                      <a:picLocks noChangeAspect="1" noChangeArrowheads="1"/>
                    </pic:cNvPicPr>
                  </pic:nvPicPr>
                  <pic:blipFill>
                    <a:blip r:embed="rId35"/>
                    <a:srcRect/>
                    <a:stretch>
                      <a:fillRect/>
                    </a:stretch>
                  </pic:blipFill>
                  <pic:spPr>
                    <a:xfrm>
                      <a:off x="0" y="0"/>
                      <a:ext cx="8863330" cy="5070251"/>
                    </a:xfrm>
                    <a:prstGeom prst="rect">
                      <a:avLst/>
                    </a:prstGeom>
                    <a:noFill/>
                    <a:ln w="9525">
                      <a:noFill/>
                      <a:miter lim="800000"/>
                      <a:headEnd/>
                      <a:tailEnd/>
                    </a:ln>
                  </pic:spPr>
                </pic:pic>
              </a:graphicData>
            </a:graphic>
          </wp:inline>
        </w:drawing>
      </w:r>
    </w:p>
    <w:p w:rsidR="00FC5B9A" w:rsidRDefault="00A50BEA">
      <w:pPr>
        <w:pStyle w:val="a0"/>
        <w:spacing w:before="93"/>
      </w:pPr>
      <w:r>
        <w:rPr>
          <w:rFonts w:hint="eastAsia"/>
          <w:noProof/>
        </w:rPr>
        <w:lastRenderedPageBreak/>
        <w:drawing>
          <wp:inline distT="0" distB="0" distL="0" distR="0">
            <wp:extent cx="8863965" cy="5143500"/>
            <wp:effectExtent l="19050" t="0" r="0" b="0"/>
            <wp:docPr id="34"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7"/>
                    <pic:cNvPicPr>
                      <a:picLocks noChangeAspect="1" noChangeArrowheads="1"/>
                    </pic:cNvPicPr>
                  </pic:nvPicPr>
                  <pic:blipFill>
                    <a:blip r:embed="rId36"/>
                    <a:srcRect/>
                    <a:stretch>
                      <a:fillRect/>
                    </a:stretch>
                  </pic:blipFill>
                  <pic:spPr>
                    <a:xfrm>
                      <a:off x="0" y="0"/>
                      <a:ext cx="8863330" cy="5143127"/>
                    </a:xfrm>
                    <a:prstGeom prst="rect">
                      <a:avLst/>
                    </a:prstGeom>
                    <a:noFill/>
                    <a:ln w="9525">
                      <a:noFill/>
                      <a:miter lim="800000"/>
                      <a:headEnd/>
                      <a:tailEnd/>
                    </a:ln>
                  </pic:spPr>
                </pic:pic>
              </a:graphicData>
            </a:graphic>
          </wp:inline>
        </w:drawing>
      </w:r>
    </w:p>
    <w:p w:rsidR="00FC5B9A" w:rsidRDefault="00A50BEA">
      <w:pPr>
        <w:pStyle w:val="a0"/>
        <w:spacing w:before="93"/>
      </w:pPr>
      <w:r>
        <w:rPr>
          <w:rFonts w:hint="eastAsia"/>
          <w:noProof/>
        </w:rPr>
        <w:lastRenderedPageBreak/>
        <w:drawing>
          <wp:inline distT="0" distB="0" distL="0" distR="0">
            <wp:extent cx="8864600" cy="5048250"/>
            <wp:effectExtent l="19050" t="0" r="0" b="0"/>
            <wp:docPr id="36"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29"/>
                    <pic:cNvPicPr>
                      <a:picLocks noChangeAspect="1" noChangeArrowheads="1"/>
                    </pic:cNvPicPr>
                  </pic:nvPicPr>
                  <pic:blipFill>
                    <a:blip r:embed="rId37"/>
                    <a:srcRect/>
                    <a:stretch>
                      <a:fillRect/>
                    </a:stretch>
                  </pic:blipFill>
                  <pic:spPr>
                    <a:xfrm>
                      <a:off x="0" y="0"/>
                      <a:ext cx="8863330" cy="5047193"/>
                    </a:xfrm>
                    <a:prstGeom prst="rect">
                      <a:avLst/>
                    </a:prstGeom>
                    <a:noFill/>
                    <a:ln w="9525">
                      <a:noFill/>
                      <a:miter lim="800000"/>
                      <a:headEnd/>
                      <a:tailEnd/>
                    </a:ln>
                  </pic:spPr>
                </pic:pic>
              </a:graphicData>
            </a:graphic>
          </wp:inline>
        </w:drawing>
      </w:r>
    </w:p>
    <w:p w:rsidR="00FC5B9A" w:rsidRDefault="00FC5B9A">
      <w:pPr>
        <w:pStyle w:val="a0"/>
        <w:spacing w:before="93"/>
      </w:pPr>
    </w:p>
    <w:p w:rsidR="00FC5B9A" w:rsidRDefault="00A50BEA">
      <w:pPr>
        <w:pStyle w:val="a0"/>
        <w:spacing w:before="93"/>
      </w:pPr>
      <w:r>
        <w:rPr>
          <w:rFonts w:hint="eastAsia"/>
          <w:noProof/>
        </w:rPr>
        <w:drawing>
          <wp:inline distT="0" distB="0" distL="0" distR="0">
            <wp:extent cx="8305800" cy="3838575"/>
            <wp:effectExtent l="19050" t="0" r="0" b="0"/>
            <wp:docPr id="38"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0"/>
                    <pic:cNvPicPr>
                      <a:picLocks noChangeAspect="1" noChangeArrowheads="1"/>
                    </pic:cNvPicPr>
                  </pic:nvPicPr>
                  <pic:blipFill>
                    <a:blip r:embed="rId38"/>
                    <a:srcRect/>
                    <a:stretch>
                      <a:fillRect/>
                    </a:stretch>
                  </pic:blipFill>
                  <pic:spPr>
                    <a:xfrm>
                      <a:off x="0" y="0"/>
                      <a:ext cx="8310060" cy="3840544"/>
                    </a:xfrm>
                    <a:prstGeom prst="rect">
                      <a:avLst/>
                    </a:prstGeom>
                    <a:noFill/>
                    <a:ln w="9525">
                      <a:noFill/>
                      <a:miter lim="800000"/>
                      <a:headEnd/>
                      <a:tailEnd/>
                    </a:ln>
                  </pic:spPr>
                </pic:pic>
              </a:graphicData>
            </a:graphic>
          </wp:inline>
        </w:drawing>
      </w:r>
    </w:p>
    <w:p w:rsidR="00FC5B9A" w:rsidRDefault="00FC5B9A">
      <w:pPr>
        <w:pStyle w:val="a0"/>
        <w:spacing w:before="93"/>
      </w:pPr>
    </w:p>
    <w:p w:rsidR="00FC5B9A" w:rsidRDefault="00FC5B9A">
      <w:pPr>
        <w:pStyle w:val="a0"/>
        <w:spacing w:before="93"/>
      </w:pPr>
    </w:p>
    <w:p w:rsidR="00FC5B9A" w:rsidRDefault="00A50BEA">
      <w:pPr>
        <w:pStyle w:val="a0"/>
        <w:spacing w:before="93"/>
      </w:pPr>
      <w:r>
        <w:rPr>
          <w:rFonts w:hint="eastAsia"/>
          <w:noProof/>
        </w:rPr>
        <w:drawing>
          <wp:inline distT="0" distB="0" distL="0" distR="0">
            <wp:extent cx="8864600" cy="4076700"/>
            <wp:effectExtent l="19050" t="0" r="0" b="0"/>
            <wp:docPr id="39"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1"/>
                    <pic:cNvPicPr>
                      <a:picLocks noChangeAspect="1" noChangeArrowheads="1"/>
                    </pic:cNvPicPr>
                  </pic:nvPicPr>
                  <pic:blipFill>
                    <a:blip r:embed="rId39"/>
                    <a:srcRect/>
                    <a:stretch>
                      <a:fillRect/>
                    </a:stretch>
                  </pic:blipFill>
                  <pic:spPr>
                    <a:xfrm>
                      <a:off x="0" y="0"/>
                      <a:ext cx="8863330" cy="4075984"/>
                    </a:xfrm>
                    <a:prstGeom prst="rect">
                      <a:avLst/>
                    </a:prstGeom>
                    <a:noFill/>
                    <a:ln w="9525">
                      <a:noFill/>
                      <a:miter lim="800000"/>
                      <a:headEnd/>
                      <a:tailEnd/>
                    </a:ln>
                  </pic:spPr>
                </pic:pic>
              </a:graphicData>
            </a:graphic>
          </wp:inline>
        </w:drawing>
      </w:r>
    </w:p>
    <w:p w:rsidR="00FC5B9A" w:rsidRDefault="00FC5B9A">
      <w:pPr>
        <w:pStyle w:val="a0"/>
        <w:spacing w:before="93"/>
      </w:pPr>
    </w:p>
    <w:p w:rsidR="00FC5B9A" w:rsidRDefault="00FC5B9A">
      <w:pPr>
        <w:pStyle w:val="a0"/>
        <w:spacing w:before="93"/>
      </w:pPr>
    </w:p>
    <w:p w:rsidR="00FC5B9A" w:rsidRDefault="00FC5B9A">
      <w:pPr>
        <w:pStyle w:val="a0"/>
        <w:spacing w:before="93"/>
      </w:pPr>
    </w:p>
    <w:p w:rsidR="00FC5B9A" w:rsidRDefault="00A50BEA">
      <w:pPr>
        <w:pStyle w:val="a0"/>
        <w:spacing w:before="93"/>
      </w:pPr>
      <w:r>
        <w:rPr>
          <w:rFonts w:hint="eastAsia"/>
          <w:noProof/>
        </w:rPr>
        <w:drawing>
          <wp:inline distT="0" distB="0" distL="0" distR="0">
            <wp:extent cx="7867650" cy="3600450"/>
            <wp:effectExtent l="19050" t="0" r="0" b="0"/>
            <wp:docPr id="4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2"/>
                    <pic:cNvPicPr>
                      <a:picLocks noChangeAspect="1" noChangeArrowheads="1"/>
                    </pic:cNvPicPr>
                  </pic:nvPicPr>
                  <pic:blipFill>
                    <a:blip r:embed="rId40"/>
                    <a:srcRect/>
                    <a:stretch>
                      <a:fillRect/>
                    </a:stretch>
                  </pic:blipFill>
                  <pic:spPr>
                    <a:xfrm>
                      <a:off x="0" y="0"/>
                      <a:ext cx="7867650" cy="3600450"/>
                    </a:xfrm>
                    <a:prstGeom prst="rect">
                      <a:avLst/>
                    </a:prstGeom>
                    <a:noFill/>
                    <a:ln w="9525">
                      <a:noFill/>
                      <a:miter lim="800000"/>
                      <a:headEnd/>
                      <a:tailEnd/>
                    </a:ln>
                  </pic:spPr>
                </pic:pic>
              </a:graphicData>
            </a:graphic>
          </wp:inline>
        </w:drawing>
      </w:r>
    </w:p>
    <w:p w:rsidR="00FC5B9A" w:rsidRDefault="00FC5B9A">
      <w:pPr>
        <w:pStyle w:val="a0"/>
        <w:spacing w:before="93"/>
      </w:pPr>
    </w:p>
    <w:p w:rsidR="00FC5B9A" w:rsidRDefault="00FC5B9A">
      <w:pPr>
        <w:pStyle w:val="a0"/>
        <w:spacing w:before="93"/>
      </w:pPr>
    </w:p>
    <w:p w:rsidR="00FC5B9A" w:rsidRDefault="00FC5B9A">
      <w:pPr>
        <w:pStyle w:val="a0"/>
        <w:spacing w:before="93"/>
      </w:pPr>
    </w:p>
    <w:p w:rsidR="00FC5B9A" w:rsidRDefault="00A50BEA">
      <w:pPr>
        <w:pStyle w:val="a0"/>
        <w:spacing w:before="93"/>
      </w:pPr>
      <w:r>
        <w:rPr>
          <w:rFonts w:hint="eastAsia"/>
          <w:noProof/>
        </w:rPr>
        <w:drawing>
          <wp:inline distT="0" distB="0" distL="0" distR="0">
            <wp:extent cx="8029575" cy="3724275"/>
            <wp:effectExtent l="19050" t="0" r="9525" b="0"/>
            <wp:docPr id="41"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33"/>
                    <pic:cNvPicPr>
                      <a:picLocks noChangeAspect="1" noChangeArrowheads="1"/>
                    </pic:cNvPicPr>
                  </pic:nvPicPr>
                  <pic:blipFill>
                    <a:blip r:embed="rId41"/>
                    <a:srcRect/>
                    <a:stretch>
                      <a:fillRect/>
                    </a:stretch>
                  </pic:blipFill>
                  <pic:spPr>
                    <a:xfrm>
                      <a:off x="0" y="0"/>
                      <a:ext cx="8029575" cy="3724275"/>
                    </a:xfrm>
                    <a:prstGeom prst="rect">
                      <a:avLst/>
                    </a:prstGeom>
                    <a:noFill/>
                    <a:ln w="9525">
                      <a:noFill/>
                      <a:miter lim="800000"/>
                      <a:headEnd/>
                      <a:tailEnd/>
                    </a:ln>
                  </pic:spPr>
                </pic:pic>
              </a:graphicData>
            </a:graphic>
          </wp:inline>
        </w:drawing>
      </w:r>
    </w:p>
    <w:p w:rsidR="00FC5B9A" w:rsidRDefault="00FC5B9A">
      <w:pPr>
        <w:pStyle w:val="a0"/>
        <w:spacing w:before="93"/>
      </w:pPr>
    </w:p>
    <w:p w:rsidR="00FC5B9A" w:rsidRDefault="00FC5B9A">
      <w:pPr>
        <w:pStyle w:val="a0"/>
        <w:spacing w:before="93"/>
      </w:pPr>
    </w:p>
    <w:p w:rsidR="00FC5B9A" w:rsidRDefault="00FC5B9A">
      <w:pPr>
        <w:pStyle w:val="a0"/>
        <w:spacing w:before="93"/>
      </w:pPr>
    </w:p>
    <w:p w:rsidR="00FC5B9A" w:rsidRDefault="00A50BEA">
      <w:pPr>
        <w:pStyle w:val="a0"/>
        <w:spacing w:before="93"/>
      </w:pPr>
      <w:r>
        <w:rPr>
          <w:rFonts w:hint="eastAsia"/>
          <w:noProof/>
        </w:rPr>
        <w:drawing>
          <wp:inline distT="0" distB="0" distL="0" distR="0">
            <wp:extent cx="8763000" cy="3695700"/>
            <wp:effectExtent l="19050" t="0" r="0" b="0"/>
            <wp:docPr id="42"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34"/>
                    <pic:cNvPicPr>
                      <a:picLocks noChangeAspect="1" noChangeArrowheads="1"/>
                    </pic:cNvPicPr>
                  </pic:nvPicPr>
                  <pic:blipFill>
                    <a:blip r:embed="rId42"/>
                    <a:srcRect/>
                    <a:stretch>
                      <a:fillRect/>
                    </a:stretch>
                  </pic:blipFill>
                  <pic:spPr>
                    <a:xfrm>
                      <a:off x="0" y="0"/>
                      <a:ext cx="8760101" cy="3694477"/>
                    </a:xfrm>
                    <a:prstGeom prst="rect">
                      <a:avLst/>
                    </a:prstGeom>
                    <a:noFill/>
                    <a:ln w="9525">
                      <a:noFill/>
                      <a:miter lim="800000"/>
                      <a:headEnd/>
                      <a:tailEnd/>
                    </a:ln>
                  </pic:spPr>
                </pic:pic>
              </a:graphicData>
            </a:graphic>
          </wp:inline>
        </w:drawing>
      </w:r>
    </w:p>
    <w:p w:rsidR="00FC5B9A" w:rsidRDefault="00FC5B9A">
      <w:pPr>
        <w:pStyle w:val="a0"/>
        <w:spacing w:before="93"/>
      </w:pPr>
    </w:p>
    <w:sectPr w:rsidR="00FC5B9A" w:rsidSect="00FC5B9A">
      <w:pgSz w:w="16838" w:h="11906" w:orient="landscape"/>
      <w:pgMar w:top="1800" w:right="1440" w:bottom="1800" w:left="1440" w:header="851" w:footer="992"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02AE" w:rsidRDefault="004802AE" w:rsidP="00FC5B9A">
      <w:r>
        <w:separator/>
      </w:r>
    </w:p>
  </w:endnote>
  <w:endnote w:type="continuationSeparator" w:id="1">
    <w:p w:rsidR="004802AE" w:rsidRDefault="004802AE" w:rsidP="00FC5B9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Arial Unicode MS"/>
    <w:charset w:val="86"/>
    <w:family w:val="modern"/>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
    <w:altName w:val="Times New Roman"/>
    <w:charset w:val="00"/>
    <w:family w:val="roman"/>
    <w:pitch w:val="default"/>
    <w:sig w:usb0="00000000" w:usb1="00000000" w:usb2="00000000" w:usb3="00000000" w:csb0="00000000" w:csb1="00000000"/>
  </w:font>
  <w:font w:name="方正小标宋简体">
    <w:altName w:val="Arial Unicode MS"/>
    <w:charset w:val="86"/>
    <w:family w:val="auto"/>
    <w:pitch w:val="default"/>
    <w:sig w:usb0="00000000" w:usb1="080E0000" w:usb2="00000000" w:usb3="00000000" w:csb0="00040000" w:csb1="00000000"/>
  </w:font>
  <w:font w:name="方正小标宋_GBK">
    <w:panose1 w:val="03000509000000000000"/>
    <w:charset w:val="86"/>
    <w:family w:val="script"/>
    <w:pitch w:val="fixed"/>
    <w:sig w:usb0="00000001" w:usb1="080E0000" w:usb2="00000010" w:usb3="00000000" w:csb0="00040000" w:csb1="00000000"/>
  </w:font>
  <w:font w:name="楷体_GB2312">
    <w:altName w:val="Arial Unicode MS"/>
    <w:charset w:val="86"/>
    <w:family w:val="modern"/>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B9A" w:rsidRDefault="00A7399A">
    <w:pPr>
      <w:pStyle w:val="a6"/>
      <w:jc w:val="center"/>
    </w:pPr>
    <w:r w:rsidRPr="00A7399A">
      <w:fldChar w:fldCharType="begin"/>
    </w:r>
    <w:r w:rsidR="00A50BEA">
      <w:instrText>PAGE   \* MERGEFORMAT</w:instrText>
    </w:r>
    <w:r w:rsidRPr="00A7399A">
      <w:fldChar w:fldCharType="separate"/>
    </w:r>
    <w:r w:rsidR="006C7D11" w:rsidRPr="006C7D11">
      <w:rPr>
        <w:noProof/>
        <w:lang w:val="zh-CN"/>
      </w:rPr>
      <w:t>3</w:t>
    </w:r>
    <w:r>
      <w:rPr>
        <w:lang w:val="zh-CN"/>
      </w:rPr>
      <w:fldChar w:fldCharType="end"/>
    </w:r>
  </w:p>
  <w:p w:rsidR="00FC5B9A" w:rsidRDefault="00FC5B9A">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B9A" w:rsidRDefault="00A7399A">
    <w:pPr>
      <w:pStyle w:val="a6"/>
      <w:jc w:val="center"/>
    </w:pPr>
    <w:r>
      <w:pict>
        <v:shapetype id="_x0000_t202" coordsize="21600,21600" o:spt="202" path="m,l,21600r21600,l21600,xe">
          <v:stroke joinstyle="miter"/>
          <v:path gradientshapeok="t" o:connecttype="rect"/>
        </v:shapetype>
        <v:shape id="_x0000_s3073" type="#_x0000_t202" style="position:absolute;left:0;text-align:left;margin-left:0;margin-top:0;width:2in;height:2in;z-index:251659264;mso-wrap-style:none;mso-position-horizontal:center;mso-position-horizontal-relative:margin" filled="f" stroked="f">
          <v:textbox style="mso-fit-shape-to-text:t" inset="0,0,0,0">
            <w:txbxContent>
              <w:sdt>
                <w:sdtPr>
                  <w:id w:val="10319486"/>
                </w:sdtPr>
                <w:sdtContent>
                  <w:p w:rsidR="00FC5B9A" w:rsidRDefault="00A7399A">
                    <w:pPr>
                      <w:pStyle w:val="a6"/>
                      <w:jc w:val="center"/>
                    </w:pPr>
                    <w:r w:rsidRPr="00A7399A">
                      <w:fldChar w:fldCharType="begin"/>
                    </w:r>
                    <w:r w:rsidR="00A50BEA">
                      <w:instrText>PAGE   \* MERGEFORMAT</w:instrText>
                    </w:r>
                    <w:r w:rsidRPr="00A7399A">
                      <w:fldChar w:fldCharType="separate"/>
                    </w:r>
                    <w:r w:rsidR="006C7D11" w:rsidRPr="006C7D11">
                      <w:rPr>
                        <w:noProof/>
                        <w:lang w:val="zh-CN"/>
                      </w:rPr>
                      <w:t>21</w:t>
                    </w:r>
                    <w:r>
                      <w:rPr>
                        <w:lang w:val="zh-CN"/>
                      </w:rPr>
                      <w:fldChar w:fldCharType="end"/>
                    </w:r>
                  </w:p>
                </w:sdtContent>
              </w:sdt>
              <w:p w:rsidR="00FC5B9A" w:rsidRDefault="00FC5B9A" w:rsidP="00F57344">
                <w:pPr>
                  <w:pStyle w:val="a0"/>
                  <w:spacing w:before="72"/>
                </w:pPr>
              </w:p>
            </w:txbxContent>
          </v:textbox>
          <w10:wrap anchorx="margin"/>
        </v:shape>
      </w:pict>
    </w:r>
  </w:p>
  <w:p w:rsidR="00FC5B9A" w:rsidRDefault="00FC5B9A">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B9A" w:rsidRDefault="00A7399A">
    <w:pPr>
      <w:pStyle w:val="a6"/>
    </w:pPr>
    <w:r>
      <w:pict>
        <v:shapetype id="_x0000_t202" coordsize="21600,21600" o:spt="202" path="m,l,21600r21600,l21600,xe">
          <v:stroke joinstyle="miter"/>
          <v:path gradientshapeok="t" o:connecttype="rect"/>
        </v:shapetype>
        <v:shape id="_x0000_s3074" type="#_x0000_t202" style="position:absolute;margin-left:0;margin-top:0;width:2in;height:2in;z-index:251660288;mso-wrap-style:none;mso-position-horizontal:center;mso-position-horizontal-relative:margin" filled="f" stroked="f">
          <v:textbox style="mso-fit-shape-to-text:t" inset="0,0,0,0">
            <w:txbxContent>
              <w:p w:rsidR="00FC5B9A" w:rsidRDefault="00A7399A">
                <w:pPr>
                  <w:pStyle w:val="a6"/>
                </w:pPr>
                <w:r>
                  <w:fldChar w:fldCharType="begin"/>
                </w:r>
                <w:r w:rsidR="00A50BEA">
                  <w:instrText xml:space="preserve"> PAGE  \* MERGEFORMAT </w:instrText>
                </w:r>
                <w:r>
                  <w:fldChar w:fldCharType="separate"/>
                </w:r>
                <w:r w:rsidR="006C7D11">
                  <w:rPr>
                    <w:noProof/>
                  </w:rPr>
                  <w:t>1</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02AE" w:rsidRDefault="004802AE" w:rsidP="00FC5B9A">
      <w:r>
        <w:separator/>
      </w:r>
    </w:p>
  </w:footnote>
  <w:footnote w:type="continuationSeparator" w:id="1">
    <w:p w:rsidR="004802AE" w:rsidRDefault="004802AE" w:rsidP="00FC5B9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B9A" w:rsidRDefault="00FC5B9A">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DEBEF323"/>
    <w:multiLevelType w:val="singleLevel"/>
    <w:tmpl w:val="DEBEF323"/>
    <w:lvl w:ilvl="0">
      <w:start w:val="4"/>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hint="eastAsia"/>
      </w:rPr>
    </w:lvl>
  </w:abstractNum>
  <w:abstractNum w:abstractNumId="3">
    <w:nsid w:val="FFF674BC"/>
    <w:multiLevelType w:val="singleLevel"/>
    <w:tmpl w:val="FFF674BC"/>
    <w:lvl w:ilvl="0">
      <w:start w:val="1"/>
      <w:numFmt w:val="chineseCounting"/>
      <w:suff w:val="nothing"/>
      <w:lvlText w:val="%1、"/>
      <w:lvlJc w:val="left"/>
      <w:rPr>
        <w:rFonts w:hint="eastAsia"/>
      </w:rPr>
    </w:lvl>
  </w:abstractNum>
  <w:abstractNum w:abstractNumId="4">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5">
    <w:nsid w:val="312926D2"/>
    <w:multiLevelType w:val="multilevel"/>
    <w:tmpl w:val="312926D2"/>
    <w:lvl w:ilvl="0">
      <w:start w:val="1"/>
      <w:numFmt w:val="japaneseCounting"/>
      <w:lvlText w:val="（%1）"/>
      <w:lvlJc w:val="left"/>
      <w:pPr>
        <w:ind w:left="1648" w:hanging="1005"/>
      </w:pPr>
      <w:rPr>
        <w:rFonts w:hint="default"/>
      </w:rPr>
    </w:lvl>
    <w:lvl w:ilvl="1">
      <w:start w:val="1"/>
      <w:numFmt w:val="lowerLetter"/>
      <w:lvlText w:val="%2)"/>
      <w:lvlJc w:val="left"/>
      <w:pPr>
        <w:ind w:left="1483" w:hanging="420"/>
      </w:pPr>
    </w:lvl>
    <w:lvl w:ilvl="2">
      <w:start w:val="1"/>
      <w:numFmt w:val="lowerRoman"/>
      <w:lvlText w:val="%3."/>
      <w:lvlJc w:val="right"/>
      <w:pPr>
        <w:ind w:left="1903" w:hanging="420"/>
      </w:pPr>
    </w:lvl>
    <w:lvl w:ilvl="3">
      <w:start w:val="1"/>
      <w:numFmt w:val="decimal"/>
      <w:lvlText w:val="%4."/>
      <w:lvlJc w:val="left"/>
      <w:pPr>
        <w:ind w:left="2323" w:hanging="420"/>
      </w:pPr>
    </w:lvl>
    <w:lvl w:ilvl="4">
      <w:start w:val="1"/>
      <w:numFmt w:val="lowerLetter"/>
      <w:lvlText w:val="%5)"/>
      <w:lvlJc w:val="left"/>
      <w:pPr>
        <w:ind w:left="2743" w:hanging="420"/>
      </w:pPr>
    </w:lvl>
    <w:lvl w:ilvl="5">
      <w:start w:val="1"/>
      <w:numFmt w:val="lowerRoman"/>
      <w:lvlText w:val="%6."/>
      <w:lvlJc w:val="right"/>
      <w:pPr>
        <w:ind w:left="3163" w:hanging="420"/>
      </w:pPr>
    </w:lvl>
    <w:lvl w:ilvl="6">
      <w:start w:val="1"/>
      <w:numFmt w:val="decimal"/>
      <w:lvlText w:val="%7."/>
      <w:lvlJc w:val="left"/>
      <w:pPr>
        <w:ind w:left="3583" w:hanging="420"/>
      </w:pPr>
    </w:lvl>
    <w:lvl w:ilvl="7">
      <w:start w:val="1"/>
      <w:numFmt w:val="lowerLetter"/>
      <w:lvlText w:val="%8)"/>
      <w:lvlJc w:val="left"/>
      <w:pPr>
        <w:ind w:left="4003" w:hanging="420"/>
      </w:pPr>
    </w:lvl>
    <w:lvl w:ilvl="8">
      <w:start w:val="1"/>
      <w:numFmt w:val="lowerRoman"/>
      <w:lvlText w:val="%9."/>
      <w:lvlJc w:val="right"/>
      <w:pPr>
        <w:ind w:left="4423" w:hanging="420"/>
      </w:pPr>
    </w:lvl>
  </w:abstractNum>
  <w:abstractNum w:abstractNumId="6">
    <w:nsid w:val="55FE37CA"/>
    <w:multiLevelType w:val="multilevel"/>
    <w:tmpl w:val="55FE37CA"/>
    <w:lvl w:ilvl="0">
      <w:start w:val="1"/>
      <w:numFmt w:val="japaneseCounting"/>
      <w:lvlText w:val="%1、"/>
      <w:lvlJc w:val="left"/>
      <w:pPr>
        <w:ind w:left="660" w:hanging="6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6"/>
  </w:num>
  <w:num w:numId="2">
    <w:abstractNumId w:val="4"/>
  </w:num>
  <w:num w:numId="3">
    <w:abstractNumId w:val="0"/>
  </w:num>
  <w:num w:numId="4">
    <w:abstractNumId w:val="2"/>
  </w:num>
  <w:num w:numId="5">
    <w:abstractNumId w:val="3"/>
  </w:num>
  <w:num w:numId="6">
    <w:abstractNumId w:val="5"/>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3314" fillcolor="white">
      <v:fill color="white"/>
    </o:shapedefaults>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zQ3NDBhMDViMjAxODM0N2E3ZDAzM2Q4NDM4YzYwOTcifQ=="/>
  </w:docVars>
  <w:rsids>
    <w:rsidRoot w:val="00F1361C"/>
    <w:rsid w:val="D8D6DB89"/>
    <w:rsid w:val="DB6F4CAB"/>
    <w:rsid w:val="DF6F9789"/>
    <w:rsid w:val="00007DC3"/>
    <w:rsid w:val="000142FB"/>
    <w:rsid w:val="00017656"/>
    <w:rsid w:val="000222C6"/>
    <w:rsid w:val="0002549F"/>
    <w:rsid w:val="000468DB"/>
    <w:rsid w:val="0006487A"/>
    <w:rsid w:val="00065F8F"/>
    <w:rsid w:val="00070A43"/>
    <w:rsid w:val="000768F2"/>
    <w:rsid w:val="00077D8E"/>
    <w:rsid w:val="00085553"/>
    <w:rsid w:val="0009184B"/>
    <w:rsid w:val="00094236"/>
    <w:rsid w:val="00095755"/>
    <w:rsid w:val="0009593C"/>
    <w:rsid w:val="00097322"/>
    <w:rsid w:val="000A6A92"/>
    <w:rsid w:val="000B047F"/>
    <w:rsid w:val="000B1D1B"/>
    <w:rsid w:val="000B5923"/>
    <w:rsid w:val="000B5A48"/>
    <w:rsid w:val="000B6FF3"/>
    <w:rsid w:val="000B7774"/>
    <w:rsid w:val="000C3467"/>
    <w:rsid w:val="000C3CA6"/>
    <w:rsid w:val="000D1267"/>
    <w:rsid w:val="000D1D50"/>
    <w:rsid w:val="000D5782"/>
    <w:rsid w:val="000E0110"/>
    <w:rsid w:val="000E5A10"/>
    <w:rsid w:val="000E6613"/>
    <w:rsid w:val="000E7119"/>
    <w:rsid w:val="000F640C"/>
    <w:rsid w:val="001079D7"/>
    <w:rsid w:val="001103FC"/>
    <w:rsid w:val="00114E9B"/>
    <w:rsid w:val="00115EF5"/>
    <w:rsid w:val="00142216"/>
    <w:rsid w:val="00144D6A"/>
    <w:rsid w:val="0014729F"/>
    <w:rsid w:val="00153309"/>
    <w:rsid w:val="00157BAB"/>
    <w:rsid w:val="00160E4A"/>
    <w:rsid w:val="001654D1"/>
    <w:rsid w:val="001717E7"/>
    <w:rsid w:val="00174518"/>
    <w:rsid w:val="0018106D"/>
    <w:rsid w:val="00182D25"/>
    <w:rsid w:val="001877A7"/>
    <w:rsid w:val="00191536"/>
    <w:rsid w:val="00196687"/>
    <w:rsid w:val="001973FC"/>
    <w:rsid w:val="001B5EFF"/>
    <w:rsid w:val="001C0962"/>
    <w:rsid w:val="001D7531"/>
    <w:rsid w:val="001E737D"/>
    <w:rsid w:val="001F0592"/>
    <w:rsid w:val="001F487B"/>
    <w:rsid w:val="001F7506"/>
    <w:rsid w:val="002006CD"/>
    <w:rsid w:val="00202B36"/>
    <w:rsid w:val="00204B7A"/>
    <w:rsid w:val="00204CDE"/>
    <w:rsid w:val="0021101A"/>
    <w:rsid w:val="00220536"/>
    <w:rsid w:val="00220E12"/>
    <w:rsid w:val="0022527F"/>
    <w:rsid w:val="00235629"/>
    <w:rsid w:val="00244CF9"/>
    <w:rsid w:val="00255FE8"/>
    <w:rsid w:val="00260C38"/>
    <w:rsid w:val="002616C0"/>
    <w:rsid w:val="00261A8A"/>
    <w:rsid w:val="00265372"/>
    <w:rsid w:val="002662AA"/>
    <w:rsid w:val="00272E3F"/>
    <w:rsid w:val="00280496"/>
    <w:rsid w:val="00294DC9"/>
    <w:rsid w:val="00295495"/>
    <w:rsid w:val="002A31DE"/>
    <w:rsid w:val="002A66F7"/>
    <w:rsid w:val="002B2613"/>
    <w:rsid w:val="002B43B1"/>
    <w:rsid w:val="002C2BE4"/>
    <w:rsid w:val="002C5232"/>
    <w:rsid w:val="002D6D05"/>
    <w:rsid w:val="002D6E48"/>
    <w:rsid w:val="002E1E92"/>
    <w:rsid w:val="002F1818"/>
    <w:rsid w:val="002F567B"/>
    <w:rsid w:val="00302E8C"/>
    <w:rsid w:val="003216A9"/>
    <w:rsid w:val="00335A74"/>
    <w:rsid w:val="003507AE"/>
    <w:rsid w:val="00360D40"/>
    <w:rsid w:val="00362B8E"/>
    <w:rsid w:val="0036561B"/>
    <w:rsid w:val="0037013F"/>
    <w:rsid w:val="00380C92"/>
    <w:rsid w:val="0039116D"/>
    <w:rsid w:val="003A484F"/>
    <w:rsid w:val="003A4883"/>
    <w:rsid w:val="003B0BE0"/>
    <w:rsid w:val="003B0C1B"/>
    <w:rsid w:val="003B4955"/>
    <w:rsid w:val="003B688C"/>
    <w:rsid w:val="003C0291"/>
    <w:rsid w:val="003C39AE"/>
    <w:rsid w:val="003C4B0A"/>
    <w:rsid w:val="003C6115"/>
    <w:rsid w:val="003C7B60"/>
    <w:rsid w:val="003D0C0F"/>
    <w:rsid w:val="003D1FB2"/>
    <w:rsid w:val="003D66DA"/>
    <w:rsid w:val="003E1310"/>
    <w:rsid w:val="003E6F55"/>
    <w:rsid w:val="00406254"/>
    <w:rsid w:val="004223DE"/>
    <w:rsid w:val="00434489"/>
    <w:rsid w:val="00437085"/>
    <w:rsid w:val="00443880"/>
    <w:rsid w:val="004464F4"/>
    <w:rsid w:val="00451098"/>
    <w:rsid w:val="00455CFE"/>
    <w:rsid w:val="00456567"/>
    <w:rsid w:val="00471401"/>
    <w:rsid w:val="00473F31"/>
    <w:rsid w:val="004802AE"/>
    <w:rsid w:val="0048263A"/>
    <w:rsid w:val="00487E5D"/>
    <w:rsid w:val="004953CB"/>
    <w:rsid w:val="00495A8B"/>
    <w:rsid w:val="00497022"/>
    <w:rsid w:val="004A711F"/>
    <w:rsid w:val="004B199D"/>
    <w:rsid w:val="004B4690"/>
    <w:rsid w:val="004C0B0D"/>
    <w:rsid w:val="004C2850"/>
    <w:rsid w:val="004E0A2D"/>
    <w:rsid w:val="004E206B"/>
    <w:rsid w:val="004E6DF7"/>
    <w:rsid w:val="004F0FBD"/>
    <w:rsid w:val="00505A47"/>
    <w:rsid w:val="00510F53"/>
    <w:rsid w:val="00512FDA"/>
    <w:rsid w:val="00520DA0"/>
    <w:rsid w:val="0052378B"/>
    <w:rsid w:val="00523ADB"/>
    <w:rsid w:val="005318B5"/>
    <w:rsid w:val="00533326"/>
    <w:rsid w:val="005407D0"/>
    <w:rsid w:val="005465AC"/>
    <w:rsid w:val="005664BB"/>
    <w:rsid w:val="00566FFA"/>
    <w:rsid w:val="005719BA"/>
    <w:rsid w:val="0057481D"/>
    <w:rsid w:val="0058486E"/>
    <w:rsid w:val="00585B33"/>
    <w:rsid w:val="0059014D"/>
    <w:rsid w:val="00596AFB"/>
    <w:rsid w:val="005B15CD"/>
    <w:rsid w:val="005B5C64"/>
    <w:rsid w:val="005C5337"/>
    <w:rsid w:val="005C6BD0"/>
    <w:rsid w:val="005D0F7F"/>
    <w:rsid w:val="005D1C8B"/>
    <w:rsid w:val="005D468D"/>
    <w:rsid w:val="005D5CED"/>
    <w:rsid w:val="005F1A4C"/>
    <w:rsid w:val="006013FE"/>
    <w:rsid w:val="00605688"/>
    <w:rsid w:val="006070AF"/>
    <w:rsid w:val="00607449"/>
    <w:rsid w:val="00607E6C"/>
    <w:rsid w:val="006101B1"/>
    <w:rsid w:val="00614E44"/>
    <w:rsid w:val="0062270A"/>
    <w:rsid w:val="00622830"/>
    <w:rsid w:val="00623DA0"/>
    <w:rsid w:val="00630AEF"/>
    <w:rsid w:val="006325F8"/>
    <w:rsid w:val="00633406"/>
    <w:rsid w:val="00633463"/>
    <w:rsid w:val="00634C9A"/>
    <w:rsid w:val="00642FBC"/>
    <w:rsid w:val="006440E4"/>
    <w:rsid w:val="0066343B"/>
    <w:rsid w:val="00663A9D"/>
    <w:rsid w:val="00664777"/>
    <w:rsid w:val="006748A4"/>
    <w:rsid w:val="00681A31"/>
    <w:rsid w:val="00683E73"/>
    <w:rsid w:val="00691A20"/>
    <w:rsid w:val="00691D81"/>
    <w:rsid w:val="006941B2"/>
    <w:rsid w:val="006A3141"/>
    <w:rsid w:val="006A5E34"/>
    <w:rsid w:val="006B2422"/>
    <w:rsid w:val="006B2B9A"/>
    <w:rsid w:val="006B4946"/>
    <w:rsid w:val="006C1937"/>
    <w:rsid w:val="006C7D11"/>
    <w:rsid w:val="006E007E"/>
    <w:rsid w:val="006E12A2"/>
    <w:rsid w:val="006F020C"/>
    <w:rsid w:val="006F2073"/>
    <w:rsid w:val="007127B7"/>
    <w:rsid w:val="0071798E"/>
    <w:rsid w:val="007370E0"/>
    <w:rsid w:val="007416B6"/>
    <w:rsid w:val="00746F48"/>
    <w:rsid w:val="0075404D"/>
    <w:rsid w:val="007540CD"/>
    <w:rsid w:val="0076182A"/>
    <w:rsid w:val="00764FDE"/>
    <w:rsid w:val="00767B7E"/>
    <w:rsid w:val="007744E0"/>
    <w:rsid w:val="00776EE3"/>
    <w:rsid w:val="007770C3"/>
    <w:rsid w:val="00784D24"/>
    <w:rsid w:val="00785FBA"/>
    <w:rsid w:val="00786E4A"/>
    <w:rsid w:val="007875EB"/>
    <w:rsid w:val="0079426B"/>
    <w:rsid w:val="00797FDC"/>
    <w:rsid w:val="007A4C0B"/>
    <w:rsid w:val="007A72D0"/>
    <w:rsid w:val="007D1682"/>
    <w:rsid w:val="007D312A"/>
    <w:rsid w:val="007D3F19"/>
    <w:rsid w:val="007E23B0"/>
    <w:rsid w:val="007E23E5"/>
    <w:rsid w:val="007E30DA"/>
    <w:rsid w:val="007F06A0"/>
    <w:rsid w:val="007F1991"/>
    <w:rsid w:val="007F2C2F"/>
    <w:rsid w:val="007F55FC"/>
    <w:rsid w:val="007F5665"/>
    <w:rsid w:val="007F67FB"/>
    <w:rsid w:val="00800112"/>
    <w:rsid w:val="0080116F"/>
    <w:rsid w:val="00813348"/>
    <w:rsid w:val="00813872"/>
    <w:rsid w:val="008253BB"/>
    <w:rsid w:val="008308C0"/>
    <w:rsid w:val="0083706E"/>
    <w:rsid w:val="008408F6"/>
    <w:rsid w:val="008423A5"/>
    <w:rsid w:val="00846C18"/>
    <w:rsid w:val="00850625"/>
    <w:rsid w:val="00850647"/>
    <w:rsid w:val="00852519"/>
    <w:rsid w:val="00853718"/>
    <w:rsid w:val="00853B1F"/>
    <w:rsid w:val="00855221"/>
    <w:rsid w:val="00856741"/>
    <w:rsid w:val="00860645"/>
    <w:rsid w:val="00871753"/>
    <w:rsid w:val="00871F71"/>
    <w:rsid w:val="00872FD8"/>
    <w:rsid w:val="00885AF4"/>
    <w:rsid w:val="008937EA"/>
    <w:rsid w:val="008939CD"/>
    <w:rsid w:val="008B768C"/>
    <w:rsid w:val="008C4DB1"/>
    <w:rsid w:val="008C4EAF"/>
    <w:rsid w:val="008C5176"/>
    <w:rsid w:val="008C7FD0"/>
    <w:rsid w:val="008E1DE7"/>
    <w:rsid w:val="008E25E8"/>
    <w:rsid w:val="008E707C"/>
    <w:rsid w:val="008F7771"/>
    <w:rsid w:val="00900B08"/>
    <w:rsid w:val="00902155"/>
    <w:rsid w:val="00902FA3"/>
    <w:rsid w:val="009060D9"/>
    <w:rsid w:val="00923564"/>
    <w:rsid w:val="0092392E"/>
    <w:rsid w:val="009315F9"/>
    <w:rsid w:val="00933499"/>
    <w:rsid w:val="00935C98"/>
    <w:rsid w:val="00946945"/>
    <w:rsid w:val="00951248"/>
    <w:rsid w:val="0095152F"/>
    <w:rsid w:val="00954C49"/>
    <w:rsid w:val="00955E37"/>
    <w:rsid w:val="0097099F"/>
    <w:rsid w:val="00970BD8"/>
    <w:rsid w:val="00971997"/>
    <w:rsid w:val="00971FFC"/>
    <w:rsid w:val="00975998"/>
    <w:rsid w:val="009850FF"/>
    <w:rsid w:val="0098660A"/>
    <w:rsid w:val="009931C3"/>
    <w:rsid w:val="009B2C43"/>
    <w:rsid w:val="009B4EAE"/>
    <w:rsid w:val="009B7573"/>
    <w:rsid w:val="009C22F4"/>
    <w:rsid w:val="009C2A4B"/>
    <w:rsid w:val="009C2E98"/>
    <w:rsid w:val="009D3447"/>
    <w:rsid w:val="009D4711"/>
    <w:rsid w:val="009E401D"/>
    <w:rsid w:val="009F1185"/>
    <w:rsid w:val="009F18CD"/>
    <w:rsid w:val="009F2714"/>
    <w:rsid w:val="009F2A13"/>
    <w:rsid w:val="009F74E8"/>
    <w:rsid w:val="009F7527"/>
    <w:rsid w:val="00A04EB0"/>
    <w:rsid w:val="00A13CC1"/>
    <w:rsid w:val="00A16847"/>
    <w:rsid w:val="00A237D8"/>
    <w:rsid w:val="00A268C4"/>
    <w:rsid w:val="00A307CD"/>
    <w:rsid w:val="00A331C8"/>
    <w:rsid w:val="00A3437D"/>
    <w:rsid w:val="00A40099"/>
    <w:rsid w:val="00A40A00"/>
    <w:rsid w:val="00A4142F"/>
    <w:rsid w:val="00A422EB"/>
    <w:rsid w:val="00A45BB7"/>
    <w:rsid w:val="00A50BEA"/>
    <w:rsid w:val="00A538FA"/>
    <w:rsid w:val="00A56DF2"/>
    <w:rsid w:val="00A56E6E"/>
    <w:rsid w:val="00A642FD"/>
    <w:rsid w:val="00A66FD9"/>
    <w:rsid w:val="00A67AB5"/>
    <w:rsid w:val="00A733B2"/>
    <w:rsid w:val="00A7399A"/>
    <w:rsid w:val="00A741C2"/>
    <w:rsid w:val="00A9134F"/>
    <w:rsid w:val="00A91760"/>
    <w:rsid w:val="00A93745"/>
    <w:rsid w:val="00A93B00"/>
    <w:rsid w:val="00A93C21"/>
    <w:rsid w:val="00AB637B"/>
    <w:rsid w:val="00AB64C9"/>
    <w:rsid w:val="00AC3C6A"/>
    <w:rsid w:val="00AC484F"/>
    <w:rsid w:val="00AD5620"/>
    <w:rsid w:val="00AD656B"/>
    <w:rsid w:val="00AD6763"/>
    <w:rsid w:val="00AD7C1B"/>
    <w:rsid w:val="00AE16BA"/>
    <w:rsid w:val="00AE1EBE"/>
    <w:rsid w:val="00AE4BD0"/>
    <w:rsid w:val="00B03C9D"/>
    <w:rsid w:val="00B04881"/>
    <w:rsid w:val="00B060AE"/>
    <w:rsid w:val="00B10517"/>
    <w:rsid w:val="00B143D2"/>
    <w:rsid w:val="00B14E76"/>
    <w:rsid w:val="00B161B8"/>
    <w:rsid w:val="00B2048C"/>
    <w:rsid w:val="00B2482F"/>
    <w:rsid w:val="00B310B9"/>
    <w:rsid w:val="00B321DE"/>
    <w:rsid w:val="00B35F3F"/>
    <w:rsid w:val="00B36CBB"/>
    <w:rsid w:val="00B425E0"/>
    <w:rsid w:val="00B440AA"/>
    <w:rsid w:val="00B44B70"/>
    <w:rsid w:val="00B463FF"/>
    <w:rsid w:val="00B53C56"/>
    <w:rsid w:val="00B54EAB"/>
    <w:rsid w:val="00B57DAF"/>
    <w:rsid w:val="00B6127B"/>
    <w:rsid w:val="00B712B0"/>
    <w:rsid w:val="00B77EA6"/>
    <w:rsid w:val="00B81598"/>
    <w:rsid w:val="00B841F1"/>
    <w:rsid w:val="00B90A81"/>
    <w:rsid w:val="00B944D6"/>
    <w:rsid w:val="00B96872"/>
    <w:rsid w:val="00BB4DF0"/>
    <w:rsid w:val="00BC289F"/>
    <w:rsid w:val="00BC2D50"/>
    <w:rsid w:val="00BC359F"/>
    <w:rsid w:val="00BC5361"/>
    <w:rsid w:val="00BC5460"/>
    <w:rsid w:val="00BC6B50"/>
    <w:rsid w:val="00BD0E25"/>
    <w:rsid w:val="00BD15B6"/>
    <w:rsid w:val="00BD206D"/>
    <w:rsid w:val="00BD4A39"/>
    <w:rsid w:val="00BE083A"/>
    <w:rsid w:val="00BE7F2E"/>
    <w:rsid w:val="00BF582E"/>
    <w:rsid w:val="00BF5BD6"/>
    <w:rsid w:val="00C0291D"/>
    <w:rsid w:val="00C03E31"/>
    <w:rsid w:val="00C20280"/>
    <w:rsid w:val="00C33E72"/>
    <w:rsid w:val="00C354B2"/>
    <w:rsid w:val="00C35554"/>
    <w:rsid w:val="00C41804"/>
    <w:rsid w:val="00C42709"/>
    <w:rsid w:val="00C50458"/>
    <w:rsid w:val="00C50D32"/>
    <w:rsid w:val="00C533CC"/>
    <w:rsid w:val="00C5751C"/>
    <w:rsid w:val="00C61BFC"/>
    <w:rsid w:val="00C62B85"/>
    <w:rsid w:val="00C65438"/>
    <w:rsid w:val="00C87FD8"/>
    <w:rsid w:val="00C91381"/>
    <w:rsid w:val="00C91CBB"/>
    <w:rsid w:val="00CA00EE"/>
    <w:rsid w:val="00CB4E70"/>
    <w:rsid w:val="00CC09B6"/>
    <w:rsid w:val="00CC666F"/>
    <w:rsid w:val="00CD1E3F"/>
    <w:rsid w:val="00CD390C"/>
    <w:rsid w:val="00CD3A74"/>
    <w:rsid w:val="00CD487D"/>
    <w:rsid w:val="00CE44F6"/>
    <w:rsid w:val="00CE49DA"/>
    <w:rsid w:val="00CE7B61"/>
    <w:rsid w:val="00CF2FD5"/>
    <w:rsid w:val="00D00095"/>
    <w:rsid w:val="00D0662B"/>
    <w:rsid w:val="00D114F0"/>
    <w:rsid w:val="00D142EC"/>
    <w:rsid w:val="00D167D7"/>
    <w:rsid w:val="00D20620"/>
    <w:rsid w:val="00D254F7"/>
    <w:rsid w:val="00D26091"/>
    <w:rsid w:val="00D2685C"/>
    <w:rsid w:val="00D34E7C"/>
    <w:rsid w:val="00D35489"/>
    <w:rsid w:val="00D36AFE"/>
    <w:rsid w:val="00D51276"/>
    <w:rsid w:val="00D65B3D"/>
    <w:rsid w:val="00D7035F"/>
    <w:rsid w:val="00DA634F"/>
    <w:rsid w:val="00DA65AC"/>
    <w:rsid w:val="00DB1913"/>
    <w:rsid w:val="00DC410D"/>
    <w:rsid w:val="00DC42E4"/>
    <w:rsid w:val="00DC5A81"/>
    <w:rsid w:val="00DC68CA"/>
    <w:rsid w:val="00DC7CBA"/>
    <w:rsid w:val="00DD73B7"/>
    <w:rsid w:val="00DF28BC"/>
    <w:rsid w:val="00DF34B9"/>
    <w:rsid w:val="00DF3EA5"/>
    <w:rsid w:val="00DF49F1"/>
    <w:rsid w:val="00E01053"/>
    <w:rsid w:val="00E07ACF"/>
    <w:rsid w:val="00E12CC9"/>
    <w:rsid w:val="00E26787"/>
    <w:rsid w:val="00E30D48"/>
    <w:rsid w:val="00E331A1"/>
    <w:rsid w:val="00E33202"/>
    <w:rsid w:val="00E336A9"/>
    <w:rsid w:val="00E3579C"/>
    <w:rsid w:val="00E472B1"/>
    <w:rsid w:val="00E50624"/>
    <w:rsid w:val="00E5174E"/>
    <w:rsid w:val="00E568DF"/>
    <w:rsid w:val="00E64269"/>
    <w:rsid w:val="00E817CA"/>
    <w:rsid w:val="00E82267"/>
    <w:rsid w:val="00E853CE"/>
    <w:rsid w:val="00E867B6"/>
    <w:rsid w:val="00E97314"/>
    <w:rsid w:val="00EA010F"/>
    <w:rsid w:val="00ED1B63"/>
    <w:rsid w:val="00ED3C1F"/>
    <w:rsid w:val="00ED4085"/>
    <w:rsid w:val="00ED420E"/>
    <w:rsid w:val="00ED6FBE"/>
    <w:rsid w:val="00EE2F57"/>
    <w:rsid w:val="00EF4C34"/>
    <w:rsid w:val="00EF7727"/>
    <w:rsid w:val="00EF77C6"/>
    <w:rsid w:val="00F05438"/>
    <w:rsid w:val="00F05D1B"/>
    <w:rsid w:val="00F1361C"/>
    <w:rsid w:val="00F156F0"/>
    <w:rsid w:val="00F157A9"/>
    <w:rsid w:val="00F160C7"/>
    <w:rsid w:val="00F2408F"/>
    <w:rsid w:val="00F240E9"/>
    <w:rsid w:val="00F36D8F"/>
    <w:rsid w:val="00F417B1"/>
    <w:rsid w:val="00F45853"/>
    <w:rsid w:val="00F57344"/>
    <w:rsid w:val="00F602DF"/>
    <w:rsid w:val="00F66C04"/>
    <w:rsid w:val="00F754A1"/>
    <w:rsid w:val="00F81FD9"/>
    <w:rsid w:val="00F841AA"/>
    <w:rsid w:val="00F84A94"/>
    <w:rsid w:val="00F87E96"/>
    <w:rsid w:val="00FA23E8"/>
    <w:rsid w:val="00FC5B9A"/>
    <w:rsid w:val="00FD3CC1"/>
    <w:rsid w:val="00FE139E"/>
    <w:rsid w:val="00FF1E02"/>
    <w:rsid w:val="00FF30B4"/>
    <w:rsid w:val="015975B8"/>
    <w:rsid w:val="02143E91"/>
    <w:rsid w:val="066E0107"/>
    <w:rsid w:val="07996F6E"/>
    <w:rsid w:val="0A2032A3"/>
    <w:rsid w:val="0DBA0B59"/>
    <w:rsid w:val="0F98263C"/>
    <w:rsid w:val="101860EC"/>
    <w:rsid w:val="10C055FF"/>
    <w:rsid w:val="118107EC"/>
    <w:rsid w:val="13D50BC4"/>
    <w:rsid w:val="16BB723D"/>
    <w:rsid w:val="1BE8440E"/>
    <w:rsid w:val="1D155CEE"/>
    <w:rsid w:val="1FF35744"/>
    <w:rsid w:val="23860B96"/>
    <w:rsid w:val="240371BF"/>
    <w:rsid w:val="29FD04D3"/>
    <w:rsid w:val="2C8A61B5"/>
    <w:rsid w:val="2DF04E50"/>
    <w:rsid w:val="2F040D46"/>
    <w:rsid w:val="319F7F4E"/>
    <w:rsid w:val="3304709D"/>
    <w:rsid w:val="36AA5135"/>
    <w:rsid w:val="376D39B2"/>
    <w:rsid w:val="37CF4045"/>
    <w:rsid w:val="37E16F03"/>
    <w:rsid w:val="38D469F0"/>
    <w:rsid w:val="3D98207C"/>
    <w:rsid w:val="3E78745D"/>
    <w:rsid w:val="44E268DA"/>
    <w:rsid w:val="4A627F82"/>
    <w:rsid w:val="4B0E749A"/>
    <w:rsid w:val="4B4F25DA"/>
    <w:rsid w:val="4BE068DB"/>
    <w:rsid w:val="4D577224"/>
    <w:rsid w:val="4EAB630A"/>
    <w:rsid w:val="4ECE2238"/>
    <w:rsid w:val="537E6D0A"/>
    <w:rsid w:val="5AF92295"/>
    <w:rsid w:val="5CD71FC4"/>
    <w:rsid w:val="6C4A05C8"/>
    <w:rsid w:val="6E7E3605"/>
    <w:rsid w:val="6FF5CC65"/>
    <w:rsid w:val="715C0E4B"/>
    <w:rsid w:val="72734D90"/>
    <w:rsid w:val="73AD73D5"/>
    <w:rsid w:val="73B6EB34"/>
    <w:rsid w:val="744731E5"/>
    <w:rsid w:val="76E3355F"/>
    <w:rsid w:val="778769C8"/>
    <w:rsid w:val="79EE5BA4"/>
    <w:rsid w:val="7A894339"/>
    <w:rsid w:val="7EEF11D3"/>
    <w:rsid w:val="7FA30C79"/>
    <w:rsid w:val="7FB7269E"/>
    <w:rsid w:val="7FC9665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3314"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5"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lsdException w:name="Body Text" w:semiHidden="0" w:unhideWhenUsed="0" w:qFormat="1"/>
    <w:lsdException w:name="Body Text Indent" w:semiHidden="0" w:uiPriority="0" w:unhideWhenUsed="0" w:qFormat="1"/>
    <w:lsdException w:name="Subtitle" w:semiHidden="0" w:uiPriority="11" w:unhideWhenUsed="0" w:qFormat="1"/>
    <w:lsdException w:name="Body Text First Indent 2" w:semiHidden="0" w:qFormat="1"/>
    <w:lsdException w:name="Hyperlink" w:semiHidden="0" w:qFormat="1"/>
    <w:lsdException w:name="Strong" w:semiHidden="0" w:unhideWhenUsed="0" w:qFormat="1"/>
    <w:lsdException w:name="Emphasis" w:semiHidden="0" w:uiPriority="20" w:unhideWhenUsed="0" w:qFormat="1"/>
    <w:lsdException w:name="Normal (Web)" w:semiHidden="0" w:uiPriority="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FC5B9A"/>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FC5B9A"/>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FC5B9A"/>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FC5B9A"/>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sid w:val="00FC5B9A"/>
    <w:pPr>
      <w:spacing w:beforeLines="30"/>
    </w:pPr>
    <w:rPr>
      <w:rFonts w:ascii="仿宋_GB2312" w:eastAsia="仿宋_GB2312"/>
      <w:kern w:val="0"/>
      <w:sz w:val="30"/>
    </w:rPr>
  </w:style>
  <w:style w:type="paragraph" w:styleId="5">
    <w:name w:val="index 5"/>
    <w:basedOn w:val="a"/>
    <w:next w:val="a"/>
    <w:uiPriority w:val="99"/>
    <w:semiHidden/>
    <w:unhideWhenUsed/>
    <w:qFormat/>
    <w:rsid w:val="00FC5B9A"/>
    <w:pPr>
      <w:ind w:leftChars="800" w:left="800"/>
    </w:pPr>
  </w:style>
  <w:style w:type="paragraph" w:styleId="a4">
    <w:name w:val="Body Text Indent"/>
    <w:basedOn w:val="a"/>
    <w:qFormat/>
    <w:rsid w:val="00FC5B9A"/>
    <w:pPr>
      <w:spacing w:after="120"/>
      <w:ind w:leftChars="200" w:left="200"/>
    </w:pPr>
    <w:rPr>
      <w:rFonts w:ascii="仿宋_GB2312"/>
      <w:szCs w:val="32"/>
    </w:rPr>
  </w:style>
  <w:style w:type="paragraph" w:styleId="30">
    <w:name w:val="toc 3"/>
    <w:basedOn w:val="a"/>
    <w:next w:val="a"/>
    <w:uiPriority w:val="39"/>
    <w:unhideWhenUsed/>
    <w:qFormat/>
    <w:rsid w:val="00FC5B9A"/>
    <w:pPr>
      <w:tabs>
        <w:tab w:val="right" w:leader="dot" w:pos="8296"/>
      </w:tabs>
      <w:ind w:leftChars="400" w:left="840"/>
    </w:pPr>
  </w:style>
  <w:style w:type="paragraph" w:styleId="a5">
    <w:name w:val="Balloon Text"/>
    <w:basedOn w:val="a"/>
    <w:link w:val="Char0"/>
    <w:uiPriority w:val="99"/>
    <w:semiHidden/>
    <w:unhideWhenUsed/>
    <w:qFormat/>
    <w:rsid w:val="00FC5B9A"/>
    <w:rPr>
      <w:sz w:val="18"/>
      <w:szCs w:val="18"/>
    </w:rPr>
  </w:style>
  <w:style w:type="paragraph" w:styleId="a6">
    <w:name w:val="footer"/>
    <w:basedOn w:val="a"/>
    <w:link w:val="Char1"/>
    <w:uiPriority w:val="99"/>
    <w:qFormat/>
    <w:rsid w:val="00FC5B9A"/>
    <w:pPr>
      <w:tabs>
        <w:tab w:val="center" w:pos="4153"/>
        <w:tab w:val="right" w:pos="8306"/>
      </w:tabs>
      <w:snapToGrid w:val="0"/>
      <w:jc w:val="left"/>
    </w:pPr>
    <w:rPr>
      <w:rFonts w:ascii="Calibri" w:hAnsi="Calibri"/>
      <w:kern w:val="0"/>
      <w:sz w:val="18"/>
      <w:szCs w:val="18"/>
    </w:rPr>
  </w:style>
  <w:style w:type="paragraph" w:styleId="a7">
    <w:name w:val="header"/>
    <w:basedOn w:val="a"/>
    <w:link w:val="Char2"/>
    <w:uiPriority w:val="99"/>
    <w:semiHidden/>
    <w:qFormat/>
    <w:rsid w:val="00FC5B9A"/>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FC5B9A"/>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FC5B9A"/>
    <w:pPr>
      <w:tabs>
        <w:tab w:val="right" w:leader="dot" w:pos="8296"/>
      </w:tabs>
      <w:ind w:leftChars="200" w:left="420"/>
    </w:pPr>
  </w:style>
  <w:style w:type="paragraph" w:styleId="a8">
    <w:name w:val="Normal (Web)"/>
    <w:next w:val="5"/>
    <w:qFormat/>
    <w:rsid w:val="00FC5B9A"/>
    <w:pPr>
      <w:widowControl w:val="0"/>
      <w:spacing w:before="100" w:beforeAutospacing="1" w:after="100" w:afterAutospacing="1"/>
    </w:pPr>
    <w:rPr>
      <w:rFonts w:ascii="Times New Roman" w:eastAsia="宋体" w:hAnsi="Times New Roman" w:cs="Times New Roman"/>
      <w:sz w:val="24"/>
      <w:szCs w:val="24"/>
    </w:rPr>
  </w:style>
  <w:style w:type="paragraph" w:styleId="21">
    <w:name w:val="Body Text First Indent 2"/>
    <w:basedOn w:val="a4"/>
    <w:uiPriority w:val="99"/>
    <w:unhideWhenUsed/>
    <w:qFormat/>
    <w:rsid w:val="00FC5B9A"/>
    <w:pPr>
      <w:ind w:firstLineChars="200" w:firstLine="420"/>
    </w:pPr>
  </w:style>
  <w:style w:type="character" w:styleId="a9">
    <w:name w:val="Strong"/>
    <w:basedOn w:val="a1"/>
    <w:uiPriority w:val="99"/>
    <w:qFormat/>
    <w:rsid w:val="00FC5B9A"/>
    <w:rPr>
      <w:b/>
    </w:rPr>
  </w:style>
  <w:style w:type="character" w:styleId="aa">
    <w:name w:val="Hyperlink"/>
    <w:basedOn w:val="a1"/>
    <w:uiPriority w:val="99"/>
    <w:unhideWhenUsed/>
    <w:qFormat/>
    <w:rsid w:val="00FC5B9A"/>
    <w:rPr>
      <w:color w:val="0000FF" w:themeColor="hyperlink"/>
      <w:u w:val="single"/>
    </w:rPr>
  </w:style>
  <w:style w:type="paragraph" w:customStyle="1" w:styleId="50">
    <w:name w:val="标题 5（有编号）（绿盟科技）"/>
    <w:next w:val="a"/>
    <w:uiPriority w:val="99"/>
    <w:qFormat/>
    <w:rsid w:val="00FC5B9A"/>
    <w:pPr>
      <w:keepNext/>
      <w:keepLines/>
      <w:widowControl w:val="0"/>
      <w:spacing w:before="280" w:after="156" w:line="377" w:lineRule="auto"/>
      <w:outlineLvl w:val="4"/>
    </w:pPr>
    <w:rPr>
      <w:rFonts w:ascii="Arial" w:eastAsia="黑体" w:hAnsi="Arial" w:cs="Times New Roman"/>
      <w:b/>
      <w:kern w:val="2"/>
      <w:sz w:val="24"/>
      <w:szCs w:val="28"/>
    </w:rPr>
  </w:style>
  <w:style w:type="character" w:customStyle="1" w:styleId="HeaderChar">
    <w:name w:val="Header Char"/>
    <w:basedOn w:val="a1"/>
    <w:uiPriority w:val="99"/>
    <w:semiHidden/>
    <w:qFormat/>
    <w:rsid w:val="00FC5B9A"/>
    <w:rPr>
      <w:rFonts w:ascii="Times New Roman" w:hAnsi="Times New Roman"/>
      <w:sz w:val="18"/>
      <w:szCs w:val="18"/>
    </w:rPr>
  </w:style>
  <w:style w:type="character" w:customStyle="1" w:styleId="Char2">
    <w:name w:val="页眉 Char"/>
    <w:link w:val="a7"/>
    <w:uiPriority w:val="99"/>
    <w:semiHidden/>
    <w:qFormat/>
    <w:locked/>
    <w:rsid w:val="00FC5B9A"/>
    <w:rPr>
      <w:sz w:val="18"/>
    </w:rPr>
  </w:style>
  <w:style w:type="character" w:customStyle="1" w:styleId="FooterChar">
    <w:name w:val="Footer Char"/>
    <w:basedOn w:val="a1"/>
    <w:uiPriority w:val="99"/>
    <w:semiHidden/>
    <w:qFormat/>
    <w:rsid w:val="00FC5B9A"/>
    <w:rPr>
      <w:rFonts w:ascii="Times New Roman" w:hAnsi="Times New Roman"/>
      <w:sz w:val="18"/>
      <w:szCs w:val="18"/>
    </w:rPr>
  </w:style>
  <w:style w:type="character" w:customStyle="1" w:styleId="Char1">
    <w:name w:val="页脚 Char"/>
    <w:link w:val="a6"/>
    <w:uiPriority w:val="99"/>
    <w:qFormat/>
    <w:locked/>
    <w:rsid w:val="00FC5B9A"/>
    <w:rPr>
      <w:sz w:val="18"/>
    </w:rPr>
  </w:style>
  <w:style w:type="character" w:customStyle="1" w:styleId="BodyTextChar">
    <w:name w:val="Body Text Char"/>
    <w:basedOn w:val="a1"/>
    <w:uiPriority w:val="99"/>
    <w:semiHidden/>
    <w:qFormat/>
    <w:rsid w:val="00FC5B9A"/>
    <w:rPr>
      <w:rFonts w:ascii="Times New Roman" w:hAnsi="Times New Roman"/>
      <w:szCs w:val="24"/>
    </w:rPr>
  </w:style>
  <w:style w:type="character" w:customStyle="1" w:styleId="Char">
    <w:name w:val="正文文本 Char"/>
    <w:link w:val="a0"/>
    <w:uiPriority w:val="99"/>
    <w:qFormat/>
    <w:locked/>
    <w:rsid w:val="00FC5B9A"/>
    <w:rPr>
      <w:rFonts w:ascii="仿宋_GB2312" w:eastAsia="仿宋_GB2312" w:hAnsi="Times New Roman"/>
      <w:sz w:val="24"/>
    </w:rPr>
  </w:style>
  <w:style w:type="paragraph" w:customStyle="1" w:styleId="Default">
    <w:name w:val="Default"/>
    <w:uiPriority w:val="99"/>
    <w:qFormat/>
    <w:rsid w:val="00FC5B9A"/>
    <w:pPr>
      <w:widowControl w:val="0"/>
      <w:autoSpaceDE w:val="0"/>
      <w:autoSpaceDN w:val="0"/>
      <w:adjustRightInd w:val="0"/>
    </w:pPr>
    <w:rPr>
      <w:rFonts w:ascii="仿宋" w:eastAsia="仿宋" w:hAnsi="Calibri" w:cs="仿宋"/>
      <w:color w:val="000000"/>
      <w:sz w:val="24"/>
      <w:szCs w:val="24"/>
    </w:rPr>
  </w:style>
  <w:style w:type="paragraph" w:styleId="ab">
    <w:name w:val="List Paragraph"/>
    <w:basedOn w:val="a"/>
    <w:uiPriority w:val="34"/>
    <w:qFormat/>
    <w:rsid w:val="00FC5B9A"/>
    <w:pPr>
      <w:ind w:firstLineChars="200" w:firstLine="420"/>
    </w:pPr>
  </w:style>
  <w:style w:type="character" w:customStyle="1" w:styleId="1Char">
    <w:name w:val="标题 1 Char"/>
    <w:basedOn w:val="a1"/>
    <w:link w:val="1"/>
    <w:uiPriority w:val="9"/>
    <w:qFormat/>
    <w:rsid w:val="00FC5B9A"/>
    <w:rPr>
      <w:rFonts w:ascii="Times New Roman" w:hAnsi="Times New Roman"/>
      <w:b/>
      <w:bCs/>
      <w:kern w:val="44"/>
      <w:sz w:val="44"/>
      <w:szCs w:val="44"/>
    </w:rPr>
  </w:style>
  <w:style w:type="character" w:customStyle="1" w:styleId="2Char">
    <w:name w:val="标题 2 Char"/>
    <w:basedOn w:val="a1"/>
    <w:link w:val="2"/>
    <w:uiPriority w:val="9"/>
    <w:qFormat/>
    <w:rsid w:val="00FC5B9A"/>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FC5B9A"/>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5"/>
    <w:uiPriority w:val="99"/>
    <w:semiHidden/>
    <w:qFormat/>
    <w:rsid w:val="00FC5B9A"/>
    <w:rPr>
      <w:rFonts w:ascii="Times New Roman" w:hAnsi="Times New Roman"/>
      <w:kern w:val="2"/>
      <w:sz w:val="18"/>
      <w:szCs w:val="18"/>
    </w:rPr>
  </w:style>
  <w:style w:type="character" w:customStyle="1" w:styleId="3Char">
    <w:name w:val="标题 3 Char"/>
    <w:basedOn w:val="a1"/>
    <w:link w:val="3"/>
    <w:uiPriority w:val="9"/>
    <w:qFormat/>
    <w:rsid w:val="00FC5B9A"/>
    <w:rPr>
      <w:rFonts w:ascii="Times New Roman" w:hAnsi="Times New Roman"/>
      <w:b/>
      <w:bCs/>
      <w:kern w:val="2"/>
      <w:sz w:val="32"/>
      <w:szCs w:val="32"/>
    </w:rPr>
  </w:style>
  <w:style w:type="paragraph" w:customStyle="1" w:styleId="TOC2">
    <w:name w:val="TOC 标题2"/>
    <w:basedOn w:val="1"/>
    <w:next w:val="a"/>
    <w:uiPriority w:val="39"/>
    <w:unhideWhenUsed/>
    <w:qFormat/>
    <w:rsid w:val="00FC5B9A"/>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c">
    <w:name w:val="四号正文"/>
    <w:basedOn w:val="a"/>
    <w:qFormat/>
    <w:rsid w:val="00FC5B9A"/>
    <w:pPr>
      <w:spacing w:line="360" w:lineRule="auto"/>
    </w:pPr>
    <w:rPr>
      <w:rFonts w:ascii="??" w:hAnsi="??"/>
      <w:color w:val="000000"/>
      <w:kern w:val="0"/>
      <w:sz w:val="28"/>
      <w:szCs w:val="21"/>
      <w:lang w:val="zh-CN"/>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hart" Target="charts/chart4.xml"/><Relationship Id="rId18" Type="http://schemas.openxmlformats.org/officeDocument/2006/relationships/image" Target="media/image3.wmf"/><Relationship Id="rId26" Type="http://schemas.openxmlformats.org/officeDocument/2006/relationships/image" Target="media/image9.wmf"/><Relationship Id="rId39" Type="http://schemas.openxmlformats.org/officeDocument/2006/relationships/image" Target="media/image22.wmf"/><Relationship Id="rId3" Type="http://schemas.openxmlformats.org/officeDocument/2006/relationships/styles" Target="styles.xml"/><Relationship Id="rId21" Type="http://schemas.openxmlformats.org/officeDocument/2006/relationships/image" Target="media/image4.wmf"/><Relationship Id="rId34" Type="http://schemas.openxmlformats.org/officeDocument/2006/relationships/image" Target="media/image17.wmf"/><Relationship Id="rId42" Type="http://schemas.openxmlformats.org/officeDocument/2006/relationships/image" Target="media/image25.wmf"/><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image" Target="media/image2.wmf"/><Relationship Id="rId25" Type="http://schemas.openxmlformats.org/officeDocument/2006/relationships/image" Target="media/image8.wmf"/><Relationship Id="rId33" Type="http://schemas.openxmlformats.org/officeDocument/2006/relationships/image" Target="media/image16.wmf"/><Relationship Id="rId38" Type="http://schemas.openxmlformats.org/officeDocument/2006/relationships/image" Target="media/image21.wmf"/><Relationship Id="rId2" Type="http://schemas.openxmlformats.org/officeDocument/2006/relationships/numbering" Target="numbering.xml"/><Relationship Id="rId16" Type="http://schemas.openxmlformats.org/officeDocument/2006/relationships/image" Target="media/image1.wmf"/><Relationship Id="rId20" Type="http://schemas.openxmlformats.org/officeDocument/2006/relationships/footer" Target="footer3.xml"/><Relationship Id="rId29" Type="http://schemas.openxmlformats.org/officeDocument/2006/relationships/image" Target="media/image12.wmf"/><Relationship Id="rId41" Type="http://schemas.openxmlformats.org/officeDocument/2006/relationships/image" Target="media/image24.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24" Type="http://schemas.openxmlformats.org/officeDocument/2006/relationships/image" Target="media/image7.wmf"/><Relationship Id="rId32" Type="http://schemas.openxmlformats.org/officeDocument/2006/relationships/image" Target="media/image15.wmf"/><Relationship Id="rId37" Type="http://schemas.openxmlformats.org/officeDocument/2006/relationships/image" Target="media/image20.wmf"/><Relationship Id="rId40" Type="http://schemas.openxmlformats.org/officeDocument/2006/relationships/image" Target="media/image23.wmf"/><Relationship Id="rId5" Type="http://schemas.openxmlformats.org/officeDocument/2006/relationships/webSettings" Target="webSettings.xml"/><Relationship Id="rId15" Type="http://schemas.openxmlformats.org/officeDocument/2006/relationships/chart" Target="charts/chart6.xml"/><Relationship Id="rId23" Type="http://schemas.openxmlformats.org/officeDocument/2006/relationships/image" Target="media/image6.wmf"/><Relationship Id="rId28" Type="http://schemas.openxmlformats.org/officeDocument/2006/relationships/image" Target="media/image11.wmf"/><Relationship Id="rId36" Type="http://schemas.openxmlformats.org/officeDocument/2006/relationships/image" Target="media/image19.wmf"/><Relationship Id="rId10" Type="http://schemas.openxmlformats.org/officeDocument/2006/relationships/chart" Target="charts/chart1.xml"/><Relationship Id="rId19" Type="http://schemas.openxmlformats.org/officeDocument/2006/relationships/footer" Target="footer2.xml"/><Relationship Id="rId31" Type="http://schemas.openxmlformats.org/officeDocument/2006/relationships/image" Target="media/image14.wmf"/><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hart" Target="charts/chart5.xml"/><Relationship Id="rId22" Type="http://schemas.openxmlformats.org/officeDocument/2006/relationships/image" Target="media/image5.wmf"/><Relationship Id="rId27" Type="http://schemas.openxmlformats.org/officeDocument/2006/relationships/image" Target="media/image10.wmf"/><Relationship Id="rId30" Type="http://schemas.openxmlformats.org/officeDocument/2006/relationships/image" Target="media/image13.wmf"/><Relationship Id="rId35" Type="http://schemas.openxmlformats.org/officeDocument/2006/relationships/image" Target="media/image18.wmf"/><Relationship Id="rId43"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file:///D:\&#25105;&#30340;&#25991;&#26723;\&#36130;&#21153;&#25991;&#20214;\&#37096;&#38376;&#39044;&#20915;&#31639;&#20449;&#24687;&#20844;&#24320;\&#20915;&#31639;&#20844;&#24320;\2022&#24180;&#20915;&#31639;&#20844;&#24320;\2021&#20915;&#31639;&#20844;&#24320;&#22270;&#34920;.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D:\&#25105;&#30340;&#25991;&#26723;\&#36130;&#21153;&#25991;&#20214;\&#37096;&#38376;&#39044;&#20915;&#31639;&#20449;&#24687;&#20844;&#24320;\&#20915;&#31639;&#20844;&#24320;\2022&#24180;&#20915;&#31639;&#20844;&#24320;\2021&#20915;&#31639;&#20844;&#24320;&#22270;&#34920;.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D:\&#25105;&#30340;&#25991;&#26723;\&#36130;&#21153;&#25991;&#20214;\&#37096;&#38376;&#39044;&#20915;&#31639;&#20449;&#24687;&#20844;&#24320;\&#20915;&#31639;&#20844;&#24320;\2022&#24180;&#20915;&#31639;&#20844;&#24320;\2021&#20915;&#31639;&#20844;&#24320;&#22270;&#34920;.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D:\&#25105;&#30340;&#25991;&#26723;\&#36130;&#21153;&#25991;&#20214;\&#37096;&#38376;&#39044;&#20915;&#31639;&#20449;&#24687;&#20844;&#24320;\&#20915;&#31639;&#20844;&#24320;\2022&#24180;&#20915;&#31639;&#20844;&#24320;\2021&#20915;&#31639;&#20844;&#24320;&#22270;&#34920;.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D:\&#25105;&#30340;&#25991;&#26723;\&#36130;&#21153;&#25991;&#20214;\&#37096;&#38376;&#39044;&#20915;&#31639;&#20449;&#24687;&#20844;&#24320;\&#20915;&#31639;&#20844;&#24320;\2022&#24180;&#20915;&#31639;&#20844;&#24320;\2021&#20915;&#31639;&#20844;&#24320;&#22270;&#34920;.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D:\&#25105;&#30340;&#25991;&#26723;\&#36130;&#21153;&#25991;&#20214;\&#37096;&#38376;&#39044;&#20915;&#31639;&#20449;&#24687;&#20844;&#24320;\&#20915;&#31639;&#20844;&#24320;\2022&#24180;&#20915;&#31639;&#20844;&#24320;\2021&#20915;&#31639;&#20844;&#24320;&#22270;&#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a:defRPr lang="zh-CN" sz="14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图</a:t>
            </a:r>
            <a:r>
              <a:rPr lang="en-US" altLang="zh-CN"/>
              <a:t>1   </a:t>
            </a:r>
            <a:r>
              <a:rPr lang="zh-CN" altLang="en-US"/>
              <a:t>收、支决算总计变动情况</a:t>
            </a:r>
          </a:p>
        </c:rich>
      </c:tx>
      <c:spPr>
        <a:noFill/>
        <a:ln w="25400">
          <a:noFill/>
        </a:ln>
      </c:spPr>
    </c:title>
    <c:plotArea>
      <c:layout/>
      <c:barChart>
        <c:barDir val="col"/>
        <c:grouping val="clustered"/>
        <c:ser>
          <c:idx val="0"/>
          <c:order val="0"/>
          <c:tx>
            <c:strRef>
              <c:f>Sheet1!$A$58</c:f>
              <c:strCache>
                <c:ptCount val="1"/>
                <c:pt idx="0">
                  <c:v>收入、支出总计</c:v>
                </c:pt>
              </c:strCache>
            </c:strRef>
          </c:tx>
          <c:spPr>
            <a:solidFill>
              <a:srgbClr val="9999FF"/>
            </a:solidFill>
            <a:ln w="12700">
              <a:solidFill>
                <a:srgbClr val="000000">
                  <a:alpha val="100000"/>
                </a:srgbClr>
              </a:solidFill>
              <a:prstDash val="solid"/>
            </a:ln>
            <a:effectLst/>
          </c:spPr>
          <c:dLbls>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dLblPos val="outEnd"/>
            <c:showVal val="1"/>
            <c:extLst>
              <c:ext xmlns:c15="http://schemas.microsoft.com/office/drawing/2012/chart" uri="{CE6537A1-D6FC-4f65-9D91-7224C49458BB}">
                <c15:layout/>
                <c15:showLeaderLines val="0"/>
                <c15:leaderLines/>
              </c:ext>
            </c:extLst>
          </c:dLbls>
          <c:cat>
            <c:numRef>
              <c:f>Sheet1!$B$58:$C$58</c:f>
              <c:numCache>
                <c:formatCode>General</c:formatCode>
                <c:ptCount val="2"/>
                <c:pt idx="0">
                  <c:v>2021</c:v>
                </c:pt>
                <c:pt idx="1">
                  <c:v>2022</c:v>
                </c:pt>
              </c:numCache>
            </c:numRef>
          </c:cat>
          <c:val>
            <c:numRef>
              <c:f>Sheet1!$B$59:$C$59</c:f>
              <c:numCache>
                <c:formatCode>General</c:formatCode>
                <c:ptCount val="2"/>
                <c:pt idx="0">
                  <c:v>486.83</c:v>
                </c:pt>
                <c:pt idx="1">
                  <c:v>524.29000000000212</c:v>
                </c:pt>
              </c:numCache>
            </c:numRef>
          </c:val>
        </c:ser>
        <c:dLbls>
          <c:showVal val="1"/>
        </c:dLbls>
        <c:axId val="337063296"/>
        <c:axId val="337075584"/>
      </c:barChart>
      <c:catAx>
        <c:axId val="337063296"/>
        <c:scaling>
          <c:orientation val="minMax"/>
        </c:scaling>
        <c:axPos val="b"/>
        <c:numFmt formatCode="General" sourceLinked="1"/>
        <c:majorTickMark val="in"/>
        <c:tickLblPos val="nextTo"/>
        <c:spPr>
          <a:noFill/>
          <a:ln w="3175" cap="flat" cmpd="sng" algn="ctr">
            <a:solidFill>
              <a:srgbClr val="000000"/>
            </a:solidFill>
            <a:prstDash val="solid"/>
            <a:round/>
          </a:ln>
          <a:effectLst/>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337075584"/>
        <c:crosses val="autoZero"/>
        <c:auto val="1"/>
        <c:lblAlgn val="ctr"/>
        <c:lblOffset val="100"/>
      </c:catAx>
      <c:valAx>
        <c:axId val="337075584"/>
        <c:scaling>
          <c:orientation val="minMax"/>
        </c:scaling>
        <c:axPos val="l"/>
        <c:majorGridlines>
          <c:spPr>
            <a:ln w="3175" cap="flat" cmpd="sng" algn="ctr">
              <a:solidFill>
                <a:srgbClr val="000000">
                  <a:alpha val="100000"/>
                </a:srgbClr>
              </a:solidFill>
              <a:prstDash val="solid"/>
              <a:round/>
            </a:ln>
            <a:effectLst/>
          </c:spPr>
        </c:majorGridlines>
        <c:numFmt formatCode="General" sourceLinked="1"/>
        <c:majorTickMark val="in"/>
        <c:tickLblPos val="nextTo"/>
        <c:spPr>
          <a:noFill/>
          <a:ln w="3175" cap="flat" cmpd="sng" algn="ctr">
            <a:solidFill>
              <a:srgbClr val="000000"/>
            </a:solidFill>
            <a:prstDash val="solid"/>
            <a:round/>
          </a:ln>
          <a:effectLst/>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337063296"/>
        <c:crosses val="autoZero"/>
        <c:crossBetween val="between"/>
      </c:valAx>
      <c:spPr>
        <a:solidFill>
          <a:srgbClr val="C0C0C0">
            <a:alpha val="100000"/>
          </a:srgbClr>
        </a:solidFill>
        <a:ln w="12700">
          <a:solidFill>
            <a:srgbClr val="808080">
              <a:alpha val="100000"/>
            </a:srgbClr>
          </a:solidFill>
          <a:prstDash val="solid"/>
        </a:ln>
        <a:effectLst/>
      </c:spPr>
    </c:plotArea>
    <c:legend>
      <c:legendPos val="r"/>
      <c:layout>
        <c:manualLayout>
          <c:xMode val="edge"/>
          <c:yMode val="edge"/>
          <c:x val="0.74011842307335063"/>
          <c:y val="0.460069092153995"/>
          <c:w val="0.25388173998115432"/>
          <c:h val="0.11549095888705607"/>
        </c:manualLayout>
      </c:layout>
      <c:spPr>
        <a:solidFill>
          <a:srgbClr val="FFFFFF"/>
        </a:solidFill>
        <a:ln>
          <a:solidFill>
            <a:srgbClr val="000000"/>
          </a:solidFill>
        </a:ln>
        <a:effectLst/>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gap"/>
  </c:chart>
  <c:spPr>
    <a:solidFill>
      <a:srgbClr val="FFFFFF"/>
    </a:solidFill>
    <a:ln w="3175" cap="flat" cmpd="sng" algn="ctr">
      <a:solidFill>
        <a:srgbClr val="000000">
          <a:alpha val="100000"/>
        </a:srgbClr>
      </a:solidFill>
      <a:prstDash val="solid"/>
      <a:round/>
    </a:ln>
    <a:effectLst/>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a:defRPr lang="zh-CN" sz="16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图</a:t>
            </a:r>
            <a:r>
              <a:rPr lang="en-US" altLang="zh-CN"/>
              <a:t>2    </a:t>
            </a:r>
            <a:r>
              <a:rPr lang="zh-CN" altLang="en-US"/>
              <a:t>收入决算结构图</a:t>
            </a:r>
          </a:p>
        </c:rich>
      </c:tx>
      <c:layout>
        <c:manualLayout>
          <c:xMode val="edge"/>
          <c:yMode val="edge"/>
          <c:x val="0.29292078015892287"/>
          <c:y val="0"/>
        </c:manualLayout>
      </c:layout>
      <c:spPr>
        <a:noFill/>
        <a:ln w="25400">
          <a:noFill/>
        </a:ln>
      </c:spPr>
    </c:title>
    <c:plotArea>
      <c:layout/>
      <c:pieChart>
        <c:varyColors val="1"/>
        <c:ser>
          <c:idx val="0"/>
          <c:order val="0"/>
          <c:spPr>
            <a:solidFill>
              <a:srgbClr val="9999FF"/>
            </a:solidFill>
            <a:ln w="12700">
              <a:solidFill>
                <a:srgbClr val="000000">
                  <a:alpha val="100000"/>
                </a:srgbClr>
              </a:solidFill>
              <a:prstDash val="solid"/>
            </a:ln>
            <a:effectLst/>
          </c:spPr>
          <c:dPt>
            <c:idx val="1"/>
            <c:spPr>
              <a:solidFill>
                <a:srgbClr val="993366"/>
              </a:solidFill>
              <a:ln w="12700">
                <a:solidFill>
                  <a:srgbClr val="000000">
                    <a:alpha val="100000"/>
                  </a:srgbClr>
                </a:solidFill>
                <a:prstDash val="solid"/>
              </a:ln>
              <a:effectLst/>
            </c:spPr>
          </c:dPt>
          <c:dPt>
            <c:idx val="2"/>
            <c:spPr>
              <a:solidFill>
                <a:srgbClr val="FFFFCC"/>
              </a:solidFill>
              <a:ln w="12700">
                <a:solidFill>
                  <a:srgbClr val="000000">
                    <a:alpha val="100000"/>
                  </a:srgbClr>
                </a:solidFill>
                <a:prstDash val="solid"/>
              </a:ln>
              <a:effectLst/>
            </c:spPr>
          </c:dPt>
          <c:dPt>
            <c:idx val="3"/>
            <c:spPr>
              <a:solidFill>
                <a:srgbClr val="CCFFFF"/>
              </a:solidFill>
              <a:ln w="12700">
                <a:solidFill>
                  <a:srgbClr val="000000">
                    <a:alpha val="100000"/>
                  </a:srgbClr>
                </a:solidFill>
                <a:prstDash val="solid"/>
              </a:ln>
              <a:effectLst/>
            </c:spPr>
          </c:dPt>
          <c:dPt>
            <c:idx val="4"/>
            <c:spPr>
              <a:solidFill>
                <a:srgbClr val="660066"/>
              </a:solidFill>
              <a:ln w="12700">
                <a:solidFill>
                  <a:srgbClr val="000000">
                    <a:alpha val="100000"/>
                  </a:srgbClr>
                </a:solidFill>
                <a:prstDash val="solid"/>
              </a:ln>
              <a:effectLst/>
            </c:spPr>
          </c:dPt>
          <c:dPt>
            <c:idx val="5"/>
            <c:spPr>
              <a:solidFill>
                <a:srgbClr val="FF8080"/>
              </a:solidFill>
              <a:ln w="12700">
                <a:solidFill>
                  <a:srgbClr val="000000">
                    <a:alpha val="100000"/>
                  </a:srgbClr>
                </a:solidFill>
                <a:prstDash val="solid"/>
              </a:ln>
              <a:effectLst/>
            </c:spPr>
          </c:dPt>
          <c:dLbls>
            <c:dLbl>
              <c:idx val="0"/>
              <c:layout>
                <c:manualLayout>
                  <c:x val="-0.19074418748414343"/>
                  <c:y val="-8.0902099775814043E-2"/>
                </c:manualLayout>
              </c:layout>
              <c:tx>
                <c:rich>
                  <a:bodyPr rot="0" spcFirstLastPara="0" vertOverflow="ellipsis" vert="horz" wrap="square" lIns="38100" tIns="19050" rIns="38100" bIns="19050" anchor="ctr" anchorCtr="1"/>
                  <a:lstStyle/>
                  <a:p>
                    <a:pPr>
                      <a:defRPr lang="zh-CN" sz="10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en-US" altLang="zh-CN" sz="1200" b="0" i="0" strike="noStrike">
                        <a:solidFill>
                          <a:srgbClr val="FF0000"/>
                        </a:solidFill>
                        <a:latin typeface="宋体" panose="02010600030101010101" charset="-122"/>
                        <a:ea typeface="宋体" panose="02010600030101010101" charset="-122"/>
                      </a:rPr>
                      <a:t>524.29, 100%</a:t>
                    </a:r>
                    <a:endParaRPr lang="en-US" altLang="zh-CN"/>
                  </a:p>
                </c:rich>
              </c:tx>
              <c:numFmt formatCode="0%" sourceLinked="0"/>
              <c:spPr>
                <a:noFill/>
                <a:ln>
                  <a:noFill/>
                </a:ln>
                <a:effectLst/>
              </c:spPr>
              <c:dLblPos val="bestFit"/>
              <c:showLegendKey val="1"/>
              <c:extLst>
                <c:ext xmlns:c15="http://schemas.microsoft.com/office/drawing/2012/chart" uri="{CE6537A1-D6FC-4f65-9D91-7224C49458BB}">
                  <c15:layout/>
                </c:ext>
              </c:extLst>
            </c:dLbl>
            <c:dLbl>
              <c:idx val="1"/>
              <c:layout>
                <c:manualLayout>
                  <c:x val="-0.15729678384471246"/>
                  <c:y val="-2.4117001718631207E-3"/>
                </c:manualLayout>
              </c:layout>
              <c:tx>
                <c:rich>
                  <a:bodyPr rot="0" spcFirstLastPara="0" vertOverflow="ellipsis" vert="horz" wrap="square" lIns="38100" tIns="19050" rIns="38100" bIns="19050" anchor="ctr" anchorCtr="1"/>
                  <a:lstStyle/>
                  <a:p>
                    <a:pPr>
                      <a:defRPr lang="zh-CN" sz="10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en-US" altLang="zh-CN" sz="1200" b="0" i="0" strike="noStrike">
                        <a:solidFill>
                          <a:srgbClr val="FF0000"/>
                        </a:solidFill>
                        <a:latin typeface="宋体" panose="02010600030101010101" charset="-122"/>
                        <a:ea typeface="宋体" panose="02010600030101010101" charset="-122"/>
                      </a:rPr>
                      <a:t>0%</a:t>
                    </a:r>
                    <a:endParaRPr lang="en-US" altLang="zh-CN"/>
                  </a:p>
                </c:rich>
              </c:tx>
              <c:numFmt formatCode="0%" sourceLinked="0"/>
              <c:spPr>
                <a:noFill/>
                <a:ln>
                  <a:noFill/>
                </a:ln>
                <a:effectLst/>
              </c:spPr>
              <c:dLblPos val="bestFit"/>
              <c:showLegendKey val="1"/>
              <c:extLst>
                <c:ext xmlns:c15="http://schemas.microsoft.com/office/drawing/2012/chart" uri="{CE6537A1-D6FC-4f65-9D91-7224C49458BB}">
                  <c15:layout/>
                </c:ext>
              </c:extLst>
            </c:dLbl>
            <c:dLbl>
              <c:idx val="2"/>
              <c:layout>
                <c:manualLayout>
                  <c:x val="-7.5428255070331518E-2"/>
                  <c:y val="-5.9781408079439104E-3"/>
                </c:manualLayout>
              </c:layout>
              <c:dLblPos val="bestFit"/>
              <c:showLegendKey val="1"/>
              <c:showVal val="1"/>
              <c:showPercent val="1"/>
              <c:extLst>
                <c:ext xmlns:c15="http://schemas.microsoft.com/office/drawing/2012/chart" uri="{CE6537A1-D6FC-4f65-9D91-7224C49458BB}">
                  <c15:layout/>
                </c:ext>
              </c:extLst>
            </c:dLbl>
            <c:dLbl>
              <c:idx val="3"/>
              <c:layout>
                <c:manualLayout>
                  <c:x val="1.9683712182257021E-2"/>
                  <c:y val="-5.4719496167714592E-2"/>
                </c:manualLayout>
              </c:layout>
              <c:dLblPos val="bestFit"/>
              <c:showLegendKey val="1"/>
              <c:showVal val="1"/>
              <c:showPercent val="1"/>
              <c:extLst>
                <c:ext xmlns:c15="http://schemas.microsoft.com/office/drawing/2012/chart" uri="{CE6537A1-D6FC-4f65-9D91-7224C49458BB}">
                  <c15:layout/>
                </c:ext>
              </c:extLst>
            </c:dLbl>
            <c:dLbl>
              <c:idx val="4"/>
              <c:layout>
                <c:manualLayout>
                  <c:x val="0.1430884798201093"/>
                  <c:y val="-1.6677462716186201E-2"/>
                </c:manualLayout>
              </c:layout>
              <c:dLblPos val="bestFit"/>
              <c:showLegendKey val="1"/>
              <c:showVal val="1"/>
              <c:showPercent val="1"/>
              <c:extLst>
                <c:ext xmlns:c15="http://schemas.microsoft.com/office/drawing/2012/chart" uri="{CE6537A1-D6FC-4f65-9D91-7224C49458BB}">
                  <c15:layout/>
                </c:ext>
              </c:extLst>
            </c:dLbl>
            <c:dLbl>
              <c:idx val="5"/>
              <c:layout>
                <c:manualLayout>
                  <c:x val="-8.3855897738283294E-2"/>
                  <c:y val="-6.4230004530596504E-2"/>
                </c:manualLayout>
              </c:layout>
              <c:dLblPos val="bestFit"/>
              <c:showLegendKey val="1"/>
              <c:showVal val="1"/>
              <c:showPercent val="1"/>
              <c:extLst>
                <c:ext xmlns:c15="http://schemas.microsoft.com/office/drawing/2012/chart" uri="{CE6537A1-D6FC-4f65-9D91-7224C49458BB}">
                  <c15:layout/>
                </c:ext>
              </c:extLst>
            </c:dLbl>
            <c:numFmt formatCode="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dLblPos val="bestFit"/>
            <c:showLegendKey val="1"/>
            <c:showVal val="1"/>
            <c:showPercent val="1"/>
            <c:extLst>
              <c:ext xmlns:c15="http://schemas.microsoft.com/office/drawing/2012/chart" uri="{CE6537A1-D6FC-4f65-9D91-7224C49458BB}">
                <c15:layout/>
                <c15:showLeaderLines val="1"/>
                <c15:leaderLines>
                  <c:spPr>
                    <a:ln w="3175" cap="flat" cmpd="sng" algn="ctr">
                      <a:solidFill>
                        <a:srgbClr val="000000"/>
                      </a:solidFill>
                      <a:prstDash val="solid"/>
                      <a:round/>
                    </a:ln>
                  </c:spPr>
                </c15:leaderLines>
              </c:ext>
            </c:extLst>
          </c:dLbls>
          <c:cat>
            <c:strRef>
              <c:f>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Sheet1!$C$3:$C$8</c:f>
              <c:numCache>
                <c:formatCode>General</c:formatCode>
                <c:ptCount val="6"/>
                <c:pt idx="0">
                  <c:v>524.29000000000212</c:v>
                </c:pt>
                <c:pt idx="2">
                  <c:v>0</c:v>
                </c:pt>
                <c:pt idx="3">
                  <c:v>0</c:v>
                </c:pt>
                <c:pt idx="4">
                  <c:v>0</c:v>
                </c:pt>
                <c:pt idx="5">
                  <c:v>0</c:v>
                </c:pt>
              </c:numCache>
            </c:numRef>
          </c:val>
        </c:ser>
        <c:ser>
          <c:idx val="1"/>
          <c:order val="1"/>
          <c:spPr>
            <a:solidFill>
              <a:srgbClr val="993366"/>
            </a:solidFill>
            <a:ln w="12700">
              <a:solidFill>
                <a:srgbClr val="000000"/>
              </a:solidFill>
              <a:prstDash val="solid"/>
            </a:ln>
            <a:effectLst/>
          </c:spPr>
          <c:dPt>
            <c:idx val="0"/>
            <c:spPr>
              <a:solidFill>
                <a:srgbClr val="9999FF"/>
              </a:solidFill>
              <a:ln w="12700">
                <a:solidFill>
                  <a:srgbClr val="000000"/>
                </a:solidFill>
                <a:prstDash val="solid"/>
              </a:ln>
              <a:effectLst/>
            </c:spPr>
          </c:dPt>
          <c:dPt>
            <c:idx val="2"/>
            <c:spPr>
              <a:solidFill>
                <a:srgbClr val="FFFFCC"/>
              </a:solidFill>
              <a:ln w="12700">
                <a:solidFill>
                  <a:srgbClr val="000000"/>
                </a:solidFill>
                <a:prstDash val="solid"/>
              </a:ln>
              <a:effectLst/>
            </c:spPr>
          </c:dPt>
          <c:dPt>
            <c:idx val="3"/>
            <c:spPr>
              <a:solidFill>
                <a:srgbClr val="CCFFFF"/>
              </a:solidFill>
              <a:ln w="12700">
                <a:solidFill>
                  <a:srgbClr val="000000"/>
                </a:solidFill>
                <a:prstDash val="solid"/>
              </a:ln>
              <a:effectLst/>
            </c:spPr>
          </c:dPt>
          <c:dPt>
            <c:idx val="4"/>
            <c:spPr>
              <a:solidFill>
                <a:srgbClr val="660066"/>
              </a:solidFill>
              <a:ln w="12700">
                <a:solidFill>
                  <a:srgbClr val="000000"/>
                </a:solidFill>
                <a:prstDash val="solid"/>
              </a:ln>
              <a:effectLst/>
            </c:spPr>
          </c:dPt>
          <c:dPt>
            <c:idx val="5"/>
            <c:spPr>
              <a:solidFill>
                <a:srgbClr val="FF8080"/>
              </a:solidFill>
              <a:ln w="12700">
                <a:solidFill>
                  <a:srgbClr val="000000"/>
                </a:solidFill>
                <a:prstDash val="solid"/>
              </a:ln>
              <a:effectLst/>
            </c:spPr>
          </c:dPt>
          <c:cat>
            <c:strRef>
              <c:f>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Sheet1!$D$3:$D$8</c:f>
              <c:numCache>
                <c:formatCode>General</c:formatCode>
                <c:ptCount val="6"/>
                <c:pt idx="0" formatCode="0.00%">
                  <c:v>1</c:v>
                </c:pt>
                <c:pt idx="2" formatCode="0%">
                  <c:v>0</c:v>
                </c:pt>
                <c:pt idx="3" formatCode="0%">
                  <c:v>0</c:v>
                </c:pt>
                <c:pt idx="4" formatCode="0%">
                  <c:v>0</c:v>
                </c:pt>
                <c:pt idx="5" formatCode="0%">
                  <c:v>0</c:v>
                </c:pt>
              </c:numCache>
            </c:numRef>
          </c:val>
        </c:ser>
        <c:firstSliceAng val="0"/>
      </c:pieChart>
      <c:spPr>
        <a:noFill/>
        <a:ln>
          <a:noFill/>
        </a:ln>
        <a:effectLst/>
      </c:spPr>
    </c:plotArea>
    <c:legend>
      <c:legendPos val="r"/>
      <c:layout>
        <c:manualLayout>
          <c:xMode val="edge"/>
          <c:yMode val="edge"/>
          <c:x val="0.52224973503643102"/>
          <c:y val="0.23575000000000004"/>
          <c:w val="0.47175023841981201"/>
          <c:h val="0.66475000000000473"/>
        </c:manualLayout>
      </c:layout>
      <c:spPr>
        <a:solidFill>
          <a:srgbClr val="FFFFFF"/>
        </a:solidFill>
        <a:ln>
          <a:solidFill>
            <a:srgbClr val="000000"/>
          </a:solidFill>
        </a:ln>
        <a:effectLst/>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zero"/>
  </c:chart>
  <c:spPr>
    <a:solidFill>
      <a:srgbClr val="FFFFFF"/>
    </a:solidFill>
    <a:ln w="3175" cap="flat" cmpd="sng" algn="ctr">
      <a:solidFill>
        <a:srgbClr val="000000">
          <a:alpha val="100000"/>
        </a:srgbClr>
      </a:solidFill>
      <a:prstDash val="solid"/>
      <a:round/>
    </a:ln>
    <a:effectLst/>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a:defRPr lang="zh-CN" sz="14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图</a:t>
            </a:r>
            <a:r>
              <a:rPr lang="en-US" altLang="zh-CN"/>
              <a:t>3    </a:t>
            </a:r>
            <a:r>
              <a:rPr lang="zh-CN" altLang="en-US"/>
              <a:t>支出决算结构图</a:t>
            </a:r>
          </a:p>
        </c:rich>
      </c:tx>
      <c:layout>
        <c:manualLayout>
          <c:xMode val="edge"/>
          <c:yMode val="edge"/>
          <c:x val="0.33132521085466959"/>
          <c:y val="0"/>
        </c:manualLayout>
      </c:layout>
      <c:spPr>
        <a:noFill/>
        <a:ln w="25400">
          <a:noFill/>
        </a:ln>
      </c:spPr>
    </c:title>
    <c:plotArea>
      <c:layout/>
      <c:pieChart>
        <c:varyColors val="1"/>
        <c:ser>
          <c:idx val="0"/>
          <c:order val="0"/>
          <c:spPr>
            <a:solidFill>
              <a:srgbClr val="9999FF"/>
            </a:solidFill>
            <a:ln w="12700">
              <a:solidFill>
                <a:srgbClr val="000000">
                  <a:alpha val="100000"/>
                </a:srgbClr>
              </a:solidFill>
              <a:prstDash val="solid"/>
            </a:ln>
            <a:effectLst/>
          </c:spPr>
          <c:dPt>
            <c:idx val="1"/>
            <c:spPr>
              <a:solidFill>
                <a:srgbClr val="993366"/>
              </a:solidFill>
              <a:ln w="12700">
                <a:solidFill>
                  <a:srgbClr val="000000">
                    <a:alpha val="100000"/>
                  </a:srgbClr>
                </a:solidFill>
                <a:prstDash val="solid"/>
              </a:ln>
              <a:effectLst/>
            </c:spPr>
          </c:dPt>
          <c:dPt>
            <c:idx val="2"/>
            <c:spPr>
              <a:solidFill>
                <a:srgbClr val="FFFFCC"/>
              </a:solidFill>
              <a:ln w="12700">
                <a:solidFill>
                  <a:srgbClr val="000000">
                    <a:alpha val="100000"/>
                  </a:srgbClr>
                </a:solidFill>
                <a:prstDash val="solid"/>
              </a:ln>
              <a:effectLst/>
            </c:spPr>
          </c:dPt>
          <c:dPt>
            <c:idx val="3"/>
            <c:spPr>
              <a:solidFill>
                <a:srgbClr val="CCFFFF"/>
              </a:solidFill>
              <a:ln w="12700">
                <a:solidFill>
                  <a:srgbClr val="000000">
                    <a:alpha val="100000"/>
                  </a:srgbClr>
                </a:solidFill>
                <a:prstDash val="solid"/>
              </a:ln>
              <a:effectLst/>
            </c:spPr>
          </c:dPt>
          <c:dPt>
            <c:idx val="4"/>
            <c:spPr>
              <a:solidFill>
                <a:srgbClr val="660066"/>
              </a:solidFill>
              <a:ln w="12700">
                <a:solidFill>
                  <a:srgbClr val="000000">
                    <a:alpha val="100000"/>
                  </a:srgbClr>
                </a:solidFill>
                <a:prstDash val="solid"/>
              </a:ln>
              <a:effectLst/>
            </c:spPr>
          </c:dPt>
          <c:dLbls>
            <c:dLbl>
              <c:idx val="1"/>
              <c:layout>
                <c:manualLayout>
                  <c:x val="8.8344378639417572E-3"/>
                  <c:y val="4.1708154901689908E-2"/>
                </c:manualLayout>
              </c:layout>
              <c:dLblPos val="bestFit"/>
              <c:showLegendKey val="1"/>
              <c:showVal val="1"/>
              <c:showCatName val="1"/>
              <c:showPercent val="1"/>
              <c:extLst>
                <c:ext xmlns:c15="http://schemas.microsoft.com/office/drawing/2012/chart" uri="{CE6537A1-D6FC-4f65-9D91-7224C49458BB}">
                  <c15:layout/>
                </c:ext>
              </c:extLst>
            </c:dLbl>
            <c:dLbl>
              <c:idx val="2"/>
              <c:layout>
                <c:manualLayout>
                  <c:x val="-0.19432836585803301"/>
                  <c:y val="5.9095106186518913E-2"/>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dLblPos val="bestFit"/>
              <c:showLegendKey val="1"/>
              <c:showVal val="1"/>
              <c:showCatName val="1"/>
              <c:showPercent val="1"/>
              <c:extLst>
                <c:ext xmlns:c15="http://schemas.microsoft.com/office/drawing/2012/chart" uri="{CE6537A1-D6FC-4f65-9D91-7224C49458BB}">
                  <c15:layout/>
                </c:ext>
              </c:extLst>
            </c:dLbl>
            <c:dLbl>
              <c:idx val="3"/>
              <c:layout>
                <c:manualLayout>
                  <c:x val="-0.19418940833232734"/>
                  <c:y val="0.22770199431442334"/>
                </c:manualLayout>
              </c:layout>
              <c:dLblPos val="bestFit"/>
              <c:showLegendKey val="1"/>
              <c:showVal val="1"/>
              <c:showCatName val="1"/>
              <c:showPercent val="1"/>
              <c:extLst>
                <c:ext xmlns:c15="http://schemas.microsoft.com/office/drawing/2012/chart" uri="{CE6537A1-D6FC-4f65-9D91-7224C49458BB}">
                  <c15:layout/>
                </c:ext>
              </c:extLst>
            </c:dLbl>
            <c:dLbl>
              <c:idx val="4"/>
              <c:layout>
                <c:manualLayout>
                  <c:x val="0.239888423988842"/>
                  <c:y val="0.16623568526043631"/>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dLblPos val="bestFit"/>
              <c:showLegendKey val="1"/>
              <c:showVal val="1"/>
              <c:showCatName val="1"/>
              <c:showPercent val="1"/>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dLblPos val="bestFit"/>
            <c:showLegendKey val="1"/>
            <c:showVal val="1"/>
            <c:showCatName val="1"/>
            <c:showPercent val="1"/>
            <c:extLst>
              <c:ext xmlns:c15="http://schemas.microsoft.com/office/drawing/2012/chart" uri="{CE6537A1-D6FC-4f65-9D91-7224C49458BB}">
                <c15:layout/>
                <c15:showLeaderLines val="1"/>
                <c15:leaderLines>
                  <c:spPr>
                    <a:ln w="3175" cap="flat" cmpd="sng" algn="ctr">
                      <a:solidFill>
                        <a:srgbClr val="000000"/>
                      </a:solidFill>
                      <a:prstDash val="solid"/>
                      <a:round/>
                    </a:ln>
                  </c:spPr>
                </c15:leaderLines>
              </c:ext>
            </c:extLst>
          </c:dLbls>
          <c:cat>
            <c:strRef>
              <c:f>Sheet1!$B$34:$B$38</c:f>
              <c:strCache>
                <c:ptCount val="5"/>
                <c:pt idx="0">
                  <c:v>基本支出</c:v>
                </c:pt>
                <c:pt idx="1">
                  <c:v>项目支出</c:v>
                </c:pt>
                <c:pt idx="2">
                  <c:v>上缴上级支出</c:v>
                </c:pt>
                <c:pt idx="3">
                  <c:v>经营支出</c:v>
                </c:pt>
                <c:pt idx="4">
                  <c:v>对附属单位补助支出</c:v>
                </c:pt>
              </c:strCache>
            </c:strRef>
          </c:cat>
          <c:val>
            <c:numRef>
              <c:f>Sheet1!$C$34:$C$38</c:f>
              <c:numCache>
                <c:formatCode>General</c:formatCode>
                <c:ptCount val="5"/>
                <c:pt idx="0">
                  <c:v>518.12</c:v>
                </c:pt>
                <c:pt idx="1">
                  <c:v>6.17</c:v>
                </c:pt>
                <c:pt idx="2">
                  <c:v>0</c:v>
                </c:pt>
                <c:pt idx="3">
                  <c:v>0</c:v>
                </c:pt>
                <c:pt idx="4">
                  <c:v>0</c:v>
                </c:pt>
              </c:numCache>
            </c:numRef>
          </c:val>
        </c:ser>
        <c:ser>
          <c:idx val="1"/>
          <c:order val="1"/>
          <c:spPr>
            <a:solidFill>
              <a:srgbClr val="993366"/>
            </a:solidFill>
            <a:ln w="12700">
              <a:solidFill>
                <a:srgbClr val="000000"/>
              </a:solidFill>
              <a:prstDash val="solid"/>
            </a:ln>
            <a:effectLst/>
          </c:spPr>
          <c:dPt>
            <c:idx val="0"/>
            <c:spPr>
              <a:solidFill>
                <a:srgbClr val="9999FF"/>
              </a:solidFill>
              <a:ln w="12700">
                <a:solidFill>
                  <a:srgbClr val="000000"/>
                </a:solidFill>
                <a:prstDash val="solid"/>
              </a:ln>
              <a:effectLst/>
            </c:spPr>
          </c:dPt>
          <c:dPt>
            <c:idx val="2"/>
            <c:spPr>
              <a:solidFill>
                <a:srgbClr val="FFFFCC"/>
              </a:solidFill>
              <a:ln w="12700">
                <a:solidFill>
                  <a:srgbClr val="000000"/>
                </a:solidFill>
                <a:prstDash val="solid"/>
              </a:ln>
              <a:effectLst/>
            </c:spPr>
          </c:dPt>
          <c:dPt>
            <c:idx val="3"/>
            <c:spPr>
              <a:solidFill>
                <a:srgbClr val="CCFFFF"/>
              </a:solidFill>
              <a:ln w="12700">
                <a:solidFill>
                  <a:srgbClr val="000000"/>
                </a:solidFill>
                <a:prstDash val="solid"/>
              </a:ln>
              <a:effectLst/>
            </c:spPr>
          </c:dPt>
          <c:dPt>
            <c:idx val="4"/>
            <c:spPr>
              <a:solidFill>
                <a:srgbClr val="660066"/>
              </a:solidFill>
              <a:ln w="12700">
                <a:solidFill>
                  <a:srgbClr val="000000"/>
                </a:solidFill>
                <a:prstDash val="solid"/>
              </a:ln>
              <a:effectLst/>
            </c:spPr>
          </c:dPt>
          <c:cat>
            <c:strRef>
              <c:f>Sheet1!$B$34:$B$38</c:f>
              <c:strCache>
                <c:ptCount val="5"/>
                <c:pt idx="0">
                  <c:v>基本支出</c:v>
                </c:pt>
                <c:pt idx="1">
                  <c:v>项目支出</c:v>
                </c:pt>
                <c:pt idx="2">
                  <c:v>上缴上级支出</c:v>
                </c:pt>
                <c:pt idx="3">
                  <c:v>经营支出</c:v>
                </c:pt>
                <c:pt idx="4">
                  <c:v>对附属单位补助支出</c:v>
                </c:pt>
              </c:strCache>
            </c:strRef>
          </c:cat>
          <c:val>
            <c:numRef>
              <c:f>Sheet1!$D$34:$D$38</c:f>
              <c:numCache>
                <c:formatCode>0.00%</c:formatCode>
                <c:ptCount val="5"/>
                <c:pt idx="0">
                  <c:v>0.98819999999999997</c:v>
                </c:pt>
                <c:pt idx="1">
                  <c:v>1.1800000000000031E-2</c:v>
                </c:pt>
                <c:pt idx="2">
                  <c:v>0</c:v>
                </c:pt>
                <c:pt idx="3">
                  <c:v>0</c:v>
                </c:pt>
                <c:pt idx="4">
                  <c:v>0</c:v>
                </c:pt>
              </c:numCache>
            </c:numRef>
          </c:val>
        </c:ser>
        <c:firstSliceAng val="0"/>
      </c:pieChart>
      <c:spPr>
        <a:noFill/>
        <a:ln>
          <a:noFill/>
        </a:ln>
        <a:effectLst/>
      </c:spPr>
    </c:plotArea>
    <c:legend>
      <c:legendPos val="r"/>
      <c:layout>
        <c:manualLayout>
          <c:xMode val="edge"/>
          <c:yMode val="edge"/>
          <c:x val="0.71798681791282104"/>
          <c:y val="0.27714914583045502"/>
          <c:w val="0.27855801157385562"/>
          <c:h val="0.55555997605562502"/>
        </c:manualLayout>
      </c:layout>
      <c:spPr>
        <a:solidFill>
          <a:srgbClr val="FFFFFF"/>
        </a:solidFill>
        <a:ln>
          <a:solidFill>
            <a:srgbClr val="000000"/>
          </a:solidFill>
        </a:ln>
        <a:effectLst/>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zero"/>
  </c:chart>
  <c:spPr>
    <a:solidFill>
      <a:srgbClr val="FFFFFF"/>
    </a:solidFill>
    <a:ln w="3175" cap="flat" cmpd="sng" algn="ctr">
      <a:solidFill>
        <a:srgbClr val="000000">
          <a:alpha val="100000"/>
        </a:srgbClr>
      </a:solidFill>
      <a:prstDash val="solid"/>
      <a:round/>
    </a:ln>
    <a:effectLst/>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a:defRPr lang="zh-CN" sz="14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图</a:t>
            </a:r>
            <a:r>
              <a:rPr lang="en-US" altLang="zh-CN"/>
              <a:t>4    </a:t>
            </a:r>
            <a:r>
              <a:rPr lang="zh-CN" altLang="en-US"/>
              <a:t>财政拨款收、支决算总计变动情况</a:t>
            </a:r>
          </a:p>
        </c:rich>
      </c:tx>
      <c:spPr>
        <a:noFill/>
        <a:ln w="25400">
          <a:noFill/>
        </a:ln>
      </c:spPr>
    </c:title>
    <c:plotArea>
      <c:layout/>
      <c:barChart>
        <c:barDir val="col"/>
        <c:grouping val="clustered"/>
        <c:ser>
          <c:idx val="0"/>
          <c:order val="0"/>
          <c:tx>
            <c:strRef>
              <c:f>Sheet1!$A$168</c:f>
              <c:strCache>
                <c:ptCount val="1"/>
                <c:pt idx="0">
                  <c:v>财政拨款收入、支出总计</c:v>
                </c:pt>
              </c:strCache>
            </c:strRef>
          </c:tx>
          <c:spPr>
            <a:solidFill>
              <a:srgbClr val="9999FF"/>
            </a:solidFill>
            <a:ln w="12700">
              <a:solidFill>
                <a:srgbClr val="000000">
                  <a:alpha val="100000"/>
                </a:srgbClr>
              </a:solidFill>
              <a:prstDash val="solid"/>
            </a:ln>
            <a:effectLst/>
          </c:spPr>
          <c:dLbls>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dLblPos val="outEnd"/>
            <c:showVal val="1"/>
            <c:extLst>
              <c:ext xmlns:c15="http://schemas.microsoft.com/office/drawing/2012/chart" uri="{CE6537A1-D6FC-4f65-9D91-7224C49458BB}">
                <c15:layout/>
                <c15:showLeaderLines val="0"/>
                <c15:leaderLines/>
              </c:ext>
            </c:extLst>
          </c:dLbls>
          <c:cat>
            <c:strRef>
              <c:f>Sheet1!$B$167:$C$167</c:f>
              <c:strCache>
                <c:ptCount val="2"/>
                <c:pt idx="0">
                  <c:v>2021年</c:v>
                </c:pt>
                <c:pt idx="1">
                  <c:v>2022年</c:v>
                </c:pt>
              </c:strCache>
            </c:strRef>
          </c:cat>
          <c:val>
            <c:numRef>
              <c:f>Sheet1!$B$168:$C$168</c:f>
              <c:numCache>
                <c:formatCode>General</c:formatCode>
                <c:ptCount val="2"/>
                <c:pt idx="0">
                  <c:v>486.83</c:v>
                </c:pt>
                <c:pt idx="1">
                  <c:v>524.29000000000212</c:v>
                </c:pt>
              </c:numCache>
            </c:numRef>
          </c:val>
        </c:ser>
        <c:dLbls>
          <c:showVal val="1"/>
        </c:dLbls>
        <c:axId val="330677632"/>
        <c:axId val="330687616"/>
      </c:barChart>
      <c:catAx>
        <c:axId val="330677632"/>
        <c:scaling>
          <c:orientation val="minMax"/>
        </c:scaling>
        <c:axPos val="b"/>
        <c:numFmt formatCode="General" sourceLinked="1"/>
        <c:majorTickMark val="in"/>
        <c:tickLblPos val="nextTo"/>
        <c:spPr>
          <a:noFill/>
          <a:ln w="3175" cap="flat" cmpd="sng" algn="ctr">
            <a:solidFill>
              <a:srgbClr val="000000"/>
            </a:solidFill>
            <a:prstDash val="solid"/>
            <a:round/>
          </a:ln>
          <a:effectLst/>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330687616"/>
        <c:crosses val="autoZero"/>
        <c:auto val="1"/>
        <c:lblAlgn val="ctr"/>
        <c:lblOffset val="100"/>
      </c:catAx>
      <c:valAx>
        <c:axId val="330687616"/>
        <c:scaling>
          <c:orientation val="minMax"/>
        </c:scaling>
        <c:axPos val="l"/>
        <c:majorGridlines>
          <c:spPr>
            <a:ln w="3175" cap="flat" cmpd="sng" algn="ctr">
              <a:solidFill>
                <a:srgbClr val="000000">
                  <a:alpha val="100000"/>
                </a:srgbClr>
              </a:solidFill>
              <a:prstDash val="solid"/>
              <a:round/>
            </a:ln>
            <a:effectLst/>
          </c:spPr>
        </c:majorGridlines>
        <c:numFmt formatCode="General" sourceLinked="1"/>
        <c:majorTickMark val="in"/>
        <c:tickLblPos val="nextTo"/>
        <c:spPr>
          <a:noFill/>
          <a:ln w="3175" cap="flat" cmpd="sng" algn="ctr">
            <a:solidFill>
              <a:srgbClr val="000000"/>
            </a:solidFill>
            <a:prstDash val="solid"/>
            <a:round/>
          </a:ln>
          <a:effectLst/>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330677632"/>
        <c:crosses val="autoZero"/>
        <c:crossBetween val="between"/>
      </c:valAx>
      <c:spPr>
        <a:solidFill>
          <a:srgbClr val="C0C0C0">
            <a:alpha val="100000"/>
          </a:srgbClr>
        </a:solidFill>
        <a:ln w="12700">
          <a:solidFill>
            <a:srgbClr val="808080">
              <a:alpha val="100000"/>
            </a:srgbClr>
          </a:solidFill>
          <a:prstDash val="solid"/>
        </a:ln>
        <a:effectLst/>
      </c:spPr>
    </c:plotArea>
    <c:legend>
      <c:legendPos val="r"/>
      <c:layout>
        <c:manualLayout>
          <c:xMode val="edge"/>
          <c:yMode val="edge"/>
          <c:x val="0.64711839084164557"/>
          <c:y val="0.50424999999999998"/>
          <c:w val="0.33890802777993922"/>
          <c:h val="0.12884760156037334"/>
        </c:manualLayout>
      </c:layout>
      <c:spPr>
        <a:solidFill>
          <a:srgbClr val="FFFFFF"/>
        </a:solidFill>
        <a:ln>
          <a:solidFill>
            <a:srgbClr val="000000"/>
          </a:solidFill>
        </a:ln>
        <a:effectLst/>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gap"/>
  </c:chart>
  <c:spPr>
    <a:solidFill>
      <a:srgbClr val="FFFFFF"/>
    </a:solidFill>
    <a:ln w="3175" cap="flat" cmpd="sng" algn="ctr">
      <a:solidFill>
        <a:srgbClr val="000000">
          <a:alpha val="100000"/>
        </a:srgbClr>
      </a:solidFill>
      <a:prstDash val="solid"/>
      <a:round/>
    </a:ln>
    <a:effectLst/>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a:defRPr lang="zh-CN" sz="14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图</a:t>
            </a:r>
            <a:r>
              <a:rPr lang="en-US" altLang="zh-CN"/>
              <a:t>5      </a:t>
            </a:r>
            <a:r>
              <a:rPr lang="zh-CN" altLang="en-US"/>
              <a:t>一般公共预算财政拨款支出决算变动情况</a:t>
            </a:r>
          </a:p>
        </c:rich>
      </c:tx>
      <c:spPr>
        <a:noFill/>
        <a:ln w="25400">
          <a:noFill/>
        </a:ln>
      </c:spPr>
    </c:title>
    <c:plotArea>
      <c:layout/>
      <c:barChart>
        <c:barDir val="col"/>
        <c:grouping val="clustered"/>
        <c:ser>
          <c:idx val="0"/>
          <c:order val="0"/>
          <c:tx>
            <c:strRef>
              <c:f>Sheet1!$A$85</c:f>
              <c:strCache>
                <c:ptCount val="1"/>
                <c:pt idx="0">
                  <c:v>一般公共预算财政拨款支出</c:v>
                </c:pt>
              </c:strCache>
            </c:strRef>
          </c:tx>
          <c:spPr>
            <a:solidFill>
              <a:srgbClr val="9999FF"/>
            </a:solidFill>
            <a:ln w="12700">
              <a:solidFill>
                <a:srgbClr val="000000">
                  <a:alpha val="100000"/>
                </a:srgbClr>
              </a:solidFill>
              <a:prstDash val="solid"/>
            </a:ln>
            <a:effectLst/>
          </c:spPr>
          <c:dLbls>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dLblPos val="outEnd"/>
            <c:showVal val="1"/>
            <c:extLst>
              <c:ext xmlns:c15="http://schemas.microsoft.com/office/drawing/2012/chart" uri="{CE6537A1-D6FC-4f65-9D91-7224C49458BB}">
                <c15:layout/>
                <c15:showLeaderLines val="0"/>
                <c15:leaderLines/>
              </c:ext>
            </c:extLst>
          </c:dLbls>
          <c:cat>
            <c:strRef>
              <c:f>Sheet1!$B$84:$C$84</c:f>
              <c:strCache>
                <c:ptCount val="2"/>
                <c:pt idx="0">
                  <c:v>2021年</c:v>
                </c:pt>
                <c:pt idx="1">
                  <c:v>2022年</c:v>
                </c:pt>
              </c:strCache>
            </c:strRef>
          </c:cat>
          <c:val>
            <c:numRef>
              <c:f>Sheet1!$B$85:$C$85</c:f>
              <c:numCache>
                <c:formatCode>General</c:formatCode>
                <c:ptCount val="2"/>
                <c:pt idx="0">
                  <c:v>486.83</c:v>
                </c:pt>
                <c:pt idx="1">
                  <c:v>524.29000000000212</c:v>
                </c:pt>
              </c:numCache>
            </c:numRef>
          </c:val>
        </c:ser>
        <c:dLbls>
          <c:showVal val="1"/>
        </c:dLbls>
        <c:axId val="330065024"/>
        <c:axId val="330066560"/>
      </c:barChart>
      <c:catAx>
        <c:axId val="330065024"/>
        <c:scaling>
          <c:orientation val="minMax"/>
        </c:scaling>
        <c:axPos val="b"/>
        <c:numFmt formatCode="General" sourceLinked="1"/>
        <c:majorTickMark val="in"/>
        <c:tickLblPos val="nextTo"/>
        <c:spPr>
          <a:noFill/>
          <a:ln w="3175" cap="flat" cmpd="sng" algn="ctr">
            <a:solidFill>
              <a:srgbClr val="000000"/>
            </a:solidFill>
            <a:prstDash val="solid"/>
            <a:round/>
          </a:ln>
          <a:effectLst/>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330066560"/>
        <c:crosses val="autoZero"/>
        <c:auto val="1"/>
        <c:lblAlgn val="ctr"/>
        <c:lblOffset val="100"/>
      </c:catAx>
      <c:valAx>
        <c:axId val="330066560"/>
        <c:scaling>
          <c:orientation val="minMax"/>
        </c:scaling>
        <c:axPos val="l"/>
        <c:majorGridlines>
          <c:spPr>
            <a:ln w="3175" cap="flat" cmpd="sng" algn="ctr">
              <a:solidFill>
                <a:srgbClr val="000000">
                  <a:alpha val="100000"/>
                </a:srgbClr>
              </a:solidFill>
              <a:prstDash val="solid"/>
              <a:round/>
            </a:ln>
            <a:effectLst/>
          </c:spPr>
        </c:majorGridlines>
        <c:numFmt formatCode="General" sourceLinked="1"/>
        <c:majorTickMark val="in"/>
        <c:tickLblPos val="nextTo"/>
        <c:spPr>
          <a:noFill/>
          <a:ln w="3175" cap="flat" cmpd="sng" algn="ctr">
            <a:solidFill>
              <a:srgbClr val="000000"/>
            </a:solidFill>
            <a:prstDash val="solid"/>
            <a:round/>
          </a:ln>
          <a:effectLst/>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crossAx val="330065024"/>
        <c:crosses val="autoZero"/>
        <c:crossBetween val="between"/>
      </c:valAx>
      <c:spPr>
        <a:solidFill>
          <a:srgbClr val="C0C0C0">
            <a:alpha val="100000"/>
          </a:srgbClr>
        </a:solidFill>
        <a:ln w="12700">
          <a:solidFill>
            <a:srgbClr val="808080">
              <a:alpha val="100000"/>
            </a:srgbClr>
          </a:solidFill>
          <a:prstDash val="solid"/>
        </a:ln>
        <a:effectLst/>
      </c:spPr>
    </c:plotArea>
    <c:legend>
      <c:legendPos val="r"/>
      <c:layout>
        <c:manualLayout>
          <c:xMode val="edge"/>
          <c:yMode val="edge"/>
          <c:x val="0.63299995639240447"/>
          <c:y val="0.50575000000000003"/>
          <c:w val="0.36100001706384505"/>
          <c:h val="5.9750000000000109E-2"/>
        </c:manualLayout>
      </c:layout>
      <c:spPr>
        <a:solidFill>
          <a:srgbClr val="FFFFFF"/>
        </a:solidFill>
        <a:ln>
          <a:solidFill>
            <a:srgbClr val="000000"/>
          </a:solidFill>
        </a:ln>
        <a:effectLst/>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gap"/>
  </c:chart>
  <c:spPr>
    <a:solidFill>
      <a:srgbClr val="FFFFFF"/>
    </a:solidFill>
    <a:ln w="3175" cap="flat" cmpd="sng" algn="ctr">
      <a:solidFill>
        <a:srgbClr val="000000">
          <a:alpha val="100000"/>
        </a:srgbClr>
      </a:solidFill>
      <a:prstDash val="solid"/>
      <a:round/>
    </a:ln>
    <a:effectLst/>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a:defRPr lang="zh-CN" sz="142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a:t>图</a:t>
            </a:r>
            <a:r>
              <a:rPr lang="en-US" altLang="zh-CN"/>
              <a:t>6    </a:t>
            </a:r>
            <a:r>
              <a:rPr lang="zh-CN" altLang="en-US"/>
              <a:t>一般公共预算财政拨款支出决算结构</a:t>
            </a:r>
          </a:p>
        </c:rich>
      </c:tx>
      <c:layout>
        <c:manualLayout>
          <c:xMode val="edge"/>
          <c:yMode val="edge"/>
          <c:x val="0.21999161975689746"/>
          <c:y val="3.1653543307086649E-3"/>
        </c:manualLayout>
      </c:layout>
      <c:spPr>
        <a:noFill/>
        <a:ln w="25400">
          <a:noFill/>
        </a:ln>
      </c:spPr>
    </c:title>
    <c:plotArea>
      <c:layout/>
      <c:pieChart>
        <c:varyColors val="1"/>
        <c:ser>
          <c:idx val="0"/>
          <c:order val="0"/>
          <c:spPr>
            <a:solidFill>
              <a:srgbClr val="9999FF"/>
            </a:solidFill>
            <a:ln w="12700">
              <a:solidFill>
                <a:srgbClr val="000000">
                  <a:alpha val="100000"/>
                </a:srgbClr>
              </a:solidFill>
              <a:prstDash val="solid"/>
            </a:ln>
            <a:effectLst/>
          </c:spPr>
          <c:dPt>
            <c:idx val="1"/>
            <c:spPr>
              <a:solidFill>
                <a:srgbClr val="993366"/>
              </a:solidFill>
              <a:ln w="12700">
                <a:solidFill>
                  <a:srgbClr val="000000">
                    <a:alpha val="100000"/>
                  </a:srgbClr>
                </a:solidFill>
                <a:prstDash val="solid"/>
              </a:ln>
              <a:effectLst/>
            </c:spPr>
          </c:dPt>
          <c:dPt>
            <c:idx val="2"/>
            <c:spPr>
              <a:solidFill>
                <a:srgbClr val="FFFFCC"/>
              </a:solidFill>
              <a:ln w="12700">
                <a:solidFill>
                  <a:srgbClr val="000000">
                    <a:alpha val="100000"/>
                  </a:srgbClr>
                </a:solidFill>
                <a:prstDash val="solid"/>
              </a:ln>
              <a:effectLst/>
            </c:spPr>
          </c:dPt>
          <c:dPt>
            <c:idx val="3"/>
            <c:spPr>
              <a:solidFill>
                <a:srgbClr val="CCFFFF"/>
              </a:solidFill>
              <a:ln w="12700">
                <a:solidFill>
                  <a:srgbClr val="000000">
                    <a:alpha val="100000"/>
                  </a:srgbClr>
                </a:solidFill>
                <a:prstDash val="solid"/>
              </a:ln>
              <a:effectLst/>
            </c:spPr>
          </c:dPt>
          <c:dPt>
            <c:idx val="4"/>
            <c:spPr>
              <a:solidFill>
                <a:schemeClr val="accent2"/>
              </a:solidFill>
              <a:ln w="12700">
                <a:solidFill>
                  <a:srgbClr val="000000">
                    <a:alpha val="100000"/>
                  </a:srgbClr>
                </a:solidFill>
                <a:prstDash val="solid"/>
              </a:ln>
              <a:effectLst/>
            </c:spPr>
          </c:dPt>
          <c:dPt>
            <c:idx val="5"/>
            <c:spPr>
              <a:solidFill>
                <a:schemeClr val="accent6"/>
              </a:solidFill>
              <a:ln w="12700">
                <a:solidFill>
                  <a:srgbClr val="000000">
                    <a:alpha val="100000"/>
                  </a:srgbClr>
                </a:solidFill>
                <a:prstDash val="solid"/>
              </a:ln>
              <a:effectLst/>
            </c:spPr>
          </c:dPt>
          <c:dLbls>
            <c:dLbl>
              <c:idx val="0"/>
              <c:layout>
                <c:manualLayout>
                  <c:x val="0.13477232092918287"/>
                  <c:y val="0.1"/>
                </c:manualLayout>
              </c:layout>
              <c:dLblPos val="bestFit"/>
              <c:showLegendKey val="1"/>
              <c:showVal val="1"/>
              <c:showCatName val="1"/>
              <c:showPercent val="1"/>
              <c:extLst>
                <c:ext xmlns:c15="http://schemas.microsoft.com/office/drawing/2012/chart" uri="{CE6537A1-D6FC-4f65-9D91-7224C49458BB}">
                  <c15:layout/>
                </c:ext>
              </c:extLst>
            </c:dLbl>
            <c:dLbl>
              <c:idx val="1"/>
              <c:layout>
                <c:manualLayout>
                  <c:x val="-5.5248618784530405E-2"/>
                  <c:y val="9.6643691938867321E-2"/>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dLblPos val="bestFit"/>
              <c:showLegendKey val="1"/>
              <c:showVal val="1"/>
              <c:showCatName val="1"/>
              <c:showPercent val="1"/>
              <c:extLst>
                <c:ext xmlns:c15="http://schemas.microsoft.com/office/drawing/2012/chart" uri="{CE6537A1-D6FC-4f65-9D91-7224C49458BB}">
                  <c15:layout/>
                </c:ext>
              </c:extLst>
            </c:dLbl>
            <c:dLbl>
              <c:idx val="2"/>
              <c:layout>
                <c:manualLayout>
                  <c:x val="0"/>
                  <c:y val="0.17723942840478304"/>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dLblPos val="bestFit"/>
              <c:showLegendKey val="1"/>
              <c:showVal val="1"/>
              <c:showCatName val="1"/>
              <c:showPercent val="1"/>
              <c:extLst>
                <c:ext xmlns:c15="http://schemas.microsoft.com/office/drawing/2012/chart" uri="{CE6537A1-D6FC-4f65-9D91-7224C49458BB}">
                  <c15:layout/>
                </c:ext>
              </c:extLst>
            </c:dLbl>
            <c:dLbl>
              <c:idx val="3"/>
              <c:layout>
                <c:manualLayout>
                  <c:x val="0"/>
                  <c:y val="9.0471566054243224E-2"/>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dLblPos val="bestFit"/>
              <c:showLegendKey val="1"/>
              <c:showVal val="1"/>
              <c:showCatName val="1"/>
              <c:showPercent val="1"/>
              <c:extLst>
                <c:ext xmlns:c15="http://schemas.microsoft.com/office/drawing/2012/chart" uri="{CE6537A1-D6FC-4f65-9D91-7224C49458BB}">
                  <c15:layout/>
                </c:ext>
              </c:extLst>
            </c:dLbl>
            <c:dLbl>
              <c:idx val="4"/>
              <c:layout>
                <c:manualLayout>
                  <c:x val="9.2770428738546233E-3"/>
                  <c:y val="5.7789151356080502E-2"/>
                </c:manualLayout>
              </c:layout>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dLblPos val="bestFit"/>
              <c:showLegendKey val="1"/>
              <c:showVal val="1"/>
              <c:showCatName val="1"/>
              <c:showPercent val="1"/>
              <c:extLst>
                <c:ext xmlns:c15="http://schemas.microsoft.com/office/drawing/2012/chart" uri="{CE6537A1-D6FC-4f65-9D91-7224C49458BB}">
                  <c15:layout/>
                </c:ext>
              </c:extLst>
            </c:dLbl>
            <c:dLbl>
              <c:idx val="5"/>
              <c:delete val="1"/>
            </c:dLbl>
            <c:numFmt formatCode="0.00%" sourceLinked="0"/>
            <c:spPr>
              <a:noFill/>
              <a:ln>
                <a:noFill/>
              </a:ln>
              <a:effectLst/>
            </c:spPr>
            <c:txPr>
              <a:bodyPr rot="0" spcFirstLastPara="0" vertOverflow="ellipsis" vert="horz" wrap="square" lIns="38100" tIns="19050" rIns="38100" bIns="19050" anchor="ctr" anchorCtr="1"/>
              <a:lstStyle/>
              <a:p>
                <a:pPr>
                  <a:defRPr lang="zh-CN" sz="1025"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dLblPos val="bestFit"/>
            <c:showLegendKey val="1"/>
            <c:showVal val="1"/>
            <c:showCatName val="1"/>
            <c:showPercent val="1"/>
            <c:extLst>
              <c:ext xmlns:c15="http://schemas.microsoft.com/office/drawing/2012/chart" uri="{CE6537A1-D6FC-4f65-9D91-7224C49458BB}">
                <c15:layout/>
                <c15:showLeaderLines val="1"/>
                <c15:leaderLines>
                  <c:spPr>
                    <a:ln w="3175" cap="flat" cmpd="sng" algn="ctr">
                      <a:solidFill>
                        <a:srgbClr val="000000"/>
                      </a:solidFill>
                      <a:prstDash val="solid"/>
                      <a:round/>
                    </a:ln>
                  </c:spPr>
                </c15:leaderLines>
              </c:ext>
            </c:extLst>
          </c:dLbls>
          <c:cat>
            <c:strRef>
              <c:f>Sheet1!$A$110:$A$115</c:f>
              <c:strCache>
                <c:ptCount val="5"/>
                <c:pt idx="0">
                  <c:v>一般公共服务支出</c:v>
                </c:pt>
                <c:pt idx="1">
                  <c:v>文化旅游体育与传媒支出</c:v>
                </c:pt>
                <c:pt idx="2">
                  <c:v>社会保障和就业支出</c:v>
                </c:pt>
                <c:pt idx="3">
                  <c:v>住房保障支出</c:v>
                </c:pt>
                <c:pt idx="4">
                  <c:v>卫生健康支出</c:v>
                </c:pt>
              </c:strCache>
            </c:strRef>
          </c:cat>
          <c:val>
            <c:numRef>
              <c:f>Sheet1!$B$110:$B$115</c:f>
              <c:numCache>
                <c:formatCode>General</c:formatCode>
                <c:ptCount val="6"/>
                <c:pt idx="0">
                  <c:v>4.1199999999999966</c:v>
                </c:pt>
                <c:pt idx="1">
                  <c:v>410.97999999999945</c:v>
                </c:pt>
                <c:pt idx="2">
                  <c:v>52</c:v>
                </c:pt>
                <c:pt idx="3">
                  <c:v>27.959999999999987</c:v>
                </c:pt>
                <c:pt idx="4">
                  <c:v>29.23</c:v>
                </c:pt>
              </c:numCache>
            </c:numRef>
          </c:val>
        </c:ser>
        <c:ser>
          <c:idx val="1"/>
          <c:order val="1"/>
          <c:spPr>
            <a:solidFill>
              <a:srgbClr val="993366"/>
            </a:solidFill>
            <a:ln w="12700">
              <a:solidFill>
                <a:srgbClr val="000000"/>
              </a:solidFill>
              <a:prstDash val="solid"/>
            </a:ln>
            <a:effectLst/>
          </c:spPr>
          <c:dPt>
            <c:idx val="0"/>
            <c:spPr>
              <a:solidFill>
                <a:srgbClr val="9999FF"/>
              </a:solidFill>
              <a:ln w="12700">
                <a:solidFill>
                  <a:srgbClr val="000000"/>
                </a:solidFill>
                <a:prstDash val="solid"/>
              </a:ln>
              <a:effectLst/>
            </c:spPr>
          </c:dPt>
          <c:dPt>
            <c:idx val="2"/>
            <c:spPr>
              <a:solidFill>
                <a:srgbClr val="FFFFCC"/>
              </a:solidFill>
              <a:ln w="12700">
                <a:solidFill>
                  <a:srgbClr val="000000"/>
                </a:solidFill>
                <a:prstDash val="solid"/>
              </a:ln>
              <a:effectLst/>
            </c:spPr>
          </c:dPt>
          <c:dPt>
            <c:idx val="3"/>
            <c:spPr>
              <a:solidFill>
                <a:srgbClr val="CCFFFF"/>
              </a:solidFill>
              <a:ln w="12700">
                <a:solidFill>
                  <a:srgbClr val="000000"/>
                </a:solidFill>
                <a:prstDash val="solid"/>
              </a:ln>
              <a:effectLst/>
            </c:spPr>
          </c:dPt>
          <c:cat>
            <c:strRef>
              <c:f>Sheet1!$A$110:$A$115</c:f>
              <c:strCache>
                <c:ptCount val="5"/>
                <c:pt idx="0">
                  <c:v>一般公共服务支出</c:v>
                </c:pt>
                <c:pt idx="1">
                  <c:v>文化旅游体育与传媒支出</c:v>
                </c:pt>
                <c:pt idx="2">
                  <c:v>社会保障和就业支出</c:v>
                </c:pt>
                <c:pt idx="3">
                  <c:v>住房保障支出</c:v>
                </c:pt>
                <c:pt idx="4">
                  <c:v>卫生健康支出</c:v>
                </c:pt>
              </c:strCache>
            </c:strRef>
          </c:cat>
          <c:val>
            <c:numRef>
              <c:f>Sheet1!$C$110:$C$115</c:f>
              <c:numCache>
                <c:formatCode>0.00%</c:formatCode>
                <c:ptCount val="6"/>
                <c:pt idx="0">
                  <c:v>7.8000000000000196E-3</c:v>
                </c:pt>
                <c:pt idx="1">
                  <c:v>0.78390000000000004</c:v>
                </c:pt>
                <c:pt idx="2">
                  <c:v>9.9200000000000024E-2</c:v>
                </c:pt>
                <c:pt idx="3">
                  <c:v>5.3300000000000014E-2</c:v>
                </c:pt>
                <c:pt idx="4">
                  <c:v>5.5800000000000023E-2</c:v>
                </c:pt>
              </c:numCache>
            </c:numRef>
          </c:val>
        </c:ser>
        <c:firstSliceAng val="0"/>
      </c:pieChart>
      <c:spPr>
        <a:noFill/>
        <a:ln>
          <a:noFill/>
        </a:ln>
        <a:effectLst/>
      </c:spPr>
    </c:plotArea>
    <c:legend>
      <c:legendPos val="r"/>
      <c:legendEntry>
        <c:idx val="5"/>
        <c:delete val="1"/>
      </c:legendEntry>
      <c:layout>
        <c:manualLayout>
          <c:xMode val="edge"/>
          <c:yMode val="edge"/>
          <c:x val="0.6883143008279734"/>
          <c:y val="0.238229804607757"/>
          <c:w val="0.23875000000000021"/>
          <c:h val="0.55438903470399603"/>
        </c:manualLayout>
      </c:layout>
      <c:spPr>
        <a:solidFill>
          <a:srgbClr val="FFFFFF"/>
        </a:solidFill>
        <a:ln>
          <a:solidFill>
            <a:srgbClr val="000000"/>
          </a:solidFill>
        </a:ln>
        <a:effectLst/>
      </c:spPr>
      <c:txPr>
        <a:bodyPr rot="0" spcFirstLastPara="0" vertOverflow="ellipsis" vert="horz" wrap="square" anchor="ctr" anchorCtr="1"/>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zero"/>
  </c:chart>
  <c:spPr>
    <a:solidFill>
      <a:srgbClr val="FFFFFF"/>
    </a:solidFill>
    <a:ln w="3175" cap="flat" cmpd="sng" algn="ctr">
      <a:solidFill>
        <a:srgbClr val="000000">
          <a:alpha val="100000"/>
        </a:srgbClr>
      </a:solidFill>
      <a:prstDash val="solid"/>
      <a:round/>
    </a:ln>
    <a:effectLst/>
  </c:spPr>
  <c:txPr>
    <a:bodyPr/>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3" textRotate="1"/>
    <customShpInfo spid="_x0000_s3074"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1</Pages>
  <Words>2252</Words>
  <Characters>12841</Characters>
  <Application>Microsoft Office Word</Application>
  <DocSecurity>0</DocSecurity>
  <Lines>107</Lines>
  <Paragraphs>30</Paragraphs>
  <ScaleCrop>false</ScaleCrop>
  <Company>四川省财政厅</Company>
  <LinksUpToDate>false</LinksUpToDate>
  <CharactersWithSpaces>15063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ASUS</cp:lastModifiedBy>
  <cp:revision>21</cp:revision>
  <cp:lastPrinted>2023-10-26T02:00:00Z</cp:lastPrinted>
  <dcterms:created xsi:type="dcterms:W3CDTF">2023-10-23T02:54:00Z</dcterms:created>
  <dcterms:modified xsi:type="dcterms:W3CDTF">2023-10-26T07:20:00Z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2DED62A9EDCB4D26B6534D4260AE92F6_12</vt:lpwstr>
  </property>
</Properties>
</file>