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w w:val="80"/>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52"/>
          <w:szCs w:val="52"/>
          <w:lang w:eastAsia="zh-CN"/>
        </w:rPr>
      </w:pPr>
      <w:bookmarkStart w:id="1" w:name="_Toc15396597"/>
      <w:bookmarkStart w:id="2" w:name="_Toc15396475"/>
      <w:bookmarkStart w:id="3" w:name="_Toc15377425"/>
      <w:bookmarkStart w:id="4" w:name="_Toc15378441"/>
      <w:bookmarkStart w:id="5" w:name="_Toc15377193"/>
      <w:r>
        <w:rPr>
          <w:rFonts w:hint="eastAsia" w:ascii="方正小标宋简体" w:hAnsi="方正小标宋简体" w:eastAsia="方正小标宋简体" w:cs="方正小标宋简体"/>
          <w:w w:val="90"/>
          <w:sz w:val="72"/>
          <w:szCs w:val="72"/>
          <w:lang w:eastAsia="zh-CN"/>
        </w:rPr>
        <w:t>2022年度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简体" w:hAnsi="方正小标宋简体" w:eastAsia="方正小标宋简体" w:cs="方正小标宋简体"/>
          <w:w w:val="90"/>
          <w:sz w:val="72"/>
          <w:szCs w:val="72"/>
          <w:lang w:eastAsia="zh-CN"/>
        </w:rPr>
      </w:pPr>
      <w:bookmarkStart w:id="6" w:name="_Toc15396476"/>
      <w:bookmarkStart w:id="7" w:name="_Toc15378442"/>
      <w:bookmarkStart w:id="8" w:name="_Toc15377426"/>
      <w:bookmarkStart w:id="9" w:name="_Toc15396598"/>
      <w:bookmarkStart w:id="10" w:name="_Toc15306268"/>
      <w:bookmarkStart w:id="11" w:name="_Toc15377194"/>
      <w:r>
        <w:rPr>
          <w:rFonts w:hint="eastAsia" w:ascii="方正小标宋简体" w:hAnsi="方正小标宋简体" w:eastAsia="方正小标宋简体" w:cs="方正小标宋简体"/>
          <w:w w:val="90"/>
          <w:sz w:val="72"/>
          <w:szCs w:val="72"/>
          <w:lang w:eastAsia="zh-CN"/>
        </w:rPr>
        <w:t>盐边县公安局交通警察大队</w:t>
      </w:r>
    </w:p>
    <w:p>
      <w:pPr>
        <w:adjustRightInd w:val="0"/>
        <w:snapToGrid w:val="0"/>
        <w:spacing w:line="360" w:lineRule="auto"/>
        <w:jc w:val="center"/>
        <w:outlineLvl w:val="0"/>
        <w:rPr>
          <w:rFonts w:hint="eastAsia" w:ascii="方正小标宋简体" w:hAnsi="方正小标宋简体" w:eastAsia="方正小标宋简体" w:cs="方正小标宋简体"/>
          <w:sz w:val="52"/>
          <w:szCs w:val="52"/>
          <w:lang w:eastAsia="zh-CN"/>
        </w:rPr>
      </w:pPr>
      <w:r>
        <w:rPr>
          <w:rFonts w:hint="eastAsia" w:ascii="方正小标宋简体" w:hAnsi="方正小标宋简体" w:eastAsia="方正小标宋简体" w:cs="方正小标宋简体"/>
          <w:w w:val="90"/>
          <w:sz w:val="72"/>
          <w:szCs w:val="72"/>
          <w:lang w:eastAsia="zh-CN"/>
        </w:rPr>
        <w:t>单位决算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cstheme="minorBidi"/>
          <w:sz w:val="28"/>
          <w:szCs w:val="2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11"/>
      </w:pPr>
      <w:r>
        <w:rPr>
          <w:rFonts w:hint="eastAsia"/>
        </w:rPr>
        <w:t>公开时间：2023年</w:t>
      </w:r>
      <w:r>
        <w:rPr>
          <w:rFonts w:hint="eastAsia"/>
          <w:lang w:val="en-US" w:eastAsia="zh-CN"/>
        </w:rPr>
        <w:t>10</w:t>
      </w:r>
      <w:r>
        <w:rPr>
          <w:rFonts w:hint="eastAsia"/>
        </w:rPr>
        <w:t>月</w:t>
      </w:r>
      <w:r>
        <w:rPr>
          <w:rFonts w:hint="eastAsia"/>
          <w:lang w:val="en-US" w:eastAsia="zh-CN"/>
        </w:rPr>
        <w:t>26</w:t>
      </w:r>
      <w:r>
        <w:rPr>
          <w:rFonts w:hint="eastAsia"/>
        </w:rPr>
        <w:t>日</w:t>
      </w:r>
    </w:p>
    <w:p/>
    <w:p>
      <w:pPr>
        <w:pStyle w:val="11"/>
        <w:adjustRightInd w:val="0"/>
        <w:snapToGrid w:val="0"/>
        <w:spacing w:before="0" w:line="440" w:lineRule="exact"/>
        <w:jc w:val="left"/>
        <w:rPr>
          <w:rFonts w:hint="eastAsia" w:eastAsia="仿宋" w:cstheme="minorBidi"/>
          <w:sz w:val="24"/>
          <w:szCs w:val="24"/>
          <w:lang w:eastAsia="zh-CN"/>
        </w:rPr>
      </w:pPr>
      <w:r>
        <w:rPr>
          <w:rFonts w:hint="eastAsia"/>
          <w:sz w:val="24"/>
        </w:rPr>
        <w:t>第一部分单位概况</w:t>
      </w:r>
      <w:r>
        <w:ptab w:relativeTo="margin" w:alignment="right" w:leader="dot"/>
      </w:r>
      <w:r>
        <w:rPr>
          <w:rFonts w:hint="eastAsia"/>
          <w:lang w:val="en-US" w:eastAsia="zh-CN"/>
        </w:rPr>
        <w:t>（4）</w:t>
      </w:r>
    </w:p>
    <w:p>
      <w:pPr>
        <w:pStyle w:val="12"/>
        <w:adjustRightInd w:val="0"/>
        <w:snapToGrid w:val="0"/>
        <w:spacing w:line="440" w:lineRule="exact"/>
        <w:jc w:val="left"/>
        <w:rPr>
          <w:rFonts w:hint="default" w:eastAsia="宋体"/>
          <w:sz w:val="24"/>
          <w:lang w:val="en-US" w:eastAsia="zh-CN"/>
        </w:rPr>
      </w:pPr>
      <w:r>
        <w:rPr>
          <w:rFonts w:hint="eastAsia"/>
          <w:sz w:val="24"/>
        </w:rPr>
        <w:t>一、主要职责</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（4）</w:t>
      </w:r>
    </w:p>
    <w:p>
      <w:pPr>
        <w:pStyle w:val="12"/>
        <w:adjustRightInd w:val="0"/>
        <w:snapToGrid w:val="0"/>
        <w:spacing w:line="440" w:lineRule="exact"/>
        <w:jc w:val="left"/>
        <w:rPr>
          <w:rFonts w:hint="default"/>
          <w:lang w:val="en-US"/>
        </w:rPr>
      </w:pPr>
      <w:r>
        <w:rPr>
          <w:rFonts w:hint="eastAsia"/>
          <w:sz w:val="24"/>
        </w:rPr>
        <w:t>二、机构设置</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（6）</w:t>
      </w:r>
    </w:p>
    <w:p>
      <w:pPr>
        <w:pStyle w:val="11"/>
        <w:adjustRightInd w:val="0"/>
        <w:snapToGrid w:val="0"/>
        <w:spacing w:before="0" w:line="440" w:lineRule="exact"/>
        <w:jc w:val="left"/>
        <w:rPr>
          <w:rFonts w:hint="default"/>
          <w:sz w:val="24"/>
          <w:szCs w:val="24"/>
          <w:lang w:val="en-US"/>
        </w:rPr>
      </w:pPr>
      <w:r>
        <w:rPr>
          <w:rFonts w:hint="eastAsia"/>
          <w:sz w:val="24"/>
        </w:rPr>
        <w:t>第二部分 2022年度单位决算情况说明</w:t>
      </w:r>
      <w:r>
        <w:rPr>
          <w:rFonts w:ascii="仿宋" w:hAnsi="仿宋" w:eastAsia="仿宋" w:cs="Times New Roman"/>
          <w:kern w:val="2"/>
          <w:sz w:val="28"/>
          <w:szCs w:val="28"/>
          <w:lang w:val="en-US" w:eastAsia="zh-CN" w:bidi="ar-SA"/>
        </w:rPr>
        <w:tab/>
      </w:r>
      <w:r>
        <w:rPr>
          <w:rFonts w:hint="eastAsia" w:cs="Times New Roman"/>
          <w:kern w:val="2"/>
          <w:sz w:val="28"/>
          <w:szCs w:val="28"/>
          <w:lang w:val="en-US" w:eastAsia="zh-CN" w:bidi="ar-SA"/>
        </w:rPr>
        <w:t>（7）</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一、收入支出决算总体情况说明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（7）</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三、支出决算情况说明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（7）</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四、财政拨款收入支出决算总体情况说明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（8）</w:t>
      </w:r>
    </w:p>
    <w:p>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（8）</w:t>
      </w:r>
    </w:p>
    <w:p>
      <w:pPr>
        <w:pStyle w:val="12"/>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（10）</w:t>
      </w:r>
    </w:p>
    <w:p>
      <w:pPr>
        <w:pStyle w:val="12"/>
        <w:adjustRightInd w:val="0"/>
        <w:snapToGrid w:val="0"/>
        <w:spacing w:line="440" w:lineRule="exact"/>
        <w:jc w:val="left"/>
        <w:rPr>
          <w:rFonts w:ascii="仿宋" w:hAnsi="仿宋" w:eastAsia="仿宋" w:cstheme="minorBidi"/>
          <w:sz w:val="24"/>
        </w:rPr>
      </w:pPr>
      <w:r>
        <w:rPr>
          <w:rFonts w:hint="eastAsia"/>
          <w:sz w:val="24"/>
        </w:rPr>
        <w:t>七、财政拨款“三公”经费支出决算情况说明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（11）</w:t>
      </w:r>
    </w:p>
    <w:p>
      <w:pPr>
        <w:pStyle w:val="12"/>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（12）</w:t>
      </w:r>
    </w:p>
    <w:p>
      <w:pPr>
        <w:pStyle w:val="12"/>
        <w:adjustRightInd w:val="0"/>
        <w:snapToGrid w:val="0"/>
        <w:spacing w:line="440" w:lineRule="exact"/>
        <w:jc w:val="left"/>
        <w:rPr>
          <w:sz w:val="24"/>
        </w:rPr>
      </w:pPr>
      <w:r>
        <w:rPr>
          <w:rFonts w:hint="eastAsia"/>
          <w:sz w:val="24"/>
        </w:rPr>
        <w:t>九、国有资本经营预算支出决算情况说明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（12）</w:t>
      </w:r>
    </w:p>
    <w:p>
      <w:pPr>
        <w:pStyle w:val="12"/>
        <w:adjustRightInd w:val="0"/>
        <w:snapToGrid w:val="0"/>
        <w:spacing w:line="440" w:lineRule="exact"/>
        <w:jc w:val="left"/>
        <w:rPr>
          <w:sz w:val="24"/>
        </w:rPr>
      </w:pPr>
      <w:r>
        <w:rPr>
          <w:rFonts w:hint="eastAsia"/>
          <w:sz w:val="24"/>
        </w:rPr>
        <w:t>十、其他重要事项的情况说明</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（12）</w:t>
      </w:r>
    </w:p>
    <w:p>
      <w:pPr>
        <w:pStyle w:val="11"/>
        <w:adjustRightInd w:val="0"/>
        <w:snapToGrid w:val="0"/>
        <w:spacing w:before="0" w:line="440" w:lineRule="exact"/>
        <w:jc w:val="left"/>
        <w:rPr>
          <w:rFonts w:cstheme="minorBidi"/>
          <w:sz w:val="24"/>
          <w:szCs w:val="24"/>
        </w:rPr>
      </w:pPr>
      <w:r>
        <w:rPr>
          <w:rFonts w:hint="eastAsia"/>
          <w:sz w:val="24"/>
        </w:rPr>
        <w:t>第三部分名词解释</w:t>
      </w:r>
      <w:r>
        <w:rPr>
          <w:rFonts w:ascii="仿宋" w:hAnsi="仿宋" w:eastAsia="仿宋" w:cs="Times New Roman"/>
          <w:kern w:val="2"/>
          <w:sz w:val="28"/>
          <w:szCs w:val="28"/>
          <w:lang w:val="en-US" w:eastAsia="zh-CN" w:bidi="ar-SA"/>
        </w:rPr>
        <w:tab/>
      </w:r>
      <w:r>
        <w:rPr>
          <w:rFonts w:hint="eastAsia" w:cs="Times New Roman"/>
          <w:kern w:val="2"/>
          <w:sz w:val="28"/>
          <w:szCs w:val="28"/>
          <w:lang w:val="en-US" w:eastAsia="zh-CN" w:bidi="ar-SA"/>
        </w:rPr>
        <w:t>（14）</w:t>
      </w:r>
    </w:p>
    <w:p>
      <w:pPr>
        <w:pStyle w:val="11"/>
        <w:adjustRightInd w:val="0"/>
        <w:snapToGrid w:val="0"/>
        <w:spacing w:before="0" w:line="440" w:lineRule="exact"/>
        <w:jc w:val="left"/>
        <w:rPr>
          <w:rFonts w:cstheme="minorBidi"/>
          <w:sz w:val="24"/>
          <w:szCs w:val="24"/>
        </w:rPr>
      </w:pPr>
      <w:r>
        <w:rPr>
          <w:rFonts w:hint="eastAsia"/>
          <w:sz w:val="24"/>
        </w:rPr>
        <w:t>第四部分附件</w:t>
      </w:r>
      <w:r>
        <w:rPr>
          <w:rFonts w:ascii="仿宋" w:hAnsi="仿宋" w:eastAsia="仿宋" w:cs="Times New Roman"/>
          <w:kern w:val="2"/>
          <w:sz w:val="28"/>
          <w:szCs w:val="28"/>
          <w:lang w:val="en-US" w:eastAsia="zh-CN" w:bidi="ar-SA"/>
        </w:rPr>
        <w:tab/>
      </w:r>
      <w:r>
        <w:rPr>
          <w:rFonts w:hint="eastAsia" w:cs="Times New Roman"/>
          <w:kern w:val="2"/>
          <w:sz w:val="28"/>
          <w:szCs w:val="28"/>
          <w:lang w:val="en-US" w:eastAsia="zh-CN" w:bidi="ar-SA"/>
        </w:rPr>
        <w:t>（17）</w:t>
      </w:r>
    </w:p>
    <w:p>
      <w:pPr>
        <w:pStyle w:val="11"/>
        <w:adjustRightInd w:val="0"/>
        <w:snapToGrid w:val="0"/>
        <w:spacing w:before="0" w:line="440" w:lineRule="exact"/>
        <w:jc w:val="left"/>
        <w:rPr>
          <w:rFonts w:cstheme="minorBidi"/>
          <w:sz w:val="24"/>
          <w:szCs w:val="24"/>
        </w:rPr>
      </w:pPr>
      <w:r>
        <w:rPr>
          <w:rFonts w:hint="eastAsia"/>
          <w:sz w:val="24"/>
        </w:rPr>
        <w:t>第五部分附表</w:t>
      </w:r>
      <w:r>
        <w:rPr>
          <w:rFonts w:ascii="仿宋" w:hAnsi="仿宋" w:eastAsia="仿宋" w:cs="Times New Roman"/>
          <w:kern w:val="2"/>
          <w:sz w:val="28"/>
          <w:szCs w:val="28"/>
          <w:lang w:val="en-US" w:eastAsia="zh-CN" w:bidi="ar-SA"/>
        </w:rPr>
        <w:tab/>
      </w:r>
      <w:r>
        <w:rPr>
          <w:rFonts w:hint="eastAsia" w:cs="Times New Roman"/>
          <w:kern w:val="2"/>
          <w:sz w:val="28"/>
          <w:szCs w:val="28"/>
          <w:lang w:val="en-US" w:eastAsia="zh-CN" w:bidi="ar-SA"/>
        </w:rPr>
        <w:t>（18）</w:t>
      </w:r>
    </w:p>
    <w:p>
      <w:pPr>
        <w:pStyle w:val="12"/>
        <w:adjustRightInd w:val="0"/>
        <w:snapToGrid w:val="0"/>
        <w:spacing w:line="440" w:lineRule="exact"/>
        <w:jc w:val="left"/>
        <w:rPr>
          <w:sz w:val="24"/>
        </w:rPr>
      </w:pPr>
      <w:r>
        <w:rPr>
          <w:rFonts w:hint="eastAsia"/>
          <w:sz w:val="24"/>
        </w:rPr>
        <w:t>一、收入支出决算总表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（19）</w:t>
      </w:r>
    </w:p>
    <w:p>
      <w:pPr>
        <w:pStyle w:val="12"/>
        <w:adjustRightInd w:val="0"/>
        <w:snapToGrid w:val="0"/>
        <w:spacing w:line="440" w:lineRule="exact"/>
        <w:jc w:val="left"/>
        <w:rPr>
          <w:sz w:val="24"/>
        </w:rPr>
      </w:pPr>
      <w:r>
        <w:rPr>
          <w:rFonts w:hint="eastAsia"/>
          <w:sz w:val="24"/>
        </w:rPr>
        <w:t>二、收入决算表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（20）</w:t>
      </w:r>
    </w:p>
    <w:p>
      <w:pPr>
        <w:pStyle w:val="12"/>
        <w:adjustRightInd w:val="0"/>
        <w:snapToGrid w:val="0"/>
        <w:spacing w:line="440" w:lineRule="exact"/>
        <w:jc w:val="left"/>
        <w:rPr>
          <w:sz w:val="24"/>
        </w:rPr>
      </w:pPr>
      <w:r>
        <w:rPr>
          <w:rFonts w:hint="eastAsia"/>
          <w:sz w:val="24"/>
        </w:rPr>
        <w:t>三、支出决算表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（21）</w:t>
      </w:r>
    </w:p>
    <w:p>
      <w:pPr>
        <w:pStyle w:val="12"/>
        <w:adjustRightInd w:val="0"/>
        <w:snapToGrid w:val="0"/>
        <w:spacing w:line="440" w:lineRule="exact"/>
        <w:jc w:val="left"/>
        <w:rPr>
          <w:sz w:val="24"/>
        </w:rPr>
      </w:pPr>
      <w:r>
        <w:rPr>
          <w:rFonts w:hint="eastAsia"/>
          <w:sz w:val="24"/>
        </w:rPr>
        <w:t>四、财政拨款收入支出决算总表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（22）</w:t>
      </w:r>
    </w:p>
    <w:p>
      <w:pPr>
        <w:pStyle w:val="12"/>
        <w:adjustRightInd w:val="0"/>
        <w:snapToGrid w:val="0"/>
        <w:spacing w:line="440" w:lineRule="exact"/>
        <w:jc w:val="left"/>
        <w:rPr>
          <w:rFonts w:hint="default"/>
          <w:sz w:val="24"/>
          <w:lang w:val="en-US"/>
        </w:rPr>
      </w:pPr>
      <w:r>
        <w:rPr>
          <w:rFonts w:hint="eastAsia"/>
          <w:sz w:val="24"/>
        </w:rPr>
        <w:t>五、财政拨款支出决算明细表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（23）</w:t>
      </w:r>
    </w:p>
    <w:p>
      <w:pPr>
        <w:pStyle w:val="12"/>
        <w:adjustRightInd w:val="0"/>
        <w:snapToGrid w:val="0"/>
        <w:spacing w:line="440" w:lineRule="exact"/>
        <w:jc w:val="left"/>
        <w:rPr>
          <w:rFonts w:hint="default"/>
          <w:sz w:val="24"/>
          <w:lang w:val="en-US"/>
        </w:rPr>
      </w:pPr>
      <w:r>
        <w:rPr>
          <w:rFonts w:hint="eastAsia"/>
          <w:sz w:val="24"/>
        </w:rPr>
        <w:t>六、一般公共预算财政拨款支出决算表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（24）</w:t>
      </w:r>
    </w:p>
    <w:p>
      <w:pPr>
        <w:pStyle w:val="12"/>
        <w:adjustRightInd w:val="0"/>
        <w:snapToGrid w:val="0"/>
        <w:spacing w:line="440" w:lineRule="exact"/>
        <w:jc w:val="left"/>
        <w:rPr>
          <w:rFonts w:hint="default"/>
          <w:sz w:val="24"/>
          <w:lang w:val="en-US"/>
        </w:rPr>
      </w:pPr>
      <w:r>
        <w:rPr>
          <w:rFonts w:hint="eastAsia"/>
          <w:sz w:val="24"/>
        </w:rPr>
        <w:t>七、一般公共预算财政拨款支出决算明细表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（25）</w:t>
      </w:r>
    </w:p>
    <w:p>
      <w:pPr>
        <w:pStyle w:val="12"/>
        <w:adjustRightInd w:val="0"/>
        <w:snapToGrid w:val="0"/>
        <w:spacing w:line="440" w:lineRule="exact"/>
        <w:jc w:val="left"/>
        <w:rPr>
          <w:sz w:val="24"/>
        </w:rPr>
      </w:pPr>
      <w:r>
        <w:rPr>
          <w:rFonts w:hint="eastAsia"/>
          <w:sz w:val="24"/>
        </w:rPr>
        <w:t>八、一般公共预算财政拨款基本支出决算明细表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（27）</w:t>
      </w:r>
    </w:p>
    <w:p>
      <w:pPr>
        <w:pStyle w:val="12"/>
        <w:adjustRightInd w:val="0"/>
        <w:snapToGrid w:val="0"/>
        <w:spacing w:line="440" w:lineRule="exact"/>
        <w:jc w:val="left"/>
        <w:rPr>
          <w:sz w:val="24"/>
        </w:rPr>
      </w:pPr>
      <w:r>
        <w:rPr>
          <w:rFonts w:hint="eastAsia"/>
          <w:sz w:val="24"/>
        </w:rPr>
        <w:t>九、一般公共预算财政拨款项目支出决算表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（28）</w:t>
      </w:r>
    </w:p>
    <w:p>
      <w:pPr>
        <w:pStyle w:val="12"/>
        <w:adjustRightInd w:val="0"/>
        <w:snapToGrid w:val="0"/>
        <w:spacing w:line="440" w:lineRule="exact"/>
        <w:jc w:val="left"/>
        <w:rPr>
          <w:sz w:val="24"/>
        </w:rPr>
      </w:pPr>
      <w:r>
        <w:rPr>
          <w:rFonts w:hint="eastAsia"/>
          <w:sz w:val="24"/>
        </w:rPr>
        <w:t>十、政府性基金预算财政拨款收入支出决算表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（29）</w:t>
      </w:r>
    </w:p>
    <w:p>
      <w:pPr>
        <w:pStyle w:val="12"/>
        <w:adjustRightInd w:val="0"/>
        <w:snapToGrid w:val="0"/>
        <w:spacing w:line="440" w:lineRule="exact"/>
        <w:jc w:val="left"/>
        <w:rPr>
          <w:sz w:val="24"/>
        </w:rPr>
      </w:pPr>
      <w:r>
        <w:rPr>
          <w:rFonts w:hint="eastAsia"/>
          <w:sz w:val="24"/>
        </w:rPr>
        <w:t>十一、国有资本经营预算财政拨款收入支出决算表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（30）</w:t>
      </w:r>
    </w:p>
    <w:p>
      <w:pPr>
        <w:pStyle w:val="12"/>
        <w:adjustRightInd w:val="0"/>
        <w:snapToGrid w:val="0"/>
        <w:spacing w:line="440" w:lineRule="exact"/>
        <w:jc w:val="left"/>
        <w:rPr>
          <w:sz w:val="24"/>
        </w:rPr>
      </w:pPr>
      <w:r>
        <w:rPr>
          <w:rFonts w:hint="eastAsia"/>
          <w:sz w:val="24"/>
        </w:rPr>
        <w:t>十二、国有资本经营预算财政拨款支出决算表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（31）</w:t>
      </w:r>
    </w:p>
    <w:p>
      <w:pPr>
        <w:pStyle w:val="12"/>
        <w:adjustRightInd w:val="0"/>
        <w:snapToGrid w:val="0"/>
        <w:spacing w:line="440" w:lineRule="exact"/>
        <w:jc w:val="left"/>
        <w:rPr>
          <w:sz w:val="24"/>
        </w:rPr>
      </w:pPr>
      <w:r>
        <w:rPr>
          <w:rFonts w:hint="eastAsia"/>
          <w:sz w:val="24"/>
        </w:rPr>
        <w:t>十三、财政拨款“三公”经费支出决算表</w:t>
      </w:r>
      <w:r>
        <w:rPr>
          <w:rFonts w:ascii="仿宋" w:hAnsi="仿宋" w:eastAsia="仿宋" w:cs="Times New Roman"/>
          <w:kern w:val="2"/>
          <w:sz w:val="28"/>
          <w:szCs w:val="28"/>
          <w:lang w:val="en-US" w:eastAsia="zh-CN" w:bidi="ar-SA"/>
        </w:rPr>
        <w:tab/>
      </w:r>
      <w:r>
        <w:rPr>
          <w:rFonts w:hint="eastAsia" w:ascii="仿宋" w:hAnsi="仿宋" w:eastAsia="仿宋" w:cs="Times New Roman"/>
          <w:kern w:val="2"/>
          <w:sz w:val="28"/>
          <w:szCs w:val="28"/>
          <w:lang w:val="en-US" w:eastAsia="zh-CN" w:bidi="ar-SA"/>
        </w:rPr>
        <w:t>（32）</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6"/>
          <w:rFonts w:ascii="黑体" w:hAnsi="黑体" w:eastAsia="黑体"/>
          <w:b/>
          <w:bCs w:val="0"/>
        </w:rPr>
      </w:pPr>
      <w:r>
        <w:rPr>
          <w:rFonts w:hint="eastAsia" w:ascii="黑体" w:hAnsi="黑体" w:eastAsia="黑体"/>
          <w:b w:val="0"/>
        </w:rPr>
        <w:t>第一部分 单位</w:t>
      </w:r>
      <w:r>
        <w:rPr>
          <w:rStyle w:val="26"/>
          <w:rFonts w:hint="eastAsia" w:ascii="黑体" w:hAnsi="黑体" w:eastAsia="黑体"/>
          <w:b w:val="0"/>
          <w:bCs w:val="0"/>
        </w:rPr>
        <w:t>概况</w:t>
      </w:r>
      <w:bookmarkEnd w:id="12"/>
      <w:bookmarkEnd w:id="13"/>
    </w:p>
    <w:p>
      <w:pPr>
        <w:widowControl/>
        <w:jc w:val="left"/>
        <w:rPr>
          <w:rFonts w:ascii="黑体" w:eastAsia="黑体"/>
          <w:sz w:val="32"/>
          <w:szCs w:val="32"/>
        </w:rPr>
      </w:pPr>
    </w:p>
    <w:p>
      <w:pPr>
        <w:snapToGrid w:val="0"/>
        <w:spacing w:line="520" w:lineRule="exact"/>
        <w:ind w:firstLine="640" w:firstLineChars="200"/>
        <w:rPr>
          <w:rStyle w:val="27"/>
          <w:rFonts w:hint="eastAsia" w:ascii="黑体" w:hAnsi="黑体" w:eastAsia="黑体"/>
          <w:b w:val="0"/>
          <w:bCs w:val="0"/>
          <w:lang w:val="en-US" w:eastAsia="zh-CN" w:bidi="ar-SA"/>
        </w:rPr>
      </w:pPr>
      <w:bookmarkStart w:id="14" w:name="_Toc15396600"/>
      <w:bookmarkStart w:id="15" w:name="_Toc15377197"/>
      <w:r>
        <w:rPr>
          <w:rStyle w:val="27"/>
          <w:rFonts w:hint="eastAsia" w:ascii="黑体" w:hAnsi="黑体" w:eastAsia="黑体"/>
          <w:b w:val="0"/>
          <w:bCs w:val="0"/>
          <w:lang w:val="en-US" w:eastAsia="zh-CN" w:bidi="ar-SA"/>
        </w:rPr>
        <w:t>一、主要职责</w:t>
      </w:r>
    </w:p>
    <w:p>
      <w:pPr>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管理全县城乡道路交通安全工作。承担全县道路交通指挥、路面执勤、事故处理、交通秩序维护工作；组织开展道路交通安全宣传教育工作；负责上级机关授权办理的车辆和驾驶人管理业务；协同巡警开展城区、交通路面的治安巡逻工作，及时处置群众紧急求助；负责防爆、重大活动、重大行动的治安执勤，参与应急救援、抢险救灾、暴力恐怖事件的处置工作。</w:t>
      </w:r>
    </w:p>
    <w:p>
      <w:pPr>
        <w:pStyle w:val="25"/>
        <w:adjustRightInd w:val="0"/>
        <w:snapToGrid w:val="0"/>
        <w:spacing w:line="560" w:lineRule="exact"/>
        <w:ind w:left="0" w:leftChars="0" w:firstLine="643" w:firstLineChars="200"/>
        <w:textAlignment w:val="baseline"/>
        <w:rPr>
          <w:rFonts w:ascii="仿宋_GB2312" w:hAnsi="黑体" w:eastAsia="仿宋_GB2312"/>
          <w:b/>
          <w:sz w:val="32"/>
          <w:szCs w:val="32"/>
        </w:rPr>
      </w:pPr>
      <w:r>
        <w:rPr>
          <w:rFonts w:hint="eastAsia" w:ascii="仿宋" w:hAnsi="仿宋" w:eastAsia="仿宋" w:cs="Times New Roman"/>
          <w:b/>
          <w:kern w:val="2"/>
          <w:sz w:val="32"/>
          <w:szCs w:val="32"/>
          <w:lang w:val="en-US" w:eastAsia="zh-CN" w:bidi="ar-SA"/>
        </w:rPr>
        <w:t>（一）.突出政治统领，全面加强党的绝对领导，强化队伍管理。</w:t>
      </w:r>
    </w:p>
    <w:p>
      <w:pPr>
        <w:snapToGrid w:val="0"/>
        <w:spacing w:line="560" w:lineRule="exact"/>
        <w:ind w:firstLine="643" w:firstLineChars="200"/>
        <w:rPr>
          <w:rFonts w:ascii="仿宋_GB2312" w:hAnsi="仿宋" w:eastAsia="仿宋_GB2312" w:cs="仿宋_GB2312"/>
          <w:color w:val="000000"/>
          <w:sz w:val="32"/>
          <w:szCs w:val="32"/>
        </w:rPr>
      </w:pPr>
      <w:r>
        <w:rPr>
          <w:rFonts w:hint="eastAsia" w:ascii="仿宋_GB2312" w:hAnsi="宋体" w:eastAsia="仿宋_GB2312" w:cs="宋体"/>
          <w:b/>
          <w:kern w:val="0"/>
          <w:sz w:val="32"/>
          <w:szCs w:val="32"/>
          <w:lang w:val="en-US" w:eastAsia="zh-CN"/>
        </w:rPr>
        <w:t>1.</w:t>
      </w:r>
      <w:r>
        <w:rPr>
          <w:rFonts w:hint="eastAsia" w:ascii="仿宋_GB2312" w:hAnsi="宋体" w:eastAsia="仿宋_GB2312" w:cs="宋体"/>
          <w:b/>
          <w:kern w:val="0"/>
          <w:sz w:val="32"/>
          <w:szCs w:val="32"/>
        </w:rPr>
        <w:t>强化意识形态和党风廉政建设。</w:t>
      </w:r>
      <w:r>
        <w:rPr>
          <w:rFonts w:hint="eastAsia" w:ascii="仿宋_GB2312" w:hAnsi="宋体" w:eastAsia="仿宋_GB2312" w:cs="宋体"/>
          <w:kern w:val="0"/>
          <w:sz w:val="32"/>
          <w:szCs w:val="32"/>
        </w:rPr>
        <w:t>一是</w:t>
      </w:r>
      <w:r>
        <w:rPr>
          <w:rFonts w:hint="eastAsia" w:ascii="仿宋_GB2312" w:hAnsi="仿宋_GB2312" w:eastAsia="仿宋_GB2312"/>
          <w:sz w:val="32"/>
          <w:szCs w:val="32"/>
        </w:rPr>
        <w:t>教育引导党员干部特别是党员领导干部不断增强政治意识、大局意识、核心意识、看齐意识,通过持续教育,使党组织和党员干部明确了抓意识形态工作的基本遵循,增强了抓意识形态工作的责任意识和使命担当,达到了统一思想、齐抓共管的目的。二是</w:t>
      </w:r>
      <w:r>
        <w:rPr>
          <w:rFonts w:hint="eastAsia" w:ascii="仿宋_GB2312" w:eastAsia="仿宋_GB2312"/>
          <w:sz w:val="32"/>
          <w:szCs w:val="32"/>
        </w:rPr>
        <w:t>认真落实党风廉政建设责任制，把党风廉政建设作为支部和党建工作的重点，认真开展警示教育系列活动。结合工作实际，开展谈心谈话活动。通过学习党章、党规等相关制度规定，写体会谈感想。签订廉洁自律承诺书，规范建立民辅警个人廉政档案。2022年1-10月</w:t>
      </w:r>
      <w:r>
        <w:rPr>
          <w:rFonts w:hint="eastAsia" w:ascii="仿宋_GB2312" w:hAnsi="仿宋" w:eastAsia="仿宋_GB2312" w:cs="仿宋_GB2312"/>
          <w:color w:val="000000"/>
          <w:sz w:val="32"/>
          <w:szCs w:val="32"/>
        </w:rPr>
        <w:t>建立大队民辅警个人廉政档案和签订个人廉洁承诺书各59份。</w:t>
      </w:r>
    </w:p>
    <w:p>
      <w:pPr>
        <w:adjustRightInd w:val="0"/>
        <w:snapToGrid w:val="0"/>
        <w:spacing w:line="560" w:lineRule="exact"/>
        <w:ind w:firstLine="643" w:firstLineChars="200"/>
        <w:textAlignment w:val="baseline"/>
        <w:rPr>
          <w:rFonts w:hint="eastAsia" w:ascii="仿宋_GB2312" w:hAnsi="仿宋" w:eastAsia="仿宋_GB2312" w:cs="仿宋_GB2312"/>
          <w:color w:val="000000"/>
          <w:sz w:val="32"/>
          <w:szCs w:val="32"/>
        </w:rPr>
      </w:pPr>
      <w:r>
        <w:rPr>
          <w:rFonts w:hint="eastAsia" w:ascii="仿宋_GB2312" w:eastAsia="仿宋_GB2312"/>
          <w:b/>
          <w:bCs/>
          <w:sz w:val="32"/>
          <w:szCs w:val="32"/>
          <w:lang w:val="en-US" w:eastAsia="zh-CN"/>
        </w:rPr>
        <w:t>2.</w:t>
      </w:r>
      <w:r>
        <w:rPr>
          <w:rFonts w:hint="eastAsia" w:ascii="仿宋_GB2312" w:hAnsi="仿宋" w:eastAsia="仿宋_GB2312"/>
          <w:b/>
          <w:sz w:val="32"/>
          <w:szCs w:val="32"/>
        </w:rPr>
        <w:t>统筹推进抓党建促队伍。</w:t>
      </w:r>
      <w:r>
        <w:rPr>
          <w:rFonts w:hint="eastAsia" w:ascii="仿宋_GB2312" w:hAnsi="仿宋" w:eastAsia="仿宋_GB2312" w:cs="仿宋_GB2312"/>
          <w:color w:val="000000"/>
          <w:sz w:val="32"/>
          <w:szCs w:val="32"/>
        </w:rPr>
        <w:t>一是严格党员教育管理，落实好“三会一课”、组织生活会、民主评议党员、谈心谈话等制度，特别是党员同志第一时间做好疫情防控常态化隔离转运专班，突出了党支部的战斗堡垒和先锋模范。二是工作调整及时开展党支部换届选举工作。三是规范每日清单式督察。由每日大队值班领导带头开展对桐子林、红格、渔门交警中队辖区的每日勤务安排、警情录入、分流、当日值班在岗在位、内务环境卫生等通过实地督导、视频督察、对讲机点调的形式督察，发现问题及时通报提醒。四是大队领导深入各中队结合日常工作开展了交心谈心暨温馨家访活动，了解掌握民辅警思想状况，及时发现苗头性问题和新的风险点，对存在的问题逐一分析并开展正面教育，引导其克服心理困惑和实际困难，确保队伍持续健康稳定。五是爱警暖警措施落实落地。对2名因公受伤民警,1名民警生病住院、2名辅警直系亲属逝世，2名民警直系亲属住院及时开展了看望慰问，发放慰问金2800.00元。六是规范教育培训。领导干部每月常态化开展学法教育培训，由大队领导轮流组织开展近期新颁布的法律法规知识培训；开展交警手势规范化培训。大队暨各中队持续坚持 “每周两训”，民辅警执勤形象显著提升。七是有序推进“忠诚铸魂 铁纪担当”专项活动。通过党支部会，周列会组织集中学习暨观看警示教育片，谈心得、讲体会。按照要求逐一梳理、排查问题建清单、立台账、全面整改。八是内务环境大改观。交通警察大队全面开展办公区域卫生大清理。修剪树枝、补种花苗、规范车辆停放等，促使“快乐工作、幸福生活”的和谐警营氛围。九是创先争优激发队伍活力。上半年，共4名民警，6名辅警获上级部门表彰奖励。</w:t>
      </w:r>
    </w:p>
    <w:p>
      <w:pPr>
        <w:rPr>
          <w:rFonts w:hint="eastAsia" w:ascii="仿宋_GB2312" w:hAnsi="仿宋" w:eastAsia="仿宋_GB2312" w:cs="仿宋_GB2312"/>
          <w:color w:val="000000"/>
          <w:sz w:val="32"/>
          <w:szCs w:val="32"/>
        </w:rPr>
      </w:pPr>
      <w:r>
        <w:rPr>
          <w:rFonts w:hint="eastAsia"/>
        </w:rPr>
        <w:t xml:space="preserve">   </w:t>
      </w:r>
      <w:r>
        <w:rPr>
          <w:rFonts w:hint="eastAsia"/>
          <w:lang w:val="en-US" w:eastAsia="zh-CN"/>
        </w:rPr>
        <w:t xml:space="preserve"> </w:t>
      </w:r>
      <w:r>
        <w:rPr>
          <w:rFonts w:hint="eastAsia" w:ascii="仿宋_GB2312" w:eastAsia="仿宋_GB2312"/>
          <w:b/>
          <w:sz w:val="32"/>
          <w:szCs w:val="32"/>
          <w:lang w:val="en-US" w:eastAsia="zh-CN"/>
        </w:rPr>
        <w:t>3.</w:t>
      </w:r>
      <w:r>
        <w:rPr>
          <w:rFonts w:hint="eastAsia" w:ascii="仿宋_GB2312" w:eastAsia="仿宋_GB2312"/>
          <w:b/>
          <w:sz w:val="32"/>
          <w:szCs w:val="32"/>
        </w:rPr>
        <w:t>常态化推进法制工作。</w:t>
      </w:r>
      <w:r>
        <w:rPr>
          <w:rFonts w:hint="eastAsia" w:ascii="仿宋_GB2312" w:hAnsi="仿宋" w:eastAsia="仿宋_GB2312" w:cs="仿宋_GB2312"/>
          <w:color w:val="000000"/>
          <w:sz w:val="32"/>
          <w:szCs w:val="32"/>
        </w:rPr>
        <w:t>一是常态化开展每月执法质量分析；二是领导干部常态化开展学法；三是值班大队领导严格督导每日警情分流、案件督办整改等；三是加强法制培训，涉及新颁布暨修改的法律法规不定时组织民警开展集中学与自学。</w:t>
      </w:r>
    </w:p>
    <w:p>
      <w:pPr>
        <w:snapToGrid w:val="0"/>
        <w:spacing w:line="520" w:lineRule="exact"/>
        <w:ind w:firstLine="640" w:firstLineChars="200"/>
        <w:rPr>
          <w:rStyle w:val="27"/>
          <w:rFonts w:hint="eastAsia" w:ascii="黑体" w:hAnsi="黑体" w:eastAsia="黑体"/>
          <w:b w:val="0"/>
          <w:bCs w:val="0"/>
          <w:lang w:val="en-US" w:eastAsia="zh-CN" w:bidi="ar-SA"/>
        </w:rPr>
      </w:pPr>
      <w:r>
        <w:rPr>
          <w:rStyle w:val="27"/>
          <w:rFonts w:hint="eastAsia" w:ascii="黑体" w:hAnsi="黑体" w:eastAsia="黑体"/>
          <w:b w:val="0"/>
          <w:bCs w:val="0"/>
          <w:lang w:val="en-US" w:eastAsia="zh-CN" w:bidi="ar-SA"/>
        </w:rPr>
        <w:t>二、机构设置</w:t>
      </w:r>
    </w:p>
    <w:p>
      <w:pPr>
        <w:snapToGrid w:val="0"/>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盐边县公安局交通警察大队下设事故、内务、桐子林、红格、渔门五个中队。</w:t>
      </w:r>
    </w:p>
    <w:p>
      <w:pPr>
        <w:numPr>
          <w:ilvl w:val="0"/>
          <w:numId w:val="0"/>
        </w:numPr>
        <w:ind w:leftChars="0"/>
      </w:pPr>
    </w:p>
    <w:bookmarkEnd w:id="14"/>
    <w:bookmarkEnd w:id="15"/>
    <w:p>
      <w:pPr>
        <w:widowControl/>
        <w:jc w:val="left"/>
        <w:rPr>
          <w:rFonts w:ascii="仿宋" w:hAnsi="仿宋" w:eastAsia="仿宋"/>
          <w:kern w:val="0"/>
          <w:sz w:val="32"/>
          <w:szCs w:val="32"/>
        </w:rPr>
      </w:pPr>
    </w:p>
    <w:p>
      <w:pPr>
        <w:pStyle w:val="3"/>
        <w:ind w:right="440"/>
        <w:jc w:val="center"/>
        <w:rPr>
          <w:rFonts w:hint="eastAsia" w:ascii="黑体" w:hAnsi="黑体" w:eastAsia="黑体"/>
          <w:b w:val="0"/>
        </w:rPr>
      </w:pPr>
      <w:bookmarkStart w:id="16" w:name="_Toc15396602"/>
      <w:bookmarkStart w:id="17" w:name="_Toc15377204"/>
    </w:p>
    <w:p>
      <w:pPr>
        <w:pStyle w:val="3"/>
        <w:tabs>
          <w:tab w:val="left" w:pos="1627"/>
        </w:tabs>
        <w:spacing w:before="0" w:after="0" w:line="240" w:lineRule="auto"/>
        <w:ind w:right="0"/>
        <w:jc w:val="both"/>
        <w:rPr>
          <w:rFonts w:hint="eastAsia" w:ascii="黑体" w:hAnsi="黑体" w:eastAsia="黑体"/>
          <w:b w:val="0"/>
          <w:lang w:eastAsia="zh-CN"/>
        </w:rPr>
      </w:pPr>
    </w:p>
    <w:p>
      <w:pPr>
        <w:pStyle w:val="3"/>
        <w:spacing w:before="0" w:after="0" w:line="240" w:lineRule="auto"/>
        <w:ind w:right="0"/>
        <w:jc w:val="both"/>
        <w:rPr>
          <w:rFonts w:hint="eastAsia" w:ascii="黑体" w:hAnsi="黑体" w:eastAsia="黑体"/>
          <w:b w:val="0"/>
        </w:rPr>
      </w:pPr>
    </w:p>
    <w:p>
      <w:pPr>
        <w:pStyle w:val="3"/>
        <w:spacing w:before="0" w:after="0" w:line="240" w:lineRule="auto"/>
        <w:ind w:right="0"/>
        <w:jc w:val="both"/>
        <w:rPr>
          <w:rFonts w:hint="eastAsia" w:ascii="黑体" w:hAnsi="黑体" w:eastAsia="黑体"/>
          <w:b w:val="0"/>
          <w:lang w:val="en-US" w:eastAsia="zh-CN"/>
        </w:rPr>
      </w:pPr>
      <w:r>
        <w:rPr>
          <w:rFonts w:hint="eastAsia" w:ascii="黑体" w:hAnsi="黑体" w:eastAsia="黑体"/>
          <w:b w:val="0"/>
          <w:lang w:val="en-US" w:eastAsia="zh-CN"/>
        </w:rPr>
        <w:t xml:space="preserve">    </w:t>
      </w:r>
    </w:p>
    <w:p>
      <w:pPr>
        <w:pStyle w:val="3"/>
        <w:spacing w:before="0" w:after="0" w:line="240" w:lineRule="auto"/>
        <w:ind w:right="0"/>
        <w:jc w:val="both"/>
        <w:rPr>
          <w:rFonts w:hint="eastAsia" w:ascii="黑体" w:hAnsi="黑体" w:eastAsia="黑体"/>
          <w:b w:val="0"/>
        </w:rPr>
      </w:pPr>
      <w:r>
        <w:rPr>
          <w:rFonts w:hint="eastAsia" w:ascii="黑体" w:hAnsi="黑体" w:eastAsia="黑体"/>
          <w:b w:val="0"/>
          <w:lang w:val="en-US" w:eastAsia="zh-CN"/>
        </w:rPr>
        <w:t xml:space="preserve">                                                             </w:t>
      </w:r>
    </w:p>
    <w:bookmarkEnd w:id="16"/>
    <w:bookmarkEnd w:id="17"/>
    <w:p/>
    <w:p>
      <w:pPr>
        <w:pStyle w:val="2"/>
        <w:rPr>
          <w:rFonts w:hint="eastAsia" w:eastAsia="仿宋_GB2312"/>
          <w:lang w:eastAsia="zh-CN"/>
        </w:rPr>
      </w:pPr>
      <w:r>
        <w:rPr>
          <w:rFonts w:hint="eastAsia" w:ascii="黑体" w:hAnsi="黑体" w:eastAsia="黑体"/>
          <w:b w:val="0"/>
          <w:lang w:val="en-US" w:eastAsia="zh-CN"/>
        </w:rPr>
        <w:t xml:space="preserve"> </w:t>
      </w:r>
    </w:p>
    <w:p>
      <w:pPr>
        <w:pStyle w:val="3"/>
        <w:ind w:right="440"/>
        <w:jc w:val="center"/>
        <w:rPr>
          <w:rStyle w:val="26"/>
          <w:rFonts w:ascii="黑体" w:hAnsi="黑体" w:eastAsia="黑体"/>
          <w:b w:val="0"/>
          <w:bCs/>
        </w:rPr>
      </w:pPr>
      <w:bookmarkStart w:id="18" w:name="_Toc15396603"/>
      <w:bookmarkStart w:id="19" w:name="_Toc15377205"/>
      <w:r>
        <w:rPr>
          <w:rFonts w:hint="eastAsia" w:ascii="黑体" w:hAnsi="黑体" w:eastAsia="黑体"/>
          <w:b w:val="0"/>
        </w:rPr>
        <w:t>第二部分 2022年度</w:t>
      </w:r>
      <w:r>
        <w:rPr>
          <w:rStyle w:val="26"/>
          <w:rFonts w:hint="eastAsia" w:ascii="黑体" w:hAnsi="黑体" w:eastAsia="黑体"/>
          <w:b w:val="0"/>
          <w:bCs/>
        </w:rPr>
        <w:t>单位决算情况说明</w:t>
      </w:r>
    </w:p>
    <w:p>
      <w:pPr>
        <w:pStyle w:val="25"/>
        <w:numPr>
          <w:ilvl w:val="0"/>
          <w:numId w:val="0"/>
        </w:numPr>
        <w:spacing w:line="600" w:lineRule="exact"/>
        <w:ind w:left="640" w:leftChars="0"/>
        <w:outlineLvl w:val="1"/>
        <w:rPr>
          <w:rStyle w:val="27"/>
          <w:rFonts w:ascii="黑体" w:hAnsi="黑体" w:eastAsia="黑体"/>
          <w:b w:val="0"/>
        </w:rPr>
      </w:pPr>
    </w:p>
    <w:p>
      <w:pPr>
        <w:pStyle w:val="25"/>
        <w:numPr>
          <w:ilvl w:val="0"/>
          <w:numId w:val="1"/>
        </w:numPr>
        <w:spacing w:line="600" w:lineRule="exact"/>
        <w:ind w:firstLineChars="0"/>
        <w:outlineLvl w:val="1"/>
        <w:rPr>
          <w:rStyle w:val="27"/>
          <w:rFonts w:ascii="黑体" w:hAnsi="黑体" w:eastAsia="黑体"/>
          <w:b w:val="0"/>
        </w:rPr>
      </w:pPr>
      <w:r>
        <w:rPr>
          <w:rFonts w:hint="eastAsia" w:ascii="黑体" w:hAnsi="黑体" w:eastAsia="黑体"/>
          <w:sz w:val="32"/>
          <w:szCs w:val="32"/>
        </w:rPr>
        <w:t>收</w:t>
      </w:r>
      <w:r>
        <w:rPr>
          <w:rStyle w:val="27"/>
          <w:rFonts w:hint="eastAsia" w:ascii="黑体" w:hAnsi="黑体" w:eastAsia="黑体"/>
          <w:b w:val="0"/>
        </w:rPr>
        <w:t>入支出决算总体情况说明</w:t>
      </w:r>
      <w:bookmarkEnd w:id="18"/>
      <w:bookmarkEnd w:id="19"/>
    </w:p>
    <w:p>
      <w:pPr>
        <w:snapToGrid w:val="0"/>
        <w:spacing w:line="560" w:lineRule="exact"/>
        <w:ind w:firstLine="640" w:firstLineChars="200"/>
        <w:rPr>
          <w:rFonts w:hint="eastAsia" w:ascii="仿宋_GB2312" w:hAnsi="仿宋" w:eastAsia="仿宋_GB2312"/>
          <w:sz w:val="32"/>
          <w:szCs w:val="32"/>
        </w:rPr>
      </w:pPr>
      <w:r>
        <w:rPr>
          <w:rFonts w:hint="default" w:ascii="仿宋_GB2312" w:hAnsi="仿宋" w:eastAsia="仿宋_GB2312"/>
          <w:sz w:val="32"/>
          <w:szCs w:val="32"/>
          <w:lang w:val="en-US" w:eastAsia="zh-CN"/>
        </w:rPr>
        <w:pict>
          <v:shape id="_x0000_s1026" o:spid="_x0000_s1026" o:spt="75" type="#_x0000_t75" style="position:absolute;left:0pt;margin-left:48.3pt;margin-top:100.65pt;height:155.95pt;width:226.75pt;mso-wrap-distance-bottom:0pt;mso-wrap-distance-top:0pt;z-index:251658240;mso-width-relative:page;mso-height-relative:page;" o:ole="t" filled="f" o:preferrelative="t" stroked="f" coordsize="21600,21600">
            <v:path/>
            <v:fill on="f" focussize="0,0"/>
            <v:stroke on="f"/>
            <v:imagedata r:id="rId7" o:title=""/>
            <o:lock v:ext="edit" aspectratio="t"/>
            <w10:wrap type="topAndBottom"/>
          </v:shape>
          <o:OLEObject Type="Embed" ProgID="Excel.Chart.8" ShapeID="_x0000_s1026" DrawAspect="Content" ObjectID="_1468075725" r:id="rId6">
            <o:LockedField>false</o:LockedField>
          </o:OLEObject>
        </w:pict>
      </w:r>
      <w:r>
        <w:rPr>
          <w:rFonts w:hint="eastAsia" w:ascii="仿宋_GB2312" w:hAnsi="仿宋" w:eastAsia="仿宋_GB2312"/>
          <w:sz w:val="32"/>
          <w:szCs w:val="32"/>
        </w:rPr>
        <w:t>2022年度收</w:t>
      </w:r>
      <w:r>
        <w:rPr>
          <w:rFonts w:hint="eastAsia" w:ascii="仿宋_GB2312" w:hAnsi="仿宋" w:eastAsia="仿宋_GB2312"/>
          <w:sz w:val="32"/>
          <w:szCs w:val="32"/>
          <w:lang w:eastAsia="zh-CN"/>
        </w:rPr>
        <w:t>入、支出</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万元。与2021年相比，收</w:t>
      </w:r>
      <w:r>
        <w:rPr>
          <w:rFonts w:hint="eastAsia" w:ascii="仿宋_GB2312" w:hAnsi="仿宋" w:eastAsia="仿宋_GB2312"/>
          <w:sz w:val="32"/>
          <w:szCs w:val="32"/>
          <w:lang w:eastAsia="zh-CN"/>
        </w:rPr>
        <w:t>入、支出</w:t>
      </w:r>
      <w:r>
        <w:rPr>
          <w:rFonts w:hint="eastAsia" w:ascii="仿宋_GB2312" w:hAnsi="仿宋" w:eastAsia="仿宋_GB2312"/>
          <w:sz w:val="32"/>
          <w:szCs w:val="32"/>
        </w:rPr>
        <w:t>总计各增加</w:t>
      </w:r>
      <w:r>
        <w:rPr>
          <w:rFonts w:hint="eastAsia" w:ascii="仿宋_GB2312" w:hAnsi="仿宋" w:eastAsia="仿宋_GB2312"/>
          <w:sz w:val="32"/>
          <w:szCs w:val="32"/>
          <w:lang w:val="en-US" w:eastAsia="zh-CN"/>
        </w:rPr>
        <w:t>35.31</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6.63</w:t>
      </w:r>
      <w:r>
        <w:rPr>
          <w:rFonts w:hint="eastAsia" w:ascii="仿宋_GB2312" w:hAnsi="仿宋" w:eastAsia="仿宋_GB2312"/>
          <w:sz w:val="32"/>
          <w:szCs w:val="32"/>
        </w:rPr>
        <w:t>%。主要变动原因是</w:t>
      </w:r>
      <w:r>
        <w:rPr>
          <w:rFonts w:hint="eastAsia" w:ascii="仿宋_GB2312" w:hAnsi="仿宋" w:eastAsia="仿宋_GB2312"/>
          <w:sz w:val="32"/>
          <w:szCs w:val="32"/>
          <w:lang w:val="en-US" w:eastAsia="zh-CN"/>
        </w:rPr>
        <w:t>人员工资调整及社保调整</w:t>
      </w:r>
      <w:r>
        <w:rPr>
          <w:rFonts w:hint="eastAsia" w:ascii="仿宋_GB2312" w:hAnsi="仿宋" w:eastAsia="仿宋_GB2312"/>
          <w:sz w:val="32"/>
          <w:szCs w:val="32"/>
        </w:rPr>
        <w:t>。</w:t>
      </w:r>
    </w:p>
    <w:p>
      <w:pPr>
        <w:snapToGrid w:val="0"/>
        <w:spacing w:line="560" w:lineRule="exact"/>
        <w:ind w:firstLine="640" w:firstLineChars="200"/>
        <w:rPr>
          <w:rFonts w:ascii="仿宋_GB2312" w:eastAsia="仿宋_GB2312"/>
          <w:sz w:val="32"/>
          <w:szCs w:val="32"/>
        </w:rPr>
      </w:pPr>
      <w:r>
        <w:rPr>
          <w:rFonts w:hint="eastAsia" w:ascii="仿宋_GB2312" w:hAnsi="仿宋" w:eastAsia="仿宋_GB2312"/>
          <w:sz w:val="32"/>
          <w:szCs w:val="32"/>
        </w:rPr>
        <w:t>（图1：收、支决算总计变动情况图）（柱状图）</w:t>
      </w:r>
    </w:p>
    <w:p>
      <w:pPr>
        <w:pStyle w:val="25"/>
        <w:numPr>
          <w:ilvl w:val="0"/>
          <w:numId w:val="1"/>
        </w:numPr>
        <w:spacing w:line="600" w:lineRule="exact"/>
        <w:ind w:firstLineChars="0"/>
        <w:outlineLvl w:val="1"/>
        <w:rPr>
          <w:rStyle w:val="27"/>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7"/>
          <w:rFonts w:hint="eastAsia" w:ascii="黑体" w:hAnsi="黑体" w:eastAsia="黑体"/>
          <w:b w:val="0"/>
        </w:rPr>
        <w:t>入决算情况说明</w:t>
      </w:r>
      <w:bookmarkEnd w:id="20"/>
      <w:bookmarkEnd w:id="21"/>
    </w:p>
    <w:p>
      <w:pPr>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2022年本年收入合计</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万元，其中：一般公共预算财政拨款收入</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100</w:t>
      </w:r>
      <w:r>
        <w:rPr>
          <w:rFonts w:hint="eastAsia" w:ascii="仿宋_GB2312" w:hAnsi="仿宋" w:eastAsia="仿宋_GB2312"/>
          <w:sz w:val="32"/>
          <w:szCs w:val="32"/>
        </w:rPr>
        <w:t>%。</w:t>
      </w:r>
    </w:p>
    <w:p>
      <w:pPr>
        <w:snapToGrid w:val="0"/>
        <w:spacing w:line="560" w:lineRule="exact"/>
        <w:ind w:firstLine="640" w:firstLineChars="200"/>
        <w:rPr>
          <w:rFonts w:hint="eastAsia" w:ascii="仿宋_GB2312" w:hAnsi="仿宋" w:eastAsia="仿宋_GB2312"/>
          <w:sz w:val="32"/>
          <w:szCs w:val="32"/>
        </w:rPr>
      </w:pPr>
      <w:r>
        <w:rPr>
          <w:rFonts w:hint="eastAsia" w:eastAsia="仿宋_GB2312"/>
          <w:sz w:val="32"/>
          <w:szCs w:val="32"/>
          <w:lang w:eastAsia="zh-CN"/>
        </w:rPr>
        <w:pict>
          <v:shape id="_x0000_s1027" o:spid="_x0000_s1027" o:spt="75" type="#_x0000_t75" style="position:absolute;left:0pt;margin-left:45.85pt;margin-top:7.9pt;height:137.7pt;width:226.75pt;mso-wrap-distance-bottom:0pt;mso-wrap-distance-top:0pt;z-index:251661312;mso-width-relative:page;mso-height-relative:page;" o:ole="t" filled="f" o:preferrelative="t" stroked="f" coordsize="21600,21600">
            <v:path/>
            <v:fill on="f" focussize="0,0"/>
            <v:stroke on="f"/>
            <v:imagedata r:id="rId9" o:title=""/>
            <o:lock v:ext="edit" aspectratio="t"/>
            <w10:wrap type="topAndBottom"/>
          </v:shape>
          <o:OLEObject Type="Embed" ProgID="Excel.Chart.8" ShapeID="_x0000_s1027" DrawAspect="Content" ObjectID="_1468075726" r:id="rId8">
            <o:LockedField>false</o:LockedField>
          </o:OLEObject>
        </w:pict>
      </w:r>
      <w:r>
        <w:rPr>
          <w:rFonts w:hint="eastAsia" w:ascii="仿宋_GB2312" w:hAnsi="仿宋" w:eastAsia="仿宋_GB2312"/>
          <w:sz w:val="32"/>
          <w:szCs w:val="32"/>
        </w:rPr>
        <w:t>（图2：收入决算结构图）（饼状图）</w:t>
      </w:r>
    </w:p>
    <w:p>
      <w:pPr>
        <w:spacing w:line="600" w:lineRule="exact"/>
        <w:ind w:firstLine="640" w:firstLineChars="200"/>
        <w:rPr>
          <w:rFonts w:ascii="仿宋_GB2312" w:eastAsia="仿宋_GB2312"/>
          <w:sz w:val="32"/>
          <w:szCs w:val="32"/>
        </w:rPr>
      </w:pPr>
    </w:p>
    <w:p>
      <w:pPr>
        <w:pStyle w:val="25"/>
        <w:numPr>
          <w:ilvl w:val="0"/>
          <w:numId w:val="1"/>
        </w:numPr>
        <w:spacing w:line="600" w:lineRule="exact"/>
        <w:ind w:firstLineChars="0"/>
        <w:outlineLvl w:val="1"/>
        <w:rPr>
          <w:rStyle w:val="27"/>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7"/>
          <w:rFonts w:hint="eastAsia" w:ascii="黑体" w:hAnsi="黑体" w:eastAsia="黑体"/>
          <w:b w:val="0"/>
        </w:rPr>
        <w:t>出决算情况说明</w:t>
      </w:r>
      <w:bookmarkEnd w:id="22"/>
      <w:bookmarkEnd w:id="23"/>
    </w:p>
    <w:p>
      <w:pPr>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2022年本年支出合计</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万元，其中：基本支出</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万元，占</w:t>
      </w:r>
      <w:r>
        <w:rPr>
          <w:rFonts w:hint="eastAsia" w:ascii="仿宋_GB2312" w:hAnsi="仿宋" w:eastAsia="仿宋_GB2312"/>
          <w:sz w:val="32"/>
          <w:szCs w:val="32"/>
          <w:lang w:val="en-US" w:eastAsia="zh-CN"/>
        </w:rPr>
        <w:t>100</w:t>
      </w:r>
      <w:r>
        <w:rPr>
          <w:rFonts w:hint="eastAsia" w:ascii="仿宋_GB2312" w:hAnsi="仿宋" w:eastAsia="仿宋_GB2312"/>
          <w:sz w:val="32"/>
          <w:szCs w:val="32"/>
        </w:rPr>
        <w:t>%。</w:t>
      </w:r>
    </w:p>
    <w:p>
      <w:pPr>
        <w:snapToGrid w:val="0"/>
        <w:spacing w:line="560" w:lineRule="exact"/>
        <w:ind w:firstLine="640" w:firstLineChars="200"/>
        <w:rPr>
          <w:rFonts w:ascii="仿宋_GB2312" w:eastAsia="仿宋_GB2312"/>
          <w:sz w:val="32"/>
          <w:szCs w:val="32"/>
        </w:rPr>
      </w:pPr>
      <w:r>
        <w:rPr>
          <w:rFonts w:hint="eastAsia" w:eastAsia="仿宋_GB2312"/>
          <w:sz w:val="32"/>
          <w:szCs w:val="32"/>
          <w:lang w:eastAsia="zh-CN"/>
        </w:rPr>
        <w:pict>
          <v:shape id="_x0000_s1028" o:spid="_x0000_s1028" o:spt="75" type="#_x0000_t75" style="position:absolute;left:0pt;margin-left:48pt;margin-top:13.7pt;height:137.7pt;width:226.75pt;mso-wrap-distance-bottom:0pt;mso-wrap-distance-top:0pt;z-index:251665408;mso-width-relative:page;mso-height-relative:page;" o:ole="t" filled="f" o:preferrelative="t" stroked="f" coordsize="21600,21600">
            <v:path/>
            <v:fill on="f" focussize="0,0"/>
            <v:stroke on="f"/>
            <v:imagedata r:id="rId11" o:title=""/>
            <o:lock v:ext="edit" aspectratio="t"/>
            <w10:wrap type="topAndBottom"/>
          </v:shape>
          <o:OLEObject Type="Embed" ProgID="Excel.Chart.8" ShapeID="_x0000_s1028" DrawAspect="Content" ObjectID="_1468075727" r:id="rId10">
            <o:LockedField>false</o:LockedField>
          </o:OLEObject>
        </w:pict>
      </w:r>
      <w:r>
        <w:rPr>
          <w:rFonts w:hint="eastAsia" w:ascii="仿宋_GB2312" w:hAnsi="仿宋" w:eastAsia="仿宋_GB2312"/>
          <w:sz w:val="32"/>
          <w:szCs w:val="32"/>
        </w:rPr>
        <w:t>（图3：支出决算结构图）（饼状图）</w:t>
      </w:r>
    </w:p>
    <w:p>
      <w:pPr>
        <w:spacing w:line="600" w:lineRule="exact"/>
        <w:ind w:firstLine="640" w:firstLineChars="200"/>
        <w:outlineLvl w:val="1"/>
        <w:rPr>
          <w:rStyle w:val="27"/>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pPr>
        <w:snapToGrid w:val="0"/>
        <w:spacing w:line="560" w:lineRule="exact"/>
        <w:ind w:firstLine="640" w:firstLineChars="200"/>
        <w:rPr>
          <w:rFonts w:hint="eastAsia" w:ascii="仿宋" w:hAnsi="仿宋" w:eastAsia="仿宋"/>
          <w:sz w:val="32"/>
          <w:szCs w:val="32"/>
        </w:rPr>
      </w:pPr>
      <w:r>
        <w:rPr>
          <w:rFonts w:hint="eastAsia" w:ascii="仿宋_GB2312" w:hAnsi="仿宋" w:eastAsia="仿宋_GB2312"/>
          <w:sz w:val="32"/>
          <w:szCs w:val="32"/>
        </w:rPr>
        <w:t>2022年度收</w:t>
      </w:r>
      <w:r>
        <w:rPr>
          <w:rFonts w:hint="eastAsia" w:ascii="仿宋_GB2312" w:hAnsi="仿宋" w:eastAsia="仿宋_GB2312"/>
          <w:sz w:val="32"/>
          <w:szCs w:val="32"/>
          <w:lang w:eastAsia="zh-CN"/>
        </w:rPr>
        <w:t>入、支出</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万元。与2021年相比，收</w:t>
      </w:r>
      <w:r>
        <w:rPr>
          <w:rFonts w:hint="eastAsia" w:ascii="仿宋_GB2312" w:hAnsi="仿宋" w:eastAsia="仿宋_GB2312"/>
          <w:sz w:val="32"/>
          <w:szCs w:val="32"/>
          <w:lang w:eastAsia="zh-CN"/>
        </w:rPr>
        <w:t>入、支出</w:t>
      </w:r>
      <w:r>
        <w:rPr>
          <w:rFonts w:hint="eastAsia" w:ascii="仿宋_GB2312" w:hAnsi="仿宋" w:eastAsia="仿宋_GB2312"/>
          <w:sz w:val="32"/>
          <w:szCs w:val="32"/>
        </w:rPr>
        <w:t>总计各增加</w:t>
      </w:r>
      <w:r>
        <w:rPr>
          <w:rFonts w:hint="eastAsia" w:ascii="仿宋_GB2312" w:hAnsi="仿宋" w:eastAsia="仿宋_GB2312"/>
          <w:sz w:val="32"/>
          <w:szCs w:val="32"/>
          <w:lang w:val="en-US" w:eastAsia="zh-CN"/>
        </w:rPr>
        <w:t>35.31</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6.63</w:t>
      </w:r>
      <w:r>
        <w:rPr>
          <w:rFonts w:hint="eastAsia" w:ascii="仿宋_GB2312" w:hAnsi="仿宋" w:eastAsia="仿宋_GB2312"/>
          <w:sz w:val="32"/>
          <w:szCs w:val="32"/>
        </w:rPr>
        <w:t>%。主要变动原因是</w:t>
      </w:r>
      <w:r>
        <w:rPr>
          <w:rFonts w:hint="eastAsia" w:ascii="仿宋_GB2312" w:hAnsi="仿宋" w:eastAsia="仿宋_GB2312"/>
          <w:sz w:val="32"/>
          <w:szCs w:val="32"/>
          <w:lang w:val="en-US" w:eastAsia="zh-CN"/>
        </w:rPr>
        <w:t>人员工资调整及社保调整</w:t>
      </w:r>
      <w:r>
        <w:rPr>
          <w:rFonts w:hint="eastAsia" w:ascii="仿宋_GB2312" w:hAnsi="仿宋" w:eastAsia="仿宋_GB2312"/>
          <w:sz w:val="32"/>
          <w:szCs w:val="32"/>
        </w:rPr>
        <w:t>。</w:t>
      </w:r>
    </w:p>
    <w:p>
      <w:pPr>
        <w:spacing w:line="600" w:lineRule="exact"/>
        <w:ind w:firstLine="640" w:firstLineChars="200"/>
        <w:rPr>
          <w:rFonts w:ascii="仿宋" w:hAnsi="仿宋" w:eastAsia="仿宋"/>
          <w:b/>
          <w:sz w:val="32"/>
          <w:szCs w:val="32"/>
        </w:rPr>
      </w:pPr>
      <w:r>
        <w:rPr>
          <w:rFonts w:eastAsia="仿宋_GB2312"/>
          <w:sz w:val="32"/>
          <w:szCs w:val="32"/>
        </w:rPr>
        <w:pict>
          <v:shape id="_x0000_s1029" o:spid="_x0000_s1029" o:spt="75" type="#_x0000_t75" style="position:absolute;left:0pt;margin-left:43.6pt;margin-top:8.1pt;height:137.7pt;width:226.75pt;mso-wrap-distance-bottom:0pt;mso-wrap-distance-top:0pt;z-index:251675648;mso-width-relative:page;mso-height-relative:page;" o:ole="t" filled="f" o:preferrelative="t" stroked="f" coordsize="21600,21600">
            <v:path/>
            <v:fill on="f" focussize="0,0"/>
            <v:stroke on="f"/>
            <v:imagedata r:id="rId13" o:title=""/>
            <o:lock v:ext="edit" aspectratio="t"/>
            <w10:wrap type="topAndBottom"/>
          </v:shape>
          <o:OLEObject Type="Embed" ProgID="Excel.Chart.8" ShapeID="_x0000_s1029" DrawAspect="Content" ObjectID="_1468075728" r:id="rId12">
            <o:LockedField>false</o:LockedField>
          </o:OLEObject>
        </w:pict>
      </w:r>
      <w:r>
        <w:rPr>
          <w:rFonts w:hint="eastAsia" w:ascii="仿宋_GB2312" w:hAnsi="仿宋" w:eastAsia="仿宋_GB2312"/>
          <w:sz w:val="32"/>
          <w:szCs w:val="32"/>
        </w:rPr>
        <w:t>（图4：财政拨款收、支决算总计变动情况）（柱状图）</w:t>
      </w:r>
    </w:p>
    <w:p>
      <w:pPr>
        <w:spacing w:line="600" w:lineRule="exact"/>
        <w:ind w:firstLine="640" w:firstLineChars="200"/>
        <w:outlineLvl w:val="1"/>
        <w:rPr>
          <w:rStyle w:val="27"/>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napToGrid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2022年一般公共预算财政拨款支出</w:t>
      </w:r>
      <w:r>
        <w:rPr>
          <w:rFonts w:hint="eastAsia" w:ascii="仿宋_GB2312" w:hAnsi="仿宋" w:eastAsia="仿宋_GB2312"/>
          <w:sz w:val="32"/>
          <w:szCs w:val="32"/>
          <w:lang w:val="en-US" w:eastAsia="zh-CN"/>
        </w:rPr>
        <w:t>568.28</w:t>
      </w:r>
      <w:r>
        <w:rPr>
          <w:rFonts w:hint="eastAsia" w:ascii="仿宋_GB2312" w:hAnsi="仿宋" w:eastAsia="仿宋_GB2312"/>
          <w:sz w:val="32"/>
          <w:szCs w:val="32"/>
        </w:rPr>
        <w:t>万元，占本年支出合计的</w:t>
      </w:r>
      <w:r>
        <w:rPr>
          <w:rFonts w:hint="eastAsia" w:ascii="仿宋_GB2312" w:hAnsi="仿宋" w:eastAsia="仿宋_GB2312"/>
          <w:sz w:val="32"/>
          <w:szCs w:val="32"/>
          <w:lang w:val="en-US" w:eastAsia="zh-CN"/>
        </w:rPr>
        <w:t>100</w:t>
      </w:r>
      <w:r>
        <w:rPr>
          <w:rFonts w:hint="eastAsia" w:ascii="仿宋_GB2312" w:hAnsi="仿宋" w:eastAsia="仿宋_GB2312"/>
          <w:sz w:val="32"/>
          <w:szCs w:val="32"/>
        </w:rPr>
        <w:t>%。与2021年相比，一般公共预算财政拨款支出增加</w:t>
      </w:r>
      <w:r>
        <w:rPr>
          <w:rFonts w:hint="eastAsia" w:ascii="仿宋_GB2312" w:hAnsi="仿宋" w:eastAsia="仿宋_GB2312"/>
          <w:sz w:val="32"/>
          <w:szCs w:val="32"/>
          <w:lang w:val="en-US" w:eastAsia="zh-CN"/>
        </w:rPr>
        <w:t>35.31</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6.63</w:t>
      </w:r>
      <w:r>
        <w:rPr>
          <w:rFonts w:hint="eastAsia" w:ascii="仿宋_GB2312" w:hAnsi="仿宋" w:eastAsia="仿宋_GB2312"/>
          <w:sz w:val="32"/>
          <w:szCs w:val="32"/>
        </w:rPr>
        <w:t>%。主要变动原因</w:t>
      </w:r>
      <w:r>
        <w:rPr>
          <w:rFonts w:hint="eastAsia" w:ascii="仿宋_GB2312" w:hAnsi="仿宋" w:eastAsia="仿宋_GB2312"/>
          <w:sz w:val="32"/>
          <w:szCs w:val="32"/>
          <w:lang w:val="en-US" w:eastAsia="zh-CN"/>
        </w:rPr>
        <w:t>人员工资调整及社保调整</w:t>
      </w:r>
    </w:p>
    <w:p>
      <w:pPr>
        <w:snapToGrid w:val="0"/>
        <w:spacing w:line="560" w:lineRule="exact"/>
        <w:ind w:firstLine="640" w:firstLineChars="200"/>
        <w:rPr>
          <w:rFonts w:ascii="仿宋" w:hAnsi="仿宋" w:eastAsia="仿宋"/>
          <w:sz w:val="32"/>
          <w:szCs w:val="32"/>
        </w:rPr>
      </w:pPr>
      <w:r>
        <w:rPr>
          <w:rFonts w:hint="eastAsia" w:eastAsia="仿宋_GB2312"/>
          <w:sz w:val="32"/>
          <w:szCs w:val="32"/>
          <w:lang w:eastAsia="zh-CN"/>
        </w:rPr>
        <w:pict>
          <v:shape id="_x0000_s1030" o:spid="_x0000_s1030" o:spt="75" type="#_x0000_t75" style="position:absolute;left:0pt;margin-left:49.3pt;margin-top:9.45pt;height:129.25pt;width:226.75pt;mso-wrap-distance-bottom:0pt;mso-wrap-distance-top:0pt;z-index:251691008;mso-width-relative:page;mso-height-relative:page;" o:ole="t" filled="f" o:preferrelative="t" stroked="f" coordsize="21600,21600">
            <v:path/>
            <v:fill on="f" focussize="0,0"/>
            <v:stroke on="f"/>
            <v:imagedata r:id="rId15" o:title=""/>
            <o:lock v:ext="edit" aspectratio="t"/>
            <w10:wrap type="topAndBottom"/>
          </v:shape>
          <o:OLEObject Type="Embed" ProgID="Excel.Chart.8" ShapeID="_x0000_s1030" DrawAspect="Content" ObjectID="_1468075729" r:id="rId14">
            <o:LockedField>false</o:LockedField>
          </o:OLEObject>
        </w:pict>
      </w:r>
      <w:r>
        <w:rPr>
          <w:rFonts w:hint="eastAsia" w:ascii="仿宋_GB2312" w:hAnsi="仿宋" w:eastAsia="仿宋_GB2312"/>
          <w:sz w:val="32"/>
          <w:szCs w:val="32"/>
        </w:rPr>
        <w:t>（图5：一般公共预算财政拨款支出决算变动情况）（柱状图）</w:t>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sz w:val="32"/>
          <w:szCs w:val="32"/>
        </w:rPr>
      </w:pPr>
      <w:r>
        <w:rPr>
          <w:rFonts w:hint="eastAsia" w:ascii="仿宋_GB2312" w:hAnsi="仿宋" w:eastAsia="仿宋_GB2312"/>
          <w:sz w:val="32"/>
          <w:szCs w:val="32"/>
          <w:lang w:val="en-US" w:eastAsia="zh-CN"/>
        </w:rPr>
        <w:t>2022年一般公共预算财政拨款支出568.28万元，主要用于以下方面:公共安全支出（类）448.8万元，占78.98%；社会保障和就业支出（类）43.8万元，占7.7%；卫生健康支出（类）39.37万元，占6.93%；住房保障支出（类）36.31万元，占6.39%。</w:t>
      </w:r>
    </w:p>
    <w:p>
      <w:pPr>
        <w:spacing w:line="600" w:lineRule="exact"/>
        <w:ind w:firstLine="640" w:firstLineChars="200"/>
        <w:rPr>
          <w:rFonts w:ascii="仿宋" w:hAnsi="仿宋" w:eastAsia="仿宋"/>
          <w:sz w:val="32"/>
          <w:szCs w:val="32"/>
        </w:rPr>
      </w:pPr>
      <w:r>
        <w:rPr>
          <w:rFonts w:hint="eastAsia" w:eastAsia="仿宋_GB2312"/>
          <w:sz w:val="32"/>
          <w:szCs w:val="32"/>
          <w:lang w:eastAsia="zh-CN"/>
        </w:rPr>
        <w:pict>
          <v:shape id="_x0000_s1031" o:spid="_x0000_s1031" o:spt="75" type="#_x0000_t75" style="position:absolute;left:0pt;margin-left:43.9pt;margin-top:15.95pt;height:136.05pt;width:226.75pt;mso-wrap-distance-bottom:0pt;mso-wrap-distance-top:0pt;z-index:251742208;mso-width-relative:page;mso-height-relative:page;" o:ole="t" filled="f" o:preferrelative="t" stroked="f" coordsize="21600,21600">
            <v:path/>
            <v:fill on="f" focussize="0,0"/>
            <v:stroke on="f"/>
            <v:imagedata r:id="rId17" o:title=""/>
            <o:lock v:ext="edit" aspectratio="t"/>
            <w10:wrap type="topAndBottom"/>
          </v:shape>
          <o:OLEObject Type="Embed" ProgID="Excel.Chart.8" ShapeID="_x0000_s1031" DrawAspect="Content" ObjectID="_1468075730" r:id="rId16">
            <o:LockedField>false</o:LockedField>
          </o:OLEObject>
        </w:pict>
      </w:r>
      <w:r>
        <w:rPr>
          <w:rFonts w:hint="eastAsia" w:ascii="仿宋_GB2312" w:hAnsi="仿宋" w:eastAsia="仿宋_GB2312"/>
          <w:sz w:val="32"/>
          <w:szCs w:val="32"/>
          <w:lang w:val="en-US" w:eastAsia="zh-CN"/>
        </w:rPr>
        <w:t>（图6：一般公共预算财政拨款支出决算结构）（饼状图）</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8460"/>
      <w:bookmarkStart w:id="32" w:name="_Toc15377444"/>
      <w:bookmarkStart w:id="33" w:name="_Toc15377213"/>
      <w:r>
        <w:rPr>
          <w:rFonts w:hint="eastAsia" w:ascii="仿宋" w:hAnsi="仿宋" w:eastAsia="仿宋"/>
          <w:b/>
          <w:sz w:val="32"/>
          <w:szCs w:val="32"/>
        </w:rPr>
        <w:t>2022年一般公共预算支出决算数为</w:t>
      </w:r>
      <w:r>
        <w:rPr>
          <w:rFonts w:hint="eastAsia" w:ascii="仿宋" w:hAnsi="仿宋" w:eastAsia="仿宋"/>
          <w:b/>
          <w:sz w:val="32"/>
          <w:szCs w:val="32"/>
          <w:lang w:val="en-US" w:eastAsia="zh-CN"/>
        </w:rPr>
        <w:t>568.28万元</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600" w:lineRule="exact"/>
        <w:ind w:firstLine="643" w:firstLineChars="200"/>
        <w:rPr>
          <w:rFonts w:hint="eastAsia" w:ascii="仿宋_GB2312" w:hAnsi="仿宋" w:eastAsia="仿宋_GB2312"/>
          <w:sz w:val="32"/>
          <w:szCs w:val="32"/>
          <w:lang w:val="en-US" w:eastAsia="zh-CN"/>
        </w:rPr>
      </w:pPr>
      <w:r>
        <w:rPr>
          <w:rStyle w:val="16"/>
          <w:rFonts w:ascii="仿宋" w:hAnsi="仿宋" w:eastAsia="仿宋"/>
          <w:bCs/>
          <w:sz w:val="32"/>
          <w:szCs w:val="32"/>
        </w:rPr>
        <w:t>1.</w:t>
      </w:r>
      <w:r>
        <w:rPr>
          <w:rStyle w:val="16"/>
          <w:rFonts w:hint="eastAsia" w:ascii="仿宋" w:hAnsi="仿宋" w:eastAsia="仿宋"/>
          <w:bCs/>
          <w:sz w:val="32"/>
          <w:szCs w:val="32"/>
          <w:lang w:eastAsia="zh-CN"/>
        </w:rPr>
        <w:t>公共安全支出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公安</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行政运行</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支出决算为448.8万元，完成预算100%，决算数与预算数持平。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2</w:t>
      </w:r>
      <w:r>
        <w:rPr>
          <w:rStyle w:val="16"/>
          <w:rFonts w:ascii="仿宋" w:hAnsi="仿宋" w:eastAsia="仿宋"/>
          <w:bCs/>
          <w:sz w:val="32"/>
          <w:szCs w:val="32"/>
        </w:rPr>
        <w:t>.</w:t>
      </w:r>
      <w:r>
        <w:rPr>
          <w:rStyle w:val="16"/>
          <w:rFonts w:hint="eastAsia" w:ascii="仿宋" w:hAnsi="仿宋" w:eastAsia="仿宋"/>
          <w:bCs/>
          <w:sz w:val="32"/>
          <w:szCs w:val="32"/>
          <w:lang w:eastAsia="zh-CN"/>
        </w:rPr>
        <w:t>社会保障和就业支出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行政事业单位养老支出</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行政单位离退休</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支出决算为2.37万元，完成预算100%，决算数与预算数持平。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3</w:t>
      </w:r>
      <w:r>
        <w:rPr>
          <w:rStyle w:val="16"/>
          <w:rFonts w:ascii="仿宋" w:hAnsi="仿宋" w:eastAsia="仿宋"/>
          <w:bCs/>
          <w:sz w:val="32"/>
          <w:szCs w:val="32"/>
        </w:rPr>
        <w:t>.</w:t>
      </w:r>
      <w:r>
        <w:rPr>
          <w:rStyle w:val="16"/>
          <w:rFonts w:hint="eastAsia" w:ascii="仿宋" w:hAnsi="仿宋" w:eastAsia="仿宋"/>
          <w:bCs/>
          <w:sz w:val="32"/>
          <w:szCs w:val="32"/>
          <w:lang w:eastAsia="zh-CN"/>
        </w:rPr>
        <w:t>社会保障和就业支出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行政事业单位养老支出</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机关事业单位基本养老保险缴费支出</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支出决算为35.03万元，完成预算100%，决算数与预算数持平。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4</w:t>
      </w:r>
      <w:r>
        <w:rPr>
          <w:rStyle w:val="16"/>
          <w:rFonts w:ascii="仿宋" w:hAnsi="仿宋" w:eastAsia="仿宋"/>
          <w:bCs/>
          <w:sz w:val="32"/>
          <w:szCs w:val="32"/>
        </w:rPr>
        <w:t>.</w:t>
      </w:r>
      <w:r>
        <w:rPr>
          <w:rStyle w:val="16"/>
          <w:rFonts w:hint="eastAsia" w:ascii="仿宋" w:hAnsi="仿宋" w:eastAsia="仿宋"/>
          <w:bCs/>
          <w:sz w:val="32"/>
          <w:szCs w:val="32"/>
          <w:lang w:eastAsia="zh-CN"/>
        </w:rPr>
        <w:t>社会保障和就业支出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行政事业单位养老支出</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机关事业单位职业年金缴费支出</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支出决算为6.39万元，完成预算100%，决算数与预算数持平。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5</w:t>
      </w:r>
      <w:r>
        <w:rPr>
          <w:rStyle w:val="16"/>
          <w:rFonts w:ascii="仿宋" w:hAnsi="仿宋" w:eastAsia="仿宋"/>
          <w:bCs/>
          <w:sz w:val="32"/>
          <w:szCs w:val="32"/>
        </w:rPr>
        <w:t>.</w:t>
      </w:r>
      <w:r>
        <w:rPr>
          <w:rStyle w:val="16"/>
          <w:rFonts w:hint="eastAsia" w:ascii="仿宋" w:hAnsi="仿宋" w:eastAsia="仿宋"/>
          <w:bCs/>
          <w:sz w:val="32"/>
          <w:szCs w:val="32"/>
          <w:lang w:eastAsia="zh-CN"/>
        </w:rPr>
        <w:t>卫生健康支出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行政事业单位医疗</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行政单位医疗</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支出决算为26.07万元，完成预算100%，决算数与预算数持平。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6</w:t>
      </w:r>
      <w:r>
        <w:rPr>
          <w:rStyle w:val="16"/>
          <w:rFonts w:ascii="仿宋" w:hAnsi="仿宋" w:eastAsia="仿宋"/>
          <w:bCs/>
          <w:sz w:val="32"/>
          <w:szCs w:val="32"/>
        </w:rPr>
        <w:t>.</w:t>
      </w:r>
      <w:r>
        <w:rPr>
          <w:rStyle w:val="16"/>
          <w:rFonts w:hint="eastAsia" w:ascii="仿宋" w:hAnsi="仿宋" w:eastAsia="仿宋"/>
          <w:bCs/>
          <w:sz w:val="32"/>
          <w:szCs w:val="32"/>
          <w:lang w:eastAsia="zh-CN"/>
        </w:rPr>
        <w:t>卫生健康支出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行政事业单位医疗</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公务员医疗补助</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支出决算为13.29万元，完成预算100%，决算数与预算数持平。</w:t>
      </w:r>
    </w:p>
    <w:p>
      <w:pPr>
        <w:spacing w:line="600" w:lineRule="exact"/>
        <w:ind w:firstLine="643" w:firstLineChars="200"/>
        <w:rPr>
          <w:rFonts w:ascii="仿宋" w:hAnsi="仿宋" w:eastAsia="仿宋"/>
          <w:b/>
          <w:sz w:val="32"/>
          <w:szCs w:val="32"/>
        </w:rPr>
      </w:pPr>
      <w:r>
        <w:rPr>
          <w:rStyle w:val="16"/>
          <w:rFonts w:hint="eastAsia" w:ascii="仿宋" w:hAnsi="仿宋" w:eastAsia="仿宋"/>
          <w:bCs/>
          <w:sz w:val="32"/>
          <w:szCs w:val="32"/>
          <w:lang w:val="en-US" w:eastAsia="zh-CN"/>
        </w:rPr>
        <w:t>7</w:t>
      </w:r>
      <w:r>
        <w:rPr>
          <w:rStyle w:val="16"/>
          <w:rFonts w:ascii="仿宋" w:hAnsi="仿宋" w:eastAsia="仿宋"/>
          <w:bCs/>
          <w:sz w:val="32"/>
          <w:szCs w:val="32"/>
        </w:rPr>
        <w:t>.</w:t>
      </w:r>
      <w:r>
        <w:rPr>
          <w:rStyle w:val="16"/>
          <w:rFonts w:hint="eastAsia" w:ascii="仿宋" w:hAnsi="仿宋" w:eastAsia="仿宋"/>
          <w:bCs/>
          <w:sz w:val="32"/>
          <w:szCs w:val="32"/>
          <w:lang w:eastAsia="zh-CN"/>
        </w:rPr>
        <w:t>住房保障支出</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住房改革支出</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住房公积金</w:t>
      </w:r>
      <w:r>
        <w:rPr>
          <w:rStyle w:val="16"/>
          <w:rFonts w:hint="eastAsia" w:ascii="仿宋" w:hAnsi="仿宋" w:eastAsia="仿宋"/>
          <w:bCs/>
          <w:sz w:val="32"/>
          <w:szCs w:val="32"/>
        </w:rPr>
        <w:t>（项）</w:t>
      </w:r>
      <w:r>
        <w:rPr>
          <w:rStyle w:val="16"/>
          <w:rFonts w:ascii="仿宋" w:hAnsi="仿宋" w:eastAsia="仿宋"/>
          <w:bCs/>
          <w:sz w:val="32"/>
          <w:szCs w:val="32"/>
        </w:rPr>
        <w:t>:</w:t>
      </w:r>
      <w:r>
        <w:rPr>
          <w:rFonts w:hint="eastAsia" w:ascii="仿宋_GB2312" w:hAnsi="仿宋" w:eastAsia="仿宋_GB2312"/>
          <w:sz w:val="32"/>
          <w:szCs w:val="32"/>
          <w:lang w:val="en-US" w:eastAsia="zh-CN"/>
        </w:rPr>
        <w:t>支出决算为36.31万元，完成预算100%，决算数与预算数持平。</w:t>
      </w:r>
      <w:r>
        <w:rPr>
          <w:rFonts w:hint="eastAsia" w:ascii="仿宋" w:hAnsi="仿宋" w:eastAsia="仿宋"/>
          <w:b/>
          <w:sz w:val="32"/>
          <w:szCs w:val="32"/>
          <w:lang w:val="en-US" w:eastAsia="zh-CN"/>
        </w:rPr>
        <w:tab/>
      </w:r>
    </w:p>
    <w:p>
      <w:pPr>
        <w:tabs>
          <w:tab w:val="right" w:pos="8306"/>
        </w:tabs>
        <w:spacing w:line="600" w:lineRule="exact"/>
        <w:ind w:firstLine="640"/>
        <w:outlineLvl w:val="1"/>
        <w:rPr>
          <w:rStyle w:val="27"/>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4"/>
      <w:bookmarkEnd w:id="35"/>
      <w:r>
        <w:rPr>
          <w:rStyle w:val="27"/>
          <w:rFonts w:ascii="黑体" w:hAnsi="黑体" w:eastAsia="黑体"/>
          <w:b w:val="0"/>
        </w:rPr>
        <w:tab/>
      </w:r>
    </w:p>
    <w:p>
      <w:pPr>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2022年一般公共预算财政拨款基本支出568.28万元，其中：</w:t>
      </w:r>
    </w:p>
    <w:p>
      <w:pPr>
        <w:spacing w:line="600" w:lineRule="exact"/>
        <w:ind w:firstLine="640" w:firstLineChars="200"/>
      </w:pPr>
      <w:r>
        <w:rPr>
          <w:rFonts w:hint="eastAsia" w:ascii="仿宋_GB2312" w:hAnsi="仿宋" w:eastAsia="仿宋_GB2312"/>
          <w:sz w:val="32"/>
          <w:szCs w:val="32"/>
          <w:lang w:val="en-US" w:eastAsia="zh-CN"/>
        </w:rPr>
        <w:t>人员经费503.27万元，主要包括：基本工资、津贴补贴、奖金、机关事业单位基本养老保险缴费、职业年金缴费、其他社会保障缴费、其他工资福利支出、生活补助、医疗费补助、奖励金、住房公积金等。</w:t>
      </w:r>
      <w:r>
        <w:rPr>
          <w:rFonts w:hint="eastAsia" w:ascii="仿宋_GB2312" w:hAnsi="仿宋" w:eastAsia="仿宋_GB2312"/>
          <w:sz w:val="32"/>
          <w:szCs w:val="32"/>
          <w:lang w:val="en-US" w:eastAsia="zh-CN"/>
        </w:rPr>
        <w:br w:type="textWrapping"/>
      </w:r>
      <w:r>
        <w:rPr>
          <w:rFonts w:hint="eastAsia" w:ascii="仿宋_GB2312" w:hAnsi="仿宋" w:eastAsia="仿宋_GB2312"/>
          <w:sz w:val="32"/>
          <w:szCs w:val="32"/>
          <w:lang w:val="en-US" w:eastAsia="zh-CN"/>
        </w:rPr>
        <w:t>　　公用经费65.01万元，主要包括：办公费、印刷费、水费、电费、邮电费、差旅费、维修（护）费、劳务费、委托业务费、工会经费、福利费、其他交通费、其他商品和服务支出、办公设备购置、专用设备购置、信息网络及软件购置更新、其他资本性支出等。</w:t>
      </w:r>
    </w:p>
    <w:p>
      <w:pPr>
        <w:spacing w:line="600" w:lineRule="exact"/>
        <w:ind w:firstLine="640"/>
        <w:outlineLvl w:val="1"/>
        <w:rPr>
          <w:rStyle w:val="27"/>
          <w:rFonts w:ascii="黑体" w:hAnsi="黑体" w:eastAsia="黑体"/>
          <w:b w:val="0"/>
        </w:rPr>
      </w:pPr>
      <w:bookmarkStart w:id="36" w:name="_Toc15396609"/>
      <w:bookmarkStart w:id="37" w:name="_Toc15377215"/>
      <w:r>
        <w:rPr>
          <w:rFonts w:hint="eastAsia" w:ascii="黑体" w:eastAsia="黑体"/>
          <w:sz w:val="32"/>
          <w:szCs w:val="32"/>
        </w:rPr>
        <w:t>七、</w:t>
      </w:r>
      <w:r>
        <w:rPr>
          <w:rStyle w:val="27"/>
          <w:rFonts w:hint="eastAsia" w:ascii="黑体" w:hAnsi="黑体" w:eastAsia="黑体"/>
          <w:b w:val="0"/>
        </w:rPr>
        <w:t>财政拨款</w:t>
      </w:r>
      <w:r>
        <w:rPr>
          <w:rStyle w:val="27"/>
          <w:rFonts w:hint="eastAsia" w:ascii="黑体" w:hAnsi="黑体" w:eastAsia="黑体"/>
        </w:rPr>
        <w:t>“</w:t>
      </w:r>
      <w:r>
        <w:rPr>
          <w:rStyle w:val="27"/>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hint="eastAsia" w:ascii="仿宋_GB2312" w:hAnsi="仿宋" w:eastAsia="仿宋_GB2312"/>
          <w:sz w:val="32"/>
          <w:szCs w:val="32"/>
          <w:lang w:val="en-US" w:eastAsia="zh-CN"/>
        </w:rPr>
        <w:t>2022年“三公”经费财政拨款支出决算为0万元，决算数与预算数持平，原因是盐边县公安局交通警察大队车辆由盐边县公安局统筹管理，车辆资产、运行维护费均在盐边县公安局列支。</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2022年“三公”经费财政拨款支出决算中，因公出国（境）费支出决算0万元；公务用车购置及运行维护费支出决算0万元；公务接待费支出决算0万元。具体情况如下：</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与</w:t>
      </w:r>
      <w:r>
        <w:rPr>
          <w:rFonts w:hint="eastAsia" w:ascii="仿宋_GB2312" w:eastAsia="仿宋_GB2312"/>
          <w:sz w:val="32"/>
          <w:szCs w:val="32"/>
          <w:lang w:val="en-US" w:eastAsia="zh-CN"/>
        </w:rPr>
        <w:t>2021年持平</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w:t>
      </w:r>
      <w:bookmarkStart w:id="55" w:name="_GoBack"/>
      <w:bookmarkEnd w:id="55"/>
      <w:r>
        <w:rPr>
          <w:rFonts w:hint="eastAsia" w:ascii="仿宋_GB2312" w:eastAsia="仿宋_GB2312"/>
          <w:b/>
          <w:sz w:val="32"/>
          <w:szCs w:val="32"/>
        </w:rPr>
        <w:t>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与</w:t>
      </w:r>
      <w:r>
        <w:rPr>
          <w:rFonts w:hint="eastAsia" w:ascii="仿宋_GB2312" w:eastAsia="仿宋_GB2312"/>
          <w:sz w:val="32"/>
          <w:szCs w:val="32"/>
          <w:lang w:val="en-US" w:eastAsia="zh-CN"/>
        </w:rPr>
        <w:t>2021年持平</w:t>
      </w:r>
      <w:r>
        <w:rPr>
          <w:rFonts w:hint="eastAsia" w:ascii="仿宋_GB2312" w:eastAsia="仿宋_GB2312"/>
          <w:sz w:val="32"/>
          <w:szCs w:val="32"/>
        </w:rPr>
        <w:t>。主要原因是</w:t>
      </w:r>
      <w:r>
        <w:rPr>
          <w:rFonts w:hint="eastAsia" w:ascii="仿宋_GB2312" w:eastAsia="仿宋_GB2312"/>
          <w:sz w:val="32"/>
          <w:szCs w:val="32"/>
          <w:lang w:eastAsia="zh-CN"/>
        </w:rPr>
        <w:t>盐边县公安局交通警察大队车辆由盐边县公安局统筹管理，车辆资产、运行维护费均在盐边县公安局列支</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lang w:eastAsia="zh-CN"/>
        </w:rPr>
        <w:t>万元。</w:t>
      </w:r>
    </w:p>
    <w:p>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hint="eastAsia"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万元。公务接待费支出决算</w:t>
      </w:r>
      <w:r>
        <w:rPr>
          <w:rFonts w:hint="eastAsia" w:ascii="仿宋_GB2312" w:eastAsia="仿宋_GB2312"/>
          <w:sz w:val="32"/>
          <w:szCs w:val="32"/>
          <w:lang w:eastAsia="zh-CN"/>
        </w:rPr>
        <w:t>与</w:t>
      </w:r>
      <w:r>
        <w:rPr>
          <w:rFonts w:hint="eastAsia" w:ascii="仿宋_GB2312" w:eastAsia="仿宋_GB2312"/>
          <w:sz w:val="32"/>
          <w:szCs w:val="32"/>
          <w:lang w:val="en-US" w:eastAsia="zh-CN"/>
        </w:rPr>
        <w:t>2021年持平</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_GB2312" w:eastAsia="仿宋_GB2312"/>
          <w:sz w:val="32"/>
          <w:szCs w:val="32"/>
          <w:lang w:val="en-US" w:eastAsia="zh-CN"/>
        </w:rPr>
        <w:t>0万元。</w:t>
      </w:r>
      <w:bookmarkStart w:id="40" w:name="_Toc15396610"/>
      <w:bookmarkStart w:id="41" w:name="_Toc15377218"/>
    </w:p>
    <w:p>
      <w:pPr>
        <w:spacing w:line="600" w:lineRule="exact"/>
        <w:ind w:firstLine="640"/>
        <w:outlineLvl w:val="1"/>
        <w:rPr>
          <w:rStyle w:val="27"/>
          <w:rFonts w:ascii="黑体" w:hAnsi="黑体" w:eastAsia="黑体"/>
        </w:rPr>
      </w:pPr>
      <w:r>
        <w:rPr>
          <w:rFonts w:hint="eastAsia" w:ascii="黑体" w:eastAsia="黑体"/>
          <w:sz w:val="32"/>
          <w:szCs w:val="32"/>
        </w:rPr>
        <w:t>八、</w:t>
      </w:r>
      <w:r>
        <w:rPr>
          <w:rStyle w:val="27"/>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2"/>
        </w:numPr>
        <w:spacing w:line="600" w:lineRule="exact"/>
        <w:ind w:firstLine="640"/>
        <w:outlineLvl w:val="1"/>
        <w:rPr>
          <w:rStyle w:val="27"/>
          <w:rFonts w:ascii="黑体" w:hAnsi="黑体" w:eastAsia="黑体"/>
          <w:b w:val="0"/>
        </w:rPr>
      </w:pPr>
      <w:bookmarkStart w:id="42" w:name="_Toc15377219"/>
      <w:bookmarkStart w:id="43" w:name="_Toc15396611"/>
      <w:r>
        <w:rPr>
          <w:rStyle w:val="27"/>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2"/>
        </w:numPr>
        <w:spacing w:line="600" w:lineRule="exact"/>
        <w:ind w:firstLine="640"/>
        <w:outlineLvl w:val="1"/>
        <w:rPr>
          <w:rStyle w:val="27"/>
          <w:rFonts w:ascii="黑体" w:hAnsi="黑体" w:eastAsia="黑体"/>
          <w:b w:val="0"/>
        </w:rPr>
      </w:pPr>
      <w:bookmarkStart w:id="44" w:name="_Toc15377221"/>
      <w:bookmarkStart w:id="45" w:name="_Toc15396612"/>
      <w:r>
        <w:rPr>
          <w:rStyle w:val="27"/>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lang w:eastAsia="zh-CN"/>
        </w:rPr>
        <w:t>盐边县公安局交通警察大队</w:t>
      </w:r>
      <w:r>
        <w:rPr>
          <w:rFonts w:hint="eastAsia" w:ascii="仿宋_GB2312" w:eastAsia="仿宋_GB2312"/>
          <w:sz w:val="32"/>
          <w:szCs w:val="32"/>
        </w:rPr>
        <w:t>运行经费支出</w:t>
      </w:r>
      <w:r>
        <w:rPr>
          <w:rFonts w:hint="eastAsia" w:ascii="仿宋_GB2312" w:eastAsia="仿宋_GB2312"/>
          <w:sz w:val="32"/>
          <w:szCs w:val="32"/>
          <w:lang w:val="en-US" w:eastAsia="zh-CN"/>
        </w:rPr>
        <w:t>568.28</w:t>
      </w:r>
      <w:r>
        <w:rPr>
          <w:rFonts w:hint="eastAsia" w:ascii="仿宋_GB2312" w:eastAsia="仿宋_GB2312"/>
          <w:sz w:val="32"/>
          <w:szCs w:val="32"/>
        </w:rPr>
        <w:t>万元，比2021年增加</w:t>
      </w:r>
      <w:r>
        <w:rPr>
          <w:rFonts w:hint="eastAsia" w:ascii="仿宋_GB2312" w:eastAsia="仿宋_GB2312"/>
          <w:sz w:val="32"/>
          <w:szCs w:val="32"/>
          <w:lang w:val="en-US" w:eastAsia="zh-CN"/>
        </w:rPr>
        <w:t>35.31</w:t>
      </w:r>
      <w:r>
        <w:rPr>
          <w:rFonts w:hint="eastAsia" w:ascii="仿宋_GB2312" w:eastAsia="仿宋_GB2312"/>
          <w:sz w:val="32"/>
          <w:szCs w:val="32"/>
        </w:rPr>
        <w:t>万元，增长</w:t>
      </w:r>
      <w:r>
        <w:rPr>
          <w:rFonts w:hint="eastAsia" w:ascii="仿宋_GB2312" w:eastAsia="仿宋_GB2312"/>
          <w:sz w:val="32"/>
          <w:szCs w:val="32"/>
          <w:lang w:val="en-US" w:eastAsia="zh-CN"/>
        </w:rPr>
        <w:t>6.63</w:t>
      </w:r>
      <w:r>
        <w:rPr>
          <w:rFonts w:hint="eastAsia" w:ascii="仿宋_GB2312" w:eastAsia="仿宋_GB2312"/>
          <w:sz w:val="32"/>
          <w:szCs w:val="32"/>
        </w:rPr>
        <w:t>%。主要变动原因</w:t>
      </w:r>
      <w:r>
        <w:rPr>
          <w:rFonts w:hint="eastAsia" w:ascii="仿宋_GB2312" w:eastAsia="仿宋_GB2312"/>
          <w:sz w:val="32"/>
          <w:szCs w:val="32"/>
          <w:lang w:val="en-US" w:eastAsia="zh-CN"/>
        </w:rPr>
        <w:t>人员工资调整及社保调整。</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lang w:eastAsia="zh-CN"/>
        </w:rPr>
        <w:t>盐边县公安局交通警察大队</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截至2022年12月31日，</w:t>
      </w:r>
      <w:r>
        <w:rPr>
          <w:rFonts w:hint="eastAsia" w:ascii="仿宋_GB2312" w:eastAsia="仿宋_GB2312"/>
          <w:sz w:val="32"/>
          <w:szCs w:val="32"/>
          <w:lang w:eastAsia="zh-CN"/>
        </w:rPr>
        <w:t>盐边县公安局交通警察大队</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，资产全在盐边县公安局</w:t>
      </w:r>
      <w:r>
        <w:rPr>
          <w:rFonts w:hint="eastAsia" w:ascii="仿宋_GB2312" w:eastAsia="仿宋_GB2312"/>
          <w:sz w:val="32"/>
          <w:szCs w:val="32"/>
        </w:rPr>
        <w:t>。单价100万元以上专用设备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widowControl/>
        <w:ind w:firstLine="640" w:firstLineChars="200"/>
        <w:jc w:val="left"/>
        <w:rPr>
          <w:rFonts w:ascii="仿宋_GB2312" w:eastAsia="仿宋_GB2312"/>
          <w:b/>
          <w:sz w:val="32"/>
          <w:szCs w:val="32"/>
        </w:rPr>
      </w:pPr>
      <w:r>
        <w:rPr>
          <w:rFonts w:hint="eastAsia" w:ascii="仿宋_GB2312" w:eastAsia="仿宋_GB2312"/>
          <w:sz w:val="32"/>
          <w:szCs w:val="32"/>
          <w:lang w:eastAsia="zh-CN"/>
        </w:rPr>
        <w:t>根据预算绩效管理要求，本单位在2022年度预算编制阶段，组织对独生子女奖励费、基本工资等</w:t>
      </w:r>
      <w:r>
        <w:rPr>
          <w:rFonts w:hint="eastAsia" w:ascii="仿宋_GB2312" w:eastAsia="仿宋_GB2312"/>
          <w:sz w:val="32"/>
          <w:szCs w:val="32"/>
          <w:lang w:val="en-US" w:eastAsia="zh-CN"/>
        </w:rPr>
        <w:t>13</w:t>
      </w:r>
      <w:r>
        <w:rPr>
          <w:rFonts w:hint="eastAsia" w:ascii="仿宋_GB2312" w:eastAsia="仿宋_GB2312"/>
          <w:sz w:val="32"/>
          <w:szCs w:val="32"/>
          <w:lang w:eastAsia="zh-CN"/>
        </w:rPr>
        <w:t>个项目开展了预算事前绩效评估，对</w:t>
      </w:r>
      <w:r>
        <w:rPr>
          <w:rFonts w:hint="eastAsia" w:ascii="仿宋_GB2312" w:eastAsia="仿宋_GB2312"/>
          <w:sz w:val="32"/>
          <w:szCs w:val="32"/>
          <w:lang w:val="en-US" w:eastAsia="zh-CN"/>
        </w:rPr>
        <w:t>13</w:t>
      </w:r>
      <w:r>
        <w:rPr>
          <w:rFonts w:hint="eastAsia" w:ascii="仿宋_GB2312" w:eastAsia="仿宋_GB2312"/>
          <w:sz w:val="32"/>
          <w:szCs w:val="32"/>
          <w:lang w:eastAsia="zh-CN"/>
        </w:rPr>
        <w:t>个项目编制了绩效目标，预算执行过程中，选取</w:t>
      </w:r>
      <w:r>
        <w:rPr>
          <w:rFonts w:hint="eastAsia" w:ascii="仿宋_GB2312" w:eastAsia="仿宋_GB2312"/>
          <w:sz w:val="32"/>
          <w:szCs w:val="32"/>
          <w:lang w:val="en-US" w:eastAsia="zh-CN"/>
        </w:rPr>
        <w:t>13</w:t>
      </w:r>
      <w:r>
        <w:rPr>
          <w:rFonts w:hint="eastAsia" w:ascii="仿宋_GB2312" w:eastAsia="仿宋_GB2312"/>
          <w:sz w:val="32"/>
          <w:szCs w:val="32"/>
          <w:lang w:eastAsia="zh-CN"/>
        </w:rPr>
        <w:t>个项目开展绩效监控,组织对</w:t>
      </w:r>
      <w:r>
        <w:rPr>
          <w:rFonts w:hint="eastAsia" w:ascii="仿宋_GB2312" w:eastAsia="仿宋_GB2312"/>
          <w:sz w:val="32"/>
          <w:szCs w:val="32"/>
          <w:lang w:val="en-US" w:eastAsia="zh-CN"/>
        </w:rPr>
        <w:t>13</w:t>
      </w:r>
      <w:r>
        <w:rPr>
          <w:rFonts w:hint="eastAsia" w:ascii="仿宋_GB2312" w:eastAsia="仿宋_GB2312"/>
          <w:sz w:val="32"/>
          <w:szCs w:val="32"/>
          <w:lang w:eastAsia="zh-CN"/>
        </w:rPr>
        <w:t>个项目开展绩效自评，绩效自评表详见第四部分附件。</w:t>
      </w: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6"/>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6"/>
          <w:rFonts w:hint="eastAsia" w:ascii="黑体" w:hAnsi="黑体" w:eastAsia="黑体"/>
          <w:b w:val="0"/>
        </w:rPr>
        <w:t>词解释</w:t>
      </w:r>
      <w:bookmarkEnd w:id="49"/>
      <w:bookmarkEnd w:id="50"/>
    </w:p>
    <w:p>
      <w:pPr>
        <w:spacing w:line="600" w:lineRule="exact"/>
        <w:jc w:val="left"/>
        <w:rPr>
          <w:rFonts w:ascii="宋体"/>
          <w:b/>
          <w:sz w:val="44"/>
          <w:szCs w:val="44"/>
        </w:rPr>
      </w:pP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4"/>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w:t>
      </w:r>
      <w:r>
        <w:rPr>
          <w:rFonts w:hint="eastAsia" w:ascii="仿宋_GB2312" w:eastAsia="仿宋_GB2312"/>
          <w:color w:val="auto"/>
          <w:sz w:val="32"/>
          <w:szCs w:val="32"/>
          <w:lang w:eastAsia="zh-CN"/>
        </w:rPr>
        <w:t>交通罚款收入</w:t>
      </w:r>
      <w:r>
        <w:rPr>
          <w:rFonts w:hint="eastAsia" w:ascii="仿宋_GB2312" w:eastAsia="仿宋_GB2312"/>
          <w:color w:val="auto"/>
          <w:sz w:val="32"/>
          <w:szCs w:val="32"/>
        </w:rPr>
        <w:t>。</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eastAsia="zh-CN"/>
        </w:rPr>
        <w:t>公共安全支出</w:t>
      </w:r>
      <w:r>
        <w:rPr>
          <w:rFonts w:hint="eastAsia" w:ascii="仿宋_GB2312" w:eastAsia="仿宋_GB2312"/>
          <w:sz w:val="32"/>
          <w:szCs w:val="32"/>
        </w:rPr>
        <w:t>（类）</w:t>
      </w:r>
      <w:r>
        <w:rPr>
          <w:rFonts w:hint="eastAsia" w:ascii="仿宋_GB2312" w:eastAsia="仿宋_GB2312"/>
          <w:sz w:val="32"/>
          <w:szCs w:val="32"/>
          <w:lang w:eastAsia="zh-CN"/>
        </w:rPr>
        <w:t>公安</w:t>
      </w:r>
      <w:r>
        <w:rPr>
          <w:rFonts w:hint="eastAsia" w:ascii="仿宋_GB2312" w:eastAsia="仿宋_GB2312"/>
          <w:sz w:val="32"/>
          <w:szCs w:val="32"/>
        </w:rPr>
        <w:t>（款）</w:t>
      </w:r>
      <w:r>
        <w:rPr>
          <w:rFonts w:hint="eastAsia" w:ascii="仿宋_GB2312" w:eastAsia="仿宋_GB2312"/>
          <w:sz w:val="32"/>
          <w:szCs w:val="32"/>
          <w:lang w:eastAsia="zh-CN"/>
        </w:rPr>
        <w:t>行政运行</w:t>
      </w:r>
      <w:r>
        <w:rPr>
          <w:rFonts w:hint="eastAsia" w:ascii="仿宋_GB2312" w:eastAsia="仿宋_GB2312"/>
          <w:sz w:val="32"/>
          <w:szCs w:val="32"/>
        </w:rPr>
        <w:t>（项）:</w:t>
      </w:r>
      <w:r>
        <w:rPr>
          <w:rFonts w:hint="eastAsia" w:ascii="仿宋_GB2312" w:eastAsia="仿宋_GB2312"/>
          <w:sz w:val="32"/>
          <w:szCs w:val="32"/>
          <w:lang w:eastAsia="zh-CN"/>
        </w:rPr>
        <w:t>反映行政单位（包括实行公务员管理的事业单位）的基本支出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w:t>
      </w:r>
      <w:r>
        <w:rPr>
          <w:rFonts w:hint="eastAsia" w:ascii="仿宋_GB2312" w:eastAsia="仿宋_GB2312"/>
          <w:sz w:val="32"/>
          <w:szCs w:val="32"/>
          <w:lang w:eastAsia="zh-CN"/>
        </w:rPr>
        <w:t>社会保障和就业支出</w:t>
      </w:r>
      <w:r>
        <w:rPr>
          <w:rFonts w:hint="eastAsia" w:ascii="仿宋_GB2312" w:eastAsia="仿宋_GB2312"/>
          <w:sz w:val="32"/>
          <w:szCs w:val="32"/>
        </w:rPr>
        <w:t>（类）</w:t>
      </w:r>
      <w:r>
        <w:rPr>
          <w:rFonts w:hint="eastAsia" w:ascii="仿宋_GB2312" w:eastAsia="仿宋_GB2312"/>
          <w:sz w:val="32"/>
          <w:szCs w:val="32"/>
          <w:lang w:eastAsia="zh-CN"/>
        </w:rPr>
        <w:t>行政事业单位养老支出</w:t>
      </w:r>
      <w:r>
        <w:rPr>
          <w:rFonts w:hint="eastAsia" w:ascii="仿宋_GB2312" w:eastAsia="仿宋_GB2312"/>
          <w:sz w:val="32"/>
          <w:szCs w:val="32"/>
        </w:rPr>
        <w:t>（款）</w:t>
      </w:r>
      <w:r>
        <w:rPr>
          <w:rFonts w:hint="eastAsia" w:ascii="仿宋_GB2312" w:eastAsia="仿宋_GB2312"/>
          <w:sz w:val="32"/>
          <w:szCs w:val="32"/>
          <w:lang w:eastAsia="zh-CN"/>
        </w:rPr>
        <w:t>行政单位离退休</w:t>
      </w:r>
      <w:r>
        <w:rPr>
          <w:rFonts w:hint="eastAsia" w:ascii="仿宋_GB2312" w:eastAsia="仿宋_GB2312"/>
          <w:sz w:val="32"/>
          <w:szCs w:val="32"/>
        </w:rPr>
        <w:t>（项）:</w:t>
      </w:r>
      <w:r>
        <w:rPr>
          <w:rFonts w:hint="eastAsia" w:ascii="仿宋_GB2312" w:eastAsia="仿宋_GB2312"/>
          <w:sz w:val="32"/>
          <w:szCs w:val="32"/>
          <w:lang w:eastAsia="zh-CN"/>
        </w:rPr>
        <w:t>反映行政单位（包括实行公务员管理的事业单位）开支的离退休经费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w:t>
      </w:r>
      <w:r>
        <w:rPr>
          <w:rFonts w:hint="eastAsia" w:ascii="仿宋_GB2312" w:eastAsia="仿宋_GB2312"/>
          <w:sz w:val="32"/>
          <w:szCs w:val="32"/>
          <w:lang w:eastAsia="zh-CN"/>
        </w:rPr>
        <w:t>社会保障和就业支出</w:t>
      </w:r>
      <w:r>
        <w:rPr>
          <w:rFonts w:hint="eastAsia" w:ascii="仿宋_GB2312" w:eastAsia="仿宋_GB2312"/>
          <w:sz w:val="32"/>
          <w:szCs w:val="32"/>
        </w:rPr>
        <w:t>（类）</w:t>
      </w:r>
      <w:r>
        <w:rPr>
          <w:rFonts w:hint="eastAsia" w:ascii="仿宋_GB2312" w:eastAsia="仿宋_GB2312"/>
          <w:sz w:val="32"/>
          <w:szCs w:val="32"/>
          <w:lang w:eastAsia="zh-CN"/>
        </w:rPr>
        <w:t>行政事业单位养老支出</w:t>
      </w:r>
      <w:r>
        <w:rPr>
          <w:rFonts w:hint="eastAsia" w:ascii="仿宋_GB2312" w:eastAsia="仿宋_GB2312"/>
          <w:sz w:val="32"/>
          <w:szCs w:val="32"/>
        </w:rPr>
        <w:t>（款）</w:t>
      </w:r>
      <w:r>
        <w:rPr>
          <w:rFonts w:hint="eastAsia" w:ascii="仿宋_GB2312" w:eastAsia="仿宋_GB2312"/>
          <w:sz w:val="32"/>
          <w:szCs w:val="32"/>
          <w:lang w:eastAsia="zh-CN"/>
        </w:rPr>
        <w:t>机关事业单位基本养老保险缴费支出</w:t>
      </w:r>
      <w:r>
        <w:rPr>
          <w:rFonts w:hint="eastAsia" w:ascii="仿宋_GB2312" w:eastAsia="仿宋_GB2312"/>
          <w:sz w:val="32"/>
          <w:szCs w:val="32"/>
        </w:rPr>
        <w:t>（项）:</w:t>
      </w:r>
      <w:r>
        <w:rPr>
          <w:rFonts w:hint="eastAsia" w:ascii="仿宋_GB2312" w:eastAsia="仿宋_GB2312"/>
          <w:sz w:val="32"/>
          <w:szCs w:val="32"/>
          <w:lang w:eastAsia="zh-CN"/>
        </w:rPr>
        <w:t>反映机关事业单位实施养老保险制度由单位缴纳的基本养老保险费支出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12</w:t>
      </w:r>
      <w:r>
        <w:rPr>
          <w:rFonts w:hint="eastAsia" w:ascii="仿宋_GB2312" w:eastAsia="仿宋_GB2312"/>
          <w:sz w:val="32"/>
          <w:szCs w:val="32"/>
        </w:rPr>
        <w:t>.</w:t>
      </w:r>
      <w:r>
        <w:rPr>
          <w:rFonts w:hint="eastAsia" w:ascii="仿宋_GB2312" w:eastAsia="仿宋_GB2312"/>
          <w:sz w:val="32"/>
          <w:szCs w:val="32"/>
          <w:lang w:eastAsia="zh-CN"/>
        </w:rPr>
        <w:t>社会保障和就业支出</w:t>
      </w:r>
      <w:r>
        <w:rPr>
          <w:rFonts w:hint="eastAsia" w:ascii="仿宋_GB2312" w:eastAsia="仿宋_GB2312"/>
          <w:sz w:val="32"/>
          <w:szCs w:val="32"/>
        </w:rPr>
        <w:t>（类）</w:t>
      </w:r>
      <w:r>
        <w:rPr>
          <w:rFonts w:hint="eastAsia" w:ascii="仿宋_GB2312" w:eastAsia="仿宋_GB2312"/>
          <w:sz w:val="32"/>
          <w:szCs w:val="32"/>
          <w:lang w:eastAsia="zh-CN"/>
        </w:rPr>
        <w:t>行政事业单位养老支出</w:t>
      </w:r>
      <w:r>
        <w:rPr>
          <w:rFonts w:hint="eastAsia" w:ascii="仿宋_GB2312" w:eastAsia="仿宋_GB2312"/>
          <w:sz w:val="32"/>
          <w:szCs w:val="32"/>
        </w:rPr>
        <w:t>（款）</w:t>
      </w:r>
      <w:r>
        <w:rPr>
          <w:rFonts w:hint="eastAsia" w:ascii="仿宋_GB2312" w:eastAsia="仿宋_GB2312"/>
          <w:sz w:val="32"/>
          <w:szCs w:val="32"/>
          <w:lang w:eastAsia="zh-CN"/>
        </w:rPr>
        <w:t>机关事业单位职业年金缴费支出</w:t>
      </w:r>
      <w:r>
        <w:rPr>
          <w:rFonts w:hint="eastAsia" w:ascii="仿宋_GB2312" w:eastAsia="仿宋_GB2312"/>
          <w:sz w:val="32"/>
          <w:szCs w:val="32"/>
        </w:rPr>
        <w:t>（项）:</w:t>
      </w:r>
      <w:r>
        <w:rPr>
          <w:rFonts w:hint="eastAsia" w:ascii="仿宋_GB2312" w:eastAsia="仿宋_GB2312"/>
          <w:sz w:val="32"/>
          <w:szCs w:val="32"/>
          <w:lang w:eastAsia="zh-CN"/>
        </w:rPr>
        <w:t>反映机关事业单位实施养老保险制度由单位实际缴纳的职业年金支出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13</w:t>
      </w:r>
      <w:r>
        <w:rPr>
          <w:rFonts w:hint="eastAsia" w:ascii="仿宋_GB2312" w:eastAsia="仿宋_GB2312"/>
          <w:sz w:val="32"/>
          <w:szCs w:val="32"/>
        </w:rPr>
        <w:t>.</w:t>
      </w:r>
      <w:r>
        <w:rPr>
          <w:rFonts w:hint="eastAsia" w:ascii="仿宋_GB2312" w:eastAsia="仿宋_GB2312"/>
          <w:sz w:val="32"/>
          <w:szCs w:val="32"/>
          <w:lang w:eastAsia="zh-CN"/>
        </w:rPr>
        <w:t>卫生健康支出</w:t>
      </w:r>
      <w:r>
        <w:rPr>
          <w:rFonts w:hint="eastAsia" w:ascii="仿宋_GB2312" w:eastAsia="仿宋_GB2312"/>
          <w:sz w:val="32"/>
          <w:szCs w:val="32"/>
        </w:rPr>
        <w:t>（类）</w:t>
      </w:r>
      <w:r>
        <w:rPr>
          <w:rFonts w:hint="eastAsia" w:ascii="仿宋_GB2312" w:eastAsia="仿宋_GB2312"/>
          <w:sz w:val="32"/>
          <w:szCs w:val="32"/>
          <w:lang w:eastAsia="zh-CN"/>
        </w:rPr>
        <w:t>行政事业单位医疗</w:t>
      </w:r>
      <w:r>
        <w:rPr>
          <w:rFonts w:hint="eastAsia" w:ascii="仿宋_GB2312" w:eastAsia="仿宋_GB2312"/>
          <w:sz w:val="32"/>
          <w:szCs w:val="32"/>
        </w:rPr>
        <w:t>（款）</w:t>
      </w:r>
      <w:r>
        <w:rPr>
          <w:rFonts w:hint="eastAsia" w:ascii="仿宋_GB2312" w:eastAsia="仿宋_GB2312"/>
          <w:sz w:val="32"/>
          <w:szCs w:val="32"/>
          <w:lang w:eastAsia="zh-CN"/>
        </w:rPr>
        <w:t>行政单位医疗</w:t>
      </w:r>
      <w:r>
        <w:rPr>
          <w:rFonts w:hint="eastAsia" w:ascii="仿宋_GB2312" w:eastAsia="仿宋_GB2312"/>
          <w:sz w:val="32"/>
          <w:szCs w:val="32"/>
        </w:rPr>
        <w:t>（项）:</w:t>
      </w:r>
      <w:r>
        <w:rPr>
          <w:rFonts w:hint="eastAsia" w:ascii="仿宋_GB2312" w:eastAsia="仿宋_GB2312"/>
          <w:sz w:val="32"/>
          <w:szCs w:val="32"/>
          <w:lang w:eastAsia="zh-CN"/>
        </w:rPr>
        <w:t>反映财政部门安排的行政单位（包括实行公务员管理的事业单位，下同）基本医疗保险缴费经费，未参加医疗保险的行政单位的公费医疗经费，按国家规定享受离休人员、红军老战士待遇人员的医疗经费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14</w:t>
      </w:r>
      <w:r>
        <w:rPr>
          <w:rFonts w:hint="eastAsia" w:ascii="仿宋_GB2312" w:eastAsia="仿宋_GB2312"/>
          <w:sz w:val="32"/>
          <w:szCs w:val="32"/>
        </w:rPr>
        <w:t>.</w:t>
      </w:r>
      <w:r>
        <w:rPr>
          <w:rFonts w:hint="eastAsia" w:ascii="仿宋_GB2312" w:eastAsia="仿宋_GB2312"/>
          <w:sz w:val="32"/>
          <w:szCs w:val="32"/>
          <w:lang w:eastAsia="zh-CN"/>
        </w:rPr>
        <w:t>卫生健康支出</w:t>
      </w:r>
      <w:r>
        <w:rPr>
          <w:rFonts w:hint="eastAsia" w:ascii="仿宋_GB2312" w:eastAsia="仿宋_GB2312"/>
          <w:sz w:val="32"/>
          <w:szCs w:val="32"/>
        </w:rPr>
        <w:t>（类）</w:t>
      </w:r>
      <w:r>
        <w:rPr>
          <w:rFonts w:hint="eastAsia" w:ascii="仿宋_GB2312" w:eastAsia="仿宋_GB2312"/>
          <w:sz w:val="32"/>
          <w:szCs w:val="32"/>
          <w:lang w:eastAsia="zh-CN"/>
        </w:rPr>
        <w:t>行政事业单位医疗</w:t>
      </w:r>
      <w:r>
        <w:rPr>
          <w:rFonts w:hint="eastAsia" w:ascii="仿宋_GB2312" w:eastAsia="仿宋_GB2312"/>
          <w:sz w:val="32"/>
          <w:szCs w:val="32"/>
        </w:rPr>
        <w:t>（款）</w:t>
      </w:r>
      <w:r>
        <w:rPr>
          <w:rFonts w:hint="eastAsia" w:ascii="仿宋_GB2312" w:eastAsia="仿宋_GB2312"/>
          <w:sz w:val="32"/>
          <w:szCs w:val="32"/>
          <w:lang w:eastAsia="zh-CN"/>
        </w:rPr>
        <w:t>公务员医疗补助</w:t>
      </w:r>
      <w:r>
        <w:rPr>
          <w:rFonts w:hint="eastAsia" w:ascii="仿宋_GB2312" w:eastAsia="仿宋_GB2312"/>
          <w:sz w:val="32"/>
          <w:szCs w:val="32"/>
        </w:rPr>
        <w:t>（项）:</w:t>
      </w:r>
      <w:r>
        <w:rPr>
          <w:rFonts w:hint="eastAsia" w:ascii="仿宋_GB2312" w:eastAsia="仿宋_GB2312"/>
          <w:sz w:val="32"/>
          <w:szCs w:val="32"/>
          <w:lang w:eastAsia="zh-CN"/>
        </w:rPr>
        <w:t>反映财政部门安排的公务员医疗补助缴费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15</w:t>
      </w:r>
      <w:r>
        <w:rPr>
          <w:rFonts w:hint="eastAsia" w:ascii="仿宋_GB2312" w:eastAsia="仿宋_GB2312"/>
          <w:sz w:val="32"/>
          <w:szCs w:val="32"/>
        </w:rPr>
        <w:t>.</w:t>
      </w:r>
      <w:r>
        <w:rPr>
          <w:rFonts w:hint="eastAsia" w:ascii="仿宋_GB2312" w:eastAsia="仿宋_GB2312"/>
          <w:sz w:val="32"/>
          <w:szCs w:val="32"/>
          <w:lang w:eastAsia="zh-CN"/>
        </w:rPr>
        <w:t>住房保障支出</w:t>
      </w:r>
      <w:r>
        <w:rPr>
          <w:rFonts w:hint="eastAsia" w:ascii="仿宋_GB2312" w:eastAsia="仿宋_GB2312"/>
          <w:sz w:val="32"/>
          <w:szCs w:val="32"/>
        </w:rPr>
        <w:t>（类）</w:t>
      </w:r>
      <w:r>
        <w:rPr>
          <w:rFonts w:hint="eastAsia" w:ascii="仿宋_GB2312" w:eastAsia="仿宋_GB2312"/>
          <w:sz w:val="32"/>
          <w:szCs w:val="32"/>
          <w:lang w:eastAsia="zh-CN"/>
        </w:rPr>
        <w:t>住房改革支出</w:t>
      </w:r>
      <w:r>
        <w:rPr>
          <w:rFonts w:hint="eastAsia" w:ascii="仿宋_GB2312" w:eastAsia="仿宋_GB2312"/>
          <w:sz w:val="32"/>
          <w:szCs w:val="32"/>
        </w:rPr>
        <w:t>（款）</w:t>
      </w:r>
      <w:r>
        <w:rPr>
          <w:rFonts w:hint="eastAsia" w:ascii="仿宋_GB2312" w:eastAsia="仿宋_GB2312"/>
          <w:sz w:val="32"/>
          <w:szCs w:val="32"/>
          <w:lang w:eastAsia="zh-CN"/>
        </w:rPr>
        <w:t>住房公积金</w:t>
      </w:r>
      <w:r>
        <w:rPr>
          <w:rFonts w:hint="eastAsia" w:ascii="仿宋_GB2312" w:eastAsia="仿宋_GB2312"/>
          <w:sz w:val="32"/>
          <w:szCs w:val="32"/>
        </w:rPr>
        <w:t>（项）:</w:t>
      </w:r>
      <w:r>
        <w:rPr>
          <w:rFonts w:hint="eastAsia" w:ascii="仿宋_GB2312" w:eastAsia="仿宋_GB2312"/>
          <w:sz w:val="32"/>
          <w:szCs w:val="32"/>
          <w:lang w:eastAsia="zh-CN"/>
        </w:rPr>
        <w:t>反映行政事业单位按人力资源和社会保障部、财政部规定的基本工资和津贴补贴以及规定比例为职工缴纳的住房公积金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19</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w:t>
      </w:r>
      <w:r>
        <w:rPr>
          <w:rFonts w:hint="eastAsia" w:ascii="仿宋_GB2312" w:eastAsia="仿宋_GB2312"/>
          <w:color w:val="auto"/>
          <w:sz w:val="32"/>
          <w:szCs w:val="32"/>
          <w:lang w:eastAsia="zh-CN"/>
        </w:rPr>
        <w:t>、牌照费</w:t>
      </w:r>
      <w:r>
        <w:rPr>
          <w:rFonts w:hint="eastAsia" w:ascii="仿宋_GB2312" w:eastAsia="仿宋_GB2312"/>
          <w:color w:val="auto"/>
          <w:sz w:val="32"/>
          <w:szCs w:val="32"/>
        </w:rPr>
        <w:t>）及</w:t>
      </w:r>
      <w:r>
        <w:rPr>
          <w:rFonts w:hint="eastAsia" w:ascii="仿宋_GB2312" w:eastAsia="仿宋_GB2312"/>
          <w:color w:val="auto"/>
          <w:sz w:val="32"/>
          <w:szCs w:val="32"/>
          <w:lang w:eastAsia="zh-CN"/>
        </w:rPr>
        <w:t>单位按规定保留的公务用车燃料费、维修费、过路过桥费、保险费、安全奖励费用等支出</w:t>
      </w:r>
      <w:r>
        <w:rPr>
          <w:rFonts w:hint="eastAsia" w:ascii="仿宋_GB2312" w:eastAsia="仿宋_GB2312"/>
          <w:color w:val="auto"/>
          <w:sz w:val="32"/>
          <w:szCs w:val="32"/>
        </w:rPr>
        <w:t>；公务接待费反映单位按规定开支的各类公务接待（含外宾接待）支出。</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4"/>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6"/>
          <w:rFonts w:ascii="黑体" w:hAnsi="黑体" w:eastAsia="黑体"/>
          <w:b w:val="0"/>
        </w:rPr>
      </w:pPr>
      <w:bookmarkStart w:id="51" w:name="_Toc15377226"/>
      <w:r>
        <w:rPr>
          <w:rFonts w:ascii="宋体"/>
          <w:b/>
          <w:sz w:val="44"/>
          <w:szCs w:val="44"/>
        </w:rPr>
        <w:br w:type="page"/>
      </w:r>
      <w:r>
        <w:rPr>
          <w:rStyle w:val="26"/>
          <w:rFonts w:ascii="黑体" w:hAnsi="黑体" w:eastAsia="黑体"/>
          <w:b w:val="0"/>
        </w:rPr>
        <w:t xml:space="preserve"> </w:t>
      </w:r>
      <w:r>
        <w:rPr>
          <w:rFonts w:hint="eastAsia" w:ascii="黑体" w:hAnsi="黑体" w:eastAsia="黑体"/>
          <w:sz w:val="44"/>
          <w:szCs w:val="44"/>
        </w:rPr>
        <w:t>第</w:t>
      </w:r>
      <w:r>
        <w:rPr>
          <w:rStyle w:val="26"/>
          <w:rFonts w:hint="eastAsia" w:ascii="黑体" w:hAnsi="黑体" w:eastAsia="黑体"/>
        </w:rPr>
        <w:t>四部分 附件</w:t>
      </w:r>
    </w:p>
    <w:p>
      <w:pPr>
        <w:pStyle w:val="13"/>
        <w:spacing w:line="560" w:lineRule="exact"/>
        <w:ind w:left="0" w:leftChars="0" w:firstLine="640"/>
        <w:rPr>
          <w:rFonts w:ascii="仿宋_GB2312" w:hAnsi="仿宋_GB2312" w:eastAsia="仿宋_GB2312" w:cs="仿宋_GB2312"/>
          <w:sz w:val="32"/>
          <w:szCs w:val="32"/>
        </w:rPr>
      </w:pPr>
    </w:p>
    <w:p>
      <w:pPr>
        <w:pStyle w:val="13"/>
        <w:spacing w:line="560" w:lineRule="exact"/>
        <w:ind w:left="0" w:leftChars="0" w:firstLine="800" w:firstLineChars="250"/>
        <w:rPr>
          <w:rFonts w:hAnsi="仿宋_GB2312" w:eastAsia="仿宋_GB2312" w:cs="仿宋_GB2312"/>
          <w:sz w:val="32"/>
          <w:lang w:val="zh-CN"/>
        </w:rPr>
      </w:pPr>
      <w:r>
        <w:rPr>
          <w:rFonts w:hint="eastAsia" w:ascii="仿宋_GB2312" w:hAnsi="仿宋_GB2312" w:eastAsia="仿宋_GB2312" w:cs="仿宋_GB2312"/>
          <w:sz w:val="32"/>
          <w:szCs w:val="32"/>
        </w:rPr>
        <w:t>部门预算项目支出绩效自评表（2022年度）见附件</w:t>
      </w:r>
    </w:p>
    <w:p>
      <w:pPr>
        <w:pStyle w:val="13"/>
        <w:spacing w:line="560" w:lineRule="exact"/>
        <w:ind w:left="0" w:leftChars="0" w:firstLine="0" w:firstLineChars="0"/>
        <w:rPr>
          <w:color w:val="000000" w:themeColor="text1"/>
          <w:sz w:val="32"/>
          <w:lang w:val="zh-CN"/>
        </w:rPr>
      </w:pPr>
    </w:p>
    <w:p>
      <w:pPr>
        <w:pStyle w:val="2"/>
        <w:spacing w:before="93"/>
        <w:rPr>
          <w:rFonts w:hAnsi="宋体" w:cs="宋体"/>
          <w:sz w:val="32"/>
          <w:szCs w:val="32"/>
          <w:shd w:val="clear" w:color="auto" w:fill="FFFFFF"/>
          <w:lang w:val="zh-CN"/>
        </w:rPr>
      </w:pPr>
    </w:p>
    <w:p>
      <w:pPr>
        <w:spacing w:line="572" w:lineRule="exact"/>
        <w:jc w:val="left"/>
        <w:outlineLvl w:val="0"/>
        <w:rPr>
          <w:rFonts w:ascii="仿宋_GB2312" w:hAnsi="仿宋_GB2312" w:eastAsia="仿宋_GB2312" w:cs="仿宋_GB2312"/>
          <w:sz w:val="32"/>
          <w:szCs w:val="32"/>
        </w:rPr>
      </w:pPr>
    </w:p>
    <w:p>
      <w:pPr>
        <w:pStyle w:val="2"/>
        <w:spacing w:before="93"/>
        <w:rPr>
          <w:rFonts w:hAnsi="Calibri" w:cs="仿宋"/>
          <w:sz w:val="32"/>
          <w:szCs w:val="32"/>
        </w:rPr>
      </w:pPr>
      <w:bookmarkStart w:id="52" w:name="_Toc15396618"/>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numPr>
          <w:ilvl w:val="0"/>
          <w:numId w:val="0"/>
        </w:numPr>
        <w:spacing w:line="600" w:lineRule="exact"/>
        <w:ind w:leftChars="150"/>
        <w:jc w:val="center"/>
        <w:outlineLvl w:val="0"/>
        <w:rPr>
          <w:rStyle w:val="26"/>
          <w:rFonts w:hint="eastAsia" w:ascii="黑体" w:hAnsi="黑体" w:eastAsia="黑体"/>
          <w:b w:val="0"/>
        </w:rPr>
      </w:pPr>
      <w:r>
        <w:rPr>
          <w:rStyle w:val="26"/>
          <w:rFonts w:hint="eastAsia" w:ascii="黑体" w:hAnsi="黑体" w:eastAsia="黑体"/>
          <w:b w:val="0"/>
          <w:lang w:eastAsia="zh-CN"/>
        </w:rPr>
        <w:t>第五部分</w:t>
      </w:r>
      <w:r>
        <w:rPr>
          <w:rStyle w:val="26"/>
          <w:rFonts w:hint="eastAsia" w:ascii="黑体" w:hAnsi="黑体" w:eastAsia="黑体"/>
          <w:b w:val="0"/>
          <w:lang w:val="en-US" w:eastAsia="zh-CN"/>
        </w:rPr>
        <w:t xml:space="preserve"> </w:t>
      </w:r>
      <w:r>
        <w:rPr>
          <w:rStyle w:val="26"/>
          <w:rFonts w:hint="eastAsia" w:ascii="黑体" w:hAnsi="黑体" w:eastAsia="黑体"/>
          <w:b w:val="0"/>
        </w:rPr>
        <w:t>附表</w:t>
      </w:r>
      <w:bookmarkEnd w:id="51"/>
      <w:bookmarkEnd w:id="52"/>
      <w:bookmarkStart w:id="53" w:name="_Toc15396619"/>
    </w:p>
    <w:p>
      <w:pPr>
        <w:pStyle w:val="2"/>
        <w:rPr>
          <w:rFonts w:hint="eastAsia"/>
        </w:rPr>
      </w:pPr>
    </w:p>
    <w:p>
      <w:pPr>
        <w:numPr>
          <w:ilvl w:val="0"/>
          <w:numId w:val="4"/>
        </w:numPr>
        <w:spacing w:line="600" w:lineRule="exact"/>
        <w:ind w:leftChars="150"/>
        <w:jc w:val="both"/>
        <w:outlineLvl w:val="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收入支出决算总表</w:t>
      </w:r>
      <w:bookmarkEnd w:id="53"/>
      <w:bookmarkStart w:id="54" w:name="_Toc15396620"/>
    </w:p>
    <w:p>
      <w:pPr>
        <w:pStyle w:val="4"/>
        <w:numPr>
          <w:ilvl w:val="0"/>
          <w:numId w:val="4"/>
        </w:numPr>
        <w:ind w:left="315" w:leftChars="150" w:firstLine="0" w:firstLineChars="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收入决算表</w:t>
      </w:r>
      <w:bookmarkEnd w:id="54"/>
    </w:p>
    <w:p>
      <w:pPr>
        <w:pStyle w:val="4"/>
        <w:numPr>
          <w:ilvl w:val="0"/>
          <w:numId w:val="0"/>
        </w:numPr>
        <w:ind w:leftChars="15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四、财政拨款收入支出决算总表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五、财政拨款支出决算明细表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六、一般公共预算财政拨款支出决算表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七、一般公共预算财政拨款支出决算明细表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八、一般公共预算财政拨款基本支出决算表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九、一般公共预算财政拨款项目支出决算表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十、政府性基金预算财政拨款收入支出决算表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十一、国有资本经营预算财政拨款收入支出决算表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十二、国有资本经营预算财政拨款支出决算表</w:t>
      </w:r>
    </w:p>
    <w:p>
      <w:pPr>
        <w:pStyle w:val="4"/>
        <w:ind w:firstLine="320" w:firstLineChars="1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十三、财政拨款“三公”经费支出决算表</w:t>
      </w:r>
    </w:p>
    <w:p>
      <w:pPr>
        <w:numPr>
          <w:ilvl w:val="0"/>
          <w:numId w:val="0"/>
        </w:numPr>
        <w:spacing w:line="600" w:lineRule="exact"/>
        <w:jc w:val="both"/>
        <w:outlineLvl w:val="0"/>
        <w:rPr>
          <w:rFonts w:hint="eastAsia" w:ascii="仿宋_GB2312" w:hAnsi="仿宋_GB2312" w:eastAsia="仿宋_GB2312" w:cs="仿宋_GB2312"/>
          <w:b w:val="0"/>
          <w:bCs w:val="0"/>
          <w:kern w:val="2"/>
          <w:sz w:val="32"/>
          <w:szCs w:val="32"/>
          <w:lang w:val="en-US" w:eastAsia="zh-CN" w:bidi="ar-SA"/>
        </w:rPr>
      </w:pPr>
    </w:p>
    <w:p>
      <w:pPr>
        <w:pStyle w:val="4"/>
        <w:rPr>
          <w:rFonts w:hint="eastAsia" w:ascii="仿宋_GB2312" w:hAnsi="仿宋_GB2312" w:eastAsia="仿宋_GB2312" w:cs="仿宋_GB2312"/>
          <w:b w:val="0"/>
          <w:bCs w:val="0"/>
          <w:kern w:val="2"/>
          <w:sz w:val="32"/>
          <w:szCs w:val="32"/>
          <w:lang w:val="en-US" w:eastAsia="zh-CN" w:bidi="ar-SA"/>
        </w:rPr>
      </w:pPr>
    </w:p>
    <w:p>
      <w:r>
        <w:drawing>
          <wp:anchor distT="0" distB="0" distL="114300" distR="114300" simplePos="0" relativeHeight="251743232" behindDoc="1" locked="0" layoutInCell="1" allowOverlap="1">
            <wp:simplePos x="0" y="0"/>
            <wp:positionH relativeFrom="column">
              <wp:posOffset>0</wp:posOffset>
            </wp:positionH>
            <wp:positionV relativeFrom="paragraph">
              <wp:posOffset>-7755890</wp:posOffset>
            </wp:positionV>
            <wp:extent cx="5267960" cy="4381500"/>
            <wp:effectExtent l="0" t="0" r="8890" b="0"/>
            <wp:wrapThrough wrapText="bothSides">
              <wp:wrapPolygon>
                <wp:start x="0" y="0"/>
                <wp:lineTo x="0" y="21506"/>
                <wp:lineTo x="21558" y="21506"/>
                <wp:lineTo x="21558" y="0"/>
                <wp:lineTo x="0" y="0"/>
              </wp:wrapPolygon>
            </wp:wrapThrough>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5267960" cy="4381500"/>
                    </a:xfrm>
                    <a:prstGeom prst="rect">
                      <a:avLst/>
                    </a:prstGeom>
                    <a:noFill/>
                    <a:ln>
                      <a:noFill/>
                    </a:ln>
                  </pic:spPr>
                </pic:pic>
              </a:graphicData>
            </a:graphic>
          </wp:anchor>
        </w:drawing>
      </w:r>
    </w:p>
    <w:p/>
    <w:p/>
    <w:p/>
    <w:p/>
    <w:p/>
    <w:p/>
    <w:p/>
    <w:p/>
    <w:p/>
    <w:p/>
    <w:p/>
    <w:p/>
    <w:p/>
    <w:p/>
    <w:p/>
    <w:p/>
    <w:p/>
    <w:p/>
    <w:p/>
    <w:p/>
    <w:p>
      <w:r>
        <w:drawing>
          <wp:inline distT="0" distB="0" distL="114300" distR="114300">
            <wp:extent cx="5266690" cy="2257425"/>
            <wp:effectExtent l="0" t="0" r="1016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9"/>
                    <a:stretch>
                      <a:fillRect/>
                    </a:stretch>
                  </pic:blipFill>
                  <pic:spPr>
                    <a:xfrm>
                      <a:off x="0" y="0"/>
                      <a:ext cx="5266690" cy="2257425"/>
                    </a:xfrm>
                    <a:prstGeom prst="rect">
                      <a:avLst/>
                    </a:prstGeom>
                    <a:noFill/>
                    <a:ln>
                      <a:noFill/>
                    </a:ln>
                  </pic:spPr>
                </pic:pic>
              </a:graphicData>
            </a:graphic>
          </wp:inline>
        </w:drawing>
      </w:r>
    </w:p>
    <w:p/>
    <w:p/>
    <w:p/>
    <w:p/>
    <w:p/>
    <w:p/>
    <w:p/>
    <w:p/>
    <w:p/>
    <w:p/>
    <w:p/>
    <w:p/>
    <w:p/>
    <w:p/>
    <w:p/>
    <w:p/>
    <w:p/>
    <w:p/>
    <w:p/>
    <w:p/>
    <w:p>
      <w:r>
        <w:drawing>
          <wp:inline distT="0" distB="0" distL="114300" distR="114300">
            <wp:extent cx="5265420" cy="2514600"/>
            <wp:effectExtent l="0" t="0" r="1143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0"/>
                    <a:stretch>
                      <a:fillRect/>
                    </a:stretch>
                  </pic:blipFill>
                  <pic:spPr>
                    <a:xfrm>
                      <a:off x="0" y="0"/>
                      <a:ext cx="5265420" cy="2514600"/>
                    </a:xfrm>
                    <a:prstGeom prst="rect">
                      <a:avLst/>
                    </a:prstGeom>
                    <a:noFill/>
                    <a:ln>
                      <a:noFill/>
                    </a:ln>
                  </pic:spPr>
                </pic:pic>
              </a:graphicData>
            </a:graphic>
          </wp:inline>
        </w:drawing>
      </w:r>
    </w:p>
    <w:p/>
    <w:p/>
    <w:p/>
    <w:p/>
    <w:p/>
    <w:p/>
    <w:p/>
    <w:p/>
    <w:p/>
    <w:p/>
    <w:p/>
    <w:p/>
    <w:p/>
    <w:p/>
    <w:p/>
    <w:p/>
    <w:p/>
    <w:p>
      <w:r>
        <w:drawing>
          <wp:inline distT="0" distB="0" distL="114300" distR="114300">
            <wp:extent cx="5272405" cy="3910330"/>
            <wp:effectExtent l="0" t="0" r="4445" b="1397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1"/>
                    <a:stretch>
                      <a:fillRect/>
                    </a:stretch>
                  </pic:blipFill>
                  <pic:spPr>
                    <a:xfrm>
                      <a:off x="0" y="0"/>
                      <a:ext cx="5272405" cy="3910330"/>
                    </a:xfrm>
                    <a:prstGeom prst="rect">
                      <a:avLst/>
                    </a:prstGeom>
                    <a:noFill/>
                    <a:ln>
                      <a:noFill/>
                    </a:ln>
                  </pic:spPr>
                </pic:pic>
              </a:graphicData>
            </a:graphic>
          </wp:inline>
        </w:drawing>
      </w:r>
      <w:r>
        <w:drawing>
          <wp:inline distT="0" distB="0" distL="114300" distR="114300">
            <wp:extent cx="5265420" cy="8855710"/>
            <wp:effectExtent l="0" t="0" r="11430" b="254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2"/>
                    <a:stretch>
                      <a:fillRect/>
                    </a:stretch>
                  </pic:blipFill>
                  <pic:spPr>
                    <a:xfrm>
                      <a:off x="0" y="0"/>
                      <a:ext cx="5265420" cy="8855710"/>
                    </a:xfrm>
                    <a:prstGeom prst="rect">
                      <a:avLst/>
                    </a:prstGeom>
                    <a:noFill/>
                    <a:ln>
                      <a:noFill/>
                    </a:ln>
                  </pic:spPr>
                </pic:pic>
              </a:graphicData>
            </a:graphic>
          </wp:inline>
        </w:drawing>
      </w:r>
      <w:r>
        <w:drawing>
          <wp:inline distT="0" distB="0" distL="114300" distR="114300">
            <wp:extent cx="5267960" cy="3374390"/>
            <wp:effectExtent l="0" t="0" r="8890" b="1651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23"/>
                    <a:stretch>
                      <a:fillRect/>
                    </a:stretch>
                  </pic:blipFill>
                  <pic:spPr>
                    <a:xfrm>
                      <a:off x="0" y="0"/>
                      <a:ext cx="5267960" cy="3374390"/>
                    </a:xfrm>
                    <a:prstGeom prst="rect">
                      <a:avLst/>
                    </a:prstGeom>
                    <a:noFill/>
                    <a:ln>
                      <a:noFill/>
                    </a:ln>
                  </pic:spPr>
                </pic:pic>
              </a:graphicData>
            </a:graphic>
          </wp:inline>
        </w:drawing>
      </w:r>
    </w:p>
    <w:p/>
    <w:p/>
    <w:p/>
    <w:p/>
    <w:p/>
    <w:p/>
    <w:p/>
    <w:p/>
    <w:p/>
    <w:p/>
    <w:p/>
    <w:p/>
    <w:p/>
    <w:p/>
    <w:p/>
    <w:p/>
    <w:p/>
    <w:p/>
    <w:p/>
    <w:p/>
    <w:p>
      <w:r>
        <w:drawing>
          <wp:inline distT="0" distB="0" distL="114300" distR="114300">
            <wp:extent cx="5271135" cy="1708150"/>
            <wp:effectExtent l="0" t="0" r="5715" b="635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4"/>
                    <a:stretch>
                      <a:fillRect/>
                    </a:stretch>
                  </pic:blipFill>
                  <pic:spPr>
                    <a:xfrm>
                      <a:off x="0" y="0"/>
                      <a:ext cx="5271135" cy="1708150"/>
                    </a:xfrm>
                    <a:prstGeom prst="rect">
                      <a:avLst/>
                    </a:prstGeom>
                    <a:noFill/>
                    <a:ln>
                      <a:noFill/>
                    </a:ln>
                  </pic:spPr>
                </pic:pic>
              </a:graphicData>
            </a:graphic>
          </wp:inline>
        </w:drawing>
      </w:r>
    </w:p>
    <w:p/>
    <w:p>
      <w:r>
        <w:drawing>
          <wp:inline distT="0" distB="0" distL="114300" distR="114300">
            <wp:extent cx="5267960" cy="1751965"/>
            <wp:effectExtent l="0" t="0" r="8890" b="63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5"/>
                    <a:stretch>
                      <a:fillRect/>
                    </a:stretch>
                  </pic:blipFill>
                  <pic:spPr>
                    <a:xfrm>
                      <a:off x="0" y="0"/>
                      <a:ext cx="5267960" cy="1751965"/>
                    </a:xfrm>
                    <a:prstGeom prst="rect">
                      <a:avLst/>
                    </a:prstGeom>
                    <a:noFill/>
                    <a:ln>
                      <a:noFill/>
                    </a:ln>
                  </pic:spPr>
                </pic:pic>
              </a:graphicData>
            </a:graphic>
          </wp:inline>
        </w:drawing>
      </w:r>
    </w:p>
    <w:p/>
    <w:p>
      <w:r>
        <w:drawing>
          <wp:inline distT="0" distB="0" distL="114300" distR="114300">
            <wp:extent cx="5267960" cy="1751965"/>
            <wp:effectExtent l="0" t="0" r="8890" b="63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26"/>
                    <a:stretch>
                      <a:fillRect/>
                    </a:stretch>
                  </pic:blipFill>
                  <pic:spPr>
                    <a:xfrm>
                      <a:off x="0" y="0"/>
                      <a:ext cx="5267960" cy="1751965"/>
                    </a:xfrm>
                    <a:prstGeom prst="rect">
                      <a:avLst/>
                    </a:prstGeom>
                    <a:noFill/>
                    <a:ln>
                      <a:noFill/>
                    </a:ln>
                  </pic:spPr>
                </pic:pic>
              </a:graphicData>
            </a:graphic>
          </wp:inline>
        </w:drawing>
      </w:r>
    </w:p>
    <w:p/>
    <w:p>
      <w:r>
        <w:drawing>
          <wp:inline distT="0" distB="0" distL="114300" distR="114300">
            <wp:extent cx="5267960" cy="1751965"/>
            <wp:effectExtent l="0" t="0" r="8890" b="63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7"/>
                    <a:stretch>
                      <a:fillRect/>
                    </a:stretch>
                  </pic:blipFill>
                  <pic:spPr>
                    <a:xfrm>
                      <a:off x="0" y="0"/>
                      <a:ext cx="5267960" cy="1751965"/>
                    </a:xfrm>
                    <a:prstGeom prst="rect">
                      <a:avLst/>
                    </a:prstGeom>
                    <a:noFill/>
                    <a:ln>
                      <a:noFill/>
                    </a:ln>
                  </pic:spPr>
                </pic:pic>
              </a:graphicData>
            </a:graphic>
          </wp:inline>
        </w:drawing>
      </w:r>
      <w:r>
        <w:drawing>
          <wp:inline distT="0" distB="0" distL="114300" distR="114300">
            <wp:extent cx="5267960" cy="1751965"/>
            <wp:effectExtent l="0" t="0" r="8890" b="635"/>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8"/>
                    <a:stretch>
                      <a:fillRect/>
                    </a:stretch>
                  </pic:blipFill>
                  <pic:spPr>
                    <a:xfrm>
                      <a:off x="0" y="0"/>
                      <a:ext cx="5267960" cy="1751965"/>
                    </a:xfrm>
                    <a:prstGeom prst="rect">
                      <a:avLst/>
                    </a:prstGeom>
                    <a:noFill/>
                    <a:ln>
                      <a:noFill/>
                    </a:ln>
                  </pic:spPr>
                </pic:pic>
              </a:graphicData>
            </a:graphic>
          </wp:inline>
        </w:drawing>
      </w:r>
    </w:p>
    <w:p/>
    <w:p/>
    <w:p>
      <w:r>
        <w:drawing>
          <wp:inline distT="0" distB="0" distL="114300" distR="114300">
            <wp:extent cx="5272405" cy="4044315"/>
            <wp:effectExtent l="0" t="0" r="4445" b="1333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9"/>
                    <a:stretch>
                      <a:fillRect/>
                    </a:stretch>
                  </pic:blipFill>
                  <pic:spPr>
                    <a:xfrm>
                      <a:off x="0" y="0"/>
                      <a:ext cx="5272405" cy="4044315"/>
                    </a:xfrm>
                    <a:prstGeom prst="rect">
                      <a:avLst/>
                    </a:prstGeom>
                    <a:noFill/>
                    <a:ln>
                      <a:noFill/>
                    </a:ln>
                  </pic:spPr>
                </pic:pic>
              </a:graphicData>
            </a:graphic>
          </wp:inline>
        </w:drawing>
      </w:r>
      <w:r>
        <w:drawing>
          <wp:inline distT="0" distB="0" distL="114300" distR="114300">
            <wp:extent cx="5267960" cy="3090545"/>
            <wp:effectExtent l="0" t="0" r="8890" b="14605"/>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30"/>
                    <a:stretch>
                      <a:fillRect/>
                    </a:stretch>
                  </pic:blipFill>
                  <pic:spPr>
                    <a:xfrm>
                      <a:off x="0" y="0"/>
                      <a:ext cx="5267960" cy="3090545"/>
                    </a:xfrm>
                    <a:prstGeom prst="rect">
                      <a:avLst/>
                    </a:prstGeom>
                    <a:noFill/>
                    <a:ln>
                      <a:noFill/>
                    </a:ln>
                  </pic:spPr>
                </pic:pic>
              </a:graphicData>
            </a:graphic>
          </wp:inline>
        </w:drawing>
      </w:r>
    </w:p>
    <w:p/>
    <w:p/>
    <w:p/>
    <w:p/>
    <w:p/>
    <w:p/>
    <w:p/>
    <w:p/>
    <w:p/>
    <w:p/>
    <w:p/>
    <w:p/>
    <w:p/>
    <w:p/>
    <w:p/>
    <w:p/>
    <w:p/>
    <w:p/>
    <w:p>
      <w:r>
        <w:drawing>
          <wp:inline distT="0" distB="0" distL="114300" distR="114300">
            <wp:extent cx="5272405" cy="2480945"/>
            <wp:effectExtent l="0" t="0" r="4445" b="14605"/>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31"/>
                    <a:stretch>
                      <a:fillRect/>
                    </a:stretch>
                  </pic:blipFill>
                  <pic:spPr>
                    <a:xfrm>
                      <a:off x="0" y="0"/>
                      <a:ext cx="5272405" cy="2480945"/>
                    </a:xfrm>
                    <a:prstGeom prst="rect">
                      <a:avLst/>
                    </a:prstGeom>
                    <a:noFill/>
                    <a:ln>
                      <a:noFill/>
                    </a:ln>
                  </pic:spPr>
                </pic:pic>
              </a:graphicData>
            </a:graphic>
          </wp:inline>
        </w:drawing>
      </w:r>
    </w:p>
    <w:p/>
    <w:p/>
    <w:p/>
    <w:p/>
    <w:p/>
    <w:p/>
    <w:p/>
    <w:p/>
    <w:p/>
    <w:p/>
    <w:p/>
    <w:p/>
    <w:p/>
    <w:p/>
    <w:p/>
    <w:p/>
    <w:p/>
    <w:p/>
    <w:p/>
    <w:p/>
    <w:p/>
    <w:p/>
    <w:p/>
    <w:p/>
    <w:p>
      <w:r>
        <w:drawing>
          <wp:inline distT="0" distB="0" distL="114300" distR="114300">
            <wp:extent cx="5272405" cy="1691005"/>
            <wp:effectExtent l="0" t="0" r="4445" b="4445"/>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32"/>
                    <a:stretch>
                      <a:fillRect/>
                    </a:stretch>
                  </pic:blipFill>
                  <pic:spPr>
                    <a:xfrm>
                      <a:off x="0" y="0"/>
                      <a:ext cx="5272405" cy="1691005"/>
                    </a:xfrm>
                    <a:prstGeom prst="rect">
                      <a:avLst/>
                    </a:prstGeom>
                    <a:noFill/>
                    <a:ln>
                      <a:noFill/>
                    </a:ln>
                  </pic:spPr>
                </pic:pic>
              </a:graphicData>
            </a:graphic>
          </wp:inline>
        </w:drawing>
      </w:r>
    </w:p>
    <w:p/>
    <w:p/>
    <w:p/>
    <w:p/>
    <w:p/>
    <w:p/>
    <w:p/>
    <w:p/>
    <w:p/>
    <w:p/>
    <w:p/>
    <w:p/>
    <w:p/>
    <w:p/>
    <w:p/>
    <w:p/>
    <w:p/>
    <w:p/>
    <w:p/>
    <w:p/>
    <w:p/>
    <w:p/>
    <w:p/>
    <w:p/>
    <w:p/>
    <w:p>
      <w:r>
        <w:drawing>
          <wp:inline distT="0" distB="0" distL="114300" distR="114300">
            <wp:extent cx="5271135" cy="2410460"/>
            <wp:effectExtent l="0" t="0" r="5715" b="8890"/>
            <wp:docPr id="2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noChangeAspect="1"/>
                    </pic:cNvPicPr>
                  </pic:nvPicPr>
                  <pic:blipFill>
                    <a:blip r:embed="rId33"/>
                    <a:stretch>
                      <a:fillRect/>
                    </a:stretch>
                  </pic:blipFill>
                  <pic:spPr>
                    <a:xfrm>
                      <a:off x="0" y="0"/>
                      <a:ext cx="5271135" cy="2410460"/>
                    </a:xfrm>
                    <a:prstGeom prst="rect">
                      <a:avLst/>
                    </a:prstGeom>
                    <a:noFill/>
                    <a:ln>
                      <a:noFill/>
                    </a:ln>
                  </pic:spPr>
                </pic:pic>
              </a:graphicData>
            </a:graphic>
          </wp:inline>
        </w:drawing>
      </w:r>
    </w:p>
    <w:p/>
    <w:p/>
    <w:p/>
    <w:p/>
    <w:p/>
    <w:p/>
    <w:p/>
    <w:p/>
    <w:p/>
    <w:p/>
    <w:p/>
    <w:p/>
    <w:p/>
    <w:p/>
    <w:p/>
    <w:p/>
    <w:p/>
    <w:p/>
    <w:p/>
    <w:p/>
    <w:p/>
    <w:p>
      <w:r>
        <w:drawing>
          <wp:inline distT="0" distB="0" distL="114300" distR="114300">
            <wp:extent cx="5269865" cy="2543810"/>
            <wp:effectExtent l="0" t="0" r="6985" b="8890"/>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34"/>
                    <a:stretch>
                      <a:fillRect/>
                    </a:stretch>
                  </pic:blipFill>
                  <pic:spPr>
                    <a:xfrm>
                      <a:off x="0" y="0"/>
                      <a:ext cx="5269865" cy="2543810"/>
                    </a:xfrm>
                    <a:prstGeom prst="rect">
                      <a:avLst/>
                    </a:prstGeom>
                    <a:noFill/>
                    <a:ln>
                      <a:noFill/>
                    </a:ln>
                  </pic:spPr>
                </pic:pic>
              </a:graphicData>
            </a:graphic>
          </wp:inline>
        </w:drawing>
      </w:r>
    </w:p>
    <w:p/>
    <w:p/>
    <w:p/>
    <w:p/>
    <w:p/>
    <w:p/>
    <w:p/>
    <w:p/>
    <w:p/>
    <w:p/>
    <w:p/>
    <w:p/>
    <w:p/>
    <w:p/>
    <w:p/>
    <w:p/>
    <w:p/>
    <w:p/>
    <w:p/>
    <w:p/>
    <w:p/>
    <w:p/>
    <w:p/>
    <w:p/>
    <w:p/>
    <w:p/>
    <w:p/>
    <w:p>
      <w:r>
        <w:drawing>
          <wp:inline distT="0" distB="0" distL="114300" distR="114300">
            <wp:extent cx="5269230" cy="1087755"/>
            <wp:effectExtent l="0" t="0" r="7620" b="17145"/>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35"/>
                    <a:stretch>
                      <a:fillRect/>
                    </a:stretch>
                  </pic:blipFill>
                  <pic:spPr>
                    <a:xfrm>
                      <a:off x="0" y="0"/>
                      <a:ext cx="5269230" cy="10877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A88761B"/>
    <w:multiLevelType w:val="singleLevel"/>
    <w:tmpl w:val="5A88761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C17CB"/>
    <w:rsid w:val="001D1977"/>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3B15DC2"/>
    <w:rsid w:val="053A62B5"/>
    <w:rsid w:val="09E26C6B"/>
    <w:rsid w:val="0A2032A3"/>
    <w:rsid w:val="0B8A37D8"/>
    <w:rsid w:val="0FAC0985"/>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6A4654"/>
    <w:rsid w:val="2EFA178C"/>
    <w:rsid w:val="30B46D73"/>
    <w:rsid w:val="319F7F4E"/>
    <w:rsid w:val="339606FF"/>
    <w:rsid w:val="33E03081"/>
    <w:rsid w:val="383D272C"/>
    <w:rsid w:val="39AE70AB"/>
    <w:rsid w:val="3C0C0783"/>
    <w:rsid w:val="3DE25562"/>
    <w:rsid w:val="3E752508"/>
    <w:rsid w:val="3F9F3A96"/>
    <w:rsid w:val="48BF60AB"/>
    <w:rsid w:val="493C27E9"/>
    <w:rsid w:val="496F39ED"/>
    <w:rsid w:val="49734B0E"/>
    <w:rsid w:val="49FF41D3"/>
    <w:rsid w:val="4BE068DB"/>
    <w:rsid w:val="4BF6002B"/>
    <w:rsid w:val="4ECE2238"/>
    <w:rsid w:val="51B43D99"/>
    <w:rsid w:val="51DB4B86"/>
    <w:rsid w:val="55333C3E"/>
    <w:rsid w:val="62D41EB3"/>
    <w:rsid w:val="64CA39A1"/>
    <w:rsid w:val="69630ADE"/>
    <w:rsid w:val="6C4A05C8"/>
    <w:rsid w:val="6D3B1A89"/>
    <w:rsid w:val="71BF4EC2"/>
    <w:rsid w:val="72734D90"/>
    <w:rsid w:val="73CC233E"/>
    <w:rsid w:val="7412278C"/>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uiPriority w:val="99"/>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header" Target="head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877</Words>
  <Characters>5004</Characters>
  <Lines>41</Lines>
  <Paragraphs>11</Paragraphs>
  <TotalTime>3</TotalTime>
  <ScaleCrop>false</ScaleCrop>
  <LinksUpToDate>false</LinksUpToDate>
  <CharactersWithSpaces>5870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Admin</cp:lastModifiedBy>
  <cp:lastPrinted>2023-07-31T02:35:00Z</cp:lastPrinted>
  <dcterms:modified xsi:type="dcterms:W3CDTF">2023-10-25T08:22:41Z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