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1" w:name="_Toc15377425"/>
      <w:bookmarkStart w:id="2" w:name="_Toc15377193"/>
      <w:bookmarkStart w:id="3" w:name="_Toc15396475"/>
      <w:bookmarkStart w:id="4" w:name="_Toc15396597"/>
      <w:bookmarkStart w:id="5" w:name="_Toc15378441"/>
      <w:r>
        <w:rPr>
          <w:rFonts w:hint="default" w:ascii="Times New Roman" w:hAnsi="Times New Roman" w:eastAsia="方正小标宋简体" w:cs="Times New Roman"/>
          <w:sz w:val="72"/>
          <w:szCs w:val="72"/>
        </w:rPr>
        <w:t>2022年度</w:t>
      </w:r>
      <w:bookmarkEnd w:id="1"/>
      <w:bookmarkEnd w:id="2"/>
      <w:bookmarkEnd w:id="3"/>
      <w:bookmarkEnd w:id="4"/>
      <w:bookmarkEnd w:id="5"/>
    </w:p>
    <w:bookmarkEnd w:id="0"/>
    <w:p>
      <w:pPr>
        <w:adjustRightInd w:val="0"/>
        <w:snapToGrid w:val="0"/>
        <w:spacing w:line="360" w:lineRule="auto"/>
        <w:jc w:val="center"/>
        <w:outlineLvl w:val="0"/>
        <w:rPr>
          <w:rFonts w:hint="default" w:ascii="Times New Roman" w:hAnsi="Times New Roman" w:eastAsia="方正小标宋简体" w:cs="Times New Roman"/>
          <w:sz w:val="72"/>
          <w:szCs w:val="72"/>
          <w:lang w:eastAsia="zh-CN"/>
        </w:rPr>
      </w:pPr>
      <w:r>
        <w:rPr>
          <w:rFonts w:hint="default" w:ascii="Times New Roman" w:hAnsi="Times New Roman" w:eastAsia="方正小标宋简体" w:cs="Times New Roman"/>
          <w:sz w:val="72"/>
          <w:szCs w:val="72"/>
          <w:lang w:eastAsia="zh-CN"/>
        </w:rPr>
        <w:t>盐边县新九镇卫生院</w:t>
      </w:r>
    </w:p>
    <w:p>
      <w:pPr>
        <w:adjustRightInd w:val="0"/>
        <w:snapToGrid w:val="0"/>
        <w:spacing w:line="360" w:lineRule="auto"/>
        <w:jc w:val="center"/>
        <w:outlineLvl w:val="0"/>
        <w:rPr>
          <w:rFonts w:hint="default" w:ascii="Times New Roman" w:hAnsi="Times New Roman" w:eastAsia="方正小标宋简体" w:cs="Times New Roman"/>
          <w:sz w:val="52"/>
          <w:szCs w:val="52"/>
          <w:lang w:eastAsia="zh-CN"/>
        </w:rPr>
      </w:pPr>
      <w:r>
        <w:rPr>
          <w:rFonts w:hint="default" w:ascii="Times New Roman" w:hAnsi="Times New Roman" w:eastAsia="方正小标宋简体" w:cs="Times New Roman"/>
          <w:sz w:val="72"/>
          <w:szCs w:val="72"/>
          <w:lang w:eastAsia="zh-CN"/>
        </w:rPr>
        <w:t>单位决算</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ind w:right="-218" w:rightChars="-104" w:firstLine="2240" w:firstLineChars="700"/>
        <w:jc w:val="both"/>
        <w:rPr>
          <w:rFonts w:hint="default" w:ascii="Times New Roman" w:hAnsi="Times New Roman" w:eastAsia="仿宋_GB2312" w:cs="Times New Roman"/>
          <w:sz w:val="32"/>
          <w:szCs w:val="32"/>
        </w:rPr>
      </w:pPr>
      <w:bookmarkStart w:id="6" w:name="_Toc15377196"/>
      <w:bookmarkStart w:id="7" w:name="_Toc15396599"/>
      <w:r>
        <w:rPr>
          <w:rFonts w:hint="default" w:ascii="Times New Roman" w:hAnsi="Times New Roman" w:eastAsia="仿宋_GB2312" w:cs="Times New Roman"/>
          <w:sz w:val="32"/>
          <w:szCs w:val="32"/>
        </w:rPr>
        <w:t>公开时间：202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26</w:t>
      </w:r>
      <w:r>
        <w:rPr>
          <w:rFonts w:hint="default" w:ascii="Times New Roman" w:hAnsi="Times New Roman" w:eastAsia="仿宋_GB2312" w:cs="Times New Roman"/>
          <w:sz w:val="32"/>
          <w:szCs w:val="32"/>
        </w:rPr>
        <w:t>日</w:t>
      </w:r>
    </w:p>
    <w:p>
      <w:pPr>
        <w:rPr>
          <w:rFonts w:hint="default"/>
        </w:rPr>
      </w:pPr>
    </w:p>
    <w:p>
      <w:pPr>
        <w:tabs>
          <w:tab w:val="left" w:pos="8400"/>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TOC \o "1-3" \h \u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第一部分单位概况</w:t>
      </w:r>
      <w:r>
        <w:rPr>
          <w:rFonts w:hint="eastAsia" w:eastAsia="仿宋_GB2312"/>
          <w:sz w:val="28"/>
          <w:szCs w:val="28"/>
          <w:lang w:val="en-US" w:eastAsia="zh-CN"/>
        </w:rPr>
        <w:t>...............................................................................</w:t>
      </w:r>
      <w:r>
        <w:rPr>
          <w:rFonts w:hint="eastAsia" w:eastAsia="仿宋_GB2312"/>
          <w:sz w:val="32"/>
          <w:szCs w:val="32"/>
          <w:lang w:val="en-US" w:eastAsia="zh-CN"/>
        </w:rPr>
        <w:t>.1</w:t>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_Toc20417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 主要职责</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_Toc29815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lang w:val="en-US" w:eastAsia="zh-CN"/>
        </w:rPr>
        <w:t xml:space="preserve">二、 </w:t>
      </w:r>
      <w:r>
        <w:rPr>
          <w:rFonts w:hint="default" w:ascii="Times New Roman" w:hAnsi="Times New Roman" w:eastAsia="仿宋_GB2312" w:cs="Times New Roman"/>
          <w:sz w:val="32"/>
          <w:szCs w:val="32"/>
        </w:rPr>
        <w:t>机构设置</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p>
    <w:p>
      <w:pPr>
        <w:pStyle w:val="11"/>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_Toc18061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第二部分 2022年度单位决算情况说明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_Toc6490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sz w:val="32"/>
          <w:szCs w:val="32"/>
        </w:rPr>
        <w:t xml:space="preserve">一、 </w:t>
      </w:r>
      <w:r>
        <w:rPr>
          <w:rFonts w:hint="default" w:ascii="Times New Roman" w:hAnsi="Times New Roman" w:eastAsia="仿宋_GB2312" w:cs="Times New Roman"/>
          <w:sz w:val="32"/>
          <w:szCs w:val="32"/>
        </w:rPr>
        <w:t>收</w:t>
      </w:r>
      <w:r>
        <w:rPr>
          <w:rFonts w:hint="default" w:ascii="Times New Roman" w:hAnsi="Times New Roman" w:eastAsia="仿宋_GB2312" w:cs="Times New Roman"/>
          <w:bCs/>
          <w:sz w:val="32"/>
          <w:szCs w:val="32"/>
        </w:rPr>
        <w:t>入支出决算总体情况说明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 收入决算情况说明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_Toc4157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三、 支出决算情况说明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_Toc16124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四、财政拨款收入支出决算总体情况说明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_Toc28387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五、一般公共预算财政拨款支出决算情况说明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6</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_Toc32264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六、一般公共预算财政拨款基本支出决算情况说明</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_Toc29779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七、财政拨款“三公”经费支出决算情况说明</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_Toc10932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八、政府性基金预算支出决算情况说明</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10</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_Toc5995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九、 国有资本经营预算支出决算情况说明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_Toc12051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十、 其他重要事项的情况说明</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p>
    <w:p>
      <w:pPr>
        <w:pStyle w:val="11"/>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_Toc20138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第三部分 名词解释</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2</w:t>
      </w:r>
    </w:p>
    <w:p>
      <w:pPr>
        <w:pStyle w:val="11"/>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_Toc18807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第四部分 附件</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5</w:t>
      </w:r>
    </w:p>
    <w:p>
      <w:pPr>
        <w:pStyle w:val="11"/>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_Toc6450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
          <w:bCs/>
          <w:sz w:val="32"/>
          <w:szCs w:val="32"/>
        </w:rPr>
        <w:t>第五部分 附表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16</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_Toc14349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一、</w:t>
      </w:r>
      <w:r>
        <w:rPr>
          <w:rFonts w:hint="default" w:ascii="Times New Roman" w:hAnsi="Times New Roman" w:eastAsia="仿宋_GB2312" w:cs="Times New Roman"/>
          <w:bCs/>
          <w:sz w:val="32"/>
          <w:szCs w:val="32"/>
        </w:rPr>
        <w:t>收入支出决算总表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rPr>
        <w:fldChar w:fldCharType="end"/>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_Toc1540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二、</w:t>
      </w:r>
      <w:r>
        <w:rPr>
          <w:rFonts w:hint="default" w:ascii="Times New Roman" w:hAnsi="Times New Roman" w:eastAsia="仿宋_GB2312" w:cs="Times New Roman"/>
          <w:bCs/>
          <w:sz w:val="32"/>
          <w:szCs w:val="32"/>
        </w:rPr>
        <w:t>收入决算表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8</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_Toc24186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三、</w:t>
      </w:r>
      <w:r>
        <w:rPr>
          <w:rFonts w:hint="default" w:ascii="Times New Roman" w:hAnsi="Times New Roman" w:eastAsia="仿宋_GB2312" w:cs="Times New Roman"/>
          <w:bCs/>
          <w:sz w:val="32"/>
          <w:szCs w:val="32"/>
        </w:rPr>
        <w:t>支出决算表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9</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_Toc2109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四、</w:t>
      </w:r>
      <w:r>
        <w:rPr>
          <w:rFonts w:hint="default" w:ascii="Times New Roman" w:hAnsi="Times New Roman" w:eastAsia="仿宋_GB2312" w:cs="Times New Roman"/>
          <w:bCs/>
          <w:sz w:val="32"/>
          <w:szCs w:val="32"/>
        </w:rPr>
        <w:t>财政拨款收入支出决算总表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0</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_Toc17137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五、</w:t>
      </w:r>
      <w:r>
        <w:rPr>
          <w:rFonts w:hint="default" w:ascii="Times New Roman" w:hAnsi="Times New Roman" w:eastAsia="仿宋_GB2312" w:cs="Times New Roman"/>
          <w:bCs/>
          <w:sz w:val="32"/>
          <w:szCs w:val="32"/>
        </w:rPr>
        <w:t>财政拨款支出决算明细表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1</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_Toc13960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六、</w:t>
      </w:r>
      <w:r>
        <w:rPr>
          <w:rFonts w:hint="default" w:ascii="Times New Roman" w:hAnsi="Times New Roman" w:eastAsia="仿宋_GB2312" w:cs="Times New Roman"/>
          <w:bCs/>
          <w:sz w:val="32"/>
          <w:szCs w:val="32"/>
        </w:rPr>
        <w:t>一般公共预算财政拨款支出决算表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5</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_Toc19869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七、</w:t>
      </w:r>
      <w:r>
        <w:rPr>
          <w:rFonts w:hint="default" w:ascii="Times New Roman" w:hAnsi="Times New Roman" w:eastAsia="仿宋_GB2312" w:cs="Times New Roman"/>
          <w:bCs/>
          <w:sz w:val="32"/>
          <w:szCs w:val="32"/>
        </w:rPr>
        <w:t>一般公共预算财政拨款支出决算明细表</w:t>
      </w:r>
      <w:r>
        <w:rPr>
          <w:rFonts w:hint="eastAsia" w:ascii="Times New Roman" w:hAnsi="Times New Roman" w:eastAsia="仿宋_GB2312" w:cs="Times New Roman"/>
          <w:bCs/>
          <w:sz w:val="32"/>
          <w:szCs w:val="32"/>
          <w:lang w:val="en-US" w:eastAsia="zh-CN"/>
        </w:rPr>
        <w:t>.................</w:t>
      </w:r>
      <w:r>
        <w:rPr>
          <w:rFonts w:hint="eastAsia" w:eastAsia="仿宋_GB2312" w:cs="Times New Roman"/>
          <w:bCs/>
          <w:sz w:val="32"/>
          <w:szCs w:val="32"/>
          <w:lang w:val="en-US" w:eastAsia="zh-CN"/>
        </w:rPr>
        <w:t>..</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6</w:t>
      </w:r>
    </w:p>
    <w:p>
      <w:pPr>
        <w:pStyle w:val="12"/>
        <w:tabs>
          <w:tab w:val="right" w:leader="dot" w:pos="8306"/>
          <w:tab w:val="clear" w:pos="8296"/>
        </w:tabs>
        <w:ind w:right="-218" w:rightChars="-104"/>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_Toc31304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八、</w:t>
      </w:r>
      <w:r>
        <w:rPr>
          <w:rFonts w:hint="default" w:ascii="Times New Roman" w:hAnsi="Times New Roman" w:eastAsia="仿宋_GB2312" w:cs="Times New Roman"/>
          <w:bCs/>
          <w:sz w:val="32"/>
          <w:szCs w:val="32"/>
        </w:rPr>
        <w:t>一般公共预算财政拨款基本支出决算</w:t>
      </w:r>
      <w:r>
        <w:rPr>
          <w:rFonts w:hint="eastAsia" w:ascii="Times New Roman" w:hAnsi="Times New Roman" w:eastAsia="仿宋_GB2312" w:cs="Times New Roman"/>
          <w:bCs/>
          <w:sz w:val="32"/>
          <w:szCs w:val="32"/>
          <w:lang w:val="en-US" w:eastAsia="zh-CN"/>
        </w:rPr>
        <w:t>明细</w:t>
      </w:r>
      <w:r>
        <w:rPr>
          <w:rFonts w:hint="default" w:ascii="Times New Roman" w:hAnsi="Times New Roman" w:eastAsia="仿宋_GB2312" w:cs="Times New Roman"/>
          <w:bCs/>
          <w:sz w:val="32"/>
          <w:szCs w:val="32"/>
        </w:rPr>
        <w:t>表</w:t>
      </w:r>
      <w:r>
        <w:rPr>
          <w:rFonts w:hint="default" w:ascii="Times New Roman" w:hAnsi="Times New Roman" w:eastAsia="仿宋_GB2312" w:cs="Times New Roman"/>
          <w:sz w:val="32"/>
          <w:szCs w:val="32"/>
        </w:rPr>
        <w:tab/>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7</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_Toc13751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九、</w:t>
      </w:r>
      <w:r>
        <w:rPr>
          <w:rFonts w:hint="default" w:ascii="Times New Roman" w:hAnsi="Times New Roman" w:eastAsia="仿宋_GB2312" w:cs="Times New Roman"/>
          <w:bCs/>
          <w:sz w:val="32"/>
          <w:szCs w:val="32"/>
        </w:rPr>
        <w:t>一般公共预算财政拨款项目支出决算表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38</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_Toc10415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w:t>
      </w:r>
      <w:r>
        <w:rPr>
          <w:rFonts w:hint="default" w:ascii="Times New Roman" w:hAnsi="Times New Roman" w:eastAsia="仿宋_GB2312" w:cs="Times New Roman"/>
          <w:bCs/>
          <w:sz w:val="32"/>
          <w:szCs w:val="32"/>
        </w:rPr>
        <w:t>政府性基金预算财政拨款收入支出决算</w:t>
      </w:r>
      <w:r>
        <w:rPr>
          <w:rFonts w:hint="eastAsia" w:ascii="Times New Roman" w:hAnsi="Times New Roman" w:eastAsia="仿宋_GB2312" w:cs="Times New Roman"/>
          <w:bCs/>
          <w:sz w:val="32"/>
          <w:szCs w:val="32"/>
          <w:lang w:eastAsia="zh-CN"/>
        </w:rPr>
        <w:t>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39</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_Toc26668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十一</w:t>
      </w:r>
      <w:r>
        <w:rPr>
          <w:rFonts w:hint="default" w:ascii="Times New Roman" w:hAnsi="Times New Roman" w:eastAsia="仿宋_GB2312" w:cs="Times New Roman"/>
          <w:bCs/>
          <w:sz w:val="32"/>
          <w:szCs w:val="32"/>
        </w:rPr>
        <w:t>、国有资本经营预算财政拨款收入支出决算表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0</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_Toc2042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十二、国有资本经营预算财政拨款支出决算表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lang w:val="en-US" w:eastAsia="zh-CN"/>
        </w:rPr>
        <w:t>..............4</w:t>
      </w:r>
      <w:r>
        <w:rPr>
          <w:rFonts w:hint="eastAsia" w:eastAsia="仿宋_GB2312" w:cs="Times New Roman"/>
          <w:sz w:val="32"/>
          <w:szCs w:val="32"/>
          <w:lang w:val="en-US" w:eastAsia="zh-CN"/>
        </w:rPr>
        <w:t>1</w:t>
      </w:r>
    </w:p>
    <w:p>
      <w:pPr>
        <w:pStyle w:val="12"/>
        <w:tabs>
          <w:tab w:val="right" w:leader="dot" w:pos="8306"/>
          <w:tab w:val="clear" w:pos="8296"/>
        </w:tabs>
        <w:ind w:right="-218" w:rightChars="-104"/>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\l _Toc22381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bCs w:val="0"/>
          <w:sz w:val="32"/>
          <w:szCs w:val="32"/>
        </w:rPr>
        <w:t>十三、财政拨款“三公”经费支出决算表</w:t>
      </w:r>
      <w:r>
        <w:rPr>
          <w:rFonts w:hint="default" w:ascii="Times New Roman" w:hAnsi="Times New Roman" w:eastAsia="仿宋_GB2312" w:cs="Times New Roman"/>
          <w:sz w:val="32"/>
          <w:szCs w:val="32"/>
        </w:rPr>
        <w:tab/>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fldChar w:fldCharType="end"/>
      </w:r>
      <w:r>
        <w:rPr>
          <w:rFonts w:hint="eastAsia" w:eastAsia="仿宋_GB2312" w:cs="Times New Roman"/>
          <w:sz w:val="32"/>
          <w:szCs w:val="32"/>
          <w:lang w:val="en-US" w:eastAsia="zh-CN"/>
        </w:rPr>
        <w:t>42</w:t>
      </w:r>
    </w:p>
    <w:p>
      <w:pPr>
        <w:pStyle w:val="3"/>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end"/>
      </w:r>
    </w:p>
    <w:p>
      <w:pPr>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60" w:name="_GoBack"/>
      <w:bookmarkEnd w:id="60"/>
    </w:p>
    <w:p>
      <w:pPr>
        <w:pStyle w:val="2"/>
        <w:pageBreakBefore w:val="0"/>
        <w:kinsoku/>
        <w:wordWrap/>
        <w:overflowPunct/>
        <w:topLinePunct w:val="0"/>
        <w:autoSpaceDE/>
        <w:autoSpaceDN/>
        <w:bidi w:val="0"/>
        <w:adjustRightInd/>
        <w:snapToGrid/>
        <w:spacing w:line="560" w:lineRule="exact"/>
        <w:textAlignment w:val="auto"/>
        <w:rPr>
          <w:rFonts w:hint="default"/>
        </w:rPr>
      </w:pPr>
    </w:p>
    <w:p>
      <w:pPr>
        <w:pStyle w:val="3"/>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b w:val="0"/>
        </w:rPr>
      </w:pPr>
    </w:p>
    <w:p>
      <w:pPr>
        <w:rPr>
          <w:rFonts w:hint="eastAsia" w:ascii="黑体" w:hAnsi="黑体" w:eastAsia="黑体"/>
          <w:b w:val="0"/>
        </w:rPr>
      </w:pPr>
    </w:p>
    <w:p>
      <w:pPr>
        <w:pStyle w:val="2"/>
        <w:rPr>
          <w:rFonts w:hint="eastAsia"/>
        </w:rPr>
      </w:pPr>
    </w:p>
    <w:p>
      <w:pPr>
        <w:pStyle w:val="3"/>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pStyle w:val="3"/>
        <w:pageBreakBefore w:val="0"/>
        <w:kinsoku/>
        <w:wordWrap/>
        <w:overflowPunct/>
        <w:topLinePunct w:val="0"/>
        <w:autoSpaceDE/>
        <w:autoSpaceDN/>
        <w:bidi w:val="0"/>
        <w:adjustRightInd/>
        <w:snapToGrid/>
        <w:spacing w:line="560" w:lineRule="exact"/>
        <w:jc w:val="center"/>
        <w:textAlignment w:val="auto"/>
        <w:rPr>
          <w:rStyle w:val="26"/>
          <w:rFonts w:hint="eastAsia" w:ascii="方正小标宋简体" w:hAnsi="方正小标宋简体" w:eastAsia="方正小标宋简体" w:cs="方正小标宋简体"/>
          <w:b/>
          <w:bCs w:val="0"/>
        </w:rPr>
      </w:pPr>
      <w:r>
        <w:rPr>
          <w:rFonts w:hint="eastAsia" w:ascii="方正小标宋简体" w:hAnsi="方正小标宋简体" w:eastAsia="方正小标宋简体" w:cs="方正小标宋简体"/>
          <w:b w:val="0"/>
        </w:rPr>
        <w:t>第一部分 单位</w:t>
      </w:r>
      <w:r>
        <w:rPr>
          <w:rStyle w:val="26"/>
          <w:rFonts w:hint="eastAsia" w:ascii="方正小标宋简体" w:hAnsi="方正小标宋简体" w:eastAsia="方正小标宋简体" w:cs="方正小标宋简体"/>
          <w:b w:val="0"/>
          <w:bCs w:val="0"/>
        </w:rPr>
        <w:t>概况</w:t>
      </w:r>
      <w:bookmarkEnd w:id="6"/>
      <w:bookmarkEnd w:id="7"/>
    </w:p>
    <w:p>
      <w:pPr>
        <w:pageBreakBefore w:val="0"/>
        <w:widowControl/>
        <w:kinsoku/>
        <w:wordWrap/>
        <w:overflowPunct/>
        <w:topLinePunct w:val="0"/>
        <w:autoSpaceDE/>
        <w:autoSpaceDN/>
        <w:bidi w:val="0"/>
        <w:adjustRightInd/>
        <w:snapToGrid/>
        <w:spacing w:line="560" w:lineRule="exact"/>
        <w:jc w:val="left"/>
        <w:textAlignment w:val="auto"/>
        <w:rPr>
          <w:rFonts w:ascii="黑体" w:eastAsia="黑体"/>
          <w:sz w:val="32"/>
          <w:szCs w:val="32"/>
        </w:rPr>
      </w:pPr>
    </w:p>
    <w:p>
      <w:pPr>
        <w:pStyle w:val="4"/>
        <w:keepNext/>
        <w:keepLines/>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bookmarkStart w:id="8" w:name="_Toc15396600"/>
      <w:bookmarkStart w:id="9" w:name="_Toc15377197"/>
      <w:r>
        <w:rPr>
          <w:rStyle w:val="27"/>
          <w:rFonts w:hint="eastAsia" w:ascii="黑体" w:hAnsi="黑体" w:eastAsia="黑体" w:cs="黑体"/>
          <w:b w:val="0"/>
          <w:bCs w:val="0"/>
          <w:sz w:val="32"/>
          <w:szCs w:val="32"/>
        </w:rPr>
        <w:t>主要职责</w:t>
      </w:r>
    </w:p>
    <w:p>
      <w:pPr>
        <w:pStyle w:val="4"/>
        <w:keepNext/>
        <w:keepLines/>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宣传贯彻党和政府的各项医疗卫生方针政策，开展辖区内居民的基本公共卫生服务工作。贯彻落实国家基本药物制度，乡镇卫生院全部配备、使用基本药物; 实行网上统一采购、统一配送的基本药物采购机制;实施基本药物零差率销售。协助开展突发公共卫生事件应急调查和处置工作，承担区域内公共卫生相关信息的收集和报告。对所属行政村卫生室实行一体化管理，承担对</w:t>
      </w:r>
      <w:r>
        <w:rPr>
          <w:rFonts w:hint="default" w:ascii="Times New Roman" w:hAnsi="Times New Roman" w:eastAsia="仿宋_GB2312" w:cs="Times New Roman"/>
          <w:b w:val="0"/>
          <w:bCs w:val="0"/>
          <w:sz w:val="32"/>
          <w:szCs w:val="32"/>
          <w:lang w:eastAsia="zh-CN"/>
        </w:rPr>
        <w:t>辖区内</w:t>
      </w:r>
      <w:r>
        <w:rPr>
          <w:rFonts w:hint="default" w:ascii="Times New Roman" w:hAnsi="Times New Roman" w:eastAsia="仿宋_GB2312" w:cs="Times New Roman"/>
          <w:b w:val="0"/>
          <w:bCs w:val="0"/>
          <w:sz w:val="32"/>
          <w:szCs w:val="32"/>
        </w:rPr>
        <w:t>村卫生室的业务管理和指导。协助做好区域内食品卫生、饮用水卫生、公共场所卫生、职业卫生等公共卫生工作</w:t>
      </w:r>
      <w:r>
        <w:rPr>
          <w:rFonts w:hint="default" w:ascii="Times New Roman" w:hAnsi="Times New Roman" w:eastAsia="仿宋_GB2312" w:cs="Times New Roman"/>
          <w:b w:val="0"/>
          <w:bCs w:val="0"/>
          <w:sz w:val="32"/>
          <w:szCs w:val="32"/>
          <w:lang w:eastAsia="zh-CN"/>
        </w:rPr>
        <w:t>和</w:t>
      </w:r>
      <w:r>
        <w:rPr>
          <w:rFonts w:hint="default" w:ascii="Times New Roman" w:hAnsi="Times New Roman" w:eastAsia="仿宋_GB2312" w:cs="Times New Roman"/>
          <w:b w:val="0"/>
          <w:bCs w:val="0"/>
          <w:sz w:val="32"/>
          <w:szCs w:val="32"/>
        </w:rPr>
        <w:t>爱国卫生工作。</w:t>
      </w:r>
    </w:p>
    <w:p>
      <w:pPr>
        <w:pStyle w:val="4"/>
        <w:keepNext/>
        <w:keepLines/>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提供基本医疗服务，开展农村常见病、多发病的诊断和治疗及诊断明确的慢性非传染性疾病的诊疗、护理。</w:t>
      </w:r>
    </w:p>
    <w:p>
      <w:pPr>
        <w:pStyle w:val="4"/>
        <w:keepNext/>
        <w:keepLines/>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2022年重点工作完成情况</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000000"/>
          <w:sz w:val="32"/>
          <w:szCs w:val="32"/>
        </w:rPr>
        <w:t>基本医疗：本年门诊总</w:t>
      </w:r>
      <w:r>
        <w:rPr>
          <w:rFonts w:hint="default" w:ascii="Times New Roman" w:hAnsi="Times New Roman" w:eastAsia="仿宋_GB2312" w:cs="Times New Roman"/>
          <w:color w:val="000000"/>
          <w:sz w:val="32"/>
          <w:szCs w:val="32"/>
          <w:lang w:eastAsia="zh-CN"/>
        </w:rPr>
        <w:t>诊</w:t>
      </w:r>
      <w:r>
        <w:rPr>
          <w:rFonts w:hint="default" w:ascii="Times New Roman" w:hAnsi="Times New Roman" w:eastAsia="仿宋_GB2312" w:cs="Times New Roman"/>
          <w:color w:val="000000"/>
          <w:sz w:val="32"/>
          <w:szCs w:val="32"/>
        </w:rPr>
        <w:t>疗</w:t>
      </w:r>
      <w:r>
        <w:rPr>
          <w:rFonts w:hint="default" w:ascii="Times New Roman" w:hAnsi="Times New Roman" w:eastAsia="仿宋_GB2312" w:cs="Times New Roman"/>
          <w:color w:val="000000"/>
          <w:sz w:val="32"/>
          <w:szCs w:val="32"/>
          <w:lang w:val="en-US" w:eastAsia="zh-CN"/>
        </w:rPr>
        <w:t>8660</w:t>
      </w:r>
      <w:r>
        <w:rPr>
          <w:rFonts w:hint="default" w:ascii="Times New Roman" w:hAnsi="Times New Roman" w:eastAsia="仿宋_GB2312" w:cs="Times New Roman"/>
          <w:color w:val="000000"/>
          <w:sz w:val="32"/>
          <w:szCs w:val="32"/>
        </w:rPr>
        <w:t>人次</w:t>
      </w:r>
      <w:r>
        <w:rPr>
          <w:rFonts w:hint="default" w:ascii="Times New Roman" w:hAnsi="Times New Roman" w:eastAsia="仿宋_GB2312" w:cs="Times New Roman"/>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基本公共卫生：开展了十四项公共卫生服务：其中</w:t>
      </w:r>
      <w:r>
        <w:rPr>
          <w:rFonts w:hint="default" w:ascii="Times New Roman" w:hAnsi="Times New Roman" w:eastAsia="仿宋_GB2312" w:cs="Times New Roman"/>
          <w:sz w:val="32"/>
          <w:szCs w:val="32"/>
          <w:lang w:eastAsia="zh-CN"/>
        </w:rPr>
        <w:t>开展了</w:t>
      </w:r>
      <w:r>
        <w:rPr>
          <w:rFonts w:hint="default" w:ascii="Times New Roman" w:hAnsi="Times New Roman" w:eastAsia="仿宋_GB2312" w:cs="Times New Roman"/>
          <w:sz w:val="32"/>
          <w:szCs w:val="32"/>
        </w:rPr>
        <w:t>慢性病（糖尿病</w:t>
      </w:r>
      <w:r>
        <w:rPr>
          <w:rFonts w:hint="default" w:ascii="Times New Roman" w:hAnsi="Times New Roman" w:eastAsia="仿宋_GB2312" w:cs="Times New Roman"/>
          <w:sz w:val="32"/>
          <w:szCs w:val="32"/>
          <w:lang w:val="en-US" w:eastAsia="zh-CN"/>
        </w:rPr>
        <w:t>483</w:t>
      </w:r>
      <w:r>
        <w:rPr>
          <w:rFonts w:hint="default" w:ascii="Times New Roman" w:hAnsi="Times New Roman" w:eastAsia="仿宋_GB2312" w:cs="Times New Roman"/>
          <w:sz w:val="32"/>
          <w:szCs w:val="32"/>
        </w:rPr>
        <w:t>人、高血压</w:t>
      </w:r>
      <w:r>
        <w:rPr>
          <w:rFonts w:hint="default" w:ascii="Times New Roman" w:hAnsi="Times New Roman" w:eastAsia="仿宋_GB2312" w:cs="Times New Roman"/>
          <w:sz w:val="32"/>
          <w:szCs w:val="32"/>
          <w:lang w:val="en-US" w:eastAsia="zh-CN"/>
        </w:rPr>
        <w:t>458</w:t>
      </w:r>
      <w:r>
        <w:rPr>
          <w:rFonts w:hint="default" w:ascii="Times New Roman" w:hAnsi="Times New Roman" w:eastAsia="仿宋_GB2312" w:cs="Times New Roman"/>
          <w:sz w:val="32"/>
          <w:szCs w:val="32"/>
        </w:rPr>
        <w:t>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重型精神病</w:t>
      </w:r>
      <w:r>
        <w:rPr>
          <w:rFonts w:hint="default" w:ascii="Times New Roman" w:hAnsi="Times New Roman" w:eastAsia="仿宋_GB2312" w:cs="Times New Roman"/>
          <w:sz w:val="32"/>
          <w:szCs w:val="32"/>
          <w:lang w:val="en-US" w:eastAsia="zh-CN"/>
        </w:rPr>
        <w:t>80</w:t>
      </w:r>
      <w:r>
        <w:rPr>
          <w:rFonts w:hint="default" w:ascii="Times New Roman" w:hAnsi="Times New Roman" w:eastAsia="仿宋_GB2312" w:cs="Times New Roman"/>
          <w:sz w:val="32"/>
          <w:szCs w:val="32"/>
        </w:rPr>
        <w:t>人的随访及年度体检；老年人</w:t>
      </w:r>
      <w:r>
        <w:rPr>
          <w:rFonts w:hint="default" w:ascii="Times New Roman" w:hAnsi="Times New Roman" w:eastAsia="仿宋_GB2312" w:cs="Times New Roman"/>
          <w:sz w:val="32"/>
          <w:szCs w:val="32"/>
          <w:lang w:val="en-US" w:eastAsia="zh-CN"/>
        </w:rPr>
        <w:t>2099</w:t>
      </w:r>
      <w:r>
        <w:rPr>
          <w:rFonts w:hint="default" w:ascii="Times New Roman" w:hAnsi="Times New Roman" w:eastAsia="仿宋_GB2312" w:cs="Times New Roman"/>
          <w:sz w:val="32"/>
          <w:szCs w:val="32"/>
        </w:rPr>
        <w:t>人的中医药服务、年度体检；</w:t>
      </w:r>
      <w:r>
        <w:rPr>
          <w:rFonts w:hint="default" w:ascii="Times New Roman" w:hAnsi="Times New Roman" w:eastAsia="仿宋_GB2312" w:cs="Times New Roman"/>
          <w:sz w:val="32"/>
          <w:szCs w:val="32"/>
          <w:lang w:eastAsia="zh-CN"/>
        </w:rPr>
        <w:t>完成</w:t>
      </w:r>
      <w:r>
        <w:rPr>
          <w:rFonts w:hint="default" w:ascii="Times New Roman" w:hAnsi="Times New Roman" w:eastAsia="仿宋_GB2312" w:cs="Times New Roman"/>
          <w:sz w:val="32"/>
          <w:szCs w:val="32"/>
        </w:rPr>
        <w:t>孕产妇保健</w:t>
      </w:r>
      <w:r>
        <w:rPr>
          <w:rFonts w:hint="default" w:ascii="Times New Roman" w:hAnsi="Times New Roman" w:eastAsia="仿宋_GB2312" w:cs="Times New Roman"/>
          <w:sz w:val="32"/>
          <w:szCs w:val="32"/>
          <w:lang w:val="en-US" w:eastAsia="zh-CN"/>
        </w:rPr>
        <w:t>118</w:t>
      </w:r>
      <w:r>
        <w:rPr>
          <w:rFonts w:hint="default" w:ascii="Times New Roman" w:hAnsi="Times New Roman" w:eastAsia="仿宋_GB2312" w:cs="Times New Roman"/>
          <w:sz w:val="32"/>
          <w:szCs w:val="32"/>
        </w:rPr>
        <w:t>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0-6儿童保健</w:t>
      </w:r>
      <w:r>
        <w:rPr>
          <w:rFonts w:hint="default" w:ascii="Times New Roman" w:hAnsi="Times New Roman" w:eastAsia="仿宋_GB2312" w:cs="Times New Roman"/>
          <w:sz w:val="32"/>
          <w:szCs w:val="32"/>
          <w:lang w:val="en-US" w:eastAsia="zh-CN"/>
        </w:rPr>
        <w:t>952</w:t>
      </w:r>
      <w:r>
        <w:rPr>
          <w:rFonts w:hint="default" w:ascii="Times New Roman" w:hAnsi="Times New Roman" w:eastAsia="仿宋_GB2312" w:cs="Times New Roman"/>
          <w:sz w:val="32"/>
          <w:szCs w:val="32"/>
        </w:rPr>
        <w:t>人</w:t>
      </w:r>
      <w:r>
        <w:rPr>
          <w:rFonts w:hint="default" w:ascii="Times New Roman" w:hAnsi="Times New Roman" w:eastAsia="仿宋_GB2312" w:cs="Times New Roman"/>
          <w:sz w:val="32"/>
          <w:szCs w:val="32"/>
          <w:lang w:eastAsia="zh-CN"/>
        </w:rPr>
        <w:t>的常规服务</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完成免费</w:t>
      </w:r>
      <w:r>
        <w:rPr>
          <w:rFonts w:hint="default" w:ascii="Times New Roman" w:hAnsi="Times New Roman" w:eastAsia="仿宋_GB2312" w:cs="Times New Roman"/>
          <w:sz w:val="32"/>
          <w:szCs w:val="32"/>
        </w:rPr>
        <w:t>预防接种</w:t>
      </w:r>
      <w:r>
        <w:rPr>
          <w:rFonts w:hint="default" w:ascii="Times New Roman" w:hAnsi="Times New Roman" w:eastAsia="仿宋_GB2312" w:cs="Times New Roman"/>
          <w:sz w:val="32"/>
          <w:szCs w:val="32"/>
          <w:lang w:val="en-US" w:eastAsia="zh-CN"/>
        </w:rPr>
        <w:t>2249</w:t>
      </w:r>
      <w:r>
        <w:rPr>
          <w:rFonts w:hint="default" w:ascii="Times New Roman" w:hAnsi="Times New Roman" w:eastAsia="仿宋_GB2312" w:cs="Times New Roman"/>
          <w:sz w:val="32"/>
          <w:szCs w:val="32"/>
        </w:rPr>
        <w:t>人次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家庭医生签约1</w:t>
      </w:r>
      <w:r>
        <w:rPr>
          <w:rFonts w:hint="default" w:ascii="Times New Roman" w:hAnsi="Times New Roman" w:eastAsia="仿宋_GB2312" w:cs="Times New Roman"/>
          <w:sz w:val="32"/>
          <w:szCs w:val="32"/>
          <w:lang w:val="en-US" w:eastAsia="zh-CN"/>
        </w:rPr>
        <w:t>5453人次。</w:t>
      </w:r>
    </w:p>
    <w:p>
      <w:pPr>
        <w:pStyle w:val="4"/>
        <w:keepNext/>
        <w:keepLines/>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sz w:val="32"/>
          <w:szCs w:val="32"/>
        </w:rPr>
      </w:pPr>
      <w:r>
        <w:rPr>
          <w:rFonts w:hint="eastAsia" w:ascii="黑体" w:hAnsi="黑体" w:eastAsia="黑体" w:cs="黑体"/>
          <w:b w:val="0"/>
          <w:sz w:val="32"/>
          <w:szCs w:val="32"/>
        </w:rPr>
        <w:t>二、机构设置</w:t>
      </w:r>
    </w:p>
    <w:bookmarkEnd w:id="8"/>
    <w:bookmarkEnd w:id="9"/>
    <w:p>
      <w:pPr>
        <w:pageBreakBefore w:val="0"/>
        <w:kinsoku/>
        <w:wordWrap/>
        <w:overflowPunct/>
        <w:topLinePunct w:val="0"/>
        <w:autoSpaceDE/>
        <w:autoSpaceDN/>
        <w:bidi w:val="0"/>
        <w:adjustRightInd/>
        <w:snapToGrid/>
        <w:spacing w:line="560" w:lineRule="exact"/>
        <w:ind w:firstLine="800" w:firstLineChars="250"/>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sz w:val="32"/>
          <w:szCs w:val="32"/>
          <w:lang w:val="en-US" w:eastAsia="zh-CN"/>
        </w:rPr>
        <w:t>盐</w:t>
      </w:r>
      <w:r>
        <w:rPr>
          <w:rFonts w:hint="default" w:ascii="Times New Roman" w:hAnsi="Times New Roman" w:eastAsia="仿宋_GB2312" w:cs="Times New Roman"/>
          <w:sz w:val="32"/>
          <w:szCs w:val="32"/>
          <w:lang w:eastAsia="zh-CN"/>
        </w:rPr>
        <w:t>边县新九镇卫生院</w:t>
      </w:r>
      <w:r>
        <w:rPr>
          <w:rFonts w:hint="default" w:ascii="Times New Roman" w:hAnsi="Times New Roman" w:eastAsia="仿宋_GB2312" w:cs="Times New Roman"/>
          <w:sz w:val="32"/>
          <w:szCs w:val="32"/>
        </w:rPr>
        <w:t>下</w:t>
      </w:r>
      <w:r>
        <w:rPr>
          <w:rFonts w:hint="eastAsia" w:eastAsia="仿宋_GB2312" w:cs="Times New Roman"/>
          <w:sz w:val="32"/>
          <w:szCs w:val="32"/>
          <w:lang w:eastAsia="zh-CN"/>
        </w:rPr>
        <w:t>设预防保健科、全科医疗科、内科、外科、妇产科、儿科、医学检验科、医学影像科、中医科等科室，编制</w:t>
      </w:r>
      <w:r>
        <w:rPr>
          <w:rFonts w:hint="eastAsia" w:eastAsia="仿宋_GB2312" w:cs="Times New Roman"/>
          <w:sz w:val="32"/>
          <w:szCs w:val="32"/>
          <w:lang w:val="en-US" w:eastAsia="zh-CN"/>
        </w:rPr>
        <w:t>18人</w:t>
      </w:r>
      <w:r>
        <w:rPr>
          <w:rFonts w:hint="eastAsia" w:eastAsia="仿宋_GB2312" w:cs="Times New Roman"/>
          <w:sz w:val="32"/>
          <w:szCs w:val="32"/>
          <w:lang w:eastAsia="zh-CN"/>
        </w:rPr>
        <w:t>。</w:t>
      </w:r>
    </w:p>
    <w:p>
      <w:pPr>
        <w:widowControl/>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br w:type="page"/>
      </w:r>
    </w:p>
    <w:p>
      <w:pPr>
        <w:pStyle w:val="3"/>
        <w:ind w:right="440"/>
        <w:jc w:val="center"/>
        <w:rPr>
          <w:rStyle w:val="26"/>
          <w:rFonts w:hint="default" w:ascii="Times New Roman" w:hAnsi="Times New Roman" w:eastAsia="方正小标宋简体" w:cs="Times New Roman"/>
          <w:b w:val="0"/>
          <w:bCs/>
          <w:sz w:val="44"/>
          <w:szCs w:val="44"/>
        </w:rPr>
      </w:pPr>
      <w:bookmarkStart w:id="10" w:name="_Toc15377204"/>
      <w:bookmarkStart w:id="11" w:name="_Toc15396602"/>
      <w:r>
        <w:rPr>
          <w:rFonts w:hint="default" w:ascii="Times New Roman" w:hAnsi="Times New Roman" w:eastAsia="方正小标宋简体" w:cs="Times New Roman"/>
          <w:b w:val="0"/>
          <w:sz w:val="44"/>
          <w:szCs w:val="44"/>
        </w:rPr>
        <w:t>第二部分 2022年度</w:t>
      </w:r>
      <w:r>
        <w:rPr>
          <w:rStyle w:val="26"/>
          <w:rFonts w:hint="default" w:ascii="Times New Roman" w:hAnsi="Times New Roman" w:eastAsia="方正小标宋简体" w:cs="Times New Roman"/>
          <w:b w:val="0"/>
          <w:bCs/>
          <w:sz w:val="44"/>
          <w:szCs w:val="44"/>
        </w:rPr>
        <w:t>单位决算情况说明</w:t>
      </w:r>
      <w:bookmarkEnd w:id="10"/>
      <w:bookmarkEnd w:id="11"/>
    </w:p>
    <w:p>
      <w:pPr>
        <w:pStyle w:val="25"/>
        <w:numPr>
          <w:ilvl w:val="0"/>
          <w:numId w:val="4"/>
        </w:numPr>
        <w:spacing w:line="600" w:lineRule="exact"/>
        <w:ind w:firstLineChars="0"/>
        <w:outlineLvl w:val="1"/>
        <w:rPr>
          <w:rStyle w:val="27"/>
          <w:rFonts w:hint="eastAsia" w:ascii="黑体" w:hAnsi="黑体" w:eastAsia="黑体" w:cs="黑体"/>
          <w:b w:val="0"/>
          <w:sz w:val="32"/>
          <w:szCs w:val="32"/>
        </w:rPr>
      </w:pPr>
      <w:bookmarkStart w:id="12" w:name="_Toc15396603"/>
      <w:bookmarkStart w:id="13" w:name="_Toc15377205"/>
      <w:r>
        <w:rPr>
          <w:rFonts w:hint="eastAsia" w:ascii="黑体" w:hAnsi="黑体" w:eastAsia="黑体" w:cs="黑体"/>
          <w:sz w:val="32"/>
          <w:szCs w:val="32"/>
        </w:rPr>
        <w:t>收</w:t>
      </w:r>
      <w:r>
        <w:rPr>
          <w:rStyle w:val="27"/>
          <w:rFonts w:hint="eastAsia" w:ascii="黑体" w:hAnsi="黑体" w:eastAsia="黑体" w:cs="黑体"/>
          <w:b w:val="0"/>
          <w:sz w:val="32"/>
          <w:szCs w:val="32"/>
        </w:rPr>
        <w:t>入支出决算总体情况说明</w:t>
      </w:r>
      <w:bookmarkEnd w:id="12"/>
      <w:bookmarkEnd w:id="13"/>
    </w:p>
    <w:p>
      <w:pPr>
        <w:spacing w:line="60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年度收</w:t>
      </w:r>
      <w:r>
        <w:rPr>
          <w:rFonts w:hint="default" w:ascii="Times New Roman" w:hAnsi="Times New Roman" w:eastAsia="仿宋_GB2312" w:cs="Times New Roman"/>
          <w:sz w:val="32"/>
          <w:szCs w:val="32"/>
          <w:lang w:eastAsia="zh-CN"/>
        </w:rPr>
        <w:t>入</w:t>
      </w:r>
      <w:r>
        <w:rPr>
          <w:rFonts w:hint="default" w:ascii="Times New Roman" w:hAnsi="Times New Roman" w:eastAsia="仿宋_GB2312" w:cs="Times New Roman"/>
          <w:sz w:val="32"/>
          <w:szCs w:val="32"/>
          <w:lang w:val="en-US" w:eastAsia="zh-CN"/>
        </w:rPr>
        <w:t>421.87万元</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w:t>
      </w:r>
      <w:r>
        <w:rPr>
          <w:rFonts w:hint="eastAsia" w:eastAsia="仿宋_GB2312" w:cs="Times New Roman"/>
          <w:sz w:val="32"/>
          <w:szCs w:val="32"/>
          <w:lang w:val="en-US" w:eastAsia="zh-CN"/>
        </w:rPr>
        <w:t>421.87</w:t>
      </w:r>
      <w:r>
        <w:rPr>
          <w:rFonts w:hint="default" w:ascii="Times New Roman" w:hAnsi="Times New Roman" w:eastAsia="仿宋_GB2312" w:cs="Times New Roman"/>
          <w:sz w:val="32"/>
          <w:szCs w:val="32"/>
        </w:rPr>
        <w:t>万元。与202</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年相比，收</w:t>
      </w:r>
      <w:r>
        <w:rPr>
          <w:rFonts w:hint="default" w:ascii="Times New Roman" w:hAnsi="Times New Roman" w:eastAsia="仿宋_GB2312" w:cs="Times New Roman"/>
          <w:sz w:val="32"/>
          <w:szCs w:val="32"/>
          <w:lang w:eastAsia="zh-CN"/>
        </w:rPr>
        <w:t>入减少</w:t>
      </w:r>
      <w:r>
        <w:rPr>
          <w:rFonts w:hint="eastAsia" w:eastAsia="仿宋_GB2312" w:cs="Times New Roman"/>
          <w:sz w:val="32"/>
          <w:szCs w:val="32"/>
          <w:lang w:val="en-US" w:eastAsia="zh-CN"/>
        </w:rPr>
        <w:t>126.43</w:t>
      </w:r>
      <w:r>
        <w:rPr>
          <w:rFonts w:hint="default" w:ascii="Times New Roman" w:hAnsi="Times New Roman" w:eastAsia="仿宋_GB2312" w:cs="Times New Roman"/>
          <w:sz w:val="32"/>
          <w:szCs w:val="32"/>
          <w:lang w:val="en-US" w:eastAsia="zh-CN"/>
        </w:rPr>
        <w:t>万元，其原因为2022年事业收入较2021年</w:t>
      </w:r>
      <w:r>
        <w:rPr>
          <w:rFonts w:hint="eastAsia" w:eastAsia="仿宋_GB2312" w:cs="Times New Roman"/>
          <w:sz w:val="32"/>
          <w:szCs w:val="32"/>
          <w:lang w:val="en-US" w:eastAsia="zh-CN"/>
        </w:rPr>
        <w:t>减</w:t>
      </w:r>
      <w:r>
        <w:rPr>
          <w:rFonts w:hint="default" w:ascii="Times New Roman" w:hAnsi="Times New Roman" w:eastAsia="仿宋_GB2312" w:cs="Times New Roman"/>
          <w:sz w:val="32"/>
          <w:szCs w:val="32"/>
          <w:lang w:val="en-US" w:eastAsia="zh-CN"/>
        </w:rPr>
        <w:t>少</w:t>
      </w:r>
      <w:r>
        <w:rPr>
          <w:rFonts w:hint="eastAsia" w:eastAsia="仿宋_GB2312" w:cs="Times New Roman"/>
          <w:sz w:val="32"/>
          <w:szCs w:val="32"/>
          <w:lang w:val="en-US" w:eastAsia="zh-CN"/>
        </w:rPr>
        <w:t>,2021年初有结转结余105.18万元</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出减少了</w:t>
      </w:r>
      <w:r>
        <w:rPr>
          <w:rFonts w:hint="eastAsia" w:eastAsia="仿宋_GB2312" w:cs="Times New Roman"/>
          <w:sz w:val="32"/>
          <w:szCs w:val="32"/>
          <w:lang w:val="en-US" w:eastAsia="zh-CN"/>
        </w:rPr>
        <w:t>126.43</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主要变动原因是</w:t>
      </w:r>
      <w:r>
        <w:rPr>
          <w:rFonts w:hint="eastAsia" w:eastAsia="仿宋_GB2312" w:cs="Times New Roman"/>
          <w:sz w:val="32"/>
          <w:szCs w:val="32"/>
          <w:lang w:val="en-US" w:eastAsia="zh-CN"/>
        </w:rPr>
        <w:t>2022年事业收入未计入，</w:t>
      </w:r>
      <w:r>
        <w:rPr>
          <w:rFonts w:hint="default" w:ascii="Times New Roman" w:hAnsi="Times New Roman" w:eastAsia="仿宋_GB2312" w:cs="Times New Roman"/>
          <w:sz w:val="32"/>
          <w:szCs w:val="32"/>
          <w:lang w:eastAsia="zh-CN"/>
        </w:rPr>
        <w:t>项目支出</w:t>
      </w:r>
      <w:r>
        <w:rPr>
          <w:rFonts w:hint="default" w:ascii="Times New Roman" w:hAnsi="Times New Roman" w:eastAsia="仿宋_GB2312" w:cs="Times New Roman"/>
          <w:sz w:val="32"/>
          <w:szCs w:val="32"/>
          <w:lang w:val="en-US" w:eastAsia="zh-CN"/>
        </w:rPr>
        <w:t>2020年的部分公共卫生经费在2021年支出，2021年还购买了救护车及DR设备。</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drawing>
          <wp:anchor distT="0" distB="0" distL="114300" distR="114300" simplePos="0" relativeHeight="251661312" behindDoc="1" locked="0" layoutInCell="1" allowOverlap="1">
            <wp:simplePos x="0" y="0"/>
            <wp:positionH relativeFrom="column">
              <wp:posOffset>357505</wp:posOffset>
            </wp:positionH>
            <wp:positionV relativeFrom="paragraph">
              <wp:posOffset>21590</wp:posOffset>
            </wp:positionV>
            <wp:extent cx="4841875" cy="3298190"/>
            <wp:effectExtent l="4445" t="4445" r="11430" b="50165"/>
            <wp:wrapTight wrapText="bothSides">
              <wp:wrapPolygon>
                <wp:start x="-20" y="-29"/>
                <wp:lineTo x="-20" y="21554"/>
                <wp:lineTo x="21566" y="21554"/>
                <wp:lineTo x="21566" y="-29"/>
                <wp:lineTo x="-20" y="-29"/>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图1：收、支决算总计变动情况图</w:t>
      </w:r>
    </w:p>
    <w:p>
      <w:pPr>
        <w:pStyle w:val="2"/>
        <w:rPr>
          <w:rFonts w:hint="default"/>
        </w:rPr>
      </w:pPr>
    </w:p>
    <w:p>
      <w:pPr>
        <w:pStyle w:val="25"/>
        <w:numPr>
          <w:ilvl w:val="0"/>
          <w:numId w:val="4"/>
        </w:numPr>
        <w:spacing w:line="600" w:lineRule="exact"/>
        <w:ind w:firstLineChars="0"/>
        <w:outlineLvl w:val="1"/>
        <w:rPr>
          <w:rStyle w:val="27"/>
          <w:rFonts w:hint="eastAsia" w:ascii="黑体" w:hAnsi="黑体" w:eastAsia="黑体" w:cs="黑体"/>
          <w:b w:val="0"/>
          <w:sz w:val="32"/>
          <w:szCs w:val="32"/>
        </w:rPr>
      </w:pPr>
      <w:bookmarkStart w:id="14" w:name="_Toc15396604"/>
      <w:bookmarkStart w:id="15" w:name="_Toc15377206"/>
      <w:r>
        <w:rPr>
          <w:rFonts w:hint="eastAsia" w:ascii="黑体" w:hAnsi="黑体" w:eastAsia="黑体" w:cs="黑体"/>
          <w:sz w:val="32"/>
          <w:szCs w:val="32"/>
        </w:rPr>
        <w:t>收</w:t>
      </w:r>
      <w:r>
        <w:rPr>
          <w:rStyle w:val="27"/>
          <w:rFonts w:hint="eastAsia" w:ascii="黑体" w:hAnsi="黑体" w:eastAsia="黑体" w:cs="黑体"/>
          <w:b w:val="0"/>
          <w:sz w:val="32"/>
          <w:szCs w:val="32"/>
        </w:rPr>
        <w:t>入决算情况说明</w:t>
      </w:r>
      <w:bookmarkEnd w:id="14"/>
      <w:bookmarkEnd w:id="15"/>
    </w:p>
    <w:p>
      <w:pPr>
        <w:spacing w:line="60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2022年本年收入合计</w:t>
      </w:r>
      <w:r>
        <w:rPr>
          <w:rFonts w:hint="default" w:ascii="Times New Roman" w:hAnsi="Times New Roman" w:eastAsia="仿宋_GB2312" w:cs="Times New Roman"/>
          <w:sz w:val="32"/>
          <w:szCs w:val="32"/>
          <w:lang w:val="en-US" w:eastAsia="zh-CN"/>
        </w:rPr>
        <w:t>421.87</w:t>
      </w:r>
      <w:r>
        <w:rPr>
          <w:rFonts w:hint="default" w:ascii="Times New Roman" w:hAnsi="Times New Roman" w:eastAsia="仿宋_GB2312" w:cs="Times New Roman"/>
          <w:sz w:val="32"/>
          <w:szCs w:val="32"/>
        </w:rPr>
        <w:t>万元，其中：一般公共预算财政拨款收入</w:t>
      </w:r>
      <w:r>
        <w:rPr>
          <w:rFonts w:hint="default" w:ascii="Times New Roman" w:hAnsi="Times New Roman" w:eastAsia="仿宋_GB2312" w:cs="Times New Roman"/>
          <w:sz w:val="32"/>
          <w:szCs w:val="32"/>
          <w:lang w:val="en-US" w:eastAsia="zh-CN"/>
        </w:rPr>
        <w:t>361.57</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85.71</w:t>
      </w:r>
      <w:r>
        <w:rPr>
          <w:rFonts w:hint="default" w:ascii="Times New Roman" w:hAnsi="Times New Roman" w:eastAsia="仿宋_GB2312" w:cs="Times New Roman"/>
          <w:sz w:val="32"/>
          <w:szCs w:val="32"/>
        </w:rPr>
        <w:t>%；政府性基金预算财政拨款收入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%；国有资本经营预算财政拨款收入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%；上级补助收入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%；事业收入</w:t>
      </w:r>
      <w:r>
        <w:rPr>
          <w:rFonts w:hint="default" w:ascii="Times New Roman" w:hAnsi="Times New Roman" w:eastAsia="仿宋_GB2312" w:cs="Times New Roman"/>
          <w:sz w:val="32"/>
          <w:szCs w:val="32"/>
          <w:lang w:val="en-US" w:eastAsia="zh-CN"/>
        </w:rPr>
        <w:t>56.67</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13.43</w:t>
      </w:r>
      <w:r>
        <w:rPr>
          <w:rFonts w:hint="default" w:ascii="Times New Roman" w:hAnsi="Times New Roman" w:eastAsia="仿宋_GB2312" w:cs="Times New Roman"/>
          <w:sz w:val="32"/>
          <w:szCs w:val="32"/>
        </w:rPr>
        <w:t>%；经营收入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%；附属单位上缴收入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%；其他收入</w:t>
      </w:r>
      <w:r>
        <w:rPr>
          <w:rFonts w:hint="default" w:ascii="Times New Roman" w:hAnsi="Times New Roman" w:eastAsia="仿宋_GB2312" w:cs="Times New Roman"/>
          <w:sz w:val="32"/>
          <w:szCs w:val="32"/>
          <w:lang w:val="en-US" w:eastAsia="zh-CN"/>
        </w:rPr>
        <w:t>3.64</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0.86</w:t>
      </w:r>
      <w:r>
        <w:rPr>
          <w:rFonts w:hint="default" w:ascii="Times New Roman" w:hAnsi="Times New Roman" w:eastAsia="仿宋_GB2312" w:cs="Times New Roman"/>
          <w:sz w:val="32"/>
          <w:szCs w:val="32"/>
        </w:rPr>
        <w:t>%。</w:t>
      </w:r>
    </w:p>
    <w:p>
      <w:pPr>
        <w:spacing w:line="600" w:lineRule="exact"/>
        <w:ind w:firstLine="640" w:firstLineChars="200"/>
        <w:outlineLvl w:val="1"/>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drawing>
          <wp:anchor distT="0" distB="0" distL="114300" distR="114300" simplePos="0" relativeHeight="251662336" behindDoc="1" locked="0" layoutInCell="1" allowOverlap="1">
            <wp:simplePos x="0" y="0"/>
            <wp:positionH relativeFrom="column">
              <wp:posOffset>245745</wp:posOffset>
            </wp:positionH>
            <wp:positionV relativeFrom="paragraph">
              <wp:posOffset>62865</wp:posOffset>
            </wp:positionV>
            <wp:extent cx="4819650" cy="2663825"/>
            <wp:effectExtent l="4445" t="4445" r="14605" b="55880"/>
            <wp:wrapTight wrapText="bothSides">
              <wp:wrapPolygon>
                <wp:start x="-20" y="-36"/>
                <wp:lineTo x="-20" y="21435"/>
                <wp:lineTo x="21580" y="21435"/>
                <wp:lineTo x="21580" y="-36"/>
                <wp:lineTo x="-20" y="-36"/>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left="1596" w:leftChars="760" w:firstLine="0" w:firstLineChars="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图2：收入决算结构图</w:t>
      </w:r>
    </w:p>
    <w:p>
      <w:pPr>
        <w:pStyle w:val="2"/>
        <w:rPr>
          <w:rFonts w:hint="default"/>
        </w:rPr>
      </w:pPr>
    </w:p>
    <w:p>
      <w:pPr>
        <w:pStyle w:val="25"/>
        <w:numPr>
          <w:ilvl w:val="0"/>
          <w:numId w:val="4"/>
        </w:numPr>
        <w:spacing w:line="600" w:lineRule="exact"/>
        <w:ind w:firstLineChars="0"/>
        <w:outlineLvl w:val="1"/>
        <w:rPr>
          <w:rStyle w:val="27"/>
          <w:rFonts w:hint="eastAsia" w:ascii="黑体" w:hAnsi="黑体" w:eastAsia="黑体" w:cs="黑体"/>
          <w:b w:val="0"/>
          <w:sz w:val="32"/>
          <w:szCs w:val="32"/>
        </w:rPr>
      </w:pPr>
      <w:bookmarkStart w:id="16" w:name="_Toc15396605"/>
      <w:bookmarkStart w:id="17" w:name="_Toc15377207"/>
      <w:r>
        <w:rPr>
          <w:rFonts w:hint="eastAsia" w:ascii="黑体" w:hAnsi="黑体" w:eastAsia="黑体" w:cs="黑体"/>
          <w:sz w:val="32"/>
          <w:szCs w:val="32"/>
        </w:rPr>
        <w:t>支</w:t>
      </w:r>
      <w:r>
        <w:rPr>
          <w:rStyle w:val="27"/>
          <w:rFonts w:hint="eastAsia" w:ascii="黑体" w:hAnsi="黑体" w:eastAsia="黑体" w:cs="黑体"/>
          <w:b w:val="0"/>
          <w:sz w:val="32"/>
          <w:szCs w:val="32"/>
        </w:rPr>
        <w:t>出决算情况说明</w:t>
      </w:r>
      <w:bookmarkEnd w:id="16"/>
      <w:bookmarkEnd w:id="17"/>
    </w:p>
    <w:p>
      <w:pPr>
        <w:spacing w:line="60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2022年本年支出合计</w:t>
      </w:r>
      <w:r>
        <w:rPr>
          <w:rFonts w:hint="default" w:ascii="Times New Roman" w:hAnsi="Times New Roman" w:eastAsia="仿宋_GB2312" w:cs="Times New Roman"/>
          <w:sz w:val="32"/>
          <w:szCs w:val="32"/>
          <w:lang w:val="en-US" w:eastAsia="zh-CN"/>
        </w:rPr>
        <w:t>407.22</w:t>
      </w:r>
      <w:r>
        <w:rPr>
          <w:rFonts w:hint="default" w:ascii="Times New Roman" w:hAnsi="Times New Roman" w:eastAsia="仿宋_GB2312" w:cs="Times New Roman"/>
          <w:sz w:val="32"/>
          <w:szCs w:val="32"/>
        </w:rPr>
        <w:t>万元，其中：基本支出</w:t>
      </w:r>
      <w:r>
        <w:rPr>
          <w:rFonts w:hint="default" w:ascii="Times New Roman" w:hAnsi="Times New Roman" w:eastAsia="仿宋_GB2312" w:cs="Times New Roman"/>
          <w:sz w:val="32"/>
          <w:szCs w:val="32"/>
          <w:lang w:val="en-US" w:eastAsia="zh-CN"/>
        </w:rPr>
        <w:t>235.85</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57.92</w:t>
      </w:r>
      <w:r>
        <w:rPr>
          <w:rFonts w:hint="default" w:ascii="Times New Roman" w:hAnsi="Times New Roman" w:eastAsia="仿宋_GB2312" w:cs="Times New Roman"/>
          <w:sz w:val="32"/>
          <w:szCs w:val="32"/>
        </w:rPr>
        <w:t>%；项目支出</w:t>
      </w:r>
      <w:r>
        <w:rPr>
          <w:rFonts w:hint="default" w:ascii="Times New Roman" w:hAnsi="Times New Roman" w:eastAsia="仿宋_GB2312" w:cs="Times New Roman"/>
          <w:sz w:val="32"/>
          <w:szCs w:val="32"/>
          <w:lang w:val="en-US" w:eastAsia="zh-CN"/>
        </w:rPr>
        <w:t>171.38</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42.08</w:t>
      </w:r>
      <w:r>
        <w:rPr>
          <w:rFonts w:hint="default" w:ascii="Times New Roman" w:hAnsi="Times New Roman" w:eastAsia="仿宋_GB2312" w:cs="Times New Roman"/>
          <w:sz w:val="32"/>
          <w:szCs w:val="32"/>
        </w:rPr>
        <w:t>%；上缴上级支出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%；经营支出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%；对附属单位补助支出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pPr>
        <w:pStyle w:val="2"/>
        <w:rPr>
          <w:rFonts w:hint="default"/>
        </w:rPr>
      </w:pPr>
    </w:p>
    <w:p>
      <w:pPr>
        <w:spacing w:line="600" w:lineRule="exact"/>
        <w:ind w:firstLine="640"/>
        <w:rPr>
          <w:rFonts w:hint="default" w:ascii="Times New Roman" w:hAnsi="Times New Roman" w:eastAsia="仿宋_GB2312" w:cs="Times New Roman"/>
          <w:sz w:val="32"/>
          <w:szCs w:val="32"/>
          <w:shd w:val="pct10" w:color="auto" w:fill="FFFFFF"/>
        </w:rPr>
      </w:pPr>
      <w:r>
        <w:rPr>
          <w:rFonts w:hint="default" w:ascii="Times New Roman" w:hAnsi="Times New Roman" w:eastAsia="仿宋_GB2312" w:cs="Times New Roman"/>
          <w:sz w:val="32"/>
          <w:szCs w:val="32"/>
        </w:rPr>
        <w:drawing>
          <wp:anchor distT="0" distB="0" distL="114300" distR="114300" simplePos="0" relativeHeight="251663360" behindDoc="1" locked="0" layoutInCell="1" allowOverlap="1">
            <wp:simplePos x="0" y="0"/>
            <wp:positionH relativeFrom="column">
              <wp:posOffset>219710</wp:posOffset>
            </wp:positionH>
            <wp:positionV relativeFrom="paragraph">
              <wp:posOffset>133350</wp:posOffset>
            </wp:positionV>
            <wp:extent cx="4899025" cy="2532380"/>
            <wp:effectExtent l="4445" t="4445" r="11430" b="15875"/>
            <wp:wrapTight wrapText="bothSides">
              <wp:wrapPolygon>
                <wp:start x="-20" y="-38"/>
                <wp:lineTo x="-20" y="21410"/>
                <wp:lineTo x="21566" y="21410"/>
                <wp:lineTo x="21566" y="-38"/>
                <wp:lineTo x="-20" y="-38"/>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图3：支出决算结构图</w:t>
      </w:r>
    </w:p>
    <w:p>
      <w:pPr>
        <w:spacing w:line="600" w:lineRule="exact"/>
        <w:ind w:firstLine="640" w:firstLineChars="200"/>
        <w:outlineLvl w:val="1"/>
        <w:rPr>
          <w:rStyle w:val="27"/>
          <w:rFonts w:hint="eastAsia" w:ascii="黑体" w:hAnsi="黑体" w:eastAsia="黑体" w:cs="黑体"/>
          <w:b w:val="0"/>
          <w:sz w:val="32"/>
          <w:szCs w:val="32"/>
        </w:rPr>
      </w:pPr>
      <w:bookmarkStart w:id="18" w:name="_Toc15377208"/>
      <w:bookmarkStart w:id="19" w:name="_Toc15396606"/>
      <w:r>
        <w:rPr>
          <w:rFonts w:hint="eastAsia" w:ascii="黑体" w:hAnsi="黑体" w:eastAsia="黑体" w:cs="黑体"/>
          <w:sz w:val="32"/>
          <w:szCs w:val="32"/>
        </w:rPr>
        <w:t>四、财</w:t>
      </w:r>
      <w:r>
        <w:rPr>
          <w:rStyle w:val="27"/>
          <w:rFonts w:hint="eastAsia" w:ascii="黑体" w:hAnsi="黑体" w:eastAsia="黑体" w:cs="黑体"/>
          <w:b w:val="0"/>
          <w:sz w:val="32"/>
          <w:szCs w:val="32"/>
        </w:rPr>
        <w:t>政拨款收入支出决算总体情况说明</w:t>
      </w:r>
      <w:bookmarkEnd w:id="18"/>
      <w:bookmarkEnd w:id="19"/>
    </w:p>
    <w:p>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2022年财政拨款收</w:t>
      </w:r>
      <w:r>
        <w:rPr>
          <w:rFonts w:hint="default" w:ascii="Times New Roman" w:hAnsi="Times New Roman" w:eastAsia="仿宋_GB2312" w:cs="Times New Roman"/>
          <w:sz w:val="32"/>
          <w:szCs w:val="32"/>
          <w:lang w:eastAsia="zh-CN"/>
        </w:rPr>
        <w:t>入</w:t>
      </w:r>
      <w:r>
        <w:rPr>
          <w:rFonts w:hint="default" w:ascii="Times New Roman" w:hAnsi="Times New Roman" w:eastAsia="仿宋_GB2312" w:cs="Times New Roman"/>
          <w:sz w:val="32"/>
          <w:szCs w:val="32"/>
          <w:lang w:val="en-US" w:eastAsia="zh-CN"/>
        </w:rPr>
        <w:t>361.57万元</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w:t>
      </w:r>
      <w:r>
        <w:rPr>
          <w:rFonts w:hint="default" w:ascii="Times New Roman" w:hAnsi="Times New Roman" w:eastAsia="仿宋_GB2312" w:cs="Times New Roman"/>
          <w:sz w:val="32"/>
          <w:szCs w:val="32"/>
          <w:lang w:val="en-US" w:eastAsia="zh-CN"/>
        </w:rPr>
        <w:t>361.57</w:t>
      </w:r>
      <w:r>
        <w:rPr>
          <w:rFonts w:hint="default" w:ascii="Times New Roman" w:hAnsi="Times New Roman" w:eastAsia="仿宋_GB2312" w:cs="Times New Roman"/>
          <w:sz w:val="32"/>
          <w:szCs w:val="32"/>
        </w:rPr>
        <w:t>万元。与2021年相比，财政拨款收</w:t>
      </w:r>
      <w:r>
        <w:rPr>
          <w:rFonts w:hint="default" w:ascii="Times New Roman" w:hAnsi="Times New Roman" w:eastAsia="仿宋_GB2312" w:cs="Times New Roman"/>
          <w:sz w:val="32"/>
          <w:szCs w:val="32"/>
          <w:lang w:eastAsia="zh-CN"/>
        </w:rPr>
        <w:t>入减少了</w:t>
      </w:r>
      <w:r>
        <w:rPr>
          <w:rFonts w:hint="default" w:ascii="Times New Roman" w:hAnsi="Times New Roman" w:eastAsia="仿宋_GB2312" w:cs="Times New Roman"/>
          <w:sz w:val="32"/>
          <w:szCs w:val="32"/>
          <w:lang w:val="en-US" w:eastAsia="zh-CN"/>
        </w:rPr>
        <w:t>24.97万元，其原因为2022年事业收入未计入财政收入；</w:t>
      </w:r>
      <w:r>
        <w:rPr>
          <w:rFonts w:hint="default" w:ascii="Times New Roman" w:hAnsi="Times New Roman" w:eastAsia="仿宋_GB2312" w:cs="Times New Roman"/>
          <w:sz w:val="32"/>
          <w:szCs w:val="32"/>
        </w:rPr>
        <w:t>支</w:t>
      </w:r>
      <w:r>
        <w:rPr>
          <w:rFonts w:hint="default" w:ascii="Times New Roman" w:hAnsi="Times New Roman" w:eastAsia="仿宋_GB2312" w:cs="Times New Roman"/>
          <w:sz w:val="32"/>
          <w:szCs w:val="32"/>
          <w:lang w:eastAsia="zh-CN"/>
        </w:rPr>
        <w:t>出</w:t>
      </w:r>
      <w:r>
        <w:rPr>
          <w:rFonts w:hint="default" w:ascii="Times New Roman" w:hAnsi="Times New Roman" w:eastAsia="仿宋_GB2312" w:cs="Times New Roman"/>
          <w:sz w:val="32"/>
          <w:szCs w:val="32"/>
        </w:rPr>
        <w:t>减少</w:t>
      </w:r>
      <w:r>
        <w:rPr>
          <w:rFonts w:hint="default" w:ascii="Times New Roman" w:hAnsi="Times New Roman" w:eastAsia="仿宋_GB2312" w:cs="Times New Roman"/>
          <w:sz w:val="32"/>
          <w:szCs w:val="32"/>
          <w:lang w:val="en-US" w:eastAsia="zh-CN"/>
        </w:rPr>
        <w:t>130.14</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其</w:t>
      </w:r>
      <w:r>
        <w:rPr>
          <w:rFonts w:hint="default" w:ascii="Times New Roman" w:hAnsi="Times New Roman" w:eastAsia="仿宋_GB2312" w:cs="Times New Roman"/>
          <w:sz w:val="32"/>
          <w:szCs w:val="32"/>
        </w:rPr>
        <w:t>原因</w:t>
      </w:r>
      <w:r>
        <w:rPr>
          <w:rFonts w:hint="default" w:ascii="Times New Roman" w:hAnsi="Times New Roman" w:eastAsia="仿宋_GB2312" w:cs="Times New Roman"/>
          <w:sz w:val="32"/>
          <w:szCs w:val="32"/>
          <w:lang w:eastAsia="zh-CN"/>
        </w:rPr>
        <w:t>为：</w:t>
      </w:r>
      <w:r>
        <w:rPr>
          <w:rFonts w:hint="default" w:ascii="Times New Roman" w:hAnsi="Times New Roman" w:eastAsia="仿宋_GB2312" w:cs="Times New Roman"/>
          <w:sz w:val="32"/>
          <w:szCs w:val="32"/>
          <w:lang w:val="en-US" w:eastAsia="zh-CN"/>
        </w:rPr>
        <w:t>2020年的部分公共卫生经费在2021年支出，2021年购买了救护车及DR设备。</w:t>
      </w:r>
    </w:p>
    <w:p>
      <w:pPr>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drawing>
          <wp:anchor distT="0" distB="0" distL="114300" distR="114300" simplePos="0" relativeHeight="251664384" behindDoc="1" locked="0" layoutInCell="1" allowOverlap="1">
            <wp:simplePos x="0" y="0"/>
            <wp:positionH relativeFrom="column">
              <wp:posOffset>341630</wp:posOffset>
            </wp:positionH>
            <wp:positionV relativeFrom="paragraph">
              <wp:posOffset>145415</wp:posOffset>
            </wp:positionV>
            <wp:extent cx="4841875" cy="2919095"/>
            <wp:effectExtent l="4445" t="4445" r="11430" b="10160"/>
            <wp:wrapTight wrapText="bothSides">
              <wp:wrapPolygon>
                <wp:start x="-20" y="-33"/>
                <wp:lineTo x="-20" y="21534"/>
                <wp:lineTo x="21566" y="21534"/>
                <wp:lineTo x="21566" y="-33"/>
                <wp:lineTo x="-20" y="-33"/>
              </wp:wrapPolygon>
            </wp:wrapTight>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spacing w:line="600" w:lineRule="exact"/>
        <w:rPr>
          <w:rFonts w:hint="default" w:ascii="Times New Roman" w:hAnsi="Times New Roman" w:eastAsia="仿宋_GB2312" w:cs="Times New Roman"/>
          <w:sz w:val="32"/>
          <w:szCs w:val="32"/>
        </w:rPr>
      </w:pPr>
    </w:p>
    <w:p>
      <w:pPr>
        <w:spacing w:line="600" w:lineRule="exact"/>
        <w:rPr>
          <w:rFonts w:hint="default" w:ascii="Times New Roman" w:hAnsi="Times New Roman" w:eastAsia="仿宋_GB2312" w:cs="Times New Roman"/>
          <w:sz w:val="32"/>
          <w:szCs w:val="32"/>
        </w:rPr>
      </w:pPr>
    </w:p>
    <w:p>
      <w:pPr>
        <w:spacing w:line="600" w:lineRule="exact"/>
        <w:rPr>
          <w:rFonts w:hint="default" w:ascii="Times New Roman" w:hAnsi="Times New Roman" w:eastAsia="仿宋_GB2312" w:cs="Times New Roman"/>
          <w:sz w:val="32"/>
          <w:szCs w:val="32"/>
        </w:rPr>
      </w:pPr>
    </w:p>
    <w:p>
      <w:pPr>
        <w:spacing w:line="60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图4：财政拨款收、支决算总计变动情况</w:t>
      </w:r>
    </w:p>
    <w:p>
      <w:pPr>
        <w:spacing w:line="600" w:lineRule="exact"/>
        <w:ind w:firstLine="640" w:firstLineChars="200"/>
        <w:outlineLvl w:val="1"/>
        <w:rPr>
          <w:rStyle w:val="27"/>
          <w:rFonts w:hint="eastAsia" w:ascii="黑体" w:hAnsi="黑体" w:eastAsia="黑体" w:cs="黑体"/>
          <w:b w:val="0"/>
          <w:sz w:val="32"/>
          <w:szCs w:val="32"/>
        </w:rPr>
      </w:pPr>
      <w:bookmarkStart w:id="20" w:name="_Toc15396607"/>
      <w:bookmarkStart w:id="21" w:name="_Toc15377209"/>
      <w:r>
        <w:rPr>
          <w:rFonts w:hint="eastAsia" w:ascii="黑体" w:hAnsi="黑体" w:eastAsia="黑体" w:cs="黑体"/>
          <w:sz w:val="32"/>
          <w:szCs w:val="32"/>
        </w:rPr>
        <w:t>五、</w:t>
      </w:r>
      <w:r>
        <w:rPr>
          <w:rFonts w:hint="eastAsia" w:ascii="黑体" w:hAnsi="黑体" w:eastAsia="黑体" w:cs="黑体"/>
          <w:b/>
          <w:sz w:val="32"/>
          <w:szCs w:val="32"/>
        </w:rPr>
        <w:t>一</w:t>
      </w:r>
      <w:r>
        <w:rPr>
          <w:rStyle w:val="27"/>
          <w:rFonts w:hint="eastAsia" w:ascii="黑体" w:hAnsi="黑体" w:eastAsia="黑体" w:cs="黑体"/>
          <w:b w:val="0"/>
          <w:sz w:val="32"/>
          <w:szCs w:val="32"/>
        </w:rPr>
        <w:t>般公共预算财政拨款支出决算情况说明</w:t>
      </w:r>
      <w:bookmarkEnd w:id="20"/>
      <w:bookmarkEnd w:id="21"/>
    </w:p>
    <w:p>
      <w:pPr>
        <w:spacing w:line="600" w:lineRule="exact"/>
        <w:ind w:firstLine="640" w:firstLineChars="200"/>
        <w:outlineLvl w:val="2"/>
        <w:rPr>
          <w:rFonts w:hint="eastAsia" w:ascii="方正楷体_GBK" w:hAnsi="方正楷体_GBK" w:eastAsia="方正楷体_GBK" w:cs="方正楷体_GBK"/>
          <w:b/>
          <w:sz w:val="32"/>
          <w:szCs w:val="32"/>
        </w:rPr>
      </w:pPr>
      <w:bookmarkStart w:id="22" w:name="_Toc15377210"/>
      <w:r>
        <w:rPr>
          <w:rFonts w:hint="eastAsia" w:ascii="方正楷体_GBK" w:hAnsi="方正楷体_GBK" w:eastAsia="方正楷体_GBK" w:cs="方正楷体_GBK"/>
          <w:b/>
          <w:sz w:val="32"/>
          <w:szCs w:val="32"/>
        </w:rPr>
        <w:t>（一）一般公共预算财政拨款支出决算总体情况</w:t>
      </w:r>
      <w:bookmarkEnd w:id="22"/>
    </w:p>
    <w:p>
      <w:pPr>
        <w:spacing w:line="60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drawing>
          <wp:anchor distT="0" distB="0" distL="114300" distR="114300" simplePos="0" relativeHeight="251665408" behindDoc="1" locked="0" layoutInCell="1" allowOverlap="1">
            <wp:simplePos x="0" y="0"/>
            <wp:positionH relativeFrom="column">
              <wp:posOffset>168910</wp:posOffset>
            </wp:positionH>
            <wp:positionV relativeFrom="paragraph">
              <wp:posOffset>2033905</wp:posOffset>
            </wp:positionV>
            <wp:extent cx="4841875" cy="2703195"/>
            <wp:effectExtent l="4445" t="4445" r="11430" b="16510"/>
            <wp:wrapTight wrapText="bothSides">
              <wp:wrapPolygon>
                <wp:start x="-20" y="-36"/>
                <wp:lineTo x="-20" y="21427"/>
                <wp:lineTo x="21566" y="21427"/>
                <wp:lineTo x="21566" y="-36"/>
                <wp:lineTo x="-20" y="-36"/>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default" w:ascii="Times New Roman" w:hAnsi="Times New Roman" w:eastAsia="仿宋_GB2312" w:cs="Times New Roman"/>
          <w:sz w:val="32"/>
          <w:szCs w:val="32"/>
        </w:rPr>
        <w:t>2022年一般公共预算财政拨款支出</w:t>
      </w:r>
      <w:r>
        <w:rPr>
          <w:rFonts w:hint="default" w:ascii="Times New Roman" w:hAnsi="Times New Roman" w:eastAsia="仿宋_GB2312" w:cs="Times New Roman"/>
          <w:sz w:val="32"/>
          <w:szCs w:val="32"/>
          <w:lang w:val="en-US" w:eastAsia="zh-CN"/>
        </w:rPr>
        <w:t>361.57</w:t>
      </w:r>
      <w:r>
        <w:rPr>
          <w:rFonts w:hint="default" w:ascii="Times New Roman" w:hAnsi="Times New Roman" w:eastAsia="仿宋_GB2312" w:cs="Times New Roman"/>
          <w:sz w:val="32"/>
          <w:szCs w:val="32"/>
        </w:rPr>
        <w:t>万元，占本年支出合计的</w:t>
      </w:r>
      <w:r>
        <w:rPr>
          <w:rFonts w:hint="default" w:ascii="Times New Roman" w:hAnsi="Times New Roman" w:eastAsia="仿宋_GB2312" w:cs="Times New Roman"/>
          <w:sz w:val="32"/>
          <w:szCs w:val="32"/>
          <w:lang w:val="en-US" w:eastAsia="zh-CN"/>
        </w:rPr>
        <w:t>88.79</w:t>
      </w:r>
      <w:r>
        <w:rPr>
          <w:rFonts w:hint="default" w:ascii="Times New Roman" w:hAnsi="Times New Roman" w:eastAsia="仿宋_GB2312" w:cs="Times New Roman"/>
          <w:sz w:val="32"/>
          <w:szCs w:val="32"/>
        </w:rPr>
        <w:t>%。与2021年相比，一般公共预算财政拨款支出</w:t>
      </w:r>
      <w:r>
        <w:rPr>
          <w:rFonts w:hint="default" w:ascii="Times New Roman" w:hAnsi="Times New Roman" w:eastAsia="仿宋_GB2312" w:cs="Times New Roman"/>
          <w:sz w:val="32"/>
          <w:szCs w:val="32"/>
          <w:lang w:eastAsia="zh-CN"/>
        </w:rPr>
        <w:t>减少</w:t>
      </w:r>
      <w:r>
        <w:rPr>
          <w:rFonts w:hint="default" w:ascii="Times New Roman" w:hAnsi="Times New Roman" w:eastAsia="仿宋_GB2312" w:cs="Times New Roman"/>
          <w:sz w:val="32"/>
          <w:szCs w:val="32"/>
          <w:lang w:val="en-US" w:eastAsia="zh-CN"/>
        </w:rPr>
        <w:t>130.14</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26.46</w:t>
      </w:r>
      <w:r>
        <w:rPr>
          <w:rFonts w:hint="default" w:ascii="Times New Roman" w:hAnsi="Times New Roman" w:eastAsia="仿宋_GB2312" w:cs="Times New Roman"/>
          <w:sz w:val="32"/>
          <w:szCs w:val="32"/>
        </w:rPr>
        <w:t>%。主要变动原因</w:t>
      </w:r>
      <w:r>
        <w:rPr>
          <w:rFonts w:hint="default" w:ascii="Times New Roman" w:hAnsi="Times New Roman" w:eastAsia="仿宋_GB2312" w:cs="Times New Roman"/>
          <w:sz w:val="32"/>
          <w:szCs w:val="32"/>
          <w:lang w:eastAsia="zh-CN"/>
        </w:rPr>
        <w:t>是</w:t>
      </w:r>
      <w:r>
        <w:rPr>
          <w:rFonts w:hint="default" w:ascii="Times New Roman" w:hAnsi="Times New Roman" w:eastAsia="仿宋_GB2312" w:cs="Times New Roman"/>
          <w:sz w:val="32"/>
          <w:szCs w:val="32"/>
          <w:lang w:val="en-US" w:eastAsia="zh-CN"/>
        </w:rPr>
        <w:t>2021年购买了救护车及DR等设备，2021年公共卫生支出有部分是2020年的公共卫生支出。</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图5：一般公共预算财政拨款支出决算变动情况</w:t>
      </w:r>
    </w:p>
    <w:p>
      <w:pPr>
        <w:spacing w:line="600" w:lineRule="exact"/>
        <w:ind w:firstLine="640" w:firstLineChars="200"/>
        <w:outlineLvl w:val="2"/>
        <w:rPr>
          <w:rFonts w:hint="eastAsia" w:ascii="方正楷体_GBK" w:hAnsi="方正楷体_GBK" w:eastAsia="方正楷体_GBK" w:cs="方正楷体_GBK"/>
          <w:b/>
          <w:sz w:val="32"/>
          <w:szCs w:val="32"/>
        </w:rPr>
      </w:pPr>
      <w:bookmarkStart w:id="23" w:name="_Toc15377211"/>
      <w:r>
        <w:rPr>
          <w:rFonts w:hint="eastAsia" w:ascii="方正楷体_GBK" w:hAnsi="方正楷体_GBK" w:eastAsia="方正楷体_GBK" w:cs="方正楷体_GBK"/>
          <w:b/>
          <w:sz w:val="32"/>
          <w:szCs w:val="32"/>
        </w:rPr>
        <w:t>（二）一般公共预算财政拨款支出决算结构情况</w:t>
      </w:r>
      <w:bookmarkEnd w:id="23"/>
    </w:p>
    <w:p>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2022年一般公共预算财政拨款支出</w:t>
      </w:r>
      <w:r>
        <w:rPr>
          <w:rFonts w:hint="default" w:ascii="Times New Roman" w:hAnsi="Times New Roman" w:eastAsia="仿宋_GB2312" w:cs="Times New Roman"/>
          <w:sz w:val="32"/>
          <w:szCs w:val="32"/>
          <w:lang w:val="en-US" w:eastAsia="zh-CN"/>
        </w:rPr>
        <w:t>361.57</w:t>
      </w:r>
      <w:r>
        <w:rPr>
          <w:rFonts w:hint="default" w:ascii="Times New Roman" w:hAnsi="Times New Roman" w:eastAsia="仿宋_GB2312" w:cs="Times New Roman"/>
          <w:sz w:val="32"/>
          <w:szCs w:val="32"/>
        </w:rPr>
        <w:t>万元，主要用于以下方面:</w:t>
      </w:r>
      <w:r>
        <w:rPr>
          <w:rFonts w:hint="default" w:ascii="Times New Roman" w:hAnsi="Times New Roman" w:eastAsia="仿宋_GB2312" w:cs="Times New Roman"/>
          <w:b/>
          <w:sz w:val="32"/>
          <w:szCs w:val="32"/>
        </w:rPr>
        <w:t>社会保障和就业</w:t>
      </w:r>
      <w:r>
        <w:rPr>
          <w:rFonts w:hint="default" w:ascii="Times New Roman" w:hAnsi="Times New Roman" w:eastAsia="仿宋_GB2312" w:cs="Times New Roman"/>
          <w:b/>
          <w:bCs/>
          <w:sz w:val="32"/>
          <w:szCs w:val="32"/>
        </w:rPr>
        <w:t>支出</w:t>
      </w:r>
      <w:r>
        <w:rPr>
          <w:rFonts w:hint="default" w:ascii="Times New Roman" w:hAnsi="Times New Roman" w:eastAsia="仿宋_GB2312" w:cs="Times New Roman"/>
          <w:b/>
          <w:bCs/>
          <w:sz w:val="32"/>
          <w:szCs w:val="32"/>
          <w:lang w:val="en-US" w:eastAsia="zh-CN"/>
        </w:rPr>
        <w:t>27.77</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7.68</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卫生健康支出</w:t>
      </w:r>
      <w:r>
        <w:rPr>
          <w:rFonts w:hint="default" w:ascii="Times New Roman" w:hAnsi="Times New Roman" w:eastAsia="仿宋_GB2312" w:cs="Times New Roman"/>
          <w:b/>
          <w:bCs/>
          <w:sz w:val="32"/>
          <w:szCs w:val="32"/>
          <w:lang w:val="en-US" w:eastAsia="zh-CN"/>
        </w:rPr>
        <w:t>319.26</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88.3</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住房保障支出</w:t>
      </w:r>
      <w:r>
        <w:rPr>
          <w:rFonts w:hint="default" w:ascii="Times New Roman" w:hAnsi="Times New Roman" w:eastAsia="仿宋_GB2312" w:cs="Times New Roman"/>
          <w:b/>
          <w:bCs/>
          <w:sz w:val="32"/>
          <w:szCs w:val="32"/>
          <w:lang w:val="en-US" w:eastAsia="zh-CN"/>
        </w:rPr>
        <w:t>14.54</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2.97</w:t>
      </w:r>
      <w:r>
        <w:rPr>
          <w:rFonts w:hint="default" w:ascii="Times New Roman" w:hAnsi="Times New Roman" w:eastAsia="仿宋_GB2312" w:cs="Times New Roman"/>
          <w:sz w:val="32"/>
          <w:szCs w:val="32"/>
        </w:rPr>
        <w:t>%。</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6432" behindDoc="1" locked="0" layoutInCell="1" allowOverlap="1">
            <wp:simplePos x="0" y="0"/>
            <wp:positionH relativeFrom="column">
              <wp:posOffset>238125</wp:posOffset>
            </wp:positionH>
            <wp:positionV relativeFrom="paragraph">
              <wp:posOffset>34290</wp:posOffset>
            </wp:positionV>
            <wp:extent cx="4575810" cy="2370455"/>
            <wp:effectExtent l="4445" t="4445" r="10795" b="44450"/>
            <wp:wrapTight wrapText="bothSides">
              <wp:wrapPolygon>
                <wp:start x="-21" y="-41"/>
                <wp:lineTo x="-21" y="21484"/>
                <wp:lineTo x="21561" y="21484"/>
                <wp:lineTo x="21561" y="-41"/>
                <wp:lineTo x="-21" y="-41"/>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spacing w:line="600" w:lineRule="exact"/>
        <w:ind w:firstLine="640"/>
        <w:rPr>
          <w:rFonts w:hint="default" w:ascii="Times New Roman" w:hAnsi="Times New Roman" w:eastAsia="仿宋_GB2312" w:cs="Times New Roman"/>
          <w:sz w:val="32"/>
          <w:szCs w:val="32"/>
        </w:rPr>
      </w:pPr>
    </w:p>
    <w:p>
      <w:pPr>
        <w:spacing w:line="600" w:lineRule="exact"/>
        <w:ind w:firstLine="640"/>
        <w:rPr>
          <w:rFonts w:hint="default" w:ascii="Times New Roman" w:hAnsi="Times New Roman" w:eastAsia="仿宋_GB2312" w:cs="Times New Roman"/>
          <w:sz w:val="32"/>
          <w:szCs w:val="32"/>
        </w:rPr>
      </w:pPr>
    </w:p>
    <w:p>
      <w:pPr>
        <w:spacing w:line="600" w:lineRule="exact"/>
        <w:ind w:firstLine="640"/>
        <w:rPr>
          <w:rFonts w:hint="default" w:ascii="Times New Roman" w:hAnsi="Times New Roman" w:eastAsia="仿宋_GB2312" w:cs="Times New Roman"/>
          <w:sz w:val="32"/>
          <w:szCs w:val="32"/>
        </w:rPr>
      </w:pPr>
    </w:p>
    <w:p>
      <w:pPr>
        <w:spacing w:line="600" w:lineRule="exact"/>
        <w:ind w:firstLine="640"/>
        <w:rPr>
          <w:rFonts w:hint="default" w:ascii="Times New Roman" w:hAnsi="Times New Roman" w:eastAsia="仿宋_GB2312" w:cs="Times New Roman"/>
          <w:sz w:val="32"/>
          <w:szCs w:val="32"/>
        </w:rPr>
      </w:pPr>
    </w:p>
    <w:p>
      <w:pPr>
        <w:spacing w:line="600" w:lineRule="exact"/>
        <w:ind w:firstLine="640"/>
        <w:rPr>
          <w:rFonts w:hint="default" w:ascii="Times New Roman" w:hAnsi="Times New Roman" w:eastAsia="仿宋_GB2312" w:cs="Times New Roman"/>
          <w:sz w:val="32"/>
          <w:szCs w:val="32"/>
        </w:rPr>
      </w:pPr>
    </w:p>
    <w:p>
      <w:pPr>
        <w:spacing w:line="60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图6：一般公共预算财政拨款支出决算结构</w:t>
      </w:r>
    </w:p>
    <w:p>
      <w:pPr>
        <w:spacing w:line="600" w:lineRule="exact"/>
        <w:ind w:firstLine="640" w:firstLineChars="200"/>
        <w:outlineLvl w:val="2"/>
        <w:rPr>
          <w:rFonts w:hint="eastAsia" w:ascii="方正楷体_GBK" w:hAnsi="方正楷体_GBK" w:eastAsia="方正楷体_GBK" w:cs="方正楷体_GBK"/>
          <w:b/>
          <w:sz w:val="32"/>
          <w:szCs w:val="32"/>
        </w:rPr>
      </w:pPr>
      <w:bookmarkStart w:id="24" w:name="_Toc15377212"/>
      <w:r>
        <w:rPr>
          <w:rFonts w:hint="eastAsia" w:ascii="方正楷体_GBK" w:hAnsi="方正楷体_GBK" w:eastAsia="方正楷体_GBK" w:cs="方正楷体_GBK"/>
          <w:b/>
          <w:sz w:val="32"/>
          <w:szCs w:val="32"/>
        </w:rPr>
        <w:t>（三）一般公共预算财政拨款支出决算具体情况</w:t>
      </w:r>
      <w:bookmarkEnd w:id="24"/>
    </w:p>
    <w:p>
      <w:pPr>
        <w:spacing w:line="600" w:lineRule="exact"/>
        <w:ind w:firstLine="643" w:firstLineChars="200"/>
        <w:outlineLvl w:val="2"/>
        <w:rPr>
          <w:rStyle w:val="16"/>
          <w:rFonts w:hint="default" w:ascii="Times New Roman" w:hAnsi="Times New Roman" w:eastAsia="仿宋_GB2312" w:cs="Times New Roman"/>
          <w:bCs/>
          <w:sz w:val="32"/>
          <w:szCs w:val="32"/>
        </w:rPr>
      </w:pPr>
      <w:bookmarkStart w:id="25" w:name="_Toc15378460"/>
      <w:bookmarkStart w:id="26" w:name="_Toc15377213"/>
      <w:bookmarkStart w:id="27" w:name="_Toc15377444"/>
      <w:r>
        <w:rPr>
          <w:rFonts w:hint="default" w:ascii="Times New Roman" w:hAnsi="Times New Roman" w:eastAsia="仿宋_GB2312" w:cs="Times New Roman"/>
          <w:b/>
          <w:sz w:val="32"/>
          <w:szCs w:val="32"/>
        </w:rPr>
        <w:t>2022年一般公共预算支出决算数为</w:t>
      </w:r>
      <w:r>
        <w:rPr>
          <w:rFonts w:hint="default" w:ascii="Times New Roman" w:hAnsi="Times New Roman" w:eastAsia="仿宋_GB2312" w:cs="Times New Roman"/>
          <w:b/>
          <w:sz w:val="32"/>
          <w:szCs w:val="32"/>
          <w:lang w:val="en-US" w:eastAsia="zh-CN"/>
        </w:rPr>
        <w:t>361.57</w:t>
      </w:r>
      <w:r>
        <w:rPr>
          <w:rFonts w:hint="default" w:ascii="Times New Roman" w:hAnsi="Times New Roman" w:eastAsia="仿宋_GB2312" w:cs="Times New Roman"/>
          <w:sz w:val="32"/>
          <w:szCs w:val="32"/>
        </w:rPr>
        <w:t>，</w:t>
      </w:r>
      <w:r>
        <w:rPr>
          <w:rStyle w:val="16"/>
          <w:rFonts w:hint="default" w:ascii="Times New Roman" w:hAnsi="Times New Roman" w:eastAsia="仿宋_GB2312" w:cs="Times New Roman"/>
          <w:bCs/>
          <w:sz w:val="32"/>
          <w:szCs w:val="32"/>
        </w:rPr>
        <w:t>完成预算</w:t>
      </w:r>
      <w:r>
        <w:rPr>
          <w:rStyle w:val="16"/>
          <w:rFonts w:hint="default" w:ascii="Times New Roman" w:hAnsi="Times New Roman" w:eastAsia="仿宋_GB2312" w:cs="Times New Roman"/>
          <w:bCs/>
          <w:sz w:val="32"/>
          <w:szCs w:val="32"/>
          <w:lang w:val="en-US" w:eastAsia="zh-CN"/>
        </w:rPr>
        <w:t>100</w:t>
      </w:r>
      <w:r>
        <w:rPr>
          <w:rStyle w:val="16"/>
          <w:rFonts w:hint="default" w:ascii="Times New Roman" w:hAnsi="Times New Roman" w:eastAsia="仿宋_GB2312" w:cs="Times New Roman"/>
          <w:bCs/>
          <w:sz w:val="32"/>
          <w:szCs w:val="32"/>
        </w:rPr>
        <w:t>%。其中：</w:t>
      </w:r>
      <w:bookmarkEnd w:id="25"/>
      <w:bookmarkEnd w:id="26"/>
      <w:bookmarkEnd w:id="2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1</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社会保障和就业支出（类）行政事业单位养老支出（款）机关事业单位基本养老保险缴费支出（项）:支出决算为</w:t>
      </w:r>
      <w:r>
        <w:rPr>
          <w:rStyle w:val="16"/>
          <w:rFonts w:hint="eastAsia" w:eastAsia="仿宋_GB2312" w:cs="Times New Roman"/>
          <w:b w:val="0"/>
          <w:bCs/>
          <w:color w:val="auto"/>
          <w:sz w:val="32"/>
          <w:szCs w:val="32"/>
          <w:lang w:val="en-US" w:eastAsia="zh-CN"/>
        </w:rPr>
        <w:t>15.25</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w:t>
      </w:r>
      <w:r>
        <w:rPr>
          <w:rFonts w:hint="eastAsia"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社会保障和就业支出（类）行政事业单位养老支出（款）事业单位</w:t>
      </w:r>
      <w:r>
        <w:rPr>
          <w:rFonts w:hint="default" w:ascii="Times New Roman" w:hAnsi="Times New Roman" w:eastAsia="仿宋_GB2312" w:cs="Times New Roman"/>
          <w:color w:val="auto"/>
          <w:sz w:val="32"/>
          <w:szCs w:val="32"/>
          <w:lang w:eastAsia="zh-CN"/>
        </w:rPr>
        <w:t>离退休</w:t>
      </w:r>
      <w:r>
        <w:rPr>
          <w:rFonts w:hint="default" w:ascii="Times New Roman" w:hAnsi="Times New Roman" w:eastAsia="仿宋_GB2312" w:cs="Times New Roman"/>
          <w:color w:val="auto"/>
          <w:sz w:val="32"/>
          <w:szCs w:val="32"/>
        </w:rPr>
        <w:t>（项）：</w:t>
      </w:r>
      <w:r>
        <w:rPr>
          <w:rStyle w:val="16"/>
          <w:rFonts w:hint="default" w:ascii="Times New Roman" w:hAnsi="Times New Roman" w:eastAsia="仿宋_GB2312" w:cs="Times New Roman"/>
          <w:b w:val="0"/>
          <w:bCs/>
          <w:color w:val="auto"/>
          <w:sz w:val="32"/>
          <w:szCs w:val="32"/>
        </w:rPr>
        <w:t>支出决算为</w:t>
      </w:r>
      <w:r>
        <w:rPr>
          <w:rStyle w:val="16"/>
          <w:rFonts w:hint="default" w:ascii="Times New Roman" w:hAnsi="Times New Roman" w:eastAsia="仿宋_GB2312" w:cs="Times New Roman"/>
          <w:b w:val="0"/>
          <w:bCs/>
          <w:color w:val="auto"/>
          <w:sz w:val="32"/>
          <w:szCs w:val="32"/>
          <w:lang w:val="en-US" w:eastAsia="zh-CN"/>
        </w:rPr>
        <w:t>2</w:t>
      </w:r>
      <w:r>
        <w:rPr>
          <w:rStyle w:val="16"/>
          <w:rFonts w:hint="eastAsia" w:eastAsia="仿宋_GB2312" w:cs="Times New Roman"/>
          <w:b w:val="0"/>
          <w:bCs/>
          <w:color w:val="auto"/>
          <w:sz w:val="32"/>
          <w:szCs w:val="32"/>
          <w:lang w:val="en-US" w:eastAsia="zh-CN"/>
        </w:rPr>
        <w:t>.68</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color w:val="auto"/>
          <w:sz w:val="32"/>
          <w:szCs w:val="32"/>
          <w:lang w:val="en-US" w:eastAsia="zh-CN"/>
        </w:rPr>
        <w:t>3</w:t>
      </w:r>
      <w:r>
        <w:rPr>
          <w:rFonts w:hint="eastAsia" w:ascii="Times New Roman"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社会保障和就业支出（类）抚恤（款）死亡抚恤（项）：</w:t>
      </w:r>
      <w:r>
        <w:rPr>
          <w:rStyle w:val="16"/>
          <w:rFonts w:hint="default" w:ascii="Times New Roman" w:hAnsi="Times New Roman" w:eastAsia="仿宋_GB2312" w:cs="Times New Roman"/>
          <w:b w:val="0"/>
          <w:bCs/>
          <w:color w:val="auto"/>
          <w:sz w:val="32"/>
          <w:szCs w:val="32"/>
        </w:rPr>
        <w:t>支出决算为</w:t>
      </w:r>
      <w:r>
        <w:rPr>
          <w:rStyle w:val="16"/>
          <w:rFonts w:hint="eastAsia" w:ascii="Times New Roman" w:cs="Times New Roman"/>
          <w:b w:val="0"/>
          <w:bCs/>
          <w:color w:val="auto"/>
          <w:sz w:val="32"/>
          <w:szCs w:val="32"/>
          <w:lang w:val="en-US" w:eastAsia="zh-CN"/>
        </w:rPr>
        <w:t>9.12</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r>
        <w:rPr>
          <w:rStyle w:val="16"/>
          <w:rFonts w:hint="default" w:ascii="Times New Roman" w:hAnsi="Times New Roman" w:eastAsia="仿宋_GB2312" w:cs="Times New Roman"/>
          <w:b w:val="0"/>
          <w:bCs/>
          <w:color w:val="auto"/>
          <w:sz w:val="32"/>
          <w:szCs w:val="32"/>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4</w:t>
      </w:r>
      <w:r>
        <w:rPr>
          <w:rFonts w:hint="eastAsia" w:ascii="Times New Roman"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社会保障和就业支出（类）残疾人事业（款）其他残疾人事业支出（项）：</w:t>
      </w:r>
      <w:r>
        <w:rPr>
          <w:rStyle w:val="16"/>
          <w:rFonts w:hint="default" w:ascii="Times New Roman" w:hAnsi="Times New Roman" w:eastAsia="仿宋_GB2312" w:cs="Times New Roman"/>
          <w:b w:val="0"/>
          <w:bCs/>
          <w:color w:val="auto"/>
          <w:sz w:val="32"/>
          <w:szCs w:val="32"/>
        </w:rPr>
        <w:t>支出决算为</w:t>
      </w:r>
      <w:r>
        <w:rPr>
          <w:rStyle w:val="16"/>
          <w:rFonts w:hint="eastAsia" w:ascii="Times New Roman" w:cs="Times New Roman"/>
          <w:b w:val="0"/>
          <w:bCs/>
          <w:color w:val="auto"/>
          <w:sz w:val="32"/>
          <w:szCs w:val="32"/>
          <w:lang w:val="en-US" w:eastAsia="zh-CN"/>
        </w:rPr>
        <w:t>0.71</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r>
        <w:rPr>
          <w:rStyle w:val="16"/>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lang w:eastAsia="zh-CN"/>
        </w:rPr>
      </w:pPr>
      <w:r>
        <w:rPr>
          <w:rStyle w:val="16"/>
          <w:rFonts w:hint="default" w:ascii="Times New Roman" w:hAnsi="Times New Roman" w:eastAsia="仿宋_GB2312" w:cs="Times New Roman"/>
          <w:b w:val="0"/>
          <w:bCs/>
          <w:color w:val="auto"/>
          <w:sz w:val="32"/>
          <w:szCs w:val="32"/>
          <w:lang w:val="en-US" w:eastAsia="zh-CN"/>
        </w:rPr>
        <w:t>5</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卫生健康支出（类）基层医疗卫生机构（款）乡镇卫生院（项）:支出决算为</w:t>
      </w:r>
      <w:r>
        <w:rPr>
          <w:rStyle w:val="16"/>
          <w:rFonts w:hint="eastAsia" w:eastAsia="仿宋_GB2312" w:cs="Times New Roman"/>
          <w:b w:val="0"/>
          <w:bCs/>
          <w:color w:val="auto"/>
          <w:sz w:val="32"/>
          <w:szCs w:val="32"/>
          <w:lang w:val="en-US" w:eastAsia="zh-CN"/>
        </w:rPr>
        <w:t>135.12</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r>
        <w:rPr>
          <w:rStyle w:val="16"/>
          <w:rFonts w:hint="default" w:ascii="Times New Roman" w:hAnsi="Times New Roman" w:eastAsia="仿宋_GB2312" w:cs="Times New Roman"/>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6</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卫生健康支出（类）基层医疗卫生机构（款）其他基层医疗卫生机构支出（项）:支出决算为</w:t>
      </w:r>
      <w:r>
        <w:rPr>
          <w:rStyle w:val="16"/>
          <w:rFonts w:hint="eastAsia" w:eastAsia="仿宋_GB2312" w:cs="Times New Roman"/>
          <w:b w:val="0"/>
          <w:bCs/>
          <w:color w:val="auto"/>
          <w:sz w:val="32"/>
          <w:szCs w:val="32"/>
          <w:lang w:val="en-US" w:eastAsia="zh-CN"/>
        </w:rPr>
        <w:t>20.56</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7</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卫生健康支出（类）公共卫生（款）基本公共卫生服务（项）:支出决算为</w:t>
      </w:r>
      <w:r>
        <w:rPr>
          <w:rStyle w:val="16"/>
          <w:rFonts w:hint="default" w:ascii="Times New Roman" w:hAnsi="Times New Roman" w:eastAsia="仿宋_GB2312" w:cs="Times New Roman"/>
          <w:b w:val="0"/>
          <w:bCs/>
          <w:color w:val="auto"/>
          <w:sz w:val="32"/>
          <w:szCs w:val="32"/>
          <w:lang w:val="en-US" w:eastAsia="zh-CN"/>
        </w:rPr>
        <w:t>1</w:t>
      </w:r>
      <w:r>
        <w:rPr>
          <w:rStyle w:val="16"/>
          <w:rFonts w:hint="eastAsia" w:eastAsia="仿宋_GB2312" w:cs="Times New Roman"/>
          <w:b w:val="0"/>
          <w:bCs/>
          <w:color w:val="auto"/>
          <w:sz w:val="32"/>
          <w:szCs w:val="32"/>
          <w:lang w:val="en-US" w:eastAsia="zh-CN"/>
        </w:rPr>
        <w:t>27.01</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8</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卫生健康支出（类）公共卫生（款）重大公共卫生服务（项）:支出决算为</w:t>
      </w:r>
      <w:r>
        <w:rPr>
          <w:rStyle w:val="16"/>
          <w:rFonts w:hint="eastAsia" w:eastAsia="仿宋_GB2312" w:cs="Times New Roman"/>
          <w:b w:val="0"/>
          <w:bCs/>
          <w:color w:val="auto"/>
          <w:sz w:val="32"/>
          <w:szCs w:val="32"/>
          <w:lang w:val="en-US" w:eastAsia="zh-CN"/>
        </w:rPr>
        <w:t>13.46</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9</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卫生健康支出（类）公共卫生（款）</w:t>
      </w:r>
      <w:r>
        <w:rPr>
          <w:rStyle w:val="16"/>
          <w:rFonts w:hint="default" w:ascii="Times New Roman" w:hAnsi="Times New Roman" w:eastAsia="仿宋_GB2312" w:cs="Times New Roman"/>
          <w:b w:val="0"/>
          <w:bCs/>
          <w:color w:val="auto"/>
          <w:sz w:val="32"/>
          <w:szCs w:val="32"/>
          <w:lang w:eastAsia="zh-CN"/>
        </w:rPr>
        <w:t>其他公共卫生支出</w:t>
      </w:r>
      <w:r>
        <w:rPr>
          <w:rStyle w:val="16"/>
          <w:rFonts w:hint="default" w:ascii="Times New Roman" w:hAnsi="Times New Roman" w:eastAsia="仿宋_GB2312" w:cs="Times New Roman"/>
          <w:b w:val="0"/>
          <w:bCs/>
          <w:color w:val="auto"/>
          <w:sz w:val="32"/>
          <w:szCs w:val="32"/>
        </w:rPr>
        <w:t>（项）:支出决算为</w:t>
      </w:r>
      <w:r>
        <w:rPr>
          <w:rStyle w:val="16"/>
          <w:rFonts w:hint="eastAsia" w:eastAsia="仿宋_GB2312" w:cs="Times New Roman"/>
          <w:b w:val="0"/>
          <w:bCs/>
          <w:color w:val="auto"/>
          <w:sz w:val="32"/>
          <w:szCs w:val="32"/>
          <w:lang w:val="en-US" w:eastAsia="zh-CN"/>
        </w:rPr>
        <w:t>10.22</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10</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卫生健康支出（类）行政事业单位医疗（款）事业单位医疗（项）:支出决算为</w:t>
      </w:r>
      <w:r>
        <w:rPr>
          <w:rStyle w:val="16"/>
          <w:rFonts w:hint="eastAsia" w:eastAsia="仿宋_GB2312" w:cs="Times New Roman"/>
          <w:b w:val="0"/>
          <w:bCs/>
          <w:color w:val="auto"/>
          <w:sz w:val="32"/>
          <w:szCs w:val="32"/>
          <w:lang w:val="en-US" w:eastAsia="zh-CN"/>
        </w:rPr>
        <w:t>8.11</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6"/>
          <w:rFonts w:hint="default" w:ascii="Times New Roman" w:hAnsi="Times New Roman" w:eastAsia="仿宋_GB2312" w:cs="Times New Roman"/>
          <w:b w:val="0"/>
          <w:bCs/>
          <w:color w:val="auto"/>
          <w:sz w:val="32"/>
          <w:szCs w:val="32"/>
        </w:rPr>
      </w:pPr>
      <w:r>
        <w:rPr>
          <w:rStyle w:val="16"/>
          <w:rFonts w:hint="default" w:ascii="Times New Roman" w:hAnsi="Times New Roman" w:eastAsia="仿宋_GB2312" w:cs="Times New Roman"/>
          <w:b w:val="0"/>
          <w:bCs/>
          <w:color w:val="auto"/>
          <w:sz w:val="32"/>
          <w:szCs w:val="32"/>
          <w:lang w:val="en-US" w:eastAsia="zh-CN"/>
        </w:rPr>
        <w:t>11</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卫生健康支出（类）行政事业单位医疗（款）</w:t>
      </w:r>
      <w:r>
        <w:rPr>
          <w:rStyle w:val="16"/>
          <w:rFonts w:hint="default" w:ascii="Times New Roman" w:hAnsi="Times New Roman" w:eastAsia="仿宋_GB2312" w:cs="Times New Roman"/>
          <w:b w:val="0"/>
          <w:bCs/>
          <w:color w:val="auto"/>
          <w:sz w:val="32"/>
          <w:szCs w:val="32"/>
          <w:lang w:eastAsia="zh-CN"/>
        </w:rPr>
        <w:t>其他行政事业单位医疗支出</w:t>
      </w:r>
      <w:r>
        <w:rPr>
          <w:rStyle w:val="16"/>
          <w:rFonts w:hint="default" w:ascii="Times New Roman" w:hAnsi="Times New Roman" w:eastAsia="仿宋_GB2312" w:cs="Times New Roman"/>
          <w:b w:val="0"/>
          <w:bCs/>
          <w:color w:val="auto"/>
          <w:sz w:val="32"/>
          <w:szCs w:val="32"/>
        </w:rPr>
        <w:t>（项）:支出决算为</w:t>
      </w:r>
      <w:r>
        <w:rPr>
          <w:rStyle w:val="16"/>
          <w:rFonts w:hint="eastAsia" w:eastAsia="仿宋_GB2312" w:cs="Times New Roman"/>
          <w:b w:val="0"/>
          <w:bCs/>
          <w:color w:val="auto"/>
          <w:sz w:val="32"/>
          <w:szCs w:val="32"/>
          <w:lang w:val="en-US" w:eastAsia="zh-CN"/>
        </w:rPr>
        <w:t>4.77</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sz w:val="32"/>
          <w:szCs w:val="32"/>
        </w:rPr>
      </w:pPr>
      <w:r>
        <w:rPr>
          <w:rStyle w:val="16"/>
          <w:rFonts w:hint="default" w:ascii="Times New Roman" w:hAnsi="Times New Roman" w:eastAsia="仿宋_GB2312" w:cs="Times New Roman"/>
          <w:b w:val="0"/>
          <w:bCs/>
          <w:color w:val="auto"/>
          <w:sz w:val="32"/>
          <w:szCs w:val="32"/>
          <w:lang w:val="en-US" w:eastAsia="zh-CN"/>
        </w:rPr>
        <w:t>12</w:t>
      </w:r>
      <w:r>
        <w:rPr>
          <w:rStyle w:val="16"/>
          <w:rFonts w:hint="eastAsia" w:eastAsia="仿宋_GB2312" w:cs="Times New Roman"/>
          <w:b w:val="0"/>
          <w:bCs/>
          <w:color w:val="auto"/>
          <w:sz w:val="32"/>
          <w:szCs w:val="32"/>
          <w:lang w:val="en-US" w:eastAsia="zh-CN"/>
        </w:rPr>
        <w:t>.</w:t>
      </w:r>
      <w:r>
        <w:rPr>
          <w:rStyle w:val="16"/>
          <w:rFonts w:hint="default" w:ascii="Times New Roman" w:hAnsi="Times New Roman" w:eastAsia="仿宋_GB2312" w:cs="Times New Roman"/>
          <w:b w:val="0"/>
          <w:bCs/>
          <w:color w:val="auto"/>
          <w:sz w:val="32"/>
          <w:szCs w:val="32"/>
        </w:rPr>
        <w:t>住房保障支出（类）住房改革支出（款）住房公积金（项）:支出决算为</w:t>
      </w:r>
      <w:r>
        <w:rPr>
          <w:rStyle w:val="16"/>
          <w:rFonts w:hint="eastAsia" w:eastAsia="仿宋_GB2312" w:cs="Times New Roman"/>
          <w:b w:val="0"/>
          <w:bCs/>
          <w:color w:val="auto"/>
          <w:sz w:val="32"/>
          <w:szCs w:val="32"/>
          <w:lang w:val="en-US" w:eastAsia="zh-CN"/>
        </w:rPr>
        <w:t>14.54</w:t>
      </w:r>
      <w:r>
        <w:rPr>
          <w:rStyle w:val="16"/>
          <w:rFonts w:hint="default" w:ascii="Times New Roman" w:hAnsi="Times New Roman" w:eastAsia="仿宋_GB2312" w:cs="Times New Roman"/>
          <w:b w:val="0"/>
          <w:bCs/>
          <w:color w:val="auto"/>
          <w:sz w:val="32"/>
          <w:szCs w:val="32"/>
        </w:rPr>
        <w:t>万元，完成预算</w:t>
      </w:r>
      <w:r>
        <w:rPr>
          <w:rStyle w:val="16"/>
          <w:rFonts w:hint="default" w:ascii="Times New Roman" w:hAnsi="Times New Roman" w:eastAsia="仿宋_GB2312" w:cs="Times New Roman"/>
          <w:b w:val="0"/>
          <w:bCs/>
          <w:color w:val="auto"/>
          <w:sz w:val="32"/>
          <w:szCs w:val="32"/>
          <w:lang w:val="en-US" w:eastAsia="zh-CN"/>
        </w:rPr>
        <w:t>100</w:t>
      </w:r>
      <w:r>
        <w:rPr>
          <w:rStyle w:val="16"/>
          <w:rFonts w:hint="default" w:ascii="Times New Roman" w:hAnsi="Times New Roman" w:eastAsia="仿宋_GB2312" w:cs="Times New Roman"/>
          <w:b w:val="0"/>
          <w:bCs/>
          <w:color w:val="auto"/>
          <w:sz w:val="32"/>
          <w:szCs w:val="32"/>
        </w:rPr>
        <w:t>%，决算数等于预算数。</w:t>
      </w:r>
    </w:p>
    <w:p>
      <w:pPr>
        <w:tabs>
          <w:tab w:val="right" w:pos="8306"/>
        </w:tabs>
        <w:spacing w:line="600" w:lineRule="exact"/>
        <w:ind w:firstLine="640"/>
        <w:outlineLvl w:val="1"/>
        <w:rPr>
          <w:rStyle w:val="27"/>
          <w:rFonts w:hint="eastAsia" w:ascii="黑体" w:hAnsi="黑体" w:eastAsia="黑体" w:cs="黑体"/>
          <w:sz w:val="32"/>
          <w:szCs w:val="32"/>
        </w:rPr>
      </w:pPr>
      <w:bookmarkStart w:id="28" w:name="_Toc15396608"/>
      <w:bookmarkStart w:id="29" w:name="_Toc15377214"/>
      <w:r>
        <w:rPr>
          <w:rFonts w:hint="eastAsia" w:ascii="黑体" w:hAnsi="黑体" w:eastAsia="黑体" w:cs="黑体"/>
          <w:sz w:val="32"/>
          <w:szCs w:val="32"/>
        </w:rPr>
        <w:t>六</w:t>
      </w:r>
      <w:r>
        <w:rPr>
          <w:rFonts w:hint="eastAsia" w:ascii="黑体" w:hAnsi="黑体" w:eastAsia="黑体" w:cs="黑体"/>
          <w:b/>
          <w:sz w:val="32"/>
          <w:szCs w:val="32"/>
        </w:rPr>
        <w:t>、一</w:t>
      </w:r>
      <w:r>
        <w:rPr>
          <w:rStyle w:val="27"/>
          <w:rFonts w:hint="eastAsia" w:ascii="黑体" w:hAnsi="黑体" w:eastAsia="黑体" w:cs="黑体"/>
          <w:b w:val="0"/>
          <w:sz w:val="32"/>
          <w:szCs w:val="32"/>
        </w:rPr>
        <w:t>般公共预算财政拨款基本支出决算情况说明</w:t>
      </w:r>
      <w:bookmarkEnd w:id="28"/>
      <w:bookmarkEnd w:id="29"/>
      <w:r>
        <w:rPr>
          <w:rStyle w:val="27"/>
          <w:rFonts w:hint="eastAsia" w:ascii="黑体" w:hAnsi="黑体" w:eastAsia="黑体" w:cs="黑体"/>
          <w:b w:val="0"/>
          <w:sz w:val="32"/>
          <w:szCs w:val="32"/>
        </w:rPr>
        <w:tab/>
      </w:r>
    </w:p>
    <w:p>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2022年一般公共预算财政拨款基本支出</w:t>
      </w:r>
      <w:r>
        <w:rPr>
          <w:rFonts w:hint="default" w:ascii="Times New Roman" w:hAnsi="Times New Roman" w:eastAsia="仿宋_GB2312" w:cs="Times New Roman"/>
          <w:sz w:val="32"/>
          <w:szCs w:val="32"/>
          <w:lang w:val="en-US" w:eastAsia="zh-CN"/>
        </w:rPr>
        <w:t>190.19</w:t>
      </w:r>
      <w:r>
        <w:rPr>
          <w:rFonts w:hint="default" w:ascii="Times New Roman" w:hAnsi="Times New Roman" w:eastAsia="仿宋_GB2312" w:cs="Times New Roman"/>
          <w:sz w:val="32"/>
          <w:szCs w:val="32"/>
        </w:rPr>
        <w:t>万元，其中：</w:t>
      </w:r>
    </w:p>
    <w:p>
      <w:pPr>
        <w:spacing w:line="60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人员经费</w:t>
      </w:r>
      <w:r>
        <w:rPr>
          <w:rFonts w:hint="default" w:ascii="Times New Roman" w:hAnsi="Times New Roman" w:eastAsia="仿宋_GB2312" w:cs="Times New Roman"/>
          <w:sz w:val="32"/>
          <w:szCs w:val="32"/>
          <w:lang w:val="en-US" w:eastAsia="zh-CN"/>
        </w:rPr>
        <w:t>190.19</w:t>
      </w:r>
      <w:r>
        <w:rPr>
          <w:rFonts w:hint="default" w:ascii="Times New Roman" w:hAnsi="Times New Roman" w:eastAsia="仿宋_GB2312" w:cs="Times New Roman"/>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5"/>
        <w:rPr>
          <w:rFonts w:hint="eastAsia" w:ascii="Times New Roman" w:hAnsi="Times New Roman" w:eastAsia="仿宋_GB2312" w:cs="Times New Roman"/>
          <w:b/>
          <w:sz w:val="32"/>
          <w:szCs w:val="32"/>
          <w:lang w:eastAsia="zh-CN"/>
        </w:rPr>
      </w:pPr>
      <w:r>
        <w:rPr>
          <w:rFonts w:hint="default" w:ascii="Times New Roman" w:hAnsi="Times New Roman" w:eastAsia="仿宋_GB2312" w:cs="Times New Roman"/>
          <w:sz w:val="32"/>
          <w:szCs w:val="32"/>
        </w:rPr>
        <w:t>公用经费</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w:t>
      </w:r>
    </w:p>
    <w:p>
      <w:pPr>
        <w:spacing w:line="600" w:lineRule="exact"/>
        <w:ind w:firstLine="640"/>
        <w:outlineLvl w:val="1"/>
        <w:rPr>
          <w:rStyle w:val="27"/>
          <w:rFonts w:hint="eastAsia" w:ascii="黑体" w:hAnsi="黑体" w:eastAsia="黑体" w:cs="黑体"/>
          <w:b w:val="0"/>
          <w:sz w:val="32"/>
          <w:szCs w:val="32"/>
        </w:rPr>
      </w:pPr>
      <w:bookmarkStart w:id="30" w:name="_Toc15377215"/>
      <w:bookmarkStart w:id="31" w:name="_Toc15396609"/>
      <w:r>
        <w:rPr>
          <w:rFonts w:hint="eastAsia" w:ascii="黑体" w:hAnsi="黑体" w:eastAsia="黑体" w:cs="黑体"/>
          <w:sz w:val="32"/>
          <w:szCs w:val="32"/>
        </w:rPr>
        <w:t>七、</w:t>
      </w:r>
      <w:r>
        <w:rPr>
          <w:rStyle w:val="27"/>
          <w:rFonts w:hint="eastAsia" w:ascii="黑体" w:hAnsi="黑体" w:eastAsia="黑体" w:cs="黑体"/>
          <w:b w:val="0"/>
          <w:sz w:val="32"/>
          <w:szCs w:val="32"/>
        </w:rPr>
        <w:t>财政拨款</w:t>
      </w:r>
      <w:r>
        <w:rPr>
          <w:rStyle w:val="27"/>
          <w:rFonts w:hint="eastAsia" w:ascii="黑体" w:hAnsi="黑体" w:eastAsia="黑体" w:cs="黑体"/>
          <w:sz w:val="32"/>
          <w:szCs w:val="32"/>
        </w:rPr>
        <w:t>“</w:t>
      </w:r>
      <w:r>
        <w:rPr>
          <w:rStyle w:val="27"/>
          <w:rFonts w:hint="eastAsia" w:ascii="黑体" w:hAnsi="黑体" w:eastAsia="黑体" w:cs="黑体"/>
          <w:b w:val="0"/>
          <w:sz w:val="32"/>
          <w:szCs w:val="32"/>
        </w:rPr>
        <w:t>三公”经费支出决算情况说明</w:t>
      </w:r>
      <w:bookmarkEnd w:id="30"/>
      <w:bookmarkEnd w:id="31"/>
    </w:p>
    <w:p>
      <w:pPr>
        <w:spacing w:line="600" w:lineRule="exact"/>
        <w:ind w:firstLine="640"/>
        <w:outlineLvl w:val="2"/>
        <w:rPr>
          <w:rFonts w:hint="eastAsia" w:ascii="方正楷体_GBK" w:hAnsi="方正楷体_GBK" w:eastAsia="方正楷体_GBK" w:cs="方正楷体_GBK"/>
          <w:b/>
          <w:sz w:val="32"/>
          <w:szCs w:val="32"/>
        </w:rPr>
      </w:pPr>
      <w:bookmarkStart w:id="32" w:name="_Toc15377216"/>
      <w:r>
        <w:rPr>
          <w:rFonts w:hint="eastAsia" w:ascii="方正楷体_GBK" w:hAnsi="方正楷体_GBK" w:eastAsia="方正楷体_GBK" w:cs="方正楷体_GBK"/>
          <w:b/>
          <w:sz w:val="32"/>
          <w:szCs w:val="32"/>
        </w:rPr>
        <w:t>（一）“三公”经费财政拨款支出决算总体情况说明</w:t>
      </w:r>
      <w:bookmarkEnd w:id="32"/>
    </w:p>
    <w:p>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2022年“三公”经费财政拨款支出决算为</w:t>
      </w:r>
      <w:r>
        <w:rPr>
          <w:rFonts w:hint="default" w:ascii="Times New Roman" w:hAnsi="Times New Roman" w:eastAsia="仿宋_GB2312" w:cs="Times New Roman"/>
          <w:sz w:val="32"/>
          <w:szCs w:val="32"/>
          <w:lang w:val="en-US" w:eastAsia="zh-CN"/>
        </w:rPr>
        <w:t>2.21</w:t>
      </w:r>
      <w:r>
        <w:rPr>
          <w:rFonts w:hint="default"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%，较上年减少</w:t>
      </w:r>
      <w:r>
        <w:rPr>
          <w:rFonts w:hint="default" w:ascii="Times New Roman" w:hAnsi="Times New Roman" w:eastAsia="仿宋_GB2312" w:cs="Times New Roman"/>
          <w:sz w:val="32"/>
          <w:szCs w:val="32"/>
          <w:lang w:val="en-US" w:eastAsia="zh-CN"/>
        </w:rPr>
        <w:t>18.48</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89.31</w:t>
      </w:r>
      <w:r>
        <w:rPr>
          <w:rFonts w:hint="default" w:ascii="Times New Roman" w:hAnsi="Times New Roman" w:eastAsia="仿宋_GB2312" w:cs="Times New Roman"/>
          <w:sz w:val="32"/>
          <w:szCs w:val="32"/>
        </w:rPr>
        <w:t>%。决算数</w:t>
      </w:r>
      <w:r>
        <w:rPr>
          <w:rFonts w:hint="default" w:ascii="Times New Roman" w:hAnsi="Times New Roman" w:eastAsia="仿宋_GB2312" w:cs="Times New Roman"/>
          <w:sz w:val="32"/>
          <w:szCs w:val="32"/>
          <w:lang w:eastAsia="zh-CN"/>
        </w:rPr>
        <w:t>等于</w:t>
      </w:r>
      <w:r>
        <w:rPr>
          <w:rFonts w:hint="default" w:ascii="Times New Roman" w:hAnsi="Times New Roman" w:eastAsia="仿宋_GB2312" w:cs="Times New Roman"/>
          <w:sz w:val="32"/>
          <w:szCs w:val="32"/>
        </w:rPr>
        <w:t>预算数。</w:t>
      </w:r>
    </w:p>
    <w:p>
      <w:pPr>
        <w:spacing w:line="600" w:lineRule="exact"/>
        <w:ind w:firstLine="640"/>
        <w:outlineLvl w:val="2"/>
        <w:rPr>
          <w:rFonts w:hint="eastAsia" w:ascii="方正楷体_GBK" w:hAnsi="方正楷体_GBK" w:eastAsia="方正楷体_GBK" w:cs="方正楷体_GBK"/>
          <w:b/>
          <w:sz w:val="32"/>
          <w:szCs w:val="32"/>
        </w:rPr>
      </w:pPr>
      <w:bookmarkStart w:id="33" w:name="_Toc15377217"/>
      <w:r>
        <w:rPr>
          <w:rFonts w:hint="eastAsia" w:ascii="方正楷体_GBK" w:hAnsi="方正楷体_GBK" w:eastAsia="方正楷体_GBK" w:cs="方正楷体_GBK"/>
          <w:b/>
          <w:sz w:val="32"/>
          <w:szCs w:val="32"/>
        </w:rPr>
        <w:t>（二）“三公”经费财政拨款支出决算具体情况说明</w:t>
      </w:r>
      <w:bookmarkEnd w:id="33"/>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2022年“三公”经费财政拨款支出决算中，因公出国（境）费支出决算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%；公务用车购置及运行维护费支出决算</w:t>
      </w:r>
      <w:r>
        <w:rPr>
          <w:rFonts w:hint="default" w:ascii="Times New Roman" w:hAnsi="Times New Roman" w:eastAsia="仿宋_GB2312" w:cs="Times New Roman"/>
          <w:sz w:val="32"/>
          <w:szCs w:val="32"/>
          <w:lang w:val="en-US" w:eastAsia="zh-CN"/>
        </w:rPr>
        <w:t>2.21</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%。具体情况如下：</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7456" behindDoc="1" locked="0" layoutInCell="1" allowOverlap="1">
            <wp:simplePos x="0" y="0"/>
            <wp:positionH relativeFrom="column">
              <wp:posOffset>221615</wp:posOffset>
            </wp:positionH>
            <wp:positionV relativeFrom="paragraph">
              <wp:posOffset>72390</wp:posOffset>
            </wp:positionV>
            <wp:extent cx="4575810" cy="1989455"/>
            <wp:effectExtent l="5080" t="4445" r="10160" b="44450"/>
            <wp:wrapTight wrapText="bothSides">
              <wp:wrapPolygon>
                <wp:start x="-24" y="-48"/>
                <wp:lineTo x="-24" y="21462"/>
                <wp:lineTo x="21558" y="21462"/>
                <wp:lineTo x="21558" y="-48"/>
                <wp:lineTo x="-24" y="-48"/>
              </wp:wrapPolygon>
            </wp:wrapTight>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spacing w:line="600" w:lineRule="exact"/>
        <w:ind w:firstLine="640"/>
        <w:rPr>
          <w:rFonts w:hint="default" w:ascii="Times New Roman" w:hAnsi="Times New Roman" w:eastAsia="仿宋_GB2312" w:cs="Times New Roman"/>
          <w:sz w:val="32"/>
          <w:szCs w:val="32"/>
        </w:rPr>
      </w:pPr>
    </w:p>
    <w:p>
      <w:pPr>
        <w:spacing w:line="600" w:lineRule="exact"/>
        <w:ind w:firstLine="640"/>
        <w:rPr>
          <w:rFonts w:hint="default" w:ascii="Times New Roman" w:hAnsi="Times New Roman" w:eastAsia="仿宋_GB2312" w:cs="Times New Roman"/>
          <w:sz w:val="32"/>
          <w:szCs w:val="32"/>
        </w:rPr>
      </w:pPr>
    </w:p>
    <w:p>
      <w:pPr>
        <w:spacing w:line="600" w:lineRule="exact"/>
        <w:ind w:firstLine="640"/>
        <w:rPr>
          <w:rFonts w:hint="default" w:ascii="Times New Roman" w:hAnsi="Times New Roman" w:eastAsia="仿宋_GB2312" w:cs="Times New Roman"/>
          <w:sz w:val="32"/>
          <w:szCs w:val="32"/>
        </w:rPr>
      </w:pP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图7：</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“三公”经费财政拨款支出结构）</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1.因公出国（境）经费支出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次，出国（境）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人。因公出国（境）支出决算</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2021年</w:t>
      </w:r>
      <w:r>
        <w:rPr>
          <w:rFonts w:hint="eastAsia" w:eastAsia="仿宋_GB2312" w:cs="Times New Roman"/>
          <w:sz w:val="32"/>
          <w:szCs w:val="32"/>
          <w:lang w:eastAsia="zh-CN"/>
        </w:rPr>
        <w:t>持平</w:t>
      </w:r>
      <w:r>
        <w:rPr>
          <w:rFonts w:hint="default" w:ascii="Times New Roman" w:hAnsi="Times New Roman" w:eastAsia="仿宋_GB2312" w:cs="Times New Roman"/>
          <w:sz w:val="32"/>
          <w:szCs w:val="32"/>
        </w:rPr>
        <w:t>。</w:t>
      </w:r>
    </w:p>
    <w:p>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_GB2312" w:cs="Times New Roman"/>
          <w:b/>
          <w:sz w:val="32"/>
          <w:szCs w:val="32"/>
          <w:lang w:val="en-US" w:eastAsia="zh-CN"/>
        </w:rPr>
        <w:t>2.21</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sz w:val="32"/>
          <w:szCs w:val="32"/>
        </w:rPr>
        <w:t>公务用车购置及运行维护费支出决算比2021年减少</w:t>
      </w:r>
      <w:r>
        <w:rPr>
          <w:rFonts w:hint="default" w:ascii="Times New Roman" w:hAnsi="Times New Roman" w:eastAsia="仿宋_GB2312" w:cs="Times New Roman"/>
          <w:sz w:val="32"/>
          <w:szCs w:val="32"/>
          <w:lang w:val="en-US" w:eastAsia="zh-CN"/>
        </w:rPr>
        <w:t>18.48</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下降</w:t>
      </w:r>
      <w:r>
        <w:rPr>
          <w:rFonts w:hint="default" w:ascii="Times New Roman" w:hAnsi="Times New Roman" w:eastAsia="仿宋_GB2312" w:cs="Times New Roman"/>
          <w:sz w:val="32"/>
          <w:szCs w:val="32"/>
          <w:lang w:val="en-US" w:eastAsia="zh-CN"/>
        </w:rPr>
        <w:t>89.31</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val="en-US" w:eastAsia="zh-CN"/>
        </w:rPr>
        <w:t>2021年采购了一台救护车，2022年无购置</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其中：</w:t>
      </w:r>
      <w:r>
        <w:rPr>
          <w:rFonts w:hint="default" w:ascii="Times New Roman" w:hAnsi="Times New Roman" w:eastAsia="仿宋_GB2312" w:cs="Times New Roman"/>
          <w:b/>
          <w:sz w:val="32"/>
          <w:szCs w:val="32"/>
        </w:rPr>
        <w:t>公务用车购置支出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万元。全年按规定更新购置公务用车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万元。截至2022年12月底，单位共有公务用车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辆，其中：轿车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辆、越野车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辆、载客汽车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r>
        <w:rPr>
          <w:rFonts w:hint="default" w:ascii="Times New Roman" w:hAnsi="Times New Roman" w:eastAsia="仿宋_GB2312" w:cs="Times New Roman"/>
          <w:sz w:val="32"/>
          <w:szCs w:val="32"/>
          <w:lang w:eastAsia="zh-CN"/>
        </w:rPr>
        <w:t>、救护车</w:t>
      </w:r>
      <w:r>
        <w:rPr>
          <w:rFonts w:hint="default" w:ascii="Times New Roman" w:hAnsi="Times New Roman" w:eastAsia="仿宋_GB2312" w:cs="Times New Roman"/>
          <w:sz w:val="32"/>
          <w:szCs w:val="32"/>
          <w:lang w:val="en-US" w:eastAsia="zh-CN"/>
        </w:rPr>
        <w:t>1辆</w:t>
      </w:r>
      <w:r>
        <w:rPr>
          <w:rFonts w:hint="default" w:ascii="Times New Roman" w:hAnsi="Times New Roman" w:eastAsia="仿宋_GB2312" w:cs="Times New Roman"/>
          <w:sz w:val="32"/>
          <w:szCs w:val="32"/>
        </w:rPr>
        <w:t>。</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eastAsia="仿宋_GB2312" w:cs="Times New Roman"/>
          <w:b/>
          <w:sz w:val="32"/>
          <w:szCs w:val="32"/>
          <w:lang w:val="en-US" w:eastAsia="zh-CN"/>
        </w:rPr>
        <w:t>2.21</w:t>
      </w:r>
      <w:r>
        <w:rPr>
          <w:rFonts w:hint="default" w:ascii="Times New Roman" w:hAnsi="Times New Roman" w:eastAsia="仿宋_GB2312" w:cs="Times New Roman"/>
          <w:sz w:val="32"/>
          <w:szCs w:val="32"/>
        </w:rPr>
        <w:t>万元。主要用于</w:t>
      </w:r>
      <w:r>
        <w:rPr>
          <w:rFonts w:hint="default" w:ascii="Times New Roman" w:hAnsi="Times New Roman" w:eastAsia="仿宋_GB2312" w:cs="Times New Roman"/>
          <w:sz w:val="32"/>
          <w:szCs w:val="32"/>
          <w:lang w:eastAsia="zh-CN"/>
        </w:rPr>
        <w:t>基本公共卫生服务下村</w:t>
      </w:r>
      <w:r>
        <w:rPr>
          <w:rFonts w:hint="default" w:ascii="Times New Roman" w:hAnsi="Times New Roman" w:eastAsia="仿宋_GB2312" w:cs="Times New Roman"/>
          <w:sz w:val="32"/>
          <w:szCs w:val="32"/>
        </w:rPr>
        <w:t>等所需的公务用车燃料费、维修费、过路过桥费、保险费</w:t>
      </w:r>
      <w:r>
        <w:rPr>
          <w:rFonts w:hint="eastAsia" w:eastAsia="仿宋_GB2312" w:cs="Times New Roman"/>
          <w:sz w:val="32"/>
          <w:szCs w:val="32"/>
          <w:lang w:eastAsia="zh-CN"/>
        </w:rPr>
        <w:t>、安全奖励</w:t>
      </w:r>
      <w:r>
        <w:rPr>
          <w:rFonts w:hint="default" w:ascii="Times New Roman" w:hAnsi="Times New Roman" w:eastAsia="仿宋_GB2312" w:cs="Times New Roman"/>
          <w:sz w:val="32"/>
          <w:szCs w:val="32"/>
        </w:rPr>
        <w:t>等支出。</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w:t>
      </w:r>
      <w:r>
        <w:rPr>
          <w:rStyle w:val="16"/>
          <w:rFonts w:hint="default" w:ascii="Times New Roman" w:hAnsi="Times New Roman" w:eastAsia="仿宋_GB2312" w:cs="Times New Roman"/>
          <w:b w:val="0"/>
          <w:bCs/>
          <w:sz w:val="32"/>
          <w:szCs w:val="32"/>
        </w:rPr>
        <w:t>完成预算</w:t>
      </w:r>
      <w:r>
        <w:rPr>
          <w:rStyle w:val="16"/>
          <w:rFonts w:hint="default" w:ascii="Times New Roman" w:hAnsi="Times New Roman" w:eastAsia="仿宋_GB2312" w:cs="Times New Roman"/>
          <w:b w:val="0"/>
          <w:bCs/>
          <w:sz w:val="32"/>
          <w:szCs w:val="32"/>
          <w:lang w:val="en-US" w:eastAsia="zh-CN"/>
        </w:rPr>
        <w:t>100</w:t>
      </w:r>
      <w:r>
        <w:rPr>
          <w:rStyle w:val="16"/>
          <w:rFonts w:hint="default" w:ascii="Times New Roman" w:hAnsi="Times New Roman" w:eastAsia="仿宋_GB2312" w:cs="Times New Roman"/>
          <w:b w:val="0"/>
          <w:bCs/>
          <w:sz w:val="32"/>
          <w:szCs w:val="32"/>
        </w:rPr>
        <w:t>%。</w:t>
      </w:r>
      <w:r>
        <w:rPr>
          <w:rFonts w:hint="default" w:ascii="Times New Roman" w:hAnsi="Times New Roman" w:eastAsia="仿宋_GB2312" w:cs="Times New Roman"/>
          <w:sz w:val="32"/>
          <w:szCs w:val="32"/>
        </w:rPr>
        <w:t>公务接待费支出决算</w:t>
      </w:r>
      <w:r>
        <w:rPr>
          <w:rFonts w:hint="eastAsia" w:eastAsia="仿宋_GB2312" w:cs="Times New Roman"/>
          <w:sz w:val="32"/>
          <w:szCs w:val="32"/>
          <w:lang w:eastAsia="zh-CN"/>
        </w:rPr>
        <w:t>以</w:t>
      </w:r>
      <w:r>
        <w:rPr>
          <w:rFonts w:hint="default" w:ascii="Times New Roman" w:hAnsi="Times New Roman" w:eastAsia="仿宋_GB2312" w:cs="Times New Roman"/>
          <w:sz w:val="32"/>
          <w:szCs w:val="32"/>
        </w:rPr>
        <w:t>2021年</w:t>
      </w:r>
      <w:r>
        <w:rPr>
          <w:rFonts w:hint="eastAsia" w:eastAsia="仿宋_GB2312" w:cs="Times New Roman"/>
          <w:sz w:val="32"/>
          <w:szCs w:val="32"/>
          <w:lang w:eastAsia="zh-CN"/>
        </w:rPr>
        <w:t>相比无变化</w:t>
      </w:r>
      <w:r>
        <w:rPr>
          <w:rFonts w:hint="default" w:ascii="Times New Roman" w:hAnsi="Times New Roman" w:eastAsia="仿宋_GB2312" w:cs="Times New Roman"/>
          <w:sz w:val="32"/>
          <w:szCs w:val="32"/>
        </w:rPr>
        <w:t>。</w:t>
      </w:r>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国内公务接待支出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万元，国内公务接待</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外事接待支出</w:t>
      </w:r>
      <w:r>
        <w:rPr>
          <w:rFonts w:hint="default" w:ascii="Times New Roman" w:hAnsi="Times New Roman" w:eastAsia="仿宋_GB2312" w:cs="Times New Roman"/>
          <w:b/>
          <w:sz w:val="32"/>
          <w:szCs w:val="32"/>
          <w:lang w:val="en-US" w:eastAsia="zh-CN"/>
        </w:rPr>
        <w:t>0</w:t>
      </w:r>
      <w:r>
        <w:rPr>
          <w:rFonts w:hint="default" w:ascii="Times New Roman" w:hAnsi="Times New Roman" w:eastAsia="仿宋_GB2312" w:cs="Times New Roman"/>
          <w:sz w:val="32"/>
          <w:szCs w:val="32"/>
        </w:rPr>
        <w:t>万元。外事接待</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spacing w:line="600" w:lineRule="exact"/>
        <w:ind w:firstLine="640"/>
        <w:outlineLvl w:val="1"/>
        <w:rPr>
          <w:rStyle w:val="27"/>
          <w:rFonts w:hint="eastAsia" w:ascii="黑体" w:hAnsi="黑体" w:eastAsia="黑体" w:cs="黑体"/>
          <w:sz w:val="32"/>
          <w:szCs w:val="32"/>
        </w:rPr>
      </w:pPr>
      <w:bookmarkStart w:id="34" w:name="_Toc15396610"/>
      <w:bookmarkStart w:id="35" w:name="_Toc15377218"/>
      <w:r>
        <w:rPr>
          <w:rFonts w:hint="eastAsia" w:ascii="黑体" w:hAnsi="黑体" w:eastAsia="黑体" w:cs="黑体"/>
          <w:sz w:val="32"/>
          <w:szCs w:val="32"/>
        </w:rPr>
        <w:t>八、</w:t>
      </w:r>
      <w:r>
        <w:rPr>
          <w:rStyle w:val="27"/>
          <w:rFonts w:hint="eastAsia" w:ascii="黑体" w:hAnsi="黑体" w:eastAsia="黑体" w:cs="黑体"/>
          <w:b w:val="0"/>
          <w:sz w:val="32"/>
          <w:szCs w:val="32"/>
        </w:rPr>
        <w:t>政府性基金预算支出决算情况说明</w:t>
      </w:r>
      <w:bookmarkEnd w:id="34"/>
      <w:bookmarkEnd w:id="35"/>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2022年政府性基金预算财政拨款支出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5"/>
        </w:numPr>
        <w:spacing w:line="600" w:lineRule="exact"/>
        <w:ind w:firstLine="640"/>
        <w:outlineLvl w:val="1"/>
        <w:rPr>
          <w:rStyle w:val="27"/>
          <w:rFonts w:hint="eastAsia" w:ascii="黑体" w:hAnsi="黑体" w:eastAsia="黑体" w:cs="黑体"/>
          <w:b w:val="0"/>
          <w:sz w:val="32"/>
          <w:szCs w:val="32"/>
        </w:rPr>
      </w:pPr>
      <w:bookmarkStart w:id="36" w:name="_Toc15377219"/>
      <w:bookmarkStart w:id="37" w:name="_Toc15396611"/>
      <w:r>
        <w:rPr>
          <w:rStyle w:val="27"/>
          <w:rFonts w:hint="eastAsia" w:ascii="黑体" w:hAnsi="黑体" w:eastAsia="黑体" w:cs="黑体"/>
          <w:b w:val="0"/>
          <w:sz w:val="32"/>
          <w:szCs w:val="32"/>
        </w:rPr>
        <w:t>国有资本经营预算支出决算情况说明</w:t>
      </w:r>
      <w:bookmarkEnd w:id="36"/>
      <w:bookmarkEnd w:id="37"/>
    </w:p>
    <w:p>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2022年国有资本经营预算财政拨款支出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pPr>
        <w:numPr>
          <w:ilvl w:val="0"/>
          <w:numId w:val="5"/>
        </w:numPr>
        <w:spacing w:line="600" w:lineRule="exact"/>
        <w:ind w:firstLine="640"/>
        <w:outlineLvl w:val="1"/>
        <w:rPr>
          <w:rStyle w:val="27"/>
          <w:rFonts w:hint="eastAsia" w:ascii="黑体" w:hAnsi="黑体" w:eastAsia="黑体" w:cs="黑体"/>
          <w:b w:val="0"/>
          <w:sz w:val="32"/>
          <w:szCs w:val="32"/>
        </w:rPr>
      </w:pPr>
      <w:bookmarkStart w:id="38" w:name="_Toc15377221"/>
      <w:bookmarkStart w:id="39" w:name="_Toc15396612"/>
      <w:r>
        <w:rPr>
          <w:rStyle w:val="27"/>
          <w:rFonts w:hint="eastAsia" w:ascii="黑体" w:hAnsi="黑体" w:eastAsia="黑体" w:cs="黑体"/>
          <w:b w:val="0"/>
          <w:sz w:val="32"/>
          <w:szCs w:val="32"/>
        </w:rPr>
        <w:t>其他重要事项的情况说明</w:t>
      </w:r>
      <w:bookmarkEnd w:id="38"/>
      <w:bookmarkEnd w:id="39"/>
    </w:p>
    <w:p>
      <w:pPr>
        <w:spacing w:line="600" w:lineRule="exact"/>
        <w:ind w:firstLine="640" w:firstLineChars="200"/>
        <w:outlineLvl w:val="2"/>
        <w:rPr>
          <w:rFonts w:hint="eastAsia" w:ascii="方正楷体_GBK" w:hAnsi="方正楷体_GBK" w:eastAsia="方正楷体_GBK" w:cs="方正楷体_GBK"/>
          <w:sz w:val="32"/>
          <w:szCs w:val="32"/>
        </w:rPr>
      </w:pPr>
      <w:bookmarkStart w:id="40" w:name="_Toc15377222"/>
      <w:r>
        <w:rPr>
          <w:rFonts w:hint="eastAsia" w:ascii="方正楷体_GBK" w:hAnsi="方正楷体_GBK" w:eastAsia="方正楷体_GBK" w:cs="方正楷体_GBK"/>
          <w:b/>
          <w:sz w:val="32"/>
          <w:szCs w:val="32"/>
        </w:rPr>
        <w:t>（一）机关运行经费支出情况</w:t>
      </w:r>
      <w:bookmarkEnd w:id="40"/>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eastAsia="zh-CN"/>
        </w:rPr>
        <w:t>新九镇卫生院</w:t>
      </w:r>
      <w:r>
        <w:rPr>
          <w:rFonts w:hint="default"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与</w:t>
      </w:r>
      <w:r>
        <w:rPr>
          <w:rFonts w:hint="default" w:ascii="Times New Roman" w:hAnsi="Times New Roman" w:eastAsia="仿宋_GB2312" w:cs="Times New Roman"/>
          <w:sz w:val="32"/>
          <w:szCs w:val="32"/>
        </w:rPr>
        <w:t>2021年</w:t>
      </w:r>
      <w:r>
        <w:rPr>
          <w:rFonts w:hint="eastAsia" w:eastAsia="仿宋_GB2312" w:cs="Times New Roman"/>
          <w:sz w:val="32"/>
          <w:szCs w:val="32"/>
          <w:lang w:eastAsia="zh-CN"/>
        </w:rPr>
        <w:t>相比无变化</w:t>
      </w:r>
      <w:r>
        <w:rPr>
          <w:rFonts w:hint="default" w:ascii="Times New Roman" w:hAnsi="Times New Roman" w:eastAsia="仿宋_GB2312" w:cs="Times New Roman"/>
          <w:sz w:val="32"/>
          <w:szCs w:val="32"/>
        </w:rPr>
        <w:t>。</w:t>
      </w:r>
    </w:p>
    <w:p>
      <w:pPr>
        <w:autoSpaceDE w:val="0"/>
        <w:autoSpaceDN w:val="0"/>
        <w:adjustRightInd w:val="0"/>
        <w:spacing w:line="600" w:lineRule="exact"/>
        <w:ind w:firstLine="640" w:firstLineChars="200"/>
        <w:jc w:val="left"/>
        <w:outlineLvl w:val="2"/>
        <w:rPr>
          <w:rFonts w:hint="eastAsia" w:ascii="方正楷体_GBK" w:hAnsi="方正楷体_GBK" w:eastAsia="方正楷体_GBK" w:cs="方正楷体_GBK"/>
          <w:b/>
          <w:sz w:val="32"/>
          <w:szCs w:val="32"/>
        </w:rPr>
      </w:pPr>
      <w:bookmarkStart w:id="41" w:name="_Toc15377223"/>
      <w:r>
        <w:rPr>
          <w:rFonts w:hint="eastAsia" w:ascii="方正楷体_GBK" w:hAnsi="方正楷体_GBK" w:eastAsia="方正楷体_GBK" w:cs="方正楷体_GBK"/>
          <w:b/>
          <w:sz w:val="32"/>
          <w:szCs w:val="32"/>
        </w:rPr>
        <w:t>（二）政府采购支出情况</w:t>
      </w:r>
      <w:bookmarkEnd w:id="41"/>
    </w:p>
    <w:p>
      <w:pPr>
        <w:spacing w:line="60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eastAsia="zh-CN"/>
        </w:rPr>
        <w:t>盐边县新九镇卫生院</w:t>
      </w:r>
      <w:r>
        <w:rPr>
          <w:rFonts w:hint="default" w:ascii="Times New Roman" w:hAnsi="Times New Roman" w:eastAsia="仿宋_GB2312" w:cs="Times New Roman"/>
          <w:sz w:val="32"/>
          <w:szCs w:val="32"/>
        </w:rPr>
        <w:t>政府采购支出总额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万元，其中：政府采购货物支出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万元、政府采购工程支出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万元、政府采购服务支出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万元。授予中小企业合同金额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pPr>
        <w:autoSpaceDE w:val="0"/>
        <w:autoSpaceDN w:val="0"/>
        <w:adjustRightInd w:val="0"/>
        <w:spacing w:line="600" w:lineRule="exact"/>
        <w:ind w:firstLine="640" w:firstLineChars="200"/>
        <w:jc w:val="left"/>
        <w:outlineLvl w:val="2"/>
        <w:rPr>
          <w:rFonts w:hint="eastAsia" w:ascii="方正楷体_GBK" w:hAnsi="方正楷体_GBK" w:eastAsia="方正楷体_GBK" w:cs="方正楷体_GBK"/>
          <w:b/>
          <w:sz w:val="32"/>
          <w:szCs w:val="32"/>
        </w:rPr>
      </w:pPr>
      <w:bookmarkStart w:id="42" w:name="_Toc15377224"/>
      <w:r>
        <w:rPr>
          <w:rFonts w:hint="eastAsia" w:ascii="方正楷体_GBK" w:hAnsi="方正楷体_GBK" w:eastAsia="方正楷体_GBK" w:cs="方正楷体_GBK"/>
          <w:b/>
          <w:sz w:val="32"/>
          <w:szCs w:val="32"/>
        </w:rPr>
        <w:t>（三）国有资产占有使用情况</w:t>
      </w:r>
      <w:bookmarkEnd w:id="42"/>
    </w:p>
    <w:p>
      <w:pPr>
        <w:autoSpaceDE w:val="0"/>
        <w:autoSpaceDN w:val="0"/>
        <w:adjustRightInd w:val="0"/>
        <w:spacing w:line="600" w:lineRule="exact"/>
        <w:ind w:firstLine="640" w:firstLineChars="200"/>
        <w:jc w:val="left"/>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截至2022年12月31日，</w:t>
      </w:r>
      <w:r>
        <w:rPr>
          <w:rFonts w:hint="default" w:ascii="Times New Roman" w:hAnsi="Times New Roman" w:eastAsia="仿宋_GB2312" w:cs="Times New Roman"/>
          <w:sz w:val="32"/>
          <w:szCs w:val="32"/>
          <w:lang w:eastAsia="zh-CN"/>
        </w:rPr>
        <w:t>盐边县新九镇卫生院</w:t>
      </w:r>
      <w:r>
        <w:rPr>
          <w:rFonts w:hint="default" w:ascii="Times New Roman" w:hAnsi="Times New Roman" w:eastAsia="仿宋_GB2312" w:cs="Times New Roman"/>
          <w:sz w:val="32"/>
          <w:szCs w:val="32"/>
        </w:rPr>
        <w:t>共有车辆</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辆，其中：主要领导干部用车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辆、机要通信用车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辆、应急保障用车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辆、其他用车</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辆，其他用车主要是用于</w:t>
      </w:r>
      <w:r>
        <w:rPr>
          <w:rFonts w:hint="default" w:ascii="Times New Roman" w:hAnsi="Times New Roman" w:eastAsia="仿宋_GB2312" w:cs="Times New Roman"/>
          <w:sz w:val="32"/>
          <w:szCs w:val="32"/>
          <w:lang w:eastAsia="zh-CN"/>
        </w:rPr>
        <w:t>基本公共卫生服务下村</w:t>
      </w:r>
      <w:r>
        <w:rPr>
          <w:rFonts w:hint="default" w:ascii="Times New Roman" w:hAnsi="Times New Roman" w:eastAsia="仿宋_GB2312" w:cs="Times New Roman"/>
          <w:sz w:val="32"/>
          <w:szCs w:val="32"/>
        </w:rPr>
        <w:t>。单价100万元以上专用设备</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台。</w:t>
      </w:r>
    </w:p>
    <w:p>
      <w:pPr>
        <w:autoSpaceDE w:val="0"/>
        <w:autoSpaceDN w:val="0"/>
        <w:adjustRightInd w:val="0"/>
        <w:spacing w:line="600" w:lineRule="exact"/>
        <w:ind w:firstLine="640" w:firstLineChars="200"/>
        <w:jc w:val="left"/>
        <w:outlineLvl w:val="2"/>
        <w:rPr>
          <w:rFonts w:hint="eastAsia" w:ascii="方正楷体_GBK" w:hAnsi="方正楷体_GBK" w:eastAsia="方正楷体_GBK" w:cs="方正楷体_GBK"/>
          <w:b/>
          <w:bCs w:val="0"/>
          <w:sz w:val="32"/>
          <w:szCs w:val="32"/>
        </w:rPr>
      </w:pPr>
      <w:r>
        <w:rPr>
          <w:rFonts w:hint="eastAsia" w:ascii="方正楷体_GBK" w:hAnsi="方正楷体_GBK" w:eastAsia="方正楷体_GBK" w:cs="方正楷体_GBK"/>
          <w:b/>
          <w:bCs w:val="0"/>
          <w:sz w:val="32"/>
          <w:szCs w:val="32"/>
        </w:rPr>
        <w:t>（四）预算绩效管理情况</w:t>
      </w:r>
    </w:p>
    <w:p>
      <w:pPr>
        <w:widowControl/>
        <w:ind w:firstLine="640" w:firstLineChars="200"/>
        <w:jc w:val="left"/>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根据预算绩效管理要求，本单位在2022年度预算编制阶段，组织对</w:t>
      </w:r>
      <w:r>
        <w:rPr>
          <w:rFonts w:hint="default" w:ascii="Times New Roman" w:hAnsi="Times New Roman" w:eastAsia="仿宋_GB2312" w:cs="Times New Roman"/>
          <w:sz w:val="32"/>
          <w:szCs w:val="32"/>
          <w:lang w:eastAsia="zh-CN"/>
        </w:rPr>
        <w:t>整体、基本公共卫生服务、基本药物制度实施</w:t>
      </w:r>
      <w:r>
        <w:rPr>
          <w:rFonts w:hint="eastAsia" w:eastAsia="仿宋_GB2312" w:cs="Times New Roman"/>
          <w:sz w:val="32"/>
          <w:szCs w:val="32"/>
          <w:lang w:eastAsia="zh-CN"/>
        </w:rPr>
        <w:t>等</w:t>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lang w:eastAsia="zh-CN"/>
        </w:rPr>
        <w:t>开展了预算事前绩效评估，</w:t>
      </w:r>
      <w:r>
        <w:rPr>
          <w:rFonts w:hint="default" w:ascii="Times New Roman" w:hAnsi="Times New Roman" w:eastAsia="仿宋_GB2312" w:cs="Times New Roman"/>
          <w:sz w:val="32"/>
          <w:szCs w:val="32"/>
        </w:rPr>
        <w:t>对</w:t>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rPr>
        <w:t>个项目编制了绩效目标，对</w:t>
      </w:r>
      <w:r>
        <w:rPr>
          <w:rFonts w:hint="eastAsia" w:eastAsia="仿宋_GB2312" w:cs="Times New Roman"/>
          <w:sz w:val="32"/>
          <w:szCs w:val="32"/>
          <w:lang w:val="en-US" w:eastAsia="zh-CN"/>
        </w:rPr>
        <w:t>17</w:t>
      </w:r>
      <w:r>
        <w:rPr>
          <w:rFonts w:hint="default" w:ascii="Times New Roman" w:hAnsi="Times New Roman" w:eastAsia="仿宋_GB2312" w:cs="Times New Roman"/>
          <w:sz w:val="32"/>
          <w:szCs w:val="32"/>
        </w:rPr>
        <w:t>个项目开展绩效自评，绩效自评表详见第四部分附件。</w:t>
      </w:r>
      <w:r>
        <w:rPr>
          <w:rFonts w:hint="default" w:ascii="Times New Roman" w:hAnsi="Times New Roman" w:eastAsia="仿宋_GB2312" w:cs="Times New Roman"/>
          <w:b/>
          <w:sz w:val="32"/>
          <w:szCs w:val="32"/>
        </w:rPr>
        <w:br w:type="page"/>
      </w:r>
    </w:p>
    <w:p>
      <w:pPr>
        <w:numPr>
          <w:ilvl w:val="0"/>
          <w:numId w:val="6"/>
        </w:numPr>
        <w:spacing w:line="600" w:lineRule="exact"/>
        <w:ind w:firstLine="660" w:firstLineChars="150"/>
        <w:jc w:val="center"/>
        <w:outlineLvl w:val="0"/>
        <w:rPr>
          <w:rStyle w:val="26"/>
          <w:rFonts w:hint="eastAsia" w:ascii="方正小标宋简体" w:hAnsi="方正小标宋简体" w:eastAsia="方正小标宋简体" w:cs="方正小标宋简体"/>
          <w:b w:val="0"/>
          <w:sz w:val="44"/>
          <w:szCs w:val="44"/>
        </w:rPr>
      </w:pPr>
      <w:bookmarkStart w:id="43" w:name="_Toc15396613"/>
      <w:bookmarkStart w:id="44" w:name="_Toc15377225"/>
      <w:r>
        <w:rPr>
          <w:rFonts w:hint="eastAsia" w:ascii="方正小标宋简体" w:hAnsi="方正小标宋简体" w:eastAsia="方正小标宋简体" w:cs="方正小标宋简体"/>
          <w:sz w:val="44"/>
          <w:szCs w:val="44"/>
        </w:rPr>
        <w:t>名</w:t>
      </w:r>
      <w:r>
        <w:rPr>
          <w:rStyle w:val="26"/>
          <w:rFonts w:hint="eastAsia" w:ascii="方正小标宋简体" w:hAnsi="方正小标宋简体" w:eastAsia="方正小标宋简体" w:cs="方正小标宋简体"/>
          <w:b w:val="0"/>
          <w:sz w:val="44"/>
          <w:szCs w:val="44"/>
        </w:rPr>
        <w:t>词解释</w:t>
      </w:r>
      <w:bookmarkEnd w:id="43"/>
      <w:bookmarkEnd w:id="44"/>
    </w:p>
    <w:p>
      <w:pPr>
        <w:spacing w:line="600" w:lineRule="exact"/>
        <w:jc w:val="left"/>
        <w:rPr>
          <w:rFonts w:hint="default" w:ascii="Times New Roman" w:hAnsi="Times New Roman" w:eastAsia="仿宋_GB2312" w:cs="Times New Roman"/>
          <w:b/>
          <w:sz w:val="32"/>
          <w:szCs w:val="32"/>
        </w:rPr>
      </w:pP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.其他收入：指单位取得的除上述收入以外的各项收入。</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.使用非财政拨款结余：指事业单位使用以前年度积累的非财政拨款结余弥补当年收支差额的金额。</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.年初结转和结余：指以前年度尚未完成、结转到本年按有关规定继续使用的资金。</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.结余分配：指事业单位按照会计制度规定缴纳的所得税、提取的专用结余以及转入非财政拨款结余的金额等。</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年末结转和结余：指单位按有关规定结转到下年或以后年度继续使用的资金。</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.社会保障和就业支出（类）行政事业单位养老支出（款）机关事业单位基本养老保险缴费支出（项）：指</w:t>
      </w:r>
      <w:r>
        <w:rPr>
          <w:rFonts w:hint="default" w:ascii="Times New Roman" w:hAnsi="Times New Roman" w:eastAsia="仿宋_GB2312" w:cs="Times New Roman"/>
          <w:sz w:val="32"/>
          <w:szCs w:val="32"/>
          <w:lang w:val="en-US" w:eastAsia="zh-CN"/>
        </w:rPr>
        <w:t>机关事业单位实施养老保险制度由单位缴纳的基本养老保险费支出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.卫生健康支出（类）基层医疗卫生机构（款）乡镇卫生院（项）：指</w:t>
      </w:r>
      <w:r>
        <w:rPr>
          <w:rFonts w:hint="default" w:ascii="Times New Roman" w:hAnsi="Times New Roman" w:eastAsia="仿宋_GB2312" w:cs="Times New Roman"/>
          <w:sz w:val="32"/>
          <w:szCs w:val="32"/>
          <w:lang w:val="en-US" w:eastAsia="zh-CN"/>
        </w:rPr>
        <w:t>用于乡镇卫生院的支出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.卫生健康支出（类）基层医疗卫生机构（款）其他基层医疗卫生机构支出（项）：指</w:t>
      </w:r>
      <w:r>
        <w:rPr>
          <w:rFonts w:hint="default" w:ascii="Times New Roman" w:hAnsi="Times New Roman" w:eastAsia="仿宋_GB2312" w:cs="Times New Roman"/>
          <w:sz w:val="32"/>
          <w:szCs w:val="32"/>
          <w:lang w:val="en-US" w:eastAsia="zh-CN"/>
        </w:rPr>
        <w:t>除上述项目以外的其他用于基层医疗卫生机构的支出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.卫生健康支出（类）公共卫生（款）基本公共卫生服务（项）：指</w:t>
      </w:r>
      <w:r>
        <w:rPr>
          <w:rFonts w:hint="default" w:ascii="Times New Roman" w:hAnsi="Times New Roman" w:eastAsia="仿宋_GB2312" w:cs="Times New Roman"/>
          <w:sz w:val="32"/>
          <w:szCs w:val="32"/>
          <w:lang w:val="en-US" w:eastAsia="zh-CN"/>
        </w:rPr>
        <w:t>基本公共卫生服务支出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.卫生健康支出（类）公共卫生（款）重大公共卫生服务（项）：指</w:t>
      </w:r>
      <w:r>
        <w:rPr>
          <w:rFonts w:hint="default" w:ascii="Times New Roman" w:hAnsi="Times New Roman" w:eastAsia="仿宋_GB2312" w:cs="Times New Roman"/>
          <w:sz w:val="32"/>
          <w:szCs w:val="32"/>
          <w:lang w:val="en-US" w:eastAsia="zh-CN"/>
        </w:rPr>
        <w:t>重大疾病、重大传染病预防控制等重大公共卫生服务项目支出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.卫生健康支出（类）公共卫生（款）其他公共卫生支出（项）：指</w:t>
      </w:r>
      <w:r>
        <w:rPr>
          <w:rFonts w:hint="default" w:ascii="Times New Roman" w:hAnsi="Times New Roman" w:eastAsia="仿宋_GB2312" w:cs="Times New Roman"/>
          <w:sz w:val="32"/>
          <w:szCs w:val="32"/>
          <w:lang w:val="en-US" w:eastAsia="zh-CN"/>
        </w:rPr>
        <w:t>除上述项目以外的其他用于公共卫生方面的支出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rPr>
        <w:t>.卫生健康支出（类）行政事业单位医疗（款）事业单位医疗（项）：指</w:t>
      </w:r>
      <w:r>
        <w:rPr>
          <w:rFonts w:hint="default" w:ascii="Times New Roman" w:hAnsi="Times New Roman" w:eastAsia="仿宋_GB2312" w:cs="Times New Roman"/>
          <w:sz w:val="32"/>
          <w:szCs w:val="32"/>
          <w:lang w:val="en-US" w:eastAsia="zh-CN"/>
        </w:rPr>
        <w:t>财政部门安排的事业单位基本医疗保险缴费经费，未参加医疗保险的事业单位的公费医疗经费，按国家规定享受离休人员待遇的医疗经费</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.卫生健康支出（类）行政事业单位医疗（款）公务员医疗补助（项）：指</w:t>
      </w:r>
      <w:r>
        <w:rPr>
          <w:rFonts w:hint="default" w:ascii="Times New Roman" w:hAnsi="Times New Roman" w:eastAsia="仿宋_GB2312" w:cs="Times New Roman"/>
          <w:sz w:val="32"/>
          <w:szCs w:val="32"/>
          <w:lang w:val="en-US" w:eastAsia="zh-CN"/>
        </w:rPr>
        <w:t>财政部门安排的公务员医疗补助经费</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rPr>
        <w:t>.卫生健康支出（类）其他卫生健康支出（款）其他卫生健康支出（项）：指</w:t>
      </w:r>
      <w:r>
        <w:rPr>
          <w:rFonts w:hint="default" w:ascii="Times New Roman" w:hAnsi="Times New Roman" w:eastAsia="仿宋_GB2312" w:cs="Times New Roman"/>
          <w:sz w:val="32"/>
          <w:szCs w:val="32"/>
          <w:lang w:val="en-US" w:eastAsia="zh-CN"/>
        </w:rPr>
        <w:t>除上述项目以外其他用于卫生健康方面的支出</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17</w:t>
      </w:r>
      <w:r>
        <w:rPr>
          <w:rFonts w:hint="default" w:ascii="Times New Roman" w:hAnsi="Times New Roman" w:eastAsia="仿宋_GB2312" w:cs="Times New Roman"/>
          <w:sz w:val="32"/>
          <w:szCs w:val="32"/>
        </w:rPr>
        <w:t>.住房保障支出（类）住房改革支出（款）住房公积金（项）：指</w:t>
      </w:r>
      <w:r>
        <w:rPr>
          <w:rFonts w:hint="default" w:ascii="Times New Roman" w:hAnsi="Times New Roman" w:eastAsia="仿宋_GB2312" w:cs="Times New Roman"/>
          <w:sz w:val="32"/>
          <w:szCs w:val="32"/>
          <w:lang w:val="en-US" w:eastAsia="zh-CN"/>
        </w:rPr>
        <w:t>行政事业单位按人力资源和社会保障部、财政部规定的基本工资和津贴补贴以及规定比例为职工缴纳的住房公积金</w:t>
      </w:r>
      <w:r>
        <w:rPr>
          <w:rFonts w:hint="default" w:ascii="Times New Roman" w:hAnsi="Times New Roman" w:eastAsia="仿宋_GB2312" w:cs="Times New Roman"/>
          <w:sz w:val="32"/>
          <w:szCs w:val="32"/>
        </w:rPr>
        <w:t>。</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.基本支出：指为保障机构正常运转、完成日常工作任务而发生的人员支出和公用支出。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.项目支出：指在基本支出之外为完成特定行政任务和事业发展目标所发生的支出。</w:t>
      </w:r>
    </w:p>
    <w:p>
      <w:pPr>
        <w:pStyle w:val="24"/>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20</w:t>
      </w:r>
      <w:r>
        <w:rPr>
          <w:rFonts w:hint="default" w:ascii="Times New Roman" w:hAnsi="Times New Roman" w:eastAsia="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000000" w:themeColor="text1"/>
          <w:sz w:val="32"/>
          <w:szCs w:val="32"/>
          <w:lang w:eastAsia="zh-CN"/>
        </w:rPr>
        <w:t>安全奖励</w:t>
      </w:r>
      <w:r>
        <w:rPr>
          <w:rFonts w:hint="default" w:ascii="Times New Roman" w:hAnsi="Times New Roman" w:eastAsia="仿宋_GB2312" w:cs="Times New Roman"/>
          <w:color w:val="auto"/>
          <w:sz w:val="32"/>
          <w:szCs w:val="32"/>
        </w:rPr>
        <w:t>等支出；公务接待费反映单位按规定开支的各类公务接待（含外宾接待）支出。</w:t>
      </w:r>
    </w:p>
    <w:p>
      <w:pPr>
        <w:pStyle w:val="24"/>
        <w:spacing w:line="56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color w:val="auto"/>
          <w:sz w:val="32"/>
          <w:szCs w:val="32"/>
          <w:lang w:val="en-US" w:eastAsia="zh-CN"/>
        </w:rPr>
        <w:t>21</w:t>
      </w:r>
      <w:r>
        <w:rPr>
          <w:rFonts w:hint="default"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6"/>
          <w:rFonts w:hint="eastAsia" w:ascii="方正小标宋简体" w:hAnsi="方正小标宋简体" w:eastAsia="方正小标宋简体" w:cs="方正小标宋简体"/>
          <w:b w:val="0"/>
          <w:bCs w:val="0"/>
          <w:sz w:val="44"/>
          <w:szCs w:val="44"/>
        </w:rPr>
      </w:pPr>
      <w:bookmarkStart w:id="45" w:name="_Toc15377226"/>
      <w:r>
        <w:rPr>
          <w:rFonts w:ascii="宋体"/>
          <w:b/>
          <w:sz w:val="44"/>
          <w:szCs w:val="44"/>
        </w:rPr>
        <w:br w:type="page"/>
      </w:r>
      <w:r>
        <w:rPr>
          <w:rStyle w:val="26"/>
          <w:rFonts w:ascii="黑体" w:hAnsi="黑体" w:eastAsia="黑体"/>
          <w:b w:val="0"/>
        </w:rPr>
        <w:t xml:space="preserve"> </w:t>
      </w:r>
      <w:r>
        <w:rPr>
          <w:rFonts w:hint="eastAsia" w:ascii="方正小标宋简体" w:hAnsi="方正小标宋简体" w:eastAsia="方正小标宋简体" w:cs="方正小标宋简体"/>
          <w:b w:val="0"/>
          <w:bCs w:val="0"/>
          <w:sz w:val="44"/>
          <w:szCs w:val="44"/>
        </w:rPr>
        <w:t>第</w:t>
      </w:r>
      <w:r>
        <w:rPr>
          <w:rStyle w:val="26"/>
          <w:rFonts w:hint="eastAsia" w:ascii="方正小标宋简体" w:hAnsi="方正小标宋简体" w:eastAsia="方正小标宋简体" w:cs="方正小标宋简体"/>
          <w:b w:val="0"/>
          <w:bCs w:val="0"/>
          <w:sz w:val="44"/>
          <w:szCs w:val="44"/>
        </w:rPr>
        <w:t>四部分 附件</w:t>
      </w:r>
    </w:p>
    <w:p>
      <w:pPr>
        <w:pStyle w:val="13"/>
        <w:spacing w:line="560" w:lineRule="exact"/>
        <w:ind w:left="0" w:leftChars="0" w:firstLine="640" w:firstLineChars="200"/>
        <w:rPr>
          <w:rFonts w:hint="default" w:ascii="Times New Roman" w:hAnsi="Times New Roman" w:eastAsia="黑体" w:cs="Times New Roman"/>
          <w:b w:val="0"/>
          <w:bCs w:val="0"/>
          <w:sz w:val="32"/>
          <w:szCs w:val="32"/>
          <w:lang w:val="en-US" w:eastAsia="zh-CN"/>
        </w:rPr>
      </w:pPr>
      <w:r>
        <w:rPr>
          <w:rFonts w:hint="eastAsia" w:eastAsia="黑体" w:cs="Times New Roman"/>
          <w:b w:val="0"/>
          <w:bCs w:val="0"/>
          <w:sz w:val="32"/>
          <w:szCs w:val="32"/>
          <w:lang w:val="en-US" w:eastAsia="zh-CN"/>
        </w:rPr>
        <w:t>部门预算项目支出绩效自评表（2022年度）见附件</w:t>
      </w:r>
    </w:p>
    <w:tbl>
      <w:tblPr>
        <w:tblStyle w:val="14"/>
        <w:tblpPr w:leftFromText="180" w:rightFromText="180" w:vertAnchor="text" w:horzAnchor="page" w:tblpX="1256" w:tblpY="221"/>
        <w:tblOverlap w:val="never"/>
        <w:tblW w:w="5170" w:type="pct"/>
        <w:tblInd w:w="0" w:type="dxa"/>
        <w:tblLayout w:type="fixed"/>
        <w:tblCellMar>
          <w:top w:w="0" w:type="dxa"/>
          <w:left w:w="108" w:type="dxa"/>
          <w:bottom w:w="0" w:type="dxa"/>
          <w:right w:w="108" w:type="dxa"/>
        </w:tblCellMar>
      </w:tblPr>
      <w:tblGrid>
        <w:gridCol w:w="8812"/>
      </w:tblGrid>
      <w:tr>
        <w:tblPrEx>
          <w:tblCellMar>
            <w:top w:w="0" w:type="dxa"/>
            <w:left w:w="108" w:type="dxa"/>
            <w:bottom w:w="0" w:type="dxa"/>
            <w:right w:w="108" w:type="dxa"/>
          </w:tblCellMar>
        </w:tblPrEx>
        <w:trPr>
          <w:trHeight w:val="90" w:hRule="atLeast"/>
        </w:trPr>
        <w:tc>
          <w:tcPr>
            <w:tcW w:w="5000" w:type="pct"/>
            <w:tcBorders>
              <w:top w:val="nil"/>
              <w:left w:val="nil"/>
              <w:bottom w:val="nil"/>
              <w:right w:val="nil"/>
            </w:tcBorders>
            <w:shd w:val="clear" w:color="auto" w:fill="auto"/>
            <w:vAlign w:val="center"/>
          </w:tcPr>
          <w:p>
            <w:pPr>
              <w:widowControl/>
              <w:jc w:val="both"/>
              <w:textAlignment w:val="center"/>
              <w:rPr>
                <w:rFonts w:eastAsia="宋体"/>
                <w:b/>
                <w:color w:val="000000"/>
                <w:szCs w:val="32"/>
              </w:rPr>
            </w:pPr>
          </w:p>
        </w:tc>
      </w:tr>
    </w:tbl>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p>
      <w:pPr>
        <w:pStyle w:val="13"/>
        <w:spacing w:line="560" w:lineRule="exact"/>
        <w:ind w:left="0" w:leftChars="0" w:firstLine="640"/>
        <w:rPr>
          <w:rFonts w:hint="eastAsia" w:ascii="仿宋" w:hAnsi="仿宋" w:eastAsia="仿宋" w:cs="仿宋"/>
          <w:color w:val="000000"/>
          <w:kern w:val="0"/>
          <w:szCs w:val="32"/>
          <w:shd w:val="clear" w:color="auto" w:fill="FFFFFF"/>
          <w:lang w:val="zh-CN"/>
        </w:rPr>
      </w:pPr>
    </w:p>
    <w:tbl>
      <w:tblPr>
        <w:tblStyle w:val="14"/>
        <w:tblpPr w:leftFromText="180" w:rightFromText="180" w:vertAnchor="text" w:horzAnchor="page" w:tblpX="1256" w:tblpY="221"/>
        <w:tblOverlap w:val="never"/>
        <w:tblW w:w="594" w:type="pct"/>
        <w:tblInd w:w="0" w:type="dxa"/>
        <w:tblLayout w:type="fixed"/>
        <w:tblCellMar>
          <w:top w:w="0" w:type="dxa"/>
          <w:left w:w="108" w:type="dxa"/>
          <w:bottom w:w="0" w:type="dxa"/>
          <w:right w:w="108" w:type="dxa"/>
        </w:tblCellMar>
      </w:tblPr>
      <w:tblGrid>
        <w:gridCol w:w="1012"/>
      </w:tblGrid>
      <w:tr>
        <w:tblPrEx>
          <w:tblCellMar>
            <w:top w:w="0" w:type="dxa"/>
            <w:left w:w="108" w:type="dxa"/>
            <w:bottom w:w="0" w:type="dxa"/>
            <w:right w:w="108" w:type="dxa"/>
          </w:tblCellMar>
        </w:tblPrEx>
        <w:trPr>
          <w:trHeight w:val="90" w:hRule="atLeast"/>
        </w:trPr>
        <w:tc>
          <w:tcPr>
            <w:tcW w:w="5000" w:type="pct"/>
            <w:tcBorders>
              <w:top w:val="nil"/>
              <w:left w:val="nil"/>
              <w:bottom w:val="nil"/>
              <w:right w:val="nil"/>
            </w:tcBorders>
            <w:shd w:val="clear" w:color="auto" w:fill="auto"/>
            <w:vAlign w:val="center"/>
          </w:tcPr>
          <w:p>
            <w:pPr>
              <w:widowControl/>
              <w:jc w:val="center"/>
              <w:textAlignment w:val="center"/>
              <w:rPr>
                <w:rFonts w:hint="eastAsia" w:ascii="仿宋" w:hAnsi="仿宋" w:eastAsia="仿宋" w:cs="仿宋"/>
                <w:b/>
                <w:color w:val="000000"/>
                <w:kern w:val="0"/>
                <w:szCs w:val="32"/>
              </w:rPr>
            </w:pPr>
          </w:p>
        </w:tc>
      </w:tr>
    </w:tbl>
    <w:p>
      <w:pPr>
        <w:widowControl/>
        <w:adjustRightInd w:val="0"/>
        <w:snapToGrid w:val="0"/>
        <w:spacing w:line="580" w:lineRule="exact"/>
        <w:contextualSpacing/>
        <w:jc w:val="left"/>
        <w:rPr>
          <w:rFonts w:hint="eastAsia" w:ascii="仿宋" w:hAnsi="仿宋" w:eastAsia="仿宋" w:cs="仿宋"/>
          <w:color w:val="000000"/>
          <w:kern w:val="0"/>
          <w:szCs w:val="32"/>
          <w:shd w:val="clear" w:color="auto" w:fill="FFFFFF"/>
        </w:rPr>
      </w:pPr>
    </w:p>
    <w:p>
      <w:pPr>
        <w:widowControl/>
        <w:adjustRightInd w:val="0"/>
        <w:snapToGrid w:val="0"/>
        <w:spacing w:line="580" w:lineRule="exact"/>
        <w:contextualSpacing/>
        <w:jc w:val="left"/>
        <w:rPr>
          <w:rFonts w:hint="eastAsia" w:ascii="仿宋" w:hAnsi="仿宋" w:eastAsia="仿宋" w:cs="仿宋"/>
          <w:color w:val="000000"/>
          <w:kern w:val="0"/>
          <w:szCs w:val="32"/>
          <w:shd w:val="clear" w:color="auto" w:fill="FFFFFF"/>
        </w:rPr>
      </w:pPr>
    </w:p>
    <w:p>
      <w:pPr>
        <w:widowControl/>
        <w:adjustRightInd w:val="0"/>
        <w:snapToGrid w:val="0"/>
        <w:spacing w:line="580" w:lineRule="exact"/>
        <w:contextualSpacing/>
        <w:jc w:val="left"/>
        <w:rPr>
          <w:rFonts w:hint="default" w:ascii="Times New Roman" w:hAnsi="Times New Roman" w:eastAsia="黑体" w:cs="Times New Roman"/>
          <w:color w:val="000000"/>
          <w:kern w:val="0"/>
          <w:sz w:val="32"/>
          <w:szCs w:val="32"/>
          <w:shd w:val="clear" w:color="auto" w:fill="FFFFFF"/>
          <w:lang w:val="en-US" w:eastAsia="zh-CN"/>
        </w:rPr>
      </w:pPr>
    </w:p>
    <w:p>
      <w:pPr>
        <w:widowControl/>
        <w:adjustRightInd w:val="0"/>
        <w:snapToGrid w:val="0"/>
        <w:spacing w:line="580" w:lineRule="exact"/>
        <w:contextualSpacing/>
        <w:jc w:val="left"/>
        <w:rPr>
          <w:rFonts w:hint="eastAsia" w:ascii="仿宋" w:hAnsi="仿宋" w:eastAsia="仿宋" w:cs="仿宋"/>
          <w:color w:val="000000"/>
          <w:kern w:val="0"/>
          <w:szCs w:val="32"/>
          <w:shd w:val="clear" w:color="auto" w:fill="FFFFFF"/>
        </w:rPr>
      </w:pPr>
    </w:p>
    <w:p>
      <w:pPr>
        <w:pStyle w:val="13"/>
        <w:spacing w:line="560" w:lineRule="exact"/>
        <w:ind w:left="0" w:leftChars="0" w:firstLine="0" w:firstLineChars="0"/>
        <w:rPr>
          <w:rFonts w:hint="eastAsia" w:ascii="仿宋_GB2312" w:hAnsi="仿宋_GB2312" w:eastAsia="仿宋_GB2312" w:cs="仿宋_GB2312"/>
          <w:color w:val="000000" w:themeColor="text1"/>
          <w:sz w:val="32"/>
          <w:szCs w:val="32"/>
          <w:lang w:val="zh-CN"/>
        </w:rPr>
      </w:pPr>
    </w:p>
    <w:p>
      <w:pPr>
        <w:pStyle w:val="13"/>
        <w:spacing w:line="560" w:lineRule="exact"/>
        <w:ind w:left="0" w:leftChars="0" w:firstLine="0" w:firstLineChars="0"/>
        <w:rPr>
          <w:color w:val="000000" w:themeColor="text1"/>
          <w:sz w:val="32"/>
          <w:lang w:val="zh-CN"/>
        </w:rPr>
      </w:pPr>
    </w:p>
    <w:p>
      <w:pPr>
        <w:pStyle w:val="2"/>
        <w:spacing w:before="93"/>
        <w:rPr>
          <w:rFonts w:hAnsi="宋体" w:cs="宋体"/>
          <w:sz w:val="32"/>
          <w:szCs w:val="32"/>
          <w:shd w:val="clear" w:color="auto" w:fill="FFFFFF"/>
          <w:lang w:val="zh-CN"/>
        </w:rPr>
      </w:pPr>
    </w:p>
    <w:p>
      <w:pPr>
        <w:spacing w:line="572" w:lineRule="exact"/>
        <w:jc w:val="left"/>
        <w:outlineLvl w:val="0"/>
        <w:rPr>
          <w:rFonts w:ascii="仿宋_GB2312" w:hAnsi="仿宋_GB2312" w:eastAsia="仿宋_GB2312" w:cs="仿宋_GB2312"/>
          <w:sz w:val="32"/>
          <w:szCs w:val="32"/>
        </w:rPr>
      </w:pPr>
    </w:p>
    <w:p>
      <w:pPr>
        <w:pStyle w:val="2"/>
        <w:spacing w:before="93"/>
        <w:rPr>
          <w:rFonts w:hAnsi="Calibri" w:cs="仿宋"/>
          <w:sz w:val="32"/>
          <w:szCs w:val="32"/>
        </w:rPr>
      </w:pPr>
      <w:bookmarkStart w:id="46" w:name="_Toc15396618"/>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ind w:firstLine="2200" w:firstLineChars="500"/>
        <w:jc w:val="both"/>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w:t>
      </w:r>
      <w:r>
        <w:rPr>
          <w:rStyle w:val="26"/>
          <w:rFonts w:hint="eastAsia" w:ascii="方正小标宋简体" w:hAnsi="方正小标宋简体" w:eastAsia="方正小标宋简体" w:cs="方正小标宋简体"/>
          <w:b w:val="0"/>
          <w:sz w:val="44"/>
          <w:szCs w:val="44"/>
        </w:rPr>
        <w:t>五部分 附表</w:t>
      </w:r>
      <w:bookmarkEnd w:id="45"/>
      <w:bookmarkEnd w:id="46"/>
      <w:bookmarkStart w:id="47" w:name="_Toc15396619"/>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sz w:val="32"/>
          <w:szCs w:val="32"/>
        </w:rPr>
        <w:t>一、收</w:t>
      </w:r>
      <w:r>
        <w:rPr>
          <w:rStyle w:val="27"/>
          <w:rFonts w:hint="default" w:ascii="Times New Roman" w:hAnsi="Times New Roman" w:eastAsia="仿宋_GB2312" w:cs="Times New Roman"/>
          <w:b w:val="0"/>
          <w:bCs w:val="0"/>
          <w:sz w:val="32"/>
          <w:szCs w:val="32"/>
        </w:rPr>
        <w:t>入支出决算总表</w:t>
      </w:r>
      <w:bookmarkEnd w:id="47"/>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48" w:name="_Toc15396620"/>
      <w:r>
        <w:rPr>
          <w:rFonts w:hint="default" w:ascii="Times New Roman" w:hAnsi="Times New Roman" w:eastAsia="仿宋_GB2312" w:cs="Times New Roman"/>
          <w:b w:val="0"/>
          <w:sz w:val="32"/>
          <w:szCs w:val="32"/>
        </w:rPr>
        <w:t>二、收</w:t>
      </w:r>
      <w:r>
        <w:rPr>
          <w:rStyle w:val="27"/>
          <w:rFonts w:hint="default" w:ascii="Times New Roman" w:hAnsi="Times New Roman" w:eastAsia="仿宋_GB2312" w:cs="Times New Roman"/>
          <w:b w:val="0"/>
          <w:bCs w:val="0"/>
          <w:sz w:val="32"/>
          <w:szCs w:val="32"/>
        </w:rPr>
        <w:t>入决算表</w:t>
      </w:r>
      <w:bookmarkEnd w:id="48"/>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49" w:name="_Toc15396621"/>
      <w:r>
        <w:rPr>
          <w:rStyle w:val="27"/>
          <w:rFonts w:hint="default" w:ascii="Times New Roman" w:hAnsi="Times New Roman" w:eastAsia="仿宋_GB2312" w:cs="Times New Roman"/>
          <w:b w:val="0"/>
          <w:bCs w:val="0"/>
          <w:sz w:val="32"/>
          <w:szCs w:val="32"/>
        </w:rPr>
        <w:t>三、</w:t>
      </w:r>
      <w:r>
        <w:rPr>
          <w:rFonts w:hint="default" w:ascii="Times New Roman" w:hAnsi="Times New Roman" w:eastAsia="仿宋_GB2312" w:cs="Times New Roman"/>
          <w:b w:val="0"/>
          <w:sz w:val="32"/>
          <w:szCs w:val="32"/>
        </w:rPr>
        <w:t>支</w:t>
      </w:r>
      <w:r>
        <w:rPr>
          <w:rStyle w:val="27"/>
          <w:rFonts w:hint="default" w:ascii="Times New Roman" w:hAnsi="Times New Roman" w:eastAsia="仿宋_GB2312" w:cs="Times New Roman"/>
          <w:b w:val="0"/>
          <w:bCs w:val="0"/>
          <w:sz w:val="32"/>
          <w:szCs w:val="32"/>
        </w:rPr>
        <w:t>出决算表</w:t>
      </w:r>
      <w:bookmarkEnd w:id="49"/>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sz w:val="32"/>
          <w:szCs w:val="32"/>
        </w:rPr>
      </w:pPr>
      <w:bookmarkStart w:id="50" w:name="_Toc15396622"/>
      <w:r>
        <w:rPr>
          <w:rStyle w:val="27"/>
          <w:rFonts w:hint="default" w:ascii="Times New Roman" w:hAnsi="Times New Roman" w:eastAsia="仿宋_GB2312" w:cs="Times New Roman"/>
          <w:b w:val="0"/>
          <w:bCs w:val="0"/>
          <w:sz w:val="32"/>
          <w:szCs w:val="32"/>
        </w:rPr>
        <w:t>四、</w:t>
      </w:r>
      <w:r>
        <w:rPr>
          <w:rFonts w:hint="default" w:ascii="Times New Roman" w:hAnsi="Times New Roman" w:eastAsia="仿宋_GB2312" w:cs="Times New Roman"/>
          <w:b w:val="0"/>
          <w:sz w:val="32"/>
          <w:szCs w:val="32"/>
        </w:rPr>
        <w:t>财</w:t>
      </w:r>
      <w:r>
        <w:rPr>
          <w:rStyle w:val="27"/>
          <w:rFonts w:hint="default" w:ascii="Times New Roman" w:hAnsi="Times New Roman" w:eastAsia="仿宋_GB2312" w:cs="Times New Roman"/>
          <w:b w:val="0"/>
          <w:bCs w:val="0"/>
          <w:sz w:val="32"/>
          <w:szCs w:val="32"/>
        </w:rPr>
        <w:t>政拨款收入支出决算总表</w:t>
      </w:r>
      <w:bookmarkEnd w:id="50"/>
    </w:p>
    <w:p>
      <w:pPr>
        <w:pStyle w:val="4"/>
        <w:keepNext/>
        <w:keepLines/>
        <w:pageBreakBefore w:val="0"/>
        <w:widowControl w:val="0"/>
        <w:kinsoku/>
        <w:wordWrap/>
        <w:overflowPunct/>
        <w:topLinePunct w:val="0"/>
        <w:autoSpaceDE/>
        <w:autoSpaceDN/>
        <w:bidi w:val="0"/>
        <w:adjustRightInd/>
        <w:snapToGrid/>
        <w:spacing w:line="560" w:lineRule="exact"/>
        <w:textAlignment w:val="auto"/>
        <w:rPr>
          <w:rStyle w:val="27"/>
          <w:rFonts w:hint="default" w:ascii="Times New Roman" w:hAnsi="Times New Roman" w:eastAsia="仿宋_GB2312" w:cs="Times New Roman"/>
          <w:b w:val="0"/>
          <w:bCs w:val="0"/>
          <w:sz w:val="32"/>
          <w:szCs w:val="32"/>
        </w:rPr>
      </w:pPr>
      <w:bookmarkStart w:id="51" w:name="_Toc15396623"/>
      <w:r>
        <w:rPr>
          <w:rStyle w:val="27"/>
          <w:rFonts w:hint="default" w:ascii="Times New Roman" w:hAnsi="Times New Roman" w:eastAsia="仿宋_GB2312" w:cs="Times New Roman"/>
          <w:b w:val="0"/>
          <w:bCs w:val="0"/>
          <w:sz w:val="32"/>
          <w:szCs w:val="32"/>
        </w:rPr>
        <w:t>五、</w:t>
      </w:r>
      <w:r>
        <w:rPr>
          <w:rFonts w:hint="default" w:ascii="Times New Roman" w:hAnsi="Times New Roman" w:eastAsia="仿宋_GB2312" w:cs="Times New Roman"/>
          <w:b w:val="0"/>
          <w:sz w:val="32"/>
          <w:szCs w:val="32"/>
        </w:rPr>
        <w:t>财</w:t>
      </w:r>
      <w:r>
        <w:rPr>
          <w:rStyle w:val="27"/>
          <w:rFonts w:hint="default" w:ascii="Times New Roman" w:hAnsi="Times New Roman" w:eastAsia="仿宋_GB2312" w:cs="Times New Roman"/>
          <w:b w:val="0"/>
          <w:bCs w:val="0"/>
          <w:sz w:val="32"/>
          <w:szCs w:val="32"/>
        </w:rPr>
        <w:t>政拨款支出决算明细表</w:t>
      </w:r>
      <w:bookmarkEnd w:id="51"/>
      <w:bookmarkStart w:id="52" w:name="_Toc15396624"/>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Style w:val="27"/>
          <w:rFonts w:hint="default" w:ascii="Times New Roman" w:hAnsi="Times New Roman" w:eastAsia="仿宋_GB2312" w:cs="Times New Roman"/>
          <w:b w:val="0"/>
          <w:bCs w:val="0"/>
          <w:sz w:val="32"/>
          <w:szCs w:val="32"/>
        </w:rPr>
        <w:t>六、</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般公共预算财政拨款支出决算表</w:t>
      </w:r>
      <w:bookmarkEnd w:id="52"/>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3" w:name="_Toc15396625"/>
      <w:r>
        <w:rPr>
          <w:rStyle w:val="27"/>
          <w:rFonts w:hint="default" w:ascii="Times New Roman" w:hAnsi="Times New Roman" w:eastAsia="仿宋_GB2312" w:cs="Times New Roman"/>
          <w:b w:val="0"/>
          <w:bCs w:val="0"/>
          <w:sz w:val="32"/>
          <w:szCs w:val="32"/>
        </w:rPr>
        <w:t>七、</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般公共预算财政拨款支出决算明细表</w:t>
      </w:r>
      <w:bookmarkEnd w:id="53"/>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4" w:name="_Toc15396626"/>
      <w:r>
        <w:rPr>
          <w:rStyle w:val="27"/>
          <w:rFonts w:hint="default" w:ascii="Times New Roman" w:hAnsi="Times New Roman" w:eastAsia="仿宋_GB2312" w:cs="Times New Roman"/>
          <w:b w:val="0"/>
          <w:bCs w:val="0"/>
          <w:sz w:val="32"/>
          <w:szCs w:val="32"/>
        </w:rPr>
        <w:t>八、</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般公共预算财政拨款基本支出决算表</w:t>
      </w:r>
      <w:bookmarkEnd w:id="54"/>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5" w:name="_Toc15396627"/>
      <w:r>
        <w:rPr>
          <w:rStyle w:val="27"/>
          <w:rFonts w:hint="default" w:ascii="Times New Roman" w:hAnsi="Times New Roman" w:eastAsia="仿宋_GB2312" w:cs="Times New Roman"/>
          <w:b w:val="0"/>
          <w:bCs w:val="0"/>
          <w:sz w:val="32"/>
          <w:szCs w:val="32"/>
        </w:rPr>
        <w:t>九、</w:t>
      </w:r>
      <w:r>
        <w:rPr>
          <w:rFonts w:hint="default" w:ascii="Times New Roman" w:hAnsi="Times New Roman" w:eastAsia="仿宋_GB2312" w:cs="Times New Roman"/>
          <w:b w:val="0"/>
          <w:sz w:val="32"/>
          <w:szCs w:val="32"/>
        </w:rPr>
        <w:t>一</w:t>
      </w:r>
      <w:r>
        <w:rPr>
          <w:rStyle w:val="27"/>
          <w:rFonts w:hint="default" w:ascii="Times New Roman" w:hAnsi="Times New Roman" w:eastAsia="仿宋_GB2312" w:cs="Times New Roman"/>
          <w:b w:val="0"/>
          <w:bCs w:val="0"/>
          <w:sz w:val="32"/>
          <w:szCs w:val="32"/>
        </w:rPr>
        <w:t>般公共预算财政拨款项目支出决算表</w:t>
      </w:r>
      <w:bookmarkEnd w:id="55"/>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6" w:name="_Toc15396628"/>
      <w:r>
        <w:rPr>
          <w:rStyle w:val="27"/>
          <w:rFonts w:hint="default" w:ascii="Times New Roman" w:hAnsi="Times New Roman" w:eastAsia="仿宋_GB2312" w:cs="Times New Roman"/>
          <w:b w:val="0"/>
          <w:bCs w:val="0"/>
          <w:sz w:val="32"/>
          <w:szCs w:val="32"/>
        </w:rPr>
        <w:t>十、</w:t>
      </w:r>
      <w:bookmarkEnd w:id="56"/>
      <w:r>
        <w:rPr>
          <w:rFonts w:hint="default" w:ascii="Times New Roman" w:hAnsi="Times New Roman" w:eastAsia="仿宋_GB2312" w:cs="Times New Roman"/>
          <w:b w:val="0"/>
          <w:sz w:val="32"/>
          <w:szCs w:val="32"/>
        </w:rPr>
        <w:t>政</w:t>
      </w:r>
      <w:r>
        <w:rPr>
          <w:rStyle w:val="27"/>
          <w:rFonts w:hint="default" w:ascii="Times New Roman" w:hAnsi="Times New Roman" w:eastAsia="仿宋_GB2312" w:cs="Times New Roman"/>
          <w:b w:val="0"/>
          <w:bCs w:val="0"/>
          <w:sz w:val="32"/>
          <w:szCs w:val="32"/>
        </w:rPr>
        <w:t>府性基金预算财政拨款收入支出决算表</w:t>
      </w:r>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7" w:name="_Toc15396629"/>
      <w:r>
        <w:rPr>
          <w:rStyle w:val="27"/>
          <w:rFonts w:hint="default" w:ascii="Times New Roman" w:hAnsi="Times New Roman" w:eastAsia="仿宋_GB2312" w:cs="Times New Roman"/>
          <w:b w:val="0"/>
          <w:bCs w:val="0"/>
          <w:sz w:val="32"/>
          <w:szCs w:val="32"/>
        </w:rPr>
        <w:t>十一、</w:t>
      </w:r>
      <w:bookmarkEnd w:id="57"/>
      <w:r>
        <w:rPr>
          <w:rFonts w:hint="default" w:ascii="Times New Roman" w:hAnsi="Times New Roman" w:eastAsia="仿宋_GB2312" w:cs="Times New Roman"/>
          <w:b w:val="0"/>
          <w:sz w:val="32"/>
          <w:szCs w:val="32"/>
        </w:rPr>
        <w:t>国</w:t>
      </w:r>
      <w:r>
        <w:rPr>
          <w:rStyle w:val="27"/>
          <w:rFonts w:hint="default" w:ascii="Times New Roman" w:hAnsi="Times New Roman" w:eastAsia="仿宋_GB2312" w:cs="Times New Roman"/>
          <w:b w:val="0"/>
          <w:bCs w:val="0"/>
          <w:sz w:val="32"/>
          <w:szCs w:val="32"/>
        </w:rPr>
        <w:t>有资本经营预算财政拨款收入支出决算表</w:t>
      </w:r>
    </w:p>
    <w:p>
      <w:pPr>
        <w:pStyle w:val="4"/>
        <w:keepNext/>
        <w:keepLines/>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bookmarkStart w:id="58" w:name="_Toc15396630"/>
      <w:r>
        <w:rPr>
          <w:rStyle w:val="27"/>
          <w:rFonts w:hint="default" w:ascii="Times New Roman" w:hAnsi="Times New Roman" w:eastAsia="仿宋_GB2312" w:cs="Times New Roman"/>
          <w:b w:val="0"/>
          <w:bCs w:val="0"/>
          <w:sz w:val="32"/>
          <w:szCs w:val="32"/>
        </w:rPr>
        <w:t>十二、</w:t>
      </w:r>
      <w:bookmarkEnd w:id="58"/>
      <w:r>
        <w:rPr>
          <w:rStyle w:val="27"/>
          <w:rFonts w:hint="default" w:ascii="Times New Roman" w:hAnsi="Times New Roman" w:eastAsia="仿宋_GB2312" w:cs="Times New Roman"/>
          <w:b w:val="0"/>
          <w:bCs w:val="0"/>
          <w:sz w:val="32"/>
          <w:szCs w:val="32"/>
        </w:rPr>
        <w:t>国有资本经营预算财政拨款支出决算表</w:t>
      </w:r>
    </w:p>
    <w:p>
      <w:pPr>
        <w:pStyle w:val="4"/>
        <w:keepNext/>
        <w:keepLines/>
        <w:pageBreakBefore w:val="0"/>
        <w:widowControl w:val="0"/>
        <w:kinsoku/>
        <w:wordWrap/>
        <w:overflowPunct/>
        <w:topLinePunct w:val="0"/>
        <w:autoSpaceDE/>
        <w:autoSpaceDN/>
        <w:bidi w:val="0"/>
        <w:adjustRightInd/>
        <w:snapToGrid/>
        <w:spacing w:line="560" w:lineRule="exact"/>
        <w:textAlignment w:val="auto"/>
        <w:rPr>
          <w:rStyle w:val="27"/>
          <w:rFonts w:hint="default" w:ascii="Times New Roman" w:hAnsi="Times New Roman" w:eastAsia="仿宋_GB2312" w:cs="Times New Roman"/>
          <w:b w:val="0"/>
          <w:bCs w:val="0"/>
          <w:sz w:val="32"/>
          <w:szCs w:val="32"/>
        </w:rPr>
        <w:sectPr>
          <w:footerReference r:id="rId6" w:type="first"/>
          <w:footerReference r:id="rId5" w:type="default"/>
          <w:pgSz w:w="11906" w:h="16838"/>
          <w:pgMar w:top="1440" w:right="1800" w:bottom="1440" w:left="1800" w:header="851" w:footer="992" w:gutter="0"/>
          <w:pgNumType w:fmt="decimal" w:start="1"/>
          <w:cols w:space="425" w:num="1"/>
          <w:titlePg/>
          <w:docGrid w:type="lines" w:linePitch="312" w:charSpace="0"/>
        </w:sectPr>
      </w:pPr>
      <w:bookmarkStart w:id="59" w:name="_Toc15396631"/>
      <w:r>
        <w:rPr>
          <w:rStyle w:val="27"/>
          <w:rFonts w:hint="default" w:ascii="Times New Roman" w:hAnsi="Times New Roman" w:eastAsia="仿宋_GB2312" w:cs="Times New Roman"/>
          <w:b w:val="0"/>
          <w:bCs w:val="0"/>
          <w:sz w:val="32"/>
          <w:szCs w:val="32"/>
        </w:rPr>
        <w:t>十三、</w:t>
      </w:r>
      <w:bookmarkEnd w:id="59"/>
      <w:r>
        <w:rPr>
          <w:rStyle w:val="27"/>
          <w:rFonts w:hint="default" w:ascii="Times New Roman" w:hAnsi="Times New Roman" w:eastAsia="仿宋_GB2312" w:cs="Times New Roman"/>
          <w:b w:val="0"/>
          <w:bCs w:val="0"/>
          <w:sz w:val="32"/>
          <w:szCs w:val="32"/>
        </w:rPr>
        <w:t>财政拨款“三公”经费支出决算表</w:t>
      </w:r>
    </w:p>
    <w:p>
      <w:pPr>
        <w:jc w:val="center"/>
        <w:sectPr>
          <w:footerReference r:id="rId8" w:type="first"/>
          <w:footerReference r:id="rId7" w:type="default"/>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692515" cy="4861560"/>
            <wp:effectExtent l="0" t="0" r="13335" b="15240"/>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17"/>
                    <a:stretch>
                      <a:fillRect/>
                    </a:stretch>
                  </pic:blipFill>
                  <pic:spPr>
                    <a:xfrm>
                      <a:off x="0" y="0"/>
                      <a:ext cx="8692515" cy="4861560"/>
                    </a:xfrm>
                    <a:prstGeom prst="rect">
                      <a:avLst/>
                    </a:prstGeom>
                    <a:noFill/>
                    <a:ln>
                      <a:noFill/>
                    </a:ln>
                  </pic:spPr>
                </pic:pic>
              </a:graphicData>
            </a:graphic>
          </wp:inline>
        </w:drawing>
      </w:r>
    </w:p>
    <w:p>
      <w:pPr>
        <w:jc w:val="center"/>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777605" cy="5273040"/>
            <wp:effectExtent l="0" t="0" r="4445" b="3810"/>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r:embed="rId18"/>
                    <a:stretch>
                      <a:fillRect/>
                    </a:stretch>
                  </pic:blipFill>
                  <pic:spPr>
                    <a:xfrm>
                      <a:off x="0" y="0"/>
                      <a:ext cx="8777605" cy="5273040"/>
                    </a:xfrm>
                    <a:prstGeom prst="rect">
                      <a:avLst/>
                    </a:prstGeom>
                    <a:noFill/>
                    <a:ln>
                      <a:noFill/>
                    </a:ln>
                  </pic:spPr>
                </pic:pic>
              </a:graphicData>
            </a:graphic>
          </wp:inline>
        </w:drawing>
      </w:r>
    </w:p>
    <w:p>
      <w:pPr>
        <w:jc w:val="center"/>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58885" cy="5671185"/>
            <wp:effectExtent l="0" t="0" r="18415" b="5715"/>
            <wp:docPr id="2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4"/>
                    <pic:cNvPicPr>
                      <a:picLocks noChangeAspect="1"/>
                    </pic:cNvPicPr>
                  </pic:nvPicPr>
                  <pic:blipFill>
                    <a:blip r:embed="rId19"/>
                    <a:stretch>
                      <a:fillRect/>
                    </a:stretch>
                  </pic:blipFill>
                  <pic:spPr>
                    <a:xfrm>
                      <a:off x="0" y="0"/>
                      <a:ext cx="8858885" cy="5671185"/>
                    </a:xfrm>
                    <a:prstGeom prst="rect">
                      <a:avLst/>
                    </a:prstGeom>
                    <a:noFill/>
                    <a:ln>
                      <a:noFill/>
                    </a:ln>
                  </pic:spPr>
                </pic:pic>
              </a:graphicData>
            </a:graphic>
          </wp:inline>
        </w:drawing>
      </w:r>
    </w:p>
    <w:p>
      <w:pPr>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57615" cy="5455920"/>
            <wp:effectExtent l="0" t="0" r="635" b="11430"/>
            <wp:docPr id="2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pic:cNvPicPr>
                      <a:picLocks noChangeAspect="1"/>
                    </pic:cNvPicPr>
                  </pic:nvPicPr>
                  <pic:blipFill>
                    <a:blip r:embed="rId20"/>
                    <a:stretch>
                      <a:fillRect/>
                    </a:stretch>
                  </pic:blipFill>
                  <pic:spPr>
                    <a:xfrm>
                      <a:off x="0" y="0"/>
                      <a:ext cx="8857615" cy="5455920"/>
                    </a:xfrm>
                    <a:prstGeom prst="rect">
                      <a:avLst/>
                    </a:prstGeom>
                    <a:noFill/>
                    <a:ln>
                      <a:noFill/>
                    </a:ln>
                  </pic:spPr>
                </pic:pic>
              </a:graphicData>
            </a:graphic>
          </wp:inline>
        </w:drawing>
      </w:r>
    </w:p>
    <w:p>
      <w:pPr>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55710" cy="5625465"/>
            <wp:effectExtent l="0" t="0" r="2540" b="13335"/>
            <wp:docPr id="2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6"/>
                    <pic:cNvPicPr>
                      <a:picLocks noChangeAspect="1"/>
                    </pic:cNvPicPr>
                  </pic:nvPicPr>
                  <pic:blipFill>
                    <a:blip r:embed="rId21"/>
                    <a:stretch>
                      <a:fillRect/>
                    </a:stretch>
                  </pic:blipFill>
                  <pic:spPr>
                    <a:xfrm>
                      <a:off x="0" y="0"/>
                      <a:ext cx="8855710" cy="5625465"/>
                    </a:xfrm>
                    <a:prstGeom prst="rect">
                      <a:avLst/>
                    </a:prstGeom>
                    <a:noFill/>
                    <a:ln>
                      <a:noFill/>
                    </a:ln>
                  </pic:spPr>
                </pic:pic>
              </a:graphicData>
            </a:graphic>
          </wp:inline>
        </w:drawing>
      </w:r>
    </w:p>
    <w:p>
      <w:pPr>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55710" cy="5501005"/>
            <wp:effectExtent l="0" t="0" r="2540" b="444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22"/>
                    <a:stretch>
                      <a:fillRect/>
                    </a:stretch>
                  </pic:blipFill>
                  <pic:spPr>
                    <a:xfrm>
                      <a:off x="0" y="0"/>
                      <a:ext cx="8855710" cy="5501005"/>
                    </a:xfrm>
                    <a:prstGeom prst="rect">
                      <a:avLst/>
                    </a:prstGeom>
                    <a:noFill/>
                    <a:ln>
                      <a:noFill/>
                    </a:ln>
                  </pic:spPr>
                </pic:pic>
              </a:graphicData>
            </a:graphic>
          </wp:inline>
        </w:drawing>
      </w:r>
    </w:p>
    <w:p>
      <w:r>
        <w:drawing>
          <wp:inline distT="0" distB="0" distL="114300" distR="114300">
            <wp:extent cx="8855710" cy="5475605"/>
            <wp:effectExtent l="0" t="0" r="2540" b="1079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23"/>
                    <a:stretch>
                      <a:fillRect/>
                    </a:stretch>
                  </pic:blipFill>
                  <pic:spPr>
                    <a:xfrm>
                      <a:off x="0" y="0"/>
                      <a:ext cx="8855710" cy="5475605"/>
                    </a:xfrm>
                    <a:prstGeom prst="rect">
                      <a:avLst/>
                    </a:prstGeom>
                    <a:noFill/>
                    <a:ln>
                      <a:noFill/>
                    </a:ln>
                  </pic:spPr>
                </pic:pic>
              </a:graphicData>
            </a:graphic>
          </wp:inline>
        </w:drawing>
      </w:r>
    </w:p>
    <w:p>
      <w:pPr>
        <w:pStyle w:val="2"/>
        <w:sectPr>
          <w:pgSz w:w="16838" w:h="11906" w:orient="landscape"/>
          <w:pgMar w:top="1800" w:right="1440" w:bottom="1800" w:left="1440" w:header="851" w:footer="992" w:gutter="0"/>
          <w:pgNumType w:fmt="decimal"/>
          <w:cols w:space="425" w:num="1"/>
          <w:titlePg/>
          <w:docGrid w:type="lines" w:linePitch="312" w:charSpace="0"/>
        </w:sectPr>
      </w:pPr>
    </w:p>
    <w:p>
      <w:r>
        <w:drawing>
          <wp:inline distT="0" distB="0" distL="114300" distR="114300">
            <wp:extent cx="8855710" cy="3569970"/>
            <wp:effectExtent l="0" t="0" r="2540" b="1143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24"/>
                    <a:stretch>
                      <a:fillRect/>
                    </a:stretch>
                  </pic:blipFill>
                  <pic:spPr>
                    <a:xfrm>
                      <a:off x="0" y="0"/>
                      <a:ext cx="8855710" cy="3569970"/>
                    </a:xfrm>
                    <a:prstGeom prst="rect">
                      <a:avLst/>
                    </a:prstGeom>
                    <a:noFill/>
                    <a:ln>
                      <a:noFill/>
                    </a:ln>
                  </pic:spPr>
                </pic:pic>
              </a:graphicData>
            </a:graphic>
          </wp:inline>
        </w:drawing>
      </w:r>
    </w:p>
    <w:p>
      <w:r>
        <w:drawing>
          <wp:inline distT="0" distB="0" distL="114300" distR="114300">
            <wp:extent cx="8848725" cy="5022850"/>
            <wp:effectExtent l="0" t="0" r="9525" b="6350"/>
            <wp:docPr id="2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9"/>
                    <pic:cNvPicPr>
                      <a:picLocks noChangeAspect="1"/>
                    </pic:cNvPicPr>
                  </pic:nvPicPr>
                  <pic:blipFill>
                    <a:blip r:embed="rId25"/>
                    <a:stretch>
                      <a:fillRect/>
                    </a:stretch>
                  </pic:blipFill>
                  <pic:spPr>
                    <a:xfrm>
                      <a:off x="0" y="0"/>
                      <a:ext cx="8848725" cy="5022850"/>
                    </a:xfrm>
                    <a:prstGeom prst="rect">
                      <a:avLst/>
                    </a:prstGeom>
                    <a:noFill/>
                    <a:ln>
                      <a:noFill/>
                    </a:ln>
                  </pic:spPr>
                </pic:pic>
              </a:graphicData>
            </a:graphic>
          </wp:inline>
        </w:drawing>
      </w:r>
    </w:p>
    <w:p/>
    <w:p>
      <w:pPr>
        <w:pStyle w:val="2"/>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60790" cy="4521200"/>
            <wp:effectExtent l="0" t="0" r="16510" b="1270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26"/>
                    <a:stretch>
                      <a:fillRect/>
                    </a:stretch>
                  </pic:blipFill>
                  <pic:spPr>
                    <a:xfrm>
                      <a:off x="0" y="0"/>
                      <a:ext cx="8860790" cy="4521200"/>
                    </a:xfrm>
                    <a:prstGeom prst="rect">
                      <a:avLst/>
                    </a:prstGeom>
                    <a:noFill/>
                    <a:ln>
                      <a:noFill/>
                    </a:ln>
                  </pic:spPr>
                </pic:pic>
              </a:graphicData>
            </a:graphic>
          </wp:inline>
        </w:drawing>
      </w:r>
      <w:r>
        <w:drawing>
          <wp:inline distT="0" distB="0" distL="114300" distR="114300">
            <wp:extent cx="8860155" cy="4547870"/>
            <wp:effectExtent l="0" t="0" r="17145" b="508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27"/>
                    <a:stretch>
                      <a:fillRect/>
                    </a:stretch>
                  </pic:blipFill>
                  <pic:spPr>
                    <a:xfrm>
                      <a:off x="0" y="0"/>
                      <a:ext cx="8860155" cy="4547870"/>
                    </a:xfrm>
                    <a:prstGeom prst="rect">
                      <a:avLst/>
                    </a:prstGeom>
                    <a:noFill/>
                    <a:ln>
                      <a:noFill/>
                    </a:ln>
                  </pic:spPr>
                </pic:pic>
              </a:graphicData>
            </a:graphic>
          </wp:inline>
        </w:drawing>
      </w:r>
      <w:r>
        <w:drawing>
          <wp:inline distT="0" distB="0" distL="114300" distR="114300">
            <wp:extent cx="8859520" cy="4561205"/>
            <wp:effectExtent l="0" t="0" r="17780" b="10795"/>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8"/>
                    <a:stretch>
                      <a:fillRect/>
                    </a:stretch>
                  </pic:blipFill>
                  <pic:spPr>
                    <a:xfrm>
                      <a:off x="0" y="0"/>
                      <a:ext cx="8859520" cy="4561205"/>
                    </a:xfrm>
                    <a:prstGeom prst="rect">
                      <a:avLst/>
                    </a:prstGeom>
                    <a:noFill/>
                    <a:ln>
                      <a:noFill/>
                    </a:ln>
                  </pic:spPr>
                </pic:pic>
              </a:graphicData>
            </a:graphic>
          </wp:inline>
        </w:drawing>
      </w:r>
      <w:r>
        <w:drawing>
          <wp:inline distT="0" distB="0" distL="114300" distR="114300">
            <wp:extent cx="8859520" cy="4561205"/>
            <wp:effectExtent l="0" t="0" r="17780" b="10795"/>
            <wp:docPr id="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
                    <pic:cNvPicPr>
                      <a:picLocks noChangeAspect="1"/>
                    </pic:cNvPicPr>
                  </pic:nvPicPr>
                  <pic:blipFill>
                    <a:blip r:embed="rId29"/>
                    <a:stretch>
                      <a:fillRect/>
                    </a:stretch>
                  </pic:blipFill>
                  <pic:spPr>
                    <a:xfrm>
                      <a:off x="0" y="0"/>
                      <a:ext cx="8859520" cy="4561205"/>
                    </a:xfrm>
                    <a:prstGeom prst="rect">
                      <a:avLst/>
                    </a:prstGeom>
                    <a:noFill/>
                    <a:ln>
                      <a:noFill/>
                    </a:ln>
                  </pic:spPr>
                </pic:pic>
              </a:graphicData>
            </a:graphic>
          </wp:inline>
        </w:drawing>
      </w:r>
      <w:r>
        <w:drawing>
          <wp:inline distT="0" distB="0" distL="114300" distR="114300">
            <wp:extent cx="8859520" cy="4561205"/>
            <wp:effectExtent l="0" t="0" r="17780" b="10795"/>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30"/>
                    <a:stretch>
                      <a:fillRect/>
                    </a:stretch>
                  </pic:blipFill>
                  <pic:spPr>
                    <a:xfrm>
                      <a:off x="0" y="0"/>
                      <a:ext cx="8859520" cy="4561205"/>
                    </a:xfrm>
                    <a:prstGeom prst="rect">
                      <a:avLst/>
                    </a:prstGeom>
                    <a:noFill/>
                    <a:ln>
                      <a:noFill/>
                    </a:ln>
                  </pic:spPr>
                </pic:pic>
              </a:graphicData>
            </a:graphic>
          </wp:inline>
        </w:drawing>
      </w:r>
      <w:r>
        <w:drawing>
          <wp:inline distT="0" distB="0" distL="114300" distR="114300">
            <wp:extent cx="8863330" cy="4858385"/>
            <wp:effectExtent l="0" t="0" r="13970" b="18415"/>
            <wp:docPr id="2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1"/>
                    <pic:cNvPicPr>
                      <a:picLocks noChangeAspect="1"/>
                    </pic:cNvPicPr>
                  </pic:nvPicPr>
                  <pic:blipFill>
                    <a:blip r:embed="rId31"/>
                    <a:stretch>
                      <a:fillRect/>
                    </a:stretch>
                  </pic:blipFill>
                  <pic:spPr>
                    <a:xfrm>
                      <a:off x="0" y="0"/>
                      <a:ext cx="8863330" cy="4858385"/>
                    </a:xfrm>
                    <a:prstGeom prst="rect">
                      <a:avLst/>
                    </a:prstGeom>
                    <a:noFill/>
                    <a:ln>
                      <a:noFill/>
                    </a:ln>
                  </pic:spPr>
                </pic:pic>
              </a:graphicData>
            </a:graphic>
          </wp:inline>
        </w:drawing>
      </w:r>
      <w:r>
        <w:drawing>
          <wp:inline distT="0" distB="0" distL="114300" distR="114300">
            <wp:extent cx="8863330" cy="4858385"/>
            <wp:effectExtent l="0" t="0" r="13970" b="18415"/>
            <wp:docPr id="3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2"/>
                    <pic:cNvPicPr>
                      <a:picLocks noChangeAspect="1"/>
                    </pic:cNvPicPr>
                  </pic:nvPicPr>
                  <pic:blipFill>
                    <a:blip r:embed="rId32"/>
                    <a:stretch>
                      <a:fillRect/>
                    </a:stretch>
                  </pic:blipFill>
                  <pic:spPr>
                    <a:xfrm>
                      <a:off x="0" y="0"/>
                      <a:ext cx="8863330" cy="4858385"/>
                    </a:xfrm>
                    <a:prstGeom prst="rect">
                      <a:avLst/>
                    </a:prstGeom>
                    <a:noFill/>
                    <a:ln>
                      <a:noFill/>
                    </a:ln>
                  </pic:spPr>
                </pic:pic>
              </a:graphicData>
            </a:graphic>
          </wp:inline>
        </w:drawing>
      </w:r>
      <w:r>
        <w:drawing>
          <wp:inline distT="0" distB="0" distL="114300" distR="114300">
            <wp:extent cx="8863330" cy="4858385"/>
            <wp:effectExtent l="0" t="0" r="13970" b="18415"/>
            <wp:docPr id="3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3"/>
                    <pic:cNvPicPr>
                      <a:picLocks noChangeAspect="1"/>
                    </pic:cNvPicPr>
                  </pic:nvPicPr>
                  <pic:blipFill>
                    <a:blip r:embed="rId33"/>
                    <a:stretch>
                      <a:fillRect/>
                    </a:stretch>
                  </pic:blipFill>
                  <pic:spPr>
                    <a:xfrm>
                      <a:off x="0" y="0"/>
                      <a:ext cx="8863330" cy="4858385"/>
                    </a:xfrm>
                    <a:prstGeom prst="rect">
                      <a:avLst/>
                    </a:prstGeom>
                    <a:noFill/>
                    <a:ln>
                      <a:noFill/>
                    </a:ln>
                  </pic:spPr>
                </pic:pic>
              </a:graphicData>
            </a:graphic>
          </wp:inline>
        </w:drawing>
      </w:r>
      <w:r>
        <w:drawing>
          <wp:inline distT="0" distB="0" distL="114300" distR="114300">
            <wp:extent cx="8863330" cy="4858385"/>
            <wp:effectExtent l="0" t="0" r="13970" b="18415"/>
            <wp:docPr id="3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4"/>
                    <pic:cNvPicPr>
                      <a:picLocks noChangeAspect="1"/>
                    </pic:cNvPicPr>
                  </pic:nvPicPr>
                  <pic:blipFill>
                    <a:blip r:embed="rId34"/>
                    <a:stretch>
                      <a:fillRect/>
                    </a:stretch>
                  </pic:blipFill>
                  <pic:spPr>
                    <a:xfrm>
                      <a:off x="0" y="0"/>
                      <a:ext cx="8863330" cy="4858385"/>
                    </a:xfrm>
                    <a:prstGeom prst="rect">
                      <a:avLst/>
                    </a:prstGeom>
                    <a:noFill/>
                    <a:ln>
                      <a:noFill/>
                    </a:ln>
                  </pic:spPr>
                </pic:pic>
              </a:graphicData>
            </a:graphic>
          </wp:inline>
        </w:drawing>
      </w:r>
      <w:r>
        <w:drawing>
          <wp:inline distT="0" distB="0" distL="114300" distR="114300">
            <wp:extent cx="8859520" cy="4561205"/>
            <wp:effectExtent l="0" t="0" r="17780" b="10795"/>
            <wp:docPr id="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5"/>
                    <pic:cNvPicPr>
                      <a:picLocks noChangeAspect="1"/>
                    </pic:cNvPicPr>
                  </pic:nvPicPr>
                  <pic:blipFill>
                    <a:blip r:embed="rId35"/>
                    <a:stretch>
                      <a:fillRect/>
                    </a:stretch>
                  </pic:blipFill>
                  <pic:spPr>
                    <a:xfrm>
                      <a:off x="0" y="0"/>
                      <a:ext cx="8859520" cy="4561205"/>
                    </a:xfrm>
                    <a:prstGeom prst="rect">
                      <a:avLst/>
                    </a:prstGeom>
                    <a:noFill/>
                    <a:ln>
                      <a:noFill/>
                    </a:ln>
                  </pic:spPr>
                </pic:pic>
              </a:graphicData>
            </a:graphic>
          </wp:inline>
        </w:drawing>
      </w:r>
      <w:r>
        <w:drawing>
          <wp:inline distT="0" distB="0" distL="114300" distR="114300">
            <wp:extent cx="8862060" cy="4276725"/>
            <wp:effectExtent l="0" t="0" r="15240" b="9525"/>
            <wp:docPr id="4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pic:cNvPicPr>
                      <a:picLocks noChangeAspect="1"/>
                    </pic:cNvPicPr>
                  </pic:nvPicPr>
                  <pic:blipFill>
                    <a:blip r:embed="rId36"/>
                    <a:stretch>
                      <a:fillRect/>
                    </a:stretch>
                  </pic:blipFill>
                  <pic:spPr>
                    <a:xfrm>
                      <a:off x="0" y="0"/>
                      <a:ext cx="8862060" cy="4276725"/>
                    </a:xfrm>
                    <a:prstGeom prst="rect">
                      <a:avLst/>
                    </a:prstGeom>
                    <a:noFill/>
                    <a:ln>
                      <a:noFill/>
                    </a:ln>
                  </pic:spPr>
                </pic:pic>
              </a:graphicData>
            </a:graphic>
          </wp:inline>
        </w:drawing>
      </w:r>
    </w:p>
    <w:p>
      <w:pPr>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52535" cy="5192395"/>
            <wp:effectExtent l="0" t="0" r="5715" b="8255"/>
            <wp:docPr id="2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0"/>
                    <pic:cNvPicPr>
                      <a:picLocks noChangeAspect="1"/>
                    </pic:cNvPicPr>
                  </pic:nvPicPr>
                  <pic:blipFill>
                    <a:blip r:embed="rId37"/>
                    <a:stretch>
                      <a:fillRect/>
                    </a:stretch>
                  </pic:blipFill>
                  <pic:spPr>
                    <a:xfrm>
                      <a:off x="0" y="0"/>
                      <a:ext cx="8852535" cy="5192395"/>
                    </a:xfrm>
                    <a:prstGeom prst="rect">
                      <a:avLst/>
                    </a:prstGeom>
                    <a:noFill/>
                    <a:ln>
                      <a:noFill/>
                    </a:ln>
                  </pic:spPr>
                </pic:pic>
              </a:graphicData>
            </a:graphic>
          </wp:inline>
        </w:drawing>
      </w:r>
    </w:p>
    <w:p>
      <w:pPr>
        <w:jc w:val="center"/>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93175" cy="3810000"/>
            <wp:effectExtent l="0" t="0" r="3175" b="0"/>
            <wp:docPr id="2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1"/>
                    <pic:cNvPicPr>
                      <a:picLocks noChangeAspect="1"/>
                    </pic:cNvPicPr>
                  </pic:nvPicPr>
                  <pic:blipFill>
                    <a:blip r:embed="rId38"/>
                    <a:stretch>
                      <a:fillRect/>
                    </a:stretch>
                  </pic:blipFill>
                  <pic:spPr>
                    <a:xfrm>
                      <a:off x="0" y="0"/>
                      <a:ext cx="8893175" cy="3810000"/>
                    </a:xfrm>
                    <a:prstGeom prst="rect">
                      <a:avLst/>
                    </a:prstGeom>
                    <a:noFill/>
                    <a:ln>
                      <a:noFill/>
                    </a:ln>
                  </pic:spPr>
                </pic:pic>
              </a:graphicData>
            </a:graphic>
          </wp:inline>
        </w:drawing>
      </w:r>
    </w:p>
    <w:p>
      <w:pPr>
        <w:jc w:val="both"/>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856345" cy="2842895"/>
            <wp:effectExtent l="0" t="0" r="1905" b="1460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39"/>
                    <a:stretch>
                      <a:fillRect/>
                    </a:stretch>
                  </pic:blipFill>
                  <pic:spPr>
                    <a:xfrm>
                      <a:off x="0" y="0"/>
                      <a:ext cx="8856345" cy="2842895"/>
                    </a:xfrm>
                    <a:prstGeom prst="rect">
                      <a:avLst/>
                    </a:prstGeom>
                    <a:noFill/>
                    <a:ln>
                      <a:noFill/>
                    </a:ln>
                  </pic:spPr>
                </pic:pic>
              </a:graphicData>
            </a:graphic>
          </wp:inline>
        </w:drawing>
      </w:r>
    </w:p>
    <w:p>
      <w:pPr>
        <w:jc w:val="both"/>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785860" cy="3552825"/>
            <wp:effectExtent l="0" t="0" r="15240"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40"/>
                    <a:stretch>
                      <a:fillRect/>
                    </a:stretch>
                  </pic:blipFill>
                  <pic:spPr>
                    <a:xfrm>
                      <a:off x="0" y="0"/>
                      <a:ext cx="8785860" cy="3552825"/>
                    </a:xfrm>
                    <a:prstGeom prst="rect">
                      <a:avLst/>
                    </a:prstGeom>
                    <a:noFill/>
                    <a:ln>
                      <a:noFill/>
                    </a:ln>
                  </pic:spPr>
                </pic:pic>
              </a:graphicData>
            </a:graphic>
          </wp:inline>
        </w:drawing>
      </w:r>
    </w:p>
    <w:p>
      <w:pPr>
        <w:jc w:val="both"/>
        <w:sectPr>
          <w:pgSz w:w="16838" w:h="11906" w:orient="landscape"/>
          <w:pgMar w:top="1800" w:right="1440" w:bottom="1800" w:left="1440" w:header="851" w:footer="992" w:gutter="0"/>
          <w:pgNumType w:fmt="decimal"/>
          <w:cols w:space="425" w:num="1"/>
          <w:titlePg/>
          <w:docGrid w:type="lines" w:linePitch="312" w:charSpace="0"/>
        </w:sectPr>
      </w:pPr>
      <w:r>
        <w:drawing>
          <wp:inline distT="0" distB="0" distL="114300" distR="114300">
            <wp:extent cx="8907780" cy="3535045"/>
            <wp:effectExtent l="0" t="0" r="7620" b="825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41"/>
                    <a:stretch>
                      <a:fillRect/>
                    </a:stretch>
                  </pic:blipFill>
                  <pic:spPr>
                    <a:xfrm>
                      <a:off x="0" y="0"/>
                      <a:ext cx="8907780" cy="3535045"/>
                    </a:xfrm>
                    <a:prstGeom prst="rect">
                      <a:avLst/>
                    </a:prstGeom>
                    <a:noFill/>
                    <a:ln>
                      <a:noFill/>
                    </a:ln>
                  </pic:spPr>
                </pic:pic>
              </a:graphicData>
            </a:graphic>
          </wp:inline>
        </w:drawing>
      </w:r>
    </w:p>
    <w:p>
      <w:pPr>
        <w:jc w:val="center"/>
      </w:pPr>
      <w:r>
        <w:drawing>
          <wp:inline distT="0" distB="0" distL="114300" distR="114300">
            <wp:extent cx="8855075" cy="1831975"/>
            <wp:effectExtent l="0" t="0" r="3175" b="15875"/>
            <wp:docPr id="3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5"/>
                    <pic:cNvPicPr>
                      <a:picLocks noChangeAspect="1"/>
                    </pic:cNvPicPr>
                  </pic:nvPicPr>
                  <pic:blipFill>
                    <a:blip r:embed="rId42"/>
                    <a:stretch>
                      <a:fillRect/>
                    </a:stretch>
                  </pic:blipFill>
                  <pic:spPr>
                    <a:xfrm>
                      <a:off x="0" y="0"/>
                      <a:ext cx="8855075" cy="1831975"/>
                    </a:xfrm>
                    <a:prstGeom prst="rect">
                      <a:avLst/>
                    </a:prstGeom>
                    <a:noFill/>
                    <a:ln>
                      <a:noFill/>
                    </a:ln>
                  </pic:spPr>
                </pic:pic>
              </a:graphicData>
            </a:graphic>
          </wp:inline>
        </w:drawing>
      </w:r>
    </w:p>
    <w:sectPr>
      <w:pgSz w:w="16838" w:h="11906" w:orient="landscape"/>
      <w:pgMar w:top="1800" w:right="1440" w:bottom="1800" w:left="144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2053" o:spid="_x0000_s205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2054" o:spid="_x0000_s205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2055" o:spid="_x0000_s205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29</w:t>
                </w:r>
                <w:r>
                  <w:fldChar w:fldCharType="end"/>
                </w:r>
              </w:p>
            </w:txbxContent>
          </v:textbox>
        </v:shape>
      </w:pict>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2056" o:spid="_x0000_s2056"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77511C"/>
    <w:multiLevelType w:val="singleLevel"/>
    <w:tmpl w:val="8D77511C"/>
    <w:lvl w:ilvl="0" w:tentative="0">
      <w:start w:val="1"/>
      <w:numFmt w:val="chineseCounting"/>
      <w:suff w:val="nothing"/>
      <w:lvlText w:val="（%1）"/>
      <w:lvlJc w:val="left"/>
      <w:rPr>
        <w:rFonts w:hint="eastAsia"/>
      </w:rPr>
    </w:lvl>
  </w:abstractNum>
  <w:abstractNum w:abstractNumId="1">
    <w:nsid w:val="C35A96A6"/>
    <w:multiLevelType w:val="singleLevel"/>
    <w:tmpl w:val="C35A96A6"/>
    <w:lvl w:ilvl="0" w:tentative="0">
      <w:start w:val="1"/>
      <w:numFmt w:val="decimal"/>
      <w:lvlText w:val="%1."/>
      <w:lvlJc w:val="left"/>
      <w:pPr>
        <w:tabs>
          <w:tab w:val="left" w:pos="312"/>
        </w:tabs>
      </w:p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3818A09A"/>
    <w:multiLevelType w:val="singleLevel"/>
    <w:tmpl w:val="3818A09A"/>
    <w:lvl w:ilvl="0" w:tentative="0">
      <w:start w:val="1"/>
      <w:numFmt w:val="chineseCounting"/>
      <w:suff w:val="nothing"/>
      <w:lvlText w:val="%1、"/>
      <w:lvlJc w:val="left"/>
      <w:rPr>
        <w:rFonts w:hint="eastAsia"/>
      </w:rPr>
    </w:lvl>
  </w:abstractNum>
  <w:num w:numId="1">
    <w:abstractNumId w:val="5"/>
  </w:num>
  <w:num w:numId="2">
    <w:abstractNumId w:val="0"/>
  </w:num>
  <w:num w:numId="3">
    <w:abstractNumId w:val="1"/>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FlMTBiYzVhYTc5OTYwNTYyM2Q1NTZmNTBiNTcyMmY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7022"/>
    <w:rsid w:val="00142216"/>
    <w:rsid w:val="00144D6A"/>
    <w:rsid w:val="0014729F"/>
    <w:rsid w:val="00157BAB"/>
    <w:rsid w:val="001654D1"/>
    <w:rsid w:val="00174518"/>
    <w:rsid w:val="0018106D"/>
    <w:rsid w:val="001877A7"/>
    <w:rsid w:val="00191536"/>
    <w:rsid w:val="00196687"/>
    <w:rsid w:val="001C0962"/>
    <w:rsid w:val="001D1977"/>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55301"/>
    <w:rsid w:val="0036561B"/>
    <w:rsid w:val="0037013F"/>
    <w:rsid w:val="00380080"/>
    <w:rsid w:val="00380C92"/>
    <w:rsid w:val="003A46D7"/>
    <w:rsid w:val="003A484F"/>
    <w:rsid w:val="003A4883"/>
    <w:rsid w:val="003B0BE0"/>
    <w:rsid w:val="003B0C1B"/>
    <w:rsid w:val="003B688C"/>
    <w:rsid w:val="003C0291"/>
    <w:rsid w:val="003C39AE"/>
    <w:rsid w:val="003C4ACF"/>
    <w:rsid w:val="003C7B60"/>
    <w:rsid w:val="003D0C0F"/>
    <w:rsid w:val="003D1FB2"/>
    <w:rsid w:val="003D66DA"/>
    <w:rsid w:val="003E1310"/>
    <w:rsid w:val="003E6F55"/>
    <w:rsid w:val="003F73E3"/>
    <w:rsid w:val="00401788"/>
    <w:rsid w:val="00406254"/>
    <w:rsid w:val="004223DE"/>
    <w:rsid w:val="00422AE2"/>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3130"/>
    <w:rsid w:val="005664BB"/>
    <w:rsid w:val="00566FFA"/>
    <w:rsid w:val="0057481D"/>
    <w:rsid w:val="0058486E"/>
    <w:rsid w:val="00585B33"/>
    <w:rsid w:val="0059014D"/>
    <w:rsid w:val="005B42B0"/>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1A1"/>
    <w:rsid w:val="00681A31"/>
    <w:rsid w:val="00683E73"/>
    <w:rsid w:val="00691047"/>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E4BCE"/>
    <w:rsid w:val="007F1991"/>
    <w:rsid w:val="007F2C2F"/>
    <w:rsid w:val="007F55FC"/>
    <w:rsid w:val="007F5665"/>
    <w:rsid w:val="00800112"/>
    <w:rsid w:val="00804F68"/>
    <w:rsid w:val="00813348"/>
    <w:rsid w:val="008253BB"/>
    <w:rsid w:val="0083706E"/>
    <w:rsid w:val="008408F6"/>
    <w:rsid w:val="008423A5"/>
    <w:rsid w:val="00846D6C"/>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4E43"/>
    <w:rsid w:val="00B77EA6"/>
    <w:rsid w:val="00B81598"/>
    <w:rsid w:val="00B841F1"/>
    <w:rsid w:val="00B944D6"/>
    <w:rsid w:val="00BA696C"/>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1855"/>
    <w:rsid w:val="00E331A1"/>
    <w:rsid w:val="00E33202"/>
    <w:rsid w:val="00E336A9"/>
    <w:rsid w:val="00E472B1"/>
    <w:rsid w:val="00E50624"/>
    <w:rsid w:val="00E53DE4"/>
    <w:rsid w:val="00E568DF"/>
    <w:rsid w:val="00E61F0C"/>
    <w:rsid w:val="00E64269"/>
    <w:rsid w:val="00E82267"/>
    <w:rsid w:val="00E853CE"/>
    <w:rsid w:val="00E867B6"/>
    <w:rsid w:val="00EA010F"/>
    <w:rsid w:val="00EA60DA"/>
    <w:rsid w:val="00EB7439"/>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3DAB"/>
    <w:rsid w:val="00FF1E02"/>
    <w:rsid w:val="00FF30B4"/>
    <w:rsid w:val="053A62B5"/>
    <w:rsid w:val="0570110D"/>
    <w:rsid w:val="0A2032A3"/>
    <w:rsid w:val="0B8A37D8"/>
    <w:rsid w:val="10C055FF"/>
    <w:rsid w:val="110D280F"/>
    <w:rsid w:val="118107EC"/>
    <w:rsid w:val="11DD6519"/>
    <w:rsid w:val="12B90406"/>
    <w:rsid w:val="16BB723D"/>
    <w:rsid w:val="171229F2"/>
    <w:rsid w:val="18015F3F"/>
    <w:rsid w:val="1AD856F5"/>
    <w:rsid w:val="1BE8440E"/>
    <w:rsid w:val="1D155CEE"/>
    <w:rsid w:val="20F57F95"/>
    <w:rsid w:val="240371BF"/>
    <w:rsid w:val="25711CC6"/>
    <w:rsid w:val="25C741E6"/>
    <w:rsid w:val="27842671"/>
    <w:rsid w:val="28A23089"/>
    <w:rsid w:val="29FD04D3"/>
    <w:rsid w:val="2ABE7A3E"/>
    <w:rsid w:val="2BEA141B"/>
    <w:rsid w:val="2C6721E1"/>
    <w:rsid w:val="2C904811"/>
    <w:rsid w:val="2CA234A8"/>
    <w:rsid w:val="2DBC2935"/>
    <w:rsid w:val="2ED40A05"/>
    <w:rsid w:val="2EFA178C"/>
    <w:rsid w:val="2FCD574B"/>
    <w:rsid w:val="3048592E"/>
    <w:rsid w:val="30567D14"/>
    <w:rsid w:val="30B46D73"/>
    <w:rsid w:val="3179598E"/>
    <w:rsid w:val="319F7F4E"/>
    <w:rsid w:val="356453A3"/>
    <w:rsid w:val="36A37BC0"/>
    <w:rsid w:val="383D272C"/>
    <w:rsid w:val="39AE70AB"/>
    <w:rsid w:val="3A7D36DC"/>
    <w:rsid w:val="3C0C0783"/>
    <w:rsid w:val="3F9F3A96"/>
    <w:rsid w:val="3FB53FA3"/>
    <w:rsid w:val="40706275"/>
    <w:rsid w:val="42857601"/>
    <w:rsid w:val="438750A5"/>
    <w:rsid w:val="43FA0115"/>
    <w:rsid w:val="454E5906"/>
    <w:rsid w:val="46C655B1"/>
    <w:rsid w:val="48BF60AB"/>
    <w:rsid w:val="493C27E9"/>
    <w:rsid w:val="496F39ED"/>
    <w:rsid w:val="49FF41D3"/>
    <w:rsid w:val="4BE068DB"/>
    <w:rsid w:val="4BF6002B"/>
    <w:rsid w:val="4C0A4D94"/>
    <w:rsid w:val="4CFA6A2E"/>
    <w:rsid w:val="4ECE2238"/>
    <w:rsid w:val="51DB4B86"/>
    <w:rsid w:val="52147E55"/>
    <w:rsid w:val="55333C3E"/>
    <w:rsid w:val="56AF24FD"/>
    <w:rsid w:val="59BB6EF7"/>
    <w:rsid w:val="63664061"/>
    <w:rsid w:val="64CA39A1"/>
    <w:rsid w:val="659433ED"/>
    <w:rsid w:val="69630ADE"/>
    <w:rsid w:val="6C4A05C8"/>
    <w:rsid w:val="6D3B1A89"/>
    <w:rsid w:val="71235F90"/>
    <w:rsid w:val="71BF4EC2"/>
    <w:rsid w:val="72604C8A"/>
    <w:rsid w:val="72734D90"/>
    <w:rsid w:val="729B31F6"/>
    <w:rsid w:val="7412278C"/>
    <w:rsid w:val="748A4D6F"/>
    <w:rsid w:val="76791AB6"/>
    <w:rsid w:val="79E7B28D"/>
    <w:rsid w:val="7B257452"/>
    <w:rsid w:val="7C2A2690"/>
    <w:rsid w:val="7F903CEC"/>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qFormat/>
    <w:uiPriority w:val="99"/>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6.emf"/><Relationship Id="rId41" Type="http://schemas.openxmlformats.org/officeDocument/2006/relationships/image" Target="media/image25.emf"/><Relationship Id="rId40" Type="http://schemas.openxmlformats.org/officeDocument/2006/relationships/image" Target="media/image24.emf"/><Relationship Id="rId4" Type="http://schemas.openxmlformats.org/officeDocument/2006/relationships/footer" Target="footer1.xml"/><Relationship Id="rId39" Type="http://schemas.openxmlformats.org/officeDocument/2006/relationships/image" Target="media/image23.emf"/><Relationship Id="rId38" Type="http://schemas.openxmlformats.org/officeDocument/2006/relationships/image" Target="media/image22.emf"/><Relationship Id="rId37" Type="http://schemas.openxmlformats.org/officeDocument/2006/relationships/image" Target="media/image21.emf"/><Relationship Id="rId36" Type="http://schemas.openxmlformats.org/officeDocument/2006/relationships/image" Target="media/image20.emf"/><Relationship Id="rId35" Type="http://schemas.openxmlformats.org/officeDocument/2006/relationships/image" Target="media/image19.emf"/><Relationship Id="rId34" Type="http://schemas.openxmlformats.org/officeDocument/2006/relationships/image" Target="media/image18.emf"/><Relationship Id="rId33" Type="http://schemas.openxmlformats.org/officeDocument/2006/relationships/image" Target="media/image17.emf"/><Relationship Id="rId32" Type="http://schemas.openxmlformats.org/officeDocument/2006/relationships/image" Target="media/image16.emf"/><Relationship Id="rId31" Type="http://schemas.openxmlformats.org/officeDocument/2006/relationships/image" Target="media/image15.emf"/><Relationship Id="rId30" Type="http://schemas.openxmlformats.org/officeDocument/2006/relationships/image" Target="media/image14.emf"/><Relationship Id="rId3" Type="http://schemas.openxmlformats.org/officeDocument/2006/relationships/header" Target="header1.xml"/><Relationship Id="rId29" Type="http://schemas.openxmlformats.org/officeDocument/2006/relationships/image" Target="media/image13.emf"/><Relationship Id="rId28" Type="http://schemas.openxmlformats.org/officeDocument/2006/relationships/image" Target="media/image12.emf"/><Relationship Id="rId27" Type="http://schemas.openxmlformats.org/officeDocument/2006/relationships/image" Target="media/image11.emf"/><Relationship Id="rId26" Type="http://schemas.openxmlformats.org/officeDocument/2006/relationships/image" Target="media/image10.emf"/><Relationship Id="rId25" Type="http://schemas.openxmlformats.org/officeDocument/2006/relationships/image" Target="media/image9.emf"/><Relationship Id="rId24" Type="http://schemas.openxmlformats.org/officeDocument/2006/relationships/image" Target="media/image8.emf"/><Relationship Id="rId23" Type="http://schemas.openxmlformats.org/officeDocument/2006/relationships/image" Target="media/image7.emf"/><Relationship Id="rId22" Type="http://schemas.openxmlformats.org/officeDocument/2006/relationships/image" Target="media/image6.emf"/><Relationship Id="rId21" Type="http://schemas.openxmlformats.org/officeDocument/2006/relationships/image" Target="media/image5.emf"/><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image" Target="media/image2.emf"/><Relationship Id="rId17" Type="http://schemas.openxmlformats.org/officeDocument/2006/relationships/image" Target="media/image1.emf"/><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55540983606557"/>
          <c:y val="0.0334224598930481"/>
          <c:w val="0.927925"/>
          <c:h val="0.8069"/>
        </c:manualLayout>
      </c:layout>
      <c:barChart>
        <c:barDir val="col"/>
        <c:grouping val="clustered"/>
        <c:varyColors val="0"/>
        <c:ser>
          <c:idx val="0"/>
          <c:order val="0"/>
          <c:tx>
            <c:strRef>
              <c:f>Sheet1!$B$1</c:f>
              <c:strCache>
                <c:ptCount val="1"/>
                <c:pt idx="0">
                  <c:v>2022年</c:v>
                </c:pt>
              </c:strCache>
            </c:strRef>
          </c:tx>
          <c:spPr>
            <a:solidFill>
              <a:schemeClr val="accent1"/>
            </a:solidFill>
            <a:ln>
              <a:noFill/>
            </a:ln>
            <a:effectLst>
              <a:outerShdw blurRad="40000" dist="23000" dir="5400000" rotWithShape="0">
                <a:srgbClr val="000000">
                  <a:alpha val="35000"/>
                </a:srgbClr>
              </a:outerShdw>
            </a:effectLst>
            <a:sp3d>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总收入</c:v>
                </c:pt>
                <c:pt idx="1">
                  <c:v>总支出</c:v>
                </c:pt>
              </c:strCache>
            </c:strRef>
          </c:cat>
          <c:val>
            <c:numRef>
              <c:extLst>
                <c:ext xmlns:c15="http://schemas.microsoft.com/office/drawing/2012/chart" uri="{02D57815-91ED-43cb-92C2-25804820EDAC}">
                  <c15:fullRef>
                    <c15:sqref>Sheet1!$B$2:$B$5</c15:sqref>
                  </c15:fullRef>
                </c:ext>
              </c:extLst>
              <c:f>Sheet1!$B$2:$B$3</c:f>
              <c:numCache>
                <c:formatCode>General</c:formatCode>
                <c:ptCount val="2"/>
                <c:pt idx="0">
                  <c:v>421.87</c:v>
                </c:pt>
                <c:pt idx="1">
                  <c:v>421.87</c:v>
                </c:pt>
              </c:numCache>
            </c:numRef>
          </c:val>
        </c:ser>
        <c:ser>
          <c:idx val="2"/>
          <c:order val="1"/>
          <c:tx>
            <c:strRef>
              <c:f>Sheet1!$D$1</c:f>
              <c:strCache>
                <c:ptCount val="1"/>
                <c:pt idx="0">
                  <c:v>2021年</c:v>
                </c:pt>
              </c:strCache>
            </c:strRef>
          </c:tx>
          <c:spPr>
            <a:solidFill>
              <a:schemeClr val="accent3"/>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总收入</c:v>
                </c:pt>
                <c:pt idx="1">
                  <c:v>总支出</c:v>
                </c:pt>
              </c:strCache>
            </c:strRef>
          </c:cat>
          <c:val>
            <c:numRef>
              <c:extLst>
                <c:ext xmlns:c15="http://schemas.microsoft.com/office/drawing/2012/chart" uri="{02D57815-91ED-43cb-92C2-25804820EDAC}">
                  <c15:fullRef>
                    <c15:sqref>Sheet1!$D$2:$D$5</c15:sqref>
                  </c15:fullRef>
                </c:ext>
              </c:extLst>
              <c:f>Sheet1!$D$2:$D$3</c:f>
              <c:numCache>
                <c:formatCode>General</c:formatCode>
                <c:ptCount val="2"/>
                <c:pt idx="0">
                  <c:v>548.3</c:v>
                </c:pt>
                <c:pt idx="1">
                  <c:v>548.3</c:v>
                </c:pt>
              </c:numCache>
            </c:numRef>
          </c:val>
        </c:ser>
        <c:dLbls>
          <c:showLegendKey val="0"/>
          <c:showVal val="0"/>
          <c:showCatName val="0"/>
          <c:showSerName val="0"/>
          <c:showPercent val="0"/>
          <c:showBubbleSize val="0"/>
        </c:dLbls>
        <c:gapWidth val="75"/>
        <c:overlap val="0"/>
        <c:axId val="753784454"/>
        <c:axId val="746397465"/>
      </c:barChart>
      <c:catAx>
        <c:axId val="753784454"/>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6397465"/>
        <c:crosses val="autoZero"/>
        <c:auto val="1"/>
        <c:lblAlgn val="ctr"/>
        <c:lblOffset val="100"/>
        <c:noMultiLvlLbl val="0"/>
      </c:catAx>
      <c:valAx>
        <c:axId val="7463974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78445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77327127659574"/>
          <c:y val="0.00719597025665627"/>
          <c:w val="0.495877659574468"/>
          <c:h val="0.894459102902375"/>
        </c:manualLayout>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1"/>
              <c:layout>
                <c:manualLayout>
                  <c:x val="-0.0681573564821609"/>
                  <c:y val="-0.0378454137098799"/>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dLblPos val="inEnd"/>
              <c:showLegendKey val="0"/>
              <c:showVal val="1"/>
              <c:showCatName val="1"/>
              <c:showSerName val="0"/>
              <c:showPercent val="0"/>
              <c:showBubbleSize val="0"/>
              <c:extLst>
                <c:ext xmlns:c15="http://schemas.microsoft.com/office/drawing/2012/chart" uri="{CE6537A1-D6FC-4f65-9D91-7224C49458BB}">
                  <c15:layout>
                    <c:manualLayout>
                      <c:w val="0.235836627140975"/>
                      <c:h val="0.156376638855781"/>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一般公共预算财政拨款收入</c:v>
                </c:pt>
                <c:pt idx="1">
                  <c:v>其他收入</c:v>
                </c:pt>
                <c:pt idx="2">
                  <c:v>事业收入</c:v>
                </c:pt>
              </c:strCache>
            </c:strRef>
          </c:cat>
          <c:val>
            <c:numRef>
              <c:f>Sheet1!$B$2:$B$4</c:f>
              <c:numCache>
                <c:formatCode>General</c:formatCode>
                <c:ptCount val="3"/>
                <c:pt idx="0">
                  <c:v>361.57</c:v>
                </c:pt>
                <c:pt idx="1">
                  <c:v>3.64</c:v>
                </c:pt>
                <c:pt idx="2">
                  <c:v>56.67</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17651956702748"/>
          <c:y val="0.0638051044083527"/>
          <c:w val="0.417429919511518"/>
          <c:h val="0.872389791183295"/>
        </c:manualLayout>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235.85</c:v>
                </c:pt>
                <c:pt idx="1">
                  <c:v>171.38</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49967213114754"/>
          <c:y val="0.0302371111594518"/>
          <c:w val="0.927925"/>
          <c:h val="0.8069"/>
        </c:manualLayout>
      </c:layout>
      <c:barChart>
        <c:barDir val="col"/>
        <c:grouping val="clustered"/>
        <c:varyColors val="0"/>
        <c:ser>
          <c:idx val="0"/>
          <c:order val="0"/>
          <c:tx>
            <c:strRef>
              <c:f>Sheet1!$B$1</c:f>
              <c:strCache>
                <c:ptCount val="1"/>
                <c:pt idx="0">
                  <c:v>2022年</c:v>
                </c:pt>
              </c:strCache>
            </c:strRef>
          </c:tx>
          <c:spPr>
            <a:solidFill>
              <a:schemeClr val="accent1"/>
            </a:solidFill>
            <a:ln>
              <a:noFill/>
            </a:ln>
            <a:effectLst>
              <a:outerShdw blurRad="40000" dist="23000" dir="5400000" rotWithShape="0">
                <a:srgbClr val="000000">
                  <a:alpha val="35000"/>
                </a:srgbClr>
              </a:outerShdw>
            </a:effectLst>
            <a:sp3d>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财政拨款收入</c:v>
                </c:pt>
                <c:pt idx="1">
                  <c:v>财政拨款支出</c:v>
                </c:pt>
              </c:strCache>
            </c:strRef>
          </c:cat>
          <c:val>
            <c:numRef>
              <c:extLst>
                <c:ext xmlns:c15="http://schemas.microsoft.com/office/drawing/2012/chart" uri="{02D57815-91ED-43cb-92C2-25804820EDAC}">
                  <c15:fullRef>
                    <c15:sqref>Sheet1!$B$2:$B$5</c15:sqref>
                  </c15:fullRef>
                </c:ext>
              </c:extLst>
              <c:f>Sheet1!$B$2:$B$3</c:f>
              <c:numCache>
                <c:formatCode>General</c:formatCode>
                <c:ptCount val="2"/>
                <c:pt idx="0">
                  <c:v>361.57</c:v>
                </c:pt>
                <c:pt idx="1">
                  <c:v>361.57</c:v>
                </c:pt>
              </c:numCache>
            </c:numRef>
          </c:val>
        </c:ser>
        <c:ser>
          <c:idx val="2"/>
          <c:order val="1"/>
          <c:tx>
            <c:strRef>
              <c:f>Sheet1!$D$1</c:f>
              <c:strCache>
                <c:ptCount val="1"/>
                <c:pt idx="0">
                  <c:v>2021年</c:v>
                </c:pt>
              </c:strCache>
            </c:strRef>
          </c:tx>
          <c:spPr>
            <a:solidFill>
              <a:schemeClr val="accent3"/>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extrusionClr>
                <a:srgbClr val="FFFFFF"/>
              </a:extrusionClr>
              <a:contourClr>
                <a:srgbClr val="FFFFFF"/>
              </a:contourClr>
            </a:sp3d>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extLst>
                <c:ext xmlns:c15="http://schemas.microsoft.com/office/drawing/2012/chart" uri="{02D57815-91ED-43cb-92C2-25804820EDAC}">
                  <c15:fullRef>
                    <c15:sqref>Sheet1!$A$2:$A$5</c15:sqref>
                  </c15:fullRef>
                </c:ext>
              </c:extLst>
              <c:f>Sheet1!$A$2:$A$3</c:f>
              <c:strCache>
                <c:ptCount val="2"/>
                <c:pt idx="0">
                  <c:v>财政拨款收入</c:v>
                </c:pt>
                <c:pt idx="1">
                  <c:v>财政拨款支出</c:v>
                </c:pt>
              </c:strCache>
            </c:strRef>
          </c:cat>
          <c:val>
            <c:numRef>
              <c:extLst>
                <c:ext xmlns:c15="http://schemas.microsoft.com/office/drawing/2012/chart" uri="{02D57815-91ED-43cb-92C2-25804820EDAC}">
                  <c15:fullRef>
                    <c15:sqref>Sheet1!$D$2:$D$5</c15:sqref>
                  </c15:fullRef>
                </c:ext>
              </c:extLst>
              <c:f>Sheet1!$D$2:$D$3</c:f>
              <c:numCache>
                <c:formatCode>General</c:formatCode>
                <c:ptCount val="2"/>
                <c:pt idx="0">
                  <c:v>386.54</c:v>
                </c:pt>
                <c:pt idx="1">
                  <c:v>491.71</c:v>
                </c:pt>
              </c:numCache>
            </c:numRef>
          </c:val>
        </c:ser>
        <c:dLbls>
          <c:showLegendKey val="0"/>
          <c:showVal val="0"/>
          <c:showCatName val="0"/>
          <c:showSerName val="0"/>
          <c:showPercent val="0"/>
          <c:showBubbleSize val="0"/>
        </c:dLbls>
        <c:gapWidth val="75"/>
        <c:overlap val="0"/>
        <c:axId val="753784454"/>
        <c:axId val="746397465"/>
      </c:barChart>
      <c:catAx>
        <c:axId val="753784454"/>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6397465"/>
        <c:crosses val="autoZero"/>
        <c:auto val="1"/>
        <c:lblAlgn val="ctr"/>
        <c:lblOffset val="100"/>
        <c:noMultiLvlLbl val="0"/>
      </c:catAx>
      <c:valAx>
        <c:axId val="7463974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784454"/>
        <c:crosses val="autoZero"/>
        <c:crossBetween val="between"/>
      </c:valAx>
      <c:spPr>
        <a:noFill/>
        <a:ln>
          <a:noFill/>
        </a:ln>
        <a:effectLst/>
      </c:spPr>
    </c:plotArea>
    <c:legend>
      <c:legendPos val="b"/>
      <c:layout>
        <c:manualLayout>
          <c:xMode val="edge"/>
          <c:yMode val="edge"/>
          <c:x val="0.40472131147541"/>
          <c:y val="0.92060039155971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06360655737705"/>
          <c:y val="0.19140293231608"/>
          <c:w val="0.900511475409836"/>
          <c:h val="0.651513560804899"/>
        </c:manualLayout>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361.57</c:v>
                </c:pt>
              </c:numCache>
            </c:numRef>
          </c:val>
        </c:ser>
        <c:ser>
          <c:idx val="2"/>
          <c:order val="1"/>
          <c:tx>
            <c:strRef>
              <c:f>Sheet1!$C$1</c:f>
              <c:strCache>
                <c:ptCount val="1"/>
                <c:pt idx="0">
                  <c:v>2021年</c:v>
                </c:pt>
              </c:strCache>
            </c:strRef>
          </c:tx>
          <c:spPr>
            <a:solidFill>
              <a:schemeClr val="accent3"/>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491.71</c:v>
                </c:pt>
              </c:numCache>
            </c:numRef>
          </c:val>
        </c:ser>
        <c:dLbls>
          <c:showLegendKey val="0"/>
          <c:showVal val="1"/>
          <c:showCatName val="0"/>
          <c:showSerName val="0"/>
          <c:showPercent val="0"/>
          <c:showBubbleSize val="0"/>
        </c:dLbls>
        <c:gapWidth val="219"/>
        <c:overlap val="-27"/>
        <c:axId val="753784454"/>
        <c:axId val="746397465"/>
      </c:barChart>
      <c:catAx>
        <c:axId val="753784454"/>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6397465"/>
        <c:crosses val="autoZero"/>
        <c:auto val="1"/>
        <c:lblAlgn val="ctr"/>
        <c:lblOffset val="100"/>
        <c:noMultiLvlLbl val="0"/>
      </c:catAx>
      <c:valAx>
        <c:axId val="74639746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378445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1"/>
              <c:layout>
                <c:manualLayout>
                  <c:x val="-0.0873009367840734"/>
                  <c:y val="0.0074887668497254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84873960427545"/>
                  <c:y val="0"/>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卫生健康支出</c:v>
                </c:pt>
                <c:pt idx="1">
                  <c:v>住房保障支出</c:v>
                </c:pt>
                <c:pt idx="2">
                  <c:v>社会保障和就业支出</c:v>
                </c:pt>
              </c:strCache>
            </c:strRef>
          </c:cat>
          <c:val>
            <c:numRef>
              <c:f>Sheet1!$B$2:$B$4</c:f>
              <c:numCache>
                <c:formatCode>General</c:formatCode>
                <c:ptCount val="3"/>
                <c:pt idx="0">
                  <c:v>319.26</c:v>
                </c:pt>
                <c:pt idx="1">
                  <c:v>14.54</c:v>
                </c:pt>
                <c:pt idx="2">
                  <c:v>27.77</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0.181099084096586"/>
                  <c:y val="0.0037443834248627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873009367840734"/>
                  <c:y val="0.0074887668497254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84873960427545"/>
                  <c:y val="0"/>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因公出国费</c:v>
                </c:pt>
                <c:pt idx="1">
                  <c:v>公务用车购置及运行维护费</c:v>
                </c:pt>
                <c:pt idx="2">
                  <c:v>公务接待费</c:v>
                </c:pt>
              </c:strCache>
            </c:strRef>
          </c:cat>
          <c:val>
            <c:numRef>
              <c:f>Sheet1!$B$2:$B$4</c:f>
              <c:numCache>
                <c:formatCode>General</c:formatCode>
                <c:ptCount val="3"/>
                <c:pt idx="0">
                  <c:v>0</c:v>
                </c:pt>
                <c:pt idx="1">
                  <c:v>2.21</c:v>
                </c:pt>
                <c:pt idx="2">
                  <c:v>0</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2053" textRotate="1"/>
    <customShpInfo spid="_x0000_s2054" textRotate="1"/>
    <customShpInfo spid="_x0000_s2055" textRotate="1"/>
    <customShpInfo spid="_x0000_s205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17</Pages>
  <Words>877</Words>
  <Characters>5004</Characters>
  <Lines>41</Lines>
  <Paragraphs>11</Paragraphs>
  <TotalTime>287</TotalTime>
  <ScaleCrop>false</ScaleCrop>
  <LinksUpToDate>false</LinksUpToDate>
  <CharactersWithSpaces>5870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2023-10-11T02:29:00Z</dcterms:created>
  <dc:creator>曹颖</dc:creator>
  <cp:lastModifiedBy>陈录凯</cp:lastModifiedBy>
  <cp:lastPrinted>2023-10-25T02:11:00Z</cp:lastPrinted>
  <dcterms:modified xsi:type="dcterms:W3CDTF">2023-10-25T03:43:47Z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8EB0B0C1237B459BA98680C4749BC73C_12</vt:lpwstr>
  </property>
</Properties>
</file>