
<file path=[Content_Types].xml><?xml version="1.0" encoding="utf-8"?>
<Types xmlns="http://schemas.openxmlformats.org/package/2006/content-types">
  <Default Extension="xml" ContentType="application/xml"/>
  <Default Extension="xlsx" ContentType="application/vnd.openxmlformats-officedocument.spreadsheetml.shee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方正小标宋简体"/>
          <w:sz w:val="72"/>
          <w:szCs w:val="72"/>
        </w:rPr>
      </w:pPr>
      <w:bookmarkStart w:id="0" w:name="_Toc15377425"/>
      <w:bookmarkStart w:id="1" w:name="_Toc15377193"/>
      <w:bookmarkStart w:id="2" w:name="_Toc15378441"/>
      <w:bookmarkStart w:id="3" w:name="_Toc15396475"/>
      <w:bookmarkStart w:id="4" w:name="_Toc15306267"/>
      <w:bookmarkStart w:id="5" w:name="_Toc15396597"/>
    </w:p>
    <w:p>
      <w:pPr>
        <w:spacing w:line="600" w:lineRule="exact"/>
        <w:jc w:val="center"/>
        <w:rPr>
          <w:rFonts w:eastAsia="方正小标宋简体"/>
          <w:sz w:val="72"/>
          <w:szCs w:val="72"/>
        </w:rPr>
      </w:pPr>
    </w:p>
    <w:p>
      <w:pPr>
        <w:spacing w:line="600" w:lineRule="exact"/>
        <w:jc w:val="center"/>
        <w:rPr>
          <w:rFonts w:eastAsia="方正小标宋简体"/>
          <w:sz w:val="72"/>
          <w:szCs w:val="72"/>
        </w:rPr>
      </w:pPr>
    </w:p>
    <w:p>
      <w:pPr>
        <w:jc w:val="center"/>
        <w:rPr>
          <w:rFonts w:eastAsia="方正小标宋简体"/>
          <w:sz w:val="72"/>
          <w:szCs w:val="72"/>
        </w:rPr>
      </w:pPr>
      <w:bookmarkStart w:id="6" w:name="_Toc25574"/>
      <w:r>
        <w:rPr>
          <w:rFonts w:eastAsia="方正小标宋简体"/>
          <w:sz w:val="72"/>
          <w:szCs w:val="72"/>
        </w:rPr>
        <w:t>2022年度</w:t>
      </w:r>
      <w:bookmarkEnd w:id="0"/>
      <w:bookmarkEnd w:id="1"/>
      <w:bookmarkEnd w:id="2"/>
      <w:bookmarkEnd w:id="3"/>
      <w:bookmarkEnd w:id="4"/>
      <w:bookmarkEnd w:id="5"/>
      <w:bookmarkEnd w:id="6"/>
      <w:bookmarkStart w:id="7" w:name="_Toc15396598"/>
      <w:bookmarkStart w:id="8" w:name="_Toc15377194"/>
      <w:bookmarkStart w:id="9" w:name="_Toc15378442"/>
      <w:bookmarkStart w:id="10" w:name="_Toc15377426"/>
      <w:bookmarkStart w:id="11" w:name="_Toc15396476"/>
      <w:bookmarkStart w:id="12" w:name="_Toc15306268"/>
    </w:p>
    <w:p>
      <w:pPr>
        <w:jc w:val="center"/>
        <w:rPr>
          <w:rFonts w:eastAsia="方正小标宋简体"/>
          <w:sz w:val="72"/>
          <w:szCs w:val="72"/>
        </w:rPr>
      </w:pPr>
      <w:bookmarkStart w:id="13" w:name="_Toc2834"/>
      <w:r>
        <w:rPr>
          <w:rFonts w:eastAsia="方正小标宋简体"/>
          <w:sz w:val="72"/>
          <w:szCs w:val="72"/>
        </w:rPr>
        <w:t>盐边县人民政府办公室</w:t>
      </w:r>
      <w:bookmarkEnd w:id="13"/>
    </w:p>
    <w:p>
      <w:pPr>
        <w:jc w:val="center"/>
        <w:rPr>
          <w:rFonts w:eastAsia="方正小标宋简体"/>
          <w:sz w:val="72"/>
          <w:szCs w:val="72"/>
        </w:rPr>
      </w:pPr>
      <w:r>
        <w:rPr>
          <w:rFonts w:eastAsia="方正小标宋简体"/>
          <w:sz w:val="72"/>
          <w:szCs w:val="72"/>
        </w:rPr>
        <w:t>部门决算</w:t>
      </w:r>
      <w:bookmarkEnd w:id="7"/>
      <w:bookmarkEnd w:id="8"/>
      <w:bookmarkEnd w:id="9"/>
      <w:bookmarkEnd w:id="10"/>
      <w:bookmarkEnd w:id="11"/>
      <w:bookmarkEnd w:id="12"/>
    </w:p>
    <w:p>
      <w:pPr>
        <w:widowControl/>
        <w:jc w:val="center"/>
        <w:rPr>
          <w:rFonts w:eastAsia="方正小标宋简体"/>
          <w:sz w:val="72"/>
          <w:szCs w:val="72"/>
        </w:rPr>
      </w:pPr>
    </w:p>
    <w:p>
      <w:pPr>
        <w:widowControl/>
        <w:jc w:val="center"/>
        <w:rPr>
          <w:rFonts w:eastAsia="方正小标宋简体"/>
          <w:sz w:val="72"/>
          <w:szCs w:val="72"/>
        </w:rPr>
        <w:sectPr>
          <w:headerReference r:id="rId4" w:type="first"/>
          <w:footerReference r:id="rId6" w:type="first"/>
          <w:headerReference r:id="rId3" w:type="default"/>
          <w:footerReference r:id="rId5" w:type="default"/>
          <w:pgSz w:w="11906" w:h="16838"/>
          <w:pgMar w:top="2098" w:right="1474" w:bottom="1984" w:left="1587" w:header="851" w:footer="992" w:gutter="0"/>
          <w:pgNumType w:fmt="numberInDash" w:start="1"/>
          <w:cols w:space="0" w:num="1"/>
          <w:docGrid w:type="lines" w:linePitch="312" w:charSpace="0"/>
        </w:sectPr>
      </w:pPr>
    </w:p>
    <w:sdt>
      <w:sdtPr>
        <w:rPr>
          <w:rFonts w:eastAsia="黑体"/>
          <w:sz w:val="44"/>
          <w:szCs w:val="44"/>
        </w:rPr>
        <w:id w:val="147472477"/>
        <w:docPartObj>
          <w:docPartGallery w:val="Table of Contents"/>
          <w:docPartUnique/>
        </w:docPartObj>
      </w:sdtPr>
      <w:sdtEndPr>
        <w:rPr>
          <w:rFonts w:eastAsia="宋体"/>
          <w:b/>
          <w:sz w:val="21"/>
          <w:szCs w:val="24"/>
        </w:rPr>
      </w:sdtEndPr>
      <w:sdtContent>
        <w:p>
          <w:pPr>
            <w:jc w:val="center"/>
            <w:rPr>
              <w:rFonts w:eastAsia="黑体"/>
              <w:sz w:val="44"/>
              <w:szCs w:val="44"/>
            </w:rPr>
          </w:pPr>
          <w:r>
            <w:rPr>
              <w:rFonts w:eastAsia="黑体"/>
              <w:sz w:val="44"/>
              <w:szCs w:val="44"/>
            </w:rPr>
            <w:t>目  录</w:t>
          </w:r>
        </w:p>
        <w:p>
          <w:pPr>
            <w:pStyle w:val="13"/>
            <w:rPr>
              <w:rFonts w:ascii="Times New Roman" w:hAnsi="Times New Roman" w:eastAsia="仿宋_GB2312"/>
              <w:sz w:val="32"/>
              <w:szCs w:val="32"/>
            </w:rPr>
          </w:pPr>
          <w:r>
            <w:rPr>
              <w:rFonts w:ascii="Times New Roman" w:hAnsi="Times New Roman" w:eastAsia="仿宋_GB2312"/>
              <w:sz w:val="32"/>
              <w:szCs w:val="32"/>
            </w:rPr>
            <w:t>公开时间：2023年10月26日</w:t>
          </w:r>
        </w:p>
        <w:p>
          <w:pPr>
            <w:pStyle w:val="13"/>
            <w:tabs>
              <w:tab w:val="right" w:leader="dot" w:pos="8845"/>
              <w:tab w:val="clear" w:pos="8296"/>
            </w:tabs>
            <w:spacing w:before="0"/>
            <w:rPr>
              <w:rFonts w:ascii="Times New Roman" w:hAnsi="Times New Roman" w:eastAsia="仿宋_GB2312"/>
              <w:sz w:val="24"/>
              <w:szCs w:val="24"/>
            </w:rPr>
          </w:pPr>
          <w:r>
            <w:rPr>
              <w:rFonts w:ascii="Times New Roman" w:hAnsi="Times New Roman"/>
            </w:rPr>
            <w:fldChar w:fldCharType="begin"/>
          </w:r>
          <w:r>
            <w:rPr>
              <w:rFonts w:ascii="Times New Roman" w:hAnsi="Times New Roman"/>
            </w:rPr>
            <w:instrText xml:space="preserve">TOC \o "1-2" \h \u </w:instrText>
          </w:r>
          <w:r>
            <w:rPr>
              <w:rFonts w:ascii="Times New Roman" w:hAnsi="Times New Roman"/>
            </w:rPr>
            <w:fldChar w:fldCharType="separate"/>
          </w:r>
          <w:r>
            <w:fldChar w:fldCharType="begin"/>
          </w:r>
          <w:r>
            <w:instrText xml:space="preserve"> HYPERLINK \l "_Toc3749" </w:instrText>
          </w:r>
          <w:r>
            <w:fldChar w:fldCharType="separate"/>
          </w:r>
          <w:r>
            <w:rPr>
              <w:rFonts w:ascii="Times New Roman" w:hAnsi="Times New Roman" w:eastAsia="仿宋_GB2312"/>
              <w:b/>
              <w:bCs/>
              <w:sz w:val="24"/>
              <w:szCs w:val="24"/>
            </w:rPr>
            <w:t>第一部分 部门概况</w:t>
          </w:r>
          <w:r>
            <w:rPr>
              <w:rFonts w:ascii="Times New Roman" w:hAnsi="Times New Roman" w:eastAsia="仿宋_GB2312"/>
              <w:sz w:val="24"/>
              <w:szCs w:val="24"/>
            </w:rPr>
            <w:tab/>
          </w:r>
          <w:r>
            <w:rPr>
              <w:rFonts w:ascii="Times New Roman" w:hAnsi="Times New Roman" w:eastAsia="仿宋_GB2312"/>
              <w:sz w:val="24"/>
              <w:szCs w:val="24"/>
            </w:rPr>
            <w:fldChar w:fldCharType="begin"/>
          </w:r>
          <w:r>
            <w:rPr>
              <w:rFonts w:ascii="Times New Roman" w:hAnsi="Times New Roman" w:eastAsia="仿宋_GB2312"/>
              <w:sz w:val="24"/>
              <w:szCs w:val="24"/>
            </w:rPr>
            <w:instrText xml:space="preserve"> PAGEREF _Toc3749 \h </w:instrText>
          </w:r>
          <w:r>
            <w:rPr>
              <w:rFonts w:ascii="Times New Roman" w:hAnsi="Times New Roman" w:eastAsia="仿宋_GB2312"/>
              <w:sz w:val="24"/>
              <w:szCs w:val="24"/>
            </w:rPr>
            <w:fldChar w:fldCharType="separate"/>
          </w:r>
          <w:r>
            <w:rPr>
              <w:rFonts w:ascii="Times New Roman" w:hAnsi="Times New Roman" w:eastAsia="仿宋_GB2312"/>
              <w:sz w:val="24"/>
              <w:szCs w:val="24"/>
            </w:rPr>
            <w:t>- 1 -</w:t>
          </w:r>
          <w:r>
            <w:rPr>
              <w:rFonts w:ascii="Times New Roman" w:hAnsi="Times New Roman" w:eastAsia="仿宋_GB2312"/>
              <w:sz w:val="24"/>
              <w:szCs w:val="24"/>
            </w:rPr>
            <w:fldChar w:fldCharType="end"/>
          </w:r>
          <w:r>
            <w:rPr>
              <w:rFonts w:ascii="Times New Roman" w:hAnsi="Times New Roman" w:eastAsia="仿宋_GB2312"/>
              <w:sz w:val="24"/>
              <w:szCs w:val="24"/>
            </w:rPr>
            <w:fldChar w:fldCharType="end"/>
          </w:r>
        </w:p>
        <w:p>
          <w:pPr>
            <w:pStyle w:val="14"/>
            <w:tabs>
              <w:tab w:val="right" w:leader="dot" w:pos="8845"/>
              <w:tab w:val="clear" w:pos="8296"/>
            </w:tabs>
            <w:rPr>
              <w:rFonts w:eastAsia="仿宋_GB2312"/>
              <w:sz w:val="24"/>
            </w:rPr>
          </w:pPr>
          <w:r>
            <w:fldChar w:fldCharType="begin"/>
          </w:r>
          <w:r>
            <w:instrText xml:space="preserve"> HYPERLINK \l "_Toc141" </w:instrText>
          </w:r>
          <w:r>
            <w:fldChar w:fldCharType="separate"/>
          </w:r>
          <w:r>
            <w:rPr>
              <w:rFonts w:eastAsia="仿宋_GB2312"/>
              <w:sz w:val="24"/>
            </w:rPr>
            <w:t>一、部门职责</w:t>
          </w:r>
          <w:r>
            <w:rPr>
              <w:rFonts w:eastAsia="仿宋_GB2312"/>
              <w:sz w:val="24"/>
            </w:rPr>
            <w:tab/>
          </w:r>
          <w:r>
            <w:rPr>
              <w:rFonts w:eastAsia="仿宋_GB2312"/>
              <w:sz w:val="24"/>
            </w:rPr>
            <w:fldChar w:fldCharType="begin"/>
          </w:r>
          <w:r>
            <w:rPr>
              <w:rFonts w:eastAsia="仿宋_GB2312"/>
              <w:sz w:val="24"/>
            </w:rPr>
            <w:instrText xml:space="preserve"> PAGEREF _Toc141 \h </w:instrText>
          </w:r>
          <w:r>
            <w:rPr>
              <w:rFonts w:eastAsia="仿宋_GB2312"/>
              <w:sz w:val="24"/>
            </w:rPr>
            <w:fldChar w:fldCharType="separate"/>
          </w:r>
          <w:r>
            <w:rPr>
              <w:rFonts w:eastAsia="仿宋_GB2312"/>
              <w:sz w:val="24"/>
            </w:rPr>
            <w:t>- 1 -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"_Toc2604" </w:instrText>
          </w:r>
          <w:r>
            <w:fldChar w:fldCharType="separate"/>
          </w:r>
          <w:r>
            <w:rPr>
              <w:rFonts w:eastAsia="仿宋_GB2312"/>
              <w:sz w:val="24"/>
            </w:rPr>
            <w:t>二、机构设置</w:t>
          </w:r>
          <w:r>
            <w:rPr>
              <w:rFonts w:eastAsia="仿宋_GB2312"/>
              <w:sz w:val="24"/>
            </w:rPr>
            <w:tab/>
          </w:r>
          <w:r>
            <w:rPr>
              <w:rFonts w:eastAsia="仿宋_GB2312"/>
              <w:sz w:val="24"/>
            </w:rPr>
            <w:fldChar w:fldCharType="begin"/>
          </w:r>
          <w:r>
            <w:rPr>
              <w:rFonts w:eastAsia="仿宋_GB2312"/>
              <w:sz w:val="24"/>
            </w:rPr>
            <w:instrText xml:space="preserve"> PAGEREF _Toc2604 \h </w:instrText>
          </w:r>
          <w:r>
            <w:rPr>
              <w:rFonts w:eastAsia="仿宋_GB2312"/>
              <w:sz w:val="24"/>
            </w:rPr>
            <w:fldChar w:fldCharType="separate"/>
          </w:r>
          <w:r>
            <w:rPr>
              <w:rFonts w:eastAsia="仿宋_GB2312"/>
              <w:sz w:val="24"/>
            </w:rPr>
            <w:t>- 4 -</w:t>
          </w:r>
          <w:r>
            <w:rPr>
              <w:rFonts w:eastAsia="仿宋_GB2312"/>
              <w:sz w:val="24"/>
            </w:rPr>
            <w:fldChar w:fldCharType="end"/>
          </w:r>
          <w:r>
            <w:rPr>
              <w:rFonts w:eastAsia="仿宋_GB2312"/>
              <w:sz w:val="24"/>
            </w:rPr>
            <w:fldChar w:fldCharType="end"/>
          </w:r>
        </w:p>
        <w:p>
          <w:pPr>
            <w:pStyle w:val="13"/>
            <w:tabs>
              <w:tab w:val="right" w:leader="dot" w:pos="8845"/>
              <w:tab w:val="clear" w:pos="8296"/>
            </w:tabs>
            <w:spacing w:before="0"/>
            <w:rPr>
              <w:rFonts w:ascii="Times New Roman" w:hAnsi="Times New Roman" w:eastAsia="仿宋_GB2312"/>
              <w:sz w:val="24"/>
              <w:szCs w:val="24"/>
            </w:rPr>
          </w:pPr>
          <w:r>
            <w:fldChar w:fldCharType="begin"/>
          </w:r>
          <w:r>
            <w:instrText xml:space="preserve"> HYPERLINK \l "_Toc28796" </w:instrText>
          </w:r>
          <w:r>
            <w:fldChar w:fldCharType="separate"/>
          </w:r>
          <w:r>
            <w:rPr>
              <w:rFonts w:ascii="Times New Roman" w:hAnsi="Times New Roman" w:eastAsia="仿宋_GB2312"/>
              <w:b/>
              <w:bCs/>
              <w:sz w:val="24"/>
              <w:szCs w:val="24"/>
            </w:rPr>
            <w:t>第二部分 2022年度部门决算情况说明</w:t>
          </w:r>
          <w:r>
            <w:rPr>
              <w:rFonts w:ascii="Times New Roman" w:hAnsi="Times New Roman" w:eastAsia="仿宋_GB2312"/>
              <w:sz w:val="24"/>
              <w:szCs w:val="24"/>
            </w:rPr>
            <w:tab/>
          </w:r>
          <w:r>
            <w:rPr>
              <w:rFonts w:ascii="Times New Roman" w:hAnsi="Times New Roman" w:eastAsia="仿宋_GB2312"/>
              <w:sz w:val="24"/>
              <w:szCs w:val="24"/>
            </w:rPr>
            <w:fldChar w:fldCharType="begin"/>
          </w:r>
          <w:r>
            <w:rPr>
              <w:rFonts w:ascii="Times New Roman" w:hAnsi="Times New Roman" w:eastAsia="仿宋_GB2312"/>
              <w:sz w:val="24"/>
              <w:szCs w:val="24"/>
            </w:rPr>
            <w:instrText xml:space="preserve"> PAGEREF _Toc28796 \h </w:instrText>
          </w:r>
          <w:r>
            <w:rPr>
              <w:rFonts w:ascii="Times New Roman" w:hAnsi="Times New Roman" w:eastAsia="仿宋_GB2312"/>
              <w:sz w:val="24"/>
              <w:szCs w:val="24"/>
            </w:rPr>
            <w:fldChar w:fldCharType="separate"/>
          </w:r>
          <w:r>
            <w:rPr>
              <w:rFonts w:ascii="Times New Roman" w:hAnsi="Times New Roman" w:eastAsia="仿宋_GB2312"/>
              <w:sz w:val="24"/>
              <w:szCs w:val="24"/>
            </w:rPr>
            <w:t>- 5 -</w:t>
          </w:r>
          <w:r>
            <w:rPr>
              <w:rFonts w:ascii="Times New Roman" w:hAnsi="Times New Roman" w:eastAsia="仿宋_GB2312"/>
              <w:sz w:val="24"/>
              <w:szCs w:val="24"/>
            </w:rPr>
            <w:fldChar w:fldCharType="end"/>
          </w:r>
          <w:r>
            <w:rPr>
              <w:rFonts w:ascii="Times New Roman" w:hAnsi="Times New Roman" w:eastAsia="仿宋_GB2312"/>
              <w:sz w:val="24"/>
              <w:szCs w:val="24"/>
            </w:rPr>
            <w:fldChar w:fldCharType="end"/>
          </w:r>
        </w:p>
        <w:p>
          <w:pPr>
            <w:pStyle w:val="14"/>
            <w:tabs>
              <w:tab w:val="right" w:leader="dot" w:pos="8845"/>
              <w:tab w:val="clear" w:pos="8296"/>
            </w:tabs>
            <w:rPr>
              <w:rFonts w:eastAsia="仿宋_GB2312"/>
              <w:sz w:val="24"/>
            </w:rPr>
          </w:pPr>
          <w:r>
            <w:fldChar w:fldCharType="begin"/>
          </w:r>
          <w:r>
            <w:instrText xml:space="preserve"> HYPERLINK \l "_Toc4215" </w:instrText>
          </w:r>
          <w:r>
            <w:fldChar w:fldCharType="separate"/>
          </w:r>
          <w:r>
            <w:rPr>
              <w:rFonts w:eastAsia="仿宋_GB2312"/>
              <w:sz w:val="24"/>
            </w:rPr>
            <w:t>一、收入支出决算总体情况说明</w:t>
          </w:r>
          <w:r>
            <w:rPr>
              <w:rFonts w:eastAsia="仿宋_GB2312"/>
              <w:sz w:val="24"/>
            </w:rPr>
            <w:tab/>
          </w:r>
          <w:r>
            <w:rPr>
              <w:rFonts w:eastAsia="仿宋_GB2312"/>
              <w:sz w:val="24"/>
            </w:rPr>
            <w:fldChar w:fldCharType="begin"/>
          </w:r>
          <w:r>
            <w:rPr>
              <w:rFonts w:eastAsia="仿宋_GB2312"/>
              <w:sz w:val="24"/>
            </w:rPr>
            <w:instrText xml:space="preserve"> PAGEREF _Toc4215 \h </w:instrText>
          </w:r>
          <w:r>
            <w:rPr>
              <w:rFonts w:eastAsia="仿宋_GB2312"/>
              <w:sz w:val="24"/>
            </w:rPr>
            <w:fldChar w:fldCharType="separate"/>
          </w:r>
          <w:r>
            <w:rPr>
              <w:rFonts w:eastAsia="仿宋_GB2312"/>
              <w:sz w:val="24"/>
            </w:rPr>
            <w:t>- 5 -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"_Toc25205" </w:instrText>
          </w:r>
          <w:r>
            <w:fldChar w:fldCharType="separate"/>
          </w:r>
          <w:r>
            <w:rPr>
              <w:rFonts w:eastAsia="仿宋_GB2312"/>
              <w:sz w:val="24"/>
            </w:rPr>
            <w:t>二、收入决算情况说明</w:t>
          </w:r>
          <w:r>
            <w:rPr>
              <w:rFonts w:eastAsia="仿宋_GB2312"/>
              <w:sz w:val="24"/>
            </w:rPr>
            <w:tab/>
          </w:r>
          <w:r>
            <w:rPr>
              <w:rFonts w:eastAsia="仿宋_GB2312"/>
              <w:sz w:val="24"/>
            </w:rPr>
            <w:fldChar w:fldCharType="begin"/>
          </w:r>
          <w:r>
            <w:rPr>
              <w:rFonts w:eastAsia="仿宋_GB2312"/>
              <w:sz w:val="24"/>
            </w:rPr>
            <w:instrText xml:space="preserve"> PAGEREF _Toc25205 \h </w:instrText>
          </w:r>
          <w:r>
            <w:rPr>
              <w:rFonts w:eastAsia="仿宋_GB2312"/>
              <w:sz w:val="24"/>
            </w:rPr>
            <w:fldChar w:fldCharType="separate"/>
          </w:r>
          <w:r>
            <w:rPr>
              <w:rFonts w:eastAsia="仿宋_GB2312"/>
              <w:sz w:val="24"/>
            </w:rPr>
            <w:t>- 5 -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"_Toc5788" </w:instrText>
          </w:r>
          <w:r>
            <w:fldChar w:fldCharType="separate"/>
          </w:r>
          <w:r>
            <w:rPr>
              <w:rFonts w:eastAsia="仿宋_GB2312"/>
              <w:sz w:val="24"/>
            </w:rPr>
            <w:t>三、支出决算情况说明</w:t>
          </w:r>
          <w:r>
            <w:rPr>
              <w:rFonts w:eastAsia="仿宋_GB2312"/>
              <w:sz w:val="24"/>
            </w:rPr>
            <w:tab/>
          </w:r>
          <w:r>
            <w:rPr>
              <w:rFonts w:eastAsia="仿宋_GB2312"/>
              <w:sz w:val="24"/>
            </w:rPr>
            <w:fldChar w:fldCharType="begin"/>
          </w:r>
          <w:r>
            <w:rPr>
              <w:rFonts w:eastAsia="仿宋_GB2312"/>
              <w:sz w:val="24"/>
            </w:rPr>
            <w:instrText xml:space="preserve"> PAGEREF _Toc5788 \h </w:instrText>
          </w:r>
          <w:r>
            <w:rPr>
              <w:rFonts w:eastAsia="仿宋_GB2312"/>
              <w:sz w:val="24"/>
            </w:rPr>
            <w:fldChar w:fldCharType="separate"/>
          </w:r>
          <w:r>
            <w:rPr>
              <w:rFonts w:eastAsia="仿宋_GB2312"/>
              <w:sz w:val="24"/>
            </w:rPr>
            <w:t>- 6 -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"_Toc31730" </w:instrText>
          </w:r>
          <w:r>
            <w:fldChar w:fldCharType="separate"/>
          </w:r>
          <w:r>
            <w:rPr>
              <w:rFonts w:eastAsia="仿宋_GB2312"/>
              <w:sz w:val="24"/>
            </w:rPr>
            <w:t>四、财政拨款收入支出决算总体情况说明</w:t>
          </w:r>
          <w:r>
            <w:rPr>
              <w:rFonts w:eastAsia="仿宋_GB2312"/>
              <w:sz w:val="24"/>
            </w:rPr>
            <w:tab/>
          </w:r>
          <w:r>
            <w:rPr>
              <w:rFonts w:eastAsia="仿宋_GB2312"/>
              <w:sz w:val="24"/>
            </w:rPr>
            <w:fldChar w:fldCharType="begin"/>
          </w:r>
          <w:r>
            <w:rPr>
              <w:rFonts w:eastAsia="仿宋_GB2312"/>
              <w:sz w:val="24"/>
            </w:rPr>
            <w:instrText xml:space="preserve"> PAGEREF _Toc31730 \h </w:instrText>
          </w:r>
          <w:r>
            <w:rPr>
              <w:rFonts w:eastAsia="仿宋_GB2312"/>
              <w:sz w:val="24"/>
            </w:rPr>
            <w:fldChar w:fldCharType="separate"/>
          </w:r>
          <w:r>
            <w:rPr>
              <w:rFonts w:eastAsia="仿宋_GB2312"/>
              <w:sz w:val="24"/>
            </w:rPr>
            <w:t>- 7 -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"_Toc1540" </w:instrText>
          </w:r>
          <w:r>
            <w:fldChar w:fldCharType="separate"/>
          </w:r>
          <w:r>
            <w:rPr>
              <w:rFonts w:eastAsia="仿宋_GB2312"/>
              <w:sz w:val="24"/>
            </w:rPr>
            <w:t>五、一般公共预算财政拨款支出决算情况说明</w:t>
          </w:r>
          <w:r>
            <w:rPr>
              <w:rFonts w:eastAsia="仿宋_GB2312"/>
              <w:sz w:val="24"/>
            </w:rPr>
            <w:tab/>
          </w:r>
          <w:r>
            <w:rPr>
              <w:rFonts w:eastAsia="仿宋_GB2312"/>
              <w:sz w:val="24"/>
            </w:rPr>
            <w:fldChar w:fldCharType="begin"/>
          </w:r>
          <w:r>
            <w:rPr>
              <w:rFonts w:eastAsia="仿宋_GB2312"/>
              <w:sz w:val="24"/>
            </w:rPr>
            <w:instrText xml:space="preserve"> PAGEREF _Toc1540 \h </w:instrText>
          </w:r>
          <w:r>
            <w:rPr>
              <w:rFonts w:eastAsia="仿宋_GB2312"/>
              <w:sz w:val="24"/>
            </w:rPr>
            <w:fldChar w:fldCharType="separate"/>
          </w:r>
          <w:r>
            <w:rPr>
              <w:rFonts w:eastAsia="仿宋_GB2312"/>
              <w:sz w:val="24"/>
            </w:rPr>
            <w:t>- 8 -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"_Toc15168" </w:instrText>
          </w:r>
          <w:r>
            <w:fldChar w:fldCharType="separate"/>
          </w:r>
          <w:r>
            <w:rPr>
              <w:rFonts w:eastAsia="仿宋_GB2312"/>
              <w:sz w:val="24"/>
              <w:lang w:val="zh-CN"/>
            </w:rPr>
            <w:t>六、一般公共预算财政拨款基本支出决算情况说明</w:t>
          </w:r>
          <w:r>
            <w:rPr>
              <w:rFonts w:eastAsia="仿宋_GB2312"/>
              <w:sz w:val="24"/>
            </w:rPr>
            <w:tab/>
          </w:r>
          <w:r>
            <w:rPr>
              <w:rFonts w:eastAsia="仿宋_GB2312"/>
              <w:sz w:val="24"/>
            </w:rPr>
            <w:fldChar w:fldCharType="begin"/>
          </w:r>
          <w:r>
            <w:rPr>
              <w:rFonts w:eastAsia="仿宋_GB2312"/>
              <w:sz w:val="24"/>
            </w:rPr>
            <w:instrText xml:space="preserve"> PAGEREF _Toc15168 \h </w:instrText>
          </w:r>
          <w:r>
            <w:rPr>
              <w:rFonts w:eastAsia="仿宋_GB2312"/>
              <w:sz w:val="24"/>
            </w:rPr>
            <w:fldChar w:fldCharType="separate"/>
          </w:r>
          <w:r>
            <w:rPr>
              <w:rFonts w:eastAsia="仿宋_GB2312"/>
              <w:sz w:val="24"/>
            </w:rPr>
            <w:t>- 11 -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"_Toc23589" </w:instrText>
          </w:r>
          <w:r>
            <w:fldChar w:fldCharType="separate"/>
          </w:r>
          <w:r>
            <w:rPr>
              <w:rFonts w:eastAsia="仿宋_GB2312"/>
              <w:sz w:val="24"/>
              <w:lang w:val="zh-CN"/>
            </w:rPr>
            <w:t>七、财政拨款“三公”经费支出决算情况说明</w:t>
          </w:r>
          <w:r>
            <w:rPr>
              <w:rFonts w:eastAsia="仿宋_GB2312"/>
              <w:sz w:val="24"/>
            </w:rPr>
            <w:tab/>
          </w:r>
          <w:r>
            <w:rPr>
              <w:rFonts w:eastAsia="仿宋_GB2312"/>
              <w:sz w:val="24"/>
            </w:rPr>
            <w:fldChar w:fldCharType="begin"/>
          </w:r>
          <w:r>
            <w:rPr>
              <w:rFonts w:eastAsia="仿宋_GB2312"/>
              <w:sz w:val="24"/>
            </w:rPr>
            <w:instrText xml:space="preserve"> PAGEREF _Toc23589 \h </w:instrText>
          </w:r>
          <w:r>
            <w:rPr>
              <w:rFonts w:eastAsia="仿宋_GB2312"/>
              <w:sz w:val="24"/>
            </w:rPr>
            <w:fldChar w:fldCharType="separate"/>
          </w:r>
          <w:r>
            <w:rPr>
              <w:rFonts w:eastAsia="仿宋_GB2312"/>
              <w:sz w:val="24"/>
            </w:rPr>
            <w:t>- 12 -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"_Toc18136" </w:instrText>
          </w:r>
          <w:r>
            <w:fldChar w:fldCharType="separate"/>
          </w:r>
          <w:r>
            <w:rPr>
              <w:rFonts w:eastAsia="仿宋_GB2312"/>
              <w:sz w:val="24"/>
              <w:lang w:val="zh-CN"/>
            </w:rPr>
            <w:t>八、政府性基金预算支出决算情况说明</w:t>
          </w:r>
          <w:r>
            <w:rPr>
              <w:rFonts w:eastAsia="仿宋_GB2312"/>
              <w:sz w:val="24"/>
            </w:rPr>
            <w:tab/>
          </w:r>
          <w:r>
            <w:rPr>
              <w:rFonts w:eastAsia="仿宋_GB2312"/>
              <w:sz w:val="24"/>
            </w:rPr>
            <w:fldChar w:fldCharType="begin"/>
          </w:r>
          <w:r>
            <w:rPr>
              <w:rFonts w:eastAsia="仿宋_GB2312"/>
              <w:sz w:val="24"/>
            </w:rPr>
            <w:instrText xml:space="preserve"> PAGEREF _Toc18136 \h </w:instrText>
          </w:r>
          <w:r>
            <w:rPr>
              <w:rFonts w:eastAsia="仿宋_GB2312"/>
              <w:sz w:val="24"/>
            </w:rPr>
            <w:fldChar w:fldCharType="separate"/>
          </w:r>
          <w:r>
            <w:rPr>
              <w:rFonts w:eastAsia="仿宋_GB2312"/>
              <w:sz w:val="24"/>
            </w:rPr>
            <w:t>- 13 -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"_Toc12553" </w:instrText>
          </w:r>
          <w:r>
            <w:fldChar w:fldCharType="separate"/>
          </w:r>
          <w:r>
            <w:rPr>
              <w:rFonts w:eastAsia="仿宋_GB2312"/>
              <w:sz w:val="24"/>
            </w:rPr>
            <w:t>九、</w:t>
          </w:r>
          <w:r>
            <w:rPr>
              <w:rFonts w:eastAsia="仿宋_GB2312"/>
              <w:sz w:val="24"/>
              <w:lang w:val="zh-CN"/>
            </w:rPr>
            <w:t>国有资本经营预算支出决算情况说明</w:t>
          </w:r>
          <w:r>
            <w:rPr>
              <w:rFonts w:eastAsia="仿宋_GB2312"/>
              <w:sz w:val="24"/>
            </w:rPr>
            <w:tab/>
          </w:r>
          <w:r>
            <w:rPr>
              <w:rFonts w:eastAsia="仿宋_GB2312"/>
              <w:sz w:val="24"/>
            </w:rPr>
            <w:fldChar w:fldCharType="begin"/>
          </w:r>
          <w:r>
            <w:rPr>
              <w:rFonts w:eastAsia="仿宋_GB2312"/>
              <w:sz w:val="24"/>
            </w:rPr>
            <w:instrText xml:space="preserve"> PAGEREF _Toc12553 \h </w:instrText>
          </w:r>
          <w:r>
            <w:rPr>
              <w:rFonts w:eastAsia="仿宋_GB2312"/>
              <w:sz w:val="24"/>
            </w:rPr>
            <w:fldChar w:fldCharType="separate"/>
          </w:r>
          <w:r>
            <w:rPr>
              <w:rFonts w:eastAsia="仿宋_GB2312"/>
              <w:sz w:val="24"/>
            </w:rPr>
            <w:t>- 13 -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"_Toc31816" </w:instrText>
          </w:r>
          <w:r>
            <w:fldChar w:fldCharType="separate"/>
          </w:r>
          <w:r>
            <w:rPr>
              <w:rFonts w:eastAsia="仿宋_GB2312"/>
              <w:sz w:val="24"/>
            </w:rPr>
            <w:t>十、</w:t>
          </w:r>
          <w:r>
            <w:rPr>
              <w:rFonts w:eastAsia="仿宋_GB2312"/>
              <w:sz w:val="24"/>
              <w:lang w:val="zh-CN"/>
            </w:rPr>
            <w:t>其他重要事项的情况说明</w:t>
          </w:r>
          <w:r>
            <w:rPr>
              <w:rFonts w:eastAsia="仿宋_GB2312"/>
              <w:sz w:val="24"/>
            </w:rPr>
            <w:tab/>
          </w:r>
          <w:r>
            <w:rPr>
              <w:rFonts w:eastAsia="仿宋_GB2312"/>
              <w:sz w:val="24"/>
            </w:rPr>
            <w:fldChar w:fldCharType="begin"/>
          </w:r>
          <w:r>
            <w:rPr>
              <w:rFonts w:eastAsia="仿宋_GB2312"/>
              <w:sz w:val="24"/>
            </w:rPr>
            <w:instrText xml:space="preserve"> PAGEREF _Toc31816 \h </w:instrText>
          </w:r>
          <w:r>
            <w:rPr>
              <w:rFonts w:eastAsia="仿宋_GB2312"/>
              <w:sz w:val="24"/>
            </w:rPr>
            <w:fldChar w:fldCharType="separate"/>
          </w:r>
          <w:r>
            <w:rPr>
              <w:rFonts w:eastAsia="仿宋_GB2312"/>
              <w:sz w:val="24"/>
            </w:rPr>
            <w:t>- 13 -</w:t>
          </w:r>
          <w:r>
            <w:rPr>
              <w:rFonts w:eastAsia="仿宋_GB2312"/>
              <w:sz w:val="24"/>
            </w:rPr>
            <w:fldChar w:fldCharType="end"/>
          </w:r>
          <w:r>
            <w:rPr>
              <w:rFonts w:eastAsia="仿宋_GB2312"/>
              <w:sz w:val="24"/>
            </w:rPr>
            <w:fldChar w:fldCharType="end"/>
          </w:r>
        </w:p>
        <w:p>
          <w:pPr>
            <w:pStyle w:val="13"/>
            <w:tabs>
              <w:tab w:val="right" w:leader="dot" w:pos="8845"/>
              <w:tab w:val="clear" w:pos="8296"/>
            </w:tabs>
            <w:spacing w:before="0"/>
            <w:rPr>
              <w:rFonts w:ascii="Times New Roman" w:hAnsi="Times New Roman" w:eastAsia="仿宋_GB2312"/>
              <w:sz w:val="24"/>
              <w:szCs w:val="24"/>
            </w:rPr>
          </w:pPr>
          <w:r>
            <w:fldChar w:fldCharType="begin"/>
          </w:r>
          <w:r>
            <w:instrText xml:space="preserve"> HYPERLINK \l "_Toc8967" </w:instrText>
          </w:r>
          <w:r>
            <w:fldChar w:fldCharType="separate"/>
          </w:r>
          <w:r>
            <w:rPr>
              <w:rFonts w:ascii="Times New Roman" w:hAnsi="Times New Roman" w:eastAsia="仿宋_GB2312"/>
              <w:b/>
              <w:bCs/>
              <w:sz w:val="24"/>
              <w:szCs w:val="24"/>
            </w:rPr>
            <w:t>第三部分 名词解释</w:t>
          </w:r>
          <w:r>
            <w:rPr>
              <w:rFonts w:ascii="Times New Roman" w:hAnsi="Times New Roman" w:eastAsia="仿宋_GB2312"/>
              <w:sz w:val="24"/>
              <w:szCs w:val="24"/>
            </w:rPr>
            <w:tab/>
          </w:r>
          <w:r>
            <w:rPr>
              <w:rFonts w:ascii="Times New Roman" w:hAnsi="Times New Roman" w:eastAsia="仿宋_GB2312"/>
              <w:sz w:val="24"/>
              <w:szCs w:val="24"/>
            </w:rPr>
            <w:fldChar w:fldCharType="begin"/>
          </w:r>
          <w:r>
            <w:rPr>
              <w:rFonts w:ascii="Times New Roman" w:hAnsi="Times New Roman" w:eastAsia="仿宋_GB2312"/>
              <w:sz w:val="24"/>
              <w:szCs w:val="24"/>
            </w:rPr>
            <w:instrText xml:space="preserve"> PAGEREF _Toc8967 \h </w:instrText>
          </w:r>
          <w:r>
            <w:rPr>
              <w:rFonts w:ascii="Times New Roman" w:hAnsi="Times New Roman" w:eastAsia="仿宋_GB2312"/>
              <w:sz w:val="24"/>
              <w:szCs w:val="24"/>
            </w:rPr>
            <w:fldChar w:fldCharType="separate"/>
          </w:r>
          <w:r>
            <w:rPr>
              <w:rFonts w:ascii="Times New Roman" w:hAnsi="Times New Roman" w:eastAsia="仿宋_GB2312"/>
              <w:sz w:val="24"/>
              <w:szCs w:val="24"/>
            </w:rPr>
            <w:t>- 15 -</w:t>
          </w:r>
          <w:r>
            <w:rPr>
              <w:rFonts w:ascii="Times New Roman" w:hAnsi="Times New Roman" w:eastAsia="仿宋_GB2312"/>
              <w:sz w:val="24"/>
              <w:szCs w:val="24"/>
            </w:rPr>
            <w:fldChar w:fldCharType="end"/>
          </w:r>
          <w:r>
            <w:rPr>
              <w:rFonts w:ascii="Times New Roman" w:hAnsi="Times New Roman" w:eastAsia="仿宋_GB2312"/>
              <w:sz w:val="24"/>
              <w:szCs w:val="24"/>
            </w:rPr>
            <w:fldChar w:fldCharType="end"/>
          </w:r>
        </w:p>
        <w:p>
          <w:pPr>
            <w:pStyle w:val="13"/>
            <w:tabs>
              <w:tab w:val="right" w:leader="dot" w:pos="8845"/>
              <w:tab w:val="clear" w:pos="8296"/>
            </w:tabs>
            <w:spacing w:before="0"/>
            <w:rPr>
              <w:rFonts w:ascii="Times New Roman" w:hAnsi="Times New Roman" w:eastAsia="仿宋_GB2312"/>
              <w:sz w:val="24"/>
              <w:szCs w:val="24"/>
            </w:rPr>
          </w:pPr>
          <w:r>
            <w:fldChar w:fldCharType="begin"/>
          </w:r>
          <w:r>
            <w:instrText xml:space="preserve"> HYPERLINK \l "_Toc25473" </w:instrText>
          </w:r>
          <w:r>
            <w:fldChar w:fldCharType="separate"/>
          </w:r>
          <w:r>
            <w:rPr>
              <w:rFonts w:ascii="Times New Roman" w:hAnsi="Times New Roman" w:eastAsia="仿宋_GB2312"/>
              <w:b/>
              <w:bCs/>
              <w:sz w:val="24"/>
              <w:szCs w:val="24"/>
            </w:rPr>
            <w:t>第四部分 附件</w:t>
          </w:r>
          <w:r>
            <w:rPr>
              <w:rFonts w:ascii="Times New Roman" w:hAnsi="Times New Roman" w:eastAsia="仿宋_GB2312"/>
              <w:sz w:val="24"/>
              <w:szCs w:val="24"/>
            </w:rPr>
            <w:tab/>
          </w:r>
          <w:r>
            <w:rPr>
              <w:rFonts w:ascii="Times New Roman" w:hAnsi="Times New Roman" w:eastAsia="仿宋_GB2312"/>
              <w:sz w:val="24"/>
              <w:szCs w:val="24"/>
            </w:rPr>
            <w:fldChar w:fldCharType="begin"/>
          </w:r>
          <w:r>
            <w:rPr>
              <w:rFonts w:ascii="Times New Roman" w:hAnsi="Times New Roman" w:eastAsia="仿宋_GB2312"/>
              <w:sz w:val="24"/>
              <w:szCs w:val="24"/>
            </w:rPr>
            <w:instrText xml:space="preserve"> PAGEREF _Toc25473 \h </w:instrText>
          </w:r>
          <w:r>
            <w:rPr>
              <w:rFonts w:ascii="Times New Roman" w:hAnsi="Times New Roman" w:eastAsia="仿宋_GB2312"/>
              <w:sz w:val="24"/>
              <w:szCs w:val="24"/>
            </w:rPr>
            <w:fldChar w:fldCharType="separate"/>
          </w:r>
          <w:r>
            <w:rPr>
              <w:rFonts w:ascii="Times New Roman" w:hAnsi="Times New Roman" w:eastAsia="仿宋_GB2312"/>
              <w:sz w:val="24"/>
              <w:szCs w:val="24"/>
            </w:rPr>
            <w:t>- 19 -</w:t>
          </w:r>
          <w:r>
            <w:rPr>
              <w:rFonts w:ascii="Times New Roman" w:hAnsi="Times New Roman" w:eastAsia="仿宋_GB2312"/>
              <w:sz w:val="24"/>
              <w:szCs w:val="24"/>
            </w:rPr>
            <w:fldChar w:fldCharType="end"/>
          </w:r>
          <w:r>
            <w:rPr>
              <w:rFonts w:ascii="Times New Roman" w:hAnsi="Times New Roman" w:eastAsia="仿宋_GB2312"/>
              <w:sz w:val="24"/>
              <w:szCs w:val="24"/>
            </w:rPr>
            <w:fldChar w:fldCharType="end"/>
          </w:r>
        </w:p>
        <w:p>
          <w:pPr>
            <w:pStyle w:val="14"/>
            <w:tabs>
              <w:tab w:val="right" w:leader="dot" w:pos="8845"/>
              <w:tab w:val="clear" w:pos="8296"/>
            </w:tabs>
            <w:rPr>
              <w:rFonts w:eastAsia="仿宋_GB2312"/>
              <w:sz w:val="24"/>
            </w:rPr>
          </w:pPr>
          <w:r>
            <w:fldChar w:fldCharType="begin"/>
          </w:r>
          <w:r>
            <w:instrText xml:space="preserve"> HYPERLINK \l "_Toc22881" </w:instrText>
          </w:r>
          <w:r>
            <w:fldChar w:fldCharType="separate"/>
          </w:r>
          <w:r>
            <w:rPr>
              <w:rFonts w:eastAsia="仿宋_GB2312"/>
              <w:sz w:val="24"/>
            </w:rPr>
            <w:t>附件1 盐边县人民政府办公室2022年部门整体绩效评价报告</w:t>
          </w:r>
          <w:r>
            <w:rPr>
              <w:rFonts w:eastAsia="仿宋_GB2312"/>
              <w:sz w:val="24"/>
            </w:rPr>
            <w:tab/>
          </w:r>
          <w:r>
            <w:rPr>
              <w:rFonts w:eastAsia="仿宋_GB2312"/>
              <w:sz w:val="24"/>
            </w:rPr>
            <w:fldChar w:fldCharType="begin"/>
          </w:r>
          <w:r>
            <w:rPr>
              <w:rFonts w:eastAsia="仿宋_GB2312"/>
              <w:sz w:val="24"/>
            </w:rPr>
            <w:instrText xml:space="preserve"> PAGEREF _Toc22881 \h </w:instrText>
          </w:r>
          <w:r>
            <w:rPr>
              <w:rFonts w:eastAsia="仿宋_GB2312"/>
              <w:sz w:val="24"/>
            </w:rPr>
            <w:fldChar w:fldCharType="separate"/>
          </w:r>
          <w:r>
            <w:rPr>
              <w:rFonts w:eastAsia="仿宋_GB2312"/>
              <w:sz w:val="24"/>
            </w:rPr>
            <w:t>- 19 -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"_Toc4491" </w:instrText>
          </w:r>
          <w:r>
            <w:fldChar w:fldCharType="separate"/>
          </w:r>
          <w:r>
            <w:rPr>
              <w:rFonts w:eastAsia="仿宋_GB2312"/>
              <w:sz w:val="24"/>
              <w:lang w:val="zh-CN"/>
            </w:rPr>
            <w:t>附件</w:t>
          </w:r>
          <w:r>
            <w:rPr>
              <w:rFonts w:eastAsia="仿宋_GB2312"/>
              <w:sz w:val="24"/>
            </w:rPr>
            <w:t>2 2023年专项资金预算项目绩效自评报告范本</w:t>
          </w:r>
          <w:r>
            <w:rPr>
              <w:rFonts w:eastAsia="仿宋_GB2312"/>
              <w:sz w:val="24"/>
            </w:rPr>
            <w:tab/>
          </w:r>
          <w:r>
            <w:rPr>
              <w:rFonts w:eastAsia="仿宋_GB2312"/>
              <w:sz w:val="24"/>
            </w:rPr>
            <w:fldChar w:fldCharType="begin"/>
          </w:r>
          <w:r>
            <w:rPr>
              <w:rFonts w:eastAsia="仿宋_GB2312"/>
              <w:sz w:val="24"/>
            </w:rPr>
            <w:instrText xml:space="preserve"> PAGEREF _Toc4491 \h </w:instrText>
          </w:r>
          <w:r>
            <w:rPr>
              <w:rFonts w:eastAsia="仿宋_GB2312"/>
              <w:sz w:val="24"/>
            </w:rPr>
            <w:fldChar w:fldCharType="separate"/>
          </w:r>
          <w:r>
            <w:rPr>
              <w:rFonts w:eastAsia="仿宋_GB2312"/>
              <w:sz w:val="24"/>
            </w:rPr>
            <w:t>- 32 -</w:t>
          </w:r>
          <w:r>
            <w:rPr>
              <w:rFonts w:eastAsia="仿宋_GB2312"/>
              <w:sz w:val="24"/>
            </w:rPr>
            <w:fldChar w:fldCharType="end"/>
          </w:r>
          <w:r>
            <w:rPr>
              <w:rFonts w:eastAsia="仿宋_GB2312"/>
              <w:sz w:val="24"/>
            </w:rPr>
            <w:fldChar w:fldCharType="end"/>
          </w:r>
        </w:p>
        <w:p>
          <w:pPr>
            <w:pStyle w:val="13"/>
            <w:tabs>
              <w:tab w:val="right" w:leader="dot" w:pos="8845"/>
              <w:tab w:val="clear" w:pos="8296"/>
            </w:tabs>
            <w:spacing w:before="0"/>
            <w:rPr>
              <w:rFonts w:ascii="Times New Roman" w:hAnsi="Times New Roman" w:eastAsia="仿宋_GB2312"/>
              <w:sz w:val="24"/>
              <w:szCs w:val="24"/>
            </w:rPr>
          </w:pPr>
          <w:r>
            <w:fldChar w:fldCharType="begin"/>
          </w:r>
          <w:r>
            <w:instrText xml:space="preserve"> HYPERLINK \l "_Toc7324" </w:instrText>
          </w:r>
          <w:r>
            <w:fldChar w:fldCharType="separate"/>
          </w:r>
          <w:r>
            <w:rPr>
              <w:rFonts w:ascii="Times New Roman" w:hAnsi="Times New Roman" w:eastAsia="仿宋_GB2312"/>
              <w:b/>
              <w:bCs/>
              <w:sz w:val="24"/>
              <w:szCs w:val="24"/>
            </w:rPr>
            <w:t>第五部分 附表</w:t>
          </w:r>
          <w:r>
            <w:rPr>
              <w:rFonts w:ascii="Times New Roman" w:hAnsi="Times New Roman" w:eastAsia="仿宋_GB2312"/>
              <w:sz w:val="24"/>
              <w:szCs w:val="24"/>
            </w:rPr>
            <w:tab/>
          </w:r>
          <w:r>
            <w:rPr>
              <w:rFonts w:ascii="Times New Roman" w:hAnsi="Times New Roman" w:eastAsia="仿宋_GB2312"/>
              <w:sz w:val="24"/>
              <w:szCs w:val="24"/>
            </w:rPr>
            <w:fldChar w:fldCharType="begin"/>
          </w:r>
          <w:r>
            <w:rPr>
              <w:rFonts w:ascii="Times New Roman" w:hAnsi="Times New Roman" w:eastAsia="仿宋_GB2312"/>
              <w:sz w:val="24"/>
              <w:szCs w:val="24"/>
            </w:rPr>
            <w:instrText xml:space="preserve"> PAGEREF _Toc7324 \h </w:instrText>
          </w:r>
          <w:r>
            <w:rPr>
              <w:rFonts w:ascii="Times New Roman" w:hAnsi="Times New Roman" w:eastAsia="仿宋_GB2312"/>
              <w:sz w:val="24"/>
              <w:szCs w:val="24"/>
            </w:rPr>
            <w:fldChar w:fldCharType="separate"/>
          </w:r>
          <w:r>
            <w:rPr>
              <w:rFonts w:ascii="Times New Roman" w:hAnsi="Times New Roman" w:eastAsia="仿宋_GB2312"/>
              <w:sz w:val="24"/>
              <w:szCs w:val="24"/>
            </w:rPr>
            <w:t>- 33 -</w:t>
          </w:r>
          <w:r>
            <w:rPr>
              <w:rFonts w:ascii="Times New Roman" w:hAnsi="Times New Roman" w:eastAsia="仿宋_GB2312"/>
              <w:sz w:val="24"/>
              <w:szCs w:val="24"/>
            </w:rPr>
            <w:fldChar w:fldCharType="end"/>
          </w:r>
          <w:r>
            <w:rPr>
              <w:rFonts w:ascii="Times New Roman" w:hAnsi="Times New Roman" w:eastAsia="仿宋_GB2312"/>
              <w:sz w:val="24"/>
              <w:szCs w:val="24"/>
            </w:rPr>
            <w:fldChar w:fldCharType="end"/>
          </w:r>
        </w:p>
        <w:p>
          <w:pPr>
            <w:pStyle w:val="14"/>
            <w:tabs>
              <w:tab w:val="right" w:leader="dot" w:pos="8845"/>
              <w:tab w:val="clear" w:pos="8296"/>
            </w:tabs>
            <w:rPr>
              <w:rFonts w:eastAsia="仿宋_GB2312"/>
              <w:sz w:val="24"/>
            </w:rPr>
          </w:pPr>
          <w:r>
            <w:fldChar w:fldCharType="begin"/>
          </w:r>
          <w:r>
            <w:instrText xml:space="preserve"> HYPERLINK \l "_Toc7664" </w:instrText>
          </w:r>
          <w:r>
            <w:fldChar w:fldCharType="separate"/>
          </w:r>
          <w:r>
            <w:rPr>
              <w:rFonts w:eastAsia="仿宋_GB2312"/>
              <w:sz w:val="24"/>
            </w:rPr>
            <w:t>一、收入支出决算总表</w:t>
          </w:r>
          <w:r>
            <w:rPr>
              <w:rFonts w:eastAsia="仿宋_GB2312"/>
              <w:sz w:val="24"/>
            </w:rPr>
            <w:tab/>
          </w:r>
          <w:r>
            <w:rPr>
              <w:rFonts w:eastAsia="仿宋_GB2312"/>
              <w:sz w:val="24"/>
            </w:rPr>
            <w:fldChar w:fldCharType="begin"/>
          </w:r>
          <w:r>
            <w:rPr>
              <w:rFonts w:eastAsia="仿宋_GB2312"/>
              <w:sz w:val="24"/>
            </w:rPr>
            <w:instrText xml:space="preserve"> PAGEREF _Toc7664 \h </w:instrText>
          </w:r>
          <w:r>
            <w:rPr>
              <w:rFonts w:eastAsia="仿宋_GB2312"/>
              <w:sz w:val="24"/>
            </w:rPr>
            <w:fldChar w:fldCharType="separate"/>
          </w:r>
          <w:r>
            <w:rPr>
              <w:rFonts w:eastAsia="仿宋_GB2312"/>
              <w:sz w:val="24"/>
            </w:rPr>
            <w:t>- 33 -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"_Toc15052" </w:instrText>
          </w:r>
          <w:r>
            <w:fldChar w:fldCharType="separate"/>
          </w:r>
          <w:r>
            <w:rPr>
              <w:rFonts w:eastAsia="仿宋_GB2312"/>
              <w:sz w:val="24"/>
            </w:rPr>
            <w:t>二、收入决算表</w:t>
          </w:r>
          <w:r>
            <w:rPr>
              <w:rFonts w:eastAsia="仿宋_GB2312"/>
              <w:sz w:val="24"/>
            </w:rPr>
            <w:tab/>
          </w:r>
          <w:r>
            <w:rPr>
              <w:rFonts w:eastAsia="仿宋_GB2312"/>
              <w:sz w:val="24"/>
            </w:rPr>
            <w:fldChar w:fldCharType="begin"/>
          </w:r>
          <w:r>
            <w:rPr>
              <w:rFonts w:eastAsia="仿宋_GB2312"/>
              <w:sz w:val="24"/>
            </w:rPr>
            <w:instrText xml:space="preserve"> PAGEREF _Toc15052 \h </w:instrText>
          </w:r>
          <w:r>
            <w:rPr>
              <w:rFonts w:eastAsia="仿宋_GB2312"/>
              <w:sz w:val="24"/>
            </w:rPr>
            <w:fldChar w:fldCharType="separate"/>
          </w:r>
          <w:r>
            <w:rPr>
              <w:rFonts w:eastAsia="仿宋_GB2312"/>
              <w:sz w:val="24"/>
            </w:rPr>
            <w:t>- 34 -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"_Toc10331" </w:instrText>
          </w:r>
          <w:r>
            <w:fldChar w:fldCharType="separate"/>
          </w:r>
          <w:r>
            <w:rPr>
              <w:rFonts w:eastAsia="仿宋_GB2312"/>
              <w:sz w:val="24"/>
            </w:rPr>
            <w:t>三、支出决算表</w:t>
          </w:r>
          <w:r>
            <w:rPr>
              <w:rFonts w:eastAsia="仿宋_GB2312"/>
              <w:sz w:val="24"/>
            </w:rPr>
            <w:tab/>
          </w:r>
          <w:r>
            <w:rPr>
              <w:rFonts w:eastAsia="仿宋_GB2312"/>
              <w:sz w:val="24"/>
            </w:rPr>
            <w:fldChar w:fldCharType="begin"/>
          </w:r>
          <w:r>
            <w:rPr>
              <w:rFonts w:eastAsia="仿宋_GB2312"/>
              <w:sz w:val="24"/>
            </w:rPr>
            <w:instrText xml:space="preserve"> PAGEREF _Toc10331 \h </w:instrText>
          </w:r>
          <w:r>
            <w:rPr>
              <w:rFonts w:eastAsia="仿宋_GB2312"/>
              <w:sz w:val="24"/>
            </w:rPr>
            <w:fldChar w:fldCharType="separate"/>
          </w:r>
          <w:r>
            <w:rPr>
              <w:rFonts w:eastAsia="仿宋_GB2312"/>
              <w:sz w:val="24"/>
            </w:rPr>
            <w:t>- 35 -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"_Toc24376" </w:instrText>
          </w:r>
          <w:r>
            <w:fldChar w:fldCharType="separate"/>
          </w:r>
          <w:r>
            <w:rPr>
              <w:rFonts w:eastAsia="仿宋_GB2312"/>
              <w:sz w:val="24"/>
            </w:rPr>
            <w:t>四、财政拨款收入支出决算总表</w:t>
          </w:r>
          <w:r>
            <w:rPr>
              <w:rFonts w:eastAsia="仿宋_GB2312"/>
              <w:sz w:val="24"/>
            </w:rPr>
            <w:tab/>
          </w:r>
          <w:r>
            <w:rPr>
              <w:rFonts w:eastAsia="仿宋_GB2312"/>
              <w:sz w:val="24"/>
            </w:rPr>
            <w:fldChar w:fldCharType="begin"/>
          </w:r>
          <w:r>
            <w:rPr>
              <w:rFonts w:eastAsia="仿宋_GB2312"/>
              <w:sz w:val="24"/>
            </w:rPr>
            <w:instrText xml:space="preserve"> PAGEREF _Toc24376 \h </w:instrText>
          </w:r>
          <w:r>
            <w:rPr>
              <w:rFonts w:eastAsia="仿宋_GB2312"/>
              <w:sz w:val="24"/>
            </w:rPr>
            <w:fldChar w:fldCharType="separate"/>
          </w:r>
          <w:r>
            <w:rPr>
              <w:rFonts w:eastAsia="仿宋_GB2312"/>
              <w:sz w:val="24"/>
            </w:rPr>
            <w:t>- 36 -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"_Toc6198" </w:instrText>
          </w:r>
          <w:r>
            <w:fldChar w:fldCharType="separate"/>
          </w:r>
          <w:r>
            <w:rPr>
              <w:rFonts w:eastAsia="仿宋_GB2312"/>
              <w:sz w:val="24"/>
            </w:rPr>
            <w:t>五、财政拨款支出决算明细表</w:t>
          </w:r>
          <w:r>
            <w:rPr>
              <w:rFonts w:eastAsia="仿宋_GB2312"/>
              <w:sz w:val="24"/>
            </w:rPr>
            <w:tab/>
          </w:r>
          <w:r>
            <w:rPr>
              <w:rFonts w:eastAsia="仿宋_GB2312"/>
              <w:sz w:val="24"/>
            </w:rPr>
            <w:fldChar w:fldCharType="begin"/>
          </w:r>
          <w:r>
            <w:rPr>
              <w:rFonts w:eastAsia="仿宋_GB2312"/>
              <w:sz w:val="24"/>
            </w:rPr>
            <w:instrText xml:space="preserve"> PAGEREF _Toc6198 \h </w:instrText>
          </w:r>
          <w:r>
            <w:rPr>
              <w:rFonts w:eastAsia="仿宋_GB2312"/>
              <w:sz w:val="24"/>
            </w:rPr>
            <w:fldChar w:fldCharType="separate"/>
          </w:r>
          <w:r>
            <w:rPr>
              <w:rFonts w:eastAsia="仿宋_GB2312"/>
              <w:sz w:val="24"/>
            </w:rPr>
            <w:t>- 37 -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"_Toc32752" </w:instrText>
          </w:r>
          <w:r>
            <w:fldChar w:fldCharType="separate"/>
          </w:r>
          <w:r>
            <w:rPr>
              <w:rFonts w:eastAsia="仿宋_GB2312"/>
              <w:sz w:val="24"/>
            </w:rPr>
            <w:t>六、一般公共预算财政拨款支出决算表</w:t>
          </w:r>
          <w:r>
            <w:rPr>
              <w:rFonts w:eastAsia="仿宋_GB2312"/>
              <w:sz w:val="24"/>
            </w:rPr>
            <w:tab/>
          </w:r>
          <w:r>
            <w:rPr>
              <w:rFonts w:eastAsia="仿宋_GB2312"/>
              <w:sz w:val="24"/>
            </w:rPr>
            <w:fldChar w:fldCharType="begin"/>
          </w:r>
          <w:r>
            <w:rPr>
              <w:rFonts w:eastAsia="仿宋_GB2312"/>
              <w:sz w:val="24"/>
            </w:rPr>
            <w:instrText xml:space="preserve"> PAGEREF _Toc32752 \h </w:instrText>
          </w:r>
          <w:r>
            <w:rPr>
              <w:rFonts w:eastAsia="仿宋_GB2312"/>
              <w:sz w:val="24"/>
            </w:rPr>
            <w:fldChar w:fldCharType="separate"/>
          </w:r>
          <w:r>
            <w:rPr>
              <w:rFonts w:eastAsia="仿宋_GB2312"/>
              <w:sz w:val="24"/>
            </w:rPr>
            <w:t>- 38 -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"_Toc20055" </w:instrText>
          </w:r>
          <w:r>
            <w:fldChar w:fldCharType="separate"/>
          </w:r>
          <w:r>
            <w:rPr>
              <w:rFonts w:eastAsia="仿宋_GB2312"/>
              <w:sz w:val="24"/>
            </w:rPr>
            <w:t>七、一般公共预算财政拨款支出决算明细表</w:t>
          </w:r>
          <w:r>
            <w:rPr>
              <w:rFonts w:eastAsia="仿宋_GB2312"/>
              <w:sz w:val="24"/>
            </w:rPr>
            <w:tab/>
          </w:r>
          <w:r>
            <w:rPr>
              <w:rFonts w:eastAsia="仿宋_GB2312"/>
              <w:sz w:val="24"/>
            </w:rPr>
            <w:fldChar w:fldCharType="begin"/>
          </w:r>
          <w:r>
            <w:rPr>
              <w:rFonts w:eastAsia="仿宋_GB2312"/>
              <w:sz w:val="24"/>
            </w:rPr>
            <w:instrText xml:space="preserve"> PAGEREF _Toc20055 \h </w:instrText>
          </w:r>
          <w:r>
            <w:rPr>
              <w:rFonts w:eastAsia="仿宋_GB2312"/>
              <w:sz w:val="24"/>
            </w:rPr>
            <w:fldChar w:fldCharType="separate"/>
          </w:r>
          <w:r>
            <w:rPr>
              <w:rFonts w:eastAsia="仿宋_GB2312"/>
              <w:sz w:val="24"/>
            </w:rPr>
            <w:t>- 39 -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"_Toc22867" </w:instrText>
          </w:r>
          <w:r>
            <w:fldChar w:fldCharType="separate"/>
          </w:r>
          <w:r>
            <w:rPr>
              <w:rFonts w:eastAsia="仿宋_GB2312"/>
              <w:sz w:val="24"/>
            </w:rPr>
            <w:t>八、一般公共预算财政拨款基本支出决算表</w:t>
          </w:r>
          <w:r>
            <w:rPr>
              <w:rFonts w:eastAsia="仿宋_GB2312"/>
              <w:sz w:val="24"/>
            </w:rPr>
            <w:tab/>
          </w:r>
          <w:r>
            <w:rPr>
              <w:rFonts w:eastAsia="仿宋_GB2312"/>
              <w:sz w:val="24"/>
            </w:rPr>
            <w:fldChar w:fldCharType="begin"/>
          </w:r>
          <w:r>
            <w:rPr>
              <w:rFonts w:eastAsia="仿宋_GB2312"/>
              <w:sz w:val="24"/>
            </w:rPr>
            <w:instrText xml:space="preserve"> PAGEREF _Toc22867 \h </w:instrText>
          </w:r>
          <w:r>
            <w:rPr>
              <w:rFonts w:eastAsia="仿宋_GB2312"/>
              <w:sz w:val="24"/>
            </w:rPr>
            <w:fldChar w:fldCharType="separate"/>
          </w:r>
          <w:r>
            <w:rPr>
              <w:rFonts w:eastAsia="仿宋_GB2312"/>
              <w:sz w:val="24"/>
            </w:rPr>
            <w:t>- 42 -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"_Toc251" </w:instrText>
          </w:r>
          <w:r>
            <w:fldChar w:fldCharType="separate"/>
          </w:r>
          <w:r>
            <w:rPr>
              <w:rFonts w:eastAsia="仿宋_GB2312"/>
              <w:sz w:val="24"/>
            </w:rPr>
            <w:t>九、一般公共预算财政拨款项目支出决算表</w:t>
          </w:r>
          <w:r>
            <w:rPr>
              <w:rFonts w:eastAsia="仿宋_GB2312"/>
              <w:sz w:val="24"/>
            </w:rPr>
            <w:tab/>
          </w:r>
          <w:r>
            <w:rPr>
              <w:rFonts w:eastAsia="仿宋_GB2312"/>
              <w:sz w:val="24"/>
            </w:rPr>
            <w:fldChar w:fldCharType="begin"/>
          </w:r>
          <w:r>
            <w:rPr>
              <w:rFonts w:eastAsia="仿宋_GB2312"/>
              <w:sz w:val="24"/>
            </w:rPr>
            <w:instrText xml:space="preserve"> PAGEREF _Toc251 \h </w:instrText>
          </w:r>
          <w:r>
            <w:rPr>
              <w:rFonts w:eastAsia="仿宋_GB2312"/>
              <w:sz w:val="24"/>
            </w:rPr>
            <w:fldChar w:fldCharType="separate"/>
          </w:r>
          <w:r>
            <w:rPr>
              <w:rFonts w:eastAsia="仿宋_GB2312"/>
              <w:sz w:val="24"/>
            </w:rPr>
            <w:t>- 43 -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"_Toc28317" </w:instrText>
          </w:r>
          <w:r>
            <w:fldChar w:fldCharType="separate"/>
          </w:r>
          <w:r>
            <w:rPr>
              <w:rFonts w:eastAsia="仿宋_GB2312"/>
              <w:sz w:val="24"/>
            </w:rPr>
            <w:t>十、政府性基金预算财政拨款收入支出决算表</w:t>
          </w:r>
          <w:r>
            <w:rPr>
              <w:rFonts w:eastAsia="仿宋_GB2312"/>
              <w:sz w:val="24"/>
            </w:rPr>
            <w:tab/>
          </w:r>
          <w:r>
            <w:rPr>
              <w:rFonts w:eastAsia="仿宋_GB2312"/>
              <w:sz w:val="24"/>
            </w:rPr>
            <w:fldChar w:fldCharType="begin"/>
          </w:r>
          <w:r>
            <w:rPr>
              <w:rFonts w:eastAsia="仿宋_GB2312"/>
              <w:sz w:val="24"/>
            </w:rPr>
            <w:instrText xml:space="preserve"> PAGEREF _Toc28317 \h </w:instrText>
          </w:r>
          <w:r>
            <w:rPr>
              <w:rFonts w:eastAsia="仿宋_GB2312"/>
              <w:sz w:val="24"/>
            </w:rPr>
            <w:fldChar w:fldCharType="separate"/>
          </w:r>
          <w:r>
            <w:rPr>
              <w:rFonts w:eastAsia="仿宋_GB2312"/>
              <w:sz w:val="24"/>
            </w:rPr>
            <w:t>- 44 -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"_Toc31897" </w:instrText>
          </w:r>
          <w:r>
            <w:fldChar w:fldCharType="separate"/>
          </w:r>
          <w:r>
            <w:rPr>
              <w:rFonts w:eastAsia="仿宋_GB2312"/>
              <w:sz w:val="24"/>
            </w:rPr>
            <w:t>十一、国有资本经营预算财政拨款收入支出决算表</w:t>
          </w:r>
          <w:r>
            <w:rPr>
              <w:rFonts w:eastAsia="仿宋_GB2312"/>
              <w:sz w:val="24"/>
            </w:rPr>
            <w:tab/>
          </w:r>
          <w:r>
            <w:rPr>
              <w:rFonts w:eastAsia="仿宋_GB2312"/>
              <w:sz w:val="24"/>
            </w:rPr>
            <w:fldChar w:fldCharType="begin"/>
          </w:r>
          <w:r>
            <w:rPr>
              <w:rFonts w:eastAsia="仿宋_GB2312"/>
              <w:sz w:val="24"/>
            </w:rPr>
            <w:instrText xml:space="preserve"> PAGEREF _Toc31897 \h </w:instrText>
          </w:r>
          <w:r>
            <w:rPr>
              <w:rFonts w:eastAsia="仿宋_GB2312"/>
              <w:sz w:val="24"/>
            </w:rPr>
            <w:fldChar w:fldCharType="separate"/>
          </w:r>
          <w:r>
            <w:rPr>
              <w:rFonts w:eastAsia="仿宋_GB2312"/>
              <w:sz w:val="24"/>
            </w:rPr>
            <w:t>- 45 -</w:t>
          </w:r>
          <w:r>
            <w:rPr>
              <w:rFonts w:eastAsia="仿宋_GB2312"/>
              <w:sz w:val="24"/>
            </w:rPr>
            <w:fldChar w:fldCharType="end"/>
          </w:r>
          <w:r>
            <w:rPr>
              <w:rFonts w:eastAsia="仿宋_GB2312"/>
              <w:sz w:val="24"/>
            </w:rPr>
            <w:fldChar w:fldCharType="end"/>
          </w:r>
        </w:p>
        <w:p>
          <w:pPr>
            <w:pStyle w:val="14"/>
            <w:tabs>
              <w:tab w:val="right" w:leader="dot" w:pos="8845"/>
              <w:tab w:val="clear" w:pos="8296"/>
            </w:tabs>
            <w:rPr>
              <w:rFonts w:eastAsia="仿宋_GB2312"/>
              <w:sz w:val="24"/>
            </w:rPr>
          </w:pPr>
          <w:r>
            <w:fldChar w:fldCharType="begin"/>
          </w:r>
          <w:r>
            <w:instrText xml:space="preserve"> HYPERLINK \l "_Toc32746" </w:instrText>
          </w:r>
          <w:r>
            <w:fldChar w:fldCharType="separate"/>
          </w:r>
          <w:r>
            <w:rPr>
              <w:rFonts w:eastAsia="仿宋_GB2312"/>
              <w:sz w:val="24"/>
            </w:rPr>
            <w:t>十二、国有资本经营预算财政拨款支出决算表</w:t>
          </w:r>
          <w:r>
            <w:rPr>
              <w:rFonts w:eastAsia="仿宋_GB2312"/>
              <w:sz w:val="24"/>
            </w:rPr>
            <w:tab/>
          </w:r>
          <w:r>
            <w:rPr>
              <w:rFonts w:eastAsia="仿宋_GB2312"/>
              <w:sz w:val="24"/>
            </w:rPr>
            <w:fldChar w:fldCharType="begin"/>
          </w:r>
          <w:r>
            <w:rPr>
              <w:rFonts w:eastAsia="仿宋_GB2312"/>
              <w:sz w:val="24"/>
            </w:rPr>
            <w:instrText xml:space="preserve"> PAGEREF _Toc32746 \h </w:instrText>
          </w:r>
          <w:r>
            <w:rPr>
              <w:rFonts w:eastAsia="仿宋_GB2312"/>
              <w:sz w:val="24"/>
            </w:rPr>
            <w:fldChar w:fldCharType="separate"/>
          </w:r>
          <w:r>
            <w:rPr>
              <w:rFonts w:eastAsia="仿宋_GB2312"/>
              <w:sz w:val="24"/>
            </w:rPr>
            <w:t>- 45 -</w:t>
          </w:r>
          <w:r>
            <w:rPr>
              <w:rFonts w:eastAsia="仿宋_GB2312"/>
              <w:sz w:val="24"/>
            </w:rPr>
            <w:fldChar w:fldCharType="end"/>
          </w:r>
          <w:r>
            <w:rPr>
              <w:rFonts w:eastAsia="仿宋_GB2312"/>
              <w:sz w:val="24"/>
            </w:rPr>
            <w:fldChar w:fldCharType="end"/>
          </w:r>
        </w:p>
        <w:p>
          <w:pPr>
            <w:pStyle w:val="14"/>
            <w:tabs>
              <w:tab w:val="right" w:leader="dot" w:pos="8845"/>
              <w:tab w:val="clear" w:pos="8296"/>
            </w:tabs>
          </w:pPr>
          <w:r>
            <w:fldChar w:fldCharType="begin"/>
          </w:r>
          <w:r>
            <w:instrText xml:space="preserve"> HYPERLINK \l "_Toc6234" </w:instrText>
          </w:r>
          <w:r>
            <w:fldChar w:fldCharType="separate"/>
          </w:r>
          <w:r>
            <w:rPr>
              <w:rFonts w:eastAsia="仿宋_GB2312"/>
              <w:sz w:val="24"/>
            </w:rPr>
            <w:t>十三、财政拨款“三公”经费支出决算表</w:t>
          </w:r>
          <w:r>
            <w:rPr>
              <w:rFonts w:eastAsia="仿宋_GB2312"/>
              <w:sz w:val="24"/>
            </w:rPr>
            <w:tab/>
          </w:r>
          <w:r>
            <w:rPr>
              <w:rFonts w:eastAsia="仿宋_GB2312"/>
              <w:sz w:val="24"/>
            </w:rPr>
            <w:fldChar w:fldCharType="begin"/>
          </w:r>
          <w:r>
            <w:rPr>
              <w:rFonts w:eastAsia="仿宋_GB2312"/>
              <w:sz w:val="24"/>
            </w:rPr>
            <w:instrText xml:space="preserve"> PAGEREF _Toc6234 \h </w:instrText>
          </w:r>
          <w:r>
            <w:rPr>
              <w:rFonts w:eastAsia="仿宋_GB2312"/>
              <w:sz w:val="24"/>
            </w:rPr>
            <w:fldChar w:fldCharType="separate"/>
          </w:r>
          <w:r>
            <w:rPr>
              <w:rFonts w:eastAsia="仿宋_GB2312"/>
              <w:sz w:val="24"/>
            </w:rPr>
            <w:t>- 46 -</w:t>
          </w:r>
          <w:r>
            <w:rPr>
              <w:rFonts w:eastAsia="仿宋_GB2312"/>
              <w:sz w:val="24"/>
            </w:rPr>
            <w:fldChar w:fldCharType="end"/>
          </w:r>
          <w:r>
            <w:rPr>
              <w:rFonts w:eastAsia="仿宋_GB2312"/>
              <w:sz w:val="24"/>
            </w:rPr>
            <w:fldChar w:fldCharType="end"/>
          </w:r>
        </w:p>
        <w:p>
          <w:pPr>
            <w:pStyle w:val="6"/>
          </w:pPr>
          <w:r>
            <w:fldChar w:fldCharType="end"/>
          </w:r>
        </w:p>
      </w:sdtContent>
    </w:sdt>
    <w:p/>
    <w:p>
      <w:pPr>
        <w:sectPr>
          <w:footerReference r:id="rId7" w:type="default"/>
          <w:pgSz w:w="11906" w:h="16838"/>
          <w:pgMar w:top="2098" w:right="1474" w:bottom="1984" w:left="1587" w:header="851" w:footer="992" w:gutter="0"/>
          <w:pgNumType w:fmt="numberInDash" w:start="1"/>
          <w:cols w:space="425" w:num="1"/>
          <w:docGrid w:type="lines" w:linePitch="312" w:charSpace="0"/>
        </w:sectPr>
      </w:pPr>
    </w:p>
    <w:p>
      <w:pPr>
        <w:pStyle w:val="2"/>
        <w:spacing w:before="0" w:after="0" w:line="579" w:lineRule="auto"/>
        <w:jc w:val="center"/>
        <w:rPr>
          <w:rFonts w:eastAsia="黑体"/>
          <w:sz w:val="32"/>
          <w:szCs w:val="32"/>
        </w:rPr>
      </w:pPr>
      <w:bookmarkStart w:id="14" w:name="_Toc3749"/>
      <w:r>
        <w:rPr>
          <w:rFonts w:eastAsia="黑体"/>
          <w:b w:val="0"/>
        </w:rPr>
        <w:t xml:space="preserve">第一部分 </w:t>
      </w:r>
      <w:r>
        <w:rPr>
          <w:rStyle w:val="30"/>
          <w:rFonts w:eastAsia="黑体"/>
          <w:b w:val="0"/>
          <w:bCs w:val="0"/>
        </w:rPr>
        <w:t>部门概况</w:t>
      </w:r>
      <w:bookmarkEnd w:id="14"/>
    </w:p>
    <w:p/>
    <w:p>
      <w:pPr>
        <w:pStyle w:val="3"/>
        <w:spacing w:before="0" w:after="0" w:line="560" w:lineRule="exact"/>
        <w:ind w:firstLine="640" w:firstLineChars="200"/>
        <w:rPr>
          <w:rFonts w:ascii="Times New Roman" w:hAnsi="Times New Roman" w:eastAsia="黑体" w:cs="Times New Roman"/>
          <w:b w:val="0"/>
        </w:rPr>
      </w:pPr>
      <w:bookmarkStart w:id="15" w:name="_Toc141"/>
      <w:r>
        <w:rPr>
          <w:rFonts w:ascii="Times New Roman" w:hAnsi="Times New Roman" w:eastAsia="黑体" w:cs="Times New Roman"/>
          <w:b w:val="0"/>
        </w:rPr>
        <w:t>一、部门职责</w:t>
      </w:r>
      <w:bookmarkEnd w:id="15"/>
    </w:p>
    <w:p>
      <w:pPr>
        <w:overflowPunct w:val="0"/>
        <w:spacing w:line="560" w:lineRule="exact"/>
        <w:ind w:firstLine="640" w:firstLineChars="200"/>
        <w:outlineLvl w:val="2"/>
        <w:rPr>
          <w:rFonts w:eastAsia="楷体_GB2312"/>
          <w:color w:val="000000" w:themeColor="text1"/>
          <w:sz w:val="32"/>
          <w:szCs w:val="32"/>
        </w:rPr>
      </w:pPr>
      <w:r>
        <w:rPr>
          <w:rFonts w:eastAsia="楷体_GB2312"/>
          <w:color w:val="000000" w:themeColor="text1"/>
          <w:sz w:val="32"/>
          <w:szCs w:val="32"/>
        </w:rPr>
        <w:t>（一）主要职能</w:t>
      </w:r>
    </w:p>
    <w:p>
      <w:pPr>
        <w:spacing w:line="560" w:lineRule="exact"/>
        <w:ind w:firstLine="640" w:firstLineChars="200"/>
        <w:rPr>
          <w:rFonts w:eastAsia="仿宋_GB2312"/>
          <w:sz w:val="32"/>
          <w:szCs w:val="32"/>
        </w:rPr>
      </w:pPr>
      <w:r>
        <w:rPr>
          <w:rFonts w:eastAsia="仿宋_GB2312"/>
          <w:sz w:val="32"/>
          <w:szCs w:val="32"/>
        </w:rPr>
        <w:t>县政府办公室主要职能如下：</w:t>
      </w:r>
    </w:p>
    <w:p>
      <w:pPr>
        <w:spacing w:line="560" w:lineRule="exact"/>
        <w:ind w:firstLine="640" w:firstLineChars="200"/>
        <w:rPr>
          <w:rFonts w:eastAsia="仿宋_GB2312"/>
          <w:sz w:val="32"/>
          <w:szCs w:val="32"/>
        </w:rPr>
      </w:pPr>
      <w:r>
        <w:rPr>
          <w:rFonts w:eastAsia="仿宋_GB2312"/>
          <w:sz w:val="32"/>
          <w:szCs w:val="32"/>
        </w:rPr>
        <w:t>1</w:t>
      </w:r>
      <w:r>
        <w:rPr>
          <w:rFonts w:eastAsia="仿宋_GB2312"/>
          <w:color w:val="000000"/>
          <w:spacing w:val="4"/>
          <w:sz w:val="32"/>
          <w:szCs w:val="32"/>
        </w:rPr>
        <w:t>．</w:t>
      </w:r>
      <w:r>
        <w:rPr>
          <w:rFonts w:eastAsia="仿宋_GB2312"/>
          <w:sz w:val="32"/>
          <w:szCs w:val="32"/>
        </w:rPr>
        <w:t>协助县政府领导同志组织起草或审核以县政府、县政府办公室名义发布的公文。办理省政府、省政府办公厅及省级部门和市政府、市政府办公室及市级部门发送县政府的文电。指导全县行政机关公文处理工作。</w:t>
      </w:r>
    </w:p>
    <w:p>
      <w:pPr>
        <w:spacing w:line="560" w:lineRule="exact"/>
        <w:ind w:firstLine="640" w:firstLineChars="200"/>
        <w:rPr>
          <w:rFonts w:eastAsia="仿宋_GB2312"/>
          <w:sz w:val="32"/>
          <w:szCs w:val="32"/>
        </w:rPr>
      </w:pPr>
      <w:r>
        <w:rPr>
          <w:sz w:val="32"/>
          <w:szCs w:val="32"/>
        </w:rPr>
        <w:t>2</w:t>
      </w:r>
      <w:r>
        <w:rPr>
          <w:rFonts w:eastAsia="仿宋_GB2312"/>
          <w:color w:val="000000"/>
          <w:spacing w:val="4"/>
          <w:sz w:val="32"/>
          <w:szCs w:val="32"/>
        </w:rPr>
        <w:t>．</w:t>
      </w:r>
      <w:r>
        <w:rPr>
          <w:rFonts w:eastAsia="仿宋_GB2312"/>
          <w:sz w:val="32"/>
          <w:szCs w:val="32"/>
        </w:rPr>
        <w:t>研究县政府部门和乡（镇）人民政府、县政府派出机构请示县政府的事项，提出审核意见，报县政府领导同志审批。</w:t>
      </w:r>
    </w:p>
    <w:p>
      <w:pPr>
        <w:spacing w:line="560" w:lineRule="exact"/>
        <w:ind w:firstLine="640" w:firstLineChars="200"/>
        <w:rPr>
          <w:rFonts w:eastAsia="仿宋_GB2312"/>
          <w:sz w:val="32"/>
          <w:szCs w:val="32"/>
        </w:rPr>
      </w:pPr>
      <w:r>
        <w:rPr>
          <w:sz w:val="32"/>
          <w:szCs w:val="32"/>
        </w:rPr>
        <w:t>3</w:t>
      </w:r>
      <w:r>
        <w:rPr>
          <w:rFonts w:eastAsia="仿宋_GB2312"/>
          <w:color w:val="000000"/>
          <w:spacing w:val="4"/>
          <w:sz w:val="32"/>
          <w:szCs w:val="32"/>
        </w:rPr>
        <w:t>．</w:t>
      </w:r>
      <w:r>
        <w:rPr>
          <w:rFonts w:eastAsia="仿宋_GB2312"/>
          <w:sz w:val="32"/>
          <w:szCs w:val="32"/>
        </w:rPr>
        <w:t>负责县政府会议的准备工作，协助县政府领导同志组织实施会议决定事项。</w:t>
      </w:r>
    </w:p>
    <w:p>
      <w:pPr>
        <w:spacing w:line="560" w:lineRule="exact"/>
        <w:ind w:firstLine="640" w:firstLineChars="200"/>
        <w:rPr>
          <w:rFonts w:eastAsia="仿宋_GB2312"/>
          <w:sz w:val="32"/>
          <w:szCs w:val="32"/>
        </w:rPr>
      </w:pPr>
      <w:r>
        <w:rPr>
          <w:sz w:val="32"/>
          <w:szCs w:val="32"/>
        </w:rPr>
        <w:t>4</w:t>
      </w:r>
      <w:r>
        <w:rPr>
          <w:rFonts w:eastAsia="仿宋_GB2312"/>
          <w:color w:val="000000"/>
          <w:spacing w:val="4"/>
          <w:sz w:val="32"/>
          <w:szCs w:val="32"/>
        </w:rPr>
        <w:t>．</w:t>
      </w:r>
      <w:r>
        <w:rPr>
          <w:rFonts w:eastAsia="仿宋_GB2312"/>
          <w:sz w:val="32"/>
          <w:szCs w:val="32"/>
        </w:rPr>
        <w:t>督促检查县政府部门和乡（镇）人民政府、县政府派出机构对县政府决定事项及县政府领导同志指示的贯彻落实情况，及时向县政府领导同志报告。</w:t>
      </w:r>
    </w:p>
    <w:p>
      <w:pPr>
        <w:spacing w:line="560" w:lineRule="exact"/>
        <w:ind w:firstLine="640" w:firstLineChars="200"/>
        <w:rPr>
          <w:rFonts w:eastAsia="仿宋_GB2312"/>
          <w:sz w:val="32"/>
          <w:szCs w:val="32"/>
        </w:rPr>
      </w:pPr>
      <w:r>
        <w:rPr>
          <w:sz w:val="32"/>
          <w:szCs w:val="32"/>
        </w:rPr>
        <w:t>5</w:t>
      </w:r>
      <w:r>
        <w:rPr>
          <w:rFonts w:eastAsia="仿宋_GB2312"/>
          <w:color w:val="000000"/>
          <w:spacing w:val="4"/>
          <w:sz w:val="32"/>
          <w:szCs w:val="32"/>
        </w:rPr>
        <w:t>．</w:t>
      </w:r>
      <w:r>
        <w:rPr>
          <w:rFonts w:eastAsia="仿宋_GB2312"/>
          <w:sz w:val="32"/>
          <w:szCs w:val="32"/>
        </w:rPr>
        <w:t>根据县政府领导同志的指示，对县政府部门间争议问题提出处理意见和建议，报县政府领导同志决定。</w:t>
      </w:r>
    </w:p>
    <w:p>
      <w:pPr>
        <w:spacing w:line="560" w:lineRule="exact"/>
        <w:ind w:firstLine="640" w:firstLineChars="200"/>
        <w:rPr>
          <w:rFonts w:eastAsia="仿宋_GB2312"/>
          <w:sz w:val="32"/>
          <w:szCs w:val="32"/>
        </w:rPr>
      </w:pPr>
      <w:r>
        <w:rPr>
          <w:sz w:val="32"/>
          <w:szCs w:val="32"/>
        </w:rPr>
        <w:t>6</w:t>
      </w:r>
      <w:r>
        <w:rPr>
          <w:rFonts w:eastAsia="仿宋_GB2312"/>
          <w:color w:val="000000"/>
          <w:spacing w:val="4"/>
          <w:sz w:val="32"/>
          <w:szCs w:val="32"/>
        </w:rPr>
        <w:t>．</w:t>
      </w:r>
      <w:r>
        <w:rPr>
          <w:rFonts w:eastAsia="仿宋_GB2312"/>
          <w:sz w:val="32"/>
          <w:szCs w:val="32"/>
        </w:rPr>
        <w:t>负责县政府值班工作，指导县政府部门和乡（镇）人民政府、县政府派出机构值班工作，及时报告重要情况。</w:t>
      </w:r>
    </w:p>
    <w:p>
      <w:pPr>
        <w:spacing w:line="560" w:lineRule="exact"/>
        <w:ind w:firstLine="640" w:firstLineChars="200"/>
        <w:rPr>
          <w:rFonts w:eastAsia="仿宋_GB2312"/>
          <w:sz w:val="32"/>
          <w:szCs w:val="32"/>
        </w:rPr>
      </w:pPr>
      <w:r>
        <w:rPr>
          <w:sz w:val="32"/>
          <w:szCs w:val="32"/>
        </w:rPr>
        <w:t>7</w:t>
      </w:r>
      <w:r>
        <w:rPr>
          <w:rFonts w:eastAsia="仿宋_GB2312"/>
          <w:color w:val="000000"/>
          <w:spacing w:val="4"/>
          <w:sz w:val="32"/>
          <w:szCs w:val="32"/>
        </w:rPr>
        <w:t>．</w:t>
      </w:r>
      <w:r>
        <w:rPr>
          <w:rFonts w:eastAsia="仿宋_GB2312"/>
          <w:sz w:val="32"/>
          <w:szCs w:val="32"/>
        </w:rPr>
        <w:t>指导、监督全县政府信息公开工作，指导、监督全县政府系统电子政务工作和政府网站建设。</w:t>
      </w:r>
    </w:p>
    <w:p>
      <w:pPr>
        <w:spacing w:line="560" w:lineRule="exact"/>
        <w:ind w:firstLine="640" w:firstLineChars="200"/>
        <w:rPr>
          <w:rFonts w:eastAsia="仿宋_GB2312"/>
          <w:sz w:val="32"/>
          <w:szCs w:val="32"/>
        </w:rPr>
      </w:pPr>
      <w:r>
        <w:rPr>
          <w:sz w:val="32"/>
          <w:szCs w:val="32"/>
        </w:rPr>
        <w:t>8</w:t>
      </w:r>
      <w:r>
        <w:rPr>
          <w:rFonts w:eastAsia="仿宋_GB2312"/>
          <w:color w:val="000000"/>
          <w:spacing w:val="4"/>
          <w:sz w:val="32"/>
          <w:szCs w:val="32"/>
        </w:rPr>
        <w:t>．</w:t>
      </w:r>
      <w:r>
        <w:rPr>
          <w:rFonts w:eastAsia="仿宋_GB2312"/>
          <w:sz w:val="32"/>
          <w:szCs w:val="32"/>
        </w:rPr>
        <w:t>负责县政府部门和乡（镇）人民政府、县政府派出机构目标（绩效）管理工作，牵头负责全县民生工程工作的实施和推进，组织办理涉及县政府工作的人大代表议案、批评、建议和政协委员提案、建议案。</w:t>
      </w:r>
    </w:p>
    <w:p>
      <w:pPr>
        <w:spacing w:line="560" w:lineRule="exact"/>
        <w:ind w:firstLine="640" w:firstLineChars="200"/>
        <w:rPr>
          <w:rFonts w:eastAsia="仿宋_GB2312"/>
          <w:sz w:val="32"/>
          <w:szCs w:val="32"/>
        </w:rPr>
      </w:pPr>
      <w:r>
        <w:rPr>
          <w:sz w:val="32"/>
          <w:szCs w:val="32"/>
        </w:rPr>
        <w:t>9</w:t>
      </w:r>
      <w:r>
        <w:rPr>
          <w:rFonts w:eastAsia="仿宋_GB2312"/>
          <w:color w:val="000000"/>
          <w:spacing w:val="4"/>
          <w:sz w:val="32"/>
          <w:szCs w:val="32"/>
        </w:rPr>
        <w:t>．</w:t>
      </w:r>
      <w:r>
        <w:rPr>
          <w:rFonts w:eastAsia="仿宋_GB2312"/>
          <w:sz w:val="32"/>
          <w:szCs w:val="32"/>
        </w:rPr>
        <w:t>指导全县应急管理工作，协助县政府领导同志做好需由县政府组织处理的突发事件的应急处置工作，指导全县抗灾救灾工作。</w:t>
      </w:r>
    </w:p>
    <w:p>
      <w:pPr>
        <w:spacing w:line="560" w:lineRule="exact"/>
        <w:ind w:firstLine="640" w:firstLineChars="200"/>
        <w:rPr>
          <w:rFonts w:eastAsia="仿宋_GB2312"/>
          <w:sz w:val="32"/>
          <w:szCs w:val="32"/>
        </w:rPr>
      </w:pPr>
      <w:r>
        <w:rPr>
          <w:sz w:val="32"/>
          <w:szCs w:val="32"/>
        </w:rPr>
        <w:t>10</w:t>
      </w:r>
      <w:r>
        <w:rPr>
          <w:rFonts w:eastAsia="仿宋_GB2312"/>
          <w:color w:val="000000"/>
          <w:spacing w:val="4"/>
          <w:sz w:val="32"/>
          <w:szCs w:val="32"/>
        </w:rPr>
        <w:t>．</w:t>
      </w:r>
      <w:r>
        <w:rPr>
          <w:rFonts w:eastAsia="仿宋_GB2312"/>
          <w:sz w:val="32"/>
          <w:szCs w:val="32"/>
        </w:rPr>
        <w:t>围绕县政府中心工作和县政府领导同志的指示，组织专题调查研究，及时反映情况，提出政策性建议。</w:t>
      </w:r>
    </w:p>
    <w:p>
      <w:pPr>
        <w:spacing w:line="560" w:lineRule="exact"/>
        <w:ind w:firstLine="640" w:firstLineChars="200"/>
        <w:rPr>
          <w:rFonts w:eastAsia="仿宋_GB2312"/>
          <w:sz w:val="32"/>
          <w:szCs w:val="32"/>
        </w:rPr>
      </w:pPr>
      <w:r>
        <w:rPr>
          <w:sz w:val="32"/>
          <w:szCs w:val="32"/>
        </w:rPr>
        <w:t>11</w:t>
      </w:r>
      <w:r>
        <w:rPr>
          <w:rFonts w:eastAsia="仿宋_GB2312"/>
          <w:color w:val="000000"/>
          <w:spacing w:val="4"/>
          <w:sz w:val="32"/>
          <w:szCs w:val="32"/>
        </w:rPr>
        <w:t>．</w:t>
      </w:r>
      <w:r>
        <w:rPr>
          <w:rFonts w:eastAsia="仿宋_GB2312"/>
          <w:sz w:val="32"/>
          <w:szCs w:val="32"/>
        </w:rPr>
        <w:t>接受县委外事工作委员会的直接领导，承担县委外事工作委员会贯彻执行县委、县政府关于外事、港澳工作的决策部署以及指导全县外事、港澳工作的具体工作。</w:t>
      </w:r>
    </w:p>
    <w:p>
      <w:pPr>
        <w:spacing w:line="560" w:lineRule="exact"/>
        <w:ind w:firstLine="640" w:firstLineChars="200"/>
        <w:rPr>
          <w:rFonts w:eastAsia="仿宋_GB2312"/>
          <w:sz w:val="32"/>
          <w:szCs w:val="32"/>
        </w:rPr>
      </w:pPr>
      <w:r>
        <w:rPr>
          <w:sz w:val="32"/>
          <w:szCs w:val="32"/>
        </w:rPr>
        <w:t>12</w:t>
      </w:r>
      <w:r>
        <w:rPr>
          <w:rFonts w:eastAsia="仿宋_GB2312"/>
          <w:color w:val="000000"/>
          <w:spacing w:val="4"/>
          <w:sz w:val="32"/>
          <w:szCs w:val="32"/>
        </w:rPr>
        <w:t>．</w:t>
      </w:r>
      <w:r>
        <w:rPr>
          <w:rFonts w:eastAsia="仿宋_GB2312"/>
          <w:sz w:val="32"/>
          <w:szCs w:val="32"/>
        </w:rPr>
        <w:t>负责县政府法制工作，负责全县依法行政工作的组织协调和监督指导，负责县政府规范性文件的合法性审查和制定工作，依法开展行政执法监督工作，做好行政复议、行政应诉工作。</w:t>
      </w:r>
    </w:p>
    <w:p>
      <w:pPr>
        <w:spacing w:line="560" w:lineRule="exact"/>
        <w:ind w:firstLine="640" w:firstLineChars="200"/>
        <w:rPr>
          <w:rFonts w:eastAsia="仿宋_GB2312"/>
          <w:sz w:val="32"/>
          <w:szCs w:val="32"/>
        </w:rPr>
      </w:pPr>
      <w:r>
        <w:rPr>
          <w:sz w:val="32"/>
          <w:szCs w:val="32"/>
        </w:rPr>
        <w:t>13</w:t>
      </w:r>
      <w:r>
        <w:rPr>
          <w:rFonts w:eastAsia="仿宋_GB2312"/>
          <w:color w:val="000000"/>
          <w:spacing w:val="4"/>
          <w:sz w:val="32"/>
          <w:szCs w:val="32"/>
        </w:rPr>
        <w:t>．</w:t>
      </w:r>
      <w:r>
        <w:rPr>
          <w:rFonts w:eastAsia="仿宋_GB2312"/>
          <w:sz w:val="32"/>
          <w:szCs w:val="32"/>
        </w:rPr>
        <w:t>负责县政府驻外机构的管理工作。</w:t>
      </w:r>
    </w:p>
    <w:p>
      <w:pPr>
        <w:spacing w:line="560" w:lineRule="exact"/>
        <w:ind w:firstLine="640" w:firstLineChars="200"/>
        <w:rPr>
          <w:rFonts w:eastAsia="仿宋_GB2312"/>
          <w:sz w:val="32"/>
          <w:szCs w:val="32"/>
        </w:rPr>
      </w:pPr>
      <w:r>
        <w:rPr>
          <w:sz w:val="32"/>
          <w:szCs w:val="32"/>
        </w:rPr>
        <w:t>14</w:t>
      </w:r>
      <w:r>
        <w:rPr>
          <w:rFonts w:eastAsia="仿宋_GB2312"/>
          <w:color w:val="000000"/>
          <w:spacing w:val="4"/>
          <w:sz w:val="32"/>
          <w:szCs w:val="32"/>
        </w:rPr>
        <w:t>．</w:t>
      </w:r>
      <w:r>
        <w:rPr>
          <w:rFonts w:eastAsia="仿宋_GB2312"/>
          <w:sz w:val="32"/>
          <w:szCs w:val="32"/>
        </w:rPr>
        <w:t>承担县政府公布的有关行政审批事项。</w:t>
      </w:r>
    </w:p>
    <w:p>
      <w:pPr>
        <w:spacing w:line="560" w:lineRule="exact"/>
        <w:ind w:firstLine="640" w:firstLineChars="200"/>
        <w:rPr>
          <w:rFonts w:eastAsia="仿宋_GB2312"/>
          <w:sz w:val="32"/>
          <w:szCs w:val="32"/>
        </w:rPr>
      </w:pPr>
      <w:r>
        <w:rPr>
          <w:sz w:val="32"/>
          <w:szCs w:val="32"/>
        </w:rPr>
        <w:t>15</w:t>
      </w:r>
      <w:r>
        <w:rPr>
          <w:rFonts w:eastAsia="仿宋_GB2312"/>
          <w:color w:val="000000"/>
          <w:spacing w:val="4"/>
          <w:sz w:val="32"/>
          <w:szCs w:val="32"/>
        </w:rPr>
        <w:t>．</w:t>
      </w:r>
      <w:r>
        <w:rPr>
          <w:rFonts w:eastAsia="仿宋_GB2312"/>
          <w:sz w:val="32"/>
          <w:szCs w:val="32"/>
        </w:rPr>
        <w:t>负责全县机关效能建设工作。</w:t>
      </w:r>
    </w:p>
    <w:p>
      <w:pPr>
        <w:spacing w:line="560" w:lineRule="exact"/>
        <w:ind w:firstLine="640" w:firstLineChars="200"/>
        <w:rPr>
          <w:rFonts w:eastAsia="仿宋_GB2312"/>
          <w:sz w:val="32"/>
          <w:szCs w:val="32"/>
        </w:rPr>
      </w:pPr>
      <w:r>
        <w:rPr>
          <w:sz w:val="32"/>
          <w:szCs w:val="32"/>
        </w:rPr>
        <w:t>16</w:t>
      </w:r>
      <w:r>
        <w:rPr>
          <w:rFonts w:eastAsia="仿宋_GB2312"/>
          <w:color w:val="000000"/>
          <w:spacing w:val="4"/>
          <w:sz w:val="32"/>
          <w:szCs w:val="32"/>
        </w:rPr>
        <w:t>．</w:t>
      </w:r>
      <w:r>
        <w:rPr>
          <w:rFonts w:eastAsia="仿宋_GB2312"/>
          <w:sz w:val="32"/>
          <w:szCs w:val="32"/>
        </w:rPr>
        <w:t>承办县政府和县政府领导同志交办的其他事项。</w:t>
      </w:r>
    </w:p>
    <w:p>
      <w:pPr>
        <w:overflowPunct w:val="0"/>
        <w:spacing w:line="560" w:lineRule="exact"/>
        <w:ind w:firstLine="640" w:firstLineChars="200"/>
        <w:outlineLvl w:val="2"/>
        <w:rPr>
          <w:rFonts w:eastAsia="楷体_GB2312"/>
          <w:color w:val="000000" w:themeColor="text1"/>
          <w:sz w:val="32"/>
          <w:szCs w:val="32"/>
        </w:rPr>
      </w:pPr>
      <w:r>
        <w:rPr>
          <w:rFonts w:eastAsia="楷体_GB2312"/>
          <w:color w:val="000000" w:themeColor="text1"/>
          <w:sz w:val="32"/>
          <w:szCs w:val="32"/>
        </w:rPr>
        <w:t>（二）2022年重点工作完成情况</w:t>
      </w:r>
    </w:p>
    <w:p>
      <w:pPr>
        <w:overflowPunct w:val="0"/>
        <w:spacing w:line="560" w:lineRule="exact"/>
        <w:ind w:firstLine="640" w:firstLineChars="200"/>
        <w:rPr>
          <w:rFonts w:eastAsia="仿宋_GB2312"/>
          <w:sz w:val="32"/>
          <w:szCs w:val="32"/>
        </w:rPr>
      </w:pPr>
      <w:r>
        <w:rPr>
          <w:rFonts w:eastAsia="楷体_GB2312"/>
          <w:color w:val="000000" w:themeColor="text1"/>
          <w:sz w:val="32"/>
          <w:szCs w:val="32"/>
        </w:rPr>
        <w:t>一是以笃定前行的有力行动，强化执行、狠抓落实，推动办公室工作取得新成效。突出高质量，着力办好文。</w:t>
      </w:r>
      <w:r>
        <w:rPr>
          <w:rFonts w:eastAsia="仿宋_GB2312"/>
          <w:color w:val="000000" w:themeColor="text1"/>
          <w:sz w:val="32"/>
          <w:szCs w:val="32"/>
        </w:rPr>
        <w:t>扎实做好各类文稿起草工作，加大政府系统上报材料审核、把关力度，落实收文、运转、校核等工作专人专线负责，2022年共完成各类文稿820余件，共向省、市报送政务信息500余条，市级采用56条、省级采用4条；公开信息6572条、回复县长信箱信件21件。</w:t>
      </w:r>
      <w:r>
        <w:rPr>
          <w:rFonts w:eastAsia="楷体_GB2312"/>
          <w:color w:val="000000" w:themeColor="text1"/>
          <w:sz w:val="32"/>
          <w:szCs w:val="32"/>
        </w:rPr>
        <w:t>突出高标准，着力办好会。</w:t>
      </w:r>
      <w:r>
        <w:rPr>
          <w:rFonts w:eastAsia="仿宋_GB2312"/>
          <w:color w:val="000000" w:themeColor="text1"/>
          <w:sz w:val="32"/>
          <w:szCs w:val="32"/>
        </w:rPr>
        <w:t>按照提高会议实效、降低会务成本原则，抓好会前准备、会中服务、会后落实，周密部署、统筹安排、精心组织，不断提高办会质量。2022年统筹协调办理四川农民春晚、四川新能源高质量发展论坛暨2022年四川能源企业职业技能大赛、京东（盐边）乡村振兴示范园开园仪式暨滋味盐边预制菜产业高质量发展论坛等各类会议200余次。</w:t>
      </w:r>
      <w:r>
        <w:rPr>
          <w:rFonts w:eastAsia="楷体_GB2312"/>
          <w:color w:val="000000" w:themeColor="text1"/>
          <w:sz w:val="32"/>
          <w:szCs w:val="32"/>
        </w:rPr>
        <w:t>突出高水平，着力办好事。</w:t>
      </w:r>
      <w:r>
        <w:rPr>
          <w:rFonts w:eastAsia="仿宋_GB2312"/>
          <w:sz w:val="32"/>
          <w:szCs w:val="32"/>
        </w:rPr>
        <w:t>充分发挥“总调度”和“中转站”作用，切实抓好综合协调、后勤服务等工作，2022年共完成项目攻坚突破、疫情防控、森林草原防灭火、安全工作等各类重大事项协调服务100余件次，实现大事办成、小事办实、急事办妥、难事办好。</w:t>
      </w:r>
      <w:r>
        <w:rPr>
          <w:rFonts w:eastAsia="楷体_GB2312"/>
          <w:color w:val="000000" w:themeColor="text1"/>
          <w:sz w:val="32"/>
          <w:szCs w:val="32"/>
        </w:rPr>
        <w:t>二是以务实管用的办法举措，提炼经验、固化成果，推动办公室工作实现新提升。着力强化学习教育培训，干部综合素质不断提高。</w:t>
      </w:r>
      <w:r>
        <w:rPr>
          <w:rFonts w:eastAsia="仿宋_GB2312"/>
          <w:color w:val="000000" w:themeColor="text1"/>
          <w:sz w:val="32"/>
          <w:szCs w:val="32"/>
        </w:rPr>
        <w:t>深入学习理论知识，扎实开展业务培训，强化干部培育力度，加强日常监督管理，县政府办公室干部职工能力素质不断提高。2022年县政府办公室被县委、县政府评为年度攻坚行动工作优秀集体，8人获市县表彰表扬，开展全县政府系统业务能力培训5次100余人参与，10余人交流轮岗锻炼，推荐提拔科级干部3名。</w:t>
      </w:r>
      <w:r>
        <w:rPr>
          <w:rFonts w:eastAsia="楷体_GB2312"/>
          <w:color w:val="000000" w:themeColor="text1"/>
          <w:sz w:val="32"/>
          <w:szCs w:val="32"/>
        </w:rPr>
        <w:t>认真履行参谋助手职责，以文辅政水平持续增进。</w:t>
      </w:r>
      <w:r>
        <w:rPr>
          <w:rFonts w:eastAsia="仿宋_GB2312"/>
          <w:sz w:val="32"/>
          <w:szCs w:val="32"/>
        </w:rPr>
        <w:t>认真把握乡镇、村（社区）实情，陪同县政府领导深入基层开展调研47次，协助完成项目攻坚、乡村振兴、新能源发展等调研报告15篇，1篇获一等奖、2篇获二等奖、获评政务调研先进集体，为县政府科学决策提供了有力参考。</w:t>
      </w:r>
    </w:p>
    <w:p>
      <w:pPr>
        <w:pStyle w:val="3"/>
        <w:spacing w:before="0" w:after="0" w:line="560" w:lineRule="exact"/>
        <w:ind w:firstLine="640" w:firstLineChars="200"/>
        <w:rPr>
          <w:rStyle w:val="31"/>
          <w:rFonts w:ascii="Times New Roman" w:hAnsi="Times New Roman" w:cs="Times New Roman"/>
          <w:b w:val="0"/>
          <w:bCs w:val="0"/>
        </w:rPr>
      </w:pPr>
      <w:bookmarkStart w:id="16" w:name="_Toc15377200"/>
      <w:bookmarkStart w:id="17" w:name="_Toc2604"/>
      <w:bookmarkStart w:id="18" w:name="_Toc15396601"/>
      <w:r>
        <w:rPr>
          <w:rFonts w:ascii="Times New Roman" w:hAnsi="Times New Roman" w:eastAsia="黑体" w:cs="Times New Roman"/>
          <w:b w:val="0"/>
          <w:bCs w:val="0"/>
        </w:rPr>
        <w:t>二、机</w:t>
      </w:r>
      <w:r>
        <w:rPr>
          <w:rStyle w:val="31"/>
          <w:rFonts w:ascii="Times New Roman" w:hAnsi="Times New Roman" w:eastAsia="黑体" w:cs="Times New Roman"/>
          <w:b w:val="0"/>
          <w:bCs w:val="0"/>
        </w:rPr>
        <w:t>构设置</w:t>
      </w:r>
      <w:bookmarkEnd w:id="16"/>
      <w:bookmarkEnd w:id="17"/>
      <w:bookmarkEnd w:id="18"/>
    </w:p>
    <w:p>
      <w:pPr>
        <w:spacing w:line="560" w:lineRule="exact"/>
        <w:ind w:firstLine="640" w:firstLineChars="200"/>
        <w:rPr>
          <w:rFonts w:eastAsia="仿宋_GB2312"/>
          <w:sz w:val="32"/>
          <w:szCs w:val="32"/>
          <w:shd w:val="clear" w:color="auto" w:fill="FFFFFF"/>
        </w:rPr>
      </w:pPr>
      <w:r>
        <w:rPr>
          <w:rFonts w:hint="eastAsia" w:eastAsia="仿宋_GB2312"/>
          <w:sz w:val="32"/>
          <w:szCs w:val="32"/>
          <w:shd w:val="clear" w:color="auto" w:fill="FFFFFF"/>
        </w:rPr>
        <w:t>盐边县人民政府办公室下属二级预算单位0个，其中行政单位0个，参照公务员法管理的事业单位0个，其他事业单位0个。</w:t>
      </w:r>
    </w:p>
    <w:p>
      <w:pPr>
        <w:spacing w:line="560" w:lineRule="exact"/>
        <w:ind w:firstLine="616" w:firstLineChars="200"/>
        <w:rPr>
          <w:rFonts w:eastAsia="仿宋"/>
          <w:sz w:val="32"/>
          <w:szCs w:val="32"/>
        </w:rPr>
      </w:pPr>
      <w:r>
        <w:rPr>
          <w:rFonts w:eastAsia="仿宋_GB2312"/>
          <w:snapToGrid w:val="0"/>
          <w:spacing w:val="-6"/>
          <w:kern w:val="34"/>
          <w:sz w:val="32"/>
          <w:szCs w:val="32"/>
        </w:rPr>
        <w:t>按照决算管理有关规定，县政府办公室为独立核算行政单位，纳入预算编报范围的机构1个，内设</w:t>
      </w:r>
      <w:r>
        <w:rPr>
          <w:rFonts w:eastAsia="仿宋_GB2312"/>
          <w:sz w:val="32"/>
          <w:szCs w:val="32"/>
          <w:shd w:val="clear" w:color="auto" w:fill="FFFFFF"/>
        </w:rPr>
        <w:t>股室7个，分别为行政股、综合一股、综合二股、文电股、政研股、信息股、总值班室</w:t>
      </w:r>
      <w:r>
        <w:rPr>
          <w:rFonts w:eastAsia="仿宋_GB2312"/>
          <w:sz w:val="32"/>
          <w:szCs w:val="32"/>
        </w:rPr>
        <w:t>。</w:t>
      </w:r>
      <w:r>
        <w:rPr>
          <w:rFonts w:eastAsia="仿宋_GB2312"/>
          <w:snapToGrid w:val="0"/>
          <w:spacing w:val="-6"/>
          <w:kern w:val="34"/>
          <w:sz w:val="32"/>
          <w:szCs w:val="32"/>
        </w:rPr>
        <w:t>下属公益一类事业单位1个，为盐边县政府网站事务中心。</w:t>
      </w:r>
    </w:p>
    <w:p>
      <w:pPr>
        <w:widowControl/>
        <w:jc w:val="left"/>
        <w:rPr>
          <w:rFonts w:eastAsia="仿宋"/>
          <w:kern w:val="0"/>
          <w:sz w:val="32"/>
          <w:szCs w:val="32"/>
        </w:rPr>
      </w:pPr>
      <w:r>
        <w:rPr>
          <w:rFonts w:eastAsia="仿宋"/>
          <w:sz w:val="32"/>
          <w:szCs w:val="32"/>
        </w:rPr>
        <w:br w:type="page"/>
      </w:r>
    </w:p>
    <w:p>
      <w:pPr>
        <w:pStyle w:val="2"/>
        <w:spacing w:before="0" w:after="0" w:line="579" w:lineRule="auto"/>
        <w:ind w:right="442"/>
        <w:jc w:val="center"/>
      </w:pPr>
      <w:bookmarkStart w:id="19" w:name="_Toc15377204"/>
      <w:bookmarkStart w:id="20" w:name="_Toc15396602"/>
      <w:bookmarkStart w:id="21" w:name="_Toc28796"/>
      <w:r>
        <w:rPr>
          <w:rFonts w:eastAsia="黑体"/>
          <w:b w:val="0"/>
        </w:rPr>
        <w:t>第二部分 2022年度</w:t>
      </w:r>
      <w:r>
        <w:rPr>
          <w:rStyle w:val="30"/>
          <w:rFonts w:eastAsia="黑体"/>
          <w:b w:val="0"/>
          <w:bCs/>
        </w:rPr>
        <w:t>部门决算情况说明</w:t>
      </w:r>
      <w:bookmarkEnd w:id="19"/>
      <w:bookmarkEnd w:id="20"/>
      <w:bookmarkEnd w:id="21"/>
    </w:p>
    <w:p>
      <w:pPr>
        <w:pStyle w:val="29"/>
        <w:spacing w:line="600" w:lineRule="exact"/>
        <w:ind w:left="640" w:firstLine="0" w:firstLineChars="0"/>
        <w:outlineLvl w:val="1"/>
        <w:rPr>
          <w:rFonts w:eastAsia="黑体"/>
          <w:sz w:val="32"/>
          <w:szCs w:val="32"/>
        </w:rPr>
      </w:pPr>
      <w:bookmarkStart w:id="22" w:name="_Toc15396603"/>
      <w:bookmarkStart w:id="23" w:name="_Toc15377205"/>
    </w:p>
    <w:p>
      <w:pPr>
        <w:pStyle w:val="29"/>
        <w:spacing w:line="560" w:lineRule="exact"/>
        <w:ind w:firstLine="640"/>
        <w:outlineLvl w:val="1"/>
        <w:rPr>
          <w:rStyle w:val="31"/>
          <w:rFonts w:ascii="Times New Roman" w:hAnsi="Times New Roman" w:eastAsia="黑体" w:cs="Times New Roman"/>
          <w:b w:val="0"/>
        </w:rPr>
      </w:pPr>
      <w:bookmarkStart w:id="24" w:name="_Toc4215"/>
      <w:r>
        <w:rPr>
          <w:rFonts w:eastAsia="黑体"/>
          <w:sz w:val="32"/>
          <w:szCs w:val="32"/>
        </w:rPr>
        <w:t>一、收</w:t>
      </w:r>
      <w:r>
        <w:rPr>
          <w:rStyle w:val="31"/>
          <w:rFonts w:ascii="Times New Roman" w:hAnsi="Times New Roman" w:eastAsia="黑体" w:cs="Times New Roman"/>
          <w:b w:val="0"/>
        </w:rPr>
        <w:t>入支出决算总体情况说明</w:t>
      </w:r>
      <w:bookmarkEnd w:id="22"/>
      <w:bookmarkEnd w:id="23"/>
      <w:bookmarkEnd w:id="24"/>
    </w:p>
    <w:p>
      <w:pPr>
        <w:overflowPunct w:val="0"/>
        <w:spacing w:line="560" w:lineRule="exact"/>
        <w:ind w:firstLine="640" w:firstLineChars="200"/>
        <w:rPr>
          <w:rFonts w:eastAsia="仿宋_GB2312"/>
          <w:sz w:val="32"/>
          <w:szCs w:val="32"/>
        </w:rPr>
      </w:pPr>
      <w:r>
        <w:rPr>
          <w:rFonts w:eastAsia="仿宋_GB2312"/>
          <w:sz w:val="32"/>
          <w:szCs w:val="32"/>
        </w:rPr>
        <w:t>2022年度收、支总计</w:t>
      </w:r>
      <w:r>
        <w:rPr>
          <w:rFonts w:eastAsia="仿宋_GB2312"/>
          <w:sz w:val="32"/>
          <w:szCs w:val="32"/>
          <w:lang w:val="zh-CN"/>
        </w:rPr>
        <w:t>938.47</w:t>
      </w:r>
      <w:r>
        <w:rPr>
          <w:rFonts w:eastAsia="仿宋_GB2312"/>
          <w:sz w:val="32"/>
          <w:szCs w:val="32"/>
        </w:rPr>
        <w:t>万元。较2021年度收、支总计1164.78万元各</w:t>
      </w:r>
      <w:r>
        <w:rPr>
          <w:rFonts w:eastAsia="仿宋_GB2312"/>
          <w:sz w:val="32"/>
          <w:szCs w:val="32"/>
          <w:lang w:val="zh-CN"/>
        </w:rPr>
        <w:t>减少226.31万元</w:t>
      </w:r>
      <w:r>
        <w:rPr>
          <w:rFonts w:eastAsia="仿宋_GB2312"/>
          <w:sz w:val="32"/>
          <w:szCs w:val="32"/>
        </w:rPr>
        <w:t>，</w:t>
      </w:r>
      <w:r>
        <w:rPr>
          <w:rFonts w:eastAsia="仿宋_GB2312"/>
          <w:sz w:val="32"/>
          <w:szCs w:val="32"/>
          <w:lang w:val="zh-CN"/>
        </w:rPr>
        <w:t>下降19.4</w:t>
      </w:r>
      <w:r>
        <w:rPr>
          <w:rFonts w:eastAsia="仿宋_GB2312"/>
          <w:sz w:val="32"/>
          <w:szCs w:val="32"/>
        </w:rPr>
        <w:t>3</w:t>
      </w:r>
      <w:r>
        <w:rPr>
          <w:rFonts w:eastAsia="仿宋_GB2312"/>
          <w:sz w:val="32"/>
          <w:szCs w:val="32"/>
          <w:lang w:val="zh-CN"/>
        </w:rPr>
        <w:t>%</w:t>
      </w:r>
      <w:r>
        <w:rPr>
          <w:rFonts w:eastAsia="仿宋_GB2312"/>
          <w:sz w:val="32"/>
          <w:szCs w:val="32"/>
        </w:rPr>
        <w:t>。主要变动原因是2021年暂付调列支出300余万元</w:t>
      </w:r>
      <w:bookmarkStart w:id="95" w:name="_GoBack"/>
      <w:bookmarkEnd w:id="95"/>
      <w:r>
        <w:rPr>
          <w:rFonts w:eastAsia="仿宋_GB2312"/>
          <w:sz w:val="32"/>
          <w:szCs w:val="32"/>
        </w:rPr>
        <w:t>，本年度没有这项支出。</w:t>
      </w:r>
    </w:p>
    <w:p>
      <w:pPr>
        <w:overflowPunct w:val="0"/>
        <w:spacing w:line="560" w:lineRule="exact"/>
        <w:jc w:val="center"/>
        <w:rPr>
          <w:rFonts w:eastAsia="仿宋_GB2312"/>
          <w:sz w:val="32"/>
          <w:szCs w:val="32"/>
        </w:rPr>
      </w:pPr>
      <w:r>
        <w:rPr>
          <w:rFonts w:eastAsia="仿宋_GB2312"/>
          <w:sz w:val="32"/>
          <w:szCs w:val="32"/>
        </w:rPr>
        <w:t>（图1：收、支决算总计变动情况图）</w:t>
      </w:r>
    </w:p>
    <w:p>
      <w:pPr>
        <w:pStyle w:val="37"/>
        <w:ind w:firstLine="0" w:firstLineChars="0"/>
        <w:jc w:val="center"/>
      </w:pPr>
      <w:r>
        <w:drawing>
          <wp:inline distT="0" distB="0" distL="114300" distR="114300">
            <wp:extent cx="4953000" cy="2550795"/>
            <wp:effectExtent l="4445" t="4445" r="14605" b="16510"/>
            <wp:docPr id="1802"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29"/>
        <w:spacing w:line="560" w:lineRule="exact"/>
        <w:ind w:firstLine="640"/>
        <w:outlineLvl w:val="1"/>
        <w:rPr>
          <w:rStyle w:val="31"/>
          <w:rFonts w:ascii="Times New Roman" w:hAnsi="Times New Roman" w:eastAsia="黑体" w:cs="Times New Roman"/>
          <w:b w:val="0"/>
        </w:rPr>
      </w:pPr>
      <w:bookmarkStart w:id="25" w:name="_Toc15396604"/>
      <w:bookmarkStart w:id="26" w:name="_Toc15377206"/>
      <w:bookmarkStart w:id="27" w:name="_Toc25205"/>
      <w:r>
        <w:rPr>
          <w:rStyle w:val="31"/>
          <w:rFonts w:ascii="Times New Roman" w:hAnsi="Times New Roman" w:eastAsia="黑体" w:cs="Times New Roman"/>
          <w:b w:val="0"/>
        </w:rPr>
        <w:t>二、收入决算情况说明</w:t>
      </w:r>
      <w:bookmarkEnd w:id="25"/>
      <w:bookmarkEnd w:id="26"/>
      <w:bookmarkEnd w:id="27"/>
    </w:p>
    <w:p>
      <w:pPr>
        <w:overflowPunct w:val="0"/>
        <w:spacing w:line="560" w:lineRule="exact"/>
        <w:ind w:firstLine="640" w:firstLineChars="200"/>
        <w:rPr>
          <w:rFonts w:eastAsia="仿宋_GB2312"/>
          <w:sz w:val="32"/>
          <w:szCs w:val="32"/>
        </w:rPr>
      </w:pPr>
      <w:r>
        <w:rPr>
          <w:rFonts w:eastAsia="仿宋_GB2312"/>
          <w:sz w:val="32"/>
          <w:szCs w:val="32"/>
        </w:rPr>
        <w:t>2022年本年收入合计938.47万元，其中：一般公共预算财政拨款收入938.47万元，占100%；政府性基金预算财政拨款收入0万元，占0%；国有资本经营预算财政拨款收入0万元，占0%；</w:t>
      </w:r>
      <w:r>
        <w:rPr>
          <w:rFonts w:eastAsia="仿宋_GB2312"/>
          <w:sz w:val="32"/>
          <w:szCs w:val="32"/>
          <w:lang w:val="zh-CN"/>
        </w:rPr>
        <w:t>上级补助收入0万元，占0%；事业收入0万元，占0%；经营收入0万元，占0%；附属单位上缴收入0万元，占0%；其他收入0万元，占0%。</w:t>
      </w:r>
    </w:p>
    <w:p>
      <w:pPr>
        <w:overflowPunct w:val="0"/>
        <w:spacing w:line="560" w:lineRule="exact"/>
        <w:ind w:firstLine="640" w:firstLineChars="200"/>
        <w:rPr>
          <w:rFonts w:eastAsia="仿宋_GB2312"/>
          <w:sz w:val="32"/>
          <w:szCs w:val="32"/>
        </w:rPr>
      </w:pPr>
    </w:p>
    <w:p>
      <w:pPr>
        <w:overflowPunct w:val="0"/>
        <w:spacing w:line="560" w:lineRule="exact"/>
        <w:jc w:val="center"/>
        <w:rPr>
          <w:rFonts w:eastAsia="仿宋_GB2312"/>
          <w:sz w:val="32"/>
          <w:szCs w:val="32"/>
        </w:rPr>
      </w:pPr>
      <w:r>
        <w:rPr>
          <w:rFonts w:eastAsia="仿宋_GB2312"/>
          <w:sz w:val="32"/>
          <w:szCs w:val="32"/>
        </w:rPr>
        <w:t>（图2：收入决算结构图）</w:t>
      </w:r>
    </w:p>
    <w:p>
      <w:pPr>
        <w:pStyle w:val="37"/>
        <w:ind w:firstLine="0" w:firstLineChars="0"/>
        <w:jc w:val="center"/>
        <w:rPr>
          <w:rFonts w:eastAsia="仿宋"/>
          <w:sz w:val="32"/>
          <w:szCs w:val="32"/>
        </w:rPr>
      </w:pPr>
      <w:r>
        <w:drawing>
          <wp:inline distT="0" distB="0" distL="114300" distR="114300">
            <wp:extent cx="4812030" cy="2651125"/>
            <wp:effectExtent l="4445" t="4445" r="22225" b="11430"/>
            <wp:docPr id="179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9"/>
        <w:spacing w:line="560" w:lineRule="exact"/>
        <w:ind w:firstLine="640"/>
        <w:outlineLvl w:val="1"/>
        <w:rPr>
          <w:rStyle w:val="31"/>
          <w:rFonts w:ascii="Times New Roman" w:hAnsi="Times New Roman" w:eastAsia="黑体" w:cs="Times New Roman"/>
          <w:b w:val="0"/>
        </w:rPr>
      </w:pPr>
      <w:bookmarkStart w:id="28" w:name="_Toc15377207"/>
      <w:bookmarkStart w:id="29" w:name="_Toc15396605"/>
      <w:bookmarkStart w:id="30" w:name="_Toc5788"/>
      <w:r>
        <w:rPr>
          <w:rStyle w:val="31"/>
          <w:rFonts w:ascii="Times New Roman" w:hAnsi="Times New Roman" w:eastAsia="黑体" w:cs="Times New Roman"/>
          <w:b w:val="0"/>
        </w:rPr>
        <w:t>三、支出决算情况说明</w:t>
      </w:r>
      <w:bookmarkEnd w:id="28"/>
      <w:bookmarkEnd w:id="29"/>
      <w:bookmarkEnd w:id="30"/>
    </w:p>
    <w:p>
      <w:pPr>
        <w:overflowPunct w:val="0"/>
        <w:spacing w:line="560" w:lineRule="exact"/>
        <w:ind w:firstLine="640" w:firstLineChars="200"/>
        <w:rPr>
          <w:rFonts w:eastAsia="仿宋_GB2312"/>
          <w:sz w:val="32"/>
          <w:szCs w:val="32"/>
          <w:lang w:val="zh-CN"/>
        </w:rPr>
      </w:pPr>
      <w:r>
        <w:rPr>
          <w:rFonts w:eastAsia="仿宋_GB2312"/>
          <w:sz w:val="32"/>
          <w:szCs w:val="32"/>
          <w:lang w:val="zh-CN"/>
        </w:rPr>
        <w:t>2022年本年支出合计938.47万元，其中：基本支出807.94万元，占86.</w:t>
      </w:r>
      <w:r>
        <w:rPr>
          <w:rFonts w:hint="eastAsia" w:eastAsia="仿宋_GB2312"/>
          <w:sz w:val="32"/>
          <w:szCs w:val="32"/>
        </w:rPr>
        <w:t>09</w:t>
      </w:r>
      <w:r>
        <w:rPr>
          <w:rFonts w:eastAsia="仿宋_GB2312"/>
          <w:sz w:val="32"/>
          <w:szCs w:val="32"/>
          <w:lang w:val="zh-CN"/>
        </w:rPr>
        <w:t>%；项目支出130.54万元，占13.9</w:t>
      </w:r>
      <w:r>
        <w:rPr>
          <w:rFonts w:hint="eastAsia" w:eastAsia="仿宋_GB2312"/>
          <w:sz w:val="32"/>
          <w:szCs w:val="32"/>
        </w:rPr>
        <w:t>1</w:t>
      </w:r>
      <w:r>
        <w:rPr>
          <w:rFonts w:eastAsia="仿宋_GB2312"/>
          <w:sz w:val="32"/>
          <w:szCs w:val="32"/>
          <w:lang w:val="zh-CN"/>
        </w:rPr>
        <w:t>%；上缴上级支出0万元，占0%；经营支出0万元，占0%；对附属单位补助支出0万元，占0%。</w:t>
      </w:r>
    </w:p>
    <w:p>
      <w:pPr>
        <w:overflowPunct w:val="0"/>
        <w:spacing w:line="560" w:lineRule="exact"/>
        <w:jc w:val="center"/>
        <w:rPr>
          <w:rFonts w:eastAsia="仿宋_GB2312"/>
          <w:sz w:val="32"/>
          <w:szCs w:val="32"/>
          <w:lang w:val="zh-CN"/>
        </w:rPr>
      </w:pPr>
      <w:r>
        <w:rPr>
          <w:rFonts w:eastAsia="仿宋_GB2312"/>
          <w:sz w:val="32"/>
          <w:szCs w:val="32"/>
          <w:lang w:val="zh-CN"/>
        </w:rPr>
        <w:t>（图3：支出决算结构图）</w:t>
      </w:r>
    </w:p>
    <w:p>
      <w:pPr>
        <w:pStyle w:val="5"/>
        <w:ind w:firstLine="0" w:firstLineChars="0"/>
        <w:jc w:val="center"/>
        <w:rPr>
          <w:rFonts w:eastAsia="仿宋_GB2312"/>
          <w:sz w:val="32"/>
          <w:szCs w:val="32"/>
        </w:rPr>
      </w:pPr>
      <w:r>
        <w:drawing>
          <wp:inline distT="0" distB="0" distL="114300" distR="114300">
            <wp:extent cx="4986655" cy="2625090"/>
            <wp:effectExtent l="4445" t="4445" r="19050" b="18415"/>
            <wp:docPr id="179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29"/>
        <w:spacing w:line="560" w:lineRule="exact"/>
        <w:ind w:firstLine="640"/>
        <w:outlineLvl w:val="1"/>
        <w:rPr>
          <w:rStyle w:val="31"/>
          <w:rFonts w:ascii="Times New Roman" w:hAnsi="Times New Roman" w:eastAsia="黑体" w:cs="Times New Roman"/>
          <w:b w:val="0"/>
        </w:rPr>
      </w:pPr>
      <w:bookmarkStart w:id="31" w:name="_Toc15396606"/>
      <w:bookmarkStart w:id="32" w:name="_Toc15377208"/>
      <w:bookmarkStart w:id="33" w:name="_Toc31730"/>
      <w:r>
        <w:rPr>
          <w:rStyle w:val="31"/>
          <w:rFonts w:ascii="Times New Roman" w:hAnsi="Times New Roman" w:eastAsia="黑体" w:cs="Times New Roman"/>
          <w:b w:val="0"/>
        </w:rPr>
        <w:t>四、财政拨款收入支出决算总体情况说明</w:t>
      </w:r>
      <w:bookmarkEnd w:id="31"/>
      <w:bookmarkEnd w:id="32"/>
      <w:bookmarkEnd w:id="33"/>
    </w:p>
    <w:p>
      <w:pPr>
        <w:overflowPunct w:val="0"/>
        <w:spacing w:line="560" w:lineRule="exact"/>
        <w:ind w:firstLine="640" w:firstLineChars="200"/>
        <w:rPr>
          <w:rFonts w:eastAsia="仿宋_GB2312"/>
          <w:sz w:val="32"/>
          <w:szCs w:val="32"/>
          <w:lang w:val="zh-CN"/>
        </w:rPr>
      </w:pPr>
      <w:r>
        <w:rPr>
          <w:rFonts w:eastAsia="仿宋_GB2312"/>
          <w:sz w:val="32"/>
          <w:szCs w:val="32"/>
          <w:lang w:val="zh-CN"/>
        </w:rPr>
        <w:t>2022年财政拨款收、支总计938.47万元。与2021年相比，财政拨款收、支总计各减少226.31万元，下降19.4%。主要变动原因是</w:t>
      </w:r>
      <w:r>
        <w:rPr>
          <w:rFonts w:eastAsia="仿宋_GB2312"/>
          <w:sz w:val="32"/>
          <w:szCs w:val="32"/>
        </w:rPr>
        <w:t>2021年暂付调列支出300余万元，本年度没有这项支出。</w:t>
      </w:r>
    </w:p>
    <w:p>
      <w:pPr>
        <w:overflowPunct w:val="0"/>
        <w:spacing w:line="560" w:lineRule="exact"/>
        <w:jc w:val="center"/>
        <w:rPr>
          <w:rFonts w:eastAsia="仿宋_GB2312"/>
          <w:sz w:val="32"/>
          <w:szCs w:val="32"/>
          <w:lang w:val="zh-CN"/>
        </w:rPr>
      </w:pPr>
      <w:r>
        <w:rPr>
          <w:rFonts w:eastAsia="仿宋_GB2312"/>
          <w:sz w:val="32"/>
          <w:szCs w:val="32"/>
          <w:lang w:val="zh-CN"/>
        </w:rPr>
        <w:t>（图4：财政拨款收、支决算总计变动情况）</w:t>
      </w:r>
    </w:p>
    <w:p>
      <w:pPr>
        <w:pStyle w:val="5"/>
        <w:rPr>
          <w:rFonts w:eastAsia="仿宋"/>
          <w:b/>
          <w:sz w:val="32"/>
          <w:szCs w:val="32"/>
        </w:rPr>
      </w:pPr>
      <w:r>
        <w:drawing>
          <wp:inline distT="0" distB="0" distL="114300" distR="114300">
            <wp:extent cx="5281295" cy="3517900"/>
            <wp:effectExtent l="4445" t="4445" r="10160" b="20955"/>
            <wp:docPr id="188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29"/>
        <w:spacing w:line="560" w:lineRule="exact"/>
        <w:ind w:firstLine="640"/>
        <w:outlineLvl w:val="1"/>
        <w:rPr>
          <w:rStyle w:val="31"/>
          <w:rFonts w:ascii="Times New Roman" w:hAnsi="Times New Roman" w:eastAsia="黑体" w:cs="Times New Roman"/>
          <w:b w:val="0"/>
        </w:rPr>
      </w:pPr>
      <w:bookmarkStart w:id="34" w:name="_Toc15377209"/>
      <w:bookmarkStart w:id="35" w:name="_Toc15396607"/>
      <w:bookmarkStart w:id="36" w:name="_Toc1540"/>
      <w:r>
        <w:rPr>
          <w:rStyle w:val="31"/>
          <w:rFonts w:ascii="Times New Roman" w:hAnsi="Times New Roman" w:eastAsia="黑体" w:cs="Times New Roman"/>
          <w:b w:val="0"/>
        </w:rPr>
        <w:t>五、一般公共预算财政拨款支出决算情况说明</w:t>
      </w:r>
      <w:bookmarkEnd w:id="34"/>
      <w:bookmarkEnd w:id="35"/>
      <w:bookmarkEnd w:id="36"/>
    </w:p>
    <w:p>
      <w:pPr>
        <w:overflowPunct w:val="0"/>
        <w:spacing w:line="560" w:lineRule="exact"/>
        <w:ind w:firstLine="640" w:firstLineChars="200"/>
        <w:outlineLvl w:val="2"/>
        <w:rPr>
          <w:rFonts w:eastAsia="楷体_GB2312"/>
          <w:color w:val="000000" w:themeColor="text1"/>
          <w:sz w:val="32"/>
          <w:szCs w:val="32"/>
          <w:lang w:val="zh-CN"/>
        </w:rPr>
      </w:pPr>
      <w:bookmarkStart w:id="37" w:name="_Toc15377210"/>
      <w:r>
        <w:rPr>
          <w:rFonts w:eastAsia="楷体_GB2312"/>
          <w:color w:val="000000" w:themeColor="text1"/>
          <w:sz w:val="32"/>
          <w:szCs w:val="32"/>
          <w:lang w:val="zh-CN"/>
        </w:rPr>
        <w:t>（一）一般公共预算财政拨款支出决算总体情况</w:t>
      </w:r>
      <w:bookmarkEnd w:id="37"/>
    </w:p>
    <w:p>
      <w:pPr>
        <w:overflowPunct w:val="0"/>
        <w:spacing w:line="560" w:lineRule="exact"/>
        <w:ind w:firstLine="640" w:firstLineChars="200"/>
        <w:outlineLvl w:val="2"/>
        <w:rPr>
          <w:rFonts w:eastAsia="仿宋_GB2312"/>
          <w:sz w:val="32"/>
          <w:szCs w:val="32"/>
          <w:lang w:val="zh-CN"/>
        </w:rPr>
      </w:pPr>
      <w:r>
        <w:rPr>
          <w:rFonts w:eastAsia="仿宋_GB2312"/>
          <w:sz w:val="32"/>
          <w:szCs w:val="32"/>
          <w:lang w:val="zh-CN"/>
        </w:rPr>
        <w:t>2022年一般公共预算财政拨款支出938.47万元，占本年支出合计的100%。与2021年相比，一般公共预算财政拨款支出减少226.31万元，下降19.4%。主要变动原因是</w:t>
      </w:r>
      <w:r>
        <w:rPr>
          <w:rFonts w:eastAsia="仿宋_GB2312"/>
          <w:sz w:val="32"/>
          <w:szCs w:val="32"/>
        </w:rPr>
        <w:t>2021年暂付调列支出300余万元，本年度没有这项支出。</w:t>
      </w:r>
    </w:p>
    <w:p>
      <w:pPr>
        <w:overflowPunct w:val="0"/>
        <w:spacing w:line="560" w:lineRule="exact"/>
        <w:ind w:firstLine="640" w:firstLineChars="200"/>
        <w:rPr>
          <w:rFonts w:eastAsia="仿宋_GB2312"/>
          <w:sz w:val="32"/>
          <w:szCs w:val="32"/>
          <w:lang w:val="zh-CN"/>
        </w:rPr>
      </w:pPr>
    </w:p>
    <w:p>
      <w:pPr>
        <w:overflowPunct w:val="0"/>
        <w:spacing w:line="560" w:lineRule="exact"/>
        <w:jc w:val="center"/>
        <w:rPr>
          <w:rFonts w:eastAsia="仿宋_GB2312"/>
          <w:sz w:val="32"/>
          <w:szCs w:val="32"/>
          <w:lang w:val="zh-CN"/>
        </w:rPr>
      </w:pPr>
      <w:r>
        <w:rPr>
          <w:rFonts w:eastAsia="仿宋_GB2312"/>
          <w:sz w:val="32"/>
          <w:szCs w:val="32"/>
          <w:lang w:val="zh-CN"/>
        </w:rPr>
        <w:t>（图5：一般公共预算财政拨款支出决算变动情况）</w:t>
      </w:r>
    </w:p>
    <w:p>
      <w:pPr>
        <w:pStyle w:val="5"/>
        <w:ind w:firstLine="0" w:firstLineChars="0"/>
        <w:jc w:val="center"/>
        <w:rPr>
          <w:rFonts w:eastAsia="仿宋"/>
          <w:sz w:val="32"/>
          <w:szCs w:val="32"/>
        </w:rPr>
      </w:pPr>
      <w:r>
        <w:drawing>
          <wp:inline distT="0" distB="0" distL="114300" distR="114300">
            <wp:extent cx="4739005" cy="2713355"/>
            <wp:effectExtent l="4445" t="4445" r="19050" b="6350"/>
            <wp:docPr id="188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overflowPunct w:val="0"/>
        <w:spacing w:line="560" w:lineRule="exact"/>
        <w:ind w:firstLine="640" w:firstLineChars="200"/>
        <w:outlineLvl w:val="2"/>
        <w:rPr>
          <w:rFonts w:eastAsia="楷体_GB2312"/>
          <w:color w:val="000000" w:themeColor="text1"/>
          <w:sz w:val="32"/>
          <w:szCs w:val="32"/>
          <w:lang w:val="zh-CN"/>
        </w:rPr>
      </w:pPr>
      <w:bookmarkStart w:id="38" w:name="_Toc15377211"/>
      <w:r>
        <w:rPr>
          <w:rFonts w:eastAsia="楷体_GB2312"/>
          <w:color w:val="000000" w:themeColor="text1"/>
          <w:sz w:val="32"/>
          <w:szCs w:val="32"/>
          <w:lang w:val="zh-CN"/>
        </w:rPr>
        <w:t>（二）一般公共预算财政拨款支出决算结构情况</w:t>
      </w:r>
      <w:bookmarkEnd w:id="38"/>
    </w:p>
    <w:p>
      <w:pPr>
        <w:overflowPunct w:val="0"/>
        <w:spacing w:line="560" w:lineRule="exact"/>
        <w:ind w:firstLine="640" w:firstLineChars="200"/>
        <w:rPr>
          <w:rFonts w:eastAsia="仿宋_GB2312"/>
          <w:color w:val="C00000"/>
          <w:sz w:val="32"/>
          <w:szCs w:val="32"/>
          <w:lang w:val="zh-CN"/>
        </w:rPr>
      </w:pPr>
      <w:r>
        <w:rPr>
          <w:rFonts w:eastAsia="仿宋_GB2312"/>
          <w:sz w:val="32"/>
          <w:szCs w:val="32"/>
          <w:lang w:val="zh-CN"/>
        </w:rPr>
        <w:t>2022年一般公共预算财政拨款支出938.47万元，主要用于以下方面：一般公共服务支出722.68万元，占77%；社会保障和就业支出98.31万元，占10.5%；卫生健康支出58.79万元，占6.3%；住房保障支出58.7万元，占6.</w:t>
      </w:r>
      <w:r>
        <w:rPr>
          <w:rFonts w:eastAsia="仿宋_GB2312"/>
          <w:sz w:val="32"/>
          <w:szCs w:val="32"/>
        </w:rPr>
        <w:t>2</w:t>
      </w:r>
      <w:r>
        <w:rPr>
          <w:rFonts w:eastAsia="仿宋_GB2312"/>
          <w:sz w:val="32"/>
          <w:szCs w:val="32"/>
          <w:lang w:val="zh-CN"/>
        </w:rPr>
        <w:t>%。</w:t>
      </w:r>
    </w:p>
    <w:p>
      <w:pPr>
        <w:overflowPunct w:val="0"/>
        <w:spacing w:line="560" w:lineRule="exact"/>
        <w:jc w:val="center"/>
        <w:rPr>
          <w:rFonts w:eastAsia="仿宋_GB2312"/>
          <w:sz w:val="32"/>
          <w:szCs w:val="32"/>
          <w:lang w:val="zh-CN"/>
        </w:rPr>
      </w:pPr>
      <w:r>
        <w:rPr>
          <w:rFonts w:eastAsia="仿宋_GB2312"/>
          <w:sz w:val="32"/>
          <w:szCs w:val="32"/>
          <w:lang w:val="zh-CN"/>
        </w:rPr>
        <w:t>（图6：一般公共预算财政拨款支出决算结构）</w:t>
      </w:r>
    </w:p>
    <w:p>
      <w:pPr>
        <w:pStyle w:val="5"/>
        <w:ind w:firstLine="0" w:firstLineChars="0"/>
        <w:jc w:val="center"/>
        <w:rPr>
          <w:rFonts w:eastAsia="仿宋"/>
          <w:sz w:val="32"/>
          <w:szCs w:val="32"/>
        </w:rPr>
      </w:pPr>
      <w:r>
        <w:drawing>
          <wp:inline distT="0" distB="0" distL="114300" distR="114300">
            <wp:extent cx="4876800" cy="2653665"/>
            <wp:effectExtent l="4445" t="4445" r="14605" b="8890"/>
            <wp:docPr id="1839"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overflowPunct w:val="0"/>
        <w:spacing w:line="560" w:lineRule="exact"/>
        <w:ind w:firstLine="640" w:firstLineChars="200"/>
        <w:outlineLvl w:val="2"/>
        <w:rPr>
          <w:rFonts w:eastAsia="楷体_GB2312"/>
          <w:color w:val="000000" w:themeColor="text1"/>
          <w:sz w:val="32"/>
          <w:szCs w:val="32"/>
          <w:lang w:val="zh-CN"/>
        </w:rPr>
      </w:pPr>
      <w:bookmarkStart w:id="39" w:name="_Toc15377212"/>
      <w:r>
        <w:rPr>
          <w:rFonts w:eastAsia="楷体_GB2312"/>
          <w:color w:val="000000" w:themeColor="text1"/>
          <w:sz w:val="32"/>
          <w:szCs w:val="32"/>
          <w:lang w:val="zh-CN"/>
        </w:rPr>
        <w:t>（三）一般公共预算财政拨款支出决算具体情况</w:t>
      </w:r>
      <w:bookmarkEnd w:id="39"/>
    </w:p>
    <w:p>
      <w:pPr>
        <w:overflowPunct w:val="0"/>
        <w:spacing w:line="560" w:lineRule="exact"/>
        <w:ind w:firstLine="640" w:firstLineChars="200"/>
        <w:rPr>
          <w:rFonts w:eastAsia="仿宋_GB2312"/>
          <w:sz w:val="32"/>
          <w:szCs w:val="32"/>
          <w:lang w:val="zh-CN"/>
        </w:rPr>
      </w:pPr>
      <w:bookmarkStart w:id="40" w:name="_Toc15377444"/>
      <w:bookmarkStart w:id="41" w:name="_Toc15378460"/>
      <w:bookmarkStart w:id="42" w:name="_Toc15377213"/>
      <w:r>
        <w:rPr>
          <w:rFonts w:eastAsia="仿宋_GB2312"/>
          <w:sz w:val="32"/>
          <w:szCs w:val="32"/>
          <w:lang w:val="zh-CN"/>
        </w:rPr>
        <w:t>2022年一般公共预算支出决算数为</w:t>
      </w:r>
      <w:r>
        <w:rPr>
          <w:rFonts w:eastAsia="仿宋_GB2312"/>
          <w:sz w:val="32"/>
          <w:szCs w:val="32"/>
        </w:rPr>
        <w:t>938.47</w:t>
      </w:r>
      <w:r>
        <w:rPr>
          <w:rFonts w:eastAsia="仿宋_GB2312"/>
          <w:sz w:val="32"/>
          <w:szCs w:val="32"/>
          <w:lang w:val="zh-CN"/>
        </w:rPr>
        <w:t>，完成预算</w:t>
      </w:r>
      <w:r>
        <w:rPr>
          <w:rFonts w:eastAsia="仿宋_GB2312"/>
          <w:sz w:val="32"/>
          <w:szCs w:val="32"/>
        </w:rPr>
        <w:t>100</w:t>
      </w:r>
      <w:r>
        <w:rPr>
          <w:rFonts w:eastAsia="仿宋_GB2312"/>
          <w:sz w:val="32"/>
          <w:szCs w:val="32"/>
          <w:lang w:val="zh-CN"/>
        </w:rPr>
        <w:t>%。其中：</w:t>
      </w:r>
      <w:bookmarkEnd w:id="40"/>
      <w:bookmarkEnd w:id="41"/>
      <w:bookmarkEnd w:id="42"/>
    </w:p>
    <w:p>
      <w:pPr>
        <w:overflowPunct w:val="0"/>
        <w:spacing w:line="560" w:lineRule="exact"/>
        <w:ind w:firstLine="640" w:firstLineChars="200"/>
        <w:rPr>
          <w:rFonts w:eastAsia="仿宋_GB2312"/>
          <w:sz w:val="32"/>
          <w:szCs w:val="32"/>
          <w:lang w:val="zh-CN"/>
        </w:rPr>
      </w:pPr>
      <w:r>
        <w:rPr>
          <w:rFonts w:eastAsia="仿宋_GB2312"/>
          <w:sz w:val="32"/>
          <w:szCs w:val="32"/>
        </w:rPr>
        <w:t>1</w:t>
      </w:r>
      <w:r>
        <w:rPr>
          <w:rFonts w:eastAsia="仿宋_GB2312"/>
          <w:sz w:val="32"/>
          <w:szCs w:val="32"/>
          <w:lang w:val="zh-CN"/>
        </w:rPr>
        <w:t>．一般公共服务</w:t>
      </w:r>
      <w:r>
        <w:rPr>
          <w:rFonts w:eastAsia="仿宋_GB2312"/>
          <w:sz w:val="32"/>
          <w:szCs w:val="32"/>
        </w:rPr>
        <w:t>支出</w:t>
      </w:r>
      <w:r>
        <w:rPr>
          <w:rFonts w:eastAsia="仿宋_GB2312"/>
          <w:sz w:val="32"/>
          <w:szCs w:val="32"/>
          <w:lang w:val="zh-CN"/>
        </w:rPr>
        <w:t>（类）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行政运行</w:t>
      </w:r>
      <w:r>
        <w:rPr>
          <w:rFonts w:eastAsia="仿宋_GB2312"/>
          <w:sz w:val="32"/>
          <w:szCs w:val="32"/>
          <w:lang w:val="zh-CN"/>
        </w:rPr>
        <w:t>（项）:支出决算为</w:t>
      </w:r>
      <w:r>
        <w:rPr>
          <w:rFonts w:eastAsia="仿宋_GB2312"/>
          <w:sz w:val="32"/>
          <w:szCs w:val="32"/>
        </w:rPr>
        <w:t>476.52万元，</w:t>
      </w:r>
      <w:r>
        <w:rPr>
          <w:rFonts w:eastAsia="仿宋_GB2312"/>
          <w:sz w:val="32"/>
          <w:szCs w:val="32"/>
          <w:lang w:val="zh-CN"/>
        </w:rPr>
        <w:t>完成预算</w:t>
      </w:r>
      <w:r>
        <w:rPr>
          <w:rFonts w:eastAsia="仿宋_GB2312"/>
          <w:sz w:val="32"/>
          <w:szCs w:val="32"/>
        </w:rPr>
        <w:t>100</w:t>
      </w:r>
      <w:r>
        <w:rPr>
          <w:rFonts w:eastAsia="仿宋_GB2312"/>
          <w:sz w:val="32"/>
          <w:szCs w:val="32"/>
          <w:lang w:val="zh-CN"/>
        </w:rPr>
        <w:t>%。</w:t>
      </w:r>
    </w:p>
    <w:p>
      <w:pPr>
        <w:overflowPunct w:val="0"/>
        <w:spacing w:line="560" w:lineRule="exact"/>
        <w:ind w:firstLine="640" w:firstLineChars="200"/>
        <w:rPr>
          <w:rFonts w:eastAsia="仿宋_GB2312"/>
          <w:sz w:val="32"/>
          <w:szCs w:val="32"/>
        </w:rPr>
      </w:pPr>
      <w:r>
        <w:rPr>
          <w:rFonts w:eastAsia="仿宋_GB2312"/>
          <w:sz w:val="32"/>
          <w:szCs w:val="32"/>
        </w:rPr>
        <w:t>2</w:t>
      </w:r>
      <w:r>
        <w:rPr>
          <w:rFonts w:eastAsia="仿宋_GB2312"/>
          <w:sz w:val="32"/>
          <w:szCs w:val="32"/>
          <w:lang w:val="zh-CN"/>
        </w:rPr>
        <w:t>．一般公共服务</w:t>
      </w:r>
      <w:r>
        <w:rPr>
          <w:rFonts w:eastAsia="仿宋_GB2312"/>
          <w:sz w:val="32"/>
          <w:szCs w:val="32"/>
        </w:rPr>
        <w:t>支出</w:t>
      </w:r>
      <w:r>
        <w:rPr>
          <w:rFonts w:eastAsia="仿宋_GB2312"/>
          <w:sz w:val="32"/>
          <w:szCs w:val="32"/>
          <w:lang w:val="zh-CN"/>
        </w:rPr>
        <w:t>（类）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一般行政管理事务（项）：</w:t>
      </w:r>
      <w:r>
        <w:rPr>
          <w:rFonts w:eastAsia="仿宋_GB2312"/>
          <w:sz w:val="32"/>
          <w:szCs w:val="32"/>
          <w:lang w:val="zh-CN"/>
        </w:rPr>
        <w:t>支出决算为</w:t>
      </w:r>
      <w:r>
        <w:rPr>
          <w:rFonts w:eastAsia="仿宋_GB2312"/>
          <w:sz w:val="32"/>
          <w:szCs w:val="32"/>
        </w:rPr>
        <w:t>113.01万元，完成预算100%。</w:t>
      </w:r>
    </w:p>
    <w:p>
      <w:pPr>
        <w:overflowPunct w:val="0"/>
        <w:spacing w:line="560" w:lineRule="exact"/>
        <w:ind w:firstLine="640" w:firstLineChars="200"/>
        <w:rPr>
          <w:rFonts w:eastAsia="仿宋_GB2312"/>
          <w:sz w:val="32"/>
          <w:szCs w:val="32"/>
        </w:rPr>
      </w:pPr>
      <w:r>
        <w:rPr>
          <w:rFonts w:eastAsia="仿宋_GB2312"/>
          <w:sz w:val="32"/>
          <w:szCs w:val="32"/>
        </w:rPr>
        <w:t>3</w:t>
      </w:r>
      <w:r>
        <w:rPr>
          <w:rFonts w:eastAsia="仿宋_GB2312"/>
          <w:sz w:val="32"/>
          <w:szCs w:val="32"/>
          <w:lang w:val="zh-CN"/>
        </w:rPr>
        <w:t>．一般公共服务</w:t>
      </w:r>
      <w:r>
        <w:rPr>
          <w:rFonts w:eastAsia="仿宋_GB2312"/>
          <w:sz w:val="32"/>
          <w:szCs w:val="32"/>
        </w:rPr>
        <w:t>支出</w:t>
      </w:r>
      <w:r>
        <w:rPr>
          <w:rFonts w:eastAsia="仿宋_GB2312"/>
          <w:sz w:val="32"/>
          <w:szCs w:val="32"/>
          <w:lang w:val="zh-CN"/>
        </w:rPr>
        <w:t>（类）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事业运行（项）：</w:t>
      </w:r>
      <w:r>
        <w:rPr>
          <w:rFonts w:eastAsia="仿宋_GB2312"/>
          <w:sz w:val="32"/>
          <w:szCs w:val="32"/>
          <w:lang w:val="zh-CN"/>
        </w:rPr>
        <w:t>支出决算为</w:t>
      </w:r>
      <w:r>
        <w:rPr>
          <w:rFonts w:eastAsia="仿宋_GB2312"/>
          <w:sz w:val="32"/>
          <w:szCs w:val="32"/>
        </w:rPr>
        <w:t>115.62万元，完成预算100%。</w:t>
      </w:r>
    </w:p>
    <w:p>
      <w:pPr>
        <w:overflowPunct w:val="0"/>
        <w:spacing w:line="560" w:lineRule="exact"/>
        <w:ind w:firstLine="640" w:firstLineChars="200"/>
        <w:rPr>
          <w:rFonts w:eastAsia="仿宋_GB2312"/>
          <w:sz w:val="32"/>
          <w:szCs w:val="32"/>
          <w:lang w:val="zh-CN"/>
        </w:rPr>
      </w:pPr>
      <w:r>
        <w:rPr>
          <w:rFonts w:eastAsia="仿宋_GB2312"/>
          <w:sz w:val="32"/>
          <w:szCs w:val="32"/>
        </w:rPr>
        <w:t>4</w:t>
      </w:r>
      <w:r>
        <w:rPr>
          <w:rFonts w:eastAsia="仿宋_GB2312"/>
          <w:sz w:val="32"/>
          <w:szCs w:val="32"/>
          <w:lang w:val="zh-CN"/>
        </w:rPr>
        <w:t>．一般公共服务</w:t>
      </w:r>
      <w:r>
        <w:rPr>
          <w:rFonts w:eastAsia="仿宋_GB2312"/>
          <w:sz w:val="32"/>
          <w:szCs w:val="32"/>
        </w:rPr>
        <w:t>支出</w:t>
      </w:r>
      <w:r>
        <w:rPr>
          <w:rFonts w:eastAsia="仿宋_GB2312"/>
          <w:sz w:val="32"/>
          <w:szCs w:val="32"/>
          <w:lang w:val="zh-CN"/>
        </w:rPr>
        <w:t>（类）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其他政府办公厅（室）及相关机构事务支出（项）：</w:t>
      </w:r>
      <w:r>
        <w:rPr>
          <w:rFonts w:eastAsia="仿宋_GB2312"/>
          <w:sz w:val="32"/>
          <w:szCs w:val="32"/>
          <w:lang w:val="zh-CN"/>
        </w:rPr>
        <w:t>支出决算为</w:t>
      </w:r>
      <w:r>
        <w:rPr>
          <w:rFonts w:eastAsia="仿宋_GB2312"/>
          <w:sz w:val="32"/>
          <w:szCs w:val="32"/>
        </w:rPr>
        <w:t>17.53万元，完成预算100%</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5</w:t>
      </w:r>
      <w:r>
        <w:rPr>
          <w:rFonts w:eastAsia="仿宋_GB2312"/>
          <w:sz w:val="32"/>
          <w:szCs w:val="32"/>
          <w:lang w:val="zh-CN"/>
        </w:rPr>
        <w:t>．社会保障和就业</w:t>
      </w:r>
      <w:r>
        <w:rPr>
          <w:rFonts w:eastAsia="仿宋_GB2312"/>
          <w:sz w:val="32"/>
          <w:szCs w:val="32"/>
        </w:rPr>
        <w:t>支出</w:t>
      </w:r>
      <w:r>
        <w:rPr>
          <w:rFonts w:eastAsia="仿宋_GB2312"/>
          <w:sz w:val="32"/>
          <w:szCs w:val="32"/>
          <w:lang w:val="zh-CN"/>
        </w:rPr>
        <w:t>（类）</w:t>
      </w:r>
      <w:r>
        <w:rPr>
          <w:rFonts w:eastAsia="仿宋_GB2312"/>
          <w:sz w:val="32"/>
          <w:szCs w:val="32"/>
        </w:rPr>
        <w:t>行政事业单位养老支出</w:t>
      </w:r>
      <w:r>
        <w:rPr>
          <w:rFonts w:eastAsia="仿宋_GB2312"/>
          <w:sz w:val="32"/>
          <w:szCs w:val="32"/>
          <w:lang w:val="zh-CN"/>
        </w:rPr>
        <w:t>（款）</w:t>
      </w:r>
      <w:r>
        <w:rPr>
          <w:rFonts w:eastAsia="仿宋_GB2312"/>
          <w:sz w:val="32"/>
          <w:szCs w:val="32"/>
        </w:rPr>
        <w:t>行政单位离退休</w:t>
      </w:r>
      <w:r>
        <w:rPr>
          <w:rFonts w:eastAsia="仿宋_GB2312"/>
          <w:sz w:val="32"/>
          <w:szCs w:val="32"/>
          <w:lang w:val="zh-CN"/>
        </w:rPr>
        <w:t>（项）:支出决算为</w:t>
      </w:r>
      <w:r>
        <w:rPr>
          <w:rFonts w:eastAsia="仿宋_GB2312"/>
          <w:sz w:val="32"/>
          <w:szCs w:val="32"/>
        </w:rPr>
        <w:t>37.46</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6</w:t>
      </w:r>
      <w:r>
        <w:rPr>
          <w:rFonts w:eastAsia="仿宋_GB2312"/>
          <w:sz w:val="32"/>
          <w:szCs w:val="32"/>
          <w:lang w:val="zh-CN"/>
        </w:rPr>
        <w:t>．社会保障和就业</w:t>
      </w:r>
      <w:r>
        <w:rPr>
          <w:rFonts w:eastAsia="仿宋_GB2312"/>
          <w:sz w:val="32"/>
          <w:szCs w:val="32"/>
        </w:rPr>
        <w:t>支出</w:t>
      </w:r>
      <w:r>
        <w:rPr>
          <w:rFonts w:eastAsia="仿宋_GB2312"/>
          <w:sz w:val="32"/>
          <w:szCs w:val="32"/>
          <w:lang w:val="zh-CN"/>
        </w:rPr>
        <w:t>（类）</w:t>
      </w:r>
      <w:r>
        <w:rPr>
          <w:rFonts w:eastAsia="仿宋_GB2312"/>
          <w:sz w:val="32"/>
          <w:szCs w:val="32"/>
        </w:rPr>
        <w:t>行政事业单位养老支出</w:t>
      </w:r>
      <w:r>
        <w:rPr>
          <w:rFonts w:eastAsia="仿宋_GB2312"/>
          <w:sz w:val="32"/>
          <w:szCs w:val="32"/>
          <w:lang w:val="zh-CN"/>
        </w:rPr>
        <w:t>（款）</w:t>
      </w:r>
      <w:r>
        <w:rPr>
          <w:rFonts w:eastAsia="仿宋_GB2312"/>
          <w:sz w:val="32"/>
          <w:szCs w:val="32"/>
        </w:rPr>
        <w:t>事业单位离退休</w:t>
      </w:r>
      <w:r>
        <w:rPr>
          <w:rFonts w:eastAsia="仿宋_GB2312"/>
          <w:sz w:val="32"/>
          <w:szCs w:val="32"/>
          <w:lang w:val="zh-CN"/>
        </w:rPr>
        <w:t>（项）:支出决算为</w:t>
      </w:r>
      <w:r>
        <w:rPr>
          <w:rFonts w:eastAsia="仿宋_GB2312"/>
          <w:sz w:val="32"/>
          <w:szCs w:val="32"/>
        </w:rPr>
        <w:t>1.18</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7</w:t>
      </w:r>
      <w:r>
        <w:rPr>
          <w:rFonts w:eastAsia="仿宋_GB2312"/>
          <w:sz w:val="32"/>
          <w:szCs w:val="32"/>
          <w:lang w:val="zh-CN"/>
        </w:rPr>
        <w:t>．社会保障和就业</w:t>
      </w:r>
      <w:r>
        <w:rPr>
          <w:rFonts w:eastAsia="仿宋_GB2312"/>
          <w:sz w:val="32"/>
          <w:szCs w:val="32"/>
        </w:rPr>
        <w:t>支出</w:t>
      </w:r>
      <w:r>
        <w:rPr>
          <w:rFonts w:eastAsia="仿宋_GB2312"/>
          <w:sz w:val="32"/>
          <w:szCs w:val="32"/>
          <w:lang w:val="zh-CN"/>
        </w:rPr>
        <w:t>（类）</w:t>
      </w:r>
      <w:r>
        <w:rPr>
          <w:rFonts w:eastAsia="仿宋_GB2312"/>
          <w:sz w:val="32"/>
          <w:szCs w:val="32"/>
        </w:rPr>
        <w:t>行政事业单位养老支出</w:t>
      </w:r>
      <w:r>
        <w:rPr>
          <w:rFonts w:eastAsia="仿宋_GB2312"/>
          <w:sz w:val="32"/>
          <w:szCs w:val="32"/>
          <w:lang w:val="zh-CN"/>
        </w:rPr>
        <w:t>（款）</w:t>
      </w:r>
      <w:r>
        <w:rPr>
          <w:rFonts w:eastAsia="仿宋_GB2312"/>
          <w:sz w:val="32"/>
          <w:szCs w:val="32"/>
        </w:rPr>
        <w:t>机关事业单位基本养老保险缴费支出</w:t>
      </w:r>
      <w:r>
        <w:rPr>
          <w:rFonts w:eastAsia="仿宋_GB2312"/>
          <w:sz w:val="32"/>
          <w:szCs w:val="32"/>
          <w:lang w:val="zh-CN"/>
        </w:rPr>
        <w:t>（项）:支出决算为</w:t>
      </w:r>
      <w:r>
        <w:rPr>
          <w:rFonts w:eastAsia="仿宋_GB2312"/>
          <w:sz w:val="32"/>
          <w:szCs w:val="32"/>
        </w:rPr>
        <w:t>46.22</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8</w:t>
      </w:r>
      <w:r>
        <w:rPr>
          <w:rFonts w:eastAsia="仿宋_GB2312"/>
          <w:sz w:val="32"/>
          <w:szCs w:val="32"/>
          <w:lang w:val="zh-CN"/>
        </w:rPr>
        <w:t>．社会保障和就业</w:t>
      </w:r>
      <w:r>
        <w:rPr>
          <w:rFonts w:eastAsia="仿宋_GB2312"/>
          <w:sz w:val="32"/>
          <w:szCs w:val="32"/>
        </w:rPr>
        <w:t>支出</w:t>
      </w:r>
      <w:r>
        <w:rPr>
          <w:rFonts w:eastAsia="仿宋_GB2312"/>
          <w:sz w:val="32"/>
          <w:szCs w:val="32"/>
          <w:lang w:val="zh-CN"/>
        </w:rPr>
        <w:t>（类）</w:t>
      </w:r>
      <w:r>
        <w:rPr>
          <w:rFonts w:eastAsia="仿宋_GB2312"/>
          <w:sz w:val="32"/>
          <w:szCs w:val="32"/>
        </w:rPr>
        <w:t>行政事业单位养老支出</w:t>
      </w:r>
      <w:r>
        <w:rPr>
          <w:rFonts w:eastAsia="仿宋_GB2312"/>
          <w:sz w:val="32"/>
          <w:szCs w:val="32"/>
          <w:lang w:val="zh-CN"/>
        </w:rPr>
        <w:t>（款）</w:t>
      </w:r>
      <w:r>
        <w:rPr>
          <w:rFonts w:eastAsia="仿宋_GB2312"/>
          <w:sz w:val="32"/>
          <w:szCs w:val="32"/>
        </w:rPr>
        <w:t>机关事业单位职业年金缴费支出</w:t>
      </w:r>
      <w:r>
        <w:rPr>
          <w:rFonts w:eastAsia="仿宋_GB2312"/>
          <w:sz w:val="32"/>
          <w:szCs w:val="32"/>
          <w:lang w:val="zh-CN"/>
        </w:rPr>
        <w:t>（项）:支出决算为</w:t>
      </w:r>
      <w:r>
        <w:rPr>
          <w:rFonts w:eastAsia="仿宋_GB2312"/>
          <w:sz w:val="32"/>
          <w:szCs w:val="32"/>
        </w:rPr>
        <w:t>10.74</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9</w:t>
      </w:r>
      <w:r>
        <w:rPr>
          <w:rFonts w:eastAsia="仿宋_GB2312"/>
          <w:sz w:val="32"/>
          <w:szCs w:val="32"/>
          <w:lang w:val="zh-CN"/>
        </w:rPr>
        <w:t>．社会保障和就业</w:t>
      </w:r>
      <w:r>
        <w:rPr>
          <w:rFonts w:eastAsia="仿宋_GB2312"/>
          <w:sz w:val="32"/>
          <w:szCs w:val="32"/>
        </w:rPr>
        <w:t>支出</w:t>
      </w:r>
      <w:r>
        <w:rPr>
          <w:rFonts w:eastAsia="仿宋_GB2312"/>
          <w:sz w:val="32"/>
          <w:szCs w:val="32"/>
          <w:lang w:val="zh-CN"/>
        </w:rPr>
        <w:t>（类）</w:t>
      </w:r>
      <w:r>
        <w:rPr>
          <w:rFonts w:eastAsia="仿宋_GB2312"/>
          <w:sz w:val="32"/>
          <w:szCs w:val="32"/>
        </w:rPr>
        <w:t>抚恤</w:t>
      </w:r>
      <w:r>
        <w:rPr>
          <w:rFonts w:eastAsia="仿宋_GB2312"/>
          <w:sz w:val="32"/>
          <w:szCs w:val="32"/>
          <w:lang w:val="zh-CN"/>
        </w:rPr>
        <w:t>（款）</w:t>
      </w:r>
      <w:r>
        <w:rPr>
          <w:rFonts w:eastAsia="仿宋_GB2312"/>
          <w:sz w:val="32"/>
          <w:szCs w:val="32"/>
        </w:rPr>
        <w:t>伤残抚恤</w:t>
      </w:r>
      <w:r>
        <w:rPr>
          <w:rFonts w:eastAsia="仿宋_GB2312"/>
          <w:sz w:val="32"/>
          <w:szCs w:val="32"/>
          <w:lang w:val="zh-CN"/>
        </w:rPr>
        <w:t>（项）:支出决算为</w:t>
      </w:r>
      <w:r>
        <w:rPr>
          <w:rFonts w:eastAsia="仿宋_GB2312"/>
          <w:sz w:val="32"/>
          <w:szCs w:val="32"/>
        </w:rPr>
        <w:t>2.71</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10</w:t>
      </w:r>
      <w:r>
        <w:rPr>
          <w:rFonts w:eastAsia="仿宋_GB2312"/>
          <w:sz w:val="32"/>
          <w:szCs w:val="32"/>
          <w:lang w:val="zh-CN"/>
        </w:rPr>
        <w:t>．卫生健康</w:t>
      </w:r>
      <w:r>
        <w:rPr>
          <w:rFonts w:eastAsia="仿宋_GB2312"/>
          <w:sz w:val="32"/>
          <w:szCs w:val="32"/>
        </w:rPr>
        <w:t>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行政单位医疗</w:t>
      </w:r>
      <w:r>
        <w:rPr>
          <w:rFonts w:eastAsia="仿宋_GB2312"/>
          <w:sz w:val="32"/>
          <w:szCs w:val="32"/>
          <w:lang w:val="zh-CN"/>
        </w:rPr>
        <w:t>（项）:支出决算为</w:t>
      </w:r>
      <w:r>
        <w:rPr>
          <w:rFonts w:eastAsia="仿宋_GB2312"/>
          <w:sz w:val="32"/>
          <w:szCs w:val="32"/>
        </w:rPr>
        <w:t>30.36</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11</w:t>
      </w:r>
      <w:r>
        <w:rPr>
          <w:rFonts w:eastAsia="仿宋_GB2312"/>
          <w:sz w:val="32"/>
          <w:szCs w:val="32"/>
          <w:lang w:val="zh-CN"/>
        </w:rPr>
        <w:t>．卫生健康</w:t>
      </w:r>
      <w:r>
        <w:rPr>
          <w:rFonts w:eastAsia="仿宋_GB2312"/>
          <w:sz w:val="32"/>
          <w:szCs w:val="32"/>
        </w:rPr>
        <w:t>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事业单位医疗</w:t>
      </w:r>
      <w:r>
        <w:rPr>
          <w:rFonts w:eastAsia="仿宋_GB2312"/>
          <w:sz w:val="32"/>
          <w:szCs w:val="32"/>
          <w:lang w:val="zh-CN"/>
        </w:rPr>
        <w:t>（项）:支出决算为</w:t>
      </w:r>
      <w:r>
        <w:rPr>
          <w:rFonts w:eastAsia="仿宋_GB2312"/>
          <w:sz w:val="32"/>
          <w:szCs w:val="32"/>
        </w:rPr>
        <w:t>6.96</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12</w:t>
      </w:r>
      <w:r>
        <w:rPr>
          <w:rFonts w:eastAsia="仿宋_GB2312"/>
          <w:sz w:val="32"/>
          <w:szCs w:val="32"/>
          <w:lang w:val="zh-CN"/>
        </w:rPr>
        <w:t>．卫生健康</w:t>
      </w:r>
      <w:r>
        <w:rPr>
          <w:rFonts w:eastAsia="仿宋_GB2312"/>
          <w:sz w:val="32"/>
          <w:szCs w:val="32"/>
        </w:rPr>
        <w:t>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公务员医疗补助</w:t>
      </w:r>
      <w:r>
        <w:rPr>
          <w:rFonts w:eastAsia="仿宋_GB2312"/>
          <w:sz w:val="32"/>
          <w:szCs w:val="32"/>
          <w:lang w:val="zh-CN"/>
        </w:rPr>
        <w:t>（项）:支出决算为</w:t>
      </w:r>
      <w:r>
        <w:rPr>
          <w:rFonts w:eastAsia="仿宋_GB2312"/>
          <w:sz w:val="32"/>
          <w:szCs w:val="32"/>
        </w:rPr>
        <w:t>18.04</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13</w:t>
      </w:r>
      <w:r>
        <w:rPr>
          <w:rFonts w:eastAsia="仿宋_GB2312"/>
          <w:sz w:val="32"/>
          <w:szCs w:val="32"/>
          <w:lang w:val="zh-CN"/>
        </w:rPr>
        <w:t>．卫生健康</w:t>
      </w:r>
      <w:r>
        <w:rPr>
          <w:rFonts w:eastAsia="仿宋_GB2312"/>
          <w:sz w:val="32"/>
          <w:szCs w:val="32"/>
        </w:rPr>
        <w:t>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其他行政事业单位医疗支出</w:t>
      </w:r>
      <w:r>
        <w:rPr>
          <w:rFonts w:eastAsia="仿宋_GB2312"/>
          <w:sz w:val="32"/>
          <w:szCs w:val="32"/>
          <w:lang w:val="zh-CN"/>
        </w:rPr>
        <w:t>（项）:支出决算为</w:t>
      </w:r>
      <w:r>
        <w:rPr>
          <w:rFonts w:eastAsia="仿宋_GB2312"/>
          <w:sz w:val="32"/>
          <w:szCs w:val="32"/>
        </w:rPr>
        <w:t>3.43</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14</w:t>
      </w:r>
      <w:r>
        <w:rPr>
          <w:rFonts w:eastAsia="仿宋_GB2312"/>
          <w:sz w:val="32"/>
          <w:szCs w:val="32"/>
          <w:lang w:val="zh-CN"/>
        </w:rPr>
        <w:t>．</w:t>
      </w:r>
      <w:r>
        <w:rPr>
          <w:rFonts w:eastAsia="仿宋_GB2312"/>
          <w:sz w:val="32"/>
          <w:szCs w:val="32"/>
        </w:rPr>
        <w:t>住房保障支出</w:t>
      </w:r>
      <w:r>
        <w:rPr>
          <w:rFonts w:eastAsia="仿宋_GB2312"/>
          <w:sz w:val="32"/>
          <w:szCs w:val="32"/>
          <w:lang w:val="zh-CN"/>
        </w:rPr>
        <w:t>（类）</w:t>
      </w:r>
      <w:r>
        <w:rPr>
          <w:rFonts w:eastAsia="仿宋_GB2312"/>
          <w:sz w:val="32"/>
          <w:szCs w:val="32"/>
        </w:rPr>
        <w:t>住房改革支出</w:t>
      </w:r>
      <w:r>
        <w:rPr>
          <w:rFonts w:eastAsia="仿宋_GB2312"/>
          <w:sz w:val="32"/>
          <w:szCs w:val="32"/>
          <w:lang w:val="zh-CN"/>
        </w:rPr>
        <w:t>（款）</w:t>
      </w:r>
      <w:r>
        <w:rPr>
          <w:rFonts w:eastAsia="仿宋_GB2312"/>
          <w:sz w:val="32"/>
          <w:szCs w:val="32"/>
        </w:rPr>
        <w:t>住房公积金</w:t>
      </w:r>
      <w:r>
        <w:rPr>
          <w:rFonts w:eastAsia="仿宋_GB2312"/>
          <w:sz w:val="32"/>
          <w:szCs w:val="32"/>
          <w:lang w:val="zh-CN"/>
        </w:rPr>
        <w:t>（项）:支出决算为</w:t>
      </w:r>
      <w:r>
        <w:rPr>
          <w:rFonts w:eastAsia="仿宋_GB2312"/>
          <w:sz w:val="32"/>
          <w:szCs w:val="32"/>
        </w:rPr>
        <w:t>58.7</w:t>
      </w:r>
      <w:r>
        <w:rPr>
          <w:rFonts w:eastAsia="仿宋_GB2312"/>
          <w:sz w:val="32"/>
          <w:szCs w:val="32"/>
          <w:lang w:val="zh-CN"/>
        </w:rPr>
        <w:t>万元，完成预算</w:t>
      </w:r>
      <w:r>
        <w:rPr>
          <w:rFonts w:eastAsia="仿宋_GB2312"/>
          <w:sz w:val="32"/>
          <w:szCs w:val="32"/>
        </w:rPr>
        <w:t>100</w:t>
      </w:r>
      <w:r>
        <w:rPr>
          <w:rFonts w:eastAsia="仿宋_GB2312"/>
          <w:sz w:val="32"/>
          <w:szCs w:val="32"/>
          <w:lang w:val="zh-CN"/>
        </w:rPr>
        <w:t>%。</w:t>
      </w:r>
    </w:p>
    <w:p>
      <w:pPr>
        <w:pStyle w:val="29"/>
        <w:spacing w:line="560" w:lineRule="exact"/>
        <w:ind w:firstLine="640"/>
        <w:outlineLvl w:val="1"/>
        <w:rPr>
          <w:rStyle w:val="31"/>
          <w:rFonts w:ascii="Times New Roman" w:hAnsi="Times New Roman" w:eastAsia="黑体" w:cs="Times New Roman"/>
          <w:b w:val="0"/>
          <w:lang w:val="zh-CN"/>
        </w:rPr>
      </w:pPr>
      <w:bookmarkStart w:id="43" w:name="_Toc15396608"/>
      <w:bookmarkStart w:id="44" w:name="_Toc15377214"/>
      <w:bookmarkStart w:id="45" w:name="_Toc15168"/>
      <w:r>
        <w:rPr>
          <w:rStyle w:val="31"/>
          <w:rFonts w:ascii="Times New Roman" w:hAnsi="Times New Roman" w:eastAsia="黑体" w:cs="Times New Roman"/>
          <w:b w:val="0"/>
          <w:lang w:val="zh-CN"/>
        </w:rPr>
        <w:t>六、一般公共预算财政拨款基本支出决算情况说明</w:t>
      </w:r>
      <w:bookmarkEnd w:id="43"/>
      <w:bookmarkEnd w:id="44"/>
      <w:bookmarkEnd w:id="45"/>
    </w:p>
    <w:p>
      <w:pPr>
        <w:overflowPunct w:val="0"/>
        <w:spacing w:line="560" w:lineRule="exact"/>
        <w:ind w:firstLine="640" w:firstLineChars="200"/>
        <w:rPr>
          <w:rFonts w:eastAsia="仿宋_GB2312"/>
          <w:sz w:val="32"/>
          <w:szCs w:val="32"/>
          <w:lang w:val="zh-CN"/>
        </w:rPr>
      </w:pPr>
      <w:r>
        <w:rPr>
          <w:rFonts w:eastAsia="仿宋_GB2312"/>
          <w:sz w:val="32"/>
          <w:szCs w:val="32"/>
          <w:lang w:val="zh-CN"/>
        </w:rPr>
        <w:t>2022年一般公共预算财政拨款基本支出807.94万元，其中：</w:t>
      </w:r>
    </w:p>
    <w:p>
      <w:pPr>
        <w:overflowPunct w:val="0"/>
        <w:spacing w:line="560" w:lineRule="exact"/>
        <w:ind w:firstLine="640" w:firstLineChars="200"/>
        <w:rPr>
          <w:rFonts w:eastAsia="仿宋_GB2312"/>
          <w:sz w:val="32"/>
          <w:szCs w:val="32"/>
          <w:lang w:val="zh-CN"/>
        </w:rPr>
      </w:pPr>
      <w:r>
        <w:rPr>
          <w:rFonts w:eastAsia="仿宋_GB2312"/>
          <w:sz w:val="32"/>
          <w:szCs w:val="32"/>
          <w:lang w:val="zh-CN"/>
        </w:rPr>
        <w:t>人员经费751.66万元，主要包括：</w:t>
      </w:r>
      <w:r>
        <w:rPr>
          <w:rFonts w:eastAsia="仿宋_GB2312"/>
          <w:sz w:val="32"/>
          <w:szCs w:val="32"/>
        </w:rPr>
        <w:t>基本工资、津贴补贴、奖金、绩效工资、机关事业单位基本养老保险缴费、职业年金缴费、职工基本医疗保险缴费、公务员医疗补助缴费、其他社会保障缴费、住房公积金、医疗费、其他工资福利支出、抚恤金、生活补助、医疗费补助、奖励金</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lang w:val="zh-CN"/>
        </w:rPr>
        <w:t>公用经费56.28万元，主要包括：</w:t>
      </w:r>
      <w:r>
        <w:rPr>
          <w:rFonts w:eastAsia="仿宋_GB2312"/>
          <w:sz w:val="32"/>
          <w:szCs w:val="32"/>
        </w:rPr>
        <w:t>办公费、邮电费、差旅费、维修（护）费、会议费、培训费、公务接待费、工会经费、福利费、其他交通费、其他商品和服务支出</w:t>
      </w:r>
      <w:r>
        <w:rPr>
          <w:rFonts w:eastAsia="仿宋_GB2312"/>
          <w:sz w:val="32"/>
          <w:szCs w:val="32"/>
          <w:lang w:val="zh-CN"/>
        </w:rPr>
        <w:t>。</w:t>
      </w:r>
      <w:bookmarkStart w:id="46" w:name="_Toc15377215"/>
      <w:bookmarkStart w:id="47" w:name="_Toc15396609"/>
    </w:p>
    <w:p>
      <w:pPr>
        <w:pStyle w:val="29"/>
        <w:spacing w:line="560" w:lineRule="exact"/>
        <w:ind w:firstLine="640"/>
        <w:outlineLvl w:val="1"/>
        <w:rPr>
          <w:rStyle w:val="31"/>
          <w:rFonts w:ascii="Times New Roman" w:hAnsi="Times New Roman" w:eastAsia="黑体" w:cs="Times New Roman"/>
          <w:b w:val="0"/>
          <w:lang w:val="zh-CN"/>
        </w:rPr>
      </w:pPr>
      <w:bookmarkStart w:id="48" w:name="_Toc23589"/>
      <w:r>
        <w:rPr>
          <w:rStyle w:val="31"/>
          <w:rFonts w:ascii="Times New Roman" w:hAnsi="Times New Roman" w:eastAsia="黑体" w:cs="Times New Roman"/>
          <w:b w:val="0"/>
          <w:lang w:val="zh-CN"/>
        </w:rPr>
        <w:t>七、财政拨款“三公”经费支出决算情况说明</w:t>
      </w:r>
      <w:bookmarkEnd w:id="46"/>
      <w:bookmarkEnd w:id="47"/>
      <w:bookmarkEnd w:id="48"/>
    </w:p>
    <w:p>
      <w:pPr>
        <w:overflowPunct w:val="0"/>
        <w:spacing w:line="560" w:lineRule="exact"/>
        <w:ind w:firstLine="640" w:firstLineChars="200"/>
        <w:outlineLvl w:val="2"/>
        <w:rPr>
          <w:rFonts w:eastAsia="楷体_GB2312"/>
          <w:color w:val="000000" w:themeColor="text1"/>
          <w:sz w:val="32"/>
          <w:szCs w:val="32"/>
          <w:lang w:val="zh-CN"/>
        </w:rPr>
      </w:pPr>
      <w:bookmarkStart w:id="49" w:name="_Toc15377216"/>
      <w:r>
        <w:rPr>
          <w:rFonts w:eastAsia="楷体_GB2312"/>
          <w:color w:val="000000" w:themeColor="text1"/>
          <w:sz w:val="32"/>
          <w:szCs w:val="32"/>
          <w:lang w:val="zh-CN"/>
        </w:rPr>
        <w:t>（一）“三公”经费财政拨款支出决算总体情况说明</w:t>
      </w:r>
      <w:bookmarkEnd w:id="49"/>
    </w:p>
    <w:p>
      <w:pPr>
        <w:overflowPunct w:val="0"/>
        <w:spacing w:line="560" w:lineRule="exact"/>
        <w:ind w:firstLine="640" w:firstLineChars="200"/>
        <w:rPr>
          <w:rFonts w:eastAsia="仿宋_GB2312"/>
          <w:sz w:val="32"/>
          <w:szCs w:val="32"/>
        </w:rPr>
      </w:pPr>
      <w:r>
        <w:rPr>
          <w:rFonts w:eastAsia="仿宋_GB2312"/>
          <w:sz w:val="32"/>
          <w:szCs w:val="32"/>
          <w:lang w:val="zh-CN"/>
        </w:rPr>
        <w:t>2022年“三公”经费财政拨款支出决算为0.18万元，完成预算100%。</w:t>
      </w:r>
    </w:p>
    <w:p>
      <w:pPr>
        <w:overflowPunct w:val="0"/>
        <w:spacing w:line="560" w:lineRule="exact"/>
        <w:ind w:firstLine="640" w:firstLineChars="200"/>
        <w:outlineLvl w:val="2"/>
        <w:rPr>
          <w:rFonts w:eastAsia="楷体_GB2312"/>
          <w:color w:val="000000" w:themeColor="text1"/>
          <w:sz w:val="32"/>
          <w:szCs w:val="32"/>
          <w:lang w:val="zh-CN"/>
        </w:rPr>
      </w:pPr>
      <w:bookmarkStart w:id="50" w:name="_Toc15377217"/>
      <w:r>
        <w:rPr>
          <w:rFonts w:eastAsia="楷体_GB2312"/>
          <w:color w:val="000000" w:themeColor="text1"/>
          <w:sz w:val="32"/>
          <w:szCs w:val="32"/>
          <w:lang w:val="zh-CN"/>
        </w:rPr>
        <w:t>（二）“三公”经费财政拨款支出决算具体情况说明</w:t>
      </w:r>
      <w:bookmarkEnd w:id="50"/>
    </w:p>
    <w:p>
      <w:pPr>
        <w:overflowPunct w:val="0"/>
        <w:spacing w:line="560" w:lineRule="exact"/>
        <w:ind w:firstLine="640" w:firstLineChars="200"/>
        <w:rPr>
          <w:rFonts w:eastAsia="仿宋_GB2312"/>
          <w:sz w:val="32"/>
          <w:szCs w:val="32"/>
          <w:lang w:val="zh-CN"/>
        </w:rPr>
      </w:pPr>
      <w:r>
        <w:rPr>
          <w:rFonts w:eastAsia="仿宋_GB2312"/>
          <w:sz w:val="32"/>
          <w:szCs w:val="32"/>
          <w:lang w:val="zh-CN"/>
        </w:rPr>
        <w:t>2022年“三公”经费财政拨款支出决算中，因公出国（境）费支出决算0万元，占0%；公务用车购置及运行维护费支出决算0万元，占0%；公务接待费支出决算0.18万元，占100%。具体情况如下：</w:t>
      </w:r>
    </w:p>
    <w:p>
      <w:pPr>
        <w:overflowPunct w:val="0"/>
        <w:spacing w:line="560" w:lineRule="exact"/>
        <w:jc w:val="center"/>
        <w:rPr>
          <w:rFonts w:eastAsia="仿宋_GB2312"/>
          <w:sz w:val="32"/>
          <w:szCs w:val="32"/>
          <w:lang w:val="zh-CN"/>
        </w:rPr>
      </w:pPr>
      <w:r>
        <w:rPr>
          <w:rFonts w:eastAsia="仿宋_GB2312"/>
          <w:sz w:val="32"/>
          <w:szCs w:val="32"/>
          <w:lang w:val="zh-CN"/>
        </w:rPr>
        <w:t>（图7：“三公”经费财政拨款支出结构）</w:t>
      </w:r>
    </w:p>
    <w:p>
      <w:pPr>
        <w:pStyle w:val="5"/>
        <w:ind w:firstLine="0" w:firstLineChars="0"/>
        <w:jc w:val="center"/>
        <w:rPr>
          <w:rFonts w:eastAsia="仿宋"/>
          <w:sz w:val="32"/>
          <w:szCs w:val="32"/>
        </w:rPr>
      </w:pPr>
      <w:r>
        <w:drawing>
          <wp:inline distT="0" distB="0" distL="114300" distR="114300">
            <wp:extent cx="5034915" cy="3003550"/>
            <wp:effectExtent l="4445" t="4445" r="8890" b="20955"/>
            <wp:docPr id="1840"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overflowPunct w:val="0"/>
        <w:spacing w:line="560" w:lineRule="exact"/>
        <w:ind w:firstLine="640" w:firstLineChars="200"/>
        <w:rPr>
          <w:rFonts w:eastAsia="仿宋_GB2312"/>
          <w:sz w:val="32"/>
          <w:szCs w:val="32"/>
          <w:lang w:val="zh-CN"/>
        </w:rPr>
      </w:pPr>
      <w:r>
        <w:rPr>
          <w:rFonts w:eastAsia="仿宋_GB2312"/>
          <w:sz w:val="32"/>
          <w:szCs w:val="32"/>
          <w:lang w:val="zh-CN"/>
        </w:rPr>
        <w:t>1．因公出国（境）经费支出0万元，完成预算0%。全年安排因公出国（境）团组0个，出国（境）0人，</w:t>
      </w:r>
      <w:r>
        <w:rPr>
          <w:rFonts w:eastAsia="仿宋_GB2312"/>
          <w:sz w:val="32"/>
          <w:szCs w:val="32"/>
        </w:rPr>
        <w:t>与2021年持平</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lang w:val="zh-CN"/>
        </w:rPr>
        <w:t>2．公务用车购置及运行维护费支出</w:t>
      </w:r>
      <w:r>
        <w:rPr>
          <w:rFonts w:eastAsia="仿宋_GB2312"/>
          <w:sz w:val="32"/>
          <w:szCs w:val="32"/>
        </w:rPr>
        <w:t>0</w:t>
      </w:r>
      <w:r>
        <w:rPr>
          <w:rFonts w:eastAsia="仿宋_GB2312"/>
          <w:sz w:val="32"/>
          <w:szCs w:val="32"/>
          <w:lang w:val="zh-CN"/>
        </w:rPr>
        <w:t>万元，</w:t>
      </w:r>
      <w:r>
        <w:rPr>
          <w:rFonts w:eastAsia="仿宋_GB2312"/>
          <w:sz w:val="32"/>
          <w:szCs w:val="32"/>
        </w:rPr>
        <w:t>与2021年持平</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lang w:val="zh-CN"/>
        </w:rPr>
        <w:t>3．公务接待费支出</w:t>
      </w:r>
      <w:r>
        <w:rPr>
          <w:rFonts w:eastAsia="仿宋_GB2312"/>
          <w:sz w:val="32"/>
          <w:szCs w:val="32"/>
        </w:rPr>
        <w:t>0.18</w:t>
      </w:r>
      <w:r>
        <w:rPr>
          <w:rFonts w:eastAsia="仿宋_GB2312"/>
          <w:sz w:val="32"/>
          <w:szCs w:val="32"/>
          <w:lang w:val="zh-CN"/>
        </w:rPr>
        <w:t>万元，完成预算</w:t>
      </w:r>
      <w:r>
        <w:rPr>
          <w:rFonts w:eastAsia="仿宋_GB2312"/>
          <w:sz w:val="32"/>
          <w:szCs w:val="32"/>
        </w:rPr>
        <w:t>100</w:t>
      </w:r>
      <w:r>
        <w:rPr>
          <w:rFonts w:eastAsia="仿宋_GB2312"/>
          <w:sz w:val="32"/>
          <w:szCs w:val="32"/>
          <w:lang w:val="zh-CN"/>
        </w:rPr>
        <w:t>%。公务接待费支出决算比2021年增加</w:t>
      </w:r>
      <w:r>
        <w:rPr>
          <w:rFonts w:eastAsia="仿宋_GB2312"/>
          <w:sz w:val="32"/>
          <w:szCs w:val="32"/>
        </w:rPr>
        <w:t>0.11</w:t>
      </w:r>
      <w:r>
        <w:rPr>
          <w:rFonts w:eastAsia="仿宋_GB2312"/>
          <w:sz w:val="32"/>
          <w:szCs w:val="32"/>
          <w:lang w:val="zh-CN"/>
        </w:rPr>
        <w:t>万元，增长</w:t>
      </w:r>
      <w:r>
        <w:rPr>
          <w:rFonts w:eastAsia="仿宋_GB2312"/>
          <w:sz w:val="32"/>
          <w:szCs w:val="32"/>
        </w:rPr>
        <w:t>157.1</w:t>
      </w:r>
      <w:r>
        <w:rPr>
          <w:rFonts w:eastAsia="仿宋_GB2312"/>
          <w:sz w:val="32"/>
          <w:szCs w:val="32"/>
          <w:lang w:val="zh-CN"/>
        </w:rPr>
        <w:t>%。主要原因是</w:t>
      </w:r>
      <w:r>
        <w:rPr>
          <w:rFonts w:hint="eastAsia" w:eastAsia="仿宋_GB2312"/>
          <w:sz w:val="32"/>
          <w:szCs w:val="32"/>
        </w:rPr>
        <w:t>本年度较上年增加了1次友邻县来盐调研</w:t>
      </w:r>
      <w:r>
        <w:rPr>
          <w:rFonts w:eastAsia="仿宋_GB2312"/>
          <w:sz w:val="32"/>
          <w:szCs w:val="32"/>
          <w:lang w:val="zh-CN"/>
        </w:rPr>
        <w:t>。其中：</w:t>
      </w:r>
    </w:p>
    <w:p>
      <w:pPr>
        <w:widowControl/>
        <w:ind w:firstLine="640" w:firstLineChars="200"/>
        <w:jc w:val="left"/>
        <w:rPr>
          <w:rFonts w:eastAsia="仿宋_GB2312"/>
          <w:sz w:val="32"/>
          <w:szCs w:val="32"/>
          <w:highlight w:val="yellow"/>
        </w:rPr>
      </w:pPr>
      <w:bookmarkStart w:id="51" w:name="_Toc15377218"/>
      <w:bookmarkStart w:id="52" w:name="_Toc15396610"/>
      <w:r>
        <w:rPr>
          <w:rFonts w:eastAsia="仿宋_GB2312"/>
          <w:sz w:val="32"/>
          <w:szCs w:val="32"/>
          <w:lang w:val="zh-CN"/>
        </w:rPr>
        <w:t>国内公务接待2批次，</w:t>
      </w:r>
      <w:r>
        <w:rPr>
          <w:rFonts w:hint="eastAsia" w:eastAsia="仿宋_GB2312"/>
          <w:sz w:val="32"/>
          <w:szCs w:val="32"/>
        </w:rPr>
        <w:t>19</w:t>
      </w:r>
      <w:r>
        <w:rPr>
          <w:rFonts w:eastAsia="仿宋_GB2312"/>
          <w:sz w:val="32"/>
          <w:szCs w:val="32"/>
          <w:lang w:val="zh-CN"/>
        </w:rPr>
        <w:t>人次</w:t>
      </w:r>
      <w:r>
        <w:rPr>
          <w:rFonts w:hint="eastAsia" w:eastAsia="仿宋_GB2312"/>
          <w:sz w:val="32"/>
          <w:szCs w:val="32"/>
        </w:rPr>
        <w:t>（不包括陪同人员）</w:t>
      </w:r>
      <w:r>
        <w:rPr>
          <w:rFonts w:eastAsia="仿宋_GB2312"/>
          <w:sz w:val="32"/>
          <w:szCs w:val="32"/>
          <w:lang w:val="zh-CN"/>
        </w:rPr>
        <w:t>，共计支出0.18万元，主要用于</w:t>
      </w:r>
      <w:r>
        <w:rPr>
          <w:rFonts w:eastAsia="仿宋_GB2312"/>
          <w:sz w:val="32"/>
          <w:szCs w:val="32"/>
        </w:rPr>
        <w:t>执行公务、开展业务活动开支的交通费、住宿费、用餐费等。</w:t>
      </w:r>
      <w:r>
        <w:rPr>
          <w:rFonts w:hint="eastAsia" w:eastAsia="仿宋_GB2312"/>
          <w:sz w:val="32"/>
          <w:szCs w:val="32"/>
        </w:rPr>
        <w:t>具体内容包括：市政府办来盐调研、华坪县人民政府来盐调研等。</w:t>
      </w:r>
    </w:p>
    <w:p>
      <w:pPr>
        <w:overflowPunct w:val="0"/>
        <w:spacing w:line="560" w:lineRule="exact"/>
        <w:ind w:firstLine="640" w:firstLineChars="200"/>
        <w:rPr>
          <w:rFonts w:eastAsia="仿宋_GB2312"/>
          <w:sz w:val="32"/>
          <w:szCs w:val="32"/>
        </w:rPr>
      </w:pPr>
      <w:r>
        <w:rPr>
          <w:rFonts w:eastAsia="仿宋_GB2312"/>
          <w:sz w:val="32"/>
          <w:szCs w:val="32"/>
          <w:lang w:val="zh-CN"/>
        </w:rPr>
        <w:t>外事接待支出</w:t>
      </w:r>
      <w:r>
        <w:rPr>
          <w:rFonts w:eastAsia="仿宋_GB2312"/>
          <w:sz w:val="32"/>
          <w:szCs w:val="32"/>
        </w:rPr>
        <w:t>0</w:t>
      </w:r>
      <w:r>
        <w:rPr>
          <w:rFonts w:eastAsia="仿宋_GB2312"/>
          <w:sz w:val="32"/>
          <w:szCs w:val="32"/>
          <w:lang w:val="zh-CN"/>
        </w:rPr>
        <w:t>万元</w:t>
      </w:r>
      <w:r>
        <w:rPr>
          <w:rFonts w:eastAsia="仿宋_GB2312"/>
          <w:sz w:val="32"/>
          <w:szCs w:val="32"/>
        </w:rPr>
        <w:t>，与2021年持平</w:t>
      </w:r>
      <w:r>
        <w:rPr>
          <w:rFonts w:eastAsia="仿宋_GB2312"/>
          <w:sz w:val="32"/>
          <w:szCs w:val="32"/>
          <w:lang w:val="zh-CN"/>
        </w:rPr>
        <w:t>。</w:t>
      </w:r>
    </w:p>
    <w:p>
      <w:pPr>
        <w:pStyle w:val="29"/>
        <w:spacing w:line="560" w:lineRule="exact"/>
        <w:ind w:firstLine="640"/>
        <w:outlineLvl w:val="1"/>
        <w:rPr>
          <w:rStyle w:val="31"/>
          <w:rFonts w:ascii="Times New Roman" w:hAnsi="Times New Roman" w:eastAsia="黑体" w:cs="Times New Roman"/>
          <w:b w:val="0"/>
          <w:lang w:val="zh-CN"/>
        </w:rPr>
      </w:pPr>
      <w:bookmarkStart w:id="53" w:name="_Toc18136"/>
      <w:r>
        <w:rPr>
          <w:rStyle w:val="31"/>
          <w:rFonts w:ascii="Times New Roman" w:hAnsi="Times New Roman" w:eastAsia="黑体" w:cs="Times New Roman"/>
          <w:b w:val="0"/>
          <w:lang w:val="zh-CN"/>
        </w:rPr>
        <w:t>八、政府性基金预算支出决算情况说明</w:t>
      </w:r>
      <w:bookmarkEnd w:id="51"/>
      <w:bookmarkEnd w:id="52"/>
      <w:bookmarkEnd w:id="53"/>
    </w:p>
    <w:p>
      <w:pPr>
        <w:overflowPunct w:val="0"/>
        <w:spacing w:line="560" w:lineRule="exact"/>
        <w:ind w:firstLine="640" w:firstLineChars="200"/>
        <w:rPr>
          <w:rFonts w:eastAsia="仿宋_GB2312"/>
          <w:sz w:val="32"/>
          <w:szCs w:val="32"/>
          <w:lang w:val="zh-CN"/>
        </w:rPr>
      </w:pPr>
      <w:r>
        <w:rPr>
          <w:rFonts w:eastAsia="仿宋_GB2312"/>
          <w:sz w:val="32"/>
          <w:szCs w:val="32"/>
          <w:lang w:val="zh-CN"/>
        </w:rPr>
        <w:t>2022年政府性基金预算财政拨款支出</w:t>
      </w:r>
      <w:r>
        <w:rPr>
          <w:rFonts w:eastAsia="仿宋_GB2312"/>
          <w:sz w:val="32"/>
          <w:szCs w:val="32"/>
        </w:rPr>
        <w:t>0</w:t>
      </w:r>
      <w:r>
        <w:rPr>
          <w:rFonts w:eastAsia="仿宋_GB2312"/>
          <w:sz w:val="32"/>
          <w:szCs w:val="32"/>
          <w:lang w:val="zh-CN"/>
        </w:rPr>
        <w:t>万元。</w:t>
      </w:r>
    </w:p>
    <w:p>
      <w:pPr>
        <w:pStyle w:val="29"/>
        <w:spacing w:line="560" w:lineRule="exact"/>
        <w:ind w:firstLine="640"/>
        <w:outlineLvl w:val="1"/>
        <w:rPr>
          <w:rStyle w:val="31"/>
          <w:rFonts w:ascii="Times New Roman" w:hAnsi="Times New Roman" w:eastAsia="黑体" w:cs="Times New Roman"/>
          <w:b w:val="0"/>
          <w:lang w:val="zh-CN"/>
        </w:rPr>
      </w:pPr>
      <w:bookmarkStart w:id="54" w:name="_Toc12553"/>
      <w:bookmarkStart w:id="55" w:name="_Toc15377219"/>
      <w:bookmarkStart w:id="56" w:name="_Toc15396611"/>
      <w:r>
        <w:rPr>
          <w:rStyle w:val="31"/>
          <w:rFonts w:ascii="Times New Roman" w:hAnsi="Times New Roman" w:eastAsia="黑体" w:cs="Times New Roman"/>
          <w:b w:val="0"/>
        </w:rPr>
        <w:t>九、</w:t>
      </w:r>
      <w:r>
        <w:rPr>
          <w:rStyle w:val="31"/>
          <w:rFonts w:ascii="Times New Roman" w:hAnsi="Times New Roman" w:eastAsia="黑体" w:cs="Times New Roman"/>
          <w:b w:val="0"/>
          <w:lang w:val="zh-CN"/>
        </w:rPr>
        <w:t>国有资本经营预算支出决算情况说明</w:t>
      </w:r>
      <w:bookmarkEnd w:id="54"/>
      <w:bookmarkEnd w:id="55"/>
      <w:bookmarkEnd w:id="56"/>
    </w:p>
    <w:p>
      <w:pPr>
        <w:overflowPunct w:val="0"/>
        <w:spacing w:line="560" w:lineRule="exact"/>
        <w:ind w:firstLine="640" w:firstLineChars="200"/>
        <w:rPr>
          <w:rFonts w:eastAsia="仿宋_GB2312"/>
          <w:sz w:val="32"/>
          <w:szCs w:val="32"/>
          <w:lang w:val="zh-CN"/>
        </w:rPr>
      </w:pPr>
      <w:r>
        <w:rPr>
          <w:rFonts w:eastAsia="仿宋_GB2312"/>
          <w:sz w:val="32"/>
          <w:szCs w:val="32"/>
          <w:lang w:val="zh-CN"/>
        </w:rPr>
        <w:t>2022年国有资本经营预算财政拨款支出</w:t>
      </w:r>
      <w:r>
        <w:rPr>
          <w:rFonts w:eastAsia="仿宋_GB2312"/>
          <w:sz w:val="32"/>
          <w:szCs w:val="32"/>
        </w:rPr>
        <w:t>0</w:t>
      </w:r>
      <w:r>
        <w:rPr>
          <w:rFonts w:eastAsia="仿宋_GB2312"/>
          <w:sz w:val="32"/>
          <w:szCs w:val="32"/>
          <w:lang w:val="zh-CN"/>
        </w:rPr>
        <w:t>万元。</w:t>
      </w:r>
    </w:p>
    <w:p>
      <w:pPr>
        <w:pStyle w:val="29"/>
        <w:spacing w:line="560" w:lineRule="exact"/>
        <w:ind w:firstLine="640"/>
        <w:outlineLvl w:val="1"/>
        <w:rPr>
          <w:rStyle w:val="31"/>
          <w:rFonts w:ascii="Times New Roman" w:hAnsi="Times New Roman" w:eastAsia="黑体" w:cs="Times New Roman"/>
          <w:b w:val="0"/>
          <w:lang w:val="zh-CN"/>
        </w:rPr>
      </w:pPr>
      <w:bookmarkStart w:id="57" w:name="_Toc31816"/>
      <w:bookmarkStart w:id="58" w:name="_Toc15377221"/>
      <w:bookmarkStart w:id="59" w:name="_Toc15396612"/>
      <w:r>
        <w:rPr>
          <w:rStyle w:val="31"/>
          <w:rFonts w:ascii="Times New Roman" w:hAnsi="Times New Roman" w:eastAsia="黑体" w:cs="Times New Roman"/>
          <w:b w:val="0"/>
        </w:rPr>
        <w:t>十、</w:t>
      </w:r>
      <w:r>
        <w:rPr>
          <w:rStyle w:val="31"/>
          <w:rFonts w:ascii="Times New Roman" w:hAnsi="Times New Roman" w:eastAsia="黑体" w:cs="Times New Roman"/>
          <w:b w:val="0"/>
          <w:lang w:val="zh-CN"/>
        </w:rPr>
        <w:t>其他重要事项的情况说明</w:t>
      </w:r>
      <w:bookmarkEnd w:id="57"/>
      <w:bookmarkEnd w:id="58"/>
      <w:bookmarkEnd w:id="59"/>
    </w:p>
    <w:p>
      <w:pPr>
        <w:overflowPunct w:val="0"/>
        <w:spacing w:line="560" w:lineRule="exact"/>
        <w:ind w:firstLine="640" w:firstLineChars="200"/>
        <w:outlineLvl w:val="2"/>
        <w:rPr>
          <w:rFonts w:eastAsia="楷体_GB2312"/>
          <w:color w:val="000000" w:themeColor="text1"/>
          <w:sz w:val="32"/>
          <w:szCs w:val="32"/>
          <w:lang w:val="zh-CN"/>
        </w:rPr>
      </w:pPr>
      <w:bookmarkStart w:id="60" w:name="_Toc15377222"/>
      <w:r>
        <w:rPr>
          <w:rFonts w:eastAsia="楷体_GB2312"/>
          <w:color w:val="000000" w:themeColor="text1"/>
          <w:sz w:val="32"/>
          <w:szCs w:val="32"/>
          <w:lang w:val="zh-CN"/>
        </w:rPr>
        <w:t>（一）机关运行经费支出情况</w:t>
      </w:r>
      <w:bookmarkEnd w:id="60"/>
    </w:p>
    <w:p>
      <w:pPr>
        <w:overflowPunct w:val="0"/>
        <w:spacing w:line="560" w:lineRule="exact"/>
        <w:ind w:firstLine="640" w:firstLineChars="200"/>
        <w:rPr>
          <w:rFonts w:eastAsia="仿宋_GB2312"/>
          <w:sz w:val="32"/>
          <w:szCs w:val="32"/>
          <w:lang w:val="zh-CN"/>
        </w:rPr>
      </w:pPr>
      <w:r>
        <w:rPr>
          <w:rFonts w:eastAsia="仿宋_GB2312"/>
          <w:sz w:val="32"/>
          <w:szCs w:val="32"/>
          <w:lang w:val="zh-CN"/>
        </w:rPr>
        <w:t>2022年，盐边县人民政府办公室机关运行经费支出56.28万元，比2021年增加1.82万元，增长3.3%。主要原因是</w:t>
      </w:r>
      <w:r>
        <w:rPr>
          <w:rFonts w:eastAsia="仿宋_GB2312"/>
          <w:sz w:val="32"/>
          <w:szCs w:val="32"/>
        </w:rPr>
        <w:t>2022年在人员</w:t>
      </w:r>
      <w:r>
        <w:rPr>
          <w:rFonts w:hint="eastAsia" w:eastAsia="仿宋_GB2312"/>
          <w:sz w:val="32"/>
          <w:szCs w:val="32"/>
        </w:rPr>
        <w:t>较上年增加5人，机关运行经费随之增加</w:t>
      </w:r>
      <w:r>
        <w:rPr>
          <w:rFonts w:eastAsia="仿宋_GB2312"/>
          <w:sz w:val="32"/>
          <w:szCs w:val="32"/>
        </w:rPr>
        <w:t>。</w:t>
      </w:r>
    </w:p>
    <w:p>
      <w:pPr>
        <w:overflowPunct w:val="0"/>
        <w:spacing w:line="560" w:lineRule="exact"/>
        <w:ind w:firstLine="640" w:firstLineChars="200"/>
        <w:outlineLvl w:val="2"/>
        <w:rPr>
          <w:rFonts w:eastAsia="楷体_GB2312"/>
          <w:color w:val="000000" w:themeColor="text1"/>
          <w:sz w:val="32"/>
          <w:szCs w:val="32"/>
          <w:lang w:val="zh-CN"/>
        </w:rPr>
      </w:pPr>
      <w:bookmarkStart w:id="61" w:name="_Toc15377223"/>
      <w:r>
        <w:rPr>
          <w:rFonts w:eastAsia="楷体_GB2312"/>
          <w:color w:val="000000" w:themeColor="text1"/>
          <w:sz w:val="32"/>
          <w:szCs w:val="32"/>
          <w:lang w:val="zh-CN"/>
        </w:rPr>
        <w:t>（二）政府采购支出情况</w:t>
      </w:r>
      <w:bookmarkEnd w:id="61"/>
    </w:p>
    <w:p>
      <w:pPr>
        <w:overflowPunct w:val="0"/>
        <w:spacing w:line="560" w:lineRule="exact"/>
        <w:ind w:firstLine="640" w:firstLineChars="200"/>
        <w:rPr>
          <w:rFonts w:eastAsia="仿宋_GB2312"/>
          <w:sz w:val="32"/>
          <w:szCs w:val="32"/>
          <w:lang w:val="zh-CN"/>
        </w:rPr>
      </w:pPr>
      <w:r>
        <w:rPr>
          <w:rFonts w:eastAsia="仿宋_GB2312"/>
          <w:sz w:val="32"/>
          <w:szCs w:val="32"/>
          <w:lang w:val="zh-CN"/>
        </w:rPr>
        <w:t>2022年，盐边县人民政府办公室政府采购支出总额0万元，其中：政府采购货物支出0万元、政府采购工程支出0万元、政府采购服务支出0万元。授予中小企业合同金额0万元，占政府采购支出总额的0%，其中：授予小微企业合同金额0万元，</w:t>
      </w:r>
      <w:r>
        <w:rPr>
          <w:rFonts w:eastAsia="仿宋_GB2312"/>
          <w:sz w:val="32"/>
          <w:szCs w:val="32"/>
        </w:rPr>
        <w:t>占政府采购支出总额的</w:t>
      </w:r>
      <w:r>
        <w:rPr>
          <w:rFonts w:eastAsia="仿宋_GB2312"/>
          <w:sz w:val="32"/>
          <w:szCs w:val="32"/>
          <w:lang w:val="zh-CN"/>
        </w:rPr>
        <w:t>0%。</w:t>
      </w:r>
    </w:p>
    <w:p>
      <w:pPr>
        <w:overflowPunct w:val="0"/>
        <w:spacing w:line="560" w:lineRule="exact"/>
        <w:ind w:firstLine="640" w:firstLineChars="200"/>
        <w:outlineLvl w:val="2"/>
        <w:rPr>
          <w:rFonts w:eastAsia="楷体_GB2312"/>
          <w:color w:val="000000" w:themeColor="text1"/>
          <w:sz w:val="32"/>
          <w:szCs w:val="32"/>
          <w:lang w:val="zh-CN"/>
        </w:rPr>
      </w:pPr>
      <w:bookmarkStart w:id="62" w:name="_Toc15377224"/>
      <w:r>
        <w:rPr>
          <w:rFonts w:eastAsia="楷体_GB2312"/>
          <w:color w:val="000000" w:themeColor="text1"/>
          <w:sz w:val="32"/>
          <w:szCs w:val="32"/>
          <w:lang w:val="zh-CN"/>
        </w:rPr>
        <w:t>（三）国有资产占有使用情况</w:t>
      </w:r>
      <w:bookmarkEnd w:id="62"/>
    </w:p>
    <w:p>
      <w:pPr>
        <w:overflowPunct w:val="0"/>
        <w:spacing w:line="560" w:lineRule="exact"/>
        <w:ind w:firstLine="640" w:firstLineChars="200"/>
        <w:rPr>
          <w:rFonts w:eastAsia="仿宋_GB2312"/>
          <w:sz w:val="32"/>
          <w:szCs w:val="32"/>
          <w:lang w:val="zh-CN"/>
        </w:rPr>
      </w:pPr>
      <w:r>
        <w:rPr>
          <w:rFonts w:eastAsia="仿宋_GB2312"/>
          <w:sz w:val="32"/>
          <w:szCs w:val="32"/>
          <w:lang w:val="zh-CN"/>
        </w:rPr>
        <w:t>截至2022年12月31日，盐边县人民政府办公室共有车辆0辆，其中：副部（省）级及以上领导用车0辆、主要领导干部用车0辆、机要通信用车0辆、应急保障用车0辆、执法执勤用车0辆、特种专业技术用车0辆、离退休干部用车0辆、其他用车0辆。单价100万元（含）以上设备0台（套)。</w:t>
      </w:r>
    </w:p>
    <w:p>
      <w:pPr>
        <w:overflowPunct w:val="0"/>
        <w:spacing w:line="560" w:lineRule="exact"/>
        <w:ind w:firstLine="640" w:firstLineChars="200"/>
        <w:outlineLvl w:val="2"/>
        <w:rPr>
          <w:rFonts w:eastAsia="楷体_GB2312"/>
          <w:color w:val="000000" w:themeColor="text1"/>
          <w:sz w:val="32"/>
          <w:szCs w:val="32"/>
          <w:lang w:val="zh-CN"/>
        </w:rPr>
      </w:pPr>
      <w:r>
        <w:rPr>
          <w:rFonts w:eastAsia="楷体_GB2312"/>
          <w:color w:val="000000" w:themeColor="text1"/>
          <w:sz w:val="32"/>
          <w:szCs w:val="32"/>
          <w:lang w:val="zh-CN"/>
        </w:rPr>
        <w:t>（四）预算绩效管理情况</w:t>
      </w:r>
    </w:p>
    <w:p>
      <w:pPr>
        <w:overflowPunct w:val="0"/>
        <w:spacing w:line="560" w:lineRule="exact"/>
        <w:ind w:firstLine="640" w:firstLineChars="200"/>
        <w:rPr>
          <w:rFonts w:eastAsia="仿宋_GB2312"/>
          <w:sz w:val="32"/>
          <w:szCs w:val="32"/>
          <w:lang w:val="zh-CN"/>
        </w:rPr>
      </w:pPr>
      <w:r>
        <w:rPr>
          <w:rFonts w:eastAsia="仿宋_GB2312"/>
          <w:sz w:val="32"/>
          <w:szCs w:val="32"/>
          <w:lang w:val="zh-CN"/>
        </w:rPr>
        <w:t>根据预算绩效管理要求，本部门在2022年度预算编制阶段，组织对“县政府网站建设运维经费”项目开展了预算事前绩效评估，对</w:t>
      </w:r>
      <w:r>
        <w:rPr>
          <w:rFonts w:eastAsia="仿宋_GB2312"/>
          <w:sz w:val="32"/>
          <w:szCs w:val="32"/>
        </w:rPr>
        <w:t>4</w:t>
      </w:r>
      <w:r>
        <w:rPr>
          <w:rFonts w:eastAsia="仿宋_GB2312"/>
          <w:sz w:val="32"/>
          <w:szCs w:val="32"/>
          <w:lang w:val="zh-CN"/>
        </w:rPr>
        <w:t>个项目编制了绩效目标，预算执行过程中，</w:t>
      </w:r>
      <w:r>
        <w:rPr>
          <w:rFonts w:hint="eastAsia" w:eastAsia="仿宋_GB2312"/>
          <w:sz w:val="32"/>
          <w:szCs w:val="32"/>
        </w:rPr>
        <w:t>全覆盖</w:t>
      </w:r>
      <w:r>
        <w:rPr>
          <w:rFonts w:eastAsia="仿宋_GB2312"/>
          <w:sz w:val="32"/>
          <w:szCs w:val="32"/>
          <w:lang w:val="zh-CN"/>
        </w:rPr>
        <w:t>开展绩效监控。</w:t>
      </w:r>
    </w:p>
    <w:p>
      <w:pPr>
        <w:overflowPunct w:val="0"/>
        <w:spacing w:line="560" w:lineRule="exact"/>
        <w:ind w:firstLine="640" w:firstLineChars="200"/>
        <w:rPr>
          <w:rFonts w:eastAsia="仿宋_GB2312"/>
          <w:sz w:val="32"/>
          <w:szCs w:val="32"/>
          <w:lang w:val="zh-CN"/>
        </w:rPr>
      </w:pPr>
      <w:r>
        <w:rPr>
          <w:rFonts w:eastAsia="仿宋_GB2312"/>
          <w:sz w:val="32"/>
          <w:szCs w:val="32"/>
          <w:lang w:val="zh-CN"/>
        </w:rPr>
        <w:t>组织对2022年度部门所有预算资金全面开展绩效自评，形成</w:t>
      </w:r>
      <w:r>
        <w:rPr>
          <w:rFonts w:eastAsia="仿宋_GB2312"/>
          <w:sz w:val="32"/>
          <w:szCs w:val="32"/>
        </w:rPr>
        <w:t>盐边县政府办公室</w:t>
      </w:r>
      <w:r>
        <w:rPr>
          <w:rFonts w:eastAsia="仿宋_GB2312"/>
          <w:sz w:val="32"/>
          <w:szCs w:val="32"/>
          <w:lang w:val="zh-CN"/>
        </w:rPr>
        <w:t>部门整体（含部门预算项目）绩效自评报告</w:t>
      </w:r>
      <w:r>
        <w:rPr>
          <w:rFonts w:hint="eastAsia" w:eastAsia="仿宋_GB2312"/>
          <w:sz w:val="32"/>
          <w:szCs w:val="32"/>
          <w:lang w:val="zh-CN"/>
        </w:rPr>
        <w:t>，</w:t>
      </w:r>
      <w:r>
        <w:rPr>
          <w:rFonts w:eastAsia="仿宋_GB2312"/>
          <w:sz w:val="32"/>
          <w:szCs w:val="32"/>
          <w:lang w:val="zh-CN"/>
        </w:rPr>
        <w:t>其中，</w:t>
      </w:r>
      <w:r>
        <w:rPr>
          <w:rFonts w:eastAsia="仿宋_GB2312"/>
          <w:sz w:val="32"/>
          <w:szCs w:val="32"/>
        </w:rPr>
        <w:t>盐边县政府办公室</w:t>
      </w:r>
      <w:r>
        <w:rPr>
          <w:rFonts w:eastAsia="仿宋_GB2312"/>
          <w:sz w:val="32"/>
          <w:szCs w:val="32"/>
          <w:lang w:val="zh-CN"/>
        </w:rPr>
        <w:t>部门整体（含部门预算项目）绩效自评得分为</w:t>
      </w:r>
      <w:r>
        <w:rPr>
          <w:rFonts w:eastAsia="仿宋_GB2312"/>
          <w:sz w:val="32"/>
          <w:szCs w:val="32"/>
        </w:rPr>
        <w:t>97</w:t>
      </w:r>
      <w:r>
        <w:rPr>
          <w:rFonts w:eastAsia="仿宋_GB2312"/>
          <w:sz w:val="32"/>
          <w:szCs w:val="32"/>
          <w:lang w:val="zh-CN"/>
        </w:rPr>
        <w:t>分</w:t>
      </w:r>
      <w:r>
        <w:rPr>
          <w:rFonts w:hint="eastAsia" w:eastAsia="仿宋_GB2312"/>
          <w:sz w:val="32"/>
          <w:szCs w:val="32"/>
          <w:lang w:val="zh-CN"/>
        </w:rPr>
        <w:t>。</w:t>
      </w:r>
      <w:r>
        <w:rPr>
          <w:rFonts w:eastAsia="仿宋_GB2312"/>
          <w:sz w:val="32"/>
          <w:szCs w:val="32"/>
          <w:lang w:val="zh-CN"/>
        </w:rPr>
        <w:t>2022年我</w:t>
      </w:r>
      <w:r>
        <w:rPr>
          <w:rFonts w:eastAsia="仿宋_GB2312"/>
          <w:sz w:val="32"/>
          <w:szCs w:val="32"/>
        </w:rPr>
        <w:t>办</w:t>
      </w:r>
      <w:r>
        <w:rPr>
          <w:rFonts w:eastAsia="仿宋_GB2312"/>
          <w:sz w:val="32"/>
          <w:szCs w:val="32"/>
          <w:lang w:val="zh-CN"/>
        </w:rPr>
        <w:t>部门整体支出绩效自查自评结果良好，全年基本支出保证了</w:t>
      </w:r>
      <w:r>
        <w:rPr>
          <w:rFonts w:hint="eastAsia" w:eastAsia="仿宋_GB2312"/>
          <w:sz w:val="32"/>
          <w:szCs w:val="32"/>
        </w:rPr>
        <w:t>办公室</w:t>
      </w:r>
      <w:r>
        <w:rPr>
          <w:rFonts w:eastAsia="仿宋_GB2312"/>
          <w:sz w:val="32"/>
          <w:szCs w:val="32"/>
          <w:lang w:val="zh-CN"/>
        </w:rPr>
        <w:t>的正常运转，项目支出保障了重点工作的开展。</w:t>
      </w:r>
    </w:p>
    <w:p>
      <w:pPr>
        <w:overflowPunct w:val="0"/>
        <w:spacing w:line="560" w:lineRule="exact"/>
        <w:rPr>
          <w:rFonts w:eastAsia="仿宋_GB2312"/>
          <w:sz w:val="32"/>
          <w:szCs w:val="32"/>
          <w:lang w:val="zh-CN"/>
        </w:rPr>
      </w:pPr>
      <w:r>
        <w:rPr>
          <w:rFonts w:eastAsia="仿宋_GB2312"/>
          <w:sz w:val="32"/>
          <w:szCs w:val="32"/>
        </w:rPr>
        <w:t>《2022年盐边县政府办公室部门整体绩效评价报告》见附件。</w:t>
      </w:r>
    </w:p>
    <w:p>
      <w:pPr>
        <w:overflowPunct w:val="0"/>
        <w:spacing w:line="560" w:lineRule="exact"/>
        <w:ind w:firstLine="643" w:firstLineChars="200"/>
        <w:rPr>
          <w:rFonts w:eastAsia="仿宋_GB2312"/>
          <w:b/>
          <w:sz w:val="32"/>
          <w:szCs w:val="32"/>
        </w:rPr>
      </w:pPr>
      <w:r>
        <w:rPr>
          <w:rFonts w:eastAsia="仿宋_GB2312"/>
          <w:b/>
          <w:sz w:val="32"/>
          <w:szCs w:val="32"/>
        </w:rPr>
        <w:br w:type="page"/>
      </w:r>
    </w:p>
    <w:p>
      <w:pPr>
        <w:pStyle w:val="2"/>
        <w:spacing w:before="0" w:after="0" w:line="579" w:lineRule="auto"/>
        <w:ind w:right="442"/>
        <w:jc w:val="center"/>
        <w:rPr>
          <w:rFonts w:eastAsia="黑体"/>
          <w:b w:val="0"/>
        </w:rPr>
      </w:pPr>
      <w:bookmarkStart w:id="63" w:name="_Toc8967"/>
      <w:bookmarkStart w:id="64" w:name="_Toc15377225"/>
      <w:bookmarkStart w:id="65" w:name="_Toc15396613"/>
      <w:r>
        <w:rPr>
          <w:rFonts w:eastAsia="黑体"/>
          <w:b w:val="0"/>
        </w:rPr>
        <w:t>第三部分 名词解释</w:t>
      </w:r>
      <w:bookmarkEnd w:id="63"/>
      <w:bookmarkEnd w:id="64"/>
      <w:bookmarkEnd w:id="65"/>
    </w:p>
    <w:p>
      <w:pPr>
        <w:overflowPunct w:val="0"/>
        <w:spacing w:line="560" w:lineRule="exact"/>
        <w:ind w:firstLine="640" w:firstLineChars="200"/>
        <w:rPr>
          <w:rFonts w:eastAsia="仿宋_GB2312"/>
          <w:sz w:val="32"/>
          <w:szCs w:val="32"/>
          <w:lang w:val="zh-CN"/>
        </w:rPr>
      </w:pPr>
    </w:p>
    <w:p>
      <w:pPr>
        <w:overflowPunct w:val="0"/>
        <w:spacing w:line="560" w:lineRule="exact"/>
        <w:ind w:firstLine="640" w:firstLineChars="200"/>
        <w:rPr>
          <w:rFonts w:eastAsia="仿宋_GB2312"/>
          <w:sz w:val="32"/>
          <w:szCs w:val="32"/>
          <w:lang w:val="zh-CN"/>
        </w:rPr>
      </w:pPr>
      <w:r>
        <w:rPr>
          <w:rFonts w:eastAsia="仿宋_GB2312"/>
          <w:sz w:val="32"/>
          <w:szCs w:val="32"/>
          <w:lang w:val="zh-CN"/>
        </w:rPr>
        <w:t>1．财政拨款收入：指单位从同级财政部门取得的财政预算资金。</w:t>
      </w:r>
    </w:p>
    <w:p>
      <w:pPr>
        <w:overflowPunct w:val="0"/>
        <w:spacing w:line="560" w:lineRule="exact"/>
        <w:ind w:firstLine="640" w:firstLineChars="200"/>
        <w:rPr>
          <w:rFonts w:eastAsia="仿宋_GB2312"/>
          <w:sz w:val="32"/>
          <w:szCs w:val="32"/>
          <w:lang w:val="zh-CN"/>
        </w:rPr>
      </w:pPr>
      <w:r>
        <w:rPr>
          <w:rFonts w:eastAsia="仿宋_GB2312"/>
          <w:sz w:val="32"/>
          <w:szCs w:val="32"/>
          <w:lang w:val="zh-CN"/>
        </w:rPr>
        <w:t>2．事业收入：指事业单位开展专业业务活动及辅助活动取得的收入。</w:t>
      </w:r>
    </w:p>
    <w:p>
      <w:pPr>
        <w:overflowPunct w:val="0"/>
        <w:spacing w:line="560" w:lineRule="exact"/>
        <w:ind w:firstLine="640" w:firstLineChars="200"/>
        <w:rPr>
          <w:rFonts w:eastAsia="仿宋_GB2312"/>
          <w:sz w:val="32"/>
          <w:szCs w:val="32"/>
          <w:lang w:val="zh-CN"/>
        </w:rPr>
      </w:pPr>
      <w:r>
        <w:rPr>
          <w:rFonts w:eastAsia="仿宋_GB2312"/>
          <w:sz w:val="32"/>
          <w:szCs w:val="32"/>
          <w:lang w:val="zh-CN"/>
        </w:rPr>
        <w:t>3．经营收入：指事业单位在专业业务活动及其辅助活动之外开展非独立核算经营活动取得的收入。</w:t>
      </w:r>
    </w:p>
    <w:p>
      <w:pPr>
        <w:overflowPunct w:val="0"/>
        <w:spacing w:line="560" w:lineRule="exact"/>
        <w:ind w:firstLine="640" w:firstLineChars="200"/>
        <w:rPr>
          <w:rFonts w:eastAsia="仿宋_GB2312"/>
          <w:sz w:val="32"/>
          <w:szCs w:val="32"/>
          <w:lang w:val="zh-CN"/>
        </w:rPr>
      </w:pPr>
      <w:r>
        <w:rPr>
          <w:rFonts w:eastAsia="仿宋_GB2312"/>
          <w:sz w:val="32"/>
          <w:szCs w:val="32"/>
          <w:lang w:val="zh-CN"/>
        </w:rPr>
        <w:t>4．其他收入：指单位取得的除上述收入以外的各项收入。</w:t>
      </w:r>
    </w:p>
    <w:p>
      <w:pPr>
        <w:overflowPunct w:val="0"/>
        <w:spacing w:line="560" w:lineRule="exact"/>
        <w:ind w:firstLine="640" w:firstLineChars="200"/>
        <w:rPr>
          <w:rFonts w:eastAsia="仿宋_GB2312"/>
          <w:sz w:val="32"/>
          <w:szCs w:val="32"/>
          <w:lang w:val="zh-CN"/>
        </w:rPr>
      </w:pPr>
      <w:r>
        <w:rPr>
          <w:rFonts w:eastAsia="仿宋_GB2312"/>
          <w:sz w:val="32"/>
          <w:szCs w:val="32"/>
          <w:lang w:val="zh-CN"/>
        </w:rPr>
        <w:t>5．使用非财政拨款结余：指事业单位使用以前年度积累的非财政拨款结余弥补当年收支差额的金额。</w:t>
      </w:r>
    </w:p>
    <w:p>
      <w:pPr>
        <w:overflowPunct w:val="0"/>
        <w:spacing w:line="560" w:lineRule="exact"/>
        <w:ind w:firstLine="640" w:firstLineChars="200"/>
        <w:rPr>
          <w:rFonts w:eastAsia="仿宋_GB2312"/>
          <w:sz w:val="32"/>
          <w:szCs w:val="32"/>
          <w:lang w:val="zh-CN"/>
        </w:rPr>
      </w:pPr>
      <w:r>
        <w:rPr>
          <w:rFonts w:eastAsia="仿宋_GB2312"/>
          <w:sz w:val="32"/>
          <w:szCs w:val="32"/>
          <w:lang w:val="zh-CN"/>
        </w:rPr>
        <w:t>6．年初结转和结余：指以前年度尚未完成、结转到本年按有关规定继续使用的资金。</w:t>
      </w:r>
    </w:p>
    <w:p>
      <w:pPr>
        <w:overflowPunct w:val="0"/>
        <w:spacing w:line="560" w:lineRule="exact"/>
        <w:ind w:firstLine="640" w:firstLineChars="200"/>
        <w:rPr>
          <w:rFonts w:eastAsia="仿宋_GB2312"/>
          <w:sz w:val="32"/>
          <w:szCs w:val="32"/>
          <w:lang w:val="zh-CN"/>
        </w:rPr>
      </w:pPr>
      <w:r>
        <w:rPr>
          <w:rFonts w:eastAsia="仿宋_GB2312"/>
          <w:sz w:val="32"/>
          <w:szCs w:val="32"/>
          <w:lang w:val="zh-CN"/>
        </w:rPr>
        <w:t>7．结余分配：指事业单位按照会计制度规定缴纳的所得税、提取的专用结余以及转入非财政拨款结余的金额等。</w:t>
      </w:r>
    </w:p>
    <w:p>
      <w:pPr>
        <w:overflowPunct w:val="0"/>
        <w:spacing w:line="560" w:lineRule="exact"/>
        <w:ind w:firstLine="640" w:firstLineChars="200"/>
        <w:rPr>
          <w:rFonts w:eastAsia="仿宋_GB2312"/>
          <w:sz w:val="32"/>
          <w:szCs w:val="32"/>
          <w:lang w:val="zh-CN"/>
        </w:rPr>
      </w:pPr>
      <w:r>
        <w:rPr>
          <w:rFonts w:eastAsia="仿宋_GB2312"/>
          <w:sz w:val="32"/>
          <w:szCs w:val="32"/>
          <w:lang w:val="zh-CN"/>
        </w:rPr>
        <w:t>8．年末结转和结余：指单位按有关规定结转到下年或以后年度继续使用的资金。</w:t>
      </w:r>
    </w:p>
    <w:p>
      <w:pPr>
        <w:overflowPunct w:val="0"/>
        <w:spacing w:line="560" w:lineRule="exact"/>
        <w:ind w:firstLine="640" w:firstLineChars="200"/>
        <w:rPr>
          <w:rFonts w:eastAsia="仿宋_GB2312"/>
          <w:sz w:val="32"/>
          <w:szCs w:val="32"/>
          <w:lang w:val="zh-CN"/>
        </w:rPr>
      </w:pPr>
      <w:r>
        <w:rPr>
          <w:rFonts w:eastAsia="仿宋_GB2312"/>
          <w:sz w:val="32"/>
          <w:szCs w:val="32"/>
          <w:lang w:val="zh-CN"/>
        </w:rPr>
        <w:t>9．一般公共服务（类）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行政运行</w:t>
      </w:r>
      <w:r>
        <w:rPr>
          <w:rFonts w:eastAsia="仿宋_GB2312"/>
          <w:sz w:val="32"/>
          <w:szCs w:val="32"/>
          <w:lang w:val="zh-CN"/>
        </w:rPr>
        <w:t>（项）：指反映行政单位（包括实行公务员管理的事业单位）的基本支出。</w:t>
      </w:r>
    </w:p>
    <w:p>
      <w:pPr>
        <w:overflowPunct w:val="0"/>
        <w:spacing w:line="560" w:lineRule="exact"/>
        <w:ind w:firstLine="640" w:firstLineChars="200"/>
        <w:rPr>
          <w:rFonts w:eastAsia="仿宋_GB2312"/>
          <w:sz w:val="32"/>
          <w:szCs w:val="32"/>
        </w:rPr>
      </w:pPr>
      <w:r>
        <w:rPr>
          <w:rFonts w:eastAsia="仿宋_GB2312"/>
          <w:sz w:val="32"/>
          <w:szCs w:val="32"/>
        </w:rPr>
        <w:t>10</w:t>
      </w:r>
      <w:r>
        <w:rPr>
          <w:rFonts w:eastAsia="仿宋_GB2312"/>
          <w:sz w:val="32"/>
          <w:szCs w:val="32"/>
          <w:lang w:val="zh-CN"/>
        </w:rPr>
        <w:t>．一般公共服务（类）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一般行政管理事务</w:t>
      </w:r>
      <w:r>
        <w:rPr>
          <w:rFonts w:eastAsia="仿宋_GB2312"/>
          <w:sz w:val="32"/>
          <w:szCs w:val="32"/>
          <w:lang w:val="zh-CN"/>
        </w:rPr>
        <w:t>（项）：指反映行政单位（包括实行公务员管理的事业单位）</w:t>
      </w:r>
      <w:r>
        <w:rPr>
          <w:rFonts w:eastAsia="仿宋_GB2312"/>
          <w:sz w:val="32"/>
          <w:szCs w:val="32"/>
        </w:rPr>
        <w:t>未单独设置项级科目的其他项目支出。</w:t>
      </w:r>
    </w:p>
    <w:p>
      <w:pPr>
        <w:overflowPunct w:val="0"/>
        <w:spacing w:line="560" w:lineRule="exact"/>
        <w:ind w:firstLine="640" w:firstLineChars="200"/>
        <w:rPr>
          <w:rFonts w:eastAsia="仿宋_GB2312"/>
          <w:sz w:val="32"/>
          <w:szCs w:val="32"/>
        </w:rPr>
      </w:pPr>
      <w:r>
        <w:rPr>
          <w:rFonts w:eastAsia="仿宋_GB2312"/>
          <w:sz w:val="32"/>
          <w:szCs w:val="32"/>
        </w:rPr>
        <w:t>11</w:t>
      </w:r>
      <w:r>
        <w:rPr>
          <w:rFonts w:eastAsia="仿宋_GB2312"/>
          <w:sz w:val="32"/>
          <w:szCs w:val="32"/>
          <w:lang w:val="zh-CN"/>
        </w:rPr>
        <w:t>．一般公共服务（类）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事业运行</w:t>
      </w:r>
      <w:r>
        <w:rPr>
          <w:rFonts w:eastAsia="仿宋_GB2312"/>
          <w:sz w:val="32"/>
          <w:szCs w:val="32"/>
          <w:lang w:val="zh-CN"/>
        </w:rPr>
        <w:t>（项）：</w:t>
      </w:r>
      <w:r>
        <w:rPr>
          <w:rFonts w:eastAsia="仿宋_GB2312"/>
          <w:sz w:val="32"/>
          <w:szCs w:val="32"/>
        </w:rPr>
        <w:t>指反映事业单位的基本支出，不包括</w:t>
      </w:r>
      <w:r>
        <w:rPr>
          <w:rFonts w:eastAsia="仿宋_GB2312"/>
          <w:sz w:val="32"/>
          <w:szCs w:val="32"/>
          <w:lang w:val="zh-CN"/>
        </w:rPr>
        <w:t>行政单位（包括实行公务员管理的事业单位）</w:t>
      </w:r>
      <w:r>
        <w:rPr>
          <w:rFonts w:eastAsia="仿宋_GB2312"/>
          <w:sz w:val="32"/>
          <w:szCs w:val="32"/>
        </w:rPr>
        <w:t>后勤服务中心、医务室等附属事业单位。</w:t>
      </w:r>
    </w:p>
    <w:p>
      <w:pPr>
        <w:overflowPunct w:val="0"/>
        <w:spacing w:line="560" w:lineRule="exact"/>
        <w:ind w:firstLine="640" w:firstLineChars="200"/>
        <w:rPr>
          <w:rFonts w:eastAsia="仿宋_GB2312"/>
          <w:sz w:val="32"/>
          <w:szCs w:val="32"/>
        </w:rPr>
      </w:pPr>
      <w:r>
        <w:rPr>
          <w:rFonts w:eastAsia="仿宋_GB2312"/>
          <w:sz w:val="32"/>
          <w:szCs w:val="32"/>
        </w:rPr>
        <w:t>12</w:t>
      </w:r>
      <w:r>
        <w:rPr>
          <w:rFonts w:eastAsia="仿宋_GB2312"/>
          <w:sz w:val="32"/>
          <w:szCs w:val="32"/>
          <w:lang w:val="zh-CN"/>
        </w:rPr>
        <w:t>．一般公共服务（类）</w:t>
      </w:r>
      <w:r>
        <w:rPr>
          <w:rFonts w:eastAsia="仿宋_GB2312"/>
          <w:sz w:val="32"/>
          <w:szCs w:val="32"/>
        </w:rPr>
        <w:t>政府办公厅（室）及相关机构事务</w:t>
      </w:r>
      <w:r>
        <w:rPr>
          <w:rFonts w:eastAsia="仿宋_GB2312"/>
          <w:sz w:val="32"/>
          <w:szCs w:val="32"/>
          <w:lang w:val="zh-CN"/>
        </w:rPr>
        <w:t>（款）</w:t>
      </w:r>
      <w:r>
        <w:rPr>
          <w:rFonts w:eastAsia="仿宋_GB2312"/>
          <w:sz w:val="32"/>
          <w:szCs w:val="32"/>
        </w:rPr>
        <w:t>其他政府办公厅（室）及相关机构事务支出</w:t>
      </w:r>
      <w:r>
        <w:rPr>
          <w:rFonts w:eastAsia="仿宋_GB2312"/>
          <w:sz w:val="32"/>
          <w:szCs w:val="32"/>
          <w:lang w:val="zh-CN"/>
        </w:rPr>
        <w:t>（项）：</w:t>
      </w:r>
      <w:r>
        <w:rPr>
          <w:rFonts w:eastAsia="仿宋_GB2312"/>
          <w:sz w:val="32"/>
          <w:szCs w:val="32"/>
        </w:rPr>
        <w:t>指反映除上述项目以外的其他政府办公厅（室）及相关机构事务支出。</w:t>
      </w:r>
    </w:p>
    <w:p>
      <w:pPr>
        <w:overflowPunct w:val="0"/>
        <w:spacing w:line="560" w:lineRule="exact"/>
        <w:ind w:firstLine="640" w:firstLineChars="200"/>
        <w:rPr>
          <w:rFonts w:eastAsia="仿宋_GB2312"/>
          <w:sz w:val="32"/>
          <w:szCs w:val="32"/>
          <w:lang w:val="zh-CN"/>
        </w:rPr>
      </w:pPr>
      <w:r>
        <w:rPr>
          <w:rFonts w:eastAsia="仿宋_GB2312"/>
          <w:sz w:val="32"/>
          <w:szCs w:val="32"/>
        </w:rPr>
        <w:t>13</w:t>
      </w:r>
      <w:r>
        <w:rPr>
          <w:rFonts w:eastAsia="仿宋_GB2312"/>
          <w:sz w:val="32"/>
          <w:szCs w:val="32"/>
          <w:lang w:val="zh-CN"/>
        </w:rPr>
        <w:t>．社会保障和就业支出（类）行政事业单位</w:t>
      </w:r>
      <w:r>
        <w:rPr>
          <w:rFonts w:eastAsia="仿宋_GB2312"/>
          <w:sz w:val="32"/>
          <w:szCs w:val="32"/>
        </w:rPr>
        <w:t>养老支出</w:t>
      </w:r>
      <w:r>
        <w:rPr>
          <w:rFonts w:eastAsia="仿宋_GB2312"/>
          <w:sz w:val="32"/>
          <w:szCs w:val="32"/>
          <w:lang w:val="zh-CN"/>
        </w:rPr>
        <w:t>（款）行政单位离退休（项）：</w:t>
      </w:r>
      <w:r>
        <w:rPr>
          <w:rFonts w:eastAsia="仿宋_GB2312"/>
          <w:sz w:val="32"/>
          <w:szCs w:val="32"/>
        </w:rPr>
        <w:t>指</w:t>
      </w:r>
      <w:r>
        <w:rPr>
          <w:rFonts w:eastAsia="仿宋_GB2312"/>
          <w:sz w:val="32"/>
          <w:szCs w:val="32"/>
          <w:lang w:val="zh-CN"/>
        </w:rPr>
        <w:t>反映行政单位（包括实行公务员管理的事业单位）开支的离退休</w:t>
      </w:r>
      <w:r>
        <w:rPr>
          <w:rFonts w:eastAsia="仿宋_GB2312"/>
          <w:sz w:val="32"/>
          <w:szCs w:val="32"/>
        </w:rPr>
        <w:t>经费</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14</w:t>
      </w:r>
      <w:r>
        <w:rPr>
          <w:rFonts w:eastAsia="仿宋_GB2312"/>
          <w:sz w:val="32"/>
          <w:szCs w:val="32"/>
          <w:lang w:val="zh-CN"/>
        </w:rPr>
        <w:t>．社会保障和就业支出（类）行政事业单位</w:t>
      </w:r>
      <w:r>
        <w:rPr>
          <w:rFonts w:eastAsia="仿宋_GB2312"/>
          <w:sz w:val="32"/>
          <w:szCs w:val="32"/>
        </w:rPr>
        <w:t>养老支出</w:t>
      </w:r>
      <w:r>
        <w:rPr>
          <w:rFonts w:eastAsia="仿宋_GB2312"/>
          <w:sz w:val="32"/>
          <w:szCs w:val="32"/>
          <w:lang w:val="zh-CN"/>
        </w:rPr>
        <w:t>（款）</w:t>
      </w:r>
      <w:r>
        <w:rPr>
          <w:rFonts w:eastAsia="仿宋_GB2312"/>
          <w:sz w:val="32"/>
          <w:szCs w:val="32"/>
        </w:rPr>
        <w:t>事业</w:t>
      </w:r>
      <w:r>
        <w:rPr>
          <w:rFonts w:eastAsia="仿宋_GB2312"/>
          <w:sz w:val="32"/>
          <w:szCs w:val="32"/>
          <w:lang w:val="zh-CN"/>
        </w:rPr>
        <w:t>单位离退休（项）：</w:t>
      </w:r>
      <w:r>
        <w:rPr>
          <w:rFonts w:eastAsia="仿宋_GB2312"/>
          <w:sz w:val="32"/>
          <w:szCs w:val="32"/>
        </w:rPr>
        <w:t>指</w:t>
      </w:r>
      <w:r>
        <w:rPr>
          <w:rFonts w:eastAsia="仿宋_GB2312"/>
          <w:sz w:val="32"/>
          <w:szCs w:val="32"/>
          <w:lang w:val="zh-CN"/>
        </w:rPr>
        <w:t>反映</w:t>
      </w:r>
      <w:r>
        <w:rPr>
          <w:rFonts w:eastAsia="仿宋_GB2312"/>
          <w:sz w:val="32"/>
          <w:szCs w:val="32"/>
        </w:rPr>
        <w:t>事业单位</w:t>
      </w:r>
      <w:r>
        <w:rPr>
          <w:rFonts w:eastAsia="仿宋_GB2312"/>
          <w:sz w:val="32"/>
          <w:szCs w:val="32"/>
          <w:lang w:val="zh-CN"/>
        </w:rPr>
        <w:t>开支的离退休</w:t>
      </w:r>
      <w:r>
        <w:rPr>
          <w:rFonts w:eastAsia="仿宋_GB2312"/>
          <w:sz w:val="32"/>
          <w:szCs w:val="32"/>
        </w:rPr>
        <w:t>经费</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15</w:t>
      </w:r>
      <w:r>
        <w:rPr>
          <w:rFonts w:eastAsia="仿宋_GB2312"/>
          <w:sz w:val="32"/>
          <w:szCs w:val="32"/>
          <w:lang w:val="zh-CN"/>
        </w:rPr>
        <w:t>．社会保障和就业支出（类）行政事业单位</w:t>
      </w:r>
      <w:r>
        <w:rPr>
          <w:rFonts w:eastAsia="仿宋_GB2312"/>
          <w:sz w:val="32"/>
          <w:szCs w:val="32"/>
        </w:rPr>
        <w:t>养老支出</w:t>
      </w:r>
      <w:r>
        <w:rPr>
          <w:rFonts w:eastAsia="仿宋_GB2312"/>
          <w:sz w:val="32"/>
          <w:szCs w:val="32"/>
          <w:lang w:val="zh-CN"/>
        </w:rPr>
        <w:t>（款）</w:t>
      </w:r>
      <w:r>
        <w:rPr>
          <w:rFonts w:eastAsia="仿宋_GB2312"/>
          <w:sz w:val="32"/>
          <w:szCs w:val="32"/>
        </w:rPr>
        <w:t>机关事业单位基本养老保险缴费支出</w:t>
      </w:r>
      <w:r>
        <w:rPr>
          <w:rFonts w:eastAsia="仿宋_GB2312"/>
          <w:sz w:val="32"/>
          <w:szCs w:val="32"/>
          <w:lang w:val="zh-CN"/>
        </w:rPr>
        <w:t>（项）：</w:t>
      </w:r>
      <w:r>
        <w:rPr>
          <w:rFonts w:eastAsia="仿宋_GB2312"/>
          <w:sz w:val="32"/>
          <w:szCs w:val="32"/>
        </w:rPr>
        <w:t>指</w:t>
      </w:r>
      <w:r>
        <w:rPr>
          <w:rFonts w:eastAsia="仿宋_GB2312"/>
          <w:sz w:val="32"/>
          <w:szCs w:val="32"/>
          <w:lang w:val="zh-CN"/>
        </w:rPr>
        <w:t>反映</w:t>
      </w:r>
      <w:r>
        <w:rPr>
          <w:rFonts w:eastAsia="仿宋_GB2312"/>
          <w:sz w:val="32"/>
          <w:szCs w:val="32"/>
        </w:rPr>
        <w:t>机关事业单位实施养老保险制度由单位缴纳的基本养老保险费支出</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16</w:t>
      </w:r>
      <w:r>
        <w:rPr>
          <w:rFonts w:eastAsia="仿宋_GB2312"/>
          <w:sz w:val="32"/>
          <w:szCs w:val="32"/>
          <w:lang w:val="zh-CN"/>
        </w:rPr>
        <w:t>．社会保障和就业支出（类）行政事业单位</w:t>
      </w:r>
      <w:r>
        <w:rPr>
          <w:rFonts w:eastAsia="仿宋_GB2312"/>
          <w:sz w:val="32"/>
          <w:szCs w:val="32"/>
        </w:rPr>
        <w:t>养老支出</w:t>
      </w:r>
      <w:r>
        <w:rPr>
          <w:rFonts w:eastAsia="仿宋_GB2312"/>
          <w:sz w:val="32"/>
          <w:szCs w:val="32"/>
          <w:lang w:val="zh-CN"/>
        </w:rPr>
        <w:t>（款）</w:t>
      </w:r>
      <w:r>
        <w:rPr>
          <w:rFonts w:eastAsia="仿宋_GB2312"/>
          <w:sz w:val="32"/>
          <w:szCs w:val="32"/>
        </w:rPr>
        <w:t>机关事业单位职业年金缴费支出</w:t>
      </w:r>
      <w:r>
        <w:rPr>
          <w:rFonts w:eastAsia="仿宋_GB2312"/>
          <w:sz w:val="32"/>
          <w:szCs w:val="32"/>
          <w:lang w:val="zh-CN"/>
        </w:rPr>
        <w:t>（项）：</w:t>
      </w:r>
      <w:r>
        <w:rPr>
          <w:rFonts w:eastAsia="仿宋_GB2312"/>
          <w:sz w:val="32"/>
          <w:szCs w:val="32"/>
        </w:rPr>
        <w:t>指</w:t>
      </w:r>
      <w:r>
        <w:rPr>
          <w:rFonts w:eastAsia="仿宋_GB2312"/>
          <w:sz w:val="32"/>
          <w:szCs w:val="32"/>
          <w:lang w:val="zh-CN"/>
        </w:rPr>
        <w:t>反映</w:t>
      </w:r>
      <w:r>
        <w:rPr>
          <w:rFonts w:eastAsia="仿宋_GB2312"/>
          <w:sz w:val="32"/>
          <w:szCs w:val="32"/>
        </w:rPr>
        <w:t>机关事业单位实施养老保险制度由单位实际缴纳的职业年金支出</w:t>
      </w:r>
      <w:r>
        <w:rPr>
          <w:rFonts w:eastAsia="仿宋_GB2312"/>
          <w:sz w:val="32"/>
          <w:szCs w:val="32"/>
          <w:lang w:val="zh-CN"/>
        </w:rPr>
        <w:t>。</w:t>
      </w:r>
    </w:p>
    <w:p>
      <w:pPr>
        <w:overflowPunct w:val="0"/>
        <w:spacing w:line="560" w:lineRule="exact"/>
        <w:ind w:firstLine="640" w:firstLineChars="200"/>
        <w:rPr>
          <w:rFonts w:eastAsia="仿宋_GB2312"/>
          <w:sz w:val="32"/>
          <w:szCs w:val="32"/>
          <w:lang w:val="zh-CN"/>
        </w:rPr>
      </w:pPr>
      <w:r>
        <w:rPr>
          <w:rFonts w:eastAsia="仿宋_GB2312"/>
          <w:sz w:val="32"/>
          <w:szCs w:val="32"/>
        </w:rPr>
        <w:t>17</w:t>
      </w:r>
      <w:r>
        <w:rPr>
          <w:rFonts w:eastAsia="仿宋_GB2312"/>
          <w:sz w:val="32"/>
          <w:szCs w:val="32"/>
          <w:lang w:val="zh-CN"/>
        </w:rPr>
        <w:t>．社会保障和就业支出（类）抚恤（款）</w:t>
      </w:r>
      <w:r>
        <w:rPr>
          <w:rFonts w:eastAsia="仿宋_GB2312"/>
          <w:sz w:val="32"/>
          <w:szCs w:val="32"/>
        </w:rPr>
        <w:t>伤残</w:t>
      </w:r>
      <w:r>
        <w:rPr>
          <w:rFonts w:eastAsia="仿宋_GB2312"/>
          <w:sz w:val="32"/>
          <w:szCs w:val="32"/>
          <w:lang w:val="zh-CN"/>
        </w:rPr>
        <w:t>抚恤（项）：</w:t>
      </w:r>
      <w:r>
        <w:rPr>
          <w:rFonts w:eastAsia="仿宋_GB2312"/>
          <w:sz w:val="32"/>
          <w:szCs w:val="32"/>
        </w:rPr>
        <w:t>指</w:t>
      </w:r>
      <w:r>
        <w:rPr>
          <w:rFonts w:eastAsia="仿宋_GB2312"/>
          <w:sz w:val="32"/>
          <w:szCs w:val="32"/>
          <w:lang w:val="zh-CN"/>
        </w:rPr>
        <w:t>反映按规定用于</w:t>
      </w:r>
      <w:r>
        <w:rPr>
          <w:rFonts w:eastAsia="仿宋_GB2312"/>
          <w:sz w:val="32"/>
          <w:szCs w:val="32"/>
        </w:rPr>
        <w:t>伤残人员的抚恤金和按规定开支的各种伤残补助费</w:t>
      </w:r>
      <w:r>
        <w:rPr>
          <w:rFonts w:eastAsia="仿宋_GB2312"/>
          <w:sz w:val="32"/>
          <w:szCs w:val="32"/>
          <w:lang w:val="zh-CN"/>
        </w:rPr>
        <w:t>。</w:t>
      </w:r>
    </w:p>
    <w:p>
      <w:pPr>
        <w:overflowPunct w:val="0"/>
        <w:spacing w:line="560" w:lineRule="exact"/>
        <w:ind w:firstLine="640" w:firstLineChars="200"/>
        <w:rPr>
          <w:rFonts w:eastAsia="仿宋_GB2312"/>
          <w:sz w:val="32"/>
          <w:szCs w:val="32"/>
        </w:rPr>
      </w:pPr>
      <w:r>
        <w:rPr>
          <w:rFonts w:eastAsia="仿宋_GB2312"/>
          <w:sz w:val="32"/>
          <w:szCs w:val="32"/>
        </w:rPr>
        <w:t>18</w:t>
      </w:r>
      <w:r>
        <w:rPr>
          <w:rFonts w:eastAsia="仿宋_GB2312"/>
          <w:sz w:val="32"/>
          <w:szCs w:val="32"/>
          <w:lang w:val="zh-CN"/>
        </w:rPr>
        <w:t>．</w:t>
      </w:r>
      <w:r>
        <w:rPr>
          <w:rFonts w:eastAsia="仿宋_GB2312"/>
          <w:sz w:val="32"/>
          <w:szCs w:val="32"/>
        </w:rPr>
        <w:t>卫生健康支出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行政单位医疗</w:t>
      </w:r>
      <w:r>
        <w:rPr>
          <w:rFonts w:eastAsia="仿宋_GB2312"/>
          <w:sz w:val="32"/>
          <w:szCs w:val="32"/>
          <w:lang w:val="zh-CN"/>
        </w:rPr>
        <w:t>（项）：</w:t>
      </w:r>
      <w:r>
        <w:rPr>
          <w:rFonts w:eastAsia="仿宋_GB2312"/>
          <w:sz w:val="32"/>
          <w:szCs w:val="32"/>
        </w:rPr>
        <w:t>指反映财政部门安排的</w:t>
      </w:r>
      <w:r>
        <w:rPr>
          <w:rFonts w:eastAsia="仿宋_GB2312"/>
          <w:sz w:val="32"/>
          <w:szCs w:val="32"/>
          <w:lang w:val="zh-CN"/>
        </w:rPr>
        <w:t>行政单位（包括实行公务员管理的事业单位，</w:t>
      </w:r>
      <w:r>
        <w:rPr>
          <w:rFonts w:eastAsia="仿宋_GB2312"/>
          <w:sz w:val="32"/>
          <w:szCs w:val="32"/>
        </w:rPr>
        <w:t>下同</w:t>
      </w:r>
      <w:r>
        <w:rPr>
          <w:rFonts w:eastAsia="仿宋_GB2312"/>
          <w:sz w:val="32"/>
          <w:szCs w:val="32"/>
          <w:lang w:val="zh-CN"/>
        </w:rPr>
        <w:t>）</w:t>
      </w:r>
      <w:r>
        <w:rPr>
          <w:rFonts w:eastAsia="仿宋_GB2312"/>
          <w:sz w:val="32"/>
          <w:szCs w:val="32"/>
        </w:rPr>
        <w:t>基本医疗保险缴费经费，未参加医疗保险的行政单位的公费医疗经费，按国家规定享受离休人员、红军老战士待遇人员的医疗经费。</w:t>
      </w:r>
    </w:p>
    <w:p>
      <w:pPr>
        <w:overflowPunct w:val="0"/>
        <w:spacing w:line="560" w:lineRule="exact"/>
        <w:ind w:firstLine="640" w:firstLineChars="200"/>
        <w:rPr>
          <w:rFonts w:eastAsia="仿宋_GB2312"/>
          <w:sz w:val="32"/>
          <w:szCs w:val="32"/>
        </w:rPr>
      </w:pPr>
      <w:r>
        <w:rPr>
          <w:rFonts w:eastAsia="仿宋_GB2312"/>
          <w:sz w:val="32"/>
          <w:szCs w:val="32"/>
        </w:rPr>
        <w:t>19</w:t>
      </w:r>
      <w:r>
        <w:rPr>
          <w:rFonts w:eastAsia="仿宋_GB2312"/>
          <w:sz w:val="32"/>
          <w:szCs w:val="32"/>
          <w:lang w:val="zh-CN"/>
        </w:rPr>
        <w:t>．</w:t>
      </w:r>
      <w:r>
        <w:rPr>
          <w:rFonts w:eastAsia="仿宋_GB2312"/>
          <w:sz w:val="32"/>
          <w:szCs w:val="32"/>
        </w:rPr>
        <w:t>卫生健康支出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事业单位医疗</w:t>
      </w:r>
      <w:r>
        <w:rPr>
          <w:rFonts w:eastAsia="仿宋_GB2312"/>
          <w:sz w:val="32"/>
          <w:szCs w:val="32"/>
          <w:lang w:val="zh-CN"/>
        </w:rPr>
        <w:t>（项）：</w:t>
      </w:r>
      <w:r>
        <w:rPr>
          <w:rFonts w:eastAsia="仿宋_GB2312"/>
          <w:sz w:val="32"/>
          <w:szCs w:val="32"/>
        </w:rPr>
        <w:t>指反映财政部门安排的事业单位基本医疗保险缴费经费，未参加医疗保险的事业单位的公费医疗经费，按国家规定享受离休人员待遇的医疗经费。</w:t>
      </w:r>
    </w:p>
    <w:p>
      <w:pPr>
        <w:overflowPunct w:val="0"/>
        <w:spacing w:line="560" w:lineRule="exact"/>
        <w:ind w:firstLine="640" w:firstLineChars="200"/>
        <w:rPr>
          <w:rFonts w:eastAsia="仿宋_GB2312"/>
          <w:sz w:val="32"/>
          <w:szCs w:val="32"/>
        </w:rPr>
      </w:pPr>
      <w:r>
        <w:rPr>
          <w:rFonts w:eastAsia="仿宋_GB2312"/>
          <w:sz w:val="32"/>
          <w:szCs w:val="32"/>
        </w:rPr>
        <w:t>20</w:t>
      </w:r>
      <w:r>
        <w:rPr>
          <w:rFonts w:eastAsia="仿宋_GB2312"/>
          <w:sz w:val="32"/>
          <w:szCs w:val="32"/>
          <w:lang w:val="zh-CN"/>
        </w:rPr>
        <w:t>．</w:t>
      </w:r>
      <w:r>
        <w:rPr>
          <w:rFonts w:eastAsia="仿宋_GB2312"/>
          <w:sz w:val="32"/>
          <w:szCs w:val="32"/>
        </w:rPr>
        <w:t>卫生健康支出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公务员医疗补助</w:t>
      </w:r>
      <w:r>
        <w:rPr>
          <w:rFonts w:eastAsia="仿宋_GB2312"/>
          <w:sz w:val="32"/>
          <w:szCs w:val="32"/>
          <w:lang w:val="zh-CN"/>
        </w:rPr>
        <w:t>（项）：</w:t>
      </w:r>
      <w:r>
        <w:rPr>
          <w:rFonts w:eastAsia="仿宋_GB2312"/>
          <w:sz w:val="32"/>
          <w:szCs w:val="32"/>
        </w:rPr>
        <w:t>指反映财政部门安排的公务员医疗补助经费。</w:t>
      </w:r>
    </w:p>
    <w:p>
      <w:pPr>
        <w:overflowPunct w:val="0"/>
        <w:spacing w:line="560" w:lineRule="exact"/>
        <w:ind w:firstLine="640" w:firstLineChars="200"/>
        <w:rPr>
          <w:rFonts w:eastAsia="仿宋_GB2312"/>
          <w:sz w:val="32"/>
          <w:szCs w:val="32"/>
        </w:rPr>
      </w:pPr>
      <w:r>
        <w:rPr>
          <w:rFonts w:eastAsia="仿宋_GB2312"/>
          <w:sz w:val="32"/>
          <w:szCs w:val="32"/>
        </w:rPr>
        <w:t>21</w:t>
      </w:r>
      <w:r>
        <w:rPr>
          <w:rFonts w:eastAsia="仿宋_GB2312"/>
          <w:sz w:val="32"/>
          <w:szCs w:val="32"/>
          <w:lang w:val="zh-CN"/>
        </w:rPr>
        <w:t>．</w:t>
      </w:r>
      <w:r>
        <w:rPr>
          <w:rFonts w:eastAsia="仿宋_GB2312"/>
          <w:sz w:val="32"/>
          <w:szCs w:val="32"/>
        </w:rPr>
        <w:t>卫生健康支出</w:t>
      </w:r>
      <w:r>
        <w:rPr>
          <w:rFonts w:eastAsia="仿宋_GB2312"/>
          <w:sz w:val="32"/>
          <w:szCs w:val="32"/>
          <w:lang w:val="zh-CN"/>
        </w:rPr>
        <w:t>（类）</w:t>
      </w:r>
      <w:r>
        <w:rPr>
          <w:rFonts w:eastAsia="仿宋_GB2312"/>
          <w:sz w:val="32"/>
          <w:szCs w:val="32"/>
        </w:rPr>
        <w:t>行政事业单位医疗</w:t>
      </w:r>
      <w:r>
        <w:rPr>
          <w:rFonts w:eastAsia="仿宋_GB2312"/>
          <w:sz w:val="32"/>
          <w:szCs w:val="32"/>
          <w:lang w:val="zh-CN"/>
        </w:rPr>
        <w:t>（款）</w:t>
      </w:r>
      <w:r>
        <w:rPr>
          <w:rFonts w:eastAsia="仿宋_GB2312"/>
          <w:sz w:val="32"/>
          <w:szCs w:val="32"/>
        </w:rPr>
        <w:t>其他行政事业单位医疗支出</w:t>
      </w:r>
      <w:r>
        <w:rPr>
          <w:rFonts w:eastAsia="仿宋_GB2312"/>
          <w:sz w:val="32"/>
          <w:szCs w:val="32"/>
          <w:lang w:val="zh-CN"/>
        </w:rPr>
        <w:t>（项）：</w:t>
      </w:r>
      <w:r>
        <w:rPr>
          <w:rFonts w:eastAsia="仿宋_GB2312"/>
          <w:sz w:val="32"/>
          <w:szCs w:val="32"/>
        </w:rPr>
        <w:t>指反映除上述项目以外的其他用于行政事业单位医疗方面的支出。</w:t>
      </w:r>
    </w:p>
    <w:p>
      <w:pPr>
        <w:overflowPunct w:val="0"/>
        <w:spacing w:line="560" w:lineRule="exact"/>
        <w:ind w:firstLine="640" w:firstLineChars="200"/>
        <w:rPr>
          <w:rFonts w:eastAsia="仿宋_GB2312"/>
          <w:sz w:val="32"/>
          <w:szCs w:val="32"/>
          <w:lang w:val="zh-CN"/>
        </w:rPr>
      </w:pPr>
      <w:r>
        <w:rPr>
          <w:rFonts w:eastAsia="仿宋_GB2312"/>
          <w:sz w:val="32"/>
          <w:szCs w:val="32"/>
        </w:rPr>
        <w:t>22</w:t>
      </w:r>
      <w:r>
        <w:rPr>
          <w:rFonts w:eastAsia="仿宋_GB2312"/>
          <w:sz w:val="32"/>
          <w:szCs w:val="32"/>
          <w:lang w:val="zh-CN"/>
        </w:rPr>
        <w:t>．住房保障支出（类）住房改革支出（款）住房公积金（项）：反映行政事业单位按人力资源和社会保障部、财政部规定的基本工资和津贴补贴以及规定比例为职工缴纳的住房公积金。</w:t>
      </w:r>
    </w:p>
    <w:p>
      <w:pPr>
        <w:overflowPunct w:val="0"/>
        <w:spacing w:line="560" w:lineRule="exact"/>
        <w:ind w:firstLine="640" w:firstLineChars="200"/>
        <w:rPr>
          <w:rFonts w:eastAsia="仿宋_GB2312"/>
          <w:sz w:val="32"/>
          <w:szCs w:val="32"/>
          <w:lang w:val="zh-CN"/>
        </w:rPr>
      </w:pPr>
      <w:r>
        <w:rPr>
          <w:rFonts w:eastAsia="仿宋_GB2312"/>
          <w:sz w:val="32"/>
          <w:szCs w:val="32"/>
        </w:rPr>
        <w:t>23</w:t>
      </w:r>
      <w:r>
        <w:rPr>
          <w:rFonts w:eastAsia="仿宋_GB2312"/>
          <w:sz w:val="32"/>
          <w:szCs w:val="32"/>
          <w:lang w:val="zh-CN"/>
        </w:rPr>
        <w:t>．基本支出：指为保障机构正常运转、完成日常工作任务而发生的人员支出和公用支出。</w:t>
      </w:r>
    </w:p>
    <w:p>
      <w:pPr>
        <w:overflowPunct w:val="0"/>
        <w:spacing w:line="560" w:lineRule="exact"/>
        <w:ind w:firstLine="640" w:firstLineChars="200"/>
        <w:rPr>
          <w:rFonts w:eastAsia="仿宋_GB2312"/>
          <w:sz w:val="32"/>
          <w:szCs w:val="32"/>
          <w:lang w:val="zh-CN"/>
        </w:rPr>
      </w:pPr>
      <w:r>
        <w:rPr>
          <w:rFonts w:eastAsia="仿宋_GB2312"/>
          <w:sz w:val="32"/>
          <w:szCs w:val="32"/>
        </w:rPr>
        <w:t>24</w:t>
      </w:r>
      <w:r>
        <w:rPr>
          <w:rFonts w:eastAsia="仿宋_GB2312"/>
          <w:sz w:val="32"/>
          <w:szCs w:val="32"/>
          <w:lang w:val="zh-CN"/>
        </w:rPr>
        <w:t>．项目支出：指在基本支出之外为完成特定行政任务和事业发展目标所发生的支出。</w:t>
      </w:r>
    </w:p>
    <w:p>
      <w:pPr>
        <w:overflowPunct w:val="0"/>
        <w:spacing w:line="560" w:lineRule="exact"/>
        <w:ind w:firstLine="640" w:firstLineChars="200"/>
        <w:rPr>
          <w:rFonts w:eastAsia="仿宋_GB2312"/>
          <w:sz w:val="32"/>
          <w:szCs w:val="32"/>
          <w:lang w:val="zh-CN"/>
        </w:rPr>
      </w:pPr>
      <w:r>
        <w:rPr>
          <w:rFonts w:eastAsia="仿宋_GB2312"/>
          <w:sz w:val="32"/>
          <w:szCs w:val="32"/>
        </w:rPr>
        <w:t>25</w:t>
      </w:r>
      <w:r>
        <w:rPr>
          <w:rFonts w:eastAsia="仿宋_GB2312"/>
          <w:sz w:val="32"/>
          <w:szCs w:val="32"/>
          <w:lang w:val="zh-CN"/>
        </w:rPr>
        <w:t>．“三公”经费：指部门用财政拨款安排的因公出国（境）费、公务用车购置及运行费和公务接待费。其中，因公出国（境）费反映单位公务出国（境）的国际旅费、国外城市间交通费、住宿费、伙食费、培训费、公杂费等支出；公务用车</w:t>
      </w:r>
      <w:r>
        <w:rPr>
          <w:rFonts w:hint="eastAsia" w:eastAsia="仿宋_GB2312"/>
          <w:sz w:val="32"/>
          <w:szCs w:val="32"/>
        </w:rPr>
        <w:t>运行维护</w:t>
      </w:r>
      <w:r>
        <w:rPr>
          <w:rFonts w:eastAsia="仿宋_GB2312"/>
          <w:sz w:val="32"/>
          <w:szCs w:val="32"/>
          <w:lang w:val="zh-CN"/>
        </w:rPr>
        <w:t>费反映单位</w:t>
      </w:r>
      <w:r>
        <w:rPr>
          <w:rFonts w:hint="eastAsia" w:eastAsia="仿宋_GB2312"/>
          <w:sz w:val="32"/>
          <w:szCs w:val="32"/>
        </w:rPr>
        <w:t>按规定保留的</w:t>
      </w:r>
      <w:r>
        <w:rPr>
          <w:rFonts w:eastAsia="仿宋_GB2312"/>
          <w:sz w:val="32"/>
          <w:szCs w:val="32"/>
          <w:lang w:val="zh-CN"/>
        </w:rPr>
        <w:t>公务用车燃料费、维修费、过桥过路费、保险费</w:t>
      </w:r>
      <w:r>
        <w:rPr>
          <w:rFonts w:hint="eastAsia" w:eastAsia="仿宋_GB2312"/>
          <w:sz w:val="32"/>
          <w:szCs w:val="32"/>
          <w:lang w:val="zh-CN"/>
        </w:rPr>
        <w:t>、</w:t>
      </w:r>
      <w:r>
        <w:rPr>
          <w:rFonts w:hint="eastAsia" w:eastAsia="仿宋_GB2312"/>
          <w:sz w:val="32"/>
          <w:szCs w:val="32"/>
        </w:rPr>
        <w:t>安全奖励费用</w:t>
      </w:r>
      <w:r>
        <w:rPr>
          <w:rFonts w:eastAsia="仿宋_GB2312"/>
          <w:sz w:val="32"/>
          <w:szCs w:val="32"/>
          <w:lang w:val="zh-CN"/>
        </w:rPr>
        <w:t>等支出；公务接待费反映单位按规定开支的各类公务接待（含外宾接待）支出。</w:t>
      </w:r>
    </w:p>
    <w:p>
      <w:pPr>
        <w:overflowPunct w:val="0"/>
        <w:spacing w:line="560" w:lineRule="exact"/>
        <w:ind w:firstLine="640" w:firstLineChars="200"/>
        <w:rPr>
          <w:rFonts w:eastAsia="仿宋_GB2312"/>
          <w:sz w:val="32"/>
          <w:szCs w:val="32"/>
          <w:lang w:val="zh-CN"/>
        </w:rPr>
      </w:pPr>
      <w:r>
        <w:rPr>
          <w:rFonts w:eastAsia="仿宋_GB2312"/>
          <w:sz w:val="32"/>
          <w:szCs w:val="32"/>
        </w:rPr>
        <w:t>26</w:t>
      </w:r>
      <w:r>
        <w:rPr>
          <w:rFonts w:eastAsia="仿宋_GB2312"/>
          <w:sz w:val="32"/>
          <w:szCs w:val="32"/>
          <w:lang w:val="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79" w:lineRule="auto"/>
        <w:jc w:val="center"/>
        <w:outlineLvl w:val="0"/>
        <w:rPr>
          <w:rStyle w:val="30"/>
          <w:rFonts w:eastAsia="黑体"/>
          <w:b w:val="0"/>
        </w:rPr>
      </w:pPr>
      <w:bookmarkStart w:id="66" w:name="_Toc15377226"/>
      <w:r>
        <w:rPr>
          <w:b/>
          <w:sz w:val="44"/>
          <w:szCs w:val="44"/>
        </w:rPr>
        <w:br w:type="page"/>
      </w:r>
      <w:bookmarkStart w:id="67" w:name="_Toc15396614"/>
      <w:bookmarkStart w:id="68" w:name="_Toc25473"/>
      <w:r>
        <w:rPr>
          <w:rStyle w:val="30"/>
          <w:rFonts w:eastAsia="黑体"/>
          <w:b w:val="0"/>
          <w:bCs w:val="0"/>
        </w:rPr>
        <w:t>第四部分 附件</w:t>
      </w:r>
      <w:bookmarkEnd w:id="67"/>
      <w:bookmarkEnd w:id="68"/>
    </w:p>
    <w:p>
      <w:pPr>
        <w:ind w:firstLine="800" w:firstLineChars="250"/>
        <w:rPr>
          <w:rFonts w:eastAsia="仿宋_GB2312"/>
          <w:sz w:val="32"/>
          <w:szCs w:val="32"/>
          <w:shd w:val="clear" w:color="auto" w:fill="FFFFFF"/>
        </w:rPr>
      </w:pPr>
    </w:p>
    <w:p>
      <w:pPr>
        <w:pStyle w:val="3"/>
        <w:spacing w:before="0" w:after="0" w:line="240" w:lineRule="auto"/>
        <w:jc w:val="center"/>
        <w:rPr>
          <w:rFonts w:ascii="Times New Roman" w:hAnsi="Times New Roman" w:eastAsia="方正小标宋简体" w:cs="Times New Roman"/>
          <w:b w:val="0"/>
          <w:bCs w:val="0"/>
        </w:rPr>
      </w:pPr>
      <w:bookmarkStart w:id="69" w:name="_Toc22881"/>
      <w:r>
        <w:rPr>
          <w:rFonts w:ascii="Times New Roman" w:hAnsi="Times New Roman" w:eastAsia="方正小标宋简体" w:cs="Times New Roman"/>
          <w:b w:val="0"/>
          <w:bCs w:val="0"/>
        </w:rPr>
        <w:t>附件1 盐边县人民政府办公室2022年部门整体绩效评价报告</w:t>
      </w:r>
      <w:bookmarkEnd w:id="69"/>
    </w:p>
    <w:p>
      <w:pPr>
        <w:overflowPunct w:val="0"/>
        <w:spacing w:line="560" w:lineRule="exact"/>
        <w:ind w:firstLine="420" w:firstLineChars="200"/>
      </w:pPr>
    </w:p>
    <w:p>
      <w:pPr>
        <w:overflowPunct w:val="0"/>
        <w:spacing w:line="560" w:lineRule="exact"/>
        <w:ind w:firstLine="640" w:firstLineChars="200"/>
        <w:rPr>
          <w:rFonts w:eastAsia="黑体"/>
          <w:sz w:val="32"/>
          <w:szCs w:val="32"/>
          <w:lang w:val="zh-CN"/>
        </w:rPr>
      </w:pPr>
      <w:r>
        <w:rPr>
          <w:rFonts w:eastAsia="黑体"/>
          <w:sz w:val="32"/>
          <w:szCs w:val="32"/>
        </w:rPr>
        <w:t>一、</w:t>
      </w:r>
      <w:r>
        <w:rPr>
          <w:rFonts w:eastAsia="黑体"/>
          <w:sz w:val="32"/>
          <w:szCs w:val="32"/>
          <w:lang w:val="zh-CN"/>
        </w:rPr>
        <w:t>部门（单位）基本情况</w:t>
      </w:r>
    </w:p>
    <w:p>
      <w:pPr>
        <w:overflowPunct w:val="0"/>
        <w:spacing w:line="560" w:lineRule="exact"/>
        <w:ind w:firstLine="640" w:firstLineChars="200"/>
        <w:rPr>
          <w:rFonts w:eastAsia="楷体_GB2312"/>
          <w:sz w:val="32"/>
          <w:szCs w:val="32"/>
        </w:rPr>
      </w:pPr>
      <w:r>
        <w:rPr>
          <w:rFonts w:eastAsia="楷体_GB2312"/>
          <w:sz w:val="32"/>
          <w:szCs w:val="32"/>
          <w:lang w:val="zh-CN"/>
        </w:rPr>
        <w:t>（</w:t>
      </w:r>
      <w:r>
        <w:rPr>
          <w:rFonts w:eastAsia="楷体_GB2312"/>
          <w:sz w:val="32"/>
          <w:szCs w:val="32"/>
        </w:rPr>
        <w:t>一</w:t>
      </w:r>
      <w:r>
        <w:rPr>
          <w:rFonts w:eastAsia="楷体_GB2312"/>
          <w:sz w:val="32"/>
          <w:szCs w:val="32"/>
          <w:lang w:val="zh-CN"/>
        </w:rPr>
        <w:t>）机构组成</w:t>
      </w:r>
    </w:p>
    <w:p>
      <w:pPr>
        <w:overflowPunct w:val="0"/>
        <w:spacing w:line="560" w:lineRule="exact"/>
        <w:ind w:firstLine="640" w:firstLineChars="200"/>
        <w:rPr>
          <w:rFonts w:eastAsia="仿宋_GB2312"/>
          <w:sz w:val="32"/>
          <w:szCs w:val="32"/>
        </w:rPr>
      </w:pPr>
      <w:r>
        <w:rPr>
          <w:rFonts w:eastAsia="仿宋_GB2312"/>
          <w:sz w:val="32"/>
          <w:szCs w:val="32"/>
        </w:rPr>
        <w:t>县政府办公室下属公益一类事业单位1个，下设</w:t>
      </w:r>
      <w:r>
        <w:rPr>
          <w:rFonts w:eastAsia="仿宋_GB2312"/>
          <w:sz w:val="32"/>
          <w:szCs w:val="32"/>
          <w:lang w:val="zh-CN"/>
        </w:rPr>
        <w:t>行政股、综合一股、综合二股、文电股、政研股、信息股、总值班室</w:t>
      </w:r>
      <w:r>
        <w:rPr>
          <w:rFonts w:eastAsia="仿宋_GB2312"/>
          <w:sz w:val="32"/>
          <w:szCs w:val="32"/>
        </w:rPr>
        <w:t>7个股室。</w:t>
      </w:r>
    </w:p>
    <w:p>
      <w:pPr>
        <w:overflowPunct w:val="0"/>
        <w:spacing w:line="560" w:lineRule="exact"/>
        <w:ind w:firstLine="640" w:firstLineChars="200"/>
        <w:rPr>
          <w:rFonts w:eastAsia="楷体_GB2312"/>
          <w:sz w:val="32"/>
          <w:szCs w:val="32"/>
          <w:lang w:val="zh-CN"/>
        </w:rPr>
      </w:pPr>
      <w:r>
        <w:rPr>
          <w:rFonts w:eastAsia="楷体_GB2312"/>
          <w:sz w:val="32"/>
          <w:szCs w:val="32"/>
          <w:lang w:val="zh-CN"/>
        </w:rPr>
        <w:t>（</w:t>
      </w:r>
      <w:r>
        <w:rPr>
          <w:rFonts w:eastAsia="楷体_GB2312"/>
          <w:sz w:val="32"/>
          <w:szCs w:val="32"/>
        </w:rPr>
        <w:t>二</w:t>
      </w:r>
      <w:r>
        <w:rPr>
          <w:rFonts w:eastAsia="楷体_GB2312"/>
          <w:sz w:val="32"/>
          <w:szCs w:val="32"/>
          <w:lang w:val="zh-CN"/>
        </w:rPr>
        <w:t>）机构职能和人员概况</w:t>
      </w:r>
    </w:p>
    <w:p>
      <w:pPr>
        <w:overflowPunct w:val="0"/>
        <w:spacing w:line="560" w:lineRule="exact"/>
        <w:ind w:firstLine="640" w:firstLineChars="200"/>
        <w:rPr>
          <w:rFonts w:eastAsia="仿宋_GB2312"/>
          <w:sz w:val="32"/>
          <w:szCs w:val="32"/>
          <w:lang w:val="zh-CN"/>
        </w:rPr>
      </w:pPr>
      <w:r>
        <w:rPr>
          <w:rFonts w:eastAsia="仿宋_GB2312"/>
          <w:sz w:val="32"/>
          <w:szCs w:val="32"/>
        </w:rPr>
        <w:t>1</w:t>
      </w:r>
      <w:r>
        <w:rPr>
          <w:rFonts w:eastAsia="仿宋_GB2312"/>
          <w:sz w:val="32"/>
          <w:szCs w:val="32"/>
          <w:lang w:val="zh-CN"/>
        </w:rPr>
        <w:t>．协助县政府领导同志组织起草或审核以县政府、县政府办公室名义发布的公文。办理省政府、省政府办公厅及省级部门和市政府、市政府办公室及市级部门发送县政府的文电。指导全县行政机关公文处理工作。</w:t>
      </w:r>
    </w:p>
    <w:p>
      <w:pPr>
        <w:overflowPunct w:val="0"/>
        <w:spacing w:line="560" w:lineRule="exact"/>
        <w:ind w:firstLine="640" w:firstLineChars="200"/>
        <w:rPr>
          <w:rFonts w:eastAsia="仿宋_GB2312"/>
          <w:sz w:val="32"/>
          <w:szCs w:val="32"/>
          <w:lang w:val="zh-CN"/>
        </w:rPr>
      </w:pPr>
      <w:r>
        <w:rPr>
          <w:rFonts w:eastAsia="仿宋_GB2312"/>
          <w:sz w:val="32"/>
          <w:szCs w:val="32"/>
        </w:rPr>
        <w:t>2</w:t>
      </w:r>
      <w:r>
        <w:rPr>
          <w:rFonts w:eastAsia="仿宋_GB2312"/>
          <w:sz w:val="32"/>
          <w:szCs w:val="32"/>
          <w:lang w:val="zh-CN"/>
        </w:rPr>
        <w:t>．研究县政府部门和乡（镇）人民政府、县政府派出机构请示县政府的事项，提出审核意见，报县政府领导同志审批。</w:t>
      </w:r>
    </w:p>
    <w:p>
      <w:pPr>
        <w:overflowPunct w:val="0"/>
        <w:spacing w:line="560" w:lineRule="exact"/>
        <w:ind w:firstLine="640" w:firstLineChars="200"/>
        <w:rPr>
          <w:rFonts w:eastAsia="仿宋_GB2312"/>
          <w:sz w:val="32"/>
          <w:szCs w:val="32"/>
          <w:lang w:val="zh-CN"/>
        </w:rPr>
      </w:pPr>
      <w:r>
        <w:rPr>
          <w:rFonts w:eastAsia="仿宋_GB2312"/>
          <w:sz w:val="32"/>
          <w:szCs w:val="32"/>
        </w:rPr>
        <w:t>3</w:t>
      </w:r>
      <w:r>
        <w:rPr>
          <w:rFonts w:eastAsia="仿宋_GB2312"/>
          <w:sz w:val="32"/>
          <w:szCs w:val="32"/>
          <w:lang w:val="zh-CN"/>
        </w:rPr>
        <w:t>．负责县政府会议的准备工作，协助县政府领导同志组织实施会议决定事项。</w:t>
      </w:r>
    </w:p>
    <w:p>
      <w:pPr>
        <w:overflowPunct w:val="0"/>
        <w:spacing w:line="560" w:lineRule="exact"/>
        <w:ind w:firstLine="640" w:firstLineChars="200"/>
        <w:rPr>
          <w:rFonts w:eastAsia="仿宋_GB2312"/>
          <w:sz w:val="32"/>
          <w:szCs w:val="32"/>
          <w:lang w:val="zh-CN"/>
        </w:rPr>
      </w:pPr>
      <w:r>
        <w:rPr>
          <w:rFonts w:eastAsia="仿宋_GB2312"/>
          <w:sz w:val="32"/>
          <w:szCs w:val="32"/>
        </w:rPr>
        <w:t>4</w:t>
      </w:r>
      <w:r>
        <w:rPr>
          <w:rFonts w:eastAsia="仿宋_GB2312"/>
          <w:sz w:val="32"/>
          <w:szCs w:val="32"/>
          <w:lang w:val="zh-CN"/>
        </w:rPr>
        <w:t>．督促检查县政府部门和乡（镇）人民政府、县政府派出机构对县政府决定事项及县政府领导同志指示的贯彻落实情况，及时向县政府领导同志报告。</w:t>
      </w:r>
    </w:p>
    <w:p>
      <w:pPr>
        <w:overflowPunct w:val="0"/>
        <w:spacing w:line="560" w:lineRule="exact"/>
        <w:ind w:firstLine="640" w:firstLineChars="200"/>
        <w:rPr>
          <w:rFonts w:eastAsia="仿宋_GB2312"/>
          <w:sz w:val="32"/>
          <w:szCs w:val="32"/>
          <w:lang w:val="zh-CN"/>
        </w:rPr>
      </w:pPr>
      <w:r>
        <w:rPr>
          <w:rFonts w:eastAsia="仿宋_GB2312"/>
          <w:sz w:val="32"/>
          <w:szCs w:val="32"/>
        </w:rPr>
        <w:t>5</w:t>
      </w:r>
      <w:r>
        <w:rPr>
          <w:rFonts w:eastAsia="仿宋_GB2312"/>
          <w:sz w:val="32"/>
          <w:szCs w:val="32"/>
          <w:lang w:val="zh-CN"/>
        </w:rPr>
        <w:t>．根据县政府领导同志的指示，对县政府部门间争议问题提出处理意见和建议，报县政府领导同志决定。</w:t>
      </w:r>
    </w:p>
    <w:p>
      <w:pPr>
        <w:overflowPunct w:val="0"/>
        <w:spacing w:line="560" w:lineRule="exact"/>
        <w:ind w:firstLine="640" w:firstLineChars="200"/>
        <w:rPr>
          <w:rFonts w:eastAsia="仿宋_GB2312"/>
          <w:sz w:val="32"/>
          <w:szCs w:val="32"/>
          <w:lang w:val="zh-CN"/>
        </w:rPr>
      </w:pPr>
      <w:r>
        <w:rPr>
          <w:rFonts w:eastAsia="仿宋_GB2312"/>
          <w:sz w:val="32"/>
          <w:szCs w:val="32"/>
        </w:rPr>
        <w:t>6</w:t>
      </w:r>
      <w:r>
        <w:rPr>
          <w:rFonts w:eastAsia="仿宋_GB2312"/>
          <w:sz w:val="32"/>
          <w:szCs w:val="32"/>
          <w:lang w:val="zh-CN"/>
        </w:rPr>
        <w:t>．负责县政府值班工作，指导县政府部门和乡（镇）人民政府、县政府派出机构值班工作，及时报告重要情况。</w:t>
      </w:r>
    </w:p>
    <w:p>
      <w:pPr>
        <w:overflowPunct w:val="0"/>
        <w:spacing w:line="560" w:lineRule="exact"/>
        <w:ind w:firstLine="640" w:firstLineChars="200"/>
        <w:rPr>
          <w:rFonts w:eastAsia="仿宋_GB2312"/>
          <w:sz w:val="32"/>
          <w:szCs w:val="32"/>
          <w:lang w:val="zh-CN"/>
        </w:rPr>
      </w:pPr>
      <w:r>
        <w:rPr>
          <w:rFonts w:eastAsia="仿宋_GB2312"/>
          <w:sz w:val="32"/>
          <w:szCs w:val="32"/>
        </w:rPr>
        <w:t>7</w:t>
      </w:r>
      <w:r>
        <w:rPr>
          <w:rFonts w:eastAsia="仿宋_GB2312"/>
          <w:sz w:val="32"/>
          <w:szCs w:val="32"/>
          <w:lang w:val="zh-CN"/>
        </w:rPr>
        <w:t>．指导、监督全县政府信息公开工作，指导、监督全县政府系统电子政务工作和政府网站建设。</w:t>
      </w:r>
    </w:p>
    <w:p>
      <w:pPr>
        <w:overflowPunct w:val="0"/>
        <w:spacing w:line="560" w:lineRule="exact"/>
        <w:ind w:firstLine="640" w:firstLineChars="200"/>
        <w:rPr>
          <w:rFonts w:eastAsia="仿宋_GB2312"/>
          <w:sz w:val="32"/>
          <w:szCs w:val="32"/>
          <w:lang w:val="zh-CN"/>
        </w:rPr>
      </w:pPr>
      <w:r>
        <w:rPr>
          <w:rFonts w:eastAsia="仿宋_GB2312"/>
          <w:sz w:val="32"/>
          <w:szCs w:val="32"/>
        </w:rPr>
        <w:t>8</w:t>
      </w:r>
      <w:r>
        <w:rPr>
          <w:rFonts w:eastAsia="仿宋_GB2312"/>
          <w:sz w:val="32"/>
          <w:szCs w:val="32"/>
          <w:lang w:val="zh-CN"/>
        </w:rPr>
        <w:t>．负责县政府部门和乡（镇）人民政府、县政府派出机构目标（绩效）管理工作，牵头负责全县民生工程工作的实施和推进，组织办理涉及县政府工作的人大代表议案、批评、建议和政协委员提案、建议案。</w:t>
      </w:r>
    </w:p>
    <w:p>
      <w:pPr>
        <w:overflowPunct w:val="0"/>
        <w:spacing w:line="560" w:lineRule="exact"/>
        <w:ind w:firstLine="640" w:firstLineChars="200"/>
        <w:rPr>
          <w:rFonts w:eastAsia="仿宋_GB2312"/>
          <w:sz w:val="32"/>
          <w:szCs w:val="32"/>
          <w:lang w:val="zh-CN"/>
        </w:rPr>
      </w:pPr>
      <w:r>
        <w:rPr>
          <w:rFonts w:eastAsia="仿宋_GB2312"/>
          <w:sz w:val="32"/>
          <w:szCs w:val="32"/>
        </w:rPr>
        <w:t>9</w:t>
      </w:r>
      <w:r>
        <w:rPr>
          <w:rFonts w:eastAsia="仿宋_GB2312"/>
          <w:sz w:val="32"/>
          <w:szCs w:val="32"/>
          <w:lang w:val="zh-CN"/>
        </w:rPr>
        <w:t>．指导全县应急管理工作，协助县政府领导同志做好需由县政府组织处理的突发事件的应急处置工作，指导全县抗灾救灾工作。</w:t>
      </w:r>
    </w:p>
    <w:p>
      <w:pPr>
        <w:overflowPunct w:val="0"/>
        <w:spacing w:line="560" w:lineRule="exact"/>
        <w:ind w:firstLine="640" w:firstLineChars="200"/>
        <w:rPr>
          <w:rFonts w:eastAsia="仿宋_GB2312"/>
          <w:sz w:val="32"/>
          <w:szCs w:val="32"/>
          <w:lang w:val="zh-CN"/>
        </w:rPr>
      </w:pPr>
      <w:r>
        <w:rPr>
          <w:rFonts w:eastAsia="仿宋_GB2312"/>
          <w:sz w:val="32"/>
          <w:szCs w:val="32"/>
        </w:rPr>
        <w:t>10</w:t>
      </w:r>
      <w:r>
        <w:rPr>
          <w:rFonts w:eastAsia="仿宋_GB2312"/>
          <w:sz w:val="32"/>
          <w:szCs w:val="32"/>
          <w:lang w:val="zh-CN"/>
        </w:rPr>
        <w:t>．围绕县政府中心工作和县政府领导同志的指示，组织专题调查研究，及时反映情况，提出政策性建议。</w:t>
      </w:r>
    </w:p>
    <w:p>
      <w:pPr>
        <w:overflowPunct w:val="0"/>
        <w:spacing w:line="560" w:lineRule="exact"/>
        <w:ind w:firstLine="640" w:firstLineChars="200"/>
        <w:rPr>
          <w:rFonts w:eastAsia="仿宋_GB2312"/>
          <w:sz w:val="32"/>
          <w:szCs w:val="32"/>
          <w:lang w:val="zh-CN"/>
        </w:rPr>
      </w:pPr>
      <w:r>
        <w:rPr>
          <w:rFonts w:eastAsia="仿宋_GB2312"/>
          <w:sz w:val="32"/>
          <w:szCs w:val="32"/>
        </w:rPr>
        <w:t>11</w:t>
      </w:r>
      <w:r>
        <w:rPr>
          <w:rFonts w:eastAsia="仿宋_GB2312"/>
          <w:sz w:val="32"/>
          <w:szCs w:val="32"/>
          <w:lang w:val="zh-CN"/>
        </w:rPr>
        <w:t>．统筹管理全县外事工作，归口管理全县因公出国（境）工作，负责全县涉外管理、相关礼宾接待、国际友好城市缔结和对外友协工作，办理其他相关涉外事务。</w:t>
      </w:r>
    </w:p>
    <w:p>
      <w:pPr>
        <w:overflowPunct w:val="0"/>
        <w:spacing w:line="560" w:lineRule="exact"/>
        <w:ind w:firstLine="640" w:firstLineChars="200"/>
        <w:rPr>
          <w:rFonts w:eastAsia="仿宋_GB2312"/>
          <w:sz w:val="32"/>
          <w:szCs w:val="32"/>
          <w:lang w:val="zh-CN"/>
        </w:rPr>
      </w:pPr>
      <w:r>
        <w:rPr>
          <w:rFonts w:eastAsia="仿宋_GB2312"/>
          <w:sz w:val="32"/>
          <w:szCs w:val="32"/>
        </w:rPr>
        <w:t>12</w:t>
      </w:r>
      <w:r>
        <w:rPr>
          <w:rFonts w:eastAsia="仿宋_GB2312"/>
          <w:sz w:val="32"/>
          <w:szCs w:val="32"/>
          <w:lang w:val="zh-CN"/>
        </w:rPr>
        <w:t>．负责县政府法制工作，负责全县依法行政工作的组织协调和监督指导，负责县政府规范性文件的合法性审查和制定工作，依法开展行政执法监督工作，做好行政复议、行政应诉工作。</w:t>
      </w:r>
    </w:p>
    <w:p>
      <w:pPr>
        <w:overflowPunct w:val="0"/>
        <w:spacing w:line="560" w:lineRule="exact"/>
        <w:ind w:firstLine="640" w:firstLineChars="200"/>
        <w:rPr>
          <w:rFonts w:eastAsia="仿宋_GB2312"/>
          <w:sz w:val="32"/>
          <w:szCs w:val="32"/>
          <w:lang w:val="zh-CN"/>
        </w:rPr>
      </w:pPr>
      <w:r>
        <w:rPr>
          <w:rFonts w:eastAsia="仿宋_GB2312"/>
          <w:sz w:val="32"/>
          <w:szCs w:val="32"/>
        </w:rPr>
        <w:t>13</w:t>
      </w:r>
      <w:r>
        <w:rPr>
          <w:rFonts w:eastAsia="仿宋_GB2312"/>
          <w:sz w:val="32"/>
          <w:szCs w:val="32"/>
          <w:lang w:val="zh-CN"/>
        </w:rPr>
        <w:t>．负责县政府驻外机构的管理工作。</w:t>
      </w:r>
    </w:p>
    <w:p>
      <w:pPr>
        <w:overflowPunct w:val="0"/>
        <w:spacing w:line="560" w:lineRule="exact"/>
        <w:ind w:firstLine="640" w:firstLineChars="200"/>
        <w:rPr>
          <w:rFonts w:eastAsia="仿宋_GB2312"/>
          <w:sz w:val="32"/>
          <w:szCs w:val="32"/>
          <w:lang w:val="zh-CN"/>
        </w:rPr>
      </w:pPr>
      <w:r>
        <w:rPr>
          <w:rFonts w:eastAsia="仿宋_GB2312"/>
          <w:sz w:val="32"/>
          <w:szCs w:val="32"/>
        </w:rPr>
        <w:t>14</w:t>
      </w:r>
      <w:r>
        <w:rPr>
          <w:rFonts w:eastAsia="仿宋_GB2312"/>
          <w:sz w:val="32"/>
          <w:szCs w:val="32"/>
          <w:lang w:val="zh-CN"/>
        </w:rPr>
        <w:t>．承担县政府公布的有关行政审批事项。</w:t>
      </w:r>
    </w:p>
    <w:p>
      <w:pPr>
        <w:overflowPunct w:val="0"/>
        <w:spacing w:line="560" w:lineRule="exact"/>
        <w:ind w:firstLine="640" w:firstLineChars="200"/>
        <w:rPr>
          <w:rFonts w:eastAsia="仿宋_GB2312"/>
          <w:sz w:val="32"/>
          <w:szCs w:val="32"/>
        </w:rPr>
      </w:pPr>
      <w:r>
        <w:rPr>
          <w:rFonts w:eastAsia="仿宋_GB2312"/>
          <w:sz w:val="32"/>
          <w:szCs w:val="32"/>
        </w:rPr>
        <w:t>15</w:t>
      </w:r>
      <w:r>
        <w:rPr>
          <w:rFonts w:eastAsia="仿宋_GB2312"/>
          <w:sz w:val="32"/>
          <w:szCs w:val="32"/>
          <w:lang w:val="zh-CN"/>
        </w:rPr>
        <w:t>．</w:t>
      </w:r>
      <w:r>
        <w:rPr>
          <w:rFonts w:eastAsia="仿宋_GB2312"/>
          <w:sz w:val="32"/>
          <w:szCs w:val="32"/>
        </w:rPr>
        <w:t>负责全县机关效能建设工作。</w:t>
      </w:r>
    </w:p>
    <w:p>
      <w:pPr>
        <w:overflowPunct w:val="0"/>
        <w:spacing w:line="560" w:lineRule="exact"/>
        <w:ind w:firstLine="640" w:firstLineChars="200"/>
        <w:rPr>
          <w:rFonts w:eastAsia="仿宋_GB2312"/>
          <w:sz w:val="32"/>
          <w:szCs w:val="32"/>
          <w:lang w:val="zh-CN"/>
        </w:rPr>
      </w:pPr>
      <w:r>
        <w:rPr>
          <w:rFonts w:eastAsia="仿宋_GB2312"/>
          <w:sz w:val="32"/>
          <w:szCs w:val="32"/>
        </w:rPr>
        <w:t>16</w:t>
      </w:r>
      <w:r>
        <w:rPr>
          <w:rFonts w:eastAsia="仿宋_GB2312"/>
          <w:sz w:val="32"/>
          <w:szCs w:val="32"/>
          <w:lang w:val="zh-CN"/>
        </w:rPr>
        <w:t>．</w:t>
      </w:r>
      <w:r>
        <w:rPr>
          <w:rFonts w:eastAsia="仿宋_GB2312"/>
          <w:sz w:val="32"/>
          <w:szCs w:val="32"/>
        </w:rPr>
        <w:t>承办县政府和县政府领导同志交办的其他事项。</w:t>
      </w:r>
    </w:p>
    <w:p>
      <w:pPr>
        <w:overflowPunct w:val="0"/>
        <w:spacing w:line="560" w:lineRule="exact"/>
        <w:ind w:firstLine="640" w:firstLineChars="200"/>
        <w:rPr>
          <w:rFonts w:eastAsia="仿宋_GB2312"/>
          <w:sz w:val="32"/>
          <w:szCs w:val="32"/>
        </w:rPr>
      </w:pPr>
      <w:r>
        <w:rPr>
          <w:rFonts w:eastAsia="仿宋_GB2312"/>
          <w:sz w:val="32"/>
          <w:szCs w:val="32"/>
        </w:rPr>
        <w:t>2022年，办公室年末在职人员实有人数34人，其中行政人员26人，事业人员8</w:t>
      </w:r>
      <w:r>
        <w:rPr>
          <w:rFonts w:hint="eastAsia" w:eastAsia="仿宋_GB2312"/>
          <w:sz w:val="32"/>
          <w:szCs w:val="32"/>
        </w:rPr>
        <w:t>人</w:t>
      </w:r>
      <w:r>
        <w:rPr>
          <w:rFonts w:eastAsia="仿宋_GB2312"/>
          <w:sz w:val="32"/>
          <w:szCs w:val="32"/>
        </w:rPr>
        <w:t>。退休人员17人。</w:t>
      </w:r>
    </w:p>
    <w:p>
      <w:pPr>
        <w:overflowPunct w:val="0"/>
        <w:spacing w:line="560" w:lineRule="exact"/>
        <w:ind w:firstLine="640" w:firstLineChars="200"/>
        <w:rPr>
          <w:rFonts w:eastAsia="楷体_GB2312"/>
          <w:sz w:val="32"/>
          <w:szCs w:val="32"/>
          <w:lang w:val="zh-CN"/>
        </w:rPr>
      </w:pPr>
      <w:r>
        <w:rPr>
          <w:rFonts w:eastAsia="楷体_GB2312"/>
          <w:sz w:val="32"/>
          <w:szCs w:val="32"/>
          <w:lang w:val="zh-CN"/>
        </w:rPr>
        <w:t>（</w:t>
      </w:r>
      <w:r>
        <w:rPr>
          <w:rFonts w:eastAsia="楷体_GB2312"/>
          <w:sz w:val="32"/>
          <w:szCs w:val="32"/>
        </w:rPr>
        <w:t>三</w:t>
      </w:r>
      <w:r>
        <w:rPr>
          <w:rFonts w:eastAsia="楷体_GB2312"/>
          <w:sz w:val="32"/>
          <w:szCs w:val="32"/>
          <w:lang w:val="zh-CN"/>
        </w:rPr>
        <w:t>）年度主要工作任务</w:t>
      </w:r>
    </w:p>
    <w:p>
      <w:pPr>
        <w:overflowPunct w:val="0"/>
        <w:spacing w:line="560" w:lineRule="exact"/>
        <w:ind w:firstLine="640" w:firstLineChars="200"/>
        <w:rPr>
          <w:rFonts w:eastAsia="仿宋_GB2312"/>
          <w:sz w:val="32"/>
          <w:szCs w:val="32"/>
        </w:rPr>
      </w:pPr>
      <w:r>
        <w:rPr>
          <w:rFonts w:eastAsia="仿宋_GB2312"/>
          <w:sz w:val="32"/>
          <w:szCs w:val="32"/>
        </w:rPr>
        <w:t xml:space="preserve">2022年，在县委、县政府坚强领导下，县政府办坚定以习近平新时代中国特色社会主义思想为指导，认真学习贯彻党的二十大和二十届一中全会精神，深入贯彻落实习近平总书记来川视察重要指示精神，按照习近平总书记“五个坚持”总体要求，围绕全县“十四五”规划重点工作和经济社会发展重点，时刻牢记使命嘱托，保持敢打硬仗的拼劲、攻坚克难的干劲，以“严细实”作风努力干实事、开新局，克服多重困难，圆满完成各项任务。 </w:t>
      </w:r>
    </w:p>
    <w:p>
      <w:pPr>
        <w:overflowPunct w:val="0"/>
        <w:spacing w:line="560" w:lineRule="exact"/>
        <w:ind w:firstLine="640" w:firstLineChars="200"/>
        <w:rPr>
          <w:rFonts w:eastAsia="楷体_GB2312"/>
          <w:sz w:val="32"/>
          <w:szCs w:val="32"/>
        </w:rPr>
      </w:pPr>
      <w:r>
        <w:rPr>
          <w:rFonts w:eastAsia="楷体_GB2312"/>
          <w:sz w:val="32"/>
          <w:szCs w:val="32"/>
        </w:rPr>
        <w:t>（四）部门整体支出绩效目标</w:t>
      </w:r>
    </w:p>
    <w:p>
      <w:pPr>
        <w:overflowPunct w:val="0"/>
        <w:spacing w:line="560" w:lineRule="exact"/>
        <w:ind w:firstLine="640" w:firstLineChars="200"/>
        <w:rPr>
          <w:rFonts w:eastAsia="仿宋_GB2312"/>
          <w:sz w:val="32"/>
          <w:szCs w:val="32"/>
          <w:lang w:val="zh-CN"/>
        </w:rPr>
      </w:pPr>
      <w:r>
        <w:rPr>
          <w:rFonts w:eastAsia="仿宋_GB2312"/>
          <w:sz w:val="32"/>
          <w:szCs w:val="32"/>
        </w:rPr>
        <w:t>2022年，县政府办着眼服务全县工作大局，全力做好参谋辅政和服务协调，充分发挥运转中枢作用；加强政务运转保障，改进精文简会工作，提升“三办三服务”工作质效；提升行政效能，优化政务服务；强化督办督查职能，推动重大决策部署落地见效；厉行节约，坚守廉洁底线；在推动盐边县高质量发展中发挥积极作用。</w:t>
      </w:r>
    </w:p>
    <w:p>
      <w:pPr>
        <w:overflowPunct w:val="0"/>
        <w:spacing w:line="560" w:lineRule="exact"/>
        <w:ind w:firstLine="640" w:firstLineChars="200"/>
        <w:rPr>
          <w:rFonts w:eastAsia="黑体"/>
          <w:sz w:val="32"/>
          <w:szCs w:val="32"/>
        </w:rPr>
      </w:pPr>
      <w:r>
        <w:rPr>
          <w:rFonts w:eastAsia="黑体"/>
          <w:sz w:val="32"/>
          <w:szCs w:val="32"/>
        </w:rPr>
        <w:t>二、部门资金收支情况</w:t>
      </w:r>
    </w:p>
    <w:p>
      <w:pPr>
        <w:overflowPunct w:val="0"/>
        <w:spacing w:line="560" w:lineRule="exact"/>
        <w:ind w:firstLine="640" w:firstLineChars="200"/>
        <w:rPr>
          <w:rFonts w:eastAsia="楷体_GB2312"/>
          <w:sz w:val="32"/>
          <w:szCs w:val="32"/>
          <w:lang w:val="zh-CN"/>
        </w:rPr>
      </w:pPr>
      <w:r>
        <w:rPr>
          <w:rFonts w:eastAsia="楷体_GB2312"/>
          <w:sz w:val="32"/>
          <w:szCs w:val="32"/>
          <w:lang w:val="zh-CN"/>
        </w:rPr>
        <w:t>（一）部门总体收支情况</w:t>
      </w:r>
    </w:p>
    <w:p>
      <w:pPr>
        <w:overflowPunct w:val="0"/>
        <w:spacing w:line="560" w:lineRule="exact"/>
        <w:ind w:firstLine="640" w:firstLineChars="200"/>
        <w:rPr>
          <w:rFonts w:eastAsia="仿宋_GB2312"/>
          <w:sz w:val="32"/>
          <w:szCs w:val="32"/>
        </w:rPr>
      </w:pPr>
      <w:r>
        <w:rPr>
          <w:rFonts w:eastAsia="仿宋_GB2312"/>
          <w:sz w:val="32"/>
          <w:szCs w:val="32"/>
        </w:rPr>
        <w:t>1</w:t>
      </w:r>
      <w:r>
        <w:rPr>
          <w:rFonts w:eastAsia="仿宋_GB2312"/>
          <w:sz w:val="32"/>
          <w:szCs w:val="32"/>
          <w:lang w:val="zh-CN"/>
        </w:rPr>
        <w:t>．</w:t>
      </w:r>
      <w:r>
        <w:rPr>
          <w:rFonts w:eastAsia="仿宋_GB2312"/>
          <w:sz w:val="32"/>
          <w:szCs w:val="32"/>
        </w:rPr>
        <w:t>部门总体收入情况</w:t>
      </w:r>
    </w:p>
    <w:p>
      <w:pPr>
        <w:overflowPunct w:val="0"/>
        <w:spacing w:line="560" w:lineRule="exact"/>
        <w:ind w:firstLine="640" w:firstLineChars="200"/>
        <w:rPr>
          <w:rFonts w:eastAsia="仿宋_GB2312"/>
          <w:sz w:val="32"/>
          <w:szCs w:val="32"/>
        </w:rPr>
      </w:pPr>
      <w:r>
        <w:rPr>
          <w:rFonts w:eastAsia="仿宋_GB2312"/>
          <w:sz w:val="32"/>
          <w:szCs w:val="32"/>
        </w:rPr>
        <w:t>2022年度部门决算总收入938.47万元，其中：一般公共预算财政拨款决算收入938.47万元。</w:t>
      </w:r>
    </w:p>
    <w:p>
      <w:pPr>
        <w:overflowPunct w:val="0"/>
        <w:spacing w:line="560" w:lineRule="exact"/>
        <w:ind w:firstLine="640" w:firstLineChars="200"/>
        <w:rPr>
          <w:rFonts w:eastAsia="仿宋_GB2312"/>
          <w:sz w:val="32"/>
          <w:szCs w:val="32"/>
        </w:rPr>
      </w:pPr>
      <w:r>
        <w:rPr>
          <w:rFonts w:eastAsia="仿宋_GB2312"/>
          <w:sz w:val="32"/>
          <w:szCs w:val="32"/>
        </w:rPr>
        <w:t>2</w:t>
      </w:r>
      <w:r>
        <w:rPr>
          <w:rFonts w:eastAsia="仿宋_GB2312"/>
          <w:sz w:val="32"/>
          <w:szCs w:val="32"/>
          <w:lang w:val="zh-CN"/>
        </w:rPr>
        <w:t>．</w:t>
      </w:r>
      <w:r>
        <w:rPr>
          <w:rFonts w:eastAsia="仿宋_GB2312"/>
          <w:sz w:val="32"/>
          <w:szCs w:val="32"/>
        </w:rPr>
        <w:t>部门总体支出情况</w:t>
      </w:r>
    </w:p>
    <w:p>
      <w:pPr>
        <w:overflowPunct w:val="0"/>
        <w:spacing w:line="560" w:lineRule="exact"/>
        <w:ind w:firstLine="640" w:firstLineChars="200"/>
        <w:rPr>
          <w:rFonts w:eastAsia="仿宋_GB2312"/>
          <w:sz w:val="32"/>
          <w:szCs w:val="32"/>
        </w:rPr>
      </w:pPr>
      <w:r>
        <w:rPr>
          <w:rFonts w:eastAsia="仿宋_GB2312"/>
          <w:sz w:val="32"/>
          <w:szCs w:val="32"/>
        </w:rPr>
        <w:t>2022年度部门决算总支出938.47万元，其中，按支出性质分类，基本支出807.94万元（其中人员经费751.66万元、公用经费56.28万元），项目支出130.53万元；按支出经济分类，工资福利支出709.84万元，商品服务支出169.29万元，个人及家庭补助支出41.82万元，资本性支出17.52万元。</w:t>
      </w:r>
    </w:p>
    <w:p>
      <w:pPr>
        <w:overflowPunct w:val="0"/>
        <w:spacing w:line="560" w:lineRule="exact"/>
        <w:ind w:firstLine="640" w:firstLineChars="200"/>
        <w:rPr>
          <w:rFonts w:eastAsia="仿宋_GB2312"/>
          <w:sz w:val="32"/>
          <w:szCs w:val="32"/>
        </w:rPr>
      </w:pPr>
      <w:r>
        <w:rPr>
          <w:rFonts w:eastAsia="仿宋_GB2312"/>
          <w:sz w:val="32"/>
          <w:szCs w:val="32"/>
        </w:rPr>
        <w:t>3</w:t>
      </w:r>
      <w:r>
        <w:rPr>
          <w:rFonts w:eastAsia="仿宋_GB2312"/>
          <w:sz w:val="32"/>
          <w:szCs w:val="32"/>
          <w:lang w:val="zh-CN"/>
        </w:rPr>
        <w:t>．</w:t>
      </w:r>
      <w:r>
        <w:rPr>
          <w:rFonts w:eastAsia="仿宋_GB2312"/>
          <w:sz w:val="32"/>
          <w:szCs w:val="32"/>
        </w:rPr>
        <w:t>部门总体结转结余情况</w:t>
      </w:r>
    </w:p>
    <w:p>
      <w:pPr>
        <w:overflowPunct w:val="0"/>
        <w:spacing w:line="560" w:lineRule="exact"/>
        <w:ind w:firstLine="640" w:firstLineChars="200"/>
        <w:rPr>
          <w:rFonts w:eastAsia="仿宋_GB2312"/>
          <w:sz w:val="32"/>
          <w:szCs w:val="32"/>
        </w:rPr>
      </w:pPr>
      <w:r>
        <w:rPr>
          <w:rFonts w:eastAsia="仿宋_GB2312"/>
          <w:sz w:val="32"/>
          <w:szCs w:val="32"/>
        </w:rPr>
        <w:t>2022年部门总体结转结余0万元。</w:t>
      </w:r>
    </w:p>
    <w:p>
      <w:pPr>
        <w:overflowPunct w:val="0"/>
        <w:spacing w:line="560" w:lineRule="exact"/>
        <w:ind w:firstLine="640" w:firstLineChars="200"/>
        <w:rPr>
          <w:rFonts w:eastAsia="楷体_GB2312"/>
          <w:sz w:val="32"/>
          <w:szCs w:val="32"/>
          <w:lang w:val="zh-CN"/>
        </w:rPr>
      </w:pPr>
      <w:r>
        <w:rPr>
          <w:rFonts w:eastAsia="楷体_GB2312"/>
          <w:sz w:val="32"/>
          <w:szCs w:val="32"/>
          <w:lang w:val="zh-CN"/>
        </w:rPr>
        <w:t>（二）部门财政拨款收支情况</w:t>
      </w:r>
    </w:p>
    <w:p>
      <w:pPr>
        <w:overflowPunct w:val="0"/>
        <w:spacing w:line="560" w:lineRule="exact"/>
        <w:ind w:firstLine="640" w:firstLineChars="200"/>
        <w:rPr>
          <w:rFonts w:eastAsia="仿宋_GB2312"/>
          <w:sz w:val="32"/>
          <w:szCs w:val="32"/>
        </w:rPr>
      </w:pPr>
      <w:r>
        <w:rPr>
          <w:rFonts w:eastAsia="仿宋_GB2312"/>
          <w:sz w:val="32"/>
          <w:szCs w:val="32"/>
        </w:rPr>
        <w:t>1</w:t>
      </w:r>
      <w:r>
        <w:rPr>
          <w:rFonts w:eastAsia="仿宋_GB2312"/>
          <w:sz w:val="32"/>
          <w:szCs w:val="32"/>
          <w:lang w:val="zh-CN"/>
        </w:rPr>
        <w:t>．</w:t>
      </w:r>
      <w:r>
        <w:rPr>
          <w:rFonts w:eastAsia="仿宋_GB2312"/>
          <w:sz w:val="32"/>
          <w:szCs w:val="32"/>
        </w:rPr>
        <w:t>部门财政拨款收入情况</w:t>
      </w:r>
    </w:p>
    <w:p>
      <w:pPr>
        <w:overflowPunct w:val="0"/>
        <w:spacing w:line="560" w:lineRule="exact"/>
        <w:ind w:firstLine="640" w:firstLineChars="200"/>
        <w:rPr>
          <w:rFonts w:eastAsia="仿宋_GB2312"/>
          <w:sz w:val="32"/>
          <w:szCs w:val="32"/>
        </w:rPr>
      </w:pPr>
      <w:r>
        <w:rPr>
          <w:rFonts w:eastAsia="仿宋_GB2312"/>
          <w:sz w:val="32"/>
          <w:szCs w:val="32"/>
        </w:rPr>
        <w:t>2022年一般公共预算财政拨款收入数938.47万元，其中：一般公共预算财政拨款决算收入938.47万元。</w:t>
      </w:r>
    </w:p>
    <w:p>
      <w:pPr>
        <w:overflowPunct w:val="0"/>
        <w:spacing w:line="560" w:lineRule="exact"/>
        <w:ind w:firstLine="640" w:firstLineChars="200"/>
        <w:rPr>
          <w:rFonts w:eastAsia="仿宋_GB2312"/>
          <w:sz w:val="32"/>
          <w:szCs w:val="32"/>
        </w:rPr>
      </w:pPr>
      <w:r>
        <w:rPr>
          <w:rFonts w:eastAsia="仿宋_GB2312"/>
          <w:sz w:val="32"/>
          <w:szCs w:val="32"/>
        </w:rPr>
        <w:t>2</w:t>
      </w:r>
      <w:r>
        <w:rPr>
          <w:rFonts w:eastAsia="仿宋_GB2312"/>
          <w:sz w:val="32"/>
          <w:szCs w:val="32"/>
          <w:lang w:val="zh-CN"/>
        </w:rPr>
        <w:t>．</w:t>
      </w:r>
      <w:r>
        <w:rPr>
          <w:rFonts w:eastAsia="仿宋_GB2312"/>
          <w:sz w:val="32"/>
          <w:szCs w:val="32"/>
        </w:rPr>
        <w:t>部门财政拨款支出情况</w:t>
      </w:r>
    </w:p>
    <w:p>
      <w:pPr>
        <w:overflowPunct w:val="0"/>
        <w:spacing w:line="560" w:lineRule="exact"/>
        <w:ind w:firstLine="640" w:firstLineChars="200"/>
        <w:rPr>
          <w:rFonts w:eastAsia="仿宋_GB2312"/>
          <w:sz w:val="32"/>
          <w:szCs w:val="32"/>
        </w:rPr>
      </w:pPr>
      <w:r>
        <w:rPr>
          <w:rFonts w:eastAsia="仿宋_GB2312"/>
          <w:sz w:val="32"/>
          <w:szCs w:val="32"/>
        </w:rPr>
        <w:t>2022年一般公共预算财政拨款收入数938.47万元，一般公共预算财政拨款支出决算数938.47万元。</w:t>
      </w:r>
    </w:p>
    <w:p>
      <w:pPr>
        <w:overflowPunct w:val="0"/>
        <w:spacing w:line="560" w:lineRule="exact"/>
        <w:ind w:firstLine="640" w:firstLineChars="200"/>
        <w:rPr>
          <w:rFonts w:eastAsia="仿宋_GB2312"/>
          <w:sz w:val="32"/>
          <w:szCs w:val="32"/>
        </w:rPr>
      </w:pPr>
      <w:r>
        <w:rPr>
          <w:rFonts w:eastAsia="仿宋_GB2312"/>
          <w:sz w:val="32"/>
          <w:szCs w:val="32"/>
        </w:rPr>
        <w:t>3</w:t>
      </w:r>
      <w:r>
        <w:rPr>
          <w:rFonts w:eastAsia="仿宋_GB2312"/>
          <w:sz w:val="32"/>
          <w:szCs w:val="32"/>
          <w:lang w:val="zh-CN"/>
        </w:rPr>
        <w:t>．</w:t>
      </w:r>
      <w:r>
        <w:rPr>
          <w:rFonts w:eastAsia="仿宋_GB2312"/>
          <w:sz w:val="32"/>
          <w:szCs w:val="32"/>
        </w:rPr>
        <w:t>部门财政拨款结转结余情况</w:t>
      </w:r>
    </w:p>
    <w:p>
      <w:pPr>
        <w:overflowPunct w:val="0"/>
        <w:spacing w:line="560" w:lineRule="exact"/>
        <w:ind w:firstLine="640" w:firstLineChars="200"/>
        <w:rPr>
          <w:rFonts w:eastAsia="仿宋_GB2312"/>
          <w:sz w:val="32"/>
          <w:szCs w:val="32"/>
        </w:rPr>
      </w:pPr>
      <w:r>
        <w:rPr>
          <w:rFonts w:eastAsia="仿宋_GB2312"/>
          <w:sz w:val="32"/>
          <w:szCs w:val="32"/>
        </w:rPr>
        <w:t>2022年部门财政拨款结转结余0万元。</w:t>
      </w:r>
    </w:p>
    <w:p>
      <w:pPr>
        <w:numPr>
          <w:ilvl w:val="0"/>
          <w:numId w:val="1"/>
        </w:numPr>
        <w:overflowPunct w:val="0"/>
        <w:spacing w:line="560" w:lineRule="exact"/>
        <w:ind w:firstLine="640" w:firstLineChars="200"/>
        <w:rPr>
          <w:rFonts w:eastAsia="楷体_GB2312"/>
          <w:sz w:val="32"/>
          <w:szCs w:val="32"/>
          <w:lang w:val="zh-CN"/>
        </w:rPr>
      </w:pPr>
      <w:r>
        <w:rPr>
          <w:rFonts w:eastAsia="黑体"/>
          <w:sz w:val="32"/>
          <w:szCs w:val="32"/>
        </w:rPr>
        <w:t>部门整体绩效分析</w:t>
      </w:r>
    </w:p>
    <w:p>
      <w:pPr>
        <w:numPr>
          <w:ilvl w:val="0"/>
          <w:numId w:val="2"/>
        </w:numPr>
        <w:overflowPunct w:val="0"/>
        <w:spacing w:line="560" w:lineRule="exact"/>
        <w:ind w:firstLine="640" w:firstLineChars="200"/>
        <w:rPr>
          <w:rFonts w:eastAsia="楷体_GB2312"/>
          <w:sz w:val="32"/>
          <w:szCs w:val="32"/>
          <w:lang w:val="zh-CN"/>
        </w:rPr>
      </w:pPr>
      <w:r>
        <w:rPr>
          <w:rFonts w:eastAsia="楷体_GB2312"/>
          <w:sz w:val="32"/>
          <w:szCs w:val="32"/>
          <w:lang w:val="zh-CN"/>
        </w:rPr>
        <w:t>部门预算项目绩效分析</w:t>
      </w:r>
    </w:p>
    <w:p>
      <w:pPr>
        <w:overflowPunct w:val="0"/>
        <w:spacing w:line="560" w:lineRule="exact"/>
        <w:ind w:firstLine="640" w:firstLineChars="200"/>
        <w:rPr>
          <w:rFonts w:eastAsia="仿宋_GB2312"/>
          <w:sz w:val="32"/>
          <w:szCs w:val="32"/>
        </w:rPr>
      </w:pPr>
      <w:r>
        <w:rPr>
          <w:rFonts w:eastAsia="仿宋_GB2312"/>
          <w:sz w:val="32"/>
          <w:szCs w:val="32"/>
        </w:rPr>
        <w:t>1</w:t>
      </w:r>
      <w:r>
        <w:rPr>
          <w:rFonts w:eastAsia="仿宋_GB2312"/>
          <w:sz w:val="32"/>
          <w:szCs w:val="32"/>
          <w:lang w:val="zh-CN"/>
        </w:rPr>
        <w:t>．</w:t>
      </w:r>
      <w:r>
        <w:rPr>
          <w:rFonts w:eastAsia="仿宋_GB2312"/>
          <w:sz w:val="32"/>
          <w:szCs w:val="32"/>
        </w:rPr>
        <w:t>人员类项目绩效分析</w:t>
      </w:r>
    </w:p>
    <w:p>
      <w:pPr>
        <w:overflowPunct w:val="0"/>
        <w:spacing w:line="560" w:lineRule="exact"/>
        <w:ind w:firstLine="640" w:firstLineChars="200"/>
        <w:rPr>
          <w:rFonts w:eastAsia="仿宋_GB2312"/>
          <w:sz w:val="32"/>
          <w:szCs w:val="32"/>
        </w:rPr>
      </w:pPr>
      <w:r>
        <w:rPr>
          <w:rFonts w:eastAsia="仿宋_GB2312"/>
          <w:sz w:val="32"/>
          <w:szCs w:val="32"/>
        </w:rPr>
        <w:t>2022年县政府办人员类项目主要为工资性支出、单位缴费等，预算数为751.66万元，执行数为751.66万元，完成预算的100%。</w:t>
      </w:r>
    </w:p>
    <w:p>
      <w:pPr>
        <w:overflowPunct w:val="0"/>
        <w:spacing w:line="560" w:lineRule="exact"/>
        <w:ind w:firstLine="640" w:firstLineChars="200"/>
        <w:rPr>
          <w:rFonts w:eastAsia="仿宋_GB2312"/>
          <w:sz w:val="32"/>
          <w:szCs w:val="32"/>
        </w:rPr>
      </w:pPr>
      <w:r>
        <w:rPr>
          <w:rFonts w:eastAsia="仿宋_GB2312"/>
          <w:sz w:val="32"/>
          <w:szCs w:val="32"/>
        </w:rPr>
        <w:t>2</w:t>
      </w:r>
      <w:r>
        <w:rPr>
          <w:rFonts w:eastAsia="仿宋_GB2312"/>
          <w:sz w:val="32"/>
          <w:szCs w:val="32"/>
          <w:lang w:val="zh-CN"/>
        </w:rPr>
        <w:t>．</w:t>
      </w:r>
      <w:r>
        <w:rPr>
          <w:rFonts w:eastAsia="仿宋_GB2312"/>
          <w:sz w:val="32"/>
          <w:szCs w:val="32"/>
        </w:rPr>
        <w:t>运转类项目绩效分析</w:t>
      </w:r>
    </w:p>
    <w:p>
      <w:pPr>
        <w:overflowPunct w:val="0"/>
        <w:spacing w:line="560" w:lineRule="exact"/>
        <w:ind w:firstLine="640" w:firstLineChars="200"/>
        <w:rPr>
          <w:rFonts w:eastAsia="仿宋_GB2312"/>
          <w:sz w:val="32"/>
          <w:szCs w:val="32"/>
        </w:rPr>
      </w:pPr>
      <w:r>
        <w:rPr>
          <w:rFonts w:eastAsia="仿宋_GB2312"/>
          <w:sz w:val="32"/>
          <w:szCs w:val="32"/>
        </w:rPr>
        <w:t>2022年县政府办运转类项目主要为公用经费，预算数为56.28万元，执行数为56.28万元，完成预算的100%。</w:t>
      </w:r>
    </w:p>
    <w:p>
      <w:pPr>
        <w:overflowPunct w:val="0"/>
        <w:spacing w:line="560" w:lineRule="exact"/>
        <w:ind w:firstLine="640" w:firstLineChars="200"/>
        <w:rPr>
          <w:rFonts w:eastAsia="仿宋_GB2312"/>
          <w:sz w:val="32"/>
          <w:szCs w:val="32"/>
        </w:rPr>
      </w:pPr>
      <w:r>
        <w:rPr>
          <w:rFonts w:eastAsia="仿宋_GB2312"/>
          <w:sz w:val="32"/>
          <w:szCs w:val="32"/>
        </w:rPr>
        <w:t>3</w:t>
      </w:r>
      <w:r>
        <w:rPr>
          <w:rFonts w:eastAsia="仿宋_GB2312"/>
          <w:sz w:val="32"/>
          <w:szCs w:val="32"/>
          <w:lang w:val="zh-CN"/>
        </w:rPr>
        <w:t>．</w:t>
      </w:r>
      <w:r>
        <w:rPr>
          <w:rFonts w:eastAsia="仿宋_GB2312"/>
          <w:sz w:val="32"/>
          <w:szCs w:val="32"/>
        </w:rPr>
        <w:t>特定目标类项目绩效分析</w:t>
      </w:r>
    </w:p>
    <w:p>
      <w:pPr>
        <w:overflowPunct w:val="0"/>
        <w:spacing w:line="560" w:lineRule="exact"/>
        <w:ind w:firstLine="640" w:firstLineChars="200"/>
        <w:rPr>
          <w:rFonts w:eastAsia="仿宋_GB2312"/>
          <w:sz w:val="32"/>
          <w:szCs w:val="32"/>
        </w:rPr>
      </w:pPr>
      <w:r>
        <w:rPr>
          <w:rFonts w:eastAsia="仿宋_GB2312"/>
          <w:sz w:val="32"/>
          <w:szCs w:val="32"/>
        </w:rPr>
        <w:t>我办所有特定目标类项目均严格按规定格式和要求填报绩效目标，设定了年度绩效数量指标、成本指标、效益指标等，详细反映了相应项目工作任务、达成的效果。特定目标类项目预算数130.54万元，执行数130.54万元，完成预算的100%。</w:t>
      </w:r>
    </w:p>
    <w:p>
      <w:pPr>
        <w:overflowPunct w:val="0"/>
        <w:spacing w:line="560" w:lineRule="exact"/>
        <w:ind w:firstLine="640" w:firstLineChars="200"/>
        <w:rPr>
          <w:rFonts w:eastAsia="楷体_GB2312"/>
          <w:sz w:val="32"/>
          <w:szCs w:val="32"/>
          <w:lang w:val="zh-CN"/>
        </w:rPr>
      </w:pPr>
      <w:r>
        <w:rPr>
          <w:rFonts w:eastAsia="楷体_GB2312"/>
          <w:sz w:val="32"/>
          <w:szCs w:val="32"/>
          <w:lang w:val="zh-CN"/>
        </w:rPr>
        <w:t>（二）部门整体履职绩效分析</w:t>
      </w:r>
    </w:p>
    <w:p>
      <w:pPr>
        <w:overflowPunct w:val="0"/>
        <w:spacing w:line="560" w:lineRule="exact"/>
        <w:ind w:firstLine="640" w:firstLineChars="200"/>
        <w:rPr>
          <w:rFonts w:eastAsia="仿宋_GB2312"/>
          <w:sz w:val="32"/>
          <w:szCs w:val="32"/>
        </w:rPr>
      </w:pPr>
      <w:r>
        <w:rPr>
          <w:rFonts w:eastAsia="仿宋_GB2312"/>
          <w:sz w:val="32"/>
          <w:szCs w:val="32"/>
        </w:rPr>
        <w:t>2022年，县政府办贯彻落实县政府深入实施预算绩效管理的决策部署，强化组织领导，明确主体责任，完善制度建设，加强事前、事中、事后全过程管理，切实提高财政资金使用效能，2022年实际支出938.47万元，有序完成年初整体绩效目标。</w:t>
      </w:r>
    </w:p>
    <w:p>
      <w:pPr>
        <w:overflowPunct w:val="0"/>
        <w:spacing w:line="560" w:lineRule="exact"/>
        <w:ind w:firstLine="640" w:firstLineChars="200"/>
        <w:rPr>
          <w:rFonts w:eastAsia="楷体_GB2312"/>
          <w:sz w:val="32"/>
          <w:szCs w:val="32"/>
          <w:lang w:val="zh-CN"/>
        </w:rPr>
      </w:pPr>
      <w:r>
        <w:rPr>
          <w:rFonts w:eastAsia="楷体_GB2312"/>
          <w:sz w:val="32"/>
          <w:szCs w:val="32"/>
          <w:lang w:val="zh-CN"/>
        </w:rPr>
        <w:t>（三）结果应用情况</w:t>
      </w:r>
    </w:p>
    <w:p>
      <w:pPr>
        <w:overflowPunct w:val="0"/>
        <w:spacing w:line="560" w:lineRule="exact"/>
        <w:ind w:firstLine="640" w:firstLineChars="200"/>
        <w:rPr>
          <w:rFonts w:eastAsia="仿宋_GB2312"/>
          <w:sz w:val="32"/>
          <w:szCs w:val="32"/>
        </w:rPr>
      </w:pPr>
      <w:r>
        <w:rPr>
          <w:rFonts w:eastAsia="仿宋_GB2312"/>
          <w:sz w:val="32"/>
          <w:szCs w:val="32"/>
        </w:rPr>
        <w:t>2022年，县政府办将评价结果应用于规范财政资金支出管理、强化绩效目标管理理念、加强资金使用效率、统筹工作安排、合理分配使用项目资金上，根据绩效评价结果积极整改问题、改进管理，进一步提高工作效率。</w:t>
      </w:r>
    </w:p>
    <w:p>
      <w:pPr>
        <w:overflowPunct w:val="0"/>
        <w:spacing w:line="560" w:lineRule="exact"/>
        <w:ind w:firstLine="640" w:firstLineChars="200"/>
        <w:rPr>
          <w:rFonts w:eastAsia="楷体_GB2312"/>
          <w:sz w:val="32"/>
          <w:szCs w:val="32"/>
          <w:lang w:val="zh-CN"/>
        </w:rPr>
      </w:pPr>
      <w:r>
        <w:rPr>
          <w:rFonts w:eastAsia="楷体_GB2312"/>
          <w:sz w:val="32"/>
          <w:szCs w:val="32"/>
          <w:lang w:val="zh-CN"/>
        </w:rPr>
        <w:t>（</w:t>
      </w:r>
      <w:r>
        <w:rPr>
          <w:rFonts w:eastAsia="楷体_GB2312"/>
          <w:sz w:val="32"/>
          <w:szCs w:val="32"/>
        </w:rPr>
        <w:t>四</w:t>
      </w:r>
      <w:r>
        <w:rPr>
          <w:rFonts w:eastAsia="楷体_GB2312"/>
          <w:sz w:val="32"/>
          <w:szCs w:val="32"/>
          <w:lang w:val="zh-CN"/>
        </w:rPr>
        <w:t>）自评质量</w:t>
      </w:r>
    </w:p>
    <w:p>
      <w:pPr>
        <w:overflowPunct w:val="0"/>
        <w:spacing w:line="560" w:lineRule="exact"/>
        <w:ind w:firstLine="640" w:firstLineChars="200"/>
        <w:rPr>
          <w:rFonts w:eastAsia="仿宋_GB2312"/>
          <w:sz w:val="32"/>
          <w:szCs w:val="32"/>
        </w:rPr>
      </w:pPr>
      <w:r>
        <w:rPr>
          <w:rFonts w:eastAsia="仿宋_GB2312"/>
          <w:sz w:val="32"/>
          <w:szCs w:val="32"/>
        </w:rPr>
        <w:t>我办认真对照部门整体绩效评价指标体系，对本部门绩效目标管理、动态调整、完成结果、信息公开等方面进行了客观评价，自评得分97分。</w:t>
      </w:r>
    </w:p>
    <w:p>
      <w:pPr>
        <w:overflowPunct w:val="0"/>
        <w:spacing w:line="560" w:lineRule="exact"/>
        <w:ind w:firstLine="640" w:firstLineChars="200"/>
        <w:rPr>
          <w:rFonts w:eastAsia="黑体"/>
          <w:sz w:val="32"/>
          <w:szCs w:val="32"/>
        </w:rPr>
      </w:pPr>
      <w:r>
        <w:rPr>
          <w:rFonts w:eastAsia="黑体"/>
          <w:sz w:val="32"/>
          <w:szCs w:val="32"/>
        </w:rPr>
        <w:t>四、评价结论及建议</w:t>
      </w:r>
    </w:p>
    <w:p>
      <w:pPr>
        <w:overflowPunct w:val="0"/>
        <w:spacing w:line="560" w:lineRule="exact"/>
        <w:ind w:firstLine="640" w:firstLineChars="200"/>
        <w:rPr>
          <w:rFonts w:eastAsia="楷体_GB2312"/>
          <w:sz w:val="32"/>
          <w:szCs w:val="32"/>
          <w:lang w:val="zh-CN"/>
        </w:rPr>
      </w:pPr>
      <w:r>
        <w:rPr>
          <w:rFonts w:eastAsia="楷体_GB2312"/>
          <w:sz w:val="32"/>
          <w:szCs w:val="32"/>
          <w:lang w:val="zh-CN"/>
        </w:rPr>
        <w:t>（一）评价结论</w:t>
      </w:r>
    </w:p>
    <w:p>
      <w:pPr>
        <w:overflowPunct w:val="0"/>
        <w:spacing w:line="560" w:lineRule="exact"/>
        <w:ind w:firstLine="640" w:firstLineChars="200"/>
        <w:rPr>
          <w:rFonts w:eastAsia="仿宋_GB2312"/>
          <w:sz w:val="32"/>
          <w:szCs w:val="32"/>
          <w:lang w:val="zh-CN"/>
        </w:rPr>
      </w:pPr>
      <w:r>
        <w:rPr>
          <w:rFonts w:eastAsia="仿宋_GB2312"/>
          <w:sz w:val="32"/>
          <w:szCs w:val="32"/>
        </w:rPr>
        <w:t>从自评情况来看，</w:t>
      </w:r>
      <w:r>
        <w:rPr>
          <w:rFonts w:hint="eastAsia" w:eastAsia="仿宋_GB2312"/>
          <w:sz w:val="32"/>
          <w:szCs w:val="32"/>
        </w:rPr>
        <w:t>县政府办</w:t>
      </w:r>
      <w:r>
        <w:rPr>
          <w:rFonts w:eastAsia="仿宋_GB2312"/>
          <w:sz w:val="32"/>
          <w:szCs w:val="32"/>
        </w:rPr>
        <w:t>预决算编制合理，既确</w:t>
      </w:r>
      <w:r>
        <w:rPr>
          <w:rFonts w:hint="eastAsia" w:eastAsia="仿宋_GB2312"/>
          <w:sz w:val="32"/>
          <w:szCs w:val="32"/>
        </w:rPr>
        <w:t>保机关正常运转，又保障重点项目实施</w:t>
      </w:r>
      <w:r>
        <w:rPr>
          <w:rFonts w:eastAsia="仿宋_GB2312"/>
          <w:sz w:val="32"/>
          <w:szCs w:val="32"/>
        </w:rPr>
        <w:t>。</w:t>
      </w:r>
    </w:p>
    <w:p>
      <w:pPr>
        <w:overflowPunct w:val="0"/>
        <w:spacing w:line="560" w:lineRule="exact"/>
        <w:ind w:firstLine="640" w:firstLineChars="200"/>
        <w:rPr>
          <w:rFonts w:eastAsia="楷体_GB2312"/>
          <w:sz w:val="32"/>
          <w:szCs w:val="32"/>
        </w:rPr>
      </w:pPr>
      <w:r>
        <w:rPr>
          <w:rFonts w:eastAsia="楷体_GB2312"/>
          <w:sz w:val="32"/>
          <w:szCs w:val="32"/>
          <w:lang w:val="zh-CN"/>
        </w:rPr>
        <w:t>（</w:t>
      </w:r>
      <w:r>
        <w:rPr>
          <w:rFonts w:eastAsia="楷体_GB2312"/>
          <w:sz w:val="32"/>
          <w:szCs w:val="32"/>
        </w:rPr>
        <w:t>二</w:t>
      </w:r>
      <w:r>
        <w:rPr>
          <w:rFonts w:eastAsia="楷体_GB2312"/>
          <w:sz w:val="32"/>
          <w:szCs w:val="32"/>
          <w:lang w:val="zh-CN"/>
        </w:rPr>
        <w:t>）存在问题</w:t>
      </w:r>
    </w:p>
    <w:p>
      <w:pPr>
        <w:overflowPunct w:val="0"/>
        <w:spacing w:line="560" w:lineRule="exact"/>
        <w:ind w:firstLine="640" w:firstLineChars="200"/>
        <w:rPr>
          <w:rFonts w:eastAsia="仿宋_GB2312"/>
          <w:sz w:val="32"/>
          <w:szCs w:val="32"/>
        </w:rPr>
      </w:pPr>
      <w:r>
        <w:rPr>
          <w:rFonts w:eastAsia="仿宋_GB2312"/>
          <w:sz w:val="32"/>
          <w:szCs w:val="32"/>
        </w:rPr>
        <w:t>1</w:t>
      </w:r>
      <w:r>
        <w:rPr>
          <w:rFonts w:eastAsia="仿宋_GB2312"/>
          <w:sz w:val="32"/>
          <w:szCs w:val="32"/>
          <w:lang w:val="zh-CN"/>
        </w:rPr>
        <w:t>．</w:t>
      </w:r>
      <w:r>
        <w:rPr>
          <w:rFonts w:eastAsia="仿宋_GB2312"/>
          <w:sz w:val="32"/>
          <w:szCs w:val="32"/>
        </w:rPr>
        <w:t>项目资金绩效目标设立不够明确、细化和量化。</w:t>
      </w:r>
    </w:p>
    <w:p>
      <w:pPr>
        <w:overflowPunct w:val="0"/>
        <w:spacing w:line="560" w:lineRule="exact"/>
        <w:ind w:firstLine="640" w:firstLineChars="200"/>
        <w:rPr>
          <w:rFonts w:eastAsia="仿宋_GB2312"/>
          <w:sz w:val="32"/>
          <w:szCs w:val="32"/>
          <w:lang w:val="zh-CN"/>
        </w:rPr>
      </w:pPr>
      <w:r>
        <w:rPr>
          <w:rFonts w:eastAsia="仿宋_GB2312"/>
          <w:sz w:val="32"/>
          <w:szCs w:val="32"/>
        </w:rPr>
        <w:t>2</w:t>
      </w:r>
      <w:r>
        <w:rPr>
          <w:rFonts w:eastAsia="仿宋_GB2312"/>
          <w:sz w:val="32"/>
          <w:szCs w:val="32"/>
          <w:lang w:val="zh-CN"/>
        </w:rPr>
        <w:t>．</w:t>
      </w:r>
      <w:r>
        <w:rPr>
          <w:rFonts w:eastAsia="仿宋_GB2312"/>
          <w:sz w:val="32"/>
          <w:szCs w:val="32"/>
        </w:rPr>
        <w:t>资金使用效益有待进一步提高。</w:t>
      </w:r>
    </w:p>
    <w:p>
      <w:pPr>
        <w:overflowPunct w:val="0"/>
        <w:spacing w:line="560" w:lineRule="exact"/>
        <w:ind w:firstLine="640" w:firstLineChars="200"/>
        <w:rPr>
          <w:rFonts w:eastAsia="楷体_GB2312"/>
          <w:sz w:val="32"/>
          <w:szCs w:val="32"/>
          <w:lang w:val="zh-CN"/>
        </w:rPr>
      </w:pPr>
      <w:r>
        <w:rPr>
          <w:rFonts w:eastAsia="楷体_GB2312"/>
          <w:sz w:val="32"/>
          <w:szCs w:val="32"/>
          <w:lang w:val="zh-CN"/>
        </w:rPr>
        <w:t>（三）改进建议</w:t>
      </w:r>
    </w:p>
    <w:p>
      <w:pPr>
        <w:overflowPunct w:val="0"/>
        <w:spacing w:line="560" w:lineRule="exact"/>
        <w:ind w:firstLine="640" w:firstLineChars="200"/>
        <w:rPr>
          <w:rFonts w:eastAsia="仿宋_GB2312"/>
          <w:sz w:val="32"/>
          <w:szCs w:val="32"/>
        </w:rPr>
      </w:pPr>
      <w:r>
        <w:rPr>
          <w:rFonts w:eastAsia="仿宋_GB2312"/>
          <w:sz w:val="32"/>
          <w:szCs w:val="32"/>
        </w:rPr>
        <w:t>1</w:t>
      </w:r>
      <w:r>
        <w:rPr>
          <w:rFonts w:eastAsia="仿宋_GB2312"/>
          <w:sz w:val="32"/>
          <w:szCs w:val="32"/>
          <w:lang w:val="zh-CN"/>
        </w:rPr>
        <w:t>．</w:t>
      </w:r>
      <w:r>
        <w:rPr>
          <w:rFonts w:eastAsia="仿宋_GB2312"/>
          <w:sz w:val="32"/>
          <w:szCs w:val="32"/>
        </w:rPr>
        <w:t>遵循预算管理办法，从严控制年中追加预算规模。对于年度无法预计的临时追加的相关工作所需经费，严格按照预算调整追加程序，逐级申报、报批，有效降低预算控制率。</w:t>
      </w:r>
    </w:p>
    <w:p>
      <w:pPr>
        <w:overflowPunct w:val="0"/>
        <w:spacing w:line="560" w:lineRule="exact"/>
        <w:ind w:firstLine="640" w:firstLineChars="200"/>
        <w:rPr>
          <w:rFonts w:eastAsia="仿宋_GB2312"/>
          <w:sz w:val="32"/>
          <w:szCs w:val="32"/>
        </w:rPr>
      </w:pPr>
      <w:r>
        <w:rPr>
          <w:rFonts w:eastAsia="仿宋_GB2312"/>
          <w:sz w:val="32"/>
          <w:szCs w:val="32"/>
        </w:rPr>
        <w:t>2</w:t>
      </w:r>
      <w:r>
        <w:rPr>
          <w:rFonts w:eastAsia="仿宋_GB2312"/>
          <w:sz w:val="32"/>
          <w:szCs w:val="32"/>
          <w:lang w:val="zh-CN"/>
        </w:rPr>
        <w:t>．</w:t>
      </w:r>
      <w:r>
        <w:rPr>
          <w:rFonts w:eastAsia="仿宋_GB2312"/>
          <w:sz w:val="32"/>
          <w:szCs w:val="32"/>
        </w:rPr>
        <w:t>保障预算执行进度。加快推进项目实施进度，加强项目开展进度的跟踪，开展项目绩效的跟踪和评价，确保项目绩效的完成，发挥资金的使用效益，提高预算完成率。</w:t>
      </w:r>
    </w:p>
    <w:p>
      <w:pPr>
        <w:overflowPunct w:val="0"/>
        <w:spacing w:line="560" w:lineRule="exact"/>
        <w:ind w:firstLine="640" w:firstLineChars="200"/>
        <w:rPr>
          <w:rFonts w:eastAsia="仿宋_GB2312"/>
          <w:sz w:val="32"/>
          <w:szCs w:val="32"/>
          <w:lang w:val="zh-CN"/>
        </w:rPr>
      </w:pPr>
      <w:r>
        <w:rPr>
          <w:rFonts w:eastAsia="仿宋_GB2312"/>
          <w:sz w:val="32"/>
          <w:szCs w:val="32"/>
        </w:rPr>
        <w:t>3</w:t>
      </w:r>
      <w:r>
        <w:rPr>
          <w:rFonts w:eastAsia="仿宋_GB2312"/>
          <w:sz w:val="32"/>
          <w:szCs w:val="32"/>
          <w:lang w:val="zh-CN"/>
        </w:rPr>
        <w:t>．</w:t>
      </w:r>
      <w:r>
        <w:rPr>
          <w:rFonts w:eastAsia="仿宋_GB2312"/>
          <w:sz w:val="32"/>
          <w:szCs w:val="32"/>
        </w:rPr>
        <w:t>加强预算绩效管理业务学习及培训，提高业务人员绩效管理意识，进一步加强预算绩效管理工作，优化项目支出绩效指标体系，完善预算绩效管理制度，推动我办预算绩效管理工作常态化、规范化。</w:t>
      </w:r>
    </w:p>
    <w:p>
      <w:pPr>
        <w:overflowPunct w:val="0"/>
        <w:spacing w:line="560" w:lineRule="exact"/>
        <w:ind w:firstLine="640" w:firstLineChars="200"/>
        <w:rPr>
          <w:rFonts w:eastAsia="仿宋_GB2312"/>
          <w:sz w:val="32"/>
          <w:szCs w:val="32"/>
        </w:rPr>
      </w:pPr>
      <w:r>
        <w:rPr>
          <w:rFonts w:eastAsia="仿宋_GB2312"/>
          <w:sz w:val="32"/>
          <w:szCs w:val="32"/>
          <w:lang w:val="zh-CN"/>
        </w:rPr>
        <w:t>附表：</w:t>
      </w:r>
      <w:r>
        <w:rPr>
          <w:rFonts w:eastAsia="仿宋_GB2312"/>
          <w:sz w:val="32"/>
          <w:szCs w:val="32"/>
        </w:rPr>
        <w:t>部门预算项目支出绩效自评表（2022年度）</w:t>
      </w:r>
    </w:p>
    <w:p>
      <w:pPr>
        <w:pStyle w:val="6"/>
      </w:pPr>
    </w:p>
    <w:p>
      <w:r>
        <w:object>
          <v:shape id="_x0000_i1025" o:spt="75" type="#_x0000_t75" style="height:626.25pt;width:441.75pt;" o:ole="t" filled="f" o:preferrelative="t" stroked="f" coordsize="21600,21600">
            <v:path/>
            <v:fill on="f" focussize="0,0"/>
            <v:stroke on="f" joinstyle="miter"/>
            <v:imagedata r:id="rId18" o:title=""/>
            <o:lock v:ext="edit" aspectratio="f"/>
            <w10:wrap type="none"/>
            <w10:anchorlock/>
          </v:shape>
          <o:OLEObject Type="Embed" ProgID="Excel.Sheet.12" ShapeID="_x0000_i1025" DrawAspect="Content" ObjectID="_1468075725" r:id="rId17">
            <o:LockedField>false</o:LockedField>
          </o:OLEObject>
        </w:object>
      </w:r>
    </w:p>
    <w:p>
      <w:r>
        <w:object>
          <v:shape id="_x0000_i1026" o:spt="75" type="#_x0000_t75" style="height:632.25pt;width:441.75pt;" o:ole="t" filled="f" o:preferrelative="t" stroked="f" coordsize="21600,21600">
            <v:path/>
            <v:fill on="f" focussize="0,0"/>
            <v:stroke on="f" joinstyle="miter"/>
            <v:imagedata r:id="rId20" o:title=""/>
            <o:lock v:ext="edit" aspectratio="f"/>
            <w10:wrap type="none"/>
            <w10:anchorlock/>
          </v:shape>
          <o:OLEObject Type="Embed" ProgID="Excel.Sheet.12" ShapeID="_x0000_i1026" DrawAspect="Content" ObjectID="_1468075726" r:id="rId19">
            <o:LockedField>false</o:LockedField>
          </o:OLEObject>
        </w:object>
      </w:r>
    </w:p>
    <w:p>
      <w:r>
        <w:object>
          <v:shape id="_x0000_i1027" o:spt="75" type="#_x0000_t75" style="height:624.75pt;width:441.75pt;" o:ole="t" filled="f" o:preferrelative="t" stroked="f" coordsize="21600,21600">
            <v:path/>
            <v:fill on="f" focussize="0,0"/>
            <v:stroke on="f" joinstyle="miter"/>
            <v:imagedata r:id="rId22" o:title=""/>
            <o:lock v:ext="edit" aspectratio="f"/>
            <w10:wrap type="none"/>
            <w10:anchorlock/>
          </v:shape>
          <o:OLEObject Type="Embed" ProgID="Excel.Sheet.12" ShapeID="_x0000_i1027" DrawAspect="Content" ObjectID="_1468075727" r:id="rId21">
            <o:LockedField>false</o:LockedField>
          </o:OLEObject>
        </w:object>
      </w:r>
    </w:p>
    <w:p>
      <w:pPr>
        <w:pStyle w:val="6"/>
      </w:pPr>
      <w:r>
        <w:object>
          <v:shape id="_x0000_i1028" o:spt="75" type="#_x0000_t75" style="height:627pt;width:441.75pt;" o:ole="t" filled="f" o:preferrelative="t" stroked="f" coordsize="21600,21600">
            <v:path/>
            <v:fill on="f" focussize="0,0"/>
            <v:stroke on="f" joinstyle="miter"/>
            <v:imagedata r:id="rId24" o:title=""/>
            <o:lock v:ext="edit" aspectratio="f"/>
            <w10:wrap type="none"/>
            <w10:anchorlock/>
          </v:shape>
          <o:OLEObject Type="Embed" ProgID="Excel.Sheet.12" ShapeID="_x0000_i1028" DrawAspect="Content" ObjectID="_1468075728" r:id="rId23">
            <o:LockedField>false</o:LockedField>
          </o:OLEObject>
        </w:object>
      </w:r>
    </w:p>
    <w:p>
      <w:pPr>
        <w:rPr>
          <w:rFonts w:eastAsia="仿宋_GB2312"/>
          <w:color w:val="000000" w:themeColor="text1"/>
          <w:sz w:val="32"/>
        </w:rPr>
      </w:pPr>
      <w:r>
        <w:object>
          <v:shape id="_x0000_i1029" o:spt="75" type="#_x0000_t75" style="height:627pt;width:441.75pt;" o:ole="t" filled="f" o:preferrelative="t" stroked="f" coordsize="21600,21600">
            <v:path/>
            <v:fill on="f" focussize="0,0"/>
            <v:stroke on="f" joinstyle="miter"/>
            <v:imagedata r:id="rId26" o:title=""/>
            <o:lock v:ext="edit" aspectratio="f"/>
            <w10:wrap type="none"/>
            <w10:anchorlock/>
          </v:shape>
          <o:OLEObject Type="Embed" ProgID="Excel.Sheet.12" ShapeID="_x0000_i1029" DrawAspect="Content" ObjectID="_1468075729" r:id="rId25">
            <o:LockedField>false</o:LockedField>
          </o:OLEObject>
        </w:object>
      </w:r>
    </w:p>
    <w:p>
      <w:pPr>
        <w:jc w:val="center"/>
      </w:pPr>
      <w:r>
        <w:object>
          <v:shape id="_x0000_i1030" o:spt="75" type="#_x0000_t75" style="height:632.25pt;width:414.75pt;" o:ole="t" filled="f" o:preferrelative="t" stroked="f" coordsize="21600,21600">
            <v:path/>
            <v:fill on="f" focussize="0,0"/>
            <v:stroke on="f" joinstyle="miter"/>
            <v:imagedata r:id="rId28" o:title=""/>
            <o:lock v:ext="edit" aspectratio="f"/>
            <w10:wrap type="none"/>
            <w10:anchorlock/>
          </v:shape>
          <o:OLEObject Type="Embed" ProgID="Excel.Sheet.12" ShapeID="_x0000_i1030" DrawAspect="Content" ObjectID="_1468075730" r:id="rId27">
            <o:LockedField>false</o:LockedField>
          </o:OLEObject>
        </w:object>
      </w:r>
    </w:p>
    <w:p>
      <w:pPr>
        <w:pStyle w:val="15"/>
        <w:spacing w:line="560" w:lineRule="exact"/>
        <w:ind w:left="0" w:leftChars="0" w:firstLine="0" w:firstLineChars="0"/>
        <w:rPr>
          <w:rFonts w:ascii="Times New Roman" w:eastAsia="仿宋_GB2312"/>
          <w:color w:val="000000" w:themeColor="text1"/>
          <w:sz w:val="32"/>
        </w:rPr>
        <w:sectPr>
          <w:footerReference r:id="rId8" w:type="default"/>
          <w:pgSz w:w="11906" w:h="16838"/>
          <w:pgMar w:top="2098" w:right="1474" w:bottom="1984" w:left="1587" w:header="851" w:footer="992" w:gutter="0"/>
          <w:pgNumType w:fmt="numberInDash" w:start="1"/>
          <w:cols w:space="425" w:num="1"/>
          <w:docGrid w:type="lines" w:linePitch="312" w:charSpace="0"/>
        </w:sectPr>
      </w:pPr>
    </w:p>
    <w:p>
      <w:pPr>
        <w:pStyle w:val="3"/>
        <w:spacing w:before="0" w:after="0" w:line="240" w:lineRule="auto"/>
        <w:jc w:val="center"/>
        <w:rPr>
          <w:rFonts w:ascii="Times New Roman" w:hAnsi="Times New Roman" w:eastAsia="方正小标宋简体" w:cs="Times New Roman"/>
          <w:b w:val="0"/>
          <w:bCs w:val="0"/>
        </w:rPr>
      </w:pPr>
      <w:bookmarkStart w:id="70" w:name="_Toc4491"/>
      <w:r>
        <w:rPr>
          <w:rFonts w:ascii="Times New Roman" w:hAnsi="Times New Roman" w:eastAsia="方正小标宋简体" w:cs="Times New Roman"/>
          <w:b w:val="0"/>
          <w:bCs w:val="0"/>
          <w:lang w:val="zh-CN"/>
        </w:rPr>
        <w:t>附件</w:t>
      </w:r>
      <w:r>
        <w:rPr>
          <w:rFonts w:ascii="Times New Roman" w:hAnsi="Times New Roman" w:eastAsia="方正小标宋简体" w:cs="Times New Roman"/>
          <w:b w:val="0"/>
          <w:bCs w:val="0"/>
        </w:rPr>
        <w:t>2 202</w:t>
      </w:r>
      <w:r>
        <w:rPr>
          <w:rFonts w:hint="eastAsia" w:ascii="Times New Roman" w:hAnsi="Times New Roman" w:eastAsia="方正小标宋简体" w:cs="Times New Roman"/>
          <w:b w:val="0"/>
          <w:bCs w:val="0"/>
        </w:rPr>
        <w:t>2</w:t>
      </w:r>
      <w:r>
        <w:rPr>
          <w:rFonts w:ascii="Times New Roman" w:hAnsi="Times New Roman" w:eastAsia="方正小标宋简体" w:cs="Times New Roman"/>
          <w:b w:val="0"/>
          <w:bCs w:val="0"/>
        </w:rPr>
        <w:t>年专项资金预算项目绩效自评报告</w:t>
      </w:r>
      <w:bookmarkEnd w:id="70"/>
    </w:p>
    <w:p>
      <w:pPr>
        <w:widowControl/>
        <w:jc w:val="left"/>
        <w:rPr>
          <w:rFonts w:ascii="仿宋_GB2312" w:hAnsi="宋体" w:eastAsia="仿宋_GB2312" w:cs="仿宋_GB2312"/>
          <w:color w:val="000000"/>
          <w:kern w:val="0"/>
          <w:sz w:val="31"/>
          <w:szCs w:val="31"/>
          <w:lang w:bidi="ar"/>
        </w:rPr>
      </w:pPr>
    </w:p>
    <w:p>
      <w:pPr>
        <w:widowControl/>
        <w:ind w:firstLine="620" w:firstLineChars="200"/>
        <w:jc w:val="left"/>
      </w:pPr>
      <w:r>
        <w:rPr>
          <w:rFonts w:hint="eastAsia" w:ascii="仿宋_GB2312" w:hAnsi="宋体" w:eastAsia="仿宋_GB2312" w:cs="仿宋_GB2312"/>
          <w:color w:val="000000"/>
          <w:kern w:val="0"/>
          <w:sz w:val="31"/>
          <w:szCs w:val="31"/>
          <w:lang w:bidi="ar"/>
        </w:rPr>
        <w:t>县政府办公室</w:t>
      </w:r>
      <w:r>
        <w:rPr>
          <w:rFonts w:ascii="仿宋_GB2312" w:hAnsi="宋体" w:eastAsia="仿宋_GB2312" w:cs="仿宋_GB2312"/>
          <w:color w:val="000000"/>
          <w:kern w:val="0"/>
          <w:sz w:val="31"/>
          <w:szCs w:val="31"/>
          <w:lang w:bidi="ar"/>
        </w:rPr>
        <w:t>2022年无专项资金预算项目。</w:t>
      </w:r>
    </w:p>
    <w:p>
      <w:pPr>
        <w:overflowPunct w:val="0"/>
        <w:spacing w:line="560" w:lineRule="exact"/>
        <w:ind w:firstLine="640" w:firstLineChars="200"/>
        <w:rPr>
          <w:rFonts w:eastAsia="仿宋_GB2312"/>
          <w:sz w:val="32"/>
          <w:szCs w:val="32"/>
        </w:rPr>
      </w:pPr>
    </w:p>
    <w:p>
      <w:pPr>
        <w:widowControl/>
        <w:jc w:val="left"/>
        <w:rPr>
          <w:rStyle w:val="30"/>
          <w:rFonts w:eastAsia="黑体"/>
          <w:b w:val="0"/>
        </w:rPr>
        <w:sectPr>
          <w:pgSz w:w="11906" w:h="16838"/>
          <w:pgMar w:top="2098" w:right="1474" w:bottom="1984" w:left="1587" w:header="851" w:footer="992" w:gutter="0"/>
          <w:pgNumType w:fmt="numberInDash"/>
          <w:cols w:space="425" w:num="1"/>
          <w:docGrid w:type="lines" w:linePitch="312" w:charSpace="0"/>
        </w:sectPr>
      </w:pPr>
    </w:p>
    <w:p>
      <w:pPr>
        <w:spacing w:line="579" w:lineRule="auto"/>
        <w:jc w:val="center"/>
        <w:outlineLvl w:val="0"/>
        <w:rPr>
          <w:rStyle w:val="30"/>
          <w:rFonts w:eastAsia="黑体"/>
          <w:b w:val="0"/>
          <w:bCs w:val="0"/>
        </w:rPr>
      </w:pPr>
      <w:bookmarkStart w:id="71" w:name="_Toc15396618"/>
      <w:bookmarkStart w:id="72" w:name="_Toc7324"/>
      <w:r>
        <w:rPr>
          <w:rStyle w:val="30"/>
          <w:rFonts w:eastAsia="黑体"/>
          <w:b w:val="0"/>
          <w:bCs w:val="0"/>
        </w:rPr>
        <w:t>第五部分 附表</w:t>
      </w:r>
      <w:bookmarkEnd w:id="66"/>
      <w:bookmarkEnd w:id="71"/>
      <w:bookmarkEnd w:id="72"/>
      <w:bookmarkStart w:id="73" w:name="_Toc15396619"/>
    </w:p>
    <w:p>
      <w:pPr>
        <w:pStyle w:val="29"/>
        <w:spacing w:line="560" w:lineRule="exact"/>
        <w:ind w:firstLine="640"/>
        <w:outlineLvl w:val="1"/>
        <w:rPr>
          <w:rStyle w:val="31"/>
          <w:rFonts w:ascii="Times New Roman" w:hAnsi="Times New Roman" w:eastAsia="黑体" w:cs="Times New Roman"/>
          <w:b w:val="0"/>
        </w:rPr>
      </w:pPr>
      <w:bookmarkStart w:id="74" w:name="_Toc7664"/>
      <w:r>
        <w:rPr>
          <w:rStyle w:val="31"/>
          <w:rFonts w:ascii="Times New Roman" w:hAnsi="Times New Roman" w:eastAsia="黑体" w:cs="Times New Roman"/>
          <w:b w:val="0"/>
        </w:rPr>
        <w:t>一、收入支出决算总表</w:t>
      </w:r>
      <w:bookmarkEnd w:id="73"/>
      <w:bookmarkEnd w:id="74"/>
    </w:p>
    <w:p>
      <w:r>
        <w:object>
          <v:shape id="_x0000_i1031" o:spt="75" type="#_x0000_t75" style="height:936.75pt;width:638.25pt;" o:ole="t" filled="f" o:preferrelative="t" stroked="f" coordsize="21600,21600">
            <v:path/>
            <v:fill on="f" focussize="0,0"/>
            <v:stroke on="f" joinstyle="miter"/>
            <v:imagedata r:id="rId30" o:title=""/>
            <o:lock v:ext="edit" aspectratio="f"/>
            <w10:wrap type="none"/>
            <w10:anchorlock/>
          </v:shape>
          <o:OLEObject Type="Embed" ProgID="Excel.Sheet.12" ShapeID="_x0000_i1031" DrawAspect="Content" ObjectID="_1468075731" r:id="rId29">
            <o:LockedField>false</o:LockedField>
          </o:OLEObject>
        </w:object>
      </w:r>
    </w:p>
    <w:p>
      <w:pPr>
        <w:sectPr>
          <w:type w:val="continuous"/>
          <w:pgSz w:w="16838" w:h="23811"/>
          <w:pgMar w:top="1440" w:right="1800" w:bottom="1440" w:left="1800" w:header="851" w:footer="992" w:gutter="0"/>
          <w:pgNumType w:fmt="numberInDash"/>
          <w:cols w:space="425" w:num="1"/>
          <w:docGrid w:type="lines" w:linePitch="312" w:charSpace="0"/>
        </w:sectPr>
      </w:pPr>
    </w:p>
    <w:p>
      <w:pPr>
        <w:pStyle w:val="29"/>
        <w:spacing w:line="560" w:lineRule="exact"/>
        <w:ind w:firstLine="640"/>
        <w:outlineLvl w:val="1"/>
        <w:rPr>
          <w:rStyle w:val="31"/>
          <w:rFonts w:ascii="Times New Roman" w:hAnsi="Times New Roman" w:eastAsia="黑体" w:cs="Times New Roman"/>
          <w:b w:val="0"/>
        </w:rPr>
      </w:pPr>
      <w:bookmarkStart w:id="75" w:name="_Toc15396620"/>
      <w:bookmarkStart w:id="76" w:name="_Toc15052"/>
      <w:r>
        <w:rPr>
          <w:rStyle w:val="31"/>
          <w:rFonts w:ascii="Times New Roman" w:hAnsi="Times New Roman" w:eastAsia="黑体" w:cs="Times New Roman"/>
          <w:b w:val="0"/>
        </w:rPr>
        <w:t>二、收入决算表</w:t>
      </w:r>
      <w:bookmarkEnd w:id="75"/>
      <w:bookmarkEnd w:id="76"/>
    </w:p>
    <w:p>
      <w:pPr>
        <w:rPr>
          <w:rStyle w:val="31"/>
          <w:rFonts w:ascii="Times New Roman" w:hAnsi="Times New Roman" w:eastAsia="仿宋" w:cs="Times New Roman"/>
          <w:b w:val="0"/>
          <w:bCs w:val="0"/>
        </w:rPr>
      </w:pPr>
      <w:bookmarkStart w:id="77" w:name="_Toc15396621"/>
      <w:r>
        <w:object>
          <v:shape id="_x0000_i1032" o:spt="75" type="#_x0000_t75" style="height:595.5pt;width:1021.5pt;" o:ole="t" filled="f" o:preferrelative="t" stroked="f" coordsize="21600,21600">
            <v:path/>
            <v:fill on="f" focussize="0,0"/>
            <v:stroke on="f" joinstyle="miter"/>
            <v:imagedata r:id="rId32" o:title=""/>
            <o:lock v:ext="edit" aspectratio="f"/>
            <w10:wrap type="none"/>
            <w10:anchorlock/>
          </v:shape>
          <o:OLEObject Type="Embed" ProgID="Excel.Sheet.12" ShapeID="_x0000_i1032" DrawAspect="Content" ObjectID="_1468075732" r:id="rId31">
            <o:LockedField>false</o:LockedField>
          </o:OLEObject>
        </w:object>
      </w:r>
    </w:p>
    <w:p>
      <w:pPr>
        <w:overflowPunct w:val="0"/>
        <w:spacing w:line="560" w:lineRule="exact"/>
        <w:ind w:firstLine="640" w:firstLineChars="200"/>
        <w:rPr>
          <w:rFonts w:eastAsia="黑体"/>
          <w:sz w:val="32"/>
          <w:szCs w:val="32"/>
        </w:rPr>
      </w:pPr>
    </w:p>
    <w:p>
      <w:pPr>
        <w:pStyle w:val="29"/>
        <w:spacing w:line="560" w:lineRule="exact"/>
        <w:ind w:firstLine="640"/>
        <w:outlineLvl w:val="1"/>
        <w:rPr>
          <w:rStyle w:val="31"/>
          <w:rFonts w:ascii="Times New Roman" w:hAnsi="Times New Roman" w:eastAsia="黑体" w:cs="Times New Roman"/>
          <w:b w:val="0"/>
        </w:rPr>
      </w:pPr>
      <w:bookmarkStart w:id="78" w:name="_Toc10331"/>
      <w:r>
        <w:rPr>
          <w:rStyle w:val="31"/>
          <w:rFonts w:ascii="Times New Roman" w:hAnsi="Times New Roman" w:eastAsia="黑体" w:cs="Times New Roman"/>
          <w:b w:val="0"/>
        </w:rPr>
        <w:t>三、支出决算表</w:t>
      </w:r>
      <w:bookmarkEnd w:id="77"/>
      <w:bookmarkEnd w:id="78"/>
    </w:p>
    <w:p>
      <w:r>
        <w:object>
          <v:shape id="_x0000_i1033" o:spt="75" type="#_x0000_t75" style="height:609.75pt;width:1042.5pt;" o:ole="t" filled="f" o:preferrelative="t" stroked="f" coordsize="21600,21600">
            <v:path/>
            <v:fill on="f" focussize="0,0"/>
            <v:stroke on="f" joinstyle="miter"/>
            <v:imagedata r:id="rId34" o:title=""/>
            <o:lock v:ext="edit" aspectratio="f"/>
            <w10:wrap type="none"/>
            <w10:anchorlock/>
          </v:shape>
          <o:OLEObject Type="Embed" ProgID="Excel.Sheet.12" ShapeID="_x0000_i1033" DrawAspect="Content" ObjectID="_1468075733" r:id="rId33">
            <o:LockedField>false</o:LockedField>
          </o:OLEObject>
        </w:object>
      </w:r>
      <w:bookmarkStart w:id="79" w:name="_Toc15396622"/>
    </w:p>
    <w:p>
      <w:pPr>
        <w:pStyle w:val="29"/>
        <w:spacing w:line="560" w:lineRule="exact"/>
        <w:ind w:firstLine="640"/>
        <w:outlineLvl w:val="1"/>
        <w:rPr>
          <w:rStyle w:val="31"/>
          <w:rFonts w:ascii="Times New Roman" w:hAnsi="Times New Roman" w:eastAsia="黑体" w:cs="Times New Roman"/>
          <w:b w:val="0"/>
        </w:rPr>
      </w:pPr>
      <w:bookmarkStart w:id="80" w:name="_Toc24376"/>
      <w:r>
        <w:rPr>
          <w:rStyle w:val="31"/>
          <w:rFonts w:ascii="Times New Roman" w:hAnsi="Times New Roman" w:eastAsia="黑体" w:cs="Times New Roman"/>
          <w:b w:val="0"/>
        </w:rPr>
        <w:t>四、财政拨款收入支出决算总表</w:t>
      </w:r>
      <w:bookmarkEnd w:id="79"/>
      <w:bookmarkEnd w:id="80"/>
    </w:p>
    <w:p>
      <w:pPr>
        <w:sectPr>
          <w:pgSz w:w="23811" w:h="16838" w:orient="landscape"/>
          <w:pgMar w:top="1800" w:right="1440" w:bottom="1746" w:left="1440" w:header="851" w:footer="992" w:gutter="0"/>
          <w:pgNumType w:fmt="numberInDash"/>
          <w:cols w:space="425" w:num="1"/>
          <w:docGrid w:type="lines" w:linePitch="312" w:charSpace="0"/>
        </w:sectPr>
      </w:pPr>
      <w:r>
        <w:object>
          <v:shape id="_x0000_i1034" o:spt="75" type="#_x0000_t75" style="height:604.5pt;width:1019.25pt;" o:ole="t" filled="f" o:preferrelative="t" stroked="f" coordsize="21600,21600">
            <v:path/>
            <v:fill on="f" focussize="0,0"/>
            <v:stroke on="f" joinstyle="miter"/>
            <v:imagedata r:id="rId36" o:title=""/>
            <o:lock v:ext="edit" aspectratio="f"/>
            <w10:wrap type="none"/>
            <w10:anchorlock/>
          </v:shape>
          <o:OLEObject Type="Embed" ProgID="Excel.Sheet.12" ShapeID="_x0000_i1034" DrawAspect="Content" ObjectID="_1468075734" r:id="rId35">
            <o:LockedField>false</o:LockedField>
          </o:OLEObject>
        </w:object>
      </w:r>
      <w:bookmarkStart w:id="81" w:name="_Toc15396623"/>
    </w:p>
    <w:p>
      <w:pPr>
        <w:pStyle w:val="29"/>
        <w:spacing w:line="560" w:lineRule="exact"/>
        <w:ind w:firstLine="640"/>
        <w:outlineLvl w:val="1"/>
        <w:rPr>
          <w:rStyle w:val="31"/>
          <w:rFonts w:ascii="Times New Roman" w:hAnsi="Times New Roman" w:eastAsia="黑体" w:cs="Times New Roman"/>
          <w:b w:val="0"/>
        </w:rPr>
      </w:pPr>
      <w:bookmarkStart w:id="82" w:name="_Toc6198"/>
      <w:r>
        <w:rPr>
          <w:rStyle w:val="31"/>
          <w:rFonts w:ascii="Times New Roman" w:hAnsi="Times New Roman" w:eastAsia="黑体" w:cs="Times New Roman"/>
          <w:b w:val="0"/>
        </w:rPr>
        <w:t>五、财政拨款支出决算明细表</w:t>
      </w:r>
      <w:bookmarkEnd w:id="81"/>
      <w:bookmarkEnd w:id="82"/>
      <w:bookmarkStart w:id="83" w:name="_Toc15396624"/>
    </w:p>
    <w:p>
      <w:pPr>
        <w:rPr>
          <w:rStyle w:val="31"/>
          <w:rFonts w:ascii="Times New Roman" w:hAnsi="Times New Roman" w:eastAsia="仿宋" w:cs="Times New Roman"/>
          <w:b w:val="0"/>
          <w:bCs w:val="0"/>
        </w:rPr>
      </w:pPr>
      <w:r>
        <w:drawing>
          <wp:inline distT="0" distB="0" distL="114300" distR="114300">
            <wp:extent cx="8440420" cy="12352655"/>
            <wp:effectExtent l="0" t="0" r="17780" b="10795"/>
            <wp:docPr id="26"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5"/>
                    <pic:cNvPicPr>
                      <a:picLocks noChangeAspect="1"/>
                    </pic:cNvPicPr>
                  </pic:nvPicPr>
                  <pic:blipFill>
                    <a:blip r:embed="rId37"/>
                    <a:stretch>
                      <a:fillRect/>
                    </a:stretch>
                  </pic:blipFill>
                  <pic:spPr>
                    <a:xfrm>
                      <a:off x="0" y="0"/>
                      <a:ext cx="8440420" cy="12352655"/>
                    </a:xfrm>
                    <a:prstGeom prst="rect">
                      <a:avLst/>
                    </a:prstGeom>
                    <a:noFill/>
                    <a:ln>
                      <a:noFill/>
                    </a:ln>
                  </pic:spPr>
                </pic:pic>
              </a:graphicData>
            </a:graphic>
          </wp:inline>
        </w:drawing>
      </w:r>
    </w:p>
    <w:p>
      <w:pPr>
        <w:pStyle w:val="6"/>
        <w:sectPr>
          <w:type w:val="continuous"/>
          <w:pgSz w:w="16838" w:h="23811"/>
          <w:pgMar w:top="1440" w:right="1746" w:bottom="1440" w:left="1800" w:header="851" w:footer="992" w:gutter="0"/>
          <w:pgNumType w:fmt="numberInDash"/>
          <w:cols w:space="425" w:num="1"/>
          <w:docGrid w:type="lines" w:linePitch="312" w:charSpace="0"/>
        </w:sectPr>
      </w:pPr>
    </w:p>
    <w:bookmarkEnd w:id="83"/>
    <w:p>
      <w:pPr>
        <w:pStyle w:val="29"/>
        <w:spacing w:line="560" w:lineRule="exact"/>
        <w:ind w:firstLine="640"/>
        <w:outlineLvl w:val="1"/>
        <w:rPr>
          <w:rStyle w:val="31"/>
          <w:rFonts w:ascii="Times New Roman" w:hAnsi="Times New Roman" w:eastAsia="黑体" w:cs="Times New Roman"/>
          <w:b w:val="0"/>
        </w:rPr>
      </w:pPr>
      <w:bookmarkStart w:id="84" w:name="_Toc32752"/>
      <w:r>
        <w:rPr>
          <w:rStyle w:val="31"/>
          <w:rFonts w:ascii="Times New Roman" w:hAnsi="Times New Roman" w:eastAsia="黑体" w:cs="Times New Roman"/>
          <w:b w:val="0"/>
        </w:rPr>
        <w:t>六、一般公共预算财政拨款支出决算表</w:t>
      </w:r>
      <w:bookmarkEnd w:id="84"/>
    </w:p>
    <w:p>
      <w:pPr>
        <w:sectPr>
          <w:type w:val="continuous"/>
          <w:pgSz w:w="23811" w:h="16838" w:orient="landscape"/>
          <w:pgMar w:top="1800" w:right="1440" w:bottom="1746" w:left="1440" w:header="851" w:footer="992" w:gutter="0"/>
          <w:pgNumType w:fmt="numberInDash"/>
          <w:cols w:space="425" w:num="1"/>
          <w:docGrid w:type="lines" w:linePitch="312" w:charSpace="0"/>
        </w:sectPr>
      </w:pPr>
      <w:r>
        <w:object>
          <v:shape id="_x0000_i1035" o:spt="75" type="#_x0000_t75" style="height:597.75pt;width:1044pt;" o:ole="t" filled="f" o:preferrelative="t" stroked="f" coordsize="21600,21600">
            <v:path/>
            <v:fill on="f" focussize="0,0"/>
            <v:stroke on="f" joinstyle="miter"/>
            <v:imagedata r:id="rId39" o:title=""/>
            <o:lock v:ext="edit" aspectratio="f"/>
            <w10:wrap type="none"/>
            <w10:anchorlock/>
          </v:shape>
          <o:OLEObject Type="Embed" ProgID="Excel.Sheet.12" ShapeID="_x0000_i1035" DrawAspect="Content" ObjectID="_1468075735" r:id="rId38">
            <o:LockedField>false</o:LockedField>
          </o:OLEObject>
        </w:object>
      </w:r>
    </w:p>
    <w:p>
      <w:pPr>
        <w:pStyle w:val="6"/>
        <w:sectPr>
          <w:type w:val="continuous"/>
          <w:pgSz w:w="23811" w:h="16838" w:orient="landscape"/>
          <w:pgMar w:top="1800" w:right="1440" w:bottom="1746" w:left="1440" w:header="851" w:footer="992" w:gutter="0"/>
          <w:pgNumType w:fmt="numberInDash"/>
          <w:cols w:space="425" w:num="1"/>
          <w:docGrid w:type="lines" w:linePitch="312" w:charSpace="0"/>
        </w:sectPr>
      </w:pPr>
    </w:p>
    <w:p>
      <w:pPr>
        <w:pStyle w:val="29"/>
        <w:spacing w:line="560" w:lineRule="exact"/>
        <w:ind w:firstLine="640"/>
        <w:outlineLvl w:val="1"/>
        <w:rPr>
          <w:rStyle w:val="31"/>
          <w:rFonts w:ascii="Times New Roman" w:hAnsi="Times New Roman" w:eastAsia="黑体" w:cs="Times New Roman"/>
          <w:b w:val="0"/>
        </w:rPr>
      </w:pPr>
      <w:bookmarkStart w:id="85" w:name="_Toc20055"/>
      <w:bookmarkStart w:id="86" w:name="_Toc15396625"/>
      <w:r>
        <w:rPr>
          <w:rStyle w:val="31"/>
          <w:rFonts w:ascii="Times New Roman" w:hAnsi="Times New Roman" w:eastAsia="黑体" w:cs="Times New Roman"/>
          <w:b w:val="0"/>
        </w:rPr>
        <w:t>七、一般公共预算财政拨款支出决算明细表</w:t>
      </w:r>
      <w:bookmarkEnd w:id="85"/>
      <w:bookmarkEnd w:id="86"/>
      <w:bookmarkStart w:id="87" w:name="_Toc15396626"/>
    </w:p>
    <w:p>
      <w:r>
        <w:object>
          <v:shape id="_x0000_i1036" o:spt="75" type="#_x0000_t75" style="height:630pt;width:1413.75pt;" o:ole="t" filled="f" o:preferrelative="t" stroked="f" coordsize="21600,21600">
            <v:path/>
            <v:fill on="f" focussize="0,0"/>
            <v:stroke on="f" joinstyle="miter"/>
            <v:imagedata r:id="rId41" o:title=""/>
            <o:lock v:ext="edit" aspectratio="f"/>
            <w10:wrap type="none"/>
            <w10:anchorlock/>
          </v:shape>
          <o:OLEObject Type="Embed" ProgID="Excel.Sheet.12" ShapeID="_x0000_i1036" DrawAspect="Content" ObjectID="_1468075736" r:id="rId40">
            <o:LockedField>false</o:LockedField>
          </o:OLEObject>
        </w:object>
      </w:r>
    </w:p>
    <w:p>
      <w:r>
        <w:object>
          <v:shape id="_x0000_i1037" o:spt="75" type="#_x0000_t75" style="height:664.5pt;width:1410.75pt;" o:ole="t" filled="f" o:preferrelative="t" stroked="f" coordsize="21600,21600">
            <v:path/>
            <v:fill on="f" focussize="0,0"/>
            <v:stroke on="f" joinstyle="miter"/>
            <v:imagedata r:id="rId43" o:title=""/>
            <o:lock v:ext="edit" aspectratio="f"/>
            <w10:wrap type="none"/>
            <w10:anchorlock/>
          </v:shape>
          <o:OLEObject Type="Embed" ProgID="Excel.Sheet.12" ShapeID="_x0000_i1037" DrawAspect="Content" ObjectID="_1468075737" r:id="rId42">
            <o:LockedField>false</o:LockedField>
          </o:OLEObject>
        </w:object>
      </w:r>
    </w:p>
    <w:p>
      <w:pPr>
        <w:pStyle w:val="6"/>
      </w:pPr>
      <w:r>
        <w:object>
          <v:shape id="_x0000_i1038" o:spt="75" type="#_x0000_t75" style="height:657pt;width:1413.75pt;" o:ole="t" filled="f" o:preferrelative="t" stroked="f" coordsize="21600,21600">
            <v:path/>
            <v:fill on="f" focussize="0,0"/>
            <v:stroke on="f" joinstyle="miter"/>
            <v:imagedata r:id="rId45" o:title=""/>
            <o:lock v:ext="edit" aspectratio="f"/>
            <w10:wrap type="none"/>
            <w10:anchorlock/>
          </v:shape>
          <o:OLEObject Type="Embed" ProgID="Excel.Sheet.12" ShapeID="_x0000_i1038" DrawAspect="Content" ObjectID="_1468075738" r:id="rId44">
            <o:LockedField>false</o:LockedField>
          </o:OLEObject>
        </w:object>
      </w:r>
    </w:p>
    <w:p>
      <w:pPr>
        <w:sectPr>
          <w:type w:val="continuous"/>
          <w:pgSz w:w="31181" w:h="16838" w:orient="landscape"/>
          <w:pgMar w:top="1803" w:right="1440" w:bottom="1746" w:left="1440" w:header="851" w:footer="992" w:gutter="0"/>
          <w:pgNumType w:fmt="numberInDash"/>
          <w:cols w:space="0" w:num="1"/>
          <w:docGrid w:type="lines" w:linePitch="312" w:charSpace="0"/>
        </w:sectPr>
      </w:pPr>
    </w:p>
    <w:p/>
    <w:p>
      <w:pPr>
        <w:pStyle w:val="29"/>
        <w:spacing w:line="560" w:lineRule="exact"/>
        <w:ind w:firstLine="640"/>
        <w:outlineLvl w:val="1"/>
        <w:rPr>
          <w:rStyle w:val="31"/>
          <w:rFonts w:ascii="Times New Roman" w:hAnsi="Times New Roman" w:eastAsia="黑体" w:cs="Times New Roman"/>
          <w:b w:val="0"/>
        </w:rPr>
      </w:pPr>
      <w:bookmarkStart w:id="88" w:name="_Toc22867"/>
      <w:r>
        <w:rPr>
          <w:rStyle w:val="31"/>
          <w:rFonts w:ascii="Times New Roman" w:hAnsi="Times New Roman" w:eastAsia="黑体" w:cs="Times New Roman"/>
          <w:b w:val="0"/>
        </w:rPr>
        <w:t>八、一般公共预算财政拨款基本支出决算表</w:t>
      </w:r>
      <w:bookmarkEnd w:id="87"/>
      <w:bookmarkEnd w:id="88"/>
    </w:p>
    <w:p>
      <w:r>
        <w:drawing>
          <wp:inline distT="0" distB="0" distL="114300" distR="114300">
            <wp:extent cx="13296265" cy="7800340"/>
            <wp:effectExtent l="0" t="0" r="635" b="10160"/>
            <wp:docPr id="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5"/>
                    <pic:cNvPicPr>
                      <a:picLocks noChangeAspect="1"/>
                    </pic:cNvPicPr>
                  </pic:nvPicPr>
                  <pic:blipFill>
                    <a:blip r:embed="rId46"/>
                    <a:stretch>
                      <a:fillRect/>
                    </a:stretch>
                  </pic:blipFill>
                  <pic:spPr>
                    <a:xfrm>
                      <a:off x="0" y="0"/>
                      <a:ext cx="13296265" cy="7800340"/>
                    </a:xfrm>
                    <a:prstGeom prst="rect">
                      <a:avLst/>
                    </a:prstGeom>
                    <a:noFill/>
                    <a:ln>
                      <a:noFill/>
                    </a:ln>
                  </pic:spPr>
                </pic:pic>
              </a:graphicData>
            </a:graphic>
          </wp:inline>
        </w:drawing>
      </w:r>
    </w:p>
    <w:p>
      <w:pPr>
        <w:pStyle w:val="29"/>
        <w:spacing w:line="560" w:lineRule="exact"/>
        <w:ind w:firstLine="640"/>
        <w:outlineLvl w:val="1"/>
        <w:rPr>
          <w:rStyle w:val="31"/>
          <w:rFonts w:ascii="Times New Roman" w:hAnsi="Times New Roman" w:eastAsia="黑体" w:cs="Times New Roman"/>
          <w:b w:val="0"/>
        </w:rPr>
      </w:pPr>
      <w:bookmarkStart w:id="89" w:name="_Toc15396627"/>
      <w:bookmarkStart w:id="90" w:name="_Toc251"/>
      <w:r>
        <w:rPr>
          <w:rStyle w:val="31"/>
          <w:rFonts w:ascii="Times New Roman" w:hAnsi="Times New Roman" w:eastAsia="黑体" w:cs="Times New Roman"/>
          <w:b w:val="0"/>
        </w:rPr>
        <w:t>九、一般公共预算财政拨款项目支出决算表</w:t>
      </w:r>
      <w:bookmarkEnd w:id="89"/>
      <w:bookmarkEnd w:id="90"/>
    </w:p>
    <w:p>
      <w:r>
        <w:drawing>
          <wp:inline distT="0" distB="0" distL="114300" distR="114300">
            <wp:extent cx="13220700" cy="7666990"/>
            <wp:effectExtent l="0" t="0" r="0" b="10160"/>
            <wp:docPr id="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7"/>
                    <pic:cNvPicPr>
                      <a:picLocks noChangeAspect="1"/>
                    </pic:cNvPicPr>
                  </pic:nvPicPr>
                  <pic:blipFill>
                    <a:blip r:embed="rId47"/>
                    <a:stretch>
                      <a:fillRect/>
                    </a:stretch>
                  </pic:blipFill>
                  <pic:spPr>
                    <a:xfrm>
                      <a:off x="0" y="0"/>
                      <a:ext cx="13220700" cy="7666990"/>
                    </a:xfrm>
                    <a:prstGeom prst="rect">
                      <a:avLst/>
                    </a:prstGeom>
                    <a:noFill/>
                    <a:ln>
                      <a:noFill/>
                    </a:ln>
                  </pic:spPr>
                </pic:pic>
              </a:graphicData>
            </a:graphic>
          </wp:inline>
        </w:drawing>
      </w:r>
    </w:p>
    <w:p>
      <w:pPr>
        <w:overflowPunct w:val="0"/>
        <w:spacing w:line="560" w:lineRule="exact"/>
        <w:ind w:firstLine="640" w:firstLineChars="200"/>
        <w:rPr>
          <w:rFonts w:eastAsia="黑体"/>
          <w:sz w:val="32"/>
          <w:szCs w:val="32"/>
        </w:rPr>
      </w:pPr>
    </w:p>
    <w:p>
      <w:pPr>
        <w:pStyle w:val="29"/>
        <w:spacing w:line="560" w:lineRule="exact"/>
        <w:ind w:firstLine="640"/>
        <w:outlineLvl w:val="1"/>
        <w:rPr>
          <w:rStyle w:val="31"/>
          <w:rFonts w:ascii="Times New Roman" w:hAnsi="Times New Roman" w:eastAsia="黑体" w:cs="Times New Roman"/>
          <w:b w:val="0"/>
        </w:rPr>
      </w:pPr>
      <w:bookmarkStart w:id="91" w:name="_Toc28317"/>
      <w:r>
        <w:rPr>
          <w:rStyle w:val="31"/>
          <w:rFonts w:ascii="Times New Roman" w:hAnsi="Times New Roman" w:eastAsia="黑体" w:cs="Times New Roman"/>
          <w:b w:val="0"/>
        </w:rPr>
        <w:t>十、政府性基金预算财政拨款收入支出决算表</w:t>
      </w:r>
      <w:bookmarkEnd w:id="91"/>
    </w:p>
    <w:p>
      <w:r>
        <w:drawing>
          <wp:inline distT="0" distB="0" distL="114300" distR="114300">
            <wp:extent cx="13343890" cy="7657465"/>
            <wp:effectExtent l="0" t="0" r="10160" b="635"/>
            <wp:docPr id="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8"/>
                    <pic:cNvPicPr>
                      <a:picLocks noChangeAspect="1"/>
                    </pic:cNvPicPr>
                  </pic:nvPicPr>
                  <pic:blipFill>
                    <a:blip r:embed="rId48"/>
                    <a:stretch>
                      <a:fillRect/>
                    </a:stretch>
                  </pic:blipFill>
                  <pic:spPr>
                    <a:xfrm>
                      <a:off x="0" y="0"/>
                      <a:ext cx="13343890" cy="7657465"/>
                    </a:xfrm>
                    <a:prstGeom prst="rect">
                      <a:avLst/>
                    </a:prstGeom>
                    <a:noFill/>
                    <a:ln>
                      <a:noFill/>
                    </a:ln>
                  </pic:spPr>
                </pic:pic>
              </a:graphicData>
            </a:graphic>
          </wp:inline>
        </w:drawing>
      </w:r>
    </w:p>
    <w:p>
      <w:pPr>
        <w:overflowPunct w:val="0"/>
        <w:spacing w:line="560" w:lineRule="exact"/>
        <w:ind w:firstLine="640" w:firstLineChars="200"/>
        <w:rPr>
          <w:rFonts w:eastAsia="黑体"/>
          <w:sz w:val="32"/>
          <w:szCs w:val="32"/>
        </w:rPr>
      </w:pPr>
    </w:p>
    <w:p>
      <w:pPr>
        <w:pStyle w:val="29"/>
        <w:spacing w:line="560" w:lineRule="exact"/>
        <w:ind w:firstLine="640"/>
        <w:outlineLvl w:val="1"/>
        <w:rPr>
          <w:rStyle w:val="31"/>
          <w:rFonts w:ascii="Times New Roman" w:hAnsi="Times New Roman" w:eastAsia="黑体" w:cs="Times New Roman"/>
          <w:b w:val="0"/>
        </w:rPr>
      </w:pPr>
      <w:bookmarkStart w:id="92" w:name="_Toc31897"/>
      <w:r>
        <w:rPr>
          <w:rStyle w:val="31"/>
          <w:rFonts w:ascii="Times New Roman" w:hAnsi="Times New Roman" w:eastAsia="黑体" w:cs="Times New Roman"/>
          <w:b w:val="0"/>
        </w:rPr>
        <w:t>十一、国有资本经营预算财政拨款收入支出决算表</w:t>
      </w:r>
      <w:bookmarkEnd w:id="92"/>
    </w:p>
    <w:p>
      <w:r>
        <w:drawing>
          <wp:inline distT="0" distB="0" distL="114300" distR="114300">
            <wp:extent cx="13258800" cy="3462655"/>
            <wp:effectExtent l="0" t="0" r="0" b="4445"/>
            <wp:docPr id="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9"/>
                    <pic:cNvPicPr>
                      <a:picLocks noChangeAspect="1"/>
                    </pic:cNvPicPr>
                  </pic:nvPicPr>
                  <pic:blipFill>
                    <a:blip r:embed="rId49"/>
                    <a:stretch>
                      <a:fillRect/>
                    </a:stretch>
                  </pic:blipFill>
                  <pic:spPr>
                    <a:xfrm>
                      <a:off x="0" y="0"/>
                      <a:ext cx="13258800" cy="3462655"/>
                    </a:xfrm>
                    <a:prstGeom prst="rect">
                      <a:avLst/>
                    </a:prstGeom>
                    <a:noFill/>
                    <a:ln>
                      <a:noFill/>
                    </a:ln>
                  </pic:spPr>
                </pic:pic>
              </a:graphicData>
            </a:graphic>
          </wp:inline>
        </w:drawing>
      </w:r>
    </w:p>
    <w:p>
      <w:pPr>
        <w:overflowPunct w:val="0"/>
        <w:spacing w:line="560" w:lineRule="exact"/>
        <w:ind w:firstLine="640" w:firstLineChars="200"/>
        <w:rPr>
          <w:rFonts w:eastAsia="黑体"/>
          <w:sz w:val="32"/>
          <w:szCs w:val="32"/>
        </w:rPr>
      </w:pPr>
    </w:p>
    <w:p>
      <w:pPr>
        <w:pStyle w:val="29"/>
        <w:spacing w:line="560" w:lineRule="exact"/>
        <w:ind w:firstLine="640"/>
        <w:outlineLvl w:val="1"/>
        <w:rPr>
          <w:rStyle w:val="31"/>
          <w:rFonts w:ascii="Times New Roman" w:hAnsi="Times New Roman" w:eastAsia="黑体" w:cs="Times New Roman"/>
          <w:b w:val="0"/>
        </w:rPr>
      </w:pPr>
      <w:bookmarkStart w:id="93" w:name="_Toc32746"/>
      <w:r>
        <w:rPr>
          <w:rStyle w:val="31"/>
          <w:rFonts w:ascii="Times New Roman" w:hAnsi="Times New Roman" w:eastAsia="黑体" w:cs="Times New Roman"/>
          <w:b w:val="0"/>
        </w:rPr>
        <w:t>十二、国有资本经营预算财政拨款支出决算表</w:t>
      </w:r>
      <w:bookmarkEnd w:id="93"/>
    </w:p>
    <w:p>
      <w:r>
        <w:drawing>
          <wp:inline distT="0" distB="0" distL="114300" distR="114300">
            <wp:extent cx="13248640" cy="3328670"/>
            <wp:effectExtent l="0" t="0" r="10160" b="5080"/>
            <wp:docPr id="1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0"/>
                    <pic:cNvPicPr>
                      <a:picLocks noChangeAspect="1"/>
                    </pic:cNvPicPr>
                  </pic:nvPicPr>
                  <pic:blipFill>
                    <a:blip r:embed="rId50"/>
                    <a:stretch>
                      <a:fillRect/>
                    </a:stretch>
                  </pic:blipFill>
                  <pic:spPr>
                    <a:xfrm>
                      <a:off x="0" y="0"/>
                      <a:ext cx="13248640" cy="3328670"/>
                    </a:xfrm>
                    <a:prstGeom prst="rect">
                      <a:avLst/>
                    </a:prstGeom>
                    <a:noFill/>
                    <a:ln>
                      <a:noFill/>
                    </a:ln>
                  </pic:spPr>
                </pic:pic>
              </a:graphicData>
            </a:graphic>
          </wp:inline>
        </w:drawing>
      </w:r>
    </w:p>
    <w:p>
      <w:pPr>
        <w:overflowPunct w:val="0"/>
        <w:spacing w:line="560" w:lineRule="exact"/>
        <w:ind w:firstLine="640" w:firstLineChars="200"/>
        <w:rPr>
          <w:rFonts w:eastAsia="黑体"/>
          <w:sz w:val="32"/>
          <w:szCs w:val="32"/>
        </w:rPr>
      </w:pPr>
    </w:p>
    <w:p>
      <w:pPr>
        <w:pStyle w:val="29"/>
        <w:spacing w:line="560" w:lineRule="exact"/>
        <w:ind w:firstLine="640"/>
        <w:outlineLvl w:val="1"/>
        <w:rPr>
          <w:rStyle w:val="31"/>
          <w:rFonts w:ascii="Times New Roman" w:hAnsi="Times New Roman" w:eastAsia="黑体" w:cs="Times New Roman"/>
          <w:b w:val="0"/>
        </w:rPr>
      </w:pPr>
      <w:bookmarkStart w:id="94" w:name="_Toc6234"/>
      <w:r>
        <w:rPr>
          <w:rStyle w:val="31"/>
          <w:rFonts w:ascii="Times New Roman" w:hAnsi="Times New Roman" w:eastAsia="黑体" w:cs="Times New Roman"/>
          <w:b w:val="0"/>
        </w:rPr>
        <w:t>十三、财政拨款“三公”经费支出决算表</w:t>
      </w:r>
      <w:bookmarkEnd w:id="94"/>
    </w:p>
    <w:p>
      <w:r>
        <w:drawing>
          <wp:inline distT="0" distB="0" distL="114300" distR="114300">
            <wp:extent cx="13191490" cy="2219325"/>
            <wp:effectExtent l="0" t="0" r="10160" b="9525"/>
            <wp:docPr id="1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1"/>
                    <pic:cNvPicPr>
                      <a:picLocks noChangeAspect="1"/>
                    </pic:cNvPicPr>
                  </pic:nvPicPr>
                  <pic:blipFill>
                    <a:blip r:embed="rId51"/>
                    <a:stretch>
                      <a:fillRect/>
                    </a:stretch>
                  </pic:blipFill>
                  <pic:spPr>
                    <a:xfrm>
                      <a:off x="0" y="0"/>
                      <a:ext cx="13191490" cy="2219325"/>
                    </a:xfrm>
                    <a:prstGeom prst="rect">
                      <a:avLst/>
                    </a:prstGeom>
                    <a:noFill/>
                    <a:ln>
                      <a:noFill/>
                    </a:ln>
                  </pic:spPr>
                </pic:pic>
              </a:graphicData>
            </a:graphic>
          </wp:inline>
        </w:drawing>
      </w:r>
    </w:p>
    <w:sectPr>
      <w:type w:val="continuous"/>
      <w:pgSz w:w="23811" w:h="16838" w:orient="landscape"/>
      <w:pgMar w:top="1800" w:right="1440" w:bottom="1746"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1"/>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CF08F2"/>
    <w:multiLevelType w:val="singleLevel"/>
    <w:tmpl w:val="F7CF08F2"/>
    <w:lvl w:ilvl="0" w:tentative="0">
      <w:start w:val="1"/>
      <w:numFmt w:val="chineseCounting"/>
      <w:suff w:val="nothing"/>
      <w:lvlText w:val="（%1）"/>
      <w:lvlJc w:val="left"/>
      <w:rPr>
        <w:rFonts w:hint="eastAsia"/>
      </w:rPr>
    </w:lvl>
  </w:abstractNum>
  <w:abstractNum w:abstractNumId="1">
    <w:nsid w:val="1BF1D082"/>
    <w:multiLevelType w:val="singleLevel"/>
    <w:tmpl w:val="1BF1D082"/>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JiMWIyYTU3ODVlOGUyMTg1OTg0ZDk5N2FjMmY5M2EifQ=="/>
  </w:docVars>
  <w:rsids>
    <w:rsidRoot w:val="00172A27"/>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2A27"/>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05FFB"/>
    <w:rsid w:val="0021101A"/>
    <w:rsid w:val="00220536"/>
    <w:rsid w:val="0022527F"/>
    <w:rsid w:val="00235629"/>
    <w:rsid w:val="00260C38"/>
    <w:rsid w:val="002616C0"/>
    <w:rsid w:val="00265372"/>
    <w:rsid w:val="00266009"/>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2532"/>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A0420"/>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2A7D"/>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70545"/>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9527A"/>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3C8A"/>
    <w:rsid w:val="00F36D8F"/>
    <w:rsid w:val="00F417B1"/>
    <w:rsid w:val="00F45853"/>
    <w:rsid w:val="00F602DF"/>
    <w:rsid w:val="00F754A1"/>
    <w:rsid w:val="00F81FD9"/>
    <w:rsid w:val="00F841AA"/>
    <w:rsid w:val="00F84A94"/>
    <w:rsid w:val="00F87E96"/>
    <w:rsid w:val="00FA23E8"/>
    <w:rsid w:val="00FD3CC1"/>
    <w:rsid w:val="00FF1E02"/>
    <w:rsid w:val="00FF30B4"/>
    <w:rsid w:val="00FF766F"/>
    <w:rsid w:val="01295BEF"/>
    <w:rsid w:val="015975B8"/>
    <w:rsid w:val="02143E91"/>
    <w:rsid w:val="04695C6C"/>
    <w:rsid w:val="05144541"/>
    <w:rsid w:val="05375C27"/>
    <w:rsid w:val="066E0107"/>
    <w:rsid w:val="072A39D0"/>
    <w:rsid w:val="07852D93"/>
    <w:rsid w:val="07996F6E"/>
    <w:rsid w:val="07A559FD"/>
    <w:rsid w:val="08A32782"/>
    <w:rsid w:val="08DD2C35"/>
    <w:rsid w:val="099A0F08"/>
    <w:rsid w:val="09E3201C"/>
    <w:rsid w:val="0A2032A3"/>
    <w:rsid w:val="0A436219"/>
    <w:rsid w:val="0B096C52"/>
    <w:rsid w:val="0C303B01"/>
    <w:rsid w:val="0D325847"/>
    <w:rsid w:val="0DF34C7D"/>
    <w:rsid w:val="0E903EA1"/>
    <w:rsid w:val="0F98263C"/>
    <w:rsid w:val="0FF67294"/>
    <w:rsid w:val="101860EC"/>
    <w:rsid w:val="103A2B17"/>
    <w:rsid w:val="103E6140"/>
    <w:rsid w:val="10C055FF"/>
    <w:rsid w:val="118107EC"/>
    <w:rsid w:val="12E544A5"/>
    <w:rsid w:val="13D50BC4"/>
    <w:rsid w:val="14054095"/>
    <w:rsid w:val="140D3F74"/>
    <w:rsid w:val="14292EB2"/>
    <w:rsid w:val="14B06F9F"/>
    <w:rsid w:val="153E27FD"/>
    <w:rsid w:val="15C90F37"/>
    <w:rsid w:val="160D0852"/>
    <w:rsid w:val="164668BB"/>
    <w:rsid w:val="16BB723D"/>
    <w:rsid w:val="174D4F79"/>
    <w:rsid w:val="188F37A6"/>
    <w:rsid w:val="191E4E1F"/>
    <w:rsid w:val="194E3880"/>
    <w:rsid w:val="19AA6232"/>
    <w:rsid w:val="1A422CE0"/>
    <w:rsid w:val="1AD24879"/>
    <w:rsid w:val="1B2D6FD2"/>
    <w:rsid w:val="1BE8440E"/>
    <w:rsid w:val="1BF62E30"/>
    <w:rsid w:val="1C490EF3"/>
    <w:rsid w:val="1CA36614"/>
    <w:rsid w:val="1D155CEE"/>
    <w:rsid w:val="1D867092"/>
    <w:rsid w:val="1ED626A5"/>
    <w:rsid w:val="1F2B662F"/>
    <w:rsid w:val="1FF35744"/>
    <w:rsid w:val="20F31F99"/>
    <w:rsid w:val="21893052"/>
    <w:rsid w:val="21AA6C20"/>
    <w:rsid w:val="22174C84"/>
    <w:rsid w:val="224348E0"/>
    <w:rsid w:val="23860B96"/>
    <w:rsid w:val="23E14E57"/>
    <w:rsid w:val="240371BF"/>
    <w:rsid w:val="24822706"/>
    <w:rsid w:val="260131EA"/>
    <w:rsid w:val="2642131D"/>
    <w:rsid w:val="277716AD"/>
    <w:rsid w:val="28963B76"/>
    <w:rsid w:val="2916007F"/>
    <w:rsid w:val="29816F4F"/>
    <w:rsid w:val="29FD04D3"/>
    <w:rsid w:val="2A60391C"/>
    <w:rsid w:val="2AAF230D"/>
    <w:rsid w:val="2B526E58"/>
    <w:rsid w:val="2C191DFC"/>
    <w:rsid w:val="2C8A61B5"/>
    <w:rsid w:val="2D5F4233"/>
    <w:rsid w:val="2DF04E50"/>
    <w:rsid w:val="2E2F7815"/>
    <w:rsid w:val="2E723DC5"/>
    <w:rsid w:val="2EAC5B62"/>
    <w:rsid w:val="2EF7784D"/>
    <w:rsid w:val="2F040D46"/>
    <w:rsid w:val="30977CD4"/>
    <w:rsid w:val="30B50BEA"/>
    <w:rsid w:val="31167D8D"/>
    <w:rsid w:val="319F7F4E"/>
    <w:rsid w:val="31BE499F"/>
    <w:rsid w:val="32672D8D"/>
    <w:rsid w:val="32AA7A2F"/>
    <w:rsid w:val="3304709D"/>
    <w:rsid w:val="333746BC"/>
    <w:rsid w:val="343C3F54"/>
    <w:rsid w:val="34405134"/>
    <w:rsid w:val="348A4CBF"/>
    <w:rsid w:val="350E2A58"/>
    <w:rsid w:val="353F29DC"/>
    <w:rsid w:val="35AF19AA"/>
    <w:rsid w:val="35E859F6"/>
    <w:rsid w:val="36A030EE"/>
    <w:rsid w:val="36AA5135"/>
    <w:rsid w:val="372C076B"/>
    <w:rsid w:val="37362EDC"/>
    <w:rsid w:val="376D39B2"/>
    <w:rsid w:val="37E16F03"/>
    <w:rsid w:val="381F621A"/>
    <w:rsid w:val="3825542A"/>
    <w:rsid w:val="387B14EE"/>
    <w:rsid w:val="38D469F0"/>
    <w:rsid w:val="399A066D"/>
    <w:rsid w:val="3A640E4B"/>
    <w:rsid w:val="3B6A561E"/>
    <w:rsid w:val="3B9D352A"/>
    <w:rsid w:val="3C8E7F02"/>
    <w:rsid w:val="3D106063"/>
    <w:rsid w:val="3D231F3C"/>
    <w:rsid w:val="3D793B23"/>
    <w:rsid w:val="3D98207C"/>
    <w:rsid w:val="3DCF456E"/>
    <w:rsid w:val="3E78745D"/>
    <w:rsid w:val="3F7D3BEB"/>
    <w:rsid w:val="41E935B1"/>
    <w:rsid w:val="446C4213"/>
    <w:rsid w:val="44E268DA"/>
    <w:rsid w:val="45790E33"/>
    <w:rsid w:val="469B1418"/>
    <w:rsid w:val="46B02CAB"/>
    <w:rsid w:val="47061C64"/>
    <w:rsid w:val="483E7E42"/>
    <w:rsid w:val="49393810"/>
    <w:rsid w:val="493B0EE3"/>
    <w:rsid w:val="49B0058C"/>
    <w:rsid w:val="4A1F4446"/>
    <w:rsid w:val="4A627F82"/>
    <w:rsid w:val="4B0E749A"/>
    <w:rsid w:val="4B125CE2"/>
    <w:rsid w:val="4B4F25DA"/>
    <w:rsid w:val="4B660FD3"/>
    <w:rsid w:val="4BDE4138"/>
    <w:rsid w:val="4BE068DB"/>
    <w:rsid w:val="4CDE6F88"/>
    <w:rsid w:val="4D577224"/>
    <w:rsid w:val="4D7367E0"/>
    <w:rsid w:val="4D8011C8"/>
    <w:rsid w:val="4DFD26C1"/>
    <w:rsid w:val="4E056199"/>
    <w:rsid w:val="4E8A765E"/>
    <w:rsid w:val="4EAB630A"/>
    <w:rsid w:val="4ECE2238"/>
    <w:rsid w:val="4EE31744"/>
    <w:rsid w:val="4F6C32C2"/>
    <w:rsid w:val="4F882685"/>
    <w:rsid w:val="4FFB7FEA"/>
    <w:rsid w:val="51505A3B"/>
    <w:rsid w:val="51D414AC"/>
    <w:rsid w:val="51D45177"/>
    <w:rsid w:val="51DE5082"/>
    <w:rsid w:val="526E3D94"/>
    <w:rsid w:val="529945F3"/>
    <w:rsid w:val="537E6D0A"/>
    <w:rsid w:val="541A0B57"/>
    <w:rsid w:val="54CB753F"/>
    <w:rsid w:val="57854A27"/>
    <w:rsid w:val="57860D9A"/>
    <w:rsid w:val="582A1B35"/>
    <w:rsid w:val="58BF6D7E"/>
    <w:rsid w:val="5A6D4B6C"/>
    <w:rsid w:val="5AF50835"/>
    <w:rsid w:val="5AF92295"/>
    <w:rsid w:val="5B347B41"/>
    <w:rsid w:val="5B462A64"/>
    <w:rsid w:val="5B5D4CE5"/>
    <w:rsid w:val="5B6B2EBF"/>
    <w:rsid w:val="5BAC1269"/>
    <w:rsid w:val="5BE622F6"/>
    <w:rsid w:val="5CAB1AF3"/>
    <w:rsid w:val="5CCE6402"/>
    <w:rsid w:val="5CD71FC4"/>
    <w:rsid w:val="5DD7237A"/>
    <w:rsid w:val="5DDB65A7"/>
    <w:rsid w:val="5DEE5EB2"/>
    <w:rsid w:val="60545FFD"/>
    <w:rsid w:val="60F4237A"/>
    <w:rsid w:val="61C930C7"/>
    <w:rsid w:val="62017633"/>
    <w:rsid w:val="63ED6916"/>
    <w:rsid w:val="641D0273"/>
    <w:rsid w:val="675E63F7"/>
    <w:rsid w:val="67D22629"/>
    <w:rsid w:val="67FA6B70"/>
    <w:rsid w:val="68936559"/>
    <w:rsid w:val="68C57E81"/>
    <w:rsid w:val="696A4D31"/>
    <w:rsid w:val="6A856BB8"/>
    <w:rsid w:val="6B50527E"/>
    <w:rsid w:val="6B6306B5"/>
    <w:rsid w:val="6C4A05C8"/>
    <w:rsid w:val="6C5C6C49"/>
    <w:rsid w:val="6C931101"/>
    <w:rsid w:val="6DF34C72"/>
    <w:rsid w:val="6E7E3605"/>
    <w:rsid w:val="6EC412B7"/>
    <w:rsid w:val="6F1414CC"/>
    <w:rsid w:val="6F9C62A9"/>
    <w:rsid w:val="6FC73160"/>
    <w:rsid w:val="6FF5CC65"/>
    <w:rsid w:val="70AA78F9"/>
    <w:rsid w:val="70B95997"/>
    <w:rsid w:val="715C0E4B"/>
    <w:rsid w:val="725C51E8"/>
    <w:rsid w:val="72734D90"/>
    <w:rsid w:val="733F6699"/>
    <w:rsid w:val="73AD73D5"/>
    <w:rsid w:val="73B6EB34"/>
    <w:rsid w:val="744731E5"/>
    <w:rsid w:val="7476528C"/>
    <w:rsid w:val="74E47DAA"/>
    <w:rsid w:val="74F91EC8"/>
    <w:rsid w:val="75412B9C"/>
    <w:rsid w:val="75540A63"/>
    <w:rsid w:val="76E3355F"/>
    <w:rsid w:val="76ED6632"/>
    <w:rsid w:val="7742564E"/>
    <w:rsid w:val="778769C8"/>
    <w:rsid w:val="77E01CC4"/>
    <w:rsid w:val="78BF024C"/>
    <w:rsid w:val="79A12D07"/>
    <w:rsid w:val="79EE5BA4"/>
    <w:rsid w:val="79FA5A10"/>
    <w:rsid w:val="7A2A053C"/>
    <w:rsid w:val="7A666C01"/>
    <w:rsid w:val="7A894339"/>
    <w:rsid w:val="7A914A2A"/>
    <w:rsid w:val="7C033E4D"/>
    <w:rsid w:val="7C20424A"/>
    <w:rsid w:val="7C370855"/>
    <w:rsid w:val="7C92497F"/>
    <w:rsid w:val="7D4C0330"/>
    <w:rsid w:val="7D853842"/>
    <w:rsid w:val="7E1A5886"/>
    <w:rsid w:val="7E3C76D7"/>
    <w:rsid w:val="7E817C83"/>
    <w:rsid w:val="7E9842E4"/>
    <w:rsid w:val="7EEF11D3"/>
    <w:rsid w:val="7F927811"/>
    <w:rsid w:val="7FA30C79"/>
    <w:rsid w:val="7FB7269E"/>
    <w:rsid w:val="7FC96657"/>
    <w:rsid w:val="7FE37659"/>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uiPriority w:val="1"/>
  </w:style>
  <w:style w:type="table" w:default="1" w:styleId="16">
    <w:name w:val="Normal Table"/>
    <w:semiHidden/>
    <w:unhideWhenUsed/>
    <w:uiPriority w:val="99"/>
    <w:tblPr>
      <w:tblLayout w:type="fixed"/>
      <w:tblCellMar>
        <w:top w:w="0" w:type="dxa"/>
        <w:left w:w="108" w:type="dxa"/>
        <w:bottom w:w="0" w:type="dxa"/>
        <w:right w:w="108" w:type="dxa"/>
      </w:tblCellMar>
    </w:tblPr>
  </w:style>
  <w:style w:type="paragraph" w:styleId="5">
    <w:name w:val="Normal Indent"/>
    <w:unhideWhenUsed/>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6">
    <w:name w:val="Salutation"/>
    <w:basedOn w:val="1"/>
    <w:next w:val="1"/>
    <w:qFormat/>
    <w:uiPriority w:val="0"/>
  </w:style>
  <w:style w:type="paragraph" w:styleId="7">
    <w:name w:val="Body Text"/>
    <w:basedOn w:val="1"/>
    <w:link w:val="27"/>
    <w:qFormat/>
    <w:uiPriority w:val="99"/>
    <w:pPr>
      <w:spacing w:beforeLines="30"/>
    </w:pPr>
    <w:rPr>
      <w:rFonts w:ascii="仿宋_GB2312" w:eastAsia="仿宋_GB2312"/>
      <w:kern w:val="0"/>
      <w:sz w:val="30"/>
    </w:rPr>
  </w:style>
  <w:style w:type="paragraph" w:styleId="8">
    <w:name w:val="Body Text Indent"/>
    <w:basedOn w:val="1"/>
    <w:qFormat/>
    <w:uiPriority w:val="0"/>
    <w:pPr>
      <w:spacing w:after="120"/>
      <w:ind w:left="200" w:leftChars="200"/>
    </w:pPr>
    <w:rPr>
      <w:rFonts w:ascii="仿宋_GB2312"/>
      <w:szCs w:val="32"/>
    </w:r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3"/>
    <w:semiHidden/>
    <w:unhideWhenUsed/>
    <w:qFormat/>
    <w:uiPriority w:val="99"/>
    <w:rPr>
      <w:sz w:val="18"/>
      <w:szCs w:val="18"/>
    </w:rPr>
  </w:style>
  <w:style w:type="paragraph" w:styleId="11">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Body Text First Indent 2"/>
    <w:basedOn w:val="8"/>
    <w:unhideWhenUsed/>
    <w:qFormat/>
    <w:uiPriority w:val="99"/>
    <w:pPr>
      <w:ind w:firstLine="420" w:firstLineChars="200"/>
    </w:p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8"/>
    <w:semiHidden/>
    <w:qFormat/>
    <w:uiPriority w:val="99"/>
    <w:rPr>
      <w:rFonts w:ascii="Times New Roman" w:hAnsi="Times New Roman"/>
      <w:sz w:val="18"/>
      <w:szCs w:val="18"/>
    </w:rPr>
  </w:style>
  <w:style w:type="character" w:customStyle="1" w:styleId="23">
    <w:name w:val="页眉 Char"/>
    <w:link w:val="12"/>
    <w:semiHidden/>
    <w:qFormat/>
    <w:locked/>
    <w:uiPriority w:val="99"/>
    <w:rPr>
      <w:sz w:val="18"/>
    </w:rPr>
  </w:style>
  <w:style w:type="character" w:customStyle="1" w:styleId="24">
    <w:name w:val="Footer Char"/>
    <w:basedOn w:val="18"/>
    <w:semiHidden/>
    <w:qFormat/>
    <w:uiPriority w:val="99"/>
    <w:rPr>
      <w:rFonts w:ascii="Times New Roman" w:hAnsi="Times New Roman"/>
      <w:sz w:val="18"/>
      <w:szCs w:val="18"/>
    </w:rPr>
  </w:style>
  <w:style w:type="character" w:customStyle="1" w:styleId="25">
    <w:name w:val="页脚 Char"/>
    <w:link w:val="11"/>
    <w:qFormat/>
    <w:locked/>
    <w:uiPriority w:val="99"/>
    <w:rPr>
      <w:sz w:val="18"/>
    </w:rPr>
  </w:style>
  <w:style w:type="character" w:customStyle="1" w:styleId="26">
    <w:name w:val="Body Text Char"/>
    <w:basedOn w:val="18"/>
    <w:semiHidden/>
    <w:qFormat/>
    <w:uiPriority w:val="99"/>
    <w:rPr>
      <w:rFonts w:ascii="Times New Roman" w:hAnsi="Times New Roman"/>
      <w:szCs w:val="24"/>
    </w:rPr>
  </w:style>
  <w:style w:type="character" w:customStyle="1" w:styleId="27">
    <w:name w:val="正文文本 Char"/>
    <w:link w:val="7"/>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8"/>
    <w:link w:val="2"/>
    <w:qFormat/>
    <w:uiPriority w:val="9"/>
    <w:rPr>
      <w:rFonts w:ascii="Times New Roman" w:hAnsi="Times New Roman"/>
      <w:b/>
      <w:bCs/>
      <w:kern w:val="44"/>
      <w:sz w:val="44"/>
      <w:szCs w:val="44"/>
    </w:rPr>
  </w:style>
  <w:style w:type="character" w:customStyle="1" w:styleId="31">
    <w:name w:val="标题 2 Char"/>
    <w:basedOn w:val="18"/>
    <w:link w:val="3"/>
    <w:qFormat/>
    <w:uiPriority w:val="9"/>
    <w:rPr>
      <w:rFonts w:asciiTheme="majorHAnsi" w:hAnsiTheme="majorHAnsi" w:eastAsiaTheme="majorEastAsia" w:cstheme="majorBidi"/>
      <w:b/>
      <w:bCs/>
      <w:kern w:val="2"/>
      <w:sz w:val="32"/>
      <w:szCs w:val="32"/>
    </w:rPr>
  </w:style>
  <w:style w:type="paragraph" w:customStyle="1" w:styleId="3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3">
    <w:name w:val="批注框文本 Char"/>
    <w:basedOn w:val="18"/>
    <w:link w:val="10"/>
    <w:semiHidden/>
    <w:qFormat/>
    <w:uiPriority w:val="99"/>
    <w:rPr>
      <w:rFonts w:ascii="Times New Roman" w:hAnsi="Times New Roman"/>
      <w:kern w:val="2"/>
      <w:sz w:val="18"/>
      <w:szCs w:val="18"/>
    </w:rPr>
  </w:style>
  <w:style w:type="character" w:customStyle="1" w:styleId="34">
    <w:name w:val="标题 3 Char"/>
    <w:basedOn w:val="18"/>
    <w:link w:val="4"/>
    <w:qFormat/>
    <w:uiPriority w:val="9"/>
    <w:rPr>
      <w:rFonts w:ascii="Times New Roman" w:hAnsi="Times New Roman"/>
      <w:b/>
      <w:bCs/>
      <w:kern w:val="2"/>
      <w:sz w:val="32"/>
      <w:szCs w:val="32"/>
    </w:rPr>
  </w:style>
  <w:style w:type="paragraph" w:customStyle="1" w:styleId="3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paragraph" w:customStyle="1" w:styleId="37">
    <w:name w:val="Normal Indent1"/>
    <w:basedOn w:val="1"/>
    <w:qFormat/>
    <w:uiPriority w:val="0"/>
    <w:pPr>
      <w:ind w:firstLine="420" w:firstLineChars="200"/>
    </w:pPr>
  </w:style>
  <w:style w:type="paragraph" w:customStyle="1" w:styleId="38">
    <w:name w:val="WPSOffice手动目录 1"/>
    <w:qFormat/>
    <w:uiPriority w:val="0"/>
    <w:rPr>
      <w:rFonts w:ascii="Times New Roman" w:hAnsi="Times New Roman" w:eastAsia="宋体" w:cs="Times New Roman"/>
      <w:lang w:val="en-US" w:eastAsia="zh-CN" w:bidi="ar-SA"/>
    </w:rPr>
  </w:style>
  <w:style w:type="paragraph" w:customStyle="1" w:styleId="39">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4" Type="http://schemas.openxmlformats.org/officeDocument/2006/relationships/fontTable" Target="fontTable.xml"/><Relationship Id="rId53" Type="http://schemas.openxmlformats.org/officeDocument/2006/relationships/numbering" Target="numbering.xml"/><Relationship Id="rId52" Type="http://schemas.openxmlformats.org/officeDocument/2006/relationships/customXml" Target="../customXml/item1.xml"/><Relationship Id="rId51" Type="http://schemas.openxmlformats.org/officeDocument/2006/relationships/image" Target="media/image21.png"/><Relationship Id="rId50" Type="http://schemas.openxmlformats.org/officeDocument/2006/relationships/image" Target="media/image20.png"/><Relationship Id="rId5" Type="http://schemas.openxmlformats.org/officeDocument/2006/relationships/footer" Target="footer1.xml"/><Relationship Id="rId49" Type="http://schemas.openxmlformats.org/officeDocument/2006/relationships/image" Target="media/image19.png"/><Relationship Id="rId48" Type="http://schemas.openxmlformats.org/officeDocument/2006/relationships/image" Target="media/image18.png"/><Relationship Id="rId47" Type="http://schemas.openxmlformats.org/officeDocument/2006/relationships/image" Target="media/image17.png"/><Relationship Id="rId46" Type="http://schemas.openxmlformats.org/officeDocument/2006/relationships/image" Target="media/image16.png"/><Relationship Id="rId45" Type="http://schemas.openxmlformats.org/officeDocument/2006/relationships/image" Target="media/image15.emf"/><Relationship Id="rId44" Type="http://schemas.openxmlformats.org/officeDocument/2006/relationships/package" Target="embeddings/Workbook14.xlsx"/><Relationship Id="rId43" Type="http://schemas.openxmlformats.org/officeDocument/2006/relationships/image" Target="media/image14.emf"/><Relationship Id="rId42" Type="http://schemas.openxmlformats.org/officeDocument/2006/relationships/package" Target="embeddings/Workbook13.xlsx"/><Relationship Id="rId41" Type="http://schemas.openxmlformats.org/officeDocument/2006/relationships/image" Target="media/image13.emf"/><Relationship Id="rId40" Type="http://schemas.openxmlformats.org/officeDocument/2006/relationships/package" Target="embeddings/Workbook12.xlsx"/><Relationship Id="rId4" Type="http://schemas.openxmlformats.org/officeDocument/2006/relationships/header" Target="header2.xml"/><Relationship Id="rId39" Type="http://schemas.openxmlformats.org/officeDocument/2006/relationships/image" Target="media/image12.emf"/><Relationship Id="rId38" Type="http://schemas.openxmlformats.org/officeDocument/2006/relationships/package" Target="embeddings/Workbook11.xlsx"/><Relationship Id="rId37" Type="http://schemas.openxmlformats.org/officeDocument/2006/relationships/image" Target="media/image11.png"/><Relationship Id="rId36" Type="http://schemas.openxmlformats.org/officeDocument/2006/relationships/image" Target="media/image10.emf"/><Relationship Id="rId35" Type="http://schemas.openxmlformats.org/officeDocument/2006/relationships/package" Target="embeddings/Workbook10.xlsx"/><Relationship Id="rId34" Type="http://schemas.openxmlformats.org/officeDocument/2006/relationships/image" Target="media/image9.emf"/><Relationship Id="rId33" Type="http://schemas.openxmlformats.org/officeDocument/2006/relationships/package" Target="embeddings/Workbook9.xlsx"/><Relationship Id="rId32" Type="http://schemas.openxmlformats.org/officeDocument/2006/relationships/image" Target="media/image8.emf"/><Relationship Id="rId31" Type="http://schemas.openxmlformats.org/officeDocument/2006/relationships/package" Target="embeddings/Workbook8.xlsx"/><Relationship Id="rId30" Type="http://schemas.openxmlformats.org/officeDocument/2006/relationships/image" Target="media/image7.emf"/><Relationship Id="rId3" Type="http://schemas.openxmlformats.org/officeDocument/2006/relationships/header" Target="header1.xml"/><Relationship Id="rId29" Type="http://schemas.openxmlformats.org/officeDocument/2006/relationships/package" Target="embeddings/Workbook7.xlsx"/><Relationship Id="rId28" Type="http://schemas.openxmlformats.org/officeDocument/2006/relationships/image" Target="media/image6.emf"/><Relationship Id="rId27" Type="http://schemas.openxmlformats.org/officeDocument/2006/relationships/package" Target="embeddings/Workbook6.xlsx"/><Relationship Id="rId26" Type="http://schemas.openxmlformats.org/officeDocument/2006/relationships/image" Target="media/image5.emf"/><Relationship Id="rId25" Type="http://schemas.openxmlformats.org/officeDocument/2006/relationships/package" Target="embeddings/Workbook5.xlsx"/><Relationship Id="rId24" Type="http://schemas.openxmlformats.org/officeDocument/2006/relationships/image" Target="media/image4.emf"/><Relationship Id="rId23" Type="http://schemas.openxmlformats.org/officeDocument/2006/relationships/package" Target="embeddings/Workbook4.xlsx"/><Relationship Id="rId22" Type="http://schemas.openxmlformats.org/officeDocument/2006/relationships/image" Target="media/image3.emf"/><Relationship Id="rId21" Type="http://schemas.openxmlformats.org/officeDocument/2006/relationships/package" Target="embeddings/Workbook3.xlsx"/><Relationship Id="rId20" Type="http://schemas.openxmlformats.org/officeDocument/2006/relationships/image" Target="media/image2.emf"/><Relationship Id="rId2" Type="http://schemas.openxmlformats.org/officeDocument/2006/relationships/settings" Target="settings.xml"/><Relationship Id="rId19" Type="http://schemas.openxmlformats.org/officeDocument/2006/relationships/package" Target="embeddings/Workbook2.xlsx"/><Relationship Id="rId18" Type="http://schemas.openxmlformats.org/officeDocument/2006/relationships/image" Target="media/image1.emf"/><Relationship Id="rId17" Type="http://schemas.openxmlformats.org/officeDocument/2006/relationships/package" Target="embeddings/Workbook1.xlsx"/><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5919;&#24220;&#21150;2022&#24180;&#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5919;&#24220;&#21150;2022&#24180;&#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5919;&#24220;&#21150;2022&#24180;&#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5919;&#24220;&#21150;2022&#24180;&#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5919;&#24220;&#21150;2022&#24180;&#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5919;&#24220;&#21150;2022&#24180;&#20915;&#31639;&#20844;&#24320;&#2227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25919;&#24220;&#21150;2022&#24180;&#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sz="1200" b="0" i="0" u="none" strike="noStrike" baseline="0">
                <a:solidFill>
                  <a:srgbClr val="333333"/>
                </a:solidFill>
                <a:latin typeface="宋体" panose="02010600030101010101" charset="-122"/>
                <a:ea typeface="宋体" panose="02010600030101010101" charset="-122"/>
                <a:cs typeface="宋体" panose="02010600030101010101" charset="-122"/>
              </a:rPr>
              <a:t>图</a:t>
            </a:r>
            <a:r>
              <a:rPr lang="en-US" altLang="zh-CN" sz="1200" b="0" i="0" u="none" strike="noStrike" baseline="0">
                <a:solidFill>
                  <a:srgbClr val="333333"/>
                </a:solidFill>
                <a:latin typeface="Calibri" panose="020F0502020204030204" pitchFamily="2" charset="0"/>
                <a:ea typeface="Calibri" panose="020F0502020204030204" pitchFamily="2" charset="0"/>
                <a:cs typeface="Calibri" panose="020F0502020204030204" pitchFamily="2" charset="0"/>
              </a:rPr>
              <a:t>1     </a:t>
            </a:r>
            <a:r>
              <a:rPr lang="zh-CN" altLang="en-US" sz="1200" b="0" i="0" u="none" strike="noStrike" baseline="0">
                <a:solidFill>
                  <a:srgbClr val="333333"/>
                </a:solidFill>
                <a:latin typeface="宋体" panose="02010600030101010101" charset="-122"/>
                <a:ea typeface="宋体" panose="02010600030101010101" charset="-122"/>
                <a:cs typeface="宋体" panose="02010600030101010101" charset="-122"/>
              </a:rPr>
              <a:t>收、支决算总计变动情况    </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147708333333333"/>
          <c:y val="0.0222222222222222"/>
        </c:manualLayout>
      </c:layout>
      <c:overlay val="0"/>
      <c:spPr>
        <a:noFill/>
        <a:ln>
          <a:noFill/>
        </a:ln>
        <a:effectLst/>
      </c:spPr>
    </c:title>
    <c:autoTitleDeleted val="0"/>
    <c:plotArea>
      <c:layout>
        <c:manualLayout>
          <c:layoutTarget val="inner"/>
          <c:xMode val="edge"/>
          <c:yMode val="edge"/>
          <c:x val="0.0807179487179487"/>
          <c:y val="0.176781667086376"/>
          <c:w val="0.891076923076923"/>
          <c:h val="0.583580961974314"/>
        </c:manualLayout>
      </c:layout>
      <c:barChart>
        <c:barDir val="col"/>
        <c:grouping val="clustered"/>
        <c:varyColors val="0"/>
        <c:ser>
          <c:idx val="0"/>
          <c:order val="0"/>
          <c:tx>
            <c:strRef>
              <c:f>Sheet1!$A$4</c:f>
              <c:strCache>
                <c:ptCount val="1"/>
                <c:pt idx="0">
                  <c:v>2021（万元）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Sheet1!$B$3:$C$3</c:f>
              <c:strCache>
                <c:ptCount val="2"/>
                <c:pt idx="0">
                  <c:v>收入决算总计</c:v>
                </c:pt>
                <c:pt idx="1">
                  <c:v>支出决算总计</c:v>
                </c:pt>
              </c:strCache>
            </c:strRef>
          </c:cat>
          <c:val>
            <c:numRef>
              <c:f>Sheet1!$B$4:$C$4</c:f>
              <c:numCache>
                <c:formatCode>General</c:formatCode>
                <c:ptCount val="2"/>
                <c:pt idx="0">
                  <c:v>1164.78</c:v>
                </c:pt>
                <c:pt idx="1">
                  <c:v>1164.78</c:v>
                </c:pt>
              </c:numCache>
            </c:numRef>
          </c:val>
        </c:ser>
        <c:ser>
          <c:idx val="1"/>
          <c:order val="1"/>
          <c:tx>
            <c:strRef>
              <c:f>Sheet1!$A$5</c:f>
              <c:strCache>
                <c:ptCount val="1"/>
                <c:pt idx="0">
                  <c:v>2022（万元）</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Sheet1!$B$3:$C$3</c:f>
              <c:strCache>
                <c:ptCount val="2"/>
                <c:pt idx="0">
                  <c:v>收入决算总计</c:v>
                </c:pt>
                <c:pt idx="1">
                  <c:v>支出决算总计</c:v>
                </c:pt>
              </c:strCache>
            </c:strRef>
          </c:cat>
          <c:val>
            <c:numRef>
              <c:f>Sheet1!$B$5:$C$5</c:f>
              <c:numCache>
                <c:formatCode>General</c:formatCode>
                <c:ptCount val="2"/>
                <c:pt idx="0">
                  <c:v>938.47</c:v>
                </c:pt>
                <c:pt idx="1">
                  <c:v>938.47</c:v>
                </c:pt>
              </c:numCache>
            </c:numRef>
          </c:val>
        </c:ser>
        <c:dLbls>
          <c:showLegendKey val="0"/>
          <c:showVal val="0"/>
          <c:showCatName val="0"/>
          <c:showSerName val="0"/>
          <c:showPercent val="0"/>
          <c:showBubbleSize val="0"/>
        </c:dLbls>
        <c:gapWidth val="219"/>
        <c:overlap val="-27"/>
        <c:axId val="180517888"/>
        <c:axId val="180540160"/>
      </c:barChart>
      <c:catAx>
        <c:axId val="18051788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0540160"/>
        <c:crosses val="autoZero"/>
        <c:auto val="1"/>
        <c:lblAlgn val="ctr"/>
        <c:lblOffset val="100"/>
        <c:noMultiLvlLbl val="0"/>
      </c:catAx>
      <c:valAx>
        <c:axId val="180540160"/>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0517888"/>
        <c:crosses val="autoZero"/>
        <c:crossBetween val="between"/>
      </c:valAx>
      <c:spPr>
        <a:noFill/>
        <a:ln>
          <a:noFill/>
        </a:ln>
        <a:effectLst/>
      </c:spPr>
    </c:plotArea>
    <c:legend>
      <c:legendPos val="b"/>
      <c:layout>
        <c:manualLayout>
          <c:xMode val="edge"/>
          <c:yMode val="edge"/>
          <c:x val="0.239487179487179"/>
          <c:y val="0.904905915278526"/>
          <c:w val="0.548846153846154"/>
          <c:h val="0.0776053215077605"/>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5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00" b="0" i="0" u="none" strike="noStrike" baseline="0">
                <a:solidFill>
                  <a:srgbClr val="000000"/>
                </a:solidFill>
                <a:latin typeface="宋体" panose="02010600030101010101" charset="-122"/>
                <a:ea typeface="宋体" panose="02010600030101010101" charset="-122"/>
                <a:cs typeface="宋体" panose="02010600030101010101" charset="-122"/>
              </a:rPr>
              <a:t>2    </a:t>
            </a:r>
            <a:r>
              <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rPr>
              <a:t>收入决算结构图    </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37602320955515"/>
          <c:y val="0.034412955465587"/>
        </c:manualLayout>
      </c:layout>
      <c:overlay val="0"/>
    </c:title>
    <c:autoTitleDeleted val="0"/>
    <c:plotArea>
      <c:layout>
        <c:manualLayout>
          <c:layoutTarget val="inner"/>
          <c:xMode val="edge"/>
          <c:yMode val="edge"/>
          <c:x val="0.216531157532317"/>
          <c:y val="0.350202429149798"/>
          <c:w val="0.244470661730036"/>
          <c:h val="0.425101214574899"/>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Lbls>
            <c:dLbl>
              <c:idx val="0"/>
              <c:layout>
                <c:manualLayout>
                  <c:x val="0.00438150615387676"/>
                  <c:y val="0.0155068393831214"/>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[政府办2022年决算公开图表.xls]Sheet1!$B$20:$B$25</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年初财政拨款结转和结余</c:v>
                </c:pt>
              </c:strCache>
            </c:strRef>
          </c:cat>
          <c:val>
            <c:numRef>
              <c:f>[政府办2022年决算公开图表.xls]Sheet1!$C$20:$C$25</c:f>
              <c:numCache>
                <c:formatCode>General</c:formatCode>
                <c:ptCount val="6"/>
                <c:pt idx="0">
                  <c:v>938.47</c:v>
                </c:pt>
                <c:pt idx="1">
                  <c:v>0</c:v>
                </c:pt>
                <c:pt idx="2">
                  <c:v>0</c:v>
                </c:pt>
                <c:pt idx="3">
                  <c:v>0</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Lbls>
            <c:delete val="1"/>
          </c:dLbls>
          <c:cat>
            <c:strRef>
              <c:f>[政府办2022年决算公开图表.xls]Sheet1!$B$20:$B$25</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年初财政拨款结转和结余</c:v>
                </c:pt>
              </c:strCache>
            </c:strRef>
          </c:cat>
          <c:val>
            <c:numRef>
              <c:f>[政府办2022年决算公开图表.xls]Sheet1!$D$20:$D$25</c:f>
              <c:numCache>
                <c:formatCode>0%</c:formatCode>
                <c:ptCount val="6"/>
                <c:pt idx="0">
                  <c:v>1</c:v>
                </c:pt>
                <c:pt idx="1">
                  <c:v>0</c:v>
                </c:pt>
                <c:pt idx="2">
                  <c:v>0</c:v>
                </c:pt>
                <c:pt idx="3">
                  <c:v>0</c:v>
                </c:pt>
                <c:pt idx="4">
                  <c:v>0</c:v>
                </c:pt>
                <c:pt idx="5">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76387822972627"/>
          <c:y val="0.237073831564687"/>
          <c:w val="0.319774878485546"/>
          <c:h val="0.75299164596974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sz="1425"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25" b="0" i="0" u="none" strike="noStrike" baseline="0">
                <a:solidFill>
                  <a:srgbClr val="000000"/>
                </a:solidFill>
                <a:latin typeface="宋体" panose="02010600030101010101" charset="-122"/>
                <a:ea typeface="宋体" panose="02010600030101010101" charset="-122"/>
                <a:cs typeface="宋体" panose="02010600030101010101" charset="-122"/>
              </a:rPr>
              <a:t>3    </a:t>
            </a:r>
            <a:r>
              <a:rPr lang="zh-CN" altLang="en-US" sz="1425" b="0" i="0" u="none" strike="noStrike" baseline="0">
                <a:solidFill>
                  <a:srgbClr val="000000"/>
                </a:solidFill>
                <a:latin typeface="宋体" panose="02010600030101010101" charset="-122"/>
                <a:ea typeface="宋体" panose="02010600030101010101" charset="-122"/>
                <a:cs typeface="宋体" panose="02010600030101010101" charset="-122"/>
              </a:rPr>
              <a:t>支出决算结构图     </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53477765108324"/>
          <c:y val="0.0334029227557411"/>
        </c:manualLayout>
      </c:layout>
      <c:overlay val="0"/>
      <c:spPr>
        <a:noFill/>
        <a:ln w="3175">
          <a:noFill/>
        </a:ln>
      </c:spPr>
    </c:title>
    <c:autoTitleDeleted val="0"/>
    <c:plotArea>
      <c:layout>
        <c:manualLayout>
          <c:layoutTarget val="inner"/>
          <c:xMode val="edge"/>
          <c:yMode val="edge"/>
          <c:x val="0.253135725085926"/>
          <c:y val="0.334029227557411"/>
          <c:w val="0.246294219002523"/>
          <c:h val="0.450939457202505"/>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Lbl>
              <c:idx val="0"/>
              <c:layout>
                <c:manualLayout>
                  <c:x val="0.0119078426985728"/>
                  <c:y val="0.0492496535380808"/>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00198554670558858"/>
                  <c:y val="-0.0397958718049607"/>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delete val="1"/>
            </c:dLbl>
            <c:dLbl>
              <c:idx val="3"/>
              <c:delete val="1"/>
            </c:dLbl>
            <c:dLbl>
              <c:idx val="4"/>
              <c:delete val="1"/>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[政府办2022年决算公开图表.xls]Sheet1!$B$51:$B$55</c:f>
              <c:strCache>
                <c:ptCount val="5"/>
                <c:pt idx="0">
                  <c:v>基本支出</c:v>
                </c:pt>
                <c:pt idx="1">
                  <c:v>项目支出</c:v>
                </c:pt>
                <c:pt idx="2">
                  <c:v>上缴上级支出</c:v>
                </c:pt>
                <c:pt idx="3">
                  <c:v>经营支出</c:v>
                </c:pt>
                <c:pt idx="4">
                  <c:v>对附属单位补助支出</c:v>
                </c:pt>
              </c:strCache>
            </c:strRef>
          </c:cat>
          <c:val>
            <c:numRef>
              <c:f>[政府办2022年决算公开图表.xls]Sheet1!$C$51:$C$55</c:f>
              <c:numCache>
                <c:formatCode>General</c:formatCode>
                <c:ptCount val="5"/>
                <c:pt idx="0">
                  <c:v>807.94</c:v>
                </c:pt>
                <c:pt idx="1">
                  <c:v>130.54</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elete val="1"/>
          </c:dLbls>
          <c:cat>
            <c:strRef>
              <c:f>[政府办2022年决算公开图表.xls]Sheet1!$B$51:$B$55</c:f>
              <c:strCache>
                <c:ptCount val="5"/>
                <c:pt idx="0">
                  <c:v>基本支出</c:v>
                </c:pt>
                <c:pt idx="1">
                  <c:v>项目支出</c:v>
                </c:pt>
                <c:pt idx="2">
                  <c:v>上缴上级支出</c:v>
                </c:pt>
                <c:pt idx="3">
                  <c:v>经营支出</c:v>
                </c:pt>
                <c:pt idx="4">
                  <c:v>对附属单位补助支出</c:v>
                </c:pt>
              </c:strCache>
            </c:strRef>
          </c:cat>
          <c:val>
            <c:numRef>
              <c:f>[政府办2022年决算公开图表.xls]Sheet1!$D$51:$D$55</c:f>
              <c:numCache>
                <c:formatCode>0.00%</c:formatCode>
                <c:ptCount val="5"/>
                <c:pt idx="0">
                  <c:v>0.861</c:v>
                </c:pt>
                <c:pt idx="1">
                  <c:v>0.139</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51083365603257"/>
          <c:y val="0.673106442577031"/>
          <c:w val="0.245153935287249"/>
          <c:h val="0.309672936291209"/>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3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375" b="0" i="0" u="none" strike="noStrike" baseline="0">
                <a:solidFill>
                  <a:srgbClr val="000000"/>
                </a:solidFill>
                <a:latin typeface="宋体" panose="02010600030101010101" charset="-122"/>
                <a:ea typeface="宋体" panose="02010600030101010101" charset="-122"/>
                <a:cs typeface="宋体" panose="02010600030101010101" charset="-122"/>
              </a:rPr>
              <a:t>4   </a:t>
            </a: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收入、支出预算执行变动情况   </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33735464985201"/>
          <c:y val="0.0353163276430317"/>
        </c:manualLayout>
      </c:layout>
      <c:overlay val="0"/>
      <c:spPr>
        <a:noFill/>
        <a:ln>
          <a:noFill/>
        </a:ln>
        <a:effectLst/>
      </c:spPr>
    </c:title>
    <c:autoTitleDeleted val="0"/>
    <c:plotArea>
      <c:layout>
        <c:manualLayout>
          <c:layoutTarget val="inner"/>
          <c:xMode val="edge"/>
          <c:yMode val="edge"/>
          <c:x val="0.0865092748735245"/>
          <c:y val="0.170365278868814"/>
          <c:w val="0.790508311250301"/>
          <c:h val="0.711959937156324"/>
        </c:manualLayout>
      </c:layout>
      <c:barChart>
        <c:barDir val="col"/>
        <c:grouping val="clustered"/>
        <c:varyColors val="0"/>
        <c:ser>
          <c:idx val="0"/>
          <c:order val="0"/>
          <c:tx>
            <c:strRef>
              <c:f>"收入"</c:f>
              <c:strCache>
                <c:ptCount val="1"/>
                <c:pt idx="0">
                  <c:v>收入</c:v>
                </c:pt>
              </c:strCache>
            </c:strRef>
          </c:tx>
          <c:spPr>
            <a:solidFill>
              <a:schemeClr val="accent1"/>
            </a:solidFill>
            <a:ln>
              <a:noFill/>
            </a:ln>
            <a:effectLst/>
          </c:spPr>
          <c:invertIfNegative val="0"/>
          <c:dLbls>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shade val="95000"/>
                          <a:satMod val="105000"/>
                        </a:schemeClr>
                      </a:solidFill>
                      <a:prstDash val="solid"/>
                      <a:round/>
                    </a:ln>
                    <a:effectLst/>
                  </c:spPr>
                </c15:leaderLines>
              </c:ext>
            </c:extLst>
          </c:dLbls>
          <c:cat>
            <c:strRef>
              <c:f>[政府办2022年决算公开图表.xls]Sheet1!$B$75:$C$75</c:f>
              <c:strCache>
                <c:ptCount val="2"/>
                <c:pt idx="0">
                  <c:v>2021年（万元）</c:v>
                </c:pt>
                <c:pt idx="1">
                  <c:v>2022年（万元）</c:v>
                </c:pt>
              </c:strCache>
            </c:strRef>
          </c:cat>
          <c:val>
            <c:numRef>
              <c:f>[政府办2022年决算公开图表.xls]Sheet1!$B$76:$C$76</c:f>
              <c:numCache>
                <c:formatCode>General</c:formatCode>
                <c:ptCount val="2"/>
                <c:pt idx="0">
                  <c:v>1164.78</c:v>
                </c:pt>
                <c:pt idx="1">
                  <c:v>938.47</c:v>
                </c:pt>
              </c:numCache>
            </c:numRef>
          </c:val>
        </c:ser>
        <c:ser>
          <c:idx val="1"/>
          <c:order val="1"/>
          <c:tx>
            <c:strRef>
              <c:f>"支出"</c:f>
              <c:strCache>
                <c:ptCount val="1"/>
                <c:pt idx="0">
                  <c:v>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shade val="95000"/>
                          <a:satMod val="105000"/>
                        </a:schemeClr>
                      </a:solidFill>
                      <a:prstDash val="solid"/>
                      <a:round/>
                    </a:ln>
                    <a:effectLst/>
                  </c:spPr>
                </c15:leaderLines>
              </c:ext>
            </c:extLst>
          </c:dLbls>
          <c:cat>
            <c:strRef>
              <c:f>[政府办2022年决算公开图表.xls]Sheet1!$B$75:$C$75</c:f>
              <c:strCache>
                <c:ptCount val="2"/>
                <c:pt idx="0">
                  <c:v>2021年（万元）</c:v>
                </c:pt>
                <c:pt idx="1">
                  <c:v>2022年（万元）</c:v>
                </c:pt>
              </c:strCache>
            </c:strRef>
          </c:cat>
          <c:val>
            <c:numRef>
              <c:f>[政府办2022年决算公开图表.xls]Sheet1!$B$77:$C$77</c:f>
              <c:numCache>
                <c:formatCode>General</c:formatCode>
                <c:ptCount val="2"/>
                <c:pt idx="0">
                  <c:v>1164.78</c:v>
                </c:pt>
                <c:pt idx="1">
                  <c:v>938.47</c:v>
                </c:pt>
              </c:numCache>
            </c:numRef>
          </c:val>
        </c:ser>
        <c:dLbls>
          <c:showLegendKey val="0"/>
          <c:showVal val="0"/>
          <c:showCatName val="0"/>
          <c:showSerName val="0"/>
          <c:showPercent val="0"/>
          <c:showBubbleSize val="0"/>
        </c:dLbls>
        <c:gapWidth val="150"/>
        <c:axId val="184684544"/>
        <c:axId val="184686080"/>
      </c:barChart>
      <c:catAx>
        <c:axId val="184684544"/>
        <c:scaling>
          <c:orientation val="minMax"/>
        </c:scaling>
        <c:delete val="0"/>
        <c:axPos val="b"/>
        <c:majorTickMark val="in"/>
        <c:minorTickMark val="none"/>
        <c:tickLblPos val="nextTo"/>
        <c:spPr>
          <a:noFill/>
          <a:ln w="3175" cap="flat" cmpd="sng" algn="ctr">
            <a:solidFill>
              <a:srgbClr val="000000">
                <a:alpha val="100000"/>
              </a:srgbClr>
            </a:solidFill>
            <a:prstDash val="solid"/>
            <a:round/>
          </a:ln>
          <a:effectLst/>
        </c:spPr>
        <c:txPr>
          <a:bodyPr rot="0" spcFirstLastPara="0" vertOverflow="ellipsis" vert="horz" wrap="square"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84686080"/>
        <c:crosses val="autoZero"/>
        <c:auto val="1"/>
        <c:lblAlgn val="ctr"/>
        <c:lblOffset val="100"/>
        <c:tickLblSkip val="1"/>
        <c:noMultiLvlLbl val="0"/>
      </c:catAx>
      <c:valAx>
        <c:axId val="184686080"/>
        <c:scaling>
          <c:orientation val="minMax"/>
        </c:scaling>
        <c:delete val="0"/>
        <c:axPos val="l"/>
        <c:majorGridlines>
          <c:spPr>
            <a:ln w="3175" cap="flat" cmpd="sng" algn="ctr">
              <a:solidFill>
                <a:srgbClr val="000000">
                  <a:alpha val="100000"/>
                </a:srgbClr>
              </a:solidFill>
              <a:prstDash val="solid"/>
              <a:round/>
            </a:ln>
            <a:effectLst/>
          </c:spPr>
        </c:majorGridlines>
        <c:title>
          <c:layout/>
          <c:overlay val="0"/>
          <c:spPr>
            <a:noFill/>
            <a:ln>
              <a:noFill/>
            </a:ln>
            <a:effectLst/>
          </c:spPr>
          <c:tx>
            <c:rich>
              <a:bodyPr/>
              <a:lstStyle/>
              <a:p>
                <a:pPr>
                  <a:defRPr/>
                </a:pPr>
              </a:p>
            </c:rich>
          </c:tx>
        </c:title>
        <c:numFmt formatCode="General" sourceLinked="1"/>
        <c:majorTickMark val="in"/>
        <c:minorTickMark val="none"/>
        <c:tickLblPos val="nextTo"/>
        <c:spPr>
          <a:noFill/>
          <a:ln w="3175" cap="flat" cmpd="sng" algn="ctr">
            <a:solidFill>
              <a:srgbClr val="000000">
                <a:alpha val="100000"/>
              </a:srgbClr>
            </a:solidFill>
            <a:prstDash val="solid"/>
            <a:round/>
          </a:ln>
          <a:effectLst/>
        </c:spPr>
        <c:txPr>
          <a:bodyPr rot="0" spcFirstLastPara="0" vertOverflow="ellipsis" vert="horz" wrap="square"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84684544"/>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880886412912551"/>
          <c:y val="0.762175962293794"/>
          <c:w val="0.1155"/>
          <c:h val="0.22875"/>
        </c:manualLayout>
      </c:layout>
      <c:overlay val="0"/>
      <c:spPr>
        <a:solidFill>
          <a:srgbClr val="FFFFFF">
            <a:alpha val="100000"/>
          </a:srgbClr>
        </a:solidFill>
        <a:ln w="3175">
          <a:solidFill>
            <a:srgbClr val="000000">
              <a:alpha val="100000"/>
            </a:srgbClr>
          </a:solidFill>
          <a:prstDash val="solid"/>
        </a:ln>
        <a:effectLst/>
      </c:spPr>
      <c:txPr>
        <a:bodyPr rot="0" spcFirstLastPara="0" vertOverflow="ellipsis" vert="horz" wrap="square" anchor="ctr" anchorCtr="1"/>
        <a:lstStyle/>
        <a:p>
          <a:pPr>
            <a:defRPr lang="zh-CN" sz="10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FF">
          <a:alpha val="100000"/>
        </a:srgbClr>
      </a:solidFill>
      <a:prstDash val="solid"/>
      <a:round/>
    </a:ln>
    <a:effectLst/>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375" b="0" i="0" u="none" strike="noStrike" baseline="0">
                <a:solidFill>
                  <a:srgbClr val="000000"/>
                </a:solidFill>
                <a:latin typeface="宋体" panose="02010600030101010101" charset="-122"/>
                <a:ea typeface="宋体" panose="02010600030101010101" charset="-122"/>
                <a:cs typeface="宋体" panose="02010600030101010101" charset="-122"/>
              </a:rPr>
              <a:t>5</a:t>
            </a: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   一般公共预算财政拨款支出决算变动情况  </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114211597511854"/>
          <c:y val="0.0311128947743313"/>
        </c:manualLayout>
      </c:layout>
      <c:overlay val="0"/>
      <c:spPr>
        <a:noFill/>
        <a:ln w="3175">
          <a:noFill/>
        </a:ln>
      </c:spPr>
    </c:title>
    <c:autoTitleDeleted val="0"/>
    <c:plotArea>
      <c:layout>
        <c:manualLayout>
          <c:layoutTarget val="inner"/>
          <c:xMode val="edge"/>
          <c:yMode val="edge"/>
          <c:x val="0.0865092748735245"/>
          <c:y val="0.185408604598224"/>
          <c:w val="0.821223801493616"/>
          <c:h val="0.682290006829046"/>
        </c:manualLayout>
      </c:layout>
      <c:barChart>
        <c:barDir val="col"/>
        <c:grouping val="clustered"/>
        <c:varyColors val="0"/>
        <c:ser>
          <c:idx val="0"/>
          <c:order val="0"/>
          <c:tx>
            <c:strRef>
              <c:f>[政府办2022年决算公开图表.xls]Sheet1!#REF!</c:f>
              <c:strCache>
                <c:ptCount val="1"/>
                <c:pt idx="0">
                  <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[政府办2022年决算公开图表.xls]Sheet1!$B$101:$C$101</c:f>
              <c:strCache>
                <c:ptCount val="2"/>
                <c:pt idx="0">
                  <c:v>2021年（万元）</c:v>
                </c:pt>
                <c:pt idx="1">
                  <c:v>2022年（万元）</c:v>
                </c:pt>
              </c:strCache>
            </c:strRef>
          </c:cat>
          <c:val>
            <c:numRef>
              <c:f>[政府办2022年决算公开图表.xls]Sheet1!$B$102:$C$102</c:f>
              <c:numCache>
                <c:formatCode>General</c:formatCode>
                <c:ptCount val="2"/>
                <c:pt idx="0">
                  <c:v>1164.78</c:v>
                </c:pt>
                <c:pt idx="1">
                  <c:v>938.47</c:v>
                </c:pt>
              </c:numCache>
            </c:numRef>
          </c:val>
        </c:ser>
        <c:dLbls>
          <c:showLegendKey val="0"/>
          <c:showVal val="0"/>
          <c:showCatName val="0"/>
          <c:showSerName val="0"/>
          <c:showPercent val="0"/>
          <c:showBubbleSize val="0"/>
        </c:dLbls>
        <c:gapWidth val="150"/>
        <c:axId val="184703232"/>
        <c:axId val="184725504"/>
      </c:barChart>
      <c:catAx>
        <c:axId val="184703232"/>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84725504"/>
        <c:crosses val="autoZero"/>
        <c:auto val="1"/>
        <c:lblAlgn val="ctr"/>
        <c:lblOffset val="100"/>
        <c:tickLblSkip val="1"/>
        <c:noMultiLvlLbl val="0"/>
      </c:catAx>
      <c:valAx>
        <c:axId val="184725504"/>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84703232"/>
        <c:crosses val="autoZero"/>
        <c:crossBetween val="between"/>
      </c:valAx>
      <c:spPr>
        <a:solidFill>
          <a:srgbClr val="C0C0C0">
            <a:alpha val="100000"/>
          </a:srgbClr>
        </a:solidFill>
        <a:ln w="12700">
          <a:solidFill>
            <a:srgbClr val="808080">
              <a:alpha val="100000"/>
            </a:srgbClr>
          </a:solidFill>
          <a:prstDash val="solid"/>
        </a:ln>
      </c:spPr>
    </c:plotArea>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b="0" i="0" u="none" strike="noStrike" baseline="0">
                <a:solidFill>
                  <a:srgbClr val="000000"/>
                </a:solidFill>
                <a:latin typeface="宋体" panose="02010600030101010101" charset="-122"/>
                <a:ea typeface="宋体" panose="02010600030101010101" charset="-122"/>
                <a:cs typeface="宋体" panose="02010600030101010101" charset="-122"/>
              </a:rPr>
              <a:t>6</a:t>
            </a:r>
            <a:r>
              <a:rPr lang="zh-CN" altLang="en-US" b="0" i="0" u="none" strike="noStrike" baseline="0">
                <a:solidFill>
                  <a:srgbClr val="000000"/>
                </a:solidFill>
                <a:latin typeface="宋体" panose="02010600030101010101" charset="-122"/>
                <a:ea typeface="宋体" panose="02010600030101010101" charset="-122"/>
                <a:cs typeface="宋体" panose="02010600030101010101" charset="-122"/>
              </a:rPr>
              <a:t> 一般公共预算财政拨款支出决算结构    </a:t>
            </a:r>
            <a:r>
              <a:rPr lang="zh-CN" altLang="en-US" sz="10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endParaRPr lang="zh-CN" altLang="en-US" sz="10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105319290761232"/>
          <c:y val="0.0180643359402644"/>
        </c:manualLayout>
      </c:layout>
      <c:overlay val="0"/>
      <c:spPr>
        <a:noFill/>
        <a:ln w="3175">
          <a:noFill/>
        </a:ln>
      </c:spPr>
    </c:title>
    <c:autoTitleDeleted val="0"/>
    <c:plotArea>
      <c:layout>
        <c:manualLayout>
          <c:layoutTarget val="inner"/>
          <c:xMode val="edge"/>
          <c:yMode val="edge"/>
          <c:x val="0.252293789891618"/>
          <c:y val="0.385779407517173"/>
          <c:w val="0.245413050167301"/>
          <c:h val="0.323752130230098"/>
        </c:manualLayout>
      </c:layout>
      <c:pieChart>
        <c:varyColors val="1"/>
        <c:ser>
          <c:idx val="0"/>
          <c:order val="0"/>
          <c:tx>
            <c:strRef>
              <c:f>"一般公共服务（类）支出"</c:f>
              <c:strCache>
                <c:ptCount val="1"/>
                <c:pt idx="0">
                  <c:v>一般公共服务（类）支出</c:v>
                </c:pt>
              </c:strCache>
            </c:strRef>
          </c:tx>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Lbls>
            <c:dLbl>
              <c:idx val="0"/>
              <c:layout>
                <c:manualLayout>
                  <c:x val="0.0100335192334067"/>
                  <c:y val="0.0558102628950457"/>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一般公共服务（类）支出</a:t>
                    </a:r>
                    <a:r>
                      <a:rPr lang="en-US" altLang="zh-CN"/>
                      <a:t>, 722.68, 77%</a:t>
                    </a:r>
                    <a:endParaRPr lang="en-US" altLang="zh-CN"/>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136670125198593"/>
                  <c:y val="-0.0517404594242946"/>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社会保障和就业（类）支出</a:t>
                    </a:r>
                    <a:r>
                      <a:rPr lang="en-US" altLang="zh-CN"/>
                      <a:t>, 98.31, 10.5%</a:t>
                    </a:r>
                    <a:endParaRPr lang="en-US" altLang="zh-CN"/>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605704677046508"/>
                  <c:y val="-0.117015007469795"/>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卫生健康支出</a:t>
                    </a:r>
                    <a:r>
                      <a:rPr lang="en-US" altLang="zh-CN"/>
                      <a:t>, 58.79, 6.3%</a:t>
                    </a:r>
                    <a:endParaRPr lang="en-US" altLang="zh-CN"/>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22284387699621"/>
                  <c:y val="0.00573489215549927"/>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住房保障支出</a:t>
                    </a:r>
                    <a:r>
                      <a:rPr lang="en-US" altLang="zh-CN"/>
                      <a:t>, 58.7, 6.2%</a:t>
                    </a:r>
                    <a:endParaRPr lang="en-US" altLang="zh-CN"/>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[政府办2022年决算公开图表.xls]Sheet1!$A$127:$A$130</c:f>
              <c:strCache>
                <c:ptCount val="4"/>
                <c:pt idx="0">
                  <c:v>一般公共服务（类）支出</c:v>
                </c:pt>
                <c:pt idx="1">
                  <c:v>社会保障和就业（类）支出</c:v>
                </c:pt>
                <c:pt idx="2">
                  <c:v>卫生健康支出</c:v>
                </c:pt>
                <c:pt idx="3">
                  <c:v>住房保障支出</c:v>
                </c:pt>
              </c:strCache>
            </c:strRef>
          </c:cat>
          <c:val>
            <c:numRef>
              <c:f>[政府办2022年决算公开图表.xls]Sheet1!$B$127:$B$130</c:f>
              <c:numCache>
                <c:formatCode>General</c:formatCode>
                <c:ptCount val="4"/>
                <c:pt idx="0">
                  <c:v>722.68</c:v>
                </c:pt>
                <c:pt idx="1">
                  <c:v>98.31</c:v>
                </c:pt>
                <c:pt idx="2">
                  <c:v>58.79</c:v>
                </c:pt>
                <c:pt idx="3">
                  <c:v>58.7</c:v>
                </c:pt>
              </c:numCache>
            </c:numRef>
          </c:val>
        </c:ser>
        <c:ser>
          <c:idx val="1"/>
          <c:order val="1"/>
          <c:tx>
            <c:strRef>
              <c:f>"社会保障和就业（类）支出"</c:f>
              <c:strCache>
                <c:ptCount val="1"/>
                <c:pt idx="0">
                  <c:v>社会保障和就业（类）支出</c:v>
                </c:pt>
              </c:strCache>
            </c:strRef>
          </c:tx>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Lbls>
            <c:delete val="1"/>
          </c:dLbls>
          <c:cat>
            <c:strRef>
              <c:f>[政府办2022年决算公开图表.xls]Sheet1!$A$127:$A$130</c:f>
              <c:strCache>
                <c:ptCount val="4"/>
                <c:pt idx="0">
                  <c:v>一般公共服务（类）支出</c:v>
                </c:pt>
                <c:pt idx="1">
                  <c:v>社会保障和就业（类）支出</c:v>
                </c:pt>
                <c:pt idx="2">
                  <c:v>卫生健康支出</c:v>
                </c:pt>
                <c:pt idx="3">
                  <c:v>住房保障支出</c:v>
                </c:pt>
              </c:strCache>
            </c:strRef>
          </c:cat>
          <c:val>
            <c:numRef>
              <c:f>[政府办2022年决算公开图表.xls]Sheet1!$C$127:$C$130</c:f>
              <c:numCache>
                <c:formatCode>0.00%</c:formatCode>
                <c:ptCount val="4"/>
                <c:pt idx="0">
                  <c:v>0.77</c:v>
                </c:pt>
                <c:pt idx="1">
                  <c:v>0.105</c:v>
                </c:pt>
                <c:pt idx="2">
                  <c:v>0.063</c:v>
                </c:pt>
                <c:pt idx="3">
                  <c:v>0.062</c:v>
                </c:pt>
              </c:numCache>
            </c:numRef>
          </c:val>
        </c:ser>
        <c:ser>
          <c:idx val="2"/>
          <c:order val="2"/>
          <c:tx>
            <c:strRef>
              <c:f>"卫生健康支出"</c:f>
              <c:strCache>
                <c:ptCount val="1"/>
                <c:pt idx="0">
                  <c:v>卫生健康支出</c:v>
                </c:pt>
              </c:strCache>
            </c:strRef>
          </c:tx>
          <c:explosion val="0"/>
          <c:dPt>
            <c:idx val="0"/>
            <c:bubble3D val="0"/>
          </c:dPt>
          <c:dLbls>
            <c:delete val="1"/>
          </c:dLbls>
          <c:cat>
            <c:strRef>
              <c:f>[政府办2022年决算公开图表.xls]Sheet1!$A$127:$A$130</c:f>
              <c:strCache>
                <c:ptCount val="4"/>
                <c:pt idx="0">
                  <c:v>一般公共服务（类）支出</c:v>
                </c:pt>
                <c:pt idx="1">
                  <c:v>社会保障和就业（类）支出</c:v>
                </c:pt>
                <c:pt idx="2">
                  <c:v>卫生健康支出</c:v>
                </c:pt>
                <c:pt idx="3">
                  <c:v>住房保障支出</c:v>
                </c:pt>
              </c:strCache>
            </c:strRef>
          </c:cat>
          <c:val>
            <c:numRef>
              <c:f>{1}</c:f>
              <c:numCache>
                <c:formatCode>General</c:formatCode>
                <c:ptCount val="1"/>
                <c:pt idx="0">
                  <c:v>1</c:v>
                </c:pt>
              </c:numCache>
            </c:numRef>
          </c:val>
        </c:ser>
        <c:ser>
          <c:idx val="3"/>
          <c:order val="3"/>
          <c:tx>
            <c:strRef>
              <c:f>"住房保障支出"</c:f>
              <c:strCache>
                <c:ptCount val="1"/>
                <c:pt idx="0">
                  <c:v>住房保障支出</c:v>
                </c:pt>
              </c:strCache>
            </c:strRef>
          </c:tx>
          <c:explosion val="0"/>
          <c:dPt>
            <c:idx val="0"/>
            <c:bubble3D val="0"/>
          </c:dPt>
          <c:dLbls>
            <c:delete val="1"/>
          </c:dLbls>
          <c:cat>
            <c:strRef>
              <c:f>[政府办2022年决算公开图表.xls]Sheet1!$A$127:$A$130</c:f>
              <c:strCache>
                <c:ptCount val="4"/>
                <c:pt idx="0">
                  <c:v>一般公共服务（类）支出</c:v>
                </c:pt>
                <c:pt idx="1">
                  <c:v>社会保障和就业（类）支出</c:v>
                </c:pt>
                <c:pt idx="2">
                  <c:v>卫生健康支出</c:v>
                </c:pt>
                <c:pt idx="3">
                  <c:v>住房保障支出</c:v>
                </c:pt>
              </c:strCache>
            </c:strRef>
          </c:cat>
          <c:val>
            <c:numRef>
              <c:f>{1}</c:f>
              <c:numCache>
                <c:formatCode>General</c:formatCode>
                <c:ptCount val="1"/>
                <c:pt idx="0">
                  <c:v>1</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90104166666667"/>
          <c:y val="0.433117970806413"/>
          <c:w val="0.301171875"/>
          <c:h val="0.548456568557071"/>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375" b="0" i="0" u="none" strike="noStrike" baseline="0">
                <a:solidFill>
                  <a:srgbClr val="000000"/>
                </a:solidFill>
                <a:latin typeface="宋体" panose="02010600030101010101" charset="-122"/>
                <a:ea typeface="宋体" panose="02010600030101010101" charset="-122"/>
                <a:cs typeface="宋体" panose="02010600030101010101" charset="-122"/>
              </a:rPr>
              <a:t>7</a:t>
            </a: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   “三公”经费财政拨款支出结构  </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396014629839829"/>
          <c:y val="0.0308080869292291"/>
        </c:manualLayout>
      </c:layout>
      <c:overlay val="0"/>
      <c:spPr>
        <a:noFill/>
        <a:ln w="3175">
          <a:noFill/>
        </a:ln>
      </c:spPr>
    </c:title>
    <c:autoTitleDeleted val="0"/>
    <c:plotArea>
      <c:layout>
        <c:manualLayout>
          <c:layoutTarget val="inner"/>
          <c:xMode val="edge"/>
          <c:yMode val="edge"/>
          <c:x val="0.237028404248106"/>
          <c:y val="0.388663967611336"/>
          <c:w val="0.196934047310616"/>
          <c:h val="0.338056680161943"/>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dLbl>
              <c:idx val="0"/>
              <c:layout>
                <c:manualLayout>
                  <c:x val="-0.160377358490566"/>
                  <c:y val="0.012847965738758"/>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190079348082154"/>
                  <c:y val="0.00403718221663684"/>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171112301952307"/>
                  <c:y val="-0.0131641339901474"/>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[政府办2022年决算公开图表.xls]Sheet1!$B$155:$B$157</c:f>
              <c:strCache>
                <c:ptCount val="3"/>
                <c:pt idx="0">
                  <c:v>因公出国（境）费支出</c:v>
                </c:pt>
                <c:pt idx="1">
                  <c:v>公务用车购置及运行维护费支出</c:v>
                </c:pt>
                <c:pt idx="2">
                  <c:v>公务接待费支出</c:v>
                </c:pt>
              </c:strCache>
            </c:strRef>
          </c:cat>
          <c:val>
            <c:numRef>
              <c:f>[政府办2022年决算公开图表.xls]Sheet1!$C$155:$C$157</c:f>
              <c:numCache>
                <c:formatCode>General</c:formatCode>
                <c:ptCount val="3"/>
                <c:pt idx="0">
                  <c:v>0</c:v>
                </c:pt>
                <c:pt idx="1">
                  <c:v>0</c:v>
                </c:pt>
                <c:pt idx="2">
                  <c:v>0.18</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delete val="1"/>
          </c:dLbls>
          <c:cat>
            <c:strRef>
              <c:f>[政府办2022年决算公开图表.xls]Sheet1!$B$155:$B$157</c:f>
              <c:strCache>
                <c:ptCount val="3"/>
                <c:pt idx="0">
                  <c:v>因公出国（境）费支出</c:v>
                </c:pt>
                <c:pt idx="1">
                  <c:v>公务用车购置及运行维护费支出</c:v>
                </c:pt>
                <c:pt idx="2">
                  <c:v>公务接待费支出</c:v>
                </c:pt>
              </c:strCache>
            </c:strRef>
          </c:cat>
          <c:val>
            <c:numRef>
              <c:f>[政府办2022年决算公开图表.xls]Sheet1!$D$155:$D$157</c:f>
              <c:numCache>
                <c:formatCode>0%</c:formatCode>
                <c:ptCount val="3"/>
                <c:pt idx="0">
                  <c:v>0</c:v>
                </c:pt>
                <c:pt idx="1">
                  <c:v>0</c:v>
                </c:pt>
                <c:pt idx="2">
                  <c:v>1</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41979768786127"/>
          <c:y val="0.403832335329341"/>
          <c:w val="0.324301541425819"/>
          <c:h val="0.489580838323353"/>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48</Pages>
  <Words>9938</Words>
  <Characters>3260</Characters>
  <Lines>27</Lines>
  <Paragraphs>26</Paragraphs>
  <TotalTime>7</TotalTime>
  <ScaleCrop>false</ScaleCrop>
  <LinksUpToDate>false</LinksUpToDate>
  <CharactersWithSpaces>13172</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雨点儿</cp:lastModifiedBy>
  <cp:lastPrinted>2023-10-26T04:08:00Z</cp:lastPrinted>
  <dcterms:modified xsi:type="dcterms:W3CDTF">2023-10-26T07:42:43Z</dcterms:modified>
  <dc:title>四川省***</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BD85C45896F44982A8CF9596C58F24F8_12</vt:lpwstr>
  </property>
</Properties>
</file>