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4533" w:rsidRDefault="00454533">
      <w:pPr>
        <w:spacing w:line="600" w:lineRule="exact"/>
        <w:jc w:val="center"/>
        <w:rPr>
          <w:rFonts w:ascii="方正小标宋简体" w:eastAsia="方正小标宋简体" w:hAnsi="宋体"/>
          <w:sz w:val="72"/>
          <w:szCs w:val="72"/>
        </w:rPr>
      </w:pPr>
      <w:bookmarkStart w:id="0" w:name="_Toc15306267"/>
    </w:p>
    <w:p w:rsidR="00454533" w:rsidRDefault="00454533">
      <w:pPr>
        <w:spacing w:line="600" w:lineRule="exact"/>
        <w:jc w:val="center"/>
        <w:rPr>
          <w:rFonts w:ascii="方正小标宋简体" w:eastAsia="方正小标宋简体" w:hAnsi="宋体"/>
          <w:sz w:val="72"/>
          <w:szCs w:val="72"/>
        </w:rPr>
      </w:pPr>
    </w:p>
    <w:p w:rsidR="00454533" w:rsidRDefault="00454533">
      <w:pPr>
        <w:spacing w:line="600" w:lineRule="exact"/>
        <w:jc w:val="center"/>
        <w:rPr>
          <w:rFonts w:ascii="方正小标宋简体" w:eastAsia="方正小标宋简体" w:hAnsi="宋体"/>
          <w:sz w:val="72"/>
          <w:szCs w:val="72"/>
        </w:rPr>
      </w:pPr>
    </w:p>
    <w:p w:rsidR="00454533" w:rsidRDefault="00454533">
      <w:pPr>
        <w:spacing w:line="600" w:lineRule="exact"/>
        <w:jc w:val="center"/>
        <w:rPr>
          <w:rFonts w:ascii="方正小标宋简体" w:eastAsia="方正小标宋简体" w:hAnsi="宋体"/>
          <w:sz w:val="72"/>
          <w:szCs w:val="72"/>
        </w:rPr>
      </w:pPr>
    </w:p>
    <w:p w:rsidR="00454533" w:rsidRDefault="00982C2D">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1" w:name="_Toc15377193"/>
      <w:bookmarkStart w:id="2" w:name="_Toc15377425"/>
      <w:bookmarkStart w:id="3" w:name="_Toc15396597"/>
      <w:bookmarkStart w:id="4" w:name="_Toc15378441"/>
      <w:bookmarkStart w:id="5" w:name="_Toc19398"/>
      <w:bookmarkStart w:id="6" w:name="_Toc15396475"/>
      <w:r>
        <w:rPr>
          <w:rFonts w:ascii="方正小标宋简体" w:eastAsia="方正小标宋简体" w:hAnsi="方正小标宋简体" w:cs="方正小标宋简体" w:hint="eastAsia"/>
          <w:sz w:val="72"/>
          <w:szCs w:val="72"/>
        </w:rPr>
        <w:t>2021年度</w:t>
      </w:r>
      <w:bookmarkEnd w:id="1"/>
      <w:bookmarkEnd w:id="2"/>
      <w:bookmarkEnd w:id="3"/>
      <w:bookmarkEnd w:id="4"/>
      <w:bookmarkEnd w:id="5"/>
      <w:bookmarkEnd w:id="6"/>
    </w:p>
    <w:p w:rsidR="00454533" w:rsidRDefault="00982C2D">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5377426"/>
      <w:bookmarkStart w:id="8" w:name="_Toc15377194"/>
      <w:bookmarkStart w:id="9" w:name="_Toc15396598"/>
      <w:bookmarkStart w:id="10" w:name="_Toc15378442"/>
      <w:bookmarkStart w:id="11" w:name="_Toc15396476"/>
      <w:bookmarkStart w:id="12" w:name="_Toc10255"/>
      <w:r>
        <w:rPr>
          <w:rFonts w:ascii="方正小标宋简体" w:eastAsia="方正小标宋简体" w:hAnsi="方正小标宋简体" w:cs="方正小标宋简体" w:hint="eastAsia"/>
          <w:sz w:val="72"/>
          <w:szCs w:val="72"/>
        </w:rPr>
        <w:t>盐边县</w:t>
      </w:r>
      <w:bookmarkStart w:id="13" w:name="_Toc15306268"/>
      <w:bookmarkEnd w:id="0"/>
      <w:proofErr w:type="gramStart"/>
      <w:r>
        <w:rPr>
          <w:rFonts w:ascii="方正小标宋简体" w:eastAsia="方正小标宋简体" w:hAnsi="方正小标宋简体" w:cs="方正小标宋简体" w:hint="eastAsia"/>
          <w:sz w:val="72"/>
          <w:szCs w:val="72"/>
        </w:rPr>
        <w:t>惠民镇</w:t>
      </w:r>
      <w:proofErr w:type="gramEnd"/>
      <w:r>
        <w:rPr>
          <w:rFonts w:ascii="方正小标宋简体" w:eastAsia="方正小标宋简体" w:hAnsi="方正小标宋简体" w:cs="方正小标宋简体" w:hint="eastAsia"/>
          <w:sz w:val="72"/>
          <w:szCs w:val="72"/>
        </w:rPr>
        <w:t>初级中学校决算</w:t>
      </w:r>
      <w:bookmarkEnd w:id="7"/>
      <w:bookmarkEnd w:id="8"/>
      <w:bookmarkEnd w:id="9"/>
      <w:bookmarkEnd w:id="10"/>
      <w:bookmarkEnd w:id="11"/>
      <w:bookmarkEnd w:id="13"/>
      <w:r>
        <w:rPr>
          <w:rFonts w:ascii="方正小标宋简体" w:eastAsia="方正小标宋简体" w:hAnsi="方正小标宋简体" w:cs="方正小标宋简体" w:hint="eastAsia"/>
          <w:sz w:val="72"/>
          <w:szCs w:val="72"/>
        </w:rPr>
        <w:t>公开</w:t>
      </w:r>
      <w:bookmarkEnd w:id="12"/>
    </w:p>
    <w:p w:rsidR="00454533" w:rsidRDefault="00454533">
      <w:pPr>
        <w:widowControl/>
        <w:jc w:val="center"/>
        <w:rPr>
          <w:rFonts w:ascii="黑体" w:eastAsia="黑体" w:hAnsi="黑体"/>
          <w:sz w:val="48"/>
          <w:szCs w:val="48"/>
        </w:rPr>
        <w:sectPr w:rsidR="00454533">
          <w:headerReference w:type="default" r:id="rId7"/>
          <w:footerReference w:type="default" r:id="rId8"/>
          <w:pgSz w:w="11906" w:h="16838"/>
          <w:pgMar w:top="1440" w:right="1800" w:bottom="1440" w:left="1800" w:header="851" w:footer="992" w:gutter="0"/>
          <w:pgNumType w:start="1"/>
          <w:cols w:space="425"/>
          <w:titlePg/>
          <w:docGrid w:type="lines" w:linePitch="312"/>
        </w:sectPr>
      </w:pPr>
    </w:p>
    <w:p w:rsidR="00454533" w:rsidRDefault="00982C2D">
      <w:pPr>
        <w:widowControl/>
        <w:jc w:val="center"/>
        <w:rPr>
          <w:rFonts w:ascii="黑体" w:eastAsia="黑体" w:hAnsi="黑体"/>
          <w:sz w:val="48"/>
          <w:szCs w:val="48"/>
        </w:rPr>
      </w:pPr>
      <w:r>
        <w:rPr>
          <w:rFonts w:ascii="黑体" w:eastAsia="黑体" w:hAnsi="黑体" w:hint="eastAsia"/>
          <w:sz w:val="48"/>
          <w:szCs w:val="48"/>
        </w:rPr>
        <w:lastRenderedPageBreak/>
        <w:t>目录</w:t>
      </w:r>
    </w:p>
    <w:p w:rsidR="00454533" w:rsidRDefault="00454533">
      <w:pPr>
        <w:widowControl/>
        <w:jc w:val="center"/>
        <w:rPr>
          <w:rFonts w:ascii="黑体" w:eastAsia="黑体" w:hAnsi="黑体" w:cstheme="minorBidi"/>
          <w:sz w:val="28"/>
          <w:szCs w:val="28"/>
        </w:rPr>
      </w:pPr>
    </w:p>
    <w:p w:rsidR="00454533" w:rsidRDefault="00982C2D">
      <w:pPr>
        <w:pStyle w:val="10"/>
      </w:pPr>
      <w:r>
        <w:rPr>
          <w:rFonts w:hint="eastAsia"/>
        </w:rPr>
        <w:t>公开时间：2022年10月26日</w:t>
      </w:r>
    </w:p>
    <w:p w:rsidR="00454533" w:rsidRDefault="00454533"/>
    <w:sdt>
      <w:sdtPr>
        <w:rPr>
          <w:rFonts w:ascii="宋体" w:hAnsi="宋体"/>
        </w:rPr>
        <w:id w:val="147474092"/>
        <w:docPartObj>
          <w:docPartGallery w:val="Table of Contents"/>
          <w:docPartUnique/>
        </w:docPartObj>
      </w:sdtPr>
      <w:sdtEndPr>
        <w:rPr>
          <w:b/>
        </w:rPr>
      </w:sdtEndPr>
      <w:sdtContent>
        <w:p w:rsidR="00982C2D" w:rsidRDefault="00982C2D">
          <w:pPr>
            <w:jc w:val="center"/>
          </w:pPr>
        </w:p>
        <w:p w:rsidR="00982C2D" w:rsidRDefault="00982C2D">
          <w:pPr>
            <w:pStyle w:val="WPSOffice1"/>
            <w:tabs>
              <w:tab w:val="right" w:leader="dot" w:pos="8306"/>
            </w:tabs>
            <w:rPr>
              <w:b/>
            </w:rPr>
          </w:pPr>
          <w:r>
            <w:fldChar w:fldCharType="begin"/>
          </w:r>
          <w:r>
            <w:instrText xml:space="preserve">TOC \o "1-2" \h \u </w:instrText>
          </w:r>
          <w:r>
            <w:fldChar w:fldCharType="separate"/>
          </w:r>
          <w:hyperlink w:anchor="_Toc11160" w:history="1">
            <w:r>
              <w:rPr>
                <w:rFonts w:ascii="黑体" w:eastAsia="黑体" w:hAnsi="黑体" w:hint="eastAsia"/>
                <w:b/>
              </w:rPr>
              <w:t>第一部分 单位概况</w:t>
            </w:r>
            <w:r>
              <w:rPr>
                <w:b/>
              </w:rPr>
              <w:tab/>
            </w:r>
            <w:r>
              <w:rPr>
                <w:b/>
              </w:rPr>
              <w:fldChar w:fldCharType="begin"/>
            </w:r>
            <w:r>
              <w:rPr>
                <w:b/>
              </w:rPr>
              <w:instrText xml:space="preserve"> PAGEREF _Toc11160 \h </w:instrText>
            </w:r>
            <w:r>
              <w:rPr>
                <w:b/>
              </w:rPr>
            </w:r>
            <w:r>
              <w:rPr>
                <w:b/>
              </w:rPr>
              <w:fldChar w:fldCharType="separate"/>
            </w:r>
            <w:r>
              <w:rPr>
                <w:b/>
              </w:rPr>
              <w:t>1</w:t>
            </w:r>
            <w:r>
              <w:rPr>
                <w:b/>
              </w:rPr>
              <w:fldChar w:fldCharType="end"/>
            </w:r>
          </w:hyperlink>
        </w:p>
        <w:p w:rsidR="00982C2D" w:rsidRDefault="00FF41AD" w:rsidP="00982C2D">
          <w:pPr>
            <w:pStyle w:val="WPSOffice2"/>
            <w:tabs>
              <w:tab w:val="right" w:leader="dot" w:pos="8306"/>
            </w:tabs>
            <w:ind w:left="420"/>
          </w:pPr>
          <w:hyperlink w:anchor="_Toc9858" w:history="1">
            <w:r w:rsidR="00982C2D">
              <w:rPr>
                <w:rFonts w:ascii="黑体" w:eastAsia="黑体" w:hAnsi="黑体" w:hint="eastAsia"/>
              </w:rPr>
              <w:t>一、 职能简介</w:t>
            </w:r>
            <w:r w:rsidR="00982C2D">
              <w:tab/>
            </w:r>
            <w:r w:rsidR="00982C2D">
              <w:fldChar w:fldCharType="begin"/>
            </w:r>
            <w:r w:rsidR="00982C2D">
              <w:instrText xml:space="preserve"> PAGEREF _Toc9858 \h </w:instrText>
            </w:r>
            <w:r w:rsidR="00982C2D">
              <w:fldChar w:fldCharType="separate"/>
            </w:r>
            <w:r w:rsidR="00982C2D">
              <w:t>1</w:t>
            </w:r>
            <w:r w:rsidR="00982C2D">
              <w:fldChar w:fldCharType="end"/>
            </w:r>
          </w:hyperlink>
        </w:p>
        <w:p w:rsidR="00982C2D" w:rsidRDefault="00FF41AD">
          <w:pPr>
            <w:pStyle w:val="WPSOffice2"/>
            <w:tabs>
              <w:tab w:val="right" w:leader="dot" w:pos="8306"/>
            </w:tabs>
            <w:ind w:left="420"/>
          </w:pPr>
          <w:hyperlink w:anchor="_Toc31015" w:history="1">
            <w:r w:rsidR="00982C2D">
              <w:rPr>
                <w:rFonts w:ascii="黑体" w:eastAsia="黑体" w:hAnsi="黑体" w:hint="eastAsia"/>
              </w:rPr>
              <w:t>二、2021年重点工作完成情况</w:t>
            </w:r>
            <w:r w:rsidR="00982C2D">
              <w:tab/>
            </w:r>
            <w:r w:rsidR="00982C2D">
              <w:fldChar w:fldCharType="begin"/>
            </w:r>
            <w:r w:rsidR="00982C2D">
              <w:instrText xml:space="preserve"> PAGEREF _Toc31015 \h </w:instrText>
            </w:r>
            <w:r w:rsidR="00982C2D">
              <w:fldChar w:fldCharType="separate"/>
            </w:r>
            <w:r w:rsidR="00982C2D">
              <w:t>1</w:t>
            </w:r>
            <w:r w:rsidR="00982C2D">
              <w:fldChar w:fldCharType="end"/>
            </w:r>
          </w:hyperlink>
        </w:p>
        <w:p w:rsidR="00982C2D" w:rsidRDefault="00982C2D">
          <w:pPr>
            <w:pStyle w:val="WPSOffice2"/>
            <w:tabs>
              <w:tab w:val="right" w:leader="dot" w:pos="8306"/>
            </w:tabs>
            <w:ind w:left="420"/>
          </w:pPr>
          <w:r>
            <w:rPr>
              <w:rFonts w:hint="eastAsia"/>
            </w:rPr>
            <w:t>三、机构设置情况</w:t>
          </w:r>
          <w:r w:rsidRPr="00982C2D">
            <w:tab/>
          </w:r>
          <w:r>
            <w:rPr>
              <w:rFonts w:hint="eastAsia"/>
            </w:rPr>
            <w:t>3</w:t>
          </w:r>
        </w:p>
        <w:p w:rsidR="00982C2D" w:rsidRDefault="00FF41AD">
          <w:pPr>
            <w:pStyle w:val="WPSOffice1"/>
            <w:tabs>
              <w:tab w:val="right" w:leader="dot" w:pos="8306"/>
            </w:tabs>
            <w:rPr>
              <w:b/>
            </w:rPr>
          </w:pPr>
          <w:hyperlink w:anchor="_Toc31549" w:history="1">
            <w:r w:rsidR="00982C2D">
              <w:rPr>
                <w:rFonts w:ascii="黑体" w:eastAsia="黑体" w:hAnsi="黑体" w:hint="eastAsia"/>
                <w:b/>
              </w:rPr>
              <w:t>第二部分 2021年度</w:t>
            </w:r>
            <w:r w:rsidR="00982C2D">
              <w:rPr>
                <w:rFonts w:ascii="黑体" w:eastAsia="黑体" w:hAnsi="黑体" w:hint="eastAsia"/>
                <w:b/>
                <w:bCs/>
              </w:rPr>
              <w:t>单位决算情况说明</w:t>
            </w:r>
            <w:r w:rsidR="00982C2D">
              <w:rPr>
                <w:b/>
              </w:rPr>
              <w:tab/>
            </w:r>
            <w:r w:rsidR="00982C2D">
              <w:rPr>
                <w:b/>
              </w:rPr>
              <w:fldChar w:fldCharType="begin"/>
            </w:r>
            <w:r w:rsidR="00982C2D">
              <w:rPr>
                <w:b/>
              </w:rPr>
              <w:instrText xml:space="preserve"> PAGEREF _Toc31549 \h </w:instrText>
            </w:r>
            <w:r w:rsidR="00982C2D">
              <w:rPr>
                <w:b/>
              </w:rPr>
            </w:r>
            <w:r w:rsidR="00982C2D">
              <w:rPr>
                <w:b/>
              </w:rPr>
              <w:fldChar w:fldCharType="separate"/>
            </w:r>
            <w:r w:rsidR="00982C2D">
              <w:rPr>
                <w:b/>
              </w:rPr>
              <w:t>3</w:t>
            </w:r>
            <w:r w:rsidR="00982C2D">
              <w:rPr>
                <w:b/>
              </w:rPr>
              <w:fldChar w:fldCharType="end"/>
            </w:r>
          </w:hyperlink>
        </w:p>
        <w:p w:rsidR="00982C2D" w:rsidRDefault="00FF41AD">
          <w:pPr>
            <w:pStyle w:val="WPSOffice2"/>
            <w:tabs>
              <w:tab w:val="right" w:leader="dot" w:pos="8306"/>
            </w:tabs>
            <w:ind w:left="420"/>
          </w:pPr>
          <w:hyperlink w:anchor="_Toc31320" w:history="1">
            <w:r w:rsidR="00982C2D">
              <w:rPr>
                <w:rFonts w:ascii="黑体" w:eastAsia="黑体" w:hAnsi="黑体"/>
              </w:rPr>
              <w:t xml:space="preserve">一、 </w:t>
            </w:r>
            <w:r w:rsidR="00982C2D">
              <w:rPr>
                <w:rFonts w:ascii="黑体" w:eastAsia="黑体" w:hAnsi="黑体" w:hint="eastAsia"/>
                <w:szCs w:val="32"/>
              </w:rPr>
              <w:t>收</w:t>
            </w:r>
            <w:r w:rsidR="00982C2D">
              <w:rPr>
                <w:rFonts w:ascii="黑体" w:eastAsia="黑体" w:hAnsi="黑体" w:hint="eastAsia"/>
              </w:rPr>
              <w:t>入支出决算总体情况说明</w:t>
            </w:r>
            <w:r w:rsidR="00982C2D">
              <w:tab/>
            </w:r>
            <w:r w:rsidR="00982C2D">
              <w:fldChar w:fldCharType="begin"/>
            </w:r>
            <w:r w:rsidR="00982C2D">
              <w:instrText xml:space="preserve"> PAGEREF _Toc31320 \h </w:instrText>
            </w:r>
            <w:r w:rsidR="00982C2D">
              <w:fldChar w:fldCharType="separate"/>
            </w:r>
            <w:r w:rsidR="00982C2D">
              <w:t>3</w:t>
            </w:r>
            <w:r w:rsidR="00982C2D">
              <w:fldChar w:fldCharType="end"/>
            </w:r>
          </w:hyperlink>
        </w:p>
        <w:p w:rsidR="00982C2D" w:rsidRDefault="00FF41AD">
          <w:pPr>
            <w:pStyle w:val="WPSOffice2"/>
            <w:tabs>
              <w:tab w:val="right" w:leader="dot" w:pos="8306"/>
            </w:tabs>
            <w:ind w:left="420"/>
          </w:pPr>
          <w:hyperlink w:anchor="_Toc21152" w:history="1">
            <w:r w:rsidR="00982C2D">
              <w:rPr>
                <w:rFonts w:ascii="黑体" w:eastAsia="黑体" w:hAnsi="黑体"/>
              </w:rPr>
              <w:t xml:space="preserve">二、 </w:t>
            </w:r>
            <w:r w:rsidR="00982C2D">
              <w:rPr>
                <w:rFonts w:ascii="黑体" w:eastAsia="黑体" w:hAnsi="黑体" w:hint="eastAsia"/>
                <w:szCs w:val="32"/>
              </w:rPr>
              <w:t>收</w:t>
            </w:r>
            <w:r w:rsidR="00982C2D">
              <w:rPr>
                <w:rFonts w:ascii="黑体" w:eastAsia="黑体" w:hAnsi="黑体" w:hint="eastAsia"/>
              </w:rPr>
              <w:t>入决算情况说明</w:t>
            </w:r>
            <w:r w:rsidR="00982C2D">
              <w:tab/>
            </w:r>
          </w:hyperlink>
          <w:r w:rsidR="00DF1E45">
            <w:t>4</w:t>
          </w:r>
        </w:p>
        <w:p w:rsidR="00982C2D" w:rsidRDefault="00FF41AD">
          <w:pPr>
            <w:pStyle w:val="WPSOffice2"/>
            <w:tabs>
              <w:tab w:val="right" w:leader="dot" w:pos="8306"/>
            </w:tabs>
            <w:ind w:left="420"/>
          </w:pPr>
          <w:hyperlink w:anchor="_Toc29407" w:history="1">
            <w:r w:rsidR="00982C2D">
              <w:rPr>
                <w:rFonts w:ascii="黑体" w:eastAsia="黑体" w:hAnsi="黑体"/>
              </w:rPr>
              <w:t xml:space="preserve">三、 </w:t>
            </w:r>
            <w:r w:rsidR="00982C2D">
              <w:rPr>
                <w:rFonts w:ascii="黑体" w:eastAsia="黑体" w:hAnsi="黑体" w:hint="eastAsia"/>
                <w:szCs w:val="32"/>
              </w:rPr>
              <w:t>支</w:t>
            </w:r>
            <w:r w:rsidR="00982C2D">
              <w:rPr>
                <w:rFonts w:ascii="黑体" w:eastAsia="黑体" w:hAnsi="黑体" w:hint="eastAsia"/>
              </w:rPr>
              <w:t>出决算情况说明</w:t>
            </w:r>
            <w:r w:rsidR="00982C2D">
              <w:tab/>
            </w:r>
            <w:r w:rsidR="00982C2D">
              <w:fldChar w:fldCharType="begin"/>
            </w:r>
            <w:r w:rsidR="00982C2D">
              <w:instrText xml:space="preserve"> PAGEREF _Toc29407 \h </w:instrText>
            </w:r>
            <w:r w:rsidR="00982C2D">
              <w:fldChar w:fldCharType="separate"/>
            </w:r>
            <w:r w:rsidR="00982C2D">
              <w:t>4</w:t>
            </w:r>
            <w:r w:rsidR="00982C2D">
              <w:fldChar w:fldCharType="end"/>
            </w:r>
          </w:hyperlink>
        </w:p>
        <w:p w:rsidR="00982C2D" w:rsidRDefault="00FF41AD">
          <w:pPr>
            <w:pStyle w:val="WPSOffice2"/>
            <w:tabs>
              <w:tab w:val="right" w:leader="dot" w:pos="8306"/>
            </w:tabs>
            <w:ind w:left="420"/>
          </w:pPr>
          <w:hyperlink w:anchor="_Toc6845" w:history="1">
            <w:r w:rsidR="00982C2D">
              <w:rPr>
                <w:rFonts w:ascii="黑体" w:eastAsia="黑体" w:hAnsi="黑体" w:hint="eastAsia"/>
                <w:szCs w:val="32"/>
              </w:rPr>
              <w:t>四、财</w:t>
            </w:r>
            <w:r w:rsidR="00982C2D">
              <w:rPr>
                <w:rFonts w:ascii="黑体" w:eastAsia="黑体" w:hAnsi="黑体" w:hint="eastAsia"/>
              </w:rPr>
              <w:t>政拨款收入支出决算总体情况说明</w:t>
            </w:r>
            <w:r w:rsidR="00982C2D">
              <w:tab/>
            </w:r>
          </w:hyperlink>
          <w:r w:rsidR="00DF1E45">
            <w:t>5</w:t>
          </w:r>
        </w:p>
        <w:p w:rsidR="00982C2D" w:rsidRDefault="00FF41AD">
          <w:pPr>
            <w:pStyle w:val="WPSOffice2"/>
            <w:tabs>
              <w:tab w:val="right" w:leader="dot" w:pos="8306"/>
            </w:tabs>
            <w:ind w:left="420"/>
          </w:pPr>
          <w:hyperlink w:anchor="_Toc6364" w:history="1">
            <w:r w:rsidR="00982C2D">
              <w:rPr>
                <w:rFonts w:ascii="黑体" w:eastAsia="黑体" w:hAnsi="黑体" w:hint="eastAsia"/>
                <w:szCs w:val="32"/>
              </w:rPr>
              <w:t>五、一</w:t>
            </w:r>
            <w:r w:rsidR="00982C2D">
              <w:rPr>
                <w:rFonts w:ascii="黑体" w:eastAsia="黑体" w:hAnsi="黑体" w:hint="eastAsia"/>
              </w:rPr>
              <w:t>般公共预算财政拨款支出决算情况说明</w:t>
            </w:r>
            <w:r w:rsidR="00982C2D">
              <w:tab/>
            </w:r>
            <w:r w:rsidR="00982C2D">
              <w:fldChar w:fldCharType="begin"/>
            </w:r>
            <w:r w:rsidR="00982C2D">
              <w:instrText xml:space="preserve"> PAGEREF _Toc6364 \h </w:instrText>
            </w:r>
            <w:r w:rsidR="00982C2D">
              <w:fldChar w:fldCharType="separate"/>
            </w:r>
            <w:r w:rsidR="00982C2D">
              <w:t>5</w:t>
            </w:r>
            <w:r w:rsidR="00982C2D">
              <w:fldChar w:fldCharType="end"/>
            </w:r>
          </w:hyperlink>
        </w:p>
        <w:p w:rsidR="00982C2D" w:rsidRDefault="00FF41AD">
          <w:pPr>
            <w:pStyle w:val="WPSOffice2"/>
            <w:tabs>
              <w:tab w:val="right" w:leader="dot" w:pos="8306"/>
            </w:tabs>
            <w:ind w:left="420"/>
          </w:pPr>
          <w:hyperlink w:anchor="_Toc29238" w:history="1">
            <w:r w:rsidR="00982C2D">
              <w:rPr>
                <w:rFonts w:ascii="黑体" w:eastAsia="黑体" w:hint="eastAsia"/>
                <w:szCs w:val="32"/>
              </w:rPr>
              <w:t>六、</w:t>
            </w:r>
            <w:r w:rsidR="00982C2D">
              <w:rPr>
                <w:rFonts w:ascii="黑体" w:eastAsia="黑体" w:hAnsi="黑体" w:hint="eastAsia"/>
                <w:szCs w:val="32"/>
              </w:rPr>
              <w:t>一</w:t>
            </w:r>
            <w:r w:rsidR="00982C2D">
              <w:rPr>
                <w:rFonts w:ascii="黑体" w:eastAsia="黑体" w:hAnsi="黑体" w:hint="eastAsia"/>
              </w:rPr>
              <w:t>般公共预算财政拨款基本支出决算情况说明</w:t>
            </w:r>
            <w:r w:rsidR="00982C2D">
              <w:tab/>
            </w:r>
            <w:r w:rsidR="00982C2D">
              <w:rPr>
                <w:rFonts w:hint="eastAsia"/>
              </w:rPr>
              <w:t>7</w:t>
            </w:r>
          </w:hyperlink>
        </w:p>
        <w:p w:rsidR="00982C2D" w:rsidRDefault="00FF41AD">
          <w:pPr>
            <w:pStyle w:val="WPSOffice2"/>
            <w:tabs>
              <w:tab w:val="right" w:leader="dot" w:pos="8306"/>
            </w:tabs>
            <w:ind w:left="420"/>
          </w:pPr>
          <w:hyperlink w:anchor="_Toc31282" w:history="1">
            <w:r w:rsidR="00982C2D">
              <w:rPr>
                <w:rFonts w:ascii="黑体" w:eastAsia="黑体" w:hint="eastAsia"/>
                <w:szCs w:val="32"/>
              </w:rPr>
              <w:t>七、</w:t>
            </w:r>
            <w:r w:rsidR="00982C2D">
              <w:rPr>
                <w:rFonts w:ascii="黑体" w:eastAsia="黑体" w:hAnsi="黑体" w:hint="eastAsia"/>
              </w:rPr>
              <w:t>“三公”经费财政拨款支出决算情况说明</w:t>
            </w:r>
            <w:r w:rsidR="00982C2D">
              <w:tab/>
            </w:r>
            <w:r w:rsidR="00982C2D">
              <w:rPr>
                <w:rFonts w:hint="eastAsia"/>
              </w:rPr>
              <w:t>8</w:t>
            </w:r>
          </w:hyperlink>
        </w:p>
        <w:p w:rsidR="00982C2D" w:rsidRDefault="00FF41AD">
          <w:pPr>
            <w:pStyle w:val="WPSOffice2"/>
            <w:tabs>
              <w:tab w:val="right" w:leader="dot" w:pos="8306"/>
            </w:tabs>
            <w:ind w:left="420"/>
          </w:pPr>
          <w:hyperlink w:anchor="_Toc17132" w:history="1">
            <w:r w:rsidR="00982C2D">
              <w:rPr>
                <w:rFonts w:ascii="黑体" w:eastAsia="黑体" w:hint="eastAsia"/>
                <w:szCs w:val="32"/>
              </w:rPr>
              <w:t>八、</w:t>
            </w:r>
            <w:r w:rsidR="00982C2D">
              <w:rPr>
                <w:rFonts w:ascii="黑体" w:eastAsia="黑体" w:hAnsi="黑体" w:hint="eastAsia"/>
              </w:rPr>
              <w:t>政府性基金预算支出决算情况说明</w:t>
            </w:r>
            <w:r w:rsidR="00982C2D">
              <w:tab/>
            </w:r>
          </w:hyperlink>
          <w:r w:rsidR="00DF1E45">
            <w:t>9</w:t>
          </w:r>
        </w:p>
        <w:p w:rsidR="00982C2D" w:rsidRDefault="00FF41AD">
          <w:pPr>
            <w:pStyle w:val="WPSOffice2"/>
            <w:tabs>
              <w:tab w:val="right" w:leader="dot" w:pos="8306"/>
            </w:tabs>
            <w:ind w:left="420"/>
          </w:pPr>
          <w:hyperlink w:anchor="_Toc19365" w:history="1">
            <w:r w:rsidR="00982C2D">
              <w:rPr>
                <w:rFonts w:ascii="黑体" w:eastAsia="黑体" w:hAnsi="黑体" w:hint="eastAsia"/>
              </w:rPr>
              <w:t>九、 国有资本经营预算支出决算情况说明</w:t>
            </w:r>
            <w:r w:rsidR="00982C2D">
              <w:tab/>
            </w:r>
          </w:hyperlink>
          <w:r w:rsidR="00DF1E45">
            <w:t>9</w:t>
          </w:r>
        </w:p>
        <w:p w:rsidR="00982C2D" w:rsidRDefault="00FF41AD">
          <w:pPr>
            <w:pStyle w:val="WPSOffice2"/>
            <w:tabs>
              <w:tab w:val="right" w:leader="dot" w:pos="8306"/>
            </w:tabs>
            <w:ind w:left="420"/>
          </w:pPr>
          <w:hyperlink w:anchor="_Toc4491" w:history="1">
            <w:r w:rsidR="00982C2D">
              <w:rPr>
                <w:rFonts w:ascii="黑体" w:eastAsia="黑体" w:hAnsi="黑体" w:hint="eastAsia"/>
              </w:rPr>
              <w:t>十、 其他重要事项的情况说明</w:t>
            </w:r>
            <w:r w:rsidR="00982C2D">
              <w:tab/>
            </w:r>
          </w:hyperlink>
          <w:r w:rsidR="00DF1E45">
            <w:t>9</w:t>
          </w:r>
        </w:p>
        <w:p w:rsidR="00982C2D" w:rsidRDefault="00FF41AD">
          <w:pPr>
            <w:pStyle w:val="WPSOffice1"/>
            <w:tabs>
              <w:tab w:val="right" w:leader="dot" w:pos="8306"/>
            </w:tabs>
            <w:rPr>
              <w:b/>
            </w:rPr>
          </w:pPr>
          <w:hyperlink w:anchor="_Toc32535" w:history="1">
            <w:r w:rsidR="00982C2D">
              <w:rPr>
                <w:rFonts w:ascii="黑体" w:eastAsia="黑体" w:hAnsi="黑体" w:cs="黑体" w:hint="eastAsia"/>
                <w:b/>
                <w:szCs w:val="44"/>
              </w:rPr>
              <w:t xml:space="preserve">第三部分 </w:t>
            </w:r>
            <w:r w:rsidR="00982C2D">
              <w:rPr>
                <w:rFonts w:ascii="黑体" w:eastAsia="黑体" w:hAnsi="黑体" w:hint="eastAsia"/>
                <w:b/>
                <w:szCs w:val="44"/>
              </w:rPr>
              <w:t>名</w:t>
            </w:r>
            <w:r w:rsidR="00982C2D">
              <w:rPr>
                <w:rFonts w:ascii="黑体" w:eastAsia="黑体" w:hAnsi="黑体" w:hint="eastAsia"/>
                <w:b/>
              </w:rPr>
              <w:t>词解释</w:t>
            </w:r>
            <w:r w:rsidR="00982C2D">
              <w:rPr>
                <w:b/>
              </w:rPr>
              <w:tab/>
            </w:r>
            <w:r w:rsidR="00982C2D">
              <w:rPr>
                <w:rFonts w:hint="eastAsia"/>
                <w:bCs/>
              </w:rPr>
              <w:t>1</w:t>
            </w:r>
          </w:hyperlink>
          <w:r w:rsidR="00982C2D">
            <w:rPr>
              <w:rFonts w:hint="eastAsia"/>
              <w:b/>
            </w:rPr>
            <w:t>3</w:t>
          </w:r>
        </w:p>
        <w:p w:rsidR="00982C2D" w:rsidRDefault="00982C2D">
          <w:pPr>
            <w:pStyle w:val="WPSOffice1"/>
            <w:tabs>
              <w:tab w:val="right" w:leader="dot" w:pos="8306"/>
            </w:tabs>
          </w:pPr>
          <w:r>
            <w:rPr>
              <w:rFonts w:hint="eastAsia"/>
              <w:b/>
            </w:rPr>
            <w:t>第四部分</w:t>
          </w:r>
          <w:r>
            <w:rPr>
              <w:rFonts w:hint="eastAsia"/>
              <w:b/>
            </w:rPr>
            <w:t xml:space="preserve">  </w:t>
          </w:r>
          <w:r>
            <w:rPr>
              <w:rFonts w:hint="eastAsia"/>
              <w:b/>
            </w:rPr>
            <w:t>附件</w:t>
          </w:r>
          <w:r>
            <w:rPr>
              <w:rFonts w:hint="eastAsia"/>
              <w:b/>
            </w:rPr>
            <w:t xml:space="preserve"> </w:t>
          </w:r>
          <w:r>
            <w:rPr>
              <w:b/>
            </w:rPr>
            <w:tab/>
          </w:r>
          <w:r>
            <w:rPr>
              <w:rFonts w:hint="eastAsia"/>
              <w:bCs/>
            </w:rPr>
            <w:t>1</w:t>
          </w:r>
          <w:r w:rsidR="00DF1E45">
            <w:rPr>
              <w:bCs/>
            </w:rPr>
            <w:t>5</w:t>
          </w:r>
          <w:bookmarkStart w:id="14" w:name="_GoBack"/>
          <w:bookmarkEnd w:id="14"/>
        </w:p>
        <w:p w:rsidR="00982C2D" w:rsidRDefault="00FF41AD">
          <w:pPr>
            <w:pStyle w:val="WPSOffice1"/>
            <w:tabs>
              <w:tab w:val="right" w:leader="dot" w:pos="8306"/>
            </w:tabs>
            <w:rPr>
              <w:b/>
            </w:rPr>
          </w:pPr>
          <w:r>
            <w:fldChar w:fldCharType="begin"/>
          </w:r>
          <w:r>
            <w:instrText xml:space="preserve"> HYPERLINK \l "_Toc10793" </w:instrText>
          </w:r>
          <w:r>
            <w:fldChar w:fldCharType="separate"/>
          </w:r>
          <w:r w:rsidR="00982C2D">
            <w:rPr>
              <w:rFonts w:ascii="黑体" w:eastAsia="黑体" w:hAnsi="黑体" w:hint="eastAsia"/>
              <w:b/>
              <w:szCs w:val="44"/>
            </w:rPr>
            <w:t>第</w:t>
          </w:r>
          <w:r w:rsidR="00982C2D">
            <w:rPr>
              <w:rFonts w:ascii="黑体" w:eastAsia="黑体" w:hAnsi="黑体" w:hint="eastAsia"/>
              <w:b/>
            </w:rPr>
            <w:t>五部分 附表</w:t>
          </w:r>
          <w:r w:rsidR="00982C2D">
            <w:rPr>
              <w:b/>
            </w:rPr>
            <w:tab/>
          </w:r>
          <w:r w:rsidR="00982C2D">
            <w:rPr>
              <w:rFonts w:hint="eastAsia"/>
              <w:bCs/>
            </w:rPr>
            <w:t>2</w:t>
          </w:r>
          <w:r>
            <w:rPr>
              <w:bCs/>
            </w:rPr>
            <w:fldChar w:fldCharType="end"/>
          </w:r>
          <w:r w:rsidR="00982C2D">
            <w:rPr>
              <w:rFonts w:hint="eastAsia"/>
              <w:b/>
            </w:rPr>
            <w:t>1</w:t>
          </w:r>
        </w:p>
        <w:p w:rsidR="00982C2D" w:rsidRDefault="00FF41AD">
          <w:pPr>
            <w:pStyle w:val="WPSOffice2"/>
            <w:tabs>
              <w:tab w:val="right" w:leader="dot" w:pos="8306"/>
            </w:tabs>
            <w:ind w:left="420"/>
          </w:pPr>
          <w:hyperlink w:anchor="_Toc22535" w:history="1">
            <w:r w:rsidR="00982C2D">
              <w:rPr>
                <w:rFonts w:ascii="仿宋" w:eastAsia="仿宋" w:hAnsi="仿宋" w:hint="eastAsia"/>
              </w:rPr>
              <w:t>一、收入支出决算总表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5567" w:history="1">
            <w:r w:rsidR="00982C2D">
              <w:rPr>
                <w:rFonts w:ascii="仿宋" w:eastAsia="仿宋" w:hAnsi="仿宋" w:hint="eastAsia"/>
              </w:rPr>
              <w:t>二、收入决算表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10124" w:history="1">
            <w:r w:rsidR="00982C2D">
              <w:rPr>
                <w:rFonts w:ascii="仿宋" w:eastAsia="仿宋" w:hAnsi="仿宋" w:hint="eastAsia"/>
              </w:rPr>
              <w:t>三、支出决算表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28277" w:history="1">
            <w:r w:rsidR="00982C2D">
              <w:rPr>
                <w:rFonts w:ascii="仿宋" w:eastAsia="仿宋" w:hAnsi="仿宋" w:hint="eastAsia"/>
              </w:rPr>
              <w:t>四、财政拨款收入支出决算总表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19771" w:history="1">
            <w:r w:rsidR="00982C2D">
              <w:rPr>
                <w:rFonts w:ascii="仿宋" w:eastAsia="仿宋" w:hAnsi="仿宋" w:hint="eastAsia"/>
              </w:rPr>
              <w:t>五、财政拨款支出决算明细表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23827" w:history="1">
            <w:r w:rsidR="00982C2D">
              <w:rPr>
                <w:rFonts w:ascii="仿宋" w:eastAsia="仿宋" w:hAnsi="仿宋" w:hint="eastAsia"/>
              </w:rPr>
              <w:t>六、一般公共预算财政拨款支出决算表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5373" w:history="1">
            <w:r w:rsidR="00982C2D">
              <w:rPr>
                <w:rFonts w:ascii="仿宋" w:eastAsia="仿宋" w:hAnsi="仿宋" w:hint="eastAsia"/>
              </w:rPr>
              <w:t>七、一般公共预算财政拨款支出决算明细表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13083" w:history="1">
            <w:r w:rsidR="00982C2D">
              <w:rPr>
                <w:rFonts w:ascii="仿宋" w:eastAsia="仿宋" w:hAnsi="仿宋" w:hint="eastAsia"/>
              </w:rPr>
              <w:t>八、一般公共预算财政拨款基本支出决算表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21150" w:history="1">
            <w:r w:rsidR="00982C2D">
              <w:rPr>
                <w:rFonts w:ascii="仿宋" w:eastAsia="仿宋" w:hAnsi="仿宋" w:hint="eastAsia"/>
              </w:rPr>
              <w:t>九、一般公共预算财政拨款项目支出决算表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25650" w:history="1">
            <w:r w:rsidR="00982C2D">
              <w:rPr>
                <w:rFonts w:ascii="仿宋" w:eastAsia="仿宋" w:hAnsi="仿宋" w:hint="eastAsia"/>
              </w:rPr>
              <w:t>十、一般公共预算财政拨款“三公”经费支出决算表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1551" w:history="1">
            <w:r w:rsidR="00982C2D">
              <w:rPr>
                <w:rFonts w:ascii="仿宋" w:eastAsia="仿宋" w:hAnsi="仿宋" w:hint="eastAsia"/>
              </w:rPr>
              <w:t>十一、政府性基金预算财政拨款收入支出决算表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26588" w:history="1">
            <w:r w:rsidR="00982C2D">
              <w:rPr>
                <w:rFonts w:ascii="仿宋" w:eastAsia="仿宋" w:hAnsi="仿宋" w:hint="eastAsia"/>
              </w:rPr>
              <w:t>十二、政府性基金预算财政拨款“三公”经费支出决算表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19128" w:history="1">
            <w:r w:rsidR="00982C2D">
              <w:rPr>
                <w:rFonts w:ascii="仿宋" w:eastAsia="仿宋" w:hAnsi="仿宋" w:hint="eastAsia"/>
              </w:rPr>
              <w:t>十三、国有资本经营预算财政拨款收入支出决算表</w:t>
            </w:r>
            <w:r w:rsidR="00982C2D">
              <w:tab/>
            </w:r>
            <w:r w:rsidR="00982C2D">
              <w:rPr>
                <w:rFonts w:hint="eastAsia"/>
              </w:rPr>
              <w:t>2</w:t>
            </w:r>
          </w:hyperlink>
          <w:r w:rsidR="00982C2D">
            <w:rPr>
              <w:rFonts w:hint="eastAsia"/>
            </w:rPr>
            <w:t>1</w:t>
          </w:r>
        </w:p>
        <w:p w:rsidR="00982C2D" w:rsidRDefault="00FF41AD">
          <w:pPr>
            <w:pStyle w:val="WPSOffice2"/>
            <w:tabs>
              <w:tab w:val="right" w:leader="dot" w:pos="8306"/>
            </w:tabs>
            <w:ind w:left="420"/>
          </w:pPr>
          <w:hyperlink w:anchor="_Toc11791" w:history="1">
            <w:r w:rsidR="00982C2D">
              <w:rPr>
                <w:rFonts w:ascii="仿宋" w:eastAsia="仿宋" w:hAnsi="仿宋" w:hint="eastAsia"/>
              </w:rPr>
              <w:t>十四、国有资本经营预算财政拨款支出决算表</w:t>
            </w:r>
            <w:r w:rsidR="00982C2D">
              <w:tab/>
            </w:r>
            <w:r w:rsidR="00982C2D">
              <w:rPr>
                <w:rFonts w:hint="eastAsia"/>
              </w:rPr>
              <w:t>2</w:t>
            </w:r>
          </w:hyperlink>
          <w:r w:rsidR="00982C2D">
            <w:rPr>
              <w:rFonts w:hint="eastAsia"/>
            </w:rPr>
            <w:t>1</w:t>
          </w:r>
        </w:p>
        <w:p w:rsidR="00454533" w:rsidRDefault="00982C2D">
          <w:pPr>
            <w:rPr>
              <w:b/>
            </w:rPr>
            <w:sectPr w:rsidR="00454533">
              <w:footerReference w:type="default" r:id="rId9"/>
              <w:footerReference w:type="first" r:id="rId10"/>
              <w:pgSz w:w="11906" w:h="16838"/>
              <w:pgMar w:top="1440" w:right="1800" w:bottom="1440" w:left="1800" w:header="851" w:footer="992" w:gutter="0"/>
              <w:pgNumType w:start="1"/>
              <w:cols w:space="425"/>
              <w:docGrid w:type="lines" w:linePitch="312"/>
            </w:sectPr>
          </w:pPr>
          <w:r>
            <w:rPr>
              <w:b/>
            </w:rPr>
            <w:fldChar w:fldCharType="end"/>
          </w:r>
        </w:p>
      </w:sdtContent>
    </w:sdt>
    <w:p w:rsidR="00454533" w:rsidRDefault="00982C2D">
      <w:pPr>
        <w:pStyle w:val="1"/>
        <w:jc w:val="center"/>
        <w:rPr>
          <w:rFonts w:ascii="黑体" w:eastAsia="黑体"/>
          <w:sz w:val="32"/>
          <w:szCs w:val="32"/>
        </w:rPr>
      </w:pPr>
      <w:bookmarkStart w:id="15" w:name="_Toc15396599"/>
      <w:bookmarkStart w:id="16" w:name="_Toc11160"/>
      <w:bookmarkStart w:id="17" w:name="_Toc15377196"/>
      <w:r>
        <w:rPr>
          <w:rFonts w:ascii="黑体" w:eastAsia="黑体" w:hAnsi="黑体" w:hint="eastAsia"/>
          <w:b w:val="0"/>
        </w:rPr>
        <w:lastRenderedPageBreak/>
        <w:t>第一部分 单位</w:t>
      </w:r>
      <w:r>
        <w:rPr>
          <w:rStyle w:val="1Char"/>
          <w:rFonts w:ascii="黑体" w:eastAsia="黑体" w:hAnsi="黑体" w:hint="eastAsia"/>
        </w:rPr>
        <w:t>概况</w:t>
      </w:r>
      <w:bookmarkEnd w:id="15"/>
      <w:bookmarkEnd w:id="16"/>
      <w:bookmarkEnd w:id="17"/>
    </w:p>
    <w:p w:rsidR="00454533" w:rsidRDefault="00982C2D">
      <w:pPr>
        <w:numPr>
          <w:ilvl w:val="0"/>
          <w:numId w:val="1"/>
        </w:numPr>
        <w:snapToGrid w:val="0"/>
        <w:spacing w:line="520" w:lineRule="exact"/>
        <w:ind w:firstLineChars="200" w:firstLine="640"/>
        <w:outlineLvl w:val="1"/>
        <w:rPr>
          <w:rStyle w:val="2Char"/>
          <w:rFonts w:ascii="黑体" w:eastAsia="黑体" w:hAnsi="黑体"/>
          <w:b w:val="0"/>
          <w:bCs w:val="0"/>
        </w:rPr>
      </w:pPr>
      <w:bookmarkStart w:id="18" w:name="_Toc9858"/>
      <w:bookmarkStart w:id="19" w:name="_Toc15377197"/>
      <w:bookmarkStart w:id="20" w:name="_Toc15396600"/>
      <w:r>
        <w:rPr>
          <w:rStyle w:val="2Char"/>
          <w:rFonts w:ascii="黑体" w:eastAsia="黑体" w:hAnsi="黑体" w:hint="eastAsia"/>
          <w:b w:val="0"/>
          <w:bCs w:val="0"/>
        </w:rPr>
        <w:t>职能简介</w:t>
      </w:r>
      <w:bookmarkEnd w:id="18"/>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1．主要职能。</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实施中学义务教育，促进基础教育发展，中学学历教育（相关社会服务）。</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2．机构情况。</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盐边县</w:t>
      </w:r>
      <w:proofErr w:type="gramStart"/>
      <w:r>
        <w:rPr>
          <w:rFonts w:ascii="仿宋_GB2312" w:eastAsia="仿宋_GB2312" w:hAnsi="仿宋" w:hint="eastAsia"/>
          <w:sz w:val="32"/>
          <w:szCs w:val="32"/>
        </w:rPr>
        <w:t>惠民镇</w:t>
      </w:r>
      <w:proofErr w:type="gramEnd"/>
      <w:r>
        <w:rPr>
          <w:rFonts w:ascii="仿宋_GB2312" w:eastAsia="仿宋_GB2312" w:hAnsi="仿宋" w:hint="eastAsia"/>
          <w:sz w:val="32"/>
          <w:szCs w:val="32"/>
        </w:rPr>
        <w:t>初级中学校是盐边县教育和体育局下属独立核算事业单位1个，公益一类事业单位，单位性质为：财政补助事业单位，事业单位会计制度。其中行政单位0个，参照公务员法管理的事业单位0个，其他事业单位0个。</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3．人员情况。</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2021年度本单位人员编制数29人，实有在职职工23人，离退休职工8人。专任教师23人，其中副高职称5人，中级教师 12人，二级教师6人。本科学历20人，大专学历3人，中专及以下学历0人。省级骨干教师1人，市级学科带头人、骨干教师 0人，县级学科带头人、骨干教师2人。学校现有2个教学班，在校学生32人，寄宿生18人，随班就读1人，送教上门4人，学校建有活动室、运动场、图书室、音乐体育美术室、电教室、电脑室等功能室，设备齐全，学校图书室有各类图书2820册。</w:t>
      </w:r>
    </w:p>
    <w:p w:rsidR="00454533" w:rsidRDefault="00982C2D">
      <w:pPr>
        <w:pStyle w:val="2"/>
        <w:rPr>
          <w:rFonts w:ascii="仿宋" w:eastAsia="仿宋" w:hAnsi="仿宋"/>
          <w:kern w:val="0"/>
        </w:rPr>
      </w:pPr>
      <w:bookmarkStart w:id="21" w:name="_Toc31015"/>
      <w:r>
        <w:rPr>
          <w:rFonts w:ascii="黑体" w:eastAsia="黑体" w:hAnsi="黑体" w:hint="eastAsia"/>
          <w:b w:val="0"/>
        </w:rPr>
        <w:t>二、2021年重点工作</w:t>
      </w:r>
      <w:bookmarkEnd w:id="19"/>
      <w:bookmarkEnd w:id="20"/>
      <w:r>
        <w:rPr>
          <w:rFonts w:ascii="黑体" w:eastAsia="黑体" w:hAnsi="黑体" w:hint="eastAsia"/>
          <w:b w:val="0"/>
        </w:rPr>
        <w:t>完成情况</w:t>
      </w:r>
      <w:bookmarkEnd w:id="21"/>
    </w:p>
    <w:p w:rsidR="00454533" w:rsidRDefault="00982C2D">
      <w:pPr>
        <w:snapToGrid w:val="0"/>
        <w:spacing w:line="520" w:lineRule="exact"/>
        <w:ind w:firstLineChars="200" w:firstLine="640"/>
        <w:rPr>
          <w:rFonts w:ascii="仿宋_GB2312" w:eastAsia="仿宋_GB2312" w:hAnsi="仿宋"/>
          <w:sz w:val="32"/>
          <w:szCs w:val="32"/>
        </w:rPr>
      </w:pPr>
      <w:bookmarkStart w:id="22" w:name="_Toc15396602"/>
      <w:bookmarkStart w:id="23" w:name="_Toc15377204"/>
      <w:r>
        <w:rPr>
          <w:rFonts w:ascii="仿宋_GB2312" w:eastAsia="仿宋_GB2312" w:hAnsi="仿宋" w:hint="eastAsia"/>
          <w:sz w:val="32"/>
          <w:szCs w:val="32"/>
        </w:rPr>
        <w:t>本学年我校以提高教育教学质量为核心，与时俱进，开拓进取，严格履行盐边县教育和体育</w:t>
      </w:r>
      <w:proofErr w:type="gramStart"/>
      <w:r>
        <w:rPr>
          <w:rFonts w:ascii="仿宋_GB2312" w:eastAsia="仿宋_GB2312" w:hAnsi="仿宋" w:hint="eastAsia"/>
          <w:sz w:val="32"/>
          <w:szCs w:val="32"/>
        </w:rPr>
        <w:t>局教学</w:t>
      </w:r>
      <w:proofErr w:type="gramEnd"/>
      <w:r>
        <w:rPr>
          <w:rFonts w:ascii="仿宋_GB2312" w:eastAsia="仿宋_GB2312" w:hAnsi="仿宋" w:hint="eastAsia"/>
          <w:sz w:val="32"/>
          <w:szCs w:val="32"/>
        </w:rPr>
        <w:t>质量目标管理制</w:t>
      </w:r>
      <w:r>
        <w:rPr>
          <w:rFonts w:ascii="仿宋_GB2312" w:eastAsia="仿宋_GB2312" w:hAnsi="仿宋" w:hint="eastAsia"/>
          <w:sz w:val="32"/>
          <w:szCs w:val="32"/>
        </w:rPr>
        <w:lastRenderedPageBreak/>
        <w:t xml:space="preserve">度，认真落实各项动态管理措施，以最大努力投入日常教学并坚持不懈、善始善终，本年学校主要完成以下几方面的工作：  </w:t>
      </w:r>
    </w:p>
    <w:p w:rsidR="00454533" w:rsidRDefault="00982C2D">
      <w:pPr>
        <w:snapToGrid w:val="0"/>
        <w:spacing w:line="520" w:lineRule="exact"/>
        <w:rPr>
          <w:rFonts w:ascii="仿宋_GB2312" w:eastAsia="仿宋_GB2312" w:hAnsi="仿宋"/>
          <w:sz w:val="32"/>
          <w:szCs w:val="32"/>
        </w:rPr>
      </w:pPr>
      <w:r>
        <w:rPr>
          <w:rFonts w:ascii="仿宋_GB2312" w:eastAsia="仿宋_GB2312" w:hAnsi="仿宋" w:hint="eastAsia"/>
          <w:sz w:val="32"/>
          <w:szCs w:val="32"/>
        </w:rPr>
        <w:t>（1）强化措施，落实新冠疫情防控</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 按照新冠防控相关要求，认真落实各项</w:t>
      </w:r>
      <w:proofErr w:type="gramStart"/>
      <w:r>
        <w:rPr>
          <w:rFonts w:ascii="仿宋_GB2312" w:eastAsia="仿宋_GB2312" w:hAnsi="仿宋" w:hint="eastAsia"/>
          <w:sz w:val="32"/>
          <w:szCs w:val="32"/>
        </w:rPr>
        <w:t>防控制</w:t>
      </w:r>
      <w:proofErr w:type="gramEnd"/>
      <w:r>
        <w:rPr>
          <w:rFonts w:ascii="仿宋_GB2312" w:eastAsia="仿宋_GB2312" w:hAnsi="仿宋" w:hint="eastAsia"/>
          <w:sz w:val="32"/>
          <w:szCs w:val="32"/>
        </w:rPr>
        <w:t>度，做好“场所码”的扫码、健康卡、行程卡、核酸检测结果查验及师生每天的体温监测与记录，认真落实门卫监测制度，配备必要的防控物资，定期做好校园消毒工作，加强对学生的宣传教育，保证教学秩序正常开展。</w:t>
      </w:r>
    </w:p>
    <w:p w:rsidR="00454533" w:rsidRDefault="00982C2D">
      <w:pPr>
        <w:snapToGrid w:val="0"/>
        <w:spacing w:line="520" w:lineRule="exact"/>
        <w:rPr>
          <w:rFonts w:ascii="仿宋_GB2312" w:eastAsia="仿宋_GB2312" w:hAnsi="仿宋"/>
          <w:sz w:val="32"/>
          <w:szCs w:val="32"/>
        </w:rPr>
      </w:pPr>
      <w:r>
        <w:rPr>
          <w:rFonts w:ascii="仿宋_GB2312" w:eastAsia="仿宋_GB2312" w:hAnsi="仿宋" w:hint="eastAsia"/>
          <w:sz w:val="32"/>
          <w:szCs w:val="32"/>
        </w:rPr>
        <w:t>（2）做好森林草原防灭火工作</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按照森林草原防灭火工作要求，从思想上高度重视此项工作，认真落实上级有关部门的工作安排。利用教师例会及班会课、集会等加强师生对森林草原防灭火工作的认识，要求学生利用周</w:t>
      </w:r>
      <w:proofErr w:type="gramStart"/>
      <w:r>
        <w:rPr>
          <w:rFonts w:ascii="仿宋_GB2312" w:eastAsia="仿宋_GB2312" w:hAnsi="仿宋" w:hint="eastAsia"/>
          <w:sz w:val="32"/>
          <w:szCs w:val="32"/>
        </w:rPr>
        <w:t>末时间做好</w:t>
      </w:r>
      <w:proofErr w:type="gramEnd"/>
      <w:r>
        <w:rPr>
          <w:rFonts w:ascii="仿宋_GB2312" w:eastAsia="仿宋_GB2312" w:hAnsi="仿宋" w:hint="eastAsia"/>
          <w:sz w:val="32"/>
          <w:szCs w:val="32"/>
        </w:rPr>
        <w:t>对家长的宣传，将此项工作落到实处。</w:t>
      </w:r>
    </w:p>
    <w:p w:rsidR="00454533" w:rsidRDefault="00982C2D">
      <w:pPr>
        <w:snapToGrid w:val="0"/>
        <w:spacing w:line="520" w:lineRule="exact"/>
        <w:rPr>
          <w:rFonts w:ascii="仿宋_GB2312" w:eastAsia="仿宋_GB2312" w:hAnsi="仿宋"/>
          <w:sz w:val="32"/>
          <w:szCs w:val="32"/>
        </w:rPr>
      </w:pPr>
      <w:r>
        <w:rPr>
          <w:rFonts w:ascii="仿宋_GB2312" w:eastAsia="仿宋_GB2312" w:hAnsi="仿宋" w:hint="eastAsia"/>
          <w:sz w:val="32"/>
          <w:szCs w:val="32"/>
        </w:rPr>
        <w:t xml:space="preserve">（3）以德治校，强化教师队伍建设。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1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①</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深入开展师德师风教育活动。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2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②</w:t>
      </w:r>
      <w:r>
        <w:rPr>
          <w:rFonts w:ascii="仿宋_GB2312" w:eastAsia="仿宋_GB2312" w:hAnsi="仿宋" w:hint="eastAsia"/>
          <w:sz w:val="32"/>
          <w:szCs w:val="32"/>
        </w:rPr>
        <w:fldChar w:fldCharType="end"/>
      </w:r>
      <w:proofErr w:type="gramStart"/>
      <w:r>
        <w:rPr>
          <w:rFonts w:ascii="仿宋_GB2312" w:eastAsia="仿宋_GB2312" w:hAnsi="仿宋" w:hint="eastAsia"/>
          <w:sz w:val="32"/>
          <w:szCs w:val="32"/>
        </w:rPr>
        <w:t>强化作风</w:t>
      </w:r>
      <w:proofErr w:type="gramEnd"/>
      <w:r>
        <w:rPr>
          <w:rFonts w:ascii="仿宋_GB2312" w:eastAsia="仿宋_GB2312" w:hAnsi="仿宋" w:hint="eastAsia"/>
          <w:sz w:val="32"/>
          <w:szCs w:val="32"/>
        </w:rPr>
        <w:t>整顿，加强业务学习。</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3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③</w:t>
      </w:r>
      <w:r>
        <w:rPr>
          <w:rFonts w:ascii="仿宋_GB2312" w:eastAsia="仿宋_GB2312" w:hAnsi="仿宋" w:hint="eastAsia"/>
          <w:sz w:val="32"/>
          <w:szCs w:val="32"/>
        </w:rPr>
        <w:fldChar w:fldCharType="end"/>
      </w:r>
      <w:r>
        <w:rPr>
          <w:rFonts w:ascii="仿宋_GB2312" w:eastAsia="仿宋_GB2312" w:hAnsi="仿宋" w:hint="eastAsia"/>
          <w:sz w:val="32"/>
          <w:szCs w:val="32"/>
        </w:rPr>
        <w:t>完善制度创新，强化学校管理。</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4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④</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开展多类活动，活跃校园新气象。  </w:t>
      </w:r>
    </w:p>
    <w:p w:rsidR="00454533" w:rsidRDefault="00982C2D">
      <w:pPr>
        <w:snapToGrid w:val="0"/>
        <w:spacing w:line="520" w:lineRule="exact"/>
        <w:rPr>
          <w:rFonts w:ascii="仿宋_GB2312" w:eastAsia="仿宋_GB2312" w:hAnsi="仿宋"/>
          <w:sz w:val="32"/>
          <w:szCs w:val="32"/>
        </w:rPr>
      </w:pPr>
      <w:r>
        <w:rPr>
          <w:rFonts w:ascii="仿宋_GB2312" w:eastAsia="仿宋_GB2312" w:hAnsi="仿宋" w:hint="eastAsia"/>
          <w:sz w:val="32"/>
          <w:szCs w:val="32"/>
        </w:rPr>
        <w:t xml:space="preserve">（4） 加强教学管理，促使教育质量上升。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1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①</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树立“教学为主，质量兴校”的思想。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2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②</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发挥教务室职能，把握教学方向。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3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③</w:t>
      </w:r>
      <w:r>
        <w:rPr>
          <w:rFonts w:ascii="仿宋_GB2312" w:eastAsia="仿宋_GB2312" w:hAnsi="仿宋" w:hint="eastAsia"/>
          <w:sz w:val="32"/>
          <w:szCs w:val="32"/>
        </w:rPr>
        <w:fldChar w:fldCharType="end"/>
      </w:r>
      <w:r>
        <w:rPr>
          <w:rFonts w:ascii="仿宋_GB2312" w:eastAsia="仿宋_GB2312" w:hAnsi="仿宋" w:hint="eastAsia"/>
          <w:sz w:val="32"/>
          <w:szCs w:val="32"/>
        </w:rPr>
        <w:t>加强班主任工作职责，引导学生行为习惯的养成。</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4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④</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深化课堂研讨，促进教学相长。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5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⑤</w:t>
      </w:r>
      <w:r>
        <w:rPr>
          <w:rFonts w:ascii="仿宋_GB2312" w:eastAsia="仿宋_GB2312" w:hAnsi="仿宋" w:hint="eastAsia"/>
          <w:sz w:val="32"/>
          <w:szCs w:val="32"/>
        </w:rPr>
        <w:fldChar w:fldCharType="end"/>
      </w:r>
      <w:r>
        <w:rPr>
          <w:rFonts w:ascii="仿宋_GB2312" w:eastAsia="仿宋_GB2312" w:hAnsi="仿宋" w:hint="eastAsia"/>
          <w:sz w:val="32"/>
          <w:szCs w:val="32"/>
        </w:rPr>
        <w:t>加强信息技术能力提升2.0工作，提高教师信息化水</w:t>
      </w:r>
      <w:r>
        <w:rPr>
          <w:rFonts w:ascii="仿宋_GB2312" w:eastAsia="仿宋_GB2312" w:hAnsi="仿宋" w:hint="eastAsia"/>
          <w:sz w:val="32"/>
          <w:szCs w:val="32"/>
        </w:rPr>
        <w:lastRenderedPageBreak/>
        <w:t>平。</w:t>
      </w:r>
    </w:p>
    <w:p w:rsidR="00454533" w:rsidRDefault="00982C2D">
      <w:pPr>
        <w:snapToGrid w:val="0"/>
        <w:spacing w:line="520" w:lineRule="exact"/>
        <w:jc w:val="left"/>
        <w:rPr>
          <w:rFonts w:ascii="仿宋_GB2312" w:eastAsia="仿宋_GB2312" w:hAnsi="仿宋"/>
          <w:sz w:val="32"/>
          <w:szCs w:val="32"/>
        </w:rPr>
      </w:pPr>
      <w:r>
        <w:rPr>
          <w:rFonts w:ascii="仿宋_GB2312" w:eastAsia="仿宋_GB2312" w:hAnsi="仿宋" w:hint="eastAsia"/>
          <w:sz w:val="32"/>
          <w:szCs w:val="32"/>
        </w:rPr>
        <w:t xml:space="preserve">（5）齐抓共管，抓好学校综治工作。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健全安全工作目标责任制，加强安全宣传教育力度，增强师生安全意识，有计划地开展交通安全及防盗、防火、防溺水等方面的知识讲座。将学校与家庭、社会三者有机结合，共同做好</w:t>
      </w:r>
      <w:proofErr w:type="gramStart"/>
      <w:r>
        <w:rPr>
          <w:rFonts w:ascii="仿宋_GB2312" w:eastAsia="仿宋_GB2312" w:hAnsi="仿宋" w:hint="eastAsia"/>
          <w:sz w:val="32"/>
          <w:szCs w:val="32"/>
        </w:rPr>
        <w:t>安全综治维稳</w:t>
      </w:r>
      <w:proofErr w:type="gramEnd"/>
      <w:r>
        <w:rPr>
          <w:rFonts w:ascii="仿宋_GB2312" w:eastAsia="仿宋_GB2312" w:hAnsi="仿宋" w:hint="eastAsia"/>
          <w:sz w:val="32"/>
          <w:szCs w:val="32"/>
        </w:rPr>
        <w:t xml:space="preserve">工作，使学生愉快而来，安全而归。   </w:t>
      </w:r>
    </w:p>
    <w:p w:rsidR="00454533" w:rsidRDefault="00982C2D">
      <w:pPr>
        <w:snapToGrid w:val="0"/>
        <w:spacing w:line="520" w:lineRule="exact"/>
        <w:rPr>
          <w:rFonts w:ascii="仿宋_GB2312" w:eastAsia="仿宋_GB2312" w:hAnsi="仿宋"/>
          <w:sz w:val="32"/>
          <w:szCs w:val="32"/>
        </w:rPr>
      </w:pPr>
      <w:r>
        <w:rPr>
          <w:rFonts w:ascii="仿宋_GB2312" w:eastAsia="仿宋_GB2312" w:hAnsi="仿宋" w:hint="eastAsia"/>
          <w:sz w:val="32"/>
          <w:szCs w:val="32"/>
        </w:rPr>
        <w:t xml:space="preserve">（6）利用有限资金，强化校园建设。   </w:t>
      </w:r>
    </w:p>
    <w:p w:rsidR="00982C2D" w:rsidRDefault="00982C2D" w:rsidP="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学校将合理计划，改善办学条件，将学校仅有的经费，花在最需要的地方。</w:t>
      </w:r>
    </w:p>
    <w:p w:rsidR="00982C2D" w:rsidRPr="00982C2D" w:rsidRDefault="00982C2D" w:rsidP="00982C2D">
      <w:pPr>
        <w:pStyle w:val="a0"/>
        <w:spacing w:before="93"/>
        <w:ind w:firstLineChars="200" w:firstLine="600"/>
        <w:rPr>
          <w:rFonts w:ascii="黑体" w:eastAsia="黑体" w:hAnsi="黑体"/>
        </w:rPr>
      </w:pPr>
      <w:r w:rsidRPr="00982C2D">
        <w:rPr>
          <w:rFonts w:ascii="黑体" w:eastAsia="黑体" w:hAnsi="黑体" w:hint="eastAsia"/>
        </w:rPr>
        <w:t>三、机构设置情况</w:t>
      </w:r>
    </w:p>
    <w:p w:rsidR="00982C2D" w:rsidRDefault="00982C2D" w:rsidP="00982C2D">
      <w:pPr>
        <w:pStyle w:val="a0"/>
        <w:spacing w:before="93"/>
        <w:ind w:firstLineChars="200" w:firstLine="640"/>
        <w:rPr>
          <w:sz w:val="32"/>
        </w:rPr>
      </w:pPr>
      <w:r w:rsidRPr="00982C2D">
        <w:rPr>
          <w:rFonts w:hint="eastAsia"/>
          <w:sz w:val="32"/>
        </w:rPr>
        <w:t>盐边县</w:t>
      </w:r>
      <w:proofErr w:type="gramStart"/>
      <w:r w:rsidRPr="00982C2D">
        <w:rPr>
          <w:rFonts w:hint="eastAsia"/>
          <w:sz w:val="32"/>
        </w:rPr>
        <w:t>惠民镇</w:t>
      </w:r>
      <w:proofErr w:type="gramEnd"/>
      <w:r w:rsidRPr="00982C2D">
        <w:rPr>
          <w:rFonts w:hint="eastAsia"/>
          <w:sz w:val="32"/>
        </w:rPr>
        <w:t>初级中学校下属二级单位0个，其中行政单位0个，参照公务员发管理的事业单位0个，其他事业单位0个。</w:t>
      </w:r>
    </w:p>
    <w:p w:rsidR="00982C2D" w:rsidRDefault="00982C2D" w:rsidP="00982C2D">
      <w:pPr>
        <w:pStyle w:val="a0"/>
        <w:spacing w:before="93"/>
        <w:ind w:firstLineChars="200" w:firstLine="640"/>
        <w:rPr>
          <w:sz w:val="32"/>
        </w:rPr>
      </w:pPr>
    </w:p>
    <w:p w:rsidR="00982C2D" w:rsidRPr="00982C2D" w:rsidRDefault="00982C2D" w:rsidP="00982C2D">
      <w:pPr>
        <w:pStyle w:val="a0"/>
        <w:spacing w:before="93"/>
        <w:ind w:firstLineChars="200" w:firstLine="640"/>
        <w:rPr>
          <w:sz w:val="32"/>
        </w:rPr>
      </w:pPr>
    </w:p>
    <w:p w:rsidR="00454533" w:rsidRDefault="00982C2D">
      <w:pPr>
        <w:pStyle w:val="1"/>
        <w:ind w:right="440"/>
        <w:jc w:val="center"/>
        <w:rPr>
          <w:rStyle w:val="1Char"/>
          <w:rFonts w:ascii="黑体" w:eastAsia="黑体" w:hAnsi="黑体"/>
          <w:bCs/>
        </w:rPr>
      </w:pPr>
      <w:bookmarkStart w:id="24" w:name="_Toc31549"/>
      <w:r>
        <w:rPr>
          <w:rFonts w:ascii="黑体" w:eastAsia="黑体" w:hAnsi="黑体" w:hint="eastAsia"/>
          <w:b w:val="0"/>
        </w:rPr>
        <w:t>第二部分 2021年度</w:t>
      </w:r>
      <w:r>
        <w:rPr>
          <w:rStyle w:val="1Char"/>
          <w:rFonts w:ascii="黑体" w:eastAsia="黑体" w:hAnsi="黑体" w:hint="eastAsia"/>
          <w:bCs/>
        </w:rPr>
        <w:t>单位决算情况说明</w:t>
      </w:r>
      <w:bookmarkEnd w:id="22"/>
      <w:bookmarkEnd w:id="23"/>
      <w:bookmarkEnd w:id="24"/>
    </w:p>
    <w:p w:rsidR="00454533" w:rsidRDefault="00982C2D">
      <w:pPr>
        <w:pStyle w:val="a9"/>
        <w:numPr>
          <w:ilvl w:val="0"/>
          <w:numId w:val="2"/>
        </w:numPr>
        <w:spacing w:line="600" w:lineRule="exact"/>
        <w:ind w:firstLineChars="0"/>
        <w:outlineLvl w:val="1"/>
        <w:rPr>
          <w:rStyle w:val="2Char"/>
          <w:rFonts w:ascii="黑体" w:eastAsia="黑体" w:hAnsi="黑体"/>
          <w:b w:val="0"/>
        </w:rPr>
      </w:pPr>
      <w:bookmarkStart w:id="25" w:name="_Toc31320"/>
      <w:bookmarkStart w:id="26" w:name="_Toc15377205"/>
      <w:bookmarkStart w:id="27"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25"/>
      <w:bookmarkEnd w:id="26"/>
      <w:bookmarkEnd w:id="27"/>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2021年度收、支总计438.47万元。与2020年度收、支总计444.14万元相比，收、支总计各减少5.67万元，下降1.28</w:t>
      </w:r>
      <w:r>
        <w:rPr>
          <w:rFonts w:ascii="仿宋" w:eastAsia="仿宋" w:hAnsi="仿宋"/>
          <w:sz w:val="32"/>
          <w:szCs w:val="32"/>
        </w:rPr>
        <w:t>%</w:t>
      </w:r>
      <w:r>
        <w:rPr>
          <w:rFonts w:ascii="仿宋" w:eastAsia="仿宋" w:hAnsi="仿宋" w:hint="eastAsia"/>
          <w:sz w:val="32"/>
          <w:szCs w:val="32"/>
        </w:rPr>
        <w:t>。主要变动原因是教师工资调整，社保基数调整，2019年末结余结转。</w:t>
      </w:r>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454533" w:rsidRDefault="00982C2D">
      <w:pPr>
        <w:spacing w:line="600" w:lineRule="exact"/>
        <w:ind w:firstLineChars="200" w:firstLine="420"/>
        <w:jc w:val="left"/>
        <w:rPr>
          <w:rFonts w:ascii="仿宋_GB2312" w:eastAsia="仿宋_GB2312"/>
          <w:sz w:val="32"/>
          <w:szCs w:val="32"/>
        </w:rPr>
      </w:pPr>
      <w:r>
        <w:rPr>
          <w:noProof/>
        </w:rPr>
        <w:lastRenderedPageBreak/>
        <w:drawing>
          <wp:anchor distT="0" distB="0" distL="114300" distR="114300" simplePos="0" relativeHeight="251659264" behindDoc="0" locked="0" layoutInCell="1" allowOverlap="1">
            <wp:simplePos x="0" y="0"/>
            <wp:positionH relativeFrom="column">
              <wp:posOffset>728345</wp:posOffset>
            </wp:positionH>
            <wp:positionV relativeFrom="paragraph">
              <wp:posOffset>85725</wp:posOffset>
            </wp:positionV>
            <wp:extent cx="3924300" cy="1704975"/>
            <wp:effectExtent l="4445" t="4445" r="14605" b="5080"/>
            <wp:wrapNone/>
            <wp:docPr id="1047"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454533" w:rsidRDefault="00454533">
      <w:pPr>
        <w:pStyle w:val="a0"/>
        <w:spacing w:before="93"/>
      </w:pPr>
    </w:p>
    <w:p w:rsidR="00454533" w:rsidRDefault="00454533">
      <w:pPr>
        <w:pStyle w:val="a0"/>
        <w:spacing w:before="93"/>
      </w:pPr>
    </w:p>
    <w:p w:rsidR="00454533" w:rsidRDefault="00454533">
      <w:pPr>
        <w:pStyle w:val="a0"/>
        <w:spacing w:before="93"/>
      </w:pPr>
    </w:p>
    <w:p w:rsidR="00454533" w:rsidRDefault="00982C2D">
      <w:pPr>
        <w:pStyle w:val="a9"/>
        <w:numPr>
          <w:ilvl w:val="0"/>
          <w:numId w:val="2"/>
        </w:numPr>
        <w:spacing w:line="600" w:lineRule="exact"/>
        <w:ind w:firstLineChars="0"/>
        <w:outlineLvl w:val="1"/>
        <w:rPr>
          <w:rStyle w:val="2Char"/>
          <w:rFonts w:ascii="黑体" w:eastAsia="黑体" w:hAnsi="黑体"/>
          <w:b w:val="0"/>
        </w:rPr>
      </w:pPr>
      <w:bookmarkStart w:id="28" w:name="_Toc15377206"/>
      <w:bookmarkStart w:id="29" w:name="_Toc21152"/>
      <w:bookmarkStart w:id="30"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8"/>
      <w:bookmarkEnd w:id="29"/>
      <w:bookmarkEnd w:id="30"/>
    </w:p>
    <w:p w:rsidR="00454533" w:rsidRDefault="00982C2D">
      <w:pPr>
        <w:spacing w:line="600" w:lineRule="exact"/>
        <w:ind w:firstLineChars="200" w:firstLine="640"/>
        <w:outlineLvl w:val="1"/>
        <w:rPr>
          <w:rFonts w:ascii="仿宋" w:eastAsia="仿宋" w:hAnsi="仿宋"/>
          <w:sz w:val="32"/>
          <w:szCs w:val="32"/>
        </w:rPr>
      </w:pPr>
      <w:bookmarkStart w:id="31" w:name="_Toc22513"/>
      <w:r>
        <w:rPr>
          <w:rFonts w:ascii="仿宋" w:eastAsia="仿宋" w:hAnsi="仿宋"/>
          <w:sz w:val="32"/>
          <w:szCs w:val="32"/>
        </w:rPr>
        <w:t>20</w:t>
      </w:r>
      <w:r>
        <w:rPr>
          <w:rFonts w:ascii="仿宋" w:eastAsia="仿宋" w:hAnsi="仿宋" w:hint="eastAsia"/>
          <w:sz w:val="32"/>
          <w:szCs w:val="32"/>
        </w:rPr>
        <w:t>21年本年收入合计421.57万元，其中：一般公共预算财政拨款收入421.57万元，占10</w:t>
      </w:r>
      <w:r>
        <w:rPr>
          <w:rFonts w:ascii="仿宋" w:eastAsia="仿宋" w:hAnsi="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；经营收入0万元，占0</w:t>
      </w:r>
      <w:r>
        <w:rPr>
          <w:rFonts w:ascii="仿宋" w:eastAsia="仿宋" w:hAnsi="仿宋"/>
          <w:sz w:val="32"/>
          <w:szCs w:val="32"/>
        </w:rPr>
        <w:t>%</w:t>
      </w:r>
      <w:r>
        <w:rPr>
          <w:rFonts w:ascii="仿宋" w:eastAsia="仿宋" w:hAnsi="仿宋" w:hint="eastAsia"/>
          <w:sz w:val="32"/>
          <w:szCs w:val="32"/>
        </w:rPr>
        <w:t>；附属单位上缴收入0万元，占0</w:t>
      </w:r>
      <w:r>
        <w:rPr>
          <w:rFonts w:ascii="仿宋" w:eastAsia="仿宋" w:hAnsi="仿宋"/>
          <w:sz w:val="32"/>
          <w:szCs w:val="32"/>
        </w:rPr>
        <w:t>%</w:t>
      </w:r>
      <w:r>
        <w:rPr>
          <w:rFonts w:ascii="仿宋" w:eastAsia="仿宋" w:hAnsi="仿宋" w:hint="eastAsia"/>
          <w:sz w:val="32"/>
          <w:szCs w:val="32"/>
        </w:rPr>
        <w:t>；其他收入0万元，占0</w:t>
      </w:r>
      <w:r>
        <w:rPr>
          <w:rFonts w:ascii="仿宋" w:eastAsia="仿宋" w:hAnsi="仿宋"/>
          <w:sz w:val="32"/>
          <w:szCs w:val="32"/>
        </w:rPr>
        <w:t>%</w:t>
      </w:r>
      <w:r>
        <w:rPr>
          <w:rFonts w:ascii="仿宋" w:eastAsia="仿宋" w:hAnsi="仿宋" w:hint="eastAsia"/>
          <w:sz w:val="32"/>
          <w:szCs w:val="32"/>
        </w:rPr>
        <w:t>。</w:t>
      </w:r>
      <w:bookmarkEnd w:id="31"/>
    </w:p>
    <w:p w:rsidR="00454533" w:rsidRDefault="00982C2D">
      <w:pPr>
        <w:spacing w:line="600" w:lineRule="exact"/>
        <w:ind w:firstLineChars="200" w:firstLine="420"/>
        <w:rPr>
          <w:rFonts w:ascii="仿宋" w:eastAsia="仿宋" w:hAnsi="仿宋"/>
          <w:b/>
          <w:sz w:val="32"/>
          <w:szCs w:val="32"/>
        </w:rPr>
      </w:pPr>
      <w:r>
        <w:rPr>
          <w:noProof/>
        </w:rPr>
        <w:drawing>
          <wp:anchor distT="0" distB="0" distL="114300" distR="114300" simplePos="0" relativeHeight="251660288" behindDoc="0" locked="0" layoutInCell="1" allowOverlap="1">
            <wp:simplePos x="0" y="0"/>
            <wp:positionH relativeFrom="column">
              <wp:posOffset>490220</wp:posOffset>
            </wp:positionH>
            <wp:positionV relativeFrom="paragraph">
              <wp:posOffset>175895</wp:posOffset>
            </wp:positionV>
            <wp:extent cx="3257550" cy="1791970"/>
            <wp:effectExtent l="4445" t="4445" r="14605" b="13335"/>
            <wp:wrapNone/>
            <wp:docPr id="1048"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454533" w:rsidRDefault="00454533">
      <w:pPr>
        <w:spacing w:line="600" w:lineRule="exact"/>
        <w:ind w:firstLineChars="200" w:firstLine="643"/>
        <w:rPr>
          <w:rFonts w:ascii="仿宋" w:eastAsia="仿宋" w:hAnsi="仿宋"/>
          <w:b/>
          <w:sz w:val="32"/>
          <w:szCs w:val="32"/>
        </w:rPr>
      </w:pPr>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454533" w:rsidRDefault="00454533">
      <w:pPr>
        <w:spacing w:line="600" w:lineRule="exact"/>
        <w:ind w:firstLineChars="200" w:firstLine="640"/>
        <w:rPr>
          <w:rFonts w:ascii="仿宋_GB2312" w:eastAsia="仿宋_GB2312"/>
          <w:sz w:val="32"/>
          <w:szCs w:val="32"/>
        </w:rPr>
      </w:pPr>
    </w:p>
    <w:p w:rsidR="00454533" w:rsidRDefault="00454533">
      <w:pPr>
        <w:pStyle w:val="a0"/>
        <w:spacing w:before="93"/>
      </w:pPr>
    </w:p>
    <w:p w:rsidR="00454533" w:rsidRDefault="00982C2D">
      <w:pPr>
        <w:pStyle w:val="a9"/>
        <w:numPr>
          <w:ilvl w:val="0"/>
          <w:numId w:val="2"/>
        </w:numPr>
        <w:spacing w:line="600" w:lineRule="exact"/>
        <w:ind w:firstLineChars="0"/>
        <w:outlineLvl w:val="1"/>
        <w:rPr>
          <w:rStyle w:val="2Char"/>
          <w:rFonts w:ascii="黑体" w:eastAsia="黑体" w:hAnsi="黑体"/>
          <w:b w:val="0"/>
        </w:rPr>
      </w:pPr>
      <w:bookmarkStart w:id="32" w:name="_Toc15377207"/>
      <w:bookmarkStart w:id="33" w:name="_Toc29407"/>
      <w:bookmarkStart w:id="34"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32"/>
      <w:bookmarkEnd w:id="33"/>
      <w:bookmarkEnd w:id="34"/>
    </w:p>
    <w:p w:rsidR="00454533" w:rsidRDefault="00982C2D">
      <w:pPr>
        <w:spacing w:line="600" w:lineRule="exact"/>
        <w:ind w:firstLineChars="200" w:firstLine="640"/>
        <w:outlineLvl w:val="1"/>
        <w:rPr>
          <w:rFonts w:ascii="仿宋" w:eastAsia="仿宋" w:hAnsi="仿宋"/>
          <w:sz w:val="32"/>
          <w:szCs w:val="32"/>
        </w:rPr>
      </w:pPr>
      <w:bookmarkStart w:id="35" w:name="_Toc29646"/>
      <w:r>
        <w:rPr>
          <w:rFonts w:ascii="仿宋" w:eastAsia="仿宋" w:hAnsi="仿宋"/>
          <w:sz w:val="32"/>
          <w:szCs w:val="32"/>
        </w:rPr>
        <w:t>20</w:t>
      </w:r>
      <w:r>
        <w:rPr>
          <w:rFonts w:ascii="仿宋" w:eastAsia="仿宋" w:hAnsi="仿宋" w:hint="eastAsia"/>
          <w:sz w:val="32"/>
          <w:szCs w:val="32"/>
        </w:rPr>
        <w:t>21年本年支出合计438.47万元，其中：基本支出414.59万元，占94.55</w:t>
      </w:r>
      <w:r>
        <w:rPr>
          <w:rFonts w:ascii="仿宋" w:eastAsia="仿宋" w:hAnsi="仿宋"/>
          <w:sz w:val="32"/>
          <w:szCs w:val="32"/>
        </w:rPr>
        <w:t>%</w:t>
      </w:r>
      <w:r>
        <w:rPr>
          <w:rFonts w:ascii="仿宋" w:eastAsia="仿宋" w:hAnsi="仿宋" w:hint="eastAsia"/>
          <w:sz w:val="32"/>
          <w:szCs w:val="32"/>
        </w:rPr>
        <w:t>；项目支出23.89万元，占5.45</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bookmarkEnd w:id="35"/>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（图3：支出决算结构图）（饼状图）</w:t>
      </w:r>
    </w:p>
    <w:p w:rsidR="00454533" w:rsidRDefault="00982C2D">
      <w:pPr>
        <w:pStyle w:val="a0"/>
        <w:spacing w:before="93"/>
        <w:rPr>
          <w:rFonts w:ascii="仿宋" w:eastAsia="仿宋" w:hAnsi="仿宋"/>
          <w:sz w:val="32"/>
          <w:szCs w:val="32"/>
        </w:rPr>
      </w:pPr>
      <w:r>
        <w:rPr>
          <w:noProof/>
        </w:rPr>
        <w:lastRenderedPageBreak/>
        <w:drawing>
          <wp:inline distT="0" distB="0" distL="114300" distR="114300">
            <wp:extent cx="3724910" cy="1667510"/>
            <wp:effectExtent l="5080" t="4445" r="22860" b="23495"/>
            <wp:docPr id="1035"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54533" w:rsidRDefault="00982C2D">
      <w:pPr>
        <w:spacing w:line="600" w:lineRule="exact"/>
        <w:ind w:firstLineChars="200" w:firstLine="640"/>
        <w:outlineLvl w:val="1"/>
        <w:rPr>
          <w:rStyle w:val="2Char"/>
          <w:rFonts w:ascii="黑体" w:eastAsia="黑体" w:hAnsi="黑体"/>
          <w:b w:val="0"/>
        </w:rPr>
      </w:pPr>
      <w:bookmarkStart w:id="36" w:name="_Toc6845"/>
      <w:bookmarkStart w:id="37" w:name="_Toc15396606"/>
      <w:bookmarkStart w:id="38"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36"/>
      <w:bookmarkEnd w:id="37"/>
      <w:bookmarkEnd w:id="38"/>
    </w:p>
    <w:p w:rsidR="00454533" w:rsidRDefault="00982C2D">
      <w:pPr>
        <w:spacing w:line="600" w:lineRule="exact"/>
        <w:ind w:firstLineChars="200"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21年财政拨款收、支总计438.47万元。与2020年度收、支总计444.14万元相比，收、支总计各减少5.67万元，下降1.28</w:t>
      </w:r>
      <w:r>
        <w:rPr>
          <w:rFonts w:ascii="仿宋" w:eastAsia="仿宋" w:hAnsi="仿宋"/>
          <w:sz w:val="32"/>
          <w:szCs w:val="32"/>
        </w:rPr>
        <w:t>%</w:t>
      </w:r>
      <w:r>
        <w:rPr>
          <w:rFonts w:ascii="仿宋" w:eastAsia="仿宋" w:hAnsi="仿宋" w:hint="eastAsia"/>
          <w:sz w:val="32"/>
          <w:szCs w:val="32"/>
        </w:rPr>
        <w:t>。主要变动原因是教师工资调整，社保基数调整，2019年末结余结转。</w:t>
      </w:r>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454533" w:rsidRDefault="00982C2D">
      <w:pPr>
        <w:spacing w:line="600" w:lineRule="exact"/>
        <w:ind w:firstLine="640"/>
        <w:rPr>
          <w:rFonts w:ascii="仿宋" w:eastAsia="仿宋" w:hAnsi="仿宋"/>
          <w:b/>
          <w:sz w:val="32"/>
          <w:szCs w:val="32"/>
        </w:rPr>
      </w:pPr>
      <w:r>
        <w:rPr>
          <w:noProof/>
        </w:rPr>
        <w:drawing>
          <wp:anchor distT="0" distB="0" distL="114300" distR="114300" simplePos="0" relativeHeight="251661312" behindDoc="0" locked="0" layoutInCell="1" allowOverlap="1">
            <wp:simplePos x="0" y="0"/>
            <wp:positionH relativeFrom="column">
              <wp:posOffset>733425</wp:posOffset>
            </wp:positionH>
            <wp:positionV relativeFrom="paragraph">
              <wp:posOffset>62865</wp:posOffset>
            </wp:positionV>
            <wp:extent cx="3924300" cy="1704975"/>
            <wp:effectExtent l="4445" t="4445" r="14605" b="5080"/>
            <wp:wrapNone/>
            <wp:docPr id="1"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454533" w:rsidRDefault="00454533">
      <w:pPr>
        <w:pStyle w:val="a0"/>
        <w:spacing w:before="93"/>
        <w:rPr>
          <w:rFonts w:ascii="仿宋" w:eastAsia="仿宋" w:hAnsi="仿宋"/>
          <w:b/>
          <w:sz w:val="32"/>
          <w:szCs w:val="32"/>
        </w:rPr>
      </w:pPr>
    </w:p>
    <w:p w:rsidR="00454533" w:rsidRDefault="00454533">
      <w:pPr>
        <w:pStyle w:val="a0"/>
        <w:spacing w:before="93"/>
        <w:rPr>
          <w:rFonts w:ascii="仿宋" w:eastAsia="仿宋" w:hAnsi="仿宋"/>
          <w:b/>
          <w:sz w:val="32"/>
          <w:szCs w:val="32"/>
        </w:rPr>
      </w:pPr>
    </w:p>
    <w:p w:rsidR="00454533" w:rsidRDefault="00454533">
      <w:pPr>
        <w:pStyle w:val="a0"/>
        <w:spacing w:before="93"/>
        <w:rPr>
          <w:rFonts w:ascii="仿宋" w:eastAsia="仿宋" w:hAnsi="仿宋"/>
          <w:b/>
          <w:sz w:val="32"/>
          <w:szCs w:val="32"/>
        </w:rPr>
      </w:pPr>
    </w:p>
    <w:p w:rsidR="00454533" w:rsidRDefault="00982C2D">
      <w:pPr>
        <w:spacing w:line="600" w:lineRule="exact"/>
        <w:ind w:firstLineChars="200" w:firstLine="640"/>
        <w:outlineLvl w:val="1"/>
        <w:rPr>
          <w:rStyle w:val="2Char"/>
          <w:rFonts w:ascii="黑体" w:eastAsia="黑体" w:hAnsi="黑体"/>
          <w:b w:val="0"/>
        </w:rPr>
      </w:pPr>
      <w:bookmarkStart w:id="39" w:name="_Toc6364"/>
      <w:bookmarkStart w:id="40" w:name="_Toc15396607"/>
      <w:bookmarkStart w:id="41"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9"/>
      <w:bookmarkEnd w:id="40"/>
      <w:bookmarkEnd w:id="41"/>
    </w:p>
    <w:p w:rsidR="00454533" w:rsidRDefault="00982C2D">
      <w:pPr>
        <w:spacing w:line="600" w:lineRule="exact"/>
        <w:ind w:firstLineChars="200" w:firstLine="643"/>
        <w:outlineLvl w:val="2"/>
        <w:rPr>
          <w:rFonts w:ascii="仿宋" w:eastAsia="仿宋" w:hAnsi="仿宋"/>
          <w:b/>
          <w:sz w:val="32"/>
          <w:szCs w:val="32"/>
        </w:rPr>
      </w:pPr>
      <w:bookmarkStart w:id="42" w:name="_Toc15377210"/>
      <w:r>
        <w:rPr>
          <w:rFonts w:ascii="仿宋" w:eastAsia="仿宋" w:hAnsi="仿宋" w:hint="eastAsia"/>
          <w:b/>
          <w:sz w:val="32"/>
          <w:szCs w:val="32"/>
        </w:rPr>
        <w:t>（一）一般公共预算财政拨款支出决算总体情况</w:t>
      </w:r>
      <w:bookmarkEnd w:id="42"/>
    </w:p>
    <w:p w:rsidR="00454533" w:rsidRDefault="00982C2D">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21年一般公共预算财政拨款支出421.57万元，占本年支出合计的100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20年一般公共预算财政拨款支出417.6万元相比，一般公共预算财政拨款支出增加3.97万元，增长0.97</w:t>
      </w:r>
      <w:r>
        <w:rPr>
          <w:rFonts w:ascii="仿宋" w:eastAsia="仿宋" w:hAnsi="仿宋"/>
          <w:sz w:val="32"/>
          <w:szCs w:val="32"/>
        </w:rPr>
        <w:t>%</w:t>
      </w:r>
      <w:r>
        <w:rPr>
          <w:rFonts w:ascii="仿宋" w:eastAsia="仿宋" w:hAnsi="仿宋" w:hint="eastAsia"/>
          <w:sz w:val="32"/>
          <w:szCs w:val="32"/>
        </w:rPr>
        <w:t>。主要变动原因是教师工资调整，社保基数调整。</w:t>
      </w:r>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w:t>
      </w:r>
      <w:r>
        <w:rPr>
          <w:rFonts w:ascii="仿宋" w:eastAsia="仿宋" w:hAnsi="仿宋" w:hint="eastAsia"/>
          <w:sz w:val="32"/>
          <w:szCs w:val="32"/>
        </w:rPr>
        <w:lastRenderedPageBreak/>
        <w:t>状图）</w:t>
      </w:r>
    </w:p>
    <w:p w:rsidR="00454533" w:rsidRDefault="00982C2D">
      <w:pPr>
        <w:spacing w:line="600" w:lineRule="exact"/>
        <w:ind w:firstLineChars="200" w:firstLine="420"/>
        <w:rPr>
          <w:rFonts w:ascii="仿宋" w:eastAsia="仿宋" w:hAnsi="仿宋"/>
          <w:sz w:val="32"/>
          <w:szCs w:val="32"/>
        </w:rPr>
      </w:pPr>
      <w:r>
        <w:rPr>
          <w:noProof/>
        </w:rPr>
        <w:drawing>
          <wp:anchor distT="0" distB="0" distL="114300" distR="114300" simplePos="0" relativeHeight="251662336" behindDoc="0" locked="0" layoutInCell="1" allowOverlap="1">
            <wp:simplePos x="0" y="0"/>
            <wp:positionH relativeFrom="column">
              <wp:posOffset>442595</wp:posOffset>
            </wp:positionH>
            <wp:positionV relativeFrom="paragraph">
              <wp:posOffset>22860</wp:posOffset>
            </wp:positionV>
            <wp:extent cx="3371850" cy="1581785"/>
            <wp:effectExtent l="4445" t="4445" r="14605" b="13970"/>
            <wp:wrapNone/>
            <wp:docPr id="1051" name="Chart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454533" w:rsidRDefault="00454533">
      <w:pPr>
        <w:spacing w:line="600" w:lineRule="exact"/>
        <w:ind w:firstLineChars="200" w:firstLine="643"/>
        <w:rPr>
          <w:rFonts w:ascii="仿宋" w:eastAsia="仿宋" w:hAnsi="仿宋"/>
          <w:b/>
          <w:sz w:val="32"/>
          <w:szCs w:val="32"/>
        </w:rPr>
      </w:pPr>
      <w:bookmarkStart w:id="43" w:name="_Toc15377211"/>
    </w:p>
    <w:p w:rsidR="00454533" w:rsidRDefault="00454533">
      <w:pPr>
        <w:spacing w:line="600" w:lineRule="exact"/>
        <w:ind w:firstLineChars="200" w:firstLine="643"/>
        <w:rPr>
          <w:rFonts w:ascii="仿宋" w:eastAsia="仿宋" w:hAnsi="仿宋"/>
          <w:b/>
          <w:sz w:val="32"/>
          <w:szCs w:val="32"/>
        </w:rPr>
      </w:pPr>
    </w:p>
    <w:p w:rsidR="00454533" w:rsidRDefault="00454533">
      <w:pPr>
        <w:spacing w:line="600" w:lineRule="exact"/>
        <w:ind w:firstLineChars="200" w:firstLine="643"/>
        <w:rPr>
          <w:rFonts w:ascii="仿宋" w:eastAsia="仿宋" w:hAnsi="仿宋"/>
          <w:b/>
          <w:sz w:val="32"/>
          <w:szCs w:val="32"/>
        </w:rPr>
      </w:pPr>
    </w:p>
    <w:p w:rsidR="00454533" w:rsidRDefault="00982C2D">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（二）一般公共预算财政拨款支出决算结构情况</w:t>
      </w:r>
      <w:bookmarkEnd w:id="43"/>
    </w:p>
    <w:p w:rsidR="00454533" w:rsidRDefault="00982C2D">
      <w:pPr>
        <w:spacing w:line="52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21年一般公共预算财政拨款支出438.47万元，主要用于以下方面</w:t>
      </w:r>
      <w:r>
        <w:rPr>
          <w:rFonts w:ascii="仿宋" w:eastAsia="仿宋" w:hAnsi="仿宋"/>
          <w:sz w:val="32"/>
          <w:szCs w:val="32"/>
        </w:rPr>
        <w:t>:</w:t>
      </w:r>
      <w:r>
        <w:rPr>
          <w:rFonts w:ascii="仿宋" w:eastAsia="仿宋" w:hAnsi="仿宋" w:hint="eastAsia"/>
          <w:b/>
          <w:sz w:val="32"/>
          <w:szCs w:val="32"/>
        </w:rPr>
        <w:t>教育支出（类）</w:t>
      </w:r>
      <w:r>
        <w:rPr>
          <w:rFonts w:ascii="仿宋" w:eastAsia="仿宋" w:hAnsi="仿宋" w:hint="eastAsia"/>
          <w:sz w:val="32"/>
          <w:szCs w:val="32"/>
        </w:rPr>
        <w:t>360.2万元，占82.15</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社会保障和就业（类）</w:t>
      </w:r>
      <w:r>
        <w:rPr>
          <w:rFonts w:ascii="仿宋" w:eastAsia="仿宋" w:hAnsi="仿宋" w:hint="eastAsia"/>
          <w:sz w:val="32"/>
          <w:szCs w:val="32"/>
        </w:rPr>
        <w:t>支出42.85万元，占9.77</w:t>
      </w:r>
      <w:r>
        <w:rPr>
          <w:rFonts w:ascii="仿宋" w:eastAsia="仿宋" w:hAnsi="仿宋"/>
          <w:sz w:val="32"/>
          <w:szCs w:val="32"/>
        </w:rPr>
        <w:t>%</w:t>
      </w:r>
      <w:r>
        <w:rPr>
          <w:rFonts w:ascii="仿宋" w:eastAsia="仿宋" w:hAnsi="仿宋" w:hint="eastAsia"/>
          <w:sz w:val="32"/>
          <w:szCs w:val="32"/>
        </w:rPr>
        <w:t>；住房保障支出35.43万元，占8.08</w:t>
      </w:r>
      <w:r>
        <w:rPr>
          <w:rFonts w:ascii="仿宋" w:eastAsia="仿宋" w:hAnsi="仿宋"/>
          <w:sz w:val="32"/>
          <w:szCs w:val="32"/>
        </w:rPr>
        <w:t>%</w:t>
      </w:r>
      <w:r>
        <w:rPr>
          <w:rFonts w:ascii="仿宋" w:eastAsia="仿宋" w:hAnsi="仿宋" w:hint="eastAsia"/>
          <w:sz w:val="32"/>
          <w:szCs w:val="32"/>
        </w:rPr>
        <w:t>。</w:t>
      </w:r>
    </w:p>
    <w:p w:rsidR="00454533" w:rsidRDefault="00982C2D">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205类02款03项  初中教育支出</w:t>
      </w:r>
      <w:r>
        <w:rPr>
          <w:rFonts w:ascii="仿宋" w:eastAsia="仿宋" w:hAnsi="仿宋" w:hint="eastAsia"/>
          <w:sz w:val="32"/>
          <w:szCs w:val="32"/>
        </w:rPr>
        <w:t>360.2</w:t>
      </w:r>
      <w:r>
        <w:rPr>
          <w:rFonts w:ascii="仿宋" w:eastAsia="仿宋" w:hAnsi="仿宋" w:hint="eastAsia"/>
          <w:b/>
          <w:color w:val="000000"/>
          <w:sz w:val="32"/>
          <w:szCs w:val="32"/>
        </w:rPr>
        <w:t>万元。</w:t>
      </w:r>
    </w:p>
    <w:p w:rsidR="00454533" w:rsidRDefault="00982C2D">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208类05款05项  机关事业单位基本养老保险缴费支出36.04万元。</w:t>
      </w:r>
    </w:p>
    <w:p w:rsidR="00454533" w:rsidRDefault="00982C2D">
      <w:pPr>
        <w:pStyle w:val="a0"/>
        <w:spacing w:before="93"/>
        <w:ind w:firstLineChars="200" w:firstLine="643"/>
        <w:rPr>
          <w:rFonts w:ascii="仿宋" w:eastAsia="仿宋" w:hAnsi="仿宋"/>
          <w:b/>
          <w:color w:val="000000"/>
          <w:sz w:val="32"/>
          <w:szCs w:val="32"/>
        </w:rPr>
      </w:pPr>
      <w:r>
        <w:rPr>
          <w:rFonts w:ascii="仿宋" w:eastAsia="仿宋" w:hAnsi="仿宋" w:hint="eastAsia"/>
          <w:b/>
          <w:color w:val="000000"/>
          <w:sz w:val="32"/>
          <w:szCs w:val="32"/>
        </w:rPr>
        <w:t>208类05款06项  机关事业单位职业年金缴费支出6.81万元。</w:t>
      </w:r>
    </w:p>
    <w:p w:rsidR="00454533" w:rsidRDefault="00982C2D">
      <w:pPr>
        <w:spacing w:line="600" w:lineRule="exact"/>
        <w:ind w:firstLine="640"/>
        <w:rPr>
          <w:rFonts w:ascii="仿宋" w:eastAsia="仿宋" w:hAnsi="仿宋"/>
          <w:b/>
          <w:sz w:val="32"/>
          <w:szCs w:val="32"/>
        </w:rPr>
      </w:pPr>
      <w:r>
        <w:rPr>
          <w:rFonts w:ascii="仿宋" w:eastAsia="仿宋" w:hAnsi="仿宋" w:hint="eastAsia"/>
          <w:b/>
          <w:color w:val="000000"/>
          <w:sz w:val="32"/>
          <w:szCs w:val="32"/>
        </w:rPr>
        <w:t>221类02款01项  住房公积金支出35.43万元。</w:t>
      </w:r>
    </w:p>
    <w:p w:rsidR="00454533" w:rsidRDefault="00982C2D">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454533" w:rsidRDefault="00982C2D">
      <w:pPr>
        <w:spacing w:line="600" w:lineRule="exact"/>
        <w:ind w:firstLineChars="200" w:firstLine="420"/>
        <w:rPr>
          <w:rFonts w:ascii="仿宋" w:eastAsia="仿宋" w:hAnsi="仿宋"/>
          <w:sz w:val="32"/>
          <w:szCs w:val="32"/>
        </w:rPr>
      </w:pPr>
      <w:r>
        <w:rPr>
          <w:noProof/>
        </w:rPr>
        <w:drawing>
          <wp:anchor distT="0" distB="0" distL="114300" distR="114300" simplePos="0" relativeHeight="251663360" behindDoc="0" locked="0" layoutInCell="1" allowOverlap="1">
            <wp:simplePos x="0" y="0"/>
            <wp:positionH relativeFrom="column">
              <wp:posOffset>271145</wp:posOffset>
            </wp:positionH>
            <wp:positionV relativeFrom="paragraph">
              <wp:posOffset>33020</wp:posOffset>
            </wp:positionV>
            <wp:extent cx="3020060" cy="1866900"/>
            <wp:effectExtent l="4445" t="4445" r="23495" b="14605"/>
            <wp:wrapNone/>
            <wp:docPr id="1045"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454533" w:rsidRDefault="00454533">
      <w:pPr>
        <w:pStyle w:val="a0"/>
        <w:spacing w:before="93"/>
      </w:pPr>
    </w:p>
    <w:p w:rsidR="00454533" w:rsidRDefault="00454533">
      <w:pPr>
        <w:spacing w:line="600" w:lineRule="exact"/>
        <w:ind w:firstLineChars="200" w:firstLine="643"/>
        <w:rPr>
          <w:rFonts w:ascii="仿宋" w:eastAsia="仿宋" w:hAnsi="仿宋"/>
          <w:b/>
          <w:sz w:val="32"/>
          <w:szCs w:val="32"/>
        </w:rPr>
      </w:pPr>
      <w:bookmarkStart w:id="44" w:name="_Toc15377212"/>
    </w:p>
    <w:p w:rsidR="00454533" w:rsidRDefault="00454533">
      <w:pPr>
        <w:spacing w:line="600" w:lineRule="exact"/>
        <w:ind w:firstLineChars="200" w:firstLine="643"/>
        <w:rPr>
          <w:rFonts w:ascii="仿宋" w:eastAsia="仿宋" w:hAnsi="仿宋"/>
          <w:b/>
          <w:sz w:val="32"/>
          <w:szCs w:val="32"/>
        </w:rPr>
      </w:pPr>
    </w:p>
    <w:p w:rsidR="00454533" w:rsidRDefault="00454533">
      <w:pPr>
        <w:spacing w:line="600" w:lineRule="exact"/>
        <w:ind w:firstLineChars="200" w:firstLine="643"/>
        <w:rPr>
          <w:rFonts w:ascii="仿宋" w:eastAsia="仿宋" w:hAnsi="仿宋"/>
          <w:b/>
          <w:sz w:val="32"/>
          <w:szCs w:val="32"/>
        </w:rPr>
      </w:pPr>
    </w:p>
    <w:p w:rsidR="00454533" w:rsidRDefault="00982C2D">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lastRenderedPageBreak/>
        <w:t>（三）一般公共预算财政拨款支出决算具体情况</w:t>
      </w:r>
      <w:bookmarkEnd w:id="44"/>
    </w:p>
    <w:p w:rsidR="00454533" w:rsidRDefault="00982C2D">
      <w:pPr>
        <w:spacing w:line="600" w:lineRule="exact"/>
        <w:ind w:firstLineChars="200" w:firstLine="643"/>
        <w:outlineLvl w:val="1"/>
        <w:rPr>
          <w:rFonts w:ascii="仿宋" w:eastAsia="仿宋" w:hAnsi="仿宋"/>
          <w:sz w:val="32"/>
          <w:szCs w:val="32"/>
        </w:rPr>
      </w:pPr>
      <w:bookmarkStart w:id="45" w:name="_Toc15377213"/>
      <w:bookmarkStart w:id="46" w:name="_Toc20110"/>
      <w:bookmarkStart w:id="47" w:name="_Toc15378460"/>
      <w:bookmarkStart w:id="48" w:name="_Toc15377444"/>
      <w:r>
        <w:rPr>
          <w:rFonts w:ascii="仿宋" w:eastAsia="仿宋" w:hAnsi="仿宋" w:hint="eastAsia"/>
          <w:b/>
          <w:sz w:val="32"/>
          <w:szCs w:val="32"/>
        </w:rPr>
        <w:t>2021年一般公共预算支出决算数为438.47万元</w:t>
      </w:r>
      <w:r>
        <w:rPr>
          <w:rFonts w:ascii="仿宋" w:eastAsia="仿宋" w:hAnsi="仿宋" w:hint="eastAsia"/>
          <w:sz w:val="32"/>
          <w:szCs w:val="32"/>
        </w:rPr>
        <w:t>，</w:t>
      </w:r>
      <w:r>
        <w:rPr>
          <w:rStyle w:val="a7"/>
          <w:rFonts w:ascii="仿宋" w:eastAsia="仿宋" w:hAnsi="仿宋" w:hint="eastAsia"/>
          <w:bCs/>
          <w:sz w:val="32"/>
          <w:szCs w:val="32"/>
        </w:rPr>
        <w:t>完成预算100</w:t>
      </w:r>
      <w:r>
        <w:rPr>
          <w:rStyle w:val="a7"/>
          <w:rFonts w:ascii="仿宋" w:eastAsia="仿宋" w:hAnsi="仿宋"/>
          <w:bCs/>
          <w:sz w:val="32"/>
          <w:szCs w:val="32"/>
        </w:rPr>
        <w:t>%</w:t>
      </w:r>
      <w:r>
        <w:rPr>
          <w:rStyle w:val="a7"/>
          <w:rFonts w:ascii="仿宋" w:eastAsia="仿宋" w:hAnsi="仿宋" w:hint="eastAsia"/>
          <w:bCs/>
          <w:sz w:val="32"/>
          <w:szCs w:val="32"/>
        </w:rPr>
        <w:t>。其中：</w:t>
      </w:r>
      <w:bookmarkEnd w:id="45"/>
      <w:bookmarkEnd w:id="46"/>
      <w:bookmarkEnd w:id="47"/>
      <w:bookmarkEnd w:id="48"/>
    </w:p>
    <w:p w:rsidR="00454533" w:rsidRDefault="00982C2D">
      <w:pPr>
        <w:numPr>
          <w:ilvl w:val="0"/>
          <w:numId w:val="3"/>
        </w:num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bCs/>
          <w:color w:val="000000"/>
          <w:sz w:val="32"/>
          <w:szCs w:val="32"/>
        </w:rPr>
        <w:t>教育205（类）02（款）03（项）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Fonts w:ascii="仿宋" w:eastAsia="仿宋" w:hAnsi="仿宋" w:hint="eastAsia"/>
          <w:sz w:val="32"/>
          <w:szCs w:val="32"/>
        </w:rPr>
        <w:t>360.2</w:t>
      </w:r>
      <w:r>
        <w:rPr>
          <w:rStyle w:val="a7"/>
          <w:rFonts w:ascii="仿宋" w:eastAsia="仿宋" w:hAnsi="仿宋" w:hint="eastAsia"/>
          <w:b w:val="0"/>
          <w:bCs/>
          <w:color w:val="000000"/>
          <w:sz w:val="32"/>
          <w:szCs w:val="32"/>
        </w:rPr>
        <w:t>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454533" w:rsidRDefault="00982C2D" w:rsidP="00EA45C6">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bCs/>
          <w:color w:val="000000"/>
          <w:sz w:val="32"/>
          <w:szCs w:val="32"/>
        </w:rPr>
        <w:t>2、社会保障和就业208（类）05（款）05（项）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Fonts w:ascii="仿宋" w:eastAsia="仿宋" w:hAnsi="仿宋" w:hint="eastAsia"/>
          <w:b/>
          <w:color w:val="000000"/>
          <w:sz w:val="32"/>
          <w:szCs w:val="32"/>
        </w:rPr>
        <w:t>36.04</w:t>
      </w:r>
      <w:r>
        <w:rPr>
          <w:rStyle w:val="a7"/>
          <w:rFonts w:ascii="仿宋" w:eastAsia="仿宋" w:hAnsi="仿宋" w:hint="eastAsia"/>
          <w:b w:val="0"/>
          <w:bCs/>
          <w:color w:val="000000"/>
          <w:sz w:val="32"/>
          <w:szCs w:val="32"/>
        </w:rPr>
        <w:t>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454533" w:rsidRDefault="00982C2D">
      <w:pPr>
        <w:pStyle w:val="a0"/>
        <w:spacing w:before="93"/>
        <w:ind w:firstLineChars="200" w:firstLine="643"/>
        <w:rPr>
          <w:rStyle w:val="a7"/>
          <w:rFonts w:ascii="仿宋" w:eastAsia="仿宋" w:hAnsi="仿宋"/>
          <w:b w:val="0"/>
          <w:bCs/>
          <w:color w:val="000000"/>
          <w:sz w:val="32"/>
          <w:szCs w:val="32"/>
        </w:rPr>
      </w:pPr>
      <w:r>
        <w:rPr>
          <w:rStyle w:val="a7"/>
          <w:rFonts w:ascii="仿宋" w:eastAsia="仿宋" w:hAnsi="仿宋" w:hint="eastAsia"/>
          <w:bCs/>
          <w:color w:val="000000"/>
          <w:sz w:val="32"/>
          <w:szCs w:val="32"/>
        </w:rPr>
        <w:t>3、208（类）05（款）06（项）</w:t>
      </w:r>
      <w:r>
        <w:rPr>
          <w:rFonts w:hint="eastAsia"/>
        </w:rPr>
        <w:t>机关事业单位职业年金缴费支出</w:t>
      </w:r>
      <w:r>
        <w:rPr>
          <w:rFonts w:ascii="仿宋" w:eastAsia="仿宋" w:hAnsi="仿宋" w:hint="eastAsia"/>
          <w:b/>
          <w:color w:val="000000"/>
          <w:sz w:val="32"/>
          <w:szCs w:val="32"/>
        </w:rPr>
        <w:t>6.81</w:t>
      </w:r>
      <w:r>
        <w:rPr>
          <w:rFonts w:hint="eastAsia"/>
        </w:rPr>
        <w:t>万元，</w:t>
      </w:r>
      <w:r>
        <w:rPr>
          <w:rStyle w:val="a7"/>
          <w:rFonts w:ascii="仿宋" w:eastAsia="仿宋" w:hAnsi="仿宋" w:hint="eastAsia"/>
          <w:b w:val="0"/>
          <w:bCs/>
          <w:color w:val="000000"/>
          <w:sz w:val="32"/>
          <w:szCs w:val="32"/>
        </w:rPr>
        <w:t>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454533" w:rsidRDefault="00982C2D">
      <w:pPr>
        <w:spacing w:line="600" w:lineRule="exact"/>
        <w:ind w:firstLineChars="200" w:firstLine="643"/>
        <w:rPr>
          <w:rStyle w:val="a7"/>
          <w:rFonts w:ascii="仿宋" w:eastAsia="仿宋" w:hAnsi="仿宋"/>
          <w:b w:val="0"/>
          <w:bCs/>
          <w:color w:val="000000"/>
          <w:sz w:val="32"/>
          <w:szCs w:val="32"/>
        </w:rPr>
      </w:pPr>
      <w:r>
        <w:rPr>
          <w:rFonts w:ascii="仿宋" w:eastAsia="仿宋" w:hAnsi="仿宋" w:hint="eastAsia"/>
          <w:b/>
          <w:color w:val="000000"/>
          <w:sz w:val="32"/>
          <w:szCs w:val="32"/>
        </w:rPr>
        <w:t>4、住房公积金</w:t>
      </w:r>
      <w:r>
        <w:rPr>
          <w:rStyle w:val="a7"/>
          <w:rFonts w:ascii="仿宋" w:eastAsia="仿宋" w:hAnsi="仿宋" w:hint="eastAsia"/>
          <w:bCs/>
          <w:color w:val="000000"/>
          <w:sz w:val="32"/>
          <w:szCs w:val="32"/>
        </w:rPr>
        <w:t>221（类）02（款）01（项）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Fonts w:ascii="仿宋" w:eastAsia="仿宋" w:hAnsi="仿宋" w:hint="eastAsia"/>
          <w:b/>
          <w:color w:val="000000"/>
          <w:sz w:val="32"/>
          <w:szCs w:val="32"/>
        </w:rPr>
        <w:t>35.43</w:t>
      </w:r>
      <w:r>
        <w:rPr>
          <w:rStyle w:val="a7"/>
          <w:rFonts w:ascii="仿宋" w:eastAsia="仿宋" w:hAnsi="仿宋" w:hint="eastAsia"/>
          <w:b w:val="0"/>
          <w:bCs/>
          <w:color w:val="000000"/>
          <w:sz w:val="32"/>
          <w:szCs w:val="32"/>
        </w:rPr>
        <w:t>万元，完成预算100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w:t>
      </w:r>
    </w:p>
    <w:p w:rsidR="00454533" w:rsidRDefault="00982C2D">
      <w:pPr>
        <w:tabs>
          <w:tab w:val="right" w:pos="8306"/>
        </w:tabs>
        <w:spacing w:line="600" w:lineRule="exact"/>
        <w:ind w:firstLine="640"/>
        <w:outlineLvl w:val="1"/>
        <w:rPr>
          <w:rStyle w:val="2Char"/>
        </w:rPr>
      </w:pPr>
      <w:bookmarkStart w:id="49" w:name="_Toc15377214"/>
      <w:bookmarkStart w:id="50" w:name="_Toc15396608"/>
      <w:bookmarkStart w:id="51" w:name="_Toc2923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49"/>
      <w:bookmarkEnd w:id="50"/>
      <w:bookmarkEnd w:id="51"/>
      <w:r>
        <w:rPr>
          <w:rStyle w:val="2Char"/>
          <w:rFonts w:ascii="黑体" w:eastAsia="黑体" w:hAnsi="黑体"/>
          <w:b w:val="0"/>
        </w:rPr>
        <w:tab/>
      </w:r>
    </w:p>
    <w:p w:rsidR="00454533" w:rsidRDefault="00982C2D">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21年一般公共预算财政拨款基本支出4</w:t>
      </w:r>
      <w:r w:rsidR="00EA45C6">
        <w:rPr>
          <w:rFonts w:ascii="仿宋" w:eastAsia="仿宋" w:hAnsi="仿宋" w:hint="eastAsia"/>
          <w:sz w:val="32"/>
          <w:szCs w:val="32"/>
        </w:rPr>
        <w:t>14.59</w:t>
      </w:r>
      <w:r>
        <w:rPr>
          <w:rFonts w:ascii="仿宋" w:eastAsia="仿宋" w:hAnsi="仿宋" w:hint="eastAsia"/>
          <w:sz w:val="32"/>
          <w:szCs w:val="32"/>
        </w:rPr>
        <w:t>万元，其中：</w:t>
      </w:r>
    </w:p>
    <w:p w:rsidR="00454533" w:rsidRDefault="00982C2D">
      <w:pPr>
        <w:spacing w:line="600" w:lineRule="exact"/>
        <w:ind w:firstLine="645"/>
        <w:rPr>
          <w:rFonts w:ascii="仿宋" w:eastAsia="仿宋" w:hAnsi="仿宋"/>
          <w:sz w:val="32"/>
          <w:szCs w:val="32"/>
        </w:rPr>
      </w:pPr>
      <w:r>
        <w:rPr>
          <w:rFonts w:ascii="仿宋" w:eastAsia="仿宋" w:hAnsi="仿宋" w:hint="eastAsia"/>
          <w:sz w:val="32"/>
          <w:szCs w:val="32"/>
        </w:rPr>
        <w:t>人员经费406.24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rsidR="00454533" w:rsidRDefault="00982C2D">
      <w:pPr>
        <w:spacing w:line="600" w:lineRule="exact"/>
        <w:rPr>
          <w:rFonts w:ascii="仿宋" w:eastAsia="仿宋" w:hAnsi="仿宋"/>
          <w:b/>
          <w:sz w:val="32"/>
          <w:szCs w:val="32"/>
        </w:rPr>
      </w:pPr>
      <w:r>
        <w:rPr>
          <w:rFonts w:ascii="仿宋" w:eastAsia="仿宋" w:hAnsi="仿宋" w:hint="eastAsia"/>
          <w:sz w:val="32"/>
          <w:szCs w:val="32"/>
        </w:rPr>
        <w:t xml:space="preserve">　公用经费</w:t>
      </w:r>
      <w:r w:rsidR="00EA45C6">
        <w:rPr>
          <w:rFonts w:ascii="仿宋" w:eastAsia="仿宋" w:hAnsi="仿宋" w:hint="eastAsia"/>
          <w:sz w:val="32"/>
          <w:szCs w:val="32"/>
        </w:rPr>
        <w:t>8.35</w:t>
      </w:r>
      <w:r>
        <w:rPr>
          <w:rFonts w:ascii="仿宋" w:eastAsia="仿宋" w:hAnsi="仿宋" w:hint="eastAsia"/>
          <w:sz w:val="32"/>
          <w:szCs w:val="32"/>
        </w:rPr>
        <w:t>万元，主要包括：办公费、印刷费、咨询费、手续费、水费、电费、邮电费、取暖费、物业管理费、差旅费、因公出国（境）费用、维修（护）费、租赁费、会议费、培训费、公务接待费、劳务费、委托业务费、工会经</w:t>
      </w:r>
      <w:r>
        <w:rPr>
          <w:rFonts w:ascii="仿宋" w:eastAsia="仿宋" w:hAnsi="仿宋" w:hint="eastAsia"/>
          <w:sz w:val="32"/>
          <w:szCs w:val="32"/>
        </w:rPr>
        <w:lastRenderedPageBreak/>
        <w:t>费、福利费、公务用车运行维护费、其他交通费、税金及附加费用、其他商品和服务支出、办公设备购置、专用设备购置、信息网络及软件购置更新、其他资本性支出等。</w:t>
      </w:r>
    </w:p>
    <w:p w:rsidR="00454533" w:rsidRDefault="00982C2D">
      <w:pPr>
        <w:spacing w:line="600" w:lineRule="exact"/>
        <w:ind w:firstLine="640"/>
        <w:outlineLvl w:val="1"/>
        <w:rPr>
          <w:rStyle w:val="2Char"/>
          <w:rFonts w:ascii="黑体" w:eastAsia="黑体" w:hAnsi="黑体"/>
          <w:b w:val="0"/>
        </w:rPr>
      </w:pPr>
      <w:bookmarkStart w:id="52" w:name="_Toc31282"/>
      <w:bookmarkStart w:id="53" w:name="_Toc15377215"/>
      <w:bookmarkStart w:id="54" w:name="_Toc15396609"/>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52"/>
      <w:bookmarkEnd w:id="53"/>
      <w:bookmarkEnd w:id="54"/>
    </w:p>
    <w:p w:rsidR="00454533" w:rsidRDefault="00982C2D">
      <w:pPr>
        <w:spacing w:line="600" w:lineRule="exact"/>
        <w:ind w:firstLine="640"/>
        <w:outlineLvl w:val="2"/>
        <w:rPr>
          <w:rFonts w:ascii="仿宋" w:eastAsia="仿宋" w:hAnsi="仿宋"/>
          <w:b/>
          <w:sz w:val="32"/>
          <w:szCs w:val="32"/>
        </w:rPr>
      </w:pPr>
      <w:bookmarkStart w:id="55" w:name="_Toc15377216"/>
      <w:r>
        <w:rPr>
          <w:rFonts w:ascii="仿宋" w:eastAsia="仿宋" w:hAnsi="仿宋" w:hint="eastAsia"/>
          <w:b/>
          <w:sz w:val="32"/>
          <w:szCs w:val="32"/>
        </w:rPr>
        <w:t>（一）“三公”经费财政拨款支出决算总体情况说明</w:t>
      </w:r>
      <w:bookmarkEnd w:id="55"/>
    </w:p>
    <w:p w:rsidR="00454533" w:rsidRDefault="00982C2D">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21年“三公”经费财政拨款支出决算为0万元，完成预算0</w:t>
      </w:r>
      <w:r>
        <w:rPr>
          <w:rFonts w:ascii="仿宋" w:eastAsia="仿宋" w:hAnsi="仿宋"/>
          <w:sz w:val="32"/>
          <w:szCs w:val="32"/>
        </w:rPr>
        <w:t>%</w:t>
      </w:r>
      <w:r>
        <w:rPr>
          <w:rFonts w:ascii="仿宋" w:eastAsia="仿宋" w:hAnsi="仿宋" w:hint="eastAsia"/>
          <w:sz w:val="32"/>
          <w:szCs w:val="32"/>
        </w:rPr>
        <w:t>，主要原因是学校无公务接待、因公出国(境)、公务用车等支出。</w:t>
      </w:r>
    </w:p>
    <w:p w:rsidR="00454533" w:rsidRDefault="00982C2D">
      <w:pPr>
        <w:spacing w:line="600" w:lineRule="exact"/>
        <w:ind w:firstLine="640"/>
        <w:outlineLvl w:val="2"/>
        <w:rPr>
          <w:rFonts w:ascii="仿宋" w:eastAsia="仿宋" w:hAnsi="仿宋"/>
          <w:b/>
          <w:sz w:val="32"/>
          <w:szCs w:val="32"/>
        </w:rPr>
      </w:pPr>
      <w:bookmarkStart w:id="56" w:name="_Toc15377217"/>
      <w:r>
        <w:rPr>
          <w:rFonts w:ascii="仿宋" w:eastAsia="仿宋" w:hAnsi="仿宋" w:hint="eastAsia"/>
          <w:b/>
          <w:sz w:val="32"/>
          <w:szCs w:val="32"/>
        </w:rPr>
        <w:t>（二）“三公”经费财政拨款支出决算具体情况说明</w:t>
      </w:r>
      <w:bookmarkEnd w:id="56"/>
    </w:p>
    <w:p w:rsidR="00454533" w:rsidRDefault="00982C2D">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21年“三公”经费财政拨款支出决算中，因公出国（境）费支出决算0万元，占0</w:t>
      </w:r>
      <w:r>
        <w:rPr>
          <w:rFonts w:ascii="仿宋" w:eastAsia="仿宋" w:hAnsi="仿宋"/>
          <w:sz w:val="32"/>
          <w:szCs w:val="32"/>
        </w:rPr>
        <w:t>%</w:t>
      </w:r>
      <w:r>
        <w:rPr>
          <w:rFonts w:ascii="仿宋" w:eastAsia="仿宋" w:hAnsi="仿宋" w:hint="eastAsia"/>
          <w:sz w:val="32"/>
          <w:szCs w:val="32"/>
        </w:rPr>
        <w:t>；公务用车购置及运行维护费支出决算0万元，占0</w:t>
      </w:r>
      <w:r>
        <w:rPr>
          <w:rFonts w:ascii="仿宋" w:eastAsia="仿宋" w:hAnsi="仿宋"/>
          <w:sz w:val="32"/>
          <w:szCs w:val="32"/>
        </w:rPr>
        <w:t>%</w:t>
      </w:r>
      <w:r>
        <w:rPr>
          <w:rFonts w:ascii="仿宋" w:eastAsia="仿宋" w:hAnsi="仿宋" w:hint="eastAsia"/>
          <w:sz w:val="32"/>
          <w:szCs w:val="32"/>
        </w:rPr>
        <w:t>；公务接待费支出决算0万元，占0</w:t>
      </w:r>
      <w:r>
        <w:rPr>
          <w:rFonts w:ascii="仿宋" w:eastAsia="仿宋" w:hAnsi="仿宋"/>
          <w:sz w:val="32"/>
          <w:szCs w:val="32"/>
        </w:rPr>
        <w:t>%</w:t>
      </w:r>
      <w:r>
        <w:rPr>
          <w:rFonts w:ascii="仿宋" w:eastAsia="仿宋" w:hAnsi="仿宋" w:hint="eastAsia"/>
          <w:sz w:val="32"/>
          <w:szCs w:val="32"/>
        </w:rPr>
        <w:t>。具体情况如下：</w:t>
      </w:r>
    </w:p>
    <w:p w:rsidR="00454533" w:rsidRDefault="00982C2D">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（图7：“三公”经费财政拨款支出结构）（饼状图）</w:t>
      </w:r>
    </w:p>
    <w:p w:rsidR="00454533" w:rsidRDefault="00982C2D">
      <w:pPr>
        <w:pStyle w:val="a0"/>
        <w:spacing w:before="93"/>
        <w:jc w:val="center"/>
        <w:rPr>
          <w:rFonts w:ascii="仿宋" w:eastAsia="仿宋" w:hAnsi="仿宋"/>
          <w:sz w:val="32"/>
          <w:szCs w:val="32"/>
        </w:rPr>
      </w:pPr>
      <w:r>
        <w:rPr>
          <w:noProof/>
        </w:rPr>
        <w:drawing>
          <wp:inline distT="0" distB="0" distL="114300" distR="114300">
            <wp:extent cx="3410585" cy="1590675"/>
            <wp:effectExtent l="5080" t="4445" r="13335" b="5080"/>
            <wp:docPr id="1046"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54533" w:rsidRDefault="00454533">
      <w:pPr>
        <w:pStyle w:val="a0"/>
        <w:spacing w:before="93"/>
        <w:rPr>
          <w:rFonts w:ascii="仿宋" w:eastAsia="仿宋" w:hAnsi="仿宋"/>
          <w:sz w:val="32"/>
          <w:szCs w:val="32"/>
        </w:rPr>
      </w:pPr>
    </w:p>
    <w:p w:rsidR="00454533" w:rsidRDefault="00982C2D">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7"/>
          <w:rFonts w:ascii="仿宋" w:eastAsia="仿宋" w:hAnsi="仿宋" w:hint="eastAsia"/>
          <w:b w:val="0"/>
          <w:bCs/>
          <w:sz w:val="32"/>
          <w:szCs w:val="32"/>
        </w:rPr>
        <w:t>完成预算0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w:t>
      </w:r>
      <w:r w:rsidR="00EA45C6">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20年持平，主要原因是学校无公务出</w:t>
      </w:r>
      <w:r>
        <w:rPr>
          <w:rFonts w:ascii="仿宋_GB2312" w:eastAsia="仿宋_GB2312" w:hint="eastAsia"/>
          <w:sz w:val="32"/>
          <w:szCs w:val="32"/>
        </w:rPr>
        <w:lastRenderedPageBreak/>
        <w:t>国(境)。</w:t>
      </w:r>
    </w:p>
    <w:p w:rsidR="00454533" w:rsidRDefault="00982C2D">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0万元,</w:t>
      </w:r>
      <w:r>
        <w:rPr>
          <w:rStyle w:val="a7"/>
          <w:rFonts w:ascii="仿宋" w:eastAsia="仿宋" w:hAnsi="仿宋" w:hint="eastAsia"/>
          <w:b w:val="0"/>
          <w:bCs/>
          <w:sz w:val="32"/>
          <w:szCs w:val="32"/>
        </w:rPr>
        <w:t>完成预算0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公务用车购置及运行维护费支出决算</w:t>
      </w:r>
      <w:r w:rsidR="00EA45C6">
        <w:rPr>
          <w:rFonts w:ascii="仿宋_GB2312" w:eastAsia="仿宋_GB2312" w:hint="eastAsia"/>
          <w:sz w:val="32"/>
          <w:szCs w:val="32"/>
        </w:rPr>
        <w:t>与</w:t>
      </w:r>
      <w:r>
        <w:rPr>
          <w:rFonts w:ascii="仿宋_GB2312" w:eastAsia="仿宋_GB2312"/>
          <w:sz w:val="32"/>
          <w:szCs w:val="32"/>
        </w:rPr>
        <w:t>20</w:t>
      </w:r>
      <w:r>
        <w:rPr>
          <w:rFonts w:ascii="仿宋_GB2312" w:eastAsia="仿宋_GB2312" w:hint="eastAsia"/>
          <w:sz w:val="32"/>
          <w:szCs w:val="32"/>
        </w:rPr>
        <w:t>20年持平。主要原因是无公务用车支出。</w:t>
      </w:r>
    </w:p>
    <w:p w:rsidR="00454533" w:rsidRDefault="00982C2D">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月底，单位共有公务用车0辆，其中：轿车0辆、越野车0辆、载客汽车0辆。</w:t>
      </w:r>
    </w:p>
    <w:p w:rsidR="00454533" w:rsidRDefault="00982C2D">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EA45C6">
        <w:rPr>
          <w:rFonts w:ascii="仿宋_GB2312" w:eastAsia="仿宋_GB2312" w:hint="eastAsia"/>
          <w:sz w:val="32"/>
          <w:szCs w:val="32"/>
        </w:rPr>
        <w:t>0</w:t>
      </w:r>
      <w:r>
        <w:rPr>
          <w:rFonts w:ascii="仿宋_GB2312" w:eastAsia="仿宋_GB2312" w:hint="eastAsia"/>
          <w:sz w:val="32"/>
          <w:szCs w:val="32"/>
        </w:rPr>
        <w:t>万元。</w:t>
      </w:r>
    </w:p>
    <w:p w:rsidR="00454533" w:rsidRDefault="00982C2D">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0万元，</w:t>
      </w:r>
      <w:r>
        <w:rPr>
          <w:rStyle w:val="a7"/>
          <w:rFonts w:ascii="仿宋" w:eastAsia="仿宋" w:hAnsi="仿宋" w:hint="eastAsia"/>
          <w:b w:val="0"/>
          <w:bCs/>
          <w:sz w:val="32"/>
          <w:szCs w:val="32"/>
        </w:rPr>
        <w:t>完成预算0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20年持平。主要原因是无公务接待。</w:t>
      </w:r>
    </w:p>
    <w:p w:rsidR="00454533" w:rsidRDefault="00982C2D">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0</w:t>
      </w:r>
      <w:r>
        <w:rPr>
          <w:rFonts w:ascii="仿宋_GB2312" w:eastAsia="仿宋_GB2312" w:hint="eastAsia"/>
          <w:sz w:val="32"/>
          <w:szCs w:val="32"/>
        </w:rPr>
        <w:t>万元，国内公务接待0批次，0人次（不包括陪同人员），共计支出0万元。</w:t>
      </w:r>
    </w:p>
    <w:p w:rsidR="00454533" w:rsidRDefault="00982C2D">
      <w:pPr>
        <w:spacing w:line="600" w:lineRule="exact"/>
        <w:ind w:firstLine="640"/>
        <w:outlineLvl w:val="1"/>
        <w:rPr>
          <w:rFonts w:ascii="仿宋_GB2312" w:eastAsia="仿宋_GB2312"/>
          <w:sz w:val="32"/>
          <w:szCs w:val="32"/>
        </w:rPr>
      </w:pPr>
      <w:bookmarkStart w:id="57" w:name="_Toc1489"/>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w:t>
      </w:r>
      <w:bookmarkStart w:id="58" w:name="_Toc15377218"/>
      <w:bookmarkStart w:id="59" w:name="_Toc15396610"/>
      <w:bookmarkEnd w:id="57"/>
      <w:r>
        <w:rPr>
          <w:rFonts w:ascii="仿宋_GB2312" w:eastAsia="仿宋_GB2312" w:hint="eastAsia"/>
          <w:sz w:val="32"/>
          <w:szCs w:val="32"/>
        </w:rPr>
        <w:t>。</w:t>
      </w:r>
    </w:p>
    <w:p w:rsidR="00454533" w:rsidRDefault="00982C2D">
      <w:pPr>
        <w:spacing w:line="600" w:lineRule="exact"/>
        <w:ind w:firstLine="640"/>
        <w:outlineLvl w:val="1"/>
        <w:rPr>
          <w:rStyle w:val="2Char"/>
          <w:rFonts w:ascii="黑体" w:eastAsia="黑体" w:hAnsi="黑体"/>
        </w:rPr>
      </w:pPr>
      <w:bookmarkStart w:id="60" w:name="_Toc17132"/>
      <w:r>
        <w:rPr>
          <w:rFonts w:ascii="黑体" w:eastAsia="黑体" w:hint="eastAsia"/>
          <w:sz w:val="32"/>
          <w:szCs w:val="32"/>
        </w:rPr>
        <w:t>八、</w:t>
      </w:r>
      <w:r>
        <w:rPr>
          <w:rStyle w:val="2Char"/>
          <w:rFonts w:ascii="黑体" w:eastAsia="黑体" w:hAnsi="黑体" w:hint="eastAsia"/>
          <w:b w:val="0"/>
        </w:rPr>
        <w:t>政府性基金预算支出决算情况说明</w:t>
      </w:r>
      <w:bookmarkEnd w:id="58"/>
      <w:bookmarkEnd w:id="59"/>
      <w:bookmarkEnd w:id="60"/>
    </w:p>
    <w:p w:rsidR="00454533" w:rsidRDefault="00982C2D">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21年政府性基金预算财政拨款支出0万元。</w:t>
      </w:r>
    </w:p>
    <w:p w:rsidR="00454533" w:rsidRDefault="00982C2D">
      <w:pPr>
        <w:numPr>
          <w:ilvl w:val="0"/>
          <w:numId w:val="4"/>
        </w:numPr>
        <w:spacing w:line="600" w:lineRule="exact"/>
        <w:ind w:firstLine="640"/>
        <w:outlineLvl w:val="1"/>
        <w:rPr>
          <w:rStyle w:val="2Char"/>
          <w:rFonts w:ascii="黑体" w:eastAsia="黑体" w:hAnsi="黑体"/>
          <w:b w:val="0"/>
        </w:rPr>
      </w:pPr>
      <w:bookmarkStart w:id="61" w:name="_Toc15377219"/>
      <w:bookmarkStart w:id="62" w:name="_Toc19365"/>
      <w:bookmarkStart w:id="63" w:name="_Toc15396611"/>
      <w:r>
        <w:rPr>
          <w:rStyle w:val="2Char"/>
          <w:rFonts w:ascii="黑体" w:eastAsia="黑体" w:hAnsi="黑体" w:hint="eastAsia"/>
          <w:b w:val="0"/>
        </w:rPr>
        <w:t>国有资本经营预算支出决算情况说明</w:t>
      </w:r>
      <w:bookmarkEnd w:id="61"/>
      <w:bookmarkEnd w:id="62"/>
      <w:bookmarkEnd w:id="63"/>
    </w:p>
    <w:p w:rsidR="00454533" w:rsidRDefault="00982C2D">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21年国有资本经营预算财政拨款支出0万元。</w:t>
      </w:r>
    </w:p>
    <w:p w:rsidR="00454533" w:rsidRDefault="00982C2D">
      <w:pPr>
        <w:numPr>
          <w:ilvl w:val="0"/>
          <w:numId w:val="4"/>
        </w:numPr>
        <w:spacing w:line="600" w:lineRule="exact"/>
        <w:ind w:firstLine="640"/>
        <w:outlineLvl w:val="1"/>
        <w:rPr>
          <w:rStyle w:val="2Char"/>
          <w:rFonts w:ascii="黑体" w:eastAsia="黑体" w:hAnsi="黑体"/>
          <w:b w:val="0"/>
        </w:rPr>
      </w:pPr>
      <w:bookmarkStart w:id="64" w:name="_Toc15396612"/>
      <w:bookmarkStart w:id="65" w:name="_Toc15377221"/>
      <w:bookmarkStart w:id="66" w:name="_Toc4491"/>
      <w:r>
        <w:rPr>
          <w:rStyle w:val="2Char"/>
          <w:rFonts w:ascii="黑体" w:eastAsia="黑体" w:hAnsi="黑体" w:hint="eastAsia"/>
          <w:b w:val="0"/>
        </w:rPr>
        <w:t>其他重要事项的情况说明</w:t>
      </w:r>
      <w:bookmarkEnd w:id="64"/>
      <w:bookmarkEnd w:id="65"/>
      <w:bookmarkEnd w:id="66"/>
    </w:p>
    <w:p w:rsidR="00454533" w:rsidRDefault="00EA45C6">
      <w:pPr>
        <w:spacing w:line="600" w:lineRule="exact"/>
        <w:ind w:firstLineChars="200" w:firstLine="643"/>
        <w:outlineLvl w:val="2"/>
        <w:rPr>
          <w:rFonts w:ascii="仿宋" w:eastAsia="仿宋" w:hAnsi="仿宋"/>
          <w:sz w:val="32"/>
          <w:szCs w:val="32"/>
        </w:rPr>
      </w:pPr>
      <w:bookmarkStart w:id="67" w:name="_Toc15377222"/>
      <w:r>
        <w:rPr>
          <w:rFonts w:ascii="仿宋" w:eastAsia="仿宋" w:hAnsi="仿宋" w:hint="eastAsia"/>
          <w:b/>
          <w:sz w:val="32"/>
          <w:szCs w:val="32"/>
        </w:rPr>
        <w:t>（一）业务</w:t>
      </w:r>
      <w:r w:rsidR="00982C2D">
        <w:rPr>
          <w:rFonts w:ascii="仿宋" w:eastAsia="仿宋" w:hAnsi="仿宋" w:hint="eastAsia"/>
          <w:b/>
          <w:sz w:val="32"/>
          <w:szCs w:val="32"/>
        </w:rPr>
        <w:t>运行经费支出情况</w:t>
      </w:r>
      <w:bookmarkEnd w:id="67"/>
    </w:p>
    <w:p w:rsidR="00454533" w:rsidRDefault="00982C2D">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w:t>
      </w:r>
      <w:r w:rsidR="00EA45C6">
        <w:rPr>
          <w:rFonts w:ascii="仿宋_GB2312" w:eastAsia="仿宋_GB2312" w:hint="eastAsia"/>
          <w:sz w:val="32"/>
          <w:szCs w:val="32"/>
        </w:rPr>
        <w:t>年，盐边县</w:t>
      </w:r>
      <w:proofErr w:type="gramStart"/>
      <w:r w:rsidR="00EA45C6">
        <w:rPr>
          <w:rFonts w:ascii="仿宋_GB2312" w:eastAsia="仿宋_GB2312" w:hint="eastAsia"/>
          <w:sz w:val="32"/>
          <w:szCs w:val="32"/>
        </w:rPr>
        <w:t>惠民镇初级中学校业务</w:t>
      </w:r>
      <w:proofErr w:type="gramEnd"/>
      <w:r>
        <w:rPr>
          <w:rFonts w:ascii="仿宋_GB2312" w:eastAsia="仿宋_GB2312" w:hint="eastAsia"/>
          <w:sz w:val="32"/>
          <w:szCs w:val="32"/>
        </w:rPr>
        <w:t>运行经费支出</w:t>
      </w:r>
      <w:r w:rsidR="00EA45C6">
        <w:rPr>
          <w:rFonts w:ascii="仿宋_GB2312" w:eastAsia="仿宋_GB2312" w:hint="eastAsia"/>
          <w:sz w:val="32"/>
          <w:szCs w:val="32"/>
        </w:rPr>
        <w:t>8.35</w:t>
      </w:r>
      <w:r>
        <w:rPr>
          <w:rFonts w:ascii="仿宋_GB2312" w:eastAsia="仿宋_GB2312" w:hint="eastAsia"/>
          <w:sz w:val="32"/>
          <w:szCs w:val="32"/>
        </w:rPr>
        <w:t>万元，</w:t>
      </w:r>
      <w:r w:rsidR="00EA45C6">
        <w:rPr>
          <w:rFonts w:ascii="仿宋_GB2312" w:eastAsia="仿宋_GB2312" w:hint="eastAsia"/>
          <w:sz w:val="32"/>
          <w:szCs w:val="32"/>
        </w:rPr>
        <w:t>较</w:t>
      </w:r>
      <w:r>
        <w:rPr>
          <w:rFonts w:ascii="仿宋_GB2312" w:eastAsia="仿宋_GB2312"/>
          <w:sz w:val="32"/>
          <w:szCs w:val="32"/>
        </w:rPr>
        <w:t>20</w:t>
      </w:r>
      <w:r>
        <w:rPr>
          <w:rFonts w:ascii="仿宋_GB2312" w:eastAsia="仿宋_GB2312" w:hint="eastAsia"/>
          <w:sz w:val="32"/>
          <w:szCs w:val="32"/>
        </w:rPr>
        <w:t>20</w:t>
      </w:r>
      <w:r w:rsidR="00EA45C6">
        <w:rPr>
          <w:rFonts w:ascii="仿宋_GB2312" w:eastAsia="仿宋_GB2312" w:hint="eastAsia"/>
          <w:sz w:val="32"/>
          <w:szCs w:val="32"/>
        </w:rPr>
        <w:t>年业务</w:t>
      </w:r>
      <w:r>
        <w:rPr>
          <w:rFonts w:ascii="仿宋_GB2312" w:eastAsia="仿宋_GB2312" w:hint="eastAsia"/>
          <w:sz w:val="32"/>
          <w:szCs w:val="32"/>
        </w:rPr>
        <w:t>运行经费</w:t>
      </w:r>
      <w:r w:rsidR="00EA45C6">
        <w:rPr>
          <w:rFonts w:ascii="仿宋_GB2312" w:eastAsia="仿宋_GB2312" w:hint="eastAsia"/>
          <w:sz w:val="32"/>
          <w:szCs w:val="32"/>
        </w:rPr>
        <w:t>增加0.05万元，主要原</w:t>
      </w:r>
      <w:r w:rsidR="00EA45C6">
        <w:rPr>
          <w:rFonts w:ascii="仿宋_GB2312" w:eastAsia="仿宋_GB2312" w:hint="eastAsia"/>
          <w:sz w:val="32"/>
          <w:szCs w:val="32"/>
        </w:rPr>
        <w:lastRenderedPageBreak/>
        <w:t>因为学生人数增加，支出增加</w:t>
      </w:r>
      <w:r>
        <w:rPr>
          <w:rFonts w:ascii="仿宋_GB2312" w:eastAsia="仿宋_GB2312" w:hint="eastAsia"/>
          <w:sz w:val="32"/>
          <w:szCs w:val="32"/>
        </w:rPr>
        <w:t>。</w:t>
      </w:r>
    </w:p>
    <w:p w:rsidR="00454533" w:rsidRDefault="00982C2D">
      <w:pPr>
        <w:autoSpaceDE w:val="0"/>
        <w:autoSpaceDN w:val="0"/>
        <w:adjustRightInd w:val="0"/>
        <w:spacing w:line="600" w:lineRule="exact"/>
        <w:ind w:firstLineChars="200" w:firstLine="643"/>
        <w:jc w:val="left"/>
        <w:outlineLvl w:val="2"/>
        <w:rPr>
          <w:rFonts w:ascii="仿宋" w:eastAsia="仿宋" w:hAnsi="仿宋"/>
          <w:b/>
          <w:sz w:val="32"/>
          <w:szCs w:val="32"/>
        </w:rPr>
      </w:pPr>
      <w:bookmarkStart w:id="68" w:name="_Toc15377223"/>
      <w:r>
        <w:rPr>
          <w:rFonts w:ascii="仿宋" w:eastAsia="仿宋" w:hAnsi="仿宋" w:hint="eastAsia"/>
          <w:b/>
          <w:sz w:val="32"/>
          <w:szCs w:val="32"/>
        </w:rPr>
        <w:t>（二）政府采购支出情况</w:t>
      </w:r>
      <w:bookmarkEnd w:id="68"/>
    </w:p>
    <w:p w:rsidR="00454533" w:rsidRDefault="00982C2D">
      <w:pPr>
        <w:spacing w:line="600" w:lineRule="exact"/>
        <w:ind w:firstLineChars="200" w:firstLine="640"/>
        <w:rPr>
          <w:rFonts w:ascii="仿宋" w:eastAsia="仿宋" w:hAnsi="仿宋"/>
          <w:b/>
          <w:sz w:val="32"/>
          <w:szCs w:val="32"/>
        </w:rPr>
      </w:pPr>
      <w:r>
        <w:rPr>
          <w:rFonts w:ascii="仿宋_GB2312" w:eastAsia="仿宋_GB2312"/>
          <w:sz w:val="32"/>
          <w:szCs w:val="32"/>
        </w:rPr>
        <w:t>20</w:t>
      </w:r>
      <w:r>
        <w:rPr>
          <w:rFonts w:ascii="仿宋_GB2312" w:eastAsia="仿宋_GB2312" w:hint="eastAsia"/>
          <w:sz w:val="32"/>
          <w:szCs w:val="32"/>
        </w:rPr>
        <w:t>21年，盐边县</w:t>
      </w:r>
      <w:proofErr w:type="gramStart"/>
      <w:r>
        <w:rPr>
          <w:rFonts w:ascii="仿宋_GB2312" w:eastAsia="仿宋_GB2312" w:hint="eastAsia"/>
          <w:sz w:val="32"/>
          <w:szCs w:val="32"/>
        </w:rPr>
        <w:t>惠民镇初级中学校政府</w:t>
      </w:r>
      <w:proofErr w:type="gramEnd"/>
      <w:r>
        <w:rPr>
          <w:rFonts w:ascii="仿宋_GB2312" w:eastAsia="仿宋_GB2312" w:hint="eastAsia"/>
          <w:sz w:val="32"/>
          <w:szCs w:val="32"/>
        </w:rPr>
        <w:t>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合同金额0万元，占政府采购支出总额的0</w:t>
      </w:r>
      <w:r>
        <w:rPr>
          <w:rFonts w:ascii="仿宋_GB2312" w:eastAsia="仿宋_GB2312"/>
          <w:sz w:val="32"/>
          <w:szCs w:val="32"/>
        </w:rPr>
        <w:t>%</w:t>
      </w:r>
      <w:r>
        <w:rPr>
          <w:rFonts w:ascii="仿宋_GB2312" w:eastAsia="仿宋_GB2312" w:hint="eastAsia"/>
          <w:sz w:val="32"/>
          <w:szCs w:val="32"/>
        </w:rPr>
        <w:t>。</w:t>
      </w:r>
    </w:p>
    <w:p w:rsidR="00454533" w:rsidRDefault="00982C2D">
      <w:pPr>
        <w:autoSpaceDE w:val="0"/>
        <w:autoSpaceDN w:val="0"/>
        <w:adjustRightInd w:val="0"/>
        <w:spacing w:line="600" w:lineRule="exact"/>
        <w:ind w:firstLineChars="200" w:firstLine="643"/>
        <w:jc w:val="left"/>
        <w:outlineLvl w:val="2"/>
        <w:rPr>
          <w:rFonts w:ascii="仿宋" w:eastAsia="仿宋" w:hAnsi="仿宋"/>
          <w:b/>
          <w:sz w:val="32"/>
          <w:szCs w:val="32"/>
        </w:rPr>
      </w:pPr>
      <w:bookmarkStart w:id="69" w:name="_Toc15377224"/>
      <w:r>
        <w:rPr>
          <w:rFonts w:ascii="仿宋" w:eastAsia="仿宋" w:hAnsi="仿宋" w:hint="eastAsia"/>
          <w:b/>
          <w:sz w:val="32"/>
          <w:szCs w:val="32"/>
        </w:rPr>
        <w:t>（三）国有资产占有使用情况</w:t>
      </w:r>
      <w:bookmarkEnd w:id="69"/>
    </w:p>
    <w:p w:rsidR="00454533" w:rsidRDefault="00982C2D">
      <w:pPr>
        <w:autoSpaceDE w:val="0"/>
        <w:autoSpaceDN w:val="0"/>
        <w:adjustRightInd w:val="0"/>
        <w:spacing w:line="600" w:lineRule="exact"/>
        <w:ind w:firstLineChars="200" w:firstLine="640"/>
        <w:jc w:val="left"/>
        <w:rPr>
          <w:rFonts w:ascii="仿宋" w:eastAsia="仿宋" w:hAnsi="仿宋"/>
          <w:b/>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日，盐边县</w:t>
      </w:r>
      <w:proofErr w:type="gramStart"/>
      <w:r>
        <w:rPr>
          <w:rFonts w:ascii="仿宋_GB2312" w:eastAsia="仿宋_GB2312" w:hint="eastAsia"/>
          <w:sz w:val="32"/>
          <w:szCs w:val="32"/>
        </w:rPr>
        <w:t>惠民镇</w:t>
      </w:r>
      <w:proofErr w:type="gramEnd"/>
      <w:r>
        <w:rPr>
          <w:rFonts w:ascii="仿宋_GB2312" w:eastAsia="仿宋_GB2312" w:hint="eastAsia"/>
          <w:sz w:val="32"/>
          <w:szCs w:val="32"/>
        </w:rPr>
        <w:t>初级中学校共有车辆0辆，其中：主要领导干部用车0辆、机要通信用车0辆、应急保障用车0辆、其他用车0辆，其他用车主要是用于单价</w:t>
      </w:r>
      <w:r>
        <w:rPr>
          <w:rFonts w:ascii="仿宋_GB2312" w:eastAsia="仿宋_GB2312"/>
          <w:sz w:val="32"/>
          <w:szCs w:val="32"/>
        </w:rPr>
        <w:t>50</w:t>
      </w:r>
      <w:r>
        <w:rPr>
          <w:rFonts w:ascii="仿宋_GB2312" w:eastAsia="仿宋_GB2312" w:hint="eastAsia"/>
          <w:sz w:val="32"/>
          <w:szCs w:val="32"/>
        </w:rPr>
        <w:t>万元以上通用设备0台（套），单价</w:t>
      </w:r>
      <w:r>
        <w:rPr>
          <w:rFonts w:ascii="仿宋_GB2312" w:eastAsia="仿宋_GB2312"/>
          <w:sz w:val="32"/>
          <w:szCs w:val="32"/>
        </w:rPr>
        <w:t>100</w:t>
      </w:r>
      <w:r>
        <w:rPr>
          <w:rFonts w:ascii="仿宋_GB2312" w:eastAsia="仿宋_GB2312" w:hint="eastAsia"/>
          <w:sz w:val="32"/>
          <w:szCs w:val="32"/>
        </w:rPr>
        <w:t>万元以上专用设备0台（套）。</w:t>
      </w:r>
    </w:p>
    <w:p w:rsidR="00454533" w:rsidRDefault="00982C2D">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454533" w:rsidRDefault="00982C2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单位在年初预算编制阶段，组织对会议费、培训费等项目开展了预算事前绩效评估，对4个项目编制了绩效目标，预算执行过程中，选取3个项目开展绩效监控，年终执行完毕后，对3个项目开展了绩效目标完成情况自评。</w:t>
      </w:r>
    </w:p>
    <w:p w:rsidR="00454533" w:rsidRDefault="00982C2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2021年部门整体支出开展绩效自评，从评价情况来看工会经费年初预算4.69万元，维修维护费13.07万元。通过学校科学实施，合理配置，很好地达到预期效果。本部门无专项预算项目，因此未组织开展项目支出绩效评价</w:t>
      </w:r>
    </w:p>
    <w:p w:rsidR="00454533" w:rsidRDefault="00982C2D">
      <w:pPr>
        <w:spacing w:line="58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1.项目绩效目标完成情况。</w:t>
      </w:r>
    </w:p>
    <w:p w:rsidR="00454533" w:rsidRDefault="00982C2D">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本部门在2021年度部门决算中反映“办公费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、“会议费”、“印刷费、邮电费、维修维护费”等6个项目绩效目标实际完成情况。</w:t>
      </w:r>
    </w:p>
    <w:p w:rsidR="00454533" w:rsidRDefault="00982C2D">
      <w:pPr>
        <w:numPr>
          <w:ilvl w:val="0"/>
          <w:numId w:val="5"/>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办公费、维护费、工会费、培训费等基本支出项目绩效目标完成情况综述：项目全年预算数8.35万元，执行数为8.35万元，完成预算的100%。通过项目实施，保障了学校正常工作的运转，通过参加各类教育教学的培训，结对帮扶，促进教育教学质量的提高。在教学中做到勤俭节约，有修复使用价值的物体通过修复来节约教学开支，减少浪费。发现的主要问题：在实施过程中培训人选结合教师所教学科安排人员培训，在培训期间产生的相关费用不能及时兑现，维修的物品有些未能及时做到监督检查。</w:t>
      </w:r>
    </w:p>
    <w:p w:rsidR="00454533" w:rsidRDefault="00982C2D">
      <w:pPr>
        <w:numPr>
          <w:ilvl w:val="0"/>
          <w:numId w:val="5"/>
        </w:num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商品和其他支出项目绩效目标完成情况综述：项目全年预算数32.23万元，执行数为32.23万元，完成预算的100%。通过项目实施，其他商品和服务支出支撑着学校的正常运作，保障学校的基本功能，促进学校全面健康发展。</w:t>
      </w:r>
    </w:p>
    <w:p w:rsidR="00454533" w:rsidRDefault="00982C2D">
      <w:pPr>
        <w:spacing w:line="580" w:lineRule="exact"/>
        <w:ind w:firstLineChars="200" w:firstLine="640"/>
        <w:rPr>
          <w:rFonts w:ascii="方正仿宋_GB2312" w:eastAsia="方正仿宋_GB2312" w:hAnsi="方正仿宋_GB2312" w:cs="方正仿宋_GB2312"/>
          <w:sz w:val="32"/>
          <w:szCs w:val="32"/>
        </w:rPr>
      </w:pPr>
      <w:r>
        <w:rPr>
          <w:rFonts w:ascii="仿宋_GB2312" w:eastAsia="仿宋_GB2312" w:hAnsi="仿宋_GB2312" w:cs="仿宋_GB2312" w:hint="eastAsia"/>
          <w:sz w:val="32"/>
          <w:szCs w:val="32"/>
        </w:rPr>
        <w:t>（3）工资福利支出项目绩效目标完成情况综述：项目全年预算376.4万元，执行数为376.4万元，完成预算的100%。通过项目实施，保障全校教师的基本工资，社会保障、医疗、住房等，有效促进教师工作的积极性，为提高教学质量打下坚实的基础，促进教育事业健康发展，为盐边教育事业贡献一份努力。</w:t>
      </w:r>
      <w:r>
        <w:rPr>
          <w:rFonts w:ascii="方正仿宋_GB2312" w:eastAsia="方正仿宋_GB2312" w:hAnsi="方正仿宋_GB2312" w:cs="方正仿宋_GB2312" w:hint="eastAsia"/>
          <w:sz w:val="32"/>
          <w:szCs w:val="32"/>
        </w:rPr>
        <w:t>2021年特定目标类部门预算项目绩效目标自评表见附件（第四部分）。</w:t>
      </w:r>
    </w:p>
    <w:p w:rsidR="00454533" w:rsidRDefault="00454533">
      <w:pPr>
        <w:autoSpaceDE w:val="0"/>
        <w:autoSpaceDN w:val="0"/>
        <w:adjustRightInd w:val="0"/>
        <w:spacing w:line="600" w:lineRule="exact"/>
        <w:ind w:firstLineChars="200" w:firstLine="643"/>
        <w:rPr>
          <w:rFonts w:ascii="仿宋" w:eastAsia="仿宋" w:hAnsi="仿宋"/>
          <w:b/>
          <w:sz w:val="32"/>
          <w:szCs w:val="32"/>
        </w:rPr>
      </w:pPr>
    </w:p>
    <w:p w:rsidR="00454533" w:rsidRDefault="00454533">
      <w:pPr>
        <w:pStyle w:val="a0"/>
        <w:spacing w:before="93"/>
        <w:rPr>
          <w:highlight w:val="yellow"/>
        </w:rPr>
      </w:pPr>
    </w:p>
    <w:p w:rsidR="00454533" w:rsidRDefault="00982C2D">
      <w:pPr>
        <w:widowControl/>
        <w:jc w:val="left"/>
        <w:rPr>
          <w:rFonts w:ascii="仿宋_GB2312" w:eastAsia="仿宋_GB2312"/>
          <w:b/>
          <w:sz w:val="32"/>
          <w:szCs w:val="32"/>
        </w:rPr>
      </w:pPr>
      <w:r>
        <w:rPr>
          <w:rFonts w:ascii="仿宋_GB2312" w:eastAsia="仿宋_GB2312"/>
          <w:b/>
          <w:sz w:val="32"/>
          <w:szCs w:val="32"/>
        </w:rPr>
        <w:br w:type="page"/>
      </w:r>
    </w:p>
    <w:p w:rsidR="00454533" w:rsidRDefault="00982C2D">
      <w:pPr>
        <w:numPr>
          <w:ilvl w:val="0"/>
          <w:numId w:val="6"/>
        </w:numPr>
        <w:spacing w:line="600" w:lineRule="exact"/>
        <w:ind w:firstLineChars="150" w:firstLine="660"/>
        <w:jc w:val="center"/>
        <w:outlineLvl w:val="0"/>
        <w:rPr>
          <w:rStyle w:val="1Char"/>
          <w:rFonts w:ascii="黑体" w:eastAsia="黑体" w:hAnsi="黑体"/>
          <w:b w:val="0"/>
        </w:rPr>
      </w:pPr>
      <w:bookmarkStart w:id="70" w:name="_Toc32535"/>
      <w:bookmarkStart w:id="71" w:name="_Toc15377225"/>
      <w:bookmarkStart w:id="72"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70"/>
      <w:bookmarkEnd w:id="71"/>
      <w:bookmarkEnd w:id="72"/>
    </w:p>
    <w:p w:rsidR="00454533" w:rsidRDefault="00454533">
      <w:pPr>
        <w:spacing w:line="600" w:lineRule="exact"/>
        <w:jc w:val="left"/>
        <w:rPr>
          <w:rFonts w:ascii="宋体"/>
          <w:b/>
          <w:sz w:val="44"/>
          <w:szCs w:val="44"/>
        </w:rPr>
      </w:pP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454533" w:rsidRDefault="00982C2D">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454533" w:rsidRDefault="00982C2D">
      <w:pPr>
        <w:spacing w:line="600" w:lineRule="exact"/>
        <w:ind w:firstLineChars="200" w:firstLine="640"/>
        <w:rPr>
          <w:rFonts w:ascii="仿宋_GB2312" w:eastAsia="仿宋_GB2312" w:cs="仿宋"/>
          <w:color w:val="000000"/>
          <w:kern w:val="0"/>
          <w:sz w:val="32"/>
          <w:szCs w:val="32"/>
        </w:rPr>
      </w:pPr>
      <w:r>
        <w:rPr>
          <w:rFonts w:ascii="仿宋_GB2312" w:eastAsia="仿宋_GB2312"/>
          <w:color w:val="000000"/>
          <w:sz w:val="32"/>
          <w:szCs w:val="32"/>
        </w:rPr>
        <w:t>9</w:t>
      </w:r>
      <w:r>
        <w:rPr>
          <w:rFonts w:ascii="仿宋_GB2312" w:eastAsia="仿宋_GB2312" w:hint="eastAsia"/>
          <w:color w:val="000000"/>
          <w:sz w:val="32"/>
          <w:szCs w:val="32"/>
        </w:rPr>
        <w:t>、</w:t>
      </w:r>
      <w:r>
        <w:rPr>
          <w:b/>
        </w:rPr>
        <w:t>一</w:t>
      </w:r>
      <w:r>
        <w:rPr>
          <w:rFonts w:ascii="仿宋_GB2312" w:eastAsia="仿宋_GB2312" w:cs="仿宋" w:hint="eastAsia"/>
          <w:color w:val="000000"/>
          <w:kern w:val="0"/>
          <w:sz w:val="32"/>
          <w:szCs w:val="32"/>
        </w:rPr>
        <w:t>般公共预算拨款收入：县级财政当年拨付的资金收入。</w:t>
      </w:r>
    </w:p>
    <w:p w:rsidR="00454533" w:rsidRDefault="00982C2D">
      <w:pPr>
        <w:spacing w:line="600" w:lineRule="exact"/>
        <w:ind w:firstLineChars="200" w:firstLine="640"/>
        <w:rPr>
          <w:rFonts w:ascii="仿宋_GB2312" w:eastAsia="仿宋_GB2312" w:cs="仿宋"/>
          <w:color w:val="000000"/>
          <w:kern w:val="0"/>
          <w:sz w:val="32"/>
          <w:szCs w:val="32"/>
        </w:rPr>
      </w:pPr>
      <w:r>
        <w:rPr>
          <w:rFonts w:ascii="仿宋_GB2312" w:eastAsia="仿宋_GB2312" w:cs="仿宋" w:hint="eastAsia"/>
          <w:color w:val="000000"/>
          <w:kern w:val="0"/>
          <w:sz w:val="32"/>
          <w:szCs w:val="32"/>
        </w:rPr>
        <w:t>10、基本支出：为保证事业单位正常运转，完成日常工作任务而发生的人员支出和公用支出。</w:t>
      </w:r>
    </w:p>
    <w:p w:rsidR="00454533" w:rsidRDefault="00982C2D">
      <w:pPr>
        <w:spacing w:line="600" w:lineRule="exact"/>
        <w:ind w:firstLineChars="200" w:firstLine="640"/>
        <w:rPr>
          <w:rFonts w:ascii="仿宋_GB2312" w:eastAsia="仿宋_GB2312" w:cs="仿宋"/>
          <w:color w:val="000000"/>
          <w:kern w:val="0"/>
          <w:sz w:val="32"/>
          <w:szCs w:val="32"/>
        </w:rPr>
      </w:pPr>
      <w:r>
        <w:rPr>
          <w:rFonts w:ascii="仿宋_GB2312" w:eastAsia="仿宋_GB2312" w:cs="仿宋" w:hint="eastAsia"/>
          <w:color w:val="000000"/>
          <w:kern w:val="0"/>
          <w:sz w:val="32"/>
          <w:szCs w:val="32"/>
        </w:rPr>
        <w:t>11、项目支出：在基本支出之外为完成特定行政任务和事业发展目标所发生的支出。</w:t>
      </w:r>
    </w:p>
    <w:p w:rsidR="00454533" w:rsidRDefault="00982C2D">
      <w:pPr>
        <w:spacing w:line="600" w:lineRule="exact"/>
        <w:ind w:firstLineChars="200" w:firstLine="640"/>
        <w:rPr>
          <w:rFonts w:ascii="仿宋_GB2312" w:eastAsia="仿宋_GB2312" w:cs="仿宋"/>
          <w:color w:val="000000"/>
          <w:kern w:val="0"/>
          <w:sz w:val="32"/>
          <w:szCs w:val="32"/>
        </w:rPr>
      </w:pPr>
      <w:r>
        <w:rPr>
          <w:rFonts w:ascii="仿宋_GB2312" w:eastAsia="仿宋_GB2312" w:cs="仿宋" w:hint="eastAsia"/>
          <w:color w:val="000000"/>
          <w:kern w:val="0"/>
          <w:sz w:val="32"/>
          <w:szCs w:val="32"/>
        </w:rPr>
        <w:t>12、业务运行经费：为保障事业单位运行用于购买货物</w:t>
      </w:r>
      <w:r>
        <w:rPr>
          <w:rFonts w:ascii="仿宋_GB2312" w:eastAsia="仿宋_GB2312" w:cs="仿宋" w:hint="eastAsia"/>
          <w:color w:val="000000"/>
          <w:kern w:val="0"/>
          <w:sz w:val="32"/>
          <w:szCs w:val="32"/>
        </w:rPr>
        <w:lastRenderedPageBreak/>
        <w:t>和服务的各项资金。包括办公及办公费、水费、电费、印刷费、邮电费、差旅费、会议费等费用开支。</w:t>
      </w:r>
    </w:p>
    <w:p w:rsidR="00454533" w:rsidRPr="00EA45C6" w:rsidRDefault="00982C2D" w:rsidP="00EA45C6">
      <w:pPr>
        <w:spacing w:line="600" w:lineRule="exact"/>
        <w:ind w:firstLineChars="200" w:firstLine="640"/>
        <w:rPr>
          <w:rFonts w:eastAsia="仿宋_GB2312"/>
          <w:color w:val="000000"/>
          <w:kern w:val="0"/>
          <w:sz w:val="32"/>
          <w:szCs w:val="32"/>
        </w:rPr>
      </w:pPr>
      <w:r>
        <w:rPr>
          <w:rFonts w:ascii="仿宋_GB2312" w:eastAsia="仿宋_GB2312" w:cs="仿宋" w:hint="eastAsia"/>
          <w:color w:val="000000"/>
          <w:kern w:val="0"/>
          <w:sz w:val="32"/>
          <w:szCs w:val="32"/>
        </w:rPr>
        <w:t>13、</w:t>
      </w:r>
      <w:r w:rsidR="00EA45C6">
        <w:rPr>
          <w:rFonts w:eastAsia="仿宋_GB2312"/>
          <w:color w:val="000000"/>
          <w:kern w:val="0"/>
          <w:sz w:val="32"/>
          <w:szCs w:val="32"/>
        </w:rPr>
        <w:t>“</w:t>
      </w:r>
      <w:r w:rsidR="00EA45C6">
        <w:rPr>
          <w:rFonts w:eastAsia="仿宋_GB2312"/>
          <w:color w:val="000000"/>
          <w:kern w:val="0"/>
          <w:sz w:val="32"/>
          <w:szCs w:val="32"/>
        </w:rPr>
        <w:t>三公</w:t>
      </w:r>
      <w:r w:rsidR="00EA45C6">
        <w:rPr>
          <w:rFonts w:eastAsia="仿宋_GB2312"/>
          <w:color w:val="000000"/>
          <w:kern w:val="0"/>
          <w:sz w:val="32"/>
          <w:szCs w:val="32"/>
        </w:rPr>
        <w:t>”</w:t>
      </w:r>
      <w:r w:rsidR="00EA45C6">
        <w:rPr>
          <w:rFonts w:eastAsia="仿宋_GB2312"/>
          <w:color w:val="000000"/>
          <w:kern w:val="0"/>
          <w:sz w:val="32"/>
          <w:szCs w:val="32"/>
        </w:rPr>
        <w:t>经费：纳入预决算管理的</w:t>
      </w:r>
      <w:r w:rsidR="00EA45C6">
        <w:rPr>
          <w:rFonts w:eastAsia="仿宋_GB2312"/>
          <w:color w:val="000000"/>
          <w:kern w:val="0"/>
          <w:sz w:val="32"/>
          <w:szCs w:val="32"/>
        </w:rPr>
        <w:t>“</w:t>
      </w:r>
      <w:r w:rsidR="00EA45C6">
        <w:rPr>
          <w:rFonts w:eastAsia="仿宋_GB2312"/>
          <w:color w:val="000000"/>
          <w:kern w:val="0"/>
          <w:sz w:val="32"/>
          <w:szCs w:val="32"/>
        </w:rPr>
        <w:t>三公</w:t>
      </w:r>
      <w:r w:rsidR="00EA45C6">
        <w:rPr>
          <w:rFonts w:eastAsia="仿宋_GB2312"/>
          <w:color w:val="000000"/>
          <w:kern w:val="0"/>
          <w:sz w:val="32"/>
          <w:szCs w:val="32"/>
        </w:rPr>
        <w:t>”</w:t>
      </w:r>
      <w:r w:rsidR="00EA45C6">
        <w:rPr>
          <w:rFonts w:eastAsia="仿宋_GB2312"/>
          <w:color w:val="000000"/>
          <w:kern w:val="0"/>
          <w:sz w:val="32"/>
          <w:szCs w:val="32"/>
        </w:rPr>
        <w:t>经费，是指部门用财政拨款安排的因公出国（境）费、公务用车购置及运行费和公务接待费。其中，因公出国（境）</w:t>
      </w:r>
      <w:proofErr w:type="gramStart"/>
      <w:r w:rsidR="00EA45C6">
        <w:rPr>
          <w:rFonts w:eastAsia="仿宋_GB2312"/>
          <w:color w:val="000000"/>
          <w:kern w:val="0"/>
          <w:sz w:val="32"/>
          <w:szCs w:val="32"/>
        </w:rPr>
        <w:t>费反映</w:t>
      </w:r>
      <w:proofErr w:type="gramEnd"/>
      <w:r w:rsidR="00EA45C6">
        <w:rPr>
          <w:rFonts w:eastAsia="仿宋_GB2312"/>
          <w:color w:val="000000"/>
          <w:kern w:val="0"/>
          <w:sz w:val="32"/>
          <w:szCs w:val="32"/>
        </w:rPr>
        <w:t>单位公务出国（境）的国际旅费、国外城市间交通费、住宿费、伙食费、培训费、公杂费等支出；公务用车购置及运行</w:t>
      </w:r>
      <w:proofErr w:type="gramStart"/>
      <w:r w:rsidR="00EA45C6">
        <w:rPr>
          <w:rFonts w:eastAsia="仿宋_GB2312"/>
          <w:color w:val="000000"/>
          <w:kern w:val="0"/>
          <w:sz w:val="32"/>
          <w:szCs w:val="32"/>
        </w:rPr>
        <w:t>费反映</w:t>
      </w:r>
      <w:proofErr w:type="gramEnd"/>
      <w:r w:rsidR="00EA45C6">
        <w:rPr>
          <w:rFonts w:eastAsia="仿宋_GB2312"/>
          <w:color w:val="000000"/>
          <w:kern w:val="0"/>
          <w:sz w:val="32"/>
          <w:szCs w:val="32"/>
        </w:rPr>
        <w:t>单位公务用车车辆购置支出（</w:t>
      </w:r>
      <w:proofErr w:type="gramStart"/>
      <w:r w:rsidR="00EA45C6">
        <w:rPr>
          <w:rFonts w:eastAsia="仿宋_GB2312"/>
          <w:color w:val="000000"/>
          <w:kern w:val="0"/>
          <w:sz w:val="32"/>
          <w:szCs w:val="32"/>
        </w:rPr>
        <w:t>含车辆</w:t>
      </w:r>
      <w:proofErr w:type="gramEnd"/>
      <w:r w:rsidR="00EA45C6">
        <w:rPr>
          <w:rFonts w:eastAsia="仿宋_GB2312"/>
          <w:color w:val="000000"/>
          <w:kern w:val="0"/>
          <w:sz w:val="32"/>
          <w:szCs w:val="32"/>
        </w:rPr>
        <w:t>购置税）及租用费、燃料费、维修费、过路过桥费、保险费等支出；公务接待</w:t>
      </w:r>
      <w:proofErr w:type="gramStart"/>
      <w:r w:rsidR="00EA45C6">
        <w:rPr>
          <w:rFonts w:eastAsia="仿宋_GB2312"/>
          <w:color w:val="000000"/>
          <w:kern w:val="0"/>
          <w:sz w:val="32"/>
          <w:szCs w:val="32"/>
        </w:rPr>
        <w:t>费反映</w:t>
      </w:r>
      <w:proofErr w:type="gramEnd"/>
      <w:r w:rsidR="00EA45C6">
        <w:rPr>
          <w:rFonts w:eastAsia="仿宋_GB2312"/>
          <w:color w:val="000000"/>
          <w:kern w:val="0"/>
          <w:sz w:val="32"/>
          <w:szCs w:val="32"/>
        </w:rPr>
        <w:t>单位按规定开支的各类公务接待（含外宾接待）支出。</w:t>
      </w:r>
    </w:p>
    <w:p w:rsidR="00454533" w:rsidRPr="00EA45C6" w:rsidRDefault="00982C2D" w:rsidP="00EA45C6">
      <w:pPr>
        <w:pStyle w:val="Default"/>
        <w:spacing w:line="560" w:lineRule="exact"/>
        <w:ind w:firstLineChars="200" w:firstLine="640"/>
        <w:rPr>
          <w:rFonts w:eastAsia="仿宋_GB2312"/>
          <w:color w:val="auto"/>
          <w:sz w:val="32"/>
          <w:szCs w:val="32"/>
        </w:rPr>
      </w:pPr>
      <w:r>
        <w:rPr>
          <w:rFonts w:ascii="仿宋_GB2312" w:eastAsia="仿宋_GB2312" w:hint="eastAsia"/>
          <w:sz w:val="32"/>
          <w:szCs w:val="32"/>
        </w:rPr>
        <w:t>14、</w:t>
      </w:r>
      <w:r w:rsidR="00EA45C6" w:rsidRPr="00BD0C9E">
        <w:rPr>
          <w:rFonts w:eastAsia="仿宋_GB2312" w:hint="eastAsia"/>
          <w:sz w:val="32"/>
          <w:szCs w:val="32"/>
        </w:rPr>
        <w:t>教</w:t>
      </w:r>
      <w:r w:rsidR="00EA45C6" w:rsidRPr="003B4ED6">
        <w:rPr>
          <w:rFonts w:eastAsia="仿宋_GB2312" w:hint="eastAsia"/>
          <w:color w:val="auto"/>
          <w:sz w:val="32"/>
          <w:szCs w:val="32"/>
        </w:rPr>
        <w:t>育支出（</w:t>
      </w:r>
      <w:r w:rsidR="00EA45C6" w:rsidRPr="003B4ED6">
        <w:rPr>
          <w:rFonts w:eastAsia="仿宋_GB2312" w:hint="eastAsia"/>
          <w:color w:val="auto"/>
          <w:sz w:val="32"/>
          <w:szCs w:val="32"/>
        </w:rPr>
        <w:t>205</w:t>
      </w:r>
      <w:r w:rsidR="00EA45C6" w:rsidRPr="003B4ED6">
        <w:rPr>
          <w:rFonts w:eastAsia="仿宋_GB2312" w:hint="eastAsia"/>
          <w:color w:val="auto"/>
          <w:sz w:val="32"/>
          <w:szCs w:val="32"/>
        </w:rPr>
        <w:t>类）普通教育（</w:t>
      </w:r>
      <w:r w:rsidR="00EA45C6" w:rsidRPr="003B4ED6">
        <w:rPr>
          <w:rFonts w:eastAsia="仿宋_GB2312" w:hint="eastAsia"/>
          <w:color w:val="auto"/>
          <w:sz w:val="32"/>
          <w:szCs w:val="32"/>
        </w:rPr>
        <w:t>02</w:t>
      </w:r>
      <w:r w:rsidR="00EA45C6" w:rsidRPr="003B4ED6">
        <w:rPr>
          <w:rFonts w:eastAsia="仿宋_GB2312" w:hint="eastAsia"/>
          <w:color w:val="auto"/>
          <w:sz w:val="32"/>
          <w:szCs w:val="32"/>
        </w:rPr>
        <w:t>款）初中教育（</w:t>
      </w:r>
      <w:r w:rsidR="00EA45C6" w:rsidRPr="003B4ED6">
        <w:rPr>
          <w:rFonts w:eastAsia="仿宋_GB2312" w:hint="eastAsia"/>
          <w:color w:val="auto"/>
          <w:sz w:val="32"/>
          <w:szCs w:val="32"/>
        </w:rPr>
        <w:t>03</w:t>
      </w:r>
      <w:r w:rsidR="00EA45C6" w:rsidRPr="003B4ED6">
        <w:rPr>
          <w:rFonts w:eastAsia="仿宋_GB2312" w:hint="eastAsia"/>
          <w:color w:val="auto"/>
          <w:sz w:val="32"/>
          <w:szCs w:val="32"/>
        </w:rPr>
        <w:t>项）：反映各部门举办的初中教育支出。政府各部门对社会组织等举办的初中的资助，如捐赠、补贴等，也在本科目中反映。</w:t>
      </w:r>
    </w:p>
    <w:p w:rsidR="00EA45C6" w:rsidRDefault="00982C2D" w:rsidP="00EA45C6">
      <w:pPr>
        <w:spacing w:line="600" w:lineRule="exact"/>
        <w:ind w:firstLineChars="200" w:firstLine="640"/>
        <w:rPr>
          <w:rFonts w:eastAsia="仿宋_GB2312"/>
          <w:color w:val="000000"/>
          <w:kern w:val="0"/>
          <w:sz w:val="32"/>
          <w:szCs w:val="32"/>
        </w:rPr>
      </w:pPr>
      <w:r>
        <w:rPr>
          <w:rFonts w:ascii="仿宋_GB2312" w:eastAsia="仿宋_GB2312" w:cs="仿宋" w:hint="eastAsia"/>
          <w:color w:val="000000"/>
          <w:kern w:val="0"/>
          <w:sz w:val="32"/>
          <w:szCs w:val="32"/>
        </w:rPr>
        <w:t>15、</w:t>
      </w:r>
      <w:r w:rsidR="00EA45C6" w:rsidRPr="00BD0C9E">
        <w:rPr>
          <w:rFonts w:eastAsia="仿宋_GB2312" w:hint="eastAsia"/>
          <w:color w:val="000000"/>
          <w:kern w:val="0"/>
          <w:sz w:val="32"/>
          <w:szCs w:val="32"/>
        </w:rPr>
        <w:t>社会保障和就业支出（</w:t>
      </w:r>
      <w:r w:rsidR="00EA45C6" w:rsidRPr="00BD0C9E">
        <w:rPr>
          <w:rFonts w:eastAsia="仿宋_GB2312" w:hint="eastAsia"/>
          <w:color w:val="000000"/>
          <w:kern w:val="0"/>
          <w:sz w:val="32"/>
          <w:szCs w:val="32"/>
        </w:rPr>
        <w:t>208</w:t>
      </w:r>
      <w:r w:rsidR="00EA45C6" w:rsidRPr="00BD0C9E">
        <w:rPr>
          <w:rFonts w:eastAsia="仿宋_GB2312" w:hint="eastAsia"/>
          <w:color w:val="000000"/>
          <w:kern w:val="0"/>
          <w:sz w:val="32"/>
          <w:szCs w:val="32"/>
        </w:rPr>
        <w:t>类）行政事业单位养老支出（</w:t>
      </w:r>
      <w:r w:rsidR="00EA45C6" w:rsidRPr="00BD0C9E">
        <w:rPr>
          <w:rFonts w:eastAsia="仿宋_GB2312" w:hint="eastAsia"/>
          <w:color w:val="000000"/>
          <w:kern w:val="0"/>
          <w:sz w:val="32"/>
          <w:szCs w:val="32"/>
        </w:rPr>
        <w:t>05</w:t>
      </w:r>
      <w:r w:rsidR="00EA45C6" w:rsidRPr="00BD0C9E">
        <w:rPr>
          <w:rFonts w:eastAsia="仿宋_GB2312" w:hint="eastAsia"/>
          <w:color w:val="000000"/>
          <w:kern w:val="0"/>
          <w:sz w:val="32"/>
          <w:szCs w:val="32"/>
        </w:rPr>
        <w:t>款）机关事业单位基本养老保险缴费支出（</w:t>
      </w:r>
      <w:r w:rsidR="00EA45C6" w:rsidRPr="00BD0C9E">
        <w:rPr>
          <w:rFonts w:eastAsia="仿宋_GB2312" w:hint="eastAsia"/>
          <w:color w:val="000000"/>
          <w:kern w:val="0"/>
          <w:sz w:val="32"/>
          <w:szCs w:val="32"/>
        </w:rPr>
        <w:t>05</w:t>
      </w:r>
      <w:r w:rsidR="00EA45C6" w:rsidRPr="00BD0C9E">
        <w:rPr>
          <w:rFonts w:eastAsia="仿宋_GB2312" w:hint="eastAsia"/>
          <w:color w:val="000000"/>
          <w:kern w:val="0"/>
          <w:sz w:val="32"/>
          <w:szCs w:val="32"/>
        </w:rPr>
        <w:t>项）：指反映机关事业单位实施养老保险制度由单位实际缴纳的基本养老保险费支出。</w:t>
      </w:r>
    </w:p>
    <w:p w:rsidR="00EA45C6" w:rsidRPr="00BD0C9E" w:rsidRDefault="00EA45C6" w:rsidP="00EA45C6">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16</w:t>
      </w:r>
      <w:r w:rsidRPr="00BD0C9E">
        <w:rPr>
          <w:rFonts w:eastAsia="仿宋_GB2312" w:hint="eastAsia"/>
          <w:color w:val="000000"/>
          <w:kern w:val="0"/>
          <w:sz w:val="32"/>
          <w:szCs w:val="32"/>
        </w:rPr>
        <w:t>.</w:t>
      </w:r>
      <w:r w:rsidRPr="00BD0C9E">
        <w:rPr>
          <w:rFonts w:eastAsia="仿宋_GB2312" w:hint="eastAsia"/>
          <w:color w:val="000000"/>
          <w:kern w:val="0"/>
          <w:sz w:val="32"/>
          <w:szCs w:val="32"/>
        </w:rPr>
        <w:t>社会保障和就业支出（</w:t>
      </w:r>
      <w:r w:rsidRPr="00BD0C9E">
        <w:rPr>
          <w:rFonts w:eastAsia="仿宋_GB2312" w:hint="eastAsia"/>
          <w:color w:val="000000"/>
          <w:kern w:val="0"/>
          <w:sz w:val="32"/>
          <w:szCs w:val="32"/>
        </w:rPr>
        <w:t>208</w:t>
      </w:r>
      <w:r w:rsidRPr="00BD0C9E">
        <w:rPr>
          <w:rFonts w:eastAsia="仿宋_GB2312" w:hint="eastAsia"/>
          <w:color w:val="000000"/>
          <w:kern w:val="0"/>
          <w:sz w:val="32"/>
          <w:szCs w:val="32"/>
        </w:rPr>
        <w:t>类）行政事业单位养老支出（</w:t>
      </w:r>
      <w:r w:rsidRPr="00BD0C9E">
        <w:rPr>
          <w:rFonts w:eastAsia="仿宋_GB2312" w:hint="eastAsia"/>
          <w:color w:val="000000"/>
          <w:kern w:val="0"/>
          <w:sz w:val="32"/>
          <w:szCs w:val="32"/>
        </w:rPr>
        <w:t>05</w:t>
      </w:r>
      <w:r w:rsidRPr="00BD0C9E">
        <w:rPr>
          <w:rFonts w:eastAsia="仿宋_GB2312" w:hint="eastAsia"/>
          <w:color w:val="000000"/>
          <w:kern w:val="0"/>
          <w:sz w:val="32"/>
          <w:szCs w:val="32"/>
        </w:rPr>
        <w:t>款）机关事业单位职业年金缴费支出（</w:t>
      </w:r>
      <w:r w:rsidRPr="00BD0C9E">
        <w:rPr>
          <w:rFonts w:eastAsia="仿宋_GB2312" w:hint="eastAsia"/>
          <w:color w:val="000000"/>
          <w:kern w:val="0"/>
          <w:sz w:val="32"/>
          <w:szCs w:val="32"/>
        </w:rPr>
        <w:t>06</w:t>
      </w:r>
      <w:r w:rsidRPr="00BD0C9E">
        <w:rPr>
          <w:rFonts w:eastAsia="仿宋_GB2312" w:hint="eastAsia"/>
          <w:color w:val="000000"/>
          <w:kern w:val="0"/>
          <w:sz w:val="32"/>
          <w:szCs w:val="32"/>
        </w:rPr>
        <w:t>项）：反映机关事业单位实施养老保险制度由单位实际缴纳的职业年金支出。</w:t>
      </w:r>
    </w:p>
    <w:p w:rsidR="00454533" w:rsidRPr="00EA45C6" w:rsidRDefault="00454533">
      <w:pPr>
        <w:ind w:firstLineChars="200" w:firstLine="640"/>
        <w:rPr>
          <w:rFonts w:ascii="仿宋_GB2312" w:eastAsia="仿宋_GB2312" w:cs="仿宋"/>
          <w:color w:val="000000"/>
          <w:kern w:val="0"/>
          <w:sz w:val="32"/>
          <w:szCs w:val="32"/>
        </w:rPr>
      </w:pPr>
    </w:p>
    <w:p w:rsidR="00454533" w:rsidRDefault="00982C2D">
      <w:pPr>
        <w:ind w:firstLineChars="200" w:firstLine="640"/>
        <w:rPr>
          <w:rFonts w:ascii="仿宋_GB2312" w:eastAsia="仿宋_GB2312"/>
          <w:sz w:val="32"/>
          <w:szCs w:val="32"/>
        </w:rPr>
      </w:pPr>
      <w:r>
        <w:rPr>
          <w:rFonts w:ascii="仿宋_GB2312" w:eastAsia="仿宋_GB2312" w:hint="eastAsia"/>
          <w:sz w:val="32"/>
          <w:szCs w:val="32"/>
        </w:rPr>
        <w:lastRenderedPageBreak/>
        <w:t>1</w:t>
      </w:r>
      <w:r w:rsidR="00EA45C6">
        <w:rPr>
          <w:rFonts w:ascii="仿宋_GB2312" w:eastAsia="仿宋_GB2312" w:hint="eastAsia"/>
          <w:sz w:val="32"/>
          <w:szCs w:val="32"/>
        </w:rPr>
        <w:t>7</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EA45C6" w:rsidRDefault="00EA45C6" w:rsidP="00EA45C6">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18.</w:t>
      </w:r>
      <w:r w:rsidRPr="00BD0C9E">
        <w:rPr>
          <w:rFonts w:eastAsia="仿宋_GB2312" w:hint="eastAsia"/>
          <w:color w:val="000000"/>
          <w:kern w:val="0"/>
          <w:sz w:val="32"/>
          <w:szCs w:val="32"/>
        </w:rPr>
        <w:t>住房保障支出（</w:t>
      </w:r>
      <w:r w:rsidRPr="00BD0C9E">
        <w:rPr>
          <w:rFonts w:eastAsia="仿宋_GB2312" w:hint="eastAsia"/>
          <w:color w:val="000000"/>
          <w:kern w:val="0"/>
          <w:sz w:val="32"/>
          <w:szCs w:val="32"/>
        </w:rPr>
        <w:t>221</w:t>
      </w:r>
      <w:r w:rsidRPr="00BD0C9E">
        <w:rPr>
          <w:rFonts w:eastAsia="仿宋_GB2312" w:hint="eastAsia"/>
          <w:color w:val="000000"/>
          <w:kern w:val="0"/>
          <w:sz w:val="32"/>
          <w:szCs w:val="32"/>
        </w:rPr>
        <w:t>类）住房改革支出（</w:t>
      </w:r>
      <w:r w:rsidRPr="00BD0C9E">
        <w:rPr>
          <w:rFonts w:eastAsia="仿宋_GB2312" w:hint="eastAsia"/>
          <w:color w:val="000000"/>
          <w:kern w:val="0"/>
          <w:sz w:val="32"/>
          <w:szCs w:val="32"/>
        </w:rPr>
        <w:t>02</w:t>
      </w:r>
      <w:r w:rsidRPr="00BD0C9E">
        <w:rPr>
          <w:rFonts w:eastAsia="仿宋_GB2312" w:hint="eastAsia"/>
          <w:color w:val="000000"/>
          <w:kern w:val="0"/>
          <w:sz w:val="32"/>
          <w:szCs w:val="32"/>
        </w:rPr>
        <w:t>款）住房公积金（</w:t>
      </w:r>
      <w:r w:rsidRPr="00BD0C9E">
        <w:rPr>
          <w:rFonts w:eastAsia="仿宋_GB2312" w:hint="eastAsia"/>
          <w:color w:val="000000"/>
          <w:kern w:val="0"/>
          <w:sz w:val="32"/>
          <w:szCs w:val="32"/>
        </w:rPr>
        <w:t>01</w:t>
      </w:r>
      <w:r w:rsidRPr="00BD0C9E">
        <w:rPr>
          <w:rFonts w:eastAsia="仿宋_GB2312" w:hint="eastAsia"/>
          <w:color w:val="000000"/>
          <w:kern w:val="0"/>
          <w:sz w:val="32"/>
          <w:szCs w:val="32"/>
        </w:rPr>
        <w:t>项）：指反映行政事业单位按照人力资源和社会保障部、财政部规定的基本工资和津贴补贴以及规定比例为职工缴纳的住房公积金。</w:t>
      </w:r>
    </w:p>
    <w:p w:rsidR="00EA45C6" w:rsidRPr="00EA45C6" w:rsidRDefault="00EA45C6" w:rsidP="00EA45C6">
      <w:pPr>
        <w:pStyle w:val="a0"/>
        <w:spacing w:before="93"/>
      </w:pPr>
    </w:p>
    <w:p w:rsidR="00454533" w:rsidRDefault="00454533">
      <w:pPr>
        <w:ind w:firstLineChars="200" w:firstLine="880"/>
        <w:jc w:val="center"/>
        <w:rPr>
          <w:rFonts w:ascii="黑体" w:eastAsia="黑体" w:hAnsi="黑体"/>
          <w:sz w:val="44"/>
          <w:szCs w:val="44"/>
        </w:rPr>
      </w:pPr>
      <w:bookmarkStart w:id="73" w:name="_Toc15396614"/>
      <w:bookmarkStart w:id="74" w:name="_Toc15377226"/>
    </w:p>
    <w:p w:rsidR="00454533" w:rsidRDefault="00454533">
      <w:pPr>
        <w:ind w:firstLineChars="200" w:firstLine="880"/>
        <w:jc w:val="center"/>
        <w:rPr>
          <w:rFonts w:ascii="黑体" w:eastAsia="黑体" w:hAnsi="黑体"/>
          <w:sz w:val="44"/>
          <w:szCs w:val="44"/>
        </w:rPr>
      </w:pPr>
    </w:p>
    <w:p w:rsidR="00454533" w:rsidRDefault="00454533">
      <w:pPr>
        <w:ind w:firstLineChars="200" w:firstLine="880"/>
        <w:jc w:val="center"/>
        <w:rPr>
          <w:rFonts w:ascii="黑体" w:eastAsia="黑体" w:hAnsi="黑体"/>
          <w:sz w:val="44"/>
          <w:szCs w:val="44"/>
        </w:rPr>
      </w:pPr>
    </w:p>
    <w:p w:rsidR="00454533" w:rsidRDefault="00454533">
      <w:pPr>
        <w:ind w:firstLineChars="200" w:firstLine="880"/>
        <w:jc w:val="center"/>
        <w:rPr>
          <w:rFonts w:ascii="黑体" w:eastAsia="黑体" w:hAnsi="黑体"/>
          <w:sz w:val="44"/>
          <w:szCs w:val="44"/>
        </w:rPr>
      </w:pPr>
    </w:p>
    <w:p w:rsidR="00454533" w:rsidRDefault="00454533">
      <w:pPr>
        <w:ind w:firstLineChars="200" w:firstLine="880"/>
        <w:jc w:val="center"/>
        <w:rPr>
          <w:rFonts w:ascii="黑体" w:eastAsia="黑体" w:hAnsi="黑体"/>
          <w:sz w:val="44"/>
          <w:szCs w:val="44"/>
        </w:rPr>
      </w:pPr>
    </w:p>
    <w:p w:rsidR="00454533" w:rsidRDefault="00454533">
      <w:pPr>
        <w:ind w:firstLineChars="200" w:firstLine="880"/>
        <w:jc w:val="center"/>
        <w:rPr>
          <w:rFonts w:ascii="黑体" w:eastAsia="黑体" w:hAnsi="黑体"/>
          <w:sz w:val="44"/>
          <w:szCs w:val="44"/>
        </w:rPr>
      </w:pPr>
    </w:p>
    <w:p w:rsidR="00454533" w:rsidRDefault="00982C2D">
      <w:pPr>
        <w:ind w:firstLineChars="200" w:firstLine="880"/>
        <w:jc w:val="center"/>
        <w:rPr>
          <w:rStyle w:val="1Char"/>
          <w:rFonts w:ascii="黑体" w:eastAsia="黑体" w:hAnsi="黑体"/>
          <w:b w:val="0"/>
        </w:rPr>
      </w:pPr>
      <w:r>
        <w:rPr>
          <w:rFonts w:ascii="黑体" w:eastAsia="黑体" w:hAnsi="黑体" w:hint="eastAsia"/>
          <w:sz w:val="44"/>
          <w:szCs w:val="44"/>
        </w:rPr>
        <w:t>第</w:t>
      </w:r>
      <w:r>
        <w:rPr>
          <w:rStyle w:val="1Char"/>
          <w:rFonts w:ascii="黑体" w:eastAsia="黑体" w:hAnsi="黑体" w:hint="eastAsia"/>
          <w:b w:val="0"/>
        </w:rPr>
        <w:t>四部分 附件</w:t>
      </w:r>
      <w:bookmarkEnd w:id="73"/>
    </w:p>
    <w:tbl>
      <w:tblPr>
        <w:tblpPr w:leftFromText="180" w:rightFromText="180" w:vertAnchor="text" w:horzAnchor="page" w:tblpX="1281" w:tblpY="660"/>
        <w:tblOverlap w:val="never"/>
        <w:tblW w:w="9811" w:type="dxa"/>
        <w:tblLayout w:type="fixed"/>
        <w:tblLook w:val="04A0" w:firstRow="1" w:lastRow="0" w:firstColumn="1" w:lastColumn="0" w:noHBand="0" w:noVBand="1"/>
      </w:tblPr>
      <w:tblGrid>
        <w:gridCol w:w="785"/>
        <w:gridCol w:w="1365"/>
        <w:gridCol w:w="1350"/>
        <w:gridCol w:w="1815"/>
        <w:gridCol w:w="3195"/>
        <w:gridCol w:w="1065"/>
        <w:gridCol w:w="236"/>
      </w:tblGrid>
      <w:tr w:rsidR="00454533">
        <w:trPr>
          <w:trHeight w:val="675"/>
        </w:trPr>
        <w:tc>
          <w:tcPr>
            <w:tcW w:w="9575" w:type="dxa"/>
            <w:gridSpan w:val="6"/>
            <w:tcBorders>
              <w:top w:val="nil"/>
              <w:left w:val="nil"/>
              <w:bottom w:val="nil"/>
              <w:right w:val="nil"/>
            </w:tcBorders>
            <w:shd w:val="clear" w:color="auto" w:fill="auto"/>
            <w:vAlign w:val="center"/>
          </w:tcPr>
          <w:p w:rsidR="00454533" w:rsidRDefault="00982C2D">
            <w:pPr>
              <w:widowControl/>
              <w:jc w:val="center"/>
              <w:textAlignment w:val="center"/>
              <w:rPr>
                <w:rFonts w:ascii="宋体" w:hAnsi="宋体" w:cs="宋体"/>
                <w:b/>
                <w:sz w:val="32"/>
                <w:szCs w:val="32"/>
              </w:rPr>
            </w:pPr>
            <w:bookmarkStart w:id="75" w:name="_Toc15396618"/>
            <w:r>
              <w:rPr>
                <w:rFonts w:ascii="宋体" w:hAnsi="宋体" w:cs="宋体" w:hint="eastAsia"/>
                <w:b/>
                <w:sz w:val="32"/>
                <w:szCs w:val="32"/>
              </w:rPr>
              <w:t>部门预算</w:t>
            </w:r>
            <w:r w:rsidR="00EA45C6">
              <w:rPr>
                <w:rFonts w:ascii="宋体" w:hAnsi="宋体" w:cs="宋体" w:hint="eastAsia"/>
                <w:b/>
                <w:sz w:val="32"/>
                <w:szCs w:val="32"/>
              </w:rPr>
              <w:t>整体</w:t>
            </w:r>
            <w:r>
              <w:rPr>
                <w:rFonts w:ascii="宋体" w:hAnsi="宋体" w:cs="宋体" w:hint="eastAsia"/>
                <w:b/>
                <w:sz w:val="32"/>
                <w:szCs w:val="32"/>
              </w:rPr>
              <w:t>绩效目标自评</w:t>
            </w:r>
          </w:p>
        </w:tc>
        <w:tc>
          <w:tcPr>
            <w:tcW w:w="236" w:type="dxa"/>
            <w:tcBorders>
              <w:top w:val="nil"/>
              <w:left w:val="nil"/>
              <w:bottom w:val="nil"/>
              <w:right w:val="nil"/>
            </w:tcBorders>
            <w:shd w:val="clear" w:color="auto" w:fill="auto"/>
            <w:vAlign w:val="center"/>
          </w:tcPr>
          <w:p w:rsidR="00454533" w:rsidRDefault="00454533">
            <w:pPr>
              <w:widowControl/>
              <w:jc w:val="center"/>
              <w:textAlignment w:val="center"/>
              <w:rPr>
                <w:rFonts w:ascii="宋体" w:hAnsi="宋体" w:cs="宋体"/>
                <w:b/>
                <w:kern w:val="0"/>
                <w:sz w:val="32"/>
                <w:szCs w:val="32"/>
              </w:rPr>
            </w:pPr>
          </w:p>
        </w:tc>
      </w:tr>
      <w:tr w:rsidR="00454533">
        <w:trPr>
          <w:gridAfter w:val="1"/>
          <w:wAfter w:w="236" w:type="dxa"/>
          <w:trHeight w:val="254"/>
        </w:trPr>
        <w:tc>
          <w:tcPr>
            <w:tcW w:w="215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sz w:val="24"/>
              </w:rPr>
            </w:pPr>
            <w:r>
              <w:rPr>
                <w:rFonts w:ascii="宋体" w:hAnsi="宋体" w:cs="宋体" w:hint="eastAsia"/>
                <w:kern w:val="0"/>
                <w:sz w:val="24"/>
              </w:rPr>
              <w:t>主管部门及代码</w:t>
            </w:r>
          </w:p>
        </w:tc>
        <w:tc>
          <w:tcPr>
            <w:tcW w:w="316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textAlignment w:val="center"/>
              <w:rPr>
                <w:rFonts w:ascii="宋体" w:hAnsi="宋体" w:cs="宋体"/>
                <w:sz w:val="24"/>
              </w:rPr>
            </w:pPr>
            <w:r>
              <w:rPr>
                <w:rFonts w:ascii="宋体" w:hAnsi="宋体" w:cs="宋体" w:hint="eastAsia"/>
                <w:sz w:val="24"/>
              </w:rPr>
              <w:t>部门预算整体绩效</w:t>
            </w:r>
          </w:p>
        </w:tc>
        <w:tc>
          <w:tcPr>
            <w:tcW w:w="3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sz w:val="24"/>
              </w:rPr>
            </w:pPr>
            <w:r>
              <w:rPr>
                <w:rFonts w:ascii="宋体" w:hAnsi="宋体" w:cs="宋体" w:hint="eastAsia"/>
                <w:kern w:val="0"/>
                <w:sz w:val="24"/>
              </w:rPr>
              <w:t>实施单位</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sz w:val="24"/>
              </w:rPr>
            </w:pPr>
            <w:r>
              <w:rPr>
                <w:rFonts w:ascii="宋体" w:hAnsi="宋体" w:cs="宋体" w:hint="eastAsia"/>
                <w:sz w:val="24"/>
              </w:rPr>
              <w:t>惠民中学校</w:t>
            </w:r>
          </w:p>
        </w:tc>
      </w:tr>
      <w:tr w:rsidR="00454533">
        <w:trPr>
          <w:gridAfter w:val="1"/>
          <w:wAfter w:w="236" w:type="dxa"/>
          <w:trHeight w:val="341"/>
        </w:trPr>
        <w:tc>
          <w:tcPr>
            <w:tcW w:w="215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kern w:val="0"/>
                <w:sz w:val="24"/>
              </w:rPr>
            </w:pPr>
            <w:r>
              <w:rPr>
                <w:rFonts w:ascii="宋体" w:hAnsi="宋体" w:cs="宋体" w:hint="eastAsia"/>
                <w:kern w:val="0"/>
                <w:sz w:val="24"/>
              </w:rPr>
              <w:t>项目预算</w:t>
            </w:r>
          </w:p>
          <w:p w:rsidR="00454533" w:rsidRDefault="00982C2D">
            <w:pPr>
              <w:widowControl/>
              <w:spacing w:line="320" w:lineRule="exact"/>
              <w:jc w:val="center"/>
              <w:textAlignment w:val="center"/>
              <w:rPr>
                <w:rFonts w:ascii="宋体" w:hAnsi="宋体" w:cs="宋体"/>
                <w:kern w:val="0"/>
                <w:sz w:val="24"/>
              </w:rPr>
            </w:pPr>
            <w:r>
              <w:rPr>
                <w:rFonts w:ascii="宋体" w:hAnsi="宋体" w:cs="宋体" w:hint="eastAsia"/>
                <w:kern w:val="0"/>
                <w:sz w:val="24"/>
              </w:rPr>
              <w:t>执行情况</w:t>
            </w:r>
          </w:p>
          <w:p w:rsidR="00454533" w:rsidRDefault="00982C2D">
            <w:pPr>
              <w:widowControl/>
              <w:spacing w:line="320" w:lineRule="exact"/>
              <w:jc w:val="center"/>
              <w:textAlignment w:val="center"/>
              <w:rPr>
                <w:rFonts w:ascii="宋体" w:hAnsi="宋体" w:cs="宋体"/>
                <w:sz w:val="24"/>
              </w:rPr>
            </w:pPr>
            <w:r>
              <w:rPr>
                <w:rFonts w:ascii="宋体" w:hAnsi="宋体" w:cs="宋体" w:hint="eastAsia"/>
                <w:kern w:val="0"/>
                <w:sz w:val="24"/>
              </w:rPr>
              <w:t>（万元）</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sz w:val="24"/>
              </w:rPr>
            </w:pPr>
            <w:r>
              <w:rPr>
                <w:rFonts w:ascii="宋体" w:hAnsi="宋体" w:cs="宋体" w:hint="eastAsia"/>
                <w:kern w:val="0"/>
                <w:sz w:val="24"/>
              </w:rPr>
              <w:t xml:space="preserve"> 预算数：</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sz w:val="24"/>
              </w:rPr>
            </w:pPr>
            <w:r>
              <w:rPr>
                <w:rFonts w:ascii="宋体" w:hAnsi="宋体" w:cs="宋体" w:hint="eastAsia"/>
                <w:sz w:val="24"/>
              </w:rPr>
              <w:t>438.5</w:t>
            </w:r>
          </w:p>
        </w:tc>
        <w:tc>
          <w:tcPr>
            <w:tcW w:w="3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sz w:val="24"/>
              </w:rPr>
            </w:pPr>
            <w:r>
              <w:rPr>
                <w:rFonts w:ascii="宋体" w:hAnsi="宋体" w:cs="宋体" w:hint="eastAsia"/>
                <w:kern w:val="0"/>
                <w:sz w:val="24"/>
              </w:rPr>
              <w:t xml:space="preserve"> 执行数：</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right"/>
              <w:textAlignment w:val="center"/>
              <w:rPr>
                <w:rFonts w:ascii="宋体" w:hAnsi="宋体" w:cs="宋体"/>
                <w:sz w:val="24"/>
              </w:rPr>
            </w:pPr>
            <w:r>
              <w:rPr>
                <w:rFonts w:ascii="宋体" w:hAnsi="宋体" w:cs="宋体" w:hint="eastAsia"/>
                <w:sz w:val="24"/>
              </w:rPr>
              <w:t>438.5</w:t>
            </w:r>
          </w:p>
        </w:tc>
      </w:tr>
      <w:tr w:rsidR="00454533">
        <w:trPr>
          <w:gridAfter w:val="1"/>
          <w:wAfter w:w="236" w:type="dxa"/>
          <w:trHeight w:val="555"/>
        </w:trPr>
        <w:tc>
          <w:tcPr>
            <w:tcW w:w="21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454533">
            <w:pPr>
              <w:spacing w:line="320" w:lineRule="exact"/>
              <w:jc w:val="center"/>
              <w:rPr>
                <w:rFonts w:ascii="宋体" w:hAnsi="宋体" w:cs="宋体"/>
                <w:sz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454533" w:rsidRDefault="00982C2D">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sz w:val="24"/>
              </w:rPr>
            </w:pPr>
            <w:r>
              <w:rPr>
                <w:rFonts w:ascii="宋体" w:hAnsi="宋体" w:cs="宋体" w:hint="eastAsia"/>
                <w:sz w:val="24"/>
              </w:rPr>
              <w:t>438.5</w:t>
            </w:r>
          </w:p>
        </w:tc>
        <w:tc>
          <w:tcPr>
            <w:tcW w:w="3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kern w:val="0"/>
                <w:sz w:val="24"/>
              </w:rPr>
            </w:pPr>
            <w:r>
              <w:rPr>
                <w:rFonts w:ascii="宋体" w:hAnsi="宋体" w:cs="宋体" w:hint="eastAsia"/>
                <w:kern w:val="0"/>
                <w:sz w:val="24"/>
              </w:rPr>
              <w:t>其中：</w:t>
            </w:r>
          </w:p>
          <w:p w:rsidR="00454533" w:rsidRDefault="00982C2D">
            <w:pPr>
              <w:widowControl/>
              <w:spacing w:line="320" w:lineRule="exact"/>
              <w:jc w:val="left"/>
              <w:textAlignment w:val="center"/>
              <w:rPr>
                <w:rFonts w:ascii="宋体" w:hAnsi="宋体" w:cs="宋体"/>
                <w:sz w:val="24"/>
              </w:rPr>
            </w:pPr>
            <w:r>
              <w:rPr>
                <w:rFonts w:ascii="宋体" w:hAnsi="宋体" w:cs="宋体" w:hint="eastAsia"/>
                <w:kern w:val="0"/>
                <w:sz w:val="24"/>
              </w:rPr>
              <w:t>财政拨款</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textAlignment w:val="center"/>
              <w:rPr>
                <w:rFonts w:ascii="宋体" w:hAnsi="宋体" w:cs="宋体"/>
                <w:sz w:val="24"/>
              </w:rPr>
            </w:pPr>
            <w:r>
              <w:rPr>
                <w:rFonts w:ascii="宋体" w:hAnsi="宋体" w:cs="宋体" w:hint="eastAsia"/>
                <w:sz w:val="24"/>
              </w:rPr>
              <w:t>438.5</w:t>
            </w:r>
          </w:p>
        </w:tc>
      </w:tr>
      <w:tr w:rsidR="00454533">
        <w:trPr>
          <w:gridAfter w:val="1"/>
          <w:wAfter w:w="236" w:type="dxa"/>
          <w:trHeight w:val="341"/>
        </w:trPr>
        <w:tc>
          <w:tcPr>
            <w:tcW w:w="2150"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454533">
            <w:pPr>
              <w:spacing w:line="320" w:lineRule="exact"/>
              <w:jc w:val="center"/>
              <w:rPr>
                <w:rFonts w:ascii="宋体" w:hAnsi="宋体" w:cs="宋体"/>
                <w:sz w:val="24"/>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454533">
            <w:pPr>
              <w:widowControl/>
              <w:spacing w:line="320" w:lineRule="exact"/>
              <w:jc w:val="left"/>
              <w:textAlignment w:val="center"/>
              <w:rPr>
                <w:rFonts w:ascii="宋体" w:hAnsi="宋体" w:cs="宋体"/>
                <w:sz w:val="24"/>
              </w:rPr>
            </w:pPr>
          </w:p>
        </w:tc>
        <w:tc>
          <w:tcPr>
            <w:tcW w:w="3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left"/>
              <w:textAlignment w:val="center"/>
              <w:rPr>
                <w:rFonts w:ascii="宋体" w:hAnsi="宋体" w:cs="宋体"/>
                <w:sz w:val="24"/>
              </w:rPr>
            </w:pPr>
            <w:r>
              <w:rPr>
                <w:rFonts w:ascii="宋体" w:hAnsi="宋体" w:cs="宋体" w:hint="eastAsia"/>
                <w:kern w:val="0"/>
                <w:sz w:val="24"/>
              </w:rPr>
              <w:t>其他资金</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454533">
            <w:pPr>
              <w:widowControl/>
              <w:spacing w:line="320" w:lineRule="exact"/>
              <w:jc w:val="center"/>
              <w:textAlignment w:val="center"/>
              <w:rPr>
                <w:rFonts w:ascii="宋体" w:hAnsi="宋体" w:cs="宋体"/>
                <w:sz w:val="24"/>
              </w:rPr>
            </w:pPr>
          </w:p>
        </w:tc>
      </w:tr>
      <w:tr w:rsidR="00454533">
        <w:trPr>
          <w:gridAfter w:val="1"/>
          <w:wAfter w:w="236" w:type="dxa"/>
          <w:trHeight w:val="217"/>
        </w:trPr>
        <w:tc>
          <w:tcPr>
            <w:tcW w:w="7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kern w:val="0"/>
                <w:sz w:val="24"/>
              </w:rPr>
            </w:pPr>
            <w:r>
              <w:rPr>
                <w:rFonts w:ascii="宋体" w:hAnsi="宋体" w:cs="宋体" w:hint="eastAsia"/>
                <w:kern w:val="0"/>
                <w:sz w:val="24"/>
              </w:rPr>
              <w:t>年度总体目标</w:t>
            </w:r>
          </w:p>
          <w:p w:rsidR="00454533" w:rsidRDefault="00982C2D">
            <w:pPr>
              <w:widowControl/>
              <w:spacing w:line="320" w:lineRule="exact"/>
              <w:jc w:val="center"/>
              <w:textAlignment w:val="center"/>
              <w:rPr>
                <w:rFonts w:ascii="宋体" w:hAnsi="宋体" w:cs="宋体"/>
                <w:sz w:val="24"/>
              </w:rPr>
            </w:pPr>
            <w:r>
              <w:rPr>
                <w:rFonts w:ascii="宋体" w:hAnsi="宋体" w:cs="宋体" w:hint="eastAsia"/>
                <w:kern w:val="0"/>
                <w:sz w:val="24"/>
              </w:rPr>
              <w:t>完成情况</w:t>
            </w:r>
          </w:p>
        </w:tc>
        <w:tc>
          <w:tcPr>
            <w:tcW w:w="453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sz w:val="24"/>
              </w:rPr>
            </w:pPr>
            <w:r>
              <w:rPr>
                <w:rFonts w:ascii="宋体" w:hAnsi="宋体" w:cs="宋体" w:hint="eastAsia"/>
                <w:kern w:val="0"/>
                <w:sz w:val="24"/>
              </w:rPr>
              <w:t>预期目标</w:t>
            </w:r>
          </w:p>
        </w:tc>
        <w:tc>
          <w:tcPr>
            <w:tcW w:w="4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宋体" w:hAnsi="宋体" w:cs="宋体"/>
                <w:sz w:val="24"/>
              </w:rPr>
            </w:pPr>
            <w:r>
              <w:rPr>
                <w:rFonts w:ascii="宋体" w:hAnsi="宋体" w:cs="宋体" w:hint="eastAsia"/>
                <w:kern w:val="0"/>
                <w:sz w:val="24"/>
              </w:rPr>
              <w:t>目标实际完成情况</w:t>
            </w:r>
          </w:p>
        </w:tc>
      </w:tr>
      <w:tr w:rsidR="00454533">
        <w:trPr>
          <w:gridAfter w:val="1"/>
          <w:wAfter w:w="236" w:type="dxa"/>
          <w:trHeight w:val="797"/>
        </w:trPr>
        <w:tc>
          <w:tcPr>
            <w:tcW w:w="7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454533">
            <w:pPr>
              <w:spacing w:line="320" w:lineRule="exact"/>
              <w:jc w:val="center"/>
              <w:rPr>
                <w:rFonts w:ascii="宋体" w:hAnsi="宋体" w:cs="宋体"/>
                <w:sz w:val="24"/>
              </w:rPr>
            </w:pPr>
          </w:p>
        </w:tc>
        <w:tc>
          <w:tcPr>
            <w:tcW w:w="4530" w:type="dxa"/>
            <w:gridSpan w:val="3"/>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left"/>
              <w:textAlignment w:val="top"/>
              <w:rPr>
                <w:rFonts w:ascii="宋体" w:hAnsi="宋体" w:cs="宋体"/>
                <w:sz w:val="24"/>
              </w:rPr>
            </w:pPr>
            <w:r>
              <w:rPr>
                <w:rFonts w:ascii="宋体" w:hAnsi="宋体" w:cs="宋体" w:hint="eastAsia"/>
                <w:sz w:val="24"/>
              </w:rPr>
              <w:t>基本支出：414.6万元（其中：  人员经费406.2万元；公用经费8.3万元），完成率100项目支出：23.9万元，完成率100%</w:t>
            </w:r>
          </w:p>
        </w:tc>
        <w:tc>
          <w:tcPr>
            <w:tcW w:w="4260" w:type="dxa"/>
            <w:gridSpan w:val="2"/>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left"/>
              <w:textAlignment w:val="top"/>
              <w:rPr>
                <w:rFonts w:ascii="宋体" w:hAnsi="宋体" w:cs="宋体"/>
                <w:sz w:val="24"/>
              </w:rPr>
            </w:pPr>
            <w:r>
              <w:rPr>
                <w:rFonts w:ascii="宋体" w:hAnsi="宋体" w:cs="宋体" w:hint="eastAsia"/>
                <w:sz w:val="24"/>
              </w:rPr>
              <w:t>完成100%</w:t>
            </w:r>
          </w:p>
        </w:tc>
      </w:tr>
      <w:tr w:rsidR="00454533">
        <w:trPr>
          <w:gridAfter w:val="1"/>
          <w:wAfter w:w="236" w:type="dxa"/>
          <w:trHeight w:val="693"/>
        </w:trPr>
        <w:tc>
          <w:tcPr>
            <w:tcW w:w="785" w:type="dxa"/>
            <w:vMerge w:val="restart"/>
            <w:tcBorders>
              <w:top w:val="single" w:sz="4" w:space="0" w:color="000000"/>
              <w:left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lastRenderedPageBreak/>
              <w:t>年度绩效指标完成情况</w:t>
            </w:r>
          </w:p>
        </w:tc>
        <w:tc>
          <w:tcPr>
            <w:tcW w:w="1365" w:type="dxa"/>
            <w:tcBorders>
              <w:top w:val="single" w:sz="4" w:space="0" w:color="000000"/>
              <w:left w:val="nil"/>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一级</w:t>
            </w:r>
          </w:p>
          <w:p w:rsidR="00454533" w:rsidRDefault="00982C2D">
            <w:pPr>
              <w:widowControl/>
              <w:spacing w:line="320" w:lineRule="exact"/>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指标</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二级</w:t>
            </w:r>
          </w:p>
          <w:p w:rsidR="00454533" w:rsidRDefault="00982C2D">
            <w:pPr>
              <w:widowControl/>
              <w:spacing w:line="320" w:lineRule="exact"/>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仿宋_GB2312" w:eastAsia="仿宋_GB2312" w:hAnsi="仿宋_GB2312" w:cs="仿宋_GB2312"/>
                <w:kern w:val="0"/>
                <w:szCs w:val="21"/>
              </w:rPr>
            </w:pPr>
            <w:r>
              <w:rPr>
                <w:rFonts w:ascii="仿宋_GB2312" w:eastAsia="仿宋_GB2312" w:hAnsi="仿宋_GB2312" w:cs="仿宋_GB2312" w:hint="eastAsia"/>
                <w:kern w:val="0"/>
                <w:szCs w:val="21"/>
              </w:rPr>
              <w:t>三级</w:t>
            </w:r>
          </w:p>
          <w:p w:rsidR="00454533" w:rsidRDefault="00982C2D">
            <w:pPr>
              <w:widowControl/>
              <w:spacing w:line="320" w:lineRule="exact"/>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指标</w:t>
            </w:r>
          </w:p>
        </w:tc>
        <w:tc>
          <w:tcPr>
            <w:tcW w:w="31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预期指标值</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center"/>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实际完成指标值</w:t>
            </w:r>
          </w:p>
        </w:tc>
      </w:tr>
      <w:tr w:rsidR="00454533">
        <w:trPr>
          <w:gridAfter w:val="1"/>
          <w:wAfter w:w="236" w:type="dxa"/>
          <w:trHeight w:val="415"/>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bottom"/>
              <w:rPr>
                <w:rFonts w:ascii="仿宋_GB2312" w:eastAsia="仿宋_GB2312" w:hAnsi="仿宋_GB2312" w:cs="仿宋_GB2312"/>
                <w:kern w:val="0"/>
                <w:szCs w:val="21"/>
              </w:rPr>
            </w:pPr>
            <w:r>
              <w:rPr>
                <w:rFonts w:ascii="仿宋_GB2312" w:eastAsia="仿宋_GB2312" w:hAnsi="仿宋_GB2312" w:cs="仿宋_GB2312" w:hint="eastAsia"/>
                <w:kern w:val="0"/>
                <w:szCs w:val="21"/>
              </w:rPr>
              <w:t>完成</w:t>
            </w:r>
          </w:p>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指标</w:t>
            </w:r>
          </w:p>
        </w:tc>
        <w:tc>
          <w:tcPr>
            <w:tcW w:w="1350"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数量指标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实施初中义务教育，促进农村学校基础教育发展，初中学历教育</w:t>
            </w:r>
          </w:p>
        </w:tc>
        <w:tc>
          <w:tcPr>
            <w:tcW w:w="319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基本支出：414.6万元（其中：  人员经费406.2万元；公用经费8.3万元），完成率100</w:t>
            </w:r>
          </w:p>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项目支出：23.9万元，完成率100%</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全部完成100%</w:t>
            </w:r>
          </w:p>
        </w:tc>
      </w:tr>
      <w:tr w:rsidR="00454533">
        <w:trPr>
          <w:gridAfter w:val="1"/>
          <w:wAfter w:w="236" w:type="dxa"/>
          <w:trHeight w:val="415"/>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spacing w:line="320" w:lineRule="exact"/>
              <w:jc w:val="center"/>
              <w:rPr>
                <w:rFonts w:ascii="仿宋_GB2312" w:eastAsia="仿宋_GB2312" w:hAnsi="仿宋_GB2312" w:cs="仿宋_GB2312"/>
                <w:szCs w:val="21"/>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质量指标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工资、福利、商品和服务支出</w:t>
            </w: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公用经费（办公费、劳务费、培训费、会议费、其他商品和服务支出等保障学校基本健康运行的对外兑付）工资福利支出每月按时上报财政局，下发</w:t>
            </w:r>
            <w:proofErr w:type="gramStart"/>
            <w:r>
              <w:rPr>
                <w:rFonts w:ascii="仿宋_GB2312" w:eastAsia="仿宋_GB2312" w:hAnsi="仿宋_GB2312" w:cs="仿宋_GB2312" w:hint="eastAsia"/>
                <w:szCs w:val="21"/>
              </w:rPr>
              <w:t>至经财网</w:t>
            </w:r>
            <w:proofErr w:type="gramEnd"/>
            <w:r>
              <w:rPr>
                <w:rFonts w:ascii="仿宋_GB2312" w:eastAsia="仿宋_GB2312" w:hAnsi="仿宋_GB2312" w:cs="仿宋_GB2312" w:hint="eastAsia"/>
                <w:szCs w:val="21"/>
              </w:rPr>
              <w:t>，按时兑付商品和服务支出（办公费、印刷费、水费、电费、劳务费等）</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全部完成100%</w:t>
            </w:r>
          </w:p>
        </w:tc>
      </w:tr>
      <w:tr w:rsidR="00454533">
        <w:trPr>
          <w:gridAfter w:val="1"/>
          <w:wAfter w:w="236" w:type="dxa"/>
          <w:trHeight w:val="415"/>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spacing w:line="320" w:lineRule="exact"/>
              <w:jc w:val="center"/>
              <w:rPr>
                <w:rFonts w:ascii="仿宋_GB2312" w:eastAsia="仿宋_GB2312" w:hAnsi="仿宋_GB2312" w:cs="仿宋_GB2312"/>
                <w:szCs w:val="21"/>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时效指标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按照学校年初工作计划，有计划的实施，全年工作有序推进</w:t>
            </w: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1-12月全部完成</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454533">
        <w:trPr>
          <w:gridAfter w:val="1"/>
          <w:wAfter w:w="236" w:type="dxa"/>
          <w:trHeight w:val="480"/>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spacing w:line="320" w:lineRule="exact"/>
              <w:jc w:val="center"/>
              <w:rPr>
                <w:rFonts w:ascii="仿宋_GB2312" w:eastAsia="仿宋_GB2312" w:hAnsi="仿宋_GB2312" w:cs="仿宋_GB2312"/>
                <w:szCs w:val="21"/>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成本指标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工资福利等支出；日常公用支出；对个人和家庭的补助支出</w:t>
            </w: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按时支付人员工资福利等支出；据实支付日常公用支出；支付退休人员补助等、住校生生活补助；</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sz w:val="28"/>
                <w:szCs w:val="28"/>
              </w:rPr>
            </w:pPr>
            <w:r>
              <w:rPr>
                <w:rFonts w:ascii="仿宋_GB2312" w:eastAsia="仿宋_GB2312" w:hAnsi="仿宋_GB2312" w:cs="仿宋_GB2312" w:hint="eastAsia"/>
                <w:sz w:val="28"/>
                <w:szCs w:val="28"/>
              </w:rPr>
              <w:t>100%</w:t>
            </w:r>
          </w:p>
        </w:tc>
      </w:tr>
      <w:tr w:rsidR="00454533">
        <w:trPr>
          <w:gridAfter w:val="1"/>
          <w:wAfter w:w="236" w:type="dxa"/>
          <w:trHeight w:val="480"/>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54533" w:rsidRDefault="00982C2D">
            <w:pPr>
              <w:widowControl/>
              <w:spacing w:line="320" w:lineRule="exact"/>
              <w:jc w:val="center"/>
              <w:textAlignment w:val="bottom"/>
              <w:rPr>
                <w:rFonts w:ascii="仿宋_GB2312" w:eastAsia="仿宋_GB2312" w:hAnsi="仿宋_GB2312" w:cs="仿宋_GB2312"/>
                <w:kern w:val="0"/>
                <w:szCs w:val="21"/>
              </w:rPr>
            </w:pPr>
            <w:r>
              <w:rPr>
                <w:rFonts w:ascii="仿宋_GB2312" w:eastAsia="仿宋_GB2312" w:hAnsi="仿宋_GB2312" w:cs="仿宋_GB2312" w:hint="eastAsia"/>
                <w:kern w:val="0"/>
                <w:szCs w:val="21"/>
              </w:rPr>
              <w:t>效益</w:t>
            </w:r>
          </w:p>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指标</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经济效益  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454533">
            <w:pPr>
              <w:widowControl/>
              <w:spacing w:line="320" w:lineRule="exact"/>
              <w:jc w:val="center"/>
              <w:textAlignment w:val="bottom"/>
              <w:rPr>
                <w:rFonts w:ascii="仿宋_GB2312" w:eastAsia="仿宋_GB2312" w:hAnsi="仿宋_GB2312" w:cs="仿宋_GB2312"/>
                <w:szCs w:val="21"/>
              </w:rPr>
            </w:pP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454533">
            <w:pPr>
              <w:widowControl/>
              <w:spacing w:line="320" w:lineRule="exact"/>
              <w:jc w:val="center"/>
              <w:textAlignment w:val="bottom"/>
              <w:rPr>
                <w:rFonts w:ascii="仿宋_GB2312" w:eastAsia="仿宋_GB2312" w:hAnsi="仿宋_GB2312" w:cs="仿宋_GB2312"/>
                <w:szCs w:val="21"/>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widowControl/>
              <w:spacing w:line="320" w:lineRule="exact"/>
              <w:jc w:val="center"/>
              <w:textAlignment w:val="bottom"/>
              <w:rPr>
                <w:rFonts w:ascii="仿宋_GB2312" w:eastAsia="仿宋_GB2312" w:hAnsi="仿宋_GB2312" w:cs="仿宋_GB2312"/>
                <w:sz w:val="28"/>
                <w:szCs w:val="28"/>
              </w:rPr>
            </w:pPr>
          </w:p>
        </w:tc>
      </w:tr>
      <w:tr w:rsidR="00454533">
        <w:trPr>
          <w:gridAfter w:val="1"/>
          <w:wAfter w:w="236" w:type="dxa"/>
          <w:trHeight w:val="480"/>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spacing w:line="320" w:lineRule="exact"/>
              <w:jc w:val="center"/>
              <w:rPr>
                <w:rFonts w:ascii="仿宋_GB2312" w:eastAsia="仿宋_GB2312" w:hAnsi="仿宋_GB2312" w:cs="仿宋_GB2312"/>
                <w:szCs w:val="21"/>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社会效益  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通过相关政策的实施，有效保障了学校正常运转，很大的程度改善教育教学环境，改变学生的生活陋习，促进良性教育发展，教学成绩显著提高，产生了很好的社会效益。</w:t>
            </w: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按照上级主管部门要求，会计制度，学校各项制度，顺利开展业务，完善支付流程，基本保障了学校预算财政资金的正常、规范、有序支付。</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widowControl/>
              <w:spacing w:line="320" w:lineRule="exact"/>
              <w:jc w:val="center"/>
              <w:textAlignment w:val="bottom"/>
              <w:rPr>
                <w:rFonts w:ascii="仿宋_GB2312" w:eastAsia="仿宋_GB2312" w:hAnsi="仿宋_GB2312" w:cs="仿宋_GB2312"/>
                <w:sz w:val="28"/>
                <w:szCs w:val="28"/>
              </w:rPr>
            </w:pPr>
          </w:p>
        </w:tc>
      </w:tr>
      <w:tr w:rsidR="00454533">
        <w:trPr>
          <w:gridAfter w:val="1"/>
          <w:wAfter w:w="236" w:type="dxa"/>
          <w:trHeight w:val="577"/>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spacing w:line="320" w:lineRule="exact"/>
              <w:jc w:val="center"/>
              <w:rPr>
                <w:rFonts w:ascii="仿宋_GB2312" w:eastAsia="仿宋_GB2312" w:hAnsi="仿宋_GB2312" w:cs="仿宋_GB2312"/>
                <w:szCs w:val="21"/>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ind w:leftChars="87" w:left="393" w:hangingChars="100" w:hanging="210"/>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生态效益  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454533">
            <w:pPr>
              <w:widowControl/>
              <w:spacing w:line="320" w:lineRule="exact"/>
              <w:jc w:val="center"/>
              <w:textAlignment w:val="bottom"/>
              <w:rPr>
                <w:rFonts w:ascii="仿宋_GB2312" w:eastAsia="仿宋_GB2312" w:hAnsi="仿宋_GB2312" w:cs="仿宋_GB2312"/>
                <w:szCs w:val="21"/>
              </w:rPr>
            </w:pP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454533">
            <w:pPr>
              <w:widowControl/>
              <w:spacing w:line="320" w:lineRule="exact"/>
              <w:jc w:val="center"/>
              <w:textAlignment w:val="bottom"/>
              <w:rPr>
                <w:rFonts w:ascii="仿宋_GB2312" w:eastAsia="仿宋_GB2312" w:hAnsi="仿宋_GB2312" w:cs="仿宋_GB2312"/>
                <w:szCs w:val="21"/>
              </w:rPr>
            </w:pP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widowControl/>
              <w:spacing w:line="320" w:lineRule="exact"/>
              <w:jc w:val="center"/>
              <w:textAlignment w:val="bottom"/>
              <w:rPr>
                <w:rFonts w:ascii="仿宋_GB2312" w:eastAsia="仿宋_GB2312" w:hAnsi="仿宋_GB2312" w:cs="仿宋_GB2312"/>
                <w:sz w:val="28"/>
                <w:szCs w:val="28"/>
              </w:rPr>
            </w:pPr>
          </w:p>
        </w:tc>
      </w:tr>
      <w:tr w:rsidR="00454533">
        <w:trPr>
          <w:gridAfter w:val="1"/>
          <w:wAfter w:w="236" w:type="dxa"/>
          <w:trHeight w:val="480"/>
        </w:trPr>
        <w:tc>
          <w:tcPr>
            <w:tcW w:w="785" w:type="dxa"/>
            <w:vMerge/>
            <w:tcBorders>
              <w:left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spacing w:line="320" w:lineRule="exact"/>
              <w:jc w:val="center"/>
              <w:rPr>
                <w:rFonts w:ascii="仿宋_GB2312" w:eastAsia="仿宋_GB2312" w:hAnsi="仿宋_GB2312" w:cs="仿宋_GB2312"/>
                <w:szCs w:val="21"/>
              </w:rPr>
            </w:pP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可持续影响 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t>2021年部门支出为我校正常运转、完成日常工作任务以及学校维修改造，延长了固定</w:t>
            </w:r>
            <w:r>
              <w:rPr>
                <w:rFonts w:ascii="仿宋_GB2312" w:eastAsia="仿宋_GB2312" w:hAnsi="仿宋_GB2312" w:cs="仿宋_GB2312" w:hint="eastAsia"/>
                <w:szCs w:val="21"/>
              </w:rPr>
              <w:lastRenderedPageBreak/>
              <w:t>资产的使用，减少了资金的开支，达到可持续目标。</w:t>
            </w: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szCs w:val="21"/>
              </w:rPr>
              <w:lastRenderedPageBreak/>
              <w:t>体现政策导向，长期保障教育教学工作持续发展，保障广大师生的生命安全。</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widowControl/>
              <w:spacing w:line="320" w:lineRule="exact"/>
              <w:jc w:val="center"/>
              <w:textAlignment w:val="bottom"/>
              <w:rPr>
                <w:rFonts w:ascii="仿宋_GB2312" w:eastAsia="仿宋_GB2312" w:hAnsi="仿宋_GB2312" w:cs="仿宋_GB2312"/>
                <w:sz w:val="28"/>
                <w:szCs w:val="28"/>
              </w:rPr>
            </w:pPr>
          </w:p>
        </w:tc>
      </w:tr>
      <w:tr w:rsidR="00454533">
        <w:trPr>
          <w:gridAfter w:val="1"/>
          <w:wAfter w:w="236" w:type="dxa"/>
          <w:trHeight w:val="530"/>
        </w:trPr>
        <w:tc>
          <w:tcPr>
            <w:tcW w:w="785" w:type="dxa"/>
            <w:vMerge/>
            <w:tcBorders>
              <w:left w:val="single" w:sz="4" w:space="0" w:color="000000"/>
              <w:bottom w:val="single" w:sz="4" w:space="0" w:color="000000"/>
              <w:right w:val="single" w:sz="4" w:space="0" w:color="000000"/>
            </w:tcBorders>
            <w:shd w:val="clear" w:color="auto" w:fill="auto"/>
            <w:vAlign w:val="center"/>
          </w:tcPr>
          <w:p w:rsidR="00454533" w:rsidRDefault="00454533">
            <w:pPr>
              <w:spacing w:line="320" w:lineRule="exact"/>
              <w:jc w:val="center"/>
              <w:rPr>
                <w:rFonts w:ascii="仿宋_GB2312" w:eastAsia="仿宋_GB2312" w:hAnsi="仿宋_GB2312" w:cs="仿宋_GB2312"/>
                <w:szCs w:val="21"/>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982C2D">
            <w:pPr>
              <w:widowControl/>
              <w:spacing w:line="320" w:lineRule="exact"/>
              <w:jc w:val="center"/>
              <w:textAlignment w:val="bottom"/>
              <w:rPr>
                <w:rFonts w:ascii="仿宋_GB2312" w:eastAsia="仿宋_GB2312" w:hAnsi="仿宋_GB2312" w:cs="仿宋_GB2312"/>
                <w:kern w:val="0"/>
                <w:szCs w:val="21"/>
              </w:rPr>
            </w:pPr>
            <w:r>
              <w:rPr>
                <w:rFonts w:ascii="仿宋_GB2312" w:eastAsia="仿宋_GB2312" w:hAnsi="仿宋_GB2312" w:cs="仿宋_GB2312" w:hint="eastAsia"/>
                <w:kern w:val="0"/>
                <w:szCs w:val="21"/>
              </w:rPr>
              <w:t>满意</w:t>
            </w:r>
          </w:p>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度指标</w:t>
            </w:r>
          </w:p>
        </w:tc>
        <w:tc>
          <w:tcPr>
            <w:tcW w:w="1350"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spacing w:line="320" w:lineRule="exact"/>
              <w:jc w:val="center"/>
              <w:textAlignment w:val="bottom"/>
              <w:rPr>
                <w:rFonts w:ascii="仿宋_GB2312" w:eastAsia="仿宋_GB2312" w:hAnsi="仿宋_GB2312" w:cs="仿宋_GB2312"/>
                <w:kern w:val="0"/>
                <w:szCs w:val="21"/>
              </w:rPr>
            </w:pPr>
            <w:r>
              <w:rPr>
                <w:rFonts w:ascii="仿宋_GB2312" w:eastAsia="仿宋_GB2312" w:hAnsi="仿宋_GB2312" w:cs="仿宋_GB2312" w:hint="eastAsia"/>
                <w:kern w:val="0"/>
                <w:szCs w:val="21"/>
              </w:rPr>
              <w:t>满意度</w:t>
            </w:r>
          </w:p>
          <w:p w:rsidR="00454533" w:rsidRDefault="00982C2D">
            <w:pPr>
              <w:widowControl/>
              <w:spacing w:line="320" w:lineRule="exact"/>
              <w:jc w:val="center"/>
              <w:textAlignment w:val="bottom"/>
              <w:rPr>
                <w:rFonts w:ascii="仿宋_GB2312" w:eastAsia="仿宋_GB2312" w:hAnsi="仿宋_GB2312" w:cs="仿宋_GB2312"/>
                <w:szCs w:val="21"/>
              </w:rPr>
            </w:pPr>
            <w:r>
              <w:rPr>
                <w:rFonts w:ascii="仿宋_GB2312" w:eastAsia="仿宋_GB2312" w:hAnsi="仿宋_GB2312" w:cs="仿宋_GB2312" w:hint="eastAsia"/>
                <w:kern w:val="0"/>
                <w:szCs w:val="21"/>
              </w:rPr>
              <w:t>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jc w:val="center"/>
              <w:textAlignment w:val="center"/>
              <w:rPr>
                <w:rFonts w:ascii="仿宋_GB2312" w:eastAsia="仿宋_GB2312" w:hAnsi="仿宋_GB2312" w:cs="仿宋_GB2312"/>
                <w:szCs w:val="21"/>
              </w:rPr>
            </w:pPr>
            <w:r>
              <w:rPr>
                <w:rFonts w:ascii="宋体" w:hAnsi="宋体" w:cs="宋体" w:hint="eastAsia"/>
                <w:color w:val="000000"/>
                <w:kern w:val="0"/>
                <w:szCs w:val="21"/>
              </w:rPr>
              <w:t>群众满意度达到基本满意及以上。</w:t>
            </w:r>
          </w:p>
        </w:tc>
        <w:tc>
          <w:tcPr>
            <w:tcW w:w="3195" w:type="dxa"/>
            <w:tcBorders>
              <w:top w:val="single" w:sz="4" w:space="0" w:color="000000"/>
              <w:left w:val="single" w:sz="4" w:space="0" w:color="000000"/>
              <w:bottom w:val="single" w:sz="4" w:space="0" w:color="000000"/>
              <w:right w:val="single" w:sz="4" w:space="0" w:color="000000"/>
            </w:tcBorders>
            <w:shd w:val="clear" w:color="auto" w:fill="auto"/>
          </w:tcPr>
          <w:p w:rsidR="00454533" w:rsidRDefault="00982C2D">
            <w:pPr>
              <w:widowControl/>
              <w:jc w:val="center"/>
              <w:textAlignment w:val="center"/>
              <w:rPr>
                <w:rFonts w:ascii="仿宋_GB2312" w:eastAsia="仿宋_GB2312" w:hAnsi="仿宋_GB2312" w:cs="仿宋_GB2312"/>
                <w:szCs w:val="21"/>
              </w:rPr>
            </w:pPr>
            <w:r>
              <w:rPr>
                <w:rFonts w:ascii="宋体" w:hAnsi="宋体" w:cs="宋体" w:hint="eastAsia"/>
                <w:color w:val="000000"/>
                <w:kern w:val="0"/>
                <w:szCs w:val="21"/>
              </w:rPr>
              <w:t>满意度指标达到95%以上</w:t>
            </w:r>
          </w:p>
        </w:tc>
        <w:tc>
          <w:tcPr>
            <w:tcW w:w="1065" w:type="dxa"/>
            <w:tcBorders>
              <w:top w:val="single" w:sz="4" w:space="0" w:color="000000"/>
              <w:left w:val="single" w:sz="4" w:space="0" w:color="000000"/>
              <w:bottom w:val="single" w:sz="4" w:space="0" w:color="000000"/>
              <w:right w:val="single" w:sz="4" w:space="0" w:color="000000"/>
            </w:tcBorders>
            <w:shd w:val="clear" w:color="auto" w:fill="auto"/>
            <w:vAlign w:val="bottom"/>
          </w:tcPr>
          <w:p w:rsidR="00454533" w:rsidRDefault="00454533">
            <w:pPr>
              <w:widowControl/>
              <w:spacing w:line="320" w:lineRule="exact"/>
              <w:jc w:val="center"/>
              <w:textAlignment w:val="bottom"/>
              <w:rPr>
                <w:rFonts w:ascii="仿宋_GB2312" w:eastAsia="仿宋_GB2312" w:hAnsi="仿宋_GB2312" w:cs="仿宋_GB2312"/>
                <w:sz w:val="28"/>
                <w:szCs w:val="28"/>
              </w:rPr>
            </w:pPr>
          </w:p>
        </w:tc>
      </w:tr>
    </w:tbl>
    <w:p w:rsidR="00454533" w:rsidRDefault="00454533">
      <w:pPr>
        <w:spacing w:line="600" w:lineRule="exact"/>
        <w:jc w:val="center"/>
        <w:rPr>
          <w:rFonts w:ascii="黑体" w:eastAsia="黑体" w:hAnsi="黑体"/>
          <w:sz w:val="44"/>
          <w:szCs w:val="44"/>
        </w:rPr>
      </w:pPr>
    </w:p>
    <w:p w:rsidR="00454533" w:rsidRDefault="00982C2D">
      <w:pPr>
        <w:spacing w:line="600" w:lineRule="exact"/>
        <w:jc w:val="center"/>
        <w:rPr>
          <w:rFonts w:ascii="方正小标宋简体" w:eastAsia="方正小标宋简体" w:hAnsi="宋体"/>
          <w:color w:val="000000"/>
          <w:kern w:val="0"/>
          <w:sz w:val="40"/>
          <w:szCs w:val="44"/>
        </w:rPr>
      </w:pPr>
      <w:r>
        <w:rPr>
          <w:rFonts w:ascii="方正小标宋简体" w:eastAsia="方正小标宋简体" w:hAnsi="宋体" w:hint="eastAsia"/>
          <w:color w:val="000000"/>
          <w:kern w:val="0"/>
          <w:sz w:val="40"/>
          <w:szCs w:val="44"/>
        </w:rPr>
        <w:t>盐边县</w:t>
      </w:r>
      <w:proofErr w:type="gramStart"/>
      <w:r>
        <w:rPr>
          <w:rFonts w:ascii="方正小标宋简体" w:eastAsia="方正小标宋简体" w:hAnsi="宋体" w:hint="eastAsia"/>
          <w:color w:val="000000"/>
          <w:kern w:val="0"/>
          <w:sz w:val="40"/>
          <w:szCs w:val="44"/>
        </w:rPr>
        <w:t>惠民镇</w:t>
      </w:r>
      <w:proofErr w:type="gramEnd"/>
      <w:r>
        <w:rPr>
          <w:rFonts w:ascii="方正小标宋简体" w:eastAsia="方正小标宋简体" w:hAnsi="宋体" w:hint="eastAsia"/>
          <w:color w:val="000000"/>
          <w:kern w:val="0"/>
          <w:sz w:val="40"/>
          <w:szCs w:val="44"/>
        </w:rPr>
        <w:t>初级中学校</w:t>
      </w:r>
    </w:p>
    <w:p w:rsidR="00454533" w:rsidRDefault="00982C2D">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color w:val="000000"/>
          <w:kern w:val="0"/>
          <w:sz w:val="40"/>
          <w:szCs w:val="44"/>
        </w:rPr>
        <w:t>202</w:t>
      </w:r>
      <w:r>
        <w:rPr>
          <w:rFonts w:ascii="方正小标宋简体" w:eastAsia="方正小标宋简体" w:hAnsi="宋体" w:hint="eastAsia"/>
          <w:color w:val="000000"/>
          <w:kern w:val="0"/>
          <w:sz w:val="40"/>
          <w:szCs w:val="44"/>
        </w:rPr>
        <w:t>1年部门</w:t>
      </w:r>
      <w:r>
        <w:rPr>
          <w:rFonts w:ascii="方正小标宋简体" w:eastAsia="方正小标宋简体" w:hAnsi="宋体" w:hint="eastAsia"/>
          <w:color w:val="000000"/>
          <w:kern w:val="0"/>
          <w:sz w:val="40"/>
          <w:szCs w:val="44"/>
          <w:lang w:val="zh-CN"/>
        </w:rPr>
        <w:t>整体支出绩效评价报告</w:t>
      </w:r>
    </w:p>
    <w:p w:rsidR="00454533" w:rsidRDefault="00454533">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454533" w:rsidRDefault="00982C2D">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lang w:val="zh-CN"/>
        </w:rPr>
      </w:pPr>
      <w:bookmarkStart w:id="76" w:name="_Toc30575"/>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部门概况</w:t>
      </w:r>
      <w:bookmarkEnd w:id="76"/>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1．主要职能。</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实施中学义务教育，促进基础教育发展，中学学历教育（相关社会服务）。</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2．机构情况。</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盐边县</w:t>
      </w:r>
      <w:proofErr w:type="gramStart"/>
      <w:r>
        <w:rPr>
          <w:rFonts w:ascii="仿宋_GB2312" w:eastAsia="仿宋_GB2312" w:hAnsi="仿宋" w:hint="eastAsia"/>
          <w:sz w:val="32"/>
          <w:szCs w:val="32"/>
        </w:rPr>
        <w:t>惠民镇</w:t>
      </w:r>
      <w:proofErr w:type="gramEnd"/>
      <w:r>
        <w:rPr>
          <w:rFonts w:ascii="仿宋_GB2312" w:eastAsia="仿宋_GB2312" w:hAnsi="仿宋" w:hint="eastAsia"/>
          <w:sz w:val="32"/>
          <w:szCs w:val="32"/>
        </w:rPr>
        <w:t>初级中学校是盐边县教育和体育局下属独立核算事业单位1个，公益一类事业单位，单位性质为财政补助事业单位，事业单位会计制度。其中行政单位0个，参照公务员法管理的事业单位0个，其他事业单位0个。</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3．人员情况。</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2021年度本单位人员编制数29人、实有在职职工23人、离退休职工8人。专任教师23人，其中副高职称5人，中级教师 12人，二级教师6人。本科学历20人，大专学历3人，中专及以下学历0人。省级骨干教师1人，市级学科带头人、骨干教师 0人，县级学科带头人、骨干教师2人。学校现有2个教学班，在校学生32人，寄宿生18人，随班就读1人，送教上门4人，学校建有活动室、运动场、图书室、音乐体育美术室、电教室、电脑室等功能室，设备齐全，学校图书室有各类图书2820册。</w:t>
      </w:r>
    </w:p>
    <w:p w:rsidR="00454533" w:rsidRDefault="00982C2D">
      <w:pPr>
        <w:snapToGrid w:val="0"/>
        <w:spacing w:line="520" w:lineRule="exact"/>
        <w:ind w:firstLineChars="200" w:firstLine="640"/>
        <w:outlineLvl w:val="1"/>
        <w:rPr>
          <w:rFonts w:ascii="仿宋_GB2312" w:eastAsia="仿宋_GB2312" w:hAnsi="仿宋"/>
          <w:sz w:val="32"/>
          <w:szCs w:val="32"/>
        </w:rPr>
      </w:pPr>
      <w:bookmarkStart w:id="77" w:name="_Toc655"/>
      <w:r>
        <w:rPr>
          <w:rFonts w:ascii="仿宋_GB2312" w:eastAsia="仿宋_GB2312" w:hAnsi="仿宋" w:hint="eastAsia"/>
          <w:sz w:val="32"/>
          <w:szCs w:val="32"/>
        </w:rPr>
        <w:lastRenderedPageBreak/>
        <w:t>4、盐边县</w:t>
      </w:r>
      <w:proofErr w:type="gramStart"/>
      <w:r>
        <w:rPr>
          <w:rFonts w:ascii="仿宋_GB2312" w:eastAsia="仿宋_GB2312" w:hAnsi="仿宋" w:hint="eastAsia"/>
          <w:sz w:val="32"/>
          <w:szCs w:val="32"/>
        </w:rPr>
        <w:t>惠民镇</w:t>
      </w:r>
      <w:proofErr w:type="gramEnd"/>
      <w:r>
        <w:rPr>
          <w:rFonts w:ascii="仿宋_GB2312" w:eastAsia="仿宋_GB2312" w:hAnsi="仿宋" w:hint="eastAsia"/>
          <w:sz w:val="32"/>
          <w:szCs w:val="32"/>
        </w:rPr>
        <w:t>初级中学校2021年重点工作。</w:t>
      </w:r>
      <w:bookmarkEnd w:id="77"/>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本学年我校以提高教育教学质量为核心，与时俱进，开拓进取，严格履行盐边县教育和体育</w:t>
      </w:r>
      <w:proofErr w:type="gramStart"/>
      <w:r>
        <w:rPr>
          <w:rFonts w:ascii="仿宋_GB2312" w:eastAsia="仿宋_GB2312" w:hAnsi="仿宋" w:hint="eastAsia"/>
          <w:sz w:val="32"/>
          <w:szCs w:val="32"/>
        </w:rPr>
        <w:t>局教学</w:t>
      </w:r>
      <w:proofErr w:type="gramEnd"/>
      <w:r>
        <w:rPr>
          <w:rFonts w:ascii="仿宋_GB2312" w:eastAsia="仿宋_GB2312" w:hAnsi="仿宋" w:hint="eastAsia"/>
          <w:sz w:val="32"/>
          <w:szCs w:val="32"/>
        </w:rPr>
        <w:t xml:space="preserve">质量目标管理制度，认真落实各项动态管理措施，以最大努力投入日常教学并坚持不懈、善始善终，本年学校主要完成以下几方面的工作：  </w:t>
      </w:r>
    </w:p>
    <w:p w:rsidR="00454533" w:rsidRDefault="00982C2D" w:rsidP="00EA45C6">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（1）强化措施，落实新冠疫情防控</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 按照新冠防控相关要求，认真落实各项</w:t>
      </w:r>
      <w:r>
        <w:rPr>
          <w:rFonts w:ascii="宋体" w:hAnsi="宋体" w:cs="宋体" w:hint="eastAsia"/>
          <w:sz w:val="32"/>
          <w:szCs w:val="32"/>
        </w:rPr>
        <w:t>新冠</w:t>
      </w:r>
      <w:proofErr w:type="gramStart"/>
      <w:r>
        <w:rPr>
          <w:rFonts w:ascii="仿宋_GB2312" w:eastAsia="仿宋_GB2312" w:hAnsi="仿宋" w:hint="eastAsia"/>
          <w:sz w:val="32"/>
          <w:szCs w:val="32"/>
        </w:rPr>
        <w:t>防控制</w:t>
      </w:r>
      <w:proofErr w:type="gramEnd"/>
      <w:r>
        <w:rPr>
          <w:rFonts w:ascii="仿宋_GB2312" w:eastAsia="仿宋_GB2312" w:hAnsi="仿宋" w:hint="eastAsia"/>
          <w:sz w:val="32"/>
          <w:szCs w:val="32"/>
        </w:rPr>
        <w:t>度，做好“场所码”</w:t>
      </w:r>
      <w:proofErr w:type="gramStart"/>
      <w:r>
        <w:rPr>
          <w:rFonts w:ascii="仿宋_GB2312" w:eastAsia="仿宋_GB2312" w:hAnsi="仿宋" w:hint="eastAsia"/>
          <w:sz w:val="32"/>
          <w:szCs w:val="32"/>
        </w:rPr>
        <w:t>的扫码工作</w:t>
      </w:r>
      <w:proofErr w:type="gramEnd"/>
      <w:r>
        <w:rPr>
          <w:rFonts w:ascii="仿宋_GB2312" w:eastAsia="仿宋_GB2312" w:hAnsi="仿宋" w:hint="eastAsia"/>
          <w:sz w:val="32"/>
          <w:szCs w:val="32"/>
        </w:rPr>
        <w:t>及师生每天的体温监测与记录，认真落实门卫监测制度，配备必要的防控物资，定期做好校园消毒工作，加强对学生的宣传教育，保证教学秩序正常开展。</w:t>
      </w:r>
    </w:p>
    <w:p w:rsidR="00454533" w:rsidRDefault="00982C2D" w:rsidP="00EA45C6">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（2）做好森林草原防灭火工作</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森林草原防灭火工作要求，从思想上高度重视此项工作，认真落实上级有关部门的工作安排。利用教师例会及班会课、集会等加强师生对森林草原防灭火工作的认识，要求学生利用周末做好对家长的宣传，将此项工作落实到实处。</w:t>
      </w:r>
    </w:p>
    <w:p w:rsidR="00454533" w:rsidRDefault="00982C2D" w:rsidP="00EA45C6">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（3）以德治校，强化教师队伍建设。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1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①</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深入开展师德师风教育活动。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2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②</w:t>
      </w:r>
      <w:r>
        <w:rPr>
          <w:rFonts w:ascii="仿宋_GB2312" w:eastAsia="仿宋_GB2312" w:hAnsi="仿宋" w:hint="eastAsia"/>
          <w:sz w:val="32"/>
          <w:szCs w:val="32"/>
        </w:rPr>
        <w:fldChar w:fldCharType="end"/>
      </w:r>
      <w:r>
        <w:rPr>
          <w:rFonts w:ascii="仿宋_GB2312" w:eastAsia="仿宋_GB2312" w:hAnsi="仿宋" w:hint="eastAsia"/>
          <w:sz w:val="32"/>
          <w:szCs w:val="32"/>
        </w:rPr>
        <w:t>整顿作风，加强业务学习。</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3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③</w:t>
      </w:r>
      <w:r>
        <w:rPr>
          <w:rFonts w:ascii="仿宋_GB2312" w:eastAsia="仿宋_GB2312" w:hAnsi="仿宋" w:hint="eastAsia"/>
          <w:sz w:val="32"/>
          <w:szCs w:val="32"/>
        </w:rPr>
        <w:fldChar w:fldCharType="end"/>
      </w:r>
      <w:r>
        <w:rPr>
          <w:rFonts w:ascii="仿宋_GB2312" w:eastAsia="仿宋_GB2312" w:hAnsi="仿宋" w:hint="eastAsia"/>
          <w:sz w:val="32"/>
          <w:szCs w:val="32"/>
        </w:rPr>
        <w:t>完善制度创新，强化学校管理。</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4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④</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开展多类活动，活跃校园新气象。  </w:t>
      </w:r>
    </w:p>
    <w:p w:rsidR="00454533" w:rsidRDefault="00982C2D" w:rsidP="00EA45C6">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（4） 加强教学管理，促使教育质量上升。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1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①</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树立“教学为主，质量兴校”的思想。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2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②</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发挥教务室职能，把握教学方向。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3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③</w:t>
      </w:r>
      <w:r>
        <w:rPr>
          <w:rFonts w:ascii="仿宋_GB2312" w:eastAsia="仿宋_GB2312" w:hAnsi="仿宋" w:hint="eastAsia"/>
          <w:sz w:val="32"/>
          <w:szCs w:val="32"/>
        </w:rPr>
        <w:fldChar w:fldCharType="end"/>
      </w:r>
      <w:r>
        <w:rPr>
          <w:rFonts w:ascii="仿宋_GB2312" w:eastAsia="仿宋_GB2312" w:hAnsi="仿宋" w:hint="eastAsia"/>
          <w:sz w:val="32"/>
          <w:szCs w:val="32"/>
        </w:rPr>
        <w:t>加强班主任工作职责，引导学生行为习惯的养成。</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lastRenderedPageBreak/>
        <w:fldChar w:fldCharType="begin"/>
      </w:r>
      <w:r>
        <w:rPr>
          <w:rFonts w:ascii="仿宋_GB2312" w:eastAsia="仿宋_GB2312" w:hAnsi="仿宋" w:hint="eastAsia"/>
          <w:sz w:val="32"/>
          <w:szCs w:val="32"/>
        </w:rPr>
        <w:instrText xml:space="preserve"> = 4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④</w:t>
      </w:r>
      <w:r>
        <w:rPr>
          <w:rFonts w:ascii="仿宋_GB2312" w:eastAsia="仿宋_GB2312" w:hAnsi="仿宋" w:hint="eastAsia"/>
          <w:sz w:val="32"/>
          <w:szCs w:val="32"/>
        </w:rPr>
        <w:fldChar w:fldCharType="end"/>
      </w:r>
      <w:r>
        <w:rPr>
          <w:rFonts w:ascii="仿宋_GB2312" w:eastAsia="仿宋_GB2312" w:hAnsi="仿宋" w:hint="eastAsia"/>
          <w:sz w:val="32"/>
          <w:szCs w:val="32"/>
        </w:rPr>
        <w:t xml:space="preserve">深化课堂研讨，促进教学相长。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fldChar w:fldCharType="begin"/>
      </w:r>
      <w:r>
        <w:rPr>
          <w:rFonts w:ascii="仿宋_GB2312" w:eastAsia="仿宋_GB2312" w:hAnsi="仿宋" w:hint="eastAsia"/>
          <w:sz w:val="32"/>
          <w:szCs w:val="32"/>
        </w:rPr>
        <w:instrText xml:space="preserve"> = 5 \* GB3 \* MERGEFORMAT </w:instrText>
      </w:r>
      <w:r>
        <w:rPr>
          <w:rFonts w:ascii="仿宋_GB2312" w:eastAsia="仿宋_GB2312" w:hAnsi="仿宋" w:hint="eastAsia"/>
          <w:sz w:val="32"/>
          <w:szCs w:val="32"/>
        </w:rPr>
        <w:fldChar w:fldCharType="separate"/>
      </w:r>
      <w:r>
        <w:rPr>
          <w:rFonts w:ascii="仿宋_GB2312" w:eastAsia="仿宋_GB2312" w:hAnsi="仿宋" w:hint="eastAsia"/>
          <w:sz w:val="32"/>
          <w:szCs w:val="32"/>
        </w:rPr>
        <w:t>⑤</w:t>
      </w:r>
      <w:r>
        <w:rPr>
          <w:rFonts w:ascii="仿宋_GB2312" w:eastAsia="仿宋_GB2312" w:hAnsi="仿宋" w:hint="eastAsia"/>
          <w:sz w:val="32"/>
          <w:szCs w:val="32"/>
        </w:rPr>
        <w:fldChar w:fldCharType="end"/>
      </w:r>
      <w:r>
        <w:rPr>
          <w:rFonts w:ascii="仿宋_GB2312" w:eastAsia="仿宋_GB2312" w:hAnsi="仿宋" w:hint="eastAsia"/>
          <w:sz w:val="32"/>
          <w:szCs w:val="32"/>
        </w:rPr>
        <w:t>加强信息技术能力提升2.0工作，提高教师信息化水平。</w:t>
      </w:r>
    </w:p>
    <w:p w:rsidR="00454533" w:rsidRDefault="00982C2D" w:rsidP="00EA45C6">
      <w:pPr>
        <w:snapToGrid w:val="0"/>
        <w:spacing w:line="52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 xml:space="preserve">（5）齐抓共管，抓好学校综治工作。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健全安全工作目标责任制，加强安全宣传教育力度，增强师生安全意识，有计划地开展交通安全及防盗、防火、防溺水等方面的知识讲座。将学校与家庭、社会三者有机结合，共同做好安全工作，使学生愉快而来，安全而归。   </w:t>
      </w:r>
    </w:p>
    <w:p w:rsidR="00454533" w:rsidRDefault="00982C2D" w:rsidP="00EA45C6">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 xml:space="preserve">（6）利用有限资金，强化校园建设。   </w:t>
      </w:r>
    </w:p>
    <w:p w:rsidR="00454533" w:rsidRDefault="00982C2D">
      <w:pPr>
        <w:snapToGrid w:val="0"/>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学校将合理计划，改善办学条件，将学校仅有的经费，花在最需要的地方上。</w:t>
      </w:r>
    </w:p>
    <w:p w:rsidR="00454533" w:rsidRDefault="00982C2D">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rPr>
      </w:pPr>
      <w:bookmarkStart w:id="78" w:name="_Toc11555"/>
      <w:r>
        <w:rPr>
          <w:rFonts w:ascii="黑体" w:eastAsia="黑体" w:hAnsi="宋体" w:cs="宋体" w:hint="eastAsia"/>
          <w:color w:val="000000"/>
          <w:kern w:val="0"/>
          <w:sz w:val="32"/>
          <w:szCs w:val="32"/>
          <w:shd w:val="clear" w:color="auto" w:fill="FFFFFF"/>
        </w:rPr>
        <w:t>二、部门财政资金收支情况</w:t>
      </w:r>
      <w:bookmarkEnd w:id="78"/>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 xml:space="preserve"> 2021年度部门财政拨款421.57万元。 年初结转和结余16.91万元。收入总计438.47万元。</w:t>
      </w:r>
    </w:p>
    <w:p w:rsidR="00454533" w:rsidRDefault="00982C2D">
      <w:pPr>
        <w:widowControl/>
        <w:numPr>
          <w:ilvl w:val="0"/>
          <w:numId w:val="7"/>
        </w:numPr>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部门财政资金支出情况。</w:t>
      </w:r>
    </w:p>
    <w:p w:rsidR="00454533" w:rsidRDefault="00982C2D">
      <w:pPr>
        <w:spacing w:line="520" w:lineRule="exact"/>
        <w:ind w:firstLine="640"/>
        <w:rPr>
          <w:rFonts w:ascii="仿宋" w:eastAsia="仿宋" w:hAnsi="仿宋"/>
          <w:b/>
          <w:sz w:val="32"/>
          <w:szCs w:val="32"/>
        </w:rPr>
      </w:pPr>
      <w:r>
        <w:rPr>
          <w:rFonts w:ascii="仿宋_GB2312" w:eastAsia="仿宋_GB2312" w:hAnsi="宋体" w:cs="宋体" w:hint="eastAsia"/>
          <w:color w:val="000000"/>
          <w:kern w:val="0"/>
          <w:sz w:val="32"/>
          <w:szCs w:val="32"/>
          <w:shd w:val="clear" w:color="auto" w:fill="FFFFFF"/>
        </w:rPr>
        <w:t>2021年度部门财政资金支出438.47万元，其中教育支出360.2万元，占总支出的82.15%；</w:t>
      </w:r>
      <w:r>
        <w:rPr>
          <w:rFonts w:ascii="仿宋" w:eastAsia="仿宋" w:hAnsi="仿宋" w:hint="eastAsia"/>
          <w:bCs/>
          <w:sz w:val="32"/>
          <w:szCs w:val="32"/>
        </w:rPr>
        <w:t>社会保障和就业（类）</w:t>
      </w:r>
      <w:r>
        <w:rPr>
          <w:rFonts w:ascii="仿宋" w:eastAsia="仿宋" w:hAnsi="仿宋" w:hint="eastAsia"/>
          <w:sz w:val="32"/>
          <w:szCs w:val="32"/>
        </w:rPr>
        <w:t>支出42.85万元，占9.77</w:t>
      </w:r>
      <w:r>
        <w:rPr>
          <w:rFonts w:ascii="仿宋" w:eastAsia="仿宋" w:hAnsi="仿宋"/>
          <w:sz w:val="32"/>
          <w:szCs w:val="32"/>
        </w:rPr>
        <w:t>%</w:t>
      </w:r>
      <w:r>
        <w:rPr>
          <w:rFonts w:ascii="仿宋" w:eastAsia="仿宋" w:hAnsi="仿宋" w:hint="eastAsia"/>
          <w:sz w:val="32"/>
          <w:szCs w:val="32"/>
        </w:rPr>
        <w:t>；住房保障支出35.43万元，占8.08</w:t>
      </w:r>
      <w:r>
        <w:rPr>
          <w:rFonts w:ascii="仿宋" w:eastAsia="仿宋" w:hAnsi="仿宋"/>
          <w:sz w:val="32"/>
          <w:szCs w:val="32"/>
        </w:rPr>
        <w:t>%</w:t>
      </w:r>
      <w:r>
        <w:rPr>
          <w:rFonts w:ascii="仿宋" w:eastAsia="仿宋" w:hAnsi="仿宋" w:hint="eastAsia"/>
          <w:sz w:val="32"/>
          <w:szCs w:val="32"/>
        </w:rPr>
        <w:t>。</w:t>
      </w:r>
    </w:p>
    <w:p w:rsidR="00454533" w:rsidRDefault="00982C2D">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rPr>
      </w:pPr>
      <w:bookmarkStart w:id="79" w:name="_Toc29249"/>
      <w:r>
        <w:rPr>
          <w:rFonts w:ascii="黑体" w:eastAsia="黑体" w:hAnsi="宋体" w:cs="宋体" w:hint="eastAsia"/>
          <w:color w:val="000000"/>
          <w:kern w:val="0"/>
          <w:sz w:val="32"/>
          <w:szCs w:val="32"/>
          <w:shd w:val="clear" w:color="auto" w:fill="FFFFFF"/>
        </w:rPr>
        <w:t>三、部门整体预算绩效管理情况</w:t>
      </w:r>
      <w:bookmarkEnd w:id="79"/>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rPr>
        <w:t>2021年盐</w:t>
      </w:r>
      <w:r>
        <w:rPr>
          <w:rFonts w:ascii="仿宋_GB2312" w:eastAsia="仿宋_GB2312" w:hAnsi="宋体" w:cs="宋体" w:hint="eastAsia"/>
          <w:color w:val="000000"/>
          <w:kern w:val="0"/>
          <w:sz w:val="32"/>
          <w:szCs w:val="32"/>
          <w:shd w:val="clear" w:color="auto" w:fill="FFFFFF"/>
          <w:lang w:val="zh-CN"/>
        </w:rPr>
        <w:t>边县</w:t>
      </w:r>
      <w:proofErr w:type="gramStart"/>
      <w:r>
        <w:rPr>
          <w:rFonts w:ascii="仿宋_GB2312" w:eastAsia="仿宋_GB2312" w:hAnsi="宋体" w:cs="宋体" w:hint="eastAsia"/>
          <w:color w:val="000000"/>
          <w:kern w:val="0"/>
          <w:sz w:val="32"/>
          <w:szCs w:val="32"/>
          <w:shd w:val="clear" w:color="auto" w:fill="FFFFFF"/>
          <w:lang w:val="zh-CN"/>
        </w:rPr>
        <w:t>惠民镇初级中学校部门</w:t>
      </w:r>
      <w:proofErr w:type="gramEnd"/>
      <w:r>
        <w:rPr>
          <w:rFonts w:ascii="仿宋_GB2312" w:eastAsia="仿宋_GB2312" w:hAnsi="宋体" w:cs="宋体" w:hint="eastAsia"/>
          <w:color w:val="000000"/>
          <w:kern w:val="0"/>
          <w:sz w:val="32"/>
          <w:szCs w:val="32"/>
          <w:shd w:val="clear" w:color="auto" w:fill="FFFFFF"/>
          <w:lang w:val="zh-CN"/>
        </w:rPr>
        <w:t>绩效目标制定、目标实现、预算编制准确、支出控制、预算动态调整、执行进</w:t>
      </w:r>
      <w:r>
        <w:rPr>
          <w:rFonts w:ascii="仿宋_GB2312" w:eastAsia="仿宋_GB2312" w:hAnsi="宋体" w:cs="宋体" w:hint="eastAsia"/>
          <w:color w:val="000000"/>
          <w:kern w:val="0"/>
          <w:sz w:val="32"/>
          <w:szCs w:val="32"/>
          <w:shd w:val="clear" w:color="auto" w:fill="FFFFFF"/>
          <w:lang w:val="zh-CN"/>
        </w:rPr>
        <w:lastRenderedPageBreak/>
        <w:t>度、预算完成情况均严格按照预算法及上级主管部门流程操作无违规情况发生。</w:t>
      </w:r>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rPr>
        <w:t>2021年盐</w:t>
      </w:r>
      <w:r>
        <w:rPr>
          <w:rFonts w:ascii="仿宋_GB2312" w:eastAsia="仿宋_GB2312" w:hAnsi="宋体" w:cs="宋体" w:hint="eastAsia"/>
          <w:color w:val="000000"/>
          <w:kern w:val="0"/>
          <w:sz w:val="32"/>
          <w:szCs w:val="32"/>
          <w:shd w:val="clear" w:color="auto" w:fill="FFFFFF"/>
          <w:lang w:val="zh-CN"/>
        </w:rPr>
        <w:t>边县</w:t>
      </w:r>
      <w:proofErr w:type="gramStart"/>
      <w:r>
        <w:rPr>
          <w:rFonts w:ascii="仿宋_GB2312" w:eastAsia="仿宋_GB2312" w:hAnsi="宋体" w:cs="宋体" w:hint="eastAsia"/>
          <w:color w:val="000000"/>
          <w:kern w:val="0"/>
          <w:sz w:val="32"/>
          <w:szCs w:val="32"/>
          <w:shd w:val="clear" w:color="auto" w:fill="FFFFFF"/>
          <w:lang w:val="zh-CN"/>
        </w:rPr>
        <w:t>惠民镇</w:t>
      </w:r>
      <w:proofErr w:type="gramEnd"/>
      <w:r>
        <w:rPr>
          <w:rFonts w:ascii="仿宋_GB2312" w:eastAsia="仿宋_GB2312" w:hAnsi="宋体" w:cs="宋体" w:hint="eastAsia"/>
          <w:color w:val="000000"/>
          <w:kern w:val="0"/>
          <w:sz w:val="32"/>
          <w:szCs w:val="32"/>
          <w:shd w:val="clear" w:color="auto" w:fill="FFFFFF"/>
          <w:lang w:val="zh-CN"/>
        </w:rPr>
        <w:t>初级中学校绩效自评公开、评价结果整改和应用结果反馈优良。</w:t>
      </w:r>
    </w:p>
    <w:p w:rsidR="00454533" w:rsidRDefault="00982C2D">
      <w:pPr>
        <w:widowControl/>
        <w:adjustRightInd w:val="0"/>
        <w:snapToGrid w:val="0"/>
        <w:spacing w:line="580" w:lineRule="exact"/>
        <w:ind w:firstLineChars="200" w:firstLine="640"/>
        <w:contextualSpacing/>
        <w:jc w:val="left"/>
        <w:outlineLvl w:val="1"/>
        <w:rPr>
          <w:rFonts w:ascii="黑体" w:eastAsia="黑体" w:hAnsi="宋体" w:cs="宋体"/>
          <w:color w:val="000000"/>
          <w:kern w:val="0"/>
          <w:sz w:val="32"/>
          <w:szCs w:val="32"/>
          <w:shd w:val="clear" w:color="auto" w:fill="FFFFFF"/>
        </w:rPr>
      </w:pPr>
      <w:bookmarkStart w:id="80" w:name="_Toc6732"/>
      <w:r>
        <w:rPr>
          <w:rFonts w:ascii="黑体" w:eastAsia="黑体" w:hAnsi="宋体" w:cs="宋体" w:hint="eastAsia"/>
          <w:color w:val="000000"/>
          <w:kern w:val="0"/>
          <w:sz w:val="32"/>
          <w:szCs w:val="32"/>
          <w:shd w:val="clear" w:color="auto" w:fill="FFFFFF"/>
        </w:rPr>
        <w:t>四、评价结论及建议</w:t>
      </w:r>
      <w:bookmarkEnd w:id="80"/>
    </w:p>
    <w:p w:rsidR="00454533" w:rsidRDefault="00982C2D">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无</w:t>
      </w:r>
    </w:p>
    <w:p w:rsidR="00454533" w:rsidRDefault="00454533">
      <w:pPr>
        <w:spacing w:line="600" w:lineRule="exact"/>
        <w:jc w:val="center"/>
        <w:rPr>
          <w:rFonts w:ascii="黑体" w:eastAsia="黑体" w:hAnsi="黑体"/>
          <w:sz w:val="44"/>
          <w:szCs w:val="44"/>
        </w:rPr>
      </w:pPr>
    </w:p>
    <w:p w:rsidR="00454533" w:rsidRDefault="00454533">
      <w:pPr>
        <w:spacing w:line="600" w:lineRule="exact"/>
        <w:jc w:val="center"/>
        <w:rPr>
          <w:rFonts w:ascii="黑体" w:eastAsia="黑体" w:hAnsi="黑体"/>
          <w:sz w:val="44"/>
          <w:szCs w:val="44"/>
        </w:rPr>
      </w:pPr>
    </w:p>
    <w:p w:rsidR="00454533" w:rsidRDefault="00454533">
      <w:pPr>
        <w:spacing w:line="600" w:lineRule="exact"/>
        <w:jc w:val="center"/>
        <w:rPr>
          <w:rFonts w:ascii="黑体" w:eastAsia="黑体" w:hAnsi="黑体"/>
          <w:sz w:val="44"/>
          <w:szCs w:val="44"/>
        </w:rPr>
      </w:pPr>
    </w:p>
    <w:p w:rsidR="00454533" w:rsidRDefault="00454533">
      <w:pPr>
        <w:pStyle w:val="a0"/>
        <w:spacing w:before="93"/>
      </w:pPr>
    </w:p>
    <w:p w:rsidR="00454533" w:rsidRDefault="00454533">
      <w:pPr>
        <w:spacing w:line="600" w:lineRule="exact"/>
        <w:jc w:val="center"/>
        <w:outlineLvl w:val="0"/>
        <w:rPr>
          <w:rFonts w:ascii="黑体" w:eastAsia="黑体" w:hAnsi="黑体"/>
          <w:sz w:val="44"/>
          <w:szCs w:val="44"/>
        </w:rPr>
      </w:pPr>
      <w:bookmarkStart w:id="81" w:name="_Toc10793"/>
    </w:p>
    <w:p w:rsidR="00EA45C6" w:rsidRDefault="00EA45C6" w:rsidP="00EA45C6">
      <w:pPr>
        <w:pStyle w:val="a0"/>
        <w:spacing w:before="93"/>
      </w:pPr>
    </w:p>
    <w:p w:rsidR="00EA45C6" w:rsidRDefault="00EA45C6" w:rsidP="00EA45C6">
      <w:pPr>
        <w:pStyle w:val="a0"/>
        <w:spacing w:before="93"/>
      </w:pPr>
    </w:p>
    <w:p w:rsidR="00EA45C6" w:rsidRDefault="00EA45C6" w:rsidP="00EA45C6">
      <w:pPr>
        <w:pStyle w:val="a0"/>
        <w:spacing w:before="93"/>
      </w:pPr>
    </w:p>
    <w:p w:rsidR="00EA45C6" w:rsidRDefault="00EA45C6" w:rsidP="00EA45C6">
      <w:pPr>
        <w:pStyle w:val="a0"/>
        <w:spacing w:before="93"/>
      </w:pPr>
    </w:p>
    <w:p w:rsidR="00EA45C6" w:rsidRDefault="00EA45C6" w:rsidP="00EA45C6">
      <w:pPr>
        <w:pStyle w:val="a0"/>
        <w:spacing w:before="93"/>
      </w:pPr>
    </w:p>
    <w:p w:rsidR="00EA45C6" w:rsidRDefault="00EA45C6" w:rsidP="00EA45C6">
      <w:pPr>
        <w:pStyle w:val="a0"/>
        <w:spacing w:before="93"/>
      </w:pPr>
    </w:p>
    <w:p w:rsidR="00EA45C6" w:rsidRDefault="00EA45C6" w:rsidP="00EA45C6">
      <w:pPr>
        <w:pStyle w:val="a0"/>
        <w:spacing w:before="93"/>
      </w:pPr>
    </w:p>
    <w:p w:rsidR="00EA45C6" w:rsidRPr="00EA45C6" w:rsidRDefault="00EA45C6" w:rsidP="00EA45C6">
      <w:pPr>
        <w:pStyle w:val="a0"/>
        <w:spacing w:before="93"/>
      </w:pPr>
    </w:p>
    <w:p w:rsidR="00454533" w:rsidRDefault="00454533">
      <w:pPr>
        <w:spacing w:line="600" w:lineRule="exact"/>
        <w:jc w:val="center"/>
        <w:outlineLvl w:val="0"/>
        <w:rPr>
          <w:rFonts w:ascii="黑体" w:eastAsia="黑体" w:hAnsi="黑体"/>
          <w:sz w:val="44"/>
          <w:szCs w:val="44"/>
        </w:rPr>
      </w:pPr>
    </w:p>
    <w:p w:rsidR="00454533" w:rsidRDefault="00982C2D">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82" w:name="_Toc15396619"/>
      <w:bookmarkEnd w:id="74"/>
      <w:bookmarkEnd w:id="75"/>
      <w:bookmarkEnd w:id="81"/>
    </w:p>
    <w:p w:rsidR="00454533" w:rsidRDefault="00982C2D">
      <w:pPr>
        <w:pStyle w:val="2"/>
        <w:rPr>
          <w:rFonts w:ascii="仿宋" w:eastAsia="仿宋" w:hAnsi="仿宋"/>
        </w:rPr>
      </w:pPr>
      <w:bookmarkStart w:id="83" w:name="_Toc22535"/>
      <w:r>
        <w:rPr>
          <w:rFonts w:ascii="仿宋" w:eastAsia="仿宋" w:hAnsi="仿宋" w:hint="eastAsia"/>
          <w:b w:val="0"/>
        </w:rPr>
        <w:t>一、收</w:t>
      </w:r>
      <w:r>
        <w:rPr>
          <w:rStyle w:val="2Char"/>
          <w:rFonts w:ascii="仿宋" w:eastAsia="仿宋" w:hAnsi="仿宋" w:hint="eastAsia"/>
        </w:rPr>
        <w:t>入支出决算总表</w:t>
      </w:r>
      <w:bookmarkEnd w:id="82"/>
      <w:bookmarkEnd w:id="83"/>
    </w:p>
    <w:p w:rsidR="00454533" w:rsidRDefault="00982C2D">
      <w:pPr>
        <w:pStyle w:val="2"/>
        <w:rPr>
          <w:rFonts w:ascii="仿宋" w:eastAsia="仿宋" w:hAnsi="仿宋"/>
        </w:rPr>
      </w:pPr>
      <w:bookmarkStart w:id="84" w:name="_Toc5567"/>
      <w:bookmarkStart w:id="85" w:name="_Toc15396620"/>
      <w:r>
        <w:rPr>
          <w:rFonts w:ascii="仿宋" w:eastAsia="仿宋" w:hAnsi="仿宋" w:hint="eastAsia"/>
          <w:b w:val="0"/>
        </w:rPr>
        <w:t>二、收</w:t>
      </w:r>
      <w:r>
        <w:rPr>
          <w:rStyle w:val="2Char"/>
          <w:rFonts w:ascii="仿宋" w:eastAsia="仿宋" w:hAnsi="仿宋" w:hint="eastAsia"/>
        </w:rPr>
        <w:t>入决算表</w:t>
      </w:r>
      <w:bookmarkEnd w:id="84"/>
      <w:bookmarkEnd w:id="85"/>
    </w:p>
    <w:p w:rsidR="00454533" w:rsidRDefault="00982C2D">
      <w:pPr>
        <w:pStyle w:val="2"/>
        <w:rPr>
          <w:rFonts w:ascii="仿宋" w:eastAsia="仿宋" w:hAnsi="仿宋"/>
        </w:rPr>
      </w:pPr>
      <w:bookmarkStart w:id="86" w:name="_Toc15396621"/>
      <w:bookmarkStart w:id="87" w:name="_Toc10124"/>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86"/>
      <w:bookmarkEnd w:id="87"/>
    </w:p>
    <w:p w:rsidR="00454533" w:rsidRDefault="00982C2D">
      <w:pPr>
        <w:pStyle w:val="2"/>
        <w:rPr>
          <w:rFonts w:ascii="仿宋" w:eastAsia="仿宋" w:hAnsi="仿宋"/>
          <w:b w:val="0"/>
        </w:rPr>
      </w:pPr>
      <w:bookmarkStart w:id="88" w:name="_Toc15396622"/>
      <w:bookmarkStart w:id="89" w:name="_Toc28277"/>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88"/>
      <w:bookmarkEnd w:id="89"/>
    </w:p>
    <w:p w:rsidR="00454533" w:rsidRDefault="00982C2D">
      <w:pPr>
        <w:pStyle w:val="2"/>
        <w:rPr>
          <w:rStyle w:val="2Char"/>
          <w:rFonts w:ascii="仿宋" w:eastAsia="仿宋" w:hAnsi="仿宋"/>
        </w:rPr>
      </w:pPr>
      <w:bookmarkStart w:id="90" w:name="_Toc19771"/>
      <w:bookmarkStart w:id="91"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92" w:name="_Toc15396624"/>
      <w:bookmarkEnd w:id="90"/>
      <w:bookmarkEnd w:id="91"/>
    </w:p>
    <w:p w:rsidR="00454533" w:rsidRDefault="00982C2D">
      <w:pPr>
        <w:pStyle w:val="2"/>
        <w:rPr>
          <w:rFonts w:ascii="仿宋" w:eastAsia="仿宋" w:hAnsi="仿宋"/>
        </w:rPr>
      </w:pPr>
      <w:bookmarkStart w:id="93" w:name="_Toc23827"/>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92"/>
      <w:bookmarkEnd w:id="93"/>
    </w:p>
    <w:p w:rsidR="00454533" w:rsidRDefault="00982C2D">
      <w:pPr>
        <w:pStyle w:val="2"/>
        <w:rPr>
          <w:rFonts w:ascii="仿宋" w:eastAsia="仿宋" w:hAnsi="仿宋"/>
        </w:rPr>
      </w:pPr>
      <w:bookmarkStart w:id="94" w:name="_Toc15396625"/>
      <w:bookmarkStart w:id="95" w:name="_Toc5373"/>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94"/>
      <w:bookmarkEnd w:id="95"/>
    </w:p>
    <w:p w:rsidR="00454533" w:rsidRDefault="00982C2D">
      <w:pPr>
        <w:pStyle w:val="2"/>
        <w:rPr>
          <w:rFonts w:ascii="仿宋" w:eastAsia="仿宋" w:hAnsi="仿宋"/>
        </w:rPr>
      </w:pPr>
      <w:bookmarkStart w:id="96" w:name="_Toc15396626"/>
      <w:bookmarkStart w:id="97" w:name="_Toc13083"/>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96"/>
      <w:bookmarkEnd w:id="97"/>
    </w:p>
    <w:p w:rsidR="00454533" w:rsidRDefault="00982C2D">
      <w:pPr>
        <w:pStyle w:val="2"/>
        <w:rPr>
          <w:rFonts w:ascii="仿宋" w:eastAsia="仿宋" w:hAnsi="仿宋"/>
        </w:rPr>
      </w:pPr>
      <w:bookmarkStart w:id="98" w:name="_Toc21150"/>
      <w:bookmarkStart w:id="99"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98"/>
      <w:bookmarkEnd w:id="99"/>
    </w:p>
    <w:p w:rsidR="00454533" w:rsidRDefault="00982C2D">
      <w:pPr>
        <w:pStyle w:val="2"/>
        <w:rPr>
          <w:rFonts w:ascii="仿宋" w:eastAsia="仿宋" w:hAnsi="仿宋"/>
        </w:rPr>
      </w:pPr>
      <w:bookmarkStart w:id="100" w:name="_Toc15396628"/>
      <w:bookmarkStart w:id="101" w:name="_Toc25650"/>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100"/>
      <w:bookmarkEnd w:id="101"/>
    </w:p>
    <w:p w:rsidR="00454533" w:rsidRDefault="00982C2D">
      <w:pPr>
        <w:pStyle w:val="2"/>
        <w:rPr>
          <w:rFonts w:ascii="仿宋" w:eastAsia="仿宋" w:hAnsi="仿宋"/>
        </w:rPr>
      </w:pPr>
      <w:bookmarkStart w:id="102" w:name="_Toc1551"/>
      <w:bookmarkStart w:id="103"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102"/>
      <w:bookmarkEnd w:id="103"/>
    </w:p>
    <w:p w:rsidR="00454533" w:rsidRDefault="00982C2D">
      <w:pPr>
        <w:pStyle w:val="2"/>
        <w:rPr>
          <w:rFonts w:ascii="仿宋" w:eastAsia="仿宋" w:hAnsi="仿宋"/>
        </w:rPr>
      </w:pPr>
      <w:bookmarkStart w:id="104" w:name="_Toc15396630"/>
      <w:bookmarkStart w:id="105" w:name="_Toc26588"/>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104"/>
      <w:bookmarkEnd w:id="105"/>
    </w:p>
    <w:p w:rsidR="00454533" w:rsidRDefault="00982C2D">
      <w:pPr>
        <w:pStyle w:val="2"/>
        <w:rPr>
          <w:rStyle w:val="2Char"/>
          <w:rFonts w:ascii="仿宋" w:eastAsia="仿宋" w:hAnsi="仿宋"/>
        </w:rPr>
      </w:pPr>
      <w:bookmarkStart w:id="106" w:name="_Toc19128"/>
      <w:bookmarkStart w:id="107"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106"/>
      <w:bookmarkEnd w:id="107"/>
    </w:p>
    <w:p w:rsidR="00454533" w:rsidRDefault="00982C2D">
      <w:pPr>
        <w:rPr>
          <w:rFonts w:eastAsia="仿宋"/>
        </w:rPr>
      </w:pPr>
      <w:bookmarkStart w:id="108" w:name="_Toc11791"/>
      <w:r>
        <w:rPr>
          <w:rStyle w:val="2Char"/>
          <w:rFonts w:ascii="仿宋" w:eastAsia="仿宋" w:hAnsi="仿宋" w:hint="eastAsia"/>
          <w:b w:val="0"/>
          <w:bCs w:val="0"/>
        </w:rPr>
        <w:t>十四、国有资本经营预算财政拨款支出决算表</w:t>
      </w:r>
      <w:bookmarkEnd w:id="108"/>
    </w:p>
    <w:sectPr w:rsidR="00454533">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41AD" w:rsidRDefault="00FF41AD">
      <w:r>
        <w:separator/>
      </w:r>
    </w:p>
  </w:endnote>
  <w:endnote w:type="continuationSeparator" w:id="0">
    <w:p w:rsidR="00FF41AD" w:rsidRDefault="00FF4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00000001" w:usb1="080E0000" w:usb2="00000010" w:usb3="00000000" w:csb0="00040000" w:csb1="00000000"/>
    <w:embedRegular r:id="rId1" w:subsetted="1" w:fontKey="{F249DF76-C10E-44D7-B3CE-E0B5FB8439E7}"/>
    <w:embedBold r:id="rId2" w:subsetted="1" w:fontKey="{AB46F095-1ED5-472A-B1A3-D7D02E1007BE}"/>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embedRegular r:id="rId3" w:subsetted="1" w:fontKey="{347B9417-3052-456C-AD2D-8247D501716A}"/>
    <w:embedBold r:id="rId4" w:subsetted="1" w:fontKey="{00A86E83-7F58-4EB2-9772-FF7309362BEA}"/>
  </w:font>
  <w:font w:name="Calibri">
    <w:panose1 w:val="020F0502020204030204"/>
    <w:charset w:val="00"/>
    <w:family w:val="swiss"/>
    <w:pitch w:val="variable"/>
    <w:sig w:usb0="E4002EFF" w:usb1="C000247B" w:usb2="00000009" w:usb3="00000000" w:csb0="000001FF" w:csb1="00000000"/>
    <w:embedRegular r:id="rId5" w:subsetted="1" w:fontKey="{E36A3249-20E7-4ECE-83A3-C7DDB4B15046}"/>
  </w:font>
  <w:font w:name="仿宋">
    <w:panose1 w:val="02010609060101010101"/>
    <w:charset w:val="86"/>
    <w:family w:val="modern"/>
    <w:pitch w:val="fixed"/>
    <w:sig w:usb0="800002BF" w:usb1="38CF7CFA" w:usb2="00000016" w:usb3="00000000" w:csb0="00040001" w:csb1="00000000"/>
    <w:embedRegular r:id="rId6" w:subsetted="1" w:fontKey="{54B0CD1B-38E6-46E2-8849-11277105061C}"/>
    <w:embedBold r:id="rId7" w:subsetted="1" w:fontKey="{9A7114A9-A99E-4178-BE01-655D2EA6FB1E}"/>
  </w:font>
  <w:font w:name="楷体_GB2312">
    <w:panose1 w:val="02010609030101010101"/>
    <w:charset w:val="86"/>
    <w:family w:val="modern"/>
    <w:pitch w:val="fixed"/>
    <w:sig w:usb0="00000001" w:usb1="080E0000" w:usb2="00000010" w:usb3="00000000" w:csb0="00040000" w:csb1="00000000"/>
    <w:embedRegular r:id="rId8" w:subsetted="1" w:fontKey="{3C9438A9-6901-45A5-9A3A-76804B99F0B5}"/>
  </w:font>
  <w:font w:name="方正小标宋简体">
    <w:panose1 w:val="03000509000000000000"/>
    <w:charset w:val="86"/>
    <w:family w:val="script"/>
    <w:pitch w:val="fixed"/>
    <w:sig w:usb0="00000001" w:usb1="080E0000" w:usb2="00000010" w:usb3="00000000" w:csb0="00040000" w:csb1="00000000"/>
    <w:embedRegular r:id="rId9" w:subsetted="1" w:fontKey="{56324451-0F87-4E4A-9292-172FCF7A6D2A}"/>
  </w:font>
  <w:font w:name="方正仿宋_GB2312">
    <w:altName w:val="仿宋"/>
    <w:charset w:val="86"/>
    <w:family w:val="auto"/>
    <w:pitch w:val="default"/>
    <w:sig w:usb0="00000000" w:usb1="00000000" w:usb2="00000012" w:usb3="00000000" w:csb0="00040001" w:csb1="00000000"/>
    <w:embedRegular r:id="rId10" w:subsetted="1" w:fontKey="{F803B01F-4C54-44DF-A005-B8F270313C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C2D" w:rsidRDefault="00982C2D">
    <w:pPr>
      <w:pStyle w:val="a5"/>
      <w:jc w:val="center"/>
    </w:pPr>
    <w:r>
      <w:fldChar w:fldCharType="begin"/>
    </w:r>
    <w:r>
      <w:instrText>PAGE   \* MERGEFORMAT</w:instrText>
    </w:r>
    <w:r>
      <w:fldChar w:fldCharType="separate"/>
    </w:r>
    <w:r>
      <w:rPr>
        <w:lang w:val="zh-CN"/>
      </w:rPr>
      <w:t>17</w:t>
    </w:r>
    <w:r>
      <w:rPr>
        <w:lang w:val="zh-CN"/>
      </w:rPr>
      <w:fldChar w:fldCharType="end"/>
    </w:r>
  </w:p>
  <w:p w:rsidR="00982C2D" w:rsidRDefault="00982C2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C2D" w:rsidRDefault="00982C2D">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C2D" w:rsidRDefault="00982C2D">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982C2D" w:rsidRDefault="00982C2D">
        <w:pPr>
          <w:pStyle w:val="a5"/>
          <w:jc w:val="center"/>
        </w:pPr>
        <w:r>
          <w:fldChar w:fldCharType="begin"/>
        </w:r>
        <w:r>
          <w:instrText>PAGE   \* MERGEFORMAT</w:instrText>
        </w:r>
        <w:r>
          <w:fldChar w:fldCharType="separate"/>
        </w:r>
        <w:r w:rsidR="00DF1E45" w:rsidRPr="00DF1E45">
          <w:rPr>
            <w:noProof/>
            <w:lang w:val="zh-CN"/>
          </w:rPr>
          <w:t>2</w:t>
        </w:r>
        <w:r>
          <w:rPr>
            <w:lang w:val="zh-CN"/>
          </w:rPr>
          <w:fldChar w:fldCharType="end"/>
        </w:r>
      </w:p>
    </w:sdtContent>
  </w:sdt>
  <w:p w:rsidR="00982C2D" w:rsidRDefault="00982C2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41AD" w:rsidRDefault="00FF41AD">
      <w:r>
        <w:separator/>
      </w:r>
    </w:p>
  </w:footnote>
  <w:footnote w:type="continuationSeparator" w:id="0">
    <w:p w:rsidR="00FF41AD" w:rsidRDefault="00FF41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2C2D" w:rsidRDefault="00982C2D">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2059948"/>
    <w:multiLevelType w:val="singleLevel"/>
    <w:tmpl w:val="82059948"/>
    <w:lvl w:ilvl="0">
      <w:start w:val="2"/>
      <w:numFmt w:val="chineseCounting"/>
      <w:suff w:val="nothing"/>
      <w:lvlText w:val="（%1）"/>
      <w:lvlJc w:val="left"/>
      <w:rPr>
        <w:rFonts w:hint="eastAsia"/>
      </w:rPr>
    </w:lvl>
  </w:abstractNum>
  <w:abstractNum w:abstractNumId="1">
    <w:nsid w:val="85AB78F4"/>
    <w:multiLevelType w:val="singleLevel"/>
    <w:tmpl w:val="85AB78F4"/>
    <w:lvl w:ilvl="0">
      <w:start w:val="1"/>
      <w:numFmt w:val="chineseCounting"/>
      <w:suff w:val="nothing"/>
      <w:lvlText w:val="%1、"/>
      <w:lvlJc w:val="left"/>
      <w:rPr>
        <w:rFonts w:hint="eastAsia"/>
      </w:rPr>
    </w:lvl>
  </w:abstractNum>
  <w:abstractNum w:abstractNumId="2">
    <w:nsid w:val="91DC04A3"/>
    <w:multiLevelType w:val="singleLevel"/>
    <w:tmpl w:val="91DC04A3"/>
    <w:lvl w:ilvl="0">
      <w:start w:val="1"/>
      <w:numFmt w:val="decimal"/>
      <w:lvlText w:val="%1."/>
      <w:lvlJc w:val="left"/>
      <w:pPr>
        <w:tabs>
          <w:tab w:val="left" w:pos="312"/>
        </w:tabs>
      </w:pPr>
    </w:lvl>
  </w:abstractNum>
  <w:abstractNum w:abstractNumId="3">
    <w:nsid w:val="CF652CEC"/>
    <w:multiLevelType w:val="singleLevel"/>
    <w:tmpl w:val="CF652CEC"/>
    <w:lvl w:ilvl="0">
      <w:start w:val="9"/>
      <w:numFmt w:val="chineseCounting"/>
      <w:suff w:val="nothing"/>
      <w:lvlText w:val="%1、"/>
      <w:lvlJc w:val="left"/>
      <w:rPr>
        <w:rFonts w:hint="eastAsia"/>
      </w:rPr>
    </w:lvl>
  </w:abstractNum>
  <w:abstractNum w:abstractNumId="4">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5">
    <w:nsid w:val="09C3F99F"/>
    <w:multiLevelType w:val="singleLevel"/>
    <w:tmpl w:val="09C3F99F"/>
    <w:lvl w:ilvl="0">
      <w:start w:val="1"/>
      <w:numFmt w:val="decimal"/>
      <w:suff w:val="nothing"/>
      <w:lvlText w:val="（%1）"/>
      <w:lvlJc w:val="left"/>
    </w:lvl>
  </w:abstractNum>
  <w:abstractNum w:abstractNumId="6">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6"/>
  </w:num>
  <w:num w:numId="3">
    <w:abstractNumId w:val="2"/>
  </w:num>
  <w:num w:numId="4">
    <w:abstractNumId w:val="3"/>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saveSubsetFonts/>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Y2ODJkZjJjODc5Y2E4NGRlZDNmZDZhZDZhZmE0NWIifQ=="/>
  </w:docVars>
  <w:rsids>
    <w:rsidRoot w:val="00F1361C"/>
    <w:rsid w:val="9E3A10E2"/>
    <w:rsid w:val="F2E1F9D4"/>
    <w:rsid w:val="F7880819"/>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01AE9"/>
    <w:rsid w:val="00114E9B"/>
    <w:rsid w:val="001208FE"/>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7451"/>
    <w:rsid w:val="00235629"/>
    <w:rsid w:val="00260C38"/>
    <w:rsid w:val="002616C0"/>
    <w:rsid w:val="00265372"/>
    <w:rsid w:val="002662AA"/>
    <w:rsid w:val="00280496"/>
    <w:rsid w:val="00294DC9"/>
    <w:rsid w:val="00295495"/>
    <w:rsid w:val="002A31DE"/>
    <w:rsid w:val="002B2613"/>
    <w:rsid w:val="002D6D05"/>
    <w:rsid w:val="002F1818"/>
    <w:rsid w:val="002F567B"/>
    <w:rsid w:val="00306A04"/>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54533"/>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2CCF"/>
    <w:rsid w:val="00623DA0"/>
    <w:rsid w:val="00630AEF"/>
    <w:rsid w:val="006325F8"/>
    <w:rsid w:val="00633463"/>
    <w:rsid w:val="00634C9A"/>
    <w:rsid w:val="006440E4"/>
    <w:rsid w:val="0066343B"/>
    <w:rsid w:val="00664777"/>
    <w:rsid w:val="00671238"/>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5A47"/>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6ED"/>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580"/>
    <w:rsid w:val="00935C98"/>
    <w:rsid w:val="00946945"/>
    <w:rsid w:val="00951248"/>
    <w:rsid w:val="0095152F"/>
    <w:rsid w:val="00954C49"/>
    <w:rsid w:val="00955E37"/>
    <w:rsid w:val="0097099F"/>
    <w:rsid w:val="00971997"/>
    <w:rsid w:val="00971FFC"/>
    <w:rsid w:val="00982C2D"/>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04FDB"/>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1E45"/>
    <w:rsid w:val="00DF28BC"/>
    <w:rsid w:val="00DF34B9"/>
    <w:rsid w:val="00E01053"/>
    <w:rsid w:val="00E07ACF"/>
    <w:rsid w:val="00E331A1"/>
    <w:rsid w:val="00E33202"/>
    <w:rsid w:val="00E336A9"/>
    <w:rsid w:val="00E472B1"/>
    <w:rsid w:val="00E50624"/>
    <w:rsid w:val="00E56841"/>
    <w:rsid w:val="00E568DF"/>
    <w:rsid w:val="00E64269"/>
    <w:rsid w:val="00E82267"/>
    <w:rsid w:val="00E853CE"/>
    <w:rsid w:val="00E867B6"/>
    <w:rsid w:val="00EA010F"/>
    <w:rsid w:val="00EA45C6"/>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05D3"/>
    <w:rsid w:val="00F350BB"/>
    <w:rsid w:val="00F36D8F"/>
    <w:rsid w:val="00F417B1"/>
    <w:rsid w:val="00F45853"/>
    <w:rsid w:val="00F47C17"/>
    <w:rsid w:val="00F602DF"/>
    <w:rsid w:val="00F754A1"/>
    <w:rsid w:val="00F81FD9"/>
    <w:rsid w:val="00F841AA"/>
    <w:rsid w:val="00F84A94"/>
    <w:rsid w:val="00F87E96"/>
    <w:rsid w:val="00F95721"/>
    <w:rsid w:val="00FA23E8"/>
    <w:rsid w:val="00FC22E2"/>
    <w:rsid w:val="00FD3CC1"/>
    <w:rsid w:val="00FF1E02"/>
    <w:rsid w:val="00FF30B4"/>
    <w:rsid w:val="00FF41AD"/>
    <w:rsid w:val="010351AA"/>
    <w:rsid w:val="024B75CE"/>
    <w:rsid w:val="0A2032A3"/>
    <w:rsid w:val="0B8A37D8"/>
    <w:rsid w:val="10C055FF"/>
    <w:rsid w:val="10E324EC"/>
    <w:rsid w:val="118107EC"/>
    <w:rsid w:val="11DD6519"/>
    <w:rsid w:val="16BB723D"/>
    <w:rsid w:val="18015F3F"/>
    <w:rsid w:val="18F733EE"/>
    <w:rsid w:val="1B8D6C9F"/>
    <w:rsid w:val="1BE8440E"/>
    <w:rsid w:val="1D155CEE"/>
    <w:rsid w:val="20EA3839"/>
    <w:rsid w:val="20F57F95"/>
    <w:rsid w:val="240371BF"/>
    <w:rsid w:val="25C741E6"/>
    <w:rsid w:val="27842671"/>
    <w:rsid w:val="29FD04D3"/>
    <w:rsid w:val="2ABE7A3E"/>
    <w:rsid w:val="2EFA178C"/>
    <w:rsid w:val="30B46D73"/>
    <w:rsid w:val="319F7F4E"/>
    <w:rsid w:val="32FD320A"/>
    <w:rsid w:val="39AE70AB"/>
    <w:rsid w:val="3B0555C7"/>
    <w:rsid w:val="3C0C0783"/>
    <w:rsid w:val="3D2D601D"/>
    <w:rsid w:val="3F6A6AE7"/>
    <w:rsid w:val="3F9F3A96"/>
    <w:rsid w:val="493C27E9"/>
    <w:rsid w:val="496F39ED"/>
    <w:rsid w:val="49FF41D3"/>
    <w:rsid w:val="4BE068DB"/>
    <w:rsid w:val="4BF6002B"/>
    <w:rsid w:val="4CA6743F"/>
    <w:rsid w:val="4ECE2238"/>
    <w:rsid w:val="51DB4B86"/>
    <w:rsid w:val="55333C3E"/>
    <w:rsid w:val="5669226E"/>
    <w:rsid w:val="5A23546F"/>
    <w:rsid w:val="5E4A533B"/>
    <w:rsid w:val="5F076D88"/>
    <w:rsid w:val="5F16714B"/>
    <w:rsid w:val="64CA39A1"/>
    <w:rsid w:val="69282492"/>
    <w:rsid w:val="6C4A05C8"/>
    <w:rsid w:val="6E226ACE"/>
    <w:rsid w:val="6E662D63"/>
    <w:rsid w:val="6EF30E1A"/>
    <w:rsid w:val="72734D90"/>
    <w:rsid w:val="759A6034"/>
    <w:rsid w:val="79E7B28D"/>
    <w:rsid w:val="7AF85538"/>
    <w:rsid w:val="7C1A7CA3"/>
    <w:rsid w:val="7D894E51"/>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3F5F5380-4F90-4F20-A692-95A8B4FEB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1"/>
    <w:uiPriority w:val="99"/>
    <w:qFormat/>
    <w:rPr>
      <w:b/>
    </w:rPr>
  </w:style>
  <w:style w:type="character" w:styleId="a8">
    <w:name w:val="Hyperlink"/>
    <w:basedOn w:val="a1"/>
    <w:uiPriority w:val="99"/>
    <w:unhideWhenUsed/>
    <w:qFormat/>
    <w:rPr>
      <w:color w:val="0000FF" w:themeColor="hyperlink"/>
      <w:u w:val="single"/>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6"/>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5"/>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Char">
    <w:name w:val="标题 2 Char"/>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71">
    <w:name w:val="font71"/>
    <w:basedOn w:val="a1"/>
    <w:qFormat/>
    <w:rPr>
      <w:rFonts w:ascii="Times New Roman" w:eastAsia="楷体_GB2312" w:hAnsi="Times New Roman" w:cs="Times New Roman" w:hint="default"/>
      <w:kern w:val="0"/>
      <w:sz w:val="28"/>
      <w:szCs w:val="24"/>
      <w:lang w:eastAsia="en-US"/>
    </w:rPr>
  </w:style>
  <w:style w:type="paragraph" w:customStyle="1" w:styleId="WPSOffice1">
    <w:name w:val="WPSOffice手动目录 1"/>
    <w:qFormat/>
  </w:style>
  <w:style w:type="paragraph" w:customStyle="1" w:styleId="WPSOffice2">
    <w:name w:val="WPSOffice手动目录 2"/>
    <w:qFormat/>
    <w:pPr>
      <w:ind w:leftChars="200"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3.xml"/><Relationship Id="rId1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styles" Target="styles.xml"/><Relationship Id="rId16" Type="http://schemas.openxmlformats.org/officeDocument/2006/relationships/chart" Target="charts/chart6.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1.xml"/><Relationship Id="rId5" Type="http://schemas.openxmlformats.org/officeDocument/2006/relationships/footnotes" Target="footnotes.xml"/><Relationship Id="rId15" Type="http://schemas.openxmlformats.org/officeDocument/2006/relationships/chart" Target="charts/chart5.xml"/><Relationship Id="rId10" Type="http://schemas.openxmlformats.org/officeDocument/2006/relationships/footer" Target="footer3.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Administrator\Desktop\2022&#24180;&#27604;&#20363;&#2227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47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57491909385113305"/>
          <c:y val="0.92513966480446896"/>
        </c:manualLayout>
      </c:layout>
      <c:overlay val="0"/>
    </c:title>
    <c:autoTitleDeleted val="0"/>
    <c:plotArea>
      <c:layout/>
      <c:barChart>
        <c:barDir val="col"/>
        <c:grouping val="clustered"/>
        <c:varyColors val="0"/>
        <c:ser>
          <c:idx val="0"/>
          <c:order val="0"/>
          <c:spPr>
            <a:solidFill>
              <a:srgbClr val="9999FF"/>
            </a:solidFill>
            <a:ln w="12700">
              <a:solidFill>
                <a:srgbClr val="000000"/>
              </a:solidFill>
            </a:ln>
          </c:spPr>
          <c:invertIfNegative val="0"/>
          <c:val>
            <c:numRef>
              <c:f>[2022年比例图.xls]Sheet1!$A$2:$D$2</c:f>
              <c:numCache>
                <c:formatCode>General</c:formatCode>
                <c:ptCount val="4"/>
                <c:pt idx="0">
                  <c:v>0</c:v>
                </c:pt>
                <c:pt idx="1">
                  <c:v>0</c:v>
                </c:pt>
                <c:pt idx="2">
                  <c:v>0</c:v>
                </c:pt>
                <c:pt idx="3" formatCode="0%">
                  <c:v>1</c:v>
                </c:pt>
              </c:numCache>
            </c:numRef>
          </c:val>
        </c:ser>
        <c:ser>
          <c:idx val="1"/>
          <c:order val="1"/>
          <c:spPr>
            <a:solidFill>
              <a:srgbClr val="993366"/>
            </a:solidFill>
            <a:ln w="12700">
              <a:solidFill>
                <a:srgbClr val="000000"/>
              </a:solidFill>
            </a:ln>
          </c:spPr>
          <c:invertIfNegative val="0"/>
          <c:val>
            <c:numRef>
              <c:f>[2022年比例图.xls]Sheet1!$A$3:$D$3</c:f>
              <c:numCache>
                <c:formatCode>General</c:formatCode>
                <c:ptCount val="4"/>
                <c:pt idx="0">
                  <c:v>444.14</c:v>
                </c:pt>
                <c:pt idx="1">
                  <c:v>438.47</c:v>
                </c:pt>
                <c:pt idx="2">
                  <c:v>208.84</c:v>
                </c:pt>
                <c:pt idx="3">
                  <c:v>7.6</c:v>
                </c:pt>
              </c:numCache>
            </c:numRef>
          </c:val>
        </c:ser>
        <c:dLbls>
          <c:showLegendKey val="0"/>
          <c:showVal val="0"/>
          <c:showCatName val="0"/>
          <c:showSerName val="0"/>
          <c:showPercent val="0"/>
          <c:showBubbleSize val="0"/>
        </c:dLbls>
        <c:gapWidth val="150"/>
        <c:axId val="519769400"/>
        <c:axId val="519770968"/>
      </c:barChart>
      <c:catAx>
        <c:axId val="519769400"/>
        <c:scaling>
          <c:orientation val="minMax"/>
        </c:scaling>
        <c:delete val="0"/>
        <c:axPos val="b"/>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19770968"/>
        <c:crosses val="autoZero"/>
        <c:auto val="1"/>
        <c:lblAlgn val="ctr"/>
        <c:lblOffset val="100"/>
        <c:noMultiLvlLbl val="0"/>
      </c:catAx>
      <c:valAx>
        <c:axId val="519770968"/>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19769400"/>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2049999999999998"/>
          <c:y val="0.45874999999999999"/>
          <c:w val="6.9500000000000006E-2"/>
          <c:h val="0.14124999999999999"/>
        </c:manualLayout>
      </c:layout>
      <c:overlay val="0"/>
      <c:spPr>
        <a:solidFill>
          <a:srgbClr val="FFFFFF"/>
        </a:solidFill>
        <a:ln>
          <a:solidFill>
            <a:srgbClr val="000000"/>
          </a:solidFill>
        </a:ln>
      </c:spPr>
      <c:txPr>
        <a:bodyPr rot="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收入决算结构图</a:t>
            </a:r>
            <a:endParaRPr lang="zh-CN" altLang="en-US" sz="47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overlay val="0"/>
    </c:title>
    <c:autoTitleDeleted val="0"/>
    <c:plotArea>
      <c:layout>
        <c:manualLayout>
          <c:layoutTarget val="inner"/>
          <c:xMode val="edge"/>
          <c:yMode val="edge"/>
          <c:x val="0.12270955165692"/>
          <c:y val="0.25903614457831298"/>
          <c:w val="0.40175438596491198"/>
          <c:h val="0.73033309709425898"/>
        </c:manualLayout>
      </c:layout>
      <c:pieChart>
        <c:varyColors val="1"/>
        <c:ser>
          <c:idx val="0"/>
          <c:order val="0"/>
          <c:spPr>
            <a:solidFill>
              <a:srgbClr val="9999FF"/>
            </a:solidFill>
            <a:ln w="12700">
              <a:solidFill>
                <a:srgbClr val="000000"/>
              </a:solidFill>
              <a:prstDash val="solid"/>
            </a:ln>
          </c:spPr>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Pt>
            <c:idx val="6"/>
            <c:bubble3D val="0"/>
            <c:spPr>
              <a:solidFill>
                <a:srgbClr val="0066CC"/>
              </a:solidFill>
              <a:ln w="12700">
                <a:solidFill>
                  <a:srgbClr val="000000"/>
                </a:solidFill>
                <a:prstDash val="solid"/>
              </a:ln>
              <a:effectLst/>
            </c:spPr>
          </c:dPt>
          <c:dPt>
            <c:idx val="7"/>
            <c:bubble3D val="0"/>
            <c:spPr>
              <a:solidFill>
                <a:srgbClr val="CCCCFF"/>
              </a:solidFill>
              <a:ln w="12700">
                <a:solidFill>
                  <a:srgbClr val="000000"/>
                </a:solidFill>
                <a:prstDash val="solid"/>
              </a:ln>
              <a:effectLst/>
            </c:spPr>
          </c:dPt>
          <c:cat>
            <c:strRef>
              <c:f>[2022年比例图.xls]Sheet1!$A$21:$H$21</c:f>
              <c:strCache>
                <c:ptCount val="8"/>
                <c:pt idx="0">
                  <c:v>一、一般公共预算财政拨款收入</c:v>
                </c:pt>
                <c:pt idx="1">
                  <c:v>二、政府性基金预算财政拨款</c:v>
                </c:pt>
                <c:pt idx="2">
                  <c:v>三、国有资本经营预算财政拨款收入</c:v>
                </c:pt>
                <c:pt idx="3">
                  <c:v>四、上级补助收入</c:v>
                </c:pt>
                <c:pt idx="4">
                  <c:v>五、事业收入</c:v>
                </c:pt>
                <c:pt idx="5">
                  <c:v>六、经营收入</c:v>
                </c:pt>
                <c:pt idx="6">
                  <c:v>七、附属单位上缴收入</c:v>
                </c:pt>
                <c:pt idx="7">
                  <c:v>八、其他收入</c:v>
                </c:pt>
              </c:strCache>
            </c:strRef>
          </c:cat>
          <c:val>
            <c:numRef>
              <c:f>[2022年比例图.xls]Sheet1!$A$22:$H$22</c:f>
              <c:numCache>
                <c:formatCode>General</c:formatCode>
                <c:ptCount val="8"/>
                <c:pt idx="0">
                  <c:v>1004.1</c:v>
                </c:pt>
                <c:pt idx="1">
                  <c:v>0</c:v>
                </c:pt>
                <c:pt idx="2">
                  <c:v>0</c:v>
                </c:pt>
                <c:pt idx="3">
                  <c:v>0</c:v>
                </c:pt>
                <c:pt idx="4">
                  <c:v>0</c:v>
                </c:pt>
                <c:pt idx="5">
                  <c:v>0</c:v>
                </c:pt>
                <c:pt idx="6">
                  <c:v>0</c:v>
                </c:pt>
                <c:pt idx="7">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6074999999999995"/>
          <c:y val="0.29049999999999998"/>
          <c:w val="0.32724999999999999"/>
          <c:h val="0.53625"/>
        </c:manualLayout>
      </c:layout>
      <c:overlay val="0"/>
      <c:spPr>
        <a:solidFill>
          <a:srgbClr val="FFFFFF"/>
        </a:solidFill>
        <a:ln>
          <a:solidFill>
            <a:srgbClr val="000000"/>
          </a:solidFill>
        </a:ln>
      </c:spPr>
      <c:txPr>
        <a:bodyPr rot="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solidFill>
              <a:srgbClr val="9999FF"/>
            </a:solidFill>
            <a:ln w="12700">
              <a:solidFill>
                <a:srgbClr val="000000"/>
              </a:solidFill>
              <a:prstDash val="solid"/>
            </a:ln>
          </c:spPr>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Lbls>
            <c:spPr>
              <a:noFill/>
              <a:ln>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0"/>
            <c:showVal val="1"/>
            <c:showCatName val="0"/>
            <c:showSerName val="0"/>
            <c:showPercent val="1"/>
            <c:showBubbleSize val="0"/>
            <c:showLeaderLines val="1"/>
            <c:extLst>
              <c:ext xmlns:c15="http://schemas.microsoft.com/office/drawing/2012/chart" uri="{CE6537A1-D6FC-4f65-9D91-7224C49458BB}"/>
            </c:extLst>
          </c:dLbls>
          <c:cat>
            <c:multiLvlStrRef>
              <c:f>[2022年比例图.xls]Sheet1!$A$35:$E$36</c:f>
              <c:multiLvlStrCache>
                <c:ptCount val="5"/>
                <c:lvl>
                  <c:pt idx="0">
                    <c:v>基本支出</c:v>
                  </c:pt>
                  <c:pt idx="1">
                    <c:v>项目支出</c:v>
                  </c:pt>
                  <c:pt idx="2">
                    <c:v>经营支出</c:v>
                  </c:pt>
                  <c:pt idx="3">
                    <c:v>附属单位补助支出</c:v>
                  </c:pt>
                  <c:pt idx="4">
                    <c:v>上缴上级支出</c:v>
                  </c:pt>
                </c:lvl>
                <c:lvl>
                  <c:pt idx="0">
                    <c:v>支出决算结构图</c:v>
                  </c:pt>
                </c:lvl>
              </c:multiLvlStrCache>
            </c:multiLvlStrRef>
          </c:cat>
          <c:val>
            <c:numRef>
              <c:f>[2022年比例图.xls]Sheet1!$A$37:$E$37</c:f>
              <c:numCache>
                <c:formatCode>General</c:formatCode>
                <c:ptCount val="5"/>
                <c:pt idx="0">
                  <c:v>414.59</c:v>
                </c:pt>
                <c:pt idx="1">
                  <c:v>23.89</c:v>
                </c:pt>
                <c:pt idx="2">
                  <c:v>0</c:v>
                </c:pt>
                <c:pt idx="3">
                  <c:v>0</c:v>
                </c:pt>
                <c:pt idx="4">
                  <c:v>0</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r"/>
      <c:layout>
        <c:manualLayout>
          <c:xMode val="edge"/>
          <c:yMode val="edge"/>
          <c:x val="0.67125000000000001"/>
          <c:y val="0.20474999999999999"/>
          <c:w val="0.32124999999999998"/>
          <c:h val="0.58225000000000005"/>
        </c:manualLayout>
      </c:layout>
      <c:overlay val="0"/>
      <c:spPr>
        <a:solidFill>
          <a:srgbClr val="FFFFFF"/>
        </a:solidFill>
        <a:ln>
          <a:solidFill>
            <a:srgbClr val="000000"/>
          </a:solidFill>
        </a:ln>
      </c:spPr>
      <c:txPr>
        <a:bodyPr rot="0" spcFirstLastPara="0" vertOverflow="ellipsis" vert="horz" wrap="square"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8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收、支决算总计变动情况图</a:t>
            </a:r>
            <a:endParaRPr lang="zh-CN" altLang="en-US" sz="47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57491909385113305"/>
          <c:y val="0.92513966480446896"/>
        </c:manualLayout>
      </c:layout>
      <c:overlay val="0"/>
    </c:title>
    <c:autoTitleDeleted val="0"/>
    <c:plotArea>
      <c:layout/>
      <c:barChart>
        <c:barDir val="col"/>
        <c:grouping val="clustered"/>
        <c:varyColors val="0"/>
        <c:ser>
          <c:idx val="0"/>
          <c:order val="0"/>
          <c:spPr>
            <a:solidFill>
              <a:srgbClr val="9999FF"/>
            </a:solidFill>
            <a:ln w="12700">
              <a:solidFill>
                <a:srgbClr val="000000"/>
              </a:solidFill>
            </a:ln>
          </c:spPr>
          <c:invertIfNegative val="0"/>
          <c:val>
            <c:numRef>
              <c:f>[2022年比例图.xls]Sheet1!$A$2:$D$2</c:f>
              <c:numCache>
                <c:formatCode>General</c:formatCode>
                <c:ptCount val="4"/>
                <c:pt idx="0">
                  <c:v>0</c:v>
                </c:pt>
                <c:pt idx="1">
                  <c:v>0</c:v>
                </c:pt>
                <c:pt idx="2">
                  <c:v>0</c:v>
                </c:pt>
                <c:pt idx="3" formatCode="0%">
                  <c:v>1</c:v>
                </c:pt>
              </c:numCache>
            </c:numRef>
          </c:val>
        </c:ser>
        <c:ser>
          <c:idx val="1"/>
          <c:order val="1"/>
          <c:spPr>
            <a:solidFill>
              <a:srgbClr val="993366"/>
            </a:solidFill>
            <a:ln w="12700">
              <a:solidFill>
                <a:srgbClr val="000000"/>
              </a:solidFill>
            </a:ln>
          </c:spPr>
          <c:invertIfNegative val="0"/>
          <c:val>
            <c:numRef>
              <c:f>[2022年比例图.xls]Sheet1!$A$3:$D$3</c:f>
              <c:numCache>
                <c:formatCode>General</c:formatCode>
                <c:ptCount val="4"/>
                <c:pt idx="0">
                  <c:v>444.14</c:v>
                </c:pt>
                <c:pt idx="1">
                  <c:v>438.47</c:v>
                </c:pt>
                <c:pt idx="2">
                  <c:v>208.84</c:v>
                </c:pt>
                <c:pt idx="3">
                  <c:v>7.6</c:v>
                </c:pt>
              </c:numCache>
            </c:numRef>
          </c:val>
        </c:ser>
        <c:dLbls>
          <c:showLegendKey val="0"/>
          <c:showVal val="0"/>
          <c:showCatName val="0"/>
          <c:showSerName val="0"/>
          <c:showPercent val="0"/>
          <c:showBubbleSize val="0"/>
        </c:dLbls>
        <c:gapWidth val="150"/>
        <c:axId val="515608384"/>
        <c:axId val="515609560"/>
      </c:barChart>
      <c:catAx>
        <c:axId val="515608384"/>
        <c:scaling>
          <c:orientation val="minMax"/>
        </c:scaling>
        <c:delete val="0"/>
        <c:axPos val="b"/>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15609560"/>
        <c:crosses val="autoZero"/>
        <c:auto val="1"/>
        <c:lblAlgn val="ctr"/>
        <c:lblOffset val="100"/>
        <c:noMultiLvlLbl val="0"/>
      </c:catAx>
      <c:valAx>
        <c:axId val="515609560"/>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15608384"/>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2049999999999998"/>
          <c:y val="0.45874999999999999"/>
          <c:w val="6.9500000000000006E-2"/>
          <c:h val="0.14124999999999999"/>
        </c:manualLayout>
      </c:layout>
      <c:overlay val="0"/>
      <c:spPr>
        <a:solidFill>
          <a:srgbClr val="FFFFFF"/>
        </a:solidFill>
        <a:ln>
          <a:solidFill>
            <a:srgbClr val="000000"/>
          </a:solidFill>
        </a:ln>
      </c:spPr>
      <c:txPr>
        <a:bodyPr rot="0" spcFirstLastPara="0" vertOverflow="ellipsis" vert="horz" wrap="square" anchor="ctr" anchorCtr="1"/>
        <a:lstStyle/>
        <a:p>
          <a:pPr>
            <a:defRPr lang="zh-CN" sz="47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7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财政拨款收、支决算总计变动情况</a:t>
            </a:r>
            <a:endParaRPr lang="zh-CN" altLang="en-US" sz="45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overlay val="0"/>
    </c:title>
    <c:autoTitleDeleted val="0"/>
    <c:plotArea>
      <c:layout/>
      <c:barChart>
        <c:barDir val="col"/>
        <c:grouping val="clustered"/>
        <c:varyColors val="0"/>
        <c:ser>
          <c:idx val="0"/>
          <c:order val="0"/>
          <c:spPr>
            <a:solidFill>
              <a:srgbClr val="9999FF"/>
            </a:solidFill>
            <a:ln w="12700">
              <a:solidFill>
                <a:srgbClr val="000000"/>
              </a:solidFill>
            </a:ln>
          </c:spPr>
          <c:invertIfNegative val="0"/>
          <c:cat>
            <c:strRef>
              <c:f>[2022年比例图.xls]Sheet1!$A$54:$D$54</c:f>
              <c:strCache>
                <c:ptCount val="4"/>
                <c:pt idx="0">
                  <c:v>2021年财政拨款收、支</c:v>
                </c:pt>
                <c:pt idx="1">
                  <c:v>2020年相比，收、支</c:v>
                </c:pt>
                <c:pt idx="2">
                  <c:v>增加</c:v>
                </c:pt>
                <c:pt idx="3">
                  <c:v>百比分</c:v>
                </c:pt>
              </c:strCache>
            </c:strRef>
          </c:cat>
          <c:val>
            <c:numRef>
              <c:f>[2022年比例图.xls]Sheet1!$A$55:$D$55</c:f>
              <c:numCache>
                <c:formatCode>#,##0.00</c:formatCode>
                <c:ptCount val="4"/>
                <c:pt idx="0">
                  <c:v>421.57</c:v>
                </c:pt>
                <c:pt idx="1">
                  <c:v>417.6</c:v>
                </c:pt>
                <c:pt idx="2" formatCode="General">
                  <c:v>3.97</c:v>
                </c:pt>
                <c:pt idx="3" formatCode="General">
                  <c:v>0.97</c:v>
                </c:pt>
              </c:numCache>
            </c:numRef>
          </c:val>
        </c:ser>
        <c:dLbls>
          <c:showLegendKey val="0"/>
          <c:showVal val="0"/>
          <c:showCatName val="0"/>
          <c:showSerName val="0"/>
          <c:showPercent val="0"/>
          <c:showBubbleSize val="0"/>
        </c:dLbls>
        <c:gapWidth val="150"/>
        <c:axId val="515609168"/>
        <c:axId val="515610736"/>
      </c:barChart>
      <c:catAx>
        <c:axId val="515609168"/>
        <c:scaling>
          <c:orientation val="minMax"/>
        </c:scaling>
        <c:delete val="0"/>
        <c:axPos val="b"/>
        <c:numFmt formatCode="General" sourceLinked="0"/>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15610736"/>
        <c:crosses val="autoZero"/>
        <c:auto val="1"/>
        <c:lblAlgn val="ctr"/>
        <c:lblOffset val="100"/>
        <c:noMultiLvlLbl val="0"/>
      </c:catAx>
      <c:valAx>
        <c:axId val="515610736"/>
        <c:scaling>
          <c:orientation val="minMax"/>
        </c:scaling>
        <c:delete val="0"/>
        <c:axPos val="l"/>
        <c:majorGridlines>
          <c:spPr>
            <a:ln w="3175" cap="flat" cmpd="sng" algn="ctr">
              <a:solidFill>
                <a:srgbClr val="000000">
                  <a:alpha val="100000"/>
                </a:srgbClr>
              </a:solidFill>
              <a:prstDash val="solid"/>
              <a:round/>
            </a:ln>
          </c:spPr>
        </c:majorGridlines>
        <c:numFmt formatCode="#,##0.00"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515609168"/>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90725"/>
          <c:y val="0.4945"/>
          <c:w val="8.1250000000000003E-2"/>
          <c:h val="6.6750000000000004E-2"/>
        </c:manualLayout>
      </c:layout>
      <c:overlay val="0"/>
      <c:spPr>
        <a:solidFill>
          <a:srgbClr val="FFFFFF"/>
        </a:solidFill>
        <a:ln>
          <a:solidFill>
            <a:srgbClr val="000000"/>
          </a:solidFill>
        </a:ln>
      </c:spPr>
      <c:txPr>
        <a:bodyPr rot="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一般公共预算财政拨款支出决算结构</a:t>
            </a:r>
            <a:endParaRPr lang="zh-CN" altLang="en-US" sz="45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overlay val="0"/>
    </c:title>
    <c:autoTitleDeleted val="0"/>
    <c:plotArea>
      <c:layout/>
      <c:pieChart>
        <c:varyColors val="1"/>
        <c:ser>
          <c:idx val="0"/>
          <c:order val="0"/>
          <c:spPr>
            <a:solidFill>
              <a:srgbClr val="9999FF"/>
            </a:solidFill>
            <a:ln w="12700">
              <a:solidFill>
                <a:srgbClr val="000000"/>
              </a:solidFill>
              <a:prstDash val="solid"/>
            </a:ln>
          </c:spPr>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cat>
            <c:strRef>
              <c:f>[2022年比例图.xls]Sheet1!$A$88:$F$88</c:f>
              <c:strCache>
                <c:ptCount val="6"/>
                <c:pt idx="0">
                  <c:v>教育支出</c:v>
                </c:pt>
                <c:pt idx="2">
                  <c:v>社会保障和就业</c:v>
                </c:pt>
                <c:pt idx="4">
                  <c:v>住房保障支出</c:v>
                </c:pt>
              </c:strCache>
            </c:strRef>
          </c:cat>
          <c:val>
            <c:numRef>
              <c:f>[2022年比例图.xls]Sheet1!$A$89:$F$89</c:f>
              <c:numCache>
                <c:formatCode>General</c:formatCode>
                <c:ptCount val="6"/>
                <c:pt idx="0">
                  <c:v>360.2</c:v>
                </c:pt>
                <c:pt idx="2">
                  <c:v>42.85</c:v>
                </c:pt>
                <c:pt idx="4">
                  <c:v>35.43</c:v>
                </c:pt>
              </c:numCache>
            </c:numRef>
          </c:val>
        </c:ser>
        <c:ser>
          <c:idx val="1"/>
          <c:order val="1"/>
          <c:spPr>
            <a:solidFill>
              <a:srgbClr val="993366"/>
            </a:solidFill>
            <a:ln w="12700">
              <a:solidFill>
                <a:srgbClr val="000000"/>
              </a:solidFill>
              <a:prstDash val="solid"/>
            </a:ln>
          </c:spPr>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dPt>
            <c:idx val="4"/>
            <c:bubble3D val="0"/>
            <c:spPr>
              <a:solidFill>
                <a:srgbClr val="660066"/>
              </a:solidFill>
              <a:ln w="12700">
                <a:solidFill>
                  <a:srgbClr val="000000"/>
                </a:solidFill>
                <a:prstDash val="solid"/>
              </a:ln>
              <a:effectLst/>
            </c:spPr>
          </c:dPt>
          <c:dPt>
            <c:idx val="5"/>
            <c:bubble3D val="0"/>
            <c:spPr>
              <a:solidFill>
                <a:srgbClr val="FF8080"/>
              </a:solidFill>
              <a:ln w="12700">
                <a:solidFill>
                  <a:srgbClr val="000000"/>
                </a:solidFill>
                <a:prstDash val="solid"/>
              </a:ln>
              <a:effectLst/>
            </c:spPr>
          </c:dPt>
          <c:dPt>
            <c:idx val="6"/>
            <c:bubble3D val="0"/>
            <c:spPr>
              <a:solidFill>
                <a:srgbClr val="0066CC"/>
              </a:solidFill>
              <a:ln w="12700">
                <a:solidFill>
                  <a:srgbClr val="000000"/>
                </a:solidFill>
                <a:prstDash val="solid"/>
              </a:ln>
              <a:effectLst/>
            </c:spPr>
          </c:dPt>
          <c:cat>
            <c:strRef>
              <c:f>[2022年比例图.xls]Sheet1!$A$88:$F$88</c:f>
              <c:strCache>
                <c:ptCount val="6"/>
                <c:pt idx="0">
                  <c:v>教育支出</c:v>
                </c:pt>
                <c:pt idx="2">
                  <c:v>社会保障和就业</c:v>
                </c:pt>
                <c:pt idx="4">
                  <c:v>住房保障支出</c:v>
                </c:pt>
              </c:strCache>
            </c:strRef>
          </c:cat>
          <c:val>
            <c:numRef>
              <c:f>[2022年比例图.xls]Sheet1!$A$90:$G$90</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8085"/>
          <c:y val="0.36375000000000002"/>
          <c:w val="0.17849999999999999"/>
          <c:h val="0.38500000000000001"/>
        </c:manualLayout>
      </c:layout>
      <c:overlay val="0"/>
      <c:spPr>
        <a:solidFill>
          <a:srgbClr val="FFFFFF"/>
        </a:solidFill>
        <a:ln>
          <a:solidFill>
            <a:srgbClr val="000000"/>
          </a:solidFill>
        </a:ln>
      </c:spPr>
      <c:txPr>
        <a:bodyPr rot="0" spcFirstLastPara="0" vertOverflow="ellipsis" vert="horz" wrap="square" anchor="ctr" anchorCtr="1"/>
        <a:lstStyle/>
        <a:p>
          <a:pPr>
            <a:defRPr lang="zh-CN" sz="45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45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“三公”经费财政拨款支出结构</a:t>
            </a:r>
            <a:endParaRPr lang="zh-CN" altLang="en-US" sz="325" b="0" i="0" u="none" strike="noStrike" baseline="0">
              <a:solidFill>
                <a:srgbClr val="000000"/>
              </a:solidFill>
              <a:latin typeface="宋体" panose="02010600030101010101" charset="-122"/>
              <a:ea typeface="宋体" panose="02010600030101010101" charset="-122"/>
              <a:cs typeface="宋体" panose="02010600030101010101" charset="-122"/>
            </a:endParaRPr>
          </a:p>
        </c:rich>
      </c:tx>
      <c:overlay val="0"/>
    </c:title>
    <c:autoTitleDeleted val="0"/>
    <c:plotArea>
      <c:layout/>
      <c:pieChart>
        <c:varyColors val="1"/>
        <c:ser>
          <c:idx val="0"/>
          <c:order val="0"/>
          <c:spPr>
            <a:solidFill>
              <a:srgbClr val="9999FF"/>
            </a:solidFill>
            <a:ln w="12700">
              <a:solidFill>
                <a:srgbClr val="000000"/>
              </a:solidFill>
              <a:prstDash val="solid"/>
            </a:ln>
          </c:spPr>
          <c:dPt>
            <c:idx val="0"/>
            <c:bubble3D val="0"/>
            <c:spPr>
              <a:solidFill>
                <a:srgbClr val="9999FF"/>
              </a:solidFill>
              <a:ln w="12700">
                <a:solidFill>
                  <a:srgbClr val="000000"/>
                </a:solidFill>
                <a:prstDash val="solid"/>
              </a:ln>
              <a:effectLst/>
            </c:spPr>
          </c:dPt>
          <c:dPt>
            <c:idx val="1"/>
            <c:bubble3D val="0"/>
            <c:spPr>
              <a:solidFill>
                <a:srgbClr val="993366"/>
              </a:solidFill>
              <a:ln w="12700">
                <a:solidFill>
                  <a:srgbClr val="000000"/>
                </a:solidFill>
                <a:prstDash val="solid"/>
              </a:ln>
              <a:effectLst/>
            </c:spPr>
          </c:dPt>
          <c:dPt>
            <c:idx val="2"/>
            <c:bubble3D val="0"/>
            <c:spPr>
              <a:solidFill>
                <a:srgbClr val="FFFFCC"/>
              </a:solidFill>
              <a:ln w="12700">
                <a:solidFill>
                  <a:srgbClr val="000000"/>
                </a:solidFill>
                <a:prstDash val="solid"/>
              </a:ln>
              <a:effectLst/>
            </c:spPr>
          </c:dPt>
          <c:dPt>
            <c:idx val="3"/>
            <c:bubble3D val="0"/>
            <c:spPr>
              <a:solidFill>
                <a:srgbClr val="CCFFFF"/>
              </a:solidFill>
              <a:ln w="12700">
                <a:solidFill>
                  <a:srgbClr val="000000"/>
                </a:solidFill>
                <a:prstDash val="solid"/>
              </a:ln>
              <a:effectLst/>
            </c:spPr>
          </c:dPt>
          <c:cat>
            <c:strRef>
              <c:f>[2022年比例图.xls]Sheet1!$A$105:$D$105</c:f>
              <c:strCache>
                <c:ptCount val="4"/>
                <c:pt idx="0">
                  <c:v>因公出国（境）费支出</c:v>
                </c:pt>
                <c:pt idx="1">
                  <c:v>公务用车购置及运行维护费支出</c:v>
                </c:pt>
                <c:pt idx="2">
                  <c:v>公务接待费支出</c:v>
                </c:pt>
                <c:pt idx="3">
                  <c:v>收入</c:v>
                </c:pt>
              </c:strCache>
            </c:strRef>
          </c:cat>
          <c:val>
            <c:numRef>
              <c:f>[2022年比例图.xls]Sheet1!$A$106:$D$106</c:f>
              <c:numCache>
                <c:formatCode>General</c:formatCode>
                <c:ptCount val="4"/>
                <c:pt idx="0">
                  <c:v>0</c:v>
                </c:pt>
                <c:pt idx="1">
                  <c:v>0</c:v>
                </c:pt>
                <c:pt idx="2">
                  <c:v>0</c:v>
                </c:pt>
                <c:pt idx="3">
                  <c:v>1</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4375000000000002"/>
          <c:y val="0.39824999999999999"/>
          <c:w val="0.24199999999999999"/>
          <c:h val="0.33900000000000002"/>
        </c:manualLayout>
      </c:layout>
      <c:overlay val="0"/>
      <c:spPr>
        <a:solidFill>
          <a:srgbClr val="FFFFFF"/>
        </a:solidFill>
        <a:ln>
          <a:solidFill>
            <a:srgbClr val="000000"/>
          </a:solidFill>
        </a:ln>
      </c:spPr>
      <c:txPr>
        <a:bodyPr rot="0" spcFirstLastPara="0" vertOverflow="ellipsis" vert="horz" wrap="square" anchor="ctr" anchorCtr="1"/>
        <a:lstStyle/>
        <a:p>
          <a:pPr>
            <a:defRPr lang="zh-CN" sz="3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showDLblsOverMax val="0"/>
  </c:chart>
  <c:spPr>
    <a:solidFill>
      <a:srgbClr val="FFFFFF"/>
    </a:solidFill>
    <a:ln w="3175" cap="flat" cmpd="sng" algn="ctr">
      <a:solidFill>
        <a:srgbClr val="000000">
          <a:alpha val="100000"/>
        </a:srgbClr>
      </a:solidFill>
      <a:prstDash val="solid"/>
      <a:round/>
    </a:ln>
  </c:spPr>
  <c:txPr>
    <a:bodyPr rot="0" wrap="square" anchor="ctr" anchorCtr="1"/>
    <a:lstStyle/>
    <a:p>
      <a:pPr>
        <a:defRPr lang="zh-CN" sz="325"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1660</Words>
  <Characters>9468</Characters>
  <Application>Microsoft Office Word</Application>
  <DocSecurity>0</DocSecurity>
  <Lines>78</Lines>
  <Paragraphs>22</Paragraphs>
  <ScaleCrop>false</ScaleCrop>
  <Company>四川省财政厅</Company>
  <LinksUpToDate>false</LinksUpToDate>
  <CharactersWithSpaces>11106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2</cp:revision>
  <cp:lastPrinted>2022-08-06T02:23:00Z</cp:lastPrinted>
  <dcterms:created xsi:type="dcterms:W3CDTF">2023-10-07T20:15:00Z</dcterms:created>
  <dcterms:modified xsi:type="dcterms:W3CDTF">2023-10-07T20:15:00Z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1C462D0E4D9F4973B7CBB72C99BE94CD</vt:lpwstr>
  </property>
</Properties>
</file>