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40" w:lineRule="exact"/>
        <w:jc w:val="center"/>
        <w:rPr>
          <w:rFonts w:eastAsia="楷体_GB2312"/>
          <w:color w:val="333333"/>
          <w:kern w:val="0"/>
        </w:rPr>
      </w:pPr>
    </w:p>
    <w:p>
      <w:pPr>
        <w:spacing w:line="640" w:lineRule="exact"/>
        <w:jc w:val="center"/>
        <w:rPr>
          <w:rFonts w:eastAsia="方正小标宋_GBK"/>
          <w:sz w:val="44"/>
          <w:szCs w:val="44"/>
        </w:rPr>
      </w:pPr>
      <w:r>
        <w:rPr>
          <w:rFonts w:hint="eastAsia" w:eastAsia="方正小标宋_GBK"/>
          <w:sz w:val="44"/>
          <w:szCs w:val="44"/>
        </w:rPr>
        <w:t>盐边县</w:t>
      </w:r>
      <w:r>
        <w:rPr>
          <w:rFonts w:hint="eastAsia" w:eastAsia="方正小标宋_GBK"/>
          <w:sz w:val="44"/>
          <w:szCs w:val="44"/>
          <w:lang w:eastAsia="zh-CN"/>
        </w:rPr>
        <w:t>永兴</w:t>
      </w:r>
      <w:r>
        <w:rPr>
          <w:rFonts w:hint="eastAsia" w:eastAsia="方正小标宋_GBK"/>
          <w:sz w:val="44"/>
          <w:szCs w:val="44"/>
        </w:rPr>
        <w:t>镇人民政府</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2</w:t>
      </w:r>
      <w:r>
        <w:rPr>
          <w:rFonts w:eastAsia="方正小标宋_GBK"/>
          <w:sz w:val="44"/>
          <w:szCs w:val="44"/>
        </w:rPr>
        <w:t>年部门预算编制说明</w:t>
      </w:r>
    </w:p>
    <w:p>
      <w:pPr>
        <w:spacing w:line="640" w:lineRule="exact"/>
        <w:jc w:val="center"/>
        <w:rPr>
          <w:rFonts w:eastAsia="方正楷体_GBK"/>
          <w:b/>
        </w:rPr>
      </w:pPr>
    </w:p>
    <w:p>
      <w:pPr>
        <w:spacing w:line="560" w:lineRule="exact"/>
        <w:jc w:val="center"/>
      </w:pPr>
    </w:p>
    <w:p>
      <w:pPr>
        <w:spacing w:line="560" w:lineRule="exact"/>
        <w:ind w:firstLine="640" w:firstLineChars="200"/>
        <w:jc w:val="both"/>
      </w:pPr>
      <w:r>
        <w:t>根据盐边县</w:t>
      </w:r>
      <w:r>
        <w:rPr>
          <w:rFonts w:hint="eastAsia"/>
          <w:lang w:eastAsia="zh-CN"/>
        </w:rPr>
        <w:t>永兴</w:t>
      </w:r>
      <w:r>
        <w:rPr>
          <w:rFonts w:hint="eastAsia"/>
        </w:rPr>
        <w:t>镇</w:t>
      </w:r>
      <w:r>
        <w:t>第</w:t>
      </w:r>
      <w:r>
        <w:rPr>
          <w:rFonts w:hint="eastAsia"/>
        </w:rPr>
        <w:t>二十</w:t>
      </w:r>
      <w:r>
        <w:t>届人民代表大会第</w:t>
      </w:r>
      <w:r>
        <w:rPr>
          <w:rFonts w:hint="eastAsia"/>
          <w:lang w:eastAsia="zh-CN"/>
        </w:rPr>
        <w:t>二</w:t>
      </w:r>
      <w:r>
        <w:t>次会议批准的</w:t>
      </w:r>
      <w:r>
        <w:rPr>
          <w:rFonts w:hint="eastAsia"/>
          <w:lang w:eastAsia="zh-CN"/>
        </w:rPr>
        <w:t>《关于永兴</w:t>
      </w:r>
      <w:r>
        <w:rPr>
          <w:rFonts w:hint="eastAsia"/>
        </w:rPr>
        <w:t>镇</w:t>
      </w:r>
      <w:r>
        <w:t>202</w:t>
      </w:r>
      <w:r>
        <w:rPr>
          <w:rFonts w:hint="eastAsia"/>
          <w:lang w:val="en-US" w:eastAsia="zh-CN"/>
        </w:rPr>
        <w:t>2</w:t>
      </w:r>
      <w:r>
        <w:t>年财政预算</w:t>
      </w:r>
      <w:r>
        <w:rPr>
          <w:rFonts w:hint="eastAsia"/>
          <w:lang w:eastAsia="zh-CN"/>
        </w:rPr>
        <w:t>草案的报告》</w:t>
      </w:r>
      <w:r>
        <w:t>，并对202</w:t>
      </w:r>
      <w:r>
        <w:rPr>
          <w:rFonts w:hint="eastAsia"/>
          <w:lang w:val="en-US" w:eastAsia="zh-CN"/>
        </w:rPr>
        <w:t>2</w:t>
      </w:r>
      <w:r>
        <w:t>年部门预算公开作了明确要求。现按照《中华人民共和国预算法》和《中华人民共和国预算法实施条例》相关规定，现将我</w:t>
      </w:r>
      <w:r>
        <w:rPr>
          <w:rFonts w:hint="eastAsia"/>
          <w:lang w:eastAsia="zh-CN"/>
        </w:rPr>
        <w:t>镇</w:t>
      </w:r>
      <w:r>
        <w:t>202</w:t>
      </w:r>
      <w:r>
        <w:rPr>
          <w:rFonts w:hint="eastAsia"/>
          <w:lang w:val="en-US" w:eastAsia="zh-CN"/>
        </w:rPr>
        <w:t>2</w:t>
      </w:r>
      <w:r>
        <w:t>年部门预算</w:t>
      </w:r>
      <w:r>
        <w:rPr>
          <w:rFonts w:hint="eastAsia"/>
          <w:lang w:eastAsia="zh-CN"/>
        </w:rPr>
        <w:t>编制</w:t>
      </w:r>
      <w:r>
        <w:t>说明如下</w:t>
      </w:r>
      <w:r>
        <w:rPr>
          <w:rFonts w:hint="eastAsia"/>
          <w:lang w:eastAsia="zh-CN"/>
        </w:rPr>
        <w:t>：</w:t>
      </w:r>
    </w:p>
    <w:p>
      <w:pPr>
        <w:spacing w:line="560" w:lineRule="exact"/>
        <w:ind w:firstLine="640" w:firstLineChars="200"/>
        <w:jc w:val="both"/>
        <w:rPr>
          <w:rFonts w:eastAsia="黑体"/>
        </w:rPr>
      </w:pPr>
      <w:r>
        <w:rPr>
          <w:rFonts w:eastAsia="黑体"/>
        </w:rPr>
        <w:t>一、基本职能及主要工作</w:t>
      </w:r>
    </w:p>
    <w:p>
      <w:pPr>
        <w:spacing w:line="560" w:lineRule="exact"/>
        <w:ind w:firstLine="640" w:firstLineChars="200"/>
        <w:jc w:val="both"/>
        <w:rPr>
          <w:rFonts w:hint="eastAsia"/>
        </w:rPr>
      </w:pPr>
      <w:r>
        <w:rPr>
          <w:rFonts w:hint="eastAsia"/>
          <w:lang w:eastAsia="zh-CN"/>
        </w:rPr>
        <w:t>永兴</w:t>
      </w:r>
      <w:r>
        <w:rPr>
          <w:rFonts w:hint="eastAsia"/>
        </w:rPr>
        <w:t>镇党政机构具有党委和政府两种职能，党委领导政府工作。主要是政治思想和方针政策的领导，干部的选拔，考核和监督，经济和行政工作中重大问题的决策。镇政府是基层国家行政机关，行使本行政区的行政职能。</w:t>
      </w:r>
    </w:p>
    <w:p>
      <w:pPr>
        <w:widowControl/>
        <w:shd w:val="clear" w:color="auto" w:fill="FFFFFF"/>
        <w:spacing w:line="560" w:lineRule="exact"/>
        <w:ind w:firstLine="640" w:firstLineChars="200"/>
        <w:jc w:val="both"/>
        <w:rPr>
          <w:rFonts w:hint="eastAsia"/>
          <w:lang w:eastAsia="zh-CN"/>
        </w:rPr>
      </w:pPr>
      <w:r>
        <w:rPr>
          <w:rFonts w:hint="eastAsia" w:eastAsia="楷体_GB2312"/>
          <w:color w:val="333333"/>
          <w:kern w:val="0"/>
          <w:lang w:eastAsia="zh-CN"/>
        </w:rPr>
        <w:t>（一）党委政府基本职能。</w:t>
      </w:r>
      <w:r>
        <w:rPr>
          <w:rFonts w:hint="eastAsia" w:eastAsia="楷体_GB2312"/>
          <w:color w:val="333333"/>
          <w:kern w:val="0"/>
        </w:rPr>
        <w:br w:type="textWrapping"/>
      </w:r>
      <w:r>
        <w:rPr>
          <w:rFonts w:hint="eastAsia"/>
          <w:lang w:eastAsia="zh-CN"/>
        </w:rPr>
        <w:t xml:space="preserve">     1、党委工作职责：</w:t>
      </w:r>
      <w:r>
        <w:rPr>
          <w:rFonts w:hint="eastAsia"/>
          <w:lang w:eastAsia="zh-CN"/>
        </w:rPr>
        <w:br w:type="textWrapping"/>
      </w:r>
      <w:r>
        <w:rPr>
          <w:rFonts w:hint="eastAsia"/>
          <w:lang w:eastAsia="zh-CN"/>
        </w:rPr>
        <w:t xml:space="preserve">    （1）保证党的路线、方针、政策的坚决贯彻执行。</w:t>
      </w:r>
      <w:r>
        <w:rPr>
          <w:rFonts w:hint="eastAsia"/>
          <w:lang w:eastAsia="zh-CN"/>
        </w:rPr>
        <w:br w:type="textWrapping"/>
      </w:r>
      <w:r>
        <w:rPr>
          <w:rFonts w:hint="eastAsia"/>
          <w:lang w:eastAsia="zh-CN"/>
        </w:rPr>
        <w:t xml:space="preserve">    （2）保证监督职能。</w:t>
      </w:r>
      <w:r>
        <w:rPr>
          <w:rFonts w:hint="eastAsia"/>
          <w:lang w:eastAsia="zh-CN"/>
        </w:rPr>
        <w:br w:type="textWrapping"/>
      </w:r>
      <w:r>
        <w:rPr>
          <w:rFonts w:hint="eastAsia"/>
          <w:lang w:eastAsia="zh-CN"/>
        </w:rPr>
        <w:t xml:space="preserve">    （3）教育和管理职能。</w:t>
      </w:r>
      <w:r>
        <w:rPr>
          <w:rFonts w:hint="eastAsia"/>
          <w:lang w:eastAsia="zh-CN"/>
        </w:rPr>
        <w:br w:type="textWrapping"/>
      </w:r>
      <w:r>
        <w:rPr>
          <w:rFonts w:hint="eastAsia"/>
          <w:lang w:eastAsia="zh-CN"/>
        </w:rPr>
        <w:t xml:space="preserve">    （4）服从和服务于经济建设的职能。</w:t>
      </w:r>
      <w:r>
        <w:rPr>
          <w:rFonts w:hint="eastAsia"/>
          <w:lang w:eastAsia="zh-CN"/>
        </w:rPr>
        <w:br w:type="textWrapping"/>
      </w:r>
      <w:r>
        <w:rPr>
          <w:rFonts w:hint="eastAsia"/>
          <w:lang w:eastAsia="zh-CN"/>
        </w:rPr>
        <w:t xml:space="preserve">    （5）负责抓好本镇党建工作、群团工作、精神文明建设工作、新闻宣传工作。</w:t>
      </w:r>
      <w:r>
        <w:rPr>
          <w:rFonts w:hint="eastAsia"/>
          <w:lang w:eastAsia="zh-CN"/>
        </w:rPr>
        <w:br w:type="textWrapping"/>
      </w:r>
      <w:r>
        <w:rPr>
          <w:rFonts w:hint="eastAsia"/>
          <w:lang w:eastAsia="zh-CN"/>
        </w:rPr>
        <w:t xml:space="preserve">    （6）完成县委、县政府交给的其他工作任务。</w:t>
      </w:r>
      <w:r>
        <w:rPr>
          <w:rFonts w:hint="eastAsia"/>
          <w:lang w:eastAsia="zh-CN"/>
        </w:rPr>
        <w:br w:type="textWrapping"/>
      </w:r>
      <w:r>
        <w:rPr>
          <w:rFonts w:hint="eastAsia"/>
          <w:lang w:eastAsia="zh-CN"/>
        </w:rPr>
        <w:t xml:space="preserve">     2、政府职能：</w:t>
      </w:r>
      <w:r>
        <w:rPr>
          <w:rFonts w:hint="eastAsia"/>
          <w:lang w:eastAsia="zh-CN"/>
        </w:rPr>
        <w:br w:type="textWrapping"/>
      </w:r>
      <w:r>
        <w:rPr>
          <w:rFonts w:hint="eastAsia"/>
          <w:lang w:eastAsia="zh-CN"/>
        </w:rPr>
        <w:t xml:space="preserve">    （1）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Pr>
          <w:rFonts w:hint="eastAsia"/>
          <w:lang w:eastAsia="zh-CN"/>
        </w:rPr>
        <w:br w:type="textWrapping"/>
      </w:r>
      <w:r>
        <w:rPr>
          <w:rFonts w:hint="eastAsia" w:ascii="Times New Roman" w:hAnsi="Times New Roman" w:cs="Times New Roman"/>
          <w:lang w:eastAsia="zh-CN"/>
        </w:rPr>
        <w:t xml:space="preserve">    （2）制定并组织实施村（社区）建设规划，部署重点工程建设，地方道路建设及公共设施，水利设施的管理，负责土地、林木、水等自然资源和生态环境的保护，做好护林防火工作。</w:t>
      </w:r>
      <w:r>
        <w:rPr>
          <w:rFonts w:hint="eastAsia" w:ascii="Times New Roman" w:hAnsi="Times New Roman" w:cs="Times New Roman"/>
          <w:lang w:eastAsia="zh-CN"/>
        </w:rPr>
        <w:br w:type="textWrapping"/>
      </w:r>
      <w:r>
        <w:rPr>
          <w:rFonts w:hint="eastAsia" w:ascii="Times New Roman" w:hAnsi="Times New Roman" w:cs="Times New Roman"/>
          <w:lang w:eastAsia="zh-CN"/>
        </w:rPr>
        <w:t xml:space="preserve">    （3）负责本行政区域内的民政、计划生育、文化教育、卫生、体育等社会公益事业的综合性工作，维护一切经济单位和个人的正当经济权益，取缔非法经济活动，调解和处理民事纠纷，打击刑事犯罪维护社会稳定。</w:t>
      </w:r>
      <w:r>
        <w:rPr>
          <w:rFonts w:hint="eastAsia" w:ascii="Times New Roman" w:hAnsi="Times New Roman" w:cs="Times New Roman"/>
          <w:lang w:eastAsia="zh-CN"/>
        </w:rPr>
        <w:br w:type="textWrapping"/>
      </w:r>
      <w:r>
        <w:rPr>
          <w:rFonts w:hint="eastAsia" w:ascii="Times New Roman" w:hAnsi="Times New Roman" w:cs="Times New Roman"/>
          <w:lang w:eastAsia="zh-CN"/>
        </w:rPr>
        <w:t xml:space="preserve">    （4）按计划组织本级财政收入和地方税的征收，完成国家财政计划，不断培植税源，管好财政资金，增强财政实力。</w:t>
      </w:r>
      <w:r>
        <w:rPr>
          <w:rFonts w:hint="eastAsia" w:ascii="Times New Roman" w:hAnsi="Times New Roman" w:cs="Times New Roman"/>
          <w:lang w:eastAsia="zh-CN"/>
        </w:rPr>
        <w:br w:type="textWrapping"/>
      </w:r>
      <w:r>
        <w:rPr>
          <w:rFonts w:hint="eastAsia" w:ascii="Times New Roman" w:hAnsi="Times New Roman" w:cs="Times New Roman"/>
          <w:lang w:eastAsia="zh-CN"/>
        </w:rPr>
        <w:t xml:space="preserve">    （5）抓好精神文明建设，丰富群众文化生活，提倡移风易俗，反对封建迷信，破除陈规陋习，树立社会主义新风尚。</w:t>
      </w:r>
      <w:r>
        <w:rPr>
          <w:rFonts w:hint="eastAsia" w:ascii="Times New Roman" w:hAnsi="Times New Roman" w:cs="Times New Roman"/>
          <w:lang w:eastAsia="zh-CN"/>
        </w:rPr>
        <w:br w:type="textWrapping"/>
      </w:r>
      <w:r>
        <w:rPr>
          <w:rFonts w:hint="eastAsia"/>
          <w:lang w:eastAsia="zh-CN"/>
        </w:rPr>
        <w:t xml:space="preserve">    （6）完成上级政府交办的其他事项。</w:t>
      </w:r>
    </w:p>
    <w:p>
      <w:pPr>
        <w:widowControl/>
        <w:shd w:val="clear" w:color="auto" w:fill="FFFFFF"/>
        <w:spacing w:line="560" w:lineRule="exact"/>
        <w:ind w:firstLine="640" w:firstLineChars="200"/>
        <w:jc w:val="both"/>
        <w:rPr>
          <w:rFonts w:eastAsia="楷体_GB2312"/>
          <w:color w:val="333333"/>
          <w:kern w:val="0"/>
        </w:rPr>
      </w:pPr>
      <w:r>
        <w:rPr>
          <w:rFonts w:hint="eastAsia" w:eastAsia="楷体_GB2312"/>
          <w:color w:val="333333"/>
          <w:kern w:val="0"/>
        </w:rPr>
        <w:t>（二）盐边县</w:t>
      </w:r>
      <w:r>
        <w:rPr>
          <w:rFonts w:hint="eastAsia" w:eastAsia="楷体_GB2312"/>
          <w:color w:val="333333"/>
          <w:kern w:val="0"/>
          <w:lang w:eastAsia="zh-CN"/>
        </w:rPr>
        <w:t>永兴</w:t>
      </w:r>
      <w:r>
        <w:rPr>
          <w:rFonts w:hint="eastAsia" w:eastAsia="楷体_GB2312"/>
          <w:color w:val="333333"/>
          <w:kern w:val="0"/>
        </w:rPr>
        <w:t>镇人民政府2022年重点工作。</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b/>
          <w:bCs/>
          <w:color w:val="000000"/>
          <w:sz w:val="33"/>
          <w:szCs w:val="33"/>
          <w:lang w:eastAsia="zh-CN"/>
        </w:rPr>
      </w:pPr>
      <w:r>
        <w:rPr>
          <w:rFonts w:hint="eastAsia" w:ascii="Times New Roman" w:hAnsi="Times New Roman" w:eastAsia="方正仿宋_GBK" w:cs="Times New Roman"/>
          <w:b/>
          <w:bCs/>
          <w:color w:val="000000"/>
          <w:sz w:val="33"/>
          <w:szCs w:val="33"/>
          <w:lang w:val="en-US" w:eastAsia="zh-CN"/>
        </w:rPr>
        <w:t>1.</w:t>
      </w:r>
      <w:r>
        <w:rPr>
          <w:rFonts w:hint="eastAsia" w:ascii="Times New Roman" w:hAnsi="Times New Roman" w:eastAsia="方正仿宋_GBK" w:cs="Times New Roman"/>
          <w:b/>
          <w:bCs/>
          <w:color w:val="000000"/>
          <w:sz w:val="33"/>
          <w:szCs w:val="33"/>
          <w:lang w:eastAsia="zh-CN"/>
        </w:rPr>
        <w:t>调结构</w:t>
      </w:r>
      <w:r>
        <w:rPr>
          <w:rFonts w:hint="eastAsia" w:ascii="Times New Roman" w:hAnsi="Times New Roman" w:eastAsia="方正仿宋_GBK" w:cs="Times New Roman"/>
          <w:b/>
          <w:bCs/>
          <w:color w:val="000000"/>
          <w:sz w:val="33"/>
          <w:szCs w:val="33"/>
        </w:rPr>
        <w:t>、</w:t>
      </w:r>
      <w:r>
        <w:rPr>
          <w:rFonts w:hint="eastAsia" w:ascii="Times New Roman" w:hAnsi="Times New Roman" w:eastAsia="方正仿宋_GBK" w:cs="Times New Roman"/>
          <w:b/>
          <w:bCs/>
          <w:color w:val="000000"/>
          <w:sz w:val="33"/>
          <w:szCs w:val="33"/>
          <w:lang w:eastAsia="zh-CN"/>
        </w:rPr>
        <w:t>稳增长</w:t>
      </w:r>
      <w:r>
        <w:rPr>
          <w:rFonts w:hint="eastAsia" w:ascii="Times New Roman" w:hAnsi="Times New Roman" w:eastAsia="方正仿宋_GBK" w:cs="Times New Roman"/>
          <w:b/>
          <w:bCs/>
          <w:color w:val="000000"/>
          <w:sz w:val="33"/>
          <w:szCs w:val="33"/>
        </w:rPr>
        <w:t>，</w:t>
      </w:r>
      <w:r>
        <w:rPr>
          <w:rFonts w:hint="eastAsia" w:ascii="Times New Roman" w:hAnsi="Times New Roman" w:eastAsia="方正仿宋_GBK" w:cs="Times New Roman"/>
          <w:b/>
          <w:bCs/>
          <w:color w:val="000000"/>
          <w:sz w:val="33"/>
          <w:szCs w:val="33"/>
          <w:lang w:eastAsia="zh-CN"/>
        </w:rPr>
        <w:t>不断推动镇域经济高质量发展。</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ascii="Times New Roman" w:hAnsi="Times New Roman" w:eastAsia="方正仿宋_GBK" w:cs="Times New Roman"/>
          <w:color w:val="000000"/>
          <w:sz w:val="33"/>
          <w:szCs w:val="33"/>
        </w:rPr>
      </w:pPr>
      <w:r>
        <w:rPr>
          <w:rFonts w:hint="eastAsia" w:ascii="Times New Roman" w:hAnsi="Times New Roman" w:eastAsia="方正楷体_GBK" w:cs="Times New Roman"/>
          <w:b/>
          <w:bCs/>
          <w:sz w:val="33"/>
          <w:szCs w:val="33"/>
          <w:lang w:eastAsia="zh-CN"/>
        </w:rPr>
        <w:t>做优做精现代农业。</w:t>
      </w:r>
      <w:r>
        <w:rPr>
          <w:rFonts w:hint="eastAsia" w:ascii="Calibri" w:hAnsi="Calibri" w:eastAsia="方正仿宋_GBK" w:cs="宋体"/>
          <w:sz w:val="33"/>
          <w:szCs w:val="33"/>
          <w:lang w:eastAsia="zh-CN"/>
        </w:rPr>
        <w:t>坚持因地制宜，</w:t>
      </w:r>
      <w:r>
        <w:rPr>
          <w:rFonts w:ascii="Times New Roman" w:hAnsi="Times New Roman" w:eastAsia="方正仿宋_GBK" w:cs="Times New Roman"/>
          <w:color w:val="000000"/>
          <w:sz w:val="33"/>
          <w:szCs w:val="33"/>
        </w:rPr>
        <w:t>做优晚熟芒果、优质蚕桑等“攀果”品牌，</w:t>
      </w:r>
      <w:r>
        <w:rPr>
          <w:rFonts w:hint="eastAsia" w:ascii="Calibri" w:hAnsi="Calibri" w:eastAsia="方正仿宋_GBK" w:cs="宋体"/>
          <w:sz w:val="33"/>
          <w:szCs w:val="33"/>
          <w:lang w:eastAsia="zh-CN"/>
        </w:rPr>
        <w:t>集中连片打造</w:t>
      </w:r>
      <w:r>
        <w:rPr>
          <w:rFonts w:ascii="Times New Roman" w:hAnsi="Times New Roman" w:eastAsia="方正仿宋_GBK" w:cs="Times New Roman"/>
          <w:color w:val="000000"/>
          <w:sz w:val="33"/>
          <w:szCs w:val="33"/>
        </w:rPr>
        <w:t>西瓜、石榴、</w:t>
      </w:r>
      <w:r>
        <w:rPr>
          <w:rFonts w:hint="eastAsia" w:ascii="Times New Roman" w:hAnsi="Times New Roman" w:eastAsia="方正仿宋_GBK" w:cs="Times New Roman"/>
          <w:color w:val="000000"/>
          <w:sz w:val="33"/>
          <w:szCs w:val="33"/>
          <w:lang w:eastAsia="zh-CN"/>
        </w:rPr>
        <w:t>草莓</w:t>
      </w:r>
      <w:r>
        <w:rPr>
          <w:rFonts w:ascii="Times New Roman" w:hAnsi="Times New Roman" w:eastAsia="方正仿宋_GBK" w:cs="Times New Roman"/>
          <w:color w:val="000000"/>
          <w:sz w:val="33"/>
          <w:szCs w:val="33"/>
        </w:rPr>
        <w:t>等精品农业，发挥好全国“一村一品”示范村镇引领作用</w:t>
      </w:r>
      <w:r>
        <w:rPr>
          <w:rFonts w:hint="eastAsia" w:ascii="Times New Roman" w:hAnsi="Times New Roman" w:eastAsia="方正仿宋_GBK" w:cs="Times New Roman"/>
          <w:color w:val="000000"/>
          <w:sz w:val="33"/>
          <w:szCs w:val="33"/>
          <w:lang w:eastAsia="zh-CN"/>
        </w:rPr>
        <w:t>，以刺竹、花椒、魔芋等特色产业为支撑鼓励发展集中加工合作社。优化产业链，探索“</w:t>
      </w:r>
      <w:r>
        <w:rPr>
          <w:rFonts w:hint="eastAsia" w:ascii="Calibri" w:hAnsi="Calibri" w:eastAsia="方正仿宋_GBK" w:cs="宋体"/>
          <w:sz w:val="33"/>
          <w:szCs w:val="33"/>
        </w:rPr>
        <w:t>种养结合</w:t>
      </w:r>
      <w:r>
        <w:rPr>
          <w:rFonts w:hint="eastAsia" w:ascii="Times New Roman" w:hAnsi="Times New Roman" w:eastAsia="方正仿宋_GBK" w:cs="Times New Roman"/>
          <w:color w:val="000000"/>
          <w:sz w:val="33"/>
          <w:szCs w:val="33"/>
          <w:lang w:eastAsia="zh-CN"/>
        </w:rPr>
        <w:t>”</w:t>
      </w:r>
      <w:r>
        <w:rPr>
          <w:rFonts w:hint="eastAsia" w:ascii="Calibri" w:hAnsi="Calibri" w:eastAsia="方正仿宋_GBK" w:cs="宋体"/>
          <w:sz w:val="33"/>
          <w:szCs w:val="33"/>
          <w:lang w:eastAsia="zh-CN"/>
        </w:rPr>
        <w:t>生态发展模式，持续推广江西村水稻、</w:t>
      </w:r>
      <w:r>
        <w:rPr>
          <w:rFonts w:ascii="Times New Roman" w:hAnsi="Times New Roman" w:eastAsia="方正仿宋_GBK" w:cs="Times New Roman"/>
          <w:color w:val="000000"/>
          <w:sz w:val="33"/>
          <w:szCs w:val="33"/>
        </w:rPr>
        <w:t>稻花鱼和小龙虾</w:t>
      </w:r>
      <w:r>
        <w:rPr>
          <w:rFonts w:hint="eastAsia" w:ascii="Calibri" w:hAnsi="Calibri" w:eastAsia="方正仿宋_GBK" w:cs="宋体"/>
          <w:sz w:val="33"/>
          <w:szCs w:val="33"/>
          <w:lang w:eastAsia="zh-CN"/>
        </w:rPr>
        <w:t>“鱼稻共生”生态种养模式，有序发展生猪、牛羊等畜禽养殖。坚决遏制耕地“非农化”、防止“非粮化”，严禁乱占耕地建房行为，守牢耕地保护红线。引导群众适应农村电商“互联网+”</w:t>
      </w:r>
      <w:r>
        <w:rPr>
          <w:rFonts w:ascii="Times New Roman" w:hAnsi="Times New Roman" w:eastAsia="方正仿宋_GBK" w:cs="Times New Roman"/>
          <w:color w:val="000000"/>
          <w:sz w:val="33"/>
          <w:szCs w:val="33"/>
        </w:rPr>
        <w:t>，强化农村电商服务网点建设，促进群众多元增收致富</w:t>
      </w:r>
      <w:r>
        <w:rPr>
          <w:rFonts w:hint="eastAsia" w:ascii="Times New Roman" w:hAnsi="Times New Roman" w:eastAsia="方正仿宋_GBK" w:cs="Times New Roman"/>
          <w:color w:val="000000"/>
          <w:sz w:val="33"/>
          <w:szCs w:val="33"/>
          <w:lang w:eastAsia="zh-CN"/>
        </w:rPr>
        <w:t>，</w:t>
      </w:r>
      <w:r>
        <w:rPr>
          <w:rFonts w:hint="eastAsia" w:ascii="Times New Roman" w:hAnsi="Times New Roman" w:eastAsia="方正仿宋_GBK" w:cs="方正仿宋_GBK"/>
          <w:sz w:val="32"/>
          <w:szCs w:val="32"/>
        </w:rPr>
        <w:t>不断拓展农产品销售渠道</w:t>
      </w:r>
      <w:r>
        <w:rPr>
          <w:rFonts w:ascii="Times New Roman" w:hAnsi="Times New Roman" w:eastAsia="方正仿宋_GBK" w:cs="Times New Roman"/>
          <w:color w:val="000000"/>
          <w:sz w:val="33"/>
          <w:szCs w:val="33"/>
        </w:rPr>
        <w:t>。</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方正仿宋_GBK"/>
          <w:color w:val="auto"/>
          <w:sz w:val="32"/>
          <w:szCs w:val="32"/>
          <w:lang w:eastAsia="zh-CN"/>
        </w:rPr>
      </w:pPr>
      <w:r>
        <w:rPr>
          <w:rFonts w:hint="eastAsia" w:ascii="Times New Roman" w:hAnsi="Times New Roman" w:eastAsia="方正楷体_GBK" w:cs="Times New Roman"/>
          <w:b/>
          <w:bCs/>
          <w:color w:val="auto"/>
          <w:sz w:val="33"/>
          <w:szCs w:val="33"/>
          <w:lang w:eastAsia="zh-CN"/>
        </w:rPr>
        <w:t>培育壮大文旅产业</w:t>
      </w:r>
      <w:r>
        <w:rPr>
          <w:rFonts w:hint="eastAsia" w:ascii="Times New Roman" w:hAnsi="Times New Roman" w:eastAsia="方正楷体_GBK" w:cs="Times New Roman"/>
          <w:b/>
          <w:bCs/>
          <w:color w:val="auto"/>
          <w:sz w:val="33"/>
          <w:szCs w:val="33"/>
        </w:rPr>
        <w:t>。</w:t>
      </w:r>
      <w:r>
        <w:rPr>
          <w:rFonts w:hint="eastAsia" w:ascii="Times New Roman" w:hAnsi="Times New Roman" w:eastAsia="方正仿宋_GBK" w:cs="方正仿宋_GBK"/>
          <w:color w:val="auto"/>
          <w:sz w:val="32"/>
          <w:szCs w:val="32"/>
          <w:lang w:eastAsia="zh-CN"/>
        </w:rPr>
        <w:t>持续</w:t>
      </w:r>
      <w:r>
        <w:rPr>
          <w:rFonts w:hint="eastAsia" w:ascii="Times New Roman" w:hAnsi="Times New Roman" w:eastAsia="方正仿宋_GBK" w:cs="方正仿宋_GBK"/>
          <w:color w:val="auto"/>
          <w:sz w:val="32"/>
          <w:szCs w:val="32"/>
        </w:rPr>
        <w:t>探索康养产业融合发展新模式</w:t>
      </w:r>
      <w:r>
        <w:rPr>
          <w:rFonts w:hint="eastAsia" w:ascii="Times New Roman" w:hAnsi="Times New Roman" w:eastAsia="方正仿宋_GBK" w:cs="方正仿宋_GBK"/>
          <w:color w:val="auto"/>
          <w:sz w:val="32"/>
          <w:szCs w:val="32"/>
          <w:lang w:eastAsia="zh-CN"/>
        </w:rPr>
        <w:t>，全力配合北部农文旅融合乡村振兴百里示范长廊环线开发，</w:t>
      </w:r>
      <w:r>
        <w:rPr>
          <w:rFonts w:hint="eastAsia" w:ascii="Times New Roman" w:hAnsi="Times New Roman" w:eastAsia="方正仿宋_GBK" w:cs="方正仿宋_GBK"/>
          <w:color w:val="auto"/>
          <w:sz w:val="32"/>
          <w:szCs w:val="32"/>
        </w:rPr>
        <w:t>依托傈僳文化、箐河瀑布、</w:t>
      </w:r>
      <w:r>
        <w:rPr>
          <w:rFonts w:hint="eastAsia" w:ascii="Times New Roman" w:hAnsi="Times New Roman" w:eastAsia="方正仿宋_GBK" w:cs="方正仿宋_GBK"/>
          <w:color w:val="auto"/>
          <w:sz w:val="32"/>
          <w:szCs w:val="32"/>
          <w:highlight w:val="none"/>
          <w:lang w:eastAsia="zh-CN"/>
        </w:rPr>
        <w:t>山水盐泉</w:t>
      </w:r>
      <w:r>
        <w:rPr>
          <w:rFonts w:hint="eastAsia" w:ascii="Times New Roman" w:hAnsi="Times New Roman" w:eastAsia="方正仿宋_GBK" w:cs="方正仿宋_GBK"/>
          <w:color w:val="auto"/>
          <w:sz w:val="32"/>
          <w:szCs w:val="32"/>
        </w:rPr>
        <w:t>等丰富的“山、水、文”资源，</w:t>
      </w:r>
      <w:r>
        <w:rPr>
          <w:rFonts w:hint="eastAsia" w:ascii="Times New Roman" w:hAnsi="Times New Roman" w:eastAsia="方正仿宋_GBK" w:cs="方正仿宋_GBK"/>
          <w:color w:val="auto"/>
          <w:sz w:val="32"/>
          <w:szCs w:val="32"/>
          <w:lang w:eastAsia="zh-CN"/>
        </w:rPr>
        <w:t>有序推进永兴村康养农庄建设，启动山水盐泉</w:t>
      </w:r>
      <w:r>
        <w:rPr>
          <w:rFonts w:hint="eastAsia" w:ascii="Times New Roman" w:hAnsi="Times New Roman" w:eastAsia="方正仿宋_GBK" w:cs="方正仿宋_GBK"/>
          <w:color w:val="auto"/>
          <w:sz w:val="32"/>
          <w:szCs w:val="32"/>
          <w:lang w:val="en-US" w:eastAsia="zh-CN"/>
        </w:rPr>
        <w:t>申报创建3A度假区、</w:t>
      </w:r>
      <w:r>
        <w:rPr>
          <w:rFonts w:hint="eastAsia" w:ascii="Times New Roman" w:hAnsi="Times New Roman" w:eastAsia="方正仿宋_GBK" w:cs="方正仿宋_GBK"/>
          <w:color w:val="auto"/>
          <w:sz w:val="32"/>
          <w:szCs w:val="32"/>
          <w:lang w:eastAsia="zh-CN"/>
        </w:rPr>
        <w:t>持续改造箐府大院接待环境</w:t>
      </w:r>
      <w:r>
        <w:rPr>
          <w:rFonts w:hint="eastAsia" w:ascii="Times New Roman" w:hAnsi="Times New Roman" w:eastAsia="方正仿宋_GBK" w:cs="方正仿宋_GBK"/>
          <w:color w:val="auto"/>
          <w:sz w:val="32"/>
          <w:szCs w:val="32"/>
          <w:lang w:val="en-US" w:eastAsia="zh-CN"/>
        </w:rPr>
        <w:t>。</w:t>
      </w:r>
      <w:r>
        <w:rPr>
          <w:rFonts w:hint="eastAsia" w:ascii="Times New Roman" w:hAnsi="Times New Roman" w:eastAsia="方正仿宋_GBK" w:cs="方正仿宋_GBK"/>
          <w:color w:val="auto"/>
          <w:sz w:val="32"/>
          <w:szCs w:val="32"/>
          <w:lang w:eastAsia="zh-CN"/>
        </w:rPr>
        <w:t>积极丰富</w:t>
      </w:r>
      <w:r>
        <w:rPr>
          <w:rFonts w:hint="eastAsia" w:ascii="Times New Roman" w:hAnsi="Times New Roman" w:eastAsia="方正仿宋_GBK" w:cs="方正仿宋_GBK"/>
          <w:color w:val="auto"/>
          <w:sz w:val="32"/>
          <w:szCs w:val="32"/>
          <w:lang w:val="en-US" w:eastAsia="zh-CN"/>
        </w:rPr>
        <w:t>4条</w:t>
      </w:r>
      <w:r>
        <w:rPr>
          <w:rFonts w:hint="eastAsia" w:ascii="Times New Roman" w:hAnsi="Times New Roman" w:eastAsia="方正仿宋_GBK" w:cs="方正仿宋_GBK"/>
          <w:color w:val="auto"/>
          <w:sz w:val="32"/>
          <w:szCs w:val="32"/>
          <w:lang w:eastAsia="zh-CN"/>
        </w:rPr>
        <w:t>旅游环线景点</w:t>
      </w:r>
      <w:r>
        <w:rPr>
          <w:rFonts w:hint="eastAsia" w:ascii="Times New Roman" w:hAnsi="Times New Roman" w:eastAsia="方正仿宋_GBK" w:cs="方正仿宋_GBK"/>
          <w:color w:val="auto"/>
          <w:sz w:val="32"/>
          <w:szCs w:val="32"/>
        </w:rPr>
        <w:t>，打造北部集温泉疗养、文化体验、农业休闲、古镇旅游于一体的旅游融合</w:t>
      </w:r>
      <w:r>
        <w:rPr>
          <w:rFonts w:hint="eastAsia" w:ascii="Times New Roman" w:hAnsi="Times New Roman" w:eastAsia="方正仿宋_GBK" w:cs="方正仿宋_GBK"/>
          <w:color w:val="auto"/>
          <w:sz w:val="32"/>
          <w:szCs w:val="32"/>
          <w:lang w:eastAsia="zh-CN"/>
        </w:rPr>
        <w:t>中心</w:t>
      </w:r>
      <w:r>
        <w:rPr>
          <w:rFonts w:hint="eastAsia" w:ascii="Times New Roman" w:hAnsi="Times New Roman" w:eastAsia="方正仿宋_GBK" w:cs="方正仿宋_GBK"/>
          <w:color w:val="auto"/>
          <w:sz w:val="32"/>
          <w:szCs w:val="32"/>
        </w:rPr>
        <w:t>镇。</w:t>
      </w:r>
      <w:r>
        <w:rPr>
          <w:rFonts w:hint="eastAsia" w:ascii="Times New Roman" w:hAnsi="Times New Roman" w:eastAsia="方正仿宋_GBK" w:cs="方正仿宋_GBK"/>
          <w:color w:val="auto"/>
          <w:sz w:val="32"/>
          <w:szCs w:val="32"/>
          <w:lang w:eastAsia="zh-CN"/>
        </w:rPr>
        <w:t>为大香格里拉旅游环线，不断注入永兴元素、展现永兴姿彩。</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color w:val="000000"/>
          <w:sz w:val="33"/>
          <w:szCs w:val="33"/>
          <w:lang w:eastAsia="zh-CN"/>
        </w:rPr>
      </w:pPr>
      <w:r>
        <w:rPr>
          <w:rFonts w:hint="eastAsia" w:ascii="Times New Roman" w:hAnsi="Times New Roman" w:eastAsia="方正楷体_GBK" w:cs="Times New Roman"/>
          <w:b/>
          <w:bCs/>
          <w:sz w:val="33"/>
          <w:szCs w:val="33"/>
          <w:lang w:eastAsia="zh-CN"/>
        </w:rPr>
        <w:t>大力支持工业发展</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000000"/>
          <w:sz w:val="33"/>
          <w:szCs w:val="33"/>
          <w:lang w:eastAsia="zh-CN"/>
        </w:rPr>
        <w:t>持续做好小水电等</w:t>
      </w:r>
      <w:r>
        <w:rPr>
          <w:rFonts w:ascii="Times New Roman" w:hAnsi="Times New Roman" w:eastAsia="方正仿宋_GBK" w:cs="Times New Roman"/>
          <w:color w:val="000000"/>
          <w:kern w:val="0"/>
          <w:sz w:val="33"/>
          <w:szCs w:val="33"/>
        </w:rPr>
        <w:t>企业服务工作，确保产能稳定。</w:t>
      </w:r>
      <w:r>
        <w:rPr>
          <w:rFonts w:ascii="Times New Roman" w:hAnsi="Times New Roman" w:eastAsia="方正仿宋_GBK" w:cs="Times New Roman"/>
          <w:color w:val="000000"/>
          <w:sz w:val="33"/>
          <w:szCs w:val="33"/>
        </w:rPr>
        <w:t>发展培育节能环保、清洁生产和清洁能源产业</w:t>
      </w:r>
      <w:r>
        <w:rPr>
          <w:rFonts w:hint="eastAsia" w:ascii="Times New Roman" w:hAnsi="Times New Roman" w:eastAsia="方正仿宋_GBK" w:cs="Times New Roman"/>
          <w:color w:val="000000"/>
          <w:sz w:val="33"/>
          <w:szCs w:val="33"/>
          <w:lang w:eastAsia="zh-CN"/>
        </w:rPr>
        <w:t>，积极探索太阳能屋顶等“光伏</w:t>
      </w:r>
      <w:r>
        <w:rPr>
          <w:rFonts w:hint="eastAsia" w:ascii="Times New Roman" w:hAnsi="Times New Roman" w:eastAsia="方正仿宋_GBK" w:cs="Times New Roman"/>
          <w:color w:val="000000"/>
          <w:sz w:val="33"/>
          <w:szCs w:val="33"/>
          <w:lang w:val="en-US" w:eastAsia="zh-CN"/>
        </w:rPr>
        <w:t>+零碳村庄</w:t>
      </w:r>
      <w:r>
        <w:rPr>
          <w:rFonts w:hint="eastAsia" w:ascii="Times New Roman" w:hAnsi="Times New Roman" w:eastAsia="方正仿宋_GBK" w:cs="Times New Roman"/>
          <w:color w:val="000000"/>
          <w:sz w:val="33"/>
          <w:szCs w:val="33"/>
          <w:lang w:eastAsia="zh-CN"/>
        </w:rPr>
        <w:t>”建设。</w:t>
      </w:r>
      <w:r>
        <w:rPr>
          <w:rFonts w:hint="eastAsia" w:ascii="Times New Roman" w:hAnsi="Times New Roman" w:eastAsia="方正仿宋_GBK" w:cs="Times New Roman"/>
          <w:color w:val="000000"/>
          <w:kern w:val="0"/>
          <w:sz w:val="33"/>
          <w:szCs w:val="33"/>
          <w:lang w:eastAsia="zh-CN"/>
        </w:rPr>
        <w:t>强化任务分解、细化指标抓落实，加大招商引资力度，紧盯产业链上下游、左右端，大力推进“延链、补链、强链”招商工作，加快引进工业产业项目。</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b/>
          <w:bCs/>
          <w:color w:val="000000"/>
          <w:sz w:val="33"/>
          <w:szCs w:val="33"/>
          <w:lang w:val="en-US" w:eastAsia="zh-CN"/>
        </w:rPr>
      </w:pPr>
      <w:r>
        <w:rPr>
          <w:rFonts w:hint="eastAsia" w:ascii="Times New Roman" w:hAnsi="Times New Roman" w:eastAsia="方正仿宋_GBK" w:cs="Times New Roman"/>
          <w:b/>
          <w:bCs/>
          <w:color w:val="000000"/>
          <w:sz w:val="33"/>
          <w:szCs w:val="33"/>
          <w:lang w:val="en-US" w:eastAsia="zh-CN"/>
        </w:rPr>
        <w:t>2.争进位、求突破，聚焦实施重大项目攻坚。</w:t>
      </w:r>
    </w:p>
    <w:p>
      <w:pPr>
        <w:spacing w:line="560" w:lineRule="exact"/>
        <w:ind w:firstLine="660" w:firstLineChars="200"/>
        <w:jc w:val="both"/>
        <w:rPr>
          <w:rFonts w:hint="eastAsia" w:ascii="Times New Roman" w:hAnsi="Times New Roman" w:eastAsia="方正仿宋_GBK" w:cs="Times New Roman"/>
          <w:color w:val="auto"/>
          <w:sz w:val="33"/>
          <w:szCs w:val="33"/>
          <w:lang w:eastAsia="zh-CN"/>
        </w:rPr>
      </w:pPr>
      <w:r>
        <w:rPr>
          <w:rFonts w:hint="eastAsia" w:ascii="Times New Roman" w:hAnsi="Times New Roman" w:eastAsia="方正楷体_GBK" w:cs="Times New Roman"/>
          <w:b/>
          <w:bCs/>
          <w:sz w:val="33"/>
          <w:szCs w:val="33"/>
          <w:lang w:eastAsia="zh-CN"/>
        </w:rPr>
        <w:t>实施</w:t>
      </w:r>
      <w:r>
        <w:rPr>
          <w:rFonts w:hint="eastAsia" w:ascii="Times New Roman" w:hAnsi="Times New Roman" w:eastAsia="方正楷体_GBK" w:cs="Times New Roman"/>
          <w:b/>
          <w:bCs/>
          <w:sz w:val="33"/>
          <w:szCs w:val="33"/>
        </w:rPr>
        <w:t>项目谋划储备</w:t>
      </w:r>
      <w:r>
        <w:rPr>
          <w:rFonts w:hint="eastAsia" w:ascii="Times New Roman" w:hAnsi="Times New Roman" w:eastAsia="方正楷体_GBK" w:cs="Times New Roman"/>
          <w:b/>
          <w:bCs/>
          <w:sz w:val="33"/>
          <w:szCs w:val="33"/>
          <w:lang w:eastAsia="zh-CN"/>
        </w:rPr>
        <w:t>攻坚</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000000"/>
          <w:sz w:val="33"/>
          <w:szCs w:val="33"/>
          <w:lang w:eastAsia="zh-CN"/>
        </w:rPr>
        <w:t>不断完善更新项目储备库，研究吃透各级项目政策，围绕产业发展、民生短板，强化项目申报，确保项目库接替有序。聚焦基础改善、商贸物流、电子商务、文化旅游、康养等领域，抓好乡村振兴、“滋味盐边”等重大战略机遇，做好绕镇快速物流通道项目规划和争取工作，</w:t>
      </w:r>
      <w:r>
        <w:rPr>
          <w:rFonts w:hint="eastAsia" w:ascii="Times New Roman" w:hAnsi="Times New Roman" w:eastAsia="方正仿宋_GBK" w:cs="Times New Roman"/>
          <w:color w:val="auto"/>
          <w:sz w:val="33"/>
          <w:szCs w:val="33"/>
          <w:lang w:eastAsia="zh-CN"/>
        </w:rPr>
        <w:t>力争更多项目进入盐边北部农文旅融合乡村振兴百里示范长廊规划。</w:t>
      </w:r>
    </w:p>
    <w:p>
      <w:pPr>
        <w:overflowPunct w:val="0"/>
        <w:topLinePunct/>
        <w:spacing w:line="560" w:lineRule="exact"/>
        <w:ind w:firstLine="660"/>
        <w:jc w:val="both"/>
        <w:rPr>
          <w:rFonts w:ascii="Calibri" w:hAnsi="Calibri" w:eastAsia="方正仿宋_GBK" w:cs="宋体"/>
          <w:bCs/>
          <w:color w:val="auto"/>
          <w:sz w:val="33"/>
          <w:szCs w:val="33"/>
        </w:rPr>
      </w:pPr>
      <w:r>
        <w:rPr>
          <w:rFonts w:hint="eastAsia" w:ascii="Times New Roman" w:hAnsi="Times New Roman" w:eastAsia="方正楷体_GBK" w:cs="Times New Roman"/>
          <w:b/>
          <w:bCs/>
          <w:sz w:val="33"/>
          <w:szCs w:val="33"/>
          <w:lang w:eastAsia="zh-CN"/>
        </w:rPr>
        <w:t>实施</w:t>
      </w:r>
      <w:r>
        <w:rPr>
          <w:rFonts w:hint="eastAsia" w:ascii="Times New Roman" w:hAnsi="Times New Roman" w:eastAsia="方正楷体_GBK" w:cs="Times New Roman"/>
          <w:b/>
          <w:bCs/>
          <w:sz w:val="33"/>
          <w:szCs w:val="33"/>
        </w:rPr>
        <w:t>项目招引落地</w:t>
      </w:r>
      <w:r>
        <w:rPr>
          <w:rFonts w:hint="eastAsia" w:ascii="Times New Roman" w:hAnsi="Times New Roman" w:eastAsia="方正楷体_GBK" w:cs="Times New Roman"/>
          <w:b/>
          <w:bCs/>
          <w:sz w:val="33"/>
          <w:szCs w:val="33"/>
          <w:lang w:eastAsia="zh-CN"/>
        </w:rPr>
        <w:t>攻坚</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auto"/>
          <w:sz w:val="33"/>
          <w:szCs w:val="33"/>
          <w:lang w:eastAsia="zh-CN"/>
        </w:rPr>
        <w:t>强化要素保障，依托县级招引平台和商会人脉资源带项目、引项目。</w:t>
      </w:r>
      <w:r>
        <w:rPr>
          <w:rFonts w:hint="eastAsia" w:ascii="Times New Roman" w:hAnsi="Times New Roman" w:eastAsia="方正仿宋_GBK" w:cs="Times New Roman"/>
          <w:color w:val="000000"/>
          <w:sz w:val="33"/>
          <w:szCs w:val="33"/>
          <w:lang w:eastAsia="zh-CN"/>
        </w:rPr>
        <w:t>启动建设新胜村、江西村稻菜现代农业园区项目，</w:t>
      </w:r>
      <w:r>
        <w:rPr>
          <w:rFonts w:hint="eastAsia" w:ascii="Times New Roman" w:hAnsi="Times New Roman" w:eastAsia="方正仿宋_GBK" w:cs="Times New Roman"/>
          <w:color w:val="auto"/>
          <w:sz w:val="33"/>
          <w:szCs w:val="33"/>
          <w:lang w:eastAsia="zh-CN"/>
        </w:rPr>
        <w:t>力争培育</w:t>
      </w:r>
      <w:r>
        <w:rPr>
          <w:rFonts w:hint="eastAsia" w:ascii="Times New Roman" w:hAnsi="Times New Roman" w:eastAsia="方正仿宋_GBK" w:cs="Times New Roman"/>
          <w:color w:val="auto"/>
          <w:sz w:val="33"/>
          <w:szCs w:val="33"/>
          <w:lang w:val="en-US" w:eastAsia="zh-CN"/>
        </w:rPr>
        <w:t>1家粮食加工企业，</w:t>
      </w:r>
      <w:r>
        <w:rPr>
          <w:rFonts w:hint="eastAsia" w:ascii="Times New Roman" w:hAnsi="Times New Roman" w:eastAsia="方正仿宋_GBK" w:cs="Times New Roman"/>
          <w:color w:val="000000"/>
          <w:kern w:val="0"/>
          <w:sz w:val="33"/>
          <w:szCs w:val="33"/>
          <w:lang w:eastAsia="zh-CN"/>
        </w:rPr>
        <w:t>全力争取落户桑葚加工企业，</w:t>
      </w:r>
      <w:r>
        <w:rPr>
          <w:rFonts w:hint="eastAsia" w:ascii="Times New Roman" w:hAnsi="Times New Roman" w:eastAsia="方正仿宋_GBK" w:cs="Times New Roman"/>
          <w:color w:val="auto"/>
          <w:sz w:val="33"/>
          <w:szCs w:val="33"/>
          <w:lang w:eastAsia="zh-CN"/>
        </w:rPr>
        <w:t>不断完善核心区内产业配套设施。加快推进作坊</w:t>
      </w:r>
      <w:r>
        <w:rPr>
          <w:rFonts w:hint="eastAsia" w:ascii="Times New Roman" w:hAnsi="Times New Roman" w:eastAsia="方正仿宋_GBK" w:cs="Times New Roman"/>
          <w:color w:val="auto"/>
          <w:sz w:val="33"/>
          <w:szCs w:val="33"/>
          <w:lang w:val="en-US" w:eastAsia="zh-CN"/>
        </w:rPr>
        <w:t>刺竹种植示范基地、刺竹产业基地，力争年内完成刺竹扩种400亩、刺竹产业道路硬化4.9公里任务，力争完成商标注册。</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加快开展茶产业、茶文化交流合作，加强种植技术、制茶工艺、品牌营销、市场推广等全方位学习交流，务求茶商标注册有实质性突破。</w:t>
      </w:r>
    </w:p>
    <w:p>
      <w:pPr>
        <w:overflowPunct w:val="0"/>
        <w:topLinePunct/>
        <w:spacing w:line="560" w:lineRule="exact"/>
        <w:ind w:firstLine="660"/>
        <w:jc w:val="both"/>
        <w:rPr>
          <w:rFonts w:hint="eastAsia" w:ascii="Times New Roman" w:hAnsi="Times New Roman" w:eastAsia="方正仿宋_GBK" w:cs="Times New Roman"/>
          <w:color w:val="000000"/>
          <w:sz w:val="33"/>
          <w:szCs w:val="33"/>
          <w:lang w:eastAsia="zh-CN"/>
        </w:rPr>
      </w:pPr>
      <w:r>
        <w:rPr>
          <w:rFonts w:hint="eastAsia" w:ascii="Times New Roman" w:hAnsi="Times New Roman" w:eastAsia="方正楷体_GBK" w:cs="Times New Roman"/>
          <w:b/>
          <w:bCs/>
          <w:sz w:val="33"/>
          <w:szCs w:val="33"/>
          <w:lang w:eastAsia="zh-CN"/>
        </w:rPr>
        <w:t>实施</w:t>
      </w:r>
      <w:r>
        <w:rPr>
          <w:rFonts w:hint="eastAsia" w:ascii="Times New Roman" w:hAnsi="Times New Roman" w:eastAsia="方正楷体_GBK" w:cs="Times New Roman"/>
          <w:b/>
          <w:bCs/>
          <w:sz w:val="33"/>
          <w:szCs w:val="33"/>
        </w:rPr>
        <w:t>项目建设推进</w:t>
      </w:r>
      <w:r>
        <w:rPr>
          <w:rFonts w:hint="eastAsia" w:ascii="Times New Roman" w:hAnsi="Times New Roman" w:eastAsia="方正楷体_GBK" w:cs="Times New Roman"/>
          <w:b/>
          <w:bCs/>
          <w:sz w:val="33"/>
          <w:szCs w:val="33"/>
          <w:lang w:eastAsia="zh-CN"/>
        </w:rPr>
        <w:t>攻坚。</w:t>
      </w:r>
      <w:r>
        <w:rPr>
          <w:rFonts w:hint="eastAsia" w:ascii="Times New Roman" w:hAnsi="Times New Roman" w:eastAsia="方正仿宋_GBK" w:cs="Times New Roman"/>
          <w:color w:val="000000"/>
          <w:sz w:val="33"/>
          <w:szCs w:val="33"/>
          <w:lang w:eastAsia="zh-CN"/>
        </w:rPr>
        <w:t>健全领导靠前指挥的项目推进责任体系，完善重大项目领导联系包保制度，倒排工期，挂图作战，对表推进，完成集镇新建停车场、人行道和公厕改造，积极争取临时过境线建设，稳步推进村道加宽、入户路串联、堰渠维护、饮水安全等基础设施完善，推广复兴村生活垃圾处置收费试点，进一步优化人居环境。</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b/>
          <w:bCs/>
          <w:color w:val="000000"/>
          <w:sz w:val="33"/>
          <w:szCs w:val="33"/>
          <w:lang w:val="en-US" w:eastAsia="zh-CN"/>
        </w:rPr>
      </w:pPr>
      <w:r>
        <w:rPr>
          <w:rFonts w:hint="eastAsia" w:ascii="Times New Roman" w:hAnsi="Times New Roman" w:eastAsia="方正仿宋_GBK" w:cs="Times New Roman"/>
          <w:b/>
          <w:bCs/>
          <w:color w:val="000000"/>
          <w:sz w:val="33"/>
          <w:szCs w:val="33"/>
          <w:lang w:val="en-US" w:eastAsia="zh-CN"/>
        </w:rPr>
        <w:t>3.抓衔接、补短板，深入实施乡村振兴战略。</w:t>
      </w:r>
    </w:p>
    <w:p>
      <w:pPr>
        <w:spacing w:line="560" w:lineRule="exact"/>
        <w:ind w:firstLine="660" w:firstLineChars="200"/>
        <w:jc w:val="both"/>
        <w:rPr>
          <w:rFonts w:hint="eastAsia" w:ascii="Times New Roman" w:hAnsi="Times New Roman" w:eastAsia="方正仿宋_GBK" w:cs="Times New Roman"/>
          <w:color w:val="000000" w:themeColor="text1"/>
          <w:sz w:val="33"/>
          <w:szCs w:val="33"/>
          <w14:textFill>
            <w14:solidFill>
              <w14:schemeClr w14:val="tx1"/>
            </w14:solidFill>
          </w14:textFill>
        </w:rPr>
      </w:pPr>
      <w:r>
        <w:rPr>
          <w:rFonts w:hint="eastAsia" w:ascii="Times New Roman" w:hAnsi="Times New Roman" w:eastAsia="方正楷体_GBK" w:cs="Times New Roman"/>
          <w:b/>
          <w:bCs/>
          <w:sz w:val="33"/>
          <w:szCs w:val="33"/>
        </w:rPr>
        <w:t>抓动态监测。</w:t>
      </w:r>
      <w:r>
        <w:rPr>
          <w:rFonts w:hint="eastAsia" w:eastAsia="方正仿宋_GBK"/>
          <w:sz w:val="33"/>
          <w:szCs w:val="33"/>
          <w:highlight w:val="none"/>
          <w:lang w:eastAsia="zh-CN"/>
        </w:rPr>
        <w:t>加快完善返贫致贫监测网，</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持</w:t>
      </w:r>
      <w:r>
        <w:rPr>
          <w:rFonts w:hint="eastAsia" w:ascii="Times New Roman" w:hAnsi="Times New Roman" w:eastAsia="方正仿宋_GBK" w:cs="Times New Roman"/>
          <w:color w:val="000000" w:themeColor="text1"/>
          <w:sz w:val="33"/>
          <w:szCs w:val="33"/>
          <w14:textFill>
            <w14:solidFill>
              <w14:schemeClr w14:val="tx1"/>
            </w14:solidFill>
          </w14:textFill>
        </w:rPr>
        <w:t>续落实防返贫动态监测和帮扶机制，实行网格化排查、常态化比对、动态化监测、精准化帮扶。加强</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与县级</w:t>
      </w:r>
      <w:r>
        <w:rPr>
          <w:rFonts w:hint="eastAsia" w:ascii="Times New Roman" w:hAnsi="Times New Roman" w:eastAsia="方正仿宋_GBK" w:cs="Times New Roman"/>
          <w:color w:val="000000" w:themeColor="text1"/>
          <w:sz w:val="33"/>
          <w:szCs w:val="33"/>
          <w14:textFill>
            <w14:solidFill>
              <w14:schemeClr w14:val="tx1"/>
            </w14:solidFill>
          </w14:textFill>
        </w:rPr>
        <w:t>部门信息对接共享，强化监测预警响应，</w:t>
      </w:r>
      <w:r>
        <w:rPr>
          <w:rFonts w:hint="eastAsia" w:eastAsia="方正仿宋_GBK"/>
          <w:sz w:val="33"/>
          <w:szCs w:val="33"/>
          <w:highlight w:val="none"/>
          <w:lang w:eastAsia="zh-CN"/>
        </w:rPr>
        <w:t>加大对脱贫不稳定户、非建档边缘易致贫户以及因疫情或其他原因收入骤减或支出骤增户加强返贫致贫监测，将监测对象，分类界定，</w:t>
      </w:r>
      <w:r>
        <w:rPr>
          <w:rFonts w:hint="eastAsia" w:ascii="Times New Roman" w:hAnsi="Times New Roman" w:eastAsia="方正仿宋_GBK" w:cs="Times New Roman"/>
          <w:color w:val="000000" w:themeColor="text1"/>
          <w:sz w:val="33"/>
          <w:szCs w:val="33"/>
          <w14:textFill>
            <w14:solidFill>
              <w14:schemeClr w14:val="tx1"/>
            </w14:solidFill>
          </w14:textFill>
        </w:rPr>
        <w:t>及时落实针对性帮扶措施。</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深入开展防返贫动态监测和帮扶工作专项行动，紧盯监测户、边缘户，优化</w:t>
      </w:r>
      <w:r>
        <w:rPr>
          <w:rFonts w:hint="eastAsia" w:ascii="Times New Roman" w:hAnsi="Times New Roman" w:eastAsia="方正仿宋_GBK" w:cs="Times New Roman"/>
          <w:color w:val="000000" w:themeColor="text1"/>
          <w:sz w:val="33"/>
          <w:szCs w:val="33"/>
          <w14:textFill>
            <w14:solidFill>
              <w14:schemeClr w14:val="tx1"/>
            </w14:solidFill>
          </w14:textFill>
        </w:rPr>
        <w:t>申报流程，缩短认定时间，确保</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困难</w:t>
      </w:r>
      <w:r>
        <w:rPr>
          <w:rFonts w:hint="eastAsia" w:ascii="Times New Roman" w:hAnsi="Times New Roman" w:eastAsia="方正仿宋_GBK" w:cs="Times New Roman"/>
          <w:color w:val="000000" w:themeColor="text1"/>
          <w:sz w:val="33"/>
          <w:szCs w:val="33"/>
          <w14:textFill>
            <w14:solidFill>
              <w14:schemeClr w14:val="tx1"/>
            </w14:solidFill>
          </w14:textFill>
        </w:rPr>
        <w:t>群众及时得到帮扶。</w:t>
      </w:r>
    </w:p>
    <w:p>
      <w:pPr>
        <w:spacing w:line="560" w:lineRule="exact"/>
        <w:ind w:firstLine="660" w:firstLineChars="200"/>
        <w:jc w:val="both"/>
        <w:rPr>
          <w:rFonts w:hint="eastAsia" w:ascii="Times New Roman" w:hAnsi="Times New Roman" w:eastAsia="方正仿宋_GBK" w:cs="Times New Roman"/>
          <w:color w:val="000000" w:themeColor="text1"/>
          <w:sz w:val="33"/>
          <w:szCs w:val="33"/>
          <w:lang w:eastAsia="zh-CN"/>
          <w14:textFill>
            <w14:solidFill>
              <w14:schemeClr w14:val="tx1"/>
            </w14:solidFill>
          </w14:textFill>
        </w:rPr>
      </w:pPr>
      <w:r>
        <w:rPr>
          <w:rFonts w:hint="eastAsia" w:ascii="Times New Roman" w:hAnsi="Times New Roman" w:eastAsia="方正楷体_GBK" w:cs="Times New Roman"/>
          <w:b/>
          <w:bCs/>
          <w:sz w:val="33"/>
          <w:szCs w:val="33"/>
        </w:rPr>
        <w:t>抓</w:t>
      </w:r>
      <w:r>
        <w:rPr>
          <w:rFonts w:hint="eastAsia" w:ascii="Times New Roman" w:hAnsi="Times New Roman" w:eastAsia="方正楷体_GBK" w:cs="Times New Roman"/>
          <w:b/>
          <w:bCs/>
          <w:sz w:val="33"/>
          <w:szCs w:val="33"/>
          <w:lang w:eastAsia="zh-CN"/>
        </w:rPr>
        <w:t>队伍建设</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加强乡村人才队伍建设，补齐人才短板，坚持育才、引才、用才并举，营造爱才敬才环境，搭建干事创业平台。发掘一批农村致富达人、专家能手、道德模范、优秀基层干部等先进典型，充分发挥示范引领作用。保产业、稳就业，积极落实创业扶持政策，搭建技能培训平台，鼓励一批毕业生、优秀农民工回乡创业。依托村集体经济、创业带头人、种养大户，培育一批“新农人”，推动特色产业强起来、群众富起来、乡村美起来。</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color w:val="000000" w:themeColor="text1"/>
          <w:sz w:val="33"/>
          <w:szCs w:val="33"/>
          <w:lang w:eastAsia="zh-CN"/>
          <w14:textFill>
            <w14:solidFill>
              <w14:schemeClr w14:val="tx1"/>
            </w14:solidFill>
          </w14:textFill>
        </w:rPr>
      </w:pPr>
      <w:r>
        <w:rPr>
          <w:rFonts w:hint="eastAsia" w:ascii="Times New Roman" w:hAnsi="Times New Roman" w:eastAsia="方正楷体_GBK" w:cs="Times New Roman"/>
          <w:b/>
          <w:bCs/>
          <w:sz w:val="33"/>
          <w:szCs w:val="33"/>
        </w:rPr>
        <w:t>抓</w:t>
      </w:r>
      <w:r>
        <w:rPr>
          <w:rFonts w:hint="eastAsia" w:ascii="Times New Roman" w:hAnsi="Times New Roman" w:eastAsia="方正楷体_GBK" w:cs="Times New Roman"/>
          <w:b/>
          <w:bCs/>
          <w:sz w:val="33"/>
          <w:szCs w:val="33"/>
          <w:lang w:eastAsia="zh-CN"/>
        </w:rPr>
        <w:t>文化建设</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加快乡村公共文化服务设施建设，采取政府购买、项目补贴、定向资助等方式实现村级文化广场、健身广场全覆盖。积极举办文化汇演等活动，配合县文化站完成年度文化下乡活动，不断满足群众多元化文化需求。</w:t>
      </w:r>
      <w:r>
        <w:rPr>
          <w:rFonts w:hint="eastAsia" w:ascii="Times New Roman" w:hAnsi="Times New Roman" w:eastAsia="方正仿宋_GBK" w:cs="Times New Roman"/>
          <w:color w:val="000000"/>
          <w:sz w:val="33"/>
          <w:szCs w:val="33"/>
        </w:rPr>
        <w:t>续开展好仡佬族“送年节”、傈僳族“阔时节”等活动</w:t>
      </w:r>
      <w:r>
        <w:rPr>
          <w:rFonts w:hint="eastAsia" w:ascii="Times New Roman" w:hAnsi="Times New Roman" w:eastAsia="方正仿宋_GBK" w:cs="Times New Roman"/>
          <w:color w:val="000000"/>
          <w:sz w:val="33"/>
          <w:szCs w:val="33"/>
          <w:lang w:eastAsia="zh-CN"/>
        </w:rPr>
        <w:t>，</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厚植永兴美食文化底蕴，</w:t>
      </w:r>
      <w:r>
        <w:rPr>
          <w:rFonts w:eastAsia="方正仿宋_GBK"/>
          <w:color w:val="000000"/>
          <w:sz w:val="33"/>
          <w:szCs w:val="33"/>
        </w:rPr>
        <w:t>办好</w:t>
      </w:r>
      <w:r>
        <w:rPr>
          <w:rFonts w:hint="eastAsia" w:eastAsia="方正仿宋_GBK"/>
          <w:color w:val="000000"/>
          <w:sz w:val="33"/>
          <w:szCs w:val="33"/>
          <w:lang w:eastAsia="zh-CN"/>
        </w:rPr>
        <w:t>江西村“摸鱼节”美食</w:t>
      </w:r>
      <w:r>
        <w:rPr>
          <w:rFonts w:eastAsia="方正仿宋_GBK"/>
          <w:color w:val="000000"/>
          <w:sz w:val="33"/>
          <w:szCs w:val="33"/>
        </w:rPr>
        <w:t>活动，</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加大周府糕点、永兴牛肉、江西泡菜鱼、箐河浑浆豆花等特色美食包装推广力度，打造“一村一品”菜系，主动融入</w:t>
      </w:r>
      <w:r>
        <w:rPr>
          <w:rFonts w:eastAsia="方正仿宋_GBK"/>
          <w:color w:val="000000"/>
          <w:sz w:val="33"/>
          <w:szCs w:val="33"/>
        </w:rPr>
        <w:t>盐边羊肉米线产业化发展</w:t>
      </w:r>
      <w:r>
        <w:rPr>
          <w:rFonts w:hint="eastAsia" w:eastAsia="方正仿宋_GBK"/>
          <w:color w:val="000000"/>
          <w:sz w:val="33"/>
          <w:szCs w:val="33"/>
          <w:lang w:eastAsia="zh-CN"/>
        </w:rPr>
        <w:t>规划</w:t>
      </w:r>
      <w:r>
        <w:rPr>
          <w:rFonts w:eastAsia="方正仿宋_GBK"/>
          <w:color w:val="000000"/>
          <w:sz w:val="33"/>
          <w:szCs w:val="33"/>
        </w:rPr>
        <w:t>，</w:t>
      </w:r>
      <w:r>
        <w:rPr>
          <w:rFonts w:hint="eastAsia" w:eastAsia="方正仿宋_GBK"/>
          <w:color w:val="000000"/>
          <w:sz w:val="33"/>
          <w:szCs w:val="33"/>
          <w:lang w:eastAsia="zh-CN"/>
        </w:rPr>
        <w:t>助力丰富</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“滋味盐边”底蕴。</w:t>
      </w:r>
    </w:p>
    <w:p>
      <w:pPr>
        <w:overflowPunct w:val="0"/>
        <w:topLinePunct/>
        <w:spacing w:line="560" w:lineRule="exact"/>
        <w:ind w:firstLine="660"/>
        <w:jc w:val="both"/>
        <w:rPr>
          <w:rFonts w:hint="eastAsia" w:ascii="Times New Roman" w:hAnsi="Times New Roman" w:eastAsia="方正楷体_GBK" w:cs="Times New Roman"/>
          <w:b/>
          <w:bCs/>
          <w:sz w:val="33"/>
          <w:szCs w:val="33"/>
        </w:rPr>
      </w:pPr>
      <w:r>
        <w:rPr>
          <w:rFonts w:hint="eastAsia" w:ascii="Times New Roman" w:hAnsi="Times New Roman" w:eastAsia="方正楷体_GBK" w:cs="Times New Roman"/>
          <w:b/>
          <w:bCs/>
          <w:sz w:val="33"/>
          <w:szCs w:val="33"/>
        </w:rPr>
        <w:t>抓</w:t>
      </w:r>
      <w:r>
        <w:rPr>
          <w:rFonts w:hint="eastAsia" w:ascii="Times New Roman" w:hAnsi="Times New Roman" w:eastAsia="方正楷体_GBK" w:cs="Times New Roman"/>
          <w:b/>
          <w:bCs/>
          <w:sz w:val="33"/>
          <w:szCs w:val="33"/>
          <w:lang w:eastAsia="zh-CN"/>
        </w:rPr>
        <w:t>生态建设</w:t>
      </w:r>
      <w:r>
        <w:rPr>
          <w:rFonts w:hint="eastAsia" w:ascii="Times New Roman" w:hAnsi="Times New Roman" w:eastAsia="方正楷体_GBK" w:cs="Times New Roman"/>
          <w:b/>
          <w:bCs/>
          <w:sz w:val="33"/>
          <w:szCs w:val="33"/>
        </w:rPr>
        <w:t>。</w:t>
      </w:r>
      <w:r>
        <w:rPr>
          <w:rFonts w:ascii="Times New Roman" w:hAnsi="Times New Roman" w:eastAsia="方正仿宋_GBK" w:cs="Times New Roman"/>
          <w:color w:val="000000" w:themeColor="text1"/>
          <w:sz w:val="33"/>
          <w:szCs w:val="33"/>
          <w14:textFill>
            <w14:solidFill>
              <w14:schemeClr w14:val="tx1"/>
            </w14:solidFill>
          </w14:textFill>
        </w:rPr>
        <w:t>落实碳达峰、碳中和目标要求，</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坚持</w:t>
      </w:r>
      <w:r>
        <w:rPr>
          <w:rFonts w:ascii="Times New Roman" w:hAnsi="Times New Roman" w:eastAsia="方正仿宋_GBK" w:cs="Times New Roman"/>
          <w:color w:val="000000" w:themeColor="text1"/>
          <w:sz w:val="33"/>
          <w:szCs w:val="33"/>
          <w14:textFill>
            <w14:solidFill>
              <w14:schemeClr w14:val="tx1"/>
            </w14:solidFill>
          </w14:textFill>
        </w:rPr>
        <w:t>生态发展模式，发展</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家庭光伏项目等清洁</w:t>
      </w:r>
      <w:r>
        <w:rPr>
          <w:rFonts w:ascii="Times New Roman" w:hAnsi="Times New Roman" w:eastAsia="方正仿宋_GBK" w:cs="Times New Roman"/>
          <w:color w:val="000000" w:themeColor="text1"/>
          <w:sz w:val="33"/>
          <w:szCs w:val="33"/>
          <w14:textFill>
            <w14:solidFill>
              <w14:schemeClr w14:val="tx1"/>
            </w14:solidFill>
          </w14:textFill>
        </w:rPr>
        <w:t>产业</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，巩固</w:t>
      </w:r>
      <w:r>
        <w:rPr>
          <w:rFonts w:ascii="Times New Roman" w:hAnsi="Times New Roman" w:eastAsia="方正仿宋_GBK" w:cs="Times New Roman"/>
          <w:color w:val="000000" w:themeColor="text1"/>
          <w:kern w:val="0"/>
          <w:sz w:val="33"/>
          <w:szCs w:val="33"/>
          <w14:textFill>
            <w14:solidFill>
              <w14:schemeClr w14:val="tx1"/>
            </w14:solidFill>
          </w14:textFill>
        </w:rPr>
        <w:t>中央、省级环保督</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察</w:t>
      </w:r>
      <w:r>
        <w:rPr>
          <w:rFonts w:ascii="Times New Roman" w:hAnsi="Times New Roman" w:eastAsia="方正仿宋_GBK" w:cs="Times New Roman"/>
          <w:color w:val="000000" w:themeColor="text1"/>
          <w:kern w:val="0"/>
          <w:sz w:val="33"/>
          <w:szCs w:val="33"/>
          <w14:textFill>
            <w14:solidFill>
              <w14:schemeClr w14:val="tx1"/>
            </w14:solidFill>
          </w14:textFill>
        </w:rPr>
        <w:t>反馈问题整改</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成果</w:t>
      </w:r>
      <w:r>
        <w:rPr>
          <w:rFonts w:ascii="Times New Roman" w:hAnsi="Times New Roman" w:eastAsia="方正仿宋_GBK" w:cs="Times New Roman"/>
          <w:color w:val="000000" w:themeColor="text1"/>
          <w:sz w:val="33"/>
          <w:szCs w:val="33"/>
          <w14:textFill>
            <w14:solidFill>
              <w14:schemeClr w14:val="tx1"/>
            </w14:solidFill>
          </w14:textFill>
        </w:rPr>
        <w:t>。</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依法加强森林采伐限额管理，</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深入开展违法图斑核查，</w:t>
      </w:r>
      <w:r>
        <w:rPr>
          <w:rFonts w:ascii="Times New Roman" w:hAnsi="Times New Roman" w:eastAsia="方正仿宋_GBK" w:cs="Times New Roman"/>
          <w:color w:val="000000" w:themeColor="text1"/>
          <w:sz w:val="33"/>
          <w:szCs w:val="33"/>
          <w14:textFill>
            <w14:solidFill>
              <w14:schemeClr w14:val="tx1"/>
            </w14:solidFill>
          </w14:textFill>
        </w:rPr>
        <w:t>严厉</w:t>
      </w:r>
      <w:r>
        <w:rPr>
          <w:rFonts w:ascii="Times New Roman" w:hAnsi="Times New Roman" w:eastAsia="方正仿宋_GBK" w:cs="Times New Roman"/>
          <w:color w:val="000000" w:themeColor="text1"/>
          <w:kern w:val="0"/>
          <w:sz w:val="33"/>
          <w:szCs w:val="33"/>
          <w14:textFill>
            <w14:solidFill>
              <w14:schemeClr w14:val="tx1"/>
            </w14:solidFill>
          </w14:textFill>
        </w:rPr>
        <w:t>打击乱占耕地建房、私挖盗采</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、乱砍滥伐</w:t>
      </w:r>
      <w:r>
        <w:rPr>
          <w:rFonts w:ascii="Times New Roman" w:hAnsi="Times New Roman" w:eastAsia="方正仿宋_GBK" w:cs="Times New Roman"/>
          <w:color w:val="000000" w:themeColor="text1"/>
          <w:kern w:val="0"/>
          <w:sz w:val="33"/>
          <w:szCs w:val="33"/>
          <w14:textFill>
            <w14:solidFill>
              <w14:schemeClr w14:val="tx1"/>
            </w14:solidFill>
          </w14:textFill>
        </w:rPr>
        <w:t>等违法行为。认真抓好长江流域重点水域十年禁捕</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及天然水域春季禁渔工作，从严打击违法捕捞垂钓行为。</w:t>
      </w:r>
      <w:r>
        <w:rPr>
          <w:rFonts w:ascii="Times New Roman" w:hAnsi="Times New Roman" w:eastAsia="方正仿宋_GBK" w:cs="Times New Roman"/>
          <w:color w:val="000000" w:themeColor="text1"/>
          <w:kern w:val="0"/>
          <w:sz w:val="33"/>
          <w:szCs w:val="33"/>
          <w14:textFill>
            <w14:solidFill>
              <w14:schemeClr w14:val="tx1"/>
            </w14:solidFill>
          </w14:textFill>
        </w:rPr>
        <w:t>深入推进河</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（湖）</w:t>
      </w:r>
      <w:r>
        <w:rPr>
          <w:rFonts w:ascii="Times New Roman" w:hAnsi="Times New Roman" w:eastAsia="方正仿宋_GBK" w:cs="Times New Roman"/>
          <w:color w:val="000000" w:themeColor="text1"/>
          <w:kern w:val="0"/>
          <w:sz w:val="33"/>
          <w:szCs w:val="33"/>
          <w14:textFill>
            <w14:solidFill>
              <w14:schemeClr w14:val="tx1"/>
            </w14:solidFill>
          </w14:textFill>
        </w:rPr>
        <w:t>长制</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、林长制</w:t>
      </w:r>
      <w:r>
        <w:rPr>
          <w:rFonts w:ascii="Times New Roman" w:hAnsi="Times New Roman" w:eastAsia="方正仿宋_GBK" w:cs="Times New Roman"/>
          <w:color w:val="000000" w:themeColor="text1"/>
          <w:kern w:val="0"/>
          <w:sz w:val="33"/>
          <w:szCs w:val="33"/>
          <w14:textFill>
            <w14:solidFill>
              <w14:schemeClr w14:val="tx1"/>
            </w14:solidFill>
          </w14:textFill>
        </w:rPr>
        <w:t>，</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坚决落实巡河、巡林任务</w:t>
      </w:r>
      <w:r>
        <w:rPr>
          <w:rFonts w:ascii="Times New Roman" w:hAnsi="Times New Roman" w:eastAsia="方正仿宋_GBK" w:cs="Times New Roman"/>
          <w:color w:val="000000" w:themeColor="text1"/>
          <w:kern w:val="0"/>
          <w:sz w:val="33"/>
          <w:szCs w:val="33"/>
          <w14:textFill>
            <w14:solidFill>
              <w14:schemeClr w14:val="tx1"/>
            </w14:solidFill>
          </w14:textFill>
        </w:rPr>
        <w:t>，</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压实生态保护属地责任</w:t>
      </w:r>
      <w:r>
        <w:rPr>
          <w:rFonts w:ascii="Times New Roman" w:hAnsi="Times New Roman" w:eastAsia="方正仿宋_GBK" w:cs="Times New Roman"/>
          <w:color w:val="000000" w:themeColor="text1"/>
          <w:kern w:val="0"/>
          <w:sz w:val="33"/>
          <w:szCs w:val="33"/>
          <w14:textFill>
            <w14:solidFill>
              <w14:schemeClr w14:val="tx1"/>
            </w14:solidFill>
          </w14:textFill>
        </w:rPr>
        <w:t>。</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深入开展农村人居环境整治，稳步实施农房风貌提升、厕所改造、垃圾转运处理等项目，</w:t>
      </w:r>
      <w:r>
        <w:rPr>
          <w:rFonts w:hint="eastAsia" w:ascii="Times New Roman" w:hAnsi="Times New Roman" w:eastAsia="方正仿宋_GBK" w:cs="Times New Roman"/>
          <w:color w:val="000000" w:themeColor="text1"/>
          <w:sz w:val="33"/>
          <w:szCs w:val="33"/>
          <w14:textFill>
            <w14:solidFill>
              <w14:schemeClr w14:val="tx1"/>
            </w14:solidFill>
          </w14:textFill>
        </w:rPr>
        <w:t>积极推进美丽宜居村庄</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w:t>
      </w:r>
      <w:r>
        <w:rPr>
          <w:rFonts w:hint="eastAsia" w:ascii="Times New Roman" w:hAnsi="Times New Roman" w:eastAsia="方正仿宋_GBK" w:cs="Times New Roman"/>
          <w:color w:val="000000" w:themeColor="text1"/>
          <w:sz w:val="33"/>
          <w:szCs w:val="33"/>
          <w14:textFill>
            <w14:solidFill>
              <w14:schemeClr w14:val="tx1"/>
            </w14:solidFill>
          </w14:textFill>
        </w:rPr>
        <w:t>美</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丽</w:t>
      </w:r>
      <w:r>
        <w:rPr>
          <w:rFonts w:hint="eastAsia" w:ascii="Times New Roman" w:hAnsi="Times New Roman" w:eastAsia="方正仿宋_GBK" w:cs="Times New Roman"/>
          <w:color w:val="000000" w:themeColor="text1"/>
          <w:sz w:val="33"/>
          <w:szCs w:val="33"/>
          <w14:textFill>
            <w14:solidFill>
              <w14:schemeClr w14:val="tx1"/>
            </w14:solidFill>
          </w14:textFill>
        </w:rPr>
        <w:t>庭院建设。</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b/>
          <w:bCs/>
          <w:color w:val="000000"/>
          <w:sz w:val="33"/>
          <w:szCs w:val="33"/>
          <w:lang w:val="en-US" w:eastAsia="zh-CN"/>
        </w:rPr>
      </w:pPr>
      <w:r>
        <w:rPr>
          <w:rFonts w:hint="eastAsia" w:ascii="Times New Roman" w:hAnsi="Times New Roman" w:eastAsia="方正仿宋_GBK" w:cs="Times New Roman"/>
          <w:b/>
          <w:bCs/>
          <w:color w:val="000000"/>
          <w:sz w:val="33"/>
          <w:szCs w:val="33"/>
          <w:lang w:val="en-US" w:eastAsia="zh-CN"/>
        </w:rPr>
        <w:t>4.系群众、增福祉，矢志不渝保障和改善民生。</w:t>
      </w:r>
    </w:p>
    <w:p>
      <w:pPr>
        <w:spacing w:line="560" w:lineRule="exact"/>
        <w:ind w:firstLine="660" w:firstLineChars="200"/>
        <w:jc w:val="both"/>
        <w:rPr>
          <w:rFonts w:hint="eastAsia" w:ascii="Times New Roman" w:hAnsi="Times New Roman" w:eastAsia="方正仿宋_GBK" w:cs="Times New Roman"/>
          <w:b/>
          <w:bCs/>
          <w:sz w:val="33"/>
          <w:szCs w:val="33"/>
          <w:lang w:val="en-US" w:eastAsia="zh-CN"/>
        </w:rPr>
      </w:pPr>
      <w:r>
        <w:rPr>
          <w:rFonts w:hint="eastAsia" w:ascii="Times New Roman" w:hAnsi="Times New Roman" w:eastAsia="方正楷体_GBK" w:cs="Times New Roman"/>
          <w:b/>
          <w:bCs/>
          <w:sz w:val="33"/>
          <w:szCs w:val="33"/>
          <w:lang w:eastAsia="zh-CN"/>
        </w:rPr>
        <w:t>全力办好民生实事</w:t>
      </w:r>
      <w:r>
        <w:rPr>
          <w:rFonts w:hint="eastAsia" w:ascii="Times New Roman" w:hAnsi="Times New Roman" w:eastAsia="方正楷体_GBK" w:cs="Times New Roman"/>
          <w:b/>
          <w:bCs/>
          <w:sz w:val="33"/>
          <w:szCs w:val="33"/>
        </w:rPr>
        <w:t>。</w:t>
      </w:r>
      <w:r>
        <w:rPr>
          <w:rFonts w:hint="eastAsia" w:ascii="Times New Roman" w:hAnsi="Times New Roman" w:eastAsia="方正仿宋_GBK" w:cs="Times New Roman"/>
          <w:color w:val="000000" w:themeColor="text1"/>
          <w:sz w:val="33"/>
          <w:szCs w:val="33"/>
          <w14:textFill>
            <w14:solidFill>
              <w14:schemeClr w14:val="tx1"/>
            </w14:solidFill>
          </w14:textFill>
        </w:rPr>
        <w:t>始终坚持以人民为中心的发展思</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想</w:t>
      </w:r>
      <w:r>
        <w:rPr>
          <w:rFonts w:hint="eastAsia" w:ascii="Times New Roman" w:hAnsi="Times New Roman" w:eastAsia="方正仿宋_GBK" w:cs="Times New Roman"/>
          <w:color w:val="000000" w:themeColor="text1"/>
          <w:sz w:val="33"/>
          <w:szCs w:val="33"/>
          <w14:textFill>
            <w14:solidFill>
              <w14:schemeClr w14:val="tx1"/>
            </w14:solidFill>
          </w14:textFill>
        </w:rPr>
        <w:t>，</w:t>
      </w:r>
      <w:r>
        <w:rPr>
          <w:rFonts w:hint="eastAsia" w:ascii="Times New Roman" w:hAnsi="Times New Roman" w:eastAsia="方正仿宋_GBK" w:cs="Times New Roman"/>
          <w:color w:val="000000" w:themeColor="text1"/>
          <w:sz w:val="33"/>
          <w:szCs w:val="33"/>
          <w:lang w:val="en-US" w:eastAsia="zh-CN"/>
          <w14:textFill>
            <w14:solidFill>
              <w14:schemeClr w14:val="tx1"/>
            </w14:solidFill>
          </w14:textFill>
        </w:rPr>
        <w:t>持续绘就共同富裕幸福底色，</w:t>
      </w:r>
      <w:r>
        <w:rPr>
          <w:rFonts w:hint="eastAsia" w:ascii="Times New Roman" w:hAnsi="Times New Roman" w:eastAsia="方正仿宋_GBK" w:cs="Times New Roman"/>
          <w:color w:val="000000" w:themeColor="text1"/>
          <w:sz w:val="33"/>
          <w:szCs w:val="33"/>
          <w14:textFill>
            <w14:solidFill>
              <w14:schemeClr w14:val="tx1"/>
            </w14:solidFill>
          </w14:textFill>
        </w:rPr>
        <w:t>加强普惠性、基础性、兜底性民生建设，确保民生支出只增不减。</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全面落实惠民惠农、民政救助等政策，确保年内粮食直补、地力补贴、城乡低保等资金及时足额到位。持续</w:t>
      </w:r>
      <w:r>
        <w:rPr>
          <w:rFonts w:hint="eastAsia" w:ascii="Times New Roman" w:hAnsi="Times New Roman" w:eastAsia="方正仿宋_GBK" w:cs="Times New Roman"/>
          <w:color w:val="000000" w:themeColor="text1"/>
          <w:sz w:val="33"/>
          <w:szCs w:val="33"/>
          <w14:textFill>
            <w14:solidFill>
              <w14:schemeClr w14:val="tx1"/>
            </w14:solidFill>
          </w14:textFill>
        </w:rPr>
        <w:t>完善社会保障和救助体系，</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增强农村医保购买力</w:t>
      </w:r>
      <w:r>
        <w:rPr>
          <w:rFonts w:hint="eastAsia" w:ascii="Times New Roman" w:hAnsi="Times New Roman" w:eastAsia="方正仿宋_GBK" w:cs="Times New Roman"/>
          <w:color w:val="000000" w:themeColor="text1"/>
          <w:sz w:val="33"/>
          <w:szCs w:val="33"/>
          <w14:textFill>
            <w14:solidFill>
              <w14:schemeClr w14:val="tx1"/>
            </w14:solidFill>
          </w14:textFill>
        </w:rPr>
        <w:t>，切实做好特困供养、孤儿、残疾人等困难群体帮扶工作。</w:t>
      </w:r>
      <w:r>
        <w:rPr>
          <w:rFonts w:hint="eastAsia" w:ascii="Times New Roman" w:hAnsi="Times New Roman" w:eastAsia="方正仿宋_GBK" w:cs="Times New Roman"/>
          <w:color w:val="auto"/>
          <w:sz w:val="33"/>
          <w:szCs w:val="33"/>
        </w:rPr>
        <w:t>紧盯高校毕业生、退役军人、农民工等重点就业群体，扩大就业容量、优化就业结构，</w:t>
      </w:r>
      <w:r>
        <w:rPr>
          <w:rFonts w:hint="eastAsia" w:ascii="Times New Roman" w:hAnsi="Times New Roman" w:eastAsia="方正仿宋_GBK" w:cs="Times New Roman"/>
          <w:color w:val="auto"/>
          <w:sz w:val="33"/>
          <w:szCs w:val="33"/>
          <w:lang w:eastAsia="zh-CN"/>
        </w:rPr>
        <w:t>依托集体经济组织、以工代赈项目、专业合作社等提供更多就业机会，</w:t>
      </w:r>
      <w:r>
        <w:rPr>
          <w:rFonts w:hint="eastAsia" w:ascii="Times New Roman" w:hAnsi="Times New Roman" w:eastAsia="方正仿宋_GBK" w:cs="Times New Roman"/>
          <w:color w:val="auto"/>
          <w:sz w:val="33"/>
          <w:szCs w:val="33"/>
        </w:rPr>
        <w:t>动态消除“零就业家庭”。</w:t>
      </w:r>
      <w:r>
        <w:rPr>
          <w:rFonts w:hint="eastAsia" w:ascii="Times New Roman" w:hAnsi="Times New Roman" w:eastAsia="方正仿宋_GBK" w:cs="Times New Roman"/>
          <w:color w:val="000000" w:themeColor="text1"/>
          <w:sz w:val="33"/>
          <w:szCs w:val="33"/>
          <w14:textFill>
            <w14:solidFill>
              <w14:schemeClr w14:val="tx1"/>
            </w14:solidFill>
          </w14:textFill>
        </w:rPr>
        <w:t>全面贯彻党的教育方针，积极谋划</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稳步解决永兴中学扩容扩招问题</w:t>
      </w:r>
      <w:r>
        <w:rPr>
          <w:rFonts w:hint="eastAsia" w:ascii="Times New Roman" w:hAnsi="Times New Roman" w:eastAsia="方正仿宋_GBK" w:cs="Times New Roman"/>
          <w:color w:val="000000" w:themeColor="text1"/>
          <w:sz w:val="33"/>
          <w:szCs w:val="33"/>
          <w14:textFill>
            <w14:solidFill>
              <w14:schemeClr w14:val="tx1"/>
            </w14:solidFill>
          </w14:textFill>
        </w:rPr>
        <w:t>，推动</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义务</w:t>
      </w:r>
      <w:r>
        <w:rPr>
          <w:rFonts w:hint="eastAsia" w:ascii="Times New Roman" w:hAnsi="Times New Roman" w:eastAsia="方正仿宋_GBK" w:cs="Times New Roman"/>
          <w:color w:val="000000" w:themeColor="text1"/>
          <w:sz w:val="33"/>
          <w:szCs w:val="33"/>
          <w14:textFill>
            <w14:solidFill>
              <w14:schemeClr w14:val="tx1"/>
            </w14:solidFill>
          </w14:textFill>
        </w:rPr>
        <w:t>教育优质发展，不断提升教育教学水平，办好人民满意的教育。</w:t>
      </w:r>
    </w:p>
    <w:p>
      <w:pPr>
        <w:widowControl/>
        <w:spacing w:line="590" w:lineRule="exact"/>
        <w:ind w:firstLine="660" w:firstLineChars="200"/>
        <w:jc w:val="both"/>
        <w:rPr>
          <w:rFonts w:hint="eastAsia" w:ascii="Times New Roman" w:hAnsi="Times New Roman" w:eastAsia="方正仿宋_GBK" w:cs="Times New Roman"/>
          <w:color w:val="000000" w:themeColor="text1"/>
          <w:sz w:val="33"/>
          <w:szCs w:val="33"/>
          <w:lang w:eastAsia="zh-CN"/>
          <w14:textFill>
            <w14:solidFill>
              <w14:schemeClr w14:val="tx1"/>
            </w14:solidFill>
          </w14:textFill>
        </w:rPr>
      </w:pPr>
      <w:r>
        <w:rPr>
          <w:rFonts w:hint="eastAsia" w:ascii="Times New Roman" w:hAnsi="Times New Roman" w:eastAsia="方正楷体_GBK" w:cs="Times New Roman"/>
          <w:b/>
          <w:bCs/>
          <w:color w:val="auto"/>
          <w:sz w:val="33"/>
          <w:szCs w:val="33"/>
          <w:lang w:eastAsia="zh-CN"/>
        </w:rPr>
        <w:t>奋</w:t>
      </w:r>
      <w:r>
        <w:rPr>
          <w:rFonts w:hint="eastAsia" w:ascii="Times New Roman" w:hAnsi="Times New Roman" w:eastAsia="方正楷体_GBK" w:cs="Times New Roman"/>
          <w:b/>
          <w:bCs/>
          <w:sz w:val="33"/>
          <w:szCs w:val="33"/>
          <w:lang w:eastAsia="zh-CN"/>
        </w:rPr>
        <w:t>力加强基层</w:t>
      </w:r>
      <w:r>
        <w:rPr>
          <w:rFonts w:hint="eastAsia" w:ascii="Times New Roman" w:hAnsi="Times New Roman" w:eastAsia="方正楷体_GBK" w:cs="Times New Roman"/>
          <w:b/>
          <w:bCs/>
          <w:sz w:val="33"/>
          <w:szCs w:val="33"/>
        </w:rPr>
        <w:t>治理。</w:t>
      </w:r>
      <w:r>
        <w:rPr>
          <w:rFonts w:hint="eastAsia" w:ascii="Times New Roman" w:hAnsi="Times New Roman" w:eastAsia="方正仿宋_GBK" w:cs="Times New Roman"/>
          <w:color w:val="000000" w:themeColor="text1"/>
          <w:sz w:val="33"/>
          <w:szCs w:val="33"/>
          <w14:textFill>
            <w14:solidFill>
              <w14:schemeClr w14:val="tx1"/>
            </w14:solidFill>
          </w14:textFill>
        </w:rPr>
        <w:t>全面推进</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治理体系和治理能力现代化</w:t>
      </w:r>
      <w:r>
        <w:rPr>
          <w:rFonts w:hint="eastAsia" w:ascii="Times New Roman" w:hAnsi="Times New Roman" w:eastAsia="方正仿宋_GBK" w:cs="Times New Roman"/>
          <w:color w:val="000000" w:themeColor="text1"/>
          <w:sz w:val="33"/>
          <w:szCs w:val="33"/>
          <w14:textFill>
            <w14:solidFill>
              <w14:schemeClr w14:val="tx1"/>
            </w14:solidFill>
          </w14:textFill>
        </w:rPr>
        <w:t>，</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坚持依法治镇、依法行政，</w:t>
      </w:r>
      <w:r>
        <w:rPr>
          <w:rFonts w:hint="eastAsia" w:ascii="Times New Roman" w:hAnsi="Times New Roman" w:eastAsia="方正仿宋_GBK" w:cs="Times New Roman"/>
          <w:color w:val="000000" w:themeColor="text1"/>
          <w:sz w:val="33"/>
          <w:szCs w:val="33"/>
          <w14:textFill>
            <w14:solidFill>
              <w14:schemeClr w14:val="tx1"/>
            </w14:solidFill>
          </w14:textFill>
        </w:rPr>
        <w:t>深入开展“八五”普法</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宣传</w:t>
      </w:r>
      <w:r>
        <w:rPr>
          <w:rFonts w:hint="eastAsia" w:ascii="Times New Roman" w:hAnsi="Times New Roman" w:eastAsia="方正仿宋_GBK" w:cs="Times New Roman"/>
          <w:color w:val="000000" w:themeColor="text1"/>
          <w:sz w:val="33"/>
          <w:szCs w:val="33"/>
          <w14:textFill>
            <w14:solidFill>
              <w14:schemeClr w14:val="tx1"/>
            </w14:solidFill>
          </w14:textFill>
        </w:rPr>
        <w:t>，提高全社会知法守法遵法意识。深化平安</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永兴</w:t>
      </w:r>
      <w:r>
        <w:rPr>
          <w:rFonts w:hint="eastAsia" w:ascii="Times New Roman" w:hAnsi="Times New Roman" w:eastAsia="方正仿宋_GBK" w:cs="Times New Roman"/>
          <w:color w:val="000000" w:themeColor="text1"/>
          <w:sz w:val="33"/>
          <w:szCs w:val="33"/>
          <w14:textFill>
            <w14:solidFill>
              <w14:schemeClr w14:val="tx1"/>
            </w14:solidFill>
          </w14:textFill>
        </w:rPr>
        <w:t>建设，</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巩固</w:t>
      </w:r>
      <w:r>
        <w:rPr>
          <w:rFonts w:hint="eastAsia" w:ascii="Times New Roman" w:hAnsi="Times New Roman" w:eastAsia="方正仿宋_GBK" w:cs="Times New Roman"/>
          <w:color w:val="000000" w:themeColor="text1"/>
          <w:sz w:val="33"/>
          <w:szCs w:val="33"/>
          <w14:textFill>
            <w14:solidFill>
              <w14:schemeClr w14:val="tx1"/>
            </w14:solidFill>
          </w14:textFill>
        </w:rPr>
        <w:t>扫黑除恶斗争</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成果</w:t>
      </w:r>
      <w:r>
        <w:rPr>
          <w:rFonts w:hint="eastAsia" w:ascii="Times New Roman" w:hAnsi="Times New Roman" w:eastAsia="方正仿宋_GBK" w:cs="Times New Roman"/>
          <w:color w:val="000000" w:themeColor="text1"/>
          <w:sz w:val="33"/>
          <w:szCs w:val="33"/>
          <w14:textFill>
            <w14:solidFill>
              <w14:schemeClr w14:val="tx1"/>
            </w14:solidFill>
          </w14:textFill>
        </w:rPr>
        <w:t>，健全完善立体化智能化社会治安防控体系，</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充分用</w:t>
      </w:r>
      <w:r>
        <w:rPr>
          <w:rFonts w:ascii="Times New Roman" w:hAnsi="Times New Roman" w:eastAsia="方正仿宋_GBK" w:cs="Times New Roman"/>
          <w:color w:val="000000" w:themeColor="text1"/>
          <w:kern w:val="0"/>
          <w:sz w:val="33"/>
          <w:szCs w:val="33"/>
          <w14:textFill>
            <w14:solidFill>
              <w14:schemeClr w14:val="tx1"/>
            </w14:solidFill>
          </w14:textFill>
        </w:rPr>
        <w:t>好“雪亮工程”“一村一辅警”力量调配，为</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全</w:t>
      </w:r>
      <w:r>
        <w:rPr>
          <w:rFonts w:ascii="Times New Roman" w:hAnsi="Times New Roman" w:eastAsia="方正仿宋_GBK" w:cs="Times New Roman"/>
          <w:color w:val="000000" w:themeColor="text1"/>
          <w:kern w:val="0"/>
          <w:sz w:val="33"/>
          <w:szCs w:val="33"/>
          <w14:textFill>
            <w14:solidFill>
              <w14:schemeClr w14:val="tx1"/>
            </w14:solidFill>
          </w14:textFill>
        </w:rPr>
        <w:t>镇治安环境保驾护航，</w:t>
      </w:r>
      <w:r>
        <w:rPr>
          <w:rFonts w:hint="eastAsia" w:ascii="Times New Roman" w:hAnsi="Times New Roman" w:eastAsia="方正仿宋_GBK" w:cs="Times New Roman"/>
          <w:color w:val="000000" w:themeColor="text1"/>
          <w:sz w:val="33"/>
          <w:szCs w:val="33"/>
          <w14:textFill>
            <w14:solidFill>
              <w14:schemeClr w14:val="tx1"/>
            </w14:solidFill>
          </w14:textFill>
        </w:rPr>
        <w:t>不断提升人民群众的安全感。</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持续加强集镇治理，加大治脏治乱力度，</w:t>
      </w:r>
      <w:r>
        <w:rPr>
          <w:rFonts w:hint="default" w:ascii="Times New Roman" w:hAnsi="Times New Roman" w:eastAsia="方正仿宋_GBK" w:cs="Times New Roman"/>
          <w:sz w:val="33"/>
          <w:szCs w:val="33"/>
        </w:rPr>
        <w:t>提升垃圾转运处理能力，</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常态化开展镇容镇貌执法巡查，规范商贩摊位坐商归店。抓好常态化疫情防控和森林草原防灭火“双防”工作，高质高量完成新一轮疫苗接种任务，全力备战新一轮防灭火任务。</w:t>
      </w:r>
    </w:p>
    <w:p>
      <w:pPr>
        <w:widowControl/>
        <w:spacing w:line="590" w:lineRule="exact"/>
        <w:ind w:firstLine="660" w:firstLineChars="200"/>
        <w:jc w:val="both"/>
        <w:rPr>
          <w:rFonts w:hint="eastAsia" w:ascii="Times New Roman" w:hAnsi="Times New Roman" w:eastAsia="方正仿宋_GBK" w:cs="Times New Roman"/>
          <w:b/>
          <w:bCs/>
          <w:sz w:val="33"/>
          <w:szCs w:val="33"/>
          <w:lang w:eastAsia="zh-CN"/>
        </w:rPr>
      </w:pPr>
      <w:r>
        <w:rPr>
          <w:rFonts w:hint="eastAsia" w:ascii="Times New Roman" w:hAnsi="Times New Roman" w:eastAsia="方正楷体_GBK" w:cs="Times New Roman"/>
          <w:b/>
          <w:bCs/>
          <w:sz w:val="33"/>
          <w:szCs w:val="33"/>
        </w:rPr>
        <w:t>着力防范化解风险。</w:t>
      </w:r>
      <w:r>
        <w:rPr>
          <w:rFonts w:hint="eastAsia" w:ascii="Times New Roman" w:hAnsi="Times New Roman" w:eastAsia="方正仿宋_GBK" w:cs="Times New Roman"/>
          <w:color w:val="000000" w:themeColor="text1"/>
          <w:sz w:val="33"/>
          <w:szCs w:val="33"/>
          <w14:textFill>
            <w14:solidFill>
              <w14:schemeClr w14:val="tx1"/>
            </w14:solidFill>
          </w14:textFill>
        </w:rPr>
        <w:t>牢固树立总体国家安全观，一体防范化解政治、意识形态、经济、社会等领域重大风险。加快推进现代化应急管理体系建设，提升防灾减灾和应急救援能力，构建“大安全、大应急、大减灾”格局。强化安全生产底线意识，坚持源头治理与长效监管并重，深入开展道路交通、水上交通</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w:t>
      </w:r>
      <w:r>
        <w:rPr>
          <w:rFonts w:hint="eastAsia" w:ascii="Times New Roman" w:hAnsi="Times New Roman" w:eastAsia="方正仿宋_GBK" w:cs="Times New Roman"/>
          <w:color w:val="000000" w:themeColor="text1"/>
          <w:sz w:val="33"/>
          <w:szCs w:val="33"/>
          <w14:textFill>
            <w14:solidFill>
              <w14:schemeClr w14:val="tx1"/>
            </w14:solidFill>
          </w14:textFill>
        </w:rPr>
        <w:t>消防安全、燃气安全、建设施工等重点行业区域专项治理，坚决杜绝重特大安全生产事故发生。强化</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镇</w:t>
      </w:r>
      <w:r>
        <w:rPr>
          <w:rFonts w:hint="eastAsia" w:ascii="Times New Roman" w:hAnsi="Times New Roman" w:eastAsia="方正仿宋_GBK" w:cs="Times New Roman"/>
          <w:color w:val="000000" w:themeColor="text1"/>
          <w:sz w:val="33"/>
          <w:szCs w:val="33"/>
          <w14:textFill>
            <w14:solidFill>
              <w14:schemeClr w14:val="tx1"/>
            </w14:solidFill>
          </w14:textFill>
        </w:rPr>
        <w:t>领导接访</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回</w:t>
      </w:r>
      <w:r>
        <w:rPr>
          <w:rFonts w:hint="eastAsia" w:ascii="Times New Roman" w:hAnsi="Times New Roman" w:eastAsia="方正仿宋_GBK" w:cs="Times New Roman"/>
          <w:color w:val="000000" w:themeColor="text1"/>
          <w:sz w:val="33"/>
          <w:szCs w:val="33"/>
          <w14:textFill>
            <w14:solidFill>
              <w14:schemeClr w14:val="tx1"/>
            </w14:solidFill>
          </w14:textFill>
        </w:rPr>
        <w:t>访和</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全流程跟踪督办</w:t>
      </w:r>
      <w:r>
        <w:rPr>
          <w:rFonts w:hint="eastAsia" w:ascii="Times New Roman" w:hAnsi="Times New Roman" w:eastAsia="方正仿宋_GBK" w:cs="Times New Roman"/>
          <w:color w:val="000000" w:themeColor="text1"/>
          <w:sz w:val="33"/>
          <w:szCs w:val="33"/>
          <w14:textFill>
            <w14:solidFill>
              <w14:schemeClr w14:val="tx1"/>
            </w14:solidFill>
          </w14:textFill>
        </w:rPr>
        <w:t>，做好矛盾排查、积案化解、重点对象稳控等工作，从源头预防和化解社会矛盾。</w:t>
      </w:r>
    </w:p>
    <w:p>
      <w:pPr>
        <w:keepNext w:val="0"/>
        <w:keepLines w:val="0"/>
        <w:pageBreakBefore w:val="0"/>
        <w:kinsoku/>
        <w:wordWrap/>
        <w:autoSpaceDE/>
        <w:autoSpaceDN/>
        <w:bidi w:val="0"/>
        <w:adjustRightInd/>
        <w:snapToGrid/>
        <w:spacing w:line="590" w:lineRule="exact"/>
        <w:ind w:right="0" w:rightChars="0" w:firstLine="660" w:firstLineChars="200"/>
        <w:jc w:val="both"/>
        <w:textAlignment w:val="auto"/>
        <w:outlineLvl w:val="9"/>
        <w:rPr>
          <w:rFonts w:hint="eastAsia" w:ascii="Times New Roman" w:hAnsi="Times New Roman" w:eastAsia="方正仿宋_GBK" w:cs="Times New Roman"/>
          <w:b/>
          <w:bCs/>
          <w:color w:val="000000"/>
          <w:sz w:val="33"/>
          <w:szCs w:val="33"/>
          <w:lang w:val="en-US" w:eastAsia="zh-CN"/>
        </w:rPr>
      </w:pPr>
      <w:r>
        <w:rPr>
          <w:rFonts w:hint="eastAsia" w:ascii="Times New Roman" w:hAnsi="Times New Roman" w:eastAsia="方正仿宋_GBK" w:cs="Times New Roman"/>
          <w:b/>
          <w:bCs/>
          <w:color w:val="000000"/>
          <w:sz w:val="33"/>
          <w:szCs w:val="33"/>
          <w:lang w:val="en-US" w:eastAsia="zh-CN"/>
        </w:rPr>
        <w:t>5.强基础、固根本，持之以恒打造法治高效政府。</w:t>
      </w:r>
    </w:p>
    <w:p>
      <w:pPr>
        <w:spacing w:line="590" w:lineRule="exact"/>
        <w:ind w:firstLine="640" w:firstLineChars="200"/>
        <w:jc w:val="both"/>
        <w:rPr>
          <w:rFonts w:hint="eastAsia" w:ascii="Times New Roman" w:hAnsi="Times New Roman" w:eastAsia="仿宋_GB2312" w:cs="Times New Roman"/>
          <w:b/>
          <w:bCs/>
          <w:sz w:val="33"/>
          <w:szCs w:val="33"/>
          <w:lang w:eastAsia="zh-CN"/>
        </w:rPr>
      </w:pPr>
      <w:r>
        <w:rPr>
          <w:rFonts w:hint="eastAsia" w:ascii="方正楷体_GBK" w:hAnsi="方正楷体_GBK" w:eastAsia="方正楷体_GBK" w:cs="方正楷体_GBK"/>
          <w:b/>
          <w:bCs/>
          <w:sz w:val="32"/>
          <w:szCs w:val="32"/>
        </w:rPr>
        <w:t>提高站位忠诚履职。</w:t>
      </w:r>
      <w:r>
        <w:rPr>
          <w:rFonts w:ascii="Times New Roman" w:hAnsi="Times New Roman" w:eastAsia="方正仿宋_GBK" w:cs="Times New Roman"/>
          <w:color w:val="000000"/>
          <w:sz w:val="33"/>
          <w:szCs w:val="33"/>
        </w:rPr>
        <w:t>始终坚持把加强政治建设摆在首位，深学笃行习近平新时代中国特色社会主义思想，切实增强“四个意识”、坚定“四个自信”</w:t>
      </w:r>
      <w:r>
        <w:rPr>
          <w:rFonts w:hint="eastAsia" w:ascii="Times New Roman" w:hAnsi="Times New Roman" w:eastAsia="方正仿宋_GBK" w:cs="Times New Roman"/>
          <w:color w:val="000000"/>
          <w:sz w:val="33"/>
          <w:szCs w:val="33"/>
          <w:lang w:eastAsia="zh-CN"/>
        </w:rPr>
        <w:t>，在履职尽责、担当作为中</w:t>
      </w:r>
      <w:r>
        <w:rPr>
          <w:rFonts w:ascii="Times New Roman" w:hAnsi="Times New Roman" w:eastAsia="方正仿宋_GBK" w:cs="Times New Roman"/>
          <w:color w:val="000000"/>
          <w:sz w:val="33"/>
          <w:szCs w:val="33"/>
        </w:rPr>
        <w:t>坚定不移做“两个确立”的忠诚拥护者、“两个维护”的示范引领者</w:t>
      </w:r>
      <w:r>
        <w:rPr>
          <w:rFonts w:hint="eastAsia" w:ascii="Times New Roman" w:hAnsi="Times New Roman" w:eastAsia="方正仿宋_GBK" w:cs="Times New Roman"/>
          <w:color w:val="000000"/>
          <w:sz w:val="33"/>
          <w:szCs w:val="33"/>
          <w:lang w:eastAsia="zh-CN"/>
        </w:rPr>
        <w:t>，将党史学习教育成果转化为实实在在的工作成效</w:t>
      </w:r>
      <w:r>
        <w:rPr>
          <w:rFonts w:ascii="Times New Roman" w:hAnsi="Times New Roman" w:eastAsia="方正仿宋_GBK" w:cs="Times New Roman"/>
          <w:color w:val="000000"/>
          <w:sz w:val="33"/>
          <w:szCs w:val="33"/>
        </w:rPr>
        <w:t>。</w:t>
      </w:r>
    </w:p>
    <w:p>
      <w:pPr>
        <w:spacing w:line="590" w:lineRule="exact"/>
        <w:ind w:firstLine="660" w:firstLineChars="200"/>
        <w:jc w:val="both"/>
        <w:rPr>
          <w:rFonts w:hint="eastAsia" w:ascii="Times New Roman" w:hAnsi="Times New Roman" w:eastAsia="方正仿宋_GBK" w:cs="Times New Roman"/>
          <w:b/>
          <w:bCs/>
          <w:sz w:val="33"/>
          <w:szCs w:val="33"/>
          <w:lang w:eastAsia="zh-CN"/>
        </w:rPr>
      </w:pPr>
      <w:r>
        <w:rPr>
          <w:rFonts w:hint="eastAsia" w:ascii="Times New Roman" w:hAnsi="Times New Roman" w:eastAsia="方正楷体_GBK" w:cs="Times New Roman"/>
          <w:b/>
          <w:bCs/>
          <w:sz w:val="33"/>
          <w:szCs w:val="33"/>
        </w:rPr>
        <w:t>依法行政狠抓落实。</w:t>
      </w:r>
      <w:r>
        <w:rPr>
          <w:rFonts w:hint="eastAsia" w:ascii="Times New Roman" w:hAnsi="Times New Roman" w:eastAsia="方正仿宋_GBK" w:cs="Times New Roman"/>
          <w:color w:val="000000"/>
          <w:sz w:val="33"/>
          <w:szCs w:val="33"/>
          <w:lang w:eastAsia="zh-CN"/>
        </w:rPr>
        <w:t>坚持把政府工作纳入法治轨道，</w:t>
      </w:r>
      <w:r>
        <w:rPr>
          <w:rFonts w:ascii="Times New Roman" w:hAnsi="Times New Roman" w:eastAsia="方正仿宋_GBK" w:cs="Times New Roman"/>
          <w:color w:val="000000"/>
          <w:sz w:val="33"/>
          <w:szCs w:val="33"/>
        </w:rPr>
        <w:t>让依法行政成为思想自觉、行动自觉，坚持用法治思维和法治方式推动发展</w:t>
      </w:r>
      <w:r>
        <w:rPr>
          <w:rFonts w:hint="eastAsia" w:ascii="Times New Roman" w:hAnsi="Times New Roman" w:eastAsia="方正仿宋_GBK" w:cs="Times New Roman"/>
          <w:color w:val="000000"/>
          <w:sz w:val="33"/>
          <w:szCs w:val="33"/>
          <w:lang w:eastAsia="zh-CN"/>
        </w:rPr>
        <w:t>、</w:t>
      </w:r>
      <w:r>
        <w:rPr>
          <w:rFonts w:ascii="Times New Roman" w:hAnsi="Times New Roman" w:eastAsia="方正仿宋_GBK" w:cs="Times New Roman"/>
          <w:color w:val="000000"/>
          <w:sz w:val="33"/>
          <w:szCs w:val="33"/>
        </w:rPr>
        <w:t>维护稳定</w:t>
      </w:r>
      <w:r>
        <w:rPr>
          <w:rFonts w:hint="eastAsia" w:ascii="Times New Roman" w:hAnsi="Times New Roman" w:eastAsia="方正仿宋_GBK" w:cs="Times New Roman"/>
          <w:color w:val="000000"/>
          <w:sz w:val="33"/>
          <w:szCs w:val="33"/>
          <w:lang w:eastAsia="zh-CN"/>
        </w:rPr>
        <w:t>。严格依照宪法和法律履职、用权、办事，</w:t>
      </w:r>
      <w:r>
        <w:rPr>
          <w:rFonts w:ascii="Times New Roman" w:hAnsi="Times New Roman" w:eastAsia="方正仿宋_GBK" w:cs="Times New Roman"/>
          <w:color w:val="000000"/>
          <w:sz w:val="33"/>
          <w:szCs w:val="33"/>
        </w:rPr>
        <w:t>不断提升政府决策科学化、民主化、法治化水平。</w:t>
      </w:r>
      <w:r>
        <w:rPr>
          <w:rFonts w:hint="eastAsia" w:ascii="Times New Roman" w:hAnsi="Times New Roman" w:eastAsia="方正仿宋_GBK" w:cs="Times New Roman"/>
          <w:color w:val="000000"/>
          <w:sz w:val="33"/>
          <w:szCs w:val="33"/>
          <w:lang w:eastAsia="zh-CN"/>
        </w:rPr>
        <w:t>自觉接受镇人大法律监督，扎实高效办好人大代表建议，积极回应群众期盼，打造廉洁务实人民满意政府。</w:t>
      </w:r>
    </w:p>
    <w:p>
      <w:pPr>
        <w:spacing w:line="590" w:lineRule="exact"/>
        <w:ind w:firstLine="660" w:firstLineChars="200"/>
        <w:jc w:val="both"/>
        <w:rPr>
          <w:rFonts w:hint="eastAsia" w:eastAsia="黑体"/>
        </w:rPr>
      </w:pPr>
      <w:r>
        <w:rPr>
          <w:rFonts w:hint="eastAsia" w:ascii="Times New Roman" w:hAnsi="Times New Roman" w:eastAsia="方正楷体_GBK" w:cs="Times New Roman"/>
          <w:b/>
          <w:bCs/>
          <w:sz w:val="33"/>
          <w:szCs w:val="33"/>
        </w:rPr>
        <w:t>驰而不息正风肃纪。</w:t>
      </w:r>
      <w:r>
        <w:rPr>
          <w:rFonts w:hint="eastAsia" w:ascii="Times New Roman" w:hAnsi="Times New Roman" w:eastAsia="方正仿宋_GBK" w:cs="Times New Roman"/>
          <w:color w:val="000000"/>
          <w:sz w:val="33"/>
          <w:szCs w:val="33"/>
          <w:lang w:eastAsia="zh-CN"/>
        </w:rPr>
        <w:t>坚定不移</w:t>
      </w:r>
      <w:r>
        <w:rPr>
          <w:rFonts w:ascii="Times New Roman" w:hAnsi="Times New Roman" w:eastAsia="方正仿宋_GBK" w:cs="Times New Roman"/>
          <w:color w:val="000000"/>
          <w:sz w:val="33"/>
          <w:szCs w:val="33"/>
        </w:rPr>
        <w:t>纠治“四风”，坚决防止形式主义、官僚主义滋生蔓延。加强行政审批、工程建设等领域监管，</w:t>
      </w:r>
      <w:r>
        <w:rPr>
          <w:rFonts w:ascii="Times New Roman" w:hAnsi="Times New Roman" w:eastAsia="方正仿宋_GBK" w:cs="Times New Roman"/>
          <w:color w:val="000000" w:themeColor="text1"/>
          <w:kern w:val="0"/>
          <w:sz w:val="33"/>
          <w:szCs w:val="33"/>
          <w14:textFill>
            <w14:solidFill>
              <w14:schemeClr w14:val="tx1"/>
            </w14:solidFill>
          </w14:textFill>
        </w:rPr>
        <w:t>紧盯工程招投标、政府采购、村级财务管理等重点领域，切实筑牢拒腐防变思想和制度防线</w:t>
      </w:r>
      <w:r>
        <w:rPr>
          <w:rFonts w:ascii="Times New Roman" w:hAnsi="Times New Roman" w:eastAsia="方正仿宋_GBK" w:cs="Times New Roman"/>
          <w:color w:val="000000"/>
          <w:sz w:val="33"/>
          <w:szCs w:val="33"/>
        </w:rPr>
        <w:t>。以清廉</w:t>
      </w:r>
      <w:r>
        <w:rPr>
          <w:rFonts w:hint="eastAsia" w:ascii="Times New Roman" w:hAnsi="Times New Roman" w:eastAsia="方正仿宋_GBK" w:cs="Times New Roman"/>
          <w:color w:val="000000"/>
          <w:sz w:val="33"/>
          <w:szCs w:val="33"/>
          <w:lang w:eastAsia="zh-CN"/>
        </w:rPr>
        <w:t>高效、</w:t>
      </w:r>
      <w:r>
        <w:rPr>
          <w:rFonts w:ascii="Times New Roman" w:hAnsi="Times New Roman" w:eastAsia="方正仿宋_GBK" w:cs="Times New Roman"/>
          <w:color w:val="000000"/>
          <w:sz w:val="33"/>
          <w:szCs w:val="33"/>
        </w:rPr>
        <w:t>正身立本、取信于民</w:t>
      </w:r>
      <w:r>
        <w:rPr>
          <w:rFonts w:hint="eastAsia" w:ascii="Times New Roman" w:hAnsi="Times New Roman" w:eastAsia="方正仿宋_GBK" w:cs="Times New Roman"/>
          <w:color w:val="000000"/>
          <w:sz w:val="33"/>
          <w:szCs w:val="33"/>
          <w:lang w:eastAsia="zh-CN"/>
        </w:rPr>
        <w:t>，</w:t>
      </w:r>
      <w:r>
        <w:rPr>
          <w:rFonts w:ascii="Times New Roman" w:hAnsi="Times New Roman" w:eastAsia="方正仿宋_GBK" w:cs="Times New Roman"/>
          <w:color w:val="000000" w:themeColor="text1"/>
          <w:kern w:val="0"/>
          <w:sz w:val="33"/>
          <w:szCs w:val="33"/>
          <w14:textFill>
            <w14:solidFill>
              <w14:schemeClr w14:val="tx1"/>
            </w14:solidFill>
          </w14:textFill>
        </w:rPr>
        <w:t>树立风清气正的政府形象。</w:t>
      </w:r>
    </w:p>
    <w:p>
      <w:pPr>
        <w:spacing w:line="560" w:lineRule="exact"/>
        <w:ind w:firstLine="640" w:firstLineChars="200"/>
        <w:jc w:val="both"/>
        <w:rPr>
          <w:rFonts w:eastAsia="黑体"/>
        </w:rPr>
      </w:pPr>
      <w:r>
        <w:rPr>
          <w:rFonts w:hint="eastAsia" w:eastAsia="黑体"/>
        </w:rPr>
        <w:t>二、单位构成情况</w:t>
      </w:r>
    </w:p>
    <w:p>
      <w:pPr>
        <w:spacing w:line="560" w:lineRule="exact"/>
        <w:ind w:firstLine="640" w:firstLineChars="200"/>
        <w:jc w:val="both"/>
      </w:pPr>
      <w:r>
        <w:rPr>
          <w:rFonts w:hint="eastAsia"/>
          <w:lang w:eastAsia="zh-CN"/>
        </w:rPr>
        <w:t>盐边县永兴</w:t>
      </w:r>
      <w:r>
        <w:rPr>
          <w:rFonts w:hint="eastAsia"/>
        </w:rPr>
        <w:t>镇人民政府</w:t>
      </w:r>
      <w:r>
        <w:t>下属非独立核算单位</w:t>
      </w:r>
      <w:r>
        <w:rPr>
          <w:rFonts w:hint="eastAsia"/>
        </w:rPr>
        <w:t>14</w:t>
      </w:r>
      <w:r>
        <w:t>个，其中行政单位</w:t>
      </w:r>
      <w:r>
        <w:rPr>
          <w:rFonts w:hint="eastAsia"/>
          <w:lang w:val="en-US" w:eastAsia="zh-CN"/>
        </w:rPr>
        <w:t>10</w:t>
      </w:r>
      <w:r>
        <w:t>个，事业单位</w:t>
      </w:r>
      <w:r>
        <w:rPr>
          <w:rFonts w:hint="eastAsia"/>
          <w:lang w:val="en-US" w:eastAsia="zh-CN"/>
        </w:rPr>
        <w:t>4</w:t>
      </w:r>
      <w:r>
        <w:t>个。主要包括：</w:t>
      </w:r>
      <w:r>
        <w:rPr>
          <w:rFonts w:hint="eastAsia"/>
          <w:u w:val="none"/>
        </w:rPr>
        <w:t>党建办、党政办、经济发展办、社会事务办、综合执法办、社会治理办、财政所、生态环境办、应急管理办、</w:t>
      </w:r>
      <w:r>
        <w:rPr>
          <w:rFonts w:hint="eastAsia"/>
          <w:u w:val="none"/>
          <w:lang w:eastAsia="zh-CN"/>
        </w:rPr>
        <w:t>永兴</w:t>
      </w:r>
      <w:r>
        <w:rPr>
          <w:rFonts w:hint="eastAsia"/>
          <w:u w:val="none"/>
        </w:rPr>
        <w:t>镇便民服务中心、</w:t>
      </w:r>
      <w:r>
        <w:rPr>
          <w:rFonts w:hint="eastAsia"/>
          <w:u w:val="none"/>
          <w:lang w:eastAsia="zh-CN"/>
        </w:rPr>
        <w:t>永兴</w:t>
      </w:r>
      <w:r>
        <w:rPr>
          <w:rFonts w:hint="eastAsia"/>
          <w:u w:val="none"/>
        </w:rPr>
        <w:t>镇农业农村服务中心、村镇建设服务中心、宣传文化中心、党群服务中心</w:t>
      </w:r>
      <w:r>
        <w:rPr>
          <w:u w:val="none"/>
        </w:rPr>
        <w:t>。</w:t>
      </w:r>
    </w:p>
    <w:p>
      <w:pPr>
        <w:spacing w:line="560" w:lineRule="exact"/>
        <w:ind w:firstLine="640" w:firstLineChars="200"/>
        <w:jc w:val="both"/>
        <w:rPr>
          <w:rFonts w:eastAsia="黑体"/>
        </w:rPr>
      </w:pPr>
      <w:r>
        <w:rPr>
          <w:rFonts w:eastAsia="黑体"/>
        </w:rPr>
        <w:t>三、收支预算情况说明</w:t>
      </w:r>
    </w:p>
    <w:p>
      <w:pPr>
        <w:spacing w:line="560" w:lineRule="exact"/>
        <w:ind w:firstLine="640" w:firstLineChars="200"/>
        <w:jc w:val="both"/>
        <w:rPr>
          <w:rFonts w:hint="eastAsia"/>
          <w:u w:val="none"/>
        </w:rPr>
      </w:pPr>
      <w:r>
        <w:rPr>
          <w:rFonts w:hint="eastAsia"/>
          <w:u w:val="none"/>
        </w:rPr>
        <w:t>按照综合预算的原则，盐边县</w:t>
      </w:r>
      <w:r>
        <w:rPr>
          <w:rFonts w:hint="eastAsia"/>
          <w:u w:val="none"/>
          <w:lang w:eastAsia="zh-CN"/>
        </w:rPr>
        <w:t>永兴</w:t>
      </w:r>
      <w:r>
        <w:rPr>
          <w:rFonts w:hint="eastAsia"/>
          <w:u w:val="none"/>
        </w:rPr>
        <w:t>镇人民政府所有收入和支出均纳入部门预算管理。收入包括：一般公共预算拨款收入</w:t>
      </w:r>
      <w:r>
        <w:rPr>
          <w:rFonts w:hint="eastAsia"/>
          <w:u w:val="none"/>
          <w:lang w:val="en-US" w:eastAsia="zh-CN"/>
        </w:rPr>
        <w:t>1693.37</w:t>
      </w:r>
      <w:r>
        <w:rPr>
          <w:rFonts w:hint="eastAsia"/>
          <w:u w:val="none"/>
        </w:rPr>
        <w:t>万元，含上年财返0万元；支出包括：一般公共服务支出</w:t>
      </w:r>
      <w:r>
        <w:rPr>
          <w:rFonts w:hint="eastAsia"/>
          <w:u w:val="none"/>
          <w:lang w:val="en-US" w:eastAsia="zh-CN"/>
        </w:rPr>
        <w:t>505.38万元</w:t>
      </w:r>
      <w:r>
        <w:rPr>
          <w:rFonts w:hint="eastAsia"/>
          <w:u w:val="none"/>
        </w:rPr>
        <w:t>、文化旅游体育与传媒支出</w:t>
      </w:r>
      <w:r>
        <w:rPr>
          <w:rFonts w:hint="eastAsia"/>
          <w:u w:val="none"/>
          <w:lang w:val="en-US" w:eastAsia="zh-CN"/>
        </w:rPr>
        <w:t>72.69万元</w:t>
      </w:r>
      <w:r>
        <w:rPr>
          <w:rFonts w:hint="eastAsia"/>
          <w:u w:val="none"/>
        </w:rPr>
        <w:t>、社会保障与就业支出</w:t>
      </w:r>
      <w:r>
        <w:rPr>
          <w:rFonts w:hint="eastAsia"/>
          <w:u w:val="none"/>
          <w:lang w:val="en-US" w:eastAsia="zh-CN"/>
        </w:rPr>
        <w:t>398.16万元</w:t>
      </w:r>
      <w:r>
        <w:rPr>
          <w:rFonts w:hint="eastAsia"/>
          <w:u w:val="none"/>
        </w:rPr>
        <w:t>，</w:t>
      </w:r>
      <w:r>
        <w:rPr>
          <w:rFonts w:hint="eastAsia"/>
          <w:u w:val="none"/>
          <w:lang w:eastAsia="zh-CN"/>
        </w:rPr>
        <w:t>卫生健康</w:t>
      </w:r>
      <w:r>
        <w:rPr>
          <w:rFonts w:hint="eastAsia"/>
          <w:u w:val="none"/>
        </w:rPr>
        <w:t>支出</w:t>
      </w:r>
      <w:r>
        <w:rPr>
          <w:rFonts w:hint="eastAsia"/>
          <w:u w:val="none"/>
          <w:lang w:val="en-US" w:eastAsia="zh-CN"/>
        </w:rPr>
        <w:t>88.23万元</w:t>
      </w:r>
      <w:r>
        <w:rPr>
          <w:rFonts w:hint="eastAsia"/>
          <w:u w:val="none"/>
        </w:rPr>
        <w:t>，农林水支出</w:t>
      </w:r>
      <w:r>
        <w:rPr>
          <w:rFonts w:hint="eastAsia"/>
          <w:u w:val="none"/>
          <w:lang w:val="en-US" w:eastAsia="zh-CN"/>
        </w:rPr>
        <w:t>501.76万元</w:t>
      </w:r>
      <w:r>
        <w:rPr>
          <w:rFonts w:hint="eastAsia"/>
          <w:u w:val="none"/>
        </w:rPr>
        <w:t>，住房保障支出</w:t>
      </w:r>
      <w:r>
        <w:rPr>
          <w:rFonts w:hint="eastAsia"/>
          <w:u w:val="none"/>
          <w:lang w:val="en-US" w:eastAsia="zh-CN"/>
        </w:rPr>
        <w:t>127.15万元</w:t>
      </w:r>
      <w:r>
        <w:rPr>
          <w:rFonts w:hint="eastAsia"/>
          <w:u w:val="none"/>
        </w:rPr>
        <w:t>。盐边县</w:t>
      </w:r>
      <w:r>
        <w:rPr>
          <w:rFonts w:hint="eastAsia"/>
          <w:u w:val="none"/>
          <w:lang w:eastAsia="zh-CN"/>
        </w:rPr>
        <w:t>永兴</w:t>
      </w:r>
      <w:r>
        <w:rPr>
          <w:rFonts w:hint="eastAsia"/>
          <w:u w:val="none"/>
        </w:rPr>
        <w:t>镇人民政府2022年</w:t>
      </w:r>
      <w:r>
        <w:rPr>
          <w:rFonts w:hint="eastAsia"/>
          <w:u w:val="none"/>
          <w:lang w:val="en-US" w:eastAsia="zh-CN"/>
        </w:rPr>
        <w:t>无预算收支增减变化情况</w:t>
      </w:r>
      <w:bookmarkStart w:id="0" w:name="_GoBack"/>
      <w:bookmarkEnd w:id="0"/>
      <w:r>
        <w:rPr>
          <w:rFonts w:hint="eastAsia"/>
          <w:u w:val="none"/>
        </w:rPr>
        <w:t>。</w:t>
      </w:r>
    </w:p>
    <w:p>
      <w:pPr>
        <w:spacing w:line="560" w:lineRule="exact"/>
        <w:ind w:firstLine="640" w:firstLineChars="200"/>
        <w:jc w:val="both"/>
        <w:rPr>
          <w:rFonts w:eastAsia="楷体_GB2312"/>
        </w:rPr>
      </w:pPr>
      <w:r>
        <w:rPr>
          <w:rFonts w:eastAsia="楷体_GB2312"/>
        </w:rPr>
        <w:t>（一）收入预算情况。</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年收入预算</w:t>
      </w:r>
      <w:r>
        <w:rPr>
          <w:rFonts w:hint="eastAsia"/>
          <w:lang w:val="en-US" w:eastAsia="zh-CN"/>
        </w:rPr>
        <w:t>1693.37</w:t>
      </w:r>
      <w:r>
        <w:t>万元，其中：上年结转</w:t>
      </w:r>
      <w:r>
        <w:rPr>
          <w:rFonts w:hint="eastAsia"/>
        </w:rPr>
        <w:t>0</w:t>
      </w:r>
      <w:r>
        <w:t>万元，占</w:t>
      </w:r>
      <w:r>
        <w:rPr>
          <w:rFonts w:hint="eastAsia"/>
        </w:rPr>
        <w:t>100</w:t>
      </w:r>
      <w:r>
        <w:t>%；一般公共预算拨款收入</w:t>
      </w:r>
      <w:r>
        <w:rPr>
          <w:rFonts w:hint="eastAsia"/>
          <w:lang w:val="en-US" w:eastAsia="zh-CN"/>
        </w:rPr>
        <w:t>1693.37</w:t>
      </w:r>
      <w:r>
        <w:t>万元，占</w:t>
      </w:r>
      <w:r>
        <w:rPr>
          <w:rFonts w:hint="eastAsia"/>
        </w:rPr>
        <w:t>100</w:t>
      </w:r>
      <w:r>
        <w:t>%；政府性基金预算拨款收入</w:t>
      </w:r>
      <w:r>
        <w:rPr>
          <w:rFonts w:hint="eastAsia"/>
        </w:rPr>
        <w:t>0</w:t>
      </w:r>
      <w:r>
        <w:t>万元，占</w:t>
      </w:r>
      <w:r>
        <w:rPr>
          <w:rFonts w:hint="eastAsia"/>
        </w:rPr>
        <w:t>0</w:t>
      </w:r>
      <w:r>
        <w:t>%。</w:t>
      </w:r>
    </w:p>
    <w:p>
      <w:pPr>
        <w:spacing w:line="560" w:lineRule="exact"/>
        <w:ind w:firstLine="640" w:firstLineChars="200"/>
        <w:jc w:val="both"/>
        <w:rPr>
          <w:rFonts w:eastAsia="楷体_GB2312"/>
        </w:rPr>
      </w:pPr>
      <w:r>
        <w:rPr>
          <w:rFonts w:eastAsia="楷体_GB2312"/>
        </w:rPr>
        <w:t>（二）支出预算情况。</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年支出预算</w:t>
      </w:r>
      <w:r>
        <w:rPr>
          <w:rFonts w:hint="eastAsia"/>
          <w:lang w:val="en-US" w:eastAsia="zh-CN"/>
        </w:rPr>
        <w:t>1693.37</w:t>
      </w:r>
      <w:r>
        <w:t>万元，其中：基本支出</w:t>
      </w:r>
      <w:r>
        <w:rPr>
          <w:rFonts w:hint="eastAsia"/>
          <w:lang w:val="en-US" w:eastAsia="zh-CN"/>
        </w:rPr>
        <w:t>1522.81</w:t>
      </w:r>
      <w:r>
        <w:t>万元，占</w:t>
      </w:r>
      <w:r>
        <w:rPr>
          <w:rFonts w:hint="eastAsia"/>
          <w:lang w:val="en-US" w:eastAsia="zh-CN"/>
        </w:rPr>
        <w:t>89.93</w:t>
      </w:r>
      <w:r>
        <w:t>%；项目支出</w:t>
      </w:r>
      <w:r>
        <w:rPr>
          <w:rFonts w:hint="eastAsia"/>
          <w:lang w:val="en-US" w:eastAsia="zh-CN"/>
        </w:rPr>
        <w:t>170.56</w:t>
      </w:r>
      <w:r>
        <w:t>万元，占</w:t>
      </w:r>
      <w:r>
        <w:rPr>
          <w:rFonts w:hint="eastAsia"/>
          <w:lang w:val="en-US" w:eastAsia="zh-CN"/>
        </w:rPr>
        <w:t>10.07</w:t>
      </w:r>
      <w:r>
        <w:t>%。</w:t>
      </w:r>
    </w:p>
    <w:p>
      <w:pPr>
        <w:spacing w:line="560" w:lineRule="exact"/>
        <w:ind w:firstLine="640" w:firstLineChars="200"/>
        <w:jc w:val="both"/>
        <w:rPr>
          <w:rFonts w:eastAsia="黑体"/>
        </w:rPr>
      </w:pPr>
      <w:r>
        <w:rPr>
          <w:rFonts w:eastAsia="黑体"/>
        </w:rPr>
        <w:t>四、财政拨款收支预算情况说明</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年财政拨款收支总预算</w:t>
      </w:r>
      <w:r>
        <w:rPr>
          <w:rFonts w:hint="eastAsia"/>
          <w:lang w:val="en-US" w:eastAsia="zh-CN"/>
        </w:rPr>
        <w:t>1693.37</w:t>
      </w:r>
      <w:r>
        <w:t>万元。收入</w:t>
      </w:r>
      <w:r>
        <w:rPr>
          <w:rFonts w:hint="eastAsia"/>
          <w:lang w:eastAsia="zh-CN"/>
        </w:rPr>
        <w:t>主要</w:t>
      </w:r>
      <w:r>
        <w:t>包括：本年一般公共预算拨款收入</w:t>
      </w:r>
      <w:r>
        <w:rPr>
          <w:rFonts w:hint="eastAsia"/>
          <w:lang w:val="en-US" w:eastAsia="zh-CN"/>
        </w:rPr>
        <w:t>1693.37</w:t>
      </w:r>
      <w:r>
        <w:t>万元</w:t>
      </w:r>
      <w:r>
        <w:rPr>
          <w:rFonts w:hint="eastAsia"/>
          <w:lang w:eastAsia="zh-CN"/>
        </w:rPr>
        <w:t>；</w:t>
      </w:r>
      <w:r>
        <w:t>支出包括：</w:t>
      </w:r>
      <w:r>
        <w:rPr>
          <w:rFonts w:hint="eastAsia"/>
          <w:u w:val="none"/>
        </w:rPr>
        <w:t>一般公共服务支出</w:t>
      </w:r>
      <w:r>
        <w:rPr>
          <w:rFonts w:hint="eastAsia"/>
          <w:u w:val="none"/>
          <w:lang w:val="en-US" w:eastAsia="zh-CN"/>
        </w:rPr>
        <w:t>505.38万元</w:t>
      </w:r>
      <w:r>
        <w:rPr>
          <w:rFonts w:hint="eastAsia"/>
          <w:u w:val="none"/>
        </w:rPr>
        <w:t>、文化旅游体育与传媒支出</w:t>
      </w:r>
      <w:r>
        <w:rPr>
          <w:rFonts w:hint="eastAsia"/>
          <w:u w:val="none"/>
          <w:lang w:val="en-US" w:eastAsia="zh-CN"/>
        </w:rPr>
        <w:t>72.69万元</w:t>
      </w:r>
      <w:r>
        <w:rPr>
          <w:rFonts w:hint="eastAsia"/>
          <w:u w:val="none"/>
        </w:rPr>
        <w:t>、社会保障与就业支出</w:t>
      </w:r>
      <w:r>
        <w:rPr>
          <w:rFonts w:hint="eastAsia"/>
          <w:u w:val="none"/>
          <w:lang w:val="en-US" w:eastAsia="zh-CN"/>
        </w:rPr>
        <w:t>398.16万元</w:t>
      </w:r>
      <w:r>
        <w:rPr>
          <w:rFonts w:hint="eastAsia"/>
          <w:u w:val="none"/>
        </w:rPr>
        <w:t>，</w:t>
      </w:r>
      <w:r>
        <w:rPr>
          <w:rFonts w:hint="eastAsia"/>
          <w:u w:val="none"/>
          <w:lang w:eastAsia="zh-CN"/>
        </w:rPr>
        <w:t>卫生健康</w:t>
      </w:r>
      <w:r>
        <w:rPr>
          <w:rFonts w:hint="eastAsia"/>
          <w:u w:val="none"/>
        </w:rPr>
        <w:t>支出</w:t>
      </w:r>
      <w:r>
        <w:rPr>
          <w:rFonts w:hint="eastAsia"/>
          <w:u w:val="none"/>
          <w:lang w:val="en-US" w:eastAsia="zh-CN"/>
        </w:rPr>
        <w:t>88.23万元</w:t>
      </w:r>
      <w:r>
        <w:rPr>
          <w:rFonts w:hint="eastAsia"/>
          <w:u w:val="none"/>
        </w:rPr>
        <w:t>，农林水支出</w:t>
      </w:r>
      <w:r>
        <w:rPr>
          <w:rFonts w:hint="eastAsia"/>
          <w:u w:val="none"/>
          <w:lang w:val="en-US" w:eastAsia="zh-CN"/>
        </w:rPr>
        <w:t>501.76万元</w:t>
      </w:r>
      <w:r>
        <w:rPr>
          <w:rFonts w:hint="eastAsia"/>
          <w:u w:val="none"/>
        </w:rPr>
        <w:t>，住房保障支出</w:t>
      </w:r>
      <w:r>
        <w:rPr>
          <w:rFonts w:hint="eastAsia"/>
          <w:u w:val="none"/>
          <w:lang w:val="en-US" w:eastAsia="zh-CN"/>
        </w:rPr>
        <w:t>127.15万元</w:t>
      </w:r>
      <w:r>
        <w:rPr>
          <w:rFonts w:hint="eastAsia"/>
          <w:u w:val="none"/>
        </w:rPr>
        <w:t>。</w:t>
      </w:r>
    </w:p>
    <w:p>
      <w:pPr>
        <w:spacing w:line="560" w:lineRule="exact"/>
        <w:ind w:firstLine="640" w:firstLineChars="200"/>
        <w:jc w:val="both"/>
        <w:rPr>
          <w:rFonts w:eastAsia="黑体"/>
        </w:rPr>
      </w:pPr>
      <w:r>
        <w:rPr>
          <w:rFonts w:eastAsia="黑体"/>
        </w:rPr>
        <w:t>五、一般公共预算当年拨款情况说明</w:t>
      </w:r>
    </w:p>
    <w:p>
      <w:pPr>
        <w:spacing w:line="560" w:lineRule="exact"/>
        <w:ind w:firstLine="640" w:firstLineChars="200"/>
        <w:jc w:val="both"/>
        <w:rPr>
          <w:rFonts w:eastAsia="楷体_GB2312"/>
        </w:rPr>
      </w:pPr>
      <w:r>
        <w:rPr>
          <w:rFonts w:eastAsia="楷体_GB2312"/>
        </w:rPr>
        <w:t>（一）一般公共预算当年拨款规模变化情况。</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年一般公共预算当年拨款</w:t>
      </w:r>
      <w:r>
        <w:rPr>
          <w:rFonts w:hint="eastAsia"/>
          <w:lang w:val="en-US" w:eastAsia="zh-CN"/>
        </w:rPr>
        <w:t>1693.37</w:t>
      </w:r>
      <w:r>
        <w:t>万元，</w:t>
      </w:r>
      <w:r>
        <w:rPr>
          <w:rFonts w:hint="eastAsia"/>
          <w:lang w:eastAsia="zh-CN"/>
        </w:rPr>
        <w:t>较</w:t>
      </w:r>
      <w:r>
        <w:t>202</w:t>
      </w:r>
      <w:r>
        <w:rPr>
          <w:rFonts w:hint="eastAsia"/>
        </w:rPr>
        <w:t>1</w:t>
      </w:r>
      <w:r>
        <w:t>年预算数</w:t>
      </w:r>
      <w:r>
        <w:rPr>
          <w:rFonts w:hint="eastAsia"/>
          <w:lang w:val="en-US" w:eastAsia="zh-CN"/>
        </w:rPr>
        <w:t>1487.52</w:t>
      </w:r>
      <w:r>
        <w:rPr>
          <w:rFonts w:hint="eastAsia"/>
        </w:rPr>
        <w:t>万元</w:t>
      </w:r>
      <w:r>
        <w:rPr>
          <w:rFonts w:hint="eastAsia"/>
          <w:lang w:eastAsia="zh-CN"/>
        </w:rPr>
        <w:t>增加</w:t>
      </w:r>
      <w:r>
        <w:rPr>
          <w:rFonts w:hint="eastAsia"/>
          <w:lang w:val="en-US" w:eastAsia="zh-CN"/>
        </w:rPr>
        <w:t>205.85</w:t>
      </w:r>
      <w:r>
        <w:t>万元，</w:t>
      </w:r>
      <w:r>
        <w:rPr>
          <w:rFonts w:hint="eastAsia"/>
          <w:lang w:eastAsia="zh-CN"/>
        </w:rPr>
        <w:t>上浮</w:t>
      </w:r>
      <w:r>
        <w:rPr>
          <w:rFonts w:hint="eastAsia"/>
          <w:lang w:val="en-US" w:eastAsia="zh-CN"/>
        </w:rPr>
        <w:t>13.84%，</w:t>
      </w:r>
      <w:r>
        <w:t>主要是</w:t>
      </w:r>
      <w:r>
        <w:rPr>
          <w:rFonts w:hint="eastAsia"/>
          <w:lang w:eastAsia="zh-CN"/>
        </w:rPr>
        <w:t>本年度新入编人员增加、基本工资调标等因素</w:t>
      </w:r>
      <w:r>
        <w:t>。</w:t>
      </w:r>
    </w:p>
    <w:p>
      <w:pPr>
        <w:spacing w:line="560" w:lineRule="exact"/>
        <w:ind w:firstLine="640" w:firstLineChars="200"/>
        <w:jc w:val="both"/>
        <w:rPr>
          <w:rFonts w:eastAsia="楷体_GB2312"/>
        </w:rPr>
      </w:pPr>
      <w:r>
        <w:rPr>
          <w:rFonts w:eastAsia="楷体_GB2312"/>
        </w:rPr>
        <w:t>（二）一般公共预算当年拨款结构情况。</w:t>
      </w:r>
    </w:p>
    <w:p>
      <w:pPr>
        <w:spacing w:line="560" w:lineRule="exact"/>
        <w:ind w:firstLine="640" w:firstLineChars="200"/>
        <w:jc w:val="both"/>
      </w:pPr>
      <w:r>
        <w:rPr>
          <w:rFonts w:hint="eastAsia"/>
          <w:u w:val="none"/>
        </w:rPr>
        <w:t>一般公共服务支出</w:t>
      </w:r>
      <w:r>
        <w:rPr>
          <w:rFonts w:hint="eastAsia"/>
          <w:u w:val="none"/>
          <w:lang w:val="en-US" w:eastAsia="zh-CN"/>
        </w:rPr>
        <w:t>505.38万元</w:t>
      </w:r>
      <w:r>
        <w:rPr>
          <w:rFonts w:hint="eastAsia"/>
          <w:u w:val="none"/>
          <w:lang w:eastAsia="zh-CN"/>
        </w:rPr>
        <w:t>，占</w:t>
      </w:r>
      <w:r>
        <w:rPr>
          <w:rFonts w:hint="eastAsia"/>
          <w:u w:val="none"/>
          <w:lang w:val="en-US" w:eastAsia="zh-CN"/>
        </w:rPr>
        <w:t>29.84%</w:t>
      </w:r>
      <w:r>
        <w:rPr>
          <w:rFonts w:hint="eastAsia"/>
          <w:u w:val="none"/>
          <w:lang w:eastAsia="zh-CN"/>
        </w:rPr>
        <w:t>；</w:t>
      </w:r>
      <w:r>
        <w:rPr>
          <w:rFonts w:hint="eastAsia"/>
          <w:u w:val="none"/>
        </w:rPr>
        <w:t>文化旅游体育与传媒支出</w:t>
      </w:r>
      <w:r>
        <w:rPr>
          <w:rFonts w:hint="eastAsia"/>
          <w:u w:val="none"/>
          <w:lang w:val="en-US" w:eastAsia="zh-CN"/>
        </w:rPr>
        <w:t>72.69万元</w:t>
      </w:r>
      <w:r>
        <w:rPr>
          <w:rFonts w:hint="eastAsia"/>
          <w:u w:val="none"/>
          <w:lang w:eastAsia="zh-CN"/>
        </w:rPr>
        <w:t>，占</w:t>
      </w:r>
      <w:r>
        <w:rPr>
          <w:rFonts w:hint="eastAsia"/>
          <w:u w:val="none"/>
          <w:lang w:val="en-US" w:eastAsia="zh-CN"/>
        </w:rPr>
        <w:t>4.29%</w:t>
      </w:r>
      <w:r>
        <w:rPr>
          <w:rFonts w:hint="eastAsia"/>
          <w:u w:val="none"/>
          <w:lang w:eastAsia="zh-CN"/>
        </w:rPr>
        <w:t>；</w:t>
      </w:r>
      <w:r>
        <w:rPr>
          <w:rFonts w:hint="eastAsia"/>
          <w:u w:val="none"/>
        </w:rPr>
        <w:t>社会保障与就业支出</w:t>
      </w:r>
      <w:r>
        <w:rPr>
          <w:rFonts w:hint="eastAsia"/>
          <w:u w:val="none"/>
          <w:lang w:val="en-US" w:eastAsia="zh-CN"/>
        </w:rPr>
        <w:t>398.16万元</w:t>
      </w:r>
      <w:r>
        <w:rPr>
          <w:rFonts w:hint="eastAsia"/>
          <w:u w:val="none"/>
          <w:lang w:eastAsia="zh-CN"/>
        </w:rPr>
        <w:t>，占</w:t>
      </w:r>
      <w:r>
        <w:rPr>
          <w:rFonts w:hint="eastAsia"/>
          <w:u w:val="none"/>
          <w:lang w:val="en-US" w:eastAsia="zh-CN"/>
        </w:rPr>
        <w:t>23.51%</w:t>
      </w:r>
      <w:r>
        <w:rPr>
          <w:rFonts w:hint="eastAsia"/>
          <w:u w:val="none"/>
          <w:lang w:eastAsia="zh-CN"/>
        </w:rPr>
        <w:t>；卫生健康</w:t>
      </w:r>
      <w:r>
        <w:rPr>
          <w:rFonts w:hint="eastAsia"/>
          <w:u w:val="none"/>
        </w:rPr>
        <w:t>支出</w:t>
      </w:r>
      <w:r>
        <w:rPr>
          <w:rFonts w:hint="eastAsia"/>
          <w:u w:val="none"/>
          <w:lang w:val="en-US" w:eastAsia="zh-CN"/>
        </w:rPr>
        <w:t>88.23万元</w:t>
      </w:r>
      <w:r>
        <w:rPr>
          <w:rFonts w:hint="eastAsia"/>
          <w:u w:val="none"/>
          <w:lang w:eastAsia="zh-CN"/>
        </w:rPr>
        <w:t>，占</w:t>
      </w:r>
      <w:r>
        <w:rPr>
          <w:rFonts w:hint="eastAsia"/>
          <w:u w:val="none"/>
          <w:lang w:val="en-US" w:eastAsia="zh-CN"/>
        </w:rPr>
        <w:t>5.21%</w:t>
      </w:r>
      <w:r>
        <w:rPr>
          <w:rFonts w:hint="eastAsia"/>
          <w:u w:val="none"/>
          <w:lang w:eastAsia="zh-CN"/>
        </w:rPr>
        <w:t>；</w:t>
      </w:r>
      <w:r>
        <w:rPr>
          <w:rFonts w:hint="eastAsia"/>
          <w:u w:val="none"/>
        </w:rPr>
        <w:t>农林水支出</w:t>
      </w:r>
      <w:r>
        <w:rPr>
          <w:rFonts w:hint="eastAsia"/>
          <w:u w:val="none"/>
          <w:lang w:val="en-US" w:eastAsia="zh-CN"/>
        </w:rPr>
        <w:t>501.76万元</w:t>
      </w:r>
      <w:r>
        <w:rPr>
          <w:rFonts w:hint="eastAsia"/>
          <w:u w:val="none"/>
          <w:lang w:eastAsia="zh-CN"/>
        </w:rPr>
        <w:t>，占</w:t>
      </w:r>
      <w:r>
        <w:rPr>
          <w:rFonts w:hint="eastAsia"/>
          <w:u w:val="none"/>
          <w:lang w:val="en-US" w:eastAsia="zh-CN"/>
        </w:rPr>
        <w:t>29.63%</w:t>
      </w:r>
      <w:r>
        <w:rPr>
          <w:rFonts w:hint="eastAsia"/>
          <w:u w:val="none"/>
          <w:lang w:eastAsia="zh-CN"/>
        </w:rPr>
        <w:t>；</w:t>
      </w:r>
      <w:r>
        <w:rPr>
          <w:rFonts w:hint="eastAsia"/>
          <w:u w:val="none"/>
        </w:rPr>
        <w:t>住房保障支出</w:t>
      </w:r>
      <w:r>
        <w:rPr>
          <w:rFonts w:hint="eastAsia"/>
          <w:u w:val="none"/>
          <w:lang w:val="en-US" w:eastAsia="zh-CN"/>
        </w:rPr>
        <w:t>127.15万元</w:t>
      </w:r>
      <w:r>
        <w:rPr>
          <w:rFonts w:hint="eastAsia"/>
          <w:u w:val="none"/>
          <w:lang w:eastAsia="zh-CN"/>
        </w:rPr>
        <w:t>，占</w:t>
      </w:r>
      <w:r>
        <w:rPr>
          <w:rFonts w:hint="eastAsia"/>
          <w:u w:val="none"/>
          <w:lang w:val="en-US" w:eastAsia="zh-CN"/>
        </w:rPr>
        <w:t>7.5%</w:t>
      </w:r>
      <w:r>
        <w:rPr>
          <w:rFonts w:hint="eastAsia"/>
          <w:u w:val="none"/>
        </w:rPr>
        <w:t>。</w:t>
      </w:r>
    </w:p>
    <w:p>
      <w:pPr>
        <w:spacing w:line="560" w:lineRule="exact"/>
        <w:ind w:firstLine="640" w:firstLineChars="200"/>
        <w:jc w:val="both"/>
        <w:rPr>
          <w:rFonts w:eastAsia="楷体_GB2312"/>
        </w:rPr>
      </w:pPr>
      <w:r>
        <w:rPr>
          <w:rFonts w:eastAsia="楷体_GB2312"/>
        </w:rPr>
        <w:t>（三）一般公共预算当年拨款具体使用情况。</w:t>
      </w:r>
    </w:p>
    <w:p>
      <w:pPr>
        <w:spacing w:line="560" w:lineRule="exact"/>
        <w:ind w:firstLine="640" w:firstLineChars="200"/>
        <w:jc w:val="both"/>
        <w:rPr>
          <w:rFonts w:hint="eastAsia"/>
          <w:u w:val="none"/>
        </w:rPr>
      </w:pPr>
      <w:r>
        <w:rPr>
          <w:rFonts w:hint="eastAsia"/>
          <w:u w:val="none"/>
        </w:rPr>
        <w:t>1.一般公共服务（类）2010101人大事务行政运行2022年预算数为</w:t>
      </w:r>
      <w:r>
        <w:rPr>
          <w:rFonts w:hint="eastAsia"/>
          <w:u w:val="none"/>
          <w:lang w:val="en-US" w:eastAsia="zh-CN"/>
        </w:rPr>
        <w:t>12.68</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rPr>
        <w:t>2.一般公共服务（类）2010104人大会议（项目）2022年预算数为</w:t>
      </w:r>
      <w:r>
        <w:rPr>
          <w:rFonts w:hint="eastAsia"/>
          <w:u w:val="none"/>
          <w:lang w:val="en-US" w:eastAsia="zh-CN"/>
        </w:rPr>
        <w:t>4.16</w:t>
      </w:r>
      <w:r>
        <w:rPr>
          <w:rFonts w:hint="eastAsia"/>
          <w:u w:val="none"/>
        </w:rPr>
        <w:t>万元，主要用于：人大会议费用支出。</w:t>
      </w:r>
    </w:p>
    <w:p>
      <w:pPr>
        <w:spacing w:line="560" w:lineRule="exact"/>
        <w:ind w:firstLine="640" w:firstLineChars="200"/>
        <w:jc w:val="both"/>
        <w:rPr>
          <w:rFonts w:hint="eastAsia"/>
          <w:u w:val="none"/>
        </w:rPr>
      </w:pPr>
      <w:r>
        <w:rPr>
          <w:rFonts w:hint="eastAsia"/>
          <w:u w:val="none"/>
        </w:rPr>
        <w:t>3.一般公共服务（类）2010301政府办公厅（室）及相关机构事务行政运行2022年预算数为</w:t>
      </w:r>
      <w:r>
        <w:rPr>
          <w:rFonts w:hint="eastAsia"/>
          <w:u w:val="none"/>
          <w:lang w:val="en-US" w:eastAsia="zh-CN"/>
        </w:rPr>
        <w:t>377.95</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rPr>
        <w:t>4.一般公共服务（类）2010302政府办公厅（室）及相关机构事务一般行政管理事务（项目）2022年预算数为</w:t>
      </w:r>
      <w:r>
        <w:rPr>
          <w:rFonts w:hint="eastAsia"/>
          <w:u w:val="none"/>
          <w:lang w:val="en-US" w:eastAsia="zh-CN"/>
        </w:rPr>
        <w:t>4.28</w:t>
      </w:r>
      <w:r>
        <w:rPr>
          <w:rFonts w:hint="eastAsia"/>
          <w:u w:val="none"/>
        </w:rPr>
        <w:t>万元，主要用于：乡村治理补助支出。</w:t>
      </w:r>
    </w:p>
    <w:p>
      <w:pPr>
        <w:spacing w:line="560" w:lineRule="exact"/>
        <w:ind w:firstLine="640" w:firstLineChars="200"/>
        <w:jc w:val="both"/>
        <w:rPr>
          <w:rFonts w:hint="eastAsia"/>
          <w:u w:val="none"/>
        </w:rPr>
      </w:pPr>
      <w:r>
        <w:rPr>
          <w:rFonts w:hint="eastAsia"/>
          <w:u w:val="none"/>
        </w:rPr>
        <w:t>5.一般公共服务（类）2010350政府办公厅（室）及相关机构事务事业运行2022年预算数为</w:t>
      </w:r>
      <w:r>
        <w:rPr>
          <w:rFonts w:hint="eastAsia"/>
          <w:u w:val="none"/>
          <w:lang w:val="en-US" w:eastAsia="zh-CN"/>
        </w:rPr>
        <w:t>39.08</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lang w:val="en-US" w:eastAsia="zh-CN"/>
        </w:rPr>
        <w:t>6</w:t>
      </w:r>
      <w:r>
        <w:rPr>
          <w:rFonts w:hint="eastAsia"/>
          <w:u w:val="none"/>
        </w:rPr>
        <w:t>.一般公共服务（类）2010</w:t>
      </w:r>
      <w:r>
        <w:rPr>
          <w:rFonts w:hint="eastAsia"/>
          <w:u w:val="none"/>
          <w:lang w:val="en-US" w:eastAsia="zh-CN"/>
        </w:rPr>
        <w:t>601</w:t>
      </w:r>
      <w:r>
        <w:rPr>
          <w:rFonts w:hint="eastAsia"/>
          <w:u w:val="none"/>
          <w:lang w:eastAsia="zh-CN"/>
        </w:rPr>
        <w:t>财政事务行政</w:t>
      </w:r>
      <w:r>
        <w:rPr>
          <w:rFonts w:hint="eastAsia"/>
          <w:u w:val="none"/>
        </w:rPr>
        <w:t>运行2022年预算数为</w:t>
      </w:r>
      <w:r>
        <w:rPr>
          <w:rFonts w:hint="eastAsia"/>
          <w:u w:val="none"/>
          <w:lang w:val="en-US" w:eastAsia="zh-CN"/>
        </w:rPr>
        <w:t>21.31</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lang w:val="en-US" w:eastAsia="zh-CN"/>
        </w:rPr>
        <w:t>7</w:t>
      </w:r>
      <w:r>
        <w:rPr>
          <w:rFonts w:hint="eastAsia"/>
          <w:u w:val="none"/>
        </w:rPr>
        <w:t>.一般公共服务（类）2012304民族事务民族工作专项（项目）2022年预算数为</w:t>
      </w:r>
      <w:r>
        <w:rPr>
          <w:rFonts w:hint="eastAsia"/>
          <w:u w:val="none"/>
          <w:lang w:val="en-US" w:eastAsia="zh-CN"/>
        </w:rPr>
        <w:t>3</w:t>
      </w:r>
      <w:r>
        <w:rPr>
          <w:rFonts w:hint="eastAsia"/>
          <w:u w:val="none"/>
        </w:rPr>
        <w:t>万元，主要用于：少数民族工作经费支出。</w:t>
      </w:r>
    </w:p>
    <w:p>
      <w:pPr>
        <w:spacing w:line="560" w:lineRule="exact"/>
        <w:ind w:firstLine="640" w:firstLineChars="200"/>
        <w:jc w:val="both"/>
        <w:rPr>
          <w:rFonts w:hint="eastAsia"/>
          <w:u w:val="none"/>
        </w:rPr>
      </w:pPr>
      <w:r>
        <w:rPr>
          <w:rFonts w:hint="eastAsia"/>
          <w:u w:val="none"/>
          <w:lang w:val="en-US" w:eastAsia="zh-CN"/>
        </w:rPr>
        <w:t>8</w:t>
      </w:r>
      <w:r>
        <w:rPr>
          <w:rFonts w:hint="eastAsia"/>
          <w:u w:val="none"/>
        </w:rPr>
        <w:t>.一般公共服务（类）2013101党委办公厅（室）及相关机构事务行政运行2022年预算数为</w:t>
      </w:r>
      <w:r>
        <w:rPr>
          <w:rFonts w:hint="eastAsia"/>
          <w:u w:val="none"/>
          <w:lang w:val="en-US" w:eastAsia="zh-CN"/>
        </w:rPr>
        <w:t>42.91</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rPr>
        <w:t>9.文化旅游体育与传媒支出（类）2070109文化旅游体育与传媒支出群众文化2022年预算数为</w:t>
      </w:r>
      <w:r>
        <w:rPr>
          <w:rFonts w:hint="eastAsia"/>
          <w:u w:val="none"/>
          <w:lang w:val="en-US" w:eastAsia="zh-CN"/>
        </w:rPr>
        <w:t>72.69</w:t>
      </w:r>
      <w:r>
        <w:rPr>
          <w:rFonts w:hint="eastAsia"/>
          <w:u w:val="none"/>
        </w:rPr>
        <w:t>万元，主要用于：人员工资保险十三月奖金等支出和经费运行。</w:t>
      </w:r>
    </w:p>
    <w:p>
      <w:pPr>
        <w:spacing w:line="560" w:lineRule="exact"/>
        <w:ind w:firstLine="640" w:firstLineChars="200"/>
        <w:jc w:val="both"/>
        <w:rPr>
          <w:rFonts w:hint="eastAsia"/>
          <w:u w:val="none"/>
        </w:rPr>
      </w:pPr>
      <w:r>
        <w:rPr>
          <w:rFonts w:hint="eastAsia"/>
          <w:u w:val="none"/>
        </w:rPr>
        <w:t>10.社会保障和就业支出（类）2080109社会保障和就业支出社会保险经办机构2022年预算数为</w:t>
      </w:r>
      <w:r>
        <w:rPr>
          <w:rFonts w:hint="eastAsia"/>
          <w:u w:val="none"/>
          <w:lang w:val="en-US" w:eastAsia="zh-CN"/>
        </w:rPr>
        <w:t>62.24</w:t>
      </w:r>
      <w:r>
        <w:rPr>
          <w:rFonts w:hint="eastAsia"/>
          <w:u w:val="none"/>
        </w:rPr>
        <w:t>万元，主要用于：人员工资保险十三月奖金支出和经费运行。</w:t>
      </w:r>
    </w:p>
    <w:p>
      <w:pPr>
        <w:spacing w:line="560" w:lineRule="exact"/>
        <w:ind w:firstLine="640" w:firstLineChars="200"/>
        <w:jc w:val="both"/>
        <w:rPr>
          <w:rFonts w:hint="eastAsia"/>
          <w:u w:val="none"/>
        </w:rPr>
      </w:pPr>
      <w:r>
        <w:rPr>
          <w:rFonts w:hint="eastAsia"/>
          <w:u w:val="none"/>
        </w:rPr>
        <w:t>11.社会保障和就业支出（类）2080199其他人力资源2022年预算为</w:t>
      </w:r>
      <w:r>
        <w:rPr>
          <w:rFonts w:hint="eastAsia"/>
          <w:u w:val="none"/>
          <w:lang w:val="en-US" w:eastAsia="zh-CN"/>
        </w:rPr>
        <w:t>24.6</w:t>
      </w:r>
      <w:r>
        <w:rPr>
          <w:rFonts w:hint="eastAsia"/>
          <w:u w:val="none"/>
        </w:rPr>
        <w:t>万元，主要用于：三支一扶工资保险等。</w:t>
      </w:r>
    </w:p>
    <w:p>
      <w:pPr>
        <w:spacing w:line="560" w:lineRule="exact"/>
        <w:ind w:firstLine="640" w:firstLineChars="200"/>
        <w:jc w:val="both"/>
        <w:rPr>
          <w:rFonts w:hint="eastAsia"/>
          <w:u w:val="none"/>
        </w:rPr>
      </w:pPr>
      <w:r>
        <w:rPr>
          <w:rFonts w:hint="eastAsia"/>
          <w:u w:val="none"/>
        </w:rPr>
        <w:t>12.社会保障和就业支出（类）2080208基层政权建设和社区治理2022年预算数为</w:t>
      </w:r>
      <w:r>
        <w:rPr>
          <w:rFonts w:hint="eastAsia"/>
          <w:u w:val="none"/>
          <w:lang w:val="en-US" w:eastAsia="zh-CN"/>
        </w:rPr>
        <w:t>59.14</w:t>
      </w:r>
      <w:r>
        <w:rPr>
          <w:rFonts w:hint="eastAsia"/>
          <w:u w:val="none"/>
        </w:rPr>
        <w:t>万元，主要用于：社区人员工资保险绩效等支出和经费运行。</w:t>
      </w:r>
    </w:p>
    <w:p>
      <w:pPr>
        <w:spacing w:line="560" w:lineRule="exact"/>
        <w:ind w:firstLine="640" w:firstLineChars="200"/>
        <w:jc w:val="both"/>
        <w:rPr>
          <w:rFonts w:hint="eastAsia"/>
          <w:u w:val="none"/>
        </w:rPr>
      </w:pPr>
      <w:r>
        <w:rPr>
          <w:rFonts w:hint="eastAsia"/>
          <w:u w:val="none"/>
          <w:lang w:val="en-US" w:eastAsia="zh-CN"/>
        </w:rPr>
        <w:t>13.</w:t>
      </w:r>
      <w:r>
        <w:rPr>
          <w:rFonts w:hint="eastAsia"/>
          <w:u w:val="none"/>
        </w:rPr>
        <w:t>社会保障和就业支出（类）20802</w:t>
      </w:r>
      <w:r>
        <w:rPr>
          <w:rFonts w:hint="eastAsia"/>
          <w:u w:val="none"/>
          <w:lang w:val="en-US" w:eastAsia="zh-CN"/>
        </w:rPr>
        <w:t>99</w:t>
      </w:r>
      <w:r>
        <w:rPr>
          <w:rFonts w:hint="eastAsia"/>
          <w:u w:val="none"/>
        </w:rPr>
        <w:t>其他民政管理事务支出2022年预算数为</w:t>
      </w:r>
      <w:r>
        <w:rPr>
          <w:rFonts w:hint="eastAsia"/>
          <w:u w:val="none"/>
          <w:lang w:val="en-US" w:eastAsia="zh-CN"/>
        </w:rPr>
        <w:t>68.06</w:t>
      </w:r>
      <w:r>
        <w:rPr>
          <w:rFonts w:hint="eastAsia"/>
          <w:u w:val="none"/>
        </w:rPr>
        <w:t>万元，主要用于：社区人员工资保险绩效等支出和经费运行。</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4</w:t>
      </w:r>
      <w:r>
        <w:rPr>
          <w:rFonts w:hint="eastAsia"/>
          <w:u w:val="none"/>
        </w:rPr>
        <w:t>. 社会保障和就业支出（类）2080501行政事业单位养老支出行政单位离退休2022年预算数为</w:t>
      </w:r>
      <w:r>
        <w:rPr>
          <w:rFonts w:hint="eastAsia"/>
          <w:u w:val="none"/>
          <w:lang w:val="en-US" w:eastAsia="zh-CN"/>
        </w:rPr>
        <w:t>2.88</w:t>
      </w:r>
      <w:r>
        <w:rPr>
          <w:rFonts w:hint="eastAsia"/>
          <w:u w:val="none"/>
        </w:rPr>
        <w:t>万元，主要用于：行政退休人员费用。</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5</w:t>
      </w:r>
      <w:r>
        <w:rPr>
          <w:rFonts w:hint="eastAsia"/>
          <w:u w:val="none"/>
        </w:rPr>
        <w:t>.社会保障和就业支出（类）2080502行政事业单位养老支出事业单位离退休2022年预算数为</w:t>
      </w:r>
      <w:r>
        <w:rPr>
          <w:rFonts w:hint="eastAsia"/>
          <w:u w:val="none"/>
          <w:lang w:val="en-US" w:eastAsia="zh-CN"/>
        </w:rPr>
        <w:t>3.96</w:t>
      </w:r>
      <w:r>
        <w:rPr>
          <w:rFonts w:hint="eastAsia"/>
          <w:u w:val="none"/>
        </w:rPr>
        <w:t>万元，主要用于：事业退休人员费用。</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6.</w:t>
      </w:r>
      <w:r>
        <w:rPr>
          <w:rFonts w:hint="eastAsia"/>
          <w:u w:val="none"/>
        </w:rPr>
        <w:t>社会保障和就业支出（类）2080505行政事业单位养老支出机关事业单位基本养老保险缴费支出2022年预算数为</w:t>
      </w:r>
      <w:r>
        <w:rPr>
          <w:rFonts w:hint="eastAsia"/>
          <w:u w:val="none"/>
          <w:lang w:val="en-US" w:eastAsia="zh-CN"/>
        </w:rPr>
        <w:t>89.77</w:t>
      </w:r>
      <w:r>
        <w:rPr>
          <w:rFonts w:hint="eastAsia"/>
          <w:u w:val="none"/>
        </w:rPr>
        <w:t>万元，主要用于：职工养老保险支出。</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7</w:t>
      </w:r>
      <w:r>
        <w:rPr>
          <w:rFonts w:hint="eastAsia"/>
          <w:u w:val="none"/>
        </w:rPr>
        <w:t>.社会保障和就业支出（类）2080801抚恤死亡抚恤支出2022年预算数为</w:t>
      </w:r>
      <w:r>
        <w:rPr>
          <w:rFonts w:hint="eastAsia"/>
          <w:u w:val="none"/>
          <w:lang w:val="en-US" w:eastAsia="zh-CN"/>
        </w:rPr>
        <w:t>7.16</w:t>
      </w:r>
      <w:r>
        <w:rPr>
          <w:rFonts w:hint="eastAsia"/>
          <w:u w:val="none"/>
        </w:rPr>
        <w:t>万元，主要用于：遗属生活补助。</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8</w:t>
      </w:r>
      <w:r>
        <w:rPr>
          <w:rFonts w:hint="eastAsia"/>
          <w:u w:val="none"/>
        </w:rPr>
        <w:t>.社会保障和就业支出（类）2082102特困人员救助供养农村特困人员救助供养支出2022年预算数为</w:t>
      </w:r>
      <w:r>
        <w:rPr>
          <w:rFonts w:hint="eastAsia"/>
          <w:u w:val="none"/>
          <w:lang w:val="en-US" w:eastAsia="zh-CN"/>
        </w:rPr>
        <w:t>80.35</w:t>
      </w:r>
      <w:r>
        <w:rPr>
          <w:rFonts w:hint="eastAsia"/>
          <w:u w:val="none"/>
        </w:rPr>
        <w:t>万元，主要用于：五保户丧葬费。</w:t>
      </w:r>
    </w:p>
    <w:p>
      <w:pPr>
        <w:spacing w:line="560" w:lineRule="exact"/>
        <w:ind w:firstLine="640" w:firstLineChars="200"/>
        <w:jc w:val="both"/>
        <w:rPr>
          <w:rFonts w:hint="eastAsia"/>
          <w:u w:val="none"/>
        </w:rPr>
      </w:pPr>
      <w:r>
        <w:rPr>
          <w:rFonts w:hint="eastAsia"/>
          <w:u w:val="none"/>
        </w:rPr>
        <w:t>1</w:t>
      </w:r>
      <w:r>
        <w:rPr>
          <w:rFonts w:hint="eastAsia"/>
          <w:u w:val="none"/>
          <w:lang w:val="en-US" w:eastAsia="zh-CN"/>
        </w:rPr>
        <w:t>9</w:t>
      </w:r>
      <w:r>
        <w:rPr>
          <w:rFonts w:hint="eastAsia"/>
          <w:u w:val="none"/>
        </w:rPr>
        <w:t>.卫生健康支出（类）210</w:t>
      </w:r>
      <w:r>
        <w:rPr>
          <w:rFonts w:hint="eastAsia"/>
          <w:u w:val="none"/>
          <w:lang w:val="en-US" w:eastAsia="zh-CN"/>
        </w:rPr>
        <w:t>0199</w:t>
      </w:r>
      <w:r>
        <w:rPr>
          <w:rFonts w:hint="eastAsia"/>
          <w:u w:val="none"/>
        </w:rPr>
        <w:t>其他卫生健康管理事务支出2022年预算数为</w:t>
      </w:r>
      <w:r>
        <w:rPr>
          <w:rFonts w:hint="eastAsia"/>
          <w:u w:val="none"/>
          <w:lang w:val="en-US" w:eastAsia="zh-CN"/>
        </w:rPr>
        <w:t>10.71</w:t>
      </w:r>
      <w:r>
        <w:rPr>
          <w:rFonts w:hint="eastAsia"/>
          <w:u w:val="none"/>
        </w:rPr>
        <w:t>万元，主要用于：公共卫生支出。</w:t>
      </w:r>
    </w:p>
    <w:p>
      <w:pPr>
        <w:spacing w:line="560" w:lineRule="exact"/>
        <w:ind w:firstLine="640" w:firstLineChars="200"/>
        <w:jc w:val="both"/>
        <w:rPr>
          <w:rFonts w:hint="eastAsia"/>
          <w:u w:val="none"/>
        </w:rPr>
      </w:pPr>
      <w:r>
        <w:rPr>
          <w:rFonts w:hint="eastAsia"/>
          <w:u w:val="none"/>
          <w:lang w:val="en-US" w:eastAsia="zh-CN"/>
        </w:rPr>
        <w:t>20</w:t>
      </w:r>
      <w:r>
        <w:rPr>
          <w:rFonts w:hint="eastAsia"/>
          <w:u w:val="none"/>
        </w:rPr>
        <w:t>.卫生健康支出（类）2101101行政单位医疗2022年预算数为</w:t>
      </w:r>
      <w:r>
        <w:rPr>
          <w:rFonts w:hint="eastAsia"/>
          <w:u w:val="none"/>
          <w:lang w:val="en-US" w:eastAsia="zh-CN"/>
        </w:rPr>
        <w:t>42.91</w:t>
      </w:r>
      <w:r>
        <w:rPr>
          <w:rFonts w:hint="eastAsia"/>
          <w:u w:val="none"/>
        </w:rPr>
        <w:t>万元，主要用于：职工医疗保险支出。</w:t>
      </w:r>
    </w:p>
    <w:p>
      <w:pPr>
        <w:spacing w:line="560" w:lineRule="exact"/>
        <w:ind w:firstLine="640" w:firstLineChars="200"/>
        <w:jc w:val="both"/>
        <w:rPr>
          <w:rFonts w:hint="eastAsia"/>
          <w:u w:val="none"/>
        </w:rPr>
      </w:pPr>
      <w:r>
        <w:rPr>
          <w:rFonts w:hint="eastAsia"/>
          <w:u w:val="none"/>
        </w:rPr>
        <w:t>2</w:t>
      </w:r>
      <w:r>
        <w:rPr>
          <w:rFonts w:hint="eastAsia"/>
          <w:u w:val="none"/>
          <w:lang w:val="en-US" w:eastAsia="zh-CN"/>
        </w:rPr>
        <w:t>1</w:t>
      </w:r>
      <w:r>
        <w:rPr>
          <w:rFonts w:hint="eastAsia"/>
          <w:u w:val="none"/>
        </w:rPr>
        <w:t>.卫生健康支出（类）2101102事业单位医疗2022年预算数为</w:t>
      </w:r>
      <w:r>
        <w:rPr>
          <w:rFonts w:hint="eastAsia"/>
          <w:u w:val="none"/>
          <w:lang w:val="en-US" w:eastAsia="zh-CN"/>
        </w:rPr>
        <w:t>29.1</w:t>
      </w:r>
      <w:r>
        <w:rPr>
          <w:rFonts w:hint="eastAsia"/>
          <w:u w:val="none"/>
        </w:rPr>
        <w:t>万元，主要用于：职工医疗保险支出。</w:t>
      </w:r>
    </w:p>
    <w:p>
      <w:pPr>
        <w:spacing w:line="560" w:lineRule="exact"/>
        <w:ind w:firstLine="640" w:firstLineChars="200"/>
        <w:jc w:val="both"/>
        <w:rPr>
          <w:rFonts w:hint="eastAsia"/>
          <w:u w:val="none"/>
        </w:rPr>
      </w:pPr>
      <w:r>
        <w:rPr>
          <w:rFonts w:hint="eastAsia"/>
          <w:u w:val="none"/>
        </w:rPr>
        <w:t>2</w:t>
      </w:r>
      <w:r>
        <w:rPr>
          <w:rFonts w:hint="eastAsia"/>
          <w:u w:val="none"/>
          <w:lang w:val="en-US" w:eastAsia="zh-CN"/>
        </w:rPr>
        <w:t>2</w:t>
      </w:r>
      <w:r>
        <w:rPr>
          <w:rFonts w:hint="eastAsia"/>
          <w:u w:val="none"/>
        </w:rPr>
        <w:t>.卫生健康支出（类）2101103公务员医疗补助2022年预算数为</w:t>
      </w:r>
      <w:r>
        <w:rPr>
          <w:rFonts w:hint="eastAsia"/>
          <w:u w:val="none"/>
          <w:lang w:val="en-US" w:eastAsia="zh-CN"/>
        </w:rPr>
        <w:t>3.2</w:t>
      </w:r>
      <w:r>
        <w:rPr>
          <w:rFonts w:hint="eastAsia"/>
          <w:u w:val="none"/>
        </w:rPr>
        <w:t>万元，主要用于：职工大病医疗保险支出。</w:t>
      </w:r>
    </w:p>
    <w:p>
      <w:pPr>
        <w:spacing w:line="560" w:lineRule="exact"/>
        <w:ind w:firstLine="640" w:firstLineChars="200"/>
        <w:jc w:val="both"/>
        <w:rPr>
          <w:rFonts w:hint="eastAsia"/>
          <w:u w:val="none"/>
        </w:rPr>
      </w:pPr>
      <w:r>
        <w:rPr>
          <w:rFonts w:hint="eastAsia"/>
          <w:u w:val="none"/>
        </w:rPr>
        <w:t>2</w:t>
      </w:r>
      <w:r>
        <w:rPr>
          <w:rFonts w:hint="eastAsia"/>
          <w:u w:val="none"/>
          <w:lang w:val="en-US" w:eastAsia="zh-CN"/>
        </w:rPr>
        <w:t>3</w:t>
      </w:r>
      <w:r>
        <w:rPr>
          <w:rFonts w:hint="eastAsia"/>
          <w:u w:val="none"/>
        </w:rPr>
        <w:t>.卫生健康支出（类）21011</w:t>
      </w:r>
      <w:r>
        <w:rPr>
          <w:rFonts w:hint="eastAsia"/>
          <w:u w:val="none"/>
          <w:lang w:val="en-US" w:eastAsia="zh-CN"/>
        </w:rPr>
        <w:t>99</w:t>
      </w:r>
      <w:r>
        <w:rPr>
          <w:rFonts w:hint="eastAsia"/>
          <w:u w:val="none"/>
        </w:rPr>
        <w:t>其他行政事业单位医疗支出2022年预算数为</w:t>
      </w:r>
      <w:r>
        <w:rPr>
          <w:rFonts w:hint="eastAsia"/>
          <w:u w:val="none"/>
          <w:lang w:val="en-US" w:eastAsia="zh-CN"/>
        </w:rPr>
        <w:t>2.32</w:t>
      </w:r>
      <w:r>
        <w:rPr>
          <w:rFonts w:hint="eastAsia"/>
          <w:u w:val="none"/>
        </w:rPr>
        <w:t>万元，主要用于：职工大病医疗保险支出。</w:t>
      </w:r>
    </w:p>
    <w:p>
      <w:pPr>
        <w:spacing w:line="560" w:lineRule="exact"/>
        <w:ind w:firstLine="640" w:firstLineChars="200"/>
        <w:jc w:val="both"/>
        <w:rPr>
          <w:rFonts w:hint="eastAsia"/>
          <w:u w:val="none"/>
        </w:rPr>
      </w:pPr>
      <w:r>
        <w:rPr>
          <w:rFonts w:hint="eastAsia"/>
          <w:u w:val="none"/>
        </w:rPr>
        <w:t>2</w:t>
      </w:r>
      <w:r>
        <w:rPr>
          <w:rFonts w:hint="eastAsia"/>
          <w:u w:val="none"/>
          <w:lang w:val="en-US" w:eastAsia="zh-CN"/>
        </w:rPr>
        <w:t>4</w:t>
      </w:r>
      <w:r>
        <w:rPr>
          <w:rFonts w:hint="eastAsia"/>
          <w:u w:val="none"/>
        </w:rPr>
        <w:t>.农林水支出（类）2130104农林水支出农业农村事业运行2022年预算数为</w:t>
      </w:r>
      <w:r>
        <w:rPr>
          <w:rFonts w:hint="eastAsia"/>
          <w:u w:val="none"/>
          <w:lang w:val="en-US" w:eastAsia="zh-CN"/>
        </w:rPr>
        <w:t>127.25</w:t>
      </w:r>
      <w:r>
        <w:rPr>
          <w:rFonts w:hint="eastAsia"/>
          <w:u w:val="none"/>
        </w:rPr>
        <w:t>万元，主要用于：人员工资保险绩效等支出和经费运行。</w:t>
      </w:r>
    </w:p>
    <w:p>
      <w:pPr>
        <w:spacing w:line="560" w:lineRule="exact"/>
        <w:ind w:firstLine="640" w:firstLineChars="200"/>
        <w:jc w:val="both"/>
        <w:rPr>
          <w:rFonts w:hint="eastAsia"/>
          <w:u w:val="none"/>
        </w:rPr>
      </w:pPr>
      <w:r>
        <w:rPr>
          <w:rFonts w:hint="eastAsia"/>
          <w:u w:val="none"/>
        </w:rPr>
        <w:t>2</w:t>
      </w:r>
      <w:r>
        <w:rPr>
          <w:rFonts w:hint="eastAsia"/>
          <w:u w:val="none"/>
          <w:lang w:val="en-US" w:eastAsia="zh-CN"/>
        </w:rPr>
        <w:t>5</w:t>
      </w:r>
      <w:r>
        <w:rPr>
          <w:rFonts w:hint="eastAsia"/>
          <w:u w:val="none"/>
        </w:rPr>
        <w:t>.农林水支出（类）2130705农林水支出对村民委员会和党支部的补助2022年预算数为</w:t>
      </w:r>
      <w:r>
        <w:rPr>
          <w:rFonts w:hint="eastAsia"/>
          <w:u w:val="none"/>
          <w:lang w:val="en-US" w:eastAsia="zh-CN"/>
        </w:rPr>
        <w:t>374.51</w:t>
      </w:r>
      <w:r>
        <w:rPr>
          <w:rFonts w:hint="eastAsia"/>
          <w:u w:val="none"/>
        </w:rPr>
        <w:t>万元，主要用于：村干部人员工资、绩效等支出和经费运行。</w:t>
      </w:r>
    </w:p>
    <w:p>
      <w:pPr>
        <w:spacing w:line="560" w:lineRule="exact"/>
        <w:ind w:firstLine="640" w:firstLineChars="200"/>
        <w:jc w:val="both"/>
        <w:rPr>
          <w:rFonts w:hint="eastAsia"/>
          <w:u w:val="none"/>
        </w:rPr>
      </w:pPr>
      <w:r>
        <w:rPr>
          <w:rFonts w:hint="eastAsia"/>
          <w:u w:val="none"/>
        </w:rPr>
        <w:t>26.住房保障支出（类）2210201 住房公积金2022年预算数为1</w:t>
      </w:r>
      <w:r>
        <w:rPr>
          <w:rFonts w:hint="eastAsia"/>
          <w:u w:val="none"/>
          <w:lang w:val="en-US" w:eastAsia="zh-CN"/>
        </w:rPr>
        <w:t>27.</w:t>
      </w:r>
      <w:r>
        <w:rPr>
          <w:rFonts w:hint="eastAsia"/>
          <w:u w:val="none"/>
        </w:rPr>
        <w:t>1</w:t>
      </w:r>
      <w:r>
        <w:rPr>
          <w:rFonts w:hint="eastAsia"/>
          <w:u w:val="none"/>
          <w:lang w:val="en-US" w:eastAsia="zh-CN"/>
        </w:rPr>
        <w:t>5</w:t>
      </w:r>
      <w:r>
        <w:rPr>
          <w:rFonts w:hint="eastAsia"/>
          <w:u w:val="none"/>
        </w:rPr>
        <w:t>万元，主要用于：人员住房公积金支出。</w:t>
      </w:r>
    </w:p>
    <w:p>
      <w:pPr>
        <w:spacing w:line="560" w:lineRule="exact"/>
        <w:ind w:firstLine="640" w:firstLineChars="200"/>
        <w:jc w:val="both"/>
        <w:rPr>
          <w:rFonts w:eastAsia="黑体"/>
        </w:rPr>
      </w:pPr>
      <w:r>
        <w:rPr>
          <w:rFonts w:eastAsia="黑体"/>
        </w:rPr>
        <w:t>六、一般公共预算基本支出情况说明</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年一般公共预算基本支出</w:t>
      </w:r>
      <w:r>
        <w:rPr>
          <w:rFonts w:hint="eastAsia"/>
          <w:lang w:val="en-US" w:eastAsia="zh-CN"/>
        </w:rPr>
        <w:t>1693.37</w:t>
      </w:r>
      <w:r>
        <w:t>万元，其中：</w:t>
      </w:r>
    </w:p>
    <w:p>
      <w:pPr>
        <w:spacing w:line="560" w:lineRule="exact"/>
        <w:ind w:firstLine="640" w:firstLineChars="200"/>
        <w:jc w:val="both"/>
      </w:pPr>
      <w:r>
        <w:t>人员经费</w:t>
      </w:r>
      <w:r>
        <w:rPr>
          <w:rFonts w:hint="eastAsia"/>
          <w:lang w:val="en-US" w:eastAsia="zh-CN"/>
        </w:rPr>
        <w:t>939.62</w:t>
      </w:r>
      <w:r>
        <w:t>万元，主要包括：基本工资</w:t>
      </w:r>
      <w:r>
        <w:rPr>
          <w:rFonts w:hint="eastAsia"/>
          <w:lang w:val="en-US" w:eastAsia="zh-CN"/>
        </w:rPr>
        <w:t>267.47</w:t>
      </w:r>
      <w:r>
        <w:rPr>
          <w:rFonts w:hint="eastAsia"/>
        </w:rPr>
        <w:t>万元</w:t>
      </w:r>
      <w:r>
        <w:t>、津贴补贴</w:t>
      </w:r>
      <w:r>
        <w:rPr>
          <w:rFonts w:hint="eastAsia"/>
          <w:lang w:val="en-US" w:eastAsia="zh-CN"/>
        </w:rPr>
        <w:t>195.04</w:t>
      </w:r>
      <w:r>
        <w:rPr>
          <w:rFonts w:hint="eastAsia"/>
        </w:rPr>
        <w:t>万元</w:t>
      </w:r>
      <w:r>
        <w:t>、奖金</w:t>
      </w:r>
      <w:r>
        <w:rPr>
          <w:rFonts w:hint="eastAsia"/>
          <w:lang w:val="en-US" w:eastAsia="zh-CN"/>
        </w:rPr>
        <w:t>20.85</w:t>
      </w:r>
      <w:r>
        <w:rPr>
          <w:rFonts w:hint="eastAsia"/>
        </w:rPr>
        <w:t>万</w:t>
      </w:r>
      <w:r>
        <w:t>、</w:t>
      </w:r>
      <w:r>
        <w:rPr>
          <w:rFonts w:hint="eastAsia"/>
        </w:rPr>
        <w:t>绩效工资</w:t>
      </w:r>
      <w:r>
        <w:rPr>
          <w:rFonts w:hint="eastAsia"/>
          <w:lang w:val="en-US" w:eastAsia="zh-CN"/>
        </w:rPr>
        <w:t>85.2</w:t>
      </w:r>
      <w:r>
        <w:rPr>
          <w:rFonts w:hint="eastAsia"/>
        </w:rPr>
        <w:t>万元、机关事业单位基本养老保险缴费</w:t>
      </w:r>
      <w:r>
        <w:rPr>
          <w:rFonts w:hint="eastAsia"/>
          <w:lang w:val="en-US" w:eastAsia="zh-CN"/>
        </w:rPr>
        <w:t>89.77</w:t>
      </w:r>
      <w:r>
        <w:rPr>
          <w:rFonts w:hint="eastAsia"/>
        </w:rPr>
        <w:t>万元、职工基本医疗保险缴费</w:t>
      </w:r>
      <w:r>
        <w:rPr>
          <w:rFonts w:hint="eastAsia"/>
          <w:lang w:val="en-US" w:eastAsia="zh-CN"/>
        </w:rPr>
        <w:t>73.79</w:t>
      </w:r>
      <w:r>
        <w:rPr>
          <w:rFonts w:hint="eastAsia"/>
        </w:rPr>
        <w:t>万元、公务员医疗补助</w:t>
      </w:r>
      <w:r>
        <w:rPr>
          <w:rFonts w:hint="eastAsia"/>
          <w:lang w:val="en-US" w:eastAsia="zh-CN"/>
        </w:rPr>
        <w:t>3.2</w:t>
      </w:r>
      <w:r>
        <w:rPr>
          <w:rFonts w:hint="eastAsia"/>
        </w:rPr>
        <w:t>万、其他保险缴费</w:t>
      </w:r>
      <w:r>
        <w:rPr>
          <w:rFonts w:hint="eastAsia"/>
          <w:lang w:val="en-US" w:eastAsia="zh-CN"/>
        </w:rPr>
        <w:t>3.49</w:t>
      </w:r>
      <w:r>
        <w:rPr>
          <w:rFonts w:hint="eastAsia"/>
        </w:rPr>
        <w:t>万元、住房公积金</w:t>
      </w:r>
      <w:r>
        <w:rPr>
          <w:rFonts w:hint="eastAsia"/>
          <w:lang w:val="en-US" w:eastAsia="zh-CN"/>
        </w:rPr>
        <w:t>127.15</w:t>
      </w:r>
      <w:r>
        <w:rPr>
          <w:rFonts w:hint="eastAsia"/>
        </w:rPr>
        <w:t>万元、医疗费</w:t>
      </w:r>
      <w:r>
        <w:rPr>
          <w:rFonts w:hint="eastAsia"/>
          <w:lang w:val="en-US" w:eastAsia="zh-CN"/>
        </w:rPr>
        <w:t>2.32</w:t>
      </w:r>
      <w:r>
        <w:rPr>
          <w:rFonts w:hint="eastAsia"/>
        </w:rPr>
        <w:t>万元、其他工资福利支出</w:t>
      </w:r>
      <w:r>
        <w:rPr>
          <w:rFonts w:hint="eastAsia"/>
          <w:lang w:val="en-US" w:eastAsia="zh-CN"/>
        </w:rPr>
        <w:t>71.34</w:t>
      </w:r>
      <w:r>
        <w:rPr>
          <w:rFonts w:hint="eastAsia"/>
        </w:rPr>
        <w:t>万元。</w:t>
      </w:r>
    </w:p>
    <w:p>
      <w:pPr>
        <w:spacing w:line="560" w:lineRule="exact"/>
        <w:ind w:firstLine="640" w:firstLineChars="200"/>
        <w:jc w:val="both"/>
      </w:pPr>
      <w:r>
        <w:t>公用经费</w:t>
      </w:r>
      <w:r>
        <w:rPr>
          <w:rFonts w:hint="eastAsia"/>
          <w:lang w:val="en-US" w:eastAsia="zh-CN"/>
        </w:rPr>
        <w:t>179.06</w:t>
      </w:r>
      <w:r>
        <w:t>万元，主要包括：办公费</w:t>
      </w:r>
      <w:r>
        <w:rPr>
          <w:rFonts w:hint="eastAsia"/>
          <w:lang w:val="en-US" w:eastAsia="zh-CN"/>
        </w:rPr>
        <w:t>60.9</w:t>
      </w:r>
      <w:r>
        <w:rPr>
          <w:rFonts w:hint="eastAsia"/>
        </w:rPr>
        <w:t>万元</w:t>
      </w:r>
      <w:r>
        <w:t>、</w:t>
      </w:r>
      <w:r>
        <w:rPr>
          <w:rFonts w:hint="eastAsia"/>
        </w:rPr>
        <w:t>水费2.</w:t>
      </w:r>
      <w:r>
        <w:rPr>
          <w:rFonts w:hint="eastAsia"/>
          <w:lang w:val="en-US" w:eastAsia="zh-CN"/>
        </w:rPr>
        <w:t>76</w:t>
      </w:r>
      <w:r>
        <w:rPr>
          <w:rFonts w:hint="eastAsia"/>
        </w:rPr>
        <w:t>万元、电费</w:t>
      </w:r>
      <w:r>
        <w:rPr>
          <w:rFonts w:hint="eastAsia"/>
          <w:lang w:val="en-US" w:eastAsia="zh-CN"/>
        </w:rPr>
        <w:t>4.14</w:t>
      </w:r>
      <w:r>
        <w:rPr>
          <w:rFonts w:hint="eastAsia"/>
        </w:rPr>
        <w:t>万元、邮电费</w:t>
      </w:r>
      <w:r>
        <w:rPr>
          <w:rFonts w:hint="eastAsia"/>
          <w:lang w:val="en-US" w:eastAsia="zh-CN"/>
        </w:rPr>
        <w:t>5</w:t>
      </w:r>
      <w:r>
        <w:rPr>
          <w:rFonts w:hint="eastAsia"/>
        </w:rPr>
        <w:t>万元、差旅费</w:t>
      </w:r>
      <w:r>
        <w:rPr>
          <w:rFonts w:hint="eastAsia"/>
          <w:lang w:val="en-US" w:eastAsia="zh-CN"/>
        </w:rPr>
        <w:t>27.6</w:t>
      </w:r>
      <w:r>
        <w:rPr>
          <w:rFonts w:hint="eastAsia"/>
        </w:rPr>
        <w:t>万元、</w:t>
      </w:r>
      <w:r>
        <w:rPr>
          <w:rFonts w:hint="eastAsia"/>
          <w:lang w:eastAsia="zh-CN"/>
        </w:rPr>
        <w:t>维修（护）费</w:t>
      </w:r>
      <w:r>
        <w:rPr>
          <w:rFonts w:hint="eastAsia"/>
          <w:lang w:val="en-US" w:eastAsia="zh-CN"/>
        </w:rPr>
        <w:t>0.12万元、</w:t>
      </w:r>
      <w:r>
        <w:rPr>
          <w:rFonts w:hint="eastAsia"/>
        </w:rPr>
        <w:t>会议费</w:t>
      </w:r>
      <w:r>
        <w:rPr>
          <w:rFonts w:hint="eastAsia"/>
          <w:lang w:val="en-US" w:eastAsia="zh-CN"/>
        </w:rPr>
        <w:t>9.22</w:t>
      </w:r>
      <w:r>
        <w:rPr>
          <w:rFonts w:hint="eastAsia"/>
        </w:rPr>
        <w:t>万元、培训费1万元、公务接待费1.40万、工会经费9.48万元、福利费6.65万元、公务用车运行维护费</w:t>
      </w:r>
      <w:r>
        <w:rPr>
          <w:rFonts w:hint="eastAsia"/>
          <w:lang w:val="en-US" w:eastAsia="zh-CN"/>
        </w:rPr>
        <w:t>0.98</w:t>
      </w:r>
      <w:r>
        <w:rPr>
          <w:rFonts w:hint="eastAsia"/>
        </w:rPr>
        <w:t>万元、</w:t>
      </w:r>
      <w:r>
        <w:rPr>
          <w:rFonts w:hint="eastAsia"/>
          <w:lang w:eastAsia="zh-CN"/>
        </w:rPr>
        <w:t>委托业务费</w:t>
      </w:r>
      <w:r>
        <w:rPr>
          <w:rFonts w:hint="eastAsia"/>
          <w:lang w:val="en-US" w:eastAsia="zh-CN"/>
        </w:rPr>
        <w:t>3万元，工会经费11.22万元、福利费7.79万元、公务用车运行维护费8.4万元、</w:t>
      </w:r>
      <w:r>
        <w:rPr>
          <w:rFonts w:hint="eastAsia"/>
        </w:rPr>
        <w:t>其他交通费用3</w:t>
      </w:r>
      <w:r>
        <w:rPr>
          <w:rFonts w:hint="eastAsia"/>
          <w:lang w:val="en-US" w:eastAsia="zh-CN"/>
        </w:rPr>
        <w:t>3.12</w:t>
      </w:r>
      <w:r>
        <w:rPr>
          <w:rFonts w:hint="eastAsia"/>
        </w:rPr>
        <w:t>万元、其他商品和服务支出</w:t>
      </w:r>
      <w:r>
        <w:rPr>
          <w:rFonts w:hint="eastAsia"/>
          <w:lang w:val="en-US" w:eastAsia="zh-CN"/>
        </w:rPr>
        <w:t>3.8</w:t>
      </w:r>
      <w:r>
        <w:rPr>
          <w:rFonts w:hint="eastAsia"/>
        </w:rPr>
        <w:t>万元。</w:t>
      </w:r>
    </w:p>
    <w:p>
      <w:pPr>
        <w:spacing w:line="560" w:lineRule="exact"/>
        <w:ind w:firstLine="640" w:firstLineChars="200"/>
        <w:jc w:val="both"/>
      </w:pPr>
      <w:r>
        <w:rPr>
          <w:rFonts w:hint="eastAsia"/>
        </w:rPr>
        <w:t>对个人和家庭的补助</w:t>
      </w:r>
      <w:r>
        <w:rPr>
          <w:rFonts w:hint="eastAsia"/>
          <w:lang w:val="en-US" w:eastAsia="zh-CN"/>
        </w:rPr>
        <w:t>404.13</w:t>
      </w:r>
      <w:r>
        <w:rPr>
          <w:rFonts w:hint="eastAsia"/>
        </w:rPr>
        <w:t>万元，退休费</w:t>
      </w:r>
      <w:r>
        <w:rPr>
          <w:rFonts w:hint="eastAsia"/>
          <w:lang w:val="en-US" w:eastAsia="zh-CN"/>
        </w:rPr>
        <w:t>2.24</w:t>
      </w:r>
      <w:r>
        <w:rPr>
          <w:rFonts w:hint="eastAsia"/>
        </w:rPr>
        <w:t>万元、抚恤金</w:t>
      </w:r>
      <w:r>
        <w:rPr>
          <w:rFonts w:hint="eastAsia"/>
          <w:lang w:val="en-US" w:eastAsia="zh-CN"/>
        </w:rPr>
        <w:t>7.16</w:t>
      </w:r>
      <w:r>
        <w:rPr>
          <w:rFonts w:hint="eastAsia"/>
        </w:rPr>
        <w:t>万元、生活补助</w:t>
      </w:r>
      <w:r>
        <w:rPr>
          <w:rFonts w:hint="eastAsia"/>
          <w:lang w:val="en-US" w:eastAsia="zh-CN"/>
        </w:rPr>
        <w:t>391.6</w:t>
      </w:r>
      <w:r>
        <w:rPr>
          <w:rFonts w:hint="eastAsia"/>
        </w:rPr>
        <w:t>万元、医疗费补助</w:t>
      </w:r>
      <w:r>
        <w:rPr>
          <w:rFonts w:hint="eastAsia"/>
          <w:lang w:val="en-US" w:eastAsia="zh-CN"/>
        </w:rPr>
        <w:t>3.04</w:t>
      </w:r>
      <w:r>
        <w:rPr>
          <w:rFonts w:hint="eastAsia"/>
        </w:rPr>
        <w:t>万元、独生子女奖励金0.0</w:t>
      </w:r>
      <w:r>
        <w:rPr>
          <w:rFonts w:hint="eastAsia"/>
          <w:lang w:val="en-US" w:eastAsia="zh-CN"/>
        </w:rPr>
        <w:t>9</w:t>
      </w:r>
      <w:r>
        <w:rPr>
          <w:rFonts w:hint="eastAsia"/>
        </w:rPr>
        <w:t>万元。</w:t>
      </w:r>
    </w:p>
    <w:p>
      <w:pPr>
        <w:spacing w:line="560" w:lineRule="exact"/>
        <w:ind w:firstLine="640" w:firstLineChars="200"/>
        <w:jc w:val="both"/>
        <w:rPr>
          <w:rFonts w:eastAsia="黑体"/>
        </w:rPr>
      </w:pPr>
      <w:r>
        <w:rPr>
          <w:rFonts w:eastAsia="黑体"/>
        </w:rPr>
        <w:t>七、“三公”经费财政拨款预算安排情况说明</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年“三公”经费财政拨款预算数</w:t>
      </w:r>
      <w:r>
        <w:rPr>
          <w:rFonts w:hint="eastAsia"/>
          <w:lang w:val="en-US" w:eastAsia="zh-CN"/>
        </w:rPr>
        <w:t>9.38</w:t>
      </w:r>
      <w:r>
        <w:t>万元，其中：因公出国（境）经费</w:t>
      </w:r>
      <w:r>
        <w:rPr>
          <w:rFonts w:hint="eastAsia"/>
        </w:rPr>
        <w:t>0</w:t>
      </w:r>
      <w:r>
        <w:t>万元，公务接待费</w:t>
      </w:r>
      <w:r>
        <w:rPr>
          <w:rFonts w:hint="eastAsia"/>
          <w:lang w:val="en-US" w:eastAsia="zh-CN"/>
        </w:rPr>
        <w:t>0.98</w:t>
      </w:r>
      <w:r>
        <w:t>万元，公务用车购置及运行维护费</w:t>
      </w:r>
      <w:r>
        <w:rPr>
          <w:rFonts w:hint="eastAsia"/>
          <w:lang w:val="en-US" w:eastAsia="zh-CN"/>
        </w:rPr>
        <w:t>8.4</w:t>
      </w:r>
      <w:r>
        <w:t>万元。</w:t>
      </w:r>
    </w:p>
    <w:p>
      <w:pPr>
        <w:numPr>
          <w:ilvl w:val="0"/>
          <w:numId w:val="1"/>
        </w:numPr>
        <w:spacing w:line="560" w:lineRule="exact"/>
        <w:ind w:firstLine="640" w:firstLineChars="200"/>
        <w:jc w:val="both"/>
        <w:rPr>
          <w:rFonts w:hint="eastAsia"/>
          <w:lang w:val="en-US" w:eastAsia="zh-CN"/>
        </w:rPr>
      </w:pPr>
      <w:r>
        <w:t>因公出国（境）经费202</w:t>
      </w:r>
      <w:r>
        <w:rPr>
          <w:rFonts w:hint="eastAsia"/>
        </w:rPr>
        <w:t>2</w:t>
      </w:r>
      <w:r>
        <w:t>年预</w:t>
      </w:r>
      <w:r>
        <w:rPr>
          <w:rFonts w:hint="eastAsia"/>
        </w:rPr>
        <w:t>算与2021年持平</w:t>
      </w:r>
      <w:r>
        <w:rPr>
          <w:rFonts w:hint="eastAsia"/>
          <w:lang w:eastAsia="zh-CN"/>
        </w:rPr>
        <w:t>，</w:t>
      </w:r>
      <w:r>
        <w:rPr>
          <w:rFonts w:hint="eastAsia"/>
          <w:lang w:val="en-US" w:eastAsia="zh-CN"/>
        </w:rPr>
        <w:t>2022年未安排因公临时出国（境）费用。</w:t>
      </w:r>
    </w:p>
    <w:p>
      <w:pPr>
        <w:numPr>
          <w:numId w:val="0"/>
        </w:numPr>
        <w:spacing w:line="560" w:lineRule="exact"/>
        <w:ind w:firstLine="640" w:firstLineChars="200"/>
        <w:jc w:val="both"/>
        <w:rPr>
          <w:rFonts w:hint="eastAsia"/>
        </w:rPr>
      </w:pPr>
      <w:r>
        <w:t>（二）公务接待费较202</w:t>
      </w:r>
      <w:r>
        <w:rPr>
          <w:rFonts w:hint="eastAsia"/>
        </w:rPr>
        <w:t>1</w:t>
      </w:r>
      <w:r>
        <w:t>年预算</w:t>
      </w:r>
      <w:r>
        <w:rPr>
          <w:rFonts w:hint="eastAsia"/>
          <w:lang w:val="en-US" w:eastAsia="zh-CN"/>
        </w:rPr>
        <w:t>1.91</w:t>
      </w:r>
      <w:r>
        <w:rPr>
          <w:rFonts w:hint="eastAsia"/>
        </w:rPr>
        <w:t>万元</w:t>
      </w:r>
      <w:r>
        <w:rPr>
          <w:rFonts w:hint="eastAsia"/>
          <w:lang w:eastAsia="zh-CN"/>
        </w:rPr>
        <w:t>减少</w:t>
      </w:r>
      <w:r>
        <w:rPr>
          <w:rFonts w:hint="eastAsia"/>
          <w:lang w:val="en-US" w:eastAsia="zh-CN"/>
        </w:rPr>
        <w:t>0.93</w:t>
      </w:r>
      <w:r>
        <w:rPr>
          <w:rFonts w:hint="eastAsia"/>
        </w:rPr>
        <w:t>万元，</w:t>
      </w:r>
      <w:r>
        <w:rPr>
          <w:rFonts w:hint="eastAsia"/>
          <w:lang w:eastAsia="zh-CN"/>
        </w:rPr>
        <w:t>下浮</w:t>
      </w:r>
      <w:r>
        <w:rPr>
          <w:rFonts w:hint="eastAsia"/>
          <w:lang w:val="en-US" w:eastAsia="zh-CN"/>
        </w:rPr>
        <w:t>48.69</w:t>
      </w:r>
      <w:r>
        <w:t>%</w:t>
      </w:r>
      <w:r>
        <w:rPr>
          <w:rFonts w:hint="eastAsia"/>
        </w:rPr>
        <w:t>。</w:t>
      </w:r>
    </w:p>
    <w:p>
      <w:pPr>
        <w:spacing w:line="560" w:lineRule="exact"/>
        <w:ind w:firstLine="640" w:firstLineChars="200"/>
        <w:jc w:val="both"/>
      </w:pPr>
      <w:r>
        <w:t>（三）公务用车购置及运行维护费较202</w:t>
      </w:r>
      <w:r>
        <w:rPr>
          <w:rFonts w:hint="eastAsia"/>
        </w:rPr>
        <w:t>1</w:t>
      </w:r>
      <w:r>
        <w:t>年预算</w:t>
      </w:r>
      <w:r>
        <w:rPr>
          <w:rFonts w:hint="eastAsia"/>
          <w:lang w:val="en-US" w:eastAsia="zh-CN"/>
        </w:rPr>
        <w:t>15</w:t>
      </w:r>
      <w:r>
        <w:rPr>
          <w:rFonts w:hint="eastAsia"/>
        </w:rPr>
        <w:t>万元</w:t>
      </w:r>
      <w:r>
        <w:rPr>
          <w:rFonts w:hint="eastAsia"/>
          <w:lang w:eastAsia="zh-CN"/>
        </w:rPr>
        <w:t>减少</w:t>
      </w:r>
      <w:r>
        <w:rPr>
          <w:rFonts w:hint="eastAsia"/>
          <w:lang w:val="en-US" w:eastAsia="zh-CN"/>
        </w:rPr>
        <w:t>6.6</w:t>
      </w:r>
      <w:r>
        <w:rPr>
          <w:rFonts w:hint="eastAsia"/>
        </w:rPr>
        <w:t>万元，</w:t>
      </w:r>
      <w:r>
        <w:rPr>
          <w:rFonts w:hint="eastAsia"/>
          <w:lang w:eastAsia="zh-CN"/>
        </w:rPr>
        <w:t>下浮</w:t>
      </w:r>
      <w:r>
        <w:rPr>
          <w:rFonts w:hint="eastAsia"/>
          <w:lang w:val="en-US" w:eastAsia="zh-CN"/>
        </w:rPr>
        <w:t>44</w:t>
      </w:r>
      <w:r>
        <w:t>%。</w:t>
      </w:r>
    </w:p>
    <w:p>
      <w:pPr>
        <w:spacing w:line="560" w:lineRule="exact"/>
        <w:ind w:firstLine="640" w:firstLineChars="200"/>
        <w:jc w:val="both"/>
        <w:rPr>
          <w:rFonts w:hint="eastAsia"/>
        </w:rPr>
      </w:pPr>
      <w:r>
        <w:rPr>
          <w:rFonts w:hint="eastAsia"/>
          <w:lang w:eastAsia="zh-CN"/>
        </w:rPr>
        <w:t>盐边县永兴镇人民政府目前</w:t>
      </w:r>
      <w:r>
        <w:t>现有公务用车</w:t>
      </w:r>
      <w:r>
        <w:rPr>
          <w:rFonts w:hint="eastAsia"/>
          <w:lang w:val="en-US" w:eastAsia="zh-CN"/>
        </w:rPr>
        <w:t>6</w:t>
      </w:r>
      <w:r>
        <w:t>辆，其中：轿车（含7座以下商务车、城市越野车）</w:t>
      </w:r>
      <w:r>
        <w:rPr>
          <w:rFonts w:hint="eastAsia"/>
          <w:lang w:val="en-US" w:eastAsia="zh-CN"/>
        </w:rPr>
        <w:t>0</w:t>
      </w:r>
      <w:r>
        <w:t>辆，7座以上19座（含19座）以下客车</w:t>
      </w:r>
      <w:r>
        <w:rPr>
          <w:rFonts w:hint="eastAsia"/>
        </w:rPr>
        <w:t>0</w:t>
      </w:r>
      <w:r>
        <w:t>辆，越野车</w:t>
      </w:r>
      <w:r>
        <w:rPr>
          <w:rFonts w:hint="eastAsia"/>
        </w:rPr>
        <w:t>1</w:t>
      </w:r>
      <w:r>
        <w:t>辆，</w:t>
      </w:r>
      <w:r>
        <w:rPr>
          <w:rFonts w:hint="eastAsia"/>
        </w:rPr>
        <w:t>特种作业车</w:t>
      </w:r>
      <w:r>
        <w:rPr>
          <w:rFonts w:hint="eastAsia"/>
          <w:lang w:val="en-US" w:eastAsia="zh-CN"/>
        </w:rPr>
        <w:t>4</w:t>
      </w:r>
      <w:r>
        <w:rPr>
          <w:rFonts w:hint="eastAsia"/>
        </w:rPr>
        <w:t>辆，轿车1辆。</w:t>
      </w:r>
    </w:p>
    <w:p>
      <w:pPr>
        <w:spacing w:line="560" w:lineRule="exact"/>
        <w:ind w:firstLine="640" w:firstLineChars="200"/>
        <w:jc w:val="both"/>
      </w:pPr>
      <w:r>
        <w:t>202</w:t>
      </w:r>
      <w:r>
        <w:rPr>
          <w:rFonts w:hint="eastAsia"/>
        </w:rPr>
        <w:t>2</w:t>
      </w:r>
      <w:r>
        <w:t>年安排公务用车购置费</w:t>
      </w:r>
      <w:r>
        <w:rPr>
          <w:rFonts w:hint="eastAsia"/>
        </w:rPr>
        <w:t>0.00</w:t>
      </w:r>
      <w:r>
        <w:t>万元，购置公务用车</w:t>
      </w:r>
      <w:r>
        <w:rPr>
          <w:rFonts w:hint="eastAsia"/>
        </w:rPr>
        <w:t>0</w:t>
      </w:r>
      <w:r>
        <w:t>辆，其中：轿车（含7座以下商务车、城市越野车）</w:t>
      </w:r>
      <w:r>
        <w:rPr>
          <w:rFonts w:hint="eastAsia"/>
        </w:rPr>
        <w:t>0</w:t>
      </w:r>
      <w:r>
        <w:t>辆。</w:t>
      </w:r>
    </w:p>
    <w:p>
      <w:pPr>
        <w:spacing w:line="560" w:lineRule="exact"/>
        <w:ind w:firstLine="640" w:firstLineChars="200"/>
        <w:jc w:val="both"/>
      </w:pPr>
      <w:r>
        <w:t>202</w:t>
      </w:r>
      <w:r>
        <w:rPr>
          <w:rFonts w:hint="eastAsia"/>
        </w:rPr>
        <w:t>2</w:t>
      </w:r>
      <w:r>
        <w:t>年安排公务用车运行维护费</w:t>
      </w:r>
      <w:r>
        <w:rPr>
          <w:rFonts w:hint="eastAsia"/>
          <w:lang w:val="en-US" w:eastAsia="zh-CN"/>
        </w:rPr>
        <w:t>8.4</w:t>
      </w:r>
      <w:r>
        <w:t>万元，用于</w:t>
      </w:r>
      <w:r>
        <w:rPr>
          <w:rFonts w:hint="eastAsia"/>
          <w:lang w:val="en-US" w:eastAsia="zh-CN"/>
        </w:rPr>
        <w:t>6</w:t>
      </w:r>
      <w:r>
        <w:t>辆公务用车</w:t>
      </w:r>
      <w:r>
        <w:rPr>
          <w:rFonts w:hint="eastAsia"/>
        </w:rPr>
        <w:t>油费、维修费、保险费</w:t>
      </w:r>
      <w:r>
        <w:t>等方面支出，主要保障</w:t>
      </w:r>
      <w:r>
        <w:rPr>
          <w:rFonts w:hint="eastAsia"/>
        </w:rPr>
        <w:t>公务用车正常使用。</w:t>
      </w:r>
    </w:p>
    <w:p>
      <w:pPr>
        <w:spacing w:line="560" w:lineRule="exact"/>
        <w:ind w:firstLine="640" w:firstLineChars="200"/>
        <w:jc w:val="both"/>
        <w:rPr>
          <w:rFonts w:eastAsia="黑体"/>
        </w:rPr>
      </w:pPr>
      <w:r>
        <w:rPr>
          <w:rFonts w:eastAsia="黑体"/>
        </w:rPr>
        <w:t>八、政府性基金预算支出情况说明</w:t>
      </w:r>
    </w:p>
    <w:p>
      <w:pPr>
        <w:spacing w:line="560" w:lineRule="exact"/>
        <w:ind w:firstLine="640" w:firstLineChars="200"/>
        <w:jc w:val="both"/>
      </w:pPr>
      <w:r>
        <w:rPr>
          <w:rFonts w:hint="eastAsia"/>
        </w:rPr>
        <w:t>盐边县</w:t>
      </w:r>
      <w:r>
        <w:rPr>
          <w:rFonts w:hint="eastAsia"/>
          <w:lang w:eastAsia="zh-CN"/>
        </w:rPr>
        <w:t>永兴</w:t>
      </w:r>
      <w:r>
        <w:rPr>
          <w:rFonts w:hint="eastAsia"/>
        </w:rPr>
        <w:t>镇人民政府</w:t>
      </w:r>
      <w:r>
        <w:t>202</w:t>
      </w:r>
      <w:r>
        <w:rPr>
          <w:rFonts w:hint="eastAsia"/>
        </w:rPr>
        <w:t>2</w:t>
      </w:r>
      <w:r>
        <w:t>年政府性基金预算支出</w:t>
      </w:r>
      <w:r>
        <w:rPr>
          <w:rFonts w:hint="eastAsia"/>
        </w:rPr>
        <w:t>0</w:t>
      </w:r>
      <w:r>
        <w:t>万元，其中：基本支出</w:t>
      </w:r>
      <w:r>
        <w:rPr>
          <w:rFonts w:hint="eastAsia"/>
        </w:rPr>
        <w:t>0</w:t>
      </w:r>
      <w:r>
        <w:t>万元，项目支出</w:t>
      </w:r>
      <w:r>
        <w:rPr>
          <w:rFonts w:hint="eastAsia"/>
        </w:rPr>
        <w:t>0</w:t>
      </w:r>
      <w:r>
        <w:t>万元。</w:t>
      </w:r>
    </w:p>
    <w:p>
      <w:pPr>
        <w:spacing w:line="560" w:lineRule="exact"/>
        <w:ind w:firstLine="640" w:firstLineChars="200"/>
        <w:jc w:val="both"/>
        <w:rPr>
          <w:rFonts w:eastAsia="黑体"/>
        </w:rPr>
      </w:pPr>
      <w:r>
        <w:rPr>
          <w:rFonts w:eastAsia="黑体"/>
        </w:rPr>
        <w:t>九、其他重要事项的情况说明</w:t>
      </w:r>
    </w:p>
    <w:p>
      <w:pPr>
        <w:spacing w:line="560" w:lineRule="exact"/>
        <w:ind w:firstLine="640" w:firstLineChars="200"/>
        <w:jc w:val="both"/>
        <w:rPr>
          <w:rFonts w:eastAsia="楷体_GB2312"/>
        </w:rPr>
      </w:pPr>
      <w:r>
        <w:rPr>
          <w:rFonts w:eastAsia="楷体_GB2312"/>
        </w:rPr>
        <w:t>（一）</w:t>
      </w:r>
      <w:r>
        <w:rPr>
          <w:rFonts w:hint="eastAsia" w:eastAsia="楷体_GB2312"/>
          <w:lang w:val="en-US" w:eastAsia="zh-CN"/>
        </w:rPr>
        <w:t>机关</w:t>
      </w:r>
      <w:r>
        <w:rPr>
          <w:rFonts w:eastAsia="楷体_GB2312"/>
        </w:rPr>
        <w:t>运行经费。</w:t>
      </w:r>
    </w:p>
    <w:p>
      <w:pPr>
        <w:spacing w:line="560" w:lineRule="exact"/>
        <w:ind w:firstLine="640" w:firstLineChars="200"/>
        <w:jc w:val="both"/>
      </w:pPr>
      <w:r>
        <w:t>202</w:t>
      </w:r>
      <w:r>
        <w:rPr>
          <w:rFonts w:hint="eastAsia"/>
        </w:rPr>
        <w:t>2</w:t>
      </w:r>
      <w:r>
        <w:t>年，</w:t>
      </w:r>
      <w:r>
        <w:rPr>
          <w:rFonts w:hint="eastAsia"/>
        </w:rPr>
        <w:t>盐边县</w:t>
      </w:r>
      <w:r>
        <w:rPr>
          <w:rFonts w:hint="eastAsia"/>
          <w:lang w:eastAsia="zh-CN"/>
        </w:rPr>
        <w:t>永兴镇</w:t>
      </w:r>
      <w:r>
        <w:rPr>
          <w:rFonts w:hint="eastAsia"/>
        </w:rPr>
        <w:t>人民政府</w:t>
      </w:r>
      <w:r>
        <w:t>机关运行经费财政拨款预算为</w:t>
      </w:r>
      <w:r>
        <w:rPr>
          <w:rFonts w:hint="eastAsia"/>
          <w:lang w:val="en-US" w:eastAsia="zh-CN"/>
        </w:rPr>
        <w:t>179.06</w:t>
      </w:r>
      <w:r>
        <w:t>万元，</w:t>
      </w:r>
      <w:r>
        <w:rPr>
          <w:rFonts w:hint="eastAsia"/>
          <w:lang w:eastAsia="zh-CN"/>
        </w:rPr>
        <w:t>较</w:t>
      </w:r>
      <w:r>
        <w:rPr>
          <w:rFonts w:hint="eastAsia"/>
        </w:rPr>
        <w:t>2021</w:t>
      </w:r>
      <w:r>
        <w:t>年预算</w:t>
      </w:r>
      <w:r>
        <w:rPr>
          <w:rFonts w:hint="eastAsia"/>
          <w:lang w:val="en-US" w:eastAsia="zh-CN"/>
        </w:rPr>
        <w:t>140.31</w:t>
      </w:r>
      <w:r>
        <w:rPr>
          <w:rFonts w:hint="eastAsia"/>
        </w:rPr>
        <w:t>万元增加</w:t>
      </w:r>
      <w:r>
        <w:rPr>
          <w:rFonts w:hint="eastAsia"/>
          <w:lang w:val="en-US" w:eastAsia="zh-CN"/>
        </w:rPr>
        <w:t>38.75</w:t>
      </w:r>
      <w:r>
        <w:rPr>
          <w:rFonts w:hint="eastAsia"/>
        </w:rPr>
        <w:t>万元，</w:t>
      </w:r>
      <w:r>
        <w:rPr>
          <w:rFonts w:hint="eastAsia"/>
          <w:lang w:eastAsia="zh-CN"/>
        </w:rPr>
        <w:t>上浮</w:t>
      </w:r>
      <w:r>
        <w:rPr>
          <w:rFonts w:hint="eastAsia"/>
        </w:rPr>
        <w:t>2</w:t>
      </w:r>
      <w:r>
        <w:rPr>
          <w:rFonts w:hint="eastAsia"/>
          <w:lang w:val="en-US" w:eastAsia="zh-CN"/>
        </w:rPr>
        <w:t>7.62</w:t>
      </w:r>
      <w:r>
        <w:t>%。</w:t>
      </w:r>
      <w:r>
        <w:rPr>
          <w:rFonts w:hint="eastAsia"/>
        </w:rPr>
        <w:t>主要用于办公及印刷费、邮电费、差旅费、会议费、福利费、日常维修费、专用材料及一般设备购置费、办公用房水电费、公务用车运行维护费以及其他费用等。</w:t>
      </w:r>
    </w:p>
    <w:p>
      <w:pPr>
        <w:spacing w:line="560" w:lineRule="exact"/>
        <w:ind w:firstLine="640" w:firstLineChars="200"/>
        <w:jc w:val="both"/>
        <w:rPr>
          <w:rFonts w:eastAsia="楷体_GB2312"/>
        </w:rPr>
      </w:pPr>
      <w:r>
        <w:rPr>
          <w:rFonts w:eastAsia="楷体_GB2312"/>
        </w:rPr>
        <w:t>（二）国有资产占有使用情况。</w:t>
      </w:r>
    </w:p>
    <w:p>
      <w:pPr>
        <w:spacing w:line="560" w:lineRule="exact"/>
        <w:ind w:firstLine="640" w:firstLineChars="200"/>
        <w:jc w:val="both"/>
        <w:rPr>
          <w:rFonts w:hint="default" w:eastAsia="仿宋_GB2312"/>
          <w:lang w:val="en-US" w:eastAsia="zh-CN"/>
        </w:rPr>
      </w:pPr>
      <w:r>
        <w:t>截至202</w:t>
      </w:r>
      <w:r>
        <w:rPr>
          <w:rFonts w:hint="eastAsia"/>
        </w:rPr>
        <w:t>1</w:t>
      </w:r>
      <w:r>
        <w:t>年底，</w:t>
      </w:r>
      <w:r>
        <w:rPr>
          <w:rFonts w:hint="eastAsia"/>
        </w:rPr>
        <w:t>盐边县</w:t>
      </w:r>
      <w:r>
        <w:rPr>
          <w:rFonts w:hint="eastAsia"/>
          <w:lang w:eastAsia="zh-CN"/>
        </w:rPr>
        <w:t>永兴</w:t>
      </w:r>
      <w:r>
        <w:rPr>
          <w:rFonts w:hint="eastAsia"/>
        </w:rPr>
        <w:t>镇人民政府</w:t>
      </w:r>
      <w:r>
        <w:t>及所属的非独立核算单位共有车辆</w:t>
      </w:r>
      <w:r>
        <w:rPr>
          <w:rFonts w:hint="eastAsia"/>
          <w:lang w:val="en-US" w:eastAsia="zh-CN"/>
        </w:rPr>
        <w:t>0</w:t>
      </w:r>
      <w:r>
        <w:t>辆，其中，执法执勤用车</w:t>
      </w:r>
      <w:r>
        <w:rPr>
          <w:rFonts w:hint="eastAsia"/>
        </w:rPr>
        <w:t>0</w:t>
      </w:r>
      <w:r>
        <w:t>辆。单位价值200万元以上大型设备</w:t>
      </w:r>
      <w:r>
        <w:rPr>
          <w:rFonts w:hint="eastAsia"/>
        </w:rPr>
        <w:t>0</w:t>
      </w:r>
      <w:r>
        <w:t>台。</w:t>
      </w:r>
      <w:r>
        <w:rPr>
          <w:rFonts w:hint="eastAsia"/>
        </w:rPr>
        <w:t>我镇2022年年初固定资产为</w:t>
      </w:r>
      <w:r>
        <w:rPr>
          <w:rFonts w:hint="eastAsia"/>
          <w:lang w:val="en-US" w:eastAsia="zh-CN"/>
        </w:rPr>
        <w:t>1175.42</w:t>
      </w:r>
      <w:r>
        <w:rPr>
          <w:rFonts w:hint="eastAsia"/>
        </w:rPr>
        <w:t>万元</w:t>
      </w:r>
      <w:r>
        <w:rPr>
          <w:rFonts w:hint="eastAsia"/>
          <w:lang w:val="en-US" w:eastAsia="zh-CN"/>
        </w:rPr>
        <w:t>。</w:t>
      </w:r>
    </w:p>
    <w:p>
      <w:pPr>
        <w:spacing w:line="560" w:lineRule="exact"/>
        <w:ind w:firstLine="640" w:firstLineChars="200"/>
        <w:jc w:val="both"/>
      </w:pPr>
      <w:r>
        <w:t>202</w:t>
      </w:r>
      <w:r>
        <w:rPr>
          <w:rFonts w:hint="eastAsia"/>
        </w:rPr>
        <w:t>2</w:t>
      </w:r>
      <w:r>
        <w:t>年</w:t>
      </w:r>
      <w:r>
        <w:rPr>
          <w:rFonts w:hint="eastAsia"/>
        </w:rPr>
        <w:t>盐边县</w:t>
      </w:r>
      <w:r>
        <w:rPr>
          <w:rFonts w:hint="eastAsia"/>
          <w:lang w:eastAsia="zh-CN"/>
        </w:rPr>
        <w:t>永兴</w:t>
      </w:r>
      <w:r>
        <w:rPr>
          <w:rFonts w:hint="eastAsia"/>
        </w:rPr>
        <w:t>镇人民政府</w:t>
      </w:r>
      <w:r>
        <w:t>部门通用项目和专用项目均按要求实行绩效目标管理，涉及一般公共预算当年拨款</w:t>
      </w:r>
      <w:r>
        <w:rPr>
          <w:rFonts w:hint="eastAsia"/>
          <w:lang w:val="en-US" w:eastAsia="zh-CN"/>
        </w:rPr>
        <w:t>170.56</w:t>
      </w:r>
      <w:r>
        <w:t>万元。</w:t>
      </w:r>
    </w:p>
    <w:p>
      <w:pPr>
        <w:spacing w:line="560" w:lineRule="exact"/>
        <w:ind w:firstLine="640" w:firstLineChars="200"/>
        <w:jc w:val="both"/>
        <w:rPr>
          <w:rFonts w:eastAsia="黑体"/>
        </w:rPr>
      </w:pPr>
      <w:r>
        <w:rPr>
          <w:rFonts w:eastAsia="黑体"/>
        </w:rPr>
        <w:t>十、名词解释</w:t>
      </w:r>
    </w:p>
    <w:p>
      <w:pPr>
        <w:spacing w:line="560" w:lineRule="exact"/>
        <w:ind w:firstLine="643" w:firstLineChars="200"/>
        <w:jc w:val="both"/>
      </w:pPr>
      <w:r>
        <w:rPr>
          <w:b/>
        </w:rPr>
        <w:t>1.一般公共预算拨款收入：</w:t>
      </w:r>
      <w:r>
        <w:t>指县级财政当年拨付的资金。</w:t>
      </w:r>
    </w:p>
    <w:p>
      <w:pPr>
        <w:spacing w:line="560" w:lineRule="exact"/>
        <w:ind w:firstLine="643" w:firstLineChars="200"/>
        <w:jc w:val="both"/>
      </w:pPr>
      <w:r>
        <w:rPr>
          <w:b/>
        </w:rPr>
        <w:t>2.医疗卫生与计划生育（类）行政事业单位医疗（款）行政单位医疗（项）：</w:t>
      </w:r>
      <w:r>
        <w:t>指县级机关及参公管理事业单位用于缴纳单位基本医疗保险支出。（单位涉及的所有支出功能分类科目都要解释，参照《2021年政府收支分类科目》进行说明。）</w:t>
      </w:r>
    </w:p>
    <w:p>
      <w:pPr>
        <w:spacing w:line="560" w:lineRule="exact"/>
        <w:ind w:firstLine="643" w:firstLineChars="200"/>
        <w:jc w:val="both"/>
      </w:pPr>
      <w:r>
        <w:rPr>
          <w:b/>
        </w:rPr>
        <w:t>3.基本支出：</w:t>
      </w:r>
      <w:r>
        <w:t>指为保证机构正常运转，完成日常工作任务而发生的人员支出和公用支出。</w:t>
      </w:r>
    </w:p>
    <w:p>
      <w:pPr>
        <w:spacing w:line="560" w:lineRule="exact"/>
        <w:ind w:firstLine="643" w:firstLineChars="200"/>
        <w:jc w:val="both"/>
      </w:pPr>
      <w:r>
        <w:rPr>
          <w:b/>
        </w:rPr>
        <w:t>4.项目支出：</w:t>
      </w:r>
      <w:r>
        <w:t>指在基本支出之外为完成特定行政任务和事业发展目标所发生的支出。</w:t>
      </w:r>
    </w:p>
    <w:p>
      <w:pPr>
        <w:spacing w:line="560" w:lineRule="exact"/>
        <w:ind w:firstLine="643" w:firstLineChars="200"/>
        <w:jc w:val="both"/>
      </w:pPr>
      <w:r>
        <w:rPr>
          <w:b/>
        </w:rPr>
        <w:t>5.“三公”经费：</w:t>
      </w:r>
      <w: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jc w:val="both"/>
      </w:pPr>
      <w:r>
        <w:rPr>
          <w:b/>
        </w:rPr>
        <w:t>6.业务运行经费：</w:t>
      </w:r>
      <w:r>
        <w:t>为保障行政单位（包含参照公务员法管理的事业单位）运行用于购买货物和服务的各项资金。包括办公及办公费、水费、电费、印刷费、邮电费、差旅费、会议费等费用开支。</w:t>
      </w:r>
    </w:p>
    <w:p>
      <w:pPr>
        <w:widowControl/>
        <w:shd w:val="clear" w:color="auto" w:fill="FFFFFF"/>
        <w:spacing w:line="560" w:lineRule="exact"/>
        <w:ind w:firstLine="640" w:firstLineChars="200"/>
        <w:jc w:val="both"/>
        <w:rPr>
          <w:color w:val="00000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b w:val="0"/>
          <w:bCs/>
        </w:rPr>
      </w:pPr>
      <w:r>
        <w:rPr>
          <w:b w:val="0"/>
          <w:bCs/>
        </w:rPr>
        <w:t>附件：</w:t>
      </w:r>
      <w:r>
        <w:rPr>
          <w:rFonts w:hint="eastAsia"/>
          <w:b w:val="0"/>
          <w:bCs/>
        </w:rPr>
        <w:t>表</w:t>
      </w:r>
      <w:r>
        <w:rPr>
          <w:b w:val="0"/>
          <w:bCs/>
        </w:rPr>
        <w:t>1</w:t>
      </w:r>
      <w:r>
        <w:rPr>
          <w:rFonts w:hint="eastAsia"/>
          <w:b w:val="0"/>
          <w:bCs/>
        </w:rPr>
        <w:t>.</w:t>
      </w:r>
      <w:r>
        <w:rPr>
          <w:b w:val="0"/>
          <w:bCs/>
        </w:rPr>
        <w:t>部门收支总表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b w:val="0"/>
          <w:bCs/>
        </w:rPr>
      </w:pPr>
      <w:r>
        <w:rPr>
          <w:rFonts w:hint="eastAsia"/>
          <w:b w:val="0"/>
          <w:bCs/>
        </w:rPr>
        <w:t>表1-1.</w:t>
      </w:r>
      <w:r>
        <w:rPr>
          <w:b w:val="0"/>
          <w:bCs/>
        </w:rPr>
        <w:t>部门收入总表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b w:val="0"/>
          <w:bCs/>
        </w:rPr>
      </w:pPr>
      <w:r>
        <w:rPr>
          <w:rFonts w:hint="eastAsia"/>
          <w:b w:val="0"/>
          <w:bCs/>
        </w:rPr>
        <w:t>表1-2.</w:t>
      </w:r>
      <w:r>
        <w:rPr>
          <w:b w:val="0"/>
          <w:bCs/>
        </w:rPr>
        <w:t>部门支出总表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b w:val="0"/>
          <w:bCs/>
        </w:rPr>
      </w:pPr>
      <w:r>
        <w:rPr>
          <w:rFonts w:hint="eastAsia"/>
          <w:b w:val="0"/>
          <w:bCs/>
        </w:rPr>
        <w:t>表2.</w:t>
      </w:r>
      <w:r>
        <w:rPr>
          <w:b w:val="0"/>
          <w:bCs/>
        </w:rPr>
        <w:t>财政拨款收支预算总表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b w:val="0"/>
          <w:bCs/>
        </w:rPr>
      </w:pPr>
      <w:r>
        <w:rPr>
          <w:rFonts w:hint="eastAsia"/>
          <w:b w:val="0"/>
          <w:bCs/>
        </w:rPr>
        <w:t>表2-1.</w:t>
      </w:r>
      <w:r>
        <w:rPr>
          <w:b w:val="0"/>
          <w:bCs/>
        </w:rPr>
        <w:t>财政拨款支出预算表（政府经济分类科目）</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b w:val="0"/>
          <w:bCs/>
        </w:rPr>
      </w:pPr>
      <w:r>
        <w:rPr>
          <w:rFonts w:hint="eastAsia"/>
          <w:b w:val="0"/>
          <w:bCs/>
        </w:rPr>
        <w:t>表3.</w:t>
      </w:r>
      <w:r>
        <w:rPr>
          <w:b w:val="0"/>
          <w:bCs/>
        </w:rPr>
        <w:t>一般公共预算支出预算表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表3-1.</w:t>
      </w:r>
      <w:r>
        <w:rPr>
          <w:b w:val="0"/>
          <w:bCs/>
        </w:rPr>
        <w:t>一般公共预算基本支出预算表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表3-2.</w:t>
      </w:r>
      <w:r>
        <w:rPr>
          <w:b w:val="0"/>
          <w:bCs/>
        </w:rPr>
        <w:t>一般公共预算项目支出预算表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表3-3.</w:t>
      </w:r>
      <w:r>
        <w:rPr>
          <w:b w:val="0"/>
          <w:bCs/>
        </w:rPr>
        <w:t>一般公共预算“三公”经费支出预算表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表4.</w:t>
      </w:r>
      <w:r>
        <w:rPr>
          <w:b w:val="0"/>
          <w:bCs/>
        </w:rPr>
        <w:t>政府性基金支出预算表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表4-1.</w:t>
      </w:r>
      <w:r>
        <w:rPr>
          <w:b w:val="0"/>
          <w:bCs/>
        </w:rPr>
        <w:t>政府性基金预算“三公”经费支出预算表</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b w:val="0"/>
          <w:bCs/>
        </w:rPr>
      </w:pPr>
      <w:r>
        <w:rPr>
          <w:rFonts w:hint="eastAsia"/>
          <w:b w:val="0"/>
          <w:bCs/>
        </w:rPr>
        <w:t>表5.</w:t>
      </w:r>
      <w:r>
        <w:rPr>
          <w:b w:val="0"/>
          <w:bCs/>
        </w:rPr>
        <w:t>国有资本经营预算支出预算表</w:t>
      </w:r>
    </w:p>
    <w:p>
      <w:pPr>
        <w:spacing w:line="560" w:lineRule="exact"/>
        <w:ind w:firstLine="1600" w:firstLineChars="500"/>
        <w:jc w:val="center"/>
      </w:pP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- 14 -</w:t>
                          </w:r>
                          <w:r>
                            <w:rPr>
                              <w:rFonts w:ascii="宋体" w:hAnsi="宋体"/>
                              <w:sz w:val="30"/>
                              <w:szCs w:val="30"/>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- 14 -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C635D8"/>
    <w:multiLevelType w:val="singleLevel"/>
    <w:tmpl w:val="D8C635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ZThkZWVkMzI4MGM1MTU4MzU3YmQ4YTEwYmY1MWQifQ=="/>
  </w:docVars>
  <w:rsids>
    <w:rsidRoot w:val="00172A27"/>
    <w:rsid w:val="000163BE"/>
    <w:rsid w:val="00032196"/>
    <w:rsid w:val="0003616A"/>
    <w:rsid w:val="00045A89"/>
    <w:rsid w:val="00053146"/>
    <w:rsid w:val="000541C2"/>
    <w:rsid w:val="00055861"/>
    <w:rsid w:val="00073657"/>
    <w:rsid w:val="00084CD6"/>
    <w:rsid w:val="0008615A"/>
    <w:rsid w:val="00087B95"/>
    <w:rsid w:val="00093B01"/>
    <w:rsid w:val="000A7885"/>
    <w:rsid w:val="000B3C88"/>
    <w:rsid w:val="000B3E5E"/>
    <w:rsid w:val="000C1031"/>
    <w:rsid w:val="000C59B2"/>
    <w:rsid w:val="00104574"/>
    <w:rsid w:val="0010646C"/>
    <w:rsid w:val="00164D39"/>
    <w:rsid w:val="001727B5"/>
    <w:rsid w:val="00172A27"/>
    <w:rsid w:val="00176BF4"/>
    <w:rsid w:val="001802D1"/>
    <w:rsid w:val="001D7F78"/>
    <w:rsid w:val="00235F6E"/>
    <w:rsid w:val="00281699"/>
    <w:rsid w:val="002E016D"/>
    <w:rsid w:val="002F364D"/>
    <w:rsid w:val="00306ABA"/>
    <w:rsid w:val="00365D0B"/>
    <w:rsid w:val="003F565C"/>
    <w:rsid w:val="004231DE"/>
    <w:rsid w:val="00427900"/>
    <w:rsid w:val="004647CE"/>
    <w:rsid w:val="00473F0C"/>
    <w:rsid w:val="00476CD7"/>
    <w:rsid w:val="00483537"/>
    <w:rsid w:val="00484316"/>
    <w:rsid w:val="00494C19"/>
    <w:rsid w:val="004A6D1E"/>
    <w:rsid w:val="004D3D67"/>
    <w:rsid w:val="004E3AEE"/>
    <w:rsid w:val="00500A9D"/>
    <w:rsid w:val="005307BE"/>
    <w:rsid w:val="00536E6F"/>
    <w:rsid w:val="005A1ABF"/>
    <w:rsid w:val="005A3539"/>
    <w:rsid w:val="005A6347"/>
    <w:rsid w:val="005B2027"/>
    <w:rsid w:val="005C1929"/>
    <w:rsid w:val="005D47C5"/>
    <w:rsid w:val="005F450D"/>
    <w:rsid w:val="00636DB0"/>
    <w:rsid w:val="00647DAE"/>
    <w:rsid w:val="00650CAB"/>
    <w:rsid w:val="00665B9D"/>
    <w:rsid w:val="00672E88"/>
    <w:rsid w:val="00675FFB"/>
    <w:rsid w:val="006806E5"/>
    <w:rsid w:val="006874BD"/>
    <w:rsid w:val="006C5E26"/>
    <w:rsid w:val="006E29ED"/>
    <w:rsid w:val="006F244B"/>
    <w:rsid w:val="007706AC"/>
    <w:rsid w:val="00794E2A"/>
    <w:rsid w:val="007A4A4D"/>
    <w:rsid w:val="007B377A"/>
    <w:rsid w:val="007D2C8D"/>
    <w:rsid w:val="007F12C6"/>
    <w:rsid w:val="00813706"/>
    <w:rsid w:val="008470A0"/>
    <w:rsid w:val="00852F4F"/>
    <w:rsid w:val="00856B10"/>
    <w:rsid w:val="008645B2"/>
    <w:rsid w:val="00865840"/>
    <w:rsid w:val="008677B2"/>
    <w:rsid w:val="00872D30"/>
    <w:rsid w:val="00891D23"/>
    <w:rsid w:val="00892A7C"/>
    <w:rsid w:val="008E086E"/>
    <w:rsid w:val="00900291"/>
    <w:rsid w:val="0090188E"/>
    <w:rsid w:val="00946310"/>
    <w:rsid w:val="00980E30"/>
    <w:rsid w:val="009C08ED"/>
    <w:rsid w:val="009E0DD4"/>
    <w:rsid w:val="00A10AFF"/>
    <w:rsid w:val="00A13B9A"/>
    <w:rsid w:val="00A15BA3"/>
    <w:rsid w:val="00A51741"/>
    <w:rsid w:val="00A7060B"/>
    <w:rsid w:val="00A71738"/>
    <w:rsid w:val="00A8487C"/>
    <w:rsid w:val="00A949F0"/>
    <w:rsid w:val="00AC4665"/>
    <w:rsid w:val="00AC7091"/>
    <w:rsid w:val="00AE0CB4"/>
    <w:rsid w:val="00B058F7"/>
    <w:rsid w:val="00B16920"/>
    <w:rsid w:val="00B22AF5"/>
    <w:rsid w:val="00B30B78"/>
    <w:rsid w:val="00B409D4"/>
    <w:rsid w:val="00B659A7"/>
    <w:rsid w:val="00B9379C"/>
    <w:rsid w:val="00B966A6"/>
    <w:rsid w:val="00BB0666"/>
    <w:rsid w:val="00BB2FE2"/>
    <w:rsid w:val="00BC4949"/>
    <w:rsid w:val="00BC7FFD"/>
    <w:rsid w:val="00C05570"/>
    <w:rsid w:val="00C17C62"/>
    <w:rsid w:val="00C258A5"/>
    <w:rsid w:val="00C343B0"/>
    <w:rsid w:val="00C35A56"/>
    <w:rsid w:val="00C47696"/>
    <w:rsid w:val="00C63137"/>
    <w:rsid w:val="00C80D13"/>
    <w:rsid w:val="00C83622"/>
    <w:rsid w:val="00CF112A"/>
    <w:rsid w:val="00D172C0"/>
    <w:rsid w:val="00D21B78"/>
    <w:rsid w:val="00D663AC"/>
    <w:rsid w:val="00D7142D"/>
    <w:rsid w:val="00D805DC"/>
    <w:rsid w:val="00DD692D"/>
    <w:rsid w:val="00DF2185"/>
    <w:rsid w:val="00E11B82"/>
    <w:rsid w:val="00E36AC5"/>
    <w:rsid w:val="00E371BC"/>
    <w:rsid w:val="00E47518"/>
    <w:rsid w:val="00E53FB6"/>
    <w:rsid w:val="00EE3212"/>
    <w:rsid w:val="00F658F0"/>
    <w:rsid w:val="00F702F8"/>
    <w:rsid w:val="00FC0EA1"/>
    <w:rsid w:val="00FC2A25"/>
    <w:rsid w:val="00FC596E"/>
    <w:rsid w:val="0412042A"/>
    <w:rsid w:val="058D549A"/>
    <w:rsid w:val="06B41656"/>
    <w:rsid w:val="0A280455"/>
    <w:rsid w:val="0DD63BE4"/>
    <w:rsid w:val="111C4182"/>
    <w:rsid w:val="13C65BB1"/>
    <w:rsid w:val="1EAF32E5"/>
    <w:rsid w:val="20B70D23"/>
    <w:rsid w:val="21B90185"/>
    <w:rsid w:val="267716B3"/>
    <w:rsid w:val="28390920"/>
    <w:rsid w:val="290153EB"/>
    <w:rsid w:val="2A7A4CF5"/>
    <w:rsid w:val="2E7D4CB6"/>
    <w:rsid w:val="30662EDC"/>
    <w:rsid w:val="32957BC0"/>
    <w:rsid w:val="33D064F0"/>
    <w:rsid w:val="357F58F8"/>
    <w:rsid w:val="365824D7"/>
    <w:rsid w:val="37486796"/>
    <w:rsid w:val="3AC04E69"/>
    <w:rsid w:val="3EDF7953"/>
    <w:rsid w:val="3FB8278A"/>
    <w:rsid w:val="44A37F36"/>
    <w:rsid w:val="47BC196B"/>
    <w:rsid w:val="4B270992"/>
    <w:rsid w:val="4CA8047D"/>
    <w:rsid w:val="562C56EA"/>
    <w:rsid w:val="5B0527B2"/>
    <w:rsid w:val="65FE4FE5"/>
    <w:rsid w:val="681C17C4"/>
    <w:rsid w:val="6AAB7162"/>
    <w:rsid w:val="70FD6ECB"/>
    <w:rsid w:val="72717662"/>
    <w:rsid w:val="72D839A2"/>
    <w:rsid w:val="73A008DD"/>
    <w:rsid w:val="74966E7D"/>
    <w:rsid w:val="760261A1"/>
    <w:rsid w:val="763924B4"/>
    <w:rsid w:val="76CF13D7"/>
    <w:rsid w:val="76D435B5"/>
    <w:rsid w:val="7BD927E9"/>
    <w:rsid w:val="7E214870"/>
    <w:rsid w:val="7E6243A5"/>
    <w:rsid w:val="7E88212D"/>
    <w:rsid w:val="7F46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 w:type="paragraph" w:customStyle="1" w:styleId="10">
    <w:name w:val="Char Char Char Char Char Char Char Char Char Char Char Char"/>
    <w:basedOn w:val="1"/>
    <w:uiPriority w:val="0"/>
    <w:rPr>
      <w:szCs w:val="21"/>
    </w:rPr>
  </w:style>
  <w:style w:type="paragraph" w:customStyle="1" w:styleId="11">
    <w:name w:val="Char Char1 Char Char Char Char Char Char Char Char"/>
    <w:basedOn w:val="1"/>
    <w:next w:val="1"/>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F2945D-AB05-4691-AF6E-B45862E85BD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18</Pages>
  <Words>8184</Words>
  <Characters>9077</Characters>
  <Lines>92</Lines>
  <Paragraphs>26</Paragraphs>
  <TotalTime>23</TotalTime>
  <ScaleCrop>false</ScaleCrop>
  <LinksUpToDate>false</LinksUpToDate>
  <CharactersWithSpaces>9137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2020-05-27T03:06:00Z</dcterms:created>
  <dc:creator>赵树子</dc:creator>
  <cp:lastModifiedBy>懒懒</cp:lastModifiedBy>
  <cp:lastPrinted>2021-01-27T07:43:00Z</cp:lastPrinted>
  <dcterms:modified xsi:type="dcterms:W3CDTF">2023-10-09T01:30:59Z</dcterms:modified>
  <dc:title>四川省财政厅2011年部门预算编制说明</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B38F1747FE2748B1BD8F3ED0668CECC1_13</vt:lpwstr>
  </property>
</Properties>
</file>