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sz w:val="72"/>
          <w:szCs w:val="72"/>
        </w:rPr>
      </w:pPr>
      <w:bookmarkStart w:id="0" w:name="_Toc15306267"/>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1" w:name="_Toc15377425"/>
      <w:bookmarkStart w:id="2" w:name="_Toc15396597"/>
      <w:bookmarkStart w:id="3" w:name="_Toc15378441"/>
      <w:bookmarkStart w:id="4" w:name="_Toc15377193"/>
      <w:bookmarkStart w:id="5" w:name="_Toc15396475"/>
      <w:r>
        <w:rPr>
          <w:rFonts w:hint="eastAsia" w:ascii="方正小标宋简体" w:hAnsi="方正小标宋简体" w:eastAsia="方正小标宋简体" w:cs="方正小标宋简体"/>
          <w:sz w:val="72"/>
          <w:szCs w:val="72"/>
        </w:rPr>
        <w:t>2021年度</w:t>
      </w:r>
      <w:bookmarkEnd w:id="1"/>
      <w:bookmarkEnd w:id="2"/>
      <w:bookmarkEnd w:id="3"/>
      <w:bookmarkEnd w:id="4"/>
      <w:bookmarkEnd w:id="5"/>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6" w:name="_Toc15377426"/>
      <w:bookmarkStart w:id="7" w:name="_Toc15396598"/>
      <w:bookmarkStart w:id="8" w:name="_Toc15396476"/>
      <w:bookmarkStart w:id="9" w:name="_Toc15377194"/>
      <w:bookmarkStart w:id="10" w:name="_Toc15378442"/>
      <w:r>
        <w:rPr>
          <w:rFonts w:hint="eastAsia" w:ascii="方正小标宋简体" w:hAnsi="方正小标宋简体" w:eastAsia="方正小标宋简体" w:cs="方正小标宋简体"/>
          <w:sz w:val="72"/>
          <w:szCs w:val="72"/>
        </w:rPr>
        <w:t>盐边县</w:t>
      </w:r>
      <w:bookmarkEnd w:id="0"/>
      <w:bookmarkStart w:id="11" w:name="_Toc15306268"/>
      <w:r>
        <w:rPr>
          <w:rFonts w:hint="eastAsia" w:ascii="方正小标宋简体" w:hAnsi="方正小标宋简体" w:eastAsia="方正小标宋简体" w:cs="方正小标宋简体"/>
          <w:sz w:val="72"/>
          <w:szCs w:val="72"/>
        </w:rPr>
        <w:t>文化馆单位决算</w:t>
      </w:r>
      <w:bookmarkEnd w:id="6"/>
      <w:bookmarkEnd w:id="7"/>
      <w:bookmarkEnd w:id="8"/>
      <w:bookmarkEnd w:id="9"/>
      <w:bookmarkEnd w:id="10"/>
      <w:bookmarkEnd w:id="11"/>
    </w:p>
    <w:p>
      <w:pPr>
        <w:adjustRightInd w:val="0"/>
        <w:snapToGrid w:val="0"/>
        <w:spacing w:line="360" w:lineRule="auto"/>
        <w:jc w:val="center"/>
        <w:outlineLvl w:val="0"/>
        <w:rPr>
          <w:rFonts w:ascii="方正小标宋简体" w:hAnsi="宋体" w:eastAsia="方正小标宋简体"/>
          <w:sz w:val="52"/>
          <w:szCs w:val="52"/>
        </w:rPr>
      </w:pPr>
    </w:p>
    <w:p>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pPr>
        <w:widowControl/>
        <w:jc w:val="center"/>
        <w:rPr>
          <w:rFonts w:ascii="黑体" w:hAnsi="黑体" w:eastAsia="黑体" w:cstheme="minorBidi"/>
          <w:sz w:val="28"/>
          <w:szCs w:val="28"/>
        </w:rPr>
      </w:pPr>
    </w:p>
    <w:p>
      <w:pPr>
        <w:pStyle w:val="10"/>
      </w:pPr>
      <w:r>
        <w:rPr>
          <w:rFonts w:hint="eastAsia"/>
        </w:rPr>
        <w:t>公开时间：2022年10月2</w:t>
      </w:r>
      <w:r>
        <w:rPr>
          <w:rFonts w:hint="eastAsia"/>
          <w:lang w:val="en-US" w:eastAsia="zh-CN"/>
        </w:rPr>
        <w:t>8</w:t>
      </w:r>
      <w:r>
        <w:rPr>
          <w:rFonts w:hint="eastAsia"/>
        </w:rPr>
        <w:t>日</w:t>
      </w:r>
    </w:p>
    <w:p/>
    <w:p>
      <w:pPr>
        <w:pStyle w:val="10"/>
        <w:adjustRightInd w:val="0"/>
        <w:snapToGrid w:val="0"/>
        <w:spacing w:before="0" w:line="440" w:lineRule="exact"/>
        <w:jc w:val="left"/>
        <w:rPr>
          <w:rFonts w:hint="eastAsia" w:eastAsia="仿宋" w:cstheme="minorBidi"/>
          <w:sz w:val="24"/>
          <w:szCs w:val="24"/>
          <w:lang w:val="en-US" w:eastAsia="zh-CN"/>
        </w:rPr>
      </w:pPr>
      <w:r>
        <w:rPr>
          <w:rFonts w:hint="eastAsia"/>
          <w:sz w:val="24"/>
        </w:rPr>
        <w:t>第一部分单位概况</w:t>
      </w:r>
      <w:r>
        <w:rPr>
          <w:rFonts w:hint="eastAsia"/>
          <w:sz w:val="24"/>
          <w:lang w:val="en-US" w:eastAsia="zh-CN"/>
        </w:rPr>
        <w:t>....................................................4</w:t>
      </w:r>
    </w:p>
    <w:p>
      <w:pPr>
        <w:pStyle w:val="11"/>
        <w:adjustRightInd w:val="0"/>
        <w:snapToGrid w:val="0"/>
        <w:spacing w:line="440" w:lineRule="exact"/>
        <w:jc w:val="left"/>
        <w:rPr>
          <w:rFonts w:hint="eastAsia" w:eastAsia="宋体"/>
          <w:sz w:val="24"/>
          <w:lang w:val="en-US" w:eastAsia="zh-CN"/>
        </w:rPr>
      </w:pPr>
      <w:r>
        <w:rPr>
          <w:rFonts w:hint="eastAsia"/>
          <w:sz w:val="24"/>
        </w:rPr>
        <w:t>一、职能简介</w:t>
      </w:r>
      <w:r>
        <w:rPr>
          <w:rFonts w:hint="eastAsia" w:ascii="仿宋" w:hAnsi="仿宋" w:eastAsia="仿宋" w:cs="仿宋"/>
          <w:sz w:val="24"/>
          <w:lang w:val="en-US" w:eastAsia="zh-CN"/>
        </w:rPr>
        <w:t>.....................................................4</w:t>
      </w:r>
    </w:p>
    <w:p>
      <w:pPr>
        <w:pStyle w:val="11"/>
        <w:adjustRightInd w:val="0"/>
        <w:snapToGrid w:val="0"/>
        <w:spacing w:line="440" w:lineRule="exact"/>
        <w:ind w:left="0" w:leftChars="0" w:firstLine="480" w:firstLineChars="200"/>
        <w:jc w:val="left"/>
        <w:rPr>
          <w:rFonts w:hint="eastAsia" w:eastAsia="宋体"/>
          <w:sz w:val="24"/>
          <w:lang w:val="en-US" w:eastAsia="zh-CN"/>
        </w:rPr>
      </w:pPr>
      <w:r>
        <w:rPr>
          <w:rFonts w:hint="eastAsia" w:asciiTheme="minorEastAsia" w:hAnsiTheme="minorEastAsia" w:eastAsiaTheme="minorEastAsia" w:cstheme="minorEastAsia"/>
          <w:sz w:val="24"/>
          <w:lang w:eastAsia="zh-CN"/>
        </w:rPr>
        <w:t>（一）机构设置</w:t>
      </w:r>
      <w:r>
        <w:rPr>
          <w:rFonts w:hint="eastAsia" w:ascii="仿宋" w:hAnsi="仿宋" w:eastAsia="仿宋" w:cs="仿宋"/>
          <w:sz w:val="24"/>
          <w:lang w:val="en-US" w:eastAsia="zh-CN"/>
        </w:rPr>
        <w:t>...................................................4</w:t>
      </w:r>
    </w:p>
    <w:p>
      <w:pPr>
        <w:pStyle w:val="11"/>
        <w:adjustRightInd w:val="0"/>
        <w:snapToGrid w:val="0"/>
        <w:spacing w:line="440" w:lineRule="exact"/>
        <w:jc w:val="left"/>
        <w:rPr>
          <w:rFonts w:hint="eastAsia" w:eastAsia="宋体"/>
          <w:sz w:val="24"/>
          <w:lang w:val="en-US" w:eastAsia="zh-CN"/>
        </w:rPr>
      </w:pPr>
      <w:r>
        <w:rPr>
          <w:rFonts w:hint="eastAsia" w:asciiTheme="minorEastAsia" w:hAnsiTheme="minorEastAsia" w:eastAsiaTheme="minorEastAsia" w:cstheme="minorEastAsia"/>
          <w:sz w:val="24"/>
          <w:lang w:val="en-US" w:eastAsia="zh-CN"/>
        </w:rPr>
        <w:t xml:space="preserve"> （二）主要职能</w:t>
      </w:r>
      <w:r>
        <w:rPr>
          <w:rFonts w:hint="eastAsia" w:ascii="仿宋" w:hAnsi="仿宋" w:eastAsia="仿宋" w:cs="仿宋"/>
          <w:sz w:val="24"/>
          <w:lang w:val="en-US" w:eastAsia="zh-CN"/>
        </w:rPr>
        <w:t>..................................................4</w:t>
      </w:r>
    </w:p>
    <w:p>
      <w:pPr>
        <w:pStyle w:val="11"/>
        <w:adjustRightInd w:val="0"/>
        <w:snapToGrid w:val="0"/>
        <w:spacing w:line="440" w:lineRule="exact"/>
        <w:jc w:val="left"/>
        <w:rPr>
          <w:rFonts w:hint="eastAsia" w:asciiTheme="minorEastAsia" w:hAnsiTheme="minorEastAsia" w:eastAsiaTheme="minorEastAsia" w:cstheme="minorEastAsia"/>
          <w:sz w:val="24"/>
          <w:lang w:val="en-US" w:eastAsia="zh-CN"/>
        </w:rPr>
      </w:pPr>
      <w:r>
        <w:rPr>
          <w:rFonts w:hint="eastAsia" w:asciiTheme="minorEastAsia" w:hAnsiTheme="minorEastAsia" w:eastAsiaTheme="minorEastAsia" w:cstheme="minorEastAsia"/>
          <w:sz w:val="24"/>
        </w:rPr>
        <w:t>二、2021年重点工作完成情况</w:t>
      </w:r>
      <w:r>
        <w:rPr>
          <w:rFonts w:hint="eastAsia" w:asciiTheme="minorEastAsia" w:hAnsiTheme="minorEastAsia" w:eastAsiaTheme="minorEastAsia" w:cstheme="minorEastAsia"/>
          <w:sz w:val="24"/>
          <w:lang w:val="en-US" w:eastAsia="zh-CN"/>
        </w:rPr>
        <w:t>.......................................</w:t>
      </w:r>
      <w:r>
        <w:rPr>
          <w:rFonts w:hint="eastAsia" w:ascii="仿宋" w:hAnsi="仿宋" w:eastAsia="仿宋" w:cs="仿宋"/>
          <w:sz w:val="24"/>
          <w:lang w:val="en-US" w:eastAsia="zh-CN"/>
        </w:rPr>
        <w:t>4</w:t>
      </w:r>
    </w:p>
    <w:p>
      <w:pPr>
        <w:pStyle w:val="10"/>
        <w:adjustRightInd w:val="0"/>
        <w:snapToGrid w:val="0"/>
        <w:spacing w:before="0" w:line="440" w:lineRule="exact"/>
        <w:jc w:val="left"/>
        <w:rPr>
          <w:rFonts w:hint="eastAsia" w:eastAsia="仿宋"/>
          <w:sz w:val="24"/>
          <w:szCs w:val="24"/>
          <w:lang w:val="en-US" w:eastAsia="zh-CN"/>
        </w:rPr>
      </w:pPr>
      <w:r>
        <w:rPr>
          <w:rFonts w:hint="eastAsia"/>
          <w:sz w:val="24"/>
        </w:rPr>
        <w:t>第二部分2021年度单位决算情况说明</w:t>
      </w:r>
      <w:r>
        <w:rPr>
          <w:rFonts w:hint="eastAsia"/>
          <w:sz w:val="24"/>
          <w:lang w:val="en-US" w:eastAsia="zh-CN"/>
        </w:rPr>
        <w:t>........</w:t>
      </w:r>
      <w:bookmarkStart w:id="67" w:name="_GoBack"/>
      <w:bookmarkEnd w:id="67"/>
      <w:r>
        <w:rPr>
          <w:rFonts w:hint="eastAsia"/>
          <w:sz w:val="24"/>
          <w:lang w:val="en-US" w:eastAsia="zh-CN"/>
        </w:rPr>
        <w:t>...........................8</w:t>
      </w:r>
    </w:p>
    <w:p>
      <w:pPr>
        <w:pStyle w:val="11"/>
        <w:adjustRightInd w:val="0"/>
        <w:snapToGrid w:val="0"/>
        <w:spacing w:line="440" w:lineRule="exact"/>
        <w:jc w:val="left"/>
        <w:rPr>
          <w:rFonts w:hint="eastAsia" w:ascii="仿宋" w:hAnsi="仿宋" w:eastAsia="宋体" w:cstheme="minorBidi"/>
          <w:sz w:val="24"/>
          <w:lang w:val="en-US" w:eastAsia="zh-CN"/>
        </w:rPr>
      </w:pPr>
      <w:r>
        <w:rPr>
          <w:rFonts w:hint="eastAsia"/>
          <w:sz w:val="24"/>
        </w:rPr>
        <w:t>一、收入支出决算总体情况说明</w:t>
      </w:r>
      <w:r>
        <w:rPr>
          <w:rFonts w:hint="eastAsia" w:ascii="仿宋" w:hAnsi="仿宋" w:eastAsia="仿宋" w:cs="仿宋"/>
          <w:sz w:val="24"/>
          <w:lang w:val="en-US" w:eastAsia="zh-CN"/>
        </w:rPr>
        <w:t>.....................................8</w:t>
      </w:r>
    </w:p>
    <w:p>
      <w:pPr>
        <w:pStyle w:val="11"/>
        <w:adjustRightInd w:val="0"/>
        <w:snapToGrid w:val="0"/>
        <w:spacing w:line="440" w:lineRule="exact"/>
        <w:jc w:val="left"/>
        <w:rPr>
          <w:rFonts w:hint="eastAsia" w:ascii="仿宋" w:hAnsi="仿宋" w:eastAsia="宋体" w:cstheme="minorBidi"/>
          <w:sz w:val="24"/>
          <w:lang w:val="en-US" w:eastAsia="zh-CN"/>
        </w:rPr>
      </w:pPr>
      <w:r>
        <w:rPr>
          <w:rFonts w:hint="eastAsia"/>
          <w:sz w:val="24"/>
        </w:rPr>
        <w:t>二、收入决算情况说明</w:t>
      </w:r>
      <w:r>
        <w:rPr>
          <w:rFonts w:hint="eastAsia" w:ascii="仿宋" w:hAnsi="仿宋" w:eastAsia="仿宋" w:cs="仿宋"/>
          <w:sz w:val="24"/>
          <w:lang w:val="en-US" w:eastAsia="zh-CN"/>
        </w:rPr>
        <w:t>.............................................8</w:t>
      </w:r>
    </w:p>
    <w:p>
      <w:pPr>
        <w:pStyle w:val="11"/>
        <w:adjustRightInd w:val="0"/>
        <w:snapToGrid w:val="0"/>
        <w:spacing w:line="440" w:lineRule="exact"/>
        <w:jc w:val="left"/>
        <w:rPr>
          <w:rFonts w:hint="eastAsia" w:ascii="仿宋" w:hAnsi="仿宋" w:eastAsia="仿宋" w:cs="仿宋"/>
          <w:sz w:val="24"/>
          <w:lang w:val="en-US" w:eastAsia="zh-CN"/>
        </w:rPr>
      </w:pPr>
      <w:r>
        <w:rPr>
          <w:rFonts w:hint="eastAsia"/>
          <w:sz w:val="24"/>
        </w:rPr>
        <w:t>三、支出决算情况说明</w:t>
      </w:r>
      <w:r>
        <w:rPr>
          <w:rFonts w:hint="eastAsia" w:ascii="仿宋" w:hAnsi="仿宋" w:eastAsia="仿宋" w:cs="仿宋"/>
          <w:sz w:val="24"/>
          <w:lang w:val="en-US" w:eastAsia="zh-CN"/>
        </w:rPr>
        <w:t>.............................................9</w:t>
      </w:r>
    </w:p>
    <w:p>
      <w:pPr>
        <w:pStyle w:val="11"/>
        <w:adjustRightInd w:val="0"/>
        <w:snapToGrid w:val="0"/>
        <w:spacing w:line="440" w:lineRule="exact"/>
        <w:jc w:val="left"/>
        <w:rPr>
          <w:rFonts w:hint="eastAsia" w:ascii="仿宋" w:hAnsi="仿宋" w:eastAsia="宋体" w:cstheme="minorBidi"/>
          <w:sz w:val="24"/>
          <w:lang w:val="en-US" w:eastAsia="zh-CN"/>
        </w:rPr>
      </w:pPr>
      <w:r>
        <w:rPr>
          <w:rFonts w:hint="eastAsia"/>
          <w:sz w:val="24"/>
        </w:rPr>
        <w:t>四、财政拨款收入支出决算总体情况说明</w:t>
      </w:r>
      <w:r>
        <w:rPr>
          <w:rFonts w:hint="eastAsia" w:ascii="仿宋" w:hAnsi="仿宋" w:eastAsia="仿宋" w:cs="仿宋"/>
          <w:sz w:val="24"/>
          <w:lang w:val="en-US" w:eastAsia="zh-CN"/>
        </w:rPr>
        <w:t>............................10</w:t>
      </w:r>
    </w:p>
    <w:p>
      <w:pPr>
        <w:pStyle w:val="11"/>
        <w:adjustRightInd w:val="0"/>
        <w:snapToGrid w:val="0"/>
        <w:spacing w:line="440" w:lineRule="exact"/>
        <w:jc w:val="left"/>
        <w:rPr>
          <w:rFonts w:hint="eastAsia" w:ascii="仿宋" w:hAnsi="仿宋" w:eastAsia="宋体" w:cstheme="minorBidi"/>
          <w:sz w:val="24"/>
          <w:lang w:val="en-US" w:eastAsia="zh-CN"/>
        </w:rPr>
      </w:pPr>
      <w:r>
        <w:rPr>
          <w:rFonts w:hint="eastAsia"/>
          <w:sz w:val="24"/>
        </w:rPr>
        <w:t>五、一般公共预算财政拨款支出决算情况说明</w:t>
      </w:r>
      <w:r>
        <w:rPr>
          <w:rFonts w:hint="eastAsia" w:ascii="仿宋" w:hAnsi="仿宋" w:eastAsia="仿宋" w:cs="仿宋"/>
          <w:sz w:val="24"/>
          <w:lang w:val="en-US" w:eastAsia="zh-CN"/>
        </w:rPr>
        <w:t>........................10</w:t>
      </w:r>
    </w:p>
    <w:p>
      <w:pPr>
        <w:pStyle w:val="11"/>
        <w:adjustRightInd w:val="0"/>
        <w:snapToGrid w:val="0"/>
        <w:spacing w:line="440" w:lineRule="exact"/>
        <w:jc w:val="left"/>
        <w:rPr>
          <w:rFonts w:hint="eastAsia" w:ascii="仿宋" w:hAnsi="仿宋" w:eastAsia="仿宋" w:cs="仿宋"/>
          <w:sz w:val="24"/>
          <w:lang w:val="en-US" w:eastAsia="zh-CN"/>
        </w:rPr>
      </w:pPr>
      <w:r>
        <w:rPr>
          <w:rFonts w:hint="eastAsia"/>
          <w:sz w:val="24"/>
        </w:rPr>
        <w:t>六、一般公共预算财政拨款基本支出决算情况说明</w:t>
      </w:r>
      <w:r>
        <w:rPr>
          <w:rFonts w:hint="eastAsia" w:ascii="仿宋" w:hAnsi="仿宋" w:eastAsia="仿宋" w:cs="仿宋"/>
          <w:sz w:val="24"/>
          <w:lang w:val="en-US" w:eastAsia="zh-CN"/>
        </w:rPr>
        <w:t>....................13</w:t>
      </w:r>
    </w:p>
    <w:p>
      <w:pPr>
        <w:pStyle w:val="11"/>
        <w:adjustRightInd w:val="0"/>
        <w:snapToGrid w:val="0"/>
        <w:spacing w:line="440" w:lineRule="exact"/>
        <w:jc w:val="left"/>
        <w:rPr>
          <w:rFonts w:hint="eastAsia" w:ascii="仿宋" w:hAnsi="仿宋" w:eastAsia="宋体" w:cstheme="minorBidi"/>
          <w:sz w:val="24"/>
          <w:lang w:val="en-US" w:eastAsia="zh-CN"/>
        </w:rPr>
      </w:pPr>
      <w:r>
        <w:rPr>
          <w:rFonts w:hint="eastAsia"/>
          <w:sz w:val="24"/>
        </w:rPr>
        <w:t>七、“三公”经费财政拨款支出决算情况说明</w:t>
      </w:r>
      <w:r>
        <w:rPr>
          <w:rFonts w:hint="eastAsia" w:ascii="仿宋" w:hAnsi="仿宋" w:eastAsia="仿宋" w:cs="仿宋"/>
          <w:sz w:val="24"/>
          <w:lang w:val="en-US" w:eastAsia="zh-CN"/>
        </w:rPr>
        <w:t>..........................14</w:t>
      </w:r>
    </w:p>
    <w:p>
      <w:pPr>
        <w:pStyle w:val="11"/>
        <w:adjustRightInd w:val="0"/>
        <w:snapToGrid w:val="0"/>
        <w:spacing w:line="440" w:lineRule="exact"/>
        <w:jc w:val="left"/>
        <w:rPr>
          <w:rFonts w:hint="eastAsia" w:ascii="仿宋" w:hAnsi="仿宋" w:eastAsia="宋体" w:cstheme="minorBidi"/>
          <w:sz w:val="24"/>
          <w:lang w:val="en-US" w:eastAsia="zh-CN"/>
        </w:rPr>
      </w:pPr>
      <w:r>
        <w:rPr>
          <w:rFonts w:hint="eastAsia"/>
          <w:sz w:val="24"/>
        </w:rPr>
        <w:t>八、政府性基金预算支出决算情况说明</w:t>
      </w:r>
      <w:r>
        <w:rPr>
          <w:rFonts w:hint="eastAsia" w:ascii="仿宋" w:hAnsi="仿宋" w:eastAsia="仿宋" w:cs="仿宋"/>
          <w:sz w:val="24"/>
          <w:lang w:val="en-US" w:eastAsia="zh-CN"/>
        </w:rPr>
        <w:t>..............................16</w:t>
      </w:r>
    </w:p>
    <w:p>
      <w:pPr>
        <w:pStyle w:val="11"/>
        <w:adjustRightInd w:val="0"/>
        <w:snapToGrid w:val="0"/>
        <w:spacing w:line="440" w:lineRule="exact"/>
        <w:jc w:val="left"/>
        <w:rPr>
          <w:rFonts w:hint="eastAsia" w:eastAsia="宋体"/>
          <w:sz w:val="24"/>
          <w:lang w:val="en-US" w:eastAsia="zh-CN"/>
        </w:rPr>
      </w:pPr>
      <w:r>
        <w:rPr>
          <w:rFonts w:hint="eastAsia"/>
          <w:sz w:val="24"/>
        </w:rPr>
        <w:t>九、国有资本经营预算支出决算情况说明</w:t>
      </w:r>
      <w:r>
        <w:rPr>
          <w:rFonts w:hint="eastAsia" w:ascii="仿宋" w:hAnsi="仿宋" w:eastAsia="仿宋" w:cs="仿宋"/>
          <w:sz w:val="24"/>
          <w:lang w:val="en-US" w:eastAsia="zh-CN"/>
        </w:rPr>
        <w:t>............................16</w:t>
      </w:r>
    </w:p>
    <w:p>
      <w:pPr>
        <w:pStyle w:val="11"/>
        <w:adjustRightInd w:val="0"/>
        <w:snapToGrid w:val="0"/>
        <w:spacing w:line="440" w:lineRule="exact"/>
        <w:jc w:val="left"/>
        <w:rPr>
          <w:rFonts w:hint="eastAsia" w:eastAsia="宋体"/>
          <w:sz w:val="24"/>
          <w:lang w:val="en-US" w:eastAsia="zh-CN"/>
        </w:rPr>
      </w:pPr>
      <w:r>
        <w:rPr>
          <w:rFonts w:hint="eastAsia"/>
          <w:sz w:val="24"/>
        </w:rPr>
        <w:t>十、其他重要事项的情况说明</w:t>
      </w:r>
      <w:r>
        <w:rPr>
          <w:rFonts w:hint="eastAsia" w:ascii="仿宋" w:hAnsi="仿宋" w:eastAsia="仿宋" w:cs="仿宋"/>
          <w:sz w:val="24"/>
          <w:lang w:val="en-US" w:eastAsia="zh-CN"/>
        </w:rPr>
        <w:t>......................................16</w:t>
      </w:r>
    </w:p>
    <w:p>
      <w:pPr>
        <w:pStyle w:val="10"/>
        <w:adjustRightInd w:val="0"/>
        <w:snapToGrid w:val="0"/>
        <w:spacing w:before="0" w:line="440" w:lineRule="exact"/>
        <w:jc w:val="left"/>
        <w:rPr>
          <w:rFonts w:hint="eastAsia" w:eastAsia="仿宋" w:cstheme="minorBidi"/>
          <w:sz w:val="24"/>
          <w:szCs w:val="24"/>
          <w:lang w:val="en-US" w:eastAsia="zh-CN"/>
        </w:rPr>
      </w:pPr>
      <w:r>
        <w:rPr>
          <w:rFonts w:hint="eastAsia"/>
          <w:sz w:val="24"/>
        </w:rPr>
        <w:t>第三部分名词解释</w:t>
      </w:r>
      <w:r>
        <w:rPr>
          <w:rFonts w:hint="eastAsia"/>
          <w:sz w:val="24"/>
          <w:lang w:val="en-US" w:eastAsia="zh-CN"/>
        </w:rPr>
        <w:t>...................................................17</w:t>
      </w:r>
    </w:p>
    <w:p>
      <w:pPr>
        <w:pStyle w:val="10"/>
        <w:adjustRightInd w:val="0"/>
        <w:snapToGrid w:val="0"/>
        <w:spacing w:before="0" w:line="440" w:lineRule="exact"/>
        <w:jc w:val="left"/>
        <w:rPr>
          <w:rFonts w:hint="default" w:eastAsia="仿宋" w:cstheme="minorBidi"/>
          <w:sz w:val="24"/>
          <w:szCs w:val="24"/>
          <w:lang w:val="en-US" w:eastAsia="zh-CN"/>
        </w:rPr>
      </w:pPr>
      <w:r>
        <w:rPr>
          <w:rFonts w:hint="eastAsia"/>
          <w:sz w:val="24"/>
        </w:rPr>
        <w:t>第四部分附件</w:t>
      </w:r>
      <w:r>
        <w:rPr>
          <w:rFonts w:hint="eastAsia"/>
          <w:sz w:val="24"/>
          <w:lang w:val="en-US" w:eastAsia="zh-CN"/>
        </w:rPr>
        <w:t>.......................................................19</w:t>
      </w:r>
    </w:p>
    <w:p>
      <w:pPr>
        <w:pStyle w:val="10"/>
        <w:adjustRightInd w:val="0"/>
        <w:snapToGrid w:val="0"/>
        <w:spacing w:before="0" w:line="440" w:lineRule="exact"/>
        <w:jc w:val="left"/>
        <w:rPr>
          <w:rFonts w:hint="eastAsia" w:eastAsia="仿宋" w:cstheme="minorBidi"/>
          <w:sz w:val="24"/>
          <w:szCs w:val="24"/>
          <w:lang w:val="en-US" w:eastAsia="zh-CN"/>
        </w:rPr>
      </w:pPr>
      <w:r>
        <w:rPr>
          <w:rFonts w:hint="eastAsia"/>
          <w:sz w:val="24"/>
        </w:rPr>
        <w:t>第五部分附表</w:t>
      </w:r>
      <w:r>
        <w:rPr>
          <w:rFonts w:hint="eastAsia"/>
          <w:sz w:val="24"/>
          <w:lang w:val="en-US" w:eastAsia="zh-CN"/>
        </w:rPr>
        <w:t>.......................................................23</w:t>
      </w:r>
    </w:p>
    <w:p>
      <w:pPr>
        <w:pStyle w:val="11"/>
        <w:adjustRightInd w:val="0"/>
        <w:snapToGrid w:val="0"/>
        <w:spacing w:line="440" w:lineRule="exact"/>
        <w:jc w:val="left"/>
        <w:rPr>
          <w:rFonts w:hint="eastAsia" w:eastAsia="宋体"/>
          <w:sz w:val="24"/>
          <w:lang w:val="en-US" w:eastAsia="zh-CN"/>
        </w:rPr>
      </w:pPr>
      <w:r>
        <w:rPr>
          <w:rFonts w:hint="eastAsia"/>
          <w:sz w:val="24"/>
        </w:rPr>
        <w:t>一、收入支出决算总表</w:t>
      </w:r>
      <w:r>
        <w:rPr>
          <w:rFonts w:hint="eastAsia" w:ascii="仿宋" w:hAnsi="仿宋" w:eastAsia="仿宋" w:cs="仿宋"/>
          <w:sz w:val="24"/>
          <w:lang w:val="en-US" w:eastAsia="zh-CN"/>
        </w:rPr>
        <w:t>............................................23</w:t>
      </w:r>
    </w:p>
    <w:p>
      <w:pPr>
        <w:pStyle w:val="11"/>
        <w:adjustRightInd w:val="0"/>
        <w:snapToGrid w:val="0"/>
        <w:spacing w:line="440" w:lineRule="exact"/>
        <w:jc w:val="left"/>
        <w:rPr>
          <w:rFonts w:hint="eastAsia" w:eastAsia="宋体"/>
          <w:sz w:val="24"/>
          <w:lang w:val="en-US" w:eastAsia="zh-CN"/>
        </w:rPr>
      </w:pPr>
      <w:r>
        <w:rPr>
          <w:rFonts w:hint="eastAsia"/>
          <w:sz w:val="24"/>
        </w:rPr>
        <w:t>二、收入决算表</w:t>
      </w:r>
      <w:r>
        <w:rPr>
          <w:rFonts w:hint="eastAsia" w:ascii="仿宋" w:hAnsi="仿宋" w:eastAsia="仿宋" w:cs="仿宋"/>
          <w:sz w:val="24"/>
          <w:lang w:val="en-US" w:eastAsia="zh-CN"/>
        </w:rPr>
        <w:t>..................................................23</w:t>
      </w:r>
    </w:p>
    <w:p>
      <w:pPr>
        <w:pStyle w:val="11"/>
        <w:adjustRightInd w:val="0"/>
        <w:snapToGrid w:val="0"/>
        <w:spacing w:line="440" w:lineRule="exact"/>
        <w:jc w:val="left"/>
        <w:rPr>
          <w:rFonts w:hint="eastAsia" w:eastAsia="宋体"/>
          <w:sz w:val="24"/>
          <w:lang w:val="en-US" w:eastAsia="zh-CN"/>
        </w:rPr>
      </w:pPr>
      <w:r>
        <w:rPr>
          <w:rFonts w:hint="eastAsia"/>
          <w:sz w:val="24"/>
        </w:rPr>
        <w:t>三、支出决算表</w:t>
      </w:r>
      <w:r>
        <w:rPr>
          <w:rFonts w:hint="eastAsia" w:ascii="仿宋" w:hAnsi="仿宋" w:eastAsia="仿宋" w:cs="仿宋"/>
          <w:sz w:val="24"/>
          <w:lang w:val="en-US" w:eastAsia="zh-CN"/>
        </w:rPr>
        <w:t>..................................................23</w:t>
      </w:r>
    </w:p>
    <w:p>
      <w:pPr>
        <w:pStyle w:val="11"/>
        <w:adjustRightInd w:val="0"/>
        <w:snapToGrid w:val="0"/>
        <w:spacing w:line="440" w:lineRule="exact"/>
        <w:jc w:val="left"/>
        <w:rPr>
          <w:rFonts w:hint="eastAsia" w:eastAsia="宋体"/>
          <w:sz w:val="24"/>
          <w:lang w:val="en-US" w:eastAsia="zh-CN"/>
        </w:rPr>
      </w:pPr>
      <w:r>
        <w:rPr>
          <w:rFonts w:hint="eastAsia"/>
          <w:sz w:val="24"/>
        </w:rPr>
        <w:t>四、财政拨款收入支出决算总表</w:t>
      </w:r>
      <w:r>
        <w:rPr>
          <w:rFonts w:hint="eastAsia" w:ascii="仿宋" w:hAnsi="仿宋" w:eastAsia="仿宋" w:cs="仿宋"/>
          <w:sz w:val="24"/>
          <w:lang w:val="en-US" w:eastAsia="zh-CN"/>
        </w:rPr>
        <w:t>....................................23</w:t>
      </w:r>
    </w:p>
    <w:p>
      <w:pPr>
        <w:pStyle w:val="11"/>
        <w:adjustRightInd w:val="0"/>
        <w:snapToGrid w:val="0"/>
        <w:spacing w:line="440" w:lineRule="exact"/>
        <w:jc w:val="left"/>
        <w:rPr>
          <w:rFonts w:hint="eastAsia" w:ascii="仿宋" w:hAnsi="仿宋" w:eastAsia="仿宋" w:cs="仿宋"/>
          <w:sz w:val="24"/>
          <w:lang w:val="en-US" w:eastAsia="zh-CN"/>
        </w:rPr>
      </w:pPr>
      <w:r>
        <w:rPr>
          <w:rFonts w:hint="eastAsia"/>
          <w:sz w:val="24"/>
        </w:rPr>
        <w:t>五、财政拨款支出决算明细表</w:t>
      </w:r>
      <w:r>
        <w:rPr>
          <w:rFonts w:hint="eastAsia" w:ascii="仿宋" w:hAnsi="仿宋" w:eastAsia="仿宋" w:cs="仿宋"/>
          <w:sz w:val="24"/>
          <w:lang w:val="en-US" w:eastAsia="zh-CN"/>
        </w:rPr>
        <w:t>......................................23</w:t>
      </w:r>
    </w:p>
    <w:p>
      <w:pPr>
        <w:pStyle w:val="11"/>
        <w:adjustRightInd w:val="0"/>
        <w:snapToGrid w:val="0"/>
        <w:spacing w:line="440" w:lineRule="exact"/>
        <w:jc w:val="left"/>
        <w:rPr>
          <w:rFonts w:hint="eastAsia" w:eastAsia="宋体"/>
          <w:sz w:val="24"/>
          <w:lang w:val="en-US" w:eastAsia="zh-CN"/>
        </w:rPr>
      </w:pPr>
      <w:r>
        <w:rPr>
          <w:rFonts w:hint="eastAsia"/>
          <w:sz w:val="24"/>
        </w:rPr>
        <w:t>六、一般公共预算财政拨款支出决算表</w:t>
      </w:r>
      <w:r>
        <w:rPr>
          <w:rFonts w:hint="eastAsia" w:ascii="仿宋" w:hAnsi="仿宋" w:eastAsia="仿宋" w:cs="仿宋"/>
          <w:sz w:val="24"/>
          <w:lang w:val="en-US" w:eastAsia="zh-CN"/>
        </w:rPr>
        <w:t>..............................23</w:t>
      </w:r>
    </w:p>
    <w:p>
      <w:pPr>
        <w:pStyle w:val="11"/>
        <w:adjustRightInd w:val="0"/>
        <w:snapToGrid w:val="0"/>
        <w:spacing w:line="440" w:lineRule="exact"/>
        <w:jc w:val="left"/>
        <w:rPr>
          <w:rFonts w:hint="eastAsia" w:eastAsia="宋体"/>
          <w:sz w:val="24"/>
          <w:lang w:val="en-US" w:eastAsia="zh-CN"/>
        </w:rPr>
      </w:pPr>
      <w:r>
        <w:rPr>
          <w:rFonts w:hint="eastAsia"/>
          <w:sz w:val="24"/>
        </w:rPr>
        <w:t>七、一般公共预算财政拨款支出决算明细表</w:t>
      </w:r>
      <w:r>
        <w:rPr>
          <w:rFonts w:hint="eastAsia" w:ascii="仿宋" w:hAnsi="仿宋" w:eastAsia="仿宋" w:cs="仿宋"/>
          <w:sz w:val="24"/>
          <w:lang w:val="en-US" w:eastAsia="zh-CN"/>
        </w:rPr>
        <w:t>..........................23</w:t>
      </w:r>
    </w:p>
    <w:p>
      <w:pPr>
        <w:pStyle w:val="11"/>
        <w:adjustRightInd w:val="0"/>
        <w:snapToGrid w:val="0"/>
        <w:spacing w:line="440" w:lineRule="exact"/>
        <w:jc w:val="left"/>
        <w:rPr>
          <w:rFonts w:hint="eastAsia" w:eastAsia="宋体"/>
          <w:sz w:val="24"/>
          <w:lang w:val="en-US" w:eastAsia="zh-CN"/>
        </w:rPr>
      </w:pPr>
      <w:r>
        <w:rPr>
          <w:rFonts w:hint="eastAsia"/>
          <w:sz w:val="24"/>
        </w:rPr>
        <w:t>八、一般公共预算财政拨款基本支出决算表</w:t>
      </w:r>
      <w:r>
        <w:rPr>
          <w:rFonts w:hint="eastAsia" w:ascii="仿宋" w:hAnsi="仿宋" w:eastAsia="仿宋" w:cs="仿宋"/>
          <w:sz w:val="24"/>
          <w:lang w:val="en-US" w:eastAsia="zh-CN"/>
        </w:rPr>
        <w:t>..........................23</w:t>
      </w:r>
    </w:p>
    <w:p>
      <w:pPr>
        <w:pStyle w:val="11"/>
        <w:adjustRightInd w:val="0"/>
        <w:snapToGrid w:val="0"/>
        <w:spacing w:line="440" w:lineRule="exact"/>
        <w:jc w:val="left"/>
        <w:rPr>
          <w:rFonts w:hint="eastAsia" w:eastAsia="宋体"/>
          <w:sz w:val="24"/>
          <w:lang w:val="en-US" w:eastAsia="zh-CN"/>
        </w:rPr>
      </w:pPr>
      <w:r>
        <w:rPr>
          <w:rFonts w:hint="eastAsia"/>
          <w:sz w:val="24"/>
        </w:rPr>
        <w:t>九、一般公共预算财政拨款项目支出决算表</w:t>
      </w:r>
      <w:r>
        <w:rPr>
          <w:rFonts w:hint="eastAsia" w:ascii="仿宋" w:hAnsi="仿宋" w:eastAsia="仿宋" w:cs="仿宋"/>
          <w:sz w:val="24"/>
          <w:lang w:val="en-US" w:eastAsia="zh-CN"/>
        </w:rPr>
        <w:t>..........................23</w:t>
      </w:r>
    </w:p>
    <w:p>
      <w:pPr>
        <w:pStyle w:val="11"/>
        <w:adjustRightInd w:val="0"/>
        <w:snapToGrid w:val="0"/>
        <w:spacing w:line="440" w:lineRule="exact"/>
        <w:jc w:val="left"/>
        <w:rPr>
          <w:rFonts w:hint="eastAsia" w:ascii="仿宋" w:hAnsi="仿宋" w:eastAsia="仿宋" w:cs="仿宋"/>
          <w:sz w:val="24"/>
          <w:lang w:val="en-US" w:eastAsia="zh-CN"/>
        </w:rPr>
      </w:pPr>
      <w:r>
        <w:rPr>
          <w:rFonts w:hint="eastAsia"/>
          <w:sz w:val="24"/>
        </w:rPr>
        <w:t>十、一般公共预算财政拨款“三公”经费支出决算表</w:t>
      </w:r>
      <w:r>
        <w:rPr>
          <w:rFonts w:hint="eastAsia" w:ascii="仿宋" w:hAnsi="仿宋" w:eastAsia="仿宋" w:cs="仿宋"/>
          <w:sz w:val="24"/>
          <w:lang w:val="en-US" w:eastAsia="zh-CN"/>
        </w:rPr>
        <w:t>..................23</w:t>
      </w:r>
    </w:p>
    <w:p>
      <w:pPr>
        <w:pStyle w:val="11"/>
        <w:adjustRightInd w:val="0"/>
        <w:snapToGrid w:val="0"/>
        <w:spacing w:line="440" w:lineRule="exact"/>
        <w:jc w:val="left"/>
        <w:rPr>
          <w:rFonts w:hint="eastAsia" w:ascii="仿宋" w:hAnsi="仿宋" w:eastAsia="仿宋" w:cs="仿宋"/>
          <w:sz w:val="24"/>
          <w:lang w:val="en-US" w:eastAsia="zh-CN"/>
        </w:rPr>
      </w:pPr>
      <w:r>
        <w:rPr>
          <w:rFonts w:hint="eastAsia"/>
          <w:sz w:val="24"/>
        </w:rPr>
        <w:t>十一、政府性基金预算财政拨款收入支出决算表</w:t>
      </w:r>
      <w:r>
        <w:rPr>
          <w:rFonts w:hint="eastAsia" w:ascii="仿宋" w:hAnsi="仿宋" w:eastAsia="仿宋" w:cs="仿宋"/>
          <w:sz w:val="24"/>
          <w:lang w:val="en-US" w:eastAsia="zh-CN"/>
        </w:rPr>
        <w:t>......................23</w:t>
      </w:r>
    </w:p>
    <w:p>
      <w:pPr>
        <w:pStyle w:val="11"/>
        <w:adjustRightInd w:val="0"/>
        <w:snapToGrid w:val="0"/>
        <w:spacing w:line="440" w:lineRule="exact"/>
        <w:jc w:val="left"/>
        <w:rPr>
          <w:rFonts w:hint="eastAsia" w:ascii="仿宋" w:hAnsi="仿宋" w:eastAsia="仿宋" w:cs="仿宋"/>
          <w:sz w:val="24"/>
          <w:lang w:val="en-US" w:eastAsia="zh-CN"/>
        </w:rPr>
      </w:pPr>
      <w:r>
        <w:rPr>
          <w:rFonts w:hint="eastAsia"/>
          <w:sz w:val="24"/>
        </w:rPr>
        <w:t>十二、政府性基金预算财政拨款“三公”经费支出决算表</w:t>
      </w:r>
      <w:r>
        <w:rPr>
          <w:rFonts w:hint="eastAsia" w:ascii="仿宋" w:hAnsi="仿宋" w:eastAsia="仿宋" w:cs="仿宋"/>
          <w:sz w:val="24"/>
          <w:lang w:val="en-US" w:eastAsia="zh-CN"/>
        </w:rPr>
        <w:t>..............23</w:t>
      </w:r>
    </w:p>
    <w:p>
      <w:pPr>
        <w:pStyle w:val="11"/>
        <w:adjustRightInd w:val="0"/>
        <w:snapToGrid w:val="0"/>
        <w:spacing w:line="440" w:lineRule="exact"/>
        <w:jc w:val="left"/>
        <w:rPr>
          <w:rFonts w:hint="eastAsia" w:ascii="仿宋" w:hAnsi="仿宋" w:eastAsia="仿宋" w:cs="仿宋"/>
          <w:sz w:val="24"/>
          <w:lang w:val="en-US" w:eastAsia="zh-CN"/>
        </w:rPr>
      </w:pPr>
      <w:r>
        <w:rPr>
          <w:rFonts w:hint="eastAsia"/>
          <w:sz w:val="24"/>
        </w:rPr>
        <w:t>十三、国有资本经营预算财政拨款收入支出决算表</w:t>
      </w:r>
      <w:r>
        <w:rPr>
          <w:rFonts w:hint="eastAsia" w:ascii="仿宋" w:hAnsi="仿宋" w:eastAsia="仿宋" w:cs="仿宋"/>
          <w:sz w:val="24"/>
          <w:lang w:val="en-US" w:eastAsia="zh-CN"/>
        </w:rPr>
        <w:t>....................23</w:t>
      </w:r>
    </w:p>
    <w:p>
      <w:pPr>
        <w:pStyle w:val="11"/>
        <w:adjustRightInd w:val="0"/>
        <w:snapToGrid w:val="0"/>
        <w:spacing w:line="440" w:lineRule="exact"/>
        <w:jc w:val="left"/>
        <w:rPr>
          <w:rFonts w:hint="eastAsia" w:ascii="仿宋" w:hAnsi="仿宋" w:eastAsia="仿宋" w:cs="仿宋"/>
          <w:sz w:val="24"/>
          <w:lang w:val="en-US" w:eastAsia="zh-CN"/>
        </w:rPr>
      </w:pPr>
      <w:r>
        <w:rPr>
          <w:rFonts w:hint="eastAsia"/>
          <w:sz w:val="24"/>
        </w:rPr>
        <w:t>十四、国有资本经营预算财政拨款支出决算表</w:t>
      </w:r>
      <w:r>
        <w:rPr>
          <w:rFonts w:hint="eastAsia" w:ascii="仿宋" w:hAnsi="仿宋" w:eastAsia="仿宋" w:cs="仿宋"/>
          <w:sz w:val="24"/>
          <w:lang w:val="en-US" w:eastAsia="zh-CN"/>
        </w:rPr>
        <w:t>........................23</w:t>
      </w:r>
    </w:p>
    <w:p>
      <w:pPr>
        <w:widowControl/>
        <w:spacing w:line="440" w:lineRule="exact"/>
        <w:jc w:val="left"/>
        <w:rPr>
          <w:rFonts w:ascii="仿宋" w:hAnsi="仿宋" w:eastAsia="仿宋"/>
          <w:bCs/>
          <w:kern w:val="44"/>
          <w:sz w:val="24"/>
        </w:rPr>
      </w:pPr>
      <w:bookmarkStart w:id="12" w:name="_Toc15377196"/>
      <w:bookmarkStart w:id="13" w:name="_Toc15396599"/>
      <w:r>
        <w:rPr>
          <w:rFonts w:ascii="仿宋" w:hAnsi="仿宋" w:eastAsia="仿宋"/>
          <w:b/>
          <w:sz w:val="24"/>
        </w:rPr>
        <w:br w:type="page"/>
      </w:r>
    </w:p>
    <w:p>
      <w:pPr>
        <w:pStyle w:val="3"/>
        <w:jc w:val="center"/>
        <w:rPr>
          <w:rStyle w:val="24"/>
          <w:rFonts w:ascii="黑体" w:hAnsi="黑体" w:eastAsia="黑体"/>
          <w:b/>
          <w:bCs w:val="0"/>
        </w:rPr>
      </w:pPr>
      <w:r>
        <w:rPr>
          <w:rFonts w:hint="eastAsia" w:ascii="黑体" w:hAnsi="黑体" w:eastAsia="黑体"/>
          <w:b w:val="0"/>
        </w:rPr>
        <w:t>第一部分 单位</w:t>
      </w:r>
      <w:r>
        <w:rPr>
          <w:rStyle w:val="24"/>
          <w:rFonts w:hint="eastAsia" w:ascii="黑体" w:hAnsi="黑体" w:eastAsia="黑体"/>
          <w:b w:val="0"/>
          <w:bCs w:val="0"/>
        </w:rPr>
        <w:t>概况</w:t>
      </w:r>
      <w:bookmarkEnd w:id="12"/>
      <w:bookmarkEnd w:id="13"/>
    </w:p>
    <w:p>
      <w:pPr>
        <w:widowControl/>
        <w:jc w:val="left"/>
        <w:rPr>
          <w:rFonts w:ascii="黑体" w:eastAsia="黑体"/>
          <w:sz w:val="32"/>
          <w:szCs w:val="32"/>
        </w:rPr>
      </w:pPr>
    </w:p>
    <w:p>
      <w:pPr>
        <w:pStyle w:val="4"/>
        <w:numPr>
          <w:ilvl w:val="0"/>
          <w:numId w:val="1"/>
        </w:numPr>
        <w:ind w:firstLine="640" w:firstLineChars="200"/>
        <w:rPr>
          <w:rStyle w:val="25"/>
          <w:rFonts w:hint="eastAsia" w:ascii="黑体" w:hAnsi="黑体" w:eastAsia="黑体"/>
          <w:b w:val="0"/>
          <w:bCs w:val="0"/>
        </w:rPr>
      </w:pPr>
      <w:bookmarkStart w:id="14" w:name="_Toc15396600"/>
      <w:bookmarkStart w:id="15" w:name="_Toc15377197"/>
      <w:r>
        <w:rPr>
          <w:rStyle w:val="25"/>
          <w:rFonts w:hint="eastAsia" w:ascii="黑体" w:hAnsi="黑体" w:eastAsia="黑体"/>
          <w:b w:val="0"/>
          <w:bCs w:val="0"/>
        </w:rPr>
        <w:t>职能简介</w:t>
      </w:r>
    </w:p>
    <w:p>
      <w:pPr>
        <w:numPr>
          <w:ilvl w:val="0"/>
          <w:numId w:val="0"/>
        </w:numPr>
        <w:rPr>
          <w:rFonts w:hint="eastAsia" w:eastAsia="宋体"/>
          <w:b/>
          <w:bCs/>
          <w:lang w:val="en-US" w:eastAsia="zh-CN"/>
        </w:rPr>
      </w:pPr>
      <w:r>
        <w:rPr>
          <w:rFonts w:hint="eastAsia"/>
          <w:lang w:val="en-US" w:eastAsia="zh-CN"/>
        </w:rPr>
        <w:t xml:space="preserve">     </w:t>
      </w:r>
      <w:r>
        <w:rPr>
          <w:rFonts w:hint="eastAsia" w:ascii="楷体_GB2312" w:hAnsi="楷体_GB2312" w:eastAsia="楷体_GB2312" w:cs="楷体_GB2312"/>
          <w:lang w:val="en-US" w:eastAsia="zh-CN"/>
        </w:rPr>
        <w:t xml:space="preserve"> </w:t>
      </w:r>
      <w:r>
        <w:rPr>
          <w:rFonts w:hint="eastAsia" w:ascii="方正楷体_GB2312" w:hAnsi="方正楷体_GB2312" w:eastAsia="方正楷体_GB2312" w:cs="方正楷体_GB2312"/>
          <w:b/>
          <w:bCs/>
          <w:kern w:val="0"/>
          <w:sz w:val="32"/>
          <w:szCs w:val="32"/>
          <w:lang w:val="en-US" w:eastAsia="zh-CN"/>
        </w:rPr>
        <w:t>（一）机构设置</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盐边县文化馆是盐边县文化广播</w:t>
      </w:r>
      <w:r>
        <w:rPr>
          <w:rFonts w:hint="eastAsia" w:ascii="仿宋_GB2312" w:hAnsi="仿宋_GB2312" w:eastAsia="仿宋_GB2312" w:cs="仿宋_GB2312"/>
          <w:kern w:val="0"/>
          <w:sz w:val="32"/>
          <w:szCs w:val="32"/>
          <w:lang w:eastAsia="zh-CN"/>
        </w:rPr>
        <w:t>电视和</w:t>
      </w:r>
      <w:r>
        <w:rPr>
          <w:rFonts w:hint="eastAsia" w:ascii="仿宋_GB2312" w:hAnsi="仿宋_GB2312" w:eastAsia="仿宋_GB2312" w:cs="仿宋_GB2312"/>
          <w:kern w:val="0"/>
          <w:sz w:val="32"/>
          <w:szCs w:val="32"/>
        </w:rPr>
        <w:t>旅游局下属公益一类事业单位，同时挂盐边县图书馆、盐边县美术馆和盐边县文化遗产保护中心牌子，实行四块牌子一套人马</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属于一级预算单位，无</w:t>
      </w:r>
      <w:r>
        <w:rPr>
          <w:rFonts w:hint="eastAsia" w:ascii="仿宋_GB2312" w:hAnsi="仿宋_GB2312" w:eastAsia="仿宋_GB2312" w:cs="仿宋_GB2312"/>
          <w:color w:val="000000"/>
          <w:sz w:val="32"/>
          <w:szCs w:val="32"/>
        </w:rPr>
        <w:t>纳入2021年度部门决算编制范围的二级预算单位</w:t>
      </w:r>
      <w:r>
        <w:rPr>
          <w:rFonts w:hint="eastAsia" w:ascii="仿宋_GB2312" w:hAnsi="仿宋_GB2312" w:eastAsia="仿宋_GB2312" w:cs="仿宋_GB2312"/>
          <w:kern w:val="0"/>
          <w:sz w:val="32"/>
          <w:szCs w:val="32"/>
        </w:rPr>
        <w:t>。</w:t>
      </w:r>
    </w:p>
    <w:p>
      <w:pPr>
        <w:numPr>
          <w:numId w:val="0"/>
        </w:numPr>
        <w:ind w:firstLine="643" w:firstLineChars="200"/>
        <w:rPr>
          <w:rFonts w:hint="eastAsia" w:ascii="楷体_GB2312" w:hAnsi="楷体_GB2312" w:eastAsia="楷体_GB2312" w:cs="楷体_GB2312"/>
          <w:b/>
          <w:bCs/>
          <w:sz w:val="32"/>
          <w:szCs w:val="32"/>
        </w:rPr>
      </w:pPr>
      <w:r>
        <w:rPr>
          <w:rFonts w:hint="eastAsia" w:ascii="方正楷体_GB2312" w:hAnsi="方正楷体_GB2312" w:eastAsia="方正楷体_GB2312" w:cs="方正楷体_GB2312"/>
          <w:b/>
          <w:bCs/>
          <w:sz w:val="32"/>
          <w:szCs w:val="32"/>
          <w:lang w:eastAsia="zh-CN"/>
        </w:rPr>
        <w:t>（二）</w:t>
      </w:r>
      <w:r>
        <w:rPr>
          <w:rFonts w:hint="eastAsia" w:ascii="方正楷体_GB2312" w:hAnsi="方正楷体_GB2312" w:eastAsia="方正楷体_GB2312" w:cs="方正楷体_GB2312"/>
          <w:b/>
          <w:bCs/>
          <w:sz w:val="32"/>
          <w:szCs w:val="32"/>
        </w:rPr>
        <w:t>主要职能</w:t>
      </w:r>
    </w:p>
    <w:p>
      <w:pPr>
        <w:numPr>
          <w:ilvl w:val="0"/>
          <w:numId w:val="0"/>
        </w:num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开展公益性文化艺术活动和社会公益培训，实行免费开放；组织指导和推广群众性文艺创作；对基层群众文化组织进行业务指导；组织开展群众文化理论研究和交流活动；收集、整理、研究非物质文化遗产，开展非物质文化遗产的普查、展示、宣传活动，指导传承人开展传习活动</w:t>
      </w:r>
      <w:r>
        <w:rPr>
          <w:rFonts w:hint="eastAsia" w:ascii="仿宋_GB2312" w:hAnsi="仿宋_GB2312" w:eastAsia="仿宋_GB2312" w:cs="仿宋_GB2312"/>
          <w:sz w:val="32"/>
          <w:szCs w:val="32"/>
          <w:lang w:eastAsia="zh-CN"/>
        </w:rPr>
        <w:t>。</w:t>
      </w:r>
    </w:p>
    <w:p>
      <w:pPr>
        <w:pStyle w:val="4"/>
        <w:ind w:firstLine="640" w:firstLineChars="200"/>
        <w:rPr>
          <w:rFonts w:ascii="黑体" w:hAnsi="黑体" w:eastAsia="黑体"/>
          <w:b w:val="0"/>
        </w:rPr>
      </w:pPr>
      <w:r>
        <w:rPr>
          <w:rFonts w:hint="eastAsia" w:ascii="黑体" w:hAnsi="黑体" w:eastAsia="黑体"/>
          <w:b w:val="0"/>
        </w:rPr>
        <w:t>二、2021年重点工作</w:t>
      </w:r>
      <w:bookmarkEnd w:id="14"/>
      <w:bookmarkEnd w:id="15"/>
      <w:r>
        <w:rPr>
          <w:rFonts w:hint="eastAsia" w:ascii="黑体" w:hAnsi="黑体" w:eastAsia="黑体"/>
          <w:b w:val="0"/>
        </w:rPr>
        <w:t>完成情况</w:t>
      </w:r>
    </w:p>
    <w:p>
      <w:pPr>
        <w:ind w:firstLine="643" w:firstLineChars="200"/>
        <w:rPr>
          <w:rFonts w:ascii="仿宋_GB2312" w:hAnsi="仿宋_GB2312" w:eastAsia="仿宋_GB2312" w:cs="仿宋_GB2312"/>
          <w:sz w:val="32"/>
          <w:szCs w:val="32"/>
        </w:rPr>
      </w:pPr>
      <w:r>
        <w:rPr>
          <w:rFonts w:hint="eastAsia" w:ascii="方正楷体_GB2312" w:hAnsi="方正楷体_GB2312" w:eastAsia="方正楷体_GB2312" w:cs="方正楷体_GB2312"/>
          <w:b/>
          <w:sz w:val="32"/>
          <w:szCs w:val="32"/>
          <w:lang w:eastAsia="zh-CN"/>
        </w:rPr>
        <w:t>（一）</w:t>
      </w:r>
      <w:r>
        <w:rPr>
          <w:rFonts w:hint="eastAsia" w:ascii="方正楷体_GB2312" w:hAnsi="方正楷体_GB2312" w:eastAsia="方正楷体_GB2312" w:cs="方正楷体_GB2312"/>
          <w:b/>
          <w:sz w:val="32"/>
          <w:szCs w:val="32"/>
        </w:rPr>
        <w:t>开展好“笮人舞台”系列文化活动。</w:t>
      </w:r>
      <w:r>
        <w:rPr>
          <w:rFonts w:hint="eastAsia" w:ascii="仿宋_GB2312" w:hAnsi="仿宋_GB2312" w:eastAsia="仿宋_GB2312" w:cs="仿宋_GB2312"/>
          <w:sz w:val="32"/>
          <w:szCs w:val="32"/>
        </w:rPr>
        <w:t>完成2021年线上迎新春大联欢晚会的录制和线上播放</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组织、编排节目参加市政协团拜会</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成功举办 “回首百年忆峥嵘、奋进盐边新时代”红色经典诵读活动、片区文艺汇演、片区文艺调演等</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笮人舞台</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系列活动。</w:t>
      </w:r>
    </w:p>
    <w:p>
      <w:pPr>
        <w:spacing w:line="520" w:lineRule="exact"/>
        <w:ind w:firstLine="643" w:firstLineChars="200"/>
        <w:jc w:val="left"/>
        <w:rPr>
          <w:rFonts w:ascii="仿宋_GB2312" w:hAnsi="仿宋_GB2312" w:eastAsia="仿宋_GB2312" w:cs="仿宋_GB2312"/>
          <w:sz w:val="32"/>
          <w:szCs w:val="32"/>
        </w:rPr>
      </w:pPr>
      <w:r>
        <w:rPr>
          <w:rFonts w:hint="eastAsia" w:ascii="方正楷体_GB2312" w:hAnsi="方正楷体_GB2312" w:eastAsia="方正楷体_GB2312" w:cs="方正楷体_GB2312"/>
          <w:b/>
          <w:bCs/>
          <w:sz w:val="32"/>
          <w:szCs w:val="32"/>
          <w:lang w:eastAsia="zh-CN"/>
        </w:rPr>
        <w:t>（二）</w:t>
      </w:r>
      <w:r>
        <w:rPr>
          <w:rFonts w:hint="eastAsia" w:ascii="方正楷体_GB2312" w:hAnsi="方正楷体_GB2312" w:eastAsia="方正楷体_GB2312" w:cs="方正楷体_GB2312"/>
          <w:b/>
          <w:bCs/>
          <w:sz w:val="32"/>
          <w:szCs w:val="32"/>
        </w:rPr>
        <w:t>积极开展各类活动。</w:t>
      </w:r>
      <w:r>
        <w:rPr>
          <w:rFonts w:hint="eastAsia" w:ascii="仿宋_GB2312" w:hAnsi="仿宋_GB2312" w:eastAsia="仿宋_GB2312" w:cs="仿宋_GB2312"/>
          <w:sz w:val="32"/>
          <w:szCs w:val="32"/>
        </w:rPr>
        <w:t>2021年，文化馆、图书馆到乡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、学校、部队等地开展流动服务40余次。向广大群众宣传《公共图书馆法》《公共文化服务保障法》、森林草原防灭火、疫情防控、扫黑除恶、禁毒防艾、环境卫生等知识，深受老百姓欢迎</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根据广大群众精神文化需求，坚持以文化人、以文育人的原则，创作群众喜闻乐见的文艺节目，2021年，文化馆和图书馆到乡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开展送文化下乡45场，服务群众22000余人次。</w:t>
      </w:r>
    </w:p>
    <w:p>
      <w:pPr>
        <w:ind w:firstLine="643" w:firstLineChars="200"/>
        <w:rPr>
          <w:rFonts w:ascii="仿宋_GB2312" w:hAnsi="仿宋_GB2312" w:eastAsia="仿宋_GB2312" w:cs="仿宋_GB2312"/>
          <w:bCs/>
          <w:sz w:val="32"/>
          <w:szCs w:val="32"/>
        </w:rPr>
      </w:pPr>
      <w:r>
        <w:rPr>
          <w:rFonts w:hint="eastAsia" w:ascii="方正楷体_GB2312" w:hAnsi="方正楷体_GB2312" w:eastAsia="方正楷体_GB2312" w:cs="方正楷体_GB2312"/>
          <w:b/>
          <w:bCs/>
          <w:sz w:val="32"/>
          <w:szCs w:val="32"/>
          <w:lang w:eastAsia="zh-CN"/>
        </w:rPr>
        <w:t>（三）</w:t>
      </w:r>
      <w:r>
        <w:rPr>
          <w:rFonts w:hint="eastAsia" w:ascii="方正楷体_GB2312" w:hAnsi="方正楷体_GB2312" w:eastAsia="方正楷体_GB2312" w:cs="方正楷体_GB2312"/>
          <w:b/>
          <w:bCs/>
          <w:sz w:val="32"/>
          <w:szCs w:val="32"/>
        </w:rPr>
        <w:t>积极参加省市各类活动。</w:t>
      </w:r>
      <w:r>
        <w:rPr>
          <w:rFonts w:hint="eastAsia" w:ascii="仿宋_GB2312" w:hAnsi="仿宋_GB2312" w:eastAsia="仿宋_GB2312" w:cs="仿宋_GB2312"/>
          <w:sz w:val="32"/>
          <w:szCs w:val="32"/>
        </w:rPr>
        <w:t>文化馆精心组织编排本土</w:t>
      </w:r>
      <w:r>
        <w:rPr>
          <w:rFonts w:hint="eastAsia" w:ascii="仿宋_GB2312" w:hAnsi="仿宋_GB2312" w:eastAsia="仿宋_GB2312" w:cs="仿宋_GB2312"/>
          <w:sz w:val="32"/>
          <w:szCs w:val="32"/>
          <w:lang w:eastAsia="zh-CN"/>
        </w:rPr>
        <w:t>特色</w:t>
      </w:r>
      <w:r>
        <w:rPr>
          <w:rFonts w:hint="eastAsia" w:ascii="仿宋_GB2312" w:hAnsi="仿宋_GB2312" w:eastAsia="仿宋_GB2312" w:cs="仿宋_GB2312"/>
          <w:sz w:val="32"/>
          <w:szCs w:val="32"/>
        </w:rPr>
        <w:t>舞蹈《夫织夫朵》参加“英雄攀枝花 颂歌献给党”攀枝花市庆祝中国共产党成立100周年广场</w:t>
      </w:r>
      <w:r>
        <w:rPr>
          <w:rFonts w:hint="eastAsia" w:ascii="仿宋_GB2312" w:hAnsi="仿宋_GB2312" w:eastAsia="仿宋_GB2312" w:cs="仿宋_GB2312"/>
          <w:sz w:val="32"/>
          <w:szCs w:val="32"/>
          <w:lang w:eastAsia="zh-CN"/>
        </w:rPr>
        <w:t>舞</w:t>
      </w:r>
      <w:r>
        <w:rPr>
          <w:rFonts w:hint="eastAsia" w:ascii="仿宋_GB2312" w:hAnsi="仿宋_GB2312" w:eastAsia="仿宋_GB2312" w:cs="仿宋_GB2312"/>
          <w:sz w:val="32"/>
          <w:szCs w:val="32"/>
        </w:rPr>
        <w:t>比赛展演荣获一等奖</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歌曲《攀枝花开红艳艳》参加“英雄攀枝花 颂歌献给党”攀枝花市庆祝中国共产党成立100周年合唱比赛展演荣获三等奖</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该歌曲同时获得乡村好声音第三季金奖金曲</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组织盐边县原创特色歌曲《孜莫拉》《水墨二滩》《滋味盐边》《攀枝花开红艳艳》参加</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夏一站攀枝花</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寻觅山水滋味盐边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成都、眉山、重庆城市品牌推荐</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歌曲《滋味盐边》参加</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音你而来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第二季展播。</w:t>
      </w:r>
    </w:p>
    <w:p>
      <w:pPr>
        <w:ind w:firstLine="643" w:firstLineChars="200"/>
        <w:rPr>
          <w:rFonts w:ascii="仿宋_GB2312" w:hAnsi="仿宋_GB2312" w:eastAsia="仿宋_GB2312" w:cs="仿宋_GB2312"/>
          <w:sz w:val="32"/>
          <w:szCs w:val="32"/>
        </w:rPr>
      </w:pPr>
      <w:r>
        <w:rPr>
          <w:rFonts w:hint="eastAsia" w:ascii="方正楷体_GB2312" w:hAnsi="方正楷体_GB2312" w:eastAsia="方正楷体_GB2312" w:cs="方正楷体_GB2312"/>
          <w:b/>
          <w:sz w:val="32"/>
          <w:szCs w:val="32"/>
          <w:lang w:eastAsia="zh-CN"/>
        </w:rPr>
        <w:t>（四）</w:t>
      </w:r>
      <w:r>
        <w:rPr>
          <w:rFonts w:hint="eastAsia" w:ascii="方正楷体_GB2312" w:hAnsi="方正楷体_GB2312" w:eastAsia="方正楷体_GB2312" w:cs="方正楷体_GB2312"/>
          <w:b/>
          <w:sz w:val="32"/>
          <w:szCs w:val="32"/>
        </w:rPr>
        <w:t>加强艺术创作。</w:t>
      </w:r>
      <w:r>
        <w:rPr>
          <w:rFonts w:hint="eastAsia" w:ascii="仿宋_GB2312" w:hAnsi="仿宋_GB2312" w:eastAsia="仿宋_GB2312" w:cs="仿宋_GB2312"/>
          <w:bCs/>
          <w:sz w:val="32"/>
          <w:szCs w:val="32"/>
        </w:rPr>
        <w:t>2021年，</w:t>
      </w:r>
      <w:r>
        <w:rPr>
          <w:rFonts w:hint="eastAsia" w:ascii="仿宋_GB2312" w:hAnsi="仿宋_GB2312" w:eastAsia="仿宋_GB2312" w:cs="仿宋_GB2312"/>
          <w:sz w:val="32"/>
          <w:szCs w:val="32"/>
        </w:rPr>
        <w:t>创作特色歌曲《金芒果》《你有一个“土”的名字》《一杯桑葚酒醉我一千年》和《蜀云谣》，舞蹈《尼扎嫫》及《夫织夫朵》，小品《百年变化》和《滋味盐边》，创作美术书法和摄影作品100余件。</w:t>
      </w:r>
    </w:p>
    <w:p>
      <w:pPr>
        <w:ind w:firstLine="643" w:firstLineChars="200"/>
        <w:rPr>
          <w:rFonts w:ascii="仿宋_GB2312" w:hAnsi="仿宋_GB2312" w:eastAsia="仿宋_GB2312" w:cs="仿宋_GB2312"/>
          <w:sz w:val="32"/>
          <w:szCs w:val="32"/>
        </w:rPr>
      </w:pPr>
      <w:r>
        <w:rPr>
          <w:rFonts w:hint="eastAsia" w:ascii="方正楷体_GB2312" w:hAnsi="方正楷体_GB2312" w:eastAsia="方正楷体_GB2312" w:cs="方正楷体_GB2312"/>
          <w:b/>
          <w:bCs/>
          <w:sz w:val="32"/>
          <w:szCs w:val="32"/>
          <w:lang w:eastAsia="zh-CN"/>
        </w:rPr>
        <w:t>（五）</w:t>
      </w:r>
      <w:r>
        <w:rPr>
          <w:rFonts w:hint="eastAsia" w:ascii="方正楷体_GB2312" w:hAnsi="方正楷体_GB2312" w:eastAsia="方正楷体_GB2312" w:cs="方正楷体_GB2312"/>
          <w:b/>
          <w:bCs/>
          <w:sz w:val="32"/>
          <w:szCs w:val="32"/>
        </w:rPr>
        <w:t>圆满完成文化馆评估定级工作。</w:t>
      </w:r>
      <w:r>
        <w:rPr>
          <w:rFonts w:hint="eastAsia" w:ascii="仿宋_GB2312" w:hAnsi="仿宋_GB2312" w:eastAsia="仿宋_GB2312" w:cs="仿宋_GB2312"/>
          <w:sz w:val="32"/>
          <w:szCs w:val="32"/>
        </w:rPr>
        <w:t>文化馆参加2021年文化和旅游部公共服务司第五次全国文化馆评估定级，被评为“国家一级文化馆”。</w:t>
      </w:r>
    </w:p>
    <w:p>
      <w:pPr>
        <w:spacing w:line="520" w:lineRule="exact"/>
        <w:ind w:firstLine="643" w:firstLineChars="200"/>
        <w:jc w:val="left"/>
        <w:rPr>
          <w:rFonts w:ascii="仿宋_GB2312" w:hAnsi="仿宋_GB2312" w:eastAsia="仿宋_GB2312" w:cs="仿宋_GB2312"/>
          <w:sz w:val="32"/>
          <w:szCs w:val="32"/>
        </w:rPr>
      </w:pPr>
      <w:r>
        <w:rPr>
          <w:rFonts w:hint="eastAsia" w:ascii="方正楷体_GB2312" w:hAnsi="方正楷体_GB2312" w:eastAsia="方正楷体_GB2312" w:cs="方正楷体_GB2312"/>
          <w:b/>
          <w:bCs/>
          <w:sz w:val="32"/>
          <w:szCs w:val="32"/>
          <w:lang w:eastAsia="zh-CN"/>
        </w:rPr>
        <w:t>（六）</w:t>
      </w:r>
      <w:r>
        <w:rPr>
          <w:rFonts w:hint="eastAsia" w:ascii="方正楷体_GB2312" w:hAnsi="方正楷体_GB2312" w:eastAsia="方正楷体_GB2312" w:cs="方正楷体_GB2312"/>
          <w:b/>
          <w:bCs/>
          <w:sz w:val="32"/>
          <w:szCs w:val="32"/>
        </w:rPr>
        <w:t>加强免费开放服务。</w:t>
      </w:r>
      <w:r>
        <w:rPr>
          <w:rFonts w:hint="eastAsia" w:ascii="仿宋_GB2312" w:hAnsi="仿宋_GB2312" w:eastAsia="仿宋_GB2312" w:cs="仿宋_GB2312"/>
          <w:sz w:val="32"/>
          <w:szCs w:val="32"/>
        </w:rPr>
        <w:t>盐边县文化馆每天免费开放，图书馆除周二闭馆外，每天免费向公众开放，每周开放时间不少于60小时，节假日实施错时延时开放。</w:t>
      </w:r>
    </w:p>
    <w:p>
      <w:pPr>
        <w:spacing w:line="520" w:lineRule="exact"/>
        <w:ind w:firstLine="643" w:firstLineChars="200"/>
        <w:jc w:val="left"/>
        <w:rPr>
          <w:rFonts w:ascii="仿宋_GB2312" w:hAnsi="仿宋_GB2312" w:eastAsia="仿宋_GB2312" w:cs="仿宋_GB2312"/>
          <w:kern w:val="0"/>
          <w:sz w:val="32"/>
          <w:szCs w:val="32"/>
        </w:rPr>
      </w:pPr>
      <w:r>
        <w:rPr>
          <w:rFonts w:hint="eastAsia" w:ascii="方正楷体_GB2312" w:hAnsi="方正楷体_GB2312" w:eastAsia="方正楷体_GB2312" w:cs="方正楷体_GB2312"/>
          <w:b/>
          <w:bCs/>
          <w:kern w:val="0"/>
          <w:sz w:val="32"/>
          <w:szCs w:val="32"/>
          <w:lang w:eastAsia="zh-CN"/>
        </w:rPr>
        <w:t>（七）</w:t>
      </w:r>
      <w:r>
        <w:rPr>
          <w:rFonts w:hint="eastAsia" w:ascii="方正楷体_GB2312" w:hAnsi="方正楷体_GB2312" w:eastAsia="方正楷体_GB2312" w:cs="方正楷体_GB2312"/>
          <w:b/>
          <w:bCs/>
          <w:kern w:val="0"/>
          <w:sz w:val="32"/>
          <w:szCs w:val="32"/>
        </w:rPr>
        <w:t>继续推进总分馆制建设。</w:t>
      </w:r>
      <w:r>
        <w:rPr>
          <w:rFonts w:hint="eastAsia" w:ascii="仿宋_GB2312" w:hAnsi="仿宋_GB2312" w:eastAsia="仿宋_GB2312" w:cs="仿宋_GB2312"/>
          <w:kern w:val="0"/>
          <w:sz w:val="32"/>
          <w:szCs w:val="32"/>
        </w:rPr>
        <w:t>2021年，盐边县图书馆新建</w:t>
      </w:r>
      <w:r>
        <w:rPr>
          <w:rFonts w:hint="eastAsia" w:ascii="仿宋_GB2312" w:hAnsi="仿宋_GB2312" w:eastAsia="仿宋_GB2312" w:cs="仿宋_GB2312"/>
          <w:kern w:val="0"/>
          <w:sz w:val="32"/>
          <w:szCs w:val="32"/>
          <w:lang w:val="en-US" w:eastAsia="zh-CN"/>
        </w:rPr>
        <w:t>8</w:t>
      </w:r>
      <w:r>
        <w:rPr>
          <w:rFonts w:hint="eastAsia" w:ascii="仿宋_GB2312" w:hAnsi="仿宋_GB2312" w:eastAsia="仿宋_GB2312" w:cs="仿宋_GB2312"/>
          <w:kern w:val="0"/>
          <w:sz w:val="32"/>
          <w:szCs w:val="32"/>
        </w:rPr>
        <w:t>个分馆，截止目前，已建成图书馆分馆13个，阅读服务点4个，实现了图书馆乡</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镇</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分馆全覆盖建设。县图书馆不定期对分馆进行业务指导，开展辅导培训。</w:t>
      </w:r>
    </w:p>
    <w:p>
      <w:pPr>
        <w:ind w:firstLine="643" w:firstLineChars="200"/>
        <w:jc w:val="left"/>
        <w:rPr>
          <w:rFonts w:ascii="仿宋_GB2312" w:hAnsi="仿宋_GB2312" w:eastAsia="仿宋_GB2312" w:cs="仿宋_GB2312"/>
          <w:sz w:val="32"/>
          <w:szCs w:val="32"/>
        </w:rPr>
      </w:pPr>
      <w:r>
        <w:rPr>
          <w:rFonts w:hint="eastAsia" w:ascii="方正楷体_GB2312" w:hAnsi="方正楷体_GB2312" w:eastAsia="方正楷体_GB2312" w:cs="方正楷体_GB2312"/>
          <w:b/>
          <w:bCs/>
          <w:sz w:val="32"/>
          <w:szCs w:val="32"/>
          <w:lang w:eastAsia="zh-CN"/>
        </w:rPr>
        <w:t>（八）</w:t>
      </w:r>
      <w:r>
        <w:rPr>
          <w:rFonts w:hint="eastAsia" w:ascii="方正楷体_GB2312" w:hAnsi="方正楷体_GB2312" w:eastAsia="方正楷体_GB2312" w:cs="方正楷体_GB2312"/>
          <w:b/>
          <w:bCs/>
          <w:sz w:val="32"/>
          <w:szCs w:val="32"/>
        </w:rPr>
        <w:t>如期完成文物安全检查及复古维修工程。</w:t>
      </w:r>
      <w:r>
        <w:rPr>
          <w:rFonts w:hint="eastAsia" w:ascii="仿宋_GB2312" w:hAnsi="仿宋_GB2312" w:eastAsia="仿宋_GB2312" w:cs="仿宋_GB2312"/>
          <w:sz w:val="32"/>
          <w:szCs w:val="32"/>
        </w:rPr>
        <w:t>不定期的对全县文物保护单位进行消防、防汛、防盗等安全隐患的排查，并在消防隐患重点文物</w:t>
      </w:r>
      <w:r>
        <w:rPr>
          <w:rFonts w:hint="eastAsia" w:ascii="仿宋_GB2312" w:hAnsi="仿宋_GB2312" w:eastAsia="仿宋_GB2312" w:cs="仿宋_GB2312"/>
          <w:sz w:val="32"/>
          <w:szCs w:val="32"/>
          <w:lang w:eastAsia="zh-CN"/>
        </w:rPr>
        <w:t>保护</w:t>
      </w:r>
      <w:r>
        <w:rPr>
          <w:rFonts w:hint="eastAsia" w:ascii="仿宋_GB2312" w:hAnsi="仿宋_GB2312" w:eastAsia="仿宋_GB2312" w:cs="仿宋_GB2312"/>
          <w:sz w:val="32"/>
          <w:szCs w:val="32"/>
        </w:rPr>
        <w:t>单位开展安全演练和宣讲；完</w:t>
      </w:r>
      <w:r>
        <w:rPr>
          <w:rFonts w:hint="eastAsia" w:ascii="仿宋_GB2312" w:hAnsi="仿宋_GB2312" w:eastAsia="仿宋_GB2312" w:cs="仿宋_GB2312"/>
          <w:sz w:val="32"/>
          <w:szCs w:val="32"/>
          <w:lang w:eastAsia="zh-CN"/>
        </w:rPr>
        <w:t>成</w:t>
      </w:r>
      <w:r>
        <w:rPr>
          <w:rFonts w:hint="eastAsia" w:ascii="仿宋_GB2312" w:hAnsi="仿宋_GB2312" w:eastAsia="仿宋_GB2312" w:cs="仿宋_GB2312"/>
          <w:sz w:val="32"/>
          <w:szCs w:val="32"/>
        </w:rPr>
        <w:t>对红格下坝子考古遗址地形图绘制；完成惠民镇省级文物保护单位刘家印子</w:t>
      </w:r>
      <w:r>
        <w:rPr>
          <w:rFonts w:hint="eastAsia" w:ascii="仿宋_GB2312" w:hAnsi="仿宋_GB2312" w:eastAsia="仿宋_GB2312" w:cs="仿宋_GB2312"/>
          <w:sz w:val="32"/>
          <w:szCs w:val="32"/>
          <w:lang w:eastAsia="zh-CN"/>
        </w:rPr>
        <w:t>房</w:t>
      </w:r>
      <w:r>
        <w:rPr>
          <w:rFonts w:hint="eastAsia" w:ascii="仿宋_GB2312" w:hAnsi="仿宋_GB2312" w:eastAsia="仿宋_GB2312" w:cs="仿宋_GB2312"/>
          <w:sz w:val="32"/>
          <w:szCs w:val="32"/>
        </w:rPr>
        <w:t>白蚁治理工作。</w:t>
      </w:r>
    </w:p>
    <w:p>
      <w:pPr>
        <w:ind w:firstLine="643" w:firstLineChars="200"/>
        <w:rPr>
          <w:rFonts w:ascii="仿宋_GB2312" w:hAnsi="仿宋_GB2312" w:eastAsia="仿宋_GB2312" w:cs="仿宋_GB2312"/>
          <w:bCs/>
          <w:sz w:val="32"/>
          <w:szCs w:val="32"/>
        </w:rPr>
      </w:pPr>
      <w:r>
        <w:rPr>
          <w:rFonts w:hint="eastAsia" w:ascii="方正楷体_GB2312" w:hAnsi="方正楷体_GB2312" w:eastAsia="方正楷体_GB2312" w:cs="方正楷体_GB2312"/>
          <w:b/>
          <w:sz w:val="32"/>
          <w:szCs w:val="32"/>
          <w:lang w:eastAsia="zh-CN"/>
        </w:rPr>
        <w:t>（九）</w:t>
      </w:r>
      <w:r>
        <w:rPr>
          <w:rFonts w:hint="eastAsia" w:ascii="方正楷体_GB2312" w:hAnsi="方正楷体_GB2312" w:eastAsia="方正楷体_GB2312" w:cs="方正楷体_GB2312"/>
          <w:b/>
          <w:sz w:val="32"/>
          <w:szCs w:val="32"/>
        </w:rPr>
        <w:t>加强非遗保护工作。</w:t>
      </w:r>
      <w:r>
        <w:rPr>
          <w:rFonts w:hint="eastAsia" w:ascii="仿宋_GB2312" w:hAnsi="仿宋_GB2312" w:eastAsia="仿宋_GB2312" w:cs="仿宋_GB2312"/>
          <w:bCs/>
          <w:sz w:val="32"/>
          <w:szCs w:val="32"/>
        </w:rPr>
        <w:t>一是</w:t>
      </w:r>
      <w:r>
        <w:rPr>
          <w:rFonts w:hint="eastAsia" w:ascii="仿宋_GB2312" w:hAnsi="仿宋_GB2312" w:eastAsia="仿宋_GB2312" w:cs="仿宋_GB2312"/>
          <w:sz w:val="32"/>
          <w:szCs w:val="32"/>
        </w:rPr>
        <w:t>完成四川省第3、4、5批非遗图典编写工作（盐边5项）。二是</w:t>
      </w:r>
      <w:r>
        <w:rPr>
          <w:rFonts w:hint="eastAsia" w:ascii="仿宋_GB2312" w:hAnsi="仿宋_GB2312" w:eastAsia="仿宋_GB2312" w:cs="仿宋_GB2312"/>
          <w:sz w:val="32"/>
          <w:szCs w:val="32"/>
          <w:lang w:eastAsia="zh-CN"/>
        </w:rPr>
        <w:t>成功申报侯兴友、谷万里为</w:t>
      </w:r>
      <w:r>
        <w:rPr>
          <w:rFonts w:hint="eastAsia" w:ascii="仿宋_GB2312" w:hAnsi="仿宋_GB2312" w:eastAsia="仿宋_GB2312" w:cs="仿宋_GB2312"/>
          <w:sz w:val="32"/>
          <w:szCs w:val="32"/>
        </w:rPr>
        <w:t>省级第七批代表性传承人。三是组织县级及以上代表性传承人参加盐边县2021年基层文化专干培训。四是</w:t>
      </w:r>
      <w:r>
        <w:rPr>
          <w:rFonts w:hint="eastAsia" w:ascii="仿宋_GB2312" w:hAnsi="仿宋_GB2312" w:eastAsia="仿宋_GB2312" w:cs="仿宋_GB2312"/>
          <w:bCs/>
          <w:sz w:val="32"/>
          <w:szCs w:val="32"/>
        </w:rPr>
        <w:t>推荐和组织“攀乡旗舰店”和“攀枝花笮山若水国胜茶”两家网店参加第二届“四川非遗购物节”</w:t>
      </w:r>
      <w:r>
        <w:rPr>
          <w:rFonts w:hint="eastAsia" w:ascii="仿宋_GB2312" w:hAnsi="仿宋_GB2312" w:eastAsia="仿宋_GB2312" w:cs="仿宋_GB2312"/>
          <w:bCs/>
          <w:sz w:val="32"/>
          <w:szCs w:val="32"/>
          <w:lang w:eastAsia="zh-CN"/>
        </w:rPr>
        <w:t>和</w:t>
      </w:r>
      <w:r>
        <w:rPr>
          <w:rFonts w:hint="eastAsia" w:ascii="仿宋_GB2312" w:hAnsi="仿宋_GB2312" w:eastAsia="仿宋_GB2312" w:cs="仿宋_GB2312"/>
          <w:bCs/>
          <w:sz w:val="32"/>
          <w:szCs w:val="32"/>
        </w:rPr>
        <w:t>电商网络平台销售活动。拍摄和推荐“盐边油底肉制作技艺”和“浑浆豆花制作技艺”两个市级非遗项目视频作为天府旅游美食参加“云游四川·非遗影像展”。录制</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笮山锅庄</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项目党员传承人沙陇“百年百技  艺心向党”宣传视频。2021年6月9日-12日，</w:t>
      </w:r>
      <w:r>
        <w:rPr>
          <w:rFonts w:hint="eastAsia" w:ascii="仿宋_GB2312" w:hAnsi="仿宋_GB2312" w:eastAsia="仿宋_GB2312" w:cs="仿宋_GB2312"/>
          <w:bCs/>
          <w:sz w:val="32"/>
          <w:szCs w:val="32"/>
          <w:lang w:eastAsia="zh-CN"/>
        </w:rPr>
        <w:t>组织</w:t>
      </w:r>
      <w:r>
        <w:rPr>
          <w:rFonts w:hint="eastAsia" w:ascii="仿宋_GB2312" w:hAnsi="仿宋_GB2312" w:eastAsia="仿宋_GB2312" w:cs="仿宋_GB2312"/>
          <w:bCs/>
          <w:sz w:val="32"/>
          <w:szCs w:val="32"/>
        </w:rPr>
        <w:t>盐边县红果乡三滩村绣娘贺正容和李艳赴广元参加“百绣百年颂党恩”首届川渝非遗绣活大赛决赛活动，并</w:t>
      </w:r>
      <w:r>
        <w:rPr>
          <w:rFonts w:hint="eastAsia" w:ascii="仿宋_GB2312" w:hAnsi="仿宋_GB2312" w:eastAsia="仿宋_GB2312" w:cs="仿宋_GB2312"/>
          <w:bCs/>
          <w:sz w:val="32"/>
          <w:szCs w:val="32"/>
          <w:lang w:eastAsia="zh-CN"/>
        </w:rPr>
        <w:t>获</w:t>
      </w:r>
      <w:r>
        <w:rPr>
          <w:rFonts w:hint="eastAsia" w:ascii="仿宋_GB2312" w:hAnsi="仿宋_GB2312" w:eastAsia="仿宋_GB2312" w:cs="仿宋_GB2312"/>
          <w:bCs/>
          <w:sz w:val="32"/>
          <w:szCs w:val="32"/>
        </w:rPr>
        <w:t>得铜奖，傈僳</w:t>
      </w:r>
      <w:r>
        <w:rPr>
          <w:rFonts w:hint="eastAsia" w:ascii="仿宋_GB2312" w:hAnsi="仿宋_GB2312" w:eastAsia="仿宋_GB2312" w:cs="仿宋_GB2312"/>
          <w:bCs/>
          <w:sz w:val="32"/>
          <w:szCs w:val="32"/>
          <w:lang w:eastAsia="zh-CN"/>
        </w:rPr>
        <w:t>族</w:t>
      </w:r>
      <w:r>
        <w:rPr>
          <w:rFonts w:hint="eastAsia" w:ascii="仿宋_GB2312" w:hAnsi="仿宋_GB2312" w:eastAsia="仿宋_GB2312" w:cs="仿宋_GB2312"/>
          <w:bCs/>
          <w:sz w:val="32"/>
          <w:szCs w:val="32"/>
        </w:rPr>
        <w:t>服饰参</w:t>
      </w:r>
      <w:r>
        <w:rPr>
          <w:rFonts w:hint="eastAsia" w:ascii="仿宋_GB2312" w:hAnsi="仿宋_GB2312" w:eastAsia="仿宋_GB2312" w:cs="仿宋_GB2312"/>
          <w:bCs/>
          <w:sz w:val="32"/>
          <w:szCs w:val="32"/>
          <w:lang w:eastAsia="zh-CN"/>
        </w:rPr>
        <w:t>加</w:t>
      </w:r>
      <w:r>
        <w:rPr>
          <w:rFonts w:hint="eastAsia" w:ascii="仿宋_GB2312" w:hAnsi="仿宋_GB2312" w:eastAsia="仿宋_GB2312" w:cs="仿宋_GB2312"/>
          <w:bCs/>
          <w:sz w:val="32"/>
          <w:szCs w:val="32"/>
        </w:rPr>
        <w:t>“国风西南艺术重庆”时尚盛典</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同时，我县傈僳族原生态唱法、葫芦笙、三弦音乐融合参与展示。</w:t>
      </w:r>
    </w:p>
    <w:p>
      <w:pPr>
        <w:ind w:firstLine="640" w:firstLineChars="200"/>
        <w:jc w:val="left"/>
        <w:rPr>
          <w:rFonts w:ascii="仿宋_GB2312" w:hAnsi="仿宋" w:eastAsia="仿宋_GB2312"/>
          <w:sz w:val="32"/>
          <w:szCs w:val="32"/>
        </w:rPr>
      </w:pPr>
    </w:p>
    <w:p/>
    <w:p>
      <w:pPr>
        <w:widowControl/>
        <w:jc w:val="left"/>
        <w:rPr>
          <w:rFonts w:ascii="仿宋" w:hAnsi="仿宋" w:eastAsia="仿宋"/>
          <w:kern w:val="0"/>
          <w:sz w:val="32"/>
          <w:szCs w:val="32"/>
        </w:rPr>
      </w:pPr>
      <w:r>
        <w:rPr>
          <w:rFonts w:ascii="仿宋" w:hAnsi="仿宋" w:eastAsia="仿宋"/>
          <w:sz w:val="32"/>
          <w:szCs w:val="32"/>
        </w:rPr>
        <w:br w:type="page"/>
      </w:r>
    </w:p>
    <w:p>
      <w:pPr>
        <w:pStyle w:val="3"/>
        <w:ind w:right="440"/>
        <w:jc w:val="center"/>
        <w:rPr>
          <w:rStyle w:val="24"/>
          <w:rFonts w:ascii="黑体" w:hAnsi="黑体" w:eastAsia="黑体"/>
          <w:b w:val="0"/>
          <w:bCs/>
        </w:rPr>
      </w:pPr>
      <w:bookmarkStart w:id="16" w:name="_Toc15396602"/>
      <w:bookmarkStart w:id="17" w:name="_Toc15377204"/>
      <w:r>
        <w:rPr>
          <w:rFonts w:hint="eastAsia" w:ascii="黑体" w:hAnsi="黑体" w:eastAsia="黑体"/>
          <w:b w:val="0"/>
        </w:rPr>
        <w:t>第二部分 2021年度</w:t>
      </w:r>
      <w:r>
        <w:rPr>
          <w:rStyle w:val="24"/>
          <w:rFonts w:hint="eastAsia" w:ascii="黑体" w:hAnsi="黑体" w:eastAsia="黑体"/>
          <w:b w:val="0"/>
          <w:bCs/>
        </w:rPr>
        <w:t>单位决算情况说明</w:t>
      </w:r>
      <w:bookmarkEnd w:id="16"/>
      <w:bookmarkEnd w:id="17"/>
    </w:p>
    <w:p/>
    <w:p>
      <w:pPr>
        <w:pStyle w:val="23"/>
        <w:numPr>
          <w:ilvl w:val="0"/>
          <w:numId w:val="2"/>
        </w:numPr>
        <w:spacing w:line="600" w:lineRule="exact"/>
        <w:ind w:firstLineChars="0"/>
        <w:outlineLvl w:val="1"/>
        <w:rPr>
          <w:rStyle w:val="25"/>
          <w:rFonts w:ascii="黑体" w:hAnsi="黑体" w:eastAsia="黑体"/>
          <w:b w:val="0"/>
        </w:rPr>
      </w:pPr>
      <w:bookmarkStart w:id="18" w:name="_Toc15396603"/>
      <w:bookmarkStart w:id="19" w:name="_Toc15377205"/>
      <w:r>
        <w:rPr>
          <w:rFonts w:hint="eastAsia" w:ascii="黑体" w:hAnsi="黑体" w:eastAsia="黑体"/>
          <w:sz w:val="32"/>
          <w:szCs w:val="32"/>
        </w:rPr>
        <w:t>收</w:t>
      </w:r>
      <w:r>
        <w:rPr>
          <w:rStyle w:val="25"/>
          <w:rFonts w:hint="eastAsia" w:ascii="黑体" w:hAnsi="黑体" w:eastAsia="黑体"/>
          <w:b w:val="0"/>
        </w:rPr>
        <w:t>入支出决算总体情况说明</w:t>
      </w:r>
      <w:bookmarkEnd w:id="18"/>
      <w:bookmarkEnd w:id="19"/>
    </w:p>
    <w:p>
      <w:pPr>
        <w:spacing w:line="600" w:lineRule="exact"/>
        <w:ind w:firstLine="640" w:firstLineChars="200"/>
        <w:rPr>
          <w:rFonts w:hint="eastAsia" w:ascii="仿宋_GB2312" w:hAnsi="仿宋_GB2312" w:eastAsia="仿宋_GB2312" w:cs="仿宋_GB2312"/>
          <w:color w:val="FF0000"/>
          <w:sz w:val="32"/>
          <w:szCs w:val="32"/>
          <w:lang w:eastAsia="zh-CN"/>
        </w:rPr>
      </w:pPr>
      <w:r>
        <w:rPr>
          <w:rFonts w:hint="eastAsia" w:ascii="仿宋_GB2312" w:hAnsi="仿宋_GB2312" w:eastAsia="仿宋_GB2312" w:cs="仿宋_GB2312"/>
          <w:sz w:val="32"/>
          <w:szCs w:val="32"/>
        </w:rPr>
        <w:t>2021年度收、支总计268.41万元。与2020年相比，收、支总计各增加110.44万元，增长69.91%。主要变动原因</w:t>
      </w:r>
      <w:r>
        <w:rPr>
          <w:rFonts w:hint="eastAsia" w:ascii="仿宋_GB2312" w:hAnsi="仿宋_GB2312" w:eastAsia="仿宋_GB2312" w:cs="仿宋_GB2312"/>
          <w:sz w:val="32"/>
          <w:szCs w:val="32"/>
          <w:lang w:eastAsia="zh-CN"/>
        </w:rPr>
        <w:t>是增加创建国家公共文化服务体系示范区项目经费。</w:t>
      </w:r>
    </w:p>
    <w:p>
      <w:pPr>
        <w:spacing w:line="600" w:lineRule="exact"/>
        <w:ind w:firstLine="640" w:firstLineChars="200"/>
        <w:rPr>
          <w:rStyle w:val="25"/>
          <w:rFonts w:ascii="黑体" w:hAnsi="黑体" w:eastAsia="黑体"/>
          <w:b w:val="0"/>
        </w:rPr>
      </w:pPr>
      <w:r>
        <w:rPr>
          <w:rFonts w:hint="eastAsia" w:ascii="仿宋" w:hAnsi="仿宋" w:eastAsia="仿宋"/>
          <w:sz w:val="32"/>
          <w:szCs w:val="32"/>
        </w:rPr>
        <w:drawing>
          <wp:anchor distT="0" distB="0" distL="114300" distR="114300" simplePos="0" relativeHeight="251659264" behindDoc="0" locked="0" layoutInCell="1" allowOverlap="1">
            <wp:simplePos x="0" y="0"/>
            <wp:positionH relativeFrom="column">
              <wp:posOffset>-102870</wp:posOffset>
            </wp:positionH>
            <wp:positionV relativeFrom="paragraph">
              <wp:posOffset>133985</wp:posOffset>
            </wp:positionV>
            <wp:extent cx="5287645" cy="3051810"/>
            <wp:effectExtent l="19050" t="0" r="27305" b="0"/>
            <wp:wrapSquare wrapText="bothSides"/>
            <wp:docPr id="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bookmarkStart w:id="20" w:name="_Toc15396604"/>
      <w:bookmarkStart w:id="21" w:name="_Toc15377206"/>
      <w:r>
        <w:rPr>
          <w:rFonts w:hint="eastAsia" w:ascii="黑体" w:hAnsi="黑体" w:eastAsia="黑体"/>
          <w:sz w:val="32"/>
          <w:szCs w:val="32"/>
        </w:rPr>
        <w:t>二、收</w:t>
      </w:r>
      <w:r>
        <w:rPr>
          <w:rStyle w:val="25"/>
          <w:rFonts w:hint="eastAsia" w:ascii="黑体" w:hAnsi="黑体" w:eastAsia="黑体"/>
          <w:b w:val="0"/>
        </w:rPr>
        <w:t>入决算情况说明</w:t>
      </w:r>
      <w:bookmarkEnd w:id="20"/>
      <w:bookmarkEnd w:id="21"/>
    </w:p>
    <w:p>
      <w:pPr>
        <w:spacing w:line="600" w:lineRule="exact"/>
        <w:ind w:firstLine="640" w:firstLineChars="200"/>
        <w:outlineLvl w:val="1"/>
        <w:rPr>
          <w:rFonts w:ascii="仿宋" w:hAnsi="仿宋" w:eastAsia="仿宋"/>
          <w:sz w:val="32"/>
          <w:szCs w:val="32"/>
        </w:rPr>
      </w:pPr>
      <w:r>
        <w:rPr>
          <w:rFonts w:hint="eastAsia" w:ascii="仿宋_GB2312" w:hAnsi="仿宋_GB2312" w:eastAsia="仿宋_GB2312" w:cs="仿宋_GB2312"/>
          <w:sz w:val="32"/>
          <w:szCs w:val="32"/>
        </w:rPr>
        <w:t>2021年本年收入合计261.14万元，其中：一般公共预算财政拨款收入261.14万元，占100%；政府性基金预算财政拨款收入0万元，占0%；国有资本经营预算财政拨款收入0万元，占0%；上级补助收入0万元，占0%；事业收入0万元，占0%；经营收入0万元，占0%；附属单位上缴收入0万元，占0%；其他收入0万元，占0%。</w:t>
      </w:r>
    </w:p>
    <w:p>
      <w:pPr>
        <w:spacing w:line="600" w:lineRule="exact"/>
        <w:ind w:firstLine="643" w:firstLineChars="200"/>
        <w:outlineLvl w:val="1"/>
        <w:rPr>
          <w:rFonts w:ascii="仿宋" w:hAnsi="仿宋" w:eastAsia="仿宋"/>
          <w:b/>
          <w:sz w:val="32"/>
          <w:szCs w:val="32"/>
        </w:rPr>
      </w:pPr>
    </w:p>
    <w:p>
      <w:pPr>
        <w:spacing w:line="600" w:lineRule="exact"/>
        <w:ind w:firstLine="643" w:firstLineChars="200"/>
        <w:rPr>
          <w:rFonts w:ascii="仿宋" w:hAnsi="仿宋" w:eastAsia="仿宋"/>
          <w:sz w:val="32"/>
          <w:szCs w:val="32"/>
        </w:rPr>
      </w:pPr>
      <w:r>
        <w:rPr>
          <w:rFonts w:hint="eastAsia" w:ascii="仿宋" w:hAnsi="仿宋" w:eastAsia="仿宋"/>
          <w:b/>
          <w:sz w:val="32"/>
          <w:szCs w:val="32"/>
        </w:rPr>
        <w:drawing>
          <wp:anchor distT="0" distB="0" distL="114300" distR="114300" simplePos="0" relativeHeight="251660288" behindDoc="0" locked="0" layoutInCell="1" allowOverlap="1">
            <wp:simplePos x="0" y="0"/>
            <wp:positionH relativeFrom="column">
              <wp:posOffset>179705</wp:posOffset>
            </wp:positionH>
            <wp:positionV relativeFrom="paragraph">
              <wp:posOffset>383540</wp:posOffset>
            </wp:positionV>
            <wp:extent cx="5290185" cy="2671445"/>
            <wp:effectExtent l="19050" t="0" r="24765" b="0"/>
            <wp:wrapSquare wrapText="bothSides"/>
            <wp:docPr id="5"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pPr>
        <w:pStyle w:val="23"/>
        <w:numPr>
          <w:ilvl w:val="0"/>
          <w:numId w:val="3"/>
        </w:numPr>
        <w:spacing w:line="600" w:lineRule="exact"/>
        <w:ind w:firstLineChars="0"/>
        <w:outlineLvl w:val="1"/>
        <w:rPr>
          <w:rStyle w:val="25"/>
          <w:rFonts w:ascii="黑体" w:hAnsi="黑体" w:eastAsia="黑体"/>
          <w:b w:val="0"/>
        </w:rPr>
      </w:pPr>
      <w:bookmarkStart w:id="22" w:name="_Toc15377207"/>
      <w:bookmarkStart w:id="23" w:name="_Toc15396605"/>
      <w:r>
        <w:rPr>
          <w:rFonts w:hint="eastAsia" w:ascii="黑体" w:hAnsi="黑体" w:eastAsia="黑体"/>
          <w:sz w:val="32"/>
          <w:szCs w:val="32"/>
        </w:rPr>
        <w:t>支</w:t>
      </w:r>
      <w:r>
        <w:rPr>
          <w:rStyle w:val="25"/>
          <w:rFonts w:hint="eastAsia" w:ascii="黑体" w:hAnsi="黑体" w:eastAsia="黑体"/>
          <w:b w:val="0"/>
        </w:rPr>
        <w:t>出决算情况说明</w:t>
      </w:r>
      <w:bookmarkEnd w:id="22"/>
      <w:bookmarkEnd w:id="23"/>
    </w:p>
    <w:p>
      <w:pPr>
        <w:spacing w:line="600" w:lineRule="exact"/>
        <w:ind w:firstLine="643" w:firstLineChars="200"/>
        <w:outlineLvl w:val="1"/>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drawing>
          <wp:anchor distT="0" distB="0" distL="114300" distR="114300" simplePos="0" relativeHeight="251661312" behindDoc="0" locked="0" layoutInCell="1" allowOverlap="1">
            <wp:simplePos x="0" y="0"/>
            <wp:positionH relativeFrom="column">
              <wp:posOffset>153670</wp:posOffset>
            </wp:positionH>
            <wp:positionV relativeFrom="paragraph">
              <wp:posOffset>1778635</wp:posOffset>
            </wp:positionV>
            <wp:extent cx="4573905" cy="2223770"/>
            <wp:effectExtent l="19050" t="0" r="17145" b="5080"/>
            <wp:wrapSquare wrapText="bothSides"/>
            <wp:docPr id="6"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r>
        <w:rPr>
          <w:rFonts w:hint="eastAsia" w:ascii="仿宋_GB2312" w:hAnsi="仿宋_GB2312" w:eastAsia="仿宋_GB2312" w:cs="仿宋_GB2312"/>
          <w:sz w:val="32"/>
          <w:szCs w:val="32"/>
        </w:rPr>
        <w:t>2021年本年支出合计268.41万元，其中：基本支出110.14万元，占41.03%；项目支出158.27万元，占58.97%；上缴上级支出0万元，占0%；经营支出0万元，占0%；对附属单位补助支出0万元，占0%。</w:t>
      </w:r>
    </w:p>
    <w:p>
      <w:pPr>
        <w:spacing w:line="600" w:lineRule="exact"/>
        <w:ind w:firstLine="640"/>
        <w:rPr>
          <w:rFonts w:ascii="仿宋" w:hAnsi="仿宋" w:eastAsia="仿宋"/>
          <w:sz w:val="32"/>
          <w:szCs w:val="32"/>
          <w:shd w:val="pct10" w:color="auto" w:fill="FFFFFF"/>
        </w:rPr>
      </w:pPr>
    </w:p>
    <w:p>
      <w:pPr>
        <w:spacing w:line="600" w:lineRule="exact"/>
        <w:ind w:firstLine="640" w:firstLineChars="200"/>
        <w:rPr>
          <w:rFonts w:hint="eastAsia" w:ascii="仿宋" w:hAnsi="仿宋" w:eastAsia="仿宋"/>
          <w:sz w:val="32"/>
          <w:szCs w:val="32"/>
        </w:rPr>
      </w:pPr>
    </w:p>
    <w:p>
      <w:pPr>
        <w:spacing w:line="600" w:lineRule="exact"/>
        <w:ind w:firstLine="640" w:firstLineChars="200"/>
        <w:rPr>
          <w:rFonts w:hint="eastAsia" w:ascii="仿宋" w:hAnsi="仿宋" w:eastAsia="仿宋"/>
          <w:sz w:val="32"/>
          <w:szCs w:val="32"/>
        </w:rPr>
      </w:pPr>
    </w:p>
    <w:p>
      <w:pPr>
        <w:spacing w:line="600" w:lineRule="exact"/>
        <w:ind w:firstLine="640" w:firstLineChars="200"/>
        <w:rPr>
          <w:rFonts w:hint="eastAsia" w:ascii="仿宋" w:hAnsi="仿宋" w:eastAsia="仿宋"/>
          <w:sz w:val="32"/>
          <w:szCs w:val="32"/>
        </w:rPr>
      </w:pPr>
    </w:p>
    <w:p>
      <w:pPr>
        <w:spacing w:line="600" w:lineRule="exact"/>
        <w:ind w:firstLine="640" w:firstLineChars="200"/>
        <w:rPr>
          <w:rFonts w:hint="eastAsia" w:ascii="仿宋" w:hAnsi="仿宋" w:eastAsia="仿宋"/>
          <w:sz w:val="32"/>
          <w:szCs w:val="32"/>
        </w:rPr>
      </w:pPr>
    </w:p>
    <w:p>
      <w:pPr>
        <w:spacing w:line="600" w:lineRule="exact"/>
        <w:ind w:firstLine="640" w:firstLineChars="200"/>
        <w:rPr>
          <w:rFonts w:hint="eastAsia" w:ascii="仿宋" w:hAnsi="仿宋" w:eastAsia="仿宋"/>
          <w:sz w:val="32"/>
          <w:szCs w:val="32"/>
        </w:rPr>
      </w:pPr>
    </w:p>
    <w:p>
      <w:pPr>
        <w:spacing w:line="600" w:lineRule="exact"/>
        <w:ind w:firstLine="640" w:firstLineChars="200"/>
        <w:rPr>
          <w:rFonts w:hint="eastAsia" w:ascii="仿宋" w:hAnsi="仿宋" w:eastAsia="仿宋"/>
          <w:sz w:val="32"/>
          <w:szCs w:val="32"/>
        </w:rPr>
      </w:pPr>
    </w:p>
    <w:p>
      <w:pPr>
        <w:spacing w:line="600" w:lineRule="exact"/>
        <w:ind w:firstLine="640" w:firstLineChars="200"/>
        <w:outlineLvl w:val="1"/>
        <w:rPr>
          <w:rStyle w:val="25"/>
          <w:rFonts w:ascii="黑体" w:hAnsi="黑体" w:eastAsia="黑体"/>
          <w:b w:val="0"/>
        </w:rPr>
      </w:pPr>
      <w:bookmarkStart w:id="24" w:name="_Toc15396606"/>
      <w:bookmarkStart w:id="25" w:name="_Toc15377208"/>
      <w:r>
        <w:rPr>
          <w:rFonts w:hint="eastAsia" w:ascii="黑体" w:hAnsi="黑体" w:eastAsia="黑体"/>
          <w:sz w:val="32"/>
          <w:szCs w:val="32"/>
        </w:rPr>
        <w:t>四、财</w:t>
      </w:r>
      <w:r>
        <w:rPr>
          <w:rStyle w:val="25"/>
          <w:rFonts w:hint="eastAsia" w:ascii="黑体" w:hAnsi="黑体" w:eastAsia="黑体"/>
          <w:b w:val="0"/>
        </w:rPr>
        <w:t>政拨款收入支出决算总体情况说明</w:t>
      </w:r>
      <w:bookmarkEnd w:id="24"/>
      <w:bookmarkEnd w:id="25"/>
    </w:p>
    <w:p>
      <w:pPr>
        <w:spacing w:line="600" w:lineRule="exact"/>
        <w:ind w:firstLine="64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2021年财政拨款收、支总计268.41万元。与2020年相比，财政拨款收、支总计各增加110.44万元，增长69.91%。</w:t>
      </w:r>
      <w:r>
        <w:rPr>
          <w:rFonts w:hint="eastAsia" w:ascii="仿宋_GB2312" w:hAnsi="仿宋_GB2312" w:eastAsia="仿宋_GB2312" w:cs="仿宋_GB2312"/>
          <w:color w:val="auto"/>
          <w:sz w:val="32"/>
          <w:szCs w:val="32"/>
        </w:rPr>
        <w:t>主要变动原因是</w:t>
      </w:r>
      <w:r>
        <w:rPr>
          <w:rFonts w:hint="eastAsia" w:ascii="仿宋_GB2312" w:hAnsi="仿宋_GB2312" w:eastAsia="仿宋_GB2312" w:cs="仿宋_GB2312"/>
          <w:sz w:val="32"/>
          <w:szCs w:val="32"/>
          <w:lang w:eastAsia="zh-CN"/>
        </w:rPr>
        <w:t>增加创建国家公共文化服务体系示范区项目经费。</w:t>
      </w:r>
    </w:p>
    <w:p>
      <w:pPr>
        <w:spacing w:line="600" w:lineRule="exact"/>
        <w:rPr>
          <w:rStyle w:val="25"/>
          <w:rFonts w:ascii="黑体" w:hAnsi="黑体" w:eastAsia="黑体"/>
          <w:b w:val="0"/>
        </w:rPr>
      </w:pPr>
      <w:r>
        <w:rPr>
          <w:rFonts w:ascii="仿宋" w:hAnsi="仿宋" w:eastAsia="仿宋"/>
          <w:sz w:val="32"/>
          <w:szCs w:val="32"/>
        </w:rPr>
        <w:drawing>
          <wp:anchor distT="0" distB="0" distL="114300" distR="114300" simplePos="0" relativeHeight="251662336" behindDoc="0" locked="0" layoutInCell="1" allowOverlap="1">
            <wp:simplePos x="0" y="0"/>
            <wp:positionH relativeFrom="column">
              <wp:posOffset>-90805</wp:posOffset>
            </wp:positionH>
            <wp:positionV relativeFrom="paragraph">
              <wp:posOffset>255270</wp:posOffset>
            </wp:positionV>
            <wp:extent cx="5290185" cy="2764155"/>
            <wp:effectExtent l="19050" t="0" r="24765" b="0"/>
            <wp:wrapSquare wrapText="bothSides"/>
            <wp:docPr id="7"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bookmarkStart w:id="26" w:name="_Toc15377209"/>
      <w:bookmarkStart w:id="27" w:name="_Toc15396607"/>
      <w:r>
        <w:rPr>
          <w:rFonts w:hint="eastAsia" w:ascii="仿宋" w:hAnsi="仿宋" w:eastAsia="仿宋"/>
          <w:sz w:val="32"/>
          <w:szCs w:val="32"/>
          <w:lang w:val="en-US" w:eastAsia="zh-CN"/>
        </w:rPr>
        <w:t xml:space="preserve">    </w:t>
      </w:r>
      <w:r>
        <w:rPr>
          <w:rFonts w:hint="eastAsia" w:ascii="黑体" w:hAnsi="黑体" w:eastAsia="黑体"/>
          <w:sz w:val="32"/>
          <w:szCs w:val="32"/>
        </w:rPr>
        <w:t>五、</w:t>
      </w:r>
      <w:r>
        <w:rPr>
          <w:rFonts w:hint="eastAsia" w:ascii="黑体" w:hAnsi="黑体" w:eastAsia="黑体"/>
          <w:b/>
          <w:sz w:val="32"/>
          <w:szCs w:val="32"/>
        </w:rPr>
        <w:t>一</w:t>
      </w:r>
      <w:r>
        <w:rPr>
          <w:rStyle w:val="25"/>
          <w:rFonts w:hint="eastAsia" w:ascii="黑体" w:hAnsi="黑体" w:eastAsia="黑体"/>
          <w:b w:val="0"/>
        </w:rPr>
        <w:t>般公共预算财政拨款支出决算情况说明</w:t>
      </w:r>
      <w:bookmarkEnd w:id="26"/>
      <w:bookmarkEnd w:id="27"/>
    </w:p>
    <w:p>
      <w:pPr>
        <w:spacing w:line="600" w:lineRule="exact"/>
        <w:ind w:firstLine="643" w:firstLineChars="200"/>
        <w:outlineLvl w:val="2"/>
        <w:rPr>
          <w:rFonts w:hint="eastAsia" w:ascii="方正楷体_GB2312" w:hAnsi="方正楷体_GB2312" w:eastAsia="方正楷体_GB2312" w:cs="方正楷体_GB2312"/>
          <w:b/>
          <w:sz w:val="32"/>
          <w:szCs w:val="32"/>
        </w:rPr>
      </w:pPr>
      <w:bookmarkStart w:id="28" w:name="_Toc15377210"/>
      <w:r>
        <w:rPr>
          <w:rFonts w:hint="eastAsia" w:ascii="方正楷体_GB2312" w:hAnsi="方正楷体_GB2312" w:eastAsia="方正楷体_GB2312" w:cs="方正楷体_GB2312"/>
          <w:b/>
          <w:sz w:val="32"/>
          <w:szCs w:val="32"/>
        </w:rPr>
        <w:t>（一）一般公共预算财政拨款支出决算总体情况</w:t>
      </w:r>
      <w:bookmarkEnd w:id="28"/>
    </w:p>
    <w:p>
      <w:pPr>
        <w:spacing w:line="600" w:lineRule="exact"/>
        <w:ind w:firstLine="64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2021年一般公共预算财政拨款支出268.41万元，占本年支出合计的100%。与2020年相比，一般公共预算财政拨款支出增加110.44万元，增长69.91%。</w:t>
      </w:r>
      <w:r>
        <w:rPr>
          <w:rFonts w:hint="eastAsia" w:ascii="仿宋_GB2312" w:hAnsi="仿宋_GB2312" w:eastAsia="仿宋_GB2312" w:cs="仿宋_GB2312"/>
          <w:color w:val="auto"/>
          <w:sz w:val="32"/>
          <w:szCs w:val="32"/>
        </w:rPr>
        <w:t>主要变动原因是</w:t>
      </w:r>
      <w:r>
        <w:rPr>
          <w:rFonts w:hint="eastAsia" w:ascii="仿宋_GB2312" w:hAnsi="仿宋_GB2312" w:eastAsia="仿宋_GB2312" w:cs="仿宋_GB2312"/>
          <w:sz w:val="32"/>
          <w:szCs w:val="32"/>
          <w:lang w:eastAsia="zh-CN"/>
        </w:rPr>
        <w:t>增加创建国家公共文化服务体系示范区项目经费。</w:t>
      </w:r>
    </w:p>
    <w:p>
      <w:pPr>
        <w:spacing w:line="600" w:lineRule="exact"/>
        <w:ind w:firstLine="640" w:firstLineChars="200"/>
        <w:rPr>
          <w:rFonts w:hint="eastAsia" w:ascii="方正楷体_GB2312" w:hAnsi="方正楷体_GB2312" w:eastAsia="方正楷体_GB2312" w:cs="方正楷体_GB2312"/>
          <w:b/>
          <w:sz w:val="32"/>
          <w:szCs w:val="32"/>
        </w:rPr>
      </w:pPr>
      <w:r>
        <w:rPr>
          <w:rFonts w:hint="eastAsia" w:ascii="方正楷体_GB2312" w:hAnsi="方正楷体_GB2312" w:eastAsia="方正楷体_GB2312" w:cs="方正楷体_GB2312"/>
          <w:sz w:val="32"/>
          <w:szCs w:val="32"/>
        </w:rPr>
        <w:drawing>
          <wp:anchor distT="0" distB="0" distL="114300" distR="114300" simplePos="0" relativeHeight="251663360" behindDoc="0" locked="0" layoutInCell="1" allowOverlap="1">
            <wp:simplePos x="0" y="0"/>
            <wp:positionH relativeFrom="column">
              <wp:posOffset>104140</wp:posOffset>
            </wp:positionH>
            <wp:positionV relativeFrom="paragraph">
              <wp:posOffset>177800</wp:posOffset>
            </wp:positionV>
            <wp:extent cx="5290185" cy="2707005"/>
            <wp:effectExtent l="19050" t="0" r="24765" b="0"/>
            <wp:wrapSquare wrapText="bothSides"/>
            <wp:docPr id="8"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bookmarkStart w:id="29" w:name="_Toc15377211"/>
      <w:r>
        <w:rPr>
          <w:rFonts w:hint="eastAsia" w:ascii="方正楷体_GB2312" w:hAnsi="方正楷体_GB2312" w:eastAsia="方正楷体_GB2312" w:cs="方正楷体_GB2312"/>
          <w:b/>
          <w:sz w:val="32"/>
          <w:szCs w:val="32"/>
        </w:rPr>
        <w:t>（二）一般公共预算财政拨款支出决算结构情况</w:t>
      </w:r>
      <w:bookmarkEnd w:id="29"/>
    </w:p>
    <w:p>
      <w:pPr>
        <w:spacing w:line="600" w:lineRule="exact"/>
        <w:ind w:firstLine="640"/>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rPr>
        <w:t>2021年一般公共预算财政拨款支出268.41万元，主要用于以下方面:</w:t>
      </w:r>
      <w:r>
        <w:rPr>
          <w:rFonts w:hint="eastAsia" w:ascii="仿宋_GB2312" w:hAnsi="仿宋_GB2312" w:eastAsia="仿宋_GB2312" w:cs="仿宋_GB2312"/>
          <w:b/>
          <w:sz w:val="32"/>
          <w:szCs w:val="32"/>
        </w:rPr>
        <w:t>文化旅游体育与传媒支出（类）文化和旅游</w:t>
      </w:r>
      <w:r>
        <w:rPr>
          <w:rFonts w:hint="eastAsia" w:ascii="仿宋_GB2312" w:hAnsi="仿宋_GB2312" w:eastAsia="仿宋_GB2312" w:cs="仿宋_GB2312"/>
          <w:sz w:val="32"/>
          <w:szCs w:val="32"/>
        </w:rPr>
        <w:t>支出225.47万元，占84%；</w:t>
      </w:r>
      <w:r>
        <w:rPr>
          <w:rFonts w:hint="eastAsia" w:ascii="仿宋_GB2312" w:hAnsi="仿宋_GB2312" w:eastAsia="仿宋_GB2312" w:cs="仿宋_GB2312"/>
          <w:b/>
          <w:sz w:val="32"/>
          <w:szCs w:val="32"/>
        </w:rPr>
        <w:t>社会保障和就业（类）行政事业单位养老</w:t>
      </w:r>
      <w:r>
        <w:rPr>
          <w:rFonts w:hint="eastAsia" w:ascii="仿宋_GB2312" w:hAnsi="仿宋_GB2312" w:eastAsia="仿宋_GB2312" w:cs="仿宋_GB2312"/>
          <w:sz w:val="32"/>
          <w:szCs w:val="32"/>
        </w:rPr>
        <w:t>支出28.94万元，占10.78%；</w:t>
      </w:r>
      <w:r>
        <w:rPr>
          <w:rFonts w:hint="eastAsia" w:ascii="仿宋_GB2312" w:hAnsi="仿宋_GB2312" w:eastAsia="仿宋_GB2312" w:cs="仿宋_GB2312"/>
          <w:b/>
          <w:bCs/>
          <w:sz w:val="32"/>
          <w:szCs w:val="32"/>
        </w:rPr>
        <w:t>卫生健康支出（类）行政事业单位医疗</w:t>
      </w:r>
      <w:r>
        <w:rPr>
          <w:rFonts w:hint="eastAsia" w:ascii="仿宋_GB2312" w:hAnsi="仿宋_GB2312" w:eastAsia="仿宋_GB2312" w:cs="仿宋_GB2312"/>
          <w:sz w:val="32"/>
          <w:szCs w:val="32"/>
        </w:rPr>
        <w:t>6.01万元，占2.24%；</w:t>
      </w:r>
      <w:r>
        <w:rPr>
          <w:rFonts w:hint="eastAsia" w:ascii="仿宋_GB2312" w:hAnsi="仿宋_GB2312" w:eastAsia="仿宋_GB2312" w:cs="仿宋_GB2312"/>
          <w:b/>
          <w:bCs/>
          <w:sz w:val="32"/>
          <w:szCs w:val="32"/>
        </w:rPr>
        <w:t>住房保障支出（类）住房改革支出</w:t>
      </w:r>
      <w:r>
        <w:rPr>
          <w:rFonts w:hint="eastAsia" w:ascii="仿宋_GB2312" w:hAnsi="仿宋_GB2312" w:eastAsia="仿宋_GB2312" w:cs="仿宋_GB2312"/>
          <w:sz w:val="32"/>
          <w:szCs w:val="32"/>
        </w:rPr>
        <w:t>7.99万元，占2.98%。</w:t>
      </w:r>
    </w:p>
    <w:p>
      <w:pPr>
        <w:spacing w:line="600" w:lineRule="exact"/>
        <w:ind w:firstLine="643" w:firstLineChars="200"/>
        <w:outlineLvl w:val="2"/>
        <w:rPr>
          <w:rFonts w:hint="eastAsia" w:ascii="仿宋" w:hAnsi="仿宋" w:eastAsia="仿宋"/>
          <w:b/>
          <w:sz w:val="32"/>
          <w:szCs w:val="32"/>
        </w:rPr>
      </w:pPr>
      <w:bookmarkStart w:id="30" w:name="_Toc15377212"/>
    </w:p>
    <w:p>
      <w:pPr>
        <w:spacing w:line="600" w:lineRule="exact"/>
        <w:ind w:firstLine="643" w:firstLineChars="200"/>
        <w:outlineLvl w:val="2"/>
        <w:rPr>
          <w:rFonts w:hint="eastAsia" w:ascii="方正楷体_GB2312" w:hAnsi="方正楷体_GB2312" w:eastAsia="方正楷体_GB2312" w:cs="方正楷体_GB2312"/>
          <w:b/>
          <w:sz w:val="32"/>
          <w:szCs w:val="32"/>
        </w:rPr>
      </w:pPr>
      <w:r>
        <w:rPr>
          <w:rFonts w:hint="eastAsia" w:ascii="方正楷体_GB2312" w:hAnsi="方正楷体_GB2312" w:eastAsia="方正楷体_GB2312" w:cs="方正楷体_GB2312"/>
          <w:b/>
          <w:sz w:val="32"/>
          <w:szCs w:val="32"/>
        </w:rPr>
        <w:drawing>
          <wp:anchor distT="0" distB="0" distL="114300" distR="114300" simplePos="0" relativeHeight="251664384" behindDoc="0" locked="0" layoutInCell="1" allowOverlap="1">
            <wp:simplePos x="0" y="0"/>
            <wp:positionH relativeFrom="column">
              <wp:posOffset>3810</wp:posOffset>
            </wp:positionH>
            <wp:positionV relativeFrom="paragraph">
              <wp:posOffset>46990</wp:posOffset>
            </wp:positionV>
            <wp:extent cx="5285105" cy="3526790"/>
            <wp:effectExtent l="19050" t="0" r="10795" b="0"/>
            <wp:wrapSquare wrapText="bothSides"/>
            <wp:docPr id="9"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r>
        <w:rPr>
          <w:rFonts w:hint="eastAsia" w:ascii="方正楷体_GB2312" w:hAnsi="方正楷体_GB2312" w:eastAsia="方正楷体_GB2312" w:cs="方正楷体_GB2312"/>
          <w:b/>
          <w:sz w:val="32"/>
          <w:szCs w:val="32"/>
        </w:rPr>
        <w:t>（三）一般公共预算财政拨款支出决算具体情况</w:t>
      </w:r>
      <w:bookmarkEnd w:id="30"/>
    </w:p>
    <w:p>
      <w:pPr>
        <w:spacing w:line="600" w:lineRule="exact"/>
        <w:ind w:firstLine="643" w:firstLineChars="200"/>
        <w:outlineLvl w:val="2"/>
        <w:rPr>
          <w:rFonts w:hint="eastAsia" w:ascii="仿宋_GB2312" w:hAnsi="仿宋_GB2312" w:eastAsia="仿宋_GB2312" w:cs="仿宋_GB2312"/>
          <w:sz w:val="32"/>
          <w:szCs w:val="32"/>
        </w:rPr>
      </w:pPr>
      <w:bookmarkStart w:id="31" w:name="_Toc15377444"/>
      <w:bookmarkStart w:id="32" w:name="_Toc15377213"/>
      <w:bookmarkStart w:id="33" w:name="_Toc15378460"/>
      <w:r>
        <w:rPr>
          <w:rFonts w:hint="eastAsia" w:ascii="仿宋_GB2312" w:hAnsi="仿宋_GB2312" w:eastAsia="仿宋_GB2312" w:cs="仿宋_GB2312"/>
          <w:b/>
          <w:sz w:val="32"/>
          <w:szCs w:val="32"/>
        </w:rPr>
        <w:t>2021年一般公共预算支出决算数为268.41万元</w:t>
      </w:r>
      <w:r>
        <w:rPr>
          <w:rFonts w:hint="eastAsia" w:ascii="仿宋_GB2312" w:hAnsi="仿宋_GB2312" w:eastAsia="仿宋_GB2312" w:cs="仿宋_GB2312"/>
          <w:sz w:val="32"/>
          <w:szCs w:val="32"/>
        </w:rPr>
        <w:t>，</w:t>
      </w:r>
      <w:r>
        <w:rPr>
          <w:rStyle w:val="14"/>
          <w:rFonts w:hint="eastAsia" w:ascii="仿宋_GB2312" w:hAnsi="仿宋_GB2312" w:eastAsia="仿宋_GB2312" w:cs="仿宋_GB2312"/>
          <w:bCs/>
          <w:sz w:val="32"/>
          <w:szCs w:val="32"/>
        </w:rPr>
        <w:t>完成预算100%。其中：</w:t>
      </w:r>
      <w:bookmarkEnd w:id="31"/>
      <w:bookmarkEnd w:id="32"/>
      <w:bookmarkEnd w:id="33"/>
    </w:p>
    <w:p>
      <w:pPr>
        <w:spacing w:line="600" w:lineRule="exact"/>
        <w:ind w:firstLine="643" w:firstLineChars="200"/>
        <w:rPr>
          <w:rStyle w:val="14"/>
          <w:rFonts w:hint="eastAsia" w:ascii="仿宋_GB2312" w:hAnsi="仿宋_GB2312" w:eastAsia="仿宋_GB2312" w:cs="仿宋_GB2312"/>
          <w:b w:val="0"/>
          <w:sz w:val="32"/>
          <w:szCs w:val="32"/>
        </w:rPr>
      </w:pPr>
      <w:r>
        <w:rPr>
          <w:rStyle w:val="14"/>
          <w:rFonts w:hint="eastAsia" w:ascii="仿宋_GB2312" w:hAnsi="仿宋_GB2312" w:eastAsia="仿宋_GB2312" w:cs="仿宋_GB2312"/>
          <w:bCs/>
          <w:color w:val="000000"/>
          <w:sz w:val="32"/>
          <w:szCs w:val="32"/>
        </w:rPr>
        <w:t>1.</w:t>
      </w:r>
      <w:r>
        <w:rPr>
          <w:rStyle w:val="14"/>
          <w:rFonts w:hint="eastAsia" w:ascii="仿宋_GB2312" w:hAnsi="仿宋_GB2312" w:eastAsia="仿宋_GB2312" w:cs="仿宋_GB2312"/>
          <w:bCs/>
          <w:sz w:val="32"/>
          <w:szCs w:val="32"/>
        </w:rPr>
        <w:t xml:space="preserve">文化旅游体育与传媒（类）文化和旅游（项）群众文化: </w:t>
      </w:r>
      <w:r>
        <w:rPr>
          <w:rStyle w:val="14"/>
          <w:rFonts w:hint="eastAsia" w:ascii="仿宋_GB2312" w:hAnsi="仿宋_GB2312" w:eastAsia="仿宋_GB2312" w:cs="仿宋_GB2312"/>
          <w:b w:val="0"/>
          <w:sz w:val="32"/>
          <w:szCs w:val="32"/>
        </w:rPr>
        <w:t>支出决算为72.97</w:t>
      </w:r>
      <w:r>
        <w:rPr>
          <w:rStyle w:val="14"/>
          <w:rFonts w:hint="eastAsia" w:ascii="仿宋_GB2312" w:hAnsi="仿宋_GB2312" w:eastAsia="仿宋_GB2312" w:cs="仿宋_GB2312"/>
          <w:b w:val="0"/>
          <w:sz w:val="32"/>
          <w:szCs w:val="32"/>
        </w:rPr>
        <w:t>万元，完成预算100%</w:t>
      </w:r>
      <w:r>
        <w:rPr>
          <w:rStyle w:val="14"/>
          <w:rFonts w:hint="eastAsia" w:ascii="仿宋_GB2312" w:hAnsi="仿宋_GB2312" w:eastAsia="仿宋_GB2312" w:cs="仿宋_GB2312"/>
          <w:b w:val="0"/>
          <w:sz w:val="32"/>
          <w:szCs w:val="32"/>
        </w:rPr>
        <w:t>，决算数等于调整预算数。</w:t>
      </w:r>
    </w:p>
    <w:p>
      <w:pPr>
        <w:spacing w:line="600" w:lineRule="exact"/>
        <w:ind w:firstLine="643" w:firstLineChars="200"/>
        <w:rPr>
          <w:rStyle w:val="14"/>
          <w:rFonts w:hint="eastAsia" w:ascii="仿宋_GB2312" w:hAnsi="仿宋_GB2312" w:eastAsia="仿宋_GB2312" w:cs="仿宋_GB2312"/>
          <w:b w:val="0"/>
          <w:bCs/>
          <w:sz w:val="32"/>
          <w:szCs w:val="32"/>
        </w:rPr>
      </w:pPr>
      <w:r>
        <w:rPr>
          <w:rStyle w:val="14"/>
          <w:rFonts w:hint="eastAsia" w:ascii="仿宋_GB2312" w:hAnsi="仿宋_GB2312" w:eastAsia="仿宋_GB2312" w:cs="仿宋_GB2312"/>
          <w:bCs/>
          <w:color w:val="000000"/>
          <w:sz w:val="32"/>
          <w:szCs w:val="32"/>
        </w:rPr>
        <w:t>2.</w:t>
      </w:r>
      <w:r>
        <w:rPr>
          <w:rStyle w:val="14"/>
          <w:rFonts w:hint="eastAsia" w:ascii="仿宋_GB2312" w:hAnsi="仿宋_GB2312" w:eastAsia="仿宋_GB2312" w:cs="仿宋_GB2312"/>
          <w:bCs/>
          <w:sz w:val="32"/>
          <w:szCs w:val="32"/>
        </w:rPr>
        <w:t xml:space="preserve">文化旅游体育与传媒（类）文化和旅游（项）文化创作与保护: </w:t>
      </w:r>
      <w:r>
        <w:rPr>
          <w:rStyle w:val="14"/>
          <w:rFonts w:hint="eastAsia" w:ascii="仿宋_GB2312" w:hAnsi="仿宋_GB2312" w:eastAsia="仿宋_GB2312" w:cs="仿宋_GB2312"/>
          <w:b w:val="0"/>
          <w:sz w:val="32"/>
          <w:szCs w:val="32"/>
        </w:rPr>
        <w:t>支出决算为3.1</w:t>
      </w:r>
      <w:r>
        <w:rPr>
          <w:rStyle w:val="14"/>
          <w:rFonts w:hint="eastAsia" w:ascii="仿宋_GB2312" w:hAnsi="仿宋_GB2312" w:eastAsia="仿宋_GB2312" w:cs="仿宋_GB2312"/>
          <w:b w:val="0"/>
          <w:sz w:val="32"/>
          <w:szCs w:val="32"/>
        </w:rPr>
        <w:t>万元，完成预算100%</w:t>
      </w:r>
      <w:r>
        <w:rPr>
          <w:rStyle w:val="14"/>
          <w:rFonts w:hint="eastAsia" w:ascii="仿宋_GB2312" w:hAnsi="仿宋_GB2312" w:eastAsia="仿宋_GB2312" w:cs="仿宋_GB2312"/>
          <w:b w:val="0"/>
          <w:sz w:val="32"/>
          <w:szCs w:val="32"/>
        </w:rPr>
        <w:t>，决算数等于调整预算数。</w:t>
      </w:r>
    </w:p>
    <w:p>
      <w:pPr>
        <w:spacing w:line="600" w:lineRule="exact"/>
        <w:ind w:firstLine="643" w:firstLineChars="200"/>
        <w:rPr>
          <w:rStyle w:val="14"/>
          <w:rFonts w:hint="eastAsia" w:ascii="仿宋_GB2312" w:hAnsi="仿宋_GB2312" w:eastAsia="仿宋_GB2312" w:cs="仿宋_GB2312"/>
          <w:b w:val="0"/>
          <w:bCs/>
          <w:sz w:val="32"/>
          <w:szCs w:val="32"/>
        </w:rPr>
      </w:pPr>
      <w:r>
        <w:rPr>
          <w:rStyle w:val="14"/>
          <w:rFonts w:hint="eastAsia" w:ascii="仿宋_GB2312" w:hAnsi="仿宋_GB2312" w:eastAsia="仿宋_GB2312" w:cs="仿宋_GB2312"/>
          <w:bCs/>
          <w:sz w:val="32"/>
          <w:szCs w:val="32"/>
        </w:rPr>
        <w:t xml:space="preserve">3.文化旅游体育与传媒（类）文化和旅游（项）其他文化和旅游支出: </w:t>
      </w:r>
      <w:r>
        <w:rPr>
          <w:rStyle w:val="14"/>
          <w:rFonts w:hint="eastAsia" w:ascii="仿宋_GB2312" w:hAnsi="仿宋_GB2312" w:eastAsia="仿宋_GB2312" w:cs="仿宋_GB2312"/>
          <w:b w:val="0"/>
          <w:sz w:val="32"/>
          <w:szCs w:val="32"/>
        </w:rPr>
        <w:t>支出决算为149.4</w:t>
      </w:r>
      <w:r>
        <w:rPr>
          <w:rStyle w:val="14"/>
          <w:rFonts w:hint="eastAsia" w:ascii="仿宋_GB2312" w:hAnsi="仿宋_GB2312" w:eastAsia="仿宋_GB2312" w:cs="仿宋_GB2312"/>
          <w:b w:val="0"/>
          <w:sz w:val="32"/>
          <w:szCs w:val="32"/>
        </w:rPr>
        <w:t>万元，完成预算100%</w:t>
      </w:r>
      <w:r>
        <w:rPr>
          <w:rStyle w:val="14"/>
          <w:rFonts w:hint="eastAsia" w:ascii="仿宋_GB2312" w:hAnsi="仿宋_GB2312" w:eastAsia="仿宋_GB2312" w:cs="仿宋_GB2312"/>
          <w:b w:val="0"/>
          <w:sz w:val="32"/>
          <w:szCs w:val="32"/>
        </w:rPr>
        <w:t>，决算数等于调整预算数。</w:t>
      </w:r>
    </w:p>
    <w:p>
      <w:pPr>
        <w:spacing w:line="600" w:lineRule="exact"/>
        <w:ind w:firstLine="643" w:firstLineChars="200"/>
        <w:rPr>
          <w:rFonts w:hint="eastAsia" w:ascii="仿宋_GB2312" w:hAnsi="仿宋_GB2312" w:eastAsia="仿宋_GB2312" w:cs="仿宋_GB2312"/>
          <w:sz w:val="32"/>
          <w:szCs w:val="32"/>
        </w:rPr>
      </w:pPr>
      <w:r>
        <w:rPr>
          <w:rStyle w:val="14"/>
          <w:rFonts w:hint="eastAsia" w:ascii="仿宋_GB2312" w:hAnsi="仿宋_GB2312" w:eastAsia="仿宋_GB2312" w:cs="仿宋_GB2312"/>
          <w:bCs/>
          <w:sz w:val="32"/>
          <w:szCs w:val="32"/>
        </w:rPr>
        <w:t xml:space="preserve">4.社会保障和就业（类）行政事业单位离退休（款）事业单位离退休（项）: </w:t>
      </w:r>
      <w:r>
        <w:rPr>
          <w:rStyle w:val="14"/>
          <w:rFonts w:hint="eastAsia" w:ascii="仿宋_GB2312" w:hAnsi="仿宋_GB2312" w:eastAsia="仿宋_GB2312" w:cs="仿宋_GB2312"/>
          <w:b w:val="0"/>
          <w:sz w:val="32"/>
          <w:szCs w:val="32"/>
        </w:rPr>
        <w:t>支出决算为21.73</w:t>
      </w:r>
      <w:r>
        <w:rPr>
          <w:rStyle w:val="14"/>
          <w:rFonts w:hint="eastAsia" w:ascii="仿宋_GB2312" w:hAnsi="仿宋_GB2312" w:eastAsia="仿宋_GB2312" w:cs="仿宋_GB2312"/>
          <w:b w:val="0"/>
          <w:sz w:val="32"/>
          <w:szCs w:val="32"/>
        </w:rPr>
        <w:t>万元，完成预算100%</w:t>
      </w:r>
      <w:r>
        <w:rPr>
          <w:rStyle w:val="14"/>
          <w:rFonts w:hint="eastAsia" w:ascii="仿宋_GB2312" w:hAnsi="仿宋_GB2312" w:eastAsia="仿宋_GB2312" w:cs="仿宋_GB2312"/>
          <w:b w:val="0"/>
          <w:sz w:val="32"/>
          <w:szCs w:val="32"/>
        </w:rPr>
        <w:t>，决算数等于预算数。</w:t>
      </w:r>
    </w:p>
    <w:p>
      <w:pPr>
        <w:spacing w:line="600" w:lineRule="exact"/>
        <w:ind w:firstLine="643" w:firstLineChars="200"/>
        <w:rPr>
          <w:rStyle w:val="14"/>
          <w:rFonts w:hint="eastAsia" w:ascii="仿宋_GB2312" w:hAnsi="仿宋_GB2312" w:eastAsia="仿宋_GB2312" w:cs="仿宋_GB2312"/>
          <w:b w:val="0"/>
          <w:sz w:val="32"/>
          <w:szCs w:val="32"/>
        </w:rPr>
      </w:pPr>
      <w:r>
        <w:rPr>
          <w:rStyle w:val="14"/>
          <w:rFonts w:hint="eastAsia" w:ascii="仿宋_GB2312" w:hAnsi="仿宋_GB2312" w:eastAsia="仿宋_GB2312" w:cs="仿宋_GB2312"/>
          <w:bCs/>
          <w:sz w:val="32"/>
          <w:szCs w:val="32"/>
        </w:rPr>
        <w:t xml:space="preserve">5.社会保障和就业（类）行政事业单位离退休（款）机关事业单位基本养老保险缴费支出（项）: </w:t>
      </w:r>
      <w:r>
        <w:rPr>
          <w:rStyle w:val="14"/>
          <w:rFonts w:hint="eastAsia" w:ascii="仿宋_GB2312" w:hAnsi="仿宋_GB2312" w:eastAsia="仿宋_GB2312" w:cs="仿宋_GB2312"/>
          <w:b w:val="0"/>
          <w:sz w:val="32"/>
          <w:szCs w:val="32"/>
        </w:rPr>
        <w:t>支出决算为7.21</w:t>
      </w:r>
      <w:r>
        <w:rPr>
          <w:rStyle w:val="14"/>
          <w:rFonts w:hint="eastAsia" w:ascii="仿宋_GB2312" w:hAnsi="仿宋_GB2312" w:eastAsia="仿宋_GB2312" w:cs="仿宋_GB2312"/>
          <w:b w:val="0"/>
          <w:sz w:val="32"/>
          <w:szCs w:val="32"/>
        </w:rPr>
        <w:t>万元，完成预算100%</w:t>
      </w:r>
      <w:r>
        <w:rPr>
          <w:rStyle w:val="14"/>
          <w:rFonts w:hint="eastAsia" w:ascii="仿宋_GB2312" w:hAnsi="仿宋_GB2312" w:eastAsia="仿宋_GB2312" w:cs="仿宋_GB2312"/>
          <w:b w:val="0"/>
          <w:sz w:val="32"/>
          <w:szCs w:val="32"/>
        </w:rPr>
        <w:t>，决算数等于预算数。</w:t>
      </w:r>
    </w:p>
    <w:p>
      <w:pPr>
        <w:spacing w:line="600" w:lineRule="exact"/>
        <w:ind w:firstLine="643" w:firstLineChars="200"/>
        <w:rPr>
          <w:rStyle w:val="14"/>
          <w:rFonts w:hint="eastAsia" w:ascii="仿宋_GB2312" w:hAnsi="仿宋_GB2312" w:eastAsia="仿宋_GB2312" w:cs="仿宋_GB2312"/>
          <w:bCs/>
          <w:sz w:val="32"/>
          <w:szCs w:val="32"/>
        </w:rPr>
      </w:pPr>
      <w:r>
        <w:rPr>
          <w:rStyle w:val="14"/>
          <w:rFonts w:hint="eastAsia" w:ascii="仿宋_GB2312" w:hAnsi="仿宋_GB2312" w:eastAsia="仿宋_GB2312" w:cs="仿宋_GB2312"/>
          <w:bCs/>
          <w:sz w:val="32"/>
          <w:szCs w:val="32"/>
        </w:rPr>
        <w:t xml:space="preserve">6.卫生健康支出（类）行政事业单位医疗（款）事业单位医疗（项）: </w:t>
      </w:r>
      <w:r>
        <w:rPr>
          <w:rStyle w:val="14"/>
          <w:rFonts w:hint="eastAsia" w:ascii="仿宋_GB2312" w:hAnsi="仿宋_GB2312" w:eastAsia="仿宋_GB2312" w:cs="仿宋_GB2312"/>
          <w:b w:val="0"/>
          <w:sz w:val="32"/>
          <w:szCs w:val="32"/>
        </w:rPr>
        <w:t>支出决算为5.29</w:t>
      </w:r>
      <w:r>
        <w:rPr>
          <w:rStyle w:val="14"/>
          <w:rFonts w:hint="eastAsia" w:ascii="仿宋_GB2312" w:hAnsi="仿宋_GB2312" w:eastAsia="仿宋_GB2312" w:cs="仿宋_GB2312"/>
          <w:b w:val="0"/>
          <w:sz w:val="32"/>
          <w:szCs w:val="32"/>
        </w:rPr>
        <w:t>万元，完成预算100%</w:t>
      </w:r>
      <w:r>
        <w:rPr>
          <w:rStyle w:val="14"/>
          <w:rFonts w:hint="eastAsia" w:ascii="仿宋_GB2312" w:hAnsi="仿宋_GB2312" w:eastAsia="仿宋_GB2312" w:cs="仿宋_GB2312"/>
          <w:b w:val="0"/>
          <w:sz w:val="32"/>
          <w:szCs w:val="32"/>
        </w:rPr>
        <w:t>，决算数等于预算数。</w:t>
      </w:r>
    </w:p>
    <w:p>
      <w:pPr>
        <w:spacing w:line="600" w:lineRule="exact"/>
        <w:ind w:firstLine="643" w:firstLineChars="200"/>
        <w:rPr>
          <w:rStyle w:val="14"/>
          <w:rFonts w:hint="eastAsia" w:ascii="仿宋_GB2312" w:hAnsi="仿宋_GB2312" w:eastAsia="仿宋_GB2312" w:cs="仿宋_GB2312"/>
          <w:bCs/>
          <w:sz w:val="32"/>
          <w:szCs w:val="32"/>
        </w:rPr>
      </w:pPr>
      <w:r>
        <w:rPr>
          <w:rStyle w:val="14"/>
          <w:rFonts w:hint="eastAsia" w:ascii="仿宋_GB2312" w:hAnsi="仿宋_GB2312" w:eastAsia="仿宋_GB2312" w:cs="仿宋_GB2312"/>
          <w:bCs/>
          <w:sz w:val="32"/>
          <w:szCs w:val="32"/>
        </w:rPr>
        <w:t xml:space="preserve">7.卫生健康支出（类）行政事业单位医疗（款）其他行政事业单位医疗支出（项）: </w:t>
      </w:r>
      <w:r>
        <w:rPr>
          <w:rStyle w:val="14"/>
          <w:rFonts w:hint="eastAsia" w:ascii="仿宋_GB2312" w:hAnsi="仿宋_GB2312" w:eastAsia="仿宋_GB2312" w:cs="仿宋_GB2312"/>
          <w:b w:val="0"/>
          <w:sz w:val="32"/>
          <w:szCs w:val="32"/>
        </w:rPr>
        <w:t>支出决算为0.72</w:t>
      </w:r>
      <w:r>
        <w:rPr>
          <w:rStyle w:val="14"/>
          <w:rFonts w:hint="eastAsia" w:ascii="仿宋_GB2312" w:hAnsi="仿宋_GB2312" w:eastAsia="仿宋_GB2312" w:cs="仿宋_GB2312"/>
          <w:b w:val="0"/>
          <w:sz w:val="32"/>
          <w:szCs w:val="32"/>
        </w:rPr>
        <w:t>万元，完成预算100%</w:t>
      </w:r>
      <w:r>
        <w:rPr>
          <w:rStyle w:val="14"/>
          <w:rFonts w:hint="eastAsia" w:ascii="仿宋_GB2312" w:hAnsi="仿宋_GB2312" w:eastAsia="仿宋_GB2312" w:cs="仿宋_GB2312"/>
          <w:b w:val="0"/>
          <w:sz w:val="32"/>
          <w:szCs w:val="32"/>
        </w:rPr>
        <w:t>，决算数等于预算数。</w:t>
      </w:r>
    </w:p>
    <w:p>
      <w:pPr>
        <w:spacing w:line="60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8.住房保障支出</w:t>
      </w:r>
      <w:r>
        <w:rPr>
          <w:rStyle w:val="14"/>
          <w:rFonts w:hint="eastAsia" w:ascii="仿宋_GB2312" w:hAnsi="仿宋_GB2312" w:eastAsia="仿宋_GB2312" w:cs="仿宋_GB2312"/>
          <w:bCs/>
          <w:sz w:val="32"/>
          <w:szCs w:val="32"/>
        </w:rPr>
        <w:t>（类）住房改革支出（款）住房公积金（项）:</w:t>
      </w:r>
      <w:r>
        <w:rPr>
          <w:rStyle w:val="14"/>
          <w:rFonts w:hint="eastAsia" w:ascii="仿宋_GB2312" w:hAnsi="仿宋_GB2312" w:eastAsia="仿宋_GB2312" w:cs="仿宋_GB2312"/>
          <w:b w:val="0"/>
          <w:sz w:val="32"/>
          <w:szCs w:val="32"/>
        </w:rPr>
        <w:t>支出决算为7.99</w:t>
      </w:r>
      <w:r>
        <w:rPr>
          <w:rStyle w:val="14"/>
          <w:rFonts w:hint="eastAsia" w:ascii="仿宋_GB2312" w:hAnsi="仿宋_GB2312" w:eastAsia="仿宋_GB2312" w:cs="仿宋_GB2312"/>
          <w:b w:val="0"/>
          <w:sz w:val="32"/>
          <w:szCs w:val="32"/>
        </w:rPr>
        <w:t>万元，完成预算100%</w:t>
      </w:r>
      <w:r>
        <w:rPr>
          <w:rStyle w:val="14"/>
          <w:rFonts w:hint="eastAsia" w:ascii="仿宋_GB2312" w:hAnsi="仿宋_GB2312" w:eastAsia="仿宋_GB2312" w:cs="仿宋_GB2312"/>
          <w:b w:val="0"/>
          <w:sz w:val="32"/>
          <w:szCs w:val="32"/>
        </w:rPr>
        <w:t>，决算数等于预算数。</w:t>
      </w:r>
    </w:p>
    <w:p>
      <w:pPr>
        <w:tabs>
          <w:tab w:val="right" w:pos="8306"/>
        </w:tabs>
        <w:spacing w:line="600" w:lineRule="exact"/>
        <w:ind w:firstLine="640"/>
        <w:outlineLvl w:val="1"/>
        <w:rPr>
          <w:rStyle w:val="25"/>
        </w:rPr>
      </w:pPr>
      <w:bookmarkStart w:id="34" w:name="_Toc15377214"/>
      <w:bookmarkStart w:id="35" w:name="_Toc15396608"/>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5"/>
          <w:rFonts w:hint="eastAsia" w:ascii="黑体" w:hAnsi="黑体" w:eastAsia="黑体"/>
          <w:b w:val="0"/>
        </w:rPr>
        <w:t>般公共预算财政拨款基本支出决算情况说明</w:t>
      </w:r>
      <w:bookmarkEnd w:id="34"/>
      <w:bookmarkEnd w:id="35"/>
      <w:r>
        <w:rPr>
          <w:rStyle w:val="25"/>
          <w:rFonts w:ascii="黑体" w:hAnsi="黑体" w:eastAsia="黑体"/>
          <w:b w:val="0"/>
        </w:rPr>
        <w:tab/>
      </w:r>
    </w:p>
    <w:p>
      <w:pPr>
        <w:spacing w:line="600" w:lineRule="exact"/>
        <w:ind w:firstLine="645"/>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2021年一般公共预算财政拨款基本支出110.14万元，其中：</w:t>
      </w:r>
    </w:p>
    <w:p>
      <w:pPr>
        <w:spacing w:line="600" w:lineRule="exact"/>
        <w:ind w:firstLine="645"/>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人员经费107.02万元，主要包括：基本工资、津贴补贴、绩效工资、机关事业单位基本养老保险缴费、职工基本医疗保险缴费、其他社会保障缴费、住房公积金、医疗费、其他工资福利支出、生活补助、医疗费补助、其他对个人和家庭的补助等。</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公用经费3.12万元，主要包括：办公费、印刷费、水费、邮电费、差旅费、维修（护）费、培训费、劳务费、委托业务费、工会经费、福利费、公务用车运行维护费等。</w:t>
      </w:r>
    </w:p>
    <w:p>
      <w:pPr>
        <w:spacing w:line="600" w:lineRule="exact"/>
        <w:ind w:firstLine="640"/>
        <w:outlineLvl w:val="1"/>
        <w:rPr>
          <w:rStyle w:val="25"/>
          <w:rFonts w:ascii="黑体" w:hAnsi="黑体" w:eastAsia="黑体"/>
          <w:b w:val="0"/>
        </w:rPr>
      </w:pPr>
      <w:bookmarkStart w:id="36" w:name="_Toc15396609"/>
      <w:bookmarkStart w:id="37" w:name="_Toc15377215"/>
      <w:r>
        <w:rPr>
          <w:rFonts w:hint="eastAsia" w:ascii="黑体" w:eastAsia="黑体"/>
          <w:sz w:val="32"/>
          <w:szCs w:val="32"/>
        </w:rPr>
        <w:t>七、</w:t>
      </w:r>
      <w:r>
        <w:rPr>
          <w:rStyle w:val="25"/>
          <w:rFonts w:hint="eastAsia" w:ascii="黑体" w:hAnsi="黑体" w:eastAsia="黑体"/>
        </w:rPr>
        <w:t>“</w:t>
      </w:r>
      <w:r>
        <w:rPr>
          <w:rStyle w:val="25"/>
          <w:rFonts w:hint="eastAsia" w:ascii="黑体" w:hAnsi="黑体" w:eastAsia="黑体"/>
          <w:b w:val="0"/>
        </w:rPr>
        <w:t>三公”经费财政拨款支出决算情况说明</w:t>
      </w:r>
      <w:bookmarkEnd w:id="36"/>
      <w:bookmarkEnd w:id="37"/>
    </w:p>
    <w:p>
      <w:pPr>
        <w:spacing w:line="600" w:lineRule="exact"/>
        <w:ind w:firstLine="640"/>
        <w:outlineLvl w:val="2"/>
        <w:rPr>
          <w:rFonts w:hint="eastAsia" w:ascii="方正楷体_GB2312" w:hAnsi="方正楷体_GB2312" w:eastAsia="方正楷体_GB2312" w:cs="方正楷体_GB2312"/>
          <w:b/>
          <w:sz w:val="32"/>
          <w:szCs w:val="32"/>
        </w:rPr>
      </w:pPr>
      <w:bookmarkStart w:id="38" w:name="_Toc15377216"/>
      <w:r>
        <w:rPr>
          <w:rFonts w:hint="eastAsia" w:ascii="方正楷体_GB2312" w:hAnsi="方正楷体_GB2312" w:eastAsia="方正楷体_GB2312" w:cs="方正楷体_GB2312"/>
          <w:b/>
          <w:sz w:val="32"/>
          <w:szCs w:val="32"/>
        </w:rPr>
        <w:t>（一）“三公”经费财政拨款支出决算总体情况说明</w:t>
      </w:r>
      <w:bookmarkEnd w:id="38"/>
    </w:p>
    <w:p>
      <w:pPr>
        <w:spacing w:line="60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2021年“三公”经费财政拨款支出决算为0.05万元，完成预算100%，决算数与预算数持</w:t>
      </w:r>
      <w:r>
        <w:rPr>
          <w:rFonts w:hint="eastAsia" w:ascii="仿宋_GB2312" w:hAnsi="仿宋_GB2312" w:eastAsia="仿宋_GB2312" w:cs="仿宋_GB2312"/>
          <w:sz w:val="32"/>
          <w:szCs w:val="32"/>
          <w:lang w:eastAsia="zh-CN"/>
        </w:rPr>
        <w:t>平</w:t>
      </w:r>
      <w:r>
        <w:rPr>
          <w:rFonts w:hint="eastAsia" w:ascii="仿宋_GB2312" w:hAnsi="仿宋_GB2312" w:eastAsia="仿宋_GB2312" w:cs="仿宋_GB2312"/>
          <w:sz w:val="32"/>
          <w:szCs w:val="32"/>
        </w:rPr>
        <w:t>。</w:t>
      </w:r>
    </w:p>
    <w:p>
      <w:pPr>
        <w:spacing w:line="600" w:lineRule="exact"/>
        <w:ind w:firstLine="640"/>
        <w:outlineLvl w:val="2"/>
        <w:rPr>
          <w:rFonts w:ascii="仿宋" w:hAnsi="仿宋" w:eastAsia="仿宋"/>
          <w:b/>
          <w:sz w:val="32"/>
          <w:szCs w:val="32"/>
        </w:rPr>
      </w:pPr>
      <w:bookmarkStart w:id="39" w:name="_Toc15377217"/>
      <w:r>
        <w:rPr>
          <w:rFonts w:hint="eastAsia" w:ascii="方正楷体_GB2312" w:hAnsi="方正楷体_GB2312" w:eastAsia="方正楷体_GB2312" w:cs="方正楷体_GB2312"/>
          <w:b/>
          <w:sz w:val="32"/>
          <w:szCs w:val="32"/>
        </w:rPr>
        <w:t>（二）“三公”经费财政拨款支出决算具体情况说明</w:t>
      </w:r>
      <w:bookmarkEnd w:id="39"/>
    </w:p>
    <w:p>
      <w:pPr>
        <w:spacing w:line="60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2021年“三公”经费财政拨款支出决算中，因公出国（境）费支出决算0万元，占0%；公务用车购置及运行维护费支出决算0.05万元，占100%；公务接待费支出决算0万元，占0%。具体情况如下：</w:t>
      </w:r>
    </w:p>
    <w:p>
      <w:pPr>
        <w:spacing w:line="600" w:lineRule="exact"/>
        <w:ind w:firstLine="64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drawing>
          <wp:anchor distT="0" distB="0" distL="114300" distR="114300" simplePos="0" relativeHeight="251665408" behindDoc="0" locked="0" layoutInCell="1" allowOverlap="1">
            <wp:simplePos x="0" y="0"/>
            <wp:positionH relativeFrom="column">
              <wp:posOffset>-79375</wp:posOffset>
            </wp:positionH>
            <wp:positionV relativeFrom="paragraph">
              <wp:posOffset>296545</wp:posOffset>
            </wp:positionV>
            <wp:extent cx="5290185" cy="2743200"/>
            <wp:effectExtent l="19050" t="0" r="24765" b="0"/>
            <wp:wrapSquare wrapText="bothSides"/>
            <wp:docPr id="10"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r>
        <w:rPr>
          <w:rFonts w:hint="eastAsia" w:ascii="仿宋_GB2312" w:hAnsi="仿宋_GB2312" w:eastAsia="仿宋_GB2312" w:cs="仿宋_GB2312"/>
          <w:b/>
          <w:sz w:val="32"/>
          <w:szCs w:val="32"/>
        </w:rPr>
        <w:t>1.因公出国（境）经费支出</w:t>
      </w:r>
      <w:r>
        <w:rPr>
          <w:rFonts w:hint="eastAsia" w:ascii="仿宋_GB2312" w:hAnsi="仿宋_GB2312" w:eastAsia="仿宋_GB2312" w:cs="仿宋_GB2312"/>
          <w:sz w:val="32"/>
          <w:szCs w:val="32"/>
        </w:rPr>
        <w:t>0万元，</w:t>
      </w:r>
      <w:r>
        <w:rPr>
          <w:rStyle w:val="14"/>
          <w:rFonts w:hint="eastAsia" w:ascii="仿宋_GB2312" w:hAnsi="仿宋_GB2312" w:eastAsia="仿宋_GB2312" w:cs="仿宋_GB2312"/>
          <w:b w:val="0"/>
          <w:bCs/>
          <w:sz w:val="32"/>
          <w:szCs w:val="32"/>
        </w:rPr>
        <w:t>完成预算0%。</w:t>
      </w:r>
      <w:r>
        <w:rPr>
          <w:rFonts w:hint="eastAsia" w:ascii="仿宋_GB2312" w:hAnsi="仿宋_GB2312" w:eastAsia="仿宋_GB2312" w:cs="仿宋_GB2312"/>
          <w:sz w:val="32"/>
          <w:szCs w:val="32"/>
        </w:rPr>
        <w:t>全年安排因公出国（境）团组0次，出国（境）0人。因公出国（境）支出决算与2020年持平。</w:t>
      </w:r>
    </w:p>
    <w:p>
      <w:pPr>
        <w:spacing w:line="600" w:lineRule="exact"/>
        <w:ind w:firstLine="64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2.公务用车购置及运行维护费支出</w:t>
      </w:r>
      <w:r>
        <w:rPr>
          <w:rFonts w:hint="eastAsia" w:ascii="仿宋_GB2312" w:hAnsi="仿宋_GB2312" w:eastAsia="仿宋_GB2312" w:cs="仿宋_GB2312"/>
          <w:sz w:val="32"/>
          <w:szCs w:val="32"/>
        </w:rPr>
        <w:t>0.05万元,</w:t>
      </w:r>
      <w:r>
        <w:rPr>
          <w:rStyle w:val="14"/>
          <w:rFonts w:hint="eastAsia" w:ascii="仿宋_GB2312" w:hAnsi="仿宋_GB2312" w:eastAsia="仿宋_GB2312" w:cs="仿宋_GB2312"/>
          <w:b w:val="0"/>
          <w:bCs/>
          <w:sz w:val="32"/>
          <w:szCs w:val="32"/>
        </w:rPr>
        <w:t>完成预算100%。</w:t>
      </w:r>
      <w:r>
        <w:rPr>
          <w:rFonts w:hint="eastAsia" w:ascii="仿宋_GB2312" w:hAnsi="仿宋_GB2312" w:eastAsia="仿宋_GB2312" w:cs="仿宋_GB2312"/>
          <w:sz w:val="32"/>
          <w:szCs w:val="32"/>
        </w:rPr>
        <w:t>公务用车购置及运行维护费支出决算比2020年增加0.05万元，增长100%。主要原因是2021年发生公务用车维修费。</w:t>
      </w:r>
    </w:p>
    <w:p>
      <w:pPr>
        <w:spacing w:line="600" w:lineRule="exact"/>
        <w:ind w:firstLine="640" w:firstLineChars="200"/>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rPr>
        <w:t>其中：</w:t>
      </w:r>
      <w:r>
        <w:rPr>
          <w:rFonts w:hint="eastAsia" w:ascii="仿宋_GB2312" w:hAnsi="仿宋_GB2312" w:eastAsia="仿宋_GB2312" w:cs="仿宋_GB2312"/>
          <w:b/>
          <w:sz w:val="32"/>
          <w:szCs w:val="32"/>
        </w:rPr>
        <w:t>公务用车购置支出</w:t>
      </w:r>
      <w:r>
        <w:rPr>
          <w:rFonts w:hint="eastAsia" w:ascii="仿宋_GB2312" w:hAnsi="仿宋_GB2312" w:eastAsia="仿宋_GB2312" w:cs="仿宋_GB2312"/>
          <w:sz w:val="32"/>
          <w:szCs w:val="32"/>
        </w:rPr>
        <w:t>0万元。全年按规定更新购置公务用车0辆，其中：轿车0辆、金额0万元，越野车0辆、金额0万元，载客汽车0辆、金额0万元。截至2021年12月底，单位共有公务用车1辆，其中：轿车1辆、越野车0辆、载客汽车0辆。</w:t>
      </w:r>
    </w:p>
    <w:p>
      <w:pPr>
        <w:spacing w:line="60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公务用车运行维护费支出</w:t>
      </w:r>
      <w:r>
        <w:rPr>
          <w:rFonts w:hint="eastAsia" w:ascii="仿宋_GB2312" w:hAnsi="仿宋_GB2312" w:eastAsia="仿宋_GB2312" w:cs="仿宋_GB2312"/>
          <w:sz w:val="32"/>
          <w:szCs w:val="32"/>
        </w:rPr>
        <w:t>0.05万元。主要用于免费开放、送文化下乡等所需的公务用车维修费等支出。</w:t>
      </w:r>
    </w:p>
    <w:p>
      <w:pPr>
        <w:spacing w:line="60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3.公务接待费支出</w:t>
      </w:r>
      <w:r>
        <w:rPr>
          <w:rFonts w:hint="eastAsia" w:ascii="仿宋_GB2312" w:hAnsi="仿宋_GB2312" w:eastAsia="仿宋_GB2312" w:cs="仿宋_GB2312"/>
          <w:sz w:val="32"/>
          <w:szCs w:val="32"/>
        </w:rPr>
        <w:t>0万元，</w:t>
      </w:r>
      <w:r>
        <w:rPr>
          <w:rStyle w:val="14"/>
          <w:rFonts w:hint="eastAsia" w:ascii="仿宋_GB2312" w:hAnsi="仿宋_GB2312" w:eastAsia="仿宋_GB2312" w:cs="仿宋_GB2312"/>
          <w:b w:val="0"/>
          <w:bCs/>
          <w:sz w:val="32"/>
          <w:szCs w:val="32"/>
        </w:rPr>
        <w:t>完成预算0%。</w:t>
      </w:r>
      <w:r>
        <w:rPr>
          <w:rFonts w:hint="eastAsia" w:ascii="仿宋_GB2312" w:hAnsi="仿宋_GB2312" w:eastAsia="仿宋_GB2312" w:cs="仿宋_GB2312"/>
          <w:sz w:val="32"/>
          <w:szCs w:val="32"/>
        </w:rPr>
        <w:t>公务接待费支出决算与2020年持平。</w:t>
      </w:r>
    </w:p>
    <w:p>
      <w:pPr>
        <w:spacing w:line="60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国内公务接待支出</w:t>
      </w:r>
      <w:r>
        <w:rPr>
          <w:rFonts w:hint="eastAsia" w:ascii="仿宋_GB2312" w:hAnsi="仿宋_GB2312" w:eastAsia="仿宋_GB2312" w:cs="仿宋_GB2312"/>
          <w:sz w:val="32"/>
          <w:szCs w:val="32"/>
        </w:rPr>
        <w:t>0万元。</w:t>
      </w:r>
    </w:p>
    <w:p>
      <w:pPr>
        <w:spacing w:line="600" w:lineRule="exact"/>
        <w:ind w:firstLine="640"/>
        <w:outlineLvl w:val="1"/>
        <w:rPr>
          <w:rStyle w:val="25"/>
          <w:rFonts w:ascii="黑体" w:hAnsi="黑体" w:eastAsia="黑体"/>
        </w:rPr>
      </w:pPr>
      <w:bookmarkStart w:id="40" w:name="_Toc15377218"/>
      <w:bookmarkStart w:id="41" w:name="_Toc15396610"/>
      <w:r>
        <w:rPr>
          <w:rFonts w:hint="eastAsia" w:ascii="黑体" w:eastAsia="黑体"/>
          <w:sz w:val="32"/>
          <w:szCs w:val="32"/>
        </w:rPr>
        <w:t>八、</w:t>
      </w:r>
      <w:r>
        <w:rPr>
          <w:rStyle w:val="25"/>
          <w:rFonts w:hint="eastAsia" w:ascii="黑体" w:hAnsi="黑体" w:eastAsia="黑体"/>
          <w:b w:val="0"/>
        </w:rPr>
        <w:t>政府性基金预算支出决算情况说明</w:t>
      </w:r>
      <w:bookmarkEnd w:id="40"/>
      <w:bookmarkEnd w:id="41"/>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21年政府性基金预算财政拨款支出0万元。</w:t>
      </w:r>
    </w:p>
    <w:p>
      <w:pPr>
        <w:numPr>
          <w:ilvl w:val="0"/>
          <w:numId w:val="4"/>
        </w:numPr>
        <w:spacing w:line="600" w:lineRule="exact"/>
        <w:ind w:firstLine="640"/>
        <w:outlineLvl w:val="1"/>
        <w:rPr>
          <w:rStyle w:val="25"/>
          <w:rFonts w:ascii="黑体" w:hAnsi="黑体" w:eastAsia="黑体"/>
          <w:b w:val="0"/>
        </w:rPr>
      </w:pPr>
      <w:bookmarkStart w:id="42" w:name="_Toc15377219"/>
      <w:bookmarkStart w:id="43" w:name="_Toc15396611"/>
      <w:r>
        <w:rPr>
          <w:rStyle w:val="25"/>
          <w:rFonts w:hint="eastAsia" w:ascii="黑体" w:hAnsi="黑体" w:eastAsia="黑体"/>
          <w:b w:val="0"/>
        </w:rPr>
        <w:t>国有资本经营预算支出决算情况说明</w:t>
      </w:r>
      <w:bookmarkEnd w:id="42"/>
      <w:bookmarkEnd w:id="43"/>
    </w:p>
    <w:p>
      <w:pPr>
        <w:spacing w:line="600" w:lineRule="exact"/>
        <w:ind w:firstLine="640"/>
        <w:rPr>
          <w:rFonts w:ascii="方正小标宋简体" w:hAnsi="方正小标宋简体" w:eastAsia="方正小标宋简体" w:cs="方正小标宋简体"/>
          <w:sz w:val="44"/>
          <w:szCs w:val="44"/>
        </w:rPr>
      </w:pPr>
      <w:r>
        <w:rPr>
          <w:rFonts w:ascii="仿宋_GB2312" w:eastAsia="仿宋_GB2312"/>
          <w:sz w:val="32"/>
          <w:szCs w:val="32"/>
        </w:rPr>
        <w:t>20</w:t>
      </w:r>
      <w:r>
        <w:rPr>
          <w:rFonts w:hint="eastAsia" w:ascii="仿宋_GB2312" w:eastAsia="仿宋_GB2312"/>
          <w:sz w:val="32"/>
          <w:szCs w:val="32"/>
        </w:rPr>
        <w:t>21年国有资本经营预算财政拨款支出0万元。</w:t>
      </w:r>
    </w:p>
    <w:p>
      <w:pPr>
        <w:numPr>
          <w:ilvl w:val="0"/>
          <w:numId w:val="4"/>
        </w:numPr>
        <w:spacing w:line="600" w:lineRule="exact"/>
        <w:ind w:firstLine="640"/>
        <w:outlineLvl w:val="1"/>
        <w:rPr>
          <w:rStyle w:val="25"/>
          <w:rFonts w:ascii="黑体" w:hAnsi="黑体" w:eastAsia="黑体"/>
          <w:b w:val="0"/>
        </w:rPr>
      </w:pPr>
      <w:bookmarkStart w:id="44" w:name="_Toc15396612"/>
      <w:bookmarkStart w:id="45" w:name="_Toc15377221"/>
      <w:r>
        <w:rPr>
          <w:rStyle w:val="25"/>
          <w:rFonts w:hint="eastAsia" w:ascii="黑体" w:hAnsi="黑体" w:eastAsia="黑体"/>
          <w:b w:val="0"/>
        </w:rPr>
        <w:t>其他重要事项的情况说明</w:t>
      </w:r>
      <w:bookmarkEnd w:id="44"/>
      <w:bookmarkEnd w:id="45"/>
    </w:p>
    <w:p>
      <w:pPr>
        <w:spacing w:line="600" w:lineRule="exact"/>
        <w:ind w:firstLine="643" w:firstLineChars="200"/>
        <w:outlineLvl w:val="2"/>
        <w:rPr>
          <w:rFonts w:hint="eastAsia" w:ascii="方正楷体_GB2312" w:hAnsi="方正楷体_GB2312" w:eastAsia="方正楷体_GB2312" w:cs="方正楷体_GB2312"/>
          <w:sz w:val="32"/>
          <w:szCs w:val="32"/>
        </w:rPr>
      </w:pPr>
      <w:bookmarkStart w:id="46" w:name="_Toc15377222"/>
      <w:r>
        <w:rPr>
          <w:rFonts w:hint="eastAsia" w:ascii="方正楷体_GB2312" w:hAnsi="方正楷体_GB2312" w:eastAsia="方正楷体_GB2312" w:cs="方正楷体_GB2312"/>
          <w:b/>
          <w:sz w:val="32"/>
          <w:szCs w:val="32"/>
        </w:rPr>
        <w:t>（一）机关运行经费支出情况</w:t>
      </w:r>
      <w:bookmarkEnd w:id="46"/>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2021年，盐边县文化馆</w:t>
      </w:r>
      <w:r>
        <w:rPr>
          <w:rFonts w:hint="eastAsia" w:ascii="仿宋_GB2312" w:hAnsi="仿宋_GB2312" w:eastAsia="仿宋_GB2312" w:cs="仿宋_GB2312"/>
          <w:sz w:val="32"/>
          <w:szCs w:val="32"/>
          <w:lang w:eastAsia="zh-CN"/>
        </w:rPr>
        <w:t>机关</w:t>
      </w:r>
      <w:r>
        <w:rPr>
          <w:rFonts w:hint="eastAsia" w:ascii="仿宋_GB2312" w:hAnsi="仿宋_GB2312" w:eastAsia="仿宋_GB2312" w:cs="仿宋_GB2312"/>
          <w:sz w:val="32"/>
          <w:szCs w:val="32"/>
        </w:rPr>
        <w:t>运行经费支出0万元，与2020年决算数持平。主要原因是本单位是事业单位，无机关运行经费。</w:t>
      </w:r>
    </w:p>
    <w:p>
      <w:pPr>
        <w:autoSpaceDE w:val="0"/>
        <w:autoSpaceDN w:val="0"/>
        <w:adjustRightInd w:val="0"/>
        <w:spacing w:line="600" w:lineRule="exact"/>
        <w:ind w:firstLine="643" w:firstLineChars="200"/>
        <w:jc w:val="left"/>
        <w:outlineLvl w:val="2"/>
        <w:rPr>
          <w:rFonts w:hint="eastAsia" w:ascii="方正楷体_GB2312" w:hAnsi="方正楷体_GB2312" w:eastAsia="方正楷体_GB2312" w:cs="方正楷体_GB2312"/>
          <w:b/>
          <w:sz w:val="32"/>
          <w:szCs w:val="32"/>
        </w:rPr>
      </w:pPr>
      <w:bookmarkStart w:id="47" w:name="_Toc15377223"/>
      <w:r>
        <w:rPr>
          <w:rFonts w:hint="eastAsia" w:ascii="方正楷体_GB2312" w:hAnsi="方正楷体_GB2312" w:eastAsia="方正楷体_GB2312" w:cs="方正楷体_GB2312"/>
          <w:b/>
          <w:sz w:val="32"/>
          <w:szCs w:val="32"/>
        </w:rPr>
        <w:t>（二）政府采购支出情况</w:t>
      </w:r>
      <w:bookmarkEnd w:id="47"/>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2021年，盐边县文化馆政府采购支出总额0万元，其中：政府采购货物支出0万元、政府采购工程支出0万元、政府采购服务支出0万元。授予中小企业合同金额0万元，占政府采购支出总额的0%，其中：授予小微企业合同金额0万元，占政府采购支出总额的0%。</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48" w:name="_Toc15377224"/>
      <w:r>
        <w:rPr>
          <w:rFonts w:hint="eastAsia" w:ascii="方正楷体_GB2312" w:hAnsi="方正楷体_GB2312" w:eastAsia="方正楷体_GB2312" w:cs="方正楷体_GB2312"/>
          <w:b/>
          <w:sz w:val="32"/>
          <w:szCs w:val="32"/>
        </w:rPr>
        <w:t>（三）国有资产占有使用情况</w:t>
      </w:r>
      <w:bookmarkEnd w:id="48"/>
    </w:p>
    <w:p>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日，盐边县文化馆共有车辆1辆，其中：主要领导干部用车0辆、机要通信用车0辆、应急保障用车0辆、其他用车1辆，其他用车主要是用于开展送文化下乡、流动服务活动及文化遗产保护工作。单价</w:t>
      </w:r>
      <w:r>
        <w:rPr>
          <w:rFonts w:ascii="仿宋_GB2312" w:eastAsia="仿宋_GB2312"/>
          <w:sz w:val="32"/>
          <w:szCs w:val="32"/>
        </w:rPr>
        <w:t>50</w:t>
      </w:r>
      <w:r>
        <w:rPr>
          <w:rFonts w:hint="eastAsia" w:ascii="仿宋_GB2312" w:eastAsia="仿宋_GB2312"/>
          <w:sz w:val="32"/>
          <w:szCs w:val="32"/>
        </w:rPr>
        <w:t>万元以上通用设备0台（套），单价</w:t>
      </w:r>
      <w:r>
        <w:rPr>
          <w:rFonts w:ascii="仿宋_GB2312" w:eastAsia="仿宋_GB2312"/>
          <w:sz w:val="32"/>
          <w:szCs w:val="32"/>
        </w:rPr>
        <w:t>100</w:t>
      </w:r>
      <w:r>
        <w:rPr>
          <w:rFonts w:hint="eastAsia" w:ascii="仿宋_GB2312" w:eastAsia="仿宋_GB2312"/>
          <w:sz w:val="32"/>
          <w:szCs w:val="32"/>
        </w:rPr>
        <w:t>万元以上专用设备0台（套）。</w:t>
      </w:r>
    </w:p>
    <w:p>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方正楷体_GB2312" w:hAnsi="方正楷体_GB2312" w:eastAsia="方正楷体_GB2312" w:cs="方正楷体_GB2312"/>
          <w:b/>
          <w:sz w:val="32"/>
          <w:szCs w:val="32"/>
        </w:rPr>
        <w:t>（四）预算绩效管理情况</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单位在2021年度预算编制阶段，组织对公共图书馆文化馆免费开放、国家公共文化服务体系示范区创建项目、2021年度本土优秀人才选拔培养、2021年省级非物质文化遗产传承人补助4个项目开展了预算事前绩效评估，对4个项目编制了绩效目标，预算执行过程中，选取2个项目开展绩效监控，年终执行完毕后，对2个项目开展了绩效自评，2021年特定目标类部门预算项目绩效目标自评表见附件（第四部分）。</w:t>
      </w:r>
    </w:p>
    <w:p>
      <w:pPr>
        <w:widowControl/>
        <w:jc w:val="left"/>
        <w:rPr>
          <w:rFonts w:ascii="仿宋_GB2312" w:eastAsia="仿宋_GB2312"/>
          <w:b/>
          <w:sz w:val="32"/>
          <w:szCs w:val="32"/>
        </w:rPr>
      </w:pPr>
      <w:r>
        <w:rPr>
          <w:rFonts w:ascii="仿宋_GB2312" w:eastAsia="仿宋_GB2312"/>
          <w:b/>
          <w:sz w:val="32"/>
          <w:szCs w:val="32"/>
        </w:rPr>
        <w:br w:type="page"/>
      </w:r>
    </w:p>
    <w:p>
      <w:pPr>
        <w:numPr>
          <w:ilvl w:val="0"/>
          <w:numId w:val="5"/>
        </w:numPr>
        <w:spacing w:line="600" w:lineRule="exact"/>
        <w:ind w:firstLine="660" w:firstLineChars="150"/>
        <w:jc w:val="center"/>
        <w:outlineLvl w:val="0"/>
        <w:rPr>
          <w:rStyle w:val="24"/>
          <w:rFonts w:ascii="黑体" w:hAnsi="黑体" w:eastAsia="黑体"/>
          <w:b w:val="0"/>
        </w:rPr>
      </w:pPr>
      <w:bookmarkStart w:id="49" w:name="_Toc15396613"/>
      <w:bookmarkStart w:id="50" w:name="_Toc15377225"/>
      <w:r>
        <w:rPr>
          <w:rFonts w:hint="eastAsia" w:ascii="黑体" w:hAnsi="黑体" w:eastAsia="黑体"/>
          <w:sz w:val="44"/>
          <w:szCs w:val="44"/>
        </w:rPr>
        <w:t>名</w:t>
      </w:r>
      <w:r>
        <w:rPr>
          <w:rStyle w:val="24"/>
          <w:rFonts w:hint="eastAsia" w:ascii="黑体" w:hAnsi="黑体" w:eastAsia="黑体"/>
          <w:b w:val="0"/>
        </w:rPr>
        <w:t>词解释</w:t>
      </w:r>
      <w:bookmarkEnd w:id="49"/>
      <w:bookmarkEnd w:id="50"/>
    </w:p>
    <w:p>
      <w:pPr>
        <w:spacing w:line="600" w:lineRule="exact"/>
        <w:jc w:val="left"/>
        <w:rPr>
          <w:rFonts w:ascii="宋体"/>
          <w:b/>
          <w:sz w:val="44"/>
          <w:szCs w:val="44"/>
        </w:rPr>
      </w:pPr>
    </w:p>
    <w:p>
      <w:pPr>
        <w:pStyle w:val="22"/>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1.</w:t>
      </w:r>
      <w:r>
        <w:rPr>
          <w:rFonts w:hint="eastAsia" w:ascii="仿宋_GB2312" w:eastAsia="仿宋_GB2312"/>
          <w:color w:val="auto"/>
          <w:sz w:val="32"/>
          <w:szCs w:val="32"/>
        </w:rPr>
        <w:t>财政拨款收入：指单位从同级财政部门取得的财政预算资金。</w:t>
      </w:r>
    </w:p>
    <w:p>
      <w:pPr>
        <w:pStyle w:val="22"/>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2.</w:t>
      </w:r>
      <w:r>
        <w:rPr>
          <w:rFonts w:hint="eastAsia" w:ascii="仿宋_GB2312" w:eastAsia="仿宋_GB2312"/>
          <w:color w:val="auto"/>
          <w:sz w:val="32"/>
          <w:szCs w:val="32"/>
        </w:rPr>
        <w:t>年初结转和结余：指以前年度尚未完成、结转到本年按有关规定继续使用的资金。</w:t>
      </w:r>
      <w:r>
        <w:rPr>
          <w:rFonts w:ascii="仿宋_GB2312" w:eastAsia="仿宋_GB2312"/>
          <w:color w:val="auto"/>
          <w:sz w:val="32"/>
          <w:szCs w:val="32"/>
        </w:rPr>
        <w:t xml:space="preserve"> </w:t>
      </w:r>
    </w:p>
    <w:p>
      <w:pPr>
        <w:pStyle w:val="22"/>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3、年末结转和结余：指单位按有关规定结转到下年或以后年度继续使用的资金。</w:t>
      </w:r>
    </w:p>
    <w:p>
      <w:pPr>
        <w:widowControl/>
        <w:shd w:val="clear" w:color="auto" w:fill="FFFFFF"/>
        <w:spacing w:line="600" w:lineRule="atLeast"/>
        <w:ind w:firstLine="643"/>
        <w:jc w:val="left"/>
        <w:rPr>
          <w:rFonts w:ascii="仿宋_GB2312" w:hAnsi="Calibri" w:eastAsia="仿宋_GB2312" w:cs="仿宋"/>
          <w:kern w:val="0"/>
          <w:sz w:val="32"/>
          <w:szCs w:val="32"/>
        </w:rPr>
      </w:pPr>
      <w:r>
        <w:rPr>
          <w:rFonts w:hint="eastAsia" w:ascii="仿宋_GB2312" w:hAnsi="Calibri" w:eastAsia="仿宋_GB2312" w:cs="仿宋"/>
          <w:kern w:val="0"/>
          <w:sz w:val="32"/>
          <w:szCs w:val="32"/>
        </w:rPr>
        <w:t>4</w:t>
      </w:r>
      <w:r>
        <w:rPr>
          <w:rFonts w:ascii="仿宋_GB2312" w:hAnsi="Calibri" w:eastAsia="仿宋_GB2312" w:cs="仿宋"/>
          <w:kern w:val="0"/>
          <w:sz w:val="32"/>
          <w:szCs w:val="32"/>
        </w:rPr>
        <w:t>.</w:t>
      </w:r>
      <w:r>
        <w:rPr>
          <w:rFonts w:hint="eastAsia" w:ascii="仿宋_GB2312" w:hAnsi="Calibri" w:eastAsia="仿宋_GB2312" w:cs="仿宋"/>
          <w:kern w:val="0"/>
          <w:sz w:val="32"/>
          <w:szCs w:val="32"/>
        </w:rPr>
        <w:t xml:space="preserve"> 文化旅游体育与传媒支出—文化和旅游—群众文化：反映群众文化方面的支出，包括基层文化馆（站）、群众艺术馆支出等。</w:t>
      </w:r>
    </w:p>
    <w:p>
      <w:pPr>
        <w:spacing w:line="600" w:lineRule="exact"/>
        <w:ind w:firstLine="640" w:firstLineChars="200"/>
        <w:rPr>
          <w:rFonts w:ascii="仿宋_GB2312" w:hAnsi="Calibri" w:eastAsia="仿宋_GB2312" w:cs="仿宋"/>
          <w:kern w:val="0"/>
          <w:sz w:val="32"/>
          <w:szCs w:val="32"/>
        </w:rPr>
      </w:pPr>
      <w:r>
        <w:rPr>
          <w:rFonts w:hint="eastAsia" w:ascii="仿宋_GB2312" w:hAnsi="Calibri" w:eastAsia="仿宋_GB2312" w:cs="仿宋"/>
          <w:kern w:val="0"/>
          <w:sz w:val="32"/>
          <w:szCs w:val="32"/>
        </w:rPr>
        <w:t>5.文化旅游体育与传媒支出—文化和旅游—文化创作与保护：反映鼓励文学、艺术创作和优秀传统文化保护方面的支出。</w:t>
      </w:r>
    </w:p>
    <w:p>
      <w:pPr>
        <w:pStyle w:val="2"/>
        <w:spacing w:before="93"/>
        <w:ind w:firstLine="640" w:firstLineChars="200"/>
      </w:pPr>
      <w:r>
        <w:rPr>
          <w:rFonts w:hint="eastAsia" w:hAnsi="Calibri" w:cs="仿宋"/>
          <w:sz w:val="32"/>
          <w:szCs w:val="32"/>
        </w:rPr>
        <w:t>6.文化旅游体育与传媒支出—文化和旅游—其他文化和旅游支出：反映其他用于文化和旅游方面的支出。</w:t>
      </w:r>
    </w:p>
    <w:p>
      <w:pPr>
        <w:spacing w:line="600" w:lineRule="exact"/>
        <w:ind w:firstLine="640" w:firstLineChars="200"/>
        <w:rPr>
          <w:rFonts w:ascii="仿宋_GB2312" w:hAnsi="Calibri" w:eastAsia="仿宋_GB2312" w:cs="仿宋"/>
          <w:kern w:val="0"/>
          <w:sz w:val="32"/>
          <w:szCs w:val="32"/>
        </w:rPr>
      </w:pPr>
      <w:r>
        <w:rPr>
          <w:rFonts w:hint="eastAsia" w:ascii="仿宋_GB2312" w:hAnsi="Calibri" w:eastAsia="仿宋_GB2312" w:cs="仿宋"/>
          <w:kern w:val="0"/>
          <w:sz w:val="32"/>
          <w:szCs w:val="32"/>
        </w:rPr>
        <w:t>7.社会保障和就业支出—行政事业单位养老支出—事业单位离退休:反映事业单位开支的离退休经费。</w:t>
      </w:r>
    </w:p>
    <w:p>
      <w:pPr>
        <w:widowControl/>
        <w:shd w:val="clear" w:color="auto" w:fill="FFFFFF"/>
        <w:spacing w:line="600" w:lineRule="atLeast"/>
        <w:ind w:firstLine="640" w:firstLineChars="200"/>
        <w:jc w:val="left"/>
        <w:rPr>
          <w:rFonts w:ascii="仿宋_GB2312" w:hAnsi="Calibri" w:eastAsia="仿宋_GB2312" w:cs="仿宋"/>
          <w:kern w:val="0"/>
          <w:sz w:val="32"/>
          <w:szCs w:val="32"/>
        </w:rPr>
      </w:pPr>
      <w:r>
        <w:rPr>
          <w:rFonts w:hint="eastAsia" w:ascii="仿宋_GB2312" w:hAnsi="Calibri" w:eastAsia="仿宋_GB2312" w:cs="仿宋"/>
          <w:kern w:val="0"/>
          <w:sz w:val="32"/>
          <w:szCs w:val="32"/>
        </w:rPr>
        <w:t>8.社会保障和就业支出—行政事业单位养老支出—机关事业单位基本养老保险缴费支出：反映机关事业单位实施养老保险制度由单位缴纳的基本养老保险费支出。</w:t>
      </w:r>
    </w:p>
    <w:p>
      <w:pPr>
        <w:widowControl/>
        <w:shd w:val="clear" w:color="auto" w:fill="FFFFFF"/>
        <w:spacing w:line="600" w:lineRule="atLeast"/>
        <w:ind w:firstLine="640" w:firstLineChars="200"/>
        <w:jc w:val="left"/>
        <w:rPr>
          <w:rFonts w:ascii="仿宋_GB2312" w:hAnsi="Calibri" w:eastAsia="仿宋_GB2312" w:cs="仿宋"/>
          <w:kern w:val="0"/>
          <w:sz w:val="32"/>
          <w:szCs w:val="32"/>
        </w:rPr>
      </w:pPr>
      <w:r>
        <w:rPr>
          <w:rFonts w:hint="eastAsia" w:ascii="仿宋_GB2312" w:hAnsi="Calibri" w:eastAsia="仿宋_GB2312" w:cs="仿宋"/>
          <w:kern w:val="0"/>
          <w:sz w:val="32"/>
          <w:szCs w:val="32"/>
        </w:rPr>
        <w:t>9.卫生健康支出—行政事业单位医疗—事业单位医疗：反映财政部门安排的事业单位基本医疗保险缴费经费。</w:t>
      </w:r>
    </w:p>
    <w:p>
      <w:pPr>
        <w:pStyle w:val="2"/>
        <w:spacing w:before="93"/>
      </w:pPr>
      <w:r>
        <w:rPr>
          <w:rFonts w:hint="eastAsia" w:hAnsi="Calibri" w:cs="仿宋"/>
          <w:sz w:val="32"/>
          <w:szCs w:val="32"/>
        </w:rPr>
        <w:t xml:space="preserve">    10.卫生健康支出—行政事业单位医疗—其他行政事业单位医疗支出：反映其他用于行政事业单位医疗方面的支出。</w:t>
      </w:r>
    </w:p>
    <w:p>
      <w:pPr>
        <w:widowControl/>
        <w:shd w:val="clear" w:color="auto" w:fill="FFFFFF"/>
        <w:spacing w:line="600" w:lineRule="atLeast"/>
        <w:ind w:firstLine="640" w:firstLineChars="200"/>
        <w:jc w:val="left"/>
        <w:rPr>
          <w:rFonts w:ascii="仿宋_GB2312" w:hAnsi="Calibri" w:eastAsia="仿宋_GB2312" w:cs="仿宋"/>
          <w:kern w:val="0"/>
          <w:sz w:val="32"/>
          <w:szCs w:val="32"/>
        </w:rPr>
      </w:pPr>
      <w:r>
        <w:rPr>
          <w:rFonts w:hint="eastAsia" w:ascii="仿宋_GB2312" w:hAnsi="Calibri" w:eastAsia="仿宋_GB2312" w:cs="仿宋"/>
          <w:kern w:val="0"/>
          <w:sz w:val="32"/>
          <w:szCs w:val="32"/>
        </w:rPr>
        <w:t>11.住房保障支出—住房改革支出—住房公积金:反映行政事业单位按人力资源和社会保障部、财政部规定的基本工资和津贴补贴以及规定比例为职工缴纳的住房公积金。</w:t>
      </w:r>
    </w:p>
    <w:p>
      <w:pPr>
        <w:ind w:firstLine="640" w:firstLineChars="200"/>
        <w:rPr>
          <w:rFonts w:ascii="仿宋_GB2312" w:eastAsia="仿宋_GB2312"/>
          <w:sz w:val="32"/>
          <w:szCs w:val="32"/>
        </w:rPr>
      </w:pPr>
      <w:r>
        <w:rPr>
          <w:rFonts w:hint="eastAsia" w:ascii="仿宋_GB2312" w:eastAsia="仿宋_GB2312"/>
          <w:sz w:val="32"/>
          <w:szCs w:val="32"/>
        </w:rPr>
        <w:t>12</w:t>
      </w:r>
      <w:r>
        <w:rPr>
          <w:rFonts w:ascii="仿宋_GB2312" w:eastAsia="仿宋_GB2312"/>
          <w:sz w:val="32"/>
          <w:szCs w:val="32"/>
        </w:rPr>
        <w:t>.</w:t>
      </w:r>
      <w:r>
        <w:rPr>
          <w:rFonts w:hint="eastAsia" w:ascii="仿宋_GB2312" w:eastAsia="仿宋_GB2312"/>
          <w:sz w:val="32"/>
          <w:szCs w:val="32"/>
        </w:rPr>
        <w:t>基本支出：指为保障机构正常运转、完成日常工作任务而发生的人员支出和公用支出。</w:t>
      </w:r>
    </w:p>
    <w:p>
      <w:pPr>
        <w:ind w:firstLine="640" w:firstLineChars="200"/>
        <w:rPr>
          <w:rFonts w:ascii="仿宋_GB2312" w:eastAsia="仿宋_GB2312"/>
          <w:sz w:val="32"/>
          <w:szCs w:val="32"/>
        </w:rPr>
      </w:pPr>
      <w:r>
        <w:rPr>
          <w:rFonts w:hint="eastAsia" w:ascii="仿宋_GB2312" w:eastAsia="仿宋_GB2312"/>
          <w:sz w:val="32"/>
          <w:szCs w:val="32"/>
        </w:rPr>
        <w:t>13</w:t>
      </w:r>
      <w:r>
        <w:rPr>
          <w:rFonts w:ascii="仿宋_GB2312" w:eastAsia="仿宋_GB2312"/>
          <w:sz w:val="32"/>
          <w:szCs w:val="32"/>
        </w:rPr>
        <w:t>.</w:t>
      </w:r>
      <w:r>
        <w:rPr>
          <w:rFonts w:hint="eastAsia" w:ascii="仿宋_GB2312" w:eastAsia="仿宋_GB2312"/>
          <w:sz w:val="32"/>
          <w:szCs w:val="32"/>
        </w:rPr>
        <w:t>项目支出：指在基本支出之外为完成特定行政任务和事业发展目标所发生的支出。</w:t>
      </w:r>
      <w:r>
        <w:rPr>
          <w:rFonts w:ascii="仿宋_GB2312" w:eastAsia="仿宋_GB2312"/>
          <w:sz w:val="32"/>
          <w:szCs w:val="32"/>
        </w:rPr>
        <w:t xml:space="preserve"> </w:t>
      </w:r>
    </w:p>
    <w:p>
      <w:pPr>
        <w:pStyle w:val="22"/>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14</w:t>
      </w:r>
      <w:r>
        <w:rPr>
          <w:rFonts w:ascii="仿宋_GB2312" w:eastAsia="仿宋_GB2312"/>
          <w:color w:val="auto"/>
          <w:sz w:val="32"/>
          <w:szCs w:val="32"/>
        </w:rPr>
        <w:t>.</w:t>
      </w:r>
      <w:r>
        <w:rPr>
          <w:rFonts w:hint="eastAsia" w:ascii="仿宋_GB2312" w:eastAsia="仿宋_GB2312"/>
          <w:color w:val="auto"/>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2"/>
        <w:spacing w:line="560" w:lineRule="exact"/>
        <w:ind w:firstLine="640" w:firstLineChars="200"/>
        <w:rPr>
          <w:rFonts w:ascii="仿宋" w:hAnsi="仿宋" w:eastAsia="仿宋"/>
          <w:b/>
          <w:color w:val="000000"/>
          <w:sz w:val="32"/>
          <w:szCs w:val="32"/>
        </w:rPr>
      </w:pPr>
      <w:r>
        <w:rPr>
          <w:rFonts w:hint="eastAsia" w:ascii="仿宋_GB2312" w:eastAsia="仿宋_GB2312"/>
          <w:color w:val="auto"/>
          <w:sz w:val="32"/>
          <w:szCs w:val="32"/>
        </w:rPr>
        <w:t>15</w:t>
      </w:r>
      <w:r>
        <w:rPr>
          <w:rFonts w:ascii="仿宋_GB2312" w:eastAsia="仿宋_GB2312"/>
          <w:color w:val="auto"/>
          <w:sz w:val="32"/>
          <w:szCs w:val="32"/>
        </w:rPr>
        <w:t>.</w:t>
      </w:r>
      <w:r>
        <w:rPr>
          <w:rFonts w:hint="eastAsia" w:ascii="仿宋_GB2312" w:eastAsia="仿宋_GB2312"/>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outlineLvl w:val="0"/>
        <w:rPr>
          <w:rStyle w:val="24"/>
          <w:rFonts w:ascii="黑体" w:hAnsi="黑体" w:eastAsia="黑体"/>
          <w:b w:val="0"/>
        </w:rPr>
      </w:pPr>
      <w:bookmarkStart w:id="51" w:name="_Toc15396614"/>
      <w:bookmarkStart w:id="52" w:name="_Toc15377226"/>
      <w:r>
        <w:rPr>
          <w:rFonts w:hint="eastAsia" w:ascii="黑体" w:hAnsi="黑体" w:eastAsia="黑体"/>
          <w:sz w:val="44"/>
          <w:szCs w:val="44"/>
        </w:rPr>
        <w:t>第</w:t>
      </w:r>
      <w:r>
        <w:rPr>
          <w:rStyle w:val="24"/>
          <w:rFonts w:hint="eastAsia" w:ascii="黑体" w:hAnsi="黑体" w:eastAsia="黑体"/>
          <w:b w:val="0"/>
        </w:rPr>
        <w:t>四部分 附件</w:t>
      </w:r>
      <w:bookmarkEnd w:id="51"/>
    </w:p>
    <w:p>
      <w:pPr>
        <w:spacing w:line="572" w:lineRule="exact"/>
        <w:jc w:val="left"/>
        <w:outlineLvl w:val="0"/>
        <w:rPr>
          <w:rFonts w:hint="eastAsia" w:ascii="仿宋_GB2312" w:hAnsi="仿宋_GB2312" w:eastAsia="黑体" w:cs="仿宋_GB2312"/>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1</w:t>
      </w:r>
    </w:p>
    <w:tbl>
      <w:tblPr>
        <w:tblStyle w:val="12"/>
        <w:tblpPr w:leftFromText="180" w:rightFromText="180" w:vertAnchor="text" w:horzAnchor="page" w:tblpX="1281" w:tblpY="660"/>
        <w:tblOverlap w:val="never"/>
        <w:tblW w:w="9811" w:type="dxa"/>
        <w:tblInd w:w="0" w:type="dxa"/>
        <w:tblLayout w:type="fixed"/>
        <w:tblCellMar>
          <w:top w:w="0" w:type="dxa"/>
          <w:left w:w="108" w:type="dxa"/>
          <w:bottom w:w="0" w:type="dxa"/>
          <w:right w:w="108" w:type="dxa"/>
        </w:tblCellMar>
      </w:tblPr>
      <w:tblGrid>
        <w:gridCol w:w="1976"/>
        <w:gridCol w:w="1142"/>
        <w:gridCol w:w="1635"/>
        <w:gridCol w:w="1189"/>
        <w:gridCol w:w="1224"/>
        <w:gridCol w:w="2409"/>
        <w:gridCol w:w="236"/>
      </w:tblGrid>
      <w:tr>
        <w:tblPrEx>
          <w:tblCellMar>
            <w:top w:w="0" w:type="dxa"/>
            <w:left w:w="108" w:type="dxa"/>
            <w:bottom w:w="0" w:type="dxa"/>
            <w:right w:w="108" w:type="dxa"/>
          </w:tblCellMar>
        </w:tblPrEx>
        <w:trPr>
          <w:trHeight w:val="675" w:hRule="atLeast"/>
        </w:trPr>
        <w:tc>
          <w:tcPr>
            <w:tcW w:w="9575" w:type="dxa"/>
            <w:gridSpan w:val="6"/>
            <w:tcBorders>
              <w:top w:val="nil"/>
              <w:left w:val="nil"/>
              <w:bottom w:val="nil"/>
              <w:right w:val="nil"/>
            </w:tcBorders>
            <w:shd w:val="clear" w:color="auto" w:fill="auto"/>
            <w:vAlign w:val="center"/>
          </w:tcPr>
          <w:p>
            <w:pPr>
              <w:widowControl/>
              <w:textAlignment w:val="center"/>
              <w:rPr>
                <w:rFonts w:ascii="宋体" w:hAnsi="宋体" w:cs="宋体"/>
                <w:b/>
                <w:sz w:val="32"/>
                <w:szCs w:val="32"/>
              </w:rPr>
            </w:pPr>
            <w:bookmarkStart w:id="53" w:name="_Toc15396618"/>
            <w:r>
              <w:rPr>
                <w:rFonts w:hint="eastAsia" w:ascii="宋体" w:hAnsi="宋体" w:cs="宋体"/>
                <w:b/>
                <w:sz w:val="32"/>
                <w:szCs w:val="32"/>
              </w:rPr>
              <w:t>2021年100万元以上（含）特定目标类部门预算项目绩效目标自评</w:t>
            </w:r>
          </w:p>
        </w:tc>
        <w:tc>
          <w:tcPr>
            <w:tcW w:w="236" w:type="dxa"/>
            <w:tcBorders>
              <w:top w:val="nil"/>
              <w:left w:val="nil"/>
              <w:bottom w:val="nil"/>
              <w:right w:val="nil"/>
            </w:tcBorders>
            <w:shd w:val="clear" w:color="auto" w:fill="auto"/>
            <w:vAlign w:val="center"/>
          </w:tcPr>
          <w:p>
            <w:pPr>
              <w:widowControl/>
              <w:jc w:val="center"/>
              <w:textAlignment w:val="center"/>
              <w:rPr>
                <w:rFonts w:ascii="宋体" w:hAnsi="宋体" w:cs="宋体"/>
                <w:b/>
                <w:kern w:val="0"/>
                <w:sz w:val="32"/>
                <w:szCs w:val="32"/>
              </w:rPr>
            </w:pPr>
          </w:p>
        </w:tc>
      </w:tr>
      <w:tr>
        <w:tblPrEx>
          <w:tblCellMar>
            <w:top w:w="0" w:type="dxa"/>
            <w:left w:w="108" w:type="dxa"/>
            <w:bottom w:w="0" w:type="dxa"/>
            <w:right w:w="108" w:type="dxa"/>
          </w:tblCellMar>
        </w:tblPrEx>
        <w:trPr>
          <w:gridAfter w:val="1"/>
          <w:wAfter w:w="236" w:type="dxa"/>
          <w:trHeight w:val="254" w:hRule="atLeast"/>
        </w:trPr>
        <w:tc>
          <w:tcPr>
            <w:tcW w:w="31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主管部门及代码</w:t>
            </w:r>
          </w:p>
        </w:tc>
        <w:tc>
          <w:tcPr>
            <w:tcW w:w="2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ascii="宋体" w:hAnsi="宋体" w:cs="宋体"/>
                <w:sz w:val="24"/>
              </w:rPr>
            </w:pPr>
            <w:r>
              <w:rPr>
                <w:rFonts w:hint="eastAsia" w:ascii="宋体" w:hAnsi="宋体" w:cs="宋体"/>
                <w:sz w:val="24"/>
              </w:rPr>
              <w:t>246001</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实施单位</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sz w:val="24"/>
              </w:rPr>
              <w:t>盐边县文化馆</w:t>
            </w:r>
          </w:p>
        </w:tc>
      </w:tr>
      <w:tr>
        <w:tblPrEx>
          <w:tblCellMar>
            <w:top w:w="0" w:type="dxa"/>
            <w:left w:w="108" w:type="dxa"/>
            <w:bottom w:w="0" w:type="dxa"/>
            <w:right w:w="108" w:type="dxa"/>
          </w:tblCellMar>
        </w:tblPrEx>
        <w:trPr>
          <w:gridAfter w:val="1"/>
          <w:wAfter w:w="236" w:type="dxa"/>
          <w:trHeight w:val="341" w:hRule="atLeast"/>
        </w:trPr>
        <w:tc>
          <w:tcPr>
            <w:tcW w:w="311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项目预算</w:t>
            </w:r>
            <w:r>
              <w:rPr>
                <w:rFonts w:hint="eastAsia" w:ascii="宋体" w:hAnsi="宋体" w:cs="宋体"/>
                <w:kern w:val="0"/>
                <w:sz w:val="24"/>
              </w:rPr>
              <w:br w:type="textWrapping"/>
            </w:r>
            <w:r>
              <w:rPr>
                <w:rFonts w:hint="eastAsia" w:ascii="宋体" w:hAnsi="宋体" w:cs="宋体"/>
                <w:kern w:val="0"/>
                <w:sz w:val="24"/>
              </w:rPr>
              <w:t>执行情况</w:t>
            </w:r>
            <w:r>
              <w:rPr>
                <w:rFonts w:hint="eastAsia" w:ascii="宋体" w:hAnsi="宋体" w:cs="宋体"/>
                <w:kern w:val="0"/>
                <w:sz w:val="24"/>
              </w:rPr>
              <w:br w:type="textWrapping"/>
            </w:r>
            <w:r>
              <w:rPr>
                <w:rFonts w:hint="eastAsia" w:ascii="宋体" w:hAnsi="宋体" w:cs="宋体"/>
                <w:kern w:val="0"/>
                <w:sz w:val="24"/>
              </w:rPr>
              <w:t>（万元）</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预算数：</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sz w:val="24"/>
              </w:rPr>
              <w:t>108.4</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执行数：</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right"/>
              <w:textAlignment w:val="center"/>
              <w:rPr>
                <w:rFonts w:ascii="宋体" w:hAnsi="宋体" w:cs="宋体"/>
                <w:sz w:val="24"/>
              </w:rPr>
            </w:pPr>
            <w:r>
              <w:rPr>
                <w:rFonts w:hint="eastAsia" w:ascii="宋体" w:hAnsi="宋体" w:cs="宋体"/>
                <w:sz w:val="24"/>
              </w:rPr>
              <w:t>108.4</w:t>
            </w:r>
          </w:p>
        </w:tc>
      </w:tr>
      <w:tr>
        <w:tblPrEx>
          <w:tblCellMar>
            <w:top w:w="0" w:type="dxa"/>
            <w:left w:w="108" w:type="dxa"/>
            <w:bottom w:w="0" w:type="dxa"/>
            <w:right w:w="108" w:type="dxa"/>
          </w:tblCellMar>
        </w:tblPrEx>
        <w:trPr>
          <w:gridAfter w:val="1"/>
          <w:wAfter w:w="236" w:type="dxa"/>
          <w:trHeight w:val="555"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sz w:val="24"/>
              </w:rPr>
              <w:t>108.4</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ascii="宋体" w:hAnsi="宋体" w:cs="宋体"/>
                <w:sz w:val="24"/>
              </w:rPr>
            </w:pPr>
            <w:r>
              <w:rPr>
                <w:rFonts w:hint="eastAsia" w:ascii="宋体" w:hAnsi="宋体" w:cs="宋体"/>
                <w:sz w:val="24"/>
              </w:rPr>
              <w:t>108.4</w:t>
            </w:r>
          </w:p>
        </w:tc>
      </w:tr>
      <w:tr>
        <w:tblPrEx>
          <w:tblCellMar>
            <w:top w:w="0" w:type="dxa"/>
            <w:left w:w="108" w:type="dxa"/>
            <w:bottom w:w="0" w:type="dxa"/>
            <w:right w:w="108" w:type="dxa"/>
          </w:tblCellMar>
        </w:tblPrEx>
        <w:trPr>
          <w:gridAfter w:val="1"/>
          <w:wAfter w:w="236" w:type="dxa"/>
          <w:trHeight w:val="341"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p>
        </w:tc>
      </w:tr>
      <w:tr>
        <w:tblPrEx>
          <w:tblCellMar>
            <w:top w:w="0" w:type="dxa"/>
            <w:left w:w="108" w:type="dxa"/>
            <w:bottom w:w="0" w:type="dxa"/>
            <w:right w:w="108" w:type="dxa"/>
          </w:tblCellMar>
        </w:tblPrEx>
        <w:trPr>
          <w:gridAfter w:val="1"/>
          <w:wAfter w:w="236" w:type="dxa"/>
          <w:trHeight w:val="217" w:hRule="atLeast"/>
        </w:trPr>
        <w:tc>
          <w:tcPr>
            <w:tcW w:w="19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24"/>
              </w:rPr>
            </w:pPr>
            <w:r>
              <w:rPr>
                <w:rFonts w:hint="eastAsia" w:ascii="宋体" w:hAnsi="宋体" w:cs="宋体"/>
                <w:kern w:val="0"/>
                <w:sz w:val="24"/>
              </w:rPr>
              <w:t>年度总体目标</w:t>
            </w:r>
          </w:p>
          <w:p>
            <w:pPr>
              <w:widowControl/>
              <w:spacing w:line="320" w:lineRule="exact"/>
              <w:jc w:val="center"/>
              <w:textAlignment w:val="center"/>
              <w:rPr>
                <w:rFonts w:ascii="宋体" w:hAnsi="宋体" w:cs="宋体"/>
                <w:sz w:val="24"/>
              </w:rPr>
            </w:pPr>
            <w:r>
              <w:rPr>
                <w:rFonts w:hint="eastAsia" w:ascii="宋体" w:hAnsi="宋体" w:cs="宋体"/>
                <w:kern w:val="0"/>
                <w:sz w:val="24"/>
              </w:rPr>
              <w:t>完成情况</w:t>
            </w: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预期目标</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目标实际完成情况</w:t>
            </w:r>
          </w:p>
        </w:tc>
      </w:tr>
      <w:tr>
        <w:tblPrEx>
          <w:tblCellMar>
            <w:top w:w="0" w:type="dxa"/>
            <w:left w:w="108" w:type="dxa"/>
            <w:bottom w:w="0" w:type="dxa"/>
            <w:right w:w="108" w:type="dxa"/>
          </w:tblCellMar>
        </w:tblPrEx>
        <w:trPr>
          <w:gridAfter w:val="1"/>
          <w:wAfter w:w="236" w:type="dxa"/>
          <w:trHeight w:val="797" w:hRule="atLeast"/>
        </w:trPr>
        <w:tc>
          <w:tcPr>
            <w:tcW w:w="19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宋体" w:hAnsi="宋体" w:cs="宋体"/>
                <w:sz w:val="24"/>
              </w:rPr>
            </w:pPr>
            <w:r>
              <w:rPr>
                <w:rFonts w:hint="eastAsia" w:ascii="宋体" w:hAnsi="宋体" w:cs="宋体"/>
                <w:sz w:val="24"/>
              </w:rPr>
              <w:t>完善文化馆和图书馆数字化建设，改善免费开放场所环境，为广大群众提供更便捷、更方便的文化活动场所，满足广大读者的阅读需求和文化活动需求。</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宋体" w:hAnsi="宋体" w:cs="宋体"/>
                <w:sz w:val="24"/>
              </w:rPr>
            </w:pPr>
            <w:r>
              <w:rPr>
                <w:rFonts w:hint="eastAsia" w:ascii="宋体" w:hAnsi="宋体" w:cs="宋体"/>
                <w:sz w:val="24"/>
              </w:rPr>
              <w:t>完成了文化馆和图书馆数字化建设，对文化馆和图书馆各免费开放室和宣传栏进行改建,完成图书加工56000册。</w:t>
            </w:r>
          </w:p>
        </w:tc>
      </w:tr>
      <w:tr>
        <w:tblPrEx>
          <w:tblCellMar>
            <w:top w:w="0" w:type="dxa"/>
            <w:left w:w="108" w:type="dxa"/>
            <w:bottom w:w="0" w:type="dxa"/>
            <w:right w:w="108" w:type="dxa"/>
          </w:tblCellMar>
        </w:tblPrEx>
        <w:trPr>
          <w:gridAfter w:val="1"/>
          <w:wAfter w:w="236" w:type="dxa"/>
          <w:trHeight w:val="693" w:hRule="atLeast"/>
        </w:trPr>
        <w:tc>
          <w:tcPr>
            <w:tcW w:w="1976"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年度绩效指标完成情况</w:t>
            </w:r>
          </w:p>
        </w:tc>
        <w:tc>
          <w:tcPr>
            <w:tcW w:w="1142"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一级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三级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预期指标值</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实际完成指标值</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完成</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数量指标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数字化建设</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1项</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100%</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8"/>
                <w:szCs w:val="28"/>
              </w:rPr>
            </w:pPr>
          </w:p>
        </w:tc>
        <w:tc>
          <w:tcPr>
            <w:tcW w:w="1635" w:type="dxa"/>
            <w:vMerge w:val="continue"/>
            <w:tcBorders>
              <w:left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图书管理系统购置</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5套</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100%</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8"/>
                <w:szCs w:val="28"/>
              </w:rPr>
            </w:pPr>
          </w:p>
        </w:tc>
        <w:tc>
          <w:tcPr>
            <w:tcW w:w="1635" w:type="dxa"/>
            <w:vMerge w:val="continue"/>
            <w:tcBorders>
              <w:left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移动图书馆</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1套</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100%</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8"/>
                <w:szCs w:val="28"/>
              </w:rPr>
            </w:pPr>
          </w:p>
        </w:tc>
        <w:tc>
          <w:tcPr>
            <w:tcW w:w="1635" w:type="dxa"/>
            <w:vMerge w:val="continue"/>
            <w:tcBorders>
              <w:left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图书加工</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56000册</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100%</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8"/>
                <w:szCs w:val="28"/>
              </w:rPr>
            </w:pPr>
          </w:p>
        </w:tc>
        <w:tc>
          <w:tcPr>
            <w:tcW w:w="1635" w:type="dxa"/>
            <w:vMerge w:val="continue"/>
            <w:tcBorders>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免费开放场所升级改造</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4项</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100%</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质量指标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严格按质量完成</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全部完成</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100%</w:t>
            </w:r>
          </w:p>
        </w:tc>
      </w:tr>
      <w:tr>
        <w:tblPrEx>
          <w:tblCellMar>
            <w:top w:w="0" w:type="dxa"/>
            <w:left w:w="108" w:type="dxa"/>
            <w:bottom w:w="0" w:type="dxa"/>
            <w:right w:w="108" w:type="dxa"/>
          </w:tblCellMar>
        </w:tblPrEx>
        <w:trPr>
          <w:gridAfter w:val="1"/>
          <w:wAfter w:w="236" w:type="dxa"/>
          <w:trHeight w:val="413"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时效指标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2021年1月-12月完成</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全部完成</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100%</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成本指标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数字化建设1项</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53.8万元</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100%</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vMerge w:val="continue"/>
            <w:tcBorders>
              <w:left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图书管理系统购置5套</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7万元</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100%</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vMerge w:val="continue"/>
            <w:tcBorders>
              <w:left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移动图书馆1套</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2万元</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100%</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vMerge w:val="continue"/>
            <w:tcBorders>
              <w:left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图书加工5600册</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9.8万元</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100%</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vMerge w:val="continue"/>
            <w:tcBorders>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免费开放场所升级改造4项</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35.8万元</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100%</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效益</w:t>
            </w:r>
            <w:r>
              <w:rPr>
                <w:rFonts w:hint="eastAsia" w:ascii="仿宋_GB2312" w:hAnsi="仿宋_GB2312" w:eastAsia="仿宋_GB2312" w:cs="仿宋_GB2312"/>
                <w:kern w:val="0"/>
                <w:sz w:val="28"/>
                <w:szCs w:val="28"/>
              </w:rPr>
              <w:br w:type="textWrapping"/>
            </w: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经济效益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公益项目不产生经济效益</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社会效益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保障群众基本文化权益，提升群</w:t>
            </w:r>
            <w:r>
              <w:rPr>
                <w:rFonts w:hint="eastAsia" w:ascii="仿宋_GB2312" w:hAnsi="仿宋_GB2312" w:eastAsia="仿宋_GB2312" w:cs="仿宋_GB2312"/>
                <w:sz w:val="28"/>
                <w:szCs w:val="28"/>
                <w:lang w:eastAsia="zh-CN"/>
              </w:rPr>
              <w:t>众</w:t>
            </w:r>
            <w:r>
              <w:rPr>
                <w:rFonts w:hint="eastAsia" w:ascii="仿宋_GB2312" w:hAnsi="仿宋_GB2312" w:eastAsia="仿宋_GB2312" w:cs="仿宋_GB2312"/>
                <w:sz w:val="28"/>
                <w:szCs w:val="28"/>
              </w:rPr>
              <w:t>文化生活品质</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长期有效</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长期有效</w:t>
            </w:r>
          </w:p>
        </w:tc>
      </w:tr>
      <w:tr>
        <w:tblPrEx>
          <w:tblCellMar>
            <w:top w:w="0" w:type="dxa"/>
            <w:left w:w="108" w:type="dxa"/>
            <w:bottom w:w="0" w:type="dxa"/>
            <w:right w:w="108" w:type="dxa"/>
          </w:tblCellMar>
        </w:tblPrEx>
        <w:trPr>
          <w:gridAfter w:val="1"/>
          <w:wAfter w:w="236" w:type="dxa"/>
          <w:trHeight w:val="577"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ind w:left="463" w:leftChars="87" w:hanging="280" w:hangingChars="100"/>
              <w:jc w:val="left"/>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生态效益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无噪音、无污染、无固废</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可持续影响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丰富广大群众精神文化生活，满足广大群众各类文化需求</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长期开展</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长期开展</w:t>
            </w:r>
          </w:p>
        </w:tc>
      </w:tr>
      <w:tr>
        <w:tblPrEx>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满意</w:t>
            </w:r>
            <w:r>
              <w:rPr>
                <w:rFonts w:hint="eastAsia" w:ascii="仿宋_GB2312" w:hAnsi="仿宋_GB2312" w:eastAsia="仿宋_GB2312" w:cs="仿宋_GB2312"/>
                <w:kern w:val="0"/>
                <w:sz w:val="28"/>
                <w:szCs w:val="28"/>
              </w:rPr>
              <w:br w:type="textWrapping"/>
            </w:r>
            <w:r>
              <w:rPr>
                <w:rFonts w:hint="eastAsia" w:ascii="仿宋_GB2312" w:hAnsi="仿宋_GB2312" w:eastAsia="仿宋_GB2312" w:cs="仿宋_GB2312"/>
                <w:kern w:val="0"/>
                <w:sz w:val="28"/>
                <w:szCs w:val="28"/>
              </w:rPr>
              <w:t>度指标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满意度</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服务对象满意率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ascii="Arial" w:hAnsi="Arial" w:eastAsia="仿宋_GB2312" w:cs="Arial"/>
                <w:sz w:val="28"/>
                <w:szCs w:val="28"/>
              </w:rPr>
              <w:t>≥</w:t>
            </w:r>
            <w:r>
              <w:rPr>
                <w:rFonts w:hint="eastAsia" w:ascii="仿宋_GB2312" w:hAnsi="仿宋_GB2312" w:eastAsia="仿宋_GB2312" w:cs="仿宋_GB2312"/>
                <w:sz w:val="28"/>
                <w:szCs w:val="28"/>
              </w:rPr>
              <w:t>95%</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ascii="Arial" w:hAnsi="Arial" w:eastAsia="仿宋_GB2312" w:cs="Arial"/>
                <w:sz w:val="28"/>
                <w:szCs w:val="28"/>
              </w:rPr>
              <w:t>≥</w:t>
            </w:r>
            <w:r>
              <w:rPr>
                <w:rFonts w:hint="eastAsia" w:ascii="仿宋_GB2312" w:hAnsi="仿宋_GB2312" w:eastAsia="仿宋_GB2312" w:cs="仿宋_GB2312"/>
                <w:sz w:val="28"/>
                <w:szCs w:val="28"/>
              </w:rPr>
              <w:t>95%</w:t>
            </w:r>
          </w:p>
        </w:tc>
      </w:tr>
    </w:tbl>
    <w:p>
      <w:pPr>
        <w:spacing w:line="600" w:lineRule="exact"/>
        <w:jc w:val="center"/>
        <w:outlineLvl w:val="0"/>
        <w:rPr>
          <w:rFonts w:ascii="黑体" w:hAnsi="黑体" w:eastAsia="黑体"/>
          <w:sz w:val="44"/>
          <w:szCs w:val="44"/>
        </w:rPr>
      </w:pPr>
    </w:p>
    <w:p>
      <w:pPr>
        <w:spacing w:line="572" w:lineRule="exact"/>
        <w:jc w:val="left"/>
        <w:outlineLvl w:val="0"/>
        <w:rPr>
          <w:rFonts w:hint="eastAsia" w:ascii="黑体" w:hAnsi="黑体" w:eastAsia="黑体" w:cs="黑体"/>
          <w:sz w:val="32"/>
          <w:szCs w:val="32"/>
        </w:rPr>
      </w:pPr>
    </w:p>
    <w:p>
      <w:pPr>
        <w:spacing w:line="572" w:lineRule="exact"/>
        <w:jc w:val="left"/>
        <w:outlineLvl w:val="0"/>
        <w:rPr>
          <w:rFonts w:hint="eastAsia" w:ascii="仿宋_GB2312" w:hAnsi="仿宋_GB2312" w:eastAsia="黑体" w:cs="仿宋_GB2312"/>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2</w:t>
      </w:r>
    </w:p>
    <w:tbl>
      <w:tblPr>
        <w:tblStyle w:val="12"/>
        <w:tblpPr w:leftFromText="180" w:rightFromText="180" w:vertAnchor="text" w:horzAnchor="page" w:tblpX="1281" w:tblpY="660"/>
        <w:tblOverlap w:val="never"/>
        <w:tblW w:w="9811" w:type="dxa"/>
        <w:tblInd w:w="0" w:type="dxa"/>
        <w:tblLayout w:type="fixed"/>
        <w:tblCellMar>
          <w:top w:w="0" w:type="dxa"/>
          <w:left w:w="108" w:type="dxa"/>
          <w:bottom w:w="0" w:type="dxa"/>
          <w:right w:w="108" w:type="dxa"/>
        </w:tblCellMar>
      </w:tblPr>
      <w:tblGrid>
        <w:gridCol w:w="1976"/>
        <w:gridCol w:w="1142"/>
        <w:gridCol w:w="1635"/>
        <w:gridCol w:w="1189"/>
        <w:gridCol w:w="1224"/>
        <w:gridCol w:w="2409"/>
        <w:gridCol w:w="236"/>
      </w:tblGrid>
      <w:tr>
        <w:tblPrEx>
          <w:tblCellMar>
            <w:top w:w="0" w:type="dxa"/>
            <w:left w:w="108" w:type="dxa"/>
            <w:bottom w:w="0" w:type="dxa"/>
            <w:right w:w="108" w:type="dxa"/>
          </w:tblCellMar>
        </w:tblPrEx>
        <w:trPr>
          <w:trHeight w:val="675" w:hRule="atLeast"/>
        </w:trPr>
        <w:tc>
          <w:tcPr>
            <w:tcW w:w="9575" w:type="dxa"/>
            <w:gridSpan w:val="6"/>
            <w:tcBorders>
              <w:top w:val="nil"/>
              <w:left w:val="nil"/>
              <w:bottom w:val="nil"/>
              <w:right w:val="nil"/>
            </w:tcBorders>
            <w:shd w:val="clear" w:color="auto" w:fill="auto"/>
            <w:vAlign w:val="center"/>
          </w:tcPr>
          <w:p>
            <w:pPr>
              <w:widowControl/>
              <w:textAlignment w:val="center"/>
              <w:rPr>
                <w:rFonts w:ascii="宋体" w:hAnsi="宋体" w:cs="宋体"/>
                <w:b/>
                <w:sz w:val="32"/>
                <w:szCs w:val="32"/>
              </w:rPr>
            </w:pPr>
            <w:r>
              <w:rPr>
                <w:rFonts w:hint="eastAsia" w:ascii="宋体" w:hAnsi="宋体" w:cs="宋体"/>
                <w:b/>
                <w:sz w:val="32"/>
                <w:szCs w:val="32"/>
              </w:rPr>
              <w:t>2021年100万元以上（含）特定目标类部门预算项目绩效目标自评</w:t>
            </w:r>
          </w:p>
        </w:tc>
        <w:tc>
          <w:tcPr>
            <w:tcW w:w="236" w:type="dxa"/>
            <w:tcBorders>
              <w:top w:val="nil"/>
              <w:left w:val="nil"/>
              <w:bottom w:val="nil"/>
              <w:right w:val="nil"/>
            </w:tcBorders>
            <w:shd w:val="clear" w:color="auto" w:fill="auto"/>
            <w:vAlign w:val="center"/>
          </w:tcPr>
          <w:p>
            <w:pPr>
              <w:widowControl/>
              <w:jc w:val="center"/>
              <w:textAlignment w:val="center"/>
              <w:rPr>
                <w:rFonts w:ascii="宋体" w:hAnsi="宋体" w:cs="宋体"/>
                <w:b/>
                <w:kern w:val="0"/>
                <w:sz w:val="32"/>
                <w:szCs w:val="32"/>
              </w:rPr>
            </w:pPr>
          </w:p>
        </w:tc>
      </w:tr>
      <w:tr>
        <w:tblPrEx>
          <w:tblCellMar>
            <w:top w:w="0" w:type="dxa"/>
            <w:left w:w="108" w:type="dxa"/>
            <w:bottom w:w="0" w:type="dxa"/>
            <w:right w:w="108" w:type="dxa"/>
          </w:tblCellMar>
        </w:tblPrEx>
        <w:trPr>
          <w:gridAfter w:val="1"/>
          <w:wAfter w:w="236" w:type="dxa"/>
          <w:trHeight w:val="254" w:hRule="atLeast"/>
        </w:trPr>
        <w:tc>
          <w:tcPr>
            <w:tcW w:w="31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主管部门及代码</w:t>
            </w:r>
          </w:p>
        </w:tc>
        <w:tc>
          <w:tcPr>
            <w:tcW w:w="2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ascii="宋体" w:hAnsi="宋体" w:cs="宋体"/>
                <w:sz w:val="24"/>
              </w:rPr>
            </w:pPr>
            <w:r>
              <w:rPr>
                <w:rFonts w:hint="eastAsia" w:ascii="宋体" w:hAnsi="宋体" w:cs="宋体"/>
                <w:sz w:val="24"/>
              </w:rPr>
              <w:t>246001</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实施单位</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sz w:val="24"/>
              </w:rPr>
              <w:t>盐边县文化馆</w:t>
            </w:r>
          </w:p>
        </w:tc>
      </w:tr>
      <w:tr>
        <w:tblPrEx>
          <w:tblCellMar>
            <w:top w:w="0" w:type="dxa"/>
            <w:left w:w="108" w:type="dxa"/>
            <w:bottom w:w="0" w:type="dxa"/>
            <w:right w:w="108" w:type="dxa"/>
          </w:tblCellMar>
        </w:tblPrEx>
        <w:trPr>
          <w:gridAfter w:val="1"/>
          <w:wAfter w:w="236" w:type="dxa"/>
          <w:trHeight w:val="341" w:hRule="atLeast"/>
        </w:trPr>
        <w:tc>
          <w:tcPr>
            <w:tcW w:w="311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项目预算</w:t>
            </w:r>
            <w:r>
              <w:rPr>
                <w:rFonts w:hint="eastAsia" w:ascii="宋体" w:hAnsi="宋体" w:cs="宋体"/>
                <w:kern w:val="0"/>
                <w:sz w:val="24"/>
              </w:rPr>
              <w:br w:type="textWrapping"/>
            </w:r>
            <w:r>
              <w:rPr>
                <w:rFonts w:hint="eastAsia" w:ascii="宋体" w:hAnsi="宋体" w:cs="宋体"/>
                <w:kern w:val="0"/>
                <w:sz w:val="24"/>
              </w:rPr>
              <w:t>执行情况</w:t>
            </w:r>
            <w:r>
              <w:rPr>
                <w:rFonts w:hint="eastAsia" w:ascii="宋体" w:hAnsi="宋体" w:cs="宋体"/>
                <w:kern w:val="0"/>
                <w:sz w:val="24"/>
              </w:rPr>
              <w:br w:type="textWrapping"/>
            </w:r>
            <w:r>
              <w:rPr>
                <w:rFonts w:hint="eastAsia" w:ascii="宋体" w:hAnsi="宋体" w:cs="宋体"/>
                <w:kern w:val="0"/>
                <w:sz w:val="24"/>
              </w:rPr>
              <w:t>（万元）</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预算数：</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eastAsia" w:ascii="宋体" w:hAnsi="宋体" w:eastAsia="宋体" w:cs="宋体"/>
                <w:sz w:val="24"/>
                <w:lang w:val="en-US" w:eastAsia="zh-CN"/>
              </w:rPr>
            </w:pPr>
            <w:r>
              <w:rPr>
                <w:rFonts w:hint="eastAsia" w:ascii="宋体" w:hAnsi="宋体" w:cs="宋体"/>
                <w:sz w:val="24"/>
                <w:lang w:val="en-US" w:eastAsia="zh-CN"/>
              </w:rPr>
              <w:t>40</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执行数：</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right"/>
              <w:textAlignment w:val="center"/>
              <w:rPr>
                <w:rFonts w:hint="eastAsia" w:ascii="宋体" w:hAnsi="宋体" w:eastAsia="宋体" w:cs="宋体"/>
                <w:sz w:val="24"/>
                <w:lang w:val="en-US" w:eastAsia="zh-CN"/>
              </w:rPr>
            </w:pPr>
            <w:r>
              <w:rPr>
                <w:rFonts w:hint="eastAsia" w:ascii="宋体" w:hAnsi="宋体" w:cs="宋体"/>
                <w:sz w:val="24"/>
                <w:lang w:val="en-US" w:eastAsia="zh-CN"/>
              </w:rPr>
              <w:t>40</w:t>
            </w:r>
          </w:p>
        </w:tc>
      </w:tr>
      <w:tr>
        <w:tblPrEx>
          <w:tblCellMar>
            <w:top w:w="0" w:type="dxa"/>
            <w:left w:w="108" w:type="dxa"/>
            <w:bottom w:w="0" w:type="dxa"/>
            <w:right w:w="108" w:type="dxa"/>
          </w:tblCellMar>
        </w:tblPrEx>
        <w:trPr>
          <w:gridAfter w:val="1"/>
          <w:wAfter w:w="236" w:type="dxa"/>
          <w:trHeight w:val="555"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eastAsia" w:ascii="宋体" w:hAnsi="宋体" w:eastAsia="宋体" w:cs="宋体"/>
                <w:sz w:val="24"/>
                <w:lang w:val="en-US" w:eastAsia="zh-CN"/>
              </w:rPr>
            </w:pPr>
            <w:r>
              <w:rPr>
                <w:rFonts w:hint="eastAsia" w:ascii="宋体" w:hAnsi="宋体" w:cs="宋体"/>
                <w:sz w:val="24"/>
                <w:lang w:val="en-US" w:eastAsia="zh-CN"/>
              </w:rPr>
              <w:t>40</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hint="eastAsia" w:ascii="宋体" w:hAnsi="宋体" w:eastAsia="宋体" w:cs="宋体"/>
                <w:sz w:val="24"/>
                <w:lang w:val="en-US" w:eastAsia="zh-CN"/>
              </w:rPr>
            </w:pPr>
            <w:r>
              <w:rPr>
                <w:rFonts w:hint="eastAsia" w:ascii="宋体" w:hAnsi="宋体" w:cs="宋体"/>
                <w:sz w:val="24"/>
                <w:lang w:val="en-US" w:eastAsia="zh-CN"/>
              </w:rPr>
              <w:t>40</w:t>
            </w:r>
          </w:p>
        </w:tc>
      </w:tr>
      <w:tr>
        <w:tblPrEx>
          <w:tblCellMar>
            <w:top w:w="0" w:type="dxa"/>
            <w:left w:w="108" w:type="dxa"/>
            <w:bottom w:w="0" w:type="dxa"/>
            <w:right w:w="108" w:type="dxa"/>
          </w:tblCellMar>
        </w:tblPrEx>
        <w:trPr>
          <w:gridAfter w:val="1"/>
          <w:wAfter w:w="236" w:type="dxa"/>
          <w:trHeight w:val="341"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p>
        </w:tc>
      </w:tr>
      <w:tr>
        <w:tblPrEx>
          <w:tblCellMar>
            <w:top w:w="0" w:type="dxa"/>
            <w:left w:w="108" w:type="dxa"/>
            <w:bottom w:w="0" w:type="dxa"/>
            <w:right w:w="108" w:type="dxa"/>
          </w:tblCellMar>
        </w:tblPrEx>
        <w:trPr>
          <w:gridAfter w:val="1"/>
          <w:wAfter w:w="236" w:type="dxa"/>
          <w:trHeight w:val="217" w:hRule="atLeast"/>
        </w:trPr>
        <w:tc>
          <w:tcPr>
            <w:tcW w:w="19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24"/>
              </w:rPr>
            </w:pPr>
            <w:r>
              <w:rPr>
                <w:rFonts w:hint="eastAsia" w:ascii="宋体" w:hAnsi="宋体" w:cs="宋体"/>
                <w:kern w:val="0"/>
                <w:sz w:val="24"/>
              </w:rPr>
              <w:t>年度总体目标</w:t>
            </w:r>
          </w:p>
          <w:p>
            <w:pPr>
              <w:widowControl/>
              <w:spacing w:line="320" w:lineRule="exact"/>
              <w:jc w:val="center"/>
              <w:textAlignment w:val="center"/>
              <w:rPr>
                <w:rFonts w:ascii="宋体" w:hAnsi="宋体" w:cs="宋体"/>
                <w:sz w:val="24"/>
              </w:rPr>
            </w:pPr>
            <w:r>
              <w:rPr>
                <w:rFonts w:hint="eastAsia" w:ascii="宋体" w:hAnsi="宋体" w:cs="宋体"/>
                <w:kern w:val="0"/>
                <w:sz w:val="24"/>
              </w:rPr>
              <w:t>完成情况</w:t>
            </w: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预期目标</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目标实际完成情况</w:t>
            </w:r>
          </w:p>
        </w:tc>
      </w:tr>
      <w:tr>
        <w:tblPrEx>
          <w:tblCellMar>
            <w:top w:w="0" w:type="dxa"/>
            <w:left w:w="108" w:type="dxa"/>
            <w:bottom w:w="0" w:type="dxa"/>
            <w:right w:w="108" w:type="dxa"/>
          </w:tblCellMar>
        </w:tblPrEx>
        <w:trPr>
          <w:gridAfter w:val="1"/>
          <w:wAfter w:w="236" w:type="dxa"/>
          <w:trHeight w:val="797" w:hRule="atLeast"/>
        </w:trPr>
        <w:tc>
          <w:tcPr>
            <w:tcW w:w="19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hint="eastAsia" w:ascii="宋体" w:hAnsi="宋体" w:eastAsia="宋体" w:cs="宋体"/>
                <w:sz w:val="24"/>
                <w:lang w:eastAsia="zh-CN"/>
              </w:rPr>
            </w:pPr>
            <w:r>
              <w:rPr>
                <w:rFonts w:hint="eastAsia" w:ascii="宋体" w:hAnsi="宋体" w:cs="宋体"/>
                <w:sz w:val="24"/>
              </w:rPr>
              <w:t>免费开放文化馆和图书馆两个场馆，共15个功能室，每周开放时间不少于60小时</w:t>
            </w:r>
            <w:r>
              <w:rPr>
                <w:rFonts w:hint="eastAsia" w:ascii="宋体" w:hAnsi="宋体" w:cs="宋体"/>
                <w:sz w:val="24"/>
                <w:lang w:eastAsia="zh-CN"/>
              </w:rPr>
              <w:t>，开展流动服务、展览、培训等公益性活动。</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hint="eastAsia" w:ascii="宋体" w:hAnsi="宋体" w:eastAsia="宋体" w:cs="宋体"/>
                <w:sz w:val="24"/>
                <w:lang w:eastAsia="zh-CN"/>
              </w:rPr>
            </w:pPr>
            <w:r>
              <w:rPr>
                <w:rFonts w:hint="eastAsia" w:ascii="宋体" w:hAnsi="宋体" w:cs="宋体"/>
                <w:sz w:val="24"/>
              </w:rPr>
              <w:t>免费开放文化馆和图书馆两个场馆，共15个功能室，每周开放时间不少于60小时，借阅图书</w:t>
            </w:r>
            <w:r>
              <w:rPr>
                <w:rFonts w:hint="eastAsia" w:ascii="宋体" w:hAnsi="宋体" w:cs="宋体"/>
                <w:sz w:val="24"/>
                <w:lang w:val="en-US" w:eastAsia="zh-CN"/>
              </w:rPr>
              <w:t>4</w:t>
            </w:r>
            <w:r>
              <w:rPr>
                <w:rFonts w:hint="eastAsia" w:ascii="宋体" w:hAnsi="宋体" w:cs="宋体"/>
                <w:sz w:val="24"/>
              </w:rPr>
              <w:t>万余册次，接待读者6万余人次，开展流动服务</w:t>
            </w:r>
            <w:r>
              <w:rPr>
                <w:rFonts w:hint="eastAsia" w:ascii="宋体" w:hAnsi="宋体" w:cs="宋体"/>
                <w:sz w:val="24"/>
                <w:lang w:eastAsia="zh-CN"/>
              </w:rPr>
              <w:t>、展览、培训等活动</w:t>
            </w:r>
            <w:r>
              <w:rPr>
                <w:rFonts w:hint="eastAsia" w:ascii="宋体" w:hAnsi="宋体" w:cs="宋体"/>
                <w:sz w:val="24"/>
              </w:rPr>
              <w:t>40余场</w:t>
            </w:r>
            <w:r>
              <w:rPr>
                <w:rFonts w:hint="eastAsia" w:ascii="宋体" w:hAnsi="宋体" w:cs="宋体"/>
                <w:sz w:val="24"/>
                <w:lang w:eastAsia="zh-CN"/>
              </w:rPr>
              <w:t>。</w:t>
            </w:r>
          </w:p>
        </w:tc>
      </w:tr>
      <w:tr>
        <w:tblPrEx>
          <w:tblCellMar>
            <w:top w:w="0" w:type="dxa"/>
            <w:left w:w="108" w:type="dxa"/>
            <w:bottom w:w="0" w:type="dxa"/>
            <w:right w:w="108" w:type="dxa"/>
          </w:tblCellMar>
        </w:tblPrEx>
        <w:trPr>
          <w:gridAfter w:val="1"/>
          <w:wAfter w:w="236" w:type="dxa"/>
          <w:trHeight w:val="693" w:hRule="atLeast"/>
        </w:trPr>
        <w:tc>
          <w:tcPr>
            <w:tcW w:w="1976"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年度绩效指标完成情况</w:t>
            </w:r>
          </w:p>
        </w:tc>
        <w:tc>
          <w:tcPr>
            <w:tcW w:w="1142"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一级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三级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预期指标值</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实际完成指标值</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完成</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数量指标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免费开放文化馆</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eastAsia="zh-CN"/>
              </w:rPr>
              <w:t>个</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100%</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8"/>
                <w:szCs w:val="28"/>
              </w:rPr>
            </w:pPr>
          </w:p>
        </w:tc>
        <w:tc>
          <w:tcPr>
            <w:tcW w:w="1635" w:type="dxa"/>
            <w:vMerge w:val="continue"/>
            <w:tcBorders>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免费开放图书馆</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1个</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100%</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质量指标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严格按质量完成</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全部完成</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100%</w:t>
            </w:r>
          </w:p>
        </w:tc>
      </w:tr>
      <w:tr>
        <w:tblPrEx>
          <w:tblCellMar>
            <w:top w:w="0" w:type="dxa"/>
            <w:left w:w="108" w:type="dxa"/>
            <w:bottom w:w="0" w:type="dxa"/>
            <w:right w:w="108" w:type="dxa"/>
          </w:tblCellMar>
        </w:tblPrEx>
        <w:trPr>
          <w:gridAfter w:val="1"/>
          <w:wAfter w:w="236" w:type="dxa"/>
          <w:trHeight w:val="413"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时效指标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202</w:t>
            </w: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rPr>
              <w:t>年1月-12月完成</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全部完成</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100%</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成本指标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免费开放文化馆</w:t>
            </w:r>
            <w:r>
              <w:rPr>
                <w:rFonts w:hint="eastAsia" w:ascii="仿宋_GB2312" w:hAnsi="仿宋_GB2312" w:eastAsia="仿宋_GB2312" w:cs="仿宋_GB2312"/>
                <w:sz w:val="28"/>
                <w:szCs w:val="28"/>
                <w:lang w:val="en-US" w:eastAsia="zh-CN"/>
              </w:rPr>
              <w:t>1个</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20万元</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100%</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vMerge w:val="continue"/>
            <w:tcBorders>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rPr>
            </w:pP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免费开放图书馆</w:t>
            </w:r>
            <w:r>
              <w:rPr>
                <w:rFonts w:hint="eastAsia" w:ascii="仿宋_GB2312" w:hAnsi="仿宋_GB2312" w:eastAsia="仿宋_GB2312" w:cs="仿宋_GB2312"/>
                <w:sz w:val="28"/>
                <w:szCs w:val="28"/>
                <w:lang w:val="en-US" w:eastAsia="zh-CN"/>
              </w:rPr>
              <w:t>1个</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20万元</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100%</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效益</w:t>
            </w:r>
            <w:r>
              <w:rPr>
                <w:rFonts w:hint="eastAsia" w:ascii="仿宋_GB2312" w:hAnsi="仿宋_GB2312" w:eastAsia="仿宋_GB2312" w:cs="仿宋_GB2312"/>
                <w:kern w:val="0"/>
                <w:sz w:val="28"/>
                <w:szCs w:val="28"/>
              </w:rPr>
              <w:br w:type="textWrapping"/>
            </w: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经济效益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公益项目不产生经济效益</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社会效益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保障群众基本文化权益，提升群</w:t>
            </w:r>
            <w:r>
              <w:rPr>
                <w:rFonts w:hint="eastAsia" w:ascii="仿宋_GB2312" w:hAnsi="仿宋_GB2312" w:eastAsia="仿宋_GB2312" w:cs="仿宋_GB2312"/>
                <w:sz w:val="28"/>
                <w:szCs w:val="28"/>
                <w:lang w:eastAsia="zh-CN"/>
              </w:rPr>
              <w:t>众</w:t>
            </w:r>
            <w:r>
              <w:rPr>
                <w:rFonts w:hint="eastAsia" w:ascii="仿宋_GB2312" w:hAnsi="仿宋_GB2312" w:eastAsia="仿宋_GB2312" w:cs="仿宋_GB2312"/>
                <w:sz w:val="28"/>
                <w:szCs w:val="28"/>
              </w:rPr>
              <w:t>文化生活品质</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长期有效</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长期有效</w:t>
            </w:r>
          </w:p>
        </w:tc>
      </w:tr>
      <w:tr>
        <w:tblPrEx>
          <w:tblCellMar>
            <w:top w:w="0" w:type="dxa"/>
            <w:left w:w="108" w:type="dxa"/>
            <w:bottom w:w="0" w:type="dxa"/>
            <w:right w:w="108" w:type="dxa"/>
          </w:tblCellMar>
        </w:tblPrEx>
        <w:trPr>
          <w:gridAfter w:val="1"/>
          <w:wAfter w:w="236" w:type="dxa"/>
          <w:trHeight w:val="577"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ind w:left="463" w:leftChars="87" w:hanging="280" w:hangingChars="100"/>
              <w:jc w:val="left"/>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生态效益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无噪音、无污染、无固废</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可持续影响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丰富广大群众精神文化生活，满足广大群众各类文化需求</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长期开展</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长期开展</w:t>
            </w:r>
          </w:p>
        </w:tc>
      </w:tr>
      <w:tr>
        <w:tblPrEx>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满意</w:t>
            </w:r>
            <w:r>
              <w:rPr>
                <w:rFonts w:hint="eastAsia" w:ascii="仿宋_GB2312" w:hAnsi="仿宋_GB2312" w:eastAsia="仿宋_GB2312" w:cs="仿宋_GB2312"/>
                <w:kern w:val="0"/>
                <w:sz w:val="28"/>
                <w:szCs w:val="28"/>
              </w:rPr>
              <w:br w:type="textWrapping"/>
            </w:r>
            <w:r>
              <w:rPr>
                <w:rFonts w:hint="eastAsia" w:ascii="仿宋_GB2312" w:hAnsi="仿宋_GB2312" w:eastAsia="仿宋_GB2312" w:cs="仿宋_GB2312"/>
                <w:kern w:val="0"/>
                <w:sz w:val="28"/>
                <w:szCs w:val="28"/>
              </w:rPr>
              <w:t>度指标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满意度</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服务对象满意率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ascii="Arial" w:hAnsi="Arial" w:eastAsia="仿宋_GB2312" w:cs="Arial"/>
                <w:sz w:val="28"/>
                <w:szCs w:val="28"/>
              </w:rPr>
              <w:t>≥</w:t>
            </w:r>
            <w:r>
              <w:rPr>
                <w:rFonts w:hint="eastAsia" w:ascii="仿宋_GB2312" w:hAnsi="仿宋_GB2312" w:eastAsia="仿宋_GB2312" w:cs="仿宋_GB2312"/>
                <w:sz w:val="28"/>
                <w:szCs w:val="28"/>
              </w:rPr>
              <w:t>95%</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ascii="Arial" w:hAnsi="Arial" w:eastAsia="仿宋_GB2312" w:cs="Arial"/>
                <w:sz w:val="28"/>
                <w:szCs w:val="28"/>
              </w:rPr>
              <w:t>≥</w:t>
            </w:r>
            <w:r>
              <w:rPr>
                <w:rFonts w:hint="eastAsia" w:ascii="仿宋_GB2312" w:hAnsi="仿宋_GB2312" w:eastAsia="仿宋_GB2312" w:cs="仿宋_GB2312"/>
                <w:sz w:val="28"/>
                <w:szCs w:val="28"/>
              </w:rPr>
              <w:t>95%</w:t>
            </w:r>
          </w:p>
        </w:tc>
      </w:tr>
    </w:tbl>
    <w:p>
      <w:pPr>
        <w:widowControl/>
        <w:adjustRightInd w:val="0"/>
        <w:snapToGrid w:val="0"/>
        <w:spacing w:line="580" w:lineRule="exact"/>
        <w:contextualSpacing/>
        <w:jc w:val="left"/>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pStyle w:val="2"/>
        <w:rPr>
          <w:rFonts w:hint="eastAsia"/>
        </w:rPr>
      </w:pPr>
    </w:p>
    <w:p>
      <w:pPr>
        <w:spacing w:line="600" w:lineRule="exact"/>
        <w:jc w:val="center"/>
        <w:outlineLvl w:val="0"/>
        <w:rPr>
          <w:rFonts w:ascii="仿宋" w:hAnsi="仿宋" w:eastAsia="仿宋"/>
        </w:rPr>
      </w:pPr>
      <w:r>
        <w:rPr>
          <w:rFonts w:hint="eastAsia" w:ascii="黑体" w:hAnsi="黑体" w:eastAsia="黑体"/>
          <w:sz w:val="44"/>
          <w:szCs w:val="44"/>
        </w:rPr>
        <w:t>第</w:t>
      </w:r>
      <w:r>
        <w:rPr>
          <w:rStyle w:val="24"/>
          <w:rFonts w:hint="eastAsia" w:ascii="黑体" w:hAnsi="黑体" w:eastAsia="黑体"/>
          <w:b w:val="0"/>
        </w:rPr>
        <w:t>五部分 附表</w:t>
      </w:r>
      <w:bookmarkEnd w:id="52"/>
      <w:bookmarkEnd w:id="53"/>
      <w:bookmarkStart w:id="54" w:name="_Toc15396619"/>
    </w:p>
    <w:p>
      <w:pPr>
        <w:pStyle w:val="4"/>
        <w:rPr>
          <w:rFonts w:ascii="仿宋" w:hAnsi="仿宋" w:eastAsia="仿宋"/>
        </w:rPr>
      </w:pPr>
      <w:r>
        <w:rPr>
          <w:rFonts w:hint="eastAsia" w:ascii="仿宋" w:hAnsi="仿宋" w:eastAsia="仿宋"/>
          <w:b w:val="0"/>
        </w:rPr>
        <w:t>一、收</w:t>
      </w:r>
      <w:r>
        <w:rPr>
          <w:rStyle w:val="25"/>
          <w:rFonts w:hint="eastAsia" w:ascii="仿宋" w:hAnsi="仿宋" w:eastAsia="仿宋"/>
          <w:b w:val="0"/>
          <w:bCs w:val="0"/>
        </w:rPr>
        <w:t>入支出决算总表</w:t>
      </w:r>
      <w:bookmarkEnd w:id="54"/>
    </w:p>
    <w:p>
      <w:pPr>
        <w:pStyle w:val="4"/>
        <w:rPr>
          <w:rFonts w:ascii="仿宋" w:hAnsi="仿宋" w:eastAsia="仿宋"/>
        </w:rPr>
      </w:pPr>
      <w:bookmarkStart w:id="55" w:name="_Toc15396620"/>
      <w:r>
        <w:rPr>
          <w:rFonts w:hint="eastAsia" w:ascii="仿宋" w:hAnsi="仿宋" w:eastAsia="仿宋"/>
          <w:b w:val="0"/>
        </w:rPr>
        <w:t>二、收</w:t>
      </w:r>
      <w:r>
        <w:rPr>
          <w:rStyle w:val="25"/>
          <w:rFonts w:hint="eastAsia" w:ascii="仿宋" w:hAnsi="仿宋" w:eastAsia="仿宋"/>
          <w:b w:val="0"/>
          <w:bCs w:val="0"/>
        </w:rPr>
        <w:t>入决算表</w:t>
      </w:r>
      <w:bookmarkEnd w:id="55"/>
    </w:p>
    <w:p>
      <w:pPr>
        <w:pStyle w:val="4"/>
        <w:rPr>
          <w:rFonts w:ascii="仿宋" w:hAnsi="仿宋" w:eastAsia="仿宋"/>
        </w:rPr>
      </w:pPr>
      <w:bookmarkStart w:id="56" w:name="_Toc15396621"/>
      <w:r>
        <w:rPr>
          <w:rStyle w:val="25"/>
          <w:rFonts w:hint="eastAsia" w:ascii="仿宋" w:hAnsi="仿宋" w:eastAsia="仿宋"/>
          <w:b w:val="0"/>
          <w:bCs w:val="0"/>
        </w:rPr>
        <w:t>三、</w:t>
      </w:r>
      <w:r>
        <w:rPr>
          <w:rFonts w:hint="eastAsia" w:ascii="仿宋" w:hAnsi="仿宋" w:eastAsia="仿宋"/>
          <w:b w:val="0"/>
        </w:rPr>
        <w:t>支</w:t>
      </w:r>
      <w:r>
        <w:rPr>
          <w:rStyle w:val="25"/>
          <w:rFonts w:hint="eastAsia" w:ascii="仿宋" w:hAnsi="仿宋" w:eastAsia="仿宋"/>
          <w:b w:val="0"/>
          <w:bCs w:val="0"/>
        </w:rPr>
        <w:t>出决算表</w:t>
      </w:r>
      <w:bookmarkEnd w:id="56"/>
    </w:p>
    <w:p>
      <w:pPr>
        <w:pStyle w:val="4"/>
        <w:rPr>
          <w:rFonts w:ascii="仿宋" w:hAnsi="仿宋" w:eastAsia="仿宋"/>
          <w:b w:val="0"/>
        </w:rPr>
      </w:pPr>
      <w:bookmarkStart w:id="57" w:name="_Toc15396622"/>
      <w:r>
        <w:rPr>
          <w:rStyle w:val="25"/>
          <w:rFonts w:hint="eastAsia" w:ascii="仿宋" w:hAnsi="仿宋" w:eastAsia="仿宋"/>
          <w:b w:val="0"/>
          <w:bCs w:val="0"/>
        </w:rPr>
        <w:t>四、</w:t>
      </w:r>
      <w:r>
        <w:rPr>
          <w:rFonts w:hint="eastAsia" w:ascii="仿宋" w:hAnsi="仿宋" w:eastAsia="仿宋"/>
          <w:b w:val="0"/>
        </w:rPr>
        <w:t>财</w:t>
      </w:r>
      <w:r>
        <w:rPr>
          <w:rStyle w:val="25"/>
          <w:rFonts w:hint="eastAsia" w:ascii="仿宋" w:hAnsi="仿宋" w:eastAsia="仿宋"/>
          <w:b w:val="0"/>
          <w:bCs w:val="0"/>
        </w:rPr>
        <w:t>政拨款收入支出决算总表</w:t>
      </w:r>
      <w:bookmarkEnd w:id="57"/>
    </w:p>
    <w:p>
      <w:pPr>
        <w:pStyle w:val="4"/>
        <w:rPr>
          <w:rStyle w:val="25"/>
          <w:rFonts w:ascii="仿宋" w:hAnsi="仿宋" w:eastAsia="仿宋"/>
          <w:b w:val="0"/>
          <w:bCs w:val="0"/>
        </w:rPr>
      </w:pPr>
      <w:bookmarkStart w:id="58" w:name="_Toc15396623"/>
      <w:r>
        <w:rPr>
          <w:rStyle w:val="25"/>
          <w:rFonts w:hint="eastAsia" w:ascii="仿宋" w:hAnsi="仿宋" w:eastAsia="仿宋"/>
          <w:b w:val="0"/>
          <w:bCs w:val="0"/>
        </w:rPr>
        <w:t>五、</w:t>
      </w:r>
      <w:r>
        <w:rPr>
          <w:rFonts w:hint="eastAsia" w:ascii="仿宋" w:hAnsi="仿宋" w:eastAsia="仿宋"/>
          <w:b w:val="0"/>
        </w:rPr>
        <w:t>财</w:t>
      </w:r>
      <w:r>
        <w:rPr>
          <w:rStyle w:val="25"/>
          <w:rFonts w:hint="eastAsia" w:ascii="仿宋" w:hAnsi="仿宋" w:eastAsia="仿宋"/>
          <w:b w:val="0"/>
          <w:bCs w:val="0"/>
        </w:rPr>
        <w:t>政拨款支出决算明细表</w:t>
      </w:r>
      <w:bookmarkEnd w:id="58"/>
      <w:bookmarkStart w:id="59" w:name="_Toc15396624"/>
    </w:p>
    <w:p>
      <w:pPr>
        <w:pStyle w:val="4"/>
        <w:rPr>
          <w:rFonts w:ascii="仿宋" w:hAnsi="仿宋" w:eastAsia="仿宋"/>
        </w:rPr>
      </w:pPr>
      <w:r>
        <w:rPr>
          <w:rStyle w:val="25"/>
          <w:rFonts w:hint="eastAsia" w:ascii="仿宋" w:hAnsi="仿宋" w:eastAsia="仿宋"/>
          <w:b w:val="0"/>
          <w:bCs w:val="0"/>
        </w:rPr>
        <w:t>六、</w:t>
      </w:r>
      <w:r>
        <w:rPr>
          <w:rFonts w:hint="eastAsia" w:ascii="仿宋" w:hAnsi="仿宋" w:eastAsia="仿宋"/>
          <w:b w:val="0"/>
        </w:rPr>
        <w:t>一</w:t>
      </w:r>
      <w:r>
        <w:rPr>
          <w:rStyle w:val="25"/>
          <w:rFonts w:hint="eastAsia" w:ascii="仿宋" w:hAnsi="仿宋" w:eastAsia="仿宋"/>
          <w:b w:val="0"/>
          <w:bCs w:val="0"/>
        </w:rPr>
        <w:t>般公共预算财政拨款支出决算表</w:t>
      </w:r>
      <w:bookmarkEnd w:id="59"/>
    </w:p>
    <w:p>
      <w:pPr>
        <w:pStyle w:val="4"/>
        <w:rPr>
          <w:rFonts w:ascii="仿宋" w:hAnsi="仿宋" w:eastAsia="仿宋"/>
        </w:rPr>
      </w:pPr>
      <w:bookmarkStart w:id="60" w:name="_Toc15396625"/>
      <w:r>
        <w:rPr>
          <w:rStyle w:val="25"/>
          <w:rFonts w:hint="eastAsia" w:ascii="仿宋" w:hAnsi="仿宋" w:eastAsia="仿宋"/>
          <w:b w:val="0"/>
          <w:bCs w:val="0"/>
        </w:rPr>
        <w:t>七、</w:t>
      </w:r>
      <w:r>
        <w:rPr>
          <w:rFonts w:hint="eastAsia" w:ascii="仿宋" w:hAnsi="仿宋" w:eastAsia="仿宋"/>
          <w:b w:val="0"/>
        </w:rPr>
        <w:t>一</w:t>
      </w:r>
      <w:r>
        <w:rPr>
          <w:rStyle w:val="25"/>
          <w:rFonts w:hint="eastAsia" w:ascii="仿宋" w:hAnsi="仿宋" w:eastAsia="仿宋"/>
          <w:b w:val="0"/>
          <w:bCs w:val="0"/>
        </w:rPr>
        <w:t>般公共预算财政拨款支出决算明细表</w:t>
      </w:r>
      <w:bookmarkEnd w:id="60"/>
    </w:p>
    <w:p>
      <w:pPr>
        <w:pStyle w:val="4"/>
        <w:rPr>
          <w:rFonts w:ascii="仿宋" w:hAnsi="仿宋" w:eastAsia="仿宋"/>
        </w:rPr>
      </w:pPr>
      <w:bookmarkStart w:id="61" w:name="_Toc15396626"/>
      <w:r>
        <w:rPr>
          <w:rStyle w:val="25"/>
          <w:rFonts w:hint="eastAsia" w:ascii="仿宋" w:hAnsi="仿宋" w:eastAsia="仿宋"/>
          <w:b w:val="0"/>
          <w:bCs w:val="0"/>
        </w:rPr>
        <w:t>八、</w:t>
      </w:r>
      <w:r>
        <w:rPr>
          <w:rFonts w:hint="eastAsia" w:ascii="仿宋" w:hAnsi="仿宋" w:eastAsia="仿宋"/>
          <w:b w:val="0"/>
        </w:rPr>
        <w:t>一</w:t>
      </w:r>
      <w:r>
        <w:rPr>
          <w:rStyle w:val="25"/>
          <w:rFonts w:hint="eastAsia" w:ascii="仿宋" w:hAnsi="仿宋" w:eastAsia="仿宋"/>
          <w:b w:val="0"/>
          <w:bCs w:val="0"/>
        </w:rPr>
        <w:t>般公共预算财政拨款基本支出决算表</w:t>
      </w:r>
      <w:bookmarkEnd w:id="61"/>
    </w:p>
    <w:p>
      <w:pPr>
        <w:pStyle w:val="4"/>
        <w:rPr>
          <w:rFonts w:ascii="仿宋" w:hAnsi="仿宋" w:eastAsia="仿宋"/>
        </w:rPr>
      </w:pPr>
      <w:bookmarkStart w:id="62" w:name="_Toc15396627"/>
      <w:r>
        <w:rPr>
          <w:rStyle w:val="25"/>
          <w:rFonts w:hint="eastAsia" w:ascii="仿宋" w:hAnsi="仿宋" w:eastAsia="仿宋"/>
          <w:b w:val="0"/>
          <w:bCs w:val="0"/>
        </w:rPr>
        <w:t>九、</w:t>
      </w:r>
      <w:r>
        <w:rPr>
          <w:rFonts w:hint="eastAsia" w:ascii="仿宋" w:hAnsi="仿宋" w:eastAsia="仿宋"/>
          <w:b w:val="0"/>
        </w:rPr>
        <w:t>一</w:t>
      </w:r>
      <w:r>
        <w:rPr>
          <w:rStyle w:val="25"/>
          <w:rFonts w:hint="eastAsia" w:ascii="仿宋" w:hAnsi="仿宋" w:eastAsia="仿宋"/>
          <w:b w:val="0"/>
          <w:bCs w:val="0"/>
        </w:rPr>
        <w:t>般公共预算财政拨款项目支出决算表</w:t>
      </w:r>
      <w:bookmarkEnd w:id="62"/>
    </w:p>
    <w:p>
      <w:pPr>
        <w:pStyle w:val="4"/>
        <w:rPr>
          <w:rFonts w:ascii="仿宋" w:hAnsi="仿宋" w:eastAsia="仿宋"/>
        </w:rPr>
      </w:pPr>
      <w:bookmarkStart w:id="63" w:name="_Toc15396628"/>
      <w:r>
        <w:rPr>
          <w:rStyle w:val="25"/>
          <w:rFonts w:hint="eastAsia" w:ascii="仿宋" w:hAnsi="仿宋" w:eastAsia="仿宋"/>
          <w:b w:val="0"/>
          <w:bCs w:val="0"/>
        </w:rPr>
        <w:t>十、</w:t>
      </w:r>
      <w:r>
        <w:rPr>
          <w:rFonts w:hint="eastAsia" w:ascii="仿宋" w:hAnsi="仿宋" w:eastAsia="仿宋"/>
          <w:b w:val="0"/>
        </w:rPr>
        <w:t>一</w:t>
      </w:r>
      <w:r>
        <w:rPr>
          <w:rStyle w:val="25"/>
          <w:rFonts w:hint="eastAsia" w:ascii="仿宋" w:hAnsi="仿宋" w:eastAsia="仿宋"/>
          <w:b w:val="0"/>
          <w:bCs w:val="0"/>
        </w:rPr>
        <w:t>般公共预算财政拨款“三公”经费支出决算表</w:t>
      </w:r>
      <w:bookmarkEnd w:id="63"/>
    </w:p>
    <w:p>
      <w:pPr>
        <w:pStyle w:val="4"/>
        <w:rPr>
          <w:rFonts w:ascii="仿宋" w:hAnsi="仿宋" w:eastAsia="仿宋"/>
        </w:rPr>
      </w:pPr>
      <w:bookmarkStart w:id="64" w:name="_Toc15396629"/>
      <w:r>
        <w:rPr>
          <w:rStyle w:val="25"/>
          <w:rFonts w:hint="eastAsia" w:ascii="仿宋" w:hAnsi="仿宋" w:eastAsia="仿宋"/>
          <w:b w:val="0"/>
          <w:bCs w:val="0"/>
        </w:rPr>
        <w:t>十一、</w:t>
      </w:r>
      <w:r>
        <w:rPr>
          <w:rFonts w:hint="eastAsia" w:ascii="仿宋" w:hAnsi="仿宋" w:eastAsia="仿宋"/>
          <w:b w:val="0"/>
        </w:rPr>
        <w:t>政</w:t>
      </w:r>
      <w:r>
        <w:rPr>
          <w:rStyle w:val="25"/>
          <w:rFonts w:hint="eastAsia" w:ascii="仿宋" w:hAnsi="仿宋" w:eastAsia="仿宋"/>
          <w:b w:val="0"/>
          <w:bCs w:val="0"/>
        </w:rPr>
        <w:t>府性基金预算财政拨款收入支出决算表</w:t>
      </w:r>
      <w:bookmarkEnd w:id="64"/>
    </w:p>
    <w:p>
      <w:pPr>
        <w:pStyle w:val="4"/>
        <w:rPr>
          <w:rFonts w:ascii="仿宋" w:hAnsi="仿宋" w:eastAsia="仿宋"/>
        </w:rPr>
      </w:pPr>
      <w:bookmarkStart w:id="65" w:name="_Toc15396630"/>
      <w:r>
        <w:rPr>
          <w:rStyle w:val="25"/>
          <w:rFonts w:hint="eastAsia" w:ascii="仿宋" w:hAnsi="仿宋" w:eastAsia="仿宋"/>
          <w:b w:val="0"/>
          <w:bCs w:val="0"/>
        </w:rPr>
        <w:t>十二、</w:t>
      </w:r>
      <w:r>
        <w:rPr>
          <w:rFonts w:hint="eastAsia" w:ascii="仿宋" w:hAnsi="仿宋" w:eastAsia="仿宋"/>
          <w:b w:val="0"/>
        </w:rPr>
        <w:t>政</w:t>
      </w:r>
      <w:r>
        <w:rPr>
          <w:rStyle w:val="25"/>
          <w:rFonts w:hint="eastAsia" w:ascii="仿宋" w:hAnsi="仿宋" w:eastAsia="仿宋"/>
          <w:b w:val="0"/>
          <w:bCs w:val="0"/>
        </w:rPr>
        <w:t>府性基金预算财政拨款“三公”经费支出决算表</w:t>
      </w:r>
      <w:bookmarkEnd w:id="65"/>
    </w:p>
    <w:p>
      <w:pPr>
        <w:pStyle w:val="4"/>
        <w:rPr>
          <w:rStyle w:val="25"/>
          <w:rFonts w:ascii="仿宋" w:hAnsi="仿宋" w:eastAsia="仿宋"/>
          <w:b w:val="0"/>
          <w:bCs w:val="0"/>
        </w:rPr>
      </w:pPr>
      <w:bookmarkStart w:id="66" w:name="_Toc15396631"/>
      <w:r>
        <w:rPr>
          <w:rStyle w:val="25"/>
          <w:rFonts w:hint="eastAsia" w:ascii="仿宋" w:hAnsi="仿宋" w:eastAsia="仿宋"/>
          <w:b w:val="0"/>
          <w:bCs w:val="0"/>
        </w:rPr>
        <w:t>十三、</w:t>
      </w:r>
      <w:r>
        <w:rPr>
          <w:rFonts w:hint="eastAsia" w:ascii="仿宋" w:hAnsi="仿宋" w:eastAsia="仿宋"/>
          <w:b w:val="0"/>
        </w:rPr>
        <w:t>国</w:t>
      </w:r>
      <w:r>
        <w:rPr>
          <w:rStyle w:val="25"/>
          <w:rFonts w:hint="eastAsia" w:ascii="仿宋" w:hAnsi="仿宋" w:eastAsia="仿宋"/>
          <w:b w:val="0"/>
          <w:bCs w:val="0"/>
        </w:rPr>
        <w:t>有资本经营预算财政拨款收入支出决算表</w:t>
      </w:r>
      <w:bookmarkEnd w:id="66"/>
    </w:p>
    <w:p>
      <w:pPr>
        <w:rPr>
          <w:rFonts w:eastAsia="仿宋"/>
        </w:rPr>
      </w:pPr>
      <w:r>
        <w:rPr>
          <w:rStyle w:val="25"/>
          <w:rFonts w:hint="eastAsia" w:ascii="仿宋" w:hAnsi="仿宋" w:eastAsia="仿宋"/>
          <w:b w:val="0"/>
          <w:bCs w:val="0"/>
        </w:rPr>
        <w:t>十四、国有资本经营预算财政拨款支出决算表</w:t>
      </w:r>
    </w:p>
    <w:sectPr>
      <w:headerReference r:id="rId4" w:type="first"/>
      <w:footerReference r:id="rId6" w:type="first"/>
      <w:headerReference r:id="rId3" w:type="default"/>
      <w:footerReference r:id="rId5" w:type="default"/>
      <w:pgSz w:w="11906" w:h="16838"/>
      <w:pgMar w:top="1440" w:right="1800" w:bottom="1440" w:left="1800" w:header="851" w:footer="992" w:gutter="0"/>
      <w:pgNumType w:fmt="decimal"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97EE8C3C-EB93-42B3-8BE2-F833D23D11C0}"/>
  </w:font>
  <w:font w:name="黑体">
    <w:panose1 w:val="02010609060101010101"/>
    <w:charset w:val="86"/>
    <w:family w:val="auto"/>
    <w:pitch w:val="default"/>
    <w:sig w:usb0="800002BF" w:usb1="38CF7CFA" w:usb2="00000016" w:usb3="00000000" w:csb0="00040001" w:csb1="00000000"/>
    <w:embedRegular r:id="rId2" w:fontKey="{E36A92F9-FDBF-4E0D-9F3D-71C53B694DE3}"/>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3" w:fontKey="{4820425E-73D4-42FC-B9E6-CE81635C4DFC}"/>
  </w:font>
  <w:font w:name="Cambria">
    <w:panose1 w:val="02040503050406030204"/>
    <w:charset w:val="00"/>
    <w:family w:val="roman"/>
    <w:pitch w:val="default"/>
    <w:sig w:usb0="E00002FF" w:usb1="400004FF" w:usb2="00000000" w:usb3="00000000" w:csb0="2000019F" w:csb1="00000000"/>
    <w:embedRegular r:id="rId4" w:fontKey="{51D6AC87-281C-4970-8E51-B33D564DC23F}"/>
  </w:font>
  <w:font w:name="仿宋_GB2312">
    <w:panose1 w:val="02010609030101010101"/>
    <w:charset w:val="86"/>
    <w:family w:val="modern"/>
    <w:pitch w:val="default"/>
    <w:sig w:usb0="00000001" w:usb1="080E0000" w:usb2="00000000" w:usb3="00000000" w:csb0="00040000" w:csb1="00000000"/>
    <w:embedRegular r:id="rId5" w:fontKey="{1866E700-0081-4233-B1EF-0A20382CD032}"/>
  </w:font>
  <w:font w:name="仿宋">
    <w:panose1 w:val="02010609060101010101"/>
    <w:charset w:val="86"/>
    <w:family w:val="modern"/>
    <w:pitch w:val="default"/>
    <w:sig w:usb0="800002BF" w:usb1="38CF7CFA" w:usb2="00000016" w:usb3="00000000" w:csb0="00040001" w:csb1="00000000"/>
    <w:embedRegular r:id="rId6" w:fontKey="{870CC42B-0513-4CDC-A141-9C7C18FDE5CD}"/>
  </w:font>
  <w:font w:name="方正小标宋简体">
    <w:panose1 w:val="03000509000000000000"/>
    <w:charset w:val="86"/>
    <w:family w:val="script"/>
    <w:pitch w:val="default"/>
    <w:sig w:usb0="00000001" w:usb1="080E0000" w:usb2="00000000" w:usb3="00000000" w:csb0="00040000" w:csb1="00000000"/>
    <w:embedRegular r:id="rId7" w:fontKey="{482E882F-7CAC-4D72-8FE5-08826868CA23}"/>
  </w:font>
  <w:font w:name="楷体_GB2312">
    <w:altName w:val="楷体"/>
    <w:panose1 w:val="02010609030101010101"/>
    <w:charset w:val="86"/>
    <w:family w:val="auto"/>
    <w:pitch w:val="default"/>
    <w:sig w:usb0="00000000" w:usb1="00000000" w:usb2="00000000" w:usb3="00000000" w:csb0="00040000" w:csb1="00000000"/>
    <w:embedRegular r:id="rId8" w:fontKey="{BAE86B0F-9210-4CD9-9363-9D8906B37596}"/>
  </w:font>
  <w:font w:name="楷体">
    <w:panose1 w:val="02010609060101010101"/>
    <w:charset w:val="86"/>
    <w:family w:val="auto"/>
    <w:pitch w:val="default"/>
    <w:sig w:usb0="800002BF" w:usb1="38CF7CFA" w:usb2="00000016" w:usb3="00000000" w:csb0="00040001" w:csb1="00000000"/>
  </w:font>
  <w:font w:name="方正仿宋_GB2312">
    <w:panose1 w:val="02000000000000000000"/>
    <w:charset w:val="86"/>
    <w:family w:val="auto"/>
    <w:pitch w:val="default"/>
    <w:sig w:usb0="A00002BF" w:usb1="184F6CFA" w:usb2="00000012" w:usb3="00000000" w:csb0="00040001" w:csb1="00000000"/>
  </w:font>
  <w:font w:name="方正楷体_GB2312">
    <w:panose1 w:val="02000000000000000000"/>
    <w:charset w:val="86"/>
    <w:family w:val="auto"/>
    <w:pitch w:val="default"/>
    <w:sig w:usb0="A00002BF" w:usb1="184F6CFA" w:usb2="00000012" w:usb3="00000000" w:csb0="00040001" w:csb1="00000000"/>
    <w:embedRegular r:id="rId9" w:fontKey="{F0ADDCF2-D982-4343-85E5-9273414E4EA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sdt>
                          <w:sdtPr>
                            <w:id w:val="-1994781956"/>
                          </w:sdtPr>
                          <w:sdtContent>
                            <w:p>
                              <w:pPr>
                                <w:pStyle w:val="8"/>
                                <w:jc w:val="center"/>
                              </w:pPr>
                              <w:r>
                                <w:fldChar w:fldCharType="begin"/>
                              </w:r>
                              <w:r>
                                <w:instrText xml:space="preserve">PAGE   \* MERGEFORMAT</w:instrText>
                              </w:r>
                              <w:r>
                                <w:fldChar w:fldCharType="separate"/>
                              </w:r>
                              <w:r>
                                <w:rPr>
                                  <w:lang w:val="zh-CN"/>
                                </w:rPr>
                                <w:t>4</w:t>
                              </w:r>
                              <w:r>
                                <w:fldChar w:fldCharType="end"/>
                              </w:r>
                            </w:p>
                          </w:sdtContent>
                        </w:sdt>
                        <w:p>
                          <w:pPr>
                            <w:pStyle w:val="2"/>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sdt>
                    <w:sdtPr>
                      <w:id w:val="-1994781956"/>
                    </w:sdtPr>
                    <w:sdtContent>
                      <w:p>
                        <w:pPr>
                          <w:pStyle w:val="8"/>
                          <w:jc w:val="center"/>
                        </w:pPr>
                        <w:r>
                          <w:fldChar w:fldCharType="begin"/>
                        </w:r>
                        <w:r>
                          <w:instrText xml:space="preserve">PAGE   \* MERGEFORMAT</w:instrText>
                        </w:r>
                        <w:r>
                          <w:fldChar w:fldCharType="separate"/>
                        </w:r>
                        <w:r>
                          <w:rPr>
                            <w:lang w:val="zh-CN"/>
                          </w:rPr>
                          <w:t>4</w:t>
                        </w:r>
                        <w:r>
                          <w:fldChar w:fldCharType="end"/>
                        </w:r>
                      </w:p>
                    </w:sdtContent>
                  </w:sdt>
                  <w:p>
                    <w:pPr>
                      <w:pStyle w:val="2"/>
                    </w:pPr>
                  </w:p>
                </w:txbxContent>
              </v:textbox>
            </v:shape>
          </w:pict>
        </mc:Fallback>
      </mc:AlternateContent>
    </w:r>
  </w:p>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pStyle w:val="8"/>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2BAE62"/>
    <w:multiLevelType w:val="singleLevel"/>
    <w:tmpl w:val="962BAE62"/>
    <w:lvl w:ilvl="0" w:tentative="0">
      <w:start w:val="1"/>
      <w:numFmt w:val="chineseCounting"/>
      <w:suff w:val="nothing"/>
      <w:lvlText w:val="%1、"/>
      <w:lvlJc w:val="left"/>
      <w:rPr>
        <w:rFonts w:hint="eastAsia"/>
      </w:rPr>
    </w:lvl>
  </w:abstractNum>
  <w:abstractNum w:abstractNumId="1">
    <w:nsid w:val="CF652CEC"/>
    <w:multiLevelType w:val="singleLevel"/>
    <w:tmpl w:val="CF652CEC"/>
    <w:lvl w:ilvl="0" w:tentative="0">
      <w:start w:val="9"/>
      <w:numFmt w:val="chineseCounting"/>
      <w:suff w:val="nothing"/>
      <w:lvlText w:val="%1、"/>
      <w:lvlJc w:val="left"/>
      <w:rPr>
        <w:rFonts w:hint="eastAsia"/>
      </w:rPr>
    </w:lvl>
  </w:abstractNum>
  <w:abstractNum w:abstractNumId="2">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3">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4">
    <w:nsid w:val="38FA13EC"/>
    <w:multiLevelType w:val="multilevel"/>
    <w:tmpl w:val="38FA13EC"/>
    <w:lvl w:ilvl="0" w:tentative="0">
      <w:start w:val="3"/>
      <w:numFmt w:val="japaneseCounting"/>
      <w:lvlText w:val="%1、"/>
      <w:lvlJc w:val="left"/>
      <w:pPr>
        <w:ind w:left="1360" w:hanging="720"/>
      </w:pPr>
      <w:rPr>
        <w:rFonts w:hint="default" w:cs="Times New Roman"/>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 w:numId="2">
    <w:abstractNumId w:val="3"/>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BmMGQ0ZTdmOGEwODA0MTQ0NDFlYWVlZmY1NWY4MGI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0F08"/>
    <w:rsid w:val="000B5923"/>
    <w:rsid w:val="000B5A48"/>
    <w:rsid w:val="000B6FF3"/>
    <w:rsid w:val="000C3467"/>
    <w:rsid w:val="000C3CA6"/>
    <w:rsid w:val="000D1267"/>
    <w:rsid w:val="000D1D50"/>
    <w:rsid w:val="000D5782"/>
    <w:rsid w:val="000E6613"/>
    <w:rsid w:val="000E7119"/>
    <w:rsid w:val="000F2703"/>
    <w:rsid w:val="00114E9B"/>
    <w:rsid w:val="00142216"/>
    <w:rsid w:val="00144D6A"/>
    <w:rsid w:val="0014729F"/>
    <w:rsid w:val="001554F0"/>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22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3FAD"/>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37E"/>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41E1E"/>
    <w:rsid w:val="00D51276"/>
    <w:rsid w:val="00D7035F"/>
    <w:rsid w:val="00D936F8"/>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50BB"/>
    <w:rsid w:val="00F36D8F"/>
    <w:rsid w:val="00F417B1"/>
    <w:rsid w:val="00F45853"/>
    <w:rsid w:val="00F602DF"/>
    <w:rsid w:val="00F754A1"/>
    <w:rsid w:val="00F80197"/>
    <w:rsid w:val="00F81FD9"/>
    <w:rsid w:val="00F841AA"/>
    <w:rsid w:val="00F84A94"/>
    <w:rsid w:val="00F87E96"/>
    <w:rsid w:val="00FA23E8"/>
    <w:rsid w:val="00FC22E2"/>
    <w:rsid w:val="00FD3CC1"/>
    <w:rsid w:val="00FF1E02"/>
    <w:rsid w:val="00FF30B4"/>
    <w:rsid w:val="072E212E"/>
    <w:rsid w:val="07D67C9B"/>
    <w:rsid w:val="0A2032A3"/>
    <w:rsid w:val="0B8A37D8"/>
    <w:rsid w:val="0C5A209F"/>
    <w:rsid w:val="0C5D7941"/>
    <w:rsid w:val="0CC60E8F"/>
    <w:rsid w:val="0F9A4F2B"/>
    <w:rsid w:val="0FDB4FC8"/>
    <w:rsid w:val="10C055FF"/>
    <w:rsid w:val="11186BCF"/>
    <w:rsid w:val="118107EC"/>
    <w:rsid w:val="11DD6519"/>
    <w:rsid w:val="138F0C37"/>
    <w:rsid w:val="13B4698A"/>
    <w:rsid w:val="16B808DF"/>
    <w:rsid w:val="16BB723D"/>
    <w:rsid w:val="18015F3F"/>
    <w:rsid w:val="19AA5571"/>
    <w:rsid w:val="1BE8440E"/>
    <w:rsid w:val="1D155CEE"/>
    <w:rsid w:val="1D44297A"/>
    <w:rsid w:val="20F57F95"/>
    <w:rsid w:val="21AD0A07"/>
    <w:rsid w:val="21D249F9"/>
    <w:rsid w:val="22946FF9"/>
    <w:rsid w:val="240371BF"/>
    <w:rsid w:val="25C741E6"/>
    <w:rsid w:val="27842671"/>
    <w:rsid w:val="29FD04D3"/>
    <w:rsid w:val="2ABE7A3E"/>
    <w:rsid w:val="2BAD5B8F"/>
    <w:rsid w:val="2C78619D"/>
    <w:rsid w:val="2D983721"/>
    <w:rsid w:val="2EFA178C"/>
    <w:rsid w:val="30B46D73"/>
    <w:rsid w:val="319F7F4E"/>
    <w:rsid w:val="32662F17"/>
    <w:rsid w:val="34466E54"/>
    <w:rsid w:val="38CD65E4"/>
    <w:rsid w:val="39AE70AB"/>
    <w:rsid w:val="3AD90D31"/>
    <w:rsid w:val="3B2B0A65"/>
    <w:rsid w:val="3C0C0783"/>
    <w:rsid w:val="3EAF47C2"/>
    <w:rsid w:val="3EF350B9"/>
    <w:rsid w:val="3F9F3A96"/>
    <w:rsid w:val="41BD4926"/>
    <w:rsid w:val="41D20E58"/>
    <w:rsid w:val="43C875B2"/>
    <w:rsid w:val="45562EBC"/>
    <w:rsid w:val="47BD01D9"/>
    <w:rsid w:val="486579B7"/>
    <w:rsid w:val="493C27E9"/>
    <w:rsid w:val="496F39ED"/>
    <w:rsid w:val="49FF41D3"/>
    <w:rsid w:val="4BE068DB"/>
    <w:rsid w:val="4BF6002B"/>
    <w:rsid w:val="4C6F19D0"/>
    <w:rsid w:val="4CCF6249"/>
    <w:rsid w:val="4ECE2238"/>
    <w:rsid w:val="51DB4B86"/>
    <w:rsid w:val="53EB5DCD"/>
    <w:rsid w:val="55317283"/>
    <w:rsid w:val="55333C3E"/>
    <w:rsid w:val="566A4887"/>
    <w:rsid w:val="5C714DAE"/>
    <w:rsid w:val="5D521F6E"/>
    <w:rsid w:val="5FC61359"/>
    <w:rsid w:val="61897F29"/>
    <w:rsid w:val="61A2064E"/>
    <w:rsid w:val="64591E34"/>
    <w:rsid w:val="64716FB6"/>
    <w:rsid w:val="64CA39A1"/>
    <w:rsid w:val="664D7777"/>
    <w:rsid w:val="66FB3677"/>
    <w:rsid w:val="6A531064"/>
    <w:rsid w:val="6BA81981"/>
    <w:rsid w:val="6C4A05C8"/>
    <w:rsid w:val="720D4E27"/>
    <w:rsid w:val="725665C4"/>
    <w:rsid w:val="72734D90"/>
    <w:rsid w:val="753F560E"/>
    <w:rsid w:val="79E7B28D"/>
    <w:rsid w:val="7A515E1A"/>
    <w:rsid w:val="7E9E4BBC"/>
    <w:rsid w:val="7F9F20EE"/>
    <w:rsid w:val="9E3A10E2"/>
    <w:rsid w:val="F2E1F9D4"/>
    <w:rsid w:val="F788081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4"/>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5"/>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28"/>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1"/>
    <w:qFormat/>
    <w:uiPriority w:val="99"/>
    <w:pPr>
      <w:spacing w:beforeLines="30"/>
    </w:pPr>
    <w:rPr>
      <w:rFonts w:ascii="仿宋_GB2312" w:eastAsia="仿宋_GB2312"/>
      <w:kern w:val="0"/>
      <w:sz w:val="30"/>
    </w:rPr>
  </w:style>
  <w:style w:type="paragraph" w:styleId="6">
    <w:name w:val="toc 3"/>
    <w:basedOn w:val="1"/>
    <w:next w:val="1"/>
    <w:unhideWhenUsed/>
    <w:qFormat/>
    <w:uiPriority w:val="39"/>
    <w:pPr>
      <w:tabs>
        <w:tab w:val="right" w:leader="dot" w:pos="8296"/>
      </w:tabs>
      <w:ind w:left="840" w:leftChars="400"/>
    </w:pPr>
  </w:style>
  <w:style w:type="paragraph" w:styleId="7">
    <w:name w:val="Balloon Text"/>
    <w:basedOn w:val="1"/>
    <w:link w:val="27"/>
    <w:semiHidden/>
    <w:unhideWhenUsed/>
    <w:qFormat/>
    <w:uiPriority w:val="99"/>
    <w:rPr>
      <w:sz w:val="18"/>
      <w:szCs w:val="18"/>
    </w:rPr>
  </w:style>
  <w:style w:type="paragraph" w:styleId="8">
    <w:name w:val="footer"/>
    <w:basedOn w:val="1"/>
    <w:link w:val="19"/>
    <w:qFormat/>
    <w:uiPriority w:val="99"/>
    <w:pPr>
      <w:tabs>
        <w:tab w:val="center" w:pos="4153"/>
        <w:tab w:val="right" w:pos="8306"/>
      </w:tabs>
      <w:snapToGrid w:val="0"/>
      <w:jc w:val="left"/>
    </w:pPr>
    <w:rPr>
      <w:rFonts w:ascii="Calibri" w:hAnsi="Calibri"/>
      <w:kern w:val="0"/>
      <w:sz w:val="18"/>
      <w:szCs w:val="18"/>
    </w:rPr>
  </w:style>
  <w:style w:type="paragraph" w:styleId="9">
    <w:name w:val="header"/>
    <w:basedOn w:val="1"/>
    <w:link w:val="17"/>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0">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1">
    <w:name w:val="toc 2"/>
    <w:basedOn w:val="1"/>
    <w:next w:val="1"/>
    <w:unhideWhenUsed/>
    <w:qFormat/>
    <w:uiPriority w:val="39"/>
    <w:pPr>
      <w:tabs>
        <w:tab w:val="right" w:leader="dot" w:pos="8296"/>
      </w:tabs>
      <w:ind w:left="420" w:leftChars="200"/>
    </w:pPr>
  </w:style>
  <w:style w:type="character" w:styleId="14">
    <w:name w:val="Strong"/>
    <w:basedOn w:val="13"/>
    <w:qFormat/>
    <w:uiPriority w:val="99"/>
    <w:rPr>
      <w:b/>
    </w:rPr>
  </w:style>
  <w:style w:type="character" w:styleId="15">
    <w:name w:val="Hyperlink"/>
    <w:basedOn w:val="13"/>
    <w:unhideWhenUsed/>
    <w:qFormat/>
    <w:uiPriority w:val="99"/>
    <w:rPr>
      <w:color w:val="0000FF" w:themeColor="hyperlink"/>
      <w:u w:val="single"/>
      <w14:textFill>
        <w14:solidFill>
          <w14:schemeClr w14:val="hlink"/>
        </w14:solidFill>
      </w14:textFill>
    </w:rPr>
  </w:style>
  <w:style w:type="character" w:customStyle="1" w:styleId="16">
    <w:name w:val="Header Char"/>
    <w:basedOn w:val="13"/>
    <w:semiHidden/>
    <w:qFormat/>
    <w:uiPriority w:val="99"/>
    <w:rPr>
      <w:rFonts w:ascii="Times New Roman" w:hAnsi="Times New Roman"/>
      <w:sz w:val="18"/>
      <w:szCs w:val="18"/>
    </w:rPr>
  </w:style>
  <w:style w:type="character" w:customStyle="1" w:styleId="17">
    <w:name w:val="页眉 Char"/>
    <w:link w:val="9"/>
    <w:semiHidden/>
    <w:qFormat/>
    <w:locked/>
    <w:uiPriority w:val="99"/>
    <w:rPr>
      <w:sz w:val="18"/>
    </w:rPr>
  </w:style>
  <w:style w:type="character" w:customStyle="1" w:styleId="18">
    <w:name w:val="Footer Char"/>
    <w:basedOn w:val="13"/>
    <w:semiHidden/>
    <w:qFormat/>
    <w:uiPriority w:val="99"/>
    <w:rPr>
      <w:rFonts w:ascii="Times New Roman" w:hAnsi="Times New Roman"/>
      <w:sz w:val="18"/>
      <w:szCs w:val="18"/>
    </w:rPr>
  </w:style>
  <w:style w:type="character" w:customStyle="1" w:styleId="19">
    <w:name w:val="页脚 Char"/>
    <w:link w:val="8"/>
    <w:qFormat/>
    <w:locked/>
    <w:uiPriority w:val="99"/>
    <w:rPr>
      <w:sz w:val="18"/>
    </w:rPr>
  </w:style>
  <w:style w:type="character" w:customStyle="1" w:styleId="20">
    <w:name w:val="Body Text Char"/>
    <w:basedOn w:val="13"/>
    <w:semiHidden/>
    <w:qFormat/>
    <w:uiPriority w:val="99"/>
    <w:rPr>
      <w:rFonts w:ascii="Times New Roman" w:hAnsi="Times New Roman"/>
      <w:szCs w:val="24"/>
    </w:rPr>
  </w:style>
  <w:style w:type="character" w:customStyle="1" w:styleId="21">
    <w:name w:val="正文文本 Char"/>
    <w:link w:val="2"/>
    <w:qFormat/>
    <w:locked/>
    <w:uiPriority w:val="99"/>
    <w:rPr>
      <w:rFonts w:ascii="仿宋_GB2312" w:hAnsi="Times New Roman" w:eastAsia="仿宋_GB2312"/>
      <w:sz w:val="24"/>
    </w:rPr>
  </w:style>
  <w:style w:type="paragraph" w:customStyle="1" w:styleId="22">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3">
    <w:name w:val="List Paragraph"/>
    <w:basedOn w:val="1"/>
    <w:qFormat/>
    <w:uiPriority w:val="34"/>
    <w:pPr>
      <w:ind w:firstLine="420" w:firstLineChars="200"/>
    </w:pPr>
  </w:style>
  <w:style w:type="character" w:customStyle="1" w:styleId="24">
    <w:name w:val="标题 1 Char"/>
    <w:basedOn w:val="13"/>
    <w:link w:val="3"/>
    <w:qFormat/>
    <w:uiPriority w:val="9"/>
    <w:rPr>
      <w:rFonts w:ascii="Times New Roman" w:hAnsi="Times New Roman"/>
      <w:b/>
      <w:bCs/>
      <w:kern w:val="44"/>
      <w:sz w:val="44"/>
      <w:szCs w:val="44"/>
    </w:rPr>
  </w:style>
  <w:style w:type="character" w:customStyle="1" w:styleId="25">
    <w:name w:val="标题 2 Char"/>
    <w:basedOn w:val="13"/>
    <w:link w:val="4"/>
    <w:qFormat/>
    <w:uiPriority w:val="9"/>
    <w:rPr>
      <w:rFonts w:asciiTheme="majorHAnsi" w:hAnsiTheme="majorHAnsi" w:eastAsiaTheme="majorEastAsia" w:cstheme="majorBidi"/>
      <w:b/>
      <w:bCs/>
      <w:kern w:val="2"/>
      <w:sz w:val="32"/>
      <w:szCs w:val="32"/>
    </w:rPr>
  </w:style>
  <w:style w:type="paragraph" w:customStyle="1" w:styleId="26">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7">
    <w:name w:val="批注框文本 Char"/>
    <w:basedOn w:val="13"/>
    <w:link w:val="7"/>
    <w:semiHidden/>
    <w:qFormat/>
    <w:uiPriority w:val="99"/>
    <w:rPr>
      <w:rFonts w:ascii="Times New Roman" w:hAnsi="Times New Roman"/>
      <w:kern w:val="2"/>
      <w:sz w:val="18"/>
      <w:szCs w:val="18"/>
    </w:rPr>
  </w:style>
  <w:style w:type="character" w:customStyle="1" w:styleId="28">
    <w:name w:val="标题 3 Char"/>
    <w:basedOn w:val="13"/>
    <w:link w:val="5"/>
    <w:qFormat/>
    <w:uiPriority w:val="9"/>
    <w:rPr>
      <w:rFonts w:ascii="Times New Roman" w:hAnsi="Times New Roman"/>
      <w:b/>
      <w:bCs/>
      <w:kern w:val="2"/>
      <w:sz w:val="32"/>
      <w:szCs w:val="32"/>
    </w:rPr>
  </w:style>
  <w:style w:type="paragraph" w:customStyle="1" w:styleId="29">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chart" Target="charts/chart2.xml"/><Relationship Id="rId8" Type="http://schemas.openxmlformats.org/officeDocument/2006/relationships/chart" Target="charts/chart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chart" Target="charts/chart7.xml"/><Relationship Id="rId13" Type="http://schemas.openxmlformats.org/officeDocument/2006/relationships/chart" Target="charts/chart6.xml"/><Relationship Id="rId12" Type="http://schemas.openxmlformats.org/officeDocument/2006/relationships/chart" Target="charts/chart5.xml"/><Relationship Id="rId11" Type="http://schemas.openxmlformats.org/officeDocument/2006/relationships/chart" Target="charts/chart4.xml"/><Relationship Id="rId10" Type="http://schemas.openxmlformats.org/officeDocument/2006/relationships/chart" Target="charts/chart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charts/_rels/chart1.xml.rels><?xml version="1.0" encoding="UTF-8" standalone="yes"?>
<Relationships xmlns="http://schemas.openxmlformats.org/package/2006/relationships"><Relationship Id="rId1" Type="http://schemas.openxmlformats.org/officeDocument/2006/relationships/oleObject" Target="file:///H:\&#25991;2022\2021&#24180;&#20915;&#31639;&#20844;&#24320;\&#25991;&#21270;&#39302;2021&#24180;&#21333;&#20301;&#20915;&#31639;&#20844;&#24320;&#32534;&#21046;&#35828;&#26126;\2017&#20915;&#31639;&#20844;&#24320;&#22270;&#34920;&#21496;&#27861;.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H:\&#25991;2022\2021&#24180;&#20915;&#31639;&#20844;&#24320;\&#25991;&#21270;&#39302;2021&#24180;&#21333;&#20301;&#20915;&#31639;&#20844;&#24320;&#32534;&#21046;&#35828;&#26126;\2017&#20915;&#31639;&#20844;&#24320;&#22270;&#34920;&#21496;&#27861;.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H:\&#25991;2022\2021&#24180;&#20915;&#31639;&#20844;&#24320;\&#25991;&#21270;&#39302;2021&#24180;&#21333;&#20301;&#20915;&#31639;&#20844;&#24320;&#32534;&#21046;&#35828;&#26126;\2017&#20915;&#31639;&#20844;&#24320;&#22270;&#34920;&#21496;&#27861;.xls"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H:\&#25991;2022\2021&#24180;&#20915;&#31639;&#20844;&#24320;\&#25991;&#21270;&#39302;2021&#24180;&#21333;&#20301;&#20915;&#31639;&#20844;&#24320;&#32534;&#21046;&#35828;&#26126;\2017&#20915;&#31639;&#20844;&#24320;&#22270;&#34920;&#21496;&#27861;.xls"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H:\&#25991;2022\2021&#24180;&#20915;&#31639;&#20844;&#24320;\&#25991;&#21270;&#39302;2021&#24180;&#21333;&#20301;&#20915;&#31639;&#20844;&#24320;&#32534;&#21046;&#35828;&#26126;\2017&#20915;&#31639;&#20844;&#24320;&#22270;&#34920;&#21496;&#27861;.xls"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H:\&#25991;2022\2021&#24180;&#20915;&#31639;&#20844;&#24320;\&#25991;&#21270;&#39302;2021&#24180;&#21333;&#20301;&#20915;&#31639;&#20844;&#24320;&#32534;&#21046;&#35828;&#26126;\2017&#20915;&#31639;&#20844;&#24320;&#22270;&#34920;&#21496;&#27861;.xls"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H:\&#25991;2022\2021&#24180;&#20915;&#31639;&#20844;&#24320;\&#25991;&#21270;&#39302;2021&#24180;&#21333;&#20301;&#20915;&#31639;&#20844;&#24320;&#32534;&#21046;&#35828;&#26126;\2017&#20915;&#31639;&#20844;&#24320;&#22270;&#34920;&#21496;&#27861;.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sz="1425" b="0" i="0" strike="noStrike">
                <a:solidFill>
                  <a:srgbClr val="000000"/>
                </a:solidFill>
                <a:latin typeface="宋体" panose="02010600030101010101" charset="-122"/>
                <a:ea typeface="宋体" panose="02010600030101010101" charset="-122"/>
              </a:rPr>
              <a:t>图</a:t>
            </a:r>
            <a:r>
              <a:rPr lang="en-US" altLang="zh-CN" sz="1425" b="0" i="0" strike="noStrike">
                <a:solidFill>
                  <a:srgbClr val="000000"/>
                </a:solidFill>
                <a:latin typeface="宋体" panose="02010600030101010101" charset="-122"/>
                <a:ea typeface="宋体" panose="02010600030101010101" charset="-122"/>
              </a:rPr>
              <a:t>1   </a:t>
            </a:r>
            <a:r>
              <a:rPr lang="zh-CN" altLang="en-US" sz="1425" b="0" i="0" strike="noStrike">
                <a:solidFill>
                  <a:srgbClr val="000000"/>
                </a:solidFill>
                <a:latin typeface="宋体" panose="02010600030101010101" charset="-122"/>
                <a:ea typeface="宋体" panose="02010600030101010101" charset="-122"/>
              </a:rPr>
              <a:t>收入、支出决算总计变动情况</a:t>
            </a:r>
            <a:endParaRPr lang="zh-CN" altLang="en-US" sz="1425" b="0" i="0" strike="noStrike">
              <a:solidFill>
                <a:srgbClr val="000000"/>
              </a:solidFill>
              <a:latin typeface="宋体" panose="02010600030101010101" charset="-122"/>
              <a:ea typeface="宋体" panose="02010600030101010101" charset="-122"/>
            </a:endParaRPr>
          </a:p>
        </c:rich>
      </c:tx>
      <c:layout/>
      <c:overlay val="0"/>
      <c:spPr>
        <a:noFill/>
        <a:ln w="25400">
          <a:noFill/>
        </a:ln>
      </c:spPr>
    </c:title>
    <c:autoTitleDeleted val="0"/>
    <c:plotArea>
      <c:layout>
        <c:manualLayout>
          <c:layoutTarget val="inner"/>
          <c:xMode val="edge"/>
          <c:yMode val="edge"/>
          <c:x val="0.0803577223158291"/>
          <c:y val="0.18644411021656"/>
          <c:w val="0.643539910749171"/>
          <c:h val="0.682153869343111"/>
        </c:manualLayout>
      </c:layout>
      <c:barChart>
        <c:barDir val="col"/>
        <c:grouping val="clustered"/>
        <c:varyColors val="0"/>
        <c:ser>
          <c:idx val="0"/>
          <c:order val="0"/>
          <c:tx>
            <c:strRef>
              <c:f>Sheet1!$A$58</c:f>
              <c:strCache>
                <c:ptCount val="1"/>
                <c:pt idx="0">
                  <c:v>收入、支出总计</c:v>
                </c:pt>
              </c:strCache>
            </c:strRef>
          </c:tx>
          <c:spPr>
            <a:solidFill>
              <a:srgbClr val="9999FF"/>
            </a:solidFill>
            <a:ln w="12700">
              <a:solidFill>
                <a:srgbClr val="000000"/>
              </a:solidFill>
              <a:prstDash val="solid"/>
            </a:ln>
          </c:spPr>
          <c:invertIfNegative val="0"/>
          <c:dLbls>
            <c:spPr>
              <a:noFill/>
              <a:ln w="25400">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Sheet1!$B$58:$C$58</c:f>
              <c:strCache>
                <c:ptCount val="2"/>
                <c:pt idx="0">
                  <c:v>2020年</c:v>
                </c:pt>
                <c:pt idx="1">
                  <c:v>2021年</c:v>
                </c:pt>
              </c:strCache>
            </c:strRef>
          </c:cat>
          <c:val>
            <c:numRef>
              <c:f>Sheet1!$B$59:$C$59</c:f>
              <c:numCache>
                <c:formatCode>General</c:formatCode>
                <c:ptCount val="2"/>
                <c:pt idx="0">
                  <c:v>157.97</c:v>
                </c:pt>
                <c:pt idx="1">
                  <c:v>268.41</c:v>
                </c:pt>
              </c:numCache>
            </c:numRef>
          </c:val>
        </c:ser>
        <c:dLbls>
          <c:showLegendKey val="0"/>
          <c:showVal val="1"/>
          <c:showCatName val="0"/>
          <c:showSerName val="0"/>
          <c:showPercent val="0"/>
          <c:showBubbleSize val="0"/>
        </c:dLbls>
        <c:gapWidth val="150"/>
        <c:axId val="86518400"/>
        <c:axId val="106324352"/>
      </c:barChart>
      <c:catAx>
        <c:axId val="86518400"/>
        <c:scaling>
          <c:orientation val="minMax"/>
        </c:scaling>
        <c:delete val="0"/>
        <c:axPos val="b"/>
        <c:numFmt formatCode="General" sourceLinked="1"/>
        <c:majorTickMark val="in"/>
        <c:minorTickMark val="none"/>
        <c:tickLblPos val="nextTo"/>
        <c:spPr>
          <a:ln w="3175" cap="flat" cmpd="sng" algn="ctr">
            <a:solidFill>
              <a:srgbClr val="000000"/>
            </a:solidFill>
            <a:prstDash val="solid"/>
            <a:round/>
          </a:ln>
        </c:spPr>
        <c:txPr>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106324352"/>
        <c:crosses val="autoZero"/>
        <c:auto val="1"/>
        <c:lblAlgn val="ctr"/>
        <c:lblOffset val="100"/>
        <c:noMultiLvlLbl val="0"/>
      </c:catAx>
      <c:valAx>
        <c:axId val="106324352"/>
        <c:scaling>
          <c:orientation val="minMax"/>
        </c:scaling>
        <c:delete val="0"/>
        <c:axPos val="l"/>
        <c:majorGridlines>
          <c:spPr>
            <a:ln w="3175" cap="flat" cmpd="sng" algn="ctr">
              <a:solidFill>
                <a:srgbClr val="000000"/>
              </a:solidFill>
              <a:prstDash val="solid"/>
              <a:round/>
            </a:ln>
          </c:spPr>
        </c:majorGridlines>
        <c:numFmt formatCode="General" sourceLinked="1"/>
        <c:majorTickMark val="in"/>
        <c:minorTickMark val="none"/>
        <c:tickLblPos val="nextTo"/>
        <c:spPr>
          <a:ln w="3175" cap="flat" cmpd="sng" algn="ctr">
            <a:solidFill>
              <a:srgbClr val="000000"/>
            </a:solidFill>
            <a:prstDash val="solid"/>
            <a:round/>
          </a:ln>
        </c:spPr>
        <c:txPr>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86518400"/>
        <c:crosses val="autoZero"/>
        <c:crossBetween val="between"/>
      </c:valAx>
      <c:spPr>
        <a:solidFill>
          <a:srgbClr val="C0C0C0"/>
        </a:solidFill>
        <a:ln w="12700">
          <a:solidFill>
            <a:srgbClr val="808080"/>
          </a:solidFill>
          <a:prstDash val="solid"/>
        </a:ln>
      </c:spPr>
    </c:plotArea>
    <c:legend>
      <c:legendPos val="r"/>
      <c:layout>
        <c:manualLayout>
          <c:xMode val="edge"/>
          <c:yMode val="edge"/>
          <c:x val="0.794203963634981"/>
          <c:y val="0.545233043913521"/>
          <c:w val="0.195652478222831"/>
          <c:h val="0.0537897310513449"/>
        </c:manualLayout>
      </c:layout>
      <c:overlay val="0"/>
      <c:spPr>
        <a:solidFill>
          <a:srgbClr val="FFFFFF"/>
        </a:solidFill>
        <a:ln w="3175">
          <a:solidFill>
            <a:srgbClr val="000000"/>
          </a:solidFill>
          <a:prstDash val="solid"/>
        </a:ln>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solidFill>
    <a:ln w="3175" cap="flat" cmpd="sng" algn="ctr">
      <a:solidFill>
        <a:srgbClr val="000000"/>
      </a:solidFill>
      <a:prstDash val="solid"/>
      <a:round/>
    </a:ln>
  </c:spPr>
  <c:txPr>
    <a:bodyPr/>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sz="1600" b="0" i="0" strike="noStrike">
                <a:solidFill>
                  <a:srgbClr val="000000"/>
                </a:solidFill>
                <a:latin typeface="宋体" panose="02010600030101010101" charset="-122"/>
                <a:ea typeface="宋体" panose="02010600030101010101" charset="-122"/>
              </a:rPr>
              <a:t>图</a:t>
            </a:r>
            <a:r>
              <a:rPr lang="en-US" altLang="zh-CN" sz="1600" b="0" i="0" strike="noStrike">
                <a:solidFill>
                  <a:srgbClr val="000000"/>
                </a:solidFill>
                <a:latin typeface="宋体" panose="02010600030101010101" charset="-122"/>
                <a:ea typeface="宋体" panose="02010600030101010101" charset="-122"/>
              </a:rPr>
              <a:t>2    </a:t>
            </a:r>
            <a:r>
              <a:rPr lang="zh-CN" altLang="en-US" sz="1600" b="0" i="0" strike="noStrike">
                <a:solidFill>
                  <a:srgbClr val="000000"/>
                </a:solidFill>
                <a:latin typeface="宋体" panose="02010600030101010101" charset="-122"/>
                <a:ea typeface="宋体" panose="02010600030101010101" charset="-122"/>
              </a:rPr>
              <a:t>收入决算结构图</a:t>
            </a:r>
            <a:endParaRPr lang="zh-CN" altLang="en-US" sz="1600" b="0" i="0" strike="noStrike">
              <a:solidFill>
                <a:srgbClr val="000000"/>
              </a:solidFill>
              <a:latin typeface="宋体" panose="02010600030101010101" charset="-122"/>
              <a:ea typeface="宋体" panose="02010600030101010101" charset="-122"/>
            </a:endParaRPr>
          </a:p>
        </c:rich>
      </c:tx>
      <c:layout/>
      <c:overlay val="0"/>
      <c:spPr>
        <a:noFill/>
        <a:ln w="25400">
          <a:noFill/>
        </a:ln>
      </c:spPr>
    </c:title>
    <c:autoTitleDeleted val="0"/>
    <c:plotArea>
      <c:layout/>
      <c:pieChart>
        <c:varyColors val="1"/>
        <c:ser>
          <c:idx val="0"/>
          <c:order val="0"/>
          <c:spPr>
            <a:solidFill>
              <a:srgbClr val="9999FF"/>
            </a:solidFill>
            <a:ln w="12700">
              <a:solidFill>
                <a:srgbClr val="000000"/>
              </a:solidFill>
              <a:prstDash val="solid"/>
            </a:ln>
          </c:spPr>
          <c:explosion val="0"/>
          <c:dPt>
            <c:idx val="0"/>
            <c:bubble3D val="0"/>
            <c:spPr>
              <a:solidFill>
                <a:srgbClr val="9999FF"/>
              </a:solidFill>
              <a:ln w="12700">
                <a:solidFill>
                  <a:srgbClr val="000000"/>
                </a:solidFill>
                <a:prstDash val="solid"/>
              </a:ln>
            </c:spPr>
          </c:dPt>
          <c:dPt>
            <c:idx val="1"/>
            <c:bubble3D val="0"/>
            <c:spPr>
              <a:solidFill>
                <a:srgbClr val="993366"/>
              </a:solidFill>
              <a:ln w="12700">
                <a:solidFill>
                  <a:srgbClr val="000000"/>
                </a:solidFill>
                <a:prstDash val="solid"/>
              </a:ln>
            </c:spPr>
          </c:dPt>
          <c:dPt>
            <c:idx val="2"/>
            <c:bubble3D val="0"/>
            <c:spPr>
              <a:solidFill>
                <a:srgbClr val="FFFFCC"/>
              </a:solidFill>
              <a:ln w="12700">
                <a:solidFill>
                  <a:srgbClr val="000000"/>
                </a:solidFill>
                <a:prstDash val="solid"/>
              </a:ln>
            </c:spPr>
          </c:dPt>
          <c:dPt>
            <c:idx val="3"/>
            <c:bubble3D val="0"/>
            <c:spPr>
              <a:solidFill>
                <a:srgbClr val="CCFFFF"/>
              </a:solidFill>
              <a:ln w="12700">
                <a:solidFill>
                  <a:srgbClr val="000000"/>
                </a:solidFill>
                <a:prstDash val="solid"/>
              </a:ln>
            </c:spPr>
          </c:dPt>
          <c:dPt>
            <c:idx val="4"/>
            <c:bubble3D val="0"/>
            <c:spPr>
              <a:solidFill>
                <a:srgbClr val="660066"/>
              </a:solidFill>
              <a:ln w="12700">
                <a:solidFill>
                  <a:srgbClr val="000000"/>
                </a:solidFill>
                <a:prstDash val="solid"/>
              </a:ln>
            </c:spPr>
          </c:dPt>
          <c:dPt>
            <c:idx val="5"/>
            <c:bubble3D val="0"/>
            <c:spPr>
              <a:solidFill>
                <a:srgbClr val="FF8080"/>
              </a:solidFill>
              <a:ln w="12700">
                <a:solidFill>
                  <a:srgbClr val="000000"/>
                </a:solidFill>
                <a:prstDash val="solid"/>
              </a:ln>
            </c:spPr>
          </c:dPt>
          <c:dLbls>
            <c:dLbl>
              <c:idx val="2"/>
              <c:layout>
                <c:manualLayout>
                  <c:x val="-0.0557826622383103"/>
                  <c:y val="0.029082943579421"/>
                </c:manualLayout>
              </c:layout>
              <c:dLblPos val="bestFit"/>
              <c:showLegendKey val="1"/>
              <c:showVal val="1"/>
              <c:showCatName val="0"/>
              <c:showSerName val="0"/>
              <c:showPercent val="1"/>
              <c:showBubbleSize val="0"/>
              <c:extLst>
                <c:ext xmlns:c15="http://schemas.microsoft.com/office/drawing/2012/chart" uri="{CE6537A1-D6FC-4f65-9D91-7224C49458BB}">
                  <c15:layout/>
                </c:ext>
              </c:extLst>
            </c:dLbl>
            <c:dLbl>
              <c:idx val="3"/>
              <c:layout>
                <c:manualLayout>
                  <c:x val="0.0536960107474718"/>
                  <c:y val="0.0366017405719022"/>
                </c:manualLayout>
              </c:layout>
              <c:dLblPos val="bestFit"/>
              <c:showLegendKey val="1"/>
              <c:showVal val="1"/>
              <c:showCatName val="0"/>
              <c:showSerName val="0"/>
              <c:showPercent val="1"/>
              <c:showBubbleSize val="0"/>
              <c:extLst>
                <c:ext xmlns:c15="http://schemas.microsoft.com/office/drawing/2012/chart" uri="{CE6537A1-D6FC-4f65-9D91-7224C49458BB}">
                  <c15:layout/>
                </c:ext>
              </c:extLst>
            </c:dLbl>
            <c:dLbl>
              <c:idx val="4"/>
              <c:layout>
                <c:manualLayout>
                  <c:x val="-0.176635742807031"/>
                  <c:y val="0.15032354508318"/>
                </c:manualLayout>
              </c:layout>
              <c:dLblPos val="bestFit"/>
              <c:showLegendKey val="1"/>
              <c:showVal val="1"/>
              <c:showCatName val="0"/>
              <c:showSerName val="0"/>
              <c:showPercent val="1"/>
              <c:showBubbleSize val="0"/>
              <c:extLst>
                <c:ext xmlns:c15="http://schemas.microsoft.com/office/drawing/2012/chart" uri="{CE6537A1-D6FC-4f65-9D91-7224C49458BB}">
                  <c15:layout/>
                </c:ext>
              </c:extLst>
            </c:dLbl>
            <c:dLbl>
              <c:idx val="5"/>
              <c:layout>
                <c:manualLayout>
                  <c:x val="0.13900406761951"/>
                  <c:y val="0.0817145225267895"/>
                </c:manualLayout>
              </c:layout>
              <c:dLblPos val="bestFit"/>
              <c:showLegendKey val="1"/>
              <c:showVal val="1"/>
              <c:showCatName val="0"/>
              <c:showSerName val="0"/>
              <c:showPercent val="1"/>
              <c:showBubbleSize val="0"/>
              <c:extLst>
                <c:ext xmlns:c15="http://schemas.microsoft.com/office/drawing/2012/chart" uri="{CE6537A1-D6FC-4f65-9D91-7224C49458BB}">
                  <c15:layout/>
                </c:ext>
              </c:extLst>
            </c:dLbl>
            <c:numFmt formatCode="0%" sourceLinked="0"/>
            <c:spPr>
              <a:noFill/>
              <a:ln w="25400">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0"/>
            <c:showSerName val="0"/>
            <c:showPercent val="1"/>
            <c:showBubbleSize val="0"/>
            <c:showLeaderLines val="1"/>
            <c:extLst>
              <c:ext xmlns:c15="http://schemas.microsoft.com/office/drawing/2012/chart" uri="{CE6537A1-D6FC-4f65-9D91-7224C49458BB}">
                <c15:layout/>
                <c15:showLeaderLines val="1"/>
                <c15:leaderLines>
                  <c:spPr>
                    <a:ln w="3175" cap="flat" cmpd="sng" algn="ctr">
                      <a:solidFill>
                        <a:srgbClr val="000000"/>
                      </a:solidFill>
                      <a:prstDash val="solid"/>
                      <a:round/>
                    </a:ln>
                  </c:spPr>
                </c15:leaderLines>
              </c:ext>
            </c:extLst>
          </c:dLbls>
          <c:cat>
            <c:strRef>
              <c:f>Sheet1!$B$3:$B$8</c:f>
              <c:strCache>
                <c:ptCount val="6"/>
                <c:pt idx="0">
                  <c:v>一般公共预算财政拨款收入</c:v>
                </c:pt>
                <c:pt idx="1">
                  <c:v>政府性基金预算财政拨款收入</c:v>
                </c:pt>
                <c:pt idx="2">
                  <c:v>国有资本经营预算财政拨款收入</c:v>
                </c:pt>
                <c:pt idx="3">
                  <c:v>事业收入</c:v>
                </c:pt>
                <c:pt idx="4">
                  <c:v>附属单位上缴收入</c:v>
                </c:pt>
                <c:pt idx="5">
                  <c:v>其他收入</c:v>
                </c:pt>
              </c:strCache>
            </c:strRef>
          </c:cat>
          <c:val>
            <c:numRef>
              <c:f>Sheet1!$C$3:$C$8</c:f>
              <c:numCache>
                <c:formatCode>General</c:formatCode>
                <c:ptCount val="6"/>
                <c:pt idx="0">
                  <c:v>261.14</c:v>
                </c:pt>
                <c:pt idx="1">
                  <c:v>0</c:v>
                </c:pt>
                <c:pt idx="2">
                  <c:v>0</c:v>
                </c:pt>
                <c:pt idx="3">
                  <c:v>0</c:v>
                </c:pt>
                <c:pt idx="4">
                  <c:v>0</c:v>
                </c:pt>
                <c:pt idx="5">
                  <c:v>0</c:v>
                </c:pt>
              </c:numCache>
            </c:numRef>
          </c:val>
        </c:ser>
        <c:ser>
          <c:idx val="1"/>
          <c:order val="1"/>
          <c:spPr>
            <a:solidFill>
              <a:srgbClr val="993366"/>
            </a:solidFill>
            <a:ln w="12700">
              <a:solidFill>
                <a:srgbClr val="000000"/>
              </a:solidFill>
              <a:prstDash val="solid"/>
            </a:ln>
          </c:spPr>
          <c:explosion val="0"/>
          <c:dPt>
            <c:idx val="0"/>
            <c:bubble3D val="0"/>
            <c:spPr>
              <a:solidFill>
                <a:srgbClr val="9999FF"/>
              </a:solidFill>
              <a:ln w="12700">
                <a:solidFill>
                  <a:srgbClr val="000000"/>
                </a:solidFill>
                <a:prstDash val="solid"/>
              </a:ln>
            </c:spPr>
          </c:dPt>
          <c:dPt>
            <c:idx val="1"/>
            <c:bubble3D val="0"/>
            <c:spPr>
              <a:solidFill>
                <a:srgbClr val="993366"/>
              </a:solidFill>
              <a:ln w="12700">
                <a:solidFill>
                  <a:srgbClr val="000000"/>
                </a:solidFill>
                <a:prstDash val="solid"/>
              </a:ln>
            </c:spPr>
          </c:dPt>
          <c:dPt>
            <c:idx val="2"/>
            <c:bubble3D val="0"/>
            <c:spPr>
              <a:solidFill>
                <a:srgbClr val="FFFFCC"/>
              </a:solidFill>
              <a:ln w="12700">
                <a:solidFill>
                  <a:srgbClr val="000000"/>
                </a:solidFill>
                <a:prstDash val="solid"/>
              </a:ln>
            </c:spPr>
          </c:dPt>
          <c:dPt>
            <c:idx val="3"/>
            <c:bubble3D val="0"/>
            <c:spPr>
              <a:solidFill>
                <a:srgbClr val="CCFFFF"/>
              </a:solidFill>
              <a:ln w="12700">
                <a:solidFill>
                  <a:srgbClr val="000000"/>
                </a:solidFill>
                <a:prstDash val="solid"/>
              </a:ln>
            </c:spPr>
          </c:dPt>
          <c:dPt>
            <c:idx val="4"/>
            <c:bubble3D val="0"/>
            <c:spPr>
              <a:solidFill>
                <a:srgbClr val="660066"/>
              </a:solidFill>
              <a:ln w="12700">
                <a:solidFill>
                  <a:srgbClr val="000000"/>
                </a:solidFill>
                <a:prstDash val="solid"/>
              </a:ln>
            </c:spPr>
          </c:dPt>
          <c:dPt>
            <c:idx val="5"/>
            <c:bubble3D val="0"/>
            <c:spPr>
              <a:solidFill>
                <a:srgbClr val="FF8080"/>
              </a:solidFill>
              <a:ln w="12700">
                <a:solidFill>
                  <a:srgbClr val="000000"/>
                </a:solidFill>
                <a:prstDash val="solid"/>
              </a:ln>
            </c:spPr>
          </c:dPt>
          <c:dLbls>
            <c:delete val="1"/>
          </c:dLbls>
          <c:cat>
            <c:strRef>
              <c:f>Sheet1!$B$3:$B$8</c:f>
              <c:strCache>
                <c:ptCount val="6"/>
                <c:pt idx="0">
                  <c:v>一般公共预算财政拨款收入</c:v>
                </c:pt>
                <c:pt idx="1">
                  <c:v>政府性基金预算财政拨款收入</c:v>
                </c:pt>
                <c:pt idx="2">
                  <c:v>国有资本经营预算财政拨款收入</c:v>
                </c:pt>
                <c:pt idx="3">
                  <c:v>事业收入</c:v>
                </c:pt>
                <c:pt idx="4">
                  <c:v>附属单位上缴收入</c:v>
                </c:pt>
                <c:pt idx="5">
                  <c:v>其他收入</c:v>
                </c:pt>
              </c:strCache>
            </c:strRef>
          </c:cat>
          <c:val>
            <c:numRef>
              <c:f>Sheet1!$D$3:$D$8</c:f>
              <c:numCache>
                <c:formatCode>0%</c:formatCode>
                <c:ptCount val="6"/>
                <c:pt idx="0">
                  <c:v>1</c:v>
                </c:pt>
                <c:pt idx="1">
                  <c:v>0</c:v>
                </c:pt>
                <c:pt idx="2">
                  <c:v>0</c:v>
                </c:pt>
                <c:pt idx="3">
                  <c:v>0</c:v>
                </c:pt>
                <c:pt idx="4">
                  <c:v>0</c:v>
                </c:pt>
                <c:pt idx="5">
                  <c:v>0</c:v>
                </c:pt>
              </c:numCache>
            </c:numRef>
          </c:val>
        </c:ser>
        <c:dLbls>
          <c:showLegendKey val="0"/>
          <c:showVal val="0"/>
          <c:showCatName val="0"/>
          <c:showSerName val="0"/>
          <c:showPercent val="0"/>
          <c:showBubbleSize val="0"/>
          <c:showLeaderLines val="1"/>
        </c:dLbls>
        <c:firstSliceAng val="0"/>
      </c:pieChart>
      <c:spPr>
        <a:noFill/>
        <a:ln w="25400">
          <a:noFill/>
        </a:ln>
      </c:spPr>
    </c:plotArea>
    <c:legend>
      <c:legendPos val="r"/>
      <c:layout>
        <c:manualLayout>
          <c:xMode val="edge"/>
          <c:yMode val="edge"/>
          <c:x val="0.645624555180244"/>
          <c:y val="0.282548767276667"/>
          <c:w val="0.328551233821741"/>
          <c:h val="0.709142146705346"/>
        </c:manualLayout>
      </c:layout>
      <c:overlay val="0"/>
      <c:spPr>
        <a:solidFill>
          <a:srgbClr val="FFFFFF"/>
        </a:solidFill>
        <a:ln w="3175">
          <a:solidFill>
            <a:srgbClr val="000000"/>
          </a:solidFill>
          <a:prstDash val="solid"/>
        </a:ln>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solidFill>
    <a:ln w="3175" cap="flat" cmpd="sng" algn="ctr">
      <a:solidFill>
        <a:srgbClr val="000000"/>
      </a:solidFill>
      <a:prstDash val="solid"/>
      <a:round/>
    </a:ln>
  </c:spPr>
  <c:txPr>
    <a:bodyPr/>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sz="1400" b="0" i="0" strike="noStrike">
                <a:solidFill>
                  <a:srgbClr val="000000"/>
                </a:solidFill>
                <a:latin typeface="宋体" panose="02010600030101010101" charset="-122"/>
                <a:ea typeface="宋体" panose="02010600030101010101" charset="-122"/>
              </a:rPr>
              <a:t>图</a:t>
            </a:r>
            <a:r>
              <a:rPr lang="en-US" altLang="zh-CN" sz="1400" b="0" i="0" strike="noStrike">
                <a:solidFill>
                  <a:srgbClr val="000000"/>
                </a:solidFill>
                <a:latin typeface="宋体" panose="02010600030101010101" charset="-122"/>
                <a:ea typeface="宋体" panose="02010600030101010101" charset="-122"/>
              </a:rPr>
              <a:t>3    </a:t>
            </a:r>
            <a:r>
              <a:rPr lang="zh-CN" altLang="en-US" sz="1400" b="0" i="0" strike="noStrike">
                <a:solidFill>
                  <a:srgbClr val="000000"/>
                </a:solidFill>
                <a:latin typeface="宋体" panose="02010600030101010101" charset="-122"/>
                <a:ea typeface="宋体" panose="02010600030101010101" charset="-122"/>
              </a:rPr>
              <a:t>支出决算结构图</a:t>
            </a:r>
            <a:endParaRPr lang="zh-CN" altLang="en-US" sz="1400" b="0" i="0" strike="noStrike">
              <a:solidFill>
                <a:srgbClr val="000000"/>
              </a:solidFill>
              <a:latin typeface="宋体" panose="02010600030101010101" charset="-122"/>
              <a:ea typeface="宋体" panose="02010600030101010101" charset="-122"/>
            </a:endParaRPr>
          </a:p>
        </c:rich>
      </c:tx>
      <c:layout/>
      <c:overlay val="0"/>
      <c:spPr>
        <a:noFill/>
        <a:ln w="25400">
          <a:noFill/>
        </a:ln>
      </c:spPr>
    </c:title>
    <c:autoTitleDeleted val="0"/>
    <c:plotArea>
      <c:layout>
        <c:manualLayout>
          <c:layoutTarget val="inner"/>
          <c:xMode val="edge"/>
          <c:yMode val="edge"/>
          <c:x val="0.234513397195613"/>
          <c:y val="0.236778983438035"/>
          <c:w val="0.307871720116618"/>
          <c:h val="0.633238149628784"/>
        </c:manualLayout>
      </c:layout>
      <c:pieChart>
        <c:varyColors val="1"/>
        <c:ser>
          <c:idx val="0"/>
          <c:order val="0"/>
          <c:spPr>
            <a:solidFill>
              <a:srgbClr val="9999FF"/>
            </a:solidFill>
            <a:ln w="12700">
              <a:solidFill>
                <a:srgbClr val="000000"/>
              </a:solidFill>
              <a:prstDash val="solid"/>
            </a:ln>
          </c:spPr>
          <c:explosion val="0"/>
          <c:dPt>
            <c:idx val="0"/>
            <c:bubble3D val="0"/>
            <c:spPr>
              <a:solidFill>
                <a:srgbClr val="9999FF"/>
              </a:solidFill>
              <a:ln w="12700">
                <a:solidFill>
                  <a:srgbClr val="000000"/>
                </a:solidFill>
                <a:prstDash val="solid"/>
              </a:ln>
            </c:spPr>
          </c:dPt>
          <c:dPt>
            <c:idx val="1"/>
            <c:bubble3D val="0"/>
            <c:spPr>
              <a:solidFill>
                <a:srgbClr val="993366"/>
              </a:solidFill>
              <a:ln w="12700">
                <a:solidFill>
                  <a:srgbClr val="000000"/>
                </a:solidFill>
                <a:prstDash val="solid"/>
              </a:ln>
            </c:spPr>
          </c:dPt>
          <c:dPt>
            <c:idx val="2"/>
            <c:bubble3D val="0"/>
            <c:spPr>
              <a:solidFill>
                <a:srgbClr val="FFFFCC"/>
              </a:solidFill>
              <a:ln w="12700">
                <a:solidFill>
                  <a:srgbClr val="000000"/>
                </a:solidFill>
                <a:prstDash val="solid"/>
              </a:ln>
            </c:spPr>
          </c:dPt>
          <c:dPt>
            <c:idx val="3"/>
            <c:bubble3D val="0"/>
            <c:spPr>
              <a:solidFill>
                <a:srgbClr val="CCFFFF"/>
              </a:solidFill>
              <a:ln w="12700">
                <a:solidFill>
                  <a:srgbClr val="000000"/>
                </a:solidFill>
                <a:prstDash val="solid"/>
              </a:ln>
            </c:spPr>
          </c:dPt>
          <c:dPt>
            <c:idx val="4"/>
            <c:bubble3D val="0"/>
            <c:spPr>
              <a:solidFill>
                <a:srgbClr val="660066"/>
              </a:solidFill>
              <a:ln w="12700">
                <a:solidFill>
                  <a:srgbClr val="000000"/>
                </a:solidFill>
                <a:prstDash val="solid"/>
              </a:ln>
            </c:spPr>
          </c:dPt>
          <c:dLbls>
            <c:dLbl>
              <c:idx val="1"/>
              <c:layout>
                <c:manualLayout>
                  <c:x val="-0.0643002560038635"/>
                  <c:y val="0.0211134627442724"/>
                </c:manualLayout>
              </c:layout>
              <c:numFmt formatCode="0.00%" sourceLinked="0"/>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4"/>
              <c:layout>
                <c:manualLayout>
                  <c:x val="0.264621907447943"/>
                  <c:y val="0.011506142071263"/>
                </c:manualLayout>
              </c:layout>
              <c:numFmt formatCode="0.00%" sourceLinked="0"/>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00%" sourceLinked="0"/>
            <c:spPr>
              <a:noFill/>
              <a:ln w="25400">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3175" cap="flat" cmpd="sng" algn="ctr">
                      <a:solidFill>
                        <a:srgbClr val="000000"/>
                      </a:solidFill>
                      <a:prstDash val="solid"/>
                      <a:round/>
                    </a:ln>
                  </c:spPr>
                </c15:leaderLines>
              </c:ext>
            </c:extLst>
          </c:dLbls>
          <c:cat>
            <c:strRef>
              <c:f>Sheet1!$B$34:$B$38</c:f>
              <c:strCache>
                <c:ptCount val="5"/>
                <c:pt idx="0">
                  <c:v>基本支出</c:v>
                </c:pt>
                <c:pt idx="1">
                  <c:v>项目支出</c:v>
                </c:pt>
                <c:pt idx="2">
                  <c:v>上缴上级支出</c:v>
                </c:pt>
                <c:pt idx="3">
                  <c:v>经营支出</c:v>
                </c:pt>
                <c:pt idx="4">
                  <c:v>对附属单位补助支出</c:v>
                </c:pt>
              </c:strCache>
            </c:strRef>
          </c:cat>
          <c:val>
            <c:numRef>
              <c:f>Sheet1!$C$34:$C$38</c:f>
              <c:numCache>
                <c:formatCode>General</c:formatCode>
                <c:ptCount val="5"/>
                <c:pt idx="0">
                  <c:v>110.14</c:v>
                </c:pt>
                <c:pt idx="1">
                  <c:v>158.27</c:v>
                </c:pt>
                <c:pt idx="2">
                  <c:v>0</c:v>
                </c:pt>
                <c:pt idx="3">
                  <c:v>0</c:v>
                </c:pt>
                <c:pt idx="4">
                  <c:v>0</c:v>
                </c:pt>
              </c:numCache>
            </c:numRef>
          </c:val>
        </c:ser>
        <c:ser>
          <c:idx val="1"/>
          <c:order val="1"/>
          <c:spPr>
            <a:solidFill>
              <a:srgbClr val="993366"/>
            </a:solidFill>
            <a:ln w="12700">
              <a:solidFill>
                <a:srgbClr val="000000"/>
              </a:solidFill>
              <a:prstDash val="solid"/>
            </a:ln>
          </c:spPr>
          <c:explosion val="0"/>
          <c:dPt>
            <c:idx val="0"/>
            <c:bubble3D val="0"/>
            <c:spPr>
              <a:solidFill>
                <a:srgbClr val="9999FF"/>
              </a:solidFill>
              <a:ln w="12700">
                <a:solidFill>
                  <a:srgbClr val="000000"/>
                </a:solidFill>
                <a:prstDash val="solid"/>
              </a:ln>
            </c:spPr>
          </c:dPt>
          <c:dPt>
            <c:idx val="1"/>
            <c:bubble3D val="0"/>
            <c:spPr>
              <a:solidFill>
                <a:srgbClr val="993366"/>
              </a:solidFill>
              <a:ln w="12700">
                <a:solidFill>
                  <a:srgbClr val="000000"/>
                </a:solidFill>
                <a:prstDash val="solid"/>
              </a:ln>
            </c:spPr>
          </c:dPt>
          <c:dPt>
            <c:idx val="2"/>
            <c:bubble3D val="0"/>
            <c:spPr>
              <a:solidFill>
                <a:srgbClr val="FFFFCC"/>
              </a:solidFill>
              <a:ln w="12700">
                <a:solidFill>
                  <a:srgbClr val="000000"/>
                </a:solidFill>
                <a:prstDash val="solid"/>
              </a:ln>
            </c:spPr>
          </c:dPt>
          <c:dPt>
            <c:idx val="3"/>
            <c:bubble3D val="0"/>
            <c:spPr>
              <a:solidFill>
                <a:srgbClr val="CCFFFF"/>
              </a:solidFill>
              <a:ln w="12700">
                <a:solidFill>
                  <a:srgbClr val="000000"/>
                </a:solidFill>
                <a:prstDash val="solid"/>
              </a:ln>
            </c:spPr>
          </c:dPt>
          <c:dPt>
            <c:idx val="4"/>
            <c:bubble3D val="0"/>
            <c:spPr>
              <a:solidFill>
                <a:srgbClr val="660066"/>
              </a:solidFill>
              <a:ln w="12700">
                <a:solidFill>
                  <a:srgbClr val="000000"/>
                </a:solidFill>
                <a:prstDash val="solid"/>
              </a:ln>
            </c:spPr>
          </c:dPt>
          <c:dLbls>
            <c:delete val="1"/>
          </c:dLbls>
          <c:cat>
            <c:strRef>
              <c:f>Sheet1!$B$34:$B$38</c:f>
              <c:strCache>
                <c:ptCount val="5"/>
                <c:pt idx="0">
                  <c:v>基本支出</c:v>
                </c:pt>
                <c:pt idx="1">
                  <c:v>项目支出</c:v>
                </c:pt>
                <c:pt idx="2">
                  <c:v>上缴上级支出</c:v>
                </c:pt>
                <c:pt idx="3">
                  <c:v>经营支出</c:v>
                </c:pt>
                <c:pt idx="4">
                  <c:v>对附属单位补助支出</c:v>
                </c:pt>
              </c:strCache>
            </c:strRef>
          </c:cat>
          <c:val>
            <c:numRef>
              <c:f>Sheet1!$D$34:$D$38</c:f>
              <c:numCache>
                <c:formatCode>0.00%</c:formatCode>
                <c:ptCount val="5"/>
                <c:pt idx="0">
                  <c:v>0.8313</c:v>
                </c:pt>
                <c:pt idx="1">
                  <c:v>0.1687</c:v>
                </c:pt>
                <c:pt idx="2" c:formatCode="General">
                  <c:v>0</c:v>
                </c:pt>
                <c:pt idx="3" c:formatCode="General">
                  <c:v>0</c:v>
                </c:pt>
                <c:pt idx="4" c:formatCode="General">
                  <c:v>0</c:v>
                </c:pt>
              </c:numCache>
            </c:numRef>
          </c:val>
        </c:ser>
        <c:dLbls>
          <c:showLegendKey val="0"/>
          <c:showVal val="0"/>
          <c:showCatName val="0"/>
          <c:showSerName val="0"/>
          <c:showPercent val="0"/>
          <c:showBubbleSize val="0"/>
          <c:showLeaderLines val="1"/>
        </c:dLbls>
        <c:firstSliceAng val="0"/>
      </c:pieChart>
      <c:spPr>
        <a:noFill/>
        <a:ln w="25400">
          <a:noFill/>
        </a:ln>
      </c:spPr>
    </c:plotArea>
    <c:legend>
      <c:legendPos val="r"/>
      <c:layout>
        <c:manualLayout>
          <c:xMode val="edge"/>
          <c:yMode val="edge"/>
          <c:x val="0.743553008595989"/>
          <c:y val="0.477900552486188"/>
          <c:w val="0.236389684813754"/>
          <c:h val="0.30939226519337"/>
        </c:manualLayout>
      </c:layout>
      <c:overlay val="0"/>
      <c:spPr>
        <a:solidFill>
          <a:srgbClr val="FFFFFF"/>
        </a:solidFill>
        <a:ln w="3175">
          <a:solidFill>
            <a:srgbClr val="000000"/>
          </a:solidFill>
          <a:prstDash val="solid"/>
        </a:ln>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solidFill>
    <a:ln w="3175" cap="flat" cmpd="sng" algn="ctr">
      <a:solidFill>
        <a:srgbClr val="000000"/>
      </a:solidFill>
      <a:prstDash val="solid"/>
      <a:round/>
    </a:ln>
  </c:spPr>
  <c:txPr>
    <a:bodyPr/>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sz="1400" b="0" i="0" strike="noStrike">
                <a:solidFill>
                  <a:srgbClr val="000000"/>
                </a:solidFill>
                <a:latin typeface="宋体" panose="02010600030101010101" charset="-122"/>
                <a:ea typeface="宋体" panose="02010600030101010101" charset="-122"/>
              </a:rPr>
              <a:t>图</a:t>
            </a:r>
            <a:r>
              <a:rPr lang="en-US" altLang="zh-CN" sz="1400" b="0" i="0" strike="noStrike">
                <a:solidFill>
                  <a:srgbClr val="000000"/>
                </a:solidFill>
                <a:latin typeface="宋体" panose="02010600030101010101" charset="-122"/>
                <a:ea typeface="宋体" panose="02010600030101010101" charset="-122"/>
              </a:rPr>
              <a:t>4    </a:t>
            </a:r>
            <a:r>
              <a:rPr lang="zh-CN" altLang="en-US" sz="1400" b="0" i="0" strike="noStrike">
                <a:solidFill>
                  <a:srgbClr val="000000"/>
                </a:solidFill>
                <a:latin typeface="宋体" panose="02010600030101010101" charset="-122"/>
                <a:ea typeface="宋体" panose="02010600030101010101" charset="-122"/>
              </a:rPr>
              <a:t>财政拨款收入总计决算变动情况</a:t>
            </a:r>
            <a:endParaRPr lang="zh-CN" altLang="en-US" sz="1400" b="0" i="0" strike="noStrike">
              <a:solidFill>
                <a:srgbClr val="000000"/>
              </a:solidFill>
              <a:latin typeface="宋体" panose="02010600030101010101" charset="-122"/>
              <a:ea typeface="宋体" panose="02010600030101010101" charset="-122"/>
            </a:endParaRPr>
          </a:p>
        </c:rich>
      </c:tx>
      <c:layout/>
      <c:overlay val="0"/>
      <c:spPr>
        <a:noFill/>
        <a:ln w="25400">
          <a:noFill/>
        </a:ln>
      </c:spPr>
    </c:title>
    <c:autoTitleDeleted val="0"/>
    <c:plotArea>
      <c:layout/>
      <c:barChart>
        <c:barDir val="col"/>
        <c:grouping val="clustered"/>
        <c:varyColors val="0"/>
        <c:ser>
          <c:idx val="0"/>
          <c:order val="0"/>
          <c:tx>
            <c:strRef>
              <c:f>Sheet1!$A$170</c:f>
              <c:strCache>
                <c:ptCount val="1"/>
                <c:pt idx="0">
                  <c:v>财政拨款收入总计</c:v>
                </c:pt>
              </c:strCache>
            </c:strRef>
          </c:tx>
          <c:spPr>
            <a:solidFill>
              <a:srgbClr val="9999FF"/>
            </a:solidFill>
            <a:ln w="12700">
              <a:solidFill>
                <a:srgbClr val="000000"/>
              </a:solidFill>
              <a:prstDash val="solid"/>
            </a:ln>
          </c:spPr>
          <c:invertIfNegative val="0"/>
          <c:dLbls>
            <c:spPr>
              <a:noFill/>
              <a:ln w="25400">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Sheet1!$B$169:$C$169</c:f>
              <c:strCache>
                <c:ptCount val="2"/>
                <c:pt idx="0">
                  <c:v>2020年</c:v>
                </c:pt>
                <c:pt idx="1">
                  <c:v>2021年</c:v>
                </c:pt>
              </c:strCache>
            </c:strRef>
          </c:cat>
          <c:val>
            <c:numRef>
              <c:f>Sheet1!$B$170:$C$170</c:f>
              <c:numCache>
                <c:formatCode>General</c:formatCode>
                <c:ptCount val="2"/>
                <c:pt idx="0">
                  <c:v>157.97</c:v>
                </c:pt>
                <c:pt idx="1">
                  <c:v>268.41</c:v>
                </c:pt>
              </c:numCache>
            </c:numRef>
          </c:val>
        </c:ser>
        <c:dLbls>
          <c:showLegendKey val="0"/>
          <c:showVal val="1"/>
          <c:showCatName val="0"/>
          <c:showSerName val="0"/>
          <c:showPercent val="0"/>
          <c:showBubbleSize val="0"/>
        </c:dLbls>
        <c:gapWidth val="150"/>
        <c:axId val="85095936"/>
        <c:axId val="85097472"/>
      </c:barChart>
      <c:catAx>
        <c:axId val="85095936"/>
        <c:scaling>
          <c:orientation val="minMax"/>
        </c:scaling>
        <c:delete val="0"/>
        <c:axPos val="b"/>
        <c:numFmt formatCode="General" sourceLinked="1"/>
        <c:majorTickMark val="in"/>
        <c:minorTickMark val="none"/>
        <c:tickLblPos val="nextTo"/>
        <c:spPr>
          <a:ln w="3175" cap="flat" cmpd="sng" algn="ctr">
            <a:solidFill>
              <a:srgbClr val="000000"/>
            </a:solidFill>
            <a:prstDash val="solid"/>
            <a:round/>
          </a:ln>
        </c:spPr>
        <c:txPr>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85097472"/>
        <c:crosses val="autoZero"/>
        <c:auto val="1"/>
        <c:lblAlgn val="ctr"/>
        <c:lblOffset val="100"/>
        <c:noMultiLvlLbl val="0"/>
      </c:catAx>
      <c:valAx>
        <c:axId val="85097472"/>
        <c:scaling>
          <c:orientation val="minMax"/>
        </c:scaling>
        <c:delete val="0"/>
        <c:axPos val="l"/>
        <c:majorGridlines>
          <c:spPr>
            <a:ln w="3175" cap="flat" cmpd="sng" algn="ctr">
              <a:solidFill>
                <a:srgbClr val="000000"/>
              </a:solidFill>
              <a:prstDash val="solid"/>
              <a:round/>
            </a:ln>
          </c:spPr>
        </c:majorGridlines>
        <c:numFmt formatCode="General" sourceLinked="1"/>
        <c:majorTickMark val="in"/>
        <c:minorTickMark val="none"/>
        <c:tickLblPos val="nextTo"/>
        <c:spPr>
          <a:ln w="3175" cap="flat" cmpd="sng" algn="ctr">
            <a:solidFill>
              <a:srgbClr val="000000"/>
            </a:solidFill>
            <a:prstDash val="solid"/>
            <a:round/>
          </a:ln>
        </c:spPr>
        <c:txPr>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85095936"/>
        <c:crosses val="autoZero"/>
        <c:crossBetween val="between"/>
      </c:valAx>
      <c:spPr>
        <a:solidFill>
          <a:srgbClr val="C0C0C0"/>
        </a:solidFill>
        <a:ln w="12700">
          <a:solidFill>
            <a:srgbClr val="808080"/>
          </a:solidFill>
          <a:prstDash val="solid"/>
        </a:ln>
      </c:spPr>
    </c:plotArea>
    <c:legend>
      <c:legendPos val="r"/>
      <c:layout>
        <c:manualLayout>
          <c:xMode val="edge"/>
          <c:yMode val="edge"/>
          <c:x val="0.698225317989098"/>
          <c:y val="0.538674033149172"/>
          <c:w val="0.291420273649226"/>
          <c:h val="0.0662983425414365"/>
        </c:manualLayout>
      </c:layout>
      <c:overlay val="0"/>
      <c:spPr>
        <a:solidFill>
          <a:srgbClr val="FFFFFF"/>
        </a:solidFill>
        <a:ln w="3175">
          <a:solidFill>
            <a:srgbClr val="000000"/>
          </a:solidFill>
          <a:prstDash val="solid"/>
        </a:ln>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solidFill>
    <a:ln w="3175" cap="flat" cmpd="sng" algn="ctr">
      <a:solidFill>
        <a:srgbClr val="000000"/>
      </a:solidFill>
      <a:prstDash val="solid"/>
      <a:round/>
    </a:ln>
  </c:spPr>
  <c:txPr>
    <a:bodyPr/>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sz="1400" b="0" i="0" strike="noStrike">
                <a:solidFill>
                  <a:srgbClr val="000000"/>
                </a:solidFill>
                <a:latin typeface="宋体" panose="02010600030101010101" charset="-122"/>
                <a:ea typeface="宋体" panose="02010600030101010101" charset="-122"/>
              </a:rPr>
              <a:t>图</a:t>
            </a:r>
            <a:r>
              <a:rPr lang="en-US" altLang="zh-CN" sz="1400" b="0" i="0" strike="noStrike">
                <a:solidFill>
                  <a:srgbClr val="000000"/>
                </a:solidFill>
                <a:latin typeface="宋体" panose="02010600030101010101" charset="-122"/>
                <a:ea typeface="宋体" panose="02010600030101010101" charset="-122"/>
              </a:rPr>
              <a:t>5      </a:t>
            </a:r>
            <a:r>
              <a:rPr lang="zh-CN" altLang="en-US" sz="1400" b="0" i="0" strike="noStrike">
                <a:solidFill>
                  <a:srgbClr val="000000"/>
                </a:solidFill>
                <a:latin typeface="宋体" panose="02010600030101010101" charset="-122"/>
                <a:ea typeface="宋体" panose="02010600030101010101" charset="-122"/>
              </a:rPr>
              <a:t>一般公共预算财政拨款支出决算变动情况</a:t>
            </a:r>
            <a:endParaRPr lang="zh-CN" altLang="en-US" sz="1400" b="0" i="0" strike="noStrike">
              <a:solidFill>
                <a:srgbClr val="000000"/>
              </a:solidFill>
              <a:latin typeface="宋体" panose="02010600030101010101" charset="-122"/>
              <a:ea typeface="宋体" panose="02010600030101010101" charset="-122"/>
            </a:endParaRPr>
          </a:p>
        </c:rich>
      </c:tx>
      <c:layout/>
      <c:overlay val="0"/>
      <c:spPr>
        <a:noFill/>
        <a:ln w="25400">
          <a:noFill/>
        </a:ln>
      </c:spPr>
    </c:title>
    <c:autoTitleDeleted val="0"/>
    <c:plotArea>
      <c:layout/>
      <c:barChart>
        <c:barDir val="col"/>
        <c:grouping val="clustered"/>
        <c:varyColors val="0"/>
        <c:ser>
          <c:idx val="0"/>
          <c:order val="0"/>
          <c:tx>
            <c:strRef>
              <c:f>Sheet1!$A$85</c:f>
              <c:strCache>
                <c:ptCount val="1"/>
                <c:pt idx="0">
                  <c:v>一般公共预算财政拨款支出</c:v>
                </c:pt>
              </c:strCache>
            </c:strRef>
          </c:tx>
          <c:spPr>
            <a:solidFill>
              <a:srgbClr val="9999FF"/>
            </a:solidFill>
            <a:ln w="12700">
              <a:solidFill>
                <a:srgbClr val="000000"/>
              </a:solidFill>
              <a:prstDash val="solid"/>
            </a:ln>
          </c:spPr>
          <c:invertIfNegative val="0"/>
          <c:dLbls>
            <c:spPr>
              <a:noFill/>
              <a:ln w="25400">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Sheet1!$B$84:$C$84</c:f>
              <c:strCache>
                <c:ptCount val="2"/>
                <c:pt idx="0">
                  <c:v>2020年</c:v>
                </c:pt>
                <c:pt idx="1">
                  <c:v>2021年</c:v>
                </c:pt>
              </c:strCache>
            </c:strRef>
          </c:cat>
          <c:val>
            <c:numRef>
              <c:f>Sheet1!$B$85:$C$85</c:f>
              <c:numCache>
                <c:formatCode>General</c:formatCode>
                <c:ptCount val="2"/>
                <c:pt idx="0">
                  <c:v>157.97</c:v>
                </c:pt>
                <c:pt idx="1">
                  <c:v>268.41</c:v>
                </c:pt>
              </c:numCache>
            </c:numRef>
          </c:val>
        </c:ser>
        <c:dLbls>
          <c:showLegendKey val="0"/>
          <c:showVal val="1"/>
          <c:showCatName val="0"/>
          <c:showSerName val="0"/>
          <c:showPercent val="0"/>
          <c:showBubbleSize val="0"/>
        </c:dLbls>
        <c:gapWidth val="150"/>
        <c:axId val="152835200"/>
        <c:axId val="152837120"/>
      </c:barChart>
      <c:catAx>
        <c:axId val="152835200"/>
        <c:scaling>
          <c:orientation val="minMax"/>
        </c:scaling>
        <c:delete val="0"/>
        <c:axPos val="b"/>
        <c:numFmt formatCode="General" sourceLinked="1"/>
        <c:majorTickMark val="in"/>
        <c:minorTickMark val="none"/>
        <c:tickLblPos val="nextTo"/>
        <c:spPr>
          <a:ln w="3175" cap="flat" cmpd="sng" algn="ctr">
            <a:solidFill>
              <a:srgbClr val="000000"/>
            </a:solidFill>
            <a:prstDash val="solid"/>
            <a:round/>
          </a:ln>
        </c:spPr>
        <c:txPr>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152837120"/>
        <c:crosses val="autoZero"/>
        <c:auto val="1"/>
        <c:lblAlgn val="ctr"/>
        <c:lblOffset val="100"/>
        <c:noMultiLvlLbl val="0"/>
      </c:catAx>
      <c:valAx>
        <c:axId val="152837120"/>
        <c:scaling>
          <c:orientation val="minMax"/>
        </c:scaling>
        <c:delete val="0"/>
        <c:axPos val="l"/>
        <c:majorGridlines>
          <c:spPr>
            <a:ln w="3175" cap="flat" cmpd="sng" algn="ctr">
              <a:solidFill>
                <a:srgbClr val="000000"/>
              </a:solidFill>
              <a:prstDash val="solid"/>
              <a:round/>
            </a:ln>
          </c:spPr>
        </c:majorGridlines>
        <c:numFmt formatCode="General" sourceLinked="1"/>
        <c:majorTickMark val="in"/>
        <c:minorTickMark val="none"/>
        <c:tickLblPos val="nextTo"/>
        <c:spPr>
          <a:ln w="3175" cap="flat" cmpd="sng" algn="ctr">
            <a:solidFill>
              <a:srgbClr val="000000"/>
            </a:solidFill>
            <a:prstDash val="solid"/>
            <a:round/>
          </a:ln>
        </c:spPr>
        <c:txPr>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152835200"/>
        <c:crosses val="autoZero"/>
        <c:crossBetween val="between"/>
      </c:valAx>
      <c:spPr>
        <a:solidFill>
          <a:srgbClr val="C0C0C0"/>
        </a:solidFill>
        <a:ln w="12700">
          <a:solidFill>
            <a:srgbClr val="808080"/>
          </a:solidFill>
          <a:prstDash val="solid"/>
        </a:ln>
      </c:spPr>
    </c:plotArea>
    <c:legend>
      <c:legendPos val="r"/>
      <c:layout>
        <c:manualLayout>
          <c:xMode val="edge"/>
          <c:yMode val="edge"/>
          <c:x val="0.680696661828737"/>
          <c:y val="0.541436464088398"/>
          <c:w val="0.309143686502177"/>
          <c:h val="0.0662983425414365"/>
        </c:manualLayout>
      </c:layout>
      <c:overlay val="0"/>
      <c:spPr>
        <a:solidFill>
          <a:srgbClr val="FFFFFF"/>
        </a:solidFill>
        <a:ln w="3175">
          <a:solidFill>
            <a:srgbClr val="000000"/>
          </a:solidFill>
          <a:prstDash val="solid"/>
        </a:ln>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solidFill>
    <a:ln w="3175" cap="flat" cmpd="sng" algn="ctr">
      <a:solidFill>
        <a:srgbClr val="000000"/>
      </a:solidFill>
      <a:prstDash val="solid"/>
      <a:round/>
    </a:ln>
  </c:spPr>
  <c:txPr>
    <a:bodyPr/>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sz="1475" b="0" i="0" strike="noStrike">
                <a:solidFill>
                  <a:srgbClr val="000000"/>
                </a:solidFill>
                <a:latin typeface="宋体" panose="02010600030101010101" charset="-122"/>
                <a:ea typeface="宋体" panose="02010600030101010101" charset="-122"/>
              </a:rPr>
              <a:t>图</a:t>
            </a:r>
            <a:r>
              <a:rPr lang="en-US" altLang="zh-CN" sz="1475" b="0" i="0" strike="noStrike">
                <a:solidFill>
                  <a:srgbClr val="000000"/>
                </a:solidFill>
                <a:latin typeface="宋体" panose="02010600030101010101" charset="-122"/>
                <a:ea typeface="宋体" panose="02010600030101010101" charset="-122"/>
              </a:rPr>
              <a:t>6    </a:t>
            </a:r>
            <a:r>
              <a:rPr lang="zh-CN" altLang="en-US" sz="1475" b="0" i="0" strike="noStrike">
                <a:solidFill>
                  <a:srgbClr val="000000"/>
                </a:solidFill>
                <a:latin typeface="宋体" panose="02010600030101010101" charset="-122"/>
                <a:ea typeface="宋体" panose="02010600030101010101" charset="-122"/>
              </a:rPr>
              <a:t>一般公共预算财政拨款支出决算结构</a:t>
            </a:r>
            <a:endParaRPr lang="zh-CN" altLang="en-US" sz="1475" b="0" i="0" strike="noStrike">
              <a:solidFill>
                <a:srgbClr val="000000"/>
              </a:solidFill>
              <a:latin typeface="宋体" panose="02010600030101010101" charset="-122"/>
              <a:ea typeface="宋体" panose="02010600030101010101" charset="-122"/>
            </a:endParaRPr>
          </a:p>
        </c:rich>
      </c:tx>
      <c:layout/>
      <c:overlay val="0"/>
      <c:spPr>
        <a:noFill/>
        <a:ln w="25400">
          <a:noFill/>
        </a:ln>
      </c:spPr>
    </c:title>
    <c:autoTitleDeleted val="0"/>
    <c:plotArea>
      <c:layout/>
      <c:pieChart>
        <c:varyColors val="1"/>
        <c:ser>
          <c:idx val="0"/>
          <c:order val="0"/>
          <c:spPr>
            <a:solidFill>
              <a:srgbClr val="9999FF"/>
            </a:solidFill>
            <a:ln w="12700">
              <a:solidFill>
                <a:srgbClr val="000000"/>
              </a:solidFill>
              <a:prstDash val="solid"/>
            </a:ln>
          </c:spPr>
          <c:explosion val="0"/>
          <c:dPt>
            <c:idx val="0"/>
            <c:bubble3D val="0"/>
            <c:spPr>
              <a:solidFill>
                <a:srgbClr val="9999FF"/>
              </a:solidFill>
              <a:ln w="12700">
                <a:solidFill>
                  <a:srgbClr val="000000"/>
                </a:solidFill>
                <a:prstDash val="solid"/>
              </a:ln>
            </c:spPr>
          </c:dPt>
          <c:dPt>
            <c:idx val="1"/>
            <c:bubble3D val="0"/>
            <c:spPr>
              <a:solidFill>
                <a:srgbClr val="993366"/>
              </a:solidFill>
              <a:ln w="12700">
                <a:solidFill>
                  <a:srgbClr val="000000"/>
                </a:solidFill>
                <a:prstDash val="solid"/>
              </a:ln>
            </c:spPr>
          </c:dPt>
          <c:dPt>
            <c:idx val="2"/>
            <c:bubble3D val="0"/>
            <c:spPr>
              <a:solidFill>
                <a:srgbClr val="FFFFCC"/>
              </a:solidFill>
              <a:ln w="12700">
                <a:solidFill>
                  <a:srgbClr val="000000"/>
                </a:solidFill>
                <a:prstDash val="solid"/>
              </a:ln>
            </c:spPr>
          </c:dPt>
          <c:dPt>
            <c:idx val="3"/>
            <c:bubble3D val="0"/>
            <c:spPr>
              <a:solidFill>
                <a:srgbClr val="CCFFFF"/>
              </a:solidFill>
              <a:ln w="12700">
                <a:solidFill>
                  <a:srgbClr val="000000"/>
                </a:solidFill>
                <a:prstDash val="solid"/>
              </a:ln>
            </c:spPr>
          </c:dPt>
          <c:dPt>
            <c:idx val="4"/>
            <c:bubble3D val="0"/>
            <c:spPr>
              <a:solidFill>
                <a:srgbClr val="660066"/>
              </a:solidFill>
              <a:ln w="12700">
                <a:solidFill>
                  <a:srgbClr val="000000"/>
                </a:solidFill>
                <a:prstDash val="solid"/>
              </a:ln>
            </c:spPr>
          </c:dPt>
          <c:dPt>
            <c:idx val="5"/>
            <c:bubble3D val="0"/>
            <c:spPr>
              <a:solidFill>
                <a:srgbClr val="FF8080"/>
              </a:solidFill>
              <a:ln w="12700">
                <a:solidFill>
                  <a:srgbClr val="000000"/>
                </a:solidFill>
                <a:prstDash val="solid"/>
              </a:ln>
            </c:spPr>
          </c:dPt>
          <c:dLbls>
            <c:dLbl>
              <c:idx val="1"/>
              <c:layout>
                <c:manualLayout>
                  <c:x val="-0.00822220772997542"/>
                  <c:y val="0.224115735533058"/>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2"/>
              <c:layout>
                <c:manualLayout>
                  <c:x val="-0.0575367402085182"/>
                  <c:y val="0.146103896103896"/>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4"/>
              <c:layout>
                <c:manualLayout>
                  <c:x val="0.18328886418906"/>
                  <c:y val="0.024996591335174"/>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00%" sourceLinked="0"/>
            <c:spPr>
              <a:noFill/>
              <a:ln w="25400">
                <a:noFill/>
              </a:ln>
              <a:effectLst/>
            </c:spPr>
            <c:txPr>
              <a:bodyPr rot="0" spcFirstLastPara="0" vertOverflow="ellipsis" vert="horz" wrap="square" lIns="38100" tIns="19050" rIns="38100" bIns="19050" anchor="ctr" anchorCtr="1"/>
              <a:lstStyle/>
              <a:p>
                <a:pPr>
                  <a:defRPr lang="zh-CN" sz="105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3175" cap="flat" cmpd="sng" algn="ctr">
                      <a:solidFill>
                        <a:srgbClr val="000000"/>
                      </a:solidFill>
                      <a:prstDash val="solid"/>
                      <a:round/>
                    </a:ln>
                  </c:spPr>
                </c15:leaderLines>
              </c:ext>
            </c:extLst>
          </c:dLbls>
          <c:cat>
            <c:strRef>
              <c:f>Sheet1!$A$110:$A$115</c:f>
              <c:strCache>
                <c:ptCount val="5"/>
                <c:pt idx="0">
                  <c:v>文化旅游体育与传媒支出</c:v>
                </c:pt>
                <c:pt idx="1">
                  <c:v>卫生健康支出</c:v>
                </c:pt>
                <c:pt idx="2">
                  <c:v>社会保障和就业支出</c:v>
                </c:pt>
                <c:pt idx="4">
                  <c:v>住房保障支出</c:v>
                </c:pt>
              </c:strCache>
            </c:strRef>
          </c:cat>
          <c:val>
            <c:numRef>
              <c:f>Sheet1!$B$110:$B$115</c:f>
              <c:numCache>
                <c:formatCode>General</c:formatCode>
                <c:ptCount val="6"/>
                <c:pt idx="0">
                  <c:v>225.47</c:v>
                </c:pt>
                <c:pt idx="1">
                  <c:v>6.01</c:v>
                </c:pt>
                <c:pt idx="2">
                  <c:v>28.94</c:v>
                </c:pt>
                <c:pt idx="3">
                  <c:v>0</c:v>
                </c:pt>
                <c:pt idx="4">
                  <c:v>7.99</c:v>
                </c:pt>
              </c:numCache>
            </c:numRef>
          </c:val>
        </c:ser>
        <c:ser>
          <c:idx val="1"/>
          <c:order val="1"/>
          <c:spPr>
            <a:solidFill>
              <a:srgbClr val="993366"/>
            </a:solidFill>
            <a:ln w="12700">
              <a:solidFill>
                <a:srgbClr val="000000"/>
              </a:solidFill>
              <a:prstDash val="solid"/>
            </a:ln>
          </c:spPr>
          <c:explosion val="0"/>
          <c:dPt>
            <c:idx val="0"/>
            <c:bubble3D val="0"/>
            <c:spPr>
              <a:solidFill>
                <a:srgbClr val="9999FF"/>
              </a:solidFill>
              <a:ln w="12700">
                <a:solidFill>
                  <a:srgbClr val="000000"/>
                </a:solidFill>
                <a:prstDash val="solid"/>
              </a:ln>
            </c:spPr>
          </c:dPt>
          <c:dPt>
            <c:idx val="1"/>
            <c:bubble3D val="0"/>
            <c:spPr>
              <a:solidFill>
                <a:srgbClr val="993366"/>
              </a:solidFill>
              <a:ln w="12700">
                <a:solidFill>
                  <a:srgbClr val="000000"/>
                </a:solidFill>
                <a:prstDash val="solid"/>
              </a:ln>
            </c:spPr>
          </c:dPt>
          <c:dPt>
            <c:idx val="2"/>
            <c:bubble3D val="0"/>
            <c:spPr>
              <a:solidFill>
                <a:srgbClr val="FFFFCC"/>
              </a:solidFill>
              <a:ln w="12700">
                <a:solidFill>
                  <a:srgbClr val="000000"/>
                </a:solidFill>
                <a:prstDash val="solid"/>
              </a:ln>
            </c:spPr>
          </c:dPt>
          <c:dPt>
            <c:idx val="3"/>
            <c:bubble3D val="0"/>
            <c:spPr>
              <a:solidFill>
                <a:srgbClr val="CCFFFF"/>
              </a:solidFill>
              <a:ln w="12700">
                <a:solidFill>
                  <a:srgbClr val="000000"/>
                </a:solidFill>
                <a:prstDash val="solid"/>
              </a:ln>
            </c:spPr>
          </c:dPt>
          <c:dPt>
            <c:idx val="4"/>
            <c:bubble3D val="0"/>
            <c:spPr>
              <a:solidFill>
                <a:srgbClr val="660066"/>
              </a:solidFill>
              <a:ln w="12700">
                <a:solidFill>
                  <a:srgbClr val="000000"/>
                </a:solidFill>
                <a:prstDash val="solid"/>
              </a:ln>
            </c:spPr>
          </c:dPt>
          <c:dPt>
            <c:idx val="5"/>
            <c:bubble3D val="0"/>
            <c:spPr>
              <a:solidFill>
                <a:srgbClr val="FF8080"/>
              </a:solidFill>
              <a:ln w="12700">
                <a:solidFill>
                  <a:srgbClr val="000000"/>
                </a:solidFill>
                <a:prstDash val="solid"/>
              </a:ln>
            </c:spPr>
          </c:dPt>
          <c:dLbls>
            <c:delete val="1"/>
          </c:dLbls>
          <c:cat>
            <c:strRef>
              <c:f>Sheet1!$A$110:$A$115</c:f>
              <c:strCache>
                <c:ptCount val="5"/>
                <c:pt idx="0">
                  <c:v>文化旅游体育与传媒支出</c:v>
                </c:pt>
                <c:pt idx="1">
                  <c:v>卫生健康支出</c:v>
                </c:pt>
                <c:pt idx="2">
                  <c:v>社会保障和就业支出</c:v>
                </c:pt>
                <c:pt idx="4">
                  <c:v>住房保障支出</c:v>
                </c:pt>
              </c:strCache>
            </c:strRef>
          </c:cat>
          <c:val>
            <c:numRef>
              <c:f>Sheet1!$C$110:$C$115</c:f>
              <c:numCache>
                <c:formatCode>0%</c:formatCode>
                <c:ptCount val="6"/>
                <c:pt idx="0">
                  <c:v>0.84</c:v>
                </c:pt>
                <c:pt idx="1" c:formatCode="0.00%">
                  <c:v>0.0224</c:v>
                </c:pt>
                <c:pt idx="2" c:formatCode="0.00%">
                  <c:v>0.1078</c:v>
                </c:pt>
                <c:pt idx="3" c:formatCode="General">
                  <c:v>0</c:v>
                </c:pt>
                <c:pt idx="4" c:formatCode="0.00%">
                  <c:v>0.0298</c:v>
                </c:pt>
              </c:numCache>
            </c:numRef>
          </c:val>
        </c:ser>
        <c:dLbls>
          <c:showLegendKey val="0"/>
          <c:showVal val="0"/>
          <c:showCatName val="0"/>
          <c:showSerName val="0"/>
          <c:showPercent val="0"/>
          <c:showBubbleSize val="0"/>
          <c:showLeaderLines val="1"/>
        </c:dLbls>
        <c:firstSliceAng val="0"/>
      </c:pieChart>
      <c:spPr>
        <a:noFill/>
        <a:ln w="25400">
          <a:noFill/>
        </a:ln>
      </c:spPr>
    </c:plotArea>
    <c:legend>
      <c:legendPos val="r"/>
      <c:layout>
        <c:manualLayout>
          <c:xMode val="edge"/>
          <c:yMode val="edge"/>
          <c:x val="0.73974540311174"/>
          <c:y val="0.475207045400316"/>
          <c:w val="0.233380480905233"/>
          <c:h val="0.283058068154704"/>
        </c:manualLayout>
      </c:layout>
      <c:overlay val="0"/>
      <c:spPr>
        <a:solidFill>
          <a:srgbClr val="FFFFFF"/>
        </a:solidFill>
        <a:ln w="3175">
          <a:solidFill>
            <a:srgbClr val="000000"/>
          </a:solidFill>
          <a:prstDash val="solid"/>
        </a:ln>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solidFill>
    <a:ln w="3175" cap="flat" cmpd="sng" algn="ctr">
      <a:solidFill>
        <a:srgbClr val="000000"/>
      </a:solidFill>
      <a:prstDash val="solid"/>
      <a:round/>
    </a:ln>
  </c:spPr>
  <c:txPr>
    <a:bodyPr/>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sz="1400" b="0" i="0" strike="noStrike">
                <a:solidFill>
                  <a:srgbClr val="000000"/>
                </a:solidFill>
                <a:latin typeface="宋体" panose="02010600030101010101" charset="-122"/>
                <a:ea typeface="宋体" panose="02010600030101010101" charset="-122"/>
              </a:rPr>
              <a:t>图</a:t>
            </a:r>
            <a:r>
              <a:rPr lang="en-US" altLang="zh-CN" sz="1400" b="0" i="0" strike="noStrike">
                <a:solidFill>
                  <a:srgbClr val="000000"/>
                </a:solidFill>
                <a:latin typeface="宋体" panose="02010600030101010101" charset="-122"/>
                <a:ea typeface="宋体" panose="02010600030101010101" charset="-122"/>
              </a:rPr>
              <a:t>7  “</a:t>
            </a:r>
            <a:r>
              <a:rPr lang="zh-CN" altLang="en-US" sz="1400" b="0" i="0" strike="noStrike">
                <a:solidFill>
                  <a:srgbClr val="000000"/>
                </a:solidFill>
                <a:latin typeface="宋体" panose="02010600030101010101" charset="-122"/>
                <a:ea typeface="宋体" panose="02010600030101010101" charset="-122"/>
              </a:rPr>
              <a:t>三公”经费财政拨款支出结构</a:t>
            </a:r>
            <a:endParaRPr lang="zh-CN" altLang="en-US" sz="1400" b="0" i="0" strike="noStrike">
              <a:solidFill>
                <a:srgbClr val="000000"/>
              </a:solidFill>
              <a:latin typeface="宋体" panose="02010600030101010101" charset="-122"/>
              <a:ea typeface="宋体" panose="02010600030101010101" charset="-122"/>
            </a:endParaRPr>
          </a:p>
        </c:rich>
      </c:tx>
      <c:layout/>
      <c:overlay val="0"/>
      <c:spPr>
        <a:noFill/>
        <a:ln w="25400">
          <a:noFill/>
        </a:ln>
      </c:spPr>
    </c:title>
    <c:autoTitleDeleted val="0"/>
    <c:plotArea>
      <c:layout/>
      <c:pieChart>
        <c:varyColors val="1"/>
        <c:ser>
          <c:idx val="0"/>
          <c:order val="0"/>
          <c:spPr>
            <a:solidFill>
              <a:srgbClr val="9999FF"/>
            </a:solidFill>
            <a:ln w="12700">
              <a:solidFill>
                <a:srgbClr val="000000"/>
              </a:solidFill>
              <a:prstDash val="solid"/>
            </a:ln>
          </c:spPr>
          <c:explosion val="0"/>
          <c:dPt>
            <c:idx val="0"/>
            <c:bubble3D val="0"/>
            <c:spPr>
              <a:solidFill>
                <a:srgbClr val="9999FF"/>
              </a:solidFill>
              <a:ln w="12700">
                <a:solidFill>
                  <a:srgbClr val="000000"/>
                </a:solidFill>
                <a:prstDash val="solid"/>
              </a:ln>
            </c:spPr>
          </c:dPt>
          <c:dPt>
            <c:idx val="1"/>
            <c:bubble3D val="0"/>
            <c:spPr>
              <a:solidFill>
                <a:srgbClr val="993366"/>
              </a:solidFill>
              <a:ln w="12700">
                <a:solidFill>
                  <a:srgbClr val="000000"/>
                </a:solidFill>
                <a:prstDash val="solid"/>
              </a:ln>
            </c:spPr>
          </c:dPt>
          <c:dPt>
            <c:idx val="2"/>
            <c:bubble3D val="0"/>
            <c:spPr>
              <a:solidFill>
                <a:srgbClr val="FFFFCC"/>
              </a:solidFill>
              <a:ln w="12700">
                <a:solidFill>
                  <a:srgbClr val="000000"/>
                </a:solidFill>
                <a:prstDash val="solid"/>
              </a:ln>
            </c:spPr>
          </c:dPt>
          <c:dLbls>
            <c:dLbl>
              <c:idx val="0"/>
              <c:layout>
                <c:manualLayout>
                  <c:x val="0.120683980517105"/>
                  <c:y val="0.0723684210526317"/>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 sourceLinked="0"/>
            <c:spPr>
              <a:noFill/>
              <a:ln w="25400">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3175" cap="flat" cmpd="sng" algn="ctr">
                      <a:solidFill>
                        <a:srgbClr val="000000"/>
                      </a:solidFill>
                      <a:prstDash val="solid"/>
                      <a:round/>
                    </a:ln>
                  </c:spPr>
                </c15:leaderLines>
              </c:ext>
            </c:extLst>
          </c:dLbls>
          <c:cat>
            <c:strRef>
              <c:f>Sheet1!$B$140:$B$142</c:f>
              <c:strCache>
                <c:ptCount val="3"/>
                <c:pt idx="0">
                  <c:v>因公出国（境）费支出</c:v>
                </c:pt>
                <c:pt idx="1">
                  <c:v>公务用车购置及运行维护费支出</c:v>
                </c:pt>
                <c:pt idx="2">
                  <c:v>公务接待费支出</c:v>
                </c:pt>
              </c:strCache>
            </c:strRef>
          </c:cat>
          <c:val>
            <c:numRef>
              <c:f>Sheet1!$C$140:$C$142</c:f>
              <c:numCache>
                <c:formatCode>General</c:formatCode>
                <c:ptCount val="3"/>
                <c:pt idx="0">
                  <c:v>0</c:v>
                </c:pt>
                <c:pt idx="1">
                  <c:v>0.05</c:v>
                </c:pt>
                <c:pt idx="2">
                  <c:v>0</c:v>
                </c:pt>
              </c:numCache>
            </c:numRef>
          </c:val>
        </c:ser>
        <c:ser>
          <c:idx val="1"/>
          <c:order val="1"/>
          <c:spPr>
            <a:solidFill>
              <a:srgbClr val="993366"/>
            </a:solidFill>
            <a:ln w="12700">
              <a:solidFill>
                <a:srgbClr val="000000"/>
              </a:solidFill>
              <a:prstDash val="solid"/>
            </a:ln>
          </c:spPr>
          <c:explosion val="0"/>
          <c:dPt>
            <c:idx val="0"/>
            <c:bubble3D val="0"/>
            <c:spPr>
              <a:solidFill>
                <a:srgbClr val="9999FF"/>
              </a:solidFill>
              <a:ln w="12700">
                <a:solidFill>
                  <a:srgbClr val="000000"/>
                </a:solidFill>
                <a:prstDash val="solid"/>
              </a:ln>
            </c:spPr>
          </c:dPt>
          <c:dPt>
            <c:idx val="1"/>
            <c:bubble3D val="0"/>
            <c:spPr>
              <a:solidFill>
                <a:srgbClr val="993366"/>
              </a:solidFill>
              <a:ln w="12700">
                <a:solidFill>
                  <a:srgbClr val="000000"/>
                </a:solidFill>
                <a:prstDash val="solid"/>
              </a:ln>
            </c:spPr>
          </c:dPt>
          <c:dPt>
            <c:idx val="2"/>
            <c:bubble3D val="0"/>
            <c:spPr>
              <a:solidFill>
                <a:srgbClr val="FFFFCC"/>
              </a:solidFill>
              <a:ln w="12700">
                <a:solidFill>
                  <a:srgbClr val="000000"/>
                </a:solidFill>
                <a:prstDash val="solid"/>
              </a:ln>
            </c:spPr>
          </c:dPt>
          <c:dLbls>
            <c:delete val="1"/>
          </c:dLbls>
          <c:cat>
            <c:strRef>
              <c:f>Sheet1!$B$140:$B$142</c:f>
              <c:strCache>
                <c:ptCount val="3"/>
                <c:pt idx="0">
                  <c:v>因公出国（境）费支出</c:v>
                </c:pt>
                <c:pt idx="1">
                  <c:v>公务用车购置及运行维护费支出</c:v>
                </c:pt>
                <c:pt idx="2">
                  <c:v>公务接待费支出</c:v>
                </c:pt>
              </c:strCache>
            </c:strRef>
          </c:cat>
          <c:val>
            <c:numRef>
              <c:f>Sheet1!$D$140:$D$142</c:f>
              <c:numCache>
                <c:formatCode>General</c:formatCode>
                <c:ptCount val="3"/>
                <c:pt idx="0">
                  <c:v>0</c:v>
                </c:pt>
                <c:pt idx="1" c:formatCode="0%">
                  <c:v>1</c:v>
                </c:pt>
                <c:pt idx="2" c:formatCode="0%">
                  <c:v>0</c:v>
                </c:pt>
              </c:numCache>
            </c:numRef>
          </c:val>
        </c:ser>
        <c:dLbls>
          <c:showLegendKey val="0"/>
          <c:showVal val="0"/>
          <c:showCatName val="0"/>
          <c:showSerName val="0"/>
          <c:showPercent val="0"/>
          <c:showBubbleSize val="0"/>
          <c:showLeaderLines val="1"/>
        </c:dLbls>
        <c:firstSliceAng val="0"/>
      </c:pieChart>
      <c:spPr>
        <a:noFill/>
        <a:ln w="25400">
          <a:noFill/>
        </a:ln>
      </c:spPr>
    </c:plotArea>
    <c:legend>
      <c:legendPos val="r"/>
      <c:layout>
        <c:manualLayout>
          <c:xMode val="edge"/>
          <c:yMode val="edge"/>
          <c:x val="0.640000933216682"/>
          <c:y val="0.437673711838652"/>
          <c:w val="0.3392597258676"/>
          <c:h val="0.357341301866353"/>
        </c:manualLayout>
      </c:layout>
      <c:overlay val="0"/>
      <c:spPr>
        <a:solidFill>
          <a:srgbClr val="FFFFFF"/>
        </a:solidFill>
        <a:ln w="3175">
          <a:solidFill>
            <a:srgbClr val="000000"/>
          </a:solidFill>
          <a:prstDash val="solid"/>
        </a:ln>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solidFill>
    <a:ln w="3175" cap="flat" cmpd="sng" algn="ctr">
      <a:solidFill>
        <a:srgbClr val="000000"/>
      </a:solidFill>
      <a:prstDash val="solid"/>
      <a:round/>
    </a:ln>
  </c:spPr>
  <c:txPr>
    <a:bodyPr/>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25</Pages>
  <Words>7570</Words>
  <Characters>9278</Characters>
  <Lines>8</Lines>
  <Paragraphs>16</Paragraphs>
  <TotalTime>30</TotalTime>
  <ScaleCrop>false</ScaleCrop>
  <LinksUpToDate>false</LinksUpToDate>
  <CharactersWithSpaces>9327</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2022-10-07T01:09:00Z</dcterms:created>
  <dc:creator>曹颖</dc:creator>
  <cp:lastModifiedBy>丫头</cp:lastModifiedBy>
  <cp:lastPrinted>2022-10-24T09:07:00Z</cp:lastPrinted>
  <dcterms:modified xsi:type="dcterms:W3CDTF">2023-10-08T08:39:06Z</dcterms:modified>
  <dc:title>四川省***</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FD5C215F22C940AB9BE987D0A499F273_13</vt:lpwstr>
  </property>
</Properties>
</file>