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9"/>
        <w:rPr>
          <w:rFonts w:hint="eastAsia" w:ascii="方正小标宋简体" w:hAnsi="宋体" w:eastAsia="方正小标宋简体"/>
          <w:sz w:val="72"/>
          <w:szCs w:val="72"/>
          <w:lang w:val="en-US" w:eastAsia="zh-CN"/>
        </w:rPr>
      </w:pPr>
      <w:bookmarkStart w:id="0" w:name="_Toc15377193"/>
      <w:bookmarkStart w:id="1" w:name="_Toc15377425"/>
      <w:bookmarkStart w:id="2" w:name="_Toc15378441"/>
      <w:bookmarkStart w:id="3" w:name="_Toc15396597"/>
      <w:bookmarkStart w:id="4" w:name="_Toc15396475"/>
      <w:bookmarkStart w:id="5" w:name="_Toc15306267"/>
      <w:r>
        <w:rPr>
          <w:rFonts w:hint="eastAsia" w:ascii="方正小标宋简体" w:hAnsi="宋体" w:eastAsia="方正小标宋简体"/>
          <w:sz w:val="72"/>
          <w:szCs w:val="72"/>
          <w:lang w:val="en-US" w:eastAsia="zh-CN"/>
        </w:rPr>
        <w:t xml:space="preserve"> </w:t>
      </w:r>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23524"/>
      <w:r>
        <w:rPr>
          <w:rFonts w:hint="eastAsia" w:ascii="方正小标宋简体" w:hAnsi="方正小标宋简体" w:eastAsia="方正小标宋简体" w:cs="方正小标宋简体"/>
          <w:sz w:val="72"/>
          <w:szCs w:val="72"/>
        </w:rPr>
        <w:t>2021年度</w:t>
      </w:r>
      <w:bookmarkEnd w:id="0"/>
      <w:bookmarkEnd w:id="1"/>
      <w:bookmarkEnd w:id="2"/>
      <w:bookmarkEnd w:id="3"/>
      <w:bookmarkEnd w:id="4"/>
      <w:bookmarkEnd w:id="6"/>
    </w:p>
    <w:bookmarkEnd w:id="5"/>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eastAsia="zh-CN"/>
        </w:rPr>
      </w:pPr>
      <w:bookmarkStart w:id="7" w:name="_Toc28928"/>
      <w:bookmarkStart w:id="8" w:name="_Toc15378442"/>
      <w:bookmarkStart w:id="9" w:name="_Toc15377426"/>
      <w:bookmarkStart w:id="10" w:name="_Toc15396598"/>
      <w:bookmarkStart w:id="11" w:name="_Toc15396476"/>
      <w:bookmarkStart w:id="12" w:name="_Toc15377194"/>
      <w:bookmarkStart w:id="13" w:name="_Toc15306268"/>
      <w:r>
        <w:rPr>
          <w:rFonts w:hint="eastAsia" w:ascii="方正小标宋简体" w:hAnsi="方正小标宋简体" w:eastAsia="方正小标宋简体" w:cs="方正小标宋简体"/>
          <w:sz w:val="72"/>
          <w:szCs w:val="72"/>
          <w:lang w:eastAsia="zh-CN"/>
        </w:rPr>
        <w:t>中共盐边县委组织部</w:t>
      </w:r>
      <w:bookmarkEnd w:id="7"/>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4" w:name="_Toc30083"/>
      <w:r>
        <w:rPr>
          <w:rFonts w:hint="eastAsia" w:ascii="方正小标宋简体" w:hAnsi="方正小标宋简体" w:eastAsia="方正小标宋简体" w:cs="方正小标宋简体"/>
          <w:sz w:val="72"/>
          <w:szCs w:val="72"/>
        </w:rPr>
        <w:t>部门决算</w:t>
      </w:r>
      <w:bookmarkEnd w:id="8"/>
      <w:bookmarkEnd w:id="9"/>
      <w:bookmarkEnd w:id="10"/>
      <w:bookmarkEnd w:id="11"/>
      <w:bookmarkEnd w:id="12"/>
      <w:bookmarkEnd w:id="13"/>
      <w:bookmarkEnd w:id="14"/>
    </w:p>
    <w:p>
      <w:pPr>
        <w:widowControl/>
        <w:jc w:val="center"/>
        <w:rPr>
          <w:rFonts w:hint="eastAsia" w:ascii="方正小标宋_GBK" w:hAnsi="方正小标宋_GBK" w:eastAsia="方正小标宋_GBK" w:cs="方正小标宋_GBK"/>
          <w:b/>
          <w:bCs/>
          <w:sz w:val="39"/>
          <w:szCs w:val="48"/>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pPr>
        <w:widowControl/>
        <w:jc w:val="center"/>
        <w:rPr>
          <w:rFonts w:ascii="黑体" w:hAnsi="黑体" w:eastAsia="黑体" w:cstheme="minorBidi"/>
          <w:sz w:val="28"/>
          <w:szCs w:val="28"/>
        </w:rPr>
      </w:pPr>
      <w:r>
        <w:rPr>
          <w:rFonts w:hint="eastAsia" w:ascii="方正小标宋_GBK" w:hAnsi="方正小标宋_GBK" w:eastAsia="方正小标宋_GBK" w:cs="方正小标宋_GBK"/>
          <w:b/>
          <w:bCs/>
          <w:sz w:val="39"/>
          <w:szCs w:val="48"/>
        </w:rPr>
        <w:t>目</w:t>
      </w:r>
      <w:r>
        <w:rPr>
          <w:rFonts w:hint="eastAsia" w:ascii="方正小标宋_GBK" w:hAnsi="方正小标宋_GBK" w:eastAsia="方正小标宋_GBK" w:cs="方正小标宋_GBK"/>
          <w:b/>
          <w:bCs/>
          <w:sz w:val="39"/>
          <w:szCs w:val="48"/>
          <w:lang w:val="en-US" w:eastAsia="zh-CN"/>
        </w:rPr>
        <w:t xml:space="preserve"> </w:t>
      </w:r>
      <w:r>
        <w:rPr>
          <w:rFonts w:hint="eastAsia" w:ascii="方正小标宋_GBK" w:hAnsi="方正小标宋_GBK" w:eastAsia="方正小标宋_GBK" w:cs="方正小标宋_GBK"/>
          <w:b/>
          <w:bCs/>
          <w:sz w:val="39"/>
          <w:szCs w:val="48"/>
        </w:rPr>
        <w:t>录</w:t>
      </w:r>
    </w:p>
    <w:p>
      <w:pPr>
        <w:pStyle w:val="12"/>
      </w:pPr>
      <w:r>
        <w:rPr>
          <w:rFonts w:hint="eastAsia" w:ascii="Times New Roman" w:hAnsi="Times New Roman" w:eastAsia="方正书宋_GBK"/>
          <w:sz w:val="33"/>
        </w:rPr>
        <w:t>公开时间：2022年10月</w:t>
      </w:r>
      <w:r>
        <w:rPr>
          <w:rFonts w:hint="eastAsia" w:ascii="Times New Roman" w:hAnsi="Times New Roman" w:eastAsia="方正书宋_GBK"/>
          <w:sz w:val="33"/>
          <w:lang w:val="en-US" w:eastAsia="zh-CN"/>
        </w:rPr>
        <w:t>26</w:t>
      </w:r>
      <w:r>
        <w:rPr>
          <w:rFonts w:hint="eastAsia" w:ascii="Times New Roman" w:hAnsi="Times New Roman" w:eastAsia="方正书宋_GBK"/>
          <w:sz w:val="33"/>
        </w:rPr>
        <w:t>日</w:t>
      </w:r>
    </w:p>
    <w:sdt>
      <w:sdtPr>
        <w:rPr>
          <w:rFonts w:ascii="宋体" w:hAnsi="宋体" w:eastAsia="宋体" w:cs="Times New Roman"/>
          <w:kern w:val="2"/>
          <w:sz w:val="21"/>
          <w:szCs w:val="24"/>
          <w:lang w:val="en-US" w:eastAsia="zh-CN" w:bidi="ar-SA"/>
        </w:rPr>
        <w:id w:val="147466037"/>
        <w15:color w:val="DBDBDB"/>
        <w:docPartObj>
          <w:docPartGallery w:val="Table of Contents"/>
          <w:docPartUnique/>
        </w:docPartObj>
      </w:sdtPr>
      <w:sdtEndPr>
        <w:rPr>
          <w:rFonts w:hint="eastAsia" w:ascii="黑体" w:hAnsi="黑体" w:eastAsia="黑体" w:cs="Times New Roman"/>
          <w:b/>
          <w:bCs/>
          <w:kern w:val="44"/>
          <w:sz w:val="44"/>
          <w:szCs w:val="44"/>
          <w:lang w:val="en-US" w:eastAsia="zh-CN" w:bidi="ar-SA"/>
        </w:rPr>
      </w:sdtEndPr>
      <w:sdtContent>
        <w:p>
          <w:pPr>
            <w:spacing w:before="0" w:beforeLines="0" w:after="0" w:afterLines="0" w:line="240" w:lineRule="auto"/>
            <w:ind w:left="0" w:leftChars="0" w:right="0" w:rightChars="0" w:firstLine="0" w:firstLineChars="0"/>
            <w:jc w:val="center"/>
          </w:pPr>
        </w:p>
        <w:p>
          <w:pPr>
            <w:pStyle w:val="12"/>
            <w:pageBreakBefore w:val="0"/>
            <w:widowControl w:val="0"/>
            <w:tabs>
              <w:tab w:val="right" w:leader="dot" w:pos="8306"/>
              <w:tab w:val="clear" w:pos="8296"/>
            </w:tabs>
            <w:kinsoku/>
            <w:wordWrap/>
            <w:overflowPunct/>
            <w:topLinePunct w:val="0"/>
            <w:autoSpaceDE/>
            <w:autoSpaceDN/>
            <w:bidi w:val="0"/>
            <w:adjustRightInd/>
            <w:snapToGrid/>
            <w:spacing w:line="440" w:lineRule="exact"/>
            <w:jc w:val="both"/>
            <w:textAlignment w:val="auto"/>
            <w:rPr>
              <w:rFonts w:hint="eastAsia" w:ascii="微软雅黑" w:hAnsi="微软雅黑" w:eastAsia="微软雅黑" w:cs="微软雅黑"/>
            </w:rPr>
          </w:pPr>
          <w:r>
            <w:rPr>
              <w:rFonts w:hint="eastAsia" w:ascii="黑体" w:hAnsi="黑体" w:eastAsia="黑体" w:cs="Times New Roman"/>
              <w:b w:val="0"/>
            </w:rPr>
            <w:fldChar w:fldCharType="begin"/>
          </w:r>
          <w:r>
            <w:rPr>
              <w:rFonts w:hint="eastAsia" w:ascii="黑体" w:hAnsi="黑体" w:eastAsia="黑体" w:cs="Times New Roman"/>
              <w:b w:val="0"/>
            </w:rPr>
            <w:instrText xml:space="preserve">TOC \o "1-2" \h \u </w:instrText>
          </w:r>
          <w:r>
            <w:rPr>
              <w:rFonts w:hint="eastAsia" w:ascii="黑体" w:hAnsi="黑体" w:eastAsia="黑体" w:cs="Times New Roman"/>
              <w:b w:val="0"/>
            </w:rPr>
            <w:fldChar w:fldCharType="separate"/>
          </w: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HYPERLINK \l _Toc10410 </w:instrText>
          </w:r>
          <w:r>
            <w:rPr>
              <w:rFonts w:hint="eastAsia" w:ascii="方正黑体_GBK" w:hAnsi="方正黑体_GBK" w:eastAsia="方正黑体_GBK" w:cs="方正黑体_GBK"/>
            </w:rPr>
            <w:fldChar w:fldCharType="separate"/>
          </w:r>
          <w:r>
            <w:rPr>
              <w:rFonts w:hint="eastAsia" w:ascii="方正黑体_GBK" w:hAnsi="方正黑体_GBK" w:eastAsia="方正黑体_GBK" w:cs="方正黑体_GBK"/>
            </w:rPr>
            <w:t>第一部分 部门概况</w:t>
          </w:r>
          <w:r>
            <w:rPr>
              <w:rFonts w:hint="eastAsia" w:ascii="方正黑体_GBK" w:hAnsi="方正黑体_GBK" w:eastAsia="方正黑体_GBK" w:cs="方正黑体_GBK"/>
            </w:rPr>
            <w:tab/>
          </w: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PAGEREF _Toc10410 \h </w:instrText>
          </w:r>
          <w:r>
            <w:rPr>
              <w:rFonts w:hint="eastAsia" w:ascii="方正黑体_GBK" w:hAnsi="方正黑体_GBK" w:eastAsia="方正黑体_GBK" w:cs="方正黑体_GBK"/>
            </w:rPr>
            <w:fldChar w:fldCharType="separate"/>
          </w:r>
          <w:r>
            <w:rPr>
              <w:rFonts w:hint="eastAsia" w:ascii="方正黑体_GBK" w:hAnsi="方正黑体_GBK" w:eastAsia="方正黑体_GBK" w:cs="方正黑体_GBK"/>
            </w:rPr>
            <w:t>1</w:t>
          </w:r>
          <w:r>
            <w:rPr>
              <w:rFonts w:hint="eastAsia" w:ascii="方正黑体_GBK" w:hAnsi="方正黑体_GBK" w:eastAsia="方正黑体_GBK" w:cs="方正黑体_GBK"/>
            </w:rPr>
            <w:fldChar w:fldCharType="end"/>
          </w:r>
          <w:r>
            <w:rPr>
              <w:rFonts w:hint="eastAsia" w:ascii="方正黑体_GBK" w:hAnsi="方正黑体_GBK" w:eastAsia="方正黑体_GBK" w:cs="方正黑体_GBK"/>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ascii="Times New Roman" w:hAnsi="Times New Roman" w:eastAsia="宋体"/>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_Toc26771 </w:instrText>
          </w:r>
          <w:r>
            <w:rPr>
              <w:rFonts w:hint="eastAsia" w:ascii="Times New Roman" w:hAnsi="Times New Roman" w:eastAsia="宋体" w:cs="Times New Roman"/>
              <w:sz w:val="24"/>
            </w:rPr>
            <w:fldChar w:fldCharType="separate"/>
          </w:r>
          <w:r>
            <w:rPr>
              <w:rFonts w:hint="eastAsia" w:ascii="Times New Roman" w:hAnsi="Times New Roman" w:eastAsia="宋体"/>
              <w:sz w:val="24"/>
            </w:rPr>
            <w:t>一、</w:t>
          </w:r>
          <w:r>
            <w:rPr>
              <w:rFonts w:hint="eastAsia" w:ascii="Times New Roman" w:hAnsi="Times New Roman" w:eastAsia="宋体" w:cs="Times New Roman"/>
              <w:bCs w:val="0"/>
              <w:kern w:val="2"/>
              <w:sz w:val="24"/>
              <w:szCs w:val="36"/>
              <w:lang w:val="en-US" w:eastAsia="zh-CN" w:bidi="ar-SA"/>
            </w:rPr>
            <w:t>基本职能及主要工作</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_Toc26771 \h </w:instrText>
          </w:r>
          <w:r>
            <w:rPr>
              <w:rFonts w:ascii="Times New Roman" w:hAnsi="Times New Roman" w:eastAsia="宋体"/>
              <w:sz w:val="24"/>
            </w:rPr>
            <w:fldChar w:fldCharType="separate"/>
          </w:r>
          <w:r>
            <w:rPr>
              <w:rFonts w:ascii="Times New Roman" w:hAnsi="Times New Roman" w:eastAsia="宋体"/>
              <w:sz w:val="24"/>
            </w:rPr>
            <w:t>1</w:t>
          </w:r>
          <w:r>
            <w:rPr>
              <w:rFonts w:ascii="Times New Roman" w:hAnsi="Times New Roman" w:eastAsia="宋体"/>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_Toc2665 </w:instrText>
          </w:r>
          <w:r>
            <w:rPr>
              <w:rFonts w:hint="eastAsia" w:ascii="Times New Roman" w:hAnsi="Times New Roman" w:eastAsia="宋体" w:cs="Times New Roman"/>
              <w:sz w:val="24"/>
            </w:rPr>
            <w:fldChar w:fldCharType="separate"/>
          </w:r>
          <w:r>
            <w:rPr>
              <w:rFonts w:hint="eastAsia" w:ascii="Times New Roman" w:hAnsi="Times New Roman" w:eastAsia="宋体"/>
              <w:sz w:val="24"/>
            </w:rPr>
            <w:t>二、</w:t>
          </w:r>
          <w:r>
            <w:rPr>
              <w:rFonts w:hint="eastAsia" w:ascii="Times New Roman" w:hAnsi="Times New Roman" w:eastAsia="宋体" w:cs="Times New Roman"/>
              <w:bCs w:val="0"/>
              <w:kern w:val="2"/>
              <w:sz w:val="24"/>
              <w:szCs w:val="36"/>
              <w:lang w:val="en-US" w:eastAsia="zh-CN" w:bidi="ar-SA"/>
            </w:rPr>
            <w:t>机构设置</w:t>
          </w:r>
          <w:r>
            <w:rPr>
              <w:rFonts w:ascii="Times New Roman" w:hAnsi="Times New Roman" w:eastAsia="宋体"/>
              <w:sz w:val="24"/>
            </w:rPr>
            <w:tab/>
          </w:r>
          <w:r>
            <w:rPr>
              <w:rFonts w:ascii="Times New Roman" w:hAnsi="Times New Roman" w:eastAsia="宋体"/>
              <w:sz w:val="24"/>
            </w:rPr>
            <w:fldChar w:fldCharType="begin"/>
          </w:r>
          <w:r>
            <w:rPr>
              <w:rFonts w:ascii="Times New Roman" w:hAnsi="Times New Roman" w:eastAsia="宋体"/>
              <w:sz w:val="24"/>
            </w:rPr>
            <w:instrText xml:space="preserve"> PAGEREF _Toc2665 \h </w:instrText>
          </w:r>
          <w:r>
            <w:rPr>
              <w:rFonts w:ascii="Times New Roman" w:hAnsi="Times New Roman" w:eastAsia="宋体"/>
              <w:sz w:val="24"/>
            </w:rPr>
            <w:fldChar w:fldCharType="separate"/>
          </w:r>
          <w:r>
            <w:rPr>
              <w:rFonts w:ascii="Times New Roman" w:hAnsi="Times New Roman" w:eastAsia="宋体"/>
              <w:sz w:val="24"/>
            </w:rPr>
            <w:t>3</w:t>
          </w:r>
          <w:r>
            <w:rPr>
              <w:rFonts w:ascii="Times New Roman" w:hAnsi="Times New Roman" w:eastAsia="宋体"/>
              <w:sz w:val="24"/>
            </w:rPr>
            <w:fldChar w:fldCharType="end"/>
          </w:r>
          <w:r>
            <w:rPr>
              <w:rFonts w:hint="eastAsia" w:ascii="Times New Roman" w:hAnsi="Times New Roman" w:eastAsia="宋体" w:cs="Times New Roman"/>
              <w:sz w:val="24"/>
            </w:rPr>
            <w:fldChar w:fldCharType="end"/>
          </w:r>
        </w:p>
        <w:p>
          <w:pPr>
            <w:pStyle w:val="12"/>
            <w:pageBreakBefore w:val="0"/>
            <w:widowControl w:val="0"/>
            <w:tabs>
              <w:tab w:val="right" w:leader="dot" w:pos="8306"/>
              <w:tab w:val="clear" w:pos="8296"/>
            </w:tabs>
            <w:kinsoku/>
            <w:wordWrap/>
            <w:overflowPunct/>
            <w:topLinePunct w:val="0"/>
            <w:autoSpaceDE/>
            <w:autoSpaceDN/>
            <w:bidi w:val="0"/>
            <w:adjustRightInd/>
            <w:snapToGrid/>
            <w:spacing w:line="440" w:lineRule="exact"/>
            <w:jc w:val="both"/>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HYPERLINK \l _Toc30499 </w:instrText>
          </w:r>
          <w:r>
            <w:rPr>
              <w:rFonts w:hint="eastAsia" w:ascii="方正黑体_GBK" w:hAnsi="方正黑体_GBK" w:eastAsia="方正黑体_GBK" w:cs="方正黑体_GBK"/>
            </w:rPr>
            <w:fldChar w:fldCharType="separate"/>
          </w:r>
          <w:r>
            <w:rPr>
              <w:rFonts w:hint="eastAsia" w:ascii="方正黑体_GBK" w:hAnsi="方正黑体_GBK" w:eastAsia="方正黑体_GBK" w:cs="方正黑体_GBK"/>
            </w:rPr>
            <w:t>第二部分 2021年度部门决算情况说明</w:t>
          </w:r>
          <w:r>
            <w:rPr>
              <w:rFonts w:hint="eastAsia" w:ascii="方正黑体_GBK" w:hAnsi="方正黑体_GBK" w:eastAsia="方正黑体_GBK" w:cs="方正黑体_GBK"/>
            </w:rPr>
            <w:tab/>
          </w: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PAGEREF _Toc30499 \h </w:instrText>
          </w:r>
          <w:r>
            <w:rPr>
              <w:rFonts w:hint="eastAsia" w:ascii="方正黑体_GBK" w:hAnsi="方正黑体_GBK" w:eastAsia="方正黑体_GBK" w:cs="方正黑体_GBK"/>
            </w:rPr>
            <w:fldChar w:fldCharType="separate"/>
          </w:r>
          <w:r>
            <w:rPr>
              <w:rFonts w:hint="eastAsia" w:ascii="方正黑体_GBK" w:hAnsi="方正黑体_GBK" w:eastAsia="方正黑体_GBK" w:cs="方正黑体_GBK"/>
            </w:rPr>
            <w:t>5</w:t>
          </w:r>
          <w:r>
            <w:rPr>
              <w:rFonts w:hint="eastAsia" w:ascii="方正黑体_GBK" w:hAnsi="方正黑体_GBK" w:eastAsia="方正黑体_GBK" w:cs="方正黑体_GBK"/>
            </w:rPr>
            <w:fldChar w:fldCharType="end"/>
          </w:r>
          <w:r>
            <w:rPr>
              <w:rFonts w:hint="eastAsia" w:ascii="方正黑体_GBK" w:hAnsi="方正黑体_GBK" w:eastAsia="方正黑体_GBK" w:cs="方正黑体_GBK"/>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_Toc5487 </w:instrText>
          </w:r>
          <w:r>
            <w:rPr>
              <w:rFonts w:hint="eastAsia" w:ascii="Times New Roman" w:hAnsi="Times New Roman" w:eastAsia="宋体" w:cs="Times New Roman"/>
              <w:sz w:val="24"/>
            </w:rPr>
            <w:fldChar w:fldCharType="separate"/>
          </w:r>
          <w:r>
            <w:rPr>
              <w:rFonts w:hint="default" w:ascii="Times New Roman" w:hAnsi="Times New Roman" w:eastAsia="宋体" w:cs="Times New Roman"/>
              <w:sz w:val="24"/>
            </w:rPr>
            <w:t>一、</w:t>
          </w:r>
          <w:r>
            <w:rPr>
              <w:rFonts w:hint="eastAsia" w:ascii="Times New Roman" w:hAnsi="Times New Roman" w:eastAsia="宋体" w:cs="Times New Roman"/>
              <w:sz w:val="24"/>
            </w:rPr>
            <w:t>收入支出决算总体情况说明</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_Toc5487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_Toc15249 </w:instrText>
          </w:r>
          <w:r>
            <w:rPr>
              <w:rFonts w:hint="eastAsia" w:ascii="Times New Roman" w:hAnsi="Times New Roman" w:eastAsia="宋体" w:cs="Times New Roman"/>
              <w:sz w:val="24"/>
            </w:rPr>
            <w:fldChar w:fldCharType="separate"/>
          </w:r>
          <w:r>
            <w:rPr>
              <w:rFonts w:hint="default" w:ascii="Times New Roman" w:hAnsi="Times New Roman" w:eastAsia="宋体" w:cs="Times New Roman"/>
              <w:sz w:val="24"/>
            </w:rPr>
            <w:t>二、</w:t>
          </w:r>
          <w:r>
            <w:rPr>
              <w:rFonts w:hint="eastAsia" w:ascii="Times New Roman" w:hAnsi="Times New Roman" w:eastAsia="宋体" w:cs="Times New Roman"/>
              <w:sz w:val="24"/>
            </w:rPr>
            <w:t>收入决算情况说明</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_Toc15249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_Toc31435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lang w:val="en-US" w:eastAsia="zh-CN"/>
            </w:rPr>
            <w:t>三、支出决算情况说明</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_Toc31435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6</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_Toc18991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lang w:val="en-US" w:eastAsia="zh-CN"/>
            </w:rPr>
            <w:t>四、财政拨款收入支出决算总体情况说明</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_Toc18991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6</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_Toc3840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lang w:val="en-US" w:eastAsia="zh-CN"/>
            </w:rPr>
            <w:t>五、一般公共预算财政拨款支出决算情况说明</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_Toc3840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7</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_Toc22787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lang w:val="en-US" w:eastAsia="zh-CN"/>
            </w:rPr>
            <w:t>六、一般公共预算财政拨款基本支出决算情况说明</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_Toc22787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10</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_Toc23877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lang w:val="en-US" w:eastAsia="zh-CN"/>
            </w:rPr>
            <w:t>七</w:t>
          </w:r>
          <w:r>
            <w:rPr>
              <w:rFonts w:hint="eastAsia" w:cs="Times New Roman"/>
              <w:sz w:val="24"/>
              <w:lang w:val="en-US" w:eastAsia="zh-CN"/>
            </w:rPr>
            <w:t>、</w:t>
          </w:r>
          <w:r>
            <w:rPr>
              <w:rFonts w:hint="eastAsia" w:ascii="Times New Roman" w:hAnsi="Times New Roman" w:eastAsia="宋体" w:cs="Times New Roman"/>
              <w:sz w:val="24"/>
              <w:lang w:val="en-US" w:eastAsia="zh-CN"/>
            </w:rPr>
            <w:t>“三公”经费财政拨款支出决算情况说明</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_Toc23877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10</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_Toc26255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八、政府性基金预算支出决算情况说明</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_Toc26255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12</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_Toc4528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九、国有资本经营预算支出决算情况说明</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_Toc4528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12</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_Toc24512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十、其他重要事项的情况说明</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_Toc24512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12</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2"/>
            <w:pageBreakBefore w:val="0"/>
            <w:widowControl w:val="0"/>
            <w:tabs>
              <w:tab w:val="right" w:leader="dot" w:pos="8306"/>
              <w:tab w:val="clear" w:pos="8296"/>
            </w:tabs>
            <w:kinsoku/>
            <w:wordWrap/>
            <w:overflowPunct/>
            <w:topLinePunct w:val="0"/>
            <w:autoSpaceDE/>
            <w:autoSpaceDN/>
            <w:bidi w:val="0"/>
            <w:adjustRightInd/>
            <w:snapToGrid/>
            <w:spacing w:line="440" w:lineRule="exact"/>
            <w:jc w:val="both"/>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HYPERLINK \l _Toc23010 </w:instrText>
          </w:r>
          <w:r>
            <w:rPr>
              <w:rFonts w:hint="eastAsia" w:ascii="方正黑体_GBK" w:hAnsi="方正黑体_GBK" w:eastAsia="方正黑体_GBK" w:cs="方正黑体_GBK"/>
            </w:rPr>
            <w:fldChar w:fldCharType="separate"/>
          </w:r>
          <w:r>
            <w:rPr>
              <w:rFonts w:hint="eastAsia" w:ascii="方正黑体_GBK" w:hAnsi="方正黑体_GBK" w:eastAsia="方正黑体_GBK" w:cs="方正黑体_GBK"/>
            </w:rPr>
            <w:t>第三部分 名词解释</w:t>
          </w:r>
          <w:r>
            <w:rPr>
              <w:rFonts w:hint="eastAsia" w:ascii="方正黑体_GBK" w:hAnsi="方正黑体_GBK" w:eastAsia="方正黑体_GBK" w:cs="方正黑体_GBK"/>
            </w:rPr>
            <w:tab/>
          </w: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PAGEREF _Toc23010 \h </w:instrText>
          </w:r>
          <w:r>
            <w:rPr>
              <w:rFonts w:hint="eastAsia" w:ascii="方正黑体_GBK" w:hAnsi="方正黑体_GBK" w:eastAsia="方正黑体_GBK" w:cs="方正黑体_GBK"/>
            </w:rPr>
            <w:fldChar w:fldCharType="separate"/>
          </w:r>
          <w:r>
            <w:rPr>
              <w:rFonts w:hint="eastAsia" w:ascii="方正黑体_GBK" w:hAnsi="方正黑体_GBK" w:eastAsia="方正黑体_GBK" w:cs="方正黑体_GBK"/>
            </w:rPr>
            <w:t>14</w:t>
          </w:r>
          <w:r>
            <w:rPr>
              <w:rFonts w:hint="eastAsia" w:ascii="方正黑体_GBK" w:hAnsi="方正黑体_GBK" w:eastAsia="方正黑体_GBK" w:cs="方正黑体_GBK"/>
            </w:rPr>
            <w:fldChar w:fldCharType="end"/>
          </w:r>
          <w:r>
            <w:rPr>
              <w:rFonts w:hint="eastAsia" w:ascii="方正黑体_GBK" w:hAnsi="方正黑体_GBK" w:eastAsia="方正黑体_GBK" w:cs="方正黑体_GBK"/>
            </w:rPr>
            <w:fldChar w:fldCharType="end"/>
          </w:r>
        </w:p>
        <w:p>
          <w:pPr>
            <w:pStyle w:val="12"/>
            <w:pageBreakBefore w:val="0"/>
            <w:widowControl w:val="0"/>
            <w:tabs>
              <w:tab w:val="right" w:leader="dot" w:pos="8306"/>
              <w:tab w:val="clear" w:pos="8296"/>
            </w:tabs>
            <w:kinsoku/>
            <w:wordWrap/>
            <w:overflowPunct/>
            <w:topLinePunct w:val="0"/>
            <w:autoSpaceDE/>
            <w:autoSpaceDN/>
            <w:bidi w:val="0"/>
            <w:adjustRightInd/>
            <w:snapToGrid/>
            <w:spacing w:line="440" w:lineRule="exact"/>
            <w:jc w:val="both"/>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HYPERLINK \l _Toc17050 </w:instrText>
          </w:r>
          <w:r>
            <w:rPr>
              <w:rFonts w:hint="eastAsia" w:ascii="方正黑体_GBK" w:hAnsi="方正黑体_GBK" w:eastAsia="方正黑体_GBK" w:cs="方正黑体_GBK"/>
            </w:rPr>
            <w:fldChar w:fldCharType="separate"/>
          </w:r>
          <w:r>
            <w:rPr>
              <w:rFonts w:hint="eastAsia" w:ascii="方正黑体_GBK" w:hAnsi="方正黑体_GBK" w:eastAsia="方正黑体_GBK" w:cs="方正黑体_GBK"/>
            </w:rPr>
            <w:t>第四部分 附件</w:t>
          </w:r>
          <w:r>
            <w:rPr>
              <w:rFonts w:hint="eastAsia" w:ascii="方正黑体_GBK" w:hAnsi="方正黑体_GBK" w:eastAsia="方正黑体_GBK" w:cs="方正黑体_GBK"/>
            </w:rPr>
            <w:tab/>
          </w: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PAGEREF _Toc17050 \h </w:instrText>
          </w:r>
          <w:r>
            <w:rPr>
              <w:rFonts w:hint="eastAsia" w:ascii="方正黑体_GBK" w:hAnsi="方正黑体_GBK" w:eastAsia="方正黑体_GBK" w:cs="方正黑体_GBK"/>
            </w:rPr>
            <w:fldChar w:fldCharType="separate"/>
          </w:r>
          <w:r>
            <w:rPr>
              <w:rFonts w:hint="eastAsia" w:ascii="方正黑体_GBK" w:hAnsi="方正黑体_GBK" w:eastAsia="方正黑体_GBK" w:cs="方正黑体_GBK"/>
            </w:rPr>
            <w:t>18</w:t>
          </w:r>
          <w:r>
            <w:rPr>
              <w:rFonts w:hint="eastAsia" w:ascii="方正黑体_GBK" w:hAnsi="方正黑体_GBK" w:eastAsia="方正黑体_GBK" w:cs="方正黑体_GBK"/>
            </w:rPr>
            <w:fldChar w:fldCharType="end"/>
          </w:r>
          <w:r>
            <w:rPr>
              <w:rFonts w:hint="eastAsia" w:ascii="方正黑体_GBK" w:hAnsi="方正黑体_GBK" w:eastAsia="方正黑体_GBK" w:cs="方正黑体_GBK"/>
            </w:rPr>
            <w:fldChar w:fldCharType="end"/>
          </w:r>
        </w:p>
        <w:p>
          <w:pPr>
            <w:pStyle w:val="12"/>
            <w:pageBreakBefore w:val="0"/>
            <w:widowControl w:val="0"/>
            <w:tabs>
              <w:tab w:val="right" w:leader="dot" w:pos="8306"/>
              <w:tab w:val="clear" w:pos="8296"/>
            </w:tabs>
            <w:kinsoku/>
            <w:wordWrap/>
            <w:overflowPunct/>
            <w:topLinePunct w:val="0"/>
            <w:autoSpaceDE/>
            <w:autoSpaceDN/>
            <w:bidi w:val="0"/>
            <w:adjustRightInd/>
            <w:snapToGrid/>
            <w:spacing w:line="440" w:lineRule="exact"/>
            <w:jc w:val="both"/>
            <w:textAlignment w:val="auto"/>
            <w:rPr>
              <w:rFonts w:hint="eastAsia" w:ascii="方正黑体_GBK" w:hAnsi="方正黑体_GBK" w:eastAsia="方正黑体_GBK" w:cs="方正黑体_GBK"/>
            </w:rPr>
          </w:pP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HYPERLINK \l _Toc21958 </w:instrText>
          </w:r>
          <w:r>
            <w:rPr>
              <w:rFonts w:hint="eastAsia" w:ascii="方正黑体_GBK" w:hAnsi="方正黑体_GBK" w:eastAsia="方正黑体_GBK" w:cs="方正黑体_GBK"/>
            </w:rPr>
            <w:fldChar w:fldCharType="separate"/>
          </w:r>
          <w:r>
            <w:rPr>
              <w:rFonts w:hint="eastAsia" w:ascii="方正黑体_GBK" w:hAnsi="方正黑体_GBK" w:eastAsia="方正黑体_GBK" w:cs="方正黑体_GBK"/>
            </w:rPr>
            <w:t>第五部分 附表</w:t>
          </w:r>
          <w:r>
            <w:rPr>
              <w:rFonts w:hint="eastAsia" w:ascii="方正黑体_GBK" w:hAnsi="方正黑体_GBK" w:eastAsia="方正黑体_GBK" w:cs="方正黑体_GBK"/>
            </w:rPr>
            <w:tab/>
          </w:r>
          <w:r>
            <w:rPr>
              <w:rFonts w:hint="eastAsia" w:ascii="方正黑体_GBK" w:hAnsi="方正黑体_GBK" w:eastAsia="方正黑体_GBK" w:cs="方正黑体_GBK"/>
            </w:rPr>
            <w:fldChar w:fldCharType="begin"/>
          </w:r>
          <w:r>
            <w:rPr>
              <w:rFonts w:hint="eastAsia" w:ascii="方正黑体_GBK" w:hAnsi="方正黑体_GBK" w:eastAsia="方正黑体_GBK" w:cs="方正黑体_GBK"/>
            </w:rPr>
            <w:instrText xml:space="preserve"> PAGEREF _Toc21958 \h </w:instrText>
          </w:r>
          <w:r>
            <w:rPr>
              <w:rFonts w:hint="eastAsia" w:ascii="方正黑体_GBK" w:hAnsi="方正黑体_GBK" w:eastAsia="方正黑体_GBK" w:cs="方正黑体_GBK"/>
            </w:rPr>
            <w:fldChar w:fldCharType="separate"/>
          </w:r>
          <w:r>
            <w:rPr>
              <w:rFonts w:hint="eastAsia" w:ascii="方正黑体_GBK" w:hAnsi="方正黑体_GBK" w:eastAsia="方正黑体_GBK" w:cs="方正黑体_GBK"/>
            </w:rPr>
            <w:t>49</w:t>
          </w:r>
          <w:r>
            <w:rPr>
              <w:rFonts w:hint="eastAsia" w:ascii="方正黑体_GBK" w:hAnsi="方正黑体_GBK" w:eastAsia="方正黑体_GBK" w:cs="方正黑体_GBK"/>
            </w:rPr>
            <w:fldChar w:fldCharType="end"/>
          </w:r>
          <w:r>
            <w:rPr>
              <w:rFonts w:hint="eastAsia" w:ascii="方正黑体_GBK" w:hAnsi="方正黑体_GBK" w:eastAsia="方正黑体_GBK" w:cs="方正黑体_GBK"/>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_Toc21335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一、收入支出决算总表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_Toc21335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_Toc26136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二、收入决算表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_Toc26136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_Toc14699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三、支出决算表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_Toc14699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_Toc21210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四、财政拨款收入支出决算总表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_Toc21210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_Toc27075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五、财政拨款支出决算明细表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_Toc27075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_Toc25366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六、一般公共预算财政拨款支出决算表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_Toc25366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ascii="Times New Roman" w:hAnsi="Times New Roman" w:eastAsia="方正仿宋_GBK"/>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_Toc17893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七、一般公共预算财政拨款支出决算明细表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_Toc17893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_Toc22099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八、一般公共预算财政拨款基本支出决算表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_Toc22099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_Toc19180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九、一般公共预算财政拨款项目支出决算表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_Toc19180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_Toc18982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十、一般公共预算财政拨款“三公”经费支出决算表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_Toc18982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ascii="Times New Roman" w:hAnsi="Times New Roman" w:eastAsia="方正仿宋_GBK"/>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_Toc2394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十一、政府性基金预算财政拨款收入支出决算表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_Toc2394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_Toc22852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十二、政府性基金预算财政拨款“三公”经费支出决算表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_Toc22852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rPr>
              <w:rFonts w:hint="eastAsia" w:ascii="Times New Roman" w:hAnsi="Times New Roman" w:eastAsia="宋体" w:cs="Times New Roman"/>
              <w:sz w:val="24"/>
            </w:rPr>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_Toc13412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十三、国有资本经营预算财政拨款收入支出决算表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_Toc13412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13"/>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440" w:lineRule="exact"/>
            <w:textAlignment w:val="auto"/>
          </w:pP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HYPERLINK \l _Toc10267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十四、国有资本经营预算财政拨款支出决算表</w:t>
          </w:r>
          <w:r>
            <w:rPr>
              <w:rFonts w:hint="eastAsia" w:ascii="Times New Roman" w:hAnsi="Times New Roman" w:eastAsia="宋体" w:cs="Times New Roman"/>
              <w:sz w:val="24"/>
            </w:rPr>
            <w:tab/>
          </w:r>
          <w:r>
            <w:rPr>
              <w:rFonts w:hint="eastAsia" w:ascii="Times New Roman" w:hAnsi="Times New Roman" w:eastAsia="宋体" w:cs="Times New Roman"/>
              <w:sz w:val="24"/>
            </w:rPr>
            <w:fldChar w:fldCharType="begin"/>
          </w:r>
          <w:r>
            <w:rPr>
              <w:rFonts w:hint="eastAsia" w:ascii="Times New Roman" w:hAnsi="Times New Roman" w:eastAsia="宋体" w:cs="Times New Roman"/>
              <w:sz w:val="24"/>
            </w:rPr>
            <w:instrText xml:space="preserve"> PAGEREF _Toc10267 \h </w:instrText>
          </w:r>
          <w:r>
            <w:rPr>
              <w:rFonts w:hint="eastAsia" w:ascii="Times New Roman" w:hAnsi="Times New Roman" w:eastAsia="宋体" w:cs="Times New Roman"/>
              <w:sz w:val="24"/>
            </w:rPr>
            <w:fldChar w:fldCharType="separate"/>
          </w:r>
          <w:r>
            <w:rPr>
              <w:rFonts w:hint="eastAsia" w:ascii="Times New Roman" w:hAnsi="Times New Roman" w:eastAsia="宋体" w:cs="Times New Roman"/>
              <w:sz w:val="24"/>
            </w:rPr>
            <w:t>54</w:t>
          </w:r>
          <w:r>
            <w:rPr>
              <w:rFonts w:hint="eastAsia" w:ascii="Times New Roman" w:hAnsi="Times New Roman" w:eastAsia="宋体" w:cs="Times New Roman"/>
              <w:sz w:val="24"/>
            </w:rPr>
            <w:fldChar w:fldCharType="end"/>
          </w:r>
          <w:r>
            <w:rPr>
              <w:rFonts w:hint="eastAsia" w:ascii="Times New Roman" w:hAnsi="Times New Roman" w:eastAsia="宋体" w:cs="Times New Roman"/>
              <w:sz w:val="24"/>
            </w:rPr>
            <w:fldChar w:fldCharType="end"/>
          </w:r>
        </w:p>
        <w:p>
          <w:pPr>
            <w:pStyle w:val="3"/>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黑体" w:hAnsi="黑体" w:eastAsia="黑体" w:cs="Times New Roman"/>
              <w:b w:val="0"/>
            </w:rPr>
            <w:sectPr>
              <w:footerReference r:id="rId6" w:type="first"/>
              <w:footerReference r:id="rId5" w:type="default"/>
              <w:pgSz w:w="11906" w:h="16838"/>
              <w:pgMar w:top="1440" w:right="1800" w:bottom="1440" w:left="1800" w:header="851" w:footer="992" w:gutter="0"/>
              <w:pgNumType w:start="1"/>
              <w:cols w:space="425" w:num="1"/>
              <w:docGrid w:type="lines" w:linePitch="312" w:charSpace="0"/>
            </w:sectPr>
          </w:pPr>
          <w:r>
            <w:rPr>
              <w:rFonts w:hint="eastAsia" w:ascii="黑体" w:hAnsi="黑体" w:eastAsia="黑体" w:cs="Times New Roman"/>
            </w:rPr>
            <w:fldChar w:fldCharType="end"/>
          </w:r>
        </w:p>
      </w:sdtContent>
    </w:sdt>
    <w:p>
      <w:pPr>
        <w:pStyle w:val="3"/>
        <w:jc w:val="center"/>
        <w:rPr>
          <w:rFonts w:hint="eastAsia" w:ascii="黑体" w:hAnsi="黑体" w:eastAsia="黑体" w:cs="Times New Roman"/>
          <w:b w:val="0"/>
        </w:rPr>
      </w:pPr>
      <w:bookmarkStart w:id="15" w:name="_Toc10410"/>
      <w:r>
        <w:rPr>
          <w:rFonts w:hint="eastAsia" w:ascii="黑体" w:hAnsi="黑体" w:eastAsia="黑体" w:cs="Times New Roman"/>
          <w:b w:val="0"/>
        </w:rPr>
        <w:t>第一部分 部门概况</w:t>
      </w:r>
      <w:bookmarkEnd w:id="15"/>
    </w:p>
    <w:p>
      <w:pPr>
        <w:keepNext/>
        <w:keepLines/>
        <w:pageBreakBefore w:val="0"/>
        <w:widowControl w:val="0"/>
        <w:kinsoku/>
        <w:wordWrap/>
        <w:overflowPunct/>
        <w:topLinePunct w:val="0"/>
        <w:autoSpaceDE/>
        <w:autoSpaceDN/>
        <w:bidi w:val="0"/>
        <w:adjustRightInd/>
        <w:snapToGrid/>
        <w:spacing w:before="0" w:after="0" w:line="240" w:lineRule="auto"/>
        <w:ind w:firstLine="660" w:firstLineChars="200"/>
        <w:textAlignment w:val="auto"/>
        <w:outlineLvl w:val="1"/>
        <w:rPr>
          <w:rStyle w:val="28"/>
          <w:rFonts w:ascii="Times New Roman" w:hAnsi="Times New Roman" w:eastAsia="方正仿宋_GBK"/>
          <w:b w:val="0"/>
          <w:bCs w:val="0"/>
          <w:sz w:val="33"/>
        </w:rPr>
      </w:pPr>
      <w:bookmarkStart w:id="16" w:name="_Toc15377197"/>
      <w:bookmarkStart w:id="17" w:name="_Toc15396600"/>
      <w:bookmarkStart w:id="18" w:name="_Toc26771"/>
      <w:r>
        <w:rPr>
          <w:rFonts w:hint="eastAsia" w:ascii="Times New Roman" w:hAnsi="Times New Roman" w:eastAsia="方正仿宋_GBK"/>
          <w:b w:val="0"/>
          <w:sz w:val="33"/>
        </w:rPr>
        <w:t>一、</w:t>
      </w:r>
      <w:r>
        <w:rPr>
          <w:rFonts w:hint="eastAsia" w:ascii="Times New Roman" w:hAnsi="Times New Roman" w:eastAsia="方正仿宋_GBK" w:cs="Times New Roman"/>
          <w:b w:val="0"/>
          <w:bCs w:val="0"/>
          <w:kern w:val="2"/>
          <w:sz w:val="36"/>
          <w:szCs w:val="36"/>
          <w:lang w:val="en-US" w:eastAsia="zh-CN" w:bidi="ar-SA"/>
        </w:rPr>
        <w:t>基本职能及主要工作</w:t>
      </w:r>
      <w:bookmarkEnd w:id="16"/>
      <w:bookmarkEnd w:id="17"/>
      <w:bookmarkEnd w:id="18"/>
    </w:p>
    <w:p>
      <w:pPr>
        <w:pStyle w:val="2"/>
        <w:pageBreakBefore w:val="0"/>
        <w:kinsoku/>
        <w:wordWrap/>
        <w:overflowPunct/>
        <w:topLinePunct w:val="0"/>
        <w:autoSpaceDE/>
        <w:autoSpaceDN/>
        <w:bidi w:val="0"/>
        <w:adjustRightInd w:val="0"/>
        <w:snapToGrid w:val="0"/>
        <w:spacing w:before="93" w:line="240" w:lineRule="auto"/>
        <w:ind w:firstLine="660" w:firstLineChars="200"/>
        <w:textAlignment w:val="auto"/>
        <w:outlineLvl w:val="9"/>
        <w:rPr>
          <w:rFonts w:hint="eastAsia" w:ascii="Times New Roman" w:hAnsi="Times New Roman" w:eastAsia="方正仿宋_GBK"/>
          <w:bCs/>
          <w:sz w:val="33"/>
          <w:szCs w:val="32"/>
        </w:rPr>
      </w:pPr>
      <w:bookmarkStart w:id="19" w:name="_Toc15378445"/>
      <w:bookmarkStart w:id="20" w:name="_Toc15377198"/>
      <w:r>
        <w:rPr>
          <w:rFonts w:hint="eastAsia" w:ascii="Times New Roman" w:hAnsi="Times New Roman" w:eastAsia="方正仿宋_GBK"/>
          <w:bCs/>
          <w:sz w:val="33"/>
          <w:szCs w:val="32"/>
        </w:rPr>
        <w:t>（一）主要职能。</w:t>
      </w:r>
      <w:bookmarkEnd w:id="19"/>
      <w:bookmarkEnd w:id="20"/>
      <w:bookmarkStart w:id="21" w:name="_Toc15378446"/>
      <w:bookmarkStart w:id="22" w:name="_Toc15377199"/>
    </w:p>
    <w:p>
      <w:pPr>
        <w:pageBreakBefore w:val="0"/>
        <w:kinsoku/>
        <w:wordWrap/>
        <w:overflowPunct/>
        <w:topLinePunct w:val="0"/>
        <w:autoSpaceDE/>
        <w:autoSpaceDN/>
        <w:bidi w:val="0"/>
        <w:spacing w:line="240" w:lineRule="auto"/>
        <w:ind w:firstLine="660" w:firstLineChars="200"/>
        <w:textAlignment w:val="auto"/>
        <w:rPr>
          <w:rFonts w:hint="eastAsia" w:ascii="Times New Roman" w:hAnsi="Times New Roman" w:eastAsia="方正仿宋_GBK"/>
          <w:color w:val="000000"/>
          <w:sz w:val="33"/>
          <w:szCs w:val="32"/>
          <w:shd w:val="clear" w:color="auto" w:fill="FFFFFF"/>
          <w:lang w:bidi="ar"/>
        </w:rPr>
      </w:pPr>
      <w:r>
        <w:rPr>
          <w:rFonts w:hint="eastAsia" w:ascii="Times New Roman" w:hAnsi="Times New Roman" w:eastAsia="方正仿宋_GBK"/>
          <w:color w:val="000000"/>
          <w:sz w:val="33"/>
          <w:szCs w:val="32"/>
          <w:shd w:val="clear" w:color="auto" w:fill="FFFFFF"/>
          <w:lang w:bidi="ar"/>
        </w:rPr>
        <w:t>县委组织部主管全县人事、党建方面的工作</w:t>
      </w:r>
      <w:r>
        <w:rPr>
          <w:rFonts w:hint="eastAsia" w:eastAsia="方正仿宋_GBK"/>
          <w:color w:val="000000"/>
          <w:sz w:val="33"/>
          <w:szCs w:val="32"/>
          <w:shd w:val="clear" w:color="auto" w:fill="FFFFFF"/>
          <w:lang w:eastAsia="zh-CN" w:bidi="ar"/>
        </w:rPr>
        <w:t>，</w:t>
      </w:r>
      <w:r>
        <w:rPr>
          <w:rFonts w:hint="eastAsia" w:ascii="Times New Roman" w:hAnsi="Times New Roman" w:eastAsia="方正仿宋_GBK"/>
          <w:color w:val="000000"/>
          <w:sz w:val="33"/>
          <w:szCs w:val="32"/>
          <w:shd w:val="clear" w:color="auto" w:fill="FFFFFF"/>
          <w:lang w:bidi="ar"/>
        </w:rPr>
        <w:t>负责有关组织工作、干部工作、人才工作的理论研究及重要政策的综合研究；承担省委组织部、市委组织部下达的重点调研课题，指导全县组织系统调研工作等。主要有以下职能：</w:t>
      </w:r>
    </w:p>
    <w:p>
      <w:pPr>
        <w:pageBreakBefore w:val="0"/>
        <w:kinsoku/>
        <w:wordWrap/>
        <w:overflowPunct/>
        <w:topLinePunct w:val="0"/>
        <w:autoSpaceDE/>
        <w:autoSpaceDN/>
        <w:bidi w:val="0"/>
        <w:spacing w:line="240" w:lineRule="auto"/>
        <w:ind w:firstLine="660" w:firstLineChars="200"/>
        <w:textAlignment w:val="auto"/>
        <w:rPr>
          <w:rFonts w:hint="eastAsia" w:ascii="Times New Roman" w:hAnsi="Times New Roman" w:eastAsia="方正仿宋_GBK"/>
          <w:sz w:val="33"/>
          <w:szCs w:val="33"/>
        </w:rPr>
      </w:pPr>
      <w:r>
        <w:rPr>
          <w:rFonts w:hint="eastAsia" w:ascii="Times New Roman" w:hAnsi="Times New Roman" w:eastAsia="方正仿宋_GBK"/>
          <w:color w:val="000000"/>
          <w:sz w:val="33"/>
          <w:szCs w:val="32"/>
          <w:shd w:val="clear" w:color="auto" w:fill="FFFFFF"/>
          <w:lang w:bidi="ar"/>
        </w:rPr>
        <w:t>1.组织建设：主要负责在党的基层组织建设、党员教育管理、党员发展、党费管理、党的工作制度、党内生活制度等方面进行指导、组织、管理，提出意见建议等。</w:t>
      </w:r>
    </w:p>
    <w:p>
      <w:pPr>
        <w:pageBreakBefore w:val="0"/>
        <w:kinsoku/>
        <w:wordWrap/>
        <w:overflowPunct/>
        <w:topLinePunct w:val="0"/>
        <w:autoSpaceDE/>
        <w:autoSpaceDN/>
        <w:bidi w:val="0"/>
        <w:spacing w:line="240" w:lineRule="auto"/>
        <w:ind w:firstLine="660" w:firstLineChars="200"/>
        <w:textAlignment w:val="auto"/>
        <w:rPr>
          <w:rFonts w:hint="eastAsia" w:ascii="Times New Roman" w:hAnsi="Times New Roman" w:eastAsia="方正仿宋_GBK"/>
          <w:sz w:val="33"/>
          <w:szCs w:val="33"/>
        </w:rPr>
      </w:pPr>
      <w:r>
        <w:rPr>
          <w:rFonts w:hint="eastAsia" w:ascii="Times New Roman" w:hAnsi="Times New Roman" w:eastAsia="方正仿宋_GBK"/>
          <w:color w:val="000000"/>
          <w:sz w:val="33"/>
          <w:szCs w:val="32"/>
          <w:shd w:val="clear" w:color="auto" w:fill="FFFFFF"/>
          <w:lang w:bidi="ar"/>
        </w:rPr>
        <w:t>2.干部工作：主要负责领导班子和干部的</w:t>
      </w:r>
      <w:r>
        <w:rPr>
          <w:rFonts w:hint="eastAsia" w:ascii="Times New Roman" w:hAnsi="Times New Roman" w:eastAsia="方正仿宋_GBK"/>
          <w:sz w:val="33"/>
          <w:szCs w:val="33"/>
        </w:rPr>
        <w:t>考察考核和日常管理工作</w:t>
      </w:r>
      <w:r>
        <w:rPr>
          <w:rFonts w:hint="eastAsia" w:ascii="Times New Roman" w:hAnsi="Times New Roman" w:eastAsia="方正仿宋_GBK"/>
          <w:color w:val="000000"/>
          <w:sz w:val="33"/>
          <w:szCs w:val="32"/>
          <w:shd w:val="clear" w:color="auto" w:fill="FFFFFF"/>
          <w:lang w:bidi="ar"/>
        </w:rPr>
        <w:t>，</w:t>
      </w:r>
      <w:r>
        <w:rPr>
          <w:rFonts w:hint="eastAsia" w:ascii="Times New Roman" w:hAnsi="Times New Roman" w:eastAsia="方正仿宋_GBK"/>
          <w:sz w:val="33"/>
          <w:szCs w:val="33"/>
        </w:rPr>
        <w:t>提出领导班子调整配备和领导干部职务任免、交流、待遇及离退休的建议意见，负责审核办理干部职务任免、退休、享受待遇等工作</w:t>
      </w:r>
      <w:r>
        <w:rPr>
          <w:rFonts w:hint="eastAsia" w:ascii="Times New Roman" w:hAnsi="Times New Roman" w:eastAsia="方正仿宋_GBK"/>
          <w:color w:val="000000"/>
          <w:sz w:val="33"/>
          <w:szCs w:val="32"/>
          <w:shd w:val="clear" w:color="auto" w:fill="FFFFFF"/>
          <w:lang w:bidi="ar"/>
        </w:rPr>
        <w:t>；</w:t>
      </w:r>
      <w:r>
        <w:rPr>
          <w:rFonts w:hint="eastAsia" w:ascii="Times New Roman" w:hAnsi="Times New Roman" w:eastAsia="方正仿宋_GBK"/>
          <w:sz w:val="33"/>
          <w:szCs w:val="33"/>
        </w:rPr>
        <w:t>对全县组织部门干部监督工作的综合协调和宏观指导，研究完善干部监督工作机制</w:t>
      </w:r>
      <w:r>
        <w:rPr>
          <w:rFonts w:hint="eastAsia" w:ascii="Times New Roman" w:hAnsi="Times New Roman" w:eastAsia="方正仿宋_GBK"/>
          <w:color w:val="000000"/>
          <w:sz w:val="33"/>
          <w:szCs w:val="32"/>
          <w:shd w:val="clear" w:color="auto" w:fill="FFFFFF"/>
          <w:lang w:bidi="ar"/>
        </w:rPr>
        <w:t>。同时</w:t>
      </w:r>
      <w:r>
        <w:rPr>
          <w:rFonts w:hint="eastAsia" w:ascii="Times New Roman" w:hAnsi="Times New Roman" w:eastAsia="方正仿宋_GBK"/>
          <w:sz w:val="33"/>
          <w:szCs w:val="33"/>
        </w:rPr>
        <w:t>负责全县干部教育培训工作的整体规划、宏观指导和协调服务。</w:t>
      </w:r>
    </w:p>
    <w:p>
      <w:pPr>
        <w:pageBreakBefore w:val="0"/>
        <w:kinsoku/>
        <w:wordWrap/>
        <w:overflowPunct/>
        <w:topLinePunct w:val="0"/>
        <w:autoSpaceDE/>
        <w:autoSpaceDN/>
        <w:bidi w:val="0"/>
        <w:spacing w:line="240" w:lineRule="auto"/>
        <w:ind w:firstLine="660" w:firstLineChars="200"/>
        <w:textAlignment w:val="auto"/>
        <w:rPr>
          <w:rFonts w:hint="eastAsia" w:ascii="Times New Roman" w:hAnsi="Times New Roman" w:eastAsia="方正仿宋_GBK"/>
          <w:color w:val="000000"/>
          <w:sz w:val="33"/>
          <w:szCs w:val="32"/>
          <w:shd w:val="clear" w:color="auto" w:fill="FFFFFF"/>
          <w:lang w:bidi="ar"/>
        </w:rPr>
      </w:pPr>
      <w:r>
        <w:rPr>
          <w:rFonts w:hint="eastAsia" w:ascii="Times New Roman" w:hAnsi="Times New Roman" w:eastAsia="方正仿宋_GBK"/>
          <w:color w:val="000000"/>
          <w:sz w:val="33"/>
          <w:szCs w:val="32"/>
          <w:shd w:val="clear" w:color="auto" w:fill="FFFFFF"/>
          <w:lang w:bidi="ar"/>
        </w:rPr>
        <w:t>3.人才工作：主要负责全县人才工作和人才队伍建设宏观管理、政策法规研究实施，指导协调专项人才工作以及高层次人才引进工作，</w:t>
      </w:r>
      <w:r>
        <w:rPr>
          <w:rFonts w:hint="eastAsia" w:ascii="Times New Roman" w:hAnsi="Times New Roman" w:eastAsia="方正仿宋_GBK"/>
          <w:sz w:val="33"/>
          <w:szCs w:val="33"/>
        </w:rPr>
        <w:t>负责牵头或指导实施全县重大人才工程项目和专业技术人才援助工作；负责人才工作专项经费预算落实</w:t>
      </w:r>
      <w:r>
        <w:rPr>
          <w:rFonts w:hint="eastAsia" w:ascii="Times New Roman" w:hAnsi="Times New Roman" w:eastAsia="方正仿宋_GBK"/>
          <w:color w:val="000000"/>
          <w:sz w:val="33"/>
          <w:szCs w:val="32"/>
          <w:shd w:val="clear" w:color="auto" w:fill="FFFFFF"/>
          <w:lang w:bidi="ar"/>
        </w:rPr>
        <w:t>。</w:t>
      </w:r>
    </w:p>
    <w:p>
      <w:pPr>
        <w:pageBreakBefore w:val="0"/>
        <w:kinsoku/>
        <w:wordWrap/>
        <w:overflowPunct/>
        <w:topLinePunct w:val="0"/>
        <w:autoSpaceDE/>
        <w:autoSpaceDN/>
        <w:bidi w:val="0"/>
        <w:spacing w:line="240" w:lineRule="auto"/>
        <w:ind w:firstLine="660" w:firstLineChars="200"/>
        <w:textAlignment w:val="auto"/>
        <w:rPr>
          <w:rFonts w:hint="eastAsia" w:ascii="Times New Roman" w:hAnsi="Times New Roman" w:eastAsia="方正仿宋_GBK"/>
          <w:color w:val="000000"/>
          <w:sz w:val="33"/>
          <w:szCs w:val="32"/>
          <w:shd w:val="clear" w:color="auto" w:fill="FFFFFF"/>
          <w:lang w:bidi="ar"/>
        </w:rPr>
      </w:pPr>
      <w:r>
        <w:rPr>
          <w:rFonts w:hint="eastAsia" w:ascii="Times New Roman" w:hAnsi="Times New Roman" w:eastAsia="方正仿宋_GBK"/>
          <w:color w:val="000000"/>
          <w:sz w:val="33"/>
          <w:szCs w:val="32"/>
          <w:shd w:val="clear" w:color="auto" w:fill="FFFFFF"/>
          <w:lang w:bidi="ar"/>
        </w:rPr>
        <w:t>4.老干部工作：主要负责离退休干部工作政策的研究和宏观指导，包括落实离退休干部的政治待遇和生活待遇，发挥离退休干部的作用等。</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eastAsia" w:ascii="Times New Roman" w:hAnsi="Times New Roman" w:eastAsia="方正仿宋_GBK"/>
          <w:bCs/>
          <w:sz w:val="33"/>
          <w:szCs w:val="32"/>
        </w:rPr>
      </w:pPr>
      <w:r>
        <w:rPr>
          <w:rFonts w:hint="eastAsia" w:ascii="Times New Roman" w:hAnsi="Times New Roman" w:eastAsia="方正仿宋_GBK"/>
          <w:color w:val="000000"/>
          <w:sz w:val="33"/>
          <w:szCs w:val="32"/>
          <w:shd w:val="clear" w:color="auto" w:fill="FFFFFF"/>
          <w:lang w:bidi="ar"/>
        </w:rPr>
        <w:t>5.公务员管理：统一管理公务员录用调配、考核奖惩、培训和工资福利等事务，落实公务员管理政策和法律法规，指导全县公务员队伍建设和绩效管理等。</w:t>
      </w:r>
      <w:r>
        <w:rPr>
          <w:rFonts w:hint="eastAsia" w:ascii="Times New Roman" w:hAnsi="Times New Roman" w:eastAsia="方正仿宋_GBK" w:cs="宋体"/>
          <w:color w:val="000000"/>
          <w:sz w:val="33"/>
          <w:szCs w:val="32"/>
          <w:shd w:val="clear" w:color="auto" w:fill="FFFFFF"/>
          <w:lang w:bidi="ar"/>
        </w:rPr>
        <w:t> </w:t>
      </w:r>
    </w:p>
    <w:p>
      <w:pPr>
        <w:pStyle w:val="2"/>
        <w:keepNext w:val="0"/>
        <w:keepLines w:val="0"/>
        <w:pageBreakBefore w:val="0"/>
        <w:widowControl w:val="0"/>
        <w:kinsoku/>
        <w:wordWrap/>
        <w:overflowPunct/>
        <w:topLinePunct w:val="0"/>
        <w:autoSpaceDE/>
        <w:autoSpaceDN/>
        <w:bidi w:val="0"/>
        <w:adjustRightInd w:val="0"/>
        <w:snapToGrid w:val="0"/>
        <w:spacing w:before="93" w:line="240" w:lineRule="auto"/>
        <w:ind w:firstLine="660" w:firstLineChars="200"/>
        <w:textAlignment w:val="auto"/>
        <w:outlineLvl w:val="9"/>
        <w:rPr>
          <w:rFonts w:hint="eastAsia" w:ascii="Times New Roman" w:hAnsi="Times New Roman" w:eastAsia="方正仿宋_GBK"/>
          <w:bCs/>
          <w:sz w:val="33"/>
          <w:szCs w:val="32"/>
        </w:rPr>
      </w:pPr>
      <w:r>
        <w:rPr>
          <w:rFonts w:hint="eastAsia" w:ascii="Times New Roman" w:hAnsi="Times New Roman" w:eastAsia="方正仿宋_GBK"/>
          <w:bCs/>
          <w:sz w:val="33"/>
          <w:szCs w:val="32"/>
        </w:rPr>
        <w:t>（二）</w:t>
      </w:r>
      <w:r>
        <w:rPr>
          <w:rFonts w:ascii="Times New Roman" w:hAnsi="Times New Roman" w:eastAsia="方正仿宋_GBK"/>
          <w:bCs/>
          <w:sz w:val="33"/>
          <w:szCs w:val="32"/>
        </w:rPr>
        <w:t>20</w:t>
      </w:r>
      <w:r>
        <w:rPr>
          <w:rFonts w:hint="eastAsia" w:ascii="Times New Roman" w:hAnsi="Times New Roman" w:eastAsia="方正仿宋_GBK"/>
          <w:bCs/>
          <w:sz w:val="33"/>
          <w:szCs w:val="32"/>
        </w:rPr>
        <w:t>21年重点工作完成情况。</w:t>
      </w:r>
      <w:bookmarkEnd w:id="21"/>
      <w:bookmarkEnd w:id="22"/>
    </w:p>
    <w:p>
      <w:pPr>
        <w:pageBreakBefore w:val="0"/>
        <w:kinsoku/>
        <w:wordWrap/>
        <w:overflowPunct/>
        <w:topLinePunct w:val="0"/>
        <w:autoSpaceDE/>
        <w:autoSpaceDN/>
        <w:bidi w:val="0"/>
        <w:spacing w:line="240" w:lineRule="auto"/>
        <w:ind w:firstLine="663" w:firstLineChars="200"/>
        <w:textAlignment w:val="auto"/>
        <w:rPr>
          <w:rFonts w:hint="eastAsia" w:ascii="Times New Roman" w:hAnsi="Times New Roman" w:eastAsia="方正仿宋_GBK"/>
          <w:color w:val="000000"/>
          <w:sz w:val="33"/>
          <w:szCs w:val="32"/>
          <w:shd w:val="clear" w:color="auto" w:fill="FFFFFF"/>
          <w:lang w:val="en-US" w:eastAsia="zh-CN" w:bidi="ar"/>
        </w:rPr>
      </w:pPr>
      <w:r>
        <w:rPr>
          <w:rFonts w:hint="eastAsia" w:ascii="Times New Roman" w:hAnsi="Times New Roman" w:eastAsia="方正仿宋_GBK"/>
          <w:b/>
          <w:bCs/>
          <w:color w:val="000000"/>
          <w:sz w:val="33"/>
          <w:szCs w:val="32"/>
          <w:shd w:val="clear" w:color="auto" w:fill="FFFFFF"/>
          <w:lang w:val="en-US" w:eastAsia="zh-CN" w:bidi="ar"/>
        </w:rPr>
        <w:t>聚焦思想引领，党建凝聚力切实增强。</w:t>
      </w:r>
      <w:r>
        <w:rPr>
          <w:rFonts w:hint="eastAsia" w:ascii="Times New Roman" w:hAnsi="Times New Roman" w:eastAsia="方正仿宋_GBK"/>
          <w:color w:val="000000"/>
          <w:sz w:val="33"/>
          <w:szCs w:val="32"/>
          <w:shd w:val="clear" w:color="auto" w:fill="FFFFFF"/>
          <w:lang w:val="en-US" w:eastAsia="zh-CN" w:bidi="ar"/>
        </w:rPr>
        <w:t>坚持把党的政治建设摆在首位。县委常委会带头学习贯彻习近平新时代中国特色社会主义思想，学习习近平总书记“七一”重要讲话精神以及党的十九届五中、六中全会精神。从严管党责任压紧压实。注重教育培训，深入实施习近平新时代中国特色社会主义思想教育培训计划，认真落实《2019—2023年党员教育规划》，开展换届后领导班子全覆盖培训，分级分类举办新任乡科级、村“两委”班子等培训班8期，推动6000余名基层党员干部教育培训全覆盖。同时有序推进县级党校分类改革。</w:t>
      </w:r>
    </w:p>
    <w:p>
      <w:pPr>
        <w:pStyle w:val="2"/>
        <w:pageBreakBefore w:val="0"/>
        <w:kinsoku/>
        <w:wordWrap/>
        <w:overflowPunct/>
        <w:topLinePunct w:val="0"/>
        <w:autoSpaceDE/>
        <w:autoSpaceDN/>
        <w:bidi w:val="0"/>
        <w:ind w:firstLine="663" w:firstLineChars="200"/>
        <w:textAlignment w:val="auto"/>
        <w:rPr>
          <w:rFonts w:hint="eastAsia" w:ascii="Times New Roman" w:hAnsi="Times New Roman" w:eastAsia="方正仿宋_GBK"/>
          <w:sz w:val="33"/>
          <w:lang w:val="en-US" w:eastAsia="zh-CN"/>
        </w:rPr>
      </w:pPr>
      <w:r>
        <w:rPr>
          <w:rFonts w:hint="eastAsia" w:ascii="Times New Roman" w:hAnsi="Times New Roman" w:eastAsia="方正仿宋_GBK"/>
          <w:b/>
          <w:bCs/>
          <w:sz w:val="33"/>
          <w:lang w:val="en-US" w:eastAsia="zh-CN"/>
        </w:rPr>
        <w:t>聚焦重点任务，基层党组织全面进步。</w:t>
      </w:r>
      <w:r>
        <w:rPr>
          <w:rFonts w:hint="eastAsia" w:ascii="Times New Roman" w:hAnsi="Times New Roman" w:eastAsia="方正仿宋_GBK"/>
          <w:sz w:val="33"/>
          <w:lang w:val="en-US" w:eastAsia="zh-CN"/>
        </w:rPr>
        <w:t>扎实推进城乡基层治理工作，建立城乡基层治理示范单位联系点制度，完成25个示范镇村建设。圆满完成乡镇领导班子和村“两委”换届。大力发展农村集体经济，召开集体经济推进会、现场会、项目评审会，举办集体经济专题培训班，制定集体经济收益分配使用管理办法，推动17个中省和市级集体经济扶持村项目落地。切实抓好脱贫攻坚成果巩固与乡村振兴有效衔接，大力实施农村优秀干部人才递进培养计划。扎实做好两项改革“后半篇”文章。优化村党组织设置，规范村下设党组织14个。开展集体经济融合发展试点，完成农村集体产权制度改革。持续整顿软弱涣散党组织，采取“四个一”措施进行整顿提升。</w:t>
      </w:r>
    </w:p>
    <w:p>
      <w:pPr>
        <w:keepNext w:val="0"/>
        <w:keepLines w:val="0"/>
        <w:pageBreakBefore w:val="0"/>
        <w:widowControl w:val="0"/>
        <w:kinsoku/>
        <w:wordWrap/>
        <w:overflowPunct/>
        <w:topLinePunct w:val="0"/>
        <w:autoSpaceDE/>
        <w:autoSpaceDN/>
        <w:bidi w:val="0"/>
        <w:adjustRightInd/>
        <w:snapToGrid/>
        <w:ind w:firstLine="663" w:firstLineChars="200"/>
        <w:textAlignment w:val="auto"/>
        <w:rPr>
          <w:rFonts w:hint="eastAsia" w:eastAsia="方正仿宋_GBK"/>
          <w:b w:val="0"/>
          <w:bCs/>
          <w:sz w:val="33"/>
          <w:szCs w:val="33"/>
          <w:lang w:eastAsia="zh-CN"/>
        </w:rPr>
      </w:pPr>
      <w:r>
        <w:rPr>
          <w:rFonts w:hint="eastAsia" w:eastAsia="方正楷体_GBK"/>
          <w:b/>
          <w:sz w:val="33"/>
          <w:szCs w:val="33"/>
        </w:rPr>
        <w:t>聚焦选贤任能，造就干事创业的干部队伍。</w:t>
      </w:r>
      <w:r>
        <w:rPr>
          <w:rFonts w:hint="eastAsia" w:eastAsia="方正仿宋_GBK"/>
          <w:b w:val="0"/>
          <w:bCs/>
          <w:sz w:val="33"/>
          <w:szCs w:val="33"/>
        </w:rPr>
        <w:t>激励干部担当作为</w:t>
      </w:r>
      <w:r>
        <w:rPr>
          <w:rFonts w:hint="eastAsia" w:eastAsia="方正仿宋_GBK"/>
          <w:b w:val="0"/>
          <w:bCs/>
          <w:sz w:val="33"/>
          <w:szCs w:val="33"/>
          <w:lang w:eastAsia="zh-CN"/>
        </w:rPr>
        <w:t>，</w:t>
      </w:r>
      <w:r>
        <w:rPr>
          <w:rFonts w:hint="eastAsia" w:eastAsia="方正仿宋_GBK"/>
          <w:b w:val="0"/>
          <w:bCs/>
          <w:sz w:val="33"/>
          <w:szCs w:val="33"/>
        </w:rPr>
        <w:t>鲜明重基层重实干导向</w:t>
      </w:r>
      <w:r>
        <w:rPr>
          <w:rFonts w:hint="eastAsia" w:eastAsia="方正仿宋_GBK"/>
          <w:b w:val="0"/>
          <w:bCs/>
          <w:sz w:val="33"/>
          <w:szCs w:val="33"/>
          <w:lang w:eastAsia="zh-CN"/>
        </w:rPr>
        <w:t>。</w:t>
      </w:r>
      <w:r>
        <w:rPr>
          <w:rFonts w:hint="eastAsia" w:eastAsia="方正仿宋_GBK"/>
          <w:b w:val="0"/>
          <w:bCs/>
          <w:sz w:val="33"/>
          <w:szCs w:val="33"/>
        </w:rPr>
        <w:t>注重干部培养锻炼</w:t>
      </w:r>
      <w:r>
        <w:rPr>
          <w:rFonts w:hint="eastAsia" w:eastAsia="方正仿宋_GBK"/>
          <w:b w:val="0"/>
          <w:bCs/>
          <w:sz w:val="33"/>
          <w:szCs w:val="33"/>
          <w:lang w:eastAsia="zh-CN"/>
        </w:rPr>
        <w:t>。</w:t>
      </w:r>
      <w:r>
        <w:rPr>
          <w:rFonts w:hint="eastAsia" w:eastAsia="方正仿宋_GBK"/>
          <w:b w:val="0"/>
          <w:bCs/>
          <w:sz w:val="33"/>
          <w:szCs w:val="33"/>
        </w:rPr>
        <w:t>规范公务员队伍</w:t>
      </w:r>
      <w:r>
        <w:rPr>
          <w:rFonts w:hint="eastAsia" w:eastAsia="方正仿宋_GBK"/>
          <w:b w:val="0"/>
          <w:bCs/>
          <w:sz w:val="33"/>
          <w:szCs w:val="33"/>
          <w:lang w:eastAsia="zh-CN"/>
        </w:rPr>
        <w:t>，</w:t>
      </w:r>
      <w:r>
        <w:rPr>
          <w:rFonts w:hint="eastAsia" w:eastAsia="方正仿宋_GBK"/>
          <w:b w:val="0"/>
          <w:bCs/>
          <w:sz w:val="33"/>
          <w:szCs w:val="33"/>
        </w:rPr>
        <w:t>严格执行职级晋升、表彰奖励、考试遴选等办法</w:t>
      </w:r>
      <w:r>
        <w:rPr>
          <w:rFonts w:hint="eastAsia" w:eastAsia="方正仿宋_GBK"/>
          <w:b w:val="0"/>
          <w:bCs/>
          <w:sz w:val="33"/>
          <w:szCs w:val="33"/>
          <w:lang w:eastAsia="zh-CN"/>
        </w:rPr>
        <w:t>。</w:t>
      </w:r>
      <w:r>
        <w:rPr>
          <w:rFonts w:hint="eastAsia" w:eastAsia="方正仿宋_GBK"/>
          <w:b w:val="0"/>
          <w:bCs/>
          <w:sz w:val="33"/>
          <w:szCs w:val="33"/>
        </w:rPr>
        <w:t>拓宽干部监督视野</w:t>
      </w:r>
      <w:r>
        <w:rPr>
          <w:rFonts w:hint="eastAsia" w:eastAsia="方正仿宋_GBK"/>
          <w:b w:val="0"/>
          <w:bCs/>
          <w:sz w:val="33"/>
          <w:szCs w:val="33"/>
          <w:lang w:eastAsia="zh-CN"/>
        </w:rPr>
        <w:t>，</w:t>
      </w:r>
      <w:r>
        <w:rPr>
          <w:rFonts w:hint="eastAsia" w:eastAsia="方正仿宋_GBK"/>
          <w:b w:val="0"/>
          <w:bCs/>
          <w:sz w:val="33"/>
          <w:szCs w:val="33"/>
        </w:rPr>
        <w:t>严格落实“红黄牌”预警机制</w:t>
      </w:r>
      <w:r>
        <w:rPr>
          <w:rFonts w:hint="eastAsia" w:eastAsia="方正仿宋_GBK"/>
          <w:b w:val="0"/>
          <w:bCs/>
          <w:sz w:val="33"/>
          <w:szCs w:val="33"/>
          <w:lang w:eastAsia="zh-CN"/>
        </w:rPr>
        <w:t>。</w:t>
      </w:r>
    </w:p>
    <w:p>
      <w:pPr>
        <w:pStyle w:val="2"/>
        <w:keepNext w:val="0"/>
        <w:keepLines w:val="0"/>
        <w:pageBreakBefore w:val="0"/>
        <w:widowControl w:val="0"/>
        <w:kinsoku/>
        <w:wordWrap/>
        <w:overflowPunct/>
        <w:topLinePunct w:val="0"/>
        <w:autoSpaceDE/>
        <w:autoSpaceDN/>
        <w:bidi w:val="0"/>
        <w:adjustRightInd/>
        <w:snapToGrid/>
        <w:ind w:firstLine="663" w:firstLineChars="200"/>
        <w:textAlignment w:val="auto"/>
        <w:rPr>
          <w:rFonts w:hint="eastAsia" w:ascii="Times New Roman" w:hAnsi="Times New Roman" w:eastAsia="方正仿宋_GBK"/>
          <w:sz w:val="33"/>
          <w:lang w:val="en-US" w:eastAsia="zh-CN"/>
        </w:rPr>
      </w:pPr>
      <w:r>
        <w:rPr>
          <w:rFonts w:hint="eastAsia" w:ascii="Times New Roman" w:hAnsi="Times New Roman" w:eastAsia="方正楷体_GBK" w:cs="Times New Roman"/>
          <w:b/>
          <w:kern w:val="2"/>
          <w:sz w:val="33"/>
          <w:szCs w:val="33"/>
          <w:lang w:val="en-US" w:eastAsia="zh-CN" w:bidi="ar-SA"/>
        </w:rPr>
        <w:t>聚焦招才引智，全面推进人才振兴。</w:t>
      </w:r>
      <w:r>
        <w:rPr>
          <w:rFonts w:hint="eastAsia" w:ascii="Times New Roman" w:hAnsi="Times New Roman" w:eastAsia="方正仿宋_GBK" w:cs="Times New Roman"/>
          <w:b w:val="0"/>
          <w:bCs/>
          <w:kern w:val="2"/>
          <w:sz w:val="33"/>
          <w:szCs w:val="33"/>
          <w:lang w:val="en-US" w:eastAsia="zh-CN" w:bidi="ar-SA"/>
        </w:rPr>
        <w:t>引才聚才</w:t>
      </w:r>
      <w:r>
        <w:rPr>
          <w:rFonts w:hint="eastAsia" w:ascii="Times New Roman" w:eastAsia="方正仿宋_GBK" w:cs="Times New Roman"/>
          <w:b w:val="0"/>
          <w:bCs/>
          <w:kern w:val="2"/>
          <w:sz w:val="33"/>
          <w:szCs w:val="33"/>
          <w:lang w:val="en-US" w:eastAsia="zh-CN" w:bidi="ar-SA"/>
        </w:rPr>
        <w:t>，</w:t>
      </w:r>
      <w:r>
        <w:rPr>
          <w:rFonts w:hint="eastAsia" w:ascii="Times New Roman" w:hAnsi="Times New Roman" w:eastAsia="方正仿宋_GBK" w:cs="Times New Roman"/>
          <w:b w:val="0"/>
          <w:bCs/>
          <w:kern w:val="2"/>
          <w:sz w:val="33"/>
          <w:szCs w:val="33"/>
          <w:lang w:val="en-US" w:eastAsia="zh-CN" w:bidi="ar-SA"/>
        </w:rPr>
        <w:t>采取“考、招、聘”等多种形式，引进优秀大学生172名</w:t>
      </w:r>
      <w:r>
        <w:rPr>
          <w:rFonts w:hint="eastAsia" w:ascii="Times New Roman" w:eastAsia="方正仿宋_GBK" w:cs="Times New Roman"/>
          <w:b w:val="0"/>
          <w:bCs/>
          <w:kern w:val="2"/>
          <w:sz w:val="33"/>
          <w:szCs w:val="33"/>
          <w:lang w:val="en-US" w:eastAsia="zh-CN" w:bidi="ar-SA"/>
        </w:rPr>
        <w:t>；</w:t>
      </w:r>
      <w:r>
        <w:rPr>
          <w:rFonts w:hint="eastAsia" w:ascii="Times New Roman" w:hAnsi="Times New Roman" w:eastAsia="方正仿宋_GBK" w:cs="Times New Roman"/>
          <w:b w:val="0"/>
          <w:bCs/>
          <w:kern w:val="2"/>
          <w:sz w:val="33"/>
          <w:szCs w:val="33"/>
          <w:lang w:val="en-US" w:eastAsia="zh-CN" w:bidi="ar-SA"/>
        </w:rPr>
        <w:t>培才育才</w:t>
      </w:r>
      <w:r>
        <w:rPr>
          <w:rFonts w:hint="eastAsia" w:ascii="Times New Roman" w:eastAsia="方正仿宋_GBK" w:cs="Times New Roman"/>
          <w:b w:val="0"/>
          <w:bCs/>
          <w:kern w:val="2"/>
          <w:sz w:val="33"/>
          <w:szCs w:val="33"/>
          <w:lang w:val="en-US" w:eastAsia="zh-CN" w:bidi="ar-SA"/>
        </w:rPr>
        <w:t>，</w:t>
      </w:r>
      <w:r>
        <w:rPr>
          <w:rFonts w:hint="eastAsia" w:ascii="Times New Roman" w:hAnsi="Times New Roman" w:eastAsia="方正仿宋_GBK" w:cs="Times New Roman"/>
          <w:b w:val="0"/>
          <w:bCs/>
          <w:kern w:val="2"/>
          <w:sz w:val="33"/>
          <w:szCs w:val="33"/>
          <w:lang w:val="en-US" w:eastAsia="zh-CN" w:bidi="ar-SA"/>
        </w:rPr>
        <w:t>在全县事业单位中安排100余个“家门口”的见习岗位提供给高校毕业生就业见习</w:t>
      </w:r>
      <w:r>
        <w:rPr>
          <w:rFonts w:hint="eastAsia" w:ascii="Times New Roman" w:eastAsia="方正仿宋_GBK" w:cs="Times New Roman"/>
          <w:b w:val="0"/>
          <w:bCs/>
          <w:kern w:val="2"/>
          <w:sz w:val="33"/>
          <w:szCs w:val="33"/>
          <w:lang w:val="en-US" w:eastAsia="zh-CN" w:bidi="ar-SA"/>
        </w:rPr>
        <w:t>，</w:t>
      </w:r>
      <w:r>
        <w:rPr>
          <w:rFonts w:hint="eastAsia" w:ascii="Times New Roman" w:hAnsi="Times New Roman" w:eastAsia="方正仿宋_GBK" w:cs="Times New Roman"/>
          <w:b w:val="0"/>
          <w:bCs/>
          <w:kern w:val="2"/>
          <w:sz w:val="33"/>
          <w:szCs w:val="33"/>
          <w:lang w:val="en-US" w:eastAsia="zh-CN" w:bidi="ar-SA"/>
        </w:rPr>
        <w:t>分行业、分领域、分类别选拔培养本土优秀人才</w:t>
      </w:r>
      <w:r>
        <w:rPr>
          <w:rFonts w:hint="eastAsia" w:ascii="Times New Roman" w:eastAsia="方正仿宋_GBK" w:cs="Times New Roman"/>
          <w:b w:val="0"/>
          <w:bCs/>
          <w:kern w:val="2"/>
          <w:sz w:val="33"/>
          <w:szCs w:val="33"/>
          <w:lang w:val="en-US" w:eastAsia="zh-CN" w:bidi="ar-SA"/>
        </w:rPr>
        <w:t>。</w:t>
      </w:r>
    </w:p>
    <w:p>
      <w:pPr>
        <w:pStyle w:val="4"/>
        <w:keepNext/>
        <w:keepLines/>
        <w:pageBreakBefore w:val="0"/>
        <w:widowControl w:val="0"/>
        <w:kinsoku/>
        <w:wordWrap/>
        <w:overflowPunct/>
        <w:topLinePunct w:val="0"/>
        <w:autoSpaceDE/>
        <w:autoSpaceDN/>
        <w:bidi w:val="0"/>
        <w:adjustRightInd/>
        <w:snapToGrid/>
        <w:spacing w:before="0" w:after="0" w:line="240" w:lineRule="auto"/>
        <w:ind w:firstLine="660" w:firstLineChars="200"/>
        <w:textAlignment w:val="auto"/>
        <w:outlineLvl w:val="1"/>
        <w:rPr>
          <w:rStyle w:val="28"/>
          <w:rFonts w:hint="eastAsia" w:ascii="Times New Roman" w:hAnsi="Times New Roman" w:eastAsia="方正仿宋_GBK"/>
          <w:b w:val="0"/>
          <w:bCs w:val="0"/>
          <w:sz w:val="33"/>
          <w:lang w:val="en-US" w:eastAsia="zh-CN"/>
        </w:rPr>
      </w:pPr>
      <w:bookmarkStart w:id="23" w:name="_Toc15396601"/>
      <w:bookmarkStart w:id="24" w:name="_Toc2665"/>
      <w:bookmarkStart w:id="25" w:name="_Toc15377200"/>
      <w:r>
        <w:rPr>
          <w:rFonts w:hint="eastAsia" w:ascii="Times New Roman" w:hAnsi="Times New Roman" w:eastAsia="方正仿宋_GBK"/>
          <w:b w:val="0"/>
          <w:sz w:val="33"/>
        </w:rPr>
        <w:t>二、</w:t>
      </w:r>
      <w:r>
        <w:rPr>
          <w:rFonts w:hint="eastAsia" w:ascii="Times New Roman" w:hAnsi="Times New Roman" w:eastAsia="方正仿宋_GBK" w:cs="Times New Roman"/>
          <w:b w:val="0"/>
          <w:bCs w:val="0"/>
          <w:kern w:val="2"/>
          <w:sz w:val="36"/>
          <w:szCs w:val="36"/>
          <w:lang w:val="en-US" w:eastAsia="zh-CN" w:bidi="ar-SA"/>
        </w:rPr>
        <w:t>机构设置</w:t>
      </w:r>
      <w:bookmarkEnd w:id="23"/>
      <w:bookmarkEnd w:id="24"/>
      <w:bookmarkEnd w:id="25"/>
      <w:r>
        <w:rPr>
          <w:rFonts w:hint="eastAsia" w:ascii="Times New Roman" w:hAnsi="Times New Roman" w:eastAsia="方正仿宋_GBK" w:cs="Times New Roman"/>
          <w:b w:val="0"/>
          <w:bCs w:val="0"/>
          <w:kern w:val="2"/>
          <w:sz w:val="36"/>
          <w:szCs w:val="36"/>
          <w:lang w:val="en-US" w:eastAsia="zh-CN" w:bidi="ar-SA"/>
        </w:rPr>
        <w:t xml:space="preserve"> </w:t>
      </w:r>
    </w:p>
    <w:p>
      <w:pPr>
        <w:keepNext w:val="0"/>
        <w:keepLines w:val="0"/>
        <w:pageBreakBefore w:val="0"/>
        <w:widowControl/>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olor w:val="000000"/>
          <w:sz w:val="33"/>
          <w:szCs w:val="32"/>
          <w:shd w:val="clear" w:color="auto" w:fill="FFFFFF"/>
          <w:lang w:bidi="ar"/>
        </w:rPr>
        <w:sectPr>
          <w:footerReference r:id="rId7" w:type="default"/>
          <w:pgSz w:w="11906" w:h="16838"/>
          <w:pgMar w:top="1440" w:right="1800" w:bottom="1440" w:left="1800" w:header="851" w:footer="992" w:gutter="0"/>
          <w:pgNumType w:fmt="decimal" w:start="1"/>
          <w:cols w:space="425" w:num="1"/>
          <w:docGrid w:type="lines" w:linePitch="312" w:charSpace="0"/>
        </w:sectPr>
      </w:pPr>
      <w:r>
        <w:rPr>
          <w:rFonts w:hint="eastAsia" w:ascii="Times New Roman" w:hAnsi="Times New Roman" w:eastAsia="方正仿宋_GBK" w:cs="Times New Roman"/>
          <w:color w:val="000000"/>
          <w:kern w:val="2"/>
          <w:sz w:val="33"/>
          <w:szCs w:val="32"/>
          <w:shd w:val="clear" w:color="auto" w:fill="FFFFFF"/>
          <w:lang w:val="en-US" w:eastAsia="zh-CN" w:bidi="ar"/>
        </w:rPr>
        <w:t>县委组织部内设办公室、研究室、组织一股（县委党建办综合股）、组织二股（县委非公有制经济组织和社会组</w:t>
      </w:r>
      <w:r>
        <w:rPr>
          <w:rFonts w:hint="eastAsia" w:ascii="Times New Roman" w:hAnsi="Times New Roman" w:eastAsia="方正仿宋_GBK"/>
          <w:color w:val="000000"/>
          <w:sz w:val="33"/>
          <w:szCs w:val="32"/>
          <w:shd w:val="clear" w:color="auto" w:fill="FFFFFF"/>
          <w:lang w:bidi="ar"/>
        </w:rPr>
        <w:t>织工作委员会办公室）、干部一股（干部教育培训股）、干部二股（干部档案管理股）、干部监督股、公务员股、人才工作股（高端人才服务股）、离退休干部股</w:t>
      </w:r>
      <w:r>
        <w:rPr>
          <w:rFonts w:hint="eastAsia" w:ascii="Times New Roman" w:hAnsi="Times New Roman" w:eastAsia="方正仿宋_GBK"/>
          <w:color w:val="000000"/>
          <w:sz w:val="33"/>
          <w:szCs w:val="32"/>
          <w:shd w:val="clear" w:color="auto" w:fill="FFFFFF"/>
          <w:lang w:val="en-US" w:eastAsia="zh-CN" w:bidi="ar"/>
        </w:rPr>
        <w:t>10</w:t>
      </w:r>
      <w:r>
        <w:rPr>
          <w:rFonts w:hint="eastAsia" w:ascii="Times New Roman" w:hAnsi="Times New Roman" w:eastAsia="方正仿宋_GBK"/>
          <w:color w:val="000000"/>
          <w:sz w:val="33"/>
          <w:szCs w:val="32"/>
          <w:shd w:val="clear" w:color="auto" w:fill="FFFFFF"/>
          <w:lang w:bidi="ar"/>
        </w:rPr>
        <w:t>个股室；有</w:t>
      </w:r>
      <w:r>
        <w:rPr>
          <w:rFonts w:hint="eastAsia" w:ascii="Times New Roman" w:hAnsi="Times New Roman" w:eastAsia="方正仿宋_GBK"/>
          <w:color w:val="000000"/>
          <w:sz w:val="33"/>
          <w:szCs w:val="32"/>
          <w:shd w:val="clear" w:color="auto" w:fill="FFFFFF"/>
          <w:lang w:val="en-US" w:eastAsia="zh-CN" w:bidi="ar"/>
        </w:rPr>
        <w:t>2</w:t>
      </w:r>
      <w:r>
        <w:rPr>
          <w:rFonts w:hint="eastAsia" w:ascii="Times New Roman" w:hAnsi="Times New Roman" w:eastAsia="方正仿宋_GBK"/>
          <w:color w:val="000000"/>
          <w:sz w:val="33"/>
          <w:szCs w:val="32"/>
          <w:shd w:val="clear" w:color="auto" w:fill="FFFFFF"/>
          <w:lang w:bidi="ar"/>
        </w:rPr>
        <w:t>家下属事业单位，县老干部活动中心、县干部人事档案服务中心</w:t>
      </w:r>
      <w:r>
        <w:rPr>
          <w:rFonts w:hint="eastAsia" w:ascii="Times New Roman" w:hAnsi="Times New Roman" w:eastAsia="方正仿宋_GBK"/>
          <w:color w:val="000000"/>
          <w:sz w:val="33"/>
          <w:szCs w:val="32"/>
          <w:shd w:val="clear" w:color="auto" w:fill="FFFFFF"/>
          <w:lang w:eastAsia="zh-CN" w:bidi="ar"/>
        </w:rPr>
        <w:t>，</w:t>
      </w:r>
      <w:r>
        <w:rPr>
          <w:rFonts w:hint="eastAsia" w:ascii="Times New Roman" w:hAnsi="Times New Roman" w:eastAsia="方正仿宋_GBK"/>
          <w:color w:val="000000"/>
          <w:sz w:val="33"/>
          <w:szCs w:val="32"/>
          <w:shd w:val="clear" w:color="auto" w:fill="FFFFFF"/>
          <w:lang w:bidi="ar"/>
        </w:rPr>
        <w:t>代管县委直属事业单位中共盐边县委组织部党员教育中心</w:t>
      </w:r>
      <w:r>
        <w:rPr>
          <w:rFonts w:hint="eastAsia" w:ascii="Times New Roman" w:hAnsi="Times New Roman" w:eastAsia="方正仿宋_GBK"/>
          <w:color w:val="000000"/>
          <w:sz w:val="33"/>
          <w:szCs w:val="32"/>
          <w:shd w:val="clear" w:color="auto" w:fill="FFFFFF"/>
          <w:lang w:eastAsia="zh-CN" w:bidi="ar"/>
        </w:rPr>
        <w:t>；</w:t>
      </w:r>
      <w:r>
        <w:rPr>
          <w:rFonts w:hint="eastAsia" w:ascii="Times New Roman" w:hAnsi="Times New Roman" w:eastAsia="方正仿宋_GBK"/>
          <w:color w:val="000000"/>
          <w:sz w:val="33"/>
          <w:szCs w:val="32"/>
          <w:shd w:val="clear" w:color="auto" w:fill="FFFFFF"/>
          <w:lang w:bidi="ar"/>
        </w:rPr>
        <w:t>且</w:t>
      </w:r>
      <w:r>
        <w:rPr>
          <w:rFonts w:hint="eastAsia" w:ascii="Times New Roman" w:hAnsi="Times New Roman" w:eastAsia="方正仿宋_GBK"/>
          <w:color w:val="000000"/>
          <w:sz w:val="33"/>
          <w:szCs w:val="32"/>
          <w:shd w:val="clear" w:color="auto" w:fill="FFFFFF"/>
          <w:lang w:val="en-US" w:eastAsia="zh-CN" w:bidi="ar"/>
        </w:rPr>
        <w:t>加挂了</w:t>
      </w:r>
      <w:r>
        <w:rPr>
          <w:rFonts w:hint="eastAsia" w:ascii="Times New Roman" w:hAnsi="Times New Roman" w:eastAsia="方正仿宋_GBK"/>
          <w:color w:val="000000"/>
          <w:sz w:val="33"/>
          <w:szCs w:val="32"/>
          <w:shd w:val="clear" w:color="auto" w:fill="FFFFFF"/>
          <w:lang w:bidi="ar"/>
        </w:rPr>
        <w:t>非公有制经济组织和社会组织工作委员会、老干部局、县公务员局、中共盐边县直属机关工作委员会4块牌子。</w:t>
      </w:r>
    </w:p>
    <w:p>
      <w:pPr>
        <w:keepNext w:val="0"/>
        <w:keepLines w:val="0"/>
        <w:pageBreakBefore w:val="0"/>
        <w:widowControl/>
        <w:kinsoku/>
        <w:wordWrap/>
        <w:overflowPunct/>
        <w:topLinePunct w:val="0"/>
        <w:autoSpaceDE/>
        <w:autoSpaceDN/>
        <w:bidi w:val="0"/>
        <w:adjustRightInd/>
        <w:snapToGrid/>
        <w:spacing w:line="240" w:lineRule="auto"/>
        <w:ind w:firstLine="660" w:firstLineChars="200"/>
        <w:jc w:val="both"/>
        <w:textAlignment w:val="auto"/>
        <w:outlineLvl w:val="0"/>
        <w:rPr>
          <w:rFonts w:ascii="Times New Roman" w:hAnsi="Times New Roman" w:eastAsia="方正仿宋_GBK"/>
          <w:sz w:val="33"/>
        </w:rPr>
      </w:pPr>
      <w:r>
        <w:rPr>
          <w:rFonts w:ascii="Times New Roman" w:hAnsi="Times New Roman" w:eastAsia="方正仿宋_GBK"/>
          <w:color w:val="000000"/>
          <w:sz w:val="33"/>
          <w:szCs w:val="32"/>
        </w:rPr>
        <w:br w:type="page"/>
      </w:r>
      <w:bookmarkStart w:id="26" w:name="_Toc15396602"/>
      <w:bookmarkStart w:id="27" w:name="_Toc30499"/>
      <w:bookmarkStart w:id="28" w:name="_Toc15377204"/>
      <w:r>
        <w:rPr>
          <w:rFonts w:hint="eastAsia" w:ascii="黑体" w:hAnsi="黑体" w:eastAsia="黑体"/>
          <w:b w:val="0"/>
          <w:sz w:val="44"/>
          <w:szCs w:val="44"/>
        </w:rPr>
        <w:t>第二部分 2021年度</w:t>
      </w:r>
      <w:r>
        <w:rPr>
          <w:rStyle w:val="27"/>
          <w:rFonts w:hint="eastAsia" w:ascii="黑体" w:hAnsi="黑体" w:eastAsia="黑体"/>
          <w:b w:val="0"/>
          <w:bCs/>
          <w:sz w:val="44"/>
          <w:szCs w:val="44"/>
        </w:rPr>
        <w:t>部门决算情况说明</w:t>
      </w:r>
      <w:bookmarkEnd w:id="26"/>
      <w:bookmarkEnd w:id="27"/>
      <w:bookmarkEnd w:id="28"/>
    </w:p>
    <w:p>
      <w:pPr>
        <w:pStyle w:val="26"/>
        <w:numPr>
          <w:ilvl w:val="0"/>
          <w:numId w:val="1"/>
        </w:numPr>
        <w:spacing w:line="600" w:lineRule="exact"/>
        <w:ind w:left="1350" w:leftChars="0" w:firstLineChars="0"/>
        <w:outlineLvl w:val="1"/>
        <w:rPr>
          <w:rFonts w:hint="eastAsia" w:ascii="Times New Roman" w:hAnsi="Times New Roman" w:eastAsia="方正仿宋_GBK"/>
          <w:sz w:val="34"/>
          <w:szCs w:val="34"/>
        </w:rPr>
      </w:pPr>
      <w:bookmarkStart w:id="29" w:name="_Toc15377205"/>
      <w:bookmarkStart w:id="30" w:name="_Toc15396603"/>
      <w:bookmarkStart w:id="31" w:name="_Toc5487"/>
      <w:r>
        <w:rPr>
          <w:rFonts w:hint="eastAsia" w:ascii="Times New Roman" w:hAnsi="Times New Roman" w:eastAsia="方正仿宋_GBK"/>
          <w:sz w:val="34"/>
          <w:szCs w:val="34"/>
        </w:rPr>
        <w:t>收入支出决算总体情况说明</w:t>
      </w:r>
      <w:bookmarkEnd w:id="29"/>
      <w:bookmarkEnd w:id="30"/>
      <w:bookmarkEnd w:id="31"/>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eastAsia" w:ascii="Times New Roman" w:hAnsi="Times New Roman" w:eastAsia="方正仿宋_GBK"/>
          <w:sz w:val="33"/>
          <w:szCs w:val="32"/>
          <w:lang w:val="en-US" w:eastAsia="zh-CN"/>
        </w:rPr>
      </w:pPr>
      <w:r>
        <w:rPr>
          <w:rFonts w:hint="eastAsia" w:ascii="Times New Roman" w:hAnsi="Times New Roman" w:eastAsia="方正仿宋_GBK"/>
          <w:sz w:val="33"/>
          <w:szCs w:val="32"/>
        </w:rPr>
        <w:t>2021年度收</w:t>
      </w:r>
      <w:r>
        <w:rPr>
          <w:rFonts w:hint="eastAsia" w:ascii="Times New Roman" w:hAnsi="Times New Roman" w:eastAsia="方正仿宋_GBK"/>
          <w:sz w:val="33"/>
          <w:szCs w:val="32"/>
          <w:lang w:eastAsia="zh-CN"/>
        </w:rPr>
        <w:t>、</w:t>
      </w:r>
      <w:r>
        <w:rPr>
          <w:rFonts w:hint="eastAsia" w:ascii="Times New Roman" w:hAnsi="Times New Roman" w:eastAsia="方正仿宋_GBK"/>
          <w:sz w:val="33"/>
          <w:szCs w:val="32"/>
        </w:rPr>
        <w:t>支总计</w:t>
      </w:r>
      <w:r>
        <w:rPr>
          <w:rFonts w:hint="eastAsia" w:ascii="Times New Roman" w:hAnsi="Times New Roman" w:eastAsia="方正仿宋_GBK"/>
          <w:sz w:val="33"/>
          <w:szCs w:val="32"/>
          <w:lang w:val="en-US" w:eastAsia="zh-CN"/>
        </w:rPr>
        <w:t>1846.27</w:t>
      </w:r>
      <w:r>
        <w:rPr>
          <w:rFonts w:hint="eastAsia" w:ascii="Times New Roman" w:hAnsi="Times New Roman" w:eastAsia="方正仿宋_GBK"/>
          <w:sz w:val="33"/>
          <w:szCs w:val="32"/>
        </w:rPr>
        <w:t>万元。与2020年相比，收、支总计增加</w:t>
      </w:r>
      <w:r>
        <w:rPr>
          <w:rFonts w:hint="eastAsia" w:ascii="Times New Roman" w:hAnsi="Times New Roman" w:eastAsia="方正仿宋_GBK"/>
          <w:sz w:val="33"/>
          <w:szCs w:val="32"/>
          <w:lang w:val="en-US" w:eastAsia="zh-CN"/>
        </w:rPr>
        <w:t>370.00</w:t>
      </w:r>
      <w:r>
        <w:rPr>
          <w:rFonts w:hint="eastAsia" w:ascii="Times New Roman" w:hAnsi="Times New Roman" w:eastAsia="方正仿宋_GBK"/>
          <w:sz w:val="33"/>
          <w:szCs w:val="32"/>
        </w:rPr>
        <w:t>万元，增长</w:t>
      </w:r>
      <w:r>
        <w:rPr>
          <w:rFonts w:hint="eastAsia" w:ascii="Times New Roman" w:hAnsi="Times New Roman" w:eastAsia="方正仿宋_GBK"/>
          <w:sz w:val="33"/>
          <w:szCs w:val="32"/>
          <w:lang w:val="en-US" w:eastAsia="zh-CN"/>
        </w:rPr>
        <w:t>25.06</w:t>
      </w:r>
      <w:r>
        <w:rPr>
          <w:rFonts w:ascii="Times New Roman" w:hAnsi="Times New Roman" w:eastAsia="方正仿宋_GBK"/>
          <w:sz w:val="33"/>
          <w:szCs w:val="32"/>
        </w:rPr>
        <w:t>%</w:t>
      </w:r>
      <w:r>
        <w:rPr>
          <w:rFonts w:hint="eastAsia" w:ascii="Times New Roman" w:hAnsi="Times New Roman" w:eastAsia="方正仿宋_GBK"/>
          <w:sz w:val="33"/>
          <w:szCs w:val="32"/>
        </w:rPr>
        <w:t>。主要变动原因是</w:t>
      </w:r>
      <w:r>
        <w:rPr>
          <w:rFonts w:hint="eastAsia" w:ascii="Times New Roman" w:hAnsi="Times New Roman" w:eastAsia="方正仿宋_GBK"/>
          <w:sz w:val="33"/>
          <w:szCs w:val="32"/>
          <w:lang w:eastAsia="zh-CN"/>
        </w:rPr>
        <w:t>关工委支出并入组织部相应支出增加及</w:t>
      </w:r>
      <w:r>
        <w:rPr>
          <w:rFonts w:hint="eastAsia" w:ascii="Times New Roman" w:hAnsi="Times New Roman" w:eastAsia="方正仿宋_GBK"/>
          <w:sz w:val="33"/>
          <w:szCs w:val="32"/>
          <w:lang w:val="en-US" w:eastAsia="zh-CN"/>
        </w:rPr>
        <w:t>2021年单位业务较多项目支出有所增加。</w:t>
      </w:r>
    </w:p>
    <w:p>
      <w:pPr>
        <w:pStyle w:val="6"/>
        <w:rPr>
          <w:rFonts w:hint="default"/>
          <w:lang w:val="en-US" w:eastAsia="zh-CN"/>
        </w:rPr>
      </w:pPr>
      <w:r>
        <w:drawing>
          <wp:inline distT="0" distB="0" distL="114300" distR="114300">
            <wp:extent cx="5268595" cy="3105150"/>
            <wp:effectExtent l="4445" t="4445" r="22860" b="14605"/>
            <wp:docPr id="3152"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26"/>
        <w:numPr>
          <w:ilvl w:val="0"/>
          <w:numId w:val="1"/>
        </w:numPr>
        <w:spacing w:line="600" w:lineRule="exact"/>
        <w:ind w:left="1350" w:leftChars="0" w:firstLineChars="0"/>
        <w:outlineLvl w:val="1"/>
        <w:rPr>
          <w:rFonts w:hint="eastAsia" w:ascii="Times New Roman" w:hAnsi="Times New Roman" w:eastAsia="方正仿宋_GBK"/>
          <w:sz w:val="34"/>
          <w:szCs w:val="34"/>
        </w:rPr>
      </w:pPr>
      <w:bookmarkStart w:id="32" w:name="_Toc15249"/>
      <w:bookmarkStart w:id="33" w:name="_Toc15396604"/>
      <w:bookmarkStart w:id="34" w:name="_Toc15377206"/>
      <w:r>
        <w:rPr>
          <w:rFonts w:hint="eastAsia" w:ascii="Times New Roman" w:hAnsi="Times New Roman" w:eastAsia="方正仿宋_GBK"/>
          <w:sz w:val="34"/>
          <w:szCs w:val="34"/>
        </w:rPr>
        <w:t>收入决算情况说明</w:t>
      </w:r>
      <w:bookmarkEnd w:id="32"/>
      <w:bookmarkEnd w:id="33"/>
      <w:bookmarkEnd w:id="34"/>
    </w:p>
    <w:p>
      <w:pPr>
        <w:pStyle w:val="26"/>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60" w:firstLineChars="200"/>
        <w:textAlignment w:val="auto"/>
        <w:outlineLvl w:val="9"/>
        <w:rPr>
          <w:rFonts w:hint="eastAsia" w:ascii="Times New Roman" w:hAnsi="Times New Roman" w:eastAsia="方正仿宋_GBK"/>
          <w:sz w:val="33"/>
          <w:szCs w:val="32"/>
        </w:rPr>
      </w:pPr>
      <w:r>
        <w:rPr>
          <w:rFonts w:hint="eastAsia" w:ascii="Times New Roman" w:hAnsi="Times New Roman" w:eastAsia="方正仿宋_GBK"/>
          <w:sz w:val="33"/>
          <w:szCs w:val="32"/>
        </w:rPr>
        <w:t>2021年本年收入合计</w:t>
      </w:r>
      <w:r>
        <w:rPr>
          <w:rFonts w:hint="eastAsia" w:ascii="Times New Roman" w:hAnsi="Times New Roman" w:eastAsia="方正仿宋_GBK"/>
          <w:sz w:val="33"/>
          <w:szCs w:val="32"/>
          <w:lang w:val="en-US" w:eastAsia="zh-CN"/>
        </w:rPr>
        <w:t>1290.06</w:t>
      </w:r>
      <w:r>
        <w:rPr>
          <w:rFonts w:hint="eastAsia" w:ascii="Times New Roman" w:hAnsi="Times New Roman" w:eastAsia="方正仿宋_GBK"/>
          <w:sz w:val="33"/>
          <w:szCs w:val="32"/>
        </w:rPr>
        <w:t>万元，其中：一般公共预算财政拨款收入</w:t>
      </w:r>
      <w:r>
        <w:rPr>
          <w:rFonts w:hint="eastAsia" w:ascii="Times New Roman" w:hAnsi="Times New Roman" w:eastAsia="方正仿宋_GBK"/>
          <w:sz w:val="33"/>
          <w:szCs w:val="32"/>
          <w:lang w:val="en-US" w:eastAsia="zh-CN"/>
        </w:rPr>
        <w:t>1120.06</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86.82</w:t>
      </w:r>
      <w:r>
        <w:rPr>
          <w:rFonts w:hint="eastAsia" w:ascii="Times New Roman" w:hAnsi="Times New Roman" w:eastAsia="方正仿宋_GBK"/>
          <w:sz w:val="33"/>
          <w:szCs w:val="32"/>
        </w:rPr>
        <w:t>%；政府性基金预算财政拨款收入</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%；国有资本经营预算财政拨款收入</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%；上级补助收入</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%；事业收入</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%；经营收入</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%；附属单位上缴收入</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%；其他收入</w:t>
      </w:r>
      <w:r>
        <w:rPr>
          <w:rFonts w:hint="eastAsia" w:ascii="Times New Roman" w:hAnsi="Times New Roman" w:eastAsia="方正仿宋_GBK"/>
          <w:sz w:val="33"/>
          <w:szCs w:val="32"/>
          <w:lang w:val="en-US" w:eastAsia="zh-CN"/>
        </w:rPr>
        <w:t>170</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13.18</w:t>
      </w:r>
      <w:r>
        <w:rPr>
          <w:rFonts w:hint="eastAsia" w:ascii="Times New Roman" w:hAnsi="Times New Roman" w:eastAsia="方正仿宋_GBK"/>
          <w:sz w:val="33"/>
          <w:szCs w:val="32"/>
        </w:rPr>
        <w:t>%。</w:t>
      </w:r>
    </w:p>
    <w:p>
      <w:pPr>
        <w:pStyle w:val="6"/>
        <w:rPr>
          <w:rFonts w:ascii="仿宋_GB2312" w:eastAsia="仿宋_GB2312"/>
          <w:sz w:val="32"/>
          <w:szCs w:val="32"/>
        </w:rPr>
      </w:pPr>
    </w:p>
    <w:p>
      <w:r>
        <w:drawing>
          <wp:inline distT="0" distB="0" distL="114300" distR="114300">
            <wp:extent cx="5269230" cy="2709545"/>
            <wp:effectExtent l="4445" t="4445" r="22225" b="10160"/>
            <wp:docPr id="3150"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80" w:firstLineChars="200"/>
        <w:outlineLvl w:val="1"/>
        <w:rPr>
          <w:rFonts w:hint="eastAsia" w:ascii="Times New Roman" w:hAnsi="Times New Roman" w:eastAsia="方正仿宋_GBK" w:cs="Times New Roman"/>
          <w:kern w:val="2"/>
          <w:sz w:val="34"/>
          <w:szCs w:val="36"/>
          <w:lang w:val="en-US" w:eastAsia="zh-CN" w:bidi="ar-SA"/>
        </w:rPr>
      </w:pPr>
      <w:bookmarkStart w:id="35" w:name="_Toc15377207"/>
      <w:bookmarkStart w:id="36" w:name="_Toc15396605"/>
      <w:bookmarkStart w:id="37" w:name="_Toc31435"/>
      <w:r>
        <w:rPr>
          <w:rFonts w:hint="eastAsia" w:eastAsia="方正仿宋_GBK" w:cs="Times New Roman"/>
          <w:kern w:val="2"/>
          <w:sz w:val="34"/>
          <w:szCs w:val="36"/>
          <w:lang w:val="en-US" w:eastAsia="zh-CN" w:bidi="ar-SA"/>
        </w:rPr>
        <w:t>三、</w:t>
      </w:r>
      <w:r>
        <w:rPr>
          <w:rFonts w:hint="eastAsia" w:ascii="Times New Roman" w:hAnsi="Times New Roman" w:eastAsia="方正仿宋_GBK" w:cs="Times New Roman"/>
          <w:kern w:val="2"/>
          <w:sz w:val="34"/>
          <w:szCs w:val="36"/>
          <w:lang w:val="en-US" w:eastAsia="zh-CN" w:bidi="ar-SA"/>
        </w:rPr>
        <w:t>支出决算情况说明</w:t>
      </w:r>
      <w:bookmarkEnd w:id="35"/>
      <w:bookmarkEnd w:id="36"/>
      <w:bookmarkEnd w:id="37"/>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ascii="Times New Roman" w:hAnsi="Times New Roman" w:eastAsia="方正仿宋_GBK"/>
          <w:sz w:val="33"/>
          <w:szCs w:val="32"/>
        </w:rPr>
      </w:pPr>
      <w:r>
        <w:rPr>
          <w:rFonts w:ascii="Times New Roman" w:hAnsi="Times New Roman" w:eastAsia="方正仿宋_GBK"/>
          <w:sz w:val="33"/>
          <w:szCs w:val="32"/>
        </w:rPr>
        <w:t>20</w:t>
      </w:r>
      <w:r>
        <w:rPr>
          <w:rFonts w:hint="eastAsia" w:ascii="Times New Roman" w:hAnsi="Times New Roman" w:eastAsia="方正仿宋_GBK"/>
          <w:sz w:val="33"/>
          <w:szCs w:val="32"/>
        </w:rPr>
        <w:t>21年本年支出合计</w:t>
      </w:r>
      <w:r>
        <w:rPr>
          <w:rFonts w:hint="eastAsia" w:ascii="Times New Roman" w:hAnsi="Times New Roman" w:eastAsia="方正仿宋_GBK"/>
          <w:sz w:val="33"/>
          <w:szCs w:val="32"/>
          <w:lang w:val="en-US" w:eastAsia="zh-CN"/>
        </w:rPr>
        <w:t>1846.27</w:t>
      </w:r>
      <w:r>
        <w:rPr>
          <w:rFonts w:hint="eastAsia" w:ascii="Times New Roman" w:hAnsi="Times New Roman" w:eastAsia="方正仿宋_GBK"/>
          <w:sz w:val="33"/>
          <w:szCs w:val="32"/>
        </w:rPr>
        <w:t>万元，其中：基本支出</w:t>
      </w:r>
      <w:r>
        <w:rPr>
          <w:rFonts w:hint="eastAsia" w:ascii="Times New Roman" w:hAnsi="Times New Roman" w:eastAsia="方正仿宋_GBK"/>
          <w:sz w:val="33"/>
          <w:szCs w:val="32"/>
          <w:lang w:val="en-US" w:eastAsia="zh-CN"/>
        </w:rPr>
        <w:t>726.60</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39.36</w:t>
      </w:r>
      <w:r>
        <w:rPr>
          <w:rFonts w:ascii="Times New Roman" w:hAnsi="Times New Roman" w:eastAsia="方正仿宋_GBK"/>
          <w:sz w:val="33"/>
          <w:szCs w:val="32"/>
        </w:rPr>
        <w:t>%</w:t>
      </w:r>
      <w:r>
        <w:rPr>
          <w:rFonts w:hint="eastAsia" w:ascii="Times New Roman" w:hAnsi="Times New Roman" w:eastAsia="方正仿宋_GBK"/>
          <w:sz w:val="33"/>
          <w:szCs w:val="32"/>
        </w:rPr>
        <w:t>；项目支出</w:t>
      </w:r>
      <w:r>
        <w:rPr>
          <w:rFonts w:hint="eastAsia" w:ascii="Times New Roman" w:hAnsi="Times New Roman" w:eastAsia="方正仿宋_GBK"/>
          <w:sz w:val="33"/>
          <w:szCs w:val="32"/>
          <w:lang w:val="en-US" w:eastAsia="zh-CN"/>
        </w:rPr>
        <w:t>1119.67</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60.64</w:t>
      </w:r>
      <w:r>
        <w:rPr>
          <w:rFonts w:ascii="Times New Roman" w:hAnsi="Times New Roman" w:eastAsia="方正仿宋_GBK"/>
          <w:sz w:val="33"/>
          <w:szCs w:val="32"/>
        </w:rPr>
        <w:t>%</w:t>
      </w:r>
      <w:r>
        <w:rPr>
          <w:rFonts w:hint="eastAsia" w:ascii="Times New Roman" w:hAnsi="Times New Roman" w:eastAsia="方正仿宋_GBK"/>
          <w:sz w:val="33"/>
          <w:szCs w:val="32"/>
        </w:rPr>
        <w:t>；上缴上级支出</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0</w:t>
      </w:r>
      <w:r>
        <w:rPr>
          <w:rFonts w:ascii="Times New Roman" w:hAnsi="Times New Roman" w:eastAsia="方正仿宋_GBK"/>
          <w:sz w:val="33"/>
          <w:szCs w:val="32"/>
        </w:rPr>
        <w:t>%</w:t>
      </w:r>
      <w:r>
        <w:rPr>
          <w:rFonts w:hint="eastAsia" w:ascii="Times New Roman" w:hAnsi="Times New Roman" w:eastAsia="方正仿宋_GBK"/>
          <w:sz w:val="33"/>
          <w:szCs w:val="32"/>
        </w:rPr>
        <w:t>；经营支出</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0</w:t>
      </w:r>
      <w:r>
        <w:rPr>
          <w:rFonts w:ascii="Times New Roman" w:hAnsi="Times New Roman" w:eastAsia="方正仿宋_GBK"/>
          <w:sz w:val="33"/>
          <w:szCs w:val="32"/>
        </w:rPr>
        <w:t>%</w:t>
      </w:r>
      <w:r>
        <w:rPr>
          <w:rFonts w:hint="eastAsia" w:ascii="Times New Roman" w:hAnsi="Times New Roman" w:eastAsia="方正仿宋_GBK"/>
          <w:sz w:val="33"/>
          <w:szCs w:val="32"/>
        </w:rPr>
        <w:t>；对附属单位补助支出</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0</w:t>
      </w:r>
      <w:r>
        <w:rPr>
          <w:rFonts w:ascii="Times New Roman" w:hAnsi="Times New Roman" w:eastAsia="方正仿宋_GBK"/>
          <w:sz w:val="33"/>
          <w:szCs w:val="32"/>
        </w:rPr>
        <w:t>%</w:t>
      </w:r>
      <w:r>
        <w:rPr>
          <w:rFonts w:hint="eastAsia" w:ascii="Times New Roman" w:hAnsi="Times New Roman" w:eastAsia="方正仿宋_GBK"/>
          <w:sz w:val="33"/>
          <w:szCs w:val="32"/>
        </w:rPr>
        <w:t>。</w:t>
      </w:r>
    </w:p>
    <w:p>
      <w:pPr>
        <w:pStyle w:val="6"/>
      </w:pPr>
      <w:r>
        <w:drawing>
          <wp:inline distT="0" distB="0" distL="114300" distR="114300">
            <wp:extent cx="5272405" cy="2654300"/>
            <wp:effectExtent l="4445" t="4445" r="19050" b="8255"/>
            <wp:docPr id="3151"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80" w:firstLineChars="200"/>
        <w:outlineLvl w:val="1"/>
        <w:rPr>
          <w:rFonts w:hint="eastAsia" w:ascii="Times New Roman" w:hAnsi="Times New Roman" w:eastAsia="方正仿宋_GBK" w:cs="Times New Roman"/>
          <w:kern w:val="2"/>
          <w:sz w:val="34"/>
          <w:szCs w:val="36"/>
          <w:lang w:val="en-US" w:eastAsia="zh-CN" w:bidi="ar-SA"/>
        </w:rPr>
      </w:pPr>
      <w:bookmarkStart w:id="38" w:name="_Toc18991"/>
      <w:bookmarkStart w:id="39" w:name="_Toc15396606"/>
      <w:bookmarkStart w:id="40" w:name="_Toc15377208"/>
      <w:r>
        <w:rPr>
          <w:rFonts w:hint="eastAsia" w:ascii="Times New Roman" w:hAnsi="Times New Roman" w:eastAsia="方正仿宋_GBK" w:cs="Times New Roman"/>
          <w:kern w:val="2"/>
          <w:sz w:val="34"/>
          <w:szCs w:val="36"/>
          <w:lang w:val="en-US" w:eastAsia="zh-CN" w:bidi="ar-SA"/>
        </w:rPr>
        <w:t>四、财政拨款收入支出决算总体情况说明</w:t>
      </w:r>
      <w:bookmarkEnd w:id="38"/>
      <w:bookmarkEnd w:id="39"/>
      <w:bookmarkEnd w:id="40"/>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ascii="Times New Roman" w:hAnsi="Times New Roman" w:eastAsia="方正仿宋_GBK"/>
          <w:sz w:val="33"/>
          <w:szCs w:val="32"/>
        </w:rPr>
      </w:pPr>
      <w:r>
        <w:rPr>
          <w:rFonts w:ascii="Times New Roman" w:hAnsi="Times New Roman" w:eastAsia="方正仿宋_GBK"/>
          <w:sz w:val="33"/>
          <w:szCs w:val="32"/>
        </w:rPr>
        <w:t>20</w:t>
      </w:r>
      <w:r>
        <w:rPr>
          <w:rFonts w:hint="eastAsia" w:ascii="Times New Roman" w:hAnsi="Times New Roman" w:eastAsia="方正仿宋_GBK"/>
          <w:sz w:val="33"/>
          <w:szCs w:val="32"/>
        </w:rPr>
        <w:t>21年财政拨款收、支总计</w:t>
      </w:r>
      <w:r>
        <w:rPr>
          <w:rFonts w:hint="eastAsia" w:ascii="Times New Roman" w:hAnsi="Times New Roman" w:eastAsia="方正仿宋_GBK"/>
          <w:sz w:val="33"/>
          <w:szCs w:val="32"/>
          <w:lang w:val="en-US" w:eastAsia="zh-CN"/>
        </w:rPr>
        <w:t>1676.27</w:t>
      </w:r>
      <w:r>
        <w:rPr>
          <w:rFonts w:hint="eastAsia" w:ascii="Times New Roman" w:hAnsi="Times New Roman" w:eastAsia="方正仿宋_GBK"/>
          <w:sz w:val="33"/>
          <w:szCs w:val="32"/>
        </w:rPr>
        <w:t>万元。与</w:t>
      </w:r>
      <w:r>
        <w:rPr>
          <w:rFonts w:ascii="Times New Roman" w:hAnsi="Times New Roman" w:eastAsia="方正仿宋_GBK"/>
          <w:sz w:val="33"/>
          <w:szCs w:val="32"/>
        </w:rPr>
        <w:t>20</w:t>
      </w:r>
      <w:r>
        <w:rPr>
          <w:rFonts w:hint="eastAsia" w:ascii="Times New Roman" w:hAnsi="Times New Roman" w:eastAsia="方正仿宋_GBK"/>
          <w:sz w:val="33"/>
          <w:szCs w:val="32"/>
        </w:rPr>
        <w:t>20年相比，财政拨款收、支总计各增加</w:t>
      </w:r>
      <w:r>
        <w:rPr>
          <w:rFonts w:hint="eastAsia" w:ascii="Times New Roman" w:hAnsi="Times New Roman" w:eastAsia="方正仿宋_GBK"/>
          <w:sz w:val="33"/>
          <w:szCs w:val="32"/>
          <w:lang w:val="en-US" w:eastAsia="zh-CN"/>
        </w:rPr>
        <w:t>200.00</w:t>
      </w:r>
      <w:r>
        <w:rPr>
          <w:rFonts w:hint="eastAsia" w:ascii="Times New Roman" w:hAnsi="Times New Roman" w:eastAsia="方正仿宋_GBK"/>
          <w:sz w:val="33"/>
          <w:szCs w:val="32"/>
        </w:rPr>
        <w:t>万元，增长</w:t>
      </w:r>
      <w:r>
        <w:rPr>
          <w:rFonts w:hint="eastAsia" w:ascii="Times New Roman" w:hAnsi="Times New Roman" w:eastAsia="方正仿宋_GBK"/>
          <w:sz w:val="33"/>
          <w:szCs w:val="32"/>
          <w:lang w:val="en-US" w:eastAsia="zh-CN"/>
        </w:rPr>
        <w:t>13.55</w:t>
      </w:r>
      <w:r>
        <w:rPr>
          <w:rFonts w:ascii="Times New Roman" w:hAnsi="Times New Roman" w:eastAsia="方正仿宋_GBK"/>
          <w:sz w:val="33"/>
          <w:szCs w:val="32"/>
        </w:rPr>
        <w:t>%</w:t>
      </w:r>
      <w:r>
        <w:rPr>
          <w:rFonts w:hint="eastAsia" w:ascii="Times New Roman" w:hAnsi="Times New Roman" w:eastAsia="方正仿宋_GBK"/>
          <w:sz w:val="33"/>
          <w:szCs w:val="32"/>
        </w:rPr>
        <w:t>。主要变动原因是</w:t>
      </w:r>
      <w:r>
        <w:rPr>
          <w:rFonts w:hint="eastAsia" w:ascii="Times New Roman" w:hAnsi="Times New Roman" w:eastAsia="方正仿宋_GBK"/>
          <w:sz w:val="33"/>
          <w:szCs w:val="32"/>
          <w:lang w:eastAsia="zh-CN"/>
        </w:rPr>
        <w:t>关工委支出并入组织部相应支出增加及</w:t>
      </w:r>
      <w:r>
        <w:rPr>
          <w:rFonts w:hint="eastAsia" w:ascii="Times New Roman" w:hAnsi="Times New Roman" w:eastAsia="方正仿宋_GBK"/>
          <w:sz w:val="33"/>
          <w:szCs w:val="32"/>
          <w:lang w:val="en-US" w:eastAsia="zh-CN"/>
        </w:rPr>
        <w:t>2021年单位业务较多项目支出有所增加。</w:t>
      </w:r>
    </w:p>
    <w:p>
      <w:pPr>
        <w:rPr>
          <w:rFonts w:ascii="仿宋" w:hAnsi="仿宋" w:eastAsia="仿宋"/>
          <w:b/>
          <w:sz w:val="32"/>
          <w:szCs w:val="32"/>
        </w:rPr>
      </w:pPr>
      <w:r>
        <w:drawing>
          <wp:inline distT="0" distB="0" distL="114300" distR="114300">
            <wp:extent cx="5269230" cy="2392680"/>
            <wp:effectExtent l="4445" t="4445" r="22225" b="22225"/>
            <wp:docPr id="3156"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80" w:firstLineChars="200"/>
        <w:outlineLvl w:val="1"/>
        <w:rPr>
          <w:rFonts w:hint="eastAsia" w:ascii="Times New Roman" w:hAnsi="Times New Roman" w:eastAsia="方正仿宋_GBK" w:cs="Times New Roman"/>
          <w:kern w:val="2"/>
          <w:sz w:val="34"/>
          <w:szCs w:val="36"/>
          <w:lang w:val="en-US" w:eastAsia="zh-CN" w:bidi="ar-SA"/>
        </w:rPr>
      </w:pPr>
      <w:bookmarkStart w:id="41" w:name="_Toc15377209"/>
      <w:bookmarkStart w:id="42" w:name="_Toc15396607"/>
      <w:bookmarkStart w:id="43" w:name="_Toc3840"/>
      <w:r>
        <w:rPr>
          <w:rFonts w:hint="eastAsia" w:ascii="Times New Roman" w:hAnsi="Times New Roman" w:eastAsia="方正仿宋_GBK" w:cs="Times New Roman"/>
          <w:kern w:val="2"/>
          <w:sz w:val="34"/>
          <w:szCs w:val="36"/>
          <w:lang w:val="en-US" w:eastAsia="zh-CN" w:bidi="ar-SA"/>
        </w:rPr>
        <w:t>五、一般公共预算财政拨款支出决算情况说明</w:t>
      </w:r>
      <w:bookmarkEnd w:id="41"/>
      <w:bookmarkEnd w:id="42"/>
      <w:bookmarkEnd w:id="43"/>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Fonts w:ascii="Times New Roman" w:hAnsi="Times New Roman" w:eastAsia="方正仿宋_GBK"/>
          <w:b/>
          <w:bCs/>
          <w:sz w:val="33"/>
          <w:szCs w:val="32"/>
        </w:rPr>
      </w:pPr>
      <w:bookmarkStart w:id="44" w:name="_Toc15377210"/>
      <w:r>
        <w:rPr>
          <w:rFonts w:hint="eastAsia" w:ascii="Times New Roman" w:hAnsi="Times New Roman" w:eastAsia="方正仿宋_GBK"/>
          <w:b/>
          <w:bCs/>
          <w:sz w:val="33"/>
          <w:szCs w:val="32"/>
        </w:rPr>
        <w:t>（一）一般公共预算财政拨款支出决算总体情况</w:t>
      </w:r>
      <w:bookmarkEnd w:id="44"/>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ascii="仿宋" w:hAnsi="仿宋" w:eastAsia="仿宋"/>
          <w:sz w:val="32"/>
          <w:szCs w:val="32"/>
        </w:rPr>
      </w:pPr>
      <w:r>
        <w:rPr>
          <w:rFonts w:ascii="Times New Roman" w:hAnsi="Times New Roman" w:eastAsia="方正仿宋_GBK"/>
          <w:sz w:val="33"/>
          <w:szCs w:val="32"/>
        </w:rPr>
        <w:t>20</w:t>
      </w:r>
      <w:r>
        <w:rPr>
          <w:rFonts w:hint="eastAsia" w:ascii="Times New Roman" w:hAnsi="Times New Roman" w:eastAsia="方正仿宋_GBK"/>
          <w:sz w:val="33"/>
          <w:szCs w:val="32"/>
        </w:rPr>
        <w:t>21年一般公共预算财政拨款支出</w:t>
      </w:r>
      <w:r>
        <w:rPr>
          <w:rFonts w:hint="eastAsia" w:ascii="Times New Roman" w:hAnsi="Times New Roman" w:eastAsia="方正仿宋_GBK"/>
          <w:sz w:val="33"/>
          <w:szCs w:val="32"/>
          <w:lang w:val="en-US" w:eastAsia="zh-CN"/>
        </w:rPr>
        <w:t>1676.27</w:t>
      </w:r>
      <w:r>
        <w:rPr>
          <w:rFonts w:hint="eastAsia" w:ascii="Times New Roman" w:hAnsi="Times New Roman" w:eastAsia="方正仿宋_GBK"/>
          <w:sz w:val="33"/>
          <w:szCs w:val="32"/>
        </w:rPr>
        <w:t>万元，占本年支出合计的</w:t>
      </w:r>
      <w:r>
        <w:rPr>
          <w:rFonts w:hint="eastAsia" w:ascii="Times New Roman" w:hAnsi="Times New Roman" w:eastAsia="方正仿宋_GBK"/>
          <w:sz w:val="33"/>
          <w:szCs w:val="32"/>
          <w:lang w:val="en-US" w:eastAsia="zh-CN"/>
        </w:rPr>
        <w:t>90.79</w:t>
      </w:r>
      <w:r>
        <w:rPr>
          <w:rFonts w:ascii="Times New Roman" w:hAnsi="Times New Roman" w:eastAsia="方正仿宋_GBK"/>
          <w:sz w:val="33"/>
          <w:szCs w:val="32"/>
        </w:rPr>
        <w:t>%</w:t>
      </w:r>
      <w:r>
        <w:rPr>
          <w:rFonts w:hint="eastAsia" w:ascii="Times New Roman" w:hAnsi="Times New Roman" w:eastAsia="方正仿宋_GBK"/>
          <w:sz w:val="33"/>
          <w:szCs w:val="32"/>
        </w:rPr>
        <w:t>。与</w:t>
      </w:r>
      <w:r>
        <w:rPr>
          <w:rFonts w:ascii="Times New Roman" w:hAnsi="Times New Roman" w:eastAsia="方正仿宋_GBK"/>
          <w:sz w:val="33"/>
          <w:szCs w:val="32"/>
        </w:rPr>
        <w:t>20</w:t>
      </w:r>
      <w:r>
        <w:rPr>
          <w:rFonts w:hint="eastAsia" w:ascii="Times New Roman" w:hAnsi="Times New Roman" w:eastAsia="方正仿宋_GBK"/>
          <w:sz w:val="33"/>
          <w:szCs w:val="32"/>
        </w:rPr>
        <w:t>20年相比，一般公共预算财政拨款支出增加</w:t>
      </w:r>
      <w:r>
        <w:rPr>
          <w:rFonts w:hint="eastAsia" w:ascii="Times New Roman" w:hAnsi="Times New Roman" w:eastAsia="方正仿宋_GBK"/>
          <w:sz w:val="33"/>
          <w:szCs w:val="32"/>
          <w:lang w:val="en-US" w:eastAsia="zh-CN"/>
        </w:rPr>
        <w:t>340.27</w:t>
      </w:r>
      <w:r>
        <w:rPr>
          <w:rFonts w:hint="eastAsia" w:ascii="Times New Roman" w:hAnsi="Times New Roman" w:eastAsia="方正仿宋_GBK"/>
          <w:sz w:val="33"/>
          <w:szCs w:val="32"/>
        </w:rPr>
        <w:t>万元，增长</w:t>
      </w:r>
      <w:r>
        <w:rPr>
          <w:rFonts w:hint="eastAsia" w:ascii="Times New Roman" w:hAnsi="Times New Roman" w:eastAsia="方正仿宋_GBK"/>
          <w:sz w:val="33"/>
          <w:szCs w:val="32"/>
          <w:lang w:val="en-US" w:eastAsia="zh-CN"/>
        </w:rPr>
        <w:t>25.47</w:t>
      </w:r>
      <w:r>
        <w:rPr>
          <w:rFonts w:ascii="Times New Roman" w:hAnsi="Times New Roman" w:eastAsia="方正仿宋_GBK"/>
          <w:sz w:val="33"/>
          <w:szCs w:val="32"/>
        </w:rPr>
        <w:t>%</w:t>
      </w:r>
      <w:r>
        <w:rPr>
          <w:rFonts w:hint="eastAsia" w:ascii="Times New Roman" w:hAnsi="Times New Roman" w:eastAsia="方正仿宋_GBK"/>
          <w:sz w:val="33"/>
          <w:szCs w:val="32"/>
        </w:rPr>
        <w:t>。主要变动原因是</w:t>
      </w:r>
      <w:r>
        <w:rPr>
          <w:rFonts w:hint="eastAsia" w:ascii="Times New Roman" w:hAnsi="Times New Roman" w:eastAsia="方正仿宋_GBK"/>
          <w:sz w:val="33"/>
          <w:szCs w:val="32"/>
          <w:lang w:eastAsia="zh-CN"/>
        </w:rPr>
        <w:t>关工委支出并入组织部相应支出增加及</w:t>
      </w:r>
      <w:r>
        <w:rPr>
          <w:rFonts w:hint="eastAsia" w:ascii="Times New Roman" w:hAnsi="Times New Roman" w:eastAsia="方正仿宋_GBK"/>
          <w:sz w:val="33"/>
          <w:szCs w:val="32"/>
          <w:lang w:val="en-US" w:eastAsia="zh-CN"/>
        </w:rPr>
        <w:t>2021年单位业务较多项目支出有所增加</w:t>
      </w:r>
      <w:r>
        <w:rPr>
          <w:rFonts w:hint="eastAsia" w:ascii="仿宋" w:hAnsi="仿宋" w:eastAsia="仿宋"/>
          <w:sz w:val="32"/>
          <w:szCs w:val="32"/>
          <w:lang w:val="en-US" w:eastAsia="zh-CN"/>
        </w:rPr>
        <w:t>。</w:t>
      </w:r>
    </w:p>
    <w:p>
      <w:pPr>
        <w:pStyle w:val="6"/>
      </w:pPr>
      <w:r>
        <w:drawing>
          <wp:inline distT="0" distB="0" distL="114300" distR="114300">
            <wp:extent cx="5268595" cy="2465070"/>
            <wp:effectExtent l="4445" t="4445" r="22860" b="6985"/>
            <wp:docPr id="3153"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Fonts w:hint="eastAsia" w:ascii="Times New Roman" w:hAnsi="Times New Roman" w:eastAsia="方正仿宋_GBK"/>
          <w:b/>
          <w:bCs/>
          <w:sz w:val="33"/>
          <w:szCs w:val="32"/>
        </w:rPr>
      </w:pPr>
      <w:bookmarkStart w:id="45" w:name="_Toc15377211"/>
      <w:r>
        <w:rPr>
          <w:rFonts w:hint="eastAsia" w:ascii="Times New Roman" w:hAnsi="Times New Roman" w:eastAsia="方正仿宋_GBK"/>
          <w:b/>
          <w:bCs/>
          <w:sz w:val="33"/>
          <w:szCs w:val="32"/>
        </w:rPr>
        <w:t>（二）一般公共预算财政拨款支出决算结构情况</w:t>
      </w:r>
      <w:bookmarkEnd w:id="45"/>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hint="eastAsia" w:ascii="Times New Roman" w:hAnsi="Times New Roman" w:eastAsia="方正仿宋_GBK"/>
          <w:b w:val="0"/>
          <w:bCs w:val="0"/>
          <w:sz w:val="33"/>
          <w:szCs w:val="32"/>
        </w:rPr>
      </w:pPr>
      <w:r>
        <w:rPr>
          <w:rFonts w:hint="eastAsia" w:ascii="Times New Roman" w:hAnsi="Times New Roman" w:eastAsia="方正仿宋_GBK"/>
          <w:b w:val="0"/>
          <w:bCs w:val="0"/>
          <w:sz w:val="33"/>
          <w:szCs w:val="32"/>
        </w:rPr>
        <w:t>2021年一般公共预算财政拨款支出</w:t>
      </w:r>
      <w:r>
        <w:rPr>
          <w:rFonts w:hint="eastAsia" w:ascii="Times New Roman" w:hAnsi="Times New Roman" w:eastAsia="方正仿宋_GBK"/>
          <w:b w:val="0"/>
          <w:bCs w:val="0"/>
          <w:sz w:val="33"/>
          <w:szCs w:val="32"/>
          <w:lang w:val="en-US" w:eastAsia="zh-CN"/>
        </w:rPr>
        <w:t>1676.27</w:t>
      </w:r>
      <w:r>
        <w:rPr>
          <w:rFonts w:hint="eastAsia" w:ascii="Times New Roman" w:hAnsi="Times New Roman" w:eastAsia="方正仿宋_GBK"/>
          <w:b w:val="0"/>
          <w:bCs w:val="0"/>
          <w:sz w:val="33"/>
          <w:szCs w:val="32"/>
        </w:rPr>
        <w:t>万元，主要用于以下方面</w:t>
      </w:r>
      <w:r>
        <w:rPr>
          <w:rFonts w:hint="eastAsia" w:eastAsia="方正仿宋_GBK"/>
          <w:b w:val="0"/>
          <w:bCs w:val="0"/>
          <w:sz w:val="33"/>
          <w:szCs w:val="32"/>
          <w:lang w:eastAsia="zh-CN"/>
        </w:rPr>
        <w:t>：</w:t>
      </w:r>
      <w:r>
        <w:rPr>
          <w:rFonts w:hint="eastAsia" w:ascii="Times New Roman" w:hAnsi="Times New Roman" w:eastAsia="方正仿宋_GBK"/>
          <w:b w:val="0"/>
          <w:bCs w:val="0"/>
          <w:sz w:val="33"/>
          <w:szCs w:val="32"/>
        </w:rPr>
        <w:t>一般公共服务（类）支出</w:t>
      </w:r>
      <w:r>
        <w:rPr>
          <w:rFonts w:hint="eastAsia" w:ascii="Times New Roman" w:hAnsi="Times New Roman" w:eastAsia="方正仿宋_GBK"/>
          <w:b w:val="0"/>
          <w:bCs w:val="0"/>
          <w:sz w:val="33"/>
          <w:szCs w:val="32"/>
          <w:lang w:val="en-US" w:eastAsia="zh-CN"/>
        </w:rPr>
        <w:t>1255.85</w:t>
      </w:r>
      <w:r>
        <w:rPr>
          <w:rFonts w:hint="eastAsia" w:ascii="Times New Roman" w:hAnsi="Times New Roman" w:eastAsia="方正仿宋_GBK"/>
          <w:b w:val="0"/>
          <w:bCs w:val="0"/>
          <w:sz w:val="33"/>
          <w:szCs w:val="32"/>
        </w:rPr>
        <w:t>万元，占</w:t>
      </w:r>
      <w:r>
        <w:rPr>
          <w:rFonts w:hint="eastAsia" w:ascii="Times New Roman" w:hAnsi="Times New Roman" w:eastAsia="方正仿宋_GBK"/>
          <w:b w:val="0"/>
          <w:bCs w:val="0"/>
          <w:sz w:val="33"/>
          <w:szCs w:val="32"/>
          <w:lang w:val="en-US" w:eastAsia="zh-CN"/>
        </w:rPr>
        <w:t>74.92</w:t>
      </w:r>
      <w:r>
        <w:rPr>
          <w:rFonts w:hint="eastAsia" w:ascii="Times New Roman" w:hAnsi="Times New Roman" w:eastAsia="方正仿宋_GBK"/>
          <w:b w:val="0"/>
          <w:bCs w:val="0"/>
          <w:sz w:val="33"/>
          <w:szCs w:val="32"/>
        </w:rPr>
        <w:t>%；社会保障和就业（类）支出</w:t>
      </w:r>
      <w:r>
        <w:rPr>
          <w:rFonts w:hint="eastAsia" w:ascii="Times New Roman" w:hAnsi="Times New Roman" w:eastAsia="方正仿宋_GBK"/>
          <w:b w:val="0"/>
          <w:bCs w:val="0"/>
          <w:sz w:val="33"/>
          <w:szCs w:val="32"/>
          <w:lang w:val="en-US" w:eastAsia="zh-CN"/>
        </w:rPr>
        <w:t>151.61</w:t>
      </w:r>
      <w:r>
        <w:rPr>
          <w:rFonts w:hint="eastAsia" w:ascii="Times New Roman" w:hAnsi="Times New Roman" w:eastAsia="方正仿宋_GBK"/>
          <w:b w:val="0"/>
          <w:bCs w:val="0"/>
          <w:sz w:val="33"/>
          <w:szCs w:val="32"/>
        </w:rPr>
        <w:t>万元，占</w:t>
      </w:r>
      <w:r>
        <w:rPr>
          <w:rFonts w:hint="eastAsia" w:ascii="Times New Roman" w:hAnsi="Times New Roman" w:eastAsia="方正仿宋_GBK"/>
          <w:b w:val="0"/>
          <w:bCs w:val="0"/>
          <w:sz w:val="33"/>
          <w:szCs w:val="32"/>
          <w:lang w:val="en-US" w:eastAsia="zh-CN"/>
        </w:rPr>
        <w:t>9.04</w:t>
      </w:r>
      <w:r>
        <w:rPr>
          <w:rFonts w:hint="eastAsia" w:ascii="Times New Roman" w:hAnsi="Times New Roman" w:eastAsia="方正仿宋_GBK"/>
          <w:b w:val="0"/>
          <w:bCs w:val="0"/>
          <w:sz w:val="33"/>
          <w:szCs w:val="32"/>
        </w:rPr>
        <w:t>%；卫生健康支出（类）</w:t>
      </w:r>
      <w:r>
        <w:rPr>
          <w:rFonts w:hint="eastAsia" w:ascii="Times New Roman" w:hAnsi="Times New Roman" w:eastAsia="方正仿宋_GBK"/>
          <w:b w:val="0"/>
          <w:bCs w:val="0"/>
          <w:sz w:val="33"/>
          <w:szCs w:val="32"/>
          <w:lang w:val="en-US" w:eastAsia="zh-CN"/>
        </w:rPr>
        <w:t>32.15</w:t>
      </w:r>
      <w:r>
        <w:rPr>
          <w:rFonts w:hint="eastAsia" w:ascii="Times New Roman" w:hAnsi="Times New Roman" w:eastAsia="方正仿宋_GBK"/>
          <w:b w:val="0"/>
          <w:bCs w:val="0"/>
          <w:sz w:val="33"/>
          <w:szCs w:val="32"/>
        </w:rPr>
        <w:t>万元，占</w:t>
      </w:r>
      <w:r>
        <w:rPr>
          <w:rFonts w:hint="eastAsia" w:ascii="Times New Roman" w:hAnsi="Times New Roman" w:eastAsia="方正仿宋_GBK"/>
          <w:b w:val="0"/>
          <w:bCs w:val="0"/>
          <w:sz w:val="33"/>
          <w:szCs w:val="32"/>
          <w:lang w:val="en-US" w:eastAsia="zh-CN"/>
        </w:rPr>
        <w:t>1.92</w:t>
      </w:r>
      <w:r>
        <w:rPr>
          <w:rFonts w:hint="eastAsia" w:ascii="Times New Roman" w:hAnsi="Times New Roman" w:eastAsia="方正仿宋_GBK"/>
          <w:b w:val="0"/>
          <w:bCs w:val="0"/>
          <w:sz w:val="33"/>
          <w:szCs w:val="32"/>
        </w:rPr>
        <w:t>%；</w:t>
      </w:r>
      <w:r>
        <w:rPr>
          <w:rFonts w:hint="eastAsia" w:ascii="Times New Roman" w:hAnsi="Times New Roman" w:eastAsia="方正仿宋_GBK"/>
          <w:b w:val="0"/>
          <w:bCs w:val="0"/>
          <w:sz w:val="33"/>
          <w:szCs w:val="32"/>
          <w:lang w:eastAsia="zh-CN"/>
        </w:rPr>
        <w:t>农林水支出</w:t>
      </w:r>
      <w:r>
        <w:rPr>
          <w:rFonts w:hint="eastAsia" w:ascii="Times New Roman" w:hAnsi="Times New Roman" w:eastAsia="方正仿宋_GBK"/>
          <w:b w:val="0"/>
          <w:bCs w:val="0"/>
          <w:sz w:val="33"/>
          <w:szCs w:val="32"/>
        </w:rPr>
        <w:t>（类）</w:t>
      </w:r>
      <w:r>
        <w:rPr>
          <w:rFonts w:hint="eastAsia" w:ascii="Times New Roman" w:hAnsi="Times New Roman" w:eastAsia="方正仿宋_GBK"/>
          <w:b w:val="0"/>
          <w:bCs w:val="0"/>
          <w:sz w:val="33"/>
          <w:szCs w:val="32"/>
          <w:lang w:val="en-US" w:eastAsia="zh-CN"/>
        </w:rPr>
        <w:t>178.38万元，占10.64%；</w:t>
      </w:r>
      <w:r>
        <w:rPr>
          <w:rFonts w:hint="eastAsia" w:ascii="Times New Roman" w:hAnsi="Times New Roman" w:eastAsia="方正仿宋_GBK"/>
          <w:b w:val="0"/>
          <w:bCs w:val="0"/>
          <w:sz w:val="33"/>
          <w:szCs w:val="32"/>
        </w:rPr>
        <w:t>住房保障支出（类）</w:t>
      </w:r>
      <w:r>
        <w:rPr>
          <w:rFonts w:hint="eastAsia" w:ascii="Times New Roman" w:hAnsi="Times New Roman" w:eastAsia="方正仿宋_GBK"/>
          <w:b w:val="0"/>
          <w:bCs w:val="0"/>
          <w:sz w:val="33"/>
          <w:szCs w:val="32"/>
          <w:lang w:val="en-US" w:eastAsia="zh-CN"/>
        </w:rPr>
        <w:t>52.28</w:t>
      </w:r>
      <w:r>
        <w:rPr>
          <w:rFonts w:hint="eastAsia" w:ascii="Times New Roman" w:hAnsi="Times New Roman" w:eastAsia="方正仿宋_GBK"/>
          <w:b w:val="0"/>
          <w:bCs w:val="0"/>
          <w:sz w:val="33"/>
          <w:szCs w:val="32"/>
        </w:rPr>
        <w:t>万元，占</w:t>
      </w:r>
      <w:r>
        <w:rPr>
          <w:rFonts w:hint="eastAsia" w:ascii="Times New Roman" w:hAnsi="Times New Roman" w:eastAsia="方正仿宋_GBK"/>
          <w:b w:val="0"/>
          <w:bCs w:val="0"/>
          <w:sz w:val="33"/>
          <w:szCs w:val="32"/>
          <w:lang w:val="en-US" w:eastAsia="zh-CN"/>
        </w:rPr>
        <w:t>3.12</w:t>
      </w:r>
      <w:r>
        <w:rPr>
          <w:rFonts w:hint="eastAsia" w:ascii="Times New Roman" w:hAnsi="Times New Roman" w:eastAsia="方正仿宋_GBK"/>
          <w:b w:val="0"/>
          <w:bCs w:val="0"/>
          <w:sz w:val="33"/>
          <w:szCs w:val="32"/>
        </w:rPr>
        <w:t>%；</w:t>
      </w:r>
      <w:r>
        <w:rPr>
          <w:rFonts w:hint="eastAsia" w:ascii="Times New Roman" w:hAnsi="Times New Roman" w:eastAsia="方正仿宋_GBK"/>
          <w:b w:val="0"/>
          <w:bCs w:val="0"/>
          <w:sz w:val="33"/>
          <w:szCs w:val="32"/>
          <w:lang w:eastAsia="zh-CN"/>
        </w:rPr>
        <w:t>其他支出</w:t>
      </w:r>
      <w:r>
        <w:rPr>
          <w:rFonts w:hint="eastAsia" w:ascii="Times New Roman" w:hAnsi="Times New Roman" w:eastAsia="方正仿宋_GBK"/>
          <w:b w:val="0"/>
          <w:bCs w:val="0"/>
          <w:sz w:val="33"/>
          <w:szCs w:val="32"/>
        </w:rPr>
        <w:t>（类）</w:t>
      </w:r>
      <w:r>
        <w:rPr>
          <w:rFonts w:hint="eastAsia" w:ascii="Times New Roman" w:hAnsi="Times New Roman" w:eastAsia="方正仿宋_GBK"/>
          <w:b w:val="0"/>
          <w:bCs w:val="0"/>
          <w:sz w:val="33"/>
          <w:szCs w:val="32"/>
          <w:lang w:val="en-US" w:eastAsia="zh-CN"/>
        </w:rPr>
        <w:t>6.00万元，占0.36%</w:t>
      </w:r>
    </w:p>
    <w:p>
      <w:pPr>
        <w:pStyle w:val="6"/>
        <w:rPr>
          <w:rFonts w:ascii="仿宋" w:hAnsi="仿宋" w:eastAsia="仿宋"/>
          <w:sz w:val="32"/>
          <w:szCs w:val="32"/>
        </w:rPr>
      </w:pPr>
      <w:r>
        <w:drawing>
          <wp:inline distT="0" distB="0" distL="114300" distR="114300">
            <wp:extent cx="5393055" cy="3288665"/>
            <wp:effectExtent l="5080" t="4445" r="12065" b="21590"/>
            <wp:docPr id="3154"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Fonts w:ascii="Times New Roman" w:hAnsi="Times New Roman" w:eastAsia="方正仿宋_GBK"/>
          <w:b/>
          <w:sz w:val="33"/>
          <w:szCs w:val="32"/>
        </w:rPr>
      </w:pPr>
      <w:bookmarkStart w:id="46" w:name="_Toc15377212"/>
      <w:r>
        <w:rPr>
          <w:rFonts w:hint="eastAsia" w:ascii="Times New Roman" w:hAnsi="Times New Roman" w:eastAsia="方正仿宋_GBK"/>
          <w:b/>
          <w:sz w:val="33"/>
          <w:szCs w:val="32"/>
        </w:rPr>
        <w:t>（三）一般公共预算财政拨款支出决算具体情况</w:t>
      </w:r>
      <w:bookmarkEnd w:id="46"/>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Fonts w:ascii="Times New Roman" w:hAnsi="Times New Roman" w:eastAsia="方正仿宋_GBK"/>
          <w:sz w:val="33"/>
          <w:szCs w:val="32"/>
        </w:rPr>
      </w:pPr>
      <w:bookmarkStart w:id="47" w:name="_Toc15377213"/>
      <w:bookmarkStart w:id="48" w:name="_Toc15377444"/>
      <w:bookmarkStart w:id="49" w:name="_Toc15378460"/>
      <w:r>
        <w:rPr>
          <w:rFonts w:hint="eastAsia" w:ascii="Times New Roman" w:hAnsi="Times New Roman" w:eastAsia="方正仿宋_GBK"/>
          <w:b/>
          <w:sz w:val="33"/>
          <w:szCs w:val="32"/>
        </w:rPr>
        <w:t>2021年一般公共预算支出决算数为</w:t>
      </w:r>
      <w:r>
        <w:rPr>
          <w:rFonts w:hint="eastAsia" w:ascii="Times New Roman" w:hAnsi="Times New Roman" w:eastAsia="方正仿宋_GBK"/>
          <w:b/>
          <w:sz w:val="33"/>
          <w:szCs w:val="32"/>
          <w:lang w:val="en-US" w:eastAsia="zh-CN"/>
        </w:rPr>
        <w:t>1676.27万元</w:t>
      </w:r>
      <w:r>
        <w:rPr>
          <w:rFonts w:hint="eastAsia" w:ascii="Times New Roman" w:hAnsi="Times New Roman" w:eastAsia="方正仿宋_GBK"/>
          <w:sz w:val="33"/>
          <w:szCs w:val="32"/>
        </w:rPr>
        <w:t>，</w:t>
      </w:r>
      <w:r>
        <w:rPr>
          <w:rStyle w:val="17"/>
          <w:rFonts w:hint="eastAsia" w:ascii="Times New Roman" w:hAnsi="Times New Roman" w:eastAsia="方正仿宋_GBK"/>
          <w:bCs/>
          <w:sz w:val="33"/>
          <w:szCs w:val="32"/>
        </w:rPr>
        <w:t>完成预算</w:t>
      </w:r>
      <w:r>
        <w:rPr>
          <w:rStyle w:val="17"/>
          <w:rFonts w:hint="eastAsia" w:ascii="Times New Roman" w:hAnsi="Times New Roman" w:eastAsia="方正仿宋_GBK"/>
          <w:bCs/>
          <w:sz w:val="33"/>
          <w:szCs w:val="32"/>
          <w:lang w:val="en-US" w:eastAsia="zh-CN"/>
        </w:rPr>
        <w:t>100</w:t>
      </w:r>
      <w:r>
        <w:rPr>
          <w:rStyle w:val="17"/>
          <w:rFonts w:ascii="Times New Roman" w:hAnsi="Times New Roman" w:eastAsia="方正仿宋_GBK"/>
          <w:bCs/>
          <w:sz w:val="33"/>
          <w:szCs w:val="32"/>
        </w:rPr>
        <w:t>%</w:t>
      </w:r>
      <w:r>
        <w:rPr>
          <w:rStyle w:val="17"/>
          <w:rFonts w:hint="eastAsia" w:ascii="Times New Roman" w:hAnsi="Times New Roman" w:eastAsia="方正仿宋_GBK"/>
          <w:bCs/>
          <w:sz w:val="33"/>
          <w:szCs w:val="32"/>
        </w:rPr>
        <w:t>。其中：</w:t>
      </w:r>
      <w:bookmarkEnd w:id="47"/>
      <w:bookmarkEnd w:id="48"/>
      <w:bookmarkEnd w:id="49"/>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7"/>
          <w:rFonts w:ascii="Times New Roman" w:hAnsi="Times New Roman" w:eastAsia="方正仿宋_GBK"/>
          <w:color w:val="000000"/>
          <w:sz w:val="33"/>
          <w:szCs w:val="32"/>
        </w:rPr>
      </w:pPr>
      <w:r>
        <w:rPr>
          <w:rStyle w:val="17"/>
          <w:rFonts w:ascii="Times New Roman" w:hAnsi="Times New Roman" w:eastAsia="方正仿宋_GBK" w:cs="仿宋_GB2312"/>
          <w:color w:val="000000"/>
          <w:sz w:val="33"/>
          <w:szCs w:val="32"/>
        </w:rPr>
        <w:t>1.</w:t>
      </w:r>
      <w:r>
        <w:rPr>
          <w:rStyle w:val="17"/>
          <w:rFonts w:hint="eastAsia" w:ascii="Times New Roman" w:hAnsi="Times New Roman" w:eastAsia="方正仿宋_GBK" w:cs="仿宋_GB2312"/>
          <w:color w:val="000000"/>
          <w:sz w:val="33"/>
          <w:szCs w:val="32"/>
        </w:rPr>
        <w:t>一般公共服务（类）组织事务（款）</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7"/>
          <w:rFonts w:ascii="Times New Roman" w:hAnsi="Times New Roman" w:eastAsia="方正仿宋_GBK"/>
          <w:b w:val="0"/>
          <w:bCs w:val="0"/>
          <w:color w:val="000000"/>
          <w:sz w:val="33"/>
          <w:szCs w:val="32"/>
        </w:rPr>
      </w:pPr>
      <w:r>
        <w:rPr>
          <w:rStyle w:val="17"/>
          <w:rFonts w:hint="eastAsia" w:ascii="Times New Roman" w:hAnsi="Times New Roman" w:eastAsia="方正仿宋_GBK" w:cs="仿宋_GB2312"/>
          <w:color w:val="000000"/>
          <w:sz w:val="33"/>
          <w:szCs w:val="32"/>
        </w:rPr>
        <w:t>①、行政运行</w:t>
      </w:r>
      <w:r>
        <w:rPr>
          <w:rStyle w:val="17"/>
          <w:rFonts w:hint="eastAsia" w:eastAsia="方正仿宋_GBK" w:cs="仿宋_GB2312"/>
          <w:color w:val="000000"/>
          <w:sz w:val="33"/>
          <w:szCs w:val="32"/>
          <w:lang w:eastAsia="zh-CN"/>
        </w:rPr>
        <w:t>：</w:t>
      </w:r>
      <w:r>
        <w:rPr>
          <w:rStyle w:val="17"/>
          <w:rFonts w:ascii="Times New Roman" w:hAnsi="Times New Roman" w:eastAsia="方正仿宋_GBK" w:cs="仿宋_GB2312"/>
          <w:b w:val="0"/>
          <w:bCs w:val="0"/>
          <w:color w:val="000000"/>
          <w:sz w:val="33"/>
          <w:szCs w:val="32"/>
        </w:rPr>
        <w:t xml:space="preserve"> </w:t>
      </w:r>
      <w:r>
        <w:rPr>
          <w:rStyle w:val="17"/>
          <w:rFonts w:hint="eastAsia" w:ascii="Times New Roman" w:hAnsi="Times New Roman" w:eastAsia="方正仿宋_GBK" w:cs="仿宋_GB2312"/>
          <w:b w:val="0"/>
          <w:bCs w:val="0"/>
          <w:color w:val="000000"/>
          <w:sz w:val="33"/>
          <w:szCs w:val="32"/>
        </w:rPr>
        <w:t>支出决算为</w:t>
      </w:r>
      <w:r>
        <w:rPr>
          <w:rStyle w:val="17"/>
          <w:rFonts w:hint="eastAsia" w:ascii="Times New Roman" w:hAnsi="Times New Roman" w:eastAsia="方正仿宋_GBK" w:cs="仿宋_GB2312"/>
          <w:b w:val="0"/>
          <w:bCs w:val="0"/>
          <w:color w:val="000000"/>
          <w:sz w:val="33"/>
          <w:szCs w:val="32"/>
          <w:lang w:val="en-US" w:eastAsia="zh-CN"/>
        </w:rPr>
        <w:t>457.64</w:t>
      </w:r>
      <w:r>
        <w:rPr>
          <w:rStyle w:val="17"/>
          <w:rFonts w:hint="eastAsia" w:ascii="Times New Roman" w:hAnsi="Times New Roman" w:eastAsia="方正仿宋_GBK" w:cs="仿宋_GB2312"/>
          <w:b w:val="0"/>
          <w:bCs w:val="0"/>
          <w:color w:val="000000"/>
          <w:sz w:val="33"/>
          <w:szCs w:val="32"/>
        </w:rPr>
        <w:t>万元，完成预算</w:t>
      </w:r>
      <w:r>
        <w:rPr>
          <w:rStyle w:val="17"/>
          <w:rFonts w:ascii="Times New Roman" w:hAnsi="Times New Roman" w:eastAsia="方正仿宋_GBK" w:cs="仿宋_GB2312"/>
          <w:b w:val="0"/>
          <w:bCs w:val="0"/>
          <w:color w:val="000000"/>
          <w:sz w:val="33"/>
          <w:szCs w:val="32"/>
        </w:rPr>
        <w:t>100%</w:t>
      </w:r>
      <w:r>
        <w:rPr>
          <w:rStyle w:val="17"/>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7"/>
          <w:rFonts w:hint="eastAsia" w:ascii="Times New Roman" w:hAnsi="Times New Roman" w:eastAsia="方正仿宋_GBK" w:cs="仿宋_GB2312"/>
          <w:b w:val="0"/>
          <w:bCs w:val="0"/>
          <w:color w:val="000000"/>
          <w:sz w:val="33"/>
          <w:szCs w:val="32"/>
        </w:rPr>
      </w:pPr>
      <w:r>
        <w:rPr>
          <w:rStyle w:val="17"/>
          <w:rFonts w:hint="eastAsia" w:ascii="Times New Roman" w:hAnsi="Times New Roman" w:eastAsia="方正仿宋_GBK" w:cs="仿宋_GB2312"/>
          <w:color w:val="000000"/>
          <w:sz w:val="33"/>
          <w:szCs w:val="32"/>
        </w:rPr>
        <w:t>②、一般行政管理事务：</w:t>
      </w:r>
      <w:r>
        <w:rPr>
          <w:rStyle w:val="17"/>
          <w:rFonts w:hint="eastAsia" w:ascii="Times New Roman" w:hAnsi="Times New Roman" w:eastAsia="方正仿宋_GBK" w:cs="仿宋_GB2312"/>
          <w:b w:val="0"/>
          <w:bCs w:val="0"/>
          <w:color w:val="000000"/>
          <w:sz w:val="33"/>
          <w:szCs w:val="32"/>
        </w:rPr>
        <w:t>支出决算为</w:t>
      </w:r>
      <w:r>
        <w:rPr>
          <w:rStyle w:val="17"/>
          <w:rFonts w:hint="eastAsia" w:ascii="Times New Roman" w:hAnsi="Times New Roman" w:eastAsia="方正仿宋_GBK" w:cs="仿宋_GB2312"/>
          <w:b w:val="0"/>
          <w:bCs w:val="0"/>
          <w:color w:val="000000"/>
          <w:sz w:val="33"/>
          <w:szCs w:val="32"/>
          <w:lang w:val="en-US" w:eastAsia="zh-CN"/>
        </w:rPr>
        <w:t>551.51</w:t>
      </w:r>
      <w:r>
        <w:rPr>
          <w:rStyle w:val="17"/>
          <w:rFonts w:hint="eastAsia" w:ascii="Times New Roman" w:hAnsi="Times New Roman" w:eastAsia="方正仿宋_GBK" w:cs="仿宋_GB2312"/>
          <w:b w:val="0"/>
          <w:bCs w:val="0"/>
          <w:color w:val="000000"/>
          <w:sz w:val="33"/>
          <w:szCs w:val="32"/>
        </w:rPr>
        <w:t>万元，完成预算</w:t>
      </w:r>
      <w:r>
        <w:rPr>
          <w:rStyle w:val="17"/>
          <w:rFonts w:ascii="Times New Roman" w:hAnsi="Times New Roman" w:eastAsia="方正仿宋_GBK" w:cs="仿宋_GB2312"/>
          <w:b w:val="0"/>
          <w:bCs w:val="0"/>
          <w:color w:val="000000"/>
          <w:sz w:val="33"/>
          <w:szCs w:val="32"/>
        </w:rPr>
        <w:t>100%</w:t>
      </w:r>
      <w:r>
        <w:rPr>
          <w:rStyle w:val="17"/>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7"/>
          <w:rFonts w:hint="eastAsia" w:ascii="Times New Roman" w:hAnsi="Times New Roman" w:eastAsia="方正仿宋_GBK" w:cs="仿宋_GB2312"/>
          <w:b w:val="0"/>
          <w:bCs w:val="0"/>
          <w:color w:val="000000"/>
          <w:sz w:val="33"/>
          <w:szCs w:val="32"/>
        </w:rPr>
      </w:pPr>
      <w:r>
        <w:rPr>
          <w:rStyle w:val="17"/>
          <w:rFonts w:hint="eastAsia" w:ascii="Times New Roman" w:hAnsi="Times New Roman" w:eastAsia="方正仿宋_GBK" w:cs="仿宋_GB2312"/>
          <w:color w:val="000000"/>
          <w:sz w:val="33"/>
          <w:szCs w:val="32"/>
        </w:rPr>
        <w:sym w:font="Wingdings" w:char="F083"/>
      </w:r>
      <w:r>
        <w:rPr>
          <w:rStyle w:val="17"/>
          <w:rFonts w:hint="eastAsia" w:ascii="Times New Roman" w:hAnsi="Times New Roman" w:eastAsia="方正仿宋_GBK" w:cs="仿宋_GB2312"/>
          <w:color w:val="000000"/>
          <w:sz w:val="33"/>
          <w:szCs w:val="32"/>
          <w:lang w:eastAsia="zh-CN"/>
        </w:rPr>
        <w:t>事业运行</w:t>
      </w:r>
      <w:r>
        <w:rPr>
          <w:rStyle w:val="17"/>
          <w:rFonts w:hint="eastAsia" w:ascii="Times New Roman" w:hAnsi="Times New Roman" w:eastAsia="方正仿宋_GBK" w:cs="仿宋_GB2312"/>
          <w:color w:val="000000"/>
          <w:sz w:val="33"/>
          <w:szCs w:val="32"/>
        </w:rPr>
        <w:t>：</w:t>
      </w:r>
      <w:r>
        <w:rPr>
          <w:rStyle w:val="17"/>
          <w:rFonts w:hint="eastAsia" w:ascii="Times New Roman" w:hAnsi="Times New Roman" w:eastAsia="方正仿宋_GBK" w:cs="仿宋_GB2312"/>
          <w:b w:val="0"/>
          <w:bCs w:val="0"/>
          <w:color w:val="000000"/>
          <w:sz w:val="33"/>
          <w:szCs w:val="32"/>
        </w:rPr>
        <w:t>支出决算为</w:t>
      </w:r>
      <w:r>
        <w:rPr>
          <w:rStyle w:val="17"/>
          <w:rFonts w:hint="eastAsia" w:ascii="Times New Roman" w:hAnsi="Times New Roman" w:eastAsia="方正仿宋_GBK" w:cs="仿宋_GB2312"/>
          <w:b w:val="0"/>
          <w:bCs w:val="0"/>
          <w:color w:val="000000"/>
          <w:sz w:val="33"/>
          <w:szCs w:val="32"/>
          <w:lang w:val="en-US" w:eastAsia="zh-CN"/>
        </w:rPr>
        <w:t>32.91</w:t>
      </w:r>
      <w:r>
        <w:rPr>
          <w:rStyle w:val="17"/>
          <w:rFonts w:hint="eastAsia" w:ascii="Times New Roman" w:hAnsi="Times New Roman" w:eastAsia="方正仿宋_GBK" w:cs="仿宋_GB2312"/>
          <w:b w:val="0"/>
          <w:bCs w:val="0"/>
          <w:color w:val="000000"/>
          <w:sz w:val="33"/>
          <w:szCs w:val="32"/>
        </w:rPr>
        <w:t>万元，完成预算</w:t>
      </w:r>
      <w:r>
        <w:rPr>
          <w:rStyle w:val="17"/>
          <w:rFonts w:ascii="Times New Roman" w:hAnsi="Times New Roman" w:eastAsia="方正仿宋_GBK" w:cs="仿宋_GB2312"/>
          <w:b w:val="0"/>
          <w:bCs w:val="0"/>
          <w:color w:val="000000"/>
          <w:sz w:val="33"/>
          <w:szCs w:val="32"/>
        </w:rPr>
        <w:t>100%</w:t>
      </w:r>
      <w:r>
        <w:rPr>
          <w:rStyle w:val="17"/>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7"/>
          <w:rFonts w:hint="eastAsia" w:ascii="Times New Roman" w:hAnsi="Times New Roman" w:eastAsia="方正仿宋_GBK" w:cs="仿宋_GB2312"/>
          <w:b w:val="0"/>
          <w:bCs w:val="0"/>
          <w:color w:val="000000"/>
          <w:sz w:val="33"/>
          <w:szCs w:val="32"/>
        </w:rPr>
      </w:pPr>
      <w:r>
        <w:rPr>
          <w:rStyle w:val="17"/>
          <w:rFonts w:hint="eastAsia" w:ascii="Times New Roman" w:hAnsi="Times New Roman" w:eastAsia="方正仿宋_GBK" w:cs="仿宋_GB2312"/>
          <w:color w:val="000000"/>
          <w:sz w:val="33"/>
          <w:szCs w:val="32"/>
        </w:rPr>
        <w:t>④、</w:t>
      </w:r>
      <w:r>
        <w:rPr>
          <w:rStyle w:val="17"/>
          <w:rFonts w:hint="eastAsia" w:ascii="Times New Roman" w:hAnsi="Times New Roman" w:eastAsia="方正仿宋_GBK" w:cs="仿宋_GB2312"/>
          <w:color w:val="000000"/>
          <w:sz w:val="33"/>
          <w:szCs w:val="32"/>
          <w:lang w:eastAsia="zh-CN"/>
        </w:rPr>
        <w:t>其他组织事务支出</w:t>
      </w:r>
      <w:r>
        <w:rPr>
          <w:rStyle w:val="17"/>
          <w:rFonts w:hint="eastAsia" w:ascii="Times New Roman" w:hAnsi="Times New Roman" w:eastAsia="方正仿宋_GBK" w:cs="仿宋_GB2312"/>
          <w:color w:val="000000"/>
          <w:sz w:val="33"/>
          <w:szCs w:val="32"/>
        </w:rPr>
        <w:t>：</w:t>
      </w:r>
      <w:r>
        <w:rPr>
          <w:rStyle w:val="17"/>
          <w:rFonts w:hint="eastAsia" w:ascii="Times New Roman" w:hAnsi="Times New Roman" w:eastAsia="方正仿宋_GBK" w:cs="仿宋_GB2312"/>
          <w:b w:val="0"/>
          <w:bCs w:val="0"/>
          <w:color w:val="000000"/>
          <w:sz w:val="33"/>
          <w:szCs w:val="32"/>
        </w:rPr>
        <w:t>支出决算为</w:t>
      </w:r>
      <w:r>
        <w:rPr>
          <w:rStyle w:val="17"/>
          <w:rFonts w:hint="eastAsia" w:ascii="Times New Roman" w:hAnsi="Times New Roman" w:eastAsia="方正仿宋_GBK" w:cs="仿宋_GB2312"/>
          <w:b w:val="0"/>
          <w:bCs w:val="0"/>
          <w:color w:val="000000"/>
          <w:sz w:val="33"/>
          <w:szCs w:val="32"/>
          <w:lang w:val="en-US" w:eastAsia="zh-CN"/>
        </w:rPr>
        <w:t>213.79</w:t>
      </w:r>
      <w:r>
        <w:rPr>
          <w:rStyle w:val="17"/>
          <w:rFonts w:hint="eastAsia" w:ascii="Times New Roman" w:hAnsi="Times New Roman" w:eastAsia="方正仿宋_GBK" w:cs="仿宋_GB2312"/>
          <w:b w:val="0"/>
          <w:bCs w:val="0"/>
          <w:color w:val="000000"/>
          <w:sz w:val="33"/>
          <w:szCs w:val="32"/>
        </w:rPr>
        <w:t>万元，完成预算</w:t>
      </w:r>
      <w:r>
        <w:rPr>
          <w:rStyle w:val="17"/>
          <w:rFonts w:ascii="Times New Roman" w:hAnsi="Times New Roman" w:eastAsia="方正仿宋_GBK" w:cs="仿宋_GB2312"/>
          <w:b w:val="0"/>
          <w:bCs w:val="0"/>
          <w:color w:val="000000"/>
          <w:sz w:val="33"/>
          <w:szCs w:val="32"/>
        </w:rPr>
        <w:t>100%</w:t>
      </w:r>
      <w:r>
        <w:rPr>
          <w:rStyle w:val="17"/>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7"/>
          <w:rFonts w:ascii="Times New Roman" w:hAnsi="Times New Roman" w:eastAsia="方正仿宋_GBK"/>
          <w:color w:val="000000"/>
          <w:sz w:val="33"/>
          <w:szCs w:val="32"/>
        </w:rPr>
      </w:pPr>
      <w:r>
        <w:rPr>
          <w:rStyle w:val="17"/>
          <w:rFonts w:ascii="Times New Roman" w:hAnsi="Times New Roman" w:eastAsia="方正仿宋_GBK" w:cs="仿宋_GB2312"/>
          <w:color w:val="000000"/>
          <w:sz w:val="33"/>
          <w:szCs w:val="32"/>
        </w:rPr>
        <w:t>2.</w:t>
      </w:r>
      <w:r>
        <w:rPr>
          <w:rStyle w:val="17"/>
          <w:rFonts w:hint="eastAsia" w:ascii="Times New Roman" w:hAnsi="Times New Roman" w:eastAsia="方正仿宋_GBK" w:cs="仿宋_GB2312"/>
          <w:color w:val="000000"/>
          <w:sz w:val="33"/>
          <w:szCs w:val="32"/>
        </w:rPr>
        <w:t>社会保障和就业（类）行政事业单位</w:t>
      </w:r>
      <w:r>
        <w:rPr>
          <w:rStyle w:val="17"/>
          <w:rFonts w:hint="eastAsia" w:ascii="Times New Roman" w:hAnsi="Times New Roman" w:eastAsia="方正仿宋_GBK" w:cs="仿宋_GB2312"/>
          <w:color w:val="000000"/>
          <w:sz w:val="33"/>
          <w:szCs w:val="32"/>
          <w:lang w:eastAsia="zh-CN"/>
        </w:rPr>
        <w:t>养老支出</w:t>
      </w:r>
      <w:r>
        <w:rPr>
          <w:rStyle w:val="17"/>
          <w:rFonts w:hint="eastAsia" w:ascii="Times New Roman" w:hAnsi="Times New Roman" w:eastAsia="方正仿宋_GBK" w:cs="仿宋_GB2312"/>
          <w:color w:val="000000"/>
          <w:sz w:val="33"/>
          <w:szCs w:val="32"/>
        </w:rPr>
        <w:t>（款）</w:t>
      </w:r>
      <w:r>
        <w:rPr>
          <w:rStyle w:val="17"/>
          <w:rFonts w:ascii="Times New Roman" w:hAnsi="Times New Roman" w:eastAsia="方正仿宋_GBK" w:cs="仿宋_GB2312"/>
          <w:color w:val="000000"/>
          <w:sz w:val="33"/>
          <w:szCs w:val="32"/>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7"/>
          <w:rFonts w:ascii="Times New Roman" w:hAnsi="Times New Roman" w:eastAsia="方正仿宋_GBK"/>
          <w:b w:val="0"/>
          <w:bCs w:val="0"/>
          <w:color w:val="000000"/>
          <w:sz w:val="33"/>
          <w:szCs w:val="32"/>
        </w:rPr>
      </w:pPr>
      <w:r>
        <w:rPr>
          <w:rStyle w:val="17"/>
          <w:rFonts w:hint="eastAsia" w:ascii="Times New Roman" w:hAnsi="Times New Roman" w:eastAsia="方正仿宋_GBK" w:cs="仿宋_GB2312"/>
          <w:color w:val="000000"/>
          <w:sz w:val="33"/>
          <w:szCs w:val="32"/>
        </w:rPr>
        <w:t>①、行政单位离退休</w:t>
      </w:r>
      <w:r>
        <w:rPr>
          <w:rStyle w:val="17"/>
          <w:rFonts w:hint="eastAsia" w:eastAsia="方正仿宋_GBK" w:cs="仿宋_GB2312"/>
          <w:color w:val="000000"/>
          <w:sz w:val="33"/>
          <w:szCs w:val="32"/>
          <w:lang w:eastAsia="zh-CN"/>
        </w:rPr>
        <w:t>：</w:t>
      </w:r>
      <w:r>
        <w:rPr>
          <w:rStyle w:val="17"/>
          <w:rFonts w:ascii="Times New Roman" w:hAnsi="Times New Roman" w:eastAsia="方正仿宋_GBK" w:cs="仿宋_GB2312"/>
          <w:b w:val="0"/>
          <w:bCs w:val="0"/>
          <w:color w:val="000000"/>
          <w:sz w:val="33"/>
          <w:szCs w:val="32"/>
        </w:rPr>
        <w:t xml:space="preserve"> </w:t>
      </w:r>
      <w:r>
        <w:rPr>
          <w:rStyle w:val="17"/>
          <w:rFonts w:hint="eastAsia" w:ascii="Times New Roman" w:hAnsi="Times New Roman" w:eastAsia="方正仿宋_GBK" w:cs="仿宋_GB2312"/>
          <w:b w:val="0"/>
          <w:bCs w:val="0"/>
          <w:color w:val="000000"/>
          <w:sz w:val="33"/>
          <w:szCs w:val="32"/>
        </w:rPr>
        <w:t>支出决算为</w:t>
      </w:r>
      <w:r>
        <w:rPr>
          <w:rStyle w:val="17"/>
          <w:rFonts w:hint="eastAsia" w:ascii="Times New Roman" w:hAnsi="Times New Roman" w:eastAsia="方正仿宋_GBK" w:cs="仿宋_GB2312"/>
          <w:b w:val="0"/>
          <w:bCs w:val="0"/>
          <w:color w:val="000000"/>
          <w:sz w:val="33"/>
          <w:szCs w:val="32"/>
          <w:lang w:val="en-US" w:eastAsia="zh-CN"/>
        </w:rPr>
        <w:t>98.55</w:t>
      </w:r>
      <w:r>
        <w:rPr>
          <w:rStyle w:val="17"/>
          <w:rFonts w:hint="eastAsia" w:ascii="Times New Roman" w:hAnsi="Times New Roman" w:eastAsia="方正仿宋_GBK" w:cs="仿宋_GB2312"/>
          <w:b w:val="0"/>
          <w:bCs w:val="0"/>
          <w:color w:val="000000"/>
          <w:sz w:val="33"/>
          <w:szCs w:val="32"/>
        </w:rPr>
        <w:t>万元，完成预算</w:t>
      </w:r>
      <w:r>
        <w:rPr>
          <w:rStyle w:val="17"/>
          <w:rFonts w:ascii="Times New Roman" w:hAnsi="Times New Roman" w:eastAsia="方正仿宋_GBK" w:cs="仿宋_GB2312"/>
          <w:b w:val="0"/>
          <w:bCs w:val="0"/>
          <w:color w:val="000000"/>
          <w:sz w:val="33"/>
          <w:szCs w:val="32"/>
        </w:rPr>
        <w:t>100%</w:t>
      </w:r>
      <w:r>
        <w:rPr>
          <w:rStyle w:val="17"/>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7"/>
          <w:rFonts w:hint="eastAsia" w:ascii="Times New Roman" w:hAnsi="Times New Roman" w:eastAsia="方正仿宋_GBK" w:cs="仿宋_GB2312"/>
          <w:b w:val="0"/>
          <w:bCs w:val="0"/>
          <w:color w:val="000000"/>
          <w:sz w:val="33"/>
          <w:szCs w:val="32"/>
        </w:rPr>
      </w:pPr>
      <w:r>
        <w:rPr>
          <w:rFonts w:hint="eastAsia" w:ascii="Times New Roman" w:hAnsi="Times New Roman" w:eastAsia="方正仿宋_GBK" w:cs="仿宋_GB2312"/>
          <w:b/>
          <w:bCs/>
          <w:color w:val="000000"/>
          <w:sz w:val="33"/>
          <w:szCs w:val="32"/>
        </w:rPr>
        <w:t>②、机关事业单位基本养老保险缴费支出：</w:t>
      </w:r>
      <w:r>
        <w:rPr>
          <w:rStyle w:val="17"/>
          <w:rFonts w:hint="eastAsia" w:ascii="Times New Roman" w:hAnsi="Times New Roman" w:eastAsia="方正仿宋_GBK" w:cs="仿宋_GB2312"/>
          <w:b w:val="0"/>
          <w:bCs w:val="0"/>
          <w:color w:val="000000"/>
          <w:sz w:val="33"/>
          <w:szCs w:val="32"/>
        </w:rPr>
        <w:t>支出决算为</w:t>
      </w:r>
      <w:r>
        <w:rPr>
          <w:rStyle w:val="17"/>
          <w:rFonts w:hint="eastAsia" w:ascii="Times New Roman" w:hAnsi="Times New Roman" w:eastAsia="方正仿宋_GBK" w:cs="仿宋_GB2312"/>
          <w:b w:val="0"/>
          <w:bCs w:val="0"/>
          <w:color w:val="000000"/>
          <w:sz w:val="33"/>
          <w:szCs w:val="32"/>
          <w:lang w:val="en-US" w:eastAsia="zh-CN"/>
        </w:rPr>
        <w:t>45.62</w:t>
      </w:r>
      <w:r>
        <w:rPr>
          <w:rStyle w:val="17"/>
          <w:rFonts w:hint="eastAsia" w:ascii="Times New Roman" w:hAnsi="Times New Roman" w:eastAsia="方正仿宋_GBK" w:cs="仿宋_GB2312"/>
          <w:b w:val="0"/>
          <w:bCs w:val="0"/>
          <w:color w:val="000000"/>
          <w:sz w:val="33"/>
          <w:szCs w:val="32"/>
        </w:rPr>
        <w:t>万元，完成预算</w:t>
      </w:r>
      <w:r>
        <w:rPr>
          <w:rStyle w:val="17"/>
          <w:rFonts w:ascii="Times New Roman" w:hAnsi="Times New Roman" w:eastAsia="方正仿宋_GBK" w:cs="仿宋_GB2312"/>
          <w:b w:val="0"/>
          <w:bCs w:val="0"/>
          <w:color w:val="000000"/>
          <w:sz w:val="33"/>
          <w:szCs w:val="32"/>
        </w:rPr>
        <w:t>100%</w:t>
      </w:r>
      <w:r>
        <w:rPr>
          <w:rStyle w:val="17"/>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7"/>
          <w:rFonts w:hint="eastAsia" w:ascii="Times New Roman" w:hAnsi="Times New Roman" w:eastAsia="方正仿宋_GBK" w:cs="仿宋_GB2312"/>
          <w:b w:val="0"/>
          <w:bCs w:val="0"/>
          <w:color w:val="000000"/>
          <w:sz w:val="33"/>
          <w:szCs w:val="32"/>
        </w:rPr>
      </w:pPr>
      <w:r>
        <w:rPr>
          <w:rStyle w:val="17"/>
          <w:rFonts w:hint="eastAsia" w:ascii="Times New Roman" w:hAnsi="Times New Roman" w:eastAsia="方正仿宋_GBK" w:cs="仿宋_GB2312"/>
          <w:color w:val="000000"/>
          <w:sz w:val="33"/>
          <w:szCs w:val="32"/>
        </w:rPr>
        <w:sym w:font="Wingdings" w:char="F083"/>
      </w:r>
      <w:r>
        <w:rPr>
          <w:rStyle w:val="17"/>
          <w:rFonts w:hint="eastAsia" w:ascii="Times New Roman" w:hAnsi="Times New Roman" w:eastAsia="方正仿宋_GBK" w:cs="仿宋_GB2312"/>
          <w:color w:val="000000"/>
          <w:sz w:val="33"/>
          <w:szCs w:val="32"/>
          <w:lang w:eastAsia="zh-CN"/>
        </w:rPr>
        <w:t>机关事业单位职业年金缴费支出</w:t>
      </w:r>
      <w:r>
        <w:rPr>
          <w:rStyle w:val="17"/>
          <w:rFonts w:hint="eastAsia" w:ascii="Times New Roman" w:hAnsi="Times New Roman" w:eastAsia="方正仿宋_GBK" w:cs="仿宋_GB2312"/>
          <w:color w:val="000000"/>
          <w:sz w:val="33"/>
          <w:szCs w:val="32"/>
        </w:rPr>
        <w:t>：</w:t>
      </w:r>
      <w:r>
        <w:rPr>
          <w:rStyle w:val="17"/>
          <w:rFonts w:hint="eastAsia" w:ascii="Times New Roman" w:hAnsi="Times New Roman" w:eastAsia="方正仿宋_GBK" w:cs="仿宋_GB2312"/>
          <w:b w:val="0"/>
          <w:bCs w:val="0"/>
          <w:color w:val="000000"/>
          <w:sz w:val="33"/>
          <w:szCs w:val="32"/>
        </w:rPr>
        <w:t>支出决算为</w:t>
      </w:r>
      <w:r>
        <w:rPr>
          <w:rStyle w:val="17"/>
          <w:rFonts w:hint="eastAsia" w:ascii="Times New Roman" w:hAnsi="Times New Roman" w:eastAsia="方正仿宋_GBK" w:cs="仿宋_GB2312"/>
          <w:b w:val="0"/>
          <w:bCs w:val="0"/>
          <w:color w:val="000000"/>
          <w:sz w:val="33"/>
          <w:szCs w:val="32"/>
          <w:lang w:val="en-US" w:eastAsia="zh-CN"/>
        </w:rPr>
        <w:t>4.94</w:t>
      </w:r>
      <w:r>
        <w:rPr>
          <w:rStyle w:val="17"/>
          <w:rFonts w:hint="eastAsia" w:ascii="Times New Roman" w:hAnsi="Times New Roman" w:eastAsia="方正仿宋_GBK" w:cs="仿宋_GB2312"/>
          <w:b w:val="0"/>
          <w:bCs w:val="0"/>
          <w:color w:val="000000"/>
          <w:sz w:val="33"/>
          <w:szCs w:val="32"/>
        </w:rPr>
        <w:t>万元，完成预算</w:t>
      </w:r>
      <w:r>
        <w:rPr>
          <w:rStyle w:val="17"/>
          <w:rFonts w:ascii="Times New Roman" w:hAnsi="Times New Roman" w:eastAsia="方正仿宋_GBK" w:cs="仿宋_GB2312"/>
          <w:b w:val="0"/>
          <w:bCs w:val="0"/>
          <w:color w:val="000000"/>
          <w:sz w:val="33"/>
          <w:szCs w:val="32"/>
        </w:rPr>
        <w:t>100%</w:t>
      </w:r>
      <w:r>
        <w:rPr>
          <w:rStyle w:val="17"/>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7"/>
          <w:rFonts w:hint="eastAsia" w:ascii="Times New Roman" w:hAnsi="Times New Roman" w:eastAsia="方正仿宋_GBK" w:cs="仿宋_GB2312"/>
          <w:b w:val="0"/>
          <w:bCs w:val="0"/>
          <w:color w:val="000000"/>
          <w:sz w:val="33"/>
          <w:szCs w:val="32"/>
        </w:rPr>
      </w:pPr>
      <w:r>
        <w:rPr>
          <w:rStyle w:val="17"/>
          <w:rFonts w:hint="eastAsia" w:ascii="Times New Roman" w:hAnsi="Times New Roman" w:eastAsia="方正仿宋_GBK" w:cs="仿宋_GB2312"/>
          <w:color w:val="000000"/>
          <w:sz w:val="33"/>
          <w:szCs w:val="32"/>
          <w:lang w:val="en-US" w:eastAsia="zh-CN"/>
        </w:rPr>
        <w:t>3</w:t>
      </w:r>
      <w:r>
        <w:rPr>
          <w:rStyle w:val="17"/>
          <w:rFonts w:ascii="Times New Roman" w:hAnsi="Times New Roman" w:eastAsia="方正仿宋_GBK" w:cs="仿宋_GB2312"/>
          <w:color w:val="000000"/>
          <w:sz w:val="33"/>
          <w:szCs w:val="32"/>
        </w:rPr>
        <w:t>.</w:t>
      </w:r>
      <w:r>
        <w:rPr>
          <w:rStyle w:val="17"/>
          <w:rFonts w:hint="eastAsia" w:ascii="Times New Roman" w:hAnsi="Times New Roman" w:eastAsia="方正仿宋_GBK" w:cs="仿宋_GB2312"/>
          <w:color w:val="000000"/>
          <w:sz w:val="33"/>
          <w:szCs w:val="32"/>
        </w:rPr>
        <w:t>社会保障和就业（类）</w:t>
      </w:r>
      <w:r>
        <w:rPr>
          <w:rStyle w:val="17"/>
          <w:rFonts w:hint="eastAsia" w:ascii="Times New Roman" w:hAnsi="Times New Roman" w:eastAsia="方正仿宋_GBK" w:cs="仿宋_GB2312"/>
          <w:color w:val="000000"/>
          <w:sz w:val="33"/>
          <w:szCs w:val="32"/>
          <w:lang w:eastAsia="zh-CN"/>
        </w:rPr>
        <w:t>抚恤</w:t>
      </w:r>
      <w:r>
        <w:rPr>
          <w:rStyle w:val="17"/>
          <w:rFonts w:hint="eastAsia" w:ascii="Times New Roman" w:hAnsi="Times New Roman" w:eastAsia="方正仿宋_GBK" w:cs="仿宋_GB2312"/>
          <w:color w:val="000000"/>
          <w:sz w:val="33"/>
          <w:szCs w:val="32"/>
        </w:rPr>
        <w:t>（款）</w:t>
      </w:r>
      <w:r>
        <w:rPr>
          <w:rStyle w:val="17"/>
          <w:rFonts w:hint="eastAsia" w:ascii="Times New Roman" w:hAnsi="Times New Roman" w:eastAsia="方正仿宋_GBK" w:cs="仿宋_GB2312"/>
          <w:color w:val="000000"/>
          <w:sz w:val="33"/>
          <w:szCs w:val="32"/>
          <w:lang w:eastAsia="zh-CN"/>
        </w:rPr>
        <w:t>伤残抚恤（项）：</w:t>
      </w:r>
      <w:r>
        <w:rPr>
          <w:rStyle w:val="17"/>
          <w:rFonts w:hint="eastAsia" w:ascii="Times New Roman" w:hAnsi="Times New Roman" w:eastAsia="方正仿宋_GBK" w:cs="仿宋_GB2312"/>
          <w:b w:val="0"/>
          <w:bCs w:val="0"/>
          <w:color w:val="000000"/>
          <w:sz w:val="33"/>
          <w:szCs w:val="32"/>
        </w:rPr>
        <w:t>支出决算为</w:t>
      </w:r>
      <w:r>
        <w:rPr>
          <w:rStyle w:val="17"/>
          <w:rFonts w:hint="eastAsia" w:ascii="Times New Roman" w:hAnsi="Times New Roman" w:eastAsia="方正仿宋_GBK" w:cs="仿宋_GB2312"/>
          <w:b w:val="0"/>
          <w:bCs w:val="0"/>
          <w:color w:val="000000"/>
          <w:sz w:val="33"/>
          <w:szCs w:val="32"/>
          <w:lang w:val="en-US" w:eastAsia="zh-CN"/>
        </w:rPr>
        <w:t>2.49</w:t>
      </w:r>
      <w:r>
        <w:rPr>
          <w:rStyle w:val="17"/>
          <w:rFonts w:hint="eastAsia" w:ascii="Times New Roman" w:hAnsi="Times New Roman" w:eastAsia="方正仿宋_GBK" w:cs="仿宋_GB2312"/>
          <w:b w:val="0"/>
          <w:bCs w:val="0"/>
          <w:color w:val="000000"/>
          <w:sz w:val="33"/>
          <w:szCs w:val="32"/>
        </w:rPr>
        <w:t>万元，完成预算</w:t>
      </w:r>
      <w:r>
        <w:rPr>
          <w:rStyle w:val="17"/>
          <w:rFonts w:ascii="Times New Roman" w:hAnsi="Times New Roman" w:eastAsia="方正仿宋_GBK" w:cs="仿宋_GB2312"/>
          <w:b w:val="0"/>
          <w:bCs w:val="0"/>
          <w:color w:val="000000"/>
          <w:sz w:val="33"/>
          <w:szCs w:val="32"/>
        </w:rPr>
        <w:t>100%</w:t>
      </w:r>
      <w:r>
        <w:rPr>
          <w:rStyle w:val="17"/>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Fonts w:hint="eastAsia" w:ascii="Times New Roman" w:hAnsi="Times New Roman" w:eastAsia="方正仿宋_GBK"/>
          <w:b/>
          <w:sz w:val="33"/>
          <w:szCs w:val="32"/>
          <w:lang w:eastAsia="zh-CN"/>
        </w:rPr>
      </w:pPr>
      <w:r>
        <w:rPr>
          <w:rFonts w:hint="eastAsia" w:ascii="Times New Roman" w:hAnsi="Times New Roman" w:eastAsia="方正仿宋_GBK"/>
          <w:b/>
          <w:sz w:val="33"/>
          <w:szCs w:val="32"/>
          <w:lang w:val="en-US" w:eastAsia="zh-CN"/>
        </w:rPr>
        <w:t>4</w:t>
      </w:r>
      <w:r>
        <w:rPr>
          <w:rFonts w:ascii="Times New Roman" w:hAnsi="Times New Roman" w:eastAsia="方正仿宋_GBK"/>
          <w:b/>
          <w:sz w:val="33"/>
          <w:szCs w:val="32"/>
        </w:rPr>
        <w:t>.卫生健康支出（类）</w:t>
      </w:r>
      <w:r>
        <w:rPr>
          <w:rFonts w:hint="eastAsia" w:ascii="Times New Roman" w:hAnsi="Times New Roman" w:eastAsia="方正仿宋_GBK"/>
          <w:b/>
          <w:sz w:val="33"/>
          <w:szCs w:val="32"/>
          <w:lang w:eastAsia="zh-CN"/>
        </w:rPr>
        <w:t>行政事业单位医疗</w:t>
      </w:r>
      <w:r>
        <w:rPr>
          <w:rFonts w:ascii="Times New Roman" w:hAnsi="Times New Roman" w:eastAsia="方正仿宋_GBK"/>
          <w:b/>
          <w:sz w:val="33"/>
          <w:szCs w:val="32"/>
        </w:rPr>
        <w:t>（款）</w:t>
      </w:r>
      <w:r>
        <w:rPr>
          <w:rFonts w:hint="eastAsia" w:ascii="Times New Roman" w:hAnsi="Times New Roman" w:eastAsia="方正仿宋_GBK"/>
          <w:b/>
          <w:sz w:val="33"/>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ascii="Times New Roman" w:hAnsi="Times New Roman" w:eastAsia="方正仿宋_GBK"/>
          <w:sz w:val="33"/>
          <w:szCs w:val="32"/>
        </w:rPr>
      </w:pPr>
      <w:r>
        <w:rPr>
          <w:rFonts w:hint="eastAsia" w:ascii="Times New Roman" w:hAnsi="Times New Roman" w:eastAsia="方正仿宋_GBK" w:cs="仿宋_GB2312"/>
          <w:sz w:val="33"/>
          <w:szCs w:val="32"/>
          <w:lang w:eastAsia="zh-CN"/>
        </w:rPr>
        <w:sym w:font="Wingdings" w:char="F081"/>
      </w:r>
      <w:r>
        <w:rPr>
          <w:rFonts w:hint="eastAsia" w:ascii="Times New Roman" w:hAnsi="Times New Roman" w:eastAsia="方正仿宋_GBK" w:cs="仿宋_GB2312"/>
          <w:sz w:val="33"/>
          <w:szCs w:val="32"/>
          <w:lang w:eastAsia="zh-CN"/>
        </w:rPr>
        <w:t>行政单位医疗：</w:t>
      </w:r>
      <w:r>
        <w:rPr>
          <w:rFonts w:ascii="Times New Roman" w:hAnsi="Times New Roman" w:eastAsia="方正仿宋_GBK"/>
          <w:sz w:val="33"/>
          <w:szCs w:val="32"/>
        </w:rPr>
        <w:t>支出决算为</w:t>
      </w:r>
      <w:r>
        <w:rPr>
          <w:rFonts w:hint="eastAsia" w:ascii="Times New Roman" w:hAnsi="Times New Roman" w:eastAsia="方正仿宋_GBK"/>
          <w:sz w:val="33"/>
          <w:szCs w:val="32"/>
          <w:lang w:val="en-US" w:eastAsia="zh-CN"/>
        </w:rPr>
        <w:t>28.71</w:t>
      </w:r>
      <w:r>
        <w:rPr>
          <w:rFonts w:ascii="Times New Roman" w:hAnsi="Times New Roman" w:eastAsia="方正仿宋_GBK"/>
          <w:sz w:val="33"/>
          <w:szCs w:val="32"/>
        </w:rPr>
        <w:t>万元，完成预算100%，决算数等于预算数。</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ascii="Times New Roman" w:hAnsi="Times New Roman" w:eastAsia="方正仿宋_GBK"/>
          <w:sz w:val="33"/>
        </w:rPr>
      </w:pPr>
      <w:r>
        <w:rPr>
          <w:rFonts w:hint="eastAsia" w:ascii="Times New Roman" w:hAnsi="Times New Roman" w:eastAsia="方正仿宋_GBK"/>
          <w:sz w:val="33"/>
          <w:szCs w:val="32"/>
          <w:lang w:val="en-US" w:eastAsia="zh-CN"/>
        </w:rPr>
        <w:sym w:font="Wingdings" w:char="F082"/>
      </w:r>
      <w:r>
        <w:rPr>
          <w:rFonts w:hint="eastAsia" w:ascii="Times New Roman" w:hAnsi="Times New Roman" w:eastAsia="方正仿宋_GBK"/>
          <w:sz w:val="33"/>
          <w:szCs w:val="32"/>
          <w:lang w:val="en-US" w:eastAsia="zh-CN"/>
        </w:rPr>
        <w:t>公务员医疗补助：</w:t>
      </w:r>
      <w:r>
        <w:rPr>
          <w:rFonts w:ascii="Times New Roman" w:hAnsi="Times New Roman" w:eastAsia="方正仿宋_GBK"/>
          <w:sz w:val="33"/>
          <w:szCs w:val="32"/>
        </w:rPr>
        <w:t>支出决算为</w:t>
      </w:r>
      <w:r>
        <w:rPr>
          <w:rFonts w:hint="eastAsia" w:ascii="Times New Roman" w:hAnsi="Times New Roman" w:eastAsia="方正仿宋_GBK"/>
          <w:sz w:val="33"/>
          <w:szCs w:val="32"/>
          <w:lang w:val="en-US" w:eastAsia="zh-CN"/>
        </w:rPr>
        <w:t>3.45</w:t>
      </w:r>
      <w:r>
        <w:rPr>
          <w:rFonts w:ascii="Times New Roman" w:hAnsi="Times New Roman" w:eastAsia="方正仿宋_GBK"/>
          <w:sz w:val="33"/>
          <w:szCs w:val="32"/>
        </w:rPr>
        <w:t>万元，完成预算100%，决算数等于预算数。</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Fonts w:ascii="Times New Roman" w:hAnsi="Times New Roman" w:eastAsia="方正仿宋_GBK"/>
          <w:b/>
          <w:bCs/>
          <w:color w:val="000000"/>
          <w:sz w:val="33"/>
          <w:szCs w:val="32"/>
        </w:rPr>
      </w:pPr>
      <w:r>
        <w:rPr>
          <w:rStyle w:val="17"/>
          <w:rFonts w:hint="eastAsia" w:ascii="Times New Roman" w:hAnsi="Times New Roman" w:eastAsia="方正仿宋_GBK" w:cs="仿宋_GB2312"/>
          <w:color w:val="000000"/>
          <w:sz w:val="33"/>
          <w:szCs w:val="32"/>
          <w:lang w:val="en-US" w:eastAsia="zh-CN"/>
        </w:rPr>
        <w:t>5</w:t>
      </w:r>
      <w:r>
        <w:rPr>
          <w:rStyle w:val="17"/>
          <w:rFonts w:hint="eastAsia" w:ascii="Times New Roman" w:hAnsi="Times New Roman" w:eastAsia="方正仿宋_GBK" w:cs="仿宋_GB2312"/>
          <w:color w:val="000000"/>
          <w:sz w:val="33"/>
          <w:szCs w:val="32"/>
        </w:rPr>
        <w:t>、住房保障支出（类）住房改革支出（款）住房公积金（项）：</w:t>
      </w:r>
      <w:r>
        <w:rPr>
          <w:rStyle w:val="17"/>
          <w:rFonts w:hint="eastAsia" w:ascii="Times New Roman" w:hAnsi="Times New Roman" w:eastAsia="方正仿宋_GBK" w:cs="仿宋_GB2312"/>
          <w:b w:val="0"/>
          <w:bCs w:val="0"/>
          <w:color w:val="000000"/>
          <w:sz w:val="33"/>
          <w:szCs w:val="32"/>
        </w:rPr>
        <w:t>支出决算为</w:t>
      </w:r>
      <w:r>
        <w:rPr>
          <w:rStyle w:val="17"/>
          <w:rFonts w:hint="eastAsia" w:ascii="Times New Roman" w:hAnsi="Times New Roman" w:eastAsia="方正仿宋_GBK" w:cs="仿宋_GB2312"/>
          <w:b w:val="0"/>
          <w:bCs w:val="0"/>
          <w:color w:val="000000"/>
          <w:sz w:val="33"/>
          <w:szCs w:val="32"/>
          <w:lang w:val="en-US" w:eastAsia="zh-CN"/>
        </w:rPr>
        <w:t>52.28</w:t>
      </w:r>
      <w:r>
        <w:rPr>
          <w:rStyle w:val="17"/>
          <w:rFonts w:hint="eastAsia" w:ascii="Times New Roman" w:hAnsi="Times New Roman" w:eastAsia="方正仿宋_GBK" w:cs="仿宋_GB2312"/>
          <w:b w:val="0"/>
          <w:bCs w:val="0"/>
          <w:color w:val="000000"/>
          <w:sz w:val="33"/>
          <w:szCs w:val="32"/>
        </w:rPr>
        <w:t>万元，完成预算</w:t>
      </w:r>
      <w:r>
        <w:rPr>
          <w:rStyle w:val="17"/>
          <w:rFonts w:ascii="Times New Roman" w:hAnsi="Times New Roman" w:eastAsia="方正仿宋_GBK" w:cs="仿宋_GB2312"/>
          <w:b w:val="0"/>
          <w:bCs w:val="0"/>
          <w:color w:val="000000"/>
          <w:sz w:val="33"/>
          <w:szCs w:val="32"/>
        </w:rPr>
        <w:t>100%</w:t>
      </w:r>
      <w:r>
        <w:rPr>
          <w:rStyle w:val="17"/>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7"/>
          <w:rFonts w:ascii="Times New Roman" w:hAnsi="Times New Roman" w:eastAsia="方正仿宋_GBK"/>
          <w:b w:val="0"/>
          <w:bCs w:val="0"/>
          <w:color w:val="000000"/>
          <w:sz w:val="33"/>
          <w:szCs w:val="32"/>
        </w:rPr>
      </w:pPr>
      <w:r>
        <w:rPr>
          <w:rStyle w:val="17"/>
          <w:rFonts w:hint="eastAsia" w:ascii="Times New Roman" w:hAnsi="Times New Roman" w:eastAsia="方正仿宋_GBK" w:cs="仿宋_GB2312"/>
          <w:color w:val="000000"/>
          <w:sz w:val="33"/>
          <w:szCs w:val="32"/>
          <w:lang w:val="en-US" w:eastAsia="zh-CN"/>
        </w:rPr>
        <w:t>6</w:t>
      </w:r>
      <w:r>
        <w:rPr>
          <w:rStyle w:val="17"/>
          <w:rFonts w:hint="eastAsia" w:ascii="Times New Roman" w:hAnsi="Times New Roman" w:eastAsia="方正仿宋_GBK" w:cs="仿宋_GB2312"/>
          <w:color w:val="000000"/>
          <w:sz w:val="33"/>
          <w:szCs w:val="32"/>
        </w:rPr>
        <w:t>、农林水支出（类）扶贫（款）其他扶贫支出（项）：</w:t>
      </w:r>
      <w:r>
        <w:rPr>
          <w:rStyle w:val="17"/>
          <w:rFonts w:hint="eastAsia" w:ascii="Times New Roman" w:hAnsi="Times New Roman" w:eastAsia="方正仿宋_GBK" w:cs="仿宋_GB2312"/>
          <w:b w:val="0"/>
          <w:bCs w:val="0"/>
          <w:color w:val="000000"/>
          <w:sz w:val="33"/>
          <w:szCs w:val="32"/>
        </w:rPr>
        <w:t>支出决算为</w:t>
      </w:r>
      <w:r>
        <w:rPr>
          <w:rStyle w:val="17"/>
          <w:rFonts w:hint="eastAsia" w:ascii="Times New Roman" w:hAnsi="Times New Roman" w:eastAsia="方正仿宋_GBK" w:cs="仿宋_GB2312"/>
          <w:b w:val="0"/>
          <w:bCs w:val="0"/>
          <w:color w:val="000000"/>
          <w:sz w:val="33"/>
          <w:szCs w:val="32"/>
          <w:lang w:val="en-US" w:eastAsia="zh-CN"/>
        </w:rPr>
        <w:t>48.38</w:t>
      </w:r>
      <w:r>
        <w:rPr>
          <w:rStyle w:val="17"/>
          <w:rFonts w:hint="eastAsia" w:ascii="Times New Roman" w:hAnsi="Times New Roman" w:eastAsia="方正仿宋_GBK" w:cs="仿宋_GB2312"/>
          <w:b w:val="0"/>
          <w:bCs w:val="0"/>
          <w:color w:val="000000"/>
          <w:sz w:val="33"/>
          <w:szCs w:val="32"/>
        </w:rPr>
        <w:t>万元，完成预算</w:t>
      </w:r>
      <w:r>
        <w:rPr>
          <w:rStyle w:val="17"/>
          <w:rFonts w:ascii="Times New Roman" w:hAnsi="Times New Roman" w:eastAsia="方正仿宋_GBK" w:cs="仿宋_GB2312"/>
          <w:b w:val="0"/>
          <w:bCs w:val="0"/>
          <w:color w:val="000000"/>
          <w:sz w:val="33"/>
          <w:szCs w:val="32"/>
        </w:rPr>
        <w:t>100%</w:t>
      </w:r>
      <w:r>
        <w:rPr>
          <w:rStyle w:val="17"/>
          <w:rFonts w:hint="eastAsia" w:ascii="Times New Roman" w:hAnsi="Times New Roman" w:eastAsia="方正仿宋_GBK" w:cs="仿宋_GB2312"/>
          <w:b w:val="0"/>
          <w:bCs w:val="0"/>
          <w:color w:val="000000"/>
          <w:sz w:val="33"/>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Style w:val="17"/>
          <w:rFonts w:hint="eastAsia" w:ascii="Times New Roman" w:hAnsi="Times New Roman" w:eastAsia="方正仿宋_GBK" w:cs="仿宋_GB2312"/>
          <w:b w:val="0"/>
          <w:bCs w:val="0"/>
          <w:color w:val="000000"/>
          <w:sz w:val="33"/>
          <w:szCs w:val="32"/>
          <w:lang w:eastAsia="zh-CN"/>
        </w:rPr>
      </w:pPr>
      <w:r>
        <w:rPr>
          <w:rStyle w:val="17"/>
          <w:rFonts w:hint="eastAsia" w:ascii="Times New Roman" w:hAnsi="Times New Roman" w:eastAsia="方正仿宋_GBK" w:cs="仿宋_GB2312"/>
          <w:color w:val="000000"/>
          <w:sz w:val="33"/>
          <w:szCs w:val="32"/>
          <w:lang w:val="en-US" w:eastAsia="zh-CN"/>
        </w:rPr>
        <w:t>7</w:t>
      </w:r>
      <w:r>
        <w:rPr>
          <w:rStyle w:val="17"/>
          <w:rFonts w:hint="eastAsia" w:ascii="Times New Roman" w:hAnsi="Times New Roman" w:eastAsia="方正仿宋_GBK" w:cs="仿宋_GB2312"/>
          <w:color w:val="000000"/>
          <w:sz w:val="33"/>
          <w:szCs w:val="32"/>
        </w:rPr>
        <w:t>、农林水支出（类）农村综合改革（款）对村集体经济组织的补助</w:t>
      </w:r>
      <w:r>
        <w:rPr>
          <w:rStyle w:val="17"/>
          <w:rFonts w:hint="eastAsia" w:ascii="Times New Roman" w:hAnsi="Times New Roman" w:eastAsia="方正仿宋_GBK" w:cs="仿宋_GB2312"/>
          <w:color w:val="000000"/>
          <w:sz w:val="33"/>
          <w:szCs w:val="32"/>
          <w:lang w:eastAsia="zh-CN"/>
        </w:rPr>
        <w:t>（项）</w:t>
      </w:r>
      <w:r>
        <w:rPr>
          <w:rStyle w:val="17"/>
          <w:rFonts w:hint="eastAsia" w:ascii="Times New Roman" w:hAnsi="Times New Roman" w:eastAsia="方正仿宋_GBK" w:cs="仿宋_GB2312"/>
          <w:color w:val="000000"/>
          <w:sz w:val="33"/>
          <w:szCs w:val="32"/>
        </w:rPr>
        <w:t>：</w:t>
      </w:r>
      <w:r>
        <w:rPr>
          <w:rStyle w:val="17"/>
          <w:rFonts w:hint="eastAsia" w:ascii="Times New Roman" w:hAnsi="Times New Roman" w:eastAsia="方正仿宋_GBK" w:cs="仿宋_GB2312"/>
          <w:b w:val="0"/>
          <w:bCs w:val="0"/>
          <w:color w:val="000000"/>
          <w:sz w:val="33"/>
          <w:szCs w:val="32"/>
        </w:rPr>
        <w:t>支出决算为</w:t>
      </w:r>
      <w:r>
        <w:rPr>
          <w:rStyle w:val="17"/>
          <w:rFonts w:hint="eastAsia" w:ascii="Times New Roman" w:hAnsi="Times New Roman" w:eastAsia="方正仿宋_GBK" w:cs="仿宋_GB2312"/>
          <w:b w:val="0"/>
          <w:bCs w:val="0"/>
          <w:color w:val="000000"/>
          <w:sz w:val="33"/>
          <w:szCs w:val="32"/>
          <w:lang w:val="en-US" w:eastAsia="zh-CN"/>
        </w:rPr>
        <w:t>130.00</w:t>
      </w:r>
      <w:r>
        <w:rPr>
          <w:rStyle w:val="17"/>
          <w:rFonts w:hint="eastAsia" w:ascii="Times New Roman" w:hAnsi="Times New Roman" w:eastAsia="方正仿宋_GBK" w:cs="仿宋_GB2312"/>
          <w:b w:val="0"/>
          <w:bCs w:val="0"/>
          <w:color w:val="000000"/>
          <w:sz w:val="33"/>
          <w:szCs w:val="32"/>
        </w:rPr>
        <w:t>万元，完成预算</w:t>
      </w:r>
      <w:r>
        <w:rPr>
          <w:rStyle w:val="17"/>
          <w:rFonts w:ascii="Times New Roman" w:hAnsi="Times New Roman" w:eastAsia="方正仿宋_GBK" w:cs="仿宋_GB2312"/>
          <w:b w:val="0"/>
          <w:bCs w:val="0"/>
          <w:color w:val="000000"/>
          <w:sz w:val="33"/>
          <w:szCs w:val="32"/>
        </w:rPr>
        <w:t>100%</w:t>
      </w:r>
      <w:r>
        <w:rPr>
          <w:rStyle w:val="17"/>
          <w:rFonts w:hint="eastAsia" w:ascii="Times New Roman" w:hAnsi="Times New Roman" w:eastAsia="方正仿宋_GBK" w:cs="仿宋_GB2312"/>
          <w:b w:val="0"/>
          <w:bCs w:val="0"/>
          <w:color w:val="000000"/>
          <w:sz w:val="33"/>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Fonts w:hint="eastAsia"/>
          <w:lang w:eastAsia="zh-CN"/>
        </w:rPr>
      </w:pPr>
      <w:r>
        <w:rPr>
          <w:rFonts w:hint="eastAsia" w:ascii="Times New Roman" w:hAnsi="Times New Roman" w:eastAsia="方正仿宋_GBK" w:cs="仿宋_GB2312"/>
          <w:b/>
          <w:bCs/>
          <w:sz w:val="33"/>
          <w:szCs w:val="32"/>
          <w:lang w:val="en-US" w:eastAsia="zh-CN"/>
        </w:rPr>
        <w:t>8.</w:t>
      </w:r>
      <w:r>
        <w:rPr>
          <w:rFonts w:hint="eastAsia" w:ascii="Times New Roman" w:hAnsi="Times New Roman" w:eastAsia="方正仿宋_GBK"/>
          <w:b/>
          <w:sz w:val="33"/>
          <w:szCs w:val="32"/>
          <w:lang w:eastAsia="zh-CN"/>
        </w:rPr>
        <w:t>其他</w:t>
      </w:r>
      <w:r>
        <w:rPr>
          <w:rFonts w:ascii="Times New Roman" w:hAnsi="Times New Roman" w:eastAsia="方正仿宋_GBK"/>
          <w:b/>
          <w:sz w:val="33"/>
          <w:szCs w:val="32"/>
        </w:rPr>
        <w:t>支出（类）</w:t>
      </w:r>
      <w:r>
        <w:rPr>
          <w:rFonts w:hint="eastAsia" w:ascii="Times New Roman" w:hAnsi="Times New Roman" w:eastAsia="方正仿宋_GBK"/>
          <w:b/>
          <w:sz w:val="33"/>
          <w:szCs w:val="32"/>
          <w:lang w:eastAsia="zh-CN"/>
        </w:rPr>
        <w:t>其他支出</w:t>
      </w:r>
      <w:r>
        <w:rPr>
          <w:rFonts w:ascii="Times New Roman" w:hAnsi="Times New Roman" w:eastAsia="方正仿宋_GBK"/>
          <w:b/>
          <w:sz w:val="33"/>
          <w:szCs w:val="32"/>
        </w:rPr>
        <w:t>（款）其他支出（项）</w:t>
      </w:r>
      <w:r>
        <w:rPr>
          <w:rFonts w:hint="eastAsia" w:ascii="Times New Roman" w:hAnsi="Times New Roman" w:eastAsia="方正仿宋_GBK"/>
          <w:b/>
          <w:sz w:val="33"/>
          <w:szCs w:val="32"/>
          <w:lang w:eastAsia="zh-CN"/>
        </w:rPr>
        <w:t>：</w:t>
      </w:r>
      <w:r>
        <w:rPr>
          <w:rFonts w:hint="eastAsia" w:ascii="Times New Roman" w:hAnsi="Times New Roman" w:eastAsia="方正仿宋_GBK"/>
          <w:b w:val="0"/>
          <w:bCs/>
          <w:sz w:val="33"/>
          <w:szCs w:val="32"/>
          <w:lang w:eastAsia="zh-CN"/>
        </w:rPr>
        <w:t>支</w:t>
      </w:r>
      <w:r>
        <w:rPr>
          <w:rFonts w:ascii="Times New Roman" w:hAnsi="Times New Roman" w:eastAsia="方正仿宋_GBK"/>
          <w:sz w:val="33"/>
          <w:szCs w:val="32"/>
        </w:rPr>
        <w:t>出决算为</w:t>
      </w:r>
      <w:r>
        <w:rPr>
          <w:rFonts w:hint="eastAsia" w:ascii="Times New Roman" w:hAnsi="Times New Roman" w:eastAsia="方正仿宋_GBK"/>
          <w:sz w:val="33"/>
          <w:szCs w:val="32"/>
          <w:lang w:val="en-US" w:eastAsia="zh-CN"/>
        </w:rPr>
        <w:t>6.00</w:t>
      </w:r>
      <w:r>
        <w:rPr>
          <w:rFonts w:ascii="Times New Roman" w:hAnsi="Times New Roman" w:eastAsia="方正仿宋_GBK"/>
          <w:sz w:val="33"/>
          <w:szCs w:val="32"/>
        </w:rPr>
        <w:t>万元，完成预算100%。</w:t>
      </w:r>
    </w:p>
    <w:p>
      <w:pPr>
        <w:spacing w:line="600" w:lineRule="exact"/>
        <w:ind w:firstLine="680" w:firstLineChars="200"/>
        <w:outlineLvl w:val="1"/>
        <w:rPr>
          <w:rFonts w:hint="eastAsia" w:ascii="Times New Roman" w:hAnsi="Times New Roman" w:eastAsia="方正仿宋_GBK" w:cs="Times New Roman"/>
          <w:kern w:val="2"/>
          <w:sz w:val="34"/>
          <w:szCs w:val="36"/>
          <w:lang w:val="en-US" w:eastAsia="zh-CN" w:bidi="ar-SA"/>
        </w:rPr>
      </w:pPr>
      <w:bookmarkStart w:id="50" w:name="_Toc15396608"/>
      <w:bookmarkStart w:id="51" w:name="_Toc22787"/>
      <w:bookmarkStart w:id="52" w:name="_Toc15377214"/>
      <w:r>
        <w:rPr>
          <w:rFonts w:hint="eastAsia" w:ascii="Times New Roman" w:hAnsi="Times New Roman" w:eastAsia="方正仿宋_GBK" w:cs="Times New Roman"/>
          <w:kern w:val="2"/>
          <w:sz w:val="34"/>
          <w:szCs w:val="36"/>
          <w:lang w:val="en-US" w:eastAsia="zh-CN" w:bidi="ar-SA"/>
        </w:rPr>
        <w:t>六、一般公共预算财政拨款基本支出决算情况说明</w:t>
      </w:r>
      <w:bookmarkEnd w:id="50"/>
      <w:bookmarkEnd w:id="51"/>
      <w:bookmarkEnd w:id="52"/>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ascii="Times New Roman" w:hAnsi="Times New Roman" w:eastAsia="方正仿宋_GBK"/>
          <w:sz w:val="33"/>
          <w:szCs w:val="32"/>
        </w:rPr>
      </w:pPr>
      <w:r>
        <w:rPr>
          <w:rFonts w:ascii="Times New Roman" w:hAnsi="Times New Roman" w:eastAsia="方正仿宋_GBK"/>
          <w:sz w:val="33"/>
          <w:szCs w:val="32"/>
        </w:rPr>
        <w:t>20</w:t>
      </w:r>
      <w:r>
        <w:rPr>
          <w:rFonts w:hint="eastAsia" w:ascii="Times New Roman" w:hAnsi="Times New Roman" w:eastAsia="方正仿宋_GBK"/>
          <w:sz w:val="33"/>
          <w:szCs w:val="32"/>
        </w:rPr>
        <w:t>21年一般公共预算财政拨款基本支出</w:t>
      </w:r>
      <w:r>
        <w:rPr>
          <w:rFonts w:hint="eastAsia" w:ascii="Times New Roman" w:hAnsi="Times New Roman" w:eastAsia="方正仿宋_GBK"/>
          <w:sz w:val="33"/>
          <w:szCs w:val="32"/>
          <w:lang w:val="en-US" w:eastAsia="zh-CN"/>
        </w:rPr>
        <w:t>726.60</w:t>
      </w:r>
      <w:r>
        <w:rPr>
          <w:rFonts w:hint="eastAsia" w:ascii="Times New Roman" w:hAnsi="Times New Roman" w:eastAsia="方正仿宋_GBK"/>
          <w:sz w:val="33"/>
          <w:szCs w:val="32"/>
        </w:rPr>
        <w:t>万元，其中：</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ascii="仿宋" w:hAnsi="仿宋" w:eastAsia="仿宋"/>
          <w:b/>
          <w:sz w:val="32"/>
          <w:szCs w:val="32"/>
        </w:rPr>
      </w:pPr>
      <w:r>
        <w:rPr>
          <w:rFonts w:hint="eastAsia" w:ascii="Times New Roman" w:hAnsi="Times New Roman" w:eastAsia="方正仿宋_GBK"/>
          <w:sz w:val="33"/>
          <w:szCs w:val="32"/>
        </w:rPr>
        <w:t>人员经费</w:t>
      </w:r>
      <w:r>
        <w:rPr>
          <w:rFonts w:hint="eastAsia" w:ascii="Times New Roman" w:hAnsi="Times New Roman" w:eastAsia="方正仿宋_GBK"/>
          <w:sz w:val="33"/>
          <w:szCs w:val="32"/>
          <w:lang w:val="en-US" w:eastAsia="zh-CN"/>
        </w:rPr>
        <w:t>667.02</w:t>
      </w:r>
      <w:r>
        <w:rPr>
          <w:rFonts w:hint="eastAsia" w:ascii="Times New Roman" w:hAnsi="Times New Roman" w:eastAsia="方正仿宋_GBK"/>
          <w:sz w:val="33"/>
          <w:szCs w:val="32"/>
        </w:rPr>
        <w:t>万元，主要包括：基本工资、津贴补贴、奖金、绩效工资、机关事业单位基本养老保险缴费、职业年金缴费、其他社会保障缴费</w:t>
      </w:r>
      <w:r>
        <w:rPr>
          <w:rFonts w:hint="eastAsia" w:eastAsia="方正仿宋_GBK"/>
          <w:sz w:val="33"/>
          <w:szCs w:val="32"/>
          <w:lang w:eastAsia="zh-CN"/>
        </w:rPr>
        <w:t>、</w:t>
      </w:r>
      <w:r>
        <w:rPr>
          <w:rFonts w:hint="eastAsia" w:ascii="Times New Roman" w:hAnsi="Times New Roman" w:eastAsia="方正仿宋_GBK"/>
          <w:sz w:val="33"/>
          <w:szCs w:val="32"/>
        </w:rPr>
        <w:t>离休费、抚恤金、生活补助、奖励金、住房公积金等。</w:t>
      </w:r>
      <w:r>
        <w:rPr>
          <w:rFonts w:ascii="Times New Roman" w:hAnsi="Times New Roman" w:eastAsia="方正仿宋_GBK"/>
          <w:sz w:val="33"/>
          <w:szCs w:val="32"/>
        </w:rPr>
        <w:br w:type="textWrapping"/>
      </w:r>
      <w:r>
        <w:rPr>
          <w:rFonts w:hint="eastAsia" w:ascii="Times New Roman" w:hAnsi="Times New Roman" w:eastAsia="方正仿宋_GBK"/>
          <w:sz w:val="33"/>
          <w:szCs w:val="32"/>
        </w:rPr>
        <w:t>　　公用经费</w:t>
      </w:r>
      <w:r>
        <w:rPr>
          <w:rFonts w:hint="eastAsia" w:ascii="Times New Roman" w:hAnsi="Times New Roman" w:eastAsia="方正仿宋_GBK"/>
          <w:sz w:val="33"/>
          <w:szCs w:val="32"/>
          <w:lang w:val="en-US" w:eastAsia="zh-CN"/>
        </w:rPr>
        <w:t>59.58</w:t>
      </w:r>
      <w:r>
        <w:rPr>
          <w:rFonts w:hint="eastAsia" w:ascii="Times New Roman" w:hAnsi="Times New Roman" w:eastAsia="方正仿宋_GBK"/>
          <w:sz w:val="33"/>
          <w:szCs w:val="32"/>
        </w:rPr>
        <w:t>万元，主要包括：办公费、印刷费</w:t>
      </w:r>
      <w:r>
        <w:rPr>
          <w:rFonts w:hint="eastAsia" w:ascii="Times New Roman" w:hAnsi="Times New Roman" w:eastAsia="方正仿宋_GBK"/>
          <w:sz w:val="33"/>
          <w:szCs w:val="32"/>
          <w:lang w:eastAsia="zh-CN"/>
        </w:rPr>
        <w:t>、</w:t>
      </w:r>
      <w:r>
        <w:rPr>
          <w:rFonts w:hint="eastAsia" w:ascii="Times New Roman" w:hAnsi="Times New Roman" w:eastAsia="方正仿宋_GBK"/>
          <w:sz w:val="33"/>
          <w:szCs w:val="32"/>
        </w:rPr>
        <w:t>水费、邮电费、差旅费、维修（护）费、租赁费、会议费、公务接待费、劳务费、工会经费、福利费</w:t>
      </w:r>
      <w:r>
        <w:rPr>
          <w:rFonts w:hint="eastAsia" w:ascii="Times New Roman" w:hAnsi="Times New Roman" w:eastAsia="方正仿宋_GBK"/>
          <w:sz w:val="33"/>
          <w:szCs w:val="32"/>
          <w:lang w:eastAsia="zh-CN"/>
        </w:rPr>
        <w:t>、</w:t>
      </w:r>
      <w:r>
        <w:rPr>
          <w:rFonts w:hint="eastAsia" w:ascii="Times New Roman" w:hAnsi="Times New Roman" w:eastAsia="方正仿宋_GBK"/>
          <w:sz w:val="33"/>
          <w:szCs w:val="32"/>
        </w:rPr>
        <w:t>公务用车运行维护</w:t>
      </w:r>
      <w:r>
        <w:rPr>
          <w:rFonts w:hint="eastAsia" w:eastAsia="方正仿宋_GBK"/>
          <w:sz w:val="33"/>
          <w:szCs w:val="32"/>
          <w:lang w:val="en-US" w:eastAsia="zh-CN"/>
        </w:rPr>
        <w:t>费</w:t>
      </w:r>
      <w:r>
        <w:rPr>
          <w:rFonts w:hint="eastAsia" w:ascii="Times New Roman" w:hAnsi="Times New Roman" w:eastAsia="方正仿宋_GBK"/>
          <w:sz w:val="33"/>
          <w:szCs w:val="32"/>
          <w:lang w:eastAsia="zh-CN"/>
        </w:rPr>
        <w:t>、</w:t>
      </w:r>
      <w:r>
        <w:rPr>
          <w:rFonts w:hint="eastAsia" w:ascii="Times New Roman" w:hAnsi="Times New Roman" w:eastAsia="方正仿宋_GBK"/>
          <w:sz w:val="33"/>
          <w:szCs w:val="32"/>
        </w:rPr>
        <w:t>其他交通费、其他商品和服务支出、专用设备购置等。</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1"/>
        <w:rPr>
          <w:rFonts w:hint="eastAsia" w:ascii="Times New Roman" w:hAnsi="Times New Roman" w:eastAsia="方正仿宋_GBK" w:cs="Times New Roman"/>
          <w:kern w:val="2"/>
          <w:sz w:val="33"/>
          <w:szCs w:val="36"/>
          <w:lang w:val="en-US" w:eastAsia="zh-CN" w:bidi="ar-SA"/>
        </w:rPr>
      </w:pPr>
      <w:bookmarkStart w:id="53" w:name="_Toc15396609"/>
      <w:bookmarkStart w:id="54" w:name="_Toc23877"/>
      <w:bookmarkStart w:id="55" w:name="_Toc15377215"/>
      <w:r>
        <w:rPr>
          <w:rFonts w:hint="eastAsia" w:ascii="Times New Roman" w:hAnsi="Times New Roman" w:eastAsia="方正仿宋_GBK" w:cs="Times New Roman"/>
          <w:kern w:val="2"/>
          <w:sz w:val="33"/>
          <w:szCs w:val="36"/>
          <w:lang w:val="en-US" w:eastAsia="zh-CN" w:bidi="ar-SA"/>
        </w:rPr>
        <w:t>七、“三公”经费财政拨款支出决算情况说明</w:t>
      </w:r>
      <w:bookmarkEnd w:id="53"/>
      <w:bookmarkEnd w:id="54"/>
      <w:bookmarkEnd w:id="55"/>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Fonts w:ascii="Times New Roman" w:hAnsi="Times New Roman" w:eastAsia="方正仿宋_GBK"/>
          <w:b/>
          <w:sz w:val="33"/>
          <w:szCs w:val="32"/>
        </w:rPr>
      </w:pPr>
      <w:bookmarkStart w:id="56" w:name="_Toc15377216"/>
      <w:r>
        <w:rPr>
          <w:rFonts w:hint="eastAsia" w:ascii="Times New Roman" w:hAnsi="Times New Roman" w:eastAsia="方正仿宋_GBK"/>
          <w:b/>
          <w:sz w:val="33"/>
          <w:szCs w:val="32"/>
        </w:rPr>
        <w:t>（一）“三公”经费财政拨款支出决算总体情况说明</w:t>
      </w:r>
      <w:bookmarkEnd w:id="56"/>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ascii="Times New Roman" w:hAnsi="Times New Roman" w:eastAsia="方正仿宋_GBK"/>
          <w:b/>
          <w:sz w:val="33"/>
          <w:szCs w:val="32"/>
        </w:rPr>
      </w:pPr>
      <w:r>
        <w:rPr>
          <w:rFonts w:ascii="Times New Roman" w:hAnsi="Times New Roman" w:eastAsia="方正仿宋_GBK"/>
          <w:sz w:val="33"/>
          <w:szCs w:val="32"/>
        </w:rPr>
        <w:t>20</w:t>
      </w:r>
      <w:r>
        <w:rPr>
          <w:rFonts w:hint="eastAsia" w:ascii="Times New Roman" w:hAnsi="Times New Roman" w:eastAsia="方正仿宋_GBK"/>
          <w:sz w:val="33"/>
          <w:szCs w:val="32"/>
        </w:rPr>
        <w:t>21年“三公”经费财政拨款支出决算为</w:t>
      </w:r>
      <w:r>
        <w:rPr>
          <w:rFonts w:hint="eastAsia" w:ascii="Times New Roman" w:hAnsi="Times New Roman" w:eastAsia="方正仿宋_GBK"/>
          <w:sz w:val="33"/>
          <w:szCs w:val="32"/>
          <w:lang w:val="en-US" w:eastAsia="zh-CN"/>
        </w:rPr>
        <w:t>8.38</w:t>
      </w:r>
      <w:r>
        <w:rPr>
          <w:rFonts w:hint="eastAsia" w:ascii="Times New Roman" w:hAnsi="Times New Roman" w:eastAsia="方正仿宋_GBK"/>
          <w:sz w:val="33"/>
          <w:szCs w:val="32"/>
        </w:rPr>
        <w:t>万元，完成预算</w:t>
      </w:r>
      <w:r>
        <w:rPr>
          <w:rFonts w:hint="eastAsia" w:ascii="Times New Roman" w:hAnsi="Times New Roman" w:eastAsia="方正仿宋_GBK"/>
          <w:sz w:val="33"/>
          <w:szCs w:val="32"/>
          <w:lang w:val="en-US" w:eastAsia="zh-CN"/>
        </w:rPr>
        <w:t>100</w:t>
      </w:r>
      <w:r>
        <w:rPr>
          <w:rFonts w:ascii="Times New Roman" w:hAnsi="Times New Roman" w:eastAsia="方正仿宋_GBK"/>
          <w:sz w:val="33"/>
          <w:szCs w:val="32"/>
        </w:rPr>
        <w:t>%</w:t>
      </w:r>
      <w:r>
        <w:rPr>
          <w:rFonts w:hint="eastAsia" w:ascii="Times New Roman" w:hAnsi="Times New Roman" w:eastAsia="方正仿宋_GBK"/>
          <w:sz w:val="33"/>
          <w:szCs w:val="32"/>
        </w:rPr>
        <w:t>，决算数与预算数持平。</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outlineLvl w:val="9"/>
        <w:rPr>
          <w:rFonts w:ascii="Times New Roman" w:hAnsi="Times New Roman" w:eastAsia="方正仿宋_GBK"/>
          <w:b/>
          <w:sz w:val="33"/>
          <w:szCs w:val="32"/>
        </w:rPr>
      </w:pPr>
      <w:bookmarkStart w:id="57" w:name="_Toc15377217"/>
      <w:r>
        <w:rPr>
          <w:rFonts w:hint="eastAsia" w:ascii="Times New Roman" w:hAnsi="Times New Roman" w:eastAsia="方正仿宋_GBK"/>
          <w:b/>
          <w:sz w:val="33"/>
          <w:szCs w:val="32"/>
        </w:rPr>
        <w:t>（二）“三公”经费财政拨款支出决算具体情况说明</w:t>
      </w:r>
      <w:bookmarkEnd w:id="57"/>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outlineLvl w:val="9"/>
        <w:rPr>
          <w:rFonts w:hint="eastAsia" w:ascii="Times New Roman" w:hAnsi="Times New Roman" w:eastAsia="方正仿宋_GBK"/>
          <w:sz w:val="33"/>
          <w:szCs w:val="32"/>
        </w:rPr>
      </w:pPr>
      <w:r>
        <w:rPr>
          <w:rFonts w:ascii="Times New Roman" w:hAnsi="Times New Roman" w:eastAsia="方正仿宋_GBK"/>
          <w:sz w:val="33"/>
          <w:szCs w:val="32"/>
        </w:rPr>
        <w:t>20</w:t>
      </w:r>
      <w:r>
        <w:rPr>
          <w:rFonts w:hint="eastAsia" w:ascii="Times New Roman" w:hAnsi="Times New Roman" w:eastAsia="方正仿宋_GBK"/>
          <w:sz w:val="33"/>
          <w:szCs w:val="32"/>
        </w:rPr>
        <w:t>21年“三公”经费财政拨款支出决算中，因公出国（境）费支出决算</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0</w:t>
      </w:r>
      <w:r>
        <w:rPr>
          <w:rFonts w:ascii="Times New Roman" w:hAnsi="Times New Roman" w:eastAsia="方正仿宋_GBK"/>
          <w:sz w:val="33"/>
          <w:szCs w:val="32"/>
        </w:rPr>
        <w:t>%</w:t>
      </w:r>
      <w:r>
        <w:rPr>
          <w:rFonts w:hint="eastAsia" w:ascii="Times New Roman" w:hAnsi="Times New Roman" w:eastAsia="方正仿宋_GBK"/>
          <w:sz w:val="33"/>
          <w:szCs w:val="32"/>
        </w:rPr>
        <w:t>；公务用车购置及运行维护费支出决算</w:t>
      </w:r>
      <w:r>
        <w:rPr>
          <w:rFonts w:hint="eastAsia" w:ascii="Times New Roman" w:hAnsi="Times New Roman" w:eastAsia="方正仿宋_GBK"/>
          <w:sz w:val="33"/>
          <w:szCs w:val="32"/>
          <w:lang w:val="en-US" w:eastAsia="zh-CN"/>
        </w:rPr>
        <w:t>7.78</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92.84</w:t>
      </w:r>
      <w:r>
        <w:rPr>
          <w:rFonts w:ascii="Times New Roman" w:hAnsi="Times New Roman" w:eastAsia="方正仿宋_GBK"/>
          <w:sz w:val="33"/>
          <w:szCs w:val="32"/>
        </w:rPr>
        <w:t>%</w:t>
      </w:r>
      <w:r>
        <w:rPr>
          <w:rFonts w:hint="eastAsia" w:ascii="Times New Roman" w:hAnsi="Times New Roman" w:eastAsia="方正仿宋_GBK"/>
          <w:sz w:val="33"/>
          <w:szCs w:val="32"/>
        </w:rPr>
        <w:t>；公务接待费支出决算</w:t>
      </w:r>
      <w:r>
        <w:rPr>
          <w:rFonts w:hint="eastAsia" w:ascii="Times New Roman" w:hAnsi="Times New Roman" w:eastAsia="方正仿宋_GBK"/>
          <w:sz w:val="33"/>
          <w:szCs w:val="32"/>
          <w:lang w:val="en-US" w:eastAsia="zh-CN"/>
        </w:rPr>
        <w:t>0.6</w:t>
      </w:r>
      <w:r>
        <w:rPr>
          <w:rFonts w:hint="eastAsia" w:ascii="Times New Roman" w:hAnsi="Times New Roman" w:eastAsia="方正仿宋_GBK"/>
          <w:sz w:val="33"/>
          <w:szCs w:val="32"/>
        </w:rPr>
        <w:t>万元，占</w:t>
      </w:r>
      <w:r>
        <w:rPr>
          <w:rFonts w:hint="eastAsia" w:ascii="Times New Roman" w:hAnsi="Times New Roman" w:eastAsia="方正仿宋_GBK"/>
          <w:sz w:val="33"/>
          <w:szCs w:val="32"/>
          <w:lang w:val="en-US" w:eastAsia="zh-CN"/>
        </w:rPr>
        <w:t>7.16</w:t>
      </w:r>
      <w:r>
        <w:rPr>
          <w:rFonts w:ascii="Times New Roman" w:hAnsi="Times New Roman" w:eastAsia="方正仿宋_GBK"/>
          <w:sz w:val="33"/>
          <w:szCs w:val="32"/>
        </w:rPr>
        <w:t>%</w:t>
      </w:r>
      <w:r>
        <w:rPr>
          <w:rFonts w:hint="eastAsia" w:ascii="Times New Roman" w:hAnsi="Times New Roman" w:eastAsia="方正仿宋_GBK"/>
          <w:sz w:val="33"/>
          <w:szCs w:val="32"/>
        </w:rPr>
        <w:t>。具体情况如下：</w:t>
      </w:r>
    </w:p>
    <w:p>
      <w:pPr>
        <w:pStyle w:val="6"/>
      </w:pPr>
      <w:r>
        <w:drawing>
          <wp:inline distT="0" distB="0" distL="114300" distR="114300">
            <wp:extent cx="5268595" cy="2740660"/>
            <wp:effectExtent l="4445" t="4445" r="22860" b="17145"/>
            <wp:docPr id="3155"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keepNext w:val="0"/>
        <w:keepLines w:val="0"/>
        <w:pageBreakBefore w:val="0"/>
        <w:kinsoku/>
        <w:wordWrap/>
        <w:overflowPunct/>
        <w:topLinePunct w:val="0"/>
        <w:bidi w:val="0"/>
        <w:snapToGrid/>
        <w:spacing w:line="240" w:lineRule="auto"/>
        <w:ind w:firstLine="663" w:firstLineChars="200"/>
        <w:jc w:val="both"/>
        <w:textAlignment w:val="auto"/>
        <w:outlineLvl w:val="9"/>
        <w:rPr>
          <w:rFonts w:ascii="Times New Roman" w:hAnsi="Times New Roman" w:eastAsia="方正仿宋_GBK"/>
          <w:b/>
          <w:bCs/>
          <w:color w:val="000000"/>
          <w:sz w:val="33"/>
          <w:szCs w:val="32"/>
        </w:rPr>
      </w:pPr>
      <w:bookmarkStart w:id="58" w:name="_Toc15377218"/>
      <w:bookmarkStart w:id="59" w:name="_Toc15396610"/>
      <w:r>
        <w:rPr>
          <w:rFonts w:ascii="Times New Roman" w:hAnsi="Times New Roman" w:eastAsia="方正仿宋_GBK" w:cs="仿宋_GB2312"/>
          <w:b/>
          <w:bCs/>
          <w:color w:val="000000"/>
          <w:sz w:val="33"/>
          <w:szCs w:val="32"/>
        </w:rPr>
        <w:t>1.</w:t>
      </w:r>
      <w:r>
        <w:rPr>
          <w:rFonts w:hint="eastAsia" w:ascii="Times New Roman" w:hAnsi="Times New Roman" w:eastAsia="方正仿宋_GBK" w:cs="仿宋_GB2312"/>
          <w:b/>
          <w:bCs/>
          <w:color w:val="000000"/>
          <w:sz w:val="33"/>
          <w:szCs w:val="32"/>
        </w:rPr>
        <w:t>因公出国（境）经费支出</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万元，</w:t>
      </w:r>
      <w:r>
        <w:rPr>
          <w:rStyle w:val="17"/>
          <w:rFonts w:hint="eastAsia" w:ascii="Times New Roman" w:hAnsi="Times New Roman" w:eastAsia="方正仿宋_GBK" w:cs="仿宋"/>
          <w:b w:val="0"/>
          <w:bCs w:val="0"/>
          <w:color w:val="000000"/>
          <w:sz w:val="33"/>
          <w:szCs w:val="32"/>
        </w:rPr>
        <w:t>完成预算</w:t>
      </w:r>
      <w:r>
        <w:rPr>
          <w:rStyle w:val="17"/>
          <w:rFonts w:ascii="Times New Roman" w:hAnsi="Times New Roman" w:eastAsia="方正仿宋_GBK" w:cs="仿宋"/>
          <w:b w:val="0"/>
          <w:bCs w:val="0"/>
          <w:color w:val="000000"/>
          <w:sz w:val="33"/>
          <w:szCs w:val="32"/>
        </w:rPr>
        <w:t>0%</w:t>
      </w:r>
      <w:r>
        <w:rPr>
          <w:rStyle w:val="17"/>
          <w:rFonts w:hint="eastAsia" w:ascii="Times New Roman" w:hAnsi="Times New Roman" w:eastAsia="方正仿宋_GBK" w:cs="仿宋"/>
          <w:b w:val="0"/>
          <w:bCs w:val="0"/>
          <w:color w:val="000000"/>
          <w:sz w:val="33"/>
          <w:szCs w:val="32"/>
        </w:rPr>
        <w:t>。</w:t>
      </w:r>
      <w:r>
        <w:rPr>
          <w:rFonts w:hint="eastAsia" w:ascii="Times New Roman" w:hAnsi="Times New Roman" w:eastAsia="方正仿宋_GBK" w:cs="仿宋_GB2312"/>
          <w:color w:val="000000"/>
          <w:sz w:val="33"/>
          <w:szCs w:val="32"/>
        </w:rPr>
        <w:t>全年安排因公出国（境）团组</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次，出国（境）</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人。因公出国（境）支出决算比</w:t>
      </w:r>
      <w:r>
        <w:rPr>
          <w:rFonts w:hint="eastAsia" w:ascii="Times New Roman" w:hAnsi="Times New Roman" w:eastAsia="方正仿宋_GBK" w:cs="仿宋_GB2312"/>
          <w:color w:val="000000"/>
          <w:sz w:val="33"/>
          <w:szCs w:val="32"/>
          <w:lang w:val="en-US" w:eastAsia="zh-CN"/>
        </w:rPr>
        <w:t>2020</w:t>
      </w:r>
      <w:r>
        <w:rPr>
          <w:rFonts w:hint="eastAsia" w:ascii="Times New Roman" w:hAnsi="Times New Roman" w:eastAsia="方正仿宋_GBK" w:cs="仿宋_GB2312"/>
          <w:color w:val="000000"/>
          <w:sz w:val="33"/>
          <w:szCs w:val="32"/>
        </w:rPr>
        <w:t>年无增减变动。主要原因是我单位无因公出国（境）支出。</w:t>
      </w:r>
    </w:p>
    <w:p>
      <w:pPr>
        <w:keepNext w:val="0"/>
        <w:keepLines w:val="0"/>
        <w:pageBreakBefore w:val="0"/>
        <w:kinsoku/>
        <w:wordWrap/>
        <w:overflowPunct/>
        <w:topLinePunct w:val="0"/>
        <w:bidi w:val="0"/>
        <w:snapToGrid/>
        <w:spacing w:line="240" w:lineRule="auto"/>
        <w:ind w:firstLine="663" w:firstLineChars="200"/>
        <w:jc w:val="both"/>
        <w:textAlignment w:val="auto"/>
        <w:outlineLvl w:val="9"/>
        <w:rPr>
          <w:rFonts w:ascii="Times New Roman" w:hAnsi="Times New Roman" w:eastAsia="方正仿宋_GBK"/>
          <w:color w:val="000000"/>
          <w:sz w:val="33"/>
          <w:szCs w:val="32"/>
        </w:rPr>
      </w:pPr>
      <w:r>
        <w:rPr>
          <w:rFonts w:ascii="Times New Roman" w:hAnsi="Times New Roman" w:eastAsia="方正仿宋_GBK" w:cs="仿宋_GB2312"/>
          <w:b/>
          <w:bCs/>
          <w:color w:val="000000"/>
          <w:sz w:val="33"/>
          <w:szCs w:val="32"/>
        </w:rPr>
        <w:t>2.</w:t>
      </w:r>
      <w:r>
        <w:rPr>
          <w:rFonts w:hint="eastAsia" w:ascii="Times New Roman" w:hAnsi="Times New Roman" w:eastAsia="方正仿宋_GBK" w:cs="仿宋_GB2312"/>
          <w:b/>
          <w:bCs/>
          <w:color w:val="000000"/>
          <w:sz w:val="33"/>
          <w:szCs w:val="32"/>
        </w:rPr>
        <w:t>公务用车购置及运行维护费支出</w:t>
      </w:r>
      <w:r>
        <w:rPr>
          <w:rFonts w:hint="eastAsia" w:ascii="Times New Roman" w:hAnsi="Times New Roman" w:eastAsia="方正仿宋_GBK" w:cs="仿宋_GB2312"/>
          <w:color w:val="000000"/>
          <w:sz w:val="33"/>
          <w:szCs w:val="32"/>
          <w:lang w:val="en-US" w:eastAsia="zh-CN"/>
        </w:rPr>
        <w:t>7.78</w:t>
      </w:r>
      <w:r>
        <w:rPr>
          <w:rFonts w:hint="eastAsia" w:ascii="Times New Roman" w:hAnsi="Times New Roman" w:eastAsia="方正仿宋_GBK" w:cs="仿宋_GB2312"/>
          <w:color w:val="000000"/>
          <w:sz w:val="33"/>
          <w:szCs w:val="32"/>
        </w:rPr>
        <w:t>万元</w:t>
      </w:r>
      <w:r>
        <w:rPr>
          <w:rFonts w:hint="eastAsia" w:eastAsia="方正仿宋_GBK" w:cs="仿宋_GB2312"/>
          <w:color w:val="000000"/>
          <w:sz w:val="33"/>
          <w:szCs w:val="32"/>
          <w:lang w:eastAsia="zh-CN"/>
        </w:rPr>
        <w:t>，</w:t>
      </w:r>
      <w:r>
        <w:rPr>
          <w:rStyle w:val="17"/>
          <w:rFonts w:hint="eastAsia" w:ascii="Times New Roman" w:hAnsi="Times New Roman" w:eastAsia="方正仿宋_GBK" w:cs="仿宋"/>
          <w:b w:val="0"/>
          <w:bCs w:val="0"/>
          <w:color w:val="000000"/>
          <w:sz w:val="33"/>
          <w:szCs w:val="32"/>
        </w:rPr>
        <w:t>完成预算</w:t>
      </w:r>
      <w:r>
        <w:rPr>
          <w:rStyle w:val="17"/>
          <w:rFonts w:hint="eastAsia" w:ascii="Times New Roman" w:hAnsi="Times New Roman" w:eastAsia="方正仿宋_GBK" w:cs="仿宋"/>
          <w:b w:val="0"/>
          <w:bCs w:val="0"/>
          <w:color w:val="000000"/>
          <w:sz w:val="33"/>
          <w:szCs w:val="32"/>
          <w:lang w:val="en-US" w:eastAsia="zh-CN"/>
        </w:rPr>
        <w:t>10</w:t>
      </w:r>
      <w:r>
        <w:rPr>
          <w:rStyle w:val="17"/>
          <w:rFonts w:ascii="Times New Roman" w:hAnsi="Times New Roman" w:eastAsia="方正仿宋_GBK" w:cs="仿宋"/>
          <w:b w:val="0"/>
          <w:bCs w:val="0"/>
          <w:color w:val="000000"/>
          <w:sz w:val="33"/>
          <w:szCs w:val="32"/>
        </w:rPr>
        <w:t>0%</w:t>
      </w:r>
      <w:r>
        <w:rPr>
          <w:rStyle w:val="17"/>
          <w:rFonts w:hint="eastAsia" w:ascii="Times New Roman" w:hAnsi="Times New Roman" w:eastAsia="方正仿宋_GBK" w:cs="仿宋"/>
          <w:b w:val="0"/>
          <w:bCs w:val="0"/>
          <w:color w:val="000000"/>
          <w:sz w:val="33"/>
          <w:szCs w:val="32"/>
        </w:rPr>
        <w:t>。</w:t>
      </w:r>
      <w:r>
        <w:rPr>
          <w:rFonts w:hint="eastAsia" w:ascii="Times New Roman" w:hAnsi="Times New Roman" w:eastAsia="方正仿宋_GBK" w:cs="仿宋_GB2312"/>
          <w:color w:val="000000"/>
          <w:sz w:val="33"/>
          <w:szCs w:val="32"/>
        </w:rPr>
        <w:t>公务用车购置及运行维护费支出决算比</w:t>
      </w:r>
      <w:r>
        <w:rPr>
          <w:rFonts w:hint="eastAsia" w:ascii="Times New Roman" w:hAnsi="Times New Roman" w:eastAsia="方正仿宋_GBK" w:cs="仿宋_GB2312"/>
          <w:color w:val="000000"/>
          <w:sz w:val="33"/>
          <w:szCs w:val="32"/>
          <w:lang w:val="en-US" w:eastAsia="zh-CN"/>
        </w:rPr>
        <w:t>2020</w:t>
      </w:r>
      <w:r>
        <w:rPr>
          <w:rFonts w:hint="eastAsia" w:ascii="Times New Roman" w:hAnsi="Times New Roman" w:eastAsia="方正仿宋_GBK" w:cs="仿宋_GB2312"/>
          <w:color w:val="000000"/>
          <w:sz w:val="33"/>
          <w:szCs w:val="32"/>
        </w:rPr>
        <w:t>年</w:t>
      </w:r>
      <w:r>
        <w:rPr>
          <w:rFonts w:hint="eastAsia" w:ascii="Times New Roman" w:hAnsi="Times New Roman" w:eastAsia="方正仿宋_GBK" w:cs="仿宋_GB2312"/>
          <w:color w:val="000000"/>
          <w:sz w:val="33"/>
          <w:szCs w:val="32"/>
          <w:lang w:eastAsia="zh-CN"/>
        </w:rPr>
        <w:t>增加</w:t>
      </w:r>
      <w:r>
        <w:rPr>
          <w:rFonts w:hint="eastAsia" w:ascii="Times New Roman" w:hAnsi="Times New Roman" w:eastAsia="方正仿宋_GBK" w:cs="仿宋_GB2312"/>
          <w:color w:val="000000"/>
          <w:sz w:val="33"/>
          <w:szCs w:val="32"/>
          <w:lang w:val="en-US" w:eastAsia="zh-CN"/>
        </w:rPr>
        <w:t>5.86万元，增长305.21%</w:t>
      </w:r>
      <w:r>
        <w:rPr>
          <w:rFonts w:hint="eastAsia" w:ascii="Times New Roman" w:hAnsi="Times New Roman" w:eastAsia="方正仿宋_GBK" w:cs="仿宋_GB2312"/>
          <w:color w:val="000000"/>
          <w:sz w:val="33"/>
          <w:szCs w:val="32"/>
        </w:rPr>
        <w:t>。</w:t>
      </w:r>
      <w:r>
        <w:rPr>
          <w:rFonts w:hint="eastAsia" w:ascii="Times New Roman" w:hAnsi="Times New Roman" w:eastAsia="方正仿宋_GBK" w:cs="仿宋"/>
          <w:color w:val="000000"/>
          <w:sz w:val="33"/>
          <w:szCs w:val="32"/>
        </w:rPr>
        <w:t>主要变动原因是</w:t>
      </w:r>
      <w:r>
        <w:rPr>
          <w:rFonts w:hint="eastAsia" w:ascii="Times New Roman" w:hAnsi="Times New Roman" w:eastAsia="方正仿宋_GBK" w:cs="仿宋"/>
          <w:color w:val="000000"/>
          <w:sz w:val="33"/>
          <w:szCs w:val="32"/>
          <w:lang w:eastAsia="zh-CN"/>
        </w:rPr>
        <w:t>单位干部考察业务增加，下乡出差等事项相应增多</w:t>
      </w:r>
      <w:r>
        <w:rPr>
          <w:rFonts w:hint="eastAsia" w:ascii="Times New Roman" w:hAnsi="Times New Roman" w:eastAsia="方正仿宋_GBK" w:cs="仿宋"/>
          <w:color w:val="000000"/>
          <w:sz w:val="33"/>
          <w:szCs w:val="32"/>
        </w:rPr>
        <w:t>。</w:t>
      </w:r>
    </w:p>
    <w:p>
      <w:pPr>
        <w:keepNext w:val="0"/>
        <w:keepLines w:val="0"/>
        <w:pageBreakBefore w:val="0"/>
        <w:kinsoku/>
        <w:wordWrap/>
        <w:overflowPunct/>
        <w:topLinePunct w:val="0"/>
        <w:bidi w:val="0"/>
        <w:snapToGrid/>
        <w:spacing w:line="240" w:lineRule="auto"/>
        <w:ind w:firstLine="660" w:firstLineChars="200"/>
        <w:jc w:val="both"/>
        <w:textAlignment w:val="auto"/>
        <w:outlineLvl w:val="9"/>
        <w:rPr>
          <w:rFonts w:hint="eastAsia" w:ascii="Times New Roman" w:hAnsi="Times New Roman" w:eastAsia="方正仿宋_GBK"/>
          <w:color w:val="000000"/>
          <w:sz w:val="33"/>
          <w:szCs w:val="32"/>
          <w:lang w:eastAsia="zh-CN"/>
        </w:rPr>
      </w:pPr>
      <w:r>
        <w:rPr>
          <w:rFonts w:hint="eastAsia" w:ascii="Times New Roman" w:hAnsi="Times New Roman" w:eastAsia="方正仿宋_GBK" w:cs="仿宋_GB2312"/>
          <w:color w:val="000000"/>
          <w:sz w:val="33"/>
          <w:szCs w:val="32"/>
        </w:rPr>
        <w:t>其中：</w:t>
      </w:r>
      <w:r>
        <w:rPr>
          <w:rFonts w:hint="eastAsia" w:ascii="Times New Roman" w:hAnsi="Times New Roman" w:eastAsia="方正仿宋_GBK" w:cs="仿宋_GB2312"/>
          <w:b/>
          <w:bCs/>
          <w:color w:val="000000"/>
          <w:sz w:val="33"/>
          <w:szCs w:val="32"/>
        </w:rPr>
        <w:t>公务用车购置支出</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万元。全年按规定更新购置公务用车</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辆，金额</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元。截至</w:t>
      </w:r>
      <w:r>
        <w:rPr>
          <w:rFonts w:hint="eastAsia" w:ascii="Times New Roman" w:hAnsi="Times New Roman" w:eastAsia="方正仿宋_GBK" w:cs="仿宋_GB2312"/>
          <w:color w:val="000000"/>
          <w:sz w:val="33"/>
          <w:szCs w:val="32"/>
          <w:lang w:eastAsia="zh-CN"/>
        </w:rPr>
        <w:t>202</w:t>
      </w:r>
      <w:r>
        <w:rPr>
          <w:rFonts w:hint="eastAsia" w:ascii="Times New Roman" w:hAnsi="Times New Roman" w:eastAsia="方正仿宋_GBK" w:cs="仿宋_GB2312"/>
          <w:color w:val="000000"/>
          <w:sz w:val="33"/>
          <w:szCs w:val="32"/>
          <w:lang w:val="en-US" w:eastAsia="zh-CN"/>
        </w:rPr>
        <w:t>1</w:t>
      </w:r>
      <w:r>
        <w:rPr>
          <w:rFonts w:hint="eastAsia" w:ascii="Times New Roman" w:hAnsi="Times New Roman" w:eastAsia="方正仿宋_GBK" w:cs="仿宋_GB2312"/>
          <w:color w:val="000000"/>
          <w:sz w:val="33"/>
          <w:szCs w:val="32"/>
        </w:rPr>
        <w:t>年</w:t>
      </w:r>
      <w:r>
        <w:rPr>
          <w:rFonts w:ascii="Times New Roman" w:hAnsi="Times New Roman" w:eastAsia="方正仿宋_GBK" w:cs="仿宋_GB2312"/>
          <w:color w:val="000000"/>
          <w:sz w:val="33"/>
          <w:szCs w:val="32"/>
        </w:rPr>
        <w:t>12</w:t>
      </w:r>
      <w:r>
        <w:rPr>
          <w:rFonts w:hint="eastAsia" w:ascii="Times New Roman" w:hAnsi="Times New Roman" w:eastAsia="方正仿宋_GBK" w:cs="仿宋_GB2312"/>
          <w:color w:val="000000"/>
          <w:sz w:val="33"/>
          <w:szCs w:val="32"/>
        </w:rPr>
        <w:t>月底，单位共有公务用车</w:t>
      </w:r>
      <w:r>
        <w:rPr>
          <w:rFonts w:hint="eastAsia" w:ascii="Times New Roman" w:hAnsi="Times New Roman" w:eastAsia="方正仿宋_GBK" w:cs="仿宋_GB2312"/>
          <w:color w:val="000000"/>
          <w:sz w:val="33"/>
          <w:szCs w:val="32"/>
          <w:lang w:val="en-US" w:eastAsia="zh-CN"/>
        </w:rPr>
        <w:t>2</w:t>
      </w:r>
      <w:r>
        <w:rPr>
          <w:rFonts w:hint="eastAsia" w:ascii="Times New Roman" w:hAnsi="Times New Roman" w:eastAsia="方正仿宋_GBK" w:cs="仿宋_GB2312"/>
          <w:color w:val="000000"/>
          <w:sz w:val="33"/>
          <w:szCs w:val="32"/>
        </w:rPr>
        <w:t>辆，其中：</w:t>
      </w:r>
      <w:r>
        <w:rPr>
          <w:rFonts w:hint="eastAsia" w:ascii="Times New Roman" w:hAnsi="Times New Roman" w:eastAsia="方正仿宋_GBK" w:cs="仿宋_GB2312"/>
          <w:color w:val="000000"/>
          <w:sz w:val="33"/>
          <w:szCs w:val="32"/>
          <w:lang w:val="en-US" w:eastAsia="zh-CN"/>
        </w:rPr>
        <w:t>轿车2辆</w:t>
      </w:r>
      <w:r>
        <w:rPr>
          <w:rFonts w:hint="eastAsia" w:ascii="Times New Roman" w:hAnsi="Times New Roman" w:eastAsia="方正仿宋_GBK" w:cs="仿宋_GB2312"/>
          <w:color w:val="000000"/>
          <w:sz w:val="33"/>
          <w:szCs w:val="32"/>
          <w:lang w:eastAsia="zh-CN"/>
        </w:rPr>
        <w:t>。</w:t>
      </w:r>
    </w:p>
    <w:p>
      <w:pPr>
        <w:keepNext w:val="0"/>
        <w:keepLines w:val="0"/>
        <w:pageBreakBefore w:val="0"/>
        <w:kinsoku/>
        <w:wordWrap/>
        <w:overflowPunct/>
        <w:topLinePunct w:val="0"/>
        <w:bidi w:val="0"/>
        <w:snapToGrid/>
        <w:spacing w:line="240" w:lineRule="auto"/>
        <w:ind w:firstLine="663" w:firstLineChars="200"/>
        <w:jc w:val="both"/>
        <w:textAlignment w:val="auto"/>
        <w:outlineLvl w:val="9"/>
        <w:rPr>
          <w:rFonts w:ascii="Times New Roman" w:hAnsi="Times New Roman" w:eastAsia="方正仿宋_GBK"/>
          <w:color w:val="000000"/>
          <w:sz w:val="33"/>
          <w:szCs w:val="32"/>
        </w:rPr>
      </w:pPr>
      <w:r>
        <w:rPr>
          <w:rFonts w:hint="eastAsia" w:ascii="Times New Roman" w:hAnsi="Times New Roman" w:eastAsia="方正仿宋_GBK" w:cs="仿宋_GB2312"/>
          <w:b/>
          <w:bCs/>
          <w:color w:val="000000"/>
          <w:sz w:val="33"/>
          <w:szCs w:val="32"/>
        </w:rPr>
        <w:t>公务用车运行维护费支出</w:t>
      </w:r>
      <w:r>
        <w:rPr>
          <w:rFonts w:hint="eastAsia" w:ascii="Times New Roman" w:hAnsi="Times New Roman" w:eastAsia="方正仿宋_GBK" w:cs="仿宋_GB2312"/>
          <w:color w:val="000000"/>
          <w:sz w:val="33"/>
          <w:szCs w:val="32"/>
          <w:lang w:val="en-US" w:eastAsia="zh-CN"/>
        </w:rPr>
        <w:t>7.78</w:t>
      </w:r>
      <w:r>
        <w:rPr>
          <w:rFonts w:hint="eastAsia" w:ascii="Times New Roman" w:hAnsi="Times New Roman" w:eastAsia="方正仿宋_GBK" w:cs="仿宋_GB2312"/>
          <w:color w:val="000000"/>
          <w:sz w:val="33"/>
          <w:szCs w:val="32"/>
        </w:rPr>
        <w:t>万元。主要用于</w:t>
      </w:r>
      <w:r>
        <w:rPr>
          <w:rFonts w:hint="eastAsia" w:ascii="Times New Roman" w:hAnsi="Times New Roman" w:eastAsia="方正仿宋_GBK" w:cs="仿宋_GB2312"/>
          <w:color w:val="000000"/>
          <w:sz w:val="33"/>
          <w:szCs w:val="32"/>
          <w:lang w:eastAsia="zh-CN"/>
        </w:rPr>
        <w:t>出差下乡检查工作</w:t>
      </w:r>
      <w:r>
        <w:rPr>
          <w:rFonts w:hint="eastAsia" w:ascii="Times New Roman" w:hAnsi="Times New Roman" w:eastAsia="方正仿宋_GBK" w:cs="仿宋_GB2312"/>
          <w:color w:val="000000"/>
          <w:sz w:val="33"/>
          <w:szCs w:val="32"/>
        </w:rPr>
        <w:t>所需的公务用车燃料费、维修费、过路过桥费、保险费等支出。</w:t>
      </w:r>
      <w:r>
        <w:rPr>
          <w:rFonts w:hint="eastAsia" w:ascii="Times New Roman" w:hAnsi="Times New Roman" w:eastAsia="方正仿宋_GBK" w:cs="仿宋_GB2312"/>
          <w:color w:val="000000"/>
          <w:sz w:val="33"/>
          <w:szCs w:val="32"/>
          <w:lang w:eastAsia="zh-CN"/>
        </w:rPr>
        <w:t>公务用车运行维护费</w:t>
      </w:r>
      <w:r>
        <w:rPr>
          <w:rFonts w:hint="eastAsia" w:ascii="Times New Roman" w:hAnsi="Times New Roman" w:eastAsia="方正仿宋_GBK" w:cs="仿宋_GB2312"/>
          <w:color w:val="000000"/>
          <w:sz w:val="33"/>
          <w:szCs w:val="32"/>
        </w:rPr>
        <w:t>支出决算比</w:t>
      </w:r>
      <w:r>
        <w:rPr>
          <w:rFonts w:hint="eastAsia" w:ascii="Times New Roman" w:hAnsi="Times New Roman" w:eastAsia="方正仿宋_GBK" w:cs="仿宋_GB2312"/>
          <w:color w:val="000000"/>
          <w:sz w:val="33"/>
          <w:szCs w:val="32"/>
          <w:lang w:val="en-US" w:eastAsia="zh-CN"/>
        </w:rPr>
        <w:t>2020</w:t>
      </w:r>
      <w:r>
        <w:rPr>
          <w:rFonts w:hint="eastAsia" w:ascii="Times New Roman" w:hAnsi="Times New Roman" w:eastAsia="方正仿宋_GBK" w:cs="仿宋_GB2312"/>
          <w:color w:val="000000"/>
          <w:sz w:val="33"/>
          <w:szCs w:val="32"/>
        </w:rPr>
        <w:t>年</w:t>
      </w:r>
      <w:r>
        <w:rPr>
          <w:rFonts w:hint="eastAsia" w:ascii="Times New Roman" w:hAnsi="Times New Roman" w:eastAsia="方正仿宋_GBK" w:cs="仿宋_GB2312"/>
          <w:color w:val="000000"/>
          <w:sz w:val="33"/>
          <w:szCs w:val="32"/>
          <w:lang w:eastAsia="zh-CN"/>
        </w:rPr>
        <w:t>增加</w:t>
      </w:r>
      <w:r>
        <w:rPr>
          <w:rFonts w:hint="eastAsia" w:ascii="Times New Roman" w:hAnsi="Times New Roman" w:eastAsia="方正仿宋_GBK" w:cs="仿宋_GB2312"/>
          <w:color w:val="000000"/>
          <w:sz w:val="33"/>
          <w:szCs w:val="32"/>
          <w:lang w:val="en-US" w:eastAsia="zh-CN"/>
        </w:rPr>
        <w:t>5.86万元，增长305.21%</w:t>
      </w:r>
      <w:r>
        <w:rPr>
          <w:rFonts w:hint="eastAsia" w:ascii="Times New Roman" w:hAnsi="Times New Roman" w:eastAsia="方正仿宋_GBK" w:cs="仿宋_GB2312"/>
          <w:color w:val="000000"/>
          <w:sz w:val="33"/>
          <w:szCs w:val="32"/>
        </w:rPr>
        <w:t>。</w:t>
      </w:r>
      <w:r>
        <w:rPr>
          <w:rFonts w:hint="eastAsia" w:ascii="Times New Roman" w:hAnsi="Times New Roman" w:eastAsia="方正仿宋_GBK" w:cs="仿宋"/>
          <w:color w:val="000000"/>
          <w:sz w:val="33"/>
          <w:szCs w:val="32"/>
        </w:rPr>
        <w:t>主要变动原因是</w:t>
      </w:r>
      <w:r>
        <w:rPr>
          <w:rFonts w:hint="eastAsia" w:ascii="Times New Roman" w:hAnsi="Times New Roman" w:eastAsia="方正仿宋_GBK" w:cs="仿宋"/>
          <w:color w:val="000000"/>
          <w:sz w:val="33"/>
          <w:szCs w:val="32"/>
          <w:lang w:eastAsia="zh-CN"/>
        </w:rPr>
        <w:t>单位干部考察业务增加，下乡出差等事项相应增多</w:t>
      </w:r>
      <w:r>
        <w:rPr>
          <w:rFonts w:hint="eastAsia" w:ascii="Times New Roman" w:hAnsi="Times New Roman" w:eastAsia="方正仿宋_GBK" w:cs="仿宋"/>
          <w:color w:val="000000"/>
          <w:sz w:val="33"/>
          <w:szCs w:val="32"/>
        </w:rPr>
        <w:t>。</w:t>
      </w:r>
    </w:p>
    <w:p>
      <w:pPr>
        <w:keepNext w:val="0"/>
        <w:keepLines w:val="0"/>
        <w:pageBreakBefore w:val="0"/>
        <w:kinsoku/>
        <w:wordWrap/>
        <w:overflowPunct/>
        <w:topLinePunct w:val="0"/>
        <w:bidi w:val="0"/>
        <w:snapToGrid/>
        <w:spacing w:line="240" w:lineRule="auto"/>
        <w:ind w:firstLine="663" w:firstLineChars="200"/>
        <w:jc w:val="both"/>
        <w:textAlignment w:val="auto"/>
        <w:outlineLvl w:val="9"/>
        <w:rPr>
          <w:rFonts w:ascii="Times New Roman" w:hAnsi="Times New Roman" w:eastAsia="方正仿宋_GBK"/>
          <w:color w:val="000000"/>
          <w:sz w:val="33"/>
          <w:szCs w:val="32"/>
        </w:rPr>
      </w:pPr>
      <w:r>
        <w:rPr>
          <w:rFonts w:ascii="Times New Roman" w:hAnsi="Times New Roman" w:eastAsia="方正仿宋_GBK" w:cs="仿宋_GB2312"/>
          <w:b/>
          <w:bCs/>
          <w:color w:val="000000"/>
          <w:sz w:val="33"/>
          <w:szCs w:val="32"/>
        </w:rPr>
        <w:t>3.</w:t>
      </w:r>
      <w:r>
        <w:rPr>
          <w:rFonts w:hint="eastAsia" w:ascii="Times New Roman" w:hAnsi="Times New Roman" w:eastAsia="方正仿宋_GBK" w:cs="仿宋_GB2312"/>
          <w:b/>
          <w:bCs/>
          <w:color w:val="000000"/>
          <w:sz w:val="33"/>
          <w:szCs w:val="32"/>
        </w:rPr>
        <w:t>公务接待费支出</w:t>
      </w:r>
      <w:r>
        <w:rPr>
          <w:rFonts w:hint="eastAsia" w:ascii="Times New Roman" w:hAnsi="Times New Roman" w:eastAsia="方正仿宋_GBK" w:cs="仿宋_GB2312"/>
          <w:b w:val="0"/>
          <w:bCs w:val="0"/>
          <w:color w:val="000000"/>
          <w:sz w:val="33"/>
          <w:szCs w:val="32"/>
          <w:lang w:val="en-US" w:eastAsia="zh-CN"/>
        </w:rPr>
        <w:t>0.58</w:t>
      </w:r>
      <w:r>
        <w:rPr>
          <w:rFonts w:hint="eastAsia" w:ascii="Times New Roman" w:hAnsi="Times New Roman" w:eastAsia="方正仿宋_GBK" w:cs="仿宋_GB2312"/>
          <w:color w:val="000000"/>
          <w:sz w:val="33"/>
          <w:szCs w:val="32"/>
        </w:rPr>
        <w:t>万元，</w:t>
      </w:r>
      <w:r>
        <w:rPr>
          <w:rStyle w:val="17"/>
          <w:rFonts w:hint="eastAsia" w:ascii="Times New Roman" w:hAnsi="Times New Roman" w:eastAsia="方正仿宋_GBK" w:cs="仿宋"/>
          <w:b w:val="0"/>
          <w:bCs w:val="0"/>
          <w:color w:val="000000"/>
          <w:sz w:val="33"/>
          <w:szCs w:val="32"/>
        </w:rPr>
        <w:t>完成预算</w:t>
      </w:r>
      <w:r>
        <w:rPr>
          <w:rStyle w:val="17"/>
          <w:rFonts w:ascii="Times New Roman" w:hAnsi="Times New Roman" w:eastAsia="方正仿宋_GBK" w:cs="仿宋"/>
          <w:b w:val="0"/>
          <w:bCs w:val="0"/>
          <w:color w:val="000000"/>
          <w:sz w:val="33"/>
          <w:szCs w:val="32"/>
        </w:rPr>
        <w:t>100%</w:t>
      </w:r>
      <w:r>
        <w:rPr>
          <w:rStyle w:val="17"/>
          <w:rFonts w:hint="eastAsia" w:ascii="Times New Roman" w:hAnsi="Times New Roman" w:eastAsia="方正仿宋_GBK" w:cs="仿宋"/>
          <w:b w:val="0"/>
          <w:bCs w:val="0"/>
          <w:color w:val="000000"/>
          <w:sz w:val="33"/>
          <w:szCs w:val="32"/>
        </w:rPr>
        <w:t>。</w:t>
      </w:r>
      <w:r>
        <w:rPr>
          <w:rFonts w:hint="eastAsia" w:ascii="Times New Roman" w:hAnsi="Times New Roman" w:eastAsia="方正仿宋_GBK" w:cs="仿宋_GB2312"/>
          <w:color w:val="000000"/>
          <w:sz w:val="33"/>
          <w:szCs w:val="32"/>
        </w:rPr>
        <w:t>公务接待费支出决算比</w:t>
      </w:r>
      <w:r>
        <w:rPr>
          <w:rFonts w:hint="eastAsia" w:ascii="Times New Roman" w:hAnsi="Times New Roman" w:eastAsia="方正仿宋_GBK" w:cs="仿宋_GB2312"/>
          <w:color w:val="000000"/>
          <w:sz w:val="33"/>
          <w:szCs w:val="32"/>
          <w:lang w:val="en-US" w:eastAsia="zh-CN"/>
        </w:rPr>
        <w:t>2020</w:t>
      </w:r>
      <w:r>
        <w:rPr>
          <w:rFonts w:hint="eastAsia" w:ascii="Times New Roman" w:hAnsi="Times New Roman" w:eastAsia="方正仿宋_GBK" w:cs="仿宋_GB2312"/>
          <w:color w:val="000000"/>
          <w:sz w:val="33"/>
          <w:szCs w:val="32"/>
        </w:rPr>
        <w:t>年</w:t>
      </w:r>
      <w:r>
        <w:rPr>
          <w:rFonts w:hint="eastAsia" w:ascii="Times New Roman" w:hAnsi="Times New Roman" w:eastAsia="方正仿宋_GBK" w:cs="仿宋_GB2312"/>
          <w:color w:val="000000"/>
          <w:sz w:val="33"/>
          <w:szCs w:val="32"/>
          <w:lang w:eastAsia="zh-CN"/>
        </w:rPr>
        <w:t>增加</w:t>
      </w:r>
      <w:r>
        <w:rPr>
          <w:rFonts w:hint="eastAsia" w:ascii="Times New Roman" w:hAnsi="Times New Roman" w:eastAsia="方正仿宋_GBK" w:cs="仿宋_GB2312"/>
          <w:color w:val="000000"/>
          <w:sz w:val="33"/>
          <w:szCs w:val="32"/>
          <w:lang w:val="en-US" w:eastAsia="zh-CN"/>
        </w:rPr>
        <w:t>0.6</w:t>
      </w:r>
      <w:r>
        <w:rPr>
          <w:rFonts w:hint="eastAsia" w:ascii="Times New Roman" w:hAnsi="Times New Roman" w:eastAsia="方正仿宋_GBK" w:cs="仿宋_GB2312"/>
          <w:color w:val="000000"/>
          <w:sz w:val="33"/>
          <w:szCs w:val="32"/>
        </w:rPr>
        <w:t>万元，</w:t>
      </w:r>
      <w:r>
        <w:rPr>
          <w:rFonts w:hint="eastAsia" w:ascii="Times New Roman" w:hAnsi="Times New Roman" w:eastAsia="方正仿宋_GBK" w:cs="仿宋_GB2312"/>
          <w:color w:val="000000"/>
          <w:sz w:val="33"/>
          <w:szCs w:val="32"/>
          <w:lang w:eastAsia="zh-CN"/>
        </w:rPr>
        <w:t>增长</w:t>
      </w:r>
      <w:r>
        <w:rPr>
          <w:rFonts w:hint="eastAsia" w:ascii="Times New Roman" w:hAnsi="Times New Roman" w:eastAsia="方正仿宋_GBK" w:cs="仿宋_GB2312"/>
          <w:color w:val="000000"/>
          <w:sz w:val="33"/>
          <w:szCs w:val="32"/>
          <w:lang w:val="en-US" w:eastAsia="zh-CN"/>
        </w:rPr>
        <w:t>100%</w:t>
      </w:r>
      <w:r>
        <w:rPr>
          <w:rFonts w:hint="eastAsia" w:ascii="Times New Roman" w:hAnsi="Times New Roman" w:eastAsia="方正仿宋_GBK" w:cs="仿宋_GB2312"/>
          <w:color w:val="000000"/>
          <w:sz w:val="33"/>
          <w:szCs w:val="32"/>
        </w:rPr>
        <w:t>。主要原因是经费支出</w:t>
      </w:r>
      <w:r>
        <w:rPr>
          <w:rFonts w:hint="eastAsia" w:ascii="Times New Roman" w:hAnsi="Times New Roman" w:eastAsia="方正仿宋_GBK" w:cs="仿宋_GB2312"/>
          <w:color w:val="000000"/>
          <w:sz w:val="33"/>
          <w:szCs w:val="32"/>
          <w:lang w:eastAsia="zh-CN"/>
        </w:rPr>
        <w:t>增加</w:t>
      </w:r>
      <w:r>
        <w:rPr>
          <w:rFonts w:hint="eastAsia" w:ascii="Times New Roman" w:hAnsi="Times New Roman" w:eastAsia="方正仿宋_GBK" w:cs="仿宋_GB2312"/>
          <w:color w:val="000000"/>
          <w:sz w:val="33"/>
          <w:szCs w:val="32"/>
        </w:rPr>
        <w:t>。其中：</w:t>
      </w:r>
    </w:p>
    <w:p>
      <w:pPr>
        <w:keepNext w:val="0"/>
        <w:keepLines w:val="0"/>
        <w:pageBreakBefore w:val="0"/>
        <w:kinsoku/>
        <w:wordWrap/>
        <w:overflowPunct/>
        <w:topLinePunct w:val="0"/>
        <w:bidi w:val="0"/>
        <w:snapToGrid/>
        <w:spacing w:line="240" w:lineRule="auto"/>
        <w:ind w:firstLine="663" w:firstLineChars="200"/>
        <w:jc w:val="both"/>
        <w:textAlignment w:val="auto"/>
        <w:outlineLvl w:val="9"/>
        <w:rPr>
          <w:rFonts w:hint="eastAsia" w:ascii="Times New Roman" w:hAnsi="Times New Roman" w:eastAsia="方正仿宋_GBK"/>
          <w:sz w:val="33"/>
          <w:szCs w:val="32"/>
          <w:lang w:eastAsia="zh-CN"/>
        </w:rPr>
      </w:pPr>
      <w:r>
        <w:rPr>
          <w:rFonts w:hint="eastAsia" w:ascii="Times New Roman" w:hAnsi="Times New Roman" w:eastAsia="方正仿宋_GBK" w:cs="仿宋"/>
          <w:b/>
          <w:bCs/>
          <w:color w:val="000000"/>
          <w:sz w:val="33"/>
          <w:szCs w:val="32"/>
        </w:rPr>
        <w:t>国内公务接待支出</w:t>
      </w:r>
      <w:r>
        <w:rPr>
          <w:rFonts w:hint="eastAsia" w:ascii="Times New Roman" w:hAnsi="Times New Roman" w:eastAsia="方正仿宋_GBK" w:cs="仿宋"/>
          <w:color w:val="000000"/>
          <w:sz w:val="33"/>
          <w:szCs w:val="32"/>
          <w:lang w:val="en-US" w:eastAsia="zh-CN"/>
        </w:rPr>
        <w:t>0.58</w:t>
      </w:r>
      <w:r>
        <w:rPr>
          <w:rFonts w:hint="eastAsia" w:ascii="Times New Roman" w:hAnsi="Times New Roman" w:eastAsia="方正仿宋_GBK" w:cs="仿宋_GB2312"/>
          <w:color w:val="000000"/>
          <w:sz w:val="33"/>
          <w:szCs w:val="32"/>
        </w:rPr>
        <w:t>万元，主要用于开展业务活动开支的用餐费。</w:t>
      </w:r>
      <w:r>
        <w:rPr>
          <w:rFonts w:hint="eastAsia" w:ascii="Times New Roman" w:hAnsi="Times New Roman" w:eastAsia="方正仿宋_GBK" w:cs="仿宋_GB2312"/>
          <w:color w:val="000000"/>
          <w:sz w:val="33"/>
          <w:szCs w:val="32"/>
          <w:highlight w:val="none"/>
        </w:rPr>
        <w:t>国内公务接待</w:t>
      </w:r>
      <w:r>
        <w:rPr>
          <w:rFonts w:hint="eastAsia" w:ascii="Times New Roman" w:hAnsi="Times New Roman" w:eastAsia="方正仿宋_GBK" w:cs="仿宋_GB2312"/>
          <w:color w:val="000000"/>
          <w:sz w:val="33"/>
          <w:szCs w:val="32"/>
          <w:highlight w:val="none"/>
          <w:lang w:val="en-US" w:eastAsia="zh-CN"/>
        </w:rPr>
        <w:t>3</w:t>
      </w:r>
      <w:r>
        <w:rPr>
          <w:rFonts w:hint="eastAsia" w:ascii="Times New Roman" w:hAnsi="Times New Roman" w:eastAsia="方正仿宋_GBK" w:cs="仿宋_GB2312"/>
          <w:color w:val="000000"/>
          <w:sz w:val="33"/>
          <w:szCs w:val="32"/>
          <w:highlight w:val="none"/>
        </w:rPr>
        <w:t>批次，</w:t>
      </w:r>
      <w:r>
        <w:rPr>
          <w:rFonts w:hint="eastAsia" w:ascii="Times New Roman" w:hAnsi="Times New Roman" w:eastAsia="方正仿宋_GBK" w:cs="仿宋_GB2312"/>
          <w:color w:val="000000"/>
          <w:sz w:val="33"/>
          <w:szCs w:val="32"/>
          <w:highlight w:val="none"/>
          <w:lang w:val="en-US" w:eastAsia="zh-CN"/>
        </w:rPr>
        <w:t>23</w:t>
      </w:r>
      <w:r>
        <w:rPr>
          <w:rFonts w:hint="eastAsia" w:ascii="Times New Roman" w:hAnsi="Times New Roman" w:eastAsia="方正仿宋_GBK" w:cs="仿宋_GB2312"/>
          <w:color w:val="000000"/>
          <w:sz w:val="33"/>
          <w:szCs w:val="32"/>
          <w:highlight w:val="none"/>
        </w:rPr>
        <w:t>人次（不包括陪同人员），共计支出</w:t>
      </w:r>
      <w:r>
        <w:rPr>
          <w:rFonts w:hint="eastAsia" w:ascii="Times New Roman" w:hAnsi="Times New Roman" w:eastAsia="方正仿宋_GBK" w:cs="仿宋_GB2312"/>
          <w:color w:val="000000"/>
          <w:sz w:val="33"/>
          <w:szCs w:val="32"/>
          <w:highlight w:val="none"/>
          <w:lang w:val="en-US" w:eastAsia="zh-CN"/>
        </w:rPr>
        <w:t>0.58</w:t>
      </w:r>
      <w:r>
        <w:rPr>
          <w:rFonts w:hint="eastAsia" w:ascii="Times New Roman" w:hAnsi="Times New Roman" w:eastAsia="方正仿宋_GBK" w:cs="仿宋_GB2312"/>
          <w:color w:val="000000"/>
          <w:sz w:val="33"/>
          <w:szCs w:val="32"/>
          <w:highlight w:val="none"/>
        </w:rPr>
        <w:t>万元</w:t>
      </w:r>
      <w:r>
        <w:rPr>
          <w:rFonts w:hint="eastAsia" w:ascii="Times New Roman" w:hAnsi="Times New Roman" w:eastAsia="方正仿宋_GBK" w:cs="仿宋_GB2312"/>
          <w:color w:val="000000"/>
          <w:sz w:val="33"/>
          <w:szCs w:val="32"/>
          <w:highlight w:val="none"/>
          <w:lang w:eastAsia="zh-CN"/>
        </w:rPr>
        <w:t>。</w:t>
      </w:r>
      <w:r>
        <w:rPr>
          <w:rFonts w:hint="eastAsia" w:ascii="Times New Roman" w:hAnsi="Times New Roman" w:eastAsia="方正仿宋_GBK" w:cs="仿宋"/>
          <w:b/>
          <w:bCs/>
          <w:color w:val="000000"/>
          <w:sz w:val="33"/>
          <w:szCs w:val="32"/>
        </w:rPr>
        <w:t>外事接待支出</w:t>
      </w:r>
      <w:r>
        <w:rPr>
          <w:rFonts w:ascii="Times New Roman" w:hAnsi="Times New Roman" w:eastAsia="方正仿宋_GBK" w:cs="仿宋"/>
          <w:color w:val="000000"/>
          <w:sz w:val="33"/>
          <w:szCs w:val="32"/>
        </w:rPr>
        <w:t>0</w:t>
      </w:r>
      <w:r>
        <w:rPr>
          <w:rFonts w:hint="eastAsia" w:ascii="Times New Roman" w:hAnsi="Times New Roman" w:eastAsia="方正仿宋_GBK" w:cs="仿宋_GB2312"/>
          <w:color w:val="000000"/>
          <w:sz w:val="33"/>
          <w:szCs w:val="32"/>
        </w:rPr>
        <w:t>万元</w:t>
      </w:r>
      <w:r>
        <w:rPr>
          <w:rFonts w:hint="eastAsia" w:eastAsia="方正仿宋_GBK" w:cs="仿宋_GB2312"/>
          <w:color w:val="000000"/>
          <w:sz w:val="33"/>
          <w:szCs w:val="32"/>
          <w:lang w:eastAsia="zh-CN"/>
        </w:rPr>
        <w:t>，</w:t>
      </w:r>
      <w:r>
        <w:rPr>
          <w:rFonts w:hint="default" w:ascii="Times New Roman" w:hAnsi="Times New Roman" w:eastAsia="方正仿宋_GBK" w:cs="Times New Roman"/>
          <w:sz w:val="33"/>
          <w:szCs w:val="33"/>
        </w:rPr>
        <w:t>外事接待</w:t>
      </w:r>
      <w:r>
        <w:rPr>
          <w:rFonts w:hint="default" w:ascii="Times New Roman" w:hAnsi="Times New Roman" w:eastAsia="方正仿宋_GBK" w:cs="Times New Roman"/>
          <w:sz w:val="33"/>
          <w:szCs w:val="33"/>
          <w:lang w:val="en-US" w:eastAsia="zh-CN"/>
        </w:rPr>
        <w:t>0</w:t>
      </w:r>
      <w:r>
        <w:rPr>
          <w:rFonts w:hint="default" w:ascii="Times New Roman" w:hAnsi="Times New Roman" w:eastAsia="方正仿宋_GBK" w:cs="Times New Roman"/>
          <w:sz w:val="33"/>
          <w:szCs w:val="33"/>
        </w:rPr>
        <w:t>批次，</w:t>
      </w:r>
      <w:r>
        <w:rPr>
          <w:rFonts w:hint="default" w:ascii="Times New Roman" w:hAnsi="Times New Roman" w:eastAsia="方正仿宋_GBK" w:cs="Times New Roman"/>
          <w:sz w:val="33"/>
          <w:szCs w:val="33"/>
          <w:lang w:val="en-US" w:eastAsia="zh-CN"/>
        </w:rPr>
        <w:t>0</w:t>
      </w:r>
      <w:r>
        <w:rPr>
          <w:rFonts w:hint="default" w:ascii="Times New Roman" w:hAnsi="Times New Roman" w:eastAsia="方正仿宋_GBK" w:cs="Times New Roman"/>
          <w:sz w:val="33"/>
          <w:szCs w:val="33"/>
        </w:rPr>
        <w:t>人</w:t>
      </w:r>
      <w:r>
        <w:rPr>
          <w:rFonts w:hint="eastAsia" w:ascii="Times New Roman" w:hAnsi="Times New Roman" w:eastAsia="方正仿宋_GBK" w:cs="仿宋_GB2312"/>
          <w:color w:val="000000"/>
          <w:sz w:val="33"/>
          <w:szCs w:val="32"/>
          <w:lang w:eastAsia="zh-CN"/>
        </w:rPr>
        <w:t>。</w:t>
      </w:r>
    </w:p>
    <w:p>
      <w:pPr>
        <w:keepNext w:val="0"/>
        <w:keepLines w:val="0"/>
        <w:pageBreakBefore w:val="0"/>
        <w:kinsoku/>
        <w:wordWrap/>
        <w:overflowPunct/>
        <w:topLinePunct w:val="0"/>
        <w:bidi w:val="0"/>
        <w:snapToGrid/>
        <w:spacing w:line="240" w:lineRule="auto"/>
        <w:ind w:firstLine="660" w:firstLineChars="200"/>
        <w:jc w:val="both"/>
        <w:textAlignment w:val="auto"/>
        <w:outlineLvl w:val="1"/>
        <w:rPr>
          <w:rStyle w:val="28"/>
          <w:rFonts w:ascii="Times New Roman" w:hAnsi="Times New Roman" w:eastAsia="方正仿宋_GBK"/>
          <w:sz w:val="34"/>
          <w:szCs w:val="34"/>
        </w:rPr>
      </w:pPr>
      <w:bookmarkStart w:id="60" w:name="_Toc26255"/>
      <w:r>
        <w:rPr>
          <w:rFonts w:hint="eastAsia" w:ascii="Times New Roman" w:hAnsi="Times New Roman" w:eastAsia="方正仿宋_GBK"/>
          <w:sz w:val="33"/>
          <w:szCs w:val="32"/>
        </w:rPr>
        <w:t>八、</w:t>
      </w:r>
      <w:r>
        <w:rPr>
          <w:rStyle w:val="28"/>
          <w:rFonts w:hint="eastAsia" w:ascii="Times New Roman" w:hAnsi="Times New Roman" w:eastAsia="方正仿宋_GBK"/>
          <w:b w:val="0"/>
          <w:sz w:val="34"/>
          <w:szCs w:val="34"/>
        </w:rPr>
        <w:t>政府性基金预算支出决算情况说明</w:t>
      </w:r>
      <w:bookmarkEnd w:id="58"/>
      <w:bookmarkEnd w:id="59"/>
      <w:bookmarkEnd w:id="60"/>
    </w:p>
    <w:p>
      <w:pPr>
        <w:keepNext w:val="0"/>
        <w:keepLines w:val="0"/>
        <w:pageBreakBefore w:val="0"/>
        <w:kinsoku/>
        <w:wordWrap/>
        <w:overflowPunct/>
        <w:topLinePunct w:val="0"/>
        <w:bidi w:val="0"/>
        <w:snapToGrid/>
        <w:spacing w:line="240" w:lineRule="auto"/>
        <w:ind w:firstLine="660" w:firstLineChars="200"/>
        <w:jc w:val="both"/>
        <w:textAlignment w:val="auto"/>
        <w:outlineLvl w:val="9"/>
        <w:rPr>
          <w:rFonts w:ascii="Times New Roman" w:hAnsi="Times New Roman" w:eastAsia="方正仿宋_GBK"/>
          <w:sz w:val="33"/>
          <w:szCs w:val="32"/>
        </w:rPr>
      </w:pPr>
      <w:r>
        <w:rPr>
          <w:rFonts w:ascii="Times New Roman" w:hAnsi="Times New Roman" w:eastAsia="方正仿宋_GBK"/>
          <w:sz w:val="33"/>
          <w:szCs w:val="32"/>
        </w:rPr>
        <w:t>20</w:t>
      </w:r>
      <w:r>
        <w:rPr>
          <w:rFonts w:hint="eastAsia" w:ascii="Times New Roman" w:hAnsi="Times New Roman" w:eastAsia="方正仿宋_GBK"/>
          <w:sz w:val="33"/>
          <w:szCs w:val="32"/>
        </w:rPr>
        <w:t>21年政府性基金预算财政拨款支出</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w:t>
      </w:r>
    </w:p>
    <w:p>
      <w:pPr>
        <w:keepNext w:val="0"/>
        <w:keepLines w:val="0"/>
        <w:pageBreakBefore w:val="0"/>
        <w:numPr>
          <w:ilvl w:val="0"/>
          <w:numId w:val="2"/>
        </w:numPr>
        <w:kinsoku/>
        <w:wordWrap/>
        <w:overflowPunct/>
        <w:topLinePunct w:val="0"/>
        <w:bidi w:val="0"/>
        <w:snapToGrid/>
        <w:spacing w:line="240" w:lineRule="auto"/>
        <w:ind w:firstLine="680" w:firstLineChars="200"/>
        <w:jc w:val="both"/>
        <w:textAlignment w:val="auto"/>
        <w:outlineLvl w:val="1"/>
        <w:rPr>
          <w:rStyle w:val="28"/>
          <w:rFonts w:ascii="Times New Roman" w:hAnsi="Times New Roman" w:eastAsia="方正仿宋_GBK"/>
          <w:b w:val="0"/>
          <w:sz w:val="33"/>
        </w:rPr>
      </w:pPr>
      <w:bookmarkStart w:id="61" w:name="_Toc15377219"/>
      <w:bookmarkStart w:id="62" w:name="_Toc15396611"/>
      <w:bookmarkStart w:id="63" w:name="_Toc4528"/>
      <w:r>
        <w:rPr>
          <w:rStyle w:val="28"/>
          <w:rFonts w:hint="eastAsia" w:ascii="Times New Roman" w:hAnsi="Times New Roman" w:eastAsia="方正仿宋_GBK"/>
          <w:b w:val="0"/>
          <w:sz w:val="34"/>
          <w:szCs w:val="34"/>
        </w:rPr>
        <w:t>国有资本经营预算支出决算情况说明</w:t>
      </w:r>
      <w:bookmarkEnd w:id="61"/>
      <w:bookmarkEnd w:id="62"/>
      <w:bookmarkEnd w:id="63"/>
    </w:p>
    <w:p>
      <w:pPr>
        <w:keepNext w:val="0"/>
        <w:keepLines w:val="0"/>
        <w:pageBreakBefore w:val="0"/>
        <w:kinsoku/>
        <w:wordWrap/>
        <w:overflowPunct/>
        <w:topLinePunct w:val="0"/>
        <w:bidi w:val="0"/>
        <w:snapToGrid/>
        <w:spacing w:line="240" w:lineRule="auto"/>
        <w:ind w:firstLine="660" w:firstLineChars="200"/>
        <w:jc w:val="both"/>
        <w:textAlignment w:val="auto"/>
        <w:outlineLvl w:val="9"/>
        <w:rPr>
          <w:rFonts w:ascii="Times New Roman" w:hAnsi="Times New Roman" w:eastAsia="方正仿宋_GBK" w:cs="方正小标宋简体"/>
          <w:sz w:val="33"/>
          <w:szCs w:val="44"/>
        </w:rPr>
      </w:pPr>
      <w:r>
        <w:rPr>
          <w:rFonts w:ascii="Times New Roman" w:hAnsi="Times New Roman" w:eastAsia="方正仿宋_GBK"/>
          <w:sz w:val="33"/>
          <w:szCs w:val="32"/>
        </w:rPr>
        <w:t>20</w:t>
      </w:r>
      <w:r>
        <w:rPr>
          <w:rFonts w:hint="eastAsia" w:ascii="Times New Roman" w:hAnsi="Times New Roman" w:eastAsia="方正仿宋_GBK"/>
          <w:sz w:val="33"/>
          <w:szCs w:val="32"/>
        </w:rPr>
        <w:t>21年国有资本经营预算财政拨款支出</w:t>
      </w:r>
      <w:r>
        <w:rPr>
          <w:rFonts w:hint="eastAsia" w:ascii="Times New Roman" w:hAnsi="Times New Roman" w:eastAsia="方正仿宋_GBK"/>
          <w:sz w:val="33"/>
          <w:szCs w:val="32"/>
          <w:lang w:val="en-US" w:eastAsia="zh-CN"/>
        </w:rPr>
        <w:t>0</w:t>
      </w:r>
      <w:r>
        <w:rPr>
          <w:rFonts w:hint="eastAsia" w:ascii="Times New Roman" w:hAnsi="Times New Roman" w:eastAsia="方正仿宋_GBK"/>
          <w:sz w:val="33"/>
          <w:szCs w:val="32"/>
        </w:rPr>
        <w:t>万元。</w:t>
      </w:r>
    </w:p>
    <w:p>
      <w:pPr>
        <w:keepNext w:val="0"/>
        <w:keepLines w:val="0"/>
        <w:pageBreakBefore w:val="0"/>
        <w:numPr>
          <w:ilvl w:val="0"/>
          <w:numId w:val="2"/>
        </w:numPr>
        <w:kinsoku/>
        <w:wordWrap/>
        <w:overflowPunct/>
        <w:topLinePunct w:val="0"/>
        <w:bidi w:val="0"/>
        <w:snapToGrid/>
        <w:spacing w:line="240" w:lineRule="auto"/>
        <w:ind w:firstLine="680" w:firstLineChars="200"/>
        <w:jc w:val="both"/>
        <w:textAlignment w:val="auto"/>
        <w:outlineLvl w:val="1"/>
        <w:rPr>
          <w:rStyle w:val="28"/>
          <w:rFonts w:ascii="Times New Roman" w:hAnsi="Times New Roman" w:eastAsia="方正仿宋_GBK"/>
          <w:b w:val="0"/>
          <w:sz w:val="33"/>
        </w:rPr>
      </w:pPr>
      <w:bookmarkStart w:id="64" w:name="_Toc15396612"/>
      <w:bookmarkStart w:id="65" w:name="_Toc24512"/>
      <w:bookmarkStart w:id="66" w:name="_Toc15377221"/>
      <w:r>
        <w:rPr>
          <w:rStyle w:val="28"/>
          <w:rFonts w:hint="eastAsia" w:ascii="Times New Roman" w:hAnsi="Times New Roman" w:eastAsia="方正仿宋_GBK"/>
          <w:b w:val="0"/>
          <w:sz w:val="34"/>
          <w:szCs w:val="34"/>
        </w:rPr>
        <w:t>其他重要事项的情况说明</w:t>
      </w:r>
      <w:bookmarkEnd w:id="64"/>
      <w:bookmarkEnd w:id="65"/>
      <w:bookmarkEnd w:id="66"/>
    </w:p>
    <w:p>
      <w:pPr>
        <w:keepNext w:val="0"/>
        <w:keepLines w:val="0"/>
        <w:pageBreakBefore w:val="0"/>
        <w:kinsoku/>
        <w:wordWrap/>
        <w:overflowPunct/>
        <w:topLinePunct w:val="0"/>
        <w:bidi w:val="0"/>
        <w:snapToGrid/>
        <w:spacing w:line="240" w:lineRule="auto"/>
        <w:ind w:firstLine="663" w:firstLineChars="200"/>
        <w:jc w:val="both"/>
        <w:textAlignment w:val="auto"/>
        <w:outlineLvl w:val="9"/>
        <w:rPr>
          <w:rFonts w:ascii="Times New Roman" w:hAnsi="Times New Roman" w:eastAsia="方正仿宋_GBK"/>
          <w:sz w:val="33"/>
          <w:szCs w:val="32"/>
        </w:rPr>
      </w:pPr>
      <w:bookmarkStart w:id="67" w:name="_Toc15377222"/>
      <w:r>
        <w:rPr>
          <w:rFonts w:hint="eastAsia" w:ascii="Times New Roman" w:hAnsi="Times New Roman" w:eastAsia="方正仿宋_GBK"/>
          <w:b/>
          <w:sz w:val="33"/>
          <w:szCs w:val="32"/>
        </w:rPr>
        <w:t>（一）机关运行经费支出情况</w:t>
      </w:r>
      <w:bookmarkEnd w:id="67"/>
    </w:p>
    <w:p>
      <w:pPr>
        <w:keepNext w:val="0"/>
        <w:keepLines w:val="0"/>
        <w:pageBreakBefore w:val="0"/>
        <w:kinsoku/>
        <w:wordWrap/>
        <w:overflowPunct/>
        <w:topLinePunct w:val="0"/>
        <w:bidi w:val="0"/>
        <w:snapToGrid/>
        <w:spacing w:line="240" w:lineRule="auto"/>
        <w:ind w:firstLine="660" w:firstLineChars="200"/>
        <w:jc w:val="both"/>
        <w:textAlignment w:val="auto"/>
        <w:outlineLvl w:val="9"/>
        <w:rPr>
          <w:rFonts w:ascii="Times New Roman" w:hAnsi="Times New Roman" w:eastAsia="方正仿宋_GBK"/>
          <w:sz w:val="33"/>
          <w:szCs w:val="32"/>
        </w:rPr>
      </w:pPr>
      <w:r>
        <w:rPr>
          <w:rFonts w:ascii="Times New Roman" w:hAnsi="Times New Roman" w:eastAsia="方正仿宋_GBK"/>
          <w:sz w:val="33"/>
          <w:szCs w:val="32"/>
        </w:rPr>
        <w:t>20</w:t>
      </w:r>
      <w:r>
        <w:rPr>
          <w:rFonts w:hint="eastAsia" w:ascii="Times New Roman" w:hAnsi="Times New Roman" w:eastAsia="方正仿宋_GBK"/>
          <w:sz w:val="33"/>
          <w:szCs w:val="32"/>
        </w:rPr>
        <w:t>21年，</w:t>
      </w:r>
      <w:r>
        <w:rPr>
          <w:rFonts w:hint="eastAsia" w:ascii="Times New Roman" w:hAnsi="Times New Roman" w:eastAsia="方正仿宋_GBK"/>
          <w:sz w:val="33"/>
          <w:szCs w:val="32"/>
          <w:lang w:eastAsia="zh-CN"/>
        </w:rPr>
        <w:t>组织部</w:t>
      </w:r>
      <w:r>
        <w:rPr>
          <w:rFonts w:hint="eastAsia" w:ascii="Times New Roman" w:hAnsi="Times New Roman" w:eastAsia="方正仿宋_GBK"/>
          <w:sz w:val="33"/>
          <w:szCs w:val="32"/>
        </w:rPr>
        <w:t>机关运行经费支出</w:t>
      </w:r>
      <w:r>
        <w:rPr>
          <w:rFonts w:hint="eastAsia" w:ascii="Times New Roman" w:hAnsi="Times New Roman" w:eastAsia="方正仿宋_GBK"/>
          <w:sz w:val="33"/>
          <w:szCs w:val="32"/>
          <w:lang w:val="en-US" w:eastAsia="zh-CN"/>
        </w:rPr>
        <w:t>59.58</w:t>
      </w:r>
      <w:r>
        <w:rPr>
          <w:rFonts w:hint="eastAsia" w:ascii="Times New Roman" w:hAnsi="Times New Roman" w:eastAsia="方正仿宋_GBK"/>
          <w:sz w:val="33"/>
          <w:szCs w:val="32"/>
        </w:rPr>
        <w:t>万元，比</w:t>
      </w:r>
      <w:r>
        <w:rPr>
          <w:rFonts w:ascii="Times New Roman" w:hAnsi="Times New Roman" w:eastAsia="方正仿宋_GBK"/>
          <w:sz w:val="33"/>
          <w:szCs w:val="32"/>
        </w:rPr>
        <w:t>20</w:t>
      </w:r>
      <w:r>
        <w:rPr>
          <w:rFonts w:hint="eastAsia" w:ascii="Times New Roman" w:hAnsi="Times New Roman" w:eastAsia="方正仿宋_GBK"/>
          <w:sz w:val="33"/>
          <w:szCs w:val="32"/>
        </w:rPr>
        <w:t>20年增加</w:t>
      </w:r>
      <w:r>
        <w:rPr>
          <w:rFonts w:hint="eastAsia" w:ascii="Times New Roman" w:hAnsi="Times New Roman" w:eastAsia="方正仿宋_GBK"/>
          <w:sz w:val="33"/>
          <w:szCs w:val="32"/>
          <w:lang w:val="en-US" w:eastAsia="zh-CN"/>
        </w:rPr>
        <w:t>31.96</w:t>
      </w:r>
      <w:r>
        <w:rPr>
          <w:rFonts w:hint="eastAsia" w:ascii="Times New Roman" w:hAnsi="Times New Roman" w:eastAsia="方正仿宋_GBK"/>
          <w:sz w:val="33"/>
          <w:szCs w:val="32"/>
        </w:rPr>
        <w:t>万元，增长</w:t>
      </w:r>
      <w:r>
        <w:rPr>
          <w:rFonts w:hint="eastAsia" w:ascii="Times New Roman" w:hAnsi="Times New Roman" w:eastAsia="方正仿宋_GBK"/>
          <w:sz w:val="33"/>
          <w:szCs w:val="32"/>
          <w:lang w:val="en-US" w:eastAsia="zh-CN"/>
        </w:rPr>
        <w:t>119.33</w:t>
      </w:r>
      <w:r>
        <w:rPr>
          <w:rFonts w:ascii="Times New Roman" w:hAnsi="Times New Roman" w:eastAsia="方正仿宋_GBK"/>
          <w:sz w:val="33"/>
          <w:szCs w:val="32"/>
        </w:rPr>
        <w:t>%</w:t>
      </w:r>
      <w:r>
        <w:rPr>
          <w:rFonts w:hint="eastAsia" w:ascii="Times New Roman" w:hAnsi="Times New Roman" w:eastAsia="方正仿宋_GBK"/>
          <w:sz w:val="33"/>
          <w:szCs w:val="32"/>
        </w:rPr>
        <w:t>。主要变动原因是</w:t>
      </w:r>
      <w:r>
        <w:rPr>
          <w:rFonts w:hint="eastAsia" w:ascii="Times New Roman" w:hAnsi="Times New Roman" w:eastAsia="方正仿宋_GBK"/>
          <w:sz w:val="33"/>
          <w:szCs w:val="32"/>
          <w:lang w:eastAsia="zh-CN"/>
        </w:rPr>
        <w:t>关工委支出并入组织部相应支出增加及</w:t>
      </w:r>
      <w:r>
        <w:rPr>
          <w:rFonts w:hint="eastAsia" w:ascii="Times New Roman" w:hAnsi="Times New Roman" w:eastAsia="方正仿宋_GBK"/>
          <w:sz w:val="33"/>
          <w:szCs w:val="32"/>
          <w:lang w:val="en-US" w:eastAsia="zh-CN"/>
        </w:rPr>
        <w:t>2021年单位业务较多经费支出有所增加。</w:t>
      </w:r>
    </w:p>
    <w:p>
      <w:pPr>
        <w:keepNext w:val="0"/>
        <w:keepLines w:val="0"/>
        <w:pageBreakBefore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ascii="Times New Roman" w:hAnsi="Times New Roman" w:eastAsia="方正仿宋_GBK"/>
          <w:b/>
          <w:sz w:val="33"/>
          <w:szCs w:val="32"/>
        </w:rPr>
      </w:pPr>
      <w:bookmarkStart w:id="68" w:name="_Toc15377223"/>
      <w:r>
        <w:rPr>
          <w:rFonts w:hint="eastAsia" w:ascii="Times New Roman" w:hAnsi="Times New Roman" w:eastAsia="方正仿宋_GBK"/>
          <w:b/>
          <w:sz w:val="33"/>
          <w:szCs w:val="32"/>
        </w:rPr>
        <w:t>（二）政府采购支出情况</w:t>
      </w:r>
      <w:bookmarkEnd w:id="68"/>
    </w:p>
    <w:p>
      <w:pPr>
        <w:keepNext w:val="0"/>
        <w:keepLines w:val="0"/>
        <w:pageBreakBefore w:val="0"/>
        <w:kinsoku/>
        <w:wordWrap/>
        <w:overflowPunct/>
        <w:topLinePunct w:val="0"/>
        <w:bidi w:val="0"/>
        <w:snapToGrid/>
        <w:spacing w:line="240" w:lineRule="auto"/>
        <w:ind w:firstLine="660" w:firstLineChars="200"/>
        <w:jc w:val="both"/>
        <w:textAlignment w:val="auto"/>
        <w:outlineLvl w:val="9"/>
        <w:rPr>
          <w:rFonts w:ascii="Times New Roman" w:hAnsi="Times New Roman" w:eastAsia="方正仿宋_GBK"/>
          <w:sz w:val="33"/>
          <w:szCs w:val="32"/>
        </w:rPr>
      </w:pPr>
      <w:r>
        <w:rPr>
          <w:rFonts w:ascii="Times New Roman" w:hAnsi="Times New Roman" w:eastAsia="方正仿宋_GBK"/>
          <w:sz w:val="33"/>
          <w:szCs w:val="32"/>
        </w:rPr>
        <w:t>20</w:t>
      </w:r>
      <w:r>
        <w:rPr>
          <w:rFonts w:hint="eastAsia" w:ascii="Times New Roman" w:hAnsi="Times New Roman" w:eastAsia="方正仿宋_GBK"/>
          <w:sz w:val="33"/>
          <w:szCs w:val="32"/>
        </w:rPr>
        <w:t>21年，</w:t>
      </w:r>
      <w:r>
        <w:rPr>
          <w:rFonts w:hint="eastAsia" w:ascii="Times New Roman" w:hAnsi="Times New Roman" w:eastAsia="方正仿宋_GBK"/>
          <w:sz w:val="33"/>
          <w:szCs w:val="32"/>
          <w:lang w:eastAsia="zh-CN"/>
        </w:rPr>
        <w:t>组织部</w:t>
      </w:r>
      <w:r>
        <w:rPr>
          <w:rFonts w:hint="eastAsia" w:ascii="Times New Roman" w:hAnsi="Times New Roman" w:eastAsia="方正仿宋_GBK"/>
          <w:sz w:val="33"/>
          <w:szCs w:val="32"/>
        </w:rPr>
        <w:t>政府采购支出总额</w:t>
      </w:r>
      <w:r>
        <w:rPr>
          <w:rFonts w:hint="eastAsia" w:ascii="Times New Roman" w:hAnsi="Times New Roman" w:eastAsia="方正仿宋_GBK"/>
          <w:sz w:val="33"/>
          <w:szCs w:val="32"/>
          <w:lang w:val="en-US" w:eastAsia="zh-CN"/>
        </w:rPr>
        <w:t>16.24</w:t>
      </w:r>
      <w:r>
        <w:rPr>
          <w:rFonts w:hint="eastAsia" w:ascii="Times New Roman" w:hAnsi="Times New Roman" w:eastAsia="方正仿宋_GBK"/>
          <w:sz w:val="33"/>
          <w:szCs w:val="32"/>
        </w:rPr>
        <w:t>万元，其中：政府采购货物支出</w:t>
      </w:r>
      <w:r>
        <w:rPr>
          <w:rFonts w:hint="eastAsia" w:ascii="Times New Roman" w:hAnsi="Times New Roman" w:eastAsia="方正仿宋_GBK"/>
          <w:sz w:val="33"/>
          <w:szCs w:val="32"/>
          <w:lang w:val="en-US" w:eastAsia="zh-CN"/>
        </w:rPr>
        <w:t>16.24</w:t>
      </w:r>
      <w:r>
        <w:rPr>
          <w:rFonts w:hint="eastAsia" w:ascii="Times New Roman" w:hAnsi="Times New Roman" w:eastAsia="方正仿宋_GBK"/>
          <w:sz w:val="33"/>
          <w:szCs w:val="32"/>
        </w:rPr>
        <w:t>万元。主要用于</w:t>
      </w:r>
      <w:r>
        <w:rPr>
          <w:rFonts w:hint="eastAsia" w:ascii="Times New Roman" w:hAnsi="Times New Roman" w:eastAsia="方正仿宋_GBK"/>
          <w:sz w:val="33"/>
          <w:szCs w:val="32"/>
          <w:lang w:val="en-US" w:eastAsia="zh-CN"/>
        </w:rPr>
        <w:t>保障</w:t>
      </w:r>
      <w:r>
        <w:rPr>
          <w:rFonts w:hint="eastAsia" w:ascii="Times New Roman" w:hAnsi="Times New Roman" w:eastAsia="方正仿宋_GBK"/>
          <w:sz w:val="33"/>
          <w:szCs w:val="32"/>
        </w:rPr>
        <w:t>组织部村（社区）党组织换届</w:t>
      </w:r>
      <w:r>
        <w:rPr>
          <w:rFonts w:hint="eastAsia" w:ascii="Times New Roman" w:hAnsi="Times New Roman" w:eastAsia="方正仿宋_GBK"/>
          <w:sz w:val="33"/>
          <w:szCs w:val="32"/>
          <w:lang w:val="en-US" w:eastAsia="zh-CN"/>
        </w:rPr>
        <w:t>工作，采购办公设备（电脑、打印机等）</w:t>
      </w:r>
      <w:r>
        <w:rPr>
          <w:rFonts w:hint="eastAsia" w:ascii="Times New Roman" w:hAnsi="Times New Roman" w:eastAsia="方正仿宋_GBK"/>
          <w:sz w:val="33"/>
          <w:szCs w:val="32"/>
        </w:rPr>
        <w:t>。授予中小企业合同金额</w:t>
      </w:r>
      <w:r>
        <w:rPr>
          <w:rFonts w:hint="eastAsia" w:ascii="Times New Roman" w:hAnsi="Times New Roman" w:eastAsia="方正仿宋_GBK"/>
          <w:sz w:val="33"/>
          <w:szCs w:val="32"/>
          <w:lang w:val="en-US" w:eastAsia="zh-CN"/>
        </w:rPr>
        <w:t>16.24</w:t>
      </w:r>
      <w:r>
        <w:rPr>
          <w:rFonts w:hint="eastAsia" w:ascii="Times New Roman" w:hAnsi="Times New Roman" w:eastAsia="方正仿宋_GBK"/>
          <w:sz w:val="33"/>
          <w:szCs w:val="32"/>
        </w:rPr>
        <w:t>万元，占政府采购支出总额的</w:t>
      </w:r>
      <w:r>
        <w:rPr>
          <w:rFonts w:hint="eastAsia" w:ascii="Times New Roman" w:hAnsi="Times New Roman" w:eastAsia="方正仿宋_GBK"/>
          <w:sz w:val="33"/>
          <w:szCs w:val="32"/>
          <w:lang w:val="en-US" w:eastAsia="zh-CN"/>
        </w:rPr>
        <w:t>100</w:t>
      </w:r>
      <w:r>
        <w:rPr>
          <w:rFonts w:ascii="Times New Roman" w:hAnsi="Times New Roman" w:eastAsia="方正仿宋_GBK"/>
          <w:sz w:val="33"/>
          <w:szCs w:val="32"/>
        </w:rPr>
        <w:t>%</w:t>
      </w:r>
      <w:r>
        <w:rPr>
          <w:rFonts w:hint="eastAsia" w:ascii="Times New Roman" w:hAnsi="Times New Roman" w:eastAsia="方正仿宋_GBK"/>
          <w:sz w:val="33"/>
          <w:szCs w:val="32"/>
        </w:rPr>
        <w:t>。</w:t>
      </w:r>
    </w:p>
    <w:p>
      <w:pPr>
        <w:keepNext w:val="0"/>
        <w:keepLines w:val="0"/>
        <w:pageBreakBefore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ascii="Times New Roman" w:hAnsi="Times New Roman" w:eastAsia="方正仿宋_GBK"/>
          <w:b/>
          <w:sz w:val="33"/>
          <w:szCs w:val="32"/>
        </w:rPr>
      </w:pPr>
      <w:bookmarkStart w:id="69" w:name="_Toc15377224"/>
      <w:r>
        <w:rPr>
          <w:rFonts w:hint="eastAsia" w:ascii="Times New Roman" w:hAnsi="Times New Roman" w:eastAsia="方正仿宋_GBK"/>
          <w:b/>
          <w:sz w:val="33"/>
          <w:szCs w:val="32"/>
        </w:rPr>
        <w:t>（三）国有资产占有使用情况</w:t>
      </w:r>
      <w:bookmarkEnd w:id="69"/>
    </w:p>
    <w:p>
      <w:pPr>
        <w:keepNext w:val="0"/>
        <w:keepLines w:val="0"/>
        <w:pageBreakBefore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cs="仿宋_GB2312"/>
          <w:color w:val="000000"/>
          <w:sz w:val="33"/>
          <w:szCs w:val="32"/>
        </w:rPr>
      </w:pPr>
      <w:r>
        <w:rPr>
          <w:rFonts w:hint="eastAsia" w:ascii="Times New Roman" w:hAnsi="Times New Roman" w:eastAsia="方正仿宋_GBK"/>
          <w:sz w:val="33"/>
          <w:szCs w:val="32"/>
        </w:rPr>
        <w:t>截至</w:t>
      </w:r>
      <w:r>
        <w:rPr>
          <w:rFonts w:ascii="Times New Roman" w:hAnsi="Times New Roman" w:eastAsia="方正仿宋_GBK"/>
          <w:sz w:val="33"/>
          <w:szCs w:val="32"/>
        </w:rPr>
        <w:t>20</w:t>
      </w:r>
      <w:r>
        <w:rPr>
          <w:rFonts w:hint="eastAsia" w:ascii="Times New Roman" w:hAnsi="Times New Roman" w:eastAsia="方正仿宋_GBK"/>
          <w:sz w:val="33"/>
          <w:szCs w:val="32"/>
        </w:rPr>
        <w:t>21年</w:t>
      </w:r>
      <w:r>
        <w:rPr>
          <w:rFonts w:ascii="Times New Roman" w:hAnsi="Times New Roman" w:eastAsia="方正仿宋_GBK"/>
          <w:sz w:val="33"/>
          <w:szCs w:val="32"/>
        </w:rPr>
        <w:t>12</w:t>
      </w:r>
      <w:r>
        <w:rPr>
          <w:rFonts w:hint="eastAsia" w:ascii="Times New Roman" w:hAnsi="Times New Roman" w:eastAsia="方正仿宋_GBK"/>
          <w:sz w:val="33"/>
          <w:szCs w:val="32"/>
        </w:rPr>
        <w:t>月</w:t>
      </w:r>
      <w:r>
        <w:rPr>
          <w:rFonts w:ascii="Times New Roman" w:hAnsi="Times New Roman" w:eastAsia="方正仿宋_GBK"/>
          <w:sz w:val="33"/>
          <w:szCs w:val="32"/>
        </w:rPr>
        <w:t>31</w:t>
      </w:r>
      <w:r>
        <w:rPr>
          <w:rFonts w:hint="eastAsia" w:ascii="Times New Roman" w:hAnsi="Times New Roman" w:eastAsia="方正仿宋_GBK"/>
          <w:sz w:val="33"/>
          <w:szCs w:val="32"/>
        </w:rPr>
        <w:t>日，</w:t>
      </w:r>
      <w:r>
        <w:rPr>
          <w:rFonts w:hint="eastAsia" w:ascii="Times New Roman" w:hAnsi="Times New Roman" w:eastAsia="方正仿宋_GBK" w:cs="仿宋_GB2312"/>
          <w:color w:val="000000"/>
          <w:sz w:val="33"/>
          <w:szCs w:val="32"/>
        </w:rPr>
        <w:t>组织部共有车辆</w:t>
      </w:r>
      <w:r>
        <w:rPr>
          <w:rFonts w:hint="eastAsia" w:ascii="Times New Roman" w:hAnsi="Times New Roman" w:eastAsia="方正仿宋_GBK" w:cs="仿宋_GB2312"/>
          <w:color w:val="000000"/>
          <w:sz w:val="33"/>
          <w:szCs w:val="32"/>
          <w:lang w:val="en-US" w:eastAsia="zh-CN"/>
        </w:rPr>
        <w:t>2</w:t>
      </w:r>
      <w:r>
        <w:rPr>
          <w:rFonts w:hint="eastAsia" w:ascii="Times New Roman" w:hAnsi="Times New Roman" w:eastAsia="方正仿宋_GBK" w:cs="仿宋_GB2312"/>
          <w:color w:val="000000"/>
          <w:sz w:val="33"/>
          <w:szCs w:val="32"/>
        </w:rPr>
        <w:t>辆，其中：部级领导干部用车</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辆、一般公务用车</w:t>
      </w:r>
      <w:r>
        <w:rPr>
          <w:rFonts w:hint="eastAsia" w:ascii="Times New Roman" w:hAnsi="Times New Roman" w:eastAsia="方正仿宋_GBK" w:cs="仿宋_GB2312"/>
          <w:color w:val="000000"/>
          <w:sz w:val="33"/>
          <w:szCs w:val="32"/>
          <w:lang w:val="en-US" w:eastAsia="zh-CN"/>
        </w:rPr>
        <w:t>0</w:t>
      </w:r>
      <w:r>
        <w:rPr>
          <w:rFonts w:hint="eastAsia" w:ascii="Times New Roman" w:hAnsi="Times New Roman" w:eastAsia="方正仿宋_GBK" w:cs="仿宋_GB2312"/>
          <w:color w:val="000000"/>
          <w:sz w:val="33"/>
          <w:szCs w:val="32"/>
        </w:rPr>
        <w:t>辆、一般执法执勤用车</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辆、特种专业技术用车</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辆、其他用车</w:t>
      </w:r>
      <w:r>
        <w:rPr>
          <w:rFonts w:hint="eastAsia" w:ascii="Times New Roman" w:hAnsi="Times New Roman" w:eastAsia="方正仿宋_GBK" w:cs="仿宋_GB2312"/>
          <w:color w:val="000000"/>
          <w:sz w:val="33"/>
          <w:szCs w:val="32"/>
          <w:lang w:val="en-US" w:eastAsia="zh-CN"/>
        </w:rPr>
        <w:t>2</w:t>
      </w:r>
      <w:r>
        <w:rPr>
          <w:rFonts w:hint="eastAsia" w:ascii="Times New Roman" w:hAnsi="Times New Roman" w:eastAsia="方正仿宋_GBK" w:cs="仿宋_GB2312"/>
          <w:color w:val="000000"/>
          <w:sz w:val="33"/>
          <w:szCs w:val="32"/>
        </w:rPr>
        <w:t>辆，单价</w:t>
      </w:r>
      <w:r>
        <w:rPr>
          <w:rFonts w:ascii="Times New Roman" w:hAnsi="Times New Roman" w:eastAsia="方正仿宋_GBK" w:cs="仿宋_GB2312"/>
          <w:color w:val="000000"/>
          <w:sz w:val="33"/>
          <w:szCs w:val="32"/>
        </w:rPr>
        <w:t>50</w:t>
      </w:r>
      <w:r>
        <w:rPr>
          <w:rFonts w:hint="eastAsia" w:ascii="Times New Roman" w:hAnsi="Times New Roman" w:eastAsia="方正仿宋_GBK" w:cs="仿宋_GB2312"/>
          <w:color w:val="000000"/>
          <w:sz w:val="33"/>
          <w:szCs w:val="32"/>
        </w:rPr>
        <w:t>万元以上通用设备</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台（套），单价</w:t>
      </w:r>
      <w:r>
        <w:rPr>
          <w:rFonts w:ascii="Times New Roman" w:hAnsi="Times New Roman" w:eastAsia="方正仿宋_GBK" w:cs="仿宋_GB2312"/>
          <w:color w:val="000000"/>
          <w:sz w:val="33"/>
          <w:szCs w:val="32"/>
        </w:rPr>
        <w:t>100</w:t>
      </w:r>
      <w:r>
        <w:rPr>
          <w:rFonts w:hint="eastAsia" w:ascii="Times New Roman" w:hAnsi="Times New Roman" w:eastAsia="方正仿宋_GBK" w:cs="仿宋_GB2312"/>
          <w:color w:val="000000"/>
          <w:sz w:val="33"/>
          <w:szCs w:val="32"/>
        </w:rPr>
        <w:t>万元以上专用设备</w:t>
      </w:r>
      <w:r>
        <w:rPr>
          <w:rFonts w:ascii="Times New Roman" w:hAnsi="Times New Roman" w:eastAsia="方正仿宋_GBK" w:cs="仿宋_GB2312"/>
          <w:color w:val="000000"/>
          <w:sz w:val="33"/>
          <w:szCs w:val="32"/>
        </w:rPr>
        <w:t>0</w:t>
      </w:r>
      <w:r>
        <w:rPr>
          <w:rFonts w:hint="eastAsia" w:ascii="Times New Roman" w:hAnsi="Times New Roman" w:eastAsia="方正仿宋_GBK" w:cs="仿宋_GB2312"/>
          <w:color w:val="000000"/>
          <w:sz w:val="33"/>
          <w:szCs w:val="32"/>
        </w:rPr>
        <w:t>台（套）。</w:t>
      </w:r>
    </w:p>
    <w:p>
      <w:pPr>
        <w:pageBreakBefore w:val="0"/>
        <w:kinsoku/>
        <w:wordWrap/>
        <w:overflowPunct/>
        <w:topLinePunct w:val="0"/>
        <w:autoSpaceDE w:val="0"/>
        <w:autoSpaceDN w:val="0"/>
        <w:bidi w:val="0"/>
        <w:adjustRightInd w:val="0"/>
        <w:spacing w:line="240" w:lineRule="auto"/>
        <w:ind w:left="0" w:leftChars="0" w:right="0" w:firstLine="663" w:firstLineChars="200"/>
        <w:jc w:val="left"/>
        <w:textAlignment w:val="auto"/>
        <w:rPr>
          <w:rFonts w:hint="default" w:ascii="Times New Roman" w:hAnsi="Times New Roman" w:eastAsia="方正仿宋_GBK" w:cs="Times New Roman"/>
          <w:b/>
          <w:sz w:val="33"/>
          <w:szCs w:val="33"/>
        </w:rPr>
      </w:pPr>
      <w:r>
        <w:rPr>
          <w:rFonts w:hint="default" w:ascii="Times New Roman" w:hAnsi="Times New Roman" w:eastAsia="方正仿宋_GBK" w:cs="Times New Roman"/>
          <w:b/>
          <w:sz w:val="33"/>
          <w:szCs w:val="33"/>
        </w:rPr>
        <w:t>（注：数据来源于财决附03表，按部门决算报表填报数据罗列车辆情况。）</w:t>
      </w:r>
    </w:p>
    <w:p>
      <w:pPr>
        <w:keepNext w:val="0"/>
        <w:keepLines w:val="0"/>
        <w:pageBreakBefore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ascii="Times New Roman" w:hAnsi="Times New Roman" w:eastAsia="方正仿宋_GBK"/>
          <w:b/>
          <w:sz w:val="33"/>
          <w:szCs w:val="32"/>
        </w:rPr>
      </w:pPr>
      <w:r>
        <w:rPr>
          <w:rFonts w:hint="eastAsia" w:ascii="Times New Roman" w:hAnsi="Times New Roman" w:eastAsia="方正仿宋_GBK"/>
          <w:b/>
          <w:sz w:val="33"/>
          <w:szCs w:val="32"/>
        </w:rPr>
        <w:t>（四）预算绩效管理情况</w:t>
      </w:r>
    </w:p>
    <w:p>
      <w:pPr>
        <w:keepNext w:val="0"/>
        <w:keepLines w:val="0"/>
        <w:pageBreakBefore w:val="0"/>
        <w:widowControl/>
        <w:kinsoku/>
        <w:wordWrap/>
        <w:overflowPunct/>
        <w:topLinePunct w:val="0"/>
        <w:bidi w:val="0"/>
        <w:snapToGrid/>
        <w:spacing w:line="240" w:lineRule="auto"/>
        <w:ind w:firstLine="660" w:firstLineChars="200"/>
        <w:jc w:val="both"/>
        <w:textAlignment w:val="auto"/>
        <w:outlineLvl w:val="9"/>
        <w:rPr>
          <w:rFonts w:ascii="Times New Roman" w:hAnsi="Times New Roman" w:eastAsia="方正仿宋_GBK"/>
          <w:b/>
          <w:sz w:val="33"/>
          <w:szCs w:val="32"/>
        </w:rPr>
      </w:pPr>
      <w:r>
        <w:rPr>
          <w:rFonts w:hint="eastAsia" w:ascii="Times New Roman" w:hAnsi="Times New Roman" w:eastAsia="方正仿宋_GBK" w:cs="仿宋_GB2312"/>
          <w:sz w:val="33"/>
          <w:szCs w:val="32"/>
          <w:highlight w:val="none"/>
        </w:rPr>
        <w:t>根据预算绩效管理要求，本部门在2021年度预算编制阶段，组织对民主党派及工商联事务项目等10个项目开展了预算事前绩效评估，对10个项目编制了绩效目标，预算执行过程中，选取10个项目开展绩效监控，年终执行完毕后，对5个项目开展了绩效自评。同时，本部门对2021年部门整体开展绩效自评，《2021年中共盐边县委办整体绩效评价报告》见附件（第四部分）。</w:t>
      </w:r>
      <w:r>
        <w:rPr>
          <w:rFonts w:ascii="Times New Roman" w:hAnsi="Times New Roman" w:eastAsia="方正仿宋_GBK"/>
          <w:b/>
          <w:sz w:val="33"/>
          <w:szCs w:val="32"/>
        </w:rPr>
        <w:br w:type="page"/>
      </w:r>
    </w:p>
    <w:p>
      <w:pPr>
        <w:numPr>
          <w:ilvl w:val="0"/>
          <w:numId w:val="3"/>
        </w:numPr>
        <w:spacing w:line="600" w:lineRule="exact"/>
        <w:ind w:firstLine="660" w:firstLineChars="150"/>
        <w:jc w:val="center"/>
        <w:outlineLvl w:val="0"/>
        <w:rPr>
          <w:rStyle w:val="33"/>
          <w:rFonts w:ascii="黑体" w:hAnsi="黑体" w:eastAsia="黑体"/>
          <w:b w:val="0"/>
          <w:bCs w:val="0"/>
        </w:rPr>
      </w:pPr>
      <w:bookmarkStart w:id="70" w:name="_Toc15377225"/>
      <w:bookmarkStart w:id="71" w:name="_Toc15396613"/>
      <w:bookmarkStart w:id="72" w:name="_Toc52180096"/>
      <w:bookmarkStart w:id="73" w:name="_Toc23010"/>
      <w:bookmarkStart w:id="74" w:name="_Toc15377226"/>
      <w:r>
        <w:rPr>
          <w:rFonts w:hint="eastAsia" w:ascii="黑体" w:hAnsi="黑体" w:eastAsia="黑体" w:cs="黑体"/>
          <w:color w:val="000000"/>
          <w:sz w:val="44"/>
          <w:szCs w:val="44"/>
        </w:rPr>
        <w:t>名</w:t>
      </w:r>
      <w:r>
        <w:rPr>
          <w:rStyle w:val="33"/>
          <w:rFonts w:hint="eastAsia" w:ascii="黑体" w:hAnsi="黑体" w:eastAsia="黑体" w:cs="黑体"/>
          <w:b w:val="0"/>
          <w:bCs w:val="0"/>
        </w:rPr>
        <w:t>词解释</w:t>
      </w:r>
      <w:bookmarkEnd w:id="70"/>
      <w:bookmarkEnd w:id="71"/>
      <w:bookmarkEnd w:id="72"/>
      <w:bookmarkEnd w:id="73"/>
    </w:p>
    <w:p>
      <w:pPr>
        <w:pStyle w:val="25"/>
        <w:spacing w:line="560" w:lineRule="exact"/>
        <w:ind w:firstLine="640" w:firstLineChars="200"/>
        <w:outlineLvl w:val="9"/>
        <w:rPr>
          <w:rFonts w:ascii="仿宋_GB2312" w:eastAsia="仿宋_GB2312" w:cs="Times New Roman"/>
          <w:sz w:val="32"/>
          <w:szCs w:val="32"/>
        </w:rPr>
      </w:pPr>
      <w:bookmarkStart w:id="75" w:name="_Toc1658"/>
      <w:r>
        <w:rPr>
          <w:rFonts w:ascii="仿宋_GB2312" w:eastAsia="仿宋_GB2312" w:cs="仿宋_GB2312"/>
          <w:sz w:val="32"/>
          <w:szCs w:val="32"/>
        </w:rPr>
        <w:t>1.</w:t>
      </w:r>
      <w:r>
        <w:rPr>
          <w:rFonts w:hint="eastAsia" w:ascii="仿宋_GB2312" w:eastAsia="仿宋_GB2312" w:cs="仿宋_GB2312"/>
          <w:sz w:val="32"/>
          <w:szCs w:val="32"/>
        </w:rPr>
        <w:t>财政拨款收入：指单位从同级财政部门取得的财政预算资金。</w:t>
      </w:r>
      <w:bookmarkEnd w:id="75"/>
    </w:p>
    <w:p>
      <w:pPr>
        <w:pStyle w:val="25"/>
        <w:spacing w:line="560" w:lineRule="exact"/>
        <w:ind w:firstLine="640" w:firstLineChars="200"/>
        <w:outlineLvl w:val="9"/>
        <w:rPr>
          <w:rFonts w:ascii="仿宋_GB2312" w:eastAsia="仿宋_GB2312" w:cs="Times New Roman"/>
          <w:sz w:val="32"/>
          <w:szCs w:val="32"/>
        </w:rPr>
      </w:pPr>
      <w:r>
        <w:rPr>
          <w:rFonts w:ascii="仿宋_GB2312" w:eastAsia="仿宋_GB2312" w:cs="仿宋_GB2312"/>
          <w:sz w:val="32"/>
          <w:szCs w:val="32"/>
        </w:rPr>
        <w:t>2.</w:t>
      </w:r>
      <w:r>
        <w:rPr>
          <w:rFonts w:hint="eastAsia" w:ascii="仿宋_GB2312" w:eastAsia="仿宋_GB2312" w:cs="仿宋_GB2312"/>
          <w:sz w:val="32"/>
          <w:szCs w:val="32"/>
        </w:rPr>
        <w:t>事业收入：指事业单位开展专业业务活动及辅助活动取得的收入。如（二级预算单位事业收入情况）等。</w:t>
      </w:r>
    </w:p>
    <w:p>
      <w:pPr>
        <w:pStyle w:val="25"/>
        <w:spacing w:line="560" w:lineRule="exact"/>
        <w:ind w:firstLine="640" w:firstLineChars="200"/>
        <w:outlineLvl w:val="9"/>
        <w:rPr>
          <w:rFonts w:ascii="仿宋_GB2312" w:eastAsia="仿宋_GB2312" w:cs="Times New Roman"/>
          <w:sz w:val="32"/>
          <w:szCs w:val="32"/>
        </w:rPr>
      </w:pPr>
      <w:r>
        <w:rPr>
          <w:rFonts w:ascii="仿宋_GB2312" w:eastAsia="仿宋_GB2312" w:cs="仿宋_GB2312"/>
          <w:sz w:val="32"/>
          <w:szCs w:val="32"/>
        </w:rPr>
        <w:t>3.</w:t>
      </w:r>
      <w:r>
        <w:rPr>
          <w:rFonts w:hint="eastAsia" w:ascii="仿宋_GB2312" w:eastAsia="仿宋_GB2312" w:cs="仿宋_GB2312"/>
          <w:sz w:val="32"/>
          <w:szCs w:val="32"/>
        </w:rPr>
        <w:t>经营收入：指事业单位在专业业务活动及其辅助活动之外开展非独立核算经营活动取得的收入。如（二级预算单位经营收入情况）等。</w:t>
      </w:r>
    </w:p>
    <w:p>
      <w:pPr>
        <w:pStyle w:val="25"/>
        <w:spacing w:line="560" w:lineRule="exact"/>
        <w:ind w:firstLine="640" w:firstLineChars="200"/>
        <w:outlineLvl w:val="9"/>
        <w:rPr>
          <w:rFonts w:ascii="仿宋_GB2312" w:eastAsia="仿宋_GB2312" w:cs="仿宋_GB2312"/>
          <w:sz w:val="32"/>
          <w:szCs w:val="32"/>
        </w:rPr>
      </w:pPr>
      <w:r>
        <w:rPr>
          <w:rFonts w:ascii="仿宋_GB2312" w:eastAsia="仿宋_GB2312" w:cs="仿宋_GB2312"/>
          <w:sz w:val="32"/>
          <w:szCs w:val="32"/>
        </w:rPr>
        <w:t>4.</w:t>
      </w:r>
      <w:r>
        <w:rPr>
          <w:rFonts w:hint="eastAsia" w:ascii="仿宋_GB2312" w:eastAsia="仿宋_GB2312" w:cs="仿宋_GB2312"/>
          <w:sz w:val="32"/>
          <w:szCs w:val="32"/>
        </w:rPr>
        <w:t>其他收入：指单位取得的除上述收入以外的各项收入。主要是（收入类型）等。</w:t>
      </w:r>
      <w:r>
        <w:rPr>
          <w:rFonts w:ascii="仿宋_GB2312" w:eastAsia="仿宋_GB2312" w:cs="仿宋_GB2312"/>
          <w:sz w:val="32"/>
          <w:szCs w:val="32"/>
        </w:rPr>
        <w:t xml:space="preserve"> </w:t>
      </w:r>
    </w:p>
    <w:p>
      <w:pPr>
        <w:pStyle w:val="25"/>
        <w:spacing w:line="560" w:lineRule="exact"/>
        <w:ind w:firstLine="640" w:firstLineChars="200"/>
        <w:outlineLvl w:val="9"/>
        <w:rPr>
          <w:rFonts w:ascii="仿宋_GB2312" w:eastAsia="仿宋_GB2312" w:cs="仿宋_GB2312"/>
          <w:sz w:val="32"/>
          <w:szCs w:val="32"/>
        </w:rPr>
      </w:pPr>
      <w:r>
        <w:rPr>
          <w:rFonts w:ascii="仿宋_GB2312" w:eastAsia="仿宋_GB2312" w:cs="仿宋_GB2312"/>
          <w:sz w:val="32"/>
          <w:szCs w:val="32"/>
        </w:rPr>
        <w:t>5.</w:t>
      </w:r>
      <w:r>
        <w:rPr>
          <w:rFonts w:hint="eastAsia" w:ascii="仿宋_GB2312" w:eastAsia="仿宋_GB2312" w:cs="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cs="仿宋_GB2312"/>
          <w:sz w:val="32"/>
          <w:szCs w:val="32"/>
        </w:rPr>
        <w:t xml:space="preserve"> </w:t>
      </w:r>
    </w:p>
    <w:p>
      <w:pPr>
        <w:pStyle w:val="25"/>
        <w:spacing w:line="560" w:lineRule="exact"/>
        <w:ind w:firstLine="640" w:firstLineChars="200"/>
        <w:outlineLvl w:val="9"/>
        <w:rPr>
          <w:rFonts w:ascii="仿宋_GB2312" w:eastAsia="仿宋_GB2312" w:cs="仿宋_GB2312"/>
          <w:sz w:val="32"/>
          <w:szCs w:val="32"/>
        </w:rPr>
      </w:pPr>
      <w:r>
        <w:rPr>
          <w:rFonts w:ascii="仿宋_GB2312" w:eastAsia="仿宋_GB2312" w:cs="仿宋_GB2312"/>
          <w:sz w:val="32"/>
          <w:szCs w:val="32"/>
        </w:rPr>
        <w:t>6.</w:t>
      </w:r>
      <w:r>
        <w:rPr>
          <w:rFonts w:hint="eastAsia" w:ascii="仿宋_GB2312" w:eastAsia="仿宋_GB2312" w:cs="仿宋_GB2312"/>
          <w:sz w:val="32"/>
          <w:szCs w:val="32"/>
        </w:rPr>
        <w:t>年初结转和结余：指以前年度尚未完成、结转到本年按有关规定继续使用的资金。</w:t>
      </w:r>
      <w:r>
        <w:rPr>
          <w:rFonts w:ascii="仿宋_GB2312" w:eastAsia="仿宋_GB2312" w:cs="仿宋_GB2312"/>
          <w:sz w:val="32"/>
          <w:szCs w:val="32"/>
        </w:rPr>
        <w:t xml:space="preserve"> </w:t>
      </w:r>
    </w:p>
    <w:p>
      <w:pPr>
        <w:pStyle w:val="25"/>
        <w:spacing w:line="560" w:lineRule="exact"/>
        <w:ind w:firstLine="640" w:firstLineChars="200"/>
        <w:outlineLvl w:val="9"/>
        <w:rPr>
          <w:rFonts w:ascii="仿宋_GB2312" w:eastAsia="仿宋_GB2312" w:cs="Times New Roman"/>
          <w:sz w:val="32"/>
          <w:szCs w:val="32"/>
        </w:rPr>
      </w:pPr>
      <w:r>
        <w:rPr>
          <w:rFonts w:ascii="仿宋_GB2312" w:eastAsia="仿宋_GB2312" w:cs="仿宋_GB2312"/>
          <w:sz w:val="32"/>
          <w:szCs w:val="32"/>
        </w:rPr>
        <w:t>7.</w:t>
      </w:r>
      <w:r>
        <w:rPr>
          <w:rFonts w:hint="eastAsia" w:ascii="仿宋_GB2312" w:eastAsia="仿宋_GB2312" w:cs="仿宋_GB2312"/>
          <w:sz w:val="32"/>
          <w:szCs w:val="32"/>
        </w:rPr>
        <w:t>结余分配：指事业单位按照事业单位会计制度的规定从非财政补助结余中分配的事业基金和职工福利基金等。</w:t>
      </w:r>
    </w:p>
    <w:p>
      <w:pPr>
        <w:pStyle w:val="25"/>
        <w:spacing w:line="560" w:lineRule="exact"/>
        <w:ind w:firstLine="640" w:firstLineChars="200"/>
        <w:outlineLvl w:val="9"/>
        <w:rPr>
          <w:rFonts w:ascii="仿宋_GB2312" w:eastAsia="仿宋_GB2312" w:cs="Times New Roman"/>
          <w:sz w:val="32"/>
          <w:szCs w:val="32"/>
        </w:rPr>
      </w:pPr>
      <w:r>
        <w:rPr>
          <w:rFonts w:ascii="仿宋_GB2312" w:eastAsia="仿宋_GB2312" w:cs="仿宋_GB2312"/>
          <w:sz w:val="32"/>
          <w:szCs w:val="32"/>
        </w:rPr>
        <w:t>8</w:t>
      </w:r>
      <w:r>
        <w:rPr>
          <w:rFonts w:hint="eastAsia" w:ascii="仿宋_GB2312" w:eastAsia="仿宋_GB2312" w:cs="仿宋_GB2312"/>
          <w:sz w:val="32"/>
          <w:szCs w:val="32"/>
        </w:rPr>
        <w:t>、年末结转和结余：指单位按有关规定结转到下年或以后年度继续使用的资金。</w:t>
      </w:r>
    </w:p>
    <w:p>
      <w:pPr>
        <w:spacing w:line="600" w:lineRule="exact"/>
        <w:ind w:firstLine="640" w:firstLineChars="200"/>
        <w:outlineLvl w:val="9"/>
        <w:rPr>
          <w:rStyle w:val="17"/>
          <w:rFonts w:ascii="仿宋_GB2312" w:eastAsia="仿宋_GB2312"/>
          <w:b w:val="0"/>
          <w:bCs w:val="0"/>
          <w:color w:val="000000"/>
          <w:sz w:val="32"/>
          <w:szCs w:val="32"/>
        </w:rPr>
      </w:pPr>
      <w:bookmarkStart w:id="76" w:name="_Toc6123"/>
      <w:r>
        <w:rPr>
          <w:rStyle w:val="17"/>
          <w:rFonts w:ascii="仿宋_GB2312" w:eastAsia="仿宋_GB2312" w:cs="仿宋_GB2312"/>
          <w:b w:val="0"/>
          <w:bCs w:val="0"/>
          <w:color w:val="000000"/>
          <w:sz w:val="32"/>
          <w:szCs w:val="32"/>
        </w:rPr>
        <w:t>9.</w:t>
      </w:r>
      <w:r>
        <w:rPr>
          <w:rStyle w:val="17"/>
          <w:rFonts w:hint="eastAsia" w:ascii="仿宋_GB2312" w:eastAsia="仿宋_GB2312" w:cs="仿宋_GB2312"/>
          <w:b w:val="0"/>
          <w:bCs w:val="0"/>
          <w:color w:val="000000"/>
          <w:sz w:val="32"/>
          <w:szCs w:val="32"/>
        </w:rPr>
        <w:t>一般公共服务（类）组织事务（款）</w:t>
      </w:r>
      <w:bookmarkEnd w:id="76"/>
    </w:p>
    <w:p>
      <w:pPr>
        <w:widowControl/>
        <w:shd w:val="clear" w:color="auto" w:fill="FFFFFF"/>
        <w:spacing w:line="600" w:lineRule="atLeast"/>
        <w:ind w:firstLine="320" w:firstLineChars="100"/>
        <w:jc w:val="left"/>
        <w:outlineLvl w:val="9"/>
        <w:rPr>
          <w:rFonts w:ascii="仿宋_GB2312" w:hAnsi="宋体" w:eastAsia="仿宋_GB2312"/>
          <w:color w:val="333333"/>
          <w:kern w:val="0"/>
          <w:sz w:val="32"/>
          <w:szCs w:val="32"/>
        </w:rPr>
      </w:pPr>
      <w:r>
        <w:rPr>
          <w:rStyle w:val="17"/>
          <w:rFonts w:hint="eastAsia" w:ascii="仿宋_GB2312" w:eastAsia="仿宋_GB2312" w:cs="仿宋_GB2312"/>
          <w:b w:val="0"/>
          <w:bCs w:val="0"/>
          <w:color w:val="000000"/>
          <w:sz w:val="32"/>
          <w:szCs w:val="32"/>
        </w:rPr>
        <w:t>①、行政运行</w:t>
      </w:r>
      <w:r>
        <w:rPr>
          <w:rStyle w:val="17"/>
          <w:rFonts w:hint="eastAsia" w:ascii="仿宋_GB2312" w:eastAsia="仿宋_GB2312" w:cs="仿宋_GB2312"/>
          <w:b w:val="0"/>
          <w:bCs w:val="0"/>
          <w:color w:val="000000"/>
          <w:sz w:val="32"/>
          <w:szCs w:val="32"/>
          <w:lang w:eastAsia="zh-CN"/>
        </w:rPr>
        <w:t>：</w:t>
      </w:r>
      <w:r>
        <w:rPr>
          <w:rFonts w:hint="eastAsia" w:ascii="仿宋_GB2312" w:hAnsi="宋体" w:eastAsia="仿宋_GB2312" w:cs="仿宋_GB2312"/>
          <w:color w:val="000000"/>
          <w:kern w:val="0"/>
          <w:sz w:val="32"/>
          <w:szCs w:val="32"/>
        </w:rPr>
        <w:t>指行政单位（包括实行公务员管理的事业单位）的基本支出。</w:t>
      </w:r>
    </w:p>
    <w:p>
      <w:pPr>
        <w:widowControl/>
        <w:shd w:val="clear" w:color="auto" w:fill="FFFFFF"/>
        <w:spacing w:line="600" w:lineRule="atLeast"/>
        <w:ind w:firstLine="320" w:firstLineChars="100"/>
        <w:jc w:val="left"/>
        <w:outlineLvl w:val="9"/>
        <w:rPr>
          <w:rFonts w:hint="eastAsia" w:ascii="仿宋_GB2312" w:hAnsi="宋体" w:eastAsia="仿宋_GB2312" w:cs="仿宋_GB2312"/>
          <w:color w:val="000000"/>
          <w:kern w:val="0"/>
          <w:sz w:val="32"/>
          <w:szCs w:val="32"/>
        </w:rPr>
      </w:pPr>
      <w:r>
        <w:rPr>
          <w:rStyle w:val="17"/>
          <w:rFonts w:hint="eastAsia" w:ascii="仿宋_GB2312" w:eastAsia="仿宋_GB2312" w:cs="仿宋_GB2312"/>
          <w:b w:val="0"/>
          <w:bCs w:val="0"/>
          <w:color w:val="000000"/>
          <w:sz w:val="32"/>
          <w:szCs w:val="32"/>
        </w:rPr>
        <w:t>②、一般行政管理事务：</w:t>
      </w:r>
      <w:r>
        <w:rPr>
          <w:rFonts w:hint="eastAsia" w:ascii="仿宋_GB2312" w:hAnsi="宋体" w:eastAsia="仿宋_GB2312" w:cs="仿宋_GB2312"/>
          <w:color w:val="000000"/>
          <w:kern w:val="0"/>
          <w:sz w:val="32"/>
          <w:szCs w:val="32"/>
        </w:rPr>
        <w:t>指行政单位（包括实行公务员管理的事业单位）未单独设置项级科目的其他项目支出。</w:t>
      </w:r>
    </w:p>
    <w:p>
      <w:pPr>
        <w:spacing w:line="600" w:lineRule="exact"/>
        <w:ind w:firstLine="320" w:firstLineChars="100"/>
        <w:outlineLvl w:val="9"/>
        <w:rPr>
          <w:rStyle w:val="17"/>
          <w:rFonts w:hint="eastAsia" w:ascii="仿宋_GB2312" w:eastAsia="仿宋_GB2312" w:cs="仿宋_GB2312"/>
          <w:b w:val="0"/>
          <w:bCs w:val="0"/>
          <w:color w:val="000000"/>
          <w:sz w:val="32"/>
          <w:szCs w:val="32"/>
          <w:lang w:eastAsia="zh-CN"/>
        </w:rPr>
      </w:pPr>
      <w:r>
        <w:rPr>
          <w:rStyle w:val="17"/>
          <w:rFonts w:hint="eastAsia" w:ascii="仿宋_GB2312" w:hAnsi="仿宋_GB2312" w:eastAsia="仿宋_GB2312" w:cs="仿宋_GB2312"/>
          <w:b w:val="0"/>
          <w:bCs w:val="0"/>
          <w:color w:val="000000"/>
          <w:sz w:val="32"/>
          <w:szCs w:val="32"/>
        </w:rPr>
        <w:sym w:font="Wingdings" w:char="F083"/>
      </w:r>
      <w:r>
        <w:rPr>
          <w:rStyle w:val="17"/>
          <w:rFonts w:hint="eastAsia" w:ascii="仿宋_GB2312" w:eastAsia="仿宋_GB2312" w:cs="仿宋_GB2312"/>
          <w:b w:val="0"/>
          <w:bCs w:val="0"/>
          <w:color w:val="000000"/>
          <w:sz w:val="32"/>
          <w:szCs w:val="32"/>
          <w:lang w:eastAsia="zh-CN"/>
        </w:rPr>
        <w:t>事业运行</w:t>
      </w:r>
      <w:r>
        <w:rPr>
          <w:rStyle w:val="17"/>
          <w:rFonts w:hint="eastAsia" w:ascii="仿宋_GB2312" w:eastAsia="仿宋_GB2312" w:cs="仿宋_GB2312"/>
          <w:b w:val="0"/>
          <w:bCs w:val="0"/>
          <w:color w:val="000000"/>
          <w:sz w:val="32"/>
          <w:szCs w:val="32"/>
        </w:rPr>
        <w:t>：</w:t>
      </w:r>
      <w:r>
        <w:rPr>
          <w:rStyle w:val="17"/>
          <w:rFonts w:hint="eastAsia" w:ascii="仿宋_GB2312" w:eastAsia="仿宋_GB2312" w:cs="仿宋_GB2312"/>
          <w:b w:val="0"/>
          <w:bCs w:val="0"/>
          <w:color w:val="000000"/>
          <w:sz w:val="32"/>
          <w:szCs w:val="32"/>
          <w:lang w:eastAsia="zh-CN"/>
        </w:rPr>
        <w:t>指事业单位的基本支出，不包括行政单位（包括实行公务员管理的事业单位）后勤服务中心、医务室等附属事业单位。</w:t>
      </w:r>
    </w:p>
    <w:p>
      <w:pPr>
        <w:spacing w:line="600" w:lineRule="exact"/>
        <w:ind w:firstLine="320" w:firstLineChars="100"/>
        <w:outlineLvl w:val="9"/>
      </w:pPr>
      <w:r>
        <w:rPr>
          <w:rStyle w:val="17"/>
          <w:rFonts w:hint="eastAsia" w:ascii="仿宋_GB2312" w:hAnsi="仿宋_GB2312" w:eastAsia="仿宋_GB2312" w:cs="仿宋_GB2312"/>
          <w:b w:val="0"/>
          <w:bCs w:val="0"/>
          <w:color w:val="000000"/>
          <w:sz w:val="32"/>
          <w:szCs w:val="32"/>
        </w:rPr>
        <w:t>④</w:t>
      </w:r>
      <w:r>
        <w:rPr>
          <w:rStyle w:val="17"/>
          <w:rFonts w:hint="eastAsia" w:ascii="仿宋_GB2312" w:eastAsia="仿宋_GB2312" w:cs="仿宋_GB2312"/>
          <w:b w:val="0"/>
          <w:bCs w:val="0"/>
          <w:color w:val="000000"/>
          <w:sz w:val="32"/>
          <w:szCs w:val="32"/>
        </w:rPr>
        <w:t>、</w:t>
      </w:r>
      <w:r>
        <w:rPr>
          <w:rStyle w:val="17"/>
          <w:rFonts w:hint="eastAsia" w:ascii="仿宋_GB2312" w:eastAsia="仿宋_GB2312" w:cs="仿宋_GB2312"/>
          <w:b w:val="0"/>
          <w:bCs w:val="0"/>
          <w:color w:val="000000"/>
          <w:sz w:val="32"/>
          <w:szCs w:val="32"/>
          <w:lang w:eastAsia="zh-CN"/>
        </w:rPr>
        <w:t>其他组织事务支出</w:t>
      </w:r>
      <w:r>
        <w:rPr>
          <w:rStyle w:val="17"/>
          <w:rFonts w:hint="eastAsia" w:ascii="仿宋_GB2312" w:eastAsia="仿宋_GB2312" w:cs="仿宋_GB2312"/>
          <w:b w:val="0"/>
          <w:bCs w:val="0"/>
          <w:color w:val="000000"/>
          <w:sz w:val="32"/>
          <w:szCs w:val="32"/>
        </w:rPr>
        <w:t>：</w:t>
      </w:r>
      <w:r>
        <w:rPr>
          <w:rStyle w:val="17"/>
          <w:rFonts w:hint="eastAsia" w:ascii="仿宋_GB2312" w:eastAsia="仿宋_GB2312" w:cs="仿宋_GB2312"/>
          <w:b w:val="0"/>
          <w:bCs w:val="0"/>
          <w:color w:val="000000"/>
          <w:sz w:val="32"/>
          <w:szCs w:val="32"/>
          <w:lang w:eastAsia="zh-CN"/>
        </w:rPr>
        <w:t>指除上述项目以外其他用于中国共产党组织部门的事务支出。</w:t>
      </w:r>
    </w:p>
    <w:p>
      <w:pPr>
        <w:spacing w:line="600" w:lineRule="exact"/>
        <w:ind w:firstLine="640" w:firstLineChars="200"/>
        <w:outlineLvl w:val="9"/>
        <w:rPr>
          <w:rStyle w:val="17"/>
          <w:rFonts w:ascii="仿宋_GB2312" w:eastAsia="仿宋_GB2312" w:cs="仿宋_GB2312"/>
          <w:b w:val="0"/>
          <w:bCs w:val="0"/>
          <w:color w:val="000000"/>
          <w:sz w:val="32"/>
          <w:szCs w:val="32"/>
        </w:rPr>
      </w:pPr>
      <w:bookmarkStart w:id="77" w:name="_Toc9561"/>
      <w:r>
        <w:rPr>
          <w:rStyle w:val="17"/>
          <w:rFonts w:ascii="仿宋_GB2312" w:eastAsia="仿宋_GB2312" w:cs="仿宋_GB2312"/>
          <w:b w:val="0"/>
          <w:bCs w:val="0"/>
          <w:color w:val="000000"/>
          <w:sz w:val="32"/>
          <w:szCs w:val="32"/>
        </w:rPr>
        <w:t>10.</w:t>
      </w:r>
      <w:r>
        <w:rPr>
          <w:rStyle w:val="17"/>
          <w:rFonts w:hint="eastAsia" w:ascii="仿宋_GB2312" w:eastAsia="仿宋_GB2312" w:cs="仿宋_GB2312"/>
          <w:b w:val="0"/>
          <w:bCs w:val="0"/>
          <w:color w:val="000000"/>
          <w:sz w:val="32"/>
          <w:szCs w:val="32"/>
        </w:rPr>
        <w:t>社会保障和就业（类）行政事业</w:t>
      </w:r>
      <w:r>
        <w:rPr>
          <w:rStyle w:val="17"/>
          <w:rFonts w:hint="eastAsia" w:ascii="仿宋_GB2312" w:eastAsia="仿宋_GB2312" w:cs="仿宋_GB2312"/>
          <w:b w:val="0"/>
          <w:bCs w:val="0"/>
          <w:color w:val="000000"/>
          <w:sz w:val="32"/>
          <w:szCs w:val="32"/>
          <w:lang w:eastAsia="zh-CN"/>
        </w:rPr>
        <w:t>养老支出</w:t>
      </w:r>
      <w:r>
        <w:rPr>
          <w:rStyle w:val="17"/>
          <w:rFonts w:hint="eastAsia" w:ascii="仿宋_GB2312" w:eastAsia="仿宋_GB2312" w:cs="仿宋_GB2312"/>
          <w:b w:val="0"/>
          <w:bCs w:val="0"/>
          <w:color w:val="000000"/>
          <w:sz w:val="32"/>
          <w:szCs w:val="32"/>
        </w:rPr>
        <w:t>（款）</w:t>
      </w:r>
      <w:bookmarkEnd w:id="77"/>
      <w:r>
        <w:rPr>
          <w:rStyle w:val="17"/>
          <w:rFonts w:ascii="仿宋_GB2312" w:eastAsia="仿宋_GB2312" w:cs="仿宋_GB2312"/>
          <w:b w:val="0"/>
          <w:bCs w:val="0"/>
          <w:color w:val="000000"/>
          <w:sz w:val="32"/>
          <w:szCs w:val="32"/>
        </w:rPr>
        <w:t xml:space="preserve">  </w:t>
      </w:r>
    </w:p>
    <w:p>
      <w:pPr>
        <w:spacing w:line="600" w:lineRule="exact"/>
        <w:ind w:firstLine="640" w:firstLineChars="200"/>
        <w:outlineLvl w:val="9"/>
        <w:rPr>
          <w:rStyle w:val="17"/>
          <w:rFonts w:ascii="仿宋_GB2312" w:eastAsia="仿宋_GB2312"/>
          <w:b w:val="0"/>
          <w:bCs w:val="0"/>
          <w:color w:val="000000"/>
          <w:sz w:val="32"/>
          <w:szCs w:val="32"/>
        </w:rPr>
      </w:pPr>
      <w:r>
        <w:rPr>
          <w:rStyle w:val="17"/>
          <w:rFonts w:hint="eastAsia" w:ascii="仿宋_GB2312" w:eastAsia="仿宋_GB2312" w:cs="仿宋_GB2312"/>
          <w:b w:val="0"/>
          <w:bCs w:val="0"/>
          <w:color w:val="000000"/>
          <w:sz w:val="32"/>
          <w:szCs w:val="32"/>
        </w:rPr>
        <w:t>①、行政单位离退休</w:t>
      </w:r>
      <w:r>
        <w:rPr>
          <w:rStyle w:val="17"/>
          <w:rFonts w:hint="eastAsia" w:ascii="仿宋_GB2312" w:eastAsia="仿宋_GB2312" w:cs="仿宋_GB2312"/>
          <w:b w:val="0"/>
          <w:bCs w:val="0"/>
          <w:color w:val="000000"/>
          <w:sz w:val="32"/>
          <w:szCs w:val="32"/>
          <w:lang w:eastAsia="zh-CN"/>
        </w:rPr>
        <w:t>：</w:t>
      </w:r>
      <w:r>
        <w:rPr>
          <w:rStyle w:val="17"/>
          <w:rFonts w:hint="eastAsia" w:ascii="仿宋_GB2312" w:eastAsia="仿宋_GB2312" w:cs="仿宋_GB2312"/>
          <w:b w:val="0"/>
          <w:bCs w:val="0"/>
          <w:color w:val="000000"/>
          <w:sz w:val="32"/>
          <w:szCs w:val="32"/>
        </w:rPr>
        <w:t>行政单位（包括实行公务员管理的事业单位）开支的离退休支出。</w:t>
      </w:r>
    </w:p>
    <w:p>
      <w:pPr>
        <w:spacing w:line="600" w:lineRule="exact"/>
        <w:ind w:firstLine="640" w:firstLineChars="200"/>
        <w:outlineLvl w:val="9"/>
        <w:rPr>
          <w:rStyle w:val="17"/>
          <w:rFonts w:hint="eastAsia" w:ascii="仿宋_GB2312" w:eastAsia="仿宋_GB2312" w:cs="仿宋_GB2312"/>
          <w:b w:val="0"/>
          <w:bCs w:val="0"/>
          <w:color w:val="000000"/>
          <w:sz w:val="32"/>
          <w:szCs w:val="32"/>
        </w:rPr>
      </w:pPr>
      <w:r>
        <w:rPr>
          <w:rFonts w:hint="eastAsia" w:ascii="仿宋_GB2312" w:eastAsia="仿宋_GB2312" w:cs="仿宋_GB2312"/>
          <w:color w:val="000000"/>
          <w:sz w:val="32"/>
          <w:szCs w:val="32"/>
        </w:rPr>
        <w:t>②、机关事业单位基本养老保险缴费支出：</w:t>
      </w:r>
      <w:r>
        <w:rPr>
          <w:rStyle w:val="17"/>
          <w:rFonts w:hint="eastAsia" w:ascii="仿宋_GB2312" w:eastAsia="仿宋_GB2312" w:cs="仿宋_GB2312"/>
          <w:b w:val="0"/>
          <w:bCs w:val="0"/>
          <w:color w:val="000000"/>
          <w:sz w:val="32"/>
          <w:szCs w:val="32"/>
        </w:rPr>
        <w:t>指机关事业单位实施养老保险制度有单位缴纳的基本养老保险费支出。</w:t>
      </w:r>
    </w:p>
    <w:p>
      <w:pPr>
        <w:pStyle w:val="6"/>
        <w:ind w:firstLine="640" w:firstLineChars="200"/>
        <w:outlineLvl w:val="9"/>
        <w:rPr>
          <w:rFonts w:hint="eastAsia" w:eastAsia="宋体"/>
          <w:sz w:val="32"/>
          <w:szCs w:val="32"/>
          <w:lang w:eastAsia="zh-CN"/>
        </w:rPr>
      </w:pPr>
      <w:r>
        <w:rPr>
          <w:sz w:val="32"/>
          <w:szCs w:val="32"/>
        </w:rPr>
        <w:sym w:font="Wingdings" w:char="F083"/>
      </w:r>
      <w:r>
        <w:rPr>
          <w:rStyle w:val="17"/>
          <w:rFonts w:hint="eastAsia" w:ascii="仿宋_GB2312" w:hAnsi="仿宋_GB2312" w:eastAsia="仿宋_GB2312" w:cs="仿宋_GB2312"/>
          <w:b w:val="0"/>
          <w:bCs/>
          <w:color w:val="000000"/>
          <w:sz w:val="32"/>
          <w:szCs w:val="32"/>
          <w:lang w:eastAsia="zh-CN"/>
        </w:rPr>
        <w:t>机关事业单位职业年金缴费支出：指财政部门对机关事业单位职业年金记账利息的补助。</w:t>
      </w:r>
    </w:p>
    <w:p>
      <w:pPr>
        <w:spacing w:line="600" w:lineRule="exact"/>
        <w:ind w:firstLine="640" w:firstLineChars="200"/>
        <w:outlineLvl w:val="9"/>
        <w:rPr>
          <w:rFonts w:ascii="仿宋_GB2312" w:eastAsia="仿宋_GB2312"/>
          <w:color w:val="000000"/>
          <w:sz w:val="32"/>
          <w:szCs w:val="32"/>
        </w:rPr>
      </w:pPr>
      <w:r>
        <w:rPr>
          <w:rStyle w:val="17"/>
          <w:rFonts w:ascii="仿宋_GB2312" w:eastAsia="仿宋_GB2312" w:cs="仿宋_GB2312"/>
          <w:b w:val="0"/>
          <w:bCs w:val="0"/>
          <w:color w:val="000000"/>
          <w:sz w:val="32"/>
          <w:szCs w:val="32"/>
        </w:rPr>
        <w:t>11</w:t>
      </w:r>
      <w:r>
        <w:rPr>
          <w:rStyle w:val="17"/>
          <w:rFonts w:hint="eastAsia" w:ascii="仿宋_GB2312" w:eastAsia="仿宋_GB2312" w:cs="仿宋_GB2312"/>
          <w:b w:val="0"/>
          <w:bCs w:val="0"/>
          <w:color w:val="000000"/>
          <w:sz w:val="32"/>
          <w:szCs w:val="32"/>
        </w:rPr>
        <w:t>、住房保障支出（类）住房改革支出（款）住房公积金（项）：指行政事业单位按人力资源和社会保障部、财政部规定的基本工资和津贴补贴以及规定比例为职工缴纳的住房公积金。</w:t>
      </w:r>
    </w:p>
    <w:p>
      <w:pPr>
        <w:spacing w:line="600" w:lineRule="exact"/>
        <w:ind w:firstLine="640" w:firstLineChars="200"/>
        <w:outlineLvl w:val="9"/>
        <w:rPr>
          <w:rStyle w:val="17"/>
          <w:rFonts w:ascii="仿宋_GB2312" w:eastAsia="仿宋_GB2312"/>
          <w:b w:val="0"/>
          <w:bCs w:val="0"/>
          <w:color w:val="000000"/>
          <w:sz w:val="32"/>
          <w:szCs w:val="32"/>
        </w:rPr>
      </w:pPr>
      <w:r>
        <w:rPr>
          <w:rStyle w:val="17"/>
          <w:rFonts w:ascii="仿宋_GB2312" w:eastAsia="仿宋_GB2312" w:cs="仿宋_GB2312"/>
          <w:b w:val="0"/>
          <w:bCs w:val="0"/>
          <w:color w:val="000000"/>
          <w:sz w:val="32"/>
          <w:szCs w:val="32"/>
        </w:rPr>
        <w:t>12</w:t>
      </w:r>
      <w:r>
        <w:rPr>
          <w:rStyle w:val="17"/>
          <w:rFonts w:hint="eastAsia" w:ascii="仿宋_GB2312" w:eastAsia="仿宋_GB2312" w:cs="仿宋_GB2312"/>
          <w:b w:val="0"/>
          <w:bCs w:val="0"/>
          <w:color w:val="000000"/>
          <w:sz w:val="32"/>
          <w:szCs w:val="32"/>
        </w:rPr>
        <w:t>、农林水支出（类）扶贫（款）其他扶贫支出（项）：指其他用于扶贫方面的支出。</w:t>
      </w:r>
    </w:p>
    <w:p>
      <w:pPr>
        <w:ind w:firstLine="640" w:firstLineChars="200"/>
        <w:outlineLvl w:val="9"/>
        <w:rPr>
          <w:rFonts w:hint="eastAsia" w:ascii="仿宋_GB2312" w:eastAsia="仿宋_GB2312" w:cs="仿宋_GB2312"/>
          <w:color w:val="000000"/>
          <w:sz w:val="32"/>
          <w:szCs w:val="32"/>
        </w:rPr>
      </w:pPr>
      <w:r>
        <w:rPr>
          <w:rFonts w:hint="eastAsia" w:ascii="仿宋_GB2312" w:eastAsia="仿宋_GB2312" w:cs="仿宋_GB2312"/>
          <w:color w:val="000000"/>
          <w:sz w:val="32"/>
          <w:szCs w:val="32"/>
          <w:lang w:val="en-US" w:eastAsia="zh-CN"/>
        </w:rPr>
        <w:t>13</w:t>
      </w:r>
      <w:r>
        <w:rPr>
          <w:rFonts w:ascii="仿宋_GB2312" w:eastAsia="仿宋_GB2312" w:cs="仿宋_GB2312"/>
          <w:color w:val="000000"/>
          <w:sz w:val="32"/>
          <w:szCs w:val="32"/>
        </w:rPr>
        <w:t>.</w:t>
      </w:r>
      <w:r>
        <w:rPr>
          <w:rFonts w:hint="eastAsia" w:ascii="仿宋_GB2312" w:eastAsia="仿宋_GB2312" w:cs="仿宋_GB2312"/>
          <w:color w:val="000000"/>
          <w:sz w:val="32"/>
          <w:szCs w:val="32"/>
        </w:rPr>
        <w:t>农林水（类）农村综合改革（款）对村集体经济组织的补助</w:t>
      </w:r>
      <w:r>
        <w:rPr>
          <w:rFonts w:hint="eastAsia" w:ascii="仿宋_GB2312" w:eastAsia="仿宋_GB2312" w:cs="仿宋_GB2312"/>
          <w:color w:val="000000"/>
          <w:sz w:val="32"/>
          <w:szCs w:val="32"/>
          <w:lang w:eastAsia="zh-CN"/>
        </w:rPr>
        <w:t>（项）</w:t>
      </w:r>
      <w:r>
        <w:rPr>
          <w:rFonts w:hint="eastAsia" w:ascii="仿宋_GB2312" w:eastAsia="仿宋_GB2312" w:cs="仿宋_GB2312"/>
          <w:color w:val="000000"/>
          <w:sz w:val="32"/>
          <w:szCs w:val="32"/>
        </w:rPr>
        <w:t>：指农村税费改革后对村集体经济组织的补助支出。</w:t>
      </w:r>
    </w:p>
    <w:p>
      <w:pPr>
        <w:pStyle w:val="6"/>
        <w:spacing w:line="560" w:lineRule="exact"/>
        <w:ind w:firstLine="640" w:firstLineChars="200"/>
        <w:outlineLvl w:val="9"/>
        <w:rPr>
          <w:rFonts w:eastAsia="仿宋_GB2312"/>
          <w:b/>
          <w:sz w:val="32"/>
          <w:szCs w:val="32"/>
        </w:rPr>
      </w:pPr>
      <w:bookmarkStart w:id="78" w:name="_Toc24962"/>
      <w:r>
        <w:rPr>
          <w:rFonts w:eastAsia="仿宋_GB2312"/>
          <w:b w:val="0"/>
          <w:bCs/>
          <w:sz w:val="32"/>
          <w:szCs w:val="32"/>
        </w:rPr>
        <w:t>1</w:t>
      </w:r>
      <w:r>
        <w:rPr>
          <w:rFonts w:hint="eastAsia" w:eastAsia="仿宋_GB2312"/>
          <w:b w:val="0"/>
          <w:bCs/>
          <w:sz w:val="32"/>
          <w:szCs w:val="32"/>
          <w:lang w:val="en-US" w:eastAsia="zh-CN"/>
        </w:rPr>
        <w:t>4</w:t>
      </w:r>
      <w:r>
        <w:rPr>
          <w:rFonts w:eastAsia="仿宋_GB2312"/>
          <w:b w:val="0"/>
          <w:bCs/>
          <w:sz w:val="32"/>
          <w:szCs w:val="32"/>
        </w:rPr>
        <w:t>.卫生健康支出（类）</w:t>
      </w:r>
      <w:r>
        <w:rPr>
          <w:rFonts w:hint="eastAsia" w:eastAsia="仿宋_GB2312"/>
          <w:b w:val="0"/>
          <w:bCs/>
          <w:sz w:val="32"/>
          <w:szCs w:val="32"/>
          <w:lang w:eastAsia="zh-CN"/>
        </w:rPr>
        <w:t>行政事业单位医疗</w:t>
      </w:r>
      <w:r>
        <w:rPr>
          <w:rFonts w:eastAsia="仿宋_GB2312"/>
          <w:b w:val="0"/>
          <w:bCs/>
          <w:sz w:val="32"/>
          <w:szCs w:val="32"/>
        </w:rPr>
        <w:t>（款）</w:t>
      </w:r>
      <w:bookmarkEnd w:id="78"/>
    </w:p>
    <w:p>
      <w:pPr>
        <w:outlineLvl w:val="9"/>
        <w:rPr>
          <w:rFonts w:hint="default" w:eastAsia="仿宋_GB2312"/>
          <w:b w:val="0"/>
          <w:bCs/>
          <w:lang w:val="en-US" w:eastAsia="zh-CN"/>
        </w:rPr>
      </w:pPr>
      <w:r>
        <w:rPr>
          <w:rFonts w:hint="eastAsia" w:eastAsia="仿宋_GB2312"/>
          <w:b/>
          <w:sz w:val="32"/>
          <w:szCs w:val="32"/>
          <w:lang w:val="en-US" w:eastAsia="zh-CN"/>
        </w:rPr>
        <w:t xml:space="preserve">   </w:t>
      </w:r>
      <w:r>
        <w:rPr>
          <w:rFonts w:hint="eastAsia" w:eastAsia="仿宋_GB2312"/>
          <w:b w:val="0"/>
          <w:bCs/>
          <w:sz w:val="32"/>
          <w:szCs w:val="32"/>
          <w:lang w:val="en-US" w:eastAsia="zh-CN"/>
        </w:rPr>
        <w:t xml:space="preserve"> </w:t>
      </w:r>
      <w:r>
        <w:rPr>
          <w:rFonts w:hint="eastAsia" w:eastAsia="仿宋_GB2312"/>
          <w:b w:val="0"/>
          <w:bCs/>
          <w:sz w:val="32"/>
          <w:szCs w:val="32"/>
          <w:lang w:val="en-US" w:eastAsia="zh-CN"/>
        </w:rPr>
        <w:sym w:font="Wingdings" w:char="F081"/>
      </w:r>
      <w:r>
        <w:rPr>
          <w:rFonts w:hint="eastAsia" w:eastAsia="仿宋_GB2312"/>
          <w:b w:val="0"/>
          <w:bCs/>
          <w:sz w:val="32"/>
          <w:szCs w:val="32"/>
          <w:lang w:val="en-US" w:eastAsia="zh-CN"/>
        </w:rPr>
        <w:t>行政单位医疗：指财政部门安排的行政单位（包括实行公务员管理的事业单位，下同）基本医疗保险缴费经费，未参加医疗保险的行政单位的公费医疗经费，按国家规定享受离休人员、红军老战士待遇人员的医疗经费。</w:t>
      </w:r>
    </w:p>
    <w:p>
      <w:pPr>
        <w:pStyle w:val="2"/>
        <w:outlineLvl w:val="9"/>
        <w:rPr>
          <w:rFonts w:hint="eastAsia"/>
          <w:b w:val="0"/>
          <w:bCs/>
          <w:sz w:val="32"/>
          <w:szCs w:val="32"/>
          <w:lang w:val="en-US" w:eastAsia="zh-CN"/>
        </w:rPr>
      </w:pPr>
      <w:r>
        <w:rPr>
          <w:rFonts w:hint="eastAsia" w:eastAsia="仿宋_GB2312"/>
          <w:b/>
          <w:sz w:val="32"/>
          <w:szCs w:val="32"/>
          <w:lang w:val="en-US" w:eastAsia="zh-CN"/>
        </w:rPr>
        <w:t xml:space="preserve">     </w:t>
      </w:r>
      <w:r>
        <w:rPr>
          <w:rFonts w:hint="eastAsia" w:eastAsia="仿宋_GB2312"/>
          <w:b w:val="0"/>
          <w:bCs/>
          <w:sz w:val="32"/>
          <w:szCs w:val="32"/>
          <w:lang w:val="en-US" w:eastAsia="zh-CN"/>
        </w:rPr>
        <w:sym w:font="Wingdings" w:char="F082"/>
      </w:r>
      <w:r>
        <w:rPr>
          <w:rFonts w:hint="eastAsia"/>
          <w:b w:val="0"/>
          <w:bCs/>
          <w:sz w:val="32"/>
          <w:szCs w:val="32"/>
          <w:lang w:val="en-US" w:eastAsia="zh-CN"/>
        </w:rPr>
        <w:t>公务员医疗补助：指财政部门安排的公务员医疗补助经费</w:t>
      </w:r>
    </w:p>
    <w:p>
      <w:pPr>
        <w:ind w:firstLine="640" w:firstLineChars="200"/>
        <w:outlineLvl w:val="9"/>
        <w:rPr>
          <w:rFonts w:hint="eastAsia"/>
          <w:b w:val="0"/>
          <w:bCs/>
          <w:sz w:val="32"/>
          <w:szCs w:val="32"/>
          <w:lang w:val="en-US" w:eastAsia="zh-CN"/>
        </w:rPr>
      </w:pPr>
      <w:r>
        <w:rPr>
          <w:rFonts w:hint="eastAsia" w:ascii="仿宋_GB2312" w:hAnsi="Calibri" w:eastAsia="仿宋_GB2312" w:cs="仿宋"/>
          <w:b w:val="0"/>
          <w:bCs w:val="0"/>
          <w:color w:val="000000"/>
          <w:kern w:val="0"/>
          <w:sz w:val="32"/>
          <w:szCs w:val="32"/>
          <w:lang w:val="en-US" w:eastAsia="zh-CN"/>
        </w:rPr>
        <w:t>15、其他支出（类）其他支出（款）其他支出（项）：</w:t>
      </w:r>
      <w:r>
        <w:rPr>
          <w:rFonts w:hint="eastAsia" w:ascii="仿宋_GB2312" w:hAnsi="Calibri" w:eastAsia="仿宋_GB2312" w:cs="仿宋"/>
          <w:color w:val="000000"/>
          <w:kern w:val="0"/>
          <w:sz w:val="32"/>
          <w:szCs w:val="32"/>
          <w:lang w:val="en-US" w:eastAsia="zh-CN"/>
        </w:rPr>
        <w:t>指除上述项目以外其他不能划分到具体功能科目中的支出项目。</w:t>
      </w:r>
    </w:p>
    <w:p>
      <w:pPr>
        <w:ind w:firstLine="640" w:firstLineChars="200"/>
        <w:outlineLvl w:val="9"/>
        <w:rPr>
          <w:rFonts w:ascii="仿宋_GB2312" w:eastAsia="仿宋_GB2312"/>
          <w:color w:val="000000"/>
          <w:sz w:val="32"/>
          <w:szCs w:val="32"/>
        </w:rPr>
      </w:pPr>
      <w:r>
        <w:rPr>
          <w:rFonts w:hint="eastAsia" w:ascii="仿宋_GB2312" w:eastAsia="仿宋_GB2312" w:cs="仿宋_GB2312"/>
          <w:color w:val="000000"/>
          <w:sz w:val="32"/>
          <w:szCs w:val="32"/>
          <w:lang w:val="en-US" w:eastAsia="zh-CN"/>
        </w:rPr>
        <w:t>16</w:t>
      </w:r>
      <w:r>
        <w:rPr>
          <w:rFonts w:ascii="仿宋_GB2312" w:eastAsia="仿宋_GB2312" w:cs="仿宋_GB2312"/>
          <w:color w:val="000000"/>
          <w:sz w:val="32"/>
          <w:szCs w:val="32"/>
        </w:rPr>
        <w:t>.</w:t>
      </w:r>
      <w:r>
        <w:rPr>
          <w:rFonts w:hint="eastAsia" w:ascii="仿宋_GB2312" w:eastAsia="仿宋_GB2312" w:cs="仿宋_GB2312"/>
          <w:color w:val="000000"/>
          <w:sz w:val="32"/>
          <w:szCs w:val="32"/>
        </w:rPr>
        <w:t>基本支出：指为保障机构正常运转、完成日常工作任务而发生的人员支出和公用支出。</w:t>
      </w:r>
    </w:p>
    <w:p>
      <w:pPr>
        <w:ind w:firstLine="640" w:firstLineChars="200"/>
        <w:outlineLvl w:val="9"/>
        <w:rPr>
          <w:rFonts w:ascii="仿宋_GB2312" w:eastAsia="仿宋_GB2312" w:cs="仿宋_GB2312"/>
          <w:color w:val="000000"/>
          <w:sz w:val="32"/>
          <w:szCs w:val="32"/>
        </w:rPr>
      </w:pPr>
      <w:r>
        <w:rPr>
          <w:rFonts w:hint="eastAsia" w:ascii="仿宋_GB2312" w:eastAsia="仿宋_GB2312" w:cs="仿宋_GB2312"/>
          <w:color w:val="000000"/>
          <w:sz w:val="32"/>
          <w:szCs w:val="32"/>
          <w:lang w:val="en-US" w:eastAsia="zh-CN"/>
        </w:rPr>
        <w:t>17</w:t>
      </w:r>
      <w:r>
        <w:rPr>
          <w:rFonts w:ascii="仿宋_GB2312" w:eastAsia="仿宋_GB2312" w:cs="仿宋_GB2312"/>
          <w:color w:val="000000"/>
          <w:sz w:val="32"/>
          <w:szCs w:val="32"/>
        </w:rPr>
        <w:t>.</w:t>
      </w:r>
      <w:r>
        <w:rPr>
          <w:rFonts w:hint="eastAsia" w:ascii="仿宋_GB2312" w:eastAsia="仿宋_GB2312" w:cs="仿宋_GB2312"/>
          <w:color w:val="000000"/>
          <w:sz w:val="32"/>
          <w:szCs w:val="32"/>
        </w:rPr>
        <w:t>项目支出：指在基本支出之外为完成特定行政任务和事业发展目标所发生的支出。</w:t>
      </w:r>
      <w:r>
        <w:rPr>
          <w:rFonts w:ascii="仿宋_GB2312" w:eastAsia="仿宋_GB2312" w:cs="仿宋_GB2312"/>
          <w:color w:val="000000"/>
          <w:sz w:val="32"/>
          <w:szCs w:val="32"/>
        </w:rPr>
        <w:t xml:space="preserve"> </w:t>
      </w:r>
    </w:p>
    <w:p>
      <w:pPr>
        <w:ind w:firstLine="640" w:firstLineChars="200"/>
        <w:outlineLvl w:val="9"/>
        <w:rPr>
          <w:rFonts w:ascii="仿宋_GB2312" w:eastAsia="仿宋_GB2312"/>
          <w:color w:val="000000"/>
          <w:sz w:val="32"/>
          <w:szCs w:val="32"/>
        </w:rPr>
      </w:pPr>
      <w:r>
        <w:rPr>
          <w:rFonts w:hint="eastAsia" w:ascii="仿宋_GB2312" w:eastAsia="仿宋_GB2312" w:cs="仿宋_GB2312"/>
          <w:color w:val="000000"/>
          <w:sz w:val="32"/>
          <w:szCs w:val="32"/>
          <w:lang w:val="en-US" w:eastAsia="zh-CN"/>
        </w:rPr>
        <w:t>18</w:t>
      </w:r>
      <w:r>
        <w:rPr>
          <w:rFonts w:ascii="仿宋_GB2312" w:eastAsia="仿宋_GB2312" w:cs="仿宋_GB2312"/>
          <w:color w:val="000000"/>
          <w:sz w:val="32"/>
          <w:szCs w:val="32"/>
        </w:rPr>
        <w:t>.</w:t>
      </w:r>
      <w:r>
        <w:rPr>
          <w:rFonts w:hint="eastAsia" w:ascii="仿宋_GB2312" w:eastAsia="仿宋_GB2312" w:cs="仿宋_GB2312"/>
          <w:color w:val="000000"/>
          <w:sz w:val="32"/>
          <w:szCs w:val="32"/>
        </w:rPr>
        <w:t>经营支出：指事业单位在专业业务活动及其辅助活动之外开展非独立核算经营活动发生的支出。</w:t>
      </w:r>
    </w:p>
    <w:p>
      <w:pPr>
        <w:pStyle w:val="25"/>
        <w:spacing w:line="560" w:lineRule="exact"/>
        <w:ind w:firstLine="640" w:firstLineChars="200"/>
        <w:outlineLvl w:val="9"/>
        <w:rPr>
          <w:rFonts w:ascii="仿宋_GB2312" w:eastAsia="仿宋_GB2312" w:cs="Times New Roman"/>
          <w:sz w:val="32"/>
          <w:szCs w:val="32"/>
        </w:rPr>
      </w:pPr>
      <w:r>
        <w:rPr>
          <w:rFonts w:hint="eastAsia" w:ascii="仿宋_GB2312" w:eastAsia="仿宋_GB2312" w:cs="仿宋_GB2312"/>
          <w:sz w:val="32"/>
          <w:szCs w:val="32"/>
          <w:lang w:val="en-US" w:eastAsia="zh-CN"/>
        </w:rPr>
        <w:t>19</w:t>
      </w:r>
      <w:r>
        <w:rPr>
          <w:rFonts w:ascii="仿宋_GB2312" w:eastAsia="仿宋_GB2312" w:cs="仿宋_GB2312"/>
          <w:sz w:val="32"/>
          <w:szCs w:val="32"/>
        </w:rPr>
        <w:t>.</w:t>
      </w:r>
      <w:r>
        <w:rPr>
          <w:rFonts w:hint="eastAsia" w:ascii="仿宋_GB2312" w:eastAsia="仿宋_GB2312" w:cs="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5"/>
        <w:spacing w:line="560" w:lineRule="exact"/>
        <w:ind w:firstLine="640" w:firstLineChars="200"/>
        <w:outlineLvl w:val="9"/>
        <w:rPr>
          <w:rFonts w:ascii="仿宋_GB2312" w:eastAsia="仿宋_GB2312" w:cs="Times New Roman"/>
          <w:sz w:val="32"/>
          <w:szCs w:val="32"/>
        </w:rPr>
      </w:pPr>
      <w:r>
        <w:rPr>
          <w:rFonts w:hint="eastAsia" w:ascii="仿宋_GB2312" w:eastAsia="仿宋_GB2312" w:cs="仿宋_GB2312"/>
          <w:sz w:val="32"/>
          <w:szCs w:val="32"/>
          <w:lang w:val="en-US" w:eastAsia="zh-CN"/>
        </w:rPr>
        <w:t>20</w:t>
      </w:r>
      <w:r>
        <w:rPr>
          <w:rFonts w:ascii="仿宋_GB2312" w:eastAsia="仿宋_GB2312" w:cs="仿宋_GB2312"/>
          <w:sz w:val="32"/>
          <w:szCs w:val="32"/>
        </w:rPr>
        <w:t>.</w:t>
      </w:r>
      <w:r>
        <w:rPr>
          <w:rFonts w:hint="eastAsia" w:ascii="仿宋_GB2312" w:eastAsia="仿宋_GB2312" w:cs="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0"/>
        <w:rPr>
          <w:rFonts w:ascii="方正小标宋简体" w:hAnsi="方正小标宋简体" w:eastAsia="方正小标宋简体" w:cs="方正小标宋简体"/>
          <w:sz w:val="44"/>
          <w:szCs w:val="44"/>
        </w:rPr>
      </w:pPr>
      <w:r>
        <w:rPr>
          <w:rFonts w:ascii="宋体"/>
          <w:b/>
          <w:sz w:val="44"/>
          <w:szCs w:val="44"/>
        </w:rPr>
        <w:br w:type="page"/>
      </w:r>
      <w:bookmarkStart w:id="79" w:name="_Toc15396614"/>
      <w:bookmarkStart w:id="80" w:name="_Toc17050"/>
      <w:r>
        <w:rPr>
          <w:rFonts w:hint="eastAsia" w:ascii="宋体"/>
          <w:b/>
          <w:sz w:val="44"/>
          <w:szCs w:val="44"/>
          <w:lang w:val="en-US" w:eastAsia="zh-CN"/>
        </w:rPr>
        <w:t xml:space="preserve">  </w:t>
      </w:r>
      <w:r>
        <w:rPr>
          <w:rFonts w:hint="eastAsia" w:ascii="黑体" w:hAnsi="黑体" w:eastAsia="黑体"/>
          <w:sz w:val="44"/>
          <w:szCs w:val="44"/>
        </w:rPr>
        <w:t>第</w:t>
      </w:r>
      <w:r>
        <w:rPr>
          <w:rStyle w:val="27"/>
          <w:rFonts w:hint="eastAsia" w:ascii="黑体" w:hAnsi="黑体" w:eastAsia="黑体"/>
          <w:b w:val="0"/>
        </w:rPr>
        <w:t>四部分 附件</w:t>
      </w:r>
      <w:bookmarkEnd w:id="79"/>
      <w:bookmarkEnd w:id="80"/>
    </w:p>
    <w:p>
      <w:pPr>
        <w:pStyle w:val="2"/>
        <w:keepNext w:val="0"/>
        <w:keepLines w:val="0"/>
        <w:pageBreakBefore w:val="0"/>
        <w:widowControl w:val="0"/>
        <w:kinsoku/>
        <w:wordWrap/>
        <w:overflowPunct/>
        <w:topLinePunct w:val="0"/>
        <w:autoSpaceDE/>
        <w:autoSpaceDN/>
        <w:bidi w:val="0"/>
        <w:adjustRightInd/>
        <w:snapToGrid/>
        <w:spacing w:before="93" w:line="240" w:lineRule="auto"/>
        <w:textAlignment w:val="auto"/>
        <w:outlineLvl w:val="9"/>
        <w:rPr>
          <w:rFonts w:hint="eastAsia" w:eastAsia="仿宋_GB2312"/>
          <w:lang w:val="en-US" w:eastAsia="zh-CN"/>
        </w:rPr>
      </w:pPr>
      <w:bookmarkStart w:id="81" w:name="_Toc14845_WPSOffice_Level2"/>
      <w:r>
        <w:rPr>
          <w:rFonts w:hint="eastAsia" w:hAnsi="宋体" w:cs="宋体"/>
          <w:sz w:val="32"/>
          <w:szCs w:val="32"/>
          <w:shd w:val="clear" w:color="auto" w:fill="FFFFFF"/>
          <w:lang w:val="zh-CN"/>
        </w:rPr>
        <w:t>附件</w:t>
      </w:r>
      <w:r>
        <w:rPr>
          <w:rFonts w:hint="eastAsia" w:hAnsi="宋体" w:cs="宋体"/>
          <w:sz w:val="32"/>
          <w:szCs w:val="32"/>
          <w:shd w:val="clear" w:color="auto" w:fill="FFFFFF"/>
          <w:lang w:val="en-US" w:eastAsia="zh-CN"/>
        </w:rPr>
        <w:t>1</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760" w:firstLineChars="200"/>
        <w:jc w:val="center"/>
        <w:textAlignment w:val="auto"/>
        <w:rPr>
          <w:rFonts w:hint="eastAsia" w:ascii="方正小标宋_GBK" w:hAnsi="方正小标宋_GBK" w:eastAsia="方正小标宋_GBK" w:cs="方正小标宋_GBK"/>
          <w:kern w:val="0"/>
          <w:sz w:val="38"/>
          <w:szCs w:val="38"/>
        </w:rPr>
      </w:pPr>
      <w:r>
        <w:rPr>
          <w:rFonts w:hint="eastAsia" w:ascii="方正小标宋_GBK" w:hAnsi="方正小标宋_GBK" w:eastAsia="方正小标宋_GBK" w:cs="方正小标宋_GBK"/>
          <w:kern w:val="0"/>
          <w:sz w:val="38"/>
          <w:szCs w:val="38"/>
        </w:rPr>
        <w:t>中共盐边县委组织部</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760" w:firstLineChars="200"/>
        <w:jc w:val="center"/>
        <w:textAlignment w:val="auto"/>
      </w:pPr>
      <w:r>
        <w:rPr>
          <w:rFonts w:hint="eastAsia" w:ascii="方正小标宋_GBK" w:hAnsi="方正小标宋_GBK" w:eastAsia="方正小标宋_GBK" w:cs="方正小标宋_GBK"/>
          <w:kern w:val="0"/>
          <w:sz w:val="38"/>
          <w:szCs w:val="38"/>
        </w:rPr>
        <w:t>2021年部门整体支出绩效评价报告</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方正黑体_GBK" w:hAnsi="Times New Roman" w:eastAsia="方正黑体_GBK" w:cs="Times New Roman"/>
          <w:kern w:val="0"/>
          <w:sz w:val="33"/>
          <w:szCs w:val="33"/>
          <w:lang w:val="en-US" w:eastAsia="zh-CN"/>
        </w:rPr>
      </w:pPr>
      <w:r>
        <w:rPr>
          <w:rFonts w:hint="eastAsia" w:ascii="方正黑体_GBK" w:hAnsi="Times New Roman" w:eastAsia="方正黑体_GBK" w:cs="Times New Roman"/>
          <w:kern w:val="0"/>
          <w:sz w:val="33"/>
          <w:szCs w:val="33"/>
          <w:lang w:val="en-US" w:eastAsia="zh-CN"/>
        </w:rPr>
        <w:t>一、部门概况</w:t>
      </w:r>
      <w:bookmarkEnd w:id="81"/>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val="zh-CN"/>
        </w:rPr>
      </w:pPr>
      <w:r>
        <w:rPr>
          <w:rFonts w:hint="eastAsia" w:ascii="方正楷体_GBK" w:hAnsi="Times New Roman" w:eastAsia="方正楷体_GBK" w:cs="Times New Roman"/>
          <w:b/>
          <w:kern w:val="0"/>
          <w:sz w:val="33"/>
          <w:szCs w:val="33"/>
          <w:lang w:val="zh-CN"/>
        </w:rPr>
        <w:t>（一）机构组成</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县委组织部内设办公室、研究室、组织一股（县委党建办综合股）、组织二股（县委非公有制经济组织和社会组</w:t>
      </w:r>
      <w:r>
        <w:rPr>
          <w:rFonts w:hint="eastAsia" w:ascii="Times New Roman" w:hAnsi="Times New Roman" w:eastAsia="方正仿宋_GBK"/>
          <w:color w:val="000000"/>
          <w:sz w:val="33"/>
          <w:szCs w:val="32"/>
          <w:shd w:val="clear" w:color="auto" w:fill="FFFFFF"/>
          <w:lang w:bidi="ar"/>
        </w:rPr>
        <w:t>织工作委员会办公室）、干部一股（干部教育培训股）、干部二股（干部档案管理股）、干部监督股、公务员股、人才工作股（高端人才服务股）、离退休干部股</w:t>
      </w:r>
      <w:r>
        <w:rPr>
          <w:rFonts w:hint="eastAsia" w:ascii="Times New Roman" w:hAnsi="Times New Roman" w:eastAsia="方正仿宋_GBK"/>
          <w:color w:val="000000"/>
          <w:sz w:val="33"/>
          <w:szCs w:val="32"/>
          <w:shd w:val="clear" w:color="auto" w:fill="FFFFFF"/>
          <w:lang w:val="en-US" w:eastAsia="zh-CN" w:bidi="ar"/>
        </w:rPr>
        <w:t>10</w:t>
      </w:r>
      <w:r>
        <w:rPr>
          <w:rFonts w:hint="eastAsia" w:ascii="Times New Roman" w:hAnsi="Times New Roman" w:eastAsia="方正仿宋_GBK"/>
          <w:color w:val="000000"/>
          <w:sz w:val="33"/>
          <w:szCs w:val="32"/>
          <w:shd w:val="clear" w:color="auto" w:fill="FFFFFF"/>
          <w:lang w:bidi="ar"/>
        </w:rPr>
        <w:t>个股室；</w:t>
      </w:r>
      <w:r>
        <w:rPr>
          <w:rFonts w:hint="eastAsia" w:ascii="Times New Roman" w:hAnsi="Times New Roman" w:eastAsia="方正仿宋_GBK" w:cs="Times New Roman"/>
          <w:color w:val="000000"/>
          <w:kern w:val="2"/>
          <w:sz w:val="33"/>
          <w:szCs w:val="32"/>
          <w:shd w:val="clear" w:color="auto" w:fill="FFFFFF"/>
          <w:lang w:val="en-US" w:eastAsia="zh-CN" w:bidi="ar"/>
        </w:rPr>
        <w:t>下属非独立核算单位3个，其中参照公务员法管理的事业单位1个，中共盐边县委组织部党员教育中心；其他事业单位2个，盐边县老干部活动中心、盐边县干部人事档案服务中心。且加挂了非公有制经济组织和社会组织工作委员会、老干部局、县公务员局、中共盐边县直属机关工作委员会4块牌子。</w:t>
      </w:r>
    </w:p>
    <w:p>
      <w:pPr>
        <w:keepNext w:val="0"/>
        <w:keepLines w:val="0"/>
        <w:pageBreakBefore w:val="0"/>
        <w:kinsoku/>
        <w:wordWrap/>
        <w:overflowPunct/>
        <w:topLinePunct w:val="0"/>
        <w:autoSpaceDE w:val="0"/>
        <w:autoSpaceDN w:val="0"/>
        <w:bidi w:val="0"/>
        <w:adjustRightInd w:val="0"/>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val="zh-CN"/>
        </w:rPr>
      </w:pPr>
      <w:r>
        <w:rPr>
          <w:rFonts w:hint="eastAsia" w:ascii="方正楷体_GBK" w:hAnsi="Times New Roman" w:eastAsia="方正楷体_GBK" w:cs="Times New Roman"/>
          <w:b/>
          <w:kern w:val="0"/>
          <w:sz w:val="33"/>
          <w:szCs w:val="33"/>
          <w:lang w:val="zh-CN"/>
        </w:rPr>
        <w:t>（</w:t>
      </w:r>
      <w:r>
        <w:rPr>
          <w:rFonts w:hint="eastAsia" w:ascii="方正楷体_GBK" w:hAnsi="Times New Roman" w:eastAsia="方正楷体_GBK" w:cs="Times New Roman"/>
          <w:b/>
          <w:kern w:val="0"/>
          <w:sz w:val="33"/>
          <w:szCs w:val="33"/>
          <w:lang w:val="en-US" w:eastAsia="zh-CN"/>
        </w:rPr>
        <w:t>二</w:t>
      </w:r>
      <w:r>
        <w:rPr>
          <w:rFonts w:hint="eastAsia" w:ascii="方正楷体_GBK" w:hAnsi="Times New Roman" w:eastAsia="方正楷体_GBK" w:cs="Times New Roman"/>
          <w:b/>
          <w:kern w:val="0"/>
          <w:sz w:val="33"/>
          <w:szCs w:val="33"/>
          <w:lang w:val="zh-CN"/>
        </w:rPr>
        <w:t>）机构职能</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县委组织部主管全县人事、党建方面的工作，负责有关组织工作、干部工作、人才工作的理论研究及重要政策的综合研究；承担省委组织部、市委组织部下达的重点调研课题，指导全县组织系统调研工作等。</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1.严格执行党的干部路线、方针、政策，负责全县干部队伍建设的宏观管理，拟订或参与拟订组织、干部、人事工作的重要政策、规定、制度；负责全县党的建设制度改革工作的规划研究、部署和组织实施。</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2.负责干部队伍建设的规划和指导工作。研究拟订加强全县干部队伍建设整体规划的工作措施；负责对县委管理的领导班子进行考察了解，并向县委提出调整配备的意见和建议；负责县委管理干部的考察、任免、工资、待遇、退休审批等手续的办理；会同机构编制部门拟订副科级以上单位领导班子职数设置方案；负责规划、部署、组织实施年轻干部、妇女干部、少数民族干部、党外干部的培养、选拔、任用工作。指导乡镇和县直乡科级单位领导班子政治建设；协助管理以垂直部门管理为主的双重管理单位领导班子和领导干部，对领导班子建设和领导干部的选拔任用提出意见和建议。负责省、市、县人大代表和政协委员推荐提名工作。</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3.执行公务员管理政策和法律法规。负责公务员职务与职级并行制度的组织实施；负责全县公务员和参照公务员法管理单位工作人员的考选、调配、交流、安置、管理工作；负责全县公务员、参照公务员法管理单位工作人员工资、福利、退休、抚恤等政策的组织实施。</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4.负责全县人才工作和人才队伍建设的宏观管理和指导。研究拟订人才工作有关政策；协调落实专项重点人才工作；协调实施高层次人才培养工程。</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5.研究制定全县干部信息建设规划；负责全县干部信息、干部档案、干部统计工作。</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6.负责干部监督工作的宏观指导。负责对党政领导干部选拔任用工作进行监督检查；对反映领导班子、领导干部和组织建设的重要问题进行调查了解和督办；对有关监督制度的落实情况进行督查；对市委管理干部的历史遗留问题进行初审，对县委管理干部的历史遗留问题进行审查；组织开展领导干部个人有关事项报告，做好干部因私出国（境）审批管理、任期经济责任审计，开展提醒、函询、诫勉工作。协助做好县委巡察工作。</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7.负责全县干部教育培训的宏观管理，制定干部教育工作规划，组织、开展主题教育培训，协调、指导乡镇和县直各单位的干部教育培训工作。</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8.研究指导党组织建设工作。制定落实加强党的工作制度、党内生活制度的规定和意见；对各领域党的基层组织建设进行分类指导，对各级各类党组织设立进行指导审核；指导乡镇党委健全党代表大会制度，指导党代表大会代表选举、管理和联络服务。</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9.研究指导党员队伍建设工作。主管党员发展和管理工作，指导全县党员教育培训；指导乡镇和县直乡科级单位党员领导干部民主生活会；负责全县党费收缴、管理和使用工作；指导开展党内表彰奖励、关怀帮扶等工作；负责全县党组织和党员队伍信息化建设及党内统计工作。</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10.负责全县非公有制经济组织和社会组织党的建设工作。</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11.承担县委基层党建工作领导小组日常工作，综合协调有关部门统筹推进基层党建工作，健全和落实基层党建工作责任制，负责基层党建述职评议；协调有关部门指导发展壮大村级（社区）集体经济。</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12.贯彻执行离退休干部工作的方针、政策和决策部署，负责全县离退休干部工作的宏观管理和指导。承担县委老干部工作领导小组、县委离退休干部工作委员会和县关心下一代工作委员会的日常管理工作。</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val="zh-CN"/>
        </w:rPr>
      </w:pPr>
      <w:r>
        <w:rPr>
          <w:rFonts w:hint="eastAsia" w:ascii="方正楷体_GBK" w:hAnsi="Times New Roman" w:eastAsia="方正楷体_GBK" w:cs="Times New Roman"/>
          <w:b/>
          <w:kern w:val="0"/>
          <w:sz w:val="33"/>
          <w:szCs w:val="33"/>
          <w:lang w:val="zh-CN"/>
        </w:rPr>
        <w:t>（三）人员概况</w:t>
      </w:r>
    </w:p>
    <w:p>
      <w:pPr>
        <w:pStyle w:val="2"/>
        <w:keepNext w:val="0"/>
        <w:keepLines w:val="0"/>
        <w:pageBreakBefore w:val="0"/>
        <w:kinsoku/>
        <w:wordWrap/>
        <w:overflowPunct/>
        <w:topLinePunct w:val="0"/>
        <w:bidi w:val="0"/>
        <w:adjustRightInd w:val="0"/>
        <w:spacing w:beforeLines="0" w:line="240" w:lineRule="auto"/>
        <w:ind w:firstLine="660" w:firstLineChars="200"/>
        <w:jc w:val="both"/>
        <w:textAlignment w:val="auto"/>
        <w:outlineLvl w:val="9"/>
        <w:rPr>
          <w:rFonts w:ascii="方正仿宋_GBK" w:hAnsi="仿宋" w:eastAsia="方正仿宋_GBK"/>
          <w:color w:val="auto"/>
          <w:shd w:val="clear" w:color="auto" w:fill="FFFFFF"/>
          <w:lang w:val="en-US" w:bidi="ar"/>
        </w:rPr>
      </w:pPr>
      <w:r>
        <w:rPr>
          <w:rFonts w:hint="eastAsia" w:ascii="Times New Roman" w:hAnsi="Times New Roman" w:eastAsia="方正仿宋_GBK" w:cs="Times New Roman"/>
          <w:color w:val="000000"/>
          <w:kern w:val="2"/>
          <w:sz w:val="33"/>
          <w:szCs w:val="32"/>
          <w:shd w:val="clear" w:color="auto" w:fill="FFFFFF"/>
          <w:lang w:val="en-US" w:eastAsia="zh-CN" w:bidi="ar"/>
        </w:rPr>
        <w:t>2021年末在职人员39人，其中行政在编人员22人，参照公务员管理人员11人，事业在编人员6人，离休人员4人。</w:t>
      </w:r>
      <w:r>
        <w:rPr>
          <w:rFonts w:hint="eastAsia" w:ascii="仿宋" w:hAnsi="仿宋" w:eastAsia="仿宋"/>
          <w:color w:val="auto"/>
          <w:lang w:val="en-US"/>
        </w:rPr>
        <w:t xml:space="preserve"> </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方正黑体_GBK" w:hAnsi="Times New Roman" w:eastAsia="方正黑体_GBK" w:cs="Times New Roman"/>
          <w:kern w:val="0"/>
          <w:sz w:val="33"/>
          <w:szCs w:val="33"/>
          <w:lang w:val="en-US" w:eastAsia="zh-CN"/>
        </w:rPr>
      </w:pPr>
      <w:bookmarkStart w:id="82" w:name="_Toc4499_WPSOffice_Level2"/>
      <w:r>
        <w:rPr>
          <w:rFonts w:hint="eastAsia" w:ascii="方正黑体_GBK" w:hAnsi="Times New Roman" w:eastAsia="方正黑体_GBK" w:cs="Times New Roman"/>
          <w:kern w:val="0"/>
          <w:sz w:val="33"/>
          <w:szCs w:val="33"/>
          <w:lang w:val="en-US" w:eastAsia="zh-CN"/>
        </w:rPr>
        <w:t>二、部门财政资金基本情况</w:t>
      </w:r>
      <w:bookmarkEnd w:id="82"/>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val="zh-CN" w:eastAsia="zh-CN"/>
        </w:rPr>
      </w:pPr>
      <w:r>
        <w:rPr>
          <w:rFonts w:hint="eastAsia" w:ascii="方正楷体_GBK" w:hAnsi="Times New Roman" w:eastAsia="方正楷体_GBK" w:cs="Times New Roman"/>
          <w:b/>
          <w:kern w:val="0"/>
          <w:sz w:val="33"/>
          <w:szCs w:val="33"/>
          <w:lang w:val="zh-CN" w:eastAsia="zh-CN"/>
        </w:rPr>
        <w:t>（</w:t>
      </w:r>
      <w:r>
        <w:rPr>
          <w:rFonts w:hint="eastAsia" w:ascii="方正楷体_GBK" w:hAnsi="Times New Roman" w:eastAsia="方正楷体_GBK" w:cs="Times New Roman"/>
          <w:b/>
          <w:kern w:val="0"/>
          <w:sz w:val="33"/>
          <w:szCs w:val="33"/>
          <w:lang w:val="en-US" w:eastAsia="zh-CN"/>
        </w:rPr>
        <w:t>一</w:t>
      </w:r>
      <w:r>
        <w:rPr>
          <w:rFonts w:hint="eastAsia" w:ascii="方正楷体_GBK" w:hAnsi="Times New Roman" w:eastAsia="方正楷体_GBK" w:cs="Times New Roman"/>
          <w:b/>
          <w:kern w:val="0"/>
          <w:sz w:val="33"/>
          <w:szCs w:val="33"/>
          <w:lang w:val="zh-CN" w:eastAsia="zh-CN"/>
        </w:rPr>
        <w:t>）部门财政资金收入情况</w:t>
      </w:r>
    </w:p>
    <w:p>
      <w:pPr>
        <w:pStyle w:val="2"/>
        <w:keepNext w:val="0"/>
        <w:keepLines w:val="0"/>
        <w:pageBreakBefore w:val="0"/>
        <w:widowControl w:val="0"/>
        <w:kinsoku/>
        <w:wordWrap/>
        <w:overflowPunct/>
        <w:topLinePunct w:val="0"/>
        <w:autoSpaceDE/>
        <w:autoSpaceDN/>
        <w:bidi w:val="0"/>
        <w:adjustRightInd w:val="0"/>
        <w:snapToGrid/>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2021年年初部门预算安排收入为625.58万元。当年调增及调减后实际预算下达收入1120.05万元。</w:t>
      </w:r>
    </w:p>
    <w:p>
      <w:pPr>
        <w:pStyle w:val="8"/>
        <w:keepNext w:val="0"/>
        <w:keepLines w:val="0"/>
        <w:pageBreakBefore w:val="0"/>
        <w:kinsoku/>
        <w:wordWrap/>
        <w:overflowPunct/>
        <w:topLinePunct w:val="0"/>
        <w:bidi w:val="0"/>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val="zh-CN" w:eastAsia="zh-CN" w:bidi="ar-SA"/>
        </w:rPr>
      </w:pPr>
      <w:r>
        <w:rPr>
          <w:rFonts w:hint="eastAsia" w:ascii="方正楷体_GBK" w:hAnsi="Times New Roman" w:eastAsia="方正楷体_GBK" w:cs="Times New Roman"/>
          <w:b/>
          <w:kern w:val="0"/>
          <w:sz w:val="33"/>
          <w:szCs w:val="33"/>
          <w:lang w:val="zh-CN" w:eastAsia="zh-CN" w:bidi="ar-SA"/>
        </w:rPr>
        <w:t>（二）部门财政资金支出情况</w:t>
      </w:r>
    </w:p>
    <w:p>
      <w:pPr>
        <w:pStyle w:val="2"/>
        <w:keepNext w:val="0"/>
        <w:keepLines w:val="0"/>
        <w:pageBreakBefore w:val="0"/>
        <w:kinsoku/>
        <w:wordWrap/>
        <w:overflowPunct/>
        <w:topLinePunct w:val="0"/>
        <w:bidi w:val="0"/>
        <w:adjustRightInd w:val="0"/>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1.部门预算基本支出情况</w:t>
      </w:r>
    </w:p>
    <w:p>
      <w:pPr>
        <w:pStyle w:val="2"/>
        <w:keepNext w:val="0"/>
        <w:keepLines w:val="0"/>
        <w:pageBreakBefore w:val="0"/>
        <w:kinsoku/>
        <w:wordWrap/>
        <w:overflowPunct/>
        <w:topLinePunct w:val="0"/>
        <w:bidi w:val="0"/>
        <w:adjustRightInd w:val="0"/>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2021年年初部门预算安排基本支出为485.31万元。其中：工资福利支出424.39万元，日常公用支出60.93万元。当年调增及调减后实际预算下达基本支出726.60万元。</w:t>
      </w:r>
    </w:p>
    <w:p>
      <w:pPr>
        <w:pStyle w:val="2"/>
        <w:keepNext w:val="0"/>
        <w:keepLines w:val="0"/>
        <w:pageBreakBefore w:val="0"/>
        <w:kinsoku/>
        <w:wordWrap/>
        <w:overflowPunct/>
        <w:topLinePunct w:val="0"/>
        <w:bidi w:val="0"/>
        <w:adjustRightInd w:val="0"/>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基本支出中的工资福利、对个人和家庭补助支出主要用于职工基本工资、绩效工资、津贴补贴、养老保险等各类保险缴费、在职及退休人员目标奖奖金、住房公积金等。日常公用支出主要用于办公费、水电费、邮电费、差旅费、工会经费、其他交通费等方面。</w:t>
      </w:r>
    </w:p>
    <w:p>
      <w:pPr>
        <w:pStyle w:val="2"/>
        <w:keepNext w:val="0"/>
        <w:keepLines w:val="0"/>
        <w:pageBreakBefore w:val="0"/>
        <w:kinsoku/>
        <w:wordWrap/>
        <w:overflowPunct/>
        <w:topLinePunct w:val="0"/>
        <w:bidi w:val="0"/>
        <w:adjustRightInd w:val="0"/>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2.部门预算项目安排及支出情况。</w:t>
      </w:r>
    </w:p>
    <w:p>
      <w:pPr>
        <w:pStyle w:val="2"/>
        <w:keepNext w:val="0"/>
        <w:keepLines w:val="0"/>
        <w:pageBreakBefore w:val="0"/>
        <w:kinsoku/>
        <w:wordWrap/>
        <w:overflowPunct/>
        <w:topLinePunct w:val="0"/>
        <w:bidi w:val="0"/>
        <w:adjustRightInd w:val="0"/>
        <w:spacing w:beforeLines="0"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2021年年初部门预算安排项目支出为140.27万元；2021年调增及调减后实际预算下达项目支出1119.67万元。项目支出主要用于开展业务所需的差旅费、办公费、会议费、资料印刷费、培训费等方面支出。</w:t>
      </w:r>
    </w:p>
    <w:p>
      <w:pPr>
        <w:pStyle w:val="8"/>
        <w:keepNext w:val="0"/>
        <w:keepLines w:val="0"/>
        <w:pageBreakBefore w:val="0"/>
        <w:kinsoku/>
        <w:wordWrap/>
        <w:overflowPunct/>
        <w:topLinePunct w:val="0"/>
        <w:bidi w:val="0"/>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val="zh-CN" w:eastAsia="zh-CN" w:bidi="ar-SA"/>
        </w:rPr>
      </w:pPr>
      <w:r>
        <w:rPr>
          <w:rFonts w:hint="eastAsia" w:ascii="方正楷体_GBK" w:hAnsi="Times New Roman" w:eastAsia="方正楷体_GBK" w:cs="Times New Roman"/>
          <w:b/>
          <w:kern w:val="0"/>
          <w:sz w:val="33"/>
          <w:szCs w:val="33"/>
          <w:lang w:val="zh-CN" w:eastAsia="zh-CN" w:bidi="ar-SA"/>
        </w:rPr>
        <w:t>（</w:t>
      </w:r>
      <w:r>
        <w:rPr>
          <w:rFonts w:hint="eastAsia" w:ascii="方正楷体_GBK" w:hAnsi="Times New Roman" w:eastAsia="方正楷体_GBK" w:cs="Times New Roman"/>
          <w:b/>
          <w:kern w:val="0"/>
          <w:sz w:val="33"/>
          <w:szCs w:val="33"/>
          <w:lang w:val="en-US" w:eastAsia="zh-CN" w:bidi="ar-SA"/>
        </w:rPr>
        <w:t>三</w:t>
      </w:r>
      <w:r>
        <w:rPr>
          <w:rFonts w:hint="eastAsia" w:ascii="方正楷体_GBK" w:hAnsi="Times New Roman" w:eastAsia="方正楷体_GBK" w:cs="Times New Roman"/>
          <w:b/>
          <w:kern w:val="0"/>
          <w:sz w:val="33"/>
          <w:szCs w:val="33"/>
          <w:lang w:val="zh-CN" w:eastAsia="zh-CN" w:bidi="ar-SA"/>
        </w:rPr>
        <w:t>）结转结余情况</w:t>
      </w:r>
    </w:p>
    <w:p>
      <w:pPr>
        <w:pStyle w:val="8"/>
        <w:keepNext w:val="0"/>
        <w:keepLines w:val="0"/>
        <w:pageBreakBefore w:val="0"/>
        <w:kinsoku/>
        <w:wordWrap/>
        <w:overflowPunct/>
        <w:topLinePunct w:val="0"/>
        <w:bidi w:val="0"/>
        <w:spacing w:line="240" w:lineRule="auto"/>
        <w:ind w:firstLine="640" w:firstLineChars="200"/>
        <w:jc w:val="both"/>
        <w:textAlignment w:val="auto"/>
        <w:outlineLvl w:val="9"/>
        <w:rPr>
          <w:rFonts w:hint="eastAsia" w:ascii="Times New Roman" w:hAnsi="Times New Roman" w:eastAsia="方正仿宋_GBK" w:cs="Times New Roman"/>
          <w:color w:val="000000"/>
          <w:kern w:val="2"/>
          <w:sz w:val="33"/>
          <w:szCs w:val="32"/>
          <w:highlight w:val="none"/>
          <w:shd w:val="clear" w:color="auto" w:fill="FFFFFF"/>
          <w:lang w:val="en-US" w:eastAsia="zh-CN" w:bidi="ar"/>
        </w:rPr>
      </w:pPr>
      <w:r>
        <w:rPr>
          <w:rFonts w:hint="eastAsia" w:ascii="Times New Roman" w:hAnsi="Times New Roman" w:eastAsia="楷体_GB2312"/>
          <w:sz w:val="32"/>
          <w:szCs w:val="32"/>
          <w:highlight w:val="none"/>
        </w:rPr>
        <w:t xml:space="preserve"> </w:t>
      </w:r>
      <w:r>
        <w:rPr>
          <w:rFonts w:hint="eastAsia" w:ascii="Times New Roman" w:hAnsi="Times New Roman" w:eastAsia="方正仿宋_GBK" w:cs="Times New Roman"/>
          <w:color w:val="000000"/>
          <w:kern w:val="2"/>
          <w:sz w:val="33"/>
          <w:szCs w:val="32"/>
          <w:highlight w:val="none"/>
          <w:shd w:val="clear" w:color="auto" w:fill="FFFFFF"/>
          <w:lang w:val="en-US" w:eastAsia="zh-CN" w:bidi="ar"/>
        </w:rPr>
        <w:t>无结转结余。</w:t>
      </w:r>
    </w:p>
    <w:p>
      <w:pPr>
        <w:pStyle w:val="8"/>
        <w:keepNext w:val="0"/>
        <w:keepLines w:val="0"/>
        <w:pageBreakBefore w:val="0"/>
        <w:kinsoku/>
        <w:wordWrap/>
        <w:overflowPunct/>
        <w:topLinePunct w:val="0"/>
        <w:autoSpaceDE/>
        <w:autoSpaceDN/>
        <w:bidi w:val="0"/>
        <w:spacing w:line="240" w:lineRule="auto"/>
        <w:ind w:firstLine="640" w:firstLineChars="200"/>
        <w:jc w:val="both"/>
        <w:textAlignment w:val="auto"/>
        <w:outlineLvl w:val="9"/>
        <w:rPr>
          <w:rFonts w:hint="eastAsia" w:ascii="方正黑体_GBK" w:hAnsi="Times New Roman" w:eastAsia="方正黑体_GBK" w:cs="Times New Roman"/>
          <w:kern w:val="0"/>
          <w:sz w:val="33"/>
          <w:szCs w:val="33"/>
          <w:lang w:val="en-US" w:eastAsia="zh-CN" w:bidi="ar-SA"/>
        </w:rPr>
      </w:pPr>
      <w:r>
        <w:rPr>
          <w:rFonts w:hint="eastAsia" w:ascii="Times New Roman" w:hAnsi="Times New Roman" w:eastAsia="黑体"/>
          <w:sz w:val="32"/>
          <w:szCs w:val="32"/>
        </w:rPr>
        <w:t xml:space="preserve"> </w:t>
      </w:r>
      <w:bookmarkStart w:id="83" w:name="_Toc9310_WPSOffice_Level2"/>
      <w:r>
        <w:rPr>
          <w:rFonts w:hint="eastAsia" w:ascii="方正黑体_GBK" w:hAnsi="Times New Roman" w:eastAsia="方正黑体_GBK" w:cs="Times New Roman"/>
          <w:kern w:val="0"/>
          <w:sz w:val="33"/>
          <w:szCs w:val="33"/>
          <w:lang w:val="en-US" w:eastAsia="zh-CN" w:bidi="ar-SA"/>
        </w:rPr>
        <w:t>三、部门预算绩效管理情况</w:t>
      </w:r>
      <w:bookmarkEnd w:id="83"/>
    </w:p>
    <w:p>
      <w:pPr>
        <w:pStyle w:val="8"/>
        <w:keepNext w:val="0"/>
        <w:keepLines w:val="0"/>
        <w:pageBreakBefore w:val="0"/>
        <w:kinsoku/>
        <w:wordWrap/>
        <w:overflowPunct/>
        <w:topLinePunct w:val="0"/>
        <w:bidi w:val="0"/>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val="zh-CN" w:eastAsia="zh-CN" w:bidi="ar-SA"/>
        </w:rPr>
      </w:pPr>
      <w:r>
        <w:rPr>
          <w:rFonts w:hint="eastAsia" w:ascii="方正楷体_GBK" w:hAnsi="Times New Roman" w:eastAsia="方正楷体_GBK" w:cs="Times New Roman"/>
          <w:b/>
          <w:kern w:val="0"/>
          <w:sz w:val="33"/>
          <w:szCs w:val="33"/>
          <w:lang w:val="zh-CN" w:eastAsia="zh-CN" w:bidi="ar-SA"/>
        </w:rPr>
        <w:t>（</w:t>
      </w:r>
      <w:r>
        <w:rPr>
          <w:rFonts w:hint="eastAsia" w:ascii="方正楷体_GBK" w:hAnsi="Times New Roman" w:eastAsia="方正楷体_GBK" w:cs="Times New Roman"/>
          <w:b/>
          <w:kern w:val="0"/>
          <w:sz w:val="33"/>
          <w:szCs w:val="33"/>
          <w:lang w:val="en-US" w:eastAsia="zh-CN" w:bidi="ar-SA"/>
        </w:rPr>
        <w:t>一</w:t>
      </w:r>
      <w:r>
        <w:rPr>
          <w:rFonts w:hint="eastAsia" w:ascii="方正楷体_GBK" w:hAnsi="Times New Roman" w:eastAsia="方正楷体_GBK" w:cs="Times New Roman"/>
          <w:b/>
          <w:kern w:val="0"/>
          <w:sz w:val="33"/>
          <w:szCs w:val="33"/>
          <w:lang w:val="zh-CN" w:eastAsia="zh-CN" w:bidi="ar-SA"/>
        </w:rPr>
        <w:t>）部门预算绩效管理。</w:t>
      </w:r>
    </w:p>
    <w:p>
      <w:pPr>
        <w:keepNext w:val="0"/>
        <w:keepLines w:val="0"/>
        <w:pageBreakBefore w:val="0"/>
        <w:kinsoku/>
        <w:wordWrap/>
        <w:overflowPunct/>
        <w:topLinePunct w:val="0"/>
        <w:autoSpaceDE/>
        <w:autoSpaceDN/>
        <w:bidi w:val="0"/>
        <w:snapToGrid w:val="0"/>
        <w:spacing w:line="240" w:lineRule="auto"/>
        <w:ind w:firstLine="660" w:firstLineChars="200"/>
        <w:jc w:val="both"/>
        <w:textAlignment w:val="auto"/>
        <w:outlineLvl w:val="9"/>
        <w:rPr>
          <w:rFonts w:ascii="Times New Roman" w:hAnsi="Times New Roman" w:eastAsia="方正仿宋_GBK"/>
          <w:color w:val="auto"/>
          <w:sz w:val="33"/>
          <w:szCs w:val="32"/>
          <w:shd w:val="clear" w:color="auto" w:fill="FFFFFF"/>
          <w:lang w:bidi="ar"/>
        </w:rPr>
      </w:pPr>
      <w:r>
        <w:rPr>
          <w:rFonts w:hint="eastAsia" w:ascii="Times New Roman" w:hAnsi="Times New Roman" w:eastAsia="方正仿宋_GBK"/>
          <w:color w:val="auto"/>
          <w:sz w:val="33"/>
          <w:szCs w:val="32"/>
          <w:shd w:val="clear" w:color="auto" w:fill="FFFFFF"/>
          <w:lang w:bidi="ar"/>
        </w:rPr>
        <w:t>1</w:t>
      </w:r>
      <w:r>
        <w:rPr>
          <w:rFonts w:ascii="Times New Roman" w:hAnsi="Times New Roman" w:eastAsia="方正仿宋_GBK"/>
          <w:color w:val="auto"/>
          <w:sz w:val="33"/>
          <w:szCs w:val="32"/>
          <w:shd w:val="clear" w:color="auto" w:fill="FFFFFF"/>
          <w:lang w:bidi="ar"/>
        </w:rPr>
        <w:t>.</w:t>
      </w:r>
      <w:r>
        <w:rPr>
          <w:rFonts w:hint="eastAsia" w:ascii="Times New Roman" w:hAnsi="Times New Roman" w:eastAsia="方正仿宋_GBK"/>
          <w:color w:val="auto"/>
          <w:sz w:val="33"/>
          <w:szCs w:val="32"/>
          <w:shd w:val="clear" w:color="auto" w:fill="FFFFFF"/>
          <w:lang w:bidi="ar"/>
        </w:rPr>
        <w:t>绩效目标制定</w:t>
      </w:r>
    </w:p>
    <w:p>
      <w:pPr>
        <w:pStyle w:val="6"/>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根据预算绩效管理要求，本部门在2021年度预算编制阶段，按照县级财政要求对本年度已批复下达的11个项目编制了绩效目标，预算执行过程中对各项目开展绩效监控，年终执行完毕后，选取了5个项目开展了绩效目标完成情况自评。2021年部门整体绩效目标制定详见部门预算整体绩效自评表。</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2.绩效目标执行情况</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2"/>
          <w:shd w:val="clear" w:color="auto" w:fill="FFFFFF"/>
          <w:lang w:val="en-US" w:eastAsia="zh-CN" w:bidi="ar"/>
        </w:rPr>
      </w:pPr>
      <w:r>
        <w:rPr>
          <w:rFonts w:hint="eastAsia" w:ascii="Times New Roman" w:hAnsi="Times New Roman" w:eastAsia="方正仿宋_GBK" w:cs="Times New Roman"/>
          <w:color w:val="000000"/>
          <w:kern w:val="2"/>
          <w:sz w:val="33"/>
          <w:szCs w:val="32"/>
          <w:shd w:val="clear" w:color="auto" w:fill="FFFFFF"/>
          <w:lang w:val="en-US" w:eastAsia="zh-CN" w:bidi="ar"/>
        </w:rPr>
        <w:t>县委组织部2021年度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金的有效使用。</w:t>
      </w:r>
    </w:p>
    <w:p>
      <w:pPr>
        <w:keepNext w:val="0"/>
        <w:keepLines w:val="0"/>
        <w:pageBreakBefore w:val="0"/>
        <w:kinsoku/>
        <w:wordWrap/>
        <w:overflowPunct/>
        <w:topLinePunct w:val="0"/>
        <w:autoSpaceDE/>
        <w:autoSpaceDN/>
        <w:bidi w:val="0"/>
        <w:snapToGrid w:val="0"/>
        <w:spacing w:line="240" w:lineRule="auto"/>
        <w:ind w:firstLine="663" w:firstLineChars="200"/>
        <w:jc w:val="both"/>
        <w:textAlignment w:val="auto"/>
        <w:outlineLvl w:val="9"/>
        <w:rPr>
          <w:rFonts w:hint="eastAsia" w:ascii="Times New Roman" w:hAnsi="Times New Roman" w:eastAsia="方正仿宋_GBK"/>
          <w:b/>
          <w:bCs/>
          <w:color w:val="000000"/>
          <w:sz w:val="33"/>
          <w:szCs w:val="33"/>
        </w:rPr>
      </w:pPr>
      <w:r>
        <w:rPr>
          <w:rFonts w:hint="eastAsia" w:ascii="Times New Roman" w:hAnsi="Times New Roman" w:eastAsia="方正仿宋_GBK"/>
          <w:b/>
          <w:bCs/>
          <w:color w:val="000000"/>
          <w:sz w:val="33"/>
          <w:szCs w:val="33"/>
        </w:rPr>
        <w:t>（1）人员类</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olor w:val="auto"/>
          <w:sz w:val="33"/>
          <w:szCs w:val="32"/>
          <w:shd w:val="clear" w:color="auto" w:fill="FFFFFF"/>
          <w:lang w:val="en-US" w:eastAsia="zh-CN" w:bidi="ar"/>
        </w:rPr>
      </w:pPr>
      <w:r>
        <w:rPr>
          <w:rFonts w:hint="eastAsia" w:ascii="Times New Roman" w:hAnsi="Times New Roman" w:eastAsia="方正仿宋_GBK"/>
          <w:color w:val="auto"/>
          <w:sz w:val="33"/>
          <w:szCs w:val="32"/>
          <w:shd w:val="clear" w:color="auto" w:fill="FFFFFF"/>
          <w:lang w:val="en-US" w:eastAsia="zh-CN" w:bidi="ar"/>
        </w:rPr>
        <w:t>2021年度人员经费支出667.02万元，主要用于职工工资及福利待遇支出，未将人员工资福利支出等大平台指标挪作他用，基本支出保障有力，确保全年平稳保障职工工资支出，维持基本行政运转，预算执行率100%。</w:t>
      </w:r>
    </w:p>
    <w:p>
      <w:pPr>
        <w:keepNext w:val="0"/>
        <w:keepLines w:val="0"/>
        <w:pageBreakBefore w:val="0"/>
        <w:kinsoku/>
        <w:wordWrap/>
        <w:overflowPunct/>
        <w:topLinePunct w:val="0"/>
        <w:autoSpaceDE/>
        <w:autoSpaceDN/>
        <w:bidi w:val="0"/>
        <w:snapToGrid w:val="0"/>
        <w:spacing w:line="240" w:lineRule="auto"/>
        <w:ind w:firstLine="663" w:firstLineChars="200"/>
        <w:jc w:val="both"/>
        <w:textAlignment w:val="auto"/>
        <w:outlineLvl w:val="9"/>
        <w:rPr>
          <w:rFonts w:hint="eastAsia" w:ascii="Times New Roman" w:hAnsi="Times New Roman" w:eastAsia="方正仿宋_GBK" w:cs="Times New Roman"/>
          <w:b/>
          <w:bCs/>
          <w:color w:val="000000"/>
          <w:sz w:val="33"/>
          <w:szCs w:val="33"/>
        </w:rPr>
      </w:pPr>
      <w:r>
        <w:rPr>
          <w:rFonts w:hint="eastAsia" w:ascii="Times New Roman" w:hAnsi="Times New Roman" w:eastAsia="方正仿宋_GBK" w:cs="Times New Roman"/>
          <w:b/>
          <w:bCs/>
          <w:color w:val="000000"/>
          <w:sz w:val="33"/>
          <w:szCs w:val="33"/>
        </w:rPr>
        <w:t>（2）运转类</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olor w:val="auto"/>
          <w:sz w:val="33"/>
          <w:szCs w:val="32"/>
          <w:shd w:val="clear" w:color="auto" w:fill="FFFFFF"/>
          <w:lang w:val="en-US" w:eastAsia="zh-CN" w:bidi="ar"/>
        </w:rPr>
      </w:pPr>
      <w:r>
        <w:rPr>
          <w:rFonts w:hint="eastAsia" w:ascii="Times New Roman" w:hAnsi="Times New Roman" w:eastAsia="方正仿宋_GBK"/>
          <w:color w:val="auto"/>
          <w:sz w:val="33"/>
          <w:szCs w:val="32"/>
          <w:shd w:val="clear" w:color="auto" w:fill="FFFFFF"/>
          <w:lang w:val="en-US" w:eastAsia="zh-CN" w:bidi="ar"/>
        </w:rPr>
        <w:t>2021年度公用经费支出59.58万元，主要用于办公费、印刷费、水电费、差旅费、维修（护）费等日常公用经费，严格按照资金用途申报、使用资金，均已足额按时支付，有力保障了各项工作的顺利开展。预算执行率100%。</w:t>
      </w:r>
    </w:p>
    <w:p>
      <w:pPr>
        <w:keepNext w:val="0"/>
        <w:keepLines w:val="0"/>
        <w:pageBreakBefore w:val="0"/>
        <w:kinsoku/>
        <w:wordWrap/>
        <w:overflowPunct/>
        <w:topLinePunct w:val="0"/>
        <w:autoSpaceDE/>
        <w:autoSpaceDN/>
        <w:bidi w:val="0"/>
        <w:snapToGrid w:val="0"/>
        <w:spacing w:line="240" w:lineRule="auto"/>
        <w:ind w:firstLine="663" w:firstLineChars="200"/>
        <w:jc w:val="both"/>
        <w:textAlignment w:val="auto"/>
        <w:outlineLvl w:val="9"/>
        <w:rPr>
          <w:rFonts w:hint="eastAsia" w:ascii="Times New Roman" w:hAnsi="Times New Roman" w:eastAsia="方正仿宋_GBK" w:cs="Times New Roman"/>
          <w:b/>
          <w:bCs/>
          <w:color w:val="000000"/>
          <w:sz w:val="33"/>
          <w:szCs w:val="33"/>
        </w:rPr>
      </w:pPr>
      <w:r>
        <w:rPr>
          <w:rFonts w:hint="eastAsia" w:ascii="Times New Roman" w:hAnsi="Times New Roman" w:eastAsia="方正仿宋_GBK" w:cs="Times New Roman"/>
          <w:b/>
          <w:bCs/>
          <w:color w:val="000000"/>
          <w:sz w:val="33"/>
          <w:szCs w:val="33"/>
        </w:rPr>
        <w:t>（3）特定目标类</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olor w:val="auto"/>
          <w:sz w:val="33"/>
          <w:szCs w:val="32"/>
          <w:shd w:val="clear" w:color="auto" w:fill="FFFFFF"/>
          <w:lang w:val="en-US" w:eastAsia="zh-CN" w:bidi="ar"/>
        </w:rPr>
      </w:pPr>
      <w:r>
        <w:rPr>
          <w:rFonts w:hint="eastAsia" w:ascii="Times New Roman" w:hAnsi="Times New Roman" w:eastAsia="方正仿宋_GBK"/>
          <w:color w:val="auto"/>
          <w:sz w:val="33"/>
          <w:szCs w:val="32"/>
          <w:shd w:val="clear" w:color="auto" w:fill="FFFFFF"/>
          <w:lang w:val="en-US" w:eastAsia="zh-CN" w:bidi="ar"/>
        </w:rPr>
        <w:t>2021年项目支出1119.67万元，有效保障了我单位专项业务工作正常运行。预算执行率100%。</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olor w:val="auto"/>
          <w:sz w:val="33"/>
          <w:szCs w:val="32"/>
          <w:shd w:val="clear" w:color="auto" w:fill="FFFFFF"/>
          <w:lang w:val="en-US" w:eastAsia="zh-CN" w:bidi="ar"/>
        </w:rPr>
      </w:pPr>
      <w:r>
        <w:rPr>
          <w:rFonts w:hint="eastAsia" w:eastAsia="方正仿宋_GBK"/>
          <w:color w:val="auto"/>
          <w:sz w:val="33"/>
          <w:szCs w:val="32"/>
          <w:shd w:val="clear" w:color="auto" w:fill="FFFFFF"/>
          <w:lang w:val="en-US" w:eastAsia="zh-CN" w:bidi="ar"/>
        </w:rPr>
        <w:t>3.</w:t>
      </w:r>
      <w:r>
        <w:rPr>
          <w:rFonts w:hint="eastAsia" w:ascii="Times New Roman" w:hAnsi="Times New Roman" w:eastAsia="方正仿宋_GBK"/>
          <w:color w:val="auto"/>
          <w:sz w:val="33"/>
          <w:szCs w:val="32"/>
          <w:shd w:val="clear" w:color="auto" w:fill="FFFFFF"/>
          <w:lang w:val="en-US" w:eastAsia="zh-CN" w:bidi="ar"/>
        </w:rPr>
        <w:t>绩效目标完成情况</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olor w:val="auto"/>
          <w:sz w:val="33"/>
          <w:szCs w:val="32"/>
          <w:shd w:val="clear" w:color="auto" w:fill="FFFFFF"/>
          <w:lang w:val="en-US" w:eastAsia="zh-CN" w:bidi="ar"/>
        </w:rPr>
      </w:pPr>
      <w:r>
        <w:rPr>
          <w:rFonts w:hint="eastAsia" w:ascii="Times New Roman" w:hAnsi="Times New Roman" w:eastAsia="方正仿宋_GBK"/>
          <w:color w:val="auto"/>
          <w:sz w:val="33"/>
          <w:szCs w:val="32"/>
          <w:shd w:val="clear" w:color="auto" w:fill="FFFFFF"/>
          <w:lang w:val="en-US" w:eastAsia="zh-CN" w:bidi="ar"/>
        </w:rPr>
        <w:t>本部门在2021年度决算中合并反映了部门整体的预算执行情况，其中包含项目资金执行情况，整体基本上实现了年度设定目标。坚持以习近平新时代中国特色社会主义思想为指导，思想教育更上一层，实际工作中深入贯彻新时代党的组织路线以及中央和省、市委决策部署。圆满完成了2021年县乡换届工作，并顺利召开第十五届党代会和两会。加强了基层党组织建设，推进党组织工作全覆盖，深入推进抓党建促基层治理、促乡村振兴，完成多个乡村振兴集体经济项目的申报、推进；完成了春秋两季招才引智工作，走入成都、西安、昆明等高校招引人才；积极探索、推进干部人才选配工作，拓展干部举荐途径，多方面考察考核干部，促进干部真抓实干；牵头开展读书班、换届后县乡领导班子人员的培训，提高干部履职能力；完成年度公务员招录考核、考察工作，工资日常管理审批工作。</w:t>
      </w:r>
    </w:p>
    <w:p>
      <w:pPr>
        <w:pStyle w:val="8"/>
        <w:keepNext w:val="0"/>
        <w:keepLines w:val="0"/>
        <w:pageBreakBefore w:val="0"/>
        <w:kinsoku/>
        <w:wordWrap/>
        <w:overflowPunct/>
        <w:topLinePunct w:val="0"/>
        <w:bidi w:val="0"/>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val="en-US" w:eastAsia="zh-CN" w:bidi="ar-SA"/>
        </w:rPr>
      </w:pPr>
      <w:r>
        <w:rPr>
          <w:rFonts w:hint="eastAsia" w:ascii="方正楷体_GBK" w:hAnsi="Times New Roman" w:eastAsia="方正楷体_GBK" w:cs="Times New Roman"/>
          <w:b/>
          <w:kern w:val="0"/>
          <w:sz w:val="33"/>
          <w:szCs w:val="33"/>
          <w:lang w:val="en-US" w:eastAsia="zh-CN" w:bidi="ar-SA"/>
        </w:rPr>
        <w:t>（二）结果应用情况。</w:t>
      </w:r>
    </w:p>
    <w:p>
      <w:pPr>
        <w:pStyle w:val="6"/>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s="Times New Roman"/>
          <w:color w:val="auto"/>
          <w:kern w:val="2"/>
          <w:sz w:val="33"/>
          <w:szCs w:val="32"/>
          <w:shd w:val="clear" w:color="auto" w:fill="FFFFFF"/>
          <w:lang w:val="en-US" w:eastAsia="zh-CN" w:bidi="ar"/>
        </w:rPr>
      </w:pPr>
      <w:r>
        <w:rPr>
          <w:rFonts w:hint="eastAsia" w:ascii="Times New Roman" w:hAnsi="Times New Roman" w:eastAsia="方正仿宋_GBK" w:cs="Times New Roman"/>
          <w:color w:val="auto"/>
          <w:kern w:val="2"/>
          <w:sz w:val="33"/>
          <w:szCs w:val="32"/>
          <w:shd w:val="clear" w:color="auto" w:fill="FFFFFF"/>
          <w:lang w:val="en-US" w:eastAsia="zh-CN" w:bidi="ar"/>
        </w:rPr>
        <w:t>绩效自评对规范财政资金支出管理、强化绩效目标管理理念、加强资金使用效率起到了积极的促进作用。我单位将此次绩效自评的结果运用到2022年工作统筹安排、项目资金合理分配使用上，进一步提高工作效率，保质保量完成县委、县政府以及上级业务主管部门交办的各项工作。</w:t>
      </w:r>
    </w:p>
    <w:p>
      <w:pPr>
        <w:pStyle w:val="6"/>
        <w:keepNext w:val="0"/>
        <w:keepLines w:val="0"/>
        <w:pageBreakBefore w:val="0"/>
        <w:widowControl w:val="0"/>
        <w:kinsoku/>
        <w:wordWrap/>
        <w:overflowPunct/>
        <w:topLinePunct w:val="0"/>
        <w:autoSpaceDE/>
        <w:autoSpaceDN/>
        <w:bidi w:val="0"/>
        <w:adjustRightInd/>
        <w:snapToGrid/>
        <w:spacing w:line="240" w:lineRule="auto"/>
        <w:ind w:firstLine="660" w:firstLineChars="200"/>
        <w:jc w:val="both"/>
        <w:textAlignment w:val="auto"/>
        <w:outlineLvl w:val="9"/>
        <w:rPr>
          <w:rFonts w:hint="eastAsia" w:ascii="Times New Roman" w:hAnsi="Times New Roman" w:eastAsia="方正仿宋_GBK" w:cs="Times New Roman"/>
          <w:color w:val="auto"/>
          <w:kern w:val="2"/>
          <w:sz w:val="33"/>
          <w:szCs w:val="32"/>
          <w:shd w:val="clear" w:color="auto" w:fill="FFFFFF"/>
          <w:lang w:val="en-US" w:eastAsia="zh-CN" w:bidi="ar"/>
        </w:rPr>
      </w:pPr>
      <w:r>
        <w:rPr>
          <w:rFonts w:hint="eastAsia" w:ascii="Times New Roman" w:hAnsi="Times New Roman" w:eastAsia="方正仿宋_GBK" w:cs="Times New Roman"/>
          <w:color w:val="auto"/>
          <w:kern w:val="2"/>
          <w:sz w:val="33"/>
          <w:szCs w:val="32"/>
          <w:shd w:val="clear" w:color="auto" w:fill="FFFFFF"/>
          <w:lang w:val="en-US" w:eastAsia="zh-CN" w:bidi="ar"/>
        </w:rPr>
        <w:t>绩效自评工作完成后将结果在“盐边县公众信息网”财政信息版块下的“财政绩效评价信息专栏”进行公示。</w:t>
      </w:r>
    </w:p>
    <w:p>
      <w:pPr>
        <w:keepNext w:val="0"/>
        <w:keepLines w:val="0"/>
        <w:pageBreakBefore w:val="0"/>
        <w:kinsoku/>
        <w:wordWrap/>
        <w:overflowPunct/>
        <w:topLinePunct w:val="0"/>
        <w:autoSpaceDE/>
        <w:autoSpaceDN/>
        <w:bidi w:val="0"/>
        <w:spacing w:line="240" w:lineRule="auto"/>
        <w:ind w:firstLine="643" w:firstLineChars="200"/>
        <w:jc w:val="both"/>
        <w:textAlignment w:val="auto"/>
        <w:outlineLvl w:val="9"/>
        <w:rPr>
          <w:rFonts w:hint="eastAsia" w:ascii="方正黑体_GBK" w:hAnsi="Times New Roman" w:eastAsia="方正黑体_GBK" w:cs="Times New Roman"/>
          <w:kern w:val="0"/>
          <w:sz w:val="33"/>
          <w:szCs w:val="33"/>
          <w:lang w:val="en-US" w:eastAsia="zh-CN" w:bidi="ar-SA"/>
        </w:rPr>
      </w:pPr>
      <w:r>
        <w:rPr>
          <w:rFonts w:hint="eastAsia" w:eastAsia="方正仿宋_GBK"/>
          <w:b/>
          <w:color w:val="000000"/>
          <w:sz w:val="32"/>
          <w:szCs w:val="32"/>
        </w:rPr>
        <w:t xml:space="preserve"> </w:t>
      </w:r>
      <w:bookmarkStart w:id="84" w:name="_Toc26315_WPSOffice_Level2"/>
      <w:r>
        <w:rPr>
          <w:rFonts w:hint="eastAsia" w:ascii="方正黑体_GBK" w:hAnsi="Times New Roman" w:eastAsia="方正黑体_GBK" w:cs="Times New Roman"/>
          <w:kern w:val="0"/>
          <w:sz w:val="33"/>
          <w:szCs w:val="33"/>
          <w:lang w:val="en-US" w:eastAsia="zh-CN" w:bidi="ar-SA"/>
        </w:rPr>
        <w:t>四、评价结论及建议</w:t>
      </w:r>
      <w:bookmarkEnd w:id="84"/>
    </w:p>
    <w:p>
      <w:pPr>
        <w:pStyle w:val="8"/>
        <w:keepNext w:val="0"/>
        <w:keepLines w:val="0"/>
        <w:pageBreakBefore w:val="0"/>
        <w:kinsoku/>
        <w:wordWrap/>
        <w:overflowPunct/>
        <w:topLinePunct w:val="0"/>
        <w:bidi w:val="0"/>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val="en-US" w:eastAsia="zh-CN" w:bidi="ar-SA"/>
        </w:rPr>
      </w:pPr>
      <w:r>
        <w:rPr>
          <w:rFonts w:hint="eastAsia" w:ascii="方正楷体_GBK" w:hAnsi="Times New Roman" w:eastAsia="方正楷体_GBK" w:cs="Times New Roman"/>
          <w:b/>
          <w:kern w:val="0"/>
          <w:sz w:val="33"/>
          <w:szCs w:val="33"/>
          <w:lang w:val="en-US" w:eastAsia="zh-CN" w:bidi="ar-SA"/>
        </w:rPr>
        <w:t>（一）评价结论。</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lang w:val="zh-CN" w:eastAsia="zh-CN"/>
        </w:rPr>
      </w:pPr>
      <w:r>
        <w:rPr>
          <w:rFonts w:hint="eastAsia" w:ascii="Times New Roman" w:hAnsi="Times New Roman" w:eastAsia="方正仿宋_GBK"/>
          <w:kern w:val="0"/>
          <w:sz w:val="33"/>
          <w:szCs w:val="33"/>
          <w:lang w:val="zh-CN" w:eastAsia="zh-CN"/>
        </w:rPr>
        <w:t>通过自评，20</w:t>
      </w:r>
      <w:r>
        <w:rPr>
          <w:rFonts w:hint="eastAsia" w:ascii="Times New Roman" w:hAnsi="Times New Roman" w:eastAsia="方正仿宋_GBK"/>
          <w:kern w:val="0"/>
          <w:sz w:val="33"/>
          <w:szCs w:val="33"/>
          <w:lang w:val="en-US" w:eastAsia="zh-CN"/>
        </w:rPr>
        <w:t>21</w:t>
      </w:r>
      <w:r>
        <w:rPr>
          <w:rFonts w:hint="eastAsia" w:ascii="Times New Roman" w:hAnsi="Times New Roman" w:eastAsia="方正仿宋_GBK"/>
          <w:kern w:val="0"/>
          <w:sz w:val="33"/>
          <w:szCs w:val="33"/>
          <w:lang w:val="zh-CN" w:eastAsia="zh-CN"/>
        </w:rPr>
        <w:t>年度县委组织部</w:t>
      </w:r>
      <w:r>
        <w:rPr>
          <w:rFonts w:hint="eastAsia" w:ascii="Times New Roman" w:hAnsi="Times New Roman" w:eastAsia="方正仿宋_GBK"/>
          <w:kern w:val="0"/>
          <w:sz w:val="33"/>
          <w:szCs w:val="33"/>
          <w:lang w:val="en-US" w:eastAsia="zh-CN"/>
        </w:rPr>
        <w:t>各项经费达到对应的绩效目标，圆满完成了县委、县政府下达的各项相关工作任务。达到预期绩效目标，总体较满意。</w:t>
      </w:r>
    </w:p>
    <w:p>
      <w:pPr>
        <w:pStyle w:val="8"/>
        <w:keepNext w:val="0"/>
        <w:keepLines w:val="0"/>
        <w:pageBreakBefore w:val="0"/>
        <w:kinsoku/>
        <w:wordWrap/>
        <w:overflowPunct/>
        <w:topLinePunct w:val="0"/>
        <w:bidi w:val="0"/>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val="en-US" w:eastAsia="zh-CN" w:bidi="ar-SA"/>
        </w:rPr>
      </w:pPr>
      <w:r>
        <w:rPr>
          <w:rFonts w:hint="eastAsia" w:ascii="方正楷体_GBK" w:hAnsi="Times New Roman" w:eastAsia="方正楷体_GBK" w:cs="Times New Roman"/>
          <w:b/>
          <w:kern w:val="0"/>
          <w:sz w:val="33"/>
          <w:szCs w:val="33"/>
          <w:lang w:val="en-US" w:eastAsia="zh-CN" w:bidi="ar-SA"/>
        </w:rPr>
        <w:t>（二）存在问题。</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lang w:val="zh-CN" w:eastAsia="zh-CN"/>
        </w:rPr>
      </w:pPr>
      <w:r>
        <w:rPr>
          <w:rFonts w:hint="eastAsia" w:ascii="Times New Roman" w:hAnsi="Times New Roman" w:eastAsia="方正仿宋_GBK"/>
          <w:kern w:val="0"/>
          <w:sz w:val="33"/>
          <w:szCs w:val="32"/>
          <w:lang w:val="zh-CN" w:eastAsia="zh-CN"/>
        </w:rPr>
        <w:t>1.部分项目资金指标追加时间滞后，未按进度及时拨付；</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lang w:val="zh-CN" w:eastAsia="zh-CN"/>
        </w:rPr>
      </w:pPr>
      <w:r>
        <w:rPr>
          <w:rFonts w:hint="eastAsia" w:ascii="Times New Roman" w:hAnsi="Times New Roman" w:eastAsia="方正仿宋_GBK"/>
          <w:kern w:val="0"/>
          <w:sz w:val="33"/>
          <w:szCs w:val="32"/>
          <w:lang w:val="zh-CN" w:eastAsia="zh-CN"/>
        </w:rPr>
        <w:t>2.预算编制工作有待细化，合理性有待提高，预算执行力度还要进一步加强。</w:t>
      </w:r>
    </w:p>
    <w:p>
      <w:pPr>
        <w:pStyle w:val="8"/>
        <w:keepNext w:val="0"/>
        <w:keepLines w:val="0"/>
        <w:pageBreakBefore w:val="0"/>
        <w:kinsoku/>
        <w:wordWrap/>
        <w:overflowPunct/>
        <w:topLinePunct w:val="0"/>
        <w:bidi w:val="0"/>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val="zh-CN" w:eastAsia="zh-CN" w:bidi="ar-SA"/>
        </w:rPr>
      </w:pPr>
      <w:r>
        <w:rPr>
          <w:rFonts w:hint="eastAsia" w:ascii="方正楷体_GBK" w:hAnsi="Times New Roman" w:eastAsia="方正楷体_GBK" w:cs="Times New Roman"/>
          <w:b/>
          <w:kern w:val="0"/>
          <w:sz w:val="33"/>
          <w:szCs w:val="33"/>
          <w:lang w:val="zh-CN" w:eastAsia="zh-CN" w:bidi="ar-SA"/>
        </w:rPr>
        <w:t>（三）</w:t>
      </w:r>
      <w:r>
        <w:rPr>
          <w:rFonts w:hint="eastAsia" w:ascii="方正楷体_GBK" w:hAnsi="Times New Roman" w:eastAsia="方正楷体_GBK" w:cs="Times New Roman"/>
          <w:b/>
          <w:kern w:val="0"/>
          <w:sz w:val="33"/>
          <w:szCs w:val="33"/>
          <w:lang w:val="en-US" w:eastAsia="zh-CN" w:bidi="ar-SA"/>
        </w:rPr>
        <w:t>改进建议</w:t>
      </w:r>
      <w:r>
        <w:rPr>
          <w:rFonts w:hint="eastAsia" w:ascii="方正楷体_GBK" w:hAnsi="Times New Roman" w:eastAsia="方正楷体_GBK" w:cs="Times New Roman"/>
          <w:b/>
          <w:kern w:val="0"/>
          <w:sz w:val="33"/>
          <w:szCs w:val="33"/>
          <w:lang w:val="zh-CN" w:eastAsia="zh-CN" w:bidi="ar-SA"/>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lang w:val="zh-CN" w:eastAsia="zh-CN"/>
        </w:rPr>
      </w:pPr>
      <w:r>
        <w:rPr>
          <w:rFonts w:hint="eastAsia" w:ascii="Times New Roman" w:hAnsi="Times New Roman" w:eastAsia="方正仿宋_GBK"/>
          <w:kern w:val="0"/>
          <w:sz w:val="33"/>
          <w:szCs w:val="32"/>
          <w:lang w:val="zh-CN" w:eastAsia="zh-CN"/>
        </w:rPr>
        <w:t xml:space="preserve">1.遵循预算管理办法，从严控制年中追加预算规模。对于年度无法预计的临时追加的相关工作所需经费，严格按照预算调整追加程序，逐级申报报批，有效降低预算控制率。   </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lang w:val="zh-CN" w:eastAsia="zh-CN"/>
        </w:rPr>
      </w:pPr>
      <w:r>
        <w:rPr>
          <w:rFonts w:hint="eastAsia" w:ascii="Times New Roman" w:hAnsi="Times New Roman" w:eastAsia="方正仿宋_GBK"/>
          <w:kern w:val="0"/>
          <w:sz w:val="33"/>
          <w:szCs w:val="32"/>
          <w:lang w:val="zh-CN" w:eastAsia="zh-CN"/>
        </w:rPr>
        <w:t>2.进一步加强预算管理意识，严格按照预算编制的相关制度和要求，本着“勤俭节约、保障运转”的原则进行预算编制。编制范围尽可能</w:t>
      </w:r>
      <w:r>
        <w:rPr>
          <w:rFonts w:hint="eastAsia" w:eastAsia="方正仿宋_GBK"/>
          <w:kern w:val="0"/>
          <w:sz w:val="33"/>
          <w:szCs w:val="32"/>
          <w:lang w:val="zh-CN" w:eastAsia="zh-CN"/>
        </w:rPr>
        <w:t>地</w:t>
      </w:r>
      <w:r>
        <w:rPr>
          <w:rFonts w:hint="eastAsia" w:ascii="Times New Roman" w:hAnsi="Times New Roman" w:eastAsia="方正仿宋_GBK"/>
          <w:kern w:val="0"/>
          <w:sz w:val="33"/>
          <w:szCs w:val="32"/>
          <w:lang w:val="zh-CN" w:eastAsia="zh-CN"/>
        </w:rPr>
        <w:t>全面，不漏项，提高预算管制的科学性、合理性、严谨性和可控性。</w:t>
      </w:r>
    </w:p>
    <w:p>
      <w:pPr>
        <w:pStyle w:val="2"/>
        <w:rPr>
          <w:rFonts w:hint="eastAsia" w:ascii="Times New Roman" w:hAnsi="Times New Roman" w:eastAsia="方正仿宋_GBK"/>
          <w:kern w:val="0"/>
          <w:sz w:val="33"/>
          <w:szCs w:val="32"/>
          <w:lang w:val="zh-CN" w:eastAsia="zh-CN"/>
        </w:rPr>
      </w:pPr>
    </w:p>
    <w:p>
      <w:pPr>
        <w:pStyle w:val="2"/>
        <w:spacing w:before="93"/>
        <w:outlineLvl w:val="9"/>
        <w:rPr>
          <w:rFonts w:hint="eastAsia" w:eastAsia="仿宋_GB2312"/>
          <w:lang w:val="en-US" w:eastAsia="zh-CN"/>
        </w:rPr>
      </w:pPr>
      <w:r>
        <w:rPr>
          <w:rFonts w:hint="eastAsia" w:hAnsi="宋体" w:cs="宋体"/>
          <w:sz w:val="32"/>
          <w:szCs w:val="32"/>
          <w:shd w:val="clear" w:color="auto" w:fill="FFFFFF"/>
          <w:lang w:val="zh-CN"/>
        </w:rPr>
        <w:t>附件</w:t>
      </w:r>
      <w:r>
        <w:rPr>
          <w:rFonts w:hint="eastAsia" w:hAnsi="宋体" w:cs="宋体"/>
          <w:sz w:val="32"/>
          <w:szCs w:val="32"/>
          <w:shd w:val="clear" w:color="auto" w:fill="FFFFFF"/>
          <w:lang w:val="en-US" w:eastAsia="zh-CN"/>
        </w:rPr>
        <w:t>2</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760" w:firstLineChars="200"/>
        <w:jc w:val="center"/>
        <w:textAlignment w:val="auto"/>
        <w:outlineLvl w:val="9"/>
        <w:rPr>
          <w:rFonts w:hint="default" w:ascii="方正小标宋_GBK" w:hAnsi="方正小标宋_GBK" w:eastAsia="方正小标宋_GBK" w:cs="方正小标宋_GBK"/>
          <w:kern w:val="0"/>
          <w:sz w:val="38"/>
          <w:szCs w:val="38"/>
          <w:lang w:val="en-US" w:eastAsia="zh-CN"/>
        </w:rPr>
      </w:pPr>
      <w:bookmarkStart w:id="85" w:name="_Toc682_WPSOffice_Level2"/>
      <w:r>
        <w:rPr>
          <w:rFonts w:hint="default" w:ascii="方正小标宋_GBK" w:hAnsi="方正小标宋_GBK" w:eastAsia="方正小标宋_GBK" w:cs="方正小标宋_GBK"/>
          <w:kern w:val="0"/>
          <w:sz w:val="38"/>
          <w:szCs w:val="38"/>
          <w:lang w:val="en-US" w:eastAsia="zh-CN"/>
        </w:rPr>
        <w:t>盐边县关心下一代工作委员会</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760" w:firstLineChars="200"/>
        <w:jc w:val="center"/>
        <w:textAlignment w:val="auto"/>
        <w:outlineLvl w:val="9"/>
        <w:rPr>
          <w:rFonts w:hint="default" w:ascii="方正小标宋_GBK" w:hAnsi="方正小标宋_GBK" w:eastAsia="方正小标宋_GBK" w:cs="方正小标宋_GBK"/>
          <w:kern w:val="0"/>
          <w:sz w:val="38"/>
          <w:szCs w:val="38"/>
          <w:lang w:val="en-US" w:eastAsia="zh-CN"/>
        </w:rPr>
      </w:pPr>
      <w:r>
        <w:rPr>
          <w:rFonts w:hint="default" w:ascii="方正小标宋_GBK" w:hAnsi="方正小标宋_GBK" w:eastAsia="方正小标宋_GBK" w:cs="方正小标宋_GBK"/>
          <w:kern w:val="0"/>
          <w:sz w:val="38"/>
          <w:szCs w:val="38"/>
          <w:lang w:val="en-US" w:eastAsia="zh-CN"/>
        </w:rPr>
        <w:t>专项资金绩效自评报告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760" w:firstLineChars="200"/>
        <w:jc w:val="center"/>
        <w:textAlignment w:val="auto"/>
        <w:outlineLvl w:val="9"/>
        <w:rPr>
          <w:rFonts w:hint="default" w:ascii="方正小标宋_GBK" w:hAnsi="方正小标宋_GBK" w:eastAsia="方正小标宋_GBK" w:cs="方正小标宋_GBK"/>
          <w:kern w:val="0"/>
          <w:sz w:val="38"/>
          <w:szCs w:val="38"/>
          <w:lang w:val="en-US" w:eastAsia="zh-CN"/>
        </w:rPr>
      </w:pPr>
      <w:r>
        <w:rPr>
          <w:rFonts w:hint="default" w:ascii="方正小标宋_GBK" w:hAnsi="方正小标宋_GBK" w:eastAsia="方正小标宋_GBK" w:cs="方正小标宋_GBK"/>
          <w:kern w:val="0"/>
          <w:sz w:val="38"/>
          <w:szCs w:val="38"/>
          <w:lang w:val="en-US" w:eastAsia="zh-CN"/>
        </w:rPr>
        <w:t>（2021年工作经费）</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方正黑体_GBK" w:hAnsi="Times New Roman" w:eastAsia="方正黑体_GBK" w:cs="Times New Roman"/>
          <w:kern w:val="0"/>
          <w:sz w:val="33"/>
          <w:szCs w:val="33"/>
          <w:lang w:val="en-US" w:eastAsia="zh-CN"/>
        </w:rPr>
      </w:pPr>
      <w:r>
        <w:rPr>
          <w:rFonts w:hint="eastAsia" w:ascii="方正黑体_GBK" w:hAnsi="Times New Roman" w:eastAsia="方正黑体_GBK" w:cs="Times New Roman"/>
          <w:kern w:val="0"/>
          <w:sz w:val="33"/>
          <w:szCs w:val="33"/>
          <w:lang w:val="en-US" w:eastAsia="zh-CN"/>
        </w:rPr>
        <w:t>一、项目概况</w:t>
      </w:r>
      <w:bookmarkEnd w:id="85"/>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rPr>
      </w:pPr>
      <w:r>
        <w:rPr>
          <w:rFonts w:hint="eastAsia" w:ascii="方正楷体_GBK" w:hAnsi="Times New Roman" w:eastAsia="方正楷体_GBK" w:cs="Times New Roman"/>
          <w:b/>
          <w:kern w:val="0"/>
          <w:sz w:val="33"/>
          <w:szCs w:val="33"/>
        </w:rPr>
        <w:t>（一）项目基本情况。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rPr>
      </w:pPr>
      <w:r>
        <w:rPr>
          <w:rFonts w:hint="eastAsia" w:ascii="Times New Roman" w:hAnsi="Times New Roman" w:eastAsia="方正仿宋_GBK"/>
          <w:kern w:val="0"/>
          <w:sz w:val="33"/>
          <w:szCs w:val="32"/>
        </w:rPr>
        <w:t>1.保证关心下一代工作正常有序开展，加强青少年的思想政治教育，保障县关工委老同志日常工作补贴，看望慰问特殊青少年健康成长。</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rPr>
      </w:pPr>
      <w:r>
        <w:rPr>
          <w:rFonts w:hint="eastAsia" w:ascii="Times New Roman" w:hAnsi="Times New Roman" w:eastAsia="方正仿宋_GBK"/>
          <w:kern w:val="0"/>
          <w:sz w:val="33"/>
          <w:szCs w:val="32"/>
        </w:rPr>
        <w:t xml:space="preserve"> 2.项目立项、资金申报的依据：按照市委办、市政府办《关于印发〈关于加强新时期全市关心下一代工作的实施意见〉的通知》（攀委办发〔2016〕46号）“各级党委、政府要将各级关工委（含村、社区）工作活动所必需的经费及其他关心下一代工作经费，以不低于全省的平均水平，纳入同级财政年度预算予以保障，并据工作需要逐步增加”的要求，县财政要将县关工委工作及活动所必需的经费纳入财政经费预算，统筹安排，专款专用。</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rPr>
      </w:pPr>
      <w:r>
        <w:rPr>
          <w:rFonts w:hint="eastAsia" w:ascii="Times New Roman" w:hAnsi="Times New Roman" w:eastAsia="方正仿宋_GBK"/>
          <w:kern w:val="0"/>
          <w:sz w:val="33"/>
          <w:szCs w:val="32"/>
        </w:rPr>
        <w:t xml:space="preserve">3.由财政拨款，严格执行政府收支分类科目相关政策。          </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eastAsia="方正仿宋_GBK"/>
          <w:sz w:val="33"/>
          <w:szCs w:val="32"/>
        </w:rPr>
      </w:pPr>
      <w:r>
        <w:rPr>
          <w:rFonts w:hint="eastAsia" w:ascii="Times New Roman" w:hAnsi="Times New Roman" w:eastAsia="方正仿宋_GBK"/>
          <w:kern w:val="0"/>
          <w:sz w:val="33"/>
          <w:szCs w:val="32"/>
        </w:rPr>
        <w:t>4.关工委全年工作运行费6.56万元，县关工委工作补贴9.48万元，相关会议、活动经费等10.0554万元，合计26.0954万元，年末余1.9046万元。</w:t>
      </w:r>
      <w:r>
        <w:rPr>
          <w:rFonts w:ascii="Times New Roman" w:hAnsi="Times New Roman" w:eastAsia="方正仿宋_GBK"/>
          <w:kern w:val="0"/>
          <w:sz w:val="33"/>
          <w:szCs w:val="32"/>
        </w:rPr>
        <w:t>2．项目立项、资金申报的依据。</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rPr>
      </w:pPr>
      <w:r>
        <w:rPr>
          <w:rFonts w:hint="eastAsia" w:ascii="方正楷体_GBK" w:hAnsi="Times New Roman" w:eastAsia="方正楷体_GBK" w:cs="Times New Roman"/>
          <w:b/>
          <w:kern w:val="0"/>
          <w:sz w:val="33"/>
          <w:szCs w:val="33"/>
        </w:rPr>
        <w:t>（二）项目绩效目标。</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rPr>
      </w:pPr>
      <w:bookmarkStart w:id="86" w:name="_Toc13434_WPSOffice_Level2"/>
      <w:r>
        <w:rPr>
          <w:rFonts w:hint="eastAsia" w:ascii="Times New Roman" w:hAnsi="Times New Roman" w:eastAsia="方正仿宋_GBK"/>
          <w:kern w:val="0"/>
          <w:sz w:val="33"/>
          <w:szCs w:val="32"/>
        </w:rPr>
        <w:t>1.项目主要内容详见自评表。</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rPr>
      </w:pPr>
      <w:r>
        <w:rPr>
          <w:rFonts w:hint="eastAsia" w:ascii="Times New Roman" w:hAnsi="Times New Roman" w:eastAsia="方正仿宋_GBK"/>
          <w:kern w:val="0"/>
          <w:sz w:val="33"/>
          <w:szCs w:val="32"/>
        </w:rPr>
        <w:t>2.项目应实现的具体绩效目标详见自评表。</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rPr>
      </w:pPr>
      <w:r>
        <w:rPr>
          <w:rFonts w:hint="eastAsia" w:ascii="Times New Roman" w:hAnsi="Times New Roman" w:eastAsia="方正仿宋_GBK"/>
          <w:kern w:val="0"/>
          <w:sz w:val="33"/>
          <w:szCs w:val="32"/>
        </w:rPr>
        <w:t>3.分析评价申报内容</w:t>
      </w:r>
      <w:bookmarkStart w:id="120" w:name="_GoBack"/>
      <w:bookmarkEnd w:id="120"/>
      <w:r>
        <w:rPr>
          <w:rFonts w:hint="eastAsia" w:ascii="Times New Roman" w:hAnsi="Times New Roman" w:eastAsia="方正仿宋_GBK"/>
          <w:kern w:val="0"/>
          <w:sz w:val="33"/>
          <w:szCs w:val="32"/>
        </w:rPr>
        <w:t>与实际相符，申报目标合理可行。</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rPr>
      </w:pPr>
      <w:r>
        <w:rPr>
          <w:rFonts w:hint="eastAsia" w:ascii="方正楷体_GBK" w:hAnsi="Times New Roman" w:eastAsia="方正楷体_GBK" w:cs="Times New Roman"/>
          <w:b/>
          <w:kern w:val="0"/>
          <w:sz w:val="33"/>
          <w:szCs w:val="33"/>
        </w:rPr>
        <w:t>（三）项目自评步骤及方法</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rPr>
      </w:pPr>
      <w:r>
        <w:rPr>
          <w:rFonts w:hint="eastAsia" w:eastAsia="方正仿宋_GBK"/>
          <w:kern w:val="0"/>
          <w:sz w:val="33"/>
          <w:szCs w:val="32"/>
          <w:lang w:val="en-US" w:eastAsia="zh-CN"/>
        </w:rPr>
        <w:t>经费具体经办人员会同</w:t>
      </w:r>
      <w:r>
        <w:rPr>
          <w:rFonts w:hint="eastAsia" w:ascii="Times New Roman" w:hAnsi="Times New Roman" w:eastAsia="方正仿宋_GBK"/>
          <w:kern w:val="0"/>
          <w:sz w:val="33"/>
          <w:szCs w:val="32"/>
        </w:rPr>
        <w:t>财务人员</w:t>
      </w:r>
      <w:r>
        <w:rPr>
          <w:rFonts w:hint="eastAsia" w:eastAsia="方正仿宋_GBK"/>
          <w:kern w:val="0"/>
          <w:sz w:val="33"/>
          <w:szCs w:val="32"/>
          <w:lang w:eastAsia="zh-CN"/>
        </w:rPr>
        <w:t>，</w:t>
      </w:r>
      <w:r>
        <w:rPr>
          <w:rFonts w:hint="eastAsia" w:ascii="Times New Roman" w:hAnsi="Times New Roman" w:eastAsia="方正仿宋_GBK"/>
          <w:kern w:val="0"/>
          <w:sz w:val="33"/>
          <w:szCs w:val="32"/>
        </w:rPr>
        <w:t>按照《盐边县财政局关于开展2021年度部门整体支出的通知》相关要求和2021提交至财政局的目标申报表（盐边县关工委工作经费）进行自评。</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方正黑体_GBK" w:hAnsi="Times New Roman" w:eastAsia="方正黑体_GBK" w:cs="Times New Roman"/>
          <w:kern w:val="0"/>
          <w:sz w:val="33"/>
          <w:szCs w:val="33"/>
        </w:rPr>
      </w:pPr>
      <w:r>
        <w:rPr>
          <w:rFonts w:hint="eastAsia" w:ascii="方正黑体_GBK" w:hAnsi="Times New Roman" w:eastAsia="方正黑体_GBK" w:cs="Times New Roman"/>
          <w:kern w:val="0"/>
          <w:sz w:val="33"/>
          <w:szCs w:val="33"/>
        </w:rPr>
        <w:t>二、项目资金申报及使用情况</w:t>
      </w:r>
      <w:bookmarkEnd w:id="86"/>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rPr>
      </w:pPr>
      <w:r>
        <w:rPr>
          <w:rFonts w:hint="eastAsia" w:ascii="方正楷体_GBK" w:hAnsi="Times New Roman" w:eastAsia="方正楷体_GBK" w:cs="Times New Roman"/>
          <w:b/>
          <w:kern w:val="0"/>
          <w:sz w:val="33"/>
          <w:szCs w:val="33"/>
        </w:rPr>
        <w:t>（一）项目资金申报及批复情况。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Times New Roman" w:hAnsi="Times New Roman" w:eastAsia="方正仿宋_GBK"/>
          <w:kern w:val="0"/>
          <w:sz w:val="33"/>
          <w:szCs w:val="32"/>
          <w:lang w:val="en-US" w:eastAsia="zh-CN"/>
        </w:rPr>
      </w:pPr>
      <w:r>
        <w:rPr>
          <w:rFonts w:hint="eastAsia" w:ascii="Times New Roman" w:hAnsi="Times New Roman" w:eastAsia="方正仿宋_GBK"/>
          <w:kern w:val="0"/>
          <w:sz w:val="33"/>
          <w:szCs w:val="32"/>
        </w:rPr>
        <w:t>大组工网2021年度维护经费</w:t>
      </w:r>
      <w:r>
        <w:rPr>
          <w:rFonts w:hint="eastAsia" w:ascii="Times New Roman" w:hAnsi="Times New Roman" w:eastAsia="方正仿宋_GBK"/>
          <w:kern w:val="0"/>
          <w:sz w:val="33"/>
          <w:szCs w:val="32"/>
          <w:lang w:val="en-US" w:eastAsia="zh-CN"/>
        </w:rPr>
        <w:t>由盐边组综[2021]16号申报，盐财资行[2021]159号批复下拨。</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rPr>
      </w:pPr>
      <w:r>
        <w:rPr>
          <w:rFonts w:hint="eastAsia" w:ascii="方正楷体_GBK" w:hAnsi="Times New Roman" w:eastAsia="方正楷体_GBK" w:cs="Times New Roman"/>
          <w:b/>
          <w:kern w:val="0"/>
          <w:sz w:val="33"/>
          <w:szCs w:val="33"/>
        </w:rPr>
        <w:t>（二）资金计划、到位及使用情况。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仿宋_GB2312"/>
          <w:kern w:val="0"/>
          <w:sz w:val="33"/>
          <w:szCs w:val="33"/>
        </w:rPr>
      </w:pPr>
      <w:r>
        <w:rPr>
          <w:rFonts w:hint="eastAsia" w:ascii="Times New Roman" w:hAnsi="Times New Roman" w:eastAsia="仿宋_GB2312"/>
          <w:kern w:val="0"/>
          <w:sz w:val="33"/>
          <w:szCs w:val="33"/>
        </w:rPr>
        <w:t>1.资金计划：由盐边县财政局拨款。</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仿宋_GB2312"/>
          <w:kern w:val="0"/>
          <w:sz w:val="33"/>
          <w:szCs w:val="33"/>
        </w:rPr>
      </w:pPr>
      <w:r>
        <w:rPr>
          <w:rFonts w:hint="eastAsia" w:ascii="Times New Roman" w:hAnsi="Times New Roman" w:eastAsia="仿宋_GB2312"/>
          <w:kern w:val="0"/>
          <w:sz w:val="33"/>
          <w:szCs w:val="33"/>
        </w:rPr>
        <w:t>2.资金到位及时。</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sz w:val="33"/>
          <w:szCs w:val="33"/>
        </w:rPr>
      </w:pPr>
      <w:r>
        <w:rPr>
          <w:rFonts w:hint="eastAsia" w:ascii="Times New Roman" w:hAnsi="Times New Roman" w:eastAsia="仿宋_GB2312"/>
          <w:kern w:val="0"/>
          <w:sz w:val="33"/>
          <w:szCs w:val="33"/>
        </w:rPr>
        <w:t>3.资金使用：根据2021年盐边县关工委工作要求，完成了以下重点任务，县关工委工作运行费支出6.56万元，老同志工作补贴9.48万元，相关会议、活动经费等支出10.0554万元，</w:t>
      </w:r>
      <w:r>
        <w:rPr>
          <w:rFonts w:hint="eastAsia" w:ascii="Times New Roman" w:hAnsi="Times New Roman" w:eastAsia="方正仿宋_GBK"/>
          <w:sz w:val="33"/>
          <w:szCs w:val="33"/>
        </w:rPr>
        <w:t>合计26.0954万元，年末余1.9046万元。资金使用安全、规范，严格按照相关政策进行支付，与预算大致相符。</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rPr>
      </w:pPr>
      <w:r>
        <w:rPr>
          <w:rFonts w:hint="eastAsia" w:ascii="方正楷体_GBK" w:hAnsi="Times New Roman" w:eastAsia="方正楷体_GBK" w:cs="Times New Roman"/>
          <w:b/>
          <w:kern w:val="0"/>
          <w:sz w:val="33"/>
          <w:szCs w:val="33"/>
        </w:rPr>
        <w:t>（三）项目财务管理情况。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lang w:val="en-US" w:eastAsia="zh-CN"/>
        </w:rPr>
      </w:pPr>
      <w:bookmarkStart w:id="87" w:name="_Toc10546_WPSOffice_Level2"/>
      <w:r>
        <w:rPr>
          <w:rFonts w:hint="eastAsia" w:ascii="Times New Roman" w:hAnsi="Times New Roman" w:eastAsia="方正仿宋_GBK"/>
          <w:kern w:val="0"/>
          <w:sz w:val="33"/>
          <w:szCs w:val="32"/>
          <w:lang w:val="en-US" w:eastAsia="zh-CN"/>
        </w:rPr>
        <w:t xml:space="preserve"> 我单位财务管理制度健全，严格执行财务管理制度，账务处理及时，会计核算等均符合财政工作要求。</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方正黑体_GBK" w:hAnsi="Times New Roman" w:eastAsia="方正黑体_GBK" w:cs="Times New Roman"/>
          <w:kern w:val="0"/>
          <w:sz w:val="33"/>
          <w:szCs w:val="33"/>
        </w:rPr>
      </w:pPr>
      <w:r>
        <w:rPr>
          <w:rFonts w:hint="eastAsia" w:ascii="方正黑体_GBK" w:hAnsi="Times New Roman" w:eastAsia="方正黑体_GBK" w:cs="Times New Roman"/>
          <w:kern w:val="0"/>
          <w:sz w:val="33"/>
          <w:szCs w:val="33"/>
        </w:rPr>
        <w:t>三、项目实施及管理情况</w:t>
      </w:r>
      <w:bookmarkEnd w:id="87"/>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rPr>
      </w:pPr>
      <w:r>
        <w:rPr>
          <w:rFonts w:hint="eastAsia" w:ascii="方正楷体_GBK" w:hAnsi="Times New Roman" w:eastAsia="方正楷体_GBK" w:cs="Times New Roman"/>
          <w:b/>
          <w:kern w:val="0"/>
          <w:sz w:val="33"/>
          <w:szCs w:val="33"/>
        </w:rPr>
        <w:t>（一）项目组织架构及实施流程。</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lang w:val="en-US" w:eastAsia="zh-CN"/>
        </w:rPr>
      </w:pPr>
      <w:r>
        <w:rPr>
          <w:rFonts w:hint="eastAsia" w:ascii="Times New Roman" w:hAnsi="Times New Roman" w:eastAsia="方正仿宋_GBK"/>
          <w:kern w:val="0"/>
          <w:sz w:val="33"/>
          <w:szCs w:val="32"/>
          <w:lang w:val="en-US" w:eastAsia="zh-CN"/>
        </w:rPr>
        <w:t>由组织部发起申请，财务人员</w:t>
      </w:r>
      <w:r>
        <w:rPr>
          <w:rFonts w:hint="eastAsia" w:eastAsia="方正仿宋_GBK"/>
          <w:kern w:val="0"/>
          <w:sz w:val="33"/>
          <w:szCs w:val="32"/>
          <w:lang w:val="en-US" w:eastAsia="zh-CN"/>
        </w:rPr>
        <w:t>向</w:t>
      </w:r>
      <w:r>
        <w:rPr>
          <w:rFonts w:hint="eastAsia" w:ascii="Times New Roman" w:hAnsi="Times New Roman" w:eastAsia="方正仿宋_GBK"/>
          <w:kern w:val="0"/>
          <w:sz w:val="33"/>
          <w:szCs w:val="32"/>
          <w:lang w:val="en-US" w:eastAsia="zh-CN"/>
        </w:rPr>
        <w:t>财政部门提交用款申请和绩效目标申请表等，</w:t>
      </w:r>
      <w:r>
        <w:rPr>
          <w:rFonts w:hint="eastAsia" w:eastAsia="方正仿宋_GBK"/>
          <w:kern w:val="0"/>
          <w:sz w:val="33"/>
          <w:szCs w:val="32"/>
          <w:lang w:val="en-US" w:eastAsia="zh-CN"/>
        </w:rPr>
        <w:t>待</w:t>
      </w:r>
      <w:r>
        <w:rPr>
          <w:rFonts w:hint="eastAsia" w:ascii="Times New Roman" w:hAnsi="Times New Roman" w:eastAsia="方正仿宋_GBK"/>
          <w:kern w:val="0"/>
          <w:sz w:val="33"/>
          <w:szCs w:val="32"/>
          <w:lang w:val="en-US" w:eastAsia="zh-CN"/>
        </w:rPr>
        <w:t>财政资金获批下达后，由业务经办人（主要为县关工委办公室）组织实施具体业务，将报销单据交给财务人员，财务人员严格按照财经纪律进行报销。</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rPr>
      </w:pPr>
      <w:r>
        <w:rPr>
          <w:rFonts w:hint="eastAsia" w:ascii="方正楷体_GBK" w:hAnsi="Times New Roman" w:eastAsia="方正楷体_GBK" w:cs="Times New Roman"/>
          <w:b/>
          <w:kern w:val="0"/>
          <w:sz w:val="33"/>
          <w:szCs w:val="33"/>
        </w:rPr>
        <w:t>（二）项目管理情况。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lang w:val="en-US" w:eastAsia="zh-CN"/>
        </w:rPr>
      </w:pPr>
      <w:r>
        <w:rPr>
          <w:rFonts w:hint="eastAsia" w:ascii="Times New Roman" w:hAnsi="Times New Roman" w:eastAsia="方正仿宋_GBK"/>
          <w:kern w:val="0"/>
          <w:sz w:val="33"/>
          <w:szCs w:val="32"/>
          <w:lang w:val="en-US" w:eastAsia="zh-CN"/>
        </w:rPr>
        <w:t>项目未发生集中采购，相关业务活动由归口科室进行管理（主要为组织部和县关工委办公室）。</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rPr>
      </w:pPr>
      <w:r>
        <w:rPr>
          <w:rFonts w:hint="eastAsia" w:ascii="方正楷体_GBK" w:hAnsi="Times New Roman" w:eastAsia="方正楷体_GBK" w:cs="Times New Roman"/>
          <w:b/>
          <w:kern w:val="0"/>
          <w:sz w:val="33"/>
          <w:szCs w:val="33"/>
          <w:lang w:eastAsia="zh-CN"/>
        </w:rPr>
        <w:t>（</w:t>
      </w:r>
      <w:r>
        <w:rPr>
          <w:rFonts w:hint="eastAsia" w:ascii="方正楷体_GBK" w:hAnsi="Times New Roman" w:eastAsia="方正楷体_GBK" w:cs="Times New Roman"/>
          <w:b/>
          <w:kern w:val="0"/>
          <w:sz w:val="33"/>
          <w:szCs w:val="33"/>
          <w:lang w:val="en-US" w:eastAsia="zh-CN"/>
        </w:rPr>
        <w:t>三</w:t>
      </w:r>
      <w:r>
        <w:rPr>
          <w:rFonts w:hint="eastAsia" w:ascii="方正楷体_GBK" w:hAnsi="Times New Roman" w:eastAsia="方正楷体_GBK" w:cs="Times New Roman"/>
          <w:b/>
          <w:kern w:val="0"/>
          <w:sz w:val="33"/>
          <w:szCs w:val="33"/>
          <w:lang w:eastAsia="zh-CN"/>
        </w:rPr>
        <w:t>）</w:t>
      </w:r>
      <w:r>
        <w:rPr>
          <w:rFonts w:hint="eastAsia" w:ascii="方正楷体_GBK" w:hAnsi="Times New Roman" w:eastAsia="方正楷体_GBK" w:cs="Times New Roman"/>
          <w:b/>
          <w:kern w:val="0"/>
          <w:sz w:val="33"/>
          <w:szCs w:val="33"/>
        </w:rPr>
        <w:t>项目监管情况。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kern w:val="0"/>
          <w:sz w:val="33"/>
          <w:szCs w:val="32"/>
          <w:lang w:val="en-US" w:eastAsia="zh-CN"/>
        </w:rPr>
      </w:pPr>
      <w:bookmarkStart w:id="88" w:name="_Toc8899_WPSOffice_Level2"/>
      <w:r>
        <w:rPr>
          <w:rFonts w:hint="eastAsia" w:ascii="Times New Roman" w:hAnsi="Times New Roman" w:eastAsia="方正仿宋_GBK"/>
          <w:kern w:val="0"/>
          <w:sz w:val="33"/>
          <w:szCs w:val="32"/>
          <w:lang w:val="en-US" w:eastAsia="zh-CN"/>
        </w:rPr>
        <w:t>严格按照财务相关程序、单位内部工作流程进行项目监管，及时请示汇报领导，未出现监管纰漏。</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方正黑体_GBK" w:hAnsi="Times New Roman" w:eastAsia="方正黑体_GBK" w:cs="Times New Roman"/>
          <w:kern w:val="0"/>
          <w:sz w:val="33"/>
          <w:szCs w:val="33"/>
        </w:rPr>
      </w:pPr>
      <w:r>
        <w:rPr>
          <w:rFonts w:hint="eastAsia" w:ascii="方正黑体_GBK" w:hAnsi="Times New Roman" w:eastAsia="方正黑体_GBK" w:cs="Times New Roman"/>
          <w:kern w:val="0"/>
          <w:sz w:val="33"/>
          <w:szCs w:val="33"/>
        </w:rPr>
        <w:t>四、项目绩效情况</w:t>
      </w:r>
      <w:bookmarkEnd w:id="88"/>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cs="Times New Roman"/>
          <w:kern w:val="0"/>
          <w:sz w:val="33"/>
          <w:szCs w:val="32"/>
          <w:lang w:val="en-US" w:eastAsia="zh-CN"/>
        </w:rPr>
      </w:pPr>
      <w:bookmarkStart w:id="89" w:name="_Toc3159_WPSOffice_Level2"/>
      <w:r>
        <w:rPr>
          <w:rFonts w:hint="eastAsia" w:ascii="Times New Roman" w:hAnsi="Times New Roman" w:eastAsia="方正仿宋_GBK" w:cs="Times New Roman"/>
          <w:kern w:val="0"/>
          <w:sz w:val="33"/>
          <w:szCs w:val="32"/>
          <w:lang w:val="en-US" w:eastAsia="zh-CN"/>
        </w:rPr>
        <w:t>项目完成情况、项目效益情况均详见自评表。</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方正黑体_GBK" w:hAnsi="Times New Roman" w:eastAsia="方正黑体_GBK" w:cs="Times New Roman"/>
          <w:kern w:val="0"/>
          <w:sz w:val="33"/>
          <w:szCs w:val="33"/>
        </w:rPr>
      </w:pPr>
      <w:r>
        <w:rPr>
          <w:rFonts w:hint="eastAsia" w:ascii="方正黑体_GBK" w:hAnsi="Times New Roman" w:eastAsia="方正黑体_GBK" w:cs="Times New Roman"/>
          <w:kern w:val="0"/>
          <w:sz w:val="33"/>
          <w:szCs w:val="33"/>
        </w:rPr>
        <w:t>五、评价结论</w:t>
      </w:r>
      <w:bookmarkEnd w:id="89"/>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Times New Roman" w:hAnsi="Times New Roman" w:eastAsia="方正仿宋_GBK" w:cs="Times New Roman"/>
          <w:kern w:val="0"/>
          <w:sz w:val="33"/>
          <w:szCs w:val="32"/>
          <w:lang w:val="en-US" w:eastAsia="zh-CN"/>
        </w:rPr>
      </w:pPr>
      <w:r>
        <w:rPr>
          <w:rFonts w:hint="eastAsia" w:ascii="方正楷体_GBK" w:hAnsi="Times New Roman" w:eastAsia="方正楷体_GBK" w:cs="Times New Roman"/>
          <w:b/>
          <w:kern w:val="0"/>
          <w:sz w:val="33"/>
          <w:szCs w:val="33"/>
          <w:lang w:eastAsia="zh-CN"/>
        </w:rPr>
        <w:t>（一）评价结论：</w:t>
      </w:r>
      <w:r>
        <w:rPr>
          <w:rFonts w:hint="eastAsia" w:ascii="Times New Roman" w:hAnsi="Times New Roman" w:eastAsia="方正仿宋_GBK" w:cs="Times New Roman"/>
          <w:kern w:val="0"/>
          <w:sz w:val="33"/>
          <w:szCs w:val="32"/>
          <w:lang w:val="en-US" w:eastAsia="zh-CN"/>
        </w:rPr>
        <w:t>评价重点在于实际完成情况、财务规范情况及自评表指标设定科学性合理性等，经评价为良。</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b/>
          <w:sz w:val="33"/>
          <w:szCs w:val="33"/>
        </w:rPr>
      </w:pPr>
      <w:r>
        <w:rPr>
          <w:rFonts w:hint="eastAsia" w:ascii="方正楷体_GBK" w:hAnsi="Times New Roman" w:eastAsia="方正楷体_GBK"/>
          <w:b/>
          <w:sz w:val="33"/>
          <w:szCs w:val="33"/>
        </w:rPr>
        <w:t>（二）存在的问题</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Times New Roman" w:hAnsi="Times New Roman" w:eastAsia="方正仿宋_GBK" w:cs="Times New Roman"/>
          <w:kern w:val="0"/>
          <w:sz w:val="33"/>
          <w:szCs w:val="32"/>
          <w:lang w:val="en-US" w:eastAsia="zh-CN"/>
        </w:rPr>
      </w:pPr>
      <w:r>
        <w:rPr>
          <w:rFonts w:hint="eastAsia" w:ascii="Times New Roman" w:hAnsi="Times New Roman" w:eastAsia="方正仿宋_GBK"/>
          <w:b/>
          <w:sz w:val="33"/>
          <w:szCs w:val="33"/>
        </w:rPr>
        <w:t>1.缺乏对绩效评价工作的相关知识。</w:t>
      </w:r>
      <w:r>
        <w:rPr>
          <w:rFonts w:hint="eastAsia" w:ascii="Times New Roman" w:hAnsi="Times New Roman" w:eastAsia="方正仿宋_GBK" w:cs="Times New Roman"/>
          <w:kern w:val="0"/>
          <w:sz w:val="33"/>
          <w:szCs w:val="32"/>
          <w:lang w:val="en-US" w:eastAsia="zh-CN"/>
        </w:rPr>
        <w:t>对预算计算评价工作了解不够深入，对单位绩效不重视，认为自己不是专业的财务人员，该项工作应该由负责财务的人员负责，我们只需提供相关的财务资料就行，所以在报送绩效评价相关工作时，往往借用工作计划、工作总结等作为绩效自评报告的主要内容。</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ascii="Times New Roman" w:hAnsi="Times New Roman" w:eastAsia="方正仿宋_GBK"/>
          <w:sz w:val="33"/>
          <w:szCs w:val="33"/>
        </w:rPr>
      </w:pPr>
      <w:r>
        <w:rPr>
          <w:rFonts w:hint="eastAsia" w:ascii="Times New Roman" w:hAnsi="Times New Roman" w:eastAsia="方正仿宋_GBK"/>
          <w:b/>
          <w:sz w:val="33"/>
          <w:szCs w:val="33"/>
        </w:rPr>
        <w:t>2.应加强报送绩效评价工作人员的知识培训</w:t>
      </w:r>
      <w:r>
        <w:rPr>
          <w:rFonts w:ascii="Times New Roman" w:hAnsi="Times New Roman" w:eastAsia="方正仿宋_GBK"/>
          <w:b/>
          <w:sz w:val="33"/>
          <w:szCs w:val="33"/>
        </w:rPr>
        <w:t>。</w:t>
      </w:r>
      <w:r>
        <w:rPr>
          <w:rFonts w:ascii="Times New Roman" w:hAnsi="Times New Roman" w:eastAsia="方正仿宋_GBK"/>
          <w:sz w:val="33"/>
          <w:szCs w:val="33"/>
        </w:rPr>
        <w:t>由于</w:t>
      </w:r>
      <w:r>
        <w:rPr>
          <w:rFonts w:hint="eastAsia" w:ascii="Times New Roman" w:hAnsi="Times New Roman" w:eastAsia="方正仿宋_GBK"/>
          <w:sz w:val="33"/>
          <w:szCs w:val="33"/>
        </w:rPr>
        <w:t>该项工作</w:t>
      </w:r>
      <w:r>
        <w:rPr>
          <w:rFonts w:ascii="Times New Roman" w:hAnsi="Times New Roman" w:eastAsia="方正仿宋_GBK"/>
          <w:sz w:val="33"/>
          <w:szCs w:val="33"/>
        </w:rPr>
        <w:t>专业性强，对预算绩效管理理解不充分，对预算绩效管理业务不精通，</w:t>
      </w:r>
      <w:r>
        <w:rPr>
          <w:rFonts w:hint="eastAsia" w:ascii="Times New Roman" w:hAnsi="Times New Roman" w:eastAsia="方正仿宋_GBK"/>
          <w:sz w:val="33"/>
          <w:szCs w:val="33"/>
        </w:rPr>
        <w:t>所以需要进行系统的培训。</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ascii="方正楷体_GBK" w:hAnsi="Times New Roman" w:eastAsia="方正楷体_GBK"/>
          <w:b/>
          <w:sz w:val="33"/>
          <w:szCs w:val="33"/>
        </w:rPr>
      </w:pPr>
      <w:r>
        <w:rPr>
          <w:rFonts w:ascii="方正楷体_GBK" w:hAnsi="Times New Roman" w:eastAsia="方正楷体_GBK"/>
          <w:b/>
          <w:sz w:val="33"/>
          <w:szCs w:val="33"/>
        </w:rPr>
        <w:t>（三）相关建议</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ascii="方正楷体_GBK" w:hAnsi="Times New Roman" w:eastAsia="方正楷体_GBK"/>
          <w:b/>
          <w:sz w:val="33"/>
          <w:szCs w:val="33"/>
        </w:rPr>
      </w:pPr>
      <w:r>
        <w:rPr>
          <w:rFonts w:ascii="Times New Roman" w:hAnsi="Times New Roman" w:eastAsia="方正仿宋_GBK"/>
          <w:b/>
          <w:sz w:val="33"/>
          <w:szCs w:val="33"/>
        </w:rPr>
        <w:t>加强学习培训，提升业务能力。</w:t>
      </w:r>
      <w:r>
        <w:rPr>
          <w:rFonts w:ascii="Times New Roman" w:hAnsi="Times New Roman" w:eastAsia="方正仿宋_GBK"/>
          <w:sz w:val="33"/>
          <w:szCs w:val="33"/>
        </w:rPr>
        <w:t>由于绩效评价工作要求高，工作量大，只有通过进行多方位多层次的学习培训，努力提高相关人员素质，才能真正将预算绩效管理工作落实到位。</w:t>
      </w:r>
    </w:p>
    <w:p>
      <w:pPr>
        <w:pStyle w:val="8"/>
        <w:spacing w:beforeLines="0" w:afterLines="0" w:line="600" w:lineRule="exact"/>
        <w:ind w:firstLine="720" w:firstLineChars="200"/>
        <w:jc w:val="center"/>
        <w:outlineLvl w:val="9"/>
        <w:rPr>
          <w:rFonts w:hint="eastAsia" w:ascii="方正小标宋_GBK" w:hAnsi="黑体" w:eastAsia="方正小标宋_GBK" w:cs="黑体"/>
          <w:sz w:val="36"/>
          <w:szCs w:val="36"/>
          <w:lang w:val="en-US" w:eastAsia="zh-CN"/>
        </w:rPr>
      </w:pPr>
      <w:bookmarkStart w:id="90" w:name="_Toc2532_WPSOffice_Level2"/>
    </w:p>
    <w:p>
      <w:pPr>
        <w:pStyle w:val="8"/>
        <w:spacing w:beforeLines="0" w:afterLines="0" w:line="600" w:lineRule="exact"/>
        <w:ind w:firstLine="720" w:firstLineChars="200"/>
        <w:jc w:val="center"/>
        <w:outlineLvl w:val="9"/>
        <w:rPr>
          <w:rFonts w:hint="eastAsia" w:ascii="方正小标宋_GBK" w:hAnsi="黑体" w:eastAsia="方正小标宋_GBK" w:cs="黑体"/>
          <w:sz w:val="36"/>
          <w:szCs w:val="36"/>
          <w:lang w:val="en-US" w:eastAsia="zh-CN"/>
        </w:rPr>
      </w:pPr>
    </w:p>
    <w:p>
      <w:pPr>
        <w:pStyle w:val="8"/>
        <w:spacing w:beforeLines="0" w:afterLines="0" w:line="600" w:lineRule="exact"/>
        <w:ind w:firstLine="720" w:firstLineChars="200"/>
        <w:jc w:val="center"/>
        <w:outlineLvl w:val="9"/>
        <w:rPr>
          <w:rFonts w:hint="eastAsia" w:ascii="方正小标宋_GBK" w:hAnsi="黑体" w:eastAsia="方正小标宋_GBK" w:cs="黑体"/>
          <w:sz w:val="36"/>
          <w:szCs w:val="36"/>
          <w:lang w:val="en-US" w:eastAsia="zh-CN"/>
        </w:rPr>
      </w:pPr>
    </w:p>
    <w:p>
      <w:pPr>
        <w:pStyle w:val="8"/>
        <w:spacing w:beforeLines="0" w:afterLines="0" w:line="600" w:lineRule="exact"/>
        <w:ind w:firstLine="720" w:firstLineChars="200"/>
        <w:jc w:val="center"/>
        <w:outlineLvl w:val="9"/>
        <w:rPr>
          <w:rFonts w:hint="eastAsia" w:ascii="方正小标宋_GBK" w:hAnsi="黑体" w:eastAsia="方正小标宋_GBK" w:cs="黑体"/>
          <w:sz w:val="36"/>
          <w:szCs w:val="36"/>
          <w:lang w:val="en-US" w:eastAsia="zh-CN"/>
        </w:rPr>
      </w:pPr>
    </w:p>
    <w:p>
      <w:pPr>
        <w:pStyle w:val="8"/>
        <w:spacing w:beforeLines="0" w:afterLines="0" w:line="600" w:lineRule="exact"/>
        <w:ind w:firstLine="720" w:firstLineChars="200"/>
        <w:jc w:val="center"/>
        <w:outlineLvl w:val="9"/>
        <w:rPr>
          <w:rFonts w:hint="eastAsia" w:ascii="方正小标宋_GBK" w:hAnsi="黑体" w:eastAsia="方正小标宋_GBK" w:cs="黑体"/>
          <w:sz w:val="36"/>
          <w:szCs w:val="36"/>
          <w:lang w:val="en-US" w:eastAsia="zh-CN"/>
        </w:rPr>
      </w:pPr>
    </w:p>
    <w:p>
      <w:pPr>
        <w:pStyle w:val="8"/>
        <w:spacing w:beforeLines="0" w:afterLines="0" w:line="600" w:lineRule="exact"/>
        <w:ind w:firstLine="720" w:firstLineChars="200"/>
        <w:jc w:val="center"/>
        <w:outlineLvl w:val="9"/>
        <w:rPr>
          <w:rFonts w:hint="eastAsia" w:ascii="方正小标宋_GBK" w:hAnsi="黑体" w:eastAsia="方正小标宋_GBK" w:cs="黑体"/>
          <w:sz w:val="36"/>
          <w:szCs w:val="36"/>
          <w:lang w:val="en-US" w:eastAsia="zh-CN"/>
        </w:rPr>
      </w:pPr>
    </w:p>
    <w:p>
      <w:pPr>
        <w:pStyle w:val="8"/>
        <w:spacing w:beforeLines="0" w:afterLines="0" w:line="600" w:lineRule="exact"/>
        <w:ind w:firstLine="720" w:firstLineChars="200"/>
        <w:jc w:val="center"/>
        <w:outlineLvl w:val="9"/>
        <w:rPr>
          <w:rFonts w:hint="eastAsia" w:ascii="方正小标宋_GBK" w:hAnsi="黑体" w:eastAsia="方正小标宋_GBK" w:cs="黑体"/>
          <w:sz w:val="36"/>
          <w:szCs w:val="36"/>
          <w:lang w:val="en-US" w:eastAsia="zh-CN"/>
        </w:rPr>
      </w:pPr>
    </w:p>
    <w:p>
      <w:pPr>
        <w:pStyle w:val="8"/>
        <w:spacing w:beforeLines="0" w:afterLines="0" w:line="600" w:lineRule="exact"/>
        <w:jc w:val="both"/>
        <w:outlineLvl w:val="9"/>
        <w:rPr>
          <w:rFonts w:hint="eastAsia" w:ascii="方正小标宋_GBK" w:hAnsi="黑体" w:eastAsia="方正小标宋_GBK" w:cs="黑体"/>
          <w:sz w:val="36"/>
          <w:szCs w:val="36"/>
          <w:lang w:val="en-US" w:eastAsia="zh-CN"/>
        </w:rPr>
      </w:pPr>
    </w:p>
    <w:p>
      <w:pPr>
        <w:pStyle w:val="2"/>
        <w:spacing w:before="93"/>
        <w:outlineLvl w:val="9"/>
        <w:rPr>
          <w:rFonts w:hint="default" w:eastAsia="仿宋_GB2312"/>
          <w:lang w:val="en-US" w:eastAsia="zh-CN"/>
        </w:rPr>
      </w:pPr>
      <w:r>
        <w:rPr>
          <w:rFonts w:hint="eastAsia" w:hAnsi="宋体" w:cs="宋体"/>
          <w:sz w:val="32"/>
          <w:szCs w:val="32"/>
          <w:shd w:val="clear" w:color="auto" w:fill="FFFFFF"/>
          <w:lang w:val="zh-CN"/>
        </w:rPr>
        <w:t>附件</w:t>
      </w:r>
      <w:r>
        <w:rPr>
          <w:rFonts w:hint="eastAsia" w:hAnsi="宋体" w:cs="宋体"/>
          <w:sz w:val="32"/>
          <w:szCs w:val="32"/>
          <w:shd w:val="clear" w:color="auto" w:fill="FFFFFF"/>
          <w:lang w:val="en-US" w:eastAsia="zh-CN"/>
        </w:rPr>
        <w:t>3</w:t>
      </w:r>
    </w:p>
    <w:bookmarkEnd w:id="90"/>
    <w:p>
      <w:pPr>
        <w:keepNext w:val="0"/>
        <w:keepLines w:val="0"/>
        <w:pageBreakBefore w:val="0"/>
        <w:widowControl w:val="0"/>
        <w:kinsoku/>
        <w:wordWrap/>
        <w:overflowPunct/>
        <w:topLinePunct w:val="0"/>
        <w:autoSpaceDE/>
        <w:autoSpaceDN/>
        <w:bidi w:val="0"/>
        <w:adjustRightInd/>
        <w:snapToGrid/>
        <w:spacing w:line="240" w:lineRule="auto"/>
        <w:ind w:left="0" w:leftChars="0" w:right="0" w:firstLine="760" w:firstLineChars="200"/>
        <w:jc w:val="center"/>
        <w:textAlignment w:val="auto"/>
        <w:rPr>
          <w:rFonts w:hint="eastAsia" w:ascii="方正小标宋_GBK" w:hAnsi="方正小标宋_GBK" w:eastAsia="方正小标宋_GBK" w:cs="方正小标宋_GBK"/>
          <w:kern w:val="0"/>
          <w:sz w:val="38"/>
          <w:szCs w:val="38"/>
          <w:lang w:val="en-US" w:eastAsia="zh-CN"/>
        </w:rPr>
      </w:pPr>
      <w:r>
        <w:rPr>
          <w:rFonts w:hint="eastAsia" w:ascii="方正小标宋_GBK" w:hAnsi="方正小标宋_GBK" w:eastAsia="方正小标宋_GBK" w:cs="方正小标宋_GBK"/>
          <w:kern w:val="0"/>
          <w:sz w:val="38"/>
          <w:szCs w:val="38"/>
          <w:lang w:val="en-US" w:eastAsia="zh-CN"/>
        </w:rPr>
        <w:t>中共盐边县委组织部</w:t>
      </w: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760" w:firstLineChars="200"/>
        <w:jc w:val="center"/>
        <w:textAlignment w:val="auto"/>
        <w:rPr>
          <w:rFonts w:hint="eastAsia" w:ascii="方正小标宋_GBK" w:hAnsi="方正小标宋_GBK" w:eastAsia="方正小标宋_GBK" w:cs="方正小标宋_GBK"/>
          <w:kern w:val="0"/>
          <w:sz w:val="38"/>
          <w:szCs w:val="38"/>
          <w:lang w:val="en-US" w:eastAsia="zh-CN"/>
        </w:rPr>
      </w:pPr>
      <w:r>
        <w:rPr>
          <w:rFonts w:hint="eastAsia" w:ascii="方正小标宋_GBK" w:hAnsi="方正小标宋_GBK" w:eastAsia="方正小标宋_GBK" w:cs="方正小标宋_GBK"/>
          <w:kern w:val="0"/>
          <w:sz w:val="38"/>
          <w:szCs w:val="38"/>
          <w:lang w:val="en-US" w:eastAsia="zh-CN"/>
        </w:rPr>
        <w:t>专项资金绩效自评报告</w:t>
      </w:r>
    </w:p>
    <w:p>
      <w:pPr>
        <w:keepNext w:val="0"/>
        <w:keepLines w:val="0"/>
        <w:pageBreakBefore w:val="0"/>
        <w:widowControl w:val="0"/>
        <w:kinsoku/>
        <w:wordWrap/>
        <w:overflowPunct/>
        <w:topLinePunct w:val="0"/>
        <w:autoSpaceDE/>
        <w:autoSpaceDN/>
        <w:bidi w:val="0"/>
        <w:adjustRightInd/>
        <w:snapToGrid/>
        <w:spacing w:after="157" w:afterLines="50" w:line="240" w:lineRule="auto"/>
        <w:ind w:left="0" w:leftChars="0" w:right="0" w:firstLine="760" w:firstLineChars="200"/>
        <w:jc w:val="center"/>
        <w:textAlignment w:val="auto"/>
        <w:rPr>
          <w:rFonts w:hint="default" w:ascii="方正小标宋_GBK" w:hAnsi="方正小标宋_GBK" w:eastAsia="方正小标宋_GBK" w:cs="方正小标宋_GBK"/>
          <w:kern w:val="0"/>
          <w:sz w:val="38"/>
          <w:szCs w:val="38"/>
          <w:lang w:val="en-US" w:eastAsia="zh-CN"/>
        </w:rPr>
      </w:pPr>
      <w:r>
        <w:rPr>
          <w:rFonts w:hint="eastAsia" w:ascii="方正小标宋_GBK" w:hAnsi="方正小标宋_GBK" w:eastAsia="方正小标宋_GBK" w:cs="方正小标宋_GBK"/>
          <w:kern w:val="0"/>
          <w:sz w:val="38"/>
          <w:szCs w:val="38"/>
          <w:lang w:val="en-US" w:eastAsia="zh-CN"/>
        </w:rPr>
        <w:t>（组织部工作经费及会议经费）</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方正黑体_GBK" w:hAnsi="Times New Roman" w:eastAsia="方正黑体_GBK" w:cs="Times New Roman"/>
          <w:kern w:val="0"/>
          <w:sz w:val="33"/>
          <w:szCs w:val="33"/>
          <w:lang w:val="en-US" w:eastAsia="zh-CN"/>
        </w:rPr>
      </w:pPr>
      <w:r>
        <w:rPr>
          <w:rFonts w:hint="eastAsia" w:ascii="方正黑体_GBK" w:hAnsi="Times New Roman" w:eastAsia="方正黑体_GBK" w:cs="Times New Roman"/>
          <w:kern w:val="0"/>
          <w:sz w:val="33"/>
          <w:szCs w:val="33"/>
          <w:lang w:val="en-US" w:eastAsia="zh-CN"/>
        </w:rPr>
        <w:t>一、项目概况</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eastAsia" w:ascii="方正楷体_GBK" w:hAnsi="Times New Roman" w:eastAsia="方正楷体_GBK" w:cs="Times New Roman"/>
          <w:b/>
          <w:sz w:val="33"/>
          <w:szCs w:val="33"/>
        </w:rPr>
      </w:pPr>
      <w:r>
        <w:rPr>
          <w:rFonts w:hint="eastAsia" w:ascii="方正楷体_GBK" w:hAnsi="Times New Roman" w:eastAsia="方正楷体_GBK" w:cs="Times New Roman"/>
          <w:b/>
          <w:kern w:val="0"/>
          <w:sz w:val="33"/>
          <w:szCs w:val="33"/>
        </w:rPr>
        <w:t>（一）项目基本情况</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ascii="Times New Roman" w:hAnsi="Times New Roman" w:eastAsia="方正仿宋_GBK"/>
          <w:b w:val="0"/>
          <w:bCs w:val="0"/>
          <w:kern w:val="0"/>
          <w:sz w:val="33"/>
          <w:szCs w:val="32"/>
        </w:rPr>
      </w:pPr>
      <w:r>
        <w:rPr>
          <w:rFonts w:hint="eastAsia" w:ascii="Times New Roman" w:hAnsi="Times New Roman" w:eastAsia="方正仿宋_GBK"/>
          <w:b w:val="0"/>
          <w:bCs w:val="0"/>
          <w:kern w:val="0"/>
          <w:sz w:val="33"/>
          <w:szCs w:val="24"/>
          <w:lang w:val="en-US" w:eastAsia="zh-CN"/>
        </w:rPr>
        <w:t>1.</w:t>
      </w:r>
      <w:r>
        <w:rPr>
          <w:rFonts w:hint="default" w:ascii="Times New Roman" w:hAnsi="Times New Roman" w:eastAsia="方正仿宋_GBK"/>
          <w:b w:val="0"/>
          <w:bCs w:val="0"/>
          <w:kern w:val="0"/>
          <w:sz w:val="33"/>
          <w:szCs w:val="24"/>
        </w:rPr>
        <w:t>项目主</w:t>
      </w:r>
      <w:r>
        <w:rPr>
          <w:rFonts w:ascii="Times New Roman" w:hAnsi="Times New Roman" w:eastAsia="方正仿宋_GBK"/>
          <w:b w:val="0"/>
          <w:bCs w:val="0"/>
          <w:kern w:val="0"/>
          <w:sz w:val="33"/>
          <w:szCs w:val="32"/>
        </w:rPr>
        <w:t>管部门在该项目管理中的职能</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cs="Times New Roman"/>
          <w:kern w:val="0"/>
          <w:sz w:val="33"/>
          <w:szCs w:val="33"/>
          <w:lang w:val="en-US" w:eastAsia="zh-CN"/>
        </w:rPr>
      </w:pPr>
      <w:r>
        <w:rPr>
          <w:rFonts w:hint="eastAsia" w:ascii="Times New Roman" w:hAnsi="Times New Roman" w:eastAsia="方正仿宋_GBK" w:cs="Times New Roman"/>
          <w:kern w:val="0"/>
          <w:sz w:val="33"/>
          <w:szCs w:val="33"/>
          <w:lang w:val="en-US" w:eastAsia="zh-CN"/>
        </w:rPr>
        <w:t>我部合理合规使用工作经费以</w:t>
      </w:r>
      <w:r>
        <w:rPr>
          <w:rFonts w:hint="eastAsia" w:ascii="Times New Roman" w:hAnsi="Times New Roman" w:eastAsia="方正仿宋_GBK" w:cs="Times New Roman"/>
          <w:kern w:val="0"/>
          <w:sz w:val="33"/>
          <w:szCs w:val="33"/>
        </w:rPr>
        <w:t>严格执行党的干部路线、方针、政策，负责全县干部队伍建设的宏观管理，拟订或参与拟订组织、干部、人事工作的重要政策、规定、制度；负责全县党的建设制度改革工作的规划研究、部署和组织实施</w:t>
      </w:r>
      <w:r>
        <w:rPr>
          <w:rFonts w:hint="eastAsia" w:ascii="Times New Roman" w:hAnsi="Times New Roman" w:eastAsia="方正仿宋_GBK" w:cs="Times New Roman"/>
          <w:kern w:val="0"/>
          <w:sz w:val="33"/>
          <w:szCs w:val="33"/>
          <w:lang w:eastAsia="zh-CN"/>
        </w:rPr>
        <w:t>；负责全县人才工作和人才队伍建设的宏观管理和指导；执行公务员管理政策和法律法规</w:t>
      </w:r>
      <w:r>
        <w:rPr>
          <w:rFonts w:hint="eastAsia" w:ascii="Times New Roman" w:hAnsi="Times New Roman" w:eastAsia="方正仿宋_GBK" w:cs="Times New Roman"/>
          <w:kern w:val="0"/>
          <w:sz w:val="33"/>
          <w:szCs w:val="33"/>
          <w:lang w:val="en-US" w:eastAsia="zh-CN"/>
        </w:rPr>
        <w:t>等。</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Chars="0" w:firstLine="660" w:firstLineChars="200"/>
        <w:jc w:val="both"/>
        <w:textAlignment w:val="auto"/>
        <w:outlineLvl w:val="9"/>
        <w:rPr>
          <w:rFonts w:hint="eastAsia" w:ascii="Times New Roman" w:hAnsi="Times New Roman" w:eastAsia="方正仿宋_GBK"/>
          <w:b w:val="0"/>
          <w:bCs w:val="0"/>
          <w:kern w:val="0"/>
          <w:sz w:val="33"/>
          <w:szCs w:val="24"/>
          <w:lang w:val="en-US" w:eastAsia="zh-CN"/>
        </w:rPr>
      </w:pPr>
      <w:r>
        <w:rPr>
          <w:rFonts w:hint="eastAsia" w:ascii="Times New Roman" w:hAnsi="Times New Roman" w:eastAsia="方正仿宋_GBK"/>
          <w:b w:val="0"/>
          <w:bCs w:val="0"/>
          <w:kern w:val="0"/>
          <w:sz w:val="33"/>
          <w:szCs w:val="24"/>
          <w:lang w:val="en-US" w:eastAsia="zh-CN"/>
        </w:rPr>
        <w:t>2.</w:t>
      </w:r>
      <w:r>
        <w:rPr>
          <w:rFonts w:hint="default" w:ascii="Times New Roman" w:hAnsi="Times New Roman" w:eastAsia="方正仿宋_GBK"/>
          <w:b w:val="0"/>
          <w:bCs w:val="0"/>
          <w:kern w:val="0"/>
          <w:sz w:val="33"/>
          <w:szCs w:val="24"/>
        </w:rPr>
        <w:t>项目立项、资金申报的依据</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eastAsia" w:ascii="Times New Roman" w:hAnsi="Times New Roman" w:eastAsia="方正仿宋_GBK"/>
          <w:kern w:val="0"/>
          <w:sz w:val="33"/>
          <w:szCs w:val="24"/>
          <w:lang w:val="en-US" w:eastAsia="zh-CN"/>
        </w:rPr>
      </w:pPr>
      <w:r>
        <w:rPr>
          <w:rFonts w:hint="eastAsia" w:ascii="Times New Roman" w:hAnsi="Times New Roman" w:eastAsia="方正仿宋_GBK"/>
          <w:kern w:val="0"/>
          <w:sz w:val="33"/>
          <w:szCs w:val="24"/>
          <w:lang w:val="en-US" w:eastAsia="zh-CN"/>
        </w:rPr>
        <w:t xml:space="preserve">组织部日常办公运转及干部考察、新招录公务员考察、招才引智到高校宣传、省市委组织部调研考察等各项工作任务繁重，办公费、差旅费、印刷费支出较大，年初下达的定额公用经费无法维持日常运转，再加上2021年是换届年度，考察差旅费、会议费、资料印刷费更多，故特向财政局申请经费以保障各项工作的正常开展。                                     </w:t>
      </w:r>
    </w:p>
    <w:p>
      <w:pPr>
        <w:keepNext w:val="0"/>
        <w:keepLines w:val="0"/>
        <w:pageBreakBefore w:val="0"/>
        <w:widowControl w:val="0"/>
        <w:numPr>
          <w:ilvl w:val="0"/>
          <w:numId w:val="4"/>
        </w:numPr>
        <w:kinsoku/>
        <w:wordWrap/>
        <w:overflowPunct/>
        <w:topLinePunct w:val="0"/>
        <w:autoSpaceDE w:val="0"/>
        <w:autoSpaceDN w:val="0"/>
        <w:bidi w:val="0"/>
        <w:adjustRightInd w:val="0"/>
        <w:snapToGrid/>
        <w:spacing w:line="240" w:lineRule="auto"/>
        <w:ind w:left="0" w:leftChars="0" w:firstLine="660" w:firstLineChars="200"/>
        <w:jc w:val="both"/>
        <w:textAlignment w:val="auto"/>
        <w:outlineLvl w:val="9"/>
        <w:rPr>
          <w:rFonts w:hint="eastAsia" w:ascii="Times New Roman" w:hAnsi="Times New Roman" w:eastAsia="方正仿宋_GBK"/>
          <w:b w:val="0"/>
          <w:bCs w:val="0"/>
          <w:kern w:val="0"/>
          <w:sz w:val="33"/>
          <w:szCs w:val="24"/>
          <w:lang w:val="en-US" w:eastAsia="zh-CN"/>
        </w:rPr>
      </w:pPr>
      <w:r>
        <w:rPr>
          <w:rFonts w:hint="eastAsia" w:ascii="Times New Roman" w:hAnsi="Times New Roman" w:eastAsia="方正仿宋_GBK"/>
          <w:b w:val="0"/>
          <w:bCs w:val="0"/>
          <w:kern w:val="0"/>
          <w:sz w:val="33"/>
          <w:szCs w:val="24"/>
          <w:lang w:val="en-US" w:eastAsia="zh-CN"/>
        </w:rPr>
        <w:t>资金管理办法</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default" w:ascii="Times New Roman" w:hAnsi="Times New Roman" w:eastAsia="方正仿宋_GBK" w:cstheme="minorBidi"/>
          <w:b w:val="0"/>
          <w:bCs w:val="0"/>
          <w:kern w:val="0"/>
          <w:sz w:val="33"/>
          <w:szCs w:val="24"/>
          <w:lang w:val="en-US" w:eastAsia="zh-CN"/>
        </w:rPr>
      </w:pPr>
      <w:r>
        <w:rPr>
          <w:rFonts w:hint="eastAsia" w:ascii="Times New Roman" w:hAnsi="Times New Roman" w:eastAsia="方正仿宋_GBK" w:cstheme="minorBidi"/>
          <w:b w:val="0"/>
          <w:bCs w:val="0"/>
          <w:kern w:val="0"/>
          <w:sz w:val="33"/>
          <w:szCs w:val="24"/>
          <w:lang w:val="en-US" w:eastAsia="zh-CN"/>
        </w:rPr>
        <w:t>2021年组织部工作经费及会议经费的管理严格按照盐边委办发〔2019〕14号《盐边县机关事业单位差旅费管理办法》和盐边委办发〔2015〕32号《盐边县机关事业单位会议费管理办法》等文件要求，标准限额内据实报销各项支出。</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default" w:ascii="方正楷体_GBK" w:hAnsi="Times New Roman" w:eastAsia="方正楷体_GBK" w:cs="Times New Roman"/>
          <w:b/>
          <w:kern w:val="0"/>
          <w:sz w:val="33"/>
          <w:szCs w:val="33"/>
        </w:rPr>
      </w:pPr>
      <w:r>
        <w:rPr>
          <w:rFonts w:hint="eastAsia" w:ascii="方正楷体_GBK" w:hAnsi="Times New Roman" w:eastAsia="方正楷体_GBK" w:cs="Times New Roman"/>
          <w:b/>
          <w:kern w:val="0"/>
          <w:sz w:val="33"/>
          <w:szCs w:val="33"/>
        </w:rPr>
        <w:t>（二）项目绩效目标</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eastAsia" w:ascii="Times New Roman" w:hAnsi="Times New Roman" w:eastAsia="方正仿宋_GBK"/>
          <w:kern w:val="0"/>
          <w:sz w:val="33"/>
          <w:szCs w:val="24"/>
          <w:lang w:val="en-US" w:eastAsia="zh-CN"/>
        </w:rPr>
      </w:pPr>
      <w:r>
        <w:rPr>
          <w:rFonts w:hint="eastAsia" w:ascii="Times New Roman" w:hAnsi="Times New Roman" w:eastAsia="方正仿宋_GBK"/>
          <w:kern w:val="0"/>
          <w:sz w:val="33"/>
          <w:szCs w:val="24"/>
          <w:lang w:val="en-US" w:eastAsia="zh-CN"/>
        </w:rPr>
        <w:t xml:space="preserve">1.项目主要是开展干部队伍建设、公务员招录及日常管理、党建、人才队伍建设管理等涉及的系列考察调研活动、会议举办、资料编撰印刷等各项组织保障工作。 </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default" w:ascii="Times New Roman" w:hAnsi="Times New Roman" w:eastAsia="方正仿宋_GBK"/>
          <w:kern w:val="0"/>
          <w:sz w:val="33"/>
          <w:szCs w:val="24"/>
          <w:lang w:val="en-US" w:eastAsia="zh-CN"/>
        </w:rPr>
      </w:pPr>
      <w:r>
        <w:rPr>
          <w:rFonts w:hint="eastAsia" w:ascii="Times New Roman" w:hAnsi="Times New Roman" w:eastAsia="方正仿宋_GBK"/>
          <w:kern w:val="0"/>
          <w:sz w:val="33"/>
          <w:szCs w:val="24"/>
          <w:lang w:val="en-US" w:eastAsia="zh-CN"/>
        </w:rPr>
        <w:t>2.组织部工作经费及会议经费的使用严格执行在</w:t>
      </w:r>
      <w:r>
        <w:rPr>
          <w:rFonts w:hint="eastAsia" w:ascii="Times New Roman" w:hAnsi="Times New Roman" w:eastAsia="方正仿宋_GBK" w:cstheme="minorBidi"/>
          <w:kern w:val="0"/>
          <w:sz w:val="33"/>
          <w:szCs w:val="24"/>
          <w:lang w:val="en-US" w:eastAsia="zh-CN"/>
        </w:rPr>
        <w:t>标准限额内据实报销各项支出，以保障乡镇党委和县级领导班子换届工作和党代会、两会涉及的组织工作顺利展开。同时做好各项会务工作，保障参会人员对会议举办的满意度；严格把控各项支出，节约使用经费。</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default" w:ascii="Times New Roman" w:hAnsi="Times New Roman" w:eastAsia="方正仿宋_GBK"/>
          <w:kern w:val="0"/>
          <w:sz w:val="33"/>
          <w:szCs w:val="24"/>
          <w:lang w:val="en-US" w:eastAsia="zh-CN"/>
        </w:rPr>
      </w:pPr>
      <w:r>
        <w:rPr>
          <w:rFonts w:hint="default" w:ascii="Times New Roman" w:hAnsi="Times New Roman" w:eastAsia="方正仿宋_GBK"/>
          <w:kern w:val="0"/>
          <w:sz w:val="33"/>
          <w:szCs w:val="24"/>
        </w:rPr>
        <w:t>3</w:t>
      </w:r>
      <w:r>
        <w:rPr>
          <w:rFonts w:hint="eastAsia" w:ascii="Times New Roman" w:hAnsi="Times New Roman" w:eastAsia="方正仿宋_GBK"/>
          <w:kern w:val="0"/>
          <w:sz w:val="33"/>
          <w:szCs w:val="24"/>
          <w:lang w:eastAsia="zh-CN"/>
        </w:rPr>
        <w:t>.</w:t>
      </w:r>
      <w:r>
        <w:rPr>
          <w:rFonts w:hint="eastAsia" w:ascii="Times New Roman" w:hAnsi="Times New Roman" w:eastAsia="方正仿宋_GBK"/>
          <w:kern w:val="0"/>
          <w:sz w:val="33"/>
          <w:szCs w:val="24"/>
          <w:lang w:val="en-US" w:eastAsia="zh-CN"/>
        </w:rPr>
        <w:t>组织部工作经费及会议经费均用于开展县委安排的人事组织工作，切合实际工作需要，申报目标合理可行。</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40" w:firstLineChars="200"/>
        <w:jc w:val="both"/>
        <w:textAlignment w:val="auto"/>
        <w:outlineLvl w:val="9"/>
        <w:rPr>
          <w:rFonts w:hint="default"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二、项目资金申报及使用情况</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default" w:ascii="方正楷体_GBK" w:hAnsi="Times New Roman" w:eastAsia="方正楷体_GBK" w:cs="Times New Roman"/>
          <w:b/>
          <w:kern w:val="0"/>
          <w:sz w:val="33"/>
          <w:szCs w:val="33"/>
        </w:rPr>
      </w:pPr>
      <w:r>
        <w:rPr>
          <w:rFonts w:hint="eastAsia" w:ascii="方正楷体_GBK" w:hAnsi="Times New Roman" w:eastAsia="方正楷体_GBK" w:cs="Times New Roman"/>
          <w:b/>
          <w:kern w:val="0"/>
          <w:sz w:val="33"/>
          <w:szCs w:val="33"/>
        </w:rPr>
        <w:t>（一）项目资金申报及批复情况</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default" w:ascii="Times New Roman" w:hAnsi="Times New Roman" w:eastAsia="方正仿宋_GBK" w:cs="Times New Roman"/>
          <w:kern w:val="0"/>
          <w:sz w:val="33"/>
          <w:szCs w:val="24"/>
          <w:lang w:val="en-US" w:eastAsia="zh-CN"/>
        </w:rPr>
      </w:pPr>
      <w:r>
        <w:rPr>
          <w:rFonts w:hint="eastAsia" w:ascii="Times New Roman" w:hAnsi="Times New Roman" w:eastAsia="方正仿宋_GBK" w:cs="Times New Roman"/>
          <w:kern w:val="0"/>
          <w:sz w:val="33"/>
          <w:szCs w:val="24"/>
          <w:lang w:val="en-US" w:eastAsia="zh-CN"/>
        </w:rPr>
        <w:t>会议经费由盐边组综[2021]53号申报，组织部工作经费由盐边组综[2021]54号申报，均由盐财资行[2021]341号批复下拨。其中组织部工作经费还包含盐边组综[2021]102号申请调整专项经费用途转换为工作经费，由盐财资行[2021]497号调整批复划拨。组织部工作经费划拨398715元，会议经费划拨167500元，合计566215元。</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default" w:ascii="方正楷体_GBK" w:hAnsi="Times New Roman" w:eastAsia="方正楷体_GBK" w:cs="Times New Roman"/>
          <w:b/>
          <w:kern w:val="0"/>
          <w:sz w:val="33"/>
          <w:szCs w:val="33"/>
        </w:rPr>
      </w:pPr>
      <w:r>
        <w:rPr>
          <w:rFonts w:hint="eastAsia" w:ascii="方正楷体_GBK" w:hAnsi="Times New Roman" w:eastAsia="方正楷体_GBK" w:cs="Times New Roman"/>
          <w:b/>
          <w:kern w:val="0"/>
          <w:sz w:val="33"/>
          <w:szCs w:val="33"/>
        </w:rPr>
        <w:t>（二）资金计划、到位及使用情况</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default" w:ascii="Times New Roman" w:hAnsi="Times New Roman" w:eastAsia="方正仿宋_GBK"/>
          <w:b w:val="0"/>
          <w:bCs w:val="0"/>
          <w:kern w:val="0"/>
          <w:sz w:val="33"/>
          <w:szCs w:val="24"/>
          <w:lang w:val="en-US" w:eastAsia="zh-CN"/>
        </w:rPr>
      </w:pPr>
      <w:r>
        <w:rPr>
          <w:rFonts w:hint="default" w:ascii="Times New Roman" w:hAnsi="Times New Roman" w:eastAsia="方正仿宋_GBK"/>
          <w:b w:val="0"/>
          <w:bCs w:val="0"/>
          <w:kern w:val="0"/>
          <w:sz w:val="33"/>
          <w:szCs w:val="24"/>
          <w:lang w:val="en-US" w:eastAsia="zh-CN"/>
        </w:rPr>
        <w:t>1</w:t>
      </w:r>
      <w:r>
        <w:rPr>
          <w:rFonts w:hint="eastAsia" w:ascii="Times New Roman" w:hAnsi="Times New Roman" w:eastAsia="方正仿宋_GBK"/>
          <w:b w:val="0"/>
          <w:bCs w:val="0"/>
          <w:kern w:val="0"/>
          <w:sz w:val="33"/>
          <w:szCs w:val="24"/>
          <w:lang w:val="en-US" w:eastAsia="zh-CN"/>
        </w:rPr>
        <w:t>．资金计划</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default" w:ascii="Times New Roman" w:hAnsi="Times New Roman" w:eastAsia="方正仿宋_GBK"/>
          <w:b w:val="0"/>
          <w:bCs w:val="0"/>
          <w:kern w:val="0"/>
          <w:sz w:val="33"/>
          <w:szCs w:val="24"/>
        </w:rPr>
      </w:pPr>
      <w:r>
        <w:rPr>
          <w:rFonts w:hint="eastAsia" w:ascii="Times New Roman" w:hAnsi="Times New Roman" w:eastAsia="方正仿宋_GBK"/>
          <w:b w:val="0"/>
          <w:bCs w:val="0"/>
          <w:kern w:val="0"/>
          <w:sz w:val="33"/>
          <w:szCs w:val="24"/>
          <w:lang w:val="en-US" w:eastAsia="zh-CN"/>
        </w:rPr>
        <w:t>组织部工作经费及会议经费合计566215元</w:t>
      </w:r>
      <w:r>
        <w:rPr>
          <w:rFonts w:hint="eastAsia" w:ascii="Times New Roman" w:hAnsi="Times New Roman" w:eastAsia="方正仿宋_GBK"/>
          <w:b w:val="0"/>
          <w:bCs w:val="0"/>
          <w:kern w:val="0"/>
          <w:sz w:val="33"/>
          <w:szCs w:val="32"/>
          <w:lang w:val="en-US" w:eastAsia="zh-CN"/>
        </w:rPr>
        <w:t>由</w:t>
      </w:r>
      <w:r>
        <w:rPr>
          <w:rFonts w:hint="eastAsia" w:ascii="Times New Roman" w:hAnsi="Times New Roman" w:eastAsia="方正仿宋_GBK"/>
          <w:b w:val="0"/>
          <w:bCs w:val="0"/>
          <w:sz w:val="33"/>
          <w:szCs w:val="32"/>
        </w:rPr>
        <w:t>县财政拨付</w:t>
      </w:r>
      <w:r>
        <w:rPr>
          <w:rFonts w:hint="eastAsia" w:ascii="Times New Roman" w:hAnsi="Times New Roman" w:eastAsia="方正仿宋_GBK"/>
          <w:b w:val="0"/>
          <w:bCs w:val="0"/>
          <w:kern w:val="0"/>
          <w:sz w:val="33"/>
          <w:szCs w:val="24"/>
        </w:rPr>
        <w:t>。</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default" w:ascii="Times New Roman" w:hAnsi="Times New Roman" w:eastAsia="方正仿宋_GBK"/>
          <w:b w:val="0"/>
          <w:bCs w:val="0"/>
          <w:kern w:val="0"/>
          <w:sz w:val="33"/>
          <w:szCs w:val="24"/>
          <w:lang w:val="en-US" w:eastAsia="zh-CN"/>
        </w:rPr>
      </w:pPr>
      <w:r>
        <w:rPr>
          <w:rFonts w:hint="default" w:ascii="Times New Roman" w:hAnsi="Times New Roman" w:eastAsia="方正仿宋_GBK"/>
          <w:b w:val="0"/>
          <w:bCs w:val="0"/>
          <w:kern w:val="0"/>
          <w:sz w:val="33"/>
          <w:szCs w:val="24"/>
          <w:lang w:val="en-US" w:eastAsia="zh-CN"/>
        </w:rPr>
        <w:t>2</w:t>
      </w:r>
      <w:r>
        <w:rPr>
          <w:rFonts w:hint="eastAsia" w:ascii="Times New Roman" w:hAnsi="Times New Roman" w:eastAsia="方正仿宋_GBK"/>
          <w:b w:val="0"/>
          <w:bCs w:val="0"/>
          <w:kern w:val="0"/>
          <w:sz w:val="33"/>
          <w:szCs w:val="24"/>
          <w:lang w:val="en-US" w:eastAsia="zh-CN"/>
        </w:rPr>
        <w:t>．资金到位</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default" w:ascii="Times New Roman" w:hAnsi="Times New Roman" w:eastAsia="方正仿宋_GBK"/>
          <w:b w:val="0"/>
          <w:bCs w:val="0"/>
          <w:kern w:val="0"/>
          <w:sz w:val="33"/>
          <w:szCs w:val="24"/>
          <w:lang w:val="en-US" w:eastAsia="zh-CN"/>
        </w:rPr>
      </w:pPr>
      <w:r>
        <w:rPr>
          <w:rFonts w:hint="eastAsia" w:ascii="Times New Roman" w:hAnsi="Times New Roman" w:eastAsia="方正仿宋_GBK"/>
          <w:b w:val="0"/>
          <w:bCs w:val="0"/>
          <w:kern w:val="0"/>
          <w:sz w:val="33"/>
          <w:szCs w:val="24"/>
          <w:lang w:val="en-US" w:eastAsia="zh-CN"/>
        </w:rPr>
        <w:t>截至2021年底，组织部工作经费及会议经费合计566215元全部到位。</w:t>
      </w:r>
    </w:p>
    <w:p>
      <w:pPr>
        <w:keepNext w:val="0"/>
        <w:keepLines w:val="0"/>
        <w:pageBreakBefore w:val="0"/>
        <w:widowControl w:val="0"/>
        <w:numPr>
          <w:ilvl w:val="0"/>
          <w:numId w:val="5"/>
        </w:numPr>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eastAsia" w:ascii="Times New Roman" w:hAnsi="Times New Roman" w:eastAsia="方正仿宋_GBK"/>
          <w:b w:val="0"/>
          <w:bCs w:val="0"/>
          <w:kern w:val="0"/>
          <w:sz w:val="33"/>
          <w:szCs w:val="24"/>
          <w:lang w:val="en-US" w:eastAsia="zh-CN"/>
        </w:rPr>
      </w:pPr>
      <w:r>
        <w:rPr>
          <w:rFonts w:hint="eastAsia" w:ascii="Times New Roman" w:hAnsi="Times New Roman" w:eastAsia="方正仿宋_GBK"/>
          <w:b w:val="0"/>
          <w:bCs w:val="0"/>
          <w:kern w:val="0"/>
          <w:sz w:val="33"/>
          <w:szCs w:val="24"/>
          <w:lang w:val="en-US" w:eastAsia="zh-CN"/>
        </w:rPr>
        <w:t>资金使用</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eastAsia" w:ascii="Times New Roman" w:hAnsi="Times New Roman" w:eastAsia="方正仿宋_GBK"/>
          <w:b w:val="0"/>
          <w:bCs w:val="0"/>
          <w:kern w:val="0"/>
          <w:sz w:val="33"/>
          <w:szCs w:val="24"/>
        </w:rPr>
      </w:pPr>
      <w:r>
        <w:rPr>
          <w:rFonts w:hint="eastAsia" w:ascii="Times New Roman" w:hAnsi="Times New Roman" w:eastAsia="方正仿宋_GBK" w:cstheme="minorBidi"/>
          <w:b w:val="0"/>
          <w:bCs w:val="0"/>
          <w:kern w:val="0"/>
          <w:sz w:val="33"/>
          <w:szCs w:val="24"/>
          <w:lang w:val="en-US" w:eastAsia="zh-CN"/>
        </w:rPr>
        <w:t>截至2021年底，会议经费167500元均已全部按照会议费用相关管理办法，凭会议通知、签到册、发票后据实报销，无结余。组织部工作经费共计</w:t>
      </w:r>
      <w:r>
        <w:rPr>
          <w:rFonts w:hint="eastAsia" w:ascii="Times New Roman" w:hAnsi="Times New Roman" w:eastAsia="方正仿宋_GBK"/>
          <w:b w:val="0"/>
          <w:bCs w:val="0"/>
          <w:kern w:val="0"/>
          <w:sz w:val="33"/>
          <w:szCs w:val="32"/>
          <w:lang w:val="en-US" w:eastAsia="zh-CN"/>
        </w:rPr>
        <w:t>398715元，截至2021年年底据实支出346349.89元，结余52365.11元。</w:t>
      </w:r>
      <w:r>
        <w:rPr>
          <w:rFonts w:hint="eastAsia" w:ascii="Times New Roman" w:hAnsi="Times New Roman" w:eastAsia="方正仿宋_GBK"/>
          <w:b w:val="0"/>
          <w:bCs w:val="0"/>
          <w:kern w:val="0"/>
          <w:sz w:val="33"/>
          <w:szCs w:val="24"/>
        </w:rPr>
        <w:t>资金支付范围、支付标准、支付进度、支付依据合规合法、与预算相符</w:t>
      </w:r>
      <w:r>
        <w:rPr>
          <w:rFonts w:hint="eastAsia" w:ascii="Times New Roman" w:hAnsi="Times New Roman" w:eastAsia="方正仿宋_GBK"/>
          <w:b w:val="0"/>
          <w:bCs w:val="0"/>
          <w:kern w:val="0"/>
          <w:sz w:val="33"/>
          <w:szCs w:val="24"/>
          <w:lang w:eastAsia="zh-CN"/>
        </w:rPr>
        <w:t>。</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eastAsia" w:ascii="方正楷体_GBK" w:hAnsi="Times New Roman" w:eastAsia="方正楷体_GBK" w:cs="Times New Roman"/>
          <w:b/>
          <w:kern w:val="0"/>
          <w:sz w:val="33"/>
          <w:szCs w:val="33"/>
        </w:rPr>
      </w:pPr>
      <w:r>
        <w:rPr>
          <w:rFonts w:hint="eastAsia" w:ascii="方正楷体_GBK" w:hAnsi="Times New Roman" w:eastAsia="方正楷体_GBK" w:cs="Times New Roman"/>
          <w:b/>
          <w:kern w:val="0"/>
          <w:sz w:val="33"/>
          <w:szCs w:val="33"/>
          <w:lang w:eastAsia="zh-CN"/>
        </w:rPr>
        <w:t>（</w:t>
      </w:r>
      <w:r>
        <w:rPr>
          <w:rFonts w:hint="eastAsia" w:ascii="方正楷体_GBK" w:hAnsi="Times New Roman" w:eastAsia="方正楷体_GBK" w:cs="Times New Roman"/>
          <w:b/>
          <w:kern w:val="0"/>
          <w:sz w:val="33"/>
          <w:szCs w:val="33"/>
          <w:lang w:val="en-US" w:eastAsia="zh-CN"/>
        </w:rPr>
        <w:t>三</w:t>
      </w:r>
      <w:r>
        <w:rPr>
          <w:rFonts w:hint="eastAsia" w:ascii="方正楷体_GBK" w:hAnsi="Times New Roman" w:eastAsia="方正楷体_GBK" w:cs="Times New Roman"/>
          <w:b/>
          <w:kern w:val="0"/>
          <w:sz w:val="33"/>
          <w:szCs w:val="33"/>
          <w:lang w:eastAsia="zh-CN"/>
        </w:rPr>
        <w:t>）</w:t>
      </w:r>
      <w:r>
        <w:rPr>
          <w:rFonts w:hint="eastAsia" w:ascii="方正楷体_GBK" w:hAnsi="Times New Roman" w:eastAsia="方正楷体_GBK" w:cs="Times New Roman"/>
          <w:b/>
          <w:kern w:val="0"/>
          <w:sz w:val="33"/>
          <w:szCs w:val="33"/>
        </w:rPr>
        <w:t>项目财务管理情况</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eastAsia" w:ascii="Times New Roman" w:hAnsi="Times New Roman" w:eastAsia="方正仿宋_GBK" w:cs="Times New Roman"/>
          <w:b w:val="0"/>
          <w:bCs w:val="0"/>
          <w:kern w:val="0"/>
          <w:sz w:val="33"/>
          <w:szCs w:val="32"/>
          <w:lang w:val="en-US" w:eastAsia="zh-CN"/>
        </w:rPr>
      </w:pPr>
      <w:r>
        <w:rPr>
          <w:rFonts w:hint="eastAsia" w:ascii="Times New Roman" w:hAnsi="Times New Roman" w:eastAsia="方正仿宋_GBK" w:cs="Times New Roman"/>
          <w:b w:val="0"/>
          <w:bCs w:val="0"/>
          <w:kern w:val="0"/>
          <w:sz w:val="33"/>
          <w:szCs w:val="32"/>
          <w:lang w:val="en-US" w:eastAsia="zh-CN"/>
        </w:rPr>
        <w:t>我部对项目资金的预算，提出具体的项目、目标和实施计划，准确编制项目支出绩效申报表，提供详细的项目支撑依据，切实做到项目资金使用的合理合规，并及时完成会计核算。并在规定的时限内完整、准确</w:t>
      </w:r>
      <w:r>
        <w:rPr>
          <w:rFonts w:hint="eastAsia" w:eastAsia="方正仿宋_GBK" w:cs="Times New Roman"/>
          <w:b w:val="0"/>
          <w:bCs w:val="0"/>
          <w:kern w:val="0"/>
          <w:sz w:val="33"/>
          <w:szCs w:val="32"/>
          <w:lang w:val="en-US" w:eastAsia="zh-CN"/>
        </w:rPr>
        <w:t>地</w:t>
      </w:r>
      <w:r>
        <w:rPr>
          <w:rFonts w:hint="eastAsia" w:ascii="Times New Roman" w:hAnsi="Times New Roman" w:eastAsia="方正仿宋_GBK" w:cs="Times New Roman"/>
          <w:b w:val="0"/>
          <w:bCs w:val="0"/>
          <w:kern w:val="0"/>
          <w:sz w:val="33"/>
          <w:szCs w:val="32"/>
          <w:lang w:val="en-US" w:eastAsia="zh-CN"/>
        </w:rPr>
        <w:t>报送到县级财政部门。</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40" w:firstLineChars="200"/>
        <w:jc w:val="both"/>
        <w:textAlignment w:val="auto"/>
        <w:outlineLvl w:val="9"/>
        <w:rPr>
          <w:rFonts w:hint="default"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三、项目实施及管理情况</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default" w:ascii="Times New Roman" w:hAnsi="Times New Roman" w:eastAsia="方正仿宋_GBK" w:cs="Times New Roman"/>
          <w:b w:val="0"/>
          <w:bCs w:val="0"/>
          <w:kern w:val="0"/>
          <w:sz w:val="33"/>
          <w:szCs w:val="32"/>
          <w:lang w:val="en-US" w:eastAsia="zh-CN"/>
        </w:rPr>
      </w:pPr>
      <w:r>
        <w:rPr>
          <w:rFonts w:hint="eastAsia" w:ascii="Times New Roman" w:hAnsi="Times New Roman" w:eastAsia="方正仿宋_GBK" w:cs="Times New Roman"/>
          <w:b w:val="0"/>
          <w:bCs w:val="0"/>
          <w:kern w:val="0"/>
          <w:sz w:val="33"/>
          <w:szCs w:val="32"/>
          <w:lang w:val="en-US" w:eastAsia="zh-CN"/>
        </w:rPr>
        <w:t>在县委的统筹领导下有序推动各项会议的召开，开展换届考察、公务员新招录考察等各项工作，各项工作开展后按照各类管理制度，依据发票据实审批报销费用。2021年度的换届工作的开展，成立了换届工作领导小组统筹各项换届工作井然有序地进行。</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40" w:firstLineChars="200"/>
        <w:jc w:val="both"/>
        <w:textAlignment w:val="auto"/>
        <w:outlineLvl w:val="9"/>
        <w:rPr>
          <w:rFonts w:hint="default"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四、项目绩效情况</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default" w:ascii="方正楷体_GBK" w:hAnsi="Times New Roman" w:eastAsia="方正楷体_GBK" w:cs="Times New Roman"/>
          <w:b/>
          <w:kern w:val="0"/>
          <w:sz w:val="33"/>
          <w:szCs w:val="33"/>
          <w:lang w:eastAsia="zh-CN"/>
        </w:rPr>
      </w:pPr>
      <w:r>
        <w:rPr>
          <w:rFonts w:hint="eastAsia" w:ascii="方正楷体_GBK" w:hAnsi="Times New Roman" w:eastAsia="方正楷体_GBK" w:cs="Times New Roman"/>
          <w:b/>
          <w:kern w:val="0"/>
          <w:sz w:val="33"/>
          <w:szCs w:val="33"/>
          <w:lang w:eastAsia="zh-CN"/>
        </w:rPr>
        <w:t>（一）项目完成情况</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default" w:ascii="Times New Roman" w:hAnsi="Times New Roman" w:eastAsia="方正仿宋_GBK" w:cs="Times New Roman"/>
          <w:b w:val="0"/>
          <w:bCs w:val="0"/>
          <w:kern w:val="0"/>
          <w:sz w:val="33"/>
          <w:szCs w:val="32"/>
          <w:lang w:val="en-US" w:eastAsia="zh-CN"/>
        </w:rPr>
      </w:pPr>
      <w:r>
        <w:rPr>
          <w:rFonts w:hint="eastAsia" w:ascii="Times New Roman" w:hAnsi="Times New Roman" w:eastAsia="方正仿宋_GBK" w:cs="Times New Roman"/>
          <w:b w:val="0"/>
          <w:bCs w:val="0"/>
          <w:kern w:val="0"/>
          <w:sz w:val="33"/>
          <w:szCs w:val="32"/>
          <w:lang w:val="en-US" w:eastAsia="zh-CN"/>
        </w:rPr>
        <w:t>顺利完成了读书班及县升职谈话、干部考察及述职会议、调研及专题报告会，以及县、乡领导班子换届。</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default" w:ascii="方正楷体_GBK" w:hAnsi="Times New Roman" w:eastAsia="方正楷体_GBK" w:cs="Times New Roman"/>
          <w:b/>
          <w:kern w:val="0"/>
          <w:sz w:val="33"/>
          <w:szCs w:val="33"/>
          <w:lang w:eastAsia="zh-CN"/>
        </w:rPr>
      </w:pPr>
      <w:r>
        <w:rPr>
          <w:rFonts w:hint="eastAsia" w:ascii="方正楷体_GBK" w:hAnsi="Times New Roman" w:eastAsia="方正楷体_GBK" w:cs="Times New Roman"/>
          <w:b/>
          <w:kern w:val="0"/>
          <w:sz w:val="33"/>
          <w:szCs w:val="33"/>
          <w:lang w:eastAsia="zh-CN"/>
        </w:rPr>
        <w:t>（二）项目效益情况。</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default" w:ascii="Times New Roman" w:hAnsi="Times New Roman" w:eastAsia="黑体"/>
          <w:kern w:val="0"/>
          <w:sz w:val="32"/>
          <w:szCs w:val="24"/>
          <w:lang w:val="en-US" w:eastAsia="zh-CN"/>
        </w:rPr>
      </w:pPr>
      <w:r>
        <w:rPr>
          <w:rFonts w:hint="eastAsia" w:ascii="Times New Roman" w:hAnsi="Times New Roman" w:eastAsia="方正仿宋_GBK" w:cs="Times New Roman"/>
          <w:b w:val="0"/>
          <w:bCs w:val="0"/>
          <w:kern w:val="0"/>
          <w:sz w:val="33"/>
          <w:szCs w:val="32"/>
          <w:lang w:val="en-US" w:eastAsia="zh-CN"/>
        </w:rPr>
        <w:t>县委对我部统筹开展的各项会议及县、乡领导班子换届工作取得的工作成果较满意。</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40" w:firstLineChars="200"/>
        <w:jc w:val="both"/>
        <w:textAlignment w:val="auto"/>
        <w:outlineLvl w:val="9"/>
        <w:rPr>
          <w:rFonts w:hint="default"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五、评价结论及建议</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eastAsia" w:ascii="方正楷体_GBK" w:hAnsi="Times New Roman" w:eastAsia="方正楷体_GBK" w:cs="Times New Roman"/>
          <w:b/>
          <w:kern w:val="0"/>
          <w:sz w:val="33"/>
          <w:szCs w:val="33"/>
          <w:lang w:eastAsia="zh-CN"/>
        </w:rPr>
      </w:pPr>
      <w:r>
        <w:rPr>
          <w:rFonts w:hint="eastAsia" w:ascii="方正楷体_GBK" w:hAnsi="Times New Roman" w:eastAsia="方正楷体_GBK" w:cs="Times New Roman"/>
          <w:b/>
          <w:kern w:val="0"/>
          <w:sz w:val="33"/>
          <w:szCs w:val="33"/>
          <w:lang w:eastAsia="zh-CN"/>
        </w:rPr>
        <w:t>（一）评价结论</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default" w:ascii="Times New Roman" w:hAnsi="Times New Roman" w:eastAsia="方正仿宋_GBK" w:cs="Times New Roman"/>
          <w:b w:val="0"/>
          <w:bCs w:val="0"/>
          <w:kern w:val="0"/>
          <w:sz w:val="33"/>
          <w:szCs w:val="32"/>
          <w:lang w:val="en-US" w:eastAsia="zh-CN"/>
        </w:rPr>
      </w:pPr>
      <w:r>
        <w:rPr>
          <w:rFonts w:hint="eastAsia" w:ascii="Times New Roman" w:hAnsi="Times New Roman" w:eastAsia="方正仿宋_GBK" w:cs="Times New Roman"/>
          <w:b w:val="0"/>
          <w:bCs w:val="0"/>
          <w:kern w:val="0"/>
          <w:sz w:val="33"/>
          <w:szCs w:val="32"/>
          <w:lang w:val="en-US" w:eastAsia="zh-CN"/>
        </w:rPr>
        <w:t>项目推动井然有序、各类支出均按照有关管理办法执行，项目综合绩效评价优。</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eastAsia" w:ascii="方正楷体_GBK" w:hAnsi="Times New Roman" w:eastAsia="方正楷体_GBK" w:cs="Times New Roman"/>
          <w:b/>
          <w:kern w:val="0"/>
          <w:sz w:val="33"/>
          <w:szCs w:val="33"/>
          <w:lang w:eastAsia="zh-CN"/>
        </w:rPr>
      </w:pPr>
      <w:r>
        <w:rPr>
          <w:rFonts w:hint="eastAsia" w:ascii="方正楷体_GBK" w:hAnsi="Times New Roman" w:eastAsia="方正楷体_GBK" w:cs="Times New Roman"/>
          <w:b/>
          <w:kern w:val="0"/>
          <w:sz w:val="33"/>
          <w:szCs w:val="33"/>
          <w:lang w:eastAsia="zh-CN"/>
        </w:rPr>
        <w:t>（</w:t>
      </w:r>
      <w:r>
        <w:rPr>
          <w:rFonts w:hint="eastAsia" w:ascii="方正楷体_GBK" w:hAnsi="Times New Roman" w:eastAsia="方正楷体_GBK" w:cs="Times New Roman"/>
          <w:b/>
          <w:kern w:val="0"/>
          <w:sz w:val="33"/>
          <w:szCs w:val="33"/>
          <w:lang w:val="en-US" w:eastAsia="zh-CN"/>
        </w:rPr>
        <w:t>二</w:t>
      </w:r>
      <w:r>
        <w:rPr>
          <w:rFonts w:hint="eastAsia" w:ascii="方正楷体_GBK" w:hAnsi="Times New Roman" w:eastAsia="方正楷体_GBK" w:cs="Times New Roman"/>
          <w:b/>
          <w:kern w:val="0"/>
          <w:sz w:val="33"/>
          <w:szCs w:val="33"/>
          <w:lang w:eastAsia="zh-CN"/>
        </w:rPr>
        <w:t>）存在的问题</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40" w:firstLineChars="200"/>
        <w:jc w:val="both"/>
        <w:textAlignment w:val="auto"/>
        <w:outlineLvl w:val="9"/>
        <w:rPr>
          <w:rFonts w:hint="default" w:ascii="Times New Roman" w:hAnsi="Times New Roman" w:eastAsia="仿宋_GB2312"/>
          <w:kern w:val="0"/>
          <w:sz w:val="32"/>
          <w:szCs w:val="24"/>
          <w:lang w:val="en-US" w:eastAsia="zh-CN"/>
        </w:rPr>
      </w:pPr>
      <w:r>
        <w:rPr>
          <w:rFonts w:hint="eastAsia" w:ascii="Times New Roman" w:hAnsi="Times New Roman" w:eastAsia="仿宋_GB2312"/>
          <w:kern w:val="0"/>
          <w:sz w:val="32"/>
          <w:szCs w:val="24"/>
          <w:lang w:val="en-US" w:eastAsia="zh-CN"/>
        </w:rPr>
        <w:t>项目绩效评价专业能力不足，绩效自评细化工作中仍存在指标设立粗糙等问题。</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default" w:ascii="方正楷体_GBK" w:hAnsi="Times New Roman" w:eastAsia="方正楷体_GBK" w:cs="Times New Roman"/>
          <w:b/>
          <w:kern w:val="0"/>
          <w:sz w:val="33"/>
          <w:szCs w:val="33"/>
          <w:lang w:eastAsia="zh-CN"/>
        </w:rPr>
      </w:pPr>
      <w:r>
        <w:rPr>
          <w:rFonts w:hint="eastAsia" w:ascii="方正楷体_GBK" w:hAnsi="Times New Roman" w:eastAsia="方正楷体_GBK" w:cs="Times New Roman"/>
          <w:b/>
          <w:kern w:val="0"/>
          <w:sz w:val="33"/>
          <w:szCs w:val="33"/>
          <w:lang w:eastAsia="zh-CN"/>
        </w:rPr>
        <w:t>（三）相关建议</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default" w:ascii="Times New Roman" w:hAnsi="Times New Roman" w:eastAsia="方正仿宋_GBK" w:cs="Times New Roman"/>
          <w:b w:val="0"/>
          <w:bCs w:val="0"/>
          <w:kern w:val="0"/>
          <w:sz w:val="33"/>
          <w:szCs w:val="32"/>
          <w:lang w:val="en-US" w:eastAsia="zh-CN"/>
        </w:rPr>
      </w:pPr>
      <w:r>
        <w:rPr>
          <w:rFonts w:hint="eastAsia" w:ascii="Times New Roman" w:hAnsi="Times New Roman" w:eastAsia="方正仿宋_GBK" w:cs="Times New Roman"/>
          <w:b w:val="0"/>
          <w:bCs w:val="0"/>
          <w:kern w:val="0"/>
          <w:sz w:val="33"/>
          <w:szCs w:val="32"/>
          <w:lang w:val="en-US" w:eastAsia="zh-CN"/>
        </w:rPr>
        <w:t>希望可以针对项目绩效评价开展统一、系统的培训。</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0" w:firstLineChars="200"/>
        <w:jc w:val="both"/>
        <w:textAlignment w:val="auto"/>
        <w:outlineLvl w:val="9"/>
        <w:rPr>
          <w:rFonts w:hint="eastAsia" w:ascii="Times New Roman" w:hAnsi="Times New Roman" w:eastAsia="方正仿宋_GBK" w:cs="Times New Roman"/>
          <w:b w:val="0"/>
          <w:bCs w:val="0"/>
          <w:kern w:val="0"/>
          <w:sz w:val="33"/>
          <w:szCs w:val="32"/>
          <w:lang w:val="en-US" w:eastAsia="zh-CN"/>
        </w:rPr>
      </w:pPr>
    </w:p>
    <w:p>
      <w:pPr>
        <w:pStyle w:val="2"/>
        <w:spacing w:before="93"/>
        <w:outlineLvl w:val="9"/>
        <w:rPr>
          <w:rFonts w:hint="default" w:eastAsia="仿宋_GB2312"/>
          <w:lang w:val="en-US" w:eastAsia="zh-CN"/>
        </w:rPr>
      </w:pPr>
      <w:r>
        <w:rPr>
          <w:rFonts w:hint="eastAsia" w:hAnsi="宋体" w:cs="宋体"/>
          <w:sz w:val="32"/>
          <w:szCs w:val="32"/>
          <w:shd w:val="clear" w:color="auto" w:fill="FFFFFF"/>
          <w:lang w:val="zh-CN"/>
        </w:rPr>
        <w:t>附件</w:t>
      </w:r>
      <w:r>
        <w:rPr>
          <w:rFonts w:hint="eastAsia" w:hAnsi="宋体" w:cs="宋体"/>
          <w:sz w:val="32"/>
          <w:szCs w:val="32"/>
          <w:shd w:val="clear" w:color="auto" w:fill="FFFFFF"/>
          <w:lang w:val="en-US" w:eastAsia="zh-CN"/>
        </w:rPr>
        <w:t>4</w:t>
      </w:r>
    </w:p>
    <w:p>
      <w:pPr>
        <w:pStyle w:val="8"/>
        <w:spacing w:beforeLines="0" w:afterLines="0" w:line="600" w:lineRule="exact"/>
        <w:ind w:firstLine="720" w:firstLineChars="200"/>
        <w:jc w:val="center"/>
        <w:rPr>
          <w:rFonts w:hint="default" w:ascii="方正小标宋_GBK" w:hAnsi="黑体" w:eastAsia="方正小标宋_GBK" w:cs="黑体"/>
          <w:sz w:val="36"/>
          <w:szCs w:val="36"/>
          <w:lang w:val="en-US" w:eastAsia="zh-CN"/>
        </w:rPr>
      </w:pPr>
      <w:r>
        <w:rPr>
          <w:rFonts w:hint="default" w:ascii="方正小标宋_GBK" w:hAnsi="黑体" w:eastAsia="方正小标宋_GBK" w:cs="黑体"/>
          <w:sz w:val="36"/>
          <w:szCs w:val="36"/>
          <w:lang w:val="en-US" w:eastAsia="zh-CN"/>
        </w:rPr>
        <w:t>中共盐边县委组织部</w:t>
      </w:r>
    </w:p>
    <w:p>
      <w:pPr>
        <w:pStyle w:val="8"/>
        <w:spacing w:beforeLines="0" w:afterLines="0" w:line="600" w:lineRule="exact"/>
        <w:ind w:firstLine="720" w:firstLineChars="200"/>
        <w:jc w:val="center"/>
        <w:rPr>
          <w:rFonts w:hint="default" w:ascii="方正小标宋_GBK" w:hAnsi="黑体" w:eastAsia="方正小标宋_GBK" w:cs="黑体"/>
          <w:sz w:val="36"/>
          <w:szCs w:val="36"/>
          <w:lang w:val="en-US" w:eastAsia="zh-CN"/>
        </w:rPr>
      </w:pPr>
      <w:r>
        <w:rPr>
          <w:rFonts w:hint="default" w:ascii="方正小标宋_GBK" w:hAnsi="黑体" w:eastAsia="方正小标宋_GBK" w:cs="黑体"/>
          <w:sz w:val="36"/>
          <w:szCs w:val="36"/>
          <w:lang w:val="en-US" w:eastAsia="zh-CN"/>
        </w:rPr>
        <w:t>专项资金绩效自评报告</w:t>
      </w:r>
    </w:p>
    <w:p>
      <w:pPr>
        <w:pStyle w:val="8"/>
        <w:keepNext w:val="0"/>
        <w:keepLines w:val="0"/>
        <w:pageBreakBefore w:val="0"/>
        <w:widowControl w:val="0"/>
        <w:kinsoku/>
        <w:wordWrap/>
        <w:overflowPunct/>
        <w:topLinePunct w:val="0"/>
        <w:autoSpaceDE/>
        <w:autoSpaceDN/>
        <w:bidi w:val="0"/>
        <w:adjustRightInd/>
        <w:snapToGrid/>
        <w:spacing w:after="157" w:afterLines="50" w:line="600" w:lineRule="exact"/>
        <w:ind w:firstLine="760" w:firstLineChars="200"/>
        <w:jc w:val="center"/>
        <w:textAlignment w:val="auto"/>
        <w:rPr>
          <w:rFonts w:ascii="Times New Roman" w:hAnsi="Times New Roman" w:eastAsia="方正仿宋_GBK"/>
          <w:kern w:val="0"/>
          <w:sz w:val="33"/>
          <w:szCs w:val="33"/>
        </w:rPr>
      </w:pPr>
      <w:r>
        <w:rPr>
          <w:rFonts w:hint="eastAsia" w:ascii="方正小标宋_GBK" w:hAnsi="Times New Roman" w:eastAsia="方正小标宋_GBK"/>
          <w:sz w:val="38"/>
          <w:szCs w:val="38"/>
          <w:lang w:eastAsia="zh-CN"/>
        </w:rPr>
        <w:t>（</w:t>
      </w:r>
      <w:r>
        <w:rPr>
          <w:rFonts w:hint="eastAsia" w:ascii="方正小标宋_GBK" w:hAnsi="Times New Roman" w:eastAsia="方正小标宋_GBK"/>
          <w:sz w:val="38"/>
          <w:szCs w:val="38"/>
        </w:rPr>
        <w:t>2021年老干部</w:t>
      </w:r>
      <w:r>
        <w:rPr>
          <w:rFonts w:hint="eastAsia" w:ascii="方正小标宋_GBK" w:hAnsi="Times New Roman" w:eastAsia="方正小标宋_GBK"/>
          <w:sz w:val="38"/>
          <w:szCs w:val="38"/>
          <w:lang w:val="en-US" w:eastAsia="zh-CN"/>
        </w:rPr>
        <w:t>活动中心</w:t>
      </w:r>
      <w:r>
        <w:rPr>
          <w:rFonts w:hint="eastAsia" w:ascii="方正小标宋_GBK" w:hAnsi="Times New Roman" w:eastAsia="方正小标宋_GBK"/>
          <w:sz w:val="38"/>
          <w:szCs w:val="38"/>
        </w:rPr>
        <w:t>经费</w:t>
      </w:r>
      <w:r>
        <w:rPr>
          <w:rFonts w:hint="eastAsia" w:ascii="方正小标宋_GBK" w:hAnsi="Times New Roman" w:eastAsia="方正小标宋_GBK"/>
          <w:sz w:val="38"/>
          <w:szCs w:val="38"/>
          <w:lang w:eastAsia="zh-CN"/>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方正黑体_GBK" w:hAnsi="Times New Roman" w:eastAsia="方正黑体_GBK" w:cs="Times New Roman"/>
          <w:kern w:val="0"/>
          <w:sz w:val="33"/>
          <w:szCs w:val="33"/>
          <w:lang w:val="en-US" w:eastAsia="zh-CN"/>
        </w:rPr>
      </w:pPr>
      <w:r>
        <w:rPr>
          <w:rFonts w:hint="eastAsia" w:ascii="方正黑体_GBK" w:hAnsi="Times New Roman" w:eastAsia="方正黑体_GBK" w:cs="Times New Roman"/>
          <w:kern w:val="0"/>
          <w:sz w:val="33"/>
          <w:szCs w:val="33"/>
          <w:lang w:val="en-US" w:eastAsia="zh-CN"/>
        </w:rPr>
        <w:t>一、项目概况</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eastAsia" w:ascii="方正楷体_GBK" w:hAnsi="Times New Roman" w:eastAsia="方正楷体_GBK" w:cs="Times New Roman"/>
          <w:b/>
          <w:kern w:val="0"/>
          <w:sz w:val="33"/>
          <w:szCs w:val="33"/>
          <w:lang w:eastAsia="zh-CN"/>
        </w:rPr>
      </w:pPr>
      <w:r>
        <w:rPr>
          <w:rFonts w:hint="eastAsia" w:ascii="方正楷体_GBK" w:hAnsi="Times New Roman" w:eastAsia="方正楷体_GBK" w:cs="Times New Roman"/>
          <w:b/>
          <w:kern w:val="0"/>
          <w:sz w:val="33"/>
          <w:szCs w:val="33"/>
          <w:lang w:eastAsia="zh-CN"/>
        </w:rPr>
        <w:t>（一）项目基本情况。</w:t>
      </w:r>
    </w:p>
    <w:p>
      <w:pPr>
        <w:keepNext w:val="0"/>
        <w:keepLines w:val="0"/>
        <w:pageBreakBefore w:val="0"/>
        <w:widowControl w:val="0"/>
        <w:kinsoku/>
        <w:wordWrap/>
        <w:overflowPunct/>
        <w:topLinePunct w:val="0"/>
        <w:bidi w:val="0"/>
        <w:snapToGrid/>
        <w:spacing w:line="240" w:lineRule="auto"/>
        <w:ind w:firstLine="660" w:firstLineChars="200"/>
        <w:jc w:val="both"/>
        <w:textAlignment w:val="auto"/>
        <w:outlineLvl w:val="9"/>
        <w:rPr>
          <w:rFonts w:hint="eastAsia" w:ascii="Times New Roman" w:hAnsi="Times New Roman" w:eastAsia="方正仿宋_GBK" w:cs="Times New Roman"/>
          <w:bCs/>
          <w:sz w:val="33"/>
          <w:szCs w:val="33"/>
        </w:rPr>
      </w:pPr>
      <w:r>
        <w:rPr>
          <w:rFonts w:hint="eastAsia" w:ascii="Times New Roman" w:hAnsi="Times New Roman" w:eastAsia="方正仿宋_GBK" w:cs="Times New Roman"/>
          <w:bCs/>
          <w:sz w:val="33"/>
          <w:szCs w:val="33"/>
        </w:rPr>
        <w:t>1.说明项目主管部门（单位）在该项目管理中的职能。</w:t>
      </w:r>
    </w:p>
    <w:p>
      <w:pPr>
        <w:keepNext w:val="0"/>
        <w:keepLines w:val="0"/>
        <w:pageBreakBefore w:val="0"/>
        <w:widowControl w:val="0"/>
        <w:kinsoku/>
        <w:wordWrap/>
        <w:overflowPunct/>
        <w:topLinePunct w:val="0"/>
        <w:bidi w:val="0"/>
        <w:snapToGrid/>
        <w:spacing w:line="240" w:lineRule="auto"/>
        <w:ind w:firstLine="660" w:firstLineChars="200"/>
        <w:jc w:val="both"/>
        <w:textAlignment w:val="auto"/>
        <w:outlineLvl w:val="9"/>
        <w:rPr>
          <w:rFonts w:ascii="Times New Roman" w:hAnsi="Times New Roman" w:eastAsia="方正仿宋_GBK"/>
          <w:kern w:val="0"/>
          <w:sz w:val="33"/>
          <w:szCs w:val="33"/>
        </w:rPr>
      </w:pPr>
      <w:r>
        <w:rPr>
          <w:rFonts w:ascii="Times New Roman" w:hAnsi="Times New Roman" w:eastAsia="方正仿宋_GBK"/>
          <w:bCs/>
          <w:sz w:val="33"/>
          <w:szCs w:val="33"/>
        </w:rPr>
        <w:t>坚持以习近平新时代中国特色社会主义思想为指导，深入学习贯彻习近平总书记对老干部工作的重要指示精神和中央、省、市老干部工作会议精神，不断加强老干部工作“三项建设”，全面落实老干部“两项待遇”。组织离退休干部开展参观、考察、调研和健康休养，组织离退休干部参与党委、政府重大活动，召开情况通报会，重大节日进行走访慰问，进一步落实好离退休干部政治待遇和生活待遇，加强离退休干部思想建设、政治建设和党组织建设。加强对离退休干部的管理服务和关心爱护工作，用心用情做好老干部工作，让广大老干部老有所养、老有所乐、老有所为，安享幸福晚年，维护离退休干部思想稳定，引导老干部为党和人民的事业凝聚正能量。</w:t>
      </w:r>
    </w:p>
    <w:p>
      <w:pPr>
        <w:keepNext w:val="0"/>
        <w:keepLines w:val="0"/>
        <w:pageBreakBefore w:val="0"/>
        <w:widowControl w:val="0"/>
        <w:kinsoku/>
        <w:wordWrap/>
        <w:overflowPunct/>
        <w:topLinePunct w:val="0"/>
        <w:bidi w:val="0"/>
        <w:snapToGrid/>
        <w:spacing w:line="240" w:lineRule="auto"/>
        <w:ind w:firstLine="660" w:firstLineChars="200"/>
        <w:jc w:val="both"/>
        <w:textAlignment w:val="auto"/>
        <w:outlineLvl w:val="9"/>
        <w:rPr>
          <w:rFonts w:hint="eastAsia" w:ascii="Times New Roman" w:hAnsi="Times New Roman" w:eastAsia="方正仿宋_GBK" w:cs="Times New Roman"/>
          <w:bCs/>
          <w:sz w:val="33"/>
          <w:szCs w:val="33"/>
        </w:rPr>
      </w:pPr>
      <w:r>
        <w:rPr>
          <w:rFonts w:hint="eastAsia" w:ascii="Times New Roman" w:hAnsi="Times New Roman" w:eastAsia="方正仿宋_GBK" w:cs="Times New Roman"/>
          <w:bCs/>
          <w:sz w:val="33"/>
          <w:szCs w:val="33"/>
        </w:rPr>
        <w:t>2.项目立项、资金申报的依据。</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sz w:val="33"/>
          <w:szCs w:val="33"/>
        </w:rPr>
      </w:pPr>
      <w:r>
        <w:rPr>
          <w:rFonts w:ascii="Times New Roman" w:hAnsi="Times New Roman" w:eastAsia="方正仿宋_GBK"/>
          <w:sz w:val="33"/>
          <w:szCs w:val="33"/>
        </w:rPr>
        <w:t>习近平总书记指出，“尊重老干部就是尊重党的光荣历史，爱护老干部就是爱护党和国家的宝贵财富；重视发挥老干部作用就是重视党的重要政治资源”。习近平总书记强调，在缔造新中国、捍卫新中国的艰苦斗争中，在建设新中国、发展新中国的伟大征程上，广大老同志建立了不可磨灭的历史功劳，我们对老同志为党和人民事业发展建立的历史功绩永远不能忘。强调老一辈革命家领导我们的党形成了一整套优良传统和作风，要不断发扬光大、一代一代地传下去。强调老干部是一个优势突出、作用明显、值得尊敬的特殊群体，具有不可替代的思想政治优势和领导经验优势，是党执政兴国的重要资源。强调要把离退休老干部安排照顾好，使他们健康长寿、安度晚年。强调要切实把老干部工作提上重要日程，及时研究和解决老干部工作中的重大问题（具体项目指标详情见2021年老干部经费预算项目支出绩效目标申报表）。</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cs="Times New Roman"/>
          <w:kern w:val="0"/>
          <w:sz w:val="33"/>
          <w:szCs w:val="33"/>
        </w:rPr>
      </w:pPr>
      <w:r>
        <w:rPr>
          <w:rFonts w:ascii="Times New Roman" w:hAnsi="Times New Roman" w:eastAsia="方正仿宋_GBK" w:cs="Times New Roman"/>
          <w:kern w:val="0"/>
          <w:sz w:val="33"/>
          <w:szCs w:val="33"/>
        </w:rPr>
        <w:t>3.由财政拨款，严格执行政府收支分类科目相关政策。</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kern w:val="0"/>
          <w:sz w:val="33"/>
          <w:szCs w:val="33"/>
        </w:rPr>
      </w:pPr>
      <w:r>
        <w:rPr>
          <w:rFonts w:ascii="Times New Roman" w:hAnsi="Times New Roman" w:eastAsia="方正仿宋_GBK" w:cs="Times New Roman"/>
          <w:kern w:val="0"/>
          <w:sz w:val="33"/>
          <w:szCs w:val="33"/>
        </w:rPr>
        <w:t>4</w:t>
      </w:r>
      <w:r>
        <w:rPr>
          <w:rFonts w:hint="eastAsia" w:ascii="Times New Roman" w:hAnsi="Times New Roman" w:eastAsia="方正仿宋_GBK" w:cs="Times New Roman"/>
          <w:kern w:val="0"/>
          <w:sz w:val="33"/>
          <w:szCs w:val="33"/>
        </w:rPr>
        <w:t>.</w:t>
      </w:r>
      <w:r>
        <w:rPr>
          <w:rFonts w:ascii="Times New Roman" w:hAnsi="Times New Roman" w:eastAsia="方正仿宋_GBK" w:cs="Times New Roman"/>
          <w:kern w:val="0"/>
          <w:sz w:val="33"/>
          <w:szCs w:val="33"/>
        </w:rPr>
        <w:t>资金分配的原则及考虑因素。离休干部特需费0.4万元、离退休干部春节座谈会经费及慰问</w:t>
      </w:r>
      <w:r>
        <w:rPr>
          <w:rFonts w:ascii="Times New Roman" w:hAnsi="Times New Roman" w:eastAsia="方正仿宋_GBK"/>
          <w:kern w:val="0"/>
          <w:sz w:val="33"/>
          <w:szCs w:val="33"/>
        </w:rPr>
        <w:t>金7万元、老干部活动费10万元、离退休业务费、特殊费、管理费0.6万元、老干部公务用车运行费2万元、离退休干部报刊费1万元、在成都居住离退休干部及退休人员临时支部活动费3万元、在攀离退休干部及退休人员临时支部活动费3万元、离休干部困难扶持金3万元、活动中心运行费4万元。</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eastAsia" w:ascii="方正楷体_GBK" w:hAnsi="Times New Roman" w:eastAsia="方正楷体_GBK" w:cs="Times New Roman"/>
          <w:b/>
          <w:kern w:val="0"/>
          <w:sz w:val="33"/>
          <w:szCs w:val="33"/>
          <w:lang w:eastAsia="zh-CN"/>
        </w:rPr>
      </w:pPr>
      <w:r>
        <w:rPr>
          <w:rFonts w:hint="eastAsia" w:ascii="方正楷体_GBK" w:hAnsi="Times New Roman" w:eastAsia="方正楷体_GBK" w:cs="Times New Roman"/>
          <w:b/>
          <w:kern w:val="0"/>
          <w:sz w:val="33"/>
          <w:szCs w:val="33"/>
          <w:lang w:eastAsia="zh-CN"/>
        </w:rPr>
        <w:t>（二）项目绩效目标。</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kern w:val="0"/>
          <w:sz w:val="33"/>
          <w:szCs w:val="33"/>
        </w:rPr>
      </w:pPr>
      <w:r>
        <w:rPr>
          <w:rFonts w:ascii="Times New Roman" w:hAnsi="Times New Roman" w:eastAsia="方正仿宋_GBK"/>
          <w:kern w:val="0"/>
          <w:sz w:val="33"/>
          <w:szCs w:val="33"/>
        </w:rPr>
        <w:t>1</w:t>
      </w:r>
      <w:r>
        <w:rPr>
          <w:rFonts w:hint="eastAsia" w:ascii="Times New Roman" w:hAnsi="Times New Roman" w:eastAsia="方正仿宋_GBK"/>
          <w:kern w:val="0"/>
          <w:sz w:val="33"/>
          <w:szCs w:val="33"/>
          <w:lang w:eastAsia="zh-CN"/>
        </w:rPr>
        <w:t>.</w:t>
      </w:r>
      <w:r>
        <w:rPr>
          <w:rFonts w:ascii="Times New Roman" w:hAnsi="Times New Roman" w:eastAsia="方正仿宋_GBK"/>
          <w:kern w:val="0"/>
          <w:sz w:val="33"/>
          <w:szCs w:val="33"/>
        </w:rPr>
        <w:t>项目主要内容详见2021年老干部经费绩效自评表。</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sz w:val="33"/>
          <w:szCs w:val="33"/>
        </w:rPr>
      </w:pPr>
      <w:r>
        <w:rPr>
          <w:rFonts w:ascii="Times New Roman" w:hAnsi="Times New Roman" w:eastAsia="方正仿宋_GBK"/>
          <w:kern w:val="0"/>
          <w:sz w:val="33"/>
          <w:szCs w:val="33"/>
        </w:rPr>
        <w:t>2</w:t>
      </w:r>
      <w:r>
        <w:rPr>
          <w:rFonts w:hint="eastAsia" w:ascii="Times New Roman" w:hAnsi="Times New Roman" w:eastAsia="方正仿宋_GBK"/>
          <w:kern w:val="0"/>
          <w:sz w:val="33"/>
          <w:szCs w:val="33"/>
          <w:lang w:eastAsia="zh-CN"/>
        </w:rPr>
        <w:t>.</w:t>
      </w:r>
      <w:r>
        <w:rPr>
          <w:rFonts w:ascii="Times New Roman" w:hAnsi="Times New Roman" w:eastAsia="方正仿宋_GBK"/>
          <w:sz w:val="33"/>
          <w:szCs w:val="33"/>
        </w:rPr>
        <w:t>加强对离退休干部的管理服务和关心爱护工作，用心用情做好老干部工作，让广大老干部老有所养、老有所乐、老有所为，安享幸福晚年，维护离退休干部思想稳定，引导老干部为党和人民的事业凝聚正能量（</w:t>
      </w:r>
      <w:r>
        <w:rPr>
          <w:rFonts w:ascii="Times New Roman" w:hAnsi="Times New Roman" w:eastAsia="方正仿宋_GBK"/>
          <w:kern w:val="0"/>
          <w:sz w:val="33"/>
          <w:szCs w:val="33"/>
        </w:rPr>
        <w:t>项目应实现的具体绩效目标详见2021年老干部经费绩效自评表</w:t>
      </w:r>
      <w:r>
        <w:rPr>
          <w:rFonts w:ascii="Times New Roman" w:hAnsi="Times New Roman" w:eastAsia="方正仿宋_GBK"/>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kern w:val="0"/>
          <w:sz w:val="33"/>
          <w:szCs w:val="33"/>
        </w:rPr>
      </w:pPr>
      <w:r>
        <w:rPr>
          <w:rFonts w:ascii="Times New Roman" w:hAnsi="Times New Roman" w:eastAsia="方正仿宋_GBK"/>
          <w:kern w:val="0"/>
          <w:sz w:val="33"/>
          <w:szCs w:val="33"/>
        </w:rPr>
        <w:t>3</w:t>
      </w:r>
      <w:r>
        <w:rPr>
          <w:rFonts w:hint="eastAsia" w:ascii="Times New Roman" w:hAnsi="Times New Roman" w:eastAsia="方正仿宋_GBK"/>
          <w:kern w:val="0"/>
          <w:sz w:val="33"/>
          <w:szCs w:val="33"/>
          <w:lang w:eastAsia="zh-CN"/>
        </w:rPr>
        <w:t>.</w:t>
      </w:r>
      <w:r>
        <w:rPr>
          <w:rFonts w:ascii="Times New Roman" w:hAnsi="Times New Roman" w:eastAsia="方正仿宋_GBK"/>
          <w:kern w:val="0"/>
          <w:sz w:val="33"/>
          <w:szCs w:val="33"/>
        </w:rPr>
        <w:t>分析评价申报内容是否与实际相符，申报目标是否合理可行。</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kern w:val="0"/>
          <w:sz w:val="33"/>
          <w:szCs w:val="33"/>
        </w:rPr>
      </w:pPr>
      <w:r>
        <w:rPr>
          <w:rFonts w:ascii="Times New Roman" w:hAnsi="Times New Roman" w:eastAsia="方正仿宋_GBK"/>
          <w:sz w:val="33"/>
          <w:szCs w:val="33"/>
        </w:rPr>
        <w:t>根据《关于进一步加强和改进离退休干部工作意见》（中办发〔2016〕3号）文件规定及中央、省、市老干部工作要点安排，每年要组织离退休干部开展参观、考察、调研经济社会发展情况，组织离退休干部参与党委、政府重大活动，召开情况通报会，组织健康休养等，进一步落实好离退休干部政治待遇和生活待遇，加强离退休干部思想建设、政治建设和党组织建设。</w:t>
      </w:r>
      <w:r>
        <w:rPr>
          <w:rFonts w:ascii="Times New Roman" w:hAnsi="Times New Roman" w:eastAsia="方正仿宋_GBK"/>
          <w:kern w:val="0"/>
          <w:sz w:val="33"/>
          <w:szCs w:val="33"/>
        </w:rPr>
        <w:t>分析评价申报内容与实际相符，申报目标合理可行。</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方正黑体_GBK" w:hAnsi="Times New Roman" w:eastAsia="方正黑体_GBK" w:cs="Times New Roman"/>
          <w:kern w:val="0"/>
          <w:sz w:val="33"/>
          <w:szCs w:val="33"/>
          <w:lang w:val="en-US" w:eastAsia="zh-CN"/>
        </w:rPr>
      </w:pPr>
      <w:r>
        <w:rPr>
          <w:rFonts w:hint="eastAsia" w:ascii="方正黑体_GBK" w:hAnsi="Times New Roman" w:eastAsia="方正黑体_GBK" w:cs="Times New Roman"/>
          <w:kern w:val="0"/>
          <w:sz w:val="33"/>
          <w:szCs w:val="33"/>
          <w:lang w:val="en-US" w:eastAsia="zh-CN"/>
        </w:rPr>
        <w:t>二、项目资金申报及使用情况</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eastAsia" w:ascii="方正楷体_GBK" w:hAnsi="Times New Roman" w:eastAsia="方正楷体_GBK" w:cs="Times New Roman"/>
          <w:b/>
          <w:kern w:val="0"/>
          <w:sz w:val="33"/>
          <w:szCs w:val="33"/>
          <w:lang w:eastAsia="zh-CN"/>
        </w:rPr>
      </w:pPr>
      <w:r>
        <w:rPr>
          <w:rFonts w:hint="eastAsia" w:ascii="方正楷体_GBK" w:hAnsi="Times New Roman" w:eastAsia="方正楷体_GBK" w:cs="Times New Roman"/>
          <w:b/>
          <w:kern w:val="0"/>
          <w:sz w:val="33"/>
          <w:szCs w:val="33"/>
          <w:lang w:eastAsia="zh-CN"/>
        </w:rPr>
        <w:t>（一）项目资金申报及批复情况。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cs="Times New Roman"/>
          <w:kern w:val="0"/>
          <w:sz w:val="33"/>
          <w:szCs w:val="33"/>
        </w:rPr>
      </w:pPr>
      <w:r>
        <w:rPr>
          <w:rFonts w:ascii="Times New Roman" w:hAnsi="Times New Roman" w:eastAsia="方正仿宋_GBK" w:cs="Times New Roman"/>
          <w:kern w:val="0"/>
          <w:sz w:val="33"/>
          <w:szCs w:val="33"/>
        </w:rPr>
        <w:t>项目共申报资金为34万元，批复34万元。</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eastAsia" w:ascii="方正楷体_GBK" w:hAnsi="Times New Roman" w:eastAsia="方正楷体_GBK" w:cs="Times New Roman"/>
          <w:b/>
          <w:kern w:val="0"/>
          <w:sz w:val="33"/>
          <w:szCs w:val="33"/>
          <w:lang w:eastAsia="zh-CN"/>
        </w:rPr>
      </w:pPr>
      <w:r>
        <w:rPr>
          <w:rFonts w:hint="eastAsia" w:ascii="方正楷体_GBK" w:hAnsi="Times New Roman" w:eastAsia="方正楷体_GBK" w:cs="Times New Roman"/>
          <w:b/>
          <w:kern w:val="0"/>
          <w:sz w:val="33"/>
          <w:szCs w:val="33"/>
          <w:lang w:eastAsia="zh-CN"/>
        </w:rPr>
        <w:t>（二）资金计划、到位及使用情况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kern w:val="0"/>
          <w:sz w:val="33"/>
          <w:szCs w:val="33"/>
        </w:rPr>
      </w:pPr>
      <w:r>
        <w:rPr>
          <w:rFonts w:ascii="Times New Roman" w:hAnsi="Times New Roman" w:eastAsia="方正仿宋_GBK"/>
          <w:kern w:val="0"/>
          <w:sz w:val="33"/>
          <w:szCs w:val="33"/>
        </w:rPr>
        <w:t>1</w:t>
      </w:r>
      <w:r>
        <w:rPr>
          <w:rFonts w:hint="eastAsia" w:ascii="Times New Roman" w:hAnsi="Times New Roman" w:eastAsia="方正仿宋_GBK"/>
          <w:kern w:val="0"/>
          <w:sz w:val="33"/>
          <w:szCs w:val="33"/>
        </w:rPr>
        <w:t>.</w:t>
      </w:r>
      <w:r>
        <w:rPr>
          <w:rFonts w:ascii="Times New Roman" w:hAnsi="Times New Roman" w:eastAsia="方正仿宋_GBK"/>
          <w:kern w:val="0"/>
          <w:sz w:val="33"/>
          <w:szCs w:val="33"/>
        </w:rPr>
        <w:t>资金计划：</w:t>
      </w:r>
      <w:r>
        <w:rPr>
          <w:rFonts w:hint="eastAsia" w:ascii="Times New Roman" w:hAnsi="Times New Roman" w:eastAsia="方正仿宋_GBK"/>
          <w:kern w:val="0"/>
          <w:sz w:val="33"/>
          <w:szCs w:val="33"/>
          <w:lang w:val="en-US" w:eastAsia="zh-CN"/>
        </w:rPr>
        <w:t>由</w:t>
      </w:r>
      <w:r>
        <w:rPr>
          <w:rFonts w:ascii="Times New Roman" w:hAnsi="Times New Roman" w:eastAsia="方正仿宋_GBK"/>
          <w:kern w:val="0"/>
          <w:sz w:val="33"/>
          <w:szCs w:val="33"/>
        </w:rPr>
        <w:t>盐边县财政局拨款。</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kern w:val="0"/>
          <w:sz w:val="33"/>
          <w:szCs w:val="33"/>
        </w:rPr>
      </w:pPr>
      <w:r>
        <w:rPr>
          <w:rFonts w:ascii="Times New Roman" w:hAnsi="Times New Roman" w:eastAsia="方正仿宋_GBK"/>
          <w:kern w:val="0"/>
          <w:sz w:val="33"/>
          <w:szCs w:val="33"/>
        </w:rPr>
        <w:t>2</w:t>
      </w:r>
      <w:r>
        <w:rPr>
          <w:rFonts w:hint="eastAsia" w:ascii="Times New Roman" w:hAnsi="Times New Roman" w:eastAsia="方正仿宋_GBK"/>
          <w:kern w:val="0"/>
          <w:sz w:val="33"/>
          <w:szCs w:val="33"/>
        </w:rPr>
        <w:t>.</w:t>
      </w:r>
      <w:r>
        <w:rPr>
          <w:rFonts w:ascii="Times New Roman" w:hAnsi="Times New Roman" w:eastAsia="方正仿宋_GBK"/>
          <w:kern w:val="0"/>
          <w:sz w:val="33"/>
          <w:szCs w:val="33"/>
        </w:rPr>
        <w:t>资金到位：及时到位资金34万元。</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kern w:val="0"/>
          <w:sz w:val="33"/>
          <w:szCs w:val="33"/>
        </w:rPr>
      </w:pPr>
      <w:r>
        <w:rPr>
          <w:rFonts w:ascii="Times New Roman" w:hAnsi="Times New Roman" w:eastAsia="方正仿宋_GBK"/>
          <w:kern w:val="0"/>
          <w:sz w:val="33"/>
          <w:szCs w:val="33"/>
        </w:rPr>
        <w:t>3</w:t>
      </w:r>
      <w:r>
        <w:rPr>
          <w:rFonts w:hint="eastAsia" w:ascii="Times New Roman" w:hAnsi="Times New Roman" w:eastAsia="方正仿宋_GBK"/>
          <w:kern w:val="0"/>
          <w:sz w:val="33"/>
          <w:szCs w:val="33"/>
        </w:rPr>
        <w:t>.</w:t>
      </w:r>
      <w:r>
        <w:rPr>
          <w:rFonts w:ascii="Times New Roman" w:hAnsi="Times New Roman" w:eastAsia="方正仿宋_GBK"/>
          <w:kern w:val="0"/>
          <w:sz w:val="33"/>
          <w:szCs w:val="33"/>
        </w:rPr>
        <w:t>资金使用：合计使用资金339894.48元，结余105.52元。资金使用安全、规范，严格按照相关政策进行支付，与预算相符。</w:t>
      </w:r>
    </w:p>
    <w:p>
      <w:pPr>
        <w:keepNext w:val="0"/>
        <w:keepLines w:val="0"/>
        <w:pageBreakBefore w:val="0"/>
        <w:widowControl w:val="0"/>
        <w:kinsoku/>
        <w:wordWrap/>
        <w:overflowPunct/>
        <w:topLinePunct w:val="0"/>
        <w:autoSpaceDE w:val="0"/>
        <w:autoSpaceDN w:val="0"/>
        <w:bidi w:val="0"/>
        <w:adjustRightInd w:val="0"/>
        <w:snapToGrid/>
        <w:spacing w:line="240" w:lineRule="auto"/>
        <w:ind w:left="0" w:firstLine="663" w:firstLineChars="200"/>
        <w:jc w:val="both"/>
        <w:textAlignment w:val="auto"/>
        <w:outlineLvl w:val="9"/>
        <w:rPr>
          <w:rFonts w:hint="eastAsia" w:ascii="方正楷体_GBK" w:hAnsi="Times New Roman" w:eastAsia="方正楷体_GBK" w:cs="Times New Roman"/>
          <w:b/>
          <w:kern w:val="0"/>
          <w:sz w:val="33"/>
          <w:szCs w:val="33"/>
          <w:lang w:eastAsia="zh-CN"/>
        </w:rPr>
      </w:pPr>
      <w:r>
        <w:rPr>
          <w:rFonts w:hint="eastAsia" w:ascii="方正楷体_GBK" w:hAnsi="Times New Roman" w:eastAsia="方正楷体_GBK" w:cs="Times New Roman"/>
          <w:b/>
          <w:kern w:val="0"/>
          <w:sz w:val="33"/>
          <w:szCs w:val="33"/>
          <w:lang w:eastAsia="zh-CN"/>
        </w:rPr>
        <w:t>（三）项目财务管理情况。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kern w:val="0"/>
          <w:sz w:val="33"/>
          <w:szCs w:val="33"/>
        </w:rPr>
      </w:pPr>
      <w:r>
        <w:rPr>
          <w:rFonts w:ascii="Times New Roman" w:hAnsi="Times New Roman" w:eastAsia="方正仿宋_GBK"/>
          <w:kern w:val="0"/>
          <w:sz w:val="33"/>
          <w:szCs w:val="33"/>
        </w:rPr>
        <w:t>单位财务管理制度健全，严格执行财务管理制度，账务处理及时，会计核算规范。</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方正黑体_GBK" w:hAnsi="Times New Roman" w:eastAsia="方正黑体_GBK" w:cs="Times New Roman"/>
          <w:kern w:val="0"/>
          <w:sz w:val="33"/>
          <w:szCs w:val="33"/>
          <w:lang w:val="en-US" w:eastAsia="zh-CN"/>
        </w:rPr>
      </w:pPr>
      <w:r>
        <w:rPr>
          <w:rFonts w:hint="eastAsia" w:ascii="方正黑体_GBK" w:hAnsi="Times New Roman" w:eastAsia="方正黑体_GBK" w:cs="Times New Roman"/>
          <w:kern w:val="0"/>
          <w:sz w:val="33"/>
          <w:szCs w:val="33"/>
          <w:lang w:val="en-US" w:eastAsia="zh-CN"/>
        </w:rPr>
        <w:t>三、项目实施及管理情况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ascii="Times New Roman" w:hAnsi="Times New Roman" w:eastAsia="方正仿宋_GBK"/>
          <w:kern w:val="0"/>
          <w:sz w:val="33"/>
          <w:szCs w:val="33"/>
        </w:rPr>
      </w:pPr>
      <w:r>
        <w:rPr>
          <w:rFonts w:hint="eastAsia" w:ascii="方正楷体_GBK" w:hAnsi="Times New Roman" w:eastAsia="方正楷体_GBK" w:cs="Times New Roman"/>
          <w:b/>
          <w:kern w:val="0"/>
          <w:sz w:val="33"/>
          <w:szCs w:val="33"/>
          <w:lang w:eastAsia="zh-CN"/>
        </w:rPr>
        <w:t>（一）项目组织架构及实施流程：</w:t>
      </w:r>
      <w:r>
        <w:rPr>
          <w:rFonts w:ascii="Times New Roman" w:hAnsi="Times New Roman" w:eastAsia="方正仿宋_GBK"/>
          <w:kern w:val="0"/>
          <w:sz w:val="33"/>
          <w:szCs w:val="33"/>
        </w:rPr>
        <w:t>由离退休干部管理股发起申请，财务人员向财政部门提交用款申请和绩效目标申请表等，待财政资金批复下达后，由业务经办人组织实施具体业务并将报销单据完善手续后（经办人、分管副部长、常务副部长签字）交财务人员，由财务人员严格按照财经纪律进行报销。</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ascii="Times New Roman" w:hAnsi="Times New Roman" w:eastAsia="方正仿宋_GBK"/>
          <w:kern w:val="0"/>
          <w:sz w:val="33"/>
          <w:szCs w:val="33"/>
        </w:rPr>
      </w:pPr>
      <w:r>
        <w:rPr>
          <w:rFonts w:hint="eastAsia" w:ascii="方正楷体_GBK" w:hAnsi="Times New Roman" w:eastAsia="方正楷体_GBK" w:cs="Times New Roman"/>
          <w:b/>
          <w:kern w:val="0"/>
          <w:sz w:val="33"/>
          <w:szCs w:val="33"/>
          <w:lang w:eastAsia="zh-CN"/>
        </w:rPr>
        <w:t>（二）项目管理情况：</w:t>
      </w:r>
      <w:r>
        <w:rPr>
          <w:rFonts w:ascii="Times New Roman" w:hAnsi="Times New Roman" w:eastAsia="方正仿宋_GBK"/>
          <w:kern w:val="0"/>
          <w:sz w:val="33"/>
          <w:szCs w:val="33"/>
        </w:rPr>
        <w:t>项目未发生集中采购，相关业务活动由离退休干部管理股组织实施，经费由县委组织部财务统一管理。</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ascii="Times New Roman" w:hAnsi="Times New Roman" w:eastAsia="方正仿宋_GBK"/>
          <w:kern w:val="0"/>
          <w:sz w:val="33"/>
          <w:szCs w:val="33"/>
        </w:rPr>
      </w:pPr>
      <w:r>
        <w:rPr>
          <w:rFonts w:hint="eastAsia" w:ascii="方正楷体_GBK" w:hAnsi="Times New Roman" w:eastAsia="方正楷体_GBK" w:cs="Times New Roman"/>
          <w:b/>
          <w:kern w:val="0"/>
          <w:sz w:val="33"/>
          <w:szCs w:val="33"/>
          <w:lang w:eastAsia="zh-CN"/>
        </w:rPr>
        <w:t>（三）项目监管情况：</w:t>
      </w:r>
      <w:r>
        <w:rPr>
          <w:rFonts w:ascii="Times New Roman" w:hAnsi="Times New Roman" w:eastAsia="方正仿宋_GBK"/>
          <w:kern w:val="0"/>
          <w:sz w:val="33"/>
          <w:szCs w:val="33"/>
        </w:rPr>
        <w:t>严格按照财务相关程序、单位内部工作流程进行项目监管，及时请示汇报部领导，未出现监管纰漏。</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方正黑体_GBK" w:hAnsi="Times New Roman" w:eastAsia="方正黑体_GBK" w:cs="Times New Roman"/>
          <w:kern w:val="0"/>
          <w:sz w:val="33"/>
          <w:szCs w:val="33"/>
          <w:lang w:val="en-US" w:eastAsia="zh-CN"/>
        </w:rPr>
      </w:pPr>
      <w:r>
        <w:rPr>
          <w:rFonts w:hint="eastAsia" w:ascii="方正黑体_GBK" w:hAnsi="Times New Roman" w:eastAsia="方正黑体_GBK" w:cs="Times New Roman"/>
          <w:kern w:val="0"/>
          <w:sz w:val="33"/>
          <w:szCs w:val="33"/>
          <w:lang w:val="en-US" w:eastAsia="zh-CN"/>
        </w:rPr>
        <w:t>四、项目绩效情况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ascii="Times New Roman" w:hAnsi="Times New Roman" w:eastAsia="方正仿宋_GBK"/>
          <w:kern w:val="0"/>
          <w:sz w:val="33"/>
          <w:szCs w:val="33"/>
        </w:rPr>
      </w:pPr>
      <w:r>
        <w:rPr>
          <w:rFonts w:hint="eastAsia" w:ascii="方正楷体_GBK" w:hAnsi="Times New Roman" w:eastAsia="方正楷体_GBK" w:cs="Times New Roman"/>
          <w:b/>
          <w:kern w:val="0"/>
          <w:sz w:val="33"/>
          <w:szCs w:val="33"/>
          <w:lang w:eastAsia="zh-CN"/>
        </w:rPr>
        <w:t>（一）项目完成情况：</w:t>
      </w:r>
      <w:r>
        <w:rPr>
          <w:rFonts w:ascii="Times New Roman" w:hAnsi="Times New Roman" w:eastAsia="方正仿宋_GBK"/>
          <w:kern w:val="0"/>
          <w:sz w:val="33"/>
          <w:szCs w:val="33"/>
        </w:rPr>
        <w:t>详见2021年老干部经费绩效自评表。</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Times New Roman" w:hAnsi="Times New Roman" w:eastAsia="方正仿宋_GBK" w:cs="Times New Roman"/>
          <w:kern w:val="0"/>
          <w:sz w:val="33"/>
          <w:szCs w:val="33"/>
        </w:rPr>
      </w:pPr>
      <w:r>
        <w:rPr>
          <w:rFonts w:hint="eastAsia" w:ascii="方正楷体_GBK" w:hAnsi="Times New Roman" w:eastAsia="方正楷体_GBK" w:cs="Times New Roman"/>
          <w:b/>
          <w:kern w:val="0"/>
          <w:sz w:val="33"/>
          <w:szCs w:val="33"/>
          <w:lang w:eastAsia="zh-CN"/>
        </w:rPr>
        <w:t>（二）项目效益情况：</w:t>
      </w:r>
      <w:r>
        <w:rPr>
          <w:rFonts w:hint="eastAsia" w:ascii="Times New Roman" w:hAnsi="Times New Roman" w:eastAsia="方正仿宋_GBK" w:cs="Times New Roman"/>
          <w:kern w:val="0"/>
          <w:sz w:val="33"/>
          <w:szCs w:val="33"/>
          <w:lang w:eastAsia="zh-CN"/>
        </w:rPr>
        <w:t>详见2021年老干部经费绩效自评表。</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方正黑体_GBK" w:hAnsi="Times New Roman" w:eastAsia="方正黑体_GBK" w:cs="Times New Roman"/>
          <w:kern w:val="0"/>
          <w:sz w:val="33"/>
          <w:szCs w:val="33"/>
          <w:lang w:val="en-US" w:eastAsia="zh-CN"/>
        </w:rPr>
      </w:pPr>
      <w:r>
        <w:rPr>
          <w:rFonts w:hint="eastAsia" w:ascii="方正黑体_GBK" w:hAnsi="Times New Roman" w:eastAsia="方正黑体_GBK" w:cs="Times New Roman"/>
          <w:kern w:val="0"/>
          <w:sz w:val="33"/>
          <w:szCs w:val="33"/>
          <w:lang w:val="en-US" w:eastAsia="zh-CN"/>
        </w:rPr>
        <w:t>五、评价结论及建议</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eastAsia="zh-CN"/>
        </w:rPr>
      </w:pPr>
      <w:r>
        <w:rPr>
          <w:rFonts w:hint="eastAsia" w:ascii="方正楷体_GBK" w:hAnsi="Times New Roman" w:eastAsia="方正楷体_GBK" w:cs="Times New Roman"/>
          <w:b/>
          <w:kern w:val="0"/>
          <w:sz w:val="33"/>
          <w:szCs w:val="33"/>
          <w:lang w:eastAsia="zh-CN"/>
        </w:rPr>
        <w:t>（一）评价结论。</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kern w:val="0"/>
          <w:sz w:val="33"/>
          <w:szCs w:val="33"/>
        </w:rPr>
      </w:pPr>
      <w:r>
        <w:rPr>
          <w:rFonts w:ascii="Times New Roman" w:hAnsi="Times New Roman" w:eastAsia="方正仿宋_GBK"/>
          <w:kern w:val="0"/>
          <w:sz w:val="33"/>
          <w:szCs w:val="33"/>
        </w:rPr>
        <w:t>老干部经费项目申报目标合理可行，符合实际。资金使用安全、规范，严格按照相关政策、财经纪律和财务相关程序进行支付。单位财务管理制度健全，账务处理及时，会计核算规范，取得较好的</w:t>
      </w:r>
      <w:r>
        <w:rPr>
          <w:rFonts w:hint="eastAsia" w:ascii="Times New Roman" w:hAnsi="Times New Roman" w:eastAsia="方正仿宋_GBK"/>
          <w:kern w:val="0"/>
          <w:sz w:val="33"/>
          <w:szCs w:val="33"/>
          <w:lang w:val="en-US" w:eastAsia="zh-CN"/>
        </w:rPr>
        <w:t>资金使用</w:t>
      </w:r>
      <w:r>
        <w:rPr>
          <w:rFonts w:ascii="Times New Roman" w:hAnsi="Times New Roman" w:eastAsia="方正仿宋_GBK"/>
          <w:kern w:val="0"/>
          <w:sz w:val="33"/>
          <w:szCs w:val="33"/>
        </w:rPr>
        <w:t>效益。项目总体自评为</w:t>
      </w:r>
      <w:r>
        <w:rPr>
          <w:rFonts w:hint="eastAsia" w:ascii="Times New Roman" w:hAnsi="Times New Roman" w:eastAsia="方正仿宋_GBK"/>
          <w:kern w:val="0"/>
          <w:sz w:val="33"/>
          <w:szCs w:val="33"/>
          <w:lang w:val="en-US" w:eastAsia="zh-CN"/>
        </w:rPr>
        <w:t>优</w:t>
      </w:r>
      <w:r>
        <w:rPr>
          <w:rFonts w:ascii="Times New Roman" w:hAnsi="Times New Roman" w:eastAsia="方正仿宋_GBK"/>
          <w:kern w:val="0"/>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eastAsia="zh-CN"/>
        </w:rPr>
      </w:pPr>
      <w:r>
        <w:rPr>
          <w:rFonts w:hint="eastAsia" w:ascii="方正楷体_GBK" w:hAnsi="Times New Roman" w:eastAsia="方正楷体_GBK" w:cs="Times New Roman"/>
          <w:b/>
          <w:kern w:val="0"/>
          <w:sz w:val="33"/>
          <w:szCs w:val="33"/>
          <w:lang w:eastAsia="zh-CN"/>
        </w:rPr>
        <w:t>（二）存在的问题。</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kern w:val="0"/>
          <w:sz w:val="33"/>
          <w:szCs w:val="33"/>
        </w:rPr>
      </w:pPr>
      <w:r>
        <w:rPr>
          <w:rFonts w:ascii="Times New Roman" w:hAnsi="Times New Roman" w:eastAsia="方正仿宋_GBK"/>
          <w:kern w:val="0"/>
          <w:sz w:val="33"/>
          <w:szCs w:val="33"/>
        </w:rPr>
        <w:t>股室项目资金绩效管理工作人员业务能力有待提高。因项目资金绩效评价工作涉及财务相关业务知识和政策依据等多方面的专业知识，但部门预算项目支出绩效目标申报和自评工作都由各业务股室来完成，大多数部门工作人员对财务业务不熟，对预算绩效管理解不透，业务不精，有些方面影响了项目预算申报、项目实施以及绩效评价工作质量不高。</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方正楷体_GBK" w:hAnsi="Times New Roman" w:eastAsia="方正楷体_GBK" w:cs="Times New Roman"/>
          <w:b/>
          <w:kern w:val="0"/>
          <w:sz w:val="33"/>
          <w:szCs w:val="33"/>
          <w:lang w:eastAsia="zh-CN"/>
        </w:rPr>
      </w:pPr>
      <w:r>
        <w:rPr>
          <w:rFonts w:hint="eastAsia" w:ascii="方正楷体_GBK" w:hAnsi="Times New Roman" w:eastAsia="方正楷体_GBK" w:cs="Times New Roman"/>
          <w:b/>
          <w:kern w:val="0"/>
          <w:sz w:val="33"/>
          <w:szCs w:val="33"/>
          <w:lang w:eastAsia="zh-CN"/>
        </w:rPr>
        <w:t>（三）相关建议。</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ascii="Times New Roman" w:hAnsi="Times New Roman" w:eastAsia="方正仿宋_GBK"/>
          <w:kern w:val="0"/>
          <w:sz w:val="33"/>
          <w:szCs w:val="33"/>
        </w:rPr>
      </w:pPr>
      <w:r>
        <w:rPr>
          <w:rFonts w:ascii="Times New Roman" w:hAnsi="Times New Roman" w:eastAsia="方正仿宋_GBK"/>
          <w:kern w:val="0"/>
          <w:sz w:val="33"/>
          <w:szCs w:val="33"/>
        </w:rPr>
        <w:t>加强对各股室项目资金绩效管理工作人员业务能力培训，建议单位财务人员对相关业务股室项目资金绩效管理工作人员进行集中培训，提升绩效管理人员业务能力，提供绩效工作质量。</w:t>
      </w:r>
    </w:p>
    <w:p>
      <w:pPr>
        <w:pStyle w:val="2"/>
        <w:spacing w:before="93"/>
        <w:outlineLvl w:val="9"/>
        <w:rPr>
          <w:rFonts w:hint="eastAsia" w:ascii="Times New Roman" w:hAnsi="Times New Roman" w:eastAsia="仿宋_GB2312"/>
          <w:kern w:val="0"/>
          <w:sz w:val="32"/>
          <w:szCs w:val="24"/>
          <w:lang w:val="en-US" w:eastAsia="zh-CN"/>
        </w:rPr>
      </w:pPr>
      <w:r>
        <w:rPr>
          <w:rFonts w:hint="eastAsia" w:hAnsi="宋体" w:cs="宋体"/>
          <w:sz w:val="32"/>
          <w:szCs w:val="32"/>
          <w:shd w:val="clear" w:color="auto" w:fill="FFFFFF"/>
          <w:lang w:val="zh-CN"/>
        </w:rPr>
        <w:t>附件</w:t>
      </w:r>
      <w:r>
        <w:rPr>
          <w:rFonts w:hint="eastAsia" w:hAnsi="宋体" w:cs="宋体"/>
          <w:sz w:val="32"/>
          <w:szCs w:val="32"/>
          <w:shd w:val="clear" w:color="auto" w:fill="FFFFFF"/>
          <w:lang w:val="en-US" w:eastAsia="zh-CN"/>
        </w:rPr>
        <w:t>5</w:t>
      </w:r>
    </w:p>
    <w:p>
      <w:pPr>
        <w:pStyle w:val="8"/>
        <w:keepNext w:val="0"/>
        <w:keepLines w:val="0"/>
        <w:pageBreakBefore w:val="0"/>
        <w:widowControl w:val="0"/>
        <w:kinsoku/>
        <w:wordWrap/>
        <w:overflowPunct/>
        <w:topLinePunct w:val="0"/>
        <w:autoSpaceDE/>
        <w:autoSpaceDN/>
        <w:bidi w:val="0"/>
        <w:adjustRightInd/>
        <w:snapToGrid/>
        <w:spacing w:beforeLines="0" w:afterLines="0" w:line="240" w:lineRule="auto"/>
        <w:ind w:firstLine="720" w:firstLineChars="200"/>
        <w:jc w:val="center"/>
        <w:textAlignment w:val="auto"/>
        <w:rPr>
          <w:rFonts w:hint="default" w:ascii="方正小标宋_GBK" w:hAnsi="黑体" w:eastAsia="方正小标宋_GBK" w:cs="黑体"/>
          <w:sz w:val="36"/>
          <w:szCs w:val="36"/>
          <w:lang w:val="en-US" w:eastAsia="zh-CN"/>
        </w:rPr>
      </w:pPr>
      <w:r>
        <w:rPr>
          <w:rFonts w:hint="default" w:ascii="方正小标宋_GBK" w:hAnsi="黑体" w:eastAsia="方正小标宋_GBK" w:cs="黑体"/>
          <w:sz w:val="36"/>
          <w:szCs w:val="36"/>
          <w:lang w:val="en-US" w:eastAsia="zh-CN"/>
        </w:rPr>
        <w:t>中共盐边县委组织部</w:t>
      </w:r>
    </w:p>
    <w:p>
      <w:pPr>
        <w:pStyle w:val="8"/>
        <w:keepNext w:val="0"/>
        <w:keepLines w:val="0"/>
        <w:pageBreakBefore w:val="0"/>
        <w:widowControl w:val="0"/>
        <w:kinsoku/>
        <w:wordWrap/>
        <w:overflowPunct/>
        <w:topLinePunct w:val="0"/>
        <w:autoSpaceDE/>
        <w:autoSpaceDN/>
        <w:bidi w:val="0"/>
        <w:adjustRightInd/>
        <w:snapToGrid/>
        <w:spacing w:beforeLines="0" w:afterLines="0" w:line="240" w:lineRule="auto"/>
        <w:ind w:firstLine="720" w:firstLineChars="200"/>
        <w:jc w:val="center"/>
        <w:textAlignment w:val="auto"/>
        <w:rPr>
          <w:rFonts w:hint="default" w:ascii="方正小标宋_GBK" w:hAnsi="黑体" w:eastAsia="方正小标宋_GBK" w:cs="黑体"/>
          <w:sz w:val="36"/>
          <w:szCs w:val="36"/>
          <w:lang w:val="en-US" w:eastAsia="zh-CN"/>
        </w:rPr>
      </w:pPr>
      <w:r>
        <w:rPr>
          <w:rFonts w:hint="default" w:ascii="方正小标宋_GBK" w:hAnsi="黑体" w:eastAsia="方正小标宋_GBK" w:cs="黑体"/>
          <w:sz w:val="36"/>
          <w:szCs w:val="36"/>
          <w:lang w:val="en-US" w:eastAsia="zh-CN"/>
        </w:rPr>
        <w:t>专项资金绩效自评报告</w:t>
      </w:r>
    </w:p>
    <w:p>
      <w:pPr>
        <w:pStyle w:val="8"/>
        <w:keepNext w:val="0"/>
        <w:keepLines w:val="0"/>
        <w:pageBreakBefore w:val="0"/>
        <w:widowControl w:val="0"/>
        <w:kinsoku/>
        <w:wordWrap/>
        <w:overflowPunct/>
        <w:topLinePunct w:val="0"/>
        <w:autoSpaceDE/>
        <w:autoSpaceDN/>
        <w:bidi w:val="0"/>
        <w:adjustRightInd/>
        <w:snapToGrid/>
        <w:spacing w:beforeLines="0" w:after="157" w:afterLines="50" w:line="240" w:lineRule="auto"/>
        <w:ind w:firstLine="720" w:firstLineChars="200"/>
        <w:jc w:val="center"/>
        <w:textAlignment w:val="auto"/>
        <w:rPr>
          <w:rFonts w:hint="default" w:ascii="Times New Roman" w:hAnsi="Times New Roman" w:eastAsia="仿宋_GB2312" w:cs="Times New Roman"/>
          <w:sz w:val="32"/>
          <w:szCs w:val="32"/>
        </w:rPr>
      </w:pPr>
      <w:r>
        <w:rPr>
          <w:rFonts w:hint="default" w:ascii="方正小标宋_GBK" w:hAnsi="黑体" w:eastAsia="方正小标宋_GBK" w:cs="黑体"/>
          <w:sz w:val="36"/>
          <w:szCs w:val="36"/>
          <w:lang w:val="en-US" w:eastAsia="zh-CN"/>
        </w:rPr>
        <w:t>（全县村（社区）“两委</w:t>
      </w:r>
      <w:r>
        <w:rPr>
          <w:rFonts w:hint="eastAsia" w:ascii="方正小标宋_GBK" w:hAnsi="黑体" w:eastAsia="方正小标宋_GBK" w:cs="黑体"/>
          <w:sz w:val="36"/>
          <w:szCs w:val="36"/>
          <w:lang w:val="en-US" w:eastAsia="zh-CN"/>
        </w:rPr>
        <w:t>”</w:t>
      </w:r>
      <w:r>
        <w:rPr>
          <w:rFonts w:hint="default" w:ascii="方正小标宋_GBK" w:hAnsi="黑体" w:eastAsia="方正小标宋_GBK" w:cs="黑体"/>
          <w:sz w:val="36"/>
          <w:szCs w:val="36"/>
          <w:lang w:val="en-US" w:eastAsia="zh-CN"/>
        </w:rPr>
        <w:t>班子成员、常职干部及驻村干部培训经费）</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方正黑体_GBK" w:hAnsi="Times New Roman" w:eastAsia="方正黑体_GBK" w:cs="Times New Roman"/>
          <w:kern w:val="0"/>
          <w:sz w:val="33"/>
          <w:szCs w:val="33"/>
          <w:lang w:val="en-US" w:eastAsia="zh-CN"/>
        </w:rPr>
      </w:pPr>
      <w:r>
        <w:rPr>
          <w:rFonts w:hint="default" w:ascii="方正黑体_GBK" w:hAnsi="Times New Roman" w:eastAsia="方正黑体_GBK" w:cs="Times New Roman"/>
          <w:kern w:val="0"/>
          <w:sz w:val="33"/>
          <w:szCs w:val="33"/>
          <w:lang w:val="en-US" w:eastAsia="zh-CN"/>
        </w:rPr>
        <w:t>一、项目概况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（一）项目基本情况。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Times New Roman" w:hAnsi="Times New Roman" w:eastAsia="方正仿宋_GBK" w:cs="Times New Roman"/>
          <w:b w:val="0"/>
          <w:bCs w:val="0"/>
          <w:kern w:val="0"/>
          <w:sz w:val="33"/>
          <w:szCs w:val="33"/>
        </w:rPr>
      </w:pPr>
      <w:r>
        <w:rPr>
          <w:rFonts w:hint="default" w:ascii="Times New Roman" w:hAnsi="Times New Roman" w:eastAsia="方正仿宋_GBK" w:cs="Times New Roman"/>
          <w:b w:val="0"/>
          <w:bCs w:val="0"/>
          <w:kern w:val="0"/>
          <w:sz w:val="33"/>
          <w:szCs w:val="33"/>
          <w:lang w:val="en-US" w:eastAsia="zh-CN"/>
        </w:rPr>
        <w:t>1.</w:t>
      </w:r>
      <w:r>
        <w:rPr>
          <w:rFonts w:hint="default" w:ascii="Times New Roman" w:hAnsi="Times New Roman" w:eastAsia="方正仿宋_GBK" w:cs="Times New Roman"/>
          <w:b w:val="0"/>
          <w:bCs w:val="0"/>
          <w:kern w:val="0"/>
          <w:sz w:val="33"/>
          <w:szCs w:val="33"/>
        </w:rPr>
        <w:t>该项目实施主体为中共盐边县委组织部，根据《中共四川省委组织部关于高质量做好村</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社区</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干部任职培训工作的通知》</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川组通〔2021〕20号</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《关于做好新一批驻村帮扶干部管理服务工作的通知》</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攀组通〔2021〕73号</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要求，县委组织部会同县民政局、县委党校拟对全县348名村</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社区</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常职干部、74名驻村干部、28名村</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社区</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“两委”班子成员进行为期3天的全覆盖培训和重点培训。</w:t>
      </w:r>
    </w:p>
    <w:p>
      <w:pPr>
        <w:keepNext w:val="0"/>
        <w:keepLines w:val="0"/>
        <w:pageBreakBefore w:val="0"/>
        <w:widowControl w:val="0"/>
        <w:kinsoku/>
        <w:wordWrap/>
        <w:overflowPunct/>
        <w:topLinePunct w:val="0"/>
        <w:bidi w:val="0"/>
        <w:snapToGrid/>
        <w:spacing w:line="240" w:lineRule="auto"/>
        <w:ind w:firstLine="660" w:firstLineChars="200"/>
        <w:jc w:val="both"/>
        <w:textAlignment w:val="auto"/>
        <w:outlineLvl w:val="9"/>
        <w:rPr>
          <w:rFonts w:hint="default" w:ascii="Times New Roman" w:hAnsi="Times New Roman" w:eastAsia="方正仿宋_GBK" w:cs="Times New Roman"/>
          <w:b w:val="0"/>
          <w:bCs w:val="0"/>
          <w:sz w:val="33"/>
          <w:szCs w:val="33"/>
        </w:rPr>
      </w:pPr>
      <w:r>
        <w:rPr>
          <w:rFonts w:hint="default" w:ascii="Times New Roman" w:hAnsi="Times New Roman" w:eastAsia="方正仿宋_GBK" w:cs="Times New Roman"/>
          <w:b w:val="0"/>
          <w:bCs w:val="0"/>
          <w:sz w:val="33"/>
          <w:szCs w:val="33"/>
        </w:rPr>
        <w:t>2.项目立项、资金申报的依据：见2021年度提交的目标申报表（全县村（社区）</w:t>
      </w:r>
      <w:r>
        <w:rPr>
          <w:rFonts w:hint="eastAsia" w:ascii="Times New Roman" w:hAnsi="Times New Roman" w:eastAsia="方正仿宋_GBK" w:cs="Times New Roman"/>
          <w:b w:val="0"/>
          <w:bCs w:val="0"/>
          <w:sz w:val="33"/>
          <w:szCs w:val="33"/>
          <w:lang w:eastAsia="zh-CN"/>
        </w:rPr>
        <w:t>“</w:t>
      </w:r>
      <w:r>
        <w:rPr>
          <w:rFonts w:hint="default" w:ascii="Times New Roman" w:hAnsi="Times New Roman" w:eastAsia="方正仿宋_GBK" w:cs="Times New Roman"/>
          <w:b w:val="0"/>
          <w:bCs w:val="0"/>
          <w:sz w:val="33"/>
          <w:szCs w:val="33"/>
        </w:rPr>
        <w:t>两委</w:t>
      </w:r>
      <w:r>
        <w:rPr>
          <w:rFonts w:hint="eastAsia" w:ascii="Times New Roman" w:hAnsi="Times New Roman" w:eastAsia="方正仿宋_GBK" w:cs="Times New Roman"/>
          <w:b w:val="0"/>
          <w:bCs w:val="0"/>
          <w:sz w:val="33"/>
          <w:szCs w:val="33"/>
          <w:lang w:eastAsia="zh-CN"/>
        </w:rPr>
        <w:t>”</w:t>
      </w:r>
      <w:r>
        <w:rPr>
          <w:rFonts w:hint="default" w:ascii="Times New Roman" w:hAnsi="Times New Roman" w:eastAsia="方正仿宋_GBK" w:cs="Times New Roman"/>
          <w:b w:val="0"/>
          <w:bCs w:val="0"/>
          <w:sz w:val="33"/>
          <w:szCs w:val="33"/>
        </w:rPr>
        <w:t>班子成员、常职干部及驻村干部培训经费）。</w:t>
      </w:r>
    </w:p>
    <w:p>
      <w:pPr>
        <w:keepNext w:val="0"/>
        <w:keepLines w:val="0"/>
        <w:pageBreakBefore w:val="0"/>
        <w:widowControl w:val="0"/>
        <w:kinsoku/>
        <w:wordWrap/>
        <w:overflowPunct/>
        <w:topLinePunct w:val="0"/>
        <w:bidi w:val="0"/>
        <w:snapToGrid/>
        <w:spacing w:line="240" w:lineRule="auto"/>
        <w:ind w:firstLine="660" w:firstLineChars="200"/>
        <w:jc w:val="both"/>
        <w:textAlignment w:val="auto"/>
        <w:outlineLvl w:val="9"/>
        <w:rPr>
          <w:rFonts w:hint="default" w:ascii="Times New Roman" w:hAnsi="Times New Roman" w:eastAsia="方正仿宋_GBK" w:cs="Times New Roman"/>
          <w:b w:val="0"/>
          <w:bCs w:val="0"/>
          <w:sz w:val="33"/>
          <w:szCs w:val="33"/>
        </w:rPr>
      </w:pPr>
      <w:r>
        <w:rPr>
          <w:rFonts w:hint="default" w:ascii="Times New Roman" w:hAnsi="Times New Roman" w:eastAsia="方正仿宋_GBK" w:cs="Times New Roman"/>
          <w:b w:val="0"/>
          <w:bCs w:val="0"/>
          <w:sz w:val="33"/>
          <w:szCs w:val="33"/>
        </w:rPr>
        <w:t>3.由财政拨款，严格执行政府收支分类科目相关政策。</w:t>
      </w:r>
    </w:p>
    <w:p>
      <w:pPr>
        <w:keepNext w:val="0"/>
        <w:keepLines w:val="0"/>
        <w:pageBreakBefore w:val="0"/>
        <w:widowControl w:val="0"/>
        <w:kinsoku/>
        <w:wordWrap/>
        <w:overflowPunct/>
        <w:topLinePunct w:val="0"/>
        <w:bidi w:val="0"/>
        <w:snapToGrid/>
        <w:spacing w:line="240" w:lineRule="auto"/>
        <w:ind w:firstLine="660" w:firstLineChars="200"/>
        <w:jc w:val="both"/>
        <w:textAlignment w:val="auto"/>
        <w:outlineLvl w:val="9"/>
        <w:rPr>
          <w:rFonts w:hint="default" w:ascii="Times New Roman" w:hAnsi="Times New Roman" w:eastAsia="方正仿宋_GBK" w:cs="Times New Roman"/>
          <w:b w:val="0"/>
          <w:bCs w:val="0"/>
          <w:sz w:val="33"/>
          <w:szCs w:val="33"/>
        </w:rPr>
      </w:pPr>
      <w:r>
        <w:rPr>
          <w:rFonts w:hint="default" w:ascii="Times New Roman" w:hAnsi="Times New Roman" w:eastAsia="方正仿宋_GBK" w:cs="Times New Roman"/>
          <w:b w:val="0"/>
          <w:bCs w:val="0"/>
          <w:sz w:val="33"/>
          <w:szCs w:val="33"/>
        </w:rPr>
        <w:t>4.</w:t>
      </w:r>
      <w:r>
        <w:rPr>
          <w:rFonts w:hint="default" w:ascii="Times New Roman" w:hAnsi="Times New Roman" w:eastAsia="方正仿宋_GBK" w:cs="Times New Roman"/>
          <w:b w:val="0"/>
          <w:bCs w:val="0"/>
          <w:sz w:val="33"/>
          <w:szCs w:val="33"/>
          <w:lang w:val="en-US" w:eastAsia="zh-CN"/>
        </w:rPr>
        <w:t>2021年培训</w:t>
      </w:r>
      <w:r>
        <w:rPr>
          <w:rFonts w:hint="default" w:ascii="Times New Roman" w:hAnsi="Times New Roman" w:eastAsia="方正仿宋_GBK" w:cs="Times New Roman"/>
          <w:b w:val="0"/>
          <w:bCs w:val="0"/>
          <w:kern w:val="0"/>
          <w:sz w:val="33"/>
          <w:szCs w:val="33"/>
        </w:rPr>
        <w:t>村</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社区</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常职干部、驻村干部、村</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社区</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“两委”班子成员</w:t>
      </w:r>
      <w:r>
        <w:rPr>
          <w:rFonts w:hint="eastAsia" w:eastAsia="方正仿宋_GBK" w:cs="Times New Roman"/>
          <w:b w:val="0"/>
          <w:bCs w:val="0"/>
          <w:kern w:val="0"/>
          <w:sz w:val="33"/>
          <w:szCs w:val="33"/>
          <w:lang w:eastAsia="zh-CN"/>
        </w:rPr>
        <w:t>共</w:t>
      </w:r>
      <w:r>
        <w:rPr>
          <w:rFonts w:hint="default" w:ascii="Times New Roman" w:hAnsi="Times New Roman" w:eastAsia="方正仿宋_GBK" w:cs="Times New Roman"/>
          <w:b w:val="0"/>
          <w:bCs w:val="0"/>
          <w:kern w:val="0"/>
          <w:sz w:val="33"/>
          <w:szCs w:val="33"/>
          <w:lang w:val="en-US" w:eastAsia="zh-CN"/>
        </w:rPr>
        <w:t>450名</w:t>
      </w:r>
      <w:r>
        <w:rPr>
          <w:rFonts w:hint="default" w:ascii="Times New Roman" w:hAnsi="Times New Roman" w:eastAsia="方正仿宋_GBK" w:cs="Times New Roman"/>
          <w:b w:val="0"/>
          <w:bCs w:val="0"/>
          <w:sz w:val="33"/>
          <w:szCs w:val="33"/>
        </w:rPr>
        <w:t>，合计</w:t>
      </w:r>
      <w:r>
        <w:rPr>
          <w:rFonts w:hint="default" w:ascii="Times New Roman" w:hAnsi="Times New Roman" w:eastAsia="方正仿宋_GBK" w:cs="Times New Roman"/>
          <w:b w:val="0"/>
          <w:bCs w:val="0"/>
          <w:sz w:val="33"/>
          <w:szCs w:val="33"/>
          <w:lang w:val="en-US" w:eastAsia="zh-CN"/>
        </w:rPr>
        <w:t>10.1285</w:t>
      </w:r>
      <w:r>
        <w:rPr>
          <w:rFonts w:hint="default" w:ascii="Times New Roman" w:hAnsi="Times New Roman" w:eastAsia="方正仿宋_GBK" w:cs="Times New Roman"/>
          <w:b w:val="0"/>
          <w:bCs w:val="0"/>
          <w:sz w:val="33"/>
          <w:szCs w:val="33"/>
        </w:rPr>
        <w:t>万元</w:t>
      </w:r>
      <w:r>
        <w:rPr>
          <w:rFonts w:hint="default" w:ascii="Times New Roman" w:hAnsi="Times New Roman" w:eastAsia="方正仿宋_GBK" w:cs="Times New Roman"/>
          <w:b w:val="0"/>
          <w:bCs w:val="0"/>
          <w:sz w:val="33"/>
          <w:szCs w:val="33"/>
          <w:lang w:eastAsia="zh-CN"/>
        </w:rPr>
        <w:t>，</w:t>
      </w:r>
      <w:r>
        <w:rPr>
          <w:rFonts w:hint="default" w:ascii="Times New Roman" w:hAnsi="Times New Roman" w:eastAsia="方正仿宋_GBK" w:cs="Times New Roman"/>
          <w:b w:val="0"/>
          <w:bCs w:val="0"/>
          <w:sz w:val="33"/>
          <w:szCs w:val="33"/>
          <w:lang w:val="en-US" w:eastAsia="zh-CN"/>
        </w:rPr>
        <w:t>与民政局联合举办培训</w:t>
      </w:r>
      <w:r>
        <w:rPr>
          <w:rFonts w:hint="default" w:ascii="Times New Roman" w:hAnsi="Times New Roman" w:eastAsia="方正仿宋_GBK" w:cs="Times New Roman"/>
          <w:b w:val="0"/>
          <w:bCs w:val="0"/>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（二）项目绩效目标。</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Times New Roman" w:hAnsi="Times New Roman" w:eastAsia="方正仿宋_GBK" w:cs="Times New Roman"/>
          <w:b w:val="0"/>
          <w:bCs w:val="0"/>
          <w:kern w:val="0"/>
          <w:sz w:val="33"/>
          <w:szCs w:val="33"/>
        </w:rPr>
      </w:pPr>
      <w:r>
        <w:rPr>
          <w:rFonts w:hint="default" w:ascii="Times New Roman" w:hAnsi="Times New Roman" w:eastAsia="方正仿宋_GBK" w:cs="Times New Roman"/>
          <w:b w:val="0"/>
          <w:bCs w:val="0"/>
          <w:kern w:val="0"/>
          <w:sz w:val="33"/>
          <w:szCs w:val="33"/>
        </w:rPr>
        <w:t>1．项目主要内容。对全县348名村</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社区</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常职干部、74名驻村干部、28名村</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社区</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“两委”班子成员进行为期3天的全覆盖培训和重点培训。</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Times New Roman" w:hAnsi="Times New Roman" w:eastAsia="方正仿宋_GBK" w:cs="Times New Roman"/>
          <w:b w:val="0"/>
          <w:bCs w:val="0"/>
          <w:kern w:val="0"/>
          <w:sz w:val="33"/>
          <w:szCs w:val="33"/>
        </w:rPr>
      </w:pPr>
      <w:r>
        <w:rPr>
          <w:rFonts w:hint="eastAsia" w:ascii="Times New Roman" w:hAnsi="Times New Roman" w:eastAsia="方正仿宋_GBK" w:cs="Times New Roman"/>
          <w:b w:val="0"/>
          <w:bCs w:val="0"/>
          <w:kern w:val="0"/>
          <w:sz w:val="33"/>
          <w:szCs w:val="33"/>
          <w:lang w:val="en-US" w:eastAsia="zh-CN"/>
        </w:rPr>
        <w:t>2.</w:t>
      </w:r>
      <w:r>
        <w:rPr>
          <w:rFonts w:hint="default" w:ascii="Times New Roman" w:hAnsi="Times New Roman" w:eastAsia="方正仿宋_GBK" w:cs="Times New Roman"/>
          <w:b w:val="0"/>
          <w:bCs w:val="0"/>
          <w:kern w:val="0"/>
          <w:sz w:val="33"/>
          <w:szCs w:val="33"/>
        </w:rPr>
        <w:t>项目应实现的具体绩效目标。</w:t>
      </w:r>
      <w:r>
        <w:rPr>
          <w:rFonts w:hint="default" w:ascii="Times New Roman" w:hAnsi="Times New Roman" w:eastAsia="方正仿宋_GBK" w:cs="Times New Roman"/>
          <w:b w:val="0"/>
          <w:bCs w:val="0"/>
          <w:color w:val="000000"/>
          <w:kern w:val="0"/>
          <w:sz w:val="33"/>
          <w:szCs w:val="33"/>
          <w:lang w:val="en-US" w:eastAsia="zh-CN"/>
        </w:rPr>
        <w:t>根据省市县委换届工作要求，</w:t>
      </w:r>
      <w:r>
        <w:rPr>
          <w:rFonts w:hint="default" w:ascii="Times New Roman" w:hAnsi="Times New Roman" w:eastAsia="方正仿宋_GBK" w:cs="Times New Roman"/>
          <w:b w:val="0"/>
          <w:bCs w:val="0"/>
          <w:color w:val="000000"/>
          <w:kern w:val="0"/>
          <w:sz w:val="33"/>
          <w:szCs w:val="33"/>
        </w:rPr>
        <w:t>换届工作结束后3个月内，对村（社区）党组织班子成员进行全覆盖培训，帮助提高抓发展、服务、治理能力</w:t>
      </w:r>
      <w:r>
        <w:rPr>
          <w:rFonts w:hint="default" w:ascii="Times New Roman" w:hAnsi="Times New Roman" w:eastAsia="方正仿宋_GBK" w:cs="Times New Roman"/>
          <w:b w:val="0"/>
          <w:bCs w:val="0"/>
          <w:color w:val="000000"/>
          <w:kern w:val="0"/>
          <w:sz w:val="33"/>
          <w:szCs w:val="33"/>
          <w:lang w:eastAsia="zh-CN"/>
        </w:rPr>
        <w:t>。</w:t>
      </w:r>
      <w:r>
        <w:rPr>
          <w:rFonts w:hint="default" w:ascii="Times New Roman" w:hAnsi="Times New Roman" w:eastAsia="方正仿宋_GBK" w:cs="Times New Roman"/>
          <w:b w:val="0"/>
          <w:bCs w:val="0"/>
          <w:color w:val="000000"/>
          <w:kern w:val="0"/>
          <w:sz w:val="33"/>
          <w:szCs w:val="33"/>
          <w:lang w:val="en-US" w:eastAsia="zh-CN"/>
        </w:rPr>
        <w:t>盐边县</w:t>
      </w:r>
      <w:r>
        <w:rPr>
          <w:rFonts w:hint="default" w:ascii="Times New Roman" w:hAnsi="Times New Roman" w:eastAsia="方正仿宋_GBK" w:cs="Times New Roman"/>
          <w:b w:val="0"/>
          <w:bCs w:val="0"/>
          <w:kern w:val="0"/>
          <w:sz w:val="33"/>
          <w:szCs w:val="33"/>
        </w:rPr>
        <w:t>348名村</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社区</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常职干部、74名驻村干部、28名村</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社区</w:t>
      </w:r>
      <w:r>
        <w:rPr>
          <w:rFonts w:hint="default" w:ascii="Times New Roman" w:hAnsi="Times New Roman" w:eastAsia="方正仿宋_GBK" w:cs="Times New Roman"/>
          <w:b w:val="0"/>
          <w:bCs w:val="0"/>
          <w:kern w:val="0"/>
          <w:sz w:val="33"/>
          <w:szCs w:val="33"/>
          <w:lang w:eastAsia="zh-CN"/>
        </w:rPr>
        <w:t>）</w:t>
      </w:r>
      <w:r>
        <w:rPr>
          <w:rFonts w:hint="default" w:ascii="Times New Roman" w:hAnsi="Times New Roman" w:eastAsia="方正仿宋_GBK" w:cs="Times New Roman"/>
          <w:b w:val="0"/>
          <w:bCs w:val="0"/>
          <w:kern w:val="0"/>
          <w:sz w:val="33"/>
          <w:szCs w:val="33"/>
        </w:rPr>
        <w:t>“两委”班子成员</w:t>
      </w:r>
      <w:r>
        <w:rPr>
          <w:rFonts w:hint="default" w:ascii="Times New Roman" w:hAnsi="Times New Roman" w:eastAsia="方正仿宋_GBK" w:cs="Times New Roman"/>
          <w:b w:val="0"/>
          <w:bCs w:val="0"/>
          <w:kern w:val="0"/>
          <w:sz w:val="33"/>
          <w:szCs w:val="33"/>
          <w:lang w:val="en-US" w:eastAsia="zh-CN"/>
        </w:rPr>
        <w:t>，</w:t>
      </w:r>
      <w:r>
        <w:rPr>
          <w:rFonts w:hint="default" w:ascii="Times New Roman" w:hAnsi="Times New Roman" w:eastAsia="方正仿宋_GBK" w:cs="Times New Roman"/>
          <w:b w:val="0"/>
          <w:bCs w:val="0"/>
          <w:kern w:val="0"/>
          <w:sz w:val="33"/>
          <w:szCs w:val="33"/>
        </w:rPr>
        <w:t>进行为期3天的全覆盖培训和重点培训。</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Times New Roman" w:hAnsi="Times New Roman" w:eastAsia="方正仿宋_GBK" w:cs="Times New Roman"/>
          <w:b w:val="0"/>
          <w:bCs w:val="0"/>
          <w:kern w:val="0"/>
          <w:sz w:val="33"/>
          <w:szCs w:val="33"/>
        </w:rPr>
      </w:pPr>
      <w:r>
        <w:rPr>
          <w:rFonts w:hint="eastAsia" w:ascii="Times New Roman" w:hAnsi="Times New Roman" w:eastAsia="方正仿宋_GBK" w:cs="Times New Roman"/>
          <w:b w:val="0"/>
          <w:bCs w:val="0"/>
          <w:kern w:val="0"/>
          <w:sz w:val="33"/>
          <w:szCs w:val="33"/>
          <w:lang w:val="en-US" w:eastAsia="zh-CN"/>
        </w:rPr>
        <w:t>3.</w:t>
      </w:r>
      <w:r>
        <w:rPr>
          <w:rFonts w:hint="default" w:ascii="Times New Roman" w:hAnsi="Times New Roman" w:eastAsia="方正仿宋_GBK" w:cs="Times New Roman"/>
          <w:b w:val="0"/>
          <w:bCs w:val="0"/>
          <w:kern w:val="0"/>
          <w:sz w:val="33"/>
          <w:szCs w:val="33"/>
        </w:rPr>
        <w:t>申报内容与实际相符，申报目标合理可行。</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方正黑体_GBK" w:hAnsi="Times New Roman" w:eastAsia="方正黑体_GBK" w:cs="Times New Roman"/>
          <w:kern w:val="0"/>
          <w:sz w:val="33"/>
          <w:szCs w:val="33"/>
          <w:lang w:val="en-US" w:eastAsia="zh-CN"/>
        </w:rPr>
      </w:pPr>
      <w:r>
        <w:rPr>
          <w:rFonts w:hint="default" w:ascii="方正黑体_GBK" w:hAnsi="Times New Roman" w:eastAsia="方正黑体_GBK" w:cs="Times New Roman"/>
          <w:kern w:val="0"/>
          <w:sz w:val="33"/>
          <w:szCs w:val="33"/>
          <w:lang w:val="en-US" w:eastAsia="zh-CN"/>
        </w:rPr>
        <w:t>二、项目资金申报及使用情况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（一）项目资金申报及批复情况。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Times New Roman" w:hAnsi="Times New Roman" w:eastAsia="方正仿宋_GBK" w:cs="Times New Roman"/>
          <w:kern w:val="0"/>
          <w:sz w:val="33"/>
          <w:szCs w:val="33"/>
        </w:rPr>
      </w:pPr>
      <w:r>
        <w:rPr>
          <w:rFonts w:hint="default" w:ascii="Times New Roman" w:hAnsi="Times New Roman" w:eastAsia="方正仿宋_GBK" w:cs="Times New Roman"/>
          <w:kern w:val="0"/>
          <w:sz w:val="33"/>
          <w:szCs w:val="33"/>
        </w:rPr>
        <w:t>2021年</w:t>
      </w:r>
      <w:r>
        <w:rPr>
          <w:rFonts w:hint="default" w:ascii="Times New Roman" w:hAnsi="Times New Roman" w:eastAsia="方正仿宋_GBK" w:cs="Times New Roman"/>
          <w:kern w:val="0"/>
          <w:sz w:val="33"/>
          <w:szCs w:val="33"/>
          <w:lang w:eastAsia="zh-CN"/>
        </w:rPr>
        <w:t>6</w:t>
      </w:r>
      <w:r>
        <w:rPr>
          <w:rFonts w:hint="default" w:ascii="Times New Roman" w:hAnsi="Times New Roman" w:eastAsia="方正仿宋_GBK" w:cs="Times New Roman"/>
          <w:kern w:val="0"/>
          <w:sz w:val="33"/>
          <w:szCs w:val="33"/>
        </w:rPr>
        <w:t>月</w:t>
      </w:r>
      <w:r>
        <w:rPr>
          <w:rFonts w:hint="default" w:ascii="Times New Roman" w:hAnsi="Times New Roman" w:eastAsia="方正仿宋_GBK" w:cs="Times New Roman"/>
          <w:kern w:val="0"/>
          <w:sz w:val="33"/>
          <w:szCs w:val="33"/>
          <w:lang w:eastAsia="zh-CN"/>
        </w:rPr>
        <w:t>2</w:t>
      </w:r>
      <w:r>
        <w:rPr>
          <w:rFonts w:hint="default" w:ascii="Times New Roman" w:hAnsi="Times New Roman" w:eastAsia="方正仿宋_GBK" w:cs="Times New Roman"/>
          <w:kern w:val="0"/>
          <w:sz w:val="33"/>
          <w:szCs w:val="33"/>
        </w:rPr>
        <w:t>日，县委组织部根据换届工作需要，向县政府提交《关于解决2021年全县村（社区）</w:t>
      </w:r>
      <w:r>
        <w:rPr>
          <w:rFonts w:hint="eastAsia"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rPr>
        <w:t>两委</w:t>
      </w:r>
      <w:r>
        <w:rPr>
          <w:rFonts w:hint="eastAsia"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rPr>
        <w:t>班子成员、常职干部及驻村干部培训经费的请示》（盐边组综〔2021〕</w:t>
      </w:r>
      <w:r>
        <w:rPr>
          <w:rFonts w:hint="default" w:ascii="Times New Roman" w:hAnsi="Times New Roman" w:eastAsia="方正仿宋_GBK" w:cs="Times New Roman"/>
          <w:kern w:val="0"/>
          <w:sz w:val="33"/>
          <w:szCs w:val="33"/>
          <w:lang w:eastAsia="zh-CN"/>
        </w:rPr>
        <w:t>4</w:t>
      </w:r>
      <w:r>
        <w:rPr>
          <w:rFonts w:hint="default" w:ascii="Times New Roman" w:hAnsi="Times New Roman" w:eastAsia="方正仿宋_GBK" w:cs="Times New Roman"/>
          <w:kern w:val="0"/>
          <w:sz w:val="33"/>
          <w:szCs w:val="33"/>
          <w:lang w:val="en-US" w:eastAsia="zh-CN"/>
        </w:rPr>
        <w:t>3</w:t>
      </w:r>
      <w:r>
        <w:rPr>
          <w:rFonts w:hint="default" w:ascii="Times New Roman" w:hAnsi="Times New Roman" w:eastAsia="方正仿宋_GBK" w:cs="Times New Roman"/>
          <w:kern w:val="0"/>
          <w:sz w:val="33"/>
          <w:szCs w:val="33"/>
        </w:rPr>
        <w:t>号），经县政府审议通过后，县财政局及时批复（盐财资行〔202</w:t>
      </w:r>
      <w:r>
        <w:rPr>
          <w:rFonts w:hint="default" w:ascii="Times New Roman" w:hAnsi="Times New Roman" w:eastAsia="方正仿宋_GBK" w:cs="Times New Roman"/>
          <w:kern w:val="0"/>
          <w:sz w:val="33"/>
          <w:szCs w:val="33"/>
          <w:lang w:eastAsia="zh-CN"/>
        </w:rPr>
        <w:t>1</w:t>
      </w:r>
      <w:r>
        <w:rPr>
          <w:rFonts w:hint="default" w:ascii="Times New Roman" w:hAnsi="Times New Roman" w:eastAsia="方正仿宋_GBK" w:cs="Times New Roman"/>
          <w:kern w:val="0"/>
          <w:sz w:val="33"/>
          <w:szCs w:val="33"/>
        </w:rPr>
        <w:t>〕</w:t>
      </w:r>
      <w:r>
        <w:rPr>
          <w:rFonts w:hint="default" w:ascii="Times New Roman" w:hAnsi="Times New Roman" w:eastAsia="方正仿宋_GBK" w:cs="Times New Roman"/>
          <w:kern w:val="0"/>
          <w:sz w:val="33"/>
          <w:szCs w:val="33"/>
          <w:lang w:eastAsia="zh-CN"/>
        </w:rPr>
        <w:t>4</w:t>
      </w:r>
      <w:r>
        <w:rPr>
          <w:rFonts w:hint="default" w:ascii="Times New Roman" w:hAnsi="Times New Roman" w:eastAsia="方正仿宋_GBK" w:cs="Times New Roman"/>
          <w:kern w:val="0"/>
          <w:sz w:val="33"/>
          <w:szCs w:val="33"/>
          <w:lang w:val="en-US" w:eastAsia="zh-CN"/>
        </w:rPr>
        <w:t>12</w:t>
      </w:r>
      <w:r>
        <w:rPr>
          <w:rFonts w:hint="default" w:ascii="Times New Roman" w:hAnsi="Times New Roman" w:eastAsia="方正仿宋_GBK" w:cs="Times New Roman"/>
          <w:kern w:val="0"/>
          <w:sz w:val="33"/>
          <w:szCs w:val="33"/>
        </w:rPr>
        <w:t>号）项目资金。</w:t>
      </w:r>
    </w:p>
    <w:p>
      <w:pPr>
        <w:keepNext w:val="0"/>
        <w:keepLines w:val="0"/>
        <w:pageBreakBefore w:val="0"/>
        <w:widowControl w:val="0"/>
        <w:numPr>
          <w:ilvl w:val="0"/>
          <w:numId w:val="6"/>
        </w:numPr>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资金计划、到位及使用情况。</w:t>
      </w:r>
    </w:p>
    <w:p>
      <w:pPr>
        <w:keepNext w:val="0"/>
        <w:keepLines w:val="0"/>
        <w:pageBreakBefore w:val="0"/>
        <w:widowControl w:val="0"/>
        <w:kinsoku/>
        <w:wordWrap/>
        <w:overflowPunct/>
        <w:topLinePunct w:val="0"/>
        <w:bidi w:val="0"/>
        <w:snapToGrid/>
        <w:spacing w:line="240" w:lineRule="auto"/>
        <w:ind w:firstLine="660" w:firstLineChars="200"/>
        <w:jc w:val="both"/>
        <w:textAlignment w:val="auto"/>
        <w:outlineLvl w:val="9"/>
        <w:rPr>
          <w:rFonts w:hint="default" w:ascii="Times New Roman" w:hAnsi="Times New Roman" w:eastAsia="方正仿宋_GBK" w:cs="Times New Roman"/>
          <w:b w:val="0"/>
          <w:bCs/>
          <w:sz w:val="33"/>
          <w:szCs w:val="33"/>
        </w:rPr>
      </w:pPr>
      <w:r>
        <w:rPr>
          <w:rFonts w:hint="default" w:ascii="Times New Roman" w:hAnsi="Times New Roman" w:eastAsia="方正仿宋_GBK" w:cs="Times New Roman"/>
          <w:b w:val="0"/>
          <w:bCs/>
          <w:sz w:val="33"/>
          <w:szCs w:val="33"/>
        </w:rPr>
        <w:t>1.资金计划：由盐边县财政局拨款。</w:t>
      </w:r>
    </w:p>
    <w:p>
      <w:pPr>
        <w:keepNext w:val="0"/>
        <w:keepLines w:val="0"/>
        <w:pageBreakBefore w:val="0"/>
        <w:widowControl w:val="0"/>
        <w:kinsoku/>
        <w:wordWrap/>
        <w:overflowPunct/>
        <w:topLinePunct w:val="0"/>
        <w:bidi w:val="0"/>
        <w:snapToGrid/>
        <w:spacing w:line="240" w:lineRule="auto"/>
        <w:ind w:firstLine="660" w:firstLineChars="200"/>
        <w:jc w:val="both"/>
        <w:textAlignment w:val="auto"/>
        <w:outlineLvl w:val="9"/>
        <w:rPr>
          <w:rFonts w:hint="default" w:ascii="Times New Roman" w:hAnsi="Times New Roman" w:eastAsia="方正仿宋_GBK" w:cs="Times New Roman"/>
          <w:b w:val="0"/>
          <w:bCs/>
          <w:sz w:val="33"/>
          <w:szCs w:val="33"/>
        </w:rPr>
      </w:pPr>
      <w:r>
        <w:rPr>
          <w:rFonts w:hint="default" w:ascii="Times New Roman" w:hAnsi="Times New Roman" w:eastAsia="方正仿宋_GBK" w:cs="Times New Roman"/>
          <w:b w:val="0"/>
          <w:bCs/>
          <w:sz w:val="33"/>
          <w:szCs w:val="33"/>
        </w:rPr>
        <w:t>2.资金到位及时。</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Times New Roman" w:hAnsi="Times New Roman" w:eastAsia="方正仿宋_GBK" w:cs="Times New Roman"/>
          <w:b w:val="0"/>
          <w:bCs/>
          <w:kern w:val="0"/>
          <w:sz w:val="33"/>
          <w:szCs w:val="33"/>
        </w:rPr>
      </w:pPr>
      <w:r>
        <w:rPr>
          <w:rFonts w:hint="default" w:ascii="Times New Roman" w:hAnsi="Times New Roman" w:eastAsia="方正仿宋_GBK" w:cs="Times New Roman"/>
          <w:b w:val="0"/>
          <w:bCs/>
          <w:sz w:val="33"/>
          <w:szCs w:val="33"/>
        </w:rPr>
        <w:t>3.资金使用：</w:t>
      </w:r>
      <w:r>
        <w:rPr>
          <w:rFonts w:hint="default" w:ascii="Times New Roman" w:hAnsi="Times New Roman" w:eastAsia="方正仿宋_GBK" w:cs="Times New Roman"/>
          <w:b w:val="0"/>
          <w:bCs/>
          <w:kern w:val="0"/>
          <w:sz w:val="33"/>
          <w:szCs w:val="33"/>
          <w:lang w:val="en-US" w:eastAsia="zh-CN"/>
        </w:rPr>
        <w:t>共开展两期培训</w:t>
      </w:r>
      <w:r>
        <w:rPr>
          <w:rFonts w:hint="default" w:ascii="Times New Roman" w:hAnsi="Times New Roman" w:eastAsia="方正仿宋_GBK" w:cs="Times New Roman"/>
          <w:b w:val="0"/>
          <w:bCs/>
          <w:kern w:val="0"/>
          <w:sz w:val="33"/>
          <w:szCs w:val="33"/>
          <w:lang w:eastAsia="zh-CN"/>
        </w:rPr>
        <w:t>，</w:t>
      </w:r>
      <w:r>
        <w:rPr>
          <w:rFonts w:hint="default" w:ascii="Times New Roman" w:hAnsi="Times New Roman" w:eastAsia="方正仿宋_GBK" w:cs="Times New Roman"/>
          <w:b w:val="0"/>
          <w:bCs/>
          <w:kern w:val="0"/>
          <w:sz w:val="33"/>
          <w:szCs w:val="33"/>
        </w:rPr>
        <w:t>第一期</w:t>
      </w:r>
      <w:r>
        <w:rPr>
          <w:rFonts w:hint="eastAsia" w:ascii="Times New Roman" w:hAnsi="Times New Roman" w:eastAsia="方正仿宋_GBK" w:cs="Times New Roman"/>
          <w:b w:val="0"/>
          <w:bCs/>
          <w:kern w:val="0"/>
          <w:sz w:val="33"/>
          <w:szCs w:val="33"/>
          <w:lang w:eastAsia="zh-CN"/>
        </w:rPr>
        <w:t>：</w:t>
      </w:r>
      <w:r>
        <w:rPr>
          <w:rFonts w:hint="default" w:ascii="Times New Roman" w:hAnsi="Times New Roman" w:eastAsia="方正仿宋_GBK" w:cs="Times New Roman"/>
          <w:b w:val="0"/>
          <w:bCs/>
          <w:kern w:val="0"/>
          <w:sz w:val="33"/>
          <w:szCs w:val="33"/>
        </w:rPr>
        <w:t>7月12日至7月14日</w:t>
      </w:r>
      <w:r>
        <w:rPr>
          <w:rFonts w:hint="default" w:ascii="Times New Roman" w:hAnsi="Times New Roman" w:eastAsia="方正仿宋_GBK" w:cs="Times New Roman"/>
          <w:b w:val="0"/>
          <w:bCs/>
          <w:kern w:val="0"/>
          <w:sz w:val="33"/>
          <w:szCs w:val="33"/>
          <w:lang w:eastAsia="zh-CN"/>
        </w:rPr>
        <w:t>，</w:t>
      </w:r>
      <w:r>
        <w:rPr>
          <w:rFonts w:hint="default" w:ascii="Times New Roman" w:hAnsi="Times New Roman" w:eastAsia="方正仿宋_GBK" w:cs="Times New Roman"/>
          <w:b w:val="0"/>
          <w:bCs/>
          <w:kern w:val="0"/>
          <w:sz w:val="33"/>
          <w:szCs w:val="33"/>
        </w:rPr>
        <w:t>共3天</w:t>
      </w:r>
      <w:r>
        <w:rPr>
          <w:rFonts w:hint="default" w:ascii="Times New Roman" w:hAnsi="Times New Roman" w:eastAsia="方正仿宋_GBK" w:cs="Times New Roman"/>
          <w:b w:val="0"/>
          <w:bCs/>
          <w:kern w:val="0"/>
          <w:sz w:val="33"/>
          <w:szCs w:val="33"/>
          <w:lang w:eastAsia="zh-CN"/>
        </w:rPr>
        <w:t>，</w:t>
      </w:r>
      <w:r>
        <w:rPr>
          <w:rFonts w:hint="default" w:ascii="Times New Roman" w:hAnsi="Times New Roman" w:eastAsia="方正仿宋_GBK" w:cs="Times New Roman"/>
          <w:b w:val="0"/>
          <w:bCs/>
          <w:kern w:val="0"/>
          <w:sz w:val="33"/>
          <w:szCs w:val="33"/>
          <w:lang w:val="en-US" w:eastAsia="zh-CN"/>
        </w:rPr>
        <w:t>培训230名学员</w:t>
      </w:r>
      <w:r>
        <w:rPr>
          <w:rFonts w:hint="default" w:ascii="Times New Roman" w:hAnsi="Times New Roman" w:eastAsia="方正仿宋_GBK" w:cs="Times New Roman"/>
          <w:b w:val="0"/>
          <w:bCs/>
          <w:kern w:val="0"/>
          <w:sz w:val="33"/>
          <w:szCs w:val="33"/>
          <w:lang w:eastAsia="zh-CN"/>
        </w:rPr>
        <w:t>；</w:t>
      </w:r>
      <w:r>
        <w:rPr>
          <w:rFonts w:hint="default" w:ascii="Times New Roman" w:hAnsi="Times New Roman" w:eastAsia="方正仿宋_GBK" w:cs="Times New Roman"/>
          <w:b w:val="0"/>
          <w:bCs/>
          <w:kern w:val="0"/>
          <w:sz w:val="33"/>
          <w:szCs w:val="33"/>
        </w:rPr>
        <w:t>第二期</w:t>
      </w:r>
      <w:r>
        <w:rPr>
          <w:rFonts w:hint="eastAsia" w:ascii="Times New Roman" w:hAnsi="Times New Roman" w:eastAsia="方正仿宋_GBK" w:cs="Times New Roman"/>
          <w:b w:val="0"/>
          <w:bCs/>
          <w:kern w:val="0"/>
          <w:sz w:val="33"/>
          <w:szCs w:val="33"/>
          <w:lang w:eastAsia="zh-CN"/>
        </w:rPr>
        <w:t>：</w:t>
      </w:r>
      <w:r>
        <w:rPr>
          <w:rFonts w:hint="default" w:ascii="Times New Roman" w:hAnsi="Times New Roman" w:eastAsia="方正仿宋_GBK" w:cs="Times New Roman"/>
          <w:b w:val="0"/>
          <w:bCs/>
          <w:kern w:val="0"/>
          <w:sz w:val="33"/>
          <w:szCs w:val="33"/>
        </w:rPr>
        <w:t>7月19日至7月21日</w:t>
      </w:r>
      <w:r>
        <w:rPr>
          <w:rFonts w:hint="default" w:ascii="Times New Roman" w:hAnsi="Times New Roman" w:eastAsia="方正仿宋_GBK" w:cs="Times New Roman"/>
          <w:b w:val="0"/>
          <w:bCs/>
          <w:kern w:val="0"/>
          <w:sz w:val="33"/>
          <w:szCs w:val="33"/>
          <w:lang w:eastAsia="zh-CN"/>
        </w:rPr>
        <w:t>，</w:t>
      </w:r>
      <w:r>
        <w:rPr>
          <w:rFonts w:hint="default" w:ascii="Times New Roman" w:hAnsi="Times New Roman" w:eastAsia="方正仿宋_GBK" w:cs="Times New Roman"/>
          <w:b w:val="0"/>
          <w:bCs/>
          <w:kern w:val="0"/>
          <w:sz w:val="33"/>
          <w:szCs w:val="33"/>
        </w:rPr>
        <w:t>共3天</w:t>
      </w:r>
      <w:r>
        <w:rPr>
          <w:rFonts w:hint="default" w:ascii="Times New Roman" w:hAnsi="Times New Roman" w:eastAsia="方正仿宋_GBK" w:cs="Times New Roman"/>
          <w:b w:val="0"/>
          <w:bCs/>
          <w:kern w:val="0"/>
          <w:sz w:val="33"/>
          <w:szCs w:val="33"/>
          <w:lang w:eastAsia="zh-CN"/>
        </w:rPr>
        <w:t>，</w:t>
      </w:r>
      <w:r>
        <w:rPr>
          <w:rFonts w:hint="default" w:ascii="Times New Roman" w:hAnsi="Times New Roman" w:eastAsia="方正仿宋_GBK" w:cs="Times New Roman"/>
          <w:b w:val="0"/>
          <w:bCs/>
          <w:kern w:val="0"/>
          <w:sz w:val="33"/>
          <w:szCs w:val="33"/>
          <w:lang w:val="en-US" w:eastAsia="zh-CN"/>
        </w:rPr>
        <w:t>培训232名学员</w:t>
      </w:r>
      <w:r>
        <w:rPr>
          <w:rFonts w:hint="eastAsia" w:ascii="Times New Roman" w:hAnsi="Times New Roman" w:eastAsia="方正仿宋_GBK" w:cs="Times New Roman"/>
          <w:b w:val="0"/>
          <w:bCs/>
          <w:kern w:val="0"/>
          <w:sz w:val="33"/>
          <w:szCs w:val="33"/>
          <w:lang w:val="en-US" w:eastAsia="zh-CN"/>
        </w:rPr>
        <w:t>，合计列支资金</w:t>
      </w:r>
      <w:r>
        <w:rPr>
          <w:rFonts w:hint="default" w:ascii="Times New Roman" w:hAnsi="Times New Roman" w:eastAsia="方正仿宋_GBK" w:cs="Times New Roman"/>
          <w:b w:val="0"/>
          <w:bCs/>
          <w:kern w:val="0"/>
          <w:sz w:val="33"/>
          <w:szCs w:val="33"/>
          <w:lang w:val="en-US" w:eastAsia="zh-CN"/>
        </w:rPr>
        <w:t>101285元。</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（三）项目财务管理情况。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Times New Roman" w:hAnsi="Times New Roman" w:eastAsia="方正仿宋_GBK" w:cs="Times New Roman"/>
          <w:kern w:val="0"/>
          <w:sz w:val="33"/>
          <w:szCs w:val="33"/>
        </w:rPr>
      </w:pPr>
      <w:r>
        <w:rPr>
          <w:rFonts w:hint="default" w:ascii="Times New Roman" w:hAnsi="Times New Roman" w:eastAsia="方正仿宋_GBK" w:cs="Times New Roman"/>
          <w:kern w:val="0"/>
          <w:sz w:val="33"/>
          <w:szCs w:val="33"/>
        </w:rPr>
        <w:t>严格落实单位财务管理制度，严格执行财务管理制度，账务处理及时，会计核算规范，资金兑付签字手续完整，资金管理到位，没有截留挪用、虚报冒领。</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方正黑体_GBK" w:hAnsi="Times New Roman" w:eastAsia="方正黑体_GBK" w:cs="Times New Roman"/>
          <w:kern w:val="0"/>
          <w:sz w:val="33"/>
          <w:szCs w:val="33"/>
          <w:lang w:val="en-US" w:eastAsia="zh-CN"/>
        </w:rPr>
      </w:pPr>
      <w:r>
        <w:rPr>
          <w:rFonts w:hint="default" w:ascii="方正黑体_GBK" w:hAnsi="Times New Roman" w:eastAsia="方正黑体_GBK" w:cs="Times New Roman"/>
          <w:kern w:val="0"/>
          <w:sz w:val="33"/>
          <w:szCs w:val="33"/>
          <w:lang w:val="en-US" w:eastAsia="zh-CN"/>
        </w:rPr>
        <w:t>三、项目实施及管理情况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楷体_GBK" w:cs="Times New Roman"/>
          <w:b/>
          <w:bCs/>
          <w:kern w:val="0"/>
          <w:sz w:val="33"/>
          <w:szCs w:val="33"/>
          <w:lang w:val="en-US" w:eastAsia="zh-CN"/>
        </w:rPr>
        <w:t>（一）项目组织架构及实施流程：</w:t>
      </w:r>
      <w:r>
        <w:rPr>
          <w:rFonts w:hint="default" w:ascii="Times New Roman" w:hAnsi="Times New Roman" w:eastAsia="方正仿宋_GBK" w:cs="Times New Roman"/>
          <w:kern w:val="0"/>
          <w:sz w:val="33"/>
          <w:szCs w:val="33"/>
          <w:lang w:val="en-US" w:eastAsia="zh-CN"/>
        </w:rPr>
        <w:t>由组织股</w:t>
      </w:r>
      <w:r>
        <w:rPr>
          <w:rFonts w:hint="default" w:ascii="Times New Roman" w:hAnsi="Times New Roman" w:eastAsia="方正仿宋_GBK" w:cs="Times New Roman"/>
          <w:kern w:val="0"/>
          <w:sz w:val="33"/>
          <w:szCs w:val="33"/>
        </w:rPr>
        <w:t>发起申请，财务人员向财政部门提交用款申请和绩效目标申请</w:t>
      </w:r>
      <w:r>
        <w:rPr>
          <w:rFonts w:hint="default" w:ascii="Times New Roman" w:hAnsi="Times New Roman" w:eastAsia="方正仿宋_GBK" w:cs="Times New Roman"/>
          <w:sz w:val="33"/>
          <w:szCs w:val="33"/>
        </w:rPr>
        <w:t>表等，待财政资金获批下达后，由业务经办人组织实施具体业务，将报销单据交给财务人员，财务人员严格按照财经纪律进行报销。</w:t>
      </w:r>
    </w:p>
    <w:p>
      <w:pPr>
        <w:keepNext w:val="0"/>
        <w:keepLines w:val="0"/>
        <w:pageBreakBefore w:val="0"/>
        <w:widowControl w:val="0"/>
        <w:kinsoku/>
        <w:wordWrap/>
        <w:overflowPunct/>
        <w:topLinePunct w:val="0"/>
        <w:bidi w:val="0"/>
        <w:snapToGrid/>
        <w:spacing w:line="240" w:lineRule="auto"/>
        <w:ind w:firstLine="663" w:firstLineChars="200"/>
        <w:jc w:val="both"/>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楷体_GBK" w:cs="Times New Roman"/>
          <w:b/>
          <w:sz w:val="33"/>
          <w:szCs w:val="33"/>
        </w:rPr>
        <w:t>（二）项目管理情况：</w:t>
      </w:r>
      <w:r>
        <w:rPr>
          <w:rFonts w:hint="default" w:ascii="Times New Roman" w:hAnsi="Times New Roman" w:eastAsia="方正仿宋_GBK" w:cs="Times New Roman"/>
          <w:sz w:val="33"/>
          <w:szCs w:val="33"/>
        </w:rPr>
        <w:t>项目未发生集中采购，相关业务活动由归口科室进行管理。</w:t>
      </w:r>
    </w:p>
    <w:p>
      <w:pPr>
        <w:keepNext w:val="0"/>
        <w:keepLines w:val="0"/>
        <w:pageBreakBefore w:val="0"/>
        <w:widowControl w:val="0"/>
        <w:kinsoku/>
        <w:wordWrap/>
        <w:overflowPunct/>
        <w:topLinePunct w:val="0"/>
        <w:bidi w:val="0"/>
        <w:snapToGrid/>
        <w:spacing w:line="240" w:lineRule="auto"/>
        <w:ind w:firstLine="663" w:firstLineChars="200"/>
        <w:jc w:val="both"/>
        <w:textAlignment w:val="auto"/>
        <w:outlineLvl w:val="9"/>
        <w:rPr>
          <w:rFonts w:hint="default" w:ascii="Times New Roman" w:hAnsi="Times New Roman" w:eastAsia="方正仿宋_GBK" w:cs="Times New Roman"/>
          <w:sz w:val="33"/>
          <w:szCs w:val="33"/>
        </w:rPr>
      </w:pPr>
      <w:r>
        <w:rPr>
          <w:rFonts w:hint="default" w:ascii="Times New Roman" w:hAnsi="Times New Roman" w:eastAsia="方正楷体_GBK" w:cs="Times New Roman"/>
          <w:b/>
          <w:sz w:val="33"/>
          <w:szCs w:val="33"/>
        </w:rPr>
        <w:t>（三）项目监管情况：</w:t>
      </w:r>
      <w:r>
        <w:rPr>
          <w:rFonts w:hint="default" w:ascii="Times New Roman" w:hAnsi="Times New Roman" w:eastAsia="方正仿宋_GBK" w:cs="Times New Roman"/>
          <w:sz w:val="33"/>
          <w:szCs w:val="33"/>
        </w:rPr>
        <w:t>严格按照财务相关程序、单位内部工作流程进行项目监管，及时请示汇报领导，未出现监管纰漏。</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方正黑体_GBK" w:hAnsi="Times New Roman" w:eastAsia="方正黑体_GBK" w:cs="Times New Roman"/>
          <w:kern w:val="0"/>
          <w:sz w:val="33"/>
          <w:szCs w:val="33"/>
          <w:lang w:val="en-US" w:eastAsia="zh-CN"/>
        </w:rPr>
      </w:pPr>
      <w:r>
        <w:rPr>
          <w:rFonts w:hint="default" w:ascii="方正黑体_GBK" w:hAnsi="Times New Roman" w:eastAsia="方正黑体_GBK" w:cs="Times New Roman"/>
          <w:kern w:val="0"/>
          <w:sz w:val="33"/>
          <w:szCs w:val="33"/>
          <w:lang w:val="en-US" w:eastAsia="zh-CN"/>
        </w:rPr>
        <w:t>四、项目绩效情况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（一）项目完成情况。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Times New Roman" w:hAnsi="Times New Roman" w:eastAsia="方正仿宋_GBK" w:cs="Times New Roman"/>
          <w:kern w:val="0"/>
          <w:sz w:val="33"/>
          <w:szCs w:val="33"/>
        </w:rPr>
      </w:pPr>
      <w:r>
        <w:rPr>
          <w:rFonts w:hint="default" w:ascii="Times New Roman" w:hAnsi="Times New Roman" w:eastAsia="方正仿宋_GBK" w:cs="Times New Roman"/>
          <w:kern w:val="0"/>
          <w:sz w:val="33"/>
          <w:szCs w:val="33"/>
          <w:lang w:val="en-US" w:eastAsia="zh-CN"/>
        </w:rPr>
        <w:t>共开展两期培训</w:t>
      </w:r>
      <w:r>
        <w:rPr>
          <w:rFonts w:hint="default"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rPr>
        <w:t>第一期</w:t>
      </w:r>
      <w:r>
        <w:rPr>
          <w:rFonts w:hint="eastAsia"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rPr>
        <w:t>7月12日至7月14日</w:t>
      </w:r>
      <w:r>
        <w:rPr>
          <w:rFonts w:hint="default"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rPr>
        <w:t>共3天</w:t>
      </w:r>
      <w:r>
        <w:rPr>
          <w:rFonts w:hint="default"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lang w:val="en-US" w:eastAsia="zh-CN"/>
        </w:rPr>
        <w:t>培训230名学员</w:t>
      </w:r>
      <w:r>
        <w:rPr>
          <w:rFonts w:hint="default"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rPr>
        <w:t>第二期</w:t>
      </w:r>
      <w:r>
        <w:rPr>
          <w:rFonts w:hint="eastAsia"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rPr>
        <w:t>7月19日至7月21日</w:t>
      </w:r>
      <w:r>
        <w:rPr>
          <w:rFonts w:hint="default"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rPr>
        <w:t>共3天</w:t>
      </w:r>
      <w:r>
        <w:rPr>
          <w:rFonts w:hint="default"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lang w:val="en-US" w:eastAsia="zh-CN"/>
        </w:rPr>
        <w:t>培训232名学员。</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（二）项目效益情况。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Times New Roman" w:hAnsi="Times New Roman" w:eastAsia="方正仿宋_GBK" w:cs="Times New Roman"/>
          <w:kern w:val="0"/>
          <w:sz w:val="33"/>
          <w:szCs w:val="33"/>
          <w:lang w:val="en-US" w:eastAsia="zh-CN"/>
        </w:rPr>
      </w:pPr>
      <w:r>
        <w:rPr>
          <w:rFonts w:hint="default" w:ascii="Times New Roman" w:hAnsi="Times New Roman" w:eastAsia="方正仿宋_GBK" w:cs="Times New Roman"/>
          <w:kern w:val="0"/>
          <w:sz w:val="33"/>
          <w:szCs w:val="33"/>
        </w:rPr>
        <w:t>强化“依法治村、民主管村”意识，切实提高基层干部履职能力、服务能力</w:t>
      </w:r>
      <w:r>
        <w:rPr>
          <w:rFonts w:hint="default" w:ascii="Times New Roman" w:hAnsi="Times New Roman" w:eastAsia="方正仿宋_GBK" w:cs="Times New Roman"/>
          <w:kern w:val="0"/>
          <w:sz w:val="33"/>
          <w:szCs w:val="33"/>
          <w:lang w:eastAsia="zh-CN"/>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方正黑体_GBK" w:hAnsi="Times New Roman" w:eastAsia="方正黑体_GBK" w:cs="Times New Roman"/>
          <w:kern w:val="0"/>
          <w:sz w:val="33"/>
          <w:szCs w:val="33"/>
          <w:lang w:val="en-US" w:eastAsia="zh-CN"/>
        </w:rPr>
      </w:pPr>
      <w:r>
        <w:rPr>
          <w:rFonts w:hint="default" w:ascii="方正黑体_GBK" w:hAnsi="Times New Roman" w:eastAsia="方正黑体_GBK" w:cs="Times New Roman"/>
          <w:kern w:val="0"/>
          <w:sz w:val="33"/>
          <w:szCs w:val="33"/>
          <w:lang w:val="en-US" w:eastAsia="zh-CN"/>
        </w:rPr>
        <w:t>五、评价结论及建议</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（一）评价结论。</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Times New Roman" w:hAnsi="Times New Roman" w:eastAsia="方正仿宋_GBK" w:cs="Times New Roman"/>
          <w:color w:val="000000"/>
          <w:kern w:val="2"/>
          <w:sz w:val="33"/>
          <w:szCs w:val="33"/>
          <w:lang w:val="en-US" w:eastAsia="zh-CN" w:bidi="ar-SA"/>
        </w:rPr>
      </w:pPr>
      <w:r>
        <w:rPr>
          <w:rFonts w:hint="default" w:ascii="Times New Roman" w:hAnsi="Times New Roman" w:eastAsia="方正仿宋_GBK" w:cs="Times New Roman"/>
          <w:color w:val="000000"/>
          <w:kern w:val="2"/>
          <w:sz w:val="33"/>
          <w:szCs w:val="33"/>
          <w:lang w:val="en-US" w:eastAsia="zh-CN" w:bidi="ar-SA"/>
        </w:rPr>
        <w:t>加强领导，精心组织，</w:t>
      </w:r>
      <w:r>
        <w:rPr>
          <w:rFonts w:hint="default" w:ascii="Times New Roman" w:hAnsi="Times New Roman" w:eastAsia="方正仿宋_GBK" w:cs="Times New Roman"/>
          <w:kern w:val="0"/>
          <w:sz w:val="33"/>
          <w:szCs w:val="33"/>
        </w:rPr>
        <w:t>强化“依法治村、民主管村”意识，切实增强村</w:t>
      </w:r>
      <w:r>
        <w:rPr>
          <w:rFonts w:hint="default"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rPr>
        <w:t>社区</w:t>
      </w:r>
      <w:r>
        <w:rPr>
          <w:rFonts w:hint="default"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rPr>
        <w:t>干部</w:t>
      </w:r>
      <w:r>
        <w:rPr>
          <w:rFonts w:hint="default"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lang w:val="en-US" w:eastAsia="zh-CN"/>
        </w:rPr>
        <w:t>四个</w:t>
      </w:r>
      <w:r>
        <w:rPr>
          <w:rFonts w:hint="default" w:ascii="Times New Roman" w:hAnsi="Times New Roman" w:eastAsia="方正仿宋_GBK" w:cs="Times New Roman"/>
          <w:kern w:val="0"/>
          <w:sz w:val="33"/>
          <w:szCs w:val="33"/>
        </w:rPr>
        <w:t>意识</w:t>
      </w:r>
      <w:r>
        <w:rPr>
          <w:rFonts w:hint="default" w:ascii="Times New Roman" w:hAnsi="Times New Roman" w:eastAsia="方正仿宋_GBK" w:cs="Times New Roman"/>
          <w:kern w:val="0"/>
          <w:sz w:val="33"/>
          <w:szCs w:val="33"/>
          <w:lang w:eastAsia="zh-CN"/>
        </w:rPr>
        <w:t>”</w:t>
      </w:r>
      <w:r>
        <w:rPr>
          <w:rFonts w:hint="default" w:ascii="Times New Roman" w:hAnsi="Times New Roman" w:eastAsia="方正仿宋_GBK" w:cs="Times New Roman"/>
          <w:kern w:val="0"/>
          <w:sz w:val="33"/>
          <w:szCs w:val="33"/>
        </w:rPr>
        <w:t>，提高基层干部履职能力、服务能力</w:t>
      </w:r>
      <w:r>
        <w:rPr>
          <w:rFonts w:hint="default" w:ascii="Times New Roman" w:hAnsi="Times New Roman" w:eastAsia="方正仿宋_GBK" w:cs="Times New Roman"/>
          <w:color w:val="000000"/>
          <w:kern w:val="2"/>
          <w:sz w:val="33"/>
          <w:szCs w:val="33"/>
          <w:lang w:val="en-US" w:eastAsia="zh-CN" w:bidi="ar-SA"/>
        </w:rPr>
        <w:t>。绩效评价等级为：优。</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（二）存在的问题。</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ascii="Times New Roman" w:hAnsi="Times New Roman" w:eastAsia="方正仿宋_GBK" w:cs="Times New Roman"/>
          <w:color w:val="000000"/>
          <w:kern w:val="2"/>
          <w:sz w:val="33"/>
          <w:szCs w:val="33"/>
          <w:lang w:val="en-US" w:eastAsia="zh-CN" w:bidi="ar-SA"/>
        </w:rPr>
      </w:pPr>
      <w:r>
        <w:rPr>
          <w:rFonts w:hint="eastAsia" w:ascii="Times New Roman" w:hAnsi="Times New Roman" w:eastAsia="方正仿宋_GBK" w:cs="Times New Roman"/>
          <w:color w:val="000000"/>
          <w:kern w:val="2"/>
          <w:sz w:val="33"/>
          <w:szCs w:val="33"/>
          <w:lang w:val="en-US" w:eastAsia="zh-CN" w:bidi="ar-SA"/>
        </w:rPr>
        <w:t>无</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（三）相关建议。</w:t>
      </w:r>
    </w:p>
    <w:p>
      <w:pPr>
        <w:pStyle w:val="8"/>
        <w:keepNext w:val="0"/>
        <w:keepLines w:val="0"/>
        <w:pageBreakBefore w:val="0"/>
        <w:widowControl w:val="0"/>
        <w:kinsoku/>
        <w:wordWrap/>
        <w:overflowPunct/>
        <w:topLinePunct w:val="0"/>
        <w:bidi w:val="0"/>
        <w:snapToGrid/>
        <w:spacing w:line="240" w:lineRule="auto"/>
        <w:ind w:firstLine="660" w:firstLineChars="200"/>
        <w:jc w:val="both"/>
        <w:textAlignment w:val="auto"/>
        <w:outlineLvl w:val="9"/>
        <w:rPr>
          <w:rFonts w:hint="default" w:ascii="Times New Roman" w:hAnsi="Times New Roman" w:eastAsia="方正仿宋_GBK" w:cs="Times New Roman"/>
          <w:color w:val="000000"/>
          <w:kern w:val="2"/>
          <w:sz w:val="33"/>
          <w:szCs w:val="33"/>
          <w:lang w:val="en-US" w:eastAsia="zh-CN" w:bidi="ar-SA"/>
        </w:rPr>
      </w:pPr>
      <w:r>
        <w:rPr>
          <w:rFonts w:hint="default" w:ascii="Times New Roman" w:hAnsi="Times New Roman" w:eastAsia="方正仿宋_GBK" w:cs="Times New Roman"/>
          <w:color w:val="000000"/>
          <w:kern w:val="2"/>
          <w:sz w:val="33"/>
          <w:szCs w:val="33"/>
          <w:lang w:val="en-US" w:eastAsia="zh-CN" w:bidi="ar-SA"/>
        </w:rPr>
        <w:t>进一步健全和完善财务管理制度及内部控制制度，创新管理手段，用新思路、新方法，改进完善财务管理方法，用制度管项目，用制度管资金。</w:t>
      </w:r>
    </w:p>
    <w:p>
      <w:pPr>
        <w:pStyle w:val="6"/>
        <w:keepNext w:val="0"/>
        <w:keepLines w:val="0"/>
        <w:pageBreakBefore w:val="0"/>
        <w:widowControl w:val="0"/>
        <w:kinsoku/>
        <w:wordWrap/>
        <w:overflowPunct/>
        <w:topLinePunct w:val="0"/>
        <w:bidi w:val="0"/>
        <w:snapToGrid/>
        <w:spacing w:line="240" w:lineRule="auto"/>
        <w:ind w:firstLine="640" w:firstLineChars="200"/>
        <w:jc w:val="both"/>
        <w:textAlignment w:val="auto"/>
        <w:outlineLvl w:val="9"/>
        <w:rPr>
          <w:rFonts w:hint="eastAsia" w:ascii="Times New Roman" w:hAnsi="Times New Roman" w:eastAsia="仿宋_GB2312"/>
          <w:kern w:val="0"/>
          <w:sz w:val="32"/>
          <w:szCs w:val="24"/>
          <w:lang w:val="en-US" w:eastAsia="zh-CN"/>
        </w:rPr>
      </w:pPr>
    </w:p>
    <w:p>
      <w:pPr>
        <w:rPr>
          <w:rFonts w:hint="eastAsia" w:ascii="Times New Roman" w:hAnsi="Times New Roman" w:eastAsia="仿宋_GB2312"/>
          <w:kern w:val="0"/>
          <w:sz w:val="32"/>
          <w:szCs w:val="24"/>
          <w:lang w:val="en-US" w:eastAsia="zh-CN"/>
        </w:rPr>
      </w:pPr>
    </w:p>
    <w:p>
      <w:pPr>
        <w:pStyle w:val="2"/>
        <w:rPr>
          <w:rFonts w:hint="eastAsia" w:ascii="Times New Roman" w:hAnsi="Times New Roman" w:eastAsia="仿宋_GB2312"/>
          <w:kern w:val="0"/>
          <w:sz w:val="32"/>
          <w:szCs w:val="24"/>
          <w:lang w:val="en-US" w:eastAsia="zh-CN"/>
        </w:rPr>
      </w:pPr>
    </w:p>
    <w:p>
      <w:pPr>
        <w:pStyle w:val="2"/>
        <w:rPr>
          <w:rFonts w:hint="eastAsia" w:ascii="Times New Roman" w:hAnsi="Times New Roman" w:eastAsia="仿宋_GB2312"/>
          <w:kern w:val="0"/>
          <w:sz w:val="32"/>
          <w:szCs w:val="24"/>
          <w:lang w:val="en-US" w:eastAsia="zh-CN"/>
        </w:rPr>
      </w:pPr>
    </w:p>
    <w:p>
      <w:pPr>
        <w:pStyle w:val="2"/>
        <w:rPr>
          <w:rFonts w:hint="eastAsia" w:ascii="Times New Roman" w:hAnsi="Times New Roman" w:eastAsia="仿宋_GB2312"/>
          <w:kern w:val="0"/>
          <w:sz w:val="32"/>
          <w:szCs w:val="24"/>
          <w:lang w:val="en-US" w:eastAsia="zh-CN"/>
        </w:rPr>
      </w:pPr>
    </w:p>
    <w:p>
      <w:pPr>
        <w:pStyle w:val="2"/>
        <w:rPr>
          <w:rFonts w:hint="eastAsia" w:ascii="Times New Roman" w:hAnsi="Times New Roman" w:eastAsia="仿宋_GB2312"/>
          <w:kern w:val="0"/>
          <w:sz w:val="32"/>
          <w:szCs w:val="24"/>
          <w:lang w:val="en-US" w:eastAsia="zh-CN"/>
        </w:rPr>
      </w:pPr>
    </w:p>
    <w:p>
      <w:pPr>
        <w:pStyle w:val="2"/>
        <w:rPr>
          <w:rFonts w:hint="eastAsia" w:ascii="Times New Roman" w:hAnsi="Times New Roman" w:eastAsia="仿宋_GB2312"/>
          <w:kern w:val="0"/>
          <w:sz w:val="32"/>
          <w:szCs w:val="24"/>
          <w:lang w:val="en-US" w:eastAsia="zh-CN"/>
        </w:rPr>
      </w:pPr>
    </w:p>
    <w:p>
      <w:pPr>
        <w:pStyle w:val="2"/>
        <w:rPr>
          <w:rFonts w:hint="eastAsia" w:ascii="Times New Roman" w:hAnsi="Times New Roman" w:eastAsia="仿宋_GB2312"/>
          <w:kern w:val="0"/>
          <w:sz w:val="32"/>
          <w:szCs w:val="24"/>
          <w:lang w:val="en-US" w:eastAsia="zh-CN"/>
        </w:rPr>
      </w:pPr>
    </w:p>
    <w:p>
      <w:pPr>
        <w:pStyle w:val="2"/>
        <w:spacing w:before="93"/>
        <w:outlineLvl w:val="9"/>
        <w:rPr>
          <w:rFonts w:hint="default" w:ascii="Times New Roman" w:hAnsi="Times New Roman" w:eastAsia="仿宋_GB2312"/>
          <w:kern w:val="0"/>
          <w:sz w:val="32"/>
          <w:szCs w:val="24"/>
          <w:lang w:val="en-US" w:eastAsia="zh-CN"/>
        </w:rPr>
      </w:pPr>
      <w:r>
        <w:rPr>
          <w:rFonts w:hint="eastAsia" w:hAnsi="宋体" w:cs="宋体"/>
          <w:sz w:val="32"/>
          <w:szCs w:val="32"/>
          <w:shd w:val="clear" w:color="auto" w:fill="FFFFFF"/>
          <w:lang w:val="zh-CN"/>
        </w:rPr>
        <w:t>附件</w:t>
      </w:r>
      <w:r>
        <w:rPr>
          <w:rFonts w:hint="eastAsia" w:hAnsi="宋体" w:cs="宋体"/>
          <w:sz w:val="32"/>
          <w:szCs w:val="32"/>
          <w:shd w:val="clear" w:color="auto" w:fill="FFFFFF"/>
          <w:lang w:val="en-US" w:eastAsia="zh-CN"/>
        </w:rPr>
        <w:t>6</w:t>
      </w:r>
    </w:p>
    <w:p>
      <w:pPr>
        <w:pStyle w:val="8"/>
        <w:keepNext w:val="0"/>
        <w:keepLines w:val="0"/>
        <w:pageBreakBefore w:val="0"/>
        <w:widowControl w:val="0"/>
        <w:kinsoku/>
        <w:wordWrap/>
        <w:overflowPunct/>
        <w:topLinePunct w:val="0"/>
        <w:autoSpaceDE/>
        <w:autoSpaceDN/>
        <w:bidi w:val="0"/>
        <w:adjustRightInd/>
        <w:snapToGrid/>
        <w:spacing w:beforeLines="0" w:afterLines="0" w:line="240" w:lineRule="auto"/>
        <w:ind w:firstLine="720" w:firstLineChars="200"/>
        <w:jc w:val="center"/>
        <w:textAlignment w:val="auto"/>
        <w:rPr>
          <w:rFonts w:hint="eastAsia" w:ascii="方正小标宋_GBK" w:hAnsi="黑体" w:eastAsia="方正小标宋_GBK" w:cs="黑体"/>
          <w:sz w:val="36"/>
          <w:szCs w:val="36"/>
          <w:lang w:val="en-US" w:eastAsia="zh-CN"/>
        </w:rPr>
      </w:pPr>
      <w:r>
        <w:rPr>
          <w:rFonts w:hint="eastAsia" w:ascii="方正小标宋_GBK" w:hAnsi="黑体" w:eastAsia="方正小标宋_GBK" w:cs="黑体"/>
          <w:sz w:val="36"/>
          <w:szCs w:val="36"/>
          <w:lang w:val="en-US" w:eastAsia="zh-CN"/>
        </w:rPr>
        <w:t>中共盐边县委组织部</w:t>
      </w:r>
    </w:p>
    <w:p>
      <w:pPr>
        <w:pStyle w:val="8"/>
        <w:keepNext w:val="0"/>
        <w:keepLines w:val="0"/>
        <w:pageBreakBefore w:val="0"/>
        <w:widowControl w:val="0"/>
        <w:kinsoku/>
        <w:wordWrap/>
        <w:overflowPunct/>
        <w:topLinePunct w:val="0"/>
        <w:autoSpaceDE/>
        <w:autoSpaceDN/>
        <w:bidi w:val="0"/>
        <w:adjustRightInd/>
        <w:snapToGrid/>
        <w:spacing w:beforeLines="0" w:afterLines="0" w:line="240" w:lineRule="auto"/>
        <w:ind w:firstLine="720" w:firstLineChars="200"/>
        <w:jc w:val="center"/>
        <w:textAlignment w:val="auto"/>
        <w:rPr>
          <w:rFonts w:hint="eastAsia" w:ascii="方正小标宋_GBK" w:hAnsi="黑体" w:eastAsia="方正小标宋_GBK" w:cs="黑体"/>
          <w:sz w:val="36"/>
          <w:szCs w:val="36"/>
          <w:lang w:val="en-US" w:eastAsia="zh-CN"/>
        </w:rPr>
      </w:pPr>
      <w:r>
        <w:rPr>
          <w:rFonts w:hint="eastAsia" w:ascii="方正小标宋_GBK" w:hAnsi="黑体" w:eastAsia="方正小标宋_GBK" w:cs="黑体"/>
          <w:sz w:val="36"/>
          <w:szCs w:val="36"/>
          <w:lang w:val="en-US" w:eastAsia="zh-CN"/>
        </w:rPr>
        <w:t>专项资金绩效自评报告</w:t>
      </w:r>
    </w:p>
    <w:p>
      <w:pPr>
        <w:pStyle w:val="8"/>
        <w:keepNext w:val="0"/>
        <w:keepLines w:val="0"/>
        <w:pageBreakBefore w:val="0"/>
        <w:widowControl w:val="0"/>
        <w:kinsoku/>
        <w:wordWrap/>
        <w:overflowPunct/>
        <w:topLinePunct w:val="0"/>
        <w:autoSpaceDE/>
        <w:autoSpaceDN/>
        <w:bidi w:val="0"/>
        <w:adjustRightInd/>
        <w:snapToGrid/>
        <w:spacing w:beforeLines="0" w:after="157" w:afterLines="50" w:line="240" w:lineRule="auto"/>
        <w:ind w:firstLine="720" w:firstLineChars="200"/>
        <w:jc w:val="center"/>
        <w:textAlignment w:val="auto"/>
        <w:rPr>
          <w:rFonts w:hint="default" w:ascii="方正小标宋_GBK" w:hAnsi="黑体" w:eastAsia="方正小标宋_GBK" w:cs="黑体"/>
          <w:sz w:val="36"/>
          <w:szCs w:val="36"/>
          <w:lang w:val="en-US" w:eastAsia="zh-CN"/>
        </w:rPr>
      </w:pPr>
      <w:r>
        <w:rPr>
          <w:rFonts w:hint="eastAsia" w:ascii="方正小标宋_GBK" w:hAnsi="黑体" w:eastAsia="方正小标宋_GBK" w:cs="黑体"/>
          <w:sz w:val="36"/>
          <w:szCs w:val="36"/>
          <w:lang w:val="en-US" w:eastAsia="zh-CN"/>
        </w:rPr>
        <w:t>（2020年干部人才学历提升学费补助经费）</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方正黑体_GBK" w:hAnsi="Times New Roman" w:eastAsia="方正黑体_GBK" w:cs="Times New Roman"/>
          <w:kern w:val="0"/>
          <w:sz w:val="33"/>
          <w:szCs w:val="33"/>
          <w:lang w:val="en-US" w:eastAsia="zh-CN"/>
        </w:rPr>
      </w:pPr>
      <w:r>
        <w:rPr>
          <w:rFonts w:hint="default" w:ascii="方正黑体_GBK" w:hAnsi="Times New Roman" w:eastAsia="方正黑体_GBK" w:cs="Times New Roman"/>
          <w:kern w:val="0"/>
          <w:sz w:val="33"/>
          <w:szCs w:val="33"/>
          <w:lang w:val="en-US" w:eastAsia="zh-CN"/>
        </w:rPr>
        <w:t>一、项目概况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（一）项目基本情况。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eastAsia="方正仿宋_GBK"/>
          <w:kern w:val="0"/>
          <w:sz w:val="33"/>
          <w:szCs w:val="33"/>
        </w:rPr>
        <w:t>1．</w:t>
      </w:r>
      <w:r>
        <w:rPr>
          <w:rFonts w:hint="eastAsia" w:eastAsia="方正仿宋_GBK"/>
          <w:kern w:val="0"/>
          <w:sz w:val="33"/>
          <w:szCs w:val="33"/>
        </w:rPr>
        <w:t>我部按照干部教育培训工作要求，为充分体现对干部人才的关心关爱，进一步提高全县干部人才队伍自身知识层次和综合素质，增强创新能力，优化我县干部人才队伍知识结构，鼓励各级干部人才积极参加学历提升教育，特向财政局申请该项经费，为上一年度完成继续教育并获得相应毕业证书的干部人才，给予一定的学费补助</w:t>
      </w:r>
      <w:r>
        <w:rPr>
          <w:rFonts w:eastAsia="方正仿宋_GBK"/>
          <w:kern w:val="0"/>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eastAsia="方正仿宋_GBK"/>
          <w:kern w:val="0"/>
          <w:sz w:val="33"/>
          <w:szCs w:val="33"/>
        </w:rPr>
        <w:t>2．项目立项、资金申报</w:t>
      </w:r>
      <w:r>
        <w:rPr>
          <w:rFonts w:hint="eastAsia" w:eastAsia="方正仿宋_GBK"/>
          <w:kern w:val="0"/>
          <w:sz w:val="33"/>
          <w:szCs w:val="33"/>
        </w:rPr>
        <w:t>依据：《盐边县激励干部人才提升学历教育办法（试行）》（盐边组综〔2019〕82号）</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eastAsia="方正仿宋_GBK"/>
          <w:kern w:val="0"/>
          <w:sz w:val="33"/>
          <w:szCs w:val="33"/>
        </w:rPr>
        <w:t>3．</w:t>
      </w:r>
      <w:r>
        <w:rPr>
          <w:rFonts w:hint="eastAsia" w:eastAsia="方正仿宋_GBK"/>
          <w:kern w:val="0"/>
          <w:sz w:val="33"/>
          <w:szCs w:val="33"/>
        </w:rPr>
        <w:t>《关于印发</w:t>
      </w:r>
      <w:r>
        <w:rPr>
          <w:rFonts w:hint="eastAsia" w:eastAsia="方正仿宋_GBK"/>
          <w:kern w:val="0"/>
          <w:sz w:val="33"/>
          <w:szCs w:val="33"/>
          <w:lang w:eastAsia="zh-CN"/>
        </w:rPr>
        <w:t>〈</w:t>
      </w:r>
      <w:r>
        <w:rPr>
          <w:rFonts w:hint="eastAsia" w:eastAsia="方正仿宋_GBK"/>
          <w:kern w:val="0"/>
          <w:sz w:val="33"/>
          <w:szCs w:val="33"/>
        </w:rPr>
        <w:t>盐边县激励干部人才提升学历教育办法（试行）</w:t>
      </w:r>
      <w:r>
        <w:rPr>
          <w:rFonts w:hint="eastAsia" w:eastAsia="方正仿宋_GBK"/>
          <w:kern w:val="0"/>
          <w:sz w:val="33"/>
          <w:szCs w:val="33"/>
          <w:lang w:eastAsia="zh-CN"/>
        </w:rPr>
        <w:t>〉</w:t>
      </w:r>
      <w:r>
        <w:rPr>
          <w:rFonts w:hint="eastAsia" w:eastAsia="方正仿宋_GBK"/>
          <w:kern w:val="0"/>
          <w:sz w:val="33"/>
          <w:szCs w:val="33"/>
        </w:rPr>
        <w:t>的通知》（盐边组综〔2019〕82号）于2019年12月印发，《办法》规定：县委、县政府全县干部人才参加多种形式的继续教育，对取得国家承认的专科及以上学历（不含脱产学习）的在职村（社区）党组织书记、村（社区）委员会主任、村（社区）文书、村（社区）小组长，以及取得国家承认的硕士研究生及以上学历（不含脱产学习）的乡（镇）和县级部门在编在岗人员，并经县委组织部审核认定的，报销一定比例的学费（</w:t>
      </w:r>
      <w:r>
        <w:rPr>
          <w:rFonts w:hint="eastAsia" w:eastAsia="方正仿宋_GBK"/>
          <w:kern w:val="0"/>
          <w:sz w:val="33"/>
          <w:szCs w:val="33"/>
          <w:lang w:eastAsia="zh-CN"/>
        </w:rPr>
        <w:t>其他费用</w:t>
      </w:r>
      <w:r>
        <w:rPr>
          <w:rFonts w:hint="eastAsia" w:eastAsia="方正仿宋_GBK"/>
          <w:kern w:val="0"/>
          <w:sz w:val="33"/>
          <w:szCs w:val="33"/>
        </w:rPr>
        <w:t>自理）。学费报销比例：一次性报销60%的学费</w:t>
      </w:r>
      <w:r>
        <w:rPr>
          <w:rFonts w:eastAsia="方正仿宋_GBK"/>
          <w:kern w:val="0"/>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（二）项目绩效目标。</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eastAsia="方正仿宋_GBK"/>
          <w:kern w:val="0"/>
          <w:sz w:val="33"/>
          <w:szCs w:val="33"/>
        </w:rPr>
        <w:t>1．项目主要内容</w:t>
      </w:r>
      <w:r>
        <w:rPr>
          <w:rFonts w:hint="eastAsia" w:eastAsia="方正仿宋_GBK"/>
          <w:kern w:val="0"/>
          <w:sz w:val="33"/>
          <w:szCs w:val="33"/>
        </w:rPr>
        <w:t>：为2020年完成继续教育并获得相应毕业证书的干部人才，给予一定的学费补助，鼓励各类在编在职干部人才参加多种形式的学历教育</w:t>
      </w:r>
      <w:r>
        <w:rPr>
          <w:rFonts w:eastAsia="方正仿宋_GBK"/>
          <w:kern w:val="0"/>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eastAsia="方正仿宋_GBK"/>
          <w:kern w:val="0"/>
          <w:sz w:val="33"/>
          <w:szCs w:val="33"/>
        </w:rPr>
        <w:t>2．</w:t>
      </w:r>
      <w:r>
        <w:rPr>
          <w:rFonts w:hint="eastAsia" w:eastAsia="方正仿宋_GBK"/>
          <w:kern w:val="0"/>
          <w:sz w:val="33"/>
          <w:szCs w:val="33"/>
        </w:rPr>
        <w:t>我部对2020年取得专科及以上学历、申请报销学费的干部人才进行了严格审查，共10名干部人才符合报销条件。该项目资金已按照文件规定，转入各干部人才所提供的银行账户。</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eastAsia="方正仿宋_GBK"/>
          <w:kern w:val="0"/>
          <w:sz w:val="33"/>
          <w:szCs w:val="33"/>
        </w:rPr>
        <w:t>3．</w:t>
      </w:r>
      <w:r>
        <w:rPr>
          <w:rFonts w:hint="eastAsia" w:eastAsia="方正仿宋_GBK"/>
          <w:kern w:val="0"/>
          <w:sz w:val="33"/>
          <w:szCs w:val="33"/>
        </w:rPr>
        <w:t>2020年干部人才学历提升学费补助经费均用于干部人才学历提升学费补助工作，按人头计算，切合实际工作需要，申报目标合理可行。</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方正黑体_GBK" w:hAnsi="Times New Roman" w:eastAsia="方正黑体_GBK" w:cs="Times New Roman"/>
          <w:kern w:val="0"/>
          <w:sz w:val="33"/>
          <w:szCs w:val="33"/>
          <w:lang w:val="en-US" w:eastAsia="zh-CN"/>
        </w:rPr>
      </w:pPr>
      <w:r>
        <w:rPr>
          <w:rFonts w:hint="default" w:ascii="方正黑体_GBK" w:hAnsi="Times New Roman" w:eastAsia="方正黑体_GBK" w:cs="Times New Roman"/>
          <w:kern w:val="0"/>
          <w:sz w:val="33"/>
          <w:szCs w:val="33"/>
          <w:lang w:val="en-US" w:eastAsia="zh-CN"/>
        </w:rPr>
        <w:t>二、项目资金申报及使用情况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（一）项目资金申报及批复情况。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hint="eastAsia" w:eastAsia="方正仿宋_GBK"/>
          <w:kern w:val="0"/>
          <w:sz w:val="33"/>
          <w:szCs w:val="33"/>
        </w:rPr>
        <w:t>项目</w:t>
      </w:r>
      <w:r>
        <w:rPr>
          <w:rFonts w:eastAsia="方正仿宋_GBK"/>
          <w:kern w:val="0"/>
          <w:sz w:val="33"/>
          <w:szCs w:val="33"/>
        </w:rPr>
        <w:t>经费由盐边组综[2021]15号申报，由盐财资行[2021]123号批复下拨</w:t>
      </w:r>
      <w:r>
        <w:rPr>
          <w:rFonts w:hint="eastAsia" w:eastAsia="方正仿宋_GBK"/>
          <w:kern w:val="0"/>
          <w:sz w:val="33"/>
          <w:szCs w:val="33"/>
        </w:rPr>
        <w:t>，该项目经费划拨33816</w:t>
      </w:r>
      <w:r>
        <w:rPr>
          <w:rFonts w:eastAsia="方正仿宋_GBK"/>
          <w:kern w:val="0"/>
          <w:sz w:val="33"/>
          <w:szCs w:val="33"/>
        </w:rPr>
        <w:t>元。</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（二）资金计划、到位及使用情况。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eastAsia="方正仿宋_GBK"/>
          <w:kern w:val="0"/>
          <w:sz w:val="33"/>
          <w:szCs w:val="33"/>
        </w:rPr>
        <w:t>1．资金计划。</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hint="eastAsia" w:eastAsia="方正仿宋_GBK"/>
          <w:kern w:val="0"/>
          <w:sz w:val="33"/>
          <w:szCs w:val="33"/>
        </w:rPr>
        <w:t>2020年干部人才学历提升学费补助经费合计33816元由县财政拨付</w:t>
      </w:r>
      <w:r>
        <w:rPr>
          <w:rFonts w:eastAsia="方正仿宋_GBK"/>
          <w:kern w:val="0"/>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eastAsia="方正仿宋_GBK"/>
          <w:kern w:val="0"/>
          <w:sz w:val="33"/>
          <w:szCs w:val="33"/>
        </w:rPr>
        <w:t>2．资金到位。</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hint="eastAsia" w:eastAsia="方正仿宋_GBK"/>
          <w:kern w:val="0"/>
          <w:sz w:val="33"/>
          <w:szCs w:val="33"/>
        </w:rPr>
        <w:t>截至2021年3月底，2020年干部人才学历提升学费补助经费33816元全部到位</w:t>
      </w:r>
      <w:r>
        <w:rPr>
          <w:rFonts w:eastAsia="方正仿宋_GBK"/>
          <w:kern w:val="0"/>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eastAsia="方正仿宋_GBK"/>
          <w:kern w:val="0"/>
          <w:sz w:val="33"/>
          <w:szCs w:val="33"/>
        </w:rPr>
        <w:t>3．资金使用。</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eastAsia="方正仿宋_GBK"/>
          <w:kern w:val="0"/>
          <w:sz w:val="33"/>
          <w:szCs w:val="33"/>
        </w:rPr>
      </w:pPr>
      <w:r>
        <w:rPr>
          <w:rFonts w:hint="eastAsia" w:eastAsia="方正仿宋_GBK"/>
          <w:kern w:val="0"/>
          <w:sz w:val="33"/>
          <w:szCs w:val="33"/>
        </w:rPr>
        <w:t>截至2021年4月，2020年干部人才学历提升学费补助经费33816元均已全部按照文件规定，转至各干部人才账户，无结余。资金支付范围、支付标准、支付进度、支付依据合规合法、与预算相符</w:t>
      </w:r>
      <w:r>
        <w:rPr>
          <w:rFonts w:eastAsia="方正仿宋_GBK"/>
          <w:kern w:val="0"/>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default" w:ascii="Times New Roman" w:hAnsi="Times New Roman" w:eastAsia="方正楷体_GBK" w:cs="Times New Roman"/>
          <w:b/>
          <w:bCs/>
          <w:kern w:val="0"/>
          <w:sz w:val="33"/>
          <w:szCs w:val="33"/>
        </w:rPr>
        <w:t>（三）项目财务管理情况。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hint="eastAsia" w:eastAsia="方正仿宋_GBK"/>
          <w:kern w:val="0"/>
          <w:sz w:val="33"/>
          <w:szCs w:val="33"/>
        </w:rPr>
        <w:t>我部对项目资金的预算，提出具体的项目、目标和实施计划，准确编制项目支出绩效申报表，提供详细的项目支撑依据，切实做到项目资金使用的合理合规，并及时完成会计核算。并在规定的时限内完整、准确</w:t>
      </w:r>
      <w:r>
        <w:rPr>
          <w:rFonts w:hint="eastAsia" w:eastAsia="方正仿宋_GBK"/>
          <w:kern w:val="0"/>
          <w:sz w:val="33"/>
          <w:szCs w:val="33"/>
          <w:lang w:eastAsia="zh-CN"/>
        </w:rPr>
        <w:t>地</w:t>
      </w:r>
      <w:r>
        <w:rPr>
          <w:rFonts w:hint="eastAsia" w:eastAsia="方正仿宋_GBK"/>
          <w:kern w:val="0"/>
          <w:sz w:val="33"/>
          <w:szCs w:val="33"/>
        </w:rPr>
        <w:t>报送到县级财政部门</w:t>
      </w:r>
      <w:r>
        <w:rPr>
          <w:rFonts w:eastAsia="方正仿宋_GBK"/>
          <w:kern w:val="0"/>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方正黑体_GBK" w:hAnsi="Times New Roman" w:eastAsia="方正黑体_GBK" w:cs="Times New Roman"/>
          <w:kern w:val="0"/>
          <w:sz w:val="33"/>
          <w:szCs w:val="33"/>
          <w:lang w:val="en-US" w:eastAsia="zh-CN"/>
        </w:rPr>
      </w:pPr>
      <w:r>
        <w:rPr>
          <w:rFonts w:hint="default" w:ascii="方正黑体_GBK" w:hAnsi="Times New Roman" w:eastAsia="方正黑体_GBK" w:cs="Times New Roman"/>
          <w:kern w:val="0"/>
          <w:sz w:val="33"/>
          <w:szCs w:val="33"/>
          <w:lang w:val="en-US" w:eastAsia="zh-CN"/>
        </w:rPr>
        <w:t>三、项目实施及管理情况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eastAsia="方正仿宋_GBK"/>
          <w:kern w:val="0"/>
          <w:sz w:val="33"/>
          <w:szCs w:val="33"/>
        </w:rPr>
        <w:t>结合项目组织实施管理办法，重点围绕以下内容进行分析评价，并对自评中发现的问题分析说明。</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default" w:ascii="Times New Roman" w:hAnsi="Times New Roman" w:eastAsia="方正楷体_GBK" w:cs="Times New Roman"/>
          <w:b/>
          <w:bCs/>
          <w:kern w:val="0"/>
          <w:sz w:val="33"/>
          <w:szCs w:val="33"/>
        </w:rPr>
      </w:pPr>
      <w:r>
        <w:rPr>
          <w:rFonts w:hint="eastAsia" w:ascii="Times New Roman" w:hAnsi="Times New Roman" w:eastAsia="方正楷体_GBK" w:cs="Times New Roman"/>
          <w:b/>
          <w:bCs/>
          <w:kern w:val="0"/>
          <w:sz w:val="33"/>
          <w:szCs w:val="33"/>
          <w:lang w:eastAsia="zh-CN"/>
        </w:rPr>
        <w:t>（</w:t>
      </w:r>
      <w:r>
        <w:rPr>
          <w:rFonts w:hint="eastAsia" w:ascii="Times New Roman" w:hAnsi="Times New Roman" w:eastAsia="方正楷体_GBK" w:cs="Times New Roman"/>
          <w:b/>
          <w:bCs/>
          <w:kern w:val="0"/>
          <w:sz w:val="33"/>
          <w:szCs w:val="33"/>
          <w:lang w:val="en-US" w:eastAsia="zh-CN"/>
        </w:rPr>
        <w:t>一</w:t>
      </w:r>
      <w:r>
        <w:rPr>
          <w:rFonts w:hint="eastAsia" w:ascii="Times New Roman" w:hAnsi="Times New Roman" w:eastAsia="方正楷体_GBK" w:cs="Times New Roman"/>
          <w:b/>
          <w:bCs/>
          <w:kern w:val="0"/>
          <w:sz w:val="33"/>
          <w:szCs w:val="33"/>
          <w:lang w:eastAsia="zh-CN"/>
        </w:rPr>
        <w:t>）</w:t>
      </w:r>
      <w:r>
        <w:rPr>
          <w:rFonts w:hint="default" w:ascii="Times New Roman" w:hAnsi="Times New Roman" w:eastAsia="方正楷体_GBK" w:cs="Times New Roman"/>
          <w:b/>
          <w:bCs/>
          <w:kern w:val="0"/>
          <w:sz w:val="33"/>
          <w:szCs w:val="33"/>
        </w:rPr>
        <w:t>项目组织架构及实施流程。</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eastAsia" w:eastAsia="方正仿宋_GBK"/>
          <w:kern w:val="0"/>
          <w:sz w:val="33"/>
          <w:szCs w:val="33"/>
        </w:rPr>
      </w:pPr>
      <w:r>
        <w:rPr>
          <w:rFonts w:eastAsia="方正仿宋_GBK"/>
          <w:kern w:val="0"/>
          <w:sz w:val="33"/>
          <w:szCs w:val="33"/>
        </w:rPr>
        <w:t>2020年干部人才学历提升学费补助经费</w:t>
      </w:r>
      <w:r>
        <w:rPr>
          <w:rFonts w:hint="eastAsia" w:eastAsia="方正仿宋_GBK"/>
          <w:kern w:val="0"/>
          <w:sz w:val="33"/>
          <w:szCs w:val="33"/>
        </w:rPr>
        <w:t>申报工作由县委组织部人才股开展，由干部人才携带身份证、学费发票、银行卡、学籍档案、毕业证书等证件复印件至县委组织部，经审核、报县委组织部部务会通过后，安排学历提升补助经费。</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Times New Roman" w:hAnsi="Times New Roman" w:eastAsia="方正楷体_GBK" w:cs="Times New Roman"/>
          <w:b/>
          <w:bCs/>
          <w:kern w:val="0"/>
          <w:sz w:val="33"/>
          <w:szCs w:val="33"/>
          <w:lang w:eastAsia="zh-CN"/>
        </w:rPr>
      </w:pPr>
      <w:r>
        <w:rPr>
          <w:rFonts w:hint="eastAsia" w:ascii="Times New Roman" w:hAnsi="Times New Roman" w:eastAsia="方正楷体_GBK" w:cs="Times New Roman"/>
          <w:b/>
          <w:bCs/>
          <w:kern w:val="0"/>
          <w:sz w:val="33"/>
          <w:szCs w:val="33"/>
          <w:lang w:eastAsia="zh-CN"/>
        </w:rPr>
        <w:t>（</w:t>
      </w:r>
      <w:r>
        <w:rPr>
          <w:rFonts w:hint="eastAsia" w:ascii="Times New Roman" w:hAnsi="Times New Roman" w:eastAsia="方正楷体_GBK" w:cs="Times New Roman"/>
          <w:b/>
          <w:bCs/>
          <w:kern w:val="0"/>
          <w:sz w:val="33"/>
          <w:szCs w:val="33"/>
          <w:lang w:val="en-US" w:eastAsia="zh-CN"/>
        </w:rPr>
        <w:t>二</w:t>
      </w:r>
      <w:r>
        <w:rPr>
          <w:rFonts w:hint="eastAsia" w:ascii="Times New Roman" w:hAnsi="Times New Roman" w:eastAsia="方正楷体_GBK" w:cs="Times New Roman"/>
          <w:b/>
          <w:bCs/>
          <w:kern w:val="0"/>
          <w:sz w:val="33"/>
          <w:szCs w:val="33"/>
          <w:lang w:eastAsia="zh-CN"/>
        </w:rPr>
        <w:t>）项目监管情况。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eastAsia="方正仿宋_GBK"/>
          <w:kern w:val="0"/>
          <w:sz w:val="33"/>
          <w:szCs w:val="33"/>
        </w:rPr>
        <w:t>2021</w:t>
      </w:r>
      <w:r>
        <w:rPr>
          <w:rFonts w:hint="eastAsia" w:eastAsia="方正仿宋_GBK"/>
          <w:kern w:val="0"/>
          <w:sz w:val="33"/>
          <w:szCs w:val="33"/>
          <w:lang w:eastAsia="zh-CN"/>
        </w:rPr>
        <w:t>年年中</w:t>
      </w:r>
      <w:r>
        <w:rPr>
          <w:rFonts w:hint="eastAsia" w:eastAsia="方正仿宋_GBK"/>
          <w:kern w:val="0"/>
          <w:sz w:val="33"/>
          <w:szCs w:val="33"/>
        </w:rPr>
        <w:t>，依次向各干部人才致电，确认</w:t>
      </w:r>
      <w:r>
        <w:rPr>
          <w:rFonts w:eastAsia="方正仿宋_GBK"/>
          <w:kern w:val="0"/>
          <w:sz w:val="33"/>
          <w:szCs w:val="33"/>
        </w:rPr>
        <w:t>补助经费</w:t>
      </w:r>
      <w:r>
        <w:rPr>
          <w:rFonts w:hint="eastAsia" w:eastAsia="方正仿宋_GBK"/>
          <w:kern w:val="0"/>
          <w:sz w:val="33"/>
          <w:szCs w:val="33"/>
        </w:rPr>
        <w:t>到账，确保2020年干部人才学历提升学费补助工作顺利完成</w:t>
      </w:r>
      <w:r>
        <w:rPr>
          <w:rFonts w:eastAsia="方正仿宋_GBK"/>
          <w:kern w:val="0"/>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方正黑体_GBK" w:hAnsi="Times New Roman" w:eastAsia="方正黑体_GBK" w:cs="Times New Roman"/>
          <w:kern w:val="0"/>
          <w:sz w:val="33"/>
          <w:szCs w:val="33"/>
          <w:lang w:val="en-US" w:eastAsia="zh-CN"/>
        </w:rPr>
      </w:pPr>
      <w:r>
        <w:rPr>
          <w:rFonts w:hint="default" w:ascii="方正黑体_GBK" w:hAnsi="Times New Roman" w:eastAsia="方正黑体_GBK" w:cs="Times New Roman"/>
          <w:kern w:val="0"/>
          <w:sz w:val="33"/>
          <w:szCs w:val="33"/>
          <w:lang w:val="en-US" w:eastAsia="zh-CN"/>
        </w:rPr>
        <w:t>四、项目绩效情况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Times New Roman" w:hAnsi="Times New Roman" w:eastAsia="方正楷体_GBK" w:cs="Times New Roman"/>
          <w:b/>
          <w:bCs/>
          <w:kern w:val="0"/>
          <w:sz w:val="33"/>
          <w:szCs w:val="33"/>
          <w:lang w:eastAsia="zh-CN"/>
        </w:rPr>
      </w:pPr>
      <w:r>
        <w:rPr>
          <w:rFonts w:hint="eastAsia" w:ascii="Times New Roman" w:hAnsi="Times New Roman" w:eastAsia="方正楷体_GBK" w:cs="Times New Roman"/>
          <w:b/>
          <w:bCs/>
          <w:kern w:val="0"/>
          <w:sz w:val="33"/>
          <w:szCs w:val="33"/>
          <w:lang w:eastAsia="zh-CN"/>
        </w:rPr>
        <w:t>（一）项目完成情况。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hint="eastAsia" w:eastAsia="方正仿宋_GBK"/>
          <w:kern w:val="0"/>
          <w:sz w:val="33"/>
          <w:szCs w:val="33"/>
        </w:rPr>
        <w:t>2020年干部人才学历提升学费补助经费申报工作由县委组织部人才股开展，严格按照文件要求，依照流程为符合条件的1</w:t>
      </w:r>
      <w:r>
        <w:rPr>
          <w:rFonts w:eastAsia="方正仿宋_GBK"/>
          <w:kern w:val="0"/>
          <w:sz w:val="33"/>
          <w:szCs w:val="33"/>
        </w:rPr>
        <w:t>0</w:t>
      </w:r>
      <w:r>
        <w:rPr>
          <w:rFonts w:hint="eastAsia" w:eastAsia="方正仿宋_GBK"/>
          <w:kern w:val="0"/>
          <w:sz w:val="33"/>
          <w:szCs w:val="33"/>
        </w:rPr>
        <w:t>名干部人才完成学历提升学费报销工作。</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Times New Roman" w:hAnsi="Times New Roman" w:eastAsia="方正楷体_GBK" w:cs="Times New Roman"/>
          <w:b/>
          <w:bCs/>
          <w:kern w:val="0"/>
          <w:sz w:val="33"/>
          <w:szCs w:val="33"/>
          <w:lang w:eastAsia="zh-CN"/>
        </w:rPr>
      </w:pPr>
      <w:r>
        <w:rPr>
          <w:rFonts w:hint="eastAsia" w:ascii="Times New Roman" w:hAnsi="Times New Roman" w:eastAsia="方正楷体_GBK" w:cs="Times New Roman"/>
          <w:b/>
          <w:bCs/>
          <w:kern w:val="0"/>
          <w:sz w:val="33"/>
          <w:szCs w:val="33"/>
          <w:lang w:eastAsia="zh-CN"/>
        </w:rPr>
        <w:t>（二）项目效益情况。</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hint="eastAsia" w:eastAsia="方正仿宋_GBK"/>
          <w:kern w:val="0"/>
          <w:sz w:val="33"/>
          <w:szCs w:val="33"/>
        </w:rPr>
        <w:t>各干部人才如期获得学历提升学费补助，全县干部人才参与继续教育积极性提高，进一步体现对干部人才的关心关爱</w:t>
      </w:r>
      <w:r>
        <w:rPr>
          <w:rFonts w:eastAsia="方正仿宋_GBK"/>
          <w:kern w:val="0"/>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hint="default" w:ascii="方正黑体_GBK" w:hAnsi="Times New Roman" w:eastAsia="方正黑体_GBK" w:cs="Times New Roman"/>
          <w:kern w:val="0"/>
          <w:sz w:val="33"/>
          <w:szCs w:val="33"/>
          <w:lang w:val="en-US" w:eastAsia="zh-CN"/>
        </w:rPr>
      </w:pPr>
      <w:r>
        <w:rPr>
          <w:rFonts w:hint="default" w:ascii="方正黑体_GBK" w:hAnsi="Times New Roman" w:eastAsia="方正黑体_GBK" w:cs="Times New Roman"/>
          <w:kern w:val="0"/>
          <w:sz w:val="33"/>
          <w:szCs w:val="33"/>
          <w:lang w:val="en-US" w:eastAsia="zh-CN"/>
        </w:rPr>
        <w:t>五、评价结论及建议</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Times New Roman" w:hAnsi="Times New Roman" w:eastAsia="方正楷体_GBK" w:cs="Times New Roman"/>
          <w:b/>
          <w:bCs/>
          <w:kern w:val="0"/>
          <w:sz w:val="33"/>
          <w:szCs w:val="33"/>
          <w:lang w:eastAsia="zh-CN"/>
        </w:rPr>
      </w:pPr>
      <w:r>
        <w:rPr>
          <w:rFonts w:hint="eastAsia" w:ascii="Times New Roman" w:hAnsi="Times New Roman" w:eastAsia="方正楷体_GBK" w:cs="Times New Roman"/>
          <w:b/>
          <w:bCs/>
          <w:kern w:val="0"/>
          <w:sz w:val="33"/>
          <w:szCs w:val="33"/>
          <w:lang w:eastAsia="zh-CN"/>
        </w:rPr>
        <w:t>（一）评价结论。</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hint="eastAsia" w:eastAsia="方正仿宋_GBK"/>
          <w:kern w:val="0"/>
          <w:sz w:val="33"/>
          <w:szCs w:val="33"/>
        </w:rPr>
        <w:t>项目推动井然有序、资金使用严格按照有关办法执行，项目综合绩效评价优</w:t>
      </w:r>
      <w:r>
        <w:rPr>
          <w:rFonts w:eastAsia="方正仿宋_GBK"/>
          <w:kern w:val="0"/>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Times New Roman" w:hAnsi="Times New Roman" w:eastAsia="方正楷体_GBK" w:cs="Times New Roman"/>
          <w:b/>
          <w:bCs/>
          <w:kern w:val="0"/>
          <w:sz w:val="33"/>
          <w:szCs w:val="33"/>
          <w:lang w:eastAsia="zh-CN"/>
        </w:rPr>
      </w:pPr>
      <w:r>
        <w:rPr>
          <w:rFonts w:hint="eastAsia" w:ascii="Times New Roman" w:hAnsi="Times New Roman" w:eastAsia="方正楷体_GBK" w:cs="Times New Roman"/>
          <w:b/>
          <w:bCs/>
          <w:kern w:val="0"/>
          <w:sz w:val="33"/>
          <w:szCs w:val="33"/>
          <w:lang w:eastAsia="zh-CN"/>
        </w:rPr>
        <w:t>（二）存在的问题。</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hint="eastAsia" w:eastAsia="方正仿宋_GBK"/>
          <w:kern w:val="0"/>
          <w:sz w:val="33"/>
          <w:szCs w:val="33"/>
        </w:rPr>
        <w:t>无</w:t>
      </w:r>
      <w:r>
        <w:rPr>
          <w:rFonts w:eastAsia="方正仿宋_GBK"/>
          <w:kern w:val="0"/>
          <w:sz w:val="33"/>
          <w:szCs w:val="33"/>
        </w:rPr>
        <w:t>。</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3" w:firstLineChars="200"/>
        <w:jc w:val="both"/>
        <w:textAlignment w:val="auto"/>
        <w:outlineLvl w:val="9"/>
        <w:rPr>
          <w:rFonts w:hint="eastAsia" w:ascii="Times New Roman" w:hAnsi="Times New Roman" w:eastAsia="方正楷体_GBK" w:cs="Times New Roman"/>
          <w:b/>
          <w:bCs/>
          <w:kern w:val="0"/>
          <w:sz w:val="33"/>
          <w:szCs w:val="33"/>
          <w:lang w:eastAsia="zh-CN"/>
        </w:rPr>
      </w:pPr>
      <w:r>
        <w:rPr>
          <w:rFonts w:hint="eastAsia" w:ascii="Times New Roman" w:hAnsi="Times New Roman" w:eastAsia="方正楷体_GBK" w:cs="Times New Roman"/>
          <w:b/>
          <w:bCs/>
          <w:kern w:val="0"/>
          <w:sz w:val="33"/>
          <w:szCs w:val="33"/>
          <w:lang w:eastAsia="zh-CN"/>
        </w:rPr>
        <w:t>（三）相关建议。</w:t>
      </w:r>
    </w:p>
    <w:p>
      <w:pPr>
        <w:keepNext w:val="0"/>
        <w:keepLines w:val="0"/>
        <w:pageBreakBefore w:val="0"/>
        <w:widowControl w:val="0"/>
        <w:kinsoku/>
        <w:wordWrap/>
        <w:overflowPunct/>
        <w:topLinePunct w:val="0"/>
        <w:autoSpaceDE w:val="0"/>
        <w:autoSpaceDN w:val="0"/>
        <w:bidi w:val="0"/>
        <w:adjustRightInd w:val="0"/>
        <w:snapToGrid/>
        <w:spacing w:line="240" w:lineRule="auto"/>
        <w:ind w:firstLine="660" w:firstLineChars="200"/>
        <w:jc w:val="both"/>
        <w:textAlignment w:val="auto"/>
        <w:outlineLvl w:val="9"/>
        <w:rPr>
          <w:rFonts w:eastAsia="方正仿宋_GBK"/>
          <w:kern w:val="0"/>
          <w:sz w:val="33"/>
          <w:szCs w:val="33"/>
        </w:rPr>
      </w:pPr>
      <w:r>
        <w:rPr>
          <w:rFonts w:hint="eastAsia" w:eastAsia="方正仿宋_GBK"/>
          <w:kern w:val="0"/>
          <w:sz w:val="33"/>
          <w:szCs w:val="33"/>
        </w:rPr>
        <w:t>无</w:t>
      </w:r>
      <w:r>
        <w:rPr>
          <w:rFonts w:eastAsia="方正仿宋_GBK"/>
          <w:kern w:val="0"/>
          <w:sz w:val="33"/>
          <w:szCs w:val="33"/>
        </w:rPr>
        <w:t>。</w:t>
      </w:r>
    </w:p>
    <w:p>
      <w:pPr>
        <w:pStyle w:val="2"/>
        <w:rPr>
          <w:rFonts w:hint="eastAsia" w:ascii="Times New Roman" w:hAnsi="Times New Roman" w:eastAsia="仿宋_GB2312"/>
          <w:kern w:val="0"/>
          <w:sz w:val="32"/>
          <w:szCs w:val="24"/>
          <w:lang w:val="en-US" w:eastAsia="zh-CN"/>
        </w:rPr>
      </w:pPr>
    </w:p>
    <w:p>
      <w:pPr>
        <w:pStyle w:val="6"/>
        <w:outlineLvl w:val="9"/>
      </w:pPr>
      <w:r>
        <w:rPr>
          <w:rFonts w:hint="eastAsia" w:ascii="Times New Roman" w:hAnsi="Times New Roman" w:eastAsia="仿宋_GB2312"/>
          <w:kern w:val="0"/>
          <w:sz w:val="32"/>
          <w:szCs w:val="24"/>
          <w:lang w:val="en-US" w:eastAsia="zh-CN"/>
        </w:rPr>
        <w:t>附表</w:t>
      </w:r>
      <w:r>
        <w:rPr>
          <w:rFonts w:hint="eastAsia" w:eastAsia="仿宋_GB2312"/>
          <w:kern w:val="0"/>
          <w:sz w:val="32"/>
          <w:szCs w:val="24"/>
          <w:lang w:val="en-US" w:eastAsia="zh-CN"/>
        </w:rPr>
        <w:t>1：</w:t>
      </w:r>
    </w:p>
    <w:tbl>
      <w:tblPr>
        <w:tblStyle w:val="14"/>
        <w:tblpPr w:leftFromText="180" w:rightFromText="180" w:vertAnchor="text" w:horzAnchor="page" w:tblpX="1303" w:tblpY="197"/>
        <w:tblOverlap w:val="never"/>
        <w:tblW w:w="9958" w:type="dxa"/>
        <w:tblInd w:w="0" w:type="dxa"/>
        <w:tblLayout w:type="fixed"/>
        <w:tblCellMar>
          <w:top w:w="0" w:type="dxa"/>
          <w:left w:w="108" w:type="dxa"/>
          <w:bottom w:w="0" w:type="dxa"/>
          <w:right w:w="108" w:type="dxa"/>
        </w:tblCellMar>
      </w:tblPr>
      <w:tblGrid>
        <w:gridCol w:w="1431"/>
        <w:gridCol w:w="1337"/>
        <w:gridCol w:w="1323"/>
        <w:gridCol w:w="2209"/>
        <w:gridCol w:w="1622"/>
        <w:gridCol w:w="1800"/>
        <w:gridCol w:w="236"/>
      </w:tblGrid>
      <w:tr>
        <w:tblPrEx>
          <w:tblCellMar>
            <w:top w:w="0" w:type="dxa"/>
            <w:left w:w="108" w:type="dxa"/>
            <w:bottom w:w="0" w:type="dxa"/>
            <w:right w:w="108" w:type="dxa"/>
          </w:tblCellMar>
        </w:tblPrEx>
        <w:trPr>
          <w:trHeight w:val="675" w:hRule="atLeast"/>
        </w:trPr>
        <w:tc>
          <w:tcPr>
            <w:tcW w:w="9722" w:type="dxa"/>
            <w:gridSpan w:val="6"/>
            <w:tcBorders>
              <w:top w:val="nil"/>
              <w:left w:val="nil"/>
              <w:bottom w:val="nil"/>
              <w:right w:val="nil"/>
            </w:tcBorders>
            <w:shd w:val="clear" w:color="auto" w:fill="auto"/>
            <w:vAlign w:val="center"/>
          </w:tcPr>
          <w:p>
            <w:pPr>
              <w:widowControl/>
              <w:jc w:val="center"/>
              <w:textAlignment w:val="center"/>
              <w:outlineLvl w:val="9"/>
              <w:rPr>
                <w:rFonts w:hint="eastAsia" w:ascii="宋体" w:hAnsi="宋体" w:eastAsia="宋体" w:cs="宋体"/>
                <w:b/>
                <w:sz w:val="32"/>
                <w:szCs w:val="32"/>
                <w:lang w:val="en-US" w:eastAsia="zh-CN"/>
              </w:rPr>
            </w:pPr>
            <w:r>
              <w:rPr>
                <w:rFonts w:hint="eastAsia" w:ascii="宋体" w:hAnsi="宋体" w:cs="宋体"/>
                <w:b/>
                <w:sz w:val="32"/>
                <w:szCs w:val="32"/>
              </w:rPr>
              <w:t>盐边县关心下一代工作委员会2021年专项工作</w:t>
            </w:r>
            <w:r>
              <w:rPr>
                <w:rFonts w:hint="eastAsia" w:ascii="宋体" w:hAnsi="宋体" w:cs="宋体"/>
                <w:b/>
                <w:sz w:val="32"/>
                <w:szCs w:val="32"/>
                <w:lang w:val="en-US" w:eastAsia="zh-CN"/>
              </w:rPr>
              <w:t>经费</w:t>
            </w:r>
            <w:r>
              <w:rPr>
                <w:rFonts w:hint="eastAsia" w:ascii="宋体" w:hAnsi="宋体" w:cs="宋体"/>
                <w:b/>
                <w:sz w:val="32"/>
                <w:szCs w:val="32"/>
              </w:rPr>
              <w:t>绩效自评</w:t>
            </w:r>
          </w:p>
        </w:tc>
        <w:tc>
          <w:tcPr>
            <w:tcW w:w="236" w:type="dxa"/>
            <w:tcBorders>
              <w:top w:val="nil"/>
              <w:left w:val="nil"/>
              <w:bottom w:val="nil"/>
              <w:right w:val="nil"/>
            </w:tcBorders>
            <w:shd w:val="clear" w:color="auto" w:fill="auto"/>
            <w:vAlign w:val="center"/>
          </w:tcPr>
          <w:p>
            <w:pPr>
              <w:widowControl/>
              <w:jc w:val="center"/>
              <w:textAlignment w:val="center"/>
              <w:outlineLvl w:val="9"/>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27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宋体" w:hAnsi="宋体" w:cs="宋体"/>
                <w:sz w:val="24"/>
              </w:rPr>
            </w:pPr>
            <w:r>
              <w:rPr>
                <w:rFonts w:hint="eastAsia" w:ascii="宋体" w:hAnsi="宋体" w:cs="宋体"/>
                <w:kern w:val="0"/>
                <w:sz w:val="24"/>
              </w:rPr>
              <w:t>主管部门及代码</w:t>
            </w:r>
          </w:p>
        </w:tc>
        <w:tc>
          <w:tcPr>
            <w:tcW w:w="35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outlineLvl w:val="9"/>
              <w:rPr>
                <w:rFonts w:hint="default" w:ascii="宋体" w:hAnsi="宋体" w:eastAsia="宋体" w:cs="宋体"/>
                <w:sz w:val="24"/>
                <w:lang w:val="en-US" w:eastAsia="zh-CN"/>
              </w:rPr>
            </w:pPr>
            <w:r>
              <w:rPr>
                <w:rFonts w:hint="eastAsia" w:ascii="宋体" w:hAnsi="宋体" w:cs="宋体"/>
                <w:sz w:val="24"/>
                <w:lang w:val="en-US" w:eastAsia="zh-CN"/>
              </w:rPr>
              <w:t>盐边县委组织部  207001</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宋体" w:hAnsi="宋体" w:cs="宋体"/>
                <w:sz w:val="24"/>
              </w:rPr>
            </w:pPr>
            <w:r>
              <w:rPr>
                <w:rFonts w:hint="eastAsia" w:ascii="宋体" w:hAnsi="宋体" w:cs="宋体"/>
                <w:kern w:val="0"/>
                <w:sz w:val="24"/>
              </w:rPr>
              <w:t>实施单位</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hint="eastAsia" w:ascii="宋体" w:hAnsi="宋体" w:eastAsia="宋体" w:cs="宋体"/>
                <w:sz w:val="24"/>
                <w:lang w:eastAsia="zh-CN"/>
              </w:rPr>
            </w:pPr>
            <w:r>
              <w:rPr>
                <w:rFonts w:hint="eastAsia" w:ascii="宋体" w:hAnsi="宋体" w:cs="宋体"/>
                <w:sz w:val="24"/>
                <w:lang w:val="en-US" w:eastAsia="zh-CN"/>
              </w:rPr>
              <w:t>盐边县关工委</w:t>
            </w:r>
          </w:p>
        </w:tc>
      </w:tr>
      <w:tr>
        <w:tblPrEx>
          <w:tblCellMar>
            <w:top w:w="0" w:type="dxa"/>
            <w:left w:w="108" w:type="dxa"/>
            <w:bottom w:w="0" w:type="dxa"/>
            <w:right w:w="108" w:type="dxa"/>
          </w:tblCellMar>
        </w:tblPrEx>
        <w:trPr>
          <w:gridAfter w:val="1"/>
          <w:wAfter w:w="236" w:type="dxa"/>
          <w:trHeight w:val="314" w:hRule="atLeast"/>
        </w:trPr>
        <w:tc>
          <w:tcPr>
            <w:tcW w:w="27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outlineLvl w:val="9"/>
              <w:rPr>
                <w:rFonts w:ascii="宋体" w:hAnsi="宋体" w:cs="宋体"/>
                <w:sz w:val="24"/>
              </w:rPr>
            </w:pPr>
            <w:r>
              <w:rPr>
                <w:rFonts w:hint="eastAsia" w:ascii="宋体" w:hAnsi="宋体" w:cs="宋体"/>
                <w:kern w:val="0"/>
                <w:sz w:val="24"/>
              </w:rPr>
              <w:t xml:space="preserve"> 预算数：</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outlineLvl w:val="9"/>
              <w:rPr>
                <w:rFonts w:hint="default" w:ascii="宋体" w:hAnsi="宋体" w:eastAsia="宋体" w:cs="宋体"/>
                <w:sz w:val="24"/>
                <w:lang w:val="en-US" w:eastAsia="zh-CN"/>
              </w:rPr>
            </w:pPr>
            <w:r>
              <w:rPr>
                <w:rFonts w:hint="eastAsia" w:ascii="宋体" w:hAnsi="宋体" w:cs="宋体"/>
                <w:sz w:val="24"/>
                <w:lang w:val="en-US" w:eastAsia="zh-CN"/>
              </w:rPr>
              <w:t>26.0945</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outlineLvl w:val="9"/>
              <w:rPr>
                <w:rFonts w:ascii="宋体" w:hAnsi="宋体" w:cs="宋体"/>
                <w:sz w:val="24"/>
              </w:rPr>
            </w:pPr>
            <w:r>
              <w:rPr>
                <w:rFonts w:hint="eastAsia" w:ascii="宋体" w:hAnsi="宋体" w:cs="宋体"/>
                <w:kern w:val="0"/>
                <w:sz w:val="24"/>
              </w:rPr>
              <w:t xml:space="preserve"> 执行数：</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hint="default" w:ascii="宋体" w:hAnsi="宋体" w:eastAsia="宋体" w:cs="宋体"/>
                <w:sz w:val="24"/>
                <w:lang w:val="en-US" w:eastAsia="zh-CN"/>
              </w:rPr>
            </w:pPr>
            <w:r>
              <w:rPr>
                <w:rFonts w:hint="eastAsia" w:ascii="宋体" w:hAnsi="宋体" w:cs="宋体"/>
                <w:sz w:val="24"/>
                <w:lang w:val="en-US" w:eastAsia="zh-CN"/>
              </w:rPr>
              <w:t>26.0945</w:t>
            </w:r>
          </w:p>
        </w:tc>
      </w:tr>
      <w:tr>
        <w:tblPrEx>
          <w:tblCellMar>
            <w:top w:w="0" w:type="dxa"/>
            <w:left w:w="108" w:type="dxa"/>
            <w:bottom w:w="0" w:type="dxa"/>
            <w:right w:w="108" w:type="dxa"/>
          </w:tblCellMar>
        </w:tblPrEx>
        <w:trPr>
          <w:gridAfter w:val="1"/>
          <w:wAfter w:w="236" w:type="dxa"/>
          <w:trHeight w:val="380" w:hRule="atLeast"/>
        </w:trPr>
        <w:tc>
          <w:tcPr>
            <w:tcW w:w="27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宋体" w:hAnsi="宋体" w:cs="宋体"/>
                <w:sz w:val="24"/>
              </w:rPr>
            </w:pP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outlineLvl w:val="9"/>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outlineLvl w:val="9"/>
              <w:rPr>
                <w:rFonts w:ascii="宋体" w:hAnsi="宋体" w:cs="宋体"/>
                <w:sz w:val="24"/>
              </w:rPr>
            </w:pPr>
            <w:r>
              <w:rPr>
                <w:rFonts w:hint="eastAsia" w:ascii="宋体" w:hAnsi="宋体" w:cs="宋体"/>
                <w:kern w:val="0"/>
                <w:sz w:val="24"/>
              </w:rPr>
              <w:t>财政拨款</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outlineLvl w:val="9"/>
              <w:rPr>
                <w:rFonts w:hint="default" w:ascii="宋体" w:hAnsi="宋体" w:eastAsia="宋体" w:cs="宋体"/>
                <w:sz w:val="24"/>
                <w:lang w:val="en-US" w:eastAsia="zh-CN"/>
              </w:rPr>
            </w:pPr>
            <w:r>
              <w:rPr>
                <w:rFonts w:hint="eastAsia" w:ascii="宋体" w:hAnsi="宋体" w:cs="宋体"/>
                <w:sz w:val="24"/>
                <w:lang w:val="en-US" w:eastAsia="zh-CN"/>
              </w:rPr>
              <w:t>26.0945</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outlineLvl w:val="9"/>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outlineLvl w:val="9"/>
              <w:rPr>
                <w:rFonts w:ascii="宋体" w:hAnsi="宋体" w:cs="宋体"/>
                <w:sz w:val="24"/>
              </w:rPr>
            </w:pPr>
            <w:r>
              <w:rPr>
                <w:rFonts w:hint="eastAsia" w:ascii="宋体" w:hAnsi="宋体" w:cs="宋体"/>
                <w:kern w:val="0"/>
                <w:sz w:val="24"/>
              </w:rPr>
              <w:t>财政拨款</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ind w:firstLine="240" w:firstLineChars="100"/>
              <w:textAlignment w:val="center"/>
              <w:outlineLvl w:val="9"/>
              <w:rPr>
                <w:rFonts w:hint="default" w:ascii="宋体" w:hAnsi="宋体" w:eastAsia="宋体" w:cs="宋体"/>
                <w:sz w:val="24"/>
                <w:lang w:val="en-US" w:eastAsia="zh-CN"/>
              </w:rPr>
            </w:pPr>
            <w:r>
              <w:rPr>
                <w:rFonts w:hint="eastAsia" w:ascii="宋体" w:hAnsi="宋体" w:cs="宋体"/>
                <w:sz w:val="24"/>
                <w:lang w:val="en-US" w:eastAsia="zh-CN"/>
              </w:rPr>
              <w:t>26.0945</w:t>
            </w:r>
          </w:p>
        </w:tc>
      </w:tr>
      <w:tr>
        <w:tblPrEx>
          <w:tblCellMar>
            <w:top w:w="0" w:type="dxa"/>
            <w:left w:w="108" w:type="dxa"/>
            <w:bottom w:w="0" w:type="dxa"/>
            <w:right w:w="108" w:type="dxa"/>
          </w:tblCellMar>
        </w:tblPrEx>
        <w:trPr>
          <w:gridAfter w:val="1"/>
          <w:wAfter w:w="236" w:type="dxa"/>
          <w:trHeight w:val="90" w:hRule="atLeast"/>
        </w:trPr>
        <w:tc>
          <w:tcPr>
            <w:tcW w:w="27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宋体" w:hAnsi="宋体" w:cs="宋体"/>
                <w:sz w:val="24"/>
              </w:rPr>
            </w:pP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outlineLvl w:val="9"/>
              <w:rPr>
                <w:rFonts w:ascii="宋体" w:hAnsi="宋体" w:cs="宋体"/>
                <w:sz w:val="24"/>
              </w:rPr>
            </w:pPr>
            <w:r>
              <w:rPr>
                <w:rFonts w:hint="eastAsia" w:ascii="宋体" w:hAnsi="宋体" w:cs="宋体"/>
                <w:kern w:val="0"/>
                <w:sz w:val="24"/>
              </w:rPr>
              <w:t>其他资金</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outlineLvl w:val="9"/>
              <w:rPr>
                <w:rFonts w:ascii="宋体" w:hAnsi="宋体" w:cs="宋体"/>
                <w:sz w:val="24"/>
              </w:rPr>
            </w:pP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outlineLvl w:val="9"/>
              <w:rPr>
                <w:rFonts w:ascii="宋体" w:hAnsi="宋体" w:cs="宋体"/>
                <w:sz w:val="24"/>
              </w:rPr>
            </w:pPr>
            <w:r>
              <w:rPr>
                <w:rFonts w:hint="eastAsia" w:ascii="宋体" w:hAnsi="宋体" w:cs="宋体"/>
                <w:kern w:val="0"/>
                <w:sz w:val="24"/>
              </w:rPr>
              <w:t>其他资金</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4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outlineLvl w:val="9"/>
              <w:rPr>
                <w:rFonts w:ascii="宋体" w:hAnsi="宋体" w:cs="宋体"/>
                <w:sz w:val="24"/>
              </w:rPr>
            </w:pPr>
            <w:r>
              <w:rPr>
                <w:rFonts w:hint="eastAsia" w:ascii="宋体" w:hAnsi="宋体" w:cs="宋体"/>
                <w:kern w:val="0"/>
                <w:sz w:val="24"/>
              </w:rPr>
              <w:t>完成情况</w:t>
            </w:r>
          </w:p>
        </w:tc>
        <w:tc>
          <w:tcPr>
            <w:tcW w:w="48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宋体" w:hAnsi="宋体" w:cs="宋体"/>
                <w:sz w:val="24"/>
              </w:rPr>
            </w:pPr>
            <w:r>
              <w:rPr>
                <w:rFonts w:hint="eastAsia" w:ascii="宋体" w:hAnsi="宋体" w:cs="宋体"/>
                <w:kern w:val="0"/>
                <w:sz w:val="24"/>
              </w:rPr>
              <w:t>预期目标</w:t>
            </w:r>
          </w:p>
        </w:tc>
        <w:tc>
          <w:tcPr>
            <w:tcW w:w="34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4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宋体" w:hAnsi="宋体" w:cs="宋体"/>
                <w:sz w:val="24"/>
              </w:rPr>
            </w:pPr>
          </w:p>
        </w:tc>
        <w:tc>
          <w:tcPr>
            <w:tcW w:w="4869"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outlineLvl w:val="9"/>
              <w:rPr>
                <w:rFonts w:ascii="宋体" w:hAnsi="宋体" w:cs="宋体"/>
                <w:sz w:val="24"/>
              </w:rPr>
            </w:pPr>
            <w:r>
              <w:rPr>
                <w:rFonts w:hint="eastAsia" w:ascii="宋体" w:hAnsi="宋体" w:cs="宋体"/>
                <w:sz w:val="24"/>
              </w:rPr>
              <w:t>加强对青少年的思想政治教育，认真开展“立德树人、助弱帮困、固本强基”工作</w:t>
            </w:r>
          </w:p>
        </w:tc>
        <w:tc>
          <w:tcPr>
            <w:tcW w:w="3422"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outlineLvl w:val="9"/>
              <w:rPr>
                <w:rFonts w:hint="eastAsia" w:ascii="宋体" w:hAnsi="宋体" w:cs="宋体"/>
                <w:sz w:val="24"/>
              </w:rPr>
            </w:pPr>
            <w:r>
              <w:rPr>
                <w:rFonts w:hint="eastAsia" w:ascii="宋体" w:hAnsi="宋体" w:cs="宋体"/>
                <w:sz w:val="24"/>
              </w:rPr>
              <w:t>“立德树人”方面：开展“情系青少年 关爱进校园”主题教育活动；</w:t>
            </w:r>
          </w:p>
          <w:p>
            <w:pPr>
              <w:widowControl/>
              <w:spacing w:line="320" w:lineRule="exact"/>
              <w:jc w:val="left"/>
              <w:textAlignment w:val="top"/>
              <w:outlineLvl w:val="9"/>
              <w:rPr>
                <w:rFonts w:ascii="宋体" w:hAnsi="宋体" w:cs="宋体"/>
                <w:sz w:val="24"/>
              </w:rPr>
            </w:pPr>
            <w:r>
              <w:rPr>
                <w:rFonts w:hint="eastAsia" w:ascii="宋体" w:hAnsi="宋体" w:cs="宋体"/>
                <w:sz w:val="24"/>
              </w:rPr>
              <w:t>“助弱帮困”方面：开展“一对一”救助帮扶活动，春节前对特殊困难儿童进行走访慰问；“固本强基”方面：“六好”基层关工委创建率达100%。</w:t>
            </w:r>
          </w:p>
        </w:tc>
      </w:tr>
      <w:tr>
        <w:tblPrEx>
          <w:tblCellMar>
            <w:top w:w="0" w:type="dxa"/>
            <w:left w:w="108" w:type="dxa"/>
            <w:bottom w:w="0" w:type="dxa"/>
            <w:right w:w="108" w:type="dxa"/>
          </w:tblCellMar>
        </w:tblPrEx>
        <w:trPr>
          <w:gridAfter w:val="1"/>
          <w:wAfter w:w="236" w:type="dxa"/>
          <w:trHeight w:val="693" w:hRule="atLeast"/>
        </w:trPr>
        <w:tc>
          <w:tcPr>
            <w:tcW w:w="1431"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年度绩效指标完成情况</w:t>
            </w:r>
          </w:p>
        </w:tc>
        <w:tc>
          <w:tcPr>
            <w:tcW w:w="1337"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仿宋_GB2312"/>
                <w:kern w:val="0"/>
                <w:sz w:val="24"/>
                <w:szCs w:val="28"/>
              </w:rPr>
            </w:pPr>
            <w:r>
              <w:rPr>
                <w:rFonts w:hint="eastAsia" w:ascii="Times New Roman" w:hAnsi="Times New Roman" w:eastAsia="宋体" w:cs="仿宋_GB2312"/>
                <w:kern w:val="0"/>
                <w:sz w:val="24"/>
                <w:szCs w:val="28"/>
              </w:rPr>
              <w:t>一级</w:t>
            </w:r>
          </w:p>
          <w:p>
            <w:pPr>
              <w:widowControl/>
              <w:spacing w:line="320" w:lineRule="exact"/>
              <w:jc w:val="center"/>
              <w:textAlignment w:val="center"/>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指标</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仿宋_GB2312"/>
                <w:kern w:val="0"/>
                <w:sz w:val="24"/>
                <w:szCs w:val="28"/>
              </w:rPr>
            </w:pPr>
            <w:r>
              <w:rPr>
                <w:rFonts w:hint="eastAsia" w:ascii="Times New Roman" w:hAnsi="Times New Roman" w:eastAsia="宋体" w:cs="仿宋_GB2312"/>
                <w:kern w:val="0"/>
                <w:sz w:val="24"/>
                <w:szCs w:val="28"/>
              </w:rPr>
              <w:t>二级</w:t>
            </w:r>
          </w:p>
          <w:p>
            <w:pPr>
              <w:widowControl/>
              <w:spacing w:line="320" w:lineRule="exact"/>
              <w:jc w:val="center"/>
              <w:textAlignment w:val="center"/>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指标</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仿宋_GB2312"/>
                <w:kern w:val="0"/>
                <w:sz w:val="24"/>
                <w:szCs w:val="28"/>
              </w:rPr>
            </w:pPr>
            <w:r>
              <w:rPr>
                <w:rFonts w:hint="eastAsia" w:ascii="Times New Roman" w:hAnsi="Times New Roman" w:eastAsia="宋体" w:cs="仿宋_GB2312"/>
                <w:kern w:val="0"/>
                <w:sz w:val="24"/>
                <w:szCs w:val="28"/>
              </w:rPr>
              <w:t>三级</w:t>
            </w:r>
          </w:p>
          <w:p>
            <w:pPr>
              <w:widowControl/>
              <w:spacing w:line="320" w:lineRule="exact"/>
              <w:jc w:val="center"/>
              <w:textAlignment w:val="center"/>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指标</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预期指标值</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431" w:type="dxa"/>
            <w:vMerge w:val="continue"/>
            <w:tcBorders>
              <w:left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3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kern w:val="0"/>
                <w:sz w:val="24"/>
                <w:szCs w:val="28"/>
              </w:rPr>
            </w:pPr>
            <w:r>
              <w:rPr>
                <w:rFonts w:hint="eastAsia" w:ascii="Times New Roman" w:hAnsi="Times New Roman" w:eastAsia="宋体" w:cs="仿宋_GB2312"/>
                <w:kern w:val="0"/>
                <w:sz w:val="24"/>
                <w:szCs w:val="28"/>
              </w:rPr>
              <w:t>完成</w:t>
            </w:r>
          </w:p>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指标</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数量指标</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仿宋_GB2312"/>
                <w:sz w:val="24"/>
                <w:szCs w:val="28"/>
              </w:rPr>
            </w:pPr>
            <w:r>
              <w:rPr>
                <w:rFonts w:hint="eastAsia" w:ascii="宋体" w:hAnsi="宋体" w:eastAsia="宋体" w:cs="宋体"/>
                <w:i w:val="0"/>
                <w:iCs w:val="0"/>
                <w:color w:val="000000"/>
                <w:kern w:val="0"/>
                <w:sz w:val="24"/>
                <w:szCs w:val="24"/>
                <w:u w:val="none"/>
                <w:lang w:val="en-US" w:eastAsia="zh-CN" w:bidi="ar"/>
              </w:rPr>
              <w:t>看望慰问特殊青少年</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仿宋_GB2312"/>
                <w:sz w:val="24"/>
                <w:szCs w:val="28"/>
                <w:lang w:val="en-US" w:eastAsia="zh-CN"/>
              </w:rPr>
            </w:pPr>
            <w:r>
              <w:rPr>
                <w:rFonts w:hint="eastAsia" w:ascii="宋体" w:hAnsi="宋体" w:eastAsia="宋体" w:cs="宋体"/>
                <w:i w:val="0"/>
                <w:iCs w:val="0"/>
                <w:color w:val="000000"/>
                <w:kern w:val="0"/>
                <w:sz w:val="24"/>
                <w:szCs w:val="24"/>
                <w:u w:val="none"/>
                <w:lang w:val="en-US" w:eastAsia="zh-CN" w:bidi="ar"/>
              </w:rPr>
              <w:t>4</w:t>
            </w:r>
            <w:r>
              <w:rPr>
                <w:rStyle w:val="38"/>
                <w:lang w:val="en-US" w:eastAsia="zh-CN" w:bidi="ar"/>
              </w:rPr>
              <w:t>0名</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宋体" w:cs="仿宋_GB2312"/>
                <w:sz w:val="24"/>
                <w:szCs w:val="28"/>
                <w:lang w:val="en-US" w:eastAsia="zh-CN"/>
              </w:rPr>
            </w:pPr>
            <w:r>
              <w:rPr>
                <w:rFonts w:hint="eastAsia" w:ascii="宋体" w:hAnsi="宋体" w:eastAsia="宋体" w:cs="宋体"/>
                <w:i w:val="0"/>
                <w:iCs w:val="0"/>
                <w:color w:val="000000"/>
                <w:kern w:val="0"/>
                <w:sz w:val="24"/>
                <w:szCs w:val="24"/>
                <w:u w:val="none"/>
                <w:lang w:val="en-US" w:eastAsia="zh-CN" w:bidi="ar"/>
              </w:rPr>
              <w:t>1</w:t>
            </w:r>
            <w:r>
              <w:rPr>
                <w:rStyle w:val="38"/>
                <w:lang w:val="en-US" w:eastAsia="zh-CN" w:bidi="ar"/>
              </w:rPr>
              <w:t>21名</w:t>
            </w:r>
          </w:p>
        </w:tc>
      </w:tr>
      <w:tr>
        <w:tblPrEx>
          <w:tblCellMar>
            <w:top w:w="0" w:type="dxa"/>
            <w:left w:w="108" w:type="dxa"/>
            <w:bottom w:w="0" w:type="dxa"/>
            <w:right w:w="108" w:type="dxa"/>
          </w:tblCellMar>
        </w:tblPrEx>
        <w:trPr>
          <w:gridAfter w:val="1"/>
          <w:wAfter w:w="236" w:type="dxa"/>
          <w:trHeight w:val="415" w:hRule="atLeast"/>
        </w:trPr>
        <w:tc>
          <w:tcPr>
            <w:tcW w:w="1431" w:type="dxa"/>
            <w:vMerge w:val="continue"/>
            <w:tcBorders>
              <w:left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3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时效指标</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仿宋_GB2312"/>
                <w:sz w:val="24"/>
                <w:szCs w:val="28"/>
              </w:rPr>
            </w:pPr>
            <w:r>
              <w:rPr>
                <w:rFonts w:hint="eastAsia" w:ascii="宋体" w:hAnsi="宋体" w:eastAsia="宋体" w:cs="宋体"/>
                <w:i w:val="0"/>
                <w:iCs w:val="0"/>
                <w:color w:val="000000"/>
                <w:kern w:val="0"/>
                <w:sz w:val="24"/>
                <w:szCs w:val="24"/>
                <w:u w:val="none"/>
                <w:lang w:val="en-US" w:eastAsia="zh-CN" w:bidi="ar"/>
              </w:rPr>
              <w:t>工作开展时间</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仿宋_GB2312"/>
                <w:sz w:val="24"/>
                <w:szCs w:val="28"/>
              </w:rPr>
            </w:pPr>
            <w:r>
              <w:rPr>
                <w:rFonts w:hint="eastAsia" w:ascii="宋体" w:hAnsi="宋体" w:eastAsia="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en-US" w:bidi="ar"/>
              </w:rPr>
              <w:t>021年1月至12月</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仿宋_GB2312"/>
                <w:sz w:val="24"/>
                <w:szCs w:val="28"/>
              </w:rPr>
            </w:pPr>
            <w:r>
              <w:rPr>
                <w:rFonts w:hint="eastAsia" w:ascii="宋体" w:hAnsi="宋体" w:eastAsia="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en-US" w:bidi="ar"/>
              </w:rPr>
              <w:t>021年1月至12月</w:t>
            </w:r>
          </w:p>
        </w:tc>
      </w:tr>
      <w:tr>
        <w:tblPrEx>
          <w:tblCellMar>
            <w:top w:w="0" w:type="dxa"/>
            <w:left w:w="108" w:type="dxa"/>
            <w:bottom w:w="0" w:type="dxa"/>
            <w:right w:w="108" w:type="dxa"/>
          </w:tblCellMar>
        </w:tblPrEx>
        <w:trPr>
          <w:gridAfter w:val="1"/>
          <w:wAfter w:w="236" w:type="dxa"/>
          <w:trHeight w:val="415" w:hRule="atLeast"/>
        </w:trPr>
        <w:tc>
          <w:tcPr>
            <w:tcW w:w="1431" w:type="dxa"/>
            <w:vMerge w:val="continue"/>
            <w:tcBorders>
              <w:left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3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323"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成本指标</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工作运行费</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6.5</w:t>
            </w:r>
            <w:r>
              <w:rPr>
                <w:rFonts w:hint="eastAsia" w:ascii="宋体" w:hAnsi="宋体" w:eastAsia="宋体" w:cs="宋体"/>
                <w:i w:val="0"/>
                <w:iCs w:val="0"/>
                <w:color w:val="000000"/>
                <w:kern w:val="0"/>
                <w:sz w:val="24"/>
                <w:szCs w:val="24"/>
                <w:u w:val="none"/>
                <w:lang w:val="en-US" w:eastAsia="en-US" w:bidi="ar"/>
              </w:rPr>
              <w:t>6万元</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6.5</w:t>
            </w:r>
            <w:r>
              <w:rPr>
                <w:rFonts w:hint="eastAsia" w:ascii="宋体" w:hAnsi="宋体" w:eastAsia="宋体" w:cs="宋体"/>
                <w:i w:val="0"/>
                <w:iCs w:val="0"/>
                <w:color w:val="000000"/>
                <w:kern w:val="0"/>
                <w:sz w:val="24"/>
                <w:szCs w:val="24"/>
                <w:u w:val="none"/>
                <w:lang w:val="en-US" w:eastAsia="en-US" w:bidi="ar"/>
              </w:rPr>
              <w:t>6万元</w:t>
            </w:r>
          </w:p>
        </w:tc>
      </w:tr>
      <w:tr>
        <w:tblPrEx>
          <w:tblCellMar>
            <w:top w:w="0" w:type="dxa"/>
            <w:left w:w="108" w:type="dxa"/>
            <w:bottom w:w="0" w:type="dxa"/>
            <w:right w:w="108" w:type="dxa"/>
          </w:tblCellMar>
        </w:tblPrEx>
        <w:trPr>
          <w:gridAfter w:val="1"/>
          <w:wAfter w:w="236" w:type="dxa"/>
          <w:trHeight w:val="415" w:hRule="atLeast"/>
        </w:trPr>
        <w:tc>
          <w:tcPr>
            <w:tcW w:w="1431" w:type="dxa"/>
            <w:vMerge w:val="continue"/>
            <w:tcBorders>
              <w:left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3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323"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hint="eastAsia" w:ascii="Times New Roman" w:hAnsi="Times New Roman" w:eastAsia="宋体" w:cs="仿宋_GB2312"/>
                <w:kern w:val="0"/>
                <w:sz w:val="24"/>
                <w:szCs w:val="28"/>
              </w:rPr>
            </w:pP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县关工委工作补贴</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w:t>
            </w:r>
            <w:r>
              <w:rPr>
                <w:rFonts w:hint="eastAsia" w:ascii="宋体" w:hAnsi="宋体" w:eastAsia="宋体" w:cs="宋体"/>
                <w:i w:val="0"/>
                <w:iCs w:val="0"/>
                <w:color w:val="000000"/>
                <w:kern w:val="0"/>
                <w:sz w:val="24"/>
                <w:szCs w:val="24"/>
                <w:u w:val="none"/>
                <w:lang w:val="en-US" w:eastAsia="en-US" w:bidi="ar"/>
              </w:rPr>
              <w:t>.48万元</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w:t>
            </w:r>
            <w:r>
              <w:rPr>
                <w:rFonts w:hint="eastAsia" w:ascii="宋体" w:hAnsi="宋体" w:eastAsia="宋体" w:cs="宋体"/>
                <w:i w:val="0"/>
                <w:iCs w:val="0"/>
                <w:color w:val="000000"/>
                <w:kern w:val="0"/>
                <w:sz w:val="24"/>
                <w:szCs w:val="24"/>
                <w:u w:val="none"/>
                <w:lang w:val="en-US" w:eastAsia="en-US" w:bidi="ar"/>
              </w:rPr>
              <w:t>.48万元</w:t>
            </w:r>
          </w:p>
        </w:tc>
      </w:tr>
      <w:tr>
        <w:tblPrEx>
          <w:tblCellMar>
            <w:top w:w="0" w:type="dxa"/>
            <w:left w:w="108" w:type="dxa"/>
            <w:bottom w:w="0" w:type="dxa"/>
            <w:right w:w="108" w:type="dxa"/>
          </w:tblCellMar>
        </w:tblPrEx>
        <w:trPr>
          <w:gridAfter w:val="1"/>
          <w:wAfter w:w="236" w:type="dxa"/>
          <w:trHeight w:val="480" w:hRule="atLeast"/>
        </w:trPr>
        <w:tc>
          <w:tcPr>
            <w:tcW w:w="1431" w:type="dxa"/>
            <w:vMerge w:val="continue"/>
            <w:tcBorders>
              <w:left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3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323"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仿宋_GB2312"/>
                <w:sz w:val="24"/>
                <w:szCs w:val="28"/>
                <w:lang w:eastAsia="zh-CN"/>
              </w:rPr>
            </w:pPr>
            <w:r>
              <w:rPr>
                <w:rFonts w:hint="eastAsia" w:ascii="宋体" w:hAnsi="宋体" w:eastAsia="宋体" w:cs="宋体"/>
                <w:i w:val="0"/>
                <w:iCs w:val="0"/>
                <w:color w:val="000000"/>
                <w:kern w:val="0"/>
                <w:sz w:val="24"/>
                <w:szCs w:val="24"/>
                <w:u w:val="none"/>
                <w:lang w:val="en-US" w:eastAsia="zh-CN" w:bidi="ar"/>
              </w:rPr>
              <w:t>会议、活动经费等</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仿宋_GB2312"/>
                <w:sz w:val="24"/>
                <w:szCs w:val="28"/>
                <w:lang w:val="en-US" w:eastAsia="zh-CN"/>
              </w:rPr>
            </w:pPr>
            <w:r>
              <w:rPr>
                <w:rFonts w:hint="eastAsia" w:ascii="宋体" w:hAnsi="宋体" w:eastAsia="宋体" w:cs="宋体"/>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en-US" w:bidi="ar"/>
              </w:rPr>
              <w:t>.0554万元</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仿宋_GB2312"/>
                <w:sz w:val="24"/>
                <w:szCs w:val="28"/>
              </w:rPr>
            </w:pPr>
            <w:r>
              <w:rPr>
                <w:rFonts w:hint="eastAsia" w:ascii="宋体" w:hAnsi="宋体" w:eastAsia="宋体" w:cs="宋体"/>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en-US" w:bidi="ar"/>
              </w:rPr>
              <w:t>.0554万元</w:t>
            </w:r>
          </w:p>
        </w:tc>
      </w:tr>
      <w:tr>
        <w:tblPrEx>
          <w:tblCellMar>
            <w:top w:w="0" w:type="dxa"/>
            <w:left w:w="108" w:type="dxa"/>
            <w:bottom w:w="0" w:type="dxa"/>
            <w:right w:w="108" w:type="dxa"/>
          </w:tblCellMar>
        </w:tblPrEx>
        <w:trPr>
          <w:gridAfter w:val="1"/>
          <w:wAfter w:w="236" w:type="dxa"/>
          <w:trHeight w:val="480" w:hRule="atLeast"/>
        </w:trPr>
        <w:tc>
          <w:tcPr>
            <w:tcW w:w="1431" w:type="dxa"/>
            <w:vMerge w:val="continue"/>
            <w:tcBorders>
              <w:left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3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社会效益  指标</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hint="default" w:ascii="Times New Roman" w:hAnsi="Times New Roman" w:eastAsia="宋体" w:cs="仿宋_GB2312"/>
                <w:sz w:val="24"/>
                <w:szCs w:val="28"/>
                <w:lang w:val="en-US" w:eastAsia="zh-CN"/>
              </w:rPr>
            </w:pPr>
            <w:r>
              <w:rPr>
                <w:rFonts w:hint="eastAsia" w:ascii="Times New Roman" w:hAnsi="Times New Roman" w:cs="仿宋_GB2312"/>
                <w:sz w:val="24"/>
                <w:szCs w:val="28"/>
                <w:lang w:val="en-US" w:eastAsia="zh-CN"/>
              </w:rPr>
              <w:t>救助帮扶困难青少年，解决实际困难。</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hint="eastAsia" w:ascii="Times New Roman" w:hAnsi="Times New Roman" w:eastAsia="宋体" w:cs="仿宋_GB2312"/>
                <w:sz w:val="24"/>
                <w:szCs w:val="28"/>
                <w:lang w:val="en-US" w:eastAsia="zh-CN"/>
              </w:rPr>
            </w:pPr>
            <w:r>
              <w:rPr>
                <w:rFonts w:hint="eastAsia" w:ascii="Times New Roman" w:hAnsi="Times New Roman" w:cs="仿宋_GB2312"/>
                <w:sz w:val="24"/>
                <w:szCs w:val="28"/>
                <w:lang w:val="en-US" w:eastAsia="zh-CN"/>
              </w:rPr>
              <w:t>提升帮扶效应</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hint="default" w:ascii="Times New Roman" w:hAnsi="Times New Roman" w:eastAsia="宋体" w:cs="仿宋_GB2312"/>
                <w:sz w:val="24"/>
                <w:szCs w:val="28"/>
                <w:lang w:val="en-US" w:eastAsia="zh-CN"/>
              </w:rPr>
            </w:pPr>
            <w:r>
              <w:rPr>
                <w:rFonts w:hint="eastAsia" w:ascii="Times New Roman" w:hAnsi="Times New Roman" w:cs="仿宋_GB2312"/>
                <w:sz w:val="24"/>
                <w:szCs w:val="28"/>
                <w:lang w:val="en-US" w:eastAsia="zh-CN"/>
              </w:rPr>
              <w:t>走访慰问困难青少年，提升生活水平。</w:t>
            </w:r>
          </w:p>
        </w:tc>
      </w:tr>
      <w:tr>
        <w:tblPrEx>
          <w:tblCellMar>
            <w:top w:w="0" w:type="dxa"/>
            <w:left w:w="108" w:type="dxa"/>
            <w:bottom w:w="0" w:type="dxa"/>
            <w:right w:w="108" w:type="dxa"/>
          </w:tblCellMar>
        </w:tblPrEx>
        <w:trPr>
          <w:gridAfter w:val="1"/>
          <w:wAfter w:w="236" w:type="dxa"/>
          <w:trHeight w:val="530" w:hRule="atLeast"/>
        </w:trPr>
        <w:tc>
          <w:tcPr>
            <w:tcW w:w="1431"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满意</w:t>
            </w:r>
            <w:r>
              <w:rPr>
                <w:rFonts w:hint="eastAsia" w:ascii="Times New Roman" w:hAnsi="Times New Roman" w:eastAsia="宋体" w:cs="仿宋_GB2312"/>
                <w:kern w:val="0"/>
                <w:sz w:val="24"/>
                <w:szCs w:val="28"/>
              </w:rPr>
              <w:br w:type="textWrapping"/>
            </w:r>
            <w:r>
              <w:rPr>
                <w:rFonts w:hint="eastAsia" w:ascii="Times New Roman" w:hAnsi="Times New Roman" w:eastAsia="宋体" w:cs="仿宋_GB2312"/>
                <w:kern w:val="0"/>
                <w:sz w:val="24"/>
                <w:szCs w:val="28"/>
              </w:rPr>
              <w:t>度指标</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宋体" w:cs="仿宋_GB2312"/>
                <w:sz w:val="24"/>
                <w:szCs w:val="28"/>
              </w:rPr>
            </w:pPr>
            <w:r>
              <w:rPr>
                <w:rFonts w:hint="eastAsia" w:ascii="宋体" w:hAnsi="宋体" w:eastAsia="宋体" w:cs="宋体"/>
                <w:i w:val="0"/>
                <w:iCs w:val="0"/>
                <w:color w:val="000000"/>
                <w:kern w:val="0"/>
                <w:sz w:val="24"/>
                <w:szCs w:val="24"/>
                <w:u w:val="none"/>
                <w:lang w:val="en-US" w:eastAsia="zh-CN" w:bidi="ar"/>
              </w:rPr>
              <w:t>服务群众满意度</w:t>
            </w:r>
          </w:p>
        </w:tc>
        <w:tc>
          <w:tcPr>
            <w:tcW w:w="2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宋体" w:cs="仿宋_GB2312"/>
                <w:sz w:val="24"/>
                <w:szCs w:val="28"/>
              </w:rPr>
            </w:pPr>
            <w:r>
              <w:rPr>
                <w:rFonts w:hint="eastAsia" w:ascii="宋体" w:hAnsi="宋体" w:eastAsia="宋体" w:cs="宋体"/>
                <w:i w:val="0"/>
                <w:iCs w:val="0"/>
                <w:color w:val="000000"/>
                <w:kern w:val="0"/>
                <w:sz w:val="24"/>
                <w:szCs w:val="24"/>
                <w:u w:val="none"/>
                <w:lang w:val="en-US" w:eastAsia="zh-CN" w:bidi="ar"/>
              </w:rPr>
              <w:t>95%</w:t>
            </w:r>
          </w:p>
        </w:tc>
        <w:tc>
          <w:tcPr>
            <w:tcW w:w="16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宋体" w:cs="仿宋_GB2312"/>
                <w:sz w:val="24"/>
                <w:szCs w:val="28"/>
              </w:rPr>
            </w:pPr>
            <w:r>
              <w:rPr>
                <w:rFonts w:hint="eastAsia" w:ascii="宋体" w:hAnsi="宋体" w:eastAsia="宋体" w:cs="宋体"/>
                <w:i w:val="0"/>
                <w:iCs w:val="0"/>
                <w:color w:val="000000"/>
                <w:kern w:val="0"/>
                <w:sz w:val="24"/>
                <w:szCs w:val="24"/>
                <w:u w:val="none"/>
                <w:lang w:val="en-US" w:eastAsia="zh-CN" w:bidi="ar"/>
              </w:rPr>
              <w:t>95%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宋体" w:cs="仿宋_GB2312"/>
                <w:sz w:val="24"/>
                <w:szCs w:val="28"/>
              </w:rPr>
            </w:pPr>
            <w:r>
              <w:rPr>
                <w:rFonts w:hint="eastAsia" w:ascii="宋体" w:hAnsi="宋体" w:eastAsia="宋体" w:cs="宋体"/>
                <w:i w:val="0"/>
                <w:iCs w:val="0"/>
                <w:color w:val="000000"/>
                <w:kern w:val="0"/>
                <w:sz w:val="24"/>
                <w:szCs w:val="24"/>
                <w:u w:val="none"/>
                <w:lang w:val="en-US" w:eastAsia="zh-CN" w:bidi="ar"/>
              </w:rPr>
              <w:t>服务群众满意度</w:t>
            </w:r>
          </w:p>
        </w:tc>
      </w:tr>
    </w:tbl>
    <w:p>
      <w:pPr>
        <w:widowControl/>
        <w:adjustRightInd w:val="0"/>
        <w:snapToGrid w:val="0"/>
        <w:spacing w:line="580" w:lineRule="exact"/>
        <w:contextualSpacing/>
        <w:jc w:val="left"/>
        <w:outlineLvl w:val="9"/>
        <w:rPr>
          <w:rFonts w:hint="eastAsia" w:ascii="仿宋_GB2312" w:hAnsi="宋体" w:eastAsia="仿宋_GB2312" w:cs="宋体"/>
          <w:kern w:val="0"/>
          <w:sz w:val="32"/>
          <w:szCs w:val="32"/>
          <w:shd w:val="clear" w:color="auto" w:fill="FFFFFF"/>
          <w:lang w:val="zh-CN"/>
        </w:rPr>
      </w:pPr>
    </w:p>
    <w:p>
      <w:pPr>
        <w:widowControl/>
        <w:adjustRightInd w:val="0"/>
        <w:snapToGrid w:val="0"/>
        <w:spacing w:line="580" w:lineRule="exact"/>
        <w:contextualSpacing/>
        <w:jc w:val="left"/>
        <w:outlineLvl w:val="9"/>
        <w:rPr>
          <w:rFonts w:hint="eastAsia" w:ascii="仿宋_GB2312" w:hAnsi="宋体" w:eastAsia="仿宋_GB2312" w:cs="宋体"/>
          <w:kern w:val="0"/>
          <w:sz w:val="32"/>
          <w:szCs w:val="32"/>
          <w:shd w:val="clear" w:color="auto" w:fill="FFFFFF"/>
          <w:lang w:val="zh-CN"/>
        </w:rPr>
      </w:pPr>
    </w:p>
    <w:p>
      <w:pPr>
        <w:widowControl/>
        <w:adjustRightInd w:val="0"/>
        <w:snapToGrid w:val="0"/>
        <w:spacing w:line="580" w:lineRule="exact"/>
        <w:contextualSpacing/>
        <w:jc w:val="left"/>
        <w:outlineLvl w:val="9"/>
        <w:rPr>
          <w:rFonts w:hint="eastAsia" w:ascii="仿宋_GB2312" w:hAnsi="宋体" w:eastAsia="仿宋_GB2312" w:cs="宋体"/>
          <w:kern w:val="0"/>
          <w:sz w:val="32"/>
          <w:szCs w:val="32"/>
          <w:shd w:val="clear" w:color="auto" w:fill="FFFFFF"/>
          <w:lang w:val="zh-CN"/>
        </w:rPr>
      </w:pPr>
    </w:p>
    <w:p>
      <w:pPr>
        <w:widowControl/>
        <w:adjustRightInd w:val="0"/>
        <w:snapToGrid w:val="0"/>
        <w:spacing w:line="580" w:lineRule="exact"/>
        <w:contextualSpacing/>
        <w:jc w:val="left"/>
        <w:outlineLvl w:val="9"/>
        <w:rPr>
          <w:rFonts w:hint="eastAsia" w:ascii="仿宋_GB2312" w:hAnsi="宋体" w:eastAsia="仿宋_GB2312" w:cs="宋体"/>
          <w:kern w:val="0"/>
          <w:sz w:val="32"/>
          <w:szCs w:val="32"/>
          <w:shd w:val="clear" w:color="auto" w:fill="FFFFFF"/>
          <w:lang w:val="zh-CN"/>
        </w:rPr>
      </w:pPr>
    </w:p>
    <w:p>
      <w:pPr>
        <w:widowControl/>
        <w:adjustRightInd w:val="0"/>
        <w:snapToGrid w:val="0"/>
        <w:spacing w:line="580" w:lineRule="exact"/>
        <w:contextualSpacing/>
        <w:jc w:val="left"/>
        <w:outlineLvl w:val="9"/>
        <w:rPr>
          <w:rFonts w:hint="eastAsia" w:ascii="仿宋_GB2312" w:hAnsi="宋体" w:eastAsia="仿宋_GB2312" w:cs="宋体"/>
          <w:kern w:val="0"/>
          <w:sz w:val="32"/>
          <w:szCs w:val="32"/>
          <w:shd w:val="clear" w:color="auto" w:fill="FFFFFF"/>
          <w:lang w:val="zh-CN"/>
        </w:rPr>
      </w:pPr>
    </w:p>
    <w:p>
      <w:pPr>
        <w:widowControl/>
        <w:adjustRightInd w:val="0"/>
        <w:snapToGrid w:val="0"/>
        <w:spacing w:line="580" w:lineRule="exact"/>
        <w:contextualSpacing/>
        <w:jc w:val="left"/>
        <w:outlineLvl w:val="9"/>
      </w:pPr>
      <w:r>
        <w:rPr>
          <w:rFonts w:hint="eastAsia" w:ascii="仿宋_GB2312" w:hAnsi="宋体" w:eastAsia="仿宋_GB2312" w:cs="宋体"/>
          <w:kern w:val="0"/>
          <w:sz w:val="32"/>
          <w:szCs w:val="32"/>
          <w:shd w:val="clear" w:color="auto" w:fill="FFFFFF"/>
          <w:lang w:val="zh-CN"/>
        </w:rPr>
        <w:t>附表</w:t>
      </w:r>
      <w:r>
        <w:rPr>
          <w:rFonts w:hint="eastAsia" w:ascii="仿宋_GB2312" w:hAnsi="宋体" w:eastAsia="仿宋_GB2312" w:cs="宋体"/>
          <w:kern w:val="0"/>
          <w:sz w:val="32"/>
          <w:szCs w:val="32"/>
          <w:shd w:val="clear" w:color="auto" w:fill="FFFFFF"/>
          <w:lang w:val="en-US" w:eastAsia="zh-CN"/>
        </w:rPr>
        <w:t>2</w:t>
      </w:r>
      <w:r>
        <w:rPr>
          <w:rFonts w:hint="eastAsia" w:ascii="仿宋_GB2312" w:hAnsi="宋体" w:eastAsia="仿宋_GB2312" w:cs="宋体"/>
          <w:kern w:val="0"/>
          <w:sz w:val="32"/>
          <w:szCs w:val="32"/>
          <w:shd w:val="clear" w:color="auto" w:fill="FFFFFF"/>
          <w:lang w:val="zh-CN"/>
        </w:rPr>
        <w:t>：</w:t>
      </w:r>
    </w:p>
    <w:tbl>
      <w:tblPr>
        <w:tblStyle w:val="14"/>
        <w:tblpPr w:leftFromText="180" w:rightFromText="180" w:vertAnchor="text" w:horzAnchor="page" w:tblpX="1262" w:tblpY="277"/>
        <w:tblOverlap w:val="never"/>
        <w:tblW w:w="9811" w:type="dxa"/>
        <w:tblInd w:w="0" w:type="dxa"/>
        <w:tblLayout w:type="fixed"/>
        <w:tblCellMar>
          <w:top w:w="0" w:type="dxa"/>
          <w:left w:w="108" w:type="dxa"/>
          <w:bottom w:w="0" w:type="dxa"/>
          <w:right w:w="108" w:type="dxa"/>
        </w:tblCellMar>
      </w:tblPr>
      <w:tblGrid>
        <w:gridCol w:w="1976"/>
        <w:gridCol w:w="1142"/>
        <w:gridCol w:w="1288"/>
        <w:gridCol w:w="1680"/>
        <w:gridCol w:w="1262"/>
        <w:gridCol w:w="2227"/>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top"/>
          </w:tcPr>
          <w:p>
            <w:pPr>
              <w:widowControl/>
              <w:jc w:val="center"/>
              <w:textAlignment w:val="center"/>
              <w:outlineLvl w:val="9"/>
              <w:rPr>
                <w:rFonts w:hint="eastAsia" w:ascii="Times New Roman" w:hAnsi="Times New Roman" w:eastAsia="宋体" w:cs="宋体"/>
                <w:b/>
                <w:sz w:val="24"/>
                <w:szCs w:val="32"/>
              </w:rPr>
            </w:pPr>
          </w:p>
          <w:p>
            <w:pPr>
              <w:widowControl/>
              <w:jc w:val="center"/>
              <w:textAlignment w:val="center"/>
              <w:outlineLvl w:val="9"/>
              <w:rPr>
                <w:rFonts w:hint="eastAsia" w:ascii="Times New Roman" w:hAnsi="Times New Roman" w:eastAsia="宋体" w:cs="宋体"/>
                <w:b/>
                <w:sz w:val="24"/>
                <w:szCs w:val="32"/>
                <w:lang w:val="en-US" w:eastAsia="zh-CN"/>
              </w:rPr>
            </w:pPr>
            <w:r>
              <w:rPr>
                <w:rFonts w:hint="eastAsia" w:ascii="宋体" w:hAnsi="宋体" w:cs="宋体"/>
                <w:b/>
                <w:sz w:val="32"/>
                <w:szCs w:val="32"/>
              </w:rPr>
              <w:t>2021年组织部工作经费和会议经费绩效目标自评</w:t>
            </w:r>
          </w:p>
        </w:tc>
        <w:tc>
          <w:tcPr>
            <w:tcW w:w="236" w:type="dxa"/>
            <w:tcBorders>
              <w:top w:val="nil"/>
              <w:left w:val="nil"/>
              <w:bottom w:val="nil"/>
              <w:right w:val="nil"/>
            </w:tcBorders>
            <w:shd w:val="clear" w:color="auto" w:fill="auto"/>
            <w:vAlign w:val="center"/>
          </w:tcPr>
          <w:p>
            <w:pPr>
              <w:widowControl/>
              <w:jc w:val="center"/>
              <w:textAlignment w:val="center"/>
              <w:outlineLvl w:val="9"/>
              <w:rPr>
                <w:rFonts w:ascii="Times New Roman" w:hAnsi="Times New Roman" w:eastAsia="宋体" w:cs="宋体"/>
                <w:b/>
                <w:kern w:val="0"/>
                <w:sz w:val="24"/>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sz w:val="24"/>
              </w:rPr>
            </w:pPr>
            <w:r>
              <w:rPr>
                <w:rFonts w:hint="eastAsia" w:ascii="Times New Roman" w:hAnsi="Times New Roman" w:eastAsia="宋体" w:cs="宋体"/>
                <w:kern w:val="0"/>
                <w:sz w:val="24"/>
              </w:rPr>
              <w:t>主管部门及代码</w:t>
            </w:r>
          </w:p>
        </w:tc>
        <w:tc>
          <w:tcPr>
            <w:tcW w:w="2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hint="default" w:ascii="Times New Roman" w:hAnsi="Times New Roman" w:eastAsia="宋体" w:cs="宋体"/>
                <w:sz w:val="24"/>
                <w:lang w:val="en-US" w:eastAsia="zh-CN"/>
              </w:rPr>
            </w:pPr>
            <w:r>
              <w:rPr>
                <w:rFonts w:hint="eastAsia" w:ascii="Times New Roman" w:hAnsi="Times New Roman" w:cs="宋体"/>
                <w:sz w:val="24"/>
                <w:lang w:val="en-US" w:eastAsia="zh-CN"/>
              </w:rPr>
              <w:t xml:space="preserve">盐边县委组织部 </w:t>
            </w:r>
            <w:r>
              <w:rPr>
                <w:rFonts w:hint="eastAsia" w:ascii="Times New Roman" w:hAnsi="Times New Roman" w:eastAsia="宋体" w:cs="宋体"/>
                <w:sz w:val="24"/>
                <w:lang w:val="en-US" w:eastAsia="zh-CN"/>
              </w:rPr>
              <w:t>207001</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sz w:val="24"/>
              </w:rPr>
            </w:pPr>
            <w:r>
              <w:rPr>
                <w:rFonts w:hint="eastAsia" w:ascii="Times New Roman" w:hAnsi="Times New Roman" w:eastAsia="宋体" w:cs="宋体"/>
                <w:kern w:val="0"/>
                <w:sz w:val="24"/>
              </w:rPr>
              <w:t>实施单位</w:t>
            </w:r>
          </w:p>
        </w:tc>
        <w:tc>
          <w:tcPr>
            <w:tcW w:w="2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hint="eastAsia" w:ascii="Times New Roman" w:hAnsi="Times New Roman" w:eastAsia="宋体" w:cs="宋体"/>
                <w:sz w:val="24"/>
                <w:lang w:eastAsia="zh-CN"/>
              </w:rPr>
            </w:pPr>
            <w:r>
              <w:rPr>
                <w:rFonts w:hint="eastAsia" w:ascii="Times New Roman" w:hAnsi="Times New Roman" w:cs="宋体"/>
                <w:sz w:val="24"/>
                <w:lang w:val="en-US" w:eastAsia="zh-CN"/>
              </w:rPr>
              <w:t>盐边县委</w:t>
            </w:r>
            <w:r>
              <w:rPr>
                <w:rFonts w:hint="eastAsia" w:ascii="Times New Roman" w:hAnsi="Times New Roman" w:eastAsia="宋体" w:cs="宋体"/>
                <w:sz w:val="24"/>
                <w:lang w:eastAsia="zh-CN"/>
              </w:rPr>
              <w:t>组织部</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sz w:val="24"/>
              </w:rPr>
            </w:pPr>
            <w:r>
              <w:rPr>
                <w:rFonts w:hint="eastAsia" w:ascii="Times New Roman" w:hAnsi="Times New Roman" w:eastAsia="宋体" w:cs="宋体"/>
                <w:kern w:val="0"/>
                <w:sz w:val="24"/>
              </w:rPr>
              <w:t>项目预算</w:t>
            </w:r>
            <w:r>
              <w:rPr>
                <w:rFonts w:hint="eastAsia" w:ascii="Times New Roman" w:hAnsi="Times New Roman" w:eastAsia="宋体" w:cs="宋体"/>
                <w:kern w:val="0"/>
                <w:sz w:val="24"/>
              </w:rPr>
              <w:br w:type="textWrapping"/>
            </w:r>
            <w:r>
              <w:rPr>
                <w:rFonts w:hint="eastAsia" w:ascii="Times New Roman" w:hAnsi="Times New Roman" w:eastAsia="宋体" w:cs="宋体"/>
                <w:kern w:val="0"/>
                <w:sz w:val="24"/>
              </w:rPr>
              <w:t>执行情况</w:t>
            </w:r>
            <w:r>
              <w:rPr>
                <w:rFonts w:hint="eastAsia" w:ascii="Times New Roman" w:hAnsi="Times New Roman" w:eastAsia="宋体" w:cs="宋体"/>
                <w:kern w:val="0"/>
                <w:sz w:val="24"/>
              </w:rPr>
              <w:br w:type="textWrapping"/>
            </w:r>
            <w:r>
              <w:rPr>
                <w:rFonts w:hint="eastAsia" w:ascii="Times New Roman" w:hAnsi="Times New Roman" w:eastAsia="宋体" w:cs="宋体"/>
                <w:kern w:val="0"/>
                <w:sz w:val="24"/>
              </w:rPr>
              <w:t>（万元）</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sz w:val="24"/>
              </w:rPr>
            </w:pPr>
            <w:r>
              <w:rPr>
                <w:rFonts w:hint="eastAsia" w:ascii="Times New Roman" w:hAnsi="Times New Roman" w:eastAsia="宋体" w:cs="宋体"/>
                <w:kern w:val="0"/>
                <w:sz w:val="24"/>
              </w:rPr>
              <w:t>预算数：</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hint="default" w:ascii="Times New Roman" w:hAnsi="Times New Roman" w:eastAsia="宋体" w:cs="宋体"/>
                <w:sz w:val="24"/>
                <w:lang w:val="en-US" w:eastAsia="zh-CN"/>
              </w:rPr>
            </w:pPr>
            <w:r>
              <w:rPr>
                <w:rFonts w:hint="eastAsia" w:ascii="Times New Roman" w:hAnsi="Times New Roman" w:eastAsia="宋体" w:cs="宋体"/>
                <w:sz w:val="24"/>
                <w:lang w:val="en-US" w:eastAsia="zh-CN"/>
              </w:rPr>
              <w:t>56.62</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sz w:val="24"/>
              </w:rPr>
            </w:pPr>
            <w:r>
              <w:rPr>
                <w:rFonts w:hint="eastAsia" w:ascii="Times New Roman" w:hAnsi="Times New Roman" w:eastAsia="宋体" w:cs="宋体"/>
                <w:kern w:val="0"/>
                <w:sz w:val="24"/>
              </w:rPr>
              <w:t>执行数：</w:t>
            </w:r>
          </w:p>
        </w:tc>
        <w:tc>
          <w:tcPr>
            <w:tcW w:w="2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hint="default" w:ascii="Times New Roman" w:hAnsi="Times New Roman" w:eastAsia="宋体" w:cs="宋体"/>
                <w:sz w:val="24"/>
                <w:lang w:val="en-US" w:eastAsia="zh-CN"/>
              </w:rPr>
            </w:pPr>
            <w:r>
              <w:rPr>
                <w:rFonts w:hint="eastAsia" w:ascii="Times New Roman" w:hAnsi="Times New Roman" w:eastAsia="宋体" w:cs="宋体"/>
                <w:sz w:val="24"/>
                <w:lang w:val="en-US" w:eastAsia="zh-CN"/>
              </w:rPr>
              <w:t>56.62</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宋体"/>
                <w:sz w:val="24"/>
              </w:rPr>
            </w:pP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kern w:val="0"/>
                <w:sz w:val="24"/>
              </w:rPr>
            </w:pPr>
            <w:r>
              <w:rPr>
                <w:rFonts w:hint="eastAsia" w:ascii="Times New Roman" w:hAnsi="Times New Roman" w:eastAsia="宋体" w:cs="宋体"/>
                <w:kern w:val="0"/>
                <w:sz w:val="24"/>
              </w:rPr>
              <w:t>其中：</w:t>
            </w:r>
          </w:p>
          <w:p>
            <w:pPr>
              <w:widowControl/>
              <w:spacing w:line="320" w:lineRule="exact"/>
              <w:jc w:val="center"/>
              <w:textAlignment w:val="center"/>
              <w:outlineLvl w:val="9"/>
              <w:rPr>
                <w:rFonts w:ascii="Times New Roman" w:hAnsi="Times New Roman" w:eastAsia="宋体" w:cs="宋体"/>
                <w:sz w:val="24"/>
              </w:rPr>
            </w:pPr>
            <w:r>
              <w:rPr>
                <w:rFonts w:hint="eastAsia" w:ascii="Times New Roman" w:hAnsi="Times New Roman" w:eastAsia="宋体" w:cs="宋体"/>
                <w:kern w:val="0"/>
                <w:sz w:val="24"/>
              </w:rPr>
              <w:t>财政拨款</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hint="default" w:ascii="Times New Roman" w:hAnsi="Times New Roman" w:eastAsia="宋体" w:cs="宋体"/>
                <w:sz w:val="24"/>
                <w:lang w:val="en-US" w:eastAsia="zh-CN"/>
              </w:rPr>
            </w:pPr>
            <w:r>
              <w:rPr>
                <w:rFonts w:hint="eastAsia" w:ascii="Times New Roman" w:hAnsi="Times New Roman" w:eastAsia="宋体" w:cs="宋体"/>
                <w:sz w:val="24"/>
                <w:lang w:val="en-US" w:eastAsia="zh-CN"/>
              </w:rPr>
              <w:t>56.62</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kern w:val="0"/>
                <w:sz w:val="24"/>
              </w:rPr>
            </w:pPr>
            <w:r>
              <w:rPr>
                <w:rFonts w:hint="eastAsia" w:ascii="Times New Roman" w:hAnsi="Times New Roman" w:eastAsia="宋体" w:cs="宋体"/>
                <w:kern w:val="0"/>
                <w:sz w:val="24"/>
              </w:rPr>
              <w:t>其中：</w:t>
            </w:r>
          </w:p>
          <w:p>
            <w:pPr>
              <w:widowControl/>
              <w:spacing w:line="320" w:lineRule="exact"/>
              <w:jc w:val="center"/>
              <w:textAlignment w:val="center"/>
              <w:outlineLvl w:val="9"/>
              <w:rPr>
                <w:rFonts w:ascii="Times New Roman" w:hAnsi="Times New Roman" w:eastAsia="宋体" w:cs="宋体"/>
                <w:sz w:val="24"/>
              </w:rPr>
            </w:pPr>
            <w:r>
              <w:rPr>
                <w:rFonts w:hint="eastAsia" w:ascii="Times New Roman" w:hAnsi="Times New Roman" w:eastAsia="宋体" w:cs="宋体"/>
                <w:kern w:val="0"/>
                <w:sz w:val="24"/>
              </w:rPr>
              <w:t>财政拨款</w:t>
            </w:r>
          </w:p>
        </w:tc>
        <w:tc>
          <w:tcPr>
            <w:tcW w:w="2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hint="default" w:ascii="Times New Roman" w:hAnsi="Times New Roman" w:eastAsia="宋体" w:cs="宋体"/>
                <w:sz w:val="24"/>
                <w:lang w:val="en-US" w:eastAsia="zh-CN"/>
              </w:rPr>
            </w:pPr>
            <w:r>
              <w:rPr>
                <w:rFonts w:hint="eastAsia" w:ascii="Times New Roman" w:hAnsi="Times New Roman" w:eastAsia="宋体" w:cs="宋体"/>
                <w:sz w:val="24"/>
                <w:lang w:val="en-US" w:eastAsia="zh-CN"/>
              </w:rPr>
              <w:t>56.62</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宋体"/>
                <w:sz w:val="24"/>
              </w:rPr>
            </w:pP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sz w:val="24"/>
              </w:rPr>
            </w:pPr>
            <w:r>
              <w:rPr>
                <w:rFonts w:hint="eastAsia" w:ascii="Times New Roman" w:hAnsi="Times New Roman" w:eastAsia="宋体" w:cs="宋体"/>
                <w:kern w:val="0"/>
                <w:sz w:val="24"/>
              </w:rPr>
              <w:t>其他资金</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sz w:val="24"/>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sz w:val="24"/>
              </w:rPr>
            </w:pPr>
            <w:r>
              <w:rPr>
                <w:rFonts w:hint="eastAsia" w:ascii="Times New Roman" w:hAnsi="Times New Roman" w:eastAsia="宋体" w:cs="宋体"/>
                <w:kern w:val="0"/>
                <w:sz w:val="24"/>
              </w:rPr>
              <w:t>其他资金</w:t>
            </w:r>
          </w:p>
        </w:tc>
        <w:tc>
          <w:tcPr>
            <w:tcW w:w="2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kern w:val="0"/>
                <w:sz w:val="24"/>
              </w:rPr>
            </w:pPr>
            <w:r>
              <w:rPr>
                <w:rFonts w:hint="eastAsia" w:ascii="Times New Roman" w:hAnsi="Times New Roman" w:eastAsia="宋体" w:cs="宋体"/>
                <w:kern w:val="0"/>
                <w:sz w:val="24"/>
              </w:rPr>
              <w:t>年度总体目标</w:t>
            </w:r>
          </w:p>
          <w:p>
            <w:pPr>
              <w:widowControl/>
              <w:spacing w:line="320" w:lineRule="exact"/>
              <w:jc w:val="center"/>
              <w:textAlignment w:val="center"/>
              <w:outlineLvl w:val="9"/>
              <w:rPr>
                <w:rFonts w:ascii="Times New Roman" w:hAnsi="Times New Roman" w:eastAsia="宋体" w:cs="宋体"/>
                <w:sz w:val="24"/>
              </w:rPr>
            </w:pPr>
            <w:r>
              <w:rPr>
                <w:rFonts w:hint="eastAsia" w:ascii="Times New Roman" w:hAnsi="Times New Roman" w:eastAsia="宋体" w:cs="宋体"/>
                <w:kern w:val="0"/>
                <w:sz w:val="24"/>
              </w:rPr>
              <w:t>完成情况</w:t>
            </w:r>
          </w:p>
        </w:tc>
        <w:tc>
          <w:tcPr>
            <w:tcW w:w="4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sz w:val="24"/>
              </w:rPr>
            </w:pPr>
            <w:r>
              <w:rPr>
                <w:rFonts w:hint="eastAsia" w:ascii="Times New Roman" w:hAnsi="Times New Roman" w:eastAsia="宋体" w:cs="宋体"/>
                <w:kern w:val="0"/>
                <w:sz w:val="24"/>
              </w:rPr>
              <w:t>预期目标</w:t>
            </w:r>
          </w:p>
        </w:tc>
        <w:tc>
          <w:tcPr>
            <w:tcW w:w="34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宋体"/>
                <w:sz w:val="24"/>
              </w:rPr>
            </w:pPr>
            <w:r>
              <w:rPr>
                <w:rFonts w:hint="eastAsia" w:ascii="Times New Roman" w:hAnsi="Times New Roman" w:eastAsia="宋体" w:cs="宋体"/>
                <w:kern w:val="0"/>
                <w:sz w:val="24"/>
              </w:rPr>
              <w:t>目标实际完成情况</w:t>
            </w:r>
          </w:p>
        </w:tc>
      </w:tr>
      <w:tr>
        <w:tblPrEx>
          <w:tblCellMar>
            <w:top w:w="0" w:type="dxa"/>
            <w:left w:w="108" w:type="dxa"/>
            <w:bottom w:w="0" w:type="dxa"/>
            <w:right w:w="108" w:type="dxa"/>
          </w:tblCellMar>
        </w:tblPrEx>
        <w:trPr>
          <w:gridAfter w:val="1"/>
          <w:wAfter w:w="236" w:type="dxa"/>
          <w:trHeight w:val="2676"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宋体"/>
                <w:sz w:val="24"/>
              </w:rPr>
            </w:pPr>
          </w:p>
        </w:tc>
        <w:tc>
          <w:tcPr>
            <w:tcW w:w="4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top"/>
              <w:outlineLvl w:val="9"/>
              <w:rPr>
                <w:rFonts w:ascii="Times New Roman" w:hAnsi="Times New Roman" w:eastAsia="宋体" w:cs="宋体"/>
                <w:sz w:val="24"/>
              </w:rPr>
            </w:pPr>
            <w:r>
              <w:rPr>
                <w:rFonts w:hint="eastAsia" w:ascii="Times New Roman" w:hAnsi="Times New Roman" w:eastAsia="宋体" w:cs="宋体"/>
                <w:sz w:val="24"/>
              </w:rPr>
              <w:t>完成加强全县各部门、乡镇等领导班子建设；做好干部选配、考察考核、监督管理、提能培训；公务员招考录用及日常管理；党组织建设等组织工作。</w:t>
            </w:r>
          </w:p>
        </w:tc>
        <w:tc>
          <w:tcPr>
            <w:tcW w:w="34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top"/>
              <w:outlineLvl w:val="9"/>
              <w:rPr>
                <w:rFonts w:ascii="Times New Roman" w:hAnsi="Times New Roman" w:eastAsia="宋体"/>
                <w:sz w:val="24"/>
              </w:rPr>
            </w:pPr>
            <w:r>
              <w:rPr>
                <w:rFonts w:hint="eastAsia" w:ascii="Times New Roman" w:hAnsi="Times New Roman" w:eastAsia="宋体"/>
                <w:sz w:val="24"/>
              </w:rPr>
              <w:t>加强了全县各部门、乡镇等领导班子建设；顺利开展了系列干部选配、考察考核、监督管理、提能培训工作；完成了2021年度公务员招考录用及基础性绩效等薪资待遇管理工作；进一步做好了全县党员、党组织管理工作。</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仿宋_GB2312"/>
                <w:kern w:val="0"/>
                <w:sz w:val="24"/>
                <w:szCs w:val="28"/>
              </w:rPr>
            </w:pPr>
            <w:r>
              <w:rPr>
                <w:rFonts w:hint="eastAsia" w:ascii="Times New Roman" w:hAnsi="Times New Roman" w:eastAsia="宋体" w:cs="仿宋_GB2312"/>
                <w:kern w:val="0"/>
                <w:sz w:val="24"/>
                <w:szCs w:val="28"/>
              </w:rPr>
              <w:t>一级</w:t>
            </w:r>
          </w:p>
          <w:p>
            <w:pPr>
              <w:widowControl/>
              <w:spacing w:line="320" w:lineRule="exact"/>
              <w:jc w:val="center"/>
              <w:textAlignment w:val="center"/>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仿宋_GB2312"/>
                <w:kern w:val="0"/>
                <w:sz w:val="24"/>
                <w:szCs w:val="28"/>
              </w:rPr>
            </w:pPr>
            <w:r>
              <w:rPr>
                <w:rFonts w:hint="eastAsia" w:ascii="Times New Roman" w:hAnsi="Times New Roman" w:eastAsia="宋体" w:cs="仿宋_GB2312"/>
                <w:kern w:val="0"/>
                <w:sz w:val="24"/>
                <w:szCs w:val="28"/>
              </w:rPr>
              <w:t>二级</w:t>
            </w:r>
          </w:p>
          <w:p>
            <w:pPr>
              <w:widowControl/>
              <w:spacing w:line="320" w:lineRule="exact"/>
              <w:jc w:val="center"/>
              <w:textAlignment w:val="center"/>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指标</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仿宋_GB2312"/>
                <w:kern w:val="0"/>
                <w:sz w:val="24"/>
                <w:szCs w:val="28"/>
              </w:rPr>
            </w:pPr>
            <w:r>
              <w:rPr>
                <w:rFonts w:hint="eastAsia" w:ascii="Times New Roman" w:hAnsi="Times New Roman" w:eastAsia="宋体" w:cs="仿宋_GB2312"/>
                <w:kern w:val="0"/>
                <w:sz w:val="24"/>
                <w:szCs w:val="28"/>
              </w:rPr>
              <w:t>三级</w:t>
            </w:r>
          </w:p>
          <w:p>
            <w:pPr>
              <w:widowControl/>
              <w:spacing w:line="320" w:lineRule="exact"/>
              <w:jc w:val="center"/>
              <w:textAlignment w:val="center"/>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指标</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预期指标值</w:t>
            </w:r>
          </w:p>
        </w:tc>
        <w:tc>
          <w:tcPr>
            <w:tcW w:w="2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kern w:val="0"/>
                <w:sz w:val="24"/>
                <w:szCs w:val="28"/>
              </w:rPr>
            </w:pPr>
            <w:r>
              <w:rPr>
                <w:rFonts w:hint="eastAsia" w:ascii="Times New Roman" w:hAnsi="Times New Roman" w:eastAsia="宋体" w:cs="仿宋_GB2312"/>
                <w:kern w:val="0"/>
                <w:sz w:val="24"/>
                <w:szCs w:val="28"/>
              </w:rPr>
              <w:t>完成</w:t>
            </w:r>
          </w:p>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指标</w:t>
            </w:r>
          </w:p>
        </w:tc>
        <w:tc>
          <w:tcPr>
            <w:tcW w:w="1288"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hint="eastAsia" w:ascii="Times New Roman" w:hAnsi="Times New Roman" w:eastAsia="宋体" w:cs="仿宋_GB2312"/>
                <w:kern w:val="0"/>
                <w:sz w:val="24"/>
                <w:szCs w:val="28"/>
              </w:rPr>
            </w:pPr>
            <w:r>
              <w:rPr>
                <w:rFonts w:hint="eastAsia" w:ascii="Times New Roman" w:hAnsi="Times New Roman" w:eastAsia="宋体" w:cs="仿宋_GB2312"/>
                <w:kern w:val="0"/>
                <w:sz w:val="24"/>
                <w:szCs w:val="28"/>
              </w:rPr>
              <w:t>数量指标</w:t>
            </w:r>
          </w:p>
          <w:p>
            <w:pPr>
              <w:widowControl/>
              <w:spacing w:line="320" w:lineRule="exact"/>
              <w:jc w:val="center"/>
              <w:textAlignment w:val="bottom"/>
              <w:outlineLvl w:val="9"/>
              <w:rPr>
                <w:rFonts w:ascii="Times New Roman" w:hAnsi="Times New Roman" w:eastAsia="宋体" w:cs="仿宋_GB2312"/>
                <w:sz w:val="24"/>
                <w:szCs w:val="28"/>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rPr>
              <w:t>开展读书班及县升职谈话</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hint="eastAsia" w:ascii="Times New Roman" w:hAnsi="Times New Roman" w:eastAsia="宋体" w:cs="仿宋_GB2312"/>
                <w:sz w:val="24"/>
                <w:szCs w:val="28"/>
                <w:lang w:val="en-US" w:eastAsia="zh-CN"/>
              </w:rPr>
            </w:pPr>
            <w:r>
              <w:rPr>
                <w:rFonts w:hint="eastAsia" w:ascii="Times New Roman" w:hAnsi="Times New Roman" w:eastAsia="宋体" w:cs="仿宋_GB2312"/>
                <w:sz w:val="24"/>
                <w:szCs w:val="28"/>
                <w:lang w:val="en-US" w:eastAsia="zh-CN"/>
              </w:rPr>
              <w:t>2次</w:t>
            </w:r>
          </w:p>
        </w:tc>
        <w:tc>
          <w:tcPr>
            <w:tcW w:w="2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lang w:val="en-US" w:eastAsia="zh-CN"/>
              </w:rPr>
              <w:t>2次</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288"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cs="仿宋_GB2312"/>
                <w:sz w:val="24"/>
                <w:szCs w:val="28"/>
                <w:lang w:eastAsia="zh-CN"/>
              </w:rPr>
              <w:t>召开</w:t>
            </w:r>
            <w:r>
              <w:rPr>
                <w:rFonts w:hint="eastAsia" w:ascii="Times New Roman" w:hAnsi="Times New Roman" w:eastAsia="宋体" w:cs="仿宋_GB2312"/>
                <w:sz w:val="24"/>
                <w:szCs w:val="28"/>
              </w:rPr>
              <w:t>干部考察及述职会议</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hint="default" w:ascii="Times New Roman" w:hAnsi="Times New Roman" w:eastAsia="宋体" w:cs="仿宋_GB2312"/>
                <w:sz w:val="24"/>
                <w:szCs w:val="28"/>
                <w:lang w:val="en-US" w:eastAsia="zh-CN"/>
              </w:rPr>
            </w:pPr>
            <w:r>
              <w:rPr>
                <w:rFonts w:hint="eastAsia" w:ascii="Times New Roman" w:hAnsi="Times New Roman" w:eastAsia="宋体" w:cs="仿宋_GB2312"/>
                <w:sz w:val="24"/>
                <w:szCs w:val="28"/>
                <w:lang w:val="en-US" w:eastAsia="zh-CN"/>
              </w:rPr>
              <w:t>8次</w:t>
            </w:r>
          </w:p>
        </w:tc>
        <w:tc>
          <w:tcPr>
            <w:tcW w:w="2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lang w:val="en-US" w:eastAsia="zh-CN"/>
              </w:rPr>
              <w:t>8次</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288"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rPr>
              <w:t>开展调研及专题报告会</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hint="eastAsia" w:ascii="Times New Roman" w:hAnsi="Times New Roman" w:eastAsia="宋体" w:cs="仿宋_GB2312"/>
                <w:sz w:val="24"/>
                <w:szCs w:val="28"/>
                <w:lang w:val="en-US" w:eastAsia="zh-CN"/>
              </w:rPr>
            </w:pPr>
            <w:r>
              <w:rPr>
                <w:rFonts w:hint="eastAsia" w:ascii="Times New Roman" w:hAnsi="Times New Roman" w:eastAsia="宋体" w:cs="仿宋_GB2312"/>
                <w:sz w:val="24"/>
                <w:szCs w:val="28"/>
                <w:lang w:val="en-US" w:eastAsia="zh-CN"/>
              </w:rPr>
              <w:t>5次</w:t>
            </w:r>
          </w:p>
        </w:tc>
        <w:tc>
          <w:tcPr>
            <w:tcW w:w="2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lang w:val="en-US" w:eastAsia="zh-CN"/>
              </w:rPr>
              <w:t>5次</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成本指标</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hint="eastAsia" w:ascii="Times New Roman" w:hAnsi="Times New Roman" w:eastAsia="宋体" w:cs="仿宋_GB2312"/>
                <w:sz w:val="24"/>
                <w:szCs w:val="28"/>
                <w:lang w:eastAsia="zh-CN"/>
              </w:rPr>
            </w:pPr>
            <w:r>
              <w:rPr>
                <w:rFonts w:hint="eastAsia" w:ascii="Times New Roman" w:hAnsi="Times New Roman" w:eastAsia="宋体" w:cs="仿宋_GB2312"/>
                <w:sz w:val="24"/>
                <w:szCs w:val="28"/>
                <w:lang w:eastAsia="zh-CN"/>
              </w:rPr>
              <w:t>各项业务经费</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hint="default" w:ascii="Times New Roman" w:hAnsi="Times New Roman" w:eastAsia="宋体" w:cs="仿宋_GB2312"/>
                <w:sz w:val="24"/>
                <w:szCs w:val="28"/>
                <w:lang w:val="en-US" w:eastAsia="zh-CN"/>
              </w:rPr>
            </w:pPr>
            <w:r>
              <w:rPr>
                <w:rFonts w:hint="eastAsia" w:ascii="Times New Roman" w:hAnsi="Times New Roman" w:eastAsia="宋体" w:cs="仿宋_GB2312"/>
                <w:sz w:val="24"/>
                <w:szCs w:val="28"/>
                <w:lang w:val="en-US" w:eastAsia="zh-CN"/>
              </w:rPr>
              <w:t>56.62万元</w:t>
            </w:r>
          </w:p>
        </w:tc>
        <w:tc>
          <w:tcPr>
            <w:tcW w:w="2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lang w:val="en-US" w:eastAsia="zh-CN"/>
              </w:rPr>
              <w:t>56.62万元</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社会效益  指标</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rPr>
              <w:t>对全县各部门、乡镇干部队伍监督管理、能力提升的促进作用</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rPr>
              <w:t>更加积极有效</w:t>
            </w:r>
          </w:p>
        </w:tc>
        <w:tc>
          <w:tcPr>
            <w:tcW w:w="2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rPr>
              <w:t>更加积极有效</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可持续影响 指标</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rPr>
              <w:t>通过各项会议研讨及开展各项工作安排计划</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rPr>
              <w:t>推进落实各项工作、会议</w:t>
            </w:r>
          </w:p>
        </w:tc>
        <w:tc>
          <w:tcPr>
            <w:tcW w:w="2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rPr>
              <w:t>有序地</w:t>
            </w:r>
            <w:r>
              <w:rPr>
                <w:rFonts w:hint="eastAsia" w:cs="仿宋_GB2312"/>
                <w:sz w:val="24"/>
                <w:szCs w:val="28"/>
                <w:lang w:eastAsia="zh-CN"/>
              </w:rPr>
              <w:t>召开</w:t>
            </w:r>
            <w:r>
              <w:rPr>
                <w:rFonts w:hint="eastAsia" w:ascii="Times New Roman" w:hAnsi="Times New Roman" w:eastAsia="宋体" w:cs="仿宋_GB2312"/>
                <w:sz w:val="24"/>
                <w:szCs w:val="28"/>
              </w:rPr>
              <w:t>了各项会议，推动工作落实</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outlineLvl w:val="9"/>
              <w:rPr>
                <w:rFonts w:ascii="Times New Roman" w:hAnsi="Times New Roman" w:eastAsia="宋体" w:cs="仿宋_GB2312"/>
                <w:sz w:val="24"/>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满意</w:t>
            </w:r>
            <w:r>
              <w:rPr>
                <w:rFonts w:hint="eastAsia" w:ascii="Times New Roman" w:hAnsi="Times New Roman" w:eastAsia="宋体" w:cs="仿宋_GB2312"/>
                <w:kern w:val="0"/>
                <w:sz w:val="24"/>
                <w:szCs w:val="28"/>
              </w:rPr>
              <w:br w:type="textWrapping"/>
            </w:r>
            <w:r>
              <w:rPr>
                <w:rFonts w:hint="eastAsia" w:ascii="Times New Roman" w:hAnsi="Times New Roman" w:eastAsia="宋体" w:cs="仿宋_GB2312"/>
                <w:kern w:val="0"/>
                <w:sz w:val="24"/>
                <w:szCs w:val="28"/>
              </w:rPr>
              <w:t>度指标</w:t>
            </w:r>
          </w:p>
        </w:tc>
        <w:tc>
          <w:tcPr>
            <w:tcW w:w="12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kern w:val="0"/>
                <w:sz w:val="24"/>
                <w:szCs w:val="28"/>
              </w:rPr>
            </w:pPr>
            <w:r>
              <w:rPr>
                <w:rFonts w:hint="eastAsia" w:ascii="Times New Roman" w:hAnsi="Times New Roman" w:eastAsia="宋体" w:cs="仿宋_GB2312"/>
                <w:kern w:val="0"/>
                <w:sz w:val="24"/>
                <w:szCs w:val="28"/>
              </w:rPr>
              <w:t>满意度</w:t>
            </w:r>
          </w:p>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kern w:val="0"/>
                <w:sz w:val="24"/>
                <w:szCs w:val="28"/>
              </w:rPr>
              <w:t>指标</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rPr>
              <w:t>各项保障业务开展的满意度</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rPr>
              <w:t>≥95%</w:t>
            </w:r>
          </w:p>
        </w:tc>
        <w:tc>
          <w:tcPr>
            <w:tcW w:w="2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outlineLvl w:val="9"/>
              <w:rPr>
                <w:rFonts w:ascii="Times New Roman" w:hAnsi="Times New Roman" w:eastAsia="宋体" w:cs="仿宋_GB2312"/>
                <w:sz w:val="24"/>
                <w:szCs w:val="28"/>
              </w:rPr>
            </w:pPr>
            <w:r>
              <w:rPr>
                <w:rFonts w:hint="eastAsia" w:ascii="Times New Roman" w:hAnsi="Times New Roman" w:eastAsia="宋体" w:cs="仿宋_GB2312"/>
                <w:sz w:val="24"/>
                <w:szCs w:val="28"/>
              </w:rPr>
              <w:t>98%</w:t>
            </w:r>
          </w:p>
        </w:tc>
      </w:tr>
    </w:tbl>
    <w:p>
      <w:pPr>
        <w:widowControl/>
        <w:jc w:val="left"/>
        <w:outlineLvl w:val="9"/>
        <w:rPr>
          <w:rStyle w:val="27"/>
          <w:rFonts w:ascii="黑体" w:hAnsi="黑体" w:eastAsia="黑体"/>
          <w:b w:val="0"/>
        </w:rPr>
      </w:pPr>
      <w:r>
        <w:rPr>
          <w:rStyle w:val="27"/>
          <w:rFonts w:ascii="Times New Roman" w:hAnsi="Times New Roman" w:eastAsia="宋体"/>
          <w:b w:val="0"/>
          <w:sz w:val="24"/>
        </w:rPr>
        <w:br w:type="page"/>
      </w:r>
    </w:p>
    <w:p>
      <w:pPr>
        <w:widowControl/>
        <w:adjustRightInd w:val="0"/>
        <w:snapToGrid w:val="0"/>
        <w:spacing w:line="580" w:lineRule="exact"/>
        <w:contextualSpacing/>
        <w:jc w:val="left"/>
        <w:outlineLvl w:val="9"/>
      </w:pPr>
      <w:bookmarkStart w:id="91" w:name="_Toc21958"/>
      <w:bookmarkStart w:id="92" w:name="_Toc15396618"/>
      <w:r>
        <w:rPr>
          <w:rFonts w:hint="eastAsia" w:ascii="仿宋_GB2312" w:hAnsi="宋体" w:eastAsia="仿宋_GB2312" w:cs="宋体"/>
          <w:kern w:val="0"/>
          <w:sz w:val="32"/>
          <w:szCs w:val="32"/>
          <w:shd w:val="clear" w:color="auto" w:fill="FFFFFF"/>
          <w:lang w:val="zh-CN"/>
        </w:rPr>
        <w:t>附表</w:t>
      </w:r>
      <w:r>
        <w:rPr>
          <w:rFonts w:hint="eastAsia" w:ascii="仿宋_GB2312" w:hAnsi="宋体" w:eastAsia="仿宋_GB2312" w:cs="宋体"/>
          <w:kern w:val="0"/>
          <w:sz w:val="32"/>
          <w:szCs w:val="32"/>
          <w:shd w:val="clear" w:color="auto" w:fill="FFFFFF"/>
          <w:lang w:val="en-US" w:eastAsia="zh-CN"/>
        </w:rPr>
        <w:t>3</w:t>
      </w:r>
      <w:r>
        <w:rPr>
          <w:rFonts w:hint="eastAsia" w:ascii="仿宋_GB2312" w:hAnsi="宋体" w:eastAsia="仿宋_GB2312" w:cs="宋体"/>
          <w:kern w:val="0"/>
          <w:sz w:val="32"/>
          <w:szCs w:val="32"/>
          <w:shd w:val="clear" w:color="auto" w:fill="FFFFFF"/>
          <w:lang w:val="zh-CN"/>
        </w:rPr>
        <w:t>：</w:t>
      </w:r>
    </w:p>
    <w:tbl>
      <w:tblPr>
        <w:tblStyle w:val="14"/>
        <w:tblpPr w:leftFromText="180" w:rightFromText="180" w:vertAnchor="text" w:horzAnchor="page" w:tblpX="1494" w:tblpY="159"/>
        <w:tblOverlap w:val="never"/>
        <w:tblW w:w="98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6"/>
        <w:gridCol w:w="1142"/>
        <w:gridCol w:w="1504"/>
        <w:gridCol w:w="1255"/>
        <w:gridCol w:w="395"/>
        <w:gridCol w:w="1378"/>
        <w:gridCol w:w="1925"/>
        <w:gridCol w:w="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9575" w:type="dxa"/>
            <w:gridSpan w:val="7"/>
            <w:tcBorders>
              <w:right w:val="single" w:color="auto" w:sz="4" w:space="0"/>
            </w:tcBorders>
            <w:shd w:val="clear" w:color="auto" w:fill="auto"/>
            <w:vAlign w:val="center"/>
          </w:tcPr>
          <w:p>
            <w:pPr>
              <w:widowControl/>
              <w:jc w:val="center"/>
              <w:textAlignment w:val="center"/>
              <w:rPr>
                <w:rFonts w:ascii="宋体" w:hAnsi="宋体" w:cs="宋体"/>
                <w:b/>
                <w:sz w:val="32"/>
                <w:szCs w:val="32"/>
              </w:rPr>
            </w:pPr>
            <w:r>
              <w:rPr>
                <w:rFonts w:hint="eastAsia" w:ascii="宋体" w:hAnsi="宋体" w:cs="宋体"/>
                <w:b/>
                <w:sz w:val="32"/>
                <w:szCs w:val="32"/>
              </w:rPr>
              <w:t>2021年盐边县老干部经费项目绩效目标自评</w:t>
            </w:r>
          </w:p>
        </w:tc>
        <w:tc>
          <w:tcPr>
            <w:tcW w:w="240" w:type="dxa"/>
            <w:tcBorders>
              <w:top w:val="nil"/>
              <w:left w:val="single" w:color="auto" w:sz="4" w:space="0"/>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254" w:hRule="atLeast"/>
        </w:trPr>
        <w:tc>
          <w:tcPr>
            <w:tcW w:w="3118" w:type="dxa"/>
            <w:gridSpan w:val="2"/>
            <w:shd w:val="clear" w:color="auto" w:fill="auto"/>
            <w:vAlign w:val="center"/>
          </w:tcPr>
          <w:p>
            <w:pPr>
              <w:widowControl/>
              <w:spacing w:line="320" w:lineRule="exact"/>
              <w:jc w:val="center"/>
              <w:textAlignment w:val="center"/>
              <w:rPr>
                <w:rFonts w:ascii="Times New Roman" w:hAnsi="Times New Roman" w:cs="Times New Roman"/>
                <w:sz w:val="24"/>
              </w:rPr>
            </w:pPr>
            <w:r>
              <w:rPr>
                <w:rFonts w:hint="eastAsia" w:ascii="Times New Roman" w:hAnsi="Times New Roman" w:cs="Times New Roman"/>
                <w:kern w:val="0"/>
                <w:sz w:val="24"/>
              </w:rPr>
              <w:t>主管部门及代码</w:t>
            </w:r>
          </w:p>
        </w:tc>
        <w:tc>
          <w:tcPr>
            <w:tcW w:w="2759" w:type="dxa"/>
            <w:gridSpan w:val="2"/>
            <w:shd w:val="clear" w:color="auto" w:fill="auto"/>
            <w:vAlign w:val="center"/>
          </w:tcPr>
          <w:p>
            <w:pPr>
              <w:widowControl/>
              <w:spacing w:line="320" w:lineRule="exact"/>
              <w:textAlignment w:val="center"/>
              <w:rPr>
                <w:rFonts w:ascii="Times New Roman" w:hAnsi="Times New Roman" w:cs="Times New Roman"/>
                <w:sz w:val="24"/>
              </w:rPr>
            </w:pPr>
            <w:r>
              <w:rPr>
                <w:rFonts w:hint="eastAsia" w:ascii="Times New Roman" w:hAnsi="Times New Roman" w:cs="Times New Roman"/>
                <w:sz w:val="24"/>
                <w:lang w:val="en-US" w:eastAsia="zh-CN"/>
              </w:rPr>
              <w:t xml:space="preserve">盐边县委组织部 </w:t>
            </w:r>
            <w:r>
              <w:rPr>
                <w:rFonts w:hint="eastAsia" w:ascii="Times New Roman" w:hAnsi="Times New Roman" w:eastAsia="宋体" w:cs="Times New Roman"/>
                <w:sz w:val="24"/>
                <w:lang w:val="en-US" w:eastAsia="zh-CN"/>
              </w:rPr>
              <w:t>207001</w:t>
            </w:r>
          </w:p>
        </w:tc>
        <w:tc>
          <w:tcPr>
            <w:tcW w:w="1773" w:type="dxa"/>
            <w:gridSpan w:val="2"/>
            <w:shd w:val="clear" w:color="auto" w:fill="auto"/>
            <w:vAlign w:val="center"/>
          </w:tcPr>
          <w:p>
            <w:pPr>
              <w:widowControl/>
              <w:spacing w:line="320" w:lineRule="exact"/>
              <w:jc w:val="center"/>
              <w:textAlignment w:val="center"/>
              <w:rPr>
                <w:rFonts w:ascii="Times New Roman" w:hAnsi="Times New Roman" w:cs="Times New Roman"/>
                <w:sz w:val="24"/>
              </w:rPr>
            </w:pPr>
            <w:r>
              <w:rPr>
                <w:rFonts w:hint="eastAsia" w:ascii="Times New Roman" w:hAnsi="Times New Roman" w:cs="Times New Roman"/>
                <w:kern w:val="0"/>
                <w:sz w:val="24"/>
              </w:rPr>
              <w:t>实施单位</w:t>
            </w:r>
          </w:p>
        </w:tc>
        <w:tc>
          <w:tcPr>
            <w:tcW w:w="1925" w:type="dxa"/>
            <w:tcBorders>
              <w:right w:val="single" w:color="auto" w:sz="4" w:space="0"/>
            </w:tcBorders>
            <w:shd w:val="clear" w:color="auto" w:fill="auto"/>
            <w:vAlign w:val="center"/>
          </w:tcPr>
          <w:p>
            <w:pPr>
              <w:widowControl/>
              <w:spacing w:line="320" w:lineRule="exact"/>
              <w:jc w:val="center"/>
              <w:textAlignment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盐边县老干部活动中心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341" w:hRule="atLeast"/>
        </w:trPr>
        <w:tc>
          <w:tcPr>
            <w:tcW w:w="3118" w:type="dxa"/>
            <w:gridSpan w:val="2"/>
            <w:vMerge w:val="restart"/>
            <w:shd w:val="clear" w:color="auto" w:fill="auto"/>
            <w:vAlign w:val="center"/>
          </w:tcPr>
          <w:p>
            <w:pPr>
              <w:widowControl/>
              <w:spacing w:line="320" w:lineRule="exact"/>
              <w:jc w:val="center"/>
              <w:textAlignment w:val="center"/>
              <w:rPr>
                <w:rFonts w:ascii="Times New Roman" w:hAnsi="Times New Roman" w:cs="Times New Roman"/>
                <w:sz w:val="24"/>
              </w:rPr>
            </w:pPr>
            <w:r>
              <w:rPr>
                <w:rFonts w:hint="eastAsia" w:ascii="Times New Roman" w:hAnsi="Times New Roman" w:cs="Times New Roman"/>
                <w:kern w:val="0"/>
                <w:sz w:val="24"/>
              </w:rPr>
              <w:t>项目预算</w:t>
            </w:r>
            <w:r>
              <w:rPr>
                <w:rFonts w:hint="eastAsia" w:ascii="Times New Roman" w:hAnsi="Times New Roman" w:cs="Times New Roman"/>
                <w:kern w:val="0"/>
                <w:sz w:val="24"/>
              </w:rPr>
              <w:br w:type="textWrapping"/>
            </w:r>
            <w:r>
              <w:rPr>
                <w:rFonts w:hint="eastAsia" w:ascii="Times New Roman" w:hAnsi="Times New Roman" w:cs="Times New Roman"/>
                <w:kern w:val="0"/>
                <w:sz w:val="24"/>
              </w:rPr>
              <w:t>执行情况</w:t>
            </w:r>
            <w:r>
              <w:rPr>
                <w:rFonts w:hint="eastAsia" w:ascii="Times New Roman" w:hAnsi="Times New Roman" w:cs="Times New Roman"/>
                <w:kern w:val="0"/>
                <w:sz w:val="24"/>
              </w:rPr>
              <w:br w:type="textWrapping"/>
            </w:r>
            <w:r>
              <w:rPr>
                <w:rFonts w:hint="eastAsia" w:ascii="Times New Roman" w:hAnsi="Times New Roman" w:cs="Times New Roman"/>
                <w:kern w:val="0"/>
                <w:sz w:val="24"/>
              </w:rPr>
              <w:t>（万元）</w:t>
            </w:r>
          </w:p>
        </w:tc>
        <w:tc>
          <w:tcPr>
            <w:tcW w:w="1504" w:type="dxa"/>
            <w:shd w:val="clear" w:color="auto" w:fill="auto"/>
            <w:vAlign w:val="center"/>
          </w:tcPr>
          <w:p>
            <w:pPr>
              <w:widowControl/>
              <w:spacing w:line="320" w:lineRule="exact"/>
              <w:jc w:val="left"/>
              <w:textAlignment w:val="center"/>
              <w:rPr>
                <w:rFonts w:ascii="Times New Roman" w:hAnsi="Times New Roman" w:cs="Times New Roman"/>
                <w:sz w:val="24"/>
              </w:rPr>
            </w:pPr>
            <w:r>
              <w:rPr>
                <w:rFonts w:hint="eastAsia" w:ascii="Times New Roman" w:hAnsi="Times New Roman" w:cs="Times New Roman"/>
                <w:kern w:val="0"/>
                <w:sz w:val="24"/>
              </w:rPr>
              <w:t xml:space="preserve"> 预算数：</w:t>
            </w:r>
          </w:p>
        </w:tc>
        <w:tc>
          <w:tcPr>
            <w:tcW w:w="1255" w:type="dxa"/>
            <w:shd w:val="clear" w:color="auto" w:fill="auto"/>
            <w:vAlign w:val="center"/>
          </w:tcPr>
          <w:p>
            <w:pPr>
              <w:widowControl/>
              <w:spacing w:line="320" w:lineRule="exact"/>
              <w:jc w:val="left"/>
              <w:textAlignment w:val="center"/>
              <w:rPr>
                <w:rFonts w:ascii="Times New Roman" w:hAnsi="Times New Roman" w:cs="Times New Roman"/>
                <w:sz w:val="24"/>
              </w:rPr>
            </w:pPr>
            <w:r>
              <w:rPr>
                <w:rFonts w:hint="eastAsia" w:ascii="Times New Roman" w:hAnsi="Times New Roman" w:cs="Times New Roman"/>
                <w:sz w:val="24"/>
              </w:rPr>
              <w:t>33.99万元</w:t>
            </w:r>
          </w:p>
        </w:tc>
        <w:tc>
          <w:tcPr>
            <w:tcW w:w="1773" w:type="dxa"/>
            <w:gridSpan w:val="2"/>
            <w:shd w:val="clear" w:color="auto" w:fill="auto"/>
            <w:vAlign w:val="center"/>
          </w:tcPr>
          <w:p>
            <w:pPr>
              <w:widowControl/>
              <w:spacing w:line="320" w:lineRule="exact"/>
              <w:jc w:val="left"/>
              <w:textAlignment w:val="center"/>
              <w:rPr>
                <w:rFonts w:ascii="Times New Roman" w:hAnsi="Times New Roman" w:cs="Times New Roman"/>
                <w:sz w:val="24"/>
              </w:rPr>
            </w:pPr>
            <w:r>
              <w:rPr>
                <w:rFonts w:hint="eastAsia" w:ascii="Times New Roman" w:hAnsi="Times New Roman" w:cs="Times New Roman"/>
                <w:kern w:val="0"/>
                <w:sz w:val="24"/>
              </w:rPr>
              <w:t xml:space="preserve"> 执行数：</w:t>
            </w:r>
          </w:p>
        </w:tc>
        <w:tc>
          <w:tcPr>
            <w:tcW w:w="1925" w:type="dxa"/>
            <w:tcBorders>
              <w:right w:val="single" w:color="auto" w:sz="4" w:space="0"/>
            </w:tcBorders>
            <w:shd w:val="clear" w:color="auto" w:fill="auto"/>
            <w:vAlign w:val="center"/>
          </w:tcPr>
          <w:p>
            <w:pPr>
              <w:widowControl/>
              <w:spacing w:line="320" w:lineRule="exact"/>
              <w:jc w:val="both"/>
              <w:textAlignment w:val="center"/>
              <w:rPr>
                <w:rFonts w:ascii="Times New Roman" w:hAnsi="Times New Roman" w:cs="Times New Roman"/>
                <w:sz w:val="24"/>
              </w:rPr>
            </w:pPr>
            <w:r>
              <w:rPr>
                <w:rFonts w:hint="eastAsia" w:ascii="Times New Roman" w:hAnsi="Times New Roman" w:cs="Times New Roman"/>
                <w:sz w:val="24"/>
              </w:rPr>
              <w:t>33.99万元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555" w:hRule="atLeast"/>
        </w:trPr>
        <w:tc>
          <w:tcPr>
            <w:tcW w:w="3118" w:type="dxa"/>
            <w:gridSpan w:val="2"/>
            <w:vMerge w:val="continue"/>
            <w:shd w:val="clear" w:color="auto" w:fill="auto"/>
            <w:vAlign w:val="center"/>
          </w:tcPr>
          <w:p>
            <w:pPr>
              <w:spacing w:line="320" w:lineRule="exact"/>
              <w:jc w:val="center"/>
              <w:rPr>
                <w:rFonts w:ascii="Times New Roman" w:hAnsi="Times New Roman" w:cs="Times New Roman"/>
                <w:sz w:val="24"/>
              </w:rPr>
            </w:pPr>
          </w:p>
        </w:tc>
        <w:tc>
          <w:tcPr>
            <w:tcW w:w="1504" w:type="dxa"/>
            <w:shd w:val="clear" w:color="auto" w:fill="auto"/>
            <w:vAlign w:val="center"/>
          </w:tcPr>
          <w:p>
            <w:pPr>
              <w:widowControl/>
              <w:spacing w:line="320" w:lineRule="exact"/>
              <w:jc w:val="left"/>
              <w:textAlignment w:val="center"/>
              <w:rPr>
                <w:rFonts w:ascii="Times New Roman" w:hAnsi="Times New Roman" w:cs="Times New Roman"/>
                <w:kern w:val="0"/>
                <w:sz w:val="24"/>
              </w:rPr>
            </w:pPr>
            <w:r>
              <w:rPr>
                <w:rFonts w:hint="eastAsia" w:ascii="Times New Roman" w:hAnsi="Times New Roman" w:cs="Times New Roman"/>
                <w:kern w:val="0"/>
                <w:sz w:val="24"/>
              </w:rPr>
              <w:t>其中：</w:t>
            </w:r>
          </w:p>
          <w:p>
            <w:pPr>
              <w:widowControl/>
              <w:spacing w:line="320" w:lineRule="exact"/>
              <w:jc w:val="left"/>
              <w:textAlignment w:val="center"/>
              <w:rPr>
                <w:rFonts w:ascii="Times New Roman" w:hAnsi="Times New Roman" w:cs="Times New Roman"/>
                <w:sz w:val="24"/>
              </w:rPr>
            </w:pPr>
            <w:r>
              <w:rPr>
                <w:rFonts w:hint="eastAsia" w:ascii="Times New Roman" w:hAnsi="Times New Roman" w:cs="Times New Roman"/>
                <w:kern w:val="0"/>
                <w:sz w:val="24"/>
              </w:rPr>
              <w:t>财政拨款</w:t>
            </w:r>
          </w:p>
        </w:tc>
        <w:tc>
          <w:tcPr>
            <w:tcW w:w="1255" w:type="dxa"/>
            <w:shd w:val="clear" w:color="auto" w:fill="auto"/>
            <w:vAlign w:val="center"/>
          </w:tcPr>
          <w:p>
            <w:pPr>
              <w:widowControl/>
              <w:spacing w:line="320" w:lineRule="exact"/>
              <w:jc w:val="left"/>
              <w:textAlignment w:val="center"/>
              <w:rPr>
                <w:rFonts w:ascii="Times New Roman" w:hAnsi="Times New Roman" w:cs="Times New Roman"/>
                <w:sz w:val="24"/>
              </w:rPr>
            </w:pPr>
            <w:r>
              <w:rPr>
                <w:rFonts w:hint="eastAsia" w:ascii="Times New Roman" w:hAnsi="Times New Roman" w:cs="Times New Roman"/>
                <w:sz w:val="24"/>
              </w:rPr>
              <w:t>33.99万元</w:t>
            </w:r>
          </w:p>
        </w:tc>
        <w:tc>
          <w:tcPr>
            <w:tcW w:w="1773" w:type="dxa"/>
            <w:gridSpan w:val="2"/>
            <w:shd w:val="clear" w:color="auto" w:fill="auto"/>
            <w:vAlign w:val="center"/>
          </w:tcPr>
          <w:p>
            <w:pPr>
              <w:widowControl/>
              <w:spacing w:line="320" w:lineRule="exact"/>
              <w:jc w:val="left"/>
              <w:textAlignment w:val="center"/>
              <w:rPr>
                <w:rFonts w:ascii="Times New Roman" w:hAnsi="Times New Roman" w:cs="Times New Roman"/>
                <w:kern w:val="0"/>
                <w:sz w:val="24"/>
              </w:rPr>
            </w:pPr>
            <w:r>
              <w:rPr>
                <w:rFonts w:hint="eastAsia" w:ascii="Times New Roman" w:hAnsi="Times New Roman" w:cs="Times New Roman"/>
                <w:kern w:val="0"/>
                <w:sz w:val="24"/>
              </w:rPr>
              <w:t>其中：</w:t>
            </w:r>
          </w:p>
          <w:p>
            <w:pPr>
              <w:widowControl/>
              <w:spacing w:line="320" w:lineRule="exact"/>
              <w:jc w:val="left"/>
              <w:textAlignment w:val="center"/>
              <w:rPr>
                <w:rFonts w:ascii="Times New Roman" w:hAnsi="Times New Roman" w:cs="Times New Roman"/>
                <w:sz w:val="24"/>
              </w:rPr>
            </w:pPr>
            <w:r>
              <w:rPr>
                <w:rFonts w:hint="eastAsia" w:ascii="Times New Roman" w:hAnsi="Times New Roman" w:cs="Times New Roman"/>
                <w:kern w:val="0"/>
                <w:sz w:val="24"/>
              </w:rPr>
              <w:t>财政拨款</w:t>
            </w:r>
          </w:p>
        </w:tc>
        <w:tc>
          <w:tcPr>
            <w:tcW w:w="1925" w:type="dxa"/>
            <w:tcBorders>
              <w:right w:val="single" w:color="auto" w:sz="4" w:space="0"/>
            </w:tcBorders>
            <w:shd w:val="clear" w:color="auto" w:fill="auto"/>
            <w:vAlign w:val="center"/>
          </w:tcPr>
          <w:p>
            <w:pPr>
              <w:widowControl/>
              <w:spacing w:line="320" w:lineRule="exact"/>
              <w:textAlignment w:val="center"/>
              <w:rPr>
                <w:rFonts w:ascii="Times New Roman" w:hAnsi="Times New Roman" w:cs="Times New Roman"/>
                <w:sz w:val="24"/>
              </w:rPr>
            </w:pPr>
            <w:r>
              <w:rPr>
                <w:rFonts w:hint="eastAsia" w:ascii="Times New Roman" w:hAnsi="Times New Roman" w:cs="Times New Roman"/>
                <w:sz w:val="24"/>
              </w:rPr>
              <w:t>33.99万元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341" w:hRule="atLeast"/>
        </w:trPr>
        <w:tc>
          <w:tcPr>
            <w:tcW w:w="3118" w:type="dxa"/>
            <w:gridSpan w:val="2"/>
            <w:vMerge w:val="continue"/>
            <w:shd w:val="clear" w:color="auto" w:fill="auto"/>
            <w:vAlign w:val="center"/>
          </w:tcPr>
          <w:p>
            <w:pPr>
              <w:spacing w:line="320" w:lineRule="exact"/>
              <w:jc w:val="center"/>
              <w:rPr>
                <w:rFonts w:ascii="Times New Roman" w:hAnsi="Times New Roman" w:cs="Times New Roman"/>
                <w:sz w:val="24"/>
              </w:rPr>
            </w:pPr>
          </w:p>
        </w:tc>
        <w:tc>
          <w:tcPr>
            <w:tcW w:w="1504" w:type="dxa"/>
            <w:shd w:val="clear" w:color="auto" w:fill="auto"/>
            <w:vAlign w:val="center"/>
          </w:tcPr>
          <w:p>
            <w:pPr>
              <w:widowControl/>
              <w:spacing w:line="320" w:lineRule="exact"/>
              <w:jc w:val="left"/>
              <w:textAlignment w:val="center"/>
              <w:rPr>
                <w:rFonts w:ascii="Times New Roman" w:hAnsi="Times New Roman" w:cs="Times New Roman"/>
                <w:sz w:val="24"/>
              </w:rPr>
            </w:pPr>
            <w:r>
              <w:rPr>
                <w:rFonts w:hint="eastAsia" w:ascii="Times New Roman" w:hAnsi="Times New Roman" w:cs="Times New Roman"/>
                <w:kern w:val="0"/>
                <w:sz w:val="24"/>
              </w:rPr>
              <w:t>其他资金</w:t>
            </w:r>
          </w:p>
        </w:tc>
        <w:tc>
          <w:tcPr>
            <w:tcW w:w="1255" w:type="dxa"/>
            <w:shd w:val="clear" w:color="auto" w:fill="auto"/>
            <w:vAlign w:val="center"/>
          </w:tcPr>
          <w:p>
            <w:pPr>
              <w:widowControl/>
              <w:spacing w:line="320" w:lineRule="exact"/>
              <w:jc w:val="left"/>
              <w:textAlignment w:val="center"/>
              <w:rPr>
                <w:rFonts w:ascii="Times New Roman" w:hAnsi="Times New Roman" w:cs="Times New Roman"/>
                <w:sz w:val="24"/>
              </w:rPr>
            </w:pPr>
          </w:p>
        </w:tc>
        <w:tc>
          <w:tcPr>
            <w:tcW w:w="1773" w:type="dxa"/>
            <w:gridSpan w:val="2"/>
            <w:shd w:val="clear" w:color="auto" w:fill="auto"/>
            <w:vAlign w:val="center"/>
          </w:tcPr>
          <w:p>
            <w:pPr>
              <w:widowControl/>
              <w:spacing w:line="320" w:lineRule="exact"/>
              <w:jc w:val="left"/>
              <w:textAlignment w:val="center"/>
              <w:rPr>
                <w:rFonts w:ascii="Times New Roman" w:hAnsi="Times New Roman" w:cs="Times New Roman"/>
                <w:sz w:val="24"/>
              </w:rPr>
            </w:pPr>
            <w:r>
              <w:rPr>
                <w:rFonts w:hint="eastAsia" w:ascii="Times New Roman" w:hAnsi="Times New Roman" w:cs="Times New Roman"/>
                <w:kern w:val="0"/>
                <w:sz w:val="24"/>
              </w:rPr>
              <w:t>其他资金</w:t>
            </w:r>
          </w:p>
        </w:tc>
        <w:tc>
          <w:tcPr>
            <w:tcW w:w="1925" w:type="dxa"/>
            <w:tcBorders>
              <w:right w:val="single" w:color="auto" w:sz="4" w:space="0"/>
            </w:tcBorders>
            <w:shd w:val="clear" w:color="auto" w:fill="auto"/>
            <w:vAlign w:val="center"/>
          </w:tcPr>
          <w:p>
            <w:pPr>
              <w:widowControl/>
              <w:spacing w:line="320" w:lineRule="exact"/>
              <w:jc w:val="center"/>
              <w:textAlignment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217" w:hRule="atLeast"/>
        </w:trPr>
        <w:tc>
          <w:tcPr>
            <w:tcW w:w="1976" w:type="dxa"/>
            <w:vMerge w:val="restart"/>
            <w:shd w:val="clear" w:color="auto" w:fill="auto"/>
            <w:vAlign w:val="center"/>
          </w:tcPr>
          <w:p>
            <w:pPr>
              <w:widowControl/>
              <w:spacing w:line="320" w:lineRule="exact"/>
              <w:jc w:val="center"/>
              <w:textAlignment w:val="center"/>
              <w:rPr>
                <w:rFonts w:ascii="Times New Roman" w:hAnsi="Times New Roman" w:cs="Times New Roman"/>
                <w:kern w:val="0"/>
                <w:sz w:val="24"/>
              </w:rPr>
            </w:pPr>
            <w:r>
              <w:rPr>
                <w:rFonts w:hint="eastAsia" w:ascii="Times New Roman" w:hAnsi="Times New Roman" w:cs="Times New Roman"/>
                <w:kern w:val="0"/>
                <w:sz w:val="24"/>
              </w:rPr>
              <w:t>年度总体目标</w:t>
            </w:r>
          </w:p>
          <w:p>
            <w:pPr>
              <w:widowControl/>
              <w:spacing w:line="320" w:lineRule="exact"/>
              <w:jc w:val="center"/>
              <w:textAlignment w:val="center"/>
              <w:rPr>
                <w:rFonts w:ascii="Times New Roman" w:hAnsi="Times New Roman" w:cs="Times New Roman"/>
                <w:sz w:val="24"/>
              </w:rPr>
            </w:pPr>
            <w:r>
              <w:rPr>
                <w:rFonts w:hint="eastAsia" w:ascii="Times New Roman" w:hAnsi="Times New Roman" w:cs="Times New Roman"/>
                <w:kern w:val="0"/>
                <w:sz w:val="24"/>
              </w:rPr>
              <w:t>完成情况</w:t>
            </w:r>
          </w:p>
        </w:tc>
        <w:tc>
          <w:tcPr>
            <w:tcW w:w="3901" w:type="dxa"/>
            <w:gridSpan w:val="3"/>
            <w:shd w:val="clear" w:color="auto" w:fill="auto"/>
            <w:vAlign w:val="center"/>
          </w:tcPr>
          <w:p>
            <w:pPr>
              <w:widowControl/>
              <w:spacing w:line="320" w:lineRule="exact"/>
              <w:jc w:val="center"/>
              <w:textAlignment w:val="center"/>
              <w:rPr>
                <w:rFonts w:ascii="Times New Roman" w:hAnsi="Times New Roman" w:cs="Times New Roman"/>
                <w:sz w:val="24"/>
              </w:rPr>
            </w:pPr>
            <w:r>
              <w:rPr>
                <w:rFonts w:hint="eastAsia" w:ascii="Times New Roman" w:hAnsi="Times New Roman" w:cs="Times New Roman"/>
                <w:kern w:val="0"/>
                <w:sz w:val="24"/>
              </w:rPr>
              <w:t>预期目标</w:t>
            </w:r>
          </w:p>
        </w:tc>
        <w:tc>
          <w:tcPr>
            <w:tcW w:w="3698" w:type="dxa"/>
            <w:gridSpan w:val="3"/>
            <w:tcBorders>
              <w:right w:val="single" w:color="auto" w:sz="4" w:space="0"/>
            </w:tcBorders>
            <w:shd w:val="clear" w:color="auto" w:fill="auto"/>
            <w:vAlign w:val="center"/>
          </w:tcPr>
          <w:p>
            <w:pPr>
              <w:widowControl/>
              <w:spacing w:line="320" w:lineRule="exact"/>
              <w:jc w:val="center"/>
              <w:textAlignment w:val="center"/>
              <w:rPr>
                <w:rFonts w:ascii="Times New Roman" w:hAnsi="Times New Roman" w:cs="Times New Roman"/>
                <w:sz w:val="24"/>
              </w:rPr>
            </w:pPr>
            <w:r>
              <w:rPr>
                <w:rFonts w:hint="eastAsia" w:ascii="Times New Roman" w:hAnsi="Times New Roman" w:cs="Times New Roman"/>
                <w:kern w:val="0"/>
                <w:sz w:val="24"/>
              </w:rPr>
              <w:t>目标实际完成情况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797" w:hRule="atLeast"/>
        </w:trPr>
        <w:tc>
          <w:tcPr>
            <w:tcW w:w="1976" w:type="dxa"/>
            <w:vMerge w:val="continue"/>
            <w:shd w:val="clear" w:color="auto" w:fill="auto"/>
            <w:vAlign w:val="center"/>
          </w:tcPr>
          <w:p>
            <w:pPr>
              <w:spacing w:line="320" w:lineRule="exact"/>
              <w:jc w:val="center"/>
              <w:rPr>
                <w:rFonts w:ascii="Times New Roman" w:hAnsi="Times New Roman" w:cs="Times New Roman"/>
                <w:sz w:val="24"/>
              </w:rPr>
            </w:pPr>
          </w:p>
        </w:tc>
        <w:tc>
          <w:tcPr>
            <w:tcW w:w="3901" w:type="dxa"/>
            <w:gridSpan w:val="3"/>
            <w:shd w:val="clear" w:color="auto" w:fill="auto"/>
            <w:vAlign w:val="top"/>
          </w:tcPr>
          <w:p>
            <w:pPr>
              <w:keepNext w:val="0"/>
              <w:keepLines w:val="0"/>
              <w:widowControl/>
              <w:suppressLineNumbers w:val="0"/>
              <w:jc w:val="left"/>
              <w:textAlignment w:val="top"/>
              <w:rPr>
                <w:rFonts w:ascii="Times New Roman" w:hAnsi="Times New Roman" w:cs="Times New Roman"/>
                <w:sz w:val="24"/>
              </w:rPr>
            </w:pPr>
            <w:r>
              <w:rPr>
                <w:rFonts w:hint="eastAsia" w:ascii="Times New Roman" w:hAnsi="Times New Roman" w:eastAsia="宋体" w:cs="Times New Roman"/>
                <w:i w:val="0"/>
                <w:iCs w:val="0"/>
                <w:color w:val="000000"/>
                <w:kern w:val="0"/>
                <w:sz w:val="24"/>
                <w:szCs w:val="24"/>
                <w:u w:val="none"/>
                <w:lang w:val="en-US" w:eastAsia="zh-CN" w:bidi="ar"/>
              </w:rPr>
              <w:t>认真贯彻落实习近平总书记关于老干部工作的重要指示精神和中央、省、市老干部工作会议精神，不断加强老干部工作“三项建设”，全面落实老干部“两项待遇”。组织离退休干部开展参观、考察、调研和健康休养，组织离退休干部参与党委、政府重大活动，召开情况通报会，重大节日进行走访慰问，进一步落实好离退休干部政治待遇和生活待遇，加强离退休干部思想建设、政治建设和党组织建设。加强对离退休干部的管理服务和关心爱护工作，用心用情做好老干部工作，让广大老干部老有所养、老有所乐、老有所为，安享幸福晚年，维护离退休干部思想稳定，引导老干部为党和人民的事业凝聚正能量。</w:t>
            </w:r>
          </w:p>
        </w:tc>
        <w:tc>
          <w:tcPr>
            <w:tcW w:w="3698" w:type="dxa"/>
            <w:gridSpan w:val="3"/>
            <w:tcBorders>
              <w:right w:val="single" w:color="auto" w:sz="4" w:space="0"/>
            </w:tcBorders>
            <w:shd w:val="clear" w:color="auto" w:fill="auto"/>
            <w:vAlign w:val="top"/>
          </w:tcPr>
          <w:p>
            <w:pPr>
              <w:keepNext w:val="0"/>
              <w:keepLines w:val="0"/>
              <w:widowControl/>
              <w:suppressLineNumbers w:val="0"/>
              <w:jc w:val="left"/>
              <w:textAlignment w:val="top"/>
              <w:rPr>
                <w:rFonts w:ascii="Times New Roman" w:hAnsi="Times New Roman" w:cs="Times New Roman"/>
                <w:sz w:val="24"/>
              </w:rPr>
            </w:pPr>
            <w:r>
              <w:rPr>
                <w:rFonts w:hint="eastAsia" w:ascii="Times New Roman" w:hAnsi="Times New Roman" w:eastAsia="宋体" w:cs="Times New Roman"/>
                <w:i w:val="0"/>
                <w:iCs w:val="0"/>
                <w:color w:val="000000"/>
                <w:kern w:val="0"/>
                <w:sz w:val="24"/>
                <w:szCs w:val="24"/>
                <w:u w:val="none"/>
                <w:lang w:val="en-US" w:eastAsia="zh-CN" w:bidi="ar"/>
              </w:rPr>
              <w:t>一年以来，共组织县级离退休干部开展集中学习、参观调研、交流座谈等活动7次；开展春节、建党100周年、国庆节、重阳节走访慰问活动，共走访慰问县级离退休干部111人次；走访慰问建国初期参加革命工作老干部16人；走访慰问生病住院老干部7人次；走访慰问生活困难离休干部遗孀21人；组织县级离退休干部及享受副县级待遇退休干部65人进行了健康体检；组织县级离退休干部到省委老干部局疗养院（峨眉疗养院）开展为期一周的健康休养；不断加强离退休干部党组织建设，为全县离退休党支部征订《离退休支部学习参考》，按要求兑现党组织工作和活动经费，严格兑现离退休干部党组织负责人补贴。离退休干部的获得感、幸福感和安全感得到明显提升，参与中心工作发挥余热的积极性得到了明显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693" w:hRule="atLeast"/>
        </w:trPr>
        <w:tc>
          <w:tcPr>
            <w:tcW w:w="1976" w:type="dxa"/>
            <w:vMerge w:val="restart"/>
            <w:shd w:val="clear" w:color="auto" w:fill="auto"/>
            <w:vAlign w:val="center"/>
          </w:tcPr>
          <w:p>
            <w:pPr>
              <w:widowControl/>
              <w:spacing w:line="320" w:lineRule="exact"/>
              <w:jc w:val="center"/>
              <w:textAlignment w:val="center"/>
              <w:rPr>
                <w:rFonts w:ascii="Times New Roman" w:hAnsi="Times New Roman" w:eastAsia="宋体" w:cs="Times New Roman"/>
                <w:sz w:val="24"/>
                <w:szCs w:val="24"/>
              </w:rPr>
            </w:pPr>
            <w:r>
              <w:rPr>
                <w:rFonts w:hint="eastAsia" w:ascii="Times New Roman" w:hAnsi="Times New Roman" w:eastAsia="宋体" w:cs="Times New Roman"/>
                <w:kern w:val="0"/>
                <w:sz w:val="24"/>
                <w:szCs w:val="24"/>
              </w:rPr>
              <w:t>年度绩效指标完成情况</w:t>
            </w:r>
          </w:p>
        </w:tc>
        <w:tc>
          <w:tcPr>
            <w:tcW w:w="1142" w:type="dxa"/>
            <w:shd w:val="clear" w:color="auto" w:fill="auto"/>
            <w:vAlign w:val="center"/>
          </w:tcPr>
          <w:p>
            <w:pPr>
              <w:widowControl/>
              <w:spacing w:line="320" w:lineRule="exact"/>
              <w:jc w:val="center"/>
              <w:textAlignment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一级</w:t>
            </w:r>
          </w:p>
          <w:p>
            <w:pPr>
              <w:widowControl/>
              <w:spacing w:line="320" w:lineRule="exact"/>
              <w:jc w:val="center"/>
              <w:textAlignment w:val="center"/>
              <w:rPr>
                <w:rFonts w:ascii="Times New Roman" w:hAnsi="Times New Roman" w:eastAsia="宋体" w:cs="Times New Roman"/>
                <w:sz w:val="24"/>
                <w:szCs w:val="24"/>
              </w:rPr>
            </w:pPr>
            <w:r>
              <w:rPr>
                <w:rFonts w:hint="eastAsia" w:ascii="Times New Roman" w:hAnsi="Times New Roman" w:eastAsia="宋体" w:cs="Times New Roman"/>
                <w:kern w:val="0"/>
                <w:sz w:val="24"/>
                <w:szCs w:val="24"/>
              </w:rPr>
              <w:t>指标</w:t>
            </w:r>
          </w:p>
        </w:tc>
        <w:tc>
          <w:tcPr>
            <w:tcW w:w="1504" w:type="dxa"/>
            <w:shd w:val="clear" w:color="auto" w:fill="auto"/>
            <w:vAlign w:val="center"/>
          </w:tcPr>
          <w:p>
            <w:pPr>
              <w:widowControl/>
              <w:spacing w:line="320" w:lineRule="exact"/>
              <w:jc w:val="center"/>
              <w:textAlignment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二级</w:t>
            </w:r>
          </w:p>
          <w:p>
            <w:pPr>
              <w:widowControl/>
              <w:spacing w:line="320" w:lineRule="exact"/>
              <w:jc w:val="center"/>
              <w:textAlignment w:val="center"/>
              <w:rPr>
                <w:rFonts w:ascii="Times New Roman" w:hAnsi="Times New Roman" w:eastAsia="宋体" w:cs="Times New Roman"/>
                <w:sz w:val="24"/>
                <w:szCs w:val="24"/>
              </w:rPr>
            </w:pPr>
            <w:r>
              <w:rPr>
                <w:rFonts w:hint="eastAsia" w:ascii="Times New Roman" w:hAnsi="Times New Roman" w:eastAsia="宋体" w:cs="Times New Roman"/>
                <w:kern w:val="0"/>
                <w:sz w:val="24"/>
                <w:szCs w:val="24"/>
              </w:rPr>
              <w:t>指标</w:t>
            </w:r>
          </w:p>
        </w:tc>
        <w:tc>
          <w:tcPr>
            <w:tcW w:w="1650" w:type="dxa"/>
            <w:gridSpan w:val="2"/>
            <w:shd w:val="clear" w:color="auto" w:fill="auto"/>
            <w:vAlign w:val="center"/>
          </w:tcPr>
          <w:p>
            <w:pPr>
              <w:widowControl/>
              <w:spacing w:line="320" w:lineRule="exact"/>
              <w:jc w:val="center"/>
              <w:textAlignment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三级</w:t>
            </w:r>
          </w:p>
          <w:p>
            <w:pPr>
              <w:widowControl/>
              <w:spacing w:line="320" w:lineRule="exact"/>
              <w:jc w:val="center"/>
              <w:textAlignment w:val="center"/>
              <w:rPr>
                <w:rFonts w:ascii="Times New Roman" w:hAnsi="Times New Roman" w:eastAsia="宋体" w:cs="Times New Roman"/>
                <w:sz w:val="24"/>
                <w:szCs w:val="24"/>
              </w:rPr>
            </w:pPr>
            <w:r>
              <w:rPr>
                <w:rFonts w:hint="eastAsia" w:ascii="Times New Roman" w:hAnsi="Times New Roman" w:eastAsia="宋体" w:cs="Times New Roman"/>
                <w:kern w:val="0"/>
                <w:sz w:val="24"/>
                <w:szCs w:val="24"/>
              </w:rPr>
              <w:t>指标</w:t>
            </w:r>
          </w:p>
        </w:tc>
        <w:tc>
          <w:tcPr>
            <w:tcW w:w="1378" w:type="dxa"/>
            <w:shd w:val="clear" w:color="auto" w:fill="auto"/>
            <w:vAlign w:val="center"/>
          </w:tcPr>
          <w:p>
            <w:pPr>
              <w:widowControl/>
              <w:spacing w:line="320" w:lineRule="exact"/>
              <w:jc w:val="center"/>
              <w:textAlignment w:val="center"/>
              <w:rPr>
                <w:rFonts w:ascii="Times New Roman" w:hAnsi="Times New Roman" w:eastAsia="宋体" w:cs="Times New Roman"/>
                <w:sz w:val="24"/>
                <w:szCs w:val="24"/>
              </w:rPr>
            </w:pPr>
            <w:r>
              <w:rPr>
                <w:rFonts w:hint="eastAsia" w:ascii="Times New Roman" w:hAnsi="Times New Roman" w:eastAsia="宋体" w:cs="Times New Roman"/>
                <w:kern w:val="0"/>
                <w:sz w:val="24"/>
                <w:szCs w:val="24"/>
              </w:rPr>
              <w:t>预期指标值</w:t>
            </w:r>
          </w:p>
        </w:tc>
        <w:tc>
          <w:tcPr>
            <w:tcW w:w="1925" w:type="dxa"/>
            <w:tcBorders>
              <w:right w:val="single" w:color="auto" w:sz="4" w:space="0"/>
            </w:tcBorders>
            <w:shd w:val="clear" w:color="auto" w:fill="auto"/>
            <w:vAlign w:val="center"/>
          </w:tcPr>
          <w:p>
            <w:pPr>
              <w:widowControl/>
              <w:spacing w:line="320" w:lineRule="exact"/>
              <w:jc w:val="center"/>
              <w:textAlignment w:val="center"/>
              <w:rPr>
                <w:rFonts w:ascii="Times New Roman" w:hAnsi="Times New Roman" w:eastAsia="宋体" w:cs="Times New Roman"/>
                <w:sz w:val="24"/>
                <w:szCs w:val="24"/>
              </w:rPr>
            </w:pPr>
            <w:r>
              <w:rPr>
                <w:rFonts w:hint="eastAsia" w:ascii="Times New Roman" w:hAnsi="Times New Roman" w:eastAsia="宋体" w:cs="Times New Roman"/>
                <w:kern w:val="0"/>
                <w:sz w:val="24"/>
                <w:szCs w:val="24"/>
              </w:rPr>
              <w:t>实际完成指标值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415" w:hRule="atLeast"/>
        </w:trPr>
        <w:tc>
          <w:tcPr>
            <w:tcW w:w="1976" w:type="dxa"/>
            <w:vMerge w:val="continue"/>
            <w:shd w:val="clear" w:color="auto" w:fill="auto"/>
            <w:vAlign w:val="center"/>
          </w:tcPr>
          <w:p>
            <w:pPr>
              <w:spacing w:line="320" w:lineRule="exact"/>
              <w:jc w:val="center"/>
              <w:rPr>
                <w:rFonts w:ascii="Times New Roman" w:hAnsi="Times New Roman" w:eastAsia="宋体" w:cs="Times New Roman"/>
                <w:sz w:val="24"/>
                <w:szCs w:val="24"/>
              </w:rPr>
            </w:pPr>
          </w:p>
        </w:tc>
        <w:tc>
          <w:tcPr>
            <w:tcW w:w="1142" w:type="dxa"/>
            <w:vMerge w:val="restart"/>
            <w:shd w:val="clear" w:color="auto" w:fill="auto"/>
            <w:vAlign w:val="center"/>
          </w:tcPr>
          <w:p>
            <w:pPr>
              <w:widowControl/>
              <w:spacing w:line="320" w:lineRule="exact"/>
              <w:jc w:val="center"/>
              <w:textAlignment w:val="bottom"/>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完成</w:t>
            </w:r>
          </w:p>
          <w:p>
            <w:pPr>
              <w:widowControl/>
              <w:spacing w:line="320" w:lineRule="exact"/>
              <w:jc w:val="center"/>
              <w:textAlignment w:val="bottom"/>
              <w:rPr>
                <w:rFonts w:ascii="Times New Roman" w:hAnsi="Times New Roman" w:eastAsia="宋体" w:cs="Times New Roman"/>
                <w:sz w:val="24"/>
                <w:szCs w:val="24"/>
              </w:rPr>
            </w:pPr>
            <w:r>
              <w:rPr>
                <w:rFonts w:hint="eastAsia" w:ascii="Times New Roman" w:hAnsi="Times New Roman" w:eastAsia="宋体" w:cs="Times New Roman"/>
                <w:kern w:val="0"/>
                <w:sz w:val="24"/>
                <w:szCs w:val="24"/>
              </w:rPr>
              <w:t>指标</w:t>
            </w:r>
          </w:p>
        </w:tc>
        <w:tc>
          <w:tcPr>
            <w:tcW w:w="1504" w:type="dxa"/>
            <w:vMerge w:val="restart"/>
            <w:shd w:val="clear" w:color="auto" w:fill="auto"/>
            <w:vAlign w:val="center"/>
          </w:tcPr>
          <w:p>
            <w:pPr>
              <w:widowControl/>
              <w:spacing w:line="320" w:lineRule="exact"/>
              <w:jc w:val="center"/>
              <w:textAlignment w:val="bottom"/>
              <w:rPr>
                <w:rFonts w:ascii="Times New Roman" w:hAnsi="Times New Roman" w:eastAsia="宋体" w:cs="Times New Roman"/>
                <w:sz w:val="24"/>
                <w:szCs w:val="24"/>
              </w:rPr>
            </w:pPr>
            <w:r>
              <w:rPr>
                <w:rFonts w:hint="eastAsia" w:ascii="Times New Roman" w:hAnsi="Times New Roman" w:eastAsia="宋体" w:cs="Times New Roman"/>
                <w:kern w:val="0"/>
                <w:sz w:val="24"/>
                <w:szCs w:val="24"/>
              </w:rPr>
              <w:t>数量指标</w:t>
            </w:r>
          </w:p>
        </w:tc>
        <w:tc>
          <w:tcPr>
            <w:tcW w:w="1650" w:type="dxa"/>
            <w:gridSpan w:val="2"/>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离退休干部春节座谈会、国庆座谈会及走访慰问</w:t>
            </w:r>
          </w:p>
        </w:tc>
        <w:tc>
          <w:tcPr>
            <w:tcW w:w="1378" w:type="dxa"/>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2次</w:t>
            </w:r>
          </w:p>
        </w:tc>
        <w:tc>
          <w:tcPr>
            <w:tcW w:w="1925" w:type="dxa"/>
            <w:tcBorders>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415" w:hRule="atLeast"/>
        </w:trPr>
        <w:tc>
          <w:tcPr>
            <w:tcW w:w="1976" w:type="dxa"/>
            <w:vMerge w:val="continue"/>
            <w:shd w:val="clear" w:color="auto" w:fill="auto"/>
            <w:vAlign w:val="center"/>
          </w:tcPr>
          <w:p>
            <w:pPr>
              <w:spacing w:line="320" w:lineRule="exact"/>
              <w:jc w:val="center"/>
              <w:rPr>
                <w:rFonts w:ascii="Times New Roman" w:hAnsi="Times New Roman" w:eastAsia="宋体" w:cs="Times New Roman"/>
                <w:sz w:val="24"/>
                <w:szCs w:val="24"/>
              </w:rPr>
            </w:pPr>
          </w:p>
        </w:tc>
        <w:tc>
          <w:tcPr>
            <w:tcW w:w="1142" w:type="dxa"/>
            <w:vMerge w:val="continue"/>
            <w:shd w:val="clear" w:color="auto" w:fill="auto"/>
            <w:vAlign w:val="bottom"/>
          </w:tcPr>
          <w:p>
            <w:pPr>
              <w:spacing w:line="320" w:lineRule="exact"/>
              <w:jc w:val="center"/>
              <w:rPr>
                <w:rFonts w:ascii="Times New Roman" w:hAnsi="Times New Roman" w:eastAsia="宋体" w:cs="Times New Roman"/>
                <w:sz w:val="24"/>
                <w:szCs w:val="24"/>
              </w:rPr>
            </w:pPr>
          </w:p>
        </w:tc>
        <w:tc>
          <w:tcPr>
            <w:tcW w:w="1504" w:type="dxa"/>
            <w:vMerge w:val="continue"/>
            <w:shd w:val="clear" w:color="auto" w:fill="auto"/>
            <w:vAlign w:val="bottom"/>
          </w:tcPr>
          <w:p>
            <w:pPr>
              <w:widowControl/>
              <w:spacing w:line="320" w:lineRule="exact"/>
              <w:jc w:val="center"/>
              <w:textAlignment w:val="bottom"/>
              <w:rPr>
                <w:rFonts w:hint="eastAsia" w:ascii="Times New Roman" w:hAnsi="Times New Roman" w:eastAsia="宋体" w:cs="Times New Roman"/>
                <w:kern w:val="0"/>
                <w:sz w:val="24"/>
                <w:szCs w:val="24"/>
              </w:rPr>
            </w:pPr>
          </w:p>
        </w:tc>
        <w:tc>
          <w:tcPr>
            <w:tcW w:w="1650" w:type="dxa"/>
            <w:gridSpan w:val="2"/>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组织离退休干部开展集中学习、参观调研</w:t>
            </w:r>
          </w:p>
        </w:tc>
        <w:tc>
          <w:tcPr>
            <w:tcW w:w="1378" w:type="dxa"/>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5次</w:t>
            </w:r>
          </w:p>
        </w:tc>
        <w:tc>
          <w:tcPr>
            <w:tcW w:w="1925" w:type="dxa"/>
            <w:tcBorders>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5次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415" w:hRule="atLeast"/>
        </w:trPr>
        <w:tc>
          <w:tcPr>
            <w:tcW w:w="1976" w:type="dxa"/>
            <w:vMerge w:val="continue"/>
            <w:shd w:val="clear" w:color="auto" w:fill="auto"/>
            <w:vAlign w:val="center"/>
          </w:tcPr>
          <w:p>
            <w:pPr>
              <w:spacing w:line="320" w:lineRule="exact"/>
              <w:jc w:val="center"/>
              <w:rPr>
                <w:rFonts w:ascii="Times New Roman" w:hAnsi="Times New Roman" w:eastAsia="宋体" w:cs="Times New Roman"/>
                <w:sz w:val="24"/>
                <w:szCs w:val="24"/>
              </w:rPr>
            </w:pPr>
          </w:p>
        </w:tc>
        <w:tc>
          <w:tcPr>
            <w:tcW w:w="1142" w:type="dxa"/>
            <w:vMerge w:val="continue"/>
            <w:shd w:val="clear" w:color="auto" w:fill="auto"/>
            <w:vAlign w:val="bottom"/>
          </w:tcPr>
          <w:p>
            <w:pPr>
              <w:spacing w:line="320" w:lineRule="exact"/>
              <w:jc w:val="center"/>
              <w:rPr>
                <w:rFonts w:ascii="Times New Roman" w:hAnsi="Times New Roman" w:eastAsia="宋体" w:cs="Times New Roman"/>
                <w:sz w:val="24"/>
                <w:szCs w:val="24"/>
              </w:rPr>
            </w:pPr>
          </w:p>
        </w:tc>
        <w:tc>
          <w:tcPr>
            <w:tcW w:w="1504" w:type="dxa"/>
            <w:vMerge w:val="continue"/>
            <w:shd w:val="clear" w:color="auto" w:fill="auto"/>
            <w:vAlign w:val="bottom"/>
          </w:tcPr>
          <w:p>
            <w:pPr>
              <w:widowControl/>
              <w:spacing w:line="320" w:lineRule="exact"/>
              <w:jc w:val="center"/>
              <w:textAlignment w:val="bottom"/>
              <w:rPr>
                <w:rFonts w:hint="eastAsia" w:ascii="Times New Roman" w:hAnsi="Times New Roman" w:eastAsia="宋体" w:cs="Times New Roman"/>
                <w:kern w:val="0"/>
                <w:sz w:val="24"/>
                <w:szCs w:val="24"/>
              </w:rPr>
            </w:pPr>
          </w:p>
        </w:tc>
        <w:tc>
          <w:tcPr>
            <w:tcW w:w="1650" w:type="dxa"/>
            <w:gridSpan w:val="2"/>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离退休业务费、特殊费、管理费、离休干部困难扶持金</w:t>
            </w:r>
          </w:p>
        </w:tc>
        <w:tc>
          <w:tcPr>
            <w:tcW w:w="1378" w:type="dxa"/>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离退休干部生病住院、家庭出现重大变故、生活困难等走访慰问</w:t>
            </w:r>
          </w:p>
        </w:tc>
        <w:tc>
          <w:tcPr>
            <w:tcW w:w="1925" w:type="dxa"/>
            <w:tcBorders>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9次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415" w:hRule="atLeast"/>
        </w:trPr>
        <w:tc>
          <w:tcPr>
            <w:tcW w:w="1976" w:type="dxa"/>
            <w:vMerge w:val="continue"/>
            <w:shd w:val="clear" w:color="auto" w:fill="auto"/>
            <w:vAlign w:val="center"/>
          </w:tcPr>
          <w:p>
            <w:pPr>
              <w:spacing w:line="320" w:lineRule="exact"/>
              <w:jc w:val="center"/>
              <w:rPr>
                <w:rFonts w:ascii="Times New Roman" w:hAnsi="Times New Roman" w:eastAsia="宋体" w:cs="Times New Roman"/>
                <w:sz w:val="24"/>
                <w:szCs w:val="24"/>
              </w:rPr>
            </w:pPr>
          </w:p>
        </w:tc>
        <w:tc>
          <w:tcPr>
            <w:tcW w:w="1142" w:type="dxa"/>
            <w:vMerge w:val="continue"/>
            <w:shd w:val="clear" w:color="auto" w:fill="auto"/>
            <w:vAlign w:val="bottom"/>
          </w:tcPr>
          <w:p>
            <w:pPr>
              <w:spacing w:line="320" w:lineRule="exact"/>
              <w:jc w:val="center"/>
              <w:rPr>
                <w:rFonts w:ascii="Times New Roman" w:hAnsi="Times New Roman" w:eastAsia="宋体" w:cs="Times New Roman"/>
                <w:sz w:val="24"/>
                <w:szCs w:val="24"/>
              </w:rPr>
            </w:pPr>
          </w:p>
        </w:tc>
        <w:tc>
          <w:tcPr>
            <w:tcW w:w="1504" w:type="dxa"/>
            <w:vMerge w:val="continue"/>
            <w:shd w:val="clear" w:color="auto" w:fill="auto"/>
            <w:vAlign w:val="bottom"/>
          </w:tcPr>
          <w:p>
            <w:pPr>
              <w:widowControl/>
              <w:spacing w:line="320" w:lineRule="exact"/>
              <w:jc w:val="center"/>
              <w:textAlignment w:val="bottom"/>
              <w:rPr>
                <w:rFonts w:hint="eastAsia" w:ascii="Times New Roman" w:hAnsi="Times New Roman" w:eastAsia="宋体" w:cs="Times New Roman"/>
                <w:kern w:val="0"/>
                <w:sz w:val="24"/>
                <w:szCs w:val="24"/>
              </w:rPr>
            </w:pPr>
          </w:p>
        </w:tc>
        <w:tc>
          <w:tcPr>
            <w:tcW w:w="1650" w:type="dxa"/>
            <w:gridSpan w:val="2"/>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老干部公务用车运行费、活动中心运行费</w:t>
            </w:r>
          </w:p>
        </w:tc>
        <w:tc>
          <w:tcPr>
            <w:tcW w:w="1378" w:type="dxa"/>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确保老干部活动中心正常运转，为管理服务离退休干部提供保障</w:t>
            </w:r>
          </w:p>
        </w:tc>
        <w:tc>
          <w:tcPr>
            <w:tcW w:w="1925" w:type="dxa"/>
            <w:tcBorders>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达成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415" w:hRule="atLeast"/>
        </w:trPr>
        <w:tc>
          <w:tcPr>
            <w:tcW w:w="1976" w:type="dxa"/>
            <w:vMerge w:val="continue"/>
            <w:shd w:val="clear" w:color="auto" w:fill="auto"/>
            <w:vAlign w:val="center"/>
          </w:tcPr>
          <w:p>
            <w:pPr>
              <w:spacing w:line="320" w:lineRule="exact"/>
              <w:jc w:val="center"/>
              <w:rPr>
                <w:rFonts w:ascii="Times New Roman" w:hAnsi="Times New Roman" w:eastAsia="宋体" w:cs="Times New Roman"/>
                <w:sz w:val="24"/>
                <w:szCs w:val="24"/>
              </w:rPr>
            </w:pPr>
          </w:p>
        </w:tc>
        <w:tc>
          <w:tcPr>
            <w:tcW w:w="1142" w:type="dxa"/>
            <w:vMerge w:val="continue"/>
            <w:shd w:val="clear" w:color="auto" w:fill="auto"/>
            <w:vAlign w:val="bottom"/>
          </w:tcPr>
          <w:p>
            <w:pPr>
              <w:spacing w:line="320" w:lineRule="exact"/>
              <w:jc w:val="center"/>
              <w:rPr>
                <w:rFonts w:ascii="Times New Roman" w:hAnsi="Times New Roman" w:eastAsia="宋体" w:cs="Times New Roman"/>
                <w:sz w:val="24"/>
                <w:szCs w:val="24"/>
              </w:rPr>
            </w:pPr>
          </w:p>
        </w:tc>
        <w:tc>
          <w:tcPr>
            <w:tcW w:w="1504" w:type="dxa"/>
            <w:vMerge w:val="continue"/>
            <w:shd w:val="clear" w:color="auto" w:fill="auto"/>
            <w:vAlign w:val="bottom"/>
          </w:tcPr>
          <w:p>
            <w:pPr>
              <w:widowControl/>
              <w:spacing w:line="320" w:lineRule="exact"/>
              <w:jc w:val="center"/>
              <w:textAlignment w:val="bottom"/>
              <w:rPr>
                <w:rFonts w:hint="eastAsia" w:ascii="Times New Roman" w:hAnsi="Times New Roman" w:eastAsia="宋体" w:cs="Times New Roman"/>
                <w:kern w:val="0"/>
                <w:sz w:val="24"/>
                <w:szCs w:val="24"/>
              </w:rPr>
            </w:pPr>
          </w:p>
        </w:tc>
        <w:tc>
          <w:tcPr>
            <w:tcW w:w="1650" w:type="dxa"/>
            <w:gridSpan w:val="2"/>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离退休干部报刊费</w:t>
            </w:r>
          </w:p>
        </w:tc>
        <w:tc>
          <w:tcPr>
            <w:tcW w:w="1378" w:type="dxa"/>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48份党报党刊及杂志</w:t>
            </w:r>
          </w:p>
        </w:tc>
        <w:tc>
          <w:tcPr>
            <w:tcW w:w="1925" w:type="dxa"/>
            <w:tcBorders>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达成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415" w:hRule="atLeast"/>
        </w:trPr>
        <w:tc>
          <w:tcPr>
            <w:tcW w:w="1976" w:type="dxa"/>
            <w:vMerge w:val="continue"/>
            <w:shd w:val="clear" w:color="auto" w:fill="auto"/>
            <w:vAlign w:val="center"/>
          </w:tcPr>
          <w:p>
            <w:pPr>
              <w:spacing w:line="320" w:lineRule="exact"/>
              <w:jc w:val="center"/>
              <w:rPr>
                <w:rFonts w:ascii="Times New Roman" w:hAnsi="Times New Roman" w:eastAsia="宋体" w:cs="Times New Roman"/>
                <w:sz w:val="24"/>
                <w:szCs w:val="24"/>
              </w:rPr>
            </w:pPr>
          </w:p>
        </w:tc>
        <w:tc>
          <w:tcPr>
            <w:tcW w:w="1142" w:type="dxa"/>
            <w:vMerge w:val="continue"/>
            <w:shd w:val="clear" w:color="auto" w:fill="auto"/>
            <w:vAlign w:val="bottom"/>
          </w:tcPr>
          <w:p>
            <w:pPr>
              <w:spacing w:line="320" w:lineRule="exact"/>
              <w:jc w:val="center"/>
              <w:rPr>
                <w:rFonts w:ascii="Times New Roman" w:hAnsi="Times New Roman" w:eastAsia="宋体" w:cs="Times New Roman"/>
                <w:sz w:val="24"/>
                <w:szCs w:val="24"/>
              </w:rPr>
            </w:pPr>
          </w:p>
        </w:tc>
        <w:tc>
          <w:tcPr>
            <w:tcW w:w="1504" w:type="dxa"/>
            <w:vMerge w:val="continue"/>
            <w:shd w:val="clear" w:color="auto" w:fill="auto"/>
            <w:vAlign w:val="bottom"/>
          </w:tcPr>
          <w:p>
            <w:pPr>
              <w:widowControl/>
              <w:spacing w:line="320" w:lineRule="exact"/>
              <w:jc w:val="center"/>
              <w:textAlignment w:val="bottom"/>
              <w:rPr>
                <w:rFonts w:hint="eastAsia" w:ascii="Times New Roman" w:hAnsi="Times New Roman" w:eastAsia="宋体" w:cs="Times New Roman"/>
                <w:kern w:val="0"/>
                <w:sz w:val="24"/>
                <w:szCs w:val="24"/>
              </w:rPr>
            </w:pPr>
          </w:p>
        </w:tc>
        <w:tc>
          <w:tcPr>
            <w:tcW w:w="1650" w:type="dxa"/>
            <w:gridSpan w:val="2"/>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驻蓉离退休干部临时支部活动费     驻攀离退休干部临时支部活动费</w:t>
            </w:r>
          </w:p>
        </w:tc>
        <w:tc>
          <w:tcPr>
            <w:tcW w:w="1378" w:type="dxa"/>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保障县外居住离退休干部参加集中学习教育活动</w:t>
            </w:r>
          </w:p>
        </w:tc>
        <w:tc>
          <w:tcPr>
            <w:tcW w:w="1925" w:type="dxa"/>
            <w:tcBorders>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驻蓉离退休干部开展活动7次，驻攀离退休干部开展活动2次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415" w:hRule="atLeast"/>
        </w:trPr>
        <w:tc>
          <w:tcPr>
            <w:tcW w:w="1976" w:type="dxa"/>
            <w:vMerge w:val="continue"/>
            <w:shd w:val="clear" w:color="auto" w:fill="auto"/>
            <w:vAlign w:val="center"/>
          </w:tcPr>
          <w:p>
            <w:pPr>
              <w:spacing w:line="320" w:lineRule="exact"/>
              <w:jc w:val="center"/>
              <w:rPr>
                <w:rFonts w:ascii="Times New Roman" w:hAnsi="Times New Roman" w:eastAsia="宋体" w:cs="Times New Roman"/>
                <w:sz w:val="24"/>
                <w:szCs w:val="24"/>
              </w:rPr>
            </w:pPr>
          </w:p>
        </w:tc>
        <w:tc>
          <w:tcPr>
            <w:tcW w:w="1142" w:type="dxa"/>
            <w:vMerge w:val="continue"/>
            <w:shd w:val="clear" w:color="auto" w:fill="auto"/>
            <w:vAlign w:val="bottom"/>
          </w:tcPr>
          <w:p>
            <w:pPr>
              <w:spacing w:line="320" w:lineRule="exact"/>
              <w:jc w:val="center"/>
              <w:rPr>
                <w:rFonts w:ascii="Times New Roman" w:hAnsi="Times New Roman" w:eastAsia="宋体" w:cs="Times New Roman"/>
                <w:sz w:val="24"/>
                <w:szCs w:val="24"/>
              </w:rPr>
            </w:pPr>
          </w:p>
        </w:tc>
        <w:tc>
          <w:tcPr>
            <w:tcW w:w="1504" w:type="dxa"/>
            <w:shd w:val="clear" w:color="auto" w:fill="auto"/>
            <w:vAlign w:val="center"/>
          </w:tcPr>
          <w:p>
            <w:pPr>
              <w:widowControl/>
              <w:spacing w:line="320" w:lineRule="exact"/>
              <w:jc w:val="center"/>
              <w:textAlignment w:val="bottom"/>
              <w:rPr>
                <w:rFonts w:ascii="Times New Roman" w:hAnsi="Times New Roman" w:eastAsia="宋体" w:cs="Times New Roman"/>
                <w:sz w:val="24"/>
                <w:szCs w:val="24"/>
              </w:rPr>
            </w:pPr>
            <w:r>
              <w:rPr>
                <w:rFonts w:hint="eastAsia" w:ascii="Times New Roman" w:hAnsi="Times New Roman" w:eastAsia="宋体" w:cs="Times New Roman"/>
                <w:kern w:val="0"/>
                <w:sz w:val="24"/>
                <w:szCs w:val="24"/>
              </w:rPr>
              <w:t>质量指标</w:t>
            </w:r>
          </w:p>
        </w:tc>
        <w:tc>
          <w:tcPr>
            <w:tcW w:w="1650" w:type="dxa"/>
            <w:gridSpan w:val="2"/>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认真落实离退休干部“两项待遇”，不断加强离退休干部“三项建设”，加强对离退休干部的管理服务和关心爱护工作。</w:t>
            </w:r>
          </w:p>
        </w:tc>
        <w:tc>
          <w:tcPr>
            <w:tcW w:w="1378" w:type="dxa"/>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市内参观考察至少2次、市外参观考察至少1次，学习交流每月1次，情况通报会2次，健康休养1次，健康体检1次，重要节日、生病住院、家庭出现重大变故走访慰问，订阅党报党刊学习资料等</w:t>
            </w:r>
          </w:p>
        </w:tc>
        <w:tc>
          <w:tcPr>
            <w:tcW w:w="1925" w:type="dxa"/>
            <w:tcBorders>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达成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415" w:hRule="atLeast"/>
        </w:trPr>
        <w:tc>
          <w:tcPr>
            <w:tcW w:w="1976" w:type="dxa"/>
            <w:vMerge w:val="continue"/>
            <w:shd w:val="clear" w:color="auto" w:fill="auto"/>
            <w:vAlign w:val="center"/>
          </w:tcPr>
          <w:p>
            <w:pPr>
              <w:spacing w:line="320" w:lineRule="exact"/>
              <w:jc w:val="center"/>
              <w:rPr>
                <w:rFonts w:ascii="Times New Roman" w:hAnsi="Times New Roman" w:eastAsia="宋体" w:cs="Times New Roman"/>
                <w:sz w:val="24"/>
                <w:szCs w:val="24"/>
              </w:rPr>
            </w:pPr>
          </w:p>
        </w:tc>
        <w:tc>
          <w:tcPr>
            <w:tcW w:w="1142" w:type="dxa"/>
            <w:vMerge w:val="continue"/>
            <w:shd w:val="clear" w:color="auto" w:fill="auto"/>
            <w:vAlign w:val="bottom"/>
          </w:tcPr>
          <w:p>
            <w:pPr>
              <w:spacing w:line="320" w:lineRule="exact"/>
              <w:jc w:val="center"/>
              <w:rPr>
                <w:rFonts w:ascii="Times New Roman" w:hAnsi="Times New Roman" w:eastAsia="宋体" w:cs="Times New Roman"/>
                <w:sz w:val="24"/>
                <w:szCs w:val="24"/>
              </w:rPr>
            </w:pPr>
          </w:p>
        </w:tc>
        <w:tc>
          <w:tcPr>
            <w:tcW w:w="1504" w:type="dxa"/>
            <w:shd w:val="clear" w:color="auto" w:fill="auto"/>
            <w:vAlign w:val="bottom"/>
          </w:tcPr>
          <w:p>
            <w:pPr>
              <w:widowControl/>
              <w:spacing w:line="320" w:lineRule="exact"/>
              <w:jc w:val="center"/>
              <w:textAlignment w:val="bottom"/>
              <w:rPr>
                <w:rFonts w:ascii="Times New Roman" w:hAnsi="Times New Roman" w:eastAsia="宋体" w:cs="Times New Roman"/>
                <w:sz w:val="24"/>
                <w:szCs w:val="24"/>
              </w:rPr>
            </w:pPr>
            <w:r>
              <w:rPr>
                <w:rFonts w:hint="eastAsia" w:ascii="Times New Roman" w:hAnsi="Times New Roman" w:eastAsia="宋体" w:cs="Times New Roman"/>
                <w:kern w:val="0"/>
                <w:sz w:val="24"/>
                <w:szCs w:val="24"/>
              </w:rPr>
              <w:t>时效指标</w:t>
            </w:r>
          </w:p>
        </w:tc>
        <w:tc>
          <w:tcPr>
            <w:tcW w:w="1650" w:type="dxa"/>
            <w:gridSpan w:val="2"/>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完成时限</w:t>
            </w:r>
          </w:p>
        </w:tc>
        <w:tc>
          <w:tcPr>
            <w:tcW w:w="1378" w:type="dxa"/>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在2021年末完成</w:t>
            </w:r>
          </w:p>
        </w:tc>
        <w:tc>
          <w:tcPr>
            <w:tcW w:w="1925" w:type="dxa"/>
            <w:tcBorders>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达成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480" w:hRule="atLeast"/>
        </w:trPr>
        <w:tc>
          <w:tcPr>
            <w:tcW w:w="1976" w:type="dxa"/>
            <w:vMerge w:val="continue"/>
            <w:shd w:val="clear" w:color="auto" w:fill="auto"/>
            <w:vAlign w:val="center"/>
          </w:tcPr>
          <w:p>
            <w:pPr>
              <w:spacing w:line="320" w:lineRule="exact"/>
              <w:jc w:val="center"/>
              <w:rPr>
                <w:rFonts w:ascii="Times New Roman" w:hAnsi="Times New Roman" w:eastAsia="宋体" w:cs="Times New Roman"/>
                <w:sz w:val="24"/>
                <w:szCs w:val="24"/>
              </w:rPr>
            </w:pPr>
          </w:p>
        </w:tc>
        <w:tc>
          <w:tcPr>
            <w:tcW w:w="1142" w:type="dxa"/>
            <w:vMerge w:val="continue"/>
            <w:shd w:val="clear" w:color="auto" w:fill="auto"/>
            <w:vAlign w:val="bottom"/>
          </w:tcPr>
          <w:p>
            <w:pPr>
              <w:spacing w:line="320" w:lineRule="exact"/>
              <w:jc w:val="center"/>
              <w:rPr>
                <w:rFonts w:ascii="Times New Roman" w:hAnsi="Times New Roman" w:eastAsia="宋体" w:cs="Times New Roman"/>
                <w:sz w:val="24"/>
                <w:szCs w:val="24"/>
              </w:rPr>
            </w:pPr>
          </w:p>
        </w:tc>
        <w:tc>
          <w:tcPr>
            <w:tcW w:w="1504" w:type="dxa"/>
            <w:shd w:val="clear" w:color="auto" w:fill="auto"/>
            <w:vAlign w:val="bottom"/>
          </w:tcPr>
          <w:p>
            <w:pPr>
              <w:widowControl/>
              <w:spacing w:line="320" w:lineRule="exact"/>
              <w:jc w:val="center"/>
              <w:textAlignment w:val="bottom"/>
              <w:rPr>
                <w:rFonts w:ascii="Times New Roman" w:hAnsi="Times New Roman" w:eastAsia="宋体" w:cs="Times New Roman"/>
                <w:sz w:val="24"/>
                <w:szCs w:val="24"/>
              </w:rPr>
            </w:pPr>
            <w:r>
              <w:rPr>
                <w:rFonts w:hint="eastAsia" w:ascii="Times New Roman" w:hAnsi="Times New Roman" w:eastAsia="宋体" w:cs="Times New Roman"/>
                <w:kern w:val="0"/>
                <w:sz w:val="24"/>
                <w:szCs w:val="24"/>
              </w:rPr>
              <w:t>成本指标</w:t>
            </w:r>
          </w:p>
        </w:tc>
        <w:tc>
          <w:tcPr>
            <w:tcW w:w="1650" w:type="dxa"/>
            <w:gridSpan w:val="2"/>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项目经费</w:t>
            </w:r>
          </w:p>
        </w:tc>
        <w:tc>
          <w:tcPr>
            <w:tcW w:w="1378" w:type="dxa"/>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33.99万元</w:t>
            </w:r>
          </w:p>
        </w:tc>
        <w:tc>
          <w:tcPr>
            <w:tcW w:w="1925" w:type="dxa"/>
            <w:tcBorders>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33.99万元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480" w:hRule="atLeast"/>
        </w:trPr>
        <w:tc>
          <w:tcPr>
            <w:tcW w:w="1976" w:type="dxa"/>
            <w:vMerge w:val="continue"/>
            <w:shd w:val="clear" w:color="auto" w:fill="auto"/>
            <w:vAlign w:val="center"/>
          </w:tcPr>
          <w:p>
            <w:pPr>
              <w:spacing w:line="320" w:lineRule="exact"/>
              <w:jc w:val="center"/>
              <w:rPr>
                <w:rFonts w:ascii="Times New Roman" w:hAnsi="Times New Roman" w:eastAsia="宋体" w:cs="Times New Roman"/>
                <w:sz w:val="24"/>
                <w:szCs w:val="24"/>
              </w:rPr>
            </w:pPr>
          </w:p>
        </w:tc>
        <w:tc>
          <w:tcPr>
            <w:tcW w:w="1142" w:type="dxa"/>
            <w:vMerge w:val="continue"/>
            <w:shd w:val="clear" w:color="auto" w:fill="auto"/>
            <w:vAlign w:val="bottom"/>
          </w:tcPr>
          <w:p>
            <w:pPr>
              <w:spacing w:line="320" w:lineRule="exact"/>
              <w:jc w:val="center"/>
              <w:rPr>
                <w:rFonts w:ascii="Times New Roman" w:hAnsi="Times New Roman" w:eastAsia="宋体" w:cs="Times New Roman"/>
                <w:sz w:val="24"/>
                <w:szCs w:val="24"/>
              </w:rPr>
            </w:pPr>
          </w:p>
        </w:tc>
        <w:tc>
          <w:tcPr>
            <w:tcW w:w="1504" w:type="dxa"/>
            <w:shd w:val="clear" w:color="auto" w:fill="auto"/>
            <w:vAlign w:val="center"/>
          </w:tcPr>
          <w:p>
            <w:pPr>
              <w:widowControl/>
              <w:spacing w:line="320" w:lineRule="exact"/>
              <w:jc w:val="center"/>
              <w:textAlignment w:val="bottom"/>
              <w:rPr>
                <w:rFonts w:ascii="Times New Roman" w:hAnsi="Times New Roman" w:eastAsia="宋体" w:cs="Times New Roman"/>
                <w:sz w:val="24"/>
                <w:szCs w:val="24"/>
              </w:rPr>
            </w:pPr>
            <w:r>
              <w:rPr>
                <w:rFonts w:hint="eastAsia" w:ascii="Times New Roman" w:hAnsi="Times New Roman" w:eastAsia="宋体" w:cs="Times New Roman"/>
                <w:kern w:val="0"/>
                <w:sz w:val="24"/>
                <w:szCs w:val="24"/>
              </w:rPr>
              <w:t>社会效益  指标</w:t>
            </w:r>
          </w:p>
        </w:tc>
        <w:tc>
          <w:tcPr>
            <w:tcW w:w="1650" w:type="dxa"/>
            <w:gridSpan w:val="2"/>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全面做好离退休干部管理服务工作</w:t>
            </w:r>
          </w:p>
        </w:tc>
        <w:tc>
          <w:tcPr>
            <w:tcW w:w="1378" w:type="dxa"/>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落实好离退休干部政治、生活待遇，加强离退休干部党组织建设</w:t>
            </w: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广大老干部获得感、幸福感和安全感得到提升，老同志发挥余热，凝聚正能量，为社会主义现代化盐边建设作贡献的积极性不断得到提高.</w:t>
            </w:r>
          </w:p>
        </w:tc>
        <w:tc>
          <w:tcPr>
            <w:tcW w:w="1925" w:type="dxa"/>
            <w:tcBorders>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达成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0" w:type="dxa"/>
          <w:trHeight w:val="530" w:hRule="atLeast"/>
        </w:trPr>
        <w:tc>
          <w:tcPr>
            <w:tcW w:w="1976" w:type="dxa"/>
            <w:vMerge w:val="continue"/>
            <w:shd w:val="clear" w:color="auto" w:fill="auto"/>
            <w:vAlign w:val="center"/>
          </w:tcPr>
          <w:p>
            <w:pPr>
              <w:spacing w:line="320" w:lineRule="exact"/>
              <w:jc w:val="center"/>
              <w:rPr>
                <w:rFonts w:ascii="Times New Roman" w:hAnsi="Times New Roman" w:eastAsia="宋体" w:cs="Times New Roman"/>
                <w:sz w:val="24"/>
                <w:szCs w:val="24"/>
              </w:rPr>
            </w:pPr>
          </w:p>
        </w:tc>
        <w:tc>
          <w:tcPr>
            <w:tcW w:w="1142" w:type="dxa"/>
            <w:shd w:val="clear" w:color="auto" w:fill="auto"/>
            <w:vAlign w:val="bottom"/>
          </w:tcPr>
          <w:p>
            <w:pPr>
              <w:widowControl/>
              <w:spacing w:line="320" w:lineRule="exact"/>
              <w:jc w:val="center"/>
              <w:textAlignment w:val="bottom"/>
              <w:rPr>
                <w:rFonts w:ascii="Times New Roman" w:hAnsi="Times New Roman" w:eastAsia="宋体" w:cs="Times New Roman"/>
                <w:sz w:val="24"/>
                <w:szCs w:val="24"/>
              </w:rPr>
            </w:pPr>
            <w:r>
              <w:rPr>
                <w:rFonts w:hint="eastAsia" w:ascii="Times New Roman" w:hAnsi="Times New Roman" w:eastAsia="宋体" w:cs="Times New Roman"/>
                <w:kern w:val="0"/>
                <w:sz w:val="24"/>
                <w:szCs w:val="24"/>
              </w:rPr>
              <w:t>满意</w:t>
            </w:r>
            <w:r>
              <w:rPr>
                <w:rFonts w:hint="eastAsia" w:ascii="Times New Roman" w:hAnsi="Times New Roman" w:eastAsia="宋体" w:cs="Times New Roman"/>
                <w:kern w:val="0"/>
                <w:sz w:val="24"/>
                <w:szCs w:val="24"/>
              </w:rPr>
              <w:br w:type="textWrapping"/>
            </w:r>
            <w:r>
              <w:rPr>
                <w:rFonts w:hint="eastAsia" w:ascii="Times New Roman" w:hAnsi="Times New Roman" w:eastAsia="宋体" w:cs="Times New Roman"/>
                <w:kern w:val="0"/>
                <w:sz w:val="24"/>
                <w:szCs w:val="24"/>
              </w:rPr>
              <w:t>度指标</w:t>
            </w:r>
          </w:p>
        </w:tc>
        <w:tc>
          <w:tcPr>
            <w:tcW w:w="1504" w:type="dxa"/>
            <w:shd w:val="clear" w:color="auto" w:fill="auto"/>
            <w:vAlign w:val="bottom"/>
          </w:tcPr>
          <w:p>
            <w:pPr>
              <w:widowControl/>
              <w:spacing w:line="320" w:lineRule="exact"/>
              <w:jc w:val="center"/>
              <w:textAlignment w:val="bottom"/>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满意度</w:t>
            </w:r>
          </w:p>
          <w:p>
            <w:pPr>
              <w:widowControl/>
              <w:spacing w:line="320" w:lineRule="exact"/>
              <w:jc w:val="center"/>
              <w:textAlignment w:val="bottom"/>
              <w:rPr>
                <w:rFonts w:ascii="Times New Roman" w:hAnsi="Times New Roman" w:eastAsia="宋体" w:cs="Times New Roman"/>
                <w:sz w:val="24"/>
                <w:szCs w:val="24"/>
              </w:rPr>
            </w:pPr>
            <w:r>
              <w:rPr>
                <w:rFonts w:hint="eastAsia" w:ascii="Times New Roman" w:hAnsi="Times New Roman" w:eastAsia="宋体" w:cs="Times New Roman"/>
                <w:kern w:val="0"/>
                <w:sz w:val="24"/>
                <w:szCs w:val="24"/>
              </w:rPr>
              <w:t>指标</w:t>
            </w:r>
          </w:p>
        </w:tc>
        <w:tc>
          <w:tcPr>
            <w:tcW w:w="1650" w:type="dxa"/>
            <w:gridSpan w:val="2"/>
            <w:shd w:val="clear" w:color="auto" w:fill="auto"/>
            <w:vAlign w:val="center"/>
          </w:tcPr>
          <w:p>
            <w:pPr>
              <w:keepNext w:val="0"/>
              <w:keepLines w:val="0"/>
              <w:widowControl/>
              <w:suppressLineNumbers w:val="0"/>
              <w:jc w:val="center"/>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老干部满意度</w:t>
            </w:r>
          </w:p>
        </w:tc>
        <w:tc>
          <w:tcPr>
            <w:tcW w:w="1378" w:type="dxa"/>
            <w:shd w:val="clear" w:color="auto" w:fill="auto"/>
            <w:vAlign w:val="center"/>
          </w:tcPr>
          <w:p>
            <w:pPr>
              <w:keepNext w:val="0"/>
              <w:keepLines w:val="0"/>
              <w:widowControl/>
              <w:suppressLineNumbers w:val="0"/>
              <w:jc w:val="center"/>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100%</w:t>
            </w:r>
          </w:p>
        </w:tc>
        <w:tc>
          <w:tcPr>
            <w:tcW w:w="1925" w:type="dxa"/>
            <w:tcBorders>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宋体" w:cs="Times New Roman"/>
                <w:sz w:val="24"/>
                <w:szCs w:val="24"/>
              </w:rPr>
            </w:pPr>
            <w:r>
              <w:rPr>
                <w:rFonts w:hint="eastAsia" w:ascii="宋体" w:hAnsi="宋体" w:eastAsia="宋体" w:cs="宋体"/>
                <w:i w:val="0"/>
                <w:iCs w:val="0"/>
                <w:color w:val="000000"/>
                <w:kern w:val="0"/>
                <w:sz w:val="24"/>
                <w:szCs w:val="24"/>
                <w:u w:val="none"/>
                <w:lang w:val="en-US" w:eastAsia="zh-CN" w:bidi="ar"/>
              </w:rPr>
              <w:t>100%</w:t>
            </w:r>
          </w:p>
        </w:tc>
      </w:tr>
    </w:tbl>
    <w:p>
      <w:pPr>
        <w:widowControl/>
        <w:adjustRightInd w:val="0"/>
        <w:snapToGrid w:val="0"/>
        <w:spacing w:line="580" w:lineRule="exact"/>
        <w:contextualSpacing/>
        <w:jc w:val="left"/>
        <w:outlineLvl w:val="9"/>
        <w:rPr>
          <w:rFonts w:hint="eastAsia" w:ascii="Times New Roman" w:hAnsi="Times New Roman" w:eastAsia="宋体" w:cs="Times New Roman"/>
          <w:sz w:val="24"/>
          <w:szCs w:val="2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widowControl/>
        <w:adjustRightInd w:val="0"/>
        <w:snapToGrid w:val="0"/>
        <w:spacing w:line="580" w:lineRule="exact"/>
        <w:contextualSpacing/>
        <w:jc w:val="left"/>
        <w:outlineLvl w:val="9"/>
      </w:pPr>
      <w:r>
        <w:rPr>
          <w:rFonts w:hint="eastAsia" w:ascii="仿宋_GB2312" w:hAnsi="宋体" w:eastAsia="仿宋_GB2312" w:cs="宋体"/>
          <w:kern w:val="0"/>
          <w:sz w:val="32"/>
          <w:szCs w:val="32"/>
          <w:shd w:val="clear" w:color="auto" w:fill="FFFFFF"/>
          <w:lang w:val="zh-CN"/>
        </w:rPr>
        <w:t>附表</w:t>
      </w:r>
      <w:r>
        <w:rPr>
          <w:rFonts w:hint="eastAsia" w:ascii="仿宋_GB2312" w:hAnsi="宋体" w:eastAsia="仿宋_GB2312" w:cs="宋体"/>
          <w:kern w:val="0"/>
          <w:sz w:val="32"/>
          <w:szCs w:val="32"/>
          <w:shd w:val="clear" w:color="auto" w:fill="FFFFFF"/>
          <w:lang w:val="en-US" w:eastAsia="zh-CN"/>
        </w:rPr>
        <w:t>4</w:t>
      </w:r>
      <w:r>
        <w:rPr>
          <w:rFonts w:hint="eastAsia" w:ascii="仿宋_GB2312" w:hAnsi="宋体" w:eastAsia="仿宋_GB2312" w:cs="宋体"/>
          <w:kern w:val="0"/>
          <w:sz w:val="32"/>
          <w:szCs w:val="32"/>
          <w:shd w:val="clear" w:color="auto" w:fill="FFFFFF"/>
          <w:lang w:val="zh-CN"/>
        </w:rPr>
        <w:t>：</w:t>
      </w:r>
    </w:p>
    <w:tbl>
      <w:tblPr>
        <w:tblStyle w:val="14"/>
        <w:tblpPr w:leftFromText="180" w:rightFromText="180" w:vertAnchor="text" w:horzAnchor="page" w:tblpX="1357" w:tblpY="305"/>
        <w:tblOverlap w:val="never"/>
        <w:tblW w:w="9811" w:type="dxa"/>
        <w:tblInd w:w="0" w:type="dxa"/>
        <w:tblLayout w:type="fixed"/>
        <w:tblCellMar>
          <w:top w:w="0" w:type="dxa"/>
          <w:left w:w="108" w:type="dxa"/>
          <w:bottom w:w="0" w:type="dxa"/>
          <w:right w:w="108" w:type="dxa"/>
        </w:tblCellMar>
      </w:tblPr>
      <w:tblGrid>
        <w:gridCol w:w="1976"/>
        <w:gridCol w:w="1142"/>
        <w:gridCol w:w="1341"/>
        <w:gridCol w:w="1649"/>
        <w:gridCol w:w="1290"/>
        <w:gridCol w:w="2177"/>
        <w:gridCol w:w="236"/>
      </w:tblGrid>
      <w:tr>
        <w:tblPrEx>
          <w:tblCellMar>
            <w:top w:w="0" w:type="dxa"/>
            <w:left w:w="108" w:type="dxa"/>
            <w:bottom w:w="0" w:type="dxa"/>
            <w:right w:w="108" w:type="dxa"/>
          </w:tblCellMar>
        </w:tblPrEx>
        <w:trPr>
          <w:trHeight w:val="1287" w:hRule="atLeast"/>
        </w:trPr>
        <w:tc>
          <w:tcPr>
            <w:tcW w:w="9575" w:type="dxa"/>
            <w:gridSpan w:val="6"/>
            <w:tcBorders>
              <w:top w:val="nil"/>
              <w:left w:val="nil"/>
              <w:bottom w:val="nil"/>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80" w:lineRule="exact"/>
              <w:jc w:val="center"/>
              <w:textAlignment w:val="center"/>
              <w:rPr>
                <w:rFonts w:ascii="宋体" w:hAnsi="宋体" w:cs="宋体"/>
                <w:b/>
                <w:sz w:val="32"/>
                <w:szCs w:val="32"/>
              </w:rPr>
            </w:pPr>
            <w:r>
              <w:rPr>
                <w:rFonts w:hint="eastAsia" w:ascii="宋体" w:hAnsi="宋体" w:cs="宋体"/>
                <w:b/>
                <w:sz w:val="32"/>
                <w:szCs w:val="32"/>
              </w:rPr>
              <w:t>2021年全县村（社区）</w:t>
            </w:r>
            <w:r>
              <w:rPr>
                <w:rFonts w:hint="eastAsia" w:ascii="宋体" w:hAnsi="宋体" w:cs="宋体"/>
                <w:b/>
                <w:sz w:val="32"/>
                <w:szCs w:val="32"/>
                <w:lang w:eastAsia="zh-CN"/>
              </w:rPr>
              <w:t>“</w:t>
            </w:r>
            <w:r>
              <w:rPr>
                <w:rFonts w:hint="eastAsia" w:ascii="宋体" w:hAnsi="宋体" w:cs="宋体"/>
                <w:b/>
                <w:sz w:val="32"/>
                <w:szCs w:val="32"/>
              </w:rPr>
              <w:t>两委</w:t>
            </w:r>
            <w:r>
              <w:rPr>
                <w:rFonts w:hint="eastAsia" w:ascii="宋体" w:hAnsi="宋体" w:cs="宋体"/>
                <w:b/>
                <w:sz w:val="32"/>
                <w:szCs w:val="32"/>
                <w:lang w:eastAsia="zh-CN"/>
              </w:rPr>
              <w:t>”</w:t>
            </w:r>
            <w:r>
              <w:rPr>
                <w:rFonts w:hint="eastAsia" w:ascii="宋体" w:hAnsi="宋体" w:cs="宋体"/>
                <w:b/>
                <w:sz w:val="32"/>
                <w:szCs w:val="32"/>
              </w:rPr>
              <w:t>班子成员、常职干部及驻村干部培训经费</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主管部门及代码</w:t>
            </w:r>
          </w:p>
        </w:tc>
        <w:tc>
          <w:tcPr>
            <w:tcW w:w="29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eastAsia" w:ascii="宋体" w:hAnsi="宋体" w:eastAsia="宋体" w:cs="宋体"/>
                <w:sz w:val="24"/>
                <w:szCs w:val="24"/>
              </w:rPr>
            </w:pPr>
            <w:r>
              <w:rPr>
                <w:rFonts w:hint="eastAsia" w:ascii="宋体" w:hAnsi="宋体" w:eastAsia="宋体" w:cs="宋体"/>
                <w:sz w:val="24"/>
                <w:szCs w:val="24"/>
                <w:lang w:val="en-US" w:eastAsia="zh-CN"/>
              </w:rPr>
              <w:t>盐边县委组织部 207001</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实施单位</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盐边县委组织部</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项目预算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执行情况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（万元）</w:t>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szCs w:val="24"/>
              </w:rPr>
            </w:pPr>
            <w:r>
              <w:rPr>
                <w:rFonts w:hint="eastAsia" w:ascii="宋体" w:hAnsi="宋体" w:eastAsia="宋体" w:cs="宋体"/>
                <w:kern w:val="0"/>
                <w:sz w:val="24"/>
                <w:szCs w:val="24"/>
              </w:rPr>
              <w:t xml:space="preserve"> 预算数：</w:t>
            </w: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szCs w:val="24"/>
              </w:rPr>
            </w:pPr>
            <w:r>
              <w:rPr>
                <w:rFonts w:hint="eastAsia" w:ascii="宋体" w:hAnsi="宋体" w:eastAsia="宋体" w:cs="宋体"/>
                <w:b w:val="0"/>
                <w:bCs w:val="0"/>
                <w:sz w:val="24"/>
                <w:szCs w:val="24"/>
                <w:lang w:val="en-US" w:eastAsia="zh-CN"/>
              </w:rPr>
              <w:t>10.1285</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szCs w:val="24"/>
              </w:rPr>
            </w:pPr>
            <w:r>
              <w:rPr>
                <w:rFonts w:hint="eastAsia" w:ascii="宋体" w:hAnsi="宋体" w:eastAsia="宋体" w:cs="宋体"/>
                <w:kern w:val="0"/>
                <w:sz w:val="24"/>
                <w:szCs w:val="24"/>
              </w:rPr>
              <w:t xml:space="preserve"> 执行数：</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b w:val="0"/>
                <w:bCs w:val="0"/>
                <w:sz w:val="24"/>
                <w:szCs w:val="24"/>
                <w:lang w:val="en-US" w:eastAsia="zh-CN"/>
              </w:rPr>
              <w:t>10.1285</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szCs w:val="24"/>
              </w:rPr>
            </w:pPr>
            <w:r>
              <w:rPr>
                <w:rFonts w:hint="eastAsia" w:ascii="宋体" w:hAnsi="宋体" w:eastAsia="宋体" w:cs="宋体"/>
                <w:kern w:val="0"/>
                <w:sz w:val="24"/>
                <w:szCs w:val="24"/>
              </w:rPr>
              <w:t>其中：</w:t>
            </w:r>
          </w:p>
          <w:p>
            <w:pPr>
              <w:widowControl/>
              <w:spacing w:line="320" w:lineRule="exact"/>
              <w:jc w:val="left"/>
              <w:textAlignment w:val="center"/>
              <w:rPr>
                <w:rFonts w:hint="eastAsia" w:ascii="宋体" w:hAnsi="宋体" w:eastAsia="宋体" w:cs="宋体"/>
                <w:sz w:val="24"/>
                <w:szCs w:val="24"/>
              </w:rPr>
            </w:pPr>
            <w:r>
              <w:rPr>
                <w:rFonts w:hint="eastAsia" w:ascii="宋体" w:hAnsi="宋体" w:eastAsia="宋体" w:cs="宋体"/>
                <w:kern w:val="0"/>
                <w:sz w:val="24"/>
                <w:szCs w:val="24"/>
              </w:rPr>
              <w:t>财政拨款</w:t>
            </w: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szCs w:val="24"/>
              </w:rPr>
            </w:pPr>
            <w:r>
              <w:rPr>
                <w:rFonts w:hint="eastAsia" w:ascii="宋体" w:hAnsi="宋体" w:eastAsia="宋体" w:cs="宋体"/>
                <w:b w:val="0"/>
                <w:bCs w:val="0"/>
                <w:sz w:val="24"/>
                <w:szCs w:val="24"/>
                <w:lang w:val="en-US" w:eastAsia="zh-CN"/>
              </w:rPr>
              <w:t>10.1285</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kern w:val="0"/>
                <w:sz w:val="24"/>
                <w:szCs w:val="24"/>
              </w:rPr>
            </w:pPr>
            <w:r>
              <w:rPr>
                <w:rFonts w:hint="eastAsia" w:ascii="宋体" w:hAnsi="宋体" w:eastAsia="宋体" w:cs="宋体"/>
                <w:kern w:val="0"/>
                <w:sz w:val="24"/>
                <w:szCs w:val="24"/>
              </w:rPr>
              <w:t>其中：</w:t>
            </w:r>
          </w:p>
          <w:p>
            <w:pPr>
              <w:widowControl/>
              <w:spacing w:line="320" w:lineRule="exact"/>
              <w:jc w:val="left"/>
              <w:textAlignment w:val="center"/>
              <w:rPr>
                <w:rFonts w:hint="eastAsia" w:ascii="宋体" w:hAnsi="宋体" w:eastAsia="宋体" w:cs="宋体"/>
                <w:sz w:val="24"/>
                <w:szCs w:val="24"/>
              </w:rPr>
            </w:pPr>
            <w:r>
              <w:rPr>
                <w:rFonts w:hint="eastAsia" w:ascii="宋体" w:hAnsi="宋体" w:eastAsia="宋体" w:cs="宋体"/>
                <w:kern w:val="0"/>
                <w:sz w:val="24"/>
                <w:szCs w:val="24"/>
              </w:rPr>
              <w:t>财政拨款</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b w:val="0"/>
                <w:bCs w:val="0"/>
                <w:sz w:val="24"/>
                <w:szCs w:val="24"/>
                <w:lang w:val="en-US" w:eastAsia="zh-CN"/>
              </w:rPr>
              <w:t>10.1285</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szCs w:val="24"/>
              </w:rPr>
            </w:pPr>
            <w:r>
              <w:rPr>
                <w:rFonts w:hint="eastAsia" w:ascii="宋体" w:hAnsi="宋体" w:eastAsia="宋体" w:cs="宋体"/>
                <w:kern w:val="0"/>
                <w:sz w:val="24"/>
                <w:szCs w:val="24"/>
              </w:rPr>
              <w:t>其他资金</w:t>
            </w: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szCs w:val="24"/>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szCs w:val="24"/>
              </w:rPr>
            </w:pPr>
            <w:r>
              <w:rPr>
                <w:rFonts w:hint="eastAsia" w:ascii="宋体" w:hAnsi="宋体" w:eastAsia="宋体" w:cs="宋体"/>
                <w:kern w:val="0"/>
                <w:sz w:val="24"/>
                <w:szCs w:val="24"/>
              </w:rPr>
              <w:t>其他资金</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年度总体目标</w:t>
            </w:r>
          </w:p>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完成情况</w:t>
            </w:r>
          </w:p>
        </w:tc>
        <w:tc>
          <w:tcPr>
            <w:tcW w:w="41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预期目标</w:t>
            </w:r>
          </w:p>
        </w:tc>
        <w:tc>
          <w:tcPr>
            <w:tcW w:w="34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41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根据《中共四川省委组织部关于高质量做好村（社区）干部任职培训工作的通知》（川组通〔2021〕20号）《关于做好新一批驻村帮扶干部管理服务工作的通知》（攀组通〔2021〕73号）要求，县委组织部会同县民政局、县委党校拟对全县348名村（社区）常职干部、74名驻村干部、28名村（社区）“两委”班子成员进行为期3天的全覆盖培训和重点培训。</w:t>
            </w:r>
          </w:p>
        </w:tc>
        <w:tc>
          <w:tcPr>
            <w:tcW w:w="34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已完成全县348名村（社区）常职干部、74名驻村干部、28名村（社区）“两委”班子成员进行为期3天的全覆盖培训和重点培训。</w:t>
            </w:r>
          </w:p>
        </w:tc>
      </w:tr>
      <w:tr>
        <w:tblPrEx>
          <w:tblCellMar>
            <w:top w:w="0" w:type="dxa"/>
            <w:left w:w="108" w:type="dxa"/>
            <w:bottom w:w="0" w:type="dxa"/>
            <w:right w:w="108" w:type="dxa"/>
          </w:tblCellMar>
        </w:tblPrEx>
        <w:trPr>
          <w:gridAfter w:val="1"/>
          <w:wAfter w:w="236" w:type="dxa"/>
          <w:trHeight w:val="57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一级</w:t>
            </w:r>
          </w:p>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指标</w:t>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二级</w:t>
            </w:r>
          </w:p>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指标</w:t>
            </w: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三级</w:t>
            </w:r>
          </w:p>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指标</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预期指标值</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宋体" w:hAnsi="宋体" w:eastAsia="宋体" w:cs="宋体"/>
                <w:kern w:val="0"/>
                <w:sz w:val="24"/>
                <w:szCs w:val="24"/>
              </w:rPr>
            </w:pPr>
            <w:r>
              <w:rPr>
                <w:rFonts w:hint="eastAsia" w:ascii="宋体" w:hAnsi="宋体" w:eastAsia="宋体" w:cs="宋体"/>
                <w:kern w:val="0"/>
                <w:sz w:val="24"/>
                <w:szCs w:val="24"/>
              </w:rPr>
              <w:t>完成</w:t>
            </w:r>
          </w:p>
          <w:p>
            <w:pPr>
              <w:widowControl/>
              <w:spacing w:line="32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rPr>
              <w:t>指标</w:t>
            </w:r>
          </w:p>
        </w:tc>
        <w:tc>
          <w:tcPr>
            <w:tcW w:w="1341"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宋体" w:hAnsi="宋体" w:eastAsia="宋体" w:cs="宋体"/>
                <w:kern w:val="0"/>
                <w:sz w:val="24"/>
                <w:szCs w:val="24"/>
              </w:rPr>
            </w:pPr>
            <w:r>
              <w:rPr>
                <w:rFonts w:hint="eastAsia" w:ascii="宋体" w:hAnsi="宋体" w:eastAsia="宋体" w:cs="宋体"/>
                <w:kern w:val="0"/>
                <w:sz w:val="24"/>
                <w:szCs w:val="24"/>
              </w:rPr>
              <w:t>数量指标</w:t>
            </w:r>
          </w:p>
          <w:p>
            <w:pPr>
              <w:widowControl/>
              <w:spacing w:line="320" w:lineRule="exact"/>
              <w:jc w:val="center"/>
              <w:textAlignment w:val="bottom"/>
              <w:rPr>
                <w:rFonts w:hint="eastAsia" w:ascii="宋体" w:hAnsi="宋体" w:eastAsia="宋体" w:cs="宋体"/>
                <w:sz w:val="24"/>
                <w:szCs w:val="24"/>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村（社区）常职干部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348</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348</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eastAsia" w:ascii="宋体" w:hAnsi="宋体" w:eastAsia="宋体" w:cs="宋体"/>
                <w:sz w:val="24"/>
                <w:szCs w:val="24"/>
              </w:rPr>
            </w:pPr>
          </w:p>
        </w:tc>
        <w:tc>
          <w:tcPr>
            <w:tcW w:w="1341"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宋体" w:hAnsi="宋体" w:eastAsia="宋体" w:cs="宋体"/>
                <w:kern w:val="0"/>
                <w:sz w:val="24"/>
                <w:szCs w:val="24"/>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驻村干部</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74</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74</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eastAsia" w:ascii="宋体" w:hAnsi="宋体" w:eastAsia="宋体" w:cs="宋体"/>
                <w:sz w:val="24"/>
                <w:szCs w:val="24"/>
              </w:rPr>
            </w:pPr>
          </w:p>
        </w:tc>
        <w:tc>
          <w:tcPr>
            <w:tcW w:w="1341"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宋体" w:hAnsi="宋体" w:eastAsia="宋体" w:cs="宋体"/>
                <w:sz w:val="24"/>
                <w:szCs w:val="24"/>
              </w:rPr>
            </w:pP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村（社区）“两委”班子成员</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28</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28</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eastAsia" w:ascii="宋体" w:hAnsi="宋体" w:eastAsia="宋体" w:cs="宋体"/>
                <w:sz w:val="24"/>
                <w:szCs w:val="24"/>
              </w:rPr>
            </w:pP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rPr>
              <w:t>时效指标</w:t>
            </w: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 xml:space="preserve"> 完成时限</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2021年</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已完成</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hint="eastAsia" w:ascii="宋体" w:hAnsi="宋体" w:eastAsia="宋体" w:cs="宋体"/>
                <w:sz w:val="24"/>
                <w:szCs w:val="24"/>
              </w:rPr>
            </w:pP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rPr>
              <w:t>成本指标</w:t>
            </w: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宋体" w:hAnsi="宋体" w:eastAsia="宋体" w:cs="宋体"/>
                <w:sz w:val="24"/>
                <w:szCs w:val="24"/>
                <w:lang w:val="en-US" w:eastAsia="zh-CN"/>
              </w:rPr>
            </w:pPr>
            <w:r>
              <w:rPr>
                <w:rFonts w:hint="eastAsia" w:ascii="宋体" w:hAnsi="宋体" w:cs="宋体"/>
                <w:sz w:val="24"/>
                <w:szCs w:val="24"/>
                <w:lang w:val="en-US" w:eastAsia="zh-CN"/>
              </w:rPr>
              <w:t>会议场地租赁、资料印刷费、授课费等</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宋体" w:hAnsi="宋体" w:eastAsia="宋体" w:cs="宋体"/>
                <w:sz w:val="24"/>
                <w:szCs w:val="24"/>
              </w:rPr>
            </w:pPr>
            <w:r>
              <w:rPr>
                <w:rFonts w:hint="eastAsia" w:ascii="宋体" w:hAnsi="宋体" w:eastAsia="宋体" w:cs="宋体"/>
                <w:b w:val="0"/>
                <w:bCs w:val="0"/>
                <w:sz w:val="24"/>
                <w:szCs w:val="24"/>
                <w:lang w:val="en-US" w:eastAsia="zh-CN"/>
              </w:rPr>
              <w:t>10.1285</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宋体" w:hAnsi="宋体" w:eastAsia="宋体" w:cs="宋体"/>
                <w:sz w:val="24"/>
                <w:szCs w:val="24"/>
              </w:rPr>
            </w:pPr>
            <w:r>
              <w:rPr>
                <w:rFonts w:hint="eastAsia" w:ascii="宋体" w:hAnsi="宋体" w:eastAsia="宋体" w:cs="宋体"/>
                <w:b w:val="0"/>
                <w:bCs w:val="0"/>
                <w:sz w:val="24"/>
                <w:szCs w:val="24"/>
                <w:lang w:val="en-US" w:eastAsia="zh-CN"/>
              </w:rPr>
              <w:t>10.1285</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村（社区）干部能力</w:t>
            </w: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村（社区）干部工作能力进一步增强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≥90%</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≥90%</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rPr>
              <w:t>满意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度指标</w:t>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受益对象满意度</w:t>
            </w:r>
          </w:p>
        </w:tc>
        <w:tc>
          <w:tcPr>
            <w:tcW w:w="16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村（社区）干部群众满意率提升</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≥90%</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仿宋_GB2312" w:eastAsia="仿宋_GB2312" w:cs="仿宋_GB2312"/>
                <w:sz w:val="28"/>
                <w:szCs w:val="28"/>
              </w:rPr>
            </w:pPr>
            <w:r>
              <w:rPr>
                <w:rFonts w:hint="eastAsia" w:ascii="宋体" w:hAnsi="宋体" w:eastAsia="宋体" w:cs="宋体"/>
                <w:i w:val="0"/>
                <w:iCs w:val="0"/>
                <w:color w:val="000000"/>
                <w:kern w:val="0"/>
                <w:sz w:val="24"/>
                <w:szCs w:val="24"/>
                <w:u w:val="none"/>
                <w:lang w:val="en-US" w:eastAsia="zh-CN" w:bidi="ar"/>
              </w:rPr>
              <w:t>≥90%</w:t>
            </w:r>
          </w:p>
        </w:tc>
      </w:tr>
    </w:tbl>
    <w:p>
      <w:pPr>
        <w:widowControl/>
        <w:adjustRightInd w:val="0"/>
        <w:snapToGrid w:val="0"/>
        <w:spacing w:line="580" w:lineRule="exact"/>
        <w:contextualSpacing/>
        <w:jc w:val="left"/>
        <w:outlineLvl w:val="9"/>
      </w:pP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236"/>
        <w:gridCol w:w="1588"/>
        <w:gridCol w:w="1224"/>
        <w:gridCol w:w="2409"/>
        <w:gridCol w:w="236"/>
      </w:tblGrid>
      <w:tr>
        <w:trPr>
          <w:trHeight w:val="675" w:hRule="atLeast"/>
        </w:trPr>
        <w:tc>
          <w:tcPr>
            <w:tcW w:w="9575"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r>
              <w:rPr>
                <w:rFonts w:hint="eastAsia" w:ascii="宋体" w:hAnsi="宋体" w:cs="宋体"/>
                <w:b/>
                <w:sz w:val="32"/>
                <w:szCs w:val="32"/>
              </w:rPr>
              <w:t>关于2020年干部人才学历提升学费补助经费</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eastAsia="宋体" w:cs="宋体"/>
                <w:sz w:val="24"/>
                <w:szCs w:val="24"/>
                <w:lang w:val="en-US" w:eastAsia="zh-CN"/>
              </w:rPr>
              <w:t>盐边县委组织部 207001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宋体" w:hAnsi="宋体" w:eastAsia="宋体" w:cs="宋体"/>
                <w:sz w:val="24"/>
                <w:lang w:val="en-US" w:eastAsia="zh-CN"/>
              </w:rPr>
            </w:pPr>
            <w:r>
              <w:rPr>
                <w:rFonts w:hint="eastAsia" w:ascii="宋体" w:hAnsi="宋体" w:cs="宋体"/>
                <w:sz w:val="24"/>
                <w:lang w:val="en-US" w:eastAsia="zh-CN"/>
              </w:rPr>
              <w:t>盐边县委组织部</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3.3816</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lang w:val="en-US" w:eastAsia="zh-CN"/>
              </w:rPr>
              <w:t>3.3816</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3.3816</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宋体" w:hAnsi="宋体" w:eastAsia="宋体" w:cs="宋体"/>
                <w:sz w:val="24"/>
                <w:lang w:val="en-US" w:eastAsia="zh-CN"/>
              </w:rPr>
            </w:pPr>
            <w:r>
              <w:rPr>
                <w:rFonts w:hint="eastAsia" w:ascii="宋体" w:hAnsi="宋体" w:cs="宋体"/>
                <w:sz w:val="24"/>
                <w:lang w:val="en-US" w:eastAsia="zh-CN"/>
              </w:rPr>
              <w:t>3.3816</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为2020年完成继续教育并获得相应毕业证书的干部人才，给予一定的学费补助，鼓励各类在编在职干部人才参加多种形式的学历教育</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ascii="宋体" w:hAnsi="宋体" w:cs="宋体"/>
                <w:sz w:val="24"/>
              </w:rPr>
            </w:pPr>
            <w:r>
              <w:rPr>
                <w:rFonts w:hint="eastAsia" w:ascii="宋体" w:hAnsi="宋体" w:eastAsia="宋体" w:cs="宋体"/>
                <w:i w:val="0"/>
                <w:iCs w:val="0"/>
                <w:color w:val="000000"/>
                <w:kern w:val="0"/>
                <w:sz w:val="24"/>
                <w:szCs w:val="24"/>
                <w:u w:val="none"/>
                <w:lang w:val="en-US" w:eastAsia="zh-CN" w:bidi="ar"/>
              </w:rPr>
              <w:t>为10名2020年完成继续教育并获得相应毕业证书的干部人才，给予一定的学费补助</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一级</w:t>
            </w:r>
          </w:p>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指标</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二级</w:t>
            </w:r>
          </w:p>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指标</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szCs w:val="24"/>
              </w:rPr>
            </w:pPr>
            <w:r>
              <w:rPr>
                <w:rFonts w:hint="eastAsia" w:ascii="宋体" w:hAnsi="宋体" w:eastAsia="宋体" w:cs="宋体"/>
                <w:kern w:val="0"/>
                <w:sz w:val="24"/>
                <w:szCs w:val="24"/>
              </w:rPr>
              <w:t>三级</w:t>
            </w:r>
          </w:p>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szCs w:val="24"/>
              </w:rPr>
            </w:pPr>
            <w:r>
              <w:rPr>
                <w:rFonts w:hint="eastAsia" w:ascii="宋体" w:hAnsi="宋体" w:eastAsia="宋体" w:cs="宋体"/>
                <w:kern w:val="0"/>
                <w:sz w:val="24"/>
                <w:szCs w:val="24"/>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1142"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宋体" w:hAnsi="宋体" w:eastAsia="宋体" w:cs="宋体"/>
                <w:kern w:val="0"/>
                <w:sz w:val="24"/>
                <w:szCs w:val="24"/>
              </w:rPr>
            </w:pPr>
            <w:r>
              <w:rPr>
                <w:rFonts w:hint="eastAsia" w:ascii="宋体" w:hAnsi="宋体" w:eastAsia="宋体" w:cs="宋体"/>
                <w:kern w:val="0"/>
                <w:sz w:val="24"/>
                <w:szCs w:val="24"/>
              </w:rPr>
              <w:t>完成</w:t>
            </w:r>
          </w:p>
          <w:p>
            <w:pPr>
              <w:widowControl/>
              <w:spacing w:line="32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rPr>
              <w:t>指标</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rPr>
              <w:t>数量指标</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符合补助要求干部人才数</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≥8人</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10人</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1142" w:type="dxa"/>
            <w:vMerge w:val="continue"/>
            <w:tcBorders>
              <w:left w:val="single" w:color="000000" w:sz="4" w:space="0"/>
              <w:right w:val="single" w:color="000000" w:sz="4" w:space="0"/>
            </w:tcBorders>
            <w:shd w:val="clear" w:color="auto" w:fill="auto"/>
            <w:vAlign w:val="bottom"/>
          </w:tcPr>
          <w:p>
            <w:pPr>
              <w:spacing w:line="320" w:lineRule="exact"/>
              <w:jc w:val="center"/>
              <w:rPr>
                <w:rFonts w:hint="eastAsia" w:ascii="宋体" w:hAnsi="宋体" w:eastAsia="宋体" w:cs="宋体"/>
                <w:sz w:val="24"/>
                <w:szCs w:val="24"/>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rPr>
              <w:t>时效指标</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宋体" w:hAnsi="宋体" w:eastAsia="宋体" w:cs="宋体"/>
                <w:sz w:val="24"/>
                <w:szCs w:val="24"/>
                <w:lang w:val="en-US" w:eastAsia="zh-CN"/>
              </w:rPr>
            </w:pPr>
            <w:r>
              <w:rPr>
                <w:rFonts w:hint="eastAsia" w:ascii="宋体" w:hAnsi="宋体" w:cs="宋体"/>
                <w:sz w:val="24"/>
                <w:szCs w:val="24"/>
                <w:lang w:val="en-US" w:eastAsia="zh-CN"/>
              </w:rPr>
              <w:t>兑现时间</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宋体" w:hAnsi="宋体" w:eastAsia="宋体" w:cs="宋体"/>
                <w:sz w:val="24"/>
                <w:szCs w:val="24"/>
                <w:lang w:val="en-US" w:eastAsia="zh-CN"/>
              </w:rPr>
            </w:pPr>
            <w:r>
              <w:rPr>
                <w:rFonts w:hint="eastAsia" w:ascii="宋体" w:hAnsi="宋体" w:cs="宋体"/>
                <w:sz w:val="24"/>
                <w:szCs w:val="24"/>
                <w:lang w:val="en-US" w:eastAsia="zh-CN"/>
              </w:rPr>
              <w:t>2021年</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宋体" w:hAnsi="宋体" w:eastAsia="宋体" w:cs="宋体"/>
                <w:sz w:val="24"/>
                <w:szCs w:val="24"/>
                <w:lang w:val="en-US" w:eastAsia="zh-CN"/>
              </w:rPr>
            </w:pPr>
            <w:r>
              <w:rPr>
                <w:rFonts w:hint="eastAsia" w:ascii="宋体" w:hAnsi="宋体" w:cs="宋体"/>
                <w:sz w:val="24"/>
                <w:szCs w:val="24"/>
                <w:lang w:val="en-US" w:eastAsia="zh-CN"/>
              </w:rPr>
              <w:t>2021年</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1142" w:type="dxa"/>
            <w:vMerge w:val="continue"/>
            <w:tcBorders>
              <w:left w:val="single" w:color="000000" w:sz="4" w:space="0"/>
              <w:right w:val="single" w:color="000000" w:sz="4" w:space="0"/>
            </w:tcBorders>
            <w:shd w:val="clear" w:color="auto" w:fill="auto"/>
            <w:vAlign w:val="bottom"/>
          </w:tcPr>
          <w:p>
            <w:pPr>
              <w:spacing w:line="320" w:lineRule="exact"/>
              <w:jc w:val="center"/>
              <w:rPr>
                <w:rFonts w:hint="eastAsia" w:ascii="宋体" w:hAnsi="宋体" w:eastAsia="宋体" w:cs="宋体"/>
                <w:sz w:val="24"/>
                <w:szCs w:val="24"/>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rPr>
              <w:t>成本指标</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宋体" w:hAnsi="宋体" w:eastAsia="宋体" w:cs="宋体"/>
                <w:sz w:val="24"/>
                <w:szCs w:val="24"/>
                <w:lang w:val="en-US" w:eastAsia="zh-CN"/>
              </w:rPr>
            </w:pPr>
            <w:r>
              <w:rPr>
                <w:rFonts w:hint="eastAsia" w:ascii="宋体" w:hAnsi="宋体" w:cs="宋体"/>
                <w:sz w:val="24"/>
                <w:szCs w:val="24"/>
                <w:lang w:val="en-US" w:eastAsia="zh-CN"/>
              </w:rPr>
              <w:t>继续教育学费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宋体" w:hAnsi="宋体" w:eastAsia="宋体" w:cs="宋体"/>
                <w:sz w:val="24"/>
                <w:szCs w:val="24"/>
                <w:lang w:val="en-US" w:eastAsia="zh-CN"/>
              </w:rPr>
            </w:pPr>
            <w:r>
              <w:rPr>
                <w:rFonts w:hint="eastAsia" w:ascii="宋体" w:hAnsi="宋体" w:cs="宋体"/>
                <w:sz w:val="24"/>
                <w:szCs w:val="24"/>
                <w:lang w:val="en-US" w:eastAsia="zh-CN"/>
              </w:rPr>
              <w:t>3.3816</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宋体" w:hAnsi="宋体" w:eastAsia="宋体" w:cs="宋体"/>
                <w:sz w:val="24"/>
                <w:szCs w:val="24"/>
                <w:lang w:val="en-US" w:eastAsia="zh-CN"/>
              </w:rPr>
            </w:pPr>
            <w:r>
              <w:rPr>
                <w:rFonts w:hint="eastAsia" w:ascii="宋体" w:hAnsi="宋体" w:cs="宋体"/>
                <w:sz w:val="24"/>
                <w:szCs w:val="24"/>
                <w:lang w:val="en-US" w:eastAsia="zh-CN"/>
              </w:rPr>
              <w:t>3.3816</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1142" w:type="dxa"/>
            <w:vMerge w:val="continue"/>
            <w:tcBorders>
              <w:left w:val="single" w:color="000000" w:sz="4" w:space="0"/>
              <w:right w:val="single" w:color="000000" w:sz="4" w:space="0"/>
            </w:tcBorders>
            <w:shd w:val="clear" w:color="auto" w:fill="auto"/>
            <w:vAlign w:val="bottom"/>
          </w:tcPr>
          <w:p>
            <w:pPr>
              <w:spacing w:line="320" w:lineRule="exact"/>
              <w:jc w:val="center"/>
              <w:rPr>
                <w:rFonts w:hint="eastAsia" w:ascii="宋体" w:hAnsi="宋体" w:eastAsia="宋体" w:cs="宋体"/>
                <w:sz w:val="24"/>
                <w:szCs w:val="24"/>
              </w:rPr>
            </w:pPr>
          </w:p>
        </w:tc>
        <w:tc>
          <w:tcPr>
            <w:tcW w:w="123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rPr>
              <w:t>社会效益  指标</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全县干部人才队伍自身知识层次和综合素质</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提升</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提升</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1142" w:type="dxa"/>
            <w:vMerge w:val="continue"/>
            <w:tcBorders>
              <w:left w:val="single" w:color="000000" w:sz="4" w:space="0"/>
              <w:bottom w:val="single" w:color="000000" w:sz="4" w:space="0"/>
              <w:right w:val="single" w:color="000000" w:sz="4" w:space="0"/>
            </w:tcBorders>
            <w:shd w:val="clear" w:color="auto" w:fill="auto"/>
            <w:vAlign w:val="bottom"/>
          </w:tcPr>
          <w:p>
            <w:pPr>
              <w:spacing w:line="320" w:lineRule="exact"/>
              <w:jc w:val="center"/>
              <w:rPr>
                <w:rFonts w:hint="eastAsia" w:ascii="宋体" w:hAnsi="宋体" w:eastAsia="宋体" w:cs="宋体"/>
                <w:sz w:val="24"/>
                <w:szCs w:val="24"/>
              </w:rPr>
            </w:pPr>
          </w:p>
        </w:tc>
        <w:tc>
          <w:tcPr>
            <w:tcW w:w="1236" w:type="dxa"/>
            <w:vMerge w:val="continue"/>
            <w:tcBorders>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宋体" w:hAnsi="宋体" w:eastAsia="宋体" w:cs="宋体"/>
                <w:kern w:val="0"/>
                <w:sz w:val="24"/>
                <w:szCs w:val="24"/>
              </w:rPr>
            </w:pP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 xml:space="preserve"> 各级干部人才参加学历提升教育积极性</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提高</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提高</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hint="eastAsia" w:ascii="宋体" w:hAnsi="宋体" w:eastAsia="宋体" w:cs="宋体"/>
                <w:sz w:val="24"/>
                <w:szCs w:val="24"/>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rPr>
              <w:t>满意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度指标</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宋体" w:hAnsi="宋体" w:eastAsia="宋体" w:cs="宋体"/>
                <w:kern w:val="0"/>
                <w:sz w:val="24"/>
                <w:szCs w:val="24"/>
              </w:rPr>
            </w:pPr>
            <w:r>
              <w:rPr>
                <w:rFonts w:hint="eastAsia" w:ascii="宋体" w:hAnsi="宋体" w:eastAsia="宋体" w:cs="宋体"/>
                <w:kern w:val="0"/>
                <w:sz w:val="24"/>
                <w:szCs w:val="24"/>
              </w:rPr>
              <w:t>满意度</w:t>
            </w:r>
          </w:p>
          <w:p>
            <w:pPr>
              <w:widowControl/>
              <w:spacing w:line="320" w:lineRule="exact"/>
              <w:jc w:val="center"/>
              <w:textAlignment w:val="bottom"/>
              <w:rPr>
                <w:rFonts w:hint="eastAsia" w:ascii="宋体" w:hAnsi="宋体" w:eastAsia="宋体" w:cs="宋体"/>
                <w:sz w:val="24"/>
                <w:szCs w:val="24"/>
              </w:rPr>
            </w:pPr>
            <w:r>
              <w:rPr>
                <w:rFonts w:hint="eastAsia" w:ascii="宋体" w:hAnsi="宋体" w:eastAsia="宋体" w:cs="宋体"/>
                <w:kern w:val="0"/>
                <w:sz w:val="24"/>
                <w:szCs w:val="24"/>
              </w:rPr>
              <w:t>指标</w:t>
            </w:r>
          </w:p>
        </w:tc>
        <w:tc>
          <w:tcPr>
            <w:tcW w:w="1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干部人才满意度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≥90%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100%</w:t>
            </w:r>
          </w:p>
        </w:tc>
      </w:tr>
    </w:tbl>
    <w:p>
      <w:pPr>
        <w:widowControl/>
        <w:adjustRightInd w:val="0"/>
        <w:snapToGrid w:val="0"/>
        <w:spacing w:line="580" w:lineRule="exact"/>
        <w:contextualSpacing/>
        <w:jc w:val="left"/>
        <w:outlineLvl w:val="9"/>
        <w:rPr>
          <w:rFonts w:hint="eastAsia" w:ascii="仿宋_GB2312" w:hAnsi="宋体" w:eastAsia="仿宋_GB2312" w:cs="宋体"/>
          <w:kern w:val="0"/>
          <w:sz w:val="32"/>
          <w:szCs w:val="32"/>
          <w:shd w:val="clear" w:color="auto" w:fill="FFFFFF"/>
          <w:lang w:val="zh-CN"/>
        </w:rPr>
      </w:pPr>
      <w:r>
        <w:rPr>
          <w:rFonts w:hint="eastAsia" w:ascii="仿宋_GB2312" w:hAnsi="宋体" w:eastAsia="仿宋_GB2312" w:cs="宋体"/>
          <w:kern w:val="0"/>
          <w:sz w:val="32"/>
          <w:szCs w:val="32"/>
          <w:shd w:val="clear" w:color="auto" w:fill="FFFFFF"/>
          <w:lang w:val="zh-CN"/>
        </w:rPr>
        <w:t>附表</w:t>
      </w:r>
      <w:r>
        <w:rPr>
          <w:rFonts w:hint="eastAsia" w:ascii="仿宋_GB2312" w:hAnsi="宋体" w:eastAsia="仿宋_GB2312" w:cs="宋体"/>
          <w:kern w:val="0"/>
          <w:sz w:val="32"/>
          <w:szCs w:val="32"/>
          <w:shd w:val="clear" w:color="auto" w:fill="FFFFFF"/>
          <w:lang w:val="en-US" w:eastAsia="zh-CN"/>
        </w:rPr>
        <w:t>5</w:t>
      </w:r>
      <w:r>
        <w:rPr>
          <w:rFonts w:hint="eastAsia" w:ascii="仿宋_GB2312" w:hAnsi="宋体" w:eastAsia="仿宋_GB2312" w:cs="宋体"/>
          <w:kern w:val="0"/>
          <w:sz w:val="32"/>
          <w:szCs w:val="32"/>
          <w:shd w:val="clear" w:color="auto" w:fill="FFFFFF"/>
          <w:lang w:val="zh-CN"/>
        </w:rPr>
        <w:t>：</w:t>
      </w:r>
    </w:p>
    <w:p>
      <w:pPr>
        <w:spacing w:line="600" w:lineRule="exact"/>
        <w:jc w:val="center"/>
        <w:outlineLvl w:val="0"/>
        <w:rPr>
          <w:rFonts w:hint="eastAsia" w:ascii="宋体" w:hAnsi="宋体" w:eastAsia="宋体" w:cs="宋体"/>
          <w:sz w:val="24"/>
          <w:szCs w:val="2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both"/>
        <w:outlineLvl w:val="0"/>
        <w:rPr>
          <w:rFonts w:hint="eastAsia"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7"/>
          <w:rFonts w:hint="eastAsia" w:ascii="黑体" w:hAnsi="黑体" w:eastAsia="黑体"/>
          <w:b w:val="0"/>
        </w:rPr>
        <w:t>五部分 附表</w:t>
      </w:r>
      <w:bookmarkEnd w:id="74"/>
      <w:bookmarkEnd w:id="91"/>
      <w:bookmarkEnd w:id="92"/>
      <w:bookmarkStart w:id="93" w:name="_Toc15396619"/>
    </w:p>
    <w:p>
      <w:pPr>
        <w:pStyle w:val="4"/>
        <w:rPr>
          <w:rFonts w:ascii="仿宋" w:hAnsi="仿宋" w:eastAsia="仿宋"/>
        </w:rPr>
      </w:pPr>
      <w:bookmarkStart w:id="94" w:name="_Toc21335"/>
      <w:r>
        <w:rPr>
          <w:rFonts w:hint="eastAsia" w:ascii="仿宋" w:hAnsi="仿宋" w:eastAsia="仿宋"/>
          <w:b w:val="0"/>
        </w:rPr>
        <w:t>一、收</w:t>
      </w:r>
      <w:r>
        <w:rPr>
          <w:rStyle w:val="28"/>
          <w:rFonts w:hint="eastAsia" w:ascii="仿宋" w:hAnsi="仿宋" w:eastAsia="仿宋"/>
          <w:b w:val="0"/>
          <w:bCs w:val="0"/>
        </w:rPr>
        <w:t>入支出决算总表</w:t>
      </w:r>
      <w:bookmarkEnd w:id="93"/>
      <w:bookmarkEnd w:id="94"/>
    </w:p>
    <w:p>
      <w:pPr>
        <w:pStyle w:val="4"/>
        <w:rPr>
          <w:rFonts w:ascii="仿宋" w:hAnsi="仿宋" w:eastAsia="仿宋"/>
        </w:rPr>
      </w:pPr>
      <w:bookmarkStart w:id="95" w:name="_Toc26136"/>
      <w:bookmarkStart w:id="96" w:name="_Toc15396620"/>
      <w:r>
        <w:rPr>
          <w:rFonts w:hint="eastAsia" w:ascii="仿宋" w:hAnsi="仿宋" w:eastAsia="仿宋"/>
          <w:b w:val="0"/>
        </w:rPr>
        <w:t>二、收</w:t>
      </w:r>
      <w:r>
        <w:rPr>
          <w:rStyle w:val="28"/>
          <w:rFonts w:hint="eastAsia" w:ascii="仿宋" w:hAnsi="仿宋" w:eastAsia="仿宋"/>
          <w:b w:val="0"/>
          <w:bCs w:val="0"/>
        </w:rPr>
        <w:t>入决算表</w:t>
      </w:r>
      <w:bookmarkEnd w:id="95"/>
      <w:bookmarkEnd w:id="96"/>
    </w:p>
    <w:p>
      <w:pPr>
        <w:pStyle w:val="4"/>
        <w:rPr>
          <w:rFonts w:ascii="仿宋" w:hAnsi="仿宋" w:eastAsia="仿宋"/>
        </w:rPr>
      </w:pPr>
      <w:bookmarkStart w:id="97" w:name="_Toc14699"/>
      <w:bookmarkStart w:id="98" w:name="_Toc15396621"/>
      <w:r>
        <w:rPr>
          <w:rStyle w:val="28"/>
          <w:rFonts w:hint="eastAsia" w:ascii="仿宋" w:hAnsi="仿宋" w:eastAsia="仿宋"/>
          <w:b w:val="0"/>
          <w:bCs w:val="0"/>
        </w:rPr>
        <w:t>三、</w:t>
      </w:r>
      <w:r>
        <w:rPr>
          <w:rFonts w:hint="eastAsia" w:ascii="仿宋" w:hAnsi="仿宋" w:eastAsia="仿宋"/>
          <w:b w:val="0"/>
        </w:rPr>
        <w:t>支</w:t>
      </w:r>
      <w:r>
        <w:rPr>
          <w:rStyle w:val="28"/>
          <w:rFonts w:hint="eastAsia" w:ascii="仿宋" w:hAnsi="仿宋" w:eastAsia="仿宋"/>
          <w:b w:val="0"/>
          <w:bCs w:val="0"/>
        </w:rPr>
        <w:t>出决算表</w:t>
      </w:r>
      <w:bookmarkEnd w:id="97"/>
      <w:bookmarkEnd w:id="98"/>
    </w:p>
    <w:p>
      <w:pPr>
        <w:pStyle w:val="4"/>
        <w:rPr>
          <w:rFonts w:ascii="仿宋" w:hAnsi="仿宋" w:eastAsia="仿宋"/>
          <w:b w:val="0"/>
        </w:rPr>
      </w:pPr>
      <w:bookmarkStart w:id="99" w:name="_Toc15396622"/>
      <w:bookmarkStart w:id="100" w:name="_Toc21210"/>
      <w:r>
        <w:rPr>
          <w:rStyle w:val="28"/>
          <w:rFonts w:hint="eastAsia" w:ascii="仿宋" w:hAnsi="仿宋" w:eastAsia="仿宋"/>
          <w:b w:val="0"/>
          <w:bCs w:val="0"/>
        </w:rPr>
        <w:t>四、</w:t>
      </w:r>
      <w:r>
        <w:rPr>
          <w:rFonts w:hint="eastAsia" w:ascii="仿宋" w:hAnsi="仿宋" w:eastAsia="仿宋"/>
          <w:b w:val="0"/>
        </w:rPr>
        <w:t>财</w:t>
      </w:r>
      <w:r>
        <w:rPr>
          <w:rStyle w:val="28"/>
          <w:rFonts w:hint="eastAsia" w:ascii="仿宋" w:hAnsi="仿宋" w:eastAsia="仿宋"/>
          <w:b w:val="0"/>
          <w:bCs w:val="0"/>
        </w:rPr>
        <w:t>政拨款收入支出决算总表</w:t>
      </w:r>
      <w:bookmarkEnd w:id="99"/>
      <w:bookmarkEnd w:id="100"/>
    </w:p>
    <w:p>
      <w:pPr>
        <w:pStyle w:val="4"/>
        <w:rPr>
          <w:rStyle w:val="28"/>
          <w:rFonts w:ascii="仿宋" w:hAnsi="仿宋" w:eastAsia="仿宋"/>
          <w:b w:val="0"/>
          <w:bCs w:val="0"/>
        </w:rPr>
      </w:pPr>
      <w:bookmarkStart w:id="101" w:name="_Toc15396623"/>
      <w:bookmarkStart w:id="102" w:name="_Toc27075"/>
      <w:r>
        <w:rPr>
          <w:rStyle w:val="28"/>
          <w:rFonts w:hint="eastAsia" w:ascii="仿宋" w:hAnsi="仿宋" w:eastAsia="仿宋"/>
          <w:b w:val="0"/>
          <w:bCs w:val="0"/>
        </w:rPr>
        <w:t>五、</w:t>
      </w:r>
      <w:r>
        <w:rPr>
          <w:rFonts w:hint="eastAsia" w:ascii="仿宋" w:hAnsi="仿宋" w:eastAsia="仿宋"/>
          <w:b w:val="0"/>
        </w:rPr>
        <w:t>财</w:t>
      </w:r>
      <w:r>
        <w:rPr>
          <w:rStyle w:val="28"/>
          <w:rFonts w:hint="eastAsia" w:ascii="仿宋" w:hAnsi="仿宋" w:eastAsia="仿宋"/>
          <w:b w:val="0"/>
          <w:bCs w:val="0"/>
        </w:rPr>
        <w:t>政拨款支出决算明细表</w:t>
      </w:r>
      <w:bookmarkEnd w:id="101"/>
      <w:bookmarkEnd w:id="102"/>
      <w:bookmarkStart w:id="103" w:name="_Toc15396624"/>
    </w:p>
    <w:p>
      <w:pPr>
        <w:pStyle w:val="4"/>
        <w:rPr>
          <w:rFonts w:ascii="仿宋" w:hAnsi="仿宋" w:eastAsia="仿宋"/>
        </w:rPr>
      </w:pPr>
      <w:bookmarkStart w:id="104" w:name="_Toc25366"/>
      <w:r>
        <w:rPr>
          <w:rStyle w:val="28"/>
          <w:rFonts w:hint="eastAsia" w:ascii="仿宋" w:hAnsi="仿宋" w:eastAsia="仿宋"/>
          <w:b w:val="0"/>
          <w:bCs w:val="0"/>
        </w:rPr>
        <w:t>六、</w:t>
      </w:r>
      <w:r>
        <w:rPr>
          <w:rFonts w:hint="eastAsia" w:ascii="仿宋" w:hAnsi="仿宋" w:eastAsia="仿宋"/>
          <w:b w:val="0"/>
        </w:rPr>
        <w:t>一</w:t>
      </w:r>
      <w:r>
        <w:rPr>
          <w:rStyle w:val="28"/>
          <w:rFonts w:hint="eastAsia" w:ascii="仿宋" w:hAnsi="仿宋" w:eastAsia="仿宋"/>
          <w:b w:val="0"/>
          <w:bCs w:val="0"/>
        </w:rPr>
        <w:t>般公共预算财政拨款支出决算表</w:t>
      </w:r>
      <w:bookmarkEnd w:id="103"/>
      <w:bookmarkEnd w:id="104"/>
    </w:p>
    <w:p>
      <w:pPr>
        <w:pStyle w:val="4"/>
        <w:rPr>
          <w:rFonts w:ascii="仿宋" w:hAnsi="仿宋" w:eastAsia="仿宋"/>
        </w:rPr>
      </w:pPr>
      <w:bookmarkStart w:id="105" w:name="_Toc17893"/>
      <w:bookmarkStart w:id="106" w:name="_Toc15396625"/>
      <w:r>
        <w:rPr>
          <w:rStyle w:val="28"/>
          <w:rFonts w:hint="eastAsia" w:ascii="仿宋" w:hAnsi="仿宋" w:eastAsia="仿宋"/>
          <w:b w:val="0"/>
          <w:bCs w:val="0"/>
        </w:rPr>
        <w:t>七、</w:t>
      </w:r>
      <w:r>
        <w:rPr>
          <w:rFonts w:hint="eastAsia" w:ascii="仿宋" w:hAnsi="仿宋" w:eastAsia="仿宋"/>
          <w:b w:val="0"/>
        </w:rPr>
        <w:t>一</w:t>
      </w:r>
      <w:r>
        <w:rPr>
          <w:rStyle w:val="28"/>
          <w:rFonts w:hint="eastAsia" w:ascii="仿宋" w:hAnsi="仿宋" w:eastAsia="仿宋"/>
          <w:b w:val="0"/>
          <w:bCs w:val="0"/>
        </w:rPr>
        <w:t>般公共预算财政拨款支出决算明细表</w:t>
      </w:r>
      <w:bookmarkEnd w:id="105"/>
      <w:bookmarkEnd w:id="106"/>
    </w:p>
    <w:p>
      <w:pPr>
        <w:pStyle w:val="4"/>
        <w:rPr>
          <w:rFonts w:ascii="仿宋" w:hAnsi="仿宋" w:eastAsia="仿宋"/>
        </w:rPr>
      </w:pPr>
      <w:bookmarkStart w:id="107" w:name="_Toc22099"/>
      <w:bookmarkStart w:id="108" w:name="_Toc15396626"/>
      <w:r>
        <w:rPr>
          <w:rStyle w:val="28"/>
          <w:rFonts w:hint="eastAsia" w:ascii="仿宋" w:hAnsi="仿宋" w:eastAsia="仿宋"/>
          <w:b w:val="0"/>
          <w:bCs w:val="0"/>
        </w:rPr>
        <w:t>八、</w:t>
      </w:r>
      <w:r>
        <w:rPr>
          <w:rFonts w:hint="eastAsia" w:ascii="仿宋" w:hAnsi="仿宋" w:eastAsia="仿宋"/>
          <w:b w:val="0"/>
        </w:rPr>
        <w:t>一</w:t>
      </w:r>
      <w:r>
        <w:rPr>
          <w:rStyle w:val="28"/>
          <w:rFonts w:hint="eastAsia" w:ascii="仿宋" w:hAnsi="仿宋" w:eastAsia="仿宋"/>
          <w:b w:val="0"/>
          <w:bCs w:val="0"/>
        </w:rPr>
        <w:t>般公共预算财政拨款基本支出决算表</w:t>
      </w:r>
      <w:bookmarkEnd w:id="107"/>
      <w:bookmarkEnd w:id="108"/>
    </w:p>
    <w:p>
      <w:pPr>
        <w:pStyle w:val="4"/>
        <w:rPr>
          <w:rFonts w:ascii="仿宋" w:hAnsi="仿宋" w:eastAsia="仿宋"/>
        </w:rPr>
      </w:pPr>
      <w:bookmarkStart w:id="109" w:name="_Toc19180"/>
      <w:bookmarkStart w:id="110" w:name="_Toc15396627"/>
      <w:r>
        <w:rPr>
          <w:rStyle w:val="28"/>
          <w:rFonts w:hint="eastAsia" w:ascii="仿宋" w:hAnsi="仿宋" w:eastAsia="仿宋"/>
          <w:b w:val="0"/>
          <w:bCs w:val="0"/>
        </w:rPr>
        <w:t>九、</w:t>
      </w:r>
      <w:r>
        <w:rPr>
          <w:rFonts w:hint="eastAsia" w:ascii="仿宋" w:hAnsi="仿宋" w:eastAsia="仿宋"/>
          <w:b w:val="0"/>
        </w:rPr>
        <w:t>一</w:t>
      </w:r>
      <w:r>
        <w:rPr>
          <w:rStyle w:val="28"/>
          <w:rFonts w:hint="eastAsia" w:ascii="仿宋" w:hAnsi="仿宋" w:eastAsia="仿宋"/>
          <w:b w:val="0"/>
          <w:bCs w:val="0"/>
        </w:rPr>
        <w:t>般公共预算财政拨款项目支出决算表</w:t>
      </w:r>
      <w:bookmarkEnd w:id="109"/>
      <w:bookmarkEnd w:id="110"/>
    </w:p>
    <w:p>
      <w:pPr>
        <w:pStyle w:val="4"/>
        <w:rPr>
          <w:rFonts w:ascii="仿宋" w:hAnsi="仿宋" w:eastAsia="仿宋"/>
        </w:rPr>
      </w:pPr>
      <w:bookmarkStart w:id="111" w:name="_Toc15396628"/>
      <w:bookmarkStart w:id="112" w:name="_Toc18982"/>
      <w:r>
        <w:rPr>
          <w:rStyle w:val="28"/>
          <w:rFonts w:hint="eastAsia" w:ascii="仿宋" w:hAnsi="仿宋" w:eastAsia="仿宋"/>
          <w:b w:val="0"/>
          <w:bCs w:val="0"/>
        </w:rPr>
        <w:t>十、</w:t>
      </w:r>
      <w:r>
        <w:rPr>
          <w:rFonts w:hint="eastAsia" w:ascii="仿宋" w:hAnsi="仿宋" w:eastAsia="仿宋"/>
          <w:b w:val="0"/>
        </w:rPr>
        <w:t>一</w:t>
      </w:r>
      <w:r>
        <w:rPr>
          <w:rStyle w:val="28"/>
          <w:rFonts w:hint="eastAsia" w:ascii="仿宋" w:hAnsi="仿宋" w:eastAsia="仿宋"/>
          <w:b w:val="0"/>
          <w:bCs w:val="0"/>
        </w:rPr>
        <w:t>般公共预算财政拨款“三公”经费支出决算表</w:t>
      </w:r>
      <w:bookmarkEnd w:id="111"/>
      <w:bookmarkEnd w:id="112"/>
    </w:p>
    <w:p>
      <w:pPr>
        <w:pStyle w:val="4"/>
        <w:rPr>
          <w:rFonts w:ascii="仿宋" w:hAnsi="仿宋" w:eastAsia="仿宋"/>
        </w:rPr>
      </w:pPr>
      <w:bookmarkStart w:id="113" w:name="_Toc15396629"/>
      <w:bookmarkStart w:id="114" w:name="_Toc2394"/>
      <w:r>
        <w:rPr>
          <w:rStyle w:val="28"/>
          <w:rFonts w:hint="eastAsia" w:ascii="仿宋" w:hAnsi="仿宋" w:eastAsia="仿宋"/>
          <w:b w:val="0"/>
          <w:bCs w:val="0"/>
        </w:rPr>
        <w:t>十一、</w:t>
      </w:r>
      <w:r>
        <w:rPr>
          <w:rFonts w:hint="eastAsia" w:ascii="仿宋" w:hAnsi="仿宋" w:eastAsia="仿宋"/>
          <w:b w:val="0"/>
        </w:rPr>
        <w:t>政</w:t>
      </w:r>
      <w:r>
        <w:rPr>
          <w:rStyle w:val="28"/>
          <w:rFonts w:hint="eastAsia" w:ascii="仿宋" w:hAnsi="仿宋" w:eastAsia="仿宋"/>
          <w:b w:val="0"/>
          <w:bCs w:val="0"/>
        </w:rPr>
        <w:t>府性基金预算财政拨款收入支出决算表</w:t>
      </w:r>
      <w:bookmarkEnd w:id="113"/>
      <w:bookmarkEnd w:id="114"/>
    </w:p>
    <w:p>
      <w:pPr>
        <w:pStyle w:val="4"/>
        <w:rPr>
          <w:rFonts w:ascii="仿宋" w:hAnsi="仿宋" w:eastAsia="仿宋"/>
        </w:rPr>
      </w:pPr>
      <w:bookmarkStart w:id="115" w:name="_Toc15396630"/>
      <w:bookmarkStart w:id="116" w:name="_Toc22852"/>
      <w:r>
        <w:rPr>
          <w:rStyle w:val="28"/>
          <w:rFonts w:hint="eastAsia" w:ascii="仿宋" w:hAnsi="仿宋" w:eastAsia="仿宋"/>
          <w:b w:val="0"/>
          <w:bCs w:val="0"/>
        </w:rPr>
        <w:t>十二、</w:t>
      </w:r>
      <w:r>
        <w:rPr>
          <w:rFonts w:hint="eastAsia" w:ascii="仿宋" w:hAnsi="仿宋" w:eastAsia="仿宋"/>
          <w:b w:val="0"/>
        </w:rPr>
        <w:t>政</w:t>
      </w:r>
      <w:r>
        <w:rPr>
          <w:rStyle w:val="28"/>
          <w:rFonts w:hint="eastAsia" w:ascii="仿宋" w:hAnsi="仿宋" w:eastAsia="仿宋"/>
          <w:b w:val="0"/>
          <w:bCs w:val="0"/>
        </w:rPr>
        <w:t>府性基金预算财政拨款“三公”经费支出决算表</w:t>
      </w:r>
      <w:bookmarkEnd w:id="115"/>
      <w:bookmarkEnd w:id="116"/>
    </w:p>
    <w:p>
      <w:pPr>
        <w:pStyle w:val="4"/>
        <w:rPr>
          <w:rStyle w:val="28"/>
          <w:rFonts w:ascii="仿宋" w:hAnsi="仿宋" w:eastAsia="仿宋"/>
          <w:b w:val="0"/>
          <w:bCs w:val="0"/>
        </w:rPr>
      </w:pPr>
      <w:bookmarkStart w:id="117" w:name="_Toc13412"/>
      <w:bookmarkStart w:id="118" w:name="_Toc15396631"/>
      <w:r>
        <w:rPr>
          <w:rStyle w:val="28"/>
          <w:rFonts w:hint="eastAsia" w:ascii="仿宋" w:hAnsi="仿宋" w:eastAsia="仿宋"/>
          <w:b w:val="0"/>
          <w:bCs w:val="0"/>
        </w:rPr>
        <w:t>十三、</w:t>
      </w:r>
      <w:r>
        <w:rPr>
          <w:rFonts w:hint="eastAsia" w:ascii="仿宋" w:hAnsi="仿宋" w:eastAsia="仿宋"/>
          <w:b w:val="0"/>
        </w:rPr>
        <w:t>国</w:t>
      </w:r>
      <w:r>
        <w:rPr>
          <w:rStyle w:val="28"/>
          <w:rFonts w:hint="eastAsia" w:ascii="仿宋" w:hAnsi="仿宋" w:eastAsia="仿宋"/>
          <w:b w:val="0"/>
          <w:bCs w:val="0"/>
        </w:rPr>
        <w:t>有资本经营预算财政拨款收入支出决算表</w:t>
      </w:r>
      <w:bookmarkEnd w:id="117"/>
      <w:bookmarkEnd w:id="118"/>
    </w:p>
    <w:p>
      <w:pPr>
        <w:rPr>
          <w:rFonts w:eastAsia="仿宋"/>
        </w:rPr>
      </w:pPr>
      <w:bookmarkStart w:id="119" w:name="_Toc10267"/>
      <w:r>
        <w:rPr>
          <w:rStyle w:val="28"/>
          <w:rFonts w:hint="eastAsia" w:ascii="仿宋" w:hAnsi="仿宋" w:eastAsia="仿宋"/>
          <w:b w:val="0"/>
          <w:bCs w:val="0"/>
        </w:rPr>
        <w:t>十四、国有资本经营预算财政拨款支出决算表</w:t>
      </w:r>
      <w:bookmarkEnd w:id="119"/>
    </w:p>
    <w:sectPr>
      <w:type w:val="continuous"/>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7E01416-A770-4DEA-9CD9-021799C0676C}"/>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00000001" w:usb1="080E0000" w:usb2="00000000" w:usb3="00000000" w:csb0="00040000" w:csb1="00000000"/>
    <w:embedRegular r:id="rId2" w:fontKey="{6E504292-04DE-4C70-BF3D-FC780BFE69F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3A431657-35D5-4334-982C-2F3A4DD2CEAF}"/>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embedRegular r:id="rId4" w:fontKey="{EF36BC13-5280-455C-A5BB-62124266A2CD}"/>
  </w:font>
  <w:font w:name="仿宋_GB2312">
    <w:panose1 w:val="02010609030101010101"/>
    <w:charset w:val="86"/>
    <w:family w:val="modern"/>
    <w:pitch w:val="default"/>
    <w:sig w:usb0="00000001" w:usb1="080E0000" w:usb2="00000000" w:usb3="00000000" w:csb0="00040000" w:csb1="00000000"/>
    <w:embedRegular r:id="rId5" w:fontKey="{AD90886E-AA51-4934-AF53-54B772C055F4}"/>
  </w:font>
  <w:font w:name="仿宋">
    <w:panose1 w:val="02010609060101010101"/>
    <w:charset w:val="86"/>
    <w:family w:val="auto"/>
    <w:pitch w:val="default"/>
    <w:sig w:usb0="800002BF" w:usb1="38CF7CFA" w:usb2="00000016" w:usb3="00000000" w:csb0="00040001" w:csb1="00000000"/>
    <w:embedRegular r:id="rId6" w:fontKey="{26894940-9BE1-4B94-BDCB-AA647157CD4F}"/>
  </w:font>
  <w:font w:name="方正小标宋简体">
    <w:panose1 w:val="03000509000000000000"/>
    <w:charset w:val="86"/>
    <w:family w:val="script"/>
    <w:pitch w:val="default"/>
    <w:sig w:usb0="00000001" w:usb1="080E0000" w:usb2="00000000" w:usb3="00000000" w:csb0="00040000" w:csb1="00000000"/>
    <w:embedRegular r:id="rId7" w:fontKey="{A33FEA28-B93C-4A5F-AEAF-1C0303BAE15A}"/>
  </w:font>
  <w:font w:name="方正小标宋_GBK">
    <w:panose1 w:val="03000509000000000000"/>
    <w:charset w:val="86"/>
    <w:family w:val="script"/>
    <w:pitch w:val="default"/>
    <w:sig w:usb0="00000001" w:usb1="080E0000" w:usb2="00000000" w:usb3="00000000" w:csb0="00040000" w:csb1="00000000"/>
    <w:embedRegular r:id="rId8" w:fontKey="{870429E7-301E-47D8-8BBE-0D068EF578C3}"/>
  </w:font>
  <w:font w:name="方正书宋_GBK">
    <w:panose1 w:val="03000509000000000000"/>
    <w:charset w:val="86"/>
    <w:family w:val="auto"/>
    <w:pitch w:val="default"/>
    <w:sig w:usb0="00000001" w:usb1="080E0000" w:usb2="00000000" w:usb3="00000000" w:csb0="00040000" w:csb1="00000000"/>
    <w:embedRegular r:id="rId9" w:fontKey="{672473B2-7067-4796-B50A-EF633D5D7FB9}"/>
  </w:font>
  <w:font w:name="微软雅黑">
    <w:panose1 w:val="020B0503020204020204"/>
    <w:charset w:val="86"/>
    <w:family w:val="auto"/>
    <w:pitch w:val="default"/>
    <w:sig w:usb0="80000287" w:usb1="2ACF3C50" w:usb2="00000016" w:usb3="00000000" w:csb0="0004001F" w:csb1="00000000"/>
    <w:embedRegular r:id="rId10" w:fontKey="{F7354A61-CEDD-4456-BAB4-5A8EB6F513F4}"/>
  </w:font>
  <w:font w:name="方正黑体_GBK">
    <w:panose1 w:val="03000509000000000000"/>
    <w:charset w:val="86"/>
    <w:family w:val="script"/>
    <w:pitch w:val="default"/>
    <w:sig w:usb0="00000001" w:usb1="080E0000" w:usb2="00000000" w:usb3="00000000" w:csb0="00040000" w:csb1="00000000"/>
    <w:embedRegular r:id="rId11" w:fontKey="{147FF745-DCDB-415F-82FE-F1B93EDE6264}"/>
  </w:font>
  <w:font w:name="方正仿宋_GBK">
    <w:panose1 w:val="03000509000000000000"/>
    <w:charset w:val="86"/>
    <w:family w:val="script"/>
    <w:pitch w:val="default"/>
    <w:sig w:usb0="00000001" w:usb1="080E0000" w:usb2="00000000" w:usb3="00000000" w:csb0="00040000" w:csb1="00000000"/>
    <w:embedRegular r:id="rId12" w:fontKey="{9ECACDE0-B055-40D6-9F76-8A3492886D63}"/>
  </w:font>
  <w:font w:name="方正楷体_GBK">
    <w:panose1 w:val="03000509000000000000"/>
    <w:charset w:val="86"/>
    <w:family w:val="auto"/>
    <w:pitch w:val="default"/>
    <w:sig w:usb0="00000001" w:usb1="080E0000" w:usb2="00000000" w:usb3="00000000" w:csb0="00040000" w:csb1="00000000"/>
    <w:embedRegular r:id="rId13" w:fontKey="{083E5EEA-94BE-410F-AC27-6A36E279EE0D}"/>
  </w:font>
  <w:font w:name="楷体_GB2312">
    <w:panose1 w:val="02010609030101010101"/>
    <w:charset w:val="86"/>
    <w:family w:val="modern"/>
    <w:pitch w:val="default"/>
    <w:sig w:usb0="00000001" w:usb1="080E0000" w:usb2="00000000" w:usb3="00000000" w:csb0="00040000" w:csb1="00000000"/>
    <w:embedRegular r:id="rId14" w:fontKey="{DB3F4C96-5F6F-4E0C-AD0E-A4701E23285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22</w:t>
        </w:r>
        <w:r>
          <w:fldChar w:fldCharType="end"/>
        </w:r>
      </w:p>
    </w:sdtContent>
  </w:sdt>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94781956"/>
                          </w:sdtPr>
                          <w:sdtContent>
                            <w:p>
                              <w:pPr>
                                <w:pStyle w:val="10"/>
                                <w:jc w:val="center"/>
                              </w:pPr>
                              <w:r>
                                <w:fldChar w:fldCharType="begin"/>
                              </w:r>
                              <w:r>
                                <w:instrText xml:space="preserve">PAGE   \* MERGEFORMAT</w:instrText>
                              </w:r>
                              <w:r>
                                <w:fldChar w:fldCharType="separate"/>
                              </w:r>
                              <w:r>
                                <w:rPr>
                                  <w:lang w:val="zh-CN"/>
                                </w:rPr>
                                <w:t>22</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1994781956"/>
                    </w:sdtPr>
                    <w:sdtContent>
                      <w:p>
                        <w:pPr>
                          <w:pStyle w:val="10"/>
                          <w:jc w:val="center"/>
                        </w:pPr>
                        <w:r>
                          <w:fldChar w:fldCharType="begin"/>
                        </w:r>
                        <w:r>
                          <w:instrText xml:space="preserve">PAGE   \* MERGEFORMAT</w:instrText>
                        </w:r>
                        <w:r>
                          <w:fldChar w:fldCharType="separate"/>
                        </w:r>
                        <w:r>
                          <w:rPr>
                            <w:lang w:val="zh-CN"/>
                          </w:rPr>
                          <w:t>22</w:t>
                        </w:r>
                        <w:r>
                          <w:fldChar w:fldCharType="end"/>
                        </w:r>
                      </w:p>
                    </w:sdtContent>
                  </w:sdt>
                  <w:p>
                    <w:pPr>
                      <w:pStyle w:val="2"/>
                    </w:pPr>
                  </w:p>
                </w:txbxContent>
              </v:textbox>
            </v:shape>
          </w:pict>
        </mc:Fallback>
      </mc:AlternateContent>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9033CE"/>
    <w:multiLevelType w:val="singleLevel"/>
    <w:tmpl w:val="8B9033CE"/>
    <w:lvl w:ilvl="0" w:tentative="0">
      <w:start w:val="3"/>
      <w:numFmt w:val="decimal"/>
      <w:suff w:val="space"/>
      <w:lvlText w:val="%1."/>
      <w:lvlJc w:val="left"/>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F6D17417"/>
    <w:multiLevelType w:val="singleLevel"/>
    <w:tmpl w:val="F6D17417"/>
    <w:lvl w:ilvl="0" w:tentative="0">
      <w:start w:val="2"/>
      <w:numFmt w:val="chineseCounting"/>
      <w:suff w:val="nothing"/>
      <w:lvlText w:val="（%1）"/>
      <w:lvlJc w:val="left"/>
      <w:rPr>
        <w:rFonts w:hint="eastAsia"/>
      </w:rPr>
    </w:lvl>
  </w:abstractNum>
  <w:abstractNum w:abstractNumId="4">
    <w:nsid w:val="1272550B"/>
    <w:multiLevelType w:val="multilevel"/>
    <w:tmpl w:val="1272550B"/>
    <w:lvl w:ilvl="0" w:tentative="0">
      <w:start w:val="1"/>
      <w:numFmt w:val="japaneseCounting"/>
      <w:lvlText w:val="%1、"/>
      <w:lvlJc w:val="left"/>
      <w:pPr>
        <w:ind w:left="135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20595FE3"/>
    <w:multiLevelType w:val="singleLevel"/>
    <w:tmpl w:val="20595FE3"/>
    <w:lvl w:ilvl="0" w:tentative="0">
      <w:start w:val="2"/>
      <w:numFmt w:val="decimal"/>
      <w:suff w:val="space"/>
      <w:lvlText w:val="%1."/>
      <w:lvlJc w:val="left"/>
      <w:pPr>
        <w:ind w:left="-10"/>
      </w:pPr>
    </w:lvl>
  </w:abstractNum>
  <w:num w:numId="1">
    <w:abstractNumId w:val="4"/>
  </w:num>
  <w:num w:numId="2">
    <w:abstractNumId w:val="1"/>
  </w:num>
  <w:num w:numId="3">
    <w:abstractNumId w:val="2"/>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ZiZDVlMGQ1MjlmYjg5Y2FkMWQwYjYxM2RiYWMzMWI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310A"/>
    <w:rsid w:val="003B688C"/>
    <w:rsid w:val="003C0291"/>
    <w:rsid w:val="003C39AE"/>
    <w:rsid w:val="003C7B60"/>
    <w:rsid w:val="003D0C0F"/>
    <w:rsid w:val="003D1FB2"/>
    <w:rsid w:val="003D66DA"/>
    <w:rsid w:val="003E1310"/>
    <w:rsid w:val="003E6F55"/>
    <w:rsid w:val="00406254"/>
    <w:rsid w:val="00411F7A"/>
    <w:rsid w:val="004223DE"/>
    <w:rsid w:val="00434489"/>
    <w:rsid w:val="00437085"/>
    <w:rsid w:val="00443880"/>
    <w:rsid w:val="004464F4"/>
    <w:rsid w:val="00457321"/>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42048"/>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72CB"/>
    <w:rsid w:val="0066343B"/>
    <w:rsid w:val="00664777"/>
    <w:rsid w:val="006748A4"/>
    <w:rsid w:val="00681A31"/>
    <w:rsid w:val="00683E73"/>
    <w:rsid w:val="006A3141"/>
    <w:rsid w:val="006A5E34"/>
    <w:rsid w:val="006B2422"/>
    <w:rsid w:val="006B2B9A"/>
    <w:rsid w:val="006C1937"/>
    <w:rsid w:val="006F020C"/>
    <w:rsid w:val="007127B7"/>
    <w:rsid w:val="0071798E"/>
    <w:rsid w:val="007240F4"/>
    <w:rsid w:val="007416B6"/>
    <w:rsid w:val="00746F48"/>
    <w:rsid w:val="0075404D"/>
    <w:rsid w:val="0076182A"/>
    <w:rsid w:val="00767B7E"/>
    <w:rsid w:val="00767E62"/>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A2E62"/>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96B60"/>
    <w:rsid w:val="00AB64C9"/>
    <w:rsid w:val="00AC3C6A"/>
    <w:rsid w:val="00AD0C25"/>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22BD0"/>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25D5249"/>
    <w:rsid w:val="02D62FD4"/>
    <w:rsid w:val="04F4322E"/>
    <w:rsid w:val="05113905"/>
    <w:rsid w:val="05941E5A"/>
    <w:rsid w:val="066E0107"/>
    <w:rsid w:val="07996F6E"/>
    <w:rsid w:val="08BC0EFA"/>
    <w:rsid w:val="092A5E0D"/>
    <w:rsid w:val="097218A3"/>
    <w:rsid w:val="09A123EE"/>
    <w:rsid w:val="0A2032A3"/>
    <w:rsid w:val="0B090322"/>
    <w:rsid w:val="0D4A4F3E"/>
    <w:rsid w:val="0E666417"/>
    <w:rsid w:val="0EFC1038"/>
    <w:rsid w:val="101860EC"/>
    <w:rsid w:val="10C055FF"/>
    <w:rsid w:val="10CB4326"/>
    <w:rsid w:val="118107EC"/>
    <w:rsid w:val="120F6774"/>
    <w:rsid w:val="122479B3"/>
    <w:rsid w:val="128F7902"/>
    <w:rsid w:val="130D159C"/>
    <w:rsid w:val="1352748B"/>
    <w:rsid w:val="13D50BC4"/>
    <w:rsid w:val="14534EB8"/>
    <w:rsid w:val="15E83829"/>
    <w:rsid w:val="161F5AA8"/>
    <w:rsid w:val="16BB723D"/>
    <w:rsid w:val="179C069B"/>
    <w:rsid w:val="17AD77C6"/>
    <w:rsid w:val="182F0322"/>
    <w:rsid w:val="1BD712B5"/>
    <w:rsid w:val="1BE8440E"/>
    <w:rsid w:val="1D155CEE"/>
    <w:rsid w:val="1E8C103F"/>
    <w:rsid w:val="21014BC6"/>
    <w:rsid w:val="21110DC5"/>
    <w:rsid w:val="231E36F3"/>
    <w:rsid w:val="23860B96"/>
    <w:rsid w:val="23864203"/>
    <w:rsid w:val="240371BF"/>
    <w:rsid w:val="25D010C2"/>
    <w:rsid w:val="26D42036"/>
    <w:rsid w:val="2865153F"/>
    <w:rsid w:val="28B722FB"/>
    <w:rsid w:val="29893677"/>
    <w:rsid w:val="29FD04D3"/>
    <w:rsid w:val="2A047719"/>
    <w:rsid w:val="2AEE565B"/>
    <w:rsid w:val="2C8A61B5"/>
    <w:rsid w:val="2D2E0394"/>
    <w:rsid w:val="2D985DB4"/>
    <w:rsid w:val="2DF04E50"/>
    <w:rsid w:val="2E1147AB"/>
    <w:rsid w:val="2E487DBD"/>
    <w:rsid w:val="306837AC"/>
    <w:rsid w:val="319F7F4E"/>
    <w:rsid w:val="32C03280"/>
    <w:rsid w:val="33DC39E7"/>
    <w:rsid w:val="3490262B"/>
    <w:rsid w:val="3518548D"/>
    <w:rsid w:val="368421C0"/>
    <w:rsid w:val="36AA5135"/>
    <w:rsid w:val="371F5FAD"/>
    <w:rsid w:val="375832DC"/>
    <w:rsid w:val="37E16F03"/>
    <w:rsid w:val="38873EF8"/>
    <w:rsid w:val="38CE4659"/>
    <w:rsid w:val="39755A5C"/>
    <w:rsid w:val="39A30B26"/>
    <w:rsid w:val="3B8678E3"/>
    <w:rsid w:val="3BF41A5A"/>
    <w:rsid w:val="3D98207C"/>
    <w:rsid w:val="3D9D6CE0"/>
    <w:rsid w:val="3E423C03"/>
    <w:rsid w:val="41825A27"/>
    <w:rsid w:val="41B07643"/>
    <w:rsid w:val="41C513D9"/>
    <w:rsid w:val="42110560"/>
    <w:rsid w:val="42162D92"/>
    <w:rsid w:val="42F56341"/>
    <w:rsid w:val="44D244DF"/>
    <w:rsid w:val="44E268DA"/>
    <w:rsid w:val="451A7EA7"/>
    <w:rsid w:val="4647004F"/>
    <w:rsid w:val="47F12879"/>
    <w:rsid w:val="48014387"/>
    <w:rsid w:val="482E20D9"/>
    <w:rsid w:val="49574AB1"/>
    <w:rsid w:val="4A160852"/>
    <w:rsid w:val="4A627F82"/>
    <w:rsid w:val="4B116DB6"/>
    <w:rsid w:val="4B4F25DA"/>
    <w:rsid w:val="4BDB4173"/>
    <w:rsid w:val="4BE068DB"/>
    <w:rsid w:val="4C78321C"/>
    <w:rsid w:val="4D577224"/>
    <w:rsid w:val="4EAB630A"/>
    <w:rsid w:val="4ECE2238"/>
    <w:rsid w:val="4F1762A4"/>
    <w:rsid w:val="51E8769E"/>
    <w:rsid w:val="53DC44B0"/>
    <w:rsid w:val="541D3002"/>
    <w:rsid w:val="5740177C"/>
    <w:rsid w:val="585C4B03"/>
    <w:rsid w:val="59026A77"/>
    <w:rsid w:val="5A7542C1"/>
    <w:rsid w:val="5AF92295"/>
    <w:rsid w:val="5CD71FC4"/>
    <w:rsid w:val="5DF04B2E"/>
    <w:rsid w:val="5E054001"/>
    <w:rsid w:val="5F820DF1"/>
    <w:rsid w:val="5FFA4E2C"/>
    <w:rsid w:val="61167757"/>
    <w:rsid w:val="626A2E23"/>
    <w:rsid w:val="631F6803"/>
    <w:rsid w:val="646A0E6D"/>
    <w:rsid w:val="65BA4926"/>
    <w:rsid w:val="68673910"/>
    <w:rsid w:val="69173F7C"/>
    <w:rsid w:val="6C4A05C8"/>
    <w:rsid w:val="6C6D1ED1"/>
    <w:rsid w:val="6D660ADE"/>
    <w:rsid w:val="6D964D9A"/>
    <w:rsid w:val="6DC940A5"/>
    <w:rsid w:val="6E7E3605"/>
    <w:rsid w:val="6F094955"/>
    <w:rsid w:val="6FF5CC65"/>
    <w:rsid w:val="70470545"/>
    <w:rsid w:val="715C0E4B"/>
    <w:rsid w:val="72734D90"/>
    <w:rsid w:val="737323AA"/>
    <w:rsid w:val="73AD73D5"/>
    <w:rsid w:val="73B6EB34"/>
    <w:rsid w:val="74116BDD"/>
    <w:rsid w:val="7538770B"/>
    <w:rsid w:val="762E7556"/>
    <w:rsid w:val="76A519F0"/>
    <w:rsid w:val="776A1C75"/>
    <w:rsid w:val="779B3262"/>
    <w:rsid w:val="787A0969"/>
    <w:rsid w:val="78AE494E"/>
    <w:rsid w:val="79EE5BA4"/>
    <w:rsid w:val="7A894339"/>
    <w:rsid w:val="7DDA0503"/>
    <w:rsid w:val="7DF11FE2"/>
    <w:rsid w:val="7EEF11D3"/>
    <w:rsid w:val="7FA30C79"/>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link w:val="16"/>
    <w:semiHidden/>
    <w:unhideWhenUsed/>
    <w:qFormat/>
    <w:uiPriority w:val="1"/>
    <w:rPr>
      <w:rFonts w:ascii="Verdana" w:hAnsi="Verdana" w:eastAsia="仿宋_GB2312" w:cs="Verdana"/>
      <w:kern w:val="0"/>
      <w:sz w:val="24"/>
      <w:szCs w:val="24"/>
      <w:lang w:eastAsia="en-US"/>
    </w:rPr>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Salutation"/>
    <w:basedOn w:val="1"/>
    <w:next w:val="1"/>
    <w:qFormat/>
    <w:uiPriority w:val="0"/>
  </w:style>
  <w:style w:type="paragraph" w:styleId="7">
    <w:name w:val="toc 3"/>
    <w:basedOn w:val="1"/>
    <w:next w:val="1"/>
    <w:unhideWhenUsed/>
    <w:qFormat/>
    <w:uiPriority w:val="39"/>
    <w:pPr>
      <w:tabs>
        <w:tab w:val="right" w:leader="dot" w:pos="8296"/>
      </w:tabs>
      <w:ind w:left="840" w:leftChars="400"/>
    </w:pPr>
  </w:style>
  <w:style w:type="paragraph" w:styleId="8">
    <w:name w:val="Plain Text"/>
    <w:basedOn w:val="1"/>
    <w:qFormat/>
    <w:uiPriority w:val="0"/>
    <w:rPr>
      <w:rFonts w:ascii="宋体" w:hAnsi="Courier New"/>
    </w:rPr>
  </w:style>
  <w:style w:type="paragraph" w:styleId="9">
    <w:name w:val="Balloon Text"/>
    <w:basedOn w:val="1"/>
    <w:link w:val="30"/>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customStyle="1" w:styleId="16">
    <w:name w:val="_Style 4"/>
    <w:basedOn w:val="1"/>
    <w:link w:val="15"/>
    <w:qFormat/>
    <w:uiPriority w:val="99"/>
    <w:pPr>
      <w:widowControl/>
      <w:spacing w:after="160" w:line="240" w:lineRule="exact"/>
      <w:jc w:val="left"/>
    </w:pPr>
    <w:rPr>
      <w:rFonts w:ascii="Verdana" w:hAnsi="Verdana" w:eastAsia="仿宋_GB2312" w:cs="Verdana"/>
      <w:kern w:val="0"/>
      <w:sz w:val="24"/>
      <w:szCs w:val="24"/>
      <w:lang w:eastAsia="en-US"/>
    </w:rPr>
  </w:style>
  <w:style w:type="character" w:styleId="17">
    <w:name w:val="Strong"/>
    <w:basedOn w:val="15"/>
    <w:qFormat/>
    <w:uiPriority w:val="99"/>
    <w:rPr>
      <w:b/>
    </w:rPr>
  </w:style>
  <w:style w:type="character" w:styleId="18">
    <w:name w:val="Hyperlink"/>
    <w:basedOn w:val="15"/>
    <w:unhideWhenUsed/>
    <w:qFormat/>
    <w:uiPriority w:val="99"/>
    <w:rPr>
      <w:color w:val="0000FF" w:themeColor="hyperlink"/>
      <w:u w:val="single"/>
      <w14:textFill>
        <w14:solidFill>
          <w14:schemeClr w14:val="hlink"/>
        </w14:solidFill>
      </w14:textFill>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1"/>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10"/>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5"/>
    <w:link w:val="3"/>
    <w:qFormat/>
    <w:uiPriority w:val="9"/>
    <w:rPr>
      <w:rFonts w:ascii="Times New Roman" w:hAnsi="Times New Roman"/>
      <w:b/>
      <w:bCs/>
      <w:kern w:val="44"/>
      <w:sz w:val="44"/>
      <w:szCs w:val="44"/>
    </w:rPr>
  </w:style>
  <w:style w:type="character" w:customStyle="1" w:styleId="28">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5"/>
    <w:link w:val="9"/>
    <w:semiHidden/>
    <w:qFormat/>
    <w:uiPriority w:val="99"/>
    <w:rPr>
      <w:rFonts w:ascii="Times New Roman" w:hAnsi="Times New Roman"/>
      <w:kern w:val="2"/>
      <w:sz w:val="18"/>
      <w:szCs w:val="18"/>
    </w:rPr>
  </w:style>
  <w:style w:type="character" w:customStyle="1" w:styleId="31">
    <w:name w:val="标题 3 Char"/>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Heading 1 Char"/>
    <w:basedOn w:val="15"/>
    <w:link w:val="3"/>
    <w:qFormat/>
    <w:locked/>
    <w:uiPriority w:val="99"/>
    <w:rPr>
      <w:rFonts w:ascii="Times New Roman" w:hAnsi="Times New Roman" w:cs="Times New Roman"/>
      <w:b/>
      <w:bCs/>
      <w:kern w:val="44"/>
      <w:sz w:val="44"/>
      <w:szCs w:val="44"/>
    </w:rPr>
  </w:style>
  <w:style w:type="paragraph" w:customStyle="1" w:styleId="34">
    <w:name w:val="WPSOffice手动目录 1"/>
    <w:qFormat/>
    <w:uiPriority w:val="0"/>
    <w:pPr>
      <w:ind w:leftChars="0"/>
    </w:pPr>
    <w:rPr>
      <w:rFonts w:asciiTheme="minorHAnsi" w:hAnsiTheme="minorHAnsi" w:eastAsiaTheme="minorEastAsia" w:cstheme="minorBidi"/>
      <w:sz w:val="20"/>
      <w:szCs w:val="20"/>
    </w:rPr>
  </w:style>
  <w:style w:type="paragraph" w:customStyle="1" w:styleId="35">
    <w:name w:val="WPSOffice手动目录 2"/>
    <w:qFormat/>
    <w:uiPriority w:val="0"/>
    <w:pPr>
      <w:ind w:leftChars="200"/>
    </w:pPr>
    <w:rPr>
      <w:rFonts w:asciiTheme="minorHAnsi" w:hAnsiTheme="minorHAnsi" w:eastAsiaTheme="minorEastAsia" w:cstheme="minorBidi"/>
      <w:sz w:val="20"/>
      <w:szCs w:val="20"/>
    </w:rPr>
  </w:style>
  <w:style w:type="character" w:customStyle="1" w:styleId="36">
    <w:name w:val="font31"/>
    <w:basedOn w:val="15"/>
    <w:qFormat/>
    <w:uiPriority w:val="0"/>
    <w:rPr>
      <w:rFonts w:hint="default" w:ascii="Times New Roman" w:hAnsi="Times New Roman" w:cs="Times New Roman"/>
      <w:color w:val="000000"/>
      <w:sz w:val="24"/>
      <w:szCs w:val="24"/>
      <w:u w:val="none"/>
    </w:rPr>
  </w:style>
  <w:style w:type="character" w:customStyle="1" w:styleId="37">
    <w:name w:val="font21"/>
    <w:basedOn w:val="15"/>
    <w:qFormat/>
    <w:uiPriority w:val="0"/>
    <w:rPr>
      <w:rFonts w:hint="eastAsia" w:ascii="宋体" w:hAnsi="宋体" w:eastAsia="宋体" w:cs="宋体"/>
      <w:color w:val="000000"/>
      <w:sz w:val="24"/>
      <w:szCs w:val="24"/>
      <w:u w:val="none"/>
    </w:rPr>
  </w:style>
  <w:style w:type="character" w:customStyle="1" w:styleId="38">
    <w:name w:val="font11"/>
    <w:basedOn w:val="1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2022&#24180;\2021&#24180;&#20915;&#31639;&#20844;&#24320;\ZZB\2021&#20915;&#31639;&#20844;&#2432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图1   收入、支出决算总计变动情况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[2021决算公开表.xls]Sheet1!$A$58</c:f>
              <c:strCache>
                <c:ptCount val="1"/>
                <c:pt idx="0">
                  <c:v>收入、支出总计</c:v>
                </c:pt>
              </c:strCache>
            </c:strRef>
          </c:tx>
          <c:spPr>
            <a:solidFill>
              <a:srgbClr val="9999FF">
                <a:alpha val="100000"/>
              </a:srgbClr>
            </a:solidFill>
            <a:ln w="12700">
              <a:solidFill>
                <a:srgbClr val="000000">
                  <a:alpha val="100000"/>
                </a:srgbClr>
              </a:solidFill>
              <a:prstDash val="solid"/>
            </a:ln>
          </c:spPr>
          <c:invertIfNegative val="0"/>
          <c:dLbls>
            <c:dLbl>
              <c:idx val="0"/>
              <c:layout>
                <c:manualLayout>
                  <c:x val="-0.00361576473424129"/>
                  <c:y val="0.012269938650306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[2021决算公开表.xls]Sheet1!$B$58:$C$58</c:f>
              <c:strCache>
                <c:ptCount val="2"/>
                <c:pt idx="0">
                  <c:v>2021年</c:v>
                </c:pt>
                <c:pt idx="1">
                  <c:v>2020年</c:v>
                </c:pt>
              </c:strCache>
            </c:strRef>
          </c:cat>
          <c:val>
            <c:numRef>
              <c:f>[2021决算公开表.xls]Sheet1!$B$59:$C$59</c:f>
              <c:numCache>
                <c:formatCode>General</c:formatCode>
                <c:ptCount val="2"/>
                <c:pt idx="0">
                  <c:v>1846.27</c:v>
                </c:pt>
                <c:pt idx="1">
                  <c:v>1476.27</c:v>
                </c:pt>
              </c:numCache>
            </c:numRef>
          </c:val>
        </c:ser>
        <c:dLbls>
          <c:showLegendKey val="0"/>
          <c:showVal val="0"/>
          <c:showCatName val="0"/>
          <c:showSerName val="0"/>
          <c:showPercent val="0"/>
          <c:showBubbleSize val="0"/>
        </c:dLbls>
        <c:gapWidth val="150"/>
        <c:overlap val="0"/>
        <c:axId val="975257480"/>
        <c:axId val="734143967"/>
      </c:barChart>
      <c:catAx>
        <c:axId val="975257480"/>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34143967"/>
        <c:crosses val="autoZero"/>
        <c:auto val="1"/>
        <c:lblAlgn val="ctr"/>
        <c:lblOffset val="100"/>
        <c:noMultiLvlLbl val="0"/>
      </c:catAx>
      <c:valAx>
        <c:axId val="734143967"/>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975257480"/>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813788116186573"/>
          <c:y val="0.498364008179959"/>
          <c:w val="0.169940942509341"/>
          <c:h val="0.14560327198364"/>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图2    收入决算结构图</a:t>
            </a:r>
            <a:endParaRPr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[2021决算公开表.xls]Sheet1!$C$3:$C$8</c:f>
              <c:numCache>
                <c:formatCode>General</c:formatCode>
                <c:ptCount val="6"/>
                <c:pt idx="0">
                  <c:v>1120.06</c:v>
                </c:pt>
                <c:pt idx="1">
                  <c:v>0</c:v>
                </c:pt>
                <c:pt idx="2">
                  <c:v>0</c:v>
                </c:pt>
                <c:pt idx="3">
                  <c:v>0</c:v>
                </c:pt>
                <c:pt idx="4">
                  <c:v>0</c:v>
                </c:pt>
                <c:pt idx="5">
                  <c:v>170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elete val="1"/>
          </c:dLbls>
          <c:cat>
            <c:strRef>
              <c:f>[2021决算公开表.xls]Sheet1!$B$3:$B$8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[2021决算公开表.xls]Sheet1!$D$3:$D$8</c:f>
              <c:numCache>
                <c:formatCode>0.00%</c:formatCode>
                <c:ptCount val="6"/>
                <c:pt idx="0">
                  <c:v>0.8682</c:v>
                </c:pt>
                <c:pt idx="1" c:formatCode="0%">
                  <c:v>0</c:v>
                </c:pt>
                <c:pt idx="2" c:formatCode="0%">
                  <c:v>0</c:v>
                </c:pt>
                <c:pt idx="3" c:formatCode="0%">
                  <c:v>0</c:v>
                </c:pt>
                <c:pt idx="4" c:formatCode="0%">
                  <c:v>0</c:v>
                </c:pt>
                <c:pt idx="5">
                  <c:v>0.1318</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595"/>
          <c:y val="0.23575"/>
          <c:w val="0.33475"/>
          <c:h val="0.6647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图3    支出决算结构图</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83692641214019"/>
          <c:y val="0.00717703349282297"/>
        </c:manualLayout>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Lbl>
              <c:idx val="2"/>
              <c:layout>
                <c:manualLayout>
                  <c:x val="0.240274599542334"/>
                  <c:y val="0.0179425837320574"/>
                </c:manualLayout>
              </c:layout>
              <c:dLblPos val="bestFit"/>
              <c:showLegendKey val="1"/>
              <c:showVal val="1"/>
              <c:showCatName val="1"/>
              <c:showSerName val="0"/>
              <c:showPercent val="1"/>
              <c:showBubbleSize val="0"/>
              <c:extLst>
                <c:ext xmlns:c15="http://schemas.microsoft.com/office/drawing/2012/chart" uri="{CE6537A1-D6FC-4f65-9D91-7224C49458BB}">
                  <c15:layout>
                    <c:manualLayout>
                      <c:w val="0.344689871130917"/>
                      <c:h val="0.129186602870813"/>
                    </c:manualLayout>
                  </c15:layout>
                </c:ext>
              </c:extLst>
            </c:dLbl>
            <c:dLbl>
              <c:idx val="3"/>
              <c:layout>
                <c:manualLayout>
                  <c:x val="-0.0588421240809907"/>
                  <c:y val="0.0240237025068049"/>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manualLayout>
                      <c:w val="0.169258340358906"/>
                      <c:h val="0.152153110047847"/>
                    </c:manualLayout>
                  </c15:layout>
                </c:ext>
              </c:extLst>
            </c:dLbl>
            <c:dLbl>
              <c:idx val="4"/>
              <c:layout>
                <c:manualLayout>
                  <c:x val="-0.292163339035196"/>
                  <c:y val="0.119356023637875"/>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[2021决算公开表.xls]Sheet1!$B$34:$B$38</c:f>
              <c:strCache>
                <c:ptCount val="5"/>
                <c:pt idx="0">
                  <c:v>基本支出</c:v>
                </c:pt>
                <c:pt idx="1">
                  <c:v>项目支出</c:v>
                </c:pt>
                <c:pt idx="2">
                  <c:v>上缴上级支出</c:v>
                </c:pt>
                <c:pt idx="3">
                  <c:v>经营支出</c:v>
                </c:pt>
                <c:pt idx="4">
                  <c:v>对附属单位补助支出</c:v>
                </c:pt>
              </c:strCache>
            </c:strRef>
          </c:cat>
          <c:val>
            <c:numRef>
              <c:f>[2021决算公开表.xls]Sheet1!$C$34:$C$38</c:f>
              <c:numCache>
                <c:formatCode>General</c:formatCode>
                <c:ptCount val="5"/>
                <c:pt idx="0">
                  <c:v>726.6</c:v>
                </c:pt>
                <c:pt idx="1">
                  <c:v>1119.67</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elete val="1"/>
          </c:dLbls>
          <c:cat>
            <c:strRef>
              <c:f>[2021决算公开表.xls]Sheet1!$B$34:$B$38</c:f>
              <c:strCache>
                <c:ptCount val="5"/>
                <c:pt idx="0">
                  <c:v>基本支出</c:v>
                </c:pt>
                <c:pt idx="1">
                  <c:v>项目支出</c:v>
                </c:pt>
                <c:pt idx="2">
                  <c:v>上缴上级支出</c:v>
                </c:pt>
                <c:pt idx="3">
                  <c:v>经营支出</c:v>
                </c:pt>
                <c:pt idx="4">
                  <c:v>对附属单位补助支出</c:v>
                </c:pt>
              </c:strCache>
            </c:strRef>
          </c:cat>
          <c:val>
            <c:numRef>
              <c:f>[2021决算公开表.xls]Sheet1!$D$34:$D$38</c:f>
              <c:numCache>
                <c:formatCode>0.00%</c:formatCode>
                <c:ptCount val="5"/>
                <c:pt idx="0">
                  <c:v>0.3936</c:v>
                </c:pt>
                <c:pt idx="1">
                  <c:v>0.6064</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57"/>
          <c:y val="0.4175"/>
          <c:w val="0.23725"/>
          <c:h val="0.2982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图4    财政拨款收、支总计决算变动情况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[2021决算公开表.xls]Sheet1!$A$168</c:f>
              <c:strCache>
                <c:ptCount val="1"/>
                <c:pt idx="0">
                  <c:v>财政拨款收入、支出总计</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[2021决算公开表.xls]Sheet1!$B$167:$C$167</c:f>
              <c:strCache>
                <c:ptCount val="2"/>
                <c:pt idx="0">
                  <c:v>2021年</c:v>
                </c:pt>
                <c:pt idx="1">
                  <c:v>2020年</c:v>
                </c:pt>
              </c:strCache>
            </c:strRef>
          </c:cat>
          <c:val>
            <c:numRef>
              <c:f>[2021决算公开表.xls]Sheet1!$B$168:$C$168</c:f>
              <c:numCache>
                <c:formatCode>General</c:formatCode>
                <c:ptCount val="2"/>
                <c:pt idx="0">
                  <c:v>1676.27</c:v>
                </c:pt>
                <c:pt idx="1">
                  <c:v>1476.27</c:v>
                </c:pt>
              </c:numCache>
            </c:numRef>
          </c:val>
        </c:ser>
        <c:dLbls>
          <c:showLegendKey val="0"/>
          <c:showVal val="0"/>
          <c:showCatName val="0"/>
          <c:showSerName val="0"/>
          <c:showPercent val="0"/>
          <c:showBubbleSize val="0"/>
        </c:dLbls>
        <c:gapWidth val="150"/>
        <c:overlap val="0"/>
        <c:axId val="302404459"/>
        <c:axId val="963169581"/>
      </c:barChart>
      <c:catAx>
        <c:axId val="302404459"/>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963169581"/>
        <c:crosses val="autoZero"/>
        <c:auto val="1"/>
        <c:lblAlgn val="ctr"/>
        <c:lblOffset val="100"/>
        <c:noMultiLvlLbl val="0"/>
      </c:catAx>
      <c:valAx>
        <c:axId val="963169581"/>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302404459"/>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02458423716558"/>
          <c:y val="0.50428141633881"/>
          <c:w val="0.291275006025548"/>
          <c:h val="0.193705160842398"/>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[2021决算公开表.xls]Sheet1!$A$85</c:f>
              <c:strCache>
                <c:ptCount val="1"/>
                <c:pt idx="0">
                  <c:v>一般公共预算财政拨款支出</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[2021决算公开表.xls]Sheet1!$B$84:$C$84</c:f>
              <c:strCache>
                <c:ptCount val="2"/>
                <c:pt idx="0">
                  <c:v>2021年</c:v>
                </c:pt>
                <c:pt idx="1">
                  <c:v>2020年</c:v>
                </c:pt>
              </c:strCache>
            </c:strRef>
          </c:cat>
          <c:val>
            <c:numRef>
              <c:f>[2021决算公开表.xls]Sheet1!$B$85:$C$85</c:f>
              <c:numCache>
                <c:formatCode>General</c:formatCode>
                <c:ptCount val="2"/>
                <c:pt idx="0">
                  <c:v>1676.27</c:v>
                </c:pt>
                <c:pt idx="1">
                  <c:v>1336</c:v>
                </c:pt>
              </c:numCache>
            </c:numRef>
          </c:val>
        </c:ser>
        <c:dLbls>
          <c:showLegendKey val="0"/>
          <c:showVal val="0"/>
          <c:showCatName val="0"/>
          <c:showSerName val="0"/>
          <c:showPercent val="0"/>
          <c:showBubbleSize val="0"/>
        </c:dLbls>
        <c:gapWidth val="150"/>
        <c:overlap val="0"/>
        <c:axId val="223213926"/>
        <c:axId val="256999666"/>
      </c:barChart>
      <c:catAx>
        <c:axId val="223213926"/>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256999666"/>
        <c:crosses val="autoZero"/>
        <c:auto val="1"/>
        <c:lblAlgn val="ctr"/>
        <c:lblOffset val="100"/>
        <c:noMultiLvlLbl val="0"/>
      </c:catAx>
      <c:valAx>
        <c:axId val="256999666"/>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223213926"/>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678799566108232"/>
          <c:y val="0.505792400370714"/>
          <c:w val="0.315294684825841"/>
          <c:h val="0.17840593141798"/>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图6    一般公共预算财政拨款支出决算结构</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spPr>
              <a:solidFill>
                <a:schemeClr val="accent1">
                  <a:lumMod val="40000"/>
                  <a:lumOff val="60000"/>
                </a:schemeClr>
              </a:solidFill>
              <a:ln w="12700">
                <a:solidFill>
                  <a:srgbClr val="000000">
                    <a:alpha val="100000"/>
                  </a:srgbClr>
                </a:solidFill>
                <a:prstDash val="solid"/>
              </a:ln>
            </c:spPr>
          </c:dPt>
          <c:dPt>
            <c:idx val="5"/>
            <c:bubble3D val="0"/>
            <c:spPr>
              <a:gradFill>
                <a:gsLst>
                  <a:gs pos="0">
                    <a:srgbClr val="14CD68"/>
                  </a:gs>
                  <a:gs pos="100000">
                    <a:srgbClr val="0B6E38"/>
                  </a:gs>
                </a:gsLst>
                <a:lin scaled="0"/>
              </a:gradFill>
              <a:ln w="12700">
                <a:solidFill>
                  <a:srgbClr val="000000">
                    <a:alpha val="100000"/>
                  </a:srgbClr>
                </a:solidFill>
                <a:prstDash val="solid"/>
              </a:ln>
            </c:spPr>
          </c:dPt>
          <c:dLbls>
            <c:dLbl>
              <c:idx val="0"/>
              <c:layout>
                <c:manualLayout>
                  <c:x val="0.0162670201229064"/>
                  <c:y val="0.0202741842054451"/>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0914925752969165"/>
                  <c:y val="-0.000936336616631013"/>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5"/>
              <c:layout>
                <c:manualLayout>
                  <c:x val="0.27262408965773"/>
                  <c:y val="0.040082519970227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[2021决算公开表.xls]Sheet1!$A$110:$A$115</c:f>
              <c:strCache>
                <c:ptCount val="6"/>
                <c:pt idx="0">
                  <c:v>一般公共服务支出</c:v>
                </c:pt>
                <c:pt idx="1">
                  <c:v>社会保障和就业支出</c:v>
                </c:pt>
                <c:pt idx="2">
                  <c:v>住房保障支出</c:v>
                </c:pt>
                <c:pt idx="3">
                  <c:v>农林水支出</c:v>
                </c:pt>
                <c:pt idx="4">
                  <c:v>卫生健康支出</c:v>
                </c:pt>
                <c:pt idx="5">
                  <c:v>其他支出</c:v>
                </c:pt>
              </c:strCache>
            </c:strRef>
          </c:cat>
          <c:val>
            <c:numRef>
              <c:f>[2021决算公开表.xls]Sheet1!$B$110:$B$115</c:f>
              <c:numCache>
                <c:formatCode>General</c:formatCode>
                <c:ptCount val="6"/>
                <c:pt idx="0">
                  <c:v>1255.85</c:v>
                </c:pt>
                <c:pt idx="1">
                  <c:v>151.61</c:v>
                </c:pt>
                <c:pt idx="2">
                  <c:v>52.28</c:v>
                </c:pt>
                <c:pt idx="3">
                  <c:v>178.38</c:v>
                </c:pt>
                <c:pt idx="4">
                  <c:v>32.15</c:v>
                </c:pt>
                <c:pt idx="5">
                  <c:v>6</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spPr>
              <a:solidFill>
                <a:srgbClr val="993366">
                  <a:alpha val="100000"/>
                </a:srgbClr>
              </a:solidFill>
              <a:ln w="12700">
                <a:solidFill>
                  <a:srgbClr val="000000">
                    <a:alpha val="100000"/>
                  </a:srgbClr>
                </a:solidFill>
                <a:prstDash val="solid"/>
              </a:ln>
            </c:spPr>
          </c:dPt>
          <c:dPt>
            <c:idx val="5"/>
            <c:bubble3D val="0"/>
            <c:spPr>
              <a:solidFill>
                <a:srgbClr val="993366">
                  <a:alpha val="100000"/>
                </a:srgbClr>
              </a:solidFill>
              <a:ln w="12700">
                <a:solidFill>
                  <a:srgbClr val="000000">
                    <a:alpha val="100000"/>
                  </a:srgbClr>
                </a:solidFill>
                <a:prstDash val="solid"/>
              </a:ln>
            </c:spPr>
          </c:dPt>
          <c:dLbls>
            <c:delete val="1"/>
          </c:dLbls>
          <c:cat>
            <c:strRef>
              <c:f>[2021决算公开表.xls]Sheet1!$A$110:$A$115</c:f>
              <c:strCache>
                <c:ptCount val="6"/>
                <c:pt idx="0">
                  <c:v>一般公共服务支出</c:v>
                </c:pt>
                <c:pt idx="1">
                  <c:v>社会保障和就业支出</c:v>
                </c:pt>
                <c:pt idx="2">
                  <c:v>住房保障支出</c:v>
                </c:pt>
                <c:pt idx="3">
                  <c:v>农林水支出</c:v>
                </c:pt>
                <c:pt idx="4">
                  <c:v>卫生健康支出</c:v>
                </c:pt>
                <c:pt idx="5">
                  <c:v>其他支出</c:v>
                </c:pt>
              </c:strCache>
            </c:strRef>
          </c:cat>
          <c:val>
            <c:numRef>
              <c:f>[2021决算公开表.xls]Sheet1!$C$110:$C$115</c:f>
              <c:numCache>
                <c:formatCode>0.00%</c:formatCode>
                <c:ptCount val="6"/>
                <c:pt idx="0">
                  <c:v>0.7492</c:v>
                </c:pt>
                <c:pt idx="1">
                  <c:v>0.0904</c:v>
                </c:pt>
                <c:pt idx="2">
                  <c:v>0.0312</c:v>
                </c:pt>
                <c:pt idx="3">
                  <c:v>0.1064</c:v>
                </c:pt>
                <c:pt idx="4">
                  <c:v>0.0192</c:v>
                </c:pt>
                <c:pt idx="5">
                  <c:v>0.0036</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755753705265695"/>
          <c:y val="0.276694342537169"/>
          <c:w val="0.238703458247982"/>
          <c:h val="0.684688163738173"/>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图8   “三公”经费财政拨款支出结构</a:t>
            </a:r>
            <a:endParaRPr sz="14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52326055145101"/>
          <c:y val="0.0275981402704361"/>
        </c:manualLayout>
      </c:layout>
      <c:overlay val="0"/>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Lbl>
              <c:idx val="0"/>
              <c:layout>
                <c:manualLayout>
                  <c:x val="0.182596119079185"/>
                  <c:y val="0.104263206672845"/>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238768780073388"/>
                  <c:y val="-0.0173772011121409"/>
                </c:manualLayout>
              </c:layout>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151827511901448"/>
                  <c:y val="0.0555043528043561"/>
                </c:manualLayout>
              </c:layout>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[2021决算公开表.xls]Sheet1!$B$138:$B$140</c:f>
              <c:strCache>
                <c:ptCount val="3"/>
                <c:pt idx="0">
                  <c:v>因公出国（境）费支出</c:v>
                </c:pt>
                <c:pt idx="1">
                  <c:v>公务用车购置及运行维护费支出</c:v>
                </c:pt>
                <c:pt idx="2">
                  <c:v>公务接待费支出</c:v>
                </c:pt>
              </c:strCache>
            </c:strRef>
          </c:cat>
          <c:val>
            <c:numRef>
              <c:f>[2021决算公开表.xls]Sheet1!$C$138:$C$140</c:f>
              <c:numCache>
                <c:formatCode>General</c:formatCode>
                <c:ptCount val="3"/>
                <c:pt idx="0">
                  <c:v>0</c:v>
                </c:pt>
                <c:pt idx="1">
                  <c:v>7.78</c:v>
                </c:pt>
                <c:pt idx="2">
                  <c:v>0.6</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elete val="1"/>
          </c:dLbls>
          <c:cat>
            <c:strRef>
              <c:f>[2021决算公开表.xls]Sheet1!$B$138:$B$140</c:f>
              <c:strCache>
                <c:ptCount val="3"/>
                <c:pt idx="0">
                  <c:v>因公出国（境）费支出</c:v>
                </c:pt>
                <c:pt idx="1">
                  <c:v>公务用车购置及运行维护费支出</c:v>
                </c:pt>
                <c:pt idx="2">
                  <c:v>公务接待费支出</c:v>
                </c:pt>
              </c:strCache>
            </c:strRef>
          </c:cat>
          <c:val>
            <c:numRef>
              <c:f>[2021决算公开表.xls]Sheet1!$D$138:$D$140</c:f>
              <c:numCache>
                <c:formatCode>General</c:formatCode>
                <c:ptCount val="3"/>
                <c:pt idx="0">
                  <c:v>0</c:v>
                </c:pt>
                <c:pt idx="1" c:formatCode="0.00%">
                  <c:v>0.9284</c:v>
                </c:pt>
                <c:pt idx="2" c:formatCode="0.00%">
                  <c:v>0.0716</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41036941063035"/>
          <c:y val="0.268433271547729"/>
          <c:w val="0.33875"/>
          <c:h val="0.332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57</Pages>
  <Words>21443</Words>
  <Characters>22901</Characters>
  <Lines>57</Lines>
  <Paragraphs>16</Paragraphs>
  <TotalTime>21</TotalTime>
  <ScaleCrop>false</ScaleCrop>
  <LinksUpToDate>false</LinksUpToDate>
  <CharactersWithSpaces>23056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曾国红</cp:lastModifiedBy>
  <cp:lastPrinted>2022-08-08T09:11:00Z</cp:lastPrinted>
  <dcterms:modified xsi:type="dcterms:W3CDTF">2023-10-08T00:50:34Z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EF18E9B62040404A872A815B91DD1908_13</vt:lpwstr>
  </property>
</Properties>
</file>