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5619" w:rsidRDefault="003C5619">
      <w:pPr>
        <w:spacing w:line="600" w:lineRule="exact"/>
        <w:jc w:val="center"/>
        <w:outlineLvl w:val="0"/>
        <w:rPr>
          <w:rFonts w:eastAsia="方正小标宋简体"/>
          <w:sz w:val="72"/>
          <w:szCs w:val="72"/>
        </w:rPr>
      </w:pPr>
      <w:bookmarkStart w:id="0" w:name="_Toc15306267"/>
    </w:p>
    <w:p w:rsidR="003C5619" w:rsidRDefault="003C5619">
      <w:pPr>
        <w:spacing w:line="600" w:lineRule="exact"/>
        <w:jc w:val="center"/>
        <w:outlineLvl w:val="0"/>
        <w:rPr>
          <w:rFonts w:eastAsia="方正小标宋简体"/>
          <w:sz w:val="72"/>
          <w:szCs w:val="72"/>
        </w:rPr>
      </w:pPr>
    </w:p>
    <w:p w:rsidR="003C5619" w:rsidRDefault="003C5619">
      <w:pPr>
        <w:spacing w:line="600" w:lineRule="exact"/>
        <w:jc w:val="center"/>
        <w:outlineLvl w:val="0"/>
        <w:rPr>
          <w:rFonts w:eastAsia="方正小标宋简体"/>
          <w:sz w:val="72"/>
          <w:szCs w:val="72"/>
        </w:rPr>
      </w:pPr>
    </w:p>
    <w:p w:rsidR="003C5619" w:rsidRDefault="003C5619">
      <w:pPr>
        <w:spacing w:line="600" w:lineRule="exact"/>
        <w:jc w:val="center"/>
        <w:outlineLvl w:val="0"/>
        <w:rPr>
          <w:rFonts w:eastAsia="方正小标宋简体"/>
          <w:sz w:val="72"/>
          <w:szCs w:val="72"/>
        </w:rPr>
      </w:pPr>
    </w:p>
    <w:p w:rsidR="003C5619" w:rsidRDefault="00761F12">
      <w:pPr>
        <w:adjustRightInd w:val="0"/>
        <w:snapToGrid w:val="0"/>
        <w:spacing w:line="360" w:lineRule="auto"/>
        <w:jc w:val="center"/>
        <w:outlineLvl w:val="0"/>
        <w:rPr>
          <w:rFonts w:eastAsia="方正小标宋简体"/>
          <w:sz w:val="72"/>
          <w:szCs w:val="72"/>
        </w:rPr>
      </w:pPr>
      <w:bookmarkStart w:id="1" w:name="_Toc15396597"/>
      <w:bookmarkStart w:id="2" w:name="_Toc15396475"/>
      <w:bookmarkStart w:id="3" w:name="_Toc15377425"/>
      <w:bookmarkStart w:id="4" w:name="_Toc15378441"/>
      <w:bookmarkStart w:id="5" w:name="_Toc15377193"/>
      <w:r>
        <w:rPr>
          <w:rFonts w:eastAsia="方正小标宋简体"/>
          <w:sz w:val="72"/>
          <w:szCs w:val="72"/>
        </w:rPr>
        <w:t>2021</w:t>
      </w:r>
      <w:r>
        <w:rPr>
          <w:rFonts w:eastAsia="方正小标宋简体"/>
          <w:sz w:val="72"/>
          <w:szCs w:val="72"/>
        </w:rPr>
        <w:t>年度</w:t>
      </w:r>
      <w:bookmarkEnd w:id="1"/>
      <w:bookmarkEnd w:id="2"/>
      <w:bookmarkEnd w:id="3"/>
      <w:bookmarkEnd w:id="4"/>
      <w:bookmarkEnd w:id="5"/>
    </w:p>
    <w:p w:rsidR="003C5619" w:rsidRDefault="00761F12">
      <w:pPr>
        <w:adjustRightInd w:val="0"/>
        <w:snapToGrid w:val="0"/>
        <w:spacing w:line="360" w:lineRule="auto"/>
        <w:jc w:val="center"/>
        <w:outlineLvl w:val="0"/>
        <w:rPr>
          <w:rFonts w:eastAsia="方正小标宋简体"/>
          <w:sz w:val="72"/>
          <w:szCs w:val="72"/>
        </w:rPr>
      </w:pPr>
      <w:bookmarkStart w:id="6" w:name="_Toc15377194"/>
      <w:bookmarkStart w:id="7" w:name="_Toc15396476"/>
      <w:bookmarkStart w:id="8" w:name="_Toc15377426"/>
      <w:bookmarkStart w:id="9" w:name="_Toc15378442"/>
      <w:bookmarkStart w:id="10" w:name="_Toc15396598"/>
      <w:r>
        <w:rPr>
          <w:rFonts w:eastAsia="方正小标宋简体"/>
          <w:sz w:val="72"/>
          <w:szCs w:val="72"/>
        </w:rPr>
        <w:t>盐边县</w:t>
      </w:r>
      <w:bookmarkStart w:id="11" w:name="_Toc15306268"/>
      <w:bookmarkEnd w:id="0"/>
      <w:r>
        <w:rPr>
          <w:rFonts w:eastAsia="方正小标宋简体"/>
          <w:sz w:val="72"/>
          <w:szCs w:val="72"/>
        </w:rPr>
        <w:t>红格镇中心学校</w:t>
      </w:r>
    </w:p>
    <w:p w:rsidR="003C5619" w:rsidRDefault="00761F12">
      <w:pPr>
        <w:adjustRightInd w:val="0"/>
        <w:snapToGrid w:val="0"/>
        <w:spacing w:line="360" w:lineRule="auto"/>
        <w:jc w:val="center"/>
        <w:outlineLvl w:val="0"/>
        <w:rPr>
          <w:rFonts w:eastAsia="方正小标宋简体"/>
          <w:sz w:val="72"/>
          <w:szCs w:val="72"/>
        </w:rPr>
      </w:pPr>
      <w:r>
        <w:rPr>
          <w:rFonts w:eastAsia="方正小标宋简体"/>
          <w:sz w:val="72"/>
          <w:szCs w:val="72"/>
        </w:rPr>
        <w:t>决算</w:t>
      </w:r>
      <w:bookmarkEnd w:id="6"/>
      <w:bookmarkEnd w:id="7"/>
      <w:bookmarkEnd w:id="8"/>
      <w:bookmarkEnd w:id="9"/>
      <w:bookmarkEnd w:id="10"/>
      <w:bookmarkEnd w:id="11"/>
    </w:p>
    <w:p w:rsidR="003C5619" w:rsidRDefault="00761F12">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3C5619" w:rsidRDefault="003C5619">
      <w:pPr>
        <w:widowControl/>
        <w:jc w:val="center"/>
        <w:rPr>
          <w:rFonts w:eastAsia="黑体"/>
          <w:sz w:val="28"/>
          <w:szCs w:val="28"/>
        </w:rPr>
      </w:pPr>
    </w:p>
    <w:p w:rsidR="003C5619" w:rsidRDefault="00761F12">
      <w:pPr>
        <w:pStyle w:val="10"/>
        <w:rPr>
          <w:rFonts w:ascii="Times New Roman" w:hAnsi="Times New Roman"/>
        </w:rPr>
      </w:pPr>
      <w:r>
        <w:rPr>
          <w:rFonts w:ascii="Times New Roman" w:hAnsi="Times New Roman"/>
        </w:rPr>
        <w:t>公开时间：</w:t>
      </w:r>
      <w:r>
        <w:rPr>
          <w:rFonts w:ascii="Times New Roman" w:hAnsi="Times New Roman"/>
        </w:rPr>
        <w:t>2022</w:t>
      </w:r>
      <w:r>
        <w:rPr>
          <w:rFonts w:ascii="Times New Roman" w:hAnsi="Times New Roman"/>
        </w:rPr>
        <w:t>年</w:t>
      </w:r>
      <w:r>
        <w:rPr>
          <w:rFonts w:ascii="Times New Roman" w:hAnsi="Times New Roman"/>
        </w:rPr>
        <w:t>10</w:t>
      </w:r>
      <w:r>
        <w:rPr>
          <w:rFonts w:ascii="Times New Roman" w:hAnsi="Times New Roman"/>
        </w:rPr>
        <w:t>月</w:t>
      </w:r>
      <w:r>
        <w:rPr>
          <w:rFonts w:ascii="Times New Roman" w:hAnsi="Times New Roman"/>
        </w:rPr>
        <w:t>2</w:t>
      </w:r>
      <w:r>
        <w:rPr>
          <w:rFonts w:ascii="Times New Roman" w:hAnsi="Times New Roman" w:hint="eastAsia"/>
        </w:rPr>
        <w:t>6</w:t>
      </w:r>
      <w:r>
        <w:rPr>
          <w:rFonts w:ascii="Times New Roman" w:hAnsi="Times New Roman"/>
        </w:rPr>
        <w:t>日</w:t>
      </w:r>
    </w:p>
    <w:p w:rsidR="003C5619" w:rsidRDefault="003C5619"/>
    <w:p w:rsidR="003C5619" w:rsidRDefault="00761F12">
      <w:pPr>
        <w:pStyle w:val="10"/>
        <w:adjustRightInd w:val="0"/>
        <w:snapToGrid w:val="0"/>
        <w:spacing w:before="0" w:line="440" w:lineRule="exact"/>
        <w:jc w:val="left"/>
        <w:rPr>
          <w:rFonts w:cs="仿宋"/>
          <w:sz w:val="24"/>
          <w:szCs w:val="24"/>
        </w:rPr>
      </w:pPr>
      <w:r>
        <w:rPr>
          <w:rFonts w:cs="仿宋" w:hint="eastAsia"/>
          <w:sz w:val="24"/>
          <w:szCs w:val="24"/>
        </w:rPr>
        <w:t>第一部分单位概况</w:t>
      </w:r>
      <w:r>
        <w:rPr>
          <w:rFonts w:cs="仿宋" w:hint="eastAsia"/>
          <w:sz w:val="24"/>
          <w:szCs w:val="24"/>
        </w:rPr>
        <w:tab/>
        <w:t>4</w:t>
      </w:r>
    </w:p>
    <w:p w:rsidR="003C5619" w:rsidRDefault="00761F12">
      <w:pPr>
        <w:pStyle w:val="20"/>
        <w:adjustRightInd w:val="0"/>
        <w:snapToGrid w:val="0"/>
        <w:spacing w:line="440" w:lineRule="exact"/>
        <w:jc w:val="left"/>
        <w:outlineLvl w:val="8"/>
        <w:rPr>
          <w:rFonts w:ascii="仿宋" w:eastAsia="仿宋" w:hAnsi="仿宋" w:cs="仿宋"/>
          <w:sz w:val="24"/>
        </w:rPr>
      </w:pPr>
      <w:r>
        <w:rPr>
          <w:rFonts w:ascii="仿宋" w:eastAsia="仿宋" w:hAnsi="仿宋" w:cs="仿宋" w:hint="eastAsia"/>
          <w:sz w:val="24"/>
        </w:rPr>
        <w:t>一、职能简介</w:t>
      </w:r>
      <w:r>
        <w:rPr>
          <w:rFonts w:ascii="仿宋" w:eastAsia="仿宋" w:hAnsi="仿宋" w:cs="仿宋" w:hint="eastAsia"/>
          <w:sz w:val="24"/>
        </w:rPr>
        <w:tab/>
        <w:t>4</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二、2021年重点工作完成情况</w:t>
      </w:r>
      <w:r>
        <w:rPr>
          <w:rFonts w:ascii="仿宋" w:eastAsia="仿宋" w:hAnsi="仿宋" w:cs="仿宋" w:hint="eastAsia"/>
          <w:sz w:val="24"/>
        </w:rPr>
        <w:tab/>
      </w:r>
      <w:r w:rsidR="001C2E02">
        <w:rPr>
          <w:rFonts w:ascii="仿宋" w:eastAsia="仿宋" w:hAnsi="仿宋" w:cs="仿宋"/>
          <w:sz w:val="24"/>
        </w:rPr>
        <w:t>4</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三、机构设置情况</w:t>
      </w:r>
      <w:r>
        <w:rPr>
          <w:rFonts w:ascii="仿宋" w:eastAsia="仿宋" w:hAnsi="仿宋" w:cs="仿宋" w:hint="eastAsia"/>
          <w:sz w:val="24"/>
        </w:rPr>
        <w:tab/>
      </w:r>
      <w:r w:rsidR="001C2E02">
        <w:rPr>
          <w:rFonts w:ascii="仿宋" w:eastAsia="仿宋" w:hAnsi="仿宋" w:cs="仿宋"/>
          <w:sz w:val="24"/>
        </w:rPr>
        <w:t>8</w:t>
      </w:r>
    </w:p>
    <w:p w:rsidR="003C5619" w:rsidRDefault="00761F12">
      <w:pPr>
        <w:pStyle w:val="10"/>
        <w:adjustRightInd w:val="0"/>
        <w:snapToGrid w:val="0"/>
        <w:spacing w:before="0" w:line="440" w:lineRule="exact"/>
        <w:jc w:val="left"/>
        <w:rPr>
          <w:rFonts w:cs="仿宋"/>
          <w:sz w:val="24"/>
          <w:szCs w:val="24"/>
        </w:rPr>
      </w:pPr>
      <w:r>
        <w:rPr>
          <w:rFonts w:cs="仿宋" w:hint="eastAsia"/>
          <w:sz w:val="24"/>
          <w:szCs w:val="24"/>
        </w:rPr>
        <w:t>第二部分 2021年度单位决算情况说明</w:t>
      </w:r>
      <w:r>
        <w:rPr>
          <w:rFonts w:cs="仿宋" w:hint="eastAsia"/>
          <w:sz w:val="24"/>
          <w:szCs w:val="24"/>
        </w:rPr>
        <w:tab/>
      </w:r>
      <w:r w:rsidR="001C2E02">
        <w:rPr>
          <w:rFonts w:cs="仿宋"/>
          <w:sz w:val="24"/>
          <w:szCs w:val="24"/>
        </w:rPr>
        <w:t>9</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一、收入支出决算总体情况说明</w:t>
      </w:r>
      <w:r>
        <w:rPr>
          <w:rFonts w:ascii="仿宋" w:eastAsia="仿宋" w:hAnsi="仿宋" w:cs="仿宋" w:hint="eastAsia"/>
          <w:sz w:val="24"/>
        </w:rPr>
        <w:tab/>
      </w:r>
      <w:r w:rsidR="001C2E02">
        <w:rPr>
          <w:rFonts w:ascii="仿宋" w:eastAsia="仿宋" w:hAnsi="仿宋" w:cs="仿宋"/>
          <w:sz w:val="24"/>
        </w:rPr>
        <w:t>9</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二、收入决算情况说明</w:t>
      </w:r>
      <w:r>
        <w:rPr>
          <w:rFonts w:ascii="仿宋" w:eastAsia="仿宋" w:hAnsi="仿宋" w:cs="仿宋" w:hint="eastAsia"/>
          <w:sz w:val="24"/>
        </w:rPr>
        <w:tab/>
      </w:r>
      <w:r w:rsidR="001C2E02">
        <w:rPr>
          <w:rFonts w:ascii="仿宋" w:eastAsia="仿宋" w:hAnsi="仿宋" w:cs="仿宋"/>
          <w:sz w:val="24"/>
        </w:rPr>
        <w:t>9</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三、支出决算情况说明</w:t>
      </w:r>
      <w:r>
        <w:rPr>
          <w:rFonts w:ascii="仿宋" w:eastAsia="仿宋" w:hAnsi="仿宋" w:cs="仿宋" w:hint="eastAsia"/>
          <w:sz w:val="24"/>
        </w:rPr>
        <w:tab/>
        <w:t>1</w:t>
      </w:r>
      <w:r w:rsidR="001C2E02">
        <w:rPr>
          <w:rFonts w:ascii="仿宋" w:eastAsia="仿宋" w:hAnsi="仿宋" w:cs="仿宋"/>
          <w:sz w:val="24"/>
        </w:rPr>
        <w:t>0</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四、财政拨款收入支出决算总体情况说明</w:t>
      </w:r>
      <w:r>
        <w:rPr>
          <w:rFonts w:ascii="仿宋" w:eastAsia="仿宋" w:hAnsi="仿宋" w:cs="仿宋" w:hint="eastAsia"/>
          <w:sz w:val="24"/>
        </w:rPr>
        <w:tab/>
        <w:t>1</w:t>
      </w:r>
      <w:r w:rsidR="001C2E02">
        <w:rPr>
          <w:rFonts w:ascii="仿宋" w:eastAsia="仿宋" w:hAnsi="仿宋" w:cs="仿宋"/>
          <w:sz w:val="24"/>
        </w:rPr>
        <w:t>1</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五、一般公共预算财政拨款支出决算情况说明</w:t>
      </w:r>
      <w:r>
        <w:rPr>
          <w:rFonts w:ascii="仿宋" w:eastAsia="仿宋" w:hAnsi="仿宋" w:cs="仿宋" w:hint="eastAsia"/>
          <w:sz w:val="24"/>
        </w:rPr>
        <w:tab/>
        <w:t>1</w:t>
      </w:r>
      <w:r w:rsidR="001C2E02">
        <w:rPr>
          <w:rFonts w:ascii="仿宋" w:eastAsia="仿宋" w:hAnsi="仿宋" w:cs="仿宋"/>
          <w:sz w:val="24"/>
        </w:rPr>
        <w:t>1</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六、一般公共预算财政拨款基本支出决算情况说明</w:t>
      </w:r>
      <w:r>
        <w:rPr>
          <w:rFonts w:ascii="仿宋" w:eastAsia="仿宋" w:hAnsi="仿宋" w:cs="仿宋" w:hint="eastAsia"/>
          <w:sz w:val="24"/>
        </w:rPr>
        <w:tab/>
        <w:t>1</w:t>
      </w:r>
      <w:r w:rsidR="001C2E02">
        <w:rPr>
          <w:rFonts w:ascii="仿宋" w:eastAsia="仿宋" w:hAnsi="仿宋" w:cs="仿宋"/>
          <w:sz w:val="24"/>
        </w:rPr>
        <w:t>4</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七、“三公”经费财政拨款支出决算情况说明</w:t>
      </w:r>
      <w:r>
        <w:rPr>
          <w:rFonts w:ascii="仿宋" w:eastAsia="仿宋" w:hAnsi="仿宋" w:cs="仿宋" w:hint="eastAsia"/>
          <w:sz w:val="24"/>
        </w:rPr>
        <w:tab/>
        <w:t>15</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八、政府性基金预算支出决算情况说明</w:t>
      </w:r>
      <w:r>
        <w:rPr>
          <w:rFonts w:ascii="仿宋" w:eastAsia="仿宋" w:hAnsi="仿宋" w:cs="仿宋" w:hint="eastAsia"/>
          <w:sz w:val="24"/>
        </w:rPr>
        <w:tab/>
        <w:t>1</w:t>
      </w:r>
      <w:r w:rsidR="001C2E02">
        <w:rPr>
          <w:rFonts w:ascii="仿宋" w:eastAsia="仿宋" w:hAnsi="仿宋" w:cs="仿宋"/>
          <w:sz w:val="24"/>
        </w:rPr>
        <w:t>5</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九、国有资本经营预算支出决算情况说明</w:t>
      </w:r>
      <w:r>
        <w:rPr>
          <w:rFonts w:ascii="仿宋" w:eastAsia="仿宋" w:hAnsi="仿宋" w:cs="仿宋" w:hint="eastAsia"/>
          <w:sz w:val="24"/>
        </w:rPr>
        <w:tab/>
        <w:t>16</w:t>
      </w:r>
    </w:p>
    <w:p w:rsidR="003C5619" w:rsidRDefault="00761F12">
      <w:pPr>
        <w:pStyle w:val="20"/>
        <w:adjustRightInd w:val="0"/>
        <w:snapToGrid w:val="0"/>
        <w:spacing w:line="440" w:lineRule="exact"/>
        <w:jc w:val="left"/>
        <w:rPr>
          <w:rFonts w:ascii="仿宋" w:eastAsia="仿宋" w:hAnsi="仿宋" w:cs="仿宋"/>
          <w:sz w:val="24"/>
        </w:rPr>
      </w:pPr>
      <w:r>
        <w:rPr>
          <w:rFonts w:ascii="仿宋" w:eastAsia="仿宋" w:hAnsi="仿宋" w:cs="仿宋" w:hint="eastAsia"/>
          <w:sz w:val="24"/>
        </w:rPr>
        <w:t>十、其他重要事项的情况说明</w:t>
      </w:r>
      <w:r>
        <w:rPr>
          <w:rFonts w:ascii="仿宋" w:eastAsia="仿宋" w:hAnsi="仿宋" w:cs="仿宋" w:hint="eastAsia"/>
          <w:sz w:val="24"/>
        </w:rPr>
        <w:tab/>
        <w:t>1</w:t>
      </w:r>
      <w:r w:rsidR="001C2E02">
        <w:rPr>
          <w:rFonts w:ascii="仿宋" w:eastAsia="仿宋" w:hAnsi="仿宋" w:cs="仿宋"/>
          <w:sz w:val="24"/>
        </w:rPr>
        <w:t>6</w:t>
      </w:r>
    </w:p>
    <w:p w:rsidR="003C5619" w:rsidRDefault="00761F12">
      <w:pPr>
        <w:pStyle w:val="10"/>
        <w:adjustRightInd w:val="0"/>
        <w:snapToGrid w:val="0"/>
        <w:spacing w:before="0" w:line="440" w:lineRule="exact"/>
        <w:jc w:val="left"/>
        <w:rPr>
          <w:rFonts w:cs="仿宋"/>
          <w:sz w:val="24"/>
          <w:szCs w:val="24"/>
        </w:rPr>
      </w:pPr>
      <w:r>
        <w:rPr>
          <w:rFonts w:cs="仿宋" w:hint="eastAsia"/>
          <w:sz w:val="24"/>
          <w:szCs w:val="24"/>
        </w:rPr>
        <w:t>第三部分名词解释</w:t>
      </w:r>
      <w:r>
        <w:rPr>
          <w:rFonts w:cs="仿宋" w:hint="eastAsia"/>
          <w:sz w:val="24"/>
          <w:szCs w:val="24"/>
        </w:rPr>
        <w:tab/>
        <w:t>1</w:t>
      </w:r>
      <w:r w:rsidR="001C2E02">
        <w:rPr>
          <w:rFonts w:cs="仿宋"/>
          <w:sz w:val="24"/>
          <w:szCs w:val="24"/>
        </w:rPr>
        <w:t>7</w:t>
      </w:r>
      <w:bookmarkStart w:id="12" w:name="_GoBack"/>
      <w:bookmarkEnd w:id="12"/>
    </w:p>
    <w:p w:rsidR="003C5619" w:rsidRDefault="00761F12">
      <w:pPr>
        <w:pStyle w:val="10"/>
        <w:adjustRightInd w:val="0"/>
        <w:snapToGrid w:val="0"/>
        <w:spacing w:before="0" w:line="440" w:lineRule="exact"/>
        <w:jc w:val="left"/>
        <w:rPr>
          <w:rFonts w:cs="仿宋"/>
          <w:sz w:val="24"/>
          <w:szCs w:val="24"/>
        </w:rPr>
      </w:pPr>
      <w:r>
        <w:rPr>
          <w:rFonts w:cs="仿宋" w:hint="eastAsia"/>
          <w:sz w:val="24"/>
          <w:szCs w:val="24"/>
        </w:rPr>
        <w:t>第四部分附件</w:t>
      </w:r>
      <w:r>
        <w:rPr>
          <w:rFonts w:cs="仿宋" w:hint="eastAsia"/>
          <w:sz w:val="24"/>
          <w:szCs w:val="24"/>
        </w:rPr>
        <w:tab/>
        <w:t>19</w:t>
      </w:r>
    </w:p>
    <w:p w:rsidR="003C5619" w:rsidRDefault="00761F12">
      <w:pPr>
        <w:pStyle w:val="10"/>
        <w:adjustRightInd w:val="0"/>
        <w:snapToGrid w:val="0"/>
        <w:spacing w:before="0" w:line="440" w:lineRule="exact"/>
        <w:jc w:val="left"/>
        <w:rPr>
          <w:rFonts w:cs="仿宋"/>
          <w:sz w:val="24"/>
          <w:szCs w:val="24"/>
        </w:rPr>
      </w:pPr>
      <w:r>
        <w:rPr>
          <w:rFonts w:cs="仿宋" w:hint="eastAsia"/>
          <w:sz w:val="24"/>
          <w:szCs w:val="24"/>
        </w:rPr>
        <w:t>第五部分附表</w:t>
      </w:r>
      <w:r>
        <w:rPr>
          <w:rFonts w:cs="仿宋" w:hint="eastAsia"/>
          <w:sz w:val="24"/>
          <w:szCs w:val="24"/>
        </w:rPr>
        <w:tab/>
        <w:t>24</w:t>
      </w:r>
    </w:p>
    <w:p w:rsidR="003C5619" w:rsidRDefault="00761F12">
      <w:pPr>
        <w:pStyle w:val="20"/>
        <w:adjustRightInd w:val="0"/>
        <w:snapToGrid w:val="0"/>
        <w:spacing w:line="440" w:lineRule="exact"/>
        <w:jc w:val="left"/>
        <w:rPr>
          <w:sz w:val="24"/>
        </w:rPr>
      </w:pPr>
      <w:r>
        <w:rPr>
          <w:sz w:val="24"/>
        </w:rPr>
        <w:t>一、收入支出决算总表</w:t>
      </w:r>
    </w:p>
    <w:p w:rsidR="003C5619" w:rsidRDefault="00761F12">
      <w:pPr>
        <w:pStyle w:val="20"/>
        <w:adjustRightInd w:val="0"/>
        <w:snapToGrid w:val="0"/>
        <w:spacing w:line="440" w:lineRule="exact"/>
        <w:jc w:val="left"/>
        <w:rPr>
          <w:sz w:val="24"/>
        </w:rPr>
      </w:pPr>
      <w:r>
        <w:rPr>
          <w:sz w:val="24"/>
        </w:rPr>
        <w:t>二、收入决算表</w:t>
      </w:r>
    </w:p>
    <w:p w:rsidR="003C5619" w:rsidRDefault="00761F12">
      <w:pPr>
        <w:pStyle w:val="20"/>
        <w:adjustRightInd w:val="0"/>
        <w:snapToGrid w:val="0"/>
        <w:spacing w:line="440" w:lineRule="exact"/>
        <w:jc w:val="left"/>
        <w:rPr>
          <w:sz w:val="24"/>
        </w:rPr>
      </w:pPr>
      <w:r>
        <w:rPr>
          <w:sz w:val="24"/>
        </w:rPr>
        <w:t>三、支出决算表</w:t>
      </w:r>
    </w:p>
    <w:p w:rsidR="003C5619" w:rsidRDefault="00761F12">
      <w:pPr>
        <w:pStyle w:val="20"/>
        <w:adjustRightInd w:val="0"/>
        <w:snapToGrid w:val="0"/>
        <w:spacing w:line="440" w:lineRule="exact"/>
        <w:jc w:val="left"/>
        <w:rPr>
          <w:sz w:val="24"/>
        </w:rPr>
      </w:pPr>
      <w:r>
        <w:rPr>
          <w:sz w:val="24"/>
        </w:rPr>
        <w:t>四、财政拨款收入支出决算总表</w:t>
      </w:r>
    </w:p>
    <w:p w:rsidR="003C5619" w:rsidRDefault="00761F12">
      <w:pPr>
        <w:pStyle w:val="20"/>
        <w:adjustRightInd w:val="0"/>
        <w:snapToGrid w:val="0"/>
        <w:spacing w:line="440" w:lineRule="exact"/>
        <w:jc w:val="left"/>
        <w:rPr>
          <w:sz w:val="24"/>
        </w:rPr>
      </w:pPr>
      <w:r>
        <w:rPr>
          <w:sz w:val="24"/>
        </w:rPr>
        <w:t>五、财政拨款支出决算明细表</w:t>
      </w:r>
    </w:p>
    <w:p w:rsidR="003C5619" w:rsidRDefault="00761F12">
      <w:pPr>
        <w:pStyle w:val="20"/>
        <w:adjustRightInd w:val="0"/>
        <w:snapToGrid w:val="0"/>
        <w:spacing w:line="440" w:lineRule="exact"/>
        <w:jc w:val="left"/>
        <w:rPr>
          <w:sz w:val="24"/>
        </w:rPr>
      </w:pPr>
      <w:r>
        <w:rPr>
          <w:sz w:val="24"/>
        </w:rPr>
        <w:t>六、一般公共预算财政拨款支出决算表</w:t>
      </w:r>
    </w:p>
    <w:p w:rsidR="003C5619" w:rsidRDefault="00761F12">
      <w:pPr>
        <w:pStyle w:val="20"/>
        <w:adjustRightInd w:val="0"/>
        <w:snapToGrid w:val="0"/>
        <w:spacing w:line="440" w:lineRule="exact"/>
        <w:jc w:val="left"/>
        <w:rPr>
          <w:sz w:val="24"/>
        </w:rPr>
      </w:pPr>
      <w:r>
        <w:rPr>
          <w:sz w:val="24"/>
        </w:rPr>
        <w:t>七、一般公共预算财政拨款支出决算明细表</w:t>
      </w:r>
    </w:p>
    <w:p w:rsidR="003C5619" w:rsidRDefault="00761F12">
      <w:pPr>
        <w:pStyle w:val="20"/>
        <w:adjustRightInd w:val="0"/>
        <w:snapToGrid w:val="0"/>
        <w:spacing w:line="440" w:lineRule="exact"/>
        <w:jc w:val="left"/>
        <w:rPr>
          <w:sz w:val="24"/>
        </w:rPr>
      </w:pPr>
      <w:r>
        <w:rPr>
          <w:sz w:val="24"/>
        </w:rPr>
        <w:t>八、一般公共预算财政拨款基本支出决算表</w:t>
      </w:r>
    </w:p>
    <w:p w:rsidR="003C5619" w:rsidRDefault="00761F12">
      <w:pPr>
        <w:pStyle w:val="20"/>
        <w:adjustRightInd w:val="0"/>
        <w:snapToGrid w:val="0"/>
        <w:spacing w:line="440" w:lineRule="exact"/>
        <w:jc w:val="left"/>
        <w:rPr>
          <w:sz w:val="24"/>
        </w:rPr>
      </w:pPr>
      <w:r>
        <w:rPr>
          <w:sz w:val="24"/>
        </w:rPr>
        <w:lastRenderedPageBreak/>
        <w:t>九、一般公共预算财政拨款项目支出决算表</w:t>
      </w:r>
    </w:p>
    <w:p w:rsidR="003C5619" w:rsidRDefault="00761F12">
      <w:pPr>
        <w:pStyle w:val="20"/>
        <w:adjustRightInd w:val="0"/>
        <w:snapToGrid w:val="0"/>
        <w:spacing w:line="440" w:lineRule="exact"/>
        <w:jc w:val="left"/>
        <w:rPr>
          <w:sz w:val="24"/>
        </w:rPr>
      </w:pPr>
      <w:r>
        <w:rPr>
          <w:sz w:val="24"/>
        </w:rPr>
        <w:t>十、一般公共预算财政拨款</w:t>
      </w:r>
      <w:r>
        <w:rPr>
          <w:sz w:val="24"/>
        </w:rPr>
        <w:t>“</w:t>
      </w:r>
      <w:r>
        <w:rPr>
          <w:sz w:val="24"/>
        </w:rPr>
        <w:t>三公</w:t>
      </w:r>
      <w:r>
        <w:rPr>
          <w:sz w:val="24"/>
        </w:rPr>
        <w:t>”</w:t>
      </w:r>
      <w:r>
        <w:rPr>
          <w:sz w:val="24"/>
        </w:rPr>
        <w:t>经费支出决算表</w:t>
      </w:r>
    </w:p>
    <w:p w:rsidR="003C5619" w:rsidRDefault="00761F12">
      <w:pPr>
        <w:pStyle w:val="20"/>
        <w:adjustRightInd w:val="0"/>
        <w:snapToGrid w:val="0"/>
        <w:spacing w:line="440" w:lineRule="exact"/>
        <w:jc w:val="left"/>
        <w:rPr>
          <w:sz w:val="24"/>
        </w:rPr>
      </w:pPr>
      <w:r>
        <w:rPr>
          <w:sz w:val="24"/>
        </w:rPr>
        <w:t>十一、政府性基金预算财政拨款收入支出决算表</w:t>
      </w:r>
    </w:p>
    <w:p w:rsidR="003C5619" w:rsidRDefault="00761F12">
      <w:pPr>
        <w:pStyle w:val="20"/>
        <w:adjustRightInd w:val="0"/>
        <w:snapToGrid w:val="0"/>
        <w:spacing w:line="440" w:lineRule="exact"/>
        <w:jc w:val="left"/>
        <w:rPr>
          <w:sz w:val="24"/>
        </w:rPr>
      </w:pPr>
      <w:r>
        <w:rPr>
          <w:sz w:val="24"/>
        </w:rPr>
        <w:t>十二、政府性基金预算财政拨款</w:t>
      </w:r>
      <w:r>
        <w:rPr>
          <w:sz w:val="24"/>
        </w:rPr>
        <w:t>“</w:t>
      </w:r>
      <w:r>
        <w:rPr>
          <w:sz w:val="24"/>
        </w:rPr>
        <w:t>三公</w:t>
      </w:r>
      <w:r>
        <w:rPr>
          <w:sz w:val="24"/>
        </w:rPr>
        <w:t>”</w:t>
      </w:r>
      <w:r>
        <w:rPr>
          <w:sz w:val="24"/>
        </w:rPr>
        <w:t>经费支出决算表</w:t>
      </w:r>
    </w:p>
    <w:p w:rsidR="003C5619" w:rsidRDefault="00761F12">
      <w:pPr>
        <w:pStyle w:val="20"/>
        <w:adjustRightInd w:val="0"/>
        <w:snapToGrid w:val="0"/>
        <w:spacing w:line="440" w:lineRule="exact"/>
        <w:jc w:val="left"/>
        <w:rPr>
          <w:sz w:val="24"/>
        </w:rPr>
      </w:pPr>
      <w:r>
        <w:rPr>
          <w:sz w:val="24"/>
        </w:rPr>
        <w:t>十三、国有资本经营预算财政拨款收入支出决算表</w:t>
      </w:r>
    </w:p>
    <w:p w:rsidR="003C5619" w:rsidRDefault="00761F12">
      <w:pPr>
        <w:pStyle w:val="20"/>
        <w:adjustRightInd w:val="0"/>
        <w:snapToGrid w:val="0"/>
        <w:spacing w:line="440" w:lineRule="exact"/>
        <w:jc w:val="left"/>
        <w:rPr>
          <w:rFonts w:eastAsia="仿宋"/>
          <w:bCs/>
          <w:kern w:val="44"/>
          <w:sz w:val="24"/>
        </w:rPr>
      </w:pPr>
      <w:r>
        <w:rPr>
          <w:sz w:val="24"/>
        </w:rPr>
        <w:t>十四、国有资本经营预算财政拨款支出决算表</w:t>
      </w:r>
      <w:bookmarkStart w:id="13" w:name="_Toc15377196"/>
      <w:bookmarkStart w:id="14" w:name="_Toc15396599"/>
      <w:r>
        <w:rPr>
          <w:rFonts w:eastAsia="仿宋"/>
          <w:b/>
          <w:sz w:val="24"/>
        </w:rPr>
        <w:br w:type="page"/>
      </w:r>
    </w:p>
    <w:p w:rsidR="003C5619" w:rsidRDefault="00761F12">
      <w:pPr>
        <w:pStyle w:val="1"/>
        <w:jc w:val="center"/>
        <w:rPr>
          <w:rStyle w:val="1Char"/>
          <w:rFonts w:eastAsia="黑体"/>
          <w:b/>
        </w:rPr>
      </w:pPr>
      <w:r>
        <w:rPr>
          <w:rFonts w:eastAsia="黑体"/>
          <w:b w:val="0"/>
        </w:rPr>
        <w:lastRenderedPageBreak/>
        <w:t>第一部分</w:t>
      </w:r>
      <w:r>
        <w:rPr>
          <w:rFonts w:eastAsia="黑体"/>
          <w:b w:val="0"/>
        </w:rPr>
        <w:t xml:space="preserve"> </w:t>
      </w:r>
      <w:r>
        <w:rPr>
          <w:rFonts w:eastAsia="黑体"/>
          <w:b w:val="0"/>
        </w:rPr>
        <w:t>单位</w:t>
      </w:r>
      <w:r>
        <w:rPr>
          <w:rStyle w:val="1Char"/>
          <w:rFonts w:eastAsia="黑体"/>
        </w:rPr>
        <w:t>概况</w:t>
      </w:r>
      <w:bookmarkEnd w:id="13"/>
      <w:bookmarkEnd w:id="14"/>
    </w:p>
    <w:p w:rsidR="003C5619" w:rsidRDefault="003C5619">
      <w:pPr>
        <w:widowControl/>
        <w:jc w:val="left"/>
        <w:rPr>
          <w:rFonts w:eastAsia="黑体"/>
          <w:sz w:val="32"/>
          <w:szCs w:val="32"/>
        </w:rPr>
      </w:pPr>
    </w:p>
    <w:p w:rsidR="003C5619" w:rsidRDefault="00761F12">
      <w:pPr>
        <w:pStyle w:val="2"/>
        <w:numPr>
          <w:ilvl w:val="0"/>
          <w:numId w:val="1"/>
        </w:numPr>
        <w:spacing w:line="415" w:lineRule="auto"/>
        <w:ind w:firstLineChars="200" w:firstLine="640"/>
        <w:rPr>
          <w:rStyle w:val="2Char"/>
          <w:rFonts w:ascii="Times New Roman" w:eastAsia="黑体" w:hAnsi="Times New Roman" w:cs="Times New Roman"/>
        </w:rPr>
      </w:pPr>
      <w:bookmarkStart w:id="15" w:name="_Toc15396600"/>
      <w:bookmarkStart w:id="16" w:name="_Toc15377197"/>
      <w:r>
        <w:rPr>
          <w:rStyle w:val="2Char"/>
          <w:rFonts w:ascii="Times New Roman" w:eastAsia="黑体" w:hAnsi="Times New Roman" w:cs="Times New Roman"/>
        </w:rPr>
        <w:t>职能简介</w:t>
      </w:r>
    </w:p>
    <w:p w:rsidR="003C5619" w:rsidRPr="008651BC" w:rsidRDefault="00761F12" w:rsidP="008651BC">
      <w:pPr>
        <w:spacing w:line="560" w:lineRule="exact"/>
        <w:ind w:firstLineChars="200" w:firstLine="640"/>
        <w:rPr>
          <w:rFonts w:ascii="仿宋_GB2312" w:eastAsia="仿宋_GB2312" w:hint="eastAsia"/>
          <w:sz w:val="32"/>
          <w:szCs w:val="40"/>
        </w:rPr>
      </w:pPr>
      <w:r w:rsidRPr="008651BC">
        <w:rPr>
          <w:rFonts w:ascii="仿宋_GB2312" w:eastAsia="仿宋_GB2312" w:hint="eastAsia"/>
          <w:sz w:val="32"/>
          <w:szCs w:val="40"/>
        </w:rPr>
        <w:t>盐边县红格镇中心学校是经盐边</w:t>
      </w:r>
      <w:proofErr w:type="gramStart"/>
      <w:r w:rsidRPr="008651BC">
        <w:rPr>
          <w:rFonts w:ascii="仿宋_GB2312" w:eastAsia="仿宋_GB2312" w:hint="eastAsia"/>
          <w:sz w:val="32"/>
          <w:szCs w:val="40"/>
        </w:rPr>
        <w:t>县机构</w:t>
      </w:r>
      <w:proofErr w:type="gramEnd"/>
      <w:r w:rsidRPr="008651BC">
        <w:rPr>
          <w:rFonts w:ascii="仿宋_GB2312" w:eastAsia="仿宋_GB2312" w:hint="eastAsia"/>
          <w:sz w:val="32"/>
          <w:szCs w:val="40"/>
        </w:rPr>
        <w:t>编制委员会批准成立的独立法人机构，是经费独立核算事业单位。在盐边县教育和体育局领导下的一所城乡居民儿童共享的小学校。实施小学义务教育，小学学历教育，是学校的主要工作职能。</w:t>
      </w:r>
    </w:p>
    <w:p w:rsidR="003C5619" w:rsidRPr="008651BC" w:rsidRDefault="00761F12" w:rsidP="008651BC">
      <w:pPr>
        <w:spacing w:line="560" w:lineRule="exact"/>
        <w:rPr>
          <w:rFonts w:ascii="仿宋_GB2312" w:eastAsia="仿宋_GB2312" w:hint="eastAsia"/>
          <w:sz w:val="32"/>
          <w:szCs w:val="40"/>
        </w:rPr>
      </w:pPr>
      <w:r w:rsidRPr="008651BC">
        <w:rPr>
          <w:rFonts w:ascii="仿宋_GB2312" w:eastAsia="仿宋_GB2312" w:hint="eastAsia"/>
          <w:sz w:val="32"/>
          <w:szCs w:val="40"/>
        </w:rPr>
        <w:t xml:space="preserve">    1.研究拟定盐边县红格镇中心学校教育发展战略，贯彻执行党和国家的教育方针、政策、法规。</w:t>
      </w:r>
    </w:p>
    <w:p w:rsidR="003C5619" w:rsidRPr="008651BC" w:rsidRDefault="00761F12" w:rsidP="008651BC">
      <w:pPr>
        <w:spacing w:line="560" w:lineRule="exact"/>
        <w:ind w:firstLineChars="200" w:firstLine="640"/>
        <w:rPr>
          <w:rFonts w:ascii="仿宋_GB2312" w:eastAsia="仿宋_GB2312" w:hint="eastAsia"/>
          <w:sz w:val="32"/>
          <w:szCs w:val="40"/>
        </w:rPr>
      </w:pPr>
      <w:r w:rsidRPr="008651BC">
        <w:rPr>
          <w:rFonts w:ascii="仿宋_GB2312" w:eastAsia="仿宋_GB2312" w:hint="eastAsia"/>
          <w:sz w:val="32"/>
          <w:szCs w:val="40"/>
        </w:rPr>
        <w:t>2.研究拟定盐边县红格镇中心学校发展规划和年度计划，组织实施教育体制和办学体制改革。</w:t>
      </w:r>
    </w:p>
    <w:p w:rsidR="003C5619" w:rsidRPr="008651BC" w:rsidRDefault="00761F12" w:rsidP="008651BC">
      <w:pPr>
        <w:spacing w:line="560" w:lineRule="exact"/>
        <w:ind w:firstLineChars="200" w:firstLine="640"/>
        <w:rPr>
          <w:rFonts w:ascii="仿宋_GB2312" w:eastAsia="仿宋_GB2312" w:hint="eastAsia"/>
          <w:sz w:val="32"/>
          <w:szCs w:val="40"/>
        </w:rPr>
      </w:pPr>
      <w:r w:rsidRPr="008651BC">
        <w:rPr>
          <w:rFonts w:ascii="仿宋_GB2312" w:eastAsia="仿宋_GB2312" w:hint="eastAsia"/>
          <w:sz w:val="32"/>
          <w:szCs w:val="40"/>
        </w:rPr>
        <w:t>3.管理和指导学校基础教育工作，确保盐边县红格镇辖区普及九年义务教育工作成果。</w:t>
      </w:r>
    </w:p>
    <w:p w:rsidR="003C5619" w:rsidRPr="008651BC" w:rsidRDefault="00761F12" w:rsidP="008651BC">
      <w:pPr>
        <w:spacing w:line="560" w:lineRule="exact"/>
        <w:ind w:firstLineChars="200" w:firstLine="640"/>
        <w:rPr>
          <w:rFonts w:ascii="仿宋_GB2312" w:eastAsia="仿宋_GB2312" w:hint="eastAsia"/>
          <w:sz w:val="32"/>
          <w:szCs w:val="40"/>
        </w:rPr>
      </w:pPr>
      <w:r w:rsidRPr="008651BC">
        <w:rPr>
          <w:rFonts w:ascii="仿宋_GB2312" w:eastAsia="仿宋_GB2312" w:hint="eastAsia"/>
          <w:sz w:val="32"/>
          <w:szCs w:val="40"/>
        </w:rPr>
        <w:t>4.管理学校教育经费，执行财务制度。</w:t>
      </w:r>
    </w:p>
    <w:p w:rsidR="003C5619" w:rsidRPr="008651BC" w:rsidRDefault="00761F12" w:rsidP="008651BC">
      <w:pPr>
        <w:spacing w:line="560" w:lineRule="exact"/>
        <w:ind w:firstLineChars="200" w:firstLine="640"/>
        <w:rPr>
          <w:rFonts w:ascii="仿宋_GB2312" w:eastAsia="仿宋_GB2312" w:hint="eastAsia"/>
          <w:sz w:val="32"/>
          <w:szCs w:val="40"/>
        </w:rPr>
      </w:pPr>
      <w:r w:rsidRPr="008651BC">
        <w:rPr>
          <w:rFonts w:ascii="仿宋_GB2312" w:eastAsia="仿宋_GB2312" w:hint="eastAsia"/>
          <w:sz w:val="32"/>
          <w:szCs w:val="40"/>
        </w:rPr>
        <w:t>5.负责和指导学校职工的思想政治工作，规划学校品德教育、安全教育、艺体教育、卫生教育、科技教育、家庭教育和国防教育；负责做好社会治安综合治理及安全保卫工作。</w:t>
      </w:r>
    </w:p>
    <w:p w:rsidR="003C5619" w:rsidRPr="008651BC" w:rsidRDefault="00761F12" w:rsidP="008651BC">
      <w:pPr>
        <w:spacing w:line="560" w:lineRule="exact"/>
        <w:ind w:firstLineChars="200" w:firstLine="640"/>
        <w:rPr>
          <w:rFonts w:ascii="仿宋_GB2312" w:eastAsia="仿宋_GB2312" w:hint="eastAsia"/>
          <w:sz w:val="32"/>
          <w:szCs w:val="40"/>
        </w:rPr>
      </w:pPr>
      <w:r w:rsidRPr="008651BC">
        <w:rPr>
          <w:rFonts w:ascii="仿宋_GB2312" w:eastAsia="仿宋_GB2312" w:hint="eastAsia"/>
          <w:sz w:val="32"/>
          <w:szCs w:val="40"/>
        </w:rPr>
        <w:t>6.全面负责盐边县红格镇中心学校在校儿童素质教育及小学学历教育。</w:t>
      </w:r>
    </w:p>
    <w:p w:rsidR="003C5619" w:rsidRDefault="00761F12">
      <w:pPr>
        <w:pStyle w:val="2"/>
        <w:spacing w:line="415" w:lineRule="auto"/>
        <w:ind w:firstLineChars="200" w:firstLine="640"/>
        <w:rPr>
          <w:rFonts w:ascii="Times New Roman" w:eastAsia="黑体" w:hAnsi="Times New Roman" w:cs="Times New Roman"/>
          <w:b w:val="0"/>
        </w:rPr>
      </w:pPr>
      <w:r>
        <w:rPr>
          <w:rFonts w:ascii="Times New Roman" w:eastAsia="黑体" w:hAnsi="Times New Roman" w:cs="Times New Roman"/>
          <w:b w:val="0"/>
        </w:rPr>
        <w:t>二、</w:t>
      </w:r>
      <w:r>
        <w:rPr>
          <w:rFonts w:ascii="Times New Roman" w:eastAsia="黑体" w:hAnsi="Times New Roman" w:cs="Times New Roman"/>
          <w:b w:val="0"/>
        </w:rPr>
        <w:t>2021</w:t>
      </w:r>
      <w:r>
        <w:rPr>
          <w:rFonts w:ascii="Times New Roman" w:eastAsia="黑体" w:hAnsi="Times New Roman" w:cs="Times New Roman"/>
          <w:b w:val="0"/>
        </w:rPr>
        <w:t>年重点工作</w:t>
      </w:r>
      <w:bookmarkEnd w:id="15"/>
      <w:bookmarkEnd w:id="16"/>
      <w:r>
        <w:rPr>
          <w:rFonts w:ascii="Times New Roman" w:eastAsia="黑体" w:hAnsi="Times New Roman" w:cs="Times New Roman"/>
          <w:b w:val="0"/>
        </w:rPr>
        <w:t>完成情况</w:t>
      </w:r>
    </w:p>
    <w:p w:rsidR="003C5619" w:rsidRDefault="00761F12">
      <w:pPr>
        <w:ind w:firstLineChars="200" w:firstLine="640"/>
        <w:rPr>
          <w:rFonts w:eastAsia="仿宋_GB2312"/>
          <w:sz w:val="32"/>
          <w:szCs w:val="32"/>
        </w:rPr>
      </w:pPr>
      <w:r>
        <w:rPr>
          <w:rFonts w:eastAsia="楷体_GB2312"/>
          <w:sz w:val="32"/>
          <w:szCs w:val="32"/>
        </w:rPr>
        <w:t>（一）细化常规管理，确保工作稳步发展</w:t>
      </w:r>
      <w:r w:rsidR="008651BC">
        <w:rPr>
          <w:rFonts w:eastAsia="楷体_GB2312"/>
          <w:sz w:val="32"/>
          <w:szCs w:val="32"/>
        </w:rPr>
        <w:t>。</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lastRenderedPageBreak/>
        <w:t>1.确立管理就是服务、管理就是示范的理念，努力追求管理以人为本、为师生发展服务的境界。</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2.抓好学校制度建设，拟定较完善的管理制度，使之各项工作制度化、规范化。</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3.做好学校的常规管理，抓好学校各部门计划的制订、实施、检查与总结工作。</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4.以国家实施的绩效工资为契机，调动教师工作积极性，使教师优绩优酬，多劳多得。</w:t>
      </w:r>
    </w:p>
    <w:p w:rsidR="003C5619" w:rsidRDefault="00761F12">
      <w:pPr>
        <w:ind w:firstLineChars="200" w:firstLine="640"/>
        <w:rPr>
          <w:rFonts w:eastAsia="楷体_GB2312"/>
          <w:sz w:val="32"/>
          <w:szCs w:val="32"/>
        </w:rPr>
      </w:pPr>
      <w:r>
        <w:rPr>
          <w:rFonts w:eastAsia="楷体_GB2312"/>
          <w:sz w:val="32"/>
          <w:szCs w:val="32"/>
        </w:rPr>
        <w:t>（二）注重学校队伍建设，树立良好教育形象</w:t>
      </w:r>
      <w:r w:rsidR="008651BC">
        <w:rPr>
          <w:rFonts w:eastAsia="楷体_GB2312"/>
          <w:sz w:val="32"/>
          <w:szCs w:val="32"/>
        </w:rPr>
        <w:t>。</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1.抓干部队伍建设</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2.抓教师队伍建设</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（1）加强师德建设。</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（2）加强教师教育和业务理论学习。</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（3）骨干教师要勇于改革，努力探索新颖高效的教学新模式、新方法，勤于总结，积极参加各级各类评比大赛，按考核要求认真完成各项任务，充分发挥骨干的作用。</w:t>
      </w:r>
    </w:p>
    <w:p w:rsidR="003C5619" w:rsidRPr="008651BC" w:rsidRDefault="00761F12" w:rsidP="008651BC">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（4）加强班主任培训工作。</w:t>
      </w:r>
    </w:p>
    <w:p w:rsidR="003C5619" w:rsidRDefault="00761F12">
      <w:pPr>
        <w:ind w:firstLineChars="200" w:firstLine="640"/>
        <w:rPr>
          <w:rFonts w:eastAsia="楷体_GB2312"/>
          <w:sz w:val="32"/>
          <w:szCs w:val="32"/>
        </w:rPr>
      </w:pPr>
      <w:r>
        <w:rPr>
          <w:rFonts w:eastAsia="楷体_GB2312"/>
          <w:sz w:val="32"/>
          <w:szCs w:val="32"/>
        </w:rPr>
        <w:t>（三）抓好德育工作，培养良好习惯</w:t>
      </w:r>
      <w:r w:rsidR="008651BC">
        <w:rPr>
          <w:rFonts w:eastAsia="楷体_GB2312"/>
          <w:sz w:val="32"/>
          <w:szCs w:val="32"/>
        </w:rPr>
        <w:t>。</w:t>
      </w:r>
    </w:p>
    <w:p w:rsidR="003C5619" w:rsidRPr="008651BC" w:rsidRDefault="00761F12" w:rsidP="008651BC">
      <w:pPr>
        <w:spacing w:line="560" w:lineRule="exact"/>
        <w:ind w:firstLineChars="200" w:firstLine="643"/>
        <w:rPr>
          <w:rFonts w:ascii="仿宋_GB2312" w:eastAsia="仿宋_GB2312" w:hint="eastAsia"/>
          <w:sz w:val="32"/>
          <w:szCs w:val="32"/>
        </w:rPr>
      </w:pPr>
      <w:r w:rsidRPr="008651BC">
        <w:rPr>
          <w:rFonts w:ascii="仿宋_GB2312" w:eastAsia="仿宋_GB2312" w:hint="eastAsia"/>
          <w:b/>
          <w:sz w:val="32"/>
          <w:szCs w:val="32"/>
        </w:rPr>
        <w:t>1.在学校工作中，我们牢固树立“德育无小事、事事皆育人”的理念，</w:t>
      </w:r>
      <w:r w:rsidRPr="008651BC">
        <w:rPr>
          <w:rFonts w:ascii="仿宋_GB2312" w:eastAsia="仿宋_GB2312" w:hint="eastAsia"/>
          <w:sz w:val="32"/>
          <w:szCs w:val="32"/>
        </w:rPr>
        <w:t>让德育渗透到学校的每一个角落、每一面墙壁，让每一个角落都在闪光，让每一面墙壁都能育人。</w:t>
      </w:r>
    </w:p>
    <w:p w:rsidR="003C5619" w:rsidRPr="008651BC" w:rsidRDefault="00761F12" w:rsidP="008651BC">
      <w:pPr>
        <w:spacing w:line="560" w:lineRule="exact"/>
        <w:ind w:firstLineChars="200" w:firstLine="643"/>
        <w:rPr>
          <w:rFonts w:ascii="仿宋_GB2312" w:eastAsia="仿宋_GB2312" w:hint="eastAsia"/>
          <w:sz w:val="32"/>
          <w:szCs w:val="32"/>
        </w:rPr>
      </w:pPr>
      <w:r w:rsidRPr="008651BC">
        <w:rPr>
          <w:rFonts w:ascii="仿宋_GB2312" w:eastAsia="仿宋_GB2312" w:hint="eastAsia"/>
          <w:b/>
          <w:sz w:val="32"/>
          <w:szCs w:val="32"/>
        </w:rPr>
        <w:t>2.在学校德育工作中以学生行为规范养成教育为重点</w:t>
      </w:r>
      <w:r w:rsidRPr="008651BC">
        <w:rPr>
          <w:rFonts w:ascii="仿宋_GB2312" w:eastAsia="仿宋_GB2312" w:hint="eastAsia"/>
          <w:sz w:val="32"/>
          <w:szCs w:val="32"/>
        </w:rPr>
        <w:t>，积极把学校的健康教育、食品卫生安全教育、传染病预防教育、生命教育、交通安全教育、禁毒教育、诚信教育、责任</w:t>
      </w:r>
      <w:r w:rsidRPr="008651BC">
        <w:rPr>
          <w:rFonts w:ascii="仿宋_GB2312" w:eastAsia="仿宋_GB2312" w:hint="eastAsia"/>
          <w:sz w:val="32"/>
          <w:szCs w:val="32"/>
        </w:rPr>
        <w:lastRenderedPageBreak/>
        <w:t>感教育等纳入教育的日常工作中，班主任在班务工作手册中要建好学生档案，各班认真办好黑板报，并做好登记备查，塑造学生良好的人格素养。</w:t>
      </w:r>
    </w:p>
    <w:p w:rsidR="003C5619" w:rsidRPr="008651BC" w:rsidRDefault="00761F12" w:rsidP="008651BC">
      <w:pPr>
        <w:spacing w:line="560" w:lineRule="exact"/>
        <w:ind w:firstLineChars="200" w:firstLine="643"/>
        <w:rPr>
          <w:rFonts w:ascii="仿宋_GB2312" w:eastAsia="仿宋_GB2312" w:hint="eastAsia"/>
          <w:sz w:val="32"/>
          <w:szCs w:val="32"/>
        </w:rPr>
      </w:pPr>
      <w:r w:rsidRPr="008651BC">
        <w:rPr>
          <w:rFonts w:ascii="仿宋_GB2312" w:eastAsia="仿宋_GB2312" w:hint="eastAsia"/>
          <w:b/>
          <w:sz w:val="32"/>
          <w:szCs w:val="32"/>
        </w:rPr>
        <w:t>3.加强学生心理健康教育，预防学生心理和行为问题，教师备好健康教育课教案，认真上好健康教育课。</w:t>
      </w:r>
      <w:r w:rsidRPr="008651BC">
        <w:rPr>
          <w:rFonts w:ascii="仿宋_GB2312" w:eastAsia="仿宋_GB2312" w:hint="eastAsia"/>
          <w:sz w:val="32"/>
          <w:szCs w:val="32"/>
        </w:rPr>
        <w:t>各学科教师利用学科教学时间和班主任利用班会课要随时加强对学生的心理疏导和教育。</w:t>
      </w:r>
    </w:p>
    <w:p w:rsidR="003C5619" w:rsidRPr="008651BC" w:rsidRDefault="00761F12" w:rsidP="008651BC">
      <w:pPr>
        <w:spacing w:line="560" w:lineRule="exact"/>
        <w:ind w:firstLineChars="200" w:firstLine="643"/>
        <w:rPr>
          <w:rFonts w:ascii="仿宋_GB2312" w:eastAsia="仿宋_GB2312" w:hint="eastAsia"/>
          <w:sz w:val="32"/>
          <w:szCs w:val="32"/>
        </w:rPr>
      </w:pPr>
      <w:r w:rsidRPr="008651BC">
        <w:rPr>
          <w:rFonts w:ascii="仿宋_GB2312" w:eastAsia="仿宋_GB2312" w:hint="eastAsia"/>
          <w:b/>
          <w:sz w:val="32"/>
          <w:szCs w:val="32"/>
        </w:rPr>
        <w:t>4.开展丰富多彩的德育教育活动。</w:t>
      </w:r>
      <w:r w:rsidRPr="008651BC">
        <w:rPr>
          <w:rFonts w:ascii="仿宋_GB2312" w:eastAsia="仿宋_GB2312" w:hint="eastAsia"/>
          <w:sz w:val="32"/>
          <w:szCs w:val="32"/>
        </w:rPr>
        <w:t>结合节假日开展各项庆祝活动，以少先队为笼头，以班主任和辅导员为骨干，共同搞好素质教育。</w:t>
      </w:r>
    </w:p>
    <w:p w:rsidR="003C5619" w:rsidRPr="008651BC" w:rsidRDefault="00761F12" w:rsidP="008651BC">
      <w:pPr>
        <w:spacing w:line="560" w:lineRule="exact"/>
        <w:ind w:firstLineChars="200" w:firstLine="643"/>
        <w:rPr>
          <w:rFonts w:ascii="仿宋_GB2312" w:eastAsia="仿宋_GB2312" w:hint="eastAsia"/>
          <w:b/>
          <w:sz w:val="32"/>
          <w:szCs w:val="32"/>
        </w:rPr>
      </w:pPr>
      <w:r w:rsidRPr="008651BC">
        <w:rPr>
          <w:rFonts w:ascii="仿宋_GB2312" w:eastAsia="仿宋_GB2312" w:hint="eastAsia"/>
          <w:b/>
          <w:sz w:val="32"/>
          <w:szCs w:val="32"/>
        </w:rPr>
        <w:t>5.“六一”节各学校进行文艺表演，并表彰优秀班级和优秀学生。</w:t>
      </w:r>
    </w:p>
    <w:p w:rsidR="003C5619" w:rsidRDefault="00761F12">
      <w:pPr>
        <w:ind w:firstLineChars="200" w:firstLine="640"/>
        <w:rPr>
          <w:rFonts w:eastAsia="楷体_GB2312"/>
          <w:sz w:val="32"/>
          <w:szCs w:val="32"/>
        </w:rPr>
      </w:pPr>
      <w:r>
        <w:rPr>
          <w:rFonts w:eastAsia="楷体_GB2312"/>
          <w:sz w:val="32"/>
          <w:szCs w:val="32"/>
        </w:rPr>
        <w:t>（四）深化素质教育，全面提高教学质量</w:t>
      </w:r>
      <w:r w:rsidR="008651BC">
        <w:rPr>
          <w:rFonts w:eastAsia="楷体_GB2312"/>
          <w:sz w:val="32"/>
          <w:szCs w:val="32"/>
        </w:rPr>
        <w:t>。</w:t>
      </w:r>
    </w:p>
    <w:p w:rsidR="003C5619" w:rsidRPr="008651BC" w:rsidRDefault="00761F12" w:rsidP="008651BC">
      <w:pPr>
        <w:spacing w:line="560" w:lineRule="exact"/>
        <w:ind w:firstLineChars="200" w:firstLine="643"/>
        <w:rPr>
          <w:rFonts w:ascii="仿宋_GB2312" w:eastAsia="仿宋_GB2312" w:hint="eastAsia"/>
          <w:b/>
          <w:sz w:val="32"/>
          <w:szCs w:val="32"/>
        </w:rPr>
      </w:pPr>
      <w:r w:rsidRPr="008651BC">
        <w:rPr>
          <w:rFonts w:ascii="仿宋_GB2312" w:eastAsia="仿宋_GB2312" w:hint="eastAsia"/>
          <w:b/>
          <w:sz w:val="32"/>
          <w:szCs w:val="32"/>
        </w:rPr>
        <w:t>1.狠抓教育常规，以管理促质量。</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2.加大教学</w:t>
      </w:r>
      <w:r w:rsidRPr="008651BC">
        <w:rPr>
          <w:rFonts w:ascii="仿宋_GB2312" w:eastAsia="仿宋_GB2312"/>
          <w:b/>
          <w:sz w:val="32"/>
          <w:szCs w:val="32"/>
        </w:rPr>
        <w:t>“</w:t>
      </w:r>
      <w:r w:rsidRPr="008651BC">
        <w:rPr>
          <w:rFonts w:ascii="仿宋_GB2312" w:eastAsia="仿宋_GB2312"/>
          <w:b/>
          <w:sz w:val="32"/>
          <w:szCs w:val="32"/>
        </w:rPr>
        <w:t>七认真</w:t>
      </w:r>
      <w:r w:rsidRPr="008651BC">
        <w:rPr>
          <w:rFonts w:ascii="仿宋_GB2312" w:eastAsia="仿宋_GB2312"/>
          <w:b/>
          <w:sz w:val="32"/>
          <w:szCs w:val="32"/>
        </w:rPr>
        <w:t>”</w:t>
      </w:r>
      <w:r w:rsidRPr="008651BC">
        <w:rPr>
          <w:rFonts w:ascii="仿宋_GB2312" w:eastAsia="仿宋_GB2312"/>
          <w:b/>
          <w:sz w:val="32"/>
          <w:szCs w:val="32"/>
        </w:rPr>
        <w:t>检查力度，严格教学考核制度，完善奖励办法。</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3.抓好毕业班教学质量。</w:t>
      </w:r>
    </w:p>
    <w:p w:rsidR="003C5619" w:rsidRDefault="00761F12">
      <w:pPr>
        <w:ind w:firstLineChars="200" w:firstLine="640"/>
        <w:rPr>
          <w:rFonts w:eastAsia="楷体_GB2312"/>
          <w:sz w:val="32"/>
          <w:szCs w:val="32"/>
        </w:rPr>
      </w:pPr>
      <w:r>
        <w:rPr>
          <w:rFonts w:eastAsia="楷体_GB2312"/>
          <w:sz w:val="32"/>
          <w:szCs w:val="32"/>
        </w:rPr>
        <w:t>（五）加强教研工作，扎实推进课程改革科研兴校，认真搞好校本教研，解决我校实际问题。</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1.教研组长根据我校实际制定教研计划，并开展好教研活动。</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2.教研形式多样。</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3.认真实施课题研究。</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4.人人参与课题研究。</w:t>
      </w:r>
    </w:p>
    <w:p w:rsidR="003C5619" w:rsidRDefault="00761F12">
      <w:pPr>
        <w:ind w:firstLineChars="200" w:firstLine="640"/>
        <w:rPr>
          <w:rFonts w:eastAsia="楷体_GB2312"/>
          <w:sz w:val="32"/>
          <w:szCs w:val="32"/>
        </w:rPr>
      </w:pPr>
      <w:r>
        <w:rPr>
          <w:rFonts w:eastAsia="楷体_GB2312"/>
          <w:sz w:val="32"/>
          <w:szCs w:val="32"/>
        </w:rPr>
        <w:lastRenderedPageBreak/>
        <w:t>（六）抓好安全稳定工作，构建平安和谐校园</w:t>
      </w:r>
      <w:r w:rsidR="008651BC">
        <w:rPr>
          <w:rFonts w:eastAsia="楷体_GB2312"/>
          <w:sz w:val="32"/>
          <w:szCs w:val="32"/>
        </w:rPr>
        <w:t>。</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1.学校对安全稳定工作明确分工，落实安全管理责任制。</w:t>
      </w:r>
    </w:p>
    <w:p w:rsidR="003C5619" w:rsidRDefault="00761F12" w:rsidP="008651BC">
      <w:pPr>
        <w:spacing w:line="560" w:lineRule="exact"/>
        <w:ind w:firstLineChars="200" w:firstLine="643"/>
        <w:rPr>
          <w:rFonts w:eastAsia="仿宋_GB2312"/>
          <w:sz w:val="32"/>
          <w:szCs w:val="32"/>
        </w:rPr>
      </w:pPr>
      <w:r w:rsidRPr="008651BC">
        <w:rPr>
          <w:rFonts w:ascii="仿宋_GB2312" w:eastAsia="仿宋_GB2312"/>
          <w:b/>
          <w:sz w:val="32"/>
          <w:szCs w:val="32"/>
        </w:rPr>
        <w:t>2.完善学校安全管理机制，健全各项规章制度，</w:t>
      </w:r>
      <w:r>
        <w:rPr>
          <w:rFonts w:eastAsia="仿宋_GB2312"/>
          <w:sz w:val="32"/>
          <w:szCs w:val="32"/>
        </w:rPr>
        <w:t>学校制定出《安全工作方案》《安全工作计划》《安全管理制度》，制定好防险救灾应急预案。</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3.加强学校安全管理工作。</w:t>
      </w:r>
    </w:p>
    <w:p w:rsidR="003C5619" w:rsidRDefault="00761F12">
      <w:pPr>
        <w:ind w:firstLineChars="200" w:firstLine="640"/>
        <w:rPr>
          <w:rFonts w:eastAsia="仿宋_GB2312"/>
          <w:sz w:val="32"/>
          <w:szCs w:val="32"/>
        </w:rPr>
      </w:pPr>
      <w:r>
        <w:rPr>
          <w:rFonts w:eastAsia="楷体_GB2312"/>
          <w:sz w:val="32"/>
          <w:szCs w:val="32"/>
        </w:rPr>
        <w:t>（七）抓好体卫工作，促进学生健康成长</w:t>
      </w:r>
      <w:r w:rsidR="008651BC">
        <w:rPr>
          <w:rFonts w:eastAsia="楷体_GB2312"/>
          <w:sz w:val="32"/>
          <w:szCs w:val="32"/>
        </w:rPr>
        <w:t>。</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1.进一步落实国家课程计划，加强学校体</w:t>
      </w:r>
      <w:proofErr w:type="gramStart"/>
      <w:r w:rsidRPr="008651BC">
        <w:rPr>
          <w:rFonts w:ascii="仿宋_GB2312" w:eastAsia="仿宋_GB2312"/>
          <w:b/>
          <w:sz w:val="32"/>
          <w:szCs w:val="32"/>
        </w:rPr>
        <w:t>卫艺教学</w:t>
      </w:r>
      <w:proofErr w:type="gramEnd"/>
      <w:r w:rsidRPr="008651BC">
        <w:rPr>
          <w:rFonts w:ascii="仿宋_GB2312" w:eastAsia="仿宋_GB2312"/>
          <w:b/>
          <w:sz w:val="32"/>
          <w:szCs w:val="32"/>
        </w:rPr>
        <w:t>工作。</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2.抓好学校卫生防疫和食品卫生安全，建立健全学校传染病疫情监控与处置机制。</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3.抓好学校环境卫生工作。</w:t>
      </w:r>
    </w:p>
    <w:p w:rsidR="003C5619" w:rsidRDefault="00761F12">
      <w:pPr>
        <w:ind w:firstLineChars="200" w:firstLine="640"/>
        <w:rPr>
          <w:rFonts w:eastAsia="楷体_GB2312"/>
          <w:sz w:val="32"/>
          <w:szCs w:val="32"/>
        </w:rPr>
      </w:pPr>
      <w:r>
        <w:rPr>
          <w:rFonts w:eastAsia="楷体_GB2312"/>
          <w:sz w:val="32"/>
          <w:szCs w:val="32"/>
        </w:rPr>
        <w:t>（八）抓好财务管理，做到财务公开</w:t>
      </w:r>
      <w:r w:rsidR="008651BC">
        <w:rPr>
          <w:rFonts w:eastAsia="楷体_GB2312"/>
          <w:sz w:val="32"/>
          <w:szCs w:val="32"/>
        </w:rPr>
        <w:t>。</w:t>
      </w:r>
    </w:p>
    <w:p w:rsidR="003C5619" w:rsidRDefault="00761F12" w:rsidP="008651BC">
      <w:pPr>
        <w:spacing w:line="560" w:lineRule="exact"/>
        <w:ind w:firstLineChars="200" w:firstLine="640"/>
        <w:rPr>
          <w:rFonts w:eastAsia="仿宋_GB2312"/>
          <w:sz w:val="32"/>
          <w:szCs w:val="32"/>
        </w:rPr>
      </w:pPr>
      <w:r>
        <w:rPr>
          <w:rFonts w:eastAsia="仿宋_GB2312"/>
          <w:sz w:val="32"/>
          <w:szCs w:val="32"/>
        </w:rPr>
        <w:t>进一步加强收费管理，建立健全各项财务管理制度。坚决杜绝乱收费，每年定期公开或公示学校收支情况，让教师了解学校财务状况。勤俭办学，使学校有限的资金发挥最大效益。</w:t>
      </w:r>
    </w:p>
    <w:p w:rsidR="003C5619" w:rsidRDefault="00761F12" w:rsidP="0046467B">
      <w:pPr>
        <w:spacing w:line="560" w:lineRule="exact"/>
        <w:ind w:firstLineChars="200" w:firstLine="640"/>
        <w:rPr>
          <w:rFonts w:eastAsia="楷体_GB2312"/>
          <w:sz w:val="32"/>
          <w:szCs w:val="32"/>
        </w:rPr>
      </w:pPr>
      <w:r>
        <w:rPr>
          <w:rFonts w:eastAsia="楷体_GB2312"/>
          <w:sz w:val="32"/>
          <w:szCs w:val="32"/>
        </w:rPr>
        <w:t>（九）加强村小管理工作。落实好学校领导负责村小责任制，加大对村小教师的监管力度，规范教师职业道德，严肃工作纪律，加强村小教学常规与中心校的同步管理。</w:t>
      </w:r>
    </w:p>
    <w:p w:rsidR="003C5619" w:rsidRDefault="00761F12" w:rsidP="0046467B">
      <w:pPr>
        <w:spacing w:line="560" w:lineRule="exact"/>
        <w:ind w:firstLineChars="200" w:firstLine="640"/>
        <w:rPr>
          <w:rFonts w:eastAsia="仿宋_GB2312"/>
          <w:sz w:val="32"/>
          <w:szCs w:val="32"/>
        </w:rPr>
      </w:pPr>
      <w:r>
        <w:rPr>
          <w:rFonts w:eastAsia="楷体_GB2312"/>
          <w:sz w:val="32"/>
          <w:szCs w:val="32"/>
        </w:rPr>
        <w:t>（十）进一步巩固和提高普及义务教育的成果和质量。</w:t>
      </w:r>
    </w:p>
    <w:p w:rsidR="003C5619" w:rsidRDefault="00761F12" w:rsidP="008C002B">
      <w:pPr>
        <w:spacing w:line="560" w:lineRule="exact"/>
        <w:ind w:firstLineChars="200" w:firstLine="643"/>
        <w:rPr>
          <w:rFonts w:eastAsia="仿宋_GB2312"/>
          <w:sz w:val="32"/>
          <w:szCs w:val="32"/>
        </w:rPr>
      </w:pPr>
      <w:r w:rsidRPr="008651BC">
        <w:rPr>
          <w:rFonts w:ascii="仿宋_GB2312" w:eastAsia="仿宋_GB2312"/>
          <w:b/>
          <w:sz w:val="32"/>
          <w:szCs w:val="32"/>
        </w:rPr>
        <w:t>1.坚持把</w:t>
      </w:r>
      <w:r w:rsidRPr="008651BC">
        <w:rPr>
          <w:rFonts w:ascii="仿宋_GB2312" w:eastAsia="仿宋_GB2312"/>
          <w:b/>
          <w:sz w:val="32"/>
          <w:szCs w:val="32"/>
        </w:rPr>
        <w:t>“</w:t>
      </w:r>
      <w:r w:rsidRPr="008651BC">
        <w:rPr>
          <w:rFonts w:ascii="仿宋_GB2312" w:eastAsia="仿宋_GB2312"/>
          <w:b/>
          <w:sz w:val="32"/>
          <w:szCs w:val="32"/>
        </w:rPr>
        <w:t>两基</w:t>
      </w:r>
      <w:r w:rsidRPr="008651BC">
        <w:rPr>
          <w:rFonts w:ascii="仿宋_GB2312" w:eastAsia="仿宋_GB2312"/>
          <w:b/>
          <w:sz w:val="32"/>
          <w:szCs w:val="32"/>
        </w:rPr>
        <w:t>”</w:t>
      </w:r>
      <w:r w:rsidRPr="008651BC">
        <w:rPr>
          <w:rFonts w:ascii="仿宋_GB2312" w:eastAsia="仿宋_GB2312"/>
          <w:b/>
          <w:sz w:val="32"/>
          <w:szCs w:val="32"/>
        </w:rPr>
        <w:t>的巩固提高放在学校工作重中之重的地位不动摇。</w:t>
      </w:r>
      <w:r>
        <w:rPr>
          <w:rFonts w:eastAsia="仿宋_GB2312"/>
          <w:sz w:val="32"/>
          <w:szCs w:val="32"/>
        </w:rPr>
        <w:t>继续抓好义务教育普及程度和教育质量的巩固提高工作，</w:t>
      </w:r>
      <w:r>
        <w:rPr>
          <w:rFonts w:eastAsia="仿宋_GB2312"/>
          <w:sz w:val="32"/>
          <w:szCs w:val="32"/>
        </w:rPr>
        <w:t xml:space="preserve"> </w:t>
      </w:r>
    </w:p>
    <w:p w:rsidR="003C5619" w:rsidRDefault="00761F12" w:rsidP="008C002B">
      <w:pPr>
        <w:spacing w:line="560" w:lineRule="exact"/>
        <w:ind w:firstLineChars="200" w:firstLine="643"/>
        <w:rPr>
          <w:rFonts w:eastAsia="仿宋_GB2312"/>
          <w:sz w:val="32"/>
          <w:szCs w:val="32"/>
        </w:rPr>
      </w:pPr>
      <w:r w:rsidRPr="008651BC">
        <w:rPr>
          <w:rFonts w:ascii="仿宋_GB2312" w:eastAsia="仿宋_GB2312"/>
          <w:b/>
          <w:sz w:val="32"/>
          <w:szCs w:val="32"/>
        </w:rPr>
        <w:t>2.进一步巩固</w:t>
      </w:r>
      <w:r w:rsidRPr="008651BC">
        <w:rPr>
          <w:rFonts w:ascii="仿宋_GB2312" w:eastAsia="仿宋_GB2312"/>
          <w:b/>
          <w:sz w:val="32"/>
          <w:szCs w:val="32"/>
        </w:rPr>
        <w:t>“</w:t>
      </w:r>
      <w:r w:rsidRPr="008651BC">
        <w:rPr>
          <w:rFonts w:ascii="仿宋_GB2312" w:eastAsia="仿宋_GB2312"/>
          <w:b/>
          <w:sz w:val="32"/>
          <w:szCs w:val="32"/>
        </w:rPr>
        <w:t>普九</w:t>
      </w:r>
      <w:r w:rsidRPr="008651BC">
        <w:rPr>
          <w:rFonts w:ascii="仿宋_GB2312" w:eastAsia="仿宋_GB2312"/>
          <w:b/>
          <w:sz w:val="32"/>
          <w:szCs w:val="32"/>
        </w:rPr>
        <w:t>”</w:t>
      </w:r>
      <w:r w:rsidRPr="008651BC">
        <w:rPr>
          <w:rFonts w:ascii="仿宋_GB2312" w:eastAsia="仿宋_GB2312"/>
          <w:b/>
          <w:sz w:val="32"/>
          <w:szCs w:val="32"/>
        </w:rPr>
        <w:t>成果，</w:t>
      </w:r>
      <w:r>
        <w:rPr>
          <w:rFonts w:eastAsia="仿宋_GB2312"/>
          <w:sz w:val="32"/>
          <w:szCs w:val="32"/>
        </w:rPr>
        <w:t>严禁造成学生非正常流动，</w:t>
      </w:r>
      <w:r>
        <w:rPr>
          <w:rFonts w:eastAsia="仿宋_GB2312"/>
          <w:sz w:val="32"/>
          <w:szCs w:val="32"/>
        </w:rPr>
        <w:lastRenderedPageBreak/>
        <w:t>每班巩固率达</w:t>
      </w:r>
      <w:r>
        <w:rPr>
          <w:rFonts w:eastAsia="仿宋_GB2312"/>
          <w:sz w:val="32"/>
          <w:szCs w:val="32"/>
        </w:rPr>
        <w:t>99%</w:t>
      </w:r>
      <w:r>
        <w:rPr>
          <w:rFonts w:eastAsia="仿宋_GB2312"/>
          <w:sz w:val="32"/>
          <w:szCs w:val="32"/>
        </w:rPr>
        <w:t>，期初查入学，期末查巩固，让学生留得住，学得好，家长放心。</w:t>
      </w:r>
    </w:p>
    <w:p w:rsidR="003C5619" w:rsidRDefault="00761F12">
      <w:pPr>
        <w:ind w:firstLineChars="200" w:firstLine="640"/>
        <w:rPr>
          <w:rFonts w:eastAsia="楷体_GB2312"/>
          <w:sz w:val="32"/>
          <w:szCs w:val="32"/>
        </w:rPr>
      </w:pPr>
      <w:r>
        <w:rPr>
          <w:rFonts w:eastAsia="楷体_GB2312"/>
          <w:sz w:val="32"/>
          <w:szCs w:val="32"/>
        </w:rPr>
        <w:t>（十一）其他有关工作</w:t>
      </w:r>
      <w:r w:rsidR="008651BC">
        <w:rPr>
          <w:rFonts w:eastAsia="楷体_GB2312"/>
          <w:sz w:val="32"/>
          <w:szCs w:val="32"/>
        </w:rPr>
        <w:t>。</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1.搞好校园文化建设，营造优美和谐的育人环境。</w:t>
      </w:r>
    </w:p>
    <w:p w:rsidR="003C5619" w:rsidRDefault="00761F12" w:rsidP="008C002B">
      <w:pPr>
        <w:spacing w:line="560" w:lineRule="exact"/>
        <w:ind w:firstLineChars="200" w:firstLine="643"/>
        <w:rPr>
          <w:rFonts w:eastAsia="仿宋_GB2312"/>
          <w:sz w:val="32"/>
          <w:szCs w:val="32"/>
        </w:rPr>
      </w:pPr>
      <w:r w:rsidRPr="008651BC">
        <w:rPr>
          <w:rFonts w:ascii="仿宋_GB2312" w:eastAsia="仿宋_GB2312"/>
          <w:b/>
          <w:sz w:val="32"/>
          <w:szCs w:val="32"/>
        </w:rPr>
        <w:t>2.认真做好学校的后勤工作。</w:t>
      </w:r>
      <w:r>
        <w:rPr>
          <w:rFonts w:eastAsia="仿宋_GB2312"/>
          <w:sz w:val="32"/>
          <w:szCs w:val="32"/>
        </w:rPr>
        <w:t>树立良好的服务意识，努力为师生排忧解难，关注教育教学第一线，走进课堂，理解教学。</w:t>
      </w:r>
    </w:p>
    <w:p w:rsidR="003C5619" w:rsidRDefault="00761F12" w:rsidP="008C002B">
      <w:pPr>
        <w:spacing w:line="560" w:lineRule="exact"/>
        <w:ind w:firstLineChars="200" w:firstLine="643"/>
        <w:rPr>
          <w:rFonts w:eastAsia="仿宋_GB2312"/>
          <w:sz w:val="32"/>
          <w:szCs w:val="32"/>
        </w:rPr>
      </w:pPr>
      <w:r w:rsidRPr="008651BC">
        <w:rPr>
          <w:rFonts w:ascii="仿宋_GB2312" w:eastAsia="仿宋_GB2312"/>
          <w:b/>
          <w:sz w:val="32"/>
          <w:szCs w:val="32"/>
        </w:rPr>
        <w:t>3.加强住校生管理。</w:t>
      </w:r>
      <w:proofErr w:type="gramStart"/>
      <w:r>
        <w:rPr>
          <w:rFonts w:eastAsia="仿宋_GB2312"/>
          <w:sz w:val="32"/>
          <w:szCs w:val="32"/>
        </w:rPr>
        <w:t>宿管员</w:t>
      </w:r>
      <w:proofErr w:type="gramEnd"/>
      <w:r>
        <w:rPr>
          <w:rFonts w:eastAsia="仿宋_GB2312"/>
          <w:sz w:val="32"/>
          <w:szCs w:val="32"/>
        </w:rPr>
        <w:t>认真履行职责，做好学生就寝情况的登记。</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4.积极做好工会工作，关心教师冷暖，定期开展活动，丰富教师生活，积极为教师服务。</w:t>
      </w:r>
    </w:p>
    <w:p w:rsidR="003C5619" w:rsidRDefault="00761F12" w:rsidP="008651BC">
      <w:pPr>
        <w:spacing w:line="560" w:lineRule="exact"/>
        <w:ind w:firstLineChars="200" w:firstLine="643"/>
        <w:rPr>
          <w:rFonts w:eastAsia="仿宋_GB2312"/>
          <w:sz w:val="32"/>
          <w:szCs w:val="32"/>
        </w:rPr>
      </w:pPr>
      <w:r w:rsidRPr="008651BC">
        <w:rPr>
          <w:rFonts w:ascii="仿宋_GB2312" w:eastAsia="仿宋_GB2312"/>
          <w:b/>
          <w:sz w:val="32"/>
          <w:szCs w:val="32"/>
        </w:rPr>
        <w:t>5.加强学籍管理，规范学籍变更手续，</w:t>
      </w:r>
      <w:r>
        <w:rPr>
          <w:rFonts w:eastAsia="仿宋_GB2312"/>
          <w:sz w:val="32"/>
          <w:szCs w:val="32"/>
        </w:rPr>
        <w:t>进一步</w:t>
      </w:r>
      <w:proofErr w:type="gramStart"/>
      <w:r>
        <w:rPr>
          <w:rFonts w:eastAsia="仿宋_GB2312"/>
          <w:sz w:val="32"/>
          <w:szCs w:val="32"/>
        </w:rPr>
        <w:t>完善普九软件</w:t>
      </w:r>
      <w:proofErr w:type="gramEnd"/>
      <w:r>
        <w:rPr>
          <w:rFonts w:eastAsia="仿宋_GB2312"/>
          <w:sz w:val="32"/>
          <w:szCs w:val="32"/>
        </w:rPr>
        <w:t>的管理，做好学生电子学籍的建立、变更、备份及上报工作，填写各类表册做到规范、准确，资料专柜保管，专人负责迎接上级检查验收。</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6.落实</w:t>
      </w:r>
      <w:r w:rsidRPr="008651BC">
        <w:rPr>
          <w:rFonts w:ascii="仿宋_GB2312" w:eastAsia="仿宋_GB2312"/>
          <w:b/>
          <w:sz w:val="32"/>
          <w:szCs w:val="32"/>
        </w:rPr>
        <w:t>“</w:t>
      </w:r>
      <w:r w:rsidRPr="008651BC">
        <w:rPr>
          <w:rFonts w:ascii="仿宋_GB2312" w:eastAsia="仿宋_GB2312"/>
          <w:b/>
          <w:sz w:val="32"/>
          <w:szCs w:val="32"/>
        </w:rPr>
        <w:t>两免一补</w:t>
      </w:r>
      <w:r w:rsidRPr="008651BC">
        <w:rPr>
          <w:rFonts w:ascii="仿宋_GB2312" w:eastAsia="仿宋_GB2312"/>
          <w:b/>
          <w:sz w:val="32"/>
          <w:szCs w:val="32"/>
        </w:rPr>
        <w:t>”</w:t>
      </w:r>
      <w:r w:rsidRPr="008651BC">
        <w:rPr>
          <w:rFonts w:ascii="仿宋_GB2312" w:eastAsia="仿宋_GB2312"/>
          <w:b/>
          <w:sz w:val="32"/>
          <w:szCs w:val="32"/>
        </w:rPr>
        <w:t>政策，搞好寄宿学生中贫困学生的生活补助及肉食补助。</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7.充分做好各项工作，迎接一年一度的教育督导检查工作。</w:t>
      </w:r>
    </w:p>
    <w:p w:rsidR="003C5619" w:rsidRPr="008651BC" w:rsidRDefault="00761F12" w:rsidP="008651BC">
      <w:pPr>
        <w:spacing w:line="560" w:lineRule="exact"/>
        <w:ind w:firstLineChars="200" w:firstLine="643"/>
        <w:rPr>
          <w:rFonts w:ascii="仿宋_GB2312" w:eastAsia="仿宋_GB2312"/>
          <w:b/>
          <w:sz w:val="32"/>
          <w:szCs w:val="32"/>
        </w:rPr>
      </w:pPr>
      <w:r w:rsidRPr="008651BC">
        <w:rPr>
          <w:rFonts w:ascii="仿宋_GB2312" w:eastAsia="仿宋_GB2312"/>
          <w:b/>
          <w:sz w:val="32"/>
          <w:szCs w:val="32"/>
        </w:rPr>
        <w:t>8.积极配合上级部门做好临时性的工作。</w:t>
      </w:r>
    </w:p>
    <w:p w:rsidR="003C5619" w:rsidRDefault="00761F12">
      <w:pPr>
        <w:pStyle w:val="a9"/>
        <w:spacing w:line="600" w:lineRule="exact"/>
        <w:ind w:left="640" w:firstLineChars="0" w:firstLine="0"/>
        <w:outlineLvl w:val="1"/>
        <w:rPr>
          <w:rStyle w:val="2Char"/>
          <w:rFonts w:ascii="Times New Roman" w:eastAsia="黑体" w:hAnsi="Times New Roman" w:cs="Times New Roman"/>
          <w:b w:val="0"/>
        </w:rPr>
      </w:pPr>
      <w:r>
        <w:rPr>
          <w:rStyle w:val="2Char"/>
          <w:rFonts w:ascii="Times New Roman" w:eastAsia="黑体" w:hAnsi="Times New Roman" w:cs="Times New Roman" w:hint="eastAsia"/>
          <w:b w:val="0"/>
        </w:rPr>
        <w:t>三、机构设置情况</w:t>
      </w:r>
    </w:p>
    <w:p w:rsidR="003C5619" w:rsidRDefault="00761F12" w:rsidP="008C002B">
      <w:pPr>
        <w:pStyle w:val="a9"/>
        <w:spacing w:line="560" w:lineRule="exact"/>
        <w:ind w:firstLine="640"/>
        <w:rPr>
          <w:rStyle w:val="2Char"/>
          <w:rFonts w:ascii="仿宋_GB2312" w:eastAsia="仿宋_GB2312" w:hAnsi="仿宋_GB2312" w:cs="仿宋_GB2312"/>
          <w:b w:val="0"/>
        </w:rPr>
      </w:pPr>
      <w:r>
        <w:rPr>
          <w:rStyle w:val="2Char"/>
          <w:rFonts w:ascii="仿宋_GB2312" w:eastAsia="仿宋_GB2312" w:hAnsi="仿宋_GB2312" w:cs="仿宋_GB2312" w:hint="eastAsia"/>
          <w:b w:val="0"/>
        </w:rPr>
        <w:t>盐边县红格镇中心学校是盐边县教育和体育局下属独立核算事业单位1个，公益一类事业单位。</w:t>
      </w:r>
    </w:p>
    <w:p w:rsidR="003C5619" w:rsidRDefault="003C5619">
      <w:pPr>
        <w:pStyle w:val="a9"/>
        <w:spacing w:line="600" w:lineRule="exact"/>
        <w:ind w:firstLine="640"/>
        <w:outlineLvl w:val="1"/>
        <w:rPr>
          <w:rStyle w:val="2Char"/>
          <w:rFonts w:ascii="仿宋_GB2312" w:eastAsia="仿宋_GB2312" w:hAnsi="仿宋_GB2312" w:cs="仿宋_GB2312"/>
          <w:b w:val="0"/>
        </w:rPr>
      </w:pPr>
    </w:p>
    <w:p w:rsidR="003C5619" w:rsidRDefault="00761F12">
      <w:pPr>
        <w:pStyle w:val="1"/>
        <w:ind w:right="440"/>
        <w:jc w:val="center"/>
      </w:pPr>
      <w:bookmarkStart w:id="17" w:name="_Toc15396602"/>
      <w:bookmarkStart w:id="18" w:name="_Toc15377204"/>
      <w:r>
        <w:rPr>
          <w:rFonts w:eastAsia="黑体"/>
          <w:b w:val="0"/>
        </w:rPr>
        <w:lastRenderedPageBreak/>
        <w:t>第二部分</w:t>
      </w:r>
      <w:r>
        <w:rPr>
          <w:rFonts w:eastAsia="黑体"/>
          <w:b w:val="0"/>
        </w:rPr>
        <w:t xml:space="preserve"> 2021</w:t>
      </w:r>
      <w:r>
        <w:rPr>
          <w:rFonts w:eastAsia="黑体"/>
          <w:b w:val="0"/>
        </w:rPr>
        <w:t>年度</w:t>
      </w:r>
      <w:r>
        <w:rPr>
          <w:rStyle w:val="1Char"/>
          <w:rFonts w:eastAsia="黑体"/>
          <w:bCs/>
        </w:rPr>
        <w:t>单位决算情况说明</w:t>
      </w:r>
      <w:bookmarkEnd w:id="17"/>
      <w:bookmarkEnd w:id="18"/>
    </w:p>
    <w:p w:rsidR="003C5619" w:rsidRDefault="00761F12">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19" w:name="_Toc15396603"/>
      <w:bookmarkStart w:id="20" w:name="_Toc15377205"/>
      <w:r>
        <w:rPr>
          <w:rFonts w:eastAsia="黑体"/>
          <w:sz w:val="32"/>
          <w:szCs w:val="32"/>
        </w:rPr>
        <w:t>收</w:t>
      </w:r>
      <w:r>
        <w:rPr>
          <w:rStyle w:val="2Char"/>
          <w:rFonts w:ascii="Times New Roman" w:eastAsia="黑体" w:hAnsi="Times New Roman" w:cs="Times New Roman"/>
          <w:b w:val="0"/>
        </w:rPr>
        <w:t>入支出决算总体情况说明</w:t>
      </w:r>
      <w:bookmarkEnd w:id="19"/>
      <w:bookmarkEnd w:id="20"/>
    </w:p>
    <w:p w:rsidR="003C5619" w:rsidRPr="008651BC" w:rsidRDefault="00761F12" w:rsidP="008C002B">
      <w:pPr>
        <w:spacing w:line="560" w:lineRule="exact"/>
        <w:ind w:firstLineChars="200" w:firstLine="640"/>
        <w:rPr>
          <w:rFonts w:ascii="仿宋_GB2312" w:eastAsia="仿宋_GB2312" w:hint="eastAsia"/>
          <w:sz w:val="32"/>
          <w:szCs w:val="32"/>
        </w:rPr>
      </w:pPr>
      <w:r w:rsidRPr="008651BC">
        <w:rPr>
          <w:rFonts w:ascii="仿宋_GB2312" w:eastAsia="仿宋_GB2312" w:hint="eastAsia"/>
          <w:sz w:val="32"/>
          <w:szCs w:val="32"/>
        </w:rPr>
        <w:t>2021年度收、支总计2833.7万元。与2020年相比，收、支总计减少271.25万元，下降9.57%。主要变动原因是红格镇中心学校第二运动场项目支出减少，教职工人数有所下降导致。</w:t>
      </w:r>
    </w:p>
    <w:p w:rsidR="003C5619" w:rsidRDefault="00761F12">
      <w:pPr>
        <w:pStyle w:val="a0"/>
        <w:spacing w:before="93"/>
        <w:rPr>
          <w:rFonts w:ascii="Times New Roman"/>
        </w:rPr>
      </w:pPr>
      <w:r>
        <w:rPr>
          <w:rFonts w:ascii="Times New Roman"/>
          <w:noProof/>
        </w:rPr>
        <w:drawing>
          <wp:inline distT="0" distB="0" distL="114300" distR="114300">
            <wp:extent cx="5259705" cy="2328545"/>
            <wp:effectExtent l="4445" t="4445" r="12700" b="1016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3C5619" w:rsidRDefault="00761F12">
      <w:pPr>
        <w:spacing w:line="600" w:lineRule="exact"/>
        <w:ind w:firstLineChars="200" w:firstLine="640"/>
        <w:rPr>
          <w:rFonts w:eastAsia="仿宋"/>
          <w:sz w:val="32"/>
          <w:szCs w:val="32"/>
        </w:rPr>
      </w:pPr>
      <w:r>
        <w:rPr>
          <w:rFonts w:eastAsia="仿宋"/>
          <w:sz w:val="32"/>
          <w:szCs w:val="32"/>
        </w:rPr>
        <w:t>（图</w:t>
      </w:r>
      <w:r>
        <w:rPr>
          <w:rFonts w:eastAsia="仿宋"/>
          <w:sz w:val="32"/>
          <w:szCs w:val="32"/>
        </w:rPr>
        <w:t>1</w:t>
      </w:r>
      <w:r>
        <w:rPr>
          <w:rFonts w:eastAsia="仿宋"/>
          <w:sz w:val="32"/>
          <w:szCs w:val="32"/>
        </w:rPr>
        <w:t>：收、支决算总计变动情况图）（柱状图）</w:t>
      </w:r>
    </w:p>
    <w:p w:rsidR="003C5619" w:rsidRDefault="003C5619">
      <w:pPr>
        <w:spacing w:line="600" w:lineRule="exact"/>
        <w:ind w:firstLineChars="200" w:firstLine="640"/>
        <w:jc w:val="left"/>
        <w:rPr>
          <w:rFonts w:eastAsia="仿宋_GB2312"/>
          <w:sz w:val="32"/>
          <w:szCs w:val="32"/>
        </w:rPr>
      </w:pPr>
    </w:p>
    <w:p w:rsidR="003C5619" w:rsidRDefault="00761F12">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21" w:name="_Toc15377206"/>
      <w:bookmarkStart w:id="22" w:name="_Toc15396604"/>
      <w:r>
        <w:rPr>
          <w:rFonts w:eastAsia="黑体"/>
          <w:sz w:val="32"/>
          <w:szCs w:val="32"/>
        </w:rPr>
        <w:t>收</w:t>
      </w:r>
      <w:r>
        <w:rPr>
          <w:rStyle w:val="2Char"/>
          <w:rFonts w:ascii="Times New Roman" w:eastAsia="黑体" w:hAnsi="Times New Roman" w:cs="Times New Roman"/>
          <w:b w:val="0"/>
        </w:rPr>
        <w:t>入决算情况说明</w:t>
      </w:r>
      <w:bookmarkEnd w:id="21"/>
      <w:bookmarkEnd w:id="22"/>
    </w:p>
    <w:p w:rsidR="003C5619" w:rsidRPr="008651BC" w:rsidRDefault="00761F12" w:rsidP="008C002B">
      <w:pPr>
        <w:spacing w:line="560" w:lineRule="exact"/>
        <w:ind w:firstLineChars="200" w:firstLine="640"/>
        <w:outlineLvl w:val="1"/>
        <w:rPr>
          <w:rFonts w:ascii="仿宋_GB2312" w:eastAsia="仿宋_GB2312" w:hint="eastAsia"/>
          <w:sz w:val="32"/>
          <w:szCs w:val="32"/>
        </w:rPr>
      </w:pPr>
      <w:r w:rsidRPr="008651BC">
        <w:rPr>
          <w:rFonts w:ascii="仿宋_GB2312" w:eastAsia="仿宋_GB2312" w:hint="eastAsia"/>
          <w:sz w:val="32"/>
          <w:szCs w:val="32"/>
        </w:rPr>
        <w:t>2021年本年收入合计2833.7万元，其中：一般公共预算财政拨款收入2596.23万元，占91.62%；年初结转237.47万元，占8.38%；政府性基金预算财政拨款收入0万元，占0%；国有资本经营预算财政拨款收入0万元，占0%；上级补助收入0万元，占0%；事业收入0万元，占0%；经营收入0万元，占0%；附属单位上缴收入0万元，占0%；其他收入0万元，占0%。</w:t>
      </w:r>
    </w:p>
    <w:p w:rsidR="003C5619" w:rsidRDefault="00761F12">
      <w:pPr>
        <w:spacing w:line="600" w:lineRule="exact"/>
        <w:ind w:firstLineChars="400" w:firstLine="1280"/>
        <w:rPr>
          <w:rFonts w:eastAsia="仿宋"/>
          <w:sz w:val="32"/>
          <w:szCs w:val="32"/>
        </w:rPr>
      </w:pPr>
      <w:r>
        <w:rPr>
          <w:rFonts w:eastAsia="仿宋"/>
          <w:noProof/>
          <w:sz w:val="32"/>
          <w:szCs w:val="32"/>
        </w:rPr>
        <w:lastRenderedPageBreak/>
        <w:drawing>
          <wp:anchor distT="0" distB="0" distL="114300" distR="114300" simplePos="0" relativeHeight="251655680" behindDoc="1" locked="0" layoutInCell="1" allowOverlap="1">
            <wp:simplePos x="0" y="0"/>
            <wp:positionH relativeFrom="column">
              <wp:posOffset>410845</wp:posOffset>
            </wp:positionH>
            <wp:positionV relativeFrom="paragraph">
              <wp:posOffset>46355</wp:posOffset>
            </wp:positionV>
            <wp:extent cx="4265295" cy="2434590"/>
            <wp:effectExtent l="4445" t="4445" r="16510" b="18415"/>
            <wp:wrapThrough wrapText="bothSides">
              <wp:wrapPolygon edited="0">
                <wp:start x="-23" y="-39"/>
                <wp:lineTo x="-23" y="21425"/>
                <wp:lineTo x="21491" y="21425"/>
                <wp:lineTo x="21491" y="-39"/>
                <wp:lineTo x="-23" y="-39"/>
              </wp:wrapPolygon>
            </wp:wrapThrough>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3C5619" w:rsidRDefault="00761F12">
      <w:pPr>
        <w:spacing w:line="600" w:lineRule="exact"/>
        <w:ind w:firstLineChars="400" w:firstLine="1280"/>
        <w:rPr>
          <w:rFonts w:eastAsia="仿宋"/>
          <w:sz w:val="32"/>
          <w:szCs w:val="32"/>
        </w:rPr>
      </w:pPr>
      <w:r>
        <w:rPr>
          <w:rFonts w:eastAsia="仿宋"/>
          <w:sz w:val="32"/>
          <w:szCs w:val="32"/>
        </w:rPr>
        <w:t>（图</w:t>
      </w:r>
      <w:r>
        <w:rPr>
          <w:rFonts w:eastAsia="仿宋"/>
          <w:sz w:val="32"/>
          <w:szCs w:val="32"/>
        </w:rPr>
        <w:t>2</w:t>
      </w:r>
      <w:r>
        <w:rPr>
          <w:rFonts w:eastAsia="仿宋"/>
          <w:sz w:val="32"/>
          <w:szCs w:val="32"/>
        </w:rPr>
        <w:t>：收入决算结构图）（饼状图）</w:t>
      </w:r>
    </w:p>
    <w:p w:rsidR="003C5619" w:rsidRDefault="003C5619">
      <w:pPr>
        <w:spacing w:line="600" w:lineRule="exact"/>
        <w:ind w:firstLineChars="200" w:firstLine="640"/>
        <w:rPr>
          <w:rFonts w:eastAsia="仿宋_GB2312"/>
          <w:sz w:val="32"/>
          <w:szCs w:val="32"/>
        </w:rPr>
      </w:pPr>
    </w:p>
    <w:p w:rsidR="003C5619" w:rsidRDefault="00761F12">
      <w:pPr>
        <w:pStyle w:val="a9"/>
        <w:numPr>
          <w:ilvl w:val="0"/>
          <w:numId w:val="2"/>
        </w:numPr>
        <w:spacing w:line="600" w:lineRule="exact"/>
        <w:ind w:firstLineChars="0"/>
        <w:outlineLvl w:val="1"/>
        <w:rPr>
          <w:rStyle w:val="2Char"/>
          <w:rFonts w:ascii="Times New Roman" w:eastAsia="黑体" w:hAnsi="Times New Roman" w:cs="Times New Roman"/>
          <w:b w:val="0"/>
        </w:rPr>
      </w:pPr>
      <w:bookmarkStart w:id="23" w:name="_Toc15396605"/>
      <w:bookmarkStart w:id="24" w:name="_Toc15377207"/>
      <w:r>
        <w:rPr>
          <w:rFonts w:eastAsia="黑体"/>
          <w:sz w:val="32"/>
          <w:szCs w:val="32"/>
        </w:rPr>
        <w:t>支</w:t>
      </w:r>
      <w:r>
        <w:rPr>
          <w:rStyle w:val="2Char"/>
          <w:rFonts w:ascii="Times New Roman" w:eastAsia="黑体" w:hAnsi="Times New Roman" w:cs="Times New Roman"/>
          <w:b w:val="0"/>
        </w:rPr>
        <w:t>出决算情况说明</w:t>
      </w:r>
      <w:bookmarkEnd w:id="23"/>
      <w:bookmarkEnd w:id="24"/>
    </w:p>
    <w:p w:rsidR="003C5619" w:rsidRPr="008651BC" w:rsidRDefault="00761F12" w:rsidP="008C002B">
      <w:pPr>
        <w:spacing w:line="560" w:lineRule="exact"/>
        <w:ind w:firstLineChars="200" w:firstLine="640"/>
        <w:outlineLvl w:val="1"/>
        <w:rPr>
          <w:rFonts w:ascii="仿宋_GB2312" w:eastAsia="仿宋_GB2312" w:hint="eastAsia"/>
          <w:sz w:val="32"/>
          <w:szCs w:val="32"/>
          <w:shd w:val="pct10" w:color="auto" w:fill="FFFFFF"/>
        </w:rPr>
      </w:pPr>
      <w:r w:rsidRPr="008651BC">
        <w:rPr>
          <w:rFonts w:ascii="仿宋_GB2312" w:eastAsia="仿宋_GB2312" w:hint="eastAsia"/>
          <w:sz w:val="32"/>
          <w:szCs w:val="32"/>
        </w:rPr>
        <w:t>2021年本年支出合计2833.7万元，其中：基本支出2455.4万元，占86.65%；项目支出378.3万元，占13.35%；上缴上级支出0万元，占0%；经营支出0万元，占0%；对附属单位补助支出0万元，占0%。</w:t>
      </w:r>
    </w:p>
    <w:p w:rsidR="003C5619" w:rsidRDefault="00761F12">
      <w:pPr>
        <w:spacing w:line="600" w:lineRule="exact"/>
        <w:ind w:firstLineChars="200" w:firstLine="640"/>
        <w:rPr>
          <w:rFonts w:eastAsia="仿宋"/>
          <w:sz w:val="32"/>
          <w:szCs w:val="32"/>
        </w:rPr>
      </w:pPr>
      <w:r>
        <w:rPr>
          <w:rFonts w:eastAsia="仿宋"/>
          <w:noProof/>
          <w:sz w:val="32"/>
          <w:szCs w:val="32"/>
          <w:shd w:val="pct10" w:color="auto" w:fill="FFFFFF"/>
        </w:rPr>
        <w:drawing>
          <wp:anchor distT="0" distB="0" distL="114300" distR="114300" simplePos="0" relativeHeight="251656704" behindDoc="1" locked="0" layoutInCell="1" allowOverlap="1">
            <wp:simplePos x="0" y="0"/>
            <wp:positionH relativeFrom="column">
              <wp:posOffset>272415</wp:posOffset>
            </wp:positionH>
            <wp:positionV relativeFrom="paragraph">
              <wp:posOffset>6985</wp:posOffset>
            </wp:positionV>
            <wp:extent cx="4488180" cy="2414270"/>
            <wp:effectExtent l="4445" t="4445" r="22225" b="19685"/>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3C5619" w:rsidRDefault="003C5619">
      <w:pPr>
        <w:spacing w:line="600" w:lineRule="exact"/>
        <w:ind w:firstLineChars="200" w:firstLine="640"/>
        <w:rPr>
          <w:rFonts w:eastAsia="仿宋"/>
          <w:sz w:val="32"/>
          <w:szCs w:val="32"/>
        </w:rPr>
      </w:pPr>
    </w:p>
    <w:p w:rsidR="003C5619" w:rsidRDefault="003C5619">
      <w:pPr>
        <w:spacing w:line="600" w:lineRule="exact"/>
        <w:ind w:firstLineChars="200" w:firstLine="640"/>
        <w:rPr>
          <w:rFonts w:eastAsia="仿宋"/>
          <w:sz w:val="32"/>
          <w:szCs w:val="32"/>
        </w:rPr>
      </w:pPr>
    </w:p>
    <w:p w:rsidR="003C5619" w:rsidRDefault="003C5619">
      <w:pPr>
        <w:spacing w:line="600" w:lineRule="exact"/>
        <w:ind w:firstLineChars="200" w:firstLine="640"/>
        <w:rPr>
          <w:rFonts w:eastAsia="仿宋"/>
          <w:sz w:val="32"/>
          <w:szCs w:val="32"/>
        </w:rPr>
      </w:pPr>
    </w:p>
    <w:p w:rsidR="003C5619" w:rsidRDefault="003C5619">
      <w:pPr>
        <w:spacing w:line="600" w:lineRule="exact"/>
        <w:ind w:firstLineChars="200" w:firstLine="640"/>
        <w:rPr>
          <w:rFonts w:eastAsia="仿宋"/>
          <w:sz w:val="32"/>
          <w:szCs w:val="32"/>
        </w:rPr>
      </w:pPr>
    </w:p>
    <w:p w:rsidR="003C5619" w:rsidRDefault="003C5619">
      <w:pPr>
        <w:pStyle w:val="a0"/>
        <w:spacing w:before="93"/>
        <w:rPr>
          <w:rFonts w:ascii="Times New Roman" w:eastAsia="仿宋"/>
          <w:sz w:val="32"/>
          <w:szCs w:val="32"/>
        </w:rPr>
      </w:pPr>
    </w:p>
    <w:p w:rsidR="003C5619" w:rsidRDefault="00761F12">
      <w:pPr>
        <w:spacing w:line="600" w:lineRule="exact"/>
        <w:jc w:val="center"/>
      </w:pPr>
      <w:r>
        <w:rPr>
          <w:rFonts w:eastAsia="仿宋"/>
          <w:sz w:val="32"/>
          <w:szCs w:val="32"/>
        </w:rPr>
        <w:t>（图</w:t>
      </w:r>
      <w:r>
        <w:rPr>
          <w:rFonts w:eastAsia="仿宋"/>
          <w:sz w:val="32"/>
          <w:szCs w:val="32"/>
        </w:rPr>
        <w:t>3</w:t>
      </w:r>
      <w:r>
        <w:rPr>
          <w:rFonts w:eastAsia="仿宋"/>
          <w:sz w:val="32"/>
          <w:szCs w:val="32"/>
        </w:rPr>
        <w:t>：支出决算结构图）（饼状图）</w:t>
      </w:r>
    </w:p>
    <w:p w:rsidR="003C5619" w:rsidRDefault="003C5619">
      <w:pPr>
        <w:spacing w:line="600" w:lineRule="exact"/>
        <w:ind w:firstLineChars="200" w:firstLine="640"/>
        <w:outlineLvl w:val="1"/>
        <w:rPr>
          <w:rFonts w:eastAsia="黑体"/>
          <w:sz w:val="32"/>
          <w:szCs w:val="32"/>
        </w:rPr>
      </w:pPr>
      <w:bookmarkStart w:id="25" w:name="_Toc15377208"/>
      <w:bookmarkStart w:id="26" w:name="_Toc15396606"/>
    </w:p>
    <w:p w:rsidR="003C5619" w:rsidRDefault="003C5619" w:rsidP="0087654A">
      <w:pPr>
        <w:pStyle w:val="a0"/>
        <w:spacing w:before="93"/>
      </w:pPr>
    </w:p>
    <w:p w:rsidR="003C5619" w:rsidRDefault="00761F12">
      <w:pPr>
        <w:spacing w:line="600" w:lineRule="exact"/>
        <w:ind w:firstLineChars="200" w:firstLine="640"/>
        <w:outlineLvl w:val="1"/>
        <w:rPr>
          <w:rStyle w:val="2Char"/>
          <w:rFonts w:ascii="Times New Roman" w:eastAsia="黑体" w:hAnsi="Times New Roman" w:cs="Times New Roman"/>
          <w:b w:val="0"/>
        </w:rPr>
      </w:pPr>
      <w:r>
        <w:rPr>
          <w:rFonts w:eastAsia="黑体"/>
          <w:sz w:val="32"/>
          <w:szCs w:val="32"/>
        </w:rPr>
        <w:t>四、财</w:t>
      </w:r>
      <w:r>
        <w:rPr>
          <w:rStyle w:val="2Char"/>
          <w:rFonts w:ascii="Times New Roman" w:eastAsia="黑体" w:hAnsi="Times New Roman" w:cs="Times New Roman"/>
          <w:b w:val="0"/>
        </w:rPr>
        <w:t>政拨款收入支出决算总体情况说明</w:t>
      </w:r>
      <w:bookmarkEnd w:id="25"/>
      <w:bookmarkEnd w:id="26"/>
    </w:p>
    <w:p w:rsidR="003C5619" w:rsidRPr="008651BC" w:rsidRDefault="00761F12" w:rsidP="008C002B">
      <w:pPr>
        <w:spacing w:line="560" w:lineRule="exact"/>
        <w:ind w:firstLineChars="200" w:firstLine="640"/>
        <w:outlineLvl w:val="1"/>
        <w:rPr>
          <w:rFonts w:ascii="仿宋_GB2312" w:eastAsia="仿宋_GB2312" w:hint="eastAsia"/>
          <w:sz w:val="32"/>
          <w:szCs w:val="32"/>
        </w:rPr>
      </w:pPr>
      <w:r w:rsidRPr="008651BC">
        <w:rPr>
          <w:rFonts w:ascii="仿宋_GB2312" w:eastAsia="仿宋_GB2312" w:hint="eastAsia"/>
          <w:sz w:val="32"/>
          <w:szCs w:val="32"/>
        </w:rPr>
        <w:t>2021年财政拨款收、支总计2833.7万元。与2020年相比，财政拨款收、支总计减少271.25万元，下降9.57%。主要变动原因是红格镇中心学校第二运动场项目支出减少，教职工人数有所下降导致。</w:t>
      </w:r>
    </w:p>
    <w:p w:rsidR="003C5619" w:rsidRDefault="00761F12">
      <w:pPr>
        <w:spacing w:line="600" w:lineRule="exact"/>
        <w:jc w:val="center"/>
        <w:rPr>
          <w:rFonts w:eastAsia="仿宋"/>
          <w:sz w:val="32"/>
          <w:szCs w:val="32"/>
        </w:rPr>
      </w:pPr>
      <w:r>
        <w:rPr>
          <w:noProof/>
        </w:rPr>
        <w:drawing>
          <wp:anchor distT="0" distB="0" distL="114300" distR="114300" simplePos="0" relativeHeight="251657728" behindDoc="1" locked="0" layoutInCell="1" allowOverlap="1">
            <wp:simplePos x="0" y="0"/>
            <wp:positionH relativeFrom="column">
              <wp:posOffset>36195</wp:posOffset>
            </wp:positionH>
            <wp:positionV relativeFrom="paragraph">
              <wp:posOffset>13335</wp:posOffset>
            </wp:positionV>
            <wp:extent cx="5259705" cy="2466340"/>
            <wp:effectExtent l="4445" t="4445" r="12700" b="5715"/>
            <wp:wrapThrough wrapText="bothSides">
              <wp:wrapPolygon edited="0">
                <wp:start x="-18" y="-39"/>
                <wp:lineTo x="-18" y="21483"/>
                <wp:lineTo x="21574" y="21483"/>
                <wp:lineTo x="21574" y="-39"/>
                <wp:lineTo x="-18" y="-39"/>
              </wp:wrapPolygon>
            </wp:wrapThrough>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eastAsia="仿宋"/>
          <w:sz w:val="32"/>
          <w:szCs w:val="32"/>
        </w:rPr>
        <w:t>（图</w:t>
      </w:r>
      <w:r>
        <w:rPr>
          <w:rFonts w:eastAsia="仿宋"/>
          <w:sz w:val="32"/>
          <w:szCs w:val="32"/>
        </w:rPr>
        <w:t>4</w:t>
      </w:r>
      <w:r>
        <w:rPr>
          <w:rFonts w:eastAsia="仿宋"/>
          <w:sz w:val="32"/>
          <w:szCs w:val="32"/>
        </w:rPr>
        <w:t>：财政拨款收、支决算总计变动情况）（柱状图）</w:t>
      </w:r>
    </w:p>
    <w:p w:rsidR="003C5619" w:rsidRDefault="003C5619">
      <w:pPr>
        <w:spacing w:line="600" w:lineRule="exact"/>
        <w:ind w:firstLine="640"/>
        <w:rPr>
          <w:rFonts w:eastAsia="仿宋"/>
          <w:b/>
          <w:sz w:val="32"/>
          <w:szCs w:val="32"/>
        </w:rPr>
      </w:pPr>
    </w:p>
    <w:p w:rsidR="003C5619" w:rsidRDefault="00761F12">
      <w:pPr>
        <w:spacing w:line="600" w:lineRule="exact"/>
        <w:ind w:firstLineChars="200" w:firstLine="640"/>
        <w:outlineLvl w:val="1"/>
        <w:rPr>
          <w:rStyle w:val="2Char"/>
          <w:rFonts w:ascii="Times New Roman" w:eastAsia="黑体" w:hAnsi="Times New Roman" w:cs="Times New Roman"/>
          <w:b w:val="0"/>
        </w:rPr>
      </w:pPr>
      <w:bookmarkStart w:id="27" w:name="_Toc15396607"/>
      <w:bookmarkStart w:id="28" w:name="_Toc15377209"/>
      <w:r>
        <w:rPr>
          <w:rFonts w:eastAsia="黑体"/>
          <w:sz w:val="32"/>
          <w:szCs w:val="32"/>
        </w:rPr>
        <w:t>五、</w:t>
      </w:r>
      <w:r>
        <w:rPr>
          <w:rFonts w:eastAsia="黑体"/>
          <w:b/>
          <w:sz w:val="32"/>
          <w:szCs w:val="32"/>
        </w:rPr>
        <w:t>一</w:t>
      </w:r>
      <w:r>
        <w:rPr>
          <w:rStyle w:val="2Char"/>
          <w:rFonts w:ascii="Times New Roman" w:eastAsia="黑体" w:hAnsi="Times New Roman" w:cs="Times New Roman"/>
          <w:b w:val="0"/>
        </w:rPr>
        <w:t>般公共预算财政拨款支出决算情况说明</w:t>
      </w:r>
      <w:bookmarkEnd w:id="27"/>
      <w:bookmarkEnd w:id="28"/>
    </w:p>
    <w:p w:rsidR="003C5619" w:rsidRDefault="00761F12">
      <w:pPr>
        <w:spacing w:line="600" w:lineRule="exact"/>
        <w:ind w:firstLineChars="200" w:firstLine="640"/>
        <w:outlineLvl w:val="2"/>
        <w:rPr>
          <w:rFonts w:eastAsia="仿宋"/>
          <w:b/>
          <w:sz w:val="32"/>
          <w:szCs w:val="32"/>
        </w:rPr>
      </w:pPr>
      <w:bookmarkStart w:id="29" w:name="_Toc15377210"/>
      <w:r w:rsidRPr="008651BC">
        <w:rPr>
          <w:rFonts w:ascii="楷体_GB2312" w:eastAsia="楷体_GB2312" w:hint="eastAsia"/>
          <w:sz w:val="32"/>
          <w:szCs w:val="32"/>
        </w:rPr>
        <w:t>（一）一般公共预算财政拨款支出决算总体情况</w:t>
      </w:r>
      <w:bookmarkEnd w:id="29"/>
      <w:r w:rsidR="008651BC">
        <w:rPr>
          <w:rFonts w:ascii="楷体_GB2312" w:eastAsia="楷体_GB2312" w:hint="eastAsia"/>
          <w:sz w:val="32"/>
          <w:szCs w:val="32"/>
        </w:rPr>
        <w:t>。</w:t>
      </w:r>
    </w:p>
    <w:p w:rsidR="003C5619" w:rsidRPr="008651BC" w:rsidRDefault="00761F12" w:rsidP="008C002B">
      <w:pPr>
        <w:spacing w:line="560" w:lineRule="exact"/>
        <w:ind w:firstLineChars="200" w:firstLine="640"/>
        <w:outlineLvl w:val="1"/>
        <w:rPr>
          <w:rFonts w:ascii="仿宋_GB2312" w:eastAsia="仿宋_GB2312" w:hint="eastAsia"/>
          <w:sz w:val="32"/>
          <w:szCs w:val="32"/>
        </w:rPr>
      </w:pPr>
      <w:r w:rsidRPr="008651BC">
        <w:rPr>
          <w:rFonts w:ascii="仿宋_GB2312" w:eastAsia="仿宋_GB2312" w:hint="eastAsia"/>
          <w:sz w:val="32"/>
          <w:szCs w:val="32"/>
        </w:rPr>
        <w:t>2021年一般公共预算财政拨款支出2833.7万元，占本年支出合计的100%。与2020年相比，一般公共预算财政拨款支出减少271.25万元，下降9.57%。主要变动原因是红格镇中心学校第二运动场项目支出减少，教职工人数有所下降导致。</w:t>
      </w:r>
    </w:p>
    <w:p w:rsidR="003C5619" w:rsidRDefault="00761F12">
      <w:pPr>
        <w:pStyle w:val="a0"/>
        <w:spacing w:before="93"/>
        <w:jc w:val="center"/>
        <w:rPr>
          <w:rFonts w:ascii="Times New Roman" w:eastAsia="仿宋"/>
          <w:sz w:val="32"/>
          <w:szCs w:val="32"/>
        </w:rPr>
      </w:pPr>
      <w:r>
        <w:rPr>
          <w:rFonts w:ascii="Times New Roman"/>
          <w:noProof/>
        </w:rPr>
        <w:lastRenderedPageBreak/>
        <w:drawing>
          <wp:anchor distT="0" distB="0" distL="114300" distR="114300" simplePos="0" relativeHeight="251658752" behindDoc="1" locked="0" layoutInCell="1" allowOverlap="1">
            <wp:simplePos x="0" y="0"/>
            <wp:positionH relativeFrom="column">
              <wp:posOffset>-6350</wp:posOffset>
            </wp:positionH>
            <wp:positionV relativeFrom="paragraph">
              <wp:posOffset>0</wp:posOffset>
            </wp:positionV>
            <wp:extent cx="5259705" cy="2466340"/>
            <wp:effectExtent l="4445" t="4445" r="12700" b="5715"/>
            <wp:wrapThrough wrapText="bothSides">
              <wp:wrapPolygon edited="0">
                <wp:start x="-18" y="-39"/>
                <wp:lineTo x="-18" y="21483"/>
                <wp:lineTo x="21574" y="21483"/>
                <wp:lineTo x="21574" y="-39"/>
                <wp:lineTo x="-18" y="-39"/>
              </wp:wrapPolygon>
            </wp:wrapThrough>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Times New Roman" w:eastAsia="仿宋"/>
          <w:sz w:val="32"/>
          <w:szCs w:val="32"/>
        </w:rPr>
        <w:t>（图</w:t>
      </w:r>
      <w:r>
        <w:rPr>
          <w:rFonts w:ascii="Times New Roman" w:eastAsia="仿宋"/>
          <w:sz w:val="32"/>
          <w:szCs w:val="32"/>
        </w:rPr>
        <w:t>5</w:t>
      </w:r>
      <w:r>
        <w:rPr>
          <w:rFonts w:ascii="Times New Roman" w:eastAsia="仿宋"/>
          <w:sz w:val="32"/>
          <w:szCs w:val="32"/>
        </w:rPr>
        <w:t>：一般公共预算财政拨款支出决算变动情况）</w:t>
      </w:r>
    </w:p>
    <w:p w:rsidR="003C5619" w:rsidRDefault="003C5619">
      <w:pPr>
        <w:spacing w:line="600" w:lineRule="exact"/>
        <w:ind w:firstLineChars="200" w:firstLine="640"/>
        <w:rPr>
          <w:rFonts w:eastAsia="仿宋"/>
          <w:sz w:val="32"/>
          <w:szCs w:val="32"/>
        </w:rPr>
      </w:pPr>
    </w:p>
    <w:p w:rsidR="003C5619" w:rsidRPr="008651BC" w:rsidRDefault="00761F12">
      <w:pPr>
        <w:spacing w:line="600" w:lineRule="exact"/>
        <w:ind w:firstLineChars="200" w:firstLine="640"/>
        <w:outlineLvl w:val="2"/>
        <w:rPr>
          <w:rFonts w:ascii="楷体_GB2312" w:eastAsia="楷体_GB2312" w:hint="eastAsia"/>
          <w:sz w:val="32"/>
          <w:szCs w:val="32"/>
        </w:rPr>
      </w:pPr>
      <w:bookmarkStart w:id="30" w:name="_Toc15377211"/>
      <w:r w:rsidRPr="008651BC">
        <w:rPr>
          <w:rFonts w:ascii="楷体_GB2312" w:eastAsia="楷体_GB2312" w:hint="eastAsia"/>
          <w:sz w:val="32"/>
          <w:szCs w:val="32"/>
        </w:rPr>
        <w:t>（二）一般公共预算财政拨款支出决算结构情况</w:t>
      </w:r>
      <w:bookmarkEnd w:id="30"/>
      <w:r w:rsidR="008651BC">
        <w:rPr>
          <w:rFonts w:ascii="楷体_GB2312" w:eastAsia="楷体_GB2312" w:hint="eastAsia"/>
          <w:sz w:val="32"/>
          <w:szCs w:val="32"/>
        </w:rPr>
        <w:t>。</w:t>
      </w:r>
    </w:p>
    <w:p w:rsidR="003C5619" w:rsidRPr="008651BC" w:rsidRDefault="00761F12" w:rsidP="008C002B">
      <w:pPr>
        <w:spacing w:line="560" w:lineRule="exact"/>
        <w:ind w:firstLineChars="200" w:firstLine="640"/>
        <w:outlineLvl w:val="1"/>
        <w:rPr>
          <w:rFonts w:ascii="仿宋_GB2312" w:eastAsia="仿宋_GB2312" w:hint="eastAsia"/>
          <w:b/>
          <w:sz w:val="32"/>
          <w:szCs w:val="32"/>
        </w:rPr>
      </w:pPr>
      <w:r w:rsidRPr="008651BC">
        <w:rPr>
          <w:rFonts w:ascii="仿宋_GB2312" w:eastAsia="仿宋_GB2312" w:hint="eastAsia"/>
          <w:sz w:val="32"/>
          <w:szCs w:val="32"/>
        </w:rPr>
        <w:t>2021年一般公共预算财政拨款支出2833.7万元，主要用于以下方面：</w:t>
      </w:r>
      <w:r w:rsidRPr="008651BC">
        <w:rPr>
          <w:rFonts w:ascii="仿宋_GB2312" w:eastAsia="仿宋_GB2312" w:hint="eastAsia"/>
          <w:b/>
          <w:sz w:val="32"/>
          <w:szCs w:val="32"/>
        </w:rPr>
        <w:t>一般公共服务（类）</w:t>
      </w:r>
      <w:r w:rsidRPr="008651BC">
        <w:rPr>
          <w:rFonts w:ascii="仿宋_GB2312" w:eastAsia="仿宋_GB2312" w:hint="eastAsia"/>
          <w:sz w:val="32"/>
          <w:szCs w:val="32"/>
        </w:rPr>
        <w:t>支出0万元，占0%；</w:t>
      </w:r>
      <w:r w:rsidRPr="008651BC">
        <w:rPr>
          <w:rFonts w:ascii="仿宋_GB2312" w:eastAsia="仿宋_GB2312" w:hint="eastAsia"/>
          <w:b/>
          <w:sz w:val="32"/>
          <w:szCs w:val="32"/>
        </w:rPr>
        <w:t>教育支出（205）</w:t>
      </w:r>
      <w:r w:rsidRPr="008651BC">
        <w:rPr>
          <w:rFonts w:ascii="仿宋_GB2312" w:eastAsia="仿宋_GB2312" w:hint="eastAsia"/>
          <w:sz w:val="32"/>
          <w:szCs w:val="32"/>
        </w:rPr>
        <w:t>2382.74万元，占84.09%；</w:t>
      </w:r>
      <w:r w:rsidRPr="008651BC">
        <w:rPr>
          <w:rFonts w:ascii="仿宋_GB2312" w:eastAsia="仿宋_GB2312" w:hint="eastAsia"/>
          <w:b/>
          <w:sz w:val="32"/>
          <w:szCs w:val="32"/>
        </w:rPr>
        <w:t>科学技术（类）</w:t>
      </w:r>
      <w:r w:rsidRPr="008651BC">
        <w:rPr>
          <w:rFonts w:ascii="仿宋_GB2312" w:eastAsia="仿宋_GB2312" w:hint="eastAsia"/>
          <w:sz w:val="32"/>
          <w:szCs w:val="32"/>
        </w:rPr>
        <w:t>支出0万元，占0%；</w:t>
      </w:r>
      <w:r w:rsidRPr="008651BC">
        <w:rPr>
          <w:rFonts w:ascii="仿宋_GB2312" w:eastAsia="仿宋_GB2312" w:hint="eastAsia"/>
          <w:b/>
          <w:bCs/>
          <w:sz w:val="32"/>
          <w:szCs w:val="32"/>
        </w:rPr>
        <w:t>文化旅游体育与传媒（类）支出0万元，占0%</w:t>
      </w:r>
      <w:r w:rsidRPr="008651BC">
        <w:rPr>
          <w:rFonts w:ascii="仿宋_GB2312" w:eastAsia="仿宋_GB2312" w:hint="eastAsia"/>
          <w:sz w:val="32"/>
          <w:szCs w:val="32"/>
        </w:rPr>
        <w:t>；</w:t>
      </w:r>
      <w:r w:rsidRPr="008651BC">
        <w:rPr>
          <w:rFonts w:ascii="仿宋_GB2312" w:eastAsia="仿宋_GB2312" w:hint="eastAsia"/>
          <w:b/>
          <w:sz w:val="32"/>
          <w:szCs w:val="32"/>
        </w:rPr>
        <w:t>社会保障和就业（208）</w:t>
      </w:r>
      <w:r w:rsidRPr="008651BC">
        <w:rPr>
          <w:rFonts w:ascii="仿宋_GB2312" w:eastAsia="仿宋_GB2312" w:hint="eastAsia"/>
          <w:sz w:val="32"/>
          <w:szCs w:val="32"/>
        </w:rPr>
        <w:t>支出240.43万元，占8.48%；</w:t>
      </w:r>
      <w:r w:rsidRPr="008651BC">
        <w:rPr>
          <w:rFonts w:ascii="仿宋_GB2312" w:eastAsia="仿宋_GB2312" w:hint="eastAsia"/>
          <w:b/>
          <w:bCs/>
          <w:sz w:val="32"/>
          <w:szCs w:val="32"/>
        </w:rPr>
        <w:t>卫生健康支出</w:t>
      </w:r>
      <w:r w:rsidRPr="008651BC">
        <w:rPr>
          <w:rFonts w:ascii="仿宋_GB2312" w:eastAsia="仿宋_GB2312" w:hint="eastAsia"/>
          <w:sz w:val="32"/>
          <w:szCs w:val="32"/>
        </w:rPr>
        <w:t>0万元，占0%；</w:t>
      </w:r>
      <w:r w:rsidRPr="008651BC">
        <w:rPr>
          <w:rFonts w:ascii="仿宋_GB2312" w:eastAsia="仿宋_GB2312" w:hint="eastAsia"/>
          <w:b/>
          <w:bCs/>
          <w:sz w:val="32"/>
          <w:szCs w:val="32"/>
        </w:rPr>
        <w:t>住房保障（221）</w:t>
      </w:r>
      <w:r w:rsidRPr="008651BC">
        <w:rPr>
          <w:rFonts w:ascii="仿宋_GB2312" w:eastAsia="仿宋_GB2312" w:hint="eastAsia"/>
          <w:sz w:val="32"/>
          <w:szCs w:val="32"/>
        </w:rPr>
        <w:t>支出210.53万元，占7.43%。</w:t>
      </w:r>
    </w:p>
    <w:p w:rsidR="003C5619" w:rsidRDefault="003C5619" w:rsidP="008C002B">
      <w:pPr>
        <w:spacing w:line="560" w:lineRule="exact"/>
        <w:ind w:firstLine="200"/>
        <w:outlineLvl w:val="1"/>
        <w:rPr>
          <w:rFonts w:eastAsia="仿宋"/>
          <w:sz w:val="32"/>
          <w:szCs w:val="32"/>
        </w:rPr>
      </w:pPr>
    </w:p>
    <w:p w:rsidR="003C5619" w:rsidRDefault="008C002B">
      <w:pPr>
        <w:spacing w:line="600" w:lineRule="exact"/>
        <w:ind w:firstLineChars="200" w:firstLine="640"/>
        <w:rPr>
          <w:rFonts w:eastAsia="仿宋"/>
          <w:sz w:val="32"/>
          <w:szCs w:val="32"/>
        </w:rPr>
      </w:pPr>
      <w:r w:rsidRPr="008651BC">
        <w:rPr>
          <w:rFonts w:ascii="仿宋_GB2312" w:eastAsia="仿宋_GB2312" w:hint="eastAsia"/>
          <w:noProof/>
          <w:sz w:val="32"/>
          <w:szCs w:val="32"/>
        </w:rPr>
        <w:lastRenderedPageBreak/>
        <w:drawing>
          <wp:anchor distT="0" distB="0" distL="114300" distR="114300" simplePos="0" relativeHeight="251660800" behindDoc="1" locked="0" layoutInCell="1" allowOverlap="1" wp14:anchorId="15F0BA03" wp14:editId="4F1CC9B9">
            <wp:simplePos x="0" y="0"/>
            <wp:positionH relativeFrom="margin">
              <wp:posOffset>0</wp:posOffset>
            </wp:positionH>
            <wp:positionV relativeFrom="paragraph">
              <wp:posOffset>381635</wp:posOffset>
            </wp:positionV>
            <wp:extent cx="4517390" cy="2633980"/>
            <wp:effectExtent l="0" t="0" r="16510" b="13970"/>
            <wp:wrapThrough wrapText="bothSides">
              <wp:wrapPolygon edited="0">
                <wp:start x="0" y="0"/>
                <wp:lineTo x="0" y="21558"/>
                <wp:lineTo x="21588" y="21558"/>
                <wp:lineTo x="21588" y="0"/>
                <wp:lineTo x="0" y="0"/>
              </wp:wrapPolygon>
            </wp:wrapThrough>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rsidR="003C5619" w:rsidRDefault="003C5619">
      <w:pPr>
        <w:spacing w:line="600" w:lineRule="exact"/>
        <w:ind w:firstLineChars="200" w:firstLine="640"/>
        <w:rPr>
          <w:rFonts w:eastAsia="仿宋"/>
          <w:sz w:val="32"/>
          <w:szCs w:val="32"/>
        </w:rPr>
      </w:pPr>
    </w:p>
    <w:p w:rsidR="003C5619" w:rsidRDefault="003C5619">
      <w:pPr>
        <w:spacing w:line="600" w:lineRule="exact"/>
        <w:jc w:val="center"/>
        <w:rPr>
          <w:rFonts w:eastAsia="仿宋"/>
          <w:sz w:val="32"/>
          <w:szCs w:val="32"/>
        </w:rPr>
      </w:pPr>
    </w:p>
    <w:p w:rsidR="008C002B" w:rsidRDefault="008C002B">
      <w:pPr>
        <w:spacing w:line="600" w:lineRule="exact"/>
        <w:jc w:val="center"/>
        <w:rPr>
          <w:rFonts w:eastAsia="仿宋"/>
          <w:sz w:val="32"/>
          <w:szCs w:val="32"/>
        </w:rPr>
      </w:pPr>
    </w:p>
    <w:p w:rsidR="008C002B" w:rsidRDefault="008C002B">
      <w:pPr>
        <w:spacing w:line="600" w:lineRule="exact"/>
        <w:jc w:val="center"/>
        <w:rPr>
          <w:rFonts w:eastAsia="仿宋"/>
          <w:sz w:val="32"/>
          <w:szCs w:val="32"/>
        </w:rPr>
      </w:pPr>
    </w:p>
    <w:p w:rsidR="008C002B" w:rsidRDefault="008C002B">
      <w:pPr>
        <w:spacing w:line="600" w:lineRule="exact"/>
        <w:jc w:val="center"/>
        <w:rPr>
          <w:rFonts w:eastAsia="仿宋"/>
          <w:sz w:val="32"/>
          <w:szCs w:val="32"/>
        </w:rPr>
      </w:pPr>
    </w:p>
    <w:p w:rsidR="008C002B" w:rsidRDefault="008C002B">
      <w:pPr>
        <w:spacing w:line="600" w:lineRule="exact"/>
        <w:jc w:val="center"/>
        <w:rPr>
          <w:rFonts w:eastAsia="仿宋"/>
          <w:sz w:val="32"/>
          <w:szCs w:val="32"/>
        </w:rPr>
      </w:pPr>
    </w:p>
    <w:p w:rsidR="008C002B" w:rsidRDefault="008C002B">
      <w:pPr>
        <w:spacing w:line="600" w:lineRule="exact"/>
        <w:jc w:val="center"/>
        <w:rPr>
          <w:rFonts w:eastAsia="仿宋"/>
          <w:sz w:val="32"/>
          <w:szCs w:val="32"/>
        </w:rPr>
      </w:pPr>
    </w:p>
    <w:p w:rsidR="003C5619" w:rsidRDefault="00761F12">
      <w:pPr>
        <w:spacing w:line="600" w:lineRule="exact"/>
        <w:jc w:val="center"/>
        <w:rPr>
          <w:rFonts w:eastAsia="仿宋"/>
          <w:sz w:val="32"/>
          <w:szCs w:val="32"/>
        </w:rPr>
      </w:pPr>
      <w:r>
        <w:rPr>
          <w:rFonts w:eastAsia="仿宋"/>
          <w:sz w:val="32"/>
          <w:szCs w:val="32"/>
        </w:rPr>
        <w:t>（图</w:t>
      </w:r>
      <w:r>
        <w:rPr>
          <w:rFonts w:eastAsia="仿宋"/>
          <w:sz w:val="32"/>
          <w:szCs w:val="32"/>
        </w:rPr>
        <w:t>6</w:t>
      </w:r>
      <w:r>
        <w:rPr>
          <w:rFonts w:eastAsia="仿宋"/>
          <w:sz w:val="32"/>
          <w:szCs w:val="32"/>
        </w:rPr>
        <w:t>：一般公共预算财政拨款支出决算结构）（饼状图）</w:t>
      </w:r>
    </w:p>
    <w:p w:rsidR="003C5619" w:rsidRDefault="003C5619">
      <w:pPr>
        <w:spacing w:line="600" w:lineRule="exact"/>
        <w:ind w:firstLineChars="200" w:firstLine="640"/>
        <w:rPr>
          <w:rFonts w:eastAsia="仿宋"/>
          <w:sz w:val="32"/>
          <w:szCs w:val="32"/>
        </w:rPr>
      </w:pPr>
    </w:p>
    <w:p w:rsidR="003C5619" w:rsidRPr="008651BC" w:rsidRDefault="00761F12">
      <w:pPr>
        <w:spacing w:line="600" w:lineRule="exact"/>
        <w:ind w:firstLineChars="200" w:firstLine="640"/>
        <w:outlineLvl w:val="2"/>
        <w:rPr>
          <w:rFonts w:ascii="楷体_GB2312" w:eastAsia="楷体_GB2312" w:hint="eastAsia"/>
          <w:sz w:val="32"/>
          <w:szCs w:val="32"/>
        </w:rPr>
      </w:pPr>
      <w:bookmarkStart w:id="31" w:name="_Toc15377212"/>
      <w:r w:rsidRPr="008651BC">
        <w:rPr>
          <w:rFonts w:ascii="楷体_GB2312" w:eastAsia="楷体_GB2312" w:hint="eastAsia"/>
          <w:sz w:val="32"/>
          <w:szCs w:val="32"/>
        </w:rPr>
        <w:t>（三）一般公共预算财政拨款支出决算具体情况</w:t>
      </w:r>
      <w:bookmarkEnd w:id="31"/>
      <w:r w:rsidR="008C002B">
        <w:rPr>
          <w:rFonts w:ascii="楷体_GB2312" w:eastAsia="楷体_GB2312" w:hint="eastAsia"/>
          <w:sz w:val="32"/>
          <w:szCs w:val="32"/>
        </w:rPr>
        <w:t>。</w:t>
      </w:r>
    </w:p>
    <w:p w:rsidR="003C5619" w:rsidRPr="008651BC" w:rsidRDefault="00761F12" w:rsidP="008C002B">
      <w:pPr>
        <w:spacing w:line="560" w:lineRule="exact"/>
        <w:ind w:firstLineChars="200" w:firstLine="643"/>
        <w:outlineLvl w:val="2"/>
        <w:rPr>
          <w:rFonts w:ascii="仿宋_GB2312" w:eastAsia="仿宋_GB2312" w:hint="eastAsia"/>
          <w:sz w:val="32"/>
          <w:szCs w:val="32"/>
        </w:rPr>
      </w:pPr>
      <w:bookmarkStart w:id="32" w:name="_Toc15378460"/>
      <w:bookmarkStart w:id="33" w:name="_Toc15377444"/>
      <w:bookmarkStart w:id="34" w:name="_Toc15377213"/>
      <w:r w:rsidRPr="008651BC">
        <w:rPr>
          <w:rFonts w:ascii="仿宋_GB2312" w:eastAsia="仿宋_GB2312" w:hint="eastAsia"/>
          <w:b/>
          <w:sz w:val="32"/>
          <w:szCs w:val="32"/>
        </w:rPr>
        <w:t>2021年一般公共预算支出决算数为2833.7万元</w:t>
      </w:r>
      <w:r w:rsidRPr="008651BC">
        <w:rPr>
          <w:rFonts w:ascii="仿宋_GB2312" w:eastAsia="仿宋_GB2312" w:hint="eastAsia"/>
          <w:sz w:val="32"/>
          <w:szCs w:val="32"/>
        </w:rPr>
        <w:t>，</w:t>
      </w:r>
      <w:r w:rsidRPr="008651BC">
        <w:rPr>
          <w:rStyle w:val="a7"/>
          <w:rFonts w:ascii="仿宋_GB2312" w:eastAsia="仿宋_GB2312" w:hint="eastAsia"/>
          <w:bCs/>
          <w:sz w:val="32"/>
          <w:szCs w:val="32"/>
        </w:rPr>
        <w:t>完成预算100%。其中：</w:t>
      </w:r>
      <w:bookmarkEnd w:id="32"/>
      <w:bookmarkEnd w:id="33"/>
      <w:bookmarkEnd w:id="34"/>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t>1.学前教育（类）205（款）02（项）01:</w:t>
      </w:r>
      <w:r w:rsidRPr="008651BC">
        <w:rPr>
          <w:rStyle w:val="a7"/>
          <w:rFonts w:ascii="仿宋_GB2312" w:eastAsia="仿宋_GB2312" w:hint="eastAsia"/>
          <w:b w:val="0"/>
          <w:bCs/>
          <w:sz w:val="32"/>
          <w:szCs w:val="32"/>
        </w:rPr>
        <w:t>支出决算为2.58万元，完成预算100%，与预算数持平。</w:t>
      </w:r>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t>2.小学教育（类）205（款）02（项）02:</w:t>
      </w:r>
      <w:r w:rsidRPr="008651BC">
        <w:rPr>
          <w:rStyle w:val="a7"/>
          <w:rFonts w:ascii="仿宋_GB2312" w:eastAsia="仿宋_GB2312" w:hint="eastAsia"/>
          <w:b w:val="0"/>
          <w:bCs/>
          <w:sz w:val="32"/>
          <w:szCs w:val="32"/>
        </w:rPr>
        <w:t>支出决算为2291.04万元，完成预算100%，与预算数持平。</w:t>
      </w:r>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t>3.其他普通教育支出（类）205（款）02（项）99:</w:t>
      </w:r>
      <w:r w:rsidRPr="008651BC">
        <w:rPr>
          <w:rStyle w:val="a7"/>
          <w:rFonts w:ascii="仿宋_GB2312" w:eastAsia="仿宋_GB2312" w:hint="eastAsia"/>
          <w:b w:val="0"/>
          <w:bCs/>
          <w:sz w:val="32"/>
          <w:szCs w:val="32"/>
        </w:rPr>
        <w:t>支出决算为3.52万元，完成预算100%，与预算数持平。</w:t>
      </w:r>
    </w:p>
    <w:p w:rsidR="003C5619" w:rsidRPr="008651BC" w:rsidRDefault="00761F12" w:rsidP="008C002B">
      <w:pPr>
        <w:spacing w:line="560" w:lineRule="exact"/>
        <w:ind w:firstLineChars="200" w:firstLine="643"/>
        <w:rPr>
          <w:rStyle w:val="a7"/>
          <w:rFonts w:ascii="仿宋_GB2312" w:eastAsia="仿宋_GB2312" w:hint="eastAsia"/>
          <w:b w:val="0"/>
          <w:bCs/>
          <w:sz w:val="32"/>
          <w:szCs w:val="32"/>
        </w:rPr>
      </w:pPr>
      <w:r w:rsidRPr="008651BC">
        <w:rPr>
          <w:rStyle w:val="a7"/>
          <w:rFonts w:ascii="仿宋_GB2312" w:eastAsia="仿宋_GB2312" w:hint="eastAsia"/>
          <w:bCs/>
          <w:sz w:val="32"/>
          <w:szCs w:val="32"/>
        </w:rPr>
        <w:t>4.农村中小学教学设施（类）205（款）09（项）02:</w:t>
      </w:r>
      <w:r w:rsidRPr="008651BC">
        <w:rPr>
          <w:rStyle w:val="a7"/>
          <w:rFonts w:ascii="仿宋_GB2312" w:eastAsia="仿宋_GB2312" w:hint="eastAsia"/>
          <w:b w:val="0"/>
          <w:bCs/>
          <w:sz w:val="32"/>
          <w:szCs w:val="32"/>
        </w:rPr>
        <w:t>支出决算为83.05万元，完成预算39.55%，决算数小于预算数的主要原因是该项目未通过验收。</w:t>
      </w:r>
    </w:p>
    <w:p w:rsidR="003C5619" w:rsidRPr="008651BC" w:rsidRDefault="00761F12" w:rsidP="008C002B">
      <w:pPr>
        <w:spacing w:line="560" w:lineRule="exact"/>
        <w:ind w:firstLineChars="200" w:firstLine="420"/>
        <w:rPr>
          <w:rFonts w:ascii="仿宋_GB2312" w:eastAsia="仿宋_GB2312" w:hint="eastAsia"/>
        </w:rPr>
      </w:pPr>
      <w:r w:rsidRPr="008651BC">
        <w:rPr>
          <w:rFonts w:ascii="仿宋_GB2312" w:eastAsia="仿宋_GB2312" w:hint="eastAsia"/>
        </w:rPr>
        <w:t xml:space="preserve">  </w:t>
      </w:r>
      <w:r w:rsidRPr="008651BC">
        <w:rPr>
          <w:rFonts w:ascii="仿宋_GB2312" w:eastAsia="仿宋_GB2312" w:hint="eastAsia"/>
          <w:b/>
          <w:bCs/>
          <w:sz w:val="32"/>
          <w:szCs w:val="32"/>
        </w:rPr>
        <w:t>5.</w:t>
      </w:r>
      <w:r w:rsidRPr="008651BC">
        <w:rPr>
          <w:rStyle w:val="a7"/>
          <w:rFonts w:ascii="仿宋_GB2312" w:eastAsia="仿宋_GB2312" w:hint="eastAsia"/>
          <w:bCs/>
          <w:sz w:val="32"/>
          <w:szCs w:val="32"/>
        </w:rPr>
        <w:t>其他教育费附加安排的支出（类）205（款）09（项）99:</w:t>
      </w:r>
      <w:r w:rsidRPr="008651BC">
        <w:rPr>
          <w:rStyle w:val="a7"/>
          <w:rFonts w:ascii="仿宋_GB2312" w:eastAsia="仿宋_GB2312" w:hint="eastAsia"/>
          <w:b w:val="0"/>
          <w:bCs/>
          <w:sz w:val="32"/>
          <w:szCs w:val="32"/>
        </w:rPr>
        <w:t>支出决算为2.55万元，完成预算100%，与预算数持平。</w:t>
      </w:r>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lastRenderedPageBreak/>
        <w:t>6.机关事业单位基本养老保险缴费支出（类）208（款）05（项）05:</w:t>
      </w:r>
      <w:r w:rsidRPr="008651BC">
        <w:rPr>
          <w:rStyle w:val="a7"/>
          <w:rFonts w:ascii="仿宋_GB2312" w:eastAsia="仿宋_GB2312" w:hint="eastAsia"/>
          <w:b w:val="0"/>
          <w:bCs/>
          <w:sz w:val="32"/>
          <w:szCs w:val="32"/>
        </w:rPr>
        <w:t>支出决算为205.28万元，完成预算100%，与预算数持平。</w:t>
      </w:r>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t>7.</w:t>
      </w:r>
      <w:r w:rsidRPr="008651BC">
        <w:rPr>
          <w:rFonts w:ascii="仿宋_GB2312" w:eastAsia="仿宋_GB2312" w:hint="eastAsia"/>
          <w:b/>
          <w:bCs/>
          <w:sz w:val="32"/>
          <w:szCs w:val="32"/>
        </w:rPr>
        <w:t>机关事业单位职业年金缴费支出</w:t>
      </w:r>
      <w:r w:rsidRPr="008651BC">
        <w:rPr>
          <w:rStyle w:val="a7"/>
          <w:rFonts w:ascii="仿宋_GB2312" w:eastAsia="仿宋_GB2312" w:hint="eastAsia"/>
          <w:bCs/>
          <w:sz w:val="32"/>
          <w:szCs w:val="32"/>
        </w:rPr>
        <w:t>（类）208（款）05（项）06:</w:t>
      </w:r>
      <w:r w:rsidRPr="008651BC">
        <w:rPr>
          <w:rStyle w:val="a7"/>
          <w:rFonts w:ascii="仿宋_GB2312" w:eastAsia="仿宋_GB2312" w:hint="eastAsia"/>
          <w:b w:val="0"/>
          <w:bCs/>
          <w:sz w:val="32"/>
          <w:szCs w:val="32"/>
        </w:rPr>
        <w:t>支出决算为35万元，完成预算100%，与预算数持平。</w:t>
      </w:r>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t>8.</w:t>
      </w:r>
      <w:r w:rsidRPr="008651BC">
        <w:rPr>
          <w:rFonts w:ascii="仿宋_GB2312" w:eastAsia="仿宋_GB2312" w:hint="eastAsia"/>
          <w:b/>
          <w:bCs/>
          <w:sz w:val="32"/>
          <w:szCs w:val="32"/>
        </w:rPr>
        <w:t>伤残抚恤</w:t>
      </w:r>
      <w:r w:rsidRPr="008651BC">
        <w:rPr>
          <w:rStyle w:val="a7"/>
          <w:rFonts w:ascii="仿宋_GB2312" w:eastAsia="仿宋_GB2312" w:hint="eastAsia"/>
          <w:bCs/>
          <w:sz w:val="32"/>
          <w:szCs w:val="32"/>
        </w:rPr>
        <w:t>（类）208（款）08（项）02:</w:t>
      </w:r>
      <w:r w:rsidRPr="008651BC">
        <w:rPr>
          <w:rStyle w:val="a7"/>
          <w:rFonts w:ascii="仿宋_GB2312" w:eastAsia="仿宋_GB2312" w:hint="eastAsia"/>
          <w:b w:val="0"/>
          <w:bCs/>
          <w:sz w:val="32"/>
          <w:szCs w:val="32"/>
        </w:rPr>
        <w:t>支出决算为0.15万元，完成预算100%，与预算数持平。</w:t>
      </w:r>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t>9.</w:t>
      </w:r>
      <w:r w:rsidRPr="008651BC">
        <w:rPr>
          <w:rFonts w:ascii="仿宋_GB2312" w:eastAsia="仿宋_GB2312" w:hint="eastAsia"/>
          <w:b/>
          <w:bCs/>
          <w:sz w:val="32"/>
          <w:szCs w:val="32"/>
        </w:rPr>
        <w:t>住房公积金</w:t>
      </w:r>
      <w:r w:rsidRPr="008651BC">
        <w:rPr>
          <w:rStyle w:val="a7"/>
          <w:rFonts w:ascii="仿宋_GB2312" w:eastAsia="仿宋_GB2312" w:hint="eastAsia"/>
          <w:bCs/>
          <w:sz w:val="32"/>
          <w:szCs w:val="32"/>
        </w:rPr>
        <w:t>（类）221（款）02（项）01:</w:t>
      </w:r>
      <w:r w:rsidRPr="008651BC">
        <w:rPr>
          <w:rStyle w:val="a7"/>
          <w:rFonts w:ascii="仿宋_GB2312" w:eastAsia="仿宋_GB2312" w:hint="eastAsia"/>
          <w:b w:val="0"/>
          <w:bCs/>
          <w:sz w:val="32"/>
          <w:szCs w:val="32"/>
        </w:rPr>
        <w:t>支出决算为199.55万元，完成预算100%，与预算数持平。</w:t>
      </w:r>
    </w:p>
    <w:p w:rsidR="003C5619" w:rsidRPr="008651BC" w:rsidRDefault="00761F12" w:rsidP="008C002B">
      <w:pPr>
        <w:spacing w:line="560" w:lineRule="exact"/>
        <w:ind w:firstLineChars="200" w:firstLine="643"/>
        <w:rPr>
          <w:rFonts w:ascii="仿宋_GB2312" w:eastAsia="仿宋_GB2312" w:hint="eastAsia"/>
          <w:b/>
          <w:sz w:val="32"/>
          <w:szCs w:val="32"/>
        </w:rPr>
      </w:pPr>
      <w:r w:rsidRPr="008651BC">
        <w:rPr>
          <w:rStyle w:val="a7"/>
          <w:rFonts w:ascii="仿宋_GB2312" w:eastAsia="仿宋_GB2312" w:hint="eastAsia"/>
          <w:bCs/>
          <w:sz w:val="32"/>
          <w:szCs w:val="32"/>
        </w:rPr>
        <w:t>10.</w:t>
      </w:r>
      <w:r w:rsidRPr="008651BC">
        <w:rPr>
          <w:rFonts w:ascii="仿宋_GB2312" w:eastAsia="仿宋_GB2312" w:hint="eastAsia"/>
          <w:b/>
          <w:bCs/>
          <w:sz w:val="32"/>
          <w:szCs w:val="32"/>
        </w:rPr>
        <w:t>购房补贴</w:t>
      </w:r>
      <w:r w:rsidRPr="008651BC">
        <w:rPr>
          <w:rStyle w:val="a7"/>
          <w:rFonts w:ascii="仿宋_GB2312" w:eastAsia="仿宋_GB2312" w:hint="eastAsia"/>
          <w:bCs/>
          <w:sz w:val="32"/>
          <w:szCs w:val="32"/>
        </w:rPr>
        <w:t>（类）221（款）02（项）03:</w:t>
      </w:r>
      <w:r w:rsidRPr="008651BC">
        <w:rPr>
          <w:rStyle w:val="a7"/>
          <w:rFonts w:ascii="仿宋_GB2312" w:eastAsia="仿宋_GB2312" w:hint="eastAsia"/>
          <w:b w:val="0"/>
          <w:bCs/>
          <w:sz w:val="32"/>
          <w:szCs w:val="32"/>
        </w:rPr>
        <w:t>支出决算为10.98万元，完成预算100%，与预算数持平。</w:t>
      </w:r>
    </w:p>
    <w:p w:rsidR="003C5619" w:rsidRDefault="003C5619">
      <w:pPr>
        <w:spacing w:line="600" w:lineRule="exact"/>
        <w:ind w:firstLine="640"/>
        <w:rPr>
          <w:rFonts w:eastAsia="仿宋"/>
          <w:b/>
          <w:sz w:val="32"/>
          <w:szCs w:val="32"/>
        </w:rPr>
      </w:pPr>
    </w:p>
    <w:p w:rsidR="003C5619" w:rsidRDefault="00761F12">
      <w:pPr>
        <w:tabs>
          <w:tab w:val="right" w:pos="8306"/>
        </w:tabs>
        <w:spacing w:line="600" w:lineRule="exact"/>
        <w:ind w:firstLine="640"/>
        <w:outlineLvl w:val="1"/>
        <w:rPr>
          <w:rStyle w:val="2Char"/>
          <w:rFonts w:ascii="Times New Roman" w:hAnsi="Times New Roman" w:cs="Times New Roman"/>
        </w:rPr>
      </w:pPr>
      <w:bookmarkStart w:id="35" w:name="_Toc15377214"/>
      <w:bookmarkStart w:id="36" w:name="_Toc15396608"/>
      <w:r>
        <w:rPr>
          <w:rFonts w:eastAsia="黑体"/>
          <w:sz w:val="32"/>
          <w:szCs w:val="32"/>
        </w:rPr>
        <w:t>六</w:t>
      </w:r>
      <w:r>
        <w:rPr>
          <w:rFonts w:eastAsia="黑体"/>
          <w:b/>
          <w:sz w:val="32"/>
          <w:szCs w:val="32"/>
        </w:rPr>
        <w:t>、一</w:t>
      </w:r>
      <w:r>
        <w:rPr>
          <w:rStyle w:val="2Char"/>
          <w:rFonts w:ascii="Times New Roman" w:eastAsia="黑体" w:hAnsi="Times New Roman" w:cs="Times New Roman"/>
          <w:b w:val="0"/>
        </w:rPr>
        <w:t>般公共预算财政拨款基本支出决算情况说明</w:t>
      </w:r>
      <w:bookmarkEnd w:id="35"/>
      <w:bookmarkEnd w:id="36"/>
      <w:r>
        <w:rPr>
          <w:rStyle w:val="2Char"/>
          <w:rFonts w:ascii="Times New Roman" w:eastAsia="黑体" w:hAnsi="Times New Roman" w:cs="Times New Roman"/>
          <w:b w:val="0"/>
        </w:rPr>
        <w:tab/>
      </w:r>
    </w:p>
    <w:p w:rsidR="003C5619" w:rsidRPr="008651BC" w:rsidRDefault="00761F12" w:rsidP="008C002B">
      <w:pPr>
        <w:spacing w:line="560" w:lineRule="exact"/>
        <w:ind w:firstLine="646"/>
        <w:rPr>
          <w:rFonts w:ascii="仿宋_GB2312" w:eastAsia="仿宋_GB2312" w:hint="eastAsia"/>
          <w:sz w:val="32"/>
          <w:szCs w:val="32"/>
        </w:rPr>
      </w:pPr>
      <w:r w:rsidRPr="008651BC">
        <w:rPr>
          <w:rFonts w:ascii="仿宋_GB2312" w:eastAsia="仿宋_GB2312" w:hint="eastAsia"/>
          <w:sz w:val="32"/>
          <w:szCs w:val="32"/>
        </w:rPr>
        <w:t>2021年一般公共预算财政拨款基本支出</w:t>
      </w:r>
      <w:r w:rsidR="0087654A" w:rsidRPr="008651BC">
        <w:rPr>
          <w:rFonts w:ascii="仿宋_GB2312" w:eastAsia="仿宋_GB2312" w:hint="eastAsia"/>
          <w:sz w:val="32"/>
          <w:szCs w:val="32"/>
        </w:rPr>
        <w:t>2455.4</w:t>
      </w:r>
      <w:r w:rsidRPr="008651BC">
        <w:rPr>
          <w:rFonts w:ascii="仿宋_GB2312" w:eastAsia="仿宋_GB2312" w:hint="eastAsia"/>
          <w:sz w:val="32"/>
          <w:szCs w:val="32"/>
        </w:rPr>
        <w:t>万元，其中：</w:t>
      </w:r>
    </w:p>
    <w:p w:rsidR="003C5619" w:rsidRPr="008651BC" w:rsidRDefault="00761F12" w:rsidP="008C002B">
      <w:pPr>
        <w:spacing w:line="560" w:lineRule="exact"/>
        <w:ind w:firstLine="646"/>
        <w:rPr>
          <w:rFonts w:ascii="仿宋_GB2312" w:eastAsia="仿宋_GB2312" w:hint="eastAsia"/>
          <w:sz w:val="32"/>
          <w:szCs w:val="32"/>
        </w:rPr>
      </w:pPr>
      <w:r w:rsidRPr="008651BC">
        <w:rPr>
          <w:rFonts w:ascii="仿宋_GB2312" w:eastAsia="仿宋_GB2312" w:hint="eastAsia"/>
          <w:sz w:val="32"/>
          <w:szCs w:val="32"/>
        </w:rPr>
        <w:t>人员经费</w:t>
      </w:r>
      <w:r w:rsidR="0087654A" w:rsidRPr="008651BC">
        <w:rPr>
          <w:rFonts w:ascii="仿宋_GB2312" w:eastAsia="仿宋_GB2312" w:hint="eastAsia"/>
          <w:sz w:val="32"/>
          <w:szCs w:val="32"/>
        </w:rPr>
        <w:t>2403.45</w:t>
      </w:r>
      <w:r w:rsidRPr="008651BC">
        <w:rPr>
          <w:rFonts w:ascii="仿宋_GB2312" w:eastAsia="仿宋_GB2312" w:hint="eastAsia"/>
          <w:sz w:val="32"/>
          <w:szCs w:val="32"/>
        </w:rPr>
        <w:t>万元，主要包括：基本工资、津贴补贴、绩效工资、机关事业单位基本养老保险缴费、职业年金缴费、职工基本医疗保险缴费、公务员医疗补助缴费、其他社会保障缴费、住房公积金、其他工资福利支出、抚恤金、生活补助、医疗费补助、奖励金、其他对个人和家庭的补助支出等。</w:t>
      </w:r>
      <w:r w:rsidRPr="008651BC">
        <w:rPr>
          <w:rFonts w:ascii="仿宋_GB2312" w:eastAsia="仿宋_GB2312" w:hint="eastAsia"/>
          <w:sz w:val="32"/>
          <w:szCs w:val="32"/>
        </w:rPr>
        <w:br/>
        <w:t xml:space="preserve">　　公用经费51.95万元，主要包括：办公费、维修（护）费、工会经费、福利费等。</w:t>
      </w:r>
    </w:p>
    <w:p w:rsidR="003C5619" w:rsidRDefault="003C5619">
      <w:pPr>
        <w:spacing w:line="600" w:lineRule="exact"/>
        <w:ind w:firstLine="640"/>
        <w:rPr>
          <w:rFonts w:eastAsia="仿宋"/>
          <w:b/>
          <w:sz w:val="32"/>
          <w:szCs w:val="32"/>
        </w:rPr>
      </w:pPr>
    </w:p>
    <w:p w:rsidR="003C5619" w:rsidRDefault="00761F12">
      <w:pPr>
        <w:spacing w:line="600" w:lineRule="exact"/>
        <w:ind w:firstLine="640"/>
        <w:outlineLvl w:val="1"/>
        <w:rPr>
          <w:rStyle w:val="2Char"/>
          <w:rFonts w:ascii="Times New Roman" w:eastAsia="黑体" w:hAnsi="Times New Roman" w:cs="Times New Roman"/>
          <w:b w:val="0"/>
        </w:rPr>
      </w:pPr>
      <w:bookmarkStart w:id="37" w:name="_Toc15377215"/>
      <w:bookmarkStart w:id="38" w:name="_Toc15396609"/>
      <w:r>
        <w:rPr>
          <w:rFonts w:eastAsia="黑体"/>
          <w:sz w:val="32"/>
          <w:szCs w:val="32"/>
        </w:rPr>
        <w:lastRenderedPageBreak/>
        <w:t>七、</w:t>
      </w:r>
      <w:r>
        <w:rPr>
          <w:rStyle w:val="2Char"/>
          <w:rFonts w:ascii="Times New Roman" w:eastAsia="黑体" w:hAnsi="Times New Roman" w:cs="Times New Roman"/>
        </w:rPr>
        <w:t>“</w:t>
      </w:r>
      <w:r>
        <w:rPr>
          <w:rStyle w:val="2Char"/>
          <w:rFonts w:ascii="Times New Roman" w:eastAsia="黑体" w:hAnsi="Times New Roman" w:cs="Times New Roman"/>
          <w:b w:val="0"/>
        </w:rPr>
        <w:t>三公</w:t>
      </w:r>
      <w:r>
        <w:rPr>
          <w:rStyle w:val="2Char"/>
          <w:rFonts w:ascii="Times New Roman" w:eastAsia="黑体" w:hAnsi="Times New Roman" w:cs="Times New Roman"/>
          <w:b w:val="0"/>
        </w:rPr>
        <w:t>”</w:t>
      </w:r>
      <w:r>
        <w:rPr>
          <w:rStyle w:val="2Char"/>
          <w:rFonts w:ascii="Times New Roman" w:eastAsia="黑体" w:hAnsi="Times New Roman" w:cs="Times New Roman"/>
          <w:b w:val="0"/>
        </w:rPr>
        <w:t>经费财政拨款支出决算情况说明</w:t>
      </w:r>
      <w:bookmarkEnd w:id="37"/>
      <w:bookmarkEnd w:id="38"/>
    </w:p>
    <w:p w:rsidR="003C5619" w:rsidRPr="008651BC" w:rsidRDefault="00761F12" w:rsidP="008C002B">
      <w:pPr>
        <w:spacing w:line="560" w:lineRule="exact"/>
        <w:ind w:firstLine="641"/>
        <w:outlineLvl w:val="2"/>
        <w:rPr>
          <w:rFonts w:ascii="楷体_GB2312" w:eastAsia="楷体_GB2312" w:hint="eastAsia"/>
          <w:sz w:val="32"/>
          <w:szCs w:val="32"/>
        </w:rPr>
      </w:pPr>
      <w:bookmarkStart w:id="39" w:name="_Toc15377216"/>
      <w:r w:rsidRPr="008651BC">
        <w:rPr>
          <w:rFonts w:ascii="楷体_GB2312" w:eastAsia="楷体_GB2312" w:hint="eastAsia"/>
          <w:sz w:val="32"/>
          <w:szCs w:val="32"/>
        </w:rPr>
        <w:t>（一）“三公”经费财政拨款支出决算总体情况说明</w:t>
      </w:r>
      <w:bookmarkEnd w:id="39"/>
      <w:r w:rsidR="008651BC" w:rsidRPr="008651BC">
        <w:rPr>
          <w:rFonts w:ascii="楷体_GB2312" w:eastAsia="楷体_GB2312" w:hint="eastAsia"/>
          <w:sz w:val="32"/>
          <w:szCs w:val="32"/>
        </w:rPr>
        <w:t>。</w:t>
      </w:r>
    </w:p>
    <w:p w:rsidR="003C5619" w:rsidRDefault="00761F12" w:rsidP="008C002B">
      <w:pPr>
        <w:spacing w:line="560" w:lineRule="exact"/>
        <w:ind w:firstLine="641"/>
        <w:jc w:val="left"/>
        <w:rPr>
          <w:rFonts w:eastAsia="仿宋"/>
          <w:sz w:val="32"/>
          <w:szCs w:val="32"/>
        </w:rPr>
      </w:pPr>
      <w:r>
        <w:rPr>
          <w:rFonts w:eastAsia="仿宋"/>
          <w:sz w:val="32"/>
          <w:szCs w:val="32"/>
        </w:rPr>
        <w:t>2021</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经费财政拨款支出决算为</w:t>
      </w:r>
      <w:r>
        <w:rPr>
          <w:rFonts w:eastAsia="仿宋"/>
          <w:sz w:val="32"/>
          <w:szCs w:val="32"/>
        </w:rPr>
        <w:t>0</w:t>
      </w:r>
      <w:r>
        <w:rPr>
          <w:rFonts w:eastAsia="仿宋"/>
          <w:sz w:val="32"/>
          <w:szCs w:val="32"/>
        </w:rPr>
        <w:t>万元，完成预算</w:t>
      </w:r>
      <w:r>
        <w:rPr>
          <w:rFonts w:eastAsia="仿宋"/>
          <w:sz w:val="32"/>
          <w:szCs w:val="32"/>
        </w:rPr>
        <w:t>0%</w:t>
      </w:r>
      <w:r>
        <w:rPr>
          <w:rFonts w:eastAsia="仿宋"/>
          <w:sz w:val="32"/>
          <w:szCs w:val="32"/>
        </w:rPr>
        <w:t>，与预算数持平。</w:t>
      </w:r>
    </w:p>
    <w:p w:rsidR="003C5619" w:rsidRPr="008651BC" w:rsidRDefault="00761F12" w:rsidP="008C002B">
      <w:pPr>
        <w:spacing w:line="560" w:lineRule="exact"/>
        <w:ind w:firstLine="641"/>
        <w:outlineLvl w:val="2"/>
        <w:rPr>
          <w:rFonts w:ascii="楷体_GB2312" w:eastAsia="楷体_GB2312"/>
          <w:sz w:val="32"/>
          <w:szCs w:val="32"/>
        </w:rPr>
      </w:pPr>
      <w:bookmarkStart w:id="40" w:name="_Toc15377217"/>
      <w:r w:rsidRPr="008651BC">
        <w:rPr>
          <w:rFonts w:ascii="楷体_GB2312" w:eastAsia="楷体_GB2312"/>
          <w:sz w:val="32"/>
          <w:szCs w:val="32"/>
        </w:rPr>
        <w:t>（二）</w:t>
      </w:r>
      <w:r w:rsidRPr="008651BC">
        <w:rPr>
          <w:rFonts w:ascii="楷体_GB2312" w:eastAsia="楷体_GB2312"/>
          <w:sz w:val="32"/>
          <w:szCs w:val="32"/>
        </w:rPr>
        <w:t>“</w:t>
      </w:r>
      <w:r w:rsidRPr="008651BC">
        <w:rPr>
          <w:rFonts w:ascii="楷体_GB2312" w:eastAsia="楷体_GB2312"/>
          <w:sz w:val="32"/>
          <w:szCs w:val="32"/>
        </w:rPr>
        <w:t>三公</w:t>
      </w:r>
      <w:r w:rsidRPr="008651BC">
        <w:rPr>
          <w:rFonts w:ascii="楷体_GB2312" w:eastAsia="楷体_GB2312"/>
          <w:sz w:val="32"/>
          <w:szCs w:val="32"/>
        </w:rPr>
        <w:t>”</w:t>
      </w:r>
      <w:r w:rsidRPr="008651BC">
        <w:rPr>
          <w:rFonts w:ascii="楷体_GB2312" w:eastAsia="楷体_GB2312"/>
          <w:sz w:val="32"/>
          <w:szCs w:val="32"/>
        </w:rPr>
        <w:t>经费财政拨款支出决算具体情况说明</w:t>
      </w:r>
      <w:bookmarkEnd w:id="40"/>
      <w:r w:rsidR="008651BC">
        <w:rPr>
          <w:rFonts w:ascii="楷体_GB2312" w:eastAsia="楷体_GB2312"/>
          <w:sz w:val="32"/>
          <w:szCs w:val="32"/>
        </w:rPr>
        <w:t>。</w:t>
      </w:r>
    </w:p>
    <w:p w:rsidR="003C5619" w:rsidRPr="008651BC" w:rsidRDefault="00761F12" w:rsidP="008C002B">
      <w:pPr>
        <w:spacing w:line="560" w:lineRule="exact"/>
        <w:ind w:firstLine="641"/>
        <w:rPr>
          <w:rFonts w:ascii="仿宋_GB2312" w:eastAsia="仿宋_GB2312" w:hint="eastAsia"/>
          <w:sz w:val="32"/>
          <w:szCs w:val="32"/>
        </w:rPr>
      </w:pPr>
      <w:r w:rsidRPr="008651BC">
        <w:rPr>
          <w:rFonts w:ascii="仿宋_GB2312" w:eastAsia="仿宋_GB2312" w:hint="eastAsia"/>
          <w:sz w:val="32"/>
          <w:szCs w:val="32"/>
        </w:rPr>
        <w:t>2021年“三公”经费财政拨款支出决算中，因公出国（境）费支出决算0万元，占0%；公务用车购置及运行维护费支出决算0万元，占0%；公务接待费支出决算0万元，占0%。具体情况如下：</w:t>
      </w:r>
    </w:p>
    <w:p w:rsidR="003C5619" w:rsidRPr="008651BC" w:rsidRDefault="00761F12" w:rsidP="008C002B">
      <w:pPr>
        <w:spacing w:line="560" w:lineRule="exact"/>
        <w:ind w:firstLine="641"/>
        <w:rPr>
          <w:rFonts w:ascii="仿宋_GB2312" w:eastAsia="仿宋_GB2312" w:hint="eastAsia"/>
          <w:b/>
          <w:sz w:val="32"/>
          <w:szCs w:val="32"/>
        </w:rPr>
      </w:pPr>
      <w:r>
        <w:rPr>
          <w:rFonts w:eastAsia="仿宋_GB2312"/>
          <w:b/>
          <w:sz w:val="32"/>
          <w:szCs w:val="32"/>
        </w:rPr>
        <w:t>1.</w:t>
      </w:r>
      <w:r>
        <w:rPr>
          <w:rFonts w:eastAsia="仿宋_GB2312"/>
          <w:b/>
          <w:sz w:val="32"/>
          <w:szCs w:val="32"/>
        </w:rPr>
        <w:t>因公出国（境）经费支出</w:t>
      </w:r>
      <w:r w:rsidRPr="008651BC">
        <w:rPr>
          <w:rFonts w:ascii="仿宋_GB2312" w:eastAsia="仿宋_GB2312" w:hint="eastAsia"/>
          <w:sz w:val="32"/>
          <w:szCs w:val="32"/>
        </w:rPr>
        <w:t>0万元，</w:t>
      </w:r>
      <w:r w:rsidRPr="008651BC">
        <w:rPr>
          <w:rStyle w:val="a7"/>
          <w:rFonts w:ascii="仿宋_GB2312" w:eastAsia="仿宋_GB2312" w:hint="eastAsia"/>
          <w:b w:val="0"/>
          <w:bCs/>
          <w:sz w:val="32"/>
          <w:szCs w:val="32"/>
        </w:rPr>
        <w:t>完成预算0%。</w:t>
      </w:r>
      <w:r w:rsidRPr="008651BC">
        <w:rPr>
          <w:rFonts w:ascii="仿宋_GB2312" w:eastAsia="仿宋_GB2312" w:hint="eastAsia"/>
          <w:sz w:val="32"/>
          <w:szCs w:val="32"/>
        </w:rPr>
        <w:t>全年安排因公出国（境）团组0次，出国（境）0人。因公出国（境）支出决算与2020年持平。</w:t>
      </w:r>
    </w:p>
    <w:p w:rsidR="003C5619" w:rsidRPr="008651BC" w:rsidRDefault="00761F12" w:rsidP="008C002B">
      <w:pPr>
        <w:spacing w:line="560" w:lineRule="exact"/>
        <w:ind w:firstLine="641"/>
        <w:rPr>
          <w:rFonts w:ascii="仿宋_GB2312" w:eastAsia="仿宋_GB2312" w:hint="eastAsia"/>
          <w:sz w:val="32"/>
          <w:szCs w:val="32"/>
        </w:rPr>
      </w:pPr>
      <w:r>
        <w:rPr>
          <w:rFonts w:eastAsia="仿宋_GB2312"/>
          <w:b/>
          <w:sz w:val="32"/>
          <w:szCs w:val="32"/>
        </w:rPr>
        <w:t>2.</w:t>
      </w:r>
      <w:r>
        <w:rPr>
          <w:rFonts w:eastAsia="仿宋_GB2312"/>
          <w:b/>
          <w:sz w:val="32"/>
          <w:szCs w:val="32"/>
        </w:rPr>
        <w:t>公务用车购置及运行维护费支出</w:t>
      </w:r>
      <w:r w:rsidRPr="008651BC">
        <w:rPr>
          <w:rFonts w:ascii="仿宋_GB2312" w:eastAsia="仿宋_GB2312" w:hint="eastAsia"/>
          <w:sz w:val="32"/>
          <w:szCs w:val="32"/>
        </w:rPr>
        <w:t>0万元,</w:t>
      </w:r>
      <w:r w:rsidRPr="008651BC">
        <w:rPr>
          <w:rStyle w:val="a7"/>
          <w:rFonts w:ascii="仿宋_GB2312" w:eastAsia="仿宋_GB2312" w:hint="eastAsia"/>
          <w:b w:val="0"/>
          <w:bCs/>
          <w:sz w:val="32"/>
          <w:szCs w:val="32"/>
        </w:rPr>
        <w:t>完成预算0%。</w:t>
      </w:r>
      <w:r w:rsidRPr="008651BC">
        <w:rPr>
          <w:rFonts w:ascii="仿宋_GB2312" w:eastAsia="仿宋_GB2312" w:hint="eastAsia"/>
          <w:sz w:val="32"/>
          <w:szCs w:val="32"/>
        </w:rPr>
        <w:t>公务用车购置及运行维护费支出决算与2020年持平。</w:t>
      </w:r>
    </w:p>
    <w:p w:rsidR="003C5619" w:rsidRPr="008651BC" w:rsidRDefault="00761F12" w:rsidP="008C002B">
      <w:pPr>
        <w:spacing w:line="560" w:lineRule="exact"/>
        <w:ind w:firstLine="641"/>
        <w:rPr>
          <w:rFonts w:ascii="仿宋_GB2312" w:eastAsia="仿宋_GB2312" w:hint="eastAsia"/>
          <w:sz w:val="32"/>
          <w:szCs w:val="32"/>
        </w:rPr>
      </w:pPr>
      <w:r w:rsidRPr="008651BC">
        <w:rPr>
          <w:rFonts w:ascii="仿宋_GB2312" w:eastAsia="仿宋_GB2312" w:hint="eastAsia"/>
          <w:sz w:val="32"/>
          <w:szCs w:val="32"/>
        </w:rPr>
        <w:t>其中：公务用车购置支出0万元。全年按规定更新购置公务用车0辆，其中：轿车0辆、金额0万元，越野车0辆、金额0万元，载客汽车0辆、金额0万元0。截至2021年12月底，单位共有公务用车0辆，其中：轿车0辆、越野车0辆、载客汽车0辆。</w:t>
      </w:r>
    </w:p>
    <w:p w:rsidR="003C5619" w:rsidRPr="008651BC" w:rsidRDefault="00761F12" w:rsidP="008C002B">
      <w:pPr>
        <w:spacing w:line="560" w:lineRule="exact"/>
        <w:ind w:firstLine="641"/>
        <w:rPr>
          <w:rFonts w:ascii="仿宋_GB2312" w:eastAsia="仿宋_GB2312" w:hint="eastAsia"/>
          <w:sz w:val="32"/>
          <w:szCs w:val="32"/>
        </w:rPr>
      </w:pPr>
      <w:r w:rsidRPr="008651BC">
        <w:rPr>
          <w:rFonts w:ascii="仿宋_GB2312" w:eastAsia="仿宋_GB2312" w:hint="eastAsia"/>
          <w:sz w:val="32"/>
          <w:szCs w:val="32"/>
        </w:rPr>
        <w:t>公务用车运行维护费支出0万元。</w:t>
      </w:r>
    </w:p>
    <w:p w:rsidR="003C5619" w:rsidRDefault="00761F12" w:rsidP="008C002B">
      <w:pPr>
        <w:spacing w:line="560" w:lineRule="exact"/>
        <w:ind w:firstLine="641"/>
        <w:rPr>
          <w:rFonts w:eastAsia="仿宋_GB2312"/>
          <w:sz w:val="32"/>
          <w:szCs w:val="32"/>
        </w:rPr>
      </w:pPr>
      <w:r>
        <w:rPr>
          <w:rFonts w:eastAsia="仿宋_GB2312"/>
          <w:b/>
          <w:sz w:val="32"/>
          <w:szCs w:val="32"/>
        </w:rPr>
        <w:t>3.</w:t>
      </w:r>
      <w:r>
        <w:rPr>
          <w:rFonts w:eastAsia="仿宋_GB2312"/>
          <w:b/>
          <w:sz w:val="32"/>
          <w:szCs w:val="32"/>
        </w:rPr>
        <w:t>公务接待费支出</w:t>
      </w:r>
      <w:r w:rsidRPr="008651BC">
        <w:rPr>
          <w:rFonts w:ascii="仿宋_GB2312" w:eastAsia="仿宋_GB2312" w:hint="eastAsia"/>
          <w:sz w:val="32"/>
          <w:szCs w:val="32"/>
        </w:rPr>
        <w:t>0万元，</w:t>
      </w:r>
      <w:r w:rsidRPr="008651BC">
        <w:rPr>
          <w:rStyle w:val="a7"/>
          <w:rFonts w:ascii="仿宋_GB2312" w:eastAsia="仿宋_GB2312" w:hint="eastAsia"/>
          <w:b w:val="0"/>
          <w:bCs/>
          <w:sz w:val="32"/>
          <w:szCs w:val="32"/>
        </w:rPr>
        <w:t>完成预算0%。</w:t>
      </w:r>
      <w:r w:rsidRPr="008651BC">
        <w:rPr>
          <w:rFonts w:ascii="仿宋_GB2312" w:eastAsia="仿宋_GB2312" w:hint="eastAsia"/>
          <w:sz w:val="32"/>
          <w:szCs w:val="32"/>
        </w:rPr>
        <w:t>公务接待费支出决算与2020年持平。</w:t>
      </w:r>
    </w:p>
    <w:p w:rsidR="003C5619" w:rsidRDefault="003C5619">
      <w:pPr>
        <w:spacing w:line="600" w:lineRule="exact"/>
        <w:ind w:firstLine="640"/>
        <w:outlineLvl w:val="1"/>
        <w:rPr>
          <w:rFonts w:eastAsia="黑体"/>
          <w:sz w:val="32"/>
          <w:szCs w:val="32"/>
        </w:rPr>
      </w:pPr>
      <w:bookmarkStart w:id="41" w:name="_Toc15396610"/>
      <w:bookmarkStart w:id="42" w:name="_Toc15377218"/>
    </w:p>
    <w:p w:rsidR="003C5619" w:rsidRDefault="00761F12">
      <w:pPr>
        <w:spacing w:line="600" w:lineRule="exact"/>
        <w:ind w:firstLine="640"/>
        <w:outlineLvl w:val="1"/>
        <w:rPr>
          <w:rStyle w:val="2Char"/>
          <w:rFonts w:ascii="Times New Roman" w:eastAsia="黑体" w:hAnsi="Times New Roman" w:cs="Times New Roman"/>
        </w:rPr>
      </w:pPr>
      <w:r>
        <w:rPr>
          <w:rFonts w:eastAsia="黑体"/>
          <w:sz w:val="32"/>
          <w:szCs w:val="32"/>
        </w:rPr>
        <w:t>八、</w:t>
      </w:r>
      <w:r>
        <w:rPr>
          <w:rStyle w:val="2Char"/>
          <w:rFonts w:ascii="Times New Roman" w:eastAsia="黑体" w:hAnsi="Times New Roman" w:cs="Times New Roman"/>
          <w:b w:val="0"/>
        </w:rPr>
        <w:t>政府性基金预算支出决算情况说明</w:t>
      </w:r>
      <w:bookmarkEnd w:id="41"/>
      <w:bookmarkEnd w:id="42"/>
    </w:p>
    <w:p w:rsidR="003C5619" w:rsidRPr="008651BC" w:rsidRDefault="00761F12" w:rsidP="008C002B">
      <w:pPr>
        <w:spacing w:line="560" w:lineRule="exact"/>
        <w:ind w:firstLine="641"/>
        <w:rPr>
          <w:rFonts w:ascii="仿宋_GB2312" w:eastAsia="仿宋_GB2312" w:hint="eastAsia"/>
          <w:sz w:val="32"/>
          <w:szCs w:val="32"/>
        </w:rPr>
      </w:pPr>
      <w:r w:rsidRPr="008651BC">
        <w:rPr>
          <w:rFonts w:ascii="仿宋_GB2312" w:eastAsia="仿宋_GB2312" w:hint="eastAsia"/>
          <w:sz w:val="32"/>
          <w:szCs w:val="32"/>
        </w:rPr>
        <w:lastRenderedPageBreak/>
        <w:t>2021年政府性基金预算财政拨款支出0万元。</w:t>
      </w:r>
    </w:p>
    <w:p w:rsidR="003C5619" w:rsidRDefault="003C5619">
      <w:pPr>
        <w:spacing w:line="600" w:lineRule="exact"/>
        <w:ind w:firstLine="640"/>
        <w:rPr>
          <w:rFonts w:eastAsia="仿宋_GB2312"/>
          <w:sz w:val="32"/>
          <w:szCs w:val="32"/>
        </w:rPr>
      </w:pPr>
    </w:p>
    <w:p w:rsidR="003C5619" w:rsidRDefault="00761F12">
      <w:pPr>
        <w:numPr>
          <w:ilvl w:val="0"/>
          <w:numId w:val="3"/>
        </w:numPr>
        <w:spacing w:line="600" w:lineRule="exact"/>
        <w:ind w:firstLine="640"/>
        <w:outlineLvl w:val="1"/>
        <w:rPr>
          <w:rStyle w:val="2Char"/>
          <w:rFonts w:ascii="Times New Roman" w:eastAsia="黑体" w:hAnsi="Times New Roman" w:cs="Times New Roman"/>
          <w:b w:val="0"/>
        </w:rPr>
      </w:pPr>
      <w:bookmarkStart w:id="43" w:name="_Toc15396611"/>
      <w:bookmarkStart w:id="44" w:name="_Toc15377219"/>
      <w:r>
        <w:rPr>
          <w:rStyle w:val="2Char"/>
          <w:rFonts w:ascii="Times New Roman" w:eastAsia="黑体" w:hAnsi="Times New Roman" w:cs="Times New Roman"/>
          <w:b w:val="0"/>
        </w:rPr>
        <w:t>国有资本经营预算支出决算情况说明</w:t>
      </w:r>
      <w:bookmarkEnd w:id="43"/>
      <w:bookmarkEnd w:id="44"/>
    </w:p>
    <w:p w:rsidR="003C5619" w:rsidRPr="008651BC" w:rsidRDefault="00761F12" w:rsidP="008C002B">
      <w:pPr>
        <w:spacing w:line="560" w:lineRule="exact"/>
        <w:ind w:firstLine="641"/>
        <w:rPr>
          <w:rFonts w:ascii="仿宋_GB2312" w:eastAsia="仿宋_GB2312" w:hint="eastAsia"/>
          <w:sz w:val="32"/>
          <w:szCs w:val="32"/>
        </w:rPr>
      </w:pPr>
      <w:r w:rsidRPr="008651BC">
        <w:rPr>
          <w:rFonts w:ascii="仿宋_GB2312" w:eastAsia="仿宋_GB2312" w:hint="eastAsia"/>
          <w:sz w:val="32"/>
          <w:szCs w:val="32"/>
        </w:rPr>
        <w:t>2021年国有资本经营预算财政拨款支出0万元。</w:t>
      </w:r>
    </w:p>
    <w:p w:rsidR="003C5619" w:rsidRDefault="003C5619">
      <w:pPr>
        <w:spacing w:line="580" w:lineRule="exact"/>
        <w:jc w:val="center"/>
        <w:rPr>
          <w:rFonts w:eastAsia="方正小标宋简体"/>
          <w:sz w:val="44"/>
          <w:szCs w:val="44"/>
        </w:rPr>
      </w:pPr>
    </w:p>
    <w:p w:rsidR="003C5619" w:rsidRDefault="00761F12">
      <w:pPr>
        <w:numPr>
          <w:ilvl w:val="0"/>
          <w:numId w:val="3"/>
        </w:numPr>
        <w:spacing w:line="600" w:lineRule="exact"/>
        <w:ind w:firstLine="640"/>
        <w:outlineLvl w:val="1"/>
        <w:rPr>
          <w:rStyle w:val="2Char"/>
          <w:rFonts w:ascii="Times New Roman" w:eastAsia="黑体" w:hAnsi="Times New Roman" w:cs="Times New Roman"/>
          <w:b w:val="0"/>
        </w:rPr>
      </w:pPr>
      <w:bookmarkStart w:id="45" w:name="_Toc15377221"/>
      <w:bookmarkStart w:id="46" w:name="_Toc15396612"/>
      <w:r>
        <w:rPr>
          <w:rStyle w:val="2Char"/>
          <w:rFonts w:ascii="Times New Roman" w:eastAsia="黑体" w:hAnsi="Times New Roman" w:cs="Times New Roman"/>
          <w:b w:val="0"/>
        </w:rPr>
        <w:t>其他重要事项的情况说明</w:t>
      </w:r>
      <w:bookmarkEnd w:id="45"/>
      <w:bookmarkEnd w:id="46"/>
    </w:p>
    <w:p w:rsidR="003C5619" w:rsidRPr="008651BC" w:rsidRDefault="00761F12">
      <w:pPr>
        <w:spacing w:line="600" w:lineRule="exact"/>
        <w:ind w:firstLineChars="200" w:firstLine="640"/>
        <w:outlineLvl w:val="2"/>
        <w:rPr>
          <w:rFonts w:ascii="楷体_GB2312" w:eastAsia="楷体_GB2312" w:hint="eastAsia"/>
          <w:sz w:val="32"/>
          <w:szCs w:val="32"/>
        </w:rPr>
      </w:pPr>
      <w:bookmarkStart w:id="47" w:name="_Toc15377222"/>
      <w:r w:rsidRPr="008651BC">
        <w:rPr>
          <w:rFonts w:ascii="楷体_GB2312" w:eastAsia="楷体_GB2312" w:hint="eastAsia"/>
          <w:sz w:val="32"/>
          <w:szCs w:val="32"/>
        </w:rPr>
        <w:t>（一）业务运行经费支出情况</w:t>
      </w:r>
      <w:bookmarkEnd w:id="47"/>
      <w:r w:rsidR="008651BC">
        <w:rPr>
          <w:rFonts w:ascii="楷体_GB2312" w:eastAsia="楷体_GB2312" w:hint="eastAsia"/>
          <w:sz w:val="32"/>
          <w:szCs w:val="32"/>
        </w:rPr>
        <w:t>。</w:t>
      </w:r>
    </w:p>
    <w:p w:rsidR="003C5619" w:rsidRPr="008651BC" w:rsidRDefault="00761F12" w:rsidP="008C002B">
      <w:pPr>
        <w:spacing w:line="560" w:lineRule="exact"/>
        <w:ind w:firstLine="641"/>
        <w:rPr>
          <w:rFonts w:ascii="仿宋_GB2312" w:eastAsia="仿宋_GB2312" w:hint="eastAsia"/>
          <w:b/>
          <w:sz w:val="32"/>
          <w:szCs w:val="32"/>
        </w:rPr>
      </w:pPr>
      <w:r w:rsidRPr="008651BC">
        <w:rPr>
          <w:rFonts w:ascii="仿宋_GB2312" w:eastAsia="仿宋_GB2312" w:hint="eastAsia"/>
          <w:sz w:val="32"/>
          <w:szCs w:val="32"/>
        </w:rPr>
        <w:t>2021年，盐边县红格镇中心学校业务运行经费支出为51.95万元，较2020年54.5万元减少了2.55，降幅4.68%。主要原因为压缩开支所致。</w:t>
      </w:r>
    </w:p>
    <w:p w:rsidR="003C5619" w:rsidRPr="008651BC" w:rsidRDefault="00761F12">
      <w:pPr>
        <w:autoSpaceDE w:val="0"/>
        <w:autoSpaceDN w:val="0"/>
        <w:adjustRightInd w:val="0"/>
        <w:spacing w:line="600" w:lineRule="exact"/>
        <w:ind w:firstLineChars="200" w:firstLine="640"/>
        <w:jc w:val="left"/>
        <w:outlineLvl w:val="2"/>
        <w:rPr>
          <w:rFonts w:ascii="楷体_GB2312" w:eastAsia="楷体_GB2312"/>
          <w:sz w:val="32"/>
          <w:szCs w:val="32"/>
        </w:rPr>
      </w:pPr>
      <w:bookmarkStart w:id="48" w:name="_Toc15377223"/>
      <w:r w:rsidRPr="008651BC">
        <w:rPr>
          <w:rFonts w:ascii="楷体_GB2312" w:eastAsia="楷体_GB2312"/>
          <w:sz w:val="32"/>
          <w:szCs w:val="32"/>
        </w:rPr>
        <w:t>（二）政府采购支出情况</w:t>
      </w:r>
      <w:bookmarkEnd w:id="48"/>
      <w:r w:rsidR="008651BC">
        <w:rPr>
          <w:rFonts w:ascii="楷体_GB2312" w:eastAsia="楷体_GB2312"/>
          <w:sz w:val="32"/>
          <w:szCs w:val="32"/>
        </w:rPr>
        <w:t>。</w:t>
      </w:r>
    </w:p>
    <w:p w:rsidR="003C5619" w:rsidRPr="008651BC" w:rsidRDefault="00761F12" w:rsidP="008C002B">
      <w:pPr>
        <w:spacing w:line="560" w:lineRule="exact"/>
        <w:ind w:firstLine="641"/>
        <w:rPr>
          <w:rFonts w:ascii="仿宋_GB2312" w:eastAsia="仿宋_GB2312" w:hint="eastAsia"/>
          <w:b/>
          <w:sz w:val="32"/>
          <w:szCs w:val="32"/>
        </w:rPr>
      </w:pPr>
      <w:r w:rsidRPr="008651BC">
        <w:rPr>
          <w:rFonts w:ascii="仿宋_GB2312" w:eastAsia="仿宋_GB2312" w:hint="eastAsia"/>
          <w:sz w:val="32"/>
          <w:szCs w:val="32"/>
        </w:rPr>
        <w:t>2021年，盐边县红格镇中心学校无政府采购支出。</w:t>
      </w:r>
    </w:p>
    <w:p w:rsidR="003C5619" w:rsidRPr="008651BC" w:rsidRDefault="00761F12">
      <w:pPr>
        <w:autoSpaceDE w:val="0"/>
        <w:autoSpaceDN w:val="0"/>
        <w:adjustRightInd w:val="0"/>
        <w:spacing w:line="600" w:lineRule="exact"/>
        <w:ind w:firstLineChars="200" w:firstLine="640"/>
        <w:jc w:val="left"/>
        <w:outlineLvl w:val="2"/>
        <w:rPr>
          <w:rFonts w:ascii="楷体_GB2312" w:eastAsia="楷体_GB2312"/>
          <w:sz w:val="32"/>
          <w:szCs w:val="32"/>
        </w:rPr>
      </w:pPr>
      <w:bookmarkStart w:id="49" w:name="_Toc15377224"/>
      <w:r w:rsidRPr="008651BC">
        <w:rPr>
          <w:rFonts w:ascii="楷体_GB2312" w:eastAsia="楷体_GB2312"/>
          <w:sz w:val="32"/>
          <w:szCs w:val="32"/>
        </w:rPr>
        <w:t>（三）国有资产占有使用情况</w:t>
      </w:r>
      <w:bookmarkEnd w:id="49"/>
      <w:r w:rsidR="008651BC">
        <w:rPr>
          <w:rFonts w:ascii="楷体_GB2312" w:eastAsia="楷体_GB2312"/>
          <w:sz w:val="32"/>
          <w:szCs w:val="32"/>
        </w:rPr>
        <w:t>。</w:t>
      </w:r>
    </w:p>
    <w:p w:rsidR="003C5619" w:rsidRPr="008651BC" w:rsidRDefault="00761F12" w:rsidP="008C002B">
      <w:pPr>
        <w:spacing w:line="560" w:lineRule="exact"/>
        <w:ind w:firstLine="641"/>
        <w:rPr>
          <w:rFonts w:ascii="仿宋_GB2312" w:eastAsia="仿宋_GB2312" w:hint="eastAsia"/>
          <w:b/>
          <w:sz w:val="32"/>
          <w:szCs w:val="32"/>
        </w:rPr>
      </w:pPr>
      <w:r w:rsidRPr="008651BC">
        <w:rPr>
          <w:rFonts w:ascii="仿宋_GB2312" w:eastAsia="仿宋_GB2312" w:hint="eastAsia"/>
          <w:sz w:val="32"/>
          <w:szCs w:val="32"/>
        </w:rPr>
        <w:t>截至2021年12月31日，盐边县红格镇中心学校无车辆。</w:t>
      </w:r>
    </w:p>
    <w:p w:rsidR="003C5619" w:rsidRPr="008651BC" w:rsidRDefault="00761F12">
      <w:pPr>
        <w:autoSpaceDE w:val="0"/>
        <w:autoSpaceDN w:val="0"/>
        <w:adjustRightInd w:val="0"/>
        <w:spacing w:line="600" w:lineRule="exact"/>
        <w:ind w:firstLineChars="200" w:firstLine="640"/>
        <w:jc w:val="left"/>
        <w:outlineLvl w:val="2"/>
        <w:rPr>
          <w:rFonts w:ascii="楷体_GB2312" w:eastAsia="楷体_GB2312"/>
          <w:sz w:val="32"/>
          <w:szCs w:val="32"/>
        </w:rPr>
      </w:pPr>
      <w:r w:rsidRPr="008651BC">
        <w:rPr>
          <w:rFonts w:ascii="楷体_GB2312" w:eastAsia="楷体_GB2312"/>
          <w:sz w:val="32"/>
          <w:szCs w:val="32"/>
        </w:rPr>
        <w:t>（四）预算绩效管理情况</w:t>
      </w:r>
      <w:r w:rsidR="008651BC">
        <w:rPr>
          <w:rFonts w:ascii="楷体_GB2312" w:eastAsia="楷体_GB2312"/>
          <w:sz w:val="32"/>
          <w:szCs w:val="32"/>
        </w:rPr>
        <w:t>。</w:t>
      </w:r>
    </w:p>
    <w:p w:rsidR="003C5619" w:rsidRPr="008651BC" w:rsidRDefault="00761F12" w:rsidP="008C002B">
      <w:pPr>
        <w:spacing w:line="560" w:lineRule="exact"/>
        <w:ind w:firstLine="641"/>
        <w:rPr>
          <w:rFonts w:ascii="仿宋_GB2312" w:eastAsia="仿宋_GB2312" w:hint="eastAsia"/>
          <w:highlight w:val="yellow"/>
        </w:rPr>
      </w:pPr>
      <w:r w:rsidRPr="008651BC">
        <w:rPr>
          <w:rFonts w:ascii="仿宋_GB2312" w:eastAsia="仿宋_GB2312" w:hint="eastAsia"/>
          <w:sz w:val="32"/>
          <w:szCs w:val="32"/>
        </w:rPr>
        <w:t>根据预算绩效管理要求，本单位在2021年度预算编制阶段，组织对盐边县红格镇中心学校第二运动场改造工程项目开展了预算事前绩效评估，对1个项目编制了绩效目标，预算执行过程中，选取1个项目开展绩效监控，年终执行完毕后，对1个项目开展了绩效自评，2021年部门预算整体绩效自评、2021年特定目标类部门预算项目绩效目标自评表见附件（第四部分）。</w:t>
      </w:r>
    </w:p>
    <w:p w:rsidR="003C5619" w:rsidRDefault="00761F12">
      <w:pPr>
        <w:widowControl/>
        <w:jc w:val="left"/>
        <w:rPr>
          <w:rFonts w:eastAsia="仿宋_GB2312"/>
          <w:b/>
          <w:sz w:val="32"/>
          <w:szCs w:val="32"/>
        </w:rPr>
      </w:pPr>
      <w:r>
        <w:rPr>
          <w:rFonts w:eastAsia="仿宋_GB2312"/>
          <w:b/>
          <w:sz w:val="32"/>
          <w:szCs w:val="32"/>
        </w:rPr>
        <w:br w:type="page"/>
      </w:r>
    </w:p>
    <w:p w:rsidR="003C5619" w:rsidRDefault="00761F12">
      <w:pPr>
        <w:numPr>
          <w:ilvl w:val="0"/>
          <w:numId w:val="4"/>
        </w:numPr>
        <w:spacing w:line="600" w:lineRule="exact"/>
        <w:ind w:firstLineChars="150" w:firstLine="660"/>
        <w:jc w:val="center"/>
        <w:outlineLvl w:val="0"/>
        <w:rPr>
          <w:rStyle w:val="1Char"/>
          <w:rFonts w:eastAsia="黑体"/>
          <w:b w:val="0"/>
        </w:rPr>
      </w:pPr>
      <w:bookmarkStart w:id="50" w:name="_Toc15396613"/>
      <w:bookmarkStart w:id="51" w:name="_Toc15377225"/>
      <w:r>
        <w:rPr>
          <w:rFonts w:eastAsia="黑体"/>
          <w:sz w:val="44"/>
          <w:szCs w:val="44"/>
        </w:rPr>
        <w:lastRenderedPageBreak/>
        <w:t>名</w:t>
      </w:r>
      <w:r>
        <w:rPr>
          <w:rStyle w:val="1Char"/>
          <w:rFonts w:eastAsia="黑体"/>
          <w:b w:val="0"/>
        </w:rPr>
        <w:t>词解释</w:t>
      </w:r>
      <w:bookmarkEnd w:id="50"/>
      <w:bookmarkEnd w:id="51"/>
    </w:p>
    <w:p w:rsidR="003C5619" w:rsidRDefault="003C5619" w:rsidP="008C002B">
      <w:pPr>
        <w:spacing w:line="560" w:lineRule="exact"/>
        <w:ind w:firstLine="641"/>
        <w:rPr>
          <w:b/>
          <w:sz w:val="44"/>
          <w:szCs w:val="44"/>
        </w:rPr>
      </w:pPr>
    </w:p>
    <w:p w:rsidR="003C5619" w:rsidRDefault="00761F12" w:rsidP="008C002B">
      <w:pPr>
        <w:pStyle w:val="Default"/>
        <w:autoSpaceDE/>
        <w:autoSpaceDN/>
        <w:adjustRightInd/>
        <w:spacing w:line="560" w:lineRule="exact"/>
        <w:ind w:firstLine="641"/>
        <w:jc w:val="both"/>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color w:val="auto"/>
          <w:sz w:val="32"/>
          <w:szCs w:val="32"/>
        </w:rPr>
        <w:t>财政拨款收入：指单位从同级财政部门取得的财政预算资金。</w:t>
      </w:r>
    </w:p>
    <w:p w:rsidR="003C5619" w:rsidRDefault="00761F12" w:rsidP="008C002B">
      <w:pPr>
        <w:pStyle w:val="Default"/>
        <w:autoSpaceDE/>
        <w:autoSpaceDN/>
        <w:adjustRightInd/>
        <w:spacing w:line="560" w:lineRule="exact"/>
        <w:ind w:firstLine="641"/>
        <w:jc w:val="both"/>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w:t>
      </w:r>
      <w:r>
        <w:rPr>
          <w:rFonts w:ascii="Times New Roman" w:eastAsia="仿宋_GB2312" w:hAnsi="Times New Roman" w:cs="Times New Roman"/>
          <w:color w:val="auto"/>
          <w:sz w:val="32"/>
          <w:szCs w:val="32"/>
        </w:rPr>
        <w:t>事业收入：指事业单位开展专业业务活动及辅助活动取得的收入。</w:t>
      </w:r>
    </w:p>
    <w:p w:rsidR="003C5619" w:rsidRDefault="00761F12" w:rsidP="008C002B">
      <w:pPr>
        <w:pStyle w:val="Default"/>
        <w:autoSpaceDE/>
        <w:autoSpaceDN/>
        <w:adjustRightInd/>
        <w:spacing w:line="560" w:lineRule="exact"/>
        <w:ind w:firstLine="641"/>
        <w:jc w:val="both"/>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3.</w:t>
      </w:r>
      <w:r>
        <w:rPr>
          <w:rFonts w:ascii="Times New Roman" w:eastAsia="仿宋_GB2312" w:hAnsi="Times New Roman" w:cs="Times New Roman"/>
          <w:color w:val="auto"/>
          <w:sz w:val="32"/>
          <w:szCs w:val="32"/>
        </w:rPr>
        <w:t>结余分配：指事业单位按照会计制度规定缴纳的所得税、提取的专用结余以及转入非财政拨款结余的金额等。</w:t>
      </w:r>
    </w:p>
    <w:p w:rsidR="003C5619" w:rsidRDefault="00761F12" w:rsidP="008C002B">
      <w:pPr>
        <w:pStyle w:val="Default"/>
        <w:autoSpaceDE/>
        <w:autoSpaceDN/>
        <w:adjustRightInd/>
        <w:spacing w:line="560" w:lineRule="exact"/>
        <w:ind w:firstLine="641"/>
        <w:jc w:val="both"/>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4.</w:t>
      </w:r>
      <w:r>
        <w:rPr>
          <w:rFonts w:ascii="Times New Roman" w:eastAsia="仿宋_GB2312" w:hAnsi="Times New Roman" w:cs="Times New Roman"/>
          <w:color w:val="auto"/>
          <w:sz w:val="32"/>
          <w:szCs w:val="32"/>
        </w:rPr>
        <w:t>年末结转和结余：指单位按有关规定结转到下年或以后年度继续使用的资金。</w:t>
      </w:r>
    </w:p>
    <w:p w:rsidR="003C5619" w:rsidRPr="00EE58C4" w:rsidRDefault="00761F12" w:rsidP="008C002B">
      <w:pPr>
        <w:spacing w:line="560" w:lineRule="exact"/>
        <w:ind w:firstLine="641"/>
        <w:rPr>
          <w:rFonts w:eastAsia="仿宋_GB2312"/>
          <w:color w:val="000000"/>
          <w:kern w:val="0"/>
          <w:sz w:val="32"/>
          <w:szCs w:val="32"/>
        </w:rPr>
      </w:pPr>
      <w:r>
        <w:rPr>
          <w:rFonts w:eastAsia="仿宋_GB2312"/>
          <w:sz w:val="32"/>
          <w:szCs w:val="32"/>
        </w:rPr>
        <w:t>5.</w:t>
      </w:r>
      <w:r w:rsidR="00EE58C4" w:rsidRPr="00EE58C4">
        <w:rPr>
          <w:rFonts w:eastAsia="仿宋_GB2312" w:hint="eastAsia"/>
          <w:color w:val="000000"/>
          <w:kern w:val="0"/>
          <w:sz w:val="32"/>
          <w:szCs w:val="32"/>
        </w:rPr>
        <w:t xml:space="preserve"> </w:t>
      </w:r>
      <w:r w:rsidR="00EE58C4" w:rsidRPr="00BD0C9E">
        <w:rPr>
          <w:rFonts w:eastAsia="仿宋_GB2312" w:hint="eastAsia"/>
          <w:color w:val="000000"/>
          <w:kern w:val="0"/>
          <w:sz w:val="32"/>
          <w:szCs w:val="32"/>
        </w:rPr>
        <w:t>教育支出（</w:t>
      </w:r>
      <w:r w:rsidR="00EE58C4" w:rsidRPr="00BD0C9E">
        <w:rPr>
          <w:rFonts w:eastAsia="仿宋_GB2312" w:hint="eastAsia"/>
          <w:color w:val="000000"/>
          <w:kern w:val="0"/>
          <w:sz w:val="32"/>
          <w:szCs w:val="32"/>
        </w:rPr>
        <w:t>205</w:t>
      </w:r>
      <w:r w:rsidR="00EE58C4" w:rsidRPr="00BD0C9E">
        <w:rPr>
          <w:rFonts w:eastAsia="仿宋_GB2312" w:hint="eastAsia"/>
          <w:color w:val="000000"/>
          <w:kern w:val="0"/>
          <w:sz w:val="32"/>
          <w:szCs w:val="32"/>
        </w:rPr>
        <w:t>类）普通教育（</w:t>
      </w:r>
      <w:r w:rsidR="00EE58C4" w:rsidRPr="00BD0C9E">
        <w:rPr>
          <w:rFonts w:eastAsia="仿宋_GB2312" w:hint="eastAsia"/>
          <w:color w:val="000000"/>
          <w:kern w:val="0"/>
          <w:sz w:val="32"/>
          <w:szCs w:val="32"/>
        </w:rPr>
        <w:t>02</w:t>
      </w:r>
      <w:r w:rsidR="00EE58C4" w:rsidRPr="00BD0C9E">
        <w:rPr>
          <w:rFonts w:eastAsia="仿宋_GB2312" w:hint="eastAsia"/>
          <w:color w:val="000000"/>
          <w:kern w:val="0"/>
          <w:sz w:val="32"/>
          <w:szCs w:val="32"/>
        </w:rPr>
        <w:t>款）学前教育（</w:t>
      </w:r>
      <w:r w:rsidR="00EE58C4" w:rsidRPr="00BD0C9E">
        <w:rPr>
          <w:rFonts w:eastAsia="仿宋_GB2312" w:hint="eastAsia"/>
          <w:color w:val="000000"/>
          <w:kern w:val="0"/>
          <w:sz w:val="32"/>
          <w:szCs w:val="32"/>
        </w:rPr>
        <w:t>01</w:t>
      </w:r>
      <w:r w:rsidR="00EE58C4" w:rsidRPr="00BD0C9E">
        <w:rPr>
          <w:rFonts w:eastAsia="仿宋_GB2312" w:hint="eastAsia"/>
          <w:color w:val="000000"/>
          <w:kern w:val="0"/>
          <w:sz w:val="32"/>
          <w:szCs w:val="32"/>
        </w:rPr>
        <w:t>项）：指反映各部门举办的学前教育支出。政府各部门对社会组织等举办的幼儿园的资助，如捐赠、补贴等，也在本科目中反映。</w:t>
      </w:r>
    </w:p>
    <w:p w:rsidR="00EE58C4" w:rsidRDefault="00761F12" w:rsidP="008C002B">
      <w:pPr>
        <w:spacing w:line="560" w:lineRule="exact"/>
        <w:ind w:firstLine="641"/>
        <w:rPr>
          <w:rFonts w:eastAsia="仿宋_GB2312"/>
          <w:color w:val="000000"/>
          <w:kern w:val="0"/>
          <w:sz w:val="32"/>
          <w:szCs w:val="32"/>
        </w:rPr>
      </w:pPr>
      <w:r>
        <w:rPr>
          <w:rStyle w:val="a7"/>
          <w:rFonts w:eastAsia="仿宋_GB2312" w:hint="eastAsia"/>
          <w:b w:val="0"/>
          <w:sz w:val="32"/>
          <w:szCs w:val="32"/>
        </w:rPr>
        <w:t>6</w:t>
      </w:r>
      <w:r>
        <w:rPr>
          <w:rStyle w:val="a7"/>
          <w:rFonts w:eastAsia="仿宋_GB2312"/>
          <w:b w:val="0"/>
          <w:sz w:val="32"/>
          <w:szCs w:val="32"/>
        </w:rPr>
        <w:t>.</w:t>
      </w:r>
      <w:r w:rsidR="00EE58C4" w:rsidRPr="00EE58C4">
        <w:rPr>
          <w:rFonts w:eastAsia="仿宋_GB2312" w:hint="eastAsia"/>
          <w:color w:val="000000"/>
          <w:kern w:val="0"/>
          <w:sz w:val="32"/>
          <w:szCs w:val="32"/>
        </w:rPr>
        <w:t xml:space="preserve"> </w:t>
      </w:r>
      <w:r w:rsidR="00EE58C4" w:rsidRPr="00BD0C9E">
        <w:rPr>
          <w:rFonts w:eastAsia="仿宋_GB2312" w:hint="eastAsia"/>
          <w:color w:val="000000"/>
          <w:kern w:val="0"/>
          <w:sz w:val="32"/>
          <w:szCs w:val="32"/>
        </w:rPr>
        <w:t>教育支出（</w:t>
      </w:r>
      <w:r w:rsidR="00EE58C4" w:rsidRPr="00BD0C9E">
        <w:rPr>
          <w:rFonts w:eastAsia="仿宋_GB2312" w:hint="eastAsia"/>
          <w:color w:val="000000"/>
          <w:kern w:val="0"/>
          <w:sz w:val="32"/>
          <w:szCs w:val="32"/>
        </w:rPr>
        <w:t>205</w:t>
      </w:r>
      <w:r w:rsidR="00EE58C4" w:rsidRPr="00BD0C9E">
        <w:rPr>
          <w:rFonts w:eastAsia="仿宋_GB2312" w:hint="eastAsia"/>
          <w:color w:val="000000"/>
          <w:kern w:val="0"/>
          <w:sz w:val="32"/>
          <w:szCs w:val="32"/>
        </w:rPr>
        <w:t>类）普通教育（</w:t>
      </w:r>
      <w:r w:rsidR="00EE58C4" w:rsidRPr="00BD0C9E">
        <w:rPr>
          <w:rFonts w:eastAsia="仿宋_GB2312" w:hint="eastAsia"/>
          <w:color w:val="000000"/>
          <w:kern w:val="0"/>
          <w:sz w:val="32"/>
          <w:szCs w:val="32"/>
        </w:rPr>
        <w:t>02</w:t>
      </w:r>
      <w:r w:rsidR="00EE58C4" w:rsidRPr="00BD0C9E">
        <w:rPr>
          <w:rFonts w:eastAsia="仿宋_GB2312" w:hint="eastAsia"/>
          <w:color w:val="000000"/>
          <w:kern w:val="0"/>
          <w:sz w:val="32"/>
          <w:szCs w:val="32"/>
        </w:rPr>
        <w:t>款）小学教育（</w:t>
      </w:r>
      <w:r w:rsidR="00EE58C4" w:rsidRPr="00BD0C9E">
        <w:rPr>
          <w:rFonts w:eastAsia="仿宋_GB2312" w:hint="eastAsia"/>
          <w:color w:val="000000"/>
          <w:kern w:val="0"/>
          <w:sz w:val="32"/>
          <w:szCs w:val="32"/>
        </w:rPr>
        <w:t>02</w:t>
      </w:r>
      <w:r w:rsidR="00EE58C4" w:rsidRPr="00BD0C9E">
        <w:rPr>
          <w:rFonts w:eastAsia="仿宋_GB2312" w:hint="eastAsia"/>
          <w:color w:val="000000"/>
          <w:kern w:val="0"/>
          <w:sz w:val="32"/>
          <w:szCs w:val="32"/>
        </w:rPr>
        <w:t>项）：指反映各部门举办的小学教育支出。政府各部门对社会组织等举办的小学的资助，如捐赠、补贴等，也在本科目中反映。</w:t>
      </w:r>
    </w:p>
    <w:p w:rsidR="00EE58C4" w:rsidRDefault="00761F12" w:rsidP="008C002B">
      <w:pPr>
        <w:spacing w:line="560" w:lineRule="exact"/>
        <w:ind w:firstLine="641"/>
        <w:rPr>
          <w:rStyle w:val="a7"/>
          <w:rFonts w:eastAsia="仿宋_GB2312"/>
          <w:b w:val="0"/>
          <w:sz w:val="32"/>
          <w:szCs w:val="32"/>
        </w:rPr>
      </w:pPr>
      <w:r>
        <w:rPr>
          <w:rStyle w:val="a7"/>
          <w:rFonts w:eastAsia="仿宋_GB2312" w:hint="eastAsia"/>
          <w:b w:val="0"/>
          <w:sz w:val="32"/>
          <w:szCs w:val="32"/>
        </w:rPr>
        <w:t>7</w:t>
      </w:r>
      <w:r>
        <w:rPr>
          <w:rStyle w:val="a7"/>
          <w:rFonts w:eastAsia="仿宋_GB2312"/>
          <w:b w:val="0"/>
          <w:sz w:val="32"/>
          <w:szCs w:val="32"/>
        </w:rPr>
        <w:t>.</w:t>
      </w:r>
      <w:r w:rsidR="00EE58C4" w:rsidRPr="00EE58C4">
        <w:rPr>
          <w:rFonts w:eastAsia="仿宋_GB2312" w:hint="eastAsia"/>
          <w:sz w:val="32"/>
          <w:szCs w:val="32"/>
        </w:rPr>
        <w:t xml:space="preserve"> </w:t>
      </w:r>
      <w:r w:rsidR="00EE58C4" w:rsidRPr="00BD0C9E">
        <w:rPr>
          <w:rFonts w:eastAsia="仿宋_GB2312" w:hint="eastAsia"/>
          <w:sz w:val="32"/>
          <w:szCs w:val="32"/>
        </w:rPr>
        <w:t>教</w:t>
      </w:r>
      <w:r w:rsidR="00EE58C4" w:rsidRPr="003B4ED6">
        <w:rPr>
          <w:rFonts w:eastAsia="仿宋_GB2312" w:hint="eastAsia"/>
          <w:sz w:val="32"/>
          <w:szCs w:val="32"/>
        </w:rPr>
        <w:t>育支出</w:t>
      </w:r>
      <w:r w:rsidR="00EE58C4">
        <w:rPr>
          <w:rStyle w:val="a7"/>
          <w:rFonts w:eastAsia="仿宋_GB2312"/>
          <w:b w:val="0"/>
          <w:sz w:val="32"/>
          <w:szCs w:val="32"/>
        </w:rPr>
        <w:t>（</w:t>
      </w:r>
      <w:r w:rsidR="00EE58C4">
        <w:rPr>
          <w:rStyle w:val="a7"/>
          <w:rFonts w:eastAsia="仿宋_GB2312"/>
          <w:b w:val="0"/>
          <w:sz w:val="32"/>
          <w:szCs w:val="32"/>
        </w:rPr>
        <w:t>205</w:t>
      </w:r>
      <w:r w:rsidR="00EE58C4">
        <w:rPr>
          <w:rStyle w:val="a7"/>
          <w:rFonts w:eastAsia="仿宋_GB2312"/>
          <w:b w:val="0"/>
          <w:sz w:val="32"/>
          <w:szCs w:val="32"/>
        </w:rPr>
        <w:t>类）教育费附加安排的支出（</w:t>
      </w:r>
      <w:r w:rsidR="00EE58C4">
        <w:rPr>
          <w:rStyle w:val="a7"/>
          <w:rFonts w:eastAsia="仿宋_GB2312"/>
          <w:b w:val="0"/>
          <w:sz w:val="32"/>
          <w:szCs w:val="32"/>
        </w:rPr>
        <w:t>09</w:t>
      </w:r>
      <w:r w:rsidR="00EE58C4">
        <w:rPr>
          <w:rStyle w:val="a7"/>
          <w:rFonts w:eastAsia="仿宋_GB2312"/>
          <w:b w:val="0"/>
          <w:sz w:val="32"/>
          <w:szCs w:val="32"/>
        </w:rPr>
        <w:t>款）农村中小学教学设施（</w:t>
      </w:r>
      <w:r w:rsidR="00EE58C4">
        <w:rPr>
          <w:rStyle w:val="a7"/>
          <w:rFonts w:eastAsia="仿宋_GB2312"/>
          <w:b w:val="0"/>
          <w:sz w:val="32"/>
          <w:szCs w:val="32"/>
        </w:rPr>
        <w:t>02</w:t>
      </w:r>
      <w:r w:rsidR="00EE58C4">
        <w:rPr>
          <w:rStyle w:val="a7"/>
          <w:rFonts w:eastAsia="仿宋_GB2312"/>
          <w:b w:val="0"/>
          <w:sz w:val="32"/>
          <w:szCs w:val="32"/>
        </w:rPr>
        <w:t>项）：</w:t>
      </w:r>
      <w:r w:rsidR="00EE58C4">
        <w:rPr>
          <w:rStyle w:val="a7"/>
          <w:rFonts w:eastAsia="仿宋_GB2312" w:hint="eastAsia"/>
          <w:b w:val="0"/>
          <w:sz w:val="32"/>
          <w:szCs w:val="32"/>
        </w:rPr>
        <w:t>反映</w:t>
      </w:r>
      <w:r w:rsidR="00EE58C4">
        <w:rPr>
          <w:rStyle w:val="a7"/>
          <w:rFonts w:eastAsia="仿宋_GB2312"/>
          <w:b w:val="0"/>
          <w:sz w:val="32"/>
          <w:szCs w:val="32"/>
        </w:rPr>
        <w:t>教育费附加安排用于改善农村中小学教学设施和办学条件的支出。</w:t>
      </w:r>
    </w:p>
    <w:p w:rsidR="003C5619" w:rsidRDefault="00761F12" w:rsidP="008C002B">
      <w:pPr>
        <w:spacing w:line="560" w:lineRule="exact"/>
        <w:ind w:firstLine="641"/>
        <w:rPr>
          <w:rFonts w:eastAsia="仿宋_GB2312"/>
          <w:sz w:val="32"/>
          <w:szCs w:val="32"/>
        </w:rPr>
      </w:pPr>
      <w:r>
        <w:rPr>
          <w:rStyle w:val="a7"/>
          <w:rFonts w:eastAsia="仿宋_GB2312" w:hint="eastAsia"/>
          <w:b w:val="0"/>
          <w:sz w:val="32"/>
          <w:szCs w:val="32"/>
        </w:rPr>
        <w:t>8</w:t>
      </w:r>
      <w:r>
        <w:rPr>
          <w:rStyle w:val="a7"/>
          <w:rFonts w:eastAsia="仿宋_GB2312"/>
          <w:b w:val="0"/>
          <w:sz w:val="32"/>
          <w:szCs w:val="32"/>
        </w:rPr>
        <w:t>.</w:t>
      </w:r>
      <w:r>
        <w:rPr>
          <w:rStyle w:val="a7"/>
          <w:rFonts w:eastAsia="仿宋_GB2312"/>
          <w:b w:val="0"/>
          <w:sz w:val="32"/>
          <w:szCs w:val="32"/>
        </w:rPr>
        <w:t>机关事业单位基本养老保险缴费支出</w:t>
      </w:r>
      <w:r>
        <w:rPr>
          <w:rStyle w:val="a7"/>
          <w:rFonts w:eastAsia="仿宋_GB2312"/>
          <w:b w:val="0"/>
          <w:sz w:val="32"/>
          <w:szCs w:val="32"/>
        </w:rPr>
        <w:t>208</w:t>
      </w:r>
      <w:r>
        <w:rPr>
          <w:rStyle w:val="a7"/>
          <w:rFonts w:eastAsia="仿宋_GB2312"/>
          <w:b w:val="0"/>
          <w:sz w:val="32"/>
          <w:szCs w:val="32"/>
        </w:rPr>
        <w:t>（类）</w:t>
      </w:r>
      <w:r>
        <w:rPr>
          <w:rStyle w:val="a7"/>
          <w:rFonts w:eastAsia="仿宋_GB2312"/>
          <w:b w:val="0"/>
          <w:sz w:val="32"/>
          <w:szCs w:val="32"/>
        </w:rPr>
        <w:t>05</w:t>
      </w:r>
      <w:r>
        <w:rPr>
          <w:rStyle w:val="a7"/>
          <w:rFonts w:eastAsia="仿宋_GB2312"/>
          <w:b w:val="0"/>
          <w:sz w:val="32"/>
          <w:szCs w:val="32"/>
        </w:rPr>
        <w:t>（款）</w:t>
      </w:r>
      <w:r>
        <w:rPr>
          <w:rStyle w:val="a7"/>
          <w:rFonts w:eastAsia="仿宋_GB2312"/>
          <w:b w:val="0"/>
          <w:sz w:val="32"/>
          <w:szCs w:val="32"/>
        </w:rPr>
        <w:t>05</w:t>
      </w:r>
      <w:r>
        <w:rPr>
          <w:rStyle w:val="a7"/>
          <w:rFonts w:eastAsia="仿宋_GB2312"/>
          <w:b w:val="0"/>
          <w:sz w:val="32"/>
          <w:szCs w:val="32"/>
        </w:rPr>
        <w:t>（项）：指机关事业单位基本养老保险缴费支出。</w:t>
      </w:r>
    </w:p>
    <w:p w:rsidR="003C5619" w:rsidRDefault="00761F12" w:rsidP="008C002B">
      <w:pPr>
        <w:spacing w:line="560" w:lineRule="exact"/>
        <w:ind w:firstLine="641"/>
        <w:rPr>
          <w:rStyle w:val="a7"/>
          <w:rFonts w:eastAsia="仿宋_GB2312"/>
          <w:b w:val="0"/>
          <w:sz w:val="32"/>
          <w:szCs w:val="32"/>
        </w:rPr>
      </w:pPr>
      <w:r>
        <w:rPr>
          <w:rStyle w:val="a7"/>
          <w:rFonts w:eastAsia="仿宋_GB2312" w:hint="eastAsia"/>
          <w:b w:val="0"/>
          <w:sz w:val="32"/>
          <w:szCs w:val="32"/>
        </w:rPr>
        <w:t>9</w:t>
      </w:r>
      <w:r>
        <w:rPr>
          <w:rStyle w:val="a7"/>
          <w:rFonts w:eastAsia="仿宋_GB2312"/>
          <w:b w:val="0"/>
          <w:sz w:val="32"/>
          <w:szCs w:val="32"/>
        </w:rPr>
        <w:t>.</w:t>
      </w:r>
      <w:r>
        <w:rPr>
          <w:rFonts w:eastAsia="仿宋_GB2312"/>
          <w:sz w:val="32"/>
          <w:szCs w:val="32"/>
        </w:rPr>
        <w:t>机关事业单位职业年金缴费支出</w:t>
      </w:r>
      <w:r>
        <w:rPr>
          <w:rStyle w:val="a7"/>
          <w:rFonts w:eastAsia="仿宋_GB2312"/>
          <w:b w:val="0"/>
          <w:sz w:val="32"/>
          <w:szCs w:val="32"/>
        </w:rPr>
        <w:t>208</w:t>
      </w:r>
      <w:r>
        <w:rPr>
          <w:rStyle w:val="a7"/>
          <w:rFonts w:eastAsia="仿宋_GB2312"/>
          <w:b w:val="0"/>
          <w:sz w:val="32"/>
          <w:szCs w:val="32"/>
        </w:rPr>
        <w:t>（类）</w:t>
      </w:r>
      <w:r>
        <w:rPr>
          <w:rStyle w:val="a7"/>
          <w:rFonts w:eastAsia="仿宋_GB2312"/>
          <w:b w:val="0"/>
          <w:sz w:val="32"/>
          <w:szCs w:val="32"/>
        </w:rPr>
        <w:t>05</w:t>
      </w:r>
      <w:r>
        <w:rPr>
          <w:rStyle w:val="a7"/>
          <w:rFonts w:eastAsia="仿宋_GB2312"/>
          <w:b w:val="0"/>
          <w:sz w:val="32"/>
          <w:szCs w:val="32"/>
        </w:rPr>
        <w:t>（款）</w:t>
      </w:r>
      <w:r>
        <w:rPr>
          <w:rStyle w:val="a7"/>
          <w:rFonts w:eastAsia="仿宋_GB2312"/>
          <w:b w:val="0"/>
          <w:sz w:val="32"/>
          <w:szCs w:val="32"/>
        </w:rPr>
        <w:t>06</w:t>
      </w:r>
      <w:r>
        <w:rPr>
          <w:rStyle w:val="a7"/>
          <w:rFonts w:eastAsia="仿宋_GB2312"/>
          <w:b w:val="0"/>
          <w:sz w:val="32"/>
          <w:szCs w:val="32"/>
        </w:rPr>
        <w:lastRenderedPageBreak/>
        <w:t>（项）：指</w:t>
      </w:r>
      <w:r>
        <w:rPr>
          <w:rFonts w:eastAsia="仿宋_GB2312"/>
          <w:sz w:val="32"/>
          <w:szCs w:val="32"/>
        </w:rPr>
        <w:t>机关事业单位职业年金缴费支出。</w:t>
      </w:r>
    </w:p>
    <w:p w:rsidR="003C5619" w:rsidRDefault="00761F12" w:rsidP="008C002B">
      <w:pPr>
        <w:spacing w:line="560" w:lineRule="exact"/>
        <w:ind w:firstLine="641"/>
        <w:rPr>
          <w:rFonts w:eastAsia="仿宋_GB2312"/>
          <w:sz w:val="32"/>
          <w:szCs w:val="32"/>
        </w:rPr>
      </w:pPr>
      <w:r>
        <w:rPr>
          <w:rStyle w:val="a7"/>
          <w:rFonts w:eastAsia="仿宋_GB2312" w:hint="eastAsia"/>
          <w:b w:val="0"/>
          <w:sz w:val="32"/>
          <w:szCs w:val="32"/>
        </w:rPr>
        <w:t>10</w:t>
      </w:r>
      <w:r>
        <w:rPr>
          <w:rStyle w:val="a7"/>
          <w:rFonts w:eastAsia="仿宋_GB2312"/>
          <w:b w:val="0"/>
          <w:sz w:val="32"/>
          <w:szCs w:val="32"/>
        </w:rPr>
        <w:t>. 13.</w:t>
      </w:r>
      <w:r>
        <w:rPr>
          <w:rFonts w:eastAsia="仿宋_GB2312"/>
          <w:sz w:val="32"/>
          <w:szCs w:val="32"/>
        </w:rPr>
        <w:t>住房公积金</w:t>
      </w:r>
      <w:r>
        <w:rPr>
          <w:rStyle w:val="a7"/>
          <w:rFonts w:eastAsia="仿宋_GB2312"/>
          <w:b w:val="0"/>
          <w:sz w:val="32"/>
          <w:szCs w:val="32"/>
        </w:rPr>
        <w:t>221</w:t>
      </w:r>
      <w:r>
        <w:rPr>
          <w:rStyle w:val="a7"/>
          <w:rFonts w:eastAsia="仿宋_GB2312"/>
          <w:b w:val="0"/>
          <w:sz w:val="32"/>
          <w:szCs w:val="32"/>
        </w:rPr>
        <w:t>（类）</w:t>
      </w:r>
      <w:r>
        <w:rPr>
          <w:rStyle w:val="a7"/>
          <w:rFonts w:eastAsia="仿宋_GB2312"/>
          <w:b w:val="0"/>
          <w:sz w:val="32"/>
          <w:szCs w:val="32"/>
        </w:rPr>
        <w:t>02</w:t>
      </w:r>
      <w:r>
        <w:rPr>
          <w:rStyle w:val="a7"/>
          <w:rFonts w:eastAsia="仿宋_GB2312"/>
          <w:b w:val="0"/>
          <w:sz w:val="32"/>
          <w:szCs w:val="32"/>
        </w:rPr>
        <w:t>（款）</w:t>
      </w:r>
      <w:r>
        <w:rPr>
          <w:rStyle w:val="a7"/>
          <w:rFonts w:eastAsia="仿宋_GB2312"/>
          <w:b w:val="0"/>
          <w:sz w:val="32"/>
          <w:szCs w:val="32"/>
        </w:rPr>
        <w:t>01</w:t>
      </w:r>
      <w:r>
        <w:rPr>
          <w:rStyle w:val="a7"/>
          <w:rFonts w:eastAsia="仿宋_GB2312"/>
          <w:b w:val="0"/>
          <w:sz w:val="32"/>
          <w:szCs w:val="32"/>
        </w:rPr>
        <w:t>（项）</w:t>
      </w:r>
      <w:r>
        <w:rPr>
          <w:rStyle w:val="a7"/>
          <w:rFonts w:eastAsia="仿宋_GB2312"/>
          <w:b w:val="0"/>
          <w:sz w:val="32"/>
          <w:szCs w:val="32"/>
        </w:rPr>
        <w:t>:</w:t>
      </w:r>
      <w:r>
        <w:rPr>
          <w:rStyle w:val="a7"/>
          <w:rFonts w:eastAsia="仿宋_GB2312"/>
          <w:b w:val="0"/>
          <w:sz w:val="32"/>
          <w:szCs w:val="32"/>
        </w:rPr>
        <w:t>指</w:t>
      </w:r>
      <w:r>
        <w:rPr>
          <w:rFonts w:eastAsia="仿宋_GB2312"/>
          <w:sz w:val="32"/>
          <w:szCs w:val="32"/>
        </w:rPr>
        <w:t>住房公积金缴费</w:t>
      </w:r>
      <w:r>
        <w:rPr>
          <w:rStyle w:val="a7"/>
          <w:rFonts w:eastAsia="仿宋_GB2312"/>
          <w:b w:val="0"/>
          <w:sz w:val="32"/>
          <w:szCs w:val="32"/>
        </w:rPr>
        <w:t>。</w:t>
      </w:r>
    </w:p>
    <w:p w:rsidR="003C5619" w:rsidRDefault="00761F12" w:rsidP="008C002B">
      <w:pPr>
        <w:spacing w:line="560" w:lineRule="exact"/>
        <w:ind w:firstLine="641"/>
        <w:rPr>
          <w:rFonts w:eastAsia="仿宋_GB2312"/>
          <w:sz w:val="32"/>
          <w:szCs w:val="32"/>
        </w:rPr>
      </w:pPr>
      <w:r>
        <w:rPr>
          <w:rFonts w:eastAsia="仿宋_GB2312"/>
          <w:sz w:val="32"/>
          <w:szCs w:val="32"/>
        </w:rPr>
        <w:t>1</w:t>
      </w:r>
      <w:r>
        <w:rPr>
          <w:rFonts w:eastAsia="仿宋_GB2312" w:hint="eastAsia"/>
          <w:sz w:val="32"/>
          <w:szCs w:val="32"/>
        </w:rPr>
        <w:t>1</w:t>
      </w:r>
      <w:r>
        <w:rPr>
          <w:rFonts w:eastAsia="仿宋_GB2312"/>
          <w:sz w:val="32"/>
          <w:szCs w:val="32"/>
        </w:rPr>
        <w:t>.</w:t>
      </w:r>
      <w:r>
        <w:rPr>
          <w:rFonts w:eastAsia="仿宋_GB2312"/>
          <w:sz w:val="32"/>
          <w:szCs w:val="32"/>
        </w:rPr>
        <w:t>基本支出：指为保障机构正常运转、完成日常工作任务而发生的人员支出和公用支出。</w:t>
      </w:r>
    </w:p>
    <w:p w:rsidR="003C5619" w:rsidRDefault="00761F12" w:rsidP="008C002B">
      <w:pPr>
        <w:spacing w:line="560" w:lineRule="exact"/>
        <w:ind w:firstLine="641"/>
        <w:rPr>
          <w:rFonts w:eastAsia="仿宋_GB2312"/>
          <w:sz w:val="32"/>
          <w:szCs w:val="32"/>
        </w:rPr>
      </w:pPr>
      <w:r>
        <w:rPr>
          <w:rFonts w:eastAsia="仿宋_GB2312"/>
          <w:sz w:val="32"/>
          <w:szCs w:val="32"/>
        </w:rPr>
        <w:t>1</w:t>
      </w:r>
      <w:r>
        <w:rPr>
          <w:rFonts w:eastAsia="仿宋_GB2312" w:hint="eastAsia"/>
          <w:sz w:val="32"/>
          <w:szCs w:val="32"/>
        </w:rPr>
        <w:t>2</w:t>
      </w:r>
      <w:r>
        <w:rPr>
          <w:rFonts w:eastAsia="仿宋_GB2312"/>
          <w:sz w:val="32"/>
          <w:szCs w:val="32"/>
        </w:rPr>
        <w:t>.</w:t>
      </w:r>
      <w:r>
        <w:rPr>
          <w:rFonts w:eastAsia="仿宋_GB2312"/>
          <w:sz w:val="32"/>
          <w:szCs w:val="32"/>
        </w:rPr>
        <w:t>项目支出：指在基本支出之外为完成特定行政任务和事业发展目标所发生的支出。</w:t>
      </w:r>
    </w:p>
    <w:p w:rsidR="003C5619" w:rsidRDefault="00761F12" w:rsidP="008C002B">
      <w:pPr>
        <w:pStyle w:val="Default"/>
        <w:autoSpaceDE/>
        <w:autoSpaceDN/>
        <w:adjustRightInd/>
        <w:spacing w:line="560" w:lineRule="exact"/>
        <w:ind w:firstLine="641"/>
        <w:jc w:val="both"/>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hint="eastAsia"/>
          <w:color w:val="auto"/>
          <w:sz w:val="32"/>
          <w:szCs w:val="32"/>
        </w:rPr>
        <w:t>3</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经费：指单位用财政拨款安排的因公出国（境）费、公务用车购置及运行费和公务接待费。其中，因公出国（境）</w:t>
      </w:r>
      <w:proofErr w:type="gramStart"/>
      <w:r>
        <w:rPr>
          <w:rFonts w:ascii="Times New Roman" w:eastAsia="仿宋_GB2312" w:hAnsi="Times New Roman" w:cs="Times New Roman"/>
          <w:color w:val="auto"/>
          <w:sz w:val="32"/>
          <w:szCs w:val="32"/>
        </w:rPr>
        <w:t>费反映</w:t>
      </w:r>
      <w:proofErr w:type="gramEnd"/>
      <w:r>
        <w:rPr>
          <w:rFonts w:ascii="Times New Roman" w:eastAsia="仿宋_GB2312" w:hAnsi="Times New Roman" w:cs="Times New Roman"/>
          <w:color w:val="auto"/>
          <w:sz w:val="32"/>
          <w:szCs w:val="32"/>
        </w:rPr>
        <w:t>单位公务出国（境）的国际旅费、国外城市间交通费、住宿费、伙食费、培训费、公杂费等支出；公务用车购置及运行</w:t>
      </w:r>
      <w:proofErr w:type="gramStart"/>
      <w:r>
        <w:rPr>
          <w:rFonts w:ascii="Times New Roman" w:eastAsia="仿宋_GB2312" w:hAnsi="Times New Roman" w:cs="Times New Roman"/>
          <w:color w:val="auto"/>
          <w:sz w:val="32"/>
          <w:szCs w:val="32"/>
        </w:rPr>
        <w:t>费反映</w:t>
      </w:r>
      <w:proofErr w:type="gramEnd"/>
      <w:r>
        <w:rPr>
          <w:rFonts w:ascii="Times New Roman" w:eastAsia="仿宋_GB2312" w:hAnsi="Times New Roman" w:cs="Times New Roman"/>
          <w:color w:val="auto"/>
          <w:sz w:val="32"/>
          <w:szCs w:val="32"/>
        </w:rPr>
        <w:t>单位公务用车车辆购置支出（</w:t>
      </w:r>
      <w:proofErr w:type="gramStart"/>
      <w:r>
        <w:rPr>
          <w:rFonts w:ascii="Times New Roman" w:eastAsia="仿宋_GB2312" w:hAnsi="Times New Roman" w:cs="Times New Roman"/>
          <w:color w:val="auto"/>
          <w:sz w:val="32"/>
          <w:szCs w:val="32"/>
        </w:rPr>
        <w:t>含车辆</w:t>
      </w:r>
      <w:proofErr w:type="gramEnd"/>
      <w:r>
        <w:rPr>
          <w:rFonts w:ascii="Times New Roman" w:eastAsia="仿宋_GB2312" w:hAnsi="Times New Roman" w:cs="Times New Roman"/>
          <w:color w:val="auto"/>
          <w:sz w:val="32"/>
          <w:szCs w:val="32"/>
        </w:rPr>
        <w:t>购置税）及租用费、燃料费、维修费、过路过桥费、保险费等支出；公务接待</w:t>
      </w:r>
      <w:proofErr w:type="gramStart"/>
      <w:r>
        <w:rPr>
          <w:rFonts w:ascii="Times New Roman" w:eastAsia="仿宋_GB2312" w:hAnsi="Times New Roman" w:cs="Times New Roman"/>
          <w:color w:val="auto"/>
          <w:sz w:val="32"/>
          <w:szCs w:val="32"/>
        </w:rPr>
        <w:t>费反映</w:t>
      </w:r>
      <w:proofErr w:type="gramEnd"/>
      <w:r>
        <w:rPr>
          <w:rFonts w:ascii="Times New Roman" w:eastAsia="仿宋_GB2312" w:hAnsi="Times New Roman" w:cs="Times New Roman"/>
          <w:color w:val="auto"/>
          <w:sz w:val="32"/>
          <w:szCs w:val="32"/>
        </w:rPr>
        <w:t>单位按规定开支的各类公务接待（含外宾接待）支出。</w:t>
      </w:r>
    </w:p>
    <w:p w:rsidR="003C5619" w:rsidRDefault="00761F12" w:rsidP="008C002B">
      <w:pPr>
        <w:pStyle w:val="Default"/>
        <w:autoSpaceDE/>
        <w:autoSpaceDN/>
        <w:adjustRightInd/>
        <w:spacing w:line="560" w:lineRule="exact"/>
        <w:ind w:firstLine="641"/>
        <w:jc w:val="both"/>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14</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52" w:name="_Toc15396614"/>
      <w:bookmarkStart w:id="53" w:name="_Toc15377226"/>
    </w:p>
    <w:p w:rsidR="00EE58C4" w:rsidRDefault="00EE58C4" w:rsidP="008C002B">
      <w:pPr>
        <w:spacing w:line="560" w:lineRule="exact"/>
        <w:ind w:firstLine="641"/>
        <w:rPr>
          <w:rFonts w:eastAsia="仿宋_GB2312"/>
          <w:color w:val="000000"/>
          <w:kern w:val="0"/>
          <w:sz w:val="32"/>
          <w:szCs w:val="32"/>
        </w:rPr>
      </w:pPr>
      <w:r>
        <w:rPr>
          <w:rFonts w:eastAsia="仿宋_GB2312" w:hint="eastAsia"/>
          <w:color w:val="000000"/>
          <w:kern w:val="0"/>
          <w:sz w:val="32"/>
          <w:szCs w:val="32"/>
        </w:rPr>
        <w:t>15.</w:t>
      </w:r>
      <w:r w:rsidRPr="00BD0C9E">
        <w:rPr>
          <w:rFonts w:eastAsia="仿宋_GB2312" w:hint="eastAsia"/>
          <w:color w:val="000000"/>
          <w:kern w:val="0"/>
          <w:sz w:val="32"/>
          <w:szCs w:val="32"/>
        </w:rPr>
        <w:t>教育支出（</w:t>
      </w:r>
      <w:r w:rsidRPr="00BD0C9E">
        <w:rPr>
          <w:rFonts w:eastAsia="仿宋_GB2312" w:hint="eastAsia"/>
          <w:color w:val="000000"/>
          <w:kern w:val="0"/>
          <w:sz w:val="32"/>
          <w:szCs w:val="32"/>
        </w:rPr>
        <w:t>205</w:t>
      </w:r>
      <w:r w:rsidRPr="00BD0C9E">
        <w:rPr>
          <w:rFonts w:eastAsia="仿宋_GB2312" w:hint="eastAsia"/>
          <w:color w:val="000000"/>
          <w:kern w:val="0"/>
          <w:sz w:val="32"/>
          <w:szCs w:val="32"/>
        </w:rPr>
        <w:t>类）普通教育（</w:t>
      </w:r>
      <w:r w:rsidRPr="00BD0C9E">
        <w:rPr>
          <w:rFonts w:eastAsia="仿宋_GB2312" w:hint="eastAsia"/>
          <w:color w:val="000000"/>
          <w:kern w:val="0"/>
          <w:sz w:val="32"/>
          <w:szCs w:val="32"/>
        </w:rPr>
        <w:t>02</w:t>
      </w:r>
      <w:r w:rsidRPr="00BD0C9E">
        <w:rPr>
          <w:rFonts w:eastAsia="仿宋_GB2312" w:hint="eastAsia"/>
          <w:color w:val="000000"/>
          <w:kern w:val="0"/>
          <w:sz w:val="32"/>
          <w:szCs w:val="32"/>
        </w:rPr>
        <w:t>款）小学教育（</w:t>
      </w:r>
      <w:r>
        <w:rPr>
          <w:rFonts w:eastAsia="仿宋_GB2312" w:hint="eastAsia"/>
          <w:color w:val="000000"/>
          <w:kern w:val="0"/>
          <w:sz w:val="32"/>
          <w:szCs w:val="32"/>
        </w:rPr>
        <w:t>99</w:t>
      </w:r>
      <w:r w:rsidRPr="00BD0C9E">
        <w:rPr>
          <w:rFonts w:eastAsia="仿宋_GB2312" w:hint="eastAsia"/>
          <w:color w:val="000000"/>
          <w:kern w:val="0"/>
          <w:sz w:val="32"/>
          <w:szCs w:val="32"/>
        </w:rPr>
        <w:t>项）：</w:t>
      </w:r>
      <w:r>
        <w:rPr>
          <w:rFonts w:eastAsia="仿宋_GB2312" w:hint="eastAsia"/>
          <w:color w:val="000000"/>
          <w:kern w:val="0"/>
          <w:sz w:val="32"/>
          <w:szCs w:val="32"/>
        </w:rPr>
        <w:t>反映上述项目以外其他用于普通教育方面的支出。</w:t>
      </w:r>
    </w:p>
    <w:p w:rsidR="00EE58C4" w:rsidRDefault="00EE58C4" w:rsidP="008C002B">
      <w:pPr>
        <w:spacing w:line="560" w:lineRule="exact"/>
        <w:ind w:firstLine="641"/>
        <w:rPr>
          <w:rStyle w:val="a7"/>
          <w:rFonts w:eastAsia="仿宋_GB2312"/>
          <w:b w:val="0"/>
          <w:sz w:val="32"/>
          <w:szCs w:val="32"/>
        </w:rPr>
      </w:pPr>
      <w:r>
        <w:rPr>
          <w:rFonts w:eastAsia="仿宋_GB2312" w:hint="eastAsia"/>
          <w:sz w:val="32"/>
          <w:szCs w:val="32"/>
        </w:rPr>
        <w:t>16.</w:t>
      </w:r>
      <w:r w:rsidRPr="00BD0C9E">
        <w:rPr>
          <w:rFonts w:eastAsia="仿宋_GB2312" w:hint="eastAsia"/>
          <w:sz w:val="32"/>
          <w:szCs w:val="32"/>
        </w:rPr>
        <w:t>教</w:t>
      </w:r>
      <w:r w:rsidRPr="003B4ED6">
        <w:rPr>
          <w:rFonts w:eastAsia="仿宋_GB2312" w:hint="eastAsia"/>
          <w:sz w:val="32"/>
          <w:szCs w:val="32"/>
        </w:rPr>
        <w:t>育支出</w:t>
      </w:r>
      <w:r>
        <w:rPr>
          <w:rStyle w:val="a7"/>
          <w:rFonts w:eastAsia="仿宋_GB2312"/>
          <w:b w:val="0"/>
          <w:sz w:val="32"/>
          <w:szCs w:val="32"/>
        </w:rPr>
        <w:t>（</w:t>
      </w:r>
      <w:r>
        <w:rPr>
          <w:rStyle w:val="a7"/>
          <w:rFonts w:eastAsia="仿宋_GB2312"/>
          <w:b w:val="0"/>
          <w:sz w:val="32"/>
          <w:szCs w:val="32"/>
        </w:rPr>
        <w:t>205</w:t>
      </w:r>
      <w:r>
        <w:rPr>
          <w:rStyle w:val="a7"/>
          <w:rFonts w:eastAsia="仿宋_GB2312"/>
          <w:b w:val="0"/>
          <w:sz w:val="32"/>
          <w:szCs w:val="32"/>
        </w:rPr>
        <w:t>类）教育费附加安排的支出（</w:t>
      </w:r>
      <w:r>
        <w:rPr>
          <w:rStyle w:val="a7"/>
          <w:rFonts w:eastAsia="仿宋_GB2312"/>
          <w:b w:val="0"/>
          <w:sz w:val="32"/>
          <w:szCs w:val="32"/>
        </w:rPr>
        <w:t>09</w:t>
      </w:r>
      <w:r>
        <w:rPr>
          <w:rStyle w:val="a7"/>
          <w:rFonts w:eastAsia="仿宋_GB2312"/>
          <w:b w:val="0"/>
          <w:sz w:val="32"/>
          <w:szCs w:val="32"/>
        </w:rPr>
        <w:t>款）</w:t>
      </w:r>
      <w:r>
        <w:rPr>
          <w:rStyle w:val="a7"/>
          <w:rFonts w:eastAsia="仿宋_GB2312"/>
          <w:b w:val="0"/>
          <w:sz w:val="32"/>
          <w:szCs w:val="32"/>
        </w:rPr>
        <w:lastRenderedPageBreak/>
        <w:t>农村中小学教学设施（</w:t>
      </w:r>
      <w:r>
        <w:rPr>
          <w:rStyle w:val="a7"/>
          <w:rFonts w:eastAsia="仿宋_GB2312" w:hint="eastAsia"/>
          <w:b w:val="0"/>
          <w:sz w:val="32"/>
          <w:szCs w:val="32"/>
        </w:rPr>
        <w:t>99</w:t>
      </w:r>
      <w:r>
        <w:rPr>
          <w:rStyle w:val="a7"/>
          <w:rFonts w:eastAsia="仿宋_GB2312"/>
          <w:b w:val="0"/>
          <w:sz w:val="32"/>
          <w:szCs w:val="32"/>
        </w:rPr>
        <w:t>项）：</w:t>
      </w:r>
      <w:r>
        <w:rPr>
          <w:rStyle w:val="a7"/>
          <w:rFonts w:eastAsia="仿宋_GB2312" w:hint="eastAsia"/>
          <w:b w:val="0"/>
          <w:sz w:val="32"/>
          <w:szCs w:val="32"/>
        </w:rPr>
        <w:t>反映</w:t>
      </w:r>
      <w:r>
        <w:rPr>
          <w:rStyle w:val="a7"/>
          <w:rFonts w:eastAsia="仿宋_GB2312"/>
          <w:b w:val="0"/>
          <w:sz w:val="32"/>
          <w:szCs w:val="32"/>
        </w:rPr>
        <w:t>教育费附加安排用于改善农村中小学教学设施和办学条件的支出。</w:t>
      </w:r>
    </w:p>
    <w:p w:rsidR="00EE58C4" w:rsidRPr="000824BE" w:rsidRDefault="00EE58C4" w:rsidP="008C002B">
      <w:pPr>
        <w:pStyle w:val="a0"/>
        <w:spacing w:beforeLines="0" w:line="560" w:lineRule="exact"/>
        <w:ind w:firstLine="641"/>
      </w:pPr>
      <w:r>
        <w:rPr>
          <w:rFonts w:hint="eastAsia"/>
          <w:color w:val="000000"/>
          <w:sz w:val="32"/>
          <w:szCs w:val="32"/>
        </w:rPr>
        <w:t>17.</w:t>
      </w:r>
      <w:r w:rsidRPr="00BD0C9E">
        <w:rPr>
          <w:rFonts w:hint="eastAsia"/>
          <w:color w:val="000000"/>
          <w:sz w:val="32"/>
          <w:szCs w:val="32"/>
        </w:rPr>
        <w:t>住房保障支出（221类）住房改革支出（02款）</w:t>
      </w:r>
      <w:r>
        <w:rPr>
          <w:rFonts w:hint="eastAsia"/>
          <w:color w:val="000000"/>
          <w:sz w:val="32"/>
          <w:szCs w:val="32"/>
        </w:rPr>
        <w:t>购房补贴</w:t>
      </w:r>
      <w:r w:rsidRPr="00BD0C9E">
        <w:rPr>
          <w:rFonts w:hint="eastAsia"/>
          <w:color w:val="000000"/>
          <w:sz w:val="32"/>
          <w:szCs w:val="32"/>
        </w:rPr>
        <w:t>（0</w:t>
      </w:r>
      <w:r>
        <w:rPr>
          <w:rFonts w:hint="eastAsia"/>
          <w:color w:val="000000"/>
          <w:sz w:val="32"/>
          <w:szCs w:val="32"/>
        </w:rPr>
        <w:t>3</w:t>
      </w:r>
      <w:r w:rsidRPr="00BD0C9E">
        <w:rPr>
          <w:rFonts w:hint="eastAsia"/>
          <w:color w:val="000000"/>
          <w:sz w:val="32"/>
          <w:szCs w:val="32"/>
        </w:rPr>
        <w:t>项）：</w:t>
      </w:r>
      <w:r>
        <w:rPr>
          <w:rFonts w:hint="eastAsia"/>
          <w:color w:val="000000"/>
          <w:sz w:val="32"/>
          <w:szCs w:val="32"/>
        </w:rPr>
        <w:t>反映房改政策规定，行政事业单位向符合条件职工（含离退休人员）、军队（含武警）向转役复员离退休人员发放的用于购买住房的补贴。</w:t>
      </w:r>
    </w:p>
    <w:p w:rsidR="00EE58C4" w:rsidRPr="00EE58C4" w:rsidRDefault="00EE58C4" w:rsidP="008C002B">
      <w:pPr>
        <w:pStyle w:val="a0"/>
        <w:spacing w:beforeLines="0" w:line="560" w:lineRule="exact"/>
        <w:ind w:firstLine="641"/>
      </w:pPr>
    </w:p>
    <w:p w:rsidR="00EE58C4" w:rsidRPr="00EE58C4" w:rsidRDefault="00EE58C4" w:rsidP="00EE58C4">
      <w:pPr>
        <w:pStyle w:val="a0"/>
        <w:spacing w:before="93"/>
      </w:pPr>
    </w:p>
    <w:p w:rsidR="00EE58C4" w:rsidRPr="00EE58C4" w:rsidRDefault="00EE58C4">
      <w:pPr>
        <w:pStyle w:val="Default"/>
        <w:spacing w:line="560" w:lineRule="exact"/>
        <w:ind w:firstLineChars="200" w:firstLine="640"/>
        <w:rPr>
          <w:rFonts w:ascii="Times New Roman" w:eastAsia="仿宋_GB2312" w:hAnsi="Times New Roman" w:cs="Times New Roman"/>
          <w:color w:val="auto"/>
          <w:sz w:val="32"/>
          <w:szCs w:val="32"/>
        </w:rPr>
      </w:pPr>
    </w:p>
    <w:p w:rsidR="003C5619" w:rsidRDefault="003C5619">
      <w:pPr>
        <w:pStyle w:val="Default"/>
        <w:spacing w:line="560" w:lineRule="exact"/>
        <w:ind w:firstLineChars="200" w:firstLine="640"/>
        <w:rPr>
          <w:rFonts w:ascii="Times New Roman" w:eastAsia="仿宋_GB2312" w:hAnsi="Times New Roman" w:cs="Times New Roman"/>
          <w:color w:val="auto"/>
          <w:sz w:val="32"/>
          <w:szCs w:val="32"/>
        </w:rPr>
      </w:pPr>
    </w:p>
    <w:p w:rsidR="003C5619" w:rsidRDefault="00761F12">
      <w:pPr>
        <w:pStyle w:val="Default"/>
        <w:spacing w:line="560" w:lineRule="exact"/>
        <w:jc w:val="center"/>
        <w:rPr>
          <w:rStyle w:val="1Char"/>
          <w:rFonts w:eastAsia="黑体" w:cs="Times New Roman"/>
          <w:b w:val="0"/>
        </w:rPr>
      </w:pPr>
      <w:r>
        <w:rPr>
          <w:rFonts w:ascii="Times New Roman" w:eastAsia="黑体" w:hAnsi="Times New Roman" w:cs="Times New Roman"/>
          <w:sz w:val="44"/>
          <w:szCs w:val="44"/>
        </w:rPr>
        <w:t>第</w:t>
      </w:r>
      <w:r>
        <w:rPr>
          <w:rStyle w:val="1Char"/>
          <w:rFonts w:eastAsia="黑体" w:cs="Times New Roman"/>
          <w:b w:val="0"/>
        </w:rPr>
        <w:t>四部分</w:t>
      </w:r>
      <w:r>
        <w:rPr>
          <w:rStyle w:val="1Char"/>
          <w:rFonts w:eastAsia="黑体" w:cs="Times New Roman"/>
          <w:b w:val="0"/>
        </w:rPr>
        <w:t xml:space="preserve"> </w:t>
      </w:r>
      <w:r>
        <w:rPr>
          <w:rStyle w:val="1Char"/>
          <w:rFonts w:eastAsia="黑体" w:cs="Times New Roman"/>
          <w:b w:val="0"/>
        </w:rPr>
        <w:t>附件</w:t>
      </w:r>
      <w:bookmarkEnd w:id="52"/>
    </w:p>
    <w:p w:rsidR="003C5619" w:rsidRDefault="00761F12">
      <w:pPr>
        <w:spacing w:line="572" w:lineRule="exact"/>
        <w:jc w:val="left"/>
        <w:outlineLvl w:val="0"/>
        <w:rPr>
          <w:rFonts w:eastAsia="黑体"/>
          <w:sz w:val="32"/>
          <w:szCs w:val="32"/>
        </w:rPr>
      </w:pPr>
      <w:r>
        <w:rPr>
          <w:rFonts w:eastAsia="黑体"/>
          <w:sz w:val="32"/>
          <w:szCs w:val="32"/>
        </w:rPr>
        <w:t>附件</w:t>
      </w:r>
      <w:r>
        <w:rPr>
          <w:rFonts w:eastAsia="黑体"/>
          <w:sz w:val="32"/>
          <w:szCs w:val="32"/>
        </w:rPr>
        <w:t>1</w:t>
      </w:r>
    </w:p>
    <w:tbl>
      <w:tblPr>
        <w:tblW w:w="9617" w:type="dxa"/>
        <w:tblInd w:w="-741" w:type="dxa"/>
        <w:tblLayout w:type="fixed"/>
        <w:tblCellMar>
          <w:left w:w="0" w:type="dxa"/>
          <w:right w:w="0" w:type="dxa"/>
        </w:tblCellMar>
        <w:tblLook w:val="04A0" w:firstRow="1" w:lastRow="0" w:firstColumn="1" w:lastColumn="0" w:noHBand="0" w:noVBand="1"/>
      </w:tblPr>
      <w:tblGrid>
        <w:gridCol w:w="750"/>
        <w:gridCol w:w="634"/>
        <w:gridCol w:w="650"/>
        <w:gridCol w:w="2217"/>
        <w:gridCol w:w="1665"/>
        <w:gridCol w:w="1455"/>
        <w:gridCol w:w="990"/>
        <w:gridCol w:w="1256"/>
      </w:tblGrid>
      <w:tr w:rsidR="003C5619">
        <w:trPr>
          <w:trHeight w:val="675"/>
        </w:trPr>
        <w:tc>
          <w:tcPr>
            <w:tcW w:w="9617" w:type="dxa"/>
            <w:gridSpan w:val="8"/>
            <w:tcBorders>
              <w:top w:val="nil"/>
              <w:left w:val="nil"/>
              <w:bottom w:val="nil"/>
              <w:right w:val="nil"/>
            </w:tcBorders>
            <w:shd w:val="clear" w:color="auto" w:fill="auto"/>
            <w:tcMar>
              <w:top w:w="15" w:type="dxa"/>
              <w:left w:w="15" w:type="dxa"/>
              <w:right w:w="15" w:type="dxa"/>
            </w:tcMar>
            <w:vAlign w:val="center"/>
          </w:tcPr>
          <w:p w:rsidR="003C5619" w:rsidRDefault="00761F12">
            <w:pPr>
              <w:widowControl/>
              <w:jc w:val="center"/>
              <w:textAlignment w:val="center"/>
              <w:rPr>
                <w:b/>
                <w:color w:val="000000"/>
                <w:sz w:val="32"/>
                <w:szCs w:val="32"/>
              </w:rPr>
            </w:pPr>
            <w:bookmarkStart w:id="54" w:name="_Toc15396618"/>
            <w:r>
              <w:rPr>
                <w:b/>
                <w:color w:val="000000"/>
                <w:kern w:val="0"/>
                <w:sz w:val="32"/>
                <w:szCs w:val="32"/>
                <w:lang w:bidi="ar"/>
              </w:rPr>
              <w:t>部门预算整体绩效自评表</w:t>
            </w:r>
          </w:p>
        </w:tc>
      </w:tr>
      <w:tr w:rsidR="003C5619">
        <w:trPr>
          <w:trHeight w:val="439"/>
        </w:trPr>
        <w:tc>
          <w:tcPr>
            <w:tcW w:w="2034"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单位名称</w:t>
            </w:r>
          </w:p>
        </w:tc>
        <w:tc>
          <w:tcPr>
            <w:tcW w:w="7583"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盐边县红格镇中心学校</w:t>
            </w:r>
          </w:p>
        </w:tc>
      </w:tr>
      <w:tr w:rsidR="003C5619">
        <w:trPr>
          <w:trHeight w:val="439"/>
        </w:trPr>
        <w:tc>
          <w:tcPr>
            <w:tcW w:w="2034"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项目资金</w:t>
            </w:r>
            <w:r>
              <w:rPr>
                <w:color w:val="000000"/>
                <w:kern w:val="0"/>
                <w:sz w:val="24"/>
                <w:lang w:bidi="ar"/>
              </w:rPr>
              <w:br/>
            </w:r>
            <w:r>
              <w:rPr>
                <w:color w:val="000000"/>
                <w:kern w:val="0"/>
                <w:sz w:val="24"/>
                <w:lang w:bidi="ar"/>
              </w:rPr>
              <w:t>（万元）</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全年预算数</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实际完成数</w:t>
            </w:r>
          </w:p>
        </w:tc>
        <w:tc>
          <w:tcPr>
            <w:tcW w:w="22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执行率（</w:t>
            </w:r>
            <w:r>
              <w:rPr>
                <w:color w:val="000000"/>
                <w:kern w:val="0"/>
                <w:sz w:val="24"/>
                <w:lang w:bidi="ar"/>
              </w:rPr>
              <w:t>%</w:t>
            </w:r>
            <w:r>
              <w:rPr>
                <w:color w:val="000000"/>
                <w:kern w:val="0"/>
                <w:sz w:val="24"/>
                <w:lang w:bidi="ar"/>
              </w:rPr>
              <w:t>）</w:t>
            </w:r>
          </w:p>
        </w:tc>
      </w:tr>
      <w:tr w:rsidR="003C5619">
        <w:trPr>
          <w:trHeight w:val="439"/>
        </w:trPr>
        <w:tc>
          <w:tcPr>
            <w:tcW w:w="2034"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年度资金总额：</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2833.7</w:t>
            </w:r>
            <w:r>
              <w:rPr>
                <w:color w:val="000000"/>
                <w:kern w:val="0"/>
                <w:sz w:val="24"/>
                <w:lang w:bidi="ar"/>
              </w:rPr>
              <w:t>万元</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2833.7</w:t>
            </w:r>
            <w:r>
              <w:rPr>
                <w:color w:val="000000"/>
                <w:kern w:val="0"/>
                <w:sz w:val="24"/>
                <w:lang w:bidi="ar"/>
              </w:rPr>
              <w:t>万元</w:t>
            </w:r>
          </w:p>
        </w:tc>
        <w:tc>
          <w:tcPr>
            <w:tcW w:w="22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r>
      <w:tr w:rsidR="003C5619">
        <w:trPr>
          <w:trHeight w:val="439"/>
        </w:trPr>
        <w:tc>
          <w:tcPr>
            <w:tcW w:w="2034"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其中：财政拨款</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2833.7</w:t>
            </w:r>
            <w:r>
              <w:rPr>
                <w:color w:val="000000"/>
                <w:kern w:val="0"/>
                <w:sz w:val="24"/>
                <w:lang w:bidi="ar"/>
              </w:rPr>
              <w:t>万元</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2833.7</w:t>
            </w:r>
            <w:r>
              <w:rPr>
                <w:color w:val="000000"/>
                <w:kern w:val="0"/>
                <w:sz w:val="24"/>
                <w:lang w:bidi="ar"/>
              </w:rPr>
              <w:t>万元</w:t>
            </w:r>
          </w:p>
        </w:tc>
        <w:tc>
          <w:tcPr>
            <w:tcW w:w="22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r>
      <w:tr w:rsidR="003C5619">
        <w:trPr>
          <w:trHeight w:val="439"/>
        </w:trPr>
        <w:tc>
          <w:tcPr>
            <w:tcW w:w="2034"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其他资金</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c>
          <w:tcPr>
            <w:tcW w:w="22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439"/>
        </w:trPr>
        <w:tc>
          <w:tcPr>
            <w:tcW w:w="75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总</w:t>
            </w:r>
            <w:r>
              <w:rPr>
                <w:color w:val="000000"/>
                <w:kern w:val="0"/>
                <w:sz w:val="24"/>
                <w:lang w:bidi="ar"/>
              </w:rPr>
              <w:br/>
            </w:r>
            <w:r>
              <w:rPr>
                <w:color w:val="000000"/>
                <w:kern w:val="0"/>
                <w:sz w:val="24"/>
                <w:lang w:bidi="ar"/>
              </w:rPr>
              <w:t>体</w:t>
            </w:r>
            <w:r>
              <w:rPr>
                <w:color w:val="000000"/>
                <w:kern w:val="0"/>
                <w:sz w:val="24"/>
                <w:lang w:bidi="ar"/>
              </w:rPr>
              <w:br/>
            </w:r>
            <w:r>
              <w:rPr>
                <w:color w:val="000000"/>
                <w:kern w:val="0"/>
                <w:sz w:val="24"/>
                <w:lang w:bidi="ar"/>
              </w:rPr>
              <w:t>目</w:t>
            </w:r>
            <w:r>
              <w:rPr>
                <w:color w:val="000000"/>
                <w:kern w:val="0"/>
                <w:sz w:val="24"/>
                <w:lang w:bidi="ar"/>
              </w:rPr>
              <w:br/>
            </w:r>
            <w:r>
              <w:rPr>
                <w:color w:val="000000"/>
                <w:kern w:val="0"/>
                <w:sz w:val="24"/>
                <w:lang w:bidi="ar"/>
              </w:rPr>
              <w:t>标</w:t>
            </w:r>
          </w:p>
        </w:tc>
        <w:tc>
          <w:tcPr>
            <w:tcW w:w="3501"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年度设定目标</w:t>
            </w:r>
          </w:p>
        </w:tc>
        <w:tc>
          <w:tcPr>
            <w:tcW w:w="5366"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实际完成情况</w:t>
            </w:r>
          </w:p>
        </w:tc>
      </w:tr>
      <w:tr w:rsidR="003C5619">
        <w:trPr>
          <w:trHeight w:val="3148"/>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3501"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1.</w:t>
            </w:r>
            <w:r>
              <w:rPr>
                <w:color w:val="000000"/>
                <w:kern w:val="0"/>
                <w:sz w:val="24"/>
                <w:lang w:bidi="ar"/>
              </w:rPr>
              <w:t>贯彻执行国家教育方针政策，促进红格镇教育事业的发展。</w:t>
            </w:r>
            <w:r>
              <w:rPr>
                <w:color w:val="000000"/>
                <w:kern w:val="0"/>
                <w:sz w:val="24"/>
                <w:lang w:bidi="ar"/>
              </w:rPr>
              <w:t>2.</w:t>
            </w:r>
            <w:r>
              <w:rPr>
                <w:color w:val="000000"/>
                <w:kern w:val="0"/>
                <w:sz w:val="24"/>
                <w:lang w:bidi="ar"/>
              </w:rPr>
              <w:t>保障学校教育教学发展需求，完成各项教育教学工作任务，提升教育教学水平。</w:t>
            </w:r>
            <w:r>
              <w:rPr>
                <w:color w:val="000000"/>
                <w:kern w:val="0"/>
                <w:sz w:val="24"/>
                <w:lang w:bidi="ar"/>
              </w:rPr>
              <w:t>3.</w:t>
            </w:r>
            <w:r>
              <w:rPr>
                <w:color w:val="000000"/>
                <w:kern w:val="0"/>
                <w:sz w:val="24"/>
                <w:lang w:bidi="ar"/>
              </w:rPr>
              <w:t>保障教师培训，党建活动资金需求，整体提升学校教师业务能力、政治素养、职业道德水平和服务意识。</w:t>
            </w:r>
            <w:r>
              <w:rPr>
                <w:color w:val="000000"/>
                <w:kern w:val="0"/>
                <w:sz w:val="24"/>
                <w:lang w:bidi="ar"/>
              </w:rPr>
              <w:t>4.</w:t>
            </w:r>
            <w:r>
              <w:rPr>
                <w:color w:val="000000"/>
                <w:kern w:val="0"/>
                <w:sz w:val="24"/>
                <w:lang w:bidi="ar"/>
              </w:rPr>
              <w:t>保障学校正常运转</w:t>
            </w:r>
            <w:r>
              <w:rPr>
                <w:rFonts w:hint="eastAsia"/>
                <w:color w:val="000000"/>
                <w:kern w:val="0"/>
                <w:sz w:val="24"/>
                <w:lang w:bidi="ar"/>
              </w:rPr>
              <w:t>，</w:t>
            </w:r>
            <w:r>
              <w:rPr>
                <w:color w:val="000000"/>
                <w:kern w:val="0"/>
                <w:sz w:val="24"/>
                <w:lang w:bidi="ar"/>
              </w:rPr>
              <w:t>改善优化学校办学条件。</w:t>
            </w:r>
            <w:r>
              <w:rPr>
                <w:color w:val="000000"/>
                <w:kern w:val="0"/>
                <w:sz w:val="24"/>
                <w:lang w:bidi="ar"/>
              </w:rPr>
              <w:t>5.</w:t>
            </w:r>
            <w:r>
              <w:rPr>
                <w:color w:val="000000"/>
                <w:kern w:val="0"/>
                <w:sz w:val="24"/>
                <w:lang w:bidi="ar"/>
              </w:rPr>
              <w:t>保障人员经费。</w:t>
            </w:r>
          </w:p>
        </w:tc>
        <w:tc>
          <w:tcPr>
            <w:tcW w:w="5366"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1.</w:t>
            </w:r>
            <w:r>
              <w:rPr>
                <w:color w:val="000000"/>
                <w:kern w:val="0"/>
                <w:sz w:val="24"/>
                <w:lang w:bidi="ar"/>
              </w:rPr>
              <w:t>坚决执行党和国家的教育方针政策。</w:t>
            </w:r>
            <w:r>
              <w:rPr>
                <w:color w:val="000000"/>
                <w:kern w:val="0"/>
                <w:sz w:val="24"/>
                <w:lang w:bidi="ar"/>
              </w:rPr>
              <w:t>2.</w:t>
            </w:r>
            <w:r>
              <w:rPr>
                <w:color w:val="000000"/>
                <w:kern w:val="0"/>
                <w:sz w:val="24"/>
                <w:lang w:bidi="ar"/>
              </w:rPr>
              <w:t>保障学校教育教学发展需求，完成各项教育教学工作任务，提升教育教学水平。</w:t>
            </w:r>
            <w:r>
              <w:rPr>
                <w:color w:val="000000"/>
                <w:kern w:val="0"/>
                <w:sz w:val="24"/>
                <w:lang w:bidi="ar"/>
              </w:rPr>
              <w:t>3.</w:t>
            </w:r>
            <w:r>
              <w:rPr>
                <w:color w:val="000000"/>
                <w:kern w:val="0"/>
                <w:sz w:val="24"/>
                <w:lang w:bidi="ar"/>
              </w:rPr>
              <w:t>保障教师培训，党建活动资金需求，整体提升学校教师业务能力、政治素养、职业道德水平和服务意识。</w:t>
            </w:r>
            <w:r>
              <w:rPr>
                <w:color w:val="000000"/>
                <w:kern w:val="0"/>
                <w:sz w:val="24"/>
                <w:lang w:bidi="ar"/>
              </w:rPr>
              <w:t>4.</w:t>
            </w:r>
            <w:r>
              <w:rPr>
                <w:color w:val="000000"/>
                <w:kern w:val="0"/>
                <w:sz w:val="24"/>
                <w:lang w:bidi="ar"/>
              </w:rPr>
              <w:t>保障学校正常运转</w:t>
            </w:r>
            <w:r>
              <w:rPr>
                <w:rFonts w:hint="eastAsia"/>
                <w:color w:val="000000"/>
                <w:kern w:val="0"/>
                <w:sz w:val="24"/>
                <w:lang w:bidi="ar"/>
              </w:rPr>
              <w:t>，</w:t>
            </w:r>
            <w:r>
              <w:rPr>
                <w:color w:val="000000"/>
                <w:kern w:val="0"/>
                <w:sz w:val="24"/>
                <w:lang w:bidi="ar"/>
              </w:rPr>
              <w:t>改善优化学校办学条件。</w:t>
            </w:r>
            <w:r>
              <w:rPr>
                <w:color w:val="000000"/>
                <w:kern w:val="0"/>
                <w:sz w:val="24"/>
                <w:lang w:bidi="ar"/>
              </w:rPr>
              <w:t>5.</w:t>
            </w:r>
            <w:r>
              <w:rPr>
                <w:color w:val="000000"/>
                <w:kern w:val="0"/>
                <w:sz w:val="24"/>
                <w:lang w:bidi="ar"/>
              </w:rPr>
              <w:t>把教育教学质量放在首位，提高教师从教的幸福感，办人民满意的教育。</w:t>
            </w:r>
          </w:p>
        </w:tc>
      </w:tr>
      <w:tr w:rsidR="003C5619">
        <w:trPr>
          <w:trHeight w:val="700"/>
        </w:trPr>
        <w:tc>
          <w:tcPr>
            <w:tcW w:w="75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widowControl/>
              <w:jc w:val="center"/>
              <w:textAlignment w:val="center"/>
            </w:pPr>
          </w:p>
          <w:p w:rsidR="003C5619" w:rsidRDefault="003C5619">
            <w:pPr>
              <w:widowControl/>
              <w:jc w:val="center"/>
              <w:textAlignment w:val="center"/>
            </w:pPr>
          </w:p>
          <w:p w:rsidR="003C5619" w:rsidRDefault="003C5619">
            <w:pPr>
              <w:pStyle w:val="a0"/>
              <w:spacing w:before="93"/>
              <w:rPr>
                <w:rFonts w:ascii="Times New Roman"/>
              </w:rPr>
            </w:pPr>
          </w:p>
          <w:p w:rsidR="003C5619" w:rsidRDefault="003C5619">
            <w:pPr>
              <w:widowControl/>
              <w:jc w:val="center"/>
              <w:textAlignment w:val="center"/>
            </w:pPr>
          </w:p>
          <w:p w:rsidR="003C5619" w:rsidRDefault="00761F12">
            <w:pPr>
              <w:widowControl/>
              <w:jc w:val="center"/>
              <w:textAlignment w:val="center"/>
            </w:pPr>
            <w:r>
              <w:t>绩</w:t>
            </w:r>
            <w:r>
              <w:br/>
            </w:r>
            <w:r>
              <w:t>效</w:t>
            </w:r>
            <w:r>
              <w:br/>
            </w:r>
            <w:r>
              <w:t>指</w:t>
            </w:r>
            <w:r>
              <w:br/>
            </w:r>
            <w:r>
              <w:t>标</w:t>
            </w: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3C5619">
            <w:pPr>
              <w:widowControl/>
              <w:textAlignment w:val="center"/>
            </w:pPr>
          </w:p>
          <w:p w:rsidR="003C5619" w:rsidRDefault="003C5619">
            <w:pPr>
              <w:widowControl/>
              <w:jc w:val="center"/>
              <w:textAlignment w:val="center"/>
            </w:pPr>
          </w:p>
          <w:p w:rsidR="003C5619" w:rsidRDefault="003C5619">
            <w:pPr>
              <w:widowControl/>
              <w:jc w:val="center"/>
              <w:textAlignment w:val="center"/>
            </w:pPr>
          </w:p>
          <w:p w:rsidR="003C5619" w:rsidRDefault="00761F12">
            <w:pPr>
              <w:widowControl/>
              <w:jc w:val="center"/>
              <w:textAlignment w:val="center"/>
            </w:pPr>
            <w:r>
              <w:t>绩</w:t>
            </w:r>
            <w:r>
              <w:br/>
            </w:r>
            <w:r>
              <w:t>效</w:t>
            </w:r>
            <w:r>
              <w:br/>
            </w:r>
            <w:r>
              <w:t>指</w:t>
            </w:r>
            <w:r>
              <w:br/>
            </w:r>
            <w:r>
              <w:t>标</w:t>
            </w:r>
          </w:p>
          <w:p w:rsidR="003C5619" w:rsidRDefault="003C5619">
            <w:pPr>
              <w:pStyle w:val="a0"/>
              <w:spacing w:before="93"/>
              <w:jc w:val="center"/>
              <w:rPr>
                <w:rFonts w:ascii="Times New Roman" w:eastAsia="宋体"/>
                <w:color w:val="000000"/>
                <w:sz w:val="24"/>
                <w:lang w:bidi="ar"/>
              </w:rPr>
            </w:pPr>
          </w:p>
          <w:p w:rsidR="003C5619" w:rsidRDefault="003C5619">
            <w:pPr>
              <w:pStyle w:val="a0"/>
              <w:spacing w:before="93"/>
              <w:jc w:val="center"/>
              <w:rPr>
                <w:rFonts w:ascii="Times New Roman" w:eastAsia="宋体"/>
                <w:color w:val="000000"/>
                <w:sz w:val="24"/>
                <w:lang w:bidi="ar"/>
              </w:rPr>
            </w:pPr>
          </w:p>
          <w:p w:rsidR="003C5619" w:rsidRDefault="003C5619">
            <w:pPr>
              <w:pStyle w:val="a0"/>
              <w:spacing w:before="93"/>
              <w:jc w:val="center"/>
              <w:rPr>
                <w:rFonts w:ascii="Times New Roman" w:eastAsia="宋体"/>
                <w:color w:val="000000"/>
                <w:sz w:val="24"/>
                <w:lang w:bidi="ar"/>
              </w:rPr>
            </w:pPr>
          </w:p>
          <w:p w:rsidR="003C5619" w:rsidRDefault="003C5619">
            <w:pPr>
              <w:pStyle w:val="a0"/>
              <w:spacing w:before="93"/>
              <w:rPr>
                <w:rFonts w:ascii="Times New Roman" w:eastAsia="宋体"/>
                <w:color w:val="000000"/>
                <w:sz w:val="24"/>
                <w:lang w:bidi="ar"/>
              </w:rPr>
            </w:pPr>
          </w:p>
        </w:tc>
        <w:tc>
          <w:tcPr>
            <w:tcW w:w="6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一级</w:t>
            </w:r>
            <w:r>
              <w:rPr>
                <w:color w:val="000000"/>
                <w:kern w:val="0"/>
                <w:sz w:val="24"/>
                <w:lang w:bidi="ar"/>
              </w:rPr>
              <w:br/>
            </w:r>
            <w:r>
              <w:rPr>
                <w:color w:val="000000"/>
                <w:kern w:val="0"/>
                <w:sz w:val="24"/>
                <w:lang w:bidi="ar"/>
              </w:rPr>
              <w:t>指标</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kern w:val="0"/>
                <w:sz w:val="24"/>
                <w:lang w:bidi="ar"/>
              </w:rPr>
            </w:pPr>
            <w:r>
              <w:rPr>
                <w:color w:val="000000"/>
                <w:kern w:val="0"/>
                <w:sz w:val="24"/>
                <w:lang w:bidi="ar"/>
              </w:rPr>
              <w:t>二级</w:t>
            </w:r>
          </w:p>
          <w:p w:rsidR="003C5619" w:rsidRDefault="00761F12">
            <w:pPr>
              <w:widowControl/>
              <w:jc w:val="center"/>
              <w:textAlignment w:val="center"/>
              <w:rPr>
                <w:color w:val="000000"/>
                <w:sz w:val="24"/>
              </w:rPr>
            </w:pPr>
            <w:r>
              <w:rPr>
                <w:color w:val="000000"/>
                <w:kern w:val="0"/>
                <w:sz w:val="24"/>
                <w:lang w:bidi="ar"/>
              </w:rPr>
              <w:t>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三级指标</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年度指标值</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实际完成数</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完成率（</w:t>
            </w:r>
            <w:r>
              <w:rPr>
                <w:color w:val="000000"/>
                <w:kern w:val="0"/>
                <w:sz w:val="24"/>
                <w:lang w:bidi="ar"/>
              </w:rPr>
              <w:t>%</w:t>
            </w:r>
            <w:r>
              <w:rPr>
                <w:color w:val="000000"/>
                <w:kern w:val="0"/>
                <w:sz w:val="24"/>
                <w:lang w:bidi="ar"/>
              </w:rPr>
              <w:t>）</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未完成原因和改进措施</w:t>
            </w:r>
          </w:p>
        </w:tc>
      </w:tr>
      <w:tr w:rsidR="003C5619">
        <w:trPr>
          <w:trHeight w:val="176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项目完成</w:t>
            </w:r>
          </w:p>
        </w:tc>
        <w:tc>
          <w:tcPr>
            <w:tcW w:w="65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数量指标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：学校教学、办公、水电支出，维修等支出</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学校在校学生</w:t>
            </w:r>
            <w:r>
              <w:rPr>
                <w:color w:val="000000"/>
                <w:kern w:val="0"/>
                <w:sz w:val="24"/>
                <w:lang w:bidi="ar"/>
              </w:rPr>
              <w:t>2292</w:t>
            </w:r>
            <w:r>
              <w:rPr>
                <w:color w:val="000000"/>
                <w:kern w:val="0"/>
                <w:sz w:val="24"/>
                <w:lang w:bidi="ar"/>
              </w:rPr>
              <w:t>人、职工</w:t>
            </w:r>
            <w:r>
              <w:rPr>
                <w:color w:val="000000"/>
                <w:kern w:val="0"/>
                <w:sz w:val="24"/>
                <w:lang w:bidi="ar"/>
              </w:rPr>
              <w:t>174</w:t>
            </w:r>
            <w:r>
              <w:rPr>
                <w:color w:val="000000"/>
                <w:kern w:val="0"/>
                <w:sz w:val="24"/>
                <w:lang w:bidi="ar"/>
              </w:rPr>
              <w:t>人（</w:t>
            </w:r>
            <w:proofErr w:type="gramStart"/>
            <w:r>
              <w:rPr>
                <w:color w:val="000000"/>
                <w:kern w:val="0"/>
                <w:sz w:val="24"/>
                <w:lang w:bidi="ar"/>
              </w:rPr>
              <w:t>含临时</w:t>
            </w:r>
            <w:proofErr w:type="gramEnd"/>
            <w:r>
              <w:rPr>
                <w:color w:val="000000"/>
                <w:kern w:val="0"/>
                <w:sz w:val="24"/>
                <w:lang w:bidi="ar"/>
              </w:rPr>
              <w:t>人员及安保人员）</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完成了</w:t>
            </w:r>
            <w:r>
              <w:rPr>
                <w:color w:val="000000"/>
                <w:kern w:val="0"/>
                <w:sz w:val="24"/>
                <w:lang w:bidi="ar"/>
              </w:rPr>
              <w:t>2021</w:t>
            </w:r>
            <w:r>
              <w:rPr>
                <w:color w:val="000000"/>
                <w:kern w:val="0"/>
                <w:sz w:val="24"/>
                <w:lang w:bidi="ar"/>
              </w:rPr>
              <w:t>年度学校的教学工作及日常办公支出</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132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2</w:t>
            </w:r>
            <w:r>
              <w:rPr>
                <w:color w:val="000000"/>
                <w:kern w:val="0"/>
                <w:sz w:val="24"/>
                <w:lang w:bidi="ar"/>
              </w:rPr>
              <w:t>：学校在职人员工资福利、养老保险、公积金支出</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学校在职教职工</w:t>
            </w:r>
            <w:r>
              <w:rPr>
                <w:color w:val="000000"/>
                <w:kern w:val="0"/>
                <w:sz w:val="24"/>
                <w:lang w:bidi="ar"/>
              </w:rPr>
              <w:t>131</w:t>
            </w:r>
            <w:r>
              <w:rPr>
                <w:color w:val="000000"/>
                <w:kern w:val="0"/>
                <w:sz w:val="24"/>
                <w:lang w:bidi="ar"/>
              </w:rPr>
              <w:t>人</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保障了学校在职教职工的工资福利支出</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114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3</w:t>
            </w:r>
            <w:r>
              <w:rPr>
                <w:color w:val="000000"/>
                <w:kern w:val="0"/>
                <w:sz w:val="24"/>
                <w:lang w:bidi="ar"/>
              </w:rPr>
              <w:t>：开展师德培训及丰富的德育和体育活动</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w:t>
            </w:r>
            <w:r>
              <w:rPr>
                <w:rStyle w:val="font31"/>
                <w:rFonts w:ascii="Times New Roman" w:hAnsi="Times New Roman" w:cs="Times New Roman" w:hint="default"/>
                <w:lang w:bidi="ar"/>
              </w:rPr>
              <w:t>15</w:t>
            </w:r>
            <w:r>
              <w:rPr>
                <w:rStyle w:val="font31"/>
                <w:rFonts w:ascii="Times New Roman" w:hAnsi="Times New Roman" w:cs="Times New Roman" w:hint="default"/>
                <w:lang w:bidi="ar"/>
              </w:rPr>
              <w:t>次</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共计开展</w:t>
            </w:r>
            <w:r>
              <w:rPr>
                <w:color w:val="000000"/>
                <w:kern w:val="0"/>
                <w:sz w:val="24"/>
                <w:lang w:bidi="ar"/>
              </w:rPr>
              <w:t>20</w:t>
            </w:r>
            <w:r>
              <w:rPr>
                <w:color w:val="000000"/>
                <w:kern w:val="0"/>
                <w:sz w:val="24"/>
                <w:lang w:bidi="ar"/>
              </w:rPr>
              <w:t>次</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208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质量指标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：落实学校教育教学管理制度，全面提高教学质量</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加强落实教学常规管理，实施素质教育提高教学质量，确保教师及学生稳定发展</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提高了教育、教学质量，确保学生教师稳定发展</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132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2</w:t>
            </w:r>
            <w:r>
              <w:rPr>
                <w:color w:val="000000"/>
                <w:kern w:val="0"/>
                <w:sz w:val="24"/>
                <w:lang w:bidi="ar"/>
              </w:rPr>
              <w:t>：师德培训及丰富的德育和体育活动开展情况</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w:t>
            </w:r>
            <w:r>
              <w:rPr>
                <w:rStyle w:val="font31"/>
                <w:rFonts w:ascii="Times New Roman" w:hAnsi="Times New Roman" w:cs="Times New Roman" w:hint="default"/>
                <w:lang w:bidi="ar"/>
              </w:rPr>
              <w:t>15</w:t>
            </w:r>
            <w:r>
              <w:rPr>
                <w:rStyle w:val="font31"/>
                <w:rFonts w:ascii="Times New Roman" w:hAnsi="Times New Roman" w:cs="Times New Roman" w:hint="default"/>
                <w:lang w:bidi="ar"/>
              </w:rPr>
              <w:t>次</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共计开展</w:t>
            </w:r>
            <w:r>
              <w:rPr>
                <w:color w:val="000000"/>
                <w:kern w:val="0"/>
                <w:sz w:val="24"/>
                <w:lang w:bidi="ar"/>
              </w:rPr>
              <w:t>20</w:t>
            </w:r>
            <w:r>
              <w:rPr>
                <w:color w:val="000000"/>
                <w:kern w:val="0"/>
                <w:sz w:val="24"/>
                <w:lang w:bidi="ar"/>
              </w:rPr>
              <w:t>次</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90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时效指标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：按规定时间完成</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2021</w:t>
            </w:r>
            <w:r>
              <w:rPr>
                <w:color w:val="000000"/>
                <w:kern w:val="0"/>
                <w:sz w:val="24"/>
                <w:lang w:bidi="ar"/>
              </w:rPr>
              <w:t>年全年工作安排</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2021</w:t>
            </w:r>
            <w:r>
              <w:rPr>
                <w:color w:val="000000"/>
                <w:kern w:val="0"/>
                <w:sz w:val="24"/>
                <w:lang w:bidi="ar"/>
              </w:rPr>
              <w:t>年全年工作安排</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90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成本指标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：控制在预算内</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2833.7</w:t>
            </w:r>
            <w:r>
              <w:rPr>
                <w:color w:val="000000"/>
                <w:kern w:val="0"/>
                <w:sz w:val="24"/>
                <w:lang w:bidi="ar"/>
              </w:rPr>
              <w:t>万元</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2833.7</w:t>
            </w:r>
            <w:r>
              <w:rPr>
                <w:color w:val="000000"/>
                <w:kern w:val="0"/>
                <w:sz w:val="24"/>
                <w:lang w:bidi="ar"/>
              </w:rPr>
              <w:t>万元</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186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社会效益</w:t>
            </w:r>
            <w:r>
              <w:rPr>
                <w:color w:val="000000"/>
                <w:kern w:val="0"/>
                <w:sz w:val="24"/>
                <w:lang w:bidi="ar"/>
              </w:rPr>
              <w:br/>
            </w:r>
            <w:r>
              <w:rPr>
                <w:color w:val="000000"/>
                <w:kern w:val="0"/>
                <w:sz w:val="24"/>
                <w:lang w:bidi="ar"/>
              </w:rPr>
              <w:t>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：保障学校教育教学工作顺利开展</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提高教育质量和办学水平，发展学生核心素养，培育教育文化品牌。</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提高了教育教学质量和办学水平</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108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2</w:t>
            </w:r>
            <w:r>
              <w:rPr>
                <w:color w:val="000000"/>
                <w:kern w:val="0"/>
                <w:sz w:val="24"/>
                <w:lang w:bidi="ar"/>
              </w:rPr>
              <w:t>：提高适龄儿童入学率、人口素质</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有所提高</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有所提高</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120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生态效益</w:t>
            </w:r>
            <w:r>
              <w:rPr>
                <w:color w:val="000000"/>
                <w:kern w:val="0"/>
                <w:sz w:val="24"/>
                <w:lang w:bidi="ar"/>
              </w:rPr>
              <w:br/>
            </w:r>
            <w:r>
              <w:rPr>
                <w:color w:val="000000"/>
                <w:kern w:val="0"/>
                <w:sz w:val="24"/>
                <w:lang w:bidi="ar"/>
              </w:rPr>
              <w:t>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：建设绿色校园</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申报绿色校园</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申报绿色校园成功</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186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可持续影响</w:t>
            </w:r>
            <w:r>
              <w:rPr>
                <w:color w:val="000000"/>
                <w:kern w:val="0"/>
                <w:sz w:val="24"/>
                <w:lang w:bidi="ar"/>
              </w:rPr>
              <w:br/>
            </w:r>
            <w:r>
              <w:rPr>
                <w:color w:val="000000"/>
                <w:kern w:val="0"/>
                <w:sz w:val="24"/>
                <w:lang w:bidi="ar"/>
              </w:rPr>
              <w:t>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：改善学校在社会群众心中的印象，不断提高教学质量</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社会对学校印象有明显改善，提高教师专业素质</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社会对学校印象有明显改善，提高了教师专业素质</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r w:rsidR="003C5619">
        <w:trPr>
          <w:trHeight w:val="900"/>
        </w:trPr>
        <w:tc>
          <w:tcPr>
            <w:tcW w:w="7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满意度指标</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满意度指标</w:t>
            </w:r>
          </w:p>
        </w:tc>
        <w:tc>
          <w:tcPr>
            <w:tcW w:w="22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 xml:space="preserve"> </w:t>
            </w:r>
            <w:r>
              <w:rPr>
                <w:color w:val="000000"/>
                <w:kern w:val="0"/>
                <w:sz w:val="24"/>
                <w:lang w:bidi="ar"/>
              </w:rPr>
              <w:t>指标</w:t>
            </w:r>
            <w:r>
              <w:rPr>
                <w:color w:val="000000"/>
                <w:kern w:val="0"/>
                <w:sz w:val="24"/>
                <w:lang w:bidi="ar"/>
              </w:rPr>
              <w:t>1</w:t>
            </w:r>
            <w:r>
              <w:rPr>
                <w:color w:val="000000"/>
                <w:kern w:val="0"/>
                <w:sz w:val="24"/>
                <w:lang w:bidi="ar"/>
              </w:rPr>
              <w:t>：社会及学生家长满意度</w:t>
            </w:r>
          </w:p>
        </w:tc>
        <w:tc>
          <w:tcPr>
            <w:tcW w:w="1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社会及家长对本校的认可</w:t>
            </w:r>
          </w:p>
        </w:tc>
        <w:tc>
          <w:tcPr>
            <w:tcW w:w="14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left"/>
              <w:textAlignment w:val="center"/>
              <w:rPr>
                <w:color w:val="000000"/>
                <w:sz w:val="24"/>
              </w:rPr>
            </w:pPr>
            <w:r>
              <w:rPr>
                <w:color w:val="000000"/>
                <w:kern w:val="0"/>
                <w:sz w:val="24"/>
                <w:lang w:bidi="ar"/>
              </w:rPr>
              <w:t>社会及家长对本校的认可</w:t>
            </w:r>
          </w:p>
        </w:tc>
        <w:tc>
          <w:tcPr>
            <w:tcW w:w="9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98%</w:t>
            </w:r>
          </w:p>
        </w:tc>
        <w:tc>
          <w:tcPr>
            <w:tcW w:w="12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rPr>
                <w:color w:val="000000"/>
                <w:sz w:val="24"/>
              </w:rPr>
            </w:pPr>
          </w:p>
        </w:tc>
      </w:tr>
    </w:tbl>
    <w:p w:rsidR="003C5619" w:rsidRDefault="003C5619">
      <w:pPr>
        <w:spacing w:line="572" w:lineRule="exact"/>
        <w:jc w:val="left"/>
        <w:outlineLvl w:val="0"/>
        <w:rPr>
          <w:rFonts w:eastAsia="黑体"/>
          <w:sz w:val="32"/>
          <w:szCs w:val="32"/>
        </w:rPr>
      </w:pPr>
    </w:p>
    <w:p w:rsidR="003C5619" w:rsidRDefault="003C5619">
      <w:pPr>
        <w:spacing w:line="572" w:lineRule="exact"/>
        <w:jc w:val="left"/>
        <w:outlineLvl w:val="0"/>
        <w:rPr>
          <w:rFonts w:eastAsia="黑体"/>
          <w:sz w:val="32"/>
          <w:szCs w:val="32"/>
        </w:rPr>
      </w:pPr>
    </w:p>
    <w:p w:rsidR="003C5619" w:rsidRDefault="00761F12">
      <w:pPr>
        <w:spacing w:line="572" w:lineRule="exact"/>
        <w:jc w:val="left"/>
        <w:outlineLvl w:val="0"/>
        <w:rPr>
          <w:rFonts w:eastAsia="黑体"/>
          <w:color w:val="000000"/>
          <w:kern w:val="0"/>
          <w:sz w:val="32"/>
          <w:szCs w:val="32"/>
          <w:shd w:val="clear" w:color="auto" w:fill="FFFFFF"/>
        </w:rPr>
      </w:pPr>
      <w:r>
        <w:rPr>
          <w:rFonts w:eastAsia="黑体"/>
          <w:sz w:val="32"/>
          <w:szCs w:val="32"/>
        </w:rPr>
        <w:t>附件</w:t>
      </w:r>
      <w:r>
        <w:rPr>
          <w:rFonts w:eastAsia="黑体"/>
          <w:sz w:val="32"/>
          <w:szCs w:val="32"/>
        </w:rPr>
        <w:t>2</w:t>
      </w:r>
    </w:p>
    <w:tbl>
      <w:tblPr>
        <w:tblW w:w="9983" w:type="dxa"/>
        <w:tblInd w:w="-857" w:type="dxa"/>
        <w:tblLayout w:type="fixed"/>
        <w:tblCellMar>
          <w:left w:w="0" w:type="dxa"/>
          <w:right w:w="0" w:type="dxa"/>
        </w:tblCellMar>
        <w:tblLook w:val="04A0" w:firstRow="1" w:lastRow="0" w:firstColumn="1" w:lastColumn="0" w:noHBand="0" w:noVBand="1"/>
      </w:tblPr>
      <w:tblGrid>
        <w:gridCol w:w="566"/>
        <w:gridCol w:w="634"/>
        <w:gridCol w:w="616"/>
        <w:gridCol w:w="2600"/>
        <w:gridCol w:w="1367"/>
        <w:gridCol w:w="1517"/>
        <w:gridCol w:w="1350"/>
        <w:gridCol w:w="1333"/>
      </w:tblGrid>
      <w:tr w:rsidR="003C5619">
        <w:trPr>
          <w:trHeight w:val="490"/>
        </w:trPr>
        <w:tc>
          <w:tcPr>
            <w:tcW w:w="9983" w:type="dxa"/>
            <w:gridSpan w:val="8"/>
            <w:tcBorders>
              <w:top w:val="nil"/>
              <w:left w:val="nil"/>
              <w:bottom w:val="nil"/>
              <w:right w:val="nil"/>
            </w:tcBorders>
            <w:shd w:val="clear" w:color="auto" w:fill="auto"/>
            <w:tcMar>
              <w:top w:w="15" w:type="dxa"/>
              <w:left w:w="15" w:type="dxa"/>
              <w:right w:w="15" w:type="dxa"/>
            </w:tcMar>
            <w:vAlign w:val="center"/>
          </w:tcPr>
          <w:p w:rsidR="003C5619" w:rsidRDefault="00761F12">
            <w:pPr>
              <w:widowControl/>
              <w:jc w:val="center"/>
              <w:textAlignment w:val="center"/>
              <w:rPr>
                <w:b/>
                <w:color w:val="000000"/>
                <w:sz w:val="32"/>
                <w:szCs w:val="32"/>
              </w:rPr>
            </w:pPr>
            <w:r>
              <w:rPr>
                <w:b/>
                <w:color w:val="000000"/>
                <w:kern w:val="0"/>
                <w:sz w:val="32"/>
                <w:szCs w:val="32"/>
                <w:lang w:bidi="ar"/>
              </w:rPr>
              <w:t>专项（项目）资金绩效自评表</w:t>
            </w:r>
          </w:p>
        </w:tc>
      </w:tr>
      <w:tr w:rsidR="003C5619">
        <w:trPr>
          <w:trHeight w:val="319"/>
        </w:trPr>
        <w:tc>
          <w:tcPr>
            <w:tcW w:w="9983" w:type="dxa"/>
            <w:gridSpan w:val="8"/>
            <w:tcBorders>
              <w:top w:val="nil"/>
              <w:left w:val="nil"/>
              <w:bottom w:val="nil"/>
              <w:right w:val="nil"/>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w:t>
            </w:r>
            <w:r>
              <w:rPr>
                <w:color w:val="000000"/>
                <w:kern w:val="0"/>
                <w:sz w:val="24"/>
                <w:lang w:bidi="ar"/>
              </w:rPr>
              <w:t>2021</w:t>
            </w:r>
            <w:r>
              <w:rPr>
                <w:color w:val="000000"/>
                <w:kern w:val="0"/>
                <w:sz w:val="24"/>
                <w:lang w:bidi="ar"/>
              </w:rPr>
              <w:t>年度）</w:t>
            </w:r>
          </w:p>
        </w:tc>
      </w:tr>
      <w:tr w:rsidR="003C5619">
        <w:trPr>
          <w:trHeight w:val="660"/>
        </w:trPr>
        <w:tc>
          <w:tcPr>
            <w:tcW w:w="1816"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专项（项目）名称</w:t>
            </w:r>
          </w:p>
        </w:tc>
        <w:tc>
          <w:tcPr>
            <w:tcW w:w="8167"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盐边县红格镇中心学校第二运动场改造工程</w:t>
            </w:r>
          </w:p>
        </w:tc>
      </w:tr>
      <w:tr w:rsidR="003C5619">
        <w:trPr>
          <w:trHeight w:val="439"/>
        </w:trPr>
        <w:tc>
          <w:tcPr>
            <w:tcW w:w="1816"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项目主管单位</w:t>
            </w:r>
          </w:p>
        </w:tc>
        <w:tc>
          <w:tcPr>
            <w:tcW w:w="8167"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盐边县红格镇中心学校</w:t>
            </w:r>
          </w:p>
        </w:tc>
      </w:tr>
      <w:tr w:rsidR="003C5619">
        <w:trPr>
          <w:trHeight w:val="439"/>
        </w:trPr>
        <w:tc>
          <w:tcPr>
            <w:tcW w:w="1816"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项目实施单位</w:t>
            </w:r>
          </w:p>
        </w:tc>
        <w:tc>
          <w:tcPr>
            <w:tcW w:w="8167"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盐边县红格镇中心学校</w:t>
            </w:r>
          </w:p>
        </w:tc>
      </w:tr>
      <w:tr w:rsidR="003C5619">
        <w:trPr>
          <w:trHeight w:val="439"/>
        </w:trPr>
        <w:tc>
          <w:tcPr>
            <w:tcW w:w="1816"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项目资金</w:t>
            </w:r>
            <w:r>
              <w:rPr>
                <w:color w:val="000000"/>
                <w:kern w:val="0"/>
                <w:sz w:val="24"/>
                <w:lang w:bidi="ar"/>
              </w:rPr>
              <w:br/>
            </w:r>
            <w:r>
              <w:rPr>
                <w:color w:val="000000"/>
                <w:kern w:val="0"/>
                <w:sz w:val="24"/>
                <w:lang w:bidi="ar"/>
              </w:rPr>
              <w:t>（万元）</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全年预算数</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实际完成数</w:t>
            </w:r>
          </w:p>
        </w:tc>
        <w:tc>
          <w:tcPr>
            <w:tcW w:w="2683"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执行率（</w:t>
            </w:r>
            <w:r>
              <w:rPr>
                <w:color w:val="000000"/>
                <w:kern w:val="0"/>
                <w:sz w:val="24"/>
                <w:lang w:bidi="ar"/>
              </w:rPr>
              <w:t>%</w:t>
            </w:r>
            <w:r>
              <w:rPr>
                <w:color w:val="000000"/>
                <w:kern w:val="0"/>
                <w:sz w:val="24"/>
                <w:lang w:bidi="ar"/>
              </w:rPr>
              <w:t>）</w:t>
            </w:r>
          </w:p>
        </w:tc>
      </w:tr>
      <w:tr w:rsidR="003C5619">
        <w:trPr>
          <w:trHeight w:val="439"/>
        </w:trPr>
        <w:tc>
          <w:tcPr>
            <w:tcW w:w="181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年度资金总额：</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263.08</w:t>
            </w:r>
            <w:r>
              <w:rPr>
                <w:color w:val="000000"/>
                <w:kern w:val="0"/>
                <w:sz w:val="24"/>
                <w:lang w:bidi="ar"/>
              </w:rPr>
              <w:t>万元</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144.93</w:t>
            </w:r>
            <w:r>
              <w:rPr>
                <w:color w:val="000000"/>
                <w:kern w:val="0"/>
                <w:sz w:val="24"/>
                <w:lang w:bidi="ar"/>
              </w:rPr>
              <w:t>万元</w:t>
            </w:r>
          </w:p>
        </w:tc>
        <w:tc>
          <w:tcPr>
            <w:tcW w:w="2683"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55%</w:t>
            </w:r>
          </w:p>
        </w:tc>
      </w:tr>
      <w:tr w:rsidR="003C5619">
        <w:trPr>
          <w:trHeight w:val="439"/>
        </w:trPr>
        <w:tc>
          <w:tcPr>
            <w:tcW w:w="181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其中：上级财政资金</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263.08</w:t>
            </w:r>
            <w:r>
              <w:rPr>
                <w:color w:val="000000"/>
                <w:kern w:val="0"/>
                <w:sz w:val="24"/>
                <w:lang w:bidi="ar"/>
              </w:rPr>
              <w:t>万元</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144.93</w:t>
            </w:r>
            <w:r>
              <w:rPr>
                <w:color w:val="000000"/>
                <w:kern w:val="0"/>
                <w:sz w:val="24"/>
                <w:lang w:bidi="ar"/>
              </w:rPr>
              <w:t>万元</w:t>
            </w:r>
          </w:p>
        </w:tc>
        <w:tc>
          <w:tcPr>
            <w:tcW w:w="2683"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55%</w:t>
            </w:r>
          </w:p>
        </w:tc>
      </w:tr>
      <w:tr w:rsidR="003C5619">
        <w:trPr>
          <w:trHeight w:val="439"/>
        </w:trPr>
        <w:tc>
          <w:tcPr>
            <w:tcW w:w="181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本级财政资金</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683"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439"/>
        </w:trPr>
        <w:tc>
          <w:tcPr>
            <w:tcW w:w="1816"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其他资金</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683"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439"/>
        </w:trPr>
        <w:tc>
          <w:tcPr>
            <w:tcW w:w="56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总</w:t>
            </w:r>
            <w:r>
              <w:rPr>
                <w:color w:val="000000"/>
                <w:kern w:val="0"/>
                <w:sz w:val="24"/>
                <w:lang w:bidi="ar"/>
              </w:rPr>
              <w:br/>
            </w:r>
            <w:r>
              <w:rPr>
                <w:color w:val="000000"/>
                <w:kern w:val="0"/>
                <w:sz w:val="24"/>
                <w:lang w:bidi="ar"/>
              </w:rPr>
              <w:t>体</w:t>
            </w:r>
            <w:r>
              <w:rPr>
                <w:color w:val="000000"/>
                <w:kern w:val="0"/>
                <w:sz w:val="24"/>
                <w:lang w:bidi="ar"/>
              </w:rPr>
              <w:br/>
            </w:r>
            <w:r>
              <w:rPr>
                <w:color w:val="000000"/>
                <w:kern w:val="0"/>
                <w:sz w:val="24"/>
                <w:lang w:bidi="ar"/>
              </w:rPr>
              <w:t>目</w:t>
            </w:r>
            <w:r>
              <w:rPr>
                <w:color w:val="000000"/>
                <w:kern w:val="0"/>
                <w:sz w:val="24"/>
                <w:lang w:bidi="ar"/>
              </w:rPr>
              <w:br/>
            </w:r>
            <w:r>
              <w:rPr>
                <w:color w:val="000000"/>
                <w:kern w:val="0"/>
                <w:sz w:val="24"/>
                <w:lang w:bidi="ar"/>
              </w:rPr>
              <w:t>标</w:t>
            </w:r>
          </w:p>
        </w:tc>
        <w:tc>
          <w:tcPr>
            <w:tcW w:w="3850"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年度设定目标</w:t>
            </w:r>
          </w:p>
        </w:tc>
        <w:tc>
          <w:tcPr>
            <w:tcW w:w="5567"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实际完成情况</w:t>
            </w:r>
          </w:p>
        </w:tc>
      </w:tr>
      <w:tr w:rsidR="003C5619">
        <w:trPr>
          <w:trHeight w:val="1395"/>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3850"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完成盐边县红格镇中心学校第二运动场改造工程项目，逐步改善办学条件，改进教师的办公条件。全面提高师生体育活动场所。</w:t>
            </w:r>
          </w:p>
        </w:tc>
        <w:tc>
          <w:tcPr>
            <w:tcW w:w="5567"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rFonts w:hint="eastAsia"/>
                <w:color w:val="000000"/>
                <w:kern w:val="0"/>
                <w:sz w:val="24"/>
                <w:lang w:bidi="ar"/>
              </w:rPr>
              <w:t>逐步</w:t>
            </w:r>
            <w:r>
              <w:rPr>
                <w:color w:val="000000"/>
                <w:kern w:val="0"/>
                <w:sz w:val="24"/>
                <w:lang w:bidi="ar"/>
              </w:rPr>
              <w:t>改善了办学条件，改进了教师的办公条件。全面提高了师生体育活动场所。</w:t>
            </w:r>
          </w:p>
        </w:tc>
      </w:tr>
      <w:tr w:rsidR="003C5619">
        <w:trPr>
          <w:trHeight w:val="570"/>
        </w:trPr>
        <w:tc>
          <w:tcPr>
            <w:tcW w:w="56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绩</w:t>
            </w:r>
            <w:r>
              <w:rPr>
                <w:color w:val="000000"/>
                <w:kern w:val="0"/>
                <w:sz w:val="24"/>
                <w:lang w:bidi="ar"/>
              </w:rPr>
              <w:br/>
            </w:r>
            <w:r>
              <w:rPr>
                <w:color w:val="000000"/>
                <w:kern w:val="0"/>
                <w:sz w:val="24"/>
                <w:lang w:bidi="ar"/>
              </w:rPr>
              <w:t>效</w:t>
            </w:r>
            <w:r>
              <w:rPr>
                <w:color w:val="000000"/>
                <w:kern w:val="0"/>
                <w:sz w:val="24"/>
                <w:lang w:bidi="ar"/>
              </w:rPr>
              <w:br/>
            </w:r>
            <w:r>
              <w:rPr>
                <w:color w:val="000000"/>
                <w:kern w:val="0"/>
                <w:sz w:val="24"/>
                <w:lang w:bidi="ar"/>
              </w:rPr>
              <w:lastRenderedPageBreak/>
              <w:t>指</w:t>
            </w:r>
            <w:r>
              <w:rPr>
                <w:color w:val="000000"/>
                <w:kern w:val="0"/>
                <w:sz w:val="24"/>
                <w:lang w:bidi="ar"/>
              </w:rPr>
              <w:br/>
            </w:r>
            <w:r>
              <w:rPr>
                <w:color w:val="000000"/>
                <w:kern w:val="0"/>
                <w:sz w:val="24"/>
                <w:lang w:bidi="ar"/>
              </w:rPr>
              <w:t>标</w:t>
            </w:r>
          </w:p>
        </w:tc>
        <w:tc>
          <w:tcPr>
            <w:tcW w:w="6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lastRenderedPageBreak/>
              <w:t>一级</w:t>
            </w:r>
            <w:r>
              <w:rPr>
                <w:color w:val="000000"/>
                <w:kern w:val="0"/>
                <w:sz w:val="24"/>
                <w:lang w:bidi="ar"/>
              </w:rPr>
              <w:br/>
            </w:r>
            <w:r>
              <w:rPr>
                <w:color w:val="000000"/>
                <w:kern w:val="0"/>
                <w:sz w:val="24"/>
                <w:lang w:bidi="ar"/>
              </w:rPr>
              <w:t>指标</w:t>
            </w: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二级指标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三级指标</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年度指标值</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实际完成数</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完成率（</w:t>
            </w:r>
            <w:r>
              <w:rPr>
                <w:color w:val="000000"/>
                <w:kern w:val="0"/>
                <w:sz w:val="24"/>
                <w:lang w:bidi="ar"/>
              </w:rPr>
              <w:t>%</w:t>
            </w:r>
            <w:r>
              <w:rPr>
                <w:color w:val="000000"/>
                <w:kern w:val="0"/>
                <w:sz w:val="24"/>
                <w:lang w:bidi="ar"/>
              </w:rPr>
              <w:t>）</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未完成原因和改进措施</w:t>
            </w:r>
          </w:p>
        </w:tc>
      </w:tr>
      <w:tr w:rsidR="003C5619">
        <w:trPr>
          <w:trHeight w:val="174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项目完成</w:t>
            </w:r>
          </w:p>
        </w:tc>
        <w:tc>
          <w:tcPr>
            <w:tcW w:w="616"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数量指标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：拆除运动场原有混凝土地面</w:t>
            </w:r>
            <w:r>
              <w:rPr>
                <w:color w:val="000000"/>
                <w:kern w:val="0"/>
                <w:sz w:val="24"/>
                <w:lang w:bidi="ar"/>
              </w:rPr>
              <w:t>900m²</w:t>
            </w:r>
            <w:r>
              <w:rPr>
                <w:color w:val="000000"/>
                <w:kern w:val="0"/>
                <w:sz w:val="24"/>
                <w:lang w:bidi="ar"/>
              </w:rPr>
              <w:t>，建设辅助用房</w:t>
            </w:r>
            <w:r>
              <w:rPr>
                <w:color w:val="000000"/>
                <w:kern w:val="0"/>
                <w:sz w:val="24"/>
                <w:lang w:bidi="ar"/>
              </w:rPr>
              <w:t>128.790m²</w:t>
            </w:r>
            <w:r>
              <w:rPr>
                <w:color w:val="000000"/>
                <w:kern w:val="0"/>
                <w:sz w:val="24"/>
                <w:lang w:bidi="ar"/>
              </w:rPr>
              <w:t>、铺设塑胶地面</w:t>
            </w:r>
            <w:r>
              <w:rPr>
                <w:color w:val="000000"/>
                <w:kern w:val="0"/>
                <w:sz w:val="24"/>
                <w:lang w:bidi="ar"/>
              </w:rPr>
              <w:t>85920m²</w:t>
            </w:r>
            <w:r>
              <w:rPr>
                <w:color w:val="000000"/>
                <w:kern w:val="0"/>
                <w:sz w:val="24"/>
                <w:lang w:bidi="ar"/>
              </w:rPr>
              <w:t>、人工草坪</w:t>
            </w:r>
            <w:r>
              <w:rPr>
                <w:color w:val="000000"/>
                <w:kern w:val="0"/>
                <w:sz w:val="24"/>
                <w:lang w:bidi="ar"/>
              </w:rPr>
              <w:t>22310m²</w:t>
            </w:r>
            <w:r>
              <w:rPr>
                <w:color w:val="000000"/>
                <w:kern w:val="0"/>
                <w:sz w:val="24"/>
                <w:lang w:bidi="ar"/>
              </w:rPr>
              <w:t>、配套建设挡土墙</w:t>
            </w:r>
            <w:r>
              <w:rPr>
                <w:color w:val="000000"/>
                <w:kern w:val="0"/>
                <w:sz w:val="24"/>
                <w:lang w:bidi="ar"/>
              </w:rPr>
              <w:t>33000m²</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112558.79m²</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112558.79m²</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192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1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2</w:t>
            </w:r>
            <w:r>
              <w:rPr>
                <w:color w:val="000000"/>
                <w:kern w:val="0"/>
                <w:sz w:val="24"/>
                <w:lang w:bidi="ar"/>
              </w:rPr>
              <w:t>：</w:t>
            </w:r>
            <w:r>
              <w:rPr>
                <w:color w:val="000000"/>
                <w:kern w:val="0"/>
                <w:sz w:val="24"/>
                <w:lang w:bidi="ar"/>
              </w:rPr>
              <w:t>2</w:t>
            </w:r>
            <w:r>
              <w:rPr>
                <w:color w:val="000000"/>
                <w:kern w:val="0"/>
                <w:sz w:val="24"/>
                <w:lang w:bidi="ar"/>
              </w:rPr>
              <w:t>个排球场、</w:t>
            </w:r>
            <w:r>
              <w:rPr>
                <w:color w:val="000000"/>
                <w:kern w:val="0"/>
                <w:sz w:val="24"/>
                <w:lang w:bidi="ar"/>
              </w:rPr>
              <w:t>2</w:t>
            </w:r>
            <w:r>
              <w:rPr>
                <w:color w:val="000000"/>
                <w:kern w:val="0"/>
                <w:sz w:val="24"/>
                <w:lang w:bidi="ar"/>
              </w:rPr>
              <w:t>个羽毛球场和</w:t>
            </w:r>
            <w:r>
              <w:rPr>
                <w:color w:val="000000"/>
                <w:kern w:val="0"/>
                <w:sz w:val="24"/>
                <w:lang w:bidi="ar"/>
              </w:rPr>
              <w:t>1</w:t>
            </w:r>
            <w:r>
              <w:rPr>
                <w:color w:val="000000"/>
                <w:kern w:val="0"/>
                <w:sz w:val="24"/>
                <w:lang w:bidi="ar"/>
              </w:rPr>
              <w:t>个跳远沙坑等运动场地和体育设施。</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2</w:t>
            </w:r>
            <w:r>
              <w:rPr>
                <w:color w:val="000000"/>
                <w:kern w:val="0"/>
                <w:sz w:val="24"/>
                <w:lang w:bidi="ar"/>
              </w:rPr>
              <w:t>个排球场、</w:t>
            </w:r>
            <w:r>
              <w:rPr>
                <w:color w:val="000000"/>
                <w:kern w:val="0"/>
                <w:sz w:val="24"/>
                <w:lang w:bidi="ar"/>
              </w:rPr>
              <w:t>2</w:t>
            </w:r>
            <w:r>
              <w:rPr>
                <w:color w:val="000000"/>
                <w:kern w:val="0"/>
                <w:sz w:val="24"/>
                <w:lang w:bidi="ar"/>
              </w:rPr>
              <w:t>个羽毛球场和</w:t>
            </w:r>
            <w:r>
              <w:rPr>
                <w:color w:val="000000"/>
                <w:kern w:val="0"/>
                <w:sz w:val="24"/>
                <w:lang w:bidi="ar"/>
              </w:rPr>
              <w:t>1</w:t>
            </w:r>
            <w:r>
              <w:rPr>
                <w:color w:val="000000"/>
                <w:kern w:val="0"/>
                <w:sz w:val="24"/>
                <w:lang w:bidi="ar"/>
              </w:rPr>
              <w:t>个跳远沙坑等运动场地和体育设施。</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完成了</w:t>
            </w:r>
            <w:r>
              <w:rPr>
                <w:color w:val="000000"/>
                <w:kern w:val="0"/>
                <w:sz w:val="24"/>
                <w:lang w:bidi="ar"/>
              </w:rPr>
              <w:t>2</w:t>
            </w:r>
            <w:r>
              <w:rPr>
                <w:color w:val="000000"/>
                <w:kern w:val="0"/>
                <w:sz w:val="24"/>
                <w:lang w:bidi="ar"/>
              </w:rPr>
              <w:t>个排球场、</w:t>
            </w:r>
            <w:r>
              <w:rPr>
                <w:color w:val="000000"/>
                <w:kern w:val="0"/>
                <w:sz w:val="24"/>
                <w:lang w:bidi="ar"/>
              </w:rPr>
              <w:t>2</w:t>
            </w:r>
            <w:r>
              <w:rPr>
                <w:color w:val="000000"/>
                <w:kern w:val="0"/>
                <w:sz w:val="24"/>
                <w:lang w:bidi="ar"/>
              </w:rPr>
              <w:t>个羽毛球场和</w:t>
            </w:r>
            <w:r>
              <w:rPr>
                <w:color w:val="000000"/>
                <w:kern w:val="0"/>
                <w:sz w:val="24"/>
                <w:lang w:bidi="ar"/>
              </w:rPr>
              <w:t>1</w:t>
            </w:r>
            <w:r>
              <w:rPr>
                <w:color w:val="000000"/>
                <w:kern w:val="0"/>
                <w:sz w:val="24"/>
                <w:lang w:bidi="ar"/>
              </w:rPr>
              <w:t>个跳远沙坑等运动场地和体育设施。</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9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质量指标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：运动场质量达标率</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50%</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运动场还未进行验收，出现质量问题。经协商，施工单位进行维修。</w:t>
            </w:r>
          </w:p>
        </w:tc>
      </w:tr>
      <w:tr w:rsidR="003C5619">
        <w:trPr>
          <w:trHeight w:val="1998"/>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时效指标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：运动场建设竣工率</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50%</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运动场还未进行验收，出现质量问题。经协商，施工单位进行维修。</w:t>
            </w:r>
          </w:p>
        </w:tc>
      </w:tr>
      <w:tr w:rsidR="003C5619">
        <w:trPr>
          <w:trHeight w:val="80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成本指标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：控制在预算成本内</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55%</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55%</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该工程还未验收</w:t>
            </w:r>
          </w:p>
        </w:tc>
      </w:tr>
      <w:tr w:rsidR="003C5619">
        <w:trPr>
          <w:trHeight w:val="60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项目效益</w:t>
            </w: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经济效益</w:t>
            </w:r>
            <w:r>
              <w:rPr>
                <w:color w:val="000000"/>
                <w:kern w:val="0"/>
                <w:sz w:val="24"/>
                <w:lang w:bidi="ar"/>
              </w:rPr>
              <w:br/>
            </w:r>
            <w:r>
              <w:rPr>
                <w:color w:val="000000"/>
                <w:kern w:val="0"/>
                <w:sz w:val="24"/>
                <w:lang w:bidi="ar"/>
              </w:rPr>
              <w:t>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无</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108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社会效益</w:t>
            </w:r>
            <w:r>
              <w:rPr>
                <w:color w:val="000000"/>
                <w:kern w:val="0"/>
                <w:sz w:val="24"/>
                <w:lang w:bidi="ar"/>
              </w:rPr>
              <w:br/>
            </w:r>
            <w:r>
              <w:rPr>
                <w:color w:val="000000"/>
                <w:kern w:val="0"/>
                <w:sz w:val="24"/>
                <w:lang w:bidi="ar"/>
              </w:rPr>
              <w:t>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：提高学校师生运动及体育锻炼</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108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生态效益</w:t>
            </w:r>
            <w:r>
              <w:rPr>
                <w:color w:val="000000"/>
                <w:kern w:val="0"/>
                <w:sz w:val="24"/>
                <w:lang w:bidi="ar"/>
              </w:rPr>
              <w:br/>
            </w:r>
            <w:r>
              <w:rPr>
                <w:color w:val="000000"/>
                <w:kern w:val="0"/>
                <w:sz w:val="24"/>
                <w:lang w:bidi="ar"/>
              </w:rPr>
              <w:t>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：提高学校绿化率</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增加学校绿化面积</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增加了学校绿化面积</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1320"/>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可持续影响</w:t>
            </w:r>
            <w:r>
              <w:rPr>
                <w:color w:val="000000"/>
                <w:kern w:val="0"/>
                <w:sz w:val="24"/>
                <w:lang w:bidi="ar"/>
              </w:rPr>
              <w:br/>
            </w:r>
            <w:r>
              <w:rPr>
                <w:color w:val="000000"/>
                <w:kern w:val="0"/>
                <w:sz w:val="24"/>
                <w:lang w:bidi="ar"/>
              </w:rPr>
              <w:t>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：提升学校运动场所质量，提高师生体育锻炼治疗</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明显提高</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明显提高</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r w:rsidR="003C5619">
        <w:trPr>
          <w:trHeight w:val="855"/>
        </w:trPr>
        <w:tc>
          <w:tcPr>
            <w:tcW w:w="56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c>
          <w:tcPr>
            <w:tcW w:w="6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满意度指标</w:t>
            </w:r>
          </w:p>
        </w:tc>
        <w:tc>
          <w:tcPr>
            <w:tcW w:w="6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满意度指标</w:t>
            </w:r>
          </w:p>
        </w:tc>
        <w:tc>
          <w:tcPr>
            <w:tcW w:w="2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指标</w:t>
            </w:r>
            <w:r>
              <w:rPr>
                <w:color w:val="000000"/>
                <w:kern w:val="0"/>
                <w:sz w:val="24"/>
                <w:lang w:bidi="ar"/>
              </w:rPr>
              <w:t>1</w:t>
            </w:r>
            <w:r>
              <w:rPr>
                <w:color w:val="000000"/>
                <w:kern w:val="0"/>
                <w:sz w:val="24"/>
                <w:lang w:bidi="ar"/>
              </w:rPr>
              <w:t>：师生及家长满意度</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95%</w:t>
            </w:r>
          </w:p>
        </w:tc>
        <w:tc>
          <w:tcPr>
            <w:tcW w:w="151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95%</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761F12">
            <w:pPr>
              <w:widowControl/>
              <w:jc w:val="center"/>
              <w:textAlignment w:val="center"/>
              <w:rPr>
                <w:color w:val="000000"/>
                <w:sz w:val="24"/>
              </w:rPr>
            </w:pPr>
            <w:r>
              <w:rPr>
                <w:color w:val="000000"/>
                <w:kern w:val="0"/>
                <w:sz w:val="24"/>
                <w:lang w:bidi="ar"/>
              </w:rPr>
              <w:t>100%</w:t>
            </w:r>
          </w:p>
        </w:tc>
        <w:tc>
          <w:tcPr>
            <w:tcW w:w="133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C5619" w:rsidRDefault="003C5619">
            <w:pPr>
              <w:jc w:val="center"/>
              <w:rPr>
                <w:color w:val="000000"/>
                <w:sz w:val="24"/>
              </w:rPr>
            </w:pPr>
          </w:p>
        </w:tc>
      </w:tr>
    </w:tbl>
    <w:p w:rsidR="003C5619" w:rsidRDefault="003C5619">
      <w:pPr>
        <w:pStyle w:val="a0"/>
        <w:spacing w:before="93"/>
        <w:rPr>
          <w:rFonts w:ascii="Times New Roman"/>
          <w:color w:val="000000"/>
          <w:sz w:val="32"/>
          <w:szCs w:val="32"/>
          <w:shd w:val="clear" w:color="auto" w:fill="FFFFFF"/>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3C5619" w:rsidRDefault="003C5619">
      <w:pPr>
        <w:pStyle w:val="a0"/>
        <w:spacing w:before="93"/>
        <w:rPr>
          <w:rFonts w:ascii="Times New Roman" w:eastAsia="黑体"/>
          <w:sz w:val="44"/>
          <w:szCs w:val="44"/>
        </w:rPr>
      </w:pPr>
    </w:p>
    <w:p w:rsidR="008C002B" w:rsidRDefault="008C002B">
      <w:pPr>
        <w:pStyle w:val="a0"/>
        <w:spacing w:before="93"/>
        <w:rPr>
          <w:rFonts w:ascii="Times New Roman" w:eastAsia="黑体"/>
          <w:sz w:val="44"/>
          <w:szCs w:val="44"/>
        </w:rPr>
      </w:pPr>
    </w:p>
    <w:p w:rsidR="008C002B" w:rsidRDefault="008C002B">
      <w:pPr>
        <w:pStyle w:val="a0"/>
        <w:spacing w:before="93"/>
        <w:rPr>
          <w:rFonts w:ascii="Times New Roman" w:eastAsia="黑体"/>
          <w:sz w:val="44"/>
          <w:szCs w:val="44"/>
        </w:rPr>
      </w:pPr>
    </w:p>
    <w:p w:rsidR="008C002B" w:rsidRDefault="008C002B">
      <w:pPr>
        <w:pStyle w:val="a0"/>
        <w:spacing w:before="93"/>
        <w:rPr>
          <w:rFonts w:ascii="Times New Roman" w:eastAsia="黑体" w:hint="eastAsia"/>
          <w:sz w:val="44"/>
          <w:szCs w:val="44"/>
        </w:rPr>
      </w:pPr>
    </w:p>
    <w:p w:rsidR="003C5619" w:rsidRDefault="003C5619">
      <w:pPr>
        <w:pStyle w:val="a0"/>
        <w:spacing w:before="93"/>
        <w:rPr>
          <w:rFonts w:ascii="Times New Roman" w:eastAsia="黑体"/>
          <w:sz w:val="44"/>
          <w:szCs w:val="44"/>
        </w:rPr>
      </w:pPr>
    </w:p>
    <w:p w:rsidR="003C5619" w:rsidRDefault="003C5619">
      <w:pPr>
        <w:spacing w:line="600" w:lineRule="exact"/>
        <w:jc w:val="center"/>
        <w:outlineLvl w:val="0"/>
        <w:rPr>
          <w:rFonts w:eastAsia="黑体"/>
          <w:sz w:val="44"/>
          <w:szCs w:val="44"/>
        </w:rPr>
      </w:pPr>
    </w:p>
    <w:p w:rsidR="003C5619" w:rsidRDefault="00761F12">
      <w:pPr>
        <w:spacing w:line="600" w:lineRule="exact"/>
        <w:jc w:val="center"/>
        <w:outlineLvl w:val="0"/>
        <w:rPr>
          <w:rFonts w:eastAsia="仿宋"/>
        </w:rPr>
      </w:pPr>
      <w:r>
        <w:rPr>
          <w:rFonts w:eastAsia="黑体"/>
          <w:sz w:val="44"/>
          <w:szCs w:val="44"/>
        </w:rPr>
        <w:lastRenderedPageBreak/>
        <w:t>第</w:t>
      </w:r>
      <w:r>
        <w:rPr>
          <w:rStyle w:val="1Char"/>
          <w:rFonts w:eastAsia="黑体"/>
          <w:b w:val="0"/>
        </w:rPr>
        <w:t>五部分</w:t>
      </w:r>
      <w:r>
        <w:rPr>
          <w:rStyle w:val="1Char"/>
          <w:rFonts w:eastAsia="黑体"/>
          <w:b w:val="0"/>
        </w:rPr>
        <w:t xml:space="preserve"> </w:t>
      </w:r>
      <w:r>
        <w:rPr>
          <w:rStyle w:val="1Char"/>
          <w:rFonts w:eastAsia="黑体"/>
          <w:b w:val="0"/>
        </w:rPr>
        <w:t>附表</w:t>
      </w:r>
      <w:bookmarkStart w:id="55" w:name="_Toc15396619"/>
      <w:bookmarkEnd w:id="53"/>
      <w:bookmarkEnd w:id="54"/>
    </w:p>
    <w:p w:rsidR="003C5619" w:rsidRDefault="00761F12">
      <w:pPr>
        <w:pStyle w:val="2"/>
        <w:rPr>
          <w:rFonts w:ascii="Times New Roman" w:eastAsia="仿宋" w:hAnsi="Times New Roman" w:cs="Times New Roman"/>
        </w:rPr>
      </w:pPr>
      <w:r>
        <w:rPr>
          <w:rFonts w:ascii="Times New Roman" w:eastAsia="仿宋" w:hAnsi="Times New Roman" w:cs="Times New Roman"/>
          <w:b w:val="0"/>
        </w:rPr>
        <w:t>一、收</w:t>
      </w:r>
      <w:r>
        <w:rPr>
          <w:rStyle w:val="2Char"/>
          <w:rFonts w:ascii="Times New Roman" w:eastAsia="仿宋" w:hAnsi="Times New Roman" w:cs="Times New Roman"/>
        </w:rPr>
        <w:t>入支出决算总表</w:t>
      </w:r>
      <w:bookmarkEnd w:id="55"/>
    </w:p>
    <w:p w:rsidR="003C5619" w:rsidRDefault="00761F12">
      <w:pPr>
        <w:pStyle w:val="2"/>
        <w:rPr>
          <w:rFonts w:ascii="Times New Roman" w:eastAsia="仿宋" w:hAnsi="Times New Roman" w:cs="Times New Roman"/>
        </w:rPr>
      </w:pPr>
      <w:bookmarkStart w:id="56" w:name="_Toc15396620"/>
      <w:r>
        <w:rPr>
          <w:rFonts w:ascii="Times New Roman" w:eastAsia="仿宋" w:hAnsi="Times New Roman" w:cs="Times New Roman"/>
          <w:b w:val="0"/>
        </w:rPr>
        <w:t>二、收</w:t>
      </w:r>
      <w:r>
        <w:rPr>
          <w:rStyle w:val="2Char"/>
          <w:rFonts w:ascii="Times New Roman" w:eastAsia="仿宋" w:hAnsi="Times New Roman" w:cs="Times New Roman"/>
        </w:rPr>
        <w:t>入决算表</w:t>
      </w:r>
      <w:bookmarkEnd w:id="56"/>
    </w:p>
    <w:p w:rsidR="003C5619" w:rsidRDefault="00761F12">
      <w:pPr>
        <w:pStyle w:val="2"/>
        <w:rPr>
          <w:rFonts w:ascii="Times New Roman" w:eastAsia="仿宋" w:hAnsi="Times New Roman" w:cs="Times New Roman"/>
        </w:rPr>
      </w:pPr>
      <w:bookmarkStart w:id="57" w:name="_Toc15396621"/>
      <w:r>
        <w:rPr>
          <w:rStyle w:val="2Char"/>
          <w:rFonts w:ascii="Times New Roman" w:eastAsia="仿宋" w:hAnsi="Times New Roman" w:cs="Times New Roman"/>
        </w:rPr>
        <w:t>三、</w:t>
      </w:r>
      <w:r>
        <w:rPr>
          <w:rFonts w:ascii="Times New Roman" w:eastAsia="仿宋" w:hAnsi="Times New Roman" w:cs="Times New Roman"/>
          <w:b w:val="0"/>
        </w:rPr>
        <w:t>支</w:t>
      </w:r>
      <w:r>
        <w:rPr>
          <w:rStyle w:val="2Char"/>
          <w:rFonts w:ascii="Times New Roman" w:eastAsia="仿宋" w:hAnsi="Times New Roman" w:cs="Times New Roman"/>
        </w:rPr>
        <w:t>出决算表</w:t>
      </w:r>
      <w:bookmarkEnd w:id="57"/>
    </w:p>
    <w:p w:rsidR="003C5619" w:rsidRDefault="00761F12">
      <w:pPr>
        <w:pStyle w:val="2"/>
        <w:rPr>
          <w:rFonts w:ascii="Times New Roman" w:eastAsia="仿宋" w:hAnsi="Times New Roman" w:cs="Times New Roman"/>
          <w:b w:val="0"/>
        </w:rPr>
      </w:pPr>
      <w:bookmarkStart w:id="58" w:name="_Toc15396622"/>
      <w:r>
        <w:rPr>
          <w:rStyle w:val="2Char"/>
          <w:rFonts w:ascii="Times New Roman" w:eastAsia="仿宋" w:hAnsi="Times New Roman" w:cs="Times New Roman"/>
        </w:rPr>
        <w:t>四、</w:t>
      </w:r>
      <w:r>
        <w:rPr>
          <w:rFonts w:ascii="Times New Roman" w:eastAsia="仿宋" w:hAnsi="Times New Roman" w:cs="Times New Roman"/>
          <w:b w:val="0"/>
        </w:rPr>
        <w:t>财</w:t>
      </w:r>
      <w:r>
        <w:rPr>
          <w:rStyle w:val="2Char"/>
          <w:rFonts w:ascii="Times New Roman" w:eastAsia="仿宋" w:hAnsi="Times New Roman" w:cs="Times New Roman"/>
        </w:rPr>
        <w:t>政拨款收入支出决算总表</w:t>
      </w:r>
      <w:bookmarkEnd w:id="58"/>
    </w:p>
    <w:p w:rsidR="003C5619" w:rsidRDefault="00761F12">
      <w:pPr>
        <w:pStyle w:val="2"/>
        <w:rPr>
          <w:rStyle w:val="2Char"/>
          <w:rFonts w:ascii="Times New Roman" w:eastAsia="仿宋" w:hAnsi="Times New Roman" w:cs="Times New Roman"/>
        </w:rPr>
      </w:pPr>
      <w:bookmarkStart w:id="59" w:name="_Toc15396623"/>
      <w:r>
        <w:rPr>
          <w:rStyle w:val="2Char"/>
          <w:rFonts w:ascii="Times New Roman" w:eastAsia="仿宋" w:hAnsi="Times New Roman" w:cs="Times New Roman"/>
        </w:rPr>
        <w:t>五、</w:t>
      </w:r>
      <w:r>
        <w:rPr>
          <w:rFonts w:ascii="Times New Roman" w:eastAsia="仿宋" w:hAnsi="Times New Roman" w:cs="Times New Roman"/>
          <w:b w:val="0"/>
        </w:rPr>
        <w:t>财</w:t>
      </w:r>
      <w:r>
        <w:rPr>
          <w:rStyle w:val="2Char"/>
          <w:rFonts w:ascii="Times New Roman" w:eastAsia="仿宋" w:hAnsi="Times New Roman" w:cs="Times New Roman"/>
        </w:rPr>
        <w:t>政拨款支出决算明细表</w:t>
      </w:r>
      <w:bookmarkStart w:id="60" w:name="_Toc15396624"/>
      <w:bookmarkEnd w:id="59"/>
    </w:p>
    <w:p w:rsidR="003C5619" w:rsidRDefault="00761F12">
      <w:pPr>
        <w:pStyle w:val="2"/>
        <w:rPr>
          <w:rFonts w:ascii="Times New Roman" w:eastAsia="仿宋" w:hAnsi="Times New Roman" w:cs="Times New Roman"/>
        </w:rPr>
      </w:pPr>
      <w:r>
        <w:rPr>
          <w:rStyle w:val="2Char"/>
          <w:rFonts w:ascii="Times New Roman" w:eastAsia="仿宋" w:hAnsi="Times New Roman" w:cs="Times New Roman"/>
        </w:rPr>
        <w:t>六、</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般公共预算财政拨款支出决算表</w:t>
      </w:r>
      <w:bookmarkEnd w:id="60"/>
    </w:p>
    <w:p w:rsidR="003C5619" w:rsidRDefault="00761F12">
      <w:pPr>
        <w:pStyle w:val="2"/>
        <w:rPr>
          <w:rFonts w:ascii="Times New Roman" w:eastAsia="仿宋" w:hAnsi="Times New Roman" w:cs="Times New Roman"/>
        </w:rPr>
      </w:pPr>
      <w:bookmarkStart w:id="61" w:name="_Toc15396625"/>
      <w:r>
        <w:rPr>
          <w:rStyle w:val="2Char"/>
          <w:rFonts w:ascii="Times New Roman" w:eastAsia="仿宋" w:hAnsi="Times New Roman" w:cs="Times New Roman"/>
        </w:rPr>
        <w:t>七、</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般公共预算财政拨款支出决算明细表</w:t>
      </w:r>
      <w:bookmarkEnd w:id="61"/>
    </w:p>
    <w:p w:rsidR="003C5619" w:rsidRDefault="00761F12">
      <w:pPr>
        <w:pStyle w:val="2"/>
        <w:rPr>
          <w:rFonts w:ascii="Times New Roman" w:eastAsia="仿宋" w:hAnsi="Times New Roman" w:cs="Times New Roman"/>
        </w:rPr>
      </w:pPr>
      <w:bookmarkStart w:id="62" w:name="_Toc15396626"/>
      <w:r>
        <w:rPr>
          <w:rStyle w:val="2Char"/>
          <w:rFonts w:ascii="Times New Roman" w:eastAsia="仿宋" w:hAnsi="Times New Roman" w:cs="Times New Roman"/>
        </w:rPr>
        <w:t>八、</w:t>
      </w:r>
      <w:r>
        <w:rPr>
          <w:rFonts w:ascii="Times New Roman" w:eastAsia="仿宋" w:hAnsi="Times New Roman" w:cs="Times New Roman"/>
          <w:b w:val="0"/>
        </w:rPr>
        <w:t>一</w:t>
      </w:r>
      <w:r>
        <w:rPr>
          <w:rStyle w:val="2Char"/>
          <w:rFonts w:ascii="Times New Roman" w:eastAsia="仿宋" w:hAnsi="Times New Roman" w:cs="Times New Roman"/>
        </w:rPr>
        <w:t>般公共预算财政拨款基本支出决算表</w:t>
      </w:r>
      <w:bookmarkEnd w:id="62"/>
    </w:p>
    <w:p w:rsidR="003C5619" w:rsidRDefault="00761F12">
      <w:pPr>
        <w:pStyle w:val="2"/>
        <w:rPr>
          <w:rFonts w:ascii="Times New Roman" w:eastAsia="仿宋" w:hAnsi="Times New Roman" w:cs="Times New Roman"/>
        </w:rPr>
      </w:pPr>
      <w:bookmarkStart w:id="63" w:name="_Toc15396627"/>
      <w:r>
        <w:rPr>
          <w:rStyle w:val="2Char"/>
          <w:rFonts w:ascii="Times New Roman" w:eastAsia="仿宋" w:hAnsi="Times New Roman" w:cs="Times New Roman"/>
        </w:rPr>
        <w:t>九、</w:t>
      </w:r>
      <w:r>
        <w:rPr>
          <w:rFonts w:ascii="Times New Roman" w:eastAsia="仿宋" w:hAnsi="Times New Roman" w:cs="Times New Roman"/>
          <w:b w:val="0"/>
        </w:rPr>
        <w:t>一</w:t>
      </w:r>
      <w:r>
        <w:rPr>
          <w:rStyle w:val="2Char"/>
          <w:rFonts w:ascii="Times New Roman" w:eastAsia="仿宋" w:hAnsi="Times New Roman" w:cs="Times New Roman"/>
        </w:rPr>
        <w:t>般公共预算财政拨款项目支出决算表</w:t>
      </w:r>
      <w:bookmarkEnd w:id="63"/>
    </w:p>
    <w:p w:rsidR="003C5619" w:rsidRDefault="00761F12">
      <w:pPr>
        <w:pStyle w:val="2"/>
        <w:rPr>
          <w:rFonts w:ascii="Times New Roman" w:eastAsia="仿宋" w:hAnsi="Times New Roman" w:cs="Times New Roman"/>
        </w:rPr>
      </w:pPr>
      <w:bookmarkStart w:id="64" w:name="_Toc15396628"/>
      <w:r>
        <w:rPr>
          <w:rStyle w:val="2Char"/>
          <w:rFonts w:ascii="Times New Roman" w:eastAsia="仿宋" w:hAnsi="Times New Roman" w:cs="Times New Roman"/>
        </w:rPr>
        <w:t>十、</w:t>
      </w:r>
      <w:r>
        <w:rPr>
          <w:rFonts w:ascii="Times New Roman" w:eastAsia="仿宋" w:hAnsi="Times New Roman" w:cs="Times New Roman"/>
          <w:b w:val="0"/>
        </w:rPr>
        <w:t>一</w:t>
      </w:r>
      <w:r>
        <w:rPr>
          <w:rStyle w:val="2Char"/>
          <w:rFonts w:ascii="Times New Roman" w:eastAsia="仿宋" w:hAnsi="Times New Roman" w:cs="Times New Roman"/>
        </w:rPr>
        <w:t>般公共预算财政拨款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bookmarkEnd w:id="64"/>
    </w:p>
    <w:p w:rsidR="003C5619" w:rsidRDefault="00761F12">
      <w:pPr>
        <w:pStyle w:val="2"/>
        <w:rPr>
          <w:rFonts w:ascii="Times New Roman" w:eastAsia="仿宋" w:hAnsi="Times New Roman" w:cs="Times New Roman"/>
        </w:rPr>
      </w:pPr>
      <w:bookmarkStart w:id="65" w:name="_Toc15396629"/>
      <w:r>
        <w:rPr>
          <w:rStyle w:val="2Char"/>
          <w:rFonts w:ascii="Times New Roman" w:eastAsia="仿宋" w:hAnsi="Times New Roman" w:cs="Times New Roman"/>
        </w:rPr>
        <w:t>十一、</w:t>
      </w:r>
      <w:r>
        <w:rPr>
          <w:rFonts w:ascii="Times New Roman" w:eastAsia="仿宋" w:hAnsi="Times New Roman" w:cs="Times New Roman"/>
          <w:b w:val="0"/>
        </w:rPr>
        <w:t>政</w:t>
      </w:r>
      <w:r>
        <w:rPr>
          <w:rStyle w:val="2Char"/>
          <w:rFonts w:ascii="Times New Roman" w:eastAsia="仿宋" w:hAnsi="Times New Roman" w:cs="Times New Roman"/>
        </w:rPr>
        <w:t>府性基金预算财政拨款收入支出决算表</w:t>
      </w:r>
      <w:bookmarkEnd w:id="65"/>
    </w:p>
    <w:p w:rsidR="003C5619" w:rsidRDefault="00761F12">
      <w:pPr>
        <w:pStyle w:val="2"/>
        <w:rPr>
          <w:rFonts w:ascii="Times New Roman" w:eastAsia="仿宋" w:hAnsi="Times New Roman" w:cs="Times New Roman"/>
        </w:rPr>
      </w:pPr>
      <w:bookmarkStart w:id="66" w:name="_Toc15396630"/>
      <w:r>
        <w:rPr>
          <w:rStyle w:val="2Char"/>
          <w:rFonts w:ascii="Times New Roman" w:eastAsia="仿宋" w:hAnsi="Times New Roman" w:cs="Times New Roman"/>
        </w:rPr>
        <w:t>十二、</w:t>
      </w:r>
      <w:r>
        <w:rPr>
          <w:rFonts w:ascii="Times New Roman" w:eastAsia="仿宋" w:hAnsi="Times New Roman" w:cs="Times New Roman"/>
          <w:b w:val="0"/>
        </w:rPr>
        <w:t>政</w:t>
      </w:r>
      <w:r>
        <w:rPr>
          <w:rStyle w:val="2Char"/>
          <w:rFonts w:ascii="Times New Roman" w:eastAsia="仿宋" w:hAnsi="Times New Roman" w:cs="Times New Roman"/>
        </w:rPr>
        <w:t>府性基金预算财政拨款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bookmarkEnd w:id="66"/>
    </w:p>
    <w:p w:rsidR="003C5619" w:rsidRDefault="00761F12">
      <w:pPr>
        <w:pStyle w:val="2"/>
        <w:rPr>
          <w:rStyle w:val="2Char"/>
          <w:rFonts w:ascii="Times New Roman" w:eastAsia="仿宋" w:hAnsi="Times New Roman" w:cs="Times New Roman"/>
        </w:rPr>
      </w:pPr>
      <w:bookmarkStart w:id="67" w:name="_Toc15396631"/>
      <w:r>
        <w:rPr>
          <w:rStyle w:val="2Char"/>
          <w:rFonts w:ascii="Times New Roman" w:eastAsia="仿宋" w:hAnsi="Times New Roman" w:cs="Times New Roman"/>
        </w:rPr>
        <w:t>十三、</w:t>
      </w:r>
      <w:r>
        <w:rPr>
          <w:rFonts w:ascii="Times New Roman" w:eastAsia="仿宋" w:hAnsi="Times New Roman" w:cs="Times New Roman"/>
          <w:b w:val="0"/>
        </w:rPr>
        <w:t>国</w:t>
      </w:r>
      <w:r>
        <w:rPr>
          <w:rStyle w:val="2Char"/>
          <w:rFonts w:ascii="Times New Roman" w:eastAsia="仿宋" w:hAnsi="Times New Roman" w:cs="Times New Roman"/>
        </w:rPr>
        <w:t>有资本经营预算财政拨款收入支出决算表</w:t>
      </w:r>
      <w:bookmarkEnd w:id="67"/>
    </w:p>
    <w:p w:rsidR="003C5619" w:rsidRDefault="00761F12">
      <w:pPr>
        <w:rPr>
          <w:rFonts w:eastAsia="仿宋"/>
        </w:rPr>
      </w:pPr>
      <w:r>
        <w:rPr>
          <w:rStyle w:val="2Char"/>
          <w:rFonts w:ascii="Times New Roman" w:eastAsia="仿宋" w:hAnsi="Times New Roman" w:cs="Times New Roman"/>
          <w:b w:val="0"/>
          <w:bCs w:val="0"/>
        </w:rPr>
        <w:t>十四、国有资本经营预算财政拨款支出决算表</w:t>
      </w:r>
    </w:p>
    <w:sectPr w:rsidR="003C5619">
      <w:headerReference w:type="default" r:id="rId13"/>
      <w:footerReference w:type="default" r:id="rId14"/>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5184" w:rsidRDefault="00CD5184">
      <w:r>
        <w:separator/>
      </w:r>
    </w:p>
  </w:endnote>
  <w:endnote w:type="continuationSeparator" w:id="0">
    <w:p w:rsidR="00CD5184" w:rsidRDefault="00CD51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3C5619" w:rsidRDefault="00761F12">
        <w:pPr>
          <w:pStyle w:val="a5"/>
          <w:jc w:val="center"/>
        </w:pPr>
        <w:r>
          <w:fldChar w:fldCharType="begin"/>
        </w:r>
        <w:r>
          <w:instrText>PAGE   \* MERGEFORMAT</w:instrText>
        </w:r>
        <w:r>
          <w:fldChar w:fldCharType="separate"/>
        </w:r>
        <w:r w:rsidR="001C2E02" w:rsidRPr="001C2E02">
          <w:rPr>
            <w:noProof/>
            <w:lang w:val="zh-CN"/>
          </w:rPr>
          <w:t>22</w:t>
        </w:r>
        <w:r>
          <w:fldChar w:fldCharType="end"/>
        </w:r>
      </w:p>
    </w:sdtContent>
  </w:sdt>
  <w:p w:rsidR="003C5619" w:rsidRDefault="003C561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5184" w:rsidRDefault="00CD5184">
      <w:r>
        <w:separator/>
      </w:r>
    </w:p>
  </w:footnote>
  <w:footnote w:type="continuationSeparator" w:id="0">
    <w:p w:rsidR="00CD5184" w:rsidRDefault="00CD51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619" w:rsidRDefault="003C5619">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B1810ED"/>
    <w:multiLevelType w:val="singleLevel"/>
    <w:tmpl w:val="3B1810ED"/>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NjE5NDI4MmEwNGNmN2Q3MTQ5YmVhNjNiMGRhOWQifQ=="/>
  </w:docVars>
  <w:rsids>
    <w:rsidRoot w:val="00F1361C"/>
    <w:rsid w:val="9E3A10E2"/>
    <w:rsid w:val="F2E1F9D4"/>
    <w:rsid w:val="F7880819"/>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159EA"/>
    <w:rsid w:val="00142216"/>
    <w:rsid w:val="00144D6A"/>
    <w:rsid w:val="0014729F"/>
    <w:rsid w:val="00157BAB"/>
    <w:rsid w:val="001654D1"/>
    <w:rsid w:val="00174518"/>
    <w:rsid w:val="0018106D"/>
    <w:rsid w:val="001877A7"/>
    <w:rsid w:val="00191536"/>
    <w:rsid w:val="00196687"/>
    <w:rsid w:val="001B020D"/>
    <w:rsid w:val="001C0962"/>
    <w:rsid w:val="001C2E02"/>
    <w:rsid w:val="001D123F"/>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3B44"/>
    <w:rsid w:val="0036561B"/>
    <w:rsid w:val="0037013F"/>
    <w:rsid w:val="00380C92"/>
    <w:rsid w:val="00386469"/>
    <w:rsid w:val="003A484F"/>
    <w:rsid w:val="003A4883"/>
    <w:rsid w:val="003B0BE0"/>
    <w:rsid w:val="003B0C1B"/>
    <w:rsid w:val="003B688C"/>
    <w:rsid w:val="003C0291"/>
    <w:rsid w:val="003C39AE"/>
    <w:rsid w:val="003C5619"/>
    <w:rsid w:val="003C7B60"/>
    <w:rsid w:val="003D0499"/>
    <w:rsid w:val="003D0C0F"/>
    <w:rsid w:val="003D1FB2"/>
    <w:rsid w:val="003D66DA"/>
    <w:rsid w:val="003E1310"/>
    <w:rsid w:val="003E6F55"/>
    <w:rsid w:val="00406254"/>
    <w:rsid w:val="004223DE"/>
    <w:rsid w:val="00434489"/>
    <w:rsid w:val="00437085"/>
    <w:rsid w:val="00443880"/>
    <w:rsid w:val="004464F4"/>
    <w:rsid w:val="0046467B"/>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46D8"/>
    <w:rsid w:val="00746F48"/>
    <w:rsid w:val="0075404D"/>
    <w:rsid w:val="0076182A"/>
    <w:rsid w:val="00761F12"/>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51BC"/>
    <w:rsid w:val="00871F71"/>
    <w:rsid w:val="00872FD8"/>
    <w:rsid w:val="0087654A"/>
    <w:rsid w:val="00885AF4"/>
    <w:rsid w:val="008939CD"/>
    <w:rsid w:val="008B768C"/>
    <w:rsid w:val="008C002B"/>
    <w:rsid w:val="008C4DB1"/>
    <w:rsid w:val="008C4EAF"/>
    <w:rsid w:val="008C5176"/>
    <w:rsid w:val="008C7FD0"/>
    <w:rsid w:val="008D752E"/>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D5184"/>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E58C4"/>
    <w:rsid w:val="00EF4C34"/>
    <w:rsid w:val="00EF77C6"/>
    <w:rsid w:val="00F05438"/>
    <w:rsid w:val="00F1361C"/>
    <w:rsid w:val="00F156F0"/>
    <w:rsid w:val="00F160C7"/>
    <w:rsid w:val="00F2408F"/>
    <w:rsid w:val="00F240E9"/>
    <w:rsid w:val="00F33438"/>
    <w:rsid w:val="00F350BB"/>
    <w:rsid w:val="00F36D8F"/>
    <w:rsid w:val="00F417B1"/>
    <w:rsid w:val="00F45853"/>
    <w:rsid w:val="00F602DF"/>
    <w:rsid w:val="00F754A1"/>
    <w:rsid w:val="00F81FD9"/>
    <w:rsid w:val="00F841AA"/>
    <w:rsid w:val="00F84A94"/>
    <w:rsid w:val="00F87E96"/>
    <w:rsid w:val="00F90255"/>
    <w:rsid w:val="00FA23E8"/>
    <w:rsid w:val="00FC22E2"/>
    <w:rsid w:val="00FD3CC1"/>
    <w:rsid w:val="00FD557C"/>
    <w:rsid w:val="00FF1E02"/>
    <w:rsid w:val="00FF30B4"/>
    <w:rsid w:val="045C24B6"/>
    <w:rsid w:val="0A2032A3"/>
    <w:rsid w:val="0B8A37D8"/>
    <w:rsid w:val="0B8D4563"/>
    <w:rsid w:val="0F82133E"/>
    <w:rsid w:val="10C055FF"/>
    <w:rsid w:val="118107EC"/>
    <w:rsid w:val="11DD6519"/>
    <w:rsid w:val="16BB723D"/>
    <w:rsid w:val="18015F3F"/>
    <w:rsid w:val="1BE8440E"/>
    <w:rsid w:val="1D155CEE"/>
    <w:rsid w:val="20F57F95"/>
    <w:rsid w:val="240371BF"/>
    <w:rsid w:val="25C741E6"/>
    <w:rsid w:val="27842671"/>
    <w:rsid w:val="29FD04D3"/>
    <w:rsid w:val="2ABE7A3E"/>
    <w:rsid w:val="2EFA178C"/>
    <w:rsid w:val="30B46D73"/>
    <w:rsid w:val="319F7F4E"/>
    <w:rsid w:val="33B15314"/>
    <w:rsid w:val="39AE70AB"/>
    <w:rsid w:val="3C0C0783"/>
    <w:rsid w:val="3C92017C"/>
    <w:rsid w:val="3F9F3A96"/>
    <w:rsid w:val="493C27E9"/>
    <w:rsid w:val="496F39ED"/>
    <w:rsid w:val="49FF41D3"/>
    <w:rsid w:val="4BE068DB"/>
    <w:rsid w:val="4BF6002B"/>
    <w:rsid w:val="4D8C7EE8"/>
    <w:rsid w:val="4ECE2238"/>
    <w:rsid w:val="51DB4B86"/>
    <w:rsid w:val="523610F5"/>
    <w:rsid w:val="55333C3E"/>
    <w:rsid w:val="5DB91C5D"/>
    <w:rsid w:val="64CA39A1"/>
    <w:rsid w:val="6C4A05C8"/>
    <w:rsid w:val="72734D90"/>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A6EBE617-FEB9-4445-8896-F246A64B5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1"/>
    <w:uiPriority w:val="99"/>
    <w:qFormat/>
    <w:rPr>
      <w:b/>
    </w:rPr>
  </w:style>
  <w:style w:type="character" w:styleId="a8">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Pr>
      <w:rFonts w:ascii="Times New Roman" w:hAnsi="Times New Roman" w:cs="Times New Roman" w:hint="default"/>
      <w:color w:val="000000"/>
      <w:sz w:val="24"/>
      <w:szCs w:val="24"/>
      <w:u w:val="none"/>
    </w:rPr>
  </w:style>
  <w:style w:type="character" w:customStyle="1" w:styleId="font21">
    <w:name w:val="font21"/>
    <w:basedOn w:val="a1"/>
    <w:qFormat/>
    <w:rPr>
      <w:rFonts w:ascii="宋体" w:eastAsia="宋体" w:hAnsi="宋体" w:cs="宋体" w:hint="eastAsia"/>
      <w:color w:val="000000"/>
      <w:sz w:val="24"/>
      <w:szCs w:val="24"/>
      <w:u w:val="none"/>
    </w:rPr>
  </w:style>
  <w:style w:type="character" w:customStyle="1" w:styleId="font31">
    <w:name w:val="font31"/>
    <w:basedOn w:val="a1"/>
    <w:qFormat/>
    <w:rPr>
      <w:rFonts w:ascii="宋体" w:eastAsia="宋体" w:hAnsi="宋体" w:cs="宋体" w:hint="eastAsia"/>
      <w:color w:val="000000"/>
      <w:sz w:val="24"/>
      <w:szCs w:val="24"/>
      <w:u w:val="none"/>
    </w:rPr>
  </w:style>
  <w:style w:type="paragraph" w:customStyle="1" w:styleId="WPSOffice1">
    <w:name w:val="WPSOffice手动目录 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收支决算总计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2020年</c:v>
                </c:pt>
                <c:pt idx="1">
                  <c:v>2021年</c:v>
                </c:pt>
              </c:strCache>
            </c:strRef>
          </c:cat>
          <c:val>
            <c:numRef>
              <c:f>Sheet1!$B$2:$B$3</c:f>
              <c:numCache>
                <c:formatCode>General</c:formatCode>
                <c:ptCount val="2"/>
                <c:pt idx="0">
                  <c:v>3104.95</c:v>
                </c:pt>
                <c:pt idx="1">
                  <c:v>2833.7</c:v>
                </c:pt>
              </c:numCache>
            </c:numRef>
          </c:val>
        </c:ser>
        <c:dLbls>
          <c:showLegendKey val="0"/>
          <c:showVal val="1"/>
          <c:showCatName val="0"/>
          <c:showSerName val="0"/>
          <c:showPercent val="0"/>
          <c:showBubbleSize val="0"/>
        </c:dLbls>
        <c:gapWidth val="219"/>
        <c:overlap val="-27"/>
        <c:axId val="518308208"/>
        <c:axId val="518302720"/>
      </c:barChart>
      <c:catAx>
        <c:axId val="5183082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8302720"/>
        <c:crosses val="autoZero"/>
        <c:auto val="1"/>
        <c:lblAlgn val="ctr"/>
        <c:lblOffset val="100"/>
        <c:noMultiLvlLbl val="0"/>
      </c:catAx>
      <c:valAx>
        <c:axId val="51830272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8308208"/>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2021年</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cat>
            <c:strRef>
              <c:f>Sheet1!$A$2:$A$3</c:f>
              <c:strCache>
                <c:ptCount val="2"/>
                <c:pt idx="0">
                  <c:v>2021年一般公共预算财政拨款收入</c:v>
                </c:pt>
                <c:pt idx="1">
                  <c:v>年初结转</c:v>
                </c:pt>
              </c:strCache>
            </c:strRef>
          </c:cat>
          <c:val>
            <c:numRef>
              <c:f>Sheet1!$B$2:$B$3</c:f>
              <c:numCache>
                <c:formatCode>General</c:formatCode>
                <c:ptCount val="2"/>
                <c:pt idx="0">
                  <c:v>2596.23</c:v>
                </c:pt>
                <c:pt idx="1">
                  <c:v>237.47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16850000000000001"/>
          <c:y val="0.87783333333333302"/>
          <c:w val="0.67912499999999998"/>
          <c:h val="0.10216666666666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cat>
            <c:strRef>
              <c:f>Sheet1!$A$2:$A$3</c:f>
              <c:strCache>
                <c:ptCount val="2"/>
                <c:pt idx="0">
                  <c:v>基本支出</c:v>
                </c:pt>
                <c:pt idx="1">
                  <c:v>项目支出</c:v>
                </c:pt>
              </c:strCache>
            </c:strRef>
          </c:cat>
          <c:val>
            <c:numRef>
              <c:f>Sheet1!$B$2:$B$3</c:f>
              <c:numCache>
                <c:formatCode>General</c:formatCode>
                <c:ptCount val="2"/>
                <c:pt idx="0">
                  <c:v>2455.4</c:v>
                </c:pt>
                <c:pt idx="1">
                  <c:v>378.3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31637500000000002"/>
          <c:y val="0.88900000000000001"/>
          <c:w val="0.39637499999999998"/>
          <c:h val="9.0999999999999998E-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收支决算总计</c:v>
                </c:pt>
              </c:strCache>
            </c:strRef>
          </c:tx>
          <c:spPr>
            <a:solidFill>
              <a:schemeClr val="accent1"/>
            </a:solidFill>
            <a:ln>
              <a:noFill/>
            </a:ln>
            <a:effectLst/>
          </c:spPr>
          <c:invertIfNegative val="0"/>
          <c:cat>
            <c:strRef>
              <c:f>Sheet1!$A$2:$A$3</c:f>
              <c:strCache>
                <c:ptCount val="2"/>
                <c:pt idx="0">
                  <c:v>2020年</c:v>
                </c:pt>
                <c:pt idx="1">
                  <c:v>2021年</c:v>
                </c:pt>
              </c:strCache>
            </c:strRef>
          </c:cat>
          <c:val>
            <c:numRef>
              <c:f>Sheet1!$B$2:$B$3</c:f>
              <c:numCache>
                <c:formatCode>General</c:formatCode>
                <c:ptCount val="2"/>
                <c:pt idx="0">
                  <c:v>3104.95</c:v>
                </c:pt>
                <c:pt idx="1">
                  <c:v>2833.7</c:v>
                </c:pt>
              </c:numCache>
            </c:numRef>
          </c:val>
        </c:ser>
        <c:dLbls>
          <c:showLegendKey val="0"/>
          <c:showVal val="0"/>
          <c:showCatName val="0"/>
          <c:showSerName val="0"/>
          <c:showPercent val="0"/>
          <c:showBubbleSize val="0"/>
        </c:dLbls>
        <c:gapWidth val="219"/>
        <c:overlap val="-27"/>
        <c:axId val="518312912"/>
        <c:axId val="518300760"/>
      </c:barChart>
      <c:catAx>
        <c:axId val="51831291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8300760"/>
        <c:crosses val="autoZero"/>
        <c:auto val="1"/>
        <c:lblAlgn val="ctr"/>
        <c:lblOffset val="100"/>
        <c:noMultiLvlLbl val="0"/>
      </c:catAx>
      <c:valAx>
        <c:axId val="51830076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8312912"/>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一般公共预算财政拨款支出决算</c:v>
                </c:pt>
              </c:strCache>
            </c:strRef>
          </c:tx>
          <c:spPr>
            <a:solidFill>
              <a:schemeClr val="accent1"/>
            </a:solidFill>
            <a:ln>
              <a:noFill/>
            </a:ln>
            <a:effectLst/>
          </c:spPr>
          <c:invertIfNegative val="0"/>
          <c:cat>
            <c:strRef>
              <c:f>Sheet1!$A$2:$A$3</c:f>
              <c:strCache>
                <c:ptCount val="2"/>
                <c:pt idx="0">
                  <c:v>2020年</c:v>
                </c:pt>
                <c:pt idx="1">
                  <c:v>2021年</c:v>
                </c:pt>
              </c:strCache>
            </c:strRef>
          </c:cat>
          <c:val>
            <c:numRef>
              <c:f>Sheet1!$B$2:$B$3</c:f>
              <c:numCache>
                <c:formatCode>General</c:formatCode>
                <c:ptCount val="2"/>
                <c:pt idx="0">
                  <c:v>3104.95</c:v>
                </c:pt>
                <c:pt idx="1">
                  <c:v>2833.7</c:v>
                </c:pt>
              </c:numCache>
            </c:numRef>
          </c:val>
        </c:ser>
        <c:dLbls>
          <c:showLegendKey val="0"/>
          <c:showVal val="0"/>
          <c:showCatName val="0"/>
          <c:showSerName val="0"/>
          <c:showPercent val="0"/>
          <c:showBubbleSize val="0"/>
        </c:dLbls>
        <c:gapWidth val="219"/>
        <c:overlap val="-27"/>
        <c:axId val="518303504"/>
        <c:axId val="518301936"/>
      </c:barChart>
      <c:catAx>
        <c:axId val="51830350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8301936"/>
        <c:crosses val="autoZero"/>
        <c:auto val="1"/>
        <c:lblAlgn val="ctr"/>
        <c:lblOffset val="100"/>
        <c:noMultiLvlLbl val="0"/>
      </c:catAx>
      <c:valAx>
        <c:axId val="51830193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8303504"/>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一般公共预算财政拨款支出决算结构</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cat>
            <c:strRef>
              <c:f>Sheet1!$A$2:$A$8</c:f>
              <c:strCache>
                <c:ptCount val="7"/>
                <c:pt idx="0">
                  <c:v>一般公共服务</c:v>
                </c:pt>
                <c:pt idx="1">
                  <c:v>教育支出</c:v>
                </c:pt>
                <c:pt idx="2">
                  <c:v>科学技术</c:v>
                </c:pt>
                <c:pt idx="3">
                  <c:v>文化旅游体育与传媒</c:v>
                </c:pt>
                <c:pt idx="4">
                  <c:v>社会保障和就业</c:v>
                </c:pt>
                <c:pt idx="5">
                  <c:v>卫生健康支出</c:v>
                </c:pt>
                <c:pt idx="6">
                  <c:v>住房保障</c:v>
                </c:pt>
              </c:strCache>
            </c:strRef>
          </c:cat>
          <c:val>
            <c:numRef>
              <c:f>Sheet1!$B$2:$B$8</c:f>
              <c:numCache>
                <c:formatCode>General</c:formatCode>
                <c:ptCount val="7"/>
                <c:pt idx="0">
                  <c:v>0</c:v>
                </c:pt>
                <c:pt idx="1">
                  <c:v>2382.7399999999998</c:v>
                </c:pt>
                <c:pt idx="2">
                  <c:v>0</c:v>
                </c:pt>
                <c:pt idx="3">
                  <c:v>0</c:v>
                </c:pt>
                <c:pt idx="4">
                  <c:v>240.43</c:v>
                </c:pt>
                <c:pt idx="5">
                  <c:v>0</c:v>
                </c:pt>
                <c:pt idx="6">
                  <c:v>210.53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24</Pages>
  <Words>1437</Words>
  <Characters>8193</Characters>
  <Application>Microsoft Office Word</Application>
  <DocSecurity>0</DocSecurity>
  <Lines>68</Lines>
  <Paragraphs>19</Paragraphs>
  <ScaleCrop>false</ScaleCrop>
  <Company>四川省财政厅</Company>
  <LinksUpToDate>false</LinksUpToDate>
  <CharactersWithSpaces>9611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4</cp:revision>
  <cp:lastPrinted>2023-04-10T11:46:00Z</cp:lastPrinted>
  <dcterms:created xsi:type="dcterms:W3CDTF">2023-10-07T19:22:00Z</dcterms:created>
  <dcterms:modified xsi:type="dcterms:W3CDTF">2023-10-07T19:32:00Z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FED62D15FE2B4718A3CFF3294F08772C_12</vt:lpwstr>
  </property>
</Properties>
</file>