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8441"/>
      <w:bookmarkStart w:id="2" w:name="_Toc15396597"/>
      <w:bookmarkStart w:id="3" w:name="_Toc15377193"/>
      <w:bookmarkStart w:id="4" w:name="_Toc15377425"/>
      <w:bookmarkStart w:id="5" w:name="_Toc15396475"/>
      <w:r>
        <w:rPr>
          <w:rFonts w:ascii="黑体" w:hAnsi="黑体" w:eastAsia="黑体"/>
          <w:color w:val="000000"/>
          <w:sz w:val="72"/>
          <w:szCs w:val="72"/>
        </w:rPr>
        <w:t>201</w:t>
      </w:r>
      <w:r>
        <w:rPr>
          <w:rFonts w:hint="eastAsia" w:ascii="黑体" w:hAnsi="黑体" w:eastAsia="黑体"/>
          <w:color w:val="000000"/>
          <w:sz w:val="72"/>
          <w:szCs w:val="72"/>
        </w:rPr>
        <w:t>8</w:t>
      </w:r>
      <w:r>
        <w:rPr>
          <w:rFonts w:hint="eastAsia" w:ascii="方正小标宋简体" w:hAnsi="宋体"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7426"/>
      <w:bookmarkStart w:id="7" w:name="_Toc15377194"/>
      <w:bookmarkStart w:id="8" w:name="_Toc15378442"/>
      <w:bookmarkStart w:id="9" w:name="_Toc15396476"/>
      <w:bookmarkStart w:id="10" w:name="_Toc15396598"/>
      <w:r>
        <w:rPr>
          <w:rFonts w:hint="eastAsia" w:ascii="方正小标宋简体" w:hAnsi="宋体" w:eastAsia="方正小标宋简体"/>
          <w:color w:val="000000"/>
          <w:sz w:val="72"/>
          <w:szCs w:val="72"/>
        </w:rPr>
        <w:t>四川省</w:t>
      </w:r>
      <w:bookmarkEnd w:id="0"/>
      <w:bookmarkStart w:id="11" w:name="_Toc15306268"/>
      <w:r>
        <w:rPr>
          <w:rFonts w:hint="eastAsia" w:ascii="方正小标宋简体" w:hAnsi="宋体" w:eastAsia="方正小标宋简体"/>
          <w:color w:val="000000"/>
          <w:sz w:val="72"/>
          <w:szCs w:val="72"/>
        </w:rPr>
        <w:t>攀枝花市盐边县桐子林镇人民政府部门决算</w:t>
      </w:r>
      <w:bookmarkEnd w:id="6"/>
      <w:bookmarkEnd w:id="7"/>
      <w:bookmarkEnd w:id="8"/>
      <w:bookmarkEnd w:id="9"/>
      <w:bookmarkEnd w:id="10"/>
      <w:bookmarkEnd w:id="11"/>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pPr>
      <w:r>
        <w:rPr>
          <w:rFonts w:hint="eastAsia"/>
        </w:rPr>
        <w:t>公开时间：2019年10月16日</w:t>
      </w:r>
    </w:p>
    <w:p/>
    <w:p>
      <w:pPr>
        <w:pStyle w:val="10"/>
        <w:rPr>
          <w:rFonts w:cstheme="minorBidi"/>
        </w:rPr>
      </w:pPr>
      <w:r>
        <w:fldChar w:fldCharType="begin"/>
      </w:r>
      <w:r>
        <w:instrText xml:space="preserve"> HYPERLINK \l "_Toc15396599" </w:instrText>
      </w:r>
      <w:r>
        <w:fldChar w:fldCharType="separate"/>
      </w:r>
      <w:r>
        <w:rPr>
          <w:rStyle w:val="16"/>
          <w:rFonts w:hint="eastAsia"/>
        </w:rPr>
        <w:t>第一部分部门概况</w:t>
      </w:r>
      <w:r>
        <w:tab/>
      </w:r>
      <w:r>
        <w:rPr>
          <w:rFonts w:hint="eastAsia"/>
        </w:rPr>
        <w:t>4</w:t>
      </w:r>
      <w:r>
        <w:rPr>
          <w:rFonts w:hint="eastAsia"/>
        </w:rPr>
        <w:fldChar w:fldCharType="end"/>
      </w:r>
    </w:p>
    <w:p>
      <w:pPr>
        <w:pStyle w:val="11"/>
        <w:rPr>
          <w:rFonts w:ascii="仿宋" w:hAnsi="仿宋" w:eastAsia="仿宋" w:cstheme="minorBidi"/>
          <w:sz w:val="28"/>
          <w:szCs w:val="28"/>
        </w:rPr>
      </w:pPr>
      <w:r>
        <w:fldChar w:fldCharType="begin"/>
      </w:r>
      <w:r>
        <w:instrText xml:space="preserve"> HYPERLINK \l "_Toc15396600" </w:instrText>
      </w:r>
      <w:r>
        <w:fldChar w:fldCharType="separate"/>
      </w:r>
      <w:r>
        <w:rPr>
          <w:rStyle w:val="16"/>
          <w:rFonts w:hint="eastAsia" w:ascii="仿宋" w:hAnsi="仿宋" w:eastAsia="仿宋"/>
          <w:sz w:val="28"/>
          <w:szCs w:val="28"/>
        </w:rPr>
        <w:t>一、基本职能及主要工作</w:t>
      </w:r>
      <w:r>
        <w:rPr>
          <w:rFonts w:ascii="仿宋" w:hAnsi="仿宋" w:eastAsia="仿宋"/>
          <w:sz w:val="28"/>
          <w:szCs w:val="28"/>
        </w:rPr>
        <w:tab/>
      </w:r>
      <w:r>
        <w:rPr>
          <w:rFonts w:hint="eastAsia" w:ascii="仿宋" w:hAnsi="仿宋" w:eastAsia="仿宋"/>
          <w:sz w:val="28"/>
          <w:szCs w:val="28"/>
        </w:rPr>
        <w:t>4</w:t>
      </w:r>
      <w:r>
        <w:rPr>
          <w:rFonts w:hint="eastAsia"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"_Toc15396601" </w:instrText>
      </w:r>
      <w:r>
        <w:fldChar w:fldCharType="separate"/>
      </w:r>
      <w:r>
        <w:rPr>
          <w:rStyle w:val="16"/>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"_Toc15396602" </w:instrText>
      </w:r>
      <w:r>
        <w:fldChar w:fldCharType="separate"/>
      </w:r>
      <w:r>
        <w:rPr>
          <w:rStyle w:val="16"/>
          <w:rFonts w:hint="eastAsia"/>
        </w:rPr>
        <w:t>第二部分</w:t>
      </w:r>
      <w:r>
        <w:rPr>
          <w:rStyle w:val="16"/>
        </w:rPr>
        <w:t xml:space="preserve"> 2018</w:t>
      </w:r>
      <w:r>
        <w:rPr>
          <w:rStyle w:val="16"/>
          <w:rFonts w:hint="eastAsia"/>
        </w:rPr>
        <w:t>年度部门决算情况说明</w:t>
      </w:r>
      <w:r>
        <w:tab/>
      </w:r>
      <w:r>
        <w:fldChar w:fldCharType="begin"/>
      </w:r>
      <w:r>
        <w:instrText xml:space="preserve"> PAGEREF _Toc15396602 \h </w:instrText>
      </w:r>
      <w:r>
        <w:fldChar w:fldCharType="separate"/>
      </w:r>
      <w:r>
        <w:t>5</w:t>
      </w:r>
      <w:r>
        <w:fldChar w:fldCharType="end"/>
      </w:r>
      <w:r>
        <w:fldChar w:fldCharType="end"/>
      </w:r>
    </w:p>
    <w:p>
      <w:pPr>
        <w:pStyle w:val="11"/>
        <w:rPr>
          <w:rFonts w:ascii="仿宋" w:hAnsi="仿宋" w:eastAsia="仿宋" w:cstheme="minorBidi"/>
          <w:sz w:val="28"/>
          <w:szCs w:val="28"/>
        </w:rPr>
      </w:pPr>
      <w:r>
        <w:fldChar w:fldCharType="begin"/>
      </w:r>
      <w:r>
        <w:instrText xml:space="preserve"> HYPERLINK \l "_Toc15396603" </w:instrText>
      </w:r>
      <w:r>
        <w:fldChar w:fldCharType="separate"/>
      </w:r>
      <w:r>
        <w:rPr>
          <w:rStyle w:val="16"/>
          <w:rFonts w:hint="eastAsia" w:ascii="仿宋" w:hAnsi="仿宋" w:eastAsia="仿宋" w:cstheme="majorBidi"/>
          <w:bCs/>
          <w:sz w:val="28"/>
          <w:szCs w:val="28"/>
        </w:rPr>
        <w:t>一、</w:t>
      </w:r>
      <w:r>
        <w:rPr>
          <w:rStyle w:val="16"/>
          <w:rFonts w:hint="eastAsia" w:ascii="仿宋" w:hAnsi="仿宋" w:eastAsia="仿宋"/>
          <w:sz w:val="28"/>
          <w:szCs w:val="28"/>
        </w:rPr>
        <w:t>收</w:t>
      </w:r>
      <w:r>
        <w:rPr>
          <w:rStyle w:val="16"/>
          <w:rFonts w:hint="eastAsia" w:ascii="仿宋" w:hAnsi="仿宋" w:eastAsia="仿宋" w:cstheme="majorBidi"/>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"_Toc15396604" </w:instrText>
      </w:r>
      <w:r>
        <w:fldChar w:fldCharType="separate"/>
      </w:r>
      <w:r>
        <w:rPr>
          <w:rStyle w:val="16"/>
          <w:rFonts w:hint="eastAsia" w:ascii="仿宋" w:hAnsi="仿宋" w:eastAsia="仿宋" w:cstheme="majorBidi"/>
          <w:bCs/>
          <w:sz w:val="28"/>
          <w:szCs w:val="28"/>
        </w:rPr>
        <w:t>二、</w:t>
      </w:r>
      <w:r>
        <w:rPr>
          <w:rStyle w:val="16"/>
          <w:rFonts w:hint="eastAsia" w:ascii="仿宋" w:hAnsi="仿宋" w:eastAsia="仿宋"/>
          <w:sz w:val="28"/>
          <w:szCs w:val="28"/>
        </w:rPr>
        <w:t>收</w:t>
      </w:r>
      <w:r>
        <w:rPr>
          <w:rStyle w:val="16"/>
          <w:rFonts w:hint="eastAsia" w:ascii="仿宋" w:hAnsi="仿宋" w:eastAsia="仿宋" w:cstheme="majorBidi"/>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"_Toc15396605" </w:instrText>
      </w:r>
      <w:r>
        <w:fldChar w:fldCharType="separate"/>
      </w:r>
      <w:r>
        <w:rPr>
          <w:rStyle w:val="16"/>
          <w:rFonts w:hint="eastAsia" w:ascii="仿宋" w:hAnsi="仿宋" w:eastAsia="仿宋" w:cstheme="majorBidi"/>
          <w:bCs/>
          <w:sz w:val="28"/>
          <w:szCs w:val="28"/>
        </w:rPr>
        <w:t>三、</w:t>
      </w:r>
      <w:r>
        <w:rPr>
          <w:rStyle w:val="16"/>
          <w:rFonts w:hint="eastAsia" w:ascii="仿宋" w:hAnsi="仿宋" w:eastAsia="仿宋"/>
          <w:sz w:val="28"/>
          <w:szCs w:val="28"/>
        </w:rPr>
        <w:t>支</w:t>
      </w:r>
      <w:r>
        <w:rPr>
          <w:rStyle w:val="16"/>
          <w:rFonts w:hint="eastAsia" w:ascii="仿宋" w:hAnsi="仿宋" w:eastAsia="仿宋" w:cstheme="majorBidi"/>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"_Toc15396606" </w:instrText>
      </w:r>
      <w:r>
        <w:fldChar w:fldCharType="separate"/>
      </w:r>
      <w:r>
        <w:rPr>
          <w:rStyle w:val="16"/>
          <w:rFonts w:hint="eastAsia" w:ascii="仿宋" w:hAnsi="仿宋" w:eastAsia="仿宋"/>
          <w:sz w:val="28"/>
          <w:szCs w:val="28"/>
        </w:rPr>
        <w:t>四、财</w:t>
      </w:r>
      <w:r>
        <w:rPr>
          <w:rStyle w:val="16"/>
          <w:rFonts w:hint="eastAsia" w:ascii="仿宋" w:hAnsi="仿宋" w:eastAsia="仿宋" w:cstheme="majorBidi"/>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"_Toc15396607" </w:instrText>
      </w:r>
      <w:r>
        <w:fldChar w:fldCharType="separate"/>
      </w:r>
      <w:r>
        <w:rPr>
          <w:rStyle w:val="16"/>
          <w:rFonts w:hint="eastAsia" w:ascii="仿宋" w:hAnsi="仿宋" w:eastAsia="仿宋"/>
          <w:sz w:val="28"/>
          <w:szCs w:val="28"/>
        </w:rPr>
        <w:t>五、一</w:t>
      </w:r>
      <w:r>
        <w:rPr>
          <w:rStyle w:val="16"/>
          <w:rFonts w:hint="eastAsia" w:ascii="仿宋" w:hAnsi="仿宋" w:eastAsia="仿宋" w:cstheme="majorBidi"/>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"_Toc15396608" </w:instrText>
      </w:r>
      <w:r>
        <w:fldChar w:fldCharType="separate"/>
      </w:r>
      <w:r>
        <w:rPr>
          <w:rStyle w:val="16"/>
          <w:rFonts w:hint="eastAsia" w:ascii="仿宋" w:hAnsi="仿宋" w:eastAsia="仿宋"/>
          <w:sz w:val="28"/>
          <w:szCs w:val="28"/>
        </w:rPr>
        <w:t>六、一</w:t>
      </w:r>
      <w:r>
        <w:rPr>
          <w:rStyle w:val="16"/>
          <w:rFonts w:hint="eastAsia" w:ascii="仿宋" w:hAnsi="仿宋" w:eastAsia="仿宋" w:cstheme="majorBidi"/>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"_Toc15396609" </w:instrText>
      </w:r>
      <w:r>
        <w:fldChar w:fldCharType="separate"/>
      </w:r>
      <w:r>
        <w:rPr>
          <w:rStyle w:val="16"/>
          <w:rFonts w:hint="eastAsia" w:ascii="仿宋" w:hAnsi="仿宋" w:eastAsia="仿宋"/>
          <w:sz w:val="28"/>
          <w:szCs w:val="28"/>
        </w:rPr>
        <w:t>七、</w:t>
      </w:r>
      <w:r>
        <w:rPr>
          <w:rStyle w:val="16"/>
          <w:rFonts w:ascii="仿宋" w:hAnsi="仿宋" w:eastAsia="仿宋"/>
          <w:sz w:val="28"/>
          <w:szCs w:val="28"/>
        </w:rPr>
        <w:t>“</w:t>
      </w:r>
      <w:r>
        <w:rPr>
          <w:rStyle w:val="16"/>
          <w:rFonts w:hint="eastAsia" w:ascii="仿宋" w:hAnsi="仿宋" w:eastAsia="仿宋" w:cstheme="majorBidi"/>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"_Toc15396610" </w:instrText>
      </w:r>
      <w:r>
        <w:fldChar w:fldCharType="separate"/>
      </w:r>
      <w:r>
        <w:rPr>
          <w:rStyle w:val="16"/>
          <w:rFonts w:hint="eastAsia" w:ascii="仿宋" w:hAnsi="仿宋" w:eastAsia="仿宋"/>
          <w:sz w:val="28"/>
          <w:szCs w:val="28"/>
        </w:rPr>
        <w:t>八、</w:t>
      </w:r>
      <w:r>
        <w:rPr>
          <w:rStyle w:val="16"/>
          <w:rFonts w:hint="eastAsia" w:ascii="仿宋" w:hAnsi="仿宋" w:eastAsia="仿宋" w:cstheme="majorBidi"/>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13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"_Toc15396611" </w:instrText>
      </w:r>
      <w:r>
        <w:fldChar w:fldCharType="separate"/>
      </w:r>
      <w:r>
        <w:rPr>
          <w:rStyle w:val="16"/>
          <w:rFonts w:hint="eastAsia" w:ascii="仿宋" w:hAnsi="仿宋" w:eastAsia="仿宋" w:cstheme="majorBidi"/>
          <w:bCs/>
          <w:sz w:val="28"/>
          <w:szCs w:val="28"/>
        </w:rPr>
        <w:t>九、</w:t>
      </w:r>
      <w:r>
        <w:rPr>
          <w:rStyle w:val="16"/>
          <w:rFonts w:hint="eastAsia" w:ascii="仿宋" w:hAnsi="仿宋" w:eastAsia="仿宋"/>
          <w:sz w:val="28"/>
          <w:szCs w:val="28"/>
        </w:rPr>
        <w:t xml:space="preserve"> 国</w:t>
      </w:r>
      <w:r>
        <w:rPr>
          <w:rStyle w:val="16"/>
          <w:rFonts w:hint="eastAsia" w:ascii="仿宋" w:hAnsi="仿宋" w:eastAsia="仿宋" w:cstheme="majorBidi"/>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13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"_Toc15396612" </w:instrText>
      </w:r>
      <w:r>
        <w:fldChar w:fldCharType="separate"/>
      </w:r>
      <w:r>
        <w:rPr>
          <w:rStyle w:val="16"/>
          <w:rFonts w:hint="eastAsia" w:ascii="仿宋" w:hAnsi="仿宋" w:eastAsia="仿宋"/>
          <w:sz w:val="28"/>
          <w:szCs w:val="28"/>
        </w:rPr>
        <w:t>十</w:t>
      </w:r>
      <w:r>
        <w:rPr>
          <w:rStyle w:val="16"/>
          <w:rFonts w:hint="eastAsia" w:ascii="仿宋" w:hAnsi="仿宋" w:eastAsia="仿宋" w:cstheme="majorBidi"/>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20</w:t>
      </w:r>
      <w:r>
        <w:rPr>
          <w:rFonts w:ascii="仿宋" w:hAnsi="仿宋" w:eastAsia="仿宋"/>
          <w:sz w:val="28"/>
          <w:szCs w:val="28"/>
        </w:rPr>
        <w:fldChar w:fldCharType="end"/>
      </w:r>
      <w:r>
        <w:rPr>
          <w:rFonts w:ascii="仿宋" w:hAnsi="仿宋" w:eastAsia="仿宋"/>
          <w:sz w:val="28"/>
          <w:szCs w:val="28"/>
        </w:rPr>
        <w:fldChar w:fldCharType="end"/>
      </w:r>
    </w:p>
    <w:p>
      <w:pPr>
        <w:pStyle w:val="10"/>
        <w:rPr>
          <w:rFonts w:cstheme="minorBidi"/>
        </w:rPr>
      </w:pPr>
      <w:r>
        <w:fldChar w:fldCharType="begin"/>
      </w:r>
      <w:r>
        <w:instrText xml:space="preserve"> HYPERLINK \l "_Toc15396613" </w:instrText>
      </w:r>
      <w:r>
        <w:fldChar w:fldCharType="separate"/>
      </w:r>
      <w:r>
        <w:rPr>
          <w:rStyle w:val="16"/>
          <w:rFonts w:hint="eastAsia"/>
          <w:bCs/>
          <w:kern w:val="44"/>
        </w:rPr>
        <w:t>第三部分</w:t>
      </w:r>
      <w:r>
        <w:rPr>
          <w:rStyle w:val="16"/>
          <w:rFonts w:hint="eastAsia"/>
        </w:rPr>
        <w:t xml:space="preserve"> 名</w:t>
      </w:r>
      <w:r>
        <w:rPr>
          <w:rStyle w:val="16"/>
          <w:rFonts w:hint="eastAsia"/>
          <w:bCs/>
          <w:kern w:val="44"/>
        </w:rPr>
        <w:t>词解释</w:t>
      </w:r>
      <w:r>
        <w:tab/>
      </w:r>
      <w:r>
        <w:fldChar w:fldCharType="begin"/>
      </w:r>
      <w:r>
        <w:instrText xml:space="preserve"> PAGEREF _Toc15396613 \h </w:instrText>
      </w:r>
      <w:r>
        <w:fldChar w:fldCharType="separate"/>
      </w:r>
      <w:r>
        <w:t>22</w:t>
      </w:r>
      <w:r>
        <w:fldChar w:fldCharType="end"/>
      </w:r>
      <w:r>
        <w:fldChar w:fldCharType="end"/>
      </w:r>
    </w:p>
    <w:p>
      <w:pPr>
        <w:pStyle w:val="10"/>
        <w:rPr>
          <w:rFonts w:cstheme="minorBidi"/>
        </w:rPr>
      </w:pPr>
      <w:r>
        <w:fldChar w:fldCharType="begin"/>
      </w:r>
      <w:r>
        <w:instrText xml:space="preserve"> HYPERLINK \l "_Toc15396614" </w:instrText>
      </w:r>
      <w:r>
        <w:fldChar w:fldCharType="separate"/>
      </w:r>
      <w:r>
        <w:rPr>
          <w:rStyle w:val="16"/>
          <w:rFonts w:hint="eastAsia"/>
        </w:rPr>
        <w:t>第</w:t>
      </w:r>
      <w:r>
        <w:rPr>
          <w:rStyle w:val="16"/>
          <w:rFonts w:hint="eastAsia"/>
          <w:bCs/>
          <w:kern w:val="44"/>
        </w:rPr>
        <w:t>四部分附件</w:t>
      </w:r>
      <w:r>
        <w:tab/>
      </w:r>
      <w:r>
        <w:fldChar w:fldCharType="begin"/>
      </w:r>
      <w:r>
        <w:instrText xml:space="preserve"> PAGEREF _Toc15396614 \h </w:instrText>
      </w:r>
      <w:r>
        <w:fldChar w:fldCharType="separate"/>
      </w:r>
      <w:r>
        <w:t>25</w:t>
      </w:r>
      <w:r>
        <w:fldChar w:fldCharType="end"/>
      </w:r>
      <w:r>
        <w:fldChar w:fldCharType="end"/>
      </w:r>
    </w:p>
    <w:p>
      <w:pPr>
        <w:pStyle w:val="11"/>
        <w:rPr>
          <w:rFonts w:ascii="仿宋" w:hAnsi="仿宋" w:eastAsia="仿宋" w:cstheme="minorBidi"/>
          <w:sz w:val="28"/>
          <w:szCs w:val="28"/>
        </w:rPr>
      </w:pPr>
      <w:r>
        <w:fldChar w:fldCharType="begin"/>
      </w:r>
      <w:r>
        <w:instrText xml:space="preserve"> HYPERLINK \l "_Toc15396615"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_Toc15396615 \h </w:instrText>
      </w:r>
      <w:r>
        <w:rPr>
          <w:rFonts w:ascii="仿宋" w:hAnsi="仿宋" w:eastAsia="仿宋"/>
          <w:sz w:val="28"/>
          <w:szCs w:val="28"/>
        </w:rPr>
        <w:fldChar w:fldCharType="separate"/>
      </w:r>
      <w:r>
        <w:rPr>
          <w:rFonts w:ascii="仿宋" w:hAnsi="仿宋" w:eastAsia="仿宋"/>
          <w:sz w:val="28"/>
          <w:szCs w:val="28"/>
        </w:rPr>
        <w:t>25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"_Toc15396617"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2</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_Toc15396617 \h </w:instrText>
      </w:r>
      <w:r>
        <w:rPr>
          <w:rFonts w:ascii="仿宋" w:hAnsi="仿宋" w:eastAsia="仿宋"/>
          <w:sz w:val="28"/>
          <w:szCs w:val="28"/>
        </w:rPr>
        <w:fldChar w:fldCharType="separate"/>
      </w:r>
      <w:r>
        <w:rPr>
          <w:rFonts w:ascii="仿宋" w:hAnsi="仿宋" w:eastAsia="仿宋"/>
          <w:sz w:val="28"/>
          <w:szCs w:val="28"/>
        </w:rPr>
        <w:t>28</w:t>
      </w:r>
      <w:r>
        <w:rPr>
          <w:rFonts w:ascii="仿宋" w:hAnsi="仿宋" w:eastAsia="仿宋"/>
          <w:sz w:val="28"/>
          <w:szCs w:val="28"/>
        </w:rPr>
        <w:fldChar w:fldCharType="end"/>
      </w:r>
      <w:r>
        <w:rPr>
          <w:rFonts w:ascii="仿宋" w:hAnsi="仿宋" w:eastAsia="仿宋"/>
          <w:sz w:val="28"/>
          <w:szCs w:val="28"/>
        </w:rPr>
        <w:fldChar w:fldCharType="end"/>
      </w:r>
    </w:p>
    <w:p>
      <w:pPr>
        <w:pStyle w:val="10"/>
        <w:rPr>
          <w:rFonts w:cstheme="minorBidi"/>
        </w:rPr>
      </w:pPr>
      <w:r>
        <w:fldChar w:fldCharType="begin"/>
      </w:r>
      <w:r>
        <w:instrText xml:space="preserve"> HYPERLINK \l "_Toc15396618" </w:instrText>
      </w:r>
      <w:r>
        <w:fldChar w:fldCharType="separate"/>
      </w:r>
      <w:r>
        <w:rPr>
          <w:rStyle w:val="16"/>
          <w:rFonts w:hint="eastAsia"/>
        </w:rPr>
        <w:t>第</w:t>
      </w:r>
      <w:r>
        <w:rPr>
          <w:rStyle w:val="16"/>
          <w:rFonts w:hint="eastAsia"/>
          <w:bCs/>
          <w:kern w:val="44"/>
        </w:rPr>
        <w:t>五部分附表</w:t>
      </w:r>
      <w:r>
        <w:tab/>
      </w:r>
      <w:r>
        <w:fldChar w:fldCharType="begin"/>
      </w:r>
      <w:r>
        <w:instrText xml:space="preserve"> PAGEREF _Toc15396618 \h </w:instrText>
      </w:r>
      <w:r>
        <w:fldChar w:fldCharType="separate"/>
      </w:r>
      <w:r>
        <w:t>29</w:t>
      </w:r>
      <w:r>
        <w:fldChar w:fldCharType="end"/>
      </w:r>
      <w:r>
        <w:fldChar w:fldCharType="end"/>
      </w:r>
    </w:p>
    <w:p>
      <w:pPr>
        <w:pStyle w:val="11"/>
        <w:rPr>
          <w:rFonts w:ascii="仿宋" w:hAnsi="仿宋" w:eastAsia="仿宋" w:cstheme="minorBidi"/>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6"/>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6"/>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6"/>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6"/>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6"/>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6"/>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6"/>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6"/>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6"/>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6"/>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6"/>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6"/>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widowControl/>
        <w:jc w:val="left"/>
        <w:rPr>
          <w:rFonts w:ascii="仿宋" w:hAnsi="仿宋" w:eastAsia="仿宋"/>
          <w:color w:val="000000"/>
          <w:sz w:val="24"/>
        </w:rPr>
      </w:pPr>
      <w:r>
        <w:rPr>
          <w:rFonts w:ascii="仿宋" w:hAnsi="仿宋" w:eastAsia="仿宋"/>
          <w:color w:val="000000"/>
          <w:sz w:val="24"/>
        </w:rPr>
        <w:fldChar w:fldCharType="end"/>
      </w:r>
    </w:p>
    <w:p>
      <w:pPr>
        <w:widowControl/>
        <w:jc w:val="left"/>
        <w:rPr>
          <w:rFonts w:ascii="黑体" w:hAnsi="黑体" w:eastAsia="黑体"/>
          <w:bCs/>
          <w:kern w:val="44"/>
          <w:sz w:val="44"/>
          <w:szCs w:val="44"/>
        </w:rPr>
      </w:pPr>
      <w:bookmarkStart w:id="12" w:name="_Toc15377196"/>
      <w:bookmarkStart w:id="13" w:name="_Toc15396599"/>
      <w:r>
        <w:rPr>
          <w:rFonts w:ascii="黑体" w:hAnsi="黑体" w:eastAsia="黑体"/>
          <w:b/>
        </w:rPr>
        <w:br w:type="page"/>
      </w:r>
    </w:p>
    <w:p>
      <w:pPr>
        <w:pStyle w:val="2"/>
        <w:jc w:val="center"/>
        <w:rPr>
          <w:rStyle w:val="25"/>
          <w:rFonts w:ascii="黑体" w:hAnsi="黑体" w:eastAsia="黑体"/>
          <w:b/>
          <w:bCs w:val="0"/>
        </w:rPr>
      </w:pPr>
      <w:r>
        <w:rPr>
          <w:rFonts w:hint="eastAsia" w:ascii="黑体" w:hAnsi="黑体" w:eastAsia="黑体"/>
          <w:b w:val="0"/>
        </w:rPr>
        <w:t xml:space="preserve">第一部分 </w:t>
      </w:r>
      <w:r>
        <w:rPr>
          <w:rStyle w:val="25"/>
          <w:rFonts w:hint="eastAsia" w:ascii="黑体" w:hAnsi="黑体" w:eastAsia="黑体"/>
          <w:b w:val="0"/>
          <w:bCs w:val="0"/>
        </w:rPr>
        <w:t>部门概况</w:t>
      </w:r>
      <w:bookmarkEnd w:id="12"/>
      <w:bookmarkEnd w:id="13"/>
    </w:p>
    <w:p>
      <w:pPr>
        <w:widowControl/>
        <w:jc w:val="left"/>
        <w:rPr>
          <w:rFonts w:ascii="黑体" w:eastAsia="黑体"/>
          <w:color w:val="000000"/>
          <w:sz w:val="32"/>
          <w:szCs w:val="32"/>
        </w:rPr>
      </w:pPr>
    </w:p>
    <w:p>
      <w:pPr>
        <w:pStyle w:val="3"/>
        <w:rPr>
          <w:rStyle w:val="26"/>
          <w:rFonts w:ascii="仿宋" w:hAnsi="仿宋" w:eastAsia="仿宋"/>
          <w:b w:val="0"/>
          <w:bCs w:val="0"/>
        </w:rPr>
      </w:pPr>
      <w:bookmarkStart w:id="14" w:name="_Toc15377197"/>
      <w:bookmarkStart w:id="15" w:name="_Toc15396600"/>
      <w:r>
        <w:rPr>
          <w:rFonts w:hint="eastAsia" w:ascii="黑体" w:hAnsi="黑体" w:eastAsia="黑体"/>
          <w:b w:val="0"/>
          <w:color w:val="000000"/>
        </w:rPr>
        <w:t>一、基</w:t>
      </w:r>
      <w:r>
        <w:rPr>
          <w:rStyle w:val="26"/>
          <w:rFonts w:hint="eastAsia" w:ascii="黑体" w:hAnsi="黑体" w:eastAsia="黑体"/>
          <w:b w:val="0"/>
          <w:bCs w:val="0"/>
        </w:rPr>
        <w:t>本职能及主要工作</w:t>
      </w:r>
      <w:bookmarkEnd w:id="14"/>
      <w:bookmarkEnd w:id="15"/>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16" w:name="_Toc15378445"/>
      <w:bookmarkStart w:id="17" w:name="_Toc15377198"/>
      <w:r>
        <w:rPr>
          <w:rFonts w:hint="eastAsia" w:ascii="仿宋" w:hAnsi="仿宋" w:eastAsia="仿宋"/>
          <w:bCs/>
          <w:color w:val="000000"/>
          <w:sz w:val="32"/>
          <w:szCs w:val="32"/>
        </w:rPr>
        <w:t>（一）主要职能。</w:t>
      </w:r>
      <w:bookmarkEnd w:id="16"/>
      <w:bookmarkEnd w:id="17"/>
      <w:bookmarkStart w:id="18" w:name="_Toc15377199"/>
      <w:bookmarkStart w:id="19" w:name="_Toc15378446"/>
    </w:p>
    <w:p>
      <w:pPr>
        <w:adjustRightInd w:val="0"/>
        <w:snapToGrid w:val="0"/>
        <w:spacing w:line="560" w:lineRule="exact"/>
        <w:ind w:firstLine="640" w:firstLineChars="200"/>
        <w:rPr>
          <w:rFonts w:ascii="仿宋_GB2312" w:eastAsia="仿宋_GB2312"/>
          <w:bCs/>
          <w:sz w:val="32"/>
          <w:szCs w:val="32"/>
        </w:rPr>
      </w:pPr>
      <w:r>
        <w:rPr>
          <w:rFonts w:hint="eastAsia" w:ascii="仿宋_GB2312" w:eastAsia="仿宋_GB2312"/>
          <w:bCs/>
          <w:sz w:val="32"/>
          <w:szCs w:val="32"/>
        </w:rPr>
        <w:t>桐子林镇人民政府主要维持政府基本运转，维护桐子林镇稳定，提高人民生活水平，保障人们生活品质，促进社会和谐。</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8年重点工作完成情况。</w:t>
      </w:r>
      <w:bookmarkEnd w:id="18"/>
      <w:bookmarkEnd w:id="19"/>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1、较好的完成在编在岗职工工资基本运转。</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2、完成2018年度用于回购清源小区安置房和商屋专项项目。</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3、完成2018年度农村“五保户”供养发放。</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4、完成2018年度非农移民安置补助发放。</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5、完成2018年度村级一事一议项目。</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6、完成2018年度村干部工资基本运转。</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7、完成2018年社区干部工资基本运转。</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8、完成2018年度民族地区春节慰问金发放。</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9、完成2018年省级“四好村”建设项目。</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10、完成2018年度应急综合实战演练项目。</w:t>
      </w:r>
    </w:p>
    <w:p>
      <w:pPr>
        <w:pStyle w:val="3"/>
        <w:rPr>
          <w:rFonts w:ascii="仿宋" w:hAnsi="仿宋" w:eastAsia="仿宋" w:cs="Times New Roman"/>
          <w:b w:val="0"/>
          <w:bCs w:val="0"/>
        </w:rPr>
      </w:pPr>
      <w:bookmarkStart w:id="20" w:name="_Toc15396601"/>
      <w:bookmarkStart w:id="21" w:name="_Toc15377200"/>
      <w:r>
        <w:rPr>
          <w:rFonts w:hint="eastAsia" w:ascii="黑体" w:eastAsia="黑体"/>
          <w:b w:val="0"/>
          <w:color w:val="000000"/>
        </w:rPr>
        <w:t>二、</w:t>
      </w:r>
      <w:r>
        <w:rPr>
          <w:rFonts w:hint="eastAsia" w:ascii="黑体" w:hAnsi="黑体" w:eastAsia="黑体"/>
          <w:b w:val="0"/>
          <w:color w:val="000000"/>
        </w:rPr>
        <w:t>机</w:t>
      </w:r>
      <w:r>
        <w:rPr>
          <w:rStyle w:val="26"/>
          <w:rFonts w:hint="eastAsia" w:ascii="黑体" w:hAnsi="黑体" w:eastAsia="黑体"/>
          <w:b w:val="0"/>
          <w:bCs w:val="0"/>
        </w:rPr>
        <w:t>构设置</w:t>
      </w:r>
      <w:bookmarkEnd w:id="20"/>
      <w:bookmarkEnd w:id="21"/>
    </w:p>
    <w:p>
      <w:pPr>
        <w:ind w:firstLine="640" w:firstLineChars="200"/>
        <w:rPr>
          <w:rFonts w:ascii="仿宋" w:hAnsi="仿宋" w:eastAsia="仿宋"/>
          <w:sz w:val="32"/>
          <w:szCs w:val="32"/>
        </w:rPr>
      </w:pPr>
      <w:r>
        <w:rPr>
          <w:rFonts w:hint="eastAsia" w:ascii="仿宋" w:hAnsi="仿宋" w:eastAsia="仿宋"/>
          <w:sz w:val="32"/>
          <w:szCs w:val="32"/>
        </w:rPr>
        <w:t>盐边县桐子林镇人民政府下属二级单位0个，桐子林镇政府现有部门四个，农业服务中心、党政办、宣文中心、社会保障就业服务中心。其中行政单位1个，参照公务员法管理的事业单位</w:t>
      </w:r>
      <w:r>
        <w:rPr>
          <w:rFonts w:hint="eastAsia" w:ascii="仿宋" w:hAnsi="仿宋" w:eastAsia="仿宋"/>
          <w:bCs/>
          <w:sz w:val="32"/>
          <w:szCs w:val="32"/>
        </w:rPr>
        <w:t>0</w:t>
      </w:r>
      <w:r>
        <w:rPr>
          <w:rFonts w:hint="eastAsia" w:ascii="仿宋" w:hAnsi="仿宋" w:eastAsia="仿宋"/>
          <w:sz w:val="32"/>
          <w:szCs w:val="32"/>
        </w:rPr>
        <w:t>个，其他事业单位3个。</w:t>
      </w:r>
    </w:p>
    <w:p>
      <w:pPr>
        <w:pStyle w:val="2"/>
        <w:ind w:right="880"/>
        <w:jc w:val="right"/>
        <w:rPr>
          <w:rStyle w:val="25"/>
          <w:rFonts w:ascii="黑体" w:hAnsi="黑体" w:eastAsia="黑体"/>
          <w:b w:val="0"/>
          <w:bCs w:val="0"/>
        </w:rPr>
      </w:pPr>
      <w:bookmarkStart w:id="22" w:name="_Toc15396602"/>
      <w:bookmarkStart w:id="23" w:name="_Toc15377204"/>
      <w:r>
        <w:rPr>
          <w:rFonts w:hint="eastAsia" w:ascii="黑体" w:hAnsi="黑体" w:eastAsia="黑体"/>
          <w:b w:val="0"/>
          <w:color w:val="000000"/>
        </w:rPr>
        <w:t>第二部分</w:t>
      </w:r>
      <w:r>
        <w:rPr>
          <w:rStyle w:val="25"/>
          <w:rFonts w:hint="eastAsia" w:ascii="黑体" w:hAnsi="黑体" w:eastAsia="黑体"/>
          <w:b w:val="0"/>
          <w:bCs w:val="0"/>
        </w:rPr>
        <w:t>2018年度部门决算情况说明</w:t>
      </w:r>
      <w:bookmarkEnd w:id="22"/>
      <w:bookmarkEnd w:id="23"/>
    </w:p>
    <w:p/>
    <w:p>
      <w:pPr>
        <w:pStyle w:val="24"/>
        <w:numPr>
          <w:ilvl w:val="0"/>
          <w:numId w:val="1"/>
        </w:numPr>
        <w:spacing w:line="600" w:lineRule="exact"/>
        <w:ind w:firstLineChars="0"/>
        <w:outlineLvl w:val="1"/>
        <w:rPr>
          <w:rStyle w:val="26"/>
          <w:rFonts w:ascii="黑体" w:hAnsi="黑体" w:eastAsia="黑体"/>
          <w:b w:val="0"/>
        </w:rPr>
      </w:pPr>
      <w:bookmarkStart w:id="24" w:name="_Toc15377205"/>
      <w:bookmarkStart w:id="25" w:name="_Toc15396603"/>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24"/>
      <w:bookmarkEnd w:id="25"/>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2018年度收、支总计1901.78万元。与2017年相比，收、支总计各增加618.76万元，增长32.53</w:t>
      </w:r>
      <w:r>
        <w:rPr>
          <w:rFonts w:ascii="仿宋" w:hAnsi="仿宋" w:eastAsia="仿宋"/>
          <w:color w:val="000000"/>
          <w:sz w:val="32"/>
          <w:szCs w:val="32"/>
        </w:rPr>
        <w:t>%</w:t>
      </w:r>
      <w:r>
        <w:rPr>
          <w:rFonts w:hint="eastAsia" w:ascii="仿宋" w:hAnsi="仿宋" w:eastAsia="仿宋"/>
          <w:color w:val="000000"/>
          <w:sz w:val="32"/>
          <w:szCs w:val="32"/>
        </w:rPr>
        <w:t>。主要变动原因是2018年包含政府基金613万元。</w:t>
      </w:r>
    </w:p>
    <w:p>
      <w:pPr>
        <w:pStyle w:val="24"/>
        <w:numPr>
          <w:ilvl w:val="0"/>
          <w:numId w:val="1"/>
        </w:numPr>
        <w:spacing w:line="600" w:lineRule="exact"/>
        <w:ind w:firstLineChars="0"/>
        <w:outlineLvl w:val="1"/>
        <w:rPr>
          <w:rStyle w:val="26"/>
          <w:rFonts w:ascii="黑体" w:hAnsi="黑体" w:eastAsia="黑体"/>
          <w:b w:val="0"/>
        </w:rPr>
      </w:pPr>
      <w:bookmarkStart w:id="26" w:name="_Toc15396604"/>
      <w:bookmarkStart w:id="27" w:name="_Toc15377206"/>
      <w:r>
        <w:rPr>
          <w:rFonts w:hint="eastAsia" w:ascii="黑体" w:hAnsi="黑体" w:eastAsia="黑体"/>
          <w:color w:val="000000"/>
          <w:sz w:val="32"/>
          <w:szCs w:val="32"/>
        </w:rPr>
        <w:t>收</w:t>
      </w:r>
      <w:r>
        <w:rPr>
          <w:rStyle w:val="26"/>
          <w:rFonts w:hint="eastAsia" w:ascii="黑体" w:hAnsi="黑体" w:eastAsia="黑体"/>
          <w:b w:val="0"/>
        </w:rPr>
        <w:t>入决算情况说明</w:t>
      </w:r>
      <w:bookmarkEnd w:id="26"/>
      <w:bookmarkEnd w:id="27"/>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8年本年收入合计1934.63万元，其中：一般公共预算财政拨款收入1288.78万元，占66.61</w:t>
      </w:r>
      <w:r>
        <w:rPr>
          <w:rFonts w:ascii="仿宋" w:hAnsi="仿宋" w:eastAsia="仿宋"/>
          <w:color w:val="000000"/>
          <w:sz w:val="32"/>
          <w:szCs w:val="32"/>
        </w:rPr>
        <w:t>%</w:t>
      </w:r>
      <w:r>
        <w:rPr>
          <w:rFonts w:hint="eastAsia" w:ascii="仿宋" w:hAnsi="仿宋" w:eastAsia="仿宋"/>
          <w:color w:val="000000"/>
          <w:sz w:val="32"/>
          <w:szCs w:val="32"/>
        </w:rPr>
        <w:t>；政府性基金预算财政拨款收入613万元，占31.68</w:t>
      </w:r>
      <w:r>
        <w:rPr>
          <w:rFonts w:ascii="仿宋" w:hAnsi="仿宋" w:eastAsia="仿宋"/>
          <w:color w:val="000000"/>
          <w:sz w:val="32"/>
          <w:szCs w:val="32"/>
        </w:rPr>
        <w:t>%</w:t>
      </w:r>
      <w:r>
        <w:rPr>
          <w:rFonts w:hint="eastAsia" w:ascii="仿宋" w:hAnsi="仿宋" w:eastAsia="仿宋"/>
          <w:color w:val="000000"/>
          <w:sz w:val="32"/>
          <w:szCs w:val="32"/>
        </w:rPr>
        <w:t>；国有资本经营预算财政拨款收入0万元，占0</w:t>
      </w:r>
      <w:r>
        <w:rPr>
          <w:rFonts w:ascii="仿宋" w:hAnsi="仿宋" w:eastAsia="仿宋"/>
          <w:color w:val="000000"/>
          <w:sz w:val="32"/>
          <w:szCs w:val="32"/>
        </w:rPr>
        <w:t>%</w:t>
      </w:r>
      <w:r>
        <w:rPr>
          <w:rFonts w:hint="eastAsia" w:ascii="仿宋" w:hAnsi="仿宋" w:eastAsia="仿宋"/>
          <w:color w:val="000000"/>
          <w:sz w:val="32"/>
          <w:szCs w:val="32"/>
        </w:rPr>
        <w:t>；事业收入0万元，占0</w:t>
      </w:r>
      <w:r>
        <w:rPr>
          <w:rFonts w:ascii="仿宋" w:hAnsi="仿宋" w:eastAsia="仿宋"/>
          <w:color w:val="000000"/>
          <w:sz w:val="32"/>
          <w:szCs w:val="32"/>
        </w:rPr>
        <w:t>%</w:t>
      </w:r>
      <w:r>
        <w:rPr>
          <w:rFonts w:hint="eastAsia" w:ascii="仿宋" w:hAnsi="仿宋" w:eastAsia="仿宋"/>
          <w:color w:val="000000"/>
          <w:sz w:val="32"/>
          <w:szCs w:val="32"/>
        </w:rPr>
        <w:t>；经营收入0万元，占0</w:t>
      </w:r>
      <w:r>
        <w:rPr>
          <w:rFonts w:ascii="仿宋" w:hAnsi="仿宋" w:eastAsia="仿宋"/>
          <w:color w:val="000000"/>
          <w:sz w:val="32"/>
          <w:szCs w:val="32"/>
        </w:rPr>
        <w:t>%</w:t>
      </w:r>
      <w:r>
        <w:rPr>
          <w:rFonts w:hint="eastAsia" w:ascii="仿宋" w:hAnsi="仿宋" w:eastAsia="仿宋"/>
          <w:color w:val="000000"/>
          <w:sz w:val="32"/>
          <w:szCs w:val="32"/>
        </w:rPr>
        <w:t>；附属单位上缴收入0万元，占0</w:t>
      </w:r>
      <w:r>
        <w:rPr>
          <w:rFonts w:ascii="仿宋" w:hAnsi="仿宋" w:eastAsia="仿宋"/>
          <w:color w:val="000000"/>
          <w:sz w:val="32"/>
          <w:szCs w:val="32"/>
        </w:rPr>
        <w:t>%</w:t>
      </w:r>
      <w:r>
        <w:rPr>
          <w:rFonts w:hint="eastAsia" w:ascii="仿宋" w:hAnsi="仿宋" w:eastAsia="仿宋"/>
          <w:color w:val="000000"/>
          <w:sz w:val="32"/>
          <w:szCs w:val="32"/>
        </w:rPr>
        <w:t>；其他收入32.85万元，占1.71</w:t>
      </w:r>
      <w:r>
        <w:rPr>
          <w:rFonts w:ascii="仿宋" w:hAnsi="仿宋" w:eastAsia="仿宋"/>
          <w:color w:val="000000"/>
          <w:sz w:val="32"/>
          <w:szCs w:val="32"/>
        </w:rPr>
        <w:t>%</w:t>
      </w:r>
      <w:r>
        <w:rPr>
          <w:rFonts w:hint="eastAsia" w:ascii="仿宋" w:hAnsi="仿宋" w:eastAsia="仿宋"/>
          <w:color w:val="000000"/>
          <w:sz w:val="32"/>
          <w:szCs w:val="32"/>
        </w:rPr>
        <w:t>。</w:t>
      </w:r>
    </w:p>
    <w:p>
      <w:pPr>
        <w:pStyle w:val="24"/>
        <w:numPr>
          <w:ilvl w:val="0"/>
          <w:numId w:val="1"/>
        </w:numPr>
        <w:spacing w:line="600" w:lineRule="exact"/>
        <w:ind w:firstLineChars="0"/>
        <w:outlineLvl w:val="1"/>
        <w:rPr>
          <w:rStyle w:val="26"/>
          <w:rFonts w:ascii="黑体" w:hAnsi="黑体" w:eastAsia="黑体"/>
          <w:b w:val="0"/>
        </w:rPr>
      </w:pPr>
      <w:bookmarkStart w:id="28" w:name="_Toc15396605"/>
      <w:bookmarkStart w:id="29" w:name="_Toc15377207"/>
      <w:r>
        <w:rPr>
          <w:rFonts w:hint="eastAsia" w:ascii="黑体" w:hAnsi="黑体" w:eastAsia="黑体"/>
          <w:color w:val="000000"/>
          <w:sz w:val="32"/>
          <w:szCs w:val="32"/>
        </w:rPr>
        <w:t>支</w:t>
      </w:r>
      <w:r>
        <w:rPr>
          <w:rStyle w:val="26"/>
          <w:rFonts w:hint="eastAsia" w:ascii="黑体" w:hAnsi="黑体" w:eastAsia="黑体"/>
          <w:b w:val="0"/>
        </w:rPr>
        <w:t>出决算情况说明</w:t>
      </w:r>
      <w:bookmarkEnd w:id="28"/>
      <w:bookmarkEnd w:id="29"/>
    </w:p>
    <w:p>
      <w:pPr>
        <w:spacing w:line="600" w:lineRule="exact"/>
        <w:ind w:firstLine="640"/>
        <w:rPr>
          <w:rFonts w:ascii="仿宋" w:hAnsi="仿宋" w:eastAsia="仿宋"/>
          <w:color w:val="000000"/>
          <w:sz w:val="32"/>
          <w:szCs w:val="32"/>
          <w:shd w:val="pct10" w:color="auto" w:fill="FFFFFF"/>
        </w:rPr>
      </w:pPr>
      <w:r>
        <w:rPr>
          <w:rFonts w:ascii="仿宋" w:hAnsi="仿宋" w:eastAsia="仿宋"/>
          <w:color w:val="000000"/>
          <w:sz w:val="32"/>
          <w:szCs w:val="32"/>
        </w:rPr>
        <w:t>201</w:t>
      </w:r>
      <w:r>
        <w:rPr>
          <w:rFonts w:hint="eastAsia" w:ascii="仿宋" w:hAnsi="仿宋" w:eastAsia="仿宋"/>
          <w:color w:val="000000"/>
          <w:sz w:val="32"/>
          <w:szCs w:val="32"/>
        </w:rPr>
        <w:t>8年本年支出合计1659.65万元，其中：基本支出828.27万元，占49.91</w:t>
      </w:r>
      <w:r>
        <w:rPr>
          <w:rFonts w:ascii="仿宋" w:hAnsi="仿宋" w:eastAsia="仿宋"/>
          <w:color w:val="000000"/>
          <w:sz w:val="32"/>
          <w:szCs w:val="32"/>
        </w:rPr>
        <w:t>%</w:t>
      </w:r>
      <w:r>
        <w:rPr>
          <w:rFonts w:hint="eastAsia" w:ascii="仿宋" w:hAnsi="仿宋" w:eastAsia="仿宋"/>
          <w:color w:val="000000"/>
          <w:sz w:val="32"/>
          <w:szCs w:val="32"/>
        </w:rPr>
        <w:t>；项目支出831.38万元，占50.09</w:t>
      </w:r>
      <w:r>
        <w:rPr>
          <w:rFonts w:ascii="仿宋" w:hAnsi="仿宋" w:eastAsia="仿宋"/>
          <w:color w:val="000000"/>
          <w:sz w:val="32"/>
          <w:szCs w:val="32"/>
        </w:rPr>
        <w:t>%</w:t>
      </w:r>
      <w:r>
        <w:rPr>
          <w:rFonts w:hint="eastAsia" w:ascii="仿宋" w:hAnsi="仿宋" w:eastAsia="仿宋"/>
          <w:color w:val="000000"/>
          <w:sz w:val="32"/>
          <w:szCs w:val="32"/>
        </w:rPr>
        <w:t>；上缴上级支出0万元，占0</w:t>
      </w:r>
      <w:r>
        <w:rPr>
          <w:rFonts w:ascii="仿宋" w:hAnsi="仿宋" w:eastAsia="仿宋"/>
          <w:color w:val="000000"/>
          <w:sz w:val="32"/>
          <w:szCs w:val="32"/>
        </w:rPr>
        <w:t>%</w:t>
      </w:r>
      <w:r>
        <w:rPr>
          <w:rFonts w:hint="eastAsia" w:ascii="仿宋" w:hAnsi="仿宋" w:eastAsia="仿宋"/>
          <w:color w:val="000000"/>
          <w:sz w:val="32"/>
          <w:szCs w:val="32"/>
        </w:rPr>
        <w:t>；经营支出0万元，占0</w:t>
      </w:r>
      <w:r>
        <w:rPr>
          <w:rFonts w:ascii="仿宋" w:hAnsi="仿宋" w:eastAsia="仿宋"/>
          <w:color w:val="000000"/>
          <w:sz w:val="32"/>
          <w:szCs w:val="32"/>
        </w:rPr>
        <w:t>%</w:t>
      </w:r>
      <w:r>
        <w:rPr>
          <w:rFonts w:hint="eastAsia" w:ascii="仿宋" w:hAnsi="仿宋" w:eastAsia="仿宋"/>
          <w:color w:val="000000"/>
          <w:sz w:val="32"/>
          <w:szCs w:val="32"/>
        </w:rPr>
        <w:t>；对附属单位补助支出0万元，占0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outlineLvl w:val="1"/>
        <w:rPr>
          <w:rStyle w:val="26"/>
          <w:rFonts w:ascii="黑体" w:hAnsi="黑体" w:eastAsia="黑体"/>
          <w:b w:val="0"/>
        </w:rPr>
      </w:pPr>
      <w:bookmarkStart w:id="30" w:name="_Toc15396606"/>
      <w:bookmarkStart w:id="31" w:name="_Toc15377208"/>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30"/>
      <w:bookmarkEnd w:id="31"/>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sz w:val="32"/>
          <w:szCs w:val="32"/>
        </w:rPr>
        <w:t>201</w:t>
      </w:r>
      <w:r>
        <w:rPr>
          <w:rFonts w:hint="eastAsia" w:ascii="仿宋" w:hAnsi="仿宋" w:eastAsia="仿宋"/>
          <w:color w:val="000000"/>
          <w:sz w:val="32"/>
          <w:szCs w:val="32"/>
        </w:rPr>
        <w:t>8年财政拨款收、支总计1901.78万元。与</w:t>
      </w:r>
      <w:r>
        <w:rPr>
          <w:rFonts w:ascii="仿宋" w:hAnsi="仿宋" w:eastAsia="仿宋"/>
          <w:color w:val="000000"/>
          <w:sz w:val="32"/>
          <w:szCs w:val="32"/>
        </w:rPr>
        <w:t>201</w:t>
      </w:r>
      <w:r>
        <w:rPr>
          <w:rFonts w:hint="eastAsia" w:ascii="仿宋" w:hAnsi="仿宋" w:eastAsia="仿宋"/>
          <w:color w:val="000000"/>
          <w:sz w:val="32"/>
          <w:szCs w:val="32"/>
        </w:rPr>
        <w:t>7年相比，财政拨款收、支总计各增加618.76万元，增长32.53</w:t>
      </w:r>
      <w:r>
        <w:rPr>
          <w:rFonts w:ascii="仿宋" w:hAnsi="仿宋" w:eastAsia="仿宋"/>
          <w:color w:val="000000"/>
          <w:sz w:val="32"/>
          <w:szCs w:val="32"/>
        </w:rPr>
        <w:t>%</w:t>
      </w:r>
      <w:r>
        <w:rPr>
          <w:rFonts w:hint="eastAsia" w:ascii="仿宋" w:hAnsi="仿宋" w:eastAsia="仿宋"/>
          <w:color w:val="000000"/>
          <w:sz w:val="32"/>
          <w:szCs w:val="32"/>
        </w:rPr>
        <w:t>。主要变动原因是2018年包含政府基金613万元。</w:t>
      </w:r>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（除国有资本经营预算外，数据来源于财决</w:t>
      </w:r>
      <w:r>
        <w:rPr>
          <w:rFonts w:ascii="仿宋" w:hAnsi="仿宋" w:eastAsia="仿宋"/>
          <w:b/>
          <w:color w:val="000000" w:themeColor="text1"/>
          <w:sz w:val="32"/>
          <w:szCs w:val="32"/>
          <w14:textFill>
            <w14:solidFill>
              <w14:schemeClr w14:val="tx1"/>
            </w14:solidFill>
          </w14:textFill>
        </w:rPr>
        <w:t>Z01-1</w:t>
      </w:r>
      <w:r>
        <w:rPr>
          <w:rFonts w:hint="eastAsia" w:ascii="仿宋" w:hAnsi="仿宋" w:eastAsia="仿宋"/>
          <w:b/>
          <w:color w:val="000000" w:themeColor="text1"/>
          <w:sz w:val="32"/>
          <w:szCs w:val="32"/>
          <w14:textFill>
            <w14:solidFill>
              <w14:schemeClr w14:val="tx1"/>
            </w14:solidFill>
          </w14:textFill>
        </w:rPr>
        <w:t>表，口径为“总计”数+国有资本经营预算。）</w:t>
      </w:r>
    </w:p>
    <w:p>
      <w:pPr>
        <w:spacing w:line="600" w:lineRule="exact"/>
        <w:ind w:firstLine="640" w:firstLineChars="200"/>
        <w:outlineLvl w:val="1"/>
        <w:rPr>
          <w:rStyle w:val="26"/>
          <w:rFonts w:ascii="黑体" w:hAnsi="黑体" w:eastAsia="黑体"/>
          <w:b w:val="0"/>
        </w:rPr>
      </w:pPr>
      <w:bookmarkStart w:id="32" w:name="_Toc15396607"/>
      <w:bookmarkStart w:id="33" w:name="_Toc15377209"/>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32"/>
      <w:bookmarkEnd w:id="33"/>
    </w:p>
    <w:p>
      <w:pPr>
        <w:spacing w:line="600" w:lineRule="exact"/>
        <w:ind w:firstLine="643"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8年一般公共预算财政拨款支出1627.59万元，占本年支出合计的98.06</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7年相比，一般公共预算财政拨款增加412.33万元，增长25.33</w:t>
      </w:r>
      <w:r>
        <w:rPr>
          <w:rFonts w:ascii="仿宋" w:hAnsi="仿宋" w:eastAsia="仿宋"/>
          <w:color w:val="000000"/>
          <w:sz w:val="32"/>
          <w:szCs w:val="32"/>
        </w:rPr>
        <w:t>%</w:t>
      </w:r>
      <w:r>
        <w:rPr>
          <w:rFonts w:hint="eastAsia" w:ascii="仿宋" w:hAnsi="仿宋" w:eastAsia="仿宋"/>
          <w:color w:val="000000"/>
          <w:sz w:val="32"/>
          <w:szCs w:val="32"/>
        </w:rPr>
        <w:t>。主要变动原因是包含2018年政府基金支出330.81万元及其他基本支出、项目支出。</w:t>
      </w:r>
    </w:p>
    <w:p>
      <w:pPr>
        <w:spacing w:line="600" w:lineRule="exact"/>
        <w:ind w:firstLine="643" w:firstLineChars="200"/>
        <w:outlineLvl w:val="2"/>
        <w:rPr>
          <w:rFonts w:ascii="仿宋" w:hAnsi="仿宋" w:eastAsia="仿宋"/>
          <w:b/>
          <w:color w:val="000000"/>
          <w:sz w:val="32"/>
          <w:szCs w:val="32"/>
        </w:rPr>
      </w:pPr>
      <w:bookmarkStart w:id="35" w:name="_Toc15377211"/>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8年一般公共预算财</w:t>
      </w:r>
      <w:r>
        <w:rPr>
          <w:rFonts w:hint="eastAsia" w:ascii="仿宋" w:hAnsi="仿宋" w:eastAsia="仿宋"/>
          <w:color w:val="000000" w:themeColor="text1"/>
          <w:sz w:val="32"/>
          <w:szCs w:val="32"/>
          <w14:textFill>
            <w14:solidFill>
              <w14:schemeClr w14:val="tx1"/>
            </w14:solidFill>
          </w14:textFill>
        </w:rPr>
        <w:t>政拨款支出1627.59万元，主要用于以下方面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一般公共服务（类）</w:t>
      </w:r>
      <w:r>
        <w:rPr>
          <w:rFonts w:hint="eastAsia" w:ascii="仿宋" w:hAnsi="仿宋" w:eastAsia="仿宋"/>
          <w:color w:val="000000" w:themeColor="text1"/>
          <w:sz w:val="32"/>
          <w:szCs w:val="32"/>
          <w14:textFill>
            <w14:solidFill>
              <w14:schemeClr w14:val="tx1"/>
            </w14:solidFill>
          </w14:textFill>
        </w:rPr>
        <w:t>支出458.44万元，占28.17</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教育支出（类）</w:t>
      </w:r>
      <w:r>
        <w:rPr>
          <w:rFonts w:hint="eastAsia" w:ascii="仿宋" w:hAnsi="仿宋" w:eastAsia="仿宋"/>
          <w:color w:val="000000" w:themeColor="text1"/>
          <w:sz w:val="32"/>
          <w:szCs w:val="32"/>
          <w14:textFill>
            <w14:solidFill>
              <w14:schemeClr w14:val="tx1"/>
            </w14:solidFill>
          </w14:textFill>
        </w:rPr>
        <w:t>31.22万元，占0.02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社会保障和就业（类）</w:t>
      </w:r>
      <w:r>
        <w:rPr>
          <w:rFonts w:hint="eastAsia" w:ascii="仿宋" w:hAnsi="仿宋" w:eastAsia="仿宋"/>
          <w:color w:val="000000" w:themeColor="text1"/>
          <w:sz w:val="32"/>
          <w:szCs w:val="32"/>
          <w14:textFill>
            <w14:solidFill>
              <w14:schemeClr w14:val="tx1"/>
            </w14:solidFill>
          </w14:textFill>
        </w:rPr>
        <w:t>支出401.74万元，占24.68</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；医疗卫生支出9.76万元，占0.01</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；城乡社区支出14.33万元，占0.01%；农林水支出322.21万元，占19.80%住房保障支出59.08万元，占0.04</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；城乡社区支出（基金）330.81万元，占20.33%。</w:t>
      </w:r>
    </w:p>
    <w:p>
      <w:pPr>
        <w:spacing w:line="600" w:lineRule="exact"/>
        <w:ind w:firstLine="643"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3" w:firstLineChars="200"/>
        <w:outlineLvl w:val="2"/>
        <w:rPr>
          <w:rFonts w:ascii="仿宋" w:hAnsi="仿宋" w:eastAsia="仿宋"/>
          <w:color w:val="FF0000"/>
          <w:sz w:val="32"/>
          <w:szCs w:val="32"/>
        </w:rPr>
      </w:pPr>
      <w:bookmarkStart w:id="37" w:name="_Toc15378460"/>
      <w:bookmarkStart w:id="38" w:name="_Toc15377213"/>
      <w:bookmarkStart w:id="39" w:name="_Toc15377444"/>
      <w:r>
        <w:rPr>
          <w:rFonts w:hint="eastAsia" w:ascii="仿宋" w:hAnsi="仿宋" w:eastAsia="仿宋"/>
          <w:b/>
          <w:color w:val="000000" w:themeColor="text1"/>
          <w:sz w:val="32"/>
          <w:szCs w:val="32"/>
          <w14:textFill>
            <w14:solidFill>
              <w14:schemeClr w14:val="tx1"/>
            </w14:solidFill>
          </w14:textFill>
        </w:rPr>
        <w:t>2018年般公共预算支出决算数为1296.78万元</w:t>
      </w:r>
      <w:r>
        <w:rPr>
          <w:rFonts w:hint="eastAsia" w:ascii="仿宋" w:hAnsi="仿宋" w:eastAsia="仿宋"/>
          <w:color w:val="000000" w:themeColor="text1"/>
          <w:sz w:val="32"/>
          <w:szCs w:val="32"/>
          <w14:textFill>
            <w14:solidFill>
              <w14:schemeClr w14:val="tx1"/>
            </w14:solidFill>
          </w14:textFill>
        </w:rPr>
        <w:t>，</w:t>
      </w:r>
      <w:r>
        <w:rPr>
          <w:rStyle w:val="15"/>
          <w:rFonts w:hint="eastAsia" w:ascii="仿宋" w:hAnsi="仿宋" w:eastAsia="仿宋"/>
          <w:bCs/>
          <w:color w:val="000000" w:themeColor="text1"/>
          <w:sz w:val="32"/>
          <w:szCs w:val="32"/>
          <w14:textFill>
            <w14:solidFill>
              <w14:schemeClr w14:val="tx1"/>
            </w14:solidFill>
          </w14:textFill>
        </w:rPr>
        <w:t>完成</w:t>
      </w:r>
      <w:r>
        <w:rPr>
          <w:rStyle w:val="15"/>
          <w:rFonts w:hint="eastAsia" w:ascii="仿宋" w:hAnsi="仿宋" w:eastAsia="仿宋"/>
          <w:bCs/>
          <w:color w:val="000000"/>
          <w:sz w:val="32"/>
          <w:szCs w:val="32"/>
        </w:rPr>
        <w:t>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37"/>
      <w:bookmarkEnd w:id="38"/>
      <w:bookmarkEnd w:id="39"/>
    </w:p>
    <w:p>
      <w:pPr>
        <w:spacing w:line="600" w:lineRule="exact"/>
        <w:ind w:firstLine="643" w:firstLineChars="200"/>
        <w:rPr>
          <w:rStyle w:val="15"/>
          <w:rFonts w:ascii="仿宋" w:hAnsi="仿宋" w:eastAsia="仿宋"/>
          <w:bCs/>
          <w:color w:val="000000"/>
          <w:sz w:val="32"/>
          <w:szCs w:val="32"/>
        </w:rPr>
      </w:pPr>
      <w:r>
        <w:rPr>
          <w:rStyle w:val="15"/>
          <w:rFonts w:ascii="仿宋" w:hAnsi="仿宋" w:eastAsia="仿宋"/>
          <w:bCs/>
          <w:color w:val="000000"/>
          <w:sz w:val="32"/>
          <w:szCs w:val="32"/>
        </w:rPr>
        <w:t>1.</w:t>
      </w:r>
      <w:r>
        <w:rPr>
          <w:rStyle w:val="15"/>
          <w:rFonts w:hint="eastAsia" w:ascii="仿宋" w:hAnsi="仿宋" w:eastAsia="仿宋"/>
          <w:bCs/>
          <w:color w:val="000000"/>
          <w:sz w:val="32"/>
          <w:szCs w:val="32"/>
        </w:rPr>
        <w:t>一般公共服务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2010101人大行政运行</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支出决算为12.50万元，完成预算100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2010104人大会议：支出决算为0.38万元，完成预算100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Fonts w:hint="eastAsia" w:ascii="仿宋" w:hAnsi="仿宋" w:eastAsia="仿宋"/>
          <w:color w:val="000000"/>
          <w:sz w:val="32"/>
          <w:szCs w:val="32"/>
        </w:rPr>
        <w:t>2010301政府行政运行：</w:t>
      </w:r>
      <w:r>
        <w:rPr>
          <w:rStyle w:val="15"/>
          <w:rFonts w:hint="eastAsia" w:ascii="仿宋" w:hAnsi="仿宋" w:eastAsia="仿宋"/>
          <w:b w:val="0"/>
          <w:bCs/>
          <w:color w:val="000000"/>
          <w:sz w:val="32"/>
          <w:szCs w:val="32"/>
        </w:rPr>
        <w:t>支出决算为374.77万元，完成预算100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Fonts w:hint="eastAsia" w:ascii="仿宋" w:hAnsi="仿宋" w:eastAsia="仿宋"/>
          <w:color w:val="000000"/>
          <w:sz w:val="32"/>
          <w:szCs w:val="32"/>
        </w:rPr>
        <w:t>2010302政府一般行政管理事务：</w:t>
      </w:r>
      <w:r>
        <w:rPr>
          <w:rStyle w:val="15"/>
          <w:rFonts w:hint="eastAsia" w:ascii="仿宋" w:hAnsi="仿宋" w:eastAsia="仿宋"/>
          <w:b w:val="0"/>
          <w:bCs/>
          <w:color w:val="000000"/>
          <w:sz w:val="32"/>
          <w:szCs w:val="32"/>
        </w:rPr>
        <w:t>支出决算为0.29万元，完成预算100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Fonts w:hint="eastAsia" w:ascii="仿宋" w:hAnsi="仿宋" w:eastAsia="仿宋"/>
          <w:color w:val="000000"/>
          <w:sz w:val="32"/>
          <w:szCs w:val="32"/>
        </w:rPr>
        <w:t>2010350政府事业运行：</w:t>
      </w:r>
      <w:r>
        <w:rPr>
          <w:rStyle w:val="15"/>
          <w:rFonts w:hint="eastAsia" w:ascii="仿宋" w:hAnsi="仿宋" w:eastAsia="仿宋"/>
          <w:b w:val="0"/>
          <w:bCs/>
          <w:color w:val="000000"/>
          <w:sz w:val="32"/>
          <w:szCs w:val="32"/>
        </w:rPr>
        <w:t>支出决算为22.95万元，完成预算100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Fonts w:hint="eastAsia" w:ascii="仿宋" w:hAnsi="仿宋" w:eastAsia="仿宋"/>
          <w:color w:val="000000"/>
          <w:sz w:val="32"/>
          <w:szCs w:val="32"/>
        </w:rPr>
        <w:t>2010602财政一般行政管理事务：</w:t>
      </w:r>
      <w:r>
        <w:rPr>
          <w:rStyle w:val="15"/>
          <w:rFonts w:hint="eastAsia" w:ascii="仿宋" w:hAnsi="仿宋" w:eastAsia="仿宋"/>
          <w:b w:val="0"/>
          <w:bCs/>
          <w:color w:val="000000"/>
          <w:sz w:val="32"/>
          <w:szCs w:val="32"/>
        </w:rPr>
        <w:t>支出决算为1.54万元，完成预算100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2010650财政事业运行:支出决算为10.75万元，完成预算100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2012399其他民族事务支出:支出决算为1.4万元，完成预算100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2012901群团行政运行:支出决算为9.89万元，完成预算100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Fonts w:ascii="仿宋" w:hAnsi="仿宋" w:eastAsia="仿宋"/>
          <w:bCs/>
          <w:color w:val="000000"/>
          <w:sz w:val="32"/>
          <w:szCs w:val="32"/>
        </w:rPr>
      </w:pPr>
      <w:r>
        <w:rPr>
          <w:rStyle w:val="15"/>
          <w:rFonts w:hint="eastAsia" w:ascii="仿宋" w:hAnsi="仿宋" w:eastAsia="仿宋"/>
          <w:b w:val="0"/>
          <w:bCs/>
          <w:color w:val="000000"/>
          <w:sz w:val="32"/>
          <w:szCs w:val="32"/>
        </w:rPr>
        <w:t>2013101党委行政运行:支出决算为23.97万元，完成预算100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2</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文化体育与传媒</w:t>
      </w:r>
    </w:p>
    <w:p>
      <w:pPr>
        <w:spacing w:line="600" w:lineRule="exact"/>
        <w:ind w:firstLine="640" w:firstLineChars="200"/>
        <w:rPr>
          <w:rFonts w:ascii="仿宋" w:hAnsi="仿宋" w:eastAsia="仿宋"/>
          <w:bCs/>
          <w:color w:val="000000"/>
          <w:sz w:val="32"/>
          <w:szCs w:val="32"/>
        </w:rPr>
      </w:pPr>
      <w:r>
        <w:rPr>
          <w:rStyle w:val="15"/>
          <w:rFonts w:hint="eastAsia" w:ascii="仿宋" w:hAnsi="仿宋" w:eastAsia="仿宋"/>
          <w:b w:val="0"/>
          <w:bCs/>
          <w:color w:val="000000"/>
          <w:sz w:val="32"/>
          <w:szCs w:val="32"/>
        </w:rPr>
        <w:t>2070109群众文化</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支出决算为31.22万元，完成预算100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3</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社会保障和就业</w:t>
      </w:r>
    </w:p>
    <w:p>
      <w:pPr>
        <w:spacing w:line="600" w:lineRule="exact"/>
        <w:ind w:firstLine="643" w:firstLineChars="200"/>
        <w:rPr>
          <w:rStyle w:val="15"/>
          <w:rFonts w:ascii="仿宋" w:hAnsi="仿宋" w:eastAsia="仿宋"/>
          <w:b w:val="0"/>
          <w:bCs/>
          <w:color w:val="000000"/>
          <w:sz w:val="32"/>
          <w:szCs w:val="32"/>
        </w:rPr>
      </w:pPr>
      <w:r>
        <w:rPr>
          <w:rStyle w:val="15"/>
          <w:rFonts w:hint="eastAsia" w:ascii="仿宋" w:hAnsi="仿宋" w:eastAsia="仿宋"/>
          <w:bCs/>
          <w:color w:val="000000"/>
          <w:sz w:val="32"/>
          <w:szCs w:val="32"/>
        </w:rPr>
        <w:t>2080109社会保险经办机构：</w:t>
      </w:r>
      <w:r>
        <w:rPr>
          <w:rStyle w:val="15"/>
          <w:rFonts w:hint="eastAsia" w:ascii="仿宋" w:hAnsi="仿宋" w:eastAsia="仿宋"/>
          <w:b w:val="0"/>
          <w:bCs/>
          <w:color w:val="000000"/>
          <w:sz w:val="32"/>
          <w:szCs w:val="32"/>
        </w:rPr>
        <w:t>支出决算为21.90万元，完成预算100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2080208基层政权和社区建设:支出决算为228.44万元，完成预算100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2080504未归口管理的行政单位离退休：支出决算为12.59万元，完成预算100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2080505机关事业单位基本养老保险缴费支出：支出决算为61.45万元，完成预算100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2080801死亡抚恤：支出决算为37.89万元，完成预算100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2081501中央自然灾害生活补助：支出决算为8万元，完成预算100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Fonts w:ascii="仿宋" w:hAnsi="仿宋" w:eastAsia="仿宋"/>
          <w:bCs/>
          <w:color w:val="000000"/>
          <w:sz w:val="32"/>
          <w:szCs w:val="32"/>
        </w:rPr>
      </w:pPr>
      <w:r>
        <w:rPr>
          <w:rStyle w:val="15"/>
          <w:rFonts w:hint="eastAsia" w:ascii="仿宋" w:hAnsi="仿宋" w:eastAsia="仿宋"/>
          <w:b w:val="0"/>
          <w:bCs/>
          <w:color w:val="000000"/>
          <w:sz w:val="32"/>
          <w:szCs w:val="32"/>
        </w:rPr>
        <w:t>2082102农村特困人员救助供养支出：支出决算为31.47万元，完成预算100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4</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医疗卫生与计划生育</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2100799其他计划生育事务支出</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 xml:space="preserve"> 支出决算为9.76万元，完成预算100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2120501城乡社区环境卫生</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支出决算为14.34万元，完成预算100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5</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农林水支出</w:t>
      </w:r>
    </w:p>
    <w:p>
      <w:pPr>
        <w:spacing w:line="600" w:lineRule="exact"/>
        <w:ind w:firstLine="640" w:firstLineChars="200"/>
        <w:rPr>
          <w:rStyle w:val="15"/>
          <w:rFonts w:ascii="仿宋" w:hAnsi="仿宋" w:eastAsia="仿宋"/>
          <w:b w:val="0"/>
          <w:bCs/>
          <w:color w:val="000000"/>
          <w:sz w:val="32"/>
          <w:szCs w:val="32"/>
        </w:rPr>
      </w:pPr>
      <w:r>
        <w:rPr>
          <w:rFonts w:hint="eastAsia" w:ascii="仿宋" w:hAnsi="仿宋" w:eastAsia="仿宋"/>
          <w:bCs/>
          <w:color w:val="000000"/>
          <w:sz w:val="32"/>
          <w:szCs w:val="32"/>
        </w:rPr>
        <w:t>2130104农业事业运行：</w:t>
      </w:r>
      <w:r>
        <w:rPr>
          <w:rStyle w:val="15"/>
          <w:rFonts w:hint="eastAsia" w:ascii="仿宋" w:hAnsi="仿宋" w:eastAsia="仿宋"/>
          <w:b w:val="0"/>
          <w:bCs/>
          <w:color w:val="000000"/>
          <w:sz w:val="32"/>
          <w:szCs w:val="32"/>
        </w:rPr>
        <w:t>支出决算为51.82万元，完成预算100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Fonts w:hint="eastAsia" w:ascii="仿宋" w:hAnsi="仿宋" w:eastAsia="仿宋"/>
          <w:bCs/>
          <w:color w:val="000000"/>
          <w:sz w:val="32"/>
          <w:szCs w:val="32"/>
        </w:rPr>
        <w:t>2130234林业防灾减灾：</w:t>
      </w:r>
      <w:r>
        <w:rPr>
          <w:rStyle w:val="15"/>
          <w:rFonts w:hint="eastAsia" w:ascii="仿宋" w:hAnsi="仿宋" w:eastAsia="仿宋"/>
          <w:b w:val="0"/>
          <w:bCs/>
          <w:color w:val="000000"/>
          <w:sz w:val="32"/>
          <w:szCs w:val="32"/>
        </w:rPr>
        <w:t>支出决算为3.05万元，完成预算100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2130314防汛： 支出决算为9.99万元，完成预算100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2130399其他水利支出：支出决算为12.31万元，完成预算100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2130701对村级一事一议的补助：支出决算为30.64万元，完成预算100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2130705对村民委员会和村党支部的补助：支出决算为102.79万元，完成预算100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2130706对村集体经济组织的补助：支出决算为110万元，完成预算100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2130799其他农村综合改革支出：支出决算为1.6万元，完成预算100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6</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住房保障支出</w:t>
      </w:r>
    </w:p>
    <w:p>
      <w:pPr>
        <w:spacing w:line="600" w:lineRule="exact"/>
        <w:ind w:firstLine="640" w:firstLineChars="200"/>
        <w:rPr>
          <w:rStyle w:val="15"/>
          <w:rFonts w:ascii="仿宋" w:hAnsi="仿宋" w:eastAsia="仿宋"/>
          <w:b w:val="0"/>
          <w:bCs/>
          <w:color w:val="000000"/>
          <w:sz w:val="32"/>
          <w:szCs w:val="32"/>
        </w:rPr>
      </w:pPr>
      <w:r>
        <w:rPr>
          <w:rStyle w:val="15"/>
          <w:rFonts w:hint="eastAsia" w:ascii="仿宋" w:hAnsi="仿宋" w:eastAsia="仿宋"/>
          <w:b w:val="0"/>
          <w:bCs/>
          <w:color w:val="000000"/>
          <w:sz w:val="32"/>
          <w:szCs w:val="32"/>
        </w:rPr>
        <w:t>2210201住房公积金：支出决算为59.08万元，完成预算100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，决算数等于预算数的主要原因是，收支平衡。</w:t>
      </w:r>
    </w:p>
    <w:p>
      <w:pPr>
        <w:spacing w:line="600" w:lineRule="exact"/>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pPr>
        <w:tabs>
          <w:tab w:val="right" w:pos="8306"/>
        </w:tabs>
        <w:spacing w:line="600" w:lineRule="exact"/>
        <w:ind w:firstLine="640"/>
        <w:outlineLvl w:val="1"/>
        <w:rPr>
          <w:rStyle w:val="26"/>
        </w:rPr>
      </w:pPr>
      <w:bookmarkStart w:id="40" w:name="_Toc15396608"/>
      <w:bookmarkStart w:id="4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40"/>
      <w:bookmarkEnd w:id="41"/>
      <w:r>
        <w:rPr>
          <w:rStyle w:val="26"/>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8年一般公共预算财政拨款基本支出1627.59万元，其中：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909.64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公用经费387.14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（数据来源财决</w:t>
      </w:r>
      <w:r>
        <w:rPr>
          <w:rFonts w:ascii="仿宋" w:hAnsi="仿宋" w:eastAsia="仿宋"/>
          <w:b/>
          <w:color w:val="000000" w:themeColor="text1"/>
          <w:sz w:val="32"/>
          <w:szCs w:val="32"/>
          <w14:textFill>
            <w14:solidFill>
              <w14:schemeClr w14:val="tx1"/>
            </w14:solidFill>
          </w14:textFill>
        </w:rPr>
        <w:t>0</w:t>
      </w:r>
      <w:r>
        <w:rPr>
          <w:rFonts w:hint="eastAsia" w:ascii="仿宋" w:hAnsi="仿宋" w:eastAsia="仿宋"/>
          <w:b/>
          <w:color w:val="000000" w:themeColor="text1"/>
          <w:sz w:val="32"/>
          <w:szCs w:val="32"/>
          <w14:textFill>
            <w14:solidFill>
              <w14:schemeClr w14:val="tx1"/>
            </w14:solidFill>
          </w14:textFill>
        </w:rPr>
        <w:t>7表，根据本部门实际支出情况罗列全部经济分类科目。）</w:t>
      </w:r>
    </w:p>
    <w:p>
      <w:pPr>
        <w:spacing w:line="600" w:lineRule="exact"/>
        <w:ind w:firstLine="640"/>
        <w:outlineLvl w:val="1"/>
        <w:rPr>
          <w:rStyle w:val="26"/>
          <w:rFonts w:ascii="黑体" w:hAnsi="黑体" w:eastAsia="黑体"/>
          <w:b w:val="0"/>
        </w:rPr>
      </w:pPr>
      <w:bookmarkStart w:id="42" w:name="_Toc15396609"/>
      <w:bookmarkStart w:id="43" w:name="_Toc15377215"/>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color w:val="000000"/>
          <w:sz w:val="32"/>
          <w:szCs w:val="32"/>
        </w:rPr>
      </w:pPr>
      <w:bookmarkStart w:id="44" w:name="_Toc15377216"/>
      <w:r>
        <w:rPr>
          <w:rFonts w:hint="eastAsia" w:ascii="仿宋" w:hAnsi="仿宋" w:eastAsia="仿宋"/>
          <w:b/>
          <w:color w:val="000000"/>
          <w:sz w:val="32"/>
          <w:szCs w:val="32"/>
        </w:rPr>
        <w:t>（一）“三公”经费财政拨款支出决算总体情况说明</w:t>
      </w:r>
      <w:bookmarkEnd w:id="44"/>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8年“三公”经费财政拨款支出决算为4.05万元，完成预算100</w:t>
      </w:r>
      <w:r>
        <w:rPr>
          <w:rFonts w:ascii="仿宋" w:hAnsi="仿宋" w:eastAsia="仿宋"/>
          <w:color w:val="000000"/>
          <w:sz w:val="32"/>
          <w:szCs w:val="32"/>
        </w:rPr>
        <w:t>%</w:t>
      </w:r>
      <w:r>
        <w:rPr>
          <w:rFonts w:hint="eastAsia" w:ascii="仿宋" w:hAnsi="仿宋" w:eastAsia="仿宋"/>
          <w:color w:val="000000"/>
          <w:sz w:val="32"/>
          <w:szCs w:val="32"/>
        </w:rPr>
        <w:t>，决算数小于预算数的主要原因是无接待费。</w:t>
      </w:r>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sz w:val="32"/>
          <w:szCs w:val="32"/>
        </w:rPr>
        <w:t>（上述“预算”口径为调整预</w:t>
      </w:r>
      <w:r>
        <w:rPr>
          <w:rFonts w:hint="eastAsia" w:ascii="仿宋" w:hAnsi="仿宋" w:eastAsia="仿宋"/>
          <w:b/>
          <w:color w:val="000000" w:themeColor="text1"/>
          <w:sz w:val="32"/>
          <w:szCs w:val="32"/>
          <w14:textFill>
            <w14:solidFill>
              <w14:schemeClr w14:val="tx1"/>
            </w14:solidFill>
          </w14:textFill>
        </w:rPr>
        <w:t>算数，包括政府性基金支出决算情况。）</w:t>
      </w:r>
    </w:p>
    <w:p>
      <w:pPr>
        <w:spacing w:line="600" w:lineRule="exact"/>
        <w:ind w:firstLine="640"/>
        <w:outlineLvl w:val="2"/>
        <w:rPr>
          <w:rFonts w:ascii="仿宋" w:hAnsi="仿宋" w:eastAsia="仿宋"/>
          <w:b/>
          <w:color w:val="000000"/>
          <w:sz w:val="32"/>
          <w:szCs w:val="32"/>
        </w:rPr>
      </w:pPr>
      <w:bookmarkStart w:id="45" w:name="_Toc15377217"/>
      <w:r>
        <w:rPr>
          <w:rFonts w:hint="eastAsia" w:ascii="仿宋" w:hAnsi="仿宋" w:eastAsia="仿宋"/>
          <w:b/>
          <w:color w:val="000000"/>
          <w:sz w:val="32"/>
          <w:szCs w:val="32"/>
        </w:rPr>
        <w:t>（二）“三公”经费财政拨款支出决算具体情况说明</w:t>
      </w:r>
      <w:bookmarkEnd w:id="45"/>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8年“三公”经费财政拨款支出决算中，因公出国（境）费支出决算0万元，占0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；公务用车购置及运行维护费支出决算4.05万元，占100</w:t>
      </w:r>
      <w:r>
        <w:rPr>
          <w:rFonts w:ascii="仿宋" w:hAnsi="仿宋" w:eastAsia="仿宋"/>
          <w:color w:val="000000"/>
          <w:sz w:val="32"/>
          <w:szCs w:val="32"/>
        </w:rPr>
        <w:t>%</w:t>
      </w:r>
      <w:r>
        <w:rPr>
          <w:rFonts w:hint="eastAsia" w:ascii="仿宋" w:hAnsi="仿宋" w:eastAsia="仿宋"/>
          <w:color w:val="000000"/>
          <w:sz w:val="32"/>
          <w:szCs w:val="32"/>
        </w:rPr>
        <w:t>；公务接待费支出决算0万元，占0</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全年安排因公出国（境）团组0次，出国（境）0人。因公出国（境）支出决算比</w:t>
      </w:r>
      <w:r>
        <w:rPr>
          <w:rFonts w:ascii="仿宋_GB2312" w:eastAsia="仿宋_GB2312"/>
          <w:color w:val="000000"/>
          <w:sz w:val="32"/>
          <w:szCs w:val="32"/>
        </w:rPr>
        <w:t>201</w:t>
      </w:r>
      <w:r>
        <w:rPr>
          <w:rFonts w:hint="eastAsia" w:ascii="仿宋_GB2312" w:eastAsia="仿宋_GB2312"/>
          <w:color w:val="000000"/>
          <w:sz w:val="32"/>
          <w:szCs w:val="32"/>
        </w:rPr>
        <w:t>7年增加</w:t>
      </w:r>
      <w:r>
        <w:rPr>
          <w:rFonts w:ascii="仿宋_GB2312" w:eastAsia="仿宋_GB2312"/>
          <w:color w:val="000000"/>
          <w:sz w:val="32"/>
          <w:szCs w:val="32"/>
        </w:rPr>
        <w:t>/</w:t>
      </w:r>
      <w:r>
        <w:rPr>
          <w:rFonts w:hint="eastAsia" w:ascii="仿宋_GB2312" w:eastAsia="仿宋_GB2312"/>
          <w:color w:val="000000"/>
          <w:sz w:val="32"/>
          <w:szCs w:val="32"/>
        </w:rPr>
        <w:t>减少0万元，增长</w:t>
      </w:r>
      <w:r>
        <w:rPr>
          <w:rFonts w:ascii="仿宋_GB2312" w:eastAsia="仿宋_GB2312"/>
          <w:color w:val="000000"/>
          <w:sz w:val="32"/>
          <w:szCs w:val="32"/>
        </w:rPr>
        <w:t>/</w:t>
      </w:r>
      <w:r>
        <w:rPr>
          <w:rFonts w:hint="eastAsia" w:ascii="仿宋_GB2312" w:eastAsia="仿宋_GB2312"/>
          <w:color w:val="000000"/>
          <w:sz w:val="32"/>
          <w:szCs w:val="32"/>
        </w:rPr>
        <w:t>下降0</w:t>
      </w:r>
      <w:r>
        <w:rPr>
          <w:rFonts w:ascii="仿宋_GB2312" w:eastAsia="仿宋_GB2312"/>
          <w:color w:val="000000"/>
          <w:sz w:val="32"/>
          <w:szCs w:val="32"/>
        </w:rPr>
        <w:t>%</w:t>
      </w:r>
      <w:r>
        <w:rPr>
          <w:rFonts w:hint="eastAsia" w:ascii="仿宋_GB2312" w:eastAsia="仿宋_GB2312"/>
          <w:color w:val="000000"/>
          <w:sz w:val="32"/>
          <w:szCs w:val="32"/>
        </w:rPr>
        <w:t>。主要原因是无。</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4.05万元,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7年增加0.87万元，减少21</w:t>
      </w:r>
      <w:r>
        <w:rPr>
          <w:rFonts w:ascii="仿宋_GB2312" w:eastAsia="仿宋_GB2312"/>
          <w:color w:val="000000"/>
          <w:sz w:val="32"/>
          <w:szCs w:val="32"/>
        </w:rPr>
        <w:t>%</w:t>
      </w:r>
      <w:r>
        <w:rPr>
          <w:rFonts w:hint="eastAsia" w:ascii="仿宋_GB2312" w:eastAsia="仿宋_GB2312"/>
          <w:color w:val="000000"/>
          <w:sz w:val="32"/>
          <w:szCs w:val="32"/>
        </w:rPr>
        <w:t>。主要原因是正常运行。</w:t>
      </w:r>
    </w:p>
    <w:p>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rPr>
        <w:t>0万元。全年按规定更新购置公务用车0辆，其中：轿车0辆、金额0万元，越野车0辆、金额0万元，载客汽车0辆、金额0万元，主要用于无。截至</w:t>
      </w:r>
      <w:r>
        <w:rPr>
          <w:rFonts w:ascii="仿宋_GB2312" w:eastAsia="仿宋_GB2312"/>
          <w:color w:val="000000"/>
          <w:sz w:val="32"/>
          <w:szCs w:val="32"/>
        </w:rPr>
        <w:t>201</w:t>
      </w:r>
      <w:r>
        <w:rPr>
          <w:rFonts w:hint="eastAsia" w:ascii="仿宋_GB2312" w:eastAsia="仿宋_GB2312"/>
          <w:color w:val="000000"/>
          <w:sz w:val="32"/>
          <w:szCs w:val="32"/>
        </w:rPr>
        <w:t>8年</w:t>
      </w:r>
      <w:r>
        <w:rPr>
          <w:rFonts w:ascii="仿宋_GB2312" w:eastAsia="仿宋_GB2312"/>
          <w:color w:val="000000"/>
          <w:sz w:val="32"/>
          <w:szCs w:val="32"/>
        </w:rPr>
        <w:t>12</w:t>
      </w:r>
      <w:r>
        <w:rPr>
          <w:rFonts w:hint="eastAsia" w:ascii="仿宋_GB2312" w:eastAsia="仿宋_GB2312"/>
          <w:color w:val="000000"/>
          <w:sz w:val="32"/>
          <w:szCs w:val="32"/>
        </w:rPr>
        <w:t>月底，单位共有公务用车1辆，其中：轿车1辆、越野车0辆、载客汽车0辆。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4.05万元。主要用于公务用车保险、维修、油费等所需的公务用车燃料费、维修费、过路过桥费、保险费等支出。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7年增加</w:t>
      </w:r>
      <w:r>
        <w:rPr>
          <w:rFonts w:ascii="仿宋_GB2312" w:eastAsia="仿宋_GB2312"/>
          <w:color w:val="000000"/>
          <w:sz w:val="32"/>
          <w:szCs w:val="32"/>
        </w:rPr>
        <w:t>/</w:t>
      </w:r>
      <w:r>
        <w:rPr>
          <w:rFonts w:hint="eastAsia" w:ascii="仿宋_GB2312" w:eastAsia="仿宋_GB2312"/>
          <w:color w:val="000000"/>
          <w:sz w:val="32"/>
          <w:szCs w:val="32"/>
        </w:rPr>
        <w:t>减少0万元，增长</w:t>
      </w:r>
      <w:r>
        <w:rPr>
          <w:rFonts w:ascii="仿宋_GB2312" w:eastAsia="仿宋_GB2312"/>
          <w:color w:val="000000"/>
          <w:sz w:val="32"/>
          <w:szCs w:val="32"/>
        </w:rPr>
        <w:t>/</w:t>
      </w:r>
      <w:r>
        <w:rPr>
          <w:rFonts w:hint="eastAsia" w:ascii="仿宋_GB2312" w:eastAsia="仿宋_GB2312"/>
          <w:color w:val="000000"/>
          <w:sz w:val="32"/>
          <w:szCs w:val="32"/>
        </w:rPr>
        <w:t>下降0</w:t>
      </w:r>
      <w:r>
        <w:rPr>
          <w:rFonts w:ascii="仿宋_GB2312" w:eastAsia="仿宋_GB2312"/>
          <w:color w:val="000000"/>
          <w:sz w:val="32"/>
          <w:szCs w:val="32"/>
        </w:rPr>
        <w:t>%</w:t>
      </w:r>
      <w:r>
        <w:rPr>
          <w:rFonts w:hint="eastAsia" w:ascii="仿宋_GB2312" w:eastAsia="仿宋_GB2312"/>
          <w:color w:val="000000"/>
          <w:sz w:val="32"/>
          <w:szCs w:val="32"/>
        </w:rPr>
        <w:t>。主要原因是无。</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主要用于执行公务、开展业务活动开支的交通费、住宿费、用餐费等。国内公务接待0批次，0人次（不包括陪同人员），共计支出0万元，具体内容包括：无（接待具体项目、金额）。</w:t>
      </w:r>
    </w:p>
    <w:p>
      <w:pPr>
        <w:spacing w:line="60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w:t>
      </w:r>
      <w:r>
        <w:rPr>
          <w:rFonts w:hint="eastAsia" w:ascii="仿宋_GB2312" w:eastAsia="仿宋_GB2312"/>
          <w:color w:val="000000" w:themeColor="text1"/>
          <w:sz w:val="32"/>
          <w:szCs w:val="32"/>
          <w14:textFill>
            <w14:solidFill>
              <w14:schemeClr w14:val="tx1"/>
            </w14:solidFill>
          </w14:textFill>
        </w:rPr>
        <w:t>，外事接待0批次，0人，共计支出0万元，主要用于接待无（具体项目）。主要用于无。</w:t>
      </w:r>
    </w:p>
    <w:p>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其他国内公务接待支出</w:t>
      </w:r>
      <w:r>
        <w:rPr>
          <w:rFonts w:hint="eastAsia" w:ascii="仿宋" w:hAnsi="仿宋" w:eastAsia="仿宋"/>
          <w:color w:val="000000"/>
          <w:sz w:val="32"/>
          <w:szCs w:val="32"/>
        </w:rPr>
        <w:t>0</w:t>
      </w:r>
      <w:r>
        <w:rPr>
          <w:rFonts w:hint="eastAsia" w:ascii="仿宋_GB2312" w:eastAsia="仿宋_GB2312"/>
          <w:color w:val="000000"/>
          <w:sz w:val="32"/>
          <w:szCs w:val="32"/>
        </w:rPr>
        <w:t>万元，主要用于无。</w:t>
      </w:r>
      <w:bookmarkStart w:id="46" w:name="_Toc15377218"/>
      <w:bookmarkStart w:id="47" w:name="_Toc15396610"/>
    </w:p>
    <w:p>
      <w:pPr>
        <w:spacing w:line="600" w:lineRule="exact"/>
        <w:ind w:firstLine="640"/>
        <w:outlineLvl w:val="1"/>
        <w:rPr>
          <w:rStyle w:val="26"/>
          <w:rFonts w:ascii="黑体" w:hAnsi="黑体" w:eastAsia="黑体"/>
        </w:rPr>
      </w:pPr>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8年政府性基金预算拨款支出330.81万元。上年基金结余81.64万元，本来基金收入613万元，本年基金支出330.81万元，本年基金结余363.83万元。</w:t>
      </w:r>
    </w:p>
    <w:p>
      <w:pPr>
        <w:numPr>
          <w:ilvl w:val="0"/>
          <w:numId w:val="2"/>
        </w:numPr>
        <w:spacing w:line="600" w:lineRule="exact"/>
        <w:ind w:firstLine="640"/>
        <w:outlineLvl w:val="1"/>
        <w:rPr>
          <w:rStyle w:val="26"/>
          <w:rFonts w:ascii="黑体" w:hAnsi="黑体" w:eastAsia="黑体"/>
          <w:b w:val="0"/>
        </w:rPr>
      </w:pPr>
      <w:bookmarkStart w:id="48" w:name="_Toc15377219"/>
      <w:bookmarkStart w:id="49" w:name="_Toc15396611"/>
      <w:r>
        <w:rPr>
          <w:rStyle w:val="26"/>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8年国有资本经营预算拨款支出0万元。</w:t>
      </w:r>
    </w:p>
    <w:p>
      <w:pPr>
        <w:pStyle w:val="24"/>
        <w:numPr>
          <w:ilvl w:val="0"/>
          <w:numId w:val="3"/>
        </w:numPr>
        <w:spacing w:line="580" w:lineRule="exact"/>
        <w:ind w:firstLineChars="0"/>
        <w:rPr>
          <w:rStyle w:val="26"/>
          <w:rFonts w:ascii="黑体" w:hAnsi="黑体" w:eastAsia="黑体"/>
          <w:b w:val="0"/>
        </w:rPr>
      </w:pPr>
      <w:r>
        <w:rPr>
          <w:rStyle w:val="26"/>
          <w:rFonts w:hint="eastAsia" w:ascii="黑体" w:hAnsi="黑体" w:eastAsia="黑体"/>
          <w:b w:val="0"/>
        </w:rPr>
        <w:t>预算绩效情况说明</w:t>
      </w:r>
    </w:p>
    <w:p>
      <w:pPr>
        <w:numPr>
          <w:ilvl w:val="0"/>
          <w:numId w:val="4"/>
        </w:numPr>
        <w:spacing w:line="580" w:lineRule="exact"/>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2018年度城市社区人员经费及公用经费、2018年度农村“五保户”供养经费、2018年度乡镇财政预算管理系统及金财网运行维护经费、用于清源小区安置房回购房款支出、2018年度村计划生育服务员补助经费等项目开展了预算事前绩效评估，对5个项目编制了绩效目标，预算执行过程中，选取5个项目开展绩效监控，年终执行完毕后，对5个项目开展了绩效目标完成情况梳理填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本部门按要求对2018年部门整体支出开展绩效自评，从评价情况来看，按照预算执行，没有出现超支情况。（简要说明整体绩效情况）。本部门还自行组织了5个项目绩效评价，评价情况良好。</w:t>
      </w:r>
    </w:p>
    <w:p>
      <w:pPr>
        <w:numPr>
          <w:ilvl w:val="0"/>
          <w:numId w:val="4"/>
        </w:numPr>
        <w:spacing w:line="580" w:lineRule="exact"/>
        <w:ind w:firstLine="643" w:firstLineChars="200"/>
        <w:rPr>
          <w:rFonts w:ascii="仿宋_GB2312" w:hAnsi="仿宋_GB2312" w:eastAsia="仿宋_GB2312" w:cs="仿宋_GB2312"/>
          <w:sz w:val="32"/>
          <w:szCs w:val="32"/>
        </w:rPr>
      </w:pPr>
      <w:r>
        <w:rPr>
          <w:rFonts w:hint="eastAsia" w:ascii="仿宋" w:hAnsi="仿宋" w:eastAsia="仿宋" w:cs="楷体_GB2312"/>
          <w:b/>
          <w:bCs/>
          <w:sz w:val="32"/>
          <w:szCs w:val="32"/>
        </w:rPr>
        <w:t>项目绩效目标完成情况。</w:t>
      </w:r>
      <w:r>
        <w:rPr>
          <w:rFonts w:hint="eastAsia" w:ascii="楷体_GB2312" w:hAnsi="楷体_GB2312" w:eastAsia="楷体_GB2312" w:cs="楷体_GB2312"/>
          <w:b/>
          <w:bCs/>
          <w:sz w:val="32"/>
          <w:szCs w:val="32"/>
        </w:rPr>
        <w:br w:type="textWrapping"/>
      </w:r>
      <w:r>
        <w:rPr>
          <w:rFonts w:hint="eastAsia" w:ascii="仿宋_GB2312" w:hAnsi="仿宋_GB2312" w:eastAsia="仿宋_GB2312" w:cs="仿宋_GB2312"/>
          <w:sz w:val="32"/>
          <w:szCs w:val="32"/>
        </w:rPr>
        <w:t xml:space="preserve">    本部门在2018年度部门决算中反映“2018年度城市社区人员经费及公用经费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 2018年度农村“五保户”供养经费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 2018年度乡镇财政预算管理系统及金财网运行维护经费”“用于清源小区安置房回购房款支出”“2018年度村计划生育服务员补助经费”等5个项目绩效目标实际完成情况。（本单位部门项目绩效目标个数在5个以上的，选取5个项目进行公开，目标个数在5个以下的，全部进行公开，公开内容包括完成情况综述和完成情况表）。</w:t>
      </w:r>
    </w:p>
    <w:p>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城市社区人员经费及公用经费项目绩效目标完成情况综述。项目全年预算数228.44万元，执行数为228.44万元，完成预算的100%。通过项目实施，保障了桐子林年镇管理区域内城南、城北、桐子林三个社区人员工资、保险、住房公积金、目标绩效、日常办公经费的正常运转，稳定了社区干部人员的基本生活保障，增加了日常工作积极情绪，让桐子林镇人民政府开展工作更加顺利，使得社区稳定。发现的主要问题：干部反映工资到账时间较慢。下一步改进措施：由于财政资金紧张，导致上报工资后，支付较为滞后，希望加大支付力度。</w:t>
      </w:r>
    </w:p>
    <w:p>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农村“五保户”供养经费项目绩效目标完成情况综述。项目全年预算数31.46万元，执行数为31.46万元，完成预算的100%。通过项目实施，保障了桐子林镇区域管理的农村“五保户”生活补助按季度正常发放，稳定了农村五保户情绪，减少五保户到政府闹事的情况。发现的主要问题：民政在审核发放人员是存在一定问题，经常出现人员漏报、提供账号错误出现退票的情况。下一步改进措施：希望民政部门人员在审核和提供账号时能更加认真仔细对待。</w:t>
      </w:r>
    </w:p>
    <w:p>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乡镇财政预算管理系统及金财网运行维护经费项目绩效目标完成情况综述。项目全年预算数1.5万元，执行数为1.5万元，完成预算的100%。通过项目实施，保障了桐子林镇人民政府单位预算会计、总预算会计、专户会计、村级会计的账务核算，面对日常各级单位与部门的抽查，能够更好</w:t>
      </w:r>
      <w:r>
        <w:rPr>
          <w:rFonts w:hint="eastAsia" w:ascii="仿宋_GB2312" w:hAnsi="仿宋_GB2312" w:eastAsia="仿宋_GB2312" w:cs="仿宋_GB2312"/>
          <w:sz w:val="32"/>
          <w:szCs w:val="32"/>
          <w:lang w:val="en-US" w:eastAsia="zh-CN"/>
        </w:rPr>
        <w:t>地</w:t>
      </w:r>
      <w:bookmarkStart w:id="76" w:name="_GoBack"/>
      <w:bookmarkEnd w:id="76"/>
      <w:r>
        <w:rPr>
          <w:rFonts w:hint="eastAsia" w:ascii="仿宋_GB2312" w:hAnsi="仿宋_GB2312" w:eastAsia="仿宋_GB2312" w:cs="仿宋_GB2312"/>
          <w:sz w:val="32"/>
          <w:szCs w:val="32"/>
        </w:rPr>
        <w:t>提供依据等，同时为年终部门决算和总决算提供资料和数据等。(按照项目总体目标简要描述项目成效），发现的主要问题：A++系统网络速度不稳定，容易死机；经常出现帐表无法取数的现象；系统具体设置和实际操作出现的问题有一定差距；处理问题时间较长等等。下一步改进措施：希望软件公司能够加强系统功能，稳定网络状态等等。</w:t>
      </w:r>
    </w:p>
    <w:p>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用于清源小区安置房回购房款支出项目绩效目标完成情况综述。项目全年预算数613万元，执行数为300万元，剩余313万元，完成预算的49%。通过项目实施，保障了桐子林镇社会稳定，发现的主要问题：具体核算此项目人员提供的发放表经常出现账号有误的情况。下一步改进措施：希望提供发放花名册人员能仔细核对账号，不要经常出现错误，增加工作量。</w:t>
      </w:r>
    </w:p>
    <w:p>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村计划生育服务员补助经费项目绩效目标完成情况综述。项目全年预算数4.76万元，执行数为4.76万元，完成预算的100%。通过项目实施，保障了桐子林镇村计生服务员基本工资发放，发现的主要问题：无。下一步改进措施：无。</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widowControl/>
              <w:ind w:left="4148" w:leftChars="1204" w:hanging="1620" w:hangingChars="450"/>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项目支出绩效目标完成情况表1</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(2018 年度)</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8"/>
                <w:szCs w:val="28"/>
              </w:rPr>
            </w:pPr>
            <w:r>
              <w:rPr>
                <w:rFonts w:hint="eastAsia" w:ascii="宋体" w:hAnsi="宋体" w:cs="宋体"/>
                <w:color w:val="000000"/>
                <w:sz w:val="24"/>
              </w:rPr>
              <w:t>2018年度城市社区人员经费及公用经费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桐子林年镇人民政府</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228.44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228.44</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228.44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228.44</w:t>
            </w:r>
          </w:p>
        </w:tc>
      </w:tr>
      <w:tr>
        <w:tblPrEx>
          <w:tblLayout w:type="fixed"/>
          <w:tblCellMar>
            <w:top w:w="0" w:type="dxa"/>
            <w:left w:w="0" w:type="dxa"/>
            <w:bottom w:w="0" w:type="dxa"/>
            <w:right w:w="0" w:type="dxa"/>
          </w:tblCellMar>
        </w:tblPrEx>
        <w:trPr>
          <w:trHeight w:val="10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82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保基本运转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完成基本运转</w:t>
            </w:r>
          </w:p>
        </w:tc>
      </w:tr>
      <w:tr>
        <w:tblPrEx>
          <w:tblLayout w:type="fixed"/>
          <w:tblCellMar>
            <w:top w:w="0" w:type="dxa"/>
            <w:left w:w="0" w:type="dxa"/>
            <w:bottom w:w="0" w:type="dxa"/>
            <w:right w:w="0" w:type="dxa"/>
          </w:tblCellMar>
        </w:tblPrEx>
        <w:trPr>
          <w:trHeight w:val="627"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三个社区经费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228.44</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228.44</w:t>
            </w:r>
          </w:p>
        </w:tc>
      </w:tr>
      <w:tr>
        <w:tblPrEx>
          <w:tblLayout w:type="fixed"/>
          <w:tblCellMar>
            <w:top w:w="0" w:type="dxa"/>
            <w:left w:w="0" w:type="dxa"/>
            <w:bottom w:w="0" w:type="dxa"/>
            <w:right w:w="0" w:type="dxa"/>
          </w:tblCellMar>
        </w:tblPrEx>
        <w:trPr>
          <w:trHeight w:val="71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3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提高社会稳定性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r>
      <w:tr>
        <w:tblPrEx>
          <w:tblLayout w:type="fixed"/>
          <w:tblCellMar>
            <w:top w:w="0" w:type="dxa"/>
            <w:left w:w="0" w:type="dxa"/>
            <w:bottom w:w="0" w:type="dxa"/>
            <w:right w:w="0" w:type="dxa"/>
          </w:tblCellMar>
        </w:tblPrEx>
        <w:trPr>
          <w:trHeight w:val="40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25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2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三个社区人员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r>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4"/>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项目支出绩效目标完成情况表2</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(2018 年度)</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8"/>
                <w:szCs w:val="28"/>
              </w:rPr>
            </w:pPr>
            <w:r>
              <w:rPr>
                <w:rFonts w:hint="eastAsia" w:ascii="宋体" w:hAnsi="宋体" w:cs="宋体"/>
                <w:color w:val="000000"/>
                <w:sz w:val="24"/>
              </w:rPr>
              <w:t>2018年度农村“五保户”供养经费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桐子林年镇人民政府</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31.46</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31.46</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31.46</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31.46</w:t>
            </w:r>
          </w:p>
        </w:tc>
      </w:tr>
      <w:tr>
        <w:tblPrEx>
          <w:tblLayout w:type="fixed"/>
          <w:tblCellMar>
            <w:top w:w="0" w:type="dxa"/>
            <w:left w:w="0" w:type="dxa"/>
            <w:bottom w:w="0" w:type="dxa"/>
            <w:right w:w="0" w:type="dxa"/>
          </w:tblCellMar>
        </w:tblPrEx>
        <w:trPr>
          <w:trHeight w:val="10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688"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按季度发放农村五保户生活补助</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完成按季度发放农村五保户生活补助</w:t>
            </w:r>
          </w:p>
        </w:tc>
      </w:tr>
      <w:tr>
        <w:tblPrEx>
          <w:tblLayout w:type="fixed"/>
          <w:tblCellMar>
            <w:top w:w="0" w:type="dxa"/>
            <w:left w:w="0" w:type="dxa"/>
            <w:bottom w:w="0" w:type="dxa"/>
            <w:right w:w="0" w:type="dxa"/>
          </w:tblCellMar>
        </w:tblPrEx>
        <w:trPr>
          <w:trHeight w:val="627"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农村五保户</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31.46</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31.46</w:t>
            </w:r>
          </w:p>
        </w:tc>
      </w:tr>
      <w:tr>
        <w:tblPrEx>
          <w:tblLayout w:type="fixed"/>
          <w:tblCellMar>
            <w:top w:w="0" w:type="dxa"/>
            <w:left w:w="0" w:type="dxa"/>
            <w:bottom w:w="0" w:type="dxa"/>
            <w:right w:w="0" w:type="dxa"/>
          </w:tblCellMar>
        </w:tblPrEx>
        <w:trPr>
          <w:trHeight w:val="71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3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提高社会稳定性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r>
      <w:tr>
        <w:tblPrEx>
          <w:tblLayout w:type="fixed"/>
          <w:tblCellMar>
            <w:top w:w="0" w:type="dxa"/>
            <w:left w:w="0" w:type="dxa"/>
            <w:bottom w:w="0" w:type="dxa"/>
            <w:right w:w="0" w:type="dxa"/>
          </w:tblCellMar>
        </w:tblPrEx>
        <w:trPr>
          <w:trHeight w:val="40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25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2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农村五保户</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r>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widowControl/>
              <w:ind w:left="3968" w:leftChars="1204" w:hanging="1440" w:hangingChars="400"/>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项目支出绩效目标完成情况表3</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(2018 年度)</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8"/>
                <w:szCs w:val="28"/>
              </w:rPr>
            </w:pPr>
            <w:r>
              <w:rPr>
                <w:rFonts w:hint="eastAsia" w:ascii="宋体" w:hAnsi="宋体" w:cs="宋体"/>
                <w:color w:val="000000"/>
                <w:sz w:val="24"/>
              </w:rPr>
              <w:t>2018年度乡镇财政预算管理系统及金财网运行维护经费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桐子林年镇人民政府</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1.54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1.54</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1.54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1.54</w:t>
            </w:r>
          </w:p>
        </w:tc>
      </w:tr>
      <w:tr>
        <w:tblPrEx>
          <w:tblLayout w:type="fixed"/>
          <w:tblCellMar>
            <w:top w:w="0" w:type="dxa"/>
            <w:left w:w="0" w:type="dxa"/>
            <w:bottom w:w="0" w:type="dxa"/>
            <w:right w:w="0" w:type="dxa"/>
          </w:tblCellMar>
        </w:tblPrEx>
        <w:trPr>
          <w:trHeight w:val="10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40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顺利完成2018年会计账务等</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已完成账务处理，但出现A++系统网络速度不稳定，容易死机；经常出现帐表无法取数的现象；系统具体设置和实际操作出现的问题有一定差距；处理问题时间较长等等</w:t>
            </w:r>
          </w:p>
        </w:tc>
      </w:tr>
      <w:tr>
        <w:tblPrEx>
          <w:tblLayout w:type="fixed"/>
          <w:tblCellMar>
            <w:top w:w="0" w:type="dxa"/>
            <w:left w:w="0" w:type="dxa"/>
            <w:bottom w:w="0" w:type="dxa"/>
            <w:right w:w="0" w:type="dxa"/>
          </w:tblCellMar>
        </w:tblPrEx>
        <w:trPr>
          <w:trHeight w:val="627"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财政所4台电脑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1.54</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1.54</w:t>
            </w:r>
          </w:p>
        </w:tc>
      </w:tr>
      <w:tr>
        <w:tblPrEx>
          <w:tblLayout w:type="fixed"/>
          <w:tblCellMar>
            <w:top w:w="0" w:type="dxa"/>
            <w:left w:w="0" w:type="dxa"/>
            <w:bottom w:w="0" w:type="dxa"/>
            <w:right w:w="0" w:type="dxa"/>
          </w:tblCellMar>
        </w:tblPrEx>
        <w:trPr>
          <w:trHeight w:val="71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3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提高稳定性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r>
      <w:tr>
        <w:tblPrEx>
          <w:tblLayout w:type="fixed"/>
          <w:tblCellMar>
            <w:top w:w="0" w:type="dxa"/>
            <w:left w:w="0" w:type="dxa"/>
            <w:bottom w:w="0" w:type="dxa"/>
            <w:right w:w="0" w:type="dxa"/>
          </w:tblCellMar>
        </w:tblPrEx>
        <w:trPr>
          <w:trHeight w:val="40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25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2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财政所</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r>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widowControl/>
              <w:ind w:left="3968" w:leftChars="1204" w:hanging="1440" w:hangingChars="400"/>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项目支出绩效目标完成情况表4</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(2018 年度)</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8"/>
                <w:szCs w:val="28"/>
              </w:rPr>
            </w:pPr>
            <w:r>
              <w:rPr>
                <w:rFonts w:hint="eastAsia" w:ascii="宋体" w:hAnsi="宋体" w:cs="宋体"/>
                <w:color w:val="000000"/>
                <w:sz w:val="24"/>
              </w:rPr>
              <w:t>用于清源小区安置房回购房款支出</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桐子林年镇人民政府</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613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300</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613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300</w:t>
            </w:r>
          </w:p>
        </w:tc>
      </w:tr>
      <w:tr>
        <w:tblPrEx>
          <w:tblLayout w:type="fixed"/>
          <w:tblCellMar>
            <w:top w:w="0" w:type="dxa"/>
            <w:left w:w="0" w:type="dxa"/>
            <w:bottom w:w="0" w:type="dxa"/>
            <w:right w:w="0" w:type="dxa"/>
          </w:tblCellMar>
        </w:tblPrEx>
        <w:trPr>
          <w:trHeight w:val="10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40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顺利完成2018年商屋回购发放</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已完成部分2018年商屋回购发放</w:t>
            </w:r>
          </w:p>
        </w:tc>
      </w:tr>
      <w:tr>
        <w:tblPrEx>
          <w:tblLayout w:type="fixed"/>
          <w:tblCellMar>
            <w:top w:w="0" w:type="dxa"/>
            <w:left w:w="0" w:type="dxa"/>
            <w:bottom w:w="0" w:type="dxa"/>
            <w:right w:w="0" w:type="dxa"/>
          </w:tblCellMar>
        </w:tblPrEx>
        <w:trPr>
          <w:trHeight w:val="627"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簸箕砟小区人员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300</w:t>
            </w:r>
          </w:p>
        </w:tc>
      </w:tr>
      <w:tr>
        <w:tblPrEx>
          <w:tblLayout w:type="fixed"/>
          <w:tblCellMar>
            <w:top w:w="0" w:type="dxa"/>
            <w:left w:w="0" w:type="dxa"/>
            <w:bottom w:w="0" w:type="dxa"/>
            <w:right w:w="0" w:type="dxa"/>
          </w:tblCellMar>
        </w:tblPrEx>
        <w:trPr>
          <w:trHeight w:val="71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剩余基金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313</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313</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3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提高稳定性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r>
      <w:tr>
        <w:tblPrEx>
          <w:tblLayout w:type="fixed"/>
          <w:tblCellMar>
            <w:top w:w="0" w:type="dxa"/>
            <w:left w:w="0" w:type="dxa"/>
            <w:bottom w:w="0" w:type="dxa"/>
            <w:right w:w="0" w:type="dxa"/>
          </w:tblCellMar>
        </w:tblPrEx>
        <w:trPr>
          <w:trHeight w:val="40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25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2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财政所</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80%</w:t>
            </w:r>
          </w:p>
        </w:tc>
      </w:tr>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widowControl/>
              <w:ind w:left="3968" w:leftChars="1204" w:hanging="1440" w:hangingChars="400"/>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项目支出绩效目标完成情况表5</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(2018 年度)</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8"/>
                <w:szCs w:val="28"/>
              </w:rPr>
            </w:pPr>
            <w:r>
              <w:rPr>
                <w:rFonts w:hint="eastAsia" w:ascii="宋体" w:hAnsi="宋体" w:cs="宋体"/>
                <w:color w:val="000000"/>
                <w:sz w:val="24"/>
              </w:rPr>
              <w:t>2018年度村计划生育服务员补助经费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桐子林年镇人民政府</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4.76</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4.76</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4.76</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4.76</w:t>
            </w:r>
          </w:p>
        </w:tc>
      </w:tr>
      <w:tr>
        <w:tblPrEx>
          <w:tblLayout w:type="fixed"/>
          <w:tblCellMar>
            <w:top w:w="0" w:type="dxa"/>
            <w:left w:w="0" w:type="dxa"/>
            <w:bottom w:w="0" w:type="dxa"/>
            <w:right w:w="0" w:type="dxa"/>
          </w:tblCellMar>
        </w:tblPrEx>
        <w:trPr>
          <w:trHeight w:val="10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40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村计生服务员基本运转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已完成村计生服务员基本运转</w:t>
            </w:r>
          </w:p>
        </w:tc>
      </w:tr>
      <w:tr>
        <w:tblPrEx>
          <w:tblLayout w:type="fixed"/>
          <w:tblCellMar>
            <w:top w:w="0" w:type="dxa"/>
            <w:left w:w="0" w:type="dxa"/>
            <w:bottom w:w="0" w:type="dxa"/>
            <w:right w:w="0" w:type="dxa"/>
          </w:tblCellMar>
        </w:tblPrEx>
        <w:trPr>
          <w:trHeight w:val="627"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4名村计生服务员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4.76</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4.76</w:t>
            </w:r>
          </w:p>
        </w:tc>
      </w:tr>
      <w:tr>
        <w:tblPrEx>
          <w:tblLayout w:type="fixed"/>
          <w:tblCellMar>
            <w:top w:w="0" w:type="dxa"/>
            <w:left w:w="0" w:type="dxa"/>
            <w:bottom w:w="0" w:type="dxa"/>
            <w:right w:w="0" w:type="dxa"/>
          </w:tblCellMar>
        </w:tblPrEx>
        <w:trPr>
          <w:trHeight w:val="71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3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0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提高稳定性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r>
      <w:tr>
        <w:tblPrEx>
          <w:tblLayout w:type="fixed"/>
          <w:tblCellMar>
            <w:top w:w="0" w:type="dxa"/>
            <w:left w:w="0" w:type="dxa"/>
            <w:bottom w:w="0" w:type="dxa"/>
            <w:right w:w="0" w:type="dxa"/>
          </w:tblCellMar>
        </w:tblPrEx>
        <w:trPr>
          <w:trHeight w:val="40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25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Layout w:type="fixed"/>
          <w:tblCellMar>
            <w:top w:w="0" w:type="dxa"/>
            <w:left w:w="0" w:type="dxa"/>
            <w:bottom w:w="0" w:type="dxa"/>
            <w:right w:w="0" w:type="dxa"/>
          </w:tblCellMar>
        </w:tblPrEx>
        <w:trPr>
          <w:trHeight w:val="42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村计生服务员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r>
    </w:tbl>
    <w:p>
      <w:pPr>
        <w:spacing w:line="580" w:lineRule="exact"/>
        <w:rPr>
          <w:rFonts w:ascii="仿宋_GB2312" w:hAnsi="仿宋_GB2312" w:eastAsia="仿宋_GB2312" w:cs="仿宋_GB2312"/>
          <w:sz w:val="32"/>
          <w:szCs w:val="32"/>
        </w:rPr>
      </w:pPr>
    </w:p>
    <w:p>
      <w:pPr>
        <w:numPr>
          <w:ilvl w:val="0"/>
          <w:numId w:val="4"/>
        </w:numPr>
        <w:spacing w:line="580" w:lineRule="exact"/>
        <w:ind w:firstLine="643"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本部门按要求对2018年部门整体支出绩效评价情况开展自评，《桐子林镇人民政府2018年部门整体支出绩效评价报告》见附件。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本部门自行组织对5个项目、5个项目开展了绩效评价，《5个项目2018年绩效评价报告》见附件。（非涉密部门均需公开部门整体支出评价报告，部门自行组织的绩效评价情况根据部门实际公开）</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26"/>
          <w:rFonts w:ascii="黑体" w:hAnsi="黑体" w:eastAsia="黑体"/>
        </w:rPr>
      </w:pPr>
      <w:bookmarkStart w:id="50" w:name="_Toc15377221"/>
      <w:bookmarkStart w:id="51" w:name="_Toc15396612"/>
      <w:r>
        <w:rPr>
          <w:rFonts w:hint="eastAsia" w:ascii="黑体" w:hAnsi="黑体" w:eastAsia="黑体"/>
          <w:color w:val="000000"/>
          <w:sz w:val="32"/>
          <w:szCs w:val="32"/>
        </w:rPr>
        <w:t>十</w:t>
      </w:r>
      <w:r>
        <w:rPr>
          <w:rStyle w:val="26"/>
          <w:rFonts w:hint="eastAsia" w:ascii="黑体" w:hAnsi="黑体" w:eastAsia="黑体"/>
        </w:rPr>
        <w:t>一、</w:t>
      </w:r>
      <w:r>
        <w:rPr>
          <w:rStyle w:val="26"/>
          <w:rFonts w:hint="eastAsia" w:ascii="黑体" w:hAnsi="黑体" w:eastAsia="黑体"/>
          <w:b w:val="0"/>
        </w:rPr>
        <w:t>其他重要事项的情况说明</w:t>
      </w:r>
      <w:bookmarkEnd w:id="50"/>
      <w:bookmarkEnd w:id="51"/>
    </w:p>
    <w:p>
      <w:pPr>
        <w:spacing w:line="600" w:lineRule="exact"/>
        <w:ind w:firstLine="643" w:firstLineChars="200"/>
        <w:outlineLvl w:val="2"/>
        <w:rPr>
          <w:rFonts w:ascii="仿宋" w:hAnsi="仿宋" w:eastAsia="仿宋"/>
          <w:color w:val="000000"/>
          <w:sz w:val="32"/>
          <w:szCs w:val="32"/>
        </w:rPr>
      </w:pPr>
      <w:bookmarkStart w:id="52" w:name="_Toc15377222"/>
      <w:r>
        <w:rPr>
          <w:rFonts w:hint="eastAsia" w:ascii="仿宋" w:hAnsi="仿宋" w:eastAsia="仿宋"/>
          <w:b/>
          <w:color w:val="000000"/>
          <w:sz w:val="32"/>
          <w:szCs w:val="32"/>
        </w:rPr>
        <w:t>（一）机关运行经费支出情况</w:t>
      </w:r>
      <w:bookmarkEnd w:id="52"/>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sz w:val="32"/>
          <w:szCs w:val="32"/>
        </w:rPr>
        <w:t>201</w:t>
      </w:r>
      <w:r>
        <w:rPr>
          <w:rFonts w:hint="eastAsia" w:ascii="仿宋_GB2312" w:eastAsia="仿宋_GB2312"/>
          <w:color w:val="000000"/>
          <w:sz w:val="32"/>
          <w:szCs w:val="32"/>
        </w:rPr>
        <w:t>8年，桐子林镇人民政府机关运行经费支出157.63万元，比</w:t>
      </w:r>
      <w:r>
        <w:rPr>
          <w:rFonts w:ascii="仿宋_GB2312" w:eastAsia="仿宋_GB2312"/>
          <w:color w:val="000000"/>
          <w:sz w:val="32"/>
          <w:szCs w:val="32"/>
        </w:rPr>
        <w:t>201</w:t>
      </w:r>
      <w:r>
        <w:rPr>
          <w:rFonts w:hint="eastAsia" w:ascii="仿宋_GB2312" w:eastAsia="仿宋_GB2312"/>
          <w:color w:val="000000"/>
          <w:sz w:val="32"/>
          <w:szCs w:val="32"/>
        </w:rPr>
        <w:t>7年减少19.7万元，下降12.5</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14:textFill>
            <w14:solidFill>
              <w14:schemeClr w14:val="tx1"/>
            </w14:solidFill>
          </w14:textFill>
        </w:rPr>
        <w:t>主要原因是正常变动。</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3" w:name="_Toc15377223"/>
      <w:r>
        <w:rPr>
          <w:rFonts w:hint="eastAsia" w:ascii="仿宋" w:hAnsi="仿宋" w:eastAsia="仿宋"/>
          <w:b/>
          <w:color w:val="000000"/>
          <w:sz w:val="32"/>
          <w:szCs w:val="32"/>
        </w:rPr>
        <w:t>（二）政府采购支出情况</w:t>
      </w:r>
      <w:bookmarkEnd w:id="53"/>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8年，桐子林镇人民政府采购支出总额0万元，其中：政府采购货物支出0万元、政府采购工程支出0万元、政府采购服务支出0万元。主要用于无（具体工作）。授予中小企业合同金额0万元，占政府采购支出总额的0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CS06</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4" w:name="_Toc15377224"/>
      <w:r>
        <w:rPr>
          <w:rFonts w:hint="eastAsia" w:ascii="仿宋" w:hAnsi="仿宋" w:eastAsia="仿宋"/>
          <w:b/>
          <w:color w:val="000000"/>
          <w:sz w:val="32"/>
          <w:szCs w:val="32"/>
        </w:rPr>
        <w:t>（三）国有资产占有使用情况</w:t>
      </w:r>
      <w:bookmarkEnd w:id="54"/>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8年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日，桐子林镇人民政府共有车辆0辆，其中：部级领导干部用车0辆、一般公务用车0辆、一般执法执勤用车0辆、特种专业技术用车0辆、其他用车0辆，</w:t>
      </w:r>
      <w:r>
        <w:rPr>
          <w:rFonts w:hint="eastAsia" w:ascii="仿宋_GB2312" w:eastAsia="仿宋_GB2312"/>
          <w:color w:val="000000" w:themeColor="text1"/>
          <w:sz w:val="32"/>
          <w:szCs w:val="32"/>
          <w14:textFill>
            <w14:solidFill>
              <w14:schemeClr w14:val="tx1"/>
            </w14:solidFill>
          </w14:textFill>
        </w:rPr>
        <w:t>其他用车主要是用于无，单价</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万元以上通用设备0台（套），单价</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表，按部门决算报表填报数据罗列车辆情况。）</w:t>
      </w:r>
    </w:p>
    <w:p>
      <w:pPr>
        <w:widowControl/>
        <w:jc w:val="left"/>
        <w:rPr>
          <w:rFonts w:ascii="仿宋_GB2312" w:eastAsia="仿宋_GB2312"/>
          <w:b/>
          <w:color w:val="000000"/>
          <w:sz w:val="32"/>
          <w:szCs w:val="32"/>
        </w:rPr>
      </w:pPr>
    </w:p>
    <w:p>
      <w:pPr>
        <w:numPr>
          <w:ilvl w:val="0"/>
          <w:numId w:val="6"/>
        </w:numPr>
        <w:spacing w:line="600" w:lineRule="exact"/>
        <w:ind w:firstLine="663" w:firstLineChars="150"/>
        <w:jc w:val="center"/>
        <w:outlineLvl w:val="0"/>
        <w:rPr>
          <w:rStyle w:val="25"/>
          <w:rFonts w:ascii="黑体" w:hAnsi="黑体" w:eastAsia="黑体"/>
          <w:b w:val="0"/>
        </w:rPr>
      </w:pPr>
      <w:bookmarkStart w:id="55" w:name="_Toc15377225"/>
      <w:bookmarkStart w:id="56" w:name="_Toc15396613"/>
      <w:r>
        <w:rPr>
          <w:rFonts w:hint="eastAsia" w:ascii="黑体" w:hAnsi="黑体" w:eastAsia="黑体"/>
          <w:b/>
          <w:color w:val="000000"/>
          <w:sz w:val="44"/>
          <w:szCs w:val="44"/>
        </w:rPr>
        <w:t>名</w:t>
      </w:r>
      <w:r>
        <w:rPr>
          <w:rStyle w:val="25"/>
          <w:rFonts w:hint="eastAsia" w:ascii="黑体" w:hAnsi="黑体" w:eastAsia="黑体"/>
          <w:b w:val="0"/>
        </w:rPr>
        <w:t>词解释</w:t>
      </w:r>
      <w:bookmarkEnd w:id="55"/>
      <w:bookmarkEnd w:id="56"/>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人大事务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2010101：指反映行政单位（包括实行公务员管理的事业单位）的基本支出。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2010104：指反映各级人大召开人民代表大会等专门会议的支出。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2010301：指反映行政单位（包括实行公务员管理的事业单位）的基本支出。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2010302：指反映行政单位（包括实行公务员管理的事业单位）未单独设置项级科目的其他项目支出。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2010350：指反映行政单位（包括实行公务员管理的事业单位）的基本支出。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财政事务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2010650：指反映事业单位的基本支出，不包括行政单位（包括实行公务员管理的事业单位）后勤服务中心、医务室等附属事业单位。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民族事务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2012304：指反映用于民族事务管理方面的专项支出。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2013101：指反映行政单位（包括实行公务员管理的事业单位）的基本支出。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文化体育与传媒：文化</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2070109：指反映群众文化方面的支出，包括基层文化馆（站）、群众艺术馆支出等。</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社会保障和就业：人力资源和社会保障管理事务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2080109：指反映社会保险经办机构开展业务工作的支出。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民政管理事务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2080208基层政权建设和社区治理</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行政事业单位离退休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2080504：指反映未实行归口管理的行政单位（包括实行公务员管理的事业单位）开支的离退休支出。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2080505：指反映机关事业单位实施养老保险制度由单位缴纳的基本养老保险费支出。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医疗卫生与计划生育：计划生育事务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2100799：指反映除上述项目以外其他用于计划生育管理事务方面的支出。</w:t>
      </w:r>
    </w:p>
    <w:p>
      <w:pPr>
        <w:rPr>
          <w:rFonts w:ascii="仿宋_GB2312" w:eastAsia="仿宋_GB2312"/>
          <w:color w:val="000000"/>
          <w:sz w:val="32"/>
          <w:szCs w:val="32"/>
        </w:rPr>
      </w:pPr>
      <w:r>
        <w:rPr>
          <w:rFonts w:hint="eastAsia" w:ascii="仿宋_GB2312" w:eastAsia="仿宋_GB2312"/>
          <w:color w:val="000000"/>
          <w:sz w:val="32"/>
          <w:szCs w:val="32"/>
        </w:rPr>
        <w:t>城乡社区：城乡社区环境卫生</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2120501：指反映城乡社区道路清扫、垃圾清运与处理、公厕建设与维护、园林绿化等方面的支出。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农林水</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农业</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2130104：指反映用于农业事业单位基本支出，事业单位设施、系统运行与资产维护等方面的支出。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水利</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2130399：指反映除上述项目以外其他用于水利方面的支出。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农村综合改革</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2130705：指反映各级财政对村民委员会和村党支部的补助支出，以及支持建立县级基本财力保障机制安排的村级组织运转奖补资金。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住房保障支出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2210201：支反映行政事业单位按人力资源和社会保障部、财政部规定的基本工资和津补贴以及规定比例为职工缴纳的住房公积金。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10.结余分配：指事业单位按规定提取的职工福利基金、事业基金和缴纳的所得税，以及建设单位按规定应交回的基本建设竣工项目结余资金。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11.年末结转和结余：指本年度或以前年度预算安排、因客观条件发生变化无法按原计划实施，需延迟到以后年度按有关规定继续使用的资金。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12.基本支出：指为保障机构正常运转、完成日常工作任务而发生的人员支出和公用支出。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 xml:space="preserve">13.项目支出：指在基本支出之外为完成特定行政任务和事业发展目标所发生的支出。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14.经营支出：指事业单位在专业业务活动及其辅助活动之外开展非独立核算经营活动发生的支出。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15.“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16.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ind w:firstLine="640" w:firstLineChars="200"/>
        <w:rPr>
          <w:rFonts w:ascii="仿宋_GB2312" w:eastAsia="仿宋_GB2312"/>
          <w:color w:val="000000"/>
          <w:sz w:val="32"/>
          <w:szCs w:val="32"/>
        </w:rPr>
      </w:pPr>
    </w:p>
    <w:p>
      <w:pPr>
        <w:spacing w:line="600" w:lineRule="exact"/>
        <w:jc w:val="center"/>
        <w:outlineLvl w:val="0"/>
        <w:rPr>
          <w:rStyle w:val="25"/>
          <w:rFonts w:ascii="黑体" w:hAnsi="黑体" w:eastAsia="黑体"/>
          <w:b w:val="0"/>
        </w:rPr>
      </w:pPr>
      <w:bookmarkStart w:id="57" w:name="_Toc15377226"/>
      <w:r>
        <w:rPr>
          <w:rFonts w:ascii="宋体"/>
          <w:b/>
          <w:color w:val="000000"/>
          <w:sz w:val="44"/>
          <w:szCs w:val="44"/>
        </w:rPr>
        <w:br w:type="page"/>
      </w:r>
      <w:bookmarkStart w:id="58" w:name="_Toc15396614"/>
      <w:r>
        <w:rPr>
          <w:rFonts w:hint="eastAsia" w:ascii="黑体" w:hAnsi="黑体" w:eastAsia="黑体"/>
          <w:color w:val="000000"/>
          <w:sz w:val="44"/>
          <w:szCs w:val="44"/>
        </w:rPr>
        <w:t>第</w:t>
      </w:r>
      <w:r>
        <w:rPr>
          <w:rStyle w:val="25"/>
          <w:rFonts w:hint="eastAsia" w:ascii="黑体" w:hAnsi="黑体" w:eastAsia="黑体"/>
          <w:b w:val="0"/>
        </w:rPr>
        <w:t>四部分 附件</w:t>
      </w:r>
      <w:bookmarkEnd w:id="58"/>
    </w:p>
    <w:p>
      <w:pPr>
        <w:spacing w:line="600" w:lineRule="exact"/>
        <w:jc w:val="center"/>
        <w:outlineLvl w:val="0"/>
        <w:rPr>
          <w:rStyle w:val="25"/>
        </w:rPr>
      </w:pPr>
    </w:p>
    <w:p>
      <w:pPr>
        <w:pStyle w:val="3"/>
        <w:rPr>
          <w:rStyle w:val="25"/>
          <w:rFonts w:ascii="仿宋" w:hAnsi="仿宋" w:eastAsia="仿宋"/>
          <w:b w:val="0"/>
          <w:bCs w:val="0"/>
          <w:sz w:val="32"/>
          <w:szCs w:val="32"/>
        </w:rPr>
      </w:pPr>
      <w:bookmarkStart w:id="59" w:name="_Toc15396615"/>
      <w:r>
        <w:rPr>
          <w:rStyle w:val="25"/>
          <w:rFonts w:hint="eastAsia" w:ascii="仿宋" w:hAnsi="仿宋" w:eastAsia="仿宋"/>
          <w:b w:val="0"/>
          <w:bCs w:val="0"/>
          <w:sz w:val="32"/>
          <w:szCs w:val="32"/>
        </w:rPr>
        <w:t>附件1</w:t>
      </w:r>
      <w:bookmarkEnd w:id="59"/>
    </w:p>
    <w:p>
      <w:pPr>
        <w:spacing w:line="600" w:lineRule="exact"/>
        <w:jc w:val="center"/>
        <w:outlineLvl w:val="0"/>
        <w:rPr>
          <w:rFonts w:ascii="黑体" w:hAnsi="黑体" w:eastAsia="黑体" w:cs="方正小标宋简体"/>
          <w:sz w:val="36"/>
          <w:szCs w:val="36"/>
        </w:rPr>
      </w:pPr>
      <w:bookmarkStart w:id="60" w:name="_Toc15396616"/>
      <w:r>
        <w:rPr>
          <w:rFonts w:hint="eastAsia" w:ascii="黑体" w:hAnsi="黑体" w:eastAsia="黑体" w:cs="方正小标宋简体"/>
          <w:sz w:val="36"/>
          <w:szCs w:val="36"/>
        </w:rPr>
        <w:t>桐子林年镇人民政府2018年</w:t>
      </w:r>
    </w:p>
    <w:p>
      <w:pPr>
        <w:spacing w:line="600" w:lineRule="exact"/>
        <w:jc w:val="center"/>
        <w:outlineLvl w:val="0"/>
        <w:rPr>
          <w:rFonts w:ascii="黑体" w:hAnsi="黑体" w:eastAsia="黑体" w:cs="方正小标宋简体"/>
          <w:sz w:val="36"/>
          <w:szCs w:val="36"/>
        </w:rPr>
      </w:pPr>
      <w:r>
        <w:rPr>
          <w:rFonts w:hint="eastAsia" w:ascii="黑体" w:hAnsi="黑体" w:eastAsia="黑体" w:cs="方正小标宋简体"/>
          <w:sz w:val="36"/>
          <w:szCs w:val="36"/>
        </w:rPr>
        <w:t>部门整体支出绩效评价报告</w:t>
      </w:r>
      <w:bookmarkEnd w:id="60"/>
    </w:p>
    <w:p>
      <w:pPr>
        <w:spacing w:line="580" w:lineRule="exact"/>
        <w:ind w:firstLine="640" w:firstLineChars="200"/>
        <w:rPr>
          <w:rFonts w:ascii="黑体" w:hAnsi="黑体" w:eastAsia="黑体" w:cs="黑体"/>
          <w:sz w:val="32"/>
          <w:szCs w:val="32"/>
        </w:rPr>
      </w:pP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一、部门（单位）概况</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（一）机构组成。</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（二）机构职能。</w:t>
      </w:r>
    </w:p>
    <w:p>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桐子林镇人民政府主要维持政府基本运转，维护桐子林镇稳定，提高人民生活水平，保障人们生活品质，促进社会和谐。</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（三）人员概况。</w:t>
      </w:r>
    </w:p>
    <w:p>
      <w:pPr>
        <w:pStyle w:val="12"/>
        <w:shd w:val="clear" w:color="auto" w:fill="FFFFFF"/>
        <w:spacing w:before="0" w:beforeAutospacing="0" w:after="0" w:afterAutospacing="0" w:line="579" w:lineRule="exact"/>
        <w:ind w:firstLine="630"/>
        <w:jc w:val="both"/>
        <w:rPr>
          <w:rFonts w:ascii="仿宋" w:hAnsi="仿宋" w:eastAsia="仿宋" w:cs="仿宋_GB2312"/>
          <w:kern w:val="2"/>
          <w:sz w:val="32"/>
          <w:szCs w:val="32"/>
        </w:rPr>
      </w:pPr>
      <w:r>
        <w:rPr>
          <w:rFonts w:hint="eastAsia" w:ascii="仿宋" w:hAnsi="仿宋" w:eastAsia="仿宋" w:cs="仿宋_GB2312"/>
          <w:kern w:val="2"/>
          <w:sz w:val="32"/>
          <w:szCs w:val="32"/>
        </w:rPr>
        <w:t>我单位2018年人员编制数为50人，其中公务员30人、机关工勤人员4人，事业人员16人；实有人数为48人，其中公务员29人、机关工勤5人、事业人员14人；退休职工28人、遗属7人</w:t>
      </w:r>
      <w:r>
        <w:rPr>
          <w:rFonts w:hint="eastAsia" w:ascii="黑体" w:hAnsi="黑体" w:eastAsia="黑体" w:cs="黑体"/>
          <w:kern w:val="2"/>
          <w:sz w:val="32"/>
          <w:szCs w:val="32"/>
        </w:rPr>
        <w:t>。车辆编制数1辆，实有数1辆。我单</w:t>
      </w:r>
      <w:r>
        <w:rPr>
          <w:rFonts w:hint="eastAsia" w:ascii="仿宋" w:hAnsi="仿宋" w:eastAsia="仿宋" w:cs="仿宋_GB2312"/>
          <w:kern w:val="2"/>
          <w:sz w:val="32"/>
          <w:szCs w:val="32"/>
        </w:rPr>
        <w:t>位内设桐子林镇人民政府一个行政单位和桐子林镇农业服务中心、桐子林镇宣文中性、桐子林镇劳动保障和就业服务中心三个事业单位。</w:t>
      </w:r>
    </w:p>
    <w:p>
      <w:pPr>
        <w:ind w:firstLine="640" w:firstLineChars="200"/>
        <w:rPr>
          <w:rFonts w:ascii="黑体" w:hAnsi="黑体" w:eastAsia="黑体" w:cs="黑体"/>
          <w:sz w:val="32"/>
          <w:szCs w:val="32"/>
        </w:rPr>
      </w:pPr>
      <w:r>
        <w:rPr>
          <w:rFonts w:ascii="黑体" w:hAnsi="黑体" w:eastAsia="黑体" w:cs="黑体"/>
          <w:sz w:val="32"/>
          <w:szCs w:val="32"/>
        </w:rPr>
        <w:t>二、部门财政资金收支情况</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（一）部门</w:t>
      </w:r>
      <w:r>
        <w:rPr>
          <w:rFonts w:ascii="黑体" w:hAnsi="黑体" w:eastAsia="黑体" w:cs="黑体"/>
          <w:sz w:val="32"/>
          <w:szCs w:val="32"/>
        </w:rPr>
        <w:t>财政资金收入情</w:t>
      </w:r>
      <w:r>
        <w:rPr>
          <w:rFonts w:ascii="仿宋" w:hAnsi="仿宋" w:eastAsia="仿宋" w:cs="仿宋_GB2312"/>
          <w:sz w:val="32"/>
          <w:szCs w:val="32"/>
        </w:rPr>
        <w:t>况。</w:t>
      </w:r>
    </w:p>
    <w:p>
      <w:pPr>
        <w:ind w:firstLine="640" w:firstLineChars="200"/>
        <w:rPr>
          <w:rFonts w:ascii="黑体" w:hAnsi="黑体" w:eastAsia="黑体" w:cs="黑体"/>
          <w:sz w:val="32"/>
          <w:szCs w:val="32"/>
        </w:rPr>
      </w:pPr>
      <w:r>
        <w:rPr>
          <w:rFonts w:hint="eastAsia" w:ascii="黑体" w:hAnsi="黑体" w:eastAsia="黑体" w:cs="黑体"/>
          <w:sz w:val="32"/>
          <w:szCs w:val="32"/>
        </w:rPr>
        <w:t>2018年全年公共财政预算收入数19017797.48元，其中：一般预算收入12887797.48元，政府性基金收入6130000元。（其中：一般预算收入基本收入为8282658.32元，一般预算收入</w:t>
      </w:r>
      <w:r>
        <w:rPr>
          <w:rFonts w:hint="eastAsia" w:ascii="仿宋" w:hAnsi="仿宋" w:eastAsia="仿宋" w:cs="仿宋_GB2312"/>
          <w:sz w:val="32"/>
          <w:szCs w:val="32"/>
        </w:rPr>
        <w:t>项目收入为4605139.16元；政府性基金收入61</w:t>
      </w:r>
      <w:r>
        <w:rPr>
          <w:rFonts w:hint="eastAsia" w:ascii="黑体" w:hAnsi="黑体" w:eastAsia="黑体" w:cs="黑体"/>
          <w:sz w:val="32"/>
          <w:szCs w:val="32"/>
        </w:rPr>
        <w:t>30000元；其他收入328500元。）</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（二）部门财政资金支出情况。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2018年全年公共财政预算支出数16295902.98元，其中：一般预算基本支出12967797.48元，政府性基金支出3328105.5元。（其中：一般预算支出基本支出为8282658.32元，一般预算支出项目支出为4685139.16元，包含2017年年财政应返还额度中央自然灾害</w:t>
      </w:r>
      <w:r>
        <w:rPr>
          <w:rFonts w:hint="eastAsia" w:ascii="仿宋" w:hAnsi="仿宋" w:eastAsia="仿宋" w:cs="仿宋_GB2312"/>
          <w:sz w:val="32"/>
          <w:szCs w:val="32"/>
          <w:lang w:val="en-US" w:eastAsia="zh-CN"/>
        </w:rPr>
        <w:t>救灾</w:t>
      </w:r>
      <w:r>
        <w:rPr>
          <w:rFonts w:hint="eastAsia" w:ascii="仿宋" w:hAnsi="仿宋" w:eastAsia="仿宋" w:cs="仿宋_GB2312"/>
          <w:sz w:val="32"/>
          <w:szCs w:val="32"/>
        </w:rPr>
        <w:t>资金80000元；政府性基金支出3328105.5元，包含往年结余基金支出327477.3元(本年预算内基金结余3129372元)；其他收入支出300600元。</w:t>
      </w:r>
    </w:p>
    <w:p>
      <w:pPr>
        <w:spacing w:line="580" w:lineRule="exact"/>
        <w:ind w:firstLine="640" w:firstLineChars="200"/>
        <w:rPr>
          <w:rFonts w:ascii="黑体" w:hAnsi="黑体" w:eastAsia="黑体" w:cs="黑体"/>
          <w:sz w:val="32"/>
          <w:szCs w:val="32"/>
        </w:rPr>
      </w:pPr>
      <w:r>
        <w:rPr>
          <w:rFonts w:ascii="黑体" w:hAnsi="黑体" w:eastAsia="黑体" w:cs="黑体"/>
          <w:sz w:val="32"/>
          <w:szCs w:val="32"/>
        </w:rPr>
        <w:t>三、部门整体预算绩效管理情况（根据适用指标体系进行调整）</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（一）部门预算管理。</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包括部门绩效目标制定、目标完成、预算编制准确、支出控制、预算动态调整、执行进度、预算完成情况和违规记录等情况。</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（二）专项预算管理。</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包括专项预算项目程序严密、规划合理、结果符合、分配科学、分配及时、专项预算绩效目标完成、实施绩效、违规记录等情况。</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（三）结果应用情况。</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包括部门自评质量、绩效目标公开和自评公开、评价结果整改和应用结果反馈等情况。</w:t>
      </w:r>
    </w:p>
    <w:p>
      <w:pPr>
        <w:spacing w:line="580" w:lineRule="exact"/>
        <w:ind w:firstLine="640" w:firstLineChars="200"/>
        <w:rPr>
          <w:rFonts w:ascii="黑体" w:hAnsi="黑体" w:eastAsia="黑体" w:cs="黑体"/>
          <w:sz w:val="32"/>
          <w:szCs w:val="32"/>
        </w:rPr>
      </w:pPr>
      <w:r>
        <w:rPr>
          <w:rFonts w:ascii="黑体" w:hAnsi="黑体" w:eastAsia="黑体" w:cs="黑体"/>
          <w:sz w:val="32"/>
          <w:szCs w:val="32"/>
        </w:rPr>
        <w:t>四、评价结论及建议</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pPr>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1、部门职能履行情况：严格执行财务管理法律法规，强化项目资金管理和使用。以县财政局支付管理相关规定为准绳，同时结合实际情况，加强项目资金的管理和监督，杜绝违规违法事件发生。预算支出保障了本单位的日常运转，认真履行了部门职能职责。</w:t>
      </w:r>
    </w:p>
    <w:p>
      <w:pPr>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2、项目实施绩效：预算编制情况较好，但项目实际推进较慢，预算执行进度受到一定的影响。</w:t>
      </w:r>
    </w:p>
    <w:p>
      <w:pPr>
        <w:spacing w:line="560" w:lineRule="exact"/>
        <w:ind w:firstLine="640" w:firstLineChars="200"/>
        <w:jc w:val="left"/>
        <w:rPr>
          <w:rFonts w:ascii="仿宋" w:hAnsi="仿宋" w:eastAsia="仿宋" w:cs="仿宋_GB2312"/>
          <w:sz w:val="32"/>
          <w:szCs w:val="32"/>
        </w:rPr>
      </w:pPr>
      <w:r>
        <w:rPr>
          <w:rFonts w:ascii="仿宋" w:hAnsi="仿宋" w:eastAsia="仿宋" w:cs="仿宋_GB2312"/>
          <w:sz w:val="32"/>
          <w:szCs w:val="32"/>
        </w:rPr>
        <w:t>（二）存在问题。</w:t>
      </w:r>
    </w:p>
    <w:p>
      <w:pPr>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需加强会计核算学习，做好做细预算基础工作，提高预算、核算准确性。加强工作力度，积极争取各方面支持，加快项目实施进度，更好的完成预算执行。</w:t>
      </w:r>
    </w:p>
    <w:p>
      <w:pPr>
        <w:spacing w:line="560" w:lineRule="exact"/>
        <w:ind w:firstLine="640" w:firstLineChars="200"/>
        <w:jc w:val="left"/>
        <w:rPr>
          <w:rFonts w:ascii="仿宋" w:hAnsi="仿宋" w:eastAsia="仿宋" w:cs="仿宋_GB2312"/>
          <w:sz w:val="32"/>
          <w:szCs w:val="32"/>
        </w:rPr>
      </w:pPr>
      <w:r>
        <w:rPr>
          <w:rFonts w:ascii="仿宋" w:hAnsi="仿宋" w:eastAsia="仿宋" w:cs="仿宋_GB2312"/>
          <w:sz w:val="32"/>
          <w:szCs w:val="32"/>
        </w:rPr>
        <w:t>（三）改进建议。</w:t>
      </w:r>
    </w:p>
    <w:p>
      <w:pPr>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由于乡镇实际情况复杂多变，每年预算资金保证基本运转已经非常吃力，但经常出现突发事件，如：群众维稳情况、精神病人闹事情况等，希望能为此类事件考虑一定的资金预算，而不是在预算经费中自行安排。希望加强预算相关培训、交流，提高工作准确性。</w:t>
      </w:r>
    </w:p>
    <w:p>
      <w:pPr>
        <w:widowControl/>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3"/>
        <w:rPr>
          <w:rStyle w:val="25"/>
          <w:rFonts w:ascii="仿宋" w:hAnsi="仿宋" w:eastAsia="仿宋"/>
          <w:b w:val="0"/>
          <w:bCs w:val="0"/>
          <w:sz w:val="32"/>
          <w:szCs w:val="32"/>
        </w:rPr>
      </w:pPr>
      <w:bookmarkStart w:id="61" w:name="_Toc15396617"/>
      <w:r>
        <w:rPr>
          <w:rStyle w:val="25"/>
          <w:rFonts w:hint="eastAsia" w:ascii="仿宋" w:hAnsi="仿宋" w:eastAsia="仿宋"/>
          <w:b w:val="0"/>
          <w:bCs w:val="0"/>
          <w:sz w:val="32"/>
          <w:szCs w:val="32"/>
        </w:rPr>
        <w:t>附件2</w:t>
      </w:r>
      <w:bookmarkEnd w:id="61"/>
    </w:p>
    <w:p>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2018年桐子林镇人民政府项目支出绩效评价报告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w:t>
      </w:r>
      <w:r>
        <w:rPr>
          <w:rFonts w:ascii="仿宋" w:hAnsi="仿宋" w:eastAsia="仿宋" w:cs="仿宋_GB2312"/>
          <w:sz w:val="32"/>
          <w:szCs w:val="32"/>
        </w:rPr>
        <w:t>、评价工作开展及项目情况</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项目评价实施方案情况（包括选点、评价指标、评价方法、基础数据表等情况）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w:t>
      </w:r>
      <w:r>
        <w:rPr>
          <w:rFonts w:ascii="仿宋" w:hAnsi="仿宋" w:eastAsia="仿宋" w:cs="仿宋_GB2312"/>
          <w:sz w:val="32"/>
          <w:szCs w:val="32"/>
        </w:rPr>
        <w:t>、评价结论及绩效分析</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项目绩效评价总体结论（包括项目评价得分表）</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（二）绩效分析</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1、项目决策</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必要性和可行性分析（包括政策依据和政策完善，政策和需求的吻合程度分析），绩效目标设置情况（包括绩效目标设置的明确性和合理性）</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2、项目管理</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资金分配情况（资金分配管理的科学合理性）资，金使用情况（项目、资金管理的科学规范性）</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3、项目绩效</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项目目标完成情况（数量、质量、时效、成本），项目效益情况（经济效益、项目社会效益、生态效益、可持续效益、公平性、资金使用效率、受益群体满意度等）。</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w:t>
      </w:r>
      <w:r>
        <w:rPr>
          <w:rFonts w:ascii="仿宋" w:hAnsi="仿宋" w:eastAsia="仿宋" w:cs="仿宋_GB2312"/>
          <w:sz w:val="32"/>
          <w:szCs w:val="32"/>
        </w:rPr>
        <w:t>、存在主要问题</w:t>
      </w:r>
    </w:p>
    <w:p>
      <w:pPr>
        <w:spacing w:line="580" w:lineRule="exact"/>
        <w:ind w:firstLine="640" w:firstLineChars="200"/>
        <w:rPr>
          <w:rStyle w:val="25"/>
          <w:rFonts w:ascii="仿宋" w:hAnsi="仿宋" w:eastAsia="仿宋" w:cs="仿宋_GB2312"/>
          <w:b w:val="0"/>
          <w:bCs w:val="0"/>
          <w:kern w:val="2"/>
          <w:sz w:val="32"/>
          <w:szCs w:val="32"/>
        </w:rPr>
      </w:pPr>
      <w:r>
        <w:rPr>
          <w:rFonts w:hint="eastAsia" w:ascii="仿宋" w:hAnsi="仿宋" w:eastAsia="仿宋" w:cs="仿宋_GB2312"/>
          <w:sz w:val="32"/>
          <w:szCs w:val="32"/>
        </w:rPr>
        <w:t>四</w:t>
      </w:r>
      <w:r>
        <w:rPr>
          <w:rFonts w:ascii="仿宋" w:hAnsi="仿宋" w:eastAsia="仿宋" w:cs="仿宋_GB2312"/>
          <w:sz w:val="32"/>
          <w:szCs w:val="32"/>
        </w:rPr>
        <w:t>、相关措施建议</w:t>
      </w:r>
    </w:p>
    <w:p>
      <w:pPr>
        <w:spacing w:line="600" w:lineRule="exact"/>
        <w:jc w:val="center"/>
        <w:outlineLvl w:val="0"/>
        <w:rPr>
          <w:rStyle w:val="25"/>
          <w:rFonts w:ascii="黑体" w:hAnsi="黑体" w:eastAsia="黑体"/>
          <w:b w:val="0"/>
        </w:rPr>
      </w:pPr>
      <w:bookmarkStart w:id="62" w:name="_Toc15396618"/>
      <w:r>
        <w:rPr>
          <w:rFonts w:hint="eastAsia" w:ascii="黑体" w:hAnsi="黑体" w:eastAsia="黑体"/>
          <w:color w:val="000000"/>
          <w:sz w:val="44"/>
          <w:szCs w:val="44"/>
        </w:rPr>
        <w:t>第</w:t>
      </w:r>
      <w:r>
        <w:rPr>
          <w:rStyle w:val="25"/>
          <w:rFonts w:hint="eastAsia" w:ascii="黑体" w:hAnsi="黑体" w:eastAsia="黑体"/>
          <w:b w:val="0"/>
        </w:rPr>
        <w:t>五部分 附表</w:t>
      </w:r>
      <w:bookmarkEnd w:id="57"/>
      <w:bookmarkEnd w:id="62"/>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63" w:name="_Toc15396619"/>
      <w:r>
        <w:rPr>
          <w:rFonts w:hint="eastAsia" w:ascii="仿宋" w:hAnsi="仿宋" w:eastAsia="仿宋"/>
          <w:b w:val="0"/>
          <w:color w:val="000000"/>
        </w:rPr>
        <w:t>一、收</w:t>
      </w:r>
      <w:r>
        <w:rPr>
          <w:rStyle w:val="26"/>
          <w:rFonts w:hint="eastAsia" w:ascii="仿宋" w:hAnsi="仿宋" w:eastAsia="仿宋"/>
          <w:b w:val="0"/>
          <w:bCs w:val="0"/>
        </w:rPr>
        <w:t>入支出决算总表</w:t>
      </w:r>
      <w:bookmarkEnd w:id="63"/>
    </w:p>
    <w:p>
      <w:pPr>
        <w:pStyle w:val="3"/>
        <w:rPr>
          <w:rFonts w:ascii="仿宋" w:hAnsi="仿宋" w:eastAsia="仿宋"/>
          <w:color w:val="000000"/>
        </w:rPr>
      </w:pPr>
      <w:bookmarkStart w:id="64" w:name="_Toc15396620"/>
      <w:r>
        <w:rPr>
          <w:rFonts w:hint="eastAsia" w:ascii="仿宋" w:hAnsi="仿宋" w:eastAsia="仿宋"/>
          <w:b w:val="0"/>
          <w:color w:val="000000"/>
        </w:rPr>
        <w:t>二、收</w:t>
      </w:r>
      <w:r>
        <w:rPr>
          <w:rStyle w:val="26"/>
          <w:rFonts w:hint="eastAsia" w:ascii="仿宋" w:hAnsi="仿宋" w:eastAsia="仿宋"/>
          <w:b w:val="0"/>
          <w:bCs w:val="0"/>
        </w:rPr>
        <w:t>入总表</w:t>
      </w:r>
      <w:bookmarkEnd w:id="64"/>
    </w:p>
    <w:p>
      <w:pPr>
        <w:pStyle w:val="3"/>
        <w:rPr>
          <w:rFonts w:ascii="仿宋" w:hAnsi="仿宋" w:eastAsia="仿宋"/>
          <w:color w:val="000000"/>
        </w:rPr>
      </w:pPr>
      <w:bookmarkStart w:id="65"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出总表</w:t>
      </w:r>
      <w:bookmarkEnd w:id="65"/>
    </w:p>
    <w:p>
      <w:pPr>
        <w:pStyle w:val="3"/>
        <w:rPr>
          <w:rFonts w:ascii="仿宋" w:hAnsi="仿宋" w:eastAsia="仿宋"/>
          <w:b w:val="0"/>
          <w:color w:val="000000"/>
        </w:rPr>
      </w:pPr>
      <w:bookmarkStart w:id="66" w:name="_Toc15396622"/>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66"/>
    </w:p>
    <w:p>
      <w:pPr>
        <w:pStyle w:val="3"/>
        <w:rPr>
          <w:rFonts w:ascii="仿宋" w:hAnsi="仿宋" w:eastAsia="仿宋"/>
          <w:color w:val="000000"/>
        </w:rPr>
      </w:pPr>
      <w:bookmarkStart w:id="67" w:name="_Toc15396623"/>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政拨款支出决算明细表（政府经济分类科目）</w:t>
      </w:r>
      <w:bookmarkEnd w:id="67"/>
    </w:p>
    <w:p>
      <w:pPr>
        <w:pStyle w:val="3"/>
        <w:rPr>
          <w:rFonts w:ascii="仿宋" w:hAnsi="仿宋" w:eastAsia="仿宋"/>
          <w:color w:val="000000"/>
        </w:rPr>
      </w:pPr>
      <w:bookmarkStart w:id="68" w:name="_Toc15396624"/>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68"/>
    </w:p>
    <w:p>
      <w:pPr>
        <w:pStyle w:val="3"/>
        <w:rPr>
          <w:rFonts w:ascii="仿宋" w:hAnsi="仿宋" w:eastAsia="仿宋"/>
          <w:color w:val="000000"/>
        </w:rPr>
      </w:pPr>
      <w:bookmarkStart w:id="69"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69"/>
    </w:p>
    <w:p>
      <w:pPr>
        <w:pStyle w:val="3"/>
        <w:rPr>
          <w:rFonts w:ascii="仿宋" w:hAnsi="仿宋" w:eastAsia="仿宋"/>
          <w:color w:val="000000"/>
        </w:rPr>
      </w:pPr>
      <w:bookmarkStart w:id="70" w:name="_Toc15396626"/>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70"/>
    </w:p>
    <w:p>
      <w:pPr>
        <w:pStyle w:val="3"/>
        <w:rPr>
          <w:rFonts w:ascii="仿宋" w:hAnsi="仿宋" w:eastAsia="仿宋"/>
          <w:color w:val="000000"/>
        </w:rPr>
      </w:pPr>
      <w:bookmarkStart w:id="71" w:name="_Toc15396627"/>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71"/>
    </w:p>
    <w:p>
      <w:pPr>
        <w:pStyle w:val="3"/>
        <w:rPr>
          <w:rFonts w:ascii="仿宋" w:hAnsi="仿宋" w:eastAsia="仿宋"/>
          <w:color w:val="000000"/>
        </w:rPr>
      </w:pPr>
      <w:bookmarkStart w:id="72" w:name="_Toc15396628"/>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72"/>
    </w:p>
    <w:p>
      <w:pPr>
        <w:pStyle w:val="3"/>
        <w:rPr>
          <w:rFonts w:ascii="仿宋" w:hAnsi="仿宋" w:eastAsia="仿宋"/>
          <w:color w:val="000000"/>
        </w:rPr>
      </w:pPr>
      <w:bookmarkStart w:id="73" w:name="_Toc15396629"/>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73"/>
    </w:p>
    <w:p>
      <w:pPr>
        <w:pStyle w:val="3"/>
        <w:rPr>
          <w:rFonts w:ascii="仿宋" w:hAnsi="仿宋" w:eastAsia="仿宋"/>
          <w:color w:val="000000"/>
        </w:rPr>
      </w:pPr>
      <w:bookmarkStart w:id="74" w:name="_Toc15396630"/>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74"/>
    </w:p>
    <w:p>
      <w:pPr>
        <w:pStyle w:val="3"/>
        <w:rPr>
          <w:rFonts w:ascii="仿宋" w:hAnsi="仿宋" w:eastAsia="仿宋"/>
          <w:color w:val="000000" w:themeColor="text1"/>
          <w14:textFill>
            <w14:solidFill>
              <w14:schemeClr w14:val="tx1"/>
            </w14:solidFill>
          </w14:textFill>
        </w:rPr>
      </w:pPr>
      <w:bookmarkStart w:id="75" w:name="_Toc15396631"/>
      <w:r>
        <w:rPr>
          <w:rStyle w:val="26"/>
          <w:rFonts w:hint="eastAsia" w:ascii="仿宋" w:hAnsi="仿宋" w:eastAsia="仿宋"/>
          <w:b w:val="0"/>
          <w:bCs w:val="0"/>
        </w:rPr>
        <w:t>十三、</w:t>
      </w:r>
      <w:r>
        <w:rPr>
          <w:rFonts w:hint="eastAsia" w:ascii="仿宋" w:hAnsi="仿宋" w:eastAsia="仿宋"/>
          <w:b w:val="0"/>
          <w:color w:val="000000"/>
        </w:rPr>
        <w:t>国</w:t>
      </w:r>
      <w:r>
        <w:rPr>
          <w:rStyle w:val="26"/>
          <w:rFonts w:hint="eastAsia" w:ascii="仿宋" w:hAnsi="仿宋" w:eastAsia="仿宋"/>
          <w:b w:val="0"/>
          <w:bCs w:val="0"/>
        </w:rPr>
        <w:t>有资本经营预算支出决算表</w:t>
      </w:r>
      <w:bookmarkEnd w:id="75"/>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docPartObj>
        <w:docPartGallery w:val="autotext"/>
      </w:docPartObj>
    </w:sdtPr>
    <w:sdtContent>
      <w:p>
        <w:pPr>
          <w:pStyle w:val="8"/>
          <w:jc w:val="center"/>
        </w:pPr>
        <w:r>
          <w:fldChar w:fldCharType="begin"/>
        </w:r>
        <w:r>
          <w:instrText xml:space="preserve">PAGE   \* MERGEFORMAT</w:instrText>
        </w:r>
        <w:r>
          <w:fldChar w:fldCharType="separate"/>
        </w:r>
        <w:r>
          <w:rPr>
            <w:lang w:val="zh-CN"/>
          </w:rPr>
          <w:t>21</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26C66B"/>
    <w:multiLevelType w:val="singleLevel"/>
    <w:tmpl w:val="B026C66B"/>
    <w:lvl w:ilvl="0" w:tentative="0">
      <w:start w:val="1"/>
      <w:numFmt w:val="decimal"/>
      <w:lvlText w:val="%1."/>
      <w:lvlJc w:val="left"/>
      <w:pPr>
        <w:tabs>
          <w:tab w:val="left" w:pos="312"/>
        </w:tabs>
      </w:p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17F426B7"/>
    <w:multiLevelType w:val="multilevel"/>
    <w:tmpl w:val="17F426B7"/>
    <w:lvl w:ilvl="0" w:tentative="0">
      <w:start w:val="10"/>
      <w:numFmt w:val="japaneseCounting"/>
      <w:lvlText w:val="%1、"/>
      <w:lvlJc w:val="left"/>
      <w:pPr>
        <w:ind w:left="1429" w:hanging="720"/>
      </w:pPr>
      <w:rPr>
        <w:rFonts w:hint="default"/>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6487A"/>
    <w:rsid w:val="00065F8F"/>
    <w:rsid w:val="00073C42"/>
    <w:rsid w:val="000768F2"/>
    <w:rsid w:val="00081AA9"/>
    <w:rsid w:val="0009184B"/>
    <w:rsid w:val="00093573"/>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47F57"/>
    <w:rsid w:val="0015433D"/>
    <w:rsid w:val="00157BAB"/>
    <w:rsid w:val="001654D1"/>
    <w:rsid w:val="0018106D"/>
    <w:rsid w:val="001877A7"/>
    <w:rsid w:val="00191536"/>
    <w:rsid w:val="00196687"/>
    <w:rsid w:val="001C0962"/>
    <w:rsid w:val="001D4E9C"/>
    <w:rsid w:val="001D7531"/>
    <w:rsid w:val="001E737D"/>
    <w:rsid w:val="001F0592"/>
    <w:rsid w:val="001F7506"/>
    <w:rsid w:val="002006CD"/>
    <w:rsid w:val="00202B36"/>
    <w:rsid w:val="00203C7C"/>
    <w:rsid w:val="00204B7A"/>
    <w:rsid w:val="0021101A"/>
    <w:rsid w:val="00216CF0"/>
    <w:rsid w:val="00220536"/>
    <w:rsid w:val="00227E9C"/>
    <w:rsid w:val="00235629"/>
    <w:rsid w:val="00260C38"/>
    <w:rsid w:val="002616C0"/>
    <w:rsid w:val="002662AA"/>
    <w:rsid w:val="00280496"/>
    <w:rsid w:val="0028406A"/>
    <w:rsid w:val="00291491"/>
    <w:rsid w:val="00295495"/>
    <w:rsid w:val="002B06EF"/>
    <w:rsid w:val="002B2613"/>
    <w:rsid w:val="002C067A"/>
    <w:rsid w:val="002D06CA"/>
    <w:rsid w:val="002F1818"/>
    <w:rsid w:val="002F26A4"/>
    <w:rsid w:val="002F567B"/>
    <w:rsid w:val="003216A9"/>
    <w:rsid w:val="00323FAC"/>
    <w:rsid w:val="0037013F"/>
    <w:rsid w:val="00371F5A"/>
    <w:rsid w:val="0037612A"/>
    <w:rsid w:val="003808FB"/>
    <w:rsid w:val="00380C92"/>
    <w:rsid w:val="003A484F"/>
    <w:rsid w:val="003B0BE0"/>
    <w:rsid w:val="003B0C1B"/>
    <w:rsid w:val="003B688C"/>
    <w:rsid w:val="003C0291"/>
    <w:rsid w:val="003C39AE"/>
    <w:rsid w:val="003C7B60"/>
    <w:rsid w:val="003D0B96"/>
    <w:rsid w:val="003D1FB2"/>
    <w:rsid w:val="003D66DA"/>
    <w:rsid w:val="003E1310"/>
    <w:rsid w:val="003E6F55"/>
    <w:rsid w:val="00406254"/>
    <w:rsid w:val="00415A04"/>
    <w:rsid w:val="00416CDD"/>
    <w:rsid w:val="004223DE"/>
    <w:rsid w:val="00423A1E"/>
    <w:rsid w:val="00434489"/>
    <w:rsid w:val="00437085"/>
    <w:rsid w:val="00443880"/>
    <w:rsid w:val="004464F4"/>
    <w:rsid w:val="00471401"/>
    <w:rsid w:val="00473F31"/>
    <w:rsid w:val="004751E2"/>
    <w:rsid w:val="0048263A"/>
    <w:rsid w:val="00487E5D"/>
    <w:rsid w:val="00491591"/>
    <w:rsid w:val="004A711F"/>
    <w:rsid w:val="004B199D"/>
    <w:rsid w:val="004B4690"/>
    <w:rsid w:val="004D0938"/>
    <w:rsid w:val="004E0A2D"/>
    <w:rsid w:val="004E206B"/>
    <w:rsid w:val="004E6DF7"/>
    <w:rsid w:val="004F0FBD"/>
    <w:rsid w:val="00505A47"/>
    <w:rsid w:val="00512FDA"/>
    <w:rsid w:val="00520DA0"/>
    <w:rsid w:val="005664BB"/>
    <w:rsid w:val="0057481D"/>
    <w:rsid w:val="0058486E"/>
    <w:rsid w:val="005A0FD5"/>
    <w:rsid w:val="005D1C8B"/>
    <w:rsid w:val="005D5CED"/>
    <w:rsid w:val="005F1A4C"/>
    <w:rsid w:val="005F2BBE"/>
    <w:rsid w:val="00605688"/>
    <w:rsid w:val="006070AF"/>
    <w:rsid w:val="00607E6C"/>
    <w:rsid w:val="006101B1"/>
    <w:rsid w:val="00614E44"/>
    <w:rsid w:val="00622830"/>
    <w:rsid w:val="00630AEF"/>
    <w:rsid w:val="006325F8"/>
    <w:rsid w:val="00634C9A"/>
    <w:rsid w:val="006440E4"/>
    <w:rsid w:val="0066343B"/>
    <w:rsid w:val="00664777"/>
    <w:rsid w:val="00674247"/>
    <w:rsid w:val="006748A4"/>
    <w:rsid w:val="00683E73"/>
    <w:rsid w:val="006A3141"/>
    <w:rsid w:val="006A5E34"/>
    <w:rsid w:val="006B2422"/>
    <w:rsid w:val="006B2B9A"/>
    <w:rsid w:val="006C1937"/>
    <w:rsid w:val="006F020C"/>
    <w:rsid w:val="006F2F55"/>
    <w:rsid w:val="007127B7"/>
    <w:rsid w:val="007416B6"/>
    <w:rsid w:val="00746F48"/>
    <w:rsid w:val="00752014"/>
    <w:rsid w:val="0075404D"/>
    <w:rsid w:val="0076182A"/>
    <w:rsid w:val="00764334"/>
    <w:rsid w:val="00767B7E"/>
    <w:rsid w:val="007770C3"/>
    <w:rsid w:val="00784D24"/>
    <w:rsid w:val="00785FBA"/>
    <w:rsid w:val="00786E4A"/>
    <w:rsid w:val="007875EB"/>
    <w:rsid w:val="0079426B"/>
    <w:rsid w:val="007D0A5C"/>
    <w:rsid w:val="007D312A"/>
    <w:rsid w:val="007D3F19"/>
    <w:rsid w:val="007E23B0"/>
    <w:rsid w:val="007F1991"/>
    <w:rsid w:val="007F2C2F"/>
    <w:rsid w:val="007F55FC"/>
    <w:rsid w:val="007F5665"/>
    <w:rsid w:val="00800112"/>
    <w:rsid w:val="008253BB"/>
    <w:rsid w:val="0083706E"/>
    <w:rsid w:val="008423A5"/>
    <w:rsid w:val="00850625"/>
    <w:rsid w:val="00851389"/>
    <w:rsid w:val="00853718"/>
    <w:rsid w:val="00855221"/>
    <w:rsid w:val="00860645"/>
    <w:rsid w:val="00871F71"/>
    <w:rsid w:val="00885AF4"/>
    <w:rsid w:val="008939CD"/>
    <w:rsid w:val="008B3B4F"/>
    <w:rsid w:val="008B768C"/>
    <w:rsid w:val="008C4DB1"/>
    <w:rsid w:val="008C4EAF"/>
    <w:rsid w:val="008C5176"/>
    <w:rsid w:val="008C7FD0"/>
    <w:rsid w:val="008E1DE7"/>
    <w:rsid w:val="008E2709"/>
    <w:rsid w:val="008E707C"/>
    <w:rsid w:val="008E78FA"/>
    <w:rsid w:val="008F4ED4"/>
    <w:rsid w:val="00900B08"/>
    <w:rsid w:val="00902155"/>
    <w:rsid w:val="00902FA3"/>
    <w:rsid w:val="00923564"/>
    <w:rsid w:val="0092392E"/>
    <w:rsid w:val="009315F9"/>
    <w:rsid w:val="00946945"/>
    <w:rsid w:val="00951248"/>
    <w:rsid w:val="0095152F"/>
    <w:rsid w:val="00954C49"/>
    <w:rsid w:val="0097099F"/>
    <w:rsid w:val="00971997"/>
    <w:rsid w:val="00971FFC"/>
    <w:rsid w:val="0098660A"/>
    <w:rsid w:val="009931C3"/>
    <w:rsid w:val="009A613A"/>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0DED"/>
    <w:rsid w:val="00A4142F"/>
    <w:rsid w:val="00A56DF2"/>
    <w:rsid w:val="00A67AB5"/>
    <w:rsid w:val="00A90548"/>
    <w:rsid w:val="00A91760"/>
    <w:rsid w:val="00A93B00"/>
    <w:rsid w:val="00A93C21"/>
    <w:rsid w:val="00A95EF9"/>
    <w:rsid w:val="00AA30F5"/>
    <w:rsid w:val="00AC3C6A"/>
    <w:rsid w:val="00AD5620"/>
    <w:rsid w:val="00AD7C1B"/>
    <w:rsid w:val="00AE16BA"/>
    <w:rsid w:val="00AE1EBE"/>
    <w:rsid w:val="00AF3120"/>
    <w:rsid w:val="00B03C9D"/>
    <w:rsid w:val="00B060AE"/>
    <w:rsid w:val="00B10517"/>
    <w:rsid w:val="00B14E76"/>
    <w:rsid w:val="00B161B8"/>
    <w:rsid w:val="00B2048C"/>
    <w:rsid w:val="00B310B9"/>
    <w:rsid w:val="00B35F3F"/>
    <w:rsid w:val="00B36CBB"/>
    <w:rsid w:val="00B37872"/>
    <w:rsid w:val="00B425E0"/>
    <w:rsid w:val="00B440AA"/>
    <w:rsid w:val="00B4491E"/>
    <w:rsid w:val="00B44B70"/>
    <w:rsid w:val="00B53C56"/>
    <w:rsid w:val="00B67421"/>
    <w:rsid w:val="00B7245F"/>
    <w:rsid w:val="00B77EA6"/>
    <w:rsid w:val="00B81598"/>
    <w:rsid w:val="00B833E7"/>
    <w:rsid w:val="00B841F1"/>
    <w:rsid w:val="00B944D6"/>
    <w:rsid w:val="00B97028"/>
    <w:rsid w:val="00BA5382"/>
    <w:rsid w:val="00BB4DF0"/>
    <w:rsid w:val="00BC289F"/>
    <w:rsid w:val="00BC5361"/>
    <w:rsid w:val="00BC5460"/>
    <w:rsid w:val="00BC5D45"/>
    <w:rsid w:val="00BC5F51"/>
    <w:rsid w:val="00BC6B50"/>
    <w:rsid w:val="00BD0E25"/>
    <w:rsid w:val="00BF2CA9"/>
    <w:rsid w:val="00BF5BD6"/>
    <w:rsid w:val="00C03E31"/>
    <w:rsid w:val="00C178AE"/>
    <w:rsid w:val="00C33E72"/>
    <w:rsid w:val="00C354B2"/>
    <w:rsid w:val="00C35554"/>
    <w:rsid w:val="00C405BF"/>
    <w:rsid w:val="00C42709"/>
    <w:rsid w:val="00C44C88"/>
    <w:rsid w:val="00C533CC"/>
    <w:rsid w:val="00C5751C"/>
    <w:rsid w:val="00C61BFC"/>
    <w:rsid w:val="00C62B85"/>
    <w:rsid w:val="00C65438"/>
    <w:rsid w:val="00C91CBB"/>
    <w:rsid w:val="00C96180"/>
    <w:rsid w:val="00CC09B6"/>
    <w:rsid w:val="00CC666F"/>
    <w:rsid w:val="00CD1E3F"/>
    <w:rsid w:val="00CE44F6"/>
    <w:rsid w:val="00CE49DA"/>
    <w:rsid w:val="00CE7B61"/>
    <w:rsid w:val="00D00095"/>
    <w:rsid w:val="00D07891"/>
    <w:rsid w:val="00D20620"/>
    <w:rsid w:val="00D21F83"/>
    <w:rsid w:val="00D26091"/>
    <w:rsid w:val="00D34E7C"/>
    <w:rsid w:val="00D35489"/>
    <w:rsid w:val="00D416A4"/>
    <w:rsid w:val="00D51276"/>
    <w:rsid w:val="00D7035F"/>
    <w:rsid w:val="00DA65AC"/>
    <w:rsid w:val="00DB1913"/>
    <w:rsid w:val="00DB6AA0"/>
    <w:rsid w:val="00DC410D"/>
    <w:rsid w:val="00DC68CA"/>
    <w:rsid w:val="00DC7CBA"/>
    <w:rsid w:val="00DD73B7"/>
    <w:rsid w:val="00DF28BC"/>
    <w:rsid w:val="00DF34B9"/>
    <w:rsid w:val="00E01053"/>
    <w:rsid w:val="00E018D5"/>
    <w:rsid w:val="00E07ACF"/>
    <w:rsid w:val="00E24A91"/>
    <w:rsid w:val="00E331A1"/>
    <w:rsid w:val="00E33202"/>
    <w:rsid w:val="00E336A9"/>
    <w:rsid w:val="00E36945"/>
    <w:rsid w:val="00E476D4"/>
    <w:rsid w:val="00E50624"/>
    <w:rsid w:val="00E568DF"/>
    <w:rsid w:val="00E64269"/>
    <w:rsid w:val="00E82267"/>
    <w:rsid w:val="00EA010F"/>
    <w:rsid w:val="00EA3651"/>
    <w:rsid w:val="00ED1B63"/>
    <w:rsid w:val="00ED3C1F"/>
    <w:rsid w:val="00ED4085"/>
    <w:rsid w:val="00ED420E"/>
    <w:rsid w:val="00ED5914"/>
    <w:rsid w:val="00EE2F57"/>
    <w:rsid w:val="00EF4C34"/>
    <w:rsid w:val="00EF77C6"/>
    <w:rsid w:val="00F05438"/>
    <w:rsid w:val="00F1361C"/>
    <w:rsid w:val="00F160C7"/>
    <w:rsid w:val="00F36D8F"/>
    <w:rsid w:val="00F417B1"/>
    <w:rsid w:val="00F602DF"/>
    <w:rsid w:val="00F754D3"/>
    <w:rsid w:val="00F81FD9"/>
    <w:rsid w:val="00F82489"/>
    <w:rsid w:val="00F841AA"/>
    <w:rsid w:val="00F90FB6"/>
    <w:rsid w:val="00F94B95"/>
    <w:rsid w:val="00FA23E8"/>
    <w:rsid w:val="00FB3CA7"/>
    <w:rsid w:val="00FC793D"/>
    <w:rsid w:val="00FD3CC1"/>
    <w:rsid w:val="00FF1E02"/>
    <w:rsid w:val="00FF30B4"/>
    <w:rsid w:val="09BE7295"/>
    <w:rsid w:val="10C055FF"/>
    <w:rsid w:val="16BB723D"/>
    <w:rsid w:val="240371BF"/>
    <w:rsid w:val="29FD04D3"/>
    <w:rsid w:val="319F7F4E"/>
    <w:rsid w:val="3D0B099A"/>
    <w:rsid w:val="4A436F4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2"/>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5"/>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2"/>
    <w:qFormat/>
    <w:uiPriority w:val="9"/>
    <w:rPr>
      <w:rFonts w:ascii="Times New Roman" w:hAnsi="Times New Roman"/>
      <w:b/>
      <w:bCs/>
      <w:kern w:val="44"/>
      <w:sz w:val="44"/>
      <w:szCs w:val="44"/>
    </w:rPr>
  </w:style>
  <w:style w:type="character" w:customStyle="1" w:styleId="26">
    <w:name w:val="标题 2 Char"/>
    <w:basedOn w:val="14"/>
    <w:link w:val="3"/>
    <w:qFormat/>
    <w:uiPriority w:val="9"/>
    <w:rPr>
      <w:rFonts w:asciiTheme="majorHAnsi" w:hAnsiTheme="majorHAnsi" w:eastAsiaTheme="majorEastAsia" w:cstheme="majorBidi"/>
      <w:b/>
      <w:bCs/>
      <w:kern w:val="2"/>
      <w:sz w:val="32"/>
      <w:szCs w:val="32"/>
    </w:rPr>
  </w:style>
  <w:style w:type="paragraph" w:customStyle="1" w:styleId="27">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FF0CD7-D9D0-4131-B4EE-1482B2CB5DC7}">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32</Pages>
  <Words>2317</Words>
  <Characters>13211</Characters>
  <Lines>110</Lines>
  <Paragraphs>30</Paragraphs>
  <TotalTime>352</TotalTime>
  <ScaleCrop>false</ScaleCrop>
  <LinksUpToDate>false</LinksUpToDate>
  <CharactersWithSpaces>15498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未知</cp:lastModifiedBy>
  <cp:lastPrinted>2019-08-01T00:48:00Z</cp:lastPrinted>
  <dcterms:modified xsi:type="dcterms:W3CDTF">2023-08-31T07:36:20Z</dcterms:modified>
  <dc:title>四川省***</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