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topLinePunct w:val="0"/>
        <w:bidi w:val="0"/>
        <w:spacing w:line="360" w:lineRule="auto"/>
        <w:ind w:firstLine="880" w:firstLineChars="200"/>
        <w:jc w:val="center"/>
        <w:rPr>
          <w:rFonts w:hint="default" w:ascii="Times New Roman" w:hAnsi="Times New Roman" w:eastAsia="方正小标宋_GBK" w:cs="Times New Roman"/>
          <w:sz w:val="44"/>
          <w:szCs w:val="44"/>
          <w:lang w:val="en-US" w:eastAsia="zh-CN"/>
        </w:rPr>
      </w:pPr>
      <w:r>
        <w:rPr>
          <w:rFonts w:hint="eastAsia" w:eastAsia="方正小标宋_GBK" w:cs="Times New Roman"/>
          <w:sz w:val="44"/>
          <w:szCs w:val="44"/>
          <w:lang w:eastAsia="zh-CN"/>
        </w:rPr>
        <w:t>盐边县</w:t>
      </w:r>
      <w:r>
        <w:rPr>
          <w:rFonts w:hint="eastAsia" w:eastAsia="方正小标宋_GBK" w:cs="Times New Roman"/>
          <w:sz w:val="44"/>
          <w:szCs w:val="44"/>
          <w:lang w:val="en-US" w:eastAsia="zh-CN"/>
        </w:rPr>
        <w:t>农业农村局环保职能清单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CN"/>
        </w:rPr>
      </w:pPr>
      <w:r>
        <w:rPr>
          <w:rFonts w:hint="default"/>
          <w:lang w:val="en-US" w:eastAsia="zh-CN"/>
        </w:rPr>
        <w:t>为全面贯彻习近平新时代中国特色社会主义思想和党的</w:t>
      </w:r>
      <w:r>
        <w:rPr>
          <w:rFonts w:hint="eastAsia"/>
          <w:lang w:val="en-US" w:eastAsia="zh-CN"/>
        </w:rPr>
        <w:t>二</w:t>
      </w:r>
      <w:r>
        <w:rPr>
          <w:rFonts w:hint="default"/>
          <w:lang w:val="en-US" w:eastAsia="zh-CN"/>
        </w:rPr>
        <w:t>十大精神，深入贯彻习近平生态文明思想，</w:t>
      </w:r>
      <w:r>
        <w:rPr>
          <w:rFonts w:hint="eastAsia"/>
          <w:lang w:val="en-US" w:eastAsia="zh-CN"/>
        </w:rPr>
        <w:t>并</w:t>
      </w:r>
      <w:r>
        <w:rPr>
          <w:rFonts w:hint="default"/>
          <w:lang w:val="en-US" w:eastAsia="zh-CN"/>
        </w:rPr>
        <w:t>进一步构建责权明晰、协调联动、齐抓共管的生态环境治理体系，</w:t>
      </w:r>
      <w:r>
        <w:rPr>
          <w:rFonts w:hint="eastAsia"/>
          <w:lang w:val="en-US" w:eastAsia="zh-CN"/>
        </w:rPr>
        <w:t>明确</w:t>
      </w:r>
      <w:bookmarkStart w:id="0" w:name="_GoBack"/>
      <w:bookmarkEnd w:id="0"/>
      <w:r>
        <w:rPr>
          <w:rFonts w:hint="eastAsia"/>
          <w:lang w:val="en-US" w:eastAsia="zh-CN"/>
        </w:rPr>
        <w:t>我单位</w:t>
      </w:r>
      <w:r>
        <w:rPr>
          <w:rFonts w:hint="default"/>
          <w:lang w:val="en-US" w:eastAsia="zh-CN"/>
        </w:rPr>
        <w:t>生态环境保护</w:t>
      </w:r>
      <w:r>
        <w:rPr>
          <w:rFonts w:hint="eastAsia"/>
          <w:lang w:val="en-US" w:eastAsia="zh-CN"/>
        </w:rPr>
        <w:t>职能职责</w:t>
      </w:r>
      <w:r>
        <w:rPr>
          <w:rFonts w:hint="default"/>
          <w:lang w:val="en-US" w:eastAsia="zh-CN"/>
        </w:rPr>
        <w:t>，推进我县高质量发展和高水平保护</w:t>
      </w:r>
      <w:r>
        <w:rPr>
          <w:rFonts w:hint="eastAsia"/>
          <w:lang w:val="en-US" w:eastAsia="zh-CN"/>
        </w:rPr>
        <w:t>，按照《攀枝花市生态环境保护委员会办公室关于切实推动职能部门做好生态环境保护工作的通知》（攀环委办发〔2023〕12号）有关要求，制定本职能清单。</w:t>
      </w:r>
    </w:p>
    <w:p>
      <w:pPr>
        <w:pStyle w:val="2"/>
        <w:keepNext w:val="0"/>
        <w:keepLines w:val="0"/>
        <w:pageBreakBefore w:val="0"/>
        <w:widowControl w:val="0"/>
        <w:numPr>
          <w:ilvl w:val="0"/>
          <w:numId w:val="1"/>
        </w:numPr>
        <w:kinsoku/>
        <w:wordWrap/>
        <w:overflowPunct/>
        <w:topLinePunct w:val="0"/>
        <w:autoSpaceDE/>
        <w:autoSpaceDN/>
        <w:bidi w:val="0"/>
        <w:adjustRightInd/>
        <w:snapToGrid/>
        <w:ind w:left="0" w:leftChars="0" w:firstLine="640" w:firstLineChars="200"/>
        <w:textAlignment w:val="auto"/>
        <w:rPr>
          <w:rFonts w:hint="eastAsia"/>
          <w:lang w:val="en-US" w:eastAsia="zh-CN"/>
        </w:rPr>
      </w:pPr>
      <w:r>
        <w:rPr>
          <w:rFonts w:hint="eastAsia"/>
          <w:lang w:val="en-US" w:eastAsia="zh-CN"/>
        </w:rPr>
        <w:t>土地化肥的减量增效、土壤改良、秸秆的综合利用。责任股室：农业综合开发服务中心</w:t>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640" w:firstLineChars="200"/>
        <w:textAlignment w:val="auto"/>
        <w:rPr>
          <w:rFonts w:hint="default"/>
          <w:lang w:val="en-US" w:eastAsia="zh-CN"/>
        </w:rPr>
      </w:pPr>
      <w:r>
        <w:rPr>
          <w:rFonts w:hint="eastAsia"/>
          <w:lang w:val="en-US" w:eastAsia="zh-CN"/>
        </w:rPr>
        <w:t>屠宰场生产废水的处理和利用。责任股室：动物卫生检疫站</w:t>
      </w:r>
    </w:p>
    <w:p>
      <w:pPr>
        <w:pStyle w:val="2"/>
        <w:keepNext w:val="0"/>
        <w:keepLines w:val="0"/>
        <w:pageBreakBefore w:val="0"/>
        <w:widowControl w:val="0"/>
        <w:numPr>
          <w:ilvl w:val="0"/>
          <w:numId w:val="1"/>
        </w:numPr>
        <w:kinsoku/>
        <w:wordWrap/>
        <w:overflowPunct/>
        <w:topLinePunct w:val="0"/>
        <w:autoSpaceDE/>
        <w:autoSpaceDN/>
        <w:bidi w:val="0"/>
        <w:adjustRightInd/>
        <w:snapToGrid/>
        <w:ind w:left="0" w:leftChars="0" w:firstLine="640" w:firstLineChars="200"/>
        <w:textAlignment w:val="auto"/>
        <w:rPr>
          <w:rFonts w:hint="eastAsia"/>
          <w:lang w:val="en-US" w:eastAsia="zh-CN"/>
        </w:rPr>
      </w:pPr>
      <w:r>
        <w:rPr>
          <w:rFonts w:hint="eastAsia"/>
          <w:lang w:val="en-US" w:eastAsia="zh-CN"/>
        </w:rPr>
        <w:t>废弃农膜的回收指导。责任股室:农业技术推广服务中心</w:t>
      </w:r>
    </w:p>
    <w:p>
      <w:pPr>
        <w:numPr>
          <w:ilvl w:val="0"/>
          <w:numId w:val="1"/>
        </w:numPr>
        <w:ind w:left="0" w:leftChars="0" w:firstLine="640" w:firstLineChars="200"/>
        <w:rPr>
          <w:rFonts w:hint="default"/>
          <w:lang w:val="en-US" w:eastAsia="zh-CN"/>
        </w:rPr>
      </w:pPr>
      <w:r>
        <w:rPr>
          <w:rFonts w:hint="eastAsia"/>
          <w:lang w:val="en-US" w:eastAsia="zh-CN"/>
        </w:rPr>
        <w:t>畜禽粪污资源化利用指导与服务。责任股室：动物疫病预防控制中心</w:t>
      </w:r>
    </w:p>
    <w:p>
      <w:pPr>
        <w:pStyle w:val="2"/>
        <w:keepNext w:val="0"/>
        <w:keepLines w:val="0"/>
        <w:pageBreakBefore w:val="0"/>
        <w:widowControl w:val="0"/>
        <w:numPr>
          <w:ilvl w:val="0"/>
          <w:numId w:val="1"/>
        </w:numPr>
        <w:kinsoku/>
        <w:wordWrap/>
        <w:overflowPunct/>
        <w:topLinePunct w:val="0"/>
        <w:autoSpaceDE/>
        <w:autoSpaceDN/>
        <w:bidi w:val="0"/>
        <w:adjustRightInd/>
        <w:snapToGrid/>
        <w:ind w:left="0" w:leftChars="0" w:firstLine="640" w:firstLineChars="200"/>
        <w:textAlignment w:val="auto"/>
        <w:rPr>
          <w:rFonts w:hint="eastAsia"/>
          <w:lang w:val="en-US" w:eastAsia="zh-CN"/>
        </w:rPr>
      </w:pPr>
      <w:r>
        <w:rPr>
          <w:rFonts w:hint="eastAsia"/>
          <w:lang w:val="en-US" w:eastAsia="zh-CN"/>
        </w:rPr>
        <w:t>：检查水生生物物种保持、养殖池塘尾水处理。责任股室：水产站</w:t>
      </w:r>
    </w:p>
    <w:p>
      <w:pPr>
        <w:numPr>
          <w:ilvl w:val="0"/>
          <w:numId w:val="1"/>
        </w:numPr>
        <w:ind w:left="0" w:leftChars="0" w:firstLine="640" w:firstLineChars="200"/>
        <w:rPr>
          <w:rFonts w:hint="default"/>
          <w:lang w:val="en-US" w:eastAsia="zh-CN"/>
        </w:rPr>
      </w:pPr>
      <w:r>
        <w:rPr>
          <w:rFonts w:hint="eastAsia"/>
          <w:lang w:val="en-US" w:eastAsia="zh-CN"/>
        </w:rPr>
        <w:t>农药科学安全用药培训与指导。责任股室：水产站</w:t>
      </w:r>
    </w:p>
    <w:p>
      <w:pPr>
        <w:pStyle w:val="2"/>
        <w:keepNext w:val="0"/>
        <w:keepLines w:val="0"/>
        <w:pageBreakBefore w:val="0"/>
        <w:widowControl w:val="0"/>
        <w:numPr>
          <w:ilvl w:val="0"/>
          <w:numId w:val="1"/>
        </w:numPr>
        <w:kinsoku/>
        <w:wordWrap/>
        <w:overflowPunct/>
        <w:topLinePunct w:val="0"/>
        <w:autoSpaceDE/>
        <w:autoSpaceDN/>
        <w:bidi w:val="0"/>
        <w:adjustRightInd/>
        <w:snapToGrid/>
        <w:ind w:left="0" w:leftChars="0" w:firstLine="640" w:firstLineChars="200"/>
        <w:textAlignment w:val="auto"/>
        <w:rPr>
          <w:rFonts w:hint="default"/>
          <w:lang w:val="en-US" w:eastAsia="zh-CN"/>
        </w:rPr>
      </w:pPr>
      <w:r>
        <w:rPr>
          <w:rFonts w:hint="eastAsia"/>
          <w:lang w:val="en-US" w:eastAsia="zh-CN"/>
        </w:rPr>
        <w:t>维修站废弃机油的处理。责任股室：农机监理所</w:t>
      </w:r>
    </w:p>
    <w:p>
      <w:pPr>
        <w:pStyle w:val="2"/>
        <w:ind w:left="0" w:leftChars="0" w:firstLine="0" w:firstLine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FBE348"/>
    <w:multiLevelType w:val="singleLevel"/>
    <w:tmpl w:val="0CFBE34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E83469"/>
    <w:rsid w:val="05A012C8"/>
    <w:rsid w:val="1BB34E7C"/>
    <w:rsid w:val="1BC33A5C"/>
    <w:rsid w:val="224A52C0"/>
    <w:rsid w:val="6EE834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1"/>
    <w:unhideWhenUsed/>
    <w:qFormat/>
    <w:uiPriority w:val="99"/>
    <w:pPr>
      <w:spacing w:after="120"/>
      <w:ind w:left="420" w:left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38</TotalTime>
  <ScaleCrop>false</ScaleCrop>
  <LinksUpToDate>false</LinksUpToDate>
  <CharactersWithSpaces>0</CharactersWithSpaces>
  <Application>WPS Office_11.8.2.11473_F1E327BC-269C-435d-A152-05C5408002CA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2023-08-29T11:20:00Z</dcterms:created>
  <dc:creator>未知</dc:creator>
  <cp:lastModifiedBy>未知</cp:lastModifiedBy>
  <dcterms:modified xsi:type="dcterms:W3CDTF">2023-08-29T12:08:39Z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2052-11.8.2.11473</vt:lpwstr>
  </property>
  <property fmtid="{D5CDD505-2E9C-101B-9397-08002B2CF9AE}" pid="3" name="ICV">
    <vt:lpwstr>464FCD2EAB7A423D8D5BB6F4978B6C7B</vt:lpwstr>
  </property>
</Properties>
</file>