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1440"/>
        <w:jc w:val="center"/>
        <w:outlineLvl w:val="0"/>
        <w:rPr>
          <w:rFonts w:ascii="方正小标宋简体" w:hAnsi="宋体" w:eastAsia="方正小标宋简体"/>
          <w:color w:val="000000"/>
          <w:sz w:val="72"/>
          <w:szCs w:val="72"/>
        </w:rPr>
      </w:pPr>
      <w:bookmarkStart w:id="0" w:name="_Toc15306267"/>
    </w:p>
    <w:p>
      <w:pPr>
        <w:spacing w:line="600" w:lineRule="exact"/>
        <w:ind w:firstLine="1440"/>
        <w:jc w:val="center"/>
        <w:outlineLvl w:val="0"/>
        <w:rPr>
          <w:rFonts w:ascii="方正小标宋简体" w:hAnsi="宋体" w:eastAsia="方正小标宋简体"/>
          <w:color w:val="000000"/>
          <w:sz w:val="72"/>
          <w:szCs w:val="72"/>
        </w:rPr>
      </w:pPr>
    </w:p>
    <w:p>
      <w:pPr>
        <w:spacing w:line="600" w:lineRule="exact"/>
        <w:ind w:firstLine="1440"/>
        <w:jc w:val="center"/>
        <w:outlineLvl w:val="0"/>
        <w:rPr>
          <w:rFonts w:ascii="方正小标宋简体" w:hAnsi="宋体" w:eastAsia="方正小标宋简体"/>
          <w:color w:val="000000"/>
          <w:sz w:val="72"/>
          <w:szCs w:val="72"/>
        </w:rPr>
      </w:pPr>
    </w:p>
    <w:p>
      <w:pPr>
        <w:spacing w:line="600" w:lineRule="exact"/>
        <w:ind w:firstLine="1440"/>
        <w:jc w:val="center"/>
        <w:rPr>
          <w:rFonts w:ascii="方正小标宋简体" w:hAnsi="宋体" w:eastAsia="方正小标宋简体"/>
          <w:color w:val="000000"/>
          <w:sz w:val="72"/>
          <w:szCs w:val="72"/>
        </w:rPr>
      </w:pPr>
    </w:p>
    <w:p>
      <w:pPr>
        <w:adjustRightInd w:val="0"/>
        <w:snapToGrid w:val="0"/>
        <w:spacing w:line="360" w:lineRule="auto"/>
        <w:ind w:firstLine="1440"/>
        <w:jc w:val="center"/>
        <w:rPr>
          <w:rFonts w:ascii="方正小标宋简体" w:hAnsi="宋体" w:eastAsia="方正小标宋简体"/>
          <w:color w:val="000000"/>
          <w:sz w:val="72"/>
          <w:szCs w:val="72"/>
        </w:rPr>
      </w:pPr>
      <w:bookmarkStart w:id="1" w:name="_Toc15377193"/>
      <w:bookmarkStart w:id="2" w:name="_Toc15377425"/>
      <w:bookmarkStart w:id="3" w:name="_Toc15378441"/>
      <w:bookmarkStart w:id="4" w:name="_Toc15396475"/>
      <w:bookmarkStart w:id="5" w:name="_Toc15396597"/>
      <w:bookmarkStart w:id="6" w:name="_Toc54099122"/>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bookmarkEnd w:id="0"/>
    <w:p>
      <w:pPr>
        <w:adjustRightInd w:val="0"/>
        <w:snapToGrid w:val="0"/>
        <w:spacing w:line="360" w:lineRule="auto"/>
        <w:ind w:firstLine="1440"/>
        <w:jc w:val="center"/>
        <w:rPr>
          <w:rFonts w:ascii="方正小标宋简体" w:hAnsi="宋体" w:eastAsia="方正小标宋简体"/>
          <w:color w:val="000000"/>
          <w:sz w:val="72"/>
          <w:szCs w:val="72"/>
        </w:rPr>
      </w:pPr>
      <w:bookmarkStart w:id="7" w:name="_Toc15377194"/>
      <w:bookmarkStart w:id="8" w:name="_Toc15306268"/>
      <w:bookmarkStart w:id="9" w:name="_Toc15396598"/>
      <w:bookmarkStart w:id="10" w:name="_Toc54099123"/>
      <w:bookmarkStart w:id="11" w:name="_Toc15396476"/>
      <w:bookmarkStart w:id="12" w:name="_Toc15378442"/>
      <w:bookmarkStart w:id="13" w:name="_Toc15377426"/>
      <w:r>
        <w:rPr>
          <w:rFonts w:hint="eastAsia" w:ascii="方正小标宋简体" w:hAnsi="宋体" w:eastAsia="方正小标宋简体"/>
          <w:color w:val="000000"/>
          <w:sz w:val="72"/>
          <w:szCs w:val="72"/>
        </w:rPr>
        <w:t>惠民乡人民政府部门决算</w:t>
      </w:r>
      <w:bookmarkEnd w:id="7"/>
      <w:bookmarkEnd w:id="8"/>
      <w:bookmarkEnd w:id="9"/>
      <w:bookmarkEnd w:id="10"/>
      <w:bookmarkEnd w:id="11"/>
      <w:bookmarkEnd w:id="12"/>
      <w:bookmarkEnd w:id="13"/>
    </w:p>
    <w:p>
      <w:pPr>
        <w:widowControl/>
        <w:ind w:firstLine="720"/>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pStyle w:val="11"/>
        <w:rPr>
          <w:rFonts w:asciiTheme="minorHAnsi" w:hAnsiTheme="minorHAnsi" w:eastAsiaTheme="minorEastAsia" w:cstheme="minorBidi"/>
          <w:sz w:val="21"/>
          <w:szCs w:val="22"/>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r>
        <w:fldChar w:fldCharType="begin"/>
      </w:r>
      <w:r>
        <w:instrText xml:space="preserve"> HYPERLINK \l "_Toc73373348" </w:instrText>
      </w:r>
      <w:r>
        <w:fldChar w:fldCharType="separate"/>
      </w:r>
      <w:r>
        <w:rPr>
          <w:rStyle w:val="16"/>
          <w:rFonts w:hint="eastAsia" w:ascii="黑体" w:hAnsi="黑体" w:eastAsia="黑体"/>
        </w:rPr>
        <w:t>第一部分</w:t>
      </w:r>
      <w:r>
        <w:rPr>
          <w:rStyle w:val="16"/>
          <w:rFonts w:ascii="黑体" w:hAnsi="黑体" w:eastAsia="黑体"/>
        </w:rPr>
        <w:t xml:space="preserve"> </w:t>
      </w:r>
      <w:r>
        <w:rPr>
          <w:rStyle w:val="16"/>
          <w:rFonts w:hint="eastAsia" w:ascii="黑体" w:hAnsi="黑体" w:eastAsia="黑体"/>
        </w:rPr>
        <w:t>部门概况</w:t>
      </w:r>
      <w:r>
        <w:tab/>
      </w:r>
      <w:r>
        <w:fldChar w:fldCharType="begin"/>
      </w:r>
      <w:r>
        <w:instrText xml:space="preserve"> PAGEREF _Toc73373348 \h </w:instrText>
      </w:r>
      <w:r>
        <w:fldChar w:fldCharType="separate"/>
      </w:r>
      <w:r>
        <w:t>5</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"_Toc73373349" </w:instrText>
      </w:r>
      <w:r>
        <w:fldChar w:fldCharType="separate"/>
      </w:r>
      <w:r>
        <w:rPr>
          <w:rStyle w:val="16"/>
          <w:rFonts w:hint="eastAsia" w:ascii="黑体" w:hAnsi="黑体" w:eastAsia="黑体"/>
        </w:rPr>
        <w:t>一、基本职能及主要工作</w:t>
      </w:r>
      <w:r>
        <w:tab/>
      </w:r>
      <w:r>
        <w:fldChar w:fldCharType="begin"/>
      </w:r>
      <w:r>
        <w:instrText xml:space="preserve"> PAGEREF _Toc73373349 \h </w:instrText>
      </w:r>
      <w:r>
        <w:fldChar w:fldCharType="separate"/>
      </w:r>
      <w:r>
        <w:t>5</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"_Toc73373350" </w:instrText>
      </w:r>
      <w:r>
        <w:fldChar w:fldCharType="separate"/>
      </w:r>
      <w:r>
        <w:rPr>
          <w:rStyle w:val="16"/>
          <w:rFonts w:hint="eastAsia" w:ascii="黑体" w:hAnsi="黑体" w:eastAsia="黑体"/>
        </w:rPr>
        <w:t>二、机</w:t>
      </w:r>
      <w:r>
        <w:rPr>
          <w:rStyle w:val="16"/>
          <w:rFonts w:hint="eastAsia"/>
        </w:rPr>
        <w:t>构设置</w:t>
      </w:r>
      <w:r>
        <w:tab/>
      </w:r>
      <w:r>
        <w:fldChar w:fldCharType="begin"/>
      </w:r>
      <w:r>
        <w:instrText xml:space="preserve"> PAGEREF _Toc73373350 \h </w:instrText>
      </w:r>
      <w:r>
        <w:fldChar w:fldCharType="separate"/>
      </w:r>
      <w:r>
        <w:t>6</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"_Toc73373351" </w:instrText>
      </w:r>
      <w:r>
        <w:fldChar w:fldCharType="separate"/>
      </w:r>
      <w:r>
        <w:rPr>
          <w:rStyle w:val="16"/>
          <w:rFonts w:hint="eastAsia" w:ascii="黑体" w:hAnsi="黑体" w:eastAsia="黑体"/>
        </w:rPr>
        <w:t>第二部分</w:t>
      </w:r>
      <w:r>
        <w:rPr>
          <w:rStyle w:val="16"/>
          <w:rFonts w:ascii="黑体" w:hAnsi="黑体" w:eastAsia="黑体"/>
        </w:rPr>
        <w:t>2019</w:t>
      </w:r>
      <w:r>
        <w:rPr>
          <w:rStyle w:val="16"/>
          <w:rFonts w:hint="eastAsia" w:ascii="黑体" w:hAnsi="黑体" w:eastAsia="黑体"/>
        </w:rPr>
        <w:t>年度部门决算情况说明</w:t>
      </w:r>
      <w:r>
        <w:tab/>
      </w:r>
      <w:r>
        <w:fldChar w:fldCharType="begin"/>
      </w:r>
      <w:r>
        <w:instrText xml:space="preserve"> PAGEREF _Toc73373351 \h </w:instrText>
      </w:r>
      <w:r>
        <w:fldChar w:fldCharType="separate"/>
      </w:r>
      <w:r>
        <w:t>7</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"_Toc73373352" </w:instrText>
      </w:r>
      <w:r>
        <w:fldChar w:fldCharType="separate"/>
      </w:r>
      <w:r>
        <w:rPr>
          <w:rStyle w:val="16"/>
          <w:rFonts w:hint="eastAsia" w:ascii="黑体" w:hAnsi="黑体" w:eastAsia="黑体"/>
        </w:rPr>
        <w:t>一、收</w:t>
      </w:r>
      <w:r>
        <w:rPr>
          <w:rStyle w:val="16"/>
          <w:rFonts w:hint="eastAsia" w:ascii="黑体" w:hAnsi="黑体" w:eastAsia="黑体" w:cstheme="majorBidi"/>
          <w:bCs/>
        </w:rPr>
        <w:t>入支出决算总体情况说明</w:t>
      </w:r>
      <w:r>
        <w:tab/>
      </w:r>
      <w:r>
        <w:fldChar w:fldCharType="begin"/>
      </w:r>
      <w:r>
        <w:instrText xml:space="preserve"> PAGEREF _Toc73373352 \h </w:instrText>
      </w:r>
      <w:r>
        <w:fldChar w:fldCharType="separate"/>
      </w:r>
      <w:r>
        <w:t>7</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"_Toc73373353" </w:instrText>
      </w:r>
      <w:r>
        <w:fldChar w:fldCharType="separate"/>
      </w:r>
      <w:r>
        <w:rPr>
          <w:rStyle w:val="16"/>
          <w:rFonts w:hint="eastAsia" w:ascii="黑体" w:hAnsi="黑体" w:eastAsia="黑体"/>
        </w:rPr>
        <w:t>二、收入决算情况说明</w:t>
      </w:r>
      <w:r>
        <w:tab/>
      </w:r>
      <w:r>
        <w:fldChar w:fldCharType="begin"/>
      </w:r>
      <w:r>
        <w:instrText xml:space="preserve"> PAGEREF _Toc73373353 \h </w:instrText>
      </w:r>
      <w:r>
        <w:fldChar w:fldCharType="separate"/>
      </w:r>
      <w:r>
        <w:t>7</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"_Toc73373354" </w:instrText>
      </w:r>
      <w:r>
        <w:fldChar w:fldCharType="separate"/>
      </w:r>
      <w:r>
        <w:rPr>
          <w:rStyle w:val="16"/>
          <w:rFonts w:hint="eastAsia" w:ascii="黑体" w:hAnsi="黑体" w:eastAsia="黑体"/>
        </w:rPr>
        <w:t>五、</w:t>
      </w:r>
      <w:r>
        <w:rPr>
          <w:rStyle w:val="16"/>
          <w:rFonts w:hint="eastAsia" w:ascii="黑体" w:hAnsi="黑体" w:eastAsia="黑体"/>
          <w:b/>
        </w:rPr>
        <w:t>一</w:t>
      </w:r>
      <w:r>
        <w:rPr>
          <w:rStyle w:val="16"/>
          <w:rFonts w:hint="eastAsia" w:ascii="黑体" w:hAnsi="黑体" w:eastAsia="黑体" w:cstheme="majorBidi"/>
          <w:bCs/>
        </w:rPr>
        <w:t>般公共预算财政拨款支出决算情况说明</w:t>
      </w:r>
      <w:r>
        <w:tab/>
      </w:r>
      <w:r>
        <w:fldChar w:fldCharType="begin"/>
      </w:r>
      <w:r>
        <w:instrText xml:space="preserve"> PAGEREF _Toc73373354 \h </w:instrText>
      </w:r>
      <w:r>
        <w:fldChar w:fldCharType="separate"/>
      </w:r>
      <w:r>
        <w:t>8</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"_Toc73373355" </w:instrText>
      </w:r>
      <w:r>
        <w:fldChar w:fldCharType="separate"/>
      </w:r>
      <w:r>
        <w:rPr>
          <w:rStyle w:val="16"/>
          <w:rFonts w:hint="eastAsia" w:ascii="黑体" w:eastAsia="黑体"/>
        </w:rPr>
        <w:t>六</w:t>
      </w:r>
      <w:r>
        <w:rPr>
          <w:rStyle w:val="16"/>
          <w:rFonts w:hint="eastAsia" w:ascii="黑体" w:eastAsia="黑体"/>
          <w:b/>
        </w:rPr>
        <w:t>、</w:t>
      </w:r>
      <w:r>
        <w:rPr>
          <w:rStyle w:val="16"/>
          <w:rFonts w:hint="eastAsia" w:ascii="黑体" w:hAnsi="黑体" w:eastAsia="黑体"/>
          <w:b/>
        </w:rPr>
        <w:t>一</w:t>
      </w:r>
      <w:r>
        <w:rPr>
          <w:rStyle w:val="16"/>
          <w:rFonts w:hint="eastAsia" w:ascii="黑体" w:hAnsi="黑体" w:eastAsia="黑体" w:cstheme="majorBidi"/>
          <w:bCs/>
        </w:rPr>
        <w:t>般公共预算财政拨款基本支出决算情况说明</w:t>
      </w:r>
      <w:r>
        <w:tab/>
      </w:r>
      <w:r>
        <w:fldChar w:fldCharType="begin"/>
      </w:r>
      <w:r>
        <w:instrText xml:space="preserve"> PAGEREF _Toc73373355 \h </w:instrText>
      </w:r>
      <w:r>
        <w:fldChar w:fldCharType="separate"/>
      </w:r>
      <w:r>
        <w:t>11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"_Toc73373356" </w:instrText>
      </w:r>
      <w:r>
        <w:fldChar w:fldCharType="separate"/>
      </w:r>
      <w:r>
        <w:rPr>
          <w:rStyle w:val="16"/>
          <w:rFonts w:hint="eastAsia" w:ascii="黑体" w:eastAsia="黑体"/>
        </w:rPr>
        <w:t>七、</w:t>
      </w:r>
      <w:r>
        <w:rPr>
          <w:rStyle w:val="16"/>
          <w:rFonts w:ascii="黑体" w:hAnsi="黑体" w:eastAsia="黑体" w:cstheme="majorBidi"/>
          <w:b/>
          <w:bCs/>
        </w:rPr>
        <w:t>“</w:t>
      </w:r>
      <w:r>
        <w:rPr>
          <w:rStyle w:val="16"/>
          <w:rFonts w:hint="eastAsia" w:ascii="黑体" w:hAnsi="黑体" w:eastAsia="黑体" w:cstheme="majorBidi"/>
          <w:bCs/>
        </w:rPr>
        <w:t>三公”经费财政拨款支出决算情况说明</w:t>
      </w:r>
      <w:r>
        <w:tab/>
      </w:r>
      <w:r>
        <w:fldChar w:fldCharType="begin"/>
      </w:r>
      <w:r>
        <w:instrText xml:space="preserve"> PAGEREF _Toc73373356 \h </w:instrText>
      </w:r>
      <w:r>
        <w:fldChar w:fldCharType="separate"/>
      </w:r>
      <w:r>
        <w:t>12</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"_Toc73373357" </w:instrText>
      </w:r>
      <w:r>
        <w:fldChar w:fldCharType="separate"/>
      </w:r>
      <w:r>
        <w:rPr>
          <w:rStyle w:val="16"/>
          <w:rFonts w:hint="eastAsia" w:ascii="仿宋" w:hAnsi="仿宋" w:eastAsia="仿宋"/>
          <w:b/>
        </w:rPr>
        <w:t>（一）“三公”经费财政拨款支出决算总体情况说明</w:t>
      </w:r>
      <w:r>
        <w:tab/>
      </w:r>
      <w:r>
        <w:fldChar w:fldCharType="begin"/>
      </w:r>
      <w:r>
        <w:instrText xml:space="preserve"> PAGEREF _Toc73373357 \h </w:instrText>
      </w:r>
      <w:r>
        <w:fldChar w:fldCharType="separate"/>
      </w:r>
      <w:r>
        <w:t>12</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"_Toc73373358" </w:instrText>
      </w:r>
      <w:r>
        <w:fldChar w:fldCharType="separate"/>
      </w:r>
      <w:r>
        <w:rPr>
          <w:rStyle w:val="16"/>
          <w:rFonts w:hint="eastAsia" w:ascii="仿宋" w:hAnsi="仿宋" w:eastAsia="仿宋"/>
          <w:b/>
        </w:rPr>
        <w:t>（二）“三公”经费财政拨款支出决算具体情况说明</w:t>
      </w:r>
      <w:r>
        <w:tab/>
      </w:r>
      <w:r>
        <w:fldChar w:fldCharType="begin"/>
      </w:r>
      <w:r>
        <w:instrText xml:space="preserve"> PAGEREF _Toc73373358 \h </w:instrText>
      </w:r>
      <w:r>
        <w:fldChar w:fldCharType="separate"/>
      </w:r>
      <w:r>
        <w:t>12</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"_Toc73373359" </w:instrText>
      </w:r>
      <w:r>
        <w:fldChar w:fldCharType="separate"/>
      </w:r>
      <w:r>
        <w:rPr>
          <w:rStyle w:val="16"/>
          <w:rFonts w:hint="eastAsia" w:ascii="黑体" w:eastAsia="黑体"/>
        </w:rPr>
        <w:t>八、</w:t>
      </w:r>
      <w:r>
        <w:rPr>
          <w:rStyle w:val="16"/>
          <w:rFonts w:hint="eastAsia" w:ascii="黑体" w:hAnsi="黑体" w:eastAsia="黑体" w:cstheme="majorBidi"/>
          <w:bCs/>
        </w:rPr>
        <w:t>政府性基金预算支出决算情况说明</w:t>
      </w:r>
      <w:r>
        <w:tab/>
      </w:r>
      <w:r>
        <w:fldChar w:fldCharType="begin"/>
      </w:r>
      <w:r>
        <w:instrText xml:space="preserve"> PAGEREF _Toc73373359 \h </w:instrText>
      </w:r>
      <w:r>
        <w:fldChar w:fldCharType="separate"/>
      </w:r>
      <w:r>
        <w:t>13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"_Toc73373360" </w:instrText>
      </w:r>
      <w:r>
        <w:fldChar w:fldCharType="separate"/>
      </w:r>
      <w:r>
        <w:rPr>
          <w:rStyle w:val="16"/>
          <w:rFonts w:hint="eastAsia" w:ascii="黑体" w:hAnsi="黑体" w:eastAsia="黑体" w:cstheme="majorBidi"/>
          <w:bCs/>
        </w:rPr>
        <w:t>九、国有资本经营预算支出决算情况说明</w:t>
      </w:r>
      <w:r>
        <w:tab/>
      </w:r>
      <w:r>
        <w:fldChar w:fldCharType="begin"/>
      </w:r>
      <w:r>
        <w:instrText xml:space="preserve"> PAGEREF _Toc73373360 \h </w:instrText>
      </w:r>
      <w:r>
        <w:fldChar w:fldCharType="separate"/>
      </w:r>
      <w:r>
        <w:t>13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"_Toc73373361" </w:instrText>
      </w:r>
      <w:r>
        <w:fldChar w:fldCharType="separate"/>
      </w:r>
      <w:r>
        <w:rPr>
          <w:rStyle w:val="16"/>
          <w:rFonts w:hint="eastAsia" w:ascii="黑体" w:hAnsi="黑体" w:eastAsia="黑体" w:cstheme="majorBidi"/>
          <w:bCs/>
        </w:rPr>
        <w:t>十、预算绩效情况说明</w:t>
      </w:r>
      <w:r>
        <w:tab/>
      </w:r>
      <w:r>
        <w:fldChar w:fldCharType="begin"/>
      </w:r>
      <w:r>
        <w:instrText xml:space="preserve"> PAGEREF _Toc73373361 \h </w:instrText>
      </w:r>
      <w:r>
        <w:fldChar w:fldCharType="separate"/>
      </w:r>
      <w:r>
        <w:t>13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"_Toc73373362" </w:instrText>
      </w:r>
      <w:r>
        <w:fldChar w:fldCharType="separate"/>
      </w:r>
      <w:r>
        <w:rPr>
          <w:rStyle w:val="16"/>
          <w:rFonts w:hint="eastAsia" w:ascii="黑体" w:hAnsi="黑体" w:eastAsia="黑体"/>
        </w:rPr>
        <w:t>十</w:t>
      </w:r>
      <w:r>
        <w:rPr>
          <w:rStyle w:val="16"/>
          <w:rFonts w:hint="eastAsia" w:ascii="黑体" w:hAnsi="黑体" w:eastAsia="黑体" w:cstheme="majorBidi"/>
          <w:b/>
          <w:bCs/>
        </w:rPr>
        <w:t>一、</w:t>
      </w:r>
      <w:r>
        <w:rPr>
          <w:rStyle w:val="16"/>
          <w:rFonts w:hint="eastAsia" w:ascii="黑体" w:hAnsi="黑体" w:eastAsia="黑体" w:cstheme="majorBidi"/>
          <w:bCs/>
        </w:rPr>
        <w:t>其他重要事项的情况说明</w:t>
      </w:r>
      <w:r>
        <w:tab/>
      </w:r>
      <w:r>
        <w:fldChar w:fldCharType="begin"/>
      </w:r>
      <w:r>
        <w:instrText xml:space="preserve"> PAGEREF _Toc73373362 \h </w:instrText>
      </w:r>
      <w:r>
        <w:fldChar w:fldCharType="separate"/>
      </w:r>
      <w:r>
        <w:t>23</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"_Toc73373363" </w:instrText>
      </w:r>
      <w:r>
        <w:fldChar w:fldCharType="separate"/>
      </w:r>
      <w:r>
        <w:rPr>
          <w:rStyle w:val="16"/>
          <w:rFonts w:hint="eastAsia" w:ascii="黑体" w:hAnsi="黑体" w:eastAsia="黑体"/>
          <w:bCs/>
          <w:kern w:val="44"/>
        </w:rPr>
        <w:t>第三部分</w:t>
      </w:r>
      <w:r>
        <w:rPr>
          <w:rStyle w:val="16"/>
          <w:rFonts w:hint="eastAsia" w:ascii="黑体" w:hAnsi="黑体" w:eastAsia="黑体"/>
          <w:b/>
        </w:rPr>
        <w:t xml:space="preserve"> 名</w:t>
      </w:r>
      <w:r>
        <w:rPr>
          <w:rStyle w:val="16"/>
          <w:rFonts w:hint="eastAsia" w:ascii="黑体" w:hAnsi="黑体" w:eastAsia="黑体"/>
          <w:bCs/>
          <w:kern w:val="44"/>
        </w:rPr>
        <w:t>词解释</w:t>
      </w:r>
      <w:r>
        <w:tab/>
      </w:r>
      <w:r>
        <w:fldChar w:fldCharType="begin"/>
      </w:r>
      <w:r>
        <w:instrText xml:space="preserve"> PAGEREF _Toc73373363 \h </w:instrText>
      </w:r>
      <w:r>
        <w:fldChar w:fldCharType="separate"/>
      </w:r>
      <w:r>
        <w:t>24</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"_Toc73373364" </w:instrText>
      </w:r>
      <w:r>
        <w:fldChar w:fldCharType="separate"/>
      </w:r>
      <w:r>
        <w:rPr>
          <w:rStyle w:val="16"/>
          <w:rFonts w:hint="eastAsia" w:ascii="黑体" w:hAnsi="黑体" w:eastAsia="黑体"/>
        </w:rPr>
        <w:t>第</w:t>
      </w:r>
      <w:r>
        <w:rPr>
          <w:rStyle w:val="16"/>
          <w:rFonts w:hint="eastAsia" w:ascii="黑体" w:hAnsi="黑体" w:eastAsia="黑体"/>
          <w:bCs/>
          <w:kern w:val="44"/>
        </w:rPr>
        <w:t>四部分</w:t>
      </w:r>
      <w:r>
        <w:rPr>
          <w:rStyle w:val="16"/>
          <w:rFonts w:ascii="黑体" w:hAnsi="黑体" w:eastAsia="黑体"/>
          <w:bCs/>
          <w:kern w:val="44"/>
        </w:rPr>
        <w:t xml:space="preserve"> </w:t>
      </w:r>
      <w:r>
        <w:rPr>
          <w:rStyle w:val="16"/>
          <w:rFonts w:hint="eastAsia" w:ascii="黑体" w:hAnsi="黑体" w:eastAsia="黑体"/>
          <w:bCs/>
          <w:kern w:val="44"/>
        </w:rPr>
        <w:t>附件</w:t>
      </w:r>
      <w:r>
        <w:tab/>
      </w:r>
      <w:r>
        <w:fldChar w:fldCharType="begin"/>
      </w:r>
      <w:r>
        <w:instrText xml:space="preserve"> PAGEREF _Toc73373364 \h </w:instrText>
      </w:r>
      <w:r>
        <w:fldChar w:fldCharType="separate"/>
      </w:r>
      <w:r>
        <w:t>28</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"_Toc73373365" </w:instrText>
      </w:r>
      <w:r>
        <w:fldChar w:fldCharType="separate"/>
      </w:r>
      <w:r>
        <w:rPr>
          <w:rStyle w:val="16"/>
          <w:rFonts w:hint="eastAsia" w:ascii="仿宋" w:hAnsi="仿宋" w:eastAsia="仿宋"/>
          <w:kern w:val="44"/>
        </w:rPr>
        <w:t>附件</w:t>
      </w:r>
      <w:r>
        <w:rPr>
          <w:rStyle w:val="16"/>
          <w:rFonts w:ascii="仿宋" w:hAnsi="仿宋" w:eastAsia="仿宋"/>
          <w:kern w:val="44"/>
        </w:rPr>
        <w:t>1</w:t>
      </w:r>
      <w:r>
        <w:tab/>
      </w:r>
      <w:r>
        <w:fldChar w:fldCharType="begin"/>
      </w:r>
      <w:r>
        <w:instrText xml:space="preserve"> PAGEREF _Toc73373365 \h </w:instrText>
      </w:r>
      <w:r>
        <w:fldChar w:fldCharType="separate"/>
      </w:r>
      <w:r>
        <w:t>28</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"_Toc73373366" </w:instrText>
      </w:r>
      <w:r>
        <w:fldChar w:fldCharType="separate"/>
      </w:r>
      <w:r>
        <w:rPr>
          <w:rStyle w:val="16"/>
          <w:rFonts w:hint="eastAsia" w:ascii="仿宋" w:hAnsi="仿宋" w:eastAsia="仿宋"/>
          <w:kern w:val="44"/>
        </w:rPr>
        <w:t>附件</w:t>
      </w:r>
      <w:r>
        <w:rPr>
          <w:rStyle w:val="16"/>
          <w:rFonts w:ascii="仿宋" w:hAnsi="仿宋" w:eastAsia="仿宋"/>
          <w:kern w:val="44"/>
        </w:rPr>
        <w:t>2</w:t>
      </w:r>
      <w:r>
        <w:tab/>
      </w:r>
      <w:r>
        <w:fldChar w:fldCharType="begin"/>
      </w:r>
      <w:r>
        <w:instrText xml:space="preserve"> PAGEREF _Toc73373366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"_Toc73373367" </w:instrText>
      </w:r>
      <w:r>
        <w:fldChar w:fldCharType="separate"/>
      </w:r>
      <w:r>
        <w:rPr>
          <w:rStyle w:val="16"/>
          <w:rFonts w:hint="eastAsia" w:cs="仿宋_GB2312"/>
        </w:rPr>
        <w:t>建设性的项目根据各村实际情况，经过村社干部及征求广大群众的意见和见意形成各村实施点的方案，一并选择施工方进行全工程承包实施；其余服务性项目以乡政府实际开展情况支出为准。</w:t>
      </w:r>
      <w:r>
        <w:tab/>
      </w:r>
      <w:r>
        <w:fldChar w:fldCharType="begin"/>
      </w:r>
      <w:r>
        <w:instrText xml:space="preserve"> PAGEREF _Toc73373367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"_Toc73373368" </w:instrText>
      </w:r>
      <w:r>
        <w:fldChar w:fldCharType="separate"/>
      </w:r>
      <w:r>
        <w:rPr>
          <w:rStyle w:val="16"/>
          <w:rFonts w:hint="eastAsia" w:ascii="方正楷体_GBK" w:eastAsia="方正楷体_GBK" w:cs="仿宋_GB2312"/>
        </w:rPr>
        <w:t>（二）项目总体评价（包括项目评价得分表）。</w:t>
      </w:r>
      <w:r>
        <w:tab/>
      </w:r>
      <w:r>
        <w:fldChar w:fldCharType="begin"/>
      </w:r>
      <w:r>
        <w:instrText xml:space="preserve"> PAGEREF _Toc73373368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"_Toc73373369" </w:instrText>
      </w:r>
      <w:r>
        <w:fldChar w:fldCharType="separate"/>
      </w:r>
      <w:r>
        <w:rPr>
          <w:rStyle w:val="16"/>
          <w:rFonts w:hint="eastAsia" w:cs="仿宋_GB2312"/>
        </w:rPr>
        <w:t>乡自评得分</w:t>
      </w:r>
      <w:r>
        <w:rPr>
          <w:rStyle w:val="16"/>
          <w:rFonts w:cs="仿宋_GB2312"/>
        </w:rPr>
        <w:t>96.5</w:t>
      </w:r>
      <w:r>
        <w:rPr>
          <w:rStyle w:val="16"/>
          <w:rFonts w:hint="eastAsia" w:cs="仿宋_GB2312"/>
        </w:rPr>
        <w:t>分。</w:t>
      </w:r>
      <w:r>
        <w:tab/>
      </w:r>
      <w:r>
        <w:fldChar w:fldCharType="begin"/>
      </w:r>
      <w:r>
        <w:instrText xml:space="preserve"> PAGEREF _Toc73373369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"_Toc73373370" </w:instrText>
      </w:r>
      <w:r>
        <w:fldChar w:fldCharType="separate"/>
      </w:r>
      <w:r>
        <w:rPr>
          <w:rStyle w:val="16"/>
          <w:rFonts w:hint="eastAsia" w:ascii="方正黑体_GBK" w:eastAsia="方正黑体_GBK"/>
        </w:rPr>
        <w:t>二、评价结论及绩效分析</w:t>
      </w:r>
      <w:r>
        <w:tab/>
      </w:r>
      <w:r>
        <w:fldChar w:fldCharType="begin"/>
      </w:r>
      <w:r>
        <w:instrText xml:space="preserve"> PAGEREF _Toc73373370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"_Toc73373371" </w:instrText>
      </w:r>
      <w:r>
        <w:fldChar w:fldCharType="separate"/>
      </w:r>
      <w:r>
        <w:rPr>
          <w:rStyle w:val="16"/>
          <w:rFonts w:hint="eastAsia" w:ascii="方正楷体_GBK" w:eastAsia="方正楷体_GBK"/>
        </w:rPr>
        <w:t>（一）评价结论</w:t>
      </w:r>
      <w:r>
        <w:tab/>
      </w:r>
      <w:r>
        <w:fldChar w:fldCharType="begin"/>
      </w:r>
      <w:r>
        <w:instrText xml:space="preserve"> PAGEREF _Toc73373371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"_Toc73373372" </w:instrText>
      </w:r>
      <w:r>
        <w:fldChar w:fldCharType="separate"/>
      </w:r>
      <w:r>
        <w:rPr>
          <w:rStyle w:val="16"/>
          <w:rFonts w:ascii="方正仿宋_GBK" w:eastAsia="方正仿宋_GBK"/>
        </w:rPr>
        <w:t>2019</w:t>
      </w:r>
      <w:r>
        <w:rPr>
          <w:rStyle w:val="16"/>
          <w:rFonts w:hint="eastAsia" w:ascii="方正仿宋_GBK" w:eastAsia="方正仿宋_GBK"/>
        </w:rPr>
        <w:t>年全乡</w:t>
      </w:r>
      <w:r>
        <w:rPr>
          <w:rStyle w:val="16"/>
          <w:rFonts w:ascii="方正仿宋_GBK" w:eastAsia="方正仿宋_GBK"/>
        </w:rPr>
        <w:t>19</w:t>
      </w:r>
      <w:r>
        <w:rPr>
          <w:rStyle w:val="16"/>
          <w:rFonts w:hint="eastAsia" w:ascii="方正仿宋_GBK" w:eastAsia="方正仿宋_GBK"/>
        </w:rPr>
        <w:t>个项目整体支出绩效评价自我评分为</w:t>
      </w:r>
      <w:r>
        <w:rPr>
          <w:rStyle w:val="16"/>
          <w:rFonts w:ascii="方正仿宋_GBK" w:eastAsia="方正仿宋_GBK"/>
        </w:rPr>
        <w:t>96.5</w:t>
      </w:r>
      <w:r>
        <w:rPr>
          <w:rStyle w:val="16"/>
          <w:rFonts w:hint="eastAsia" w:ascii="方正仿宋_GBK" w:eastAsia="方正仿宋_GBK"/>
        </w:rPr>
        <w:t>分，评价总体效果较好，项目自身有针对性的解决了各方面运行难的实际困难，绩效目标按期实现，按照各项政策要求，不断提高项目的绩效效率。</w:t>
      </w:r>
      <w:r>
        <w:tab/>
      </w:r>
      <w:r>
        <w:fldChar w:fldCharType="begin"/>
      </w:r>
      <w:r>
        <w:instrText xml:space="preserve"> PAGEREF _Toc73373372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"_Toc73373373" </w:instrText>
      </w:r>
      <w:r>
        <w:fldChar w:fldCharType="separate"/>
      </w:r>
      <w:r>
        <w:rPr>
          <w:rStyle w:val="16"/>
          <w:rFonts w:hint="eastAsia" w:ascii="方正楷体_GBK" w:eastAsia="方正楷体_GBK"/>
        </w:rPr>
        <w:t>（二）绩效分析</w:t>
      </w:r>
      <w:r>
        <w:tab/>
      </w:r>
      <w:r>
        <w:fldChar w:fldCharType="begin"/>
      </w:r>
      <w:r>
        <w:instrText xml:space="preserve"> PAGEREF _Toc73373373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"_Toc73373374" </w:instrText>
      </w:r>
      <w:r>
        <w:fldChar w:fldCharType="separate"/>
      </w:r>
      <w:r>
        <w:rPr>
          <w:rStyle w:val="16"/>
          <w:rFonts w:ascii="方正仿宋_GBK" w:eastAsia="方正仿宋_GBK"/>
        </w:rPr>
        <w:t>1</w:t>
      </w:r>
      <w:r>
        <w:rPr>
          <w:rStyle w:val="16"/>
          <w:rFonts w:hint="eastAsia" w:ascii="方正仿宋_GBK" w:eastAsia="方正仿宋_GBK"/>
        </w:rPr>
        <w:t>、项目决策</w:t>
      </w:r>
      <w:r>
        <w:tab/>
      </w:r>
      <w:r>
        <w:fldChar w:fldCharType="begin"/>
      </w:r>
      <w:r>
        <w:instrText xml:space="preserve"> PAGEREF _Toc73373374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"_Toc73373375" </w:instrText>
      </w:r>
      <w:r>
        <w:fldChar w:fldCharType="separate"/>
      </w:r>
      <w:r>
        <w:rPr>
          <w:rStyle w:val="16"/>
          <w:rFonts w:hint="eastAsia" w:ascii="方正仿宋_GBK" w:eastAsia="方正仿宋_GBK"/>
        </w:rPr>
        <w:t>绩效目标情况。年初按要求报送完整、合理、清晰的绩效目标情况表；各实施项目均制定有效的项目实施方案进行施工；</w:t>
      </w:r>
      <w:r>
        <w:tab/>
      </w:r>
      <w:r>
        <w:fldChar w:fldCharType="begin"/>
      </w:r>
      <w:r>
        <w:instrText xml:space="preserve"> PAGEREF _Toc73373375 \h </w:instrText>
      </w:r>
      <w:r>
        <w:fldChar w:fldCharType="separate"/>
      </w:r>
      <w:r>
        <w:t>38</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"_Toc73373376" </w:instrText>
      </w:r>
      <w:r>
        <w:fldChar w:fldCharType="separate"/>
      </w:r>
      <w:r>
        <w:rPr>
          <w:rStyle w:val="16"/>
          <w:rFonts w:ascii="方正仿宋_GBK" w:eastAsia="方正仿宋_GBK"/>
        </w:rPr>
        <w:t>2</w:t>
      </w:r>
      <w:r>
        <w:rPr>
          <w:rStyle w:val="16"/>
          <w:rFonts w:hint="eastAsia" w:ascii="方正仿宋_GBK" w:eastAsia="方正仿宋_GBK"/>
        </w:rPr>
        <w:t>、项目管理</w:t>
      </w:r>
      <w:r>
        <w:tab/>
      </w:r>
      <w:r>
        <w:fldChar w:fldCharType="begin"/>
      </w:r>
      <w:r>
        <w:instrText xml:space="preserve"> PAGEREF _Toc73373376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"_Toc73373377" </w:instrText>
      </w:r>
      <w:r>
        <w:fldChar w:fldCharType="separate"/>
      </w:r>
      <w:r>
        <w:rPr>
          <w:rStyle w:val="16"/>
          <w:rFonts w:hint="eastAsia" w:ascii="方正仿宋_GBK" w:eastAsia="方正仿宋_GBK"/>
        </w:rPr>
        <w:t>资金到位情况。</w:t>
      </w:r>
      <w:r>
        <w:tab/>
      </w:r>
      <w:r>
        <w:fldChar w:fldCharType="begin"/>
      </w:r>
      <w:r>
        <w:instrText xml:space="preserve"> PAGEREF _Toc73373377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"_Toc73373378" </w:instrText>
      </w:r>
      <w:r>
        <w:fldChar w:fldCharType="separate"/>
      </w:r>
      <w:r>
        <w:rPr>
          <w:rStyle w:val="16"/>
          <w:rFonts w:ascii="方正仿宋_GBK" w:eastAsia="方正仿宋_GBK"/>
        </w:rPr>
        <w:t>3</w:t>
      </w:r>
      <w:r>
        <w:rPr>
          <w:rStyle w:val="16"/>
          <w:rFonts w:hint="eastAsia" w:ascii="方正仿宋_GBK" w:eastAsia="方正仿宋_GBK"/>
        </w:rPr>
        <w:t>、项目绩效</w:t>
      </w:r>
      <w:r>
        <w:tab/>
      </w:r>
      <w:r>
        <w:fldChar w:fldCharType="begin"/>
      </w:r>
      <w:r>
        <w:instrText xml:space="preserve"> PAGEREF _Toc73373378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"_Toc73373379" </w:instrText>
      </w:r>
      <w:r>
        <w:fldChar w:fldCharType="separate"/>
      </w:r>
      <w:r>
        <w:rPr>
          <w:rStyle w:val="16"/>
        </w:rPr>
        <w:t>1.</w:t>
      </w:r>
      <w:r>
        <w:rPr>
          <w:rStyle w:val="16"/>
          <w:rFonts w:hint="eastAsia"/>
        </w:rPr>
        <w:t>完成数量。</w:t>
      </w:r>
      <w:r>
        <w:tab/>
      </w:r>
      <w:r>
        <w:fldChar w:fldCharType="begin"/>
      </w:r>
      <w:r>
        <w:instrText xml:space="preserve"> PAGEREF _Toc73373379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"_Toc73373380" </w:instrText>
      </w:r>
      <w:r>
        <w:fldChar w:fldCharType="separate"/>
      </w:r>
      <w:r>
        <w:rPr>
          <w:rStyle w:val="16"/>
          <w:rFonts w:hint="eastAsia" w:ascii="方正仿宋_GBK" w:eastAsia="方正仿宋_GBK"/>
        </w:rPr>
        <w:t>全乡</w:t>
      </w:r>
      <w:r>
        <w:rPr>
          <w:rStyle w:val="16"/>
          <w:rFonts w:ascii="方正仿宋_GBK" w:eastAsia="方正仿宋_GBK"/>
        </w:rPr>
        <w:t>19</w:t>
      </w:r>
      <w:r>
        <w:rPr>
          <w:rStyle w:val="16"/>
          <w:rFonts w:hint="eastAsia" w:ascii="方正仿宋_GBK" w:eastAsia="方正仿宋_GBK"/>
        </w:rPr>
        <w:t>个项目有</w:t>
      </w:r>
      <w:r>
        <w:rPr>
          <w:rStyle w:val="16"/>
          <w:rFonts w:ascii="方正仿宋_GBK" w:eastAsia="方正仿宋_GBK"/>
        </w:rPr>
        <w:t>19</w:t>
      </w:r>
      <w:r>
        <w:rPr>
          <w:rStyle w:val="16"/>
          <w:rFonts w:hint="eastAsia" w:ascii="方正仿宋_GBK" w:eastAsia="方正仿宋_GBK"/>
        </w:rPr>
        <w:t>个项目完工报账。</w:t>
      </w:r>
      <w:r>
        <w:tab/>
      </w:r>
      <w:r>
        <w:fldChar w:fldCharType="begin"/>
      </w:r>
      <w:r>
        <w:instrText xml:space="preserve"> PAGEREF _Toc73373380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"_Toc73373381" </w:instrText>
      </w:r>
      <w:r>
        <w:fldChar w:fldCharType="separate"/>
      </w:r>
      <w:r>
        <w:rPr>
          <w:rStyle w:val="16"/>
        </w:rPr>
        <w:t>2.</w:t>
      </w:r>
      <w:r>
        <w:rPr>
          <w:rStyle w:val="16"/>
          <w:rFonts w:hint="eastAsia"/>
        </w:rPr>
        <w:t>完成质量。</w:t>
      </w:r>
      <w:r>
        <w:tab/>
      </w:r>
      <w:r>
        <w:fldChar w:fldCharType="begin"/>
      </w:r>
      <w:r>
        <w:instrText xml:space="preserve"> PAGEREF _Toc73373381 \h </w:instrText>
      </w:r>
      <w:r>
        <w:fldChar w:fldCharType="separate"/>
      </w:r>
      <w:r>
        <w:t>39</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"_Toc73373382" </w:instrText>
      </w:r>
      <w:r>
        <w:fldChar w:fldCharType="separate"/>
      </w:r>
      <w:r>
        <w:rPr>
          <w:rStyle w:val="16"/>
        </w:rPr>
        <w:t>3.</w:t>
      </w:r>
      <w:r>
        <w:rPr>
          <w:rStyle w:val="16"/>
          <w:rFonts w:hint="eastAsia"/>
        </w:rPr>
        <w:t>完成时效。</w:t>
      </w:r>
      <w:r>
        <w:tab/>
      </w:r>
      <w:r>
        <w:fldChar w:fldCharType="begin"/>
      </w:r>
      <w:r>
        <w:instrText xml:space="preserve"> PAGEREF _Toc73373382 \h </w:instrText>
      </w:r>
      <w:r>
        <w:fldChar w:fldCharType="separate"/>
      </w:r>
      <w:r>
        <w:t>40</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"_Toc73373383" </w:instrText>
      </w:r>
      <w:r>
        <w:fldChar w:fldCharType="separate"/>
      </w:r>
      <w:r>
        <w:rPr>
          <w:rStyle w:val="16"/>
        </w:rPr>
        <w:t>4.</w:t>
      </w:r>
      <w:r>
        <w:rPr>
          <w:rStyle w:val="16"/>
          <w:rFonts w:hint="eastAsia"/>
        </w:rPr>
        <w:t>完成成本。</w:t>
      </w:r>
      <w:r>
        <w:tab/>
      </w:r>
      <w:r>
        <w:fldChar w:fldCharType="begin"/>
      </w:r>
      <w:r>
        <w:instrText xml:space="preserve"> PAGEREF _Toc73373383 \h </w:instrText>
      </w:r>
      <w:r>
        <w:fldChar w:fldCharType="separate"/>
      </w:r>
      <w:r>
        <w:t>40</w:t>
      </w:r>
      <w:r>
        <w:fldChar w:fldCharType="end"/>
      </w:r>
      <w:r>
        <w:fldChar w:fldCharType="end"/>
      </w:r>
    </w:p>
    <w:p>
      <w:pPr>
        <w:pStyle w:val="11"/>
        <w:tabs>
          <w:tab w:val="left" w:pos="840"/>
        </w:tabs>
        <w:rPr>
          <w:rFonts w:asciiTheme="minorHAnsi" w:hAnsiTheme="minorHAnsi" w:eastAsiaTheme="minorEastAsia" w:cstheme="minorBidi"/>
          <w:sz w:val="21"/>
          <w:szCs w:val="22"/>
        </w:rPr>
      </w:pPr>
      <w:r>
        <w:fldChar w:fldCharType="begin"/>
      </w:r>
      <w:r>
        <w:instrText xml:space="preserve"> HYPERLINK \l "_Toc73373384" </w:instrText>
      </w:r>
      <w:r>
        <w:fldChar w:fldCharType="separate"/>
      </w:r>
      <w:r>
        <w:rPr>
          <w:rStyle w:val="16"/>
          <w:rFonts w:hint="eastAsia"/>
        </w:rPr>
        <w:t>一、</w:t>
      </w:r>
      <w:r>
        <w:rPr>
          <w:rFonts w:asciiTheme="minorHAnsi" w:hAnsiTheme="minorHAnsi" w:eastAsiaTheme="minorEastAsia" w:cstheme="minorBidi"/>
          <w:sz w:val="21"/>
          <w:szCs w:val="22"/>
        </w:rPr>
        <w:tab/>
      </w:r>
      <w:r>
        <w:rPr>
          <w:rStyle w:val="16"/>
          <w:rFonts w:hint="eastAsia"/>
        </w:rPr>
        <w:t>存在主要问题</w:t>
      </w:r>
      <w:r>
        <w:tab/>
      </w:r>
      <w:r>
        <w:fldChar w:fldCharType="begin"/>
      </w:r>
      <w:r>
        <w:instrText xml:space="preserve"> PAGEREF _Toc73373384 \h </w:instrText>
      </w:r>
      <w:r>
        <w:fldChar w:fldCharType="separate"/>
      </w:r>
      <w:r>
        <w:t>40</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"_Toc73373385" </w:instrText>
      </w:r>
      <w:r>
        <w:fldChar w:fldCharType="separate"/>
      </w:r>
      <w:r>
        <w:rPr>
          <w:rStyle w:val="16"/>
          <w:rFonts w:hint="eastAsia" w:ascii="方正仿宋_GBK" w:eastAsia="方正仿宋_GBK"/>
        </w:rPr>
        <w:t>有部份资金报账相对滞后，导致资金滞留在乡财政所；部份项目报账单据及项目资料不够完善，报账不规范。</w:t>
      </w:r>
      <w:r>
        <w:tab/>
      </w:r>
      <w:r>
        <w:fldChar w:fldCharType="begin"/>
      </w:r>
      <w:r>
        <w:instrText xml:space="preserve"> PAGEREF _Toc73373385 \h </w:instrText>
      </w:r>
      <w:r>
        <w:fldChar w:fldCharType="separate"/>
      </w:r>
      <w:r>
        <w:t>40</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"_Toc73373386" </w:instrText>
      </w:r>
      <w:r>
        <w:fldChar w:fldCharType="separate"/>
      </w:r>
      <w:r>
        <w:rPr>
          <w:rStyle w:val="16"/>
          <w:rFonts w:hint="eastAsia" w:ascii="方正仿宋_GBK" w:eastAsia="方正仿宋_GBK" w:cs="仿宋_GB2312"/>
        </w:rPr>
        <w:t>在今后的工作中，我们将加大项目资金的使用力度，加快进度，争取每年的项目当年报账完成。</w:t>
      </w:r>
      <w:r>
        <w:tab/>
      </w:r>
      <w:r>
        <w:fldChar w:fldCharType="begin"/>
      </w:r>
      <w:r>
        <w:instrText xml:space="preserve"> PAGEREF _Toc73373386 \h </w:instrText>
      </w:r>
      <w:r>
        <w:fldChar w:fldCharType="separate"/>
      </w:r>
      <w:r>
        <w:t>40</w:t>
      </w:r>
      <w:r>
        <w:fldChar w:fldCharType="end"/>
      </w:r>
      <w:r>
        <w:fldChar w:fldCharType="end"/>
      </w:r>
    </w:p>
    <w:p>
      <w:pPr>
        <w:pStyle w:val="11"/>
        <w:rPr>
          <w:rFonts w:asciiTheme="minorHAnsi" w:hAnsiTheme="minorHAnsi" w:eastAsiaTheme="minorEastAsia" w:cstheme="minorBidi"/>
          <w:sz w:val="21"/>
          <w:szCs w:val="22"/>
        </w:rPr>
      </w:pPr>
      <w:r>
        <w:fldChar w:fldCharType="begin"/>
      </w:r>
      <w:r>
        <w:instrText xml:space="preserve"> HYPERLINK \l "_Toc73373387" </w:instrText>
      </w:r>
      <w:r>
        <w:fldChar w:fldCharType="separate"/>
      </w:r>
      <w:r>
        <w:rPr>
          <w:rStyle w:val="16"/>
          <w:rFonts w:hint="eastAsia" w:ascii="黑体" w:hAnsi="黑体" w:eastAsia="黑体"/>
        </w:rPr>
        <w:t>第</w:t>
      </w:r>
      <w:r>
        <w:rPr>
          <w:rStyle w:val="16"/>
          <w:rFonts w:hint="eastAsia" w:ascii="黑体" w:hAnsi="黑体" w:eastAsia="黑体"/>
          <w:bCs/>
          <w:kern w:val="44"/>
        </w:rPr>
        <w:t>五部分</w:t>
      </w:r>
      <w:r>
        <w:rPr>
          <w:rStyle w:val="16"/>
          <w:rFonts w:ascii="黑体" w:hAnsi="黑体" w:eastAsia="黑体"/>
          <w:bCs/>
          <w:kern w:val="44"/>
        </w:rPr>
        <w:t xml:space="preserve"> </w:t>
      </w:r>
      <w:r>
        <w:rPr>
          <w:rStyle w:val="16"/>
          <w:rFonts w:hint="eastAsia" w:ascii="黑体" w:hAnsi="黑体" w:eastAsia="黑体"/>
          <w:bCs/>
          <w:kern w:val="44"/>
        </w:rPr>
        <w:t>附表</w:t>
      </w:r>
      <w:r>
        <w:tab/>
      </w:r>
      <w:r>
        <w:fldChar w:fldCharType="begin"/>
      </w:r>
      <w:r>
        <w:instrText xml:space="preserve"> PAGEREF _Toc73373387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"_Toc73373388" </w:instrText>
      </w:r>
      <w:r>
        <w:fldChar w:fldCharType="separate"/>
      </w:r>
      <w:r>
        <w:rPr>
          <w:rStyle w:val="16"/>
          <w:rFonts w:hint="eastAsia" w:ascii="仿宋" w:hAnsi="仿宋" w:eastAsia="仿宋"/>
        </w:rPr>
        <w:t>一、收入支出决算总表</w:t>
      </w:r>
      <w:r>
        <w:tab/>
      </w:r>
      <w:r>
        <w:fldChar w:fldCharType="begin"/>
      </w:r>
      <w:r>
        <w:instrText xml:space="preserve"> PAGEREF _Toc73373388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"_Toc73373389" </w:instrText>
      </w:r>
      <w:r>
        <w:fldChar w:fldCharType="separate"/>
      </w:r>
      <w:r>
        <w:rPr>
          <w:rStyle w:val="16"/>
          <w:rFonts w:hint="eastAsia" w:ascii="仿宋" w:hAnsi="仿宋" w:eastAsia="仿宋"/>
        </w:rPr>
        <w:t>二、收入总表</w:t>
      </w:r>
      <w:r>
        <w:tab/>
      </w:r>
      <w:r>
        <w:fldChar w:fldCharType="begin"/>
      </w:r>
      <w:r>
        <w:instrText xml:space="preserve"> PAGEREF _Toc73373389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"_Toc73373390" </w:instrText>
      </w:r>
      <w:r>
        <w:fldChar w:fldCharType="separate"/>
      </w:r>
      <w:r>
        <w:rPr>
          <w:rStyle w:val="16"/>
          <w:rFonts w:hint="eastAsia" w:ascii="仿宋" w:hAnsi="仿宋" w:eastAsia="仿宋"/>
        </w:rPr>
        <w:t>三、支出总表</w:t>
      </w:r>
      <w:r>
        <w:tab/>
      </w:r>
      <w:r>
        <w:fldChar w:fldCharType="begin"/>
      </w:r>
      <w:r>
        <w:instrText xml:space="preserve"> PAGEREF _Toc73373390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"_Toc73373391" </w:instrText>
      </w:r>
      <w:r>
        <w:fldChar w:fldCharType="separate"/>
      </w:r>
      <w:r>
        <w:rPr>
          <w:rStyle w:val="16"/>
          <w:rFonts w:hint="eastAsia" w:ascii="仿宋" w:hAnsi="仿宋" w:eastAsia="仿宋"/>
        </w:rPr>
        <w:t>四、财政拨款收入支出决算总表</w:t>
      </w:r>
      <w:r>
        <w:tab/>
      </w:r>
      <w:r>
        <w:fldChar w:fldCharType="begin"/>
      </w:r>
      <w:r>
        <w:instrText xml:space="preserve"> PAGEREF _Toc73373391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"_Toc73373392" </w:instrText>
      </w:r>
      <w:r>
        <w:fldChar w:fldCharType="separate"/>
      </w:r>
      <w:r>
        <w:rPr>
          <w:rStyle w:val="16"/>
          <w:rFonts w:hint="eastAsia" w:ascii="仿宋" w:hAnsi="仿宋" w:eastAsia="仿宋"/>
        </w:rPr>
        <w:t>五、财政拨款支出决算明细表（政府经济分类科目）</w:t>
      </w:r>
      <w:r>
        <w:tab/>
      </w:r>
      <w:r>
        <w:fldChar w:fldCharType="begin"/>
      </w:r>
      <w:r>
        <w:instrText xml:space="preserve"> PAGEREF _Toc73373392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"_Toc73373393" </w:instrText>
      </w:r>
      <w:r>
        <w:fldChar w:fldCharType="separate"/>
      </w:r>
      <w:r>
        <w:rPr>
          <w:rStyle w:val="16"/>
          <w:rFonts w:hint="eastAsia" w:ascii="仿宋" w:hAnsi="仿宋" w:eastAsia="仿宋"/>
        </w:rPr>
        <w:t>六、一般公共预算财政拨款支出决算表</w:t>
      </w:r>
      <w:r>
        <w:tab/>
      </w:r>
      <w:r>
        <w:fldChar w:fldCharType="begin"/>
      </w:r>
      <w:r>
        <w:instrText xml:space="preserve"> PAGEREF _Toc73373393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"_Toc73373394" </w:instrText>
      </w:r>
      <w:r>
        <w:fldChar w:fldCharType="separate"/>
      </w:r>
      <w:r>
        <w:rPr>
          <w:rStyle w:val="16"/>
          <w:rFonts w:hint="eastAsia" w:ascii="仿宋" w:hAnsi="仿宋" w:eastAsia="仿宋"/>
        </w:rPr>
        <w:t>七、一般公共预算财政拨款支出决算明细表</w:t>
      </w:r>
      <w:r>
        <w:tab/>
      </w:r>
      <w:r>
        <w:fldChar w:fldCharType="begin"/>
      </w:r>
      <w:r>
        <w:instrText xml:space="preserve"> PAGEREF _Toc73373394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"_Toc73373395" </w:instrText>
      </w:r>
      <w:r>
        <w:fldChar w:fldCharType="separate"/>
      </w:r>
      <w:r>
        <w:rPr>
          <w:rStyle w:val="16"/>
          <w:rFonts w:hint="eastAsia" w:ascii="仿宋" w:hAnsi="仿宋" w:eastAsia="仿宋"/>
        </w:rPr>
        <w:t>八、一般公共预算财政拨款基本支出决算表</w:t>
      </w:r>
      <w:r>
        <w:tab/>
      </w:r>
      <w:r>
        <w:fldChar w:fldCharType="begin"/>
      </w:r>
      <w:r>
        <w:instrText xml:space="preserve"> PAGEREF _Toc73373395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"_Toc73373396" </w:instrText>
      </w:r>
      <w:r>
        <w:fldChar w:fldCharType="separate"/>
      </w:r>
      <w:r>
        <w:rPr>
          <w:rStyle w:val="16"/>
          <w:rFonts w:hint="eastAsia" w:ascii="仿宋" w:hAnsi="仿宋" w:eastAsia="仿宋"/>
        </w:rPr>
        <w:t>九、一般公共预算财政拨款项目支出决算表</w:t>
      </w:r>
      <w:r>
        <w:tab/>
      </w:r>
      <w:r>
        <w:fldChar w:fldCharType="begin"/>
      </w:r>
      <w:r>
        <w:instrText xml:space="preserve"> PAGEREF _Toc73373396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"_Toc73373397" </w:instrText>
      </w:r>
      <w:r>
        <w:fldChar w:fldCharType="separate"/>
      </w:r>
      <w:r>
        <w:rPr>
          <w:rStyle w:val="16"/>
          <w:rFonts w:hint="eastAsia" w:ascii="仿宋" w:hAnsi="仿宋" w:eastAsia="仿宋"/>
        </w:rPr>
        <w:t>十、一般公共预算财政拨款“三公”经费支出决算表</w:t>
      </w:r>
      <w:r>
        <w:tab/>
      </w:r>
      <w:r>
        <w:fldChar w:fldCharType="begin"/>
      </w:r>
      <w:r>
        <w:instrText xml:space="preserve"> PAGEREF _Toc73373397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"_Toc73373398" </w:instrText>
      </w:r>
      <w:r>
        <w:fldChar w:fldCharType="separate"/>
      </w:r>
      <w:r>
        <w:rPr>
          <w:rStyle w:val="16"/>
          <w:rFonts w:hint="eastAsia" w:ascii="仿宋" w:hAnsi="仿宋" w:eastAsia="仿宋"/>
        </w:rPr>
        <w:t>十一、政府性基金预算财政拨款收入支出决算表</w:t>
      </w:r>
      <w:r>
        <w:tab/>
      </w:r>
      <w:r>
        <w:fldChar w:fldCharType="begin"/>
      </w:r>
      <w:r>
        <w:instrText xml:space="preserve"> PAGEREF _Toc73373398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"_Toc73373399" </w:instrText>
      </w:r>
      <w:r>
        <w:fldChar w:fldCharType="separate"/>
      </w:r>
      <w:r>
        <w:rPr>
          <w:rStyle w:val="16"/>
          <w:rFonts w:hint="eastAsia" w:ascii="仿宋" w:hAnsi="仿宋" w:eastAsia="仿宋"/>
        </w:rPr>
        <w:t>十二、政府性基金预算财政拨款“三公”经费支出决算表</w:t>
      </w:r>
      <w:r>
        <w:tab/>
      </w:r>
      <w:r>
        <w:fldChar w:fldCharType="begin"/>
      </w:r>
      <w:r>
        <w:instrText xml:space="preserve"> PAGEREF _Toc73373399 \h </w:instrText>
      </w:r>
      <w:r>
        <w:fldChar w:fldCharType="separate"/>
      </w:r>
      <w:r>
        <w:t>41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"_Toc73373400" </w:instrText>
      </w:r>
      <w:r>
        <w:fldChar w:fldCharType="separate"/>
      </w:r>
      <w:r>
        <w:rPr>
          <w:rStyle w:val="16"/>
          <w:rFonts w:hint="eastAsia" w:ascii="仿宋" w:hAnsi="仿宋" w:eastAsia="仿宋"/>
        </w:rPr>
        <w:t>十三、国有资本经营预算支出决算表</w:t>
      </w:r>
      <w:r>
        <w:tab/>
      </w:r>
      <w:r>
        <w:fldChar w:fldCharType="begin"/>
      </w:r>
      <w:r>
        <w:instrText xml:space="preserve"> PAGEREF _Toc73373400 \h </w:instrText>
      </w:r>
      <w:r>
        <w:fldChar w:fldCharType="separate"/>
      </w:r>
      <w:r>
        <w:t>41</w:t>
      </w:r>
      <w:r>
        <w:fldChar w:fldCharType="end"/>
      </w:r>
      <w:r>
        <w:fldChar w:fldCharType="end"/>
      </w:r>
    </w:p>
    <w:p>
      <w:pPr>
        <w:widowControl/>
        <w:ind w:firstLine="480"/>
        <w:jc w:val="left"/>
        <w:rPr>
          <w:rFonts w:ascii="仿宋" w:hAnsi="仿宋" w:eastAsia="仿宋"/>
          <w:color w:val="000000"/>
          <w:sz w:val="24"/>
        </w:rPr>
      </w:pPr>
      <w:r>
        <w:rPr>
          <w:rFonts w:ascii="仿宋" w:hAnsi="仿宋" w:eastAsia="仿宋"/>
          <w:color w:val="000000"/>
          <w:sz w:val="24"/>
        </w:rPr>
        <w:fldChar w:fldCharType="end"/>
      </w:r>
    </w:p>
    <w:p>
      <w:pPr>
        <w:widowControl/>
        <w:ind w:firstLine="422"/>
        <w:jc w:val="left"/>
        <w:rPr>
          <w:rFonts w:ascii="黑体" w:hAnsi="黑体" w:eastAsia="黑体"/>
          <w:bCs/>
          <w:kern w:val="44"/>
          <w:sz w:val="44"/>
          <w:szCs w:val="44"/>
        </w:rPr>
      </w:pPr>
      <w:bookmarkStart w:id="14" w:name="_Toc15377196"/>
      <w:r>
        <w:rPr>
          <w:rFonts w:ascii="黑体" w:hAnsi="黑体" w:eastAsia="黑体"/>
          <w:b/>
        </w:rPr>
        <w:br w:type="page"/>
      </w:r>
    </w:p>
    <w:p>
      <w:pPr>
        <w:pStyle w:val="2"/>
        <w:ind w:firstLine="880"/>
        <w:jc w:val="center"/>
        <w:rPr>
          <w:rStyle w:val="25"/>
          <w:rFonts w:ascii="黑体" w:hAnsi="黑体" w:eastAsia="黑体"/>
          <w:b/>
          <w:bCs w:val="0"/>
        </w:rPr>
      </w:pPr>
      <w:bookmarkStart w:id="15" w:name="_Toc54099124"/>
      <w:bookmarkStart w:id="16" w:name="_Toc73373348"/>
      <w:r>
        <w:rPr>
          <w:rFonts w:hint="eastAsia" w:ascii="黑体" w:hAnsi="黑体" w:eastAsia="黑体"/>
          <w:b w:val="0"/>
        </w:rPr>
        <w:t xml:space="preserve">第一部分 </w:t>
      </w:r>
      <w:r>
        <w:rPr>
          <w:rStyle w:val="25"/>
          <w:rFonts w:hint="eastAsia" w:ascii="黑体" w:hAnsi="黑体" w:eastAsia="黑体"/>
          <w:b w:val="0"/>
          <w:bCs w:val="0"/>
        </w:rPr>
        <w:t>部门概况</w:t>
      </w:r>
      <w:bookmarkEnd w:id="14"/>
      <w:bookmarkEnd w:id="15"/>
      <w:bookmarkEnd w:id="16"/>
    </w:p>
    <w:p>
      <w:pPr>
        <w:widowControl/>
        <w:ind w:firstLine="640"/>
        <w:jc w:val="left"/>
        <w:rPr>
          <w:rFonts w:ascii="黑体" w:eastAsia="黑体"/>
          <w:color w:val="000000"/>
          <w:sz w:val="32"/>
          <w:szCs w:val="32"/>
        </w:rPr>
      </w:pPr>
    </w:p>
    <w:p>
      <w:pPr>
        <w:pStyle w:val="3"/>
        <w:spacing w:line="415" w:lineRule="auto"/>
        <w:ind w:firstLine="640"/>
        <w:rPr>
          <w:rStyle w:val="26"/>
          <w:rFonts w:ascii="仿宋" w:hAnsi="仿宋" w:eastAsia="仿宋"/>
          <w:b w:val="0"/>
          <w:bCs w:val="0"/>
        </w:rPr>
      </w:pPr>
      <w:bookmarkStart w:id="17" w:name="_Toc54099125"/>
      <w:bookmarkStart w:id="18" w:name="_Toc15377197"/>
      <w:bookmarkStart w:id="19" w:name="_Toc73373349"/>
      <w:r>
        <w:rPr>
          <w:rFonts w:hint="eastAsia" w:ascii="黑体" w:hAnsi="黑体" w:eastAsia="黑体"/>
          <w:b w:val="0"/>
          <w:color w:val="000000"/>
        </w:rPr>
        <w:t>一、基</w:t>
      </w:r>
      <w:r>
        <w:rPr>
          <w:rStyle w:val="26"/>
          <w:rFonts w:hint="eastAsia" w:ascii="黑体" w:hAnsi="黑体" w:eastAsia="黑体"/>
          <w:b w:val="0"/>
          <w:bCs w:val="0"/>
        </w:rPr>
        <w:t>本职能及主要工作</w:t>
      </w:r>
      <w:bookmarkEnd w:id="17"/>
      <w:bookmarkEnd w:id="18"/>
      <w:bookmarkEnd w:id="19"/>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left"/>
        <w:outlineLvl w:val="2"/>
        <w:rPr>
          <w:rFonts w:ascii="仿宋" w:hAnsi="仿宋" w:eastAsia="仿宋"/>
          <w:bCs/>
          <w:color w:val="000000"/>
          <w:sz w:val="32"/>
          <w:szCs w:val="32"/>
        </w:rPr>
      </w:pPr>
      <w:bookmarkStart w:id="20" w:name="_Toc15377198"/>
      <w:bookmarkStart w:id="21" w:name="_Toc15378445"/>
      <w:r>
        <w:rPr>
          <w:rFonts w:hint="eastAsia" w:ascii="仿宋" w:hAnsi="仿宋" w:eastAsia="仿宋"/>
          <w:bCs/>
          <w:color w:val="000000"/>
          <w:sz w:val="32"/>
          <w:szCs w:val="32"/>
        </w:rPr>
        <w:t>（一）主要职能。</w:t>
      </w:r>
      <w:bookmarkEnd w:id="20"/>
      <w:bookmarkEnd w:id="21"/>
      <w:bookmarkStart w:id="22" w:name="_Toc15378446"/>
      <w:bookmarkStart w:id="23" w:name="_Toc15377199"/>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1、制定和组织实施经济、科技和社会发展计划，制定资源开发技术改造和产业结构调整方案，组织指导好各业生产搞好</w:t>
      </w:r>
      <w:r>
        <w:fldChar w:fldCharType="begin"/>
      </w:r>
      <w:r>
        <w:instrText xml:space="preserve"> HYPERLINK "https://www.baidu.com/s?wd=%E5%95%86%E5%93%81%E6%B5%81%E9%80%9A&amp;tn=44039180_cpr&amp;fenlei=mv6quAkxTZn0IZRqIHckPjm4nH00T1dBPjmdrANhPAD3m1KWuARv0ZwV5Hcvrjm3rH6sPfKWUMw85HfYnjn4nH6sgvPsT6KdThsqpZwYTjCEQLGCpyw9Uz4Bmy-bIi4WUvYETgN-TLwGUv3EnHf1njfkrHcdn1R4PH0sn1fkrf"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商品流通</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，协调好本乡与外地区的经济交流与合作，抓好招商引资，</w:t>
      </w:r>
      <w:r>
        <w:fldChar w:fldCharType="begin"/>
      </w:r>
      <w:r>
        <w:instrText xml:space="preserve"> HYPERLINK "https://www.baidu.com/s?wd=%E4%BA%BA%E6%89%8D%E5%BC%95%E8%BF%9B&amp;tn=44039180_cpr&amp;fenlei=mv6quAkxTZn0IZRqIHckPjm4nH00T1dBPjmdrANhPAD3m1KWuARv0ZwV5Hcvrjm3rH6sPfKWUMw85HfYnjn4nH6sgvPsT6KdThsqpZwYTjCEQLGCpyw9Uz4Bmy-bIi4WUvYETgN-TLwGUv3EnHf1njfkrHcdn1R4PH0sn1fkrf"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人才引进</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项目开发，不断培育市场体系，组织经济运行，促进经济发展。</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2、制定并组织实施村镇建设规划，部署重点工程建设，地方道路建设及公共设施，水利设施的管理，负责土地、林木、水等自然资源和生态环境的保护，做好护林防火工作。</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 xml:space="preserve"> 3、负责本行政区域内的民政、计划生育、</w:t>
      </w:r>
      <w:r>
        <w:fldChar w:fldCharType="begin"/>
      </w:r>
      <w:r>
        <w:instrText xml:space="preserve"> HYPERLINK "https://www.baidu.com/s?wd=%E6%96%87%E5%8C%96%E6%95%99%E8%82%B2&amp;tn=44039180_cpr&amp;fenlei=mv6quAkxTZn0IZRqIHckPjm4nH00T1dBPjmdrANhPAD3m1KWuARv0ZwV5Hcvrjm3rH6sPfKWUMw85HfYnjn4nH6sgvPsT6KdThsqpZwYTjCEQLGCpyw9Uz4Bmy-bIi4WUvYETgN-TLwGUv3EnHf1njfkrHcdn1R4PH0sn1fkrf"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文化教育</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、卫生、体育等社会公益事业的综合性工作，维护一切经济单位和个人的正当经济权益，取缔非法经济活动，调解和处理</w:t>
      </w:r>
      <w:r>
        <w:fldChar w:fldCharType="begin"/>
      </w:r>
      <w:r>
        <w:instrText xml:space="preserve"> HYPERLINK "https://www.baidu.com/s?wd=%E6%B0%91%E4%BA%8B%E7%BA%A0%E7%BA%B7&amp;tn=44039180_cpr&amp;fenlei=mv6quAkxTZn0IZRqIHckPjm4nH00T1dBPjmdrANhPAD3m1KWuARv0ZwV5Hcvrjm3rH6sPfKWUMw85HfYnjn4nH6sgvPsT6KdThsqpZwYTjCEQLGCpyw9Uz4Bmy-bIi4WUvYETgN-TLwGUv3EnHf1njfkrHcdn1R4PH0sn1fkrf"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民事纠纷</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，打击刑事犯罪维护社会稳定。</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000000"/>
          <w:kern w:val="0"/>
          <w:sz w:val="33"/>
          <w:szCs w:val="33"/>
        </w:rPr>
      </w:pPr>
      <w:r>
        <w:rPr>
          <w:rFonts w:hint="eastAsia" w:ascii="方正仿宋_GBK" w:hAnsi="宋体" w:eastAsia="方正仿宋_GBK" w:cs="宋体"/>
          <w:color w:val="000000"/>
          <w:kern w:val="0"/>
          <w:sz w:val="33"/>
          <w:szCs w:val="33"/>
        </w:rPr>
        <w:t>4、按计划组织本级财政收入和地方税的征收，完成国家财政计划，不断培植税源，管好财政资金，增强财政实力。</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333333"/>
          <w:kern w:val="0"/>
          <w:sz w:val="33"/>
          <w:szCs w:val="33"/>
        </w:rPr>
      </w:pPr>
      <w:r>
        <w:rPr>
          <w:rFonts w:hint="eastAsia" w:ascii="方正仿宋_GBK" w:hAnsi="宋体" w:eastAsia="方正仿宋_GBK" w:cs="宋体"/>
          <w:color w:val="000000"/>
          <w:kern w:val="0"/>
          <w:sz w:val="33"/>
          <w:szCs w:val="33"/>
        </w:rPr>
        <w:t>5、抓好精神文明建设，丰富</w:t>
      </w:r>
      <w:r>
        <w:fldChar w:fldCharType="begin"/>
      </w:r>
      <w:r>
        <w:instrText xml:space="preserve"> HYPERLINK "https://www.baidu.com/s?wd=%E7%BE%A4%E4%BC%97%E6%96%87%E5%8C%96&amp;tn=44039180_cpr&amp;fenlei=mv6quAkxTZn0IZRqIHckPjm4nH00T1dBPjmdrANhPAD3m1KWuARv0ZwV5Hcvrjm3rH6sPfKWUMw85HfYnjn4nH6sgvPsT6KdThsqpZwYTjCEQLGCpyw9Uz4Bmy-bIi4WUvYETgN-TLwGUv3EnHf1njfkrHcdn1R4PH0sn1fkrf" \t "_blank" </w:instrText>
      </w:r>
      <w:r>
        <w:fldChar w:fldCharType="separate"/>
      </w:r>
      <w:r>
        <w:rPr>
          <w:rFonts w:hint="eastAsia" w:ascii="方正仿宋_GBK" w:hAnsi="宋体" w:eastAsia="方正仿宋_GBK" w:cs="宋体"/>
          <w:color w:val="000000"/>
          <w:kern w:val="0"/>
          <w:sz w:val="33"/>
          <w:szCs w:val="33"/>
        </w:rPr>
        <w:t>群众文化</w:t>
      </w:r>
      <w:r>
        <w:rPr>
          <w:rFonts w:hint="eastAsia" w:ascii="方正仿宋_GBK" w:hAnsi="宋体" w:eastAsia="方正仿宋_GBK" w:cs="宋体"/>
          <w:color w:val="000000"/>
          <w:kern w:val="0"/>
          <w:sz w:val="33"/>
          <w:szCs w:val="33"/>
        </w:rPr>
        <w:fldChar w:fldCharType="end"/>
      </w:r>
      <w:r>
        <w:rPr>
          <w:rFonts w:hint="eastAsia" w:ascii="方正仿宋_GBK" w:hAnsi="宋体" w:eastAsia="方正仿宋_GBK" w:cs="宋体"/>
          <w:color w:val="000000"/>
          <w:kern w:val="0"/>
          <w:sz w:val="33"/>
          <w:szCs w:val="33"/>
        </w:rPr>
        <w:t>生活，提倡移风易俗，</w:t>
      </w:r>
      <w:r>
        <w:rPr>
          <w:rFonts w:hint="eastAsia" w:ascii="方正仿宋_GBK" w:hAnsi="宋体" w:eastAsia="方正仿宋_GBK" w:cs="宋体"/>
          <w:color w:val="333333"/>
          <w:kern w:val="0"/>
          <w:sz w:val="33"/>
          <w:szCs w:val="33"/>
        </w:rPr>
        <w:t>反对封建迷信，破除陈规陋习，树立社会主义新风尚。</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60" w:firstLineChars="200"/>
        <w:jc w:val="left"/>
        <w:rPr>
          <w:rFonts w:ascii="方正仿宋_GBK" w:hAnsi="宋体" w:eastAsia="方正仿宋_GBK" w:cs="宋体"/>
          <w:color w:val="333333"/>
          <w:kern w:val="0"/>
          <w:sz w:val="33"/>
          <w:szCs w:val="33"/>
        </w:rPr>
      </w:pPr>
      <w:r>
        <w:rPr>
          <w:rFonts w:hint="eastAsia" w:ascii="方正仿宋_GBK" w:hAnsi="宋体" w:eastAsia="方正仿宋_GBK" w:cs="宋体"/>
          <w:color w:val="333333"/>
          <w:kern w:val="0"/>
          <w:sz w:val="33"/>
          <w:szCs w:val="33"/>
        </w:rPr>
        <w:t xml:space="preserve"> 6、完成上级政府交办的其它事项。</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left"/>
        <w:outlineLvl w:val="2"/>
        <w:rPr>
          <w:rFonts w:ascii="仿宋" w:hAnsi="仿宋" w:eastAsia="仿宋"/>
          <w:bCs/>
          <w:color w:val="000000"/>
          <w:sz w:val="32"/>
          <w:szCs w:val="32"/>
        </w:rPr>
      </w:pPr>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2"/>
      <w:bookmarkEnd w:id="23"/>
    </w:p>
    <w:p>
      <w:pPr>
        <w:pStyle w:val="3"/>
        <w:spacing w:line="415" w:lineRule="auto"/>
        <w:ind w:firstLine="640"/>
        <w:rPr>
          <w:rFonts w:ascii="黑体" w:hAnsi="黑体" w:eastAsia="黑体"/>
          <w:bCs w:val="0"/>
          <w:color w:val="000000"/>
        </w:rPr>
      </w:pPr>
      <w:bookmarkStart w:id="24" w:name="_Toc15377200"/>
      <w:bookmarkStart w:id="25" w:name="_Toc54099126"/>
      <w:bookmarkStart w:id="26" w:name="_Toc73373350"/>
      <w:r>
        <w:rPr>
          <w:rFonts w:hint="eastAsia" w:ascii="黑体" w:hAnsi="黑体" w:eastAsia="黑体"/>
          <w:b w:val="0"/>
          <w:color w:val="000000"/>
        </w:rPr>
        <w:t>二、机</w:t>
      </w:r>
      <w:r>
        <w:rPr>
          <w:rFonts w:hint="eastAsia"/>
          <w:bCs w:val="0"/>
          <w:color w:val="000000"/>
        </w:rPr>
        <w:t>构设置</w:t>
      </w:r>
      <w:bookmarkEnd w:id="24"/>
      <w:bookmarkEnd w:id="25"/>
      <w:bookmarkEnd w:id="26"/>
    </w:p>
    <w:p>
      <w:pPr>
        <w:pStyle w:val="5"/>
        <w:adjustRightInd w:val="0"/>
        <w:snapToGrid w:val="0"/>
        <w:spacing w:before="93"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惠民乡人民政府属于机关事业一级单位，其中行政单位1个，事业单位3个，包含：农业服务中心、宣文中心、社会保障和就业服务中心。</w:t>
      </w:r>
    </w:p>
    <w:p>
      <w:pPr>
        <w:widowControl/>
        <w:ind w:firstLine="660"/>
        <w:jc w:val="left"/>
        <w:rPr>
          <w:rFonts w:ascii="方正仿宋_GBK" w:hAnsi="仿宋" w:eastAsia="方正仿宋_GBK"/>
          <w:color w:val="000000"/>
          <w:kern w:val="0"/>
          <w:sz w:val="33"/>
          <w:szCs w:val="33"/>
        </w:rPr>
      </w:pPr>
      <w:r>
        <w:rPr>
          <w:rFonts w:hint="eastAsia" w:ascii="方正仿宋_GBK" w:hAnsi="仿宋" w:eastAsia="方正仿宋_GBK"/>
          <w:color w:val="000000"/>
          <w:sz w:val="33"/>
          <w:szCs w:val="33"/>
        </w:rPr>
        <w:br w:type="page"/>
      </w:r>
    </w:p>
    <w:p>
      <w:pPr>
        <w:pStyle w:val="2"/>
        <w:ind w:right="442" w:firstLine="880"/>
        <w:jc w:val="right"/>
        <w:rPr>
          <w:rStyle w:val="25"/>
          <w:rFonts w:ascii="黑体" w:hAnsi="黑体" w:eastAsia="黑体"/>
          <w:b w:val="0"/>
          <w:bCs w:val="0"/>
        </w:rPr>
      </w:pPr>
      <w:bookmarkStart w:id="27" w:name="_Toc54099127"/>
      <w:bookmarkStart w:id="28" w:name="_Toc73373351"/>
      <w:bookmarkStart w:id="29" w:name="_Toc15377204"/>
      <w:r>
        <w:rPr>
          <w:rFonts w:hint="eastAsia" w:ascii="黑体" w:hAnsi="黑体" w:eastAsia="黑体"/>
          <w:b w:val="0"/>
          <w:color w:val="000000"/>
        </w:rPr>
        <w:t>第二部分</w:t>
      </w:r>
      <w:r>
        <w:rPr>
          <w:rStyle w:val="25"/>
          <w:rFonts w:hint="eastAsia" w:ascii="黑体" w:hAnsi="黑体" w:eastAsia="黑体"/>
          <w:b w:val="0"/>
          <w:bCs w:val="0"/>
        </w:rPr>
        <w:t>2019年度部门决算情况说明</w:t>
      </w:r>
      <w:bookmarkEnd w:id="27"/>
      <w:bookmarkEnd w:id="28"/>
      <w:bookmarkEnd w:id="29"/>
    </w:p>
    <w:p>
      <w:pPr>
        <w:ind w:firstLine="420"/>
      </w:pPr>
    </w:p>
    <w:p>
      <w:pPr>
        <w:spacing w:line="600" w:lineRule="exact"/>
        <w:ind w:left="641" w:firstLine="640"/>
        <w:outlineLvl w:val="1"/>
        <w:rPr>
          <w:rStyle w:val="26"/>
          <w:rFonts w:ascii="黑体" w:hAnsi="黑体" w:eastAsia="黑体"/>
          <w:b w:val="0"/>
        </w:rPr>
      </w:pPr>
      <w:bookmarkStart w:id="30" w:name="_Toc73373352"/>
      <w:bookmarkStart w:id="31" w:name="_Toc15377205"/>
      <w:bookmarkStart w:id="32" w:name="_Toc54099128"/>
      <w:r>
        <w:rPr>
          <w:rFonts w:hint="eastAsia" w:ascii="黑体" w:hAnsi="黑体" w:eastAsia="黑体"/>
          <w:color w:val="000000"/>
          <w:sz w:val="32"/>
          <w:szCs w:val="32"/>
        </w:rPr>
        <w:t>一、收</w:t>
      </w:r>
      <w:r>
        <w:rPr>
          <w:rStyle w:val="26"/>
          <w:rFonts w:hint="eastAsia" w:ascii="黑体" w:hAnsi="黑体" w:eastAsia="黑体"/>
          <w:b w:val="0"/>
        </w:rPr>
        <w:t>入支出决算总体情况说明</w:t>
      </w:r>
      <w:bookmarkEnd w:id="30"/>
      <w:bookmarkEnd w:id="31"/>
      <w:bookmarkEnd w:id="32"/>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2019年度收入1976万元，与2018年1251万元相比，收入增加725万元，增长58%；2019年度支出2013万元，与2018年1235万元相比增加778万元，增长63%。主要变动原因是人员变动，项目增加。</w:t>
      </w:r>
    </w:p>
    <w:p>
      <w:pPr>
        <w:spacing w:line="600" w:lineRule="exact"/>
        <w:ind w:left="640" w:firstLine="640"/>
        <w:outlineLvl w:val="1"/>
        <w:rPr>
          <w:rFonts w:ascii="黑体" w:hAnsi="黑体" w:eastAsia="黑体"/>
          <w:color w:val="000000"/>
          <w:sz w:val="32"/>
          <w:szCs w:val="32"/>
        </w:rPr>
      </w:pPr>
      <w:bookmarkStart w:id="33" w:name="_Toc73373353"/>
      <w:bookmarkStart w:id="34" w:name="_Toc54099129"/>
      <w:bookmarkStart w:id="35" w:name="_Toc15377206"/>
      <w:r>
        <w:rPr>
          <w:rFonts w:hint="eastAsia" w:ascii="黑体" w:hAnsi="黑体" w:eastAsia="黑体"/>
          <w:color w:val="000000"/>
          <w:sz w:val="32"/>
          <w:szCs w:val="32"/>
        </w:rPr>
        <w:t>二、收入决算情况说明</w:t>
      </w:r>
      <w:bookmarkEnd w:id="33"/>
      <w:bookmarkEnd w:id="34"/>
      <w:bookmarkEnd w:id="35"/>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9年本年收入合计1976万元，其中：一般公共预算财政拨款收入1976万元，占100</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w:t>
      </w:r>
      <w:bookmarkStart w:id="36" w:name="_Toc15377207"/>
    </w:p>
    <w:p>
      <w:pPr>
        <w:spacing w:line="600" w:lineRule="exact"/>
        <w:ind w:firstLine="640" w:firstLineChars="200"/>
        <w:rPr>
          <w:rStyle w:val="26"/>
          <w:rFonts w:ascii="方正仿宋_GBK" w:hAnsi="仿宋" w:eastAsia="方正仿宋_GBK" w:cs="Times New Roman"/>
          <w:b w:val="0"/>
          <w:bCs w:val="0"/>
          <w:color w:val="000000"/>
          <w:sz w:val="33"/>
          <w:szCs w:val="33"/>
        </w:rPr>
      </w:pPr>
      <w:r>
        <w:rPr>
          <w:rFonts w:hint="eastAsia" w:ascii="黑体" w:hAnsi="黑体" w:eastAsia="黑体"/>
          <w:color w:val="000000"/>
          <w:sz w:val="32"/>
          <w:szCs w:val="32"/>
        </w:rPr>
        <w:t>三、支</w:t>
      </w:r>
      <w:r>
        <w:rPr>
          <w:rStyle w:val="26"/>
          <w:rFonts w:hint="eastAsia" w:ascii="黑体" w:hAnsi="黑体" w:eastAsia="黑体"/>
          <w:b w:val="0"/>
        </w:rPr>
        <w:t>出决算情况说明</w:t>
      </w:r>
      <w:bookmarkEnd w:id="36"/>
    </w:p>
    <w:p>
      <w:pPr>
        <w:spacing w:line="600" w:lineRule="exact"/>
        <w:ind w:firstLine="660" w:firstLineChars="200"/>
        <w:rPr>
          <w:rFonts w:ascii="方正仿宋_GBK" w:hAnsi="仿宋" w:eastAsia="方正仿宋_GBK"/>
          <w:color w:val="000000"/>
          <w:sz w:val="33"/>
          <w:szCs w:val="33"/>
        </w:rPr>
      </w:pPr>
      <w:r>
        <w:rPr>
          <w:rFonts w:ascii="方正仿宋_GBK" w:hAnsi="仿宋" w:eastAsia="方正仿宋_GBK"/>
          <w:color w:val="000000"/>
          <w:sz w:val="33"/>
          <w:szCs w:val="33"/>
        </w:rPr>
        <w:t>201</w:t>
      </w:r>
      <w:r>
        <w:rPr>
          <w:rFonts w:hint="eastAsia" w:ascii="方正仿宋_GBK" w:hAnsi="仿宋" w:eastAsia="方正仿宋_GBK"/>
          <w:color w:val="000000"/>
          <w:sz w:val="33"/>
          <w:szCs w:val="33"/>
        </w:rPr>
        <w:t>9年本年支出合计2013万元，其中：基本支出868万元，占43</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；项目支出1145万元，占57</w:t>
      </w:r>
      <w:r>
        <w:rPr>
          <w:rFonts w:ascii="方正仿宋_GBK" w:hAnsi="仿宋" w:eastAsia="方正仿宋_GBK"/>
          <w:color w:val="000000"/>
          <w:sz w:val="33"/>
          <w:szCs w:val="33"/>
        </w:rPr>
        <w:t>%</w:t>
      </w:r>
      <w:r>
        <w:rPr>
          <w:rFonts w:hint="eastAsia" w:ascii="方正仿宋_GBK" w:hAnsi="仿宋" w:eastAsia="方正仿宋_GBK"/>
          <w:color w:val="000000"/>
          <w:sz w:val="33"/>
          <w:szCs w:val="33"/>
        </w:rPr>
        <w:t>.</w:t>
      </w:r>
      <w:bookmarkStart w:id="37" w:name="_Toc15377208"/>
    </w:p>
    <w:p>
      <w:pPr>
        <w:spacing w:line="600" w:lineRule="exact"/>
        <w:ind w:firstLine="640" w:firstLineChars="200"/>
        <w:rPr>
          <w:rFonts w:ascii="方正仿宋_GBK" w:hAnsi="仿宋" w:eastAsia="方正仿宋_GBK"/>
          <w:color w:val="000000"/>
          <w:sz w:val="33"/>
          <w:szCs w:val="33"/>
        </w:rPr>
      </w:pPr>
      <w:r>
        <w:rPr>
          <w:rFonts w:hint="eastAsia" w:ascii="黑体" w:hAnsi="黑体" w:eastAsia="黑体"/>
          <w:color w:val="000000"/>
          <w:sz w:val="32"/>
          <w:szCs w:val="32"/>
        </w:rPr>
        <w:t>四、财政拨款收入支出决算总体情况说明</w:t>
      </w:r>
      <w:bookmarkEnd w:id="37"/>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2019年度财政拨款收入1976万元，与2018年相比，收入增加725万元，增长58%；2019年度财政拨款支出2013万元，与2018年相比增加778万元，增长63%。主要变动原因是人员变动，项目增加。</w:t>
      </w:r>
    </w:p>
    <w:p>
      <w:pPr>
        <w:spacing w:line="600" w:lineRule="exact"/>
        <w:ind w:firstLine="643"/>
        <w:rPr>
          <w:rFonts w:ascii="仿宋" w:hAnsi="仿宋" w:eastAsia="仿宋"/>
          <w:b/>
          <w:color w:val="000000" w:themeColor="text1"/>
          <w:sz w:val="32"/>
          <w:szCs w:val="32"/>
        </w:rPr>
      </w:pPr>
      <w:r>
        <w:rPr>
          <w:rFonts w:hint="eastAsia" w:ascii="仿宋" w:hAnsi="仿宋" w:eastAsia="仿宋"/>
          <w:b/>
          <w:color w:val="000000" w:themeColor="text1"/>
          <w:sz w:val="32"/>
          <w:szCs w:val="32"/>
        </w:rPr>
        <w:t>（除国有资本经营预算外，数据来源于财决</w:t>
      </w:r>
      <w:r>
        <w:rPr>
          <w:rFonts w:ascii="仿宋" w:hAnsi="仿宋" w:eastAsia="仿宋"/>
          <w:b/>
          <w:color w:val="000000" w:themeColor="text1"/>
          <w:sz w:val="32"/>
          <w:szCs w:val="32"/>
        </w:rPr>
        <w:t>Z01-1</w:t>
      </w:r>
      <w:r>
        <w:rPr>
          <w:rFonts w:hint="eastAsia" w:ascii="仿宋" w:hAnsi="仿宋" w:eastAsia="仿宋"/>
          <w:b/>
          <w:color w:val="000000" w:themeColor="text1"/>
          <w:sz w:val="32"/>
          <w:szCs w:val="32"/>
        </w:rPr>
        <w:t>表，口径为“总计”数+国有资本经营预算。）</w:t>
      </w:r>
    </w:p>
    <w:p>
      <w:pPr>
        <w:spacing w:line="600" w:lineRule="exact"/>
        <w:ind w:firstLine="643"/>
        <w:rPr>
          <w:rFonts w:ascii="仿宋" w:hAnsi="仿宋" w:eastAsia="仿宋"/>
          <w:b/>
          <w:color w:val="00B050"/>
          <w:sz w:val="32"/>
          <w:szCs w:val="32"/>
        </w:rPr>
      </w:pPr>
    </w:p>
    <w:p>
      <w:pPr>
        <w:spacing w:line="600" w:lineRule="exact"/>
        <w:ind w:firstLine="643"/>
        <w:rPr>
          <w:rFonts w:ascii="仿宋" w:hAnsi="仿宋" w:eastAsia="仿宋"/>
          <w:b/>
          <w:color w:val="00B050"/>
          <w:sz w:val="32"/>
          <w:szCs w:val="32"/>
        </w:rPr>
      </w:pPr>
    </w:p>
    <w:p>
      <w:pPr>
        <w:spacing w:line="600" w:lineRule="exact"/>
        <w:ind w:firstLine="643"/>
        <w:rPr>
          <w:rFonts w:ascii="仿宋" w:hAnsi="仿宋" w:eastAsia="仿宋"/>
          <w:b/>
          <w:color w:val="00B050"/>
          <w:sz w:val="32"/>
          <w:szCs w:val="32"/>
        </w:rPr>
      </w:pPr>
    </w:p>
    <w:p>
      <w:pPr>
        <w:spacing w:line="600" w:lineRule="exact"/>
        <w:ind w:firstLine="640"/>
        <w:outlineLvl w:val="1"/>
        <w:rPr>
          <w:rStyle w:val="26"/>
          <w:rFonts w:ascii="黑体" w:hAnsi="黑体" w:eastAsia="黑体"/>
          <w:b w:val="0"/>
        </w:rPr>
      </w:pPr>
      <w:bookmarkStart w:id="38" w:name="_Toc15377209"/>
      <w:bookmarkStart w:id="39" w:name="_Toc73373354"/>
      <w:bookmarkStart w:id="40" w:name="_Toc54099130"/>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38"/>
      <w:bookmarkEnd w:id="39"/>
      <w:bookmarkEnd w:id="40"/>
    </w:p>
    <w:p>
      <w:pPr>
        <w:spacing w:line="600" w:lineRule="exact"/>
        <w:ind w:firstLine="643" w:firstLineChars="200"/>
        <w:outlineLvl w:val="2"/>
        <w:rPr>
          <w:rFonts w:ascii="仿宋" w:hAnsi="仿宋" w:eastAsia="仿宋"/>
          <w:b/>
          <w:color w:val="000000"/>
          <w:sz w:val="32"/>
          <w:szCs w:val="32"/>
        </w:rPr>
      </w:pPr>
      <w:bookmarkStart w:id="41" w:name="_Toc15377210"/>
      <w:r>
        <w:rPr>
          <w:rFonts w:hint="eastAsia" w:ascii="仿宋" w:hAnsi="仿宋" w:eastAsia="仿宋"/>
          <w:b/>
          <w:color w:val="000000"/>
          <w:sz w:val="32"/>
          <w:szCs w:val="32"/>
        </w:rPr>
        <w:t>（一）一般公共预算财政拨款支出决算总体情况</w:t>
      </w:r>
      <w:bookmarkEnd w:id="41"/>
    </w:p>
    <w:p>
      <w:pPr>
        <w:spacing w:line="56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2019年度一般公共预算财政拨款收入1976万元，与2018年相比，收入增加725万元，增长58%；2019年度一般公共预算财政拨款支出2013万元，与2018年相比增加778万元，增长63%。主要变动原因是人员变动，项目增加。</w:t>
      </w:r>
    </w:p>
    <w:p>
      <w:pPr>
        <w:spacing w:line="600" w:lineRule="exact"/>
        <w:ind w:firstLine="643" w:firstLineChars="200"/>
        <w:outlineLvl w:val="2"/>
        <w:rPr>
          <w:rFonts w:ascii="仿宋" w:hAnsi="仿宋" w:eastAsia="仿宋"/>
          <w:b/>
          <w:color w:val="000000"/>
          <w:sz w:val="32"/>
          <w:szCs w:val="32"/>
        </w:rPr>
      </w:pPr>
      <w:bookmarkStart w:id="42" w:name="_Toc15377211"/>
      <w:r>
        <w:rPr>
          <w:rFonts w:hint="eastAsia" w:ascii="仿宋" w:hAnsi="仿宋" w:eastAsia="仿宋"/>
          <w:b/>
          <w:color w:val="000000"/>
          <w:sz w:val="32"/>
          <w:szCs w:val="32"/>
        </w:rPr>
        <w:t>（二）一般公共预算财政拨款支出决算结构情况</w:t>
      </w:r>
      <w:bookmarkEnd w:id="42"/>
    </w:p>
    <w:p>
      <w:pPr>
        <w:spacing w:line="600" w:lineRule="exact"/>
        <w:ind w:firstLine="660" w:firstLineChars="200"/>
        <w:rPr>
          <w:rFonts w:ascii="仿宋" w:hAnsi="仿宋" w:eastAsia="仿宋"/>
          <w:b/>
          <w:color w:val="000000"/>
          <w:sz w:val="32"/>
          <w:szCs w:val="32"/>
        </w:rPr>
      </w:pPr>
      <w:r>
        <w:rPr>
          <w:rFonts w:hint="eastAsia" w:ascii="方正仿宋_GBK" w:hAnsi="仿宋" w:eastAsia="方正仿宋_GBK"/>
          <w:color w:val="000000"/>
          <w:sz w:val="33"/>
          <w:szCs w:val="33"/>
        </w:rPr>
        <w:t>2019年一般公共预算财政拨款支出2013万元，主要用于以下方面:一般公共服务（类）支出574万元，占29%；文化体育与传媒（类）21万元，占1%；社会保障和就业（类）支出267万元，占13%；城乡社区支出（类）支出600万元，占30%；农林水支出（类）支出490万元，占24%；自然资源海洋气象等支出（类）支出2万元，占0.1%；住房保障（类）支出54万元，占2.7%；灾害防治及应急管理支出（类）支出5万元，占0.2%。</w:t>
      </w:r>
    </w:p>
    <w:p>
      <w:pPr>
        <w:spacing w:line="600" w:lineRule="exact"/>
        <w:ind w:firstLine="643" w:firstLineChars="200"/>
        <w:outlineLvl w:val="2"/>
        <w:rPr>
          <w:rFonts w:ascii="仿宋" w:hAnsi="仿宋" w:eastAsia="仿宋"/>
          <w:b/>
          <w:color w:val="000000"/>
          <w:sz w:val="32"/>
          <w:szCs w:val="32"/>
        </w:rPr>
      </w:pPr>
      <w:bookmarkStart w:id="43" w:name="_Toc15377212"/>
      <w:r>
        <w:rPr>
          <w:rFonts w:hint="eastAsia" w:ascii="仿宋" w:hAnsi="仿宋" w:eastAsia="仿宋"/>
          <w:b/>
          <w:color w:val="000000"/>
          <w:sz w:val="32"/>
          <w:szCs w:val="32"/>
        </w:rPr>
        <w:t>（三）一般公共预算财政拨款支出决算具体情况</w:t>
      </w:r>
      <w:bookmarkEnd w:id="43"/>
    </w:p>
    <w:p>
      <w:pPr>
        <w:spacing w:line="600" w:lineRule="exact"/>
        <w:ind w:firstLine="643" w:firstLineChars="200"/>
        <w:rPr>
          <w:rFonts w:ascii="仿宋" w:hAnsi="仿宋" w:eastAsia="仿宋"/>
          <w:color w:val="FF0000"/>
          <w:sz w:val="32"/>
          <w:szCs w:val="32"/>
        </w:rPr>
      </w:pPr>
      <w:bookmarkStart w:id="44" w:name="_Toc15377213"/>
      <w:bookmarkStart w:id="45" w:name="_Toc15377444"/>
      <w:bookmarkStart w:id="46" w:name="_Toc15378460"/>
      <w:r>
        <w:rPr>
          <w:rFonts w:hint="eastAsia" w:ascii="仿宋" w:hAnsi="仿宋" w:eastAsia="仿宋"/>
          <w:b/>
          <w:color w:val="000000" w:themeColor="text1"/>
          <w:sz w:val="32"/>
          <w:szCs w:val="32"/>
        </w:rPr>
        <w:t>2019年般公共预算支出决算数为2013万元，</w:t>
      </w:r>
      <w:r>
        <w:rPr>
          <w:rStyle w:val="15"/>
          <w:rFonts w:hint="eastAsia" w:ascii="仿宋" w:hAnsi="仿宋" w:eastAsia="仿宋"/>
          <w:bCs/>
          <w:color w:val="000000" w:themeColor="text1"/>
          <w:sz w:val="32"/>
          <w:szCs w:val="32"/>
        </w:rPr>
        <w:t>完成</w:t>
      </w:r>
      <w:r>
        <w:rPr>
          <w:rStyle w:val="15"/>
          <w:rFonts w:hint="eastAsia" w:ascii="仿宋" w:hAnsi="仿宋" w:eastAsia="仿宋"/>
          <w:bCs/>
          <w:color w:val="000000"/>
          <w:sz w:val="32"/>
          <w:szCs w:val="32"/>
        </w:rPr>
        <w:t>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44"/>
      <w:bookmarkEnd w:id="45"/>
      <w:bookmarkEnd w:id="46"/>
    </w:p>
    <w:p>
      <w:pPr>
        <w:spacing w:line="600" w:lineRule="exact"/>
        <w:ind w:firstLine="643" w:firstLineChars="200"/>
        <w:rPr>
          <w:rStyle w:val="15"/>
          <w:rFonts w:ascii="仿宋" w:hAnsi="仿宋" w:eastAsia="仿宋"/>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w:t>
      </w:r>
    </w:p>
    <w:p>
      <w:pPr>
        <w:spacing w:line="600" w:lineRule="exact"/>
        <w:ind w:firstLine="663" w:firstLineChars="200"/>
        <w:rPr>
          <w:rStyle w:val="15"/>
          <w:rFonts w:ascii="方正仿宋_GBK" w:hAnsi="仿宋" w:eastAsia="方正仿宋_GBK"/>
          <w:bCs/>
          <w:color w:val="000000"/>
          <w:sz w:val="33"/>
          <w:szCs w:val="33"/>
        </w:rPr>
      </w:pPr>
      <w:r>
        <w:rPr>
          <w:rStyle w:val="15"/>
          <w:rFonts w:hint="eastAsia" w:ascii="方正仿宋_GBK" w:eastAsia="方正仿宋_GBK"/>
          <w:color w:val="000000"/>
          <w:sz w:val="33"/>
          <w:szCs w:val="33"/>
        </w:rPr>
        <w:t>2010101人大事务行政运行:</w:t>
      </w:r>
      <w:r>
        <w:rPr>
          <w:rFonts w:hint="eastAsia" w:ascii="方正仿宋_GBK" w:eastAsia="方正仿宋_GBK"/>
          <w:color w:val="000000"/>
          <w:sz w:val="33"/>
          <w:szCs w:val="33"/>
        </w:rPr>
        <w:t>2019年决算数为26万元，完成预算100%；</w:t>
      </w:r>
      <w:r>
        <w:rPr>
          <w:rStyle w:val="15"/>
          <w:rFonts w:hint="eastAsia" w:ascii="方正仿宋_GBK" w:eastAsia="方正仿宋_GBK"/>
          <w:color w:val="000000"/>
          <w:sz w:val="33"/>
          <w:szCs w:val="33"/>
        </w:rPr>
        <w:t>2010104人大会议</w:t>
      </w:r>
      <w:r>
        <w:rPr>
          <w:rFonts w:hint="eastAsia" w:ascii="方正仿宋_GBK" w:eastAsia="方正仿宋_GBK"/>
          <w:color w:val="000000"/>
          <w:sz w:val="33"/>
          <w:szCs w:val="33"/>
        </w:rPr>
        <w:t>：2019年决算数为3万元，完成预算100%；</w:t>
      </w:r>
      <w:r>
        <w:rPr>
          <w:rStyle w:val="15"/>
          <w:rFonts w:hint="eastAsia" w:ascii="方正仿宋_GBK" w:eastAsia="方正仿宋_GBK"/>
          <w:color w:val="000000"/>
          <w:sz w:val="33"/>
          <w:szCs w:val="33"/>
        </w:rPr>
        <w:t>2010108代表工作</w:t>
      </w:r>
      <w:r>
        <w:rPr>
          <w:rFonts w:hint="eastAsia" w:ascii="方正仿宋_GBK" w:eastAsia="方正仿宋_GBK"/>
          <w:color w:val="000000"/>
          <w:sz w:val="33"/>
          <w:szCs w:val="33"/>
        </w:rPr>
        <w:t>：2019年决算数为4万元，完成预算100%；</w:t>
      </w:r>
      <w:r>
        <w:rPr>
          <w:rFonts w:hint="eastAsia" w:ascii="方正仿宋_GBK" w:eastAsia="方正仿宋_GBK"/>
          <w:b/>
          <w:color w:val="000000"/>
          <w:sz w:val="33"/>
          <w:szCs w:val="33"/>
        </w:rPr>
        <w:t>2010301政府行政运行</w:t>
      </w:r>
      <w:r>
        <w:rPr>
          <w:rFonts w:hint="eastAsia" w:ascii="方正仿宋_GBK" w:eastAsia="方正仿宋_GBK"/>
          <w:color w:val="000000"/>
          <w:sz w:val="33"/>
          <w:szCs w:val="33"/>
        </w:rPr>
        <w:t>：2019年决算数为485万元，完成预算100%；</w:t>
      </w:r>
      <w:r>
        <w:rPr>
          <w:rFonts w:hint="eastAsia" w:ascii="方正仿宋_GBK" w:eastAsia="方正仿宋_GBK"/>
          <w:b/>
          <w:color w:val="000000"/>
          <w:sz w:val="33"/>
          <w:szCs w:val="33"/>
        </w:rPr>
        <w:t>2010302 一般行政管理事务</w:t>
      </w:r>
      <w:r>
        <w:rPr>
          <w:rFonts w:hint="eastAsia" w:ascii="方正仿宋_GBK" w:eastAsia="方正仿宋_GBK"/>
          <w:color w:val="000000"/>
          <w:sz w:val="33"/>
          <w:szCs w:val="33"/>
        </w:rPr>
        <w:t xml:space="preserve">：2019年决算数为20万元，完成预算100%； </w:t>
      </w:r>
      <w:r>
        <w:rPr>
          <w:rFonts w:hint="eastAsia" w:ascii="方正仿宋_GBK" w:eastAsia="方正仿宋_GBK"/>
          <w:b/>
          <w:color w:val="000000"/>
          <w:sz w:val="33"/>
          <w:szCs w:val="33"/>
        </w:rPr>
        <w:t>2010602财务事务一般行政管理事务</w:t>
      </w:r>
      <w:r>
        <w:rPr>
          <w:rFonts w:hint="eastAsia" w:ascii="方正仿宋_GBK" w:eastAsia="方正仿宋_GBK"/>
          <w:color w:val="000000"/>
          <w:sz w:val="33"/>
          <w:szCs w:val="33"/>
        </w:rPr>
        <w:t>：2019年决算数为2万元，完成预算100%；</w:t>
      </w:r>
      <w:r>
        <w:rPr>
          <w:rFonts w:hint="eastAsia" w:ascii="方正仿宋_GBK" w:eastAsia="方正仿宋_GBK"/>
          <w:b/>
          <w:color w:val="000000"/>
          <w:sz w:val="33"/>
          <w:szCs w:val="33"/>
        </w:rPr>
        <w:t>2013101行政运行：</w:t>
      </w:r>
      <w:r>
        <w:rPr>
          <w:rFonts w:hint="eastAsia" w:ascii="方正仿宋_GBK" w:eastAsia="方正仿宋_GBK"/>
          <w:color w:val="000000"/>
          <w:sz w:val="33"/>
          <w:szCs w:val="33"/>
        </w:rPr>
        <w:t>2019年决算数为30万元，完成预算100%；</w:t>
      </w:r>
      <w:r>
        <w:rPr>
          <w:rFonts w:hint="eastAsia" w:ascii="方正仿宋_GBK" w:eastAsia="方正仿宋_GBK"/>
          <w:b/>
          <w:color w:val="000000"/>
          <w:sz w:val="33"/>
          <w:szCs w:val="33"/>
        </w:rPr>
        <w:t>2013102</w:t>
      </w:r>
      <w:r>
        <w:rPr>
          <w:rFonts w:hint="eastAsia" w:ascii="方正仿宋_GBK" w:eastAsia="方正仿宋_GBK"/>
          <w:b/>
          <w:color w:val="000000"/>
          <w:sz w:val="33"/>
          <w:szCs w:val="33"/>
        </w:rPr>
        <w:tab/>
      </w:r>
      <w:r>
        <w:rPr>
          <w:rFonts w:hint="eastAsia" w:ascii="方正仿宋_GBK" w:eastAsia="方正仿宋_GBK"/>
          <w:b/>
          <w:color w:val="000000"/>
          <w:sz w:val="33"/>
          <w:szCs w:val="33"/>
        </w:rPr>
        <w:t>一般行政管理事务：</w:t>
      </w:r>
      <w:r>
        <w:rPr>
          <w:rFonts w:hint="eastAsia" w:ascii="方正仿宋_GBK" w:eastAsia="方正仿宋_GBK"/>
          <w:color w:val="000000"/>
          <w:sz w:val="33"/>
          <w:szCs w:val="33"/>
        </w:rPr>
        <w:t>2019年决算数为4万元，完成预算100%。</w:t>
      </w:r>
      <w:r>
        <w:rPr>
          <w:rStyle w:val="15"/>
          <w:rFonts w:hint="eastAsia" w:ascii="方正仿宋_GBK" w:hAnsi="仿宋" w:eastAsia="方正仿宋_GBK"/>
          <w:bCs/>
          <w:color w:val="000000"/>
          <w:sz w:val="33"/>
          <w:szCs w:val="33"/>
        </w:rPr>
        <w:t xml:space="preserve"> </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2</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文化体育与传媒</w:t>
      </w:r>
    </w:p>
    <w:p>
      <w:pPr>
        <w:spacing w:line="600" w:lineRule="exact"/>
        <w:ind w:firstLine="663" w:firstLineChars="200"/>
        <w:rPr>
          <w:rFonts w:ascii="方正仿宋_GBK" w:eastAsia="方正仿宋_GBK"/>
          <w:sz w:val="33"/>
          <w:szCs w:val="33"/>
        </w:rPr>
      </w:pPr>
      <w:r>
        <w:rPr>
          <w:rFonts w:hint="eastAsia" w:ascii="方正仿宋_GBK" w:eastAsia="方正仿宋_GBK"/>
          <w:b/>
          <w:sz w:val="33"/>
          <w:szCs w:val="33"/>
        </w:rPr>
        <w:t>2070109群众文化</w:t>
      </w:r>
      <w:r>
        <w:rPr>
          <w:rFonts w:hint="eastAsia" w:ascii="方正仿宋_GBK" w:eastAsia="方正仿宋_GBK"/>
          <w:sz w:val="33"/>
          <w:szCs w:val="33"/>
        </w:rPr>
        <w:t>：2019年决算数为21万元，完成预算100%。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3</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p>
    <w:p>
      <w:pPr>
        <w:spacing w:line="600" w:lineRule="exact"/>
        <w:ind w:firstLine="663" w:firstLineChars="200"/>
        <w:rPr>
          <w:rStyle w:val="15"/>
          <w:rFonts w:ascii="方正仿宋_GBK" w:eastAsia="方正仿宋_GBK"/>
          <w:b w:val="0"/>
          <w:color w:val="000000"/>
          <w:sz w:val="33"/>
          <w:szCs w:val="33"/>
        </w:rPr>
      </w:pPr>
      <w:r>
        <w:rPr>
          <w:rStyle w:val="15"/>
          <w:rFonts w:hint="eastAsia" w:ascii="方正仿宋_GBK" w:eastAsia="方正仿宋_GBK"/>
          <w:color w:val="000000"/>
          <w:sz w:val="33"/>
          <w:szCs w:val="33"/>
        </w:rPr>
        <w:t>2080109社会保险经办机构</w:t>
      </w:r>
      <w:r>
        <w:rPr>
          <w:rStyle w:val="15"/>
          <w:rFonts w:hint="eastAsia" w:ascii="方正仿宋_GBK" w:eastAsia="方正仿宋_GBK"/>
          <w:b w:val="0"/>
          <w:color w:val="000000"/>
          <w:sz w:val="33"/>
          <w:szCs w:val="33"/>
        </w:rPr>
        <w:t>：2019年决算数为32万元，完成预算100%；</w:t>
      </w:r>
      <w:r>
        <w:rPr>
          <w:rStyle w:val="15"/>
          <w:rFonts w:hint="eastAsia" w:ascii="方正仿宋_GBK" w:eastAsia="方正仿宋_GBK"/>
          <w:color w:val="000000"/>
          <w:sz w:val="33"/>
          <w:szCs w:val="33"/>
        </w:rPr>
        <w:t>2080299其他民政管理事务支出</w:t>
      </w:r>
      <w:r>
        <w:rPr>
          <w:rStyle w:val="15"/>
          <w:rFonts w:hint="eastAsia" w:ascii="方正仿宋_GBK" w:eastAsia="方正仿宋_GBK"/>
          <w:b w:val="0"/>
          <w:color w:val="000000"/>
          <w:sz w:val="33"/>
          <w:szCs w:val="33"/>
        </w:rPr>
        <w:t>：2019年决算数为50万元，完成预算100%；</w:t>
      </w:r>
      <w:r>
        <w:rPr>
          <w:rStyle w:val="15"/>
          <w:rFonts w:hint="eastAsia" w:ascii="方正仿宋_GBK" w:eastAsia="方正仿宋_GBK"/>
          <w:color w:val="000000"/>
          <w:sz w:val="33"/>
          <w:szCs w:val="33"/>
        </w:rPr>
        <w:t>2080504未归口管理的行政单位离退休</w:t>
      </w:r>
      <w:r>
        <w:rPr>
          <w:rStyle w:val="15"/>
          <w:rFonts w:hint="eastAsia" w:ascii="方正仿宋_GBK" w:eastAsia="方正仿宋_GBK"/>
          <w:b w:val="0"/>
          <w:color w:val="000000"/>
          <w:sz w:val="33"/>
          <w:szCs w:val="33"/>
        </w:rPr>
        <w:t>：2019年决算数为12万元，完成预算100%；</w:t>
      </w:r>
      <w:r>
        <w:rPr>
          <w:rStyle w:val="15"/>
          <w:rFonts w:hint="eastAsia" w:ascii="方正仿宋_GBK" w:eastAsia="方正仿宋_GBK"/>
          <w:color w:val="000000"/>
          <w:sz w:val="33"/>
          <w:szCs w:val="33"/>
        </w:rPr>
        <w:t>2080505机关事业单位基本养老保险缴费支出</w:t>
      </w:r>
      <w:r>
        <w:rPr>
          <w:rStyle w:val="15"/>
          <w:rFonts w:hint="eastAsia" w:ascii="方正仿宋_GBK" w:eastAsia="方正仿宋_GBK"/>
          <w:b w:val="0"/>
          <w:color w:val="000000"/>
          <w:sz w:val="33"/>
          <w:szCs w:val="33"/>
        </w:rPr>
        <w:t>：2019年决算数为51万元，完成预算100%；</w:t>
      </w:r>
      <w:r>
        <w:rPr>
          <w:rStyle w:val="15"/>
          <w:rFonts w:hint="eastAsia" w:ascii="方正仿宋_GBK" w:eastAsia="方正仿宋_GBK"/>
          <w:color w:val="000000"/>
          <w:sz w:val="33"/>
          <w:szCs w:val="33"/>
        </w:rPr>
        <w:t>2082102农村五保户供养支出</w:t>
      </w:r>
      <w:r>
        <w:rPr>
          <w:rStyle w:val="15"/>
          <w:rFonts w:hint="eastAsia" w:ascii="方正仿宋_GBK" w:eastAsia="方正仿宋_GBK"/>
          <w:b w:val="0"/>
          <w:color w:val="000000"/>
          <w:sz w:val="33"/>
          <w:szCs w:val="33"/>
        </w:rPr>
        <w:t>：2019年决算数为122万元，完成预算100%。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Fonts w:hint="eastAsia"/>
        </w:rPr>
        <w:t xml:space="preserve"> </w:t>
      </w:r>
      <w:r>
        <w:rPr>
          <w:rStyle w:val="15"/>
          <w:rFonts w:hint="eastAsia" w:ascii="仿宋" w:hAnsi="仿宋" w:eastAsia="仿宋"/>
          <w:bCs/>
          <w:color w:val="000000"/>
          <w:sz w:val="32"/>
          <w:szCs w:val="32"/>
        </w:rPr>
        <w:t>城乡社区支出</w:t>
      </w:r>
    </w:p>
    <w:p>
      <w:pPr>
        <w:spacing w:line="600" w:lineRule="exact"/>
        <w:ind w:firstLine="663" w:firstLineChars="200"/>
        <w:rPr>
          <w:rStyle w:val="15"/>
          <w:rFonts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2120804  农村基础设施建设支出</w:t>
      </w:r>
      <w:r>
        <w:rPr>
          <w:rStyle w:val="15"/>
          <w:rFonts w:hint="eastAsia" w:ascii="方正仿宋_GBK" w:hAnsi="仿宋" w:eastAsia="方正仿宋_GBK"/>
          <w:b w:val="0"/>
          <w:bCs/>
          <w:color w:val="000000"/>
          <w:sz w:val="33"/>
          <w:szCs w:val="33"/>
        </w:rPr>
        <w:t>：2019年决算数为600万元，完成预算100%。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5</w:t>
      </w:r>
      <w:r>
        <w:rPr>
          <w:rStyle w:val="15"/>
          <w:rFonts w:ascii="仿宋" w:hAnsi="仿宋" w:eastAsia="仿宋"/>
          <w:bCs/>
          <w:color w:val="000000"/>
          <w:sz w:val="32"/>
          <w:szCs w:val="32"/>
        </w:rPr>
        <w:t>.</w:t>
      </w:r>
      <w:r>
        <w:rPr>
          <w:rFonts w:hint="eastAsia"/>
        </w:rPr>
        <w:t xml:space="preserve"> </w:t>
      </w:r>
      <w:r>
        <w:rPr>
          <w:rStyle w:val="15"/>
          <w:rFonts w:hint="eastAsia" w:ascii="仿宋" w:hAnsi="仿宋" w:eastAsia="仿宋"/>
          <w:bCs/>
          <w:color w:val="000000"/>
          <w:sz w:val="32"/>
          <w:szCs w:val="32"/>
        </w:rPr>
        <w:t>农林水支出</w:t>
      </w:r>
    </w:p>
    <w:p>
      <w:pPr>
        <w:spacing w:line="600" w:lineRule="exact"/>
        <w:ind w:firstLine="663" w:firstLineChars="200"/>
        <w:rPr>
          <w:rFonts w:ascii="方正仿宋_GBK" w:eastAsia="方正仿宋_GBK"/>
          <w:color w:val="000000"/>
          <w:sz w:val="33"/>
          <w:szCs w:val="33"/>
        </w:rPr>
      </w:pPr>
      <w:r>
        <w:rPr>
          <w:rStyle w:val="15"/>
          <w:rFonts w:hint="eastAsia" w:ascii="方正仿宋_GBK" w:eastAsia="方正仿宋_GBK"/>
          <w:color w:val="000000"/>
          <w:sz w:val="33"/>
          <w:szCs w:val="33"/>
        </w:rPr>
        <w:t>2130104农业事业运行:</w:t>
      </w:r>
      <w:r>
        <w:rPr>
          <w:rFonts w:hint="eastAsia" w:ascii="方正仿宋_GBK" w:eastAsia="方正仿宋_GBK"/>
          <w:color w:val="000000"/>
          <w:sz w:val="33"/>
          <w:szCs w:val="33"/>
        </w:rPr>
        <w:t>2019年决算数为153万元，完成预算100%；</w:t>
      </w:r>
      <w:r>
        <w:rPr>
          <w:rFonts w:hint="eastAsia" w:ascii="方正仿宋_GBK" w:eastAsia="方正仿宋_GBK"/>
          <w:b/>
          <w:color w:val="000000"/>
          <w:sz w:val="33"/>
          <w:szCs w:val="33"/>
        </w:rPr>
        <w:t>2130599其他扶贫支出</w:t>
      </w:r>
      <w:r>
        <w:rPr>
          <w:rFonts w:hint="eastAsia" w:ascii="方正仿宋_GBK" w:eastAsia="方正仿宋_GBK"/>
          <w:color w:val="000000"/>
          <w:sz w:val="33"/>
          <w:szCs w:val="33"/>
        </w:rPr>
        <w:t xml:space="preserve">：2019年决算数为2万元，完成预算100%； </w:t>
      </w:r>
      <w:r>
        <w:rPr>
          <w:rFonts w:hint="eastAsia" w:ascii="方正仿宋_GBK" w:eastAsia="方正仿宋_GBK"/>
          <w:b/>
          <w:color w:val="000000"/>
          <w:sz w:val="33"/>
          <w:szCs w:val="33"/>
        </w:rPr>
        <w:t>2130701对村级一事一议的补助</w:t>
      </w:r>
      <w:r>
        <w:rPr>
          <w:rFonts w:hint="eastAsia" w:ascii="方正仿宋_GBK" w:eastAsia="方正仿宋_GBK"/>
          <w:color w:val="000000"/>
          <w:sz w:val="33"/>
          <w:szCs w:val="33"/>
        </w:rPr>
        <w:t>：2019年决算数为33万元，完成预算100%；</w:t>
      </w:r>
      <w:r>
        <w:rPr>
          <w:rFonts w:hint="eastAsia" w:ascii="方正仿宋_GBK" w:eastAsia="方正仿宋_GBK"/>
          <w:b/>
          <w:color w:val="000000"/>
          <w:sz w:val="33"/>
          <w:szCs w:val="33"/>
        </w:rPr>
        <w:t>2130705对村民委员会和村党支部的补助</w:t>
      </w:r>
      <w:r>
        <w:rPr>
          <w:rFonts w:hint="eastAsia" w:ascii="方正仿宋_GBK" w:eastAsia="方正仿宋_GBK"/>
          <w:color w:val="000000"/>
          <w:sz w:val="33"/>
          <w:szCs w:val="33"/>
        </w:rPr>
        <w:t>：2019年决算数为294万元，完成预算100%；</w:t>
      </w:r>
      <w:r>
        <w:rPr>
          <w:rFonts w:hint="eastAsia" w:ascii="方正仿宋_GBK" w:eastAsia="方正仿宋_GBK"/>
          <w:b/>
          <w:color w:val="000000"/>
          <w:sz w:val="33"/>
          <w:szCs w:val="33"/>
        </w:rPr>
        <w:t>2130706对村集体经济组织的补助</w:t>
      </w:r>
      <w:r>
        <w:rPr>
          <w:rFonts w:hint="eastAsia" w:ascii="方正仿宋_GBK" w:eastAsia="方正仿宋_GBK"/>
          <w:color w:val="000000"/>
          <w:sz w:val="33"/>
          <w:szCs w:val="33"/>
        </w:rPr>
        <w:t>：2019年决算数为8万元，完成预算100%。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6</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 xml:space="preserve"> 自然资源海洋气象等支出</w:t>
      </w:r>
    </w:p>
    <w:p>
      <w:pPr>
        <w:spacing w:line="600" w:lineRule="exact"/>
        <w:ind w:firstLine="663" w:firstLineChars="200"/>
        <w:rPr>
          <w:rStyle w:val="15"/>
          <w:rFonts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2200105  土地资源调查</w:t>
      </w:r>
      <w:r>
        <w:rPr>
          <w:rStyle w:val="15"/>
          <w:rFonts w:hint="eastAsia" w:ascii="方正仿宋_GBK" w:hAnsi="仿宋" w:eastAsia="方正仿宋_GBK"/>
          <w:b w:val="0"/>
          <w:bCs/>
          <w:color w:val="000000"/>
          <w:sz w:val="33"/>
          <w:szCs w:val="33"/>
        </w:rPr>
        <w:t>：2019年决算数为2万元，完成预算100%。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7.</w:t>
      </w:r>
      <w:r>
        <w:rPr>
          <w:rFonts w:hint="eastAsia"/>
        </w:rPr>
        <w:t xml:space="preserve"> </w:t>
      </w:r>
      <w:r>
        <w:rPr>
          <w:rStyle w:val="15"/>
          <w:rFonts w:hint="eastAsia" w:ascii="仿宋" w:hAnsi="仿宋" w:eastAsia="仿宋"/>
          <w:bCs/>
          <w:color w:val="000000"/>
          <w:sz w:val="32"/>
          <w:szCs w:val="32"/>
        </w:rPr>
        <w:t>住房保障支出</w:t>
      </w:r>
    </w:p>
    <w:p>
      <w:pPr>
        <w:spacing w:line="600" w:lineRule="exact"/>
        <w:ind w:firstLine="663" w:firstLineChars="200"/>
        <w:rPr>
          <w:rStyle w:val="15"/>
          <w:rFonts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2210201  住房公积金：</w:t>
      </w:r>
      <w:r>
        <w:rPr>
          <w:rStyle w:val="15"/>
          <w:rFonts w:hint="eastAsia" w:ascii="方正仿宋_GBK" w:hAnsi="仿宋" w:eastAsia="方正仿宋_GBK"/>
          <w:b w:val="0"/>
          <w:bCs/>
          <w:color w:val="000000"/>
          <w:sz w:val="33"/>
          <w:szCs w:val="33"/>
        </w:rPr>
        <w:t>2019年决算数为54万元，完成预算100%。</w:t>
      </w:r>
    </w:p>
    <w:p>
      <w:p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8.</w:t>
      </w:r>
      <w:r>
        <w:rPr>
          <w:rFonts w:hint="eastAsia"/>
        </w:rPr>
        <w:t xml:space="preserve"> </w:t>
      </w:r>
      <w:r>
        <w:rPr>
          <w:rStyle w:val="15"/>
          <w:rFonts w:hint="eastAsia" w:ascii="仿宋" w:hAnsi="仿宋" w:eastAsia="仿宋"/>
          <w:bCs/>
          <w:color w:val="000000"/>
          <w:sz w:val="32"/>
          <w:szCs w:val="32"/>
        </w:rPr>
        <w:t>灾害防治及应急管理支出</w:t>
      </w:r>
    </w:p>
    <w:p>
      <w:pPr>
        <w:spacing w:line="600" w:lineRule="exact"/>
        <w:ind w:firstLine="663" w:firstLineChars="200"/>
        <w:rPr>
          <w:rStyle w:val="15"/>
          <w:rFonts w:ascii="方正仿宋_GBK" w:hAnsi="仿宋" w:eastAsia="方正仿宋_GBK"/>
          <w:b w:val="0"/>
          <w:bCs/>
          <w:color w:val="000000"/>
          <w:sz w:val="33"/>
          <w:szCs w:val="33"/>
        </w:rPr>
      </w:pPr>
      <w:r>
        <w:rPr>
          <w:rStyle w:val="15"/>
          <w:rFonts w:hint="eastAsia" w:ascii="方正仿宋_GBK" w:hAnsi="仿宋" w:eastAsia="方正仿宋_GBK"/>
          <w:bCs/>
          <w:color w:val="000000"/>
          <w:sz w:val="33"/>
          <w:szCs w:val="33"/>
        </w:rPr>
        <w:t>2240106 安全监管：</w:t>
      </w:r>
      <w:r>
        <w:rPr>
          <w:rStyle w:val="15"/>
          <w:rFonts w:hint="eastAsia" w:ascii="方正仿宋_GBK" w:hAnsi="仿宋" w:eastAsia="方正仿宋_GBK"/>
          <w:b w:val="0"/>
          <w:bCs/>
          <w:color w:val="000000"/>
          <w:sz w:val="33"/>
          <w:szCs w:val="33"/>
        </w:rPr>
        <w:t>2019年决算数为5万元，完成预算100%。</w:t>
      </w:r>
    </w:p>
    <w:p>
      <w:pPr>
        <w:spacing w:line="600" w:lineRule="exact"/>
        <w:ind w:firstLine="643"/>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spacing w:line="600" w:lineRule="exact"/>
        <w:ind w:firstLine="643"/>
        <w:rPr>
          <w:rFonts w:ascii="仿宋" w:hAnsi="仿宋" w:eastAsia="仿宋"/>
          <w:b/>
          <w:color w:val="000000"/>
          <w:sz w:val="32"/>
          <w:szCs w:val="32"/>
        </w:rPr>
      </w:pPr>
    </w:p>
    <w:p>
      <w:pPr>
        <w:spacing w:line="600" w:lineRule="exact"/>
        <w:ind w:firstLine="643"/>
        <w:rPr>
          <w:rFonts w:ascii="仿宋" w:hAnsi="仿宋" w:eastAsia="仿宋"/>
          <w:b/>
          <w:color w:val="000000"/>
          <w:sz w:val="32"/>
          <w:szCs w:val="32"/>
        </w:rPr>
      </w:pPr>
    </w:p>
    <w:p>
      <w:pPr>
        <w:spacing w:line="600" w:lineRule="exact"/>
        <w:ind w:firstLine="643"/>
        <w:rPr>
          <w:rFonts w:ascii="仿宋" w:hAnsi="仿宋" w:eastAsia="仿宋"/>
          <w:b/>
          <w:color w:val="000000"/>
          <w:sz w:val="32"/>
          <w:szCs w:val="32"/>
        </w:rPr>
      </w:pPr>
    </w:p>
    <w:p>
      <w:pPr>
        <w:spacing w:line="600" w:lineRule="exact"/>
        <w:ind w:firstLine="643"/>
        <w:rPr>
          <w:rFonts w:ascii="仿宋" w:hAnsi="仿宋" w:eastAsia="仿宋"/>
          <w:b/>
          <w:color w:val="000000"/>
          <w:sz w:val="32"/>
          <w:szCs w:val="32"/>
        </w:rPr>
      </w:pPr>
    </w:p>
    <w:p>
      <w:pPr>
        <w:spacing w:line="600" w:lineRule="exact"/>
        <w:ind w:firstLine="643"/>
        <w:rPr>
          <w:rFonts w:ascii="仿宋" w:hAnsi="仿宋" w:eastAsia="仿宋"/>
          <w:b/>
          <w:color w:val="000000"/>
          <w:sz w:val="32"/>
          <w:szCs w:val="32"/>
        </w:rPr>
      </w:pPr>
    </w:p>
    <w:p>
      <w:pPr>
        <w:spacing w:line="600" w:lineRule="exact"/>
        <w:ind w:firstLine="643"/>
        <w:rPr>
          <w:rFonts w:ascii="仿宋" w:hAnsi="仿宋" w:eastAsia="仿宋"/>
          <w:b/>
          <w:color w:val="000000"/>
          <w:sz w:val="32"/>
          <w:szCs w:val="32"/>
        </w:rPr>
      </w:pPr>
    </w:p>
    <w:p>
      <w:pPr>
        <w:tabs>
          <w:tab w:val="right" w:pos="8306"/>
        </w:tabs>
        <w:spacing w:line="600" w:lineRule="exact"/>
        <w:ind w:firstLine="640"/>
        <w:outlineLvl w:val="1"/>
        <w:rPr>
          <w:rStyle w:val="26"/>
        </w:rPr>
      </w:pPr>
      <w:bookmarkStart w:id="47" w:name="_Toc15377214"/>
      <w:bookmarkStart w:id="48" w:name="_Toc73373355"/>
      <w:bookmarkStart w:id="49" w:name="_Toc54099131"/>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47"/>
      <w:bookmarkEnd w:id="48"/>
      <w:bookmarkEnd w:id="49"/>
      <w:r>
        <w:rPr>
          <w:rStyle w:val="26"/>
          <w:rFonts w:ascii="黑体" w:hAnsi="黑体" w:eastAsia="黑体"/>
          <w:b w:val="0"/>
        </w:rPr>
        <w:tab/>
      </w:r>
    </w:p>
    <w:p>
      <w:pPr>
        <w:tabs>
          <w:tab w:val="right" w:pos="8306"/>
        </w:tabs>
        <w:spacing w:line="600" w:lineRule="exact"/>
        <w:ind w:firstLine="660" w:firstLineChars="200"/>
        <w:rPr>
          <w:rFonts w:asciiTheme="majorHAnsi" w:hAnsiTheme="majorHAnsi" w:eastAsiaTheme="majorEastAsia" w:cstheme="majorBidi"/>
          <w:b/>
          <w:bCs/>
          <w:sz w:val="32"/>
          <w:szCs w:val="32"/>
        </w:rPr>
      </w:pPr>
      <w:r>
        <w:rPr>
          <w:rFonts w:hint="eastAsia" w:ascii="方正仿宋_GBK" w:hAnsi="仿宋" w:eastAsia="方正仿宋_GBK"/>
          <w:color w:val="000000"/>
          <w:sz w:val="33"/>
          <w:szCs w:val="33"/>
        </w:rPr>
        <w:t>2019年一般公共预算财政拨款基本支出868万元，其中：人员经费743万元，主要包括：基本工资132万元、津贴补贴162万元、奖金203万元、绩效工资88万元、机关事业单位基本养老保险缴费51万元、职工基本医疗保险缴费22万元、公务员医疗补助缴费3万元、其他社会保障缴费2万元、住房公积金54万元、退休费1万元、生活补助23万元、医疗费1万元、奖励金1万元。</w:t>
      </w:r>
    </w:p>
    <w:p>
      <w:pPr>
        <w:tabs>
          <w:tab w:val="right" w:pos="8306"/>
        </w:tabs>
        <w:spacing w:line="600" w:lineRule="exact"/>
        <w:ind w:firstLine="660" w:firstLineChars="200"/>
        <w:rPr>
          <w:rFonts w:ascii="方正仿宋_GBK" w:eastAsia="方正仿宋_GBK" w:hAnsiTheme="majorHAnsi" w:cstheme="majorBidi"/>
          <w:b/>
          <w:bCs/>
          <w:sz w:val="33"/>
          <w:szCs w:val="33"/>
        </w:rPr>
      </w:pPr>
      <w:r>
        <w:rPr>
          <w:rFonts w:hint="eastAsia" w:ascii="方正仿宋_GBK" w:hAnsi="仿宋" w:eastAsia="方正仿宋_GBK"/>
          <w:color w:val="000000"/>
          <w:sz w:val="33"/>
          <w:szCs w:val="33"/>
        </w:rPr>
        <w:t>公用经费125万元，主要包括：办公费25万元、电费1万元、邮电费4万元、差旅费15万元、会议费4万元、培训费1万元、劳务费31万元、工会经费6万元、福利费6万元、公务用车运行维护费13万元、其他交通费19万元等。</w:t>
      </w:r>
    </w:p>
    <w:p>
      <w:pPr>
        <w:spacing w:line="600" w:lineRule="exact"/>
        <w:ind w:firstLine="643"/>
        <w:rPr>
          <w:rFonts w:ascii="仿宋" w:hAnsi="仿宋" w:eastAsia="仿宋"/>
          <w:b/>
          <w:color w:val="000000" w:themeColor="text1"/>
          <w:sz w:val="32"/>
          <w:szCs w:val="32"/>
        </w:rPr>
      </w:pPr>
      <w:r>
        <w:rPr>
          <w:rFonts w:hint="eastAsia" w:ascii="仿宋" w:hAnsi="仿宋" w:eastAsia="仿宋"/>
          <w:b/>
          <w:color w:val="000000" w:themeColor="text1"/>
          <w:sz w:val="32"/>
          <w:szCs w:val="32"/>
        </w:rPr>
        <w:t>（数据来源财决</w:t>
      </w:r>
      <w:r>
        <w:rPr>
          <w:rFonts w:ascii="仿宋" w:hAnsi="仿宋" w:eastAsia="仿宋"/>
          <w:b/>
          <w:color w:val="000000" w:themeColor="text1"/>
          <w:sz w:val="32"/>
          <w:szCs w:val="32"/>
        </w:rPr>
        <w:t>0</w:t>
      </w:r>
      <w:r>
        <w:rPr>
          <w:rFonts w:hint="eastAsia" w:ascii="仿宋" w:hAnsi="仿宋" w:eastAsia="仿宋"/>
          <w:b/>
          <w:color w:val="000000" w:themeColor="text1"/>
          <w:sz w:val="32"/>
          <w:szCs w:val="32"/>
        </w:rPr>
        <w:t>7表，根据本部门实际支出情况罗列全部经济分类科目。）</w:t>
      </w: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3"/>
        <w:rPr>
          <w:rFonts w:ascii="仿宋" w:hAnsi="仿宋" w:eastAsia="仿宋"/>
          <w:b/>
          <w:color w:val="FF0000"/>
          <w:sz w:val="32"/>
          <w:szCs w:val="32"/>
        </w:rPr>
      </w:pPr>
    </w:p>
    <w:p>
      <w:pPr>
        <w:spacing w:line="600" w:lineRule="exact"/>
        <w:ind w:firstLine="640"/>
        <w:outlineLvl w:val="1"/>
        <w:rPr>
          <w:rStyle w:val="26"/>
          <w:rFonts w:ascii="黑体" w:hAnsi="黑体" w:eastAsia="黑体"/>
          <w:b w:val="0"/>
        </w:rPr>
      </w:pPr>
      <w:bookmarkStart w:id="50" w:name="_Toc54099132"/>
      <w:bookmarkStart w:id="51" w:name="_Toc73373356"/>
      <w:bookmarkStart w:id="52" w:name="_Toc15377215"/>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0"/>
      <w:bookmarkEnd w:id="51"/>
      <w:bookmarkEnd w:id="52"/>
      <w:bookmarkStart w:id="53" w:name="_Toc15377216"/>
    </w:p>
    <w:p>
      <w:pPr>
        <w:spacing w:line="600" w:lineRule="exact"/>
        <w:ind w:firstLine="643" w:firstLineChars="200"/>
        <w:outlineLvl w:val="1"/>
        <w:rPr>
          <w:rFonts w:ascii="黑体" w:hAnsi="黑体" w:eastAsia="黑体" w:cstheme="majorBidi"/>
          <w:bCs/>
          <w:sz w:val="32"/>
          <w:szCs w:val="32"/>
        </w:rPr>
      </w:pPr>
      <w:bookmarkStart w:id="54" w:name="_Toc73373357"/>
      <w:bookmarkStart w:id="55" w:name="_Toc54099133"/>
      <w:r>
        <w:rPr>
          <w:rFonts w:hint="eastAsia" w:ascii="仿宋" w:hAnsi="仿宋" w:eastAsia="仿宋"/>
          <w:b/>
          <w:color w:val="000000"/>
          <w:sz w:val="32"/>
          <w:szCs w:val="32"/>
        </w:rPr>
        <w:t>（一）“三公”经费财政拨款支出决算总体情况说明</w:t>
      </w:r>
      <w:bookmarkEnd w:id="53"/>
      <w:bookmarkEnd w:id="54"/>
      <w:bookmarkEnd w:id="55"/>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2019年“三公”经费财政拨款支出决算为13万元，完成预算100%。</w:t>
      </w:r>
    </w:p>
    <w:p>
      <w:pPr>
        <w:spacing w:line="600" w:lineRule="exact"/>
        <w:ind w:firstLine="643"/>
        <w:rPr>
          <w:rFonts w:ascii="仿宋" w:hAnsi="仿宋" w:eastAsia="仿宋"/>
          <w:b/>
          <w:color w:val="000000" w:themeColor="text1"/>
          <w:sz w:val="32"/>
          <w:szCs w:val="32"/>
        </w:rPr>
      </w:pPr>
      <w:r>
        <w:rPr>
          <w:rFonts w:hint="eastAsia" w:ascii="仿宋" w:hAnsi="仿宋" w:eastAsia="仿宋"/>
          <w:b/>
          <w:color w:val="000000"/>
          <w:sz w:val="32"/>
          <w:szCs w:val="32"/>
        </w:rPr>
        <w:t>（上述“预算”口径为调整预</w:t>
      </w:r>
      <w:r>
        <w:rPr>
          <w:rFonts w:hint="eastAsia" w:ascii="仿宋" w:hAnsi="仿宋" w:eastAsia="仿宋"/>
          <w:b/>
          <w:color w:val="000000" w:themeColor="text1"/>
          <w:sz w:val="32"/>
          <w:szCs w:val="32"/>
        </w:rPr>
        <w:t>算数，包括政府性基金支出决算情况。）</w:t>
      </w:r>
    </w:p>
    <w:p>
      <w:pPr>
        <w:spacing w:line="600" w:lineRule="exact"/>
        <w:ind w:firstLine="643" w:firstLineChars="200"/>
        <w:outlineLvl w:val="1"/>
        <w:rPr>
          <w:rFonts w:ascii="仿宋" w:hAnsi="仿宋" w:eastAsia="仿宋"/>
          <w:b/>
          <w:color w:val="000000"/>
          <w:sz w:val="32"/>
          <w:szCs w:val="32"/>
        </w:rPr>
      </w:pPr>
      <w:bookmarkStart w:id="56" w:name="_Toc15377217"/>
      <w:bookmarkStart w:id="57" w:name="_Toc73373358"/>
      <w:bookmarkStart w:id="58" w:name="_Toc54099134"/>
      <w:r>
        <w:rPr>
          <w:rFonts w:hint="eastAsia" w:ascii="仿宋" w:hAnsi="仿宋" w:eastAsia="仿宋"/>
          <w:b/>
          <w:color w:val="000000"/>
          <w:sz w:val="32"/>
          <w:szCs w:val="32"/>
        </w:rPr>
        <w:t>（二）“三公”经费财政拨款支出决算具体情况说明</w:t>
      </w:r>
      <w:bookmarkEnd w:id="56"/>
      <w:bookmarkEnd w:id="57"/>
      <w:bookmarkEnd w:id="58"/>
    </w:p>
    <w:p>
      <w:pPr>
        <w:spacing w:line="600" w:lineRule="exact"/>
        <w:ind w:firstLine="660" w:firstLineChars="200"/>
        <w:rPr>
          <w:rFonts w:ascii="方正仿宋_GBK" w:hAnsi="仿宋" w:eastAsia="方正仿宋_GBK"/>
          <w:color w:val="000000"/>
          <w:sz w:val="33"/>
          <w:szCs w:val="33"/>
        </w:rPr>
      </w:pPr>
      <w:r>
        <w:rPr>
          <w:rFonts w:hint="eastAsia" w:ascii="方正仿宋_GBK" w:hAnsi="仿宋" w:eastAsia="方正仿宋_GBK"/>
          <w:color w:val="000000"/>
          <w:sz w:val="33"/>
          <w:szCs w:val="33"/>
        </w:rPr>
        <w:t>2019年“三公”经费财政拨款支出决算中，因公出国（境）费支出决算0万元，占0%；公务用车购置及运行维护费支出决算13万元，占99%；公务接待费支出决算0.07万元，占1%。具体情况如下：</w:t>
      </w:r>
    </w:p>
    <w:p>
      <w:pPr>
        <w:spacing w:line="600" w:lineRule="exact"/>
        <w:ind w:firstLine="663" w:firstLineChars="200"/>
        <w:rPr>
          <w:rFonts w:ascii="方正仿宋_GBK" w:eastAsia="方正仿宋_GBK"/>
          <w:b/>
          <w:color w:val="000000"/>
          <w:sz w:val="33"/>
          <w:szCs w:val="33"/>
        </w:rPr>
      </w:pPr>
      <w:r>
        <w:rPr>
          <w:rFonts w:hint="eastAsia" w:ascii="方正仿宋_GBK" w:eastAsia="方正仿宋_GBK"/>
          <w:b/>
          <w:color w:val="000000"/>
          <w:sz w:val="33"/>
          <w:szCs w:val="33"/>
        </w:rPr>
        <w:t>1.因公出国（境）经费支出</w:t>
      </w:r>
      <w:r>
        <w:rPr>
          <w:rFonts w:hint="eastAsia" w:ascii="方正仿宋_GBK" w:eastAsia="方正仿宋_GBK"/>
          <w:color w:val="000000"/>
          <w:sz w:val="33"/>
          <w:szCs w:val="33"/>
        </w:rPr>
        <w:t>0万元，</w:t>
      </w:r>
      <w:r>
        <w:rPr>
          <w:rStyle w:val="15"/>
          <w:rFonts w:hint="eastAsia" w:ascii="方正仿宋_GBK" w:hAnsi="仿宋" w:eastAsia="方正仿宋_GBK"/>
          <w:b w:val="0"/>
          <w:bCs/>
          <w:color w:val="000000"/>
          <w:sz w:val="33"/>
          <w:szCs w:val="33"/>
        </w:rPr>
        <w:t>完成预算0%。</w:t>
      </w:r>
      <w:r>
        <w:rPr>
          <w:rFonts w:hint="eastAsia" w:ascii="方正仿宋_GBK" w:eastAsia="方正仿宋_GBK"/>
          <w:color w:val="000000"/>
          <w:sz w:val="33"/>
          <w:szCs w:val="33"/>
        </w:rPr>
        <w:t>全年安排因公出国（境）团组0次，出国（境）0人。</w:t>
      </w:r>
    </w:p>
    <w:p>
      <w:pPr>
        <w:spacing w:line="600" w:lineRule="exact"/>
        <w:ind w:firstLine="663" w:firstLineChars="200"/>
        <w:rPr>
          <w:rFonts w:ascii="方正仿宋_GBK" w:eastAsia="方正仿宋_GBK"/>
          <w:b/>
          <w:color w:val="000000"/>
          <w:sz w:val="33"/>
          <w:szCs w:val="33"/>
        </w:rPr>
      </w:pPr>
      <w:r>
        <w:rPr>
          <w:rFonts w:hint="eastAsia" w:ascii="方正仿宋_GBK" w:eastAsia="方正仿宋_GBK"/>
          <w:b/>
          <w:color w:val="000000"/>
          <w:sz w:val="33"/>
          <w:szCs w:val="33"/>
        </w:rPr>
        <w:t>2.公务用车购置及运行维护费支出</w:t>
      </w:r>
      <w:r>
        <w:rPr>
          <w:rFonts w:hint="eastAsia" w:ascii="方正仿宋_GBK" w:eastAsia="方正仿宋_GBK"/>
          <w:color w:val="000000"/>
          <w:sz w:val="33"/>
          <w:szCs w:val="33"/>
        </w:rPr>
        <w:t>13万元,</w:t>
      </w:r>
      <w:r>
        <w:rPr>
          <w:rStyle w:val="15"/>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公务用车购置及运行维护费支出决算比2019年增加3万元，增长30%。主要原因是重点工作增加，车辆消耗增加。</w:t>
      </w:r>
    </w:p>
    <w:p>
      <w:pPr>
        <w:spacing w:line="600" w:lineRule="exact"/>
        <w:ind w:firstLine="660" w:firstLineChars="200"/>
        <w:rPr>
          <w:rFonts w:ascii="方正仿宋_GBK" w:eastAsia="方正仿宋_GBK"/>
          <w:b/>
          <w:color w:val="000000"/>
          <w:sz w:val="33"/>
          <w:szCs w:val="33"/>
        </w:rPr>
      </w:pPr>
      <w:r>
        <w:rPr>
          <w:rFonts w:hint="eastAsia" w:ascii="方正仿宋_GBK" w:eastAsia="方正仿宋_GBK"/>
          <w:color w:val="000000"/>
          <w:sz w:val="33"/>
          <w:szCs w:val="33"/>
        </w:rPr>
        <w:t>其中：</w:t>
      </w:r>
      <w:r>
        <w:rPr>
          <w:rFonts w:hint="eastAsia" w:ascii="方正仿宋_GBK" w:eastAsia="方正仿宋_GBK"/>
          <w:b/>
          <w:color w:val="000000"/>
          <w:sz w:val="33"/>
          <w:szCs w:val="33"/>
        </w:rPr>
        <w:t>公务用车购置支出</w:t>
      </w:r>
      <w:r>
        <w:rPr>
          <w:rFonts w:hint="eastAsia" w:ascii="方正仿宋_GBK" w:eastAsia="方正仿宋_GBK"/>
          <w:color w:val="000000"/>
          <w:sz w:val="33"/>
          <w:szCs w:val="33"/>
        </w:rPr>
        <w:t>0万元。全年按规定更新购置公务用车0辆，其中：轿车0辆、金额0万元，越野车0辆、金额0万元，载客汽车0辆、金额0万元。截至2018年12月底，单位共有公务用车3辆，其中：轿车1辆、越野车2辆。</w:t>
      </w:r>
    </w:p>
    <w:p>
      <w:pPr>
        <w:spacing w:line="600" w:lineRule="exact"/>
        <w:ind w:firstLine="663" w:firstLineChars="200"/>
        <w:rPr>
          <w:rFonts w:ascii="方正仿宋_GBK" w:eastAsia="方正仿宋_GBK"/>
          <w:color w:val="000000"/>
          <w:sz w:val="33"/>
          <w:szCs w:val="33"/>
        </w:rPr>
      </w:pPr>
      <w:r>
        <w:rPr>
          <w:rFonts w:hint="eastAsia" w:ascii="方正仿宋_GBK" w:eastAsia="方正仿宋_GBK"/>
          <w:b/>
          <w:color w:val="000000"/>
          <w:sz w:val="33"/>
          <w:szCs w:val="33"/>
        </w:rPr>
        <w:t>公务用车运行维护费支出</w:t>
      </w:r>
      <w:r>
        <w:rPr>
          <w:rFonts w:hint="eastAsia" w:ascii="方正仿宋_GBK" w:eastAsia="方正仿宋_GBK"/>
          <w:color w:val="000000"/>
          <w:sz w:val="33"/>
          <w:szCs w:val="33"/>
        </w:rPr>
        <w:t>13万元。要用于公务用车油费，保险费、洗车费，维修费等支出。</w:t>
      </w:r>
    </w:p>
    <w:p>
      <w:pPr>
        <w:spacing w:line="600" w:lineRule="exact"/>
        <w:ind w:firstLine="663" w:firstLineChars="200"/>
        <w:rPr>
          <w:rFonts w:ascii="方正仿宋_GBK" w:eastAsia="方正仿宋_GBK"/>
          <w:color w:val="000000"/>
          <w:sz w:val="33"/>
          <w:szCs w:val="33"/>
        </w:rPr>
      </w:pPr>
      <w:r>
        <w:rPr>
          <w:rFonts w:hint="eastAsia" w:ascii="方正仿宋_GBK" w:eastAsia="方正仿宋_GBK"/>
          <w:b/>
          <w:color w:val="000000"/>
          <w:sz w:val="33"/>
          <w:szCs w:val="33"/>
        </w:rPr>
        <w:t>3.公务接待费支出</w:t>
      </w:r>
      <w:r>
        <w:rPr>
          <w:rFonts w:hint="eastAsia" w:ascii="方正仿宋_GBK" w:eastAsia="方正仿宋_GBK"/>
          <w:color w:val="000000"/>
          <w:sz w:val="33"/>
          <w:szCs w:val="33"/>
        </w:rPr>
        <w:t>0.07万元，</w:t>
      </w:r>
      <w:r>
        <w:rPr>
          <w:rStyle w:val="15"/>
          <w:rFonts w:hint="eastAsia" w:ascii="方正仿宋_GBK" w:hAnsi="仿宋" w:eastAsia="方正仿宋_GBK"/>
          <w:b w:val="0"/>
          <w:bCs/>
          <w:color w:val="000000"/>
          <w:sz w:val="33"/>
          <w:szCs w:val="33"/>
        </w:rPr>
        <w:t>完成预算100%。</w:t>
      </w:r>
      <w:r>
        <w:rPr>
          <w:rFonts w:hint="eastAsia" w:ascii="方正仿宋_GBK" w:eastAsia="方正仿宋_GBK"/>
          <w:color w:val="000000"/>
          <w:sz w:val="33"/>
          <w:szCs w:val="33"/>
        </w:rPr>
        <w:t>公务接待费支出决算比2018年减少1万元，降低70%。主要原因是厉行节约。</w:t>
      </w:r>
    </w:p>
    <w:p>
      <w:pPr>
        <w:spacing w:line="60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主要用于执行公务、开展业务活动开支的交通费、住宿费、用餐费等。国内公务接待75批次，585人次（不包括陪同人员），共计支出1.44万元，具体内容包括：</w:t>
      </w:r>
      <w:bookmarkStart w:id="59" w:name="_Toc15377218"/>
      <w:r>
        <w:rPr>
          <w:rFonts w:hint="eastAsia" w:ascii="方正仿宋_GBK" w:eastAsia="方正仿宋_GBK"/>
          <w:color w:val="000000"/>
          <w:sz w:val="33"/>
          <w:szCs w:val="33"/>
        </w:rPr>
        <w:t xml:space="preserve">主要是县级各部门以及食堂接待用餐。 </w:t>
      </w:r>
    </w:p>
    <w:p>
      <w:pPr>
        <w:spacing w:line="600" w:lineRule="exact"/>
        <w:ind w:firstLine="640"/>
        <w:outlineLvl w:val="1"/>
        <w:rPr>
          <w:rStyle w:val="26"/>
          <w:rFonts w:ascii="黑体" w:hAnsi="黑体" w:eastAsia="黑体"/>
        </w:rPr>
      </w:pPr>
      <w:bookmarkStart w:id="60" w:name="_Toc73373359"/>
      <w:bookmarkStart w:id="61" w:name="_Toc54099135"/>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59"/>
      <w:bookmarkEnd w:id="60"/>
      <w:bookmarkEnd w:id="61"/>
    </w:p>
    <w:p>
      <w:pPr>
        <w:spacing w:line="600" w:lineRule="exact"/>
        <w:ind w:firstLine="640" w:firstLineChars="200"/>
        <w:rPr>
          <w:rFonts w:ascii="黑体" w:hAnsi="黑体" w:eastAsia="黑体" w:cstheme="majorBidi"/>
          <w:b/>
          <w:bCs/>
          <w:sz w:val="32"/>
          <w:szCs w:val="32"/>
        </w:rPr>
      </w:pPr>
      <w:r>
        <w:rPr>
          <w:rFonts w:ascii="仿宋_GB2312" w:eastAsia="仿宋_GB2312"/>
          <w:color w:val="000000"/>
          <w:sz w:val="32"/>
          <w:szCs w:val="32"/>
        </w:rPr>
        <w:t>201</w:t>
      </w:r>
      <w:r>
        <w:rPr>
          <w:rFonts w:hint="eastAsia" w:ascii="仿宋_GB2312" w:eastAsia="仿宋_GB2312"/>
          <w:color w:val="000000"/>
          <w:sz w:val="32"/>
          <w:szCs w:val="32"/>
        </w:rPr>
        <w:t>8年政府性基金预算拨款支出0万元。</w:t>
      </w:r>
    </w:p>
    <w:p>
      <w:pPr>
        <w:spacing w:line="600" w:lineRule="exact"/>
        <w:ind w:firstLine="640"/>
        <w:outlineLvl w:val="1"/>
        <w:rPr>
          <w:rStyle w:val="26"/>
          <w:rFonts w:ascii="黑体" w:hAnsi="黑体" w:eastAsia="黑体"/>
          <w:b w:val="0"/>
        </w:rPr>
      </w:pPr>
      <w:bookmarkStart w:id="62" w:name="_Toc15377219"/>
      <w:bookmarkStart w:id="63" w:name="_Toc54099136"/>
      <w:bookmarkStart w:id="64" w:name="_Toc73373360"/>
      <w:r>
        <w:rPr>
          <w:rStyle w:val="26"/>
          <w:rFonts w:hint="eastAsia" w:ascii="黑体" w:hAnsi="黑体" w:eastAsia="黑体"/>
          <w:b w:val="0"/>
        </w:rPr>
        <w:t>九、国有资本经营预算支出决算情况说明</w:t>
      </w:r>
      <w:bookmarkEnd w:id="62"/>
      <w:bookmarkEnd w:id="63"/>
      <w:bookmarkEnd w:id="64"/>
    </w:p>
    <w:p>
      <w:pPr>
        <w:spacing w:line="600" w:lineRule="exact"/>
        <w:ind w:firstLine="640" w:firstLineChars="200"/>
        <w:rPr>
          <w:rFonts w:ascii="黑体" w:hAnsi="黑体" w:eastAsia="黑体" w:cstheme="majorBidi"/>
          <w:bCs/>
          <w:sz w:val="32"/>
          <w:szCs w:val="32"/>
        </w:rPr>
      </w:pPr>
      <w:r>
        <w:rPr>
          <w:rFonts w:ascii="仿宋_GB2312" w:eastAsia="仿宋_GB2312"/>
          <w:color w:val="000000"/>
          <w:sz w:val="32"/>
          <w:szCs w:val="32"/>
        </w:rPr>
        <w:t>201</w:t>
      </w:r>
      <w:r>
        <w:rPr>
          <w:rFonts w:hint="eastAsia" w:ascii="仿宋_GB2312" w:eastAsia="仿宋_GB2312"/>
          <w:color w:val="000000"/>
          <w:sz w:val="32"/>
          <w:szCs w:val="32"/>
        </w:rPr>
        <w:t>8年国有资本经营预算拨款支出0万元。</w:t>
      </w:r>
    </w:p>
    <w:p>
      <w:pPr>
        <w:spacing w:line="580" w:lineRule="exact"/>
        <w:ind w:left="142" w:firstLine="640"/>
        <w:outlineLvl w:val="1"/>
        <w:rPr>
          <w:rStyle w:val="26"/>
          <w:rFonts w:ascii="黑体" w:hAnsi="黑体" w:eastAsia="黑体"/>
          <w:b w:val="0"/>
        </w:rPr>
      </w:pPr>
      <w:bookmarkStart w:id="65" w:name="_Toc73373361"/>
      <w:bookmarkStart w:id="66" w:name="_Toc54099137"/>
      <w:r>
        <w:rPr>
          <w:rStyle w:val="26"/>
          <w:rFonts w:hint="eastAsia" w:ascii="黑体" w:hAnsi="黑体" w:eastAsia="黑体"/>
          <w:b w:val="0"/>
        </w:rPr>
        <w:t>十、预算绩效情况说明</w:t>
      </w:r>
      <w:bookmarkEnd w:id="65"/>
      <w:bookmarkEnd w:id="66"/>
    </w:p>
    <w:p>
      <w:pPr>
        <w:spacing w:line="600" w:lineRule="exact"/>
        <w:ind w:firstLine="643" w:firstLineChars="200"/>
        <w:outlineLvl w:val="2"/>
        <w:rPr>
          <w:rFonts w:ascii="仿宋" w:hAnsi="仿宋" w:eastAsia="仿宋" w:cs="楷体_GB2312"/>
          <w:b/>
          <w:bCs/>
          <w:sz w:val="32"/>
          <w:szCs w:val="32"/>
        </w:rPr>
      </w:pPr>
      <w:r>
        <w:rPr>
          <w:rFonts w:hint="eastAsia" w:ascii="仿宋" w:hAnsi="仿宋" w:eastAsia="仿宋" w:cs="楷体_GB2312"/>
          <w:b/>
          <w:bCs/>
          <w:sz w:val="32"/>
          <w:szCs w:val="32"/>
        </w:rPr>
        <w:t>(一)预算绩效管理工作开展情况。</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根据预算绩效管理要求，本部门（单位）在年初预算编制阶段，组织对19个项目开展了预算事前绩效评估，对19个项目编制了绩效目标，预算执行过程中，选取5个项目开展绩效监控，年终执行完毕后，对5个项目开展了绩效目标完成情况梳理填报。</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本部门按要求对2018年部门整体支出开展绩效自评，从评价情况来看项目整体实施完成情况良好。</w:t>
      </w:r>
    </w:p>
    <w:p>
      <w:pPr>
        <w:spacing w:line="600" w:lineRule="exact"/>
        <w:ind w:firstLine="643" w:firstLineChars="200"/>
        <w:rPr>
          <w:rFonts w:ascii="楷体_GB2312" w:hAnsi="楷体_GB2312" w:eastAsia="楷体_GB2312" w:cs="楷体_GB2312"/>
          <w:b/>
          <w:bCs/>
          <w:sz w:val="32"/>
          <w:szCs w:val="32"/>
        </w:rPr>
      </w:pPr>
      <w:r>
        <w:rPr>
          <w:rFonts w:hint="eastAsia" w:ascii="仿宋" w:hAnsi="仿宋" w:eastAsia="仿宋" w:cs="楷体_GB2312"/>
          <w:b/>
          <w:bCs/>
          <w:sz w:val="32"/>
          <w:szCs w:val="32"/>
        </w:rPr>
        <w:t>（二）项目绩效目标完成情况。</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 xml:space="preserve"> 本部门在2019年度部门决算中反映“2019年大平台系统维护费0.24万元”，“2019年A++系统维护费1.3万元”；“2019年敬老院人员工资及绩效30万元”； “2019年敬老院人员社保12万元”；“2019年敬老院工作经费4万元”等5个项目绩效目标实际完成情况。</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2019年大平台系统维护费项目绩效目标完成情况综述。项目全年预算数0.24万元，执行数为0.24万元，完成预算的100%。通过项目实施，保障了乡财政所财务处理系统的正常运行，提高了工作的质量与效率。</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2019年A++系统维护费项目绩效目标完成情况综述。项目全年预算1.3万元，执行数为1.3万元，完成预算的100%。通过项目实施，保障了乡财政所财务处理系统的正常运行，提高了工作的质量与效率。</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2019年敬老院人员工资及绩效项目绩效目标完成情况综述。项目全年预算数30万元，执行数为30万元，完成预算的100%。通过项目实施，保障敬老院工作人员相关待遇执行，确保人员经费按时发放。</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2019年敬老院人员社保项目绩效目标完成情况综述。项目全年预算数12万元，执行数为12万元，完成预算的100%。通过项目实施，保障敬老院工作人员相关待遇执行，确保人员经费按时发放。</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2019年敬老院工作经费项目绩效目标完成情况综述。项目全年预算数4万元，执行数为4万元，完成预算的100%。通过项目实施，保障敬老院日常工作正常开展，确保敬老院正常运转。</w:t>
      </w:r>
    </w:p>
    <w:p>
      <w:pPr>
        <w:tabs>
          <w:tab w:val="left" w:pos="312"/>
        </w:tabs>
        <w:spacing w:line="580" w:lineRule="exact"/>
        <w:ind w:firstLine="64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cs="宋体" w:asciiTheme="minorEastAsia" w:hAnsiTheme="minorEastAsia" w:eastAsiaTheme="minorEastAsia"/>
                <w:color w:val="000000"/>
                <w:sz w:val="24"/>
              </w:rPr>
            </w:pPr>
            <w:r>
              <w:rPr>
                <w:rFonts w:hint="eastAsia" w:asciiTheme="minorEastAsia" w:hAnsiTheme="minorEastAsia" w:eastAsiaTheme="minorEastAsia"/>
                <w:sz w:val="24"/>
              </w:rPr>
              <w:t>2019年大平台系统维护费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盐边县惠民乡人民政府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0.24万元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0.24万元</w:t>
            </w:r>
          </w:p>
        </w:tc>
      </w:tr>
      <w:tr>
        <w:tblPrEx>
          <w:tblCellMar>
            <w:top w:w="0" w:type="dxa"/>
            <w:left w:w="0" w:type="dxa"/>
            <w:bottom w:w="0" w:type="dxa"/>
            <w:right w:w="0" w:type="dxa"/>
          </w:tblCellMar>
        </w:tblPrEx>
        <w:trPr>
          <w:trHeight w:val="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0.24万元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0.24万元</w:t>
            </w:r>
          </w:p>
        </w:tc>
      </w:tr>
      <w:tr>
        <w:tblPrEx>
          <w:tblCellMar>
            <w:top w:w="0" w:type="dxa"/>
            <w:left w:w="0" w:type="dxa"/>
            <w:bottom w:w="0" w:type="dxa"/>
            <w:right w:w="0" w:type="dxa"/>
          </w:tblCellMar>
        </w:tblPrEx>
        <w:trPr>
          <w:trHeight w:val="1511"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textAlignment w:val="center"/>
              <w:rPr>
                <w:rFonts w:ascii="宋体" w:hAnsi="宋体" w:cs="宋体"/>
                <w:color w:val="000000"/>
                <w:sz w:val="24"/>
              </w:rPr>
            </w:pPr>
            <w:r>
              <w:rPr>
                <w:rFonts w:hint="eastAsia" w:ascii="宋体" w:hAnsi="宋体" w:cs="宋体"/>
                <w:color w:val="000000"/>
                <w:sz w:val="24"/>
              </w:rPr>
              <w:t>保障我乡财政支付平台正常使用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保障我乡财政支付平台正常使用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完成乡财政所大平台维护，保证了财务系统的正常使用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完成乡财政所大平台维护，保证了财务系统的正常使用</w:t>
            </w:r>
          </w:p>
        </w:tc>
      </w:tr>
      <w:tr>
        <w:tblPrEx>
          <w:tblCellMar>
            <w:top w:w="0" w:type="dxa"/>
            <w:left w:w="0" w:type="dxa"/>
            <w:bottom w:w="0" w:type="dxa"/>
            <w:right w:w="0" w:type="dxa"/>
          </w:tblCellMar>
        </w:tblPrEx>
        <w:trPr>
          <w:trHeight w:val="71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bl>
    <w:p>
      <w:pPr>
        <w:ind w:firstLine="420"/>
        <w:rPr>
          <w:rFonts w:ascii="Calibri" w:hAnsi="Calibri"/>
        </w:rPr>
      </w:pPr>
    </w:p>
    <w:tbl>
      <w:tblPr>
        <w:tblStyle w:val="13"/>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2019年A++系统维护</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盐边县惠民乡人民政府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1.3万元</w:t>
            </w:r>
          </w:p>
        </w:tc>
      </w:tr>
      <w:tr>
        <w:tblPrEx>
          <w:tblCellMar>
            <w:top w:w="0" w:type="dxa"/>
            <w:left w:w="0" w:type="dxa"/>
            <w:bottom w:w="0" w:type="dxa"/>
            <w:right w:w="0" w:type="dxa"/>
          </w:tblCellMar>
        </w:tblPrEx>
        <w:trPr>
          <w:trHeight w:val="27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1.3万元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1.3万元</w:t>
            </w:r>
          </w:p>
        </w:tc>
      </w:tr>
      <w:tr>
        <w:tblPrEx>
          <w:tblCellMar>
            <w:top w:w="0" w:type="dxa"/>
            <w:left w:w="0" w:type="dxa"/>
            <w:bottom w:w="0" w:type="dxa"/>
            <w:right w:w="0" w:type="dxa"/>
          </w:tblCellMar>
        </w:tblPrEx>
        <w:trPr>
          <w:trHeight w:val="1511"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416"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保障我乡A++财务软件能够正常使用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保障我乡A++财务软件能够正常使用</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完成系统维护</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完成乡财政所A++财务平台维护，保证了财务系统的正常使用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完成乡财政所A++财务平台维护，保证了财务系统的正常使用</w:t>
            </w: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996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bl>
    <w:p>
      <w:pPr>
        <w:ind w:firstLine="420"/>
        <w:rPr>
          <w:rFonts w:ascii="Calibri" w:hAnsi="Calibri"/>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2019年敬老院人员工资及绩效</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盐边县惠民乡人民政府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30万元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30万元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418"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敬老院人员工资绩效30万元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敬老院人员工资绩效30万元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敬老院人员待遇保障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r>
      <w:tr>
        <w:tblPrEx>
          <w:tblCellMar>
            <w:top w:w="0" w:type="dxa"/>
            <w:left w:w="0" w:type="dxa"/>
            <w:bottom w:w="0" w:type="dxa"/>
            <w:right w:w="0" w:type="dxa"/>
          </w:tblCellMar>
        </w:tblPrEx>
        <w:trPr>
          <w:trHeight w:val="854"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67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bl>
    <w:p>
      <w:pPr>
        <w:ind w:firstLine="420"/>
        <w:rPr>
          <w:rFonts w:ascii="Calibri" w:hAnsi="Calibri"/>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cs="宋体" w:asciiTheme="minorEastAsia" w:hAnsiTheme="minorEastAsia" w:eastAsiaTheme="minorEastAsia"/>
                <w:color w:val="000000"/>
                <w:sz w:val="24"/>
              </w:rPr>
            </w:pPr>
            <w:r>
              <w:rPr>
                <w:rFonts w:hint="eastAsia" w:asciiTheme="minorEastAsia" w:hAnsiTheme="minorEastAsia" w:eastAsiaTheme="minorEastAsia"/>
                <w:sz w:val="24"/>
              </w:rPr>
              <w:t>2019年敬老院人员社保</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盐边县惠民乡人民政府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12万元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12万元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12万元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55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敬老院人员社保10人12万元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敬老院人员社保10人12万元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敬老院人员待遇保障</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保障敬老院人员工资发放</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bl>
    <w:p>
      <w:pPr>
        <w:ind w:firstLine="420"/>
        <w:rPr>
          <w:rFonts w:ascii="Calibri" w:hAnsi="Calibri"/>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4"/>
              <w:widowControl/>
              <w:ind w:left="4173" w:leftChars="1310" w:hanging="1422" w:hangingChars="395"/>
              <w:textAlignment w:val="center"/>
              <w:rPr>
                <w:rFonts w:ascii="宋体" w:hAns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cs="宋体" w:asciiTheme="minorEastAsia" w:hAnsiTheme="minorEastAsia" w:eastAsiaTheme="minorEastAsia"/>
                <w:color w:val="000000"/>
                <w:sz w:val="24"/>
              </w:rPr>
            </w:pPr>
            <w:r>
              <w:rPr>
                <w:rFonts w:hint="eastAsia" w:asciiTheme="minorEastAsia" w:hAnsiTheme="minorEastAsia" w:eastAsiaTheme="minorEastAsia"/>
                <w:sz w:val="24"/>
              </w:rPr>
              <w:t>2019年敬老院工作经费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盐边县惠民乡人民政府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4万元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4万元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jc w:val="center"/>
              <w:rPr>
                <w:rFonts w:ascii="宋体" w:hAns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敬老院基本运行经费4万元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敬老院基本运行经费4万元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敬老院正常运转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保障敬老院正常运转</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保障敬老院正常运转</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ind w:firstLine="480"/>
              <w:jc w:val="left"/>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jc w:val="center"/>
              <w:textAlignment w:val="center"/>
              <w:rPr>
                <w:rFonts w:ascii="宋体" w:hAnsi="宋体" w:cs="宋体"/>
                <w:color w:val="000000"/>
                <w:sz w:val="24"/>
              </w:rPr>
            </w:pPr>
          </w:p>
        </w:tc>
      </w:tr>
    </w:tbl>
    <w:p>
      <w:pPr>
        <w:ind w:firstLine="420"/>
        <w:rPr>
          <w:rFonts w:ascii="Calibri" w:hAnsi="Calibri"/>
        </w:rPr>
      </w:pPr>
    </w:p>
    <w:p>
      <w:pPr>
        <w:spacing w:line="580" w:lineRule="exact"/>
        <w:ind w:firstLine="640"/>
        <w:rPr>
          <w:rFonts w:ascii="仿宋_GB2312" w:hAnsi="仿宋_GB2312" w:eastAsia="仿宋_GB2312" w:cs="仿宋_GB2312"/>
          <w:sz w:val="32"/>
          <w:szCs w:val="32"/>
        </w:rPr>
      </w:pPr>
    </w:p>
    <w:p>
      <w:pPr>
        <w:spacing w:line="600" w:lineRule="exact"/>
        <w:ind w:firstLine="643" w:firstLineChars="200"/>
        <w:outlineLvl w:val="2"/>
        <w:rPr>
          <w:rFonts w:ascii="仿宋" w:hAnsi="仿宋" w:eastAsia="仿宋" w:cs="仿宋_GB2312"/>
          <w:sz w:val="32"/>
          <w:szCs w:val="32"/>
        </w:rPr>
      </w:pPr>
      <w:r>
        <w:rPr>
          <w:rFonts w:hint="eastAsia" w:ascii="仿宋" w:hAnsi="仿宋" w:eastAsia="仿宋" w:cs="楷体_GB2312"/>
          <w:b/>
          <w:bCs/>
          <w:sz w:val="32"/>
          <w:szCs w:val="32"/>
        </w:rPr>
        <w:t>（一）部门开展绩效评价结果。</w:t>
      </w:r>
    </w:p>
    <w:p>
      <w:pPr>
        <w:spacing w:line="600" w:lineRule="exact"/>
        <w:ind w:firstLine="660" w:firstLineChars="200"/>
        <w:rPr>
          <w:rFonts w:ascii="方正仿宋_GBK" w:hAnsi="仿宋_GB2312" w:eastAsia="方正仿宋_GBK" w:cs="仿宋_GB2312"/>
          <w:sz w:val="33"/>
          <w:szCs w:val="33"/>
        </w:rPr>
      </w:pPr>
      <w:r>
        <w:rPr>
          <w:rFonts w:hint="eastAsia" w:ascii="方正仿宋_GBK" w:hAnsi="仿宋_GB2312" w:eastAsia="方正仿宋_GBK" w:cs="仿宋_GB2312"/>
          <w:sz w:val="33"/>
          <w:szCs w:val="33"/>
        </w:rPr>
        <w:t>本部门按要求对2019年部门整体支出绩效评价情况开展自评，《盐边县惠民乡人民政府2019年部门整体支出绩效评价报告》见附件。</w:t>
      </w:r>
    </w:p>
    <w:p>
      <w:pPr>
        <w:spacing w:line="600" w:lineRule="exact"/>
        <w:ind w:firstLine="660" w:firstLineChars="200"/>
        <w:rPr>
          <w:rFonts w:ascii="仿宋_GB2312" w:hAnsi="仿宋_GB2312" w:eastAsia="仿宋_GB2312" w:cs="仿宋_GB2312"/>
          <w:sz w:val="32"/>
          <w:szCs w:val="32"/>
        </w:rPr>
      </w:pPr>
      <w:r>
        <w:rPr>
          <w:rFonts w:hint="eastAsia" w:ascii="方正仿宋_GBK" w:hAnsi="仿宋_GB2312" w:eastAsia="方正仿宋_GBK" w:cs="仿宋_GB2312"/>
          <w:sz w:val="33"/>
          <w:szCs w:val="33"/>
        </w:rPr>
        <w:t>本部门自行组织对19个项目开展了绩效评价，《盐边县惠民乡人民政府项目2019年绩效评价报告》见附件</w:t>
      </w:r>
      <w:r>
        <w:rPr>
          <w:rFonts w:hint="eastAsia" w:ascii="仿宋_GB2312" w:hAnsi="仿宋_GB2312" w:eastAsia="仿宋_GB2312" w:cs="仿宋_GB2312"/>
          <w:sz w:val="32"/>
          <w:szCs w:val="32"/>
        </w:rPr>
        <w:t>。</w:t>
      </w:r>
    </w:p>
    <w:p>
      <w:pPr>
        <w:spacing w:line="580" w:lineRule="exact"/>
        <w:ind w:firstLine="880"/>
        <w:jc w:val="center"/>
        <w:rPr>
          <w:rFonts w:ascii="方正小标宋简体" w:hAnsi="方正小标宋简体" w:eastAsia="方正小标宋简体" w:cs="方正小标宋简体"/>
          <w:sz w:val="44"/>
          <w:szCs w:val="44"/>
        </w:rPr>
      </w:pPr>
    </w:p>
    <w:p>
      <w:pPr>
        <w:spacing w:line="600" w:lineRule="exact"/>
        <w:ind w:firstLine="640" w:firstLineChars="200"/>
        <w:outlineLvl w:val="1"/>
        <w:rPr>
          <w:rStyle w:val="26"/>
          <w:rFonts w:ascii="黑体" w:hAnsi="黑体" w:eastAsia="黑体"/>
        </w:rPr>
      </w:pPr>
      <w:bookmarkStart w:id="67" w:name="_Toc15377221"/>
      <w:bookmarkStart w:id="68" w:name="_Toc73373362"/>
      <w:bookmarkStart w:id="69" w:name="_Toc54099138"/>
      <w:r>
        <w:rPr>
          <w:rFonts w:hint="eastAsia" w:ascii="黑体" w:hAnsi="黑体" w:eastAsia="黑体"/>
          <w:color w:val="000000"/>
          <w:sz w:val="32"/>
          <w:szCs w:val="32"/>
        </w:rPr>
        <w:t>十</w:t>
      </w:r>
      <w:r>
        <w:rPr>
          <w:rStyle w:val="26"/>
          <w:rFonts w:hint="eastAsia" w:ascii="黑体" w:hAnsi="黑体" w:eastAsia="黑体"/>
        </w:rPr>
        <w:t>一、</w:t>
      </w:r>
      <w:r>
        <w:rPr>
          <w:rStyle w:val="26"/>
          <w:rFonts w:hint="eastAsia" w:ascii="黑体" w:hAnsi="黑体" w:eastAsia="黑体"/>
          <w:b w:val="0"/>
        </w:rPr>
        <w:t>其他重要事项的情况说明</w:t>
      </w:r>
      <w:bookmarkEnd w:id="67"/>
      <w:bookmarkEnd w:id="68"/>
      <w:bookmarkEnd w:id="69"/>
    </w:p>
    <w:p>
      <w:pPr>
        <w:spacing w:line="600" w:lineRule="exact"/>
        <w:ind w:firstLine="643" w:firstLineChars="200"/>
        <w:outlineLvl w:val="2"/>
        <w:rPr>
          <w:rFonts w:ascii="仿宋" w:hAnsi="仿宋" w:eastAsia="仿宋"/>
          <w:color w:val="000000"/>
          <w:sz w:val="32"/>
          <w:szCs w:val="32"/>
        </w:rPr>
      </w:pPr>
      <w:bookmarkStart w:id="70" w:name="_Toc15377222"/>
      <w:r>
        <w:rPr>
          <w:rFonts w:hint="eastAsia" w:ascii="仿宋" w:hAnsi="仿宋" w:eastAsia="仿宋"/>
          <w:b/>
          <w:color w:val="000000"/>
          <w:sz w:val="32"/>
          <w:szCs w:val="32"/>
        </w:rPr>
        <w:t>（一）机关运行经费支出情况</w:t>
      </w:r>
      <w:bookmarkEnd w:id="70"/>
    </w:p>
    <w:p>
      <w:pPr>
        <w:spacing w:line="600" w:lineRule="exact"/>
        <w:ind w:firstLine="660" w:firstLineChars="200"/>
        <w:rPr>
          <w:rFonts w:ascii="方正仿宋_GBK" w:eastAsia="方正仿宋_GBK"/>
          <w:color w:val="000000" w:themeColor="text1"/>
          <w:sz w:val="33"/>
          <w:szCs w:val="33"/>
        </w:rPr>
      </w:pPr>
      <w:r>
        <w:rPr>
          <w:rFonts w:hint="eastAsia" w:ascii="方正仿宋_GBK" w:eastAsia="方正仿宋_GBK"/>
          <w:color w:val="000000"/>
          <w:sz w:val="33"/>
          <w:szCs w:val="33"/>
        </w:rPr>
        <w:t>2019年，惠民乡机关运行经费支出125万元，比2018年减少46万元，减少27%。</w:t>
      </w:r>
      <w:r>
        <w:rPr>
          <w:rFonts w:hint="eastAsia" w:ascii="方正仿宋_GBK" w:eastAsia="方正仿宋_GBK"/>
          <w:color w:val="000000" w:themeColor="text1"/>
          <w:sz w:val="33"/>
          <w:szCs w:val="33"/>
        </w:rPr>
        <w:t>主要原因是重点工作展开，人员变动。</w:t>
      </w:r>
    </w:p>
    <w:p>
      <w:pPr>
        <w:spacing w:line="600" w:lineRule="exact"/>
        <w:ind w:firstLine="643" w:firstLineChars="20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1" w:name="_Toc15377223"/>
      <w:r>
        <w:rPr>
          <w:rFonts w:hint="eastAsia" w:ascii="仿宋" w:hAnsi="仿宋" w:eastAsia="仿宋"/>
          <w:b/>
          <w:color w:val="000000"/>
          <w:sz w:val="32"/>
          <w:szCs w:val="32"/>
        </w:rPr>
        <w:t>（二）政府采购支出情况</w:t>
      </w:r>
      <w:bookmarkEnd w:id="71"/>
    </w:p>
    <w:p>
      <w:pPr>
        <w:spacing w:line="60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2019年，惠民乡政府采购支出总额0万元。</w:t>
      </w:r>
      <w:r>
        <w:rPr>
          <w:rFonts w:ascii="方正仿宋_GBK" w:eastAsia="方正仿宋_GBK"/>
          <w:color w:val="000000"/>
          <w:sz w:val="33"/>
          <w:szCs w:val="33"/>
        </w:rPr>
        <w:t xml:space="preserve"> </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72" w:name="_Toc15377224"/>
      <w:r>
        <w:rPr>
          <w:rFonts w:hint="eastAsia" w:ascii="仿宋" w:hAnsi="仿宋" w:eastAsia="仿宋"/>
          <w:b/>
          <w:color w:val="000000"/>
          <w:sz w:val="32"/>
          <w:szCs w:val="32"/>
        </w:rPr>
        <w:t>（三）国有资产占有使用情况</w:t>
      </w:r>
      <w:bookmarkEnd w:id="72"/>
    </w:p>
    <w:p>
      <w:pPr>
        <w:autoSpaceDE w:val="0"/>
        <w:autoSpaceDN w:val="0"/>
        <w:adjustRightInd w:val="0"/>
        <w:spacing w:line="600" w:lineRule="exact"/>
        <w:ind w:firstLine="660" w:firstLineChars="200"/>
        <w:jc w:val="left"/>
        <w:rPr>
          <w:rFonts w:ascii="方正仿宋_GBK" w:eastAsia="方正仿宋_GBK"/>
          <w:color w:val="000000"/>
          <w:sz w:val="33"/>
          <w:szCs w:val="33"/>
        </w:rPr>
      </w:pPr>
      <w:r>
        <w:rPr>
          <w:rFonts w:hint="eastAsia" w:ascii="方正仿宋_GBK" w:eastAsia="方正仿宋_GBK"/>
          <w:color w:val="000000"/>
          <w:sz w:val="33"/>
          <w:szCs w:val="33"/>
        </w:rPr>
        <w:t>截至2019年12月31日，惠民乡共有车辆3辆，其中：应急保障用车2辆，特种专业技术用车1辆。</w:t>
      </w:r>
      <w:r>
        <w:rPr>
          <w:rFonts w:hint="eastAsia" w:ascii="方正仿宋_GBK" w:eastAsia="方正仿宋_GBK"/>
          <w:color w:val="000000" w:themeColor="text1"/>
          <w:sz w:val="33"/>
          <w:szCs w:val="33"/>
        </w:rPr>
        <w:t>单价50万元以上通用设备0台（套），单价100</w:t>
      </w:r>
      <w:r>
        <w:rPr>
          <w:rFonts w:hint="eastAsia" w:ascii="方正仿宋_GBK" w:eastAsia="方正仿宋_GBK"/>
          <w:color w:val="000000"/>
          <w:sz w:val="33"/>
          <w:szCs w:val="33"/>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3" w:firstLineChars="200"/>
        <w:rPr>
          <w:rFonts w:ascii="仿宋_GB2312" w:eastAsia="仿宋_GB2312"/>
          <w:b/>
          <w:color w:val="000000"/>
          <w:sz w:val="32"/>
          <w:szCs w:val="32"/>
        </w:rPr>
      </w:pPr>
    </w:p>
    <w:p>
      <w:pPr>
        <w:widowControl/>
        <w:ind w:firstLine="643"/>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1"/>
        </w:numPr>
        <w:spacing w:line="600" w:lineRule="exact"/>
        <w:ind w:firstLine="663" w:firstLineChars="150"/>
        <w:jc w:val="center"/>
        <w:outlineLvl w:val="0"/>
        <w:rPr>
          <w:rFonts w:ascii="黑体" w:hAnsi="黑体" w:eastAsia="黑体"/>
          <w:bCs/>
          <w:kern w:val="44"/>
          <w:sz w:val="44"/>
          <w:szCs w:val="44"/>
        </w:rPr>
      </w:pPr>
      <w:bookmarkStart w:id="73" w:name="_Toc15377225"/>
      <w:bookmarkStart w:id="74" w:name="_Toc54099139"/>
      <w:bookmarkStart w:id="75" w:name="_Toc73373363"/>
      <w:r>
        <w:rPr>
          <w:rFonts w:hint="eastAsia" w:ascii="黑体" w:hAnsi="黑体" w:eastAsia="黑体"/>
          <w:b/>
          <w:color w:val="000000"/>
          <w:sz w:val="44"/>
          <w:szCs w:val="44"/>
        </w:rPr>
        <w:t>名</w:t>
      </w:r>
      <w:r>
        <w:rPr>
          <w:rStyle w:val="25"/>
          <w:rFonts w:hint="eastAsia" w:ascii="黑体" w:hAnsi="黑体" w:eastAsia="黑体"/>
          <w:b w:val="0"/>
        </w:rPr>
        <w:t>词解释</w:t>
      </w:r>
      <w:bookmarkEnd w:id="73"/>
      <w:bookmarkEnd w:id="74"/>
      <w:bookmarkEnd w:id="75"/>
    </w:p>
    <w:p>
      <w:pPr>
        <w:pStyle w:val="23"/>
        <w:spacing w:before="93" w:line="560" w:lineRule="exact"/>
        <w:ind w:firstLine="640" w:firstLineChars="200"/>
        <w:rPr>
          <w:rFonts w:ascii="仿宋_GB2312" w:eastAsia="仿宋_GB2312"/>
          <w:sz w:val="32"/>
          <w:szCs w:val="32"/>
        </w:rPr>
      </w:pPr>
      <w:bookmarkStart w:id="76" w:name="_Toc54099140"/>
      <w:bookmarkStart w:id="77" w:name="_Toc15377226"/>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一般公共服务（类）政府办公厅及相关机构事务（款）行政运行（项）：指反映行政单位（包括实行公务员管理的事业单位）的基本支出。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一般公共服务（类）政府办公厅及相关机构事务（款）财政事务（项）：指反映事业单位不包括行政单位（包括实行公务员管理的事业单位）后勤服务中心、医务室等附属事业单位。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文化体育与传媒（类）文化旅游体育与传媒支出（款）群众文化（项）：指反映群众文化旅方面的支出，包括基层文化馆、群众艺术馆支出等。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社会保障和就业（类）行政事业养老支出（款）机关事业单位基本养老保险缴费支出（项）：指反映支出事业单位实施养老保险制度由单位缴纳的基本养老保险费支出。</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社会保障和就业（类）特困人员救助供养（款）农村特困人员救助供养支出（项）：指反映农村特困人员救助供养支出。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社会保障和就业（类）民政管理事务（款）其他民政管理事务支出（项）：指反映民政部门接待来访、法制建设、政策宣传方面的支出，以及开展社会救助、养老服务、社会事务等方面的支出。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社会保障和就业（类）抚恤（款）伤残抚恤（项）：指反映按规定用于伤残人员的抚恤金和按规定开支的各项伤残补助。</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医疗卫生与计划生育（类）计划生育事务（款）其他计划生育事务支出（项）：指用于其他计划生育事务支出。</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节能环保（类）节能环保支出（款）其他污染防治支出（项）：指反映用于污染防治方面的支出。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城乡社区（类）城乡社区环境卫生（款）城乡社区环境卫生（项）：指反映城乡社区道路清扫、垃圾清运与处理、公测建设与维护、园林绿化等方面的支出。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农林水（类）农林水支出（款）事业运行（项）：指反映用于农业事业单位基本支出，事业单位设施、系统运行和资产维护等方面的支出。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农林水（类）农村综合改革（款）对村级一事一议支出（项）：指反映农村税费改革后对村级公益事业一事一议的补助支出。</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住房保障（类）住房改革支出（款）住房公积金（项）：指行政事业单位按照人力资源和社会保障部、财政部规定的基本工资和津贴补贴以及规定比例为职工缴纳的住房公积金。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灾害防治及应急管理支出（类）应急管理事务（款）安全监管（项）：指反映安全监管方面的支出。</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2019</w:t>
      </w:r>
      <w:r>
        <w:rPr>
          <w:rFonts w:hint="eastAsia" w:ascii="仿宋" w:hAnsi="仿宋" w:eastAsia="仿宋"/>
          <w:b/>
          <w:color w:val="000000"/>
          <w:sz w:val="32"/>
          <w:szCs w:val="32"/>
        </w:rPr>
        <w:t>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spacing w:line="560" w:lineRule="exact"/>
        <w:ind w:firstLine="640" w:firstLineChars="200"/>
        <w:rPr>
          <w:rFonts w:ascii="仿宋_GB2312" w:eastAsia="仿宋_GB2312" w:cs="黑体"/>
          <w:sz w:val="32"/>
          <w:szCs w:val="32"/>
        </w:rPr>
      </w:pP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5"/>
          <w:rFonts w:ascii="黑体" w:hAnsi="黑体" w:eastAsia="黑体"/>
          <w:b w:val="0"/>
        </w:rPr>
      </w:pPr>
      <w:bookmarkStart w:id="78" w:name="_Toc73373364"/>
      <w:r>
        <w:rPr>
          <w:rFonts w:hint="eastAsia" w:ascii="黑体" w:hAnsi="黑体" w:eastAsia="黑体"/>
          <w:color w:val="000000"/>
          <w:sz w:val="44"/>
          <w:szCs w:val="44"/>
        </w:rPr>
        <w:t>第</w:t>
      </w:r>
      <w:r>
        <w:rPr>
          <w:rStyle w:val="25"/>
          <w:rFonts w:hint="eastAsia" w:ascii="黑体" w:hAnsi="黑体" w:eastAsia="黑体"/>
          <w:b w:val="0"/>
        </w:rPr>
        <w:t>四部分 附件</w:t>
      </w:r>
      <w:bookmarkEnd w:id="76"/>
      <w:bookmarkEnd w:id="78"/>
    </w:p>
    <w:p>
      <w:pPr>
        <w:spacing w:line="600" w:lineRule="exact"/>
        <w:ind w:firstLine="883"/>
        <w:jc w:val="center"/>
        <w:outlineLvl w:val="0"/>
        <w:rPr>
          <w:rStyle w:val="25"/>
        </w:rPr>
      </w:pPr>
    </w:p>
    <w:p>
      <w:pPr>
        <w:pStyle w:val="3"/>
        <w:spacing w:line="600" w:lineRule="exact"/>
        <w:rPr>
          <w:rStyle w:val="25"/>
          <w:rFonts w:ascii="仿宋" w:hAnsi="仿宋" w:eastAsia="仿宋"/>
          <w:b w:val="0"/>
          <w:bCs w:val="0"/>
          <w:sz w:val="32"/>
          <w:szCs w:val="32"/>
        </w:rPr>
      </w:pPr>
      <w:bookmarkStart w:id="79" w:name="_Toc73373365"/>
      <w:bookmarkStart w:id="80" w:name="_Toc54099141"/>
      <w:r>
        <w:rPr>
          <w:rStyle w:val="25"/>
          <w:rFonts w:hint="eastAsia" w:ascii="仿宋" w:hAnsi="仿宋" w:eastAsia="仿宋"/>
          <w:b w:val="0"/>
          <w:bCs w:val="0"/>
          <w:sz w:val="32"/>
          <w:szCs w:val="32"/>
        </w:rPr>
        <w:t>附件1</w:t>
      </w:r>
      <w:bookmarkEnd w:id="79"/>
      <w:bookmarkEnd w:id="80"/>
    </w:p>
    <w:p>
      <w:pPr>
        <w:ind w:firstLine="640" w:firstLineChars="200"/>
        <w:jc w:val="left"/>
        <w:rPr>
          <w:rFonts w:ascii="仿宋_GB2312" w:eastAsia="仿宋_GB2312"/>
          <w:sz w:val="32"/>
          <w:szCs w:val="32"/>
        </w:rPr>
      </w:pPr>
    </w:p>
    <w:p>
      <w:pPr>
        <w:spacing w:line="600" w:lineRule="exact"/>
        <w:ind w:firstLine="763" w:firstLineChars="200"/>
        <w:jc w:val="center"/>
        <w:outlineLvl w:val="2"/>
        <w:rPr>
          <w:rFonts w:ascii="方正小标宋_GBK" w:hAnsi="黑体" w:eastAsia="方正小标宋_GBK"/>
          <w:b/>
          <w:sz w:val="38"/>
          <w:szCs w:val="38"/>
        </w:rPr>
      </w:pPr>
      <w:r>
        <w:rPr>
          <w:rFonts w:hint="eastAsia" w:ascii="方正小标宋_GBK" w:hAnsi="黑体" w:eastAsia="方正小标宋_GBK"/>
          <w:b/>
          <w:sz w:val="38"/>
          <w:szCs w:val="38"/>
        </w:rPr>
        <w:t>2019年部门预算整体绩效评价自评报告</w:t>
      </w:r>
    </w:p>
    <w:p>
      <w:pPr>
        <w:spacing w:line="600" w:lineRule="exact"/>
        <w:ind w:firstLine="640" w:firstLineChars="200"/>
        <w:jc w:val="left"/>
        <w:outlineLvl w:val="3"/>
        <w:rPr>
          <w:rFonts w:eastAsia="黑体"/>
          <w:sz w:val="32"/>
          <w:szCs w:val="32"/>
        </w:rPr>
      </w:pPr>
      <w:r>
        <w:rPr>
          <w:rFonts w:eastAsia="黑体"/>
          <w:sz w:val="32"/>
          <w:szCs w:val="32"/>
        </w:rPr>
        <w:t>一、部门概况</w:t>
      </w:r>
    </w:p>
    <w:p>
      <w:pPr>
        <w:widowControl/>
        <w:adjustRightInd w:val="0"/>
        <w:snapToGrid w:val="0"/>
        <w:spacing w:line="60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pPr>
        <w:widowControl/>
        <w:adjustRightInd w:val="0"/>
        <w:snapToGrid w:val="0"/>
        <w:spacing w:line="600" w:lineRule="exact"/>
        <w:ind w:firstLine="660" w:firstLineChars="200"/>
        <w:jc w:val="left"/>
        <w:rPr>
          <w:rFonts w:ascii="仿宋_GB2312" w:hAnsi="宋体" w:eastAsia="仿宋_GB2312" w:cs="仿宋_GB2312"/>
          <w:color w:val="000000"/>
          <w:kern w:val="0"/>
          <w:sz w:val="32"/>
          <w:szCs w:val="32"/>
          <w:shd w:val="clear" w:color="auto" w:fill="FFFFFF"/>
          <w:lang w:val="zh-CN"/>
        </w:rPr>
      </w:pPr>
      <w:r>
        <w:rPr>
          <w:rFonts w:hint="eastAsia" w:ascii="方正仿宋_GBK" w:eastAsia="方正仿宋_GBK"/>
          <w:color w:val="000000"/>
          <w:sz w:val="33"/>
          <w:szCs w:val="33"/>
        </w:rPr>
        <w:t>惠民乡人民政府属于机关事业一级单位，其中行政单位1个，事业单位3个，包含：农业服务中心、宣文中心、社会保障和就业服务中心。</w:t>
      </w:r>
    </w:p>
    <w:p>
      <w:pPr>
        <w:widowControl/>
        <w:adjustRightInd w:val="0"/>
        <w:snapToGrid w:val="0"/>
        <w:spacing w:line="60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（二）机构职能</w:t>
      </w:r>
      <w:r>
        <w:rPr>
          <w:rFonts w:hint="eastAsia" w:ascii="仿宋_GB2312" w:hAnsi="宋体" w:eastAsia="仿宋_GB2312" w:cs="仿宋_GB2312"/>
          <w:color w:val="000000"/>
          <w:kern w:val="0"/>
          <w:sz w:val="32"/>
          <w:szCs w:val="32"/>
          <w:shd w:val="clear" w:color="auto" w:fill="FFFFFF"/>
        </w:rPr>
        <w:t xml:space="preserve"> </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2.研究决定全乡经济建设和社会发展中带有全局性的</w:t>
      </w:r>
      <w:r>
        <w:rPr>
          <w:rFonts w:ascii="仿宋_GB2312" w:hAnsi="仿宋_GB2312" w:eastAsia="仿宋_GB2312" w:cs="仿宋_GB2312"/>
          <w:color w:val="333333"/>
          <w:sz w:val="32"/>
          <w:szCs w:val="32"/>
          <w:shd w:val="clear" w:color="auto" w:fill="FFFFFF"/>
        </w:rPr>
        <w:t>重大问题。</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负责本行政区域的政治思想、宣传、统战、政法、保密、武装、精神文明建设和民主法制建设等工作。</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负责辖区经济、文化、教育、科学、卫生健康、民政、社会保障、民族宗教、村乡建设、司法、退役军人、扶贫、信访、安全、统计等行政管理和服务工作。</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pPr>
        <w:widowControl/>
        <w:adjustRightInd w:val="0"/>
        <w:snapToGrid w:val="0"/>
        <w:spacing w:line="60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（三）人员概况</w:t>
      </w:r>
    </w:p>
    <w:p>
      <w:pPr>
        <w:widowControl/>
        <w:adjustRightInd w:val="0"/>
        <w:snapToGrid w:val="0"/>
        <w:spacing w:line="60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惠民乡人民政府现有编制数</w:t>
      </w:r>
      <w:r>
        <w:rPr>
          <w:rFonts w:hint="eastAsia" w:eastAsia="楷体_GB2312"/>
          <w:sz w:val="32"/>
          <w:szCs w:val="32"/>
        </w:rPr>
        <w:t>43</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其中：行政编制22人，</w:t>
      </w:r>
      <w:r>
        <w:rPr>
          <w:rFonts w:hint="eastAsia" w:ascii="仿宋_GB2312" w:hAnsi="仿宋_GB2312" w:eastAsia="仿宋_GB2312" w:cs="仿宋_GB2312"/>
          <w:color w:val="333333"/>
          <w:sz w:val="32"/>
          <w:szCs w:val="32"/>
          <w:shd w:val="clear" w:color="auto" w:fill="FFFFFF"/>
        </w:rPr>
        <w:t>工勤人员3人，事业编制18人，2019年年末在职人员40人，其中行政编制21人，工勤编制5人，事业编制14人。</w:t>
      </w:r>
    </w:p>
    <w:p>
      <w:pPr>
        <w:pStyle w:val="7"/>
        <w:spacing w:line="600" w:lineRule="exact"/>
        <w:ind w:firstLine="640" w:firstLineChars="200"/>
        <w:jc w:val="left"/>
        <w:outlineLvl w:val="3"/>
        <w:rPr>
          <w:rFonts w:ascii="Times New Roman" w:hAnsi="Times New Roman" w:eastAsia="仿宋_GB2312"/>
          <w:sz w:val="32"/>
          <w:szCs w:val="32"/>
        </w:rPr>
      </w:pPr>
      <w:r>
        <w:rPr>
          <w:rFonts w:ascii="Times New Roman" w:hAnsi="Times New Roman" w:eastAsia="黑体"/>
          <w:sz w:val="32"/>
          <w:szCs w:val="32"/>
        </w:rPr>
        <w:t>二、部门资金基本情况</w:t>
      </w:r>
    </w:p>
    <w:p>
      <w:pPr>
        <w:pStyle w:val="7"/>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（一）年初部门预算安排及支出情况</w:t>
      </w:r>
    </w:p>
    <w:p>
      <w:pPr>
        <w:pStyle w:val="7"/>
        <w:spacing w:line="600" w:lineRule="exact"/>
        <w:ind w:firstLine="640" w:firstLineChars="200"/>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2019年部门预算收入安排资金1088.81万元，较上年增加124.41万元，增长12.9%，增长原因人员经费增加，项目资金增加；支出1088.81万元，较上年增加124.41万元，增长12.9%，增长原因人员经费支出增加，项目增多。</w:t>
      </w:r>
    </w:p>
    <w:p>
      <w:pPr>
        <w:pStyle w:val="7"/>
        <w:numPr>
          <w:ilvl w:val="0"/>
          <w:numId w:val="2"/>
        </w:num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基本支出安排及使用情况</w:t>
      </w:r>
    </w:p>
    <w:p>
      <w:pPr>
        <w:pStyle w:val="7"/>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基本支出568.63万元，主要用于基本工资、津贴补贴、办公费、差旅费、水电邮电费、车辆运行维护费等日常公用经费。其中：一般公共服务支出320.36万元，文化旅游体育与传媒支出15.32万元，社会保障和就业支出83.58万元，农林水支出92.84万元，住房保障支出56.53万元。</w:t>
      </w:r>
    </w:p>
    <w:p>
      <w:pPr>
        <w:pStyle w:val="7"/>
        <w:numPr>
          <w:ilvl w:val="0"/>
          <w:numId w:val="3"/>
        </w:numPr>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部门预算项目安排及支出情况</w:t>
      </w:r>
    </w:p>
    <w:p>
      <w:pPr>
        <w:pStyle w:val="7"/>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项目支出520.18万元，主要用于一般公共服务支出12.56万元，社会保障和就业支出200.91万元，农林水支出306.71万元。</w:t>
      </w:r>
    </w:p>
    <w:p>
      <w:pPr>
        <w:pStyle w:val="7"/>
        <w:numPr>
          <w:ilvl w:val="0"/>
          <w:numId w:val="4"/>
        </w:numPr>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专项资金安排及支出情况</w:t>
      </w:r>
    </w:p>
    <w:p>
      <w:pPr>
        <w:pStyle w:val="7"/>
        <w:spacing w:line="60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专项资金支出520.18万元，按项目分类：人大代表公用经费3.31万元；乡村治理补助3.48万元； 2019年大平台系统维护费0.24万元；2019年A++系统维护费1.3万元；根据盐边财预【2017】20号下达2018年度乡镇财政管理系统及金财网维护费0.12万元；农村党员教育培训费1.5万元；党员干部现代远程教育费2.6万元；敬老院工作经费3.65万元；敬老院人员工资及绩效29.68万元敬老院人员社保14.28万元；五保户生活费142.42万元；五保户丧葬费3.6万元；五保户御寒费7.28万元；根据川财农【2017】206号下达2018年一事一议工程款德阳村社道联户路工程22.55万元；根据攀财资农【2018】11号下达2018年一事一议工程水库村六社道路硬化工程款10.62万元；村社干部报酬187.77万元；村办公经费38.9万元；根据川财基【2018】17号下达基层组织活动和公共服务运行经费（省级资金）39万元；根据川财农【2018】9号下达2018年度省级“四好村”财政补助资金7.88万元。</w:t>
      </w:r>
    </w:p>
    <w:p>
      <w:pPr>
        <w:pStyle w:val="7"/>
        <w:spacing w:line="600" w:lineRule="exact"/>
        <w:ind w:firstLine="640" w:firstLineChars="200"/>
        <w:jc w:val="left"/>
        <w:outlineLvl w:val="3"/>
        <w:rPr>
          <w:rFonts w:ascii="Times New Roman" w:hAnsi="Times New Roman" w:eastAsia="楷体"/>
          <w:sz w:val="32"/>
          <w:szCs w:val="32"/>
        </w:rPr>
      </w:pPr>
      <w:r>
        <w:rPr>
          <w:rFonts w:ascii="Times New Roman" w:hAnsi="Times New Roman" w:eastAsia="黑体"/>
          <w:sz w:val="32"/>
          <w:szCs w:val="32"/>
        </w:rPr>
        <w:t>三、绩效目标完成情况分析</w:t>
      </w:r>
    </w:p>
    <w:p>
      <w:pPr>
        <w:pStyle w:val="7"/>
        <w:spacing w:line="60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7"/>
        <w:spacing w:line="60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w:t>
      </w:r>
      <w:bookmarkStart w:id="171" w:name="_GoBack"/>
      <w:bookmarkEnd w:id="171"/>
      <w:r>
        <w:rPr>
          <w:rFonts w:hint="eastAsia" w:ascii="仿宋" w:hAnsi="仿宋" w:eastAsia="仿宋" w:cs="仿宋"/>
          <w:bCs/>
          <w:sz w:val="32"/>
          <w:szCs w:val="32"/>
        </w:rPr>
        <w:t>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pPr>
        <w:pStyle w:val="7"/>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（一）</w:t>
      </w:r>
      <w:r>
        <w:rPr>
          <w:rFonts w:hint="eastAsia" w:ascii="Times New Roman" w:hAnsi="Times New Roman" w:eastAsia="楷体_GB2312"/>
          <w:sz w:val="32"/>
          <w:szCs w:val="32"/>
        </w:rPr>
        <w:t>县</w:t>
      </w:r>
      <w:r>
        <w:rPr>
          <w:rFonts w:ascii="Times New Roman" w:hAnsi="Times New Roman" w:eastAsia="楷体_GB2312"/>
          <w:sz w:val="32"/>
          <w:szCs w:val="32"/>
        </w:rPr>
        <w:t>级财政资金绩效目标完成情况</w:t>
      </w:r>
    </w:p>
    <w:p>
      <w:pPr>
        <w:pStyle w:val="7"/>
        <w:spacing w:line="600" w:lineRule="exact"/>
        <w:ind w:firstLine="640" w:firstLineChars="200"/>
        <w:jc w:val="left"/>
        <w:rPr>
          <w:rFonts w:ascii="Times New Roman" w:hAnsi="Times New Roman" w:eastAsia="楷体"/>
          <w:sz w:val="32"/>
          <w:szCs w:val="32"/>
        </w:rPr>
      </w:pPr>
      <w:r>
        <w:rPr>
          <w:rFonts w:ascii="Times New Roman" w:hAnsi="Times New Roman" w:eastAsia="仿宋_GB2312"/>
          <w:sz w:val="32"/>
          <w:szCs w:val="32"/>
        </w:rPr>
        <w:t>1.年初部门预算绩效目标完成情况</w:t>
      </w:r>
    </w:p>
    <w:p>
      <w:pPr>
        <w:pStyle w:val="7"/>
        <w:spacing w:line="600" w:lineRule="exact"/>
        <w:ind w:firstLine="640" w:firstLineChars="200"/>
        <w:jc w:val="left"/>
        <w:rPr>
          <w:rFonts w:ascii="仿宋" w:hAnsi="仿宋" w:eastAsia="仿宋" w:cs="仿宋"/>
          <w:color w:val="000000"/>
          <w:kern w:val="0"/>
          <w:sz w:val="32"/>
          <w:szCs w:val="32"/>
        </w:rPr>
      </w:pPr>
      <w:r>
        <w:rPr>
          <w:rFonts w:ascii="Times New Roman" w:hAnsi="Times New Roman" w:eastAsia="仿宋_GB2312"/>
          <w:sz w:val="32"/>
          <w:szCs w:val="32"/>
        </w:rPr>
        <w:t>（1）产出指标完成情况分析。</w:t>
      </w:r>
      <w:r>
        <w:rPr>
          <w:rFonts w:hint="eastAsia" w:ascii="仿宋" w:hAnsi="仿宋" w:eastAsia="仿宋" w:cs="仿宋"/>
          <w:bCs/>
          <w:sz w:val="32"/>
          <w:szCs w:val="32"/>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600" w:lineRule="exact"/>
        <w:ind w:firstLine="640" w:firstLineChars="200"/>
        <w:jc w:val="left"/>
        <w:rPr>
          <w:rFonts w:ascii="仿宋" w:hAnsi="仿宋" w:eastAsia="仿宋" w:cs="仿宋"/>
          <w:bCs/>
          <w:color w:val="000000"/>
          <w:sz w:val="32"/>
          <w:szCs w:val="32"/>
        </w:rPr>
      </w:pPr>
      <w:r>
        <w:rPr>
          <w:rFonts w:eastAsia="仿宋_GB2312"/>
          <w:color w:val="000000"/>
          <w:sz w:val="32"/>
          <w:szCs w:val="32"/>
        </w:rPr>
        <w:t>（2）效益指标完成情况分析。</w:t>
      </w:r>
      <w:r>
        <w:rPr>
          <w:rFonts w:hint="eastAsia" w:eastAsia="仿宋_GB2312"/>
          <w:color w:val="000000"/>
          <w:sz w:val="32"/>
          <w:szCs w:val="32"/>
        </w:rPr>
        <w:t>我乡主要安排用于一般公共服务支出、社会保障和就业支出、农林水支出等。</w:t>
      </w:r>
    </w:p>
    <w:p>
      <w:pPr>
        <w:pStyle w:val="7"/>
        <w:spacing w:line="600" w:lineRule="exact"/>
        <w:ind w:firstLine="640" w:firstLineChars="200"/>
        <w:jc w:val="left"/>
        <w:rPr>
          <w:rFonts w:ascii="Times New Roman" w:hAnsi="Times New Roman" w:eastAsia="楷体"/>
          <w:color w:val="000000"/>
          <w:sz w:val="32"/>
          <w:szCs w:val="32"/>
        </w:rPr>
      </w:pPr>
      <w:r>
        <w:rPr>
          <w:rFonts w:ascii="Times New Roman" w:hAnsi="Times New Roman" w:eastAsia="仿宋_GB2312"/>
          <w:color w:val="000000"/>
          <w:sz w:val="32"/>
          <w:szCs w:val="32"/>
        </w:rPr>
        <w:t>（3）满意度指标完成情况分析。</w:t>
      </w:r>
      <w:r>
        <w:rPr>
          <w:rFonts w:hint="eastAsia" w:ascii="Times New Roman" w:hAnsi="Times New Roman" w:eastAsia="仿宋_GB2312"/>
          <w:color w:val="000000"/>
          <w:sz w:val="32"/>
          <w:szCs w:val="32"/>
        </w:rPr>
        <w:t>通过财政绩效目标管理，基本达到满意。</w:t>
      </w:r>
    </w:p>
    <w:p>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2.专项（项目）资金绩效目标完成情况</w:t>
      </w:r>
    </w:p>
    <w:p>
      <w:pPr>
        <w:spacing w:line="600" w:lineRule="exact"/>
        <w:ind w:firstLine="640" w:firstLineChars="200"/>
        <w:jc w:val="left"/>
        <w:rPr>
          <w:rFonts w:ascii="仿宋" w:hAnsi="仿宋" w:eastAsia="仿宋" w:cs="仿宋"/>
          <w:bCs/>
          <w:sz w:val="32"/>
          <w:szCs w:val="32"/>
        </w:rPr>
      </w:pPr>
      <w:r>
        <w:rPr>
          <w:rFonts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60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7"/>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效益指标完成情况分析。</w:t>
      </w:r>
      <w:r>
        <w:rPr>
          <w:rFonts w:hint="eastAsia" w:ascii="Times New Roman" w:hAnsi="Times New Roman" w:eastAsia="仿宋_GB2312"/>
          <w:sz w:val="32"/>
          <w:szCs w:val="32"/>
        </w:rPr>
        <w:t>我乡项目资金主要安排用于一般公共服务支出、社会保障和就业支出、卫生健康支出、节能环保支出、城乡社区支出、农林水支出、自然资源海洋气象等支出、灾害防治及应急管理支出等。</w:t>
      </w:r>
    </w:p>
    <w:p>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7"/>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（二）上级专项（项目）资金绩效目标完成情况</w:t>
      </w:r>
    </w:p>
    <w:p>
      <w:pPr>
        <w:pStyle w:val="7"/>
        <w:spacing w:line="600" w:lineRule="exact"/>
        <w:ind w:firstLine="640" w:firstLineChars="200"/>
        <w:jc w:val="left"/>
        <w:rPr>
          <w:rFonts w:ascii="Times New Roman" w:hAnsi="Times New Roman" w:eastAsia="楷体_GB2312"/>
          <w:sz w:val="32"/>
          <w:szCs w:val="32"/>
        </w:rPr>
      </w:pPr>
      <w:r>
        <w:rPr>
          <w:rFonts w:ascii="Times New Roman" w:hAnsi="Times New Roman" w:eastAsia="仿宋_GB2312"/>
          <w:sz w:val="32"/>
          <w:szCs w:val="32"/>
        </w:rPr>
        <w:t>（1）产出指标完成情况分析。</w:t>
      </w:r>
      <w:r>
        <w:rPr>
          <w:rFonts w:hint="eastAsia" w:ascii="Times New Roman" w:hAnsi="Times New Roman" w:eastAsia="楷体_GB2312"/>
          <w:sz w:val="32"/>
          <w:szCs w:val="32"/>
        </w:rPr>
        <w:t>人大代表公用经费3.31万元；乡村治理补助3.48万元； 2019年大平台系统维护费0.24万元；2019年A++系统维护费1.3万元；根据盐边财预【2017】20号下达2018年度乡镇财政管理系统及金财网维护费0.12万元；农村党员教育培训费1.5万元；党员干部现代远程教育费2.6万元；敬老院工作经费3.65万元；敬老院人员工资及绩效29.68万元敬老院人员社保14.28万元；五保户生活费142.42万元；五保户丧葬费3.6万元；五保户御寒费7.28万元；根据川财农【2017】206号下达2018年一事一议工程款德阳村社道联户路工程22.55万元；根据攀财资农【2018】11号下达2018年一事一议工程水库村六社道路硬化工程款10.62万元；村社干部报酬187.77万元；村办公经费38.9万元；根据川财基【2018】17号下达基层组织活动和公共服务运行经费（省级资金）39万元；根据川财农【2018】9号下达2018年度省级“四好村”财政补助资金7.88万元。</w:t>
      </w:r>
    </w:p>
    <w:p>
      <w:pPr>
        <w:pStyle w:val="7"/>
        <w:spacing w:line="600" w:lineRule="exact"/>
        <w:ind w:firstLine="640" w:firstLineChars="200"/>
        <w:jc w:val="left"/>
        <w:rPr>
          <w:rFonts w:ascii="Times New Roman" w:hAnsi="Times New Roman" w:eastAsia="楷体_GB2312"/>
          <w:sz w:val="32"/>
          <w:szCs w:val="32"/>
        </w:rPr>
      </w:pPr>
    </w:p>
    <w:p>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（2）效益指标完成情况分析。</w:t>
      </w:r>
      <w:r>
        <w:rPr>
          <w:rFonts w:hint="eastAsia" w:ascii="Times New Roman" w:hAnsi="Times New Roman" w:eastAsia="仿宋_GB2312"/>
          <w:sz w:val="32"/>
          <w:szCs w:val="32"/>
        </w:rPr>
        <w:t>我乡项目资金主要安排用于一般公共服务支出、社会保障和就业支出、卫生健康支出、节能环保支出、城乡社区支出、农林水支出、自然资源海洋气象等支出、灾害防治及应急管理支出等。</w:t>
      </w:r>
    </w:p>
    <w:p>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7"/>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（三）其他需要说明的情况</w:t>
      </w:r>
      <w:r>
        <w:rPr>
          <w:rFonts w:hint="eastAsia" w:ascii="Times New Roman" w:hAnsi="Times New Roman" w:eastAsia="楷体_GB2312"/>
          <w:sz w:val="32"/>
          <w:szCs w:val="32"/>
        </w:rPr>
        <w:t>。</w:t>
      </w:r>
    </w:p>
    <w:p>
      <w:pPr>
        <w:pStyle w:val="7"/>
        <w:spacing w:line="60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无</w:t>
      </w:r>
    </w:p>
    <w:p>
      <w:pPr>
        <w:pStyle w:val="7"/>
        <w:numPr>
          <w:ilvl w:val="0"/>
          <w:numId w:val="5"/>
        </w:numPr>
        <w:spacing w:line="60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自评结论</w:t>
      </w:r>
    </w:p>
    <w:p>
      <w:pPr>
        <w:pStyle w:val="7"/>
        <w:spacing w:line="600" w:lineRule="exact"/>
        <w:ind w:firstLine="640" w:firstLineChars="200"/>
        <w:jc w:val="left"/>
        <w:rPr>
          <w:rFonts w:ascii="Times New Roman" w:hAnsi="Times New Roman" w:eastAsia="楷体_GB2312"/>
          <w:sz w:val="32"/>
          <w:szCs w:val="32"/>
        </w:rPr>
      </w:pPr>
      <w:r>
        <w:rPr>
          <w:rFonts w:hint="eastAsia" w:ascii="仿宋" w:hAnsi="仿宋" w:eastAsia="仿宋" w:cs="仿宋"/>
          <w:bCs/>
          <w:sz w:val="32"/>
          <w:szCs w:val="32"/>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7"/>
        <w:spacing w:line="600" w:lineRule="exact"/>
        <w:jc w:val="left"/>
        <w:outlineLvl w:val="3"/>
        <w:rPr>
          <w:rFonts w:ascii="Times New Roman" w:hAnsi="Times New Roman" w:eastAsia="黑体"/>
          <w:sz w:val="32"/>
          <w:szCs w:val="32"/>
        </w:rPr>
      </w:pPr>
      <w:r>
        <w:rPr>
          <w:rFonts w:hint="eastAsia" w:ascii="Times New Roman" w:hAnsi="Times New Roman" w:eastAsia="黑体"/>
          <w:sz w:val="32"/>
          <w:szCs w:val="32"/>
        </w:rPr>
        <w:t>四、</w:t>
      </w:r>
      <w:r>
        <w:rPr>
          <w:rFonts w:ascii="Times New Roman" w:hAnsi="Times New Roman" w:eastAsia="黑体"/>
          <w:sz w:val="32"/>
          <w:szCs w:val="32"/>
        </w:rPr>
        <w:t>偏离绩效目标的原因和下一步改进措施</w:t>
      </w:r>
    </w:p>
    <w:p>
      <w:pPr>
        <w:pStyle w:val="7"/>
        <w:spacing w:line="60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（一）预算编制和预算管理还需进一步细化和加强，严禁超预算和无预算安排支出，严格开支范围和标准，严格审核各项经费的支出，提高资金使用效率。</w:t>
      </w:r>
    </w:p>
    <w:p>
      <w:pPr>
        <w:pStyle w:val="7"/>
        <w:spacing w:line="600" w:lineRule="exact"/>
        <w:ind w:firstLine="640" w:firstLineChars="200"/>
        <w:jc w:val="left"/>
        <w:rPr>
          <w:rFonts w:ascii="Times New Roman" w:hAnsi="Times New Roman" w:eastAsia="黑体"/>
          <w:sz w:val="32"/>
          <w:szCs w:val="32"/>
        </w:rPr>
      </w:pPr>
      <w:r>
        <w:rPr>
          <w:rFonts w:hint="eastAsia" w:ascii="仿宋" w:hAnsi="仿宋" w:eastAsia="仿宋" w:cs="仿宋"/>
          <w:bCs/>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spacing w:line="600" w:lineRule="exact"/>
        <w:outlineLvl w:val="3"/>
        <w:rPr>
          <w:rFonts w:ascii="仿宋" w:hAnsi="仿宋" w:eastAsia="仿宋" w:cs="仿宋"/>
          <w:color w:val="000000"/>
          <w:kern w:val="0"/>
          <w:sz w:val="32"/>
          <w:szCs w:val="32"/>
        </w:rPr>
      </w:pPr>
      <w:r>
        <w:rPr>
          <w:rFonts w:hint="eastAsia" w:eastAsia="黑体"/>
          <w:sz w:val="32"/>
          <w:szCs w:val="32"/>
        </w:rPr>
        <w:t>五、</w:t>
      </w:r>
      <w:r>
        <w:rPr>
          <w:rFonts w:eastAsia="黑体"/>
          <w:sz w:val="32"/>
          <w:szCs w:val="32"/>
        </w:rPr>
        <w:t>绩效自评结果拟应用和公开公示情况</w:t>
      </w:r>
      <w:r>
        <w:rPr>
          <w:rFonts w:hint="eastAsia" w:ascii="仿宋" w:hAnsi="仿宋" w:eastAsia="仿宋" w:cs="仿宋"/>
          <w:color w:val="000000"/>
          <w:kern w:val="0"/>
          <w:sz w:val="32"/>
          <w:szCs w:val="32"/>
        </w:rPr>
        <w:t xml:space="preserve">   </w:t>
      </w:r>
    </w:p>
    <w:p>
      <w:pPr>
        <w:spacing w:line="60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pPr>
        <w:spacing w:line="60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r>
        <w:rPr>
          <w:rFonts w:hint="eastAsia" w:ascii="仿宋_GB2312" w:eastAsia="仿宋_GB2312"/>
          <w:color w:val="000000"/>
          <w:sz w:val="32"/>
          <w:szCs w:val="32"/>
        </w:rPr>
        <w:t xml:space="preserve">                </w:t>
      </w:r>
    </w:p>
    <w:p>
      <w:pPr>
        <w:spacing w:line="60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乡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60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6"/>
        </w:numPr>
        <w:spacing w:line="60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pPr>
        <w:spacing w:line="600" w:lineRule="exact"/>
        <w:ind w:firstLine="640" w:firstLineChars="200"/>
        <w:jc w:val="left"/>
        <w:rPr>
          <w:rFonts w:ascii="仿宋_GB2312" w:eastAsia="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惠民乡人民政府2019年部门预算整体绩效自评表》和《盐边县惠民乡人民政府2019年度部门预算情况公开编制说明》在“盐边县公众信息网”财政信息板块下的“财政绩效评价信息专栏”进行公开公示。</w:t>
      </w: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_GB2312" w:hAnsi="仿宋_GB2312" w:eastAsia="仿宋_GB2312" w:cs="仿宋_GB2312"/>
          <w:sz w:val="32"/>
          <w:szCs w:val="32"/>
        </w:rPr>
      </w:pPr>
    </w:p>
    <w:p>
      <w:pPr>
        <w:widowControl/>
        <w:ind w:firstLine="640"/>
        <w:jc w:val="left"/>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3"/>
        <w:spacing w:line="600" w:lineRule="exact"/>
        <w:rPr>
          <w:rStyle w:val="25"/>
          <w:rFonts w:ascii="仿宋" w:hAnsi="仿宋" w:eastAsia="仿宋"/>
          <w:b w:val="0"/>
          <w:bCs w:val="0"/>
          <w:sz w:val="32"/>
          <w:szCs w:val="32"/>
        </w:rPr>
      </w:pPr>
      <w:bookmarkStart w:id="81" w:name="_Toc54099142"/>
      <w:bookmarkStart w:id="82" w:name="_Toc73373366"/>
      <w:r>
        <w:rPr>
          <w:rStyle w:val="25"/>
          <w:rFonts w:hint="eastAsia" w:ascii="仿宋" w:hAnsi="仿宋" w:eastAsia="仿宋"/>
          <w:b w:val="0"/>
          <w:bCs w:val="0"/>
          <w:sz w:val="32"/>
          <w:szCs w:val="32"/>
        </w:rPr>
        <w:t>附件2</w:t>
      </w:r>
      <w:bookmarkEnd w:id="81"/>
      <w:bookmarkEnd w:id="82"/>
    </w:p>
    <w:p>
      <w:pPr>
        <w:spacing w:line="600" w:lineRule="exact"/>
        <w:ind w:firstLine="782"/>
        <w:jc w:val="center"/>
        <w:outlineLvl w:val="2"/>
        <w:rPr>
          <w:rFonts w:ascii="方正小标宋_GBK" w:hAnsi="黑体" w:eastAsia="方正小标宋_GBK" w:cs="方正小标宋简体"/>
          <w:sz w:val="39"/>
          <w:szCs w:val="39"/>
        </w:rPr>
      </w:pPr>
      <w:r>
        <w:rPr>
          <w:rFonts w:hint="eastAsia" w:ascii="方正小标宋_GBK" w:hAnsi="黑体" w:eastAsia="方正小标宋_GBK" w:cs="方正小标宋简体"/>
          <w:sz w:val="39"/>
          <w:szCs w:val="39"/>
        </w:rPr>
        <w:t>2019年惠民乡项目支出绩效评价报告</w:t>
      </w:r>
    </w:p>
    <w:p>
      <w:pPr>
        <w:spacing w:line="600" w:lineRule="exact"/>
        <w:ind w:firstLine="640" w:firstLineChars="200"/>
        <w:rPr>
          <w:rFonts w:ascii="仿宋_GB2312" w:hAnsi="仿宋_GB2312" w:eastAsia="仿宋_GB2312" w:cs="仿宋_GB2312"/>
          <w:sz w:val="32"/>
          <w:szCs w:val="32"/>
        </w:rPr>
      </w:pPr>
    </w:p>
    <w:p>
      <w:pPr>
        <w:spacing w:line="600" w:lineRule="exact"/>
        <w:ind w:firstLine="660" w:firstLineChars="200"/>
        <w:rPr>
          <w:rFonts w:ascii="方正黑体_GBK" w:hAnsi="仿宋" w:eastAsia="方正黑体_GBK" w:cs="仿宋_GB2312"/>
          <w:sz w:val="33"/>
          <w:szCs w:val="33"/>
        </w:rPr>
      </w:pPr>
      <w:r>
        <w:rPr>
          <w:rFonts w:hint="eastAsia" w:ascii="方正黑体_GBK" w:hAnsi="仿宋" w:eastAsia="方正黑体_GBK" w:cs="仿宋_GB2312"/>
          <w:sz w:val="33"/>
          <w:szCs w:val="33"/>
        </w:rPr>
        <w:t>一、评价工作开展及项目情况</w:t>
      </w:r>
    </w:p>
    <w:p>
      <w:pPr>
        <w:autoSpaceDE w:val="0"/>
        <w:autoSpaceDN w:val="0"/>
        <w:adjustRightInd w:val="0"/>
        <w:spacing w:line="600" w:lineRule="exact"/>
        <w:ind w:firstLine="663" w:firstLineChars="200"/>
        <w:jc w:val="left"/>
        <w:rPr>
          <w:rStyle w:val="25"/>
          <w:rFonts w:ascii="方正楷体_GBK" w:hAnsi="仿宋" w:eastAsia="方正楷体_GBK" w:cs="仿宋_GB2312"/>
          <w:b w:val="0"/>
          <w:kern w:val="2"/>
          <w:sz w:val="33"/>
          <w:szCs w:val="33"/>
        </w:rPr>
      </w:pPr>
      <w:r>
        <w:rPr>
          <w:rFonts w:hint="eastAsia" w:ascii="方正楷体_GBK" w:eastAsia="方正楷体_GBK" w:cs="楷体_GB2312"/>
          <w:b/>
          <w:kern w:val="0"/>
          <w:sz w:val="33"/>
          <w:szCs w:val="33"/>
        </w:rPr>
        <w:t>（</w:t>
      </w:r>
      <w:r>
        <w:rPr>
          <w:rStyle w:val="25"/>
          <w:rFonts w:hint="eastAsia" w:ascii="方正楷体_GBK" w:hAnsi="仿宋" w:eastAsia="方正楷体_GBK" w:cs="仿宋_GB2312"/>
          <w:b w:val="0"/>
          <w:kern w:val="2"/>
          <w:sz w:val="33"/>
          <w:szCs w:val="33"/>
        </w:rPr>
        <w:t>一）现场评价抽样选点情况。</w:t>
      </w:r>
    </w:p>
    <w:p>
      <w:pPr>
        <w:autoSpaceDE w:val="0"/>
        <w:autoSpaceDN w:val="0"/>
        <w:adjustRightInd w:val="0"/>
        <w:spacing w:line="600" w:lineRule="exact"/>
        <w:ind w:firstLine="640" w:firstLineChars="200"/>
        <w:jc w:val="left"/>
        <w:rPr>
          <w:rStyle w:val="25"/>
          <w:rFonts w:ascii="仿宋" w:hAnsi="仿宋" w:eastAsia="仿宋" w:cs="仿宋_GB2312"/>
          <w:b w:val="0"/>
          <w:kern w:val="2"/>
          <w:sz w:val="32"/>
          <w:szCs w:val="32"/>
        </w:rPr>
      </w:pPr>
      <w:bookmarkStart w:id="83" w:name="_Toc73373367"/>
      <w:bookmarkStart w:id="84" w:name="_Toc54099478"/>
      <w:bookmarkStart w:id="85" w:name="_Toc54099143"/>
      <w:r>
        <w:rPr>
          <w:rStyle w:val="25"/>
          <w:rFonts w:hint="eastAsia" w:ascii="仿宋" w:hAnsi="仿宋" w:eastAsia="仿宋" w:cs="仿宋_GB2312"/>
          <w:b w:val="0"/>
          <w:kern w:val="2"/>
          <w:sz w:val="32"/>
          <w:szCs w:val="32"/>
        </w:rPr>
        <w:t>建设性的项目根据各村实际情况，经过村社干部及征求广大群众的意见和见意形成各村实施点的方案，一并选择施工方进行全工程承包实施；其余服务性项目以乡政府实际开展情况支出为准。</w:t>
      </w:r>
      <w:bookmarkEnd w:id="83"/>
      <w:bookmarkEnd w:id="84"/>
      <w:bookmarkEnd w:id="85"/>
    </w:p>
    <w:p>
      <w:pPr>
        <w:autoSpaceDE w:val="0"/>
        <w:autoSpaceDN w:val="0"/>
        <w:adjustRightInd w:val="0"/>
        <w:spacing w:line="600" w:lineRule="exact"/>
        <w:ind w:firstLine="663" w:firstLineChars="200"/>
        <w:jc w:val="left"/>
        <w:rPr>
          <w:rStyle w:val="25"/>
          <w:rFonts w:ascii="方正楷体_GBK" w:hAnsi="仿宋" w:eastAsia="方正楷体_GBK" w:cs="仿宋_GB2312"/>
          <w:kern w:val="2"/>
          <w:sz w:val="33"/>
          <w:szCs w:val="33"/>
        </w:rPr>
      </w:pPr>
      <w:bookmarkStart w:id="86" w:name="_Toc73373368"/>
      <w:bookmarkStart w:id="87" w:name="_Toc54099479"/>
      <w:bookmarkStart w:id="88" w:name="_Toc54099144"/>
      <w:r>
        <w:rPr>
          <w:rStyle w:val="25"/>
          <w:rFonts w:hint="eastAsia" w:ascii="方正楷体_GBK" w:hAnsi="仿宋" w:eastAsia="方正楷体_GBK" w:cs="仿宋_GB2312"/>
          <w:kern w:val="2"/>
          <w:sz w:val="33"/>
          <w:szCs w:val="33"/>
        </w:rPr>
        <w:t>（二）项目总体评价（包括项目评价得分表）。</w:t>
      </w:r>
      <w:bookmarkEnd w:id="86"/>
      <w:bookmarkEnd w:id="87"/>
      <w:bookmarkEnd w:id="88"/>
    </w:p>
    <w:p>
      <w:pPr>
        <w:autoSpaceDE w:val="0"/>
        <w:autoSpaceDN w:val="0"/>
        <w:adjustRightInd w:val="0"/>
        <w:spacing w:line="600" w:lineRule="exact"/>
        <w:ind w:firstLine="640" w:firstLineChars="200"/>
        <w:jc w:val="left"/>
        <w:rPr>
          <w:rStyle w:val="25"/>
          <w:rFonts w:ascii="仿宋" w:hAnsi="仿宋" w:eastAsia="仿宋" w:cs="仿宋_GB2312"/>
          <w:b w:val="0"/>
          <w:kern w:val="2"/>
          <w:sz w:val="32"/>
          <w:szCs w:val="32"/>
        </w:rPr>
      </w:pPr>
      <w:bookmarkStart w:id="89" w:name="_Toc54099145"/>
      <w:bookmarkStart w:id="90" w:name="_Toc54099480"/>
      <w:bookmarkStart w:id="91" w:name="_Toc73373369"/>
      <w:r>
        <w:rPr>
          <w:rStyle w:val="25"/>
          <w:rFonts w:hint="eastAsia" w:ascii="仿宋" w:hAnsi="仿宋" w:eastAsia="仿宋" w:cs="仿宋_GB2312"/>
          <w:b w:val="0"/>
          <w:kern w:val="2"/>
          <w:sz w:val="32"/>
          <w:szCs w:val="32"/>
        </w:rPr>
        <w:t>乡自评得分96.5分。</w:t>
      </w:r>
      <w:bookmarkEnd w:id="89"/>
      <w:bookmarkEnd w:id="90"/>
      <w:bookmarkEnd w:id="91"/>
    </w:p>
    <w:p>
      <w:pPr>
        <w:spacing w:line="600" w:lineRule="exact"/>
        <w:ind w:firstLine="660" w:firstLineChars="200"/>
        <w:rPr>
          <w:rStyle w:val="25"/>
          <w:rFonts w:ascii="方正黑体_GBK" w:hAnsi="仿宋" w:eastAsia="方正黑体_GBK"/>
          <w:b w:val="0"/>
          <w:kern w:val="2"/>
          <w:sz w:val="33"/>
          <w:szCs w:val="33"/>
        </w:rPr>
      </w:pPr>
      <w:bookmarkStart w:id="92" w:name="_Toc54099481"/>
      <w:bookmarkStart w:id="93" w:name="_Toc54099146"/>
      <w:bookmarkStart w:id="94" w:name="_Toc73373370"/>
      <w:r>
        <w:rPr>
          <w:rStyle w:val="25"/>
          <w:rFonts w:hint="eastAsia" w:ascii="方正黑体_GBK" w:hAnsi="仿宋" w:eastAsia="方正黑体_GBK"/>
          <w:b w:val="0"/>
          <w:kern w:val="2"/>
          <w:sz w:val="33"/>
          <w:szCs w:val="33"/>
        </w:rPr>
        <w:t>二、评价结论及绩效分析</w:t>
      </w:r>
      <w:bookmarkEnd w:id="92"/>
      <w:bookmarkEnd w:id="93"/>
      <w:bookmarkEnd w:id="94"/>
    </w:p>
    <w:p>
      <w:pPr>
        <w:spacing w:line="600" w:lineRule="exact"/>
        <w:ind w:firstLine="663" w:firstLineChars="200"/>
        <w:rPr>
          <w:rStyle w:val="25"/>
          <w:rFonts w:ascii="方正楷体_GBK" w:hAnsi="仿宋" w:eastAsia="方正楷体_GBK"/>
          <w:kern w:val="2"/>
          <w:sz w:val="33"/>
          <w:szCs w:val="33"/>
        </w:rPr>
      </w:pPr>
      <w:bookmarkStart w:id="95" w:name="_Toc54099147"/>
      <w:bookmarkStart w:id="96" w:name="_Toc54099482"/>
      <w:bookmarkStart w:id="97" w:name="_Toc73373371"/>
      <w:r>
        <w:rPr>
          <w:rStyle w:val="25"/>
          <w:rFonts w:hint="eastAsia" w:ascii="方正楷体_GBK" w:hAnsi="仿宋" w:eastAsia="方正楷体_GBK"/>
          <w:kern w:val="2"/>
          <w:sz w:val="33"/>
          <w:szCs w:val="33"/>
        </w:rPr>
        <w:t>（一）评价结论</w:t>
      </w:r>
      <w:bookmarkEnd w:id="95"/>
      <w:bookmarkEnd w:id="96"/>
      <w:bookmarkEnd w:id="97"/>
    </w:p>
    <w:p>
      <w:pPr>
        <w:autoSpaceDE w:val="0"/>
        <w:autoSpaceDN w:val="0"/>
        <w:adjustRightInd w:val="0"/>
        <w:spacing w:line="600" w:lineRule="exact"/>
        <w:ind w:firstLine="660" w:firstLineChars="200"/>
        <w:jc w:val="left"/>
        <w:rPr>
          <w:rStyle w:val="25"/>
          <w:rFonts w:ascii="方正仿宋_GBK" w:hAnsi="仿宋" w:eastAsia="方正仿宋_GBK"/>
          <w:b w:val="0"/>
          <w:kern w:val="2"/>
          <w:sz w:val="33"/>
          <w:szCs w:val="33"/>
        </w:rPr>
      </w:pPr>
      <w:bookmarkStart w:id="98" w:name="_Toc54099483"/>
      <w:bookmarkStart w:id="99" w:name="_Toc54099148"/>
      <w:bookmarkStart w:id="100" w:name="_Toc73373372"/>
      <w:r>
        <w:rPr>
          <w:rStyle w:val="25"/>
          <w:rFonts w:hint="eastAsia" w:ascii="方正仿宋_GBK" w:hAnsi="仿宋" w:eastAsia="方正仿宋_GBK"/>
          <w:b w:val="0"/>
          <w:kern w:val="2"/>
          <w:sz w:val="33"/>
          <w:szCs w:val="33"/>
        </w:rPr>
        <w:t>2019年全乡19个项目整体支出绩效评价自我评分为96.5分，评价总体效果较好，项目自身有针对性的解决了各方面运行难的实际困难，绩效目标按期实现，按照各项政策要求，不断提高项目的绩效效率。</w:t>
      </w:r>
      <w:bookmarkEnd w:id="98"/>
      <w:bookmarkEnd w:id="99"/>
      <w:bookmarkEnd w:id="100"/>
    </w:p>
    <w:p>
      <w:pPr>
        <w:spacing w:line="600" w:lineRule="exact"/>
        <w:ind w:firstLine="663" w:firstLineChars="200"/>
        <w:rPr>
          <w:rStyle w:val="25"/>
          <w:rFonts w:ascii="方正楷体_GBK" w:hAnsi="仿宋" w:eastAsia="方正楷体_GBK"/>
          <w:kern w:val="2"/>
          <w:sz w:val="33"/>
          <w:szCs w:val="33"/>
        </w:rPr>
      </w:pPr>
      <w:bookmarkStart w:id="101" w:name="_Toc73373373"/>
      <w:bookmarkStart w:id="102" w:name="_Toc54099149"/>
      <w:bookmarkStart w:id="103" w:name="_Toc54099484"/>
      <w:r>
        <w:rPr>
          <w:rStyle w:val="25"/>
          <w:rFonts w:hint="eastAsia" w:ascii="方正楷体_GBK" w:hAnsi="仿宋" w:eastAsia="方正楷体_GBK"/>
          <w:kern w:val="2"/>
          <w:sz w:val="33"/>
          <w:szCs w:val="33"/>
        </w:rPr>
        <w:t>（二）绩效分析</w:t>
      </w:r>
      <w:bookmarkEnd w:id="101"/>
      <w:bookmarkEnd w:id="102"/>
      <w:bookmarkEnd w:id="103"/>
    </w:p>
    <w:p>
      <w:pPr>
        <w:spacing w:line="600" w:lineRule="exact"/>
        <w:ind w:firstLine="660" w:firstLineChars="200"/>
        <w:rPr>
          <w:rStyle w:val="25"/>
          <w:rFonts w:ascii="方正仿宋_GBK" w:hAnsi="仿宋" w:eastAsia="方正仿宋_GBK"/>
          <w:b w:val="0"/>
          <w:kern w:val="2"/>
          <w:sz w:val="33"/>
          <w:szCs w:val="33"/>
        </w:rPr>
      </w:pPr>
      <w:bookmarkStart w:id="104" w:name="_Toc54099150"/>
      <w:bookmarkStart w:id="105" w:name="_Toc54099485"/>
      <w:bookmarkStart w:id="106" w:name="_Toc73373374"/>
      <w:r>
        <w:rPr>
          <w:rStyle w:val="25"/>
          <w:rFonts w:hint="eastAsia" w:ascii="方正仿宋_GBK" w:hAnsi="仿宋" w:eastAsia="方正仿宋_GBK"/>
          <w:b w:val="0"/>
          <w:kern w:val="2"/>
          <w:sz w:val="33"/>
          <w:szCs w:val="33"/>
        </w:rPr>
        <w:t>1、项目决策</w:t>
      </w:r>
      <w:bookmarkEnd w:id="104"/>
      <w:bookmarkEnd w:id="105"/>
      <w:bookmarkEnd w:id="106"/>
    </w:p>
    <w:p>
      <w:pPr>
        <w:autoSpaceDE w:val="0"/>
        <w:autoSpaceDN w:val="0"/>
        <w:adjustRightInd w:val="0"/>
        <w:spacing w:line="600" w:lineRule="exact"/>
        <w:ind w:firstLine="660" w:firstLineChars="200"/>
        <w:jc w:val="left"/>
        <w:rPr>
          <w:rStyle w:val="25"/>
          <w:rFonts w:ascii="方正仿宋_GBK" w:hAnsi="仿宋" w:eastAsia="方正仿宋_GBK"/>
          <w:b w:val="0"/>
          <w:kern w:val="2"/>
          <w:sz w:val="33"/>
          <w:szCs w:val="33"/>
        </w:rPr>
      </w:pPr>
      <w:bookmarkStart w:id="107" w:name="_Toc54099486"/>
      <w:bookmarkStart w:id="108" w:name="_Toc54099151"/>
      <w:bookmarkStart w:id="109" w:name="_Toc73373375"/>
      <w:r>
        <w:rPr>
          <w:rStyle w:val="25"/>
          <w:rFonts w:hint="eastAsia" w:ascii="方正仿宋_GBK" w:hAnsi="仿宋" w:eastAsia="方正仿宋_GBK"/>
          <w:b w:val="0"/>
          <w:kern w:val="2"/>
          <w:sz w:val="33"/>
          <w:szCs w:val="33"/>
        </w:rPr>
        <w:t>绩效目标情况。年初按要求报送完整、合理、清晰的绩效目标情况表；各实施项目均制定有效的项目实施方案进行施工；</w:t>
      </w:r>
      <w:bookmarkEnd w:id="107"/>
      <w:bookmarkEnd w:id="108"/>
      <w:bookmarkEnd w:id="109"/>
    </w:p>
    <w:p>
      <w:pPr>
        <w:spacing w:line="600" w:lineRule="exact"/>
        <w:ind w:firstLine="660" w:firstLineChars="200"/>
        <w:rPr>
          <w:rStyle w:val="25"/>
          <w:rFonts w:ascii="方正仿宋_GBK" w:hAnsi="仿宋" w:eastAsia="方正仿宋_GBK"/>
          <w:b w:val="0"/>
          <w:kern w:val="2"/>
          <w:sz w:val="33"/>
          <w:szCs w:val="33"/>
        </w:rPr>
      </w:pPr>
      <w:bookmarkStart w:id="110" w:name="_Toc73373376"/>
      <w:bookmarkStart w:id="111" w:name="_Toc54099487"/>
      <w:bookmarkStart w:id="112" w:name="_Toc54099152"/>
      <w:r>
        <w:rPr>
          <w:rStyle w:val="25"/>
          <w:rFonts w:ascii="方正仿宋_GBK" w:hAnsi="仿宋" w:eastAsia="方正仿宋_GBK"/>
          <w:b w:val="0"/>
          <w:kern w:val="2"/>
          <w:sz w:val="33"/>
          <w:szCs w:val="33"/>
        </w:rPr>
        <w:t>2、项目管理</w:t>
      </w:r>
      <w:bookmarkEnd w:id="110"/>
      <w:bookmarkEnd w:id="111"/>
      <w:bookmarkEnd w:id="112"/>
    </w:p>
    <w:p>
      <w:pPr>
        <w:widowControl/>
        <w:snapToGrid w:val="0"/>
        <w:spacing w:line="600" w:lineRule="exact"/>
        <w:ind w:firstLine="660" w:firstLineChars="200"/>
        <w:rPr>
          <w:rFonts w:ascii="方正仿宋_GBK" w:eastAsia="方正仿宋_GBK"/>
          <w:sz w:val="33"/>
          <w:szCs w:val="33"/>
        </w:rPr>
      </w:pPr>
      <w:bookmarkStart w:id="113" w:name="_Toc73373377"/>
      <w:bookmarkStart w:id="114" w:name="_Toc54099153"/>
      <w:bookmarkStart w:id="115" w:name="_Toc54099488"/>
      <w:r>
        <w:rPr>
          <w:rStyle w:val="25"/>
          <w:rFonts w:hint="eastAsia" w:ascii="方正仿宋_GBK" w:hAnsi="仿宋" w:eastAsia="方正仿宋_GBK"/>
          <w:b w:val="0"/>
          <w:kern w:val="2"/>
          <w:sz w:val="33"/>
          <w:szCs w:val="33"/>
        </w:rPr>
        <w:t>资金到位情况。</w:t>
      </w:r>
      <w:bookmarkEnd w:id="113"/>
      <w:bookmarkEnd w:id="114"/>
      <w:bookmarkEnd w:id="115"/>
      <w:r>
        <w:rPr>
          <w:rFonts w:hint="eastAsia" w:ascii="方正仿宋_GBK" w:eastAsia="方正仿宋_GBK"/>
          <w:sz w:val="33"/>
          <w:szCs w:val="33"/>
        </w:rPr>
        <w:t>2019年专项资金预算安排520万元，主要包括：2019年人大代表公用经费3万元；乡村治理补助3万元；2019年大平台系统维护费0.2万元；根据盐边财预【2017】20号下达2018年度乡镇财政管理系统及金财网维护费0.12万元；2019年A++系统维护费1.3万元；党员干部现代远程教育费3万元；农村党员教育培训费1.5万元；敬老院工作经费4万元；敬老院人员社保14万元；敬老院人员工资及绩效30万元；五保户生活费142万元；五保户御寒费7万元；五保户丧葬费4万元； 根据攀财资农【2018】11号下达2018年一事一议工程水库村六社道路硬化工程款11万元；根据川财农【2017】206号下达2018年一事一议工程款德阳村社道联户路工程22万元；村社干部报酬188万元；村办公经费39万元；根据川财基【2018】17号下达基层组织活动和公共服务运行经费（省级资金）39万元；根据川财农【2018】9号下达2018年度省级“四好村”财政补助资金7.88万元。使用上年结余资金41万元。</w:t>
      </w:r>
    </w:p>
    <w:p>
      <w:pPr>
        <w:autoSpaceDE w:val="0"/>
        <w:autoSpaceDN w:val="0"/>
        <w:adjustRightInd w:val="0"/>
        <w:spacing w:line="600" w:lineRule="exact"/>
        <w:ind w:firstLine="660" w:firstLineChars="200"/>
        <w:jc w:val="left"/>
        <w:rPr>
          <w:rStyle w:val="25"/>
          <w:rFonts w:ascii="方正仿宋_GBK" w:hAnsi="仿宋" w:eastAsia="方正仿宋_GBK"/>
          <w:b w:val="0"/>
          <w:kern w:val="2"/>
          <w:sz w:val="33"/>
          <w:szCs w:val="33"/>
        </w:rPr>
      </w:pPr>
      <w:bookmarkStart w:id="116" w:name="_Toc54099489"/>
      <w:bookmarkStart w:id="117" w:name="_Toc54099154"/>
      <w:bookmarkStart w:id="118" w:name="_Toc73373378"/>
      <w:r>
        <w:rPr>
          <w:rStyle w:val="25"/>
          <w:rFonts w:hint="eastAsia" w:ascii="方正仿宋_GBK" w:hAnsi="仿宋" w:eastAsia="方正仿宋_GBK"/>
          <w:b w:val="0"/>
          <w:kern w:val="2"/>
          <w:sz w:val="33"/>
          <w:szCs w:val="33"/>
        </w:rPr>
        <w:t>3、项目绩效</w:t>
      </w:r>
      <w:bookmarkEnd w:id="116"/>
      <w:bookmarkEnd w:id="117"/>
      <w:bookmarkEnd w:id="118"/>
    </w:p>
    <w:p>
      <w:pPr>
        <w:autoSpaceDE w:val="0"/>
        <w:autoSpaceDN w:val="0"/>
        <w:adjustRightInd w:val="0"/>
        <w:spacing w:line="600" w:lineRule="exact"/>
        <w:ind w:firstLine="640" w:firstLineChars="200"/>
        <w:jc w:val="left"/>
        <w:rPr>
          <w:rStyle w:val="25"/>
          <w:rFonts w:ascii="仿宋" w:hAnsi="仿宋" w:eastAsia="仿宋"/>
          <w:b w:val="0"/>
          <w:kern w:val="2"/>
          <w:sz w:val="32"/>
          <w:szCs w:val="32"/>
        </w:rPr>
      </w:pPr>
      <w:bookmarkStart w:id="119" w:name="_Toc73373379"/>
      <w:bookmarkStart w:id="120" w:name="_Toc54099490"/>
      <w:bookmarkStart w:id="121" w:name="_Toc54099155"/>
      <w:r>
        <w:rPr>
          <w:rStyle w:val="25"/>
          <w:rFonts w:ascii="仿宋" w:hAnsi="仿宋" w:eastAsia="仿宋"/>
          <w:b w:val="0"/>
          <w:kern w:val="2"/>
          <w:sz w:val="32"/>
          <w:szCs w:val="32"/>
        </w:rPr>
        <w:t>1.</w:t>
      </w:r>
      <w:r>
        <w:rPr>
          <w:rStyle w:val="25"/>
          <w:rFonts w:hint="eastAsia" w:ascii="仿宋" w:hAnsi="仿宋" w:eastAsia="仿宋"/>
          <w:b w:val="0"/>
          <w:kern w:val="2"/>
          <w:sz w:val="32"/>
          <w:szCs w:val="32"/>
        </w:rPr>
        <w:t>完成数量。</w:t>
      </w:r>
      <w:bookmarkEnd w:id="119"/>
      <w:bookmarkEnd w:id="120"/>
      <w:bookmarkEnd w:id="121"/>
    </w:p>
    <w:p>
      <w:pPr>
        <w:autoSpaceDE w:val="0"/>
        <w:autoSpaceDN w:val="0"/>
        <w:adjustRightInd w:val="0"/>
        <w:spacing w:line="600" w:lineRule="exact"/>
        <w:ind w:firstLine="660" w:firstLineChars="200"/>
        <w:jc w:val="left"/>
        <w:rPr>
          <w:rStyle w:val="25"/>
          <w:rFonts w:ascii="方正仿宋_GBK" w:hAnsi="仿宋" w:eastAsia="方正仿宋_GBK" w:cs="仿宋_GB2312"/>
          <w:b w:val="0"/>
          <w:kern w:val="2"/>
          <w:sz w:val="33"/>
          <w:szCs w:val="33"/>
        </w:rPr>
      </w:pPr>
      <w:bookmarkStart w:id="122" w:name="_Toc73373380"/>
      <w:bookmarkStart w:id="123" w:name="_Toc54099156"/>
      <w:bookmarkStart w:id="124" w:name="_Toc54099491"/>
      <w:r>
        <w:rPr>
          <w:rStyle w:val="25"/>
          <w:rFonts w:hint="eastAsia" w:ascii="方正仿宋_GBK" w:hAnsi="仿宋" w:eastAsia="方正仿宋_GBK"/>
          <w:b w:val="0"/>
          <w:kern w:val="2"/>
          <w:sz w:val="33"/>
          <w:szCs w:val="33"/>
        </w:rPr>
        <w:t>全乡19个项目有19个项目完工报账。</w:t>
      </w:r>
      <w:bookmarkEnd w:id="122"/>
      <w:bookmarkEnd w:id="123"/>
      <w:bookmarkEnd w:id="124"/>
      <w:r>
        <w:rPr>
          <w:rStyle w:val="25"/>
          <w:rFonts w:hint="eastAsia" w:ascii="方正仿宋_GBK" w:hAnsi="仿宋" w:eastAsia="方正仿宋_GBK" w:cs="仿宋_GB2312"/>
          <w:b w:val="0"/>
          <w:kern w:val="2"/>
          <w:sz w:val="33"/>
          <w:szCs w:val="33"/>
        </w:rPr>
        <w:t xml:space="preserve"> </w:t>
      </w:r>
    </w:p>
    <w:p>
      <w:pPr>
        <w:autoSpaceDE w:val="0"/>
        <w:autoSpaceDN w:val="0"/>
        <w:adjustRightInd w:val="0"/>
        <w:spacing w:line="600" w:lineRule="exact"/>
        <w:ind w:firstLine="640" w:firstLineChars="200"/>
        <w:jc w:val="left"/>
        <w:rPr>
          <w:rStyle w:val="25"/>
          <w:rFonts w:ascii="仿宋" w:hAnsi="仿宋" w:eastAsia="仿宋"/>
          <w:b w:val="0"/>
          <w:kern w:val="2"/>
          <w:sz w:val="32"/>
          <w:szCs w:val="32"/>
        </w:rPr>
      </w:pPr>
      <w:bookmarkStart w:id="125" w:name="_Toc54099492"/>
      <w:bookmarkStart w:id="126" w:name="_Toc73373381"/>
      <w:bookmarkStart w:id="127" w:name="_Toc54099157"/>
      <w:r>
        <w:rPr>
          <w:rStyle w:val="25"/>
          <w:rFonts w:ascii="仿宋" w:hAnsi="仿宋" w:eastAsia="仿宋"/>
          <w:b w:val="0"/>
          <w:kern w:val="2"/>
          <w:sz w:val="32"/>
          <w:szCs w:val="32"/>
        </w:rPr>
        <w:t>2.</w:t>
      </w:r>
      <w:r>
        <w:rPr>
          <w:rStyle w:val="25"/>
          <w:rFonts w:hint="eastAsia" w:ascii="仿宋" w:hAnsi="仿宋" w:eastAsia="仿宋"/>
          <w:b w:val="0"/>
          <w:kern w:val="2"/>
          <w:sz w:val="32"/>
          <w:szCs w:val="32"/>
        </w:rPr>
        <w:t>完成质量。</w:t>
      </w:r>
      <w:bookmarkEnd w:id="125"/>
      <w:bookmarkEnd w:id="126"/>
      <w:bookmarkEnd w:id="127"/>
    </w:p>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rPr>
        <w:t>19个项目均严格按照项目要求的质量如期完成。</w:t>
      </w:r>
    </w:p>
    <w:p>
      <w:pPr>
        <w:autoSpaceDE w:val="0"/>
        <w:autoSpaceDN w:val="0"/>
        <w:adjustRightInd w:val="0"/>
        <w:spacing w:line="600" w:lineRule="exact"/>
        <w:ind w:firstLine="640" w:firstLineChars="200"/>
        <w:jc w:val="left"/>
        <w:rPr>
          <w:rStyle w:val="25"/>
          <w:rFonts w:ascii="仿宋" w:hAnsi="仿宋" w:eastAsia="仿宋"/>
          <w:b w:val="0"/>
          <w:kern w:val="2"/>
          <w:sz w:val="32"/>
          <w:szCs w:val="32"/>
        </w:rPr>
      </w:pPr>
      <w:bookmarkStart w:id="128" w:name="_Toc54099493"/>
      <w:bookmarkStart w:id="129" w:name="_Toc73373382"/>
      <w:bookmarkStart w:id="130" w:name="_Toc54099158"/>
      <w:r>
        <w:rPr>
          <w:rStyle w:val="25"/>
          <w:rFonts w:ascii="仿宋" w:hAnsi="仿宋" w:eastAsia="仿宋"/>
          <w:b w:val="0"/>
          <w:kern w:val="2"/>
          <w:sz w:val="32"/>
          <w:szCs w:val="32"/>
        </w:rPr>
        <w:t>3.</w:t>
      </w:r>
      <w:r>
        <w:rPr>
          <w:rStyle w:val="25"/>
          <w:rFonts w:hint="eastAsia" w:ascii="仿宋" w:hAnsi="仿宋" w:eastAsia="仿宋"/>
          <w:b w:val="0"/>
          <w:kern w:val="2"/>
          <w:sz w:val="32"/>
          <w:szCs w:val="32"/>
        </w:rPr>
        <w:t>完成时效。</w:t>
      </w:r>
      <w:bookmarkEnd w:id="128"/>
      <w:bookmarkEnd w:id="129"/>
      <w:bookmarkEnd w:id="130"/>
    </w:p>
    <w:p>
      <w:pPr>
        <w:autoSpaceDE w:val="0"/>
        <w:autoSpaceDN w:val="0"/>
        <w:adjustRightInd w:val="0"/>
        <w:spacing w:line="600" w:lineRule="exact"/>
        <w:ind w:firstLine="660" w:firstLineChars="200"/>
        <w:jc w:val="left"/>
        <w:rPr>
          <w:rFonts w:ascii="方正仿宋_GBK" w:eastAsia="方正仿宋_GBK"/>
          <w:sz w:val="33"/>
          <w:szCs w:val="33"/>
        </w:rPr>
      </w:pPr>
      <w:r>
        <w:rPr>
          <w:rFonts w:hint="eastAsia" w:ascii="方正仿宋_GBK" w:eastAsia="方正仿宋_GBK"/>
          <w:sz w:val="33"/>
          <w:szCs w:val="33"/>
        </w:rPr>
        <w:t>19个项目都在规定的时间内实施完成；其余四个项目形成结余资金在2019年实施报账。</w:t>
      </w:r>
    </w:p>
    <w:p>
      <w:pPr>
        <w:autoSpaceDE w:val="0"/>
        <w:autoSpaceDN w:val="0"/>
        <w:adjustRightInd w:val="0"/>
        <w:spacing w:line="600" w:lineRule="exact"/>
        <w:ind w:firstLine="640" w:firstLineChars="200"/>
        <w:jc w:val="left"/>
        <w:rPr>
          <w:rStyle w:val="25"/>
          <w:rFonts w:ascii="仿宋" w:hAnsi="仿宋" w:eastAsia="仿宋"/>
          <w:b w:val="0"/>
          <w:kern w:val="2"/>
          <w:sz w:val="32"/>
          <w:szCs w:val="32"/>
        </w:rPr>
      </w:pPr>
      <w:bookmarkStart w:id="131" w:name="_Toc54099159"/>
      <w:bookmarkStart w:id="132" w:name="_Toc54099494"/>
      <w:bookmarkStart w:id="133" w:name="_Toc73373383"/>
      <w:r>
        <w:rPr>
          <w:rStyle w:val="25"/>
          <w:rFonts w:ascii="仿宋" w:hAnsi="仿宋" w:eastAsia="仿宋"/>
          <w:b w:val="0"/>
          <w:kern w:val="2"/>
          <w:sz w:val="32"/>
          <w:szCs w:val="32"/>
        </w:rPr>
        <w:t>4.</w:t>
      </w:r>
      <w:r>
        <w:rPr>
          <w:rStyle w:val="25"/>
          <w:rFonts w:hint="eastAsia" w:ascii="仿宋" w:hAnsi="仿宋" w:eastAsia="仿宋"/>
          <w:b w:val="0"/>
          <w:kern w:val="2"/>
          <w:sz w:val="32"/>
          <w:szCs w:val="32"/>
        </w:rPr>
        <w:t>完成成本。</w:t>
      </w:r>
      <w:bookmarkEnd w:id="131"/>
      <w:bookmarkEnd w:id="132"/>
      <w:bookmarkEnd w:id="133"/>
    </w:p>
    <w:p>
      <w:pPr>
        <w:autoSpaceDE w:val="0"/>
        <w:autoSpaceDN w:val="0"/>
        <w:adjustRightInd w:val="0"/>
        <w:spacing w:line="600" w:lineRule="exact"/>
        <w:ind w:firstLine="660" w:firstLineChars="200"/>
        <w:jc w:val="left"/>
        <w:rPr>
          <w:rFonts w:ascii="方正仿宋_GBK" w:eastAsia="方正仿宋_GBK"/>
          <w:bCs/>
          <w:sz w:val="33"/>
          <w:szCs w:val="33"/>
        </w:rPr>
      </w:pPr>
      <w:r>
        <w:rPr>
          <w:rFonts w:hint="eastAsia" w:ascii="方正仿宋_GBK" w:eastAsia="方正仿宋_GBK"/>
          <w:bCs/>
          <w:sz w:val="33"/>
          <w:szCs w:val="33"/>
        </w:rPr>
        <w:t>各项目资金按实际决算成本计算。</w:t>
      </w:r>
    </w:p>
    <w:p>
      <w:pPr>
        <w:pStyle w:val="24"/>
        <w:numPr>
          <w:ilvl w:val="0"/>
          <w:numId w:val="7"/>
        </w:numPr>
        <w:spacing w:line="600" w:lineRule="exact"/>
        <w:ind w:firstLineChars="0"/>
        <w:rPr>
          <w:rStyle w:val="25"/>
          <w:rFonts w:ascii="仿宋" w:hAnsi="仿宋"/>
          <w:b w:val="0"/>
          <w:kern w:val="2"/>
          <w:sz w:val="32"/>
          <w:szCs w:val="32"/>
        </w:rPr>
      </w:pPr>
      <w:bookmarkStart w:id="134" w:name="_Toc54099495"/>
      <w:bookmarkStart w:id="135" w:name="_Toc54099160"/>
      <w:bookmarkStart w:id="136" w:name="_Toc73373384"/>
      <w:r>
        <w:rPr>
          <w:rStyle w:val="25"/>
          <w:rFonts w:ascii="仿宋" w:hAnsi="仿宋"/>
          <w:b w:val="0"/>
          <w:kern w:val="2"/>
          <w:sz w:val="32"/>
          <w:szCs w:val="32"/>
        </w:rPr>
        <w:t>存在主要问题</w:t>
      </w:r>
      <w:bookmarkEnd w:id="134"/>
      <w:bookmarkEnd w:id="135"/>
      <w:bookmarkEnd w:id="136"/>
    </w:p>
    <w:p>
      <w:pPr>
        <w:pStyle w:val="24"/>
        <w:autoSpaceDE w:val="0"/>
        <w:autoSpaceDN w:val="0"/>
        <w:adjustRightInd w:val="0"/>
        <w:spacing w:line="600" w:lineRule="exact"/>
        <w:ind w:left="142" w:firstLine="660"/>
        <w:jc w:val="left"/>
        <w:rPr>
          <w:rStyle w:val="25"/>
          <w:rFonts w:ascii="方正仿宋_GBK" w:hAnsi="仿宋" w:eastAsia="方正仿宋_GBK"/>
          <w:b w:val="0"/>
          <w:kern w:val="2"/>
          <w:sz w:val="33"/>
          <w:szCs w:val="33"/>
        </w:rPr>
      </w:pPr>
      <w:bookmarkStart w:id="137" w:name="_Toc54099496"/>
      <w:bookmarkStart w:id="138" w:name="_Toc54099161"/>
      <w:bookmarkStart w:id="139" w:name="_Toc73373385"/>
      <w:r>
        <w:rPr>
          <w:rStyle w:val="25"/>
          <w:rFonts w:hint="eastAsia" w:ascii="方正仿宋_GBK" w:hAnsi="仿宋" w:eastAsia="方正仿宋_GBK"/>
          <w:b w:val="0"/>
          <w:kern w:val="2"/>
          <w:sz w:val="33"/>
          <w:szCs w:val="33"/>
        </w:rPr>
        <w:t>有部份资金报账相对滞后，导致资金滞留在乡财政所；部份项目报账单据及项目资料不够完善，报账不规范。</w:t>
      </w:r>
      <w:bookmarkEnd w:id="137"/>
      <w:bookmarkEnd w:id="138"/>
      <w:bookmarkEnd w:id="139"/>
    </w:p>
    <w:p>
      <w:pPr>
        <w:pStyle w:val="24"/>
        <w:numPr>
          <w:ilvl w:val="0"/>
          <w:numId w:val="7"/>
        </w:numPr>
        <w:spacing w:line="600" w:lineRule="exact"/>
        <w:ind w:firstLineChars="0"/>
        <w:rPr>
          <w:rFonts w:ascii="仿宋" w:hAnsi="仿宋" w:eastAsia="仿宋" w:cs="仿宋_GB2312"/>
          <w:sz w:val="32"/>
          <w:szCs w:val="32"/>
        </w:rPr>
      </w:pPr>
      <w:r>
        <w:rPr>
          <w:rFonts w:ascii="仿宋" w:hAnsi="仿宋" w:eastAsia="仿宋" w:cs="仿宋_GB2312"/>
          <w:sz w:val="32"/>
          <w:szCs w:val="32"/>
        </w:rPr>
        <w:t>相关措施建议</w:t>
      </w:r>
    </w:p>
    <w:p>
      <w:pPr>
        <w:pStyle w:val="24"/>
        <w:spacing w:line="600" w:lineRule="exact"/>
        <w:ind w:left="68" w:firstLine="660"/>
        <w:rPr>
          <w:rStyle w:val="25"/>
          <w:rFonts w:ascii="方正仿宋_GBK" w:hAnsi="仿宋" w:eastAsia="方正仿宋_GBK" w:cs="仿宋_GB2312"/>
          <w:b w:val="0"/>
          <w:bCs w:val="0"/>
          <w:kern w:val="2"/>
          <w:sz w:val="33"/>
          <w:szCs w:val="33"/>
        </w:rPr>
      </w:pPr>
      <w:bookmarkStart w:id="140" w:name="_Toc54099497"/>
      <w:bookmarkStart w:id="141" w:name="_Toc73373386"/>
      <w:bookmarkStart w:id="142" w:name="_Toc54099162"/>
      <w:r>
        <w:rPr>
          <w:rStyle w:val="25"/>
          <w:rFonts w:hint="eastAsia" w:ascii="方正仿宋_GBK" w:hAnsi="仿宋" w:eastAsia="方正仿宋_GBK" w:cs="仿宋_GB2312"/>
          <w:b w:val="0"/>
          <w:bCs w:val="0"/>
          <w:kern w:val="2"/>
          <w:sz w:val="33"/>
          <w:szCs w:val="33"/>
        </w:rPr>
        <w:t>在今后的工作中，我们将加大项目资金的使用力度，加快进度，争取每年的项目当年报账完成。</w:t>
      </w:r>
      <w:bookmarkEnd w:id="140"/>
      <w:bookmarkEnd w:id="141"/>
      <w:bookmarkEnd w:id="142"/>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jc w:val="center"/>
        <w:outlineLvl w:val="0"/>
        <w:rPr>
          <w:rFonts w:ascii="黑体" w:hAnsi="黑体" w:eastAsia="黑体"/>
          <w:color w:val="000000"/>
          <w:sz w:val="44"/>
          <w:szCs w:val="44"/>
        </w:rPr>
      </w:pPr>
    </w:p>
    <w:p>
      <w:pPr>
        <w:spacing w:line="600" w:lineRule="exact"/>
        <w:ind w:firstLine="880"/>
        <w:outlineLvl w:val="0"/>
        <w:rPr>
          <w:rFonts w:ascii="黑体" w:hAnsi="黑体" w:eastAsia="黑体"/>
          <w:color w:val="000000"/>
          <w:sz w:val="44"/>
          <w:szCs w:val="44"/>
        </w:rPr>
      </w:pPr>
    </w:p>
    <w:p>
      <w:pPr>
        <w:spacing w:line="600" w:lineRule="exact"/>
        <w:ind w:firstLine="880"/>
        <w:outlineLvl w:val="0"/>
        <w:rPr>
          <w:rFonts w:ascii="黑体" w:hAnsi="黑体" w:eastAsia="黑体"/>
          <w:color w:val="000000"/>
          <w:sz w:val="44"/>
          <w:szCs w:val="44"/>
        </w:rPr>
      </w:pPr>
    </w:p>
    <w:p>
      <w:pPr>
        <w:spacing w:line="600" w:lineRule="exact"/>
        <w:jc w:val="center"/>
        <w:outlineLvl w:val="0"/>
        <w:rPr>
          <w:rStyle w:val="25"/>
          <w:rFonts w:ascii="黑体" w:hAnsi="黑体" w:eastAsia="黑体"/>
          <w:b w:val="0"/>
        </w:rPr>
      </w:pPr>
      <w:bookmarkStart w:id="143" w:name="_Toc73373387"/>
      <w:bookmarkStart w:id="144" w:name="_Toc54099163"/>
      <w:r>
        <w:rPr>
          <w:rFonts w:hint="eastAsia" w:ascii="黑体" w:hAnsi="黑体" w:eastAsia="黑体"/>
          <w:color w:val="000000"/>
          <w:sz w:val="44"/>
          <w:szCs w:val="44"/>
        </w:rPr>
        <w:t>第</w:t>
      </w:r>
      <w:r>
        <w:rPr>
          <w:rStyle w:val="25"/>
          <w:rFonts w:hint="eastAsia" w:ascii="黑体" w:hAnsi="黑体" w:eastAsia="黑体"/>
          <w:b w:val="0"/>
        </w:rPr>
        <w:t>五部分 附表</w:t>
      </w:r>
      <w:bookmarkEnd w:id="77"/>
      <w:bookmarkEnd w:id="143"/>
      <w:bookmarkEnd w:id="144"/>
    </w:p>
    <w:p>
      <w:pPr>
        <w:spacing w:line="600" w:lineRule="exact"/>
        <w:ind w:firstLine="883"/>
        <w:jc w:val="center"/>
        <w:outlineLvl w:val="0"/>
        <w:rPr>
          <w:rFonts w:ascii="仿宋" w:hAnsi="仿宋" w:eastAsia="仿宋"/>
          <w:b/>
          <w:color w:val="000000"/>
          <w:sz w:val="44"/>
          <w:szCs w:val="44"/>
        </w:rPr>
      </w:pPr>
    </w:p>
    <w:p>
      <w:pPr>
        <w:pStyle w:val="3"/>
        <w:spacing w:line="600" w:lineRule="exact"/>
        <w:rPr>
          <w:rFonts w:ascii="仿宋" w:hAnsi="仿宋" w:eastAsia="仿宋"/>
          <w:color w:val="000000"/>
        </w:rPr>
      </w:pPr>
      <w:bookmarkStart w:id="145" w:name="_Toc54099164"/>
      <w:bookmarkStart w:id="146" w:name="_Toc73373388"/>
      <w:r>
        <w:rPr>
          <w:rFonts w:hint="eastAsia" w:ascii="仿宋" w:hAnsi="仿宋" w:eastAsia="仿宋"/>
          <w:b w:val="0"/>
          <w:color w:val="000000"/>
        </w:rPr>
        <w:t>一、收</w:t>
      </w:r>
      <w:r>
        <w:rPr>
          <w:rStyle w:val="26"/>
          <w:rFonts w:hint="eastAsia" w:ascii="仿宋" w:hAnsi="仿宋" w:eastAsia="仿宋"/>
          <w:b w:val="0"/>
          <w:bCs w:val="0"/>
        </w:rPr>
        <w:t>入支出决算总表</w:t>
      </w:r>
      <w:bookmarkEnd w:id="145"/>
      <w:bookmarkEnd w:id="146"/>
    </w:p>
    <w:p>
      <w:pPr>
        <w:pStyle w:val="3"/>
        <w:spacing w:line="600" w:lineRule="exact"/>
        <w:rPr>
          <w:rFonts w:ascii="仿宋" w:hAnsi="仿宋" w:eastAsia="仿宋"/>
          <w:color w:val="000000"/>
        </w:rPr>
      </w:pPr>
      <w:bookmarkStart w:id="147" w:name="_Toc54099165"/>
      <w:bookmarkStart w:id="148" w:name="_Toc73373389"/>
      <w:r>
        <w:rPr>
          <w:rFonts w:hint="eastAsia" w:ascii="仿宋" w:hAnsi="仿宋" w:eastAsia="仿宋"/>
          <w:b w:val="0"/>
          <w:color w:val="000000"/>
        </w:rPr>
        <w:t>二、收</w:t>
      </w:r>
      <w:r>
        <w:rPr>
          <w:rStyle w:val="26"/>
          <w:rFonts w:hint="eastAsia" w:ascii="仿宋" w:hAnsi="仿宋" w:eastAsia="仿宋"/>
          <w:b w:val="0"/>
          <w:bCs w:val="0"/>
        </w:rPr>
        <w:t>入总表</w:t>
      </w:r>
      <w:bookmarkEnd w:id="147"/>
      <w:bookmarkEnd w:id="148"/>
    </w:p>
    <w:p>
      <w:pPr>
        <w:pStyle w:val="3"/>
        <w:spacing w:line="600" w:lineRule="exact"/>
        <w:rPr>
          <w:rFonts w:ascii="仿宋" w:hAnsi="仿宋" w:eastAsia="仿宋"/>
          <w:color w:val="000000"/>
        </w:rPr>
      </w:pPr>
      <w:bookmarkStart w:id="149" w:name="_Toc73373390"/>
      <w:bookmarkStart w:id="150" w:name="_Toc54099166"/>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出总表</w:t>
      </w:r>
      <w:bookmarkEnd w:id="149"/>
      <w:bookmarkEnd w:id="150"/>
    </w:p>
    <w:p>
      <w:pPr>
        <w:pStyle w:val="3"/>
        <w:spacing w:line="600" w:lineRule="exact"/>
        <w:rPr>
          <w:rFonts w:ascii="仿宋" w:hAnsi="仿宋" w:eastAsia="仿宋"/>
          <w:b w:val="0"/>
          <w:color w:val="000000"/>
        </w:rPr>
      </w:pPr>
      <w:bookmarkStart w:id="151" w:name="_Toc54099167"/>
      <w:bookmarkStart w:id="152" w:name="_Toc73373391"/>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151"/>
      <w:bookmarkEnd w:id="152"/>
    </w:p>
    <w:p>
      <w:pPr>
        <w:pStyle w:val="3"/>
        <w:spacing w:line="600" w:lineRule="exact"/>
        <w:rPr>
          <w:rFonts w:ascii="仿宋" w:hAnsi="仿宋" w:eastAsia="仿宋"/>
          <w:color w:val="000000"/>
        </w:rPr>
      </w:pPr>
      <w:bookmarkStart w:id="153" w:name="_Toc73373392"/>
      <w:bookmarkStart w:id="154" w:name="_Toc54099168"/>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政拨款支出决算明细表（政府经济分类科目）</w:t>
      </w:r>
      <w:bookmarkEnd w:id="153"/>
      <w:bookmarkEnd w:id="154"/>
    </w:p>
    <w:p>
      <w:pPr>
        <w:pStyle w:val="3"/>
        <w:spacing w:line="600" w:lineRule="exact"/>
        <w:rPr>
          <w:rFonts w:ascii="仿宋" w:hAnsi="仿宋" w:eastAsia="仿宋"/>
          <w:color w:val="000000"/>
        </w:rPr>
      </w:pPr>
      <w:bookmarkStart w:id="155" w:name="_Toc54099169"/>
      <w:bookmarkStart w:id="156" w:name="_Toc73373393"/>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155"/>
      <w:bookmarkEnd w:id="156"/>
    </w:p>
    <w:p>
      <w:pPr>
        <w:pStyle w:val="3"/>
        <w:spacing w:line="600" w:lineRule="exact"/>
        <w:rPr>
          <w:rFonts w:ascii="仿宋" w:hAnsi="仿宋" w:eastAsia="仿宋"/>
          <w:color w:val="000000"/>
        </w:rPr>
      </w:pPr>
      <w:bookmarkStart w:id="157" w:name="_Toc73373394"/>
      <w:bookmarkStart w:id="158" w:name="_Toc54099170"/>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157"/>
      <w:bookmarkEnd w:id="158"/>
    </w:p>
    <w:p>
      <w:pPr>
        <w:pStyle w:val="3"/>
        <w:spacing w:line="600" w:lineRule="exact"/>
        <w:rPr>
          <w:rFonts w:ascii="仿宋" w:hAnsi="仿宋" w:eastAsia="仿宋"/>
          <w:color w:val="000000"/>
        </w:rPr>
      </w:pPr>
      <w:bookmarkStart w:id="159" w:name="_Toc54099171"/>
      <w:bookmarkStart w:id="160" w:name="_Toc73373395"/>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159"/>
      <w:bookmarkEnd w:id="160"/>
    </w:p>
    <w:p>
      <w:pPr>
        <w:pStyle w:val="3"/>
        <w:spacing w:line="600" w:lineRule="exact"/>
        <w:rPr>
          <w:rFonts w:ascii="仿宋" w:hAnsi="仿宋" w:eastAsia="仿宋"/>
          <w:color w:val="000000"/>
        </w:rPr>
      </w:pPr>
      <w:bookmarkStart w:id="161" w:name="_Toc73373396"/>
      <w:bookmarkStart w:id="162" w:name="_Toc54099172"/>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161"/>
      <w:bookmarkEnd w:id="162"/>
    </w:p>
    <w:p>
      <w:pPr>
        <w:pStyle w:val="3"/>
        <w:spacing w:line="600" w:lineRule="exact"/>
        <w:rPr>
          <w:rFonts w:ascii="仿宋" w:hAnsi="仿宋" w:eastAsia="仿宋"/>
          <w:color w:val="000000"/>
        </w:rPr>
      </w:pPr>
      <w:bookmarkStart w:id="163" w:name="_Toc73373397"/>
      <w:bookmarkStart w:id="164" w:name="_Toc54099173"/>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163"/>
      <w:bookmarkEnd w:id="164"/>
    </w:p>
    <w:p>
      <w:pPr>
        <w:pStyle w:val="3"/>
        <w:spacing w:line="600" w:lineRule="exact"/>
        <w:rPr>
          <w:rFonts w:ascii="仿宋" w:hAnsi="仿宋" w:eastAsia="仿宋"/>
          <w:color w:val="000000"/>
        </w:rPr>
      </w:pPr>
      <w:bookmarkStart w:id="165" w:name="_Toc73373398"/>
      <w:bookmarkStart w:id="166" w:name="_Toc54099174"/>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165"/>
      <w:bookmarkEnd w:id="166"/>
    </w:p>
    <w:p>
      <w:pPr>
        <w:pStyle w:val="3"/>
        <w:spacing w:line="600" w:lineRule="exact"/>
        <w:rPr>
          <w:rFonts w:ascii="仿宋" w:hAnsi="仿宋" w:eastAsia="仿宋"/>
          <w:color w:val="000000"/>
        </w:rPr>
      </w:pPr>
      <w:bookmarkStart w:id="167" w:name="_Toc73373399"/>
      <w:bookmarkStart w:id="168" w:name="_Toc54099175"/>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167"/>
      <w:bookmarkEnd w:id="168"/>
    </w:p>
    <w:p>
      <w:pPr>
        <w:pStyle w:val="3"/>
        <w:spacing w:line="600" w:lineRule="exact"/>
        <w:rPr>
          <w:rFonts w:ascii="仿宋" w:hAnsi="仿宋" w:eastAsia="仿宋"/>
          <w:color w:val="000000" w:themeColor="text1"/>
        </w:rPr>
      </w:pPr>
      <w:bookmarkStart w:id="169" w:name="_Toc73373400"/>
      <w:bookmarkStart w:id="170" w:name="_Toc54099176"/>
      <w:r>
        <w:rPr>
          <w:rStyle w:val="26"/>
          <w:rFonts w:hint="eastAsia" w:ascii="仿宋" w:hAnsi="仿宋" w:eastAsia="仿宋"/>
          <w:b w:val="0"/>
          <w:bCs w:val="0"/>
        </w:rPr>
        <w:t>十三、</w:t>
      </w:r>
      <w:r>
        <w:rPr>
          <w:rFonts w:hint="eastAsia" w:ascii="仿宋" w:hAnsi="仿宋" w:eastAsia="仿宋"/>
          <w:b w:val="0"/>
          <w:color w:val="000000"/>
        </w:rPr>
        <w:t>国</w:t>
      </w:r>
      <w:r>
        <w:rPr>
          <w:rStyle w:val="26"/>
          <w:rFonts w:hint="eastAsia" w:ascii="仿宋" w:hAnsi="仿宋" w:eastAsia="仿宋"/>
          <w:b w:val="0"/>
          <w:bCs w:val="0"/>
        </w:rPr>
        <w:t>有资本经营预算支出决算表</w:t>
      </w:r>
      <w:bookmarkEnd w:id="169"/>
      <w:bookmarkEnd w:id="170"/>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38200AE-9651-4F62-9467-FCB36D7FEF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1442A06-5362-4F39-98C6-603740868F51}"/>
  </w:font>
  <w:font w:name="Cambria">
    <w:panose1 w:val="02040503050406030204"/>
    <w:charset w:val="00"/>
    <w:family w:val="roman"/>
    <w:pitch w:val="default"/>
    <w:sig w:usb0="E00006FF" w:usb1="420024FF" w:usb2="02000000" w:usb3="00000000" w:csb0="2000019F" w:csb1="00000000"/>
    <w:embedRegular r:id="rId3" w:fontKey="{3D6C3271-1AC2-4D0C-A6AF-1BA12EEB9594}"/>
  </w:font>
  <w:font w:name="仿宋_GB2312">
    <w:altName w:val="仿宋"/>
    <w:panose1 w:val="02010609030101010101"/>
    <w:charset w:val="86"/>
    <w:family w:val="modern"/>
    <w:pitch w:val="default"/>
    <w:sig w:usb0="00000000" w:usb1="00000000" w:usb2="00000010" w:usb3="00000000" w:csb0="00040000" w:csb1="00000000"/>
    <w:embedRegular r:id="rId4" w:fontKey="{6DA13386-98FF-41C8-A0E9-88BEEF535461}"/>
  </w:font>
  <w:font w:name="仿宋">
    <w:panose1 w:val="02010609060101010101"/>
    <w:charset w:val="86"/>
    <w:family w:val="modern"/>
    <w:pitch w:val="default"/>
    <w:sig w:usb0="800002BF" w:usb1="38CF7CFA" w:usb2="00000016" w:usb3="00000000" w:csb0="00040001" w:csb1="00000000"/>
    <w:embedRegular r:id="rId5" w:fontKey="{0B3D2F8C-51A4-4A2E-B44A-467B26C93D9B}"/>
  </w:font>
  <w:font w:name="Courier New">
    <w:panose1 w:val="02070309020205020404"/>
    <w:charset w:val="00"/>
    <w:family w:val="modern"/>
    <w:pitch w:val="default"/>
    <w:sig w:usb0="E0002EFF" w:usb1="C0007843" w:usb2="00000009" w:usb3="00000000" w:csb0="400001FF" w:csb1="FFFF0000"/>
  </w:font>
  <w:font w:name="方正小标宋简体">
    <w:panose1 w:val="02000000000000000000"/>
    <w:charset w:val="86"/>
    <w:family w:val="script"/>
    <w:pitch w:val="default"/>
    <w:sig w:usb0="00000001" w:usb1="08000000" w:usb2="00000000" w:usb3="00000000" w:csb0="00040000" w:csb1="00000000"/>
    <w:embedRegular r:id="rId6" w:fontKey="{80EFFD82-35D9-4A93-BA9B-2D3551BB643F}"/>
  </w:font>
  <w:font w:name="方正楷体_GBK">
    <w:panose1 w:val="03000509000000000000"/>
    <w:charset w:val="86"/>
    <w:family w:val="script"/>
    <w:pitch w:val="default"/>
    <w:sig w:usb0="00000001" w:usb1="080E0000" w:usb2="00000000" w:usb3="00000000" w:csb0="00040000" w:csb1="00000000"/>
    <w:embedRegular r:id="rId7" w:fontKey="{A0EECE3C-74AB-4A40-85EB-1425FC348878}"/>
  </w:font>
  <w:font w:name="方正黑体_GBK">
    <w:panose1 w:val="03000509000000000000"/>
    <w:charset w:val="86"/>
    <w:family w:val="script"/>
    <w:pitch w:val="default"/>
    <w:sig w:usb0="00000001" w:usb1="080E0000" w:usb2="00000000" w:usb3="00000000" w:csb0="00040000" w:csb1="00000000"/>
    <w:embedRegular r:id="rId8" w:fontKey="{386037A7-ACEE-426E-99CA-2B325A7F023E}"/>
  </w:font>
  <w:font w:name="方正仿宋_GBK">
    <w:panose1 w:val="03000509000000000000"/>
    <w:charset w:val="86"/>
    <w:family w:val="script"/>
    <w:pitch w:val="default"/>
    <w:sig w:usb0="00000001" w:usb1="080E0000" w:usb2="00000000" w:usb3="00000000" w:csb0="00040000" w:csb1="00000000"/>
    <w:embedRegular r:id="rId9" w:fontKey="{DF0FC944-9BC3-4D62-8F51-E5A6495A9328}"/>
  </w:font>
  <w:font w:name="楷体_GB2312">
    <w:altName w:val="楷体"/>
    <w:panose1 w:val="00000000000000000000"/>
    <w:charset w:val="86"/>
    <w:family w:val="modern"/>
    <w:pitch w:val="default"/>
    <w:sig w:usb0="00000000" w:usb1="00000000" w:usb2="00000010" w:usb3="00000000" w:csb0="00040000" w:csb1="00000000"/>
    <w:embedRegular r:id="rId10" w:fontKey="{6D677ED8-9739-40BB-9E17-AFDA048F2DA7}"/>
  </w:font>
  <w:font w:name="方正小标宋_GBK">
    <w:panose1 w:val="03000509000000000000"/>
    <w:charset w:val="86"/>
    <w:family w:val="script"/>
    <w:pitch w:val="default"/>
    <w:sig w:usb0="00000001" w:usb1="080E0000" w:usb2="00000000" w:usb3="00000000" w:csb0="00040000" w:csb1="00000000"/>
    <w:embedRegular r:id="rId11" w:fontKey="{932CBFED-AD32-4225-B522-E591B31D5297}"/>
  </w:font>
  <w:font w:name="楷体">
    <w:panose1 w:val="02010609060101010101"/>
    <w:charset w:val="86"/>
    <w:family w:val="modern"/>
    <w:pitch w:val="default"/>
    <w:sig w:usb0="800002BF" w:usb1="38CF7CFA" w:usb2="00000016" w:usb3="00000000" w:csb0="00040001" w:csb1="00000000"/>
    <w:embedRegular r:id="rId12" w:fontKey="{CA706D46-B825-48B4-9CE4-97A00E1326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docPartObj>
        <w:docPartGallery w:val="AutoText"/>
      </w:docPartObj>
    </w:sdtPr>
    <w:sdtContent>
      <w:p>
        <w:pPr>
          <w:pStyle w:val="9"/>
          <w:ind w:firstLine="360"/>
          <w:jc w:val="center"/>
        </w:pPr>
        <w:r>
          <w:fldChar w:fldCharType="begin"/>
        </w:r>
        <w:r>
          <w:instrText xml:space="preserve">PAGE   \* MERGEFORMAT</w:instrText>
        </w:r>
        <w:r>
          <w:fldChar w:fldCharType="separate"/>
        </w:r>
        <w:r>
          <w:rPr>
            <w:lang w:val="zh-CN"/>
          </w:rPr>
          <w:t>24</w:t>
        </w:r>
        <w:r>
          <w:rPr>
            <w:lang w:val="zh-CN"/>
          </w:rPr>
          <w:fldChar w:fldCharType="end"/>
        </w:r>
      </w:p>
    </w:sdtContent>
  </w:sdt>
  <w:p>
    <w:pPr>
      <w:pStyle w:val="9"/>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rPr>
    </w:lvl>
  </w:abstractNum>
  <w:abstractNum w:abstractNumId="1">
    <w:nsid w:val="1272550B"/>
    <w:multiLevelType w:val="multilevel"/>
    <w:tmpl w:val="1272550B"/>
    <w:lvl w:ilvl="0" w:tentative="0">
      <w:start w:val="1"/>
      <w:numFmt w:val="japaneseCounting"/>
      <w:lvlText w:val="%1、"/>
      <w:lvlJc w:val="left"/>
      <w:pPr>
        <w:ind w:left="1004" w:hanging="720"/>
      </w:pPr>
      <w:rPr>
        <w:rFonts w:hint="default"/>
        <w:b w:val="0"/>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2">
    <w:nsid w:val="5F783726"/>
    <w:multiLevelType w:val="singleLevel"/>
    <w:tmpl w:val="5F783726"/>
    <w:lvl w:ilvl="0" w:tentative="0">
      <w:start w:val="2"/>
      <w:numFmt w:val="chineseCounting"/>
      <w:suff w:val="nothing"/>
      <w:lvlText w:val="（%1）"/>
      <w:lvlJc w:val="left"/>
    </w:lvl>
  </w:abstractNum>
  <w:abstractNum w:abstractNumId="3">
    <w:nsid w:val="5F8A6784"/>
    <w:multiLevelType w:val="singleLevel"/>
    <w:tmpl w:val="5F8A6784"/>
    <w:lvl w:ilvl="0" w:tentative="0">
      <w:start w:val="1"/>
      <w:numFmt w:val="decimal"/>
      <w:suff w:val="nothing"/>
      <w:lvlText w:val="%1."/>
      <w:lvlJc w:val="left"/>
    </w:lvl>
  </w:abstractNum>
  <w:abstractNum w:abstractNumId="4">
    <w:nsid w:val="5F8A67FA"/>
    <w:multiLevelType w:val="singleLevel"/>
    <w:tmpl w:val="5F8A67FA"/>
    <w:lvl w:ilvl="0" w:tentative="0">
      <w:start w:val="2"/>
      <w:numFmt w:val="decimal"/>
      <w:suff w:val="nothing"/>
      <w:lvlText w:val="%1."/>
      <w:lvlJc w:val="left"/>
    </w:lvl>
  </w:abstractNum>
  <w:abstractNum w:abstractNumId="5">
    <w:nsid w:val="5F8A6B90"/>
    <w:multiLevelType w:val="singleLevel"/>
    <w:tmpl w:val="5F8A6B90"/>
    <w:lvl w:ilvl="0" w:tentative="0">
      <w:start w:val="2"/>
      <w:numFmt w:val="chineseCounting"/>
      <w:suff w:val="nothing"/>
      <w:lvlText w:val="（%1）"/>
      <w:lvlJc w:val="left"/>
    </w:lvl>
  </w:abstractNum>
  <w:abstractNum w:abstractNumId="6">
    <w:nsid w:val="5F8A76BE"/>
    <w:multiLevelType w:val="singleLevel"/>
    <w:tmpl w:val="5F8A76BE"/>
    <w:lvl w:ilvl="0" w:tentative="0">
      <w:start w:val="4"/>
      <w:numFmt w:val="chineseCounting"/>
      <w:suff w:val="nothing"/>
      <w:lvlText w:val="（%1）"/>
      <w:lvlJc w:val="left"/>
    </w:lvl>
  </w:abstractNum>
  <w:num w:numId="1">
    <w:abstractNumId w:val="0"/>
  </w:num>
  <w:num w:numId="2">
    <w:abstractNumId w:val="3"/>
  </w:num>
  <w:num w:numId="3">
    <w:abstractNumId w:val="4"/>
  </w:num>
  <w:num w:numId="4">
    <w:abstractNumId w:val="5"/>
  </w:num>
  <w:num w:numId="5">
    <w:abstractNumId w:val="6"/>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NjNDAxYTQ3ZTk3Njk1OTRmNWJlMDM4Y2NmOTJkYWIifQ=="/>
  </w:docVars>
  <w:rsids>
    <w:rsidRoot w:val="00F1361C"/>
    <w:rsid w:val="000222C6"/>
    <w:rsid w:val="0002549F"/>
    <w:rsid w:val="00026401"/>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D7811"/>
    <w:rsid w:val="000E3179"/>
    <w:rsid w:val="000E6613"/>
    <w:rsid w:val="000E7119"/>
    <w:rsid w:val="00114E9B"/>
    <w:rsid w:val="0014729F"/>
    <w:rsid w:val="0015692F"/>
    <w:rsid w:val="00157BAB"/>
    <w:rsid w:val="001630B5"/>
    <w:rsid w:val="001654D1"/>
    <w:rsid w:val="0018106D"/>
    <w:rsid w:val="00185964"/>
    <w:rsid w:val="001877A7"/>
    <w:rsid w:val="00191536"/>
    <w:rsid w:val="00196687"/>
    <w:rsid w:val="001C0962"/>
    <w:rsid w:val="001D3377"/>
    <w:rsid w:val="001D7531"/>
    <w:rsid w:val="001E737D"/>
    <w:rsid w:val="001F0592"/>
    <w:rsid w:val="001F6CE0"/>
    <w:rsid w:val="001F7506"/>
    <w:rsid w:val="002006CD"/>
    <w:rsid w:val="00202B36"/>
    <w:rsid w:val="00204B7A"/>
    <w:rsid w:val="002069F5"/>
    <w:rsid w:val="0021101A"/>
    <w:rsid w:val="00220536"/>
    <w:rsid w:val="00235629"/>
    <w:rsid w:val="00260A79"/>
    <w:rsid w:val="00260C38"/>
    <w:rsid w:val="002616C0"/>
    <w:rsid w:val="002662AA"/>
    <w:rsid w:val="00276308"/>
    <w:rsid w:val="00280496"/>
    <w:rsid w:val="00295495"/>
    <w:rsid w:val="002B0C2C"/>
    <w:rsid w:val="002B2613"/>
    <w:rsid w:val="002B45AB"/>
    <w:rsid w:val="002F1818"/>
    <w:rsid w:val="002F567B"/>
    <w:rsid w:val="003022C1"/>
    <w:rsid w:val="003023CF"/>
    <w:rsid w:val="003216A9"/>
    <w:rsid w:val="00322229"/>
    <w:rsid w:val="003323B2"/>
    <w:rsid w:val="00335FA5"/>
    <w:rsid w:val="003432B1"/>
    <w:rsid w:val="0037013F"/>
    <w:rsid w:val="00380C92"/>
    <w:rsid w:val="003936D8"/>
    <w:rsid w:val="003A484F"/>
    <w:rsid w:val="003B0BE0"/>
    <w:rsid w:val="003B0C1B"/>
    <w:rsid w:val="003B1E55"/>
    <w:rsid w:val="003B688C"/>
    <w:rsid w:val="003C0291"/>
    <w:rsid w:val="003C39AE"/>
    <w:rsid w:val="003C7B60"/>
    <w:rsid w:val="003D1FB2"/>
    <w:rsid w:val="003D66DA"/>
    <w:rsid w:val="003E10C2"/>
    <w:rsid w:val="003E1310"/>
    <w:rsid w:val="003E6F55"/>
    <w:rsid w:val="00406254"/>
    <w:rsid w:val="004223DE"/>
    <w:rsid w:val="00434489"/>
    <w:rsid w:val="00437085"/>
    <w:rsid w:val="00443880"/>
    <w:rsid w:val="004464F4"/>
    <w:rsid w:val="00451DF1"/>
    <w:rsid w:val="00471401"/>
    <w:rsid w:val="00473F31"/>
    <w:rsid w:val="00481470"/>
    <w:rsid w:val="0048263A"/>
    <w:rsid w:val="00487E5D"/>
    <w:rsid w:val="004A711F"/>
    <w:rsid w:val="004B199D"/>
    <w:rsid w:val="004B4690"/>
    <w:rsid w:val="004E0A2D"/>
    <w:rsid w:val="004E206B"/>
    <w:rsid w:val="004E6DF7"/>
    <w:rsid w:val="004E6FB1"/>
    <w:rsid w:val="004F0FBD"/>
    <w:rsid w:val="00505A47"/>
    <w:rsid w:val="00512FDA"/>
    <w:rsid w:val="00520DA0"/>
    <w:rsid w:val="005246D3"/>
    <w:rsid w:val="00551142"/>
    <w:rsid w:val="0055326E"/>
    <w:rsid w:val="0056218B"/>
    <w:rsid w:val="005664BB"/>
    <w:rsid w:val="0057481D"/>
    <w:rsid w:val="0058486E"/>
    <w:rsid w:val="005D1C8B"/>
    <w:rsid w:val="005D5CED"/>
    <w:rsid w:val="005F1A4C"/>
    <w:rsid w:val="00605688"/>
    <w:rsid w:val="00606973"/>
    <w:rsid w:val="006070AF"/>
    <w:rsid w:val="00607E6C"/>
    <w:rsid w:val="006101B1"/>
    <w:rsid w:val="00614E44"/>
    <w:rsid w:val="00622830"/>
    <w:rsid w:val="00630AEF"/>
    <w:rsid w:val="006325F8"/>
    <w:rsid w:val="00634C9A"/>
    <w:rsid w:val="00636619"/>
    <w:rsid w:val="006440E4"/>
    <w:rsid w:val="0066343B"/>
    <w:rsid w:val="00664777"/>
    <w:rsid w:val="006748A4"/>
    <w:rsid w:val="00683E73"/>
    <w:rsid w:val="006A3141"/>
    <w:rsid w:val="006A5E34"/>
    <w:rsid w:val="006B2422"/>
    <w:rsid w:val="006B2B9A"/>
    <w:rsid w:val="006C1937"/>
    <w:rsid w:val="006D1345"/>
    <w:rsid w:val="006F020C"/>
    <w:rsid w:val="00704DB4"/>
    <w:rsid w:val="007127B7"/>
    <w:rsid w:val="007416B6"/>
    <w:rsid w:val="00746F48"/>
    <w:rsid w:val="00751C4B"/>
    <w:rsid w:val="0075404D"/>
    <w:rsid w:val="0076182A"/>
    <w:rsid w:val="00767B7E"/>
    <w:rsid w:val="007770C3"/>
    <w:rsid w:val="00784D24"/>
    <w:rsid w:val="00785FBA"/>
    <w:rsid w:val="00786E4A"/>
    <w:rsid w:val="007875EB"/>
    <w:rsid w:val="0079426B"/>
    <w:rsid w:val="007944C2"/>
    <w:rsid w:val="007D312A"/>
    <w:rsid w:val="007D3F19"/>
    <w:rsid w:val="007E1A3D"/>
    <w:rsid w:val="007E23B0"/>
    <w:rsid w:val="007F1991"/>
    <w:rsid w:val="007F2C2F"/>
    <w:rsid w:val="007F55FC"/>
    <w:rsid w:val="007F5665"/>
    <w:rsid w:val="00800112"/>
    <w:rsid w:val="008253BB"/>
    <w:rsid w:val="00827846"/>
    <w:rsid w:val="0083706E"/>
    <w:rsid w:val="008423A5"/>
    <w:rsid w:val="00845547"/>
    <w:rsid w:val="0084718F"/>
    <w:rsid w:val="00850625"/>
    <w:rsid w:val="00853718"/>
    <w:rsid w:val="00855221"/>
    <w:rsid w:val="00857145"/>
    <w:rsid w:val="00860645"/>
    <w:rsid w:val="00871F71"/>
    <w:rsid w:val="00885AF4"/>
    <w:rsid w:val="008939CD"/>
    <w:rsid w:val="008B768C"/>
    <w:rsid w:val="008C4DB1"/>
    <w:rsid w:val="008C4EAF"/>
    <w:rsid w:val="008C5176"/>
    <w:rsid w:val="008C7FD0"/>
    <w:rsid w:val="008D5D50"/>
    <w:rsid w:val="008E169D"/>
    <w:rsid w:val="008E1DE7"/>
    <w:rsid w:val="008E707C"/>
    <w:rsid w:val="00900B08"/>
    <w:rsid w:val="00902155"/>
    <w:rsid w:val="00902FA3"/>
    <w:rsid w:val="0091315B"/>
    <w:rsid w:val="00923564"/>
    <w:rsid w:val="0092392E"/>
    <w:rsid w:val="009315F9"/>
    <w:rsid w:val="00946945"/>
    <w:rsid w:val="00951248"/>
    <w:rsid w:val="0095152F"/>
    <w:rsid w:val="00954C49"/>
    <w:rsid w:val="009665E8"/>
    <w:rsid w:val="0097099F"/>
    <w:rsid w:val="00971997"/>
    <w:rsid w:val="00971FFC"/>
    <w:rsid w:val="0098660A"/>
    <w:rsid w:val="009931C3"/>
    <w:rsid w:val="009A75F2"/>
    <w:rsid w:val="009B2C43"/>
    <w:rsid w:val="009B4EAE"/>
    <w:rsid w:val="009B7573"/>
    <w:rsid w:val="009C22F4"/>
    <w:rsid w:val="009C2E98"/>
    <w:rsid w:val="009D3447"/>
    <w:rsid w:val="009D4711"/>
    <w:rsid w:val="009F1185"/>
    <w:rsid w:val="009F18CD"/>
    <w:rsid w:val="009F2A13"/>
    <w:rsid w:val="00A04EB0"/>
    <w:rsid w:val="00A13CC1"/>
    <w:rsid w:val="00A15238"/>
    <w:rsid w:val="00A16847"/>
    <w:rsid w:val="00A237D8"/>
    <w:rsid w:val="00A26142"/>
    <w:rsid w:val="00A268C4"/>
    <w:rsid w:val="00A307CD"/>
    <w:rsid w:val="00A36CA3"/>
    <w:rsid w:val="00A40A00"/>
    <w:rsid w:val="00A4142F"/>
    <w:rsid w:val="00A416B3"/>
    <w:rsid w:val="00A56DF2"/>
    <w:rsid w:val="00A67AB5"/>
    <w:rsid w:val="00A91760"/>
    <w:rsid w:val="00A93B00"/>
    <w:rsid w:val="00A93C21"/>
    <w:rsid w:val="00AC08BC"/>
    <w:rsid w:val="00AC3C6A"/>
    <w:rsid w:val="00AC5F43"/>
    <w:rsid w:val="00AD3274"/>
    <w:rsid w:val="00AD5620"/>
    <w:rsid w:val="00AD7C1B"/>
    <w:rsid w:val="00AE16BA"/>
    <w:rsid w:val="00AE1EBE"/>
    <w:rsid w:val="00AF0374"/>
    <w:rsid w:val="00AF5095"/>
    <w:rsid w:val="00B03C9D"/>
    <w:rsid w:val="00B060AE"/>
    <w:rsid w:val="00B10517"/>
    <w:rsid w:val="00B14E76"/>
    <w:rsid w:val="00B161B8"/>
    <w:rsid w:val="00B2048C"/>
    <w:rsid w:val="00B310B9"/>
    <w:rsid w:val="00B35F3F"/>
    <w:rsid w:val="00B36CBB"/>
    <w:rsid w:val="00B425E0"/>
    <w:rsid w:val="00B440AA"/>
    <w:rsid w:val="00B44B70"/>
    <w:rsid w:val="00B50B08"/>
    <w:rsid w:val="00B53C56"/>
    <w:rsid w:val="00B77EA6"/>
    <w:rsid w:val="00B81598"/>
    <w:rsid w:val="00B82C4A"/>
    <w:rsid w:val="00B841F1"/>
    <w:rsid w:val="00B85338"/>
    <w:rsid w:val="00B944D6"/>
    <w:rsid w:val="00BB4DF0"/>
    <w:rsid w:val="00BC289F"/>
    <w:rsid w:val="00BC5361"/>
    <w:rsid w:val="00BC5460"/>
    <w:rsid w:val="00BC6B50"/>
    <w:rsid w:val="00BD0E25"/>
    <w:rsid w:val="00BF5BD6"/>
    <w:rsid w:val="00BF7F2B"/>
    <w:rsid w:val="00C03E31"/>
    <w:rsid w:val="00C14569"/>
    <w:rsid w:val="00C33E72"/>
    <w:rsid w:val="00C354B2"/>
    <w:rsid w:val="00C35554"/>
    <w:rsid w:val="00C42709"/>
    <w:rsid w:val="00C533CC"/>
    <w:rsid w:val="00C5751C"/>
    <w:rsid w:val="00C61BFC"/>
    <w:rsid w:val="00C62B85"/>
    <w:rsid w:val="00C65438"/>
    <w:rsid w:val="00C73CB8"/>
    <w:rsid w:val="00C91CBB"/>
    <w:rsid w:val="00CB5A3A"/>
    <w:rsid w:val="00CC09B6"/>
    <w:rsid w:val="00CC666F"/>
    <w:rsid w:val="00CD1E3F"/>
    <w:rsid w:val="00CE44F6"/>
    <w:rsid w:val="00CE49DA"/>
    <w:rsid w:val="00CE6830"/>
    <w:rsid w:val="00CE7B61"/>
    <w:rsid w:val="00D00095"/>
    <w:rsid w:val="00D07936"/>
    <w:rsid w:val="00D20620"/>
    <w:rsid w:val="00D209A4"/>
    <w:rsid w:val="00D26091"/>
    <w:rsid w:val="00D26C14"/>
    <w:rsid w:val="00D34E7C"/>
    <w:rsid w:val="00D35489"/>
    <w:rsid w:val="00D51276"/>
    <w:rsid w:val="00D7035F"/>
    <w:rsid w:val="00D83BD1"/>
    <w:rsid w:val="00DA1390"/>
    <w:rsid w:val="00DA653E"/>
    <w:rsid w:val="00DA65AC"/>
    <w:rsid w:val="00DB1913"/>
    <w:rsid w:val="00DC410D"/>
    <w:rsid w:val="00DC68CA"/>
    <w:rsid w:val="00DC7CBA"/>
    <w:rsid w:val="00DD73B7"/>
    <w:rsid w:val="00DF02C4"/>
    <w:rsid w:val="00DF2170"/>
    <w:rsid w:val="00DF28BC"/>
    <w:rsid w:val="00DF34B9"/>
    <w:rsid w:val="00E01053"/>
    <w:rsid w:val="00E044E0"/>
    <w:rsid w:val="00E07ACF"/>
    <w:rsid w:val="00E331A1"/>
    <w:rsid w:val="00E33202"/>
    <w:rsid w:val="00E336A9"/>
    <w:rsid w:val="00E50624"/>
    <w:rsid w:val="00E568DF"/>
    <w:rsid w:val="00E64269"/>
    <w:rsid w:val="00E82267"/>
    <w:rsid w:val="00E95F6C"/>
    <w:rsid w:val="00EA010F"/>
    <w:rsid w:val="00ED1B63"/>
    <w:rsid w:val="00ED3C1F"/>
    <w:rsid w:val="00ED4085"/>
    <w:rsid w:val="00ED420E"/>
    <w:rsid w:val="00EE2F57"/>
    <w:rsid w:val="00EF4C34"/>
    <w:rsid w:val="00EF77C6"/>
    <w:rsid w:val="00F05438"/>
    <w:rsid w:val="00F1361C"/>
    <w:rsid w:val="00F160C7"/>
    <w:rsid w:val="00F229C2"/>
    <w:rsid w:val="00F36D8F"/>
    <w:rsid w:val="00F417B1"/>
    <w:rsid w:val="00F602DF"/>
    <w:rsid w:val="00F81FD9"/>
    <w:rsid w:val="00F841AA"/>
    <w:rsid w:val="00FA23E8"/>
    <w:rsid w:val="00FC52AC"/>
    <w:rsid w:val="00FD3CC1"/>
    <w:rsid w:val="00FF1E02"/>
    <w:rsid w:val="00FF30B4"/>
    <w:rsid w:val="10C055FF"/>
    <w:rsid w:val="16BB723D"/>
    <w:rsid w:val="240371BF"/>
    <w:rsid w:val="29FD04D3"/>
    <w:rsid w:val="319F7F4E"/>
    <w:rsid w:val="7E57678E"/>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uiPriority w:val="0"/>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link w:val="30"/>
    <w:uiPriority w:val="0"/>
    <w:rPr>
      <w:rFonts w:ascii="宋体" w:hAnsi="Courier New"/>
      <w:szCs w:val="22"/>
    </w:rPr>
  </w:style>
  <w:style w:type="paragraph" w:styleId="8">
    <w:name w:val="Balloon Text"/>
    <w:basedOn w:val="1"/>
    <w:link w:val="28"/>
    <w:semiHidden/>
    <w:unhideWhenUsed/>
    <w:uiPriority w:val="99"/>
    <w:rPr>
      <w:sz w:val="18"/>
      <w:szCs w:val="18"/>
    </w:rPr>
  </w:style>
  <w:style w:type="paragraph" w:styleId="9">
    <w:name w:val="footer"/>
    <w:basedOn w:val="1"/>
    <w:link w:val="20"/>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22"/>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locked/>
    <w:uiPriority w:val="99"/>
    <w:rPr>
      <w:sz w:val="18"/>
    </w:rPr>
  </w:style>
  <w:style w:type="character" w:customStyle="1" w:styleId="19">
    <w:name w:val="Footer Char"/>
    <w:basedOn w:val="14"/>
    <w:semiHidden/>
    <w:uiPriority w:val="99"/>
    <w:rPr>
      <w:rFonts w:ascii="Times New Roman" w:hAnsi="Times New Roman"/>
      <w:sz w:val="18"/>
      <w:szCs w:val="18"/>
    </w:rPr>
  </w:style>
  <w:style w:type="character" w:customStyle="1" w:styleId="20">
    <w:name w:val="页脚 Char"/>
    <w:link w:val="9"/>
    <w:locked/>
    <w:uiPriority w:val="99"/>
    <w:rPr>
      <w:sz w:val="18"/>
    </w:rPr>
  </w:style>
  <w:style w:type="character" w:customStyle="1" w:styleId="21">
    <w:name w:val="Body Text Char"/>
    <w:basedOn w:val="14"/>
    <w:semiHidden/>
    <w:uiPriority w:val="99"/>
    <w:rPr>
      <w:rFonts w:ascii="Times New Roman" w:hAnsi="Times New Roman"/>
      <w:szCs w:val="24"/>
    </w:rPr>
  </w:style>
  <w:style w:type="character" w:customStyle="1" w:styleId="22">
    <w:name w:val="正文文本 Char"/>
    <w:link w:val="5"/>
    <w:locked/>
    <w:uiPriority w:val="0"/>
    <w:rPr>
      <w:rFonts w:ascii="仿宋_GB2312" w:hAnsi="Times New Roman" w:eastAsia="仿宋_GB2312"/>
      <w:sz w:val="24"/>
    </w:rPr>
  </w:style>
  <w:style w:type="paragraph" w:customStyle="1" w:styleId="23">
    <w:name w:val="Defaul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2"/>
    <w:uiPriority w:val="9"/>
    <w:rPr>
      <w:rFonts w:ascii="Times New Roman" w:hAnsi="Times New Roman"/>
      <w:b/>
      <w:bCs/>
      <w:kern w:val="44"/>
      <w:sz w:val="44"/>
      <w:szCs w:val="44"/>
    </w:rPr>
  </w:style>
  <w:style w:type="character" w:customStyle="1" w:styleId="26">
    <w:name w:val="标题 2 Char"/>
    <w:basedOn w:val="14"/>
    <w:link w:val="3"/>
    <w:uiPriority w:val="9"/>
    <w:rPr>
      <w:rFonts w:asciiTheme="majorHAnsi" w:hAnsiTheme="majorHAnsi" w:eastAsiaTheme="majorEastAsia" w:cstheme="majorBidi"/>
      <w:b/>
      <w:bCs/>
      <w:kern w:val="2"/>
      <w:sz w:val="32"/>
      <w:szCs w:val="32"/>
    </w:rPr>
  </w:style>
  <w:style w:type="paragraph" w:customStyle="1" w:styleId="27">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uiPriority w:val="99"/>
    <w:rPr>
      <w:rFonts w:ascii="Times New Roman" w:hAnsi="Times New Roman"/>
      <w:kern w:val="2"/>
      <w:sz w:val="18"/>
      <w:szCs w:val="18"/>
    </w:rPr>
  </w:style>
  <w:style w:type="character" w:customStyle="1" w:styleId="29">
    <w:name w:val="标题 3 Char"/>
    <w:basedOn w:val="14"/>
    <w:link w:val="4"/>
    <w:qFormat/>
    <w:uiPriority w:val="9"/>
    <w:rPr>
      <w:rFonts w:ascii="Times New Roman" w:hAnsi="Times New Roman"/>
      <w:b/>
      <w:bCs/>
      <w:kern w:val="2"/>
      <w:sz w:val="32"/>
      <w:szCs w:val="32"/>
    </w:rPr>
  </w:style>
  <w:style w:type="character" w:customStyle="1" w:styleId="30">
    <w:name w:val="纯文本 Char"/>
    <w:basedOn w:val="14"/>
    <w:link w:val="7"/>
    <w:qFormat/>
    <w:uiPriority w:val="0"/>
    <w:rPr>
      <w:rFonts w:ascii="宋体" w:hAnsi="Courier New"/>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20F9C-7745-4D15-8089-C6D6F098B216}">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41</Pages>
  <Words>13695</Words>
  <Characters>14998</Characters>
  <Lines>147</Lines>
  <Paragraphs>41</Paragraphs>
  <TotalTime>4</TotalTime>
  <ScaleCrop>false</ScaleCrop>
  <LinksUpToDate>false</LinksUpToDate>
  <CharactersWithSpaces>15125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2020-10-20T07:18:00Z</dcterms:created>
  <dc:creator>张彬茜</dc:creator>
  <cp:lastModifiedBy>鹿噜噜儿</cp:lastModifiedBy>
  <cp:lastPrinted>2019-08-01T00:48:00Z</cp:lastPrinted>
  <dcterms:modified xsi:type="dcterms:W3CDTF">2023-08-29T08:11:28Z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AE6AEF5B4C4D4AE2A1FDE08CAEB0E703_12</vt:lpwstr>
  </property>
</Properties>
</file>