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ascii="仿宋_GB2312" w:hAnsi="仿宋_GB2312" w:eastAsia="仿宋_GB2312" w:cs="仿宋_GB2312"/>
          <w:color w:val="000000"/>
          <w:sz w:val="72"/>
          <w:szCs w:val="72"/>
        </w:rPr>
      </w:pPr>
      <w:bookmarkStart w:id="0" w:name="_Toc15306267"/>
    </w:p>
    <w:p>
      <w:pPr>
        <w:spacing w:line="600" w:lineRule="exact"/>
        <w:jc w:val="center"/>
        <w:outlineLvl w:val="0"/>
        <w:rPr>
          <w:rFonts w:hint="eastAsia" w:ascii="仿宋_GB2312" w:hAnsi="仿宋_GB2312" w:eastAsia="仿宋_GB2312" w:cs="仿宋_GB2312"/>
          <w:color w:val="000000"/>
          <w:sz w:val="72"/>
          <w:szCs w:val="72"/>
        </w:rPr>
      </w:pPr>
    </w:p>
    <w:p>
      <w:pPr>
        <w:spacing w:line="600" w:lineRule="exact"/>
        <w:jc w:val="center"/>
        <w:outlineLvl w:val="0"/>
        <w:rPr>
          <w:rFonts w:hint="eastAsia" w:ascii="仿宋_GB2312" w:hAnsi="仿宋_GB2312" w:eastAsia="仿宋_GB2312" w:cs="仿宋_GB2312"/>
          <w:color w:val="000000"/>
          <w:sz w:val="72"/>
          <w:szCs w:val="72"/>
        </w:rPr>
      </w:pPr>
    </w:p>
    <w:p>
      <w:pPr>
        <w:spacing w:line="600" w:lineRule="exact"/>
        <w:jc w:val="center"/>
        <w:outlineLvl w:val="0"/>
        <w:rPr>
          <w:rFonts w:hint="eastAsia" w:ascii="仿宋_GB2312" w:hAnsi="仿宋_GB2312" w:eastAsia="仿宋_GB2312" w:cs="仿宋_GB2312"/>
          <w:color w:val="000000"/>
          <w:sz w:val="72"/>
          <w:szCs w:val="72"/>
        </w:rPr>
      </w:pPr>
    </w:p>
    <w:p>
      <w:pPr>
        <w:adjustRightInd w:val="0"/>
        <w:snapToGrid w:val="0"/>
        <w:spacing w:line="360" w:lineRule="auto"/>
        <w:jc w:val="center"/>
        <w:outlineLvl w:val="0"/>
        <w:rPr>
          <w:rFonts w:hint="eastAsia" w:ascii="仿宋_GB2312" w:hAnsi="仿宋_GB2312" w:eastAsia="仿宋_GB2312" w:cs="仿宋_GB2312"/>
          <w:color w:val="000000"/>
          <w:sz w:val="72"/>
          <w:szCs w:val="72"/>
        </w:rPr>
      </w:pPr>
      <w:bookmarkStart w:id="1" w:name="_Toc15396597"/>
      <w:bookmarkStart w:id="2" w:name="_Toc15396475"/>
      <w:bookmarkStart w:id="3" w:name="_Toc15377425"/>
      <w:bookmarkStart w:id="4" w:name="_Toc15377193"/>
      <w:bookmarkStart w:id="5" w:name="_Toc52180062"/>
      <w:bookmarkStart w:id="6" w:name="_Toc15378441"/>
      <w:r>
        <w:rPr>
          <w:rFonts w:hint="eastAsia" w:ascii="仿宋_GB2312" w:hAnsi="仿宋_GB2312" w:eastAsia="仿宋_GB2312" w:cs="仿宋_GB2312"/>
          <w:color w:val="000000"/>
          <w:sz w:val="72"/>
          <w:szCs w:val="72"/>
        </w:rPr>
        <w:t>2019年度</w:t>
      </w:r>
      <w:bookmarkEnd w:id="1"/>
      <w:bookmarkEnd w:id="2"/>
      <w:bookmarkEnd w:id="3"/>
      <w:bookmarkEnd w:id="4"/>
      <w:bookmarkEnd w:id="5"/>
      <w:bookmarkEnd w:id="6"/>
    </w:p>
    <w:p>
      <w:pPr>
        <w:adjustRightInd w:val="0"/>
        <w:snapToGrid w:val="0"/>
        <w:spacing w:line="360" w:lineRule="auto"/>
        <w:jc w:val="center"/>
        <w:outlineLvl w:val="0"/>
        <w:rPr>
          <w:rFonts w:hint="eastAsia" w:ascii="仿宋_GB2312" w:hAnsi="仿宋_GB2312" w:eastAsia="仿宋_GB2312" w:cs="仿宋_GB2312"/>
          <w:color w:val="000000"/>
          <w:sz w:val="72"/>
          <w:szCs w:val="72"/>
        </w:rPr>
      </w:pPr>
      <w:bookmarkStart w:id="7" w:name="_Toc52180063"/>
      <w:bookmarkStart w:id="8" w:name="_Toc15377194"/>
      <w:bookmarkStart w:id="9" w:name="_Toc15377426"/>
      <w:bookmarkStart w:id="10" w:name="_Toc15378442"/>
      <w:bookmarkStart w:id="11" w:name="_Toc15396476"/>
      <w:bookmarkStart w:id="12" w:name="_Toc15396598"/>
      <w:r>
        <w:rPr>
          <w:rFonts w:hint="eastAsia" w:ascii="仿宋_GB2312" w:hAnsi="仿宋_GB2312" w:eastAsia="仿宋_GB2312" w:cs="仿宋_GB2312"/>
          <w:color w:val="000000"/>
          <w:sz w:val="72"/>
          <w:szCs w:val="72"/>
        </w:rPr>
        <w:t>盐边县</w:t>
      </w:r>
      <w:bookmarkEnd w:id="0"/>
      <w:bookmarkStart w:id="13" w:name="_Toc15306268"/>
      <w:r>
        <w:rPr>
          <w:rFonts w:hint="eastAsia" w:ascii="仿宋_GB2312" w:hAnsi="仿宋_GB2312" w:eastAsia="仿宋_GB2312" w:cs="仿宋_GB2312"/>
          <w:color w:val="000000"/>
          <w:sz w:val="72"/>
          <w:szCs w:val="72"/>
        </w:rPr>
        <w:t>温泉乡人民政府</w:t>
      </w:r>
    </w:p>
    <w:p>
      <w:pPr>
        <w:adjustRightInd w:val="0"/>
        <w:snapToGrid w:val="0"/>
        <w:spacing w:line="360" w:lineRule="auto"/>
        <w:jc w:val="center"/>
        <w:outlineLvl w:val="0"/>
        <w:rPr>
          <w:rFonts w:hint="eastAsia" w:ascii="仿宋_GB2312" w:hAnsi="仿宋_GB2312" w:eastAsia="仿宋_GB2312" w:cs="仿宋_GB2312"/>
          <w:color w:val="000000"/>
          <w:sz w:val="72"/>
          <w:szCs w:val="72"/>
        </w:rPr>
      </w:pPr>
      <w:r>
        <w:rPr>
          <w:rFonts w:hint="eastAsia" w:ascii="仿宋_GB2312" w:hAnsi="仿宋_GB2312" w:eastAsia="仿宋_GB2312" w:cs="仿宋_GB2312"/>
          <w:color w:val="000000"/>
          <w:sz w:val="72"/>
          <w:szCs w:val="72"/>
        </w:rPr>
        <w:t>部门决算</w:t>
      </w:r>
      <w:bookmarkEnd w:id="7"/>
      <w:bookmarkEnd w:id="8"/>
      <w:bookmarkEnd w:id="9"/>
      <w:bookmarkEnd w:id="10"/>
      <w:bookmarkEnd w:id="11"/>
      <w:bookmarkEnd w:id="12"/>
      <w:bookmarkEnd w:id="13"/>
    </w:p>
    <w:p>
      <w:pPr>
        <w:widowControl/>
        <w:jc w:val="center"/>
        <w:rPr>
          <w:rFonts w:hint="eastAsia" w:ascii="仿宋_GB2312" w:hAnsi="仿宋_GB2312" w:eastAsia="仿宋_GB2312" w:cs="仿宋_GB2312"/>
          <w:color w:val="000000"/>
          <w:sz w:val="48"/>
          <w:szCs w:val="48"/>
        </w:rPr>
      </w:pPr>
      <w:r>
        <w:rPr>
          <w:rFonts w:hint="eastAsia" w:ascii="仿宋_GB2312" w:hAnsi="仿宋_GB2312" w:eastAsia="仿宋_GB2312" w:cs="仿宋_GB2312"/>
          <w:color w:val="000000"/>
          <w:sz w:val="36"/>
          <w:szCs w:val="36"/>
        </w:rPr>
        <w:br w:type="page"/>
      </w:r>
      <w:r>
        <w:rPr>
          <w:rFonts w:hint="eastAsia" w:ascii="仿宋_GB2312" w:hAnsi="仿宋_GB2312" w:eastAsia="仿宋_GB2312" w:cs="仿宋_GB2312"/>
          <w:color w:val="000000"/>
          <w:sz w:val="48"/>
          <w:szCs w:val="48"/>
        </w:rPr>
        <w:t>目录</w:t>
      </w:r>
    </w:p>
    <w:p>
      <w:pPr>
        <w:widowControl/>
        <w:jc w:val="center"/>
        <w:rPr>
          <w:rFonts w:hint="eastAsia" w:ascii="仿宋_GB2312" w:hAnsi="仿宋_GB2312" w:eastAsia="仿宋_GB2312" w:cs="仿宋_GB2312"/>
          <w:sz w:val="28"/>
          <w:szCs w:val="28"/>
        </w:rPr>
      </w:pPr>
    </w:p>
    <w:p>
      <w:pPr>
        <w:pStyle w:val="11"/>
        <w:rPr>
          <w:rFonts w:hint="eastAsia" w:ascii="仿宋_GB2312" w:hAnsi="仿宋_GB2312" w:eastAsia="仿宋_GB2312" w:cs="仿宋_GB2312"/>
        </w:rPr>
      </w:pPr>
      <w:r>
        <w:rPr>
          <w:rFonts w:hint="eastAsia" w:ascii="仿宋_GB2312" w:hAnsi="仿宋_GB2312" w:eastAsia="仿宋_GB2312" w:cs="仿宋_GB2312"/>
        </w:rPr>
        <w:t>公开时间：2020年</w:t>
      </w:r>
      <w:r>
        <w:rPr>
          <w:rFonts w:hint="eastAsia" w:ascii="仿宋_GB2312" w:hAnsi="仿宋_GB2312" w:eastAsia="仿宋_GB2312" w:cs="仿宋_GB2312"/>
          <w:lang w:val="en-US" w:eastAsia="zh-CN"/>
        </w:rPr>
        <w:t>4</w:t>
      </w:r>
      <w:r>
        <w:rPr>
          <w:rFonts w:hint="eastAsia" w:ascii="仿宋_GB2312" w:hAnsi="仿宋_GB2312" w:eastAsia="仿宋_GB2312" w:cs="仿宋_GB2312"/>
        </w:rPr>
        <w:t>月23日</w:t>
      </w:r>
    </w:p>
    <w:p>
      <w:pPr>
        <w:pStyle w:val="21"/>
        <w:spacing w:before="0" w:line="240" w:lineRule="auto"/>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TOC \o "1-3" \h \z \u </w:instrText>
      </w:r>
      <w:r>
        <w:rPr>
          <w:rFonts w:hint="eastAsia" w:ascii="仿宋_GB2312" w:hAnsi="仿宋_GB2312" w:eastAsia="仿宋_GB2312" w:cs="仿宋_GB2312"/>
        </w:rPr>
        <w:fldChar w:fldCharType="separate"/>
      </w:r>
    </w:p>
    <w:p>
      <w:pPr>
        <w:pStyle w:val="11"/>
        <w:rPr>
          <w:rFonts w:hint="eastAsia" w:ascii="仿宋_GB2312" w:hAnsi="仿宋_GB2312" w:eastAsia="仿宋_GB2312" w:cs="仿宋_GB2312"/>
          <w:sz w:val="21"/>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"_Toc52180065"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第一部分部门概况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_Toc52180065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"_Toc52180066"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一、基本职能及主要工作</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_Toc52180066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"_Toc52180067"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rPr>
        <w:t>（一）主要职能。（职能参照县政府批准的三定方案）</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_Toc52180067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4</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"_Toc52180068"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rPr>
        <w:t>（二）2019年重点工作完成情况。</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"_Toc52180069"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二、机构设置</w:t>
      </w:r>
      <w:r>
        <w:rPr>
          <w:rFonts w:hint="eastAsia" w:ascii="仿宋_GB2312" w:hAnsi="仿宋_GB2312" w:eastAsia="仿宋_GB2312" w:cs="仿宋_GB2312"/>
        </w:rPr>
        <w:tab/>
      </w:r>
      <w:r>
        <w:rPr>
          <w:rFonts w:hint="eastAsia" w:ascii="仿宋_GB2312" w:hAnsi="仿宋_GB2312" w:eastAsia="仿宋_GB2312" w:cs="仿宋_GB2312"/>
          <w:lang w:val="en-US" w:eastAsia="zh-CN"/>
        </w:rPr>
        <w:t>5</w:t>
      </w:r>
      <w:r>
        <w:rPr>
          <w:rFonts w:hint="eastAsia" w:ascii="仿宋_GB2312" w:hAnsi="仿宋_GB2312" w:eastAsia="仿宋_GB2312" w:cs="仿宋_GB2312"/>
        </w:rPr>
        <w:fldChar w:fldCharType="end"/>
      </w:r>
    </w:p>
    <w:p>
      <w:pPr>
        <w:pStyle w:val="6"/>
        <w:tabs>
          <w:tab w:val="left" w:pos="1470"/>
        </w:tabs>
        <w:rPr>
          <w:rFonts w:hint="eastAsia" w:ascii="仿宋_GB2312" w:hAnsi="仿宋_GB2312" w:eastAsia="仿宋_GB2312" w:cs="仿宋_GB2312"/>
          <w:szCs w:val="22"/>
        </w:rPr>
      </w:pPr>
    </w:p>
    <w:p>
      <w:pPr>
        <w:pStyle w:val="11"/>
        <w:rPr>
          <w:rFonts w:hint="eastAsia" w:ascii="仿宋_GB2312" w:hAnsi="仿宋_GB2312" w:eastAsia="仿宋_GB2312" w:cs="仿宋_GB2312"/>
          <w:sz w:val="21"/>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"_Toc52180073"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第二部分 2019年度部门决算情况说明</w:t>
      </w:r>
      <w:r>
        <w:rPr>
          <w:rFonts w:hint="eastAsia" w:ascii="仿宋_GB2312" w:hAnsi="仿宋_GB2312" w:eastAsia="仿宋_GB2312" w:cs="仿宋_GB2312"/>
        </w:rPr>
        <w:tab/>
      </w:r>
      <w:r>
        <w:rPr>
          <w:rFonts w:hint="eastAsia" w:ascii="仿宋_GB2312" w:hAnsi="仿宋_GB2312" w:eastAsia="仿宋_GB2312" w:cs="仿宋_GB2312"/>
          <w:lang w:val="en-US" w:eastAsia="zh-CN"/>
        </w:rPr>
        <w:t>5</w:t>
      </w:r>
      <w:r>
        <w:rPr>
          <w:rFonts w:hint="eastAsia" w:ascii="仿宋_GB2312" w:hAnsi="仿宋_GB2312" w:eastAsia="仿宋_GB2312" w:cs="仿宋_GB2312"/>
        </w:rPr>
        <w:fldChar w:fldCharType="end"/>
      </w:r>
    </w:p>
    <w:p>
      <w:pPr>
        <w:pStyle w:val="12"/>
        <w:tabs>
          <w:tab w:val="left" w:pos="1260"/>
        </w:tabs>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"_Toc52180074"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rPr>
        <w:t>一、</w:t>
      </w:r>
      <w:r>
        <w:rPr>
          <w:rFonts w:hint="eastAsia" w:ascii="仿宋_GB2312" w:hAnsi="仿宋_GB2312" w:eastAsia="仿宋_GB2312" w:cs="仿宋_GB2312"/>
          <w:szCs w:val="22"/>
        </w:rPr>
        <w:tab/>
      </w:r>
      <w:r>
        <w:rPr>
          <w:rStyle w:val="17"/>
          <w:rFonts w:hint="eastAsia" w:ascii="仿宋_GB2312" w:hAnsi="仿宋_GB2312" w:eastAsia="仿宋_GB2312" w:cs="仿宋_GB2312"/>
        </w:rPr>
        <w:t>收</w:t>
      </w:r>
      <w:r>
        <w:rPr>
          <w:rStyle w:val="17"/>
          <w:rFonts w:hint="eastAsia" w:ascii="仿宋_GB2312" w:hAnsi="仿宋_GB2312" w:eastAsia="仿宋_GB2312" w:cs="仿宋_GB2312"/>
          <w:bCs/>
        </w:rPr>
        <w:t>入支出决算总体情况说明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_Toc52180074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tabs>
          <w:tab w:val="left" w:pos="1260"/>
        </w:tabs>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"_Toc52180075"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rPr>
        <w:t>二、</w:t>
      </w:r>
      <w:r>
        <w:rPr>
          <w:rFonts w:hint="eastAsia" w:ascii="仿宋_GB2312" w:hAnsi="仿宋_GB2312" w:eastAsia="仿宋_GB2312" w:cs="仿宋_GB2312"/>
          <w:szCs w:val="22"/>
        </w:rPr>
        <w:tab/>
      </w:r>
      <w:r>
        <w:rPr>
          <w:rStyle w:val="17"/>
          <w:rFonts w:hint="eastAsia" w:ascii="仿宋_GB2312" w:hAnsi="仿宋_GB2312" w:eastAsia="仿宋_GB2312" w:cs="仿宋_GB2312"/>
        </w:rPr>
        <w:t>收</w:t>
      </w:r>
      <w:r>
        <w:rPr>
          <w:rStyle w:val="17"/>
          <w:rFonts w:hint="eastAsia" w:ascii="仿宋_GB2312" w:hAnsi="仿宋_GB2312" w:eastAsia="仿宋_GB2312" w:cs="仿宋_GB2312"/>
          <w:bCs/>
        </w:rPr>
        <w:t>入决算情况说明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_Toc52180075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tabs>
          <w:tab w:val="left" w:pos="1260"/>
        </w:tabs>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"_Toc52180077"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rPr>
        <w:t>三、</w:t>
      </w:r>
      <w:r>
        <w:rPr>
          <w:rFonts w:hint="eastAsia" w:ascii="仿宋_GB2312" w:hAnsi="仿宋_GB2312" w:eastAsia="仿宋_GB2312" w:cs="仿宋_GB2312"/>
          <w:szCs w:val="22"/>
        </w:rPr>
        <w:tab/>
      </w:r>
      <w:r>
        <w:rPr>
          <w:rStyle w:val="17"/>
          <w:rFonts w:hint="eastAsia" w:ascii="仿宋_GB2312" w:hAnsi="仿宋_GB2312" w:eastAsia="仿宋_GB2312" w:cs="仿宋_GB2312"/>
        </w:rPr>
        <w:t>支</w:t>
      </w:r>
      <w:r>
        <w:rPr>
          <w:rStyle w:val="17"/>
          <w:rFonts w:hint="eastAsia" w:ascii="仿宋_GB2312" w:hAnsi="仿宋_GB2312" w:eastAsia="仿宋_GB2312" w:cs="仿宋_GB2312"/>
          <w:bCs/>
        </w:rPr>
        <w:t>出决算情况说明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_Toc52180077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"_Toc52180079"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四、财</w:t>
      </w:r>
      <w:r>
        <w:rPr>
          <w:rStyle w:val="17"/>
          <w:rFonts w:hint="eastAsia" w:ascii="仿宋_GB2312" w:hAnsi="仿宋_GB2312" w:eastAsia="仿宋_GB2312" w:cs="仿宋_GB2312"/>
          <w:bCs/>
        </w:rPr>
        <w:t>政拨款收入支出决算总体情况说明</w:t>
      </w:r>
      <w:r>
        <w:rPr>
          <w:rFonts w:hint="eastAsia" w:ascii="仿宋_GB2312" w:hAnsi="仿宋_GB2312" w:eastAsia="仿宋_GB2312" w:cs="仿宋_GB2312"/>
        </w:rPr>
        <w:tab/>
      </w:r>
      <w:r>
        <w:rPr>
          <w:rFonts w:hint="eastAsia" w:ascii="仿宋_GB2312" w:hAnsi="仿宋_GB2312" w:eastAsia="仿宋_GB2312" w:cs="仿宋_GB2312"/>
          <w:lang w:val="en-US" w:eastAsia="zh-CN"/>
        </w:rPr>
        <w:t>5</w:t>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"_Toc52180080"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五、</w:t>
      </w:r>
      <w:r>
        <w:rPr>
          <w:rStyle w:val="17"/>
          <w:rFonts w:hint="eastAsia" w:ascii="仿宋_GB2312" w:hAnsi="仿宋_GB2312" w:eastAsia="仿宋_GB2312" w:cs="仿宋_GB2312"/>
          <w:b/>
        </w:rPr>
        <w:t>一</w:t>
      </w:r>
      <w:r>
        <w:rPr>
          <w:rStyle w:val="17"/>
          <w:rFonts w:hint="eastAsia" w:ascii="仿宋_GB2312" w:hAnsi="仿宋_GB2312" w:eastAsia="仿宋_GB2312" w:cs="仿宋_GB2312"/>
          <w:bCs/>
        </w:rPr>
        <w:t>般公共预算财政拨款支出决算情况说明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6</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"_Toc52180081"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（一）一般公共预算财政拨款支出决算总体情况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6</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"_Toc52180082"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（二）一般公共预算财政拨款支出决算结构情况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6</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"_Toc52180083"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（三）一般公共预算财政拨款支出决算具体情况</w:t>
      </w:r>
      <w:r>
        <w:rPr>
          <w:rFonts w:hint="eastAsia" w:ascii="仿宋_GB2312" w:hAnsi="仿宋_GB2312" w:eastAsia="仿宋_GB2312" w:cs="仿宋_GB2312"/>
        </w:rPr>
        <w:tab/>
      </w:r>
      <w:r>
        <w:rPr>
          <w:rFonts w:hint="eastAsia" w:ascii="仿宋_GB2312" w:hAnsi="仿宋_GB2312" w:eastAsia="仿宋_GB2312" w:cs="仿宋_GB2312"/>
          <w:lang w:val="en-US" w:eastAsia="zh-CN"/>
        </w:rPr>
        <w:t>6</w:t>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"_Toc52180085"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六</w:t>
      </w:r>
      <w:r>
        <w:rPr>
          <w:rStyle w:val="17"/>
          <w:rFonts w:hint="eastAsia" w:ascii="仿宋_GB2312" w:hAnsi="仿宋_GB2312" w:eastAsia="仿宋_GB2312" w:cs="仿宋_GB2312"/>
          <w:b/>
        </w:rPr>
        <w:t>、一</w:t>
      </w:r>
      <w:r>
        <w:rPr>
          <w:rStyle w:val="17"/>
          <w:rFonts w:hint="eastAsia" w:ascii="仿宋_GB2312" w:hAnsi="仿宋_GB2312" w:eastAsia="仿宋_GB2312" w:cs="仿宋_GB2312"/>
          <w:bCs/>
        </w:rPr>
        <w:t>般公共预算财政拨款基本支出决算情况说明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8</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"_Toc52180086"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七、</w:t>
      </w:r>
      <w:r>
        <w:rPr>
          <w:rStyle w:val="17"/>
          <w:rFonts w:hint="eastAsia" w:ascii="仿宋_GB2312" w:hAnsi="仿宋_GB2312" w:eastAsia="仿宋_GB2312" w:cs="仿宋_GB2312"/>
          <w:b/>
          <w:bCs/>
        </w:rPr>
        <w:t>“</w:t>
      </w:r>
      <w:r>
        <w:rPr>
          <w:rStyle w:val="17"/>
          <w:rFonts w:hint="eastAsia" w:ascii="仿宋_GB2312" w:hAnsi="仿宋_GB2312" w:eastAsia="仿宋_GB2312" w:cs="仿宋_GB2312"/>
          <w:bCs/>
        </w:rPr>
        <w:t>三公”经费财政拨款支出决算情况说明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_Toc52180086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"_Toc52180087"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（一）“三公”经费财政拨款支出决算总体情况说明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_Toc52180087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"_Toc52180088"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（二）“三公”经费财政拨款支出决算具体情况说明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_Toc52180088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"_Toc52180089"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八、</w:t>
      </w:r>
      <w:r>
        <w:rPr>
          <w:rStyle w:val="17"/>
          <w:rFonts w:hint="eastAsia" w:ascii="仿宋_GB2312" w:hAnsi="仿宋_GB2312" w:eastAsia="仿宋_GB2312" w:cs="仿宋_GB2312"/>
          <w:bCs/>
        </w:rPr>
        <w:t>政府性基金预算支出决算情况说明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_Toc52180089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"_Toc52180090"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rPr>
        <w:t>九、 国有资本经营预算支出决算情况说明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_Toc52180090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"_Toc52180091"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十</w:t>
      </w:r>
      <w:r>
        <w:rPr>
          <w:rStyle w:val="17"/>
          <w:rFonts w:hint="eastAsia" w:ascii="仿宋_GB2312" w:hAnsi="仿宋_GB2312" w:eastAsia="仿宋_GB2312" w:cs="仿宋_GB2312"/>
          <w:b/>
          <w:bCs/>
        </w:rPr>
        <w:t>、</w:t>
      </w:r>
      <w:r>
        <w:rPr>
          <w:rStyle w:val="17"/>
          <w:rFonts w:hint="eastAsia" w:ascii="仿宋_GB2312" w:hAnsi="仿宋_GB2312" w:eastAsia="仿宋_GB2312" w:cs="仿宋_GB2312"/>
          <w:bCs/>
        </w:rPr>
        <w:t>其他重要事项的情况说明</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_Toc52180091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"_Toc52180092"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（一）机关运行经费支出情况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_Toc52180092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"_Toc52180093"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（二）政府采购支出情况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_Toc52180093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"_Toc52180094"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（三）国有资产占有使用情况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_Toc52180094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6"/>
        <w:rPr>
          <w:rFonts w:hint="eastAsia" w:ascii="仿宋_GB2312" w:hAnsi="仿宋_GB2312" w:eastAsia="仿宋_GB2312" w:cs="仿宋_GB2312"/>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"_Toc52180095"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
        </w:rPr>
        <w:t>（四）预算绩效管理情况。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_Toc52180095 \h </w:instrText>
      </w:r>
      <w:r>
        <w:rPr>
          <w:rFonts w:hint="eastAsia" w:ascii="仿宋_GB2312" w:hAnsi="仿宋_GB2312" w:eastAsia="仿宋_GB2312" w:cs="仿宋_GB2312"/>
        </w:rPr>
        <w:fldChar w:fldCharType="separate"/>
      </w:r>
      <w:r>
        <w:rPr>
          <w:rFonts w:hint="eastAsia" w:ascii="仿宋_GB2312" w:hAnsi="仿宋_GB2312" w:eastAsia="仿宋_GB2312" w:cs="仿宋_GB2312"/>
        </w:rPr>
        <w:t>11</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1"/>
        <w:rPr>
          <w:rFonts w:hint="eastAsia" w:ascii="仿宋_GB2312" w:hAnsi="仿宋_GB2312" w:eastAsia="仿宋_GB2312" w:cs="仿宋_GB2312"/>
          <w:sz w:val="21"/>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"_Toc52180096"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bCs/>
          <w:kern w:val="44"/>
        </w:rPr>
        <w:t>第三部分</w:t>
      </w:r>
      <w:r>
        <w:rPr>
          <w:rStyle w:val="17"/>
          <w:rFonts w:hint="eastAsia" w:ascii="仿宋_GB2312" w:hAnsi="仿宋_GB2312" w:eastAsia="仿宋_GB2312" w:cs="仿宋_GB2312"/>
        </w:rPr>
        <w:t xml:space="preserve"> 名</w:t>
      </w:r>
      <w:r>
        <w:rPr>
          <w:rStyle w:val="17"/>
          <w:rFonts w:hint="eastAsia" w:ascii="仿宋_GB2312" w:hAnsi="仿宋_GB2312" w:eastAsia="仿宋_GB2312" w:cs="仿宋_GB2312"/>
          <w:bCs/>
          <w:kern w:val="44"/>
        </w:rPr>
        <w:t>词解释</w:t>
      </w:r>
      <w:r>
        <w:rPr>
          <w:rFonts w:hint="eastAsia" w:ascii="仿宋_GB2312" w:hAnsi="仿宋_GB2312" w:eastAsia="仿宋_GB2312" w:cs="仿宋_GB2312"/>
        </w:rPr>
        <w:tab/>
      </w:r>
      <w:r>
        <w:rPr>
          <w:rFonts w:hint="eastAsia" w:ascii="仿宋_GB2312" w:hAnsi="仿宋_GB2312" w:eastAsia="仿宋_GB2312" w:cs="仿宋_GB2312"/>
          <w:lang w:val="en-US" w:eastAsia="zh-CN"/>
        </w:rPr>
        <w:t>2</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1"/>
        <w:rPr>
          <w:rFonts w:hint="eastAsia" w:ascii="仿宋_GB2312" w:hAnsi="仿宋_GB2312" w:eastAsia="仿宋_GB2312" w:cs="仿宋_GB2312"/>
          <w:sz w:val="21"/>
          <w:szCs w:val="2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"_Toc52180097"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第</w:t>
      </w:r>
      <w:r>
        <w:rPr>
          <w:rStyle w:val="17"/>
          <w:rFonts w:hint="eastAsia" w:ascii="仿宋_GB2312" w:hAnsi="仿宋_GB2312" w:eastAsia="仿宋_GB2312" w:cs="仿宋_GB2312"/>
          <w:bCs/>
          <w:kern w:val="44"/>
        </w:rPr>
        <w:t>四部分附件</w:t>
      </w:r>
      <w:r>
        <w:rPr>
          <w:rFonts w:hint="eastAsia" w:ascii="仿宋_GB2312" w:hAnsi="仿宋_GB2312" w:eastAsia="仿宋_GB2312" w:cs="仿宋_GB2312"/>
        </w:rPr>
        <w:tab/>
      </w:r>
      <w:r>
        <w:rPr>
          <w:rFonts w:hint="eastAsia" w:ascii="仿宋_GB2312" w:hAnsi="仿宋_GB2312" w:eastAsia="仿宋_GB2312" w:cs="仿宋_GB2312"/>
        </w:rPr>
        <w:t>2</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7</w:t>
      </w:r>
    </w:p>
    <w:p>
      <w:pPr>
        <w:pStyle w:val="11"/>
        <w:rPr>
          <w:rFonts w:hint="eastAsia" w:ascii="仿宋_GB2312" w:hAnsi="仿宋_GB2312" w:eastAsia="仿宋_GB2312" w:cs="仿宋_GB2312"/>
          <w:sz w:val="21"/>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"_Toc52180099"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第</w:t>
      </w:r>
      <w:r>
        <w:rPr>
          <w:rStyle w:val="17"/>
          <w:rFonts w:hint="eastAsia" w:ascii="仿宋_GB2312" w:hAnsi="仿宋_GB2312" w:eastAsia="仿宋_GB2312" w:cs="仿宋_GB2312"/>
          <w:bCs/>
          <w:kern w:val="44"/>
        </w:rPr>
        <w:t>五部分附表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"_Toc52180100"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一、收入支出决算总表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"_Toc52180101"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二、收入决算表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"_Toc52180102"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三、支出决算表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"_Toc52180103"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四、财政拨款收入支出决算总表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"_Toc52180104"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五、财政拨款支出决算明细表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"_Toc52180105"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六、一般公共预算财政拨款支出决算表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"_Toc52180106"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七、一般公共预算财政拨款支出决算明细表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"_Toc52180107"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八、一般公共预算财政拨款基本支出决算表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"_Toc52180108"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九、一般公共预算财政拨款项目支出决算表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"_Toc52180109"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十、一般公共预算财政拨款“三公”经费支出决算表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"_Toc52180110"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十一、政府性基金预算财政拨款收入支出决算表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"_Toc52180111"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十二、政府性基金预算财政拨款“三公”经费支出决算表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pStyle w:val="12"/>
        <w:rPr>
          <w:rFonts w:hint="eastAsia" w:ascii="仿宋_GB2312" w:hAnsi="仿宋_GB2312" w:eastAsia="仿宋_GB2312" w:cs="仿宋_GB2312"/>
          <w:szCs w:val="22"/>
          <w:lang w:val="en-US" w:eastAsia="zh-CN"/>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\l "_Toc52180112" </w:instrText>
      </w:r>
      <w:r>
        <w:rPr>
          <w:rFonts w:hint="eastAsia" w:ascii="仿宋_GB2312" w:hAnsi="仿宋_GB2312" w:eastAsia="仿宋_GB2312" w:cs="仿宋_GB2312"/>
        </w:rPr>
        <w:fldChar w:fldCharType="separate"/>
      </w:r>
      <w:r>
        <w:rPr>
          <w:rStyle w:val="17"/>
          <w:rFonts w:hint="eastAsia" w:ascii="仿宋_GB2312" w:hAnsi="仿宋_GB2312" w:eastAsia="仿宋_GB2312" w:cs="仿宋_GB2312"/>
        </w:rPr>
        <w:t>十三、国有资本经营预算支出决算表</w:t>
      </w:r>
      <w:r>
        <w:rPr>
          <w:rFonts w:hint="eastAsia" w:ascii="仿宋_GB2312" w:hAnsi="仿宋_GB2312" w:eastAsia="仿宋_GB2312" w:cs="仿宋_GB2312"/>
        </w:rPr>
        <w:tab/>
      </w:r>
      <w:r>
        <w:rPr>
          <w:rFonts w:hint="eastAsia" w:ascii="仿宋_GB2312" w:hAnsi="仿宋_GB2312" w:eastAsia="仿宋_GB2312" w:cs="仿宋_GB2312"/>
          <w:lang w:val="en-US" w:eastAsia="zh-CN"/>
        </w:rPr>
        <w:t>4</w:t>
      </w:r>
      <w:r>
        <w:rPr>
          <w:rFonts w:hint="eastAsia" w:ascii="仿宋_GB2312" w:hAnsi="仿宋_GB2312" w:eastAsia="仿宋_GB2312" w:cs="仿宋_GB2312"/>
        </w:rPr>
        <w:fldChar w:fldCharType="end"/>
      </w:r>
      <w:r>
        <w:rPr>
          <w:rFonts w:hint="eastAsia" w:ascii="仿宋_GB2312" w:hAnsi="仿宋_GB2312" w:eastAsia="仿宋_GB2312" w:cs="仿宋_GB2312"/>
          <w:lang w:val="en-US" w:eastAsia="zh-CN"/>
        </w:rPr>
        <w:t>3</w:t>
      </w:r>
    </w:p>
    <w:p>
      <w:pPr>
        <w:rPr>
          <w:rFonts w:hint="eastAsia" w:ascii="仿宋_GB2312" w:hAnsi="仿宋_GB2312" w:eastAsia="仿宋_GB2312" w:cs="仿宋_GB2312"/>
        </w:rPr>
      </w:pPr>
      <w:r>
        <w:rPr>
          <w:rFonts w:hint="eastAsia" w:ascii="仿宋_GB2312" w:hAnsi="仿宋_GB2312" w:eastAsia="仿宋_GB2312" w:cs="仿宋_GB2312"/>
        </w:rPr>
        <w:fldChar w:fldCharType="end"/>
      </w:r>
    </w:p>
    <w:p>
      <w:pPr>
        <w:widowControl/>
        <w:spacing w:line="440" w:lineRule="exact"/>
        <w:jc w:val="left"/>
        <w:rPr>
          <w:rFonts w:hint="eastAsia" w:ascii="仿宋_GB2312" w:hAnsi="仿宋_GB2312" w:eastAsia="仿宋_GB2312" w:cs="仿宋_GB2312"/>
          <w:bCs/>
          <w:kern w:val="44"/>
          <w:sz w:val="24"/>
        </w:rPr>
      </w:pPr>
      <w:bookmarkStart w:id="14" w:name="_Toc15396599"/>
      <w:bookmarkStart w:id="15" w:name="_Toc15377196"/>
      <w:r>
        <w:rPr>
          <w:rFonts w:hint="eastAsia" w:ascii="仿宋_GB2312" w:hAnsi="仿宋_GB2312" w:eastAsia="仿宋_GB2312" w:cs="仿宋_GB2312"/>
          <w:b/>
          <w:sz w:val="24"/>
        </w:rPr>
        <w:br w:type="page"/>
      </w:r>
    </w:p>
    <w:p>
      <w:pPr>
        <w:pStyle w:val="2"/>
        <w:jc w:val="center"/>
        <w:rPr>
          <w:rStyle w:val="28"/>
          <w:rFonts w:hint="eastAsia" w:ascii="仿宋_GB2312" w:hAnsi="仿宋_GB2312" w:eastAsia="仿宋_GB2312" w:cs="仿宋_GB2312"/>
          <w:b/>
          <w:bCs w:val="0"/>
        </w:rPr>
      </w:pPr>
      <w:bookmarkStart w:id="16" w:name="_Toc52180065"/>
      <w:r>
        <w:rPr>
          <w:rFonts w:hint="eastAsia" w:ascii="仿宋_GB2312" w:hAnsi="仿宋_GB2312" w:eastAsia="仿宋_GB2312" w:cs="仿宋_GB2312"/>
          <w:b w:val="0"/>
        </w:rPr>
        <w:t xml:space="preserve">第一部分 </w:t>
      </w:r>
      <w:r>
        <w:rPr>
          <w:rStyle w:val="28"/>
          <w:rFonts w:hint="eastAsia" w:ascii="仿宋_GB2312" w:hAnsi="仿宋_GB2312" w:eastAsia="仿宋_GB2312" w:cs="仿宋_GB2312"/>
          <w:b w:val="0"/>
          <w:bCs w:val="0"/>
        </w:rPr>
        <w:t>部门概况</w:t>
      </w:r>
      <w:bookmarkEnd w:id="14"/>
      <w:bookmarkEnd w:id="15"/>
      <w:bookmarkEnd w:id="16"/>
    </w:p>
    <w:p>
      <w:pPr>
        <w:widowControl/>
        <w:jc w:val="left"/>
        <w:rPr>
          <w:rFonts w:hint="eastAsia" w:ascii="仿宋_GB2312" w:hAnsi="仿宋_GB2312" w:eastAsia="仿宋_GB2312" w:cs="仿宋_GB2312"/>
          <w:color w:val="000000"/>
          <w:sz w:val="32"/>
          <w:szCs w:val="32"/>
        </w:rPr>
      </w:pPr>
    </w:p>
    <w:p>
      <w:pPr>
        <w:pStyle w:val="3"/>
        <w:rPr>
          <w:rStyle w:val="29"/>
          <w:rFonts w:hint="eastAsia" w:ascii="仿宋_GB2312" w:hAnsi="仿宋_GB2312" w:eastAsia="仿宋_GB2312" w:cs="仿宋_GB2312"/>
          <w:b w:val="0"/>
          <w:bCs w:val="0"/>
        </w:rPr>
      </w:pPr>
      <w:bookmarkStart w:id="17" w:name="_Toc15377197"/>
      <w:bookmarkStart w:id="18" w:name="_Toc15396600"/>
      <w:bookmarkStart w:id="19" w:name="_Toc52180066"/>
      <w:r>
        <w:rPr>
          <w:rFonts w:hint="eastAsia" w:ascii="仿宋_GB2312" w:hAnsi="仿宋_GB2312" w:eastAsia="仿宋_GB2312" w:cs="仿宋_GB2312"/>
          <w:b w:val="0"/>
          <w:color w:val="000000"/>
        </w:rPr>
        <w:t>一、基</w:t>
      </w:r>
      <w:r>
        <w:rPr>
          <w:rStyle w:val="29"/>
          <w:rFonts w:hint="eastAsia" w:ascii="仿宋_GB2312" w:hAnsi="仿宋_GB2312" w:eastAsia="仿宋_GB2312" w:cs="仿宋_GB2312"/>
          <w:b w:val="0"/>
          <w:bCs w:val="0"/>
        </w:rPr>
        <w:t>本职能及主要工作</w:t>
      </w:r>
      <w:bookmarkEnd w:id="17"/>
      <w:bookmarkEnd w:id="18"/>
      <w:bookmarkEnd w:id="19"/>
    </w:p>
    <w:p>
      <w:pPr>
        <w:pStyle w:val="5"/>
        <w:adjustRightInd w:val="0"/>
        <w:snapToGrid w:val="0"/>
        <w:spacing w:before="93" w:line="600" w:lineRule="exact"/>
        <w:ind w:firstLine="672" w:firstLineChars="210"/>
        <w:outlineLvl w:val="2"/>
        <w:rPr>
          <w:rFonts w:hint="eastAsia" w:ascii="仿宋_GB2312" w:hAnsi="仿宋_GB2312" w:eastAsia="仿宋_GB2312" w:cs="仿宋_GB2312"/>
          <w:bCs/>
          <w:color w:val="000000"/>
          <w:sz w:val="32"/>
          <w:szCs w:val="32"/>
        </w:rPr>
      </w:pPr>
      <w:bookmarkStart w:id="20" w:name="_Toc52180067"/>
      <w:bookmarkStart w:id="21" w:name="_Toc15378445"/>
      <w:bookmarkStart w:id="22" w:name="_Toc15377198"/>
      <w:r>
        <w:rPr>
          <w:rFonts w:hint="eastAsia" w:ascii="仿宋_GB2312" w:hAnsi="仿宋_GB2312" w:eastAsia="仿宋_GB2312" w:cs="仿宋_GB2312"/>
          <w:bCs/>
          <w:color w:val="000000"/>
          <w:sz w:val="32"/>
          <w:szCs w:val="32"/>
        </w:rPr>
        <w:t>（一）主要职能。</w:t>
      </w:r>
      <w:bookmarkEnd w:id="20"/>
      <w:bookmarkEnd w:id="21"/>
      <w:bookmarkEnd w:id="22"/>
    </w:p>
    <w:p>
      <w:pPr>
        <w:pStyle w:val="5"/>
        <w:adjustRightInd w:val="0"/>
        <w:snapToGrid w:val="0"/>
        <w:spacing w:before="93" w:line="600" w:lineRule="exact"/>
        <w:ind w:firstLine="672" w:firstLineChars="210"/>
        <w:rPr>
          <w:rFonts w:hint="eastAsia" w:ascii="仿宋_GB2312" w:hAnsi="仿宋_GB2312" w:eastAsia="仿宋_GB2312" w:cs="仿宋_GB2312"/>
          <w:color w:val="000000"/>
          <w:kern w:val="2"/>
          <w:sz w:val="32"/>
          <w:szCs w:val="32"/>
        </w:rPr>
      </w:pPr>
      <w:bookmarkStart w:id="23" w:name="_Toc15378446"/>
      <w:bookmarkStart w:id="24" w:name="_Toc52180068"/>
      <w:bookmarkStart w:id="25" w:name="_Toc15377199"/>
      <w:r>
        <w:rPr>
          <w:rFonts w:hint="eastAsia" w:ascii="仿宋_GB2312" w:hAnsi="仿宋_GB2312" w:eastAsia="仿宋_GB2312" w:cs="仿宋_GB2312"/>
          <w:color w:val="000000"/>
          <w:kern w:val="2"/>
          <w:sz w:val="32"/>
          <w:szCs w:val="32"/>
        </w:rPr>
        <w:t>1、制定和组织实施经济、科技和社会发展计划，制定资源开发技术改造和产业结构调整方案，组织指导好各业生产搞好</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"https://www.baidu.com/s?wd=%E5%95%86%E5%93%81%E6%B5%81%E9%80%9A&amp;tn=44039180_cpr&amp;fenlei=mv6quAkxTZn0IZRqIHckPjm4nH00T1dBPjmdrANhPAD3m1KWuARv0ZwV5Hcvrjm3rH6sPfKWUMw85HfYnjn4nH6sgvPsT6KdThsqpZwYTjCEQLGCpyw9Uz4Bmy-bIi4WUvYETgN-TLwGUv3EnHf1njfkrHcdn1R4PH0sn1fkrf" \t "_blank"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color w:val="000000"/>
          <w:kern w:val="2"/>
          <w:sz w:val="32"/>
          <w:szCs w:val="32"/>
        </w:rPr>
        <w:t>商品流通</w:t>
      </w:r>
      <w:r>
        <w:rPr>
          <w:rFonts w:hint="eastAsia" w:ascii="仿宋_GB2312" w:hAnsi="仿宋_GB2312" w:eastAsia="仿宋_GB2312" w:cs="仿宋_GB2312"/>
          <w:color w:val="000000"/>
          <w:kern w:val="2"/>
          <w:sz w:val="32"/>
          <w:szCs w:val="32"/>
        </w:rPr>
        <w:fldChar w:fldCharType="end"/>
      </w:r>
      <w:r>
        <w:rPr>
          <w:rFonts w:hint="eastAsia" w:ascii="仿宋_GB2312" w:hAnsi="仿宋_GB2312" w:eastAsia="仿宋_GB2312" w:cs="仿宋_GB2312"/>
          <w:color w:val="000000"/>
          <w:kern w:val="2"/>
          <w:sz w:val="32"/>
          <w:szCs w:val="32"/>
        </w:rPr>
        <w:t>，协调好本乡与外地区的经济交流与合作，抓好招商引资，</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"https://www.baidu.com/s?wd=%E4%BA%BA%E6%89%8D%E5%BC%95%E8%BF%9B&amp;tn=44039180_cpr&amp;fenlei=mv6quAkxTZn0IZRqIHckPjm4nH00T1dBPjmdrANhPAD3m1KWuARv0ZwV5Hcvrjm3rH6sPfKWUMw85HfYnjn4nH6sgvPsT6KdThsqpZwYTjCEQLGCpyw9Uz4Bmy-bIi4WUvYETgN-TLwGUv3EnHf1njfkrHcdn1R4PH0sn1fkrf" \t "_blank"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color w:val="000000"/>
          <w:kern w:val="2"/>
          <w:sz w:val="32"/>
          <w:szCs w:val="32"/>
        </w:rPr>
        <w:t>人才引进</w:t>
      </w:r>
      <w:r>
        <w:rPr>
          <w:rFonts w:hint="eastAsia" w:ascii="仿宋_GB2312" w:hAnsi="仿宋_GB2312" w:eastAsia="仿宋_GB2312" w:cs="仿宋_GB2312"/>
          <w:color w:val="000000"/>
          <w:kern w:val="2"/>
          <w:sz w:val="32"/>
          <w:szCs w:val="32"/>
        </w:rPr>
        <w:fldChar w:fldCharType="end"/>
      </w:r>
      <w:r>
        <w:rPr>
          <w:rFonts w:hint="eastAsia" w:ascii="仿宋_GB2312" w:hAnsi="仿宋_GB2312" w:eastAsia="仿宋_GB2312" w:cs="仿宋_GB2312"/>
          <w:color w:val="000000"/>
          <w:kern w:val="2"/>
          <w:sz w:val="32"/>
          <w:szCs w:val="32"/>
        </w:rPr>
        <w:t>项目开发，不断培育市场体系，组织经济运行，促进经济社会发展。</w:t>
      </w:r>
    </w:p>
    <w:p>
      <w:pPr>
        <w:pStyle w:val="5"/>
        <w:adjustRightInd w:val="0"/>
        <w:snapToGrid w:val="0"/>
        <w:spacing w:before="93" w:line="600" w:lineRule="exact"/>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 xml:space="preserve"> 2、制定并组织实施村</w:t>
      </w:r>
      <w:r>
        <w:rPr>
          <w:rFonts w:hint="eastAsia" w:ascii="仿宋_GB2312" w:hAnsi="仿宋_GB2312" w:eastAsia="仿宋_GB2312" w:cs="仿宋_GB2312"/>
          <w:color w:val="000000"/>
          <w:kern w:val="2"/>
          <w:sz w:val="32"/>
          <w:szCs w:val="32"/>
          <w:lang w:eastAsia="zh-CN"/>
        </w:rPr>
        <w:t>乡</w:t>
      </w:r>
      <w:r>
        <w:rPr>
          <w:rFonts w:hint="eastAsia" w:ascii="仿宋_GB2312" w:hAnsi="仿宋_GB2312" w:eastAsia="仿宋_GB2312" w:cs="仿宋_GB2312"/>
          <w:color w:val="000000"/>
          <w:kern w:val="2"/>
          <w:sz w:val="32"/>
          <w:szCs w:val="32"/>
        </w:rPr>
        <w:t>建设规划，部署重点工程建设，地方道路建设及公共设施，水利设施的管理，负责土地、林木、水等自然资源和生态环境的保护，做好护林防火工作。</w:t>
      </w:r>
      <w:r>
        <w:rPr>
          <w:rFonts w:hint="eastAsia" w:ascii="仿宋_GB2312" w:hAnsi="仿宋_GB2312" w:eastAsia="仿宋_GB2312" w:cs="仿宋_GB2312"/>
          <w:color w:val="000000"/>
          <w:kern w:val="2"/>
          <w:sz w:val="32"/>
          <w:szCs w:val="32"/>
        </w:rPr>
        <w:br w:type="textWrapping"/>
      </w:r>
      <w:r>
        <w:rPr>
          <w:rFonts w:hint="eastAsia" w:ascii="仿宋_GB2312" w:hAnsi="仿宋_GB2312" w:eastAsia="仿宋_GB2312" w:cs="仿宋_GB2312"/>
          <w:color w:val="000000"/>
          <w:kern w:val="2"/>
          <w:sz w:val="32"/>
          <w:szCs w:val="32"/>
        </w:rPr>
        <w:t xml:space="preserve"> 3、按计划组织本级财政收入和地方税的征收，完成国家财政计划，不断培植税源，管好财政资金，增强财政实力。</w:t>
      </w:r>
      <w:r>
        <w:rPr>
          <w:rFonts w:hint="eastAsia" w:ascii="仿宋_GB2312" w:hAnsi="仿宋_GB2312" w:eastAsia="仿宋_GB2312" w:cs="仿宋_GB2312"/>
          <w:color w:val="000000"/>
          <w:kern w:val="2"/>
          <w:sz w:val="32"/>
          <w:szCs w:val="32"/>
        </w:rPr>
        <w:br w:type="textWrapping"/>
      </w:r>
      <w:r>
        <w:rPr>
          <w:rFonts w:hint="eastAsia" w:ascii="仿宋_GB2312" w:hAnsi="仿宋_GB2312" w:eastAsia="仿宋_GB2312" w:cs="仿宋_GB2312"/>
          <w:color w:val="000000"/>
          <w:kern w:val="2"/>
          <w:sz w:val="32"/>
          <w:szCs w:val="32"/>
        </w:rPr>
        <w:t xml:space="preserve"> </w:t>
      </w:r>
      <w:r>
        <w:rPr>
          <w:rFonts w:hint="eastAsia" w:ascii="仿宋_GB2312" w:hAnsi="仿宋_GB2312" w:eastAsia="仿宋_GB2312" w:cs="仿宋_GB2312"/>
          <w:color w:val="000000"/>
          <w:kern w:val="2"/>
          <w:sz w:val="32"/>
          <w:szCs w:val="32"/>
          <w:lang w:val="en-US" w:eastAsia="zh-CN"/>
        </w:rPr>
        <w:t>4</w:t>
      </w:r>
      <w:r>
        <w:rPr>
          <w:rFonts w:hint="eastAsia" w:ascii="仿宋_GB2312" w:hAnsi="仿宋_GB2312" w:eastAsia="仿宋_GB2312" w:cs="仿宋_GB2312"/>
          <w:color w:val="000000"/>
          <w:kern w:val="2"/>
          <w:sz w:val="32"/>
          <w:szCs w:val="32"/>
        </w:rPr>
        <w:t>、抓好精神文明建设，丰富</w:t>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HYPERLINK "https://www.baidu.com/s?wd=%E7%BE%A4%E4%BC%97%E6%96%87%E5%8C%96&amp;tn=44039180_cpr&amp;fenlei=mv6quAkxTZn0IZRqIHckPjm4nH00T1dBPjmdrANhPAD3m1KWuARv0ZwV5Hcvrjm3rH6sPfKWUMw85HfYnjn4nH6sgvPsT6KdThsqpZwYTjCEQLGCpyw9Uz4Bmy-bIi4WUvYETgN-TLwGUv3EnHf1njfkrHcdn1R4PH0sn1fkrf" \t "_blank" </w:instrText>
      </w:r>
      <w:r>
        <w:rPr>
          <w:rFonts w:hint="eastAsia" w:ascii="仿宋_GB2312" w:hAnsi="仿宋_GB2312" w:eastAsia="仿宋_GB2312" w:cs="仿宋_GB2312"/>
        </w:rPr>
        <w:fldChar w:fldCharType="separate"/>
      </w:r>
      <w:r>
        <w:rPr>
          <w:rFonts w:hint="eastAsia" w:ascii="仿宋_GB2312" w:hAnsi="仿宋_GB2312" w:eastAsia="仿宋_GB2312" w:cs="仿宋_GB2312"/>
          <w:color w:val="000000"/>
          <w:kern w:val="2"/>
          <w:sz w:val="32"/>
          <w:szCs w:val="32"/>
        </w:rPr>
        <w:t>群众文化</w:t>
      </w:r>
      <w:r>
        <w:rPr>
          <w:rFonts w:hint="eastAsia" w:ascii="仿宋_GB2312" w:hAnsi="仿宋_GB2312" w:eastAsia="仿宋_GB2312" w:cs="仿宋_GB2312"/>
          <w:color w:val="000000"/>
          <w:kern w:val="2"/>
          <w:sz w:val="32"/>
          <w:szCs w:val="32"/>
        </w:rPr>
        <w:fldChar w:fldCharType="end"/>
      </w:r>
      <w:r>
        <w:rPr>
          <w:rFonts w:hint="eastAsia" w:ascii="仿宋_GB2312" w:hAnsi="仿宋_GB2312" w:eastAsia="仿宋_GB2312" w:cs="仿宋_GB2312"/>
          <w:color w:val="000000"/>
          <w:kern w:val="2"/>
          <w:sz w:val="32"/>
          <w:szCs w:val="32"/>
        </w:rPr>
        <w:t>生活，提倡移风易俗，反对封建迷信，破除陈规陋习，树立社会主义新风尚。</w:t>
      </w:r>
      <w:r>
        <w:rPr>
          <w:rFonts w:hint="eastAsia" w:ascii="仿宋_GB2312" w:hAnsi="仿宋_GB2312" w:eastAsia="仿宋_GB2312" w:cs="仿宋_GB2312"/>
          <w:color w:val="000000"/>
          <w:kern w:val="2"/>
          <w:sz w:val="32"/>
          <w:szCs w:val="32"/>
        </w:rPr>
        <w:br w:type="textWrapping"/>
      </w:r>
      <w:r>
        <w:rPr>
          <w:rFonts w:hint="eastAsia" w:ascii="仿宋_GB2312" w:hAnsi="仿宋_GB2312" w:eastAsia="仿宋_GB2312" w:cs="仿宋_GB2312"/>
          <w:color w:val="000000"/>
          <w:kern w:val="2"/>
          <w:sz w:val="32"/>
          <w:szCs w:val="32"/>
        </w:rPr>
        <w:t xml:space="preserve"> </w:t>
      </w:r>
      <w:r>
        <w:rPr>
          <w:rFonts w:hint="eastAsia" w:ascii="仿宋_GB2312" w:hAnsi="仿宋_GB2312" w:eastAsia="仿宋_GB2312" w:cs="仿宋_GB2312"/>
          <w:color w:val="000000"/>
          <w:kern w:val="2"/>
          <w:sz w:val="32"/>
          <w:szCs w:val="32"/>
          <w:lang w:val="en-US" w:eastAsia="zh-CN"/>
        </w:rPr>
        <w:t>5</w:t>
      </w:r>
      <w:r>
        <w:rPr>
          <w:rFonts w:hint="eastAsia" w:ascii="仿宋_GB2312" w:hAnsi="仿宋_GB2312" w:eastAsia="仿宋_GB2312" w:cs="仿宋_GB2312"/>
          <w:color w:val="000000"/>
          <w:kern w:val="2"/>
          <w:sz w:val="32"/>
          <w:szCs w:val="32"/>
        </w:rPr>
        <w:t>、完成上级部门和乡政府交办的其它任务。</w:t>
      </w:r>
    </w:p>
    <w:p>
      <w:pPr>
        <w:pStyle w:val="5"/>
        <w:adjustRightInd w:val="0"/>
        <w:snapToGrid w:val="0"/>
        <w:spacing w:before="93" w:line="600" w:lineRule="exact"/>
        <w:ind w:firstLine="672" w:firstLineChars="210"/>
        <w:outlineLvl w:val="2"/>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（二）2019年重点工作完成情况。</w:t>
      </w:r>
      <w:bookmarkEnd w:id="23"/>
      <w:bookmarkEnd w:id="24"/>
      <w:bookmarkEnd w:id="25"/>
    </w:p>
    <w:p>
      <w:pPr>
        <w:pStyle w:val="5"/>
        <w:adjustRightInd w:val="0"/>
        <w:snapToGrid w:val="0"/>
        <w:spacing w:before="93" w:line="600" w:lineRule="exact"/>
        <w:ind w:firstLine="672" w:firstLineChars="210"/>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kern w:val="2"/>
          <w:sz w:val="32"/>
          <w:szCs w:val="32"/>
        </w:rPr>
        <w:t>在县财政收支矛盾十分尖锐的情况下，通过县财政局的不懈努力，使得我乡按时足额列支了工资、退休费、五保户生活费及御寒费、公用经费；沟堰及村道水毁整治、产业路硬化、环境卫生治理；完善了民族新村建设工程款的清算和决算；做到了保工资、保民生、保稳定。</w:t>
      </w:r>
    </w:p>
    <w:p>
      <w:pPr>
        <w:pStyle w:val="3"/>
        <w:rPr>
          <w:rStyle w:val="29"/>
          <w:rFonts w:hint="eastAsia" w:ascii="仿宋_GB2312" w:hAnsi="仿宋_GB2312" w:eastAsia="仿宋_GB2312" w:cs="仿宋_GB2312"/>
          <w:b w:val="0"/>
          <w:bCs w:val="0"/>
        </w:rPr>
      </w:pPr>
      <w:bookmarkStart w:id="26" w:name="_Toc52180069"/>
      <w:bookmarkStart w:id="27" w:name="_Toc15377200"/>
      <w:bookmarkStart w:id="28" w:name="_Toc15396601"/>
      <w:r>
        <w:rPr>
          <w:rFonts w:hint="eastAsia" w:ascii="仿宋_GB2312" w:hAnsi="仿宋_GB2312" w:eastAsia="仿宋_GB2312" w:cs="仿宋_GB2312"/>
          <w:b w:val="0"/>
          <w:color w:val="000000"/>
        </w:rPr>
        <w:t>二、机</w:t>
      </w:r>
      <w:r>
        <w:rPr>
          <w:rStyle w:val="29"/>
          <w:rFonts w:hint="eastAsia" w:ascii="仿宋_GB2312" w:hAnsi="仿宋_GB2312" w:eastAsia="仿宋_GB2312" w:cs="仿宋_GB2312"/>
          <w:b w:val="0"/>
          <w:bCs w:val="0"/>
        </w:rPr>
        <w:t>构设置</w:t>
      </w:r>
      <w:bookmarkEnd w:id="26"/>
      <w:bookmarkEnd w:id="27"/>
      <w:bookmarkEnd w:id="28"/>
    </w:p>
    <w:p>
      <w:pPr>
        <w:pStyle w:val="5"/>
        <w:adjustRightInd w:val="0"/>
        <w:snapToGrid w:val="0"/>
        <w:spacing w:before="93" w:line="560" w:lineRule="exact"/>
        <w:ind w:firstLine="660" w:firstLineChars="200"/>
        <w:rPr>
          <w:rFonts w:hint="eastAsia" w:ascii="仿宋_GB2312" w:hAnsi="仿宋_GB2312" w:eastAsia="仿宋_GB2312" w:cs="仿宋_GB2312"/>
          <w:color w:val="000000"/>
        </w:rPr>
      </w:pPr>
      <w:r>
        <w:rPr>
          <w:rFonts w:hint="eastAsia" w:ascii="仿宋_GB2312" w:hAnsi="仿宋_GB2312" w:eastAsia="仿宋_GB2312" w:cs="仿宋_GB2312"/>
          <w:color w:val="000000"/>
          <w:sz w:val="33"/>
          <w:szCs w:val="33"/>
        </w:rPr>
        <w:t>盐边县温泉乡人民政府属于机关事业一级单位，其中行政单位1个，事业单位3个，包含：农业服务中心、宣文中心、社会保障和就业服务中心。</w:t>
      </w:r>
      <w:bookmarkStart w:id="29" w:name="_Toc52180073"/>
      <w:bookmarkStart w:id="30" w:name="_Toc15377204"/>
      <w:bookmarkStart w:id="31" w:name="_Toc15396602"/>
    </w:p>
    <w:p>
      <w:pPr>
        <w:pStyle w:val="2"/>
        <w:ind w:right="440"/>
        <w:rPr>
          <w:rFonts w:hint="eastAsia" w:ascii="仿宋_GB2312" w:hAnsi="仿宋_GB2312" w:eastAsia="仿宋_GB2312" w:cs="仿宋_GB2312"/>
        </w:rPr>
      </w:pPr>
      <w:r>
        <w:rPr>
          <w:rFonts w:hint="eastAsia" w:ascii="仿宋_GB2312" w:hAnsi="仿宋_GB2312" w:eastAsia="仿宋_GB2312" w:cs="仿宋_GB2312"/>
          <w:b w:val="0"/>
          <w:color w:val="000000"/>
        </w:rPr>
        <w:t>第二部分</w:t>
      </w:r>
      <w:r>
        <w:rPr>
          <w:rStyle w:val="28"/>
          <w:rFonts w:hint="eastAsia" w:ascii="仿宋_GB2312" w:hAnsi="仿宋_GB2312" w:eastAsia="仿宋_GB2312" w:cs="仿宋_GB2312"/>
          <w:b w:val="0"/>
          <w:bCs w:val="0"/>
        </w:rPr>
        <w:t>2019年度部门决算情况说明</w:t>
      </w:r>
      <w:bookmarkEnd w:id="29"/>
      <w:bookmarkEnd w:id="30"/>
      <w:bookmarkEnd w:id="31"/>
    </w:p>
    <w:p>
      <w:pPr>
        <w:pStyle w:val="19"/>
        <w:numPr>
          <w:ilvl w:val="0"/>
          <w:numId w:val="1"/>
        </w:numPr>
        <w:spacing w:line="600" w:lineRule="exact"/>
        <w:ind w:firstLineChars="0"/>
        <w:outlineLvl w:val="1"/>
        <w:rPr>
          <w:rStyle w:val="29"/>
          <w:rFonts w:hint="eastAsia" w:ascii="仿宋_GB2312" w:hAnsi="仿宋_GB2312" w:eastAsia="仿宋_GB2312" w:cs="仿宋_GB2312"/>
          <w:b w:val="0"/>
        </w:rPr>
      </w:pPr>
      <w:bookmarkStart w:id="32" w:name="_Toc52180074"/>
      <w:bookmarkStart w:id="33" w:name="_Toc15377205"/>
      <w:bookmarkStart w:id="34" w:name="_Toc15396603"/>
      <w:r>
        <w:rPr>
          <w:rFonts w:hint="eastAsia" w:ascii="仿宋_GB2312" w:hAnsi="仿宋_GB2312" w:eastAsia="仿宋_GB2312" w:cs="仿宋_GB2312"/>
          <w:color w:val="000000"/>
          <w:sz w:val="32"/>
          <w:szCs w:val="32"/>
        </w:rPr>
        <w:t>收</w:t>
      </w:r>
      <w:r>
        <w:rPr>
          <w:rStyle w:val="29"/>
          <w:rFonts w:hint="eastAsia" w:ascii="仿宋_GB2312" w:hAnsi="仿宋_GB2312" w:eastAsia="仿宋_GB2312" w:cs="仿宋_GB2312"/>
          <w:b w:val="0"/>
        </w:rPr>
        <w:t>入支出决算总体情况说明</w:t>
      </w:r>
      <w:bookmarkEnd w:id="32"/>
      <w:bookmarkEnd w:id="33"/>
      <w:bookmarkEnd w:id="34"/>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2019年度收入856.49万元，支出928.85万元。与2018年相比，收、支各增加125.77、212.78万元，分别增长14.68%、22.91%。主要变动原因是项目经费增加</w:t>
      </w:r>
    </w:p>
    <w:p>
      <w:pPr>
        <w:pStyle w:val="19"/>
        <w:numPr>
          <w:ilvl w:val="0"/>
          <w:numId w:val="1"/>
        </w:numPr>
        <w:spacing w:line="600" w:lineRule="exact"/>
        <w:ind w:firstLineChars="0"/>
        <w:outlineLvl w:val="1"/>
        <w:rPr>
          <w:rStyle w:val="29"/>
          <w:rFonts w:hint="eastAsia" w:ascii="仿宋_GB2312" w:hAnsi="仿宋_GB2312" w:eastAsia="仿宋_GB2312" w:cs="仿宋_GB2312"/>
          <w:b w:val="0"/>
        </w:rPr>
      </w:pPr>
      <w:bookmarkStart w:id="35" w:name="_Toc52180075"/>
      <w:bookmarkStart w:id="36" w:name="_Toc15396604"/>
      <w:bookmarkStart w:id="37" w:name="_Toc15377206"/>
      <w:r>
        <w:rPr>
          <w:rFonts w:hint="eastAsia" w:ascii="仿宋_GB2312" w:hAnsi="仿宋_GB2312" w:eastAsia="仿宋_GB2312" w:cs="仿宋_GB2312"/>
          <w:color w:val="000000"/>
          <w:sz w:val="32"/>
          <w:szCs w:val="32"/>
        </w:rPr>
        <w:t>收</w:t>
      </w:r>
      <w:r>
        <w:rPr>
          <w:rStyle w:val="29"/>
          <w:rFonts w:hint="eastAsia" w:ascii="仿宋_GB2312" w:hAnsi="仿宋_GB2312" w:eastAsia="仿宋_GB2312" w:cs="仿宋_GB2312"/>
          <w:b w:val="0"/>
        </w:rPr>
        <w:t>入决算情况说明</w:t>
      </w:r>
      <w:bookmarkEnd w:id="35"/>
      <w:bookmarkEnd w:id="36"/>
      <w:bookmarkEnd w:id="37"/>
    </w:p>
    <w:p>
      <w:pPr>
        <w:spacing w:line="600" w:lineRule="exact"/>
        <w:ind w:firstLine="640" w:firstLineChars="200"/>
        <w:outlineLvl w:val="1"/>
        <w:rPr>
          <w:rFonts w:hint="eastAsia" w:ascii="仿宋_GB2312" w:hAnsi="仿宋_GB2312" w:eastAsia="仿宋_GB2312" w:cs="仿宋_GB2312"/>
          <w:color w:val="FF0000"/>
          <w:sz w:val="32"/>
          <w:szCs w:val="32"/>
        </w:rPr>
      </w:pPr>
      <w:bookmarkStart w:id="38" w:name="_Toc52180076"/>
      <w:r>
        <w:rPr>
          <w:rFonts w:hint="eastAsia" w:ascii="仿宋_GB2312" w:hAnsi="仿宋_GB2312" w:eastAsia="仿宋_GB2312" w:cs="仿宋_GB2312"/>
          <w:color w:val="000000"/>
          <w:sz w:val="32"/>
          <w:szCs w:val="32"/>
        </w:rPr>
        <w:t>2019年本年收入合计856.49万元，其中：一般公共预算财政拨款收入856.49万元，占100%。</w:t>
      </w:r>
      <w:bookmarkEnd w:id="38"/>
    </w:p>
    <w:p>
      <w:pPr>
        <w:pStyle w:val="19"/>
        <w:numPr>
          <w:ilvl w:val="0"/>
          <w:numId w:val="1"/>
        </w:numPr>
        <w:spacing w:line="600" w:lineRule="exact"/>
        <w:ind w:firstLineChars="0"/>
        <w:outlineLvl w:val="1"/>
        <w:rPr>
          <w:rStyle w:val="29"/>
          <w:rFonts w:hint="eastAsia" w:ascii="仿宋_GB2312" w:hAnsi="仿宋_GB2312" w:eastAsia="仿宋_GB2312" w:cs="仿宋_GB2312"/>
          <w:b w:val="0"/>
        </w:rPr>
      </w:pPr>
      <w:bookmarkStart w:id="39" w:name="_Toc15396605"/>
      <w:bookmarkStart w:id="40" w:name="_Toc52180077"/>
      <w:bookmarkStart w:id="41" w:name="_Toc15377207"/>
      <w:r>
        <w:rPr>
          <w:rFonts w:hint="eastAsia" w:ascii="仿宋_GB2312" w:hAnsi="仿宋_GB2312" w:eastAsia="仿宋_GB2312" w:cs="仿宋_GB2312"/>
          <w:color w:val="000000"/>
          <w:sz w:val="32"/>
          <w:szCs w:val="32"/>
        </w:rPr>
        <w:t>支</w:t>
      </w:r>
      <w:r>
        <w:rPr>
          <w:rStyle w:val="29"/>
          <w:rFonts w:hint="eastAsia" w:ascii="仿宋_GB2312" w:hAnsi="仿宋_GB2312" w:eastAsia="仿宋_GB2312" w:cs="仿宋_GB2312"/>
          <w:b w:val="0"/>
        </w:rPr>
        <w:t>出决算情况说明</w:t>
      </w:r>
      <w:bookmarkEnd w:id="39"/>
      <w:bookmarkEnd w:id="40"/>
      <w:bookmarkEnd w:id="41"/>
    </w:p>
    <w:p>
      <w:pPr>
        <w:spacing w:line="600" w:lineRule="exact"/>
        <w:ind w:left="636" w:leftChars="303" w:firstLine="640" w:firstLineChars="200"/>
        <w:outlineLvl w:val="1"/>
        <w:rPr>
          <w:rFonts w:hint="eastAsia" w:ascii="仿宋_GB2312" w:hAnsi="仿宋_GB2312" w:eastAsia="仿宋_GB2312" w:cs="仿宋_GB2312"/>
          <w:color w:val="000000"/>
          <w:sz w:val="32"/>
          <w:szCs w:val="32"/>
        </w:rPr>
      </w:pPr>
      <w:bookmarkStart w:id="42" w:name="_Toc52180078"/>
      <w:r>
        <w:rPr>
          <w:rFonts w:hint="eastAsia" w:ascii="仿宋_GB2312" w:hAnsi="仿宋_GB2312" w:eastAsia="仿宋_GB2312" w:cs="仿宋_GB2312"/>
          <w:color w:val="000000"/>
          <w:sz w:val="32"/>
          <w:szCs w:val="32"/>
        </w:rPr>
        <w:t>2019年本年支出合计928.85万元，其中：基本支出596.66万元，占64.24%；项目支出332.19万元，占35.76%。</w:t>
      </w:r>
      <w:bookmarkEnd w:id="42"/>
    </w:p>
    <w:p>
      <w:pPr>
        <w:spacing w:line="600" w:lineRule="exact"/>
        <w:ind w:firstLine="640" w:firstLineChars="200"/>
        <w:outlineLvl w:val="1"/>
        <w:rPr>
          <w:rStyle w:val="29"/>
          <w:rFonts w:hint="eastAsia" w:ascii="仿宋_GB2312" w:hAnsi="仿宋_GB2312" w:eastAsia="仿宋_GB2312" w:cs="仿宋_GB2312"/>
          <w:b w:val="0"/>
        </w:rPr>
      </w:pPr>
      <w:bookmarkStart w:id="43" w:name="_Toc15396606"/>
      <w:bookmarkStart w:id="44" w:name="_Toc15377208"/>
      <w:bookmarkStart w:id="45" w:name="_Toc52180079"/>
      <w:r>
        <w:rPr>
          <w:rFonts w:hint="eastAsia" w:ascii="仿宋_GB2312" w:hAnsi="仿宋_GB2312" w:eastAsia="仿宋_GB2312" w:cs="仿宋_GB2312"/>
          <w:color w:val="000000"/>
          <w:sz w:val="32"/>
          <w:szCs w:val="32"/>
        </w:rPr>
        <w:t>四、财</w:t>
      </w:r>
      <w:r>
        <w:rPr>
          <w:rStyle w:val="29"/>
          <w:rFonts w:hint="eastAsia" w:ascii="仿宋_GB2312" w:hAnsi="仿宋_GB2312" w:eastAsia="仿宋_GB2312" w:cs="仿宋_GB2312"/>
          <w:b w:val="0"/>
        </w:rPr>
        <w:t>政拨款收入支出决算总体情况说明</w:t>
      </w:r>
      <w:bookmarkEnd w:id="43"/>
      <w:bookmarkEnd w:id="44"/>
      <w:bookmarkEnd w:id="45"/>
    </w:p>
    <w:p>
      <w:pPr>
        <w:spacing w:line="600" w:lineRule="exact"/>
        <w:ind w:firstLine="640" w:firstLineChars="200"/>
        <w:rPr>
          <w:rFonts w:hint="eastAsia" w:ascii="仿宋_GB2312" w:hAnsi="仿宋_GB2312" w:eastAsia="仿宋_GB2312" w:cs="仿宋_GB2312"/>
          <w:color w:val="000000"/>
          <w:sz w:val="32"/>
          <w:szCs w:val="32"/>
        </w:rPr>
      </w:pPr>
      <w:bookmarkStart w:id="46" w:name="_Toc15377209"/>
      <w:bookmarkStart w:id="47" w:name="_Toc52180080"/>
      <w:bookmarkStart w:id="48" w:name="_Toc15396607"/>
      <w:r>
        <w:rPr>
          <w:rFonts w:hint="eastAsia" w:ascii="仿宋_GB2312" w:hAnsi="仿宋_GB2312" w:eastAsia="仿宋_GB2312" w:cs="仿宋_GB2312"/>
          <w:color w:val="000000"/>
          <w:sz w:val="32"/>
          <w:szCs w:val="32"/>
        </w:rPr>
        <w:t>2019年度收入856.49万元，支出928.85万元。与2018年相比，收、支各增加125.77、212.78万元，分别增长14.68%、22.91%。主要变动原因是项目经费增加</w:t>
      </w:r>
    </w:p>
    <w:p>
      <w:pPr>
        <w:spacing w:line="600" w:lineRule="exact"/>
        <w:ind w:firstLine="640" w:firstLineChars="200"/>
        <w:outlineLvl w:val="1"/>
        <w:rPr>
          <w:rStyle w:val="29"/>
          <w:rFonts w:hint="eastAsia" w:ascii="仿宋_GB2312" w:hAnsi="仿宋_GB2312" w:eastAsia="仿宋_GB2312" w:cs="仿宋_GB2312"/>
          <w:b w:val="0"/>
        </w:rPr>
      </w:pPr>
      <w:r>
        <w:rPr>
          <w:rFonts w:hint="eastAsia" w:ascii="仿宋_GB2312" w:hAnsi="仿宋_GB2312" w:eastAsia="仿宋_GB2312" w:cs="仿宋_GB2312"/>
          <w:color w:val="000000"/>
          <w:sz w:val="32"/>
          <w:szCs w:val="32"/>
        </w:rPr>
        <w:t>五、</w:t>
      </w:r>
      <w:r>
        <w:rPr>
          <w:rFonts w:hint="eastAsia" w:ascii="仿宋_GB2312" w:hAnsi="仿宋_GB2312" w:eastAsia="仿宋_GB2312" w:cs="仿宋_GB2312"/>
          <w:b/>
          <w:color w:val="000000"/>
          <w:sz w:val="32"/>
          <w:szCs w:val="32"/>
        </w:rPr>
        <w:t>一</w:t>
      </w:r>
      <w:r>
        <w:rPr>
          <w:rStyle w:val="29"/>
          <w:rFonts w:hint="eastAsia" w:ascii="仿宋_GB2312" w:hAnsi="仿宋_GB2312" w:eastAsia="仿宋_GB2312" w:cs="仿宋_GB2312"/>
          <w:b w:val="0"/>
        </w:rPr>
        <w:t>般公共预算财政拨款支出决算情况说明</w:t>
      </w:r>
      <w:bookmarkEnd w:id="46"/>
      <w:bookmarkEnd w:id="47"/>
      <w:bookmarkEnd w:id="48"/>
    </w:p>
    <w:p>
      <w:pPr>
        <w:spacing w:line="600" w:lineRule="exact"/>
        <w:ind w:firstLine="643" w:firstLineChars="200"/>
        <w:outlineLvl w:val="2"/>
        <w:rPr>
          <w:rFonts w:hint="eastAsia" w:ascii="仿宋_GB2312" w:hAnsi="仿宋_GB2312" w:eastAsia="仿宋_GB2312" w:cs="仿宋_GB2312"/>
          <w:b/>
          <w:color w:val="000000"/>
          <w:sz w:val="32"/>
          <w:szCs w:val="32"/>
        </w:rPr>
      </w:pPr>
      <w:bookmarkStart w:id="49" w:name="_Toc15377210"/>
      <w:bookmarkStart w:id="50" w:name="_Toc52180081"/>
      <w:r>
        <w:rPr>
          <w:rFonts w:hint="eastAsia" w:ascii="仿宋_GB2312" w:hAnsi="仿宋_GB2312" w:eastAsia="仿宋_GB2312" w:cs="仿宋_GB2312"/>
          <w:b/>
          <w:color w:val="000000"/>
          <w:sz w:val="32"/>
          <w:szCs w:val="32"/>
        </w:rPr>
        <w:t>（一）一般公共预算财政拨款支出决算总体情况</w:t>
      </w:r>
      <w:bookmarkEnd w:id="49"/>
      <w:bookmarkEnd w:id="50"/>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2019年一般公共预算财政拨款支出928.85万元，占本年支出合计的100%。与2018年相比，一般公共预算财政拨款增加212.78万元，增长22.91%。主要变动原因是基本工资增加、中途追加预算项目增加、村社经费增加。</w:t>
      </w:r>
    </w:p>
    <w:p>
      <w:pPr>
        <w:spacing w:line="600" w:lineRule="exact"/>
        <w:ind w:firstLine="643" w:firstLineChars="200"/>
        <w:outlineLvl w:val="2"/>
        <w:rPr>
          <w:rFonts w:hint="eastAsia" w:ascii="仿宋_GB2312" w:hAnsi="仿宋_GB2312" w:eastAsia="仿宋_GB2312" w:cs="仿宋_GB2312"/>
          <w:b/>
          <w:color w:val="000000"/>
          <w:sz w:val="32"/>
          <w:szCs w:val="32"/>
        </w:rPr>
      </w:pPr>
      <w:bookmarkStart w:id="51" w:name="_Toc15377211"/>
      <w:bookmarkStart w:id="52" w:name="_Toc52180082"/>
      <w:r>
        <w:rPr>
          <w:rFonts w:hint="eastAsia" w:ascii="仿宋_GB2312" w:hAnsi="仿宋_GB2312" w:eastAsia="仿宋_GB2312" w:cs="仿宋_GB2312"/>
          <w:b/>
          <w:color w:val="000000"/>
          <w:sz w:val="32"/>
          <w:szCs w:val="32"/>
        </w:rPr>
        <w:t>（二）一般公共预算财政拨款支出决算结构情况</w:t>
      </w:r>
      <w:bookmarkEnd w:id="51"/>
      <w:bookmarkEnd w:id="52"/>
    </w:p>
    <w:p>
      <w:pPr>
        <w:spacing w:line="600" w:lineRule="exact"/>
        <w:ind w:firstLine="64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sz w:val="32"/>
          <w:szCs w:val="32"/>
        </w:rPr>
        <w:t>2019年一般公共预算财政拨款支出928.85万元，主要用于以下方面:</w:t>
      </w:r>
      <w:r>
        <w:rPr>
          <w:rFonts w:hint="eastAsia" w:ascii="仿宋_GB2312" w:hAnsi="仿宋_GB2312" w:eastAsia="仿宋_GB2312" w:cs="仿宋_GB2312"/>
          <w:b/>
          <w:color w:val="000000"/>
          <w:sz w:val="32"/>
          <w:szCs w:val="32"/>
        </w:rPr>
        <w:t>一般公共服务（类）</w:t>
      </w:r>
      <w:r>
        <w:rPr>
          <w:rFonts w:hint="eastAsia" w:ascii="仿宋_GB2312" w:hAnsi="仿宋_GB2312" w:eastAsia="仿宋_GB2312" w:cs="仿宋_GB2312"/>
          <w:color w:val="000000"/>
          <w:sz w:val="32"/>
          <w:szCs w:val="32"/>
        </w:rPr>
        <w:t>支出416.15万元，占44.8%；文化旅游体育与传媒支出14.84万元，占1.6%。</w:t>
      </w:r>
      <w:r>
        <w:rPr>
          <w:rFonts w:hint="eastAsia" w:ascii="仿宋_GB2312" w:hAnsi="仿宋_GB2312" w:eastAsia="仿宋_GB2312" w:cs="仿宋_GB2312"/>
          <w:b/>
          <w:color w:val="000000"/>
          <w:sz w:val="32"/>
          <w:szCs w:val="32"/>
        </w:rPr>
        <w:t>社会保障和就业（类）</w:t>
      </w:r>
      <w:r>
        <w:rPr>
          <w:rFonts w:hint="eastAsia" w:ascii="仿宋_GB2312" w:hAnsi="仿宋_GB2312" w:eastAsia="仿宋_GB2312" w:cs="仿宋_GB2312"/>
          <w:color w:val="000000"/>
          <w:sz w:val="32"/>
          <w:szCs w:val="32"/>
        </w:rPr>
        <w:t>支出82.77万元，占8.91%；</w:t>
      </w:r>
      <w:r>
        <w:rPr>
          <w:rFonts w:hint="eastAsia" w:ascii="仿宋_GB2312" w:hAnsi="仿宋_GB2312" w:eastAsia="仿宋_GB2312" w:cs="仿宋_GB2312"/>
          <w:b/>
          <w:bCs/>
          <w:color w:val="000000"/>
          <w:sz w:val="32"/>
          <w:szCs w:val="32"/>
        </w:rPr>
        <w:t>卫生健康支出</w:t>
      </w:r>
      <w:r>
        <w:rPr>
          <w:rFonts w:hint="eastAsia" w:ascii="仿宋_GB2312" w:hAnsi="仿宋_GB2312" w:eastAsia="仿宋_GB2312" w:cs="仿宋_GB2312"/>
          <w:color w:val="000000"/>
          <w:sz w:val="32"/>
          <w:szCs w:val="32"/>
        </w:rPr>
        <w:t>2万元，占0.2%；节能环保支出10.1万元，占1.09%。农林水支出305.25万元，占32.86%；住房保障支出40.25万元，占4.33%；灾害防治及应急管理支出6万元，占0.65%。其他支出50万元</w:t>
      </w:r>
      <w:r>
        <w:rPr>
          <w:rFonts w:hint="eastAsia" w:ascii="仿宋_GB2312" w:hAnsi="仿宋_GB2312" w:eastAsia="仿宋_GB2312" w:cs="仿宋_GB2312"/>
          <w:color w:val="000000" w:themeColor="text1"/>
          <w:sz w:val="32"/>
          <w:szCs w:val="32"/>
        </w:rPr>
        <w:t>，占5.38%.</w:t>
      </w:r>
    </w:p>
    <w:p>
      <w:pPr>
        <w:spacing w:line="600" w:lineRule="exact"/>
        <w:ind w:firstLine="643" w:firstLineChars="200"/>
        <w:outlineLvl w:val="2"/>
        <w:rPr>
          <w:rFonts w:hint="eastAsia" w:ascii="仿宋_GB2312" w:hAnsi="仿宋_GB2312" w:eastAsia="仿宋_GB2312" w:cs="仿宋_GB2312"/>
          <w:b/>
          <w:color w:val="000000"/>
          <w:sz w:val="32"/>
          <w:szCs w:val="32"/>
        </w:rPr>
      </w:pPr>
      <w:bookmarkStart w:id="53" w:name="_Toc52180083"/>
      <w:bookmarkStart w:id="54" w:name="_Toc15377212"/>
      <w:r>
        <w:rPr>
          <w:rFonts w:hint="eastAsia" w:ascii="仿宋_GB2312" w:hAnsi="仿宋_GB2312" w:eastAsia="仿宋_GB2312" w:cs="仿宋_GB2312"/>
          <w:b/>
          <w:color w:val="000000"/>
          <w:sz w:val="32"/>
          <w:szCs w:val="32"/>
        </w:rPr>
        <w:t>（三）一般公共预算财政拨款支出决算具体情况</w:t>
      </w:r>
      <w:bookmarkEnd w:id="53"/>
      <w:bookmarkEnd w:id="54"/>
    </w:p>
    <w:p>
      <w:pPr>
        <w:spacing w:line="600" w:lineRule="exact"/>
        <w:ind w:firstLine="643" w:firstLineChars="200"/>
        <w:outlineLvl w:val="2"/>
        <w:rPr>
          <w:rFonts w:hint="eastAsia" w:ascii="仿宋_GB2312" w:hAnsi="仿宋_GB2312" w:eastAsia="仿宋_GB2312" w:cs="仿宋_GB2312"/>
          <w:color w:val="FF0000"/>
          <w:sz w:val="32"/>
          <w:szCs w:val="32"/>
        </w:rPr>
      </w:pPr>
      <w:bookmarkStart w:id="55" w:name="_Toc15377213"/>
      <w:bookmarkStart w:id="56" w:name="_Toc52180084"/>
      <w:bookmarkStart w:id="57" w:name="_Toc15377444"/>
      <w:bookmarkStart w:id="58" w:name="_Toc15378460"/>
      <w:r>
        <w:rPr>
          <w:rFonts w:hint="eastAsia" w:ascii="仿宋_GB2312" w:hAnsi="仿宋_GB2312" w:eastAsia="仿宋_GB2312" w:cs="仿宋_GB2312"/>
          <w:b/>
          <w:color w:val="000000"/>
          <w:sz w:val="32"/>
          <w:szCs w:val="32"/>
        </w:rPr>
        <w:t>2019年</w:t>
      </w:r>
      <w:r>
        <w:rPr>
          <w:rFonts w:hint="eastAsia" w:ascii="仿宋_GB2312" w:hAnsi="仿宋_GB2312" w:eastAsia="仿宋_GB2312" w:cs="仿宋_GB2312"/>
          <w:b/>
          <w:color w:val="000000"/>
          <w:sz w:val="32"/>
          <w:szCs w:val="32"/>
          <w:lang w:eastAsia="zh-CN"/>
        </w:rPr>
        <w:t>一</w:t>
      </w:r>
      <w:r>
        <w:rPr>
          <w:rFonts w:hint="eastAsia" w:ascii="仿宋_GB2312" w:hAnsi="仿宋_GB2312" w:eastAsia="仿宋_GB2312" w:cs="仿宋_GB2312"/>
          <w:b/>
          <w:color w:val="000000"/>
          <w:sz w:val="32"/>
          <w:szCs w:val="32"/>
        </w:rPr>
        <w:t>般公共预算支出决算数为9</w:t>
      </w:r>
      <w:r>
        <w:rPr>
          <w:rFonts w:hint="eastAsia" w:ascii="仿宋_GB2312" w:hAnsi="仿宋_GB2312" w:eastAsia="仿宋_GB2312" w:cs="仿宋_GB2312"/>
          <w:b/>
          <w:color w:val="000000"/>
          <w:sz w:val="32"/>
          <w:szCs w:val="32"/>
          <w:lang w:val="en-US" w:eastAsia="zh-CN"/>
        </w:rPr>
        <w:t>28.85</w:t>
      </w:r>
      <w:r>
        <w:rPr>
          <w:rFonts w:hint="eastAsia" w:ascii="仿宋_GB2312" w:hAnsi="仿宋_GB2312" w:eastAsia="仿宋_GB2312" w:cs="仿宋_GB2312"/>
          <w:b/>
          <w:color w:val="000000"/>
          <w:sz w:val="32"/>
          <w:szCs w:val="32"/>
        </w:rPr>
        <w:t>万元</w:t>
      </w:r>
      <w:r>
        <w:rPr>
          <w:rFonts w:hint="eastAsia" w:ascii="仿宋_GB2312" w:hAnsi="仿宋_GB2312" w:eastAsia="仿宋_GB2312" w:cs="仿宋_GB2312"/>
          <w:color w:val="000000"/>
          <w:sz w:val="32"/>
          <w:szCs w:val="32"/>
        </w:rPr>
        <w:t>，</w:t>
      </w:r>
      <w:r>
        <w:rPr>
          <w:rStyle w:val="16"/>
          <w:rFonts w:hint="eastAsia" w:ascii="仿宋_GB2312" w:hAnsi="仿宋_GB2312" w:eastAsia="仿宋_GB2312" w:cs="仿宋_GB2312"/>
          <w:bCs/>
          <w:color w:val="000000"/>
          <w:sz w:val="32"/>
          <w:szCs w:val="32"/>
        </w:rPr>
        <w:t>完成预算100%。其中：</w:t>
      </w:r>
      <w:bookmarkEnd w:id="55"/>
      <w:bookmarkEnd w:id="56"/>
      <w:bookmarkEnd w:id="57"/>
      <w:bookmarkEnd w:id="58"/>
    </w:p>
    <w:p>
      <w:pPr>
        <w:numPr>
          <w:ilvl w:val="0"/>
          <w:numId w:val="2"/>
        </w:numPr>
        <w:spacing w:line="600" w:lineRule="exact"/>
        <w:ind w:firstLine="643" w:firstLineChars="200"/>
        <w:rPr>
          <w:rStyle w:val="16"/>
          <w:rFonts w:hint="eastAsia" w:ascii="仿宋_GB2312" w:hAnsi="仿宋_GB2312" w:eastAsia="仿宋_GB2312" w:cs="仿宋_GB2312"/>
          <w:color w:val="000000"/>
          <w:sz w:val="32"/>
          <w:szCs w:val="32"/>
        </w:rPr>
      </w:pPr>
      <w:r>
        <w:rPr>
          <w:rStyle w:val="16"/>
          <w:rFonts w:hint="eastAsia" w:ascii="仿宋_GB2312" w:hAnsi="仿宋_GB2312" w:eastAsia="仿宋_GB2312" w:cs="仿宋_GB2312"/>
          <w:bCs/>
          <w:color w:val="000000"/>
          <w:sz w:val="32"/>
          <w:szCs w:val="32"/>
        </w:rPr>
        <w:t>一般公共服务:</w:t>
      </w:r>
      <w:r>
        <w:rPr>
          <w:rStyle w:val="16"/>
          <w:rFonts w:hint="eastAsia" w:ascii="仿宋_GB2312" w:hAnsi="仿宋_GB2312" w:eastAsia="仿宋_GB2312" w:cs="仿宋_GB2312"/>
          <w:b w:val="0"/>
          <w:bCs/>
          <w:color w:val="000000"/>
          <w:sz w:val="32"/>
          <w:szCs w:val="32"/>
        </w:rPr>
        <w:t>2010101人大事务行政运行支出决算为42.</w:t>
      </w:r>
      <w:r>
        <w:rPr>
          <w:rStyle w:val="16"/>
          <w:rFonts w:hint="eastAsia" w:ascii="仿宋_GB2312" w:hAnsi="仿宋_GB2312" w:eastAsia="仿宋_GB2312" w:cs="仿宋_GB2312"/>
          <w:color w:val="000000"/>
          <w:sz w:val="32"/>
          <w:szCs w:val="32"/>
        </w:rPr>
        <w:t>02</w:t>
      </w:r>
      <w:r>
        <w:rPr>
          <w:rStyle w:val="16"/>
          <w:rFonts w:hint="eastAsia" w:ascii="仿宋_GB2312" w:hAnsi="仿宋_GB2312" w:eastAsia="仿宋_GB2312" w:cs="仿宋_GB2312"/>
          <w:b w:val="0"/>
          <w:bCs/>
          <w:color w:val="000000"/>
          <w:sz w:val="32"/>
          <w:szCs w:val="32"/>
        </w:rPr>
        <w:t>万元，完成预算100%；2010104人大会议支出决算1.38万元，完成预算100%；2010108人大代表工作支出决算为0.79万元，完成预算100%；2010301政府行政运行支出决算为262.31万元，完成预算100%；2010302政府一般行政管理事务支出决算为30.42万元，完成预算100%；2010507统计信息事务决算为0.5万元，完成预算100%；2010602财政一般行政管理事务支出决算为0.66万元，完成预算100%；2010650财政事务事业运行决算为13.53万元，完成预算100%，2010699其他财政事务支出决算为1.1万元，完成预算100%，2011099其他人力资源事务支出0.2万元，完成预算100%，2012304民族工作专项支出决算17.53万元，完成预算100%，2012999其他群众团体事务支出0.5万元，完成预算100%，2013101党委行政运行支出决算为43.22万元，完成预算100%；2013102一般行政管理事务为2万元，完成预算100%；</w:t>
      </w:r>
    </w:p>
    <w:p>
      <w:pPr>
        <w:numPr>
          <w:ilvl w:val="0"/>
          <w:numId w:val="2"/>
        </w:numPr>
        <w:spacing w:line="60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文化旅游体育与传媒支出：2070109群众文化支出决算14.84万元，</w:t>
      </w:r>
      <w:r>
        <w:rPr>
          <w:rStyle w:val="16"/>
          <w:rFonts w:hint="eastAsia" w:ascii="仿宋_GB2312" w:hAnsi="仿宋_GB2312" w:eastAsia="仿宋_GB2312" w:cs="仿宋_GB2312"/>
          <w:b w:val="0"/>
          <w:bCs/>
          <w:color w:val="000000"/>
          <w:sz w:val="32"/>
          <w:szCs w:val="32"/>
        </w:rPr>
        <w:t>完成预算100%；</w:t>
      </w:r>
    </w:p>
    <w:p>
      <w:pPr>
        <w:spacing w:line="600" w:lineRule="exact"/>
        <w:ind w:firstLine="643" w:firstLineChars="200"/>
        <w:rPr>
          <w:rFonts w:hint="eastAsia" w:ascii="仿宋_GB2312" w:hAnsi="仿宋_GB2312" w:eastAsia="仿宋_GB2312" w:cs="仿宋_GB2312"/>
          <w:b/>
          <w:color w:val="000000"/>
          <w:sz w:val="32"/>
          <w:szCs w:val="32"/>
        </w:rPr>
      </w:pPr>
      <w:r>
        <w:rPr>
          <w:rStyle w:val="16"/>
          <w:rFonts w:hint="eastAsia" w:ascii="仿宋_GB2312" w:hAnsi="仿宋_GB2312" w:eastAsia="仿宋_GB2312" w:cs="仿宋_GB2312"/>
          <w:bCs/>
          <w:color w:val="000000"/>
          <w:sz w:val="32"/>
          <w:szCs w:val="32"/>
        </w:rPr>
        <w:t>3.社会保障和就业:</w:t>
      </w:r>
      <w:r>
        <w:rPr>
          <w:rStyle w:val="16"/>
          <w:rFonts w:hint="eastAsia" w:ascii="仿宋_GB2312" w:hAnsi="仿宋_GB2312" w:eastAsia="仿宋_GB2312" w:cs="仿宋_GB2312"/>
          <w:b w:val="0"/>
          <w:bCs/>
          <w:color w:val="000000"/>
          <w:sz w:val="32"/>
          <w:szCs w:val="32"/>
        </w:rPr>
        <w:t>2080109社会保险经办机构支出决算为22.84万元，完成预算100%；。2080504未归口管理的行政单位离退休决算为8.45万元，完成预算100%；2080505机关事业单位基本养老保险缴费支出决算为35.68万元，完成预算100%；2082102农村特困人员救助供养支出决算为15.29万元，完成预算100%。</w:t>
      </w:r>
    </w:p>
    <w:p>
      <w:pPr>
        <w:spacing w:line="600" w:lineRule="exact"/>
        <w:ind w:firstLine="643" w:firstLineChars="200"/>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Cs/>
          <w:color w:val="000000"/>
          <w:sz w:val="32"/>
          <w:szCs w:val="32"/>
        </w:rPr>
        <w:t>4.</w:t>
      </w:r>
      <w:r>
        <w:rPr>
          <w:rFonts w:hint="eastAsia" w:ascii="仿宋_GB2312" w:hAnsi="仿宋_GB2312" w:eastAsia="仿宋_GB2312" w:cs="仿宋_GB2312"/>
          <w:b/>
          <w:bCs/>
          <w:color w:val="000000"/>
          <w:sz w:val="32"/>
          <w:szCs w:val="32"/>
        </w:rPr>
        <w:t>卫生健康</w:t>
      </w:r>
      <w:r>
        <w:rPr>
          <w:rStyle w:val="16"/>
          <w:rFonts w:hint="eastAsia" w:ascii="仿宋_GB2312" w:hAnsi="仿宋_GB2312" w:eastAsia="仿宋_GB2312" w:cs="仿宋_GB2312"/>
          <w:bCs/>
          <w:color w:val="000000"/>
          <w:sz w:val="32"/>
          <w:szCs w:val="32"/>
        </w:rPr>
        <w:t>:</w:t>
      </w:r>
      <w:r>
        <w:rPr>
          <w:rStyle w:val="16"/>
          <w:rFonts w:hint="eastAsia" w:ascii="仿宋_GB2312" w:hAnsi="仿宋_GB2312" w:eastAsia="仿宋_GB2312" w:cs="仿宋_GB2312"/>
          <w:b w:val="0"/>
          <w:bCs/>
          <w:color w:val="000000"/>
          <w:sz w:val="32"/>
          <w:szCs w:val="32"/>
        </w:rPr>
        <w:t>2100799其他计划生育事务支出支出决算为2万元，完成预算100%；</w:t>
      </w:r>
    </w:p>
    <w:p>
      <w:pPr>
        <w:spacing w:line="600" w:lineRule="exact"/>
        <w:ind w:firstLine="640" w:firstLineChars="200"/>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rPr>
        <w:t>5.</w:t>
      </w:r>
      <w:r>
        <w:rPr>
          <w:rFonts w:hint="eastAsia" w:ascii="仿宋_GB2312" w:hAnsi="仿宋_GB2312" w:eastAsia="仿宋_GB2312" w:cs="仿宋_GB2312"/>
        </w:rPr>
        <w:t xml:space="preserve"> </w:t>
      </w:r>
      <w:r>
        <w:rPr>
          <w:rStyle w:val="16"/>
          <w:rFonts w:hint="eastAsia" w:ascii="仿宋_GB2312" w:hAnsi="仿宋_GB2312" w:eastAsia="仿宋_GB2312" w:cs="仿宋_GB2312"/>
          <w:b w:val="0"/>
          <w:bCs/>
          <w:color w:val="000000"/>
          <w:sz w:val="32"/>
          <w:szCs w:val="32"/>
        </w:rPr>
        <w:t>节能环保支出：2110399其他污染防治支出决算0.23万元，完成预算100%；2110402农村环境保护支出决算9.87万元，完成预算100%；</w:t>
      </w:r>
    </w:p>
    <w:p>
      <w:pPr>
        <w:spacing w:line="600" w:lineRule="exact"/>
        <w:ind w:firstLine="640"/>
        <w:rPr>
          <w:rStyle w:val="16"/>
          <w:rFonts w:hint="eastAsia" w:ascii="仿宋_GB2312" w:hAnsi="仿宋_GB2312" w:eastAsia="仿宋_GB2312" w:cs="仿宋_GB2312"/>
          <w:b w:val="0"/>
          <w:bCs/>
          <w:color w:val="000000"/>
          <w:sz w:val="32"/>
          <w:szCs w:val="32"/>
        </w:rPr>
      </w:pPr>
      <w:r>
        <w:rPr>
          <w:rFonts w:hint="eastAsia" w:ascii="仿宋_GB2312" w:hAnsi="仿宋_GB2312" w:eastAsia="仿宋_GB2312" w:cs="仿宋_GB2312"/>
          <w:b/>
          <w:color w:val="000000"/>
          <w:sz w:val="32"/>
          <w:szCs w:val="32"/>
        </w:rPr>
        <w:t>6.农林水支出：</w:t>
      </w:r>
      <w:r>
        <w:rPr>
          <w:rStyle w:val="16"/>
          <w:rFonts w:hint="eastAsia" w:ascii="仿宋_GB2312" w:hAnsi="仿宋_GB2312" w:eastAsia="仿宋_GB2312" w:cs="仿宋_GB2312"/>
          <w:b w:val="0"/>
          <w:bCs/>
          <w:color w:val="000000"/>
          <w:sz w:val="32"/>
          <w:szCs w:val="32"/>
        </w:rPr>
        <w:t>2130104农业事业运行支出决算为94.48万元，完成预算100%； 2130204林业和草原事业机构支出决算为19.05万元，完成预算100%；2130399其他水利支出30.7万元完成预算100%， 2130705对村民委员会和村党支部的补助支出决算为161.02万元，完成预算100%；</w:t>
      </w:r>
    </w:p>
    <w:p>
      <w:pPr>
        <w:spacing w:line="600" w:lineRule="exact"/>
        <w:ind w:firstLine="640"/>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color w:val="000000"/>
          <w:sz w:val="32"/>
          <w:szCs w:val="32"/>
        </w:rPr>
        <w:t>7.自然资源海洋气象等支出：</w:t>
      </w:r>
      <w:r>
        <w:rPr>
          <w:rStyle w:val="16"/>
          <w:rFonts w:hint="eastAsia" w:ascii="仿宋_GB2312" w:hAnsi="仿宋_GB2312" w:eastAsia="仿宋_GB2312" w:cs="仿宋_GB2312"/>
          <w:b w:val="0"/>
          <w:bCs/>
          <w:color w:val="000000"/>
          <w:sz w:val="32"/>
          <w:szCs w:val="32"/>
        </w:rPr>
        <w:t>2200105土地资源调查支出决算为2万元，完成预算100%。</w:t>
      </w:r>
    </w:p>
    <w:p>
      <w:pPr>
        <w:spacing w:line="600" w:lineRule="exact"/>
        <w:ind w:firstLine="640"/>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color w:val="000000"/>
          <w:sz w:val="32"/>
          <w:szCs w:val="32"/>
        </w:rPr>
        <w:t>8.住房保障支出：</w:t>
      </w:r>
      <w:r>
        <w:rPr>
          <w:rStyle w:val="16"/>
          <w:rFonts w:hint="eastAsia" w:ascii="仿宋_GB2312" w:hAnsi="仿宋_GB2312" w:eastAsia="仿宋_GB2312" w:cs="仿宋_GB2312"/>
          <w:b w:val="0"/>
          <w:bCs/>
          <w:color w:val="000000"/>
          <w:sz w:val="32"/>
          <w:szCs w:val="32"/>
        </w:rPr>
        <w:t>2210201住房公积金支出决算为40.25万元，完成预算100%。</w:t>
      </w:r>
    </w:p>
    <w:p>
      <w:pPr>
        <w:spacing w:line="600" w:lineRule="exact"/>
        <w:ind w:firstLine="640"/>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color w:val="000000"/>
          <w:sz w:val="32"/>
          <w:szCs w:val="32"/>
        </w:rPr>
        <w:t>9.灾害防治及应急管理支出：</w:t>
      </w:r>
      <w:r>
        <w:rPr>
          <w:rStyle w:val="16"/>
          <w:rFonts w:hint="eastAsia" w:ascii="仿宋_GB2312" w:hAnsi="仿宋_GB2312" w:eastAsia="仿宋_GB2312" w:cs="仿宋_GB2312"/>
          <w:b w:val="0"/>
          <w:bCs/>
          <w:color w:val="000000"/>
          <w:sz w:val="32"/>
          <w:szCs w:val="32"/>
        </w:rPr>
        <w:t>2240106安全监管支出决算为5万元，完成预算100%。2240199其他应急管理支出1万元，完成预算100%。</w:t>
      </w:r>
    </w:p>
    <w:p>
      <w:pPr>
        <w:spacing w:line="600" w:lineRule="exact"/>
        <w:ind w:firstLine="640"/>
        <w:rPr>
          <w:rStyle w:val="16"/>
          <w:rFonts w:hint="eastAsia" w:ascii="仿宋_GB2312" w:hAnsi="仿宋_GB2312" w:eastAsia="仿宋_GB2312" w:cs="仿宋_GB2312"/>
          <w:b w:val="0"/>
          <w:bCs/>
          <w:color w:val="000000"/>
          <w:sz w:val="32"/>
          <w:szCs w:val="32"/>
        </w:rPr>
      </w:pPr>
      <w:r>
        <w:rPr>
          <w:rStyle w:val="16"/>
          <w:rFonts w:hint="eastAsia" w:ascii="仿宋_GB2312" w:hAnsi="仿宋_GB2312" w:eastAsia="仿宋_GB2312" w:cs="仿宋_GB2312"/>
          <w:b w:val="0"/>
          <w:bCs/>
          <w:color w:val="000000"/>
          <w:sz w:val="32"/>
          <w:szCs w:val="32"/>
        </w:rPr>
        <w:t>10.2299901其他支出50万元，完成预算100%。</w:t>
      </w:r>
    </w:p>
    <w:p>
      <w:pPr>
        <w:tabs>
          <w:tab w:val="right" w:pos="8306"/>
        </w:tabs>
        <w:spacing w:line="600" w:lineRule="exact"/>
        <w:ind w:firstLine="640"/>
        <w:outlineLvl w:val="1"/>
        <w:rPr>
          <w:rStyle w:val="29"/>
          <w:rFonts w:hint="eastAsia" w:ascii="仿宋_GB2312" w:hAnsi="仿宋_GB2312" w:eastAsia="仿宋_GB2312" w:cs="仿宋_GB2312"/>
        </w:rPr>
      </w:pPr>
      <w:bookmarkStart w:id="59" w:name="_Toc15396608"/>
      <w:bookmarkStart w:id="60" w:name="_Toc15377214"/>
      <w:bookmarkStart w:id="61" w:name="_Toc52180085"/>
      <w:r>
        <w:rPr>
          <w:rFonts w:hint="eastAsia" w:ascii="仿宋_GB2312" w:hAnsi="仿宋_GB2312" w:eastAsia="仿宋_GB2312" w:cs="仿宋_GB2312"/>
          <w:color w:val="000000"/>
          <w:sz w:val="32"/>
          <w:szCs w:val="32"/>
        </w:rPr>
        <w:t>六</w:t>
      </w:r>
      <w:r>
        <w:rPr>
          <w:rFonts w:hint="eastAsia" w:ascii="仿宋_GB2312" w:hAnsi="仿宋_GB2312" w:eastAsia="仿宋_GB2312" w:cs="仿宋_GB2312"/>
          <w:b/>
          <w:color w:val="000000"/>
          <w:sz w:val="32"/>
          <w:szCs w:val="32"/>
        </w:rPr>
        <w:t>、一</w:t>
      </w:r>
      <w:r>
        <w:rPr>
          <w:rStyle w:val="29"/>
          <w:rFonts w:hint="eastAsia" w:ascii="仿宋_GB2312" w:hAnsi="仿宋_GB2312" w:eastAsia="仿宋_GB2312" w:cs="仿宋_GB2312"/>
          <w:b w:val="0"/>
        </w:rPr>
        <w:t>般公共预算财政拨款基本支出决算情况说明</w:t>
      </w:r>
      <w:bookmarkEnd w:id="59"/>
      <w:bookmarkEnd w:id="60"/>
      <w:bookmarkEnd w:id="61"/>
      <w:r>
        <w:rPr>
          <w:rStyle w:val="29"/>
          <w:rFonts w:hint="eastAsia" w:ascii="仿宋_GB2312" w:hAnsi="仿宋_GB2312" w:eastAsia="仿宋_GB2312" w:cs="仿宋_GB2312"/>
          <w:b w:val="0"/>
        </w:rPr>
        <w:tab/>
      </w:r>
    </w:p>
    <w:p>
      <w:pPr>
        <w:spacing w:line="600" w:lineRule="exact"/>
        <w:ind w:firstLine="645"/>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一般公共预算财政拨款基本支出596.66万元，其中：人员经费507.57万元，主要包括：基本工资100.74万元、津贴补贴104.68万元、奖金143.64万元、绩效工资63.15万元、机关事业单位基本养老保险缴费35.68万元、其他社会保障缴费19.29万元、住房公积金40.25万元、其他工资福利支出0.13万元等。</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日常公用经费78.7万元，主要包括：办公费11.18万元、印刷费0.79万元、咨询费1.5万元，电费0.91万元、差旅费8.81万元、维修维护费0.05万元、会议费5.4万元、培训费0.9万元、公务接待费1万元、劳务费25.1万元、工会经费4.43万元、福利费3.09万元、公务用车运行维护费3.35万元、其他交通费11.15万元、其他商品服务支出1.04万元。</w:t>
      </w:r>
    </w:p>
    <w:p>
      <w:pPr>
        <w:spacing w:line="600" w:lineRule="exact"/>
        <w:ind w:firstLine="640"/>
        <w:outlineLvl w:val="1"/>
        <w:rPr>
          <w:rStyle w:val="29"/>
          <w:rFonts w:hint="eastAsia" w:ascii="仿宋_GB2312" w:hAnsi="仿宋_GB2312" w:eastAsia="仿宋_GB2312" w:cs="仿宋_GB2312"/>
          <w:b w:val="0"/>
        </w:rPr>
      </w:pPr>
      <w:bookmarkStart w:id="62" w:name="_Toc52180086"/>
      <w:bookmarkStart w:id="63" w:name="_Toc15396609"/>
      <w:bookmarkStart w:id="64" w:name="_Toc15377215"/>
      <w:r>
        <w:rPr>
          <w:rFonts w:hint="eastAsia" w:ascii="仿宋_GB2312" w:hAnsi="仿宋_GB2312" w:eastAsia="仿宋_GB2312" w:cs="仿宋_GB2312"/>
          <w:color w:val="000000"/>
          <w:sz w:val="32"/>
          <w:szCs w:val="32"/>
        </w:rPr>
        <w:t>七、</w:t>
      </w:r>
      <w:r>
        <w:rPr>
          <w:rStyle w:val="29"/>
          <w:rFonts w:hint="eastAsia" w:ascii="仿宋_GB2312" w:hAnsi="仿宋_GB2312" w:eastAsia="仿宋_GB2312" w:cs="仿宋_GB2312"/>
        </w:rPr>
        <w:t>“</w:t>
      </w:r>
      <w:r>
        <w:rPr>
          <w:rStyle w:val="29"/>
          <w:rFonts w:hint="eastAsia" w:ascii="仿宋_GB2312" w:hAnsi="仿宋_GB2312" w:eastAsia="仿宋_GB2312" w:cs="仿宋_GB2312"/>
          <w:b w:val="0"/>
        </w:rPr>
        <w:t>三公”经费财政拨款支出决算情况说明</w:t>
      </w:r>
      <w:bookmarkEnd w:id="62"/>
      <w:bookmarkEnd w:id="63"/>
      <w:bookmarkEnd w:id="64"/>
    </w:p>
    <w:p>
      <w:pPr>
        <w:spacing w:line="600" w:lineRule="exact"/>
        <w:ind w:firstLine="640"/>
        <w:outlineLvl w:val="2"/>
        <w:rPr>
          <w:rFonts w:hint="eastAsia" w:ascii="仿宋_GB2312" w:hAnsi="仿宋_GB2312" w:eastAsia="仿宋_GB2312" w:cs="仿宋_GB2312"/>
          <w:b/>
          <w:color w:val="000000"/>
          <w:sz w:val="32"/>
          <w:szCs w:val="32"/>
        </w:rPr>
      </w:pPr>
      <w:bookmarkStart w:id="65" w:name="_Toc15377216"/>
      <w:bookmarkStart w:id="66" w:name="_Toc52180087"/>
      <w:r>
        <w:rPr>
          <w:rFonts w:hint="eastAsia" w:ascii="仿宋_GB2312" w:hAnsi="仿宋_GB2312" w:eastAsia="仿宋_GB2312" w:cs="仿宋_GB2312"/>
          <w:b/>
          <w:color w:val="000000"/>
          <w:sz w:val="32"/>
          <w:szCs w:val="32"/>
        </w:rPr>
        <w:t>（一）“三公”经费财政拨款支出决算总体情况说明</w:t>
      </w:r>
      <w:bookmarkEnd w:id="65"/>
      <w:bookmarkEnd w:id="66"/>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2019年“三公”经费财政拨款支出决算为5.35万元，完成预算100%，其中：公务用车运行维护费4.35万元，公务接待费1万元、。</w:t>
      </w:r>
    </w:p>
    <w:p>
      <w:pPr>
        <w:spacing w:line="600" w:lineRule="exact"/>
        <w:ind w:firstLine="640"/>
        <w:outlineLvl w:val="2"/>
        <w:rPr>
          <w:rFonts w:hint="eastAsia" w:ascii="仿宋_GB2312" w:hAnsi="仿宋_GB2312" w:eastAsia="仿宋_GB2312" w:cs="仿宋_GB2312"/>
          <w:b/>
          <w:color w:val="000000"/>
          <w:sz w:val="32"/>
          <w:szCs w:val="32"/>
        </w:rPr>
      </w:pPr>
      <w:bookmarkStart w:id="67" w:name="_Toc15377217"/>
      <w:bookmarkStart w:id="68" w:name="_Toc52180088"/>
      <w:r>
        <w:rPr>
          <w:rFonts w:hint="eastAsia" w:ascii="仿宋_GB2312" w:hAnsi="仿宋_GB2312" w:eastAsia="仿宋_GB2312" w:cs="仿宋_GB2312"/>
          <w:b/>
          <w:color w:val="000000"/>
          <w:sz w:val="32"/>
          <w:szCs w:val="32"/>
        </w:rPr>
        <w:t>（二）“三公”经费财政拨款支出决算具体情况说明</w:t>
      </w:r>
      <w:bookmarkEnd w:id="67"/>
      <w:bookmarkEnd w:id="68"/>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2019年“三公”经费财政拨款支出决算中，因公出国（境）费支出决算0万元；公务用车购置及运行维护费支出决算4.35万元，占81.31%；公务接待费支出决算1万元，占18.69%。具体情况如下：</w:t>
      </w:r>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1.因公出国（境）经费支出0万元。</w:t>
      </w:r>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2.公务用车购置及运行维护费支出4.35万元,完成预算</w:t>
      </w:r>
      <w:r>
        <w:rPr>
          <w:rStyle w:val="16"/>
          <w:rFonts w:hint="eastAsia" w:ascii="仿宋_GB2312" w:hAnsi="仿宋_GB2312" w:eastAsia="仿宋_GB2312" w:cs="仿宋_GB2312"/>
          <w:b w:val="0"/>
          <w:bCs/>
          <w:color w:val="000000"/>
          <w:sz w:val="32"/>
          <w:szCs w:val="32"/>
        </w:rPr>
        <w:t>100%。</w:t>
      </w:r>
      <w:r>
        <w:rPr>
          <w:rFonts w:hint="eastAsia" w:ascii="仿宋_GB2312" w:hAnsi="仿宋_GB2312" w:eastAsia="仿宋_GB2312" w:cs="仿宋_GB2312"/>
          <w:color w:val="000000"/>
          <w:sz w:val="32"/>
          <w:szCs w:val="32"/>
        </w:rPr>
        <w:t>公务用车购置及运行维护费支出决算比2018年减少</w:t>
      </w:r>
      <w:r>
        <w:rPr>
          <w:rFonts w:hint="eastAsia" w:ascii="仿宋_GB2312" w:hAnsi="仿宋_GB2312" w:eastAsia="仿宋_GB2312" w:cs="仿宋_GB2312"/>
          <w:color w:val="000000"/>
          <w:sz w:val="32"/>
          <w:szCs w:val="32"/>
          <w:lang w:val="en-US" w:eastAsia="zh-CN"/>
        </w:rPr>
        <w:t>1.41</w:t>
      </w:r>
      <w:r>
        <w:rPr>
          <w:rFonts w:hint="eastAsia" w:ascii="仿宋_GB2312" w:hAnsi="仿宋_GB2312" w:eastAsia="仿宋_GB2312" w:cs="仿宋_GB2312"/>
          <w:color w:val="000000"/>
          <w:sz w:val="32"/>
          <w:szCs w:val="32"/>
        </w:rPr>
        <w:t>万元，下降</w:t>
      </w:r>
      <w:r>
        <w:rPr>
          <w:rFonts w:hint="eastAsia" w:ascii="仿宋_GB2312" w:hAnsi="仿宋_GB2312" w:eastAsia="仿宋_GB2312" w:cs="仿宋_GB2312"/>
          <w:color w:val="000000"/>
          <w:sz w:val="32"/>
          <w:szCs w:val="32"/>
          <w:lang w:val="en-US" w:eastAsia="zh-CN"/>
        </w:rPr>
        <w:t>24.48</w:t>
      </w:r>
      <w:r>
        <w:rPr>
          <w:rFonts w:hint="eastAsia" w:ascii="仿宋_GB2312" w:hAnsi="仿宋_GB2312" w:eastAsia="仿宋_GB2312" w:cs="仿宋_GB2312"/>
          <w:color w:val="000000"/>
          <w:sz w:val="32"/>
          <w:szCs w:val="32"/>
        </w:rPr>
        <w:t>%。主要原因是维修费用减少。</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其中：</w:t>
      </w:r>
      <w:r>
        <w:rPr>
          <w:rFonts w:hint="eastAsia" w:ascii="仿宋_GB2312" w:hAnsi="仿宋_GB2312" w:eastAsia="仿宋_GB2312" w:cs="仿宋_GB2312"/>
          <w:b/>
          <w:color w:val="000000"/>
          <w:sz w:val="32"/>
          <w:szCs w:val="32"/>
        </w:rPr>
        <w:t>公务用车购置支出</w:t>
      </w:r>
      <w:r>
        <w:rPr>
          <w:rFonts w:hint="eastAsia" w:ascii="仿宋_GB2312" w:hAnsi="仿宋_GB2312" w:eastAsia="仿宋_GB2312" w:cs="仿宋_GB2312"/>
          <w:color w:val="000000"/>
          <w:sz w:val="32"/>
          <w:szCs w:val="32"/>
        </w:rPr>
        <w:t>0万元。全年按规定更新购置公务用车0辆，金额0元。截至2019年12月底，单位共有公务用车1辆，其中：主要领导干部用车0辆、机要通信用车0辆、应急保障用车1辆、 执法执勤用车0辆、特种专业技术用车0辆。</w:t>
      </w:r>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公务用车运行维护费支出</w:t>
      </w:r>
      <w:r>
        <w:rPr>
          <w:rFonts w:hint="eastAsia" w:ascii="仿宋_GB2312" w:hAnsi="仿宋_GB2312" w:eastAsia="仿宋_GB2312" w:cs="仿宋_GB2312"/>
          <w:color w:val="000000"/>
          <w:sz w:val="32"/>
          <w:szCs w:val="32"/>
        </w:rPr>
        <w:t>4.35万元。主要用于具体工作等所需的公务用车燃料费、维修费、过路过桥费、保险费等支出。</w:t>
      </w:r>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3.公务接待费支出</w:t>
      </w:r>
      <w:r>
        <w:rPr>
          <w:rFonts w:hint="eastAsia" w:ascii="仿宋_GB2312" w:hAnsi="仿宋_GB2312" w:eastAsia="仿宋_GB2312" w:cs="仿宋_GB2312"/>
          <w:color w:val="000000"/>
          <w:sz w:val="32"/>
          <w:szCs w:val="32"/>
        </w:rPr>
        <w:t>1万元，</w:t>
      </w:r>
      <w:r>
        <w:rPr>
          <w:rStyle w:val="16"/>
          <w:rFonts w:hint="eastAsia" w:ascii="仿宋_GB2312" w:hAnsi="仿宋_GB2312" w:eastAsia="仿宋_GB2312" w:cs="仿宋_GB2312"/>
          <w:b w:val="0"/>
          <w:bCs/>
          <w:color w:val="000000"/>
          <w:sz w:val="32"/>
          <w:szCs w:val="32"/>
        </w:rPr>
        <w:t>完成预算100%。</w:t>
      </w:r>
      <w:r>
        <w:rPr>
          <w:rFonts w:hint="eastAsia" w:ascii="仿宋_GB2312" w:hAnsi="仿宋_GB2312" w:eastAsia="仿宋_GB2312" w:cs="仿宋_GB2312"/>
          <w:color w:val="000000"/>
          <w:sz w:val="32"/>
          <w:szCs w:val="32"/>
        </w:rPr>
        <w:t>公务接待费支出决算比2018年</w:t>
      </w:r>
      <w:r>
        <w:rPr>
          <w:rFonts w:hint="eastAsia" w:ascii="仿宋_GB2312" w:hAnsi="仿宋_GB2312" w:eastAsia="仿宋_GB2312" w:cs="仿宋_GB2312"/>
          <w:color w:val="000000"/>
          <w:sz w:val="32"/>
          <w:szCs w:val="32"/>
          <w:lang w:eastAsia="zh-CN"/>
        </w:rPr>
        <w:t>减少</w:t>
      </w:r>
      <w:r>
        <w:rPr>
          <w:rFonts w:hint="eastAsia" w:ascii="仿宋_GB2312" w:hAnsi="仿宋_GB2312" w:eastAsia="仿宋_GB2312" w:cs="仿宋_GB2312"/>
          <w:color w:val="000000"/>
          <w:sz w:val="32"/>
          <w:szCs w:val="32"/>
          <w:lang w:val="en-US" w:eastAsia="zh-CN"/>
        </w:rPr>
        <w:t>0.54</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下降</w:t>
      </w:r>
      <w:r>
        <w:rPr>
          <w:rFonts w:hint="eastAsia" w:ascii="仿宋_GB2312" w:hAnsi="仿宋_GB2312" w:eastAsia="仿宋_GB2312" w:cs="仿宋_GB2312"/>
          <w:color w:val="000000"/>
          <w:sz w:val="32"/>
          <w:szCs w:val="32"/>
          <w:lang w:val="en-US" w:eastAsia="zh-CN"/>
        </w:rPr>
        <w:t>35.06</w:t>
      </w:r>
      <w:r>
        <w:rPr>
          <w:rFonts w:hint="eastAsia" w:ascii="仿宋_GB2312" w:hAnsi="仿宋_GB2312" w:eastAsia="仿宋_GB2312" w:cs="仿宋_GB2312"/>
          <w:color w:val="000000"/>
          <w:sz w:val="32"/>
          <w:szCs w:val="32"/>
        </w:rPr>
        <w:t>%。主要原因是接待</w:t>
      </w:r>
      <w:r>
        <w:rPr>
          <w:rFonts w:hint="eastAsia" w:ascii="仿宋_GB2312" w:hAnsi="仿宋_GB2312" w:eastAsia="仿宋_GB2312" w:cs="仿宋_GB2312"/>
          <w:color w:val="000000"/>
          <w:sz w:val="32"/>
          <w:szCs w:val="32"/>
          <w:lang w:eastAsia="zh-CN"/>
        </w:rPr>
        <w:t>减少</w:t>
      </w:r>
      <w:r>
        <w:rPr>
          <w:rFonts w:hint="eastAsia" w:ascii="仿宋_GB2312" w:hAnsi="仿宋_GB2312" w:eastAsia="仿宋_GB2312" w:cs="仿宋_GB2312"/>
          <w:color w:val="000000"/>
          <w:sz w:val="32"/>
          <w:szCs w:val="32"/>
        </w:rPr>
        <w:t>，其中：</w:t>
      </w:r>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国内公务接待支出1万元，主要用于执行公务、开展业务活动开支的交通费、住宿费、用餐费等。国内公务接待14批次，</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0人次（不包括陪同人员），共计支出1万元，具体内容包括：市、县各部门公务接待用餐。</w:t>
      </w: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外事接待支出0万元，外事接待0批次，0人，共计支出0万元。</w:t>
      </w:r>
      <w:bookmarkStart w:id="69" w:name="_Toc15377218"/>
      <w:bookmarkStart w:id="70" w:name="_Toc15396610"/>
    </w:p>
    <w:p>
      <w:pPr>
        <w:spacing w:line="600" w:lineRule="exact"/>
        <w:ind w:firstLine="640"/>
        <w:outlineLvl w:val="1"/>
        <w:rPr>
          <w:rStyle w:val="29"/>
          <w:rFonts w:hint="eastAsia" w:ascii="仿宋_GB2312" w:hAnsi="仿宋_GB2312" w:eastAsia="仿宋_GB2312" w:cs="仿宋_GB2312"/>
        </w:rPr>
      </w:pPr>
      <w:bookmarkStart w:id="71" w:name="_Toc52180089"/>
      <w:r>
        <w:rPr>
          <w:rFonts w:hint="eastAsia" w:ascii="仿宋_GB2312" w:hAnsi="仿宋_GB2312" w:eastAsia="仿宋_GB2312" w:cs="仿宋_GB2312"/>
          <w:color w:val="000000"/>
          <w:sz w:val="32"/>
          <w:szCs w:val="32"/>
        </w:rPr>
        <w:t>八、</w:t>
      </w:r>
      <w:r>
        <w:rPr>
          <w:rStyle w:val="29"/>
          <w:rFonts w:hint="eastAsia" w:ascii="仿宋_GB2312" w:hAnsi="仿宋_GB2312" w:eastAsia="仿宋_GB2312" w:cs="仿宋_GB2312"/>
          <w:b w:val="0"/>
        </w:rPr>
        <w:t>政府性基金预算支出决算情况说明</w:t>
      </w:r>
      <w:bookmarkEnd w:id="69"/>
      <w:bookmarkEnd w:id="70"/>
      <w:bookmarkEnd w:id="71"/>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2019年政府性基金预算拨款支出0万元。</w:t>
      </w:r>
    </w:p>
    <w:p>
      <w:pPr>
        <w:numPr>
          <w:ilvl w:val="0"/>
          <w:numId w:val="3"/>
        </w:numPr>
        <w:spacing w:line="600" w:lineRule="exact"/>
        <w:ind w:firstLine="640"/>
        <w:outlineLvl w:val="1"/>
        <w:rPr>
          <w:rStyle w:val="29"/>
          <w:rFonts w:hint="eastAsia" w:ascii="仿宋_GB2312" w:hAnsi="仿宋_GB2312" w:eastAsia="仿宋_GB2312" w:cs="仿宋_GB2312"/>
          <w:b w:val="0"/>
        </w:rPr>
      </w:pPr>
      <w:bookmarkStart w:id="72" w:name="_Toc15377219"/>
      <w:bookmarkStart w:id="73" w:name="_Toc15396611"/>
      <w:bookmarkStart w:id="74" w:name="_Toc52180090"/>
      <w:r>
        <w:rPr>
          <w:rStyle w:val="29"/>
          <w:rFonts w:hint="eastAsia" w:ascii="仿宋_GB2312" w:hAnsi="仿宋_GB2312" w:eastAsia="仿宋_GB2312" w:cs="仿宋_GB2312"/>
          <w:b w:val="0"/>
        </w:rPr>
        <w:t>国有资本经营预算支出决算情况说明</w:t>
      </w:r>
      <w:bookmarkEnd w:id="72"/>
      <w:bookmarkEnd w:id="73"/>
      <w:bookmarkEnd w:id="74"/>
    </w:p>
    <w:p>
      <w:pPr>
        <w:spacing w:line="600" w:lineRule="exact"/>
        <w:ind w:firstLine="640"/>
        <w:rPr>
          <w:rFonts w:hint="eastAsia" w:ascii="仿宋_GB2312" w:hAnsi="仿宋_GB2312" w:eastAsia="仿宋_GB2312" w:cs="仿宋_GB2312"/>
          <w:sz w:val="44"/>
          <w:szCs w:val="44"/>
        </w:rPr>
      </w:pPr>
      <w:r>
        <w:rPr>
          <w:rFonts w:hint="eastAsia" w:ascii="仿宋_GB2312" w:hAnsi="仿宋_GB2312" w:eastAsia="仿宋_GB2312" w:cs="仿宋_GB2312"/>
          <w:color w:val="000000"/>
          <w:sz w:val="32"/>
          <w:szCs w:val="32"/>
        </w:rPr>
        <w:t>2019年国有资本经营预算拨款支出0万元。</w:t>
      </w:r>
    </w:p>
    <w:p>
      <w:pPr>
        <w:spacing w:line="600" w:lineRule="exact"/>
        <w:ind w:firstLine="800" w:firstLineChars="250"/>
        <w:outlineLvl w:val="1"/>
        <w:rPr>
          <w:rStyle w:val="29"/>
          <w:rFonts w:hint="eastAsia" w:ascii="仿宋_GB2312" w:hAnsi="仿宋_GB2312" w:eastAsia="仿宋_GB2312" w:cs="仿宋_GB2312"/>
        </w:rPr>
      </w:pPr>
      <w:bookmarkStart w:id="75" w:name="_Toc52180091"/>
      <w:bookmarkStart w:id="76" w:name="_Toc15396612"/>
      <w:bookmarkStart w:id="77" w:name="_Toc15377221"/>
      <w:r>
        <w:rPr>
          <w:rFonts w:hint="eastAsia" w:ascii="仿宋_GB2312" w:hAnsi="仿宋_GB2312" w:eastAsia="仿宋_GB2312" w:cs="仿宋_GB2312"/>
          <w:color w:val="000000"/>
          <w:sz w:val="32"/>
          <w:szCs w:val="32"/>
        </w:rPr>
        <w:t>十</w:t>
      </w:r>
      <w:r>
        <w:rPr>
          <w:rStyle w:val="29"/>
          <w:rFonts w:hint="eastAsia" w:ascii="仿宋_GB2312" w:hAnsi="仿宋_GB2312" w:eastAsia="仿宋_GB2312" w:cs="仿宋_GB2312"/>
        </w:rPr>
        <w:t>、</w:t>
      </w:r>
      <w:r>
        <w:rPr>
          <w:rStyle w:val="29"/>
          <w:rFonts w:hint="eastAsia" w:ascii="仿宋_GB2312" w:hAnsi="仿宋_GB2312" w:eastAsia="仿宋_GB2312" w:cs="仿宋_GB2312"/>
          <w:b w:val="0"/>
        </w:rPr>
        <w:t>其他重要事项的情况说明</w:t>
      </w:r>
      <w:bookmarkEnd w:id="75"/>
      <w:bookmarkEnd w:id="76"/>
      <w:bookmarkEnd w:id="77"/>
    </w:p>
    <w:p>
      <w:pPr>
        <w:spacing w:line="600" w:lineRule="exact"/>
        <w:ind w:firstLine="643" w:firstLineChars="200"/>
        <w:outlineLvl w:val="2"/>
        <w:rPr>
          <w:rFonts w:hint="eastAsia" w:ascii="仿宋_GB2312" w:hAnsi="仿宋_GB2312" w:eastAsia="仿宋_GB2312" w:cs="仿宋_GB2312"/>
          <w:color w:val="000000"/>
          <w:sz w:val="32"/>
          <w:szCs w:val="32"/>
        </w:rPr>
      </w:pPr>
      <w:bookmarkStart w:id="78" w:name="_Toc52180092"/>
      <w:bookmarkStart w:id="79" w:name="_Toc15377222"/>
      <w:r>
        <w:rPr>
          <w:rFonts w:hint="eastAsia" w:ascii="仿宋_GB2312" w:hAnsi="仿宋_GB2312" w:eastAsia="仿宋_GB2312" w:cs="仿宋_GB2312"/>
          <w:b/>
          <w:color w:val="000000"/>
          <w:sz w:val="32"/>
          <w:szCs w:val="32"/>
        </w:rPr>
        <w:t>（一）机关运行经费支出情况</w:t>
      </w:r>
      <w:bookmarkEnd w:id="78"/>
      <w:bookmarkEnd w:id="79"/>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2019年，机关运行经费支出78.7万元，比2018年减少</w:t>
      </w:r>
      <w:r>
        <w:rPr>
          <w:rFonts w:hint="eastAsia" w:ascii="仿宋_GB2312" w:hAnsi="仿宋_GB2312" w:eastAsia="仿宋_GB2312" w:cs="仿宋_GB2312"/>
          <w:color w:val="000000"/>
          <w:sz w:val="32"/>
          <w:szCs w:val="32"/>
          <w:lang w:val="en-US" w:eastAsia="zh-CN"/>
        </w:rPr>
        <w:t>8.34</w:t>
      </w:r>
      <w:r>
        <w:rPr>
          <w:rFonts w:hint="eastAsia" w:ascii="仿宋_GB2312" w:hAnsi="仿宋_GB2312" w:eastAsia="仿宋_GB2312" w:cs="仿宋_GB2312"/>
          <w:color w:val="000000"/>
          <w:sz w:val="32"/>
          <w:szCs w:val="32"/>
        </w:rPr>
        <w:t>万元，下降</w:t>
      </w:r>
      <w:r>
        <w:rPr>
          <w:rFonts w:hint="eastAsia" w:ascii="仿宋_GB2312" w:hAnsi="仿宋_GB2312" w:eastAsia="仿宋_GB2312" w:cs="仿宋_GB2312"/>
          <w:color w:val="000000"/>
          <w:sz w:val="32"/>
          <w:szCs w:val="32"/>
          <w:lang w:val="en-US" w:eastAsia="zh-CN"/>
        </w:rPr>
        <w:t>9.58</w:t>
      </w:r>
      <w:r>
        <w:rPr>
          <w:rFonts w:hint="eastAsia" w:ascii="仿宋_GB2312" w:hAnsi="仿宋_GB2312" w:eastAsia="仿宋_GB2312" w:cs="仿宋_GB2312"/>
          <w:color w:val="000000"/>
          <w:sz w:val="32"/>
          <w:szCs w:val="32"/>
        </w:rPr>
        <w:t>%。主要原因是人员变动。</w:t>
      </w:r>
    </w:p>
    <w:p>
      <w:pPr>
        <w:autoSpaceDE w:val="0"/>
        <w:autoSpaceDN w:val="0"/>
        <w:adjustRightInd w:val="0"/>
        <w:spacing w:line="600" w:lineRule="exact"/>
        <w:ind w:firstLine="643" w:firstLineChars="200"/>
        <w:jc w:val="left"/>
        <w:outlineLvl w:val="2"/>
        <w:rPr>
          <w:rFonts w:hint="eastAsia" w:ascii="仿宋_GB2312" w:hAnsi="仿宋_GB2312" w:eastAsia="仿宋_GB2312" w:cs="仿宋_GB2312"/>
          <w:b/>
          <w:color w:val="000000"/>
          <w:sz w:val="32"/>
          <w:szCs w:val="32"/>
        </w:rPr>
      </w:pPr>
      <w:bookmarkStart w:id="80" w:name="_Toc15377223"/>
      <w:bookmarkStart w:id="81" w:name="_Toc52180093"/>
      <w:r>
        <w:rPr>
          <w:rFonts w:hint="eastAsia" w:ascii="仿宋_GB2312" w:hAnsi="仿宋_GB2312" w:eastAsia="仿宋_GB2312" w:cs="仿宋_GB2312"/>
          <w:b/>
          <w:color w:val="000000"/>
          <w:sz w:val="32"/>
          <w:szCs w:val="32"/>
        </w:rPr>
        <w:t>（二）政府采购支出情况</w:t>
      </w:r>
      <w:bookmarkEnd w:id="80"/>
      <w:bookmarkEnd w:id="81"/>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hint="eastAsia" w:ascii="仿宋_GB2312" w:hAnsi="仿宋_GB2312" w:eastAsia="仿宋_GB2312" w:cs="仿宋_GB2312"/>
          <w:b/>
          <w:color w:val="000000"/>
          <w:sz w:val="32"/>
          <w:szCs w:val="32"/>
        </w:rPr>
      </w:pPr>
      <w:bookmarkStart w:id="82" w:name="_Toc15377224"/>
      <w:bookmarkStart w:id="83" w:name="_Toc52180094"/>
      <w:r>
        <w:rPr>
          <w:rFonts w:hint="eastAsia" w:ascii="仿宋_GB2312" w:hAnsi="仿宋_GB2312" w:eastAsia="仿宋_GB2312" w:cs="仿宋_GB2312"/>
          <w:b/>
          <w:color w:val="000000"/>
          <w:sz w:val="32"/>
          <w:szCs w:val="32"/>
        </w:rPr>
        <w:t>（三）国有资产占有使用情况</w:t>
      </w:r>
      <w:bookmarkEnd w:id="82"/>
      <w:bookmarkEnd w:id="83"/>
    </w:p>
    <w:p>
      <w:pPr>
        <w:autoSpaceDE w:val="0"/>
        <w:autoSpaceDN w:val="0"/>
        <w:adjustRightInd w:val="0"/>
        <w:spacing w:line="600" w:lineRule="exact"/>
        <w:ind w:firstLine="640" w:firstLineChars="200"/>
        <w:jc w:val="left"/>
        <w:rPr>
          <w:rFonts w:hint="eastAsia" w:ascii="仿宋_GB2312" w:hAnsi="仿宋_GB2312" w:eastAsia="仿宋_GB2312" w:cs="仿宋_GB2312"/>
          <w:b/>
          <w:color w:val="FF0000"/>
          <w:sz w:val="32"/>
          <w:szCs w:val="32"/>
        </w:rPr>
      </w:pPr>
      <w:r>
        <w:rPr>
          <w:rFonts w:hint="eastAsia" w:ascii="仿宋_GB2312" w:hAnsi="仿宋_GB2312" w:eastAsia="仿宋_GB2312" w:cs="仿宋_GB2312"/>
          <w:color w:val="000000"/>
          <w:sz w:val="32"/>
          <w:szCs w:val="32"/>
        </w:rPr>
        <w:t>截至2019年12月31日，共有车辆1辆，其中：主要领导干部用车0辆、机要通信用车0辆、应急保障用车1辆、特种专业技术用车0辆，单价50万元以上通用设备0台（套），单价100万元以上专用设备0台（套）。</w:t>
      </w:r>
    </w:p>
    <w:p>
      <w:pPr>
        <w:autoSpaceDE w:val="0"/>
        <w:autoSpaceDN w:val="0"/>
        <w:adjustRightInd w:val="0"/>
        <w:spacing w:line="600" w:lineRule="exact"/>
        <w:ind w:firstLine="643" w:firstLineChars="200"/>
        <w:jc w:val="left"/>
        <w:outlineLvl w:val="2"/>
        <w:rPr>
          <w:rFonts w:hint="eastAsia" w:ascii="仿宋_GB2312" w:hAnsi="仿宋_GB2312" w:eastAsia="仿宋_GB2312" w:cs="仿宋_GB2312"/>
          <w:b/>
          <w:color w:val="000000"/>
          <w:sz w:val="32"/>
          <w:szCs w:val="32"/>
        </w:rPr>
      </w:pPr>
      <w:bookmarkStart w:id="84" w:name="_Toc52180095"/>
      <w:r>
        <w:rPr>
          <w:rFonts w:hint="eastAsia" w:ascii="仿宋_GB2312" w:hAnsi="仿宋_GB2312" w:eastAsia="仿宋_GB2312" w:cs="仿宋_GB2312"/>
          <w:b/>
          <w:color w:val="000000"/>
          <w:sz w:val="32"/>
          <w:szCs w:val="32"/>
        </w:rPr>
        <w:t>（四）预算绩效管理情况。</w:t>
      </w:r>
      <w:bookmarkEnd w:id="84"/>
    </w:p>
    <w:p>
      <w:pPr>
        <w:autoSpaceDE w:val="0"/>
        <w:autoSpaceDN w:val="0"/>
        <w:adjustRightInd w:val="0"/>
        <w:spacing w:line="60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预算绩效管理要求，本部门（单位）在年初预算编制阶段，组织对18个项目开展了预算事前绩效评估，对18个项目编制了绩效目标，预算执行过程中，选取5个项目开展绩效监控，年终执行完毕后，对5个项目开展了绩效目标完成情况梳理填报。</w:t>
      </w:r>
    </w:p>
    <w:p>
      <w:pPr>
        <w:autoSpaceDE w:val="0"/>
        <w:autoSpaceDN w:val="0"/>
        <w:adjustRightInd w:val="0"/>
        <w:spacing w:line="60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本部门按要求对2019年部门整体支出开展绩效自评，从评价情况来看项目整体实施完成情况良好。</w:t>
      </w:r>
    </w:p>
    <w:p>
      <w:pPr>
        <w:pStyle w:val="13"/>
        <w:shd w:val="clear" w:color="auto" w:fill="FFFFFF"/>
        <w:spacing w:before="93" w:beforeAutospacing="0" w:after="0" w:afterAutospacing="0" w:line="353" w:lineRule="auto"/>
        <w:ind w:firstLine="643"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bCs/>
          <w:sz w:val="32"/>
          <w:szCs w:val="32"/>
        </w:rPr>
        <w:t>项目绩效目标完成情况。</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sz w:val="32"/>
          <w:szCs w:val="32"/>
        </w:rPr>
        <w:t>1.项目绩效目标完成情况。</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color w:val="333333"/>
          <w:sz w:val="32"/>
          <w:szCs w:val="32"/>
          <w:shd w:val="clear" w:color="auto" w:fill="FFFFFF"/>
        </w:rPr>
        <w:t>2019年专项资金预算安排249.85万元。主要包括：</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1、</w:t>
      </w:r>
      <w:r>
        <w:rPr>
          <w:rFonts w:hint="eastAsia" w:ascii="仿宋_GB2312" w:hAnsi="仿宋_GB2312" w:eastAsia="仿宋_GB2312" w:cs="仿宋_GB2312"/>
          <w:sz w:val="32"/>
          <w:szCs w:val="32"/>
        </w:rPr>
        <w:t>人大代表会议费2.99万元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2、（财政返还）根据盐边财预【2018】16号下达毛之惹同志一次性抚恤金、丧葬费14.1万元， </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3、2019年乡安排统计四经普工作经费0.5万元，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4、乡村治理补助1.6万元，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5、政府信访维稳经费1万元，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6、大平台软件维护费0.24万元， </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7、A++软件维护费1.3万元，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8、（财政返还）根据川财预【2017】111号下达2018年度三州开发专项资金（用于温泉乡热水塘村社道硬化项目）15.41万元，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9、团委、妇联、关工委工作经费0.5万元，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10、党员干部现代远程教育经费1.4万元， </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11、2019年农村党员培训费0.6万元，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12、武装工作经费0.5万元， </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13、2019年五保户供养经费32.74万元，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14、卫生计生工作经费2万元，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15、（财政返还）下达全乡基础设施建设及水毁工程款30.77万元， </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16、2019村办公经费20万元， </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17、2019年村社干部补贴保险及2018年村干部绩效103.08万元，</w:t>
      </w:r>
    </w:p>
    <w:p>
      <w:pPr>
        <w:pStyle w:val="13"/>
        <w:shd w:val="clear" w:color="auto" w:fill="FFFFFF"/>
        <w:spacing w:before="93"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18、根据盐财资预【2019】2号下达2019省级年村公共运行维护费21万元。</w:t>
      </w: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p>
      <w:pPr>
        <w:spacing w:line="580" w:lineRule="exact"/>
        <w:ind w:firstLine="640" w:firstLineChars="200"/>
        <w:rPr>
          <w:rFonts w:hint="eastAsia" w:ascii="仿宋_GB2312" w:hAnsi="仿宋_GB2312" w:eastAsia="仿宋_GB2312" w:cs="仿宋_GB2312"/>
          <w:color w:val="FF0000"/>
          <w:sz w:val="32"/>
          <w:szCs w:val="32"/>
        </w:rPr>
      </w:pPr>
    </w:p>
    <w:tbl>
      <w:tblPr>
        <w:tblStyle w:val="14"/>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b/>
                <w:bCs/>
                <w:color w:val="000000"/>
                <w:kern w:val="0"/>
                <w:sz w:val="36"/>
                <w:szCs w:val="36"/>
              </w:rPr>
              <w:t>项目绩效目标完成情况表</w:t>
            </w:r>
            <w:r>
              <w:rPr>
                <w:rFonts w:hint="eastAsia" w:ascii="仿宋_GB2312" w:hAnsi="仿宋_GB2312" w:eastAsia="仿宋_GB2312" w:cs="仿宋_GB2312"/>
                <w:b/>
                <w:bCs/>
                <w:color w:val="000000"/>
                <w:kern w:val="0"/>
                <w:sz w:val="36"/>
                <w:szCs w:val="36"/>
              </w:rPr>
              <w:br w:type="textWrapping"/>
            </w:r>
            <w:r>
              <w:rPr>
                <w:rFonts w:hint="eastAsia" w:ascii="仿宋_GB2312" w:hAnsi="仿宋_GB2312" w:eastAsia="仿宋_GB2312" w:cs="仿宋_GB2312"/>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2019年村级公共运行维护费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温泉乡人民政府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21万元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顺利开展温泉乡7个村39个村民小组日常工作，保障基本民生，收益群众</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开展村级日常道路养护，村部卫生管理社区安全监管等工作</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顺利开展温泉乡7个村39个村民小组日常工作，保障基本民生，收益群众</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开展村级日常道路养护，村部卫生管理</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社区安全监管等工作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开展村级日常道路养护，村部卫生管理</w:t>
            </w:r>
            <w:r>
              <w:rPr>
                <w:rFonts w:hint="eastAsia" w:ascii="仿宋_GB2312" w:hAnsi="仿宋_GB2312" w:eastAsia="仿宋_GB2312" w:cs="仿宋_GB2312"/>
                <w:color w:val="000000"/>
                <w:sz w:val="24"/>
                <w:lang w:eastAsia="zh-CN"/>
              </w:rPr>
              <w:t>、</w:t>
            </w:r>
            <w:r>
              <w:rPr>
                <w:rFonts w:hint="eastAsia" w:ascii="仿宋_GB2312" w:hAnsi="仿宋_GB2312" w:eastAsia="仿宋_GB2312" w:cs="仿宋_GB2312"/>
                <w:color w:val="000000"/>
                <w:sz w:val="24"/>
              </w:rPr>
              <w:t>社区安全监管等工作</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开展村级日常道路养护，村部卫生管理社区安全监管等工作</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开展村级日常道路养护，村部卫生管理社区安全监管等工作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开展村级日常道路养护，村部卫生管理社区安全监管等工作</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满意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满意</w:t>
            </w:r>
          </w:p>
        </w:tc>
      </w:tr>
    </w:tbl>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tbl>
      <w:tblPr>
        <w:tblStyle w:val="14"/>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b/>
                <w:bCs/>
                <w:color w:val="000000"/>
                <w:kern w:val="0"/>
                <w:sz w:val="36"/>
                <w:szCs w:val="36"/>
              </w:rPr>
              <w:t>项目绩效目标完成情况表</w:t>
            </w:r>
            <w:r>
              <w:rPr>
                <w:rFonts w:hint="eastAsia" w:ascii="仿宋_GB2312" w:hAnsi="仿宋_GB2312" w:eastAsia="仿宋_GB2312" w:cs="仿宋_GB2312"/>
                <w:b/>
                <w:bCs/>
                <w:color w:val="000000"/>
                <w:kern w:val="0"/>
                <w:sz w:val="36"/>
                <w:szCs w:val="36"/>
              </w:rPr>
              <w:br w:type="textWrapping"/>
            </w:r>
            <w:r>
              <w:rPr>
                <w:rFonts w:hint="eastAsia" w:ascii="仿宋_GB2312" w:hAnsi="仿宋_GB2312" w:eastAsia="仿宋_GB2312" w:cs="仿宋_GB2312"/>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rPr>
              <w:t>2019年安全监管经费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温泉乡人民政府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保障全乡日常安全生产工作，顺利开展，完成各级安排的安全生产任务</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保障全乡日常安全生产工作，顺利开展，完成各级安排的安全生产任务</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安全生产工作，顺利开展，完成全乡各级安排的安全生产任务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安全生产工作，顺利开展，完成7个村级39个村民小组的安全宣传广告制作等工作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安全生产工作，顺利开展，完成7个村级39个村民小组的安全宣传广告制作等工作</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安全生产工作，顺利开展，完成6个村级10多家企业各级安排的安全生产任务1天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安全生产工作，顺利开展，完成7个村级39个村民小组的安全宣传广告制作等工作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b/>
                <w:bCs/>
                <w:color w:val="000000"/>
                <w:sz w:val="24"/>
              </w:rPr>
            </w:pPr>
            <w:r>
              <w:rPr>
                <w:rFonts w:hint="eastAsia" w:ascii="仿宋_GB2312" w:hAnsi="仿宋_GB2312" w:eastAsia="仿宋_GB2312" w:cs="仿宋_GB2312"/>
                <w:color w:val="000000"/>
                <w:sz w:val="24"/>
              </w:rPr>
              <w:t>安全生产工作，顺利开展，完成7个村级39个村民小组的安全宣传广告制作等工作，完成各级安排的安全生产任务</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增加群众安全意识，保障我乡群众安全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增加群众安全意识，保障我乡群众安全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增加群众安全意识，保障我乡群众安全</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r>
    </w:tbl>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tbl>
      <w:tblPr>
        <w:tblStyle w:val="14"/>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b/>
                <w:bCs/>
                <w:color w:val="000000"/>
                <w:kern w:val="0"/>
                <w:sz w:val="36"/>
                <w:szCs w:val="36"/>
              </w:rPr>
              <w:t>项目绩效目标完成情况表</w:t>
            </w:r>
            <w:r>
              <w:rPr>
                <w:rFonts w:hint="eastAsia" w:ascii="仿宋_GB2312" w:hAnsi="仿宋_GB2312" w:eastAsia="仿宋_GB2312" w:cs="仿宋_GB2312"/>
                <w:b/>
                <w:bCs/>
                <w:color w:val="000000"/>
                <w:kern w:val="0"/>
                <w:sz w:val="36"/>
                <w:szCs w:val="36"/>
              </w:rPr>
              <w:br w:type="textWrapping"/>
            </w:r>
            <w:r>
              <w:rPr>
                <w:rFonts w:hint="eastAsia" w:ascii="仿宋_GB2312" w:hAnsi="仿宋_GB2312" w:eastAsia="仿宋_GB2312" w:cs="仿宋_GB2312"/>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人大代表之家建设</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温泉乡人民政府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0.93万元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0.93万元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0.93万元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0.93万元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完成我乡人大之家办公用品设备购买</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购买桌椅一套，日常办公用品办公用品购买</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完成我乡人大之家办公用品设备购买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购买桌椅一套，日常办公用品办公用品购买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购买桌椅一套，日常办公用品办公用品购买</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保障人大工作顺利开展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保障人大工作顺利开展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保障人大工作顺利开展</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r>
    </w:tbl>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tbl>
      <w:tblPr>
        <w:tblStyle w:val="14"/>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b/>
                <w:bCs/>
                <w:color w:val="000000"/>
                <w:kern w:val="0"/>
                <w:sz w:val="36"/>
                <w:szCs w:val="36"/>
              </w:rPr>
              <w:t>项目绩效目标完成情况表</w:t>
            </w:r>
            <w:r>
              <w:rPr>
                <w:rFonts w:hint="eastAsia" w:ascii="仿宋_GB2312" w:hAnsi="仿宋_GB2312" w:eastAsia="仿宋_GB2312" w:cs="仿宋_GB2312"/>
                <w:b/>
                <w:bCs/>
                <w:color w:val="000000"/>
                <w:kern w:val="0"/>
                <w:sz w:val="36"/>
                <w:szCs w:val="36"/>
              </w:rPr>
              <w:br w:type="textWrapping"/>
            </w:r>
            <w:r>
              <w:rPr>
                <w:rFonts w:hint="eastAsia" w:ascii="仿宋_GB2312" w:hAnsi="仿宋_GB2312" w:eastAsia="仿宋_GB2312" w:cs="仿宋_GB2312"/>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2019年村办公经费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温泉乡人民政府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保障2019年7个村村级日常工作基本运转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保障2019年7个村村级日常工作基本运转，解决日常办公开支。</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保障2019年7个村村级日常工作基本运转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保障2019年7个村村级日常工作基本运转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保障2019年7个村村级日常工作基本运转</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开展日常工作经费保障，地服务人民，服务群众</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开展日常工作经费保障，地服务人民，服务群众</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开展日常工作经费保障，地服务人民，服务群众</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r>
    </w:tbl>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tbl>
      <w:tblPr>
        <w:tblStyle w:val="14"/>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36"/>
                <w:szCs w:val="36"/>
              </w:rPr>
            </w:pPr>
            <w:r>
              <w:rPr>
                <w:rFonts w:hint="eastAsia" w:ascii="仿宋_GB2312" w:hAnsi="仿宋_GB2312" w:eastAsia="仿宋_GB2312" w:cs="仿宋_GB2312"/>
                <w:b/>
                <w:bCs/>
                <w:color w:val="000000"/>
                <w:kern w:val="0"/>
                <w:sz w:val="36"/>
                <w:szCs w:val="36"/>
              </w:rPr>
              <w:t>项目绩效目标完成情况表</w:t>
            </w:r>
            <w:r>
              <w:rPr>
                <w:rFonts w:hint="eastAsia" w:ascii="仿宋_GB2312" w:hAnsi="仿宋_GB2312" w:eastAsia="仿宋_GB2312" w:cs="仿宋_GB2312"/>
                <w:b/>
                <w:bCs/>
                <w:color w:val="000000"/>
                <w:kern w:val="0"/>
                <w:sz w:val="36"/>
                <w:szCs w:val="36"/>
              </w:rPr>
              <w:br w:type="textWrapping"/>
            </w:r>
            <w:r>
              <w:rPr>
                <w:rFonts w:hint="eastAsia" w:ascii="仿宋_GB2312" w:hAnsi="仿宋_GB2312" w:eastAsia="仿宋_GB2312" w:cs="仿宋_GB2312"/>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2019年五保户供养经费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温泉乡人民政府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32.74万元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32.74万元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32.74万元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32.74万元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仿宋_GB2312" w:hAnsi="仿宋_GB2312" w:eastAsia="仿宋_GB2312" w:cs="仿宋_GB2312"/>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全乡7个村，39个村民小组，五保户41人日常生活保障</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全乡7个村，39个村民小组，五保户41人日常生活保障</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全乡7个村，39个村民小组，五保户41人日常生活保障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全乡7个村，39个村民小组，五保户41人日常生活保障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全乡7个村，39个村民小组，五保户41人日常生活保障</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保障基本生活，增强分散人员幸福感。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保障基本生活，增强分散人员幸福感。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保障基本生活，增强分散人员幸福感。</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满意</w:t>
            </w:r>
          </w:p>
        </w:tc>
      </w:tr>
    </w:tbl>
    <w:p>
      <w:pPr>
        <w:spacing w:line="580" w:lineRule="exact"/>
        <w:ind w:left="630"/>
        <w:rPr>
          <w:rFonts w:hint="eastAsia" w:ascii="仿宋_GB2312" w:hAnsi="仿宋_GB2312" w:eastAsia="仿宋_GB2312" w:cs="仿宋_GB2312"/>
          <w:sz w:val="32"/>
          <w:szCs w:val="32"/>
        </w:rPr>
      </w:pPr>
    </w:p>
    <w:p>
      <w:pPr>
        <w:spacing w:line="580" w:lineRule="exact"/>
        <w:ind w:left="63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2.部门绩效评价结果。</w:t>
      </w:r>
    </w:p>
    <w:p>
      <w:pPr>
        <w:spacing w:line="560" w:lineRule="exact"/>
        <w:ind w:firstLine="660" w:firstLineChars="200"/>
        <w:rPr>
          <w:rFonts w:hint="eastAsia" w:ascii="仿宋_GB2312" w:hAnsi="仿宋_GB2312" w:eastAsia="仿宋_GB2312" w:cs="仿宋_GB2312"/>
          <w:sz w:val="33"/>
          <w:szCs w:val="33"/>
        </w:rPr>
      </w:pPr>
      <w:r>
        <w:rPr>
          <w:rFonts w:hint="eastAsia" w:ascii="仿宋_GB2312" w:hAnsi="仿宋_GB2312" w:eastAsia="仿宋_GB2312" w:cs="仿宋_GB2312"/>
          <w:sz w:val="33"/>
          <w:szCs w:val="33"/>
        </w:rPr>
        <w:t>本部门按要求对2019年部门整体支出绩效评价情况开展自评，《盐边县温泉人民政府2019年部门整体支出绩效评价报告》见附件。</w:t>
      </w:r>
    </w:p>
    <w:p>
      <w:pPr>
        <w:spacing w:line="560" w:lineRule="exact"/>
        <w:ind w:firstLine="66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3"/>
          <w:szCs w:val="33"/>
        </w:rPr>
        <w:t>本部门自行组织对19个项目开展了绩效评价，《盐边县温泉乡人民政府项目2019年绩效评价报告》见附件</w:t>
      </w:r>
      <w:r>
        <w:rPr>
          <w:rFonts w:hint="eastAsia" w:ascii="仿宋_GB2312" w:hAnsi="仿宋_GB2312" w:eastAsia="仿宋_GB2312" w:cs="仿宋_GB2312"/>
          <w:sz w:val="32"/>
          <w:szCs w:val="32"/>
        </w:rPr>
        <w:t>。</w:t>
      </w:r>
    </w:p>
    <w:p>
      <w:pPr>
        <w:widowControl/>
        <w:jc w:val="left"/>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br w:type="page"/>
      </w:r>
    </w:p>
    <w:p>
      <w:pPr>
        <w:numPr>
          <w:ilvl w:val="0"/>
          <w:numId w:val="4"/>
        </w:numPr>
        <w:spacing w:line="600" w:lineRule="exact"/>
        <w:ind w:firstLine="663" w:firstLineChars="150"/>
        <w:jc w:val="center"/>
        <w:outlineLvl w:val="0"/>
        <w:rPr>
          <w:rFonts w:ascii="黑体" w:hAnsi="黑体" w:eastAsia="黑体"/>
          <w:bCs/>
          <w:kern w:val="44"/>
          <w:sz w:val="44"/>
          <w:szCs w:val="44"/>
        </w:rPr>
      </w:pPr>
      <w:bookmarkStart w:id="85" w:name="_Toc15377225"/>
      <w:bookmarkStart w:id="86" w:name="_Toc73373363"/>
      <w:bookmarkStart w:id="87" w:name="_Toc54099139"/>
      <w:r>
        <w:rPr>
          <w:rFonts w:hint="eastAsia" w:ascii="黑体" w:hAnsi="黑体" w:eastAsia="黑体"/>
          <w:b/>
          <w:color w:val="000000"/>
          <w:sz w:val="44"/>
          <w:szCs w:val="44"/>
        </w:rPr>
        <w:t>名</w:t>
      </w:r>
      <w:r>
        <w:rPr>
          <w:rStyle w:val="28"/>
          <w:rFonts w:hint="eastAsia" w:ascii="黑体" w:hAnsi="黑体" w:eastAsia="黑体"/>
          <w:b w:val="0"/>
        </w:rPr>
        <w:t>词解释</w:t>
      </w:r>
      <w:bookmarkEnd w:id="85"/>
      <w:bookmarkEnd w:id="86"/>
      <w:bookmarkEnd w:id="87"/>
    </w:p>
    <w:p>
      <w:pPr>
        <w:pStyle w:val="18"/>
        <w:spacing w:before="93"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一般公共服务（类）政府办公厅及相关机构事务（款）行政运行（项）：指反映行政单位（包括实行公务员管理的事业单位）的基本支出。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一般公共服务（类）政府办公厅及相关机构事务（款）财政事务（项）：指反映事业单位不包括行政单位（包括实行公务员管理的事业单位）后勤服务中心、医务室等附属事业单位。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文化体育与传媒（类）文化旅游体育与传媒支出（款）群众文化（项）：指反映群众文化旅方面的支出，包括基层文化馆、群众艺术馆支出等。</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社会保障和就业（类）行政事业养老支出（款）机关事业单位基本养老保险缴费支出（项）：指反映支出事业单位实施养老保险制度由单位缴纳的基本养老保险费支出。</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社会保障和就业（类）特困人员救助供养（款）农村特困人员救助供养支出（项）：指反映农村特困人员救助供养支出。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社会保障和就业（类）民政管理事务（款）其他民政管理事务支出（项）：指反映民政部门接待来访、法制建设、政策宣传方面的支出，以及开展社会救助、养老服务、社会事务等方面的支出。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社会保障和就业（类）抚恤（款）伤残抚恤（项）：指反映按规定用于伤残人员的抚恤金和按规定开支的各项伤残补助。</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医疗卫生与计划生育（类）计划生育事务（款）其他计划生育事务支出（项）：指用于其他计划生育事务支出。</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节能环保（类）节能环保支出（款）其他污染防治支出（项）：指反映用于污染防治方面的支出。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城乡社区（类）城乡社区环境卫生（款）城乡社区环境卫生（项）：指反映城乡社区道路清扫、垃圾清运与处理、公测建设与维护、园林绿化等方面的支出。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农林水（类）农林水支出（款）事业运行（项）：指反映用于农业事业单位基本支出，事业单位设施、系统运行和资产维护等方面的支出。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农林水（类）农村综合改革（款）对村级一事一议支出（项）：指反映农村税费改革后对村级公益事业一事一议的补助支出。</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农林水（类）农村综合改革（款）对村民委员会和村党支部的补助（项）：指反映各级财政对村民委员会和村党支部的补助支出，以及支持建立县级基本财力保障机制安排的村级组织运转奖补资金。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住房保障（类）住房改革支出（款）住房公积金（项）：指行政事业单位按照人力资源和社会保障部、财政部规定的基本工资和津贴补贴以及规定比例为职工缴纳的住房公积金。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灾害防治及应急管理支出（类）应急管理事务（款）安全监管（项）：指反映安全监管方面的支出。</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2019</w:t>
      </w:r>
      <w:r>
        <w:rPr>
          <w:rFonts w:hint="eastAsia" w:ascii="仿宋" w:hAnsi="仿宋" w:eastAsia="仿宋"/>
          <w:b/>
          <w:color w:val="000000"/>
          <w:sz w:val="32"/>
          <w:szCs w:val="32"/>
        </w:rPr>
        <w:t>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经营支出：指事业单位在专业业务活动及其辅助活动之外开展非独立核算经营活动发生的支出。</w:t>
      </w:r>
    </w:p>
    <w:p>
      <w:pPr>
        <w:pStyle w:val="18"/>
        <w:spacing w:line="560" w:lineRule="exact"/>
        <w:ind w:firstLine="640" w:firstLineChars="200"/>
        <w:rPr>
          <w:rFonts w:ascii="仿宋_GB2312" w:eastAsia="仿宋_GB2312"/>
          <w:sz w:val="32"/>
          <w:szCs w:val="32"/>
        </w:rPr>
      </w:pPr>
      <w:r>
        <w:rPr>
          <w:rFonts w:ascii="仿宋_GB2312" w:eastAsia="仿宋_GB2312"/>
          <w:sz w:val="32"/>
          <w:szCs w:val="32"/>
        </w:rPr>
        <w:t>26.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8"/>
        <w:spacing w:line="560" w:lineRule="exact"/>
        <w:ind w:firstLine="640" w:firstLineChars="200"/>
        <w:rPr>
          <w:rFonts w:ascii="仿宋_GB2312" w:eastAsia="仿宋_GB2312" w:cs="黑体"/>
          <w:sz w:val="32"/>
          <w:szCs w:val="32"/>
        </w:rPr>
      </w:pPr>
      <w:r>
        <w:rPr>
          <w:rFonts w:ascii="仿宋_GB2312" w:eastAsia="仿宋_GB2312"/>
          <w:sz w:val="32"/>
          <w:szCs w:val="32"/>
        </w:rPr>
        <w:t>27.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8"/>
          <w:rFonts w:hint="eastAsia" w:ascii="仿宋_GB2312" w:hAnsi="仿宋_GB2312" w:eastAsia="仿宋_GB2312" w:cs="仿宋_GB2312"/>
          <w:b w:val="0"/>
        </w:rPr>
      </w:pPr>
      <w:bookmarkStart w:id="88" w:name="_Toc52180097"/>
      <w:bookmarkStart w:id="89" w:name="_Toc15396614"/>
      <w:bookmarkStart w:id="90" w:name="_Toc15377226"/>
      <w:r>
        <w:rPr>
          <w:rFonts w:hint="eastAsia" w:ascii="仿宋_GB2312" w:hAnsi="仿宋_GB2312" w:eastAsia="仿宋_GB2312" w:cs="仿宋_GB2312"/>
          <w:color w:val="000000"/>
          <w:sz w:val="44"/>
          <w:szCs w:val="44"/>
        </w:rPr>
        <w:t>第</w:t>
      </w:r>
      <w:r>
        <w:rPr>
          <w:rStyle w:val="28"/>
          <w:rFonts w:hint="eastAsia" w:ascii="仿宋_GB2312" w:hAnsi="仿宋_GB2312" w:eastAsia="仿宋_GB2312" w:cs="仿宋_GB2312"/>
          <w:b w:val="0"/>
        </w:rPr>
        <w:t>四部分 附件</w:t>
      </w:r>
      <w:bookmarkEnd w:id="88"/>
      <w:bookmarkEnd w:id="89"/>
    </w:p>
    <w:p>
      <w:pPr>
        <w:spacing w:line="580" w:lineRule="exact"/>
        <w:jc w:val="center"/>
        <w:rPr>
          <w:rFonts w:hint="eastAsia" w:ascii="仿宋_GB2312" w:hAnsi="仿宋_GB2312" w:eastAsia="仿宋_GB2312" w:cs="仿宋_GB2312"/>
          <w:sz w:val="44"/>
          <w:szCs w:val="44"/>
        </w:rPr>
      </w:pPr>
    </w:p>
    <w:p>
      <w:pPr>
        <w:spacing w:line="600" w:lineRule="exact"/>
        <w:jc w:val="center"/>
        <w:rPr>
          <w:rFonts w:hint="eastAsia" w:ascii="仿宋_GB2312" w:hAnsi="仿宋_GB2312" w:eastAsia="仿宋_GB2312" w:cs="仿宋_GB2312"/>
          <w:color w:val="000000"/>
          <w:kern w:val="0"/>
          <w:sz w:val="40"/>
          <w:szCs w:val="44"/>
          <w:lang w:val="zh-CN"/>
        </w:rPr>
      </w:pPr>
      <w:r>
        <w:rPr>
          <w:rFonts w:hint="eastAsia" w:ascii="仿宋_GB2312" w:hAnsi="仿宋_GB2312" w:eastAsia="仿宋_GB2312" w:cs="仿宋_GB2312"/>
          <w:color w:val="000000"/>
          <w:kern w:val="0"/>
          <w:sz w:val="40"/>
          <w:szCs w:val="44"/>
        </w:rPr>
        <w:t>温泉乡人民政府2019年部门</w:t>
      </w:r>
      <w:r>
        <w:rPr>
          <w:rFonts w:hint="eastAsia" w:ascii="仿宋_GB2312" w:hAnsi="仿宋_GB2312" w:eastAsia="仿宋_GB2312" w:cs="仿宋_GB2312"/>
          <w:color w:val="000000"/>
          <w:kern w:val="0"/>
          <w:sz w:val="40"/>
          <w:szCs w:val="44"/>
          <w:lang w:val="zh-CN"/>
        </w:rPr>
        <w:t>整体支出绩效评价报告</w:t>
      </w:r>
    </w:p>
    <w:p>
      <w:pPr>
        <w:widowControl/>
        <w:adjustRightInd w:val="0"/>
        <w:snapToGrid w:val="0"/>
        <w:spacing w:line="580" w:lineRule="exact"/>
        <w:ind w:firstLine="480" w:firstLineChars="200"/>
        <w:contextualSpacing/>
        <w:jc w:val="left"/>
        <w:rPr>
          <w:rFonts w:hint="eastAsia" w:ascii="仿宋_GB2312" w:hAnsi="仿宋_GB2312" w:eastAsia="仿宋_GB2312" w:cs="仿宋_GB2312"/>
          <w:color w:val="000000"/>
          <w:kern w:val="0"/>
          <w:sz w:val="24"/>
          <w:szCs w:val="32"/>
          <w:shd w:val="clear" w:color="auto" w:fill="FFFFFF"/>
        </w:rPr>
      </w:pP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一、部门概况</w:t>
      </w:r>
    </w:p>
    <w:p>
      <w:pPr>
        <w:widowControl/>
        <w:numPr>
          <w:ilvl w:val="0"/>
          <w:numId w:val="5"/>
        </w:numPr>
        <w:adjustRightInd w:val="0"/>
        <w:snapToGrid w:val="0"/>
        <w:spacing w:line="560" w:lineRule="exact"/>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机构组成</w:t>
      </w:r>
    </w:p>
    <w:p>
      <w:pPr>
        <w:widowControl/>
        <w:adjustRightInd w:val="0"/>
        <w:snapToGrid w:val="0"/>
        <w:spacing w:line="56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温泉乡政府现有部门7个，农业服务中心、党政办、会计核算中心、宣文中心、社会事务办、综治办、武装部。</w:t>
      </w:r>
    </w:p>
    <w:p>
      <w:pPr>
        <w:widowControl/>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sz w:val="32"/>
          <w:szCs w:val="32"/>
        </w:rPr>
        <w:t>（二）</w:t>
      </w:r>
      <w:r>
        <w:rPr>
          <w:rFonts w:hint="eastAsia" w:ascii="仿宋_GB2312" w:hAnsi="仿宋_GB2312" w:eastAsia="仿宋_GB2312" w:cs="仿宋_GB2312"/>
          <w:color w:val="000000"/>
          <w:kern w:val="0"/>
          <w:sz w:val="32"/>
          <w:szCs w:val="32"/>
          <w:shd w:val="clear" w:color="auto" w:fill="FFFFFF"/>
          <w:lang w:val="zh-CN"/>
        </w:rPr>
        <w:t>机构职能</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1.贯彻执行党的路线、方针、政策和上级党组织及党员代表大会的决议、决定。</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w:t>
      </w:r>
      <w:r>
        <w:rPr>
          <w:rFonts w:hint="eastAsia" w:ascii="仿宋_GB2312" w:hAnsi="仿宋_GB2312" w:eastAsia="仿宋_GB2312" w:cs="仿宋_GB2312"/>
          <w:color w:val="333333"/>
          <w:sz w:val="32"/>
          <w:szCs w:val="32"/>
          <w:shd w:val="clear" w:color="auto" w:fill="FFFFFF"/>
          <w:lang w:eastAsia="zh-CN"/>
        </w:rPr>
        <w:t>乡</w:t>
      </w:r>
      <w:r>
        <w:rPr>
          <w:rFonts w:hint="eastAsia" w:ascii="仿宋_GB2312" w:hAnsi="仿宋_GB2312" w:eastAsia="仿宋_GB2312" w:cs="仿宋_GB2312"/>
          <w:color w:val="333333"/>
          <w:sz w:val="32"/>
          <w:szCs w:val="32"/>
          <w:shd w:val="clear" w:color="auto" w:fill="FFFFFF"/>
        </w:rPr>
        <w:t>经济建设和社会发展中带有全局性的重大问题。</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3.负责抓好所属党组织的思想建设、组织建设、作风建设。负责全面从严治党、党风廉政建设和反腐败工作。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4.按照干部管理权限，负责对干部的教育、培养、选拔任免和监督工作，向上级党组织推荐干部。</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5.领导工会、共青团、妇联、科协等群团组织，协调党政之间的关系。</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6.负责本行政区域的政治思想、宣传、统战、政法、保密、武装、精神文明建设和民主法制建设等工作。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8.负责乡村振兴、新农村建设和推进城乡一体化的组织和实施。</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9.负责辖区经济、文化、教育、科学、卫生健康、民政、社会保障、民族宗教、村</w:t>
      </w:r>
      <w:r>
        <w:rPr>
          <w:rFonts w:hint="eastAsia" w:ascii="仿宋_GB2312" w:hAnsi="仿宋_GB2312" w:eastAsia="仿宋_GB2312" w:cs="仿宋_GB2312"/>
          <w:color w:val="333333"/>
          <w:sz w:val="32"/>
          <w:szCs w:val="32"/>
          <w:shd w:val="clear" w:color="auto" w:fill="FFFFFF"/>
          <w:lang w:eastAsia="zh-CN"/>
        </w:rPr>
        <w:t>乡</w:t>
      </w:r>
      <w:r>
        <w:rPr>
          <w:rFonts w:hint="eastAsia" w:ascii="仿宋_GB2312" w:hAnsi="仿宋_GB2312" w:eastAsia="仿宋_GB2312" w:cs="仿宋_GB2312"/>
          <w:color w:val="333333"/>
          <w:sz w:val="32"/>
          <w:szCs w:val="32"/>
          <w:shd w:val="clear" w:color="auto" w:fill="FFFFFF"/>
        </w:rPr>
        <w:t>建设、司法、退役军人、扶贫、信访、安全、统计等行政管理和服务工作。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10.负责农业产业结构调整和“三农”服务工作。</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11.建立健全社会治理防控体系，开展爱国卫生、环境卫生监督检查，承担环境、资源保护等工作，促进人与自然和谐发展。</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12.负责应急管理、安全生产、抢险救灾等工作，保护人民群众生命财产安全。</w:t>
      </w:r>
    </w:p>
    <w:p>
      <w:pPr>
        <w:widowControl/>
        <w:adjustRightInd w:val="0"/>
        <w:snapToGrid w:val="0"/>
        <w:spacing w:line="560" w:lineRule="exact"/>
        <w:ind w:firstLine="640" w:firstLineChars="200"/>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13.完成上级党委、政府交办的其他工作。</w:t>
      </w:r>
    </w:p>
    <w:p>
      <w:pPr>
        <w:widowControl/>
        <w:numPr>
          <w:ilvl w:val="0"/>
          <w:numId w:val="6"/>
        </w:numPr>
        <w:adjustRightInd w:val="0"/>
        <w:snapToGrid w:val="0"/>
        <w:spacing w:line="560" w:lineRule="exact"/>
        <w:ind w:firstLine="640" w:firstLineChars="200"/>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人员概况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政府机关编制数30人，其中：行政编制14人，工勤人员2人，事业编制14人，年末在职实有人数28人。</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二、部门资金基本情况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（一）年初部门预算安排及支出情况</w:t>
      </w:r>
    </w:p>
    <w:p>
      <w:pPr>
        <w:spacing w:line="353"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2019年部门预算收入安排资金</w:t>
      </w:r>
      <w:r>
        <w:rPr>
          <w:rFonts w:hint="eastAsia" w:ascii="仿宋_GB2312" w:hAnsi="仿宋_GB2312" w:eastAsia="仿宋_GB2312" w:cs="仿宋_GB2312"/>
          <w:sz w:val="32"/>
          <w:szCs w:val="32"/>
        </w:rPr>
        <w:t>659.51万元，其中：当年财政拨款收入599.11万元，上年结转收入60.4万元。相应安排支出预算659.51万元，其中：工资福利支出336.36万元，日常公用支出70.28万元，对个人和家庭的补助支出3.03万元，项目支出249.85万元。</w:t>
      </w:r>
    </w:p>
    <w:p>
      <w:pPr>
        <w:pStyle w:val="7"/>
        <w:spacing w:line="560" w:lineRule="exact"/>
        <w:ind w:firstLine="640" w:firstLineChars="200"/>
        <w:rPr>
          <w:rFonts w:hint="eastAsia" w:ascii="仿宋_GB2312" w:hAnsi="仿宋_GB2312" w:eastAsia="仿宋_GB2312" w:cs="仿宋_GB2312"/>
          <w:color w:val="000000"/>
          <w:kern w:val="2"/>
          <w:sz w:val="32"/>
          <w:szCs w:val="32"/>
          <w:shd w:val="clear" w:color="auto" w:fill="FFFFFF"/>
        </w:rPr>
      </w:pPr>
    </w:p>
    <w:p>
      <w:pPr>
        <w:pStyle w:val="7"/>
        <w:numPr>
          <w:ilvl w:val="0"/>
          <w:numId w:val="7"/>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基本支出安排及使用情况</w:t>
      </w:r>
    </w:p>
    <w:p>
      <w:pPr>
        <w:pStyle w:val="7"/>
        <w:numPr>
          <w:ilvl w:val="0"/>
          <w:numId w:val="7"/>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w:t>
      </w:r>
      <w:r>
        <w:rPr>
          <w:rFonts w:hint="eastAsia" w:ascii="仿宋_GB2312" w:hAnsi="仿宋_GB2312" w:eastAsia="仿宋_GB2312" w:cs="仿宋_GB2312"/>
          <w:sz w:val="32"/>
          <w:szCs w:val="32"/>
          <w:lang w:val="en-US" w:eastAsia="zh-CN"/>
        </w:rPr>
        <w:t>409.66</w:t>
      </w:r>
      <w:r>
        <w:rPr>
          <w:rFonts w:hint="eastAsia" w:ascii="仿宋_GB2312" w:hAnsi="仿宋_GB2312" w:eastAsia="仿宋_GB2312" w:cs="仿宋_GB2312"/>
          <w:sz w:val="32"/>
          <w:szCs w:val="32"/>
        </w:rPr>
        <w:t>万元，主要用于基本工资、津贴补贴、办公费、差旅费、水电邮电费、车辆运行维护费等日常公用经费。其中：一般公共服务支出</w:t>
      </w:r>
      <w:r>
        <w:rPr>
          <w:rFonts w:hint="eastAsia" w:ascii="仿宋_GB2312" w:hAnsi="仿宋_GB2312" w:eastAsia="仿宋_GB2312" w:cs="仿宋_GB2312"/>
          <w:sz w:val="32"/>
          <w:szCs w:val="32"/>
          <w:lang w:val="en-US" w:eastAsia="zh-CN"/>
        </w:rPr>
        <w:t>223.54</w:t>
      </w:r>
      <w:r>
        <w:rPr>
          <w:rFonts w:hint="eastAsia" w:ascii="仿宋_GB2312" w:hAnsi="仿宋_GB2312" w:eastAsia="仿宋_GB2312" w:cs="仿宋_GB2312"/>
          <w:sz w:val="32"/>
          <w:szCs w:val="32"/>
        </w:rPr>
        <w:t>万元，文化旅游体育与传媒支出</w:t>
      </w:r>
      <w:r>
        <w:rPr>
          <w:rFonts w:hint="eastAsia" w:ascii="仿宋_GB2312" w:hAnsi="仿宋_GB2312" w:eastAsia="仿宋_GB2312" w:cs="仿宋_GB2312"/>
          <w:sz w:val="32"/>
          <w:szCs w:val="32"/>
          <w:lang w:val="en-US" w:eastAsia="zh-CN"/>
        </w:rPr>
        <w:t>8.27</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60.87</w:t>
      </w:r>
      <w:r>
        <w:rPr>
          <w:rFonts w:hint="eastAsia" w:ascii="仿宋_GB2312" w:hAnsi="仿宋_GB2312" w:eastAsia="仿宋_GB2312" w:cs="仿宋_GB2312"/>
          <w:sz w:val="32"/>
          <w:szCs w:val="32"/>
        </w:rPr>
        <w:t>万元，农林水支出</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万元，住房保障支出</w:t>
      </w:r>
      <w:r>
        <w:rPr>
          <w:rFonts w:hint="eastAsia" w:ascii="仿宋_GB2312" w:hAnsi="仿宋_GB2312" w:eastAsia="仿宋_GB2312" w:cs="仿宋_GB2312"/>
          <w:sz w:val="32"/>
          <w:szCs w:val="32"/>
          <w:lang w:val="en-US" w:eastAsia="zh-CN"/>
        </w:rPr>
        <w:t>41.98</w:t>
      </w:r>
      <w:r>
        <w:rPr>
          <w:rFonts w:hint="eastAsia" w:ascii="仿宋_GB2312" w:hAnsi="仿宋_GB2312" w:eastAsia="仿宋_GB2312" w:cs="仿宋_GB2312"/>
          <w:sz w:val="32"/>
          <w:szCs w:val="32"/>
        </w:rPr>
        <w:t>万元。</w:t>
      </w:r>
    </w:p>
    <w:p>
      <w:pPr>
        <w:pStyle w:val="7"/>
        <w:numPr>
          <w:ilvl w:val="0"/>
          <w:numId w:val="8"/>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部门预算项目安排及支出情况</w:t>
      </w:r>
    </w:p>
    <w:p>
      <w:pPr>
        <w:pStyle w:val="7"/>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项目支出823.56万元，主要用于一般公共服务支出</w:t>
      </w:r>
      <w:r>
        <w:rPr>
          <w:rFonts w:hint="eastAsia" w:ascii="仿宋_GB2312" w:hAnsi="仿宋_GB2312" w:eastAsia="仿宋_GB2312" w:cs="仿宋_GB2312"/>
          <w:sz w:val="32"/>
          <w:szCs w:val="32"/>
          <w:lang w:val="en-US" w:eastAsia="zh-CN"/>
        </w:rPr>
        <w:t>37.16</w:t>
      </w:r>
      <w:r>
        <w:rPr>
          <w:rFonts w:hint="eastAsia" w:ascii="仿宋_GB2312" w:hAnsi="仿宋_GB2312" w:eastAsia="仿宋_GB2312" w:cs="仿宋_GB2312"/>
          <w:sz w:val="32"/>
          <w:szCs w:val="32"/>
        </w:rPr>
        <w:t>万元，社会保障和就业支出</w:t>
      </w:r>
      <w:r>
        <w:rPr>
          <w:rFonts w:hint="eastAsia" w:ascii="仿宋_GB2312" w:hAnsi="仿宋_GB2312" w:eastAsia="仿宋_GB2312" w:cs="仿宋_GB2312"/>
          <w:sz w:val="32"/>
          <w:szCs w:val="32"/>
          <w:lang w:val="en-US" w:eastAsia="zh-CN"/>
        </w:rPr>
        <w:t>32.74</w:t>
      </w:r>
      <w:r>
        <w:rPr>
          <w:rFonts w:hint="eastAsia" w:ascii="仿宋_GB2312" w:hAnsi="仿宋_GB2312" w:eastAsia="仿宋_GB2312" w:cs="仿宋_GB2312"/>
          <w:sz w:val="32"/>
          <w:szCs w:val="32"/>
        </w:rPr>
        <w:t>万元，公共安全支出</w:t>
      </w:r>
      <w:r>
        <w:rPr>
          <w:rFonts w:hint="eastAsia" w:ascii="仿宋_GB2312" w:hAnsi="仿宋_GB2312" w:eastAsia="仿宋_GB2312" w:cs="仿宋_GB2312"/>
          <w:sz w:val="32"/>
          <w:szCs w:val="32"/>
          <w:lang w:val="en-US" w:eastAsia="zh-CN"/>
        </w:rPr>
        <w:t>0.5万元，</w:t>
      </w:r>
      <w:r>
        <w:rPr>
          <w:rFonts w:hint="eastAsia" w:ascii="仿宋_GB2312" w:hAnsi="仿宋_GB2312" w:eastAsia="仿宋_GB2312" w:cs="仿宋_GB2312"/>
          <w:sz w:val="32"/>
          <w:szCs w:val="32"/>
        </w:rPr>
        <w:t>卫生健康支出</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万元，农林水支出</w:t>
      </w:r>
      <w:r>
        <w:rPr>
          <w:rFonts w:hint="eastAsia" w:ascii="仿宋_GB2312" w:hAnsi="仿宋_GB2312" w:eastAsia="仿宋_GB2312" w:cs="仿宋_GB2312"/>
          <w:sz w:val="32"/>
          <w:szCs w:val="32"/>
          <w:lang w:val="en-US" w:eastAsia="zh-CN"/>
        </w:rPr>
        <w:t>176.45</w:t>
      </w:r>
      <w:r>
        <w:rPr>
          <w:rFonts w:hint="eastAsia" w:ascii="仿宋_GB2312" w:hAnsi="仿宋_GB2312" w:eastAsia="仿宋_GB2312" w:cs="仿宋_GB2312"/>
          <w:sz w:val="32"/>
          <w:szCs w:val="32"/>
        </w:rPr>
        <w:t>万元，灾害防治及应急管理支出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w:t>
      </w:r>
    </w:p>
    <w:p>
      <w:pPr>
        <w:pStyle w:val="7"/>
        <w:numPr>
          <w:ilvl w:val="0"/>
          <w:numId w:val="9"/>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专项资金安排及支出情况</w:t>
      </w:r>
    </w:p>
    <w:p>
      <w:pPr>
        <w:pStyle w:val="13"/>
        <w:numPr>
          <w:ilvl w:val="0"/>
          <w:numId w:val="10"/>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sz w:val="32"/>
          <w:szCs w:val="32"/>
        </w:rPr>
        <w:t>（财政返还）根据盐边财预【2018】16号下达毛之惹同志一次性抚恤金、丧葬费</w:t>
      </w:r>
      <w:r>
        <w:rPr>
          <w:rFonts w:hint="eastAsia" w:ascii="仿宋_GB2312" w:hAnsi="仿宋_GB2312" w:eastAsia="仿宋_GB2312" w:cs="仿宋_GB2312"/>
          <w:sz w:val="32"/>
          <w:szCs w:val="32"/>
          <w:lang w:val="en-US" w:eastAsia="zh-CN"/>
        </w:rPr>
        <w:t>14.1万元</w:t>
      </w:r>
    </w:p>
    <w:p>
      <w:pPr>
        <w:pStyle w:val="13"/>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3、2019年乡安排统计四经普工作经费0.5万元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A++软件维护费1.3万元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（财政返还）下达全乡基础设施建设及水毁工程款30.77万元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2019村办公经费20万元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根据盐财资建【2019】17号下达2019年乡乡安全生产监管专项资金5万元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根据盐财资行【2019】73号下达乡乡“人大代表之家”建设经费0.93万元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根据川财社【2018】123号下达高校毕业生“三支一扶“安家费补贴0.2万元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根据盐财资预【2019】24号下达温泉乡面源整治、垃圾清运、漂浮物打捞专项经费5万元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根据盐财资行【2019】180号下达2019火把节系列活动补助经费2.5万元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根据盐财资预【2019】49号追加全县16个乡（乡）164个村务监督委员会主任基本报酬和离职社区干部补贴1.34万元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根据盐财金资【2019】17号下达温泉乡2018年度世行贷款考核奖励补助资金1.1万元</w:t>
      </w:r>
      <w:r>
        <w:rPr>
          <w:rFonts w:hint="eastAsia" w:ascii="仿宋_GB2312" w:hAnsi="仿宋_GB2312" w:eastAsia="仿宋_GB2312" w:cs="仿宋_GB2312"/>
          <w:sz w:val="32"/>
          <w:szCs w:val="32"/>
          <w:lang w:eastAsia="zh-CN"/>
        </w:rPr>
        <w:t>；</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根据盐财资投【2019】60号下达盐边县第三次全国国土调查工作经费支出预算2万元；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根据盐财资预【2019】58号下达2019年市级基层组织活动和公共服务运行补助资金7万元；</w:t>
      </w:r>
    </w:p>
    <w:p>
      <w:pPr>
        <w:pStyle w:val="13"/>
        <w:numPr>
          <w:ilvl w:val="0"/>
          <w:numId w:val="11"/>
        </w:numPr>
        <w:shd w:val="clear" w:color="auto" w:fill="FFFFFF"/>
        <w:spacing w:before="0" w:beforeAutospacing="0" w:after="0" w:afterAutospacing="0" w:line="353"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根据盐财资预【2019】68号下达温泉乡2019年基础设施水毁恢复资金19.8万元；</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p>
    <w:p>
      <w:pPr>
        <w:pStyle w:val="7"/>
        <w:widowControl w:val="0"/>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以上项目</w:t>
      </w:r>
      <w:r>
        <w:rPr>
          <w:rFonts w:hint="eastAsia" w:ascii="仿宋_GB2312" w:hAnsi="仿宋_GB2312" w:eastAsia="仿宋_GB2312" w:cs="仿宋_GB2312"/>
          <w:sz w:val="32"/>
          <w:szCs w:val="32"/>
          <w:lang w:val="en-US" w:eastAsia="zh-CN"/>
        </w:rPr>
        <w:t>2019年底全部支出完毕。</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三、绩效目标完成情况分析</w:t>
      </w:r>
    </w:p>
    <w:p>
      <w:pPr>
        <w:pStyle w:val="7"/>
        <w:widowControl w:val="0"/>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 xml:space="preserve"> 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7"/>
        <w:widowControl w:val="0"/>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w:t>
      </w:r>
      <w:bookmarkStart w:id="119" w:name="_GoBack"/>
      <w:bookmarkEnd w:id="119"/>
      <w:r>
        <w:rPr>
          <w:rFonts w:hint="eastAsia" w:ascii="仿宋_GB2312" w:hAnsi="仿宋_GB2312" w:eastAsia="仿宋_GB2312" w:cs="仿宋_GB2312"/>
          <w:bCs/>
          <w:kern w:val="2"/>
          <w:sz w:val="32"/>
          <w:szCs w:val="32"/>
        </w:rPr>
        <w:t>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经济、社会发展。</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（一）县级财政资金绩效目标完成情况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1.年初部门预算绩效目标完成情况</w:t>
      </w:r>
    </w:p>
    <w:p>
      <w:pPr>
        <w:pStyle w:val="7"/>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bCs/>
          <w:kern w:val="2"/>
          <w:sz w:val="32"/>
          <w:szCs w:val="32"/>
        </w:rPr>
        <w:t>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（2）效益指标完成情况分析。我</w:t>
      </w:r>
      <w:r>
        <w:rPr>
          <w:rFonts w:hint="eastAsia" w:ascii="仿宋_GB2312" w:hAnsi="仿宋_GB2312" w:eastAsia="仿宋_GB2312" w:cs="仿宋_GB2312"/>
          <w:color w:val="000000"/>
          <w:sz w:val="32"/>
          <w:szCs w:val="32"/>
          <w:lang w:eastAsia="zh-CN"/>
        </w:rPr>
        <w:t>乡</w:t>
      </w:r>
      <w:r>
        <w:rPr>
          <w:rFonts w:hint="eastAsia" w:ascii="仿宋_GB2312" w:hAnsi="仿宋_GB2312" w:eastAsia="仿宋_GB2312" w:cs="仿宋_GB2312"/>
          <w:color w:val="000000"/>
          <w:sz w:val="32"/>
          <w:szCs w:val="32"/>
        </w:rPr>
        <w:t>主要安排用于一般公共服务支出、社会保障和就业支出、卫生健康支出、节能环保支出、城乡社区支出、农林水支出、自然资源海洋气象等支出、灾害防治及应急管理支出等。</w:t>
      </w:r>
    </w:p>
    <w:p>
      <w:pPr>
        <w:pStyle w:val="7"/>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（3）满意度指标完成情况分析。通过财政绩效目标管理，基本达到满意。</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2.专项（项目）资金绩效目标完成情况</w:t>
      </w:r>
    </w:p>
    <w:p>
      <w:pPr>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rPr>
        <w:t>（1）产出指标完成情况分析。</w:t>
      </w:r>
      <w:r>
        <w:rPr>
          <w:rFonts w:hint="eastAsia" w:ascii="仿宋_GB2312" w:hAnsi="仿宋_GB2312" w:eastAsia="仿宋_GB2312" w:cs="仿宋_GB2312"/>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7"/>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项目资金主要安排用于一般公共服务支出、社会保障和就业支出、卫生健康支出、节能环保支出、城乡社区支出、农林水支出、自然资源海洋气象等支出、灾害防治及应急管理支出等。</w:t>
      </w:r>
    </w:p>
    <w:p>
      <w:pPr>
        <w:pStyle w:val="7"/>
        <w:widowControl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（3）满意度指标完成情况分析。通过财政绩效目标管理，基本达到满意。</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（二）上级专项（项目）资金绩效目标完成情况</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（1）产出指标完成情况分析。</w:t>
      </w:r>
    </w:p>
    <w:p>
      <w:pPr>
        <w:pStyle w:val="13"/>
        <w:numPr>
          <w:ilvl w:val="0"/>
          <w:numId w:val="0"/>
        </w:numPr>
        <w:shd w:val="clear" w:color="auto" w:fill="FFFFFF"/>
        <w:spacing w:before="0" w:beforeAutospacing="0" w:after="0" w:afterAutospacing="0" w:line="353"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人大代表会议费</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rPr>
        <w:t>万元，（财政返还）根据盐边财预【2018】16号下达毛之惹同志一次性抚恤金、丧葬费</w:t>
      </w:r>
      <w:r>
        <w:rPr>
          <w:rFonts w:hint="eastAsia" w:ascii="仿宋_GB2312" w:hAnsi="仿宋_GB2312" w:eastAsia="仿宋_GB2312" w:cs="仿宋_GB2312"/>
          <w:sz w:val="32"/>
          <w:szCs w:val="32"/>
          <w:lang w:val="en-US" w:eastAsia="zh-CN"/>
        </w:rPr>
        <w:t>14.1万元；2019年乡安排统计四经普工作经费0.5万元；</w:t>
      </w:r>
      <w:r>
        <w:rPr>
          <w:rFonts w:hint="eastAsia" w:ascii="仿宋_GB2312" w:hAnsi="仿宋_GB2312" w:eastAsia="仿宋_GB2312" w:cs="仿宋_GB2312"/>
          <w:sz w:val="32"/>
          <w:szCs w:val="32"/>
        </w:rPr>
        <w:t>乡村治理补助</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政府信访维稳经费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万元，大平台软件维护费0.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A++软件维护费1.3万元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（财政返还）根据川财预【2017】111号下达2018年度三州开发专项资金（用于温泉乡热水塘村社道硬化项目）</w:t>
      </w:r>
      <w:r>
        <w:rPr>
          <w:rFonts w:hint="eastAsia" w:ascii="仿宋_GB2312" w:hAnsi="仿宋_GB2312" w:eastAsia="仿宋_GB2312" w:cs="仿宋_GB2312"/>
          <w:sz w:val="32"/>
          <w:szCs w:val="32"/>
          <w:lang w:val="en-US" w:eastAsia="zh-CN"/>
        </w:rPr>
        <w:t>15.41万元，</w:t>
      </w:r>
      <w:r>
        <w:rPr>
          <w:rFonts w:hint="eastAsia" w:ascii="仿宋_GB2312" w:hAnsi="仿宋_GB2312" w:eastAsia="仿宋_GB2312" w:cs="仿宋_GB2312"/>
          <w:sz w:val="32"/>
          <w:szCs w:val="32"/>
        </w:rPr>
        <w:t>团委、妇联、关工委工作经费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党员干部现代远程教育经费</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2019年农村党员培训费0.6万元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武装工作经费</w:t>
      </w:r>
      <w:r>
        <w:rPr>
          <w:rFonts w:hint="eastAsia" w:ascii="仿宋_GB2312" w:hAnsi="仿宋_GB2312" w:eastAsia="仿宋_GB2312" w:cs="仿宋_GB2312"/>
          <w:sz w:val="32"/>
          <w:szCs w:val="32"/>
          <w:lang w:val="en-US" w:eastAsia="zh-CN"/>
        </w:rPr>
        <w:t>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2019年五保户供养经费</w:t>
      </w:r>
      <w:r>
        <w:rPr>
          <w:rFonts w:hint="eastAsia" w:ascii="仿宋_GB2312" w:hAnsi="仿宋_GB2312" w:eastAsia="仿宋_GB2312" w:cs="仿宋_GB2312"/>
          <w:sz w:val="32"/>
          <w:szCs w:val="32"/>
          <w:lang w:val="en-US" w:eastAsia="zh-CN"/>
        </w:rPr>
        <w:t>32.74万元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卫生计生工作经费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（财政返还）下达全乡基础设施建设及水毁工程款30.77万元；2019村办公经费20万元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2019年村社干部补贴保险及2018年村干部绩效103.08万元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根据盐财资预【2019】2号下达2019省级年村公共运行维护费21万元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根据盐财资建【2019】17号下达2019年乡乡安全生产监管专项资金5万元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根据盐财资行【2019】73号下达乡乡“人大代表之家”建设经费0.93万元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根据川财社【2018】123号下达高校毕业生“三支一扶“安家费补贴0.2万元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根据盐财资预【2019】24号下达温泉乡面源整治、垃圾清运、漂浮物打捞专项经费5万元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根据盐财资行【2019】180号下达2019火把节系列活动补助经费2.5万元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根据盐财资预【2019】49号追加全县16个乡（乡）164个村务监督委员会主任基本报酬和离职社区干部补贴1.34万元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根据盐财金资【2019】17号下达温泉乡2018年度世行贷款考核奖励补助资金1.1万元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盐财资投【2019】60号下达盐边县第三次全国国土调查工作经费支出预算2万元；根据盐财资预【2019】58号下达2019年市级基层组织活动和公共服务运行补助资金7万元；根据盐财资预【2019】68号下达温泉乡2019年基础设施水毁恢复资金19.8万元。</w:t>
      </w:r>
    </w:p>
    <w:p>
      <w:pPr>
        <w:pStyle w:val="7"/>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（2）效益指标完成情况分析。我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项目资金主要安排用于一般公共服务支出、社会保障和就业支出、卫生健康支出、节能环保支出、城乡社区支出、农林水支出、自然资源海洋气象等支出、灾害防治及应急管理支出等。</w:t>
      </w:r>
    </w:p>
    <w:p>
      <w:pPr>
        <w:pStyle w:val="7"/>
        <w:widowControl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（3）满意度指标完成情况分析。通过财政绩效目标管理，基本达到满意。</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（三）其他需要说明的情况。</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pPr>
        <w:pStyle w:val="7"/>
        <w:numPr>
          <w:ilvl w:val="0"/>
          <w:numId w:val="12"/>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自评结论</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我</w:t>
      </w:r>
      <w:r>
        <w:rPr>
          <w:rFonts w:hint="eastAsia" w:ascii="仿宋_GB2312" w:hAnsi="仿宋_GB2312" w:eastAsia="仿宋_GB2312" w:cs="仿宋_GB2312"/>
          <w:bCs/>
          <w:kern w:val="2"/>
          <w:sz w:val="32"/>
          <w:szCs w:val="32"/>
          <w:lang w:eastAsia="zh-CN"/>
        </w:rPr>
        <w:t>乡</w:t>
      </w:r>
      <w:r>
        <w:rPr>
          <w:rFonts w:hint="eastAsia" w:ascii="仿宋_GB2312" w:hAnsi="仿宋_GB2312" w:eastAsia="仿宋_GB2312" w:cs="仿宋_GB2312"/>
          <w:bCs/>
          <w:kern w:val="2"/>
          <w:sz w:val="32"/>
          <w:szCs w:val="32"/>
        </w:rPr>
        <w:t>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7"/>
        <w:numPr>
          <w:ilvl w:val="0"/>
          <w:numId w:val="13"/>
        </w:num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偏离绩效目标的原因和下一步改进措施</w:t>
      </w:r>
    </w:p>
    <w:p>
      <w:pPr>
        <w:pStyle w:val="7"/>
        <w:spacing w:line="560" w:lineRule="exact"/>
        <w:ind w:firstLine="640" w:firstLineChars="20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 xml:space="preserve">   （一）预算编制和预算管理还需进一步细化和加强，严禁超预算和无预算安排支出，严格开支范围和标准，严格审核各项经费的支出，提高资金使用效率。</w:t>
      </w:r>
    </w:p>
    <w:p>
      <w:pPr>
        <w:pStyle w:val="7"/>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14"/>
        </w:num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绩效自评结果拟应用和公开公示情况</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（一）绩效自评结果拟应用</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1.深化绩效评价工作，不断提高部门预算整体绩效目标管理水平。</w:t>
      </w:r>
      <w:r>
        <w:rPr>
          <w:rFonts w:hint="eastAsia" w:ascii="仿宋_GB2312" w:hAnsi="仿宋_GB2312" w:eastAsia="仿宋_GB2312" w:cs="仿宋_GB2312"/>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2.通过绩效自评建立机关厉行节约制度、节能降耗。</w:t>
      </w:r>
      <w:r>
        <w:rPr>
          <w:rFonts w:hint="eastAsia" w:ascii="仿宋_GB2312" w:hAnsi="仿宋_GB2312" w:eastAsia="仿宋_GB2312" w:cs="仿宋_GB2312"/>
          <w:bCs/>
          <w:sz w:val="32"/>
          <w:szCs w:val="32"/>
        </w:rPr>
        <w:t>我</w:t>
      </w:r>
      <w:r>
        <w:rPr>
          <w:rFonts w:hint="eastAsia" w:ascii="仿宋_GB2312" w:hAnsi="仿宋_GB2312" w:eastAsia="仿宋_GB2312" w:cs="仿宋_GB2312"/>
          <w:bCs/>
          <w:sz w:val="32"/>
          <w:szCs w:val="32"/>
          <w:lang w:eastAsia="zh-CN"/>
        </w:rPr>
        <w:t>乡</w:t>
      </w:r>
      <w:r>
        <w:rPr>
          <w:rFonts w:hint="eastAsia" w:ascii="仿宋_GB2312" w:hAnsi="仿宋_GB2312" w:eastAsia="仿宋_GB2312" w:cs="仿宋_GB2312"/>
          <w:bCs/>
          <w:sz w:val="32"/>
          <w:szCs w:val="32"/>
        </w:rPr>
        <w:t>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3"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3.强化单位财务管理工作，提高资金使用效率。</w:t>
      </w:r>
      <w:r>
        <w:rPr>
          <w:rFonts w:hint="eastAsia" w:ascii="仿宋_GB2312" w:hAnsi="仿宋_GB2312" w:eastAsia="仿宋_GB2312" w:cs="仿宋_GB2312"/>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15"/>
        </w:numPr>
        <w:spacing w:line="560" w:lineRule="exact"/>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公开公示情况</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eastAsia="zh-CN"/>
        </w:rPr>
        <w:t>按照时间节点将</w:t>
      </w:r>
      <w:r>
        <w:rPr>
          <w:rFonts w:hint="eastAsia" w:ascii="仿宋_GB2312" w:hAnsi="仿宋_GB2312" w:eastAsia="仿宋_GB2312" w:cs="仿宋_GB2312"/>
          <w:color w:val="000000"/>
          <w:kern w:val="0"/>
          <w:sz w:val="32"/>
          <w:szCs w:val="32"/>
        </w:rPr>
        <w:t>《盐边县</w:t>
      </w:r>
      <w:r>
        <w:rPr>
          <w:rFonts w:hint="eastAsia" w:ascii="仿宋_GB2312" w:hAnsi="仿宋_GB2312" w:eastAsia="仿宋_GB2312" w:cs="仿宋_GB2312"/>
          <w:color w:val="000000"/>
          <w:kern w:val="0"/>
          <w:sz w:val="32"/>
          <w:szCs w:val="32"/>
          <w:lang w:eastAsia="zh-CN"/>
        </w:rPr>
        <w:t>温泉乡</w:t>
      </w:r>
      <w:r>
        <w:rPr>
          <w:rFonts w:hint="eastAsia" w:ascii="仿宋_GB2312" w:hAnsi="仿宋_GB2312" w:eastAsia="仿宋_GB2312" w:cs="仿宋_GB2312"/>
          <w:color w:val="000000"/>
          <w:kern w:val="0"/>
          <w:sz w:val="32"/>
          <w:szCs w:val="32"/>
        </w:rPr>
        <w:t>人民政府2019年部门预算整体绩效自评表》和《盐边县</w:t>
      </w:r>
      <w:r>
        <w:rPr>
          <w:rFonts w:hint="eastAsia" w:ascii="仿宋_GB2312" w:hAnsi="仿宋_GB2312" w:eastAsia="仿宋_GB2312" w:cs="仿宋_GB2312"/>
          <w:color w:val="000000"/>
          <w:kern w:val="0"/>
          <w:sz w:val="32"/>
          <w:szCs w:val="32"/>
          <w:lang w:eastAsia="zh-CN"/>
        </w:rPr>
        <w:t>温泉乡</w:t>
      </w:r>
      <w:r>
        <w:rPr>
          <w:rFonts w:hint="eastAsia" w:ascii="仿宋_GB2312" w:hAnsi="仿宋_GB2312" w:eastAsia="仿宋_GB2312" w:cs="仿宋_GB2312"/>
          <w:color w:val="000000"/>
          <w:kern w:val="0"/>
          <w:sz w:val="32"/>
          <w:szCs w:val="32"/>
        </w:rPr>
        <w:t>人民政府2019年度部门预算情况公开编制说明》在“盐边县公众信息网”财政信息板块下的“财政绩效评价信息专栏”进行公开公示。</w:t>
      </w: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p>
    <w:p>
      <w:pPr>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spacing w:line="580" w:lineRule="exact"/>
        <w:ind w:firstLine="640" w:firstLineChars="200"/>
        <w:rPr>
          <w:rFonts w:hint="eastAsia" w:ascii="仿宋_GB2312" w:hAnsi="仿宋_GB2312" w:eastAsia="仿宋_GB2312" w:cs="仿宋_GB2312"/>
          <w:sz w:val="32"/>
          <w:szCs w:val="32"/>
        </w:rPr>
      </w:pPr>
    </w:p>
    <w:p>
      <w:pPr>
        <w:spacing w:line="600" w:lineRule="exact"/>
        <w:jc w:val="center"/>
        <w:rPr>
          <w:rFonts w:hint="eastAsia" w:ascii="仿宋_GB2312" w:hAnsi="仿宋_GB2312" w:eastAsia="仿宋_GB2312" w:cs="仿宋_GB2312"/>
          <w:color w:val="000000"/>
          <w:kern w:val="0"/>
          <w:sz w:val="44"/>
          <w:szCs w:val="44"/>
          <w:lang w:val="zh-CN"/>
        </w:rPr>
      </w:pPr>
      <w:r>
        <w:rPr>
          <w:rFonts w:hint="eastAsia" w:ascii="仿宋_GB2312" w:hAnsi="仿宋_GB2312" w:eastAsia="仿宋_GB2312" w:cs="仿宋_GB2312"/>
          <w:color w:val="000000"/>
          <w:kern w:val="0"/>
          <w:sz w:val="44"/>
          <w:szCs w:val="44"/>
          <w:lang w:val="zh-CN"/>
        </w:rPr>
        <w:t>温泉乡村社水毁恢复工程项目</w:t>
      </w:r>
    </w:p>
    <w:p>
      <w:pPr>
        <w:spacing w:line="600" w:lineRule="exact"/>
        <w:jc w:val="center"/>
        <w:rPr>
          <w:rFonts w:hint="eastAsia" w:ascii="仿宋_GB2312" w:hAnsi="仿宋_GB2312" w:eastAsia="仿宋_GB2312" w:cs="仿宋_GB2312"/>
          <w:color w:val="000000"/>
          <w:kern w:val="0"/>
          <w:sz w:val="44"/>
          <w:szCs w:val="44"/>
          <w:lang w:val="zh-CN"/>
        </w:rPr>
      </w:pPr>
      <w:r>
        <w:rPr>
          <w:rFonts w:hint="eastAsia" w:ascii="仿宋_GB2312" w:hAnsi="仿宋_GB2312" w:eastAsia="仿宋_GB2312" w:cs="仿宋_GB2312"/>
          <w:color w:val="000000"/>
          <w:kern w:val="0"/>
          <w:sz w:val="44"/>
          <w:szCs w:val="44"/>
          <w:lang w:val="zh-CN"/>
        </w:rPr>
        <w:t>2019年绩效评价报告</w:t>
      </w:r>
    </w:p>
    <w:p>
      <w:pPr>
        <w:spacing w:line="600" w:lineRule="exact"/>
        <w:rPr>
          <w:rFonts w:hint="eastAsia" w:ascii="仿宋_GB2312" w:hAnsi="仿宋_GB2312" w:eastAsia="仿宋_GB2312" w:cs="仿宋_GB2312"/>
          <w:sz w:val="32"/>
          <w:szCs w:val="32"/>
          <w:lang w:val="zh-CN"/>
        </w:rPr>
      </w:pP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zh-CN"/>
        </w:rPr>
        <w:t>项目概况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（一）项目基本情况。</w:t>
      </w:r>
    </w:p>
    <w:p>
      <w:pPr>
        <w:adjustRightInd w:val="0"/>
        <w:snapToGrid w:val="0"/>
        <w:spacing w:line="600" w:lineRule="exact"/>
        <w:ind w:firstLine="720"/>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2019年7月10日、19日我乡雨量较大，造成基础设施不同程度的损毁，尤其是道路损毁较为严重，为解决我乡老百姓出行难和农用物资，烤烟运输难的问题，经乡党委、政府研究，在平等自愿的原则下，明确施工队伍，实施温泉乡村社道路水毁恢复工程项目。</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（二）项目绩效目标。</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1．项目主要内容。为了完成温泉乡村社道路疏通，保障老百姓出行安全保障，对道路损毁严重村社实施水毁恢复工程，确保项目按质按量完成。</w:t>
      </w:r>
    </w:p>
    <w:p>
      <w:p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2．项目应实现的具体绩效目标，包括目标的量化、细化情况以及项目实施进度计划等。温泉乡水毁恢复工程在热水塘村、道角村、野麻地村维修村社道路</w:t>
      </w:r>
      <w:r>
        <w:rPr>
          <w:rFonts w:hint="eastAsia" w:ascii="仿宋_GB2312" w:hAnsi="仿宋_GB2312" w:eastAsia="仿宋_GB2312" w:cs="仿宋_GB2312"/>
          <w:sz w:val="32"/>
          <w:szCs w:val="32"/>
          <w:lang w:val="en-US" w:eastAsia="zh-CN"/>
        </w:rPr>
        <w:t>70余公里，其中清除公路土石塌方1600立方米，涵洞清淤2道，边沟清淤2500米。</w:t>
      </w:r>
    </w:p>
    <w:p>
      <w:p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3.项目自评步骤及办法</w:t>
      </w:r>
    </w:p>
    <w:p>
      <w:p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我乡组织相关对口的站办所对项目实施情况进行了自评，项目整体支出评分为97分，总体评价较好，将按照各项政策要求，不断提高项目绩效效率。</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二、项目资金申报及使用情况</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（一）项目资金申报及批复情况。</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按照要求进资金申报，完成情况较好。</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zh-CN"/>
        </w:rPr>
        <w:t>（二）资金计划、到位及使用情况（可用表格形式反映）。</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1．资金计划。年初预算全乡基础设施及水毁恢复资金为</w:t>
      </w:r>
      <w:r>
        <w:rPr>
          <w:rFonts w:hint="eastAsia" w:ascii="仿宋_GB2312" w:hAnsi="仿宋_GB2312" w:eastAsia="仿宋_GB2312" w:cs="仿宋_GB2312"/>
          <w:sz w:val="32"/>
          <w:szCs w:val="32"/>
          <w:lang w:val="en-US" w:eastAsia="zh-CN"/>
        </w:rPr>
        <w:t>30.77万元，以上</w:t>
      </w:r>
      <w:r>
        <w:rPr>
          <w:rFonts w:hint="eastAsia" w:ascii="仿宋_GB2312" w:hAnsi="仿宋_GB2312" w:eastAsia="仿宋_GB2312" w:cs="仿宋_GB2312"/>
          <w:sz w:val="32"/>
          <w:szCs w:val="32"/>
          <w:lang w:val="zh-CN"/>
        </w:rPr>
        <w:t>村社水毁恢复工程项目，财返资金用于全乡基础设施建设及水毁恢复资金</w:t>
      </w:r>
      <w:r>
        <w:rPr>
          <w:rFonts w:hint="eastAsia" w:ascii="仿宋_GB2312" w:hAnsi="仿宋_GB2312" w:eastAsia="仿宋_GB2312" w:cs="仿宋_GB2312"/>
          <w:sz w:val="32"/>
          <w:szCs w:val="32"/>
          <w:lang w:val="en-US" w:eastAsia="zh-CN"/>
        </w:rPr>
        <w:t>2.3万元</w:t>
      </w:r>
      <w:r>
        <w:rPr>
          <w:rFonts w:hint="eastAsia" w:ascii="仿宋_GB2312" w:hAnsi="仿宋_GB2312" w:eastAsia="仿宋_GB2312" w:cs="仿宋_GB2312"/>
          <w:sz w:val="32"/>
          <w:szCs w:val="32"/>
          <w:lang w:val="zh-CN"/>
        </w:rPr>
        <w:t>。</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2．资金到位。年初预算下达资金已全部到位。</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3．资金使用。严格按照相关规定实施，资金支付范围、支付标准、支付进度、支付依据合规合法、与预算相符。</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（三）项目财务管理情况。</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我乡制定了温泉乡财务管理制度、温泉乡资金监管制度、温泉乡预算管理制度等相关制度，严格执行财务管理制度，及时账务处理，规范会计核算。</w:t>
      </w:r>
    </w:p>
    <w:p>
      <w:pPr>
        <w:numPr>
          <w:ilvl w:val="0"/>
          <w:numId w:val="16"/>
        </w:numPr>
        <w:adjustRightInd w:val="0"/>
        <w:snapToGrid w:val="0"/>
        <w:spacing w:line="600" w:lineRule="exact"/>
        <w:ind w:firstLine="72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项目实施及管理情况</w:t>
      </w:r>
      <w:r>
        <w:rPr>
          <w:rFonts w:hint="eastAsia" w:ascii="仿宋_GB2312" w:hAnsi="仿宋_GB2312" w:eastAsia="仿宋_GB2312" w:cs="仿宋_GB2312"/>
          <w:sz w:val="32"/>
          <w:szCs w:val="32"/>
          <w:lang w:val="en-US" w:eastAsia="zh-CN"/>
        </w:rPr>
        <w:t xml:space="preserve">              </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lang w:val="zh-CN"/>
        </w:rPr>
        <w:t>我乡严格执行项目组织实施管理，项目实施监管总体较好。</w:t>
      </w:r>
    </w:p>
    <w:p>
      <w:pPr>
        <w:numPr>
          <w:ilvl w:val="0"/>
          <w:numId w:val="17"/>
        </w:num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项目组织架构及实施流程。</w:t>
      </w:r>
    </w:p>
    <w:p>
      <w:pPr>
        <w:numPr>
          <w:ilvl w:val="0"/>
          <w:numId w:val="0"/>
        </w:numPr>
        <w:adjustRightInd w:val="0"/>
        <w:snapToGrid w:val="0"/>
        <w:spacing w:line="600" w:lineRule="exact"/>
        <w:rPr>
          <w:rFonts w:hint="eastAsia" w:ascii="仿宋_GB2312" w:hAnsi="仿宋_GB2312" w:eastAsia="仿宋_GB2312" w:cs="仿宋_GB2312"/>
          <w:b/>
          <w:sz w:val="32"/>
          <w:szCs w:val="32"/>
          <w:lang w:val="zh-CN"/>
        </w:rPr>
      </w:pPr>
      <w:r>
        <w:rPr>
          <w:rFonts w:hint="eastAsia" w:ascii="仿宋_GB2312" w:hAnsi="仿宋_GB2312" w:eastAsia="仿宋_GB2312" w:cs="仿宋_GB2312"/>
          <w:sz w:val="32"/>
          <w:szCs w:val="32"/>
          <w:lang w:val="zh-CN"/>
        </w:rPr>
        <w:t>我乡严格按照项目组织架构组织实施项目，严格按照实施流程实施项目。</w:t>
      </w:r>
    </w:p>
    <w:p>
      <w:pPr>
        <w:numPr>
          <w:ilvl w:val="0"/>
          <w:numId w:val="17"/>
        </w:numPr>
        <w:adjustRightInd w:val="0"/>
        <w:snapToGrid w:val="0"/>
        <w:spacing w:line="600" w:lineRule="exact"/>
        <w:ind w:firstLine="720" w:firstLineChars="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项目管理情况。</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b/>
          <w:sz w:val="32"/>
          <w:szCs w:val="32"/>
          <w:lang w:val="zh-CN"/>
        </w:rPr>
        <w:t>严格按照</w:t>
      </w:r>
      <w:r>
        <w:rPr>
          <w:rFonts w:hint="eastAsia" w:ascii="仿宋_GB2312" w:hAnsi="仿宋_GB2312" w:eastAsia="仿宋_GB2312" w:cs="仿宋_GB2312"/>
          <w:sz w:val="32"/>
          <w:szCs w:val="32"/>
          <w:lang w:val="zh-CN"/>
        </w:rPr>
        <w:t>相关法律法规及项目管理制度执行，严格按照招投标、政府采购、项目公示相关规定实施。</w:t>
      </w:r>
    </w:p>
    <w:p>
      <w:pPr>
        <w:numPr>
          <w:ilvl w:val="0"/>
          <w:numId w:val="17"/>
        </w:numPr>
        <w:adjustRightInd w:val="0"/>
        <w:snapToGrid w:val="0"/>
        <w:spacing w:line="600" w:lineRule="exact"/>
        <w:ind w:firstLine="720"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zh-CN"/>
        </w:rPr>
        <w:t>项目监管情况。</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lang w:val="zh-CN"/>
        </w:rPr>
        <w:t>乡上成立项目监管部门负责项目实施过程监督，严格执行监管程序。</w:t>
      </w:r>
    </w:p>
    <w:p>
      <w:pPr>
        <w:numPr>
          <w:ilvl w:val="0"/>
          <w:numId w:val="0"/>
        </w:numPr>
        <w:adjustRightInd w:val="0"/>
        <w:snapToGrid w:val="0"/>
        <w:spacing w:line="600" w:lineRule="exact"/>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四、项目绩效情况</w:t>
      </w:r>
      <w:r>
        <w:rPr>
          <w:rFonts w:hint="eastAsia" w:ascii="仿宋_GB2312" w:hAnsi="仿宋_GB2312" w:eastAsia="仿宋_GB2312" w:cs="仿宋_GB2312"/>
          <w:sz w:val="32"/>
          <w:szCs w:val="32"/>
          <w:lang w:val="zh-CN"/>
        </w:rPr>
        <w:tab/>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（一）项目完成情况。</w:t>
      </w:r>
    </w:p>
    <w:p>
      <w:pPr>
        <w:adjustRightInd w:val="0"/>
        <w:snapToGrid w:val="0"/>
        <w:spacing w:line="600" w:lineRule="exact"/>
        <w:ind w:firstLine="72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温泉乡水毁恢复工程在热水塘村、道角村、野麻地村维修村社道路</w:t>
      </w:r>
      <w:r>
        <w:rPr>
          <w:rFonts w:hint="eastAsia" w:ascii="仿宋_GB2312" w:hAnsi="仿宋_GB2312" w:eastAsia="仿宋_GB2312" w:cs="仿宋_GB2312"/>
          <w:sz w:val="32"/>
          <w:szCs w:val="32"/>
          <w:lang w:val="en-US" w:eastAsia="zh-CN"/>
        </w:rPr>
        <w:t>70余公里，其中清除公路土石塌方1600立方米，涵洞清淤2道，边沟清淤2500米。完成成本为2.3万元。</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（二）项目效益情况。</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zh-CN"/>
        </w:rPr>
        <w:t>受益群众户数≥</w:t>
      </w:r>
      <w:r>
        <w:rPr>
          <w:rFonts w:hint="eastAsia" w:ascii="仿宋_GB2312" w:hAnsi="仿宋_GB2312" w:eastAsia="仿宋_GB2312" w:cs="仿宋_GB2312"/>
          <w:sz w:val="32"/>
          <w:szCs w:val="32"/>
          <w:lang w:val="en-US" w:eastAsia="zh-CN"/>
        </w:rPr>
        <w:t>850</w:t>
      </w:r>
      <w:r>
        <w:rPr>
          <w:rFonts w:hint="eastAsia" w:ascii="仿宋_GB2312" w:hAnsi="仿宋_GB2312" w:eastAsia="仿宋_GB2312" w:cs="仿宋_GB2312"/>
          <w:sz w:val="32"/>
          <w:szCs w:val="32"/>
          <w:lang w:val="zh-CN"/>
        </w:rPr>
        <w:t>户，满意度达</w:t>
      </w:r>
      <w:r>
        <w:rPr>
          <w:rFonts w:hint="eastAsia" w:ascii="仿宋_GB2312" w:hAnsi="仿宋_GB2312" w:eastAsia="仿宋_GB2312" w:cs="仿宋_GB2312"/>
          <w:sz w:val="32"/>
          <w:szCs w:val="32"/>
        </w:rPr>
        <w:t>99%以上。</w:t>
      </w:r>
      <w:r>
        <w:rPr>
          <w:rFonts w:hint="eastAsia" w:ascii="仿宋_GB2312" w:hAnsi="仿宋_GB2312" w:eastAsia="仿宋_GB2312" w:cs="仿宋_GB2312"/>
          <w:sz w:val="32"/>
          <w:szCs w:val="32"/>
          <w:lang w:eastAsia="zh-CN"/>
        </w:rPr>
        <w:t>为群众生活生产，出行等带来了极大的便利，促进我乡经济发展提高农户收入起到了一定的作用。</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五、评价结论及建议</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（一）评价结论。</w:t>
      </w:r>
    </w:p>
    <w:p>
      <w:pPr>
        <w:adjustRightInd w:val="0"/>
        <w:snapToGrid w:val="0"/>
        <w:spacing w:line="600" w:lineRule="exact"/>
        <w:ind w:firstLine="640" w:firstLineChars="200"/>
        <w:rPr>
          <w:rFonts w:hint="eastAsia" w:ascii="仿宋_GB2312" w:hAnsi="仿宋_GB2312" w:eastAsia="仿宋_GB2312" w:cs="仿宋_GB2312"/>
          <w:sz w:val="32"/>
          <w:szCs w:val="32"/>
          <w:bdr w:val="single" w:color="auto" w:sz="4" w:space="0"/>
          <w:lang w:val="zh-CN"/>
        </w:rPr>
      </w:pPr>
      <w:r>
        <w:rPr>
          <w:rFonts w:hint="eastAsia" w:ascii="仿宋_GB2312" w:hAnsi="仿宋_GB2312" w:eastAsia="仿宋_GB2312" w:cs="仿宋_GB2312"/>
          <w:sz w:val="32"/>
          <w:szCs w:val="32"/>
          <w:lang w:val="zh-CN"/>
        </w:rPr>
        <w:t>总体较好。项目能够及时开展，进行进行报账程序。</w:t>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（二）存在的问题。</w:t>
      </w:r>
    </w:p>
    <w:p>
      <w:pPr>
        <w:adjustRightInd w:val="0"/>
        <w:snapToGrid w:val="0"/>
        <w:spacing w:line="600" w:lineRule="exact"/>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项目报账资料不够完善。</w:t>
      </w:r>
      <w:r>
        <w:rPr>
          <w:rFonts w:hint="eastAsia" w:ascii="仿宋_GB2312" w:hAnsi="仿宋_GB2312" w:eastAsia="仿宋_GB2312" w:cs="仿宋_GB2312"/>
          <w:sz w:val="32"/>
          <w:szCs w:val="32"/>
          <w:lang w:val="zh-CN"/>
        </w:rPr>
        <w:tab/>
      </w:r>
    </w:p>
    <w:p>
      <w:pPr>
        <w:adjustRightInd w:val="0"/>
        <w:snapToGrid w:val="0"/>
        <w:spacing w:line="600" w:lineRule="exact"/>
        <w:ind w:firstLine="720"/>
        <w:rPr>
          <w:rFonts w:hint="eastAsia" w:ascii="仿宋_GB2312" w:hAnsi="仿宋_GB2312" w:eastAsia="仿宋_GB2312" w:cs="仿宋_GB2312"/>
          <w:b/>
          <w:sz w:val="32"/>
          <w:szCs w:val="32"/>
          <w:lang w:val="zh-CN"/>
        </w:rPr>
      </w:pPr>
      <w:r>
        <w:rPr>
          <w:rFonts w:hint="eastAsia" w:ascii="仿宋_GB2312" w:hAnsi="仿宋_GB2312" w:eastAsia="仿宋_GB2312" w:cs="仿宋_GB2312"/>
          <w:b/>
          <w:sz w:val="32"/>
          <w:szCs w:val="32"/>
          <w:lang w:val="zh-CN"/>
        </w:rPr>
        <w:t>（三）相关建议。</w:t>
      </w:r>
    </w:p>
    <w:p>
      <w:pPr>
        <w:spacing w:line="5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较好的执行了2019年度部门项目支出绩效目标，各项支出都严格按预算要求执行，专项资金也做到专款专用，按时按要求拨付各项费用，同时，按部门预算科学合理使用财政资金，充分发挥资金利用效率，但在预算绩效目标中仍有一些问题。下一步，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一是制定具体措施，确定专人负责，有效开展绩效管理工作，发现问题及时更正，保证资金安全及项目的正常运行。二是强化项目资金使用，对专项资金预算绩效目标进行及时跟踪，对预算执行精细化，加快资金拨付进度。</w:t>
      </w:r>
    </w:p>
    <w:p>
      <w:pPr>
        <w:widowControl/>
        <w:jc w:val="left"/>
        <w:rPr>
          <w:rStyle w:val="28"/>
          <w:rFonts w:hint="eastAsia" w:ascii="仿宋_GB2312" w:hAnsi="仿宋_GB2312" w:eastAsia="仿宋_GB2312" w:cs="仿宋_GB2312"/>
          <w:b w:val="0"/>
        </w:rPr>
      </w:pPr>
    </w:p>
    <w:p>
      <w:pPr>
        <w:widowControl/>
        <w:jc w:val="left"/>
        <w:rPr>
          <w:rStyle w:val="28"/>
          <w:rFonts w:hint="eastAsia" w:ascii="仿宋_GB2312" w:hAnsi="仿宋_GB2312" w:eastAsia="仿宋_GB2312" w:cs="仿宋_GB2312"/>
          <w:b w:val="0"/>
        </w:rPr>
      </w:pPr>
      <w:r>
        <w:rPr>
          <w:rStyle w:val="28"/>
          <w:rFonts w:hint="eastAsia" w:ascii="仿宋_GB2312" w:hAnsi="仿宋_GB2312" w:eastAsia="仿宋_GB2312" w:cs="仿宋_GB2312"/>
          <w:b w:val="0"/>
        </w:rPr>
        <w:br w:type="page"/>
      </w:r>
    </w:p>
    <w:p>
      <w:pPr>
        <w:spacing w:line="600" w:lineRule="exact"/>
        <w:jc w:val="center"/>
        <w:outlineLvl w:val="0"/>
        <w:rPr>
          <w:rStyle w:val="28"/>
          <w:rFonts w:hint="eastAsia" w:ascii="仿宋_GB2312" w:hAnsi="仿宋_GB2312" w:eastAsia="仿宋_GB2312" w:cs="仿宋_GB2312"/>
          <w:b w:val="0"/>
        </w:rPr>
      </w:pPr>
    </w:p>
    <w:p>
      <w:pPr>
        <w:spacing w:line="600" w:lineRule="exact"/>
        <w:jc w:val="center"/>
        <w:outlineLvl w:val="0"/>
        <w:rPr>
          <w:rStyle w:val="28"/>
          <w:rFonts w:hint="eastAsia" w:ascii="仿宋_GB2312" w:hAnsi="仿宋_GB2312" w:eastAsia="仿宋_GB2312" w:cs="仿宋_GB2312"/>
          <w:b w:val="0"/>
        </w:rPr>
      </w:pPr>
      <w:bookmarkStart w:id="91" w:name="_Toc15396618"/>
      <w:bookmarkStart w:id="92" w:name="_Toc52180099"/>
      <w:r>
        <w:rPr>
          <w:rFonts w:hint="eastAsia" w:ascii="仿宋_GB2312" w:hAnsi="仿宋_GB2312" w:eastAsia="仿宋_GB2312" w:cs="仿宋_GB2312"/>
          <w:color w:val="000000"/>
          <w:sz w:val="44"/>
          <w:szCs w:val="44"/>
        </w:rPr>
        <w:t>第</w:t>
      </w:r>
      <w:r>
        <w:rPr>
          <w:rStyle w:val="28"/>
          <w:rFonts w:hint="eastAsia" w:ascii="仿宋_GB2312" w:hAnsi="仿宋_GB2312" w:eastAsia="仿宋_GB2312" w:cs="仿宋_GB2312"/>
          <w:b w:val="0"/>
        </w:rPr>
        <w:t>五部分 附表</w:t>
      </w:r>
      <w:bookmarkEnd w:id="90"/>
      <w:bookmarkEnd w:id="91"/>
      <w:bookmarkEnd w:id="92"/>
    </w:p>
    <w:p>
      <w:pPr>
        <w:spacing w:line="600" w:lineRule="exact"/>
        <w:jc w:val="center"/>
        <w:outlineLvl w:val="0"/>
        <w:rPr>
          <w:rFonts w:hint="eastAsia" w:ascii="仿宋_GB2312" w:hAnsi="仿宋_GB2312" w:eastAsia="仿宋_GB2312" w:cs="仿宋_GB2312"/>
          <w:b/>
          <w:color w:val="000000"/>
          <w:sz w:val="44"/>
          <w:szCs w:val="44"/>
        </w:rPr>
      </w:pPr>
    </w:p>
    <w:p>
      <w:pPr>
        <w:pStyle w:val="3"/>
        <w:rPr>
          <w:rFonts w:hint="eastAsia" w:ascii="仿宋_GB2312" w:hAnsi="仿宋_GB2312" w:eastAsia="仿宋_GB2312" w:cs="仿宋_GB2312"/>
          <w:color w:val="000000"/>
        </w:rPr>
      </w:pPr>
      <w:bookmarkStart w:id="93" w:name="_Toc15396619"/>
      <w:bookmarkStart w:id="94" w:name="_Toc52180100"/>
      <w:r>
        <w:rPr>
          <w:rFonts w:hint="eastAsia" w:ascii="仿宋_GB2312" w:hAnsi="仿宋_GB2312" w:eastAsia="仿宋_GB2312" w:cs="仿宋_GB2312"/>
          <w:b w:val="0"/>
          <w:color w:val="000000"/>
        </w:rPr>
        <w:t>一、收</w:t>
      </w:r>
      <w:r>
        <w:rPr>
          <w:rStyle w:val="29"/>
          <w:rFonts w:hint="eastAsia" w:ascii="仿宋_GB2312" w:hAnsi="仿宋_GB2312" w:eastAsia="仿宋_GB2312" w:cs="仿宋_GB2312"/>
          <w:b w:val="0"/>
          <w:bCs w:val="0"/>
        </w:rPr>
        <w:t>入支出决算总表</w:t>
      </w:r>
      <w:bookmarkEnd w:id="93"/>
      <w:bookmarkEnd w:id="94"/>
    </w:p>
    <w:p>
      <w:pPr>
        <w:pStyle w:val="3"/>
        <w:rPr>
          <w:rFonts w:hint="eastAsia" w:ascii="仿宋_GB2312" w:hAnsi="仿宋_GB2312" w:eastAsia="仿宋_GB2312" w:cs="仿宋_GB2312"/>
          <w:color w:val="000000"/>
        </w:rPr>
      </w:pPr>
      <w:bookmarkStart w:id="95" w:name="_Toc52180101"/>
      <w:bookmarkStart w:id="96" w:name="_Toc15396620"/>
      <w:r>
        <w:rPr>
          <w:rFonts w:hint="eastAsia" w:ascii="仿宋_GB2312" w:hAnsi="仿宋_GB2312" w:eastAsia="仿宋_GB2312" w:cs="仿宋_GB2312"/>
          <w:b w:val="0"/>
          <w:color w:val="000000"/>
        </w:rPr>
        <w:t>二、收</w:t>
      </w:r>
      <w:r>
        <w:rPr>
          <w:rStyle w:val="29"/>
          <w:rFonts w:hint="eastAsia" w:ascii="仿宋_GB2312" w:hAnsi="仿宋_GB2312" w:eastAsia="仿宋_GB2312" w:cs="仿宋_GB2312"/>
          <w:b w:val="0"/>
          <w:bCs w:val="0"/>
        </w:rPr>
        <w:t>入决算表</w:t>
      </w:r>
      <w:bookmarkEnd w:id="95"/>
      <w:bookmarkEnd w:id="96"/>
    </w:p>
    <w:p>
      <w:pPr>
        <w:pStyle w:val="3"/>
        <w:rPr>
          <w:rFonts w:hint="eastAsia" w:ascii="仿宋_GB2312" w:hAnsi="仿宋_GB2312" w:eastAsia="仿宋_GB2312" w:cs="仿宋_GB2312"/>
          <w:color w:val="000000"/>
        </w:rPr>
      </w:pPr>
      <w:bookmarkStart w:id="97" w:name="_Toc52180102"/>
      <w:bookmarkStart w:id="98" w:name="_Toc15396621"/>
      <w:r>
        <w:rPr>
          <w:rStyle w:val="29"/>
          <w:rFonts w:hint="eastAsia" w:ascii="仿宋_GB2312" w:hAnsi="仿宋_GB2312" w:eastAsia="仿宋_GB2312" w:cs="仿宋_GB2312"/>
          <w:b w:val="0"/>
          <w:bCs w:val="0"/>
        </w:rPr>
        <w:t>三、</w:t>
      </w:r>
      <w:r>
        <w:rPr>
          <w:rFonts w:hint="eastAsia" w:ascii="仿宋_GB2312" w:hAnsi="仿宋_GB2312" w:eastAsia="仿宋_GB2312" w:cs="仿宋_GB2312"/>
          <w:b w:val="0"/>
          <w:color w:val="000000"/>
        </w:rPr>
        <w:t>支</w:t>
      </w:r>
      <w:r>
        <w:rPr>
          <w:rStyle w:val="29"/>
          <w:rFonts w:hint="eastAsia" w:ascii="仿宋_GB2312" w:hAnsi="仿宋_GB2312" w:eastAsia="仿宋_GB2312" w:cs="仿宋_GB2312"/>
          <w:b w:val="0"/>
          <w:bCs w:val="0"/>
        </w:rPr>
        <w:t>出决算表</w:t>
      </w:r>
      <w:bookmarkEnd w:id="97"/>
      <w:bookmarkEnd w:id="98"/>
    </w:p>
    <w:p>
      <w:pPr>
        <w:pStyle w:val="3"/>
        <w:rPr>
          <w:rFonts w:hint="eastAsia" w:ascii="仿宋_GB2312" w:hAnsi="仿宋_GB2312" w:eastAsia="仿宋_GB2312" w:cs="仿宋_GB2312"/>
          <w:b w:val="0"/>
          <w:color w:val="000000"/>
        </w:rPr>
      </w:pPr>
      <w:bookmarkStart w:id="99" w:name="_Toc15396622"/>
      <w:bookmarkStart w:id="100" w:name="_Toc52180103"/>
      <w:r>
        <w:rPr>
          <w:rStyle w:val="29"/>
          <w:rFonts w:hint="eastAsia" w:ascii="仿宋_GB2312" w:hAnsi="仿宋_GB2312" w:eastAsia="仿宋_GB2312" w:cs="仿宋_GB2312"/>
          <w:b w:val="0"/>
          <w:bCs w:val="0"/>
        </w:rPr>
        <w:t>四、</w:t>
      </w:r>
      <w:r>
        <w:rPr>
          <w:rFonts w:hint="eastAsia" w:ascii="仿宋_GB2312" w:hAnsi="仿宋_GB2312" w:eastAsia="仿宋_GB2312" w:cs="仿宋_GB2312"/>
          <w:b w:val="0"/>
          <w:color w:val="000000"/>
        </w:rPr>
        <w:t>财</w:t>
      </w:r>
      <w:r>
        <w:rPr>
          <w:rStyle w:val="29"/>
          <w:rFonts w:hint="eastAsia" w:ascii="仿宋_GB2312" w:hAnsi="仿宋_GB2312" w:eastAsia="仿宋_GB2312" w:cs="仿宋_GB2312"/>
          <w:b w:val="0"/>
          <w:bCs w:val="0"/>
        </w:rPr>
        <w:t>政拨款收入支出决算总表</w:t>
      </w:r>
      <w:bookmarkEnd w:id="99"/>
      <w:bookmarkEnd w:id="100"/>
    </w:p>
    <w:p>
      <w:pPr>
        <w:pStyle w:val="3"/>
        <w:rPr>
          <w:rStyle w:val="29"/>
          <w:rFonts w:hint="eastAsia" w:ascii="仿宋_GB2312" w:hAnsi="仿宋_GB2312" w:eastAsia="仿宋_GB2312" w:cs="仿宋_GB2312"/>
          <w:b w:val="0"/>
          <w:bCs w:val="0"/>
        </w:rPr>
      </w:pPr>
      <w:bookmarkStart w:id="101" w:name="_Toc52180104"/>
      <w:bookmarkStart w:id="102" w:name="_Toc15396623"/>
      <w:r>
        <w:rPr>
          <w:rStyle w:val="29"/>
          <w:rFonts w:hint="eastAsia" w:ascii="仿宋_GB2312" w:hAnsi="仿宋_GB2312" w:eastAsia="仿宋_GB2312" w:cs="仿宋_GB2312"/>
          <w:b w:val="0"/>
          <w:bCs w:val="0"/>
        </w:rPr>
        <w:t>五、</w:t>
      </w:r>
      <w:r>
        <w:rPr>
          <w:rFonts w:hint="eastAsia" w:ascii="仿宋_GB2312" w:hAnsi="仿宋_GB2312" w:eastAsia="仿宋_GB2312" w:cs="仿宋_GB2312"/>
          <w:b w:val="0"/>
          <w:color w:val="000000"/>
        </w:rPr>
        <w:t>财</w:t>
      </w:r>
      <w:r>
        <w:rPr>
          <w:rStyle w:val="29"/>
          <w:rFonts w:hint="eastAsia" w:ascii="仿宋_GB2312" w:hAnsi="仿宋_GB2312" w:eastAsia="仿宋_GB2312" w:cs="仿宋_GB2312"/>
          <w:b w:val="0"/>
          <w:bCs w:val="0"/>
        </w:rPr>
        <w:t>政拨款支出决算明细表</w:t>
      </w:r>
      <w:bookmarkEnd w:id="101"/>
      <w:bookmarkEnd w:id="102"/>
      <w:bookmarkStart w:id="103" w:name="_Toc15396624"/>
    </w:p>
    <w:p>
      <w:pPr>
        <w:pStyle w:val="3"/>
        <w:rPr>
          <w:rFonts w:hint="eastAsia" w:ascii="仿宋_GB2312" w:hAnsi="仿宋_GB2312" w:eastAsia="仿宋_GB2312" w:cs="仿宋_GB2312"/>
          <w:color w:val="000000"/>
        </w:rPr>
      </w:pPr>
      <w:bookmarkStart w:id="104" w:name="_Toc52180105"/>
      <w:r>
        <w:rPr>
          <w:rStyle w:val="29"/>
          <w:rFonts w:hint="eastAsia" w:ascii="仿宋_GB2312" w:hAnsi="仿宋_GB2312" w:eastAsia="仿宋_GB2312" w:cs="仿宋_GB2312"/>
          <w:b w:val="0"/>
          <w:bCs w:val="0"/>
        </w:rPr>
        <w:t>六、</w:t>
      </w:r>
      <w:r>
        <w:rPr>
          <w:rFonts w:hint="eastAsia" w:ascii="仿宋_GB2312" w:hAnsi="仿宋_GB2312" w:eastAsia="仿宋_GB2312" w:cs="仿宋_GB2312"/>
          <w:b w:val="0"/>
          <w:color w:val="000000"/>
        </w:rPr>
        <w:t>一</w:t>
      </w:r>
      <w:r>
        <w:rPr>
          <w:rStyle w:val="29"/>
          <w:rFonts w:hint="eastAsia" w:ascii="仿宋_GB2312" w:hAnsi="仿宋_GB2312" w:eastAsia="仿宋_GB2312" w:cs="仿宋_GB2312"/>
          <w:b w:val="0"/>
          <w:bCs w:val="0"/>
        </w:rPr>
        <w:t>般公共预算财政拨款支出决算表</w:t>
      </w:r>
      <w:bookmarkEnd w:id="103"/>
      <w:bookmarkEnd w:id="104"/>
    </w:p>
    <w:p>
      <w:pPr>
        <w:pStyle w:val="3"/>
        <w:rPr>
          <w:rFonts w:hint="eastAsia" w:ascii="仿宋_GB2312" w:hAnsi="仿宋_GB2312" w:eastAsia="仿宋_GB2312" w:cs="仿宋_GB2312"/>
          <w:color w:val="000000"/>
        </w:rPr>
      </w:pPr>
      <w:bookmarkStart w:id="105" w:name="_Toc15396625"/>
      <w:bookmarkStart w:id="106" w:name="_Toc52180106"/>
      <w:r>
        <w:rPr>
          <w:rStyle w:val="29"/>
          <w:rFonts w:hint="eastAsia" w:ascii="仿宋_GB2312" w:hAnsi="仿宋_GB2312" w:eastAsia="仿宋_GB2312" w:cs="仿宋_GB2312"/>
          <w:b w:val="0"/>
          <w:bCs w:val="0"/>
        </w:rPr>
        <w:t>七、</w:t>
      </w:r>
      <w:r>
        <w:rPr>
          <w:rFonts w:hint="eastAsia" w:ascii="仿宋_GB2312" w:hAnsi="仿宋_GB2312" w:eastAsia="仿宋_GB2312" w:cs="仿宋_GB2312"/>
          <w:b w:val="0"/>
          <w:color w:val="000000"/>
        </w:rPr>
        <w:t>一</w:t>
      </w:r>
      <w:r>
        <w:rPr>
          <w:rStyle w:val="29"/>
          <w:rFonts w:hint="eastAsia" w:ascii="仿宋_GB2312" w:hAnsi="仿宋_GB2312" w:eastAsia="仿宋_GB2312" w:cs="仿宋_GB2312"/>
          <w:b w:val="0"/>
          <w:bCs w:val="0"/>
        </w:rPr>
        <w:t>般公共预算财政拨款支出决算明细表</w:t>
      </w:r>
      <w:bookmarkEnd w:id="105"/>
      <w:bookmarkEnd w:id="106"/>
    </w:p>
    <w:p>
      <w:pPr>
        <w:pStyle w:val="3"/>
        <w:rPr>
          <w:rFonts w:hint="eastAsia" w:ascii="仿宋_GB2312" w:hAnsi="仿宋_GB2312" w:eastAsia="仿宋_GB2312" w:cs="仿宋_GB2312"/>
          <w:color w:val="000000"/>
        </w:rPr>
      </w:pPr>
      <w:bookmarkStart w:id="107" w:name="_Toc52180107"/>
      <w:bookmarkStart w:id="108" w:name="_Toc15396626"/>
      <w:r>
        <w:rPr>
          <w:rStyle w:val="29"/>
          <w:rFonts w:hint="eastAsia" w:ascii="仿宋_GB2312" w:hAnsi="仿宋_GB2312" w:eastAsia="仿宋_GB2312" w:cs="仿宋_GB2312"/>
          <w:b w:val="0"/>
          <w:bCs w:val="0"/>
        </w:rPr>
        <w:t>八、</w:t>
      </w:r>
      <w:r>
        <w:rPr>
          <w:rFonts w:hint="eastAsia" w:ascii="仿宋_GB2312" w:hAnsi="仿宋_GB2312" w:eastAsia="仿宋_GB2312" w:cs="仿宋_GB2312"/>
          <w:b w:val="0"/>
          <w:color w:val="000000"/>
        </w:rPr>
        <w:t>一</w:t>
      </w:r>
      <w:r>
        <w:rPr>
          <w:rStyle w:val="29"/>
          <w:rFonts w:hint="eastAsia" w:ascii="仿宋_GB2312" w:hAnsi="仿宋_GB2312" w:eastAsia="仿宋_GB2312" w:cs="仿宋_GB2312"/>
          <w:b w:val="0"/>
          <w:bCs w:val="0"/>
        </w:rPr>
        <w:t>般公共预算财政拨款基本支出决算表</w:t>
      </w:r>
      <w:bookmarkEnd w:id="107"/>
      <w:bookmarkEnd w:id="108"/>
    </w:p>
    <w:p>
      <w:pPr>
        <w:pStyle w:val="3"/>
        <w:rPr>
          <w:rFonts w:hint="eastAsia" w:ascii="仿宋_GB2312" w:hAnsi="仿宋_GB2312" w:eastAsia="仿宋_GB2312" w:cs="仿宋_GB2312"/>
          <w:color w:val="000000"/>
        </w:rPr>
      </w:pPr>
      <w:bookmarkStart w:id="109" w:name="_Toc15396627"/>
      <w:bookmarkStart w:id="110" w:name="_Toc52180108"/>
      <w:r>
        <w:rPr>
          <w:rStyle w:val="29"/>
          <w:rFonts w:hint="eastAsia" w:ascii="仿宋_GB2312" w:hAnsi="仿宋_GB2312" w:eastAsia="仿宋_GB2312" w:cs="仿宋_GB2312"/>
          <w:b w:val="0"/>
          <w:bCs w:val="0"/>
        </w:rPr>
        <w:t>九、</w:t>
      </w:r>
      <w:r>
        <w:rPr>
          <w:rFonts w:hint="eastAsia" w:ascii="仿宋_GB2312" w:hAnsi="仿宋_GB2312" w:eastAsia="仿宋_GB2312" w:cs="仿宋_GB2312"/>
          <w:b w:val="0"/>
          <w:color w:val="000000"/>
        </w:rPr>
        <w:t>一</w:t>
      </w:r>
      <w:r>
        <w:rPr>
          <w:rStyle w:val="29"/>
          <w:rFonts w:hint="eastAsia" w:ascii="仿宋_GB2312" w:hAnsi="仿宋_GB2312" w:eastAsia="仿宋_GB2312" w:cs="仿宋_GB2312"/>
          <w:b w:val="0"/>
          <w:bCs w:val="0"/>
        </w:rPr>
        <w:t>般公共预算财政拨款项目支出决算表</w:t>
      </w:r>
      <w:bookmarkEnd w:id="109"/>
      <w:bookmarkEnd w:id="110"/>
    </w:p>
    <w:p>
      <w:pPr>
        <w:pStyle w:val="3"/>
        <w:rPr>
          <w:rFonts w:hint="eastAsia" w:ascii="仿宋_GB2312" w:hAnsi="仿宋_GB2312" w:eastAsia="仿宋_GB2312" w:cs="仿宋_GB2312"/>
          <w:color w:val="000000"/>
        </w:rPr>
      </w:pPr>
      <w:bookmarkStart w:id="111" w:name="_Toc52180109"/>
      <w:bookmarkStart w:id="112" w:name="_Toc15396628"/>
      <w:r>
        <w:rPr>
          <w:rStyle w:val="29"/>
          <w:rFonts w:hint="eastAsia" w:ascii="仿宋_GB2312" w:hAnsi="仿宋_GB2312" w:eastAsia="仿宋_GB2312" w:cs="仿宋_GB2312"/>
          <w:b w:val="0"/>
          <w:bCs w:val="0"/>
        </w:rPr>
        <w:t>十、</w:t>
      </w:r>
      <w:r>
        <w:rPr>
          <w:rFonts w:hint="eastAsia" w:ascii="仿宋_GB2312" w:hAnsi="仿宋_GB2312" w:eastAsia="仿宋_GB2312" w:cs="仿宋_GB2312"/>
          <w:b w:val="0"/>
          <w:color w:val="000000"/>
        </w:rPr>
        <w:t>一</w:t>
      </w:r>
      <w:r>
        <w:rPr>
          <w:rStyle w:val="29"/>
          <w:rFonts w:hint="eastAsia" w:ascii="仿宋_GB2312" w:hAnsi="仿宋_GB2312" w:eastAsia="仿宋_GB2312" w:cs="仿宋_GB2312"/>
          <w:b w:val="0"/>
          <w:bCs w:val="0"/>
        </w:rPr>
        <w:t>般公共预算财政拨款“三公”经费支出决算表</w:t>
      </w:r>
      <w:bookmarkEnd w:id="111"/>
      <w:bookmarkEnd w:id="112"/>
    </w:p>
    <w:p>
      <w:pPr>
        <w:pStyle w:val="3"/>
        <w:rPr>
          <w:rFonts w:hint="eastAsia" w:ascii="仿宋_GB2312" w:hAnsi="仿宋_GB2312" w:eastAsia="仿宋_GB2312" w:cs="仿宋_GB2312"/>
          <w:color w:val="000000"/>
        </w:rPr>
      </w:pPr>
      <w:bookmarkStart w:id="113" w:name="_Toc15396629"/>
      <w:bookmarkStart w:id="114" w:name="_Toc52180110"/>
      <w:r>
        <w:rPr>
          <w:rStyle w:val="29"/>
          <w:rFonts w:hint="eastAsia" w:ascii="仿宋_GB2312" w:hAnsi="仿宋_GB2312" w:eastAsia="仿宋_GB2312" w:cs="仿宋_GB2312"/>
          <w:b w:val="0"/>
          <w:bCs w:val="0"/>
        </w:rPr>
        <w:t>十一、</w:t>
      </w:r>
      <w:r>
        <w:rPr>
          <w:rFonts w:hint="eastAsia" w:ascii="仿宋_GB2312" w:hAnsi="仿宋_GB2312" w:eastAsia="仿宋_GB2312" w:cs="仿宋_GB2312"/>
          <w:b w:val="0"/>
          <w:color w:val="000000"/>
        </w:rPr>
        <w:t>政</w:t>
      </w:r>
      <w:r>
        <w:rPr>
          <w:rStyle w:val="29"/>
          <w:rFonts w:hint="eastAsia" w:ascii="仿宋_GB2312" w:hAnsi="仿宋_GB2312" w:eastAsia="仿宋_GB2312" w:cs="仿宋_GB2312"/>
          <w:b w:val="0"/>
          <w:bCs w:val="0"/>
        </w:rPr>
        <w:t>府性基金预算财政拨款收入支出决算表</w:t>
      </w:r>
      <w:bookmarkEnd w:id="113"/>
      <w:bookmarkEnd w:id="114"/>
    </w:p>
    <w:p>
      <w:pPr>
        <w:pStyle w:val="3"/>
        <w:rPr>
          <w:rFonts w:hint="eastAsia" w:ascii="仿宋_GB2312" w:hAnsi="仿宋_GB2312" w:eastAsia="仿宋_GB2312" w:cs="仿宋_GB2312"/>
          <w:color w:val="000000"/>
        </w:rPr>
      </w:pPr>
      <w:bookmarkStart w:id="115" w:name="_Toc15396630"/>
      <w:bookmarkStart w:id="116" w:name="_Toc52180111"/>
      <w:r>
        <w:rPr>
          <w:rStyle w:val="29"/>
          <w:rFonts w:hint="eastAsia" w:ascii="仿宋_GB2312" w:hAnsi="仿宋_GB2312" w:eastAsia="仿宋_GB2312" w:cs="仿宋_GB2312"/>
          <w:b w:val="0"/>
          <w:bCs w:val="0"/>
        </w:rPr>
        <w:t>十二、</w:t>
      </w:r>
      <w:r>
        <w:rPr>
          <w:rFonts w:hint="eastAsia" w:ascii="仿宋_GB2312" w:hAnsi="仿宋_GB2312" w:eastAsia="仿宋_GB2312" w:cs="仿宋_GB2312"/>
          <w:b w:val="0"/>
          <w:color w:val="000000"/>
        </w:rPr>
        <w:t>政</w:t>
      </w:r>
      <w:r>
        <w:rPr>
          <w:rStyle w:val="29"/>
          <w:rFonts w:hint="eastAsia" w:ascii="仿宋_GB2312" w:hAnsi="仿宋_GB2312" w:eastAsia="仿宋_GB2312" w:cs="仿宋_GB2312"/>
          <w:b w:val="0"/>
          <w:bCs w:val="0"/>
        </w:rPr>
        <w:t>府性基金预算财政拨款“三公”经费支出决算表</w:t>
      </w:r>
      <w:bookmarkEnd w:id="115"/>
      <w:bookmarkEnd w:id="116"/>
    </w:p>
    <w:p>
      <w:pPr>
        <w:pStyle w:val="3"/>
        <w:rPr>
          <w:rFonts w:hint="eastAsia" w:ascii="仿宋_GB2312" w:hAnsi="仿宋_GB2312" w:eastAsia="仿宋_GB2312" w:cs="仿宋_GB2312"/>
          <w:color w:val="000000"/>
        </w:rPr>
      </w:pPr>
      <w:bookmarkStart w:id="117" w:name="_Toc52180112"/>
      <w:bookmarkStart w:id="118" w:name="_Toc15396631"/>
      <w:r>
        <w:rPr>
          <w:rStyle w:val="29"/>
          <w:rFonts w:hint="eastAsia" w:ascii="仿宋_GB2312" w:hAnsi="仿宋_GB2312" w:eastAsia="仿宋_GB2312" w:cs="仿宋_GB2312"/>
          <w:b w:val="0"/>
          <w:bCs w:val="0"/>
        </w:rPr>
        <w:t>十三、</w:t>
      </w:r>
      <w:r>
        <w:rPr>
          <w:rFonts w:hint="eastAsia" w:ascii="仿宋_GB2312" w:hAnsi="仿宋_GB2312" w:eastAsia="仿宋_GB2312" w:cs="仿宋_GB2312"/>
          <w:b w:val="0"/>
          <w:color w:val="000000"/>
        </w:rPr>
        <w:t>国</w:t>
      </w:r>
      <w:r>
        <w:rPr>
          <w:rStyle w:val="29"/>
          <w:rFonts w:hint="eastAsia" w:ascii="仿宋_GB2312" w:hAnsi="仿宋_GB2312" w:eastAsia="仿宋_GB2312" w:cs="仿宋_GB2312"/>
          <w:b w:val="0"/>
          <w:bCs w:val="0"/>
        </w:rPr>
        <w:t>有资本经营预算支出决算表</w:t>
      </w:r>
      <w:bookmarkEnd w:id="117"/>
      <w:bookmarkEnd w:id="118"/>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28</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D71BDE2"/>
    <w:multiLevelType w:val="singleLevel"/>
    <w:tmpl w:val="5D71BDE2"/>
    <w:lvl w:ilvl="0" w:tentative="0">
      <w:start w:val="4"/>
      <w:numFmt w:val="decimal"/>
      <w:suff w:val="nothing"/>
      <w:lvlText w:val="%1、"/>
      <w:lvlJc w:val="left"/>
    </w:lvl>
  </w:abstractNum>
  <w:abstractNum w:abstractNumId="4">
    <w:nsid w:val="5F783726"/>
    <w:multiLevelType w:val="singleLevel"/>
    <w:tmpl w:val="5F783726"/>
    <w:lvl w:ilvl="0" w:tentative="0">
      <w:start w:val="2"/>
      <w:numFmt w:val="chineseCounting"/>
      <w:suff w:val="nothing"/>
      <w:lvlText w:val="（%1）"/>
      <w:lvlJc w:val="left"/>
    </w:lvl>
  </w:abstractNum>
  <w:abstractNum w:abstractNumId="5">
    <w:nsid w:val="5F8A4E0C"/>
    <w:multiLevelType w:val="singleLevel"/>
    <w:tmpl w:val="5F8A4E0C"/>
    <w:lvl w:ilvl="0" w:tentative="0">
      <w:start w:val="1"/>
      <w:numFmt w:val="decimal"/>
      <w:suff w:val="nothing"/>
      <w:lvlText w:val="%1."/>
      <w:lvlJc w:val="left"/>
    </w:lvl>
  </w:abstractNum>
  <w:abstractNum w:abstractNumId="6">
    <w:nsid w:val="5F8A5E92"/>
    <w:multiLevelType w:val="singleLevel"/>
    <w:tmpl w:val="5F8A5E92"/>
    <w:lvl w:ilvl="0" w:tentative="0">
      <w:start w:val="3"/>
      <w:numFmt w:val="chineseCounting"/>
      <w:suff w:val="nothing"/>
      <w:lvlText w:val="（%1）"/>
      <w:lvlJc w:val="left"/>
    </w:lvl>
  </w:abstractNum>
  <w:abstractNum w:abstractNumId="7">
    <w:nsid w:val="5F8A6784"/>
    <w:multiLevelType w:val="singleLevel"/>
    <w:tmpl w:val="5F8A6784"/>
    <w:lvl w:ilvl="0" w:tentative="0">
      <w:start w:val="1"/>
      <w:numFmt w:val="decimal"/>
      <w:suff w:val="nothing"/>
      <w:lvlText w:val="%1."/>
      <w:lvlJc w:val="left"/>
    </w:lvl>
  </w:abstractNum>
  <w:abstractNum w:abstractNumId="8">
    <w:nsid w:val="5F8A67FA"/>
    <w:multiLevelType w:val="singleLevel"/>
    <w:tmpl w:val="5F8A67FA"/>
    <w:lvl w:ilvl="0" w:tentative="0">
      <w:start w:val="2"/>
      <w:numFmt w:val="decimal"/>
      <w:suff w:val="nothing"/>
      <w:lvlText w:val="%1."/>
      <w:lvlJc w:val="left"/>
    </w:lvl>
  </w:abstractNum>
  <w:abstractNum w:abstractNumId="9">
    <w:nsid w:val="5F8A6B90"/>
    <w:multiLevelType w:val="singleLevel"/>
    <w:tmpl w:val="5F8A6B90"/>
    <w:lvl w:ilvl="0" w:tentative="0">
      <w:start w:val="2"/>
      <w:numFmt w:val="chineseCounting"/>
      <w:suff w:val="nothing"/>
      <w:lvlText w:val="（%1）"/>
      <w:lvlJc w:val="left"/>
    </w:lvl>
  </w:abstractNum>
  <w:abstractNum w:abstractNumId="10">
    <w:nsid w:val="5F8A76BE"/>
    <w:multiLevelType w:val="singleLevel"/>
    <w:tmpl w:val="5F8A76BE"/>
    <w:lvl w:ilvl="0" w:tentative="0">
      <w:start w:val="4"/>
      <w:numFmt w:val="chineseCounting"/>
      <w:suff w:val="nothing"/>
      <w:lvlText w:val="（%1）"/>
      <w:lvlJc w:val="left"/>
    </w:lvl>
  </w:abstractNum>
  <w:abstractNum w:abstractNumId="11">
    <w:nsid w:val="5F8A76EB"/>
    <w:multiLevelType w:val="singleLevel"/>
    <w:tmpl w:val="5F8A76EB"/>
    <w:lvl w:ilvl="0" w:tentative="0">
      <w:start w:val="4"/>
      <w:numFmt w:val="chineseCounting"/>
      <w:suff w:val="nothing"/>
      <w:lvlText w:val="%1、"/>
      <w:lvlJc w:val="left"/>
    </w:lvl>
  </w:abstractNum>
  <w:abstractNum w:abstractNumId="12">
    <w:nsid w:val="5F8A7751"/>
    <w:multiLevelType w:val="singleLevel"/>
    <w:tmpl w:val="5F8A7751"/>
    <w:lvl w:ilvl="0" w:tentative="0">
      <w:start w:val="5"/>
      <w:numFmt w:val="chineseCounting"/>
      <w:suff w:val="nothing"/>
      <w:lvlText w:val="%1、"/>
      <w:lvlJc w:val="left"/>
    </w:lvl>
  </w:abstractNum>
  <w:abstractNum w:abstractNumId="13">
    <w:nsid w:val="5F98C2A3"/>
    <w:multiLevelType w:val="singleLevel"/>
    <w:tmpl w:val="5F98C2A3"/>
    <w:lvl w:ilvl="0" w:tentative="0">
      <w:start w:val="1"/>
      <w:numFmt w:val="decimal"/>
      <w:suff w:val="nothing"/>
      <w:lvlText w:val="%1、"/>
      <w:lvlJc w:val="left"/>
    </w:lvl>
  </w:abstractNum>
  <w:abstractNum w:abstractNumId="14">
    <w:nsid w:val="5F98DB50"/>
    <w:multiLevelType w:val="singleLevel"/>
    <w:tmpl w:val="5F98DB50"/>
    <w:lvl w:ilvl="0" w:tentative="0">
      <w:start w:val="3"/>
      <w:numFmt w:val="chineseCounting"/>
      <w:suff w:val="nothing"/>
      <w:lvlText w:val="%1、"/>
      <w:lvlJc w:val="left"/>
    </w:lvl>
  </w:abstractNum>
  <w:abstractNum w:abstractNumId="15">
    <w:nsid w:val="5F98DB85"/>
    <w:multiLevelType w:val="singleLevel"/>
    <w:tmpl w:val="5F98DB85"/>
    <w:lvl w:ilvl="0" w:tentative="0">
      <w:start w:val="1"/>
      <w:numFmt w:val="chineseCounting"/>
      <w:suff w:val="nothing"/>
      <w:lvlText w:val="（%1）"/>
      <w:lvlJc w:val="left"/>
    </w:lvl>
  </w:abstractNum>
  <w:abstractNum w:abstractNumId="16">
    <w:nsid w:val="76295896"/>
    <w:multiLevelType w:val="multilevel"/>
    <w:tmpl w:val="76295896"/>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5"/>
  </w:num>
  <w:num w:numId="3">
    <w:abstractNumId w:val="0"/>
  </w:num>
  <w:num w:numId="4">
    <w:abstractNumId w:val="1"/>
  </w:num>
  <w:num w:numId="5">
    <w:abstractNumId w:val="16"/>
  </w:num>
  <w:num w:numId="6">
    <w:abstractNumId w:val="6"/>
  </w:num>
  <w:num w:numId="7">
    <w:abstractNumId w:val="7"/>
  </w:num>
  <w:num w:numId="8">
    <w:abstractNumId w:val="8"/>
  </w:num>
  <w:num w:numId="9">
    <w:abstractNumId w:val="9"/>
  </w:num>
  <w:num w:numId="10">
    <w:abstractNumId w:val="13"/>
  </w:num>
  <w:num w:numId="11">
    <w:abstractNumId w:val="3"/>
  </w:num>
  <w:num w:numId="12">
    <w:abstractNumId w:val="10"/>
  </w:num>
  <w:num w:numId="13">
    <w:abstractNumId w:val="11"/>
  </w:num>
  <w:num w:numId="14">
    <w:abstractNumId w:val="12"/>
  </w:num>
  <w:num w:numId="15">
    <w:abstractNumId w:val="4"/>
  </w:num>
  <w:num w:numId="16">
    <w:abstractNumId w:val="1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FkYzE1ZmUyMzkwNzI5NzczNGM0NTIzNzgxM2U5YTcifQ=="/>
  </w:docVars>
  <w:rsids>
    <w:rsidRoot w:val="00636788"/>
    <w:rsid w:val="000C5F0C"/>
    <w:rsid w:val="00100D88"/>
    <w:rsid w:val="001068F2"/>
    <w:rsid w:val="00413A7C"/>
    <w:rsid w:val="005E3D74"/>
    <w:rsid w:val="00636788"/>
    <w:rsid w:val="009E09E8"/>
    <w:rsid w:val="00AA7992"/>
    <w:rsid w:val="00AC6DAE"/>
    <w:rsid w:val="00C6496D"/>
    <w:rsid w:val="00CF65D5"/>
    <w:rsid w:val="00DF5322"/>
    <w:rsid w:val="00E94AC2"/>
    <w:rsid w:val="00F05E8C"/>
    <w:rsid w:val="00F24123"/>
    <w:rsid w:val="00FC6CCC"/>
    <w:rsid w:val="011F47B7"/>
    <w:rsid w:val="02F829D5"/>
    <w:rsid w:val="04E45487"/>
    <w:rsid w:val="063B2830"/>
    <w:rsid w:val="09017F1D"/>
    <w:rsid w:val="093D6511"/>
    <w:rsid w:val="13462B39"/>
    <w:rsid w:val="20D509D9"/>
    <w:rsid w:val="28E54F40"/>
    <w:rsid w:val="2DF129A8"/>
    <w:rsid w:val="2E64331C"/>
    <w:rsid w:val="346B68C1"/>
    <w:rsid w:val="38254B2B"/>
    <w:rsid w:val="4092191A"/>
    <w:rsid w:val="456729F5"/>
    <w:rsid w:val="49DB0594"/>
    <w:rsid w:val="4AD33682"/>
    <w:rsid w:val="4ED7216F"/>
    <w:rsid w:val="4F9F1DDA"/>
    <w:rsid w:val="537E3D1C"/>
    <w:rsid w:val="5563233E"/>
    <w:rsid w:val="5A494475"/>
    <w:rsid w:val="5A786D57"/>
    <w:rsid w:val="5AC60E85"/>
    <w:rsid w:val="695A1120"/>
    <w:rsid w:val="7B0D4908"/>
    <w:rsid w:val="7DB765DC"/>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5">
    <w:name w:val="Body Text"/>
    <w:basedOn w:val="1"/>
    <w:link w:val="27"/>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Plain Text"/>
    <w:unhideWhenUsed/>
    <w:qFormat/>
    <w:uiPriority w:val="0"/>
    <w:rPr>
      <w:rFonts w:ascii="宋体" w:hAnsi="Courier New" w:eastAsia="宋体" w:cs="Calibri"/>
      <w:lang w:val="en-US" w:eastAsia="zh-CN" w:bidi="ar-SA"/>
    </w:rPr>
  </w:style>
  <w:style w:type="paragraph" w:styleId="8">
    <w:name w:val="Balloon Text"/>
    <w:basedOn w:val="1"/>
    <w:link w:val="30"/>
    <w:unhideWhenUsed/>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rFonts w:ascii="Calibri" w:hAnsi="Calibri"/>
      <w:kern w:val="0"/>
      <w:sz w:val="18"/>
      <w:szCs w:val="20"/>
    </w:rPr>
  </w:style>
  <w:style w:type="paragraph" w:styleId="10">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qFormat/>
    <w:uiPriority w:val="0"/>
    <w:pPr>
      <w:spacing w:before="100" w:beforeAutospacing="1" w:after="100" w:afterAutospacing="1"/>
    </w:pPr>
    <w:rPr>
      <w:rFonts w:ascii="Times New Roman" w:hAnsi="Times New Roman" w:eastAsia="宋体" w:cs="Times New Roman"/>
      <w:sz w:val="24"/>
      <w:lang w:val="en-US" w:eastAsia="zh-CN" w:bidi="ar-SA"/>
    </w:rPr>
  </w:style>
  <w:style w:type="character" w:styleId="16">
    <w:name w:val="Strong"/>
    <w:basedOn w:val="15"/>
    <w:qFormat/>
    <w:uiPriority w:val="99"/>
    <w:rPr>
      <w:b/>
    </w:rPr>
  </w:style>
  <w:style w:type="character" w:styleId="17">
    <w:name w:val="Hyperlink"/>
    <w:basedOn w:val="15"/>
    <w:unhideWhenUsed/>
    <w:qFormat/>
    <w:uiPriority w:val="99"/>
    <w:rPr>
      <w:color w:val="0000FF"/>
      <w:u w:val="single"/>
    </w:rPr>
  </w:style>
  <w:style w:type="paragraph" w:customStyle="1" w:styleId="1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9">
    <w:name w:val="列出段落1"/>
    <w:basedOn w:val="1"/>
    <w:qFormat/>
    <w:uiPriority w:val="34"/>
    <w:pPr>
      <w:ind w:firstLine="420" w:firstLineChars="200"/>
    </w:pPr>
  </w:style>
  <w:style w:type="paragraph" w:customStyle="1" w:styleId="20">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1">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2">
    <w:name w:val="Header Char"/>
    <w:basedOn w:val="15"/>
    <w:semiHidden/>
    <w:qFormat/>
    <w:uiPriority w:val="99"/>
    <w:rPr>
      <w:rFonts w:ascii="Times New Roman" w:hAnsi="Times New Roman"/>
      <w:sz w:val="18"/>
      <w:szCs w:val="18"/>
    </w:rPr>
  </w:style>
  <w:style w:type="character" w:customStyle="1" w:styleId="23">
    <w:name w:val="页眉 Char"/>
    <w:link w:val="10"/>
    <w:semiHidden/>
    <w:qFormat/>
    <w:locked/>
    <w:uiPriority w:val="99"/>
    <w:rPr>
      <w:sz w:val="18"/>
    </w:rPr>
  </w:style>
  <w:style w:type="character" w:customStyle="1" w:styleId="24">
    <w:name w:val="Footer Char"/>
    <w:basedOn w:val="15"/>
    <w:semiHidden/>
    <w:qFormat/>
    <w:uiPriority w:val="99"/>
    <w:rPr>
      <w:rFonts w:ascii="Times New Roman" w:hAnsi="Times New Roman"/>
      <w:sz w:val="18"/>
      <w:szCs w:val="18"/>
    </w:rPr>
  </w:style>
  <w:style w:type="character" w:customStyle="1" w:styleId="25">
    <w:name w:val="页脚 Char"/>
    <w:link w:val="9"/>
    <w:qFormat/>
    <w:locked/>
    <w:uiPriority w:val="99"/>
    <w:rPr>
      <w:sz w:val="18"/>
    </w:rPr>
  </w:style>
  <w:style w:type="character" w:customStyle="1" w:styleId="26">
    <w:name w:val="Body Text Char"/>
    <w:basedOn w:val="15"/>
    <w:semiHidden/>
    <w:qFormat/>
    <w:uiPriority w:val="99"/>
    <w:rPr>
      <w:rFonts w:ascii="Times New Roman" w:hAnsi="Times New Roman"/>
      <w:szCs w:val="24"/>
    </w:rPr>
  </w:style>
  <w:style w:type="character" w:customStyle="1" w:styleId="27">
    <w:name w:val="正文文本 Char"/>
    <w:link w:val="5"/>
    <w:qFormat/>
    <w:locked/>
    <w:uiPriority w:val="99"/>
    <w:rPr>
      <w:rFonts w:ascii="仿宋_GB2312" w:hAnsi="Times New Roman" w:eastAsia="仿宋_GB2312"/>
      <w:sz w:val="24"/>
    </w:rPr>
  </w:style>
  <w:style w:type="character" w:customStyle="1" w:styleId="28">
    <w:name w:val="标题 1 Char"/>
    <w:basedOn w:val="15"/>
    <w:link w:val="2"/>
    <w:qFormat/>
    <w:uiPriority w:val="9"/>
    <w:rPr>
      <w:rFonts w:ascii="Times New Roman" w:hAnsi="Times New Roman"/>
      <w:b/>
      <w:bCs/>
      <w:kern w:val="44"/>
      <w:sz w:val="44"/>
      <w:szCs w:val="44"/>
    </w:rPr>
  </w:style>
  <w:style w:type="character" w:customStyle="1" w:styleId="29">
    <w:name w:val="标题 2 Char"/>
    <w:basedOn w:val="15"/>
    <w:link w:val="3"/>
    <w:qFormat/>
    <w:uiPriority w:val="9"/>
    <w:rPr>
      <w:rFonts w:ascii="Cambria" w:hAnsi="Cambria" w:eastAsia="宋体" w:cs="黑体"/>
      <w:b/>
      <w:bCs/>
      <w:kern w:val="2"/>
      <w:sz w:val="32"/>
      <w:szCs w:val="32"/>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39</Pages>
  <Words>2977</Words>
  <Characters>16973</Characters>
  <Lines>141</Lines>
  <Paragraphs>39</Paragraphs>
  <TotalTime>3</TotalTime>
  <ScaleCrop>false</ScaleCrop>
  <LinksUpToDate>false</LinksUpToDate>
  <CharactersWithSpaces>19911</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Administrator</cp:lastModifiedBy>
  <cp:lastPrinted>2020-07-23T02:58:00Z</cp:lastPrinted>
  <dcterms:modified xsi:type="dcterms:W3CDTF">2023-08-23T14:22:33Z</dcterms:modified>
  <dc:title>四川省***</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43B20C0A3A4B44DB86BF376C94B53D7B</vt:lpwstr>
  </property>
</Properties>
</file>