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80" w:lineRule="auto"/>
        <w:jc w:val="center"/>
        <w:rPr>
          <w:rFonts w:ascii="仿宋" w:hAnsi="仿宋" w:eastAsia="仿宋" w:cs="仿宋"/>
          <w:b/>
          <w:bCs/>
          <w:color w:val="000000"/>
          <w:sz w:val="52"/>
          <w:szCs w:val="52"/>
        </w:rPr>
      </w:pPr>
      <w:bookmarkStart w:id="23" w:name="_GoBack"/>
      <w:bookmarkEnd w:id="23"/>
      <w:r>
        <w:rPr>
          <w:rFonts w:hint="eastAsia" w:ascii="仿宋" w:hAnsi="仿宋" w:eastAsia="仿宋" w:cs="仿宋"/>
          <w:b/>
          <w:bCs/>
          <w:color w:val="000000"/>
          <w:sz w:val="52"/>
          <w:szCs w:val="52"/>
        </w:rPr>
        <w:t>盐边县</w:t>
      </w:r>
      <w:r>
        <w:rPr>
          <w:rFonts w:hint="eastAsia" w:ascii="仿宋" w:hAnsi="仿宋" w:eastAsia="仿宋" w:cs="仿宋"/>
          <w:b/>
          <w:bCs/>
          <w:color w:val="000000"/>
          <w:sz w:val="52"/>
          <w:szCs w:val="52"/>
          <w:lang w:eastAsia="zh-CN"/>
        </w:rPr>
        <w:t>温泉乡</w:t>
      </w:r>
      <w:r>
        <w:rPr>
          <w:rFonts w:hint="eastAsia" w:ascii="仿宋" w:hAnsi="仿宋" w:eastAsia="仿宋" w:cs="仿宋"/>
          <w:b/>
          <w:bCs/>
          <w:color w:val="000000"/>
          <w:sz w:val="52"/>
          <w:szCs w:val="52"/>
        </w:rPr>
        <w:t>人民政府</w:t>
      </w:r>
    </w:p>
    <w:p>
      <w:pPr>
        <w:adjustRightInd w:val="0"/>
        <w:snapToGrid w:val="0"/>
        <w:spacing w:line="480" w:lineRule="auto"/>
        <w:jc w:val="center"/>
        <w:rPr>
          <w:rFonts w:ascii="仿宋" w:hAnsi="仿宋" w:eastAsia="仿宋" w:cs="仿宋"/>
          <w:b/>
          <w:bCs/>
          <w:color w:val="000000"/>
          <w:sz w:val="52"/>
          <w:szCs w:val="52"/>
        </w:rPr>
      </w:pPr>
      <w:r>
        <w:rPr>
          <w:rFonts w:ascii="仿宋" w:hAnsi="仿宋" w:eastAsia="仿宋" w:cs="仿宋"/>
          <w:b/>
          <w:bCs/>
          <w:color w:val="000000"/>
          <w:sz w:val="52"/>
          <w:szCs w:val="52"/>
        </w:rPr>
        <w:t>2019</w:t>
      </w:r>
      <w:r>
        <w:rPr>
          <w:rFonts w:hint="eastAsia" w:ascii="仿宋" w:hAnsi="仿宋" w:eastAsia="仿宋" w:cs="仿宋"/>
          <w:b/>
          <w:bCs/>
          <w:color w:val="000000"/>
          <w:sz w:val="52"/>
          <w:szCs w:val="52"/>
        </w:rPr>
        <w:t>年度部门预算绩效情况公开</w:t>
      </w:r>
    </w:p>
    <w:p>
      <w:pPr>
        <w:adjustRightInd w:val="0"/>
        <w:snapToGrid w:val="0"/>
        <w:spacing w:line="480" w:lineRule="auto"/>
        <w:jc w:val="center"/>
        <w:rPr>
          <w:rFonts w:ascii="仿宋" w:hAnsi="仿宋" w:eastAsia="仿宋"/>
          <w:b/>
          <w:bCs/>
          <w:color w:val="000000"/>
          <w:sz w:val="52"/>
          <w:szCs w:val="52"/>
        </w:rPr>
      </w:pPr>
      <w:r>
        <w:rPr>
          <w:rFonts w:hint="eastAsia" w:ascii="仿宋" w:hAnsi="仿宋" w:eastAsia="仿宋" w:cs="仿宋"/>
          <w:b/>
          <w:bCs/>
          <w:color w:val="000000"/>
          <w:sz w:val="52"/>
          <w:szCs w:val="52"/>
        </w:rPr>
        <w:t>编制说明</w:t>
      </w:r>
    </w:p>
    <w:p>
      <w:pPr>
        <w:adjustRightInd w:val="0"/>
        <w:snapToGrid w:val="0"/>
        <w:spacing w:line="480" w:lineRule="auto"/>
        <w:jc w:val="center"/>
        <w:rPr>
          <w:rFonts w:ascii="仿宋_GB2312" w:eastAsia="仿宋_GB2312"/>
          <w:b/>
          <w:bCs/>
          <w:sz w:val="36"/>
          <w:szCs w:val="36"/>
        </w:rPr>
      </w:pPr>
      <w:r>
        <w:rPr>
          <w:rFonts w:hint="eastAsia" w:ascii="仿宋_GB2312" w:eastAsia="仿宋_GB2312" w:cs="仿宋_GB2312"/>
          <w:b/>
          <w:bCs/>
          <w:sz w:val="36"/>
          <w:szCs w:val="36"/>
        </w:rPr>
        <w:t>目</w:t>
      </w:r>
      <w:r>
        <w:rPr>
          <w:rFonts w:ascii="仿宋_GB2312" w:eastAsia="仿宋_GB2312" w:cs="仿宋_GB2312"/>
          <w:b/>
          <w:bCs/>
          <w:sz w:val="36"/>
          <w:szCs w:val="36"/>
        </w:rPr>
        <w:t xml:space="preserve">   </w:t>
      </w:r>
      <w:r>
        <w:rPr>
          <w:rFonts w:hint="eastAsia" w:ascii="仿宋_GB2312" w:eastAsia="仿宋_GB2312" w:cs="仿宋_GB2312"/>
          <w:b/>
          <w:bCs/>
          <w:sz w:val="36"/>
          <w:szCs w:val="36"/>
        </w:rPr>
        <w:t>录</w:t>
      </w:r>
    </w:p>
    <w:p>
      <w:pPr>
        <w:jc w:val="center"/>
        <w:rPr>
          <w:rFonts w:ascii="仿宋_GB2312" w:eastAsia="仿宋_GB2312"/>
          <w:sz w:val="32"/>
          <w:szCs w:val="32"/>
        </w:rPr>
      </w:pPr>
    </w:p>
    <w:p>
      <w:pPr>
        <w:jc w:val="center"/>
        <w:rPr>
          <w:rFonts w:ascii="仿宋_GB2312" w:eastAsia="仿宋_GB2312"/>
          <w:sz w:val="32"/>
          <w:szCs w:val="32"/>
        </w:rPr>
      </w:pPr>
      <w:r>
        <w:rPr>
          <w:rFonts w:hint="eastAsia" w:ascii="仿宋_GB2312" w:eastAsia="仿宋_GB2312" w:cs="仿宋_GB2312"/>
          <w:sz w:val="32"/>
          <w:szCs w:val="32"/>
        </w:rPr>
        <w:t>公开时间：</w:t>
      </w:r>
      <w:r>
        <w:rPr>
          <w:rFonts w:ascii="仿宋_GB2312" w:eastAsia="仿宋_GB2312" w:cs="仿宋_GB2312"/>
          <w:sz w:val="32"/>
          <w:szCs w:val="32"/>
        </w:rPr>
        <w:t>2020</w:t>
      </w:r>
      <w:r>
        <w:rPr>
          <w:rFonts w:hint="eastAsia" w:ascii="仿宋_GB2312" w:eastAsia="仿宋_GB2312" w:cs="仿宋_GB2312"/>
          <w:sz w:val="32"/>
          <w:szCs w:val="32"/>
        </w:rPr>
        <w:t>年10月2</w:t>
      </w:r>
      <w:r>
        <w:rPr>
          <w:rFonts w:hint="eastAsia" w:ascii="仿宋_GB2312" w:eastAsia="仿宋_GB2312" w:cs="仿宋_GB2312"/>
          <w:sz w:val="32"/>
          <w:szCs w:val="32"/>
          <w:lang w:val="en-US" w:eastAsia="zh-CN"/>
        </w:rPr>
        <w:t>8</w:t>
      </w:r>
      <w:r>
        <w:rPr>
          <w:rFonts w:hint="eastAsia" w:ascii="仿宋_GB2312" w:eastAsia="仿宋_GB2312" w:cs="仿宋_GB2312"/>
          <w:sz w:val="32"/>
          <w:szCs w:val="32"/>
        </w:rPr>
        <w:t>日</w:t>
      </w:r>
    </w:p>
    <w:p>
      <w:pPr>
        <w:pStyle w:val="10"/>
        <w:rPr>
          <w:rFonts w:ascii="Calibri" w:hAnsi="Calibri" w:cs="Calibri"/>
        </w:rPr>
      </w:pPr>
    </w:p>
    <w:p>
      <w:pPr>
        <w:rPr>
          <w:rFonts w:ascii="仿宋_GB2312" w:eastAsia="仿宋_GB2312" w:cs="仿宋_GB2312"/>
          <w:sz w:val="32"/>
          <w:szCs w:val="32"/>
        </w:rPr>
      </w:pPr>
    </w:p>
    <w:p>
      <w:pPr>
        <w:pStyle w:val="19"/>
        <w:jc w:val="center"/>
      </w:pPr>
      <w:bookmarkStart w:id="0" w:name="_Toc54085690"/>
      <w:bookmarkStart w:id="1" w:name="_Toc50042286"/>
      <w:bookmarkStart w:id="2" w:name="_Toc50014091"/>
      <w:bookmarkStart w:id="3" w:name="_Toc54085582"/>
      <w:r>
        <w:rPr>
          <w:lang w:val="zh-CN"/>
        </w:rPr>
        <w:t>目录</w:t>
      </w:r>
    </w:p>
    <w:p>
      <w:pPr>
        <w:pStyle w:val="9"/>
        <w:rPr>
          <w:rFonts w:asciiTheme="minorHAnsi" w:hAnsiTheme="minorHAnsi" w:eastAsiaTheme="minorEastAsia" w:cstheme="minorBidi"/>
          <w:sz w:val="21"/>
          <w:szCs w:val="22"/>
        </w:rPr>
      </w:pPr>
      <w:r>
        <w:fldChar w:fldCharType="begin"/>
      </w:r>
      <w:r>
        <w:instrText xml:space="preserve"> TOC \o "1-3" \h \z \u </w:instrText>
      </w:r>
      <w:r>
        <w:fldChar w:fldCharType="separate"/>
      </w:r>
      <w:r>
        <w:fldChar w:fldCharType="begin"/>
      </w:r>
      <w:r>
        <w:instrText xml:space="preserve"> HYPERLINK \l "_Toc54085941" </w:instrText>
      </w:r>
      <w:r>
        <w:fldChar w:fldCharType="separate"/>
      </w:r>
      <w:r>
        <w:rPr>
          <w:rStyle w:val="14"/>
          <w:rFonts w:hint="eastAsia" w:ascii="仿宋_GB2312" w:eastAsia="仿宋_GB2312" w:cs="仿宋_GB2312"/>
          <w:b/>
          <w:bCs/>
        </w:rPr>
        <w:t>第一部分</w:t>
      </w:r>
      <w:r>
        <w:rPr>
          <w:rStyle w:val="14"/>
          <w:rFonts w:ascii="仿宋_GB2312" w:eastAsia="仿宋_GB2312" w:cs="仿宋_GB2312"/>
          <w:b/>
          <w:bCs/>
        </w:rPr>
        <w:t xml:space="preserve"> 2019</w:t>
      </w:r>
      <w:r>
        <w:rPr>
          <w:rStyle w:val="14"/>
          <w:rFonts w:hint="eastAsia" w:ascii="仿宋_GB2312" w:eastAsia="仿宋_GB2312" w:cs="仿宋_GB2312"/>
          <w:b/>
          <w:bCs/>
        </w:rPr>
        <w:t>年预算绩效情况说明</w:t>
      </w:r>
      <w:r>
        <w:tab/>
      </w:r>
      <w:r>
        <w:fldChar w:fldCharType="begin"/>
      </w:r>
      <w:r>
        <w:instrText xml:space="preserve"> PAGEREF _Toc54085941 \h </w:instrText>
      </w:r>
      <w:r>
        <w:fldChar w:fldCharType="separate"/>
      </w:r>
      <w:r>
        <w:t>- 2 -</w:t>
      </w:r>
      <w:r>
        <w:fldChar w:fldCharType="end"/>
      </w:r>
      <w:r>
        <w:fldChar w:fldCharType="end"/>
      </w:r>
    </w:p>
    <w:p>
      <w:pPr>
        <w:pStyle w:val="10"/>
        <w:rPr>
          <w:rFonts w:asciiTheme="minorHAnsi" w:hAnsiTheme="minorHAnsi" w:eastAsiaTheme="minorEastAsia" w:cstheme="minorBidi"/>
          <w:szCs w:val="22"/>
        </w:rPr>
      </w:pPr>
      <w:r>
        <w:fldChar w:fldCharType="begin"/>
      </w:r>
      <w:r>
        <w:instrText xml:space="preserve"> HYPERLINK \l "_Toc54085942" </w:instrText>
      </w:r>
      <w:r>
        <w:fldChar w:fldCharType="separate"/>
      </w:r>
      <w:r>
        <w:rPr>
          <w:rStyle w:val="14"/>
          <w:rFonts w:hint="eastAsia" w:ascii="仿宋_GB2312" w:eastAsia="仿宋_GB2312"/>
          <w:b/>
          <w:bCs/>
        </w:rPr>
        <w:t>一、</w:t>
      </w:r>
      <w:r>
        <w:rPr>
          <w:rStyle w:val="14"/>
          <w:rFonts w:hint="eastAsia" w:ascii="仿宋_GB2312" w:eastAsia="仿宋_GB2312" w:cs="仿宋_GB2312"/>
          <w:b/>
          <w:bCs/>
        </w:rPr>
        <w:t>预算绩效管理工作开展情况</w:t>
      </w:r>
      <w:r>
        <w:tab/>
      </w:r>
      <w:r>
        <w:fldChar w:fldCharType="begin"/>
      </w:r>
      <w:r>
        <w:instrText xml:space="preserve"> PAGEREF _Toc54085942 \h </w:instrText>
      </w:r>
      <w:r>
        <w:fldChar w:fldCharType="separate"/>
      </w:r>
      <w:r>
        <w:t>- 2 -</w:t>
      </w:r>
      <w:r>
        <w:fldChar w:fldCharType="end"/>
      </w:r>
      <w:r>
        <w:fldChar w:fldCharType="end"/>
      </w:r>
    </w:p>
    <w:p>
      <w:pPr>
        <w:pStyle w:val="10"/>
        <w:rPr>
          <w:rFonts w:asciiTheme="minorHAnsi" w:hAnsiTheme="minorHAnsi" w:eastAsiaTheme="minorEastAsia" w:cstheme="minorBidi"/>
          <w:szCs w:val="22"/>
        </w:rPr>
      </w:pPr>
      <w:r>
        <w:fldChar w:fldCharType="begin"/>
      </w:r>
      <w:r>
        <w:instrText xml:space="preserve"> HYPERLINK \l "_Toc54085943" </w:instrText>
      </w:r>
      <w:r>
        <w:fldChar w:fldCharType="separate"/>
      </w:r>
      <w:r>
        <w:rPr>
          <w:rStyle w:val="14"/>
          <w:rFonts w:hint="eastAsia" w:ascii="仿宋_GB2312" w:eastAsia="仿宋_GB2312" w:cs="仿宋_GB2312"/>
          <w:b/>
          <w:bCs/>
        </w:rPr>
        <w:t>二、绩效目标完成情况</w:t>
      </w:r>
      <w:r>
        <w:tab/>
      </w:r>
      <w:r>
        <w:fldChar w:fldCharType="begin"/>
      </w:r>
      <w:r>
        <w:instrText xml:space="preserve"> PAGEREF _Toc54085943 \h </w:instrText>
      </w:r>
      <w:r>
        <w:fldChar w:fldCharType="separate"/>
      </w:r>
      <w:r>
        <w:t>- 2 -</w:t>
      </w:r>
      <w:r>
        <w:fldChar w:fldCharType="end"/>
      </w:r>
      <w:r>
        <w:fldChar w:fldCharType="end"/>
      </w:r>
    </w:p>
    <w:p>
      <w:pPr>
        <w:pStyle w:val="9"/>
        <w:rPr>
          <w:rFonts w:asciiTheme="minorHAnsi" w:hAnsiTheme="minorHAnsi" w:eastAsiaTheme="minorEastAsia" w:cstheme="minorBidi"/>
          <w:sz w:val="21"/>
          <w:szCs w:val="22"/>
        </w:rPr>
      </w:pPr>
      <w:r>
        <w:fldChar w:fldCharType="begin"/>
      </w:r>
      <w:r>
        <w:instrText xml:space="preserve"> HYPERLINK \l "_Toc54085944" </w:instrText>
      </w:r>
      <w:r>
        <w:fldChar w:fldCharType="separate"/>
      </w:r>
      <w:r>
        <w:rPr>
          <w:rStyle w:val="14"/>
          <w:rFonts w:hint="eastAsia" w:ascii="黑体" w:hAnsi="黑体" w:eastAsia="黑体" w:cs="黑体"/>
        </w:rPr>
        <w:t>第</w:t>
      </w:r>
      <w:r>
        <w:rPr>
          <w:rStyle w:val="14"/>
          <w:rFonts w:hint="eastAsia" w:ascii="黑体" w:hAnsi="黑体" w:eastAsia="黑体" w:cs="黑体"/>
          <w:kern w:val="44"/>
        </w:rPr>
        <w:t>二部分</w:t>
      </w:r>
      <w:r>
        <w:rPr>
          <w:rStyle w:val="14"/>
          <w:rFonts w:ascii="黑体" w:hAnsi="黑体" w:eastAsia="黑体" w:cs="黑体"/>
          <w:kern w:val="44"/>
        </w:rPr>
        <w:t xml:space="preserve"> </w:t>
      </w:r>
      <w:r>
        <w:rPr>
          <w:rStyle w:val="14"/>
          <w:rFonts w:hint="eastAsia" w:ascii="黑体" w:hAnsi="黑体" w:eastAsia="黑体" w:cs="黑体"/>
          <w:kern w:val="44"/>
        </w:rPr>
        <w:t>附件</w:t>
      </w:r>
      <w:r>
        <w:tab/>
      </w:r>
      <w:r>
        <w:fldChar w:fldCharType="begin"/>
      </w:r>
      <w:r>
        <w:instrText xml:space="preserve"> PAGEREF _Toc54085944 \h </w:instrText>
      </w:r>
      <w:r>
        <w:fldChar w:fldCharType="separate"/>
      </w:r>
      <w:r>
        <w:t>- 4 -</w:t>
      </w:r>
      <w:r>
        <w:fldChar w:fldCharType="end"/>
      </w:r>
      <w:r>
        <w:fldChar w:fldCharType="end"/>
      </w:r>
    </w:p>
    <w:p>
      <w:r>
        <w:fldChar w:fldCharType="end"/>
      </w:r>
    </w:p>
    <w:p>
      <w:pPr>
        <w:jc w:val="center"/>
        <w:outlineLvl w:val="0"/>
        <w:rPr>
          <w:rFonts w:hint="eastAsia" w:ascii="仿宋_GB2312" w:eastAsia="仿宋_GB2312" w:cs="仿宋_GB2312"/>
          <w:b/>
          <w:bCs/>
          <w:sz w:val="36"/>
          <w:szCs w:val="36"/>
        </w:rPr>
      </w:pPr>
    </w:p>
    <w:p>
      <w:pPr>
        <w:jc w:val="center"/>
        <w:outlineLvl w:val="0"/>
        <w:rPr>
          <w:rFonts w:hint="eastAsia" w:ascii="仿宋_GB2312" w:eastAsia="仿宋_GB2312" w:cs="仿宋_GB2312"/>
          <w:b/>
          <w:bCs/>
          <w:sz w:val="36"/>
          <w:szCs w:val="36"/>
        </w:rPr>
      </w:pPr>
    </w:p>
    <w:p>
      <w:pPr>
        <w:jc w:val="center"/>
        <w:outlineLvl w:val="0"/>
        <w:rPr>
          <w:rFonts w:hint="eastAsia" w:ascii="仿宋_GB2312" w:eastAsia="仿宋_GB2312" w:cs="仿宋_GB2312"/>
          <w:b/>
          <w:bCs/>
          <w:sz w:val="36"/>
          <w:szCs w:val="36"/>
        </w:rPr>
      </w:pPr>
    </w:p>
    <w:p>
      <w:pPr>
        <w:jc w:val="center"/>
        <w:outlineLvl w:val="0"/>
        <w:rPr>
          <w:rFonts w:hint="eastAsia" w:ascii="仿宋_GB2312" w:eastAsia="仿宋_GB2312" w:cs="仿宋_GB2312"/>
          <w:b/>
          <w:bCs/>
          <w:sz w:val="36"/>
          <w:szCs w:val="36"/>
        </w:rPr>
      </w:pPr>
    </w:p>
    <w:p>
      <w:pPr>
        <w:jc w:val="center"/>
        <w:outlineLvl w:val="0"/>
        <w:rPr>
          <w:rFonts w:hint="eastAsia" w:ascii="仿宋_GB2312" w:hAnsi="仿宋_GB2312" w:eastAsia="仿宋_GB2312" w:cs="仿宋_GB2312"/>
          <w:b/>
          <w:bCs/>
          <w:sz w:val="36"/>
          <w:szCs w:val="36"/>
        </w:rPr>
      </w:pPr>
      <w:bookmarkStart w:id="4" w:name="_Toc54085941"/>
      <w:r>
        <w:rPr>
          <w:rFonts w:hint="eastAsia" w:ascii="仿宋_GB2312" w:hAnsi="仿宋_GB2312" w:eastAsia="仿宋_GB2312" w:cs="仿宋_GB2312"/>
          <w:b/>
          <w:bCs/>
          <w:sz w:val="36"/>
          <w:szCs w:val="36"/>
        </w:rPr>
        <w:t>第一部分 2019年预算绩效情况说明</w:t>
      </w:r>
      <w:bookmarkEnd w:id="0"/>
      <w:bookmarkEnd w:id="1"/>
      <w:bookmarkEnd w:id="2"/>
      <w:bookmarkEnd w:id="3"/>
      <w:bookmarkEnd w:id="4"/>
    </w:p>
    <w:p>
      <w:pPr>
        <w:numPr>
          <w:ilvl w:val="0"/>
          <w:numId w:val="1"/>
        </w:numPr>
        <w:outlineLvl w:val="1"/>
        <w:rPr>
          <w:rFonts w:hint="eastAsia" w:ascii="仿宋_GB2312" w:hAnsi="仿宋_GB2312" w:eastAsia="仿宋_GB2312" w:cs="仿宋_GB2312"/>
          <w:b/>
          <w:bCs/>
          <w:sz w:val="32"/>
          <w:szCs w:val="32"/>
        </w:rPr>
      </w:pPr>
      <w:bookmarkStart w:id="5" w:name="_Toc54085691"/>
      <w:bookmarkStart w:id="6" w:name="_Toc50041526"/>
      <w:bookmarkStart w:id="7" w:name="_Toc54085942"/>
      <w:bookmarkStart w:id="8" w:name="_Toc50014092"/>
      <w:bookmarkStart w:id="9" w:name="_Toc54085583"/>
      <w:bookmarkStart w:id="10" w:name="_Toc50042287"/>
      <w:r>
        <w:rPr>
          <w:rFonts w:hint="eastAsia" w:ascii="仿宋_GB2312" w:hAnsi="仿宋_GB2312" w:eastAsia="仿宋_GB2312" w:cs="仿宋_GB2312"/>
          <w:b/>
          <w:bCs/>
          <w:sz w:val="32"/>
          <w:szCs w:val="32"/>
        </w:rPr>
        <w:t>预算绩效管理工作开展情况</w:t>
      </w:r>
      <w:bookmarkEnd w:id="5"/>
      <w:bookmarkEnd w:id="6"/>
      <w:bookmarkEnd w:id="7"/>
      <w:bookmarkEnd w:id="8"/>
      <w:bookmarkEnd w:id="9"/>
      <w:bookmarkEnd w:id="10"/>
    </w:p>
    <w:p>
      <w:pPr>
        <w:autoSpaceDE w:val="0"/>
        <w:autoSpaceDN w:val="0"/>
        <w:adjustRightInd w:val="0"/>
        <w:spacing w:line="600" w:lineRule="exact"/>
        <w:ind w:firstLine="640" w:firstLineChars="200"/>
        <w:jc w:val="left"/>
        <w:rPr>
          <w:rFonts w:hint="eastAsia" w:ascii="仿宋_GB2312" w:hAnsi="仿宋_GB2312" w:eastAsia="仿宋_GB2312" w:cs="仿宋_GB2312"/>
          <w:b/>
          <w:bCs/>
          <w:sz w:val="32"/>
          <w:szCs w:val="32"/>
        </w:rPr>
      </w:pPr>
      <w:bookmarkStart w:id="11" w:name="_Toc54085584"/>
      <w:bookmarkStart w:id="12" w:name="_Toc54085692"/>
      <w:r>
        <w:rPr>
          <w:rFonts w:hint="eastAsia" w:ascii="仿宋_GB2312" w:hAnsi="仿宋_GB2312" w:eastAsia="仿宋_GB2312" w:cs="仿宋_GB2312"/>
          <w:sz w:val="32"/>
          <w:szCs w:val="32"/>
        </w:rPr>
        <w:t>根据预算绩效管理要求，我乡在年初预算编制阶段，展了预算事前绩效评估，对</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个项目编制了绩效目标，预算执行过程中，对项目开展绩效监控，年终执行完毕后，对项目开展了绩效目标完成情况梳理填报。我乡按要求对2019年部门整体支出开展绩效自评，从评价情况来看，严格落实上级关于绩效管理的有关规定，年初做好预算申报，从严控制预算支出，管控好支出渠道，严格执行单位财务管理制度，强化支出审批、审签，各种票据齐全，符合报账要求，实现了本单位整体支出预期目标。从评价情况来看，结合我乡工作实际，本单位主要领导和分管领导认真审核项目预算，对项目支出渠道严格把关，确保各项目支出实现了经济效益、社会效益等预期目标。</w:t>
      </w:r>
      <w:bookmarkEnd w:id="11"/>
      <w:bookmarkEnd w:id="12"/>
    </w:p>
    <w:p>
      <w:pPr>
        <w:ind w:firstLine="643" w:firstLineChars="200"/>
        <w:outlineLvl w:val="1"/>
        <w:rPr>
          <w:rFonts w:hint="eastAsia" w:ascii="仿宋_GB2312" w:hAnsi="仿宋_GB2312" w:eastAsia="仿宋_GB2312" w:cs="仿宋_GB2312"/>
          <w:b/>
          <w:bCs/>
          <w:sz w:val="32"/>
          <w:szCs w:val="32"/>
        </w:rPr>
      </w:pPr>
      <w:bookmarkStart w:id="13" w:name="_Toc54085943"/>
      <w:bookmarkStart w:id="14" w:name="_Toc50042288"/>
      <w:bookmarkStart w:id="15" w:name="_Toc50014093"/>
      <w:bookmarkStart w:id="16" w:name="_Toc54085585"/>
      <w:bookmarkStart w:id="17" w:name="_Toc54085693"/>
      <w:r>
        <w:rPr>
          <w:rFonts w:hint="eastAsia" w:ascii="仿宋_GB2312" w:hAnsi="仿宋_GB2312" w:eastAsia="仿宋_GB2312" w:cs="仿宋_GB2312"/>
          <w:b/>
          <w:bCs/>
          <w:sz w:val="32"/>
          <w:szCs w:val="32"/>
        </w:rPr>
        <w:t>二、绩效目标完成情况</w:t>
      </w:r>
      <w:bookmarkEnd w:id="13"/>
      <w:bookmarkEnd w:id="14"/>
      <w:bookmarkEnd w:id="15"/>
      <w:bookmarkEnd w:id="16"/>
      <w:bookmarkEnd w:id="17"/>
    </w:p>
    <w:p>
      <w:pPr>
        <w:ind w:firstLine="640" w:firstLineChars="200"/>
        <w:rPr>
          <w:rFonts w:ascii="楷体_GB2312" w:hAnsi="楷体_GB2312" w:eastAsia="楷体_GB2312" w:cs="楷体_GB2312"/>
          <w:sz w:val="32"/>
          <w:szCs w:val="32"/>
        </w:rPr>
      </w:pPr>
      <w:r>
        <w:rPr>
          <w:rFonts w:ascii="楷体_GB2312" w:hAnsi="楷体_GB2312" w:eastAsia="楷体_GB2312" w:cs="楷体_GB2312"/>
          <w:sz w:val="32"/>
          <w:szCs w:val="32"/>
        </w:rPr>
        <w:t>1.</w:t>
      </w:r>
      <w:r>
        <w:rPr>
          <w:rFonts w:hint="eastAsia" w:ascii="楷体_GB2312" w:hAnsi="楷体_GB2312" w:eastAsia="楷体_GB2312" w:cs="楷体_GB2312"/>
          <w:sz w:val="32"/>
          <w:szCs w:val="32"/>
        </w:rPr>
        <w:t>项目绩效目标完成情况。</w:t>
      </w:r>
    </w:p>
    <w:p>
      <w:pPr>
        <w:ind w:firstLine="640" w:firstLineChars="200"/>
        <w:rPr>
          <w:rFonts w:eastAsia="仿宋_GB2312"/>
          <w:sz w:val="32"/>
          <w:szCs w:val="32"/>
        </w:rPr>
      </w:pPr>
      <w:r>
        <w:rPr>
          <w:rFonts w:hint="eastAsia" w:eastAsia="仿宋_GB2312"/>
          <w:sz w:val="32"/>
          <w:szCs w:val="32"/>
        </w:rPr>
        <w:t>主要用于一般公共服务支出、社会保障和就业支出、农林水支出等。</w:t>
      </w:r>
    </w:p>
    <w:p>
      <w:pPr>
        <w:pStyle w:val="5"/>
        <w:spacing w:line="560" w:lineRule="exact"/>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按项目分类：</w:t>
      </w:r>
      <w:r>
        <w:rPr>
          <w:rFonts w:hint="eastAsia" w:ascii="仿宋_GB2312" w:hAnsi="仿宋_GB2312" w:eastAsia="仿宋_GB2312" w:cs="仿宋_GB2312"/>
          <w:sz w:val="32"/>
          <w:szCs w:val="32"/>
        </w:rPr>
        <w:t>人大代表会议费</w:t>
      </w:r>
      <w:r>
        <w:rPr>
          <w:rFonts w:hint="eastAsia" w:ascii="仿宋_GB2312" w:hAnsi="仿宋_GB2312" w:eastAsia="仿宋_GB2312" w:cs="仿宋_GB2312"/>
          <w:sz w:val="32"/>
          <w:szCs w:val="32"/>
          <w:lang w:val="en-US" w:eastAsia="zh-CN"/>
        </w:rPr>
        <w:t>2.99</w:t>
      </w:r>
      <w:r>
        <w:rPr>
          <w:rFonts w:hint="eastAsia" w:ascii="仿宋_GB2312" w:hAnsi="仿宋_GB2312" w:eastAsia="仿宋_GB2312" w:cs="仿宋_GB2312"/>
          <w:sz w:val="32"/>
          <w:szCs w:val="32"/>
        </w:rPr>
        <w:t>万元，（财政返还）根据盐边财预【2018】16号下达毛之惹同志一次性抚恤金、丧葬费</w:t>
      </w:r>
      <w:r>
        <w:rPr>
          <w:rFonts w:hint="eastAsia" w:ascii="仿宋_GB2312" w:hAnsi="仿宋_GB2312" w:eastAsia="仿宋_GB2312" w:cs="仿宋_GB2312"/>
          <w:sz w:val="32"/>
          <w:szCs w:val="32"/>
          <w:lang w:val="en-US" w:eastAsia="zh-CN"/>
        </w:rPr>
        <w:t>14.1万元；2019年乡安排统计四经普工作经费0.5万元；</w:t>
      </w:r>
      <w:r>
        <w:rPr>
          <w:rFonts w:hint="eastAsia" w:ascii="仿宋_GB2312" w:hAnsi="仿宋_GB2312" w:eastAsia="仿宋_GB2312" w:cs="仿宋_GB2312"/>
          <w:sz w:val="32"/>
          <w:szCs w:val="32"/>
        </w:rPr>
        <w:t>乡村治理补助</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政府信访维稳经费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万元，大平台软件维护费0.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A++软件维护费1.3万元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（财政返还）根据川财预【2017】111号下达2018年度三州开发专项资金（用于温泉乡热水塘村社道硬化项目）</w:t>
      </w:r>
      <w:r>
        <w:rPr>
          <w:rFonts w:hint="eastAsia" w:ascii="仿宋_GB2312" w:hAnsi="仿宋_GB2312" w:eastAsia="仿宋_GB2312" w:cs="仿宋_GB2312"/>
          <w:sz w:val="32"/>
          <w:szCs w:val="32"/>
          <w:lang w:val="en-US" w:eastAsia="zh-CN"/>
        </w:rPr>
        <w:t>15.41万元，</w:t>
      </w:r>
      <w:r>
        <w:rPr>
          <w:rFonts w:hint="eastAsia" w:ascii="仿宋_GB2312" w:hAnsi="仿宋_GB2312" w:eastAsia="仿宋_GB2312" w:cs="仿宋_GB2312"/>
          <w:sz w:val="32"/>
          <w:szCs w:val="32"/>
        </w:rPr>
        <w:t>团委、妇联、关工委工作经费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党员干部现代远程教育经费</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2019年农村党员培训费0.6万元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武装工作经费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2019年五保户供养经费</w:t>
      </w:r>
      <w:r>
        <w:rPr>
          <w:rFonts w:hint="eastAsia" w:ascii="仿宋_GB2312" w:hAnsi="仿宋_GB2312" w:eastAsia="仿宋_GB2312" w:cs="仿宋_GB2312"/>
          <w:sz w:val="32"/>
          <w:szCs w:val="32"/>
          <w:lang w:val="en-US" w:eastAsia="zh-CN"/>
        </w:rPr>
        <w:t>32.74万元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卫生计生工作经费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（财政返还）下达全乡基础设施建设及水毁工程款30.77万元；2019村办公经费20万元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2019年村社干部补贴保险及2018年村干部绩效103.08万元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根据盐财资预【2019】2号下达2019省级年村公共运行维护费21万元</w:t>
      </w:r>
      <w:r>
        <w:rPr>
          <w:rFonts w:hint="eastAsia" w:ascii="仿宋_GB2312" w:hAnsi="仿宋_GB2312" w:eastAsia="仿宋_GB2312" w:cs="仿宋_GB2312"/>
          <w:sz w:val="32"/>
          <w:szCs w:val="32"/>
          <w:lang w:eastAsia="zh-CN"/>
        </w:rPr>
        <w:t>；</w:t>
      </w:r>
      <w:r>
        <w:rPr>
          <w:rFonts w:hint="eastAsia" w:eastAsia="楷体_GB2312"/>
          <w:sz w:val="32"/>
          <w:szCs w:val="32"/>
        </w:rPr>
        <w:t>均按照项目绩效评价工作开展并完成项目绩效工作。</w:t>
      </w:r>
    </w:p>
    <w:p>
      <w:pPr>
        <w:numPr>
          <w:ilvl w:val="0"/>
          <w:numId w:val="2"/>
        </w:numPr>
        <w:spacing w:line="580" w:lineRule="exact"/>
        <w:ind w:left="630"/>
        <w:rPr>
          <w:rFonts w:ascii="楷体_GB2312" w:hAnsi="楷体_GB2312" w:eastAsia="楷体_GB2312" w:cs="楷体_GB2312"/>
          <w:sz w:val="32"/>
          <w:szCs w:val="32"/>
        </w:rPr>
      </w:pPr>
      <w:r>
        <w:rPr>
          <w:rFonts w:hint="eastAsia" w:ascii="楷体_GB2312" w:hAnsi="楷体_GB2312" w:eastAsia="楷体_GB2312" w:cs="楷体_GB2312"/>
          <w:sz w:val="32"/>
          <w:szCs w:val="32"/>
        </w:rPr>
        <w:t>部门绩效评价结果。</w:t>
      </w:r>
    </w:p>
    <w:p>
      <w:pPr>
        <w:spacing w:line="560" w:lineRule="exact"/>
        <w:ind w:firstLine="640" w:firstLineChars="200"/>
        <w:jc w:val="left"/>
        <w:rPr>
          <w:rFonts w:ascii="楷体_GB2312" w:hAnsi="楷体_GB2312" w:eastAsia="楷体_GB2312" w:cs="楷体_GB2312"/>
          <w:sz w:val="32"/>
          <w:szCs w:val="32"/>
        </w:rPr>
      </w:pPr>
      <w:r>
        <w:rPr>
          <w:rFonts w:hint="eastAsia" w:ascii="仿宋_GB2312" w:eastAsia="仿宋_GB2312" w:cs="仿宋_GB2312"/>
          <w:sz w:val="32"/>
          <w:szCs w:val="32"/>
        </w:rPr>
        <w:t>我乡严格按照《预算法》按时完成预决算编制。在执行过程中有计划进行资金申报、使用，完善资金管理及内部控制制度，确保资金安全，做到账款、账账、账实相符。在今后工作中，进一步提高工作效率，把有限的资金用在刀刃上，扎实充分发挥资金使用效率，有力推进我乡工作的高效开展，切实履行政府职责。</w:t>
      </w:r>
    </w:p>
    <w:p>
      <w:pPr>
        <w:spacing w:line="580" w:lineRule="exact"/>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年度部门整体支出绩效评价情况开展自评，《盐边县</w:t>
      </w:r>
      <w:r>
        <w:rPr>
          <w:rFonts w:hint="eastAsia" w:ascii="仿宋_GB2312" w:hAnsi="仿宋_GB2312" w:eastAsia="仿宋_GB2312" w:cs="仿宋_GB2312"/>
          <w:sz w:val="32"/>
          <w:szCs w:val="32"/>
          <w:lang w:eastAsia="zh-CN"/>
        </w:rPr>
        <w:t>温泉乡</w:t>
      </w:r>
      <w:r>
        <w:rPr>
          <w:rFonts w:hint="eastAsia" w:ascii="仿宋_GB2312" w:hAnsi="仿宋_GB2312" w:eastAsia="仿宋_GB2312" w:cs="仿宋_GB2312"/>
          <w:sz w:val="32"/>
          <w:szCs w:val="32"/>
        </w:rPr>
        <w:t>人民政府</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年部门整体支出绩效评价报告》见附件（附件</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本部门自行组织对《</w:t>
      </w:r>
      <w:r>
        <w:rPr>
          <w:rFonts w:hint="eastAsia" w:ascii="仿宋" w:hAnsi="仿宋" w:eastAsia="仿宋" w:cs="仿宋"/>
          <w:color w:val="000000"/>
          <w:kern w:val="0"/>
          <w:sz w:val="32"/>
          <w:szCs w:val="32"/>
          <w:lang w:eastAsia="zh-CN"/>
        </w:rPr>
        <w:t>水毁恢复</w:t>
      </w:r>
      <w:r>
        <w:rPr>
          <w:rFonts w:hint="eastAsia" w:ascii="仿宋" w:hAnsi="仿宋" w:eastAsia="仿宋" w:cs="仿宋"/>
          <w:color w:val="000000"/>
          <w:kern w:val="0"/>
          <w:sz w:val="32"/>
          <w:szCs w:val="32"/>
        </w:rPr>
        <w:t>相关支出2019</w:t>
      </w:r>
      <w:r>
        <w:rPr>
          <w:rFonts w:hint="eastAsia" w:ascii="仿宋" w:hAnsi="仿宋" w:eastAsia="仿宋" w:cs="仿宋"/>
          <w:color w:val="000000"/>
          <w:kern w:val="0"/>
          <w:sz w:val="32"/>
          <w:szCs w:val="32"/>
          <w:lang w:eastAsia="zh-CN"/>
        </w:rPr>
        <w:t>部门预算整体支出自评表</w:t>
      </w:r>
      <w:r>
        <w:rPr>
          <w:rFonts w:hint="eastAsia" w:ascii="仿宋_GB2312" w:hAnsi="仿宋_GB2312" w:eastAsia="仿宋_GB2312" w:cs="仿宋_GB2312"/>
          <w:sz w:val="32"/>
          <w:szCs w:val="32"/>
        </w:rPr>
        <w:t>》见附件（附件</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p>
    <w:p>
      <w:pPr>
        <w:spacing w:line="600" w:lineRule="exact"/>
        <w:jc w:val="center"/>
        <w:outlineLvl w:val="0"/>
        <w:rPr>
          <w:rFonts w:ascii="黑体" w:hAnsi="黑体" w:eastAsia="黑体" w:cs="黑体"/>
          <w:color w:val="000000"/>
          <w:sz w:val="44"/>
          <w:szCs w:val="44"/>
        </w:rPr>
      </w:pPr>
      <w:bookmarkStart w:id="18" w:name="_Toc50042289"/>
      <w:bookmarkStart w:id="19" w:name="_Toc15396614"/>
    </w:p>
    <w:p>
      <w:pPr>
        <w:spacing w:line="600" w:lineRule="exact"/>
        <w:jc w:val="center"/>
        <w:outlineLvl w:val="0"/>
        <w:rPr>
          <w:rFonts w:ascii="黑体" w:hAnsi="黑体" w:eastAsia="黑体" w:cs="黑体"/>
          <w:color w:val="000000"/>
          <w:sz w:val="44"/>
          <w:szCs w:val="44"/>
        </w:rPr>
      </w:pPr>
    </w:p>
    <w:p>
      <w:pPr>
        <w:spacing w:line="600" w:lineRule="exact"/>
        <w:jc w:val="center"/>
        <w:outlineLvl w:val="0"/>
        <w:rPr>
          <w:rStyle w:val="15"/>
          <w:rFonts w:ascii="黑体" w:hAnsi="黑体" w:eastAsia="黑体"/>
          <w:b w:val="0"/>
          <w:bCs w:val="0"/>
        </w:rPr>
      </w:pPr>
      <w:bookmarkStart w:id="20" w:name="_Toc54085944"/>
      <w:bookmarkStart w:id="21" w:name="_Toc54085586"/>
      <w:bookmarkStart w:id="22" w:name="_Toc54085694"/>
      <w:r>
        <w:rPr>
          <w:rFonts w:hint="eastAsia" w:ascii="黑体" w:hAnsi="黑体" w:eastAsia="黑体" w:cs="黑体"/>
          <w:color w:val="000000"/>
          <w:sz w:val="44"/>
          <w:szCs w:val="44"/>
        </w:rPr>
        <w:t>第</w:t>
      </w:r>
      <w:r>
        <w:rPr>
          <w:rStyle w:val="15"/>
          <w:rFonts w:hint="eastAsia" w:ascii="黑体" w:hAnsi="黑体" w:eastAsia="黑体" w:cs="黑体"/>
          <w:b w:val="0"/>
          <w:bCs w:val="0"/>
        </w:rPr>
        <w:t>二部分</w:t>
      </w:r>
      <w:r>
        <w:rPr>
          <w:rStyle w:val="15"/>
          <w:rFonts w:ascii="黑体" w:hAnsi="黑体" w:eastAsia="黑体" w:cs="黑体"/>
          <w:b w:val="0"/>
          <w:bCs w:val="0"/>
        </w:rPr>
        <w:t xml:space="preserve"> </w:t>
      </w:r>
      <w:r>
        <w:rPr>
          <w:rStyle w:val="15"/>
          <w:rFonts w:hint="eastAsia" w:ascii="黑体" w:hAnsi="黑体" w:eastAsia="黑体" w:cs="黑体"/>
          <w:b w:val="0"/>
          <w:bCs w:val="0"/>
        </w:rPr>
        <w:t>附件</w:t>
      </w:r>
      <w:bookmarkEnd w:id="18"/>
      <w:bookmarkEnd w:id="19"/>
      <w:bookmarkEnd w:id="20"/>
      <w:bookmarkEnd w:id="21"/>
      <w:bookmarkEnd w:id="22"/>
      <w:r>
        <w:rPr>
          <w:rStyle w:val="15"/>
          <w:rFonts w:hint="eastAsia" w:ascii="黑体" w:hAnsi="黑体" w:eastAsia="黑体" w:cs="黑体"/>
          <w:b w:val="0"/>
          <w:bCs w:val="0"/>
          <w:lang w:val="en-US" w:eastAsia="zh-CN"/>
        </w:rPr>
        <w:t>1</w:t>
      </w:r>
    </w:p>
    <w:p>
      <w:pPr>
        <w:spacing w:line="600" w:lineRule="exact"/>
        <w:rPr>
          <w:rFonts w:ascii="方正小标宋简体" w:hAnsi="宋体" w:eastAsia="方正小标宋简体" w:cs="方正小标宋简体"/>
          <w:color w:val="000000"/>
          <w:kern w:val="0"/>
          <w:sz w:val="40"/>
          <w:szCs w:val="40"/>
        </w:rPr>
      </w:pPr>
    </w:p>
    <w:p>
      <w:pPr>
        <w:spacing w:line="600" w:lineRule="exact"/>
        <w:jc w:val="center"/>
        <w:rPr>
          <w:rFonts w:hint="eastAsia" w:ascii="仿宋_GB2312" w:hAnsi="仿宋_GB2312" w:eastAsia="仿宋_GB2312" w:cs="仿宋_GB2312"/>
          <w:color w:val="000000"/>
          <w:kern w:val="0"/>
          <w:sz w:val="40"/>
          <w:szCs w:val="44"/>
          <w:lang w:val="zh-CN"/>
        </w:rPr>
      </w:pPr>
      <w:r>
        <w:rPr>
          <w:rFonts w:hint="eastAsia" w:ascii="仿宋_GB2312" w:hAnsi="仿宋_GB2312" w:eastAsia="仿宋_GB2312" w:cs="仿宋_GB2312"/>
          <w:color w:val="000000"/>
          <w:kern w:val="0"/>
          <w:sz w:val="40"/>
          <w:szCs w:val="44"/>
        </w:rPr>
        <w:t>温泉乡人民政府2019年部门</w:t>
      </w:r>
      <w:r>
        <w:rPr>
          <w:rFonts w:hint="eastAsia" w:ascii="仿宋_GB2312" w:hAnsi="仿宋_GB2312" w:eastAsia="仿宋_GB2312" w:cs="仿宋_GB2312"/>
          <w:color w:val="000000"/>
          <w:kern w:val="0"/>
          <w:sz w:val="40"/>
          <w:szCs w:val="44"/>
          <w:lang w:val="zh-CN"/>
        </w:rPr>
        <w:t>整体绩效评价报告</w:t>
      </w:r>
    </w:p>
    <w:p>
      <w:pPr>
        <w:widowControl/>
        <w:adjustRightInd w:val="0"/>
        <w:snapToGrid w:val="0"/>
        <w:spacing w:line="580" w:lineRule="exact"/>
        <w:ind w:firstLine="480" w:firstLineChars="200"/>
        <w:contextualSpacing/>
        <w:jc w:val="left"/>
        <w:rPr>
          <w:rFonts w:hint="eastAsia" w:ascii="仿宋_GB2312" w:hAnsi="仿宋_GB2312" w:eastAsia="仿宋_GB2312" w:cs="仿宋_GB2312"/>
          <w:color w:val="000000"/>
          <w:kern w:val="0"/>
          <w:sz w:val="24"/>
          <w:szCs w:val="32"/>
          <w:shd w:val="clear" w:color="auto" w:fill="FFFFFF"/>
        </w:rPr>
      </w:pP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一、部门概况</w:t>
      </w:r>
    </w:p>
    <w:p>
      <w:pPr>
        <w:widowControl/>
        <w:numPr>
          <w:ilvl w:val="0"/>
          <w:numId w:val="3"/>
        </w:numPr>
        <w:adjustRightInd w:val="0"/>
        <w:snapToGrid w:val="0"/>
        <w:spacing w:line="560" w:lineRule="exact"/>
        <w:jc w:val="left"/>
        <w:rPr>
          <w:rFonts w:hint="eastAsia"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rPr>
        <w:t>机构组成</w:t>
      </w:r>
    </w:p>
    <w:p>
      <w:pPr>
        <w:widowControl/>
        <w:adjustRightInd w:val="0"/>
        <w:snapToGrid w:val="0"/>
        <w:spacing w:line="560" w:lineRule="exact"/>
        <w:ind w:firstLine="320" w:firstLineChars="1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温泉乡政府现有部门7个，农业服务中心、党政办、会计核算中心、宣文中心、社会事务办、综治办、武装部。</w:t>
      </w:r>
    </w:p>
    <w:p>
      <w:pPr>
        <w:widowControl/>
        <w:adjustRightInd w:val="0"/>
        <w:snapToGrid w:val="0"/>
        <w:spacing w:line="560" w:lineRule="exact"/>
        <w:ind w:firstLine="640" w:firstLineChars="200"/>
        <w:jc w:val="left"/>
        <w:rPr>
          <w:rFonts w:hint="eastAsia"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sz w:val="32"/>
          <w:szCs w:val="32"/>
        </w:rPr>
        <w:t>（二）</w:t>
      </w:r>
      <w:r>
        <w:rPr>
          <w:rFonts w:hint="eastAsia" w:ascii="仿宋_GB2312" w:hAnsi="仿宋_GB2312" w:eastAsia="仿宋_GB2312" w:cs="仿宋_GB2312"/>
          <w:color w:val="000000"/>
          <w:kern w:val="0"/>
          <w:sz w:val="32"/>
          <w:szCs w:val="32"/>
          <w:shd w:val="clear" w:color="auto" w:fill="FFFFFF"/>
          <w:lang w:val="zh-CN"/>
        </w:rPr>
        <w:t>机构职能</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1.贯彻执行党的路线、方针、政策和上级党组织及党员代表大会的决议、决定。</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2.研究决定全</w:t>
      </w:r>
      <w:r>
        <w:rPr>
          <w:rFonts w:hint="eastAsia" w:ascii="仿宋_GB2312" w:hAnsi="仿宋_GB2312" w:eastAsia="仿宋_GB2312" w:cs="仿宋_GB2312"/>
          <w:color w:val="333333"/>
          <w:sz w:val="32"/>
          <w:szCs w:val="32"/>
          <w:shd w:val="clear" w:color="auto" w:fill="FFFFFF"/>
          <w:lang w:eastAsia="zh-CN"/>
        </w:rPr>
        <w:t>乡</w:t>
      </w:r>
      <w:r>
        <w:rPr>
          <w:rFonts w:hint="eastAsia" w:ascii="仿宋_GB2312" w:hAnsi="仿宋_GB2312" w:eastAsia="仿宋_GB2312" w:cs="仿宋_GB2312"/>
          <w:color w:val="333333"/>
          <w:sz w:val="32"/>
          <w:szCs w:val="32"/>
          <w:shd w:val="clear" w:color="auto" w:fill="FFFFFF"/>
        </w:rPr>
        <w:t>经济建设和社会发展中带有全局性的重大问题。</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3.负责抓好所属党组织的思想建设、组织建设、作风建设。负责全面从严治党、党风廉政建设和反腐败工作。</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4.按照干部管理权限，负责对干部的教育、培养、选拔任免和监督工作，向上级党组织推荐干部。</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5.领导工会、共青团、妇联、科协等群团组织，协调党政之间的关系。</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6.负责本行政区域的政治思想、宣传、统战、政法、保密、武装、精神文明建设和民主法制建设等工作。</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7.制定并执行本行政区域内经济和社会发展规划、计划。</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8.负责乡村振兴、新农村建设和推进城乡一体化的组织和实施。</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9.负责辖区经济、文化、教育、科学、卫生健康、民政、社会保障、民族宗教、村</w:t>
      </w:r>
      <w:r>
        <w:rPr>
          <w:rFonts w:hint="eastAsia" w:ascii="仿宋_GB2312" w:hAnsi="仿宋_GB2312" w:eastAsia="仿宋_GB2312" w:cs="仿宋_GB2312"/>
          <w:color w:val="333333"/>
          <w:sz w:val="32"/>
          <w:szCs w:val="32"/>
          <w:shd w:val="clear" w:color="auto" w:fill="FFFFFF"/>
          <w:lang w:eastAsia="zh-CN"/>
        </w:rPr>
        <w:t>乡</w:t>
      </w:r>
      <w:r>
        <w:rPr>
          <w:rFonts w:hint="eastAsia" w:ascii="仿宋_GB2312" w:hAnsi="仿宋_GB2312" w:eastAsia="仿宋_GB2312" w:cs="仿宋_GB2312"/>
          <w:color w:val="333333"/>
          <w:sz w:val="32"/>
          <w:szCs w:val="32"/>
          <w:shd w:val="clear" w:color="auto" w:fill="FFFFFF"/>
        </w:rPr>
        <w:t>建设、司法、退役军人、扶贫、信访、安全、统计等行政管理和服务工作。</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10.负责农业产业结构调整和“三农”服务工作。</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11.建立健全社会治理防控体系，开展爱国卫生、环境卫生监督检查，承担环境、资源保护等工作，促进人与自然和谐发展。</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12.负责应急管理、安全生产、抢险救灾等工作，保护人民群众生命财产安全。</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13.完成上级党委、政府交办的其他工作。</w:t>
      </w:r>
    </w:p>
    <w:p>
      <w:pPr>
        <w:widowControl/>
        <w:numPr>
          <w:ilvl w:val="0"/>
          <w:numId w:val="4"/>
        </w:numPr>
        <w:adjustRightInd w:val="0"/>
        <w:snapToGrid w:val="0"/>
        <w:spacing w:line="560" w:lineRule="exact"/>
        <w:ind w:firstLine="640" w:firstLineChars="200"/>
        <w:jc w:val="left"/>
        <w:rPr>
          <w:rFonts w:hint="eastAsia"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rPr>
        <w:t>人员概况</w:t>
      </w:r>
    </w:p>
    <w:p>
      <w:pPr>
        <w:pStyle w:val="5"/>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政府机关编制数30人，其中：行政编制14人，工勤人员2人，事业编制14人，年末在职实有人数28人。</w:t>
      </w:r>
    </w:p>
    <w:p>
      <w:pPr>
        <w:pStyle w:val="5"/>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二、部门资金基本情况</w:t>
      </w:r>
    </w:p>
    <w:p>
      <w:pPr>
        <w:pStyle w:val="5"/>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（一）年初部门预算安排及支出情况</w:t>
      </w:r>
    </w:p>
    <w:p>
      <w:pPr>
        <w:spacing w:line="353"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2019年部门预算收入安排资金</w:t>
      </w:r>
      <w:r>
        <w:rPr>
          <w:rFonts w:hint="eastAsia" w:ascii="仿宋_GB2312" w:hAnsi="仿宋_GB2312" w:eastAsia="仿宋_GB2312" w:cs="仿宋_GB2312"/>
          <w:sz w:val="32"/>
          <w:szCs w:val="32"/>
        </w:rPr>
        <w:t>659.51万元，其中：当年财政拨款收入599.11万元，上年结转收入60.4万元。相应安排支出预算659.51万元，其中：工资福利支出336.36万元，日常公用支出70.28万元，对个人和家庭的补助支出3.03万元，项目支出249.85万元。</w:t>
      </w:r>
    </w:p>
    <w:p>
      <w:pPr>
        <w:pStyle w:val="5"/>
        <w:spacing w:line="560" w:lineRule="exact"/>
        <w:ind w:firstLine="640" w:firstLineChars="200"/>
        <w:rPr>
          <w:rFonts w:hint="eastAsia" w:ascii="仿宋_GB2312" w:hAnsi="仿宋_GB2312" w:eastAsia="仿宋_GB2312" w:cs="仿宋_GB2312"/>
          <w:color w:val="000000"/>
          <w:kern w:val="2"/>
          <w:sz w:val="32"/>
          <w:szCs w:val="32"/>
          <w:shd w:val="clear" w:color="auto" w:fill="FFFFFF"/>
        </w:rPr>
      </w:pPr>
    </w:p>
    <w:p>
      <w:pPr>
        <w:pStyle w:val="5"/>
        <w:numPr>
          <w:ilvl w:val="0"/>
          <w:numId w:val="5"/>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基本支出安排及使用情况</w:t>
      </w:r>
    </w:p>
    <w:p>
      <w:pPr>
        <w:pStyle w:val="5"/>
        <w:numPr>
          <w:ilvl w:val="0"/>
          <w:numId w:val="5"/>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基本支出</w:t>
      </w:r>
      <w:r>
        <w:rPr>
          <w:rFonts w:hint="eastAsia" w:ascii="仿宋_GB2312" w:hAnsi="仿宋_GB2312" w:eastAsia="仿宋_GB2312" w:cs="仿宋_GB2312"/>
          <w:sz w:val="32"/>
          <w:szCs w:val="32"/>
          <w:lang w:val="en-US" w:eastAsia="zh-CN"/>
        </w:rPr>
        <w:t>409.66</w:t>
      </w:r>
      <w:r>
        <w:rPr>
          <w:rFonts w:hint="eastAsia" w:ascii="仿宋_GB2312" w:hAnsi="仿宋_GB2312" w:eastAsia="仿宋_GB2312" w:cs="仿宋_GB2312"/>
          <w:sz w:val="32"/>
          <w:szCs w:val="32"/>
        </w:rPr>
        <w:t>万元，主要用于基本工资、津贴补贴、办公费、差旅费、水电邮电费、车辆运行维护费等日常公用经费。其中：一般公共服务支出</w:t>
      </w:r>
      <w:r>
        <w:rPr>
          <w:rFonts w:hint="eastAsia" w:ascii="仿宋_GB2312" w:hAnsi="仿宋_GB2312" w:eastAsia="仿宋_GB2312" w:cs="仿宋_GB2312"/>
          <w:sz w:val="32"/>
          <w:szCs w:val="32"/>
          <w:lang w:val="en-US" w:eastAsia="zh-CN"/>
        </w:rPr>
        <w:t>223.54</w:t>
      </w:r>
      <w:r>
        <w:rPr>
          <w:rFonts w:hint="eastAsia" w:ascii="仿宋_GB2312" w:hAnsi="仿宋_GB2312" w:eastAsia="仿宋_GB2312" w:cs="仿宋_GB2312"/>
          <w:sz w:val="32"/>
          <w:szCs w:val="32"/>
        </w:rPr>
        <w:t>万元，文化旅游体育与传媒支出</w:t>
      </w:r>
      <w:r>
        <w:rPr>
          <w:rFonts w:hint="eastAsia" w:ascii="仿宋_GB2312" w:hAnsi="仿宋_GB2312" w:eastAsia="仿宋_GB2312" w:cs="仿宋_GB2312"/>
          <w:sz w:val="32"/>
          <w:szCs w:val="32"/>
          <w:lang w:val="en-US" w:eastAsia="zh-CN"/>
        </w:rPr>
        <w:t>8.27</w:t>
      </w:r>
      <w:r>
        <w:rPr>
          <w:rFonts w:hint="eastAsia" w:ascii="仿宋_GB2312" w:hAnsi="仿宋_GB2312" w:eastAsia="仿宋_GB2312" w:cs="仿宋_GB2312"/>
          <w:sz w:val="32"/>
          <w:szCs w:val="32"/>
        </w:rPr>
        <w:t>万元，社会保障和就业支出</w:t>
      </w:r>
      <w:r>
        <w:rPr>
          <w:rFonts w:hint="eastAsia" w:ascii="仿宋_GB2312" w:hAnsi="仿宋_GB2312" w:eastAsia="仿宋_GB2312" w:cs="仿宋_GB2312"/>
          <w:sz w:val="32"/>
          <w:szCs w:val="32"/>
          <w:lang w:val="en-US" w:eastAsia="zh-CN"/>
        </w:rPr>
        <w:t>60.87</w:t>
      </w:r>
      <w:r>
        <w:rPr>
          <w:rFonts w:hint="eastAsia" w:ascii="仿宋_GB2312" w:hAnsi="仿宋_GB2312" w:eastAsia="仿宋_GB2312" w:cs="仿宋_GB2312"/>
          <w:sz w:val="32"/>
          <w:szCs w:val="32"/>
        </w:rPr>
        <w:t>万元，农林水支出</w:t>
      </w:r>
      <w:r>
        <w:rPr>
          <w:rFonts w:hint="eastAsia" w:ascii="仿宋_GB2312" w:hAnsi="仿宋_GB2312" w:eastAsia="仿宋_GB2312" w:cs="仿宋_GB2312"/>
          <w:sz w:val="32"/>
          <w:szCs w:val="32"/>
          <w:lang w:val="en-US" w:eastAsia="zh-CN"/>
        </w:rPr>
        <w:t>75</w:t>
      </w:r>
      <w:r>
        <w:rPr>
          <w:rFonts w:hint="eastAsia" w:ascii="仿宋_GB2312" w:hAnsi="仿宋_GB2312" w:eastAsia="仿宋_GB2312" w:cs="仿宋_GB2312"/>
          <w:sz w:val="32"/>
          <w:szCs w:val="32"/>
        </w:rPr>
        <w:t>万元，住房保障支出</w:t>
      </w:r>
      <w:r>
        <w:rPr>
          <w:rFonts w:hint="eastAsia" w:ascii="仿宋_GB2312" w:hAnsi="仿宋_GB2312" w:eastAsia="仿宋_GB2312" w:cs="仿宋_GB2312"/>
          <w:sz w:val="32"/>
          <w:szCs w:val="32"/>
          <w:lang w:val="en-US" w:eastAsia="zh-CN"/>
        </w:rPr>
        <w:t>41.98</w:t>
      </w:r>
      <w:r>
        <w:rPr>
          <w:rFonts w:hint="eastAsia" w:ascii="仿宋_GB2312" w:hAnsi="仿宋_GB2312" w:eastAsia="仿宋_GB2312" w:cs="仿宋_GB2312"/>
          <w:sz w:val="32"/>
          <w:szCs w:val="32"/>
        </w:rPr>
        <w:t>万元。</w:t>
      </w:r>
    </w:p>
    <w:p>
      <w:pPr>
        <w:pStyle w:val="5"/>
        <w:numPr>
          <w:ilvl w:val="0"/>
          <w:numId w:val="6"/>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部门预算项目安排及支出情况</w:t>
      </w:r>
    </w:p>
    <w:p>
      <w:pPr>
        <w:pStyle w:val="5"/>
        <w:widowControl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项目支出823.56万元，主要用于一般公共服务支出</w:t>
      </w:r>
      <w:r>
        <w:rPr>
          <w:rFonts w:hint="eastAsia" w:ascii="仿宋_GB2312" w:hAnsi="仿宋_GB2312" w:eastAsia="仿宋_GB2312" w:cs="仿宋_GB2312"/>
          <w:sz w:val="32"/>
          <w:szCs w:val="32"/>
          <w:lang w:val="en-US" w:eastAsia="zh-CN"/>
        </w:rPr>
        <w:t>37.16</w:t>
      </w:r>
      <w:r>
        <w:rPr>
          <w:rFonts w:hint="eastAsia" w:ascii="仿宋_GB2312" w:hAnsi="仿宋_GB2312" w:eastAsia="仿宋_GB2312" w:cs="仿宋_GB2312"/>
          <w:sz w:val="32"/>
          <w:szCs w:val="32"/>
        </w:rPr>
        <w:t>万元，社会保障和就业支出</w:t>
      </w:r>
      <w:r>
        <w:rPr>
          <w:rFonts w:hint="eastAsia" w:ascii="仿宋_GB2312" w:hAnsi="仿宋_GB2312" w:eastAsia="仿宋_GB2312" w:cs="仿宋_GB2312"/>
          <w:sz w:val="32"/>
          <w:szCs w:val="32"/>
          <w:lang w:val="en-US" w:eastAsia="zh-CN"/>
        </w:rPr>
        <w:t>32.74</w:t>
      </w:r>
      <w:r>
        <w:rPr>
          <w:rFonts w:hint="eastAsia" w:ascii="仿宋_GB2312" w:hAnsi="仿宋_GB2312" w:eastAsia="仿宋_GB2312" w:cs="仿宋_GB2312"/>
          <w:sz w:val="32"/>
          <w:szCs w:val="32"/>
        </w:rPr>
        <w:t>万元，公共安全支出</w:t>
      </w:r>
      <w:r>
        <w:rPr>
          <w:rFonts w:hint="eastAsia" w:ascii="仿宋_GB2312" w:hAnsi="仿宋_GB2312" w:eastAsia="仿宋_GB2312" w:cs="仿宋_GB2312"/>
          <w:sz w:val="32"/>
          <w:szCs w:val="32"/>
          <w:lang w:val="en-US" w:eastAsia="zh-CN"/>
        </w:rPr>
        <w:t>0.5万元，</w:t>
      </w:r>
      <w:r>
        <w:rPr>
          <w:rFonts w:hint="eastAsia" w:ascii="仿宋_GB2312" w:hAnsi="仿宋_GB2312" w:eastAsia="仿宋_GB2312" w:cs="仿宋_GB2312"/>
          <w:sz w:val="32"/>
          <w:szCs w:val="32"/>
        </w:rPr>
        <w:t>卫生健康支出</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万元，农林水支出</w:t>
      </w:r>
      <w:r>
        <w:rPr>
          <w:rFonts w:hint="eastAsia" w:ascii="仿宋_GB2312" w:hAnsi="仿宋_GB2312" w:eastAsia="仿宋_GB2312" w:cs="仿宋_GB2312"/>
          <w:sz w:val="32"/>
          <w:szCs w:val="32"/>
          <w:lang w:val="en-US" w:eastAsia="zh-CN"/>
        </w:rPr>
        <w:t>176.45</w:t>
      </w:r>
      <w:r>
        <w:rPr>
          <w:rFonts w:hint="eastAsia" w:ascii="仿宋_GB2312" w:hAnsi="仿宋_GB2312" w:eastAsia="仿宋_GB2312" w:cs="仿宋_GB2312"/>
          <w:sz w:val="32"/>
          <w:szCs w:val="32"/>
        </w:rPr>
        <w:t>万元，灾害防治及应急管理支出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w:t>
      </w:r>
    </w:p>
    <w:p>
      <w:pPr>
        <w:pStyle w:val="5"/>
        <w:numPr>
          <w:ilvl w:val="0"/>
          <w:numId w:val="7"/>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专项资金安排及支出情况</w:t>
      </w:r>
    </w:p>
    <w:p>
      <w:pPr>
        <w:pStyle w:val="11"/>
        <w:numPr>
          <w:ilvl w:val="0"/>
          <w:numId w:val="8"/>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人大代表会议费</w:t>
      </w:r>
      <w:r>
        <w:rPr>
          <w:rFonts w:hint="eastAsia" w:ascii="仿宋_GB2312" w:hAnsi="仿宋_GB2312" w:eastAsia="仿宋_GB2312" w:cs="仿宋_GB2312"/>
          <w:sz w:val="32"/>
          <w:szCs w:val="32"/>
          <w:lang w:val="en-US" w:eastAsia="zh-CN"/>
        </w:rPr>
        <w:t>2.99</w:t>
      </w:r>
      <w:r>
        <w:rPr>
          <w:rFonts w:hint="eastAsia" w:ascii="仿宋_GB2312" w:hAnsi="仿宋_GB2312" w:eastAsia="仿宋_GB2312" w:cs="仿宋_GB2312"/>
          <w:sz w:val="32"/>
          <w:szCs w:val="32"/>
        </w:rPr>
        <w:t>万元，</w:t>
      </w:r>
    </w:p>
    <w:p>
      <w:pPr>
        <w:pStyle w:val="11"/>
        <w:numPr>
          <w:ilvl w:val="0"/>
          <w:numId w:val="0"/>
        </w:numPr>
        <w:shd w:val="clear" w:color="auto" w:fill="FFFFFF"/>
        <w:spacing w:before="0" w:beforeAutospacing="0" w:after="0" w:afterAutospacing="0" w:line="353"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w:t>
      </w:r>
      <w:r>
        <w:rPr>
          <w:rFonts w:hint="eastAsia" w:ascii="仿宋_GB2312" w:hAnsi="仿宋_GB2312" w:eastAsia="仿宋_GB2312" w:cs="仿宋_GB2312"/>
          <w:sz w:val="32"/>
          <w:szCs w:val="32"/>
        </w:rPr>
        <w:t>（财政返还）根据盐边财预【2018】16号下达毛之惹同志一次性抚恤金、丧葬费</w:t>
      </w:r>
      <w:r>
        <w:rPr>
          <w:rFonts w:hint="eastAsia" w:ascii="仿宋_GB2312" w:hAnsi="仿宋_GB2312" w:eastAsia="仿宋_GB2312" w:cs="仿宋_GB2312"/>
          <w:sz w:val="32"/>
          <w:szCs w:val="32"/>
          <w:lang w:val="en-US" w:eastAsia="zh-CN"/>
        </w:rPr>
        <w:t>14.1万元</w:t>
      </w:r>
    </w:p>
    <w:p>
      <w:pPr>
        <w:pStyle w:val="11"/>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3、2019年乡安排统计四经普工作经费0.5万元</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乡村治理补助</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万元</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政府信访维稳经费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大平台软件维护费0.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万元</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A++软件维护费1.3万元</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（财政返还）根据川财预【2017】111号下达2018年度三州开发专项资金（用于温泉乡热水塘村社道硬化项目）</w:t>
      </w:r>
      <w:r>
        <w:rPr>
          <w:rFonts w:hint="eastAsia" w:ascii="仿宋_GB2312" w:hAnsi="仿宋_GB2312" w:eastAsia="仿宋_GB2312" w:cs="仿宋_GB2312"/>
          <w:sz w:val="32"/>
          <w:szCs w:val="32"/>
          <w:lang w:val="en-US" w:eastAsia="zh-CN"/>
        </w:rPr>
        <w:t>15.41万元，</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团委、妇联、关工委工作经费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万元</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党员干部现代远程教育经费</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2019年农村党员培训费0.6万元</w:t>
      </w:r>
      <w:r>
        <w:rPr>
          <w:rFonts w:hint="eastAsia" w:ascii="仿宋_GB2312" w:hAnsi="仿宋_GB2312" w:eastAsia="仿宋_GB2312" w:cs="仿宋_GB2312"/>
          <w:sz w:val="32"/>
          <w:szCs w:val="32"/>
          <w:lang w:eastAsia="zh-CN"/>
        </w:rPr>
        <w:t>；</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武装工作经费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2019年五保户供养经费</w:t>
      </w:r>
      <w:r>
        <w:rPr>
          <w:rFonts w:hint="eastAsia" w:ascii="仿宋_GB2312" w:hAnsi="仿宋_GB2312" w:eastAsia="仿宋_GB2312" w:cs="仿宋_GB2312"/>
          <w:sz w:val="32"/>
          <w:szCs w:val="32"/>
          <w:lang w:val="en-US" w:eastAsia="zh-CN"/>
        </w:rPr>
        <w:t>32.74万元</w:t>
      </w:r>
      <w:r>
        <w:rPr>
          <w:rFonts w:hint="eastAsia" w:ascii="仿宋_GB2312" w:hAnsi="仿宋_GB2312" w:eastAsia="仿宋_GB2312" w:cs="仿宋_GB2312"/>
          <w:sz w:val="32"/>
          <w:szCs w:val="32"/>
          <w:lang w:eastAsia="zh-CN"/>
        </w:rPr>
        <w:t>；</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卫生计生工作经费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（财政返还）下达全乡基础设施建设及水毁工程款30.77万元</w:t>
      </w:r>
      <w:r>
        <w:rPr>
          <w:rFonts w:hint="eastAsia" w:ascii="仿宋_GB2312" w:hAnsi="仿宋_GB2312" w:eastAsia="仿宋_GB2312" w:cs="仿宋_GB2312"/>
          <w:sz w:val="32"/>
          <w:szCs w:val="32"/>
          <w:lang w:eastAsia="zh-CN"/>
        </w:rPr>
        <w:t>；</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2019村办公经费20万元</w:t>
      </w:r>
      <w:r>
        <w:rPr>
          <w:rFonts w:hint="eastAsia" w:ascii="仿宋_GB2312" w:hAnsi="仿宋_GB2312" w:eastAsia="仿宋_GB2312" w:cs="仿宋_GB2312"/>
          <w:sz w:val="32"/>
          <w:szCs w:val="32"/>
          <w:lang w:eastAsia="zh-CN"/>
        </w:rPr>
        <w:t>；</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2019年村社干部补贴保险及2018年村干部绩效103.08万元</w:t>
      </w:r>
      <w:r>
        <w:rPr>
          <w:rFonts w:hint="eastAsia" w:ascii="仿宋_GB2312" w:hAnsi="仿宋_GB2312" w:eastAsia="仿宋_GB2312" w:cs="仿宋_GB2312"/>
          <w:sz w:val="32"/>
          <w:szCs w:val="32"/>
          <w:lang w:eastAsia="zh-CN"/>
        </w:rPr>
        <w:t>；</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根据盐财资预【2019】2号下达2019省级年村公共运行维护费21万元</w:t>
      </w:r>
      <w:r>
        <w:rPr>
          <w:rFonts w:hint="eastAsia" w:ascii="仿宋_GB2312" w:hAnsi="仿宋_GB2312" w:eastAsia="仿宋_GB2312" w:cs="仿宋_GB2312"/>
          <w:sz w:val="32"/>
          <w:szCs w:val="32"/>
          <w:lang w:eastAsia="zh-CN"/>
        </w:rPr>
        <w:t>；</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根据盐财资建【2019】17号下达2019年乡乡安全生产监管专项资金5万元</w:t>
      </w:r>
      <w:r>
        <w:rPr>
          <w:rFonts w:hint="eastAsia" w:ascii="仿宋_GB2312" w:hAnsi="仿宋_GB2312" w:eastAsia="仿宋_GB2312" w:cs="仿宋_GB2312"/>
          <w:sz w:val="32"/>
          <w:szCs w:val="32"/>
          <w:lang w:eastAsia="zh-CN"/>
        </w:rPr>
        <w:t>；</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根据盐财资行【2019】73号下达乡乡“人大代表之家”建设经费0.93万元</w:t>
      </w:r>
      <w:r>
        <w:rPr>
          <w:rFonts w:hint="eastAsia" w:ascii="仿宋_GB2312" w:hAnsi="仿宋_GB2312" w:eastAsia="仿宋_GB2312" w:cs="仿宋_GB2312"/>
          <w:sz w:val="32"/>
          <w:szCs w:val="32"/>
          <w:lang w:eastAsia="zh-CN"/>
        </w:rPr>
        <w:t>；</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根据川财社【2018】123号下达高校毕业生“三支一扶“安家费补贴0.2万元</w:t>
      </w:r>
      <w:r>
        <w:rPr>
          <w:rFonts w:hint="eastAsia" w:ascii="仿宋_GB2312" w:hAnsi="仿宋_GB2312" w:eastAsia="仿宋_GB2312" w:cs="仿宋_GB2312"/>
          <w:sz w:val="32"/>
          <w:szCs w:val="32"/>
          <w:lang w:eastAsia="zh-CN"/>
        </w:rPr>
        <w:t>；</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根据盐财资预【2019】24号下达温泉乡面源整治、垃圾清运、漂浮物打捞专项经费5万元</w:t>
      </w:r>
      <w:r>
        <w:rPr>
          <w:rFonts w:hint="eastAsia" w:ascii="仿宋_GB2312" w:hAnsi="仿宋_GB2312" w:eastAsia="仿宋_GB2312" w:cs="仿宋_GB2312"/>
          <w:sz w:val="32"/>
          <w:szCs w:val="32"/>
          <w:lang w:eastAsia="zh-CN"/>
        </w:rPr>
        <w:t>；</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根据盐财资行【2019】180号下达2019火把节系列活动补助经费2.5万元</w:t>
      </w:r>
      <w:r>
        <w:rPr>
          <w:rFonts w:hint="eastAsia" w:ascii="仿宋_GB2312" w:hAnsi="仿宋_GB2312" w:eastAsia="仿宋_GB2312" w:cs="仿宋_GB2312"/>
          <w:sz w:val="32"/>
          <w:szCs w:val="32"/>
          <w:lang w:eastAsia="zh-CN"/>
        </w:rPr>
        <w:t>；</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根据盐财资预【2019】49号追加全县16个乡（乡）164个村务监督委员会主任基本报酬和离职社区干部补贴1.34万元</w:t>
      </w:r>
      <w:r>
        <w:rPr>
          <w:rFonts w:hint="eastAsia" w:ascii="仿宋_GB2312" w:hAnsi="仿宋_GB2312" w:eastAsia="仿宋_GB2312" w:cs="仿宋_GB2312"/>
          <w:sz w:val="32"/>
          <w:szCs w:val="32"/>
          <w:lang w:eastAsia="zh-CN"/>
        </w:rPr>
        <w:t>；</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根据盐财金资【2019】17号下达温泉乡2018年度世行贷款考核奖励补助资金1.1万元</w:t>
      </w:r>
      <w:r>
        <w:rPr>
          <w:rFonts w:hint="eastAsia" w:ascii="仿宋_GB2312" w:hAnsi="仿宋_GB2312" w:eastAsia="仿宋_GB2312" w:cs="仿宋_GB2312"/>
          <w:sz w:val="32"/>
          <w:szCs w:val="32"/>
          <w:lang w:eastAsia="zh-CN"/>
        </w:rPr>
        <w:t>；</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根据盐财资投【2019】60号下达盐边县第三次全国国土调查工作经费支出预算2万元；</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根据盐财资预【2019】58号下达2019年市级基层组织活动和公共服务运行补助资金7万元；</w:t>
      </w:r>
    </w:p>
    <w:p>
      <w:pPr>
        <w:pStyle w:val="11"/>
        <w:numPr>
          <w:ilvl w:val="0"/>
          <w:numId w:val="9"/>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根据盐财资预【2019】68号下达温泉乡2019年基础设施水毁恢复资金19.8万元；</w:t>
      </w:r>
    </w:p>
    <w:p>
      <w:pPr>
        <w:pStyle w:val="11"/>
        <w:numPr>
          <w:ilvl w:val="0"/>
          <w:numId w:val="0"/>
        </w:numPr>
        <w:shd w:val="clear" w:color="auto" w:fill="FFFFFF"/>
        <w:spacing w:before="0" w:beforeAutospacing="0" w:after="0" w:afterAutospacing="0" w:line="353" w:lineRule="auto"/>
        <w:rPr>
          <w:rFonts w:hint="eastAsia" w:ascii="仿宋_GB2312" w:hAnsi="仿宋_GB2312" w:eastAsia="仿宋_GB2312" w:cs="仿宋_GB2312"/>
          <w:sz w:val="32"/>
          <w:szCs w:val="32"/>
          <w:lang w:val="en-US" w:eastAsia="zh-CN"/>
        </w:rPr>
      </w:pPr>
    </w:p>
    <w:p>
      <w:pPr>
        <w:pStyle w:val="5"/>
        <w:widowControl w:val="0"/>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以上项目</w:t>
      </w:r>
      <w:r>
        <w:rPr>
          <w:rFonts w:hint="eastAsia" w:ascii="仿宋_GB2312" w:hAnsi="仿宋_GB2312" w:eastAsia="仿宋_GB2312" w:cs="仿宋_GB2312"/>
          <w:sz w:val="32"/>
          <w:szCs w:val="32"/>
          <w:lang w:val="en-US" w:eastAsia="zh-CN"/>
        </w:rPr>
        <w:t>2019年底全部支出完毕。</w:t>
      </w:r>
    </w:p>
    <w:p>
      <w:pPr>
        <w:pStyle w:val="5"/>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三、绩效目标完成情况分析</w:t>
      </w:r>
    </w:p>
    <w:p>
      <w:pPr>
        <w:pStyle w:val="5"/>
        <w:widowControl w:val="0"/>
        <w:spacing w:line="560" w:lineRule="exact"/>
        <w:ind w:firstLine="640" w:firstLineChars="200"/>
        <w:rPr>
          <w:rFonts w:hint="eastAsia"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 xml:space="preserve"> 我</w:t>
      </w:r>
      <w:r>
        <w:rPr>
          <w:rFonts w:hint="eastAsia" w:ascii="仿宋_GB2312" w:hAnsi="仿宋_GB2312" w:eastAsia="仿宋_GB2312" w:cs="仿宋_GB2312"/>
          <w:bCs/>
          <w:kern w:val="2"/>
          <w:sz w:val="32"/>
          <w:szCs w:val="32"/>
          <w:lang w:eastAsia="zh-CN"/>
        </w:rPr>
        <w:t>乡</w:t>
      </w:r>
      <w:r>
        <w:rPr>
          <w:rFonts w:hint="eastAsia" w:ascii="仿宋_GB2312" w:hAnsi="仿宋_GB2312" w:eastAsia="仿宋_GB2312" w:cs="仿宋_GB2312"/>
          <w:bCs/>
          <w:kern w:val="2"/>
          <w:sz w:val="32"/>
          <w:szCs w:val="32"/>
        </w:rPr>
        <w:t>按照财政预算编制规定和要求，结合单位年度工作计划采取人员经费按照县委组织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pPr>
        <w:pStyle w:val="5"/>
        <w:widowControl w:val="0"/>
        <w:spacing w:line="560" w:lineRule="exact"/>
        <w:ind w:firstLine="640" w:firstLineChars="200"/>
        <w:rPr>
          <w:rFonts w:hint="eastAsia" w:ascii="仿宋_GB2312" w:hAnsi="仿宋_GB2312" w:eastAsia="仿宋_GB2312" w:cs="仿宋_GB2312"/>
          <w:bCs/>
          <w:kern w:val="2"/>
          <w:sz w:val="32"/>
          <w:szCs w:val="32"/>
          <w:lang w:eastAsia="zh-CN"/>
        </w:rPr>
      </w:pPr>
      <w:r>
        <w:rPr>
          <w:rFonts w:hint="eastAsia" w:ascii="仿宋_GB2312" w:hAnsi="仿宋_GB2312" w:eastAsia="仿宋_GB2312" w:cs="仿宋_GB2312"/>
          <w:bCs/>
          <w:kern w:val="2"/>
          <w:sz w:val="32"/>
          <w:szCs w:val="32"/>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w:t>
      </w:r>
      <w:r>
        <w:rPr>
          <w:rFonts w:hint="eastAsia" w:ascii="仿宋_GB2312" w:hAnsi="仿宋_GB2312" w:eastAsia="仿宋_GB2312" w:cs="仿宋_GB2312"/>
          <w:bCs/>
          <w:kern w:val="2"/>
          <w:sz w:val="32"/>
          <w:szCs w:val="32"/>
          <w:lang w:eastAsia="zh-CN"/>
        </w:rPr>
        <w:t>中央八项规定</w:t>
      </w:r>
    </w:p>
    <w:p>
      <w:pPr>
        <w:pStyle w:val="5"/>
        <w:widowControl w:val="0"/>
        <w:spacing w:line="560" w:lineRule="exact"/>
        <w:ind w:firstLine="640" w:firstLineChars="200"/>
        <w:rPr>
          <w:rFonts w:hint="eastAsia"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省、市“十项规定”和财务相关规定执行财政资金的管理和使用。项目资金分配严格按照实际工作需要，依据项目进度和开展情况、合理安全、资金严格按照规范程序申请、管理和使用。通过项目实施充分保障了工作需求，切实发挥工作职能，维护全</w:t>
      </w:r>
      <w:r>
        <w:rPr>
          <w:rFonts w:hint="eastAsia" w:ascii="仿宋_GB2312" w:hAnsi="仿宋_GB2312" w:eastAsia="仿宋_GB2312" w:cs="仿宋_GB2312"/>
          <w:bCs/>
          <w:kern w:val="2"/>
          <w:sz w:val="32"/>
          <w:szCs w:val="32"/>
          <w:lang w:eastAsia="zh-CN"/>
        </w:rPr>
        <w:t>乡</w:t>
      </w:r>
      <w:r>
        <w:rPr>
          <w:rFonts w:hint="eastAsia" w:ascii="仿宋_GB2312" w:hAnsi="仿宋_GB2312" w:eastAsia="仿宋_GB2312" w:cs="仿宋_GB2312"/>
          <w:bCs/>
          <w:kern w:val="2"/>
          <w:sz w:val="32"/>
          <w:szCs w:val="32"/>
        </w:rPr>
        <w:t>经济、社会发展。</w:t>
      </w:r>
    </w:p>
    <w:p>
      <w:pPr>
        <w:pStyle w:val="5"/>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（一）县级财政资金绩效目标完成情况</w:t>
      </w:r>
    </w:p>
    <w:p>
      <w:pPr>
        <w:pStyle w:val="5"/>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1.年初部门预算绩效目标完成情况</w:t>
      </w:r>
    </w:p>
    <w:p>
      <w:pPr>
        <w:pStyle w:val="5"/>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（1）产出指标完成情况分析。</w:t>
      </w:r>
      <w:r>
        <w:rPr>
          <w:rFonts w:hint="eastAsia" w:ascii="仿宋_GB2312" w:hAnsi="仿宋_GB2312" w:eastAsia="仿宋_GB2312" w:cs="仿宋_GB2312"/>
          <w:bCs/>
          <w:kern w:val="2"/>
          <w:sz w:val="32"/>
          <w:szCs w:val="32"/>
        </w:rPr>
        <w:t>我</w:t>
      </w:r>
      <w:r>
        <w:rPr>
          <w:rFonts w:hint="eastAsia" w:ascii="仿宋_GB2312" w:hAnsi="仿宋_GB2312" w:eastAsia="仿宋_GB2312" w:cs="仿宋_GB2312"/>
          <w:bCs/>
          <w:kern w:val="2"/>
          <w:sz w:val="32"/>
          <w:szCs w:val="32"/>
          <w:lang w:eastAsia="zh-CN"/>
        </w:rPr>
        <w:t>乡</w:t>
      </w:r>
      <w:r>
        <w:rPr>
          <w:rFonts w:hint="eastAsia" w:ascii="仿宋_GB2312" w:hAnsi="仿宋_GB2312" w:eastAsia="仿宋_GB2312" w:cs="仿宋_GB2312"/>
          <w:bCs/>
          <w:kern w:val="2"/>
          <w:sz w:val="32"/>
          <w:szCs w:val="32"/>
        </w:rPr>
        <w:t>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pPr>
        <w:spacing w:line="560" w:lineRule="exact"/>
        <w:ind w:firstLine="640" w:firstLineChars="200"/>
        <w:jc w:val="left"/>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rPr>
        <w:t>（2）效益指标完成情况分析。我</w:t>
      </w:r>
      <w:r>
        <w:rPr>
          <w:rFonts w:hint="eastAsia" w:ascii="仿宋_GB2312" w:hAnsi="仿宋_GB2312" w:eastAsia="仿宋_GB2312" w:cs="仿宋_GB2312"/>
          <w:color w:val="000000"/>
          <w:sz w:val="32"/>
          <w:szCs w:val="32"/>
          <w:lang w:eastAsia="zh-CN"/>
        </w:rPr>
        <w:t>乡</w:t>
      </w:r>
      <w:r>
        <w:rPr>
          <w:rFonts w:hint="eastAsia" w:ascii="仿宋_GB2312" w:hAnsi="仿宋_GB2312" w:eastAsia="仿宋_GB2312" w:cs="仿宋_GB2312"/>
          <w:color w:val="000000"/>
          <w:sz w:val="32"/>
          <w:szCs w:val="32"/>
        </w:rPr>
        <w:t>主要安排用于一般公共服务支出、社会保障和就业支出、卫生健康支出、节能环保支出、城乡社区支出、农林水支出、自然资源海洋气象等支出、灾害防治及应急管理支出等。</w:t>
      </w:r>
    </w:p>
    <w:p>
      <w:pPr>
        <w:pStyle w:val="5"/>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（3）满意度指标完成情况分析。通过财政绩效目标管理，基本达到满意。</w:t>
      </w:r>
    </w:p>
    <w:p>
      <w:pPr>
        <w:pStyle w:val="5"/>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2.专项（项目）资金绩效目标完成情况</w:t>
      </w:r>
    </w:p>
    <w:p>
      <w:pPr>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（1）产出指标完成情况分析。</w:t>
      </w:r>
      <w:r>
        <w:rPr>
          <w:rFonts w:hint="eastAsia" w:ascii="仿宋_GB2312" w:hAnsi="仿宋_GB2312" w:eastAsia="仿宋_GB2312" w:cs="仿宋_GB2312"/>
          <w:bCs/>
          <w:sz w:val="32"/>
          <w:szCs w:val="32"/>
        </w:rPr>
        <w:t>对项目资金的预算，提出具体的项目、目标和实施计划，精准编制项目支出绩效申报表，提供准确的项目支撑依据，切实做到项目资金编制的合理化、人性化，并在规定的时限内完整、准确的报送到县级财政部门。</w:t>
      </w:r>
    </w:p>
    <w:p>
      <w:pPr>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pPr>
        <w:pStyle w:val="5"/>
        <w:widowControl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（2）效益指标完成情况分析。我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项目资金主要安排用于一般公共服务支出、社会保障和就业支出、卫生健康支出、节能环保支出、城乡社区支出、农林水支出、自然资源海洋气象等支出、灾害防治及应急管理支出等。</w:t>
      </w:r>
    </w:p>
    <w:p>
      <w:pPr>
        <w:pStyle w:val="5"/>
        <w:widowControl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（3）满意度指标完成情况分析。通过财政绩效目标管理，基本达到满意。</w:t>
      </w:r>
    </w:p>
    <w:p>
      <w:pPr>
        <w:pStyle w:val="5"/>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（二）上级专项（项目）资金绩效目标完成情况</w:t>
      </w:r>
    </w:p>
    <w:p>
      <w:pPr>
        <w:pStyle w:val="11"/>
        <w:numPr>
          <w:ilvl w:val="0"/>
          <w:numId w:val="0"/>
        </w:numPr>
        <w:shd w:val="clear" w:color="auto" w:fill="FFFFFF"/>
        <w:spacing w:before="0" w:beforeAutospacing="0" w:after="0" w:afterAutospacing="0" w:line="35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（1）产出指标完成情况分析。</w:t>
      </w:r>
    </w:p>
    <w:p>
      <w:pPr>
        <w:pStyle w:val="11"/>
        <w:numPr>
          <w:ilvl w:val="0"/>
          <w:numId w:val="0"/>
        </w:numPr>
        <w:shd w:val="clear" w:color="auto" w:fill="FFFFFF"/>
        <w:spacing w:before="0" w:beforeAutospacing="0" w:after="0" w:afterAutospacing="0" w:line="353"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人大代表会议费</w:t>
      </w:r>
      <w:r>
        <w:rPr>
          <w:rFonts w:hint="eastAsia" w:ascii="仿宋_GB2312" w:hAnsi="仿宋_GB2312" w:eastAsia="仿宋_GB2312" w:cs="仿宋_GB2312"/>
          <w:sz w:val="32"/>
          <w:szCs w:val="32"/>
          <w:lang w:val="en-US" w:eastAsia="zh-CN"/>
        </w:rPr>
        <w:t>2.99</w:t>
      </w:r>
      <w:r>
        <w:rPr>
          <w:rFonts w:hint="eastAsia" w:ascii="仿宋_GB2312" w:hAnsi="仿宋_GB2312" w:eastAsia="仿宋_GB2312" w:cs="仿宋_GB2312"/>
          <w:sz w:val="32"/>
          <w:szCs w:val="32"/>
        </w:rPr>
        <w:t>万元，（财政返还）根据盐边财预【2018】16号下达毛之惹同志一次性抚恤金、丧葬费</w:t>
      </w:r>
      <w:r>
        <w:rPr>
          <w:rFonts w:hint="eastAsia" w:ascii="仿宋_GB2312" w:hAnsi="仿宋_GB2312" w:eastAsia="仿宋_GB2312" w:cs="仿宋_GB2312"/>
          <w:sz w:val="32"/>
          <w:szCs w:val="32"/>
          <w:lang w:val="en-US" w:eastAsia="zh-CN"/>
        </w:rPr>
        <w:t>14.1万元；2019年乡安排统计四经普工作经费0.5万元；</w:t>
      </w:r>
      <w:r>
        <w:rPr>
          <w:rFonts w:hint="eastAsia" w:ascii="仿宋_GB2312" w:hAnsi="仿宋_GB2312" w:eastAsia="仿宋_GB2312" w:cs="仿宋_GB2312"/>
          <w:sz w:val="32"/>
          <w:szCs w:val="32"/>
        </w:rPr>
        <w:t>乡村治理补助</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政府信访维稳经费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万元，大平台软件维护费0.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A++软件维护费1.3万元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（财政返还）根据川财预【2017】111号下达2018年度三州开发专项资金（用于温泉乡热水塘村社道硬化项目）</w:t>
      </w:r>
      <w:r>
        <w:rPr>
          <w:rFonts w:hint="eastAsia" w:ascii="仿宋_GB2312" w:hAnsi="仿宋_GB2312" w:eastAsia="仿宋_GB2312" w:cs="仿宋_GB2312"/>
          <w:sz w:val="32"/>
          <w:szCs w:val="32"/>
          <w:lang w:val="en-US" w:eastAsia="zh-CN"/>
        </w:rPr>
        <w:t>15.41万元，</w:t>
      </w:r>
      <w:r>
        <w:rPr>
          <w:rFonts w:hint="eastAsia" w:ascii="仿宋_GB2312" w:hAnsi="仿宋_GB2312" w:eastAsia="仿宋_GB2312" w:cs="仿宋_GB2312"/>
          <w:sz w:val="32"/>
          <w:szCs w:val="32"/>
        </w:rPr>
        <w:t>团委、妇联、关工委工作经费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党员干部现代远程教育经费</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2019年农村党员培训费0.6万元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武装工作经费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2019年五保户供养经费</w:t>
      </w:r>
      <w:r>
        <w:rPr>
          <w:rFonts w:hint="eastAsia" w:ascii="仿宋_GB2312" w:hAnsi="仿宋_GB2312" w:eastAsia="仿宋_GB2312" w:cs="仿宋_GB2312"/>
          <w:sz w:val="32"/>
          <w:szCs w:val="32"/>
          <w:lang w:val="en-US" w:eastAsia="zh-CN"/>
        </w:rPr>
        <w:t>32.74万元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卫生计生工作经费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（财政返还）下达全乡基础设施建设及水毁工程款30.77万元；2019村办公经费20万元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2019年村社干部补贴保险及2018年村干部绩效103.08万元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根据盐财资预【2019】2号下达2019省级年村公共运行维护费21万元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根据盐财资建【2019】17号下达2019年乡乡安全生产监管专项资金5万元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根据盐财资行【2019】73号下达乡乡“人大代表之家”建设经费0.93万元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根据川财社【2018】123号下达高校毕业生“三支一扶“安家费补贴0.2万元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根据盐财资预【2019】24号下达温泉乡面源整治、垃圾清运、漂浮物打捞专项经费5万元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根据盐财资行【2019】180号下达2019火把节系列活动补助经费2.5万元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根据盐财资预【2019】49号追加全县16个乡（乡）164个村务监督委员会主任基本报酬和离职社区干部补贴1.34万元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根据盐财金资【2019】17号下达温泉乡2018年度世行贷款考核奖励补助资金1.1万元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投【2019】60号下达盐边县第三次全国国土调查工作经费支出预算2万元；根据盐财资预【2019】58号下达2019年市级基层组织活动和公共服务运行补助资金7万元；根据盐财资预【2019】68号下达温泉乡2019年基础设施水毁恢复资金19.8万元。</w:t>
      </w:r>
    </w:p>
    <w:p>
      <w:pPr>
        <w:pStyle w:val="5"/>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（2）效益指标完成情况分析。我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项目资金主要安排用于一般公共服务支出、社会保障和就业支出、卫生健康支出、节能环保支出、城乡社区支出、农林水支出、自然资源海洋气象等支出、灾害防治及应急管理支出等。</w:t>
      </w:r>
    </w:p>
    <w:p>
      <w:pPr>
        <w:pStyle w:val="5"/>
        <w:widowControl w:val="0"/>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（3）满意度指标完成情况分析。通过财政绩效目标管理，基本达到满意。</w:t>
      </w:r>
    </w:p>
    <w:p>
      <w:pPr>
        <w:pStyle w:val="5"/>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（三）其他需要说明的情况。</w:t>
      </w:r>
    </w:p>
    <w:p>
      <w:pPr>
        <w:pStyle w:val="5"/>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w:t>
      </w:r>
    </w:p>
    <w:p>
      <w:pPr>
        <w:pStyle w:val="5"/>
        <w:numPr>
          <w:ilvl w:val="0"/>
          <w:numId w:val="10"/>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自评结论</w:t>
      </w:r>
    </w:p>
    <w:p>
      <w:pPr>
        <w:pStyle w:val="5"/>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Cs/>
          <w:kern w:val="2"/>
          <w:sz w:val="32"/>
          <w:szCs w:val="32"/>
        </w:rPr>
        <w:t>我</w:t>
      </w:r>
      <w:r>
        <w:rPr>
          <w:rFonts w:hint="eastAsia" w:ascii="仿宋_GB2312" w:hAnsi="仿宋_GB2312" w:eastAsia="仿宋_GB2312" w:cs="仿宋_GB2312"/>
          <w:bCs/>
          <w:kern w:val="2"/>
          <w:sz w:val="32"/>
          <w:szCs w:val="32"/>
          <w:lang w:eastAsia="zh-CN"/>
        </w:rPr>
        <w:t>乡</w:t>
      </w:r>
      <w:r>
        <w:rPr>
          <w:rFonts w:hint="eastAsia" w:ascii="仿宋_GB2312" w:hAnsi="仿宋_GB2312" w:eastAsia="仿宋_GB2312" w:cs="仿宋_GB2312"/>
          <w:bCs/>
          <w:kern w:val="2"/>
          <w:sz w:val="32"/>
          <w:szCs w:val="32"/>
        </w:rPr>
        <w:t>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pPr>
        <w:pStyle w:val="5"/>
        <w:numPr>
          <w:ilvl w:val="0"/>
          <w:numId w:val="11"/>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偏离绩效目标的原因和下一步改进措施</w:t>
      </w:r>
    </w:p>
    <w:p>
      <w:pPr>
        <w:pStyle w:val="5"/>
        <w:spacing w:line="560" w:lineRule="exact"/>
        <w:ind w:firstLine="640" w:firstLineChars="200"/>
        <w:rPr>
          <w:rFonts w:hint="eastAsia"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 xml:space="preserve">   （一）预算编制和预算管理还需进一步细化和加强，严禁超预算和无预算安排支出，严格开支范围和标准，严格审核各项经费的支出，提高资金使用效率。</w:t>
      </w:r>
    </w:p>
    <w:p>
      <w:pPr>
        <w:pStyle w:val="5"/>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Cs/>
          <w:kern w:val="2"/>
          <w:sz w:val="32"/>
          <w:szCs w:val="32"/>
        </w:rPr>
        <w:t xml:space="preserve">   （二）严格控制“三公”经费，认真贯彻落实中央八项规定和省、市十项规定，严格“三公”经费支出的审核和审批，合理压缩“三公”经费支出。合理、节俭、高效地利用资金，保证机关各项工作顺利有序开展。</w:t>
      </w:r>
    </w:p>
    <w:p>
      <w:pPr>
        <w:numPr>
          <w:ilvl w:val="0"/>
          <w:numId w:val="12"/>
        </w:numPr>
        <w:spacing w:line="56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绩效自评结果拟应用和公开公示情况</w:t>
      </w:r>
    </w:p>
    <w:p>
      <w:pPr>
        <w:spacing w:line="560" w:lineRule="exact"/>
        <w:ind w:firstLine="643"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（一）绩效自评结果拟应用</w:t>
      </w:r>
    </w:p>
    <w:p>
      <w:pPr>
        <w:spacing w:line="560" w:lineRule="exact"/>
        <w:ind w:firstLine="643"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1.深化绩效评价工作，不断提高部门预算整体绩效目标管理水平。</w:t>
      </w:r>
      <w:r>
        <w:rPr>
          <w:rFonts w:hint="eastAsia" w:ascii="仿宋_GB2312" w:hAnsi="仿宋_GB2312" w:eastAsia="仿宋_GB2312" w:cs="仿宋_GB2312"/>
          <w:bCs/>
          <w:sz w:val="32"/>
          <w:szCs w:val="32"/>
        </w:rPr>
        <w:t xml:space="preserve">按照《预算法》按时完成预决算编制。在执行过程中有计划进行资金申报、使用，完善资金管理及内部控制制度，确保资金安全，做到账款、账账、账实相符。 </w:t>
      </w:r>
    </w:p>
    <w:p>
      <w:pPr>
        <w:spacing w:line="560" w:lineRule="exact"/>
        <w:ind w:firstLine="643"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2.通过绩效自评建立机关厉行节约制度、节能降耗。</w:t>
      </w:r>
      <w:r>
        <w:rPr>
          <w:rFonts w:hint="eastAsia" w:ascii="仿宋_GB2312" w:hAnsi="仿宋_GB2312" w:eastAsia="仿宋_GB2312" w:cs="仿宋_GB2312"/>
          <w:bCs/>
          <w:sz w:val="32"/>
          <w:szCs w:val="32"/>
        </w:rPr>
        <w:t>我</w:t>
      </w:r>
      <w:r>
        <w:rPr>
          <w:rFonts w:hint="eastAsia" w:ascii="仿宋_GB2312" w:hAnsi="仿宋_GB2312" w:eastAsia="仿宋_GB2312" w:cs="仿宋_GB2312"/>
          <w:bCs/>
          <w:sz w:val="32"/>
          <w:szCs w:val="32"/>
          <w:lang w:eastAsia="zh-CN"/>
        </w:rPr>
        <w:t>乡</w:t>
      </w:r>
      <w:r>
        <w:rPr>
          <w:rFonts w:hint="eastAsia" w:ascii="仿宋_GB2312" w:hAnsi="仿宋_GB2312" w:eastAsia="仿宋_GB2312" w:cs="仿宋_GB2312"/>
          <w:bCs/>
          <w:sz w:val="32"/>
          <w:szCs w:val="32"/>
        </w:rPr>
        <w:t>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pPr>
        <w:spacing w:line="560" w:lineRule="exact"/>
        <w:ind w:firstLine="643"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3.强化单位财务管理工作，提高资金使用效率。</w:t>
      </w:r>
      <w:r>
        <w:rPr>
          <w:rFonts w:hint="eastAsia" w:ascii="仿宋_GB2312" w:hAnsi="仿宋_GB2312" w:eastAsia="仿宋_GB2312" w:cs="仿宋_GB2312"/>
          <w:color w:val="000000"/>
          <w:kern w:val="0"/>
          <w:sz w:val="32"/>
          <w:szCs w:val="32"/>
        </w:rPr>
        <w:t>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pPr>
        <w:numPr>
          <w:ilvl w:val="0"/>
          <w:numId w:val="13"/>
        </w:numPr>
        <w:spacing w:line="560" w:lineRule="exact"/>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公开公示情况</w:t>
      </w:r>
    </w:p>
    <w:p>
      <w:pPr>
        <w:spacing w:line="560" w:lineRule="exact"/>
        <w:ind w:firstLine="640" w:firstLineChars="200"/>
        <w:jc w:val="left"/>
        <w:rPr>
          <w:rFonts w:ascii="仿宋_GB2312" w:hAnsi="仿宋_GB2312" w:eastAsia="仿宋_GB2312"/>
          <w:sz w:val="32"/>
          <w:szCs w:val="32"/>
        </w:rPr>
      </w:pPr>
      <w:r>
        <w:rPr>
          <w:rFonts w:hint="eastAsia" w:ascii="仿宋_GB2312" w:hAnsi="仿宋_GB2312" w:eastAsia="仿宋_GB2312" w:cs="仿宋_GB2312"/>
          <w:color w:val="000000"/>
          <w:kern w:val="0"/>
          <w:sz w:val="32"/>
          <w:szCs w:val="32"/>
          <w:lang w:eastAsia="zh-CN"/>
        </w:rPr>
        <w:t>按照时间节点将</w:t>
      </w:r>
      <w:r>
        <w:rPr>
          <w:rFonts w:hint="eastAsia" w:ascii="仿宋_GB2312" w:hAnsi="仿宋_GB2312" w:eastAsia="仿宋_GB2312" w:cs="仿宋_GB2312"/>
          <w:color w:val="000000"/>
          <w:kern w:val="0"/>
          <w:sz w:val="32"/>
          <w:szCs w:val="32"/>
        </w:rPr>
        <w:t>《盐边县</w:t>
      </w:r>
      <w:r>
        <w:rPr>
          <w:rFonts w:hint="eastAsia" w:ascii="仿宋_GB2312" w:hAnsi="仿宋_GB2312" w:eastAsia="仿宋_GB2312" w:cs="仿宋_GB2312"/>
          <w:color w:val="000000"/>
          <w:kern w:val="0"/>
          <w:sz w:val="32"/>
          <w:szCs w:val="32"/>
          <w:lang w:eastAsia="zh-CN"/>
        </w:rPr>
        <w:t>温泉乡</w:t>
      </w:r>
      <w:r>
        <w:rPr>
          <w:rFonts w:hint="eastAsia" w:ascii="仿宋_GB2312" w:hAnsi="仿宋_GB2312" w:eastAsia="仿宋_GB2312" w:cs="仿宋_GB2312"/>
          <w:color w:val="000000"/>
          <w:kern w:val="0"/>
          <w:sz w:val="32"/>
          <w:szCs w:val="32"/>
        </w:rPr>
        <w:t>人民政府2019年部门预算整体绩效自评表》和《盐边县</w:t>
      </w:r>
      <w:r>
        <w:rPr>
          <w:rFonts w:hint="eastAsia" w:ascii="仿宋_GB2312" w:hAnsi="仿宋_GB2312" w:eastAsia="仿宋_GB2312" w:cs="仿宋_GB2312"/>
          <w:color w:val="000000"/>
          <w:kern w:val="0"/>
          <w:sz w:val="32"/>
          <w:szCs w:val="32"/>
          <w:lang w:eastAsia="zh-CN"/>
        </w:rPr>
        <w:t>温泉乡</w:t>
      </w:r>
      <w:r>
        <w:rPr>
          <w:rFonts w:hint="eastAsia" w:ascii="仿宋_GB2312" w:hAnsi="仿宋_GB2312" w:eastAsia="仿宋_GB2312" w:cs="仿宋_GB2312"/>
          <w:color w:val="000000"/>
          <w:kern w:val="0"/>
          <w:sz w:val="32"/>
          <w:szCs w:val="32"/>
        </w:rPr>
        <w:t>人民政府2019年度部门预算情况公开编制说明》在“盐边县公众信息网”财政信息板块下的“财政绩效评价信息专栏”进行公开公示。</w:t>
      </w:r>
    </w:p>
    <w:p>
      <w:pPr>
        <w:spacing w:line="600" w:lineRule="exact"/>
        <w:jc w:val="center"/>
        <w:rPr>
          <w:rFonts w:hint="eastAsia" w:ascii="方正小标宋简体" w:hAnsi="宋体" w:eastAsia="方正小标宋简体" w:cs="方正小标宋简体"/>
          <w:color w:val="000000"/>
          <w:kern w:val="0"/>
          <w:sz w:val="44"/>
          <w:szCs w:val="44"/>
          <w:lang w:val="zh-CN"/>
        </w:rPr>
      </w:pPr>
    </w:p>
    <w:p>
      <w:pPr>
        <w:spacing w:line="600" w:lineRule="exact"/>
        <w:jc w:val="center"/>
        <w:rPr>
          <w:rFonts w:hint="eastAsia" w:ascii="方正小标宋简体" w:hAnsi="宋体" w:eastAsia="方正小标宋简体" w:cs="方正小标宋简体"/>
          <w:color w:val="000000"/>
          <w:kern w:val="0"/>
          <w:sz w:val="44"/>
          <w:szCs w:val="44"/>
          <w:lang w:val="zh-CN"/>
        </w:rPr>
      </w:pPr>
    </w:p>
    <w:p>
      <w:pPr>
        <w:spacing w:line="600" w:lineRule="exact"/>
        <w:jc w:val="center"/>
        <w:rPr>
          <w:rFonts w:hint="eastAsia" w:ascii="方正小标宋简体" w:hAnsi="宋体" w:eastAsia="方正小标宋简体" w:cs="方正小标宋简体"/>
          <w:color w:val="000000"/>
          <w:kern w:val="0"/>
          <w:sz w:val="44"/>
          <w:szCs w:val="44"/>
          <w:lang w:val="zh-CN"/>
        </w:rPr>
      </w:pPr>
    </w:p>
    <w:p>
      <w:pPr>
        <w:spacing w:line="600" w:lineRule="exact"/>
        <w:jc w:val="center"/>
        <w:rPr>
          <w:rFonts w:hint="eastAsia" w:ascii="方正小标宋简体" w:hAnsi="宋体" w:eastAsia="方正小标宋简体" w:cs="方正小标宋简体"/>
          <w:color w:val="000000"/>
          <w:kern w:val="0"/>
          <w:sz w:val="44"/>
          <w:szCs w:val="44"/>
          <w:lang w:val="zh-CN"/>
        </w:rPr>
      </w:pPr>
    </w:p>
    <w:p>
      <w:pPr>
        <w:spacing w:line="600" w:lineRule="exact"/>
        <w:jc w:val="center"/>
        <w:rPr>
          <w:rFonts w:hint="eastAsia" w:ascii="方正小标宋简体" w:hAnsi="宋体" w:eastAsia="方正小标宋简体" w:cs="方正小标宋简体"/>
          <w:color w:val="000000"/>
          <w:kern w:val="0"/>
          <w:sz w:val="44"/>
          <w:szCs w:val="44"/>
          <w:lang w:val="zh-CN"/>
        </w:rPr>
      </w:pPr>
    </w:p>
    <w:p>
      <w:pPr>
        <w:spacing w:line="600" w:lineRule="exact"/>
        <w:jc w:val="center"/>
        <w:rPr>
          <w:rFonts w:hint="eastAsia" w:ascii="方正小标宋简体" w:hAnsi="宋体" w:eastAsia="方正小标宋简体" w:cs="方正小标宋简体"/>
          <w:color w:val="000000"/>
          <w:kern w:val="0"/>
          <w:sz w:val="44"/>
          <w:szCs w:val="44"/>
          <w:lang w:val="zh-CN"/>
        </w:rPr>
      </w:pPr>
    </w:p>
    <w:p>
      <w:pPr>
        <w:spacing w:line="600" w:lineRule="exact"/>
        <w:jc w:val="center"/>
        <w:rPr>
          <w:rFonts w:hint="eastAsia" w:ascii="方正小标宋简体" w:hAnsi="宋体" w:eastAsia="方正小标宋简体" w:cs="方正小标宋简体"/>
          <w:color w:val="000000"/>
          <w:kern w:val="0"/>
          <w:sz w:val="44"/>
          <w:szCs w:val="44"/>
          <w:lang w:val="zh-CN"/>
        </w:rPr>
      </w:pPr>
    </w:p>
    <w:p>
      <w:pPr>
        <w:spacing w:line="600" w:lineRule="exact"/>
        <w:jc w:val="center"/>
        <w:rPr>
          <w:rFonts w:hint="eastAsia" w:ascii="方正小标宋简体" w:hAnsi="宋体" w:eastAsia="方正小标宋简体" w:cs="方正小标宋简体"/>
          <w:color w:val="000000"/>
          <w:kern w:val="0"/>
          <w:sz w:val="44"/>
          <w:szCs w:val="44"/>
          <w:lang w:val="zh-CN"/>
        </w:rPr>
      </w:pPr>
    </w:p>
    <w:p>
      <w:pPr>
        <w:spacing w:line="600" w:lineRule="exact"/>
        <w:jc w:val="center"/>
        <w:rPr>
          <w:rFonts w:hint="eastAsia" w:ascii="方正小标宋简体" w:hAnsi="宋体" w:eastAsia="方正小标宋简体" w:cs="方正小标宋简体"/>
          <w:color w:val="000000"/>
          <w:kern w:val="0"/>
          <w:sz w:val="44"/>
          <w:szCs w:val="44"/>
          <w:lang w:val="zh-CN"/>
        </w:rPr>
      </w:pPr>
    </w:p>
    <w:p>
      <w:pPr>
        <w:spacing w:line="600" w:lineRule="exact"/>
        <w:jc w:val="center"/>
        <w:rPr>
          <w:rFonts w:hint="eastAsia" w:ascii="方正小标宋简体" w:hAnsi="宋体" w:eastAsia="方正小标宋简体" w:cs="方正小标宋简体"/>
          <w:color w:val="000000"/>
          <w:kern w:val="0"/>
          <w:sz w:val="44"/>
          <w:szCs w:val="44"/>
          <w:lang w:val="zh-CN"/>
        </w:rPr>
      </w:pPr>
    </w:p>
    <w:p>
      <w:pPr>
        <w:spacing w:line="600" w:lineRule="exact"/>
        <w:jc w:val="center"/>
        <w:rPr>
          <w:rFonts w:hint="eastAsia" w:ascii="方正小标宋简体" w:hAnsi="宋体" w:eastAsia="方正小标宋简体" w:cs="方正小标宋简体"/>
          <w:color w:val="000000"/>
          <w:kern w:val="0"/>
          <w:sz w:val="44"/>
          <w:szCs w:val="44"/>
          <w:lang w:val="zh-CN"/>
        </w:rPr>
      </w:pPr>
    </w:p>
    <w:p>
      <w:pPr>
        <w:spacing w:line="600" w:lineRule="exact"/>
        <w:jc w:val="left"/>
        <w:outlineLvl w:val="0"/>
        <w:rPr>
          <w:rStyle w:val="15"/>
          <w:rFonts w:ascii="黑体" w:hAnsi="黑体" w:eastAsia="黑体"/>
          <w:b w:val="0"/>
          <w:bCs w:val="0"/>
        </w:rPr>
      </w:pPr>
      <w:r>
        <w:rPr>
          <w:rStyle w:val="15"/>
          <w:rFonts w:hint="eastAsia" w:ascii="黑体" w:hAnsi="黑体" w:eastAsia="黑体" w:cs="黑体"/>
          <w:b w:val="0"/>
          <w:bCs w:val="0"/>
        </w:rPr>
        <w:t>附件</w:t>
      </w:r>
      <w:r>
        <w:rPr>
          <w:rStyle w:val="15"/>
          <w:rFonts w:hint="eastAsia" w:ascii="黑体" w:hAnsi="黑体" w:eastAsia="黑体" w:cs="黑体"/>
          <w:b w:val="0"/>
          <w:bCs w:val="0"/>
          <w:lang w:val="en-US" w:eastAsia="zh-CN"/>
        </w:rPr>
        <w:t>2</w:t>
      </w:r>
    </w:p>
    <w:p>
      <w:pPr>
        <w:spacing w:line="600" w:lineRule="exact"/>
        <w:jc w:val="center"/>
        <w:rPr>
          <w:rFonts w:hint="eastAsia" w:ascii="仿宋_GB2312" w:hAnsi="仿宋_GB2312" w:eastAsia="仿宋_GB2312" w:cs="仿宋_GB2312"/>
          <w:color w:val="000000"/>
          <w:kern w:val="0"/>
          <w:sz w:val="44"/>
          <w:szCs w:val="44"/>
          <w:lang w:val="zh-CN"/>
        </w:rPr>
      </w:pPr>
    </w:p>
    <w:p>
      <w:pPr>
        <w:spacing w:line="600" w:lineRule="exact"/>
        <w:jc w:val="center"/>
        <w:rPr>
          <w:rFonts w:hint="eastAsia" w:ascii="仿宋_GB2312" w:hAnsi="仿宋_GB2312" w:eastAsia="仿宋_GB2312" w:cs="仿宋_GB2312"/>
          <w:color w:val="000000"/>
          <w:kern w:val="0"/>
          <w:sz w:val="44"/>
          <w:szCs w:val="44"/>
          <w:lang w:val="zh-CN"/>
        </w:rPr>
      </w:pPr>
      <w:r>
        <w:rPr>
          <w:rFonts w:hint="eastAsia" w:ascii="仿宋_GB2312" w:hAnsi="仿宋_GB2312" w:eastAsia="仿宋_GB2312" w:cs="仿宋_GB2312"/>
          <w:color w:val="000000"/>
          <w:kern w:val="0"/>
          <w:sz w:val="44"/>
          <w:szCs w:val="44"/>
          <w:lang w:val="zh-CN"/>
        </w:rPr>
        <w:t>温泉乡村社水毁恢复工程项目</w:t>
      </w:r>
    </w:p>
    <w:p>
      <w:pPr>
        <w:spacing w:line="600" w:lineRule="exact"/>
        <w:jc w:val="center"/>
        <w:rPr>
          <w:rFonts w:hint="eastAsia" w:ascii="仿宋_GB2312" w:hAnsi="仿宋_GB2312" w:eastAsia="仿宋_GB2312" w:cs="仿宋_GB2312"/>
          <w:color w:val="000000"/>
          <w:kern w:val="0"/>
          <w:sz w:val="44"/>
          <w:szCs w:val="44"/>
          <w:lang w:val="zh-CN"/>
        </w:rPr>
      </w:pPr>
      <w:r>
        <w:rPr>
          <w:rFonts w:hint="eastAsia" w:ascii="仿宋_GB2312" w:hAnsi="仿宋_GB2312" w:eastAsia="仿宋_GB2312" w:cs="仿宋_GB2312"/>
          <w:color w:val="000000"/>
          <w:kern w:val="0"/>
          <w:sz w:val="44"/>
          <w:szCs w:val="44"/>
          <w:lang w:val="zh-CN"/>
        </w:rPr>
        <w:t>2019年绩效评价报告</w:t>
      </w:r>
    </w:p>
    <w:p>
      <w:pPr>
        <w:spacing w:line="600" w:lineRule="exact"/>
        <w:rPr>
          <w:rFonts w:hint="eastAsia" w:ascii="仿宋_GB2312" w:hAnsi="仿宋_GB2312" w:eastAsia="仿宋_GB2312" w:cs="仿宋_GB2312"/>
          <w:sz w:val="32"/>
          <w:szCs w:val="32"/>
          <w:lang w:val="zh-CN"/>
        </w:rPr>
      </w:pP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zh-CN"/>
        </w:rPr>
        <w:t>项目概况</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（一）项目基本情况。</w:t>
      </w:r>
    </w:p>
    <w:p>
      <w:pPr>
        <w:adjustRightInd w:val="0"/>
        <w:snapToGrid w:val="0"/>
        <w:spacing w:line="600" w:lineRule="exact"/>
        <w:ind w:firstLine="72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2019年7月10日、19日我乡雨量较大，造成基础设施不同程度的损毁，尤其是道路损毁较为严重，为解决我乡老百姓出行难和农用物资，烤烟运输难的问题，经乡党委、政府研究，在平等自愿的原则下，明确施工队伍，实施温泉乡村社道路水毁恢复工程项目。</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（二）项目绩效目标。</w:t>
      </w: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1．项目主要内容。为了完成温泉乡村社道路疏通，保障老百姓出行安全保障，对道路损毁严重村社实施水毁恢复工程，确保项目按质按量完成。</w:t>
      </w:r>
    </w:p>
    <w:p>
      <w:pPr>
        <w:adjustRightInd w:val="0"/>
        <w:snapToGrid w:val="0"/>
        <w:spacing w:line="600" w:lineRule="exact"/>
        <w:ind w:firstLine="72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rPr>
        <w:t>2．项目应实现的具体绩效目标，包括目标的量化、细化情况以及项目实施进度计划等。温泉乡水毁恢复工程在热水塘村、道角村、野麻地村维修村社道路</w:t>
      </w:r>
      <w:r>
        <w:rPr>
          <w:rFonts w:hint="eastAsia" w:ascii="仿宋_GB2312" w:hAnsi="仿宋_GB2312" w:eastAsia="仿宋_GB2312" w:cs="仿宋_GB2312"/>
          <w:sz w:val="32"/>
          <w:szCs w:val="32"/>
          <w:lang w:val="en-US" w:eastAsia="zh-CN"/>
        </w:rPr>
        <w:t>70余公里，其中清除公路土石塌方1600立方米，涵洞清淤2道，边沟清淤2500米。</w:t>
      </w:r>
    </w:p>
    <w:p>
      <w:pPr>
        <w:adjustRightInd w:val="0"/>
        <w:snapToGrid w:val="0"/>
        <w:spacing w:line="600" w:lineRule="exact"/>
        <w:ind w:firstLine="72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3.项目自评步骤及办法</w:t>
      </w:r>
    </w:p>
    <w:p>
      <w:pPr>
        <w:adjustRightInd w:val="0"/>
        <w:snapToGrid w:val="0"/>
        <w:spacing w:line="600" w:lineRule="exact"/>
        <w:ind w:firstLine="72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我乡组织相关对口的站办所对项目实施情况进行了自评，项目整体支出评分为97分，总体评价较好，将按照各项政策要求，不断提高项目绩效效率。</w:t>
      </w:r>
    </w:p>
    <w:p>
      <w:pPr>
        <w:adjustRightInd w:val="0"/>
        <w:snapToGrid w:val="0"/>
        <w:spacing w:line="600" w:lineRule="exact"/>
        <w:ind w:firstLine="7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二、项目资金申报及使用情况</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（一）项目资金申报及批复情况。</w:t>
      </w: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按照要求进资金申报，完成情况较好。</w:t>
      </w: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b/>
          <w:sz w:val="32"/>
          <w:szCs w:val="32"/>
          <w:lang w:val="zh-CN"/>
        </w:rPr>
        <w:t>（二）资金计划、到位及使用情况（可用表格形式反映）。</w:t>
      </w: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1．资金计划。年初预算全乡基础设施及水毁恢复资金为</w:t>
      </w:r>
      <w:r>
        <w:rPr>
          <w:rFonts w:hint="eastAsia" w:ascii="仿宋_GB2312" w:hAnsi="仿宋_GB2312" w:eastAsia="仿宋_GB2312" w:cs="仿宋_GB2312"/>
          <w:sz w:val="32"/>
          <w:szCs w:val="32"/>
          <w:lang w:val="en-US" w:eastAsia="zh-CN"/>
        </w:rPr>
        <w:t>30.77万元，以上</w:t>
      </w:r>
      <w:r>
        <w:rPr>
          <w:rFonts w:hint="eastAsia" w:ascii="仿宋_GB2312" w:hAnsi="仿宋_GB2312" w:eastAsia="仿宋_GB2312" w:cs="仿宋_GB2312"/>
          <w:sz w:val="32"/>
          <w:szCs w:val="32"/>
          <w:lang w:val="zh-CN"/>
        </w:rPr>
        <w:t>村社水毁恢复工程项目，财返资金用于全乡基础设施建设及水毁恢复资金</w:t>
      </w:r>
      <w:r>
        <w:rPr>
          <w:rFonts w:hint="eastAsia" w:ascii="仿宋_GB2312" w:hAnsi="仿宋_GB2312" w:eastAsia="仿宋_GB2312" w:cs="仿宋_GB2312"/>
          <w:sz w:val="32"/>
          <w:szCs w:val="32"/>
          <w:lang w:val="en-US" w:eastAsia="zh-CN"/>
        </w:rPr>
        <w:t>2.3万元</w:t>
      </w:r>
      <w:r>
        <w:rPr>
          <w:rFonts w:hint="eastAsia" w:ascii="仿宋_GB2312" w:hAnsi="仿宋_GB2312" w:eastAsia="仿宋_GB2312" w:cs="仿宋_GB2312"/>
          <w:sz w:val="32"/>
          <w:szCs w:val="32"/>
          <w:lang w:val="zh-CN"/>
        </w:rPr>
        <w:t>。</w:t>
      </w: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2．资金到位。年初预算下达资金已全部到位。</w:t>
      </w: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3．资金使用。严格按照相关规定实施，资金支付范围、支付标准、支付进度、支付依据合规合法、与预算相符。</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（三）项目财务管理情况。</w:t>
      </w: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我乡制定了温泉乡财务管理制度、温泉乡资金监管制度、温泉乡预算管理制度等相关制度，严格执行财务管理制度，及时账务处理，规范会计核算。</w:t>
      </w:r>
    </w:p>
    <w:p>
      <w:pPr>
        <w:numPr>
          <w:ilvl w:val="0"/>
          <w:numId w:val="14"/>
        </w:numPr>
        <w:adjustRightInd w:val="0"/>
        <w:snapToGrid w:val="0"/>
        <w:spacing w:line="600" w:lineRule="exact"/>
        <w:ind w:firstLine="72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项目实施及管理情况</w:t>
      </w:r>
      <w:r>
        <w:rPr>
          <w:rFonts w:hint="eastAsia" w:ascii="仿宋_GB2312" w:hAnsi="仿宋_GB2312" w:eastAsia="仿宋_GB2312" w:cs="仿宋_GB2312"/>
          <w:sz w:val="32"/>
          <w:szCs w:val="32"/>
          <w:lang w:val="en-US" w:eastAsia="zh-CN"/>
        </w:rPr>
        <w:t xml:space="preserve">              </w:t>
      </w:r>
    </w:p>
    <w:p>
      <w:pPr>
        <w:numPr>
          <w:ilvl w:val="0"/>
          <w:numId w:val="0"/>
        </w:numPr>
        <w:adjustRightInd w:val="0"/>
        <w:snapToGrid w:val="0"/>
        <w:spacing w:line="600" w:lineRule="exact"/>
        <w:rPr>
          <w:rFonts w:hint="eastAsia" w:ascii="仿宋_GB2312" w:hAnsi="仿宋_GB2312" w:eastAsia="仿宋_GB2312" w:cs="仿宋_GB2312"/>
          <w:sz w:val="32"/>
          <w:szCs w:val="32"/>
          <w:lang w:val="zh-CN"/>
        </w:rPr>
      </w:pP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lang w:val="zh-CN"/>
        </w:rPr>
        <w:t>我乡严格执行项目组织实施管理，项目实施监管总体较好。</w:t>
      </w:r>
    </w:p>
    <w:p>
      <w:pPr>
        <w:numPr>
          <w:ilvl w:val="0"/>
          <w:numId w:val="15"/>
        </w:num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项目组织架构及实施流程。</w:t>
      </w:r>
    </w:p>
    <w:p>
      <w:pPr>
        <w:numPr>
          <w:ilvl w:val="0"/>
          <w:numId w:val="0"/>
        </w:numPr>
        <w:adjustRightInd w:val="0"/>
        <w:snapToGrid w:val="0"/>
        <w:spacing w:line="600" w:lineRule="exact"/>
        <w:rPr>
          <w:rFonts w:hint="eastAsia" w:ascii="仿宋_GB2312" w:hAnsi="仿宋_GB2312" w:eastAsia="仿宋_GB2312" w:cs="仿宋_GB2312"/>
          <w:b/>
          <w:sz w:val="32"/>
          <w:szCs w:val="32"/>
          <w:lang w:val="zh-CN"/>
        </w:rPr>
      </w:pPr>
      <w:r>
        <w:rPr>
          <w:rFonts w:hint="eastAsia" w:ascii="仿宋_GB2312" w:hAnsi="仿宋_GB2312" w:eastAsia="仿宋_GB2312" w:cs="仿宋_GB2312"/>
          <w:sz w:val="32"/>
          <w:szCs w:val="32"/>
          <w:lang w:val="zh-CN"/>
        </w:rPr>
        <w:t>我乡严格按照项目组织架构组织实施项目，严格按照实施流程实施项目。</w:t>
      </w:r>
    </w:p>
    <w:p>
      <w:pPr>
        <w:numPr>
          <w:ilvl w:val="0"/>
          <w:numId w:val="15"/>
        </w:numPr>
        <w:adjustRightInd w:val="0"/>
        <w:snapToGrid w:val="0"/>
        <w:spacing w:line="600" w:lineRule="exact"/>
        <w:ind w:firstLine="720" w:firstLineChars="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项目管理情况。</w:t>
      </w:r>
    </w:p>
    <w:p>
      <w:pPr>
        <w:numPr>
          <w:ilvl w:val="0"/>
          <w:numId w:val="0"/>
        </w:numPr>
        <w:adjustRightInd w:val="0"/>
        <w:snapToGrid w:val="0"/>
        <w:spacing w:line="600" w:lineRule="exact"/>
        <w:rPr>
          <w:rFonts w:hint="eastAsia" w:ascii="仿宋_GB2312" w:hAnsi="仿宋_GB2312" w:eastAsia="仿宋_GB2312" w:cs="仿宋_GB2312"/>
          <w:sz w:val="32"/>
          <w:szCs w:val="32"/>
          <w:lang w:val="zh-CN"/>
        </w:rPr>
      </w:pP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b/>
          <w:sz w:val="32"/>
          <w:szCs w:val="32"/>
          <w:lang w:val="zh-CN"/>
        </w:rPr>
        <w:t>严格按照</w:t>
      </w:r>
      <w:r>
        <w:rPr>
          <w:rFonts w:hint="eastAsia" w:ascii="仿宋_GB2312" w:hAnsi="仿宋_GB2312" w:eastAsia="仿宋_GB2312" w:cs="仿宋_GB2312"/>
          <w:sz w:val="32"/>
          <w:szCs w:val="32"/>
          <w:lang w:val="zh-CN"/>
        </w:rPr>
        <w:t>相关法律法规及项目管理制度执行，严格按照招投标、政府采购、项目公示相关规定实施。</w:t>
      </w:r>
    </w:p>
    <w:p>
      <w:pPr>
        <w:numPr>
          <w:ilvl w:val="0"/>
          <w:numId w:val="15"/>
        </w:numPr>
        <w:adjustRightInd w:val="0"/>
        <w:snapToGrid w:val="0"/>
        <w:spacing w:line="600" w:lineRule="exact"/>
        <w:ind w:firstLine="720" w:firstLineChars="0"/>
        <w:rPr>
          <w:rFonts w:hint="eastAsia" w:ascii="仿宋_GB2312" w:hAnsi="仿宋_GB2312" w:eastAsia="仿宋_GB2312" w:cs="仿宋_GB2312"/>
          <w:sz w:val="32"/>
          <w:szCs w:val="32"/>
          <w:lang w:val="zh-CN"/>
        </w:rPr>
      </w:pPr>
      <w:r>
        <w:rPr>
          <w:rFonts w:hint="eastAsia" w:ascii="仿宋_GB2312" w:hAnsi="仿宋_GB2312" w:eastAsia="仿宋_GB2312" w:cs="仿宋_GB2312"/>
          <w:b/>
          <w:sz w:val="32"/>
          <w:szCs w:val="32"/>
          <w:lang w:val="zh-CN"/>
        </w:rPr>
        <w:t>项目监管情况。</w:t>
      </w:r>
    </w:p>
    <w:p>
      <w:pPr>
        <w:numPr>
          <w:ilvl w:val="0"/>
          <w:numId w:val="0"/>
        </w:numPr>
        <w:adjustRightInd w:val="0"/>
        <w:snapToGrid w:val="0"/>
        <w:spacing w:line="600" w:lineRule="exact"/>
        <w:rPr>
          <w:rFonts w:hint="eastAsia" w:ascii="仿宋_GB2312" w:hAnsi="仿宋_GB2312" w:eastAsia="仿宋_GB2312" w:cs="仿宋_GB2312"/>
          <w:sz w:val="32"/>
          <w:szCs w:val="32"/>
          <w:lang w:val="zh-CN"/>
        </w:rPr>
      </w:pP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lang w:val="zh-CN"/>
        </w:rPr>
        <w:t>乡上成立项目监管部门负责项目实施过程监督，严格执行监管程序。</w:t>
      </w:r>
    </w:p>
    <w:p>
      <w:pPr>
        <w:numPr>
          <w:ilvl w:val="0"/>
          <w:numId w:val="0"/>
        </w:numPr>
        <w:adjustRightInd w:val="0"/>
        <w:snapToGrid w:val="0"/>
        <w:spacing w:line="600" w:lineRule="exact"/>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四、项目绩效情况</w:t>
      </w:r>
      <w:r>
        <w:rPr>
          <w:rFonts w:hint="eastAsia" w:ascii="仿宋_GB2312" w:hAnsi="仿宋_GB2312" w:eastAsia="仿宋_GB2312" w:cs="仿宋_GB2312"/>
          <w:sz w:val="32"/>
          <w:szCs w:val="32"/>
          <w:lang w:val="zh-CN"/>
        </w:rPr>
        <w:tab/>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（一）项目完成情况。</w:t>
      </w: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温泉乡水毁恢复工程在热水塘村、道角村、野麻地村维修村社道路</w:t>
      </w:r>
      <w:r>
        <w:rPr>
          <w:rFonts w:hint="eastAsia" w:ascii="仿宋_GB2312" w:hAnsi="仿宋_GB2312" w:eastAsia="仿宋_GB2312" w:cs="仿宋_GB2312"/>
          <w:sz w:val="32"/>
          <w:szCs w:val="32"/>
          <w:lang w:val="en-US" w:eastAsia="zh-CN"/>
        </w:rPr>
        <w:t>70余公里，其中清除公路土石塌方1600立方米，涵洞清淤2道，边沟清淤2500米。完成成本为2.3万元。</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（二）项目效益情况。</w:t>
      </w:r>
    </w:p>
    <w:p>
      <w:pPr>
        <w:adjustRightInd w:val="0"/>
        <w:snapToGrid w:val="0"/>
        <w:spacing w:line="600" w:lineRule="exact"/>
        <w:ind w:firstLine="72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zh-CN"/>
        </w:rPr>
        <w:t>受益群众户数≥</w:t>
      </w:r>
      <w:r>
        <w:rPr>
          <w:rFonts w:hint="eastAsia" w:ascii="仿宋_GB2312" w:hAnsi="仿宋_GB2312" w:eastAsia="仿宋_GB2312" w:cs="仿宋_GB2312"/>
          <w:sz w:val="32"/>
          <w:szCs w:val="32"/>
          <w:lang w:val="en-US" w:eastAsia="zh-CN"/>
        </w:rPr>
        <w:t>850</w:t>
      </w:r>
      <w:r>
        <w:rPr>
          <w:rFonts w:hint="eastAsia" w:ascii="仿宋_GB2312" w:hAnsi="仿宋_GB2312" w:eastAsia="仿宋_GB2312" w:cs="仿宋_GB2312"/>
          <w:sz w:val="32"/>
          <w:szCs w:val="32"/>
          <w:lang w:val="zh-CN"/>
        </w:rPr>
        <w:t>户，满意度达</w:t>
      </w:r>
      <w:r>
        <w:rPr>
          <w:rFonts w:hint="eastAsia" w:ascii="仿宋_GB2312" w:hAnsi="仿宋_GB2312" w:eastAsia="仿宋_GB2312" w:cs="仿宋_GB2312"/>
          <w:sz w:val="32"/>
          <w:szCs w:val="32"/>
        </w:rPr>
        <w:t>99%以上。</w:t>
      </w:r>
      <w:r>
        <w:rPr>
          <w:rFonts w:hint="eastAsia" w:ascii="仿宋_GB2312" w:hAnsi="仿宋_GB2312" w:eastAsia="仿宋_GB2312" w:cs="仿宋_GB2312"/>
          <w:sz w:val="32"/>
          <w:szCs w:val="32"/>
          <w:lang w:eastAsia="zh-CN"/>
        </w:rPr>
        <w:t>为群众生活生产，出行等带来了极大的便利，促进我乡经济发展提高农户收入起到了一定的作用。</w:t>
      </w:r>
    </w:p>
    <w:p>
      <w:pPr>
        <w:adjustRightInd w:val="0"/>
        <w:snapToGrid w:val="0"/>
        <w:spacing w:line="600" w:lineRule="exact"/>
        <w:ind w:firstLine="7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五、评价结论及建议</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（一）评价结论。</w:t>
      </w:r>
    </w:p>
    <w:p>
      <w:pPr>
        <w:adjustRightInd w:val="0"/>
        <w:snapToGrid w:val="0"/>
        <w:spacing w:line="600" w:lineRule="exact"/>
        <w:ind w:firstLine="640" w:firstLineChars="200"/>
        <w:rPr>
          <w:rFonts w:hint="eastAsia" w:ascii="仿宋_GB2312" w:hAnsi="仿宋_GB2312" w:eastAsia="仿宋_GB2312" w:cs="仿宋_GB2312"/>
          <w:sz w:val="32"/>
          <w:szCs w:val="32"/>
          <w:bdr w:val="single" w:color="auto" w:sz="4" w:space="0"/>
          <w:lang w:val="zh-CN"/>
        </w:rPr>
      </w:pPr>
      <w:r>
        <w:rPr>
          <w:rFonts w:hint="eastAsia" w:ascii="仿宋_GB2312" w:hAnsi="仿宋_GB2312" w:eastAsia="仿宋_GB2312" w:cs="仿宋_GB2312"/>
          <w:sz w:val="32"/>
          <w:szCs w:val="32"/>
          <w:lang w:val="zh-CN"/>
        </w:rPr>
        <w:t>总体较好。项目能够及时开展，进行进行报账程序。</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（二）存在的问题。</w:t>
      </w:r>
    </w:p>
    <w:p>
      <w:pPr>
        <w:adjustRightInd w:val="0"/>
        <w:snapToGrid w:val="0"/>
        <w:spacing w:line="600" w:lineRule="exact"/>
        <w:ind w:firstLine="640" w:firstLineChars="20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项目报账资料不够完善。</w:t>
      </w:r>
      <w:r>
        <w:rPr>
          <w:rFonts w:hint="eastAsia" w:ascii="仿宋_GB2312" w:hAnsi="仿宋_GB2312" w:eastAsia="仿宋_GB2312" w:cs="仿宋_GB2312"/>
          <w:sz w:val="32"/>
          <w:szCs w:val="32"/>
          <w:lang w:val="zh-CN"/>
        </w:rPr>
        <w:tab/>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（三）相关建议。</w:t>
      </w:r>
    </w:p>
    <w:p>
      <w:pPr>
        <w:spacing w:line="600" w:lineRule="exact"/>
        <w:ind w:firstLine="640" w:firstLineChars="200"/>
        <w:rPr>
          <w:rFonts w:ascii="仿宋" w:hAnsi="仿宋" w:eastAsia="仿宋" w:cs="仿宋"/>
          <w:color w:val="000000"/>
          <w:kern w:val="0"/>
          <w:sz w:val="32"/>
          <w:szCs w:val="32"/>
        </w:rPr>
      </w:pP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较好的执行了2019年度部门项目支出绩效目标，各项支出都严格按预算要求执行，专项资金也做到专款专用，按时按要求拨付各项费用，同时，按部门预算科学合理使用财政资金，充分发挥资金利用效率，但在预算绩效目标中仍有一些问题。下一步，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一是制定具体措施，确定专人负责，有效开展绩效管理工作，发现问题及时更正，保证资金安全及项目的正常运行。二是强化项目资金使用，对专项资金预算绩效目标进行及时跟踪，对预算执行精细化，加快资金拨付进度。</w:t>
      </w: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1596"/>
        <w:tab w:val="clear" w:pos="4153"/>
      </w:tabs>
    </w:pPr>
    <w:r>
      <w:pict>
        <v:shape id="文本框1"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- 2 -</w:t>
                </w:r>
                <w:r>
                  <w:rPr>
                    <w:rFonts w:hint="eastAsia"/>
                    <w:sz w:val="18"/>
                  </w:rPr>
                  <w:fldChar w:fldCharType="end"/>
                </w:r>
              </w:p>
            </w:txbxContent>
          </v:textbox>
        </v:shape>
      </w:pict>
    </w:r>
    <w:r>
      <w:rPr>
        <w:rFonts w:hint="eastAsia"/>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71BDE2"/>
    <w:multiLevelType w:val="singleLevel"/>
    <w:tmpl w:val="5D71BDE2"/>
    <w:lvl w:ilvl="0" w:tentative="0">
      <w:start w:val="4"/>
      <w:numFmt w:val="decimal"/>
      <w:suff w:val="nothing"/>
      <w:lvlText w:val="%1、"/>
      <w:lvlJc w:val="left"/>
    </w:lvl>
  </w:abstractNum>
  <w:abstractNum w:abstractNumId="1">
    <w:nsid w:val="5ED13238"/>
    <w:multiLevelType w:val="multilevel"/>
    <w:tmpl w:val="5ED13238"/>
    <w:lvl w:ilvl="0" w:tentative="0">
      <w:start w:val="1"/>
      <w:numFmt w:val="japaneseCounting"/>
      <w:lvlText w:val="%1、"/>
      <w:lvlJc w:val="left"/>
      <w:pPr>
        <w:tabs>
          <w:tab w:val="left" w:pos="1363"/>
        </w:tabs>
        <w:ind w:left="1363" w:hanging="720"/>
      </w:pPr>
      <w:rPr>
        <w:rFonts w:hint="default"/>
      </w:rPr>
    </w:lvl>
    <w:lvl w:ilvl="1" w:tentative="0">
      <w:start w:val="1"/>
      <w:numFmt w:val="lowerLetter"/>
      <w:lvlText w:val="%2)"/>
      <w:lvlJc w:val="left"/>
      <w:pPr>
        <w:tabs>
          <w:tab w:val="left" w:pos="1483"/>
        </w:tabs>
        <w:ind w:left="1483" w:hanging="420"/>
      </w:pPr>
    </w:lvl>
    <w:lvl w:ilvl="2" w:tentative="0">
      <w:start w:val="1"/>
      <w:numFmt w:val="lowerRoman"/>
      <w:lvlText w:val="%3."/>
      <w:lvlJc w:val="right"/>
      <w:pPr>
        <w:tabs>
          <w:tab w:val="left" w:pos="1903"/>
        </w:tabs>
        <w:ind w:left="1903" w:hanging="420"/>
      </w:pPr>
    </w:lvl>
    <w:lvl w:ilvl="3" w:tentative="0">
      <w:start w:val="1"/>
      <w:numFmt w:val="decimal"/>
      <w:lvlText w:val="%4."/>
      <w:lvlJc w:val="left"/>
      <w:pPr>
        <w:tabs>
          <w:tab w:val="left" w:pos="2323"/>
        </w:tabs>
        <w:ind w:left="2323" w:hanging="420"/>
      </w:pPr>
    </w:lvl>
    <w:lvl w:ilvl="4" w:tentative="0">
      <w:start w:val="1"/>
      <w:numFmt w:val="lowerLetter"/>
      <w:lvlText w:val="%5)"/>
      <w:lvlJc w:val="left"/>
      <w:pPr>
        <w:tabs>
          <w:tab w:val="left" w:pos="2743"/>
        </w:tabs>
        <w:ind w:left="2743" w:hanging="420"/>
      </w:pPr>
    </w:lvl>
    <w:lvl w:ilvl="5" w:tentative="0">
      <w:start w:val="1"/>
      <w:numFmt w:val="lowerRoman"/>
      <w:lvlText w:val="%6."/>
      <w:lvlJc w:val="right"/>
      <w:pPr>
        <w:tabs>
          <w:tab w:val="left" w:pos="3163"/>
        </w:tabs>
        <w:ind w:left="3163" w:hanging="420"/>
      </w:pPr>
    </w:lvl>
    <w:lvl w:ilvl="6" w:tentative="0">
      <w:start w:val="1"/>
      <w:numFmt w:val="decimal"/>
      <w:lvlText w:val="%7."/>
      <w:lvlJc w:val="left"/>
      <w:pPr>
        <w:tabs>
          <w:tab w:val="left" w:pos="3583"/>
        </w:tabs>
        <w:ind w:left="3583" w:hanging="420"/>
      </w:pPr>
    </w:lvl>
    <w:lvl w:ilvl="7" w:tentative="0">
      <w:start w:val="1"/>
      <w:numFmt w:val="lowerLetter"/>
      <w:lvlText w:val="%8)"/>
      <w:lvlJc w:val="left"/>
      <w:pPr>
        <w:tabs>
          <w:tab w:val="left" w:pos="4003"/>
        </w:tabs>
        <w:ind w:left="4003" w:hanging="420"/>
      </w:pPr>
    </w:lvl>
    <w:lvl w:ilvl="8" w:tentative="0">
      <w:start w:val="1"/>
      <w:numFmt w:val="lowerRoman"/>
      <w:lvlText w:val="%9."/>
      <w:lvlJc w:val="right"/>
      <w:pPr>
        <w:tabs>
          <w:tab w:val="left" w:pos="4423"/>
        </w:tabs>
        <w:ind w:left="4423" w:hanging="420"/>
      </w:pPr>
    </w:lvl>
  </w:abstractNum>
  <w:abstractNum w:abstractNumId="2">
    <w:nsid w:val="5F783726"/>
    <w:multiLevelType w:val="singleLevel"/>
    <w:tmpl w:val="5F783726"/>
    <w:lvl w:ilvl="0" w:tentative="0">
      <w:start w:val="2"/>
      <w:numFmt w:val="chineseCounting"/>
      <w:suff w:val="nothing"/>
      <w:lvlText w:val="（%1）"/>
      <w:lvlJc w:val="left"/>
    </w:lvl>
  </w:abstractNum>
  <w:abstractNum w:abstractNumId="3">
    <w:nsid w:val="5F8A5E92"/>
    <w:multiLevelType w:val="singleLevel"/>
    <w:tmpl w:val="5F8A5E92"/>
    <w:lvl w:ilvl="0" w:tentative="0">
      <w:start w:val="3"/>
      <w:numFmt w:val="chineseCounting"/>
      <w:suff w:val="nothing"/>
      <w:lvlText w:val="（%1）"/>
      <w:lvlJc w:val="left"/>
    </w:lvl>
  </w:abstractNum>
  <w:abstractNum w:abstractNumId="4">
    <w:nsid w:val="5F8A6784"/>
    <w:multiLevelType w:val="singleLevel"/>
    <w:tmpl w:val="5F8A6784"/>
    <w:lvl w:ilvl="0" w:tentative="0">
      <w:start w:val="1"/>
      <w:numFmt w:val="decimal"/>
      <w:suff w:val="nothing"/>
      <w:lvlText w:val="%1."/>
      <w:lvlJc w:val="left"/>
    </w:lvl>
  </w:abstractNum>
  <w:abstractNum w:abstractNumId="5">
    <w:nsid w:val="5F8A67FA"/>
    <w:multiLevelType w:val="singleLevel"/>
    <w:tmpl w:val="5F8A67FA"/>
    <w:lvl w:ilvl="0" w:tentative="0">
      <w:start w:val="2"/>
      <w:numFmt w:val="decimal"/>
      <w:suff w:val="nothing"/>
      <w:lvlText w:val="%1."/>
      <w:lvlJc w:val="left"/>
    </w:lvl>
  </w:abstractNum>
  <w:abstractNum w:abstractNumId="6">
    <w:nsid w:val="5F8A6B90"/>
    <w:multiLevelType w:val="singleLevel"/>
    <w:tmpl w:val="5F8A6B90"/>
    <w:lvl w:ilvl="0" w:tentative="0">
      <w:start w:val="2"/>
      <w:numFmt w:val="chineseCounting"/>
      <w:suff w:val="nothing"/>
      <w:lvlText w:val="（%1）"/>
      <w:lvlJc w:val="left"/>
    </w:lvl>
  </w:abstractNum>
  <w:abstractNum w:abstractNumId="7">
    <w:nsid w:val="5F8A76BE"/>
    <w:multiLevelType w:val="singleLevel"/>
    <w:tmpl w:val="5F8A76BE"/>
    <w:lvl w:ilvl="0" w:tentative="0">
      <w:start w:val="4"/>
      <w:numFmt w:val="chineseCounting"/>
      <w:suff w:val="nothing"/>
      <w:lvlText w:val="（%1）"/>
      <w:lvlJc w:val="left"/>
    </w:lvl>
  </w:abstractNum>
  <w:abstractNum w:abstractNumId="8">
    <w:nsid w:val="5F8A76EB"/>
    <w:multiLevelType w:val="singleLevel"/>
    <w:tmpl w:val="5F8A76EB"/>
    <w:lvl w:ilvl="0" w:tentative="0">
      <w:start w:val="4"/>
      <w:numFmt w:val="chineseCounting"/>
      <w:suff w:val="nothing"/>
      <w:lvlText w:val="%1、"/>
      <w:lvlJc w:val="left"/>
    </w:lvl>
  </w:abstractNum>
  <w:abstractNum w:abstractNumId="9">
    <w:nsid w:val="5F8A7751"/>
    <w:multiLevelType w:val="singleLevel"/>
    <w:tmpl w:val="5F8A7751"/>
    <w:lvl w:ilvl="0" w:tentative="0">
      <w:start w:val="5"/>
      <w:numFmt w:val="chineseCounting"/>
      <w:suff w:val="nothing"/>
      <w:lvlText w:val="%1、"/>
      <w:lvlJc w:val="left"/>
    </w:lvl>
  </w:abstractNum>
  <w:abstractNum w:abstractNumId="10">
    <w:nsid w:val="5F8A7E9F"/>
    <w:multiLevelType w:val="singleLevel"/>
    <w:tmpl w:val="5F8A7E9F"/>
    <w:lvl w:ilvl="0" w:tentative="0">
      <w:start w:val="2"/>
      <w:numFmt w:val="decimal"/>
      <w:suff w:val="nothing"/>
      <w:lvlText w:val="%1."/>
      <w:lvlJc w:val="left"/>
    </w:lvl>
  </w:abstractNum>
  <w:abstractNum w:abstractNumId="11">
    <w:nsid w:val="5F98C2A3"/>
    <w:multiLevelType w:val="singleLevel"/>
    <w:tmpl w:val="5F98C2A3"/>
    <w:lvl w:ilvl="0" w:tentative="0">
      <w:start w:val="1"/>
      <w:numFmt w:val="decimal"/>
      <w:suff w:val="nothing"/>
      <w:lvlText w:val="%1、"/>
      <w:lvlJc w:val="left"/>
    </w:lvl>
  </w:abstractNum>
  <w:abstractNum w:abstractNumId="12">
    <w:nsid w:val="5F98DB50"/>
    <w:multiLevelType w:val="singleLevel"/>
    <w:tmpl w:val="5F98DB50"/>
    <w:lvl w:ilvl="0" w:tentative="0">
      <w:start w:val="3"/>
      <w:numFmt w:val="chineseCounting"/>
      <w:suff w:val="nothing"/>
      <w:lvlText w:val="%1、"/>
      <w:lvlJc w:val="left"/>
    </w:lvl>
  </w:abstractNum>
  <w:abstractNum w:abstractNumId="13">
    <w:nsid w:val="5F98DB85"/>
    <w:multiLevelType w:val="singleLevel"/>
    <w:tmpl w:val="5F98DB85"/>
    <w:lvl w:ilvl="0" w:tentative="0">
      <w:start w:val="1"/>
      <w:numFmt w:val="chineseCounting"/>
      <w:suff w:val="nothing"/>
      <w:lvlText w:val="（%1）"/>
      <w:lvlJc w:val="left"/>
    </w:lvl>
  </w:abstractNum>
  <w:abstractNum w:abstractNumId="14">
    <w:nsid w:val="76295896"/>
    <w:multiLevelType w:val="multilevel"/>
    <w:tmpl w:val="76295896"/>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10"/>
  </w:num>
  <w:num w:numId="3">
    <w:abstractNumId w:val="14"/>
  </w:num>
  <w:num w:numId="4">
    <w:abstractNumId w:val="3"/>
  </w:num>
  <w:num w:numId="5">
    <w:abstractNumId w:val="4"/>
  </w:num>
  <w:num w:numId="6">
    <w:abstractNumId w:val="5"/>
  </w:num>
  <w:num w:numId="7">
    <w:abstractNumId w:val="6"/>
  </w:num>
  <w:num w:numId="8">
    <w:abstractNumId w:val="11"/>
  </w:num>
  <w:num w:numId="9">
    <w:abstractNumId w:val="0"/>
  </w:num>
  <w:num w:numId="10">
    <w:abstractNumId w:val="7"/>
  </w:num>
  <w:num w:numId="11">
    <w:abstractNumId w:val="8"/>
  </w:num>
  <w:num w:numId="12">
    <w:abstractNumId w:val="9"/>
  </w:num>
  <w:num w:numId="13">
    <w:abstractNumId w:val="2"/>
  </w:num>
  <w:num w:numId="14">
    <w:abstractNumId w:val="12"/>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mFkYzE1ZmUyMzkwNzI5NzczNGM0NTIzNzgxM2U5YTcifQ=="/>
  </w:docVars>
  <w:rsids>
    <w:rsidRoot w:val="00172A27"/>
    <w:rsid w:val="0007470B"/>
    <w:rsid w:val="00172A27"/>
    <w:rsid w:val="00181C73"/>
    <w:rsid w:val="001C4103"/>
    <w:rsid w:val="005237D2"/>
    <w:rsid w:val="008F3BD7"/>
    <w:rsid w:val="009579FD"/>
    <w:rsid w:val="00971862"/>
    <w:rsid w:val="00A04300"/>
    <w:rsid w:val="00A70B49"/>
    <w:rsid w:val="00B9776A"/>
    <w:rsid w:val="00ED25C6"/>
    <w:rsid w:val="091F2C68"/>
    <w:rsid w:val="173C5A9B"/>
    <w:rsid w:val="1F4E4E3F"/>
    <w:rsid w:val="51FE1B8B"/>
    <w:rsid w:val="69BB5749"/>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5"/>
    <w:qFormat/>
    <w:uiPriority w:val="99"/>
    <w:pPr>
      <w:keepNext/>
      <w:keepLines/>
      <w:spacing w:before="340" w:after="330" w:line="578" w:lineRule="auto"/>
      <w:outlineLvl w:val="0"/>
    </w:pPr>
    <w:rPr>
      <w:b/>
      <w:bCs/>
      <w:kern w:val="44"/>
      <w:sz w:val="44"/>
      <w:szCs w:val="44"/>
    </w:rPr>
  </w:style>
  <w:style w:type="character" w:default="1" w:styleId="13">
    <w:name w:val="Default Paragraph Font"/>
    <w:unhideWhenUsed/>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3">
    <w:name w:val="Body Text"/>
    <w:basedOn w:val="1"/>
    <w:link w:val="18"/>
    <w:qFormat/>
    <w:uiPriority w:val="0"/>
    <w:pPr>
      <w:spacing w:beforeLines="30"/>
    </w:pPr>
    <w:rPr>
      <w:rFonts w:ascii="仿宋_GB2312" w:eastAsia="仿宋_GB2312"/>
      <w:kern w:val="0"/>
      <w:sz w:val="30"/>
      <w:szCs w:val="24"/>
    </w:rPr>
  </w:style>
  <w:style w:type="paragraph" w:styleId="4">
    <w:name w:val="toc 3"/>
    <w:basedOn w:val="1"/>
    <w:next w:val="1"/>
    <w:qFormat/>
    <w:uiPriority w:val="39"/>
    <w:pPr>
      <w:ind w:left="840" w:leftChars="400"/>
    </w:pPr>
  </w:style>
  <w:style w:type="paragraph" w:styleId="5">
    <w:name w:val="Plain Text"/>
    <w:basedOn w:val="1"/>
    <w:uiPriority w:val="0"/>
    <w:rPr>
      <w:rFonts w:ascii="宋体" w:hAnsi="Courier New" w:eastAsia="宋体" w:cs="Times New Roman"/>
      <w:lang w:val="en-US" w:eastAsia="zh-CN" w:bidi="ar-SA"/>
    </w:rPr>
  </w:style>
  <w:style w:type="paragraph" w:styleId="6">
    <w:name w:val="Balloon Text"/>
    <w:basedOn w:val="1"/>
    <w:link w:val="20"/>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qFormat/>
    <w:uiPriority w:val="39"/>
    <w:pPr>
      <w:tabs>
        <w:tab w:val="right" w:leader="dot" w:pos="8296"/>
      </w:tabs>
      <w:spacing w:before="93"/>
      <w:jc w:val="center"/>
    </w:pPr>
    <w:rPr>
      <w:rFonts w:ascii="仿宋" w:hAnsi="仿宋" w:eastAsia="仿宋" w:cs="仿宋"/>
      <w:sz w:val="28"/>
      <w:szCs w:val="28"/>
    </w:rPr>
  </w:style>
  <w:style w:type="paragraph" w:styleId="10">
    <w:name w:val="toc 2"/>
    <w:basedOn w:val="1"/>
    <w:next w:val="1"/>
    <w:qFormat/>
    <w:uiPriority w:val="39"/>
    <w:pPr>
      <w:tabs>
        <w:tab w:val="left" w:pos="7560"/>
        <w:tab w:val="right" w:leader="dot" w:pos="8296"/>
      </w:tabs>
      <w:adjustRightInd w:val="0"/>
      <w:snapToGrid w:val="0"/>
      <w:spacing w:line="440" w:lineRule="exact"/>
      <w:ind w:left="420" w:leftChars="200"/>
      <w:jc w:val="left"/>
    </w:pPr>
  </w:style>
  <w:style w:type="paragraph" w:styleId="11">
    <w:name w:val="Normal (Web)"/>
    <w:uiPriority w:val="0"/>
    <w:pPr>
      <w:spacing w:before="100" w:beforeAutospacing="1" w:after="100" w:afterAutospacing="1"/>
    </w:pPr>
    <w:rPr>
      <w:rFonts w:ascii="Times New Roman" w:hAnsi="Times New Roman" w:eastAsia="宋体" w:cs="Times New Roman"/>
      <w:sz w:val="24"/>
      <w:szCs w:val="22"/>
      <w:lang w:val="en-US" w:eastAsia="zh-CN" w:bidi="ar-SA"/>
    </w:rPr>
  </w:style>
  <w:style w:type="character" w:styleId="14">
    <w:name w:val="Hyperlink"/>
    <w:basedOn w:val="13"/>
    <w:qFormat/>
    <w:uiPriority w:val="99"/>
    <w:rPr>
      <w:color w:val="0000FF"/>
      <w:u w:val="single"/>
    </w:rPr>
  </w:style>
  <w:style w:type="character" w:customStyle="1" w:styleId="15">
    <w:name w:val="标题 1 Char"/>
    <w:basedOn w:val="13"/>
    <w:link w:val="2"/>
    <w:qFormat/>
    <w:locked/>
    <w:uiPriority w:val="99"/>
    <w:rPr>
      <w:b/>
      <w:bCs/>
      <w:kern w:val="44"/>
      <w:sz w:val="44"/>
      <w:szCs w:val="44"/>
    </w:rPr>
  </w:style>
  <w:style w:type="paragraph" w:customStyle="1" w:styleId="16">
    <w:name w:val="List Paragraph"/>
    <w:basedOn w:val="1"/>
    <w:qFormat/>
    <w:uiPriority w:val="99"/>
    <w:pPr>
      <w:ind w:firstLine="420" w:firstLineChars="200"/>
    </w:pPr>
  </w:style>
  <w:style w:type="paragraph" w:customStyle="1" w:styleId="17">
    <w:name w:val="No Spacing"/>
    <w:qFormat/>
    <w:uiPriority w:val="0"/>
    <w:pPr>
      <w:widowControl w:val="0"/>
      <w:jc w:val="both"/>
    </w:pPr>
    <w:rPr>
      <w:rFonts w:ascii="Calibri" w:hAnsi="Calibri" w:eastAsia="宋体" w:cs="Times New Roman"/>
      <w:kern w:val="2"/>
      <w:sz w:val="21"/>
      <w:szCs w:val="22"/>
      <w:lang w:val="en-US" w:eastAsia="zh-CN" w:bidi="ar-SA"/>
    </w:rPr>
  </w:style>
  <w:style w:type="character" w:customStyle="1" w:styleId="18">
    <w:name w:val="正文文本 Char"/>
    <w:basedOn w:val="13"/>
    <w:link w:val="3"/>
    <w:qFormat/>
    <w:uiPriority w:val="0"/>
    <w:rPr>
      <w:rFonts w:ascii="仿宋_GB2312" w:hAnsi="Times New Roman" w:eastAsia="仿宋_GB2312"/>
      <w:sz w:val="30"/>
      <w:szCs w:val="24"/>
    </w:rPr>
  </w:style>
  <w:style w:type="paragraph" w:customStyle="1" w:styleId="19">
    <w:name w:val="TOC Heading"/>
    <w:basedOn w:val="2"/>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20">
    <w:name w:val="批注框文本 Char"/>
    <w:basedOn w:val="13"/>
    <w:link w:val="6"/>
    <w:qFormat/>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382B51-CE59-4CE7-B351-F93CF5FBCC15}">
  <ds:schemaRefs/>
</ds:datastoreItem>
</file>

<file path=docProps/app.xml><?xml version="1.0" encoding="utf-8"?>
<Properties xmlns="http://schemas.openxmlformats.org/officeDocument/2006/extended-properties" xmlns:vt="http://schemas.openxmlformats.org/officeDocument/2006/docPropsVTypes">
  <Template>Normal.dotm</Template>
  <Pages>13</Pages>
  <Words>962</Words>
  <Characters>5485</Characters>
  <Lines>45</Lines>
  <Paragraphs>12</Paragraphs>
  <TotalTime>0</TotalTime>
  <ScaleCrop>false</ScaleCrop>
  <LinksUpToDate>false</LinksUpToDate>
  <CharactersWithSpaces>6435</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2020-10-20T02:57:00Z</dcterms:created>
  <dc:creator>Administrator</dc:creator>
  <cp:lastModifiedBy>Administrator</cp:lastModifiedBy>
  <cp:lastPrinted>2020-09-15T08:24:00Z</cp:lastPrinted>
  <dcterms:modified xsi:type="dcterms:W3CDTF">2023-08-23T14:14:05Z</dcterms:modified>
  <dc:title>盐边县2019年度</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A7DAD1D7C50348D5BF9BD0933EED6FEF_12</vt:lpwstr>
  </property>
</Properties>
</file>