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7425"/>
      <w:bookmarkStart w:id="2" w:name="_Toc15378441"/>
      <w:bookmarkStart w:id="3" w:name="_Toc15396475"/>
      <w:bookmarkStart w:id="4" w:name="_Toc15396597"/>
      <w:bookmarkStart w:id="5" w:name="_Toc15377193"/>
      <w:r>
        <w:rPr>
          <w:rFonts w:ascii="黑体" w:hAnsi="黑体" w:eastAsia="黑体"/>
          <w:color w:val="000000"/>
          <w:sz w:val="72"/>
          <w:szCs w:val="72"/>
        </w:rPr>
        <w:t>2018</w:t>
      </w:r>
      <w:r>
        <w:rPr>
          <w:rFonts w:hint="eastAsia" w:ascii="方正小标宋简体" w:hAnsi="宋体" w:eastAsia="方正小标宋简体"/>
          <w:color w:val="000000"/>
          <w:sz w:val="72"/>
          <w:szCs w:val="72"/>
        </w:rPr>
        <w:t>年度</w:t>
      </w:r>
      <w:bookmarkEnd w:id="1"/>
      <w:bookmarkEnd w:id="2"/>
      <w:bookmarkEnd w:id="3"/>
      <w:bookmarkEnd w:id="4"/>
      <w:bookmarkEnd w:id="5"/>
    </w:p>
    <w:bookmarkEnd w:id="0"/>
    <w:p>
      <w:pPr>
        <w:adjustRightInd w:val="0"/>
        <w:snapToGrid w:val="0"/>
        <w:spacing w:line="360" w:lineRule="auto"/>
        <w:jc w:val="center"/>
        <w:outlineLvl w:val="0"/>
        <w:rPr>
          <w:rFonts w:ascii="方正小标宋简体" w:hAnsi="宋体" w:eastAsia="方正小标宋简体"/>
          <w:color w:val="000000"/>
          <w:sz w:val="72"/>
          <w:szCs w:val="72"/>
        </w:rPr>
      </w:pPr>
      <w:bookmarkStart w:id="6" w:name="_Toc15377426"/>
      <w:bookmarkStart w:id="7" w:name="_Toc15377194"/>
      <w:bookmarkStart w:id="8" w:name="_Toc15378442"/>
      <w:bookmarkStart w:id="9" w:name="_Toc15396476"/>
      <w:bookmarkStart w:id="10" w:name="_Toc15396598"/>
      <w:bookmarkStart w:id="11" w:name="_Toc15306268"/>
      <w:r>
        <w:rPr>
          <w:rFonts w:hint="eastAsia" w:ascii="方正小标宋简体" w:hAnsi="宋体" w:eastAsia="方正小标宋简体"/>
          <w:color w:val="000000"/>
          <w:sz w:val="72"/>
          <w:szCs w:val="72"/>
        </w:rPr>
        <w:t>盐边县红格镇部门决算</w:t>
      </w:r>
      <w:bookmarkEnd w:id="6"/>
      <w:bookmarkEnd w:id="7"/>
      <w:bookmarkEnd w:id="8"/>
      <w:bookmarkEnd w:id="9"/>
      <w:bookmarkEnd w:id="10"/>
      <w:bookmarkEnd w:id="11"/>
    </w:p>
    <w:p>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编制说明</w:t>
      </w:r>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sz w:val="28"/>
          <w:szCs w:val="28"/>
        </w:rPr>
      </w:pPr>
      <w:r>
        <w:rPr>
          <w:rFonts w:ascii="黑体" w:hAnsi="黑体" w:eastAsia="黑体"/>
          <w:color w:val="000000"/>
          <w:sz w:val="48"/>
          <w:szCs w:val="48"/>
        </w:rPr>
        <w:fldChar w:fldCharType="begin"/>
      </w:r>
      <w:r>
        <w:rPr>
          <w:rFonts w:ascii="黑体" w:hAnsi="黑体" w:eastAsia="黑体"/>
          <w:color w:val="000000"/>
          <w:sz w:val="48"/>
          <w:szCs w:val="48"/>
        </w:rPr>
        <w:instrText xml:space="preserve"> TOC \o "1-2" \h \z \u </w:instrText>
      </w:r>
      <w:r>
        <w:rPr>
          <w:rFonts w:ascii="黑体" w:hAnsi="黑体" w:eastAsia="黑体"/>
          <w:color w:val="000000"/>
          <w:sz w:val="48"/>
          <w:szCs w:val="48"/>
        </w:rPr>
        <w:fldChar w:fldCharType="separate"/>
      </w:r>
    </w:p>
    <w:p>
      <w:pPr>
        <w:pStyle w:val="10"/>
      </w:pPr>
      <w:r>
        <w:rPr>
          <w:rFonts w:hint="eastAsia"/>
        </w:rPr>
        <w:t>公开时间：</w:t>
      </w:r>
      <w:r>
        <w:t>2019</w:t>
      </w:r>
      <w:r>
        <w:rPr>
          <w:rFonts w:hint="eastAsia"/>
        </w:rPr>
        <w:t>年</w:t>
      </w:r>
      <w:r>
        <w:t xml:space="preserve">  </w:t>
      </w:r>
      <w:r>
        <w:rPr>
          <w:rFonts w:hint="eastAsia"/>
        </w:rPr>
        <w:t>月</w:t>
      </w:r>
      <w:r>
        <w:t xml:space="preserve">  </w:t>
      </w:r>
      <w:r>
        <w:rPr>
          <w:rFonts w:hint="eastAsia"/>
        </w:rPr>
        <w:t>日</w:t>
      </w:r>
    </w:p>
    <w:p/>
    <w:p>
      <w:pPr>
        <w:pStyle w:val="10"/>
      </w:pPr>
      <w:r>
        <w:fldChar w:fldCharType="begin"/>
      </w:r>
      <w:r>
        <w:instrText xml:space="preserve"> HYPERLINK \l "_Toc15396599" </w:instrText>
      </w:r>
      <w:r>
        <w:fldChar w:fldCharType="separate"/>
      </w:r>
      <w:r>
        <w:rPr>
          <w:rStyle w:val="15"/>
          <w:rFonts w:hint="eastAsia"/>
        </w:rPr>
        <w:t>第一部分</w:t>
      </w:r>
      <w:r>
        <w:rPr>
          <w:rStyle w:val="15"/>
        </w:rPr>
        <w:t xml:space="preserve"> </w:t>
      </w:r>
      <w:r>
        <w:rPr>
          <w:rStyle w:val="15"/>
          <w:rFonts w:hint="eastAsia"/>
        </w:rPr>
        <w:t>部门概况</w:t>
      </w:r>
      <w:r>
        <w:tab/>
      </w:r>
      <w:r>
        <w:t>4</w:t>
      </w:r>
      <w:r>
        <w:fldChar w:fldCharType="end"/>
      </w:r>
    </w:p>
    <w:p>
      <w:pPr>
        <w:pStyle w:val="11"/>
        <w:ind w:left="31680"/>
        <w:rPr>
          <w:rFonts w:ascii="仿宋" w:hAnsi="仿宋" w:eastAsia="仿宋"/>
        </w:rPr>
      </w:pPr>
      <w:r>
        <w:fldChar w:fldCharType="begin"/>
      </w:r>
      <w:r>
        <w:instrText xml:space="preserve"> HYPERLINK \l "_Toc15396600" </w:instrText>
      </w:r>
      <w:r>
        <w:fldChar w:fldCharType="separate"/>
      </w:r>
      <w:r>
        <w:rPr>
          <w:rStyle w:val="15"/>
          <w:rFonts w:hint="eastAsia" w:ascii="仿宋" w:hAnsi="仿宋" w:eastAsia="仿宋"/>
        </w:rPr>
        <w:t>一、基本职能及主要工作</w:t>
      </w:r>
      <w:r>
        <w:rPr>
          <w:rFonts w:ascii="仿宋" w:hAnsi="仿宋" w:eastAsia="仿宋"/>
        </w:rPr>
        <w:tab/>
      </w:r>
      <w:r>
        <w:rPr>
          <w:rFonts w:ascii="仿宋" w:hAnsi="仿宋" w:eastAsia="仿宋"/>
        </w:rPr>
        <w:t>4</w:t>
      </w:r>
      <w:r>
        <w:rPr>
          <w:rFonts w:ascii="仿宋" w:hAnsi="仿宋" w:eastAsia="仿宋"/>
        </w:rPr>
        <w:fldChar w:fldCharType="end"/>
      </w:r>
    </w:p>
    <w:p>
      <w:pPr>
        <w:pStyle w:val="11"/>
        <w:ind w:left="31680"/>
      </w:pPr>
      <w:r>
        <w:fldChar w:fldCharType="begin"/>
      </w:r>
      <w:r>
        <w:instrText xml:space="preserve"> HYPERLINK \l "_Toc15396601" </w:instrText>
      </w:r>
      <w:r>
        <w:fldChar w:fldCharType="separate"/>
      </w:r>
      <w:r>
        <w:rPr>
          <w:rStyle w:val="15"/>
          <w:rFonts w:hint="eastAsia" w:ascii="仿宋" w:hAnsi="仿宋" w:eastAsia="仿宋"/>
        </w:rPr>
        <w:t>二、机构设置</w:t>
      </w:r>
      <w:r>
        <w:tab/>
      </w:r>
      <w:r>
        <w:fldChar w:fldCharType="begin"/>
      </w:r>
      <w:r>
        <w:instrText xml:space="preserve"> PAGEREF _Toc15396601 \h </w:instrText>
      </w:r>
      <w:r>
        <w:fldChar w:fldCharType="separate"/>
      </w:r>
      <w:r>
        <w:t>3</w:t>
      </w:r>
      <w:r>
        <w:fldChar w:fldCharType="end"/>
      </w:r>
      <w:r>
        <w:fldChar w:fldCharType="end"/>
      </w:r>
    </w:p>
    <w:p>
      <w:pPr>
        <w:pStyle w:val="10"/>
      </w:pPr>
      <w:r>
        <w:fldChar w:fldCharType="begin"/>
      </w:r>
      <w:r>
        <w:instrText xml:space="preserve"> HYPERLINK \l "_Toc15396602" </w:instrText>
      </w:r>
      <w:r>
        <w:fldChar w:fldCharType="separate"/>
      </w:r>
      <w:r>
        <w:rPr>
          <w:rStyle w:val="15"/>
          <w:rFonts w:hint="eastAsia"/>
        </w:rPr>
        <w:t>第二部分</w:t>
      </w:r>
      <w:r>
        <w:rPr>
          <w:rStyle w:val="15"/>
        </w:rPr>
        <w:t xml:space="preserve"> 2018</w:t>
      </w:r>
      <w:r>
        <w:rPr>
          <w:rStyle w:val="15"/>
          <w:rFonts w:hint="eastAsia"/>
        </w:rPr>
        <w:t>年度部门决算情况说明</w:t>
      </w:r>
      <w:r>
        <w:tab/>
      </w:r>
      <w:r>
        <w:fldChar w:fldCharType="begin"/>
      </w:r>
      <w:r>
        <w:instrText xml:space="preserve"> PAGEREF _Toc15396602 \h </w:instrText>
      </w:r>
      <w:r>
        <w:fldChar w:fldCharType="separate"/>
      </w:r>
      <w:r>
        <w:t>3</w:t>
      </w:r>
      <w:r>
        <w:fldChar w:fldCharType="end"/>
      </w:r>
      <w:r>
        <w:fldChar w:fldCharType="end"/>
      </w:r>
    </w:p>
    <w:p>
      <w:pPr>
        <w:pStyle w:val="11"/>
        <w:ind w:left="31680"/>
      </w:pPr>
      <w:r>
        <w:fldChar w:fldCharType="begin"/>
      </w:r>
      <w:r>
        <w:instrText xml:space="preserve"> HYPERLINK \l "_Toc15396603" </w:instrText>
      </w:r>
      <w:r>
        <w:fldChar w:fldCharType="separate"/>
      </w:r>
      <w:r>
        <w:rPr>
          <w:rStyle w:val="15"/>
          <w:rFonts w:hint="eastAsia" w:ascii="仿宋" w:hAnsi="仿宋" w:eastAsia="仿宋"/>
          <w:bCs/>
        </w:rPr>
        <w:t>一、</w:t>
      </w:r>
      <w:r>
        <w:rPr>
          <w:rStyle w:val="15"/>
          <w:rFonts w:hint="eastAsia" w:ascii="仿宋" w:hAnsi="仿宋" w:eastAsia="仿宋"/>
        </w:rPr>
        <w:t>收</w:t>
      </w:r>
      <w:r>
        <w:rPr>
          <w:rStyle w:val="15"/>
          <w:rFonts w:hint="eastAsia" w:ascii="仿宋" w:hAnsi="仿宋" w:eastAsia="仿宋"/>
          <w:bCs/>
        </w:rPr>
        <w:t>入支出决算总体情况说明</w:t>
      </w:r>
      <w:r>
        <w:tab/>
      </w:r>
      <w:r>
        <w:fldChar w:fldCharType="begin"/>
      </w:r>
      <w:r>
        <w:instrText xml:space="preserve"> PAGEREF _Toc15396603 \h </w:instrText>
      </w:r>
      <w:r>
        <w:fldChar w:fldCharType="separate"/>
      </w:r>
      <w:r>
        <w:t>3</w:t>
      </w:r>
      <w:r>
        <w:fldChar w:fldCharType="end"/>
      </w:r>
      <w:r>
        <w:fldChar w:fldCharType="end"/>
      </w:r>
    </w:p>
    <w:p>
      <w:pPr>
        <w:pStyle w:val="11"/>
        <w:ind w:left="31680"/>
      </w:pPr>
      <w:r>
        <w:fldChar w:fldCharType="begin"/>
      </w:r>
      <w:r>
        <w:instrText xml:space="preserve"> HYPERLINK \l "_Toc15396604" </w:instrText>
      </w:r>
      <w:r>
        <w:fldChar w:fldCharType="separate"/>
      </w:r>
      <w:r>
        <w:rPr>
          <w:rStyle w:val="15"/>
          <w:rFonts w:hint="eastAsia" w:ascii="仿宋" w:hAnsi="仿宋" w:eastAsia="仿宋"/>
          <w:bCs/>
        </w:rPr>
        <w:t>二、</w:t>
      </w:r>
      <w:r>
        <w:rPr>
          <w:rStyle w:val="15"/>
          <w:rFonts w:hint="eastAsia" w:ascii="仿宋" w:hAnsi="仿宋" w:eastAsia="仿宋"/>
        </w:rPr>
        <w:t>收</w:t>
      </w:r>
      <w:r>
        <w:rPr>
          <w:rStyle w:val="15"/>
          <w:rFonts w:hint="eastAsia" w:ascii="仿宋" w:hAnsi="仿宋" w:eastAsia="仿宋"/>
          <w:bCs/>
        </w:rPr>
        <w:t>入决算情况说明</w:t>
      </w:r>
      <w:r>
        <w:tab/>
      </w:r>
      <w:r>
        <w:fldChar w:fldCharType="begin"/>
      </w:r>
      <w:r>
        <w:instrText xml:space="preserve"> PAGEREF _Toc15396604 \h </w:instrText>
      </w:r>
      <w:r>
        <w:fldChar w:fldCharType="separate"/>
      </w:r>
      <w:r>
        <w:t>3</w:t>
      </w:r>
      <w:r>
        <w:fldChar w:fldCharType="end"/>
      </w:r>
      <w:r>
        <w:fldChar w:fldCharType="end"/>
      </w:r>
    </w:p>
    <w:p>
      <w:pPr>
        <w:pStyle w:val="11"/>
        <w:ind w:left="31680"/>
      </w:pPr>
      <w:r>
        <w:fldChar w:fldCharType="begin"/>
      </w:r>
      <w:r>
        <w:instrText xml:space="preserve"> HYPERLINK \l "_Toc15396605" </w:instrText>
      </w:r>
      <w:r>
        <w:fldChar w:fldCharType="separate"/>
      </w:r>
      <w:r>
        <w:rPr>
          <w:rStyle w:val="15"/>
          <w:rFonts w:hint="eastAsia" w:ascii="仿宋" w:hAnsi="仿宋" w:eastAsia="仿宋"/>
          <w:bCs/>
        </w:rPr>
        <w:t>三、</w:t>
      </w:r>
      <w:r>
        <w:rPr>
          <w:rStyle w:val="15"/>
          <w:rFonts w:hint="eastAsia" w:ascii="仿宋" w:hAnsi="仿宋" w:eastAsia="仿宋"/>
        </w:rPr>
        <w:t>支</w:t>
      </w:r>
      <w:r>
        <w:rPr>
          <w:rStyle w:val="15"/>
          <w:rFonts w:hint="eastAsia" w:ascii="仿宋" w:hAnsi="仿宋" w:eastAsia="仿宋"/>
          <w:bCs/>
        </w:rPr>
        <w:t>出决算情况说明</w:t>
      </w:r>
      <w:r>
        <w:tab/>
      </w:r>
      <w:r>
        <w:fldChar w:fldCharType="begin"/>
      </w:r>
      <w:r>
        <w:instrText xml:space="preserve"> PAGEREF _Toc15396605 \h </w:instrText>
      </w:r>
      <w:r>
        <w:fldChar w:fldCharType="separate"/>
      </w:r>
      <w:r>
        <w:t>3</w:t>
      </w:r>
      <w:r>
        <w:fldChar w:fldCharType="end"/>
      </w:r>
      <w:r>
        <w:fldChar w:fldCharType="end"/>
      </w:r>
    </w:p>
    <w:p>
      <w:pPr>
        <w:pStyle w:val="11"/>
        <w:ind w:left="31680"/>
      </w:pPr>
      <w:r>
        <w:fldChar w:fldCharType="begin"/>
      </w:r>
      <w:r>
        <w:instrText xml:space="preserve"> HYPERLINK \l "_Toc15396606" </w:instrText>
      </w:r>
      <w:r>
        <w:fldChar w:fldCharType="separate"/>
      </w:r>
      <w:r>
        <w:rPr>
          <w:rStyle w:val="15"/>
          <w:rFonts w:hint="eastAsia" w:ascii="仿宋" w:hAnsi="仿宋" w:eastAsia="仿宋"/>
        </w:rPr>
        <w:t>四、财</w:t>
      </w:r>
      <w:r>
        <w:rPr>
          <w:rStyle w:val="15"/>
          <w:rFonts w:hint="eastAsia" w:ascii="仿宋" w:hAnsi="仿宋" w:eastAsia="仿宋"/>
          <w:bCs/>
        </w:rPr>
        <w:t>政拨款收入支出决算总体情况说明</w:t>
      </w:r>
      <w:r>
        <w:tab/>
      </w:r>
      <w:r>
        <w:fldChar w:fldCharType="begin"/>
      </w:r>
      <w:r>
        <w:instrText xml:space="preserve"> PAGEREF _Toc15396606 \h </w:instrText>
      </w:r>
      <w:r>
        <w:fldChar w:fldCharType="separate"/>
      </w:r>
      <w:r>
        <w:t>3</w:t>
      </w:r>
      <w:r>
        <w:fldChar w:fldCharType="end"/>
      </w:r>
      <w:r>
        <w:fldChar w:fldCharType="end"/>
      </w:r>
    </w:p>
    <w:p>
      <w:pPr>
        <w:pStyle w:val="11"/>
        <w:ind w:left="31680"/>
      </w:pPr>
      <w:r>
        <w:fldChar w:fldCharType="begin"/>
      </w:r>
      <w:r>
        <w:instrText xml:space="preserve"> HYPERLINK \l "_Toc15396607" </w:instrText>
      </w:r>
      <w:r>
        <w:fldChar w:fldCharType="separate"/>
      </w:r>
      <w:r>
        <w:rPr>
          <w:rStyle w:val="15"/>
          <w:rFonts w:hint="eastAsia" w:ascii="仿宋" w:hAnsi="仿宋" w:eastAsia="仿宋"/>
        </w:rPr>
        <w:t>五、一</w:t>
      </w:r>
      <w:r>
        <w:rPr>
          <w:rStyle w:val="15"/>
          <w:rFonts w:hint="eastAsia" w:ascii="仿宋" w:hAnsi="仿宋" w:eastAsia="仿宋"/>
          <w:bCs/>
        </w:rPr>
        <w:t>般公共预算财政拨款支出决算情况说明</w:t>
      </w:r>
      <w:r>
        <w:tab/>
      </w:r>
      <w:r>
        <w:fldChar w:fldCharType="begin"/>
      </w:r>
      <w:r>
        <w:instrText xml:space="preserve"> PAGEREF _Toc15396607 \h </w:instrText>
      </w:r>
      <w:r>
        <w:fldChar w:fldCharType="separate"/>
      </w:r>
      <w:r>
        <w:t>3</w:t>
      </w:r>
      <w:r>
        <w:fldChar w:fldCharType="end"/>
      </w:r>
      <w:r>
        <w:fldChar w:fldCharType="end"/>
      </w:r>
    </w:p>
    <w:p>
      <w:pPr>
        <w:pStyle w:val="11"/>
        <w:ind w:left="31680"/>
      </w:pPr>
      <w:r>
        <w:fldChar w:fldCharType="begin"/>
      </w:r>
      <w:r>
        <w:instrText xml:space="preserve"> HYPERLINK \l "_Toc15396608" </w:instrText>
      </w:r>
      <w:r>
        <w:fldChar w:fldCharType="separate"/>
      </w:r>
      <w:r>
        <w:rPr>
          <w:rStyle w:val="15"/>
          <w:rFonts w:hint="eastAsia" w:ascii="仿宋" w:hAnsi="仿宋" w:eastAsia="仿宋"/>
        </w:rPr>
        <w:t>六、一</w:t>
      </w:r>
      <w:r>
        <w:rPr>
          <w:rStyle w:val="15"/>
          <w:rFonts w:hint="eastAsia" w:ascii="仿宋" w:hAnsi="仿宋" w:eastAsia="仿宋"/>
          <w:bCs/>
        </w:rPr>
        <w:t>般公共预算财政拨款基本支出决算情况说明</w:t>
      </w:r>
      <w:r>
        <w:tab/>
      </w:r>
      <w:r>
        <w:fldChar w:fldCharType="begin"/>
      </w:r>
      <w:r>
        <w:instrText xml:space="preserve"> PAGEREF _Toc15396608 \h </w:instrText>
      </w:r>
      <w:r>
        <w:fldChar w:fldCharType="separate"/>
      </w:r>
      <w:r>
        <w:t>3</w:t>
      </w:r>
      <w:r>
        <w:fldChar w:fldCharType="end"/>
      </w:r>
      <w:r>
        <w:fldChar w:fldCharType="end"/>
      </w:r>
    </w:p>
    <w:p>
      <w:pPr>
        <w:pStyle w:val="11"/>
        <w:ind w:left="31680"/>
      </w:pPr>
      <w:r>
        <w:fldChar w:fldCharType="begin"/>
      </w:r>
      <w:r>
        <w:instrText xml:space="preserve"> HYPERLINK \l "_Toc15396609" </w:instrText>
      </w:r>
      <w:r>
        <w:fldChar w:fldCharType="separate"/>
      </w:r>
      <w:r>
        <w:rPr>
          <w:rStyle w:val="15"/>
          <w:rFonts w:hint="eastAsia" w:ascii="仿宋" w:hAnsi="仿宋" w:eastAsia="仿宋"/>
        </w:rPr>
        <w:t>七、“</w:t>
      </w:r>
      <w:r>
        <w:rPr>
          <w:rStyle w:val="15"/>
          <w:rFonts w:hint="eastAsia" w:ascii="仿宋" w:hAnsi="仿宋" w:eastAsia="仿宋"/>
          <w:bCs/>
        </w:rPr>
        <w:t>三公”经费财政拨款支出决算情况说明</w:t>
      </w:r>
      <w:r>
        <w:tab/>
      </w:r>
      <w:r>
        <w:fldChar w:fldCharType="begin"/>
      </w:r>
      <w:r>
        <w:instrText xml:space="preserve"> PAGEREF _Toc15396609 \h </w:instrText>
      </w:r>
      <w:r>
        <w:fldChar w:fldCharType="separate"/>
      </w:r>
      <w:r>
        <w:t>3</w:t>
      </w:r>
      <w:r>
        <w:fldChar w:fldCharType="end"/>
      </w:r>
      <w:r>
        <w:fldChar w:fldCharType="end"/>
      </w:r>
    </w:p>
    <w:p>
      <w:pPr>
        <w:pStyle w:val="11"/>
        <w:ind w:left="31680"/>
      </w:pPr>
      <w:r>
        <w:fldChar w:fldCharType="begin"/>
      </w:r>
      <w:r>
        <w:instrText xml:space="preserve"> HYPERLINK \l "_Toc15396610" </w:instrText>
      </w:r>
      <w:r>
        <w:fldChar w:fldCharType="separate"/>
      </w:r>
      <w:r>
        <w:rPr>
          <w:rStyle w:val="15"/>
          <w:rFonts w:hint="eastAsia" w:ascii="仿宋" w:hAnsi="仿宋" w:eastAsia="仿宋"/>
        </w:rPr>
        <w:t>八、</w:t>
      </w:r>
      <w:r>
        <w:rPr>
          <w:rStyle w:val="15"/>
          <w:rFonts w:hint="eastAsia" w:ascii="仿宋" w:hAnsi="仿宋" w:eastAsia="仿宋"/>
          <w:bCs/>
        </w:rPr>
        <w:t>政府性基金预算支出决算情况说明</w:t>
      </w:r>
      <w:r>
        <w:tab/>
      </w:r>
      <w:r>
        <w:fldChar w:fldCharType="begin"/>
      </w:r>
      <w:r>
        <w:instrText xml:space="preserve"> PAGEREF _Toc15396610 \h </w:instrText>
      </w:r>
      <w:r>
        <w:fldChar w:fldCharType="separate"/>
      </w:r>
      <w:r>
        <w:t>3</w:t>
      </w:r>
      <w:r>
        <w:fldChar w:fldCharType="end"/>
      </w:r>
      <w:r>
        <w:fldChar w:fldCharType="end"/>
      </w:r>
    </w:p>
    <w:p>
      <w:pPr>
        <w:pStyle w:val="11"/>
        <w:ind w:left="31680"/>
      </w:pPr>
      <w:r>
        <w:fldChar w:fldCharType="begin"/>
      </w:r>
      <w:r>
        <w:instrText xml:space="preserve"> HYPERLINK \l "_Toc15396611" </w:instrText>
      </w:r>
      <w:r>
        <w:fldChar w:fldCharType="separate"/>
      </w:r>
      <w:r>
        <w:rPr>
          <w:rStyle w:val="15"/>
          <w:rFonts w:hint="eastAsia" w:ascii="仿宋" w:hAnsi="仿宋" w:eastAsia="仿宋"/>
          <w:bCs/>
        </w:rPr>
        <w:t>九、</w:t>
      </w:r>
      <w:r>
        <w:rPr>
          <w:rStyle w:val="15"/>
          <w:rFonts w:ascii="仿宋" w:hAnsi="仿宋" w:eastAsia="仿宋"/>
        </w:rPr>
        <w:t xml:space="preserve"> </w:t>
      </w:r>
      <w:r>
        <w:rPr>
          <w:rStyle w:val="15"/>
          <w:rFonts w:hint="eastAsia" w:ascii="仿宋" w:hAnsi="仿宋" w:eastAsia="仿宋"/>
        </w:rPr>
        <w:t>国</w:t>
      </w:r>
      <w:r>
        <w:rPr>
          <w:rStyle w:val="15"/>
          <w:rFonts w:hint="eastAsia" w:ascii="仿宋" w:hAnsi="仿宋" w:eastAsia="仿宋"/>
          <w:bCs/>
        </w:rPr>
        <w:t>有资本经营预算支出决算情况说明</w:t>
      </w:r>
      <w:r>
        <w:tab/>
      </w:r>
      <w:r>
        <w:fldChar w:fldCharType="begin"/>
      </w:r>
      <w:r>
        <w:instrText xml:space="preserve"> PAGEREF _Toc15396611 \h </w:instrText>
      </w:r>
      <w:r>
        <w:fldChar w:fldCharType="separate"/>
      </w:r>
      <w:r>
        <w:t>3</w:t>
      </w:r>
      <w:r>
        <w:fldChar w:fldCharType="end"/>
      </w:r>
      <w:r>
        <w:fldChar w:fldCharType="end"/>
      </w:r>
    </w:p>
    <w:p>
      <w:pPr>
        <w:pStyle w:val="11"/>
        <w:ind w:left="31680"/>
      </w:pPr>
      <w:r>
        <w:rPr>
          <w:rFonts w:hint="eastAsia"/>
        </w:rPr>
        <w:t>十、预算绩效情况说明</w:t>
      </w:r>
      <w:r>
        <w:tab/>
      </w:r>
      <w:r>
        <w:t>3</w:t>
      </w:r>
    </w:p>
    <w:p>
      <w:pPr>
        <w:pStyle w:val="11"/>
        <w:ind w:leftChars="0"/>
      </w:pPr>
      <w:r>
        <w:fldChar w:fldCharType="begin"/>
      </w:r>
      <w:r>
        <w:instrText xml:space="preserve"> HYPERLINK \l "_Toc15396612" </w:instrText>
      </w:r>
      <w:r>
        <w:fldChar w:fldCharType="separate"/>
      </w:r>
      <w:r>
        <w:rPr>
          <w:rStyle w:val="15"/>
          <w:rFonts w:hint="eastAsia" w:ascii="仿宋" w:hAnsi="仿宋" w:eastAsia="仿宋"/>
        </w:rPr>
        <w:t>十</w:t>
      </w:r>
      <w:r>
        <w:rPr>
          <w:rStyle w:val="15"/>
          <w:rFonts w:hint="eastAsia" w:ascii="仿宋" w:hAnsi="仿宋" w:eastAsia="仿宋"/>
          <w:bCs/>
        </w:rPr>
        <w:t>一、其他重要事项的情况说明</w:t>
      </w:r>
      <w:r>
        <w:tab/>
      </w:r>
      <w:r>
        <w:fldChar w:fldCharType="begin"/>
      </w:r>
      <w:r>
        <w:instrText xml:space="preserve"> PAGEREF _Toc15396612 \h </w:instrText>
      </w:r>
      <w:r>
        <w:fldChar w:fldCharType="separate"/>
      </w:r>
      <w:r>
        <w:t>3</w:t>
      </w:r>
      <w:r>
        <w:fldChar w:fldCharType="end"/>
      </w:r>
      <w:r>
        <w:fldChar w:fldCharType="end"/>
      </w:r>
    </w:p>
    <w:p>
      <w:pPr>
        <w:pStyle w:val="10"/>
      </w:pPr>
      <w:r>
        <w:fldChar w:fldCharType="begin"/>
      </w:r>
      <w:r>
        <w:instrText xml:space="preserve"> HYPERLINK \l "_Toc15396613" </w:instrText>
      </w:r>
      <w:r>
        <w:fldChar w:fldCharType="separate"/>
      </w:r>
      <w:r>
        <w:rPr>
          <w:rStyle w:val="15"/>
          <w:rFonts w:hint="eastAsia"/>
          <w:bCs/>
          <w:kern w:val="44"/>
        </w:rPr>
        <w:t>第三部分</w:t>
      </w:r>
      <w:r>
        <w:rPr>
          <w:rStyle w:val="15"/>
        </w:rPr>
        <w:t xml:space="preserve"> </w:t>
      </w:r>
      <w:r>
        <w:rPr>
          <w:rStyle w:val="15"/>
          <w:rFonts w:hint="eastAsia"/>
        </w:rPr>
        <w:t>名</w:t>
      </w:r>
      <w:r>
        <w:rPr>
          <w:rStyle w:val="15"/>
          <w:rFonts w:hint="eastAsia"/>
          <w:bCs/>
          <w:kern w:val="44"/>
        </w:rPr>
        <w:t>词解释</w:t>
      </w:r>
      <w:r>
        <w:tab/>
      </w:r>
      <w:r>
        <w:t xml:space="preserve"> </w:t>
      </w:r>
      <w:r>
        <w:fldChar w:fldCharType="begin"/>
      </w:r>
      <w:r>
        <w:instrText xml:space="preserve"> PAGEREF _Toc15396613 \h </w:instrText>
      </w:r>
      <w:r>
        <w:fldChar w:fldCharType="separate"/>
      </w:r>
      <w:r>
        <w:t>3</w:t>
      </w:r>
      <w:r>
        <w:fldChar w:fldCharType="end"/>
      </w:r>
      <w:r>
        <w:fldChar w:fldCharType="end"/>
      </w:r>
    </w:p>
    <w:p>
      <w:pPr>
        <w:pStyle w:val="10"/>
      </w:pPr>
      <w:r>
        <w:fldChar w:fldCharType="begin"/>
      </w:r>
      <w:r>
        <w:instrText xml:space="preserve"> HYPERLINK \l "_Toc15396614" </w:instrText>
      </w:r>
      <w:r>
        <w:fldChar w:fldCharType="separate"/>
      </w:r>
      <w:r>
        <w:rPr>
          <w:rStyle w:val="15"/>
          <w:rFonts w:hint="eastAsia"/>
        </w:rPr>
        <w:t>第</w:t>
      </w:r>
      <w:r>
        <w:rPr>
          <w:rStyle w:val="15"/>
          <w:rFonts w:hint="eastAsia"/>
          <w:bCs/>
          <w:kern w:val="44"/>
        </w:rPr>
        <w:t>四部分</w:t>
      </w:r>
      <w:r>
        <w:rPr>
          <w:rStyle w:val="15"/>
          <w:bCs/>
          <w:kern w:val="44"/>
        </w:rPr>
        <w:t xml:space="preserve"> </w:t>
      </w:r>
      <w:r>
        <w:rPr>
          <w:rStyle w:val="15"/>
          <w:rFonts w:hint="eastAsia"/>
          <w:bCs/>
          <w:kern w:val="44"/>
        </w:rPr>
        <w:t>附件</w:t>
      </w:r>
      <w:r>
        <w:tab/>
      </w:r>
      <w:r>
        <w:fldChar w:fldCharType="begin"/>
      </w:r>
      <w:r>
        <w:instrText xml:space="preserve"> PAGEREF _Toc15396614 \h </w:instrText>
      </w:r>
      <w:r>
        <w:fldChar w:fldCharType="separate"/>
      </w:r>
      <w:r>
        <w:t>3</w:t>
      </w:r>
      <w:r>
        <w:fldChar w:fldCharType="end"/>
      </w:r>
      <w:r>
        <w:fldChar w:fldCharType="end"/>
      </w:r>
    </w:p>
    <w:p>
      <w:pPr>
        <w:pStyle w:val="11"/>
        <w:ind w:left="31680"/>
      </w:pPr>
      <w:r>
        <w:fldChar w:fldCharType="begin"/>
      </w:r>
      <w:r>
        <w:instrText xml:space="preserve"> HYPERLINK \l "_Toc15396615" </w:instrText>
      </w:r>
      <w:r>
        <w:fldChar w:fldCharType="separate"/>
      </w:r>
      <w:r>
        <w:rPr>
          <w:rStyle w:val="15"/>
          <w:rFonts w:hint="eastAsia" w:ascii="仿宋" w:hAnsi="仿宋" w:eastAsia="仿宋"/>
          <w:kern w:val="44"/>
        </w:rPr>
        <w:t>附件</w:t>
      </w:r>
      <w:r>
        <w:rPr>
          <w:rStyle w:val="15"/>
          <w:rFonts w:ascii="仿宋" w:hAnsi="仿宋" w:eastAsia="仿宋"/>
          <w:kern w:val="44"/>
        </w:rPr>
        <w:t>1</w:t>
      </w:r>
      <w:r>
        <w:tab/>
      </w:r>
      <w:r>
        <w:fldChar w:fldCharType="begin"/>
      </w:r>
      <w:r>
        <w:instrText xml:space="preserve"> PAGEREF _Toc15396615 \h </w:instrText>
      </w:r>
      <w:r>
        <w:fldChar w:fldCharType="separate"/>
      </w:r>
      <w:r>
        <w:t>3</w:t>
      </w:r>
      <w:r>
        <w:fldChar w:fldCharType="end"/>
      </w:r>
      <w:r>
        <w:fldChar w:fldCharType="end"/>
      </w:r>
    </w:p>
    <w:p>
      <w:pPr>
        <w:pStyle w:val="11"/>
        <w:ind w:left="31680"/>
      </w:pPr>
      <w:r>
        <w:fldChar w:fldCharType="begin"/>
      </w:r>
      <w:r>
        <w:instrText xml:space="preserve"> HYPERLINK \l "_Toc15396617" </w:instrText>
      </w:r>
      <w:r>
        <w:fldChar w:fldCharType="separate"/>
      </w:r>
      <w:r>
        <w:rPr>
          <w:rStyle w:val="15"/>
          <w:rFonts w:hint="eastAsia" w:ascii="仿宋" w:hAnsi="仿宋" w:eastAsia="仿宋"/>
          <w:kern w:val="44"/>
        </w:rPr>
        <w:t>附件</w:t>
      </w:r>
      <w:r>
        <w:rPr>
          <w:rStyle w:val="15"/>
          <w:rFonts w:ascii="仿宋" w:hAnsi="仿宋" w:eastAsia="仿宋"/>
          <w:kern w:val="44"/>
        </w:rPr>
        <w:t>2</w:t>
      </w:r>
      <w:r>
        <w:tab/>
      </w:r>
      <w:r>
        <w:fldChar w:fldCharType="begin"/>
      </w:r>
      <w:r>
        <w:instrText xml:space="preserve"> PAGEREF _Toc15396617 \h </w:instrText>
      </w:r>
      <w:r>
        <w:fldChar w:fldCharType="separate"/>
      </w:r>
      <w:r>
        <w:t>3</w:t>
      </w:r>
      <w:r>
        <w:fldChar w:fldCharType="end"/>
      </w:r>
      <w:r>
        <w:fldChar w:fldCharType="end"/>
      </w:r>
    </w:p>
    <w:p>
      <w:pPr>
        <w:pStyle w:val="10"/>
      </w:pPr>
      <w:r>
        <w:fldChar w:fldCharType="begin"/>
      </w:r>
      <w:r>
        <w:instrText xml:space="preserve"> HYPERLINK \l "_Toc15396618" </w:instrText>
      </w:r>
      <w:r>
        <w:fldChar w:fldCharType="separate"/>
      </w:r>
      <w:r>
        <w:rPr>
          <w:rStyle w:val="15"/>
          <w:rFonts w:hint="eastAsia"/>
        </w:rPr>
        <w:t>第</w:t>
      </w:r>
      <w:r>
        <w:rPr>
          <w:rStyle w:val="15"/>
          <w:rFonts w:hint="eastAsia"/>
          <w:bCs/>
          <w:kern w:val="44"/>
        </w:rPr>
        <w:t>五部分</w:t>
      </w:r>
      <w:r>
        <w:rPr>
          <w:rStyle w:val="15"/>
          <w:bCs/>
          <w:kern w:val="44"/>
        </w:rPr>
        <w:t xml:space="preserve"> </w:t>
      </w:r>
      <w:r>
        <w:rPr>
          <w:rStyle w:val="15"/>
          <w:rFonts w:hint="eastAsia"/>
          <w:bCs/>
          <w:kern w:val="44"/>
        </w:rPr>
        <w:t>附表</w:t>
      </w:r>
      <w:r>
        <w:tab/>
      </w:r>
      <w:r>
        <w:fldChar w:fldCharType="begin"/>
      </w:r>
      <w:r>
        <w:instrText xml:space="preserve"> PAGEREF _Toc15396618 \h </w:instrText>
      </w:r>
      <w:r>
        <w:fldChar w:fldCharType="separate"/>
      </w:r>
      <w:r>
        <w:t>3</w:t>
      </w:r>
      <w:r>
        <w:fldChar w:fldCharType="end"/>
      </w:r>
      <w:r>
        <w:fldChar w:fldCharType="end"/>
      </w:r>
    </w:p>
    <w:p>
      <w:pPr>
        <w:pStyle w:val="11"/>
        <w:ind w:left="31680"/>
      </w:pPr>
      <w:r>
        <w:rPr>
          <w:rFonts w:hint="eastAsia"/>
        </w:rPr>
        <w:t>一、</w:t>
      </w:r>
      <w:r>
        <w:fldChar w:fldCharType="begin"/>
      </w:r>
      <w:r>
        <w:instrText xml:space="preserve"> HYPERLINK \l "_Toc15396619" </w:instrText>
      </w:r>
      <w:r>
        <w:fldChar w:fldCharType="separate"/>
      </w:r>
      <w:r>
        <w:rPr>
          <w:rStyle w:val="15"/>
          <w:rFonts w:hint="eastAsia" w:ascii="仿宋" w:hAnsi="仿宋" w:eastAsia="仿宋"/>
        </w:rPr>
        <w:t>收入支出决算总表</w:t>
      </w:r>
      <w:r>
        <w:tab/>
      </w:r>
      <w:r>
        <w:fldChar w:fldCharType="begin"/>
      </w:r>
      <w:r>
        <w:instrText xml:space="preserve"> PAGEREF _Toc15396619 \h </w:instrText>
      </w:r>
      <w:r>
        <w:fldChar w:fldCharType="separate"/>
      </w:r>
      <w:r>
        <w:t>3</w:t>
      </w:r>
      <w:r>
        <w:fldChar w:fldCharType="end"/>
      </w:r>
      <w:r>
        <w:fldChar w:fldCharType="end"/>
      </w:r>
    </w:p>
    <w:p>
      <w:pPr>
        <w:pStyle w:val="11"/>
        <w:ind w:left="31680"/>
      </w:pPr>
      <w:r>
        <w:rPr>
          <w:rFonts w:hint="eastAsia"/>
        </w:rPr>
        <w:t>二、</w:t>
      </w:r>
      <w:r>
        <w:fldChar w:fldCharType="begin"/>
      </w:r>
      <w:r>
        <w:instrText xml:space="preserve"> HYPERLINK \l "_Toc15396620" </w:instrText>
      </w:r>
      <w:r>
        <w:fldChar w:fldCharType="separate"/>
      </w:r>
      <w:r>
        <w:rPr>
          <w:rStyle w:val="15"/>
          <w:rFonts w:hint="eastAsia" w:ascii="仿宋" w:hAnsi="仿宋" w:eastAsia="仿宋"/>
        </w:rPr>
        <w:t>收入总表</w:t>
      </w:r>
      <w:r>
        <w:tab/>
      </w:r>
      <w:r>
        <w:fldChar w:fldCharType="begin"/>
      </w:r>
      <w:r>
        <w:instrText xml:space="preserve"> PAGEREF _Toc15396620 \h </w:instrText>
      </w:r>
      <w:r>
        <w:fldChar w:fldCharType="separate"/>
      </w:r>
      <w:r>
        <w:t>3</w:t>
      </w:r>
      <w:r>
        <w:fldChar w:fldCharType="end"/>
      </w:r>
      <w:r>
        <w:fldChar w:fldCharType="end"/>
      </w:r>
    </w:p>
    <w:p>
      <w:pPr>
        <w:pStyle w:val="11"/>
        <w:ind w:left="31680"/>
      </w:pPr>
      <w:r>
        <w:rPr>
          <w:rFonts w:hint="eastAsia"/>
        </w:rPr>
        <w:t>三、</w:t>
      </w:r>
      <w:r>
        <w:fldChar w:fldCharType="begin"/>
      </w:r>
      <w:r>
        <w:instrText xml:space="preserve"> HYPERLINK \l "_Toc15396621" </w:instrText>
      </w:r>
      <w:r>
        <w:fldChar w:fldCharType="separate"/>
      </w:r>
      <w:r>
        <w:rPr>
          <w:rStyle w:val="15"/>
          <w:rFonts w:hint="eastAsia" w:ascii="仿宋" w:hAnsi="仿宋" w:eastAsia="仿宋"/>
        </w:rPr>
        <w:t>支出总表</w:t>
      </w:r>
      <w:r>
        <w:tab/>
      </w:r>
      <w:r>
        <w:fldChar w:fldCharType="begin"/>
      </w:r>
      <w:r>
        <w:instrText xml:space="preserve"> PAGEREF _Toc15396621 \h </w:instrText>
      </w:r>
      <w:r>
        <w:fldChar w:fldCharType="separate"/>
      </w:r>
      <w:r>
        <w:t>3</w:t>
      </w:r>
      <w:r>
        <w:fldChar w:fldCharType="end"/>
      </w:r>
      <w:r>
        <w:fldChar w:fldCharType="end"/>
      </w:r>
    </w:p>
    <w:p>
      <w:pPr>
        <w:pStyle w:val="11"/>
        <w:ind w:left="31680"/>
      </w:pPr>
      <w:r>
        <w:rPr>
          <w:rFonts w:hint="eastAsia"/>
        </w:rPr>
        <w:t>四、</w:t>
      </w:r>
      <w:r>
        <w:fldChar w:fldCharType="begin"/>
      </w:r>
      <w:r>
        <w:instrText xml:space="preserve"> HYPERLINK \l "_Toc15396622" </w:instrText>
      </w:r>
      <w:r>
        <w:fldChar w:fldCharType="separate"/>
      </w:r>
      <w:r>
        <w:rPr>
          <w:rStyle w:val="15"/>
          <w:rFonts w:hint="eastAsia" w:ascii="仿宋" w:hAnsi="仿宋" w:eastAsia="仿宋"/>
        </w:rPr>
        <w:t>财政拨款收入支出决算总表</w:t>
      </w:r>
      <w:r>
        <w:tab/>
      </w:r>
      <w:r>
        <w:fldChar w:fldCharType="begin"/>
      </w:r>
      <w:r>
        <w:instrText xml:space="preserve"> PAGEREF _Toc15396622 \h </w:instrText>
      </w:r>
      <w:r>
        <w:fldChar w:fldCharType="separate"/>
      </w:r>
      <w:r>
        <w:t>3</w:t>
      </w:r>
      <w:r>
        <w:fldChar w:fldCharType="end"/>
      </w:r>
      <w:r>
        <w:fldChar w:fldCharType="end"/>
      </w:r>
    </w:p>
    <w:p>
      <w:pPr>
        <w:pStyle w:val="11"/>
        <w:ind w:left="31680"/>
      </w:pPr>
      <w:r>
        <w:rPr>
          <w:rFonts w:hint="eastAsia"/>
        </w:rPr>
        <w:t>五、</w:t>
      </w:r>
      <w:r>
        <w:fldChar w:fldCharType="begin"/>
      </w:r>
      <w:r>
        <w:instrText xml:space="preserve"> HYPERLINK \l "_Toc15396623" </w:instrText>
      </w:r>
      <w:r>
        <w:fldChar w:fldCharType="separate"/>
      </w:r>
      <w:r>
        <w:rPr>
          <w:rFonts w:hint="eastAsia"/>
        </w:rPr>
        <w:t>财政拨款支出决算明细表（政府经济分类科目）</w:t>
      </w:r>
      <w:r>
        <w:tab/>
      </w:r>
      <w:r>
        <w:fldChar w:fldCharType="begin"/>
      </w:r>
      <w:r>
        <w:instrText xml:space="preserve"> PAGEREF _Toc15396623 \h </w:instrText>
      </w:r>
      <w:r>
        <w:fldChar w:fldCharType="separate"/>
      </w:r>
      <w:r>
        <w:t>3</w:t>
      </w:r>
      <w:r>
        <w:fldChar w:fldCharType="end"/>
      </w:r>
      <w:r>
        <w:fldChar w:fldCharType="end"/>
      </w:r>
    </w:p>
    <w:p>
      <w:pPr>
        <w:pStyle w:val="11"/>
        <w:ind w:left="31680"/>
      </w:pPr>
      <w:r>
        <w:rPr>
          <w:rFonts w:hint="eastAsia"/>
        </w:rPr>
        <w:t>六、</w:t>
      </w:r>
      <w:r>
        <w:fldChar w:fldCharType="begin"/>
      </w:r>
      <w:r>
        <w:instrText xml:space="preserve"> HYPERLINK \l "_Toc15396624" </w:instrText>
      </w:r>
      <w:r>
        <w:fldChar w:fldCharType="separate"/>
      </w:r>
      <w:r>
        <w:rPr>
          <w:rStyle w:val="15"/>
          <w:rFonts w:hint="eastAsia" w:ascii="仿宋" w:hAnsi="仿宋" w:eastAsia="仿宋"/>
        </w:rPr>
        <w:t>一般公共预算财政拨款支出决算表</w:t>
      </w:r>
      <w:r>
        <w:tab/>
      </w:r>
      <w:r>
        <w:fldChar w:fldCharType="begin"/>
      </w:r>
      <w:r>
        <w:instrText xml:space="preserve"> PAGEREF _Toc15396624 \h </w:instrText>
      </w:r>
      <w:r>
        <w:fldChar w:fldCharType="separate"/>
      </w:r>
      <w:r>
        <w:t>3</w:t>
      </w:r>
      <w:r>
        <w:fldChar w:fldCharType="end"/>
      </w:r>
      <w:r>
        <w:fldChar w:fldCharType="end"/>
      </w:r>
    </w:p>
    <w:p>
      <w:pPr>
        <w:pStyle w:val="11"/>
        <w:ind w:left="31680"/>
      </w:pPr>
      <w:r>
        <w:rPr>
          <w:rFonts w:hint="eastAsia"/>
        </w:rPr>
        <w:t>七、</w:t>
      </w:r>
      <w:r>
        <w:fldChar w:fldCharType="begin"/>
      </w:r>
      <w:r>
        <w:instrText xml:space="preserve"> HYPERLINK \l "_Toc15396625" </w:instrText>
      </w:r>
      <w:r>
        <w:fldChar w:fldCharType="separate"/>
      </w:r>
      <w:r>
        <w:rPr>
          <w:rStyle w:val="15"/>
          <w:rFonts w:hint="eastAsia" w:ascii="仿宋" w:hAnsi="仿宋" w:eastAsia="仿宋"/>
        </w:rPr>
        <w:t>一般公共预算财政拨款支出决算明细表</w:t>
      </w:r>
      <w:r>
        <w:tab/>
      </w:r>
      <w:r>
        <w:fldChar w:fldCharType="begin"/>
      </w:r>
      <w:r>
        <w:instrText xml:space="preserve"> PAGEREF _Toc15396625 \h </w:instrText>
      </w:r>
      <w:r>
        <w:fldChar w:fldCharType="separate"/>
      </w:r>
      <w:r>
        <w:t>3</w:t>
      </w:r>
      <w:r>
        <w:fldChar w:fldCharType="end"/>
      </w:r>
      <w:r>
        <w:fldChar w:fldCharType="end"/>
      </w:r>
    </w:p>
    <w:p>
      <w:pPr>
        <w:pStyle w:val="11"/>
        <w:ind w:left="31680"/>
      </w:pPr>
      <w:r>
        <w:rPr>
          <w:rFonts w:hint="eastAsia"/>
        </w:rPr>
        <w:t>八、</w:t>
      </w:r>
      <w:r>
        <w:fldChar w:fldCharType="begin"/>
      </w:r>
      <w:r>
        <w:instrText xml:space="preserve"> HYPERLINK \l "_Toc15396626" </w:instrText>
      </w:r>
      <w:r>
        <w:fldChar w:fldCharType="separate"/>
      </w:r>
      <w:r>
        <w:rPr>
          <w:rStyle w:val="15"/>
          <w:rFonts w:hint="eastAsia" w:ascii="仿宋" w:hAnsi="仿宋" w:eastAsia="仿宋"/>
        </w:rPr>
        <w:t>一般公共预算财政拨款基本支出决算表</w:t>
      </w:r>
      <w:r>
        <w:tab/>
      </w:r>
      <w:r>
        <w:fldChar w:fldCharType="begin"/>
      </w:r>
      <w:r>
        <w:instrText xml:space="preserve"> PAGEREF _Toc15396626 \h </w:instrText>
      </w:r>
      <w:r>
        <w:fldChar w:fldCharType="separate"/>
      </w:r>
      <w:r>
        <w:t>3</w:t>
      </w:r>
      <w:r>
        <w:fldChar w:fldCharType="end"/>
      </w:r>
      <w:r>
        <w:fldChar w:fldCharType="end"/>
      </w:r>
    </w:p>
    <w:p>
      <w:pPr>
        <w:pStyle w:val="11"/>
        <w:ind w:left="31680"/>
      </w:pPr>
      <w:r>
        <w:rPr>
          <w:rFonts w:hint="eastAsia"/>
        </w:rPr>
        <w:t>九、</w:t>
      </w:r>
      <w:r>
        <w:fldChar w:fldCharType="begin"/>
      </w:r>
      <w:r>
        <w:instrText xml:space="preserve"> HYPERLINK \l "_Toc15396627" </w:instrText>
      </w:r>
      <w:r>
        <w:fldChar w:fldCharType="separate"/>
      </w:r>
      <w:r>
        <w:rPr>
          <w:rStyle w:val="15"/>
          <w:rFonts w:hint="eastAsia" w:ascii="仿宋" w:hAnsi="仿宋" w:eastAsia="仿宋"/>
        </w:rPr>
        <w:t>一般公共预算财政拨款项目支出决算表</w:t>
      </w:r>
      <w:r>
        <w:tab/>
      </w:r>
      <w:r>
        <w:fldChar w:fldCharType="begin"/>
      </w:r>
      <w:r>
        <w:instrText xml:space="preserve"> PAGEREF _Toc15396627 \h </w:instrText>
      </w:r>
      <w:r>
        <w:fldChar w:fldCharType="separate"/>
      </w:r>
      <w:r>
        <w:t>3</w:t>
      </w:r>
      <w:r>
        <w:fldChar w:fldCharType="end"/>
      </w:r>
      <w:r>
        <w:fldChar w:fldCharType="end"/>
      </w:r>
    </w:p>
    <w:p>
      <w:pPr>
        <w:pStyle w:val="11"/>
        <w:ind w:left="31680"/>
      </w:pPr>
      <w:r>
        <w:rPr>
          <w:rFonts w:hint="eastAsia"/>
        </w:rPr>
        <w:t>十、</w:t>
      </w:r>
      <w:r>
        <w:fldChar w:fldCharType="begin"/>
      </w:r>
      <w:r>
        <w:instrText xml:space="preserve"> HYPERLINK \l "_Toc15396628" </w:instrText>
      </w:r>
      <w:r>
        <w:fldChar w:fldCharType="separate"/>
      </w:r>
      <w:r>
        <w:rPr>
          <w:rStyle w:val="15"/>
          <w:rFonts w:hint="eastAsia" w:ascii="仿宋" w:hAnsi="仿宋" w:eastAsia="仿宋"/>
        </w:rPr>
        <w:t>一般公共预算财政拨款“三公”经费支出决算表</w:t>
      </w:r>
      <w:r>
        <w:tab/>
      </w:r>
      <w:r>
        <w:fldChar w:fldCharType="begin"/>
      </w:r>
      <w:r>
        <w:instrText xml:space="preserve"> PAGEREF _Toc15396628 \h </w:instrText>
      </w:r>
      <w:r>
        <w:fldChar w:fldCharType="separate"/>
      </w:r>
      <w:r>
        <w:t>3</w:t>
      </w:r>
      <w:r>
        <w:fldChar w:fldCharType="end"/>
      </w:r>
      <w:r>
        <w:fldChar w:fldCharType="end"/>
      </w:r>
    </w:p>
    <w:p>
      <w:pPr>
        <w:pStyle w:val="11"/>
        <w:ind w:left="31680"/>
      </w:pPr>
      <w:r>
        <w:rPr>
          <w:rFonts w:hint="eastAsia"/>
        </w:rPr>
        <w:t>十一、</w:t>
      </w:r>
      <w:r>
        <w:fldChar w:fldCharType="begin"/>
      </w:r>
      <w:r>
        <w:instrText xml:space="preserve"> HYPERLINK \l "_Toc15396629" </w:instrText>
      </w:r>
      <w:r>
        <w:fldChar w:fldCharType="separate"/>
      </w:r>
      <w:r>
        <w:rPr>
          <w:rStyle w:val="15"/>
          <w:rFonts w:hint="eastAsia" w:ascii="仿宋" w:hAnsi="仿宋" w:eastAsia="仿宋"/>
        </w:rPr>
        <w:t>政府性基金预算财政拨款收入支出决算表</w:t>
      </w:r>
      <w:r>
        <w:tab/>
      </w:r>
      <w:r>
        <w:fldChar w:fldCharType="begin"/>
      </w:r>
      <w:r>
        <w:instrText xml:space="preserve"> PAGEREF _Toc15396629 \h </w:instrText>
      </w:r>
      <w:r>
        <w:fldChar w:fldCharType="separate"/>
      </w:r>
      <w:r>
        <w:t>3</w:t>
      </w:r>
      <w:r>
        <w:fldChar w:fldCharType="end"/>
      </w:r>
      <w:r>
        <w:fldChar w:fldCharType="end"/>
      </w:r>
    </w:p>
    <w:p>
      <w:pPr>
        <w:pStyle w:val="11"/>
        <w:ind w:left="31680"/>
      </w:pPr>
      <w:r>
        <w:rPr>
          <w:rFonts w:hint="eastAsia"/>
        </w:rPr>
        <w:t>十二、</w:t>
      </w:r>
      <w:r>
        <w:fldChar w:fldCharType="begin"/>
      </w:r>
      <w:r>
        <w:instrText xml:space="preserve"> HYPERLINK \l "_Toc15396630" </w:instrText>
      </w:r>
      <w:r>
        <w:fldChar w:fldCharType="separate"/>
      </w:r>
      <w:r>
        <w:rPr>
          <w:rStyle w:val="15"/>
          <w:rFonts w:hint="eastAsia" w:ascii="仿宋" w:hAnsi="仿宋" w:eastAsia="仿宋"/>
        </w:rPr>
        <w:t>政府性基金预算财政拨款“三公”经费支出决算表</w:t>
      </w:r>
      <w:r>
        <w:tab/>
      </w:r>
      <w:r>
        <w:fldChar w:fldCharType="begin"/>
      </w:r>
      <w:r>
        <w:instrText xml:space="preserve"> PAGEREF _Toc15396630 \h </w:instrText>
      </w:r>
      <w:r>
        <w:fldChar w:fldCharType="separate"/>
      </w:r>
      <w:r>
        <w:t>3</w:t>
      </w:r>
      <w:r>
        <w:fldChar w:fldCharType="end"/>
      </w:r>
      <w:r>
        <w:fldChar w:fldCharType="end"/>
      </w:r>
    </w:p>
    <w:p>
      <w:pPr>
        <w:pStyle w:val="11"/>
        <w:ind w:left="31680"/>
        <w:rPr>
          <w:sz w:val="24"/>
        </w:rPr>
      </w:pPr>
      <w:r>
        <w:rPr>
          <w:rFonts w:hint="eastAsia"/>
        </w:rPr>
        <w:t>十三、</w:t>
      </w:r>
      <w:r>
        <w:fldChar w:fldCharType="begin"/>
      </w:r>
      <w:r>
        <w:instrText xml:space="preserve"> HYPERLINK \l "_Toc15396631" </w:instrText>
      </w:r>
      <w:r>
        <w:fldChar w:fldCharType="separate"/>
      </w:r>
      <w:r>
        <w:rPr>
          <w:rStyle w:val="15"/>
          <w:rFonts w:hint="eastAsia" w:ascii="仿宋" w:hAnsi="仿宋" w:eastAsia="仿宋"/>
        </w:rPr>
        <w:t>国有资本经营预算支出决算表</w:t>
      </w:r>
      <w:r>
        <w:tab/>
      </w:r>
      <w:r>
        <w:fldChar w:fldCharType="begin"/>
      </w:r>
      <w:r>
        <w:instrText xml:space="preserve"> PAGEREF _Toc15396631 \h </w:instrText>
      </w:r>
      <w:r>
        <w:fldChar w:fldCharType="separate"/>
      </w:r>
      <w:r>
        <w:t>3</w:t>
      </w:r>
      <w:r>
        <w:fldChar w:fldCharType="end"/>
      </w:r>
      <w:r>
        <w:fldChar w:fldCharType="end"/>
      </w:r>
    </w:p>
    <w:p>
      <w:pPr>
        <w:widowControl/>
        <w:jc w:val="left"/>
        <w:rPr>
          <w:rFonts w:ascii="仿宋" w:hAnsi="仿宋" w:eastAsia="仿宋"/>
          <w:color w:val="000000"/>
          <w:sz w:val="24"/>
        </w:rPr>
      </w:pPr>
      <w:r>
        <w:rPr>
          <w:rFonts w:ascii="黑体" w:hAnsi="黑体" w:eastAsia="黑体"/>
          <w:color w:val="000000"/>
          <w:sz w:val="48"/>
          <w:szCs w:val="48"/>
        </w:rPr>
        <w:fldChar w:fldCharType="end"/>
      </w:r>
    </w:p>
    <w:p>
      <w:pPr>
        <w:widowControl/>
        <w:jc w:val="left"/>
        <w:rPr>
          <w:rFonts w:ascii="黑体" w:hAnsi="黑体" w:eastAsia="黑体"/>
          <w:bCs/>
          <w:kern w:val="44"/>
          <w:sz w:val="44"/>
          <w:szCs w:val="44"/>
        </w:rPr>
      </w:pPr>
      <w:bookmarkStart w:id="12" w:name="_Toc15396599"/>
      <w:bookmarkStart w:id="13" w:name="_Toc15377196"/>
      <w:r>
        <w:rPr>
          <w:rFonts w:ascii="黑体" w:hAnsi="黑体" w:eastAsia="黑体"/>
          <w:b/>
        </w:rPr>
        <w:br w:type="page"/>
      </w:r>
    </w:p>
    <w:p>
      <w:pPr>
        <w:pStyle w:val="2"/>
        <w:jc w:val="center"/>
        <w:rPr>
          <w:rFonts w:ascii="黑体" w:hAnsi="黑体" w:eastAsia="黑体"/>
          <w:bCs w:val="0"/>
        </w:rPr>
      </w:pPr>
      <w:r>
        <w:rPr>
          <w:rFonts w:hint="eastAsia"/>
        </w:rPr>
        <w:t>第一部分</w:t>
      </w:r>
      <w:r>
        <w:t xml:space="preserve"> </w:t>
      </w:r>
      <w:r>
        <w:rPr>
          <w:rStyle w:val="16"/>
          <w:rFonts w:hint="eastAsia" w:ascii="黑体" w:hAnsi="黑体" w:eastAsia="黑体"/>
          <w:b w:val="0"/>
          <w:bCs w:val="0"/>
        </w:rPr>
        <w:t>部门概况</w:t>
      </w:r>
      <w:bookmarkEnd w:id="12"/>
      <w:bookmarkEnd w:id="13"/>
    </w:p>
    <w:p>
      <w:pPr>
        <w:pStyle w:val="3"/>
        <w:rPr>
          <w:rStyle w:val="17"/>
          <w:rFonts w:ascii="仿宋" w:hAnsi="仿宋" w:eastAsia="仿宋"/>
          <w:b w:val="0"/>
          <w:bCs w:val="0"/>
        </w:rPr>
      </w:pPr>
      <w:bookmarkStart w:id="14" w:name="_Toc15396600"/>
      <w:bookmarkStart w:id="15" w:name="_Toc15377197"/>
      <w:r>
        <w:rPr>
          <w:rFonts w:hint="eastAsia" w:ascii="黑体" w:hAnsi="黑体" w:eastAsia="黑体"/>
          <w:b w:val="0"/>
          <w:color w:val="000000"/>
        </w:rPr>
        <w:t>一、基</w:t>
      </w:r>
      <w:r>
        <w:rPr>
          <w:rStyle w:val="17"/>
          <w:rFonts w:hint="eastAsia" w:ascii="黑体" w:hAnsi="黑体" w:eastAsia="黑体"/>
          <w:b w:val="0"/>
          <w:bCs w:val="0"/>
        </w:rPr>
        <w:t>本职能及主要工作</w:t>
      </w:r>
      <w:bookmarkEnd w:id="14"/>
      <w:bookmarkEnd w:id="15"/>
    </w:p>
    <w:p>
      <w:pPr>
        <w:pStyle w:val="5"/>
        <w:adjustRightInd w:val="0"/>
        <w:snapToGrid w:val="0"/>
        <w:spacing w:before="93" w:line="600" w:lineRule="exact"/>
        <w:ind w:firstLine="672" w:firstLineChars="210"/>
        <w:outlineLvl w:val="2"/>
        <w:rPr>
          <w:rFonts w:ascii="仿宋" w:hAnsi="仿宋" w:eastAsia="仿宋"/>
          <w:bCs/>
          <w:color w:val="000000"/>
          <w:sz w:val="32"/>
          <w:szCs w:val="32"/>
        </w:rPr>
      </w:pPr>
      <w:bookmarkStart w:id="16" w:name="_Toc15377198"/>
      <w:bookmarkStart w:id="17" w:name="_Toc15378445"/>
      <w:r>
        <w:rPr>
          <w:rFonts w:hint="eastAsia" w:ascii="仿宋" w:hAnsi="仿宋" w:eastAsia="仿宋"/>
          <w:bCs/>
          <w:color w:val="000000"/>
          <w:sz w:val="32"/>
          <w:szCs w:val="32"/>
        </w:rPr>
        <w:t>（一）主要职能。</w:t>
      </w:r>
      <w:bookmarkEnd w:id="16"/>
      <w:bookmarkEnd w:id="17"/>
    </w:p>
    <w:p>
      <w:pPr>
        <w:pStyle w:val="5"/>
        <w:adjustRightInd w:val="0"/>
        <w:snapToGrid w:val="0"/>
        <w:spacing w:before="93" w:line="560" w:lineRule="exact"/>
        <w:ind w:firstLine="672" w:firstLineChars="210"/>
        <w:rPr>
          <w:color w:val="000000"/>
          <w:sz w:val="32"/>
          <w:szCs w:val="32"/>
        </w:rPr>
      </w:pPr>
      <w:r>
        <w:rPr>
          <w:rFonts w:hint="eastAsia"/>
          <w:color w:val="000000"/>
          <w:sz w:val="32"/>
          <w:szCs w:val="32"/>
        </w:rPr>
        <w:t>我镇共有下属职能部门四个：红格政府、农业服务中心、宣文中心、就业和社会保障中心，各部门分工合作，共同推进我镇经济发展建设顺利运行。部门下设有党政办、经济发展办、劳动保障所、宣文中心、农服中心、财政所等站办所。各司其职，主要负责我镇文化阵地建设、党务建设、工资福利支出、农业发展建设、社会保障、重点项目建设等政府正常运转项目。</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bookmarkStart w:id="18" w:name="_Toc15377199"/>
      <w:bookmarkStart w:id="19" w:name="_Toc15378446"/>
      <w:r>
        <w:rPr>
          <w:rFonts w:hint="eastAsia" w:ascii="仿宋" w:hAnsi="仿宋" w:eastAsia="仿宋"/>
          <w:bCs/>
          <w:color w:val="000000"/>
          <w:sz w:val="32"/>
          <w:szCs w:val="32"/>
        </w:rPr>
        <w:t>（二）</w:t>
      </w:r>
      <w:r>
        <w:rPr>
          <w:rFonts w:ascii="仿宋" w:hAnsi="仿宋" w:eastAsia="仿宋"/>
          <w:bCs/>
          <w:color w:val="000000"/>
          <w:sz w:val="32"/>
          <w:szCs w:val="32"/>
        </w:rPr>
        <w:t>2018</w:t>
      </w:r>
      <w:r>
        <w:rPr>
          <w:rFonts w:hint="eastAsia" w:ascii="仿宋" w:hAnsi="仿宋" w:eastAsia="仿宋"/>
          <w:bCs/>
          <w:color w:val="000000"/>
          <w:sz w:val="32"/>
          <w:szCs w:val="32"/>
        </w:rPr>
        <w:t>年重点工作完成情况。</w:t>
      </w:r>
      <w:bookmarkEnd w:id="18"/>
      <w:bookmarkEnd w:id="19"/>
    </w:p>
    <w:p>
      <w:pPr>
        <w:pStyle w:val="5"/>
        <w:adjustRightInd w:val="0"/>
        <w:snapToGrid w:val="0"/>
        <w:spacing w:before="93" w:line="560" w:lineRule="exact"/>
        <w:ind w:firstLine="672" w:firstLineChars="210"/>
        <w:rPr>
          <w:color w:val="000000"/>
          <w:sz w:val="32"/>
          <w:szCs w:val="32"/>
        </w:rPr>
      </w:pPr>
      <w:bookmarkStart w:id="20" w:name="_Toc15396601"/>
      <w:bookmarkStart w:id="21" w:name="_Toc15377200"/>
      <w:r>
        <w:rPr>
          <w:color w:val="000000"/>
          <w:sz w:val="32"/>
          <w:szCs w:val="32"/>
        </w:rPr>
        <w:t>2018</w:t>
      </w:r>
      <w:r>
        <w:rPr>
          <w:rFonts w:hint="eastAsia"/>
          <w:color w:val="000000"/>
          <w:sz w:val="32"/>
          <w:szCs w:val="32"/>
        </w:rPr>
        <w:t>年我镇主要开展了昔格达文化田园建设、特色小镇征地搬迁、金菠萝种植等重点项目建设，并取得了初步实效，继续推进了失地农民养老保险缴费工作。同时，保障了我镇</w:t>
      </w:r>
      <w:r>
        <w:rPr>
          <w:color w:val="000000"/>
          <w:sz w:val="32"/>
          <w:szCs w:val="32"/>
        </w:rPr>
        <w:t>2018</w:t>
      </w:r>
      <w:r>
        <w:rPr>
          <w:rFonts w:hint="eastAsia"/>
          <w:color w:val="000000"/>
          <w:sz w:val="32"/>
          <w:szCs w:val="32"/>
        </w:rPr>
        <w:t>年全镇职工工资保险的正常发放，在保工资、保运转、保基本的前提下，推进发展红格经济发展建设。</w:t>
      </w:r>
    </w:p>
    <w:p>
      <w:pPr>
        <w:pStyle w:val="3"/>
        <w:rPr>
          <w:rStyle w:val="17"/>
          <w:b w:val="0"/>
          <w:bCs w:val="0"/>
        </w:rPr>
      </w:pPr>
      <w:r>
        <w:rPr>
          <w:rFonts w:hint="eastAsia" w:ascii="黑体" w:eastAsia="黑体"/>
          <w:b w:val="0"/>
          <w:color w:val="000000"/>
        </w:rPr>
        <w:t>二、</w:t>
      </w:r>
      <w:r>
        <w:rPr>
          <w:rFonts w:hint="eastAsia" w:ascii="黑体" w:hAnsi="黑体" w:eastAsia="黑体"/>
          <w:b w:val="0"/>
          <w:color w:val="000000"/>
        </w:rPr>
        <w:t>机</w:t>
      </w:r>
      <w:r>
        <w:rPr>
          <w:rStyle w:val="17"/>
          <w:rFonts w:hint="eastAsia" w:ascii="黑体" w:hAnsi="黑体" w:eastAsia="黑体"/>
          <w:b w:val="0"/>
          <w:bCs w:val="0"/>
        </w:rPr>
        <w:t>构设置</w:t>
      </w:r>
      <w:bookmarkEnd w:id="20"/>
      <w:bookmarkEnd w:id="21"/>
    </w:p>
    <w:p>
      <w:pPr>
        <w:pStyle w:val="5"/>
        <w:adjustRightInd w:val="0"/>
        <w:snapToGrid w:val="0"/>
        <w:spacing w:before="93" w:line="560" w:lineRule="exact"/>
        <w:ind w:firstLine="672" w:firstLineChars="210"/>
        <w:rPr>
          <w:color w:val="000000"/>
          <w:sz w:val="32"/>
          <w:szCs w:val="32"/>
        </w:rPr>
      </w:pPr>
      <w:r>
        <w:rPr>
          <w:rFonts w:hint="eastAsia"/>
          <w:color w:val="000000"/>
          <w:sz w:val="32"/>
          <w:szCs w:val="32"/>
        </w:rPr>
        <w:t>红格镇下属二级单位</w:t>
      </w:r>
      <w:r>
        <w:rPr>
          <w:color w:val="000000"/>
          <w:sz w:val="32"/>
          <w:szCs w:val="32"/>
        </w:rPr>
        <w:t>4</w:t>
      </w:r>
      <w:r>
        <w:rPr>
          <w:rFonts w:hint="eastAsia"/>
          <w:color w:val="000000"/>
          <w:sz w:val="32"/>
          <w:szCs w:val="32"/>
        </w:rPr>
        <w:t>个，其中行政单位</w:t>
      </w:r>
      <w:r>
        <w:rPr>
          <w:color w:val="000000"/>
          <w:sz w:val="32"/>
          <w:szCs w:val="32"/>
        </w:rPr>
        <w:t>1</w:t>
      </w:r>
      <w:r>
        <w:rPr>
          <w:rFonts w:hint="eastAsia"/>
          <w:color w:val="000000"/>
          <w:sz w:val="32"/>
          <w:szCs w:val="32"/>
        </w:rPr>
        <w:t>个，其他事业单位</w:t>
      </w:r>
      <w:r>
        <w:rPr>
          <w:color w:val="000000"/>
          <w:sz w:val="32"/>
          <w:szCs w:val="32"/>
        </w:rPr>
        <w:t>3</w:t>
      </w:r>
      <w:r>
        <w:rPr>
          <w:rFonts w:hint="eastAsia"/>
          <w:color w:val="000000"/>
          <w:sz w:val="32"/>
          <w:szCs w:val="32"/>
        </w:rPr>
        <w:t>个，单位下设分党政办、经济发展办、财政所、劳动保障所、宣文中心、农服中心等站办所。</w:t>
      </w:r>
    </w:p>
    <w:p>
      <w:pPr>
        <w:pStyle w:val="5"/>
        <w:adjustRightInd w:val="0"/>
        <w:snapToGrid w:val="0"/>
        <w:spacing w:before="93" w:line="600" w:lineRule="exact"/>
        <w:ind w:firstLine="672" w:firstLineChars="210"/>
        <w:rPr>
          <w:rFonts w:hAnsi="仿宋"/>
          <w:color w:val="000000"/>
          <w:sz w:val="32"/>
          <w:szCs w:val="32"/>
        </w:rPr>
      </w:pPr>
      <w:r>
        <w:rPr>
          <w:rFonts w:hint="eastAsia" w:hAnsi="仿宋"/>
          <w:color w:val="000000"/>
          <w:sz w:val="32"/>
          <w:szCs w:val="32"/>
        </w:rPr>
        <w:t>纳入红格镇</w:t>
      </w:r>
      <w:r>
        <w:rPr>
          <w:rFonts w:hAnsi="仿宋"/>
          <w:color w:val="000000"/>
          <w:sz w:val="32"/>
          <w:szCs w:val="32"/>
        </w:rPr>
        <w:t>2018</w:t>
      </w:r>
      <w:r>
        <w:rPr>
          <w:rFonts w:hint="eastAsia" w:hAnsi="仿宋"/>
          <w:color w:val="000000"/>
          <w:sz w:val="32"/>
          <w:szCs w:val="32"/>
        </w:rPr>
        <w:t>年度部门决算编制范围的二级预算单位包括：</w:t>
      </w:r>
    </w:p>
    <w:p>
      <w:pPr>
        <w:pStyle w:val="5"/>
        <w:numPr>
          <w:ilvl w:val="0"/>
          <w:numId w:val="1"/>
        </w:numPr>
        <w:adjustRightInd w:val="0"/>
        <w:snapToGrid w:val="0"/>
        <w:spacing w:before="93" w:line="600" w:lineRule="exact"/>
        <w:outlineLvl w:val="2"/>
        <w:rPr>
          <w:rFonts w:hAnsi="仿宋"/>
          <w:color w:val="000000"/>
          <w:sz w:val="32"/>
          <w:szCs w:val="32"/>
        </w:rPr>
      </w:pPr>
      <w:r>
        <w:rPr>
          <w:rFonts w:hint="eastAsia"/>
          <w:sz w:val="32"/>
          <w:szCs w:val="32"/>
        </w:rPr>
        <w:t>红格镇党政办</w:t>
      </w:r>
    </w:p>
    <w:p>
      <w:pPr>
        <w:pStyle w:val="2"/>
        <w:ind w:right="440"/>
        <w:jc w:val="right"/>
        <w:rPr>
          <w:rFonts w:ascii="黑体" w:hAnsi="黑体" w:eastAsia="黑体"/>
          <w:b w:val="0"/>
          <w:bCs w:val="0"/>
        </w:rPr>
      </w:pPr>
      <w:bookmarkStart w:id="22" w:name="_Toc15396602"/>
      <w:bookmarkStart w:id="23" w:name="_Toc15377204"/>
      <w:r>
        <w:rPr>
          <w:rFonts w:hint="eastAsia"/>
          <w:color w:val="000000"/>
        </w:rPr>
        <w:t>第二部分</w:t>
      </w:r>
      <w:r>
        <w:rPr>
          <w:color w:val="000000"/>
        </w:rPr>
        <w:t xml:space="preserve"> </w:t>
      </w:r>
      <w:r>
        <w:rPr>
          <w:rStyle w:val="16"/>
          <w:rFonts w:ascii="黑体" w:hAnsi="黑体" w:eastAsia="黑体"/>
          <w:b w:val="0"/>
          <w:bCs w:val="0"/>
        </w:rPr>
        <w:t>2018</w:t>
      </w:r>
      <w:r>
        <w:rPr>
          <w:rStyle w:val="16"/>
          <w:rFonts w:hint="eastAsia" w:ascii="黑体" w:hAnsi="黑体" w:eastAsia="黑体"/>
          <w:b w:val="0"/>
          <w:bCs w:val="0"/>
        </w:rPr>
        <w:t>年度部门决算情况说明</w:t>
      </w:r>
      <w:bookmarkEnd w:id="22"/>
      <w:bookmarkEnd w:id="23"/>
    </w:p>
    <w:p>
      <w:pPr>
        <w:pStyle w:val="26"/>
        <w:numPr>
          <w:ilvl w:val="0"/>
          <w:numId w:val="2"/>
        </w:numPr>
        <w:spacing w:line="600" w:lineRule="exact"/>
        <w:ind w:firstLineChars="0"/>
        <w:outlineLvl w:val="1"/>
        <w:rPr>
          <w:rStyle w:val="17"/>
          <w:rFonts w:ascii="黑体" w:hAnsi="黑体" w:eastAsia="黑体"/>
          <w:b w:val="0"/>
        </w:rPr>
      </w:pPr>
      <w:bookmarkStart w:id="24" w:name="_Toc15396603"/>
      <w:bookmarkStart w:id="25" w:name="_Toc15377205"/>
      <w:r>
        <w:rPr>
          <w:rFonts w:hint="eastAsia" w:ascii="黑体" w:hAnsi="黑体" w:eastAsia="黑体"/>
          <w:color w:val="000000"/>
          <w:sz w:val="32"/>
          <w:szCs w:val="32"/>
        </w:rPr>
        <w:t>收</w:t>
      </w:r>
      <w:r>
        <w:rPr>
          <w:rStyle w:val="17"/>
          <w:rFonts w:hint="eastAsia" w:ascii="黑体" w:hAnsi="黑体" w:eastAsia="黑体"/>
          <w:b w:val="0"/>
        </w:rPr>
        <w:t>入支出决算总体情况说明</w:t>
      </w:r>
      <w:bookmarkEnd w:id="24"/>
      <w:bookmarkEnd w:id="25"/>
    </w:p>
    <w:p>
      <w:pPr>
        <w:pStyle w:val="5"/>
        <w:adjustRightInd w:val="0"/>
        <w:snapToGrid w:val="0"/>
        <w:spacing w:before="93" w:line="600" w:lineRule="exact"/>
        <w:ind w:firstLine="672" w:firstLineChars="210"/>
        <w:rPr>
          <w:rFonts w:hAnsi="仿宋"/>
          <w:color w:val="000000"/>
          <w:sz w:val="32"/>
          <w:szCs w:val="32"/>
        </w:rPr>
      </w:pPr>
      <w:r>
        <w:rPr>
          <w:rFonts w:hAnsi="仿宋"/>
          <w:color w:val="000000"/>
          <w:sz w:val="32"/>
          <w:szCs w:val="32"/>
        </w:rPr>
        <w:t>2018</w:t>
      </w:r>
      <w:r>
        <w:rPr>
          <w:rFonts w:hint="eastAsia" w:hAnsi="仿宋"/>
          <w:color w:val="000000"/>
          <w:sz w:val="32"/>
          <w:szCs w:val="32"/>
        </w:rPr>
        <w:t>年度收入总计</w:t>
      </w:r>
      <w:r>
        <w:rPr>
          <w:rFonts w:hAnsi="仿宋"/>
          <w:color w:val="000000"/>
          <w:sz w:val="32"/>
          <w:szCs w:val="32"/>
        </w:rPr>
        <w:t>2805.9</w:t>
      </w:r>
      <w:r>
        <w:rPr>
          <w:rFonts w:hint="eastAsia" w:hAnsi="仿宋"/>
          <w:color w:val="000000"/>
          <w:sz w:val="32"/>
          <w:szCs w:val="32"/>
        </w:rPr>
        <w:t>万元、支出</w:t>
      </w:r>
      <w:r>
        <w:rPr>
          <w:rFonts w:hAnsi="仿宋"/>
          <w:color w:val="000000"/>
          <w:sz w:val="32"/>
          <w:szCs w:val="32"/>
        </w:rPr>
        <w:t>2654.54</w:t>
      </w:r>
      <w:r>
        <w:rPr>
          <w:rFonts w:hint="eastAsia" w:hAnsi="仿宋"/>
          <w:color w:val="000000"/>
          <w:sz w:val="32"/>
          <w:szCs w:val="32"/>
        </w:rPr>
        <w:t>万元。与</w:t>
      </w:r>
      <w:r>
        <w:rPr>
          <w:rFonts w:hAnsi="仿宋"/>
          <w:color w:val="000000"/>
          <w:sz w:val="32"/>
          <w:szCs w:val="32"/>
        </w:rPr>
        <w:t>2017</w:t>
      </w:r>
      <w:r>
        <w:rPr>
          <w:rFonts w:hint="eastAsia" w:hAnsi="仿宋"/>
          <w:color w:val="000000"/>
          <w:sz w:val="32"/>
          <w:szCs w:val="32"/>
        </w:rPr>
        <w:t>年相比，收入增加</w:t>
      </w:r>
      <w:r>
        <w:rPr>
          <w:rFonts w:hAnsi="仿宋"/>
          <w:color w:val="000000"/>
          <w:sz w:val="32"/>
          <w:szCs w:val="32"/>
        </w:rPr>
        <w:t>1753.89</w:t>
      </w:r>
      <w:r>
        <w:rPr>
          <w:rFonts w:hint="eastAsia" w:hAnsi="仿宋"/>
          <w:color w:val="000000"/>
          <w:sz w:val="32"/>
          <w:szCs w:val="32"/>
        </w:rPr>
        <w:t>万元，增长</w:t>
      </w:r>
      <w:r>
        <w:rPr>
          <w:rFonts w:hAnsi="仿宋"/>
          <w:color w:val="000000"/>
          <w:sz w:val="32"/>
          <w:szCs w:val="32"/>
        </w:rPr>
        <w:t>166.72%</w:t>
      </w:r>
      <w:r>
        <w:rPr>
          <w:rFonts w:hint="eastAsia" w:hAnsi="仿宋"/>
          <w:color w:val="000000"/>
          <w:sz w:val="32"/>
          <w:szCs w:val="32"/>
        </w:rPr>
        <w:t>；支出总计增加</w:t>
      </w:r>
      <w:r>
        <w:rPr>
          <w:rFonts w:hAnsi="仿宋"/>
          <w:color w:val="000000"/>
          <w:sz w:val="32"/>
          <w:szCs w:val="32"/>
        </w:rPr>
        <w:t>1591.23</w:t>
      </w:r>
      <w:r>
        <w:rPr>
          <w:rFonts w:hint="eastAsia" w:hAnsi="仿宋"/>
          <w:color w:val="000000"/>
          <w:sz w:val="32"/>
          <w:szCs w:val="32"/>
        </w:rPr>
        <w:t>万元，增长</w:t>
      </w:r>
      <w:r>
        <w:rPr>
          <w:rFonts w:hAnsi="仿宋"/>
          <w:color w:val="000000"/>
          <w:sz w:val="32"/>
          <w:szCs w:val="32"/>
        </w:rPr>
        <w:t>149.65%</w:t>
      </w:r>
      <w:r>
        <w:rPr>
          <w:rFonts w:hint="eastAsia" w:hAnsi="仿宋"/>
          <w:color w:val="000000"/>
          <w:sz w:val="32"/>
          <w:szCs w:val="32"/>
        </w:rPr>
        <w:t>。主要变动原因是国有土地征地搬迁支出增加，基金支出增加，导致</w:t>
      </w:r>
      <w:r>
        <w:rPr>
          <w:rFonts w:hAnsi="仿宋"/>
          <w:color w:val="000000"/>
          <w:sz w:val="32"/>
          <w:szCs w:val="32"/>
        </w:rPr>
        <w:t>2018</w:t>
      </w:r>
      <w:r>
        <w:rPr>
          <w:rFonts w:hint="eastAsia" w:hAnsi="仿宋"/>
          <w:color w:val="000000"/>
          <w:sz w:val="32"/>
          <w:szCs w:val="32"/>
        </w:rPr>
        <w:t>年基金收入支出额增加，增长幅度较大。</w:t>
      </w:r>
    </w:p>
    <w:p>
      <w:pPr>
        <w:pStyle w:val="26"/>
        <w:numPr>
          <w:ilvl w:val="0"/>
          <w:numId w:val="2"/>
        </w:numPr>
        <w:spacing w:line="600" w:lineRule="exact"/>
        <w:ind w:firstLineChars="0"/>
        <w:outlineLvl w:val="1"/>
        <w:rPr>
          <w:rStyle w:val="17"/>
          <w:rFonts w:ascii="黑体" w:hAnsi="黑体" w:eastAsia="黑体"/>
          <w:b w:val="0"/>
        </w:rPr>
      </w:pPr>
      <w:bookmarkStart w:id="26" w:name="_Toc15396604"/>
      <w:bookmarkStart w:id="27" w:name="_Toc15377206"/>
      <w:r>
        <w:rPr>
          <w:rFonts w:hint="eastAsia" w:ascii="黑体" w:hAnsi="黑体" w:eastAsia="黑体"/>
          <w:color w:val="000000"/>
          <w:sz w:val="32"/>
          <w:szCs w:val="32"/>
        </w:rPr>
        <w:t>收</w:t>
      </w:r>
      <w:r>
        <w:rPr>
          <w:rStyle w:val="17"/>
          <w:rFonts w:hint="eastAsia" w:ascii="黑体" w:hAnsi="黑体" w:eastAsia="黑体"/>
          <w:b w:val="0"/>
        </w:rPr>
        <w:t>入决算情况说明</w:t>
      </w:r>
      <w:bookmarkEnd w:id="26"/>
      <w:bookmarkEnd w:id="27"/>
    </w:p>
    <w:p>
      <w:pPr>
        <w:pStyle w:val="5"/>
        <w:adjustRightInd w:val="0"/>
        <w:snapToGrid w:val="0"/>
        <w:spacing w:before="93" w:line="600" w:lineRule="exact"/>
        <w:ind w:firstLine="672" w:firstLineChars="210"/>
        <w:rPr>
          <w:rFonts w:hAnsi="仿宋"/>
          <w:color w:val="000000"/>
          <w:sz w:val="32"/>
          <w:szCs w:val="32"/>
        </w:rPr>
      </w:pPr>
      <w:r>
        <w:rPr>
          <w:rFonts w:hAnsi="仿宋"/>
          <w:color w:val="000000"/>
          <w:sz w:val="32"/>
          <w:szCs w:val="32"/>
        </w:rPr>
        <w:t>2018</w:t>
      </w:r>
      <w:r>
        <w:rPr>
          <w:rFonts w:hint="eastAsia" w:hAnsi="仿宋"/>
          <w:color w:val="000000"/>
          <w:sz w:val="32"/>
          <w:szCs w:val="32"/>
        </w:rPr>
        <w:t>年本年收入合计</w:t>
      </w:r>
      <w:r>
        <w:rPr>
          <w:rFonts w:hAnsi="仿宋"/>
          <w:color w:val="000000"/>
          <w:sz w:val="32"/>
          <w:szCs w:val="32"/>
        </w:rPr>
        <w:t>2805.9</w:t>
      </w:r>
      <w:r>
        <w:rPr>
          <w:rFonts w:hint="eastAsia" w:hAnsi="仿宋"/>
          <w:color w:val="000000"/>
          <w:sz w:val="32"/>
          <w:szCs w:val="32"/>
        </w:rPr>
        <w:t>万元，其中：一般公共预算财政拨款收入</w:t>
      </w:r>
      <w:r>
        <w:rPr>
          <w:rFonts w:hAnsi="仿宋"/>
          <w:color w:val="000000"/>
          <w:sz w:val="32"/>
          <w:szCs w:val="32"/>
        </w:rPr>
        <w:t>1005.9</w:t>
      </w:r>
      <w:r>
        <w:rPr>
          <w:rFonts w:hint="eastAsia" w:hAnsi="仿宋"/>
          <w:color w:val="000000"/>
          <w:sz w:val="32"/>
          <w:szCs w:val="32"/>
        </w:rPr>
        <w:t>万元，占</w:t>
      </w:r>
      <w:r>
        <w:rPr>
          <w:rFonts w:hAnsi="仿宋"/>
          <w:color w:val="000000"/>
          <w:sz w:val="32"/>
          <w:szCs w:val="32"/>
        </w:rPr>
        <w:t>35.85%</w:t>
      </w:r>
      <w:r>
        <w:rPr>
          <w:rFonts w:hint="eastAsia" w:hAnsi="仿宋"/>
          <w:color w:val="000000"/>
          <w:sz w:val="32"/>
          <w:szCs w:val="32"/>
        </w:rPr>
        <w:t>；政府性基金预算财政拨款收入</w:t>
      </w:r>
      <w:r>
        <w:rPr>
          <w:rFonts w:hAnsi="仿宋"/>
          <w:color w:val="000000"/>
          <w:sz w:val="32"/>
          <w:szCs w:val="32"/>
        </w:rPr>
        <w:t>1800</w:t>
      </w:r>
      <w:r>
        <w:rPr>
          <w:rFonts w:hint="eastAsia" w:hAnsi="仿宋"/>
          <w:color w:val="000000"/>
          <w:sz w:val="32"/>
          <w:szCs w:val="32"/>
        </w:rPr>
        <w:t>万元，占</w:t>
      </w:r>
      <w:r>
        <w:rPr>
          <w:rFonts w:hAnsi="仿宋"/>
          <w:color w:val="000000"/>
          <w:sz w:val="32"/>
          <w:szCs w:val="32"/>
        </w:rPr>
        <w:t>64.15%</w:t>
      </w:r>
      <w:r>
        <w:rPr>
          <w:rFonts w:hint="eastAsia" w:hAnsi="仿宋"/>
          <w:color w:val="000000"/>
          <w:sz w:val="32"/>
          <w:szCs w:val="32"/>
        </w:rPr>
        <w:t>。</w:t>
      </w:r>
    </w:p>
    <w:p>
      <w:pPr>
        <w:pStyle w:val="26"/>
        <w:numPr>
          <w:ilvl w:val="0"/>
          <w:numId w:val="2"/>
        </w:numPr>
        <w:spacing w:line="600" w:lineRule="exact"/>
        <w:ind w:firstLineChars="0"/>
        <w:outlineLvl w:val="1"/>
        <w:rPr>
          <w:rStyle w:val="17"/>
          <w:rFonts w:ascii="黑体" w:hAnsi="黑体" w:eastAsia="黑体"/>
          <w:b w:val="0"/>
        </w:rPr>
      </w:pPr>
      <w:bookmarkStart w:id="28" w:name="_Toc15377207"/>
      <w:bookmarkStart w:id="29" w:name="_Toc15396605"/>
      <w:r>
        <w:rPr>
          <w:rFonts w:hint="eastAsia" w:ascii="黑体" w:hAnsi="黑体" w:eastAsia="黑体"/>
          <w:color w:val="000000"/>
          <w:sz w:val="32"/>
          <w:szCs w:val="32"/>
        </w:rPr>
        <w:t>支</w:t>
      </w:r>
      <w:r>
        <w:rPr>
          <w:rStyle w:val="17"/>
          <w:rFonts w:hint="eastAsia" w:ascii="黑体" w:hAnsi="黑体" w:eastAsia="黑体"/>
          <w:b w:val="0"/>
        </w:rPr>
        <w:t>出决算情况说明</w:t>
      </w:r>
      <w:bookmarkEnd w:id="28"/>
      <w:bookmarkEnd w:id="29"/>
    </w:p>
    <w:p>
      <w:pPr>
        <w:pStyle w:val="5"/>
        <w:adjustRightInd w:val="0"/>
        <w:snapToGrid w:val="0"/>
        <w:spacing w:before="93" w:line="600" w:lineRule="exact"/>
        <w:ind w:firstLine="672" w:firstLineChars="210"/>
        <w:rPr>
          <w:rFonts w:hAnsi="仿宋"/>
          <w:color w:val="000000"/>
          <w:sz w:val="32"/>
          <w:szCs w:val="32"/>
        </w:rPr>
      </w:pPr>
      <w:r>
        <w:rPr>
          <w:rFonts w:hAnsi="仿宋"/>
          <w:color w:val="000000"/>
          <w:sz w:val="32"/>
          <w:szCs w:val="32"/>
        </w:rPr>
        <w:t>2018</w:t>
      </w:r>
      <w:r>
        <w:rPr>
          <w:rFonts w:hint="eastAsia" w:hAnsi="仿宋"/>
          <w:color w:val="000000"/>
          <w:sz w:val="32"/>
          <w:szCs w:val="32"/>
        </w:rPr>
        <w:t>年本年支出合计</w:t>
      </w:r>
      <w:r>
        <w:rPr>
          <w:rFonts w:hAnsi="仿宋"/>
          <w:color w:val="000000"/>
          <w:sz w:val="32"/>
          <w:szCs w:val="32"/>
        </w:rPr>
        <w:t>2654.54</w:t>
      </w:r>
      <w:r>
        <w:rPr>
          <w:rFonts w:hint="eastAsia" w:hAnsi="仿宋"/>
          <w:color w:val="000000"/>
          <w:sz w:val="32"/>
          <w:szCs w:val="32"/>
        </w:rPr>
        <w:t>万元，其中：基本支出</w:t>
      </w:r>
      <w:r>
        <w:rPr>
          <w:rFonts w:hAnsi="仿宋"/>
          <w:color w:val="000000"/>
          <w:sz w:val="32"/>
          <w:szCs w:val="32"/>
        </w:rPr>
        <w:t>729.94</w:t>
      </w:r>
      <w:r>
        <w:rPr>
          <w:rFonts w:hint="eastAsia" w:hAnsi="仿宋"/>
          <w:color w:val="000000"/>
          <w:sz w:val="32"/>
          <w:szCs w:val="32"/>
        </w:rPr>
        <w:t>万元，占</w:t>
      </w:r>
      <w:r>
        <w:rPr>
          <w:rFonts w:hAnsi="仿宋"/>
          <w:color w:val="000000"/>
          <w:sz w:val="32"/>
          <w:szCs w:val="32"/>
        </w:rPr>
        <w:t>27.5%</w:t>
      </w:r>
      <w:r>
        <w:rPr>
          <w:rFonts w:hint="eastAsia" w:hAnsi="仿宋"/>
          <w:color w:val="000000"/>
          <w:sz w:val="32"/>
          <w:szCs w:val="32"/>
        </w:rPr>
        <w:t>；项目支出</w:t>
      </w:r>
      <w:r>
        <w:rPr>
          <w:rFonts w:hAnsi="仿宋"/>
          <w:color w:val="000000"/>
          <w:sz w:val="32"/>
          <w:szCs w:val="32"/>
        </w:rPr>
        <w:t>124.6</w:t>
      </w:r>
      <w:r>
        <w:rPr>
          <w:rFonts w:hint="eastAsia" w:hAnsi="仿宋"/>
          <w:color w:val="000000"/>
          <w:sz w:val="32"/>
          <w:szCs w:val="32"/>
        </w:rPr>
        <w:t>万元，占</w:t>
      </w:r>
      <w:r>
        <w:rPr>
          <w:rFonts w:hAnsi="仿宋"/>
          <w:color w:val="000000"/>
          <w:sz w:val="32"/>
          <w:szCs w:val="32"/>
        </w:rPr>
        <w:t>4.69%</w:t>
      </w:r>
      <w:r>
        <w:rPr>
          <w:rFonts w:hint="eastAsia" w:hAnsi="仿宋"/>
          <w:color w:val="000000"/>
          <w:sz w:val="32"/>
          <w:szCs w:val="32"/>
        </w:rPr>
        <w:t>；政府性基金预算财政拨款支出</w:t>
      </w:r>
      <w:r>
        <w:rPr>
          <w:rFonts w:hAnsi="仿宋"/>
          <w:color w:val="000000"/>
          <w:sz w:val="32"/>
          <w:szCs w:val="32"/>
        </w:rPr>
        <w:t>1800</w:t>
      </w:r>
      <w:r>
        <w:rPr>
          <w:rFonts w:hint="eastAsia" w:hAnsi="仿宋"/>
          <w:color w:val="000000"/>
          <w:sz w:val="32"/>
          <w:szCs w:val="32"/>
        </w:rPr>
        <w:t>万元，占</w:t>
      </w:r>
      <w:r>
        <w:rPr>
          <w:rFonts w:hAnsi="仿宋"/>
          <w:color w:val="000000"/>
          <w:sz w:val="32"/>
          <w:szCs w:val="32"/>
        </w:rPr>
        <w:t>67.81%</w:t>
      </w:r>
      <w:r>
        <w:rPr>
          <w:rFonts w:hint="eastAsia" w:hAnsi="仿宋"/>
          <w:color w:val="000000"/>
          <w:sz w:val="32"/>
          <w:szCs w:val="32"/>
        </w:rPr>
        <w:t>。</w:t>
      </w:r>
    </w:p>
    <w:p>
      <w:pPr>
        <w:spacing w:line="600" w:lineRule="exact"/>
        <w:ind w:firstLine="640" w:firstLineChars="200"/>
        <w:outlineLvl w:val="1"/>
        <w:rPr>
          <w:rStyle w:val="17"/>
          <w:rFonts w:ascii="黑体" w:hAnsi="黑体" w:eastAsia="黑体"/>
          <w:b w:val="0"/>
        </w:rPr>
      </w:pPr>
      <w:bookmarkStart w:id="30" w:name="_Toc15377208"/>
      <w:bookmarkStart w:id="31" w:name="_Toc15396606"/>
      <w:r>
        <w:rPr>
          <w:rFonts w:hint="eastAsia" w:ascii="黑体" w:hAnsi="黑体" w:eastAsia="黑体"/>
          <w:color w:val="000000"/>
          <w:sz w:val="32"/>
          <w:szCs w:val="32"/>
        </w:rPr>
        <w:t>四、财</w:t>
      </w:r>
      <w:r>
        <w:rPr>
          <w:rStyle w:val="17"/>
          <w:rFonts w:hint="eastAsia" w:ascii="黑体" w:hAnsi="黑体" w:eastAsia="黑体"/>
          <w:b w:val="0"/>
        </w:rPr>
        <w:t>政拨款收入支出决算总体情况说明</w:t>
      </w:r>
      <w:bookmarkEnd w:id="30"/>
      <w:bookmarkEnd w:id="31"/>
    </w:p>
    <w:p>
      <w:pPr>
        <w:pStyle w:val="5"/>
        <w:adjustRightInd w:val="0"/>
        <w:snapToGrid w:val="0"/>
        <w:spacing w:before="93" w:line="600" w:lineRule="exact"/>
        <w:ind w:firstLine="672" w:firstLineChars="210"/>
        <w:rPr>
          <w:rFonts w:hAnsi="仿宋"/>
          <w:color w:val="000000"/>
          <w:sz w:val="32"/>
          <w:szCs w:val="32"/>
        </w:rPr>
      </w:pPr>
      <w:r>
        <w:rPr>
          <w:rFonts w:hAnsi="仿宋"/>
          <w:color w:val="000000"/>
          <w:sz w:val="32"/>
          <w:szCs w:val="32"/>
        </w:rPr>
        <w:t>2018</w:t>
      </w:r>
      <w:r>
        <w:rPr>
          <w:rFonts w:hint="eastAsia" w:hAnsi="仿宋"/>
          <w:color w:val="000000"/>
          <w:sz w:val="32"/>
          <w:szCs w:val="32"/>
        </w:rPr>
        <w:t>年财政拨款收入</w:t>
      </w:r>
      <w:r>
        <w:rPr>
          <w:rFonts w:hAnsi="仿宋"/>
          <w:color w:val="000000"/>
          <w:sz w:val="32"/>
          <w:szCs w:val="32"/>
        </w:rPr>
        <w:t>2805.9</w:t>
      </w:r>
      <w:r>
        <w:rPr>
          <w:rFonts w:hint="eastAsia" w:hAnsi="仿宋"/>
          <w:color w:val="000000"/>
          <w:sz w:val="32"/>
          <w:szCs w:val="32"/>
        </w:rPr>
        <w:t>万元、支出</w:t>
      </w:r>
      <w:r>
        <w:rPr>
          <w:rFonts w:hAnsi="仿宋"/>
          <w:color w:val="000000"/>
          <w:sz w:val="32"/>
          <w:szCs w:val="32"/>
        </w:rPr>
        <w:t>2654.54</w:t>
      </w:r>
      <w:r>
        <w:rPr>
          <w:rFonts w:hint="eastAsia" w:hAnsi="仿宋"/>
          <w:color w:val="000000"/>
          <w:sz w:val="32"/>
          <w:szCs w:val="32"/>
        </w:rPr>
        <w:t>万元。与</w:t>
      </w:r>
      <w:r>
        <w:rPr>
          <w:rFonts w:hAnsi="仿宋"/>
          <w:color w:val="000000"/>
          <w:sz w:val="32"/>
          <w:szCs w:val="32"/>
        </w:rPr>
        <w:t>2017</w:t>
      </w:r>
      <w:r>
        <w:rPr>
          <w:rFonts w:hint="eastAsia" w:hAnsi="仿宋"/>
          <w:color w:val="000000"/>
          <w:sz w:val="32"/>
          <w:szCs w:val="32"/>
        </w:rPr>
        <w:t>年相比，财政拨款收入增加</w:t>
      </w:r>
      <w:r>
        <w:rPr>
          <w:rFonts w:hAnsi="仿宋"/>
          <w:color w:val="000000"/>
          <w:sz w:val="32"/>
          <w:szCs w:val="32"/>
        </w:rPr>
        <w:t>1753.89</w:t>
      </w:r>
      <w:r>
        <w:rPr>
          <w:rFonts w:hint="eastAsia" w:hAnsi="仿宋"/>
          <w:color w:val="000000"/>
          <w:sz w:val="32"/>
          <w:szCs w:val="32"/>
        </w:rPr>
        <w:t>万元，增长</w:t>
      </w:r>
      <w:r>
        <w:rPr>
          <w:rFonts w:hAnsi="仿宋"/>
          <w:color w:val="000000"/>
          <w:sz w:val="32"/>
          <w:szCs w:val="32"/>
        </w:rPr>
        <w:t>166.72%</w:t>
      </w:r>
      <w:r>
        <w:rPr>
          <w:rFonts w:hint="eastAsia" w:hAnsi="仿宋"/>
          <w:color w:val="000000"/>
          <w:sz w:val="32"/>
          <w:szCs w:val="32"/>
        </w:rPr>
        <w:t>；支出总计增加</w:t>
      </w:r>
      <w:r>
        <w:rPr>
          <w:rFonts w:hAnsi="仿宋"/>
          <w:color w:val="000000"/>
          <w:sz w:val="32"/>
          <w:szCs w:val="32"/>
        </w:rPr>
        <w:t>1591.23</w:t>
      </w:r>
      <w:r>
        <w:rPr>
          <w:rFonts w:hint="eastAsia" w:hAnsi="仿宋"/>
          <w:color w:val="000000"/>
          <w:sz w:val="32"/>
          <w:szCs w:val="32"/>
        </w:rPr>
        <w:t>万元，增长</w:t>
      </w:r>
      <w:r>
        <w:rPr>
          <w:rFonts w:hAnsi="仿宋"/>
          <w:color w:val="000000"/>
          <w:sz w:val="32"/>
          <w:szCs w:val="32"/>
        </w:rPr>
        <w:t>149.65%</w:t>
      </w:r>
      <w:r>
        <w:rPr>
          <w:rFonts w:hint="eastAsia" w:hAnsi="仿宋"/>
          <w:color w:val="000000"/>
          <w:sz w:val="32"/>
          <w:szCs w:val="32"/>
        </w:rPr>
        <w:t>。主要变动原因是国有土地征地搬迁支出增加，基金支出增加，导致</w:t>
      </w:r>
      <w:r>
        <w:rPr>
          <w:rFonts w:hAnsi="仿宋"/>
          <w:color w:val="000000"/>
          <w:sz w:val="32"/>
          <w:szCs w:val="32"/>
        </w:rPr>
        <w:t>2018</w:t>
      </w:r>
      <w:r>
        <w:rPr>
          <w:rFonts w:hint="eastAsia" w:hAnsi="仿宋"/>
          <w:color w:val="000000"/>
          <w:sz w:val="32"/>
          <w:szCs w:val="32"/>
        </w:rPr>
        <w:t>年基金收入支出额增加，增长幅度较大。</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（除国有资本经营预算外，数据来源于财决</w:t>
      </w:r>
      <w:r>
        <w:rPr>
          <w:rFonts w:ascii="仿宋" w:hAnsi="仿宋" w:eastAsia="仿宋"/>
          <w:b/>
          <w:color w:val="000000"/>
          <w:sz w:val="32"/>
          <w:szCs w:val="32"/>
        </w:rPr>
        <w:t>Z01-1</w:t>
      </w:r>
      <w:r>
        <w:rPr>
          <w:rFonts w:hint="eastAsia" w:ascii="仿宋" w:hAnsi="仿宋" w:eastAsia="仿宋"/>
          <w:b/>
          <w:color w:val="000000"/>
          <w:sz w:val="32"/>
          <w:szCs w:val="32"/>
        </w:rPr>
        <w:t>表，口径为“总计”数</w:t>
      </w:r>
      <w:r>
        <w:rPr>
          <w:rFonts w:ascii="仿宋" w:hAnsi="仿宋" w:eastAsia="仿宋"/>
          <w:b/>
          <w:color w:val="000000"/>
          <w:sz w:val="32"/>
          <w:szCs w:val="32"/>
        </w:rPr>
        <w:t>+</w:t>
      </w:r>
      <w:r>
        <w:rPr>
          <w:rFonts w:hint="eastAsia" w:ascii="仿宋" w:hAnsi="仿宋" w:eastAsia="仿宋"/>
          <w:b/>
          <w:color w:val="000000"/>
          <w:sz w:val="32"/>
          <w:szCs w:val="32"/>
        </w:rPr>
        <w:t>国有资本经营预算。）</w:t>
      </w:r>
    </w:p>
    <w:p>
      <w:pPr>
        <w:spacing w:line="600" w:lineRule="exact"/>
        <w:ind w:firstLine="640" w:firstLineChars="200"/>
        <w:outlineLvl w:val="1"/>
        <w:rPr>
          <w:rStyle w:val="17"/>
          <w:rFonts w:ascii="黑体" w:hAnsi="黑体" w:eastAsia="黑体"/>
          <w:b w:val="0"/>
        </w:rPr>
      </w:pPr>
      <w:bookmarkStart w:id="32" w:name="_Toc15377209"/>
      <w:bookmarkStart w:id="33" w:name="_Toc15396607"/>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17"/>
          <w:rFonts w:hint="eastAsia" w:ascii="黑体" w:hAnsi="黑体" w:eastAsia="黑体"/>
          <w:b w:val="0"/>
        </w:rPr>
        <w:t>般公共预算财政拨款支出决算情况说明</w:t>
      </w:r>
      <w:bookmarkEnd w:id="32"/>
      <w:bookmarkEnd w:id="33"/>
    </w:p>
    <w:p>
      <w:pPr>
        <w:spacing w:line="600" w:lineRule="exact"/>
        <w:ind w:firstLine="643" w:firstLineChars="200"/>
        <w:outlineLvl w:val="2"/>
        <w:rPr>
          <w:rFonts w:ascii="仿宋" w:hAnsi="仿宋" w:eastAsia="仿宋"/>
          <w:b/>
          <w:color w:val="000000"/>
          <w:sz w:val="32"/>
          <w:szCs w:val="32"/>
        </w:rPr>
      </w:pPr>
      <w:bookmarkStart w:id="34" w:name="_Toc15377210"/>
      <w:r>
        <w:rPr>
          <w:rFonts w:hint="eastAsia" w:ascii="仿宋" w:hAnsi="仿宋" w:eastAsia="仿宋"/>
          <w:b/>
          <w:color w:val="000000"/>
          <w:sz w:val="32"/>
          <w:szCs w:val="32"/>
        </w:rPr>
        <w:t>（一）一般公共预算财政拨款支出决算总体情况</w:t>
      </w:r>
      <w:bookmarkEnd w:id="34"/>
    </w:p>
    <w:p>
      <w:pPr>
        <w:pStyle w:val="5"/>
        <w:adjustRightInd w:val="0"/>
        <w:snapToGrid w:val="0"/>
        <w:spacing w:before="93" w:line="600" w:lineRule="exact"/>
        <w:ind w:firstLine="672" w:firstLineChars="210"/>
        <w:rPr>
          <w:rFonts w:hAnsi="仿宋"/>
          <w:color w:val="000000"/>
          <w:sz w:val="32"/>
          <w:szCs w:val="32"/>
        </w:rPr>
      </w:pPr>
      <w:r>
        <w:rPr>
          <w:rFonts w:ascii="仿宋" w:hAnsi="仿宋" w:eastAsia="仿宋"/>
          <w:color w:val="000000"/>
          <w:sz w:val="32"/>
          <w:szCs w:val="32"/>
        </w:rPr>
        <w:t>2</w:t>
      </w:r>
      <w:r>
        <w:rPr>
          <w:rFonts w:hAnsi="仿宋"/>
          <w:color w:val="000000"/>
          <w:sz w:val="32"/>
          <w:szCs w:val="32"/>
        </w:rPr>
        <w:t>018</w:t>
      </w:r>
      <w:r>
        <w:rPr>
          <w:rFonts w:hint="eastAsia" w:hAnsi="仿宋"/>
          <w:color w:val="000000"/>
          <w:sz w:val="32"/>
          <w:szCs w:val="32"/>
        </w:rPr>
        <w:t>年一般公共预算财政拨款支出</w:t>
      </w:r>
      <w:r>
        <w:rPr>
          <w:rFonts w:hAnsi="仿宋"/>
          <w:color w:val="000000"/>
          <w:sz w:val="32"/>
          <w:szCs w:val="32"/>
        </w:rPr>
        <w:t>854.54</w:t>
      </w:r>
      <w:r>
        <w:rPr>
          <w:rFonts w:hint="eastAsia" w:hAnsi="仿宋"/>
          <w:color w:val="000000"/>
          <w:sz w:val="32"/>
          <w:szCs w:val="32"/>
        </w:rPr>
        <w:t>万元，占本年支出合计的</w:t>
      </w:r>
      <w:r>
        <w:rPr>
          <w:rFonts w:hAnsi="仿宋"/>
          <w:color w:val="000000"/>
          <w:sz w:val="32"/>
          <w:szCs w:val="32"/>
        </w:rPr>
        <w:t>32.19%</w:t>
      </w:r>
      <w:r>
        <w:rPr>
          <w:rFonts w:hint="eastAsia" w:hAnsi="仿宋"/>
          <w:color w:val="000000"/>
          <w:sz w:val="32"/>
          <w:szCs w:val="32"/>
        </w:rPr>
        <w:t>。与</w:t>
      </w:r>
      <w:r>
        <w:rPr>
          <w:rFonts w:hAnsi="仿宋"/>
          <w:color w:val="000000"/>
          <w:sz w:val="32"/>
          <w:szCs w:val="32"/>
        </w:rPr>
        <w:t>2017</w:t>
      </w:r>
      <w:r>
        <w:rPr>
          <w:rFonts w:hint="eastAsia" w:hAnsi="仿宋"/>
          <w:color w:val="000000"/>
          <w:sz w:val="32"/>
          <w:szCs w:val="32"/>
        </w:rPr>
        <w:t>年相比，一般公共预算财政拨款减少</w:t>
      </w:r>
      <w:r>
        <w:rPr>
          <w:rFonts w:hAnsi="仿宋"/>
          <w:color w:val="000000"/>
          <w:sz w:val="32"/>
          <w:szCs w:val="32"/>
        </w:rPr>
        <w:t>208.77</w:t>
      </w:r>
      <w:r>
        <w:rPr>
          <w:rFonts w:hint="eastAsia" w:hAnsi="仿宋"/>
          <w:color w:val="000000"/>
          <w:sz w:val="32"/>
          <w:szCs w:val="32"/>
        </w:rPr>
        <w:t>万元，下降</w:t>
      </w:r>
      <w:r>
        <w:rPr>
          <w:rFonts w:hAnsi="仿宋"/>
          <w:color w:val="000000"/>
          <w:sz w:val="32"/>
          <w:szCs w:val="32"/>
        </w:rPr>
        <w:t>19.63%</w:t>
      </w:r>
      <w:r>
        <w:rPr>
          <w:rFonts w:hint="eastAsia" w:hAnsi="仿宋"/>
          <w:color w:val="000000"/>
          <w:sz w:val="32"/>
          <w:szCs w:val="32"/>
        </w:rPr>
        <w:t>。主要变动原因是项目资金支出减少，人员调动变动等因素。</w:t>
      </w:r>
    </w:p>
    <w:p>
      <w:pPr>
        <w:spacing w:line="600" w:lineRule="exact"/>
        <w:ind w:firstLine="643" w:firstLineChars="200"/>
        <w:outlineLvl w:val="2"/>
        <w:rPr>
          <w:rFonts w:ascii="仿宋" w:hAnsi="仿宋" w:eastAsia="仿宋"/>
          <w:b/>
          <w:color w:val="000000"/>
          <w:sz w:val="32"/>
          <w:szCs w:val="32"/>
        </w:rPr>
      </w:pPr>
      <w:bookmarkStart w:id="35" w:name="_Toc15377211"/>
      <w:r>
        <w:rPr>
          <w:rFonts w:hint="eastAsia" w:ascii="仿宋" w:hAnsi="仿宋" w:eastAsia="仿宋"/>
          <w:b/>
          <w:color w:val="000000"/>
          <w:sz w:val="32"/>
          <w:szCs w:val="32"/>
        </w:rPr>
        <w:t>（二）一般公共预算财政拨款支出决算结构情况</w:t>
      </w:r>
      <w:bookmarkEnd w:id="35"/>
    </w:p>
    <w:p>
      <w:pPr>
        <w:spacing w:line="600" w:lineRule="exact"/>
        <w:ind w:firstLine="640"/>
        <w:rPr>
          <w:rFonts w:ascii="仿宋_GB2312" w:hAnsi="仿宋" w:eastAsia="仿宋_GB2312"/>
          <w:color w:val="000000"/>
          <w:sz w:val="32"/>
          <w:szCs w:val="32"/>
        </w:rPr>
      </w:pPr>
      <w:r>
        <w:rPr>
          <w:rFonts w:ascii="仿宋_GB2312" w:hAnsi="仿宋" w:eastAsia="仿宋_GB2312"/>
          <w:color w:val="000000"/>
          <w:kern w:val="0"/>
          <w:sz w:val="32"/>
          <w:szCs w:val="32"/>
        </w:rPr>
        <w:t>2018</w:t>
      </w:r>
      <w:r>
        <w:rPr>
          <w:rFonts w:hint="eastAsia" w:ascii="仿宋_GB2312" w:hAnsi="仿宋" w:eastAsia="仿宋_GB2312"/>
          <w:color w:val="000000"/>
          <w:kern w:val="0"/>
          <w:sz w:val="32"/>
          <w:szCs w:val="32"/>
        </w:rPr>
        <w:t>年一般公共预算财政拨款支出</w:t>
      </w:r>
      <w:r>
        <w:rPr>
          <w:rFonts w:ascii="仿宋_GB2312" w:hAnsi="仿宋" w:eastAsia="仿宋_GB2312"/>
          <w:color w:val="000000"/>
          <w:kern w:val="0"/>
          <w:sz w:val="32"/>
          <w:szCs w:val="32"/>
        </w:rPr>
        <w:t>854.54</w:t>
      </w:r>
      <w:r>
        <w:rPr>
          <w:rFonts w:hint="eastAsia" w:ascii="仿宋_GB2312" w:hAnsi="仿宋" w:eastAsia="仿宋_GB2312"/>
          <w:color w:val="000000"/>
          <w:kern w:val="0"/>
          <w:sz w:val="32"/>
          <w:szCs w:val="32"/>
        </w:rPr>
        <w:t>万元，主要用于以下方面</w:t>
      </w:r>
      <w:r>
        <w:rPr>
          <w:rFonts w:ascii="仿宋_GB2312" w:hAnsi="仿宋" w:eastAsia="仿宋_GB2312"/>
          <w:color w:val="000000"/>
          <w:kern w:val="0"/>
          <w:sz w:val="32"/>
          <w:szCs w:val="32"/>
        </w:rPr>
        <w:t>:</w:t>
      </w:r>
      <w:r>
        <w:rPr>
          <w:rFonts w:hint="eastAsia" w:ascii="仿宋_GB2312" w:hAnsi="仿宋" w:eastAsia="仿宋_GB2312"/>
          <w:b/>
          <w:color w:val="000000"/>
          <w:sz w:val="32"/>
          <w:szCs w:val="32"/>
        </w:rPr>
        <w:t>一般公共服务（类）</w:t>
      </w:r>
      <w:r>
        <w:rPr>
          <w:rFonts w:hint="eastAsia" w:ascii="仿宋_GB2312" w:hAnsi="仿宋" w:eastAsia="仿宋_GB2312"/>
          <w:color w:val="000000"/>
          <w:sz w:val="32"/>
          <w:szCs w:val="32"/>
        </w:rPr>
        <w:t>支出</w:t>
      </w:r>
      <w:r>
        <w:rPr>
          <w:rFonts w:ascii="仿宋_GB2312" w:hAnsi="仿宋" w:eastAsia="仿宋_GB2312"/>
          <w:color w:val="000000"/>
          <w:sz w:val="32"/>
          <w:szCs w:val="32"/>
        </w:rPr>
        <w:t>364.69</w:t>
      </w:r>
      <w:r>
        <w:rPr>
          <w:rFonts w:hint="eastAsia" w:ascii="仿宋_GB2312" w:hAnsi="仿宋" w:eastAsia="仿宋_GB2312"/>
          <w:color w:val="000000"/>
          <w:sz w:val="32"/>
          <w:szCs w:val="32"/>
        </w:rPr>
        <w:t>万元，占</w:t>
      </w:r>
      <w:r>
        <w:rPr>
          <w:rFonts w:ascii="仿宋_GB2312" w:hAnsi="仿宋" w:eastAsia="仿宋_GB2312"/>
          <w:color w:val="000000"/>
          <w:sz w:val="32"/>
          <w:szCs w:val="32"/>
        </w:rPr>
        <w:t>42.68%</w:t>
      </w:r>
      <w:r>
        <w:rPr>
          <w:rFonts w:hint="eastAsia" w:ascii="仿宋_GB2312" w:hAnsi="仿宋" w:eastAsia="仿宋_GB2312"/>
          <w:color w:val="000000"/>
          <w:sz w:val="32"/>
          <w:szCs w:val="32"/>
        </w:rPr>
        <w:t>；</w:t>
      </w:r>
      <w:r>
        <w:rPr>
          <w:rFonts w:hint="eastAsia" w:ascii="仿宋_GB2312" w:hAnsi="仿宋" w:eastAsia="仿宋_GB2312"/>
          <w:b/>
          <w:color w:val="000000"/>
          <w:sz w:val="32"/>
          <w:szCs w:val="32"/>
        </w:rPr>
        <w:t>社会保障和就业（类）</w:t>
      </w:r>
      <w:r>
        <w:rPr>
          <w:rFonts w:hint="eastAsia" w:ascii="仿宋_GB2312" w:hAnsi="仿宋" w:eastAsia="仿宋_GB2312"/>
          <w:color w:val="000000"/>
          <w:sz w:val="32"/>
          <w:szCs w:val="32"/>
        </w:rPr>
        <w:t>支出</w:t>
      </w:r>
      <w:r>
        <w:rPr>
          <w:rFonts w:ascii="仿宋_GB2312" w:hAnsi="仿宋" w:eastAsia="仿宋_GB2312"/>
          <w:color w:val="000000"/>
          <w:sz w:val="32"/>
          <w:szCs w:val="32"/>
        </w:rPr>
        <w:t>187.05</w:t>
      </w:r>
      <w:r>
        <w:rPr>
          <w:rFonts w:hint="eastAsia" w:ascii="仿宋_GB2312" w:hAnsi="仿宋" w:eastAsia="仿宋_GB2312"/>
          <w:color w:val="000000"/>
          <w:sz w:val="32"/>
          <w:szCs w:val="32"/>
        </w:rPr>
        <w:t>万元，占</w:t>
      </w:r>
      <w:r>
        <w:rPr>
          <w:rFonts w:ascii="仿宋_GB2312" w:hAnsi="仿宋" w:eastAsia="仿宋_GB2312"/>
          <w:color w:val="000000"/>
          <w:sz w:val="32"/>
          <w:szCs w:val="32"/>
        </w:rPr>
        <w:t>21.89%</w:t>
      </w:r>
      <w:r>
        <w:rPr>
          <w:rFonts w:hint="eastAsia" w:ascii="仿宋_GB2312" w:hAnsi="仿宋" w:eastAsia="仿宋_GB2312"/>
          <w:color w:val="000000"/>
          <w:sz w:val="32"/>
          <w:szCs w:val="32"/>
        </w:rPr>
        <w:t>；</w:t>
      </w:r>
      <w:r>
        <w:rPr>
          <w:rFonts w:hint="eastAsia" w:ascii="仿宋_GB2312" w:hAnsi="仿宋" w:eastAsia="仿宋_GB2312"/>
          <w:b/>
          <w:color w:val="000000"/>
          <w:sz w:val="32"/>
          <w:szCs w:val="32"/>
        </w:rPr>
        <w:t>医疗卫生与计划生育（类）</w:t>
      </w:r>
      <w:r>
        <w:rPr>
          <w:rFonts w:hint="eastAsia" w:ascii="仿宋_GB2312" w:hAnsi="仿宋" w:eastAsia="仿宋_GB2312"/>
          <w:color w:val="000000"/>
          <w:sz w:val="32"/>
          <w:szCs w:val="32"/>
        </w:rPr>
        <w:t>支出</w:t>
      </w:r>
      <w:r>
        <w:rPr>
          <w:rFonts w:ascii="仿宋_GB2312" w:hAnsi="仿宋" w:eastAsia="仿宋_GB2312"/>
          <w:color w:val="000000"/>
          <w:sz w:val="32"/>
          <w:szCs w:val="32"/>
        </w:rPr>
        <w:t>31.13</w:t>
      </w:r>
      <w:r>
        <w:rPr>
          <w:rFonts w:hint="eastAsia" w:ascii="仿宋_GB2312" w:hAnsi="仿宋" w:eastAsia="仿宋_GB2312"/>
          <w:color w:val="000000"/>
          <w:sz w:val="32"/>
          <w:szCs w:val="32"/>
        </w:rPr>
        <w:t>万元，占</w:t>
      </w:r>
      <w:r>
        <w:rPr>
          <w:rFonts w:ascii="仿宋_GB2312" w:hAnsi="仿宋" w:eastAsia="仿宋_GB2312"/>
          <w:color w:val="000000"/>
          <w:sz w:val="32"/>
          <w:szCs w:val="32"/>
        </w:rPr>
        <w:t>3.64%</w:t>
      </w:r>
      <w:r>
        <w:rPr>
          <w:rFonts w:hint="eastAsia" w:ascii="仿宋_GB2312" w:hAnsi="仿宋" w:eastAsia="仿宋_GB2312"/>
          <w:color w:val="000000"/>
          <w:sz w:val="32"/>
          <w:szCs w:val="32"/>
        </w:rPr>
        <w:t>；</w:t>
      </w:r>
      <w:r>
        <w:rPr>
          <w:rFonts w:hint="eastAsia" w:ascii="仿宋_GB2312" w:hAnsi="仿宋" w:eastAsia="仿宋_GB2312"/>
          <w:b/>
          <w:color w:val="000000"/>
          <w:sz w:val="32"/>
          <w:szCs w:val="32"/>
        </w:rPr>
        <w:t>农林水（类）</w:t>
      </w:r>
      <w:r>
        <w:rPr>
          <w:rFonts w:hint="eastAsia" w:ascii="仿宋_GB2312" w:hAnsi="仿宋" w:eastAsia="仿宋_GB2312"/>
          <w:color w:val="000000"/>
          <w:sz w:val="32"/>
          <w:szCs w:val="32"/>
        </w:rPr>
        <w:t>支出</w:t>
      </w:r>
      <w:r>
        <w:rPr>
          <w:rFonts w:ascii="仿宋_GB2312" w:hAnsi="仿宋" w:eastAsia="仿宋_GB2312"/>
          <w:color w:val="000000"/>
          <w:sz w:val="32"/>
          <w:szCs w:val="32"/>
        </w:rPr>
        <w:t>216.75</w:t>
      </w:r>
      <w:r>
        <w:rPr>
          <w:rFonts w:hint="eastAsia" w:ascii="仿宋_GB2312" w:hAnsi="仿宋" w:eastAsia="仿宋_GB2312"/>
          <w:color w:val="000000"/>
          <w:sz w:val="32"/>
          <w:szCs w:val="32"/>
        </w:rPr>
        <w:t>万元，占</w:t>
      </w:r>
      <w:r>
        <w:rPr>
          <w:rFonts w:ascii="仿宋_GB2312" w:hAnsi="仿宋" w:eastAsia="仿宋_GB2312"/>
          <w:color w:val="000000"/>
          <w:sz w:val="32"/>
          <w:szCs w:val="32"/>
        </w:rPr>
        <w:t>25.36%</w:t>
      </w:r>
      <w:r>
        <w:rPr>
          <w:rFonts w:hint="eastAsia" w:ascii="仿宋_GB2312" w:hAnsi="仿宋" w:eastAsia="仿宋_GB2312"/>
          <w:color w:val="000000"/>
          <w:sz w:val="32"/>
          <w:szCs w:val="32"/>
        </w:rPr>
        <w:t>；</w:t>
      </w:r>
      <w:r>
        <w:rPr>
          <w:rFonts w:hint="eastAsia" w:ascii="仿宋_GB2312" w:hAnsi="仿宋" w:eastAsia="仿宋_GB2312"/>
          <w:b/>
          <w:color w:val="000000"/>
          <w:sz w:val="32"/>
          <w:szCs w:val="32"/>
        </w:rPr>
        <w:t>住房保障（类）</w:t>
      </w:r>
      <w:r>
        <w:rPr>
          <w:rFonts w:hint="eastAsia" w:ascii="仿宋_GB2312" w:hAnsi="仿宋" w:eastAsia="仿宋_GB2312"/>
          <w:color w:val="000000"/>
          <w:sz w:val="32"/>
          <w:szCs w:val="32"/>
        </w:rPr>
        <w:t>支出</w:t>
      </w:r>
      <w:r>
        <w:rPr>
          <w:rFonts w:ascii="仿宋_GB2312" w:hAnsi="仿宋" w:eastAsia="仿宋_GB2312"/>
          <w:color w:val="000000"/>
          <w:sz w:val="32"/>
          <w:szCs w:val="32"/>
        </w:rPr>
        <w:t>54.92</w:t>
      </w:r>
      <w:r>
        <w:rPr>
          <w:rFonts w:hint="eastAsia" w:ascii="仿宋_GB2312" w:hAnsi="仿宋" w:eastAsia="仿宋_GB2312"/>
          <w:color w:val="000000"/>
          <w:sz w:val="32"/>
          <w:szCs w:val="32"/>
        </w:rPr>
        <w:t>万元，占</w:t>
      </w:r>
      <w:r>
        <w:rPr>
          <w:rFonts w:ascii="仿宋_GB2312" w:hAnsi="仿宋" w:eastAsia="仿宋_GB2312"/>
          <w:color w:val="000000"/>
          <w:sz w:val="32"/>
          <w:szCs w:val="32"/>
        </w:rPr>
        <w:t>6.43%</w:t>
      </w:r>
      <w:r>
        <w:rPr>
          <w:rFonts w:hint="eastAsia" w:ascii="仿宋_GB2312" w:hAnsi="仿宋" w:eastAsia="仿宋_GB2312"/>
          <w:color w:val="000000"/>
          <w:sz w:val="32"/>
          <w:szCs w:val="32"/>
        </w:rPr>
        <w:t>。</w:t>
      </w:r>
      <w:r>
        <w:rPr>
          <w:rFonts w:hint="eastAsia" w:ascii="仿宋_GB2312" w:hAnsi="仿宋" w:eastAsia="仿宋_GB2312"/>
          <w:b/>
          <w:color w:val="000000"/>
          <w:sz w:val="32"/>
          <w:szCs w:val="32"/>
        </w:rPr>
        <w:t>（罗列全部功能分类科目，至类级。）</w:t>
      </w:r>
    </w:p>
    <w:p>
      <w:pPr>
        <w:spacing w:line="600" w:lineRule="exact"/>
        <w:ind w:firstLine="643" w:firstLineChars="200"/>
        <w:outlineLvl w:val="2"/>
        <w:rPr>
          <w:rFonts w:ascii="仿宋" w:hAnsi="仿宋" w:eastAsia="仿宋"/>
          <w:b/>
          <w:color w:val="000000"/>
          <w:sz w:val="32"/>
          <w:szCs w:val="32"/>
        </w:rPr>
      </w:pPr>
      <w:bookmarkStart w:id="36" w:name="_Toc15377212"/>
      <w:r>
        <w:rPr>
          <w:rFonts w:hint="eastAsia" w:ascii="仿宋" w:hAnsi="仿宋" w:eastAsia="仿宋"/>
          <w:b/>
          <w:color w:val="000000"/>
          <w:sz w:val="32"/>
          <w:szCs w:val="32"/>
        </w:rPr>
        <w:t>（三）一般公共预算财政拨款支出决算具体情况</w:t>
      </w:r>
      <w:bookmarkEnd w:id="36"/>
    </w:p>
    <w:p>
      <w:pPr>
        <w:spacing w:line="600" w:lineRule="exact"/>
        <w:ind w:firstLine="643" w:firstLineChars="200"/>
        <w:outlineLvl w:val="2"/>
        <w:rPr>
          <w:rFonts w:ascii="仿宋_GB2312" w:hAnsi="仿宋" w:eastAsia="仿宋_GB2312"/>
          <w:color w:val="FF0000"/>
          <w:sz w:val="32"/>
          <w:szCs w:val="32"/>
        </w:rPr>
      </w:pPr>
      <w:bookmarkStart w:id="37" w:name="_Toc15377444"/>
      <w:bookmarkStart w:id="38" w:name="_Toc15378460"/>
      <w:bookmarkStart w:id="39" w:name="_Toc15377213"/>
      <w:r>
        <w:rPr>
          <w:rFonts w:ascii="仿宋_GB2312" w:hAnsi="仿宋" w:eastAsia="仿宋_GB2312"/>
          <w:b/>
          <w:color w:val="000000"/>
          <w:sz w:val="32"/>
          <w:szCs w:val="32"/>
        </w:rPr>
        <w:t>2018</w:t>
      </w:r>
      <w:r>
        <w:rPr>
          <w:rFonts w:hint="eastAsia" w:ascii="仿宋_GB2312" w:hAnsi="仿宋" w:eastAsia="仿宋_GB2312"/>
          <w:b/>
          <w:color w:val="000000"/>
          <w:sz w:val="32"/>
          <w:szCs w:val="32"/>
        </w:rPr>
        <w:t>年般公共预算支出决算数为</w:t>
      </w:r>
      <w:r>
        <w:rPr>
          <w:rFonts w:ascii="仿宋_GB2312" w:hAnsi="仿宋" w:eastAsia="仿宋_GB2312"/>
          <w:b/>
          <w:color w:val="000000"/>
          <w:sz w:val="32"/>
          <w:szCs w:val="32"/>
        </w:rPr>
        <w:t>854.54</w:t>
      </w:r>
      <w:r>
        <w:rPr>
          <w:rFonts w:hint="eastAsia" w:ascii="仿宋_GB2312" w:hAnsi="仿宋" w:eastAsia="仿宋_GB2312"/>
          <w:b/>
          <w:color w:val="000000"/>
          <w:sz w:val="32"/>
          <w:szCs w:val="32"/>
        </w:rPr>
        <w:t>万元</w:t>
      </w:r>
      <w:r>
        <w:rPr>
          <w:rFonts w:hint="eastAsia" w:ascii="仿宋_GB2312" w:hAnsi="仿宋" w:eastAsia="仿宋_GB2312"/>
          <w:color w:val="000000"/>
          <w:sz w:val="32"/>
          <w:szCs w:val="32"/>
        </w:rPr>
        <w:t>，</w:t>
      </w:r>
      <w:r>
        <w:rPr>
          <w:rStyle w:val="14"/>
          <w:rFonts w:hint="eastAsia" w:ascii="仿宋_GB2312" w:hAnsi="仿宋" w:eastAsia="仿宋_GB2312"/>
          <w:bCs/>
          <w:color w:val="000000"/>
          <w:sz w:val="32"/>
          <w:szCs w:val="32"/>
        </w:rPr>
        <w:t>完成预算</w:t>
      </w:r>
      <w:r>
        <w:rPr>
          <w:rStyle w:val="14"/>
          <w:rFonts w:ascii="仿宋_GB2312" w:hAnsi="仿宋" w:eastAsia="仿宋_GB2312"/>
          <w:bCs/>
          <w:color w:val="000000"/>
          <w:sz w:val="32"/>
          <w:szCs w:val="32"/>
        </w:rPr>
        <w:t>100%</w:t>
      </w:r>
      <w:r>
        <w:rPr>
          <w:rStyle w:val="14"/>
          <w:rFonts w:hint="eastAsia" w:ascii="仿宋_GB2312" w:hAnsi="仿宋" w:eastAsia="仿宋_GB2312"/>
          <w:bCs/>
          <w:color w:val="000000"/>
          <w:sz w:val="32"/>
          <w:szCs w:val="32"/>
        </w:rPr>
        <w:t>。其中：</w:t>
      </w:r>
      <w:bookmarkEnd w:id="37"/>
      <w:bookmarkEnd w:id="38"/>
      <w:bookmarkEnd w:id="39"/>
    </w:p>
    <w:p>
      <w:pPr>
        <w:spacing w:line="600" w:lineRule="exact"/>
        <w:ind w:firstLine="643" w:firstLineChars="200"/>
        <w:rPr>
          <w:rFonts w:ascii="仿宋_GB2312" w:hAnsi="仿宋" w:eastAsia="仿宋_GB2312"/>
          <w:b/>
          <w:color w:val="000000"/>
          <w:sz w:val="32"/>
          <w:szCs w:val="32"/>
        </w:rPr>
      </w:pPr>
      <w:r>
        <w:rPr>
          <w:rStyle w:val="14"/>
          <w:rFonts w:ascii="仿宋_GB2312" w:hAnsi="仿宋" w:eastAsia="仿宋_GB2312"/>
          <w:bCs/>
          <w:color w:val="000000"/>
          <w:sz w:val="32"/>
          <w:szCs w:val="32"/>
        </w:rPr>
        <w:t>1.</w:t>
      </w:r>
      <w:r>
        <w:rPr>
          <w:rStyle w:val="14"/>
          <w:rFonts w:hint="eastAsia" w:ascii="仿宋_GB2312" w:hAnsi="仿宋" w:eastAsia="仿宋_GB2312"/>
          <w:bCs/>
          <w:color w:val="000000"/>
          <w:sz w:val="32"/>
          <w:szCs w:val="32"/>
        </w:rPr>
        <w:t>一般公共服务</w:t>
      </w:r>
      <w:r>
        <w:rPr>
          <w:rStyle w:val="14"/>
          <w:rFonts w:ascii="仿宋_GB2312" w:hAnsi="仿宋" w:eastAsia="仿宋_GB2312"/>
          <w:b w:val="0"/>
          <w:bCs/>
          <w:color w:val="000000"/>
          <w:sz w:val="32"/>
          <w:szCs w:val="32"/>
        </w:rPr>
        <w:t>2010101</w:t>
      </w:r>
      <w:r>
        <w:rPr>
          <w:rStyle w:val="14"/>
          <w:rFonts w:ascii="仿宋_GB2312" w:hAnsi="仿宋" w:eastAsia="仿宋_GB2312"/>
          <w:bCs/>
          <w:color w:val="000000"/>
          <w:sz w:val="32"/>
          <w:szCs w:val="32"/>
        </w:rPr>
        <w:t>:</w:t>
      </w:r>
      <w:r>
        <w:rPr>
          <w:rStyle w:val="14"/>
          <w:rFonts w:ascii="仿宋_GB2312" w:hAnsi="仿宋" w:eastAsia="仿宋_GB2312"/>
          <w:b w:val="0"/>
          <w:bCs/>
          <w:color w:val="000000"/>
          <w:sz w:val="32"/>
          <w:szCs w:val="32"/>
        </w:rPr>
        <w:t xml:space="preserve"> </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11.64</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2010104</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3.01</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2010301</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299.53</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2010601</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13.22</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2010602</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1.48</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96.1%</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2010650</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15.85</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2012399</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0.4</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2013101</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19.56</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；决算数小于预算数的主要原因是软件维修维护费结余待结转下年继续使用。</w:t>
      </w:r>
    </w:p>
    <w:p>
      <w:pPr>
        <w:spacing w:line="600" w:lineRule="exact"/>
        <w:ind w:firstLine="643" w:firstLineChars="200"/>
        <w:rPr>
          <w:rFonts w:ascii="仿宋_GB2312" w:hAnsi="仿宋" w:eastAsia="仿宋_GB2312"/>
          <w:b/>
          <w:color w:val="000000"/>
          <w:sz w:val="32"/>
          <w:szCs w:val="32"/>
        </w:rPr>
      </w:pPr>
      <w:r>
        <w:rPr>
          <w:rStyle w:val="14"/>
          <w:rFonts w:ascii="仿宋_GB2312" w:hAnsi="仿宋" w:eastAsia="仿宋_GB2312"/>
          <w:bCs/>
          <w:color w:val="000000"/>
          <w:sz w:val="32"/>
          <w:szCs w:val="32"/>
        </w:rPr>
        <w:t>2.</w:t>
      </w:r>
      <w:r>
        <w:rPr>
          <w:rStyle w:val="14"/>
          <w:rFonts w:hint="eastAsia" w:ascii="仿宋_GB2312" w:hAnsi="仿宋" w:eastAsia="仿宋_GB2312"/>
          <w:bCs/>
          <w:color w:val="000000"/>
          <w:sz w:val="32"/>
          <w:szCs w:val="32"/>
        </w:rPr>
        <w:t>社会保障和就业</w:t>
      </w:r>
      <w:r>
        <w:rPr>
          <w:rStyle w:val="14"/>
          <w:rFonts w:ascii="仿宋_GB2312" w:hAnsi="仿宋" w:eastAsia="仿宋_GB2312"/>
          <w:b w:val="0"/>
          <w:bCs/>
          <w:color w:val="000000"/>
          <w:sz w:val="32"/>
          <w:szCs w:val="32"/>
        </w:rPr>
        <w:t xml:space="preserve">2080109: </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15.73</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2080208</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51.25</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2080504</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7.13</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2080505</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56.38</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2080802</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17.05</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2081501</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10</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2082102</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29.51</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p>
    <w:p>
      <w:pPr>
        <w:spacing w:line="600" w:lineRule="exact"/>
        <w:ind w:firstLine="643" w:firstLineChars="200"/>
        <w:rPr>
          <w:rStyle w:val="14"/>
          <w:rFonts w:ascii="仿宋_GB2312" w:hAnsi="仿宋" w:eastAsia="仿宋_GB2312"/>
          <w:b w:val="0"/>
          <w:bCs/>
          <w:color w:val="000000"/>
          <w:sz w:val="32"/>
          <w:szCs w:val="32"/>
        </w:rPr>
      </w:pPr>
      <w:r>
        <w:rPr>
          <w:rStyle w:val="14"/>
          <w:rFonts w:ascii="仿宋_GB2312" w:hAnsi="仿宋" w:eastAsia="仿宋_GB2312"/>
          <w:bCs/>
          <w:color w:val="000000"/>
          <w:sz w:val="32"/>
          <w:szCs w:val="32"/>
        </w:rPr>
        <w:t>3.</w:t>
      </w:r>
      <w:r>
        <w:rPr>
          <w:rStyle w:val="14"/>
          <w:rFonts w:hint="eastAsia" w:ascii="仿宋_GB2312" w:hAnsi="仿宋" w:eastAsia="仿宋_GB2312"/>
          <w:bCs/>
          <w:color w:val="000000"/>
          <w:sz w:val="32"/>
          <w:szCs w:val="32"/>
        </w:rPr>
        <w:t>医疗卫生与计划生育</w:t>
      </w:r>
      <w:r>
        <w:rPr>
          <w:rStyle w:val="14"/>
          <w:rFonts w:ascii="仿宋_GB2312" w:hAnsi="仿宋" w:eastAsia="仿宋_GB2312"/>
          <w:b w:val="0"/>
          <w:bCs/>
          <w:color w:val="000000"/>
          <w:sz w:val="32"/>
          <w:szCs w:val="32"/>
        </w:rPr>
        <w:t>2100199:</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0.17</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2100799</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30.96</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p>
    <w:p>
      <w:pPr>
        <w:spacing w:line="600" w:lineRule="exact"/>
        <w:ind w:firstLine="643" w:firstLineChars="200"/>
        <w:rPr>
          <w:rStyle w:val="14"/>
          <w:rFonts w:ascii="仿宋_GB2312" w:hAnsi="仿宋" w:eastAsia="仿宋_GB2312"/>
          <w:b w:val="0"/>
          <w:bCs/>
          <w:color w:val="000000"/>
          <w:sz w:val="32"/>
          <w:szCs w:val="32"/>
        </w:rPr>
      </w:pPr>
      <w:r>
        <w:rPr>
          <w:rStyle w:val="14"/>
          <w:rFonts w:ascii="仿宋_GB2312" w:hAnsi="仿宋" w:eastAsia="仿宋_GB2312"/>
          <w:bCs/>
          <w:color w:val="000000"/>
          <w:sz w:val="32"/>
          <w:szCs w:val="32"/>
        </w:rPr>
        <w:t>4.</w:t>
      </w:r>
      <w:r>
        <w:rPr>
          <w:rStyle w:val="14"/>
          <w:rFonts w:hint="eastAsia" w:ascii="仿宋_GB2312" w:hAnsi="仿宋" w:eastAsia="仿宋_GB2312"/>
          <w:bCs/>
          <w:color w:val="000000"/>
          <w:sz w:val="32"/>
          <w:szCs w:val="32"/>
        </w:rPr>
        <w:t>城乡社区环境卫生</w:t>
      </w:r>
      <w:r>
        <w:rPr>
          <w:rStyle w:val="14"/>
          <w:rFonts w:ascii="仿宋_GB2312" w:hAnsi="仿宋" w:eastAsia="仿宋_GB2312"/>
          <w:b w:val="0"/>
          <w:bCs/>
          <w:color w:val="000000"/>
          <w:sz w:val="32"/>
          <w:szCs w:val="32"/>
        </w:rPr>
        <w:t>2120501</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0</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0%</w:t>
      </w:r>
      <w:r>
        <w:rPr>
          <w:rStyle w:val="14"/>
          <w:rFonts w:hint="eastAsia" w:ascii="仿宋_GB2312" w:hAnsi="仿宋" w:eastAsia="仿宋_GB2312"/>
          <w:b w:val="0"/>
          <w:bCs/>
          <w:color w:val="000000"/>
          <w:sz w:val="32"/>
          <w:szCs w:val="32"/>
        </w:rPr>
        <w:t>，决算数小于预算数的主要原因是基本结余资金结转用作项目资金用于弥补城维费不足，结转下年继续支出使用。</w:t>
      </w:r>
    </w:p>
    <w:p>
      <w:pPr>
        <w:spacing w:line="600" w:lineRule="exact"/>
        <w:ind w:firstLine="643" w:firstLineChars="200"/>
        <w:rPr>
          <w:rFonts w:ascii="仿宋_GB2312" w:hAnsi="仿宋" w:eastAsia="仿宋_GB2312"/>
          <w:b/>
          <w:color w:val="000000"/>
          <w:sz w:val="32"/>
          <w:szCs w:val="32"/>
        </w:rPr>
      </w:pPr>
      <w:r>
        <w:rPr>
          <w:rFonts w:ascii="仿宋_GB2312" w:hAnsi="仿宋" w:eastAsia="仿宋_GB2312"/>
          <w:b/>
          <w:color w:val="000000"/>
          <w:sz w:val="32"/>
          <w:szCs w:val="32"/>
        </w:rPr>
        <w:t>5.</w:t>
      </w:r>
      <w:r>
        <w:rPr>
          <w:rFonts w:hint="eastAsia" w:ascii="仿宋_GB2312" w:hAnsi="仿宋" w:eastAsia="仿宋_GB2312"/>
          <w:b/>
          <w:color w:val="000000"/>
          <w:sz w:val="32"/>
          <w:szCs w:val="32"/>
        </w:rPr>
        <w:t>农林水</w:t>
      </w:r>
      <w:r>
        <w:rPr>
          <w:rFonts w:ascii="仿宋_GB2312" w:hAnsi="仿宋" w:eastAsia="仿宋_GB2312"/>
          <w:color w:val="000000"/>
          <w:sz w:val="32"/>
          <w:szCs w:val="32"/>
        </w:rPr>
        <w:t>2130104</w:t>
      </w:r>
      <w:r>
        <w:rPr>
          <w:rFonts w:hint="eastAsia" w:ascii="仿宋_GB2312" w:hAnsi="仿宋" w:eastAsia="仿宋_GB2312"/>
          <w:color w:val="000000"/>
          <w:sz w:val="32"/>
          <w:szCs w:val="32"/>
        </w:rPr>
        <w:t>：</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2130204</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11.8</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2130701</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0</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0%</w:t>
      </w:r>
      <w:r>
        <w:rPr>
          <w:rStyle w:val="14"/>
          <w:rFonts w:hint="eastAsia" w:ascii="仿宋_GB2312" w:hAnsi="仿宋" w:eastAsia="仿宋_GB2312"/>
          <w:b w:val="0"/>
          <w:bCs/>
          <w:color w:val="000000"/>
          <w:sz w:val="32"/>
          <w:szCs w:val="32"/>
        </w:rPr>
        <w:t>，决算数小于预算数的主要原因是</w:t>
      </w:r>
      <w:r>
        <w:rPr>
          <w:rStyle w:val="14"/>
          <w:rFonts w:ascii="仿宋_GB2312" w:hAnsi="仿宋" w:eastAsia="仿宋_GB2312"/>
          <w:b w:val="0"/>
          <w:bCs/>
          <w:color w:val="000000"/>
          <w:sz w:val="32"/>
          <w:szCs w:val="32"/>
        </w:rPr>
        <w:t>2018</w:t>
      </w:r>
      <w:r>
        <w:rPr>
          <w:rStyle w:val="14"/>
          <w:rFonts w:hint="eastAsia" w:ascii="仿宋_GB2312" w:hAnsi="仿宋" w:eastAsia="仿宋_GB2312"/>
          <w:b w:val="0"/>
          <w:bCs/>
          <w:color w:val="000000"/>
          <w:sz w:val="32"/>
          <w:szCs w:val="32"/>
        </w:rPr>
        <w:t>年红格镇农村一事一议项目资金，已实施完工未支付，待结转下年继续支出使用；</w:t>
      </w:r>
      <w:r>
        <w:rPr>
          <w:rStyle w:val="14"/>
          <w:rFonts w:ascii="仿宋_GB2312" w:hAnsi="仿宋" w:eastAsia="仿宋_GB2312"/>
          <w:b w:val="0"/>
          <w:bCs/>
          <w:color w:val="000000"/>
          <w:sz w:val="32"/>
          <w:szCs w:val="32"/>
        </w:rPr>
        <w:t>2130705</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94.95</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Style w:val="14"/>
          <w:rFonts w:ascii="仿宋_GB2312" w:hAnsi="仿宋" w:eastAsia="仿宋_GB2312"/>
          <w:b w:val="0"/>
          <w:bCs/>
          <w:color w:val="000000"/>
          <w:sz w:val="32"/>
          <w:szCs w:val="32"/>
        </w:rPr>
        <w:t>2130706</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10</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9.09%</w:t>
      </w:r>
      <w:r>
        <w:rPr>
          <w:rStyle w:val="14"/>
          <w:rFonts w:hint="eastAsia" w:ascii="仿宋_GB2312" w:hAnsi="仿宋" w:eastAsia="仿宋_GB2312"/>
          <w:b w:val="0"/>
          <w:bCs/>
          <w:color w:val="000000"/>
          <w:sz w:val="32"/>
          <w:szCs w:val="32"/>
        </w:rPr>
        <w:t>，决算数小于预算数的主要原因是扶持村集体经济资金用于昔格达文化田园建设已实施未支付，待结转下年继续支出使用。</w:t>
      </w:r>
    </w:p>
    <w:p>
      <w:pPr>
        <w:spacing w:line="600" w:lineRule="exact"/>
        <w:ind w:firstLine="643" w:firstLineChars="200"/>
        <w:rPr>
          <w:rFonts w:ascii="仿宋_GB2312" w:hAnsi="仿宋" w:eastAsia="仿宋_GB2312"/>
          <w:b/>
          <w:color w:val="000000"/>
          <w:sz w:val="32"/>
          <w:szCs w:val="32"/>
        </w:rPr>
      </w:pPr>
      <w:r>
        <w:rPr>
          <w:rFonts w:ascii="仿宋_GB2312" w:hAnsi="仿宋" w:eastAsia="仿宋_GB2312"/>
          <w:b/>
          <w:color w:val="000000"/>
          <w:sz w:val="32"/>
          <w:szCs w:val="32"/>
        </w:rPr>
        <w:t>6.</w:t>
      </w:r>
      <w:r>
        <w:rPr>
          <w:rFonts w:hint="eastAsia" w:ascii="仿宋_GB2312" w:hAnsi="仿宋" w:eastAsia="仿宋_GB2312"/>
          <w:b/>
          <w:color w:val="000000"/>
          <w:sz w:val="32"/>
          <w:szCs w:val="32"/>
        </w:rPr>
        <w:t>住房保障</w:t>
      </w:r>
      <w:r>
        <w:rPr>
          <w:rFonts w:ascii="仿宋_GB2312" w:hAnsi="仿宋" w:eastAsia="仿宋_GB2312"/>
          <w:color w:val="000000"/>
          <w:sz w:val="32"/>
          <w:szCs w:val="32"/>
        </w:rPr>
        <w:t>2210201</w:t>
      </w:r>
      <w:r>
        <w:rPr>
          <w:rFonts w:hint="eastAsia" w:ascii="仿宋_GB2312" w:hAnsi="仿宋" w:eastAsia="仿宋_GB2312"/>
          <w:color w:val="000000"/>
          <w:sz w:val="32"/>
          <w:szCs w:val="32"/>
        </w:rPr>
        <w:t>：</w:t>
      </w:r>
      <w:r>
        <w:rPr>
          <w:rStyle w:val="14"/>
          <w:rFonts w:hint="eastAsia" w:ascii="仿宋_GB2312" w:hAnsi="仿宋" w:eastAsia="仿宋_GB2312"/>
          <w:b w:val="0"/>
          <w:bCs/>
          <w:color w:val="000000"/>
          <w:sz w:val="32"/>
          <w:szCs w:val="32"/>
        </w:rPr>
        <w:t>支出决算为</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万元，完成预算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08</w:t>
      </w:r>
      <w:r>
        <w:rPr>
          <w:rFonts w:hint="eastAsia" w:ascii="仿宋" w:hAnsi="仿宋" w:eastAsia="仿宋"/>
          <w:b/>
          <w:color w:val="000000"/>
          <w:sz w:val="32"/>
          <w:szCs w:val="32"/>
        </w:rPr>
        <w:t>表，罗列全部功能分类科目至项级。上述“预算”口径为调整预算数。增减变动原因为决算数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和调整预算数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比较，与预算数持平可以不写原因。）</w:t>
      </w:r>
    </w:p>
    <w:p>
      <w:pPr>
        <w:tabs>
          <w:tab w:val="right" w:pos="8306"/>
        </w:tabs>
        <w:spacing w:line="600" w:lineRule="exact"/>
        <w:ind w:firstLine="640"/>
        <w:outlineLvl w:val="1"/>
        <w:rPr>
          <w:rStyle w:val="17"/>
        </w:rPr>
      </w:pPr>
      <w:bookmarkStart w:id="40" w:name="_Toc15377214"/>
      <w:bookmarkStart w:id="41" w:name="_Toc15396608"/>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17"/>
          <w:rFonts w:hint="eastAsia" w:ascii="黑体" w:hAnsi="黑体" w:eastAsia="黑体"/>
          <w:b w:val="0"/>
        </w:rPr>
        <w:t>般公共预算财政拨款基本支出决算情况说明</w:t>
      </w:r>
      <w:bookmarkEnd w:id="40"/>
      <w:bookmarkEnd w:id="41"/>
      <w:r>
        <w:rPr>
          <w:rStyle w:val="17"/>
          <w:rFonts w:ascii="黑体" w:hAnsi="黑体" w:eastAsia="黑体"/>
          <w:b w:val="0"/>
        </w:rPr>
        <w:tab/>
      </w:r>
    </w:p>
    <w:p>
      <w:pPr>
        <w:spacing w:line="600" w:lineRule="exact"/>
        <w:ind w:firstLine="645"/>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年一般公共预算财政拨款基本支出</w:t>
      </w:r>
      <w:r>
        <w:rPr>
          <w:rFonts w:ascii="仿宋_GB2312" w:hAnsi="仿宋" w:eastAsia="仿宋_GB2312"/>
          <w:color w:val="000000"/>
          <w:sz w:val="32"/>
          <w:szCs w:val="32"/>
        </w:rPr>
        <w:t>729.94</w:t>
      </w:r>
      <w:r>
        <w:rPr>
          <w:rFonts w:hint="eastAsia" w:ascii="仿宋_GB2312" w:hAnsi="仿宋" w:eastAsia="仿宋_GB2312"/>
          <w:color w:val="000000"/>
          <w:sz w:val="32"/>
          <w:szCs w:val="32"/>
        </w:rPr>
        <w:t>万元，其中：</w:t>
      </w:r>
    </w:p>
    <w:p>
      <w:pPr>
        <w:spacing w:line="600" w:lineRule="exact"/>
        <w:ind w:firstLine="645"/>
        <w:rPr>
          <w:rFonts w:ascii="仿宋_GB2312" w:hAnsi="仿宋" w:eastAsia="仿宋_GB2312"/>
          <w:color w:val="000000"/>
          <w:sz w:val="32"/>
          <w:szCs w:val="32"/>
        </w:rPr>
      </w:pPr>
      <w:r>
        <w:rPr>
          <w:rFonts w:hint="eastAsia" w:ascii="仿宋_GB2312" w:hAnsi="仿宋" w:eastAsia="仿宋_GB2312"/>
          <w:color w:val="000000"/>
          <w:sz w:val="32"/>
          <w:szCs w:val="32"/>
        </w:rPr>
        <w:t>人员经费</w:t>
      </w:r>
      <w:r>
        <w:rPr>
          <w:rFonts w:ascii="仿宋_GB2312" w:hAnsi="仿宋" w:eastAsia="仿宋_GB2312"/>
          <w:color w:val="000000"/>
          <w:sz w:val="32"/>
          <w:szCs w:val="32"/>
        </w:rPr>
        <w:t>614.91</w:t>
      </w:r>
      <w:r>
        <w:rPr>
          <w:rFonts w:hint="eastAsia" w:ascii="仿宋_GB2312" w:hAnsi="仿宋" w:eastAsia="仿宋_GB2312"/>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p>
    <w:p>
      <w:pPr>
        <w:spacing w:line="600" w:lineRule="exact"/>
        <w:rPr>
          <w:rFonts w:ascii="仿宋_GB2312" w:hAnsi="仿宋" w:eastAsia="仿宋_GB2312"/>
          <w:color w:val="000000"/>
          <w:sz w:val="32"/>
          <w:szCs w:val="32"/>
        </w:rPr>
      </w:pPr>
      <w:r>
        <w:rPr>
          <w:rFonts w:hint="eastAsia" w:ascii="仿宋_GB2312" w:hAnsi="仿宋" w:eastAsia="仿宋_GB2312"/>
          <w:color w:val="000000"/>
          <w:sz w:val="32"/>
          <w:szCs w:val="32"/>
        </w:rPr>
        <w:t>　　公用经费</w:t>
      </w:r>
      <w:r>
        <w:rPr>
          <w:rFonts w:ascii="仿宋_GB2312" w:hAnsi="仿宋" w:eastAsia="仿宋_GB2312"/>
          <w:color w:val="000000"/>
          <w:sz w:val="32"/>
          <w:szCs w:val="32"/>
        </w:rPr>
        <w:t>115.03</w:t>
      </w:r>
      <w:r>
        <w:rPr>
          <w:rFonts w:hint="eastAsia" w:ascii="仿宋_GB2312" w:hAnsi="仿宋" w:eastAsia="仿宋_GB2312"/>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07</w:t>
      </w:r>
      <w:r>
        <w:rPr>
          <w:rFonts w:hint="eastAsia" w:ascii="仿宋" w:hAnsi="仿宋" w:eastAsia="仿宋"/>
          <w:b/>
          <w:color w:val="000000"/>
          <w:sz w:val="32"/>
          <w:szCs w:val="32"/>
        </w:rPr>
        <w:t>表，根据本部门实际支出情况罗列全部经济分类科目。）</w:t>
      </w:r>
    </w:p>
    <w:p>
      <w:pPr>
        <w:spacing w:line="600" w:lineRule="exact"/>
        <w:ind w:firstLine="640"/>
        <w:outlineLvl w:val="1"/>
        <w:rPr>
          <w:rStyle w:val="17"/>
          <w:rFonts w:ascii="黑体" w:hAnsi="黑体" w:eastAsia="黑体"/>
          <w:b w:val="0"/>
        </w:rPr>
      </w:pPr>
      <w:bookmarkStart w:id="42" w:name="_Toc15396609"/>
      <w:bookmarkStart w:id="43" w:name="_Toc15377215"/>
      <w:r>
        <w:rPr>
          <w:rFonts w:hint="eastAsia" w:ascii="黑体" w:eastAsia="黑体"/>
          <w:color w:val="000000"/>
          <w:sz w:val="32"/>
          <w:szCs w:val="32"/>
        </w:rPr>
        <w:t>七、</w:t>
      </w:r>
      <w:r>
        <w:rPr>
          <w:rStyle w:val="17"/>
          <w:rFonts w:hint="eastAsia" w:ascii="黑体" w:hAnsi="黑体" w:eastAsia="黑体"/>
        </w:rPr>
        <w:t>“</w:t>
      </w:r>
      <w:r>
        <w:rPr>
          <w:rStyle w:val="17"/>
          <w:rFonts w:hint="eastAsia" w:ascii="黑体" w:hAnsi="黑体" w:eastAsia="黑体"/>
          <w:b w:val="0"/>
        </w:rPr>
        <w:t>三公”经费财政拨款支出决算情况说明</w:t>
      </w:r>
      <w:bookmarkEnd w:id="42"/>
      <w:bookmarkEnd w:id="43"/>
    </w:p>
    <w:p>
      <w:pPr>
        <w:spacing w:line="600" w:lineRule="exact"/>
        <w:ind w:firstLine="640"/>
        <w:outlineLvl w:val="2"/>
        <w:rPr>
          <w:rFonts w:ascii="仿宋" w:hAnsi="仿宋" w:eastAsia="仿宋"/>
          <w:b/>
          <w:color w:val="000000"/>
          <w:sz w:val="32"/>
          <w:szCs w:val="32"/>
        </w:rPr>
      </w:pPr>
      <w:bookmarkStart w:id="44" w:name="_Toc15377216"/>
      <w:r>
        <w:rPr>
          <w:rFonts w:hint="eastAsia" w:ascii="仿宋" w:hAnsi="仿宋" w:eastAsia="仿宋"/>
          <w:b/>
          <w:color w:val="000000"/>
          <w:sz w:val="32"/>
          <w:szCs w:val="32"/>
        </w:rPr>
        <w:t>（一）“三公”经费财政拨款支出决算总体情况说明</w:t>
      </w:r>
      <w:bookmarkEnd w:id="44"/>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年“三公”经费财政拨款支出决算为</w:t>
      </w:r>
      <w:r>
        <w:rPr>
          <w:rFonts w:ascii="仿宋_GB2312" w:hAnsi="仿宋" w:eastAsia="仿宋_GB2312"/>
          <w:color w:val="000000"/>
          <w:sz w:val="32"/>
          <w:szCs w:val="32"/>
        </w:rPr>
        <w:t>8.04</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（上述“预算”口径为调整预算数，包括政府性基金支出决算情况。）</w:t>
      </w:r>
    </w:p>
    <w:p>
      <w:pPr>
        <w:spacing w:line="600" w:lineRule="exact"/>
        <w:ind w:firstLine="640"/>
        <w:outlineLvl w:val="2"/>
        <w:rPr>
          <w:rFonts w:ascii="仿宋" w:hAnsi="仿宋" w:eastAsia="仿宋"/>
          <w:b/>
          <w:color w:val="000000"/>
          <w:sz w:val="32"/>
          <w:szCs w:val="32"/>
        </w:rPr>
      </w:pPr>
      <w:bookmarkStart w:id="45" w:name="_Toc15377217"/>
      <w:r>
        <w:rPr>
          <w:rFonts w:hint="eastAsia" w:ascii="仿宋" w:hAnsi="仿宋" w:eastAsia="仿宋"/>
          <w:b/>
          <w:color w:val="000000"/>
          <w:sz w:val="32"/>
          <w:szCs w:val="32"/>
        </w:rPr>
        <w:t>（二）“三公”经费财政拨款支出决算具体情况说明</w:t>
      </w:r>
      <w:bookmarkEnd w:id="45"/>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年“三公”经费财政拨款支出决算中，因公出国（境）费支出决算</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；公务用车购置及运行维护费支出决算</w:t>
      </w:r>
      <w:r>
        <w:rPr>
          <w:rFonts w:ascii="仿宋_GB2312" w:hAnsi="仿宋" w:eastAsia="仿宋_GB2312"/>
          <w:color w:val="000000"/>
          <w:sz w:val="32"/>
          <w:szCs w:val="32"/>
        </w:rPr>
        <w:t>6.37</w:t>
      </w:r>
      <w:r>
        <w:rPr>
          <w:rFonts w:hint="eastAsia" w:ascii="仿宋_GB2312" w:hAnsi="仿宋" w:eastAsia="仿宋_GB2312"/>
          <w:color w:val="000000"/>
          <w:sz w:val="32"/>
          <w:szCs w:val="32"/>
        </w:rPr>
        <w:t>万元，占</w:t>
      </w:r>
      <w:r>
        <w:rPr>
          <w:rFonts w:ascii="仿宋_GB2312" w:hAnsi="仿宋" w:eastAsia="仿宋_GB2312"/>
          <w:color w:val="000000"/>
          <w:sz w:val="32"/>
          <w:szCs w:val="32"/>
        </w:rPr>
        <w:t>79.23%</w:t>
      </w:r>
      <w:r>
        <w:rPr>
          <w:rFonts w:hint="eastAsia" w:ascii="仿宋_GB2312" w:hAnsi="仿宋" w:eastAsia="仿宋_GB2312"/>
          <w:color w:val="000000"/>
          <w:sz w:val="32"/>
          <w:szCs w:val="32"/>
        </w:rPr>
        <w:t>；公务接待费支出决算</w:t>
      </w:r>
      <w:r>
        <w:rPr>
          <w:rFonts w:ascii="仿宋_GB2312" w:hAnsi="仿宋" w:eastAsia="仿宋_GB2312"/>
          <w:color w:val="000000"/>
          <w:sz w:val="32"/>
          <w:szCs w:val="32"/>
        </w:rPr>
        <w:t>1.67</w:t>
      </w:r>
      <w:r>
        <w:rPr>
          <w:rFonts w:hint="eastAsia" w:ascii="仿宋_GB2312" w:hAnsi="仿宋" w:eastAsia="仿宋_GB2312"/>
          <w:color w:val="000000"/>
          <w:sz w:val="32"/>
          <w:szCs w:val="32"/>
        </w:rPr>
        <w:t>万元，占</w:t>
      </w:r>
      <w:r>
        <w:rPr>
          <w:rFonts w:ascii="仿宋_GB2312" w:hAnsi="仿宋" w:eastAsia="仿宋_GB2312"/>
          <w:color w:val="000000"/>
          <w:sz w:val="32"/>
          <w:szCs w:val="32"/>
        </w:rPr>
        <w:t>20.77%</w:t>
      </w:r>
      <w:r>
        <w:rPr>
          <w:rFonts w:hint="eastAsia" w:ascii="仿宋_GB2312" w:hAnsi="仿宋" w:eastAsia="仿宋_GB2312"/>
          <w:color w:val="000000"/>
          <w:sz w:val="32"/>
          <w:szCs w:val="32"/>
        </w:rPr>
        <w:t>。具体情况如下：</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公务用车购置及运行维护费支出</w:t>
      </w:r>
      <w:r>
        <w:rPr>
          <w:rFonts w:ascii="仿宋_GB2312" w:eastAsia="仿宋_GB2312"/>
          <w:color w:val="000000"/>
          <w:sz w:val="32"/>
          <w:szCs w:val="32"/>
        </w:rPr>
        <w:t>6.37</w:t>
      </w:r>
      <w:r>
        <w:rPr>
          <w:rFonts w:hint="eastAsia" w:ascii="仿宋_GB2312" w:eastAsia="仿宋_GB2312"/>
          <w:color w:val="000000"/>
          <w:sz w:val="32"/>
          <w:szCs w:val="32"/>
        </w:rPr>
        <w:t>万元</w:t>
      </w:r>
      <w:r>
        <w:rPr>
          <w:rFonts w:ascii="仿宋_GB2312" w:eastAsia="仿宋_GB2312"/>
          <w:color w:val="000000"/>
          <w:sz w:val="32"/>
          <w:szCs w:val="32"/>
        </w:rPr>
        <w:t>,</w:t>
      </w:r>
      <w:r>
        <w:rPr>
          <w:rStyle w:val="14"/>
          <w:rFonts w:hint="eastAsia" w:ascii="仿宋_GB2312" w:hAnsi="仿宋" w:eastAsia="仿宋_GB2312"/>
          <w:b w:val="0"/>
          <w:bCs/>
          <w:color w:val="000000"/>
          <w:sz w:val="32"/>
          <w:szCs w:val="32"/>
        </w:rPr>
        <w:t>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2017</w:t>
      </w:r>
      <w:r>
        <w:rPr>
          <w:rFonts w:hint="eastAsia" w:ascii="仿宋_GB2312" w:eastAsia="仿宋_GB2312"/>
          <w:color w:val="000000"/>
          <w:sz w:val="32"/>
          <w:szCs w:val="32"/>
        </w:rPr>
        <w:t>年增加</w:t>
      </w:r>
      <w:r>
        <w:rPr>
          <w:rFonts w:ascii="仿宋_GB2312" w:eastAsia="仿宋_GB2312"/>
          <w:color w:val="000000"/>
          <w:sz w:val="32"/>
          <w:szCs w:val="32"/>
        </w:rPr>
        <w:t>0.25</w:t>
      </w:r>
      <w:r>
        <w:rPr>
          <w:rFonts w:hint="eastAsia" w:ascii="仿宋_GB2312" w:eastAsia="仿宋_GB2312"/>
          <w:color w:val="000000"/>
          <w:sz w:val="32"/>
          <w:szCs w:val="32"/>
        </w:rPr>
        <w:t>万元，增长</w:t>
      </w:r>
      <w:r>
        <w:rPr>
          <w:rFonts w:ascii="仿宋_GB2312" w:eastAsia="仿宋_GB2312"/>
          <w:color w:val="000000"/>
          <w:sz w:val="32"/>
          <w:szCs w:val="32"/>
        </w:rPr>
        <w:t>4.08%</w:t>
      </w:r>
      <w:r>
        <w:rPr>
          <w:rFonts w:hint="eastAsia" w:ascii="仿宋_GB2312" w:eastAsia="仿宋_GB2312"/>
          <w:color w:val="000000"/>
          <w:sz w:val="32"/>
          <w:szCs w:val="32"/>
        </w:rPr>
        <w:t>。主要原因是车辆维修维护、燃料费用等增加。</w:t>
      </w:r>
    </w:p>
    <w:p>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ascii="仿宋_GB2312" w:eastAsia="仿宋_GB2312"/>
          <w:color w:val="000000"/>
          <w:sz w:val="32"/>
          <w:szCs w:val="32"/>
        </w:rPr>
        <w:t>6.37</w:t>
      </w:r>
      <w:r>
        <w:rPr>
          <w:rFonts w:hint="eastAsia" w:ascii="仿宋_GB2312" w:eastAsia="仿宋_GB2312"/>
          <w:color w:val="000000"/>
          <w:sz w:val="32"/>
          <w:szCs w:val="32"/>
        </w:rPr>
        <w:t>万元。主要用于政府下村、开会等所需的公务用车燃料费、维修费、过路过桥费、保险费等支出。</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ascii="仿宋_GB2312" w:eastAsia="仿宋_GB2312"/>
          <w:color w:val="000000"/>
          <w:sz w:val="32"/>
          <w:szCs w:val="32"/>
        </w:rPr>
        <w:t>1.67</w:t>
      </w:r>
      <w:r>
        <w:rPr>
          <w:rFonts w:hint="eastAsia" w:ascii="仿宋_GB2312" w:eastAsia="仿宋_GB2312"/>
          <w:color w:val="000000"/>
          <w:sz w:val="32"/>
          <w:szCs w:val="32"/>
        </w:rPr>
        <w:t>万元，</w:t>
      </w:r>
      <w:r>
        <w:rPr>
          <w:rStyle w:val="14"/>
          <w:rFonts w:hint="eastAsia" w:ascii="仿宋_GB2312" w:hAnsi="仿宋" w:eastAsia="仿宋_GB2312"/>
          <w:b w:val="0"/>
          <w:bCs/>
          <w:color w:val="000000"/>
          <w:sz w:val="32"/>
          <w:szCs w:val="32"/>
        </w:rPr>
        <w:t>完成预算</w:t>
      </w:r>
      <w:r>
        <w:rPr>
          <w:rStyle w:val="14"/>
          <w:rFonts w:ascii="仿宋_GB2312" w:hAnsi="仿宋" w:eastAsia="仿宋_GB2312"/>
          <w:b w:val="0"/>
          <w:bCs/>
          <w:color w:val="000000"/>
          <w:sz w:val="32"/>
          <w:szCs w:val="32"/>
        </w:rPr>
        <w:t>100%</w:t>
      </w:r>
      <w:r>
        <w:rPr>
          <w:rStyle w:val="14"/>
          <w:rFonts w:hint="eastAsia" w:ascii="仿宋_GB2312" w:hAnsi="仿宋" w:eastAsia="仿宋_GB2312"/>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2017</w:t>
      </w:r>
      <w:r>
        <w:rPr>
          <w:rFonts w:hint="eastAsia" w:ascii="仿宋_GB2312" w:eastAsia="仿宋_GB2312"/>
          <w:color w:val="000000"/>
          <w:sz w:val="32"/>
          <w:szCs w:val="32"/>
        </w:rPr>
        <w:t>年增加</w:t>
      </w:r>
      <w:r>
        <w:rPr>
          <w:rFonts w:ascii="仿宋_GB2312" w:eastAsia="仿宋_GB2312"/>
          <w:color w:val="000000"/>
          <w:sz w:val="32"/>
          <w:szCs w:val="32"/>
        </w:rPr>
        <w:t>0.51</w:t>
      </w:r>
      <w:r>
        <w:rPr>
          <w:rFonts w:hint="eastAsia" w:ascii="仿宋_GB2312" w:eastAsia="仿宋_GB2312"/>
          <w:color w:val="000000"/>
          <w:sz w:val="32"/>
          <w:szCs w:val="32"/>
        </w:rPr>
        <w:t>万元，增长</w:t>
      </w:r>
      <w:r>
        <w:rPr>
          <w:rFonts w:ascii="仿宋_GB2312" w:eastAsia="仿宋_GB2312"/>
          <w:color w:val="000000"/>
          <w:sz w:val="32"/>
          <w:szCs w:val="32"/>
        </w:rPr>
        <w:t>43.97%</w:t>
      </w:r>
      <w:r>
        <w:rPr>
          <w:rFonts w:hint="eastAsia" w:ascii="仿宋_GB2312" w:eastAsia="仿宋_GB2312"/>
          <w:color w:val="000000"/>
          <w:sz w:val="32"/>
          <w:szCs w:val="32"/>
        </w:rPr>
        <w:t>。主要原因是接待人次增加。</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主要用于执行公务、开展业务活动开支的交通费、住宿费、用餐费等。国内公务接待</w:t>
      </w:r>
      <w:r>
        <w:rPr>
          <w:rFonts w:ascii="仿宋_GB2312" w:eastAsia="仿宋_GB2312"/>
          <w:color w:val="000000"/>
          <w:sz w:val="32"/>
          <w:szCs w:val="32"/>
        </w:rPr>
        <w:t>90</w:t>
      </w:r>
      <w:r>
        <w:rPr>
          <w:rFonts w:hint="eastAsia" w:ascii="仿宋_GB2312" w:eastAsia="仿宋_GB2312"/>
          <w:color w:val="000000"/>
          <w:sz w:val="32"/>
          <w:szCs w:val="32"/>
        </w:rPr>
        <w:t>批次，</w:t>
      </w:r>
      <w:r>
        <w:rPr>
          <w:rFonts w:ascii="仿宋_GB2312" w:eastAsia="仿宋_GB2312"/>
          <w:color w:val="000000"/>
          <w:sz w:val="32"/>
          <w:szCs w:val="32"/>
        </w:rPr>
        <w:t>670</w:t>
      </w:r>
      <w:r>
        <w:rPr>
          <w:rFonts w:hint="eastAsia" w:ascii="仿宋_GB2312" w:eastAsia="仿宋_GB2312"/>
          <w:color w:val="000000"/>
          <w:sz w:val="32"/>
          <w:szCs w:val="32"/>
        </w:rPr>
        <w:t>人次（不包括陪同人员），共计支出</w:t>
      </w:r>
      <w:r>
        <w:rPr>
          <w:rFonts w:ascii="仿宋_GB2312" w:eastAsia="仿宋_GB2312"/>
          <w:color w:val="000000"/>
          <w:sz w:val="32"/>
          <w:szCs w:val="32"/>
        </w:rPr>
        <w:t>1.67</w:t>
      </w:r>
      <w:r>
        <w:rPr>
          <w:rFonts w:hint="eastAsia" w:ascii="仿宋_GB2312" w:eastAsia="仿宋_GB2312"/>
          <w:color w:val="000000"/>
          <w:sz w:val="32"/>
          <w:szCs w:val="32"/>
        </w:rPr>
        <w:t>万元，具体内容包括：市、县统计局检查农村住房调查工作，</w:t>
      </w:r>
      <w:r>
        <w:rPr>
          <w:rFonts w:ascii="仿宋_GB2312" w:eastAsia="仿宋_GB2312"/>
          <w:color w:val="000000"/>
          <w:sz w:val="32"/>
          <w:szCs w:val="32"/>
        </w:rPr>
        <w:t>470</w:t>
      </w:r>
      <w:r>
        <w:rPr>
          <w:rFonts w:hint="eastAsia" w:ascii="仿宋_GB2312" w:eastAsia="仿宋_GB2312"/>
          <w:color w:val="000000"/>
          <w:sz w:val="32"/>
          <w:szCs w:val="32"/>
        </w:rPr>
        <w:t>元；市监局检查“华羽赛”期间食品安全保障，</w:t>
      </w:r>
      <w:r>
        <w:rPr>
          <w:rFonts w:ascii="仿宋_GB2312" w:eastAsia="仿宋_GB2312"/>
          <w:color w:val="000000"/>
          <w:sz w:val="32"/>
          <w:szCs w:val="32"/>
        </w:rPr>
        <w:t>1200</w:t>
      </w:r>
      <w:r>
        <w:rPr>
          <w:rFonts w:hint="eastAsia" w:ascii="仿宋_GB2312" w:eastAsia="仿宋_GB2312"/>
          <w:color w:val="000000"/>
          <w:sz w:val="32"/>
          <w:szCs w:val="32"/>
        </w:rPr>
        <w:t>元；市监局检查“康养论坛”期间食品安全保障，</w:t>
      </w:r>
      <w:r>
        <w:rPr>
          <w:rFonts w:ascii="仿宋_GB2312" w:eastAsia="仿宋_GB2312"/>
          <w:color w:val="000000"/>
          <w:sz w:val="32"/>
          <w:szCs w:val="32"/>
        </w:rPr>
        <w:t>1100</w:t>
      </w:r>
      <w:r>
        <w:rPr>
          <w:rFonts w:hint="eastAsia" w:ascii="仿宋_GB2312" w:eastAsia="仿宋_GB2312"/>
          <w:color w:val="000000"/>
          <w:sz w:val="32"/>
          <w:szCs w:val="32"/>
        </w:rPr>
        <w:t>元；住建局检查危房验收，</w:t>
      </w:r>
      <w:r>
        <w:rPr>
          <w:rFonts w:ascii="仿宋_GB2312" w:eastAsia="仿宋_GB2312"/>
          <w:color w:val="000000"/>
          <w:sz w:val="32"/>
          <w:szCs w:val="32"/>
        </w:rPr>
        <w:t>300</w:t>
      </w:r>
      <w:r>
        <w:rPr>
          <w:rFonts w:hint="eastAsia" w:ascii="仿宋_GB2312" w:eastAsia="仿宋_GB2312"/>
          <w:color w:val="000000"/>
          <w:sz w:val="32"/>
          <w:szCs w:val="32"/>
        </w:rPr>
        <w:t>元；安监局安全检查，</w:t>
      </w:r>
      <w:r>
        <w:rPr>
          <w:rFonts w:ascii="仿宋_GB2312" w:eastAsia="仿宋_GB2312"/>
          <w:color w:val="000000"/>
          <w:sz w:val="32"/>
          <w:szCs w:val="32"/>
        </w:rPr>
        <w:t>300</w:t>
      </w:r>
      <w:r>
        <w:rPr>
          <w:rFonts w:hint="eastAsia" w:ascii="仿宋_GB2312" w:eastAsia="仿宋_GB2312"/>
          <w:color w:val="000000"/>
          <w:sz w:val="32"/>
          <w:szCs w:val="32"/>
        </w:rPr>
        <w:t>元；交通局公路移交检查，</w:t>
      </w:r>
      <w:r>
        <w:rPr>
          <w:rFonts w:ascii="仿宋_GB2312" w:eastAsia="仿宋_GB2312"/>
          <w:color w:val="000000"/>
          <w:sz w:val="32"/>
          <w:szCs w:val="32"/>
        </w:rPr>
        <w:t>790</w:t>
      </w:r>
      <w:r>
        <w:rPr>
          <w:rFonts w:hint="eastAsia" w:ascii="仿宋_GB2312" w:eastAsia="仿宋_GB2312"/>
          <w:color w:val="000000"/>
          <w:sz w:val="32"/>
          <w:szCs w:val="32"/>
        </w:rPr>
        <w:t>元；市县文联走基层采风，</w:t>
      </w:r>
      <w:r>
        <w:rPr>
          <w:rFonts w:ascii="仿宋_GB2312" w:eastAsia="仿宋_GB2312"/>
          <w:color w:val="000000"/>
          <w:sz w:val="32"/>
          <w:szCs w:val="32"/>
        </w:rPr>
        <w:t>1627</w:t>
      </w:r>
      <w:r>
        <w:rPr>
          <w:rFonts w:hint="eastAsia" w:ascii="仿宋_GB2312" w:eastAsia="仿宋_GB2312"/>
          <w:color w:val="000000"/>
          <w:sz w:val="32"/>
          <w:szCs w:val="32"/>
        </w:rPr>
        <w:t>元；“文化、科技、卫生”三下乡活动，</w:t>
      </w:r>
      <w:r>
        <w:rPr>
          <w:rFonts w:ascii="仿宋_GB2312" w:eastAsia="仿宋_GB2312"/>
          <w:color w:val="000000"/>
          <w:sz w:val="32"/>
          <w:szCs w:val="32"/>
        </w:rPr>
        <w:t>1200</w:t>
      </w:r>
      <w:r>
        <w:rPr>
          <w:rFonts w:hint="eastAsia" w:ascii="仿宋_GB2312" w:eastAsia="仿宋_GB2312"/>
          <w:color w:val="000000"/>
          <w:sz w:val="32"/>
          <w:szCs w:val="32"/>
        </w:rPr>
        <w:t>元；市文联艺术家赴红格采风活动，</w:t>
      </w:r>
      <w:r>
        <w:rPr>
          <w:rFonts w:ascii="仿宋_GB2312" w:eastAsia="仿宋_GB2312"/>
          <w:color w:val="000000"/>
          <w:sz w:val="32"/>
          <w:szCs w:val="32"/>
        </w:rPr>
        <w:t>624</w:t>
      </w:r>
      <w:r>
        <w:rPr>
          <w:rFonts w:hint="eastAsia" w:ascii="仿宋_GB2312" w:eastAsia="仿宋_GB2312"/>
          <w:color w:val="000000"/>
          <w:sz w:val="32"/>
          <w:szCs w:val="32"/>
        </w:rPr>
        <w:t>元；“四花打造”接待，</w:t>
      </w:r>
      <w:r>
        <w:rPr>
          <w:rFonts w:ascii="仿宋_GB2312" w:eastAsia="仿宋_GB2312"/>
          <w:color w:val="000000"/>
          <w:sz w:val="32"/>
          <w:szCs w:val="32"/>
        </w:rPr>
        <w:t>290</w:t>
      </w:r>
      <w:r>
        <w:rPr>
          <w:rFonts w:hint="eastAsia" w:ascii="仿宋_GB2312" w:eastAsia="仿宋_GB2312"/>
          <w:color w:val="000000"/>
          <w:sz w:val="32"/>
          <w:szCs w:val="32"/>
        </w:rPr>
        <w:t>元；社区建党</w:t>
      </w:r>
      <w:r>
        <w:rPr>
          <w:rFonts w:ascii="仿宋_GB2312" w:eastAsia="仿宋_GB2312"/>
          <w:color w:val="000000"/>
          <w:sz w:val="32"/>
          <w:szCs w:val="32"/>
        </w:rPr>
        <w:t>97</w:t>
      </w:r>
      <w:r>
        <w:rPr>
          <w:rFonts w:hint="eastAsia" w:ascii="仿宋_GB2312" w:eastAsia="仿宋_GB2312"/>
          <w:color w:val="000000"/>
          <w:sz w:val="32"/>
          <w:szCs w:val="32"/>
        </w:rPr>
        <w:t>周年活动，</w:t>
      </w:r>
      <w:r>
        <w:rPr>
          <w:rFonts w:ascii="仿宋_GB2312" w:eastAsia="仿宋_GB2312"/>
          <w:color w:val="000000"/>
          <w:sz w:val="32"/>
          <w:szCs w:val="32"/>
        </w:rPr>
        <w:t>1500</w:t>
      </w:r>
      <w:r>
        <w:rPr>
          <w:rFonts w:hint="eastAsia" w:ascii="仿宋_GB2312" w:eastAsia="仿宋_GB2312"/>
          <w:color w:val="000000"/>
          <w:sz w:val="32"/>
          <w:szCs w:val="32"/>
        </w:rPr>
        <w:t>元等。</w:t>
      </w:r>
    </w:p>
    <w:p>
      <w:pPr>
        <w:spacing w:line="600" w:lineRule="exact"/>
        <w:ind w:firstLine="640"/>
        <w:outlineLvl w:val="1"/>
        <w:rPr>
          <w:rStyle w:val="17"/>
          <w:rFonts w:ascii="黑体" w:hAnsi="黑体" w:eastAsia="黑体"/>
        </w:rPr>
      </w:pPr>
      <w:bookmarkStart w:id="46" w:name="_Toc15396610"/>
      <w:bookmarkStart w:id="47" w:name="_Toc15377218"/>
      <w:r>
        <w:rPr>
          <w:rFonts w:hint="eastAsia" w:ascii="黑体" w:eastAsia="黑体"/>
          <w:color w:val="000000"/>
          <w:sz w:val="32"/>
          <w:szCs w:val="32"/>
        </w:rPr>
        <w:t>八、</w:t>
      </w:r>
      <w:r>
        <w:rPr>
          <w:rStyle w:val="17"/>
          <w:rFonts w:hint="eastAsia" w:ascii="黑体" w:hAnsi="黑体" w:eastAsia="黑体"/>
          <w:b w:val="0"/>
        </w:rPr>
        <w:t>政府性基金预算支出决算情况说明</w:t>
      </w:r>
      <w:bookmarkEnd w:id="46"/>
      <w:bookmarkEnd w:id="47"/>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年政府性基金预算拨款支出</w:t>
      </w:r>
      <w:r>
        <w:rPr>
          <w:rFonts w:ascii="仿宋_GB2312" w:eastAsia="仿宋_GB2312"/>
          <w:color w:val="000000"/>
          <w:sz w:val="32"/>
          <w:szCs w:val="32"/>
        </w:rPr>
        <w:t>1800</w:t>
      </w:r>
      <w:r>
        <w:rPr>
          <w:rFonts w:hint="eastAsia" w:ascii="仿宋_GB2312" w:eastAsia="仿宋_GB2312"/>
          <w:color w:val="000000"/>
          <w:sz w:val="32"/>
          <w:szCs w:val="32"/>
        </w:rPr>
        <w:t>万元。用于红格失地农民养老保险缴费、生活费、征地补偿等等征地搬迁支出。</w:t>
      </w:r>
    </w:p>
    <w:p>
      <w:pPr>
        <w:numPr>
          <w:ilvl w:val="0"/>
          <w:numId w:val="3"/>
        </w:numPr>
        <w:spacing w:line="600" w:lineRule="exact"/>
        <w:ind w:firstLine="640"/>
        <w:outlineLvl w:val="1"/>
        <w:rPr>
          <w:rStyle w:val="17"/>
          <w:rFonts w:ascii="黑体" w:hAnsi="黑体" w:eastAsia="黑体"/>
          <w:b w:val="0"/>
        </w:rPr>
      </w:pPr>
      <w:bookmarkStart w:id="48" w:name="_Toc15396611"/>
      <w:bookmarkStart w:id="49" w:name="_Toc15377219"/>
      <w:r>
        <w:rPr>
          <w:rStyle w:val="17"/>
          <w:rFonts w:hint="eastAsia" w:ascii="黑体" w:hAnsi="黑体" w:eastAsia="黑体"/>
          <w:b w:val="0"/>
        </w:rPr>
        <w:t>国有资本经营预算支出决算情况说明</w:t>
      </w:r>
      <w:bookmarkEnd w:id="48"/>
      <w:bookmarkEnd w:id="49"/>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年国有资本经营预算拨款支出</w:t>
      </w:r>
      <w:r>
        <w:rPr>
          <w:rFonts w:ascii="仿宋_GB2312" w:eastAsia="仿宋_GB2312"/>
          <w:color w:val="000000"/>
          <w:sz w:val="32"/>
          <w:szCs w:val="32"/>
        </w:rPr>
        <w:t>0</w:t>
      </w:r>
      <w:r>
        <w:rPr>
          <w:rFonts w:hint="eastAsia" w:ascii="仿宋_GB2312" w:eastAsia="仿宋_GB2312"/>
          <w:color w:val="000000"/>
          <w:sz w:val="32"/>
          <w:szCs w:val="32"/>
        </w:rPr>
        <w:t>万元。</w:t>
      </w:r>
    </w:p>
    <w:p>
      <w:pPr>
        <w:pStyle w:val="26"/>
        <w:numPr>
          <w:ilvl w:val="0"/>
          <w:numId w:val="4"/>
        </w:numPr>
        <w:spacing w:line="580" w:lineRule="exact"/>
        <w:ind w:firstLineChars="0"/>
        <w:rPr>
          <w:rStyle w:val="17"/>
          <w:rFonts w:ascii="黑体" w:hAnsi="黑体" w:eastAsia="黑体"/>
          <w:b w:val="0"/>
        </w:rPr>
      </w:pPr>
      <w:r>
        <w:rPr>
          <w:rStyle w:val="17"/>
          <w:rFonts w:hint="eastAsia" w:ascii="黑体" w:hAnsi="黑体" w:eastAsia="黑体"/>
          <w:b w:val="0"/>
        </w:rPr>
        <w:t>预算绩效情况说明</w:t>
      </w:r>
    </w:p>
    <w:p>
      <w:pPr>
        <w:numPr>
          <w:ilvl w:val="0"/>
          <w:numId w:val="5"/>
        </w:numPr>
        <w:spacing w:line="580" w:lineRule="exact"/>
        <w:ind w:firstLine="643" w:firstLineChars="200"/>
        <w:rPr>
          <w:rFonts w:ascii="仿宋" w:hAnsi="仿宋" w:eastAsia="仿宋" w:cs="楷体_GB2312"/>
          <w:b/>
          <w:bCs/>
          <w:sz w:val="32"/>
          <w:szCs w:val="32"/>
        </w:rPr>
      </w:pPr>
      <w:r>
        <w:rPr>
          <w:rFonts w:hint="eastAsia" w:ascii="仿宋" w:hAnsi="仿宋" w:eastAsia="仿宋" w:cs="楷体_GB2312"/>
          <w:b/>
          <w:bCs/>
          <w:sz w:val="32"/>
          <w:szCs w:val="32"/>
        </w:rPr>
        <w:t>预算绩效管理工作开展情况。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根据预算绩效管理要求，红格镇在年初预算编制阶段，组织对红格镇农村公共运行维护项目开展了预算事前绩效评估，对</w:t>
      </w:r>
      <w:r>
        <w:rPr>
          <w:rFonts w:ascii="仿宋_GB2312" w:hAnsi="仿宋_GB2312" w:eastAsia="仿宋_GB2312" w:cs="仿宋_GB2312"/>
          <w:sz w:val="32"/>
          <w:szCs w:val="32"/>
        </w:rPr>
        <w:t>15</w:t>
      </w:r>
      <w:r>
        <w:rPr>
          <w:rFonts w:hint="eastAsia" w:ascii="仿宋_GB2312" w:hAnsi="仿宋_GB2312" w:eastAsia="仿宋_GB2312" w:cs="仿宋_GB2312"/>
          <w:sz w:val="32"/>
          <w:szCs w:val="32"/>
        </w:rPr>
        <w:t>个项目编制了绩效目标，预算执行过程中，选取</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个项目开展绩效监控，年终执行完毕后，对</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个项目开展了绩效目标完成情况梳理填报。</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年部门整体支出开展绩效自评，从评价情况来看，</w:t>
      </w:r>
      <w:r>
        <w:rPr>
          <w:rFonts w:hint="eastAsia" w:ascii="仿宋_GB2312" w:eastAsia="仿宋_GB2312" w:cs="仿宋_GB2312"/>
          <w:kern w:val="0"/>
          <w:sz w:val="32"/>
          <w:szCs w:val="32"/>
        </w:rPr>
        <w:t>项目实施前已制定资金管理办法且有明确的项目资金分配方案及流程；农村公共服务运行维护资金属于省、市、县年度财政预算安排范围内资金；基层组织活动经费及村办公经费均按资金管理的办法及流程实际报销。</w:t>
      </w:r>
      <w:r>
        <w:rPr>
          <w:rFonts w:hint="eastAsia" w:ascii="仿宋_GB2312" w:eastAsia="仿宋_GB2312" w:cs="楷体_GB2312"/>
          <w:kern w:val="0"/>
          <w:sz w:val="32"/>
          <w:szCs w:val="32"/>
        </w:rPr>
        <w:t>项目目标明确，组织监管体系明确，较好的实现了绩效目标，项目绩效评价得分</w:t>
      </w:r>
      <w:r>
        <w:rPr>
          <w:rFonts w:ascii="仿宋_GB2312" w:eastAsia="仿宋_GB2312" w:cs="楷体_GB2312"/>
          <w:kern w:val="0"/>
          <w:sz w:val="32"/>
          <w:szCs w:val="32"/>
        </w:rPr>
        <w:t>98</w:t>
      </w:r>
      <w:r>
        <w:rPr>
          <w:rFonts w:hint="eastAsia" w:ascii="仿宋_GB2312" w:eastAsia="仿宋_GB2312" w:cs="楷体_GB2312"/>
          <w:kern w:val="0"/>
          <w:sz w:val="32"/>
          <w:szCs w:val="32"/>
        </w:rPr>
        <w:t>分。</w:t>
      </w:r>
    </w:p>
    <w:p>
      <w:pPr>
        <w:numPr>
          <w:ilvl w:val="0"/>
          <w:numId w:val="5"/>
        </w:numPr>
        <w:spacing w:line="580" w:lineRule="exact"/>
        <w:ind w:firstLine="643" w:firstLineChars="200"/>
        <w:rPr>
          <w:rFonts w:ascii="仿宋_GB2312" w:hAnsi="仿宋_GB2312" w:eastAsia="仿宋_GB2312" w:cs="仿宋_GB2312"/>
          <w:sz w:val="32"/>
          <w:szCs w:val="32"/>
        </w:rPr>
      </w:pPr>
      <w:r>
        <w:rPr>
          <w:rFonts w:hint="eastAsia" w:ascii="仿宋" w:hAnsi="仿宋" w:eastAsia="仿宋" w:cs="楷体_GB2312"/>
          <w:b/>
          <w:bCs/>
          <w:sz w:val="32"/>
          <w:szCs w:val="32"/>
        </w:rPr>
        <w:t>项目绩效目标完成情况。</w:t>
      </w:r>
      <w:r>
        <w:rPr>
          <w:rFonts w:ascii="楷体_GB2312" w:hAnsi="楷体_GB2312" w:eastAsia="楷体_GB2312" w:cs="楷体_GB2312"/>
          <w:b/>
          <w:bCs/>
          <w:sz w:val="32"/>
          <w:szCs w:val="32"/>
        </w:rPr>
        <w:br w:type="textWrapping"/>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年度部门决算中反映“农村公共运行维护”“村级办公经费”等</w:t>
      </w:r>
      <w:r>
        <w:rPr>
          <w:rFonts w:ascii="仿宋_GB2312" w:hAnsi="仿宋_GB2312" w:eastAsia="仿宋_GB2312" w:cs="仿宋_GB2312"/>
          <w:sz w:val="32"/>
          <w:szCs w:val="32"/>
        </w:rPr>
        <w:t>15</w:t>
      </w:r>
      <w:r>
        <w:rPr>
          <w:rFonts w:hint="eastAsia" w:ascii="仿宋_GB2312" w:hAnsi="仿宋_GB2312" w:eastAsia="仿宋_GB2312" w:cs="仿宋_GB2312"/>
          <w:sz w:val="32"/>
          <w:szCs w:val="32"/>
        </w:rPr>
        <w:t>个项目绩效目标实际完成情况。（本单位部门项目绩效目标个数在</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个以上的，选取</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个项目进行公开，目标个数在</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个以下的，全部进行公开，公开内容包括完成情况综述和完成情况表）。</w:t>
      </w:r>
    </w:p>
    <w:p>
      <w:pPr>
        <w:numPr>
          <w:ilvl w:val="0"/>
          <w:numId w:val="6"/>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农村公共运行维护项目绩效目标完成情况综述。项目全年预算数</w:t>
      </w:r>
      <w:r>
        <w:rPr>
          <w:rFonts w:ascii="仿宋_GB2312" w:hAnsi="仿宋_GB2312" w:eastAsia="仿宋_GB2312" w:cs="仿宋_GB2312"/>
          <w:sz w:val="32"/>
          <w:szCs w:val="32"/>
        </w:rPr>
        <w:t>16</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16</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项目实施，保障了村道、社道的畅通，支持了红格镇农村公共运行发展，促进了村民与镇级交通便利，提高了群众积极性，发现的主要问题：村民报账不及时、资料待完善。下一步改进措施：加大学习力度，熟练掌握业务知识，督促村民完善资料及时报账。</w:t>
      </w:r>
    </w:p>
    <w:p>
      <w:pPr>
        <w:numPr>
          <w:ilvl w:val="0"/>
          <w:numId w:val="6"/>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基层政权建设项目绩效目标完成情况综述。项目全年预算数</w:t>
      </w:r>
      <w:r>
        <w:rPr>
          <w:rFonts w:ascii="仿宋_GB2312" w:hAnsi="仿宋_GB2312" w:eastAsia="仿宋_GB2312" w:cs="仿宋_GB2312"/>
          <w:sz w:val="32"/>
          <w:szCs w:val="32"/>
        </w:rPr>
        <w:t>51.25</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51.25</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。通过项目实施，保障红格阳光社区工作人员工资、绩效正常发放，保证红格阳光社区工作运转，提高阳光社区人员服务水平，提高社区居民满意度，调动社区人员积极性。</w:t>
      </w:r>
    </w:p>
    <w:p>
      <w:pPr>
        <w:numPr>
          <w:ilvl w:val="0"/>
          <w:numId w:val="6"/>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上年结转中央自然灾害补助资金项目绩效目标完成情况综述。项目全年预算数</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。通过项目实施，保障了贫困村民的生活，保证村民“两不愁”，促进了村民对政府的信任，提高了村民满意度。</w:t>
      </w:r>
    </w:p>
    <w:p>
      <w:pPr>
        <w:numPr>
          <w:ilvl w:val="0"/>
          <w:numId w:val="6"/>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五保供养人员经费项目绩效目标完成情况综述。项目全年预算数</w:t>
      </w:r>
      <w:r>
        <w:rPr>
          <w:rFonts w:ascii="仿宋_GB2312" w:hAnsi="仿宋_GB2312" w:eastAsia="仿宋_GB2312" w:cs="仿宋_GB2312"/>
          <w:sz w:val="32"/>
          <w:szCs w:val="32"/>
        </w:rPr>
        <w:t>29.51</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29.51</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项目实施，保障了我镇农村五保供养人员的生活，保证农村五保人员“两不愁”，提高五保供养人员生活质量，促进村居和谐，老有所养。发现的主要问题：对五保供养人员关爱不够。下一步改进措施：进一步加强对五保供养人员的生活关注，确保每一个五保老人老有所养、老有所依，为实现伟大复兴中国梦，实现共同富裕奠定扎实基础。</w:t>
      </w:r>
    </w:p>
    <w:p>
      <w:pPr>
        <w:numPr>
          <w:ilvl w:val="0"/>
          <w:numId w:val="6"/>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计生服务员经费项目绩效目标完成情况综述。项目全年预算数</w:t>
      </w:r>
      <w:r>
        <w:rPr>
          <w:rFonts w:ascii="仿宋_GB2312" w:hAnsi="仿宋_GB2312" w:eastAsia="仿宋_GB2312" w:cs="仿宋_GB2312"/>
          <w:sz w:val="32"/>
          <w:szCs w:val="32"/>
        </w:rPr>
        <w:t>5.96</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5.96</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。通过项目实施，保障了计生服务员工资按时发放，促进计生服务工作更上新台阶，提高了村（居）民对计生服务工作的支持，增强了村民遵守计生工作的意识。</w:t>
      </w:r>
    </w:p>
    <w:p>
      <w:pPr>
        <w:tabs>
          <w:tab w:val="left" w:pos="312"/>
        </w:tabs>
        <w:spacing w:line="580" w:lineRule="exact"/>
        <w:rPr>
          <w:rFonts w:ascii="仿宋_GB2312" w:hAnsi="仿宋_GB2312" w:eastAsia="仿宋_GB2312" w:cs="仿宋_GB2312"/>
          <w:sz w:val="32"/>
          <w:szCs w:val="32"/>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6"/>
              <w:widowControl/>
              <w:ind w:left="4173" w:leftChars="1310" w:hanging="1422" w:hangingChars="395"/>
              <w:textAlignment w:val="center"/>
              <w:rPr>
                <w:rFonts w:asci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农村公共运行维护、</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盐边县红格镇</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16</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16</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16</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16</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仿宋_GB2312"/>
                <w:sz w:val="24"/>
              </w:rPr>
              <w:t>保障村道、社道的畅通，支持红格镇农村公共运行发展，促进村民与镇级交通便利，提高群众积极性</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仿宋_GB2312"/>
                <w:sz w:val="24"/>
              </w:rPr>
              <w:t>保障村道、社道的畅通，支持红格镇农村公共运行发展，促进村民与镇级交通便利，提高群众积极性</w:t>
            </w:r>
          </w:p>
        </w:tc>
      </w:tr>
      <w:tr>
        <w:tblPrEx>
          <w:tblLayout w:type="fixed"/>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Layout w:type="fixed"/>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涉及村个数、分配额</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4</w:t>
            </w:r>
            <w:r>
              <w:rPr>
                <w:rFonts w:hint="eastAsia" w:ascii="宋体" w:cs="宋体"/>
                <w:color w:val="000000"/>
                <w:sz w:val="24"/>
              </w:rPr>
              <w:t>个村，红格村</w:t>
            </w:r>
            <w:r>
              <w:rPr>
                <w:rFonts w:ascii="宋体" w:cs="宋体"/>
                <w:color w:val="000000"/>
                <w:sz w:val="24"/>
              </w:rPr>
              <w:t>5</w:t>
            </w:r>
            <w:r>
              <w:rPr>
                <w:rFonts w:hint="eastAsia" w:ascii="宋体" w:cs="宋体"/>
                <w:color w:val="000000"/>
                <w:sz w:val="24"/>
              </w:rPr>
              <w:t>万元，昔格达村</w:t>
            </w:r>
            <w:r>
              <w:rPr>
                <w:rFonts w:ascii="宋体" w:cs="宋体"/>
                <w:color w:val="000000"/>
                <w:sz w:val="24"/>
              </w:rPr>
              <w:t>5</w:t>
            </w:r>
            <w:r>
              <w:rPr>
                <w:rFonts w:hint="eastAsia" w:ascii="宋体" w:cs="宋体"/>
                <w:color w:val="000000"/>
                <w:sz w:val="24"/>
              </w:rPr>
              <w:t>万元，新隆村万元，金河村</w:t>
            </w:r>
            <w:r>
              <w:rPr>
                <w:rFonts w:ascii="宋体" w:cs="宋体"/>
                <w:color w:val="000000"/>
                <w:sz w:val="24"/>
              </w:rPr>
              <w:t>3</w:t>
            </w:r>
            <w:r>
              <w:rPr>
                <w:rFonts w:hint="eastAsia" w:asci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4</w:t>
            </w:r>
            <w:r>
              <w:rPr>
                <w:rFonts w:hint="eastAsia" w:ascii="宋体" w:cs="宋体"/>
                <w:color w:val="000000"/>
                <w:sz w:val="24"/>
              </w:rPr>
              <w:t>个村，红格村</w:t>
            </w:r>
            <w:r>
              <w:rPr>
                <w:rFonts w:ascii="宋体" w:cs="宋体"/>
                <w:color w:val="000000"/>
                <w:sz w:val="24"/>
              </w:rPr>
              <w:t>5</w:t>
            </w:r>
            <w:r>
              <w:rPr>
                <w:rFonts w:hint="eastAsia" w:ascii="宋体" w:cs="宋体"/>
                <w:color w:val="000000"/>
                <w:sz w:val="24"/>
              </w:rPr>
              <w:t>万元，昔格达村</w:t>
            </w:r>
            <w:r>
              <w:rPr>
                <w:rFonts w:ascii="宋体" w:cs="宋体"/>
                <w:color w:val="000000"/>
                <w:sz w:val="24"/>
              </w:rPr>
              <w:t>5</w:t>
            </w:r>
            <w:r>
              <w:rPr>
                <w:rFonts w:hint="eastAsia" w:ascii="宋体" w:cs="宋体"/>
                <w:color w:val="000000"/>
                <w:sz w:val="24"/>
              </w:rPr>
              <w:t>万元，新隆村万元，金河村</w:t>
            </w:r>
            <w:r>
              <w:rPr>
                <w:rFonts w:ascii="宋体" w:cs="宋体"/>
                <w:color w:val="000000"/>
                <w:sz w:val="24"/>
              </w:rPr>
              <w:t>3</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质量指标</w:t>
            </w:r>
          </w:p>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保障各村山坪塘、沟渠维修，村道、社道畅通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cs="宋体"/>
                <w:color w:val="000000"/>
                <w:sz w:val="24"/>
              </w:rPr>
            </w:pPr>
            <w:r>
              <w:rPr>
                <w:rFonts w:hint="eastAsia" w:ascii="宋体" w:cs="宋体"/>
                <w:color w:val="000000"/>
                <w:sz w:val="24"/>
              </w:rPr>
              <w:t>维修质量较好，保证全镇山坪塘、沟渠安全，排除安全隐患，保障村道、社道道路通畅</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维修质量较好，保证全镇山坪塘、沟渠安全，排除安全隐患，保障村道、社道道路通畅</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实施时间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年全年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年全年</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维修成本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16</w:t>
            </w:r>
            <w:r>
              <w:rPr>
                <w:rFonts w:hint="eastAsia" w:asci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16</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村民对村道、社道建设满意度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98%</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98%</w:t>
            </w:r>
          </w:p>
        </w:tc>
      </w:tr>
    </w:tbl>
    <w:p>
      <w:pPr>
        <w:rPr>
          <w:rFonts w:ascii="Calibri" w:hAnsi="Calibri"/>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6"/>
              <w:widowControl/>
              <w:ind w:left="4173" w:leftChars="1310" w:hanging="1422" w:hangingChars="395"/>
              <w:textAlignment w:val="center"/>
              <w:rPr>
                <w:rFonts w:asci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基层政权建设</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盐边县红格镇</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51.25</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51.25</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51.25</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51.25</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提高服务社区居民满意度，保证社区正常运转，保障社区工资、保险等按月发放，提高社区工作人员工作积极性、服务人民意识性</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提高服务社区居民满意度，保证社区正常运转，保障社区工资、保险等按月发放，提高社区工作人员工作积极性、服务人民意识性</w:t>
            </w:r>
          </w:p>
        </w:tc>
      </w:tr>
      <w:tr>
        <w:tblPrEx>
          <w:tblLayout w:type="fixed"/>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Layout w:type="fixed"/>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社区人数、每月开会次数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社区共</w:t>
            </w:r>
            <w:r>
              <w:rPr>
                <w:rFonts w:ascii="宋体" w:cs="宋体"/>
                <w:color w:val="000000"/>
                <w:sz w:val="24"/>
              </w:rPr>
              <w:t>9</w:t>
            </w:r>
            <w:r>
              <w:rPr>
                <w:rFonts w:hint="eastAsia" w:ascii="宋体" w:cs="宋体"/>
                <w:color w:val="000000"/>
                <w:sz w:val="24"/>
              </w:rPr>
              <w:t>人，每月开会≥</w:t>
            </w:r>
            <w:r>
              <w:rPr>
                <w:rFonts w:ascii="宋体" w:cs="宋体"/>
                <w:color w:val="000000"/>
                <w:sz w:val="24"/>
              </w:rPr>
              <w:t>1</w:t>
            </w:r>
            <w:r>
              <w:rPr>
                <w:rFonts w:hint="eastAsia" w:ascii="宋体" w:cs="宋体"/>
                <w:color w:val="000000"/>
                <w:sz w:val="24"/>
              </w:rPr>
              <w:t>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社区共</w:t>
            </w:r>
            <w:r>
              <w:rPr>
                <w:rFonts w:ascii="宋体" w:cs="宋体"/>
                <w:color w:val="000000"/>
                <w:sz w:val="24"/>
              </w:rPr>
              <w:t>9</w:t>
            </w:r>
            <w:r>
              <w:rPr>
                <w:rFonts w:hint="eastAsia" w:ascii="宋体" w:cs="宋体"/>
                <w:color w:val="000000"/>
                <w:sz w:val="24"/>
              </w:rPr>
              <w:t>人，每月开会≥</w:t>
            </w:r>
            <w:r>
              <w:rPr>
                <w:rFonts w:ascii="宋体" w:cs="宋体"/>
                <w:color w:val="000000"/>
                <w:sz w:val="24"/>
              </w:rPr>
              <w:t>1</w:t>
            </w:r>
            <w:r>
              <w:rPr>
                <w:rFonts w:hint="eastAsia" w:ascii="宋体" w:cs="宋体"/>
                <w:color w:val="000000"/>
                <w:sz w:val="24"/>
              </w:rPr>
              <w:t>次</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质量指标</w:t>
            </w:r>
          </w:p>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完成阳光社区全年工资按月发放、保障全年办公正常运转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完成阳光社区全年工资按月发放、保障全年办公正常运转</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完成阳光社区全年工资按月发放、保障全年办公正常运转</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实施时间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年全年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年全年</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运行成本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51.25</w:t>
            </w:r>
            <w:r>
              <w:rPr>
                <w:rFonts w:hint="eastAsia" w:asci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51.25</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社区服务对象满意度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提高社区居民满意度，达到目标植</w:t>
            </w:r>
            <w:r>
              <w:rPr>
                <w:rFonts w:ascii="宋体" w:cs="宋体"/>
                <w:color w:val="000000"/>
                <w:sz w:val="24"/>
              </w:rPr>
              <w:t>98%</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提高社区居民满意度，达到目标植</w:t>
            </w:r>
            <w:r>
              <w:rPr>
                <w:rFonts w:ascii="宋体" w:cs="宋体"/>
                <w:color w:val="000000"/>
                <w:sz w:val="24"/>
              </w:rPr>
              <w:t>98%</w:t>
            </w:r>
          </w:p>
        </w:tc>
      </w:tr>
    </w:tbl>
    <w:p>
      <w:pPr>
        <w:spacing w:line="580" w:lineRule="exact"/>
        <w:rPr>
          <w:rFonts w:ascii="仿宋_GB2312" w:hAnsi="仿宋_GB2312" w:eastAsia="仿宋_GB2312" w:cs="仿宋_GB2312"/>
          <w:sz w:val="32"/>
          <w:szCs w:val="32"/>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6"/>
              <w:widowControl/>
              <w:ind w:left="4173" w:leftChars="1310" w:hanging="1422" w:hangingChars="395"/>
              <w:textAlignment w:val="center"/>
              <w:rPr>
                <w:rFonts w:asci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仿宋_GB2312"/>
                <w:sz w:val="24"/>
              </w:rPr>
              <w:t>上年结转中央自然灾害补助资金</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盐边县红格镇</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推进红格镇困难人员脱贫攻坚，保障居民“两不愁”、“三保障”工作落实到位</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推进红格镇困难人员脱贫攻坚，保障居民“两不愁”、“三保障”工作落实到位</w:t>
            </w:r>
          </w:p>
        </w:tc>
      </w:tr>
      <w:tr>
        <w:tblPrEx>
          <w:tblLayout w:type="fixed"/>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Layout w:type="fixed"/>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补助人数、户数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256</w:t>
            </w:r>
            <w:r>
              <w:rPr>
                <w:rFonts w:hint="eastAsia" w:ascii="宋体" w:cs="宋体"/>
                <w:color w:val="000000"/>
                <w:sz w:val="24"/>
              </w:rPr>
              <w:t>户</w:t>
            </w:r>
            <w:r>
              <w:rPr>
                <w:rFonts w:ascii="宋体" w:cs="宋体"/>
                <w:color w:val="000000"/>
                <w:sz w:val="24"/>
              </w:rPr>
              <w:t>780</w:t>
            </w:r>
            <w:r>
              <w:rPr>
                <w:rFonts w:hint="eastAsia" w:ascii="宋体" w:cs="宋体"/>
                <w:color w:val="000000"/>
                <w:sz w:val="24"/>
              </w:rPr>
              <w:t>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256</w:t>
            </w:r>
            <w:r>
              <w:rPr>
                <w:rFonts w:hint="eastAsia" w:ascii="宋体" w:cs="宋体"/>
                <w:color w:val="000000"/>
                <w:sz w:val="24"/>
              </w:rPr>
              <w:t>户</w:t>
            </w:r>
            <w:r>
              <w:rPr>
                <w:rFonts w:ascii="宋体" w:cs="宋体"/>
                <w:color w:val="000000"/>
                <w:sz w:val="24"/>
              </w:rPr>
              <w:t>780</w:t>
            </w:r>
            <w:r>
              <w:rPr>
                <w:rFonts w:hint="eastAsia" w:ascii="宋体" w:cs="宋体"/>
                <w:color w:val="000000"/>
                <w:sz w:val="24"/>
              </w:rPr>
              <w:t>人</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质量指标</w:t>
            </w:r>
          </w:p>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保障红格镇各村社困难人员享受到基本生活保障，缓解生活压力，保证“两不愁”工作顺利推进</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保障红格镇各村社困难人员享受到基本生活保障，缓解生活压力，保证“两不愁”工作顺利推进</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保障红格镇各村社困难人员享受到基本生活保障，缓解生活压力，保证“两不愁”工作顺利推进</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实施时间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年全年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年全年</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年推进中央自然灾害补助成本费用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w:t>
            </w:r>
            <w:r>
              <w:rPr>
                <w:rFonts w:hint="eastAsia" w:asci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村居民服务满意度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98%</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98%</w:t>
            </w:r>
          </w:p>
        </w:tc>
      </w:tr>
    </w:tbl>
    <w:p>
      <w:pPr>
        <w:spacing w:line="580" w:lineRule="exact"/>
        <w:rPr>
          <w:rFonts w:ascii="仿宋_GB2312" w:hAnsi="仿宋_GB2312" w:eastAsia="仿宋_GB2312" w:cs="仿宋_GB2312"/>
          <w:sz w:val="32"/>
          <w:szCs w:val="32"/>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6"/>
              <w:widowControl/>
              <w:ind w:left="4173" w:leftChars="1310" w:hanging="1422" w:hangingChars="395"/>
              <w:textAlignment w:val="center"/>
              <w:rPr>
                <w:rFonts w:asci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仿宋_GB2312"/>
                <w:sz w:val="24"/>
              </w:rPr>
              <w:t>五保供养人员经费</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盐边县红格镇</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29.51</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29.51</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29.51</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29.51</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仿宋_GB2312"/>
                <w:sz w:val="24"/>
              </w:rPr>
              <w:t>保障了我镇农村五保供养人员的生活，保证农村五保人员“两不愁”，提高五保供养人员生活质量，促进村居和谐，老有所养。</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仿宋_GB2312"/>
                <w:sz w:val="24"/>
              </w:rPr>
              <w:t>保障了我镇农村五保供养人员的生活，保证农村五保人员“两不愁”，提高五保供养人员生活质量，促进村居和谐，老有所养。</w:t>
            </w:r>
          </w:p>
        </w:tc>
      </w:tr>
      <w:tr>
        <w:tblPrEx>
          <w:tblLayout w:type="fixed"/>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Layout w:type="fixed"/>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年五保供养人员人数、标准</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39</w:t>
            </w:r>
            <w:r>
              <w:rPr>
                <w:rFonts w:hint="eastAsia" w:ascii="宋体" w:cs="宋体"/>
                <w:color w:val="000000"/>
                <w:sz w:val="24"/>
              </w:rPr>
              <w:t>人，生活费</w:t>
            </w:r>
            <w:r>
              <w:rPr>
                <w:rFonts w:ascii="宋体" w:cs="宋体"/>
                <w:color w:val="000000"/>
                <w:sz w:val="24"/>
              </w:rPr>
              <w:t>620</w:t>
            </w:r>
            <w:r>
              <w:rPr>
                <w:rFonts w:hint="eastAsia" w:ascii="宋体" w:cs="宋体"/>
                <w:color w:val="000000"/>
                <w:sz w:val="24"/>
              </w:rPr>
              <w:t>元</w:t>
            </w:r>
            <w:r>
              <w:rPr>
                <w:rFonts w:ascii="宋体" w:cs="宋体"/>
                <w:color w:val="000000"/>
                <w:sz w:val="24"/>
              </w:rPr>
              <w:t>/</w:t>
            </w:r>
            <w:r>
              <w:rPr>
                <w:rFonts w:hint="eastAsia" w:ascii="宋体" w:cs="宋体"/>
                <w:color w:val="000000"/>
                <w:sz w:val="24"/>
              </w:rPr>
              <w:t>人，御寒费</w:t>
            </w:r>
            <w:r>
              <w:rPr>
                <w:rFonts w:ascii="宋体" w:cs="宋体"/>
                <w:color w:val="000000"/>
                <w:sz w:val="24"/>
              </w:rPr>
              <w:t>400</w:t>
            </w:r>
            <w:r>
              <w:rPr>
                <w:rFonts w:hint="eastAsia" w:ascii="宋体" w:cs="宋体"/>
                <w:color w:val="000000"/>
                <w:sz w:val="24"/>
              </w:rPr>
              <w:t>元</w:t>
            </w:r>
            <w:r>
              <w:rPr>
                <w:rFonts w:ascii="宋体" w:cs="宋体"/>
                <w:color w:val="000000"/>
                <w:sz w:val="24"/>
              </w:rPr>
              <w:t>/</w:t>
            </w:r>
            <w:r>
              <w:rPr>
                <w:rFonts w:hint="eastAsia" w:ascii="宋体" w:cs="宋体"/>
                <w:color w:val="000000"/>
                <w:sz w:val="24"/>
              </w:rPr>
              <w:t>人</w:t>
            </w:r>
            <w:r>
              <w:rPr>
                <w:rFonts w:ascii="宋体" w:cs="宋体"/>
                <w:color w:val="000000"/>
                <w:sz w:val="24"/>
              </w:rPr>
              <w:t>/</w:t>
            </w:r>
            <w:r>
              <w:rPr>
                <w:rFonts w:hint="eastAsia" w:ascii="宋体" w:cs="宋体"/>
                <w:color w:val="000000"/>
                <w:sz w:val="24"/>
              </w:rPr>
              <w:t>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38</w:t>
            </w:r>
            <w:r>
              <w:rPr>
                <w:rFonts w:hint="eastAsia" w:ascii="宋体" w:cs="宋体"/>
                <w:color w:val="000000"/>
                <w:sz w:val="24"/>
              </w:rPr>
              <w:t>人，生活费</w:t>
            </w:r>
            <w:r>
              <w:rPr>
                <w:rFonts w:ascii="宋体" w:cs="宋体"/>
                <w:color w:val="000000"/>
                <w:sz w:val="24"/>
              </w:rPr>
              <w:t>620</w:t>
            </w:r>
            <w:r>
              <w:rPr>
                <w:rFonts w:hint="eastAsia" w:ascii="宋体" w:cs="宋体"/>
                <w:color w:val="000000"/>
                <w:sz w:val="24"/>
              </w:rPr>
              <w:t>元</w:t>
            </w:r>
            <w:r>
              <w:rPr>
                <w:rFonts w:ascii="宋体" w:cs="宋体"/>
                <w:color w:val="000000"/>
                <w:sz w:val="24"/>
              </w:rPr>
              <w:t>/</w:t>
            </w:r>
            <w:r>
              <w:rPr>
                <w:rFonts w:hint="eastAsia" w:ascii="宋体" w:cs="宋体"/>
                <w:color w:val="000000"/>
                <w:sz w:val="24"/>
              </w:rPr>
              <w:t>人，御寒费</w:t>
            </w:r>
            <w:r>
              <w:rPr>
                <w:rFonts w:ascii="宋体" w:cs="宋体"/>
                <w:color w:val="000000"/>
                <w:sz w:val="24"/>
              </w:rPr>
              <w:t>400</w:t>
            </w:r>
            <w:r>
              <w:rPr>
                <w:rFonts w:hint="eastAsia" w:ascii="宋体" w:cs="宋体"/>
                <w:color w:val="000000"/>
                <w:sz w:val="24"/>
              </w:rPr>
              <w:t>元</w:t>
            </w:r>
            <w:r>
              <w:rPr>
                <w:rFonts w:ascii="宋体" w:cs="宋体"/>
                <w:color w:val="000000"/>
                <w:sz w:val="24"/>
              </w:rPr>
              <w:t>/</w:t>
            </w:r>
            <w:r>
              <w:rPr>
                <w:rFonts w:hint="eastAsia" w:ascii="宋体" w:cs="宋体"/>
                <w:color w:val="000000"/>
                <w:sz w:val="24"/>
              </w:rPr>
              <w:t>人</w:t>
            </w:r>
            <w:r>
              <w:rPr>
                <w:rFonts w:ascii="宋体" w:cs="宋体"/>
                <w:color w:val="000000"/>
                <w:sz w:val="24"/>
              </w:rPr>
              <w:t>/</w:t>
            </w:r>
            <w:r>
              <w:rPr>
                <w:rFonts w:hint="eastAsia" w:ascii="宋体" w:cs="宋体"/>
                <w:color w:val="000000"/>
                <w:sz w:val="24"/>
              </w:rPr>
              <w:t>年</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质量指标</w:t>
            </w:r>
          </w:p>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保障红格镇农村五保供养人员生活水平，保证孤老人员老有所养、老有所依</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保障红格镇农村五保供养人员生活水平，保证孤老人员老有所养、老有所依</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保障红格镇农村五保供养人员生活水平，保证孤老人员老有所养、老有所依</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实施时间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年全年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年全年</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年五保供养人员经费成本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29.51</w:t>
            </w:r>
            <w:r>
              <w:rPr>
                <w:rFonts w:hint="eastAsia" w:asci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29.51</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五保供养人员满意度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r>
    </w:tbl>
    <w:p>
      <w:pPr>
        <w:spacing w:line="580" w:lineRule="exact"/>
        <w:rPr>
          <w:rFonts w:ascii="仿宋_GB2312" w:hAnsi="仿宋_GB2312" w:eastAsia="仿宋_GB2312" w:cs="仿宋_GB2312"/>
          <w:sz w:val="32"/>
          <w:szCs w:val="32"/>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6"/>
              <w:widowControl/>
              <w:ind w:left="4173" w:leftChars="1310" w:hanging="1422" w:hangingChars="395"/>
              <w:textAlignment w:val="center"/>
              <w:rPr>
                <w:rFonts w:asci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计生服务员经费</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盐边县红格镇</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5.96</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5.96</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5.96</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5.96</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保障计生服务员工资顺利发放，保证计生服务工作顺利开展，提升村民计生意识，提高村民满意度</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保障计生服务员工资顺利发放，保证计生服务工作顺利开展，提升村民计生意识，提高村民满意度</w:t>
            </w:r>
          </w:p>
        </w:tc>
      </w:tr>
      <w:tr>
        <w:tblPrEx>
          <w:tblLayout w:type="fixed"/>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Layout w:type="fixed"/>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计生服务员人数、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w:t>
            </w:r>
            <w:r>
              <w:rPr>
                <w:rFonts w:hint="eastAsia" w:ascii="宋体" w:cs="宋体"/>
                <w:color w:val="000000"/>
                <w:sz w:val="24"/>
              </w:rPr>
              <w:t>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w:t>
            </w:r>
            <w:r>
              <w:rPr>
                <w:rFonts w:hint="eastAsia" w:ascii="宋体" w:cs="宋体"/>
                <w:color w:val="000000"/>
                <w:sz w:val="24"/>
              </w:rPr>
              <w:t>人</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质量指标</w:t>
            </w:r>
          </w:p>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保障计生服务员工资顺利发放，保证计生服务工作顺利开展，提升村民计生意识，提高村民满意度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保障计生服务员工资顺利发放，保证计生服务工作顺利开展，提升村民计生意识，提高村民满意度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保障计生服务员工资顺利发放，保证计生服务工作顺利开展，提升村民计生意识，提高村民满意度</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实施时间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年全年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年全年</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计生服务员工资成本费用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5.96</w:t>
            </w:r>
            <w:r>
              <w:rPr>
                <w:rFonts w:hint="eastAsia" w:asci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5.96</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计生服务对象满意度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98%</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98%</w:t>
            </w:r>
          </w:p>
        </w:tc>
      </w:tr>
    </w:tbl>
    <w:p>
      <w:pPr>
        <w:spacing w:line="580" w:lineRule="exact"/>
        <w:rPr>
          <w:rFonts w:ascii="仿宋_GB2312" w:hAnsi="仿宋_GB2312" w:eastAsia="仿宋_GB2312" w:cs="仿宋_GB2312"/>
          <w:sz w:val="32"/>
          <w:szCs w:val="32"/>
        </w:rPr>
      </w:pPr>
    </w:p>
    <w:p>
      <w:pPr>
        <w:numPr>
          <w:ilvl w:val="0"/>
          <w:numId w:val="5"/>
        </w:numPr>
        <w:spacing w:line="580" w:lineRule="exact"/>
        <w:ind w:firstLine="643" w:firstLineChars="200"/>
        <w:rPr>
          <w:rFonts w:ascii="仿宋" w:hAnsi="仿宋" w:eastAsia="仿宋" w:cs="仿宋_GB2312"/>
          <w:sz w:val="32"/>
          <w:szCs w:val="32"/>
        </w:rPr>
      </w:pPr>
      <w:r>
        <w:rPr>
          <w:rFonts w:hint="eastAsia" w:ascii="仿宋" w:hAnsi="仿宋" w:eastAsia="仿宋" w:cs="楷体_GB2312"/>
          <w:b/>
          <w:bCs/>
          <w:sz w:val="32"/>
          <w:szCs w:val="32"/>
        </w:rPr>
        <w:t>部门开展绩效评价结果。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年部门整体支出绩效评价情况开展自评，《红格镇</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年部门整体支出绩效评价报告》见附件。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本部门自行组织对农村公共运行维护项目开展了绩效评价，《农村公共运行维护项目</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年绩效评价报告》见附件。（非涉密部门均需公开部门整体支出评价报告，部门自行组织的绩效评价情况根据部门实际公开）</w:t>
      </w:r>
    </w:p>
    <w:p>
      <w:pPr>
        <w:spacing w:line="600" w:lineRule="exact"/>
        <w:ind w:firstLine="800" w:firstLineChars="250"/>
        <w:outlineLvl w:val="1"/>
        <w:rPr>
          <w:rStyle w:val="17"/>
          <w:rFonts w:ascii="黑体" w:hAnsi="黑体" w:eastAsia="黑体"/>
        </w:rPr>
      </w:pPr>
      <w:bookmarkStart w:id="50" w:name="_Toc15377221"/>
      <w:bookmarkStart w:id="51" w:name="_Toc15396612"/>
      <w:r>
        <w:rPr>
          <w:rFonts w:hint="eastAsia" w:ascii="黑体" w:hAnsi="黑体" w:eastAsia="黑体"/>
          <w:color w:val="000000"/>
          <w:sz w:val="32"/>
          <w:szCs w:val="32"/>
        </w:rPr>
        <w:t>十</w:t>
      </w:r>
      <w:r>
        <w:rPr>
          <w:rStyle w:val="17"/>
          <w:rFonts w:hint="eastAsia" w:ascii="黑体" w:hAnsi="黑体" w:eastAsia="黑体"/>
        </w:rPr>
        <w:t>一、</w:t>
      </w:r>
      <w:r>
        <w:rPr>
          <w:rStyle w:val="17"/>
          <w:rFonts w:hint="eastAsia" w:ascii="黑体" w:hAnsi="黑体" w:eastAsia="黑体"/>
          <w:b w:val="0"/>
        </w:rPr>
        <w:t>其他重要事项的情况说明</w:t>
      </w:r>
      <w:bookmarkEnd w:id="50"/>
      <w:bookmarkEnd w:id="51"/>
    </w:p>
    <w:p>
      <w:pPr>
        <w:spacing w:line="600" w:lineRule="exact"/>
        <w:ind w:firstLine="643" w:firstLineChars="200"/>
        <w:outlineLvl w:val="2"/>
        <w:rPr>
          <w:rFonts w:ascii="仿宋" w:hAnsi="仿宋" w:eastAsia="仿宋"/>
          <w:color w:val="000000"/>
          <w:sz w:val="32"/>
          <w:szCs w:val="32"/>
        </w:rPr>
      </w:pPr>
      <w:bookmarkStart w:id="52" w:name="_Toc15377222"/>
      <w:r>
        <w:rPr>
          <w:rFonts w:hint="eastAsia" w:ascii="仿宋" w:hAnsi="仿宋" w:eastAsia="仿宋"/>
          <w:b/>
          <w:color w:val="000000"/>
          <w:sz w:val="32"/>
          <w:szCs w:val="32"/>
        </w:rPr>
        <w:t>（一）机关运行经费支出情况</w:t>
      </w:r>
      <w:bookmarkEnd w:id="52"/>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年，红格镇机关运行经费支出</w:t>
      </w:r>
      <w:r>
        <w:rPr>
          <w:rFonts w:ascii="仿宋_GB2312" w:eastAsia="仿宋_GB2312"/>
          <w:color w:val="000000"/>
          <w:sz w:val="32"/>
          <w:szCs w:val="32"/>
        </w:rPr>
        <w:t>115.03</w:t>
      </w:r>
      <w:r>
        <w:rPr>
          <w:rFonts w:hint="eastAsia" w:ascii="仿宋_GB2312" w:eastAsia="仿宋_GB2312"/>
          <w:color w:val="000000"/>
          <w:sz w:val="32"/>
          <w:szCs w:val="32"/>
        </w:rPr>
        <w:t>万元，比</w:t>
      </w:r>
      <w:r>
        <w:rPr>
          <w:rFonts w:ascii="仿宋_GB2312" w:eastAsia="仿宋_GB2312"/>
          <w:color w:val="000000"/>
          <w:sz w:val="32"/>
          <w:szCs w:val="32"/>
        </w:rPr>
        <w:t>2017</w:t>
      </w:r>
      <w:r>
        <w:rPr>
          <w:rFonts w:hint="eastAsia" w:ascii="仿宋_GB2312" w:eastAsia="仿宋_GB2312"/>
          <w:color w:val="000000"/>
          <w:sz w:val="32"/>
          <w:szCs w:val="32"/>
        </w:rPr>
        <w:t>年增加</w:t>
      </w:r>
      <w:r>
        <w:rPr>
          <w:rFonts w:ascii="仿宋_GB2312" w:eastAsia="仿宋_GB2312"/>
          <w:color w:val="000000"/>
          <w:sz w:val="32"/>
          <w:szCs w:val="32"/>
        </w:rPr>
        <w:t>13.51</w:t>
      </w:r>
      <w:r>
        <w:rPr>
          <w:rFonts w:hint="eastAsia" w:ascii="仿宋_GB2312" w:eastAsia="仿宋_GB2312"/>
          <w:color w:val="000000"/>
          <w:sz w:val="32"/>
          <w:szCs w:val="32"/>
        </w:rPr>
        <w:t>万元，增长</w:t>
      </w:r>
      <w:r>
        <w:rPr>
          <w:rFonts w:ascii="仿宋_GB2312" w:eastAsia="仿宋_GB2312"/>
          <w:color w:val="000000"/>
          <w:sz w:val="32"/>
          <w:szCs w:val="32"/>
        </w:rPr>
        <w:t>13.05%</w:t>
      </w:r>
      <w:r>
        <w:rPr>
          <w:rFonts w:hint="eastAsia" w:ascii="仿宋_GB2312" w:eastAsia="仿宋_GB2312"/>
          <w:color w:val="000000"/>
          <w:sz w:val="32"/>
          <w:szCs w:val="32"/>
        </w:rPr>
        <w:t>。主要原因是接待费比上年度有适度增加，人员增减变动工资收入变动等。</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3" w:name="_Toc15377223"/>
      <w:r>
        <w:rPr>
          <w:rFonts w:hint="eastAsia" w:ascii="仿宋" w:hAnsi="仿宋" w:eastAsia="仿宋"/>
          <w:b/>
          <w:color w:val="000000"/>
          <w:sz w:val="32"/>
          <w:szCs w:val="32"/>
        </w:rPr>
        <w:t>（二）政府采购支出情况</w:t>
      </w:r>
      <w:bookmarkEnd w:id="53"/>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年，红格镇政府采购支出总额</w:t>
      </w:r>
      <w:r>
        <w:rPr>
          <w:rFonts w:ascii="仿宋_GB2312" w:eastAsia="仿宋_GB2312"/>
          <w:color w:val="000000"/>
          <w:sz w:val="32"/>
          <w:szCs w:val="32"/>
        </w:rPr>
        <w:t>0</w:t>
      </w:r>
      <w:r>
        <w:rPr>
          <w:rFonts w:hint="eastAsia" w:ascii="仿宋_GB2312" w:eastAsia="仿宋_GB2312"/>
          <w:color w:val="000000"/>
          <w:sz w:val="32"/>
          <w:szCs w:val="32"/>
        </w:rPr>
        <w:t>万元，其中：政府采购货物支出</w:t>
      </w:r>
      <w:r>
        <w:rPr>
          <w:rFonts w:ascii="仿宋_GB2312" w:eastAsia="仿宋_GB2312"/>
          <w:color w:val="000000"/>
          <w:sz w:val="32"/>
          <w:szCs w:val="32"/>
        </w:rPr>
        <w:t>0</w:t>
      </w:r>
      <w:r>
        <w:rPr>
          <w:rFonts w:hint="eastAsia" w:ascii="仿宋_GB2312" w:eastAsia="仿宋_GB2312"/>
          <w:color w:val="000000"/>
          <w:sz w:val="32"/>
          <w:szCs w:val="32"/>
        </w:rPr>
        <w:t>万元。</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CS06</w:t>
      </w:r>
      <w:r>
        <w:rPr>
          <w:rFonts w:hint="eastAsia" w:ascii="仿宋" w:hAnsi="仿宋" w:eastAsia="仿宋"/>
          <w:b/>
          <w:color w:val="000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4" w:name="_Toc15377224"/>
      <w:r>
        <w:rPr>
          <w:rFonts w:hint="eastAsia" w:ascii="仿宋" w:hAnsi="仿宋" w:eastAsia="仿宋"/>
          <w:b/>
          <w:color w:val="000000"/>
          <w:sz w:val="32"/>
          <w:szCs w:val="32"/>
        </w:rPr>
        <w:t>（三）国有资产占有使用情况</w:t>
      </w:r>
      <w:bookmarkEnd w:id="54"/>
    </w:p>
    <w:p>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2018</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日，红格镇政府共有车辆</w:t>
      </w:r>
      <w:r>
        <w:rPr>
          <w:rFonts w:ascii="仿宋_GB2312" w:eastAsia="仿宋_GB2312"/>
          <w:color w:val="000000"/>
          <w:sz w:val="32"/>
          <w:szCs w:val="32"/>
        </w:rPr>
        <w:t>2</w:t>
      </w:r>
      <w:r>
        <w:rPr>
          <w:rFonts w:hint="eastAsia" w:ascii="仿宋_GB2312" w:eastAsia="仿宋_GB2312"/>
          <w:color w:val="000000"/>
          <w:sz w:val="32"/>
          <w:szCs w:val="32"/>
        </w:rPr>
        <w:t>辆，其中：一般公务用车</w:t>
      </w:r>
      <w:r>
        <w:rPr>
          <w:rFonts w:ascii="仿宋_GB2312" w:eastAsia="仿宋_GB2312"/>
          <w:color w:val="000000"/>
          <w:sz w:val="32"/>
          <w:szCs w:val="32"/>
        </w:rPr>
        <w:t>2</w:t>
      </w:r>
      <w:r>
        <w:rPr>
          <w:rFonts w:hint="eastAsia" w:ascii="仿宋_GB2312" w:eastAsia="仿宋_GB2312"/>
          <w:color w:val="000000"/>
          <w:sz w:val="32"/>
          <w:szCs w:val="32"/>
        </w:rPr>
        <w:t>辆，主要用于应急保障出行使用。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表，按部门决算报表填报数据罗列车辆情况。）</w:t>
      </w:r>
    </w:p>
    <w:p>
      <w:pPr>
        <w:spacing w:line="600" w:lineRule="atLeast"/>
        <w:ind w:firstLine="643" w:firstLineChars="200"/>
        <w:rPr>
          <w:rFonts w:ascii="仿宋_GB2312" w:eastAsia="仿宋_GB2312"/>
          <w:b/>
          <w:color w:val="000000"/>
          <w:sz w:val="32"/>
          <w:szCs w:val="32"/>
        </w:rPr>
      </w:pP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7"/>
        </w:numPr>
        <w:spacing w:line="600" w:lineRule="exact"/>
        <w:ind w:firstLine="663" w:firstLineChars="150"/>
        <w:jc w:val="center"/>
        <w:outlineLvl w:val="0"/>
        <w:rPr>
          <w:rStyle w:val="16"/>
          <w:rFonts w:ascii="黑体" w:hAnsi="黑体" w:eastAsia="黑体"/>
          <w:b w:val="0"/>
        </w:rPr>
      </w:pPr>
      <w:bookmarkStart w:id="55" w:name="_Toc15396613"/>
      <w:bookmarkStart w:id="56" w:name="_Toc15377225"/>
      <w:r>
        <w:rPr>
          <w:rFonts w:hint="eastAsia" w:ascii="黑体" w:hAnsi="黑体" w:eastAsia="黑体"/>
          <w:b/>
          <w:color w:val="000000"/>
          <w:sz w:val="44"/>
          <w:szCs w:val="44"/>
        </w:rPr>
        <w:t>名</w:t>
      </w:r>
      <w:r>
        <w:rPr>
          <w:rStyle w:val="16"/>
          <w:rFonts w:hint="eastAsia" w:ascii="黑体" w:hAnsi="黑体" w:eastAsia="黑体"/>
          <w:b w:val="0"/>
        </w:rPr>
        <w:t>词解释</w:t>
      </w:r>
      <w:bookmarkEnd w:id="55"/>
      <w:bookmarkEnd w:id="56"/>
    </w:p>
    <w:p>
      <w:pPr>
        <w:spacing w:line="600" w:lineRule="exact"/>
        <w:jc w:val="left"/>
        <w:rPr>
          <w:rFonts w:ascii="宋体"/>
          <w:b/>
          <w:color w:val="000000"/>
          <w:sz w:val="44"/>
          <w:szCs w:val="44"/>
        </w:rPr>
      </w:pPr>
    </w:p>
    <w:p>
      <w:pPr>
        <w:pStyle w:val="25"/>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5"/>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5"/>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4.</w:t>
      </w:r>
      <w:r>
        <w:rPr>
          <w:rFonts w:hint="eastAsia" w:ascii="仿宋_GB2312" w:eastAsia="仿宋_GB2312"/>
          <w:color w:val="000000"/>
          <w:sz w:val="32"/>
          <w:szCs w:val="32"/>
        </w:rPr>
        <w:t>一般公共服务</w:t>
      </w:r>
      <w:r>
        <w:rPr>
          <w:rFonts w:ascii="仿宋_GB2312" w:eastAsia="仿宋_GB2312"/>
          <w:color w:val="000000"/>
          <w:sz w:val="32"/>
          <w:szCs w:val="32"/>
        </w:rPr>
        <w:t>2010101</w:t>
      </w:r>
      <w:r>
        <w:rPr>
          <w:rFonts w:hint="eastAsia" w:ascii="仿宋_GB2312" w:eastAsia="仿宋_GB2312"/>
          <w:color w:val="000000"/>
          <w:sz w:val="32"/>
          <w:szCs w:val="32"/>
        </w:rPr>
        <w:t>：指人大行政单位（包括实行公务员管理的事业单位）人员经费的基本支出；</w:t>
      </w:r>
      <w:r>
        <w:rPr>
          <w:rFonts w:ascii="仿宋_GB2312" w:eastAsia="仿宋_GB2312"/>
          <w:color w:val="000000"/>
          <w:sz w:val="32"/>
          <w:szCs w:val="32"/>
        </w:rPr>
        <w:t>2010104</w:t>
      </w:r>
      <w:r>
        <w:rPr>
          <w:rFonts w:hint="eastAsia" w:ascii="仿宋_GB2312" w:eastAsia="仿宋_GB2312"/>
          <w:color w:val="000000"/>
          <w:sz w:val="32"/>
          <w:szCs w:val="32"/>
        </w:rPr>
        <w:t>：指人大召开人民代表大会等专门会议的支出；</w:t>
      </w:r>
      <w:r>
        <w:rPr>
          <w:rFonts w:ascii="仿宋_GB2312" w:eastAsia="仿宋_GB2312"/>
          <w:color w:val="000000"/>
          <w:sz w:val="32"/>
          <w:szCs w:val="32"/>
        </w:rPr>
        <w:t>2010301</w:t>
      </w:r>
      <w:r>
        <w:rPr>
          <w:rFonts w:hint="eastAsia" w:ascii="仿宋_GB2312" w:eastAsia="仿宋_GB2312"/>
          <w:color w:val="000000"/>
          <w:sz w:val="32"/>
          <w:szCs w:val="32"/>
        </w:rPr>
        <w:t>：指政府部门行政单位（包括实行公务员管理的事业单位）经费的基本支出；</w:t>
      </w:r>
      <w:r>
        <w:rPr>
          <w:rFonts w:ascii="仿宋_GB2312" w:eastAsia="仿宋_GB2312"/>
          <w:color w:val="000000"/>
          <w:sz w:val="32"/>
          <w:szCs w:val="32"/>
        </w:rPr>
        <w:t>2010601</w:t>
      </w:r>
      <w:r>
        <w:rPr>
          <w:rFonts w:hint="eastAsia" w:ascii="仿宋_GB2312" w:eastAsia="仿宋_GB2312"/>
          <w:color w:val="000000"/>
          <w:sz w:val="32"/>
          <w:szCs w:val="32"/>
        </w:rPr>
        <w:t>：指财政的行政单位（包括实行公务员管理的事业单位）经费的基本支出；</w:t>
      </w:r>
      <w:r>
        <w:rPr>
          <w:rFonts w:ascii="仿宋_GB2312" w:eastAsia="仿宋_GB2312"/>
          <w:color w:val="000000"/>
          <w:sz w:val="32"/>
          <w:szCs w:val="32"/>
        </w:rPr>
        <w:t>2010602</w:t>
      </w:r>
      <w:r>
        <w:rPr>
          <w:rFonts w:hint="eastAsia" w:ascii="仿宋_GB2312" w:eastAsia="仿宋_GB2312"/>
          <w:color w:val="000000"/>
          <w:sz w:val="32"/>
          <w:szCs w:val="32"/>
        </w:rPr>
        <w:t>：指财政的行政单位（包括实行公务员管理的事业单位）未单独设置项目科目的其他项目支出；</w:t>
      </w:r>
      <w:r>
        <w:rPr>
          <w:rFonts w:ascii="仿宋_GB2312" w:eastAsia="仿宋_GB2312"/>
          <w:color w:val="000000"/>
          <w:sz w:val="32"/>
          <w:szCs w:val="32"/>
        </w:rPr>
        <w:t>2010650</w:t>
      </w:r>
      <w:r>
        <w:rPr>
          <w:rFonts w:hint="eastAsia" w:ascii="仿宋_GB2312" w:eastAsia="仿宋_GB2312"/>
          <w:color w:val="000000"/>
          <w:sz w:val="32"/>
          <w:szCs w:val="32"/>
        </w:rPr>
        <w:t>：指财政事业单位的基本支出，不包括行政单位（包括实行公务员管理的事业单位）后勤服务中心、医务室等附属事业单位；</w:t>
      </w:r>
      <w:r>
        <w:rPr>
          <w:rFonts w:ascii="仿宋_GB2312" w:eastAsia="仿宋_GB2312"/>
          <w:color w:val="000000"/>
          <w:sz w:val="32"/>
          <w:szCs w:val="32"/>
        </w:rPr>
        <w:t>2013101</w:t>
      </w:r>
      <w:r>
        <w:rPr>
          <w:rFonts w:hint="eastAsia" w:ascii="仿宋_GB2312" w:eastAsia="仿宋_GB2312"/>
          <w:color w:val="000000"/>
          <w:sz w:val="32"/>
          <w:szCs w:val="32"/>
        </w:rPr>
        <w:t>：指党委办公厅（室）及相关机构行政单位（包括实行公务员管理的事业单位）经费的基本支出。</w:t>
      </w:r>
    </w:p>
    <w:p>
      <w:pPr>
        <w:ind w:firstLine="640" w:firstLineChars="200"/>
        <w:rPr>
          <w:rFonts w:ascii="仿宋_GB2312" w:eastAsia="仿宋_GB2312"/>
          <w:color w:val="000000"/>
          <w:sz w:val="32"/>
          <w:szCs w:val="32"/>
        </w:rPr>
      </w:pPr>
      <w:r>
        <w:rPr>
          <w:rFonts w:ascii="仿宋_GB2312" w:eastAsia="仿宋_GB2312"/>
          <w:color w:val="000000"/>
          <w:sz w:val="32"/>
          <w:szCs w:val="32"/>
        </w:rPr>
        <w:t>5.</w:t>
      </w:r>
      <w:r>
        <w:rPr>
          <w:rFonts w:hint="eastAsia" w:ascii="仿宋_GB2312" w:eastAsia="仿宋_GB2312"/>
          <w:color w:val="000000"/>
          <w:sz w:val="32"/>
          <w:szCs w:val="32"/>
        </w:rPr>
        <w:t>社会保障和就业社会保障和就业</w:t>
      </w:r>
      <w:r>
        <w:rPr>
          <w:rFonts w:ascii="仿宋_GB2312" w:eastAsia="仿宋_GB2312"/>
          <w:color w:val="000000"/>
          <w:sz w:val="32"/>
          <w:szCs w:val="32"/>
        </w:rPr>
        <w:t>2080109</w:t>
      </w:r>
      <w:r>
        <w:rPr>
          <w:rFonts w:hint="eastAsia" w:ascii="仿宋_GB2312" w:eastAsia="仿宋_GB2312"/>
          <w:color w:val="000000"/>
          <w:sz w:val="32"/>
          <w:szCs w:val="32"/>
        </w:rPr>
        <w:t>：指社会保险经办机构开展业务工作的支出；</w:t>
      </w:r>
      <w:r>
        <w:rPr>
          <w:rFonts w:ascii="仿宋_GB2312" w:eastAsia="仿宋_GB2312"/>
          <w:color w:val="000000"/>
          <w:sz w:val="32"/>
          <w:szCs w:val="32"/>
        </w:rPr>
        <w:t>2080208</w:t>
      </w:r>
      <w:r>
        <w:rPr>
          <w:rFonts w:hint="eastAsia" w:ascii="仿宋_GB2312" w:eastAsia="仿宋_GB2312"/>
          <w:color w:val="000000"/>
          <w:sz w:val="32"/>
          <w:szCs w:val="32"/>
        </w:rPr>
        <w:t>：指开展村民自治、村务公开等基层政权和社区建设工作的支出；</w:t>
      </w:r>
      <w:r>
        <w:rPr>
          <w:rFonts w:ascii="仿宋_GB2312" w:eastAsia="仿宋_GB2312"/>
          <w:color w:val="000000"/>
          <w:sz w:val="32"/>
          <w:szCs w:val="32"/>
        </w:rPr>
        <w:t>2080504</w:t>
      </w:r>
      <w:r>
        <w:rPr>
          <w:rFonts w:hint="eastAsia" w:ascii="仿宋_GB2312" w:eastAsia="仿宋_GB2312"/>
          <w:color w:val="000000"/>
          <w:sz w:val="32"/>
          <w:szCs w:val="32"/>
        </w:rPr>
        <w:t>：指未实行归口管理的</w:t>
      </w:r>
      <w:r>
        <w:rPr>
          <w:rFonts w:hint="eastAsia" w:ascii="仿宋_GB2312" w:eastAsia="仿宋_GB2312"/>
          <w:color w:val="000000"/>
          <w:sz w:val="32"/>
          <w:szCs w:val="32"/>
          <w:lang w:eastAsia="zh-CN"/>
        </w:rPr>
        <w:t>各</w:t>
      </w:r>
      <w:r>
        <w:rPr>
          <w:rFonts w:hint="eastAsia" w:ascii="仿宋_GB2312" w:eastAsia="仿宋_GB2312"/>
          <w:color w:val="000000"/>
          <w:sz w:val="32"/>
          <w:szCs w:val="32"/>
        </w:rPr>
        <w:t>类离退休人员管理机构的支出；</w:t>
      </w:r>
      <w:r>
        <w:rPr>
          <w:rFonts w:ascii="仿宋_GB2312" w:eastAsia="仿宋_GB2312"/>
          <w:color w:val="000000"/>
          <w:sz w:val="32"/>
          <w:szCs w:val="32"/>
        </w:rPr>
        <w:t>2080505</w:t>
      </w:r>
      <w:r>
        <w:rPr>
          <w:rFonts w:hint="eastAsia" w:ascii="仿宋_GB2312" w:eastAsia="仿宋_GB2312"/>
          <w:color w:val="000000"/>
          <w:sz w:val="32"/>
          <w:szCs w:val="32"/>
        </w:rPr>
        <w:t>：指机关事业单位实施养殖老保险制度由单位缴纳的基本养老保险费支出；</w:t>
      </w:r>
      <w:r>
        <w:rPr>
          <w:rFonts w:ascii="仿宋_GB2312" w:eastAsia="仿宋_GB2312"/>
          <w:color w:val="000000"/>
          <w:sz w:val="32"/>
          <w:szCs w:val="32"/>
        </w:rPr>
        <w:t>2080802</w:t>
      </w:r>
      <w:r>
        <w:rPr>
          <w:rFonts w:hint="eastAsia" w:ascii="仿宋_GB2312" w:eastAsia="仿宋_GB2312"/>
          <w:color w:val="000000"/>
          <w:sz w:val="32"/>
          <w:szCs w:val="32"/>
        </w:rPr>
        <w:t>：指按规定用于伤残人员</w:t>
      </w:r>
      <w:bookmarkStart w:id="76" w:name="_GoBack"/>
      <w:bookmarkEnd w:id="76"/>
      <w:r>
        <w:rPr>
          <w:rFonts w:hint="eastAsia" w:ascii="仿宋_GB2312" w:eastAsia="仿宋_GB2312"/>
          <w:color w:val="000000"/>
          <w:sz w:val="32"/>
          <w:szCs w:val="32"/>
        </w:rPr>
        <w:t>的抚恤金和按规定开支的各种伤残补助费；</w:t>
      </w:r>
      <w:r>
        <w:rPr>
          <w:rFonts w:ascii="仿宋_GB2312" w:eastAsia="仿宋_GB2312"/>
          <w:color w:val="000000"/>
          <w:sz w:val="32"/>
          <w:szCs w:val="32"/>
        </w:rPr>
        <w:t>2082102</w:t>
      </w:r>
      <w:r>
        <w:rPr>
          <w:rFonts w:hint="eastAsia" w:ascii="仿宋_GB2312" w:eastAsia="仿宋_GB2312"/>
          <w:color w:val="000000"/>
          <w:sz w:val="32"/>
          <w:szCs w:val="32"/>
        </w:rPr>
        <w:t>：指农村特困人员求助供养支出。</w:t>
      </w:r>
    </w:p>
    <w:p>
      <w:pPr>
        <w:ind w:firstLine="640" w:firstLineChars="200"/>
        <w:rPr>
          <w:rFonts w:ascii="仿宋_GB2312" w:eastAsia="仿宋_GB2312"/>
          <w:color w:val="000000"/>
          <w:sz w:val="32"/>
          <w:szCs w:val="32"/>
        </w:rPr>
      </w:pPr>
      <w:r>
        <w:rPr>
          <w:rFonts w:ascii="仿宋_GB2312" w:eastAsia="仿宋_GB2312"/>
          <w:color w:val="000000"/>
          <w:sz w:val="32"/>
          <w:szCs w:val="32"/>
        </w:rPr>
        <w:t>6.</w:t>
      </w:r>
      <w:r>
        <w:rPr>
          <w:rFonts w:hint="eastAsia" w:ascii="仿宋_GB2312" w:eastAsia="仿宋_GB2312"/>
          <w:color w:val="000000"/>
          <w:sz w:val="32"/>
          <w:szCs w:val="32"/>
        </w:rPr>
        <w:t>医疗卫生与计划生育</w:t>
      </w:r>
      <w:r>
        <w:rPr>
          <w:rFonts w:ascii="仿宋_GB2312" w:eastAsia="仿宋_GB2312"/>
          <w:color w:val="000000"/>
          <w:sz w:val="32"/>
          <w:szCs w:val="32"/>
        </w:rPr>
        <w:t>2100199</w:t>
      </w:r>
      <w:r>
        <w:rPr>
          <w:rFonts w:hint="eastAsia" w:ascii="仿宋_GB2312" w:eastAsia="仿宋_GB2312"/>
          <w:color w:val="000000"/>
          <w:sz w:val="32"/>
          <w:szCs w:val="32"/>
        </w:rPr>
        <w:t>：指除医疗卫生与计划生育项目以外其他用于医疗卫生与计划生育管理事务方面的支出；</w:t>
      </w:r>
      <w:r>
        <w:rPr>
          <w:rFonts w:ascii="仿宋_GB2312" w:eastAsia="仿宋_GB2312"/>
          <w:color w:val="000000"/>
          <w:sz w:val="32"/>
          <w:szCs w:val="32"/>
        </w:rPr>
        <w:t>2100799</w:t>
      </w:r>
      <w:r>
        <w:rPr>
          <w:rFonts w:hint="eastAsia" w:ascii="仿宋_GB2312" w:eastAsia="仿宋_GB2312"/>
          <w:color w:val="000000"/>
          <w:sz w:val="32"/>
          <w:szCs w:val="32"/>
        </w:rPr>
        <w:t>：指除计划生育项目以外其他用于计划生育管理事务方面的支出。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7.</w:t>
      </w:r>
      <w:r>
        <w:rPr>
          <w:rFonts w:hint="eastAsia" w:ascii="仿宋_GB2312" w:eastAsia="仿宋_GB2312"/>
          <w:color w:val="000000"/>
          <w:sz w:val="32"/>
          <w:szCs w:val="32"/>
        </w:rPr>
        <w:t>城乡社区</w:t>
      </w:r>
      <w:r>
        <w:rPr>
          <w:rFonts w:ascii="仿宋_GB2312" w:eastAsia="仿宋_GB2312"/>
          <w:color w:val="000000"/>
          <w:sz w:val="32"/>
          <w:szCs w:val="32"/>
        </w:rPr>
        <w:t>2120501</w:t>
      </w:r>
      <w:r>
        <w:rPr>
          <w:rFonts w:hint="eastAsia" w:ascii="仿宋_GB2312" w:eastAsia="仿宋_GB2312"/>
          <w:color w:val="000000"/>
          <w:sz w:val="32"/>
          <w:szCs w:val="32"/>
        </w:rPr>
        <w:t>：指城乡社区道路清扫、垃圾清运与处理、公厕建设与维护、园林绿化等方面的支出。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8.</w:t>
      </w:r>
      <w:r>
        <w:rPr>
          <w:rFonts w:hint="eastAsia" w:ascii="仿宋_GB2312" w:eastAsia="仿宋_GB2312"/>
          <w:color w:val="000000"/>
          <w:sz w:val="32"/>
          <w:szCs w:val="32"/>
        </w:rPr>
        <w:t>农林水</w:t>
      </w:r>
      <w:r>
        <w:rPr>
          <w:rFonts w:ascii="仿宋_GB2312" w:eastAsia="仿宋_GB2312"/>
          <w:color w:val="000000"/>
          <w:sz w:val="32"/>
          <w:szCs w:val="32"/>
        </w:rPr>
        <w:t>2130104</w:t>
      </w:r>
      <w:r>
        <w:rPr>
          <w:rFonts w:hint="eastAsia" w:ascii="仿宋_GB2312" w:eastAsia="仿宋_GB2312"/>
          <w:color w:val="000000"/>
          <w:sz w:val="32"/>
          <w:szCs w:val="32"/>
        </w:rPr>
        <w:t>：指用于农业事业单位基本支出、事业单位设施、系统运行与资产维护等方面的支出；</w:t>
      </w:r>
      <w:r>
        <w:rPr>
          <w:rFonts w:ascii="仿宋_GB2312" w:eastAsia="仿宋_GB2312"/>
          <w:color w:val="000000"/>
          <w:sz w:val="32"/>
          <w:szCs w:val="32"/>
        </w:rPr>
        <w:t>2130119</w:t>
      </w:r>
      <w:r>
        <w:rPr>
          <w:rFonts w:hint="eastAsia" w:ascii="仿宋_GB2312" w:eastAsia="仿宋_GB2312"/>
          <w:color w:val="000000"/>
          <w:sz w:val="32"/>
          <w:szCs w:val="32"/>
        </w:rPr>
        <w:t>：指对农业生产因遭受自然、生物灾害损失给予的补助、促进农业防灾增产措施补助，海难求助补助，草原扑火防火及因其他灾害导致农牧渔业生产者损失给予的补助；</w:t>
      </w:r>
      <w:r>
        <w:rPr>
          <w:rFonts w:ascii="仿宋_GB2312" w:eastAsia="仿宋_GB2312"/>
          <w:color w:val="000000"/>
          <w:sz w:val="32"/>
          <w:szCs w:val="32"/>
        </w:rPr>
        <w:t>2130142</w:t>
      </w:r>
      <w:r>
        <w:rPr>
          <w:rFonts w:hint="eastAsia" w:ascii="仿宋_GB2312" w:eastAsia="仿宋_GB2312"/>
          <w:color w:val="000000"/>
          <w:sz w:val="32"/>
          <w:szCs w:val="32"/>
        </w:rPr>
        <w:t>：指用于农村公路、乡村道路建设方面的支出；</w:t>
      </w:r>
      <w:r>
        <w:rPr>
          <w:rFonts w:ascii="仿宋_GB2312" w:eastAsia="仿宋_GB2312"/>
          <w:color w:val="000000"/>
          <w:sz w:val="32"/>
          <w:szCs w:val="32"/>
        </w:rPr>
        <w:t>2130152</w:t>
      </w:r>
      <w:r>
        <w:rPr>
          <w:rFonts w:hint="eastAsia" w:ascii="仿宋_GB2312" w:eastAsia="仿宋_GB2312"/>
          <w:color w:val="000000"/>
          <w:sz w:val="32"/>
          <w:szCs w:val="32"/>
        </w:rPr>
        <w:t>：指按规定对高校毕业生到基层任职的补助支出；</w:t>
      </w:r>
      <w:r>
        <w:rPr>
          <w:rFonts w:ascii="仿宋_GB2312" w:eastAsia="仿宋_GB2312"/>
          <w:color w:val="000000"/>
          <w:sz w:val="32"/>
          <w:szCs w:val="32"/>
        </w:rPr>
        <w:t>2130204</w:t>
      </w:r>
      <w:r>
        <w:rPr>
          <w:rFonts w:hint="eastAsia" w:ascii="仿宋_GB2312" w:eastAsia="仿宋_GB2312"/>
          <w:color w:val="000000"/>
          <w:sz w:val="32"/>
          <w:szCs w:val="32"/>
        </w:rPr>
        <w:t>：指用于林业事业单位的基本支出；</w:t>
      </w:r>
      <w:r>
        <w:rPr>
          <w:rFonts w:ascii="仿宋_GB2312" w:eastAsia="仿宋_GB2312"/>
          <w:color w:val="000000"/>
          <w:sz w:val="32"/>
          <w:szCs w:val="32"/>
        </w:rPr>
        <w:t>2130701</w:t>
      </w:r>
      <w:r>
        <w:rPr>
          <w:rFonts w:hint="eastAsia" w:ascii="仿宋_GB2312" w:eastAsia="仿宋_GB2312"/>
          <w:color w:val="000000"/>
          <w:sz w:val="32"/>
          <w:szCs w:val="32"/>
        </w:rPr>
        <w:t>：指农村税费改革后对村级公益事业建设一事一议的补助支出；</w:t>
      </w:r>
      <w:r>
        <w:rPr>
          <w:rFonts w:ascii="仿宋_GB2312" w:eastAsia="仿宋_GB2312"/>
          <w:color w:val="000000"/>
          <w:sz w:val="32"/>
          <w:szCs w:val="32"/>
        </w:rPr>
        <w:t>2130705</w:t>
      </w:r>
      <w:r>
        <w:rPr>
          <w:rFonts w:hint="eastAsia" w:ascii="仿宋_GB2312" w:eastAsia="仿宋_GB2312"/>
          <w:color w:val="000000"/>
          <w:sz w:val="32"/>
          <w:szCs w:val="32"/>
        </w:rPr>
        <w:t>：指各级财政对村民委员会和村党支部的补助支出，以及支持建立县级基本财力保障机制安排的村级组织运转奖补资金；</w:t>
      </w:r>
      <w:r>
        <w:rPr>
          <w:rFonts w:ascii="仿宋_GB2312" w:eastAsia="仿宋_GB2312"/>
          <w:color w:val="000000"/>
          <w:sz w:val="32"/>
          <w:szCs w:val="32"/>
        </w:rPr>
        <w:t>2130706</w:t>
      </w:r>
      <w:r>
        <w:rPr>
          <w:rFonts w:hint="eastAsia" w:ascii="仿宋_GB2312" w:eastAsia="仿宋_GB2312"/>
          <w:color w:val="000000"/>
          <w:sz w:val="32"/>
          <w:szCs w:val="32"/>
        </w:rPr>
        <w:t>：指农村税费改革后对村集体经济组织的补助支出。</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住房保障</w:t>
      </w:r>
      <w:r>
        <w:rPr>
          <w:rFonts w:ascii="仿宋_GB2312" w:eastAsia="仿宋_GB2312"/>
          <w:color w:val="000000"/>
          <w:sz w:val="32"/>
          <w:szCs w:val="32"/>
        </w:rPr>
        <w:t>2210201</w:t>
      </w:r>
      <w:r>
        <w:rPr>
          <w:rFonts w:hint="eastAsia" w:ascii="仿宋_GB2312" w:eastAsia="仿宋_GB2312"/>
          <w:color w:val="000000"/>
          <w:sz w:val="32"/>
          <w:szCs w:val="32"/>
        </w:rPr>
        <w:t>：指行政事业单位按人力资源和社会保障部、财政部规定的基本工资和津贴补贴以及规定比例为职工缴纳的住房公积金。</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pStyle w:val="25"/>
        <w:spacing w:line="560" w:lineRule="exact"/>
        <w:ind w:firstLine="640" w:firstLineChars="200"/>
        <w:rPr>
          <w:rFonts w:ascii="仿宋_GB2312" w:eastAsia="仿宋_GB2312"/>
          <w:sz w:val="32"/>
          <w:szCs w:val="32"/>
        </w:rPr>
      </w:pPr>
      <w:r>
        <w:rPr>
          <w:rFonts w:ascii="仿宋_GB2312" w:eastAsia="仿宋_GB2312"/>
          <w:sz w:val="32"/>
          <w:szCs w:val="32"/>
        </w:rPr>
        <w:t>12.</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5"/>
        <w:spacing w:line="560" w:lineRule="exact"/>
        <w:ind w:firstLine="640" w:firstLineChars="200"/>
        <w:rPr>
          <w:rFonts w:ascii="仿宋_GB2312" w:eastAsia="仿宋_GB2312"/>
          <w:sz w:val="32"/>
          <w:szCs w:val="32"/>
        </w:rPr>
      </w:pPr>
      <w:r>
        <w:rPr>
          <w:rFonts w:ascii="仿宋_GB2312" w:eastAsia="仿宋_GB2312"/>
          <w:sz w:val="32"/>
          <w:szCs w:val="32"/>
        </w:rPr>
        <w:t>13.</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16"/>
          <w:rFonts w:ascii="黑体" w:hAnsi="黑体" w:eastAsia="黑体"/>
          <w:b w:val="0"/>
        </w:rPr>
      </w:pPr>
      <w:bookmarkStart w:id="57" w:name="_Toc15396614"/>
      <w:bookmarkStart w:id="58" w:name="_Toc15377226"/>
      <w:r>
        <w:rPr>
          <w:rFonts w:hint="eastAsia" w:ascii="黑体" w:hAnsi="黑体" w:eastAsia="黑体"/>
          <w:color w:val="000000"/>
          <w:sz w:val="44"/>
          <w:szCs w:val="44"/>
        </w:rPr>
        <w:t>第</w:t>
      </w:r>
      <w:r>
        <w:rPr>
          <w:rStyle w:val="16"/>
          <w:rFonts w:hint="eastAsia" w:ascii="黑体" w:hAnsi="黑体" w:eastAsia="黑体"/>
          <w:b w:val="0"/>
        </w:rPr>
        <w:t>四部分</w:t>
      </w:r>
      <w:r>
        <w:rPr>
          <w:rStyle w:val="16"/>
          <w:rFonts w:ascii="黑体" w:hAnsi="黑体" w:eastAsia="黑体"/>
          <w:b w:val="0"/>
        </w:rPr>
        <w:t xml:space="preserve"> </w:t>
      </w:r>
      <w:r>
        <w:rPr>
          <w:rStyle w:val="16"/>
          <w:rFonts w:hint="eastAsia" w:ascii="黑体" w:hAnsi="黑体" w:eastAsia="黑体"/>
          <w:b w:val="0"/>
        </w:rPr>
        <w:t>附件</w:t>
      </w:r>
      <w:bookmarkEnd w:id="57"/>
    </w:p>
    <w:p>
      <w:pPr>
        <w:spacing w:line="600" w:lineRule="exact"/>
        <w:jc w:val="center"/>
        <w:outlineLvl w:val="0"/>
        <w:rPr>
          <w:rStyle w:val="16"/>
        </w:rPr>
      </w:pPr>
    </w:p>
    <w:p>
      <w:pPr>
        <w:pStyle w:val="3"/>
        <w:rPr>
          <w:rStyle w:val="16"/>
          <w:rFonts w:ascii="仿宋" w:hAnsi="仿宋" w:eastAsia="仿宋"/>
          <w:b w:val="0"/>
          <w:bCs w:val="0"/>
          <w:sz w:val="32"/>
          <w:szCs w:val="32"/>
        </w:rPr>
      </w:pPr>
      <w:bookmarkStart w:id="59" w:name="_Toc15396615"/>
      <w:r>
        <w:rPr>
          <w:rStyle w:val="16"/>
          <w:rFonts w:hint="eastAsia" w:ascii="仿宋" w:hAnsi="仿宋" w:eastAsia="仿宋"/>
          <w:b w:val="0"/>
          <w:bCs w:val="0"/>
          <w:sz w:val="32"/>
          <w:szCs w:val="32"/>
        </w:rPr>
        <w:t>附件</w:t>
      </w:r>
      <w:r>
        <w:rPr>
          <w:rStyle w:val="16"/>
          <w:rFonts w:ascii="仿宋" w:hAnsi="仿宋" w:eastAsia="仿宋"/>
          <w:b w:val="0"/>
          <w:bCs w:val="0"/>
          <w:sz w:val="32"/>
          <w:szCs w:val="32"/>
        </w:rPr>
        <w:t>1</w:t>
      </w:r>
      <w:bookmarkEnd w:id="59"/>
    </w:p>
    <w:p>
      <w:pPr>
        <w:spacing w:line="600" w:lineRule="exact"/>
        <w:jc w:val="center"/>
        <w:outlineLvl w:val="0"/>
        <w:rPr>
          <w:rFonts w:ascii="黑体" w:hAnsi="黑体" w:eastAsia="黑体" w:cs="方正小标宋简体"/>
          <w:sz w:val="36"/>
          <w:szCs w:val="36"/>
        </w:rPr>
      </w:pPr>
      <w:bookmarkStart w:id="60" w:name="_Toc15396616"/>
      <w:r>
        <w:rPr>
          <w:rFonts w:hint="eastAsia" w:ascii="黑体" w:hAnsi="黑体" w:eastAsia="黑体" w:cs="方正小标宋简体"/>
          <w:sz w:val="36"/>
          <w:szCs w:val="36"/>
        </w:rPr>
        <w:t>红格镇部门</w:t>
      </w:r>
      <w:r>
        <w:rPr>
          <w:rFonts w:ascii="黑体" w:hAnsi="黑体" w:eastAsia="黑体" w:cs="方正小标宋简体"/>
          <w:sz w:val="36"/>
          <w:szCs w:val="36"/>
        </w:rPr>
        <w:t>2018</w:t>
      </w:r>
      <w:r>
        <w:rPr>
          <w:rFonts w:hint="eastAsia" w:ascii="黑体" w:hAnsi="黑体" w:eastAsia="黑体" w:cs="方正小标宋简体"/>
          <w:sz w:val="36"/>
          <w:szCs w:val="36"/>
        </w:rPr>
        <w:t>年部门整体支出绩效评价报告</w:t>
      </w:r>
      <w:bookmarkEnd w:id="60"/>
    </w:p>
    <w:p>
      <w:pPr>
        <w:spacing w:line="580" w:lineRule="exact"/>
        <w:ind w:firstLine="640" w:firstLineChars="200"/>
        <w:rPr>
          <w:rFonts w:ascii="黑体" w:hAnsi="黑体" w:eastAsia="黑体" w:cs="黑体"/>
          <w:sz w:val="32"/>
          <w:szCs w:val="32"/>
        </w:rPr>
      </w:pP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一、部门（单位）概况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（一）机构组成。</w:t>
      </w:r>
    </w:p>
    <w:p>
      <w:pPr>
        <w:spacing w:line="580" w:lineRule="exact"/>
        <w:ind w:firstLine="640" w:firstLineChars="200"/>
        <w:rPr>
          <w:rFonts w:ascii="仿宋" w:hAnsi="仿宋" w:eastAsia="仿宋" w:cs="仿宋_GB2312"/>
          <w:sz w:val="32"/>
          <w:szCs w:val="32"/>
        </w:rPr>
      </w:pPr>
      <w:r>
        <w:rPr>
          <w:rFonts w:hint="eastAsia" w:eastAsia="仿宋_GB2312"/>
          <w:sz w:val="32"/>
          <w:szCs w:val="32"/>
        </w:rPr>
        <w:t>红格镇位于盐边县南部片区，根据机构改革分为红格镇党政办、农服中心、民政办、财政所、安办、综治办、项目办、便民服务中心等几个职能部门。</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（二）机构职能。</w:t>
      </w:r>
    </w:p>
    <w:p>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红格镇各部门各司其职，互相协助，共同发展，分别对我镇安全、交通、食物、教育、环保、农业、财务、纪检监督、行政管理等各领域进行监督管理、培训学习、工作实施等。</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（三）人员概况。</w:t>
      </w:r>
    </w:p>
    <w:p>
      <w:pPr>
        <w:spacing w:line="580" w:lineRule="exact"/>
        <w:ind w:firstLine="640" w:firstLineChars="200"/>
        <w:rPr>
          <w:rFonts w:ascii="仿宋_GB2312" w:hAnsi="仿宋" w:eastAsia="仿宋_GB2312" w:cs="仿宋_GB2312"/>
          <w:sz w:val="32"/>
          <w:szCs w:val="32"/>
        </w:rPr>
      </w:pPr>
      <w:r>
        <w:rPr>
          <w:rFonts w:hint="eastAsia" w:ascii="仿宋_GB2312" w:eastAsia="仿宋_GB2312"/>
          <w:sz w:val="32"/>
          <w:szCs w:val="32"/>
        </w:rPr>
        <w:t>人员编制</w:t>
      </w:r>
      <w:r>
        <w:rPr>
          <w:rFonts w:ascii="仿宋_GB2312" w:eastAsia="仿宋_GB2312"/>
          <w:sz w:val="32"/>
          <w:szCs w:val="32"/>
        </w:rPr>
        <w:t>44</w:t>
      </w:r>
      <w:r>
        <w:rPr>
          <w:rFonts w:hint="eastAsia" w:ascii="仿宋_GB2312" w:eastAsia="仿宋_GB2312"/>
          <w:sz w:val="32"/>
          <w:szCs w:val="32"/>
        </w:rPr>
        <w:t>人（其中：行政编制</w:t>
      </w:r>
      <w:r>
        <w:rPr>
          <w:rFonts w:ascii="仿宋_GB2312" w:eastAsia="仿宋_GB2312"/>
          <w:sz w:val="32"/>
          <w:szCs w:val="32"/>
        </w:rPr>
        <w:t>21</w:t>
      </w:r>
      <w:r>
        <w:rPr>
          <w:rFonts w:hint="eastAsia" w:ascii="仿宋_GB2312" w:eastAsia="仿宋_GB2312"/>
          <w:sz w:val="32"/>
          <w:szCs w:val="32"/>
        </w:rPr>
        <w:t>人，机关工勤编制</w:t>
      </w:r>
      <w:r>
        <w:rPr>
          <w:rFonts w:ascii="仿宋_GB2312" w:eastAsia="仿宋_GB2312"/>
          <w:sz w:val="32"/>
          <w:szCs w:val="32"/>
        </w:rPr>
        <w:t>2</w:t>
      </w:r>
      <w:r>
        <w:rPr>
          <w:rFonts w:hint="eastAsia" w:ascii="仿宋_GB2312" w:eastAsia="仿宋_GB2312"/>
          <w:sz w:val="32"/>
          <w:szCs w:val="32"/>
        </w:rPr>
        <w:t>人，事业编制</w:t>
      </w:r>
      <w:r>
        <w:rPr>
          <w:rFonts w:ascii="仿宋_GB2312" w:eastAsia="仿宋_GB2312"/>
          <w:sz w:val="32"/>
          <w:szCs w:val="32"/>
        </w:rPr>
        <w:t>21</w:t>
      </w:r>
      <w:r>
        <w:rPr>
          <w:rFonts w:hint="eastAsia" w:ascii="仿宋_GB2312" w:eastAsia="仿宋_GB2312"/>
          <w:sz w:val="32"/>
          <w:szCs w:val="32"/>
        </w:rPr>
        <w:t>人），财政所主要负责收集数据，编制每年部门年初预算收支，处理财政各项业务收支余账务工作。</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二、部门财政资金收支情况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（一）部门财政资金收入情况。</w:t>
      </w:r>
    </w:p>
    <w:p>
      <w:pPr>
        <w:spacing w:line="58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2018</w:t>
      </w:r>
      <w:r>
        <w:rPr>
          <w:rFonts w:hint="eastAsia" w:ascii="仿宋_GB2312" w:hAnsi="仿宋" w:eastAsia="仿宋_GB2312" w:cs="仿宋_GB2312"/>
          <w:sz w:val="32"/>
          <w:szCs w:val="32"/>
        </w:rPr>
        <w:t>年红格镇全年收入总计</w:t>
      </w:r>
      <w:r>
        <w:rPr>
          <w:rFonts w:ascii="仿宋_GB2312" w:hAnsi="仿宋" w:eastAsia="仿宋_GB2312" w:cs="仿宋_GB2312"/>
          <w:sz w:val="32"/>
          <w:szCs w:val="32"/>
        </w:rPr>
        <w:t>2805.9</w:t>
      </w:r>
      <w:r>
        <w:rPr>
          <w:rFonts w:hint="eastAsia" w:ascii="仿宋_GB2312" w:hAnsi="仿宋" w:eastAsia="仿宋_GB2312" w:cs="仿宋_GB2312"/>
          <w:sz w:val="32"/>
          <w:szCs w:val="32"/>
        </w:rPr>
        <w:t>万元，其中：一般公共预算财政拨款收入</w:t>
      </w:r>
      <w:r>
        <w:rPr>
          <w:rFonts w:ascii="仿宋_GB2312" w:hAnsi="仿宋" w:eastAsia="仿宋_GB2312" w:cs="仿宋_GB2312"/>
          <w:sz w:val="32"/>
          <w:szCs w:val="32"/>
        </w:rPr>
        <w:t>1005.9</w:t>
      </w:r>
      <w:r>
        <w:rPr>
          <w:rFonts w:hint="eastAsia" w:ascii="仿宋_GB2312" w:hAnsi="仿宋" w:eastAsia="仿宋_GB2312" w:cs="仿宋_GB2312"/>
          <w:sz w:val="32"/>
          <w:szCs w:val="32"/>
        </w:rPr>
        <w:t>万元，政府基金预算财政拨款收入</w:t>
      </w:r>
      <w:r>
        <w:rPr>
          <w:rFonts w:ascii="仿宋_GB2312" w:hAnsi="仿宋" w:eastAsia="仿宋_GB2312" w:cs="仿宋_GB2312"/>
          <w:sz w:val="32"/>
          <w:szCs w:val="32"/>
        </w:rPr>
        <w:t>1800</w:t>
      </w:r>
      <w:r>
        <w:rPr>
          <w:rFonts w:hint="eastAsia" w:ascii="仿宋_GB2312" w:hAnsi="仿宋" w:eastAsia="仿宋_GB2312" w:cs="仿宋_GB2312"/>
          <w:sz w:val="32"/>
          <w:szCs w:val="32"/>
        </w:rPr>
        <w:t>万元。</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（二）部门财政资金支出情况。</w:t>
      </w:r>
    </w:p>
    <w:p>
      <w:pPr>
        <w:spacing w:line="58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2018</w:t>
      </w:r>
      <w:r>
        <w:rPr>
          <w:rFonts w:hint="eastAsia" w:ascii="仿宋_GB2312" w:hAnsi="仿宋" w:eastAsia="仿宋_GB2312" w:cs="仿宋_GB2312"/>
          <w:sz w:val="32"/>
          <w:szCs w:val="32"/>
        </w:rPr>
        <w:t>年红格镇全年支出总计</w:t>
      </w:r>
      <w:r>
        <w:rPr>
          <w:rFonts w:ascii="仿宋_GB2312" w:hAnsi="仿宋" w:eastAsia="仿宋_GB2312" w:cs="仿宋_GB2312"/>
          <w:sz w:val="32"/>
          <w:szCs w:val="32"/>
        </w:rPr>
        <w:t>2654.55</w:t>
      </w:r>
      <w:r>
        <w:rPr>
          <w:rFonts w:hint="eastAsia" w:ascii="仿宋_GB2312" w:hAnsi="仿宋" w:eastAsia="仿宋_GB2312" w:cs="仿宋_GB2312"/>
          <w:sz w:val="32"/>
          <w:szCs w:val="32"/>
        </w:rPr>
        <w:t>万元，其中：基本支出</w:t>
      </w:r>
      <w:r>
        <w:rPr>
          <w:rFonts w:ascii="仿宋_GB2312" w:hAnsi="仿宋" w:eastAsia="仿宋_GB2312" w:cs="仿宋_GB2312"/>
          <w:sz w:val="32"/>
          <w:szCs w:val="32"/>
        </w:rPr>
        <w:t>729.95</w:t>
      </w:r>
      <w:r>
        <w:rPr>
          <w:rFonts w:hint="eastAsia" w:ascii="仿宋_GB2312" w:hAnsi="仿宋" w:eastAsia="仿宋_GB2312" w:cs="仿宋_GB2312"/>
          <w:sz w:val="32"/>
          <w:szCs w:val="32"/>
        </w:rPr>
        <w:t>，项目支出</w:t>
      </w:r>
      <w:r>
        <w:rPr>
          <w:rFonts w:ascii="仿宋_GB2312" w:hAnsi="仿宋" w:eastAsia="仿宋_GB2312" w:cs="仿宋_GB2312"/>
          <w:sz w:val="32"/>
          <w:szCs w:val="32"/>
        </w:rPr>
        <w:t>1924.6</w:t>
      </w:r>
      <w:r>
        <w:rPr>
          <w:rFonts w:hint="eastAsia" w:ascii="仿宋_GB2312" w:hAnsi="仿宋" w:eastAsia="仿宋_GB2312" w:cs="仿宋_GB2312"/>
          <w:sz w:val="32"/>
          <w:szCs w:val="32"/>
        </w:rPr>
        <w:t>万元，项目支出中。</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三、部门整体预算绩效管理情况（根据适用指标体系进行调整）</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（一）部门预算管理。</w:t>
      </w:r>
    </w:p>
    <w:p>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目标制定有据可依，根据历年资金使用情况，完整规划，实行预算。目标完成情况良好，按时完成</w:t>
      </w:r>
      <w:r>
        <w:rPr>
          <w:rFonts w:ascii="仿宋_GB2312" w:hAnsi="仿宋" w:eastAsia="仿宋_GB2312" w:cs="仿宋_GB2312"/>
          <w:sz w:val="32"/>
          <w:szCs w:val="32"/>
        </w:rPr>
        <w:t>2018</w:t>
      </w:r>
      <w:r>
        <w:rPr>
          <w:rFonts w:hint="eastAsia" w:ascii="仿宋_GB2312" w:hAnsi="仿宋" w:eastAsia="仿宋_GB2312" w:cs="仿宋_GB2312"/>
          <w:sz w:val="32"/>
          <w:szCs w:val="32"/>
        </w:rPr>
        <w:t>年各项目标任务。预算编制准确性高，调整指标较少，支出控制良好，预算动态调整依法依规，执行进度完成情况较好，预算完成情况良好，违规记录较少，均系指示性记录，录入性记录错误，均进行有效更正。</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（二）专项预算管理。</w:t>
      </w:r>
    </w:p>
    <w:p>
      <w:pPr>
        <w:spacing w:line="58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2018</w:t>
      </w:r>
      <w:r>
        <w:rPr>
          <w:rFonts w:hint="eastAsia" w:ascii="仿宋_GB2312" w:hAnsi="仿宋" w:eastAsia="仿宋_GB2312" w:cs="仿宋_GB2312"/>
          <w:sz w:val="32"/>
          <w:szCs w:val="32"/>
        </w:rPr>
        <w:t>年红格镇专项预算项目程序严密、规划合理、结果符合、分配科学及时、专项预算绩效目标完成情况良好，按时保质保量完成专项预算绩效目标任务，实施绩效情况较好，按时拨付项目资金，无违规记录。</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（三）结果应用情况。</w:t>
      </w:r>
    </w:p>
    <w:p>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红格镇</w:t>
      </w:r>
      <w:r>
        <w:rPr>
          <w:rFonts w:ascii="仿宋_GB2312" w:hAnsi="仿宋" w:eastAsia="仿宋_GB2312" w:cs="仿宋_GB2312"/>
          <w:sz w:val="32"/>
          <w:szCs w:val="32"/>
        </w:rPr>
        <w:t>2018</w:t>
      </w:r>
      <w:r>
        <w:rPr>
          <w:rFonts w:hint="eastAsia" w:ascii="仿宋_GB2312" w:hAnsi="仿宋" w:eastAsia="仿宋_GB2312" w:cs="仿宋_GB2312"/>
          <w:sz w:val="32"/>
          <w:szCs w:val="32"/>
        </w:rPr>
        <w:t>年部门绩效自评较好，质量达标，绩效目标准时公开，及时开展了自评公开，自评结果较好，反馈良好，目标明确，绩效成果较好，各项指标包括成本指标、时效指标、数量指标、质量指标均达到指标值，完成情况良好，达到人民满意度</w:t>
      </w:r>
      <w:r>
        <w:rPr>
          <w:rFonts w:ascii="仿宋_GB2312" w:hAnsi="仿宋" w:eastAsia="仿宋_GB2312" w:cs="仿宋_GB2312"/>
          <w:sz w:val="32"/>
          <w:szCs w:val="32"/>
        </w:rPr>
        <w:t>95%</w:t>
      </w:r>
      <w:r>
        <w:rPr>
          <w:rFonts w:hint="eastAsia" w:ascii="仿宋_GB2312" w:hAnsi="仿宋" w:eastAsia="仿宋_GB2312" w:cs="仿宋_GB2312"/>
          <w:sz w:val="32"/>
          <w:szCs w:val="32"/>
        </w:rPr>
        <w:t>以上。</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四、评价结论及建议</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（一）评价结论。</w:t>
      </w:r>
    </w:p>
    <w:p>
      <w:pPr>
        <w:spacing w:line="560" w:lineRule="exact"/>
        <w:ind w:firstLine="640" w:firstLineChars="200"/>
        <w:jc w:val="left"/>
        <w:rPr>
          <w:rFonts w:eastAsia="仿宋_GB2312"/>
          <w:sz w:val="32"/>
          <w:szCs w:val="32"/>
        </w:rPr>
      </w:pPr>
      <w:r>
        <w:rPr>
          <w:rFonts w:eastAsia="仿宋_GB2312"/>
          <w:sz w:val="32"/>
          <w:szCs w:val="32"/>
        </w:rPr>
        <w:t>2018</w:t>
      </w:r>
      <w:r>
        <w:rPr>
          <w:rFonts w:hint="eastAsia" w:eastAsia="仿宋_GB2312"/>
          <w:sz w:val="32"/>
          <w:szCs w:val="32"/>
        </w:rPr>
        <w:t>年以来，结合我镇实际，依据</w:t>
      </w:r>
      <w:r>
        <w:rPr>
          <w:rFonts w:eastAsia="仿宋_GB2312"/>
          <w:sz w:val="32"/>
          <w:szCs w:val="32"/>
        </w:rPr>
        <w:t>2018</w:t>
      </w:r>
      <w:r>
        <w:rPr>
          <w:rFonts w:hint="eastAsia" w:eastAsia="仿宋_GB2312"/>
          <w:sz w:val="32"/>
          <w:szCs w:val="32"/>
        </w:rPr>
        <w:t>年部门预算整体绩效评价要求，结论如下：按照时间节点，基本圆满完成了</w:t>
      </w:r>
      <w:r>
        <w:rPr>
          <w:rFonts w:eastAsia="仿宋_GB2312"/>
          <w:sz w:val="32"/>
          <w:szCs w:val="32"/>
        </w:rPr>
        <w:t>2018</w:t>
      </w:r>
      <w:r>
        <w:rPr>
          <w:rFonts w:hint="eastAsia" w:eastAsia="仿宋_GB2312"/>
          <w:sz w:val="32"/>
          <w:szCs w:val="32"/>
        </w:rPr>
        <w:t>年整体绩效目标任务，积极有效推动了红格镇</w:t>
      </w:r>
      <w:r>
        <w:rPr>
          <w:rFonts w:eastAsia="仿宋_GB2312"/>
          <w:sz w:val="32"/>
          <w:szCs w:val="32"/>
        </w:rPr>
        <w:t>2018</w:t>
      </w:r>
      <w:r>
        <w:rPr>
          <w:rFonts w:hint="eastAsia" w:eastAsia="仿宋_GB2312"/>
          <w:sz w:val="32"/>
          <w:szCs w:val="32"/>
        </w:rPr>
        <w:t>年各项目标任务的发展，在“保民生、保工资、保运转”的前提下，各部门相互配合，认真履行职责，充分利用有限的资金，完成了我镇基础设施建设发展、征地搬迁工作的顺利推进，确保了各项工作的有效实施以及民生稳定。</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（二）存在问题。</w:t>
      </w:r>
    </w:p>
    <w:p>
      <w:pPr>
        <w:spacing w:line="560" w:lineRule="exact"/>
        <w:ind w:firstLine="640" w:firstLineChars="200"/>
        <w:jc w:val="left"/>
        <w:rPr>
          <w:rFonts w:eastAsia="仿宋_GB2312"/>
          <w:sz w:val="32"/>
          <w:szCs w:val="32"/>
        </w:rPr>
      </w:pPr>
      <w:r>
        <w:rPr>
          <w:rFonts w:hint="eastAsia" w:eastAsia="仿宋_GB2312"/>
          <w:sz w:val="32"/>
          <w:szCs w:val="32"/>
        </w:rPr>
        <w:t>虽然工作得已顺利开展，仍然存在一些不足，有待加强。具体表现在：报账不及时，为了避免麻烦，报账人员没有按进度拨款，在项目实施完成的情况下，才准备资料进行全额报账，造成报账不及时，对国库资金调转分配形成一定难度；缺乏宣传，造成一些工作人员对报账程序理解不到位，造成报账不及时。</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（三）改进建议。</w:t>
      </w:r>
    </w:p>
    <w:p>
      <w:pPr>
        <w:spacing w:line="560" w:lineRule="exact"/>
        <w:ind w:firstLine="640" w:firstLineChars="200"/>
        <w:jc w:val="left"/>
        <w:rPr>
          <w:rFonts w:eastAsia="仿宋_GB2312"/>
          <w:sz w:val="32"/>
          <w:szCs w:val="32"/>
        </w:rPr>
      </w:pPr>
      <w:r>
        <w:rPr>
          <w:rFonts w:hint="eastAsia" w:eastAsia="仿宋_GB2312"/>
          <w:sz w:val="32"/>
          <w:szCs w:val="32"/>
        </w:rPr>
        <w:t>针对以上问题，建议如下：加大宣传力度，形成良好的报账氛围，督促各部门人员及时报账；督促各报账人员按照工程进度及时报账，合理调拨安排报账资金，积极争取县级各部门资金支持，有效推动红格镇征地搬迁工作的有序开展，完成县级各部门的各项目标任务。</w:t>
      </w:r>
    </w:p>
    <w:p>
      <w:pPr>
        <w:spacing w:line="580" w:lineRule="exact"/>
        <w:ind w:firstLine="640" w:firstLineChars="200"/>
        <w:rPr>
          <w:rFonts w:ascii="仿宋_GB2312" w:hAnsi="仿宋_GB2312" w:eastAsia="仿宋_GB2312" w:cs="仿宋_GB2312"/>
          <w:sz w:val="32"/>
          <w:szCs w:val="32"/>
        </w:rPr>
      </w:pPr>
    </w:p>
    <w:p>
      <w:pPr>
        <w:widowControl/>
        <w:jc w:val="left"/>
        <w:rPr>
          <w:rFonts w:ascii="仿宋_GB2312" w:hAnsi="仿宋_GB2312" w:eastAsia="仿宋_GB2312" w:cs="仿宋_GB2312"/>
          <w:sz w:val="32"/>
          <w:szCs w:val="32"/>
        </w:rPr>
      </w:pPr>
    </w:p>
    <w:p>
      <w:pPr>
        <w:pStyle w:val="3"/>
        <w:rPr>
          <w:rStyle w:val="16"/>
          <w:rFonts w:ascii="仿宋" w:hAnsi="仿宋" w:eastAsia="仿宋"/>
          <w:b w:val="0"/>
          <w:bCs w:val="0"/>
          <w:sz w:val="32"/>
          <w:szCs w:val="32"/>
        </w:rPr>
      </w:pPr>
      <w:bookmarkStart w:id="61" w:name="_Toc15396617"/>
      <w:r>
        <w:rPr>
          <w:rStyle w:val="16"/>
          <w:rFonts w:hint="eastAsia" w:ascii="仿宋" w:hAnsi="仿宋" w:eastAsia="仿宋"/>
          <w:b w:val="0"/>
          <w:bCs w:val="0"/>
          <w:sz w:val="32"/>
          <w:szCs w:val="32"/>
        </w:rPr>
        <w:t>附件</w:t>
      </w:r>
      <w:r>
        <w:rPr>
          <w:rStyle w:val="16"/>
          <w:rFonts w:ascii="仿宋" w:hAnsi="仿宋" w:eastAsia="仿宋"/>
          <w:b w:val="0"/>
          <w:bCs w:val="0"/>
          <w:sz w:val="32"/>
          <w:szCs w:val="32"/>
        </w:rPr>
        <w:t>2</w:t>
      </w:r>
      <w:bookmarkEnd w:id="61"/>
    </w:p>
    <w:p>
      <w:pPr>
        <w:spacing w:line="580" w:lineRule="exact"/>
        <w:jc w:val="center"/>
        <w:rPr>
          <w:rFonts w:ascii="黑体" w:hAnsi="黑体" w:eastAsia="黑体" w:cs="方正小标宋简体"/>
          <w:sz w:val="44"/>
          <w:szCs w:val="44"/>
        </w:rPr>
      </w:pPr>
      <w:r>
        <w:rPr>
          <w:rFonts w:ascii="黑体" w:hAnsi="黑体" w:eastAsia="黑体" w:cs="方正小标宋简体"/>
          <w:sz w:val="44"/>
          <w:szCs w:val="44"/>
        </w:rPr>
        <w:t>2018</w:t>
      </w:r>
      <w:r>
        <w:rPr>
          <w:rFonts w:hint="eastAsia" w:ascii="黑体" w:hAnsi="黑体" w:eastAsia="黑体" w:cs="方正小标宋简体"/>
          <w:sz w:val="44"/>
          <w:szCs w:val="44"/>
        </w:rPr>
        <w:t>年农村公共运行维护项目支出绩效评价报告</w:t>
      </w: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一、评价工作开展及项目情况</w:t>
      </w:r>
    </w:p>
    <w:p>
      <w:pPr>
        <w:autoSpaceDE w:val="0"/>
        <w:autoSpaceDN w:val="0"/>
        <w:adjustRightInd w:val="0"/>
        <w:spacing w:line="600" w:lineRule="exact"/>
        <w:ind w:firstLine="640" w:firstLineChars="200"/>
        <w:jc w:val="left"/>
        <w:rPr>
          <w:rFonts w:ascii="仿宋_GB2312" w:eastAsia="仿宋_GB2312" w:cs="楷体_GB2312"/>
          <w:kern w:val="0"/>
          <w:sz w:val="32"/>
          <w:szCs w:val="32"/>
        </w:rPr>
      </w:pPr>
      <w:r>
        <w:rPr>
          <w:rFonts w:hint="eastAsia" w:ascii="仿宋_GB2312" w:eastAsia="仿宋_GB2312" w:cs="楷体_GB2312"/>
          <w:kern w:val="0"/>
          <w:sz w:val="32"/>
          <w:szCs w:val="32"/>
        </w:rPr>
        <w:t>（一）现场评价抽样选点情况。</w:t>
      </w:r>
    </w:p>
    <w:p>
      <w:pPr>
        <w:autoSpaceDE w:val="0"/>
        <w:autoSpaceDN w:val="0"/>
        <w:adjustRightInd w:val="0"/>
        <w:spacing w:line="600" w:lineRule="exact"/>
        <w:ind w:firstLine="640" w:firstLineChars="200"/>
        <w:jc w:val="left"/>
        <w:rPr>
          <w:rFonts w:ascii="仿宋_GB2312" w:eastAsia="仿宋_GB2312" w:cs="楷体_GB2312"/>
          <w:kern w:val="0"/>
          <w:sz w:val="32"/>
          <w:szCs w:val="32"/>
        </w:rPr>
      </w:pPr>
      <w:r>
        <w:rPr>
          <w:rFonts w:hint="eastAsia" w:ascii="仿宋_GB2312" w:eastAsia="仿宋_GB2312" w:cs="楷体_GB2312"/>
          <w:kern w:val="0"/>
          <w:sz w:val="32"/>
          <w:szCs w:val="32"/>
        </w:rPr>
        <w:t>根据绩效评价选点要求，根据我镇项目开展情况，选取部分点位进行现场评价。</w:t>
      </w:r>
    </w:p>
    <w:p>
      <w:pPr>
        <w:autoSpaceDE w:val="0"/>
        <w:autoSpaceDN w:val="0"/>
        <w:adjustRightInd w:val="0"/>
        <w:spacing w:line="600" w:lineRule="exact"/>
        <w:ind w:firstLine="640" w:firstLineChars="200"/>
        <w:jc w:val="left"/>
        <w:rPr>
          <w:rFonts w:ascii="仿宋_GB2312" w:eastAsia="仿宋_GB2312" w:cs="楷体_GB2312"/>
          <w:kern w:val="0"/>
          <w:sz w:val="32"/>
          <w:szCs w:val="32"/>
        </w:rPr>
      </w:pPr>
      <w:r>
        <w:rPr>
          <w:rFonts w:hint="eastAsia" w:ascii="仿宋_GB2312" w:eastAsia="仿宋_GB2312" w:cs="楷体_GB2312"/>
          <w:kern w:val="0"/>
          <w:sz w:val="32"/>
          <w:szCs w:val="32"/>
        </w:rPr>
        <w:t>（二）项目总体评价（包括项目评价得分表）。</w:t>
      </w:r>
    </w:p>
    <w:p>
      <w:pPr>
        <w:spacing w:line="580" w:lineRule="exact"/>
        <w:ind w:firstLine="640" w:firstLineChars="200"/>
        <w:rPr>
          <w:rFonts w:ascii="仿宋_GB2312" w:eastAsia="仿宋_GB2312" w:cs="楷体_GB2312"/>
          <w:kern w:val="0"/>
          <w:sz w:val="32"/>
          <w:szCs w:val="32"/>
        </w:rPr>
      </w:pPr>
      <w:r>
        <w:rPr>
          <w:rFonts w:hint="eastAsia" w:ascii="仿宋_GB2312" w:eastAsia="仿宋_GB2312" w:cs="楷体_GB2312"/>
          <w:kern w:val="0"/>
          <w:sz w:val="32"/>
          <w:szCs w:val="32"/>
        </w:rPr>
        <w:t>项目目标明确，组织监管体系明确，较好的实现了绩效目标，项目绩效评价得分</w:t>
      </w:r>
      <w:r>
        <w:rPr>
          <w:rFonts w:ascii="仿宋_GB2312" w:eastAsia="仿宋_GB2312" w:cs="楷体_GB2312"/>
          <w:kern w:val="0"/>
          <w:sz w:val="32"/>
          <w:szCs w:val="32"/>
        </w:rPr>
        <w:t>98</w:t>
      </w:r>
      <w:r>
        <w:rPr>
          <w:rFonts w:hint="eastAsia" w:ascii="仿宋_GB2312" w:eastAsia="仿宋_GB2312" w:cs="楷体_GB2312"/>
          <w:kern w:val="0"/>
          <w:sz w:val="32"/>
          <w:szCs w:val="32"/>
        </w:rPr>
        <w:t>分。</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二、评价结论及绩效分析</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（一）评价结论</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基层组织活动经费和公共服务运行维护费整体支出绩效评价自我评分为</w:t>
      </w:r>
      <w:r>
        <w:rPr>
          <w:rFonts w:ascii="仿宋_GB2312" w:eastAsia="仿宋_GB2312" w:cs="仿宋_GB2312"/>
          <w:kern w:val="0"/>
          <w:sz w:val="32"/>
          <w:szCs w:val="32"/>
        </w:rPr>
        <w:t>98</w:t>
      </w:r>
      <w:r>
        <w:rPr>
          <w:rFonts w:hint="eastAsia" w:ascii="仿宋_GB2312" w:eastAsia="仿宋_GB2312" w:cs="仿宋_GB2312"/>
          <w:kern w:val="0"/>
          <w:sz w:val="32"/>
          <w:szCs w:val="32"/>
        </w:rPr>
        <w:t>分，评价总体效果较好，项目自身有针对性的解决了各村出行难的实际困难，绩效目标按期实现，按照各项政策要求，不断提高项目的绩效效率。</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（二）绩效分析</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、项目决策</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宋体" w:hAnsi="宋体" w:cs="宋体"/>
          <w:kern w:val="0"/>
          <w:sz w:val="32"/>
          <w:szCs w:val="32"/>
        </w:rPr>
        <w:t>⑴</w:t>
      </w:r>
      <w:r>
        <w:rPr>
          <w:rFonts w:hint="eastAsia" w:ascii="仿宋_GB2312" w:eastAsia="仿宋_GB2312" w:cs="仿宋_GB2312"/>
          <w:kern w:val="0"/>
          <w:sz w:val="32"/>
          <w:szCs w:val="32"/>
        </w:rPr>
        <w:t>绩效目标情况。</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年初按要求报送完整、合理、清晰的绩效目标情况表；各实施项目均制定有效的项目实施方案进行施工；</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宋体" w:hAnsi="宋体" w:cs="宋体"/>
          <w:kern w:val="0"/>
          <w:sz w:val="32"/>
          <w:szCs w:val="32"/>
        </w:rPr>
        <w:t>⑵</w:t>
      </w:r>
      <w:r>
        <w:rPr>
          <w:rFonts w:hint="eastAsia" w:ascii="仿宋_GB2312" w:eastAsia="仿宋_GB2312" w:cs="仿宋_GB2312"/>
          <w:kern w:val="0"/>
          <w:sz w:val="32"/>
          <w:szCs w:val="32"/>
        </w:rPr>
        <w:t>决策依据情况。</w:t>
      </w:r>
    </w:p>
    <w:p>
      <w:pPr>
        <w:spacing w:line="58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项目实施前已制定资金管理办法且有明确的项目资金分配方案及流程；农村公共服务运行维护资金属于省、市、县年度财政预算安排范围内资金；基层组织活动经费及村办公经费均按资金管理的办法及流程实际报销。</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、项目管理</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农村公共服务运行经费</w:t>
      </w:r>
      <w:r>
        <w:rPr>
          <w:rFonts w:ascii="仿宋_GB2312" w:eastAsia="仿宋_GB2312" w:cs="仿宋_GB2312"/>
          <w:kern w:val="0"/>
          <w:sz w:val="32"/>
          <w:szCs w:val="32"/>
        </w:rPr>
        <w:t>160000</w:t>
      </w:r>
      <w:r>
        <w:rPr>
          <w:rFonts w:hint="eastAsia" w:ascii="仿宋_GB2312" w:eastAsia="仿宋_GB2312" w:cs="仿宋_GB2312"/>
          <w:kern w:val="0"/>
          <w:sz w:val="32"/>
          <w:szCs w:val="32"/>
        </w:rPr>
        <w:t>元，红格村、昔格达村各</w:t>
      </w:r>
      <w:r>
        <w:rPr>
          <w:rFonts w:ascii="仿宋_GB2312" w:eastAsia="仿宋_GB2312" w:cs="仿宋_GB2312"/>
          <w:kern w:val="0"/>
          <w:sz w:val="32"/>
          <w:szCs w:val="32"/>
        </w:rPr>
        <w:t>50000</w:t>
      </w:r>
      <w:r>
        <w:rPr>
          <w:rFonts w:hint="eastAsia" w:ascii="仿宋_GB2312" w:eastAsia="仿宋_GB2312" w:cs="仿宋_GB2312"/>
          <w:kern w:val="0"/>
          <w:sz w:val="32"/>
          <w:szCs w:val="32"/>
        </w:rPr>
        <w:t>元，金河村、新隆村各</w:t>
      </w:r>
      <w:r>
        <w:rPr>
          <w:rFonts w:ascii="仿宋_GB2312" w:eastAsia="仿宋_GB2312" w:cs="仿宋_GB2312"/>
          <w:kern w:val="0"/>
          <w:sz w:val="32"/>
          <w:szCs w:val="32"/>
        </w:rPr>
        <w:t>30000</w:t>
      </w:r>
      <w:r>
        <w:rPr>
          <w:rFonts w:hint="eastAsia" w:ascii="仿宋_GB2312" w:eastAsia="仿宋_GB2312" w:cs="仿宋_GB2312"/>
          <w:kern w:val="0"/>
          <w:sz w:val="32"/>
          <w:szCs w:val="32"/>
        </w:rPr>
        <w:t>元；</w:t>
      </w:r>
      <w:r>
        <w:rPr>
          <w:rFonts w:ascii="仿宋_GB2312" w:eastAsia="仿宋_GB2312" w:cs="仿宋_GB2312"/>
          <w:kern w:val="0"/>
          <w:sz w:val="32"/>
          <w:szCs w:val="32"/>
        </w:rPr>
        <w:t>2018</w:t>
      </w:r>
      <w:r>
        <w:rPr>
          <w:rFonts w:hint="eastAsia" w:ascii="仿宋_GB2312" w:eastAsia="仿宋_GB2312" w:cs="仿宋_GB2312"/>
          <w:kern w:val="0"/>
          <w:sz w:val="32"/>
          <w:szCs w:val="32"/>
        </w:rPr>
        <w:t>年村级办公经费</w:t>
      </w:r>
      <w:r>
        <w:rPr>
          <w:rFonts w:ascii="仿宋_GB2312" w:eastAsia="仿宋_GB2312" w:cs="仿宋_GB2312"/>
          <w:kern w:val="0"/>
          <w:sz w:val="32"/>
          <w:szCs w:val="32"/>
        </w:rPr>
        <w:t>150000</w:t>
      </w:r>
      <w:r>
        <w:rPr>
          <w:rFonts w:hint="eastAsia" w:ascii="仿宋_GB2312" w:eastAsia="仿宋_GB2312" w:cs="仿宋_GB2312"/>
          <w:kern w:val="0"/>
          <w:sz w:val="32"/>
          <w:szCs w:val="32"/>
        </w:rPr>
        <w:t>元，红格村、昔格达村、金河村各</w:t>
      </w:r>
      <w:r>
        <w:rPr>
          <w:rFonts w:ascii="仿宋_GB2312" w:eastAsia="仿宋_GB2312" w:cs="仿宋_GB2312"/>
          <w:kern w:val="0"/>
          <w:sz w:val="32"/>
          <w:szCs w:val="32"/>
        </w:rPr>
        <w:t>40000</w:t>
      </w:r>
      <w:r>
        <w:rPr>
          <w:rFonts w:hint="eastAsia" w:ascii="仿宋_GB2312" w:eastAsia="仿宋_GB2312" w:cs="仿宋_GB2312"/>
          <w:kern w:val="0"/>
          <w:sz w:val="32"/>
          <w:szCs w:val="32"/>
        </w:rPr>
        <w:t>元，新隆村</w:t>
      </w:r>
      <w:r>
        <w:rPr>
          <w:rFonts w:ascii="仿宋_GB2312" w:eastAsia="仿宋_GB2312" w:cs="仿宋_GB2312"/>
          <w:kern w:val="0"/>
          <w:sz w:val="32"/>
          <w:szCs w:val="32"/>
        </w:rPr>
        <w:t>30000</w:t>
      </w:r>
      <w:r>
        <w:rPr>
          <w:rFonts w:hint="eastAsia" w:ascii="仿宋_GB2312" w:eastAsia="仿宋_GB2312" w:cs="仿宋_GB2312"/>
          <w:kern w:val="0"/>
          <w:sz w:val="32"/>
          <w:szCs w:val="32"/>
        </w:rPr>
        <w:t>元；年初下达的基础组织活动及公共运行服务经费</w:t>
      </w:r>
      <w:r>
        <w:rPr>
          <w:rFonts w:ascii="仿宋_GB2312" w:eastAsia="仿宋_GB2312" w:cs="仿宋_GB2312"/>
          <w:kern w:val="0"/>
          <w:sz w:val="32"/>
          <w:szCs w:val="32"/>
        </w:rPr>
        <w:t>50000</w:t>
      </w:r>
      <w:r>
        <w:rPr>
          <w:rFonts w:hint="eastAsia" w:ascii="仿宋_GB2312" w:eastAsia="仿宋_GB2312" w:cs="仿宋_GB2312"/>
          <w:kern w:val="0"/>
          <w:sz w:val="32"/>
          <w:szCs w:val="32"/>
        </w:rPr>
        <w:t>元</w:t>
      </w:r>
      <w:r>
        <w:rPr>
          <w:rFonts w:ascii="仿宋_GB2312" w:eastAsia="仿宋_GB2312" w:cs="仿宋_GB2312"/>
          <w:kern w:val="0"/>
          <w:sz w:val="32"/>
          <w:szCs w:val="32"/>
        </w:rPr>
        <w:t>4</w:t>
      </w:r>
      <w:r>
        <w:rPr>
          <w:rFonts w:hint="eastAsia" w:ascii="仿宋_GB2312" w:eastAsia="仿宋_GB2312" w:cs="仿宋_GB2312"/>
          <w:kern w:val="0"/>
          <w:sz w:val="32"/>
          <w:szCs w:val="32"/>
        </w:rPr>
        <w:t>个村及</w:t>
      </w:r>
      <w:r>
        <w:rPr>
          <w:rFonts w:ascii="仿宋_GB2312" w:eastAsia="仿宋_GB2312" w:cs="仿宋_GB2312"/>
          <w:kern w:val="0"/>
          <w:sz w:val="32"/>
          <w:szCs w:val="32"/>
        </w:rPr>
        <w:t>1</w:t>
      </w:r>
      <w:r>
        <w:rPr>
          <w:rFonts w:hint="eastAsia" w:ascii="仿宋_GB2312" w:eastAsia="仿宋_GB2312" w:cs="仿宋_GB2312"/>
          <w:kern w:val="0"/>
          <w:sz w:val="32"/>
          <w:szCs w:val="32"/>
        </w:rPr>
        <w:t>个社区各</w:t>
      </w:r>
      <w:r>
        <w:rPr>
          <w:rFonts w:ascii="仿宋_GB2312" w:eastAsia="仿宋_GB2312" w:cs="仿宋_GB2312"/>
          <w:kern w:val="0"/>
          <w:sz w:val="32"/>
          <w:szCs w:val="32"/>
        </w:rPr>
        <w:t>10000</w:t>
      </w:r>
      <w:r>
        <w:rPr>
          <w:rFonts w:hint="eastAsia" w:ascii="仿宋_GB2312" w:eastAsia="仿宋_GB2312" w:cs="仿宋_GB2312"/>
          <w:kern w:val="0"/>
          <w:sz w:val="32"/>
          <w:szCs w:val="32"/>
        </w:rPr>
        <w:t>元。</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宋体" w:hAnsi="宋体" w:cs="宋体"/>
          <w:kern w:val="0"/>
          <w:sz w:val="32"/>
          <w:szCs w:val="32"/>
        </w:rPr>
        <w:t>⑴</w:t>
      </w:r>
      <w:r>
        <w:rPr>
          <w:rFonts w:hint="eastAsia" w:ascii="仿宋_GB2312" w:eastAsia="仿宋_GB2312" w:cs="仿宋_GB2312"/>
          <w:kern w:val="0"/>
          <w:sz w:val="32"/>
          <w:szCs w:val="32"/>
        </w:rPr>
        <w:t>资金到位情况。</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共计到位资金</w:t>
      </w:r>
      <w:r>
        <w:rPr>
          <w:rFonts w:ascii="仿宋_GB2312" w:eastAsia="仿宋_GB2312" w:cs="仿宋_GB2312"/>
          <w:kern w:val="0"/>
          <w:sz w:val="32"/>
          <w:szCs w:val="32"/>
        </w:rPr>
        <w:t>360000</w:t>
      </w:r>
      <w:r>
        <w:rPr>
          <w:rFonts w:hint="eastAsia" w:ascii="仿宋_GB2312" w:eastAsia="仿宋_GB2312" w:cs="仿宋_GB2312"/>
          <w:kern w:val="0"/>
          <w:sz w:val="32"/>
          <w:szCs w:val="32"/>
        </w:rPr>
        <w:t>元，其中农村公共服务运行省级资金</w:t>
      </w:r>
      <w:r>
        <w:rPr>
          <w:rFonts w:ascii="仿宋_GB2312" w:eastAsia="仿宋_GB2312" w:cs="仿宋_GB2312"/>
          <w:kern w:val="0"/>
          <w:sz w:val="32"/>
          <w:szCs w:val="32"/>
        </w:rPr>
        <w:t>120000</w:t>
      </w:r>
      <w:r>
        <w:rPr>
          <w:rFonts w:hint="eastAsia" w:ascii="仿宋_GB2312" w:eastAsia="仿宋_GB2312" w:cs="仿宋_GB2312"/>
          <w:kern w:val="0"/>
          <w:sz w:val="32"/>
          <w:szCs w:val="32"/>
        </w:rPr>
        <w:t>元，市级资金</w:t>
      </w:r>
      <w:r>
        <w:rPr>
          <w:rFonts w:ascii="仿宋_GB2312" w:eastAsia="仿宋_GB2312" w:cs="仿宋_GB2312"/>
          <w:kern w:val="0"/>
          <w:sz w:val="32"/>
          <w:szCs w:val="32"/>
        </w:rPr>
        <w:t>40000</w:t>
      </w:r>
      <w:r>
        <w:rPr>
          <w:rFonts w:hint="eastAsia" w:ascii="仿宋_GB2312" w:eastAsia="仿宋_GB2312" w:cs="仿宋_GB2312"/>
          <w:kern w:val="0"/>
          <w:sz w:val="32"/>
          <w:szCs w:val="32"/>
        </w:rPr>
        <w:t>元；基层组织活动及运行维护省级资金</w:t>
      </w:r>
      <w:r>
        <w:rPr>
          <w:rFonts w:ascii="仿宋_GB2312" w:eastAsia="仿宋_GB2312" w:cs="仿宋_GB2312"/>
          <w:kern w:val="0"/>
          <w:sz w:val="32"/>
          <w:szCs w:val="32"/>
        </w:rPr>
        <w:t>50000</w:t>
      </w:r>
      <w:r>
        <w:rPr>
          <w:rFonts w:hint="eastAsia" w:ascii="仿宋_GB2312" w:eastAsia="仿宋_GB2312" w:cs="仿宋_GB2312"/>
          <w:kern w:val="0"/>
          <w:sz w:val="32"/>
          <w:szCs w:val="32"/>
        </w:rPr>
        <w:t>元；村级办公经费</w:t>
      </w:r>
      <w:r>
        <w:rPr>
          <w:rFonts w:ascii="仿宋_GB2312" w:eastAsia="仿宋_GB2312" w:cs="仿宋_GB2312"/>
          <w:kern w:val="0"/>
          <w:sz w:val="32"/>
          <w:szCs w:val="32"/>
        </w:rPr>
        <w:t>150000</w:t>
      </w:r>
      <w:r>
        <w:rPr>
          <w:rFonts w:hint="eastAsia" w:ascii="仿宋_GB2312" w:eastAsia="仿宋_GB2312" w:cs="仿宋_GB2312"/>
          <w:kern w:val="0"/>
          <w:sz w:val="32"/>
          <w:szCs w:val="32"/>
        </w:rPr>
        <w:t>元。</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宋体" w:hAnsi="宋体" w:cs="宋体"/>
          <w:kern w:val="0"/>
          <w:sz w:val="32"/>
          <w:szCs w:val="32"/>
        </w:rPr>
        <w:t>⑵</w:t>
      </w:r>
      <w:r>
        <w:rPr>
          <w:rFonts w:hint="eastAsia" w:ascii="仿宋_GB2312" w:eastAsia="仿宋_GB2312" w:cs="仿宋_GB2312"/>
          <w:kern w:val="0"/>
          <w:sz w:val="32"/>
          <w:szCs w:val="32"/>
        </w:rPr>
        <w:t>资金管理情况。</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项目经费专款专用，未发现支出依据不合规，虚列项目支出情况，也未发现截留、挤占、挪用等情况。</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宋体" w:hAnsi="宋体" w:cs="宋体"/>
          <w:kern w:val="0"/>
          <w:sz w:val="32"/>
          <w:szCs w:val="32"/>
        </w:rPr>
        <w:t>⑶</w:t>
      </w:r>
      <w:r>
        <w:rPr>
          <w:rFonts w:hint="eastAsia" w:ascii="仿宋_GB2312" w:eastAsia="仿宋_GB2312" w:cs="仿宋_GB2312"/>
          <w:kern w:val="0"/>
          <w:sz w:val="32"/>
          <w:szCs w:val="32"/>
        </w:rPr>
        <w:t>财务管理情况。</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资金管理严格按照相关政策法规进行管理，对项目资金严格执行财务管理制度，财务处理及时、准确、规范。</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宋体" w:hAnsi="宋体" w:cs="宋体"/>
          <w:kern w:val="0"/>
          <w:sz w:val="32"/>
          <w:szCs w:val="32"/>
        </w:rPr>
        <w:t>⑷</w:t>
      </w:r>
      <w:r>
        <w:rPr>
          <w:rFonts w:hint="eastAsia" w:ascii="仿宋_GB2312" w:eastAsia="仿宋_GB2312" w:cs="仿宋_GB2312"/>
          <w:kern w:val="0"/>
          <w:sz w:val="32"/>
          <w:szCs w:val="32"/>
        </w:rPr>
        <w:t>组织实施情况。</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项目实施及报账均由镇村两级审核审批后实施。</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、项目绩效</w:t>
      </w:r>
    </w:p>
    <w:p>
      <w:pPr>
        <w:autoSpaceDE w:val="0"/>
        <w:autoSpaceDN w:val="0"/>
        <w:adjustRightInd w:val="0"/>
        <w:spacing w:line="600" w:lineRule="exact"/>
        <w:ind w:firstLine="480" w:firstLineChars="150"/>
        <w:jc w:val="left"/>
        <w:rPr>
          <w:rFonts w:ascii="楷体_GB2312" w:eastAsia="楷体_GB2312" w:cs="楷体_GB2312"/>
          <w:kern w:val="0"/>
          <w:sz w:val="32"/>
          <w:szCs w:val="32"/>
        </w:rPr>
      </w:pPr>
      <w:r>
        <w:rPr>
          <w:rFonts w:hint="eastAsia" w:ascii="楷体_GB2312" w:eastAsia="楷体_GB2312" w:cs="楷体_GB2312"/>
          <w:kern w:val="0"/>
          <w:sz w:val="32"/>
          <w:szCs w:val="32"/>
        </w:rPr>
        <w:t>（一）项目完成情况。</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宋体" w:hAnsi="宋体" w:cs="宋体"/>
          <w:kern w:val="0"/>
          <w:sz w:val="32"/>
          <w:szCs w:val="32"/>
        </w:rPr>
        <w:t>⑴</w:t>
      </w:r>
      <w:r>
        <w:rPr>
          <w:rFonts w:hint="eastAsia" w:ascii="仿宋_GB2312" w:eastAsia="仿宋_GB2312" w:cs="仿宋_GB2312"/>
          <w:kern w:val="0"/>
          <w:sz w:val="32"/>
          <w:szCs w:val="32"/>
        </w:rPr>
        <w:t>完成数量。</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ascii="仿宋_GB2312" w:eastAsia="仿宋_GB2312" w:cs="仿宋_GB2312"/>
          <w:kern w:val="0"/>
          <w:sz w:val="32"/>
          <w:szCs w:val="32"/>
        </w:rPr>
        <w:t>4</w:t>
      </w:r>
      <w:r>
        <w:rPr>
          <w:rFonts w:hint="eastAsia" w:ascii="仿宋_GB2312" w:eastAsia="仿宋_GB2312" w:cs="仿宋_GB2312"/>
          <w:kern w:val="0"/>
          <w:sz w:val="32"/>
          <w:szCs w:val="32"/>
        </w:rPr>
        <w:t>个村公共服务运行项目均已完成，并进行了报账。</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宋体" w:hAnsi="宋体" w:cs="宋体"/>
          <w:kern w:val="0"/>
          <w:sz w:val="32"/>
          <w:szCs w:val="32"/>
        </w:rPr>
        <w:t>⑵</w:t>
      </w:r>
      <w:r>
        <w:rPr>
          <w:rFonts w:hint="eastAsia" w:ascii="仿宋_GB2312" w:eastAsia="仿宋_GB2312" w:cs="仿宋_GB2312"/>
          <w:kern w:val="0"/>
          <w:sz w:val="32"/>
          <w:szCs w:val="32"/>
        </w:rPr>
        <w:t>完成质量。</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各村均严格按照项目要求的质量如期完成。</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宋体" w:hAnsi="宋体" w:cs="宋体"/>
          <w:kern w:val="0"/>
          <w:sz w:val="32"/>
          <w:szCs w:val="32"/>
        </w:rPr>
        <w:t>⑶</w:t>
      </w:r>
      <w:r>
        <w:rPr>
          <w:rFonts w:hint="eastAsia" w:ascii="仿宋_GB2312" w:eastAsia="仿宋_GB2312" w:cs="仿宋_GB2312"/>
          <w:kern w:val="0"/>
          <w:sz w:val="32"/>
          <w:szCs w:val="32"/>
        </w:rPr>
        <w:t>完成时效。</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公共服务运行维护资金在合同规定的时间内实施完成；</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宋体" w:hAnsi="宋体" w:cs="宋体"/>
          <w:kern w:val="0"/>
          <w:sz w:val="32"/>
          <w:szCs w:val="32"/>
        </w:rPr>
        <w:t>⑷</w:t>
      </w:r>
      <w:r>
        <w:rPr>
          <w:rFonts w:hint="eastAsia" w:ascii="仿宋_GB2312" w:eastAsia="仿宋_GB2312" w:cs="仿宋_GB2312"/>
          <w:kern w:val="0"/>
          <w:sz w:val="32"/>
          <w:szCs w:val="32"/>
        </w:rPr>
        <w:t>完成成本。</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公共服务运行维护资金按实际决算成本计算，村办公经费及基层组织活动经费按实际支出的发票等单据实报实销。</w:t>
      </w:r>
    </w:p>
    <w:p>
      <w:pPr>
        <w:autoSpaceDE w:val="0"/>
        <w:autoSpaceDN w:val="0"/>
        <w:adjustRightInd w:val="0"/>
        <w:spacing w:line="600" w:lineRule="exact"/>
        <w:ind w:firstLine="640" w:firstLineChars="200"/>
        <w:jc w:val="left"/>
        <w:rPr>
          <w:rFonts w:ascii="楷体_GB2312" w:eastAsia="楷体_GB2312" w:cs="楷体_GB2312"/>
          <w:kern w:val="0"/>
          <w:sz w:val="32"/>
          <w:szCs w:val="32"/>
        </w:rPr>
      </w:pPr>
      <w:r>
        <w:rPr>
          <w:rFonts w:hint="eastAsia" w:ascii="楷体_GB2312" w:eastAsia="楷体_GB2312" w:cs="楷体_GB2312"/>
          <w:kern w:val="0"/>
          <w:sz w:val="32"/>
          <w:szCs w:val="32"/>
        </w:rPr>
        <w:t>（二）项目效益情况。</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各村对村道进行维修维护及清理后，社道路沿线的环境得到了改善，加强了基础设施建设，提高了社道路的使用效率，对村民的出行再次提供了更大的便利，改善村民生产生活条件和增加农民收入，村民满意度</w:t>
      </w:r>
      <w:r>
        <w:rPr>
          <w:rFonts w:ascii="仿宋_GB2312" w:eastAsia="仿宋_GB2312" w:cs="仿宋_GB2312"/>
          <w:kern w:val="0"/>
          <w:sz w:val="32"/>
          <w:szCs w:val="32"/>
        </w:rPr>
        <w:t>100%</w:t>
      </w:r>
      <w:r>
        <w:rPr>
          <w:rFonts w:hint="eastAsia" w:ascii="仿宋_GB2312" w:eastAsia="仿宋_GB2312" w:cs="仿宋_GB2312"/>
          <w:kern w:val="0"/>
          <w:sz w:val="32"/>
          <w:szCs w:val="32"/>
        </w:rPr>
        <w:t>，村办公经费及基层组织活动经费保障了村社干部最大化的开展各项工作。</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三、存在主要问题</w:t>
      </w:r>
    </w:p>
    <w:p>
      <w:pPr>
        <w:spacing w:line="580" w:lineRule="exact"/>
        <w:ind w:firstLine="640" w:firstLineChars="200"/>
        <w:rPr>
          <w:rFonts w:ascii="仿宋" w:hAnsi="仿宋" w:eastAsia="仿宋" w:cs="仿宋_GB2312"/>
          <w:sz w:val="32"/>
          <w:szCs w:val="32"/>
        </w:rPr>
      </w:pPr>
      <w:r>
        <w:rPr>
          <w:rFonts w:hint="eastAsia" w:ascii="仿宋_GB2312" w:eastAsia="仿宋_GB2312" w:cs="仿宋_GB2312"/>
          <w:kern w:val="0"/>
          <w:sz w:val="32"/>
          <w:szCs w:val="32"/>
        </w:rPr>
        <w:t>有部份资金报账相对滞后，有个别村报账不积极，导致资金滞留在镇财政所；部份村报账单据及项目资料不够完善，报账不规范。</w:t>
      </w:r>
    </w:p>
    <w:p>
      <w:pPr>
        <w:numPr>
          <w:ilvl w:val="0"/>
          <w:numId w:val="2"/>
        </w:numPr>
        <w:spacing w:line="580" w:lineRule="exact"/>
        <w:rPr>
          <w:rFonts w:ascii="仿宋" w:hAnsi="仿宋" w:eastAsia="仿宋" w:cs="仿宋_GB2312"/>
          <w:sz w:val="32"/>
          <w:szCs w:val="32"/>
        </w:rPr>
      </w:pPr>
      <w:r>
        <w:rPr>
          <w:rFonts w:hint="eastAsia" w:ascii="仿宋" w:hAnsi="仿宋" w:eastAsia="仿宋" w:cs="仿宋_GB2312"/>
          <w:sz w:val="32"/>
          <w:szCs w:val="32"/>
        </w:rPr>
        <w:t>相关措施建议</w:t>
      </w:r>
    </w:p>
    <w:p>
      <w:pPr>
        <w:spacing w:line="580" w:lineRule="exact"/>
        <w:rPr>
          <w:rStyle w:val="16"/>
          <w:rFonts w:ascii="仿宋_GB2312" w:hAnsi="仿宋" w:eastAsia="仿宋_GB2312" w:cs="仿宋_GB2312"/>
          <w:b w:val="0"/>
          <w:bCs w:val="0"/>
          <w:kern w:val="2"/>
          <w:sz w:val="32"/>
          <w:szCs w:val="32"/>
        </w:rPr>
      </w:pPr>
      <w:r>
        <w:rPr>
          <w:rStyle w:val="16"/>
          <w:rFonts w:ascii="仿宋" w:hAnsi="仿宋" w:eastAsia="仿宋" w:cs="仿宋_GB2312"/>
          <w:b w:val="0"/>
          <w:bCs w:val="0"/>
          <w:kern w:val="2"/>
          <w:sz w:val="32"/>
          <w:szCs w:val="32"/>
        </w:rPr>
        <w:t xml:space="preserve">    </w:t>
      </w:r>
      <w:r>
        <w:rPr>
          <w:rStyle w:val="16"/>
          <w:rFonts w:hint="eastAsia" w:ascii="仿宋_GB2312" w:hAnsi="仿宋" w:eastAsia="仿宋_GB2312" w:cs="仿宋_GB2312"/>
          <w:b w:val="0"/>
          <w:bCs w:val="0"/>
          <w:kern w:val="2"/>
          <w:sz w:val="32"/>
          <w:szCs w:val="32"/>
        </w:rPr>
        <w:t>加大宣传力度，督促各村社完善报账资料，及时报账，避免资金滞留。</w:t>
      </w: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580" w:lineRule="exact"/>
        <w:rPr>
          <w:rStyle w:val="16"/>
          <w:rFonts w:ascii="仿宋" w:hAnsi="仿宋" w:eastAsia="仿宋" w:cs="仿宋_GB2312"/>
          <w:b w:val="0"/>
          <w:bCs w:val="0"/>
          <w:kern w:val="2"/>
          <w:sz w:val="32"/>
          <w:szCs w:val="32"/>
        </w:rPr>
      </w:pPr>
    </w:p>
    <w:p>
      <w:pPr>
        <w:spacing w:line="600" w:lineRule="exact"/>
        <w:jc w:val="center"/>
        <w:outlineLvl w:val="0"/>
        <w:rPr>
          <w:rStyle w:val="16"/>
          <w:rFonts w:ascii="黑体" w:hAnsi="黑体" w:eastAsia="黑体"/>
          <w:b w:val="0"/>
        </w:rPr>
      </w:pPr>
      <w:bookmarkStart w:id="62" w:name="_Toc15396618"/>
      <w:r>
        <w:rPr>
          <w:rFonts w:hint="eastAsia" w:ascii="黑体" w:hAnsi="黑体" w:eastAsia="黑体"/>
          <w:color w:val="000000"/>
          <w:sz w:val="44"/>
          <w:szCs w:val="44"/>
        </w:rPr>
        <w:t>第</w:t>
      </w:r>
      <w:r>
        <w:rPr>
          <w:rStyle w:val="16"/>
          <w:rFonts w:hint="eastAsia" w:ascii="黑体" w:hAnsi="黑体" w:eastAsia="黑体"/>
          <w:b w:val="0"/>
        </w:rPr>
        <w:t>五部分</w:t>
      </w:r>
      <w:r>
        <w:rPr>
          <w:rStyle w:val="16"/>
          <w:rFonts w:ascii="黑体" w:hAnsi="黑体" w:eastAsia="黑体"/>
          <w:b w:val="0"/>
        </w:rPr>
        <w:t xml:space="preserve"> </w:t>
      </w:r>
      <w:r>
        <w:rPr>
          <w:rStyle w:val="16"/>
          <w:rFonts w:hint="eastAsia" w:ascii="黑体" w:hAnsi="黑体" w:eastAsia="黑体"/>
          <w:b w:val="0"/>
        </w:rPr>
        <w:t>附表</w:t>
      </w:r>
      <w:bookmarkEnd w:id="58"/>
      <w:bookmarkEnd w:id="62"/>
    </w:p>
    <w:p>
      <w:pPr>
        <w:spacing w:line="600" w:lineRule="exact"/>
        <w:jc w:val="center"/>
        <w:outlineLvl w:val="0"/>
        <w:rPr>
          <w:rFonts w:ascii="仿宋" w:hAnsi="仿宋" w:eastAsia="仿宋"/>
          <w:b/>
          <w:color w:val="000000"/>
          <w:sz w:val="44"/>
          <w:szCs w:val="44"/>
        </w:rPr>
      </w:pPr>
    </w:p>
    <w:p>
      <w:pPr>
        <w:pStyle w:val="3"/>
        <w:rPr>
          <w:rFonts w:ascii="仿宋" w:hAnsi="仿宋" w:eastAsia="仿宋"/>
          <w:color w:val="000000"/>
        </w:rPr>
      </w:pPr>
      <w:bookmarkStart w:id="63" w:name="_Toc15396619"/>
      <w:r>
        <w:rPr>
          <w:rFonts w:hint="eastAsia" w:ascii="仿宋" w:hAnsi="仿宋" w:eastAsia="仿宋"/>
          <w:b w:val="0"/>
          <w:color w:val="000000"/>
        </w:rPr>
        <w:t>一、收</w:t>
      </w:r>
      <w:r>
        <w:rPr>
          <w:rStyle w:val="17"/>
          <w:rFonts w:hint="eastAsia" w:ascii="仿宋" w:hAnsi="仿宋" w:eastAsia="仿宋"/>
          <w:b w:val="0"/>
          <w:bCs w:val="0"/>
        </w:rPr>
        <w:t>入支出决算总表</w:t>
      </w:r>
      <w:bookmarkEnd w:id="63"/>
    </w:p>
    <w:p>
      <w:pPr>
        <w:pStyle w:val="3"/>
        <w:rPr>
          <w:rFonts w:ascii="仿宋" w:hAnsi="仿宋" w:eastAsia="仿宋"/>
          <w:color w:val="000000"/>
        </w:rPr>
      </w:pPr>
      <w:bookmarkStart w:id="64" w:name="_Toc15396620"/>
      <w:r>
        <w:rPr>
          <w:rFonts w:hint="eastAsia" w:ascii="仿宋" w:hAnsi="仿宋" w:eastAsia="仿宋"/>
          <w:b w:val="0"/>
          <w:color w:val="000000"/>
        </w:rPr>
        <w:t>二、收</w:t>
      </w:r>
      <w:r>
        <w:rPr>
          <w:rStyle w:val="17"/>
          <w:rFonts w:hint="eastAsia" w:ascii="仿宋" w:hAnsi="仿宋" w:eastAsia="仿宋"/>
          <w:b w:val="0"/>
          <w:bCs w:val="0"/>
        </w:rPr>
        <w:t>入总表</w:t>
      </w:r>
      <w:bookmarkEnd w:id="64"/>
    </w:p>
    <w:p>
      <w:pPr>
        <w:pStyle w:val="3"/>
        <w:rPr>
          <w:rFonts w:ascii="仿宋" w:hAnsi="仿宋" w:eastAsia="仿宋"/>
          <w:color w:val="000000"/>
        </w:rPr>
      </w:pPr>
      <w:bookmarkStart w:id="65" w:name="_Toc15396621"/>
      <w:r>
        <w:rPr>
          <w:rStyle w:val="17"/>
          <w:rFonts w:hint="eastAsia" w:ascii="仿宋" w:hAnsi="仿宋" w:eastAsia="仿宋"/>
          <w:b w:val="0"/>
          <w:bCs w:val="0"/>
        </w:rPr>
        <w:t>三、</w:t>
      </w:r>
      <w:r>
        <w:rPr>
          <w:rFonts w:hint="eastAsia" w:ascii="仿宋" w:hAnsi="仿宋" w:eastAsia="仿宋"/>
          <w:b w:val="0"/>
          <w:color w:val="000000"/>
        </w:rPr>
        <w:t>支</w:t>
      </w:r>
      <w:r>
        <w:rPr>
          <w:rStyle w:val="17"/>
          <w:rFonts w:hint="eastAsia" w:ascii="仿宋" w:hAnsi="仿宋" w:eastAsia="仿宋"/>
          <w:b w:val="0"/>
          <w:bCs w:val="0"/>
        </w:rPr>
        <w:t>出总表</w:t>
      </w:r>
      <w:bookmarkEnd w:id="65"/>
    </w:p>
    <w:p>
      <w:pPr>
        <w:pStyle w:val="3"/>
        <w:rPr>
          <w:rFonts w:ascii="仿宋" w:hAnsi="仿宋" w:eastAsia="仿宋"/>
          <w:b w:val="0"/>
          <w:color w:val="000000"/>
        </w:rPr>
      </w:pPr>
      <w:bookmarkStart w:id="66" w:name="_Toc15396622"/>
      <w:r>
        <w:rPr>
          <w:rStyle w:val="17"/>
          <w:rFonts w:hint="eastAsia" w:ascii="仿宋" w:hAnsi="仿宋" w:eastAsia="仿宋"/>
          <w:b w:val="0"/>
          <w:bCs w:val="0"/>
        </w:rPr>
        <w:t>四、</w:t>
      </w:r>
      <w:r>
        <w:rPr>
          <w:rFonts w:hint="eastAsia" w:ascii="仿宋" w:hAnsi="仿宋" w:eastAsia="仿宋"/>
          <w:b w:val="0"/>
          <w:color w:val="000000"/>
        </w:rPr>
        <w:t>财</w:t>
      </w:r>
      <w:r>
        <w:rPr>
          <w:rStyle w:val="17"/>
          <w:rFonts w:hint="eastAsia" w:ascii="仿宋" w:hAnsi="仿宋" w:eastAsia="仿宋"/>
          <w:b w:val="0"/>
          <w:bCs w:val="0"/>
        </w:rPr>
        <w:t>政拨款收入支出决算总表</w:t>
      </w:r>
      <w:bookmarkEnd w:id="66"/>
    </w:p>
    <w:p>
      <w:pPr>
        <w:pStyle w:val="3"/>
        <w:rPr>
          <w:rFonts w:ascii="仿宋" w:hAnsi="仿宋" w:eastAsia="仿宋"/>
          <w:color w:val="000000"/>
        </w:rPr>
      </w:pPr>
      <w:bookmarkStart w:id="67" w:name="_Toc15396623"/>
      <w:r>
        <w:rPr>
          <w:rStyle w:val="17"/>
          <w:rFonts w:hint="eastAsia" w:ascii="仿宋" w:hAnsi="仿宋" w:eastAsia="仿宋"/>
          <w:b w:val="0"/>
          <w:bCs w:val="0"/>
        </w:rPr>
        <w:t>五、</w:t>
      </w:r>
      <w:r>
        <w:rPr>
          <w:rFonts w:hint="eastAsia" w:ascii="仿宋" w:hAnsi="仿宋" w:eastAsia="仿宋"/>
          <w:b w:val="0"/>
          <w:color w:val="000000"/>
        </w:rPr>
        <w:t>财</w:t>
      </w:r>
      <w:r>
        <w:rPr>
          <w:rStyle w:val="17"/>
          <w:rFonts w:hint="eastAsia" w:ascii="仿宋" w:hAnsi="仿宋" w:eastAsia="仿宋"/>
          <w:b w:val="0"/>
          <w:bCs w:val="0"/>
        </w:rPr>
        <w:t>政拨款支出决算明细表（政府经济分类科目）</w:t>
      </w:r>
      <w:bookmarkEnd w:id="67"/>
    </w:p>
    <w:p>
      <w:pPr>
        <w:pStyle w:val="3"/>
        <w:rPr>
          <w:rFonts w:ascii="仿宋" w:hAnsi="仿宋" w:eastAsia="仿宋"/>
          <w:color w:val="000000"/>
        </w:rPr>
      </w:pPr>
      <w:bookmarkStart w:id="68" w:name="_Toc15396624"/>
      <w:r>
        <w:rPr>
          <w:rStyle w:val="17"/>
          <w:rFonts w:hint="eastAsia" w:ascii="仿宋" w:hAnsi="仿宋" w:eastAsia="仿宋"/>
          <w:b w:val="0"/>
          <w:bCs w:val="0"/>
        </w:rPr>
        <w:t>六、</w:t>
      </w:r>
      <w:r>
        <w:rPr>
          <w:rFonts w:hint="eastAsia" w:ascii="仿宋" w:hAnsi="仿宋" w:eastAsia="仿宋"/>
          <w:b w:val="0"/>
          <w:color w:val="000000"/>
        </w:rPr>
        <w:t>一</w:t>
      </w:r>
      <w:r>
        <w:rPr>
          <w:rStyle w:val="17"/>
          <w:rFonts w:hint="eastAsia" w:ascii="仿宋" w:hAnsi="仿宋" w:eastAsia="仿宋"/>
          <w:b w:val="0"/>
          <w:bCs w:val="0"/>
        </w:rPr>
        <w:t>般公共预算财政拨款支出决算表</w:t>
      </w:r>
      <w:bookmarkEnd w:id="68"/>
    </w:p>
    <w:p>
      <w:pPr>
        <w:pStyle w:val="3"/>
        <w:rPr>
          <w:rFonts w:ascii="仿宋" w:hAnsi="仿宋" w:eastAsia="仿宋"/>
          <w:color w:val="000000"/>
        </w:rPr>
      </w:pPr>
      <w:bookmarkStart w:id="69" w:name="_Toc15396625"/>
      <w:r>
        <w:rPr>
          <w:rStyle w:val="17"/>
          <w:rFonts w:hint="eastAsia" w:ascii="仿宋" w:hAnsi="仿宋" w:eastAsia="仿宋"/>
          <w:b w:val="0"/>
          <w:bCs w:val="0"/>
        </w:rPr>
        <w:t>七、</w:t>
      </w:r>
      <w:r>
        <w:rPr>
          <w:rFonts w:hint="eastAsia" w:ascii="仿宋" w:hAnsi="仿宋" w:eastAsia="仿宋"/>
          <w:b w:val="0"/>
          <w:color w:val="000000"/>
        </w:rPr>
        <w:t>一</w:t>
      </w:r>
      <w:r>
        <w:rPr>
          <w:rStyle w:val="17"/>
          <w:rFonts w:hint="eastAsia" w:ascii="仿宋" w:hAnsi="仿宋" w:eastAsia="仿宋"/>
          <w:b w:val="0"/>
          <w:bCs w:val="0"/>
        </w:rPr>
        <w:t>般公共预算财政拨款支出决算明细表</w:t>
      </w:r>
      <w:bookmarkEnd w:id="69"/>
    </w:p>
    <w:p>
      <w:pPr>
        <w:pStyle w:val="3"/>
        <w:rPr>
          <w:rFonts w:ascii="仿宋" w:hAnsi="仿宋" w:eastAsia="仿宋"/>
          <w:color w:val="000000"/>
        </w:rPr>
      </w:pPr>
      <w:bookmarkStart w:id="70" w:name="_Toc15396626"/>
      <w:r>
        <w:rPr>
          <w:rStyle w:val="17"/>
          <w:rFonts w:hint="eastAsia" w:ascii="仿宋" w:hAnsi="仿宋" w:eastAsia="仿宋"/>
          <w:b w:val="0"/>
          <w:bCs w:val="0"/>
        </w:rPr>
        <w:t>八、</w:t>
      </w:r>
      <w:r>
        <w:rPr>
          <w:rFonts w:hint="eastAsia" w:ascii="仿宋" w:hAnsi="仿宋" w:eastAsia="仿宋"/>
          <w:b w:val="0"/>
          <w:color w:val="000000"/>
        </w:rPr>
        <w:t>一</w:t>
      </w:r>
      <w:r>
        <w:rPr>
          <w:rStyle w:val="17"/>
          <w:rFonts w:hint="eastAsia" w:ascii="仿宋" w:hAnsi="仿宋" w:eastAsia="仿宋"/>
          <w:b w:val="0"/>
          <w:bCs w:val="0"/>
        </w:rPr>
        <w:t>般公共预算财政拨款基本支出决算表</w:t>
      </w:r>
      <w:bookmarkEnd w:id="70"/>
    </w:p>
    <w:p>
      <w:pPr>
        <w:pStyle w:val="3"/>
        <w:rPr>
          <w:rFonts w:ascii="仿宋" w:hAnsi="仿宋" w:eastAsia="仿宋"/>
          <w:color w:val="000000"/>
        </w:rPr>
      </w:pPr>
      <w:bookmarkStart w:id="71" w:name="_Toc15396627"/>
      <w:r>
        <w:rPr>
          <w:rStyle w:val="17"/>
          <w:rFonts w:hint="eastAsia" w:ascii="仿宋" w:hAnsi="仿宋" w:eastAsia="仿宋"/>
          <w:b w:val="0"/>
          <w:bCs w:val="0"/>
        </w:rPr>
        <w:t>九、</w:t>
      </w:r>
      <w:r>
        <w:rPr>
          <w:rFonts w:hint="eastAsia" w:ascii="仿宋" w:hAnsi="仿宋" w:eastAsia="仿宋"/>
          <w:b w:val="0"/>
          <w:color w:val="000000"/>
        </w:rPr>
        <w:t>一</w:t>
      </w:r>
      <w:r>
        <w:rPr>
          <w:rStyle w:val="17"/>
          <w:rFonts w:hint="eastAsia" w:ascii="仿宋" w:hAnsi="仿宋" w:eastAsia="仿宋"/>
          <w:b w:val="0"/>
          <w:bCs w:val="0"/>
        </w:rPr>
        <w:t>般公共预算财政拨款项目支出决算表</w:t>
      </w:r>
      <w:bookmarkEnd w:id="71"/>
    </w:p>
    <w:p>
      <w:pPr>
        <w:pStyle w:val="3"/>
        <w:rPr>
          <w:rFonts w:ascii="仿宋" w:hAnsi="仿宋" w:eastAsia="仿宋"/>
          <w:color w:val="000000"/>
        </w:rPr>
      </w:pPr>
      <w:bookmarkStart w:id="72" w:name="_Toc15396628"/>
      <w:r>
        <w:rPr>
          <w:rStyle w:val="17"/>
          <w:rFonts w:hint="eastAsia" w:ascii="仿宋" w:hAnsi="仿宋" w:eastAsia="仿宋"/>
          <w:b w:val="0"/>
          <w:bCs w:val="0"/>
        </w:rPr>
        <w:t>十、</w:t>
      </w:r>
      <w:r>
        <w:rPr>
          <w:rFonts w:hint="eastAsia" w:ascii="仿宋" w:hAnsi="仿宋" w:eastAsia="仿宋"/>
          <w:b w:val="0"/>
          <w:color w:val="000000"/>
        </w:rPr>
        <w:t>一</w:t>
      </w:r>
      <w:r>
        <w:rPr>
          <w:rStyle w:val="17"/>
          <w:rFonts w:hint="eastAsia" w:ascii="仿宋" w:hAnsi="仿宋" w:eastAsia="仿宋"/>
          <w:b w:val="0"/>
          <w:bCs w:val="0"/>
        </w:rPr>
        <w:t>般公共预算财政拨款“三公”经费支出决算表</w:t>
      </w:r>
      <w:bookmarkEnd w:id="72"/>
    </w:p>
    <w:p>
      <w:pPr>
        <w:pStyle w:val="3"/>
        <w:rPr>
          <w:rFonts w:ascii="仿宋" w:hAnsi="仿宋" w:eastAsia="仿宋"/>
          <w:color w:val="000000"/>
        </w:rPr>
      </w:pPr>
      <w:bookmarkStart w:id="73" w:name="_Toc15396629"/>
      <w:r>
        <w:rPr>
          <w:rStyle w:val="17"/>
          <w:rFonts w:hint="eastAsia" w:ascii="仿宋" w:hAnsi="仿宋" w:eastAsia="仿宋"/>
          <w:b w:val="0"/>
          <w:bCs w:val="0"/>
        </w:rPr>
        <w:t>十一、</w:t>
      </w:r>
      <w:r>
        <w:rPr>
          <w:rFonts w:hint="eastAsia" w:ascii="仿宋" w:hAnsi="仿宋" w:eastAsia="仿宋"/>
          <w:b w:val="0"/>
          <w:color w:val="000000"/>
        </w:rPr>
        <w:t>政</w:t>
      </w:r>
      <w:r>
        <w:rPr>
          <w:rStyle w:val="17"/>
          <w:rFonts w:hint="eastAsia" w:ascii="仿宋" w:hAnsi="仿宋" w:eastAsia="仿宋"/>
          <w:b w:val="0"/>
          <w:bCs w:val="0"/>
        </w:rPr>
        <w:t>府性基金预算财政拨款收入支出决算表</w:t>
      </w:r>
      <w:bookmarkEnd w:id="73"/>
    </w:p>
    <w:p>
      <w:pPr>
        <w:pStyle w:val="3"/>
        <w:rPr>
          <w:rFonts w:ascii="仿宋" w:hAnsi="仿宋" w:eastAsia="仿宋"/>
          <w:color w:val="000000"/>
        </w:rPr>
      </w:pPr>
      <w:bookmarkStart w:id="74" w:name="_Toc15396630"/>
      <w:r>
        <w:rPr>
          <w:rStyle w:val="17"/>
          <w:rFonts w:hint="eastAsia" w:ascii="仿宋" w:hAnsi="仿宋" w:eastAsia="仿宋"/>
          <w:b w:val="0"/>
          <w:bCs w:val="0"/>
        </w:rPr>
        <w:t>十二、</w:t>
      </w:r>
      <w:r>
        <w:rPr>
          <w:rFonts w:hint="eastAsia" w:ascii="仿宋" w:hAnsi="仿宋" w:eastAsia="仿宋"/>
          <w:b w:val="0"/>
          <w:color w:val="000000"/>
        </w:rPr>
        <w:t>政</w:t>
      </w:r>
      <w:r>
        <w:rPr>
          <w:rStyle w:val="17"/>
          <w:rFonts w:hint="eastAsia" w:ascii="仿宋" w:hAnsi="仿宋" w:eastAsia="仿宋"/>
          <w:b w:val="0"/>
          <w:bCs w:val="0"/>
        </w:rPr>
        <w:t>府性基金预算财政拨款“三公”经费支出决算表</w:t>
      </w:r>
      <w:bookmarkEnd w:id="74"/>
    </w:p>
    <w:p>
      <w:pPr>
        <w:pStyle w:val="3"/>
        <w:rPr>
          <w:rFonts w:ascii="仿宋" w:hAnsi="仿宋" w:eastAsia="仿宋"/>
          <w:color w:val="000000"/>
        </w:rPr>
      </w:pPr>
      <w:bookmarkStart w:id="75" w:name="_Toc15396631"/>
      <w:r>
        <w:rPr>
          <w:rStyle w:val="17"/>
          <w:rFonts w:hint="eastAsia" w:ascii="仿宋" w:hAnsi="仿宋" w:eastAsia="仿宋"/>
          <w:b w:val="0"/>
          <w:bCs w:val="0"/>
        </w:rPr>
        <w:t>十三、</w:t>
      </w:r>
      <w:r>
        <w:rPr>
          <w:rFonts w:hint="eastAsia" w:ascii="仿宋" w:hAnsi="仿宋" w:eastAsia="仿宋"/>
          <w:b w:val="0"/>
          <w:color w:val="000000"/>
        </w:rPr>
        <w:t>国</w:t>
      </w:r>
      <w:r>
        <w:rPr>
          <w:rStyle w:val="17"/>
          <w:rFonts w:hint="eastAsia" w:ascii="仿宋" w:hAnsi="仿宋" w:eastAsia="仿宋"/>
          <w:b w:val="0"/>
          <w:bCs w:val="0"/>
        </w:rPr>
        <w:t>有资本经营预算支出决算表</w:t>
      </w:r>
      <w:bookmarkEnd w:id="75"/>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20</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26C66B"/>
    <w:multiLevelType w:val="singleLevel"/>
    <w:tmpl w:val="B026C66B"/>
    <w:lvl w:ilvl="0" w:tentative="0">
      <w:start w:val="1"/>
      <w:numFmt w:val="decimal"/>
      <w:lvlText w:val="%1."/>
      <w:lvlJc w:val="left"/>
      <w:pPr>
        <w:tabs>
          <w:tab w:val="left" w:pos="312"/>
        </w:tabs>
      </w:pPr>
      <w:rPr>
        <w:rFonts w:cs="Times New Roman"/>
      </w:rPr>
    </w:lvl>
  </w:abstractNum>
  <w:abstractNum w:abstractNumId="1">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2">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3">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5">
    <w:nsid w:val="17F426B7"/>
    <w:multiLevelType w:val="multilevel"/>
    <w:tmpl w:val="17F426B7"/>
    <w:lvl w:ilvl="0" w:tentative="0">
      <w:start w:val="10"/>
      <w:numFmt w:val="japaneseCounting"/>
      <w:lvlText w:val="%1、"/>
      <w:lvlJc w:val="left"/>
      <w:pPr>
        <w:ind w:left="1429" w:hanging="720"/>
      </w:pPr>
      <w:rPr>
        <w:rFonts w:hint="default" w:cs="Times New Roman"/>
      </w:rPr>
    </w:lvl>
    <w:lvl w:ilvl="1" w:tentative="0">
      <w:start w:val="1"/>
      <w:numFmt w:val="lowerLetter"/>
      <w:lvlText w:val="%2)"/>
      <w:lvlJc w:val="left"/>
      <w:pPr>
        <w:ind w:left="1549" w:hanging="420"/>
      </w:pPr>
      <w:rPr>
        <w:rFonts w:cs="Times New Roman"/>
      </w:rPr>
    </w:lvl>
    <w:lvl w:ilvl="2" w:tentative="0">
      <w:start w:val="1"/>
      <w:numFmt w:val="lowerRoman"/>
      <w:lvlText w:val="%3."/>
      <w:lvlJc w:val="right"/>
      <w:pPr>
        <w:ind w:left="1969" w:hanging="420"/>
      </w:pPr>
      <w:rPr>
        <w:rFonts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6">
    <w:nsid w:val="62621CDC"/>
    <w:multiLevelType w:val="multilevel"/>
    <w:tmpl w:val="62621CDC"/>
    <w:lvl w:ilvl="0" w:tentative="0">
      <w:start w:val="1"/>
      <w:numFmt w:val="decimal"/>
      <w:lvlText w:val="%1."/>
      <w:lvlJc w:val="left"/>
      <w:pPr>
        <w:ind w:left="1152" w:hanging="480"/>
      </w:pPr>
      <w:rPr>
        <w:rFonts w:hint="default" w:cs="Times New Roman"/>
      </w:rPr>
    </w:lvl>
    <w:lvl w:ilvl="1" w:tentative="0">
      <w:start w:val="1"/>
      <w:numFmt w:val="lowerLetter"/>
      <w:lvlText w:val="%2)"/>
      <w:lvlJc w:val="left"/>
      <w:pPr>
        <w:ind w:left="1512" w:hanging="420"/>
      </w:pPr>
      <w:rPr>
        <w:rFonts w:cs="Times New Roman"/>
      </w:rPr>
    </w:lvl>
    <w:lvl w:ilvl="2" w:tentative="0">
      <w:start w:val="1"/>
      <w:numFmt w:val="lowerRoman"/>
      <w:lvlText w:val="%3."/>
      <w:lvlJc w:val="right"/>
      <w:pPr>
        <w:ind w:left="1932" w:hanging="420"/>
      </w:pPr>
      <w:rPr>
        <w:rFonts w:cs="Times New Roman"/>
      </w:rPr>
    </w:lvl>
    <w:lvl w:ilvl="3" w:tentative="0">
      <w:start w:val="1"/>
      <w:numFmt w:val="decimal"/>
      <w:lvlText w:val="%4."/>
      <w:lvlJc w:val="left"/>
      <w:pPr>
        <w:ind w:left="2352" w:hanging="420"/>
      </w:pPr>
      <w:rPr>
        <w:rFonts w:cs="Times New Roman"/>
      </w:rPr>
    </w:lvl>
    <w:lvl w:ilvl="4" w:tentative="0">
      <w:start w:val="1"/>
      <w:numFmt w:val="lowerLetter"/>
      <w:lvlText w:val="%5)"/>
      <w:lvlJc w:val="left"/>
      <w:pPr>
        <w:ind w:left="2772" w:hanging="420"/>
      </w:pPr>
      <w:rPr>
        <w:rFonts w:cs="Times New Roman"/>
      </w:rPr>
    </w:lvl>
    <w:lvl w:ilvl="5" w:tentative="0">
      <w:start w:val="1"/>
      <w:numFmt w:val="lowerRoman"/>
      <w:lvlText w:val="%6."/>
      <w:lvlJc w:val="right"/>
      <w:pPr>
        <w:ind w:left="3192" w:hanging="420"/>
      </w:pPr>
      <w:rPr>
        <w:rFonts w:cs="Times New Roman"/>
      </w:rPr>
    </w:lvl>
    <w:lvl w:ilvl="6" w:tentative="0">
      <w:start w:val="1"/>
      <w:numFmt w:val="decimal"/>
      <w:lvlText w:val="%7."/>
      <w:lvlJc w:val="left"/>
      <w:pPr>
        <w:ind w:left="3612" w:hanging="420"/>
      </w:pPr>
      <w:rPr>
        <w:rFonts w:cs="Times New Roman"/>
      </w:rPr>
    </w:lvl>
    <w:lvl w:ilvl="7" w:tentative="0">
      <w:start w:val="1"/>
      <w:numFmt w:val="lowerLetter"/>
      <w:lvlText w:val="%8)"/>
      <w:lvlJc w:val="left"/>
      <w:pPr>
        <w:ind w:left="4032" w:hanging="420"/>
      </w:pPr>
      <w:rPr>
        <w:rFonts w:cs="Times New Roman"/>
      </w:rPr>
    </w:lvl>
    <w:lvl w:ilvl="8" w:tentative="0">
      <w:start w:val="1"/>
      <w:numFmt w:val="lowerRoman"/>
      <w:lvlText w:val="%9."/>
      <w:lvlJc w:val="right"/>
      <w:pPr>
        <w:ind w:left="4452" w:hanging="420"/>
      </w:pPr>
      <w:rPr>
        <w:rFonts w:cs="Times New Roman"/>
      </w:rPr>
    </w:lvl>
  </w:abstractNum>
  <w:num w:numId="1">
    <w:abstractNumId w:val="6"/>
  </w:num>
  <w:num w:numId="2">
    <w:abstractNumId w:val="4"/>
  </w:num>
  <w:num w:numId="3">
    <w:abstractNumId w:val="1"/>
  </w:num>
  <w:num w:numId="4">
    <w:abstractNumId w:val="5"/>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2A86"/>
    <w:rsid w:val="0002549F"/>
    <w:rsid w:val="00030F65"/>
    <w:rsid w:val="0006487A"/>
    <w:rsid w:val="00065F8F"/>
    <w:rsid w:val="000768F2"/>
    <w:rsid w:val="00085A03"/>
    <w:rsid w:val="0009184B"/>
    <w:rsid w:val="0009593C"/>
    <w:rsid w:val="000A5E09"/>
    <w:rsid w:val="000B047F"/>
    <w:rsid w:val="000B5923"/>
    <w:rsid w:val="000B5A48"/>
    <w:rsid w:val="000B6FF3"/>
    <w:rsid w:val="000C3467"/>
    <w:rsid w:val="000C3CA6"/>
    <w:rsid w:val="000D1267"/>
    <w:rsid w:val="000D1D50"/>
    <w:rsid w:val="000D5782"/>
    <w:rsid w:val="000E6613"/>
    <w:rsid w:val="000E7119"/>
    <w:rsid w:val="0010255F"/>
    <w:rsid w:val="00110F78"/>
    <w:rsid w:val="00114E9B"/>
    <w:rsid w:val="00142575"/>
    <w:rsid w:val="00146340"/>
    <w:rsid w:val="0014729F"/>
    <w:rsid w:val="00157BAB"/>
    <w:rsid w:val="00161C5A"/>
    <w:rsid w:val="001654D1"/>
    <w:rsid w:val="0016563F"/>
    <w:rsid w:val="0018106D"/>
    <w:rsid w:val="00181CD1"/>
    <w:rsid w:val="001877A7"/>
    <w:rsid w:val="00191536"/>
    <w:rsid w:val="00196687"/>
    <w:rsid w:val="001B4F1D"/>
    <w:rsid w:val="001B5BD0"/>
    <w:rsid w:val="001C0962"/>
    <w:rsid w:val="001C0EE3"/>
    <w:rsid w:val="001C5DBA"/>
    <w:rsid w:val="001C64E4"/>
    <w:rsid w:val="001D7531"/>
    <w:rsid w:val="001E4D58"/>
    <w:rsid w:val="001E737D"/>
    <w:rsid w:val="001F0592"/>
    <w:rsid w:val="001F7506"/>
    <w:rsid w:val="001F7D2D"/>
    <w:rsid w:val="002006CD"/>
    <w:rsid w:val="00202B36"/>
    <w:rsid w:val="002043AA"/>
    <w:rsid w:val="00204B7A"/>
    <w:rsid w:val="0021101A"/>
    <w:rsid w:val="00220536"/>
    <w:rsid w:val="00225455"/>
    <w:rsid w:val="00235629"/>
    <w:rsid w:val="00240BDE"/>
    <w:rsid w:val="00260C38"/>
    <w:rsid w:val="002616C0"/>
    <w:rsid w:val="002662AA"/>
    <w:rsid w:val="00280496"/>
    <w:rsid w:val="002849EB"/>
    <w:rsid w:val="00295495"/>
    <w:rsid w:val="00296EE4"/>
    <w:rsid w:val="002B2613"/>
    <w:rsid w:val="002C037F"/>
    <w:rsid w:val="002D1D7B"/>
    <w:rsid w:val="002E51D6"/>
    <w:rsid w:val="002F1818"/>
    <w:rsid w:val="002F43A7"/>
    <w:rsid w:val="002F567B"/>
    <w:rsid w:val="00314951"/>
    <w:rsid w:val="0031789F"/>
    <w:rsid w:val="003216A9"/>
    <w:rsid w:val="0035124F"/>
    <w:rsid w:val="0037013F"/>
    <w:rsid w:val="003710C6"/>
    <w:rsid w:val="00380C92"/>
    <w:rsid w:val="003A13B7"/>
    <w:rsid w:val="003A484F"/>
    <w:rsid w:val="003A6EBE"/>
    <w:rsid w:val="003B0BE0"/>
    <w:rsid w:val="003B0C1B"/>
    <w:rsid w:val="003B688C"/>
    <w:rsid w:val="003C0291"/>
    <w:rsid w:val="003C39AE"/>
    <w:rsid w:val="003C491D"/>
    <w:rsid w:val="003C7B60"/>
    <w:rsid w:val="003D0D5D"/>
    <w:rsid w:val="003D1FB2"/>
    <w:rsid w:val="003D66DA"/>
    <w:rsid w:val="003D6E0A"/>
    <w:rsid w:val="003E1310"/>
    <w:rsid w:val="003E41C9"/>
    <w:rsid w:val="003E6F55"/>
    <w:rsid w:val="003F179F"/>
    <w:rsid w:val="00401B72"/>
    <w:rsid w:val="00406254"/>
    <w:rsid w:val="004223DE"/>
    <w:rsid w:val="0042354A"/>
    <w:rsid w:val="00427BFE"/>
    <w:rsid w:val="00432FD1"/>
    <w:rsid w:val="00434489"/>
    <w:rsid w:val="00437085"/>
    <w:rsid w:val="00440C86"/>
    <w:rsid w:val="00440F18"/>
    <w:rsid w:val="00443880"/>
    <w:rsid w:val="004464F4"/>
    <w:rsid w:val="00471401"/>
    <w:rsid w:val="00473F31"/>
    <w:rsid w:val="00476E6F"/>
    <w:rsid w:val="0048263A"/>
    <w:rsid w:val="00483499"/>
    <w:rsid w:val="00487E5D"/>
    <w:rsid w:val="004A119D"/>
    <w:rsid w:val="004A52D5"/>
    <w:rsid w:val="004A711F"/>
    <w:rsid w:val="004B199D"/>
    <w:rsid w:val="004B4690"/>
    <w:rsid w:val="004D229E"/>
    <w:rsid w:val="004E0A2D"/>
    <w:rsid w:val="004E206B"/>
    <w:rsid w:val="004E6DF7"/>
    <w:rsid w:val="004F0FBD"/>
    <w:rsid w:val="00505A47"/>
    <w:rsid w:val="00510C76"/>
    <w:rsid w:val="00512FDA"/>
    <w:rsid w:val="00520DA0"/>
    <w:rsid w:val="00534C58"/>
    <w:rsid w:val="00542D6C"/>
    <w:rsid w:val="005458B0"/>
    <w:rsid w:val="0056555D"/>
    <w:rsid w:val="005664BB"/>
    <w:rsid w:val="0057481D"/>
    <w:rsid w:val="0058486E"/>
    <w:rsid w:val="005B3B59"/>
    <w:rsid w:val="005D1C8B"/>
    <w:rsid w:val="005D5CED"/>
    <w:rsid w:val="005E2913"/>
    <w:rsid w:val="005E4C8E"/>
    <w:rsid w:val="005E6F7D"/>
    <w:rsid w:val="005F1A4C"/>
    <w:rsid w:val="0060264E"/>
    <w:rsid w:val="00605688"/>
    <w:rsid w:val="006070AF"/>
    <w:rsid w:val="00607E6C"/>
    <w:rsid w:val="006101B1"/>
    <w:rsid w:val="00614E44"/>
    <w:rsid w:val="00615661"/>
    <w:rsid w:val="0061672D"/>
    <w:rsid w:val="00622830"/>
    <w:rsid w:val="00627690"/>
    <w:rsid w:val="00630AEF"/>
    <w:rsid w:val="006325F8"/>
    <w:rsid w:val="00633744"/>
    <w:rsid w:val="00634C9A"/>
    <w:rsid w:val="00643E64"/>
    <w:rsid w:val="006440E4"/>
    <w:rsid w:val="00655825"/>
    <w:rsid w:val="0066343B"/>
    <w:rsid w:val="00664777"/>
    <w:rsid w:val="00666470"/>
    <w:rsid w:val="00666E36"/>
    <w:rsid w:val="00671006"/>
    <w:rsid w:val="006748A4"/>
    <w:rsid w:val="00677431"/>
    <w:rsid w:val="00683E73"/>
    <w:rsid w:val="006859FA"/>
    <w:rsid w:val="006958AC"/>
    <w:rsid w:val="0069658D"/>
    <w:rsid w:val="006A21E9"/>
    <w:rsid w:val="006A3141"/>
    <w:rsid w:val="006A5E34"/>
    <w:rsid w:val="006B2422"/>
    <w:rsid w:val="006B2B9A"/>
    <w:rsid w:val="006C1937"/>
    <w:rsid w:val="006D4602"/>
    <w:rsid w:val="006F020C"/>
    <w:rsid w:val="007127B7"/>
    <w:rsid w:val="007239B0"/>
    <w:rsid w:val="00741468"/>
    <w:rsid w:val="007416B6"/>
    <w:rsid w:val="00741A6E"/>
    <w:rsid w:val="00746F48"/>
    <w:rsid w:val="0075404D"/>
    <w:rsid w:val="0076182A"/>
    <w:rsid w:val="00767B7E"/>
    <w:rsid w:val="007770C3"/>
    <w:rsid w:val="00784D24"/>
    <w:rsid w:val="00785FBA"/>
    <w:rsid w:val="00786E4A"/>
    <w:rsid w:val="007875EB"/>
    <w:rsid w:val="007918CE"/>
    <w:rsid w:val="0079426B"/>
    <w:rsid w:val="007A6C9F"/>
    <w:rsid w:val="007B0B0C"/>
    <w:rsid w:val="007B332C"/>
    <w:rsid w:val="007C1048"/>
    <w:rsid w:val="007D183B"/>
    <w:rsid w:val="007D1A3B"/>
    <w:rsid w:val="007D312A"/>
    <w:rsid w:val="007D3F19"/>
    <w:rsid w:val="007E23B0"/>
    <w:rsid w:val="007F1991"/>
    <w:rsid w:val="007F2C2F"/>
    <w:rsid w:val="007F4A85"/>
    <w:rsid w:val="007F55FC"/>
    <w:rsid w:val="007F5665"/>
    <w:rsid w:val="00800112"/>
    <w:rsid w:val="008025A7"/>
    <w:rsid w:val="008253BB"/>
    <w:rsid w:val="00836F87"/>
    <w:rsid w:val="0083706E"/>
    <w:rsid w:val="008413CD"/>
    <w:rsid w:val="008423A5"/>
    <w:rsid w:val="0084518D"/>
    <w:rsid w:val="00850625"/>
    <w:rsid w:val="00853718"/>
    <w:rsid w:val="00855221"/>
    <w:rsid w:val="00860645"/>
    <w:rsid w:val="008679B7"/>
    <w:rsid w:val="00871F71"/>
    <w:rsid w:val="00874AB5"/>
    <w:rsid w:val="00885AF4"/>
    <w:rsid w:val="00891C14"/>
    <w:rsid w:val="008939CD"/>
    <w:rsid w:val="008B768C"/>
    <w:rsid w:val="008C4DB1"/>
    <w:rsid w:val="008C4EAF"/>
    <w:rsid w:val="008C5176"/>
    <w:rsid w:val="008C7FD0"/>
    <w:rsid w:val="008D28F9"/>
    <w:rsid w:val="008E1DE7"/>
    <w:rsid w:val="008E707C"/>
    <w:rsid w:val="008F42C2"/>
    <w:rsid w:val="008F45FF"/>
    <w:rsid w:val="00900B08"/>
    <w:rsid w:val="00902155"/>
    <w:rsid w:val="00902FA3"/>
    <w:rsid w:val="00911E20"/>
    <w:rsid w:val="0092022C"/>
    <w:rsid w:val="00923564"/>
    <w:rsid w:val="0092392E"/>
    <w:rsid w:val="009315F9"/>
    <w:rsid w:val="009367F8"/>
    <w:rsid w:val="00940B9E"/>
    <w:rsid w:val="00946945"/>
    <w:rsid w:val="00951248"/>
    <w:rsid w:val="0095152F"/>
    <w:rsid w:val="00954C49"/>
    <w:rsid w:val="0097099F"/>
    <w:rsid w:val="00971997"/>
    <w:rsid w:val="00971FFC"/>
    <w:rsid w:val="00980FF5"/>
    <w:rsid w:val="0098660A"/>
    <w:rsid w:val="00987EA1"/>
    <w:rsid w:val="009931C3"/>
    <w:rsid w:val="009A1D7D"/>
    <w:rsid w:val="009A2332"/>
    <w:rsid w:val="009A5C1E"/>
    <w:rsid w:val="009A6906"/>
    <w:rsid w:val="009B14EB"/>
    <w:rsid w:val="009B27EF"/>
    <w:rsid w:val="009B2C43"/>
    <w:rsid w:val="009B4EAE"/>
    <w:rsid w:val="009B7573"/>
    <w:rsid w:val="009C22F4"/>
    <w:rsid w:val="009C2E98"/>
    <w:rsid w:val="009C5EF2"/>
    <w:rsid w:val="009D3447"/>
    <w:rsid w:val="009D4711"/>
    <w:rsid w:val="009D59F6"/>
    <w:rsid w:val="009D5BF7"/>
    <w:rsid w:val="009E1E59"/>
    <w:rsid w:val="009F1185"/>
    <w:rsid w:val="009F18CD"/>
    <w:rsid w:val="009F2A13"/>
    <w:rsid w:val="00A04EB0"/>
    <w:rsid w:val="00A13CC1"/>
    <w:rsid w:val="00A16847"/>
    <w:rsid w:val="00A237D8"/>
    <w:rsid w:val="00A268C4"/>
    <w:rsid w:val="00A27C70"/>
    <w:rsid w:val="00A307CD"/>
    <w:rsid w:val="00A317B6"/>
    <w:rsid w:val="00A40A00"/>
    <w:rsid w:val="00A4142F"/>
    <w:rsid w:val="00A51507"/>
    <w:rsid w:val="00A55BD0"/>
    <w:rsid w:val="00A56DF2"/>
    <w:rsid w:val="00A657DF"/>
    <w:rsid w:val="00A67AB5"/>
    <w:rsid w:val="00A71749"/>
    <w:rsid w:val="00A85C76"/>
    <w:rsid w:val="00A91760"/>
    <w:rsid w:val="00A93B00"/>
    <w:rsid w:val="00A93C21"/>
    <w:rsid w:val="00A965EA"/>
    <w:rsid w:val="00A96693"/>
    <w:rsid w:val="00AA6D5E"/>
    <w:rsid w:val="00AB7648"/>
    <w:rsid w:val="00AB7EE5"/>
    <w:rsid w:val="00AC3C6A"/>
    <w:rsid w:val="00AD5620"/>
    <w:rsid w:val="00AD7C1B"/>
    <w:rsid w:val="00AE16BA"/>
    <w:rsid w:val="00AE1EBE"/>
    <w:rsid w:val="00B02E41"/>
    <w:rsid w:val="00B03C9D"/>
    <w:rsid w:val="00B060AE"/>
    <w:rsid w:val="00B07E0B"/>
    <w:rsid w:val="00B10517"/>
    <w:rsid w:val="00B1216D"/>
    <w:rsid w:val="00B14E76"/>
    <w:rsid w:val="00B161B8"/>
    <w:rsid w:val="00B2048C"/>
    <w:rsid w:val="00B310B9"/>
    <w:rsid w:val="00B35F3F"/>
    <w:rsid w:val="00B36CBB"/>
    <w:rsid w:val="00B42358"/>
    <w:rsid w:val="00B425E0"/>
    <w:rsid w:val="00B440AA"/>
    <w:rsid w:val="00B44B70"/>
    <w:rsid w:val="00B53C56"/>
    <w:rsid w:val="00B54BC1"/>
    <w:rsid w:val="00B77EA6"/>
    <w:rsid w:val="00B81598"/>
    <w:rsid w:val="00B841F1"/>
    <w:rsid w:val="00B944D6"/>
    <w:rsid w:val="00BB4DF0"/>
    <w:rsid w:val="00BB628E"/>
    <w:rsid w:val="00BC289F"/>
    <w:rsid w:val="00BC5361"/>
    <w:rsid w:val="00BC5460"/>
    <w:rsid w:val="00BC6B50"/>
    <w:rsid w:val="00BD0E25"/>
    <w:rsid w:val="00BD0F8E"/>
    <w:rsid w:val="00BD3338"/>
    <w:rsid w:val="00BE26B2"/>
    <w:rsid w:val="00BF5BD6"/>
    <w:rsid w:val="00BF5CC2"/>
    <w:rsid w:val="00C03E31"/>
    <w:rsid w:val="00C05788"/>
    <w:rsid w:val="00C1685B"/>
    <w:rsid w:val="00C265B0"/>
    <w:rsid w:val="00C33E72"/>
    <w:rsid w:val="00C34363"/>
    <w:rsid w:val="00C354B2"/>
    <w:rsid w:val="00C35554"/>
    <w:rsid w:val="00C3575A"/>
    <w:rsid w:val="00C42709"/>
    <w:rsid w:val="00C533CC"/>
    <w:rsid w:val="00C5516E"/>
    <w:rsid w:val="00C5751C"/>
    <w:rsid w:val="00C61BFC"/>
    <w:rsid w:val="00C62B85"/>
    <w:rsid w:val="00C65438"/>
    <w:rsid w:val="00C7266D"/>
    <w:rsid w:val="00C84FEE"/>
    <w:rsid w:val="00C90949"/>
    <w:rsid w:val="00C90DB5"/>
    <w:rsid w:val="00C91CBB"/>
    <w:rsid w:val="00C9261F"/>
    <w:rsid w:val="00C93E3E"/>
    <w:rsid w:val="00C968BA"/>
    <w:rsid w:val="00CA722F"/>
    <w:rsid w:val="00CB138A"/>
    <w:rsid w:val="00CC09B6"/>
    <w:rsid w:val="00CC666F"/>
    <w:rsid w:val="00CD1E3F"/>
    <w:rsid w:val="00CD240B"/>
    <w:rsid w:val="00CE04EC"/>
    <w:rsid w:val="00CE44F6"/>
    <w:rsid w:val="00CE49DA"/>
    <w:rsid w:val="00CE7B61"/>
    <w:rsid w:val="00CF53BD"/>
    <w:rsid w:val="00D00095"/>
    <w:rsid w:val="00D06977"/>
    <w:rsid w:val="00D20620"/>
    <w:rsid w:val="00D26091"/>
    <w:rsid w:val="00D272AE"/>
    <w:rsid w:val="00D34E7C"/>
    <w:rsid w:val="00D35489"/>
    <w:rsid w:val="00D44384"/>
    <w:rsid w:val="00D44740"/>
    <w:rsid w:val="00D51276"/>
    <w:rsid w:val="00D54126"/>
    <w:rsid w:val="00D60C33"/>
    <w:rsid w:val="00D7035F"/>
    <w:rsid w:val="00DA16C9"/>
    <w:rsid w:val="00DA65AC"/>
    <w:rsid w:val="00DB0EDC"/>
    <w:rsid w:val="00DB0F51"/>
    <w:rsid w:val="00DB1913"/>
    <w:rsid w:val="00DC21A0"/>
    <w:rsid w:val="00DC3EA2"/>
    <w:rsid w:val="00DC410D"/>
    <w:rsid w:val="00DC68CA"/>
    <w:rsid w:val="00DC7CBA"/>
    <w:rsid w:val="00DD73B7"/>
    <w:rsid w:val="00DE5719"/>
    <w:rsid w:val="00DE7511"/>
    <w:rsid w:val="00DE7724"/>
    <w:rsid w:val="00DF1376"/>
    <w:rsid w:val="00DF28BC"/>
    <w:rsid w:val="00DF34B9"/>
    <w:rsid w:val="00E01053"/>
    <w:rsid w:val="00E068DD"/>
    <w:rsid w:val="00E07ACF"/>
    <w:rsid w:val="00E148DA"/>
    <w:rsid w:val="00E15397"/>
    <w:rsid w:val="00E2232A"/>
    <w:rsid w:val="00E267A2"/>
    <w:rsid w:val="00E27235"/>
    <w:rsid w:val="00E3170A"/>
    <w:rsid w:val="00E3201E"/>
    <w:rsid w:val="00E331A1"/>
    <w:rsid w:val="00E33202"/>
    <w:rsid w:val="00E336A9"/>
    <w:rsid w:val="00E50624"/>
    <w:rsid w:val="00E568DF"/>
    <w:rsid w:val="00E60539"/>
    <w:rsid w:val="00E64269"/>
    <w:rsid w:val="00E82267"/>
    <w:rsid w:val="00E84B04"/>
    <w:rsid w:val="00E86223"/>
    <w:rsid w:val="00EA010F"/>
    <w:rsid w:val="00EA0A95"/>
    <w:rsid w:val="00EC666C"/>
    <w:rsid w:val="00ED1B63"/>
    <w:rsid w:val="00ED3C1F"/>
    <w:rsid w:val="00ED4085"/>
    <w:rsid w:val="00ED420E"/>
    <w:rsid w:val="00EE21CD"/>
    <w:rsid w:val="00EE2F57"/>
    <w:rsid w:val="00EE3D6C"/>
    <w:rsid w:val="00EF4C34"/>
    <w:rsid w:val="00EF77C6"/>
    <w:rsid w:val="00F03A7F"/>
    <w:rsid w:val="00F03FD3"/>
    <w:rsid w:val="00F05438"/>
    <w:rsid w:val="00F114D2"/>
    <w:rsid w:val="00F122FD"/>
    <w:rsid w:val="00F1361C"/>
    <w:rsid w:val="00F15008"/>
    <w:rsid w:val="00F16083"/>
    <w:rsid w:val="00F160C7"/>
    <w:rsid w:val="00F36D8F"/>
    <w:rsid w:val="00F417B1"/>
    <w:rsid w:val="00F602DF"/>
    <w:rsid w:val="00F609FA"/>
    <w:rsid w:val="00F81FD9"/>
    <w:rsid w:val="00F841AA"/>
    <w:rsid w:val="00FA23E8"/>
    <w:rsid w:val="00FA3C31"/>
    <w:rsid w:val="00FB0BE9"/>
    <w:rsid w:val="00FB0F54"/>
    <w:rsid w:val="00FB116C"/>
    <w:rsid w:val="00FC2FC9"/>
    <w:rsid w:val="00FD1411"/>
    <w:rsid w:val="00FD3CC1"/>
    <w:rsid w:val="00FF1E02"/>
    <w:rsid w:val="00FF30B4"/>
    <w:rsid w:val="10C055FF"/>
    <w:rsid w:val="15946E50"/>
    <w:rsid w:val="16BB723D"/>
    <w:rsid w:val="240371BF"/>
    <w:rsid w:val="29FD04D3"/>
    <w:rsid w:val="319F7F4E"/>
    <w:rsid w:val="4E926ACF"/>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semiHidden="0" w:name="toc 1"/>
    <w:lsdException w:unhideWhenUsed="0" w:uiPriority="99" w:semiHidden="0" w:name="toc 2"/>
    <w:lsdException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7"/>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18"/>
    <w:qFormat/>
    <w:uiPriority w:val="99"/>
    <w:pPr>
      <w:keepNext/>
      <w:keepLines/>
      <w:spacing w:before="260" w:after="260" w:line="416" w:lineRule="auto"/>
      <w:outlineLvl w:val="2"/>
    </w:pPr>
    <w:rPr>
      <w:b/>
      <w:bCs/>
      <w:sz w:val="32"/>
      <w:szCs w:val="32"/>
    </w:rPr>
  </w:style>
  <w:style w:type="character" w:default="1" w:styleId="13">
    <w:name w:val="Default Paragraph Font"/>
    <w:semiHidden/>
    <w:qFormat/>
    <w:uiPriority w:val="99"/>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w:basedOn w:val="1"/>
    <w:link w:val="24"/>
    <w:uiPriority w:val="99"/>
    <w:pPr>
      <w:spacing w:beforeLines="30"/>
    </w:pPr>
    <w:rPr>
      <w:rFonts w:ascii="仿宋_GB2312" w:eastAsia="仿宋_GB2312"/>
      <w:kern w:val="0"/>
      <w:sz w:val="24"/>
      <w:szCs w:val="20"/>
    </w:rPr>
  </w:style>
  <w:style w:type="paragraph" w:styleId="6">
    <w:name w:val="toc 3"/>
    <w:basedOn w:val="1"/>
    <w:next w:val="1"/>
    <w:uiPriority w:val="99"/>
    <w:pPr>
      <w:tabs>
        <w:tab w:val="right" w:leader="dot" w:pos="8296"/>
      </w:tabs>
      <w:ind w:left="840" w:leftChars="400"/>
    </w:pPr>
  </w:style>
  <w:style w:type="paragraph" w:styleId="7">
    <w:name w:val="Balloon Text"/>
    <w:basedOn w:val="1"/>
    <w:link w:val="28"/>
    <w:semiHidden/>
    <w:uiPriority w:val="99"/>
    <w:rPr>
      <w:sz w:val="18"/>
      <w:szCs w:val="18"/>
    </w:rPr>
  </w:style>
  <w:style w:type="paragraph" w:styleId="8">
    <w:name w:val="footer"/>
    <w:basedOn w:val="1"/>
    <w:link w:val="23"/>
    <w:uiPriority w:val="99"/>
    <w:pPr>
      <w:tabs>
        <w:tab w:val="center" w:pos="4153"/>
        <w:tab w:val="right" w:pos="8306"/>
      </w:tabs>
      <w:snapToGrid w:val="0"/>
      <w:jc w:val="left"/>
    </w:pPr>
    <w:rPr>
      <w:rFonts w:ascii="Calibri" w:hAnsi="Calibri"/>
      <w:kern w:val="0"/>
      <w:sz w:val="18"/>
      <w:szCs w:val="20"/>
    </w:rPr>
  </w:style>
  <w:style w:type="paragraph" w:styleId="9">
    <w:name w:val="header"/>
    <w:basedOn w:val="1"/>
    <w:link w:val="22"/>
    <w:semiHidden/>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0">
    <w:name w:val="toc 1"/>
    <w:basedOn w:val="1"/>
    <w:next w:val="1"/>
    <w:uiPriority w:val="99"/>
    <w:pPr>
      <w:tabs>
        <w:tab w:val="right" w:leader="dot" w:pos="8296"/>
      </w:tabs>
      <w:spacing w:before="93"/>
      <w:jc w:val="center"/>
    </w:pPr>
    <w:rPr>
      <w:rFonts w:ascii="仿宋" w:hAnsi="仿宋" w:eastAsia="仿宋"/>
      <w:sz w:val="28"/>
      <w:szCs w:val="28"/>
    </w:rPr>
  </w:style>
  <w:style w:type="paragraph" w:styleId="11">
    <w:name w:val="toc 2"/>
    <w:basedOn w:val="1"/>
    <w:next w:val="1"/>
    <w:uiPriority w:val="99"/>
    <w:pPr>
      <w:tabs>
        <w:tab w:val="right" w:leader="dot" w:pos="8296"/>
      </w:tabs>
      <w:ind w:left="420" w:leftChars="200"/>
    </w:pPr>
    <w:rPr>
      <w:sz w:val="28"/>
      <w:szCs w:val="28"/>
    </w:rPr>
  </w:style>
  <w:style w:type="character" w:styleId="14">
    <w:name w:val="Strong"/>
    <w:basedOn w:val="13"/>
    <w:qFormat/>
    <w:uiPriority w:val="99"/>
    <w:rPr>
      <w:rFonts w:cs="Times New Roman"/>
      <w:b/>
    </w:rPr>
  </w:style>
  <w:style w:type="character" w:styleId="15">
    <w:name w:val="Hyperlink"/>
    <w:basedOn w:val="13"/>
    <w:uiPriority w:val="99"/>
    <w:rPr>
      <w:rFonts w:cs="Times New Roman"/>
      <w:color w:val="0000FF"/>
      <w:u w:val="single"/>
    </w:rPr>
  </w:style>
  <w:style w:type="character" w:customStyle="1" w:styleId="16">
    <w:name w:val="Heading 1 Char"/>
    <w:basedOn w:val="13"/>
    <w:link w:val="2"/>
    <w:locked/>
    <w:uiPriority w:val="99"/>
    <w:rPr>
      <w:rFonts w:ascii="Times New Roman" w:hAnsi="Times New Roman" w:cs="Times New Roman"/>
      <w:b/>
      <w:bCs/>
      <w:kern w:val="44"/>
      <w:sz w:val="44"/>
      <w:szCs w:val="44"/>
    </w:rPr>
  </w:style>
  <w:style w:type="character" w:customStyle="1" w:styleId="17">
    <w:name w:val="Heading 2 Char"/>
    <w:basedOn w:val="13"/>
    <w:link w:val="3"/>
    <w:locked/>
    <w:uiPriority w:val="99"/>
    <w:rPr>
      <w:rFonts w:ascii="Cambria" w:hAnsi="Cambria" w:eastAsia="宋体" w:cs="Times New Roman"/>
      <w:b/>
      <w:bCs/>
      <w:kern w:val="2"/>
      <w:sz w:val="32"/>
      <w:szCs w:val="32"/>
    </w:rPr>
  </w:style>
  <w:style w:type="character" w:customStyle="1" w:styleId="18">
    <w:name w:val="Heading 3 Char"/>
    <w:basedOn w:val="13"/>
    <w:link w:val="4"/>
    <w:locked/>
    <w:uiPriority w:val="99"/>
    <w:rPr>
      <w:rFonts w:ascii="Times New Roman" w:hAnsi="Times New Roman" w:cs="Times New Roman"/>
      <w:b/>
      <w:bCs/>
      <w:kern w:val="2"/>
      <w:sz w:val="32"/>
      <w:szCs w:val="32"/>
    </w:rPr>
  </w:style>
  <w:style w:type="character" w:customStyle="1" w:styleId="19">
    <w:name w:val="Body Text Char"/>
    <w:basedOn w:val="13"/>
    <w:link w:val="5"/>
    <w:semiHidden/>
    <w:locked/>
    <w:uiPriority w:val="99"/>
    <w:rPr>
      <w:rFonts w:ascii="Times New Roman" w:hAnsi="Times New Roman" w:cs="Times New Roman"/>
      <w:sz w:val="24"/>
      <w:szCs w:val="24"/>
    </w:rPr>
  </w:style>
  <w:style w:type="character" w:customStyle="1" w:styleId="20">
    <w:name w:val="Footer Char"/>
    <w:basedOn w:val="13"/>
    <w:link w:val="8"/>
    <w:semiHidden/>
    <w:locked/>
    <w:uiPriority w:val="99"/>
    <w:rPr>
      <w:rFonts w:ascii="Times New Roman" w:hAnsi="Times New Roman" w:cs="Times New Roman"/>
      <w:sz w:val="18"/>
      <w:szCs w:val="18"/>
    </w:rPr>
  </w:style>
  <w:style w:type="character" w:customStyle="1" w:styleId="21">
    <w:name w:val="Header Char"/>
    <w:basedOn w:val="13"/>
    <w:link w:val="9"/>
    <w:semiHidden/>
    <w:locked/>
    <w:uiPriority w:val="99"/>
    <w:rPr>
      <w:rFonts w:ascii="Times New Roman" w:hAnsi="Times New Roman" w:cs="Times New Roman"/>
      <w:sz w:val="18"/>
      <w:szCs w:val="18"/>
    </w:rPr>
  </w:style>
  <w:style w:type="character" w:customStyle="1" w:styleId="22">
    <w:name w:val="Header Char1"/>
    <w:link w:val="9"/>
    <w:semiHidden/>
    <w:locked/>
    <w:uiPriority w:val="99"/>
    <w:rPr>
      <w:sz w:val="18"/>
    </w:rPr>
  </w:style>
  <w:style w:type="character" w:customStyle="1" w:styleId="23">
    <w:name w:val="Footer Char1"/>
    <w:link w:val="8"/>
    <w:locked/>
    <w:uiPriority w:val="99"/>
    <w:rPr>
      <w:sz w:val="18"/>
    </w:rPr>
  </w:style>
  <w:style w:type="character" w:customStyle="1" w:styleId="24">
    <w:name w:val="Body Text Char1"/>
    <w:link w:val="5"/>
    <w:locked/>
    <w:uiPriority w:val="99"/>
    <w:rPr>
      <w:rFonts w:ascii="仿宋_GB2312" w:hAnsi="Times New Roman" w:eastAsia="仿宋_GB2312"/>
      <w:sz w:val="24"/>
    </w:rPr>
  </w:style>
  <w:style w:type="paragraph" w:customStyle="1" w:styleId="25">
    <w:name w:val="Defaul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26">
    <w:name w:val="List Paragraph"/>
    <w:basedOn w:val="1"/>
    <w:qFormat/>
    <w:uiPriority w:val="99"/>
    <w:pPr>
      <w:ind w:firstLine="420" w:firstLineChars="200"/>
    </w:pPr>
  </w:style>
  <w:style w:type="paragraph" w:customStyle="1" w:styleId="27">
    <w:name w:val="TOC Heading"/>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28">
    <w:name w:val="Balloon Text Char"/>
    <w:basedOn w:val="13"/>
    <w:link w:val="7"/>
    <w:semiHidden/>
    <w:locked/>
    <w:uiPriority w:val="99"/>
    <w:rPr>
      <w:rFonts w:ascii="Times New Roman" w:hAnsi="Times New Roman"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四川省财政厅</Company>
  <Pages>32</Pages>
  <Words>2350</Words>
  <Characters>13401</Characters>
  <Lines>0</Lines>
  <Paragraphs>0</Paragraphs>
  <TotalTime>1426</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2019-10-17T02:41:00Z</dcterms:created>
  <dc:creator>张彬茜</dc:creator>
  <cp:lastModifiedBy>胡晓</cp:lastModifiedBy>
  <cp:lastPrinted>2019-08-01T00:48:00Z</cp:lastPrinted>
  <dcterms:modified xsi:type="dcterms:W3CDTF">2022-03-25T01:13:18Z</dcterms:modified>
  <dc:title>四川省***</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