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bookmarkStart w:id="125" w:name="_GoBack"/>
      <w:bookmarkEnd w:id="125"/>
    </w:p>
    <w:p>
      <w:pPr>
        <w:tabs>
          <w:tab w:val="left" w:pos="3369"/>
          <w:tab w:val="center" w:pos="4213"/>
        </w:tabs>
        <w:adjustRightInd w:val="0"/>
        <w:snapToGrid w:val="0"/>
        <w:spacing w:line="360" w:lineRule="auto"/>
        <w:jc w:val="left"/>
        <w:outlineLvl w:val="0"/>
        <w:rPr>
          <w:rFonts w:ascii="方正小标宋简体" w:hAnsi="宋体" w:eastAsia="方正小标宋简体"/>
          <w:color w:val="000000"/>
          <w:sz w:val="72"/>
          <w:szCs w:val="72"/>
        </w:rPr>
      </w:pPr>
      <w:bookmarkStart w:id="1" w:name="_Toc15378441"/>
      <w:bookmarkStart w:id="2" w:name="_Toc15396475"/>
      <w:bookmarkStart w:id="3" w:name="_Toc52180062"/>
      <w:bookmarkStart w:id="4" w:name="_Toc15396597"/>
      <w:bookmarkStart w:id="5" w:name="_Toc15377425"/>
      <w:bookmarkStart w:id="6" w:name="_Toc15377193"/>
      <w:r>
        <w:rPr>
          <w:rFonts w:ascii="方正小标宋简体" w:hAnsi="宋体" w:eastAsia="方正小标宋简体"/>
          <w:color w:val="000000"/>
          <w:sz w:val="72"/>
          <w:szCs w:val="72"/>
        </w:rPr>
        <w:tab/>
      </w:r>
      <w:r>
        <w:rPr>
          <w:rFonts w:ascii="方正小标宋简体" w:hAnsi="宋体" w:eastAsia="方正小标宋简体"/>
          <w:color w:val="000000"/>
          <w:sz w:val="72"/>
          <w:szCs w:val="72"/>
        </w:rPr>
        <w:t>2021</w:t>
      </w:r>
      <w:r>
        <w:rPr>
          <w:rFonts w:ascii="方正小标宋简体" w:hAnsi="宋体" w:eastAsia="方正小标宋简体"/>
          <w:color w:val="000000"/>
          <w:sz w:val="72"/>
          <w:szCs w:val="72"/>
        </w:rPr>
        <w:tab/>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96598"/>
      <w:bookmarkStart w:id="8" w:name="_Toc15396476"/>
      <w:bookmarkStart w:id="9" w:name="_Toc15378442"/>
      <w:bookmarkStart w:id="10" w:name="_Toc52180063"/>
      <w:bookmarkStart w:id="11" w:name="_Toc15377194"/>
      <w:bookmarkStart w:id="12" w:name="_Toc15377426"/>
      <w:r>
        <w:rPr>
          <w:rFonts w:ascii="方正小标宋简体" w:hAnsi="宋体" w:eastAsia="方正小标宋简体"/>
          <w:color w:val="000000"/>
          <w:sz w:val="72"/>
          <w:szCs w:val="72"/>
        </w:rPr>
        <w:t xml:space="preserve">   </w:t>
      </w:r>
      <w:r>
        <w:rPr>
          <w:rFonts w:hint="eastAsia" w:ascii="方正小标宋简体" w:hAnsi="宋体" w:eastAsia="方正小标宋简体"/>
          <w:color w:val="000000"/>
          <w:sz w:val="72"/>
          <w:szCs w:val="72"/>
        </w:rPr>
        <w:t>盐边县</w:t>
      </w:r>
      <w:bookmarkEnd w:id="0"/>
      <w:bookmarkStart w:id="13" w:name="_Toc15306268"/>
      <w:r>
        <w:rPr>
          <w:rFonts w:hint="eastAsia" w:ascii="方正小标宋简体" w:hAnsi="宋体" w:eastAsia="方正小标宋简体"/>
          <w:color w:val="000000"/>
          <w:sz w:val="72"/>
          <w:szCs w:val="72"/>
        </w:rPr>
        <w:t>文化广播电视和</w:t>
      </w:r>
      <w:r>
        <w:rPr>
          <w:rFonts w:ascii="方正小标宋简体" w:hAnsi="宋体" w:eastAsia="方正小标宋简体"/>
          <w:color w:val="000000"/>
          <w:sz w:val="72"/>
          <w:szCs w:val="72"/>
        </w:rPr>
        <w:t xml:space="preserve">  </w:t>
      </w:r>
      <w:r>
        <w:rPr>
          <w:rFonts w:hint="eastAsia" w:ascii="方正小标宋简体" w:hAnsi="宋体" w:eastAsia="方正小标宋简体"/>
          <w:color w:val="000000"/>
          <w:sz w:val="72"/>
          <w:szCs w:val="72"/>
        </w:rPr>
        <w:t>旅游局部门决算</w:t>
      </w:r>
      <w:bookmarkEnd w:id="7"/>
      <w:bookmarkEnd w:id="8"/>
      <w:bookmarkEnd w:id="9"/>
      <w:bookmarkEnd w:id="10"/>
      <w:bookmarkEnd w:id="11"/>
      <w:bookmarkEnd w:id="12"/>
      <w:bookmarkEnd w:id="13"/>
      <w:r>
        <w:rPr>
          <w:rFonts w:hint="eastAsia" w:ascii="方正小标宋简体" w:hAnsi="宋体" w:eastAsia="方正小标宋简体"/>
          <w:color w:val="000000"/>
          <w:sz w:val="72"/>
          <w:szCs w:val="72"/>
        </w:rPr>
        <w:t>（本级）</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sz w:val="28"/>
          <w:szCs w:val="28"/>
        </w:rPr>
      </w:pPr>
    </w:p>
    <w:p>
      <w:pPr>
        <w:pStyle w:val="12"/>
      </w:pPr>
      <w:r>
        <w:rPr>
          <w:rFonts w:hint="eastAsia"/>
        </w:rPr>
        <w:t>公开时间：</w:t>
      </w:r>
      <w:r>
        <w:t xml:space="preserve">2022 </w:t>
      </w:r>
      <w:r>
        <w:rPr>
          <w:rFonts w:hint="eastAsia"/>
        </w:rPr>
        <w:t>年</w:t>
      </w:r>
      <w:r>
        <w:t>10</w:t>
      </w:r>
      <w:r>
        <w:rPr>
          <w:rFonts w:hint="eastAsia"/>
        </w:rPr>
        <w:t>月</w:t>
      </w:r>
      <w:r>
        <w:t>2</w:t>
      </w:r>
      <w:r>
        <w:rPr>
          <w:rFonts w:hint="eastAsia"/>
          <w:lang w:val="en-US" w:eastAsia="zh-CN"/>
        </w:rPr>
        <w:t>8</w:t>
      </w:r>
      <w:r>
        <w:rPr>
          <w:rFonts w:hint="eastAsia"/>
        </w:rPr>
        <w:t>日</w:t>
      </w:r>
    </w:p>
    <w:p>
      <w:pPr>
        <w:pStyle w:val="35"/>
        <w:spacing w:before="0" w:line="240" w:lineRule="auto"/>
        <w:rPr>
          <w:color w:val="auto"/>
        </w:rPr>
      </w:pPr>
      <w:r>
        <w:fldChar w:fldCharType="begin"/>
      </w:r>
      <w:r>
        <w:instrText xml:space="preserve"> TOC \o "1-3" \h \z \u </w:instrText>
      </w:r>
      <w:r>
        <w:fldChar w:fldCharType="separate"/>
      </w:r>
      <w:r>
        <w:rPr>
          <w:color w:val="auto"/>
        </w:rPr>
        <w:fldChar w:fldCharType="begin"/>
      </w:r>
      <w:r>
        <w:rPr>
          <w:color w:val="auto"/>
        </w:rPr>
        <w:instrText xml:space="preserve"> TOC \o "1-3" \h \z \u </w:instrText>
      </w:r>
      <w:r>
        <w:rPr>
          <w:color w:val="auto"/>
        </w:rPr>
        <w:fldChar w:fldCharType="separate"/>
      </w:r>
    </w:p>
    <w:p>
      <w:pPr>
        <w:pStyle w:val="12"/>
        <w:rPr>
          <w:rFonts w:ascii="Calibri" w:hAnsi="Calibri" w:eastAsia="宋体"/>
          <w:sz w:val="21"/>
          <w:szCs w:val="22"/>
        </w:rPr>
      </w:pPr>
      <w:r>
        <w:fldChar w:fldCharType="begin"/>
      </w:r>
      <w:r>
        <w:instrText xml:space="preserve"> HYPERLINK \l "_Toc52180065" </w:instrText>
      </w:r>
      <w:r>
        <w:fldChar w:fldCharType="separate"/>
      </w:r>
      <w:r>
        <w:rPr>
          <w:rStyle w:val="18"/>
          <w:rFonts w:hint="eastAsia" w:ascii="黑体" w:hAnsi="黑体" w:eastAsia="黑体"/>
          <w:color w:val="auto"/>
        </w:rPr>
        <w:t>第一部分部门概况</w:t>
      </w:r>
      <w:r>
        <w:tab/>
      </w:r>
      <w:r>
        <w:fldChar w:fldCharType="begin"/>
      </w:r>
      <w:r>
        <w:instrText xml:space="preserve"> PAGEREF _Toc52180065 \h </w:instrText>
      </w:r>
      <w:r>
        <w:fldChar w:fldCharType="separate"/>
      </w:r>
      <w:r>
        <w:t>4</w:t>
      </w:r>
      <w:r>
        <w:fldChar w:fldCharType="end"/>
      </w:r>
      <w:r>
        <w:fldChar w:fldCharType="end"/>
      </w:r>
    </w:p>
    <w:p>
      <w:pPr>
        <w:pStyle w:val="13"/>
        <w:ind w:left="31680"/>
        <w:rPr>
          <w:rFonts w:ascii="Calibri" w:hAnsi="Calibri"/>
          <w:szCs w:val="22"/>
        </w:rPr>
      </w:pPr>
      <w:r>
        <w:fldChar w:fldCharType="begin"/>
      </w:r>
      <w:r>
        <w:instrText xml:space="preserve"> HYPERLINK \l "_Toc52180066" </w:instrText>
      </w:r>
      <w:r>
        <w:fldChar w:fldCharType="separate"/>
      </w:r>
      <w:r>
        <w:rPr>
          <w:rStyle w:val="18"/>
          <w:rFonts w:hint="eastAsia" w:ascii="黑体" w:hAnsi="黑体" w:eastAsia="黑体"/>
          <w:color w:val="auto"/>
        </w:rPr>
        <w:t>一、基本职能及主要工作</w:t>
      </w:r>
      <w:r>
        <w:tab/>
      </w:r>
      <w:r>
        <w:fldChar w:fldCharType="begin"/>
      </w:r>
      <w:r>
        <w:instrText xml:space="preserve"> PAGEREF _Toc52180066 \h </w:instrText>
      </w:r>
      <w:r>
        <w:fldChar w:fldCharType="separate"/>
      </w:r>
      <w:r>
        <w:t>4</w:t>
      </w:r>
      <w:r>
        <w:fldChar w:fldCharType="end"/>
      </w:r>
      <w:r>
        <w:fldChar w:fldCharType="end"/>
      </w:r>
    </w:p>
    <w:p>
      <w:pPr>
        <w:pStyle w:val="7"/>
        <w:ind w:left="31680"/>
      </w:pPr>
      <w:r>
        <w:fldChar w:fldCharType="begin"/>
      </w:r>
      <w:r>
        <w:instrText xml:space="preserve"> HYPERLINK \l "_Toc52180067" </w:instrText>
      </w:r>
      <w:r>
        <w:fldChar w:fldCharType="separate"/>
      </w:r>
      <w:r>
        <w:rPr>
          <w:rStyle w:val="18"/>
          <w:rFonts w:hint="eastAsia" w:ascii="仿宋" w:hAnsi="仿宋" w:eastAsia="仿宋"/>
          <w:bCs/>
          <w:color w:val="auto"/>
        </w:rPr>
        <w:t>（一）主要职能。</w:t>
      </w:r>
      <w:r>
        <w:tab/>
      </w:r>
      <w:r>
        <w:fldChar w:fldCharType="begin"/>
      </w:r>
      <w:r>
        <w:instrText xml:space="preserve"> PAGEREF _Toc52180067 \h </w:instrText>
      </w:r>
      <w:r>
        <w:fldChar w:fldCharType="separate"/>
      </w:r>
      <w:r>
        <w:t>4</w:t>
      </w:r>
      <w:r>
        <w:fldChar w:fldCharType="end"/>
      </w:r>
      <w:r>
        <w:fldChar w:fldCharType="end"/>
      </w:r>
    </w:p>
    <w:p>
      <w:pPr>
        <w:pStyle w:val="7"/>
        <w:ind w:left="31680"/>
        <w:rPr>
          <w:rFonts w:hint="default" w:eastAsia="宋体"/>
          <w:lang w:val="en-US" w:eastAsia="zh-CN"/>
        </w:rPr>
      </w:pPr>
      <w:r>
        <w:fldChar w:fldCharType="begin"/>
      </w:r>
      <w:r>
        <w:instrText xml:space="preserve"> HYPERLINK \l "_Toc52180067" </w:instrText>
      </w:r>
      <w:r>
        <w:fldChar w:fldCharType="separate"/>
      </w:r>
      <w:r>
        <w:rPr>
          <w:rStyle w:val="18"/>
          <w:rFonts w:hint="eastAsia" w:ascii="仿宋" w:hAnsi="仿宋" w:eastAsia="仿宋"/>
          <w:bCs/>
          <w:color w:val="auto"/>
        </w:rPr>
        <w:t>（</w:t>
      </w:r>
      <w:r>
        <w:rPr>
          <w:rStyle w:val="18"/>
          <w:rFonts w:hint="eastAsia" w:ascii="仿宋" w:hAnsi="仿宋" w:eastAsia="仿宋"/>
          <w:bCs/>
          <w:color w:val="auto"/>
          <w:lang w:eastAsia="zh-CN"/>
        </w:rPr>
        <w:t>二</w:t>
      </w:r>
      <w:r>
        <w:rPr>
          <w:rStyle w:val="18"/>
          <w:rFonts w:hint="eastAsia" w:ascii="仿宋" w:hAnsi="仿宋" w:eastAsia="仿宋"/>
          <w:bCs/>
          <w:color w:val="auto"/>
        </w:rPr>
        <w:t>）</w:t>
      </w:r>
      <w:r>
        <w:rPr>
          <w:rStyle w:val="18"/>
          <w:rFonts w:hint="eastAsia" w:ascii="仿宋" w:hAnsi="仿宋" w:eastAsia="仿宋"/>
          <w:bCs/>
          <w:color w:val="auto"/>
          <w:lang w:eastAsia="zh-CN"/>
        </w:rPr>
        <w:t>机构设置</w:t>
      </w:r>
      <w:r>
        <w:rPr>
          <w:rStyle w:val="18"/>
          <w:rFonts w:hint="eastAsia" w:ascii="仿宋" w:hAnsi="仿宋" w:eastAsia="仿宋"/>
          <w:bCs/>
          <w:color w:val="auto"/>
        </w:rPr>
        <w:t>。</w:t>
      </w:r>
      <w:r>
        <w:tab/>
      </w:r>
      <w:r>
        <w:rPr>
          <w:rFonts w:hint="eastAsia"/>
          <w:lang w:val="en-US" w:eastAsia="zh-CN"/>
        </w:rPr>
        <w:t>5</w:t>
      </w:r>
      <w:r>
        <w:fldChar w:fldCharType="end"/>
      </w:r>
    </w:p>
    <w:p>
      <w:pPr>
        <w:pStyle w:val="7"/>
        <w:ind w:left="0" w:leftChars="0" w:firstLine="420" w:firstLineChars="200"/>
        <w:rPr>
          <w:rFonts w:ascii="Calibri" w:hAnsi="Calibri"/>
          <w:szCs w:val="22"/>
        </w:rPr>
      </w:pPr>
      <w:r>
        <w:rPr>
          <w:rStyle w:val="18"/>
          <w:rFonts w:hint="eastAsia" w:ascii="黑体" w:hAnsi="黑体" w:eastAsia="黑体"/>
          <w:color w:val="auto"/>
          <w:kern w:val="2"/>
          <w:sz w:val="21"/>
          <w:szCs w:val="22"/>
          <w:lang w:val="en-US" w:eastAsia="zh-CN" w:bidi="ar-SA"/>
        </w:rPr>
        <w:t>二2021年重点工作完成情况。</w:t>
      </w:r>
      <w:r>
        <w:fldChar w:fldCharType="begin"/>
      </w:r>
      <w:r>
        <w:instrText xml:space="preserve"> HYPERLINK \l "_Toc52180068" </w:instrText>
      </w:r>
      <w:r>
        <w:fldChar w:fldCharType="separate"/>
      </w:r>
      <w:r>
        <w:tab/>
      </w:r>
      <w:r>
        <w:rPr>
          <w:rFonts w:hint="eastAsia"/>
          <w:lang w:val="en-US" w:eastAsia="zh-CN"/>
        </w:rPr>
        <w:t>5</w:t>
      </w:r>
      <w:r>
        <w:fldChar w:fldCharType="end"/>
      </w:r>
    </w:p>
    <w:p>
      <w:pPr>
        <w:pStyle w:val="12"/>
        <w:rPr>
          <w:rFonts w:ascii="Calibri" w:hAnsi="Calibri"/>
          <w:i w:val="0"/>
          <w:iCs w:val="0"/>
          <w:sz w:val="21"/>
          <w:szCs w:val="22"/>
        </w:rPr>
      </w:pPr>
      <w:r>
        <w:rPr>
          <w:i w:val="0"/>
          <w:iCs w:val="0"/>
        </w:rPr>
        <w:fldChar w:fldCharType="begin"/>
      </w:r>
      <w:r>
        <w:rPr>
          <w:i w:val="0"/>
          <w:iCs w:val="0"/>
        </w:rPr>
        <w:instrText xml:space="preserve"> HYPERLINK \l "_Toc52180073" </w:instrText>
      </w:r>
      <w:r>
        <w:rPr>
          <w:i w:val="0"/>
          <w:iCs w:val="0"/>
        </w:rPr>
        <w:fldChar w:fldCharType="separate"/>
      </w:r>
      <w:r>
        <w:rPr>
          <w:rStyle w:val="18"/>
          <w:rFonts w:hint="eastAsia" w:ascii="黑体" w:hAnsi="黑体" w:eastAsia="黑体"/>
          <w:i w:val="0"/>
          <w:iCs w:val="0"/>
          <w:color w:val="auto"/>
        </w:rPr>
        <w:t>第二部分年度部门决算情况说明</w:t>
      </w:r>
      <w:r>
        <w:rPr>
          <w:i w:val="0"/>
          <w:iCs w:val="0"/>
        </w:rPr>
        <w:tab/>
      </w:r>
      <w:r>
        <w:rPr>
          <w:rFonts w:hint="eastAsia"/>
          <w:i w:val="0"/>
          <w:iCs w:val="0"/>
          <w:lang w:val="en-US" w:eastAsia="zh-CN"/>
        </w:rPr>
        <w:t>7</w:t>
      </w:r>
      <w:r>
        <w:rPr>
          <w:i w:val="0"/>
          <w:iCs w:val="0"/>
        </w:rPr>
        <w:fldChar w:fldCharType="end"/>
      </w:r>
    </w:p>
    <w:p>
      <w:pPr>
        <w:pStyle w:val="13"/>
        <w:tabs>
          <w:tab w:val="left" w:pos="1260"/>
        </w:tabs>
        <w:ind w:left="31680"/>
        <w:rPr>
          <w:rFonts w:ascii="Calibri" w:hAnsi="Calibri"/>
          <w:szCs w:val="22"/>
        </w:rPr>
      </w:pPr>
      <w:r>
        <w:fldChar w:fldCharType="begin"/>
      </w:r>
      <w:r>
        <w:instrText xml:space="preserve"> HYPERLINK \l "_Toc52180074" </w:instrText>
      </w:r>
      <w:r>
        <w:fldChar w:fldCharType="separate"/>
      </w:r>
      <w:r>
        <w:rPr>
          <w:rStyle w:val="18"/>
          <w:rFonts w:hint="eastAsia" w:ascii="黑体" w:hAnsi="黑体" w:eastAsia="黑体"/>
          <w:bCs/>
          <w:color w:val="auto"/>
        </w:rPr>
        <w:t>一、</w:t>
      </w:r>
      <w:r>
        <w:rPr>
          <w:rFonts w:ascii="Calibri" w:hAnsi="Calibri"/>
          <w:szCs w:val="22"/>
        </w:rPr>
        <w:tab/>
      </w:r>
      <w:r>
        <w:rPr>
          <w:rStyle w:val="18"/>
          <w:rFonts w:hint="eastAsia" w:ascii="黑体" w:hAnsi="黑体" w:eastAsia="黑体"/>
          <w:color w:val="auto"/>
        </w:rPr>
        <w:t>收</w:t>
      </w:r>
      <w:r>
        <w:rPr>
          <w:rStyle w:val="18"/>
          <w:rFonts w:hint="eastAsia" w:ascii="黑体" w:hAnsi="黑体" w:eastAsia="黑体"/>
          <w:bCs/>
          <w:color w:val="auto"/>
        </w:rPr>
        <w:t>入支出决算总体情况说明</w:t>
      </w:r>
      <w:r>
        <w:tab/>
      </w:r>
      <w:r>
        <w:rPr>
          <w:rFonts w:hint="eastAsia"/>
          <w:lang w:val="en-US" w:eastAsia="zh-CN"/>
        </w:rPr>
        <w:t>7</w:t>
      </w:r>
      <w:r>
        <w:fldChar w:fldCharType="end"/>
      </w:r>
    </w:p>
    <w:p>
      <w:pPr>
        <w:pStyle w:val="13"/>
        <w:tabs>
          <w:tab w:val="left" w:pos="1260"/>
        </w:tabs>
        <w:ind w:left="31680"/>
        <w:rPr>
          <w:rFonts w:ascii="Calibri" w:hAnsi="Calibri"/>
          <w:szCs w:val="22"/>
        </w:rPr>
      </w:pPr>
      <w:r>
        <w:fldChar w:fldCharType="begin"/>
      </w:r>
      <w:r>
        <w:instrText xml:space="preserve"> HYPERLINK \l "_Toc52180075" </w:instrText>
      </w:r>
      <w:r>
        <w:fldChar w:fldCharType="separate"/>
      </w:r>
      <w:r>
        <w:rPr>
          <w:rStyle w:val="18"/>
          <w:rFonts w:hint="eastAsia" w:ascii="黑体" w:hAnsi="黑体" w:eastAsia="黑体"/>
          <w:bCs/>
          <w:color w:val="auto"/>
        </w:rPr>
        <w:t>二、</w:t>
      </w:r>
      <w:r>
        <w:rPr>
          <w:rFonts w:ascii="Calibri" w:hAnsi="Calibri"/>
          <w:szCs w:val="22"/>
        </w:rPr>
        <w:tab/>
      </w:r>
      <w:r>
        <w:rPr>
          <w:rStyle w:val="18"/>
          <w:rFonts w:hint="eastAsia" w:ascii="黑体" w:hAnsi="黑体" w:eastAsia="黑体"/>
          <w:color w:val="auto"/>
        </w:rPr>
        <w:t>收</w:t>
      </w:r>
      <w:r>
        <w:rPr>
          <w:rStyle w:val="18"/>
          <w:rFonts w:hint="eastAsia" w:ascii="黑体" w:hAnsi="黑体" w:eastAsia="黑体"/>
          <w:bCs/>
          <w:color w:val="auto"/>
        </w:rPr>
        <w:t>入决算情况说明</w:t>
      </w:r>
      <w:r>
        <w:tab/>
      </w:r>
      <w:r>
        <w:rPr>
          <w:rFonts w:hint="eastAsia"/>
          <w:lang w:val="en-US" w:eastAsia="zh-CN"/>
        </w:rPr>
        <w:t>8</w:t>
      </w:r>
      <w:r>
        <w:fldChar w:fldCharType="end"/>
      </w:r>
    </w:p>
    <w:p>
      <w:pPr>
        <w:pStyle w:val="13"/>
        <w:tabs>
          <w:tab w:val="left" w:pos="1260"/>
        </w:tabs>
        <w:ind w:left="31680"/>
        <w:rPr>
          <w:rFonts w:ascii="Calibri" w:hAnsi="Calibri"/>
          <w:szCs w:val="22"/>
        </w:rPr>
      </w:pPr>
      <w:r>
        <w:fldChar w:fldCharType="begin"/>
      </w:r>
      <w:r>
        <w:instrText xml:space="preserve"> HYPERLINK \l "_Toc52180077" </w:instrText>
      </w:r>
      <w:r>
        <w:fldChar w:fldCharType="separate"/>
      </w:r>
      <w:r>
        <w:rPr>
          <w:rStyle w:val="18"/>
          <w:rFonts w:hint="eastAsia" w:ascii="黑体" w:hAnsi="黑体" w:eastAsia="黑体"/>
          <w:bCs/>
          <w:color w:val="auto"/>
        </w:rPr>
        <w:t>三、</w:t>
      </w:r>
      <w:r>
        <w:rPr>
          <w:rFonts w:ascii="Calibri" w:hAnsi="Calibri"/>
          <w:szCs w:val="22"/>
        </w:rPr>
        <w:tab/>
      </w:r>
      <w:r>
        <w:rPr>
          <w:rStyle w:val="18"/>
          <w:rFonts w:hint="eastAsia" w:ascii="黑体" w:hAnsi="黑体" w:eastAsia="黑体"/>
          <w:color w:val="auto"/>
        </w:rPr>
        <w:t>支</w:t>
      </w:r>
      <w:r>
        <w:rPr>
          <w:rStyle w:val="18"/>
          <w:rFonts w:hint="eastAsia" w:ascii="黑体" w:hAnsi="黑体" w:eastAsia="黑体"/>
          <w:bCs/>
          <w:color w:val="auto"/>
        </w:rPr>
        <w:t>出决算情况说明</w:t>
      </w:r>
      <w:r>
        <w:tab/>
      </w:r>
      <w:r>
        <w:rPr>
          <w:rFonts w:hint="eastAsia"/>
          <w:lang w:val="en-US" w:eastAsia="zh-CN"/>
        </w:rPr>
        <w:t>9</w:t>
      </w:r>
      <w:r>
        <w:fldChar w:fldCharType="end"/>
      </w:r>
    </w:p>
    <w:p>
      <w:pPr>
        <w:pStyle w:val="13"/>
        <w:ind w:left="31680"/>
        <w:rPr>
          <w:rFonts w:ascii="Calibri" w:hAnsi="Calibri"/>
          <w:szCs w:val="22"/>
        </w:rPr>
      </w:pPr>
      <w:r>
        <w:fldChar w:fldCharType="begin"/>
      </w:r>
      <w:r>
        <w:instrText xml:space="preserve"> HYPERLINK \l "_Toc52180079" </w:instrText>
      </w:r>
      <w:r>
        <w:fldChar w:fldCharType="separate"/>
      </w:r>
      <w:r>
        <w:rPr>
          <w:rStyle w:val="18"/>
          <w:rFonts w:hint="eastAsia" w:ascii="黑体" w:hAnsi="黑体" w:eastAsia="黑体"/>
          <w:color w:val="auto"/>
        </w:rPr>
        <w:t>四、财</w:t>
      </w:r>
      <w:r>
        <w:rPr>
          <w:rStyle w:val="18"/>
          <w:rFonts w:hint="eastAsia" w:ascii="黑体" w:hAnsi="黑体" w:eastAsia="黑体"/>
          <w:bCs/>
          <w:color w:val="auto"/>
        </w:rPr>
        <w:t>政拨款收入支出决算总体情况说明</w:t>
      </w:r>
      <w:r>
        <w:tab/>
      </w:r>
      <w:r>
        <w:rPr>
          <w:rFonts w:hint="eastAsia"/>
          <w:lang w:val="en-US" w:eastAsia="zh-CN"/>
        </w:rPr>
        <w:t>9</w:t>
      </w:r>
      <w:r>
        <w:fldChar w:fldCharType="end"/>
      </w:r>
    </w:p>
    <w:p>
      <w:pPr>
        <w:pStyle w:val="13"/>
        <w:ind w:left="31680"/>
        <w:rPr>
          <w:rFonts w:hint="eastAsia" w:ascii="Calibri" w:hAnsi="Calibri" w:eastAsia="宋体"/>
          <w:szCs w:val="22"/>
          <w:lang w:val="en-US" w:eastAsia="zh-CN"/>
        </w:rPr>
      </w:pPr>
      <w:r>
        <w:fldChar w:fldCharType="begin"/>
      </w:r>
      <w:r>
        <w:instrText xml:space="preserve"> HYPERLINK \l "_Toc52180080" </w:instrText>
      </w:r>
      <w:r>
        <w:fldChar w:fldCharType="separate"/>
      </w:r>
      <w:r>
        <w:rPr>
          <w:rStyle w:val="18"/>
          <w:rFonts w:hint="eastAsia" w:ascii="黑体" w:hAnsi="黑体" w:eastAsia="黑体"/>
          <w:color w:val="auto"/>
        </w:rPr>
        <w:t>五、</w:t>
      </w:r>
      <w:r>
        <w:rPr>
          <w:rStyle w:val="18"/>
          <w:rFonts w:hint="eastAsia" w:ascii="黑体" w:hAnsi="黑体" w:eastAsia="黑体"/>
          <w:b/>
          <w:color w:val="auto"/>
        </w:rPr>
        <w:t>一</w:t>
      </w:r>
      <w:r>
        <w:rPr>
          <w:rStyle w:val="18"/>
          <w:rFonts w:hint="eastAsia" w:ascii="黑体" w:hAnsi="黑体" w:eastAsia="黑体"/>
          <w:bCs/>
          <w:color w:val="auto"/>
        </w:rPr>
        <w:t>般公共预算财政拨款支出决算情况说明</w:t>
      </w:r>
      <w:r>
        <w:tab/>
      </w:r>
      <w:r>
        <w:rPr>
          <w:rFonts w:hint="eastAsia"/>
          <w:lang w:val="en-US" w:eastAsia="zh-CN"/>
        </w:rPr>
        <w:t>1</w:t>
      </w:r>
      <w:r>
        <w:fldChar w:fldCharType="end"/>
      </w:r>
      <w:r>
        <w:rPr>
          <w:rFonts w:hint="eastAsia"/>
          <w:lang w:val="en-US" w:eastAsia="zh-CN"/>
        </w:rPr>
        <w:t>0</w:t>
      </w:r>
    </w:p>
    <w:p>
      <w:pPr>
        <w:pStyle w:val="13"/>
        <w:ind w:left="31680"/>
        <w:rPr>
          <w:rFonts w:hint="eastAsia" w:ascii="Calibri" w:hAnsi="Calibri" w:eastAsia="宋体"/>
          <w:szCs w:val="22"/>
          <w:lang w:eastAsia="zh-CN"/>
        </w:rPr>
      </w:pPr>
      <w:r>
        <w:fldChar w:fldCharType="begin"/>
      </w:r>
      <w:r>
        <w:instrText xml:space="preserve"> HYPERLINK \l "_Toc52180085" </w:instrText>
      </w:r>
      <w:r>
        <w:fldChar w:fldCharType="separate"/>
      </w:r>
      <w:r>
        <w:rPr>
          <w:rStyle w:val="18"/>
          <w:rFonts w:hint="eastAsia" w:ascii="黑体" w:eastAsia="黑体"/>
          <w:color w:val="auto"/>
          <w:u w:val="none"/>
        </w:rPr>
        <w:t>六</w:t>
      </w:r>
      <w:r>
        <w:rPr>
          <w:rStyle w:val="18"/>
          <w:rFonts w:hint="eastAsia" w:ascii="黑体" w:eastAsia="黑体"/>
          <w:b/>
          <w:color w:val="auto"/>
          <w:u w:val="none"/>
        </w:rPr>
        <w:t>、</w:t>
      </w:r>
      <w:r>
        <w:rPr>
          <w:rStyle w:val="18"/>
          <w:rFonts w:hint="eastAsia" w:ascii="黑体" w:hAnsi="黑体" w:eastAsia="黑体"/>
          <w:b/>
          <w:color w:val="auto"/>
          <w:u w:val="none"/>
        </w:rPr>
        <w:t>一</w:t>
      </w:r>
      <w:r>
        <w:rPr>
          <w:rStyle w:val="18"/>
          <w:rFonts w:hint="eastAsia" w:ascii="黑体" w:hAnsi="黑体" w:eastAsia="黑体"/>
          <w:bCs/>
          <w:color w:val="auto"/>
          <w:u w:val="none"/>
        </w:rPr>
        <w:t>般公共预算财政拨款基本支出决算情况说明</w:t>
      </w:r>
      <w:r>
        <w:tab/>
      </w:r>
      <w:r>
        <w:t>1</w:t>
      </w:r>
      <w:r>
        <w:fldChar w:fldCharType="end"/>
      </w:r>
      <w:r>
        <w:rPr>
          <w:rFonts w:hint="eastAsia"/>
          <w:lang w:val="en-US" w:eastAsia="zh-CN"/>
        </w:rPr>
        <w:t>4</w:t>
      </w:r>
    </w:p>
    <w:p>
      <w:pPr>
        <w:pStyle w:val="13"/>
        <w:ind w:left="31680"/>
        <w:rPr>
          <w:rFonts w:hint="eastAsia" w:ascii="Calibri" w:hAnsi="Calibri" w:eastAsia="宋体"/>
          <w:szCs w:val="22"/>
          <w:lang w:eastAsia="zh-CN"/>
        </w:rPr>
      </w:pPr>
      <w:r>
        <w:fldChar w:fldCharType="begin"/>
      </w:r>
      <w:r>
        <w:instrText xml:space="preserve"> HYPERLINK \l "_Toc52180086" </w:instrText>
      </w:r>
      <w:r>
        <w:fldChar w:fldCharType="separate"/>
      </w:r>
      <w:r>
        <w:rPr>
          <w:rStyle w:val="18"/>
          <w:rFonts w:hint="eastAsia" w:ascii="黑体" w:eastAsia="黑体"/>
          <w:color w:val="auto"/>
        </w:rPr>
        <w:t>七、</w:t>
      </w:r>
      <w:r>
        <w:rPr>
          <w:rStyle w:val="18"/>
          <w:rFonts w:hint="eastAsia" w:ascii="黑体" w:hAnsi="黑体" w:eastAsia="黑体"/>
          <w:b/>
          <w:bCs/>
          <w:color w:val="auto"/>
        </w:rPr>
        <w:t>“</w:t>
      </w:r>
      <w:r>
        <w:rPr>
          <w:rStyle w:val="18"/>
          <w:rFonts w:hint="eastAsia" w:ascii="黑体" w:hAnsi="黑体" w:eastAsia="黑体"/>
          <w:bCs/>
          <w:color w:val="auto"/>
        </w:rPr>
        <w:t>三公”经费财政拨款支出决算情况说明</w:t>
      </w:r>
      <w:r>
        <w:tab/>
      </w:r>
      <w:r>
        <w:t>1</w:t>
      </w:r>
      <w:r>
        <w:fldChar w:fldCharType="end"/>
      </w:r>
      <w:r>
        <w:rPr>
          <w:rFonts w:hint="eastAsia"/>
          <w:lang w:val="en-US" w:eastAsia="zh-CN"/>
        </w:rPr>
        <w:t>5</w:t>
      </w:r>
    </w:p>
    <w:p>
      <w:pPr>
        <w:pStyle w:val="7"/>
        <w:ind w:left="31680"/>
        <w:rPr>
          <w:rFonts w:ascii="Calibri" w:hAnsi="Calibri"/>
          <w:szCs w:val="22"/>
        </w:rPr>
      </w:pPr>
      <w:r>
        <w:fldChar w:fldCharType="begin"/>
      </w:r>
      <w:r>
        <w:instrText xml:space="preserve"> HYPERLINK \l "_Toc52180087" </w:instrText>
      </w:r>
      <w:r>
        <w:fldChar w:fldCharType="separate"/>
      </w:r>
      <w:r>
        <w:rPr>
          <w:rStyle w:val="18"/>
          <w:rFonts w:hint="eastAsia" w:ascii="仿宋" w:hAnsi="仿宋" w:eastAsia="仿宋"/>
          <w:b/>
          <w:color w:val="auto"/>
        </w:rPr>
        <w:t>（一）“三公”经费财政拨款支出决算总体情况说明</w:t>
      </w:r>
      <w:r>
        <w:tab/>
      </w:r>
      <w:r>
        <w:t>1</w:t>
      </w:r>
      <w:r>
        <w:rPr>
          <w:rFonts w:hint="eastAsia"/>
          <w:lang w:val="en-US" w:eastAsia="zh-CN"/>
        </w:rPr>
        <w:t>5</w:t>
      </w:r>
      <w:r>
        <w:fldChar w:fldCharType="end"/>
      </w:r>
    </w:p>
    <w:p>
      <w:pPr>
        <w:pStyle w:val="7"/>
        <w:ind w:left="31680"/>
        <w:rPr>
          <w:rFonts w:ascii="Calibri" w:hAnsi="Calibri"/>
          <w:szCs w:val="22"/>
        </w:rPr>
      </w:pPr>
      <w:r>
        <w:fldChar w:fldCharType="begin"/>
      </w:r>
      <w:r>
        <w:instrText xml:space="preserve"> HYPERLINK \l "_Toc52180088" </w:instrText>
      </w:r>
      <w:r>
        <w:fldChar w:fldCharType="separate"/>
      </w:r>
      <w:r>
        <w:rPr>
          <w:rStyle w:val="18"/>
          <w:rFonts w:hint="eastAsia" w:ascii="仿宋" w:hAnsi="仿宋" w:eastAsia="仿宋"/>
          <w:b/>
          <w:color w:val="auto"/>
        </w:rPr>
        <w:t>（二）“三公”经费财政拨款支出决算具体情况说明</w:t>
      </w:r>
      <w:r>
        <w:tab/>
      </w:r>
      <w:r>
        <w:t>1</w:t>
      </w:r>
      <w:r>
        <w:rPr>
          <w:rFonts w:hint="eastAsia"/>
          <w:lang w:val="en-US" w:eastAsia="zh-CN"/>
        </w:rPr>
        <w:t>5</w:t>
      </w:r>
      <w:r>
        <w:fldChar w:fldCharType="end"/>
      </w:r>
    </w:p>
    <w:p>
      <w:pPr>
        <w:pStyle w:val="13"/>
        <w:ind w:left="31680"/>
        <w:rPr>
          <w:rFonts w:ascii="Calibri" w:hAnsi="Calibri"/>
          <w:szCs w:val="22"/>
        </w:rPr>
      </w:pPr>
      <w:r>
        <w:fldChar w:fldCharType="begin"/>
      </w:r>
      <w:r>
        <w:instrText xml:space="preserve"> HYPERLINK \l "_Toc52180089" </w:instrText>
      </w:r>
      <w:r>
        <w:fldChar w:fldCharType="separate"/>
      </w:r>
      <w:r>
        <w:rPr>
          <w:rStyle w:val="18"/>
          <w:rFonts w:hint="eastAsia" w:ascii="黑体" w:eastAsia="黑体"/>
          <w:color w:val="auto"/>
        </w:rPr>
        <w:t>八、</w:t>
      </w:r>
      <w:r>
        <w:rPr>
          <w:rStyle w:val="18"/>
          <w:rFonts w:hint="eastAsia" w:ascii="黑体" w:hAnsi="黑体" w:eastAsia="黑体"/>
          <w:bCs/>
          <w:color w:val="auto"/>
        </w:rPr>
        <w:t>政府性基金预算支出决算情况说明</w:t>
      </w:r>
      <w:r>
        <w:tab/>
      </w:r>
      <w:r>
        <w:fldChar w:fldCharType="begin"/>
      </w:r>
      <w:r>
        <w:instrText xml:space="preserve"> PAGEREF _Toc52180089 \h </w:instrText>
      </w:r>
      <w:r>
        <w:fldChar w:fldCharType="separate"/>
      </w:r>
      <w:r>
        <w:t>1</w:t>
      </w:r>
      <w:r>
        <w:rPr>
          <w:rFonts w:hint="eastAsia"/>
          <w:lang w:val="en-US" w:eastAsia="zh-CN"/>
        </w:rPr>
        <w:t>6</w:t>
      </w:r>
      <w:r>
        <w:fldChar w:fldCharType="end"/>
      </w:r>
      <w:r>
        <w:fldChar w:fldCharType="end"/>
      </w:r>
    </w:p>
    <w:p>
      <w:pPr>
        <w:pStyle w:val="13"/>
        <w:ind w:left="31680"/>
        <w:rPr>
          <w:rFonts w:ascii="Calibri" w:hAnsi="Calibri"/>
          <w:szCs w:val="22"/>
        </w:rPr>
      </w:pPr>
      <w:r>
        <w:fldChar w:fldCharType="begin"/>
      </w:r>
      <w:r>
        <w:instrText xml:space="preserve"> HYPERLINK \l "_Toc52180090" </w:instrText>
      </w:r>
      <w:r>
        <w:fldChar w:fldCharType="separate"/>
      </w:r>
      <w:r>
        <w:rPr>
          <w:rStyle w:val="18"/>
          <w:rFonts w:hint="eastAsia" w:ascii="黑体" w:hAnsi="黑体" w:eastAsia="黑体"/>
          <w:bCs/>
          <w:color w:val="auto"/>
        </w:rPr>
        <w:t>九、国有资本经营预算支出决算情况说明</w:t>
      </w:r>
      <w:r>
        <w:tab/>
      </w:r>
      <w:r>
        <w:fldChar w:fldCharType="begin"/>
      </w:r>
      <w:r>
        <w:instrText xml:space="preserve"> PAGEREF _Toc52180090 \h </w:instrText>
      </w:r>
      <w:r>
        <w:fldChar w:fldCharType="separate"/>
      </w:r>
      <w:r>
        <w:t>1</w:t>
      </w:r>
      <w:r>
        <w:rPr>
          <w:rFonts w:hint="eastAsia"/>
          <w:lang w:val="en-US" w:eastAsia="zh-CN"/>
        </w:rPr>
        <w:t>6</w:t>
      </w:r>
      <w:r>
        <w:fldChar w:fldCharType="end"/>
      </w:r>
      <w:r>
        <w:fldChar w:fldCharType="end"/>
      </w:r>
    </w:p>
    <w:p>
      <w:pPr>
        <w:pStyle w:val="13"/>
        <w:ind w:left="31680"/>
        <w:rPr>
          <w:rFonts w:ascii="Calibri" w:hAnsi="Calibri"/>
          <w:szCs w:val="22"/>
        </w:rPr>
      </w:pPr>
      <w:r>
        <w:fldChar w:fldCharType="begin"/>
      </w:r>
      <w:r>
        <w:instrText xml:space="preserve"> HYPERLINK \l "_Toc52180091" </w:instrText>
      </w:r>
      <w:r>
        <w:fldChar w:fldCharType="separate"/>
      </w:r>
      <w:r>
        <w:rPr>
          <w:rStyle w:val="18"/>
          <w:rFonts w:hint="eastAsia" w:ascii="黑体" w:hAnsi="黑体" w:eastAsia="黑体"/>
          <w:color w:val="auto"/>
        </w:rPr>
        <w:t>十</w:t>
      </w:r>
      <w:r>
        <w:rPr>
          <w:rStyle w:val="18"/>
          <w:rFonts w:hint="eastAsia" w:ascii="黑体" w:hAnsi="黑体" w:eastAsia="黑体"/>
          <w:b/>
          <w:bCs/>
          <w:color w:val="auto"/>
        </w:rPr>
        <w:t>、</w:t>
      </w:r>
      <w:r>
        <w:rPr>
          <w:rStyle w:val="18"/>
          <w:rFonts w:hint="eastAsia" w:ascii="黑体" w:hAnsi="黑体" w:eastAsia="黑体"/>
          <w:bCs/>
          <w:color w:val="auto"/>
        </w:rPr>
        <w:t>其他重要事项的情况说明</w:t>
      </w:r>
      <w:r>
        <w:tab/>
      </w:r>
      <w:r>
        <w:fldChar w:fldCharType="begin"/>
      </w:r>
      <w:r>
        <w:instrText xml:space="preserve"> PAGEREF _Toc52180091 \h </w:instrText>
      </w:r>
      <w:r>
        <w:fldChar w:fldCharType="separate"/>
      </w:r>
      <w:r>
        <w:t>1</w:t>
      </w:r>
      <w:r>
        <w:rPr>
          <w:rFonts w:hint="eastAsia"/>
          <w:lang w:val="en-US" w:eastAsia="zh-CN"/>
        </w:rPr>
        <w:t>6</w:t>
      </w:r>
      <w:r>
        <w:fldChar w:fldCharType="end"/>
      </w:r>
      <w:r>
        <w:fldChar w:fldCharType="end"/>
      </w:r>
    </w:p>
    <w:p>
      <w:pPr>
        <w:pStyle w:val="12"/>
        <w:rPr>
          <w:rFonts w:hint="eastAsia" w:ascii="Calibri" w:hAnsi="Calibri" w:eastAsia="仿宋"/>
          <w:sz w:val="21"/>
          <w:szCs w:val="22"/>
          <w:lang w:val="en-US" w:eastAsia="zh-CN"/>
        </w:rPr>
      </w:pPr>
      <w:r>
        <w:fldChar w:fldCharType="begin"/>
      </w:r>
      <w:r>
        <w:instrText xml:space="preserve"> HYPERLINK \l "_Toc52180096" </w:instrText>
      </w:r>
      <w:r>
        <w:fldChar w:fldCharType="separate"/>
      </w:r>
      <w:r>
        <w:rPr>
          <w:rStyle w:val="18"/>
          <w:rFonts w:hint="eastAsia" w:ascii="黑体" w:hAnsi="黑体" w:eastAsia="黑体"/>
          <w:bCs/>
          <w:color w:val="auto"/>
          <w:kern w:val="44"/>
        </w:rPr>
        <w:t>第三部分</w:t>
      </w:r>
      <w:r>
        <w:rPr>
          <w:rStyle w:val="18"/>
          <w:rFonts w:hint="eastAsia" w:ascii="黑体" w:hAnsi="黑体" w:eastAsia="黑体"/>
          <w:color w:val="auto"/>
        </w:rPr>
        <w:t>名</w:t>
      </w:r>
      <w:r>
        <w:rPr>
          <w:rStyle w:val="18"/>
          <w:rFonts w:hint="eastAsia" w:ascii="黑体" w:hAnsi="黑体" w:eastAsia="黑体"/>
          <w:bCs/>
          <w:color w:val="auto"/>
          <w:kern w:val="44"/>
        </w:rPr>
        <w:t>词解释</w:t>
      </w:r>
      <w:r>
        <w:tab/>
      </w:r>
      <w:r>
        <w:rPr>
          <w:rFonts w:hint="eastAsia"/>
          <w:lang w:val="en-US" w:eastAsia="zh-CN"/>
        </w:rPr>
        <w:t>1</w:t>
      </w:r>
      <w:r>
        <w:fldChar w:fldCharType="end"/>
      </w:r>
      <w:r>
        <w:rPr>
          <w:rFonts w:hint="eastAsia"/>
          <w:lang w:val="en-US" w:eastAsia="zh-CN"/>
        </w:rPr>
        <w:t>8</w:t>
      </w:r>
    </w:p>
    <w:p>
      <w:pPr>
        <w:pStyle w:val="12"/>
        <w:rPr>
          <w:rFonts w:hint="eastAsia"/>
          <w:lang w:val="en-US" w:eastAsia="zh-CN"/>
        </w:rPr>
      </w:pPr>
      <w:r>
        <w:fldChar w:fldCharType="begin"/>
      </w:r>
      <w:r>
        <w:instrText xml:space="preserve"> HYPERLINK \l "_Toc52180097" </w:instrText>
      </w:r>
      <w:r>
        <w:fldChar w:fldCharType="separate"/>
      </w:r>
      <w:r>
        <w:rPr>
          <w:rStyle w:val="18"/>
          <w:rFonts w:hint="eastAsia" w:ascii="黑体" w:hAnsi="黑体" w:eastAsia="黑体"/>
          <w:color w:val="auto"/>
        </w:rPr>
        <w:t>第</w:t>
      </w:r>
      <w:r>
        <w:rPr>
          <w:rStyle w:val="18"/>
          <w:rFonts w:hint="eastAsia" w:ascii="黑体" w:hAnsi="黑体" w:eastAsia="黑体"/>
          <w:bCs/>
          <w:color w:val="auto"/>
          <w:kern w:val="44"/>
        </w:rPr>
        <w:t>四部分附件</w:t>
      </w:r>
      <w:r>
        <w:tab/>
      </w:r>
      <w:r>
        <w:t>2</w:t>
      </w:r>
      <w:r>
        <w:fldChar w:fldCharType="end"/>
      </w:r>
      <w:r>
        <w:rPr>
          <w:rFonts w:hint="eastAsia"/>
          <w:lang w:val="en-US" w:eastAsia="zh-CN"/>
        </w:rPr>
        <w:t>1</w:t>
      </w:r>
    </w:p>
    <w:p>
      <w:pPr>
        <w:pStyle w:val="12"/>
        <w:rPr>
          <w:rFonts w:hint="eastAsia" w:ascii="Calibri" w:hAnsi="Calibri" w:eastAsia="仿宋"/>
          <w:sz w:val="21"/>
          <w:szCs w:val="22"/>
          <w:lang w:val="en-US" w:eastAsia="zh-CN"/>
        </w:rPr>
      </w:pPr>
      <w:r>
        <w:fldChar w:fldCharType="begin"/>
      </w:r>
      <w:r>
        <w:instrText xml:space="preserve"> HYPERLINK \l "_Toc52180099" </w:instrText>
      </w:r>
      <w:r>
        <w:fldChar w:fldCharType="separate"/>
      </w:r>
      <w:r>
        <w:rPr>
          <w:rStyle w:val="18"/>
          <w:rFonts w:hint="eastAsia" w:ascii="黑体" w:hAnsi="黑体" w:eastAsia="黑体"/>
          <w:color w:val="auto"/>
        </w:rPr>
        <w:t>第</w:t>
      </w:r>
      <w:r>
        <w:rPr>
          <w:rStyle w:val="18"/>
          <w:rFonts w:hint="eastAsia" w:ascii="黑体" w:hAnsi="黑体" w:eastAsia="黑体"/>
          <w:bCs/>
          <w:color w:val="auto"/>
          <w:kern w:val="44"/>
        </w:rPr>
        <w:t>五部分附表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"_Toc52180100" </w:instrText>
      </w:r>
      <w:r>
        <w:fldChar w:fldCharType="separate"/>
      </w:r>
      <w:r>
        <w:rPr>
          <w:rStyle w:val="18"/>
          <w:rFonts w:hint="eastAsia" w:ascii="仿宋" w:hAnsi="仿宋" w:eastAsia="仿宋"/>
          <w:color w:val="auto"/>
        </w:rPr>
        <w:t>一、收入支出决算总表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"_Toc52180101" </w:instrText>
      </w:r>
      <w:r>
        <w:fldChar w:fldCharType="separate"/>
      </w:r>
      <w:r>
        <w:rPr>
          <w:rStyle w:val="18"/>
          <w:rFonts w:hint="eastAsia" w:ascii="仿宋" w:hAnsi="仿宋" w:eastAsia="仿宋"/>
          <w:color w:val="auto"/>
        </w:rPr>
        <w:t>二、收入决算表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"_Toc52180102" </w:instrText>
      </w:r>
      <w:r>
        <w:fldChar w:fldCharType="separate"/>
      </w:r>
      <w:r>
        <w:rPr>
          <w:rStyle w:val="18"/>
          <w:rFonts w:hint="eastAsia" w:ascii="仿宋" w:hAnsi="仿宋" w:eastAsia="仿宋"/>
          <w:color w:val="auto"/>
        </w:rPr>
        <w:t>三、支出决算表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"_Toc52180103" </w:instrText>
      </w:r>
      <w:r>
        <w:fldChar w:fldCharType="separate"/>
      </w:r>
      <w:r>
        <w:rPr>
          <w:rStyle w:val="18"/>
          <w:rFonts w:hint="eastAsia" w:ascii="仿宋" w:hAnsi="仿宋" w:eastAsia="仿宋"/>
          <w:color w:val="auto"/>
        </w:rPr>
        <w:t>四、财政拨款收入支出决算总表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"_Toc52180104" </w:instrText>
      </w:r>
      <w:r>
        <w:fldChar w:fldCharType="separate"/>
      </w:r>
      <w:r>
        <w:rPr>
          <w:rStyle w:val="18"/>
          <w:rFonts w:hint="eastAsia" w:ascii="仿宋" w:hAnsi="仿宋" w:eastAsia="仿宋"/>
          <w:color w:val="auto"/>
        </w:rPr>
        <w:t>五、财政拨款支出决算明细表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"_Toc52180105" </w:instrText>
      </w:r>
      <w:r>
        <w:fldChar w:fldCharType="separate"/>
      </w:r>
      <w:r>
        <w:rPr>
          <w:rStyle w:val="18"/>
          <w:rFonts w:hint="eastAsia" w:ascii="仿宋" w:hAnsi="仿宋" w:eastAsia="仿宋"/>
          <w:color w:val="auto"/>
        </w:rPr>
        <w:t>六、一般公共预算财政拨款支出决算表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"_Toc52180106" </w:instrText>
      </w:r>
      <w:r>
        <w:fldChar w:fldCharType="separate"/>
      </w:r>
      <w:r>
        <w:rPr>
          <w:rStyle w:val="18"/>
          <w:rFonts w:hint="eastAsia" w:ascii="仿宋" w:hAnsi="仿宋" w:eastAsia="仿宋"/>
          <w:color w:val="auto"/>
        </w:rPr>
        <w:t>七、一般公共预算财政拨款支出决算明细表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"_Toc52180107" </w:instrText>
      </w:r>
      <w:r>
        <w:fldChar w:fldCharType="separate"/>
      </w:r>
      <w:r>
        <w:rPr>
          <w:rStyle w:val="18"/>
          <w:rFonts w:hint="eastAsia" w:ascii="仿宋" w:hAnsi="仿宋" w:eastAsia="仿宋"/>
          <w:color w:val="auto"/>
        </w:rPr>
        <w:t>八、一般公共预算财政拨款基本支出决算表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"_Toc52180108" </w:instrText>
      </w:r>
      <w:r>
        <w:fldChar w:fldCharType="separate"/>
      </w:r>
      <w:r>
        <w:rPr>
          <w:rStyle w:val="18"/>
          <w:rFonts w:hint="eastAsia" w:ascii="仿宋" w:hAnsi="仿宋" w:eastAsia="仿宋"/>
          <w:color w:val="auto"/>
        </w:rPr>
        <w:t>九、一般公共预算财政拨款项目支出决算表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"_Toc52180109" </w:instrText>
      </w:r>
      <w:r>
        <w:fldChar w:fldCharType="separate"/>
      </w:r>
      <w:r>
        <w:rPr>
          <w:rStyle w:val="18"/>
          <w:rFonts w:hint="eastAsia" w:ascii="仿宋" w:hAnsi="仿宋" w:eastAsia="仿宋"/>
          <w:color w:val="auto"/>
        </w:rPr>
        <w:t>十、一般公共预算财政拨款“三公”经费支出决算表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"_Toc52180110" </w:instrText>
      </w:r>
      <w:r>
        <w:fldChar w:fldCharType="separate"/>
      </w:r>
      <w:r>
        <w:rPr>
          <w:rStyle w:val="18"/>
          <w:rFonts w:hint="eastAsia" w:ascii="仿宋" w:hAnsi="仿宋" w:eastAsia="仿宋"/>
          <w:color w:val="auto"/>
        </w:rPr>
        <w:t>十一、政府性基金预算财政拨款收入支出决算表</w:t>
      </w:r>
      <w:r>
        <w:tab/>
      </w:r>
      <w:r>
        <w:rPr>
          <w:rFonts w:hint="eastAsia"/>
          <w:lang w:val="en-US" w:eastAsia="zh-CN"/>
        </w:rPr>
        <w:t>2</w:t>
      </w:r>
      <w:r>
        <w:fldChar w:fldCharType="end"/>
      </w:r>
      <w:r>
        <w:rPr>
          <w:rFonts w:hint="eastAsia"/>
          <w:lang w:val="en-US" w:eastAsia="zh-CN"/>
        </w:rPr>
        <w:t>5</w:t>
      </w:r>
    </w:p>
    <w:p>
      <w:pPr>
        <w:pStyle w:val="13"/>
        <w:ind w:left="31680"/>
        <w:rPr>
          <w:rFonts w:hint="eastAsia" w:ascii="Calibri" w:hAnsi="Calibri" w:eastAsia="宋体"/>
          <w:szCs w:val="22"/>
          <w:lang w:eastAsia="zh-CN"/>
        </w:rPr>
      </w:pPr>
      <w:r>
        <w:fldChar w:fldCharType="begin"/>
      </w:r>
      <w:r>
        <w:instrText xml:space="preserve"> HYPERLINK \l "_Toc52180111" </w:instrText>
      </w:r>
      <w:r>
        <w:fldChar w:fldCharType="separate"/>
      </w:r>
      <w:r>
        <w:rPr>
          <w:rStyle w:val="18"/>
          <w:rFonts w:hint="eastAsia" w:ascii="仿宋" w:hAnsi="仿宋" w:eastAsia="仿宋"/>
          <w:color w:val="auto"/>
        </w:rPr>
        <w:t>十二、政府性基金预算财政拨款“三公”经费支出决算表</w:t>
      </w:r>
      <w:r>
        <w:tab/>
      </w:r>
      <w:r>
        <w:rPr>
          <w:rFonts w:hint="eastAsia"/>
          <w:lang w:val="en-US" w:eastAsia="zh-CN"/>
        </w:rPr>
        <w:t>2</w:t>
      </w:r>
      <w:r>
        <w:fldChar w:fldCharType="end"/>
      </w:r>
      <w:r>
        <w:rPr>
          <w:rFonts w:hint="eastAsia"/>
          <w:lang w:val="en-US" w:eastAsia="zh-CN"/>
        </w:rPr>
        <w:t>5</w:t>
      </w:r>
    </w:p>
    <w:p>
      <w:pPr>
        <w:pStyle w:val="13"/>
        <w:ind w:left="31680"/>
        <w:rPr>
          <w:rFonts w:hint="eastAsia" w:eastAsia="宋体"/>
          <w:lang w:eastAsia="zh-CN"/>
        </w:rPr>
      </w:pPr>
      <w:r>
        <w:fldChar w:fldCharType="begin"/>
      </w:r>
      <w:r>
        <w:instrText xml:space="preserve"> HYPERLINK \l "_Toc52180112" </w:instrText>
      </w:r>
      <w:r>
        <w:fldChar w:fldCharType="separate"/>
      </w:r>
      <w:r>
        <w:rPr>
          <w:rStyle w:val="18"/>
          <w:rFonts w:hint="eastAsia" w:ascii="仿宋" w:hAnsi="仿宋" w:eastAsia="仿宋"/>
          <w:color w:val="auto"/>
        </w:rPr>
        <w:t>十三、国有资本经营预算财政拨款收入支出决算表</w:t>
      </w:r>
      <w:r>
        <w:tab/>
      </w:r>
      <w:r>
        <w:rPr>
          <w:rFonts w:hint="eastAsia"/>
          <w:lang w:val="en-US" w:eastAsia="zh-CN"/>
        </w:rPr>
        <w:t>2</w:t>
      </w:r>
      <w:r>
        <w:fldChar w:fldCharType="end"/>
      </w:r>
      <w:r>
        <w:rPr>
          <w:rFonts w:hint="eastAsia"/>
          <w:lang w:val="en-US" w:eastAsia="zh-CN"/>
        </w:rPr>
        <w:t>5</w:t>
      </w:r>
    </w:p>
    <w:p>
      <w:pPr>
        <w:ind w:firstLine="420" w:firstLineChars="200"/>
        <w:rPr>
          <w:rFonts w:hint="default" w:eastAsia="仿宋"/>
          <w:lang w:val="en-US" w:eastAsia="zh-CN"/>
        </w:rPr>
      </w:pPr>
      <w:r>
        <w:rPr>
          <w:rStyle w:val="18"/>
          <w:rFonts w:hint="eastAsia" w:ascii="仿宋" w:hAnsi="仿宋" w:eastAsia="仿宋"/>
          <w:color w:val="auto"/>
          <w:kern w:val="2"/>
          <w:sz w:val="21"/>
          <w:szCs w:val="24"/>
          <w:lang w:val="en-US" w:eastAsia="zh-CN" w:bidi="ar-SA"/>
        </w:rPr>
        <w:t>十四、国有资本经营预算财政拨款</w:t>
      </w:r>
      <w:r>
        <w:rPr>
          <w:rStyle w:val="18"/>
          <w:rFonts w:hint="eastAsia" w:ascii="仿宋" w:hAnsi="仿宋" w:eastAsia="仿宋"/>
          <w:color w:val="auto"/>
        </w:rPr>
        <w:t>支出决算表</w:t>
      </w:r>
      <w:r>
        <w:rPr>
          <w:rStyle w:val="18"/>
          <w:rFonts w:ascii="仿宋" w:hAnsi="仿宋" w:eastAsia="仿宋"/>
          <w:color w:val="auto"/>
        </w:rPr>
        <w:t>.................................</w:t>
      </w:r>
      <w:r>
        <w:rPr>
          <w:rStyle w:val="18"/>
          <w:rFonts w:hint="eastAsia" w:ascii="仿宋" w:hAnsi="仿宋" w:eastAsia="仿宋"/>
          <w:color w:val="auto"/>
          <w:lang w:val="en-US" w:eastAsia="zh-CN"/>
        </w:rPr>
        <w:t>25</w:t>
      </w:r>
    </w:p>
    <w:p>
      <w:pPr>
        <w:pStyle w:val="35"/>
        <w:spacing w:before="0" w:line="240" w:lineRule="auto"/>
        <w:rPr>
          <w:rFonts w:ascii="Calibri" w:hAnsi="Calibri"/>
          <w:szCs w:val="22"/>
        </w:rPr>
      </w:pPr>
      <w:r>
        <w:rPr>
          <w:color w:val="auto"/>
        </w:rPr>
        <w:fldChar w:fldCharType="end"/>
      </w:r>
    </w:p>
    <w:p>
      <w:r>
        <w:fldChar w:fldCharType="end"/>
      </w:r>
      <w:bookmarkStart w:id="14" w:name="_Toc15396599"/>
      <w:bookmarkStart w:id="15" w:name="_Toc15377196"/>
      <w:bookmarkStart w:id="16" w:name="_Toc52180065"/>
    </w:p>
    <w:p/>
    <w:p/>
    <w:p/>
    <w:p/>
    <w:p/>
    <w:p/>
    <w:p/>
    <w:p/>
    <w:p>
      <w:pPr>
        <w:rPr>
          <w:rFonts w:ascii="黑体" w:hAnsi="黑体" w:eastAsia="黑体"/>
          <w:sz w:val="44"/>
          <w:szCs w:val="44"/>
        </w:rPr>
      </w:pPr>
    </w:p>
    <w:p>
      <w:pPr>
        <w:ind w:firstLine="2860" w:firstLineChars="650"/>
        <w:rPr>
          <w:rFonts w:ascii="黑体" w:hAnsi="黑体" w:eastAsia="黑体"/>
          <w:sz w:val="44"/>
          <w:szCs w:val="44"/>
        </w:rPr>
      </w:pPr>
    </w:p>
    <w:p>
      <w:pPr>
        <w:ind w:firstLine="2860" w:firstLineChars="650"/>
        <w:rPr>
          <w:rFonts w:ascii="黑体" w:hAnsi="黑体" w:eastAsia="黑体"/>
          <w:sz w:val="44"/>
          <w:szCs w:val="44"/>
        </w:rPr>
      </w:pPr>
    </w:p>
    <w:p>
      <w:pPr>
        <w:ind w:firstLine="2860" w:firstLineChars="650"/>
        <w:rPr>
          <w:rFonts w:ascii="黑体" w:hAnsi="黑体" w:eastAsia="黑体"/>
          <w:sz w:val="44"/>
          <w:szCs w:val="44"/>
        </w:rPr>
      </w:pPr>
    </w:p>
    <w:p>
      <w:pPr>
        <w:ind w:firstLine="2860" w:firstLineChars="650"/>
        <w:rPr>
          <w:rFonts w:hint="eastAsia" w:ascii="黑体" w:hAnsi="黑体" w:eastAsia="黑体"/>
          <w:sz w:val="44"/>
          <w:szCs w:val="44"/>
        </w:rPr>
      </w:pPr>
    </w:p>
    <w:p>
      <w:pPr>
        <w:ind w:firstLine="2860" w:firstLineChars="650"/>
        <w:rPr>
          <w:rFonts w:hint="eastAsia" w:ascii="黑体" w:hAnsi="黑体" w:eastAsia="黑体"/>
          <w:sz w:val="44"/>
          <w:szCs w:val="44"/>
        </w:rPr>
      </w:pPr>
    </w:p>
    <w:p>
      <w:pPr>
        <w:ind w:firstLine="2860" w:firstLineChars="650"/>
        <w:rPr>
          <w:rFonts w:hint="eastAsia" w:ascii="黑体" w:hAnsi="黑体" w:eastAsia="黑体"/>
          <w:sz w:val="44"/>
          <w:szCs w:val="44"/>
        </w:rPr>
      </w:pPr>
    </w:p>
    <w:p>
      <w:pPr>
        <w:ind w:firstLine="2860" w:firstLineChars="650"/>
        <w:rPr>
          <w:rFonts w:hint="eastAsia" w:ascii="黑体" w:hAnsi="黑体" w:eastAsia="黑体"/>
          <w:sz w:val="44"/>
          <w:szCs w:val="44"/>
        </w:rPr>
      </w:pPr>
    </w:p>
    <w:p>
      <w:pPr>
        <w:ind w:firstLine="2860" w:firstLineChars="650"/>
        <w:rPr>
          <w:rFonts w:hint="eastAsia" w:ascii="黑体" w:hAnsi="黑体" w:eastAsia="黑体"/>
          <w:sz w:val="44"/>
          <w:szCs w:val="44"/>
        </w:rPr>
      </w:pPr>
    </w:p>
    <w:p>
      <w:pPr>
        <w:ind w:firstLine="2860" w:firstLineChars="650"/>
        <w:rPr>
          <w:rFonts w:hint="eastAsia" w:ascii="黑体" w:hAnsi="黑体" w:eastAsia="黑体"/>
          <w:sz w:val="44"/>
          <w:szCs w:val="44"/>
        </w:rPr>
      </w:pPr>
    </w:p>
    <w:p>
      <w:pPr>
        <w:ind w:firstLine="2860" w:firstLineChars="650"/>
        <w:rPr>
          <w:rFonts w:hint="eastAsia" w:ascii="黑体" w:hAnsi="黑体" w:eastAsia="黑体"/>
          <w:sz w:val="44"/>
          <w:szCs w:val="44"/>
        </w:rPr>
      </w:pPr>
    </w:p>
    <w:p>
      <w:pPr>
        <w:ind w:firstLine="2860" w:firstLineChars="650"/>
        <w:rPr>
          <w:rFonts w:hint="eastAsia" w:ascii="黑体" w:hAnsi="黑体" w:eastAsia="黑体"/>
          <w:sz w:val="44"/>
          <w:szCs w:val="44"/>
        </w:rPr>
      </w:pPr>
    </w:p>
    <w:p>
      <w:pPr>
        <w:rPr>
          <w:rFonts w:hint="eastAsia" w:ascii="黑体" w:hAnsi="黑体" w:eastAsia="黑体"/>
          <w:sz w:val="44"/>
          <w:szCs w:val="44"/>
        </w:rPr>
      </w:pPr>
    </w:p>
    <w:p>
      <w:pPr>
        <w:ind w:firstLine="2200" w:firstLineChars="500"/>
        <w:rPr>
          <w:rFonts w:hint="eastAsia" w:ascii="黑体" w:hAnsi="黑体" w:eastAsia="黑体"/>
          <w:sz w:val="44"/>
          <w:szCs w:val="44"/>
        </w:rPr>
      </w:pPr>
    </w:p>
    <w:p>
      <w:pPr>
        <w:ind w:firstLine="2200" w:firstLineChars="500"/>
        <w:rPr>
          <w:rStyle w:val="20"/>
          <w:rFonts w:ascii="黑体" w:hAnsi="黑体" w:eastAsia="黑体"/>
          <w:bCs w:val="0"/>
        </w:rPr>
      </w:pPr>
      <w:r>
        <w:rPr>
          <w:rFonts w:hint="eastAsia" w:ascii="黑体" w:hAnsi="黑体" w:eastAsia="黑体"/>
          <w:sz w:val="44"/>
          <w:szCs w:val="44"/>
        </w:rPr>
        <w:t>第一部分</w:t>
      </w:r>
      <w:r>
        <w:rPr>
          <w:rFonts w:ascii="黑体" w:hAnsi="黑体" w:eastAsia="黑体"/>
          <w:sz w:val="44"/>
          <w:szCs w:val="44"/>
        </w:rPr>
        <w:t xml:space="preserve"> </w:t>
      </w:r>
      <w:r>
        <w:rPr>
          <w:rStyle w:val="20"/>
          <w:rFonts w:hint="eastAsia" w:ascii="黑体" w:hAnsi="黑体" w:eastAsia="黑体"/>
          <w:b w:val="0"/>
          <w:bCs w:val="0"/>
        </w:rPr>
        <w:t>单位概况</w:t>
      </w:r>
      <w:bookmarkEnd w:id="14"/>
      <w:bookmarkEnd w:id="15"/>
      <w:bookmarkEnd w:id="16"/>
    </w:p>
    <w:p>
      <w:pPr>
        <w:pStyle w:val="4"/>
        <w:ind w:firstLine="790" w:firstLineChars="246"/>
        <w:rPr>
          <w:rFonts w:hint="eastAsia"/>
        </w:rPr>
      </w:pPr>
      <w:bookmarkStart w:id="17" w:name="_Toc15396600"/>
      <w:bookmarkStart w:id="18" w:name="_Toc15377197"/>
      <w:bookmarkStart w:id="19" w:name="_Toc52180066"/>
      <w:r>
        <w:rPr>
          <w:rFonts w:hint="eastAsia"/>
        </w:rPr>
        <w:t>一、</w:t>
      </w:r>
      <w:bookmarkEnd w:id="17"/>
      <w:bookmarkEnd w:id="18"/>
      <w:bookmarkEnd w:id="19"/>
      <w:bookmarkStart w:id="20" w:name="_Toc15378445"/>
      <w:bookmarkStart w:id="21" w:name="_Toc15377198"/>
      <w:bookmarkStart w:id="22" w:name="_Toc52180067"/>
      <w:r>
        <w:rPr>
          <w:rFonts w:hint="eastAsia"/>
        </w:rPr>
        <w:t>职能简介</w:t>
      </w:r>
      <w:bookmarkEnd w:id="20"/>
      <w:bookmarkEnd w:id="21"/>
      <w:bookmarkEnd w:id="22"/>
      <w:bookmarkStart w:id="23" w:name="_Toc15378446"/>
      <w:bookmarkStart w:id="24" w:name="_Toc52180068"/>
      <w:bookmarkStart w:id="25" w:name="_Toc15377199"/>
    </w:p>
    <w:p>
      <w:pPr>
        <w:pStyle w:val="4"/>
        <w:ind w:firstLine="790" w:firstLineChars="246"/>
        <w:rPr>
          <w:rFonts w:hint="eastAsia"/>
          <w:sz w:val="32"/>
          <w:szCs w:val="32"/>
          <w:lang w:val="en-US" w:eastAsia="zh-CN"/>
        </w:rPr>
      </w:pPr>
      <w:r>
        <w:rPr>
          <w:rFonts w:hint="eastAsia"/>
          <w:lang w:val="en-US" w:eastAsia="zh-CN"/>
        </w:rPr>
        <w:t>（一）</w:t>
      </w:r>
      <w:r>
        <w:rPr>
          <w:rFonts w:hint="eastAsia"/>
          <w:sz w:val="32"/>
          <w:szCs w:val="32"/>
          <w:lang w:val="en-US" w:eastAsia="zh-CN"/>
        </w:rPr>
        <w:t>主要职能</w:t>
      </w:r>
    </w:p>
    <w:p>
      <w:pPr>
        <w:ind w:firstLine="640" w:firstLineChars="200"/>
        <w:rPr>
          <w:rFonts w:hint="eastAsia" w:ascii="仿宋_GB2312" w:hAnsi="Times New Roman" w:eastAsia="仿宋_GB2312" w:cs="Times New Roman"/>
          <w:color w:val="000000"/>
          <w:kern w:val="0"/>
          <w:sz w:val="32"/>
          <w:szCs w:val="32"/>
          <w:lang w:val="en-US" w:eastAsia="zh-CN" w:bidi="ar-SA"/>
        </w:rPr>
      </w:pPr>
      <w:r>
        <w:rPr>
          <w:rFonts w:hint="eastAsia" w:ascii="仿宋_GB2312" w:hAnsi="Times New Roman" w:eastAsia="仿宋_GB2312" w:cs="Times New Roman"/>
          <w:color w:val="000000"/>
          <w:kern w:val="0"/>
          <w:sz w:val="32"/>
          <w:szCs w:val="32"/>
          <w:lang w:val="en-US" w:eastAsia="zh-CN" w:bidi="ar-SA"/>
        </w:rPr>
        <w:t>组织推动全县文化、广播电视和旅游业发展，拟定发展规划并组织实施，推进文化广播电视和旅游体制机制改革，推进文化广播电视和旅游融合发展；指导、管理全县文化、广播电视和旅游发展领域的公共服务体系建设；组织、指导、管理全县文化、广播电视和旅游基础设施重大工程设施建设，组织全县文化广播电视和旅游宣传推广，促进文化广播电视和旅游产业对外合作与市场推广，制定旅游市场开发战略并组织实施，推进全域旅游；指导、管理县级公共文化设施；组织、指导开展社会群众文化活动。依法管理社会文化和旅游市场。负责文化旅游市场领域综合行政执法工作，组织查处全县性、跨区域文化、文物、广播电视、旅游等市场的违法行为，开展扫黄打非集中行动，维护市场秩序。负责全县广播电视与新媒体新技术新业态融合发展，推进“三网融合”。负责广播电视节目传输覆盖、监测和安全播出的监督管理，指导、推进应急广播电视体系。</w:t>
      </w:r>
    </w:p>
    <w:p>
      <w:pPr>
        <w:pStyle w:val="4"/>
        <w:ind w:firstLine="790" w:firstLineChars="246"/>
        <w:rPr>
          <w:rFonts w:hint="eastAsia"/>
          <w:lang w:val="en-US" w:eastAsia="zh-CN"/>
        </w:rPr>
      </w:pPr>
      <w:r>
        <w:rPr>
          <w:rFonts w:hint="eastAsia"/>
          <w:lang w:val="en-US" w:eastAsia="zh-CN"/>
        </w:rPr>
        <w:t>（二）机构设置</w:t>
      </w:r>
    </w:p>
    <w:p>
      <w:pPr>
        <w:pStyle w:val="6"/>
        <w:adjustRightInd w:val="0"/>
        <w:snapToGrid w:val="0"/>
        <w:spacing w:before="93" w:line="600" w:lineRule="exact"/>
        <w:ind w:firstLine="480" w:firstLineChars="150"/>
        <w:rPr>
          <w:color w:val="000000"/>
        </w:rPr>
      </w:pPr>
      <w:r>
        <w:rPr>
          <w:rFonts w:hint="eastAsia"/>
          <w:color w:val="000000"/>
          <w:sz w:val="32"/>
          <w:szCs w:val="32"/>
        </w:rPr>
        <w:t>文广旅局下属二级单位</w:t>
      </w:r>
      <w:r>
        <w:rPr>
          <w:color w:val="000000"/>
          <w:sz w:val="32"/>
          <w:szCs w:val="32"/>
        </w:rPr>
        <w:t>2</w:t>
      </w:r>
      <w:r>
        <w:rPr>
          <w:rFonts w:hint="eastAsia"/>
          <w:color w:val="000000"/>
          <w:sz w:val="32"/>
          <w:szCs w:val="32"/>
        </w:rPr>
        <w:t>个，其他事业单位</w:t>
      </w:r>
      <w:r>
        <w:rPr>
          <w:color w:val="000000"/>
          <w:sz w:val="32"/>
          <w:szCs w:val="32"/>
        </w:rPr>
        <w:t>2</w:t>
      </w:r>
      <w:r>
        <w:rPr>
          <w:rFonts w:hint="eastAsia"/>
          <w:color w:val="000000"/>
          <w:sz w:val="32"/>
          <w:szCs w:val="32"/>
        </w:rPr>
        <w:t>个。盐边县文化广播电视和旅游局属于县政府工作部门，为正科级。下设县文化馆、县文化市场综合执法大队</w:t>
      </w:r>
      <w:r>
        <w:rPr>
          <w:color w:val="000000"/>
          <w:sz w:val="32"/>
          <w:szCs w:val="32"/>
        </w:rPr>
        <w:t>2</w:t>
      </w:r>
      <w:r>
        <w:rPr>
          <w:rFonts w:hint="eastAsia"/>
          <w:color w:val="000000"/>
          <w:sz w:val="32"/>
          <w:szCs w:val="32"/>
        </w:rPr>
        <w:t>个事业单位，其中文化馆为财政独立核算。县文广旅局与攀西大裂谷</w:t>
      </w:r>
      <w:r>
        <w:rPr>
          <w:rFonts w:hint="eastAsia" w:hAnsi="仿宋"/>
          <w:color w:val="000000"/>
          <w:sz w:val="32"/>
          <w:szCs w:val="32"/>
        </w:rPr>
        <w:t>格萨拉生态旅游区管理委员会</w:t>
      </w:r>
      <w:r>
        <w:rPr>
          <w:rFonts w:hint="eastAsia"/>
          <w:color w:val="000000"/>
          <w:sz w:val="32"/>
          <w:szCs w:val="32"/>
        </w:rPr>
        <w:t>、盐边县文化和旅游公共服务中心合署办公。</w:t>
      </w:r>
    </w:p>
    <w:p>
      <w:pPr>
        <w:pStyle w:val="6"/>
        <w:adjustRightInd w:val="0"/>
        <w:snapToGrid w:val="0"/>
        <w:spacing w:before="93" w:line="600" w:lineRule="exact"/>
        <w:ind w:firstLine="480" w:firstLineChars="150"/>
        <w:rPr>
          <w:rFonts w:hAnsi="仿宋"/>
          <w:color w:val="000000"/>
          <w:sz w:val="32"/>
          <w:szCs w:val="32"/>
        </w:rPr>
      </w:pPr>
      <w:r>
        <w:rPr>
          <w:rFonts w:hint="eastAsia" w:hAnsi="仿宋"/>
          <w:color w:val="000000"/>
          <w:sz w:val="32"/>
          <w:szCs w:val="32"/>
        </w:rPr>
        <w:t>入县文广旅局年度部门决算编制范围的预算单位包括：</w:t>
      </w:r>
    </w:p>
    <w:p>
      <w:pPr>
        <w:pStyle w:val="6"/>
        <w:numPr>
          <w:ilvl w:val="0"/>
          <w:numId w:val="1"/>
        </w:numPr>
        <w:adjustRightInd w:val="0"/>
        <w:snapToGrid w:val="0"/>
        <w:spacing w:before="93" w:line="600" w:lineRule="exact"/>
        <w:ind w:left="1152"/>
        <w:outlineLvl w:val="2"/>
        <w:rPr>
          <w:rFonts w:hAnsi="仿宋"/>
          <w:color w:val="000000"/>
          <w:sz w:val="32"/>
          <w:szCs w:val="32"/>
        </w:rPr>
      </w:pPr>
      <w:r>
        <w:rPr>
          <w:rFonts w:hint="eastAsia" w:hAnsi="仿宋"/>
          <w:color w:val="000000"/>
          <w:sz w:val="32"/>
          <w:szCs w:val="32"/>
        </w:rPr>
        <w:t>攀西大裂谷格萨拉生态旅游区管理委员会</w:t>
      </w:r>
    </w:p>
    <w:p>
      <w:pPr>
        <w:pStyle w:val="6"/>
        <w:numPr>
          <w:ilvl w:val="0"/>
          <w:numId w:val="1"/>
        </w:numPr>
        <w:adjustRightInd w:val="0"/>
        <w:snapToGrid w:val="0"/>
        <w:spacing w:before="93" w:line="600" w:lineRule="exact"/>
        <w:ind w:left="1152"/>
        <w:outlineLvl w:val="2"/>
        <w:rPr>
          <w:rFonts w:hAnsi="仿宋"/>
          <w:color w:val="000000"/>
          <w:sz w:val="32"/>
          <w:szCs w:val="32"/>
        </w:rPr>
      </w:pPr>
      <w:bookmarkStart w:id="26" w:name="_Toc15378449"/>
      <w:bookmarkStart w:id="27" w:name="_Toc15306276"/>
      <w:bookmarkStart w:id="28" w:name="_Toc52180071"/>
      <w:bookmarkStart w:id="29" w:name="_Toc15377433"/>
      <w:bookmarkStart w:id="30" w:name="_Toc15377202"/>
      <w:bookmarkStart w:id="31" w:name="OLE_LINK3"/>
      <w:r>
        <w:rPr>
          <w:rFonts w:hint="eastAsia"/>
          <w:color w:val="000000"/>
          <w:sz w:val="32"/>
          <w:szCs w:val="32"/>
        </w:rPr>
        <w:t>盐边县文化和旅游公共服务中心</w:t>
      </w:r>
      <w:bookmarkEnd w:id="26"/>
      <w:bookmarkEnd w:id="27"/>
      <w:bookmarkEnd w:id="28"/>
      <w:bookmarkEnd w:id="29"/>
      <w:bookmarkEnd w:id="30"/>
    </w:p>
    <w:bookmarkEnd w:id="31"/>
    <w:p>
      <w:pPr>
        <w:pStyle w:val="6"/>
        <w:numPr>
          <w:ilvl w:val="0"/>
          <w:numId w:val="1"/>
        </w:numPr>
        <w:adjustRightInd w:val="0"/>
        <w:snapToGrid w:val="0"/>
        <w:spacing w:before="93" w:line="600" w:lineRule="exact"/>
        <w:ind w:left="1152"/>
        <w:outlineLvl w:val="2"/>
        <w:rPr>
          <w:rFonts w:hAnsi="仿宋"/>
          <w:sz w:val="32"/>
          <w:szCs w:val="32"/>
        </w:rPr>
      </w:pPr>
      <w:r>
        <w:rPr>
          <w:rFonts w:hint="eastAsia"/>
          <w:sz w:val="32"/>
          <w:szCs w:val="32"/>
        </w:rPr>
        <w:t>盐边县文化市场综合执法大队</w:t>
      </w:r>
    </w:p>
    <w:p/>
    <w:p>
      <w:pPr>
        <w:pStyle w:val="4"/>
        <w:ind w:firstLine="790" w:firstLineChars="246"/>
        <w:rPr>
          <w:rFonts w:hint="eastAsia"/>
        </w:rPr>
      </w:pPr>
      <w:r>
        <w:rPr>
          <w:rFonts w:hint="eastAsia"/>
        </w:rPr>
        <w:t>二、2021年重点工作完成情况。</w:t>
      </w:r>
      <w:bookmarkEnd w:id="23"/>
      <w:bookmarkEnd w:id="24"/>
      <w:bookmarkEnd w:id="25"/>
    </w:p>
    <w:p>
      <w:pPr>
        <w:ind w:firstLine="643" w:firstLineChars="200"/>
        <w:rPr>
          <w:rFonts w:hint="eastAsia" w:ascii="仿宋_GB2312" w:hAnsi="宋体" w:eastAsia="仿宋_GB2312"/>
          <w:b/>
          <w:bCs/>
          <w:color w:val="000000"/>
          <w:sz w:val="32"/>
          <w:szCs w:val="32"/>
          <w:lang w:val="en-US" w:eastAsia="zh-CN"/>
        </w:rPr>
      </w:pPr>
      <w:r>
        <w:rPr>
          <w:rFonts w:hint="eastAsia" w:ascii="仿宋_GB2312" w:hAnsi="宋体" w:eastAsia="仿宋_GB2312"/>
          <w:b/>
          <w:bCs/>
          <w:color w:val="000000"/>
          <w:sz w:val="32"/>
          <w:szCs w:val="32"/>
          <w:lang w:val="en-US" w:eastAsia="zh-CN"/>
        </w:rPr>
        <w:t>（一）天府旅游名县创建工作</w:t>
      </w:r>
    </w:p>
    <w:p>
      <w:pPr>
        <w:ind w:firstLine="640" w:firstLineChars="200"/>
        <w:rPr>
          <w:rFonts w:ascii="仿宋_GB2312" w:eastAsia="仿宋_GB2312"/>
          <w:sz w:val="32"/>
          <w:szCs w:val="32"/>
        </w:rPr>
      </w:pPr>
      <w:bookmarkStart w:id="32" w:name="_Toc15377200"/>
      <w:bookmarkStart w:id="33" w:name="_Toc15396601"/>
      <w:bookmarkStart w:id="34" w:name="_Toc52180069"/>
      <w:r>
        <w:rPr>
          <w:rFonts w:ascii="仿宋_GB2312" w:hAnsi="宋体" w:eastAsia="仿宋_GB2312"/>
          <w:color w:val="000000"/>
          <w:sz w:val="32"/>
          <w:szCs w:val="32"/>
        </w:rPr>
        <w:t>1.</w:t>
      </w:r>
      <w:r>
        <w:rPr>
          <w:rFonts w:hint="eastAsia" w:ascii="仿宋_GB2312" w:hAnsi="宋体" w:eastAsia="仿宋_GB2312"/>
          <w:color w:val="000000"/>
          <w:sz w:val="32"/>
          <w:szCs w:val="32"/>
        </w:rPr>
        <w:t>继续推进天府旅游名县候选县和全域旅游示范区创建工作，于</w:t>
      </w:r>
      <w:r>
        <w:rPr>
          <w:rFonts w:ascii="仿宋_GB2312" w:hAnsi="宋体" w:eastAsia="仿宋_GB2312"/>
          <w:color w:val="000000"/>
          <w:sz w:val="32"/>
          <w:szCs w:val="32"/>
        </w:rPr>
        <w:t>2021</w:t>
      </w:r>
      <w:r>
        <w:rPr>
          <w:rFonts w:hint="eastAsia" w:ascii="仿宋_GB2312" w:hAnsi="宋体" w:eastAsia="仿宋_GB2312"/>
          <w:color w:val="000000"/>
          <w:sz w:val="32"/>
          <w:szCs w:val="32"/>
        </w:rPr>
        <w:t>年</w:t>
      </w:r>
      <w:r>
        <w:rPr>
          <w:rFonts w:ascii="仿宋_GB2312" w:hAnsi="宋体" w:eastAsia="仿宋_GB2312"/>
          <w:color w:val="000000"/>
          <w:sz w:val="32"/>
          <w:szCs w:val="32"/>
        </w:rPr>
        <w:t>7</w:t>
      </w:r>
      <w:r>
        <w:rPr>
          <w:rFonts w:hint="eastAsia" w:ascii="仿宋_GB2312" w:hAnsi="宋体" w:eastAsia="仿宋_GB2312"/>
          <w:color w:val="000000"/>
          <w:sz w:val="32"/>
          <w:szCs w:val="32"/>
        </w:rPr>
        <w:t>月</w:t>
      </w:r>
      <w:r>
        <w:rPr>
          <w:rFonts w:ascii="仿宋_GB2312" w:hAnsi="宋体" w:eastAsia="仿宋_GB2312"/>
          <w:color w:val="000000"/>
          <w:sz w:val="32"/>
          <w:szCs w:val="32"/>
        </w:rPr>
        <w:t>23</w:t>
      </w:r>
      <w:r>
        <w:rPr>
          <w:rFonts w:hint="eastAsia" w:ascii="仿宋_GB2312" w:hAnsi="宋体" w:eastAsia="仿宋_GB2312"/>
          <w:color w:val="000000"/>
          <w:sz w:val="32"/>
          <w:szCs w:val="32"/>
        </w:rPr>
        <w:t>日开展了第三批天府旅游名县候选县竞争性陈述，完成了《盐边县全域旅游发展规划》、《康养</w:t>
      </w:r>
      <w:r>
        <w:rPr>
          <w:rFonts w:ascii="仿宋_GB2312" w:hAnsi="宋体" w:eastAsia="仿宋_GB2312"/>
          <w:color w:val="000000"/>
          <w:sz w:val="32"/>
          <w:szCs w:val="32"/>
        </w:rPr>
        <w:t>+</w:t>
      </w:r>
      <w:r>
        <w:rPr>
          <w:rFonts w:hint="eastAsia" w:ascii="仿宋_GB2312" w:hAnsi="宋体" w:eastAsia="仿宋_GB2312"/>
          <w:color w:val="000000"/>
          <w:sz w:val="32"/>
          <w:szCs w:val="32"/>
        </w:rPr>
        <w:t>旅游产业发展规划》初稿。</w:t>
      </w:r>
    </w:p>
    <w:p>
      <w:pPr>
        <w:ind w:firstLine="640" w:firstLineChars="200"/>
        <w:rPr>
          <w:rFonts w:hint="eastAsia"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color w:val="000000"/>
          <w:sz w:val="32"/>
          <w:szCs w:val="32"/>
        </w:rPr>
        <w:t>有序推进昔格达村、古德村、大笮风旅游基地创建，完成创建资料申报。</w:t>
      </w:r>
      <w:r>
        <w:rPr>
          <w:rFonts w:hint="eastAsia" w:ascii="仿宋_GB2312" w:hAnsi="宋体" w:eastAsia="仿宋_GB2312"/>
          <w:sz w:val="32"/>
          <w:szCs w:val="32"/>
        </w:rPr>
        <w:t>加快红格国际运动康养</w:t>
      </w:r>
      <w:r>
        <w:rPr>
          <w:rFonts w:hint="eastAsia" w:ascii="仿宋_GB2312" w:eastAsia="仿宋_GB2312"/>
          <w:sz w:val="32"/>
          <w:szCs w:val="32"/>
        </w:rPr>
        <w:t>·</w:t>
      </w:r>
      <w:r>
        <w:rPr>
          <w:rFonts w:hint="eastAsia" w:ascii="仿宋_GB2312" w:hAnsi="宋体" w:eastAsia="仿宋_GB2312"/>
          <w:sz w:val="32"/>
          <w:szCs w:val="32"/>
        </w:rPr>
        <w:t>温泉度假区、中国二滩森林康养旅游度假区项目建设，</w:t>
      </w:r>
      <w:r>
        <w:rPr>
          <w:rFonts w:hint="eastAsia" w:ascii="仿宋_GB2312" w:hAnsi="宋体" w:eastAsia="仿宋_GB2312"/>
          <w:color w:val="000000"/>
          <w:sz w:val="32"/>
          <w:szCs w:val="32"/>
        </w:rPr>
        <w:t>推进康养旅居点中民宿、乡村酒店建设和改造提升</w:t>
      </w:r>
      <w:r>
        <w:rPr>
          <w:rFonts w:hint="eastAsia" w:ascii="仿宋_GB2312" w:hAnsi="宋体" w:eastAsia="仿宋_GB2312"/>
          <w:sz w:val="32"/>
          <w:szCs w:val="32"/>
        </w:rPr>
        <w:t>。</w:t>
      </w:r>
    </w:p>
    <w:p>
      <w:pPr>
        <w:pStyle w:val="2"/>
        <w:rPr>
          <w:rFonts w:hint="default" w:eastAsia="仿宋_GB2312"/>
          <w:b/>
          <w:bCs/>
          <w:lang w:val="en-US" w:eastAsia="zh-CN"/>
        </w:rPr>
      </w:pPr>
      <w:r>
        <w:rPr>
          <w:rFonts w:hint="eastAsia" w:ascii="仿宋_GB2312" w:hAnsi="宋体" w:eastAsia="仿宋_GB2312"/>
          <w:sz w:val="32"/>
          <w:szCs w:val="32"/>
          <w:lang w:val="en-US" w:eastAsia="zh-CN"/>
        </w:rPr>
        <w:t xml:space="preserve">    </w:t>
      </w:r>
      <w:r>
        <w:rPr>
          <w:rFonts w:hint="eastAsia" w:ascii="仿宋_GB2312" w:hAnsi="宋体" w:eastAsia="仿宋_GB2312"/>
          <w:b/>
          <w:bCs/>
          <w:sz w:val="32"/>
          <w:szCs w:val="32"/>
          <w:lang w:val="en-US" w:eastAsia="zh-CN"/>
        </w:rPr>
        <w:t>（二）公共文化服务体系建设</w:t>
      </w:r>
    </w:p>
    <w:p>
      <w:pPr>
        <w:ind w:firstLine="640" w:firstLineChars="200"/>
        <w:rPr>
          <w:rFonts w:ascii="仿宋_GB2312" w:eastAsia="仿宋_GB2312"/>
          <w:color w:val="000000"/>
          <w:sz w:val="32"/>
          <w:szCs w:val="32"/>
        </w:rPr>
      </w:pPr>
      <w:r>
        <w:rPr>
          <w:rFonts w:hint="eastAsia" w:ascii="仿宋_GB2312" w:hAnsi="宋体" w:eastAsia="仿宋_GB2312"/>
          <w:sz w:val="32"/>
          <w:szCs w:val="32"/>
          <w:lang w:val="en-US" w:eastAsia="zh-CN"/>
        </w:rPr>
        <w:t>1</w:t>
      </w:r>
      <w:r>
        <w:rPr>
          <w:rFonts w:ascii="仿宋_GB2312" w:hAnsi="宋体" w:eastAsia="仿宋_GB2312"/>
          <w:sz w:val="32"/>
          <w:szCs w:val="32"/>
        </w:rPr>
        <w:t>.</w:t>
      </w:r>
      <w:r>
        <w:rPr>
          <w:rFonts w:hint="eastAsia" w:ascii="仿宋_GB2312" w:hAnsi="宋体" w:eastAsia="仿宋_GB2312"/>
          <w:color w:val="000000"/>
          <w:sz w:val="32"/>
          <w:szCs w:val="32"/>
        </w:rPr>
        <w:t>持续提升公共文化及服务建设。督促指导乡（镇）综合文化站、村（社区）综合文化服务中心开展公共文化服务工作，确保正常运行。新建</w:t>
      </w:r>
      <w:r>
        <w:rPr>
          <w:rFonts w:ascii="仿宋_GB2312" w:hAnsi="宋体" w:eastAsia="仿宋_GB2312"/>
          <w:color w:val="000000"/>
          <w:sz w:val="32"/>
          <w:szCs w:val="32"/>
        </w:rPr>
        <w:t>5</w:t>
      </w:r>
      <w:r>
        <w:rPr>
          <w:rFonts w:hint="eastAsia" w:ascii="仿宋_GB2312" w:hAnsi="宋体" w:eastAsia="仿宋_GB2312"/>
          <w:color w:val="000000"/>
          <w:sz w:val="32"/>
          <w:szCs w:val="32"/>
        </w:rPr>
        <w:t>个</w:t>
      </w:r>
      <w:r>
        <w:rPr>
          <w:rFonts w:hint="eastAsia" w:ascii="仿宋_GB2312" w:hAnsi="宋体" w:eastAsia="仿宋_GB2312"/>
          <w:color w:val="000000"/>
          <w:kern w:val="0"/>
          <w:sz w:val="32"/>
          <w:szCs w:val="32"/>
        </w:rPr>
        <w:t>流动农家书屋</w:t>
      </w:r>
      <w:r>
        <w:rPr>
          <w:rFonts w:hint="eastAsia" w:ascii="仿宋_GB2312" w:eastAsia="仿宋_GB2312"/>
          <w:color w:val="000000"/>
          <w:kern w:val="0"/>
          <w:sz w:val="32"/>
          <w:szCs w:val="32"/>
        </w:rPr>
        <w:t>“</w:t>
      </w:r>
      <w:r>
        <w:rPr>
          <w:rFonts w:hint="eastAsia" w:ascii="仿宋_GB2312" w:hAnsi="宋体" w:eastAsia="仿宋_GB2312"/>
          <w:color w:val="000000"/>
          <w:sz w:val="32"/>
          <w:szCs w:val="32"/>
          <w:shd w:val="clear" w:color="auto" w:fill="FFFFFF"/>
        </w:rPr>
        <w:t>笮悦慧</w:t>
      </w:r>
      <w:r>
        <w:rPr>
          <w:rFonts w:hint="eastAsia" w:ascii="仿宋_GB2312" w:eastAsia="仿宋_GB2312"/>
          <w:color w:val="000000"/>
          <w:kern w:val="0"/>
          <w:sz w:val="32"/>
          <w:szCs w:val="32"/>
        </w:rPr>
        <w:t>”</w:t>
      </w:r>
      <w:r>
        <w:rPr>
          <w:rFonts w:hint="eastAsia" w:ascii="仿宋_GB2312" w:hAnsi="宋体" w:eastAsia="仿宋_GB2312"/>
          <w:color w:val="000000"/>
          <w:kern w:val="0"/>
          <w:sz w:val="32"/>
          <w:szCs w:val="32"/>
        </w:rPr>
        <w:t>，对昔格达村</w:t>
      </w:r>
      <w:r>
        <w:rPr>
          <w:rFonts w:hint="eastAsia" w:ascii="仿宋_GB2312" w:eastAsia="仿宋_GB2312"/>
          <w:color w:val="000000"/>
          <w:kern w:val="0"/>
          <w:sz w:val="32"/>
          <w:szCs w:val="32"/>
        </w:rPr>
        <w:t>“</w:t>
      </w:r>
      <w:r>
        <w:rPr>
          <w:rFonts w:hint="eastAsia" w:ascii="仿宋_GB2312" w:hAnsi="宋体" w:eastAsia="仿宋_GB2312"/>
          <w:color w:val="000000"/>
          <w:kern w:val="0"/>
          <w:sz w:val="32"/>
          <w:szCs w:val="32"/>
        </w:rPr>
        <w:t>惜书堂</w:t>
      </w:r>
      <w:r>
        <w:rPr>
          <w:rFonts w:hint="eastAsia" w:ascii="仿宋_GB2312" w:eastAsia="仿宋_GB2312"/>
          <w:color w:val="000000"/>
          <w:kern w:val="0"/>
          <w:sz w:val="32"/>
          <w:szCs w:val="32"/>
        </w:rPr>
        <w:t>”</w:t>
      </w:r>
      <w:r>
        <w:rPr>
          <w:rFonts w:hint="eastAsia" w:ascii="仿宋_GB2312" w:hAnsi="宋体" w:eastAsia="仿宋_GB2312"/>
          <w:color w:val="000000"/>
          <w:kern w:val="0"/>
          <w:sz w:val="32"/>
          <w:szCs w:val="32"/>
        </w:rPr>
        <w:t>农家书屋进行城市书屋示范打造。</w:t>
      </w:r>
    </w:p>
    <w:p>
      <w:pPr>
        <w:ind w:firstLine="480" w:firstLineChars="150"/>
        <w:rPr>
          <w:rFonts w:ascii="仿宋_GB2312" w:eastAsia="仿宋_GB2312"/>
          <w:color w:val="000000"/>
          <w:sz w:val="32"/>
          <w:szCs w:val="32"/>
        </w:rPr>
      </w:pPr>
      <w:r>
        <w:rPr>
          <w:rFonts w:hint="eastAsia" w:ascii="仿宋_GB2312" w:hAnsi="宋体" w:eastAsia="仿宋_GB2312"/>
          <w:color w:val="000000"/>
          <w:sz w:val="32"/>
          <w:szCs w:val="32"/>
          <w:lang w:val="en-US" w:eastAsia="zh-CN"/>
        </w:rPr>
        <w:t>2</w:t>
      </w:r>
      <w:r>
        <w:rPr>
          <w:rFonts w:ascii="仿宋_GB2312" w:hAnsi="宋体" w:eastAsia="仿宋_GB2312"/>
          <w:color w:val="000000"/>
          <w:sz w:val="32"/>
          <w:szCs w:val="32"/>
        </w:rPr>
        <w:t>.</w:t>
      </w:r>
      <w:r>
        <w:rPr>
          <w:rFonts w:hint="eastAsia" w:ascii="仿宋_GB2312" w:hAnsi="宋体" w:eastAsia="仿宋_GB2312"/>
          <w:color w:val="000000"/>
          <w:sz w:val="32"/>
          <w:szCs w:val="32"/>
        </w:rPr>
        <w:t>积极推进全省</w:t>
      </w:r>
      <w:r>
        <w:rPr>
          <w:rFonts w:ascii="仿宋_GB2312" w:hAnsi="宋体" w:eastAsia="仿宋_GB2312"/>
          <w:color w:val="000000"/>
          <w:sz w:val="32"/>
          <w:szCs w:val="32"/>
        </w:rPr>
        <w:t>30</w:t>
      </w:r>
      <w:r>
        <w:rPr>
          <w:rFonts w:hint="eastAsia" w:ascii="仿宋_GB2312" w:hAnsi="宋体" w:eastAsia="仿宋_GB2312"/>
          <w:color w:val="000000"/>
          <w:sz w:val="32"/>
          <w:szCs w:val="32"/>
        </w:rPr>
        <w:t>件民生实事广播电视运行维护，</w:t>
      </w:r>
      <w:r>
        <w:rPr>
          <w:rFonts w:hint="eastAsia" w:ascii="仿宋_GB2312" w:hAnsi="宋体" w:eastAsia="仿宋_GB2312"/>
          <w:bCs/>
          <w:color w:val="000000"/>
          <w:sz w:val="32"/>
          <w:szCs w:val="32"/>
        </w:rPr>
        <w:t>确保全县广播</w:t>
      </w:r>
      <w:r>
        <w:rPr>
          <w:rFonts w:hint="eastAsia" w:ascii="仿宋_GB2312" w:eastAsia="仿宋_GB2312"/>
          <w:bCs/>
          <w:color w:val="000000"/>
          <w:sz w:val="32"/>
          <w:szCs w:val="32"/>
        </w:rPr>
        <w:t>“</w:t>
      </w:r>
      <w:r>
        <w:rPr>
          <w:rFonts w:hint="eastAsia" w:ascii="仿宋_GB2312" w:hAnsi="宋体" w:eastAsia="仿宋_GB2312"/>
          <w:bCs/>
          <w:color w:val="000000"/>
          <w:sz w:val="32"/>
          <w:szCs w:val="32"/>
        </w:rPr>
        <w:t>村村响</w:t>
      </w:r>
      <w:r>
        <w:rPr>
          <w:rFonts w:hint="eastAsia" w:ascii="仿宋_GB2312" w:eastAsia="仿宋_GB2312"/>
          <w:bCs/>
          <w:color w:val="000000"/>
          <w:sz w:val="32"/>
          <w:szCs w:val="32"/>
        </w:rPr>
        <w:t>”</w:t>
      </w:r>
      <w:r>
        <w:rPr>
          <w:rFonts w:hint="eastAsia" w:ascii="仿宋_GB2312" w:hAnsi="宋体" w:eastAsia="仿宋_GB2312"/>
          <w:bCs/>
          <w:color w:val="000000"/>
          <w:sz w:val="32"/>
          <w:szCs w:val="32"/>
        </w:rPr>
        <w:t>电视</w:t>
      </w:r>
      <w:r>
        <w:rPr>
          <w:rFonts w:hint="eastAsia" w:ascii="仿宋_GB2312" w:eastAsia="仿宋_GB2312"/>
          <w:bCs/>
          <w:color w:val="000000"/>
          <w:sz w:val="32"/>
          <w:szCs w:val="32"/>
        </w:rPr>
        <w:t>“</w:t>
      </w:r>
      <w:r>
        <w:rPr>
          <w:rFonts w:hint="eastAsia" w:ascii="仿宋_GB2312" w:hAnsi="宋体" w:eastAsia="仿宋_GB2312"/>
          <w:bCs/>
          <w:color w:val="000000"/>
          <w:sz w:val="32"/>
          <w:szCs w:val="32"/>
        </w:rPr>
        <w:t>户户通</w:t>
      </w:r>
      <w:r>
        <w:rPr>
          <w:rFonts w:hint="eastAsia" w:ascii="仿宋_GB2312" w:eastAsia="仿宋_GB2312"/>
          <w:bCs/>
          <w:color w:val="000000"/>
          <w:sz w:val="32"/>
          <w:szCs w:val="32"/>
        </w:rPr>
        <w:t>”</w:t>
      </w:r>
      <w:r>
        <w:rPr>
          <w:rFonts w:hint="eastAsia" w:ascii="仿宋_GB2312" w:hAnsi="宋体" w:eastAsia="仿宋_GB2312"/>
          <w:bCs/>
          <w:color w:val="000000"/>
          <w:sz w:val="32"/>
          <w:szCs w:val="32"/>
        </w:rPr>
        <w:t>升级后正常运行</w:t>
      </w:r>
      <w:r>
        <w:rPr>
          <w:rFonts w:hint="eastAsia" w:ascii="仿宋_GB2312" w:hAnsi="宋体" w:eastAsia="仿宋_GB2312"/>
          <w:color w:val="000000"/>
          <w:sz w:val="32"/>
          <w:szCs w:val="32"/>
        </w:rPr>
        <w:t>。</w:t>
      </w:r>
      <w:r>
        <w:rPr>
          <w:rFonts w:ascii="仿宋_GB2312" w:hAnsi="宋体" w:eastAsia="仿宋_GB2312"/>
          <w:color w:val="000000"/>
          <w:sz w:val="32"/>
          <w:szCs w:val="32"/>
        </w:rPr>
        <w:t xml:space="preserve">         </w:t>
      </w:r>
      <w:r>
        <w:rPr>
          <w:rFonts w:hint="eastAsia" w:ascii="仿宋_GB2312" w:hAnsi="宋体" w:eastAsia="仿宋_GB2312"/>
          <w:color w:val="000000"/>
          <w:sz w:val="32"/>
          <w:szCs w:val="32"/>
        </w:rPr>
        <w:t>新建二滩柏枝码头旅游厕所、金河村旅游厕所，完成红格昔格达游客中心旅游厕所并对外开放。</w:t>
      </w:r>
    </w:p>
    <w:p>
      <w:pPr>
        <w:ind w:firstLine="640" w:firstLineChars="200"/>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val="en-US" w:eastAsia="zh-CN"/>
        </w:rPr>
        <w:t>3</w:t>
      </w:r>
      <w:r>
        <w:rPr>
          <w:rFonts w:ascii="仿宋_GB2312" w:hAnsi="宋体" w:eastAsia="仿宋_GB2312"/>
          <w:color w:val="000000"/>
          <w:sz w:val="32"/>
          <w:szCs w:val="32"/>
        </w:rPr>
        <w:t>.</w:t>
      </w:r>
      <w:r>
        <w:rPr>
          <w:rFonts w:hint="eastAsia" w:ascii="仿宋_GB2312" w:hAnsi="宋体" w:eastAsia="仿宋_GB2312"/>
          <w:color w:val="000000"/>
          <w:sz w:val="32"/>
          <w:szCs w:val="32"/>
        </w:rPr>
        <w:t>加强艺术创作，创新非遗传承，深入开展庆祝中国共产党成立</w:t>
      </w:r>
      <w:r>
        <w:rPr>
          <w:rFonts w:ascii="仿宋_GB2312" w:hAnsi="宋体" w:eastAsia="仿宋_GB2312"/>
          <w:color w:val="000000"/>
          <w:sz w:val="32"/>
          <w:szCs w:val="32"/>
        </w:rPr>
        <w:t>100</w:t>
      </w:r>
      <w:r>
        <w:rPr>
          <w:rFonts w:hint="eastAsia" w:ascii="仿宋_GB2312" w:hAnsi="宋体" w:eastAsia="仿宋_GB2312"/>
          <w:color w:val="000000"/>
          <w:sz w:val="32"/>
          <w:szCs w:val="32"/>
        </w:rPr>
        <w:t>周年群众文化系列等活动。创作出《金芒果》、《水墨二滩》、《盐边村寨情歌多》等</w:t>
      </w:r>
      <w:r>
        <w:rPr>
          <w:rFonts w:ascii="仿宋_GB2312" w:hAnsi="宋体" w:eastAsia="仿宋_GB2312"/>
          <w:color w:val="000000"/>
          <w:sz w:val="32"/>
          <w:szCs w:val="32"/>
        </w:rPr>
        <w:t>10</w:t>
      </w:r>
      <w:r>
        <w:rPr>
          <w:rFonts w:hint="eastAsia" w:ascii="仿宋_GB2312" w:hAnsi="宋体" w:eastAsia="仿宋_GB2312"/>
          <w:color w:val="000000"/>
          <w:sz w:val="32"/>
          <w:szCs w:val="32"/>
        </w:rPr>
        <w:t>余首歌曲；积极组织开展</w:t>
      </w:r>
      <w:r>
        <w:rPr>
          <w:rFonts w:hint="eastAsia" w:ascii="仿宋_GB2312" w:hAnsi="宋体" w:eastAsia="仿宋_GB2312"/>
          <w:color w:val="000000"/>
          <w:kern w:val="0"/>
          <w:sz w:val="32"/>
          <w:szCs w:val="32"/>
        </w:rPr>
        <w:t>傈僳族阔时节、苗族绷鼓节等少数民族节庆活动</w:t>
      </w:r>
      <w:r>
        <w:rPr>
          <w:rFonts w:hint="eastAsia" w:ascii="仿宋_GB2312" w:hAnsi="宋体" w:eastAsia="仿宋_GB2312"/>
          <w:color w:val="000000"/>
          <w:sz w:val="32"/>
          <w:szCs w:val="32"/>
        </w:rPr>
        <w:t>，精心组织举办庆祝中国共产党成立</w:t>
      </w:r>
      <w:r>
        <w:rPr>
          <w:rFonts w:ascii="仿宋_GB2312" w:hAnsi="宋体" w:eastAsia="仿宋_GB2312"/>
          <w:color w:val="000000"/>
          <w:sz w:val="32"/>
          <w:szCs w:val="32"/>
        </w:rPr>
        <w:t>100</w:t>
      </w:r>
      <w:r>
        <w:rPr>
          <w:rFonts w:hint="eastAsia" w:ascii="仿宋_GB2312" w:hAnsi="宋体" w:eastAsia="仿宋_GB2312"/>
          <w:color w:val="000000"/>
          <w:sz w:val="32"/>
          <w:szCs w:val="32"/>
        </w:rPr>
        <w:t>周年系列文化活动，</w:t>
      </w:r>
      <w:r>
        <w:rPr>
          <w:rFonts w:hint="eastAsia" w:ascii="仿宋_GB2312" w:hAnsi="宋体" w:eastAsia="仿宋_GB2312"/>
          <w:bCs/>
          <w:color w:val="000000"/>
          <w:kern w:val="0"/>
          <w:sz w:val="32"/>
          <w:szCs w:val="32"/>
        </w:rPr>
        <w:t>积极筹备滋味盐边</w:t>
      </w:r>
      <w:r>
        <w:rPr>
          <w:rFonts w:ascii="仿宋_GB2312" w:hAnsi="宋体" w:eastAsia="仿宋_GB2312"/>
          <w:bCs/>
          <w:color w:val="000000"/>
          <w:kern w:val="0"/>
          <w:sz w:val="32"/>
          <w:szCs w:val="32"/>
        </w:rPr>
        <w:t>.2021</w:t>
      </w:r>
      <w:r>
        <w:rPr>
          <w:rFonts w:hint="eastAsia" w:ascii="仿宋_GB2312" w:hAnsi="宋体" w:eastAsia="仿宋_GB2312"/>
          <w:bCs/>
          <w:color w:val="000000"/>
          <w:kern w:val="0"/>
          <w:sz w:val="32"/>
          <w:szCs w:val="32"/>
        </w:rPr>
        <w:t>年盐边美食节及盐边春晚</w:t>
      </w:r>
      <w:r>
        <w:rPr>
          <w:rFonts w:hint="eastAsia" w:ascii="仿宋_GB2312" w:hAnsi="宋体" w:eastAsia="仿宋_GB2312"/>
          <w:color w:val="000000"/>
          <w:sz w:val="32"/>
          <w:szCs w:val="32"/>
          <w:lang w:eastAsia="zh-CN"/>
        </w:rPr>
        <w:t>。</w:t>
      </w:r>
    </w:p>
    <w:p>
      <w:pPr>
        <w:pStyle w:val="2"/>
        <w:rPr>
          <w:rFonts w:hint="default" w:ascii="仿宋_GB2312" w:hAnsi="宋体" w:eastAsia="仿宋_GB2312" w:cs="Times New Roman"/>
          <w:b/>
          <w:bCs w:val="0"/>
          <w:color w:val="000000"/>
          <w:kern w:val="0"/>
          <w:sz w:val="32"/>
          <w:szCs w:val="32"/>
          <w:lang w:val="en-US" w:eastAsia="zh-CN" w:bidi="ar-SA"/>
        </w:rPr>
      </w:pPr>
      <w:r>
        <w:rPr>
          <w:rFonts w:hint="eastAsia"/>
          <w:lang w:val="en-US" w:eastAsia="zh-CN"/>
        </w:rPr>
        <w:t xml:space="preserve">    </w:t>
      </w:r>
      <w:r>
        <w:rPr>
          <w:rFonts w:hint="eastAsia" w:ascii="仿宋_GB2312" w:hAnsi="宋体" w:eastAsia="仿宋_GB2312" w:cs="Times New Roman"/>
          <w:b/>
          <w:bCs w:val="0"/>
          <w:color w:val="000000"/>
          <w:kern w:val="0"/>
          <w:sz w:val="32"/>
          <w:szCs w:val="32"/>
          <w:lang w:val="en-US" w:eastAsia="zh-CN" w:bidi="ar-SA"/>
        </w:rPr>
        <w:t xml:space="preserve"> （三）宣传营销</w:t>
      </w: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1</w:t>
      </w:r>
      <w:r>
        <w:rPr>
          <w:rFonts w:ascii="仿宋_GB2312" w:hAnsi="宋体" w:eastAsia="仿宋_GB2312"/>
          <w:color w:val="000000"/>
          <w:sz w:val="32"/>
          <w:szCs w:val="32"/>
        </w:rPr>
        <w:t>.</w:t>
      </w:r>
      <w:r>
        <w:rPr>
          <w:rFonts w:hint="eastAsia" w:ascii="仿宋_GB2312" w:hAnsi="宋体" w:eastAsia="仿宋_GB2312"/>
          <w:color w:val="000000"/>
          <w:sz w:val="32"/>
          <w:szCs w:val="32"/>
        </w:rPr>
        <w:t>创新宣传营销方式，做好招商引资工作。</w:t>
      </w:r>
      <w:r>
        <w:rPr>
          <w:rFonts w:hint="eastAsia" w:ascii="仿宋_GB2312" w:hAnsi="宋体" w:eastAsia="仿宋_GB2312"/>
          <w:color w:val="000000"/>
          <w:sz w:val="32"/>
          <w:szCs w:val="32"/>
          <w:lang w:eastAsia="zh-CN"/>
        </w:rPr>
        <w:t>今年</w:t>
      </w:r>
      <w:r>
        <w:rPr>
          <w:rFonts w:hint="eastAsia" w:ascii="仿宋_GB2312" w:hAnsi="宋体" w:eastAsia="仿宋_GB2312"/>
          <w:color w:val="000000"/>
          <w:sz w:val="32"/>
          <w:szCs w:val="32"/>
        </w:rPr>
        <w:t>与移动盐边分公司签订大数据营销、彩信营销合作协议，全年向进入盐边县域内的游客发送宣传短信</w:t>
      </w:r>
      <w:r>
        <w:rPr>
          <w:rFonts w:ascii="仿宋_GB2312" w:hAnsi="宋体" w:eastAsia="仿宋_GB2312"/>
          <w:color w:val="000000"/>
          <w:sz w:val="32"/>
          <w:szCs w:val="32"/>
        </w:rPr>
        <w:t>125</w:t>
      </w:r>
      <w:r>
        <w:rPr>
          <w:rFonts w:hint="eastAsia" w:ascii="仿宋_GB2312" w:hAnsi="宋体" w:eastAsia="仿宋_GB2312"/>
          <w:color w:val="000000"/>
          <w:sz w:val="32"/>
          <w:szCs w:val="32"/>
        </w:rPr>
        <w:t>万余条，彩信</w:t>
      </w:r>
      <w:r>
        <w:rPr>
          <w:rFonts w:ascii="仿宋_GB2312" w:hAnsi="宋体" w:eastAsia="仿宋_GB2312"/>
          <w:color w:val="000000"/>
          <w:sz w:val="32"/>
          <w:szCs w:val="32"/>
        </w:rPr>
        <w:t>66</w:t>
      </w:r>
      <w:r>
        <w:rPr>
          <w:rFonts w:hint="eastAsia" w:ascii="仿宋_GB2312" w:hAnsi="宋体" w:eastAsia="仿宋_GB2312"/>
          <w:color w:val="000000"/>
          <w:sz w:val="32"/>
          <w:szCs w:val="32"/>
        </w:rPr>
        <w:t>万余条。</w:t>
      </w: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2.</w:t>
      </w:r>
      <w:r>
        <w:rPr>
          <w:rFonts w:hint="eastAsia" w:ascii="仿宋_GB2312" w:hAnsi="宋体" w:eastAsia="仿宋_GB2312"/>
          <w:color w:val="000000"/>
          <w:sz w:val="32"/>
          <w:szCs w:val="32"/>
        </w:rPr>
        <w:t>到省文旅厅</w:t>
      </w:r>
      <w:r>
        <w:rPr>
          <w:rFonts w:hint="eastAsia" w:ascii="仿宋_GB2312" w:eastAsia="仿宋_GB2312"/>
          <w:color w:val="000000"/>
          <w:sz w:val="32"/>
          <w:szCs w:val="32"/>
        </w:rPr>
        <w:t>“</w:t>
      </w:r>
      <w:r>
        <w:rPr>
          <w:rFonts w:hint="eastAsia" w:ascii="仿宋_GB2312" w:hAnsi="宋体" w:eastAsia="仿宋_GB2312"/>
          <w:color w:val="000000"/>
          <w:sz w:val="32"/>
          <w:szCs w:val="32"/>
        </w:rPr>
        <w:t>智游天府</w:t>
      </w:r>
      <w:r>
        <w:rPr>
          <w:rFonts w:hint="eastAsia" w:ascii="仿宋_GB2312" w:eastAsia="仿宋_GB2312"/>
          <w:color w:val="000000"/>
          <w:sz w:val="32"/>
          <w:szCs w:val="32"/>
        </w:rPr>
        <w:t>”</w:t>
      </w:r>
      <w:r>
        <w:rPr>
          <w:rFonts w:hint="eastAsia" w:ascii="仿宋_GB2312" w:hAnsi="宋体" w:eastAsia="仿宋_GB2312"/>
          <w:color w:val="000000"/>
          <w:sz w:val="32"/>
          <w:szCs w:val="32"/>
        </w:rPr>
        <w:t>平台直播红格省级旅游度假区；参加成都至攀枝花</w:t>
      </w:r>
      <w:r>
        <w:rPr>
          <w:rFonts w:hint="eastAsia" w:ascii="仿宋_GB2312" w:eastAsia="仿宋_GB2312"/>
          <w:color w:val="000000"/>
          <w:sz w:val="32"/>
          <w:szCs w:val="32"/>
        </w:rPr>
        <w:t>“</w:t>
      </w:r>
      <w:r>
        <w:rPr>
          <w:rFonts w:hint="eastAsia" w:ascii="仿宋_GB2312" w:hAnsi="宋体" w:eastAsia="仿宋_GB2312"/>
          <w:color w:val="000000"/>
          <w:sz w:val="32"/>
          <w:szCs w:val="32"/>
        </w:rPr>
        <w:t>熊猫专列</w:t>
      </w:r>
      <w:r>
        <w:rPr>
          <w:rFonts w:hint="eastAsia" w:ascii="仿宋_GB2312" w:eastAsia="仿宋_GB2312"/>
          <w:color w:val="000000"/>
          <w:sz w:val="32"/>
          <w:szCs w:val="32"/>
        </w:rPr>
        <w:t>”</w:t>
      </w:r>
      <w:r>
        <w:rPr>
          <w:rFonts w:hint="eastAsia" w:ascii="仿宋_GB2312" w:hAnsi="宋体" w:eastAsia="仿宋_GB2312"/>
          <w:color w:val="000000"/>
          <w:sz w:val="32"/>
          <w:szCs w:val="32"/>
        </w:rPr>
        <w:t>首发仪式，邀请</w:t>
      </w:r>
      <w:r>
        <w:rPr>
          <w:rFonts w:hint="eastAsia" w:ascii="仿宋_GB2312" w:eastAsia="仿宋_GB2312"/>
          <w:color w:val="000000"/>
          <w:sz w:val="32"/>
          <w:szCs w:val="32"/>
        </w:rPr>
        <w:t>“</w:t>
      </w:r>
      <w:r>
        <w:rPr>
          <w:rFonts w:hint="eastAsia" w:ascii="仿宋_GB2312" w:hAnsi="宋体" w:eastAsia="仿宋_GB2312"/>
          <w:color w:val="000000"/>
          <w:sz w:val="32"/>
          <w:szCs w:val="32"/>
        </w:rPr>
        <w:t>小红书</w:t>
      </w:r>
      <w:r>
        <w:rPr>
          <w:rFonts w:hint="eastAsia" w:ascii="仿宋_GB2312" w:eastAsia="仿宋_GB2312"/>
          <w:color w:val="000000"/>
          <w:sz w:val="32"/>
          <w:szCs w:val="32"/>
        </w:rPr>
        <w:t>”</w:t>
      </w:r>
      <w:r>
        <w:rPr>
          <w:rFonts w:hint="eastAsia" w:ascii="仿宋_GB2312" w:hAnsi="宋体" w:eastAsia="仿宋_GB2312"/>
          <w:color w:val="000000"/>
          <w:sz w:val="32"/>
          <w:szCs w:val="32"/>
        </w:rPr>
        <w:t>网红打卡宣传昔格达、太阳湖等景区景点。</w:t>
      </w: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3.</w:t>
      </w:r>
      <w:r>
        <w:rPr>
          <w:rFonts w:hint="eastAsia" w:ascii="仿宋_GB2312" w:hAnsi="宋体" w:eastAsia="仿宋_GB2312"/>
          <w:color w:val="000000"/>
          <w:sz w:val="32"/>
          <w:szCs w:val="32"/>
        </w:rPr>
        <w:t>打造</w:t>
      </w:r>
      <w:r>
        <w:rPr>
          <w:rFonts w:hint="eastAsia" w:ascii="仿宋_GB2312" w:eastAsia="仿宋_GB2312"/>
          <w:color w:val="000000"/>
          <w:sz w:val="32"/>
          <w:szCs w:val="32"/>
        </w:rPr>
        <w:t>“</w:t>
      </w:r>
      <w:r>
        <w:rPr>
          <w:rFonts w:hint="eastAsia" w:ascii="仿宋_GB2312" w:hAnsi="宋体" w:eastAsia="仿宋_GB2312"/>
          <w:color w:val="000000"/>
          <w:sz w:val="32"/>
          <w:szCs w:val="32"/>
        </w:rPr>
        <w:t>盐边味道</w:t>
      </w:r>
      <w:r>
        <w:rPr>
          <w:rFonts w:hint="eastAsia" w:ascii="仿宋_GB2312" w:eastAsia="仿宋_GB2312"/>
          <w:color w:val="000000"/>
          <w:sz w:val="32"/>
          <w:szCs w:val="32"/>
        </w:rPr>
        <w:t>”</w:t>
      </w:r>
      <w:r>
        <w:rPr>
          <w:rFonts w:hint="eastAsia" w:ascii="仿宋_GB2312" w:hAnsi="宋体" w:eastAsia="仿宋_GB2312"/>
          <w:color w:val="000000"/>
          <w:sz w:val="32"/>
          <w:szCs w:val="32"/>
        </w:rPr>
        <w:t>品牌，设计</w:t>
      </w:r>
      <w:r>
        <w:rPr>
          <w:rFonts w:ascii="仿宋_GB2312" w:hAnsi="宋体" w:eastAsia="仿宋_GB2312"/>
          <w:color w:val="000000"/>
          <w:sz w:val="32"/>
          <w:szCs w:val="32"/>
        </w:rPr>
        <w:t xml:space="preserve"> </w:t>
      </w:r>
      <w:r>
        <w:rPr>
          <w:rFonts w:hint="eastAsia" w:ascii="仿宋_GB2312" w:hAnsi="宋体" w:eastAsia="仿宋_GB2312"/>
          <w:color w:val="000000"/>
          <w:sz w:val="32"/>
          <w:szCs w:val="32"/>
        </w:rPr>
        <w:t>“盐边味道</w:t>
      </w:r>
      <w:r>
        <w:rPr>
          <w:rFonts w:hint="eastAsia" w:ascii="仿宋_GB2312" w:eastAsia="仿宋_GB2312"/>
          <w:color w:val="000000"/>
          <w:sz w:val="32"/>
          <w:szCs w:val="32"/>
        </w:rPr>
        <w:t>”</w:t>
      </w:r>
      <w:r>
        <w:rPr>
          <w:rFonts w:ascii="仿宋_GB2312" w:hAnsi="宋体" w:eastAsia="仿宋_GB2312"/>
          <w:color w:val="000000"/>
          <w:sz w:val="32"/>
          <w:szCs w:val="32"/>
        </w:rPr>
        <w:t>logo</w:t>
      </w:r>
      <w:r>
        <w:rPr>
          <w:rFonts w:hint="eastAsia" w:ascii="仿宋_GB2312" w:hAnsi="宋体" w:eastAsia="仿宋_GB2312"/>
          <w:color w:val="000000"/>
          <w:sz w:val="32"/>
          <w:szCs w:val="32"/>
        </w:rPr>
        <w:t>，进行首批盐边餐饮名店提升改造，推出</w:t>
      </w:r>
      <w:r>
        <w:rPr>
          <w:rFonts w:ascii="仿宋_GB2312" w:hAnsi="宋体" w:eastAsia="仿宋_GB2312"/>
          <w:color w:val="000000"/>
          <w:sz w:val="32"/>
          <w:szCs w:val="32"/>
        </w:rPr>
        <w:t>4</w:t>
      </w:r>
      <w:r>
        <w:rPr>
          <w:rFonts w:hint="eastAsia" w:ascii="仿宋_GB2312" w:hAnsi="宋体" w:eastAsia="仿宋_GB2312"/>
          <w:color w:val="000000"/>
          <w:sz w:val="32"/>
          <w:szCs w:val="32"/>
        </w:rPr>
        <w:t>条美食体验线路，并通过攀枝花手机台等线上平台及相关线下平台进行宣传推介；塑造</w:t>
      </w:r>
      <w:r>
        <w:rPr>
          <w:rFonts w:hint="eastAsia" w:ascii="仿宋_GB2312" w:eastAsia="仿宋_GB2312"/>
          <w:color w:val="000000"/>
          <w:sz w:val="32"/>
          <w:szCs w:val="32"/>
        </w:rPr>
        <w:t>“</w:t>
      </w:r>
      <w:r>
        <w:rPr>
          <w:rFonts w:hint="eastAsia" w:ascii="仿宋_GB2312" w:hAnsi="宋体" w:eastAsia="仿宋_GB2312"/>
          <w:color w:val="000000"/>
          <w:sz w:val="32"/>
          <w:szCs w:val="32"/>
        </w:rPr>
        <w:t>文创</w:t>
      </w:r>
      <w:r>
        <w:rPr>
          <w:rFonts w:hint="eastAsia" w:ascii="仿宋_GB2312" w:eastAsia="仿宋_GB2312"/>
          <w:color w:val="000000"/>
          <w:sz w:val="32"/>
          <w:szCs w:val="32"/>
        </w:rPr>
        <w:t>”</w:t>
      </w:r>
      <w:r>
        <w:rPr>
          <w:rFonts w:hint="eastAsia" w:ascii="仿宋_GB2312" w:hAnsi="宋体" w:eastAsia="仿宋_GB2312"/>
          <w:color w:val="000000"/>
          <w:sz w:val="32"/>
          <w:szCs w:val="32"/>
        </w:rPr>
        <w:t>品牌，积极开发营销个性化</w:t>
      </w:r>
      <w:r>
        <w:rPr>
          <w:rFonts w:hint="eastAsia" w:ascii="仿宋_GB2312" w:eastAsia="仿宋_GB2312"/>
          <w:color w:val="000000"/>
          <w:sz w:val="32"/>
          <w:szCs w:val="32"/>
        </w:rPr>
        <w:t>“</w:t>
      </w:r>
      <w:r>
        <w:rPr>
          <w:rFonts w:hint="eastAsia" w:ascii="仿宋_GB2312" w:hAnsi="宋体" w:eastAsia="仿宋_GB2312"/>
          <w:color w:val="000000"/>
          <w:sz w:val="32"/>
          <w:szCs w:val="32"/>
        </w:rPr>
        <w:t>伴手礼</w:t>
      </w:r>
      <w:r>
        <w:rPr>
          <w:rFonts w:hint="eastAsia" w:ascii="仿宋_GB2312" w:eastAsia="仿宋_GB2312"/>
          <w:color w:val="000000"/>
          <w:sz w:val="32"/>
          <w:szCs w:val="32"/>
        </w:rPr>
        <w:t>”</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 xml:space="preserve">                  精</w:t>
      </w:r>
      <w:r>
        <w:rPr>
          <w:rFonts w:hint="eastAsia" w:ascii="仿宋_GB2312" w:hAnsi="宋体" w:eastAsia="仿宋_GB2312"/>
          <w:color w:val="000000"/>
          <w:sz w:val="32"/>
          <w:szCs w:val="32"/>
        </w:rPr>
        <w:t>心组织攀枝花市第三届清凉夏季暨</w:t>
      </w:r>
      <w:r>
        <w:rPr>
          <w:rFonts w:hint="eastAsia" w:ascii="仿宋_GB2312" w:eastAsia="仿宋_GB2312"/>
          <w:color w:val="000000"/>
          <w:sz w:val="32"/>
          <w:szCs w:val="32"/>
        </w:rPr>
        <w:t>“</w:t>
      </w:r>
      <w:r>
        <w:rPr>
          <w:rFonts w:hint="eastAsia" w:ascii="仿宋_GB2312" w:hAnsi="宋体" w:eastAsia="仿宋_GB2312"/>
          <w:color w:val="000000"/>
          <w:sz w:val="32"/>
          <w:szCs w:val="32"/>
        </w:rPr>
        <w:t>寻觅山水，滋味盐边</w:t>
      </w:r>
      <w:r>
        <w:rPr>
          <w:rFonts w:hint="eastAsia" w:ascii="仿宋_GB2312" w:eastAsia="仿宋_GB2312"/>
          <w:color w:val="000000"/>
          <w:sz w:val="32"/>
          <w:szCs w:val="32"/>
        </w:rPr>
        <w:t>”</w:t>
      </w:r>
      <w:r>
        <w:rPr>
          <w:rFonts w:hint="eastAsia" w:ascii="仿宋_GB2312" w:hAnsi="宋体" w:eastAsia="仿宋_GB2312"/>
          <w:color w:val="000000"/>
          <w:sz w:val="32"/>
          <w:szCs w:val="32"/>
        </w:rPr>
        <w:t>活动启动仪式</w:t>
      </w:r>
      <w:r>
        <w:rPr>
          <w:rFonts w:hint="eastAsia" w:ascii="仿宋_GB2312" w:hAnsi="宋体" w:eastAsia="仿宋_GB2312"/>
          <w:color w:val="000000"/>
          <w:kern w:val="0"/>
          <w:sz w:val="32"/>
          <w:szCs w:val="32"/>
        </w:rPr>
        <w:t>及</w:t>
      </w:r>
      <w:r>
        <w:rPr>
          <w:rFonts w:hint="eastAsia" w:ascii="仿宋_GB2312" w:eastAsia="仿宋_GB2312"/>
          <w:bCs/>
          <w:color w:val="000000"/>
          <w:kern w:val="0"/>
          <w:sz w:val="32"/>
          <w:szCs w:val="32"/>
        </w:rPr>
        <w:t>“</w:t>
      </w:r>
      <w:r>
        <w:rPr>
          <w:rFonts w:hint="eastAsia" w:ascii="仿宋_GB2312" w:hAnsi="宋体" w:eastAsia="仿宋_GB2312"/>
          <w:bCs/>
          <w:color w:val="000000"/>
          <w:kern w:val="0"/>
          <w:sz w:val="32"/>
          <w:szCs w:val="32"/>
        </w:rPr>
        <w:t>寻觅山水</w:t>
      </w:r>
      <w:r>
        <w:rPr>
          <w:rFonts w:ascii="仿宋_GB2312" w:hAnsi="宋体" w:eastAsia="仿宋_GB2312"/>
          <w:bCs/>
          <w:color w:val="000000"/>
          <w:kern w:val="0"/>
          <w:sz w:val="32"/>
          <w:szCs w:val="32"/>
        </w:rPr>
        <w:t xml:space="preserve"> </w:t>
      </w:r>
      <w:r>
        <w:rPr>
          <w:rFonts w:hint="eastAsia" w:ascii="仿宋_GB2312" w:hAnsi="宋体" w:eastAsia="仿宋_GB2312"/>
          <w:bCs/>
          <w:color w:val="000000"/>
          <w:kern w:val="0"/>
          <w:sz w:val="32"/>
          <w:szCs w:val="32"/>
        </w:rPr>
        <w:t>滋味盐边</w:t>
      </w:r>
      <w:r>
        <w:rPr>
          <w:rFonts w:hint="eastAsia" w:ascii="仿宋_GB2312" w:eastAsia="仿宋_GB2312"/>
          <w:bCs/>
          <w:color w:val="000000"/>
          <w:kern w:val="0"/>
          <w:sz w:val="32"/>
          <w:szCs w:val="32"/>
        </w:rPr>
        <w:t>”</w:t>
      </w:r>
      <w:r>
        <w:rPr>
          <w:rFonts w:hint="eastAsia" w:ascii="仿宋_GB2312" w:hAnsi="宋体" w:eastAsia="仿宋_GB2312"/>
          <w:bCs/>
          <w:color w:val="000000"/>
          <w:kern w:val="0"/>
          <w:sz w:val="32"/>
          <w:szCs w:val="32"/>
        </w:rPr>
        <w:t>城市品牌推介活动，完成</w:t>
      </w:r>
      <w:r>
        <w:rPr>
          <w:rFonts w:hint="eastAsia" w:ascii="仿宋_GB2312" w:hAnsi="宋体" w:eastAsia="仿宋_GB2312"/>
          <w:color w:val="000000"/>
          <w:sz w:val="32"/>
          <w:szCs w:val="32"/>
        </w:rPr>
        <w:t>《盐边旅游指南》《红格手绘地图》的编印。</w:t>
      </w:r>
    </w:p>
    <w:p>
      <w:pPr>
        <w:pStyle w:val="2"/>
        <w:rPr>
          <w:rFonts w:hint="default" w:eastAsia="仿宋_GB2312"/>
          <w:b/>
          <w:bCs/>
          <w:lang w:val="en-US" w:eastAsia="zh-CN"/>
        </w:rPr>
      </w:pPr>
      <w:r>
        <w:rPr>
          <w:rFonts w:hint="eastAsia" w:ascii="仿宋_GB2312" w:hAnsi="宋体" w:eastAsia="仿宋_GB2312"/>
          <w:color w:val="000000"/>
          <w:sz w:val="32"/>
          <w:szCs w:val="32"/>
          <w:lang w:val="en-US" w:eastAsia="zh-CN"/>
        </w:rPr>
        <w:t xml:space="preserve">    </w:t>
      </w:r>
      <w:r>
        <w:rPr>
          <w:rFonts w:hint="eastAsia" w:ascii="仿宋_GB2312" w:hAnsi="宋体" w:eastAsia="仿宋_GB2312"/>
          <w:b/>
          <w:bCs/>
          <w:color w:val="000000"/>
          <w:sz w:val="32"/>
          <w:szCs w:val="32"/>
          <w:lang w:val="en-US" w:eastAsia="zh-CN"/>
        </w:rPr>
        <w:t>（四）文旅市场执法</w:t>
      </w:r>
    </w:p>
    <w:p>
      <w:pPr>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lang w:eastAsia="zh-CN"/>
        </w:rPr>
        <w:t>加</w:t>
      </w:r>
      <w:r>
        <w:rPr>
          <w:rFonts w:hint="eastAsia" w:ascii="仿宋_GB2312" w:hAnsi="宋体" w:eastAsia="仿宋_GB2312"/>
          <w:color w:val="000000"/>
          <w:sz w:val="32"/>
          <w:szCs w:val="32"/>
        </w:rPr>
        <w:t>强化文旅市场监督管理。截止</w:t>
      </w:r>
      <w:r>
        <w:rPr>
          <w:rFonts w:ascii="仿宋_GB2312" w:hAnsi="宋体" w:eastAsia="仿宋_GB2312"/>
          <w:color w:val="000000"/>
          <w:sz w:val="32"/>
          <w:szCs w:val="32"/>
        </w:rPr>
        <w:t>12</w:t>
      </w:r>
      <w:r>
        <w:rPr>
          <w:rFonts w:hint="eastAsia" w:ascii="仿宋_GB2312" w:hAnsi="宋体" w:eastAsia="仿宋_GB2312"/>
          <w:color w:val="000000"/>
          <w:sz w:val="32"/>
          <w:szCs w:val="32"/>
        </w:rPr>
        <w:t>月，文化市场执法大队参加开展联合执法检查</w:t>
      </w:r>
      <w:r>
        <w:rPr>
          <w:rFonts w:ascii="仿宋_GB2312" w:hAnsi="宋体" w:eastAsia="仿宋_GB2312"/>
          <w:color w:val="000000"/>
          <w:sz w:val="32"/>
          <w:szCs w:val="32"/>
        </w:rPr>
        <w:t>7</w:t>
      </w:r>
      <w:r>
        <w:rPr>
          <w:rFonts w:hint="eastAsia" w:ascii="仿宋_GB2312" w:hAnsi="宋体" w:eastAsia="仿宋_GB2312"/>
          <w:color w:val="000000"/>
          <w:sz w:val="32"/>
          <w:szCs w:val="32"/>
        </w:rPr>
        <w:t>次，开展专项检查</w:t>
      </w:r>
      <w:r>
        <w:rPr>
          <w:rFonts w:ascii="仿宋_GB2312" w:hAnsi="宋体" w:eastAsia="仿宋_GB2312"/>
          <w:color w:val="000000"/>
          <w:sz w:val="32"/>
          <w:szCs w:val="32"/>
        </w:rPr>
        <w:t>1</w:t>
      </w:r>
      <w:r>
        <w:rPr>
          <w:rFonts w:hint="eastAsia" w:ascii="仿宋_GB2312" w:hAnsi="宋体" w:eastAsia="仿宋_GB2312"/>
          <w:color w:val="000000"/>
          <w:sz w:val="32"/>
          <w:szCs w:val="32"/>
        </w:rPr>
        <w:t>次，接受省文旅厅执法专项检查</w:t>
      </w:r>
      <w:r>
        <w:rPr>
          <w:rFonts w:ascii="仿宋_GB2312" w:hAnsi="宋体" w:eastAsia="仿宋_GB2312"/>
          <w:color w:val="000000"/>
          <w:sz w:val="32"/>
          <w:szCs w:val="32"/>
        </w:rPr>
        <w:t>2</w:t>
      </w:r>
      <w:r>
        <w:rPr>
          <w:rFonts w:hint="eastAsia" w:ascii="仿宋_GB2312" w:hAnsi="宋体" w:eastAsia="仿宋_GB2312"/>
          <w:color w:val="000000"/>
          <w:sz w:val="32"/>
          <w:szCs w:val="32"/>
        </w:rPr>
        <w:t>次。执法队出动执法人员</w:t>
      </w:r>
      <w:r>
        <w:rPr>
          <w:rFonts w:ascii="仿宋_GB2312" w:hAnsi="宋体" w:eastAsia="仿宋_GB2312"/>
          <w:color w:val="000000"/>
          <w:sz w:val="32"/>
          <w:szCs w:val="32"/>
        </w:rPr>
        <w:t>1020</w:t>
      </w:r>
      <w:r>
        <w:rPr>
          <w:rFonts w:hint="eastAsia" w:ascii="仿宋_GB2312" w:hAnsi="宋体" w:eastAsia="仿宋_GB2312"/>
          <w:color w:val="000000"/>
          <w:sz w:val="32"/>
          <w:szCs w:val="32"/>
        </w:rPr>
        <w:t>人次，检查文旅企业</w:t>
      </w:r>
      <w:r>
        <w:rPr>
          <w:rFonts w:ascii="仿宋_GB2312" w:hAnsi="宋体" w:eastAsia="仿宋_GB2312"/>
          <w:color w:val="000000"/>
          <w:sz w:val="32"/>
          <w:szCs w:val="32"/>
        </w:rPr>
        <w:t>340</w:t>
      </w:r>
      <w:r>
        <w:rPr>
          <w:rFonts w:hint="eastAsia" w:ascii="仿宋_GB2312" w:hAnsi="宋体" w:eastAsia="仿宋_GB2312"/>
          <w:color w:val="000000"/>
          <w:sz w:val="32"/>
          <w:szCs w:val="32"/>
        </w:rPr>
        <w:t>家次，检查共发现问题</w:t>
      </w:r>
      <w:r>
        <w:rPr>
          <w:rFonts w:ascii="仿宋_GB2312" w:hAnsi="宋体" w:eastAsia="仿宋_GB2312"/>
          <w:color w:val="000000"/>
          <w:sz w:val="32"/>
          <w:szCs w:val="32"/>
        </w:rPr>
        <w:t>10</w:t>
      </w:r>
      <w:r>
        <w:rPr>
          <w:rFonts w:hint="eastAsia" w:ascii="仿宋_GB2312" w:hAnsi="宋体" w:eastAsia="仿宋_GB2312"/>
          <w:color w:val="000000"/>
          <w:sz w:val="32"/>
          <w:szCs w:val="32"/>
        </w:rPr>
        <w:t>个，提出整改意见</w:t>
      </w:r>
      <w:r>
        <w:rPr>
          <w:rFonts w:ascii="仿宋_GB2312" w:hAnsi="宋体" w:eastAsia="仿宋_GB2312"/>
          <w:color w:val="000000"/>
          <w:sz w:val="32"/>
          <w:szCs w:val="32"/>
        </w:rPr>
        <w:t>10</w:t>
      </w:r>
      <w:r>
        <w:rPr>
          <w:rFonts w:hint="eastAsia" w:ascii="仿宋_GB2312" w:hAnsi="宋体" w:eastAsia="仿宋_GB2312"/>
          <w:color w:val="000000"/>
          <w:sz w:val="32"/>
          <w:szCs w:val="32"/>
        </w:rPr>
        <w:t>条，下发整改通知书</w:t>
      </w:r>
      <w:r>
        <w:rPr>
          <w:rFonts w:ascii="仿宋_GB2312" w:hAnsi="宋体" w:eastAsia="仿宋_GB2312"/>
          <w:color w:val="000000"/>
          <w:sz w:val="32"/>
          <w:szCs w:val="32"/>
        </w:rPr>
        <w:t>4</w:t>
      </w:r>
      <w:r>
        <w:rPr>
          <w:rFonts w:hint="eastAsia" w:ascii="仿宋_GB2312" w:hAnsi="宋体" w:eastAsia="仿宋_GB2312"/>
          <w:color w:val="000000"/>
          <w:sz w:val="32"/>
          <w:szCs w:val="32"/>
        </w:rPr>
        <w:t>条，实施行政处罚</w:t>
      </w:r>
      <w:r>
        <w:rPr>
          <w:rFonts w:ascii="仿宋_GB2312" w:hAnsi="宋体" w:eastAsia="仿宋_GB2312"/>
          <w:color w:val="000000"/>
          <w:sz w:val="32"/>
          <w:szCs w:val="32"/>
        </w:rPr>
        <w:t>2</w:t>
      </w:r>
      <w:r>
        <w:rPr>
          <w:rFonts w:hint="eastAsia" w:ascii="仿宋_GB2312" w:hAnsi="宋体" w:eastAsia="仿宋_GB2312"/>
          <w:color w:val="000000"/>
          <w:sz w:val="32"/>
          <w:szCs w:val="32"/>
        </w:rPr>
        <w:t>起。办理信访、举报</w:t>
      </w:r>
      <w:r>
        <w:rPr>
          <w:rFonts w:ascii="仿宋_GB2312" w:hAnsi="宋体" w:eastAsia="仿宋_GB2312"/>
          <w:color w:val="000000"/>
          <w:sz w:val="32"/>
          <w:szCs w:val="32"/>
        </w:rPr>
        <w:t>6</w:t>
      </w:r>
      <w:r>
        <w:rPr>
          <w:rFonts w:hint="eastAsia" w:ascii="仿宋_GB2312" w:hAnsi="宋体" w:eastAsia="仿宋_GB2312"/>
          <w:color w:val="000000"/>
          <w:sz w:val="32"/>
          <w:szCs w:val="32"/>
        </w:rPr>
        <w:t>起。全面完成了</w:t>
      </w:r>
      <w:r>
        <w:rPr>
          <w:rFonts w:ascii="仿宋_GB2312" w:hAnsi="宋体" w:eastAsia="仿宋_GB2312"/>
          <w:color w:val="000000"/>
          <w:sz w:val="32"/>
          <w:szCs w:val="32"/>
        </w:rPr>
        <w:t>2021</w:t>
      </w:r>
      <w:r>
        <w:rPr>
          <w:rFonts w:hint="eastAsia" w:ascii="仿宋_GB2312" w:hAnsi="宋体" w:eastAsia="仿宋_GB2312"/>
          <w:color w:val="000000"/>
          <w:sz w:val="32"/>
          <w:szCs w:val="32"/>
        </w:rPr>
        <w:t>年“保考禁噪”工作任务。</w:t>
      </w:r>
      <w:bookmarkEnd w:id="32"/>
      <w:bookmarkEnd w:id="33"/>
      <w:bookmarkEnd w:id="34"/>
      <w:bookmarkStart w:id="35" w:name="_Toc52180073"/>
      <w:bookmarkStart w:id="36" w:name="_Toc15377204"/>
      <w:bookmarkStart w:id="37" w:name="_Toc15396602"/>
    </w:p>
    <w:p>
      <w:pPr>
        <w:pStyle w:val="3"/>
        <w:ind w:right="440" w:firstLine="440" w:firstLineChars="100"/>
        <w:jc w:val="both"/>
        <w:rPr>
          <w:rStyle w:val="20"/>
          <w:rFonts w:ascii="黑体" w:hAnsi="黑体" w:eastAsia="黑体"/>
          <w:b w:val="0"/>
          <w:bCs w:val="0"/>
        </w:rPr>
      </w:pPr>
      <w:r>
        <w:rPr>
          <w:rFonts w:hint="eastAsia" w:ascii="黑体" w:hAnsi="黑体" w:eastAsia="黑体"/>
          <w:b w:val="0"/>
          <w:color w:val="000000"/>
        </w:rPr>
        <w:t>第二部分</w:t>
      </w:r>
      <w:r>
        <w:rPr>
          <w:rFonts w:ascii="黑体" w:hAnsi="黑体" w:eastAsia="黑体"/>
          <w:b w:val="0"/>
          <w:color w:val="000000"/>
        </w:rPr>
        <w:t xml:space="preserve"> 2021</w:t>
      </w:r>
      <w:r>
        <w:rPr>
          <w:rStyle w:val="20"/>
          <w:rFonts w:hint="eastAsia" w:ascii="黑体" w:hAnsi="黑体" w:eastAsia="黑体"/>
          <w:b w:val="0"/>
          <w:bCs w:val="0"/>
        </w:rPr>
        <w:t>年度单位决算情况说明</w:t>
      </w:r>
      <w:bookmarkEnd w:id="35"/>
      <w:bookmarkEnd w:id="36"/>
      <w:bookmarkEnd w:id="37"/>
    </w:p>
    <w:p/>
    <w:p>
      <w:pPr>
        <w:pStyle w:val="33"/>
        <w:numPr>
          <w:ilvl w:val="0"/>
          <w:numId w:val="2"/>
        </w:numPr>
        <w:spacing w:line="600" w:lineRule="exact"/>
        <w:ind w:firstLineChars="0"/>
        <w:outlineLvl w:val="1"/>
        <w:rPr>
          <w:rStyle w:val="21"/>
          <w:rFonts w:ascii="黑体" w:hAnsi="黑体" w:eastAsia="黑体"/>
          <w:b w:val="0"/>
        </w:rPr>
      </w:pPr>
      <w:bookmarkStart w:id="38" w:name="_Toc52180074"/>
      <w:bookmarkStart w:id="39" w:name="_Toc15377205"/>
      <w:bookmarkStart w:id="40" w:name="_Toc15396603"/>
      <w:r>
        <w:rPr>
          <w:rFonts w:hint="eastAsia" w:ascii="黑体" w:hAnsi="黑体" w:eastAsia="黑体"/>
          <w:color w:val="000000"/>
          <w:sz w:val="32"/>
          <w:szCs w:val="32"/>
        </w:rPr>
        <w:t>收</w:t>
      </w:r>
      <w:r>
        <w:rPr>
          <w:rStyle w:val="21"/>
          <w:rFonts w:hint="eastAsia" w:ascii="黑体" w:hAnsi="黑体" w:eastAsia="黑体"/>
          <w:b w:val="0"/>
        </w:rPr>
        <w:t>入支出决算总体情况说明</w:t>
      </w:r>
      <w:bookmarkEnd w:id="38"/>
      <w:bookmarkEnd w:id="39"/>
      <w:bookmarkEnd w:id="40"/>
    </w:p>
    <w:p>
      <w:pPr>
        <w:snapToGrid w:val="0"/>
        <w:spacing w:line="520" w:lineRule="exact"/>
        <w:ind w:firstLine="800" w:firstLineChars="250"/>
        <w:rPr>
          <w:rFonts w:ascii="仿宋_GB2312" w:hAnsi="宋体" w:eastAsia="仿宋_GB2312"/>
          <w:sz w:val="32"/>
          <w:szCs w:val="32"/>
        </w:rPr>
      </w:pPr>
      <w:r>
        <w:rPr>
          <w:rFonts w:ascii="仿宋_GB2312" w:eastAsia="仿宋_GB2312"/>
          <w:color w:val="000000"/>
          <w:sz w:val="32"/>
          <w:szCs w:val="32"/>
        </w:rPr>
        <w:t>2021</w:t>
      </w:r>
      <w:r>
        <w:rPr>
          <w:rFonts w:hint="eastAsia" w:ascii="仿宋_GB2312" w:eastAsia="仿宋_GB2312"/>
          <w:color w:val="000000"/>
          <w:sz w:val="32"/>
          <w:szCs w:val="32"/>
        </w:rPr>
        <w:t>年度本年收入总计</w:t>
      </w:r>
      <w:r>
        <w:rPr>
          <w:rFonts w:ascii="仿宋_GB2312" w:eastAsia="仿宋_GB2312"/>
          <w:color w:val="000000"/>
          <w:sz w:val="32"/>
          <w:szCs w:val="32"/>
        </w:rPr>
        <w:t>7538.39</w:t>
      </w:r>
      <w:r>
        <w:rPr>
          <w:rFonts w:hint="eastAsia" w:ascii="仿宋_GB2312" w:eastAsia="仿宋_GB2312"/>
          <w:color w:val="000000"/>
          <w:sz w:val="32"/>
          <w:szCs w:val="32"/>
        </w:rPr>
        <w:t>万元，与</w:t>
      </w:r>
      <w:r>
        <w:rPr>
          <w:rFonts w:ascii="仿宋_GB2312" w:eastAsia="仿宋_GB2312"/>
          <w:color w:val="000000"/>
          <w:sz w:val="32"/>
          <w:szCs w:val="32"/>
        </w:rPr>
        <w:t xml:space="preserve"> 2020</w:t>
      </w:r>
      <w:r>
        <w:rPr>
          <w:rFonts w:hint="eastAsia" w:ascii="仿宋_GB2312" w:eastAsia="仿宋_GB2312"/>
          <w:color w:val="000000"/>
          <w:sz w:val="32"/>
          <w:szCs w:val="32"/>
        </w:rPr>
        <w:t>年收入总计</w:t>
      </w:r>
      <w:r>
        <w:rPr>
          <w:rFonts w:ascii="仿宋_GB2312" w:eastAsia="仿宋_GB2312"/>
          <w:color w:val="000000"/>
          <w:sz w:val="32"/>
          <w:szCs w:val="32"/>
        </w:rPr>
        <w:t>4103.67</w:t>
      </w:r>
      <w:r>
        <w:rPr>
          <w:rFonts w:hint="eastAsia" w:ascii="仿宋_GB2312" w:eastAsia="仿宋_GB2312"/>
          <w:color w:val="000000"/>
          <w:sz w:val="32"/>
          <w:szCs w:val="32"/>
        </w:rPr>
        <w:t>万元相比，收入总计增加</w:t>
      </w:r>
      <w:r>
        <w:rPr>
          <w:rFonts w:ascii="仿宋_GB2312" w:eastAsia="仿宋_GB2312"/>
          <w:color w:val="000000"/>
          <w:sz w:val="32"/>
          <w:szCs w:val="32"/>
        </w:rPr>
        <w:t>3434.72</w:t>
      </w:r>
      <w:r>
        <w:rPr>
          <w:rFonts w:hint="eastAsia" w:ascii="仿宋_GB2312" w:eastAsia="仿宋_GB2312"/>
          <w:color w:val="000000"/>
          <w:sz w:val="32"/>
          <w:szCs w:val="32"/>
        </w:rPr>
        <w:t>万元，增长</w:t>
      </w:r>
      <w:r>
        <w:rPr>
          <w:rFonts w:ascii="仿宋_GB2312" w:eastAsia="仿宋_GB2312"/>
          <w:color w:val="000000"/>
          <w:sz w:val="32"/>
          <w:szCs w:val="32"/>
        </w:rPr>
        <w:t>83.69%</w:t>
      </w:r>
      <w:r>
        <w:rPr>
          <w:rFonts w:hint="eastAsia" w:ascii="仿宋_GB2312" w:eastAsia="仿宋_GB2312"/>
          <w:color w:val="000000"/>
          <w:sz w:val="32"/>
          <w:szCs w:val="32"/>
        </w:rPr>
        <w:t>。其变动原因是，</w:t>
      </w:r>
      <w:r>
        <w:rPr>
          <w:rFonts w:hint="eastAsia" w:ascii="仿宋_GB2312" w:hAnsi="宋体" w:eastAsia="仿宋_GB2312"/>
          <w:sz w:val="32"/>
          <w:szCs w:val="32"/>
        </w:rPr>
        <w:t>增加旅游基础设施建设的项目经费及财政用存量资金化解历年暂付款。</w:t>
      </w:r>
    </w:p>
    <w:p>
      <w:pPr>
        <w:snapToGrid w:val="0"/>
        <w:spacing w:line="520" w:lineRule="exact"/>
        <w:ind w:firstLine="800" w:firstLineChars="25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年度支出总计</w:t>
      </w:r>
      <w:r>
        <w:rPr>
          <w:rFonts w:ascii="仿宋_GB2312" w:eastAsia="仿宋_GB2312"/>
          <w:color w:val="000000"/>
          <w:sz w:val="32"/>
          <w:szCs w:val="32"/>
        </w:rPr>
        <w:t>7538.39</w:t>
      </w:r>
      <w:r>
        <w:rPr>
          <w:rFonts w:hint="eastAsia" w:ascii="仿宋_GB2312" w:eastAsia="仿宋_GB2312"/>
          <w:color w:val="000000"/>
          <w:sz w:val="32"/>
          <w:szCs w:val="32"/>
        </w:rPr>
        <w:t>万元，与</w:t>
      </w:r>
      <w:r>
        <w:rPr>
          <w:rFonts w:ascii="仿宋_GB2312" w:eastAsia="仿宋_GB2312"/>
          <w:color w:val="000000"/>
          <w:sz w:val="32"/>
          <w:szCs w:val="32"/>
        </w:rPr>
        <w:t>2020</w:t>
      </w:r>
      <w:r>
        <w:rPr>
          <w:rFonts w:hint="eastAsia" w:ascii="仿宋_GB2312" w:eastAsia="仿宋_GB2312"/>
          <w:color w:val="000000"/>
          <w:sz w:val="32"/>
          <w:szCs w:val="32"/>
        </w:rPr>
        <w:t>年支出总计</w:t>
      </w:r>
      <w:r>
        <w:rPr>
          <w:rFonts w:ascii="仿宋_GB2312" w:eastAsia="仿宋_GB2312"/>
          <w:color w:val="000000"/>
          <w:sz w:val="32"/>
          <w:szCs w:val="32"/>
        </w:rPr>
        <w:t>3468.62</w:t>
      </w:r>
      <w:r>
        <w:rPr>
          <w:rFonts w:hint="eastAsia" w:ascii="仿宋_GB2312" w:eastAsia="仿宋_GB2312"/>
          <w:color w:val="000000"/>
          <w:sz w:val="32"/>
          <w:szCs w:val="32"/>
        </w:rPr>
        <w:t>万元相比，支出增加</w:t>
      </w:r>
      <w:r>
        <w:rPr>
          <w:rFonts w:ascii="仿宋_GB2312" w:eastAsia="仿宋_GB2312"/>
          <w:color w:val="000000"/>
          <w:sz w:val="32"/>
          <w:szCs w:val="32"/>
        </w:rPr>
        <w:t>4069.77</w:t>
      </w:r>
      <w:r>
        <w:rPr>
          <w:rFonts w:hint="eastAsia" w:ascii="仿宋_GB2312" w:eastAsia="仿宋_GB2312"/>
          <w:color w:val="000000"/>
          <w:sz w:val="32"/>
          <w:szCs w:val="32"/>
        </w:rPr>
        <w:t>万元，增加</w:t>
      </w:r>
      <w:r>
        <w:rPr>
          <w:rFonts w:ascii="仿宋_GB2312" w:eastAsia="仿宋_GB2312"/>
          <w:color w:val="000000"/>
          <w:sz w:val="32"/>
          <w:szCs w:val="32"/>
        </w:rPr>
        <w:t>117.33%</w:t>
      </w:r>
      <w:r>
        <w:rPr>
          <w:rFonts w:hint="eastAsia" w:ascii="仿宋_GB2312" w:eastAsia="仿宋_GB2312"/>
          <w:color w:val="000000"/>
          <w:sz w:val="32"/>
          <w:szCs w:val="32"/>
        </w:rPr>
        <w:t>。</w:t>
      </w:r>
      <w:r>
        <w:rPr>
          <w:rFonts w:hint="eastAsia" w:ascii="仿宋_GB2312" w:hAnsi="仿宋" w:eastAsia="仿宋_GB2312"/>
          <w:sz w:val="32"/>
          <w:szCs w:val="32"/>
        </w:rPr>
        <w:t>主要原因是，</w:t>
      </w:r>
      <w:r>
        <w:rPr>
          <w:rFonts w:hint="eastAsia" w:ascii="仿宋_GB2312" w:hAnsi="宋体" w:eastAsia="仿宋_GB2312"/>
          <w:sz w:val="32"/>
          <w:szCs w:val="32"/>
        </w:rPr>
        <w:t>增加旅游基础设施建设的项目经费及财政用存量资金化解历年暂付款。</w:t>
      </w:r>
    </w:p>
    <w:p>
      <w:pPr>
        <w:snapToGrid w:val="0"/>
        <w:ind w:firstLine="640" w:firstLineChars="200"/>
        <w:rPr>
          <w:rFonts w:ascii="仿宋_GB2312" w:eastAsia="仿宋_GB2312"/>
          <w:color w:val="000000"/>
          <w:sz w:val="32"/>
          <w:szCs w:val="32"/>
        </w:rPr>
      </w:pPr>
    </w:p>
    <w:p>
      <w:pPr>
        <w:pStyle w:val="2"/>
        <w:rPr>
          <w:rFonts w:hint="default" w:eastAsia="仿宋_GB2312"/>
          <w:lang w:val="en-US" w:eastAsia="zh-CN"/>
        </w:rPr>
      </w:pPr>
      <w:r>
        <w:rPr>
          <w:rFonts w:hint="eastAsia" w:ascii="仿宋_GB2312" w:eastAsia="仿宋_GB2312"/>
          <w:color w:val="000000"/>
          <w:sz w:val="32"/>
          <w:szCs w:val="32"/>
          <w:lang w:val="en-US" w:eastAsia="zh-CN"/>
        </w:rPr>
        <w:t xml:space="preserve">              </w:t>
      </w:r>
      <w:r>
        <w:drawing>
          <wp:inline distT="0" distB="0" distL="114300" distR="114300">
            <wp:extent cx="2809240" cy="1824355"/>
            <wp:effectExtent l="4445" t="4445" r="5715" b="19050"/>
            <wp:docPr id="1" name="图片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napToGrid w:val="0"/>
        <w:spacing w:line="520" w:lineRule="exact"/>
        <w:ind w:firstLine="640" w:firstLineChars="200"/>
        <w:rPr>
          <w:rFonts w:ascii="仿宋" w:hAnsi="仿宋" w:eastAsia="仿宋"/>
          <w:color w:val="000000"/>
          <w:sz w:val="32"/>
          <w:szCs w:val="32"/>
        </w:rPr>
      </w:pPr>
      <w:r>
        <w:rPr>
          <w:rFonts w:hint="eastAsia" w:ascii="仿宋_GB2312" w:eastAsia="仿宋_GB2312"/>
          <w:color w:val="000000"/>
          <w:sz w:val="32"/>
          <w:szCs w:val="32"/>
          <w:lang w:val="en-US" w:eastAsia="zh-CN"/>
        </w:rPr>
        <w:t xml:space="preserve">     </w:t>
      </w:r>
      <w:r>
        <w:rPr>
          <w:rFonts w:hint="eastAsia" w:ascii="仿宋" w:hAnsi="仿宋" w:eastAsia="仿宋"/>
          <w:color w:val="000000"/>
          <w:sz w:val="32"/>
          <w:szCs w:val="32"/>
        </w:rPr>
        <w:t>（图</w:t>
      </w:r>
      <w:r>
        <w:rPr>
          <w:rFonts w:ascii="仿宋" w:hAnsi="仿宋" w:eastAsia="仿宋"/>
          <w:color w:val="000000"/>
          <w:sz w:val="32"/>
          <w:szCs w:val="32"/>
        </w:rPr>
        <w:t>1</w:t>
      </w:r>
      <w:r>
        <w:rPr>
          <w:rFonts w:hint="eastAsia" w:ascii="仿宋" w:hAnsi="仿宋" w:eastAsia="仿宋"/>
          <w:color w:val="000000"/>
          <w:sz w:val="32"/>
          <w:szCs w:val="32"/>
        </w:rPr>
        <w:t>：</w:t>
      </w:r>
      <w:r>
        <w:rPr>
          <w:rFonts w:hint="eastAsia" w:ascii="仿宋" w:hAnsi="仿宋" w:eastAsia="仿宋"/>
          <w:color w:val="000000"/>
          <w:sz w:val="32"/>
          <w:szCs w:val="32"/>
          <w:lang w:val="en-US" w:eastAsia="zh-CN"/>
        </w:rPr>
        <w:t>2020年2021年</w:t>
      </w:r>
      <w:r>
        <w:rPr>
          <w:rFonts w:hint="eastAsia" w:ascii="仿宋" w:hAnsi="仿宋" w:eastAsia="仿宋"/>
          <w:color w:val="000000"/>
          <w:sz w:val="32"/>
          <w:szCs w:val="32"/>
        </w:rPr>
        <w:t>收、支决算总计变动情况图）（柱状图）</w:t>
      </w:r>
    </w:p>
    <w:p>
      <w:pPr>
        <w:pStyle w:val="33"/>
        <w:numPr>
          <w:ilvl w:val="0"/>
          <w:numId w:val="2"/>
        </w:numPr>
        <w:spacing w:line="600" w:lineRule="exact"/>
        <w:ind w:firstLineChars="0"/>
        <w:outlineLvl w:val="1"/>
        <w:rPr>
          <w:rStyle w:val="21"/>
          <w:rFonts w:ascii="黑体" w:hAnsi="黑体" w:eastAsia="黑体"/>
          <w:b w:val="0"/>
        </w:rPr>
      </w:pPr>
      <w:bookmarkStart w:id="41" w:name="_Toc52180075"/>
      <w:bookmarkStart w:id="42" w:name="_Toc15396604"/>
      <w:bookmarkStart w:id="43" w:name="_Toc15377206"/>
      <w:r>
        <w:rPr>
          <w:rFonts w:hint="eastAsia" w:ascii="黑体" w:hAnsi="黑体" w:eastAsia="黑体"/>
          <w:color w:val="000000"/>
          <w:sz w:val="32"/>
          <w:szCs w:val="32"/>
        </w:rPr>
        <w:t>收</w:t>
      </w:r>
      <w:r>
        <w:rPr>
          <w:rStyle w:val="21"/>
          <w:rFonts w:hint="eastAsia" w:ascii="黑体" w:hAnsi="黑体" w:eastAsia="黑体"/>
          <w:b w:val="0"/>
        </w:rPr>
        <w:t>入决算情况说明</w:t>
      </w:r>
      <w:bookmarkEnd w:id="41"/>
      <w:bookmarkEnd w:id="42"/>
      <w:bookmarkEnd w:id="43"/>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ascii="仿宋" w:hAnsi="仿宋" w:eastAsia="仿宋"/>
          <w:color w:val="000000"/>
          <w:sz w:val="32"/>
          <w:szCs w:val="32"/>
        </w:rPr>
      </w:pPr>
      <w:bookmarkStart w:id="44" w:name="_Toc52180076"/>
      <w:r>
        <w:rPr>
          <w:rFonts w:ascii="仿宋_GB2312" w:hAnsi="仿宋" w:eastAsia="仿宋_GB2312"/>
          <w:color w:val="000000"/>
          <w:sz w:val="32"/>
          <w:szCs w:val="32"/>
        </w:rPr>
        <w:t>2021</w:t>
      </w:r>
      <w:r>
        <w:rPr>
          <w:rFonts w:hint="eastAsia" w:ascii="仿宋_GB2312" w:hAnsi="仿宋" w:eastAsia="仿宋_GB2312"/>
          <w:color w:val="000000"/>
          <w:sz w:val="32"/>
          <w:szCs w:val="32"/>
        </w:rPr>
        <w:t>年本年收入合计</w:t>
      </w:r>
      <w:r>
        <w:rPr>
          <w:rFonts w:ascii="仿宋_GB2312" w:hAnsi="仿宋" w:eastAsia="仿宋_GB2312"/>
          <w:color w:val="000000"/>
          <w:sz w:val="32"/>
          <w:szCs w:val="32"/>
        </w:rPr>
        <w:t>5912.21</w:t>
      </w:r>
      <w:r>
        <w:rPr>
          <w:rFonts w:hint="eastAsia" w:ascii="仿宋_GB2312" w:hAnsi="仿宋" w:eastAsia="仿宋_GB2312"/>
          <w:color w:val="000000"/>
          <w:sz w:val="32"/>
          <w:szCs w:val="32"/>
        </w:rPr>
        <w:t>万元，其中：一般公共预算财政拨款收入</w:t>
      </w:r>
      <w:r>
        <w:rPr>
          <w:rFonts w:ascii="仿宋_GB2312" w:hAnsi="仿宋" w:eastAsia="仿宋_GB2312"/>
          <w:color w:val="000000"/>
          <w:sz w:val="32"/>
          <w:szCs w:val="32"/>
        </w:rPr>
        <w:t>1323.21</w:t>
      </w:r>
      <w:r>
        <w:rPr>
          <w:rFonts w:hint="eastAsia" w:ascii="仿宋_GB2312" w:hAnsi="仿宋" w:eastAsia="仿宋_GB2312"/>
          <w:color w:val="000000"/>
          <w:sz w:val="32"/>
          <w:szCs w:val="32"/>
        </w:rPr>
        <w:t>万元，占</w:t>
      </w:r>
      <w:r>
        <w:rPr>
          <w:rFonts w:ascii="仿宋_GB2312" w:hAnsi="仿宋" w:eastAsia="仿宋_GB2312"/>
          <w:color w:val="000000"/>
          <w:sz w:val="32"/>
          <w:szCs w:val="32"/>
        </w:rPr>
        <w:t>22.38%</w:t>
      </w:r>
      <w:r>
        <w:rPr>
          <w:rFonts w:hint="eastAsia" w:ascii="仿宋_GB2312" w:hAnsi="仿宋" w:eastAsia="仿宋_GB2312"/>
          <w:color w:val="000000"/>
          <w:sz w:val="32"/>
          <w:szCs w:val="32"/>
        </w:rPr>
        <w:t>；政府性基金预算财政拨款收入</w:t>
      </w:r>
      <w:r>
        <w:rPr>
          <w:rFonts w:ascii="仿宋_GB2312" w:hAnsi="仿宋" w:eastAsia="仿宋_GB2312"/>
          <w:color w:val="000000"/>
          <w:sz w:val="32"/>
          <w:szCs w:val="32"/>
        </w:rPr>
        <w:t>4589</w:t>
      </w:r>
      <w:r>
        <w:rPr>
          <w:rFonts w:hint="eastAsia" w:ascii="仿宋_GB2312" w:hAnsi="仿宋" w:eastAsia="仿宋_GB2312"/>
          <w:color w:val="000000"/>
          <w:sz w:val="32"/>
          <w:szCs w:val="32"/>
        </w:rPr>
        <w:t>万元，占</w:t>
      </w:r>
      <w:r>
        <w:rPr>
          <w:rFonts w:ascii="仿宋_GB2312" w:hAnsi="仿宋" w:eastAsia="仿宋_GB2312"/>
          <w:color w:val="000000"/>
          <w:sz w:val="32"/>
          <w:szCs w:val="32"/>
        </w:rPr>
        <w:t>77.62%</w:t>
      </w:r>
      <w:r>
        <w:rPr>
          <w:rFonts w:hint="eastAsia" w:ascii="仿宋_GB2312" w:hAnsi="仿宋" w:eastAsia="仿宋_GB2312"/>
          <w:color w:val="000000"/>
          <w:sz w:val="32"/>
          <w:szCs w:val="32"/>
        </w:rPr>
        <w:t>；上级补助收入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；事业收入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；附属单位上缴收入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bookmarkEnd w:id="44"/>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 xml:space="preserve">      </w:t>
      </w:r>
    </w:p>
    <w:p>
      <w:pPr>
        <w:pStyle w:val="2"/>
        <w:rPr>
          <w:rFonts w:hint="eastAsia" w:ascii="仿宋_GB2312" w:hAnsi="仿宋" w:eastAsia="仿宋_GB2312"/>
          <w:color w:val="000000"/>
          <w:sz w:val="32"/>
          <w:szCs w:val="32"/>
        </w:rPr>
      </w:pPr>
      <w:r>
        <w:rPr>
          <w:rFonts w:hint="eastAsia"/>
          <w:lang w:val="en-US" w:eastAsia="zh-CN"/>
        </w:rPr>
        <w:t xml:space="preserve">          </w:t>
      </w:r>
      <w:r>
        <w:drawing>
          <wp:inline distT="0" distB="0" distL="114300" distR="114300">
            <wp:extent cx="4130675" cy="1681480"/>
            <wp:effectExtent l="4445" t="4445" r="17780" b="9525"/>
            <wp:docPr id="2"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rPr>
          <w:rFonts w:hint="default" w:eastAsia="仿宋_GB2312"/>
          <w:lang w:val="en-US" w:eastAsia="zh-CN"/>
        </w:rPr>
      </w:pPr>
      <w:r>
        <w:rPr>
          <w:rFonts w:hint="eastAsia" w:ascii="仿宋_GB2312" w:hAnsi="仿宋" w:eastAsia="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1600" w:firstLineChars="500"/>
        <w:textAlignment w:val="auto"/>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2</w:t>
      </w:r>
      <w:r>
        <w:rPr>
          <w:rFonts w:hint="eastAsia" w:ascii="仿宋_GB2312" w:hAnsi="仿宋" w:eastAsia="仿宋_GB2312"/>
          <w:color w:val="000000"/>
          <w:sz w:val="32"/>
          <w:szCs w:val="32"/>
        </w:rPr>
        <w:t>：</w:t>
      </w:r>
      <w:r>
        <w:rPr>
          <w:rFonts w:hint="eastAsia" w:ascii="仿宋_GB2312" w:hAnsi="仿宋" w:eastAsia="仿宋_GB2312"/>
          <w:color w:val="000000"/>
          <w:sz w:val="32"/>
          <w:szCs w:val="32"/>
          <w:lang w:val="en-US" w:eastAsia="zh-CN"/>
        </w:rPr>
        <w:t>2021年</w:t>
      </w:r>
      <w:r>
        <w:rPr>
          <w:rFonts w:hint="eastAsia" w:ascii="仿宋_GB2312" w:hAnsi="仿宋" w:eastAsia="仿宋_GB2312"/>
          <w:color w:val="000000"/>
          <w:sz w:val="32"/>
          <w:szCs w:val="32"/>
        </w:rPr>
        <w:t>收入决算结构图）（饼状图）</w:t>
      </w:r>
    </w:p>
    <w:p>
      <w:pPr>
        <w:pStyle w:val="33"/>
        <w:numPr>
          <w:ilvl w:val="0"/>
          <w:numId w:val="2"/>
        </w:numPr>
        <w:spacing w:line="600" w:lineRule="exact"/>
        <w:ind w:firstLineChars="0"/>
        <w:outlineLvl w:val="1"/>
        <w:rPr>
          <w:rStyle w:val="21"/>
          <w:rFonts w:ascii="黑体" w:hAnsi="黑体" w:eastAsia="黑体"/>
          <w:b w:val="0"/>
        </w:rPr>
      </w:pPr>
      <w:bookmarkStart w:id="45" w:name="_Toc15396605"/>
      <w:bookmarkStart w:id="46" w:name="_Toc15377207"/>
      <w:bookmarkStart w:id="47" w:name="_Toc52180077"/>
      <w:r>
        <w:rPr>
          <w:rFonts w:hint="eastAsia" w:ascii="黑体" w:hAnsi="黑体" w:eastAsia="黑体"/>
          <w:color w:val="000000"/>
          <w:sz w:val="32"/>
          <w:szCs w:val="32"/>
        </w:rPr>
        <w:t>支</w:t>
      </w:r>
      <w:r>
        <w:rPr>
          <w:rStyle w:val="21"/>
          <w:rFonts w:hint="eastAsia" w:ascii="黑体" w:hAnsi="黑体" w:eastAsia="黑体"/>
          <w:b w:val="0"/>
        </w:rPr>
        <w:t>出决算情况说明</w:t>
      </w:r>
      <w:bookmarkEnd w:id="45"/>
      <w:bookmarkEnd w:id="46"/>
      <w:bookmarkEnd w:id="47"/>
    </w:p>
    <w:p>
      <w:pPr>
        <w:spacing w:line="600" w:lineRule="exact"/>
        <w:ind w:firstLine="640" w:firstLineChars="200"/>
        <w:outlineLvl w:val="1"/>
      </w:pPr>
      <w:bookmarkStart w:id="48" w:name="_Toc52180078"/>
      <w:r>
        <w:rPr>
          <w:rFonts w:ascii="仿宋_GB2312" w:hAnsi="仿宋" w:eastAsia="仿宋_GB2312"/>
          <w:color w:val="000000"/>
          <w:sz w:val="32"/>
          <w:szCs w:val="32"/>
        </w:rPr>
        <w:t>2021</w:t>
      </w:r>
      <w:r>
        <w:rPr>
          <w:rFonts w:hint="eastAsia" w:ascii="仿宋_GB2312" w:hAnsi="仿宋" w:eastAsia="仿宋_GB2312"/>
          <w:color w:val="000000"/>
          <w:sz w:val="32"/>
          <w:szCs w:val="32"/>
        </w:rPr>
        <w:t>年本年支出合计</w:t>
      </w:r>
      <w:r>
        <w:rPr>
          <w:rFonts w:ascii="仿宋_GB2312" w:hAnsi="仿宋" w:eastAsia="仿宋_GB2312"/>
          <w:color w:val="000000"/>
          <w:sz w:val="32"/>
          <w:szCs w:val="32"/>
        </w:rPr>
        <w:t>7538.39</w:t>
      </w:r>
      <w:r>
        <w:rPr>
          <w:rFonts w:hint="eastAsia" w:ascii="仿宋_GB2312" w:hAnsi="仿宋" w:eastAsia="仿宋_GB2312"/>
          <w:color w:val="000000"/>
          <w:sz w:val="32"/>
          <w:szCs w:val="32"/>
        </w:rPr>
        <w:t>万元，其中：基本支出</w:t>
      </w:r>
      <w:r>
        <w:rPr>
          <w:rFonts w:ascii="仿宋_GB2312" w:hAnsi="仿宋" w:eastAsia="仿宋_GB2312"/>
          <w:color w:val="000000"/>
          <w:sz w:val="32"/>
          <w:szCs w:val="32"/>
        </w:rPr>
        <w:t>546.66</w:t>
      </w:r>
      <w:r>
        <w:rPr>
          <w:rFonts w:hint="eastAsia" w:ascii="仿宋_GB2312" w:hAnsi="仿宋" w:eastAsia="仿宋_GB2312"/>
          <w:color w:val="000000"/>
          <w:sz w:val="32"/>
          <w:szCs w:val="32"/>
        </w:rPr>
        <w:t>万元，占</w:t>
      </w:r>
      <w:r>
        <w:rPr>
          <w:rFonts w:ascii="仿宋_GB2312" w:hAnsi="仿宋" w:eastAsia="仿宋_GB2312"/>
          <w:color w:val="000000"/>
          <w:sz w:val="32"/>
          <w:szCs w:val="32"/>
        </w:rPr>
        <w:t>7.25%</w:t>
      </w:r>
      <w:r>
        <w:rPr>
          <w:rFonts w:hint="eastAsia" w:ascii="仿宋_GB2312" w:hAnsi="仿宋" w:eastAsia="仿宋_GB2312"/>
          <w:color w:val="000000"/>
          <w:sz w:val="32"/>
          <w:szCs w:val="32"/>
        </w:rPr>
        <w:t>；项目支出</w:t>
      </w:r>
      <w:r>
        <w:rPr>
          <w:rFonts w:ascii="仿宋_GB2312" w:hAnsi="仿宋" w:eastAsia="仿宋_GB2312"/>
          <w:color w:val="000000"/>
          <w:sz w:val="32"/>
          <w:szCs w:val="32"/>
        </w:rPr>
        <w:t>6991.73</w:t>
      </w:r>
      <w:r>
        <w:rPr>
          <w:rFonts w:hint="eastAsia" w:ascii="仿宋_GB2312" w:hAnsi="仿宋" w:eastAsia="仿宋_GB2312"/>
          <w:color w:val="000000"/>
          <w:sz w:val="32"/>
          <w:szCs w:val="32"/>
        </w:rPr>
        <w:t>万元，占</w:t>
      </w:r>
      <w:r>
        <w:rPr>
          <w:rFonts w:ascii="仿宋_GB2312" w:hAnsi="仿宋" w:eastAsia="仿宋_GB2312"/>
          <w:color w:val="000000"/>
          <w:sz w:val="32"/>
          <w:szCs w:val="32"/>
        </w:rPr>
        <w:t>92.75%</w:t>
      </w:r>
      <w:r>
        <w:rPr>
          <w:rFonts w:hint="eastAsia" w:ascii="仿宋_GB2312" w:hAnsi="仿宋" w:eastAsia="仿宋_GB2312"/>
          <w:color w:val="000000"/>
          <w:sz w:val="32"/>
          <w:szCs w:val="32"/>
        </w:rPr>
        <w:t>；上缴上级支出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；对附属单位补助支出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bookmarkEnd w:id="48"/>
    </w:p>
    <w:p>
      <w:pPr>
        <w:rPr>
          <w:rFonts w:ascii="仿宋_GB2312" w:hAnsi="仿宋" w:eastAsia="仿宋_GB2312"/>
          <w:sz w:val="32"/>
          <w:szCs w:val="32"/>
        </w:rPr>
      </w:pPr>
    </w:p>
    <w:p>
      <w:pPr>
        <w:tabs>
          <w:tab w:val="left" w:pos="2050"/>
        </w:tabs>
        <w:rPr>
          <w:rFonts w:hint="eastAsia" w:ascii="仿宋" w:hAnsi="仿宋" w:eastAsia="仿宋"/>
          <w:color w:val="000000"/>
          <w:sz w:val="32"/>
          <w:szCs w:val="32"/>
        </w:rPr>
      </w:pPr>
      <w:r>
        <w:rPr>
          <w:rFonts w:hint="eastAsia"/>
          <w:lang w:val="en-US" w:eastAsia="zh-CN"/>
        </w:rPr>
        <w:t xml:space="preserve">               </w:t>
      </w:r>
      <w:r>
        <w:drawing>
          <wp:inline distT="0" distB="0" distL="114300" distR="114300">
            <wp:extent cx="3190240" cy="1905635"/>
            <wp:effectExtent l="5080" t="5080" r="5080" b="13335"/>
            <wp:docPr id="3" name="图片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tabs>
          <w:tab w:val="left" w:pos="2050"/>
        </w:tabs>
        <w:ind w:firstLine="1280" w:firstLineChars="4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3</w:t>
      </w:r>
      <w:r>
        <w:rPr>
          <w:rFonts w:hint="eastAsia" w:ascii="仿宋" w:hAnsi="仿宋" w:eastAsia="仿宋"/>
          <w:color w:val="000000"/>
          <w:sz w:val="32"/>
          <w:szCs w:val="32"/>
        </w:rPr>
        <w:t>：支出决算结构图）（饼状图）</w:t>
      </w:r>
    </w:p>
    <w:p>
      <w:pPr>
        <w:spacing w:line="600" w:lineRule="exact"/>
        <w:ind w:firstLine="640" w:firstLineChars="200"/>
        <w:outlineLvl w:val="1"/>
        <w:rPr>
          <w:rStyle w:val="21"/>
          <w:rFonts w:ascii="黑体" w:hAnsi="黑体" w:eastAsia="黑体"/>
          <w:b w:val="0"/>
        </w:rPr>
      </w:pPr>
      <w:bookmarkStart w:id="49" w:name="_Toc52180079"/>
      <w:bookmarkStart w:id="50" w:name="_Toc15377208"/>
      <w:bookmarkStart w:id="51" w:name="_Toc15396606"/>
      <w:r>
        <w:rPr>
          <w:rFonts w:hint="eastAsia" w:ascii="黑体" w:hAnsi="黑体" w:eastAsia="黑体"/>
          <w:color w:val="000000"/>
          <w:sz w:val="32"/>
          <w:szCs w:val="32"/>
        </w:rPr>
        <w:t>四、财</w:t>
      </w:r>
      <w:r>
        <w:rPr>
          <w:rStyle w:val="21"/>
          <w:rFonts w:hint="eastAsia" w:ascii="黑体" w:hAnsi="黑体" w:eastAsia="黑体"/>
          <w:b w:val="0"/>
        </w:rPr>
        <w:t>政拨款收入支出决算总体情况说明</w:t>
      </w:r>
      <w:bookmarkEnd w:id="49"/>
      <w:bookmarkEnd w:id="50"/>
      <w:bookmarkEnd w:id="51"/>
    </w:p>
    <w:p>
      <w:pPr>
        <w:spacing w:line="600" w:lineRule="exact"/>
        <w:ind w:firstLine="640" w:firstLineChars="200"/>
        <w:outlineLvl w:val="1"/>
        <w:rPr>
          <w:rFonts w:hint="eastAsia" w:ascii="仿宋_GB2312" w:hAnsi="仿宋" w:eastAsia="仿宋_GB2312"/>
          <w:color w:val="000000"/>
          <w:sz w:val="30"/>
          <w:szCs w:val="30"/>
        </w:rPr>
      </w:pPr>
      <w:r>
        <w:rPr>
          <w:rFonts w:hint="eastAsia" w:ascii="仿宋_GB2312" w:hAnsi="仿宋" w:eastAsia="仿宋_GB2312"/>
          <w:color w:val="000000"/>
          <w:sz w:val="32"/>
          <w:szCs w:val="32"/>
        </w:rPr>
        <w:t>2021年度财政拨款收入总计7538.39万元，与 2020年收入总计4103.67万元相比，财政拨款收入总计增加3434.72万元，增长83.69%。其变动原因是，增加旅游基础设施建设</w:t>
      </w:r>
      <w:r>
        <w:rPr>
          <w:rFonts w:hint="eastAsia" w:ascii="仿宋_GB2312" w:hAnsi="仿宋" w:eastAsia="仿宋_GB2312"/>
          <w:color w:val="000000"/>
          <w:sz w:val="30"/>
          <w:szCs w:val="30"/>
        </w:rPr>
        <w:t>的项目经费及财政用存量资金化解历年暂付款。</w:t>
      </w:r>
    </w:p>
    <w:p>
      <w:pPr>
        <w:spacing w:line="600" w:lineRule="exact"/>
        <w:ind w:firstLine="640" w:firstLineChars="200"/>
        <w:outlineLvl w:val="1"/>
        <w:rPr>
          <w:rFonts w:hint="eastAsia" w:ascii="仿宋_GB2312" w:hAnsi="仿宋" w:eastAsia="仿宋_GB2312"/>
          <w:color w:val="000000"/>
          <w:sz w:val="32"/>
          <w:szCs w:val="32"/>
        </w:rPr>
      </w:pPr>
      <w:r>
        <w:rPr>
          <w:rFonts w:hint="eastAsia" w:ascii="仿宋_GB2312" w:hAnsi="仿宋" w:eastAsia="仿宋_GB2312"/>
          <w:color w:val="000000"/>
          <w:sz w:val="32"/>
          <w:szCs w:val="32"/>
        </w:rPr>
        <w:t>2021年度财政拨款支出总计7538.39万元，与2020年支出总计3468.62万元相比，财政拨款支出增加4069.77万元，增加117.33%。主要原因是，增加旅游基础设施建设的项目经费及</w:t>
      </w:r>
      <w:bookmarkStart w:id="52" w:name="OLE_LINK1"/>
      <w:r>
        <w:rPr>
          <w:rFonts w:hint="eastAsia" w:ascii="仿宋_GB2312" w:hAnsi="仿宋" w:eastAsia="仿宋_GB2312"/>
          <w:color w:val="000000"/>
          <w:sz w:val="32"/>
          <w:szCs w:val="32"/>
        </w:rPr>
        <w:t>财政用存量资金化解历年暂付款。</w:t>
      </w:r>
      <w:bookmarkEnd w:id="52"/>
    </w:p>
    <w:p>
      <w:pPr>
        <w:keepNext w:val="0"/>
        <w:keepLines w:val="0"/>
        <w:pageBreakBefore w:val="0"/>
        <w:widowControl w:val="0"/>
        <w:kinsoku/>
        <w:wordWrap/>
        <w:overflowPunct/>
        <w:topLinePunct w:val="0"/>
        <w:autoSpaceDE/>
        <w:autoSpaceDN/>
        <w:bidi w:val="0"/>
        <w:adjustRightInd/>
        <w:snapToGrid w:val="0"/>
        <w:spacing w:line="240" w:lineRule="auto"/>
        <w:ind w:firstLine="800" w:firstLineChars="25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eastAsia="仿宋"/>
          <w:lang w:val="en-US" w:eastAsia="zh-CN"/>
        </w:rPr>
      </w:pPr>
      <w:r>
        <w:rPr>
          <w:rFonts w:hint="eastAsia" w:eastAsia="仿宋"/>
          <w:lang w:val="en-US" w:eastAsia="zh-CN"/>
        </w:rPr>
        <w:t xml:space="preserve">                   </w:t>
      </w:r>
      <w:r>
        <w:drawing>
          <wp:inline distT="0" distB="0" distL="114300" distR="114300">
            <wp:extent cx="2312670" cy="2272030"/>
            <wp:effectExtent l="4445" t="4445" r="6985" b="9525"/>
            <wp:docPr id="4" name="图片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keepNext w:val="0"/>
        <w:keepLines w:val="0"/>
        <w:pageBreakBefore w:val="0"/>
        <w:widowControl w:val="0"/>
        <w:kinsoku/>
        <w:wordWrap/>
        <w:overflowPunct/>
        <w:topLinePunct w:val="0"/>
        <w:autoSpaceDE/>
        <w:autoSpaceDN/>
        <w:bidi w:val="0"/>
        <w:adjustRightInd/>
        <w:spacing w:line="240" w:lineRule="auto"/>
        <w:ind w:firstLine="960" w:firstLineChars="300"/>
        <w:textAlignment w:val="auto"/>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4</w:t>
      </w:r>
      <w:r>
        <w:rPr>
          <w:rFonts w:hint="eastAsia" w:ascii="仿宋_GB2312" w:hAnsi="仿宋" w:eastAsia="仿宋_GB2312"/>
          <w:color w:val="000000"/>
          <w:sz w:val="32"/>
          <w:szCs w:val="32"/>
        </w:rPr>
        <w:t>：财政拨款收、支决算总计变动情况）（柱状图）</w:t>
      </w:r>
    </w:p>
    <w:p>
      <w:pPr>
        <w:spacing w:line="600" w:lineRule="exact"/>
        <w:ind w:firstLine="640" w:firstLineChars="200"/>
        <w:outlineLvl w:val="1"/>
        <w:rPr>
          <w:rStyle w:val="21"/>
          <w:rFonts w:ascii="黑体" w:hAnsi="黑体" w:eastAsia="黑体"/>
          <w:b w:val="0"/>
        </w:rPr>
      </w:pPr>
      <w:bookmarkStart w:id="53" w:name="_Toc15396607"/>
      <w:bookmarkStart w:id="54" w:name="_Toc15377209"/>
      <w:bookmarkStart w:id="55" w:name="_Toc52180080"/>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1"/>
          <w:rFonts w:hint="eastAsia" w:ascii="黑体" w:hAnsi="黑体" w:eastAsia="黑体"/>
          <w:b w:val="0"/>
        </w:rPr>
        <w:t>般公共预算财政拨款支出决算情况说明</w:t>
      </w:r>
      <w:bookmarkEnd w:id="53"/>
      <w:bookmarkEnd w:id="54"/>
      <w:bookmarkEnd w:id="55"/>
    </w:p>
    <w:p>
      <w:pPr>
        <w:spacing w:line="600" w:lineRule="exact"/>
        <w:ind w:firstLine="643" w:firstLineChars="200"/>
        <w:outlineLvl w:val="2"/>
        <w:rPr>
          <w:rFonts w:ascii="仿宋_GB2312" w:hAnsi="仿宋" w:eastAsia="仿宋_GB2312"/>
          <w:b/>
          <w:color w:val="000000"/>
          <w:sz w:val="32"/>
          <w:szCs w:val="32"/>
        </w:rPr>
      </w:pPr>
      <w:bookmarkStart w:id="56" w:name="_Toc15377210"/>
      <w:bookmarkStart w:id="57" w:name="_Toc52180081"/>
      <w:r>
        <w:rPr>
          <w:rFonts w:hint="eastAsia" w:ascii="仿宋_GB2312" w:hAnsi="仿宋" w:eastAsia="仿宋_GB2312"/>
          <w:b/>
          <w:color w:val="000000"/>
          <w:sz w:val="32"/>
          <w:szCs w:val="32"/>
        </w:rPr>
        <w:t>（一）一般公共预算财政拨款支出决算总体情况</w:t>
      </w:r>
      <w:bookmarkEnd w:id="56"/>
      <w:bookmarkEnd w:id="57"/>
    </w:p>
    <w:p>
      <w:pPr>
        <w:spacing w:line="600" w:lineRule="exact"/>
        <w:ind w:firstLine="640" w:firstLineChars="200"/>
        <w:outlineLvl w:val="1"/>
        <w:rPr>
          <w:rFonts w:hint="eastAsia" w:ascii="仿宋_GB2312" w:hAnsi="仿宋" w:eastAsia="仿宋_GB2312"/>
          <w:color w:val="000000"/>
          <w:sz w:val="32"/>
          <w:szCs w:val="32"/>
        </w:rPr>
      </w:pPr>
      <w:r>
        <w:rPr>
          <w:rFonts w:hint="eastAsia" w:ascii="仿宋_GB2312" w:hAnsi="仿宋" w:eastAsia="仿宋_GB2312"/>
          <w:color w:val="000000"/>
          <w:sz w:val="32"/>
          <w:szCs w:val="32"/>
        </w:rPr>
        <w:t>2021年一般公共预算财政拨款支出2949.39万元，占本年支出合计的39.12%。与2020年相比，一般公共预算财政拨款增加了1616.77万元，增加了121.32%。主要变动原因是财政用存量资金化解历年暂付款。</w:t>
      </w:r>
    </w:p>
    <w:p>
      <w:pPr>
        <w:rPr>
          <w:rFonts w:hint="default" w:ascii="仿宋" w:hAnsi="仿宋" w:eastAsia="仿宋"/>
          <w:color w:val="000000"/>
          <w:sz w:val="32"/>
          <w:szCs w:val="32"/>
          <w:lang w:val="en-US" w:eastAsia="zh-CN"/>
        </w:rPr>
      </w:pPr>
      <w:r>
        <w:rPr>
          <w:rFonts w:hint="eastAsia" w:ascii="仿宋" w:hAnsi="仿宋" w:eastAsia="仿宋"/>
          <w:color w:val="000000"/>
          <w:sz w:val="32"/>
          <w:szCs w:val="32"/>
          <w:lang w:val="en-US" w:eastAsia="zh-CN"/>
        </w:rPr>
        <w:t xml:space="preserve">            </w:t>
      </w:r>
      <w:r>
        <w:drawing>
          <wp:inline distT="0" distB="0" distL="114300" distR="114300">
            <wp:extent cx="2738755" cy="2105025"/>
            <wp:effectExtent l="5080" t="4445" r="18415" b="5080"/>
            <wp:docPr id="5" name="图片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eastAsia" w:ascii="仿宋" w:hAnsi="仿宋" w:eastAsia="仿宋"/>
          <w:color w:val="000000"/>
          <w:sz w:val="32"/>
          <w:szCs w:val="32"/>
          <w:lang w:val="en-US" w:eastAsia="zh-CN"/>
        </w:rPr>
        <w:t xml:space="preserve"> </w:t>
      </w:r>
    </w:p>
    <w:p>
      <w:pPr>
        <w:spacing w:line="600" w:lineRule="exact"/>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5</w:t>
      </w:r>
      <w:r>
        <w:rPr>
          <w:rFonts w:hint="eastAsia" w:ascii="仿宋" w:hAnsi="仿宋" w:eastAsia="仿宋"/>
          <w:color w:val="000000"/>
          <w:sz w:val="32"/>
          <w:szCs w:val="32"/>
        </w:rPr>
        <w:t>：一般公共预算财政拨款支出决算变动情况）（柱状图）</w:t>
      </w:r>
    </w:p>
    <w:p>
      <w:pPr>
        <w:spacing w:line="600" w:lineRule="exact"/>
        <w:ind w:firstLine="643" w:firstLineChars="200"/>
        <w:outlineLvl w:val="2"/>
        <w:rPr>
          <w:rFonts w:ascii="仿宋" w:hAnsi="仿宋" w:eastAsia="仿宋"/>
          <w:b/>
          <w:color w:val="000000"/>
          <w:sz w:val="32"/>
          <w:szCs w:val="32"/>
        </w:rPr>
      </w:pPr>
      <w:bookmarkStart w:id="58" w:name="_Toc52180082"/>
      <w:bookmarkStart w:id="59" w:name="_Toc15377211"/>
      <w:r>
        <w:rPr>
          <w:rFonts w:hint="eastAsia" w:ascii="仿宋" w:hAnsi="仿宋" w:eastAsia="仿宋"/>
          <w:b/>
          <w:color w:val="000000"/>
          <w:sz w:val="32"/>
          <w:szCs w:val="32"/>
        </w:rPr>
        <w:t>（二）一般公共预算财政拨款支出决算结构情况</w:t>
      </w:r>
      <w:bookmarkEnd w:id="58"/>
      <w:bookmarkEnd w:id="59"/>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2949.39</w:t>
      </w:r>
      <w:r>
        <w:rPr>
          <w:rFonts w:hint="eastAsia" w:ascii="仿宋_GB2312" w:hAnsi="仿宋" w:eastAsia="仿宋_GB2312"/>
          <w:color w:val="000000"/>
          <w:sz w:val="32"/>
          <w:szCs w:val="32"/>
        </w:rPr>
        <w:t>万元，主要用于以下方面</w:t>
      </w:r>
      <w:r>
        <w:rPr>
          <w:rFonts w:ascii="仿宋_GB2312" w:hAnsi="仿宋" w:eastAsia="仿宋_GB2312"/>
          <w:color w:val="000000"/>
          <w:sz w:val="32"/>
          <w:szCs w:val="32"/>
        </w:rPr>
        <w:t>:</w:t>
      </w:r>
      <w:r>
        <w:rPr>
          <w:rFonts w:hint="eastAsia" w:ascii="仿宋_GB2312" w:hAnsi="仿宋" w:eastAsia="仿宋_GB2312"/>
          <w:color w:val="000000"/>
          <w:sz w:val="32"/>
          <w:szCs w:val="32"/>
        </w:rPr>
        <w:t>一般公共服务支出</w:t>
      </w:r>
      <w:r>
        <w:rPr>
          <w:rFonts w:ascii="仿宋_GB2312" w:hAnsi="仿宋" w:eastAsia="仿宋_GB2312"/>
          <w:color w:val="000000"/>
          <w:sz w:val="32"/>
          <w:szCs w:val="32"/>
        </w:rPr>
        <w:t>1</w:t>
      </w:r>
      <w:r>
        <w:rPr>
          <w:rFonts w:hint="eastAsia" w:ascii="仿宋_GB2312" w:hAnsi="仿宋" w:eastAsia="仿宋_GB2312"/>
          <w:color w:val="000000"/>
          <w:sz w:val="32"/>
          <w:szCs w:val="32"/>
        </w:rPr>
        <w:t>万元，</w:t>
      </w:r>
      <w:r>
        <w:rPr>
          <w:rFonts w:hint="eastAsia" w:ascii="仿宋_GB2312" w:hAnsi="仿宋" w:eastAsia="仿宋_GB2312"/>
          <w:bCs/>
          <w:color w:val="000000"/>
          <w:sz w:val="32"/>
          <w:szCs w:val="32"/>
        </w:rPr>
        <w:t>占</w:t>
      </w:r>
      <w:r>
        <w:rPr>
          <w:rFonts w:ascii="仿宋_GB2312" w:hAnsi="仿宋" w:eastAsia="仿宋_GB2312"/>
          <w:bCs/>
          <w:color w:val="000000"/>
          <w:sz w:val="32"/>
          <w:szCs w:val="32"/>
        </w:rPr>
        <w:t>0.03%</w:t>
      </w:r>
      <w:r>
        <w:rPr>
          <w:rFonts w:hint="eastAsia" w:ascii="仿宋_GB2312" w:hAnsi="仿宋" w:eastAsia="仿宋_GB2312"/>
          <w:bCs/>
          <w:color w:val="000000"/>
          <w:sz w:val="32"/>
          <w:szCs w:val="32"/>
        </w:rPr>
        <w:t>；文化旅游体育与传媒支出</w:t>
      </w:r>
      <w:r>
        <w:rPr>
          <w:rFonts w:ascii="仿宋_GB2312" w:hAnsi="仿宋" w:eastAsia="仿宋_GB2312"/>
          <w:bCs/>
          <w:color w:val="000000"/>
          <w:sz w:val="32"/>
          <w:szCs w:val="32"/>
        </w:rPr>
        <w:t>2708.35</w:t>
      </w:r>
      <w:r>
        <w:rPr>
          <w:rFonts w:hint="eastAsia" w:ascii="仿宋_GB2312" w:hAnsi="仿宋" w:eastAsia="仿宋_GB2312"/>
          <w:bCs/>
          <w:color w:val="000000"/>
          <w:sz w:val="32"/>
          <w:szCs w:val="32"/>
        </w:rPr>
        <w:t>万元，占</w:t>
      </w:r>
      <w:r>
        <w:rPr>
          <w:rFonts w:ascii="仿宋_GB2312" w:hAnsi="仿宋" w:eastAsia="仿宋_GB2312"/>
          <w:bCs/>
          <w:color w:val="000000"/>
          <w:sz w:val="32"/>
          <w:szCs w:val="32"/>
        </w:rPr>
        <w:t>91.83%</w:t>
      </w:r>
      <w:r>
        <w:rPr>
          <w:rFonts w:hint="eastAsia" w:ascii="仿宋_GB2312" w:hAnsi="仿宋" w:eastAsia="仿宋_GB2312"/>
          <w:color w:val="000000"/>
          <w:sz w:val="32"/>
          <w:szCs w:val="32"/>
        </w:rPr>
        <w:t>；社会保障和就业支出</w:t>
      </w:r>
      <w:r>
        <w:rPr>
          <w:rFonts w:ascii="仿宋_GB2312" w:hAnsi="仿宋" w:eastAsia="仿宋_GB2312"/>
          <w:color w:val="000000"/>
          <w:sz w:val="32"/>
          <w:szCs w:val="32"/>
        </w:rPr>
        <w:t>95.99</w:t>
      </w:r>
      <w:r>
        <w:rPr>
          <w:rFonts w:hint="eastAsia" w:ascii="仿宋_GB2312" w:hAnsi="仿宋" w:eastAsia="仿宋_GB2312"/>
          <w:color w:val="000000"/>
          <w:sz w:val="32"/>
          <w:szCs w:val="32"/>
        </w:rPr>
        <w:t>万元，占</w:t>
      </w:r>
      <w:r>
        <w:rPr>
          <w:rFonts w:ascii="仿宋_GB2312" w:hAnsi="仿宋" w:eastAsia="仿宋_GB2312"/>
          <w:color w:val="000000"/>
          <w:sz w:val="32"/>
          <w:szCs w:val="32"/>
        </w:rPr>
        <w:t>3.26%</w:t>
      </w:r>
      <w:r>
        <w:rPr>
          <w:rFonts w:hint="eastAsia" w:ascii="仿宋_GB2312" w:hAnsi="仿宋" w:eastAsia="仿宋_GB2312"/>
          <w:color w:val="000000"/>
          <w:sz w:val="32"/>
          <w:szCs w:val="32"/>
        </w:rPr>
        <w:t>；卫生健康支出</w:t>
      </w:r>
      <w:r>
        <w:rPr>
          <w:rFonts w:ascii="仿宋_GB2312" w:hAnsi="仿宋" w:eastAsia="仿宋_GB2312"/>
          <w:color w:val="000000"/>
          <w:sz w:val="32"/>
          <w:szCs w:val="32"/>
        </w:rPr>
        <w:t>27.7</w:t>
      </w:r>
      <w:r>
        <w:rPr>
          <w:rFonts w:hint="eastAsia" w:ascii="仿宋_GB2312" w:hAnsi="仿宋" w:eastAsia="仿宋_GB2312"/>
          <w:color w:val="000000"/>
          <w:sz w:val="32"/>
          <w:szCs w:val="32"/>
        </w:rPr>
        <w:t>万元，占</w:t>
      </w:r>
      <w:r>
        <w:rPr>
          <w:rFonts w:ascii="仿宋_GB2312" w:hAnsi="仿宋" w:eastAsia="仿宋_GB2312"/>
          <w:color w:val="000000"/>
          <w:sz w:val="32"/>
          <w:szCs w:val="32"/>
        </w:rPr>
        <w:t>0.94%</w:t>
      </w:r>
      <w:r>
        <w:rPr>
          <w:rFonts w:hint="eastAsia" w:ascii="仿宋_GB2312" w:hAnsi="仿宋" w:eastAsia="仿宋_GB2312"/>
          <w:color w:val="000000"/>
          <w:sz w:val="32"/>
          <w:szCs w:val="32"/>
        </w:rPr>
        <w:t>；农林水支出</w:t>
      </w:r>
      <w:r>
        <w:rPr>
          <w:rFonts w:ascii="仿宋_GB2312" w:hAnsi="仿宋" w:eastAsia="仿宋_GB2312"/>
          <w:color w:val="000000"/>
          <w:sz w:val="32"/>
          <w:szCs w:val="32"/>
        </w:rPr>
        <w:t>70</w:t>
      </w:r>
      <w:r>
        <w:rPr>
          <w:rFonts w:hint="eastAsia" w:ascii="仿宋_GB2312" w:hAnsi="仿宋" w:eastAsia="仿宋_GB2312"/>
          <w:color w:val="000000"/>
          <w:sz w:val="32"/>
          <w:szCs w:val="32"/>
        </w:rPr>
        <w:t>万元，占</w:t>
      </w:r>
      <w:r>
        <w:rPr>
          <w:rFonts w:ascii="仿宋_GB2312" w:hAnsi="仿宋" w:eastAsia="仿宋_GB2312"/>
          <w:color w:val="000000"/>
          <w:sz w:val="32"/>
          <w:szCs w:val="32"/>
        </w:rPr>
        <w:t>2.37%</w:t>
      </w:r>
      <w:r>
        <w:rPr>
          <w:rFonts w:hint="eastAsia" w:ascii="仿宋_GB2312" w:hAnsi="仿宋" w:eastAsia="仿宋_GB2312"/>
          <w:color w:val="000000"/>
          <w:sz w:val="32"/>
          <w:szCs w:val="32"/>
        </w:rPr>
        <w:t>；住房保障支出</w:t>
      </w:r>
      <w:r>
        <w:rPr>
          <w:rFonts w:ascii="仿宋_GB2312" w:hAnsi="仿宋" w:eastAsia="仿宋_GB2312"/>
          <w:color w:val="000000"/>
          <w:sz w:val="32"/>
          <w:szCs w:val="32"/>
        </w:rPr>
        <w:t>40.35</w:t>
      </w:r>
      <w:r>
        <w:rPr>
          <w:rFonts w:hint="eastAsia" w:ascii="仿宋_GB2312" w:hAnsi="仿宋" w:eastAsia="仿宋_GB2312"/>
          <w:color w:val="000000"/>
          <w:sz w:val="32"/>
          <w:szCs w:val="32"/>
        </w:rPr>
        <w:t>万元，占</w:t>
      </w:r>
      <w:r>
        <w:rPr>
          <w:rFonts w:ascii="仿宋_GB2312" w:hAnsi="仿宋" w:eastAsia="仿宋_GB2312"/>
          <w:color w:val="000000"/>
          <w:sz w:val="32"/>
          <w:szCs w:val="32"/>
        </w:rPr>
        <w:t>1.37%</w:t>
      </w:r>
      <w:r>
        <w:rPr>
          <w:rFonts w:hint="eastAsia" w:ascii="仿宋_GB2312" w:hAnsi="仿宋" w:eastAsia="仿宋_GB2312"/>
          <w:color w:val="000000"/>
          <w:sz w:val="32"/>
          <w:szCs w:val="32"/>
        </w:rPr>
        <w:t>；其他支出</w:t>
      </w:r>
      <w:r>
        <w:rPr>
          <w:rFonts w:ascii="仿宋_GB2312" w:hAnsi="仿宋" w:eastAsia="仿宋_GB2312"/>
          <w:color w:val="000000"/>
          <w:sz w:val="32"/>
          <w:szCs w:val="32"/>
        </w:rPr>
        <w:t>6</w:t>
      </w:r>
      <w:r>
        <w:rPr>
          <w:rFonts w:hint="eastAsia" w:ascii="仿宋_GB2312" w:hAnsi="仿宋" w:eastAsia="仿宋_GB2312"/>
          <w:color w:val="000000"/>
          <w:sz w:val="32"/>
          <w:szCs w:val="32"/>
        </w:rPr>
        <w:t>万元，占</w:t>
      </w:r>
      <w:r>
        <w:rPr>
          <w:rFonts w:ascii="仿宋_GB2312" w:hAnsi="仿宋" w:eastAsia="仿宋_GB2312"/>
          <w:color w:val="000000"/>
          <w:sz w:val="32"/>
          <w:szCs w:val="32"/>
        </w:rPr>
        <w:t>0.2%</w:t>
      </w:r>
      <w:r>
        <w:rPr>
          <w:rFonts w:hint="eastAsia" w:ascii="仿宋_GB2312" w:hAnsi="仿宋" w:eastAsia="仿宋_GB2312"/>
          <w:color w:val="000000"/>
          <w:sz w:val="32"/>
          <w:szCs w:val="32"/>
        </w:rPr>
        <w:t>。</w:t>
      </w:r>
    </w:p>
    <w:p>
      <w:pPr>
        <w:rPr>
          <w:rFonts w:hint="default"/>
          <w:lang w:val="en-US" w:eastAsia="zh-CN"/>
        </w:rPr>
      </w:pPr>
      <w:r>
        <w:rPr>
          <w:rFonts w:hint="eastAsia" w:ascii="仿宋" w:hAnsi="仿宋" w:eastAsia="仿宋"/>
          <w:color w:val="000000"/>
          <w:sz w:val="32"/>
          <w:szCs w:val="32"/>
          <w:lang w:val="en-US" w:eastAsia="zh-CN"/>
        </w:rPr>
        <w:t xml:space="preserve">             </w:t>
      </w:r>
      <w:r>
        <w:drawing>
          <wp:inline distT="0" distB="0" distL="114300" distR="114300">
            <wp:extent cx="3311525" cy="2813050"/>
            <wp:effectExtent l="4445" t="4445" r="17780" b="20955"/>
            <wp:docPr id="6" name="图片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6</w:t>
      </w:r>
      <w:r>
        <w:rPr>
          <w:rFonts w:hint="eastAsia" w:ascii="仿宋_GB2312" w:hAnsi="仿宋" w:eastAsia="仿宋_GB2312"/>
          <w:color w:val="000000"/>
          <w:sz w:val="32"/>
          <w:szCs w:val="32"/>
        </w:rPr>
        <w:t>：一般公共预算财政拨款支出决算结构）（饼状图）</w:t>
      </w:r>
    </w:p>
    <w:p>
      <w:pPr>
        <w:spacing w:line="600" w:lineRule="exact"/>
        <w:ind w:firstLine="321" w:firstLineChars="100"/>
        <w:outlineLvl w:val="2"/>
        <w:rPr>
          <w:rFonts w:ascii="仿宋" w:hAnsi="仿宋" w:eastAsia="仿宋"/>
          <w:b/>
          <w:color w:val="000000"/>
          <w:sz w:val="32"/>
          <w:szCs w:val="32"/>
        </w:rPr>
      </w:pPr>
      <w:bookmarkStart w:id="60" w:name="_Toc15377212"/>
      <w:bookmarkStart w:id="61" w:name="_Toc52180083"/>
      <w:r>
        <w:rPr>
          <w:rFonts w:hint="eastAsia" w:ascii="仿宋" w:hAnsi="仿宋" w:eastAsia="仿宋"/>
          <w:b/>
          <w:color w:val="000000"/>
          <w:sz w:val="32"/>
          <w:szCs w:val="32"/>
        </w:rPr>
        <w:t>（三）一般公共预算财政拨款支出决算具体情况</w:t>
      </w:r>
      <w:bookmarkEnd w:id="60"/>
      <w:bookmarkEnd w:id="61"/>
    </w:p>
    <w:p>
      <w:pPr>
        <w:spacing w:line="600" w:lineRule="exact"/>
        <w:ind w:firstLine="640" w:firstLineChars="200"/>
        <w:outlineLvl w:val="2"/>
        <w:rPr>
          <w:rFonts w:ascii="仿宋_GB2312" w:hAnsi="仿宋" w:eastAsia="仿宋_GB2312"/>
          <w:color w:val="FF0000"/>
          <w:sz w:val="32"/>
          <w:szCs w:val="32"/>
        </w:rPr>
      </w:pPr>
      <w:bookmarkStart w:id="62" w:name="_Toc15377213"/>
      <w:bookmarkStart w:id="63" w:name="_Toc15377444"/>
      <w:bookmarkStart w:id="64" w:name="_Toc15378460"/>
      <w:bookmarkStart w:id="65" w:name="_Toc52180084"/>
      <w:r>
        <w:rPr>
          <w:rFonts w:ascii="仿宋_GB2312" w:hAnsi="仿宋" w:eastAsia="仿宋_GB2312"/>
          <w:color w:val="000000"/>
          <w:sz w:val="32"/>
          <w:szCs w:val="32"/>
        </w:rPr>
        <w:t>2021</w:t>
      </w:r>
      <w:r>
        <w:rPr>
          <w:rFonts w:hint="eastAsia" w:ascii="仿宋_GB2312" w:hAnsi="仿宋" w:eastAsia="仿宋_GB2312"/>
          <w:color w:val="000000"/>
          <w:sz w:val="32"/>
          <w:szCs w:val="32"/>
        </w:rPr>
        <w:t>年一般公共预算支出决算数为</w:t>
      </w:r>
      <w:r>
        <w:rPr>
          <w:rFonts w:ascii="仿宋_GB2312" w:hAnsi="仿宋" w:eastAsia="仿宋_GB2312"/>
          <w:color w:val="000000"/>
          <w:sz w:val="32"/>
          <w:szCs w:val="32"/>
        </w:rPr>
        <w:t>2949.39</w:t>
      </w:r>
      <w:r>
        <w:rPr>
          <w:rFonts w:hint="eastAsia" w:ascii="仿宋_GB2312" w:hAnsi="仿宋" w:eastAsia="仿宋_GB2312"/>
          <w:color w:val="000000"/>
          <w:sz w:val="32"/>
          <w:szCs w:val="32"/>
        </w:rPr>
        <w:t>万元，</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100%</w:t>
      </w:r>
      <w:r>
        <w:rPr>
          <w:rStyle w:val="16"/>
          <w:rFonts w:hint="eastAsia" w:ascii="仿宋_GB2312" w:hAnsi="仿宋" w:eastAsia="仿宋_GB2312"/>
          <w:b w:val="0"/>
          <w:bCs/>
          <w:color w:val="000000"/>
          <w:sz w:val="32"/>
          <w:szCs w:val="32"/>
        </w:rPr>
        <w:t>。其中：</w:t>
      </w:r>
      <w:bookmarkEnd w:id="62"/>
      <w:bookmarkEnd w:id="63"/>
      <w:bookmarkEnd w:id="64"/>
      <w:bookmarkEnd w:id="65"/>
    </w:p>
    <w:p>
      <w:pPr>
        <w:snapToGrid w:val="0"/>
        <w:spacing w:line="520" w:lineRule="exact"/>
        <w:ind w:firstLine="640" w:firstLineChars="200"/>
        <w:rPr>
          <w:rFonts w:ascii="仿宋_GB2312" w:hAnsi="宋体" w:eastAsia="仿宋_GB2312"/>
          <w:color w:val="000000"/>
          <w:sz w:val="32"/>
          <w:szCs w:val="32"/>
        </w:rPr>
      </w:pPr>
      <w:bookmarkStart w:id="66" w:name="OLE_LINK5"/>
      <w:r>
        <w:rPr>
          <w:rStyle w:val="16"/>
          <w:rFonts w:ascii="仿宋_GB2312" w:hAnsi="宋体" w:eastAsia="仿宋_GB2312"/>
          <w:b w:val="0"/>
          <w:bCs/>
          <w:color w:val="000000"/>
          <w:sz w:val="32"/>
          <w:szCs w:val="32"/>
        </w:rPr>
        <w:t>1</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信访事务</w:t>
      </w:r>
      <w:r>
        <w:rPr>
          <w:rStyle w:val="16"/>
          <w:rFonts w:ascii="仿宋_GB2312" w:hAnsi="宋体" w:eastAsia="仿宋_GB2312"/>
          <w:b w:val="0"/>
          <w:bCs/>
          <w:color w:val="000000"/>
          <w:sz w:val="32"/>
          <w:szCs w:val="32"/>
        </w:rPr>
        <w:t>2010308</w:t>
      </w:r>
      <w:r>
        <w:rPr>
          <w:rStyle w:val="16"/>
          <w:rFonts w:hint="eastAsia" w:ascii="仿宋_GB2312" w:hAnsi="宋体" w:eastAsia="仿宋_GB2312"/>
          <w:b w:val="0"/>
          <w:bCs/>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napToGrid w:val="0"/>
        <w:spacing w:line="520" w:lineRule="exact"/>
        <w:ind w:firstLine="640" w:firstLineChars="200"/>
        <w:rPr>
          <w:rFonts w:ascii="仿宋_GB2312" w:hAnsi="宋体" w:eastAsia="仿宋_GB2312"/>
          <w:color w:val="000000"/>
          <w:sz w:val="32"/>
          <w:szCs w:val="32"/>
        </w:rPr>
      </w:pPr>
      <w:r>
        <w:rPr>
          <w:rStyle w:val="16"/>
          <w:rFonts w:ascii="仿宋_GB2312" w:hAnsi="宋体" w:eastAsia="仿宋_GB2312"/>
          <w:b w:val="0"/>
          <w:bCs/>
          <w:color w:val="000000"/>
          <w:sz w:val="32"/>
          <w:szCs w:val="32"/>
        </w:rPr>
        <w:t>2</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文化和旅游行政运行</w:t>
      </w:r>
      <w:r>
        <w:rPr>
          <w:rStyle w:val="16"/>
          <w:rFonts w:ascii="仿宋_GB2312" w:hAnsi="宋体" w:eastAsia="仿宋_GB2312"/>
          <w:b w:val="0"/>
          <w:bCs/>
          <w:color w:val="000000"/>
          <w:sz w:val="32"/>
          <w:szCs w:val="32"/>
        </w:rPr>
        <w:t>2070101</w:t>
      </w:r>
      <w:r>
        <w:rPr>
          <w:rStyle w:val="16"/>
          <w:rFonts w:hint="eastAsia" w:ascii="仿宋_GB2312" w:hAnsi="宋体" w:eastAsia="仿宋_GB2312"/>
          <w:b w:val="0"/>
          <w:bCs/>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341.07</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napToGrid w:val="0"/>
        <w:spacing w:line="52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3</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文化和旅游一般行政管理事务</w:t>
      </w:r>
      <w:r>
        <w:rPr>
          <w:rFonts w:ascii="仿宋_GB2312" w:hAnsi="宋体" w:eastAsia="仿宋_GB2312"/>
          <w:color w:val="000000"/>
          <w:sz w:val="32"/>
          <w:szCs w:val="32"/>
        </w:rPr>
        <w:t>2070102</w:t>
      </w:r>
      <w:r>
        <w:rPr>
          <w:rFonts w:hint="eastAsia" w:ascii="仿宋_GB2312" w:hAnsi="宋体" w:eastAsia="仿宋_GB2312"/>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85.3</w:t>
      </w:r>
      <w:r>
        <w:rPr>
          <w:rFonts w:hint="eastAsia" w:ascii="仿宋_GB2312" w:hAnsi="宋体" w:eastAsia="仿宋_GB2312"/>
          <w:color w:val="000000"/>
          <w:sz w:val="32"/>
          <w:szCs w:val="32"/>
          <w:lang w:val="en-US" w:eastAsia="zh-CN"/>
        </w:rPr>
        <w:t>8</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napToGrid w:val="0"/>
        <w:spacing w:line="520" w:lineRule="exact"/>
        <w:ind w:firstLine="420" w:firstLineChars="200"/>
        <w:rPr>
          <w:rFonts w:ascii="仿宋_GB2312" w:hAnsi="宋体" w:eastAsia="仿宋_GB2312"/>
          <w:color w:val="000000"/>
          <w:sz w:val="32"/>
          <w:szCs w:val="32"/>
        </w:rPr>
      </w:pPr>
      <w:r>
        <w:rPr>
          <w:rFonts w:ascii="仿宋_GB2312" w:eastAsia="仿宋_GB2312"/>
        </w:rPr>
        <w:t xml:space="preserve">  </w:t>
      </w:r>
      <w:r>
        <w:rPr>
          <w:rFonts w:ascii="仿宋_GB2312" w:hAnsi="宋体" w:eastAsia="仿宋_GB2312"/>
          <w:sz w:val="32"/>
          <w:szCs w:val="32"/>
        </w:rPr>
        <w:t>4</w:t>
      </w:r>
      <w:r>
        <w:rPr>
          <w:rFonts w:hint="eastAsia" w:ascii="仿宋_GB2312" w:hAnsi="宋体" w:eastAsia="仿宋_GB2312"/>
          <w:sz w:val="32"/>
          <w:szCs w:val="32"/>
          <w:lang w:val="en-US" w:eastAsia="zh-CN"/>
        </w:rPr>
        <w:t>.</w:t>
      </w:r>
      <w:r>
        <w:rPr>
          <w:rFonts w:ascii="仿宋_GB2312" w:hAnsi="宋体" w:eastAsia="仿宋_GB2312"/>
          <w:sz w:val="32"/>
          <w:szCs w:val="32"/>
        </w:rPr>
        <w:t xml:space="preserve"> </w:t>
      </w:r>
      <w:r>
        <w:rPr>
          <w:rFonts w:hint="eastAsia" w:ascii="仿宋_GB2312" w:hAnsi="宋体" w:eastAsia="仿宋_GB2312"/>
          <w:sz w:val="32"/>
          <w:szCs w:val="32"/>
        </w:rPr>
        <w:t>艺</w:t>
      </w:r>
      <w:r>
        <w:rPr>
          <w:rFonts w:hint="eastAsia" w:ascii="仿宋_GB2312" w:eastAsia="仿宋_GB2312"/>
          <w:sz w:val="32"/>
          <w:szCs w:val="32"/>
        </w:rPr>
        <w:t>术表演团体</w:t>
      </w:r>
      <w:r>
        <w:rPr>
          <w:rFonts w:ascii="仿宋_GB2312" w:hAnsi="宋体" w:eastAsia="仿宋_GB2312"/>
          <w:sz w:val="32"/>
          <w:szCs w:val="32"/>
        </w:rPr>
        <w:t>2070107</w:t>
      </w:r>
      <w:r>
        <w:rPr>
          <w:rFonts w:hint="eastAsia" w:ascii="仿宋_GB2312" w:hAnsi="宋体" w:eastAsia="仿宋_GB2312"/>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33.6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pStyle w:val="2"/>
        <w:rPr>
          <w:rFonts w:ascii="仿宋_GB2312" w:hAnsi="宋体" w:eastAsia="仿宋_GB2312"/>
          <w:sz w:val="32"/>
          <w:szCs w:val="32"/>
        </w:rPr>
      </w:pPr>
      <w:r>
        <w:rPr>
          <w:rFonts w:ascii="仿宋_GB2312" w:hAnsi="宋体" w:eastAsia="仿宋_GB2312"/>
        </w:rPr>
        <w:t xml:space="preserve">      </w:t>
      </w:r>
      <w:r>
        <w:rPr>
          <w:rFonts w:ascii="仿宋_GB2312" w:hAnsi="宋体" w:eastAsia="仿宋_GB2312"/>
          <w:sz w:val="32"/>
          <w:szCs w:val="32"/>
        </w:rPr>
        <w:t>5</w:t>
      </w:r>
      <w:r>
        <w:rPr>
          <w:rFonts w:hint="eastAsia" w:ascii="仿宋_GB2312" w:hAnsi="宋体" w:eastAsia="仿宋_GB2312"/>
          <w:sz w:val="32"/>
          <w:szCs w:val="32"/>
          <w:lang w:val="en-US" w:eastAsia="zh-CN"/>
        </w:rPr>
        <w:t>.</w:t>
      </w:r>
      <w:r>
        <w:rPr>
          <w:rStyle w:val="16"/>
          <w:rFonts w:hint="eastAsia" w:ascii="仿宋_GB2312" w:hAnsi="宋体" w:eastAsia="仿宋_GB2312"/>
          <w:b w:val="0"/>
          <w:bCs/>
          <w:color w:val="000000"/>
          <w:sz w:val="32"/>
          <w:szCs w:val="32"/>
        </w:rPr>
        <w:t>文化活动</w:t>
      </w:r>
      <w:r>
        <w:rPr>
          <w:rStyle w:val="16"/>
          <w:rFonts w:ascii="仿宋_GB2312" w:hAnsi="宋体" w:eastAsia="仿宋_GB2312"/>
          <w:b w:val="0"/>
          <w:bCs/>
          <w:color w:val="000000"/>
          <w:sz w:val="32"/>
          <w:szCs w:val="32"/>
        </w:rPr>
        <w:t>2070108</w:t>
      </w:r>
      <w:r>
        <w:rPr>
          <w:rStyle w:val="16"/>
          <w:rFonts w:hint="eastAsia" w:ascii="仿宋_GB2312" w:hAnsi="宋体" w:eastAsia="仿宋_GB2312"/>
          <w:b w:val="0"/>
          <w:bCs/>
          <w:color w:val="000000"/>
          <w:sz w:val="32"/>
          <w:szCs w:val="32"/>
        </w:rPr>
        <w:t>：</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123.16</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pStyle w:val="2"/>
        <w:rPr>
          <w:rFonts w:ascii="仿宋_GB2312" w:hAnsi="宋体" w:eastAsia="仿宋_GB2312"/>
          <w:sz w:val="32"/>
          <w:szCs w:val="32"/>
        </w:rPr>
      </w:pPr>
      <w:r>
        <w:rPr>
          <w:rFonts w:ascii="仿宋_GB2312" w:hAnsi="宋体" w:eastAsia="仿宋_GB2312"/>
        </w:rPr>
        <w:t xml:space="preserve">      </w:t>
      </w:r>
      <w:r>
        <w:rPr>
          <w:rFonts w:ascii="仿宋_GB2312" w:hAnsi="宋体" w:eastAsia="仿宋_GB2312"/>
          <w:sz w:val="32"/>
          <w:szCs w:val="32"/>
        </w:rPr>
        <w:t>6</w:t>
      </w:r>
      <w:r>
        <w:rPr>
          <w:rFonts w:hint="eastAsia" w:ascii="仿宋_GB2312" w:hAnsi="宋体" w:eastAsia="仿宋_GB2312"/>
          <w:sz w:val="32"/>
          <w:szCs w:val="32"/>
          <w:lang w:val="en-US" w:eastAsia="zh-CN"/>
        </w:rPr>
        <w:t>.</w:t>
      </w:r>
      <w:r>
        <w:rPr>
          <w:rFonts w:hint="eastAsia" w:ascii="仿宋_GB2312" w:hAnsi="宋体" w:eastAsia="仿宋_GB2312"/>
          <w:sz w:val="32"/>
          <w:szCs w:val="32"/>
        </w:rPr>
        <w:t>群众文化</w:t>
      </w:r>
      <w:r>
        <w:rPr>
          <w:rFonts w:ascii="仿宋_GB2312" w:hAnsi="宋体" w:eastAsia="仿宋_GB2312"/>
          <w:sz w:val="32"/>
          <w:szCs w:val="32"/>
        </w:rPr>
        <w:t>2070109</w:t>
      </w:r>
      <w:r>
        <w:rPr>
          <w:rFonts w:hint="eastAsia" w:ascii="仿宋_GB2312" w:hAnsi="宋体" w:eastAsia="仿宋_GB2312"/>
          <w:sz w:val="32"/>
          <w:szCs w:val="32"/>
        </w:rPr>
        <w:t>：</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:73.05</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snapToGrid w:val="0"/>
        <w:spacing w:line="520" w:lineRule="exact"/>
        <w:ind w:firstLine="420" w:firstLineChars="200"/>
        <w:rPr>
          <w:rFonts w:ascii="仿宋_GB2312" w:hAnsi="宋体" w:eastAsia="仿宋_GB2312"/>
          <w:color w:val="000000"/>
          <w:sz w:val="32"/>
          <w:szCs w:val="32"/>
        </w:rPr>
      </w:pPr>
      <w:r>
        <w:rPr>
          <w:rFonts w:ascii="仿宋_GB2312" w:hAnsi="宋体" w:eastAsia="仿宋_GB2312"/>
        </w:rPr>
        <w:t xml:space="preserve">  </w:t>
      </w:r>
      <w:r>
        <w:rPr>
          <w:rStyle w:val="16"/>
          <w:rFonts w:ascii="仿宋_GB2312" w:hAnsi="宋体" w:eastAsia="仿宋_GB2312"/>
          <w:b w:val="0"/>
          <w:bCs/>
          <w:color w:val="000000"/>
          <w:sz w:val="32"/>
          <w:szCs w:val="32"/>
        </w:rPr>
        <w:t>7</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文化创作与保护</w:t>
      </w:r>
      <w:r>
        <w:rPr>
          <w:rStyle w:val="16"/>
          <w:rFonts w:ascii="仿宋_GB2312" w:hAnsi="宋体" w:eastAsia="仿宋_GB2312"/>
          <w:b w:val="0"/>
          <w:bCs/>
          <w:color w:val="000000"/>
          <w:sz w:val="32"/>
          <w:szCs w:val="32"/>
        </w:rPr>
        <w:t>2070111:</w:t>
      </w:r>
      <w:r>
        <w:rPr>
          <w:rFonts w:ascii="仿宋_GB2312" w:hAnsi="宋体" w:eastAsia="仿宋_GB2312"/>
          <w:color w:val="000000"/>
          <w:sz w:val="32"/>
          <w:szCs w:val="32"/>
        </w:rPr>
        <w:t>2021</w:t>
      </w:r>
      <w:r>
        <w:rPr>
          <w:rFonts w:hint="eastAsia" w:ascii="仿宋_GB2312" w:hAnsi="宋体" w:eastAsia="仿宋_GB2312"/>
          <w:color w:val="000000"/>
          <w:sz w:val="32"/>
          <w:szCs w:val="32"/>
        </w:rPr>
        <w:t>年决算数为</w:t>
      </w:r>
      <w:r>
        <w:rPr>
          <w:rFonts w:ascii="仿宋_GB2312" w:hAnsi="宋体" w:eastAsia="仿宋_GB2312"/>
          <w:color w:val="000000"/>
          <w:sz w:val="32"/>
          <w:szCs w:val="32"/>
        </w:rPr>
        <w:t>8</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napToGrid w:val="0"/>
        <w:spacing w:line="520" w:lineRule="exact"/>
        <w:ind w:firstLine="420" w:firstLineChars="200"/>
        <w:rPr>
          <w:rFonts w:ascii="仿宋_GB2312" w:hAnsi="宋体" w:eastAsia="仿宋_GB2312"/>
          <w:color w:val="000000"/>
          <w:sz w:val="32"/>
          <w:szCs w:val="32"/>
        </w:rPr>
      </w:pPr>
      <w:r>
        <w:rPr>
          <w:rFonts w:ascii="仿宋_GB2312" w:hAnsi="宋体" w:eastAsia="仿宋_GB2312"/>
        </w:rPr>
        <w:t xml:space="preserve">  </w:t>
      </w:r>
      <w:r>
        <w:rPr>
          <w:rStyle w:val="16"/>
          <w:rFonts w:ascii="仿宋_GB2312" w:hAnsi="宋体" w:eastAsia="仿宋_GB2312"/>
          <w:b w:val="0"/>
          <w:bCs/>
          <w:color w:val="000000"/>
          <w:sz w:val="32"/>
          <w:szCs w:val="32"/>
        </w:rPr>
        <w:t>8</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旅游宣传</w:t>
      </w:r>
      <w:r>
        <w:rPr>
          <w:rStyle w:val="16"/>
          <w:rFonts w:ascii="仿宋_GB2312" w:hAnsi="宋体" w:eastAsia="仿宋_GB2312"/>
          <w:b w:val="0"/>
          <w:bCs/>
          <w:color w:val="000000"/>
          <w:sz w:val="32"/>
          <w:szCs w:val="32"/>
        </w:rPr>
        <w:t>2070113:</w:t>
      </w:r>
      <w:r>
        <w:rPr>
          <w:rFonts w:ascii="仿宋_GB2312" w:hAnsi="宋体" w:eastAsia="仿宋_GB2312"/>
          <w:color w:val="000000"/>
          <w:sz w:val="32"/>
          <w:szCs w:val="32"/>
        </w:rPr>
        <w:t>2021</w:t>
      </w:r>
      <w:r>
        <w:rPr>
          <w:rFonts w:hint="eastAsia" w:ascii="仿宋_GB2312" w:hAnsi="宋体" w:eastAsia="仿宋_GB2312"/>
          <w:color w:val="000000"/>
          <w:sz w:val="32"/>
          <w:szCs w:val="32"/>
        </w:rPr>
        <w:t>年决算数为</w:t>
      </w:r>
      <w:r>
        <w:rPr>
          <w:rFonts w:ascii="仿宋_GB2312" w:hAnsi="宋体" w:eastAsia="仿宋_GB2312"/>
          <w:color w:val="000000"/>
          <w:sz w:val="32"/>
          <w:szCs w:val="32"/>
        </w:rPr>
        <w:t>161.5</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pStyle w:val="2"/>
        <w:rPr>
          <w:rFonts w:ascii="仿宋_GB2312" w:hAnsi="宋体" w:eastAsia="仿宋_GB2312"/>
          <w:sz w:val="32"/>
          <w:szCs w:val="32"/>
        </w:rPr>
      </w:pPr>
      <w:r>
        <w:rPr>
          <w:rFonts w:ascii="仿宋_GB2312" w:hAnsi="宋体" w:eastAsia="仿宋_GB2312"/>
        </w:rPr>
        <w:t xml:space="preserve">      </w:t>
      </w:r>
      <w:r>
        <w:rPr>
          <w:rStyle w:val="16"/>
          <w:rFonts w:ascii="仿宋_GB2312" w:hAnsi="宋体" w:eastAsia="仿宋_GB2312"/>
          <w:b w:val="0"/>
          <w:bCs/>
          <w:color w:val="000000"/>
          <w:sz w:val="32"/>
          <w:szCs w:val="32"/>
        </w:rPr>
        <w:t>9</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文化和旅游管理事务</w:t>
      </w:r>
      <w:r>
        <w:rPr>
          <w:rStyle w:val="16"/>
          <w:rFonts w:ascii="仿宋_GB2312" w:hAnsi="宋体" w:eastAsia="仿宋_GB2312"/>
          <w:b w:val="0"/>
          <w:bCs/>
          <w:color w:val="000000"/>
          <w:sz w:val="32"/>
          <w:szCs w:val="32"/>
        </w:rPr>
        <w:t>2070114:</w:t>
      </w:r>
      <w:r>
        <w:rPr>
          <w:rFonts w:ascii="仿宋_GB2312" w:hAnsi="宋体" w:eastAsia="仿宋_GB2312"/>
          <w:sz w:val="32"/>
          <w:szCs w:val="32"/>
        </w:rPr>
        <w:t>2021</w:t>
      </w:r>
      <w:r>
        <w:rPr>
          <w:rFonts w:hint="eastAsia" w:ascii="仿宋_GB2312" w:hAnsi="宋体" w:eastAsia="仿宋_GB2312"/>
          <w:sz w:val="32"/>
          <w:szCs w:val="32"/>
        </w:rPr>
        <w:t>年决算数为</w:t>
      </w:r>
      <w:r>
        <w:rPr>
          <w:rFonts w:ascii="仿宋_GB2312" w:hAnsi="宋体" w:eastAsia="仿宋_GB2312"/>
          <w:sz w:val="32"/>
          <w:szCs w:val="32"/>
        </w:rPr>
        <w:t>41.55</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firstLineChars="200"/>
        <w:rPr>
          <w:rFonts w:ascii="仿宋_GB2312" w:hAnsi="宋体" w:eastAsia="仿宋_GB2312"/>
          <w:sz w:val="32"/>
          <w:szCs w:val="32"/>
        </w:rPr>
      </w:pPr>
      <w:r>
        <w:rPr>
          <w:rFonts w:ascii="仿宋_GB2312" w:hAnsi="宋体" w:eastAsia="仿宋_GB2312"/>
          <w:color w:val="000000"/>
          <w:sz w:val="32"/>
          <w:szCs w:val="32"/>
        </w:rPr>
        <w:t>10</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其他文化和旅游支出</w:t>
      </w:r>
      <w:r>
        <w:rPr>
          <w:rStyle w:val="16"/>
          <w:rFonts w:ascii="仿宋_GB2312" w:hAnsi="宋体" w:eastAsia="仿宋_GB2312"/>
          <w:b w:val="0"/>
          <w:bCs/>
          <w:color w:val="000000"/>
          <w:sz w:val="32"/>
          <w:szCs w:val="32"/>
        </w:rPr>
        <w:t>2070199:</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900.83</w:t>
      </w:r>
      <w:r>
        <w:rPr>
          <w:rFonts w:hint="eastAsia" w:ascii="仿宋_GB2312" w:hAnsi="宋体" w:eastAsia="仿宋_GB2312"/>
          <w:color w:val="000000"/>
          <w:sz w:val="32"/>
          <w:szCs w:val="32"/>
        </w:rPr>
        <w:t>万元，</w:t>
      </w:r>
      <w:r>
        <w:rPr>
          <w:rFonts w:hint="eastAsia" w:ascii="仿宋_GB2312" w:hAnsi="宋体" w:eastAsia="仿宋_GB2312"/>
          <w:sz w:val="32"/>
          <w:szCs w:val="32"/>
        </w:rPr>
        <w:t>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sz w:val="32"/>
          <w:szCs w:val="32"/>
        </w:rPr>
        <w:t>11</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文物保护</w:t>
      </w:r>
      <w:r>
        <w:rPr>
          <w:rStyle w:val="16"/>
          <w:rFonts w:ascii="仿宋_GB2312" w:hAnsi="宋体" w:eastAsia="仿宋_GB2312"/>
          <w:b w:val="0"/>
          <w:bCs/>
          <w:color w:val="000000"/>
          <w:sz w:val="32"/>
          <w:szCs w:val="32"/>
        </w:rPr>
        <w:t>2070204:</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9</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12</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体育竞赛</w:t>
      </w:r>
      <w:r>
        <w:rPr>
          <w:rStyle w:val="16"/>
          <w:rFonts w:ascii="仿宋_GB2312" w:hAnsi="宋体" w:eastAsia="仿宋_GB2312"/>
          <w:b w:val="0"/>
          <w:bCs/>
          <w:color w:val="000000"/>
          <w:sz w:val="32"/>
          <w:szCs w:val="32"/>
        </w:rPr>
        <w:t>2070305:</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29.02</w:t>
      </w:r>
      <w:r>
        <w:rPr>
          <w:rFonts w:hint="eastAsia" w:ascii="仿宋_GB2312" w:hAnsi="宋体" w:eastAsia="仿宋_GB2312"/>
          <w:color w:val="000000"/>
          <w:sz w:val="32"/>
          <w:szCs w:val="32"/>
        </w:rPr>
        <w:t>万元，</w:t>
      </w:r>
      <w:r>
        <w:rPr>
          <w:rFonts w:hint="eastAsia" w:ascii="仿宋_GB2312" w:hAnsi="宋体" w:eastAsia="仿宋_GB2312"/>
          <w:sz w:val="32"/>
          <w:szCs w:val="32"/>
        </w:rPr>
        <w:t>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420" w:firstLineChars="200"/>
        <w:rPr>
          <w:rFonts w:ascii="仿宋_GB2312" w:hAnsi="宋体" w:eastAsia="仿宋_GB2312"/>
          <w:color w:val="000000"/>
          <w:sz w:val="32"/>
          <w:szCs w:val="32"/>
        </w:rPr>
      </w:pPr>
      <w:r>
        <w:rPr>
          <w:rFonts w:ascii="仿宋_GB2312" w:hAnsi="宋体" w:eastAsia="仿宋_GB2312"/>
        </w:rPr>
        <w:t xml:space="preserve"> </w:t>
      </w:r>
      <w:r>
        <w:rPr>
          <w:rFonts w:ascii="仿宋_GB2312" w:hAnsi="宋体" w:eastAsia="仿宋_GB2312"/>
          <w:sz w:val="32"/>
          <w:szCs w:val="32"/>
        </w:rPr>
        <w:t>13</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电影</w:t>
      </w:r>
      <w:r>
        <w:rPr>
          <w:rStyle w:val="16"/>
          <w:rFonts w:ascii="仿宋_GB2312" w:hAnsi="宋体" w:eastAsia="仿宋_GB2312"/>
          <w:b w:val="0"/>
          <w:bCs/>
          <w:color w:val="000000"/>
          <w:sz w:val="32"/>
          <w:szCs w:val="32"/>
        </w:rPr>
        <w:t>2070607:</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76.32</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14</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其他新闻出版电影支出</w:t>
      </w:r>
      <w:r>
        <w:rPr>
          <w:rFonts w:ascii="仿宋_GB2312" w:hAnsi="宋体" w:eastAsia="仿宋_GB2312"/>
          <w:color w:val="000000"/>
          <w:sz w:val="32"/>
          <w:szCs w:val="32"/>
        </w:rPr>
        <w:t>2070699</w:t>
      </w:r>
      <w:r>
        <w:rPr>
          <w:rFonts w:hint="eastAsia" w:ascii="仿宋_GB2312" w:hAnsi="宋体" w:eastAsia="仿宋_GB2312"/>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14.69</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15</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其他广播电视支出</w:t>
      </w:r>
      <w:r>
        <w:rPr>
          <w:rFonts w:ascii="仿宋_GB2312" w:hAnsi="宋体" w:eastAsia="仿宋_GB2312"/>
          <w:color w:val="000000"/>
          <w:sz w:val="32"/>
          <w:szCs w:val="32"/>
        </w:rPr>
        <w:t>2070899</w:t>
      </w:r>
      <w:r>
        <w:rPr>
          <w:rFonts w:hint="eastAsia" w:ascii="仿宋_GB2312" w:hAnsi="宋体" w:eastAsia="仿宋_GB2312"/>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466.12</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Style w:val="16"/>
          <w:rFonts w:ascii="仿宋_GB2312" w:hAnsi="宋体" w:eastAsia="仿宋_GB2312"/>
          <w:b w:val="0"/>
          <w:bCs/>
          <w:color w:val="000000"/>
          <w:sz w:val="32"/>
          <w:szCs w:val="32"/>
        </w:rPr>
        <w:t>16</w:t>
      </w:r>
      <w:r>
        <w:rPr>
          <w:rStyle w:val="16"/>
          <w:rFonts w:hint="eastAsia" w:ascii="仿宋_GB2312" w:hAnsi="宋体" w:eastAsia="仿宋_GB2312"/>
          <w:b w:val="0"/>
          <w:bCs/>
          <w:color w:val="000000"/>
          <w:sz w:val="32"/>
          <w:szCs w:val="32"/>
          <w:lang w:val="en-US" w:eastAsia="zh-CN"/>
        </w:rPr>
        <w:t>.</w:t>
      </w:r>
      <w:r>
        <w:rPr>
          <w:rStyle w:val="16"/>
          <w:rFonts w:hint="eastAsia" w:ascii="仿宋_GB2312" w:hAnsi="宋体" w:eastAsia="仿宋_GB2312"/>
          <w:b w:val="0"/>
          <w:bCs/>
          <w:color w:val="000000"/>
          <w:sz w:val="32"/>
          <w:szCs w:val="32"/>
        </w:rPr>
        <w:t>其他文化体育与传媒支出</w:t>
      </w:r>
      <w:r>
        <w:rPr>
          <w:rStyle w:val="16"/>
          <w:rFonts w:ascii="仿宋_GB2312" w:hAnsi="宋体" w:eastAsia="仿宋_GB2312"/>
          <w:b w:val="0"/>
          <w:bCs/>
          <w:color w:val="000000"/>
          <w:sz w:val="32"/>
          <w:szCs w:val="32"/>
        </w:rPr>
        <w:t>2079999:</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345.06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17</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未归口管理的行政单位离退休</w:t>
      </w:r>
      <w:r>
        <w:rPr>
          <w:rFonts w:ascii="仿宋_GB2312" w:hAnsi="宋体" w:eastAsia="仿宋_GB2312"/>
          <w:color w:val="000000"/>
          <w:sz w:val="32"/>
          <w:szCs w:val="32"/>
        </w:rPr>
        <w:t>2080501:2021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20.64</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18</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事业单位离退休</w:t>
      </w:r>
      <w:r>
        <w:rPr>
          <w:rFonts w:ascii="仿宋_GB2312" w:hAnsi="宋体" w:eastAsia="仿宋_GB2312"/>
          <w:color w:val="000000"/>
          <w:sz w:val="32"/>
          <w:szCs w:val="32"/>
        </w:rPr>
        <w:t>2080502:2021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7.26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19</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机关事业单位基本养老保险缴费支出</w:t>
      </w:r>
      <w:r>
        <w:rPr>
          <w:rFonts w:ascii="仿宋_GB2312" w:hAnsi="宋体" w:eastAsia="仿宋_GB2312"/>
          <w:color w:val="000000"/>
          <w:sz w:val="32"/>
          <w:szCs w:val="32"/>
        </w:rPr>
        <w:t>2080505:2021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34.14</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20</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机关事业单位职业年金缴费支出</w:t>
      </w:r>
      <w:r>
        <w:rPr>
          <w:rFonts w:ascii="仿宋_GB2312" w:hAnsi="宋体" w:eastAsia="仿宋_GB2312"/>
          <w:color w:val="000000"/>
          <w:sz w:val="32"/>
          <w:szCs w:val="32"/>
        </w:rPr>
        <w:t>2080506:2021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14.7</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420" w:firstLineChars="200"/>
        <w:rPr>
          <w:rFonts w:ascii="仿宋_GB2312" w:hAnsi="宋体" w:eastAsia="仿宋_GB2312"/>
          <w:color w:val="000000"/>
          <w:sz w:val="32"/>
          <w:szCs w:val="32"/>
        </w:rPr>
      </w:pPr>
      <w:r>
        <w:rPr>
          <w:rFonts w:ascii="仿宋_GB2312" w:eastAsia="仿宋_GB2312"/>
        </w:rPr>
        <w:t xml:space="preserve"> </w:t>
      </w:r>
      <w:r>
        <w:rPr>
          <w:rFonts w:ascii="仿宋_GB2312" w:hAnsi="宋体" w:eastAsia="仿宋_GB2312"/>
          <w:color w:val="000000"/>
          <w:sz w:val="32"/>
          <w:szCs w:val="32"/>
        </w:rPr>
        <w:t>21</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死亡抚恤</w:t>
      </w:r>
      <w:r>
        <w:rPr>
          <w:rFonts w:ascii="仿宋_GB2312" w:hAnsi="宋体" w:eastAsia="仿宋_GB2312"/>
          <w:color w:val="000000"/>
          <w:sz w:val="32"/>
          <w:szCs w:val="32"/>
        </w:rPr>
        <w:t>2080801:2021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19.25</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22</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行政事业医疗</w:t>
      </w:r>
      <w:r>
        <w:rPr>
          <w:rFonts w:ascii="仿宋_GB2312" w:hAnsi="宋体" w:eastAsia="仿宋_GB2312"/>
          <w:color w:val="000000"/>
          <w:sz w:val="32"/>
          <w:szCs w:val="32"/>
        </w:rPr>
        <w:t>2101101:2021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22.56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210" w:firstLineChars="100"/>
        <w:rPr>
          <w:rFonts w:ascii="仿宋_GB2312" w:hAnsi="宋体" w:eastAsia="仿宋_GB2312"/>
          <w:color w:val="000000"/>
          <w:sz w:val="32"/>
          <w:szCs w:val="32"/>
        </w:rPr>
      </w:pPr>
      <w:r>
        <w:rPr>
          <w:rFonts w:ascii="仿宋_GB2312" w:eastAsia="仿宋_GB2312"/>
        </w:rPr>
        <w:t xml:space="preserve">  </w:t>
      </w:r>
      <w:r>
        <w:rPr>
          <w:rFonts w:hint="eastAsia" w:ascii="仿宋_GB2312" w:eastAsia="仿宋_GB2312"/>
          <w:lang w:val="en-US" w:eastAsia="zh-CN"/>
        </w:rPr>
        <w:t xml:space="preserve"> </w:t>
      </w:r>
      <w:r>
        <w:rPr>
          <w:rFonts w:ascii="仿宋_GB2312" w:hAnsi="宋体" w:eastAsia="仿宋_GB2312"/>
          <w:color w:val="000000"/>
          <w:sz w:val="32"/>
          <w:szCs w:val="32"/>
        </w:rPr>
        <w:t>23</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事业单位医疗</w:t>
      </w:r>
      <w:r>
        <w:rPr>
          <w:rFonts w:ascii="仿宋_GB2312" w:hAnsi="宋体" w:eastAsia="仿宋_GB2312"/>
          <w:color w:val="000000"/>
          <w:sz w:val="32"/>
          <w:szCs w:val="32"/>
        </w:rPr>
        <w:t>2101102:2021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1.86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210" w:firstLineChars="100"/>
        <w:rPr>
          <w:rFonts w:ascii="仿宋_GB2312" w:hAnsi="宋体" w:eastAsia="仿宋_GB2312"/>
          <w:color w:val="000000"/>
          <w:sz w:val="32"/>
          <w:szCs w:val="32"/>
        </w:rPr>
      </w:pPr>
      <w:r>
        <w:rPr>
          <w:rFonts w:ascii="仿宋_GB2312" w:eastAsia="仿宋_GB2312"/>
        </w:rPr>
        <w:t xml:space="preserve">  </w:t>
      </w:r>
      <w:r>
        <w:rPr>
          <w:rFonts w:hint="eastAsia" w:ascii="仿宋_GB2312" w:eastAsia="仿宋_GB2312"/>
          <w:lang w:val="en-US" w:eastAsia="zh-CN"/>
        </w:rPr>
        <w:t xml:space="preserve"> </w:t>
      </w:r>
      <w:r>
        <w:rPr>
          <w:rFonts w:ascii="仿宋_GB2312" w:hAnsi="宋体" w:eastAsia="仿宋_GB2312"/>
          <w:sz w:val="32"/>
          <w:szCs w:val="32"/>
        </w:rPr>
        <w:t>24</w:t>
      </w:r>
      <w:r>
        <w:rPr>
          <w:rFonts w:hint="eastAsia" w:ascii="仿宋_GB2312" w:hAnsi="宋体" w:eastAsia="仿宋_GB2312"/>
          <w:sz w:val="32"/>
          <w:szCs w:val="32"/>
          <w:lang w:val="en-US" w:eastAsia="zh-CN"/>
        </w:rPr>
        <w:t>.</w:t>
      </w:r>
      <w:r>
        <w:rPr>
          <w:rFonts w:hint="eastAsia" w:ascii="仿宋_GB2312" w:hAnsi="宋体" w:eastAsia="仿宋_GB2312"/>
          <w:sz w:val="32"/>
          <w:szCs w:val="32"/>
        </w:rPr>
        <w:t>公务员医疗补助</w:t>
      </w:r>
      <w:r>
        <w:rPr>
          <w:rFonts w:ascii="仿宋_GB2312" w:hAnsi="宋体" w:eastAsia="仿宋_GB2312"/>
          <w:sz w:val="32"/>
          <w:szCs w:val="32"/>
        </w:rPr>
        <w:t>2101103:2021</w:t>
      </w:r>
      <w:r>
        <w:rPr>
          <w:rFonts w:hint="eastAsia" w:ascii="仿宋_GB2312" w:hAnsi="宋体" w:eastAsia="仿宋_GB2312"/>
          <w:sz w:val="32"/>
          <w:szCs w:val="32"/>
        </w:rPr>
        <w:t>年支出决算数为</w:t>
      </w:r>
      <w:r>
        <w:rPr>
          <w:rFonts w:ascii="仿宋_GB2312" w:hAnsi="宋体" w:eastAsia="仿宋_GB2312"/>
          <w:sz w:val="32"/>
          <w:szCs w:val="32"/>
        </w:rPr>
        <w:t>3.28</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pStyle w:val="2"/>
        <w:ind w:firstLine="640" w:firstLineChars="200"/>
        <w:rPr>
          <w:rFonts w:ascii="仿宋_GB2312" w:hAnsi="宋体" w:eastAsia="仿宋_GB2312"/>
          <w:color w:val="000000"/>
          <w:sz w:val="32"/>
          <w:szCs w:val="32"/>
        </w:rPr>
      </w:pPr>
      <w:r>
        <w:rPr>
          <w:rStyle w:val="16"/>
          <w:rFonts w:ascii="仿宋_GB2312" w:hAnsi="宋体" w:eastAsia="仿宋_GB2312"/>
          <w:b w:val="0"/>
          <w:bCs/>
          <w:color w:val="000000"/>
          <w:sz w:val="32"/>
          <w:szCs w:val="32"/>
        </w:rPr>
        <w:t>2</w:t>
      </w:r>
      <w:r>
        <w:rPr>
          <w:rStyle w:val="16"/>
          <w:rFonts w:hint="eastAsia" w:ascii="仿宋_GB2312" w:hAnsi="宋体" w:eastAsia="仿宋_GB2312"/>
          <w:b w:val="0"/>
          <w:bCs/>
          <w:color w:val="000000"/>
          <w:sz w:val="32"/>
          <w:szCs w:val="32"/>
          <w:lang w:val="en-US" w:eastAsia="zh-CN"/>
        </w:rPr>
        <w:t>5.</w:t>
      </w:r>
      <w:r>
        <w:rPr>
          <w:rStyle w:val="16"/>
          <w:rFonts w:hint="eastAsia" w:ascii="仿宋_GB2312" w:hAnsi="宋体" w:eastAsia="仿宋_GB2312"/>
          <w:b w:val="0"/>
          <w:bCs/>
          <w:color w:val="000000"/>
          <w:sz w:val="32"/>
          <w:szCs w:val="32"/>
        </w:rPr>
        <w:t>其他农林水支出</w:t>
      </w:r>
      <w:r>
        <w:rPr>
          <w:rStyle w:val="16"/>
          <w:rFonts w:ascii="仿宋_GB2312" w:hAnsi="宋体" w:eastAsia="仿宋_GB2312"/>
          <w:b w:val="0"/>
          <w:bCs/>
          <w:color w:val="000000"/>
          <w:sz w:val="32"/>
          <w:szCs w:val="32"/>
        </w:rPr>
        <w:t>2139999</w:t>
      </w:r>
      <w:r>
        <w:rPr>
          <w:rStyle w:val="16"/>
          <w:rFonts w:hint="eastAsia" w:ascii="仿宋_GB2312" w:hAnsi="宋体" w:eastAsia="仿宋_GB2312"/>
          <w:b w:val="0"/>
          <w:bCs/>
          <w:color w:val="000000"/>
          <w:sz w:val="32"/>
          <w:szCs w:val="32"/>
        </w:rPr>
        <w:t>：</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70</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spacing w:line="590" w:lineRule="exact"/>
        <w:ind w:firstLine="640" w:firstLineChars="200"/>
        <w:rPr>
          <w:rFonts w:ascii="仿宋_GB2312" w:hAnsi="宋体" w:eastAsia="仿宋_GB2312"/>
          <w:color w:val="000000"/>
          <w:sz w:val="32"/>
          <w:szCs w:val="32"/>
        </w:rPr>
      </w:pPr>
      <w:r>
        <w:rPr>
          <w:rStyle w:val="16"/>
          <w:rFonts w:ascii="仿宋_GB2312" w:hAnsi="宋体" w:eastAsia="仿宋_GB2312"/>
          <w:b w:val="0"/>
          <w:bCs/>
          <w:color w:val="000000"/>
          <w:sz w:val="32"/>
          <w:szCs w:val="32"/>
        </w:rPr>
        <w:t>2</w:t>
      </w:r>
      <w:r>
        <w:rPr>
          <w:rStyle w:val="16"/>
          <w:rFonts w:hint="eastAsia" w:ascii="仿宋_GB2312" w:hAnsi="宋体" w:eastAsia="仿宋_GB2312"/>
          <w:b w:val="0"/>
          <w:bCs/>
          <w:color w:val="000000"/>
          <w:sz w:val="32"/>
          <w:szCs w:val="32"/>
          <w:lang w:val="en-US" w:eastAsia="zh-CN"/>
        </w:rPr>
        <w:t>6.</w:t>
      </w:r>
      <w:r>
        <w:rPr>
          <w:rStyle w:val="16"/>
          <w:rFonts w:hint="eastAsia" w:ascii="仿宋_GB2312" w:hAnsi="宋体" w:eastAsia="仿宋_GB2312"/>
          <w:b w:val="0"/>
          <w:bCs/>
          <w:color w:val="000000"/>
          <w:sz w:val="32"/>
          <w:szCs w:val="32"/>
        </w:rPr>
        <w:t>住房公积金</w:t>
      </w:r>
      <w:r>
        <w:rPr>
          <w:rStyle w:val="16"/>
          <w:rFonts w:ascii="仿宋_GB2312" w:hAnsi="宋体" w:eastAsia="仿宋_GB2312"/>
          <w:b w:val="0"/>
          <w:bCs/>
          <w:color w:val="000000"/>
          <w:sz w:val="32"/>
          <w:szCs w:val="32"/>
        </w:rPr>
        <w:t>2210201:</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40.</w:t>
      </w:r>
      <w:r>
        <w:rPr>
          <w:rFonts w:hint="eastAsia" w:ascii="仿宋_GB2312" w:hAnsi="宋体" w:eastAsia="仿宋_GB2312"/>
          <w:color w:val="000000"/>
          <w:sz w:val="32"/>
          <w:szCs w:val="32"/>
          <w:lang w:val="en-US" w:eastAsia="zh-CN"/>
        </w:rPr>
        <w:t>3</w:t>
      </w:r>
      <w:r>
        <w:rPr>
          <w:rFonts w:ascii="仿宋_GB2312" w:hAnsi="宋体" w:eastAsia="仿宋_GB2312"/>
          <w:color w:val="000000"/>
          <w:sz w:val="32"/>
          <w:szCs w:val="32"/>
        </w:rPr>
        <w:t>5</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pStyle w:val="2"/>
        <w:ind w:firstLine="640" w:firstLineChars="200"/>
        <w:rPr>
          <w:b/>
        </w:rPr>
      </w:pPr>
      <w:r>
        <w:rPr>
          <w:rStyle w:val="16"/>
          <w:rFonts w:ascii="仿宋_GB2312" w:hAnsi="宋体" w:eastAsia="仿宋_GB2312"/>
          <w:b w:val="0"/>
          <w:bCs/>
          <w:color w:val="000000"/>
          <w:sz w:val="32"/>
          <w:szCs w:val="32"/>
        </w:rPr>
        <w:t>2</w:t>
      </w:r>
      <w:r>
        <w:rPr>
          <w:rStyle w:val="16"/>
          <w:rFonts w:hint="eastAsia" w:ascii="仿宋_GB2312" w:hAnsi="宋体" w:eastAsia="仿宋_GB2312"/>
          <w:b w:val="0"/>
          <w:bCs/>
          <w:color w:val="000000"/>
          <w:sz w:val="32"/>
          <w:szCs w:val="32"/>
          <w:lang w:val="en-US" w:eastAsia="zh-CN"/>
        </w:rPr>
        <w:t>7.</w:t>
      </w:r>
      <w:r>
        <w:rPr>
          <w:rStyle w:val="16"/>
          <w:rFonts w:hint="eastAsia" w:ascii="仿宋_GB2312" w:hAnsi="宋体" w:eastAsia="仿宋_GB2312"/>
          <w:b w:val="0"/>
          <w:bCs/>
          <w:color w:val="000000"/>
          <w:sz w:val="32"/>
          <w:szCs w:val="32"/>
        </w:rPr>
        <w:t>其他支出</w:t>
      </w:r>
      <w:r>
        <w:rPr>
          <w:rStyle w:val="16"/>
          <w:rFonts w:hint="eastAsia" w:ascii="仿宋_GB2312" w:hAnsi="宋体" w:eastAsia="仿宋_GB2312"/>
          <w:b w:val="0"/>
          <w:bCs/>
          <w:color w:val="000000"/>
          <w:sz w:val="32"/>
          <w:szCs w:val="32"/>
          <w:lang w:val="en-US" w:eastAsia="zh-CN"/>
        </w:rPr>
        <w:t>2299999</w:t>
      </w:r>
      <w:r>
        <w:rPr>
          <w:rStyle w:val="16"/>
          <w:rFonts w:hint="eastAsia" w:ascii="仿宋_GB2312" w:hAnsi="宋体" w:eastAsia="仿宋_GB2312"/>
          <w:b w:val="0"/>
          <w:bCs/>
          <w:color w:val="000000"/>
          <w:sz w:val="32"/>
          <w:szCs w:val="32"/>
        </w:rPr>
        <w:t>：</w:t>
      </w:r>
      <w:r>
        <w:rPr>
          <w:rStyle w:val="16"/>
          <w:rFonts w:ascii="仿宋_GB2312" w:hAnsi="宋体" w:eastAsia="仿宋_GB2312"/>
          <w:b w:val="0"/>
          <w:bCs/>
          <w:color w:val="000000"/>
          <w:sz w:val="32"/>
          <w:szCs w:val="32"/>
        </w:rPr>
        <w:t>2021</w:t>
      </w:r>
      <w:r>
        <w:rPr>
          <w:rStyle w:val="16"/>
          <w:rFonts w:hint="eastAsia" w:ascii="仿宋_GB2312" w:hAnsi="宋体" w:eastAsia="仿宋_GB2312"/>
          <w:b w:val="0"/>
          <w:bCs/>
          <w:color w:val="000000"/>
          <w:sz w:val="32"/>
          <w:szCs w:val="32"/>
        </w:rPr>
        <w:t>年支出决算数为</w:t>
      </w:r>
      <w:r>
        <w:rPr>
          <w:rStyle w:val="16"/>
          <w:rFonts w:ascii="仿宋_GB2312" w:hAnsi="宋体" w:eastAsia="仿宋_GB2312"/>
          <w:b w:val="0"/>
          <w:bCs/>
          <w:color w:val="000000"/>
          <w:sz w:val="32"/>
          <w:szCs w:val="32"/>
        </w:rPr>
        <w:t>6</w:t>
      </w:r>
      <w:r>
        <w:rPr>
          <w:rStyle w:val="16"/>
          <w:rFonts w:hint="eastAsia" w:ascii="仿宋_GB2312" w:hAnsi="宋体" w:eastAsia="仿宋_GB2312"/>
          <w:b w:val="0"/>
          <w:bCs/>
          <w:color w:val="000000"/>
          <w:sz w:val="32"/>
          <w:szCs w:val="32"/>
        </w:rPr>
        <w:t>万元，完成预算</w:t>
      </w:r>
      <w:r>
        <w:rPr>
          <w:rStyle w:val="16"/>
          <w:rFonts w:ascii="仿宋_GB2312" w:hAnsi="宋体" w:eastAsia="仿宋_GB2312"/>
          <w:b w:val="0"/>
          <w:bCs/>
          <w:color w:val="000000"/>
          <w:sz w:val="32"/>
          <w:szCs w:val="32"/>
        </w:rPr>
        <w:t>100%</w:t>
      </w:r>
      <w:r>
        <w:rPr>
          <w:rStyle w:val="16"/>
          <w:rFonts w:hint="eastAsia" w:ascii="仿宋_GB2312" w:hAnsi="宋体" w:eastAsia="仿宋_GB2312"/>
          <w:b w:val="0"/>
          <w:bCs/>
          <w:color w:val="000000"/>
          <w:sz w:val="32"/>
          <w:szCs w:val="32"/>
        </w:rPr>
        <w:t>。</w:t>
      </w:r>
    </w:p>
    <w:bookmarkEnd w:id="66"/>
    <w:p>
      <w:pPr>
        <w:tabs>
          <w:tab w:val="right" w:pos="8306"/>
        </w:tabs>
        <w:spacing w:line="600" w:lineRule="exact"/>
        <w:ind w:firstLine="640"/>
        <w:outlineLvl w:val="1"/>
        <w:rPr>
          <w:rStyle w:val="21"/>
        </w:rPr>
      </w:pPr>
      <w:bookmarkStart w:id="67" w:name="_Toc52180085"/>
      <w:bookmarkStart w:id="68" w:name="_Toc15377214"/>
      <w:bookmarkStart w:id="69"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1"/>
          <w:rFonts w:hint="eastAsia" w:ascii="黑体" w:hAnsi="黑体" w:eastAsia="黑体"/>
          <w:b w:val="0"/>
        </w:rPr>
        <w:t>般公共预算财政拨款基本支出决算情况说明</w:t>
      </w:r>
      <w:bookmarkEnd w:id="67"/>
      <w:bookmarkEnd w:id="68"/>
      <w:bookmarkEnd w:id="69"/>
      <w:r>
        <w:rPr>
          <w:rStyle w:val="21"/>
          <w:rFonts w:ascii="黑体" w:hAnsi="黑体" w:eastAsia="黑体"/>
          <w:b w:val="0"/>
        </w:rPr>
        <w:tab/>
      </w:r>
    </w:p>
    <w:p>
      <w:pPr>
        <w:spacing w:line="600" w:lineRule="exact"/>
        <w:ind w:firstLine="645"/>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年一般公共预算财政拨款基本支出</w:t>
      </w:r>
      <w:r>
        <w:rPr>
          <w:rFonts w:ascii="仿宋_GB2312" w:hAnsi="仿宋" w:eastAsia="仿宋_GB2312"/>
          <w:color w:val="000000"/>
          <w:sz w:val="32"/>
          <w:szCs w:val="32"/>
        </w:rPr>
        <w:t>546.66</w:t>
      </w:r>
      <w:r>
        <w:rPr>
          <w:rFonts w:hint="eastAsia" w:ascii="仿宋_GB2312" w:hAnsi="仿宋" w:eastAsia="仿宋_GB2312"/>
          <w:color w:val="000000"/>
          <w:sz w:val="32"/>
          <w:szCs w:val="32"/>
        </w:rPr>
        <w:t>万元，其中：</w:t>
      </w:r>
    </w:p>
    <w:p>
      <w:pPr>
        <w:spacing w:line="600" w:lineRule="exact"/>
        <w:ind w:firstLine="645"/>
        <w:rPr>
          <w:rFonts w:ascii="仿宋_GB2312" w:hAnsi="仿宋" w:eastAsia="仿宋_GB2312"/>
          <w:color w:val="000000"/>
          <w:sz w:val="32"/>
          <w:szCs w:val="32"/>
        </w:rPr>
      </w:pPr>
      <w:r>
        <w:rPr>
          <w:rFonts w:hint="eastAsia" w:ascii="仿宋_GB2312" w:hAnsi="仿宋" w:eastAsia="仿宋_GB2312"/>
          <w:color w:val="000000"/>
          <w:sz w:val="32"/>
          <w:szCs w:val="32"/>
        </w:rPr>
        <w:t>人员经费</w:t>
      </w:r>
      <w:r>
        <w:rPr>
          <w:rFonts w:ascii="仿宋_GB2312" w:hAnsi="仿宋" w:eastAsia="仿宋_GB2312"/>
          <w:color w:val="000000"/>
          <w:sz w:val="32"/>
          <w:szCs w:val="32"/>
        </w:rPr>
        <w:t>500.22</w:t>
      </w:r>
      <w:r>
        <w:rPr>
          <w:rFonts w:hint="eastAsia" w:ascii="仿宋_GB2312" w:hAnsi="仿宋" w:eastAsia="仿宋_GB2312"/>
          <w:color w:val="000000"/>
          <w:sz w:val="32"/>
          <w:szCs w:val="32"/>
        </w:rPr>
        <w:t>万元，</w:t>
      </w:r>
      <w:r>
        <w:rPr>
          <w:rFonts w:hint="eastAsia" w:ascii="仿宋_GB2312" w:hAnsi="仿宋" w:eastAsia="仿宋_GB2312"/>
          <w:color w:val="000000"/>
          <w:sz w:val="32"/>
          <w:szCs w:val="32"/>
          <w:lang w:eastAsia="zh-CN"/>
        </w:rPr>
        <w:t>其中工资福利支出</w:t>
      </w:r>
      <w:r>
        <w:rPr>
          <w:rFonts w:hint="eastAsia" w:ascii="仿宋_GB2312" w:hAnsi="仿宋" w:eastAsia="仿宋_GB2312"/>
          <w:color w:val="000000"/>
          <w:sz w:val="32"/>
          <w:szCs w:val="32"/>
          <w:lang w:val="en-US" w:eastAsia="zh-CN"/>
        </w:rPr>
        <w:t>450.78万元，对个人和家庭的补助49.45万元。</w:t>
      </w:r>
      <w:r>
        <w:rPr>
          <w:rFonts w:hint="eastAsia" w:ascii="仿宋_GB2312" w:hAnsi="仿宋" w:eastAsia="仿宋_GB2312"/>
          <w:color w:val="000000"/>
          <w:sz w:val="32"/>
          <w:szCs w:val="32"/>
        </w:rPr>
        <w:t>主要包括：基本工资、津贴补贴、奖金、绩效工资、机关事业单位基本养老保险缴费、其他社会保障缴费、退休费、抚恤金、生活补助、医疗费补助、奖励金、住房公积金、其他对个人和家庭的补助支出等。</w:t>
      </w:r>
      <w:r>
        <w:rPr>
          <w:rFonts w:ascii="仿宋_GB2312" w:hAnsi="仿宋" w:eastAsia="仿宋_GB2312"/>
          <w:color w:val="000000"/>
          <w:sz w:val="32"/>
          <w:szCs w:val="32"/>
        </w:rPr>
        <w:br w:type="textWrapping"/>
      </w:r>
      <w:r>
        <w:rPr>
          <w:rFonts w:hint="eastAsia" w:ascii="仿宋_GB2312" w:hAnsi="仿宋" w:eastAsia="仿宋_GB2312"/>
          <w:color w:val="000000"/>
          <w:sz w:val="32"/>
          <w:szCs w:val="32"/>
        </w:rPr>
        <w:t>　　日常公用经费</w:t>
      </w:r>
      <w:r>
        <w:rPr>
          <w:rFonts w:ascii="仿宋_GB2312" w:hAnsi="仿宋" w:eastAsia="仿宋_GB2312"/>
          <w:color w:val="000000"/>
          <w:sz w:val="32"/>
          <w:szCs w:val="32"/>
        </w:rPr>
        <w:t>46.44</w:t>
      </w:r>
      <w:r>
        <w:rPr>
          <w:rFonts w:hint="eastAsia" w:ascii="仿宋_GB2312" w:hAnsi="仿宋" w:eastAsia="仿宋_GB2312"/>
          <w:color w:val="000000"/>
          <w:sz w:val="32"/>
          <w:szCs w:val="32"/>
        </w:rPr>
        <w:t>万元，主要包括：办公费、印刷费、手续费、水费、电费、邮电费、物业管理费、差旅费、维修（护）费、租赁费、会议费、培训费、公务接待费、劳务费、委托业务费、工会经费、福利费、其他交通费、其他商品和服务支出等。</w:t>
      </w:r>
    </w:p>
    <w:p>
      <w:pPr>
        <w:spacing w:line="600" w:lineRule="exact"/>
        <w:ind w:firstLine="640"/>
        <w:outlineLvl w:val="1"/>
        <w:rPr>
          <w:rStyle w:val="21"/>
          <w:rFonts w:ascii="黑体" w:hAnsi="黑体" w:eastAsia="黑体"/>
          <w:b w:val="0"/>
        </w:rPr>
      </w:pPr>
      <w:bookmarkStart w:id="70" w:name="_Toc15377215"/>
      <w:bookmarkStart w:id="71" w:name="_Toc52180086"/>
      <w:bookmarkStart w:id="72" w:name="_Toc15396609"/>
      <w:r>
        <w:rPr>
          <w:rFonts w:hint="eastAsia" w:ascii="黑体" w:eastAsia="黑体"/>
          <w:color w:val="000000"/>
          <w:sz w:val="32"/>
          <w:szCs w:val="32"/>
        </w:rPr>
        <w:t>七、</w:t>
      </w:r>
      <w:r>
        <w:rPr>
          <w:rStyle w:val="21"/>
          <w:rFonts w:hint="eastAsia" w:ascii="黑体" w:hAnsi="黑体" w:eastAsia="黑体"/>
        </w:rPr>
        <w:t>“</w:t>
      </w:r>
      <w:r>
        <w:rPr>
          <w:rStyle w:val="21"/>
          <w:rFonts w:hint="eastAsia" w:ascii="黑体" w:hAnsi="黑体" w:eastAsia="黑体"/>
          <w:b w:val="0"/>
        </w:rPr>
        <w:t>三公”经费财政拨款支出决算情况说明</w:t>
      </w:r>
      <w:bookmarkEnd w:id="70"/>
      <w:bookmarkEnd w:id="71"/>
      <w:bookmarkEnd w:id="72"/>
    </w:p>
    <w:p>
      <w:pPr>
        <w:spacing w:line="600" w:lineRule="exact"/>
        <w:ind w:firstLine="640"/>
        <w:outlineLvl w:val="2"/>
        <w:rPr>
          <w:rFonts w:ascii="仿宋" w:hAnsi="仿宋" w:eastAsia="仿宋"/>
          <w:color w:val="000000"/>
          <w:sz w:val="32"/>
          <w:szCs w:val="32"/>
        </w:rPr>
      </w:pPr>
      <w:bookmarkStart w:id="73" w:name="_Toc15377216"/>
      <w:bookmarkStart w:id="74" w:name="_Toc52180087"/>
      <w:r>
        <w:rPr>
          <w:rFonts w:hint="eastAsia" w:ascii="仿宋" w:hAnsi="仿宋" w:eastAsia="仿宋"/>
          <w:color w:val="000000"/>
          <w:sz w:val="32"/>
          <w:szCs w:val="32"/>
        </w:rPr>
        <w:t>（一）“三公”经费财政拨款支出决算总体情况说明</w:t>
      </w:r>
      <w:bookmarkEnd w:id="73"/>
      <w:bookmarkEnd w:id="74"/>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年“三公”经费财政拨款支出决算为</w:t>
      </w:r>
      <w:r>
        <w:rPr>
          <w:rFonts w:ascii="仿宋_GB2312" w:hAnsi="仿宋" w:eastAsia="仿宋_GB2312"/>
          <w:color w:val="000000"/>
          <w:sz w:val="32"/>
          <w:szCs w:val="32"/>
        </w:rPr>
        <w:t>0.47</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，决算数等于预算数。</w:t>
      </w:r>
    </w:p>
    <w:p>
      <w:pPr>
        <w:spacing w:line="600" w:lineRule="exact"/>
        <w:ind w:firstLine="640"/>
        <w:outlineLvl w:val="2"/>
        <w:rPr>
          <w:rFonts w:ascii="仿宋" w:hAnsi="仿宋" w:eastAsia="仿宋"/>
          <w:color w:val="000000"/>
          <w:sz w:val="32"/>
          <w:szCs w:val="32"/>
        </w:rPr>
      </w:pPr>
      <w:bookmarkStart w:id="75" w:name="_Toc15377217"/>
      <w:bookmarkStart w:id="76" w:name="_Toc52180088"/>
      <w:r>
        <w:rPr>
          <w:rFonts w:hint="eastAsia" w:ascii="仿宋" w:hAnsi="仿宋" w:eastAsia="仿宋"/>
          <w:color w:val="000000"/>
          <w:sz w:val="32"/>
          <w:szCs w:val="32"/>
        </w:rPr>
        <w:t>（二）“三公”经费财政拨款支出决算具体情况说明</w:t>
      </w:r>
      <w:bookmarkEnd w:id="75"/>
      <w:bookmarkEnd w:id="76"/>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年“三公”经费财政拨款支出决算中，因公出国（境）费支出决算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；公务用车购置及运行维护费支出决算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；公务接待费支出决算</w:t>
      </w:r>
      <w:r>
        <w:rPr>
          <w:rFonts w:ascii="仿宋_GB2312" w:hAnsi="仿宋" w:eastAsia="仿宋_GB2312"/>
          <w:color w:val="000000"/>
          <w:sz w:val="32"/>
          <w:szCs w:val="32"/>
        </w:rPr>
        <w:t>0.47</w:t>
      </w:r>
      <w:r>
        <w:rPr>
          <w:rFonts w:hint="eastAsia" w:ascii="仿宋_GB2312" w:hAnsi="仿宋" w:eastAsia="仿宋_GB2312"/>
          <w:color w:val="000000"/>
          <w:sz w:val="32"/>
          <w:szCs w:val="32"/>
        </w:rPr>
        <w:t>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。具体情况如下：</w:t>
      </w:r>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b/>
          <w:color w:val="000000"/>
          <w:sz w:val="32"/>
          <w:szCs w:val="32"/>
        </w:rPr>
        <w:t>因公出国（境）经费支出</w:t>
      </w:r>
      <w:r>
        <w:rPr>
          <w:rFonts w:ascii="仿宋_GB2312" w:eastAsia="仿宋_GB2312"/>
          <w:color w:val="000000"/>
          <w:sz w:val="32"/>
          <w:szCs w:val="32"/>
        </w:rPr>
        <w:t>0</w:t>
      </w:r>
      <w:r>
        <w:rPr>
          <w:rFonts w:hint="eastAsia" w:ascii="仿宋_GB2312" w:eastAsia="仿宋_GB2312"/>
          <w:color w:val="000000"/>
          <w:sz w:val="32"/>
          <w:szCs w:val="32"/>
        </w:rPr>
        <w:t>万元，</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0%</w:t>
      </w:r>
      <w:r>
        <w:rPr>
          <w:rStyle w:val="16"/>
          <w:rFonts w:hint="eastAsia" w:ascii="仿宋_GB2312" w:hAnsi="仿宋" w:eastAsia="仿宋_GB2312"/>
          <w:b w:val="0"/>
          <w:bCs/>
          <w:color w:val="000000"/>
          <w:sz w:val="32"/>
          <w:szCs w:val="32"/>
        </w:rPr>
        <w:t>。</w:t>
      </w:r>
      <w:r>
        <w:rPr>
          <w:rFonts w:hint="eastAsia" w:ascii="仿宋_GB2312" w:eastAsia="仿宋_GB2312"/>
          <w:color w:val="000000"/>
          <w:sz w:val="32"/>
          <w:szCs w:val="32"/>
        </w:rPr>
        <w:t>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2020</w:t>
      </w:r>
      <w:r>
        <w:rPr>
          <w:rFonts w:hint="eastAsia" w:ascii="仿宋_GB2312" w:eastAsia="仿宋_GB2312"/>
          <w:color w:val="000000"/>
          <w:sz w:val="32"/>
          <w:szCs w:val="32"/>
        </w:rPr>
        <w:t>年增加</w:t>
      </w:r>
      <w:r>
        <w:rPr>
          <w:rFonts w:ascii="仿宋_GB2312" w:eastAsia="仿宋_GB2312"/>
          <w:color w:val="000000"/>
          <w:sz w:val="32"/>
          <w:szCs w:val="32"/>
        </w:rPr>
        <w:t>0</w:t>
      </w:r>
      <w:r>
        <w:rPr>
          <w:rFonts w:hint="eastAsia" w:ascii="仿宋_GB2312" w:eastAsia="仿宋_GB2312"/>
          <w:color w:val="000000"/>
          <w:sz w:val="32"/>
          <w:szCs w:val="32"/>
        </w:rPr>
        <w:t>万元，增长</w:t>
      </w:r>
      <w:r>
        <w:rPr>
          <w:rFonts w:ascii="仿宋_GB2312" w:eastAsia="仿宋_GB2312"/>
          <w:color w:val="000000"/>
          <w:sz w:val="32"/>
          <w:szCs w:val="32"/>
        </w:rPr>
        <w:t>0%</w:t>
      </w:r>
      <w:r>
        <w:rPr>
          <w:rFonts w:hint="eastAsia" w:ascii="仿宋_GB2312" w:eastAsia="仿宋_GB2312"/>
          <w:color w:val="000000"/>
          <w:sz w:val="32"/>
          <w:szCs w:val="32"/>
        </w:rPr>
        <w:t>。</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color w:val="000000"/>
          <w:sz w:val="32"/>
          <w:szCs w:val="32"/>
        </w:rPr>
        <w:t>0</w:t>
      </w:r>
      <w:r>
        <w:rPr>
          <w:rFonts w:hint="eastAsia" w:ascii="仿宋_GB2312" w:eastAsia="仿宋_GB2312"/>
          <w:color w:val="000000"/>
          <w:sz w:val="32"/>
          <w:szCs w:val="32"/>
        </w:rPr>
        <w:t>万元</w:t>
      </w:r>
      <w:r>
        <w:rPr>
          <w:rFonts w:ascii="仿宋_GB2312" w:eastAsia="仿宋_GB2312"/>
          <w:color w:val="000000"/>
          <w:sz w:val="32"/>
          <w:szCs w:val="32"/>
        </w:rPr>
        <w:t>,</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0%</w:t>
      </w:r>
      <w:r>
        <w:rPr>
          <w:rStyle w:val="16"/>
          <w:rFonts w:hint="eastAsia" w:ascii="仿宋_GB2312" w:hAnsi="仿宋" w:eastAsia="仿宋_GB2312"/>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2020</w:t>
      </w:r>
      <w:r>
        <w:rPr>
          <w:rFonts w:hint="eastAsia" w:ascii="仿宋_GB2312" w:eastAsia="仿宋_GB2312"/>
          <w:color w:val="000000"/>
          <w:sz w:val="32"/>
          <w:szCs w:val="32"/>
        </w:rPr>
        <w:t>年增加</w:t>
      </w:r>
      <w:r>
        <w:rPr>
          <w:rFonts w:ascii="仿宋_GB2312" w:eastAsia="仿宋_GB2312"/>
          <w:color w:val="000000"/>
          <w:sz w:val="32"/>
          <w:szCs w:val="32"/>
        </w:rPr>
        <w:t>0</w:t>
      </w:r>
      <w:r>
        <w:rPr>
          <w:rFonts w:hint="eastAsia" w:ascii="仿宋_GB2312" w:eastAsia="仿宋_GB2312"/>
          <w:color w:val="000000"/>
          <w:sz w:val="32"/>
          <w:szCs w:val="32"/>
        </w:rPr>
        <w:t>万元，增长</w:t>
      </w:r>
      <w:r>
        <w:rPr>
          <w:rFonts w:ascii="仿宋_GB2312" w:eastAsia="仿宋_GB2312"/>
          <w:color w:val="000000"/>
          <w:sz w:val="32"/>
          <w:szCs w:val="32"/>
        </w:rPr>
        <w:t>0%</w:t>
      </w:r>
      <w:r>
        <w:rPr>
          <w:rFonts w:hint="eastAsia" w:ascii="仿宋_GB2312" w:eastAsia="仿宋_GB2312"/>
          <w:color w:val="000000"/>
          <w:sz w:val="32"/>
          <w:szCs w:val="32"/>
        </w:rPr>
        <w:t>。</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ascii="仿宋_GB2312" w:eastAsia="仿宋_GB2312"/>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元。截至年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0</w:t>
      </w:r>
      <w:r>
        <w:rPr>
          <w:rFonts w:hint="eastAsia" w:ascii="仿宋_GB2312" w:eastAsia="仿宋_GB2312"/>
          <w:color w:val="000000"/>
          <w:sz w:val="32"/>
          <w:szCs w:val="32"/>
        </w:rPr>
        <w:t>辆，其中：主要领导干部用车</w:t>
      </w:r>
      <w:r>
        <w:rPr>
          <w:rFonts w:ascii="仿宋_GB2312" w:eastAsia="仿宋_GB2312"/>
          <w:color w:val="000000"/>
          <w:sz w:val="32"/>
          <w:szCs w:val="32"/>
        </w:rPr>
        <w:t>0</w:t>
      </w:r>
      <w:r>
        <w:rPr>
          <w:rFonts w:hint="eastAsia" w:ascii="仿宋_GB2312" w:eastAsia="仿宋_GB2312"/>
          <w:color w:val="000000"/>
          <w:sz w:val="32"/>
          <w:szCs w:val="32"/>
        </w:rPr>
        <w:t>辆、机要通信用车</w:t>
      </w:r>
      <w:r>
        <w:rPr>
          <w:rFonts w:ascii="仿宋_GB2312" w:eastAsia="仿宋_GB2312"/>
          <w:color w:val="000000"/>
          <w:sz w:val="32"/>
          <w:szCs w:val="32"/>
        </w:rPr>
        <w:t>0</w:t>
      </w:r>
      <w:r>
        <w:rPr>
          <w:rFonts w:hint="eastAsia" w:ascii="仿宋_GB2312" w:eastAsia="仿宋_GB2312"/>
          <w:color w:val="000000"/>
          <w:sz w:val="32"/>
          <w:szCs w:val="32"/>
        </w:rPr>
        <w:t>辆、应急保障用车</w:t>
      </w:r>
      <w:r>
        <w:rPr>
          <w:rFonts w:ascii="仿宋_GB2312" w:eastAsia="仿宋_GB2312"/>
          <w:color w:val="000000"/>
          <w:sz w:val="32"/>
          <w:szCs w:val="32"/>
        </w:rPr>
        <w:t>0</w:t>
      </w:r>
      <w:r>
        <w:rPr>
          <w:rFonts w:hint="eastAsia" w:ascii="仿宋_GB2312" w:eastAsia="仿宋_GB2312"/>
          <w:color w:val="000000"/>
          <w:sz w:val="32"/>
          <w:szCs w:val="32"/>
        </w:rPr>
        <w:t>辆、执法执勤用车</w:t>
      </w:r>
      <w:r>
        <w:rPr>
          <w:rFonts w:ascii="仿宋_GB2312" w:eastAsia="仿宋_GB2312"/>
          <w:color w:val="000000"/>
          <w:sz w:val="32"/>
          <w:szCs w:val="32"/>
        </w:rPr>
        <w:t>0</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ascii="仿宋_GB2312" w:eastAsia="仿宋_GB2312"/>
          <w:color w:val="000000"/>
          <w:sz w:val="32"/>
          <w:szCs w:val="32"/>
        </w:rPr>
        <w:t>0</w:t>
      </w:r>
      <w:r>
        <w:rPr>
          <w:rFonts w:hint="eastAsia" w:ascii="仿宋_GB2312" w:eastAsia="仿宋_GB2312"/>
          <w:color w:val="000000"/>
          <w:sz w:val="32"/>
          <w:szCs w:val="32"/>
        </w:rPr>
        <w:t>万元。没有公务用车燃料费、维修费、过路过桥费、保险费等支出。</w:t>
      </w:r>
    </w:p>
    <w:p>
      <w:pPr>
        <w:spacing w:line="59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color w:val="000000"/>
          <w:sz w:val="32"/>
          <w:szCs w:val="32"/>
        </w:rPr>
        <w:t>0.47</w:t>
      </w:r>
      <w:r>
        <w:rPr>
          <w:rFonts w:hint="eastAsia" w:ascii="仿宋_GB2312" w:eastAsia="仿宋_GB2312"/>
          <w:color w:val="000000"/>
          <w:sz w:val="32"/>
          <w:szCs w:val="32"/>
        </w:rPr>
        <w:t>万元，</w:t>
      </w:r>
      <w:r>
        <w:rPr>
          <w:rStyle w:val="16"/>
          <w:rFonts w:hint="eastAsia" w:ascii="仿宋_GB2312" w:hAnsi="仿宋" w:eastAsia="仿宋_GB2312"/>
          <w:b w:val="0"/>
          <w:bCs/>
          <w:color w:val="000000"/>
          <w:sz w:val="32"/>
          <w:szCs w:val="32"/>
        </w:rPr>
        <w:t>完成预算</w:t>
      </w:r>
      <w:r>
        <w:rPr>
          <w:rStyle w:val="16"/>
          <w:rFonts w:ascii="仿宋_GB2312" w:hAnsi="仿宋" w:eastAsia="仿宋_GB2312"/>
          <w:b w:val="0"/>
          <w:bCs/>
          <w:color w:val="000000"/>
          <w:sz w:val="32"/>
          <w:szCs w:val="32"/>
        </w:rPr>
        <w:t>100%</w:t>
      </w:r>
      <w:r>
        <w:rPr>
          <w:rStyle w:val="16"/>
          <w:rFonts w:hint="eastAsia" w:ascii="仿宋_GB2312" w:hAnsi="仿宋" w:eastAsia="仿宋_GB2312"/>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2020</w:t>
      </w:r>
      <w:r>
        <w:rPr>
          <w:rFonts w:hint="eastAsia" w:ascii="仿宋_GB2312" w:eastAsia="仿宋_GB2312"/>
          <w:color w:val="000000"/>
          <w:sz w:val="32"/>
          <w:szCs w:val="32"/>
        </w:rPr>
        <w:t>年增加</w:t>
      </w:r>
      <w:r>
        <w:rPr>
          <w:rFonts w:ascii="仿宋_GB2312" w:eastAsia="仿宋_GB2312"/>
          <w:color w:val="000000"/>
          <w:sz w:val="32"/>
          <w:szCs w:val="32"/>
        </w:rPr>
        <w:t>0.06</w:t>
      </w:r>
      <w:r>
        <w:rPr>
          <w:rFonts w:hint="eastAsia" w:ascii="仿宋_GB2312" w:eastAsia="仿宋_GB2312"/>
          <w:color w:val="000000"/>
          <w:sz w:val="32"/>
          <w:szCs w:val="32"/>
        </w:rPr>
        <w:t>万元，增加</w:t>
      </w:r>
      <w:r>
        <w:rPr>
          <w:rFonts w:ascii="仿宋_GB2312" w:eastAsia="仿宋_GB2312"/>
          <w:color w:val="000000"/>
          <w:sz w:val="32"/>
          <w:szCs w:val="32"/>
        </w:rPr>
        <w:t>14.63%</w:t>
      </w:r>
      <w:r>
        <w:rPr>
          <w:rFonts w:hint="eastAsia" w:ascii="仿宋_GB2312" w:eastAsia="仿宋_GB2312"/>
          <w:color w:val="000000"/>
          <w:sz w:val="32"/>
          <w:szCs w:val="32"/>
        </w:rPr>
        <w:t>。主要原因是</w:t>
      </w:r>
      <w:r>
        <w:rPr>
          <w:rFonts w:ascii="仿宋_GB2312" w:eastAsia="仿宋_GB2312"/>
          <w:color w:val="000000"/>
          <w:sz w:val="32"/>
          <w:szCs w:val="32"/>
        </w:rPr>
        <w:t>2021</w:t>
      </w:r>
      <w:r>
        <w:rPr>
          <w:rFonts w:hint="eastAsia" w:ascii="仿宋_GB2312" w:eastAsia="仿宋_GB2312"/>
          <w:color w:val="000000"/>
          <w:sz w:val="32"/>
          <w:szCs w:val="32"/>
        </w:rPr>
        <w:t>年今年的工作恢复正常，增加了公务接待活动次数。</w:t>
      </w:r>
    </w:p>
    <w:p>
      <w:pPr>
        <w:spacing w:line="600" w:lineRule="exact"/>
        <w:ind w:firstLine="640"/>
        <w:rPr>
          <w:rFonts w:ascii="仿宋_GB2312" w:eastAsia="仿宋_GB2312"/>
          <w:sz w:val="32"/>
          <w:szCs w:val="32"/>
        </w:rPr>
      </w:pPr>
      <w:r>
        <w:rPr>
          <w:rFonts w:hint="eastAsia" w:ascii="仿宋_GB2312" w:hAnsi="仿宋" w:eastAsia="仿宋_GB2312"/>
          <w:b/>
          <w:color w:val="000000"/>
          <w:sz w:val="32"/>
          <w:szCs w:val="32"/>
        </w:rPr>
        <w:t>国内公务接待支出</w:t>
      </w:r>
      <w:r>
        <w:rPr>
          <w:rFonts w:ascii="仿宋_GB2312" w:hAnsi="仿宋" w:eastAsia="仿宋_GB2312"/>
          <w:color w:val="000000"/>
          <w:sz w:val="32"/>
          <w:szCs w:val="32"/>
        </w:rPr>
        <w:t>0.47</w:t>
      </w:r>
      <w:r>
        <w:rPr>
          <w:rFonts w:hint="eastAsia" w:ascii="仿宋_GB2312" w:eastAsia="仿宋_GB2312"/>
          <w:color w:val="000000"/>
          <w:sz w:val="32"/>
          <w:szCs w:val="32"/>
        </w:rPr>
        <w:t>万元，主要用于执行公务、开展业务活动开支的交通费、住宿费、用餐费等。</w:t>
      </w:r>
      <w:r>
        <w:rPr>
          <w:rFonts w:hint="eastAsia" w:ascii="仿宋_GB2312" w:eastAsia="仿宋_GB2312"/>
          <w:sz w:val="32"/>
          <w:szCs w:val="32"/>
        </w:rPr>
        <w:t>国内公务接待</w:t>
      </w:r>
      <w:r>
        <w:rPr>
          <w:rFonts w:ascii="仿宋_GB2312" w:eastAsia="仿宋_GB2312"/>
          <w:sz w:val="32"/>
          <w:szCs w:val="32"/>
        </w:rPr>
        <w:t>8</w:t>
      </w:r>
      <w:r>
        <w:rPr>
          <w:rFonts w:hint="eastAsia" w:ascii="仿宋_GB2312" w:eastAsia="仿宋_GB2312"/>
          <w:sz w:val="32"/>
          <w:szCs w:val="32"/>
        </w:rPr>
        <w:t>批次，</w:t>
      </w:r>
      <w:r>
        <w:rPr>
          <w:rFonts w:ascii="仿宋_GB2312" w:eastAsia="仿宋_GB2312"/>
          <w:sz w:val="32"/>
          <w:szCs w:val="32"/>
        </w:rPr>
        <w:t>77</w:t>
      </w:r>
      <w:r>
        <w:rPr>
          <w:rFonts w:hint="eastAsia" w:ascii="仿宋_GB2312" w:eastAsia="仿宋_GB2312"/>
          <w:sz w:val="32"/>
          <w:szCs w:val="32"/>
        </w:rPr>
        <w:t>人次（不包括陪同人员），共计支出</w:t>
      </w:r>
      <w:r>
        <w:rPr>
          <w:rFonts w:ascii="仿宋_GB2312" w:eastAsia="仿宋_GB2312"/>
          <w:sz w:val="32"/>
          <w:szCs w:val="32"/>
        </w:rPr>
        <w:t>0.47</w:t>
      </w:r>
      <w:r>
        <w:rPr>
          <w:rFonts w:hint="eastAsia" w:ascii="仿宋_GB2312" w:eastAsia="仿宋_GB2312"/>
          <w:sz w:val="32"/>
          <w:szCs w:val="32"/>
        </w:rPr>
        <w:t>万元。具体内容包括：接待文旅市场执法检查</w:t>
      </w:r>
      <w:r>
        <w:rPr>
          <w:rFonts w:ascii="仿宋_GB2312" w:eastAsia="仿宋_GB2312"/>
          <w:sz w:val="32"/>
          <w:szCs w:val="32"/>
        </w:rPr>
        <w:t>1400</w:t>
      </w:r>
      <w:r>
        <w:rPr>
          <w:rFonts w:hint="eastAsia" w:ascii="仿宋_GB2312" w:eastAsia="仿宋_GB2312"/>
          <w:sz w:val="32"/>
          <w:szCs w:val="32"/>
        </w:rPr>
        <w:t>元，支付</w:t>
      </w:r>
      <w:r>
        <w:rPr>
          <w:rFonts w:hint="eastAsia" w:ascii="仿宋_GB2312" w:eastAsia="仿宋_GB2312"/>
          <w:sz w:val="32"/>
          <w:szCs w:val="32"/>
          <w:lang w:eastAsia="zh-CN"/>
        </w:rPr>
        <w:t>A级旅游景区</w:t>
      </w:r>
      <w:r>
        <w:rPr>
          <w:rFonts w:hint="eastAsia" w:ascii="仿宋_GB2312" w:eastAsia="仿宋_GB2312"/>
          <w:sz w:val="32"/>
          <w:szCs w:val="32"/>
        </w:rPr>
        <w:t>现场复核接待费</w:t>
      </w:r>
      <w:r>
        <w:rPr>
          <w:rFonts w:ascii="仿宋_GB2312" w:eastAsia="仿宋_GB2312"/>
          <w:sz w:val="32"/>
          <w:szCs w:val="32"/>
        </w:rPr>
        <w:t>629</w:t>
      </w:r>
      <w:r>
        <w:rPr>
          <w:rFonts w:hint="eastAsia" w:ascii="仿宋_GB2312" w:eastAsia="仿宋_GB2312"/>
          <w:sz w:val="32"/>
          <w:szCs w:val="32"/>
        </w:rPr>
        <w:t>元，支付餐饮名店初审接待费</w:t>
      </w:r>
      <w:r>
        <w:rPr>
          <w:rFonts w:ascii="仿宋_GB2312" w:eastAsia="仿宋_GB2312"/>
          <w:sz w:val="32"/>
          <w:szCs w:val="32"/>
        </w:rPr>
        <w:t>540</w:t>
      </w:r>
      <w:r>
        <w:rPr>
          <w:rFonts w:hint="eastAsia" w:ascii="仿宋_GB2312" w:eastAsia="仿宋_GB2312"/>
          <w:sz w:val="32"/>
          <w:szCs w:val="32"/>
        </w:rPr>
        <w:t>元，支付红色资源调研接待费</w:t>
      </w:r>
      <w:r>
        <w:rPr>
          <w:rFonts w:ascii="仿宋_GB2312" w:eastAsia="仿宋_GB2312"/>
          <w:sz w:val="32"/>
          <w:szCs w:val="32"/>
        </w:rPr>
        <w:t>700</w:t>
      </w:r>
      <w:r>
        <w:rPr>
          <w:rFonts w:hint="eastAsia" w:ascii="仿宋_GB2312" w:eastAsia="仿宋_GB2312"/>
          <w:sz w:val="32"/>
          <w:szCs w:val="32"/>
        </w:rPr>
        <w:t>元，接待国有资产航拍</w:t>
      </w:r>
      <w:r>
        <w:rPr>
          <w:rFonts w:ascii="仿宋_GB2312" w:eastAsia="仿宋_GB2312"/>
          <w:sz w:val="32"/>
          <w:szCs w:val="32"/>
        </w:rPr>
        <w:t>280</w:t>
      </w:r>
      <w:r>
        <w:rPr>
          <w:rFonts w:hint="eastAsia" w:ascii="仿宋_GB2312" w:eastAsia="仿宋_GB2312"/>
          <w:sz w:val="32"/>
          <w:szCs w:val="32"/>
        </w:rPr>
        <w:t>元，支付“熊猫专列”红色旅游首发活动接待费</w:t>
      </w:r>
      <w:r>
        <w:rPr>
          <w:rFonts w:ascii="仿宋_GB2312" w:eastAsia="仿宋_GB2312"/>
          <w:sz w:val="32"/>
          <w:szCs w:val="32"/>
        </w:rPr>
        <w:t>460</w:t>
      </w:r>
      <w:r>
        <w:rPr>
          <w:rFonts w:hint="eastAsia" w:ascii="仿宋_GB2312" w:eastAsia="仿宋_GB2312"/>
          <w:sz w:val="32"/>
          <w:szCs w:val="32"/>
        </w:rPr>
        <w:t>元，支付共商《滋味盐边</w:t>
      </w:r>
      <w:r>
        <w:rPr>
          <w:rFonts w:ascii="仿宋_GB2312" w:eastAsia="仿宋_GB2312"/>
          <w:sz w:val="32"/>
          <w:szCs w:val="32"/>
        </w:rPr>
        <w:t xml:space="preserve"> </w:t>
      </w:r>
      <w:r>
        <w:rPr>
          <w:rFonts w:hint="eastAsia" w:ascii="仿宋_GB2312" w:eastAsia="仿宋_GB2312"/>
          <w:sz w:val="32"/>
          <w:szCs w:val="32"/>
        </w:rPr>
        <w:t>菜》创作接待费</w:t>
      </w:r>
      <w:r>
        <w:rPr>
          <w:rFonts w:ascii="仿宋_GB2312" w:eastAsia="仿宋_GB2312"/>
          <w:sz w:val="32"/>
          <w:szCs w:val="32"/>
        </w:rPr>
        <w:t>700</w:t>
      </w:r>
      <w:r>
        <w:rPr>
          <w:rFonts w:hint="eastAsia" w:ascii="仿宋_GB2312" w:eastAsia="仿宋_GB2312"/>
          <w:sz w:val="32"/>
          <w:szCs w:val="32"/>
        </w:rPr>
        <w:t>元。</w:t>
      </w:r>
    </w:p>
    <w:p>
      <w:pPr>
        <w:spacing w:line="600" w:lineRule="exact"/>
        <w:ind w:firstLine="643" w:firstLineChars="200"/>
        <w:rPr>
          <w:rFonts w:ascii="黑体" w:eastAsia="黑体"/>
          <w:color w:val="000000"/>
          <w:sz w:val="32"/>
          <w:szCs w:val="32"/>
        </w:rPr>
      </w:pPr>
      <w:r>
        <w:rPr>
          <w:rFonts w:hint="eastAsia" w:ascii="仿宋_GB2312" w:hAnsi="仿宋" w:eastAsia="仿宋_GB2312"/>
          <w:b/>
          <w:color w:val="000000"/>
          <w:sz w:val="32"/>
          <w:szCs w:val="32"/>
        </w:rPr>
        <w:t>外事接待支出</w:t>
      </w:r>
      <w:r>
        <w:rPr>
          <w:rFonts w:ascii="仿宋_GB2312" w:hAnsi="仿宋" w:eastAsia="仿宋_GB2312"/>
          <w:color w:val="000000"/>
          <w:sz w:val="32"/>
          <w:szCs w:val="32"/>
        </w:rPr>
        <w:t>0</w:t>
      </w:r>
      <w:r>
        <w:rPr>
          <w:rFonts w:hint="eastAsia" w:ascii="仿宋_GB2312" w:eastAsia="仿宋_GB2312"/>
          <w:color w:val="000000"/>
          <w:sz w:val="32"/>
          <w:szCs w:val="32"/>
        </w:rPr>
        <w:t>万元，外事接待</w:t>
      </w:r>
      <w:r>
        <w:rPr>
          <w:rFonts w:ascii="仿宋_GB2312" w:eastAsia="仿宋_GB2312"/>
          <w:color w:val="000000"/>
          <w:sz w:val="32"/>
          <w:szCs w:val="32"/>
        </w:rPr>
        <w:t>0</w:t>
      </w:r>
      <w:r>
        <w:rPr>
          <w:rFonts w:hint="eastAsia" w:ascii="仿宋_GB2312" w:eastAsia="仿宋_GB2312"/>
          <w:color w:val="000000"/>
          <w:sz w:val="32"/>
          <w:szCs w:val="32"/>
        </w:rPr>
        <w:t>批次，</w:t>
      </w:r>
      <w:r>
        <w:rPr>
          <w:rFonts w:ascii="仿宋_GB2312" w:eastAsia="仿宋_GB2312"/>
          <w:color w:val="000000"/>
          <w:sz w:val="32"/>
          <w:szCs w:val="32"/>
        </w:rPr>
        <w:t>0</w:t>
      </w:r>
      <w:r>
        <w:rPr>
          <w:rFonts w:hint="eastAsia" w:ascii="仿宋_GB2312" w:eastAsia="仿宋_GB2312"/>
          <w:color w:val="000000"/>
          <w:sz w:val="32"/>
          <w:szCs w:val="32"/>
        </w:rPr>
        <w:t>人，共计支出</w:t>
      </w:r>
      <w:r>
        <w:rPr>
          <w:rFonts w:ascii="仿宋_GB2312" w:eastAsia="仿宋_GB2312"/>
          <w:color w:val="000000"/>
          <w:sz w:val="32"/>
          <w:szCs w:val="32"/>
        </w:rPr>
        <w:t>0</w:t>
      </w:r>
      <w:r>
        <w:rPr>
          <w:rFonts w:hint="eastAsia" w:ascii="仿宋_GB2312" w:eastAsia="仿宋_GB2312"/>
          <w:color w:val="000000"/>
          <w:sz w:val="32"/>
          <w:szCs w:val="32"/>
        </w:rPr>
        <w:t>万元</w:t>
      </w:r>
      <w:bookmarkStart w:id="77" w:name="_Toc15396610"/>
      <w:bookmarkStart w:id="78" w:name="_Toc15377218"/>
      <w:r>
        <w:rPr>
          <w:rFonts w:hint="eastAsia" w:ascii="仿宋_GB2312" w:eastAsia="仿宋_GB2312"/>
          <w:color w:val="000000"/>
          <w:sz w:val="32"/>
          <w:szCs w:val="32"/>
        </w:rPr>
        <w:t>。</w:t>
      </w:r>
    </w:p>
    <w:p>
      <w:pPr>
        <w:spacing w:line="600" w:lineRule="exact"/>
        <w:ind w:firstLine="640"/>
        <w:outlineLvl w:val="1"/>
        <w:rPr>
          <w:rStyle w:val="21"/>
          <w:rFonts w:ascii="黑体" w:hAnsi="黑体" w:eastAsia="黑体"/>
        </w:rPr>
      </w:pPr>
      <w:bookmarkStart w:id="79" w:name="_Toc52180089"/>
      <w:r>
        <w:rPr>
          <w:rFonts w:hint="eastAsia" w:ascii="黑体" w:eastAsia="黑体"/>
          <w:color w:val="000000"/>
          <w:sz w:val="32"/>
          <w:szCs w:val="32"/>
        </w:rPr>
        <w:t>八、</w:t>
      </w:r>
      <w:r>
        <w:rPr>
          <w:rStyle w:val="21"/>
          <w:rFonts w:hint="eastAsia" w:ascii="黑体" w:hAnsi="黑体" w:eastAsia="黑体"/>
          <w:b w:val="0"/>
        </w:rPr>
        <w:t>政府性基金预算支出决算情况说明</w:t>
      </w:r>
      <w:bookmarkEnd w:id="77"/>
      <w:bookmarkEnd w:id="78"/>
      <w:bookmarkEnd w:id="79"/>
    </w:p>
    <w:p>
      <w:pPr>
        <w:tabs>
          <w:tab w:val="left" w:pos="2184"/>
        </w:tabs>
        <w:spacing w:line="590" w:lineRule="exact"/>
        <w:ind w:firstLine="640" w:firstLineChars="20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年政府性基金预算拨款支出</w:t>
      </w:r>
      <w:r>
        <w:rPr>
          <w:rFonts w:ascii="仿宋_GB2312" w:eastAsia="仿宋_GB2312"/>
          <w:color w:val="000000"/>
          <w:sz w:val="32"/>
          <w:szCs w:val="32"/>
        </w:rPr>
        <w:t>4589</w:t>
      </w:r>
      <w:r>
        <w:rPr>
          <w:rFonts w:hint="eastAsia" w:ascii="仿宋_GB2312" w:eastAsia="仿宋_GB2312"/>
          <w:color w:val="000000"/>
          <w:sz w:val="32"/>
          <w:szCs w:val="32"/>
        </w:rPr>
        <w:t>万元。</w:t>
      </w:r>
      <w:r>
        <w:rPr>
          <w:rStyle w:val="16"/>
          <w:rFonts w:hint="eastAsia" w:ascii="仿宋_GB2312" w:hAnsi="宋体" w:eastAsia="仿宋_GB2312"/>
          <w:b w:val="0"/>
          <w:bCs/>
          <w:color w:val="000000"/>
          <w:sz w:val="32"/>
          <w:szCs w:val="32"/>
        </w:rPr>
        <w:t>农村基层设施建设支出</w:t>
      </w:r>
      <w:r>
        <w:rPr>
          <w:rFonts w:ascii="仿宋_GB2312" w:hAnsi="宋体" w:eastAsia="仿宋_GB2312"/>
          <w:color w:val="000000"/>
          <w:sz w:val="32"/>
          <w:szCs w:val="32"/>
        </w:rPr>
        <w:t>260</w:t>
      </w:r>
      <w:r>
        <w:rPr>
          <w:rFonts w:hint="eastAsia" w:ascii="仿宋_GB2312" w:hAnsi="宋体" w:eastAsia="仿宋_GB2312"/>
          <w:color w:val="000000"/>
          <w:sz w:val="32"/>
          <w:szCs w:val="32"/>
        </w:rPr>
        <w:t>万元</w:t>
      </w:r>
      <w:r>
        <w:rPr>
          <w:rFonts w:hint="eastAsia" w:ascii="仿宋_GB2312" w:hAnsi="仿宋" w:eastAsia="仿宋_GB2312"/>
          <w:sz w:val="32"/>
          <w:szCs w:val="32"/>
        </w:rPr>
        <w:t>，其他国有土地使用权出让收入安排的支出</w:t>
      </w:r>
      <w:r>
        <w:rPr>
          <w:rFonts w:ascii="仿宋_GB2312" w:hAnsi="仿宋" w:eastAsia="仿宋_GB2312"/>
          <w:sz w:val="32"/>
          <w:szCs w:val="32"/>
        </w:rPr>
        <w:t>4329</w:t>
      </w:r>
      <w:r>
        <w:rPr>
          <w:rFonts w:hint="eastAsia" w:ascii="仿宋_GB2312" w:hAnsi="仿宋" w:eastAsia="仿宋_GB2312"/>
          <w:sz w:val="32"/>
          <w:szCs w:val="32"/>
        </w:rPr>
        <w:t>万元，为红格音乐广场等旅游基础设施建设经费。</w:t>
      </w:r>
    </w:p>
    <w:p>
      <w:pPr>
        <w:numPr>
          <w:ilvl w:val="0"/>
          <w:numId w:val="3"/>
        </w:numPr>
        <w:spacing w:line="600" w:lineRule="exact"/>
        <w:ind w:firstLine="640"/>
        <w:outlineLvl w:val="1"/>
        <w:rPr>
          <w:rStyle w:val="21"/>
          <w:rFonts w:ascii="黑体" w:hAnsi="黑体" w:eastAsia="黑体"/>
          <w:b w:val="0"/>
        </w:rPr>
      </w:pPr>
      <w:bookmarkStart w:id="80" w:name="_Toc52180090"/>
      <w:bookmarkStart w:id="81" w:name="_Toc15377219"/>
      <w:bookmarkStart w:id="82" w:name="_Toc15396611"/>
      <w:r>
        <w:rPr>
          <w:rStyle w:val="21"/>
          <w:rFonts w:hint="eastAsia" w:ascii="黑体" w:hAnsi="黑体" w:eastAsia="黑体"/>
          <w:b w:val="0"/>
        </w:rPr>
        <w:t>国有资本经营预算支出决算情况说明</w:t>
      </w:r>
      <w:bookmarkEnd w:id="80"/>
      <w:bookmarkEnd w:id="81"/>
      <w:bookmarkEnd w:id="82"/>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spacing w:line="600" w:lineRule="exact"/>
        <w:ind w:firstLine="480" w:firstLineChars="150"/>
        <w:outlineLvl w:val="1"/>
        <w:rPr>
          <w:rStyle w:val="21"/>
          <w:rFonts w:ascii="黑体" w:hAnsi="黑体" w:eastAsia="黑体"/>
        </w:rPr>
      </w:pPr>
      <w:bookmarkStart w:id="83" w:name="_Toc52180091"/>
      <w:bookmarkStart w:id="84" w:name="_Toc15377221"/>
      <w:bookmarkStart w:id="85" w:name="_Toc15396612"/>
      <w:r>
        <w:rPr>
          <w:rFonts w:hint="eastAsia" w:ascii="黑体" w:hAnsi="黑体" w:eastAsia="黑体"/>
          <w:color w:val="000000"/>
          <w:sz w:val="32"/>
          <w:szCs w:val="32"/>
        </w:rPr>
        <w:t>十</w:t>
      </w:r>
      <w:r>
        <w:rPr>
          <w:rStyle w:val="21"/>
          <w:rFonts w:hint="eastAsia" w:ascii="黑体" w:hAnsi="黑体" w:eastAsia="黑体"/>
        </w:rPr>
        <w:t>、</w:t>
      </w:r>
      <w:r>
        <w:rPr>
          <w:rStyle w:val="21"/>
          <w:rFonts w:hint="eastAsia" w:ascii="黑体" w:hAnsi="黑体" w:eastAsia="黑体"/>
          <w:b w:val="0"/>
        </w:rPr>
        <w:t>其他重要事项的情况说明</w:t>
      </w:r>
      <w:bookmarkEnd w:id="83"/>
      <w:bookmarkEnd w:id="84"/>
      <w:bookmarkEnd w:id="85"/>
    </w:p>
    <w:p>
      <w:pPr>
        <w:spacing w:line="600" w:lineRule="exact"/>
        <w:ind w:firstLine="640" w:firstLineChars="200"/>
        <w:outlineLvl w:val="2"/>
        <w:rPr>
          <w:rFonts w:ascii="仿宋" w:hAnsi="仿宋" w:eastAsia="仿宋"/>
          <w:color w:val="000000"/>
          <w:sz w:val="32"/>
          <w:szCs w:val="32"/>
        </w:rPr>
      </w:pPr>
      <w:bookmarkStart w:id="86" w:name="_Toc52180092"/>
      <w:bookmarkStart w:id="87" w:name="_Toc15377222"/>
      <w:r>
        <w:rPr>
          <w:rFonts w:hint="eastAsia" w:ascii="仿宋" w:hAnsi="仿宋" w:eastAsia="仿宋"/>
          <w:color w:val="000000"/>
          <w:sz w:val="32"/>
          <w:szCs w:val="32"/>
        </w:rPr>
        <w:t>（一）机关运行经费支出情况</w:t>
      </w:r>
      <w:bookmarkEnd w:id="86"/>
      <w:bookmarkEnd w:id="87"/>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年文广旅局机关运行经费支出</w:t>
      </w:r>
      <w:r>
        <w:rPr>
          <w:rFonts w:ascii="仿宋_GB2312" w:eastAsia="仿宋_GB2312"/>
          <w:color w:val="000000"/>
          <w:sz w:val="32"/>
          <w:szCs w:val="32"/>
        </w:rPr>
        <w:t>46.44</w:t>
      </w:r>
      <w:r>
        <w:rPr>
          <w:rFonts w:hint="eastAsia" w:ascii="仿宋_GB2312" w:eastAsia="仿宋_GB2312"/>
          <w:color w:val="000000"/>
          <w:sz w:val="32"/>
          <w:szCs w:val="32"/>
        </w:rPr>
        <w:t>万元，比</w:t>
      </w:r>
      <w:r>
        <w:rPr>
          <w:rFonts w:ascii="仿宋_GB2312" w:eastAsia="仿宋_GB2312"/>
          <w:color w:val="000000"/>
          <w:sz w:val="32"/>
          <w:szCs w:val="32"/>
        </w:rPr>
        <w:t>2020</w:t>
      </w:r>
      <w:r>
        <w:rPr>
          <w:rFonts w:hint="eastAsia" w:ascii="仿宋_GB2312" w:eastAsia="仿宋_GB2312"/>
          <w:color w:val="000000"/>
          <w:sz w:val="32"/>
          <w:szCs w:val="32"/>
        </w:rPr>
        <w:t>年减少</w:t>
      </w:r>
      <w:r>
        <w:rPr>
          <w:rFonts w:ascii="仿宋_GB2312" w:eastAsia="仿宋_GB2312"/>
          <w:color w:val="000000"/>
          <w:sz w:val="32"/>
          <w:szCs w:val="32"/>
        </w:rPr>
        <w:t>0.19</w:t>
      </w:r>
      <w:r>
        <w:rPr>
          <w:rFonts w:hint="eastAsia" w:ascii="仿宋_GB2312" w:eastAsia="仿宋_GB2312"/>
          <w:color w:val="000000"/>
          <w:sz w:val="32"/>
          <w:szCs w:val="32"/>
        </w:rPr>
        <w:t>万元，增加</w:t>
      </w:r>
      <w:r>
        <w:rPr>
          <w:rFonts w:ascii="仿宋_GB2312" w:eastAsia="仿宋_GB2312"/>
          <w:color w:val="000000"/>
          <w:sz w:val="32"/>
          <w:szCs w:val="32"/>
        </w:rPr>
        <w:t>0.41%</w:t>
      </w:r>
      <w:r>
        <w:rPr>
          <w:rFonts w:hint="eastAsia" w:ascii="仿宋_GB2312" w:eastAsia="仿宋_GB2312"/>
          <w:color w:val="000000"/>
          <w:sz w:val="32"/>
          <w:szCs w:val="32"/>
        </w:rPr>
        <w:t>。主要原因工作经费</w:t>
      </w:r>
      <w:r>
        <w:rPr>
          <w:rFonts w:hint="eastAsia" w:ascii="仿宋_GB2312" w:eastAsia="仿宋_GB2312"/>
          <w:color w:val="000000"/>
          <w:sz w:val="32"/>
          <w:szCs w:val="32"/>
          <w:lang w:eastAsia="zh-CN"/>
        </w:rPr>
        <w:t>减少</w:t>
      </w:r>
      <w:r>
        <w:rPr>
          <w:rFonts w:ascii="仿宋_GB2312" w:eastAsia="仿宋_GB2312"/>
          <w:color w:val="000000"/>
          <w:sz w:val="32"/>
          <w:szCs w:val="32"/>
        </w:rPr>
        <w:t>0.19</w:t>
      </w:r>
      <w:r>
        <w:rPr>
          <w:rFonts w:hint="eastAsia" w:ascii="仿宋_GB2312" w:eastAsia="仿宋_GB2312"/>
          <w:color w:val="000000"/>
          <w:sz w:val="32"/>
          <w:szCs w:val="32"/>
        </w:rPr>
        <w:t>万元。</w:t>
      </w:r>
    </w:p>
    <w:p>
      <w:pPr>
        <w:autoSpaceDE w:val="0"/>
        <w:autoSpaceDN w:val="0"/>
        <w:adjustRightInd w:val="0"/>
        <w:spacing w:line="600" w:lineRule="exact"/>
        <w:ind w:firstLine="640" w:firstLineChars="200"/>
        <w:jc w:val="left"/>
        <w:outlineLvl w:val="2"/>
        <w:rPr>
          <w:rFonts w:ascii="仿宋" w:hAnsi="仿宋" w:eastAsia="仿宋"/>
          <w:color w:val="000000"/>
          <w:sz w:val="32"/>
          <w:szCs w:val="32"/>
        </w:rPr>
      </w:pPr>
      <w:bookmarkStart w:id="88" w:name="_Toc15377223"/>
      <w:bookmarkStart w:id="89" w:name="_Toc52180093"/>
      <w:r>
        <w:rPr>
          <w:rFonts w:hint="eastAsia" w:ascii="仿宋" w:hAnsi="仿宋" w:eastAsia="仿宋"/>
          <w:color w:val="000000"/>
          <w:sz w:val="32"/>
          <w:szCs w:val="32"/>
        </w:rPr>
        <w:t>（二）政府采购支出情况</w:t>
      </w:r>
      <w:bookmarkEnd w:id="88"/>
      <w:bookmarkEnd w:id="89"/>
    </w:p>
    <w:p>
      <w:pPr>
        <w:ind w:firstLine="709"/>
        <w:rPr>
          <w:rFonts w:ascii="仿宋_GB2312" w:hAnsi="仿宋" w:eastAsia="仿宋_GB2312" w:cs="仿宋"/>
          <w:bCs/>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w:t>
      </w:r>
      <w:r>
        <w:rPr>
          <w:rFonts w:hint="eastAsia" w:ascii="仿宋_GB2312" w:hAnsi="仿宋" w:eastAsia="仿宋_GB2312" w:cs="仿宋"/>
          <w:bCs/>
          <w:color w:val="000000"/>
          <w:sz w:val="32"/>
          <w:szCs w:val="32"/>
        </w:rPr>
        <w:t>文广旅局政府采购</w:t>
      </w:r>
      <w:r>
        <w:rPr>
          <w:rFonts w:ascii="仿宋_GB2312" w:hAnsi="仿宋" w:eastAsia="仿宋_GB2312" w:cs="仿宋"/>
          <w:bCs/>
          <w:color w:val="000000"/>
          <w:sz w:val="32"/>
          <w:szCs w:val="32"/>
        </w:rPr>
        <w:t>534.55</w:t>
      </w:r>
      <w:r>
        <w:rPr>
          <w:rFonts w:hint="eastAsia" w:ascii="仿宋_GB2312" w:hAnsi="仿宋" w:eastAsia="仿宋_GB2312" w:cs="仿宋"/>
          <w:bCs/>
          <w:color w:val="000000"/>
          <w:sz w:val="32"/>
          <w:szCs w:val="32"/>
        </w:rPr>
        <w:t>万元。其中政府采购货物支出</w:t>
      </w:r>
      <w:r>
        <w:rPr>
          <w:rFonts w:ascii="仿宋_GB2312" w:hAnsi="仿宋" w:eastAsia="仿宋_GB2312" w:cs="仿宋"/>
          <w:bCs/>
          <w:color w:val="000000"/>
          <w:sz w:val="32"/>
          <w:szCs w:val="32"/>
        </w:rPr>
        <w:t>1.2</w:t>
      </w:r>
      <w:r>
        <w:rPr>
          <w:rFonts w:hint="eastAsia" w:ascii="仿宋_GB2312" w:hAnsi="仿宋" w:eastAsia="仿宋_GB2312" w:cs="仿宋"/>
          <w:bCs/>
          <w:color w:val="000000"/>
          <w:sz w:val="32"/>
          <w:szCs w:val="32"/>
        </w:rPr>
        <w:t>万元，政府采购工程支出</w:t>
      </w:r>
      <w:r>
        <w:rPr>
          <w:rFonts w:ascii="仿宋_GB2312" w:hAnsi="仿宋" w:eastAsia="仿宋_GB2312" w:cs="仿宋"/>
          <w:bCs/>
          <w:color w:val="000000"/>
          <w:sz w:val="32"/>
          <w:szCs w:val="32"/>
        </w:rPr>
        <w:t>0</w:t>
      </w:r>
      <w:r>
        <w:rPr>
          <w:rFonts w:hint="eastAsia" w:ascii="仿宋_GB2312" w:hAnsi="仿宋" w:eastAsia="仿宋_GB2312" w:cs="仿宋"/>
          <w:bCs/>
          <w:color w:val="000000"/>
          <w:sz w:val="32"/>
          <w:szCs w:val="32"/>
        </w:rPr>
        <w:t>万元，政府采购服务支出</w:t>
      </w:r>
      <w:r>
        <w:rPr>
          <w:rFonts w:ascii="仿宋_GB2312" w:hAnsi="仿宋" w:eastAsia="仿宋_GB2312" w:cs="仿宋"/>
          <w:bCs/>
          <w:color w:val="000000"/>
          <w:sz w:val="32"/>
          <w:szCs w:val="32"/>
        </w:rPr>
        <w:t>533.35</w:t>
      </w:r>
      <w:r>
        <w:rPr>
          <w:rFonts w:hint="eastAsia" w:ascii="仿宋_GB2312" w:hAnsi="仿宋" w:eastAsia="仿宋_GB2312" w:cs="仿宋"/>
          <w:bCs/>
          <w:color w:val="000000"/>
          <w:sz w:val="32"/>
          <w:szCs w:val="32"/>
        </w:rPr>
        <w:t>万元。采购项目为：</w:t>
      </w:r>
      <w:r>
        <w:rPr>
          <w:rFonts w:ascii="仿宋_GB2312" w:hAnsi="仿宋" w:eastAsia="仿宋_GB2312" w:cs="仿宋"/>
          <w:bCs/>
          <w:color w:val="000000"/>
          <w:sz w:val="32"/>
          <w:szCs w:val="32"/>
        </w:rPr>
        <w:t>2021</w:t>
      </w:r>
      <w:r>
        <w:rPr>
          <w:rFonts w:hint="eastAsia" w:ascii="仿宋_GB2312" w:hAnsi="仿宋" w:eastAsia="仿宋_GB2312" w:cs="仿宋"/>
          <w:bCs/>
          <w:color w:val="000000"/>
          <w:sz w:val="32"/>
          <w:szCs w:val="32"/>
        </w:rPr>
        <w:t>年广播电视运行维护</w:t>
      </w:r>
      <w:r>
        <w:rPr>
          <w:rFonts w:ascii="仿宋_GB2312" w:hAnsi="仿宋" w:eastAsia="仿宋_GB2312" w:cs="仿宋"/>
          <w:bCs/>
          <w:color w:val="000000"/>
          <w:sz w:val="32"/>
          <w:szCs w:val="32"/>
        </w:rPr>
        <w:t>164.5</w:t>
      </w:r>
      <w:r>
        <w:rPr>
          <w:rFonts w:hint="eastAsia" w:ascii="仿宋_GB2312" w:hAnsi="仿宋" w:eastAsia="仿宋_GB2312" w:cs="仿宋"/>
          <w:bCs/>
          <w:color w:val="000000"/>
          <w:sz w:val="32"/>
          <w:szCs w:val="32"/>
        </w:rPr>
        <w:t>万元；</w:t>
      </w:r>
      <w:r>
        <w:rPr>
          <w:rFonts w:ascii="仿宋_GB2312" w:hAnsi="仿宋" w:eastAsia="仿宋_GB2312" w:cs="仿宋"/>
          <w:bCs/>
          <w:color w:val="000000"/>
          <w:sz w:val="32"/>
          <w:szCs w:val="32"/>
        </w:rPr>
        <w:t>2021</w:t>
      </w:r>
      <w:r>
        <w:rPr>
          <w:rFonts w:hint="eastAsia" w:ascii="仿宋_GB2312" w:hAnsi="仿宋" w:eastAsia="仿宋_GB2312" w:cs="仿宋"/>
          <w:bCs/>
          <w:color w:val="000000"/>
          <w:sz w:val="32"/>
          <w:szCs w:val="32"/>
        </w:rPr>
        <w:t>年攀枝花市第三届清凉夏季游“寻觅山水</w:t>
      </w:r>
      <w:r>
        <w:rPr>
          <w:rFonts w:ascii="仿宋_GB2312" w:hAnsi="仿宋" w:eastAsia="仿宋_GB2312" w:cs="仿宋"/>
          <w:bCs/>
          <w:color w:val="000000"/>
          <w:sz w:val="32"/>
          <w:szCs w:val="32"/>
        </w:rPr>
        <w:t xml:space="preserve"> </w:t>
      </w:r>
      <w:r>
        <w:rPr>
          <w:rFonts w:hint="eastAsia" w:ascii="仿宋_GB2312" w:hAnsi="仿宋" w:eastAsia="仿宋_GB2312" w:cs="仿宋"/>
          <w:bCs/>
          <w:color w:val="000000"/>
          <w:sz w:val="32"/>
          <w:szCs w:val="32"/>
        </w:rPr>
        <w:t>滋味盐边”宣传营销经费</w:t>
      </w:r>
      <w:r>
        <w:rPr>
          <w:rFonts w:ascii="仿宋_GB2312" w:hAnsi="仿宋" w:eastAsia="仿宋_GB2312" w:cs="仿宋"/>
          <w:bCs/>
          <w:color w:val="000000"/>
          <w:sz w:val="32"/>
          <w:szCs w:val="32"/>
        </w:rPr>
        <w:t>188.86</w:t>
      </w:r>
      <w:r>
        <w:rPr>
          <w:rFonts w:hint="eastAsia" w:ascii="仿宋_GB2312" w:hAnsi="仿宋" w:eastAsia="仿宋_GB2312" w:cs="仿宋"/>
          <w:bCs/>
          <w:color w:val="000000"/>
          <w:sz w:val="32"/>
          <w:szCs w:val="32"/>
        </w:rPr>
        <w:t>万元；二滩湖农文旅融合度假区项目规划编制经费</w:t>
      </w:r>
      <w:r>
        <w:rPr>
          <w:rFonts w:ascii="仿宋_GB2312" w:hAnsi="仿宋" w:eastAsia="仿宋_GB2312" w:cs="仿宋"/>
          <w:bCs/>
          <w:color w:val="000000"/>
          <w:sz w:val="32"/>
          <w:szCs w:val="32"/>
        </w:rPr>
        <w:t>179.99</w:t>
      </w:r>
      <w:r>
        <w:rPr>
          <w:rFonts w:hint="eastAsia" w:ascii="仿宋_GB2312" w:hAnsi="仿宋" w:eastAsia="仿宋_GB2312" w:cs="仿宋"/>
          <w:bCs/>
          <w:color w:val="000000"/>
          <w:sz w:val="32"/>
          <w:szCs w:val="32"/>
        </w:rPr>
        <w:t>万元；采购办公设备（笔记本电脑两台）</w:t>
      </w:r>
      <w:r>
        <w:rPr>
          <w:rFonts w:ascii="仿宋_GB2312" w:hAnsi="仿宋" w:eastAsia="仿宋_GB2312" w:cs="仿宋"/>
          <w:bCs/>
          <w:color w:val="000000"/>
          <w:sz w:val="32"/>
          <w:szCs w:val="32"/>
        </w:rPr>
        <w:t>1.</w:t>
      </w:r>
      <w:r>
        <w:rPr>
          <w:rFonts w:hint="eastAsia" w:ascii="仿宋_GB2312" w:hAnsi="仿宋" w:eastAsia="仿宋_GB2312" w:cs="仿宋"/>
          <w:bCs/>
          <w:color w:val="000000"/>
          <w:sz w:val="32"/>
          <w:szCs w:val="32"/>
          <w:lang w:val="en-US" w:eastAsia="zh-CN"/>
        </w:rPr>
        <w:t>2</w:t>
      </w:r>
      <w:r>
        <w:rPr>
          <w:rFonts w:hint="eastAsia" w:ascii="仿宋_GB2312" w:hAnsi="仿宋" w:eastAsia="仿宋_GB2312" w:cs="仿宋"/>
          <w:bCs/>
          <w:color w:val="000000"/>
          <w:sz w:val="32"/>
          <w:szCs w:val="32"/>
        </w:rPr>
        <w:t>万元。</w:t>
      </w:r>
      <w:r>
        <w:rPr>
          <w:rFonts w:hint="eastAsia" w:ascii="仿宋_GB2312" w:eastAsia="仿宋_GB2312"/>
          <w:color w:val="000000"/>
          <w:sz w:val="32"/>
          <w:szCs w:val="32"/>
        </w:rPr>
        <w:t>授予中小企业合同金额</w:t>
      </w:r>
      <w:r>
        <w:rPr>
          <w:rFonts w:ascii="仿宋_GB2312" w:eastAsia="仿宋_GB2312"/>
          <w:color w:val="000000"/>
          <w:sz w:val="32"/>
          <w:szCs w:val="32"/>
        </w:rPr>
        <w:t>534.55</w:t>
      </w:r>
      <w:r>
        <w:rPr>
          <w:rFonts w:hint="eastAsia" w:ascii="仿宋_GB2312" w:eastAsia="仿宋_GB2312"/>
          <w:color w:val="000000"/>
          <w:sz w:val="32"/>
          <w:szCs w:val="32"/>
        </w:rPr>
        <w:t>万元，占政府采购支出总额的</w:t>
      </w:r>
      <w:r>
        <w:rPr>
          <w:rFonts w:ascii="仿宋_GB2312" w:eastAsia="仿宋_GB2312"/>
          <w:color w:val="000000"/>
          <w:sz w:val="32"/>
          <w:szCs w:val="32"/>
        </w:rPr>
        <w:t>100%</w:t>
      </w:r>
      <w:r>
        <w:rPr>
          <w:rFonts w:hint="eastAsia" w:ascii="仿宋_GB2312" w:eastAsia="仿宋_GB2312"/>
          <w:color w:val="000000"/>
          <w:sz w:val="32"/>
          <w:szCs w:val="32"/>
        </w:rPr>
        <w:t>，其中：授予小微企业合同金额</w:t>
      </w:r>
      <w:r>
        <w:rPr>
          <w:rFonts w:ascii="仿宋_GB2312" w:eastAsia="仿宋_GB2312"/>
          <w:color w:val="000000"/>
          <w:sz w:val="32"/>
          <w:szCs w:val="32"/>
        </w:rPr>
        <w:t>16.57</w:t>
      </w:r>
      <w:r>
        <w:rPr>
          <w:rFonts w:hint="eastAsia" w:ascii="仿宋_GB2312" w:eastAsia="仿宋_GB2312"/>
          <w:color w:val="000000"/>
          <w:sz w:val="32"/>
          <w:szCs w:val="32"/>
        </w:rPr>
        <w:t>万元，占政府采购支出总额的</w:t>
      </w:r>
      <w:r>
        <w:rPr>
          <w:rFonts w:ascii="仿宋_GB2312" w:eastAsia="仿宋_GB2312"/>
          <w:color w:val="000000"/>
          <w:sz w:val="32"/>
          <w:szCs w:val="32"/>
        </w:rPr>
        <w:t>3.1%</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90" w:name="_Toc15377224"/>
      <w:bookmarkStart w:id="91" w:name="_Toc52180094"/>
      <w:r>
        <w:rPr>
          <w:rFonts w:hint="eastAsia" w:ascii="仿宋" w:hAnsi="仿宋" w:eastAsia="仿宋"/>
          <w:b/>
          <w:color w:val="000000"/>
          <w:sz w:val="32"/>
          <w:szCs w:val="32"/>
        </w:rPr>
        <w:t>（三）国有资产占有使用情况</w:t>
      </w:r>
      <w:bookmarkEnd w:id="90"/>
      <w:bookmarkEnd w:id="91"/>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2021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日，文广旅局共有车辆</w:t>
      </w:r>
      <w:r>
        <w:rPr>
          <w:rFonts w:ascii="仿宋_GB2312" w:eastAsia="仿宋_GB2312"/>
          <w:color w:val="000000"/>
          <w:sz w:val="32"/>
          <w:szCs w:val="32"/>
        </w:rPr>
        <w:t>0</w:t>
      </w:r>
      <w:r>
        <w:rPr>
          <w:rFonts w:hint="eastAsia" w:ascii="仿宋_GB2312" w:eastAsia="仿宋_GB2312"/>
          <w:color w:val="000000"/>
          <w:sz w:val="32"/>
          <w:szCs w:val="32"/>
        </w:rPr>
        <w:t>辆，其中：主要领导干部用车</w:t>
      </w:r>
      <w:r>
        <w:rPr>
          <w:rFonts w:ascii="仿宋_GB2312" w:eastAsia="仿宋_GB2312"/>
          <w:color w:val="000000"/>
          <w:sz w:val="32"/>
          <w:szCs w:val="32"/>
        </w:rPr>
        <w:t>0</w:t>
      </w:r>
      <w:r>
        <w:rPr>
          <w:rFonts w:hint="eastAsia" w:ascii="仿宋_GB2312" w:eastAsia="仿宋_GB2312"/>
          <w:color w:val="000000"/>
          <w:sz w:val="32"/>
          <w:szCs w:val="32"/>
        </w:rPr>
        <w:t>辆、机要通信用车</w:t>
      </w:r>
      <w:r>
        <w:rPr>
          <w:rFonts w:ascii="仿宋_GB2312" w:eastAsia="仿宋_GB2312"/>
          <w:color w:val="000000"/>
          <w:sz w:val="32"/>
          <w:szCs w:val="32"/>
        </w:rPr>
        <w:t>0</w:t>
      </w:r>
      <w:r>
        <w:rPr>
          <w:rFonts w:hint="eastAsia" w:ascii="仿宋_GB2312" w:eastAsia="仿宋_GB2312"/>
          <w:color w:val="000000"/>
          <w:sz w:val="32"/>
          <w:szCs w:val="32"/>
        </w:rPr>
        <w:t>辆、应急保障用车</w:t>
      </w:r>
      <w:r>
        <w:rPr>
          <w:rFonts w:ascii="仿宋_GB2312" w:eastAsia="仿宋_GB2312"/>
          <w:color w:val="000000"/>
          <w:sz w:val="32"/>
          <w:szCs w:val="32"/>
        </w:rPr>
        <w:t>0</w:t>
      </w:r>
      <w:r>
        <w:rPr>
          <w:rFonts w:hint="eastAsia" w:ascii="仿宋_GB2312" w:eastAsia="仿宋_GB2312"/>
          <w:color w:val="000000"/>
          <w:sz w:val="32"/>
          <w:szCs w:val="32"/>
        </w:rPr>
        <w:t>辆、其他用车</w:t>
      </w:r>
      <w:r>
        <w:rPr>
          <w:rFonts w:ascii="仿宋_GB2312" w:eastAsia="仿宋_GB2312"/>
          <w:color w:val="000000"/>
          <w:sz w:val="32"/>
          <w:szCs w:val="32"/>
        </w:rPr>
        <w:t>0</w:t>
      </w:r>
      <w:r>
        <w:rPr>
          <w:rFonts w:hint="eastAsia" w:ascii="仿宋_GB2312" w:eastAsia="仿宋_GB2312"/>
          <w:color w:val="000000"/>
          <w:sz w:val="32"/>
          <w:szCs w:val="32"/>
        </w:rPr>
        <w:t>辆。单价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1</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0</w:t>
      </w:r>
      <w:r>
        <w:rPr>
          <w:rFonts w:hint="eastAsia" w:ascii="仿宋_GB2312" w:eastAsia="仿宋_GB2312"/>
          <w:color w:val="000000"/>
          <w:sz w:val="32"/>
          <w:szCs w:val="32"/>
        </w:rPr>
        <w:t>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92" w:name="_Toc52180095"/>
      <w:r>
        <w:rPr>
          <w:rFonts w:hint="eastAsia" w:ascii="仿宋" w:hAnsi="仿宋" w:eastAsia="仿宋"/>
          <w:b/>
          <w:color w:val="000000"/>
          <w:sz w:val="32"/>
          <w:szCs w:val="32"/>
        </w:rPr>
        <w:t>（四）预算绩效管理情况。</w:t>
      </w:r>
      <w:bookmarkEnd w:id="92"/>
    </w:p>
    <w:p>
      <w:pPr>
        <w:spacing w:line="580" w:lineRule="exact"/>
        <w:ind w:firstLine="640" w:firstLineChars="200"/>
        <w:rPr>
          <w:rFonts w:ascii="仿宋_GB2312" w:hAnsi="仿宋_GB2312" w:eastAsia="仿宋_GB2312" w:cs="仿宋_GB2312"/>
          <w:sz w:val="32"/>
          <w:szCs w:val="32"/>
        </w:rPr>
      </w:pPr>
      <w:r>
        <w:rPr>
          <w:rFonts w:hint="eastAsia" w:ascii="仿宋_GB2312" w:eastAsia="仿宋_GB2312"/>
          <w:color w:val="000000"/>
          <w:sz w:val="32"/>
          <w:szCs w:val="32"/>
        </w:rPr>
        <w:t>根据预算绩效管理要求，文广旅局在年初预算编制阶段，组织对“中央和省补助地方公共文化服务体系建设”</w:t>
      </w:r>
      <w:r>
        <w:rPr>
          <w:rFonts w:ascii="仿宋_GB2312" w:eastAsia="仿宋_GB2312"/>
          <w:color w:val="000000"/>
          <w:sz w:val="32"/>
          <w:szCs w:val="32"/>
        </w:rPr>
        <w:t xml:space="preserve"> </w:t>
      </w:r>
      <w:r>
        <w:rPr>
          <w:rFonts w:hint="eastAsia" w:ascii="仿宋_GB2312" w:eastAsia="仿宋_GB2312"/>
          <w:color w:val="000000"/>
          <w:sz w:val="32"/>
          <w:szCs w:val="32"/>
        </w:rPr>
        <w:t>“</w:t>
      </w:r>
      <w:r>
        <w:rPr>
          <w:rFonts w:ascii="仿宋_GB2312" w:eastAsia="仿宋_GB2312"/>
          <w:color w:val="000000"/>
          <w:sz w:val="32"/>
          <w:szCs w:val="32"/>
        </w:rPr>
        <w:t>2021</w:t>
      </w:r>
      <w:r>
        <w:rPr>
          <w:rFonts w:hint="eastAsia" w:ascii="仿宋_GB2312" w:eastAsia="仿宋_GB2312"/>
          <w:color w:val="000000"/>
          <w:sz w:val="32"/>
          <w:szCs w:val="32"/>
        </w:rPr>
        <w:t>年清凉夏季游”“</w:t>
      </w:r>
      <w:r>
        <w:rPr>
          <w:rFonts w:ascii="仿宋_GB2312" w:eastAsia="仿宋_GB2312"/>
          <w:color w:val="000000"/>
          <w:sz w:val="32"/>
          <w:szCs w:val="32"/>
        </w:rPr>
        <w:t>2021</w:t>
      </w:r>
      <w:r>
        <w:rPr>
          <w:rFonts w:hint="eastAsia" w:ascii="仿宋_GB2312" w:eastAsia="仿宋_GB2312"/>
          <w:color w:val="000000"/>
          <w:sz w:val="32"/>
          <w:szCs w:val="32"/>
        </w:rPr>
        <w:t>年地面数字电视运行维护经费”等项目开展了预算事前绩效评估，对</w:t>
      </w:r>
      <w:r>
        <w:rPr>
          <w:rFonts w:ascii="仿宋_GB2312" w:eastAsia="仿宋_GB2312"/>
          <w:color w:val="000000"/>
          <w:sz w:val="32"/>
          <w:szCs w:val="32"/>
        </w:rPr>
        <w:t>15</w:t>
      </w:r>
      <w:r>
        <w:rPr>
          <w:rFonts w:hint="eastAsia" w:ascii="仿宋_GB2312" w:eastAsia="仿宋_GB2312"/>
          <w:color w:val="000000"/>
          <w:sz w:val="32"/>
          <w:szCs w:val="32"/>
        </w:rPr>
        <w:t>个项目编制了绩效目标。预算执行过</w:t>
      </w:r>
      <w:r>
        <w:rPr>
          <w:rFonts w:hint="eastAsia" w:ascii="仿宋_GB2312" w:hAnsi="仿宋_GB2312" w:eastAsia="仿宋_GB2312" w:cs="仿宋_GB2312"/>
          <w:sz w:val="32"/>
          <w:szCs w:val="32"/>
        </w:rPr>
        <w:t>程中，选取</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个项目开展了绩效自评，</w:t>
      </w:r>
      <w:r>
        <w:rPr>
          <w:rFonts w:ascii="仿宋_GB2312" w:hAnsi="仿宋_GB2312" w:eastAsia="仿宋_GB2312" w:cs="仿宋_GB2312"/>
          <w:sz w:val="32"/>
          <w:szCs w:val="32"/>
        </w:rPr>
        <w:t>2021</w:t>
      </w:r>
      <w:r>
        <w:rPr>
          <w:rFonts w:hint="eastAsia" w:ascii="仿宋_GB2312" w:hAnsi="仿宋_GB2312" w:eastAsia="仿宋_GB2312" w:cs="仿宋_GB2312"/>
          <w:sz w:val="32"/>
          <w:szCs w:val="32"/>
        </w:rPr>
        <w:t>年特定目标类部门预算项目自评表见附件（第四部分）。</w:t>
      </w:r>
    </w:p>
    <w:p>
      <w:pPr>
        <w:pStyle w:val="2"/>
      </w:pPr>
    </w:p>
    <w:p>
      <w:pPr>
        <w:pStyle w:val="2"/>
      </w:pPr>
    </w:p>
    <w:p/>
    <w:p>
      <w:pPr>
        <w:numPr>
          <w:ilvl w:val="0"/>
          <w:numId w:val="4"/>
        </w:numPr>
        <w:spacing w:line="600" w:lineRule="exact"/>
        <w:ind w:firstLine="660" w:firstLineChars="150"/>
        <w:jc w:val="center"/>
        <w:outlineLvl w:val="0"/>
        <w:rPr>
          <w:rStyle w:val="20"/>
          <w:rFonts w:ascii="黑体" w:hAnsi="黑体" w:eastAsia="黑体"/>
          <w:b w:val="0"/>
        </w:rPr>
      </w:pPr>
      <w:bookmarkStart w:id="93" w:name="_Toc15396613"/>
      <w:bookmarkStart w:id="94" w:name="_Toc15377225"/>
      <w:bookmarkStart w:id="95" w:name="_Toc52180096"/>
      <w:r>
        <w:rPr>
          <w:rFonts w:hint="eastAsia" w:ascii="黑体" w:hAnsi="黑体" w:eastAsia="黑体"/>
          <w:color w:val="000000"/>
          <w:sz w:val="44"/>
          <w:szCs w:val="44"/>
        </w:rPr>
        <w:t>名</w:t>
      </w:r>
      <w:r>
        <w:rPr>
          <w:rStyle w:val="20"/>
          <w:rFonts w:hint="eastAsia" w:ascii="黑体" w:hAnsi="黑体" w:eastAsia="黑体"/>
          <w:b w:val="0"/>
        </w:rPr>
        <w:t>词解释</w:t>
      </w:r>
      <w:bookmarkEnd w:id="93"/>
      <w:bookmarkEnd w:id="94"/>
      <w:bookmarkEnd w:id="95"/>
    </w:p>
    <w:p>
      <w:pPr>
        <w:spacing w:line="600" w:lineRule="exact"/>
        <w:jc w:val="left"/>
        <w:rPr>
          <w:rFonts w:ascii="宋体"/>
          <w:b/>
          <w:color w:val="000000"/>
          <w:sz w:val="44"/>
          <w:szCs w:val="44"/>
        </w:rPr>
      </w:pPr>
    </w:p>
    <w:p>
      <w:pPr>
        <w:pStyle w:val="32"/>
        <w:spacing w:line="560" w:lineRule="exact"/>
        <w:ind w:firstLine="640" w:firstLineChars="200"/>
        <w:rPr>
          <w:rFonts w:ascii="仿宋_GB2312" w:hAnsi="Times New Roman" w:eastAsia="仿宋_GB2312" w:cs="Times New Roman"/>
          <w:kern w:val="2"/>
          <w:sz w:val="32"/>
          <w:szCs w:val="32"/>
        </w:rPr>
      </w:pPr>
      <w:r>
        <w:rPr>
          <w:rFonts w:ascii="仿宋_GB2312" w:hAnsi="宋体" w:eastAsia="仿宋_GB2312" w:cs="宋体"/>
          <w:color w:val="auto"/>
          <w:kern w:val="2"/>
          <w:sz w:val="32"/>
          <w:szCs w:val="32"/>
        </w:rPr>
        <w:t>1</w:t>
      </w:r>
      <w:r>
        <w:rPr>
          <w:rFonts w:hint="eastAsia" w:ascii="仿宋_GB2312" w:hAnsi="宋体" w:eastAsia="仿宋_GB2312" w:cs="宋体"/>
          <w:color w:val="auto"/>
          <w:kern w:val="2"/>
          <w:sz w:val="32"/>
          <w:szCs w:val="32"/>
        </w:rPr>
        <w:t>．</w:t>
      </w:r>
      <w:r>
        <w:rPr>
          <w:rFonts w:hint="eastAsia" w:ascii="仿宋_GB2312" w:hAnsi="Times New Roman" w:eastAsia="仿宋_GB2312" w:cs="Times New Roman"/>
          <w:kern w:val="2"/>
          <w:sz w:val="32"/>
          <w:szCs w:val="32"/>
        </w:rPr>
        <w:t>财政拨款收入：指省级财政当年拨付的资金。</w:t>
      </w:r>
    </w:p>
    <w:p>
      <w:pPr>
        <w:pStyle w:val="32"/>
        <w:spacing w:line="560" w:lineRule="exact"/>
        <w:ind w:firstLine="640" w:firstLineChars="200"/>
        <w:rPr>
          <w:rFonts w:ascii="仿宋_GB2312" w:hAnsi="Times New Roman" w:eastAsia="仿宋_GB2312" w:cs="Times New Roman"/>
          <w:kern w:val="2"/>
          <w:sz w:val="32"/>
          <w:szCs w:val="32"/>
        </w:rPr>
      </w:pPr>
      <w:r>
        <w:rPr>
          <w:rFonts w:ascii="仿宋_GB2312" w:hAnsi="Times New Roman" w:eastAsia="仿宋_GB2312" w:cs="Times New Roman"/>
          <w:kern w:val="2"/>
          <w:sz w:val="32"/>
          <w:szCs w:val="32"/>
        </w:rPr>
        <w:t>2</w:t>
      </w:r>
      <w:r>
        <w:rPr>
          <w:rFonts w:hint="eastAsia" w:ascii="仿宋_GB2312" w:hAnsi="Times New Roman" w:eastAsia="仿宋_GB2312" w:cs="Times New Roman"/>
          <w:kern w:val="2"/>
          <w:sz w:val="32"/>
          <w:szCs w:val="32"/>
        </w:rPr>
        <w:t>．年初结转和结余：指以前年度尚未完成、结转到本年按有关规定继续使用的资金。</w:t>
      </w:r>
    </w:p>
    <w:p>
      <w:pPr>
        <w:pStyle w:val="32"/>
        <w:spacing w:line="560" w:lineRule="exact"/>
        <w:ind w:firstLine="640" w:firstLineChars="200"/>
        <w:rPr>
          <w:rFonts w:ascii="仿宋_GB2312" w:hAnsi="Times New Roman" w:eastAsia="仿宋_GB2312" w:cs="Times New Roman"/>
          <w:kern w:val="2"/>
          <w:sz w:val="32"/>
          <w:szCs w:val="32"/>
        </w:rPr>
      </w:pPr>
      <w:r>
        <w:rPr>
          <w:rFonts w:ascii="仿宋_GB2312" w:hAnsi="Times New Roman" w:eastAsia="仿宋_GB2312" w:cs="Times New Roman"/>
          <w:kern w:val="2"/>
          <w:sz w:val="32"/>
          <w:szCs w:val="32"/>
        </w:rPr>
        <w:t xml:space="preserve">3. </w:t>
      </w:r>
      <w:r>
        <w:rPr>
          <w:rFonts w:hint="eastAsia" w:ascii="仿宋_GB2312" w:hAnsi="Times New Roman" w:eastAsia="仿宋_GB2312" w:cs="Times New Roman"/>
          <w:kern w:val="2"/>
          <w:sz w:val="32"/>
          <w:szCs w:val="32"/>
        </w:rPr>
        <w:t>信访事务</w:t>
      </w:r>
      <w:r>
        <w:rPr>
          <w:rFonts w:ascii="仿宋_GB2312" w:hAnsi="Times New Roman" w:eastAsia="仿宋_GB2312" w:cs="Times New Roman"/>
          <w:kern w:val="2"/>
          <w:sz w:val="32"/>
          <w:szCs w:val="32"/>
        </w:rPr>
        <w:t>2010308</w:t>
      </w:r>
      <w:r>
        <w:rPr>
          <w:rFonts w:hint="eastAsia" w:ascii="仿宋_GB2312" w:hAnsi="Times New Roman" w:eastAsia="仿宋_GB2312" w:cs="Times New Roman"/>
          <w:kern w:val="2"/>
          <w:sz w:val="32"/>
          <w:szCs w:val="32"/>
        </w:rPr>
        <w:t>：反映各级政府用于接待群众来信来访方面的支出。</w:t>
      </w:r>
    </w:p>
    <w:p>
      <w:pPr>
        <w:pStyle w:val="32"/>
        <w:spacing w:line="560" w:lineRule="exact"/>
        <w:ind w:firstLine="640" w:firstLineChars="200"/>
        <w:rPr>
          <w:rStyle w:val="16"/>
          <w:rFonts w:ascii="仿宋_GB2312" w:eastAsia="仿宋_GB2312"/>
          <w:b w:val="0"/>
          <w:bCs/>
          <w:sz w:val="32"/>
          <w:szCs w:val="32"/>
        </w:rPr>
      </w:pPr>
      <w:r>
        <w:rPr>
          <w:rFonts w:ascii="仿宋_GB2312" w:hAnsi="Times New Roman" w:eastAsia="仿宋_GB2312" w:cs="Times New Roman"/>
          <w:kern w:val="2"/>
          <w:sz w:val="32"/>
          <w:szCs w:val="32"/>
        </w:rPr>
        <w:t>4</w:t>
      </w:r>
      <w:r>
        <w:rPr>
          <w:rFonts w:hint="eastAsia" w:ascii="仿宋_GB2312" w:hAnsi="Times New Roman" w:eastAsia="仿宋_GB2312" w:cs="Times New Roman"/>
          <w:kern w:val="2"/>
          <w:sz w:val="32"/>
          <w:szCs w:val="32"/>
        </w:rPr>
        <w:t>．</w:t>
      </w:r>
      <w:r>
        <w:rPr>
          <w:rStyle w:val="16"/>
          <w:rFonts w:hint="eastAsia" w:ascii="仿宋_GB2312" w:eastAsia="仿宋_GB2312"/>
          <w:b w:val="0"/>
          <w:bCs/>
          <w:sz w:val="32"/>
          <w:szCs w:val="32"/>
        </w:rPr>
        <w:t>文化和旅游行政运行</w:t>
      </w:r>
      <w:r>
        <w:rPr>
          <w:rStyle w:val="16"/>
          <w:rFonts w:ascii="仿宋_GB2312" w:eastAsia="仿宋_GB2312"/>
          <w:b w:val="0"/>
          <w:bCs/>
          <w:sz w:val="32"/>
          <w:szCs w:val="32"/>
        </w:rPr>
        <w:t>2070101</w:t>
      </w:r>
      <w:r>
        <w:rPr>
          <w:rStyle w:val="16"/>
          <w:rFonts w:hint="eastAsia" w:ascii="仿宋_GB2312" w:eastAsia="仿宋_GB2312"/>
          <w:b w:val="0"/>
          <w:bCs/>
          <w:sz w:val="32"/>
          <w:szCs w:val="32"/>
        </w:rPr>
        <w:t>：反映文化、旅游、广播电视等行政单位（包括实行公务员管理的事业单位）的基本支出。</w:t>
      </w:r>
    </w:p>
    <w:p>
      <w:pPr>
        <w:pStyle w:val="32"/>
        <w:spacing w:line="560" w:lineRule="exact"/>
        <w:ind w:firstLine="640" w:firstLineChars="200"/>
        <w:rPr>
          <w:rStyle w:val="16"/>
          <w:rFonts w:ascii="仿宋_GB2312" w:eastAsia="仿宋_GB2312"/>
          <w:b w:val="0"/>
          <w:bCs/>
          <w:sz w:val="32"/>
          <w:szCs w:val="32"/>
        </w:rPr>
      </w:pPr>
      <w:r>
        <w:rPr>
          <w:rStyle w:val="16"/>
          <w:rFonts w:ascii="仿宋_GB2312" w:eastAsia="仿宋_GB2312"/>
          <w:b w:val="0"/>
          <w:bCs/>
          <w:sz w:val="32"/>
          <w:szCs w:val="32"/>
        </w:rPr>
        <w:t>5.</w:t>
      </w:r>
      <w:r>
        <w:rPr>
          <w:rFonts w:hint="eastAsia" w:ascii="仿宋_GB2312" w:eastAsia="仿宋_GB2312"/>
          <w:sz w:val="32"/>
          <w:szCs w:val="32"/>
        </w:rPr>
        <w:t>文化和旅游一般行政管理事务</w:t>
      </w:r>
      <w:r>
        <w:rPr>
          <w:rFonts w:ascii="仿宋_GB2312" w:eastAsia="仿宋_GB2312"/>
          <w:sz w:val="32"/>
          <w:szCs w:val="32"/>
        </w:rPr>
        <w:t>2070102</w:t>
      </w:r>
      <w:r>
        <w:rPr>
          <w:rFonts w:hint="eastAsia" w:ascii="仿宋_GB2312" w:eastAsia="仿宋_GB2312"/>
          <w:sz w:val="32"/>
          <w:szCs w:val="32"/>
        </w:rPr>
        <w:t>：</w:t>
      </w:r>
      <w:r>
        <w:rPr>
          <w:rStyle w:val="16"/>
          <w:rFonts w:hint="eastAsia" w:ascii="仿宋_GB2312" w:eastAsia="仿宋_GB2312"/>
          <w:b w:val="0"/>
          <w:bCs/>
          <w:sz w:val="32"/>
          <w:szCs w:val="32"/>
        </w:rPr>
        <w:t>反映文化、旅游、广播电视等行政单位（包括实行公务员管理的事业单位）未单独设置项级科目的其他项目支出。</w:t>
      </w:r>
    </w:p>
    <w:p>
      <w:pPr>
        <w:pStyle w:val="32"/>
        <w:spacing w:line="560" w:lineRule="exact"/>
        <w:ind w:firstLine="640" w:firstLineChars="200"/>
        <w:rPr>
          <w:rFonts w:ascii="仿宋_GB2312" w:eastAsia="仿宋_GB2312"/>
          <w:sz w:val="32"/>
          <w:szCs w:val="32"/>
        </w:rPr>
      </w:pPr>
      <w:r>
        <w:rPr>
          <w:rStyle w:val="16"/>
          <w:rFonts w:ascii="仿宋_GB2312" w:eastAsia="仿宋_GB2312"/>
          <w:b w:val="0"/>
          <w:bCs/>
          <w:sz w:val="32"/>
          <w:szCs w:val="32"/>
        </w:rPr>
        <w:t>6.</w:t>
      </w:r>
      <w:r>
        <w:rPr>
          <w:rStyle w:val="16"/>
          <w:rFonts w:hint="eastAsia" w:ascii="仿宋_GB2312" w:eastAsia="仿宋_GB2312"/>
          <w:b w:val="0"/>
          <w:bCs/>
          <w:sz w:val="32"/>
          <w:szCs w:val="32"/>
        </w:rPr>
        <w:t>艺术表演团体</w:t>
      </w:r>
      <w:r>
        <w:rPr>
          <w:rStyle w:val="16"/>
          <w:rFonts w:ascii="仿宋_GB2312" w:eastAsia="仿宋_GB2312"/>
          <w:b w:val="0"/>
          <w:bCs/>
          <w:sz w:val="32"/>
          <w:szCs w:val="32"/>
        </w:rPr>
        <w:t>2070107</w:t>
      </w:r>
      <w:r>
        <w:rPr>
          <w:rStyle w:val="16"/>
          <w:rFonts w:hint="eastAsia" w:ascii="仿宋_GB2312" w:eastAsia="仿宋_GB2312"/>
          <w:b w:val="0"/>
          <w:bCs/>
          <w:sz w:val="32"/>
          <w:szCs w:val="32"/>
        </w:rPr>
        <w:t>：反映文化及其他部门主管的剧院（团）等艺术表演团体的支出。</w:t>
      </w:r>
    </w:p>
    <w:p>
      <w:pPr>
        <w:pStyle w:val="32"/>
        <w:spacing w:line="560" w:lineRule="exact"/>
        <w:ind w:firstLine="640" w:firstLineChars="200"/>
        <w:rPr>
          <w:rStyle w:val="16"/>
          <w:rFonts w:ascii="仿宋_GB2312" w:eastAsia="仿宋_GB2312"/>
          <w:b w:val="0"/>
          <w:bCs/>
          <w:sz w:val="32"/>
          <w:szCs w:val="32"/>
        </w:rPr>
      </w:pPr>
      <w:r>
        <w:rPr>
          <w:rFonts w:ascii="仿宋_GB2312" w:eastAsia="仿宋_GB2312"/>
          <w:sz w:val="32"/>
          <w:szCs w:val="32"/>
        </w:rPr>
        <w:t>7.</w:t>
      </w:r>
      <w:r>
        <w:rPr>
          <w:rStyle w:val="16"/>
          <w:rFonts w:hint="eastAsia" w:ascii="仿宋_GB2312" w:eastAsia="仿宋_GB2312"/>
          <w:b w:val="0"/>
          <w:bCs/>
          <w:sz w:val="32"/>
          <w:szCs w:val="32"/>
        </w:rPr>
        <w:t>文化活动</w:t>
      </w:r>
      <w:r>
        <w:rPr>
          <w:rStyle w:val="16"/>
          <w:rFonts w:ascii="仿宋_GB2312" w:eastAsia="仿宋_GB2312"/>
          <w:b w:val="0"/>
          <w:bCs/>
          <w:sz w:val="32"/>
          <w:szCs w:val="32"/>
        </w:rPr>
        <w:t>2070108</w:t>
      </w:r>
      <w:r>
        <w:rPr>
          <w:rStyle w:val="16"/>
          <w:rFonts w:hint="eastAsia" w:ascii="仿宋_GB2312" w:eastAsia="仿宋_GB2312"/>
          <w:b w:val="0"/>
          <w:bCs/>
          <w:sz w:val="32"/>
          <w:szCs w:val="32"/>
        </w:rPr>
        <w:t>：反映举办大型文化艺术活动的支出。</w:t>
      </w:r>
    </w:p>
    <w:p>
      <w:pPr>
        <w:pStyle w:val="32"/>
        <w:spacing w:line="560" w:lineRule="exact"/>
        <w:ind w:firstLine="640" w:firstLineChars="200"/>
        <w:rPr>
          <w:rStyle w:val="16"/>
          <w:rFonts w:ascii="仿宋_GB2312" w:eastAsia="仿宋_GB2312"/>
          <w:b w:val="0"/>
          <w:bCs/>
          <w:sz w:val="32"/>
          <w:szCs w:val="32"/>
        </w:rPr>
      </w:pPr>
      <w:r>
        <w:rPr>
          <w:rStyle w:val="16"/>
          <w:rFonts w:ascii="仿宋_GB2312" w:eastAsia="仿宋_GB2312"/>
          <w:b w:val="0"/>
          <w:bCs/>
          <w:sz w:val="32"/>
          <w:szCs w:val="32"/>
        </w:rPr>
        <w:t>8.</w:t>
      </w:r>
      <w:r>
        <w:rPr>
          <w:rStyle w:val="16"/>
          <w:rFonts w:hint="eastAsia" w:ascii="仿宋_GB2312" w:eastAsia="仿宋_GB2312"/>
          <w:b w:val="0"/>
          <w:bCs/>
          <w:sz w:val="32"/>
          <w:szCs w:val="32"/>
        </w:rPr>
        <w:t>文化创作和保护</w:t>
      </w:r>
      <w:r>
        <w:rPr>
          <w:rStyle w:val="16"/>
          <w:rFonts w:ascii="仿宋_GB2312" w:eastAsia="仿宋_GB2312"/>
          <w:b w:val="0"/>
          <w:bCs/>
          <w:sz w:val="32"/>
          <w:szCs w:val="32"/>
        </w:rPr>
        <w:t>2070111</w:t>
      </w:r>
      <w:r>
        <w:rPr>
          <w:rStyle w:val="16"/>
          <w:rFonts w:hint="eastAsia" w:ascii="仿宋_GB2312" w:eastAsia="仿宋_GB2312"/>
          <w:b w:val="0"/>
          <w:bCs/>
          <w:sz w:val="32"/>
          <w:szCs w:val="32"/>
        </w:rPr>
        <w:t>：反映鼓励文学、艺术创作和优秀传统文化保护方面的支出。</w:t>
      </w:r>
    </w:p>
    <w:p>
      <w:pPr>
        <w:pStyle w:val="32"/>
        <w:spacing w:line="560" w:lineRule="exact"/>
        <w:ind w:firstLine="640" w:firstLineChars="200"/>
        <w:rPr>
          <w:rStyle w:val="16"/>
          <w:rFonts w:ascii="仿宋_GB2312" w:eastAsia="仿宋_GB2312"/>
          <w:b w:val="0"/>
          <w:bCs/>
          <w:sz w:val="32"/>
          <w:szCs w:val="32"/>
        </w:rPr>
      </w:pPr>
      <w:r>
        <w:rPr>
          <w:rStyle w:val="16"/>
          <w:rFonts w:ascii="仿宋_GB2312" w:eastAsia="仿宋_GB2312"/>
          <w:b w:val="0"/>
          <w:bCs/>
          <w:sz w:val="32"/>
          <w:szCs w:val="32"/>
        </w:rPr>
        <w:t>9.</w:t>
      </w:r>
      <w:r>
        <w:rPr>
          <w:rStyle w:val="16"/>
          <w:rFonts w:hint="eastAsia" w:ascii="仿宋_GB2312" w:eastAsia="仿宋_GB2312"/>
          <w:b w:val="0"/>
          <w:bCs/>
          <w:sz w:val="32"/>
          <w:szCs w:val="32"/>
        </w:rPr>
        <w:t>旅游宣传</w:t>
      </w:r>
      <w:r>
        <w:rPr>
          <w:rStyle w:val="16"/>
          <w:rFonts w:ascii="仿宋_GB2312" w:eastAsia="仿宋_GB2312"/>
          <w:b w:val="0"/>
          <w:bCs/>
          <w:sz w:val="32"/>
          <w:szCs w:val="32"/>
        </w:rPr>
        <w:t>2070113</w:t>
      </w:r>
      <w:r>
        <w:rPr>
          <w:rStyle w:val="16"/>
          <w:rFonts w:hint="eastAsia" w:ascii="仿宋_GB2312" w:eastAsia="仿宋_GB2312"/>
          <w:b w:val="0"/>
          <w:bCs/>
          <w:sz w:val="32"/>
          <w:szCs w:val="32"/>
        </w:rPr>
        <w:t>：反映在境内外开展各类旅游宣传促销活动的支出。</w:t>
      </w:r>
    </w:p>
    <w:p>
      <w:pPr>
        <w:pStyle w:val="32"/>
        <w:spacing w:line="560" w:lineRule="exact"/>
        <w:ind w:firstLine="640" w:firstLineChars="200"/>
        <w:rPr>
          <w:rFonts w:ascii="仿宋_GB2312" w:hAnsi="Times New Roman" w:eastAsia="仿宋_GB2312" w:cs="Times New Roman"/>
          <w:kern w:val="2"/>
          <w:sz w:val="32"/>
          <w:szCs w:val="32"/>
        </w:rPr>
      </w:pPr>
      <w:r>
        <w:rPr>
          <w:rStyle w:val="16"/>
          <w:rFonts w:ascii="仿宋_GB2312" w:eastAsia="仿宋_GB2312"/>
          <w:b w:val="0"/>
          <w:bCs/>
          <w:sz w:val="32"/>
          <w:szCs w:val="32"/>
        </w:rPr>
        <w:t>10.</w:t>
      </w:r>
      <w:r>
        <w:rPr>
          <w:rStyle w:val="16"/>
          <w:rFonts w:hint="eastAsia" w:ascii="仿宋_GB2312" w:eastAsia="仿宋_GB2312"/>
          <w:b w:val="0"/>
          <w:bCs/>
          <w:sz w:val="32"/>
          <w:szCs w:val="32"/>
        </w:rPr>
        <w:t>文化和旅游管理事务</w:t>
      </w:r>
      <w:r>
        <w:rPr>
          <w:rStyle w:val="16"/>
          <w:rFonts w:ascii="仿宋_GB2312" w:eastAsia="仿宋_GB2312"/>
          <w:b w:val="0"/>
          <w:bCs/>
          <w:sz w:val="32"/>
          <w:szCs w:val="32"/>
        </w:rPr>
        <w:t>2070114</w:t>
      </w:r>
      <w:r>
        <w:rPr>
          <w:rStyle w:val="16"/>
          <w:rFonts w:hint="eastAsia" w:ascii="仿宋_GB2312" w:eastAsia="仿宋_GB2312"/>
          <w:b w:val="0"/>
          <w:bCs/>
          <w:sz w:val="32"/>
          <w:szCs w:val="32"/>
        </w:rPr>
        <w:t>：反映文化和旅游管理事务支出。</w:t>
      </w:r>
    </w:p>
    <w:p>
      <w:pPr>
        <w:pStyle w:val="32"/>
        <w:spacing w:line="560" w:lineRule="exact"/>
        <w:ind w:firstLine="640" w:firstLineChars="200"/>
        <w:rPr>
          <w:rFonts w:ascii="仿宋_GB2312" w:hAnsi="Times New Roman" w:eastAsia="仿宋_GB2312" w:cs="Times New Roman"/>
          <w:kern w:val="2"/>
          <w:sz w:val="32"/>
          <w:szCs w:val="32"/>
        </w:rPr>
      </w:pPr>
      <w:r>
        <w:rPr>
          <w:rFonts w:ascii="仿宋_GB2312" w:hAnsi="Times New Roman" w:eastAsia="仿宋_GB2312" w:cs="Times New Roman"/>
          <w:kern w:val="2"/>
          <w:sz w:val="32"/>
          <w:szCs w:val="32"/>
        </w:rPr>
        <w:t>11.</w:t>
      </w:r>
      <w:r>
        <w:rPr>
          <w:rFonts w:hint="eastAsia" w:ascii="仿宋_GB2312" w:hAnsi="Times New Roman" w:eastAsia="仿宋_GB2312" w:cs="Times New Roman"/>
          <w:kern w:val="2"/>
          <w:sz w:val="32"/>
          <w:szCs w:val="32"/>
        </w:rPr>
        <w:t>其他文化支出</w:t>
      </w:r>
      <w:r>
        <w:rPr>
          <w:rFonts w:ascii="仿宋_GB2312" w:hAnsi="Times New Roman" w:eastAsia="仿宋_GB2312" w:cs="Times New Roman"/>
          <w:kern w:val="2"/>
          <w:sz w:val="32"/>
          <w:szCs w:val="32"/>
        </w:rPr>
        <w:t>2070199</w:t>
      </w:r>
      <w:r>
        <w:rPr>
          <w:rFonts w:hint="eastAsia" w:ascii="仿宋_GB2312" w:hAnsi="Times New Roman" w:eastAsia="仿宋_GB2312" w:cs="Times New Roman"/>
          <w:kern w:val="2"/>
          <w:sz w:val="32"/>
          <w:szCs w:val="32"/>
        </w:rPr>
        <w:t>：指用于其他文化方面的支出。</w:t>
      </w:r>
    </w:p>
    <w:p>
      <w:pPr>
        <w:pStyle w:val="32"/>
        <w:spacing w:line="560" w:lineRule="exact"/>
        <w:ind w:firstLine="640" w:firstLineChars="200"/>
        <w:rPr>
          <w:rFonts w:ascii="仿宋_GB2312" w:hAnsi="Times New Roman" w:eastAsia="仿宋_GB2312" w:cs="Times New Roman"/>
          <w:kern w:val="2"/>
          <w:sz w:val="32"/>
          <w:szCs w:val="32"/>
        </w:rPr>
      </w:pPr>
      <w:r>
        <w:rPr>
          <w:rFonts w:ascii="仿宋_GB2312" w:hAnsi="Times New Roman" w:eastAsia="仿宋_GB2312" w:cs="Times New Roman"/>
          <w:kern w:val="2"/>
          <w:sz w:val="32"/>
          <w:szCs w:val="32"/>
        </w:rPr>
        <w:t>12.</w:t>
      </w:r>
      <w:r>
        <w:rPr>
          <w:rFonts w:hint="eastAsia" w:ascii="仿宋_GB2312" w:hAnsi="Times New Roman" w:eastAsia="仿宋_GB2312" w:cs="Times New Roman"/>
          <w:kern w:val="2"/>
          <w:sz w:val="32"/>
          <w:szCs w:val="32"/>
        </w:rPr>
        <w:t>文物保护</w:t>
      </w:r>
      <w:r>
        <w:rPr>
          <w:rFonts w:ascii="仿宋_GB2312" w:hAnsi="Times New Roman" w:eastAsia="仿宋_GB2312" w:cs="Times New Roman"/>
          <w:kern w:val="2"/>
          <w:sz w:val="32"/>
          <w:szCs w:val="32"/>
        </w:rPr>
        <w:t>2070204</w:t>
      </w:r>
      <w:r>
        <w:rPr>
          <w:rFonts w:hint="eastAsia" w:ascii="仿宋_GB2312" w:hAnsi="Times New Roman" w:eastAsia="仿宋_GB2312" w:cs="Times New Roman"/>
          <w:kern w:val="2"/>
          <w:sz w:val="32"/>
          <w:szCs w:val="32"/>
        </w:rPr>
        <w:t>：反映考古发掘及文物保护方面的支出。</w:t>
      </w:r>
    </w:p>
    <w:p>
      <w:pPr>
        <w:pStyle w:val="32"/>
        <w:spacing w:line="560" w:lineRule="exact"/>
        <w:ind w:firstLine="640" w:firstLineChars="200"/>
        <w:rPr>
          <w:rFonts w:ascii="仿宋_GB2312" w:hAnsi="Times New Roman" w:eastAsia="仿宋_GB2312" w:cs="Times New Roman"/>
          <w:kern w:val="2"/>
          <w:sz w:val="32"/>
          <w:szCs w:val="32"/>
        </w:rPr>
      </w:pPr>
      <w:r>
        <w:rPr>
          <w:rFonts w:ascii="仿宋_GB2312" w:hAnsi="Times New Roman" w:eastAsia="仿宋_GB2312" w:cs="Times New Roman"/>
          <w:kern w:val="2"/>
          <w:sz w:val="32"/>
          <w:szCs w:val="32"/>
        </w:rPr>
        <w:t>13.</w:t>
      </w:r>
      <w:r>
        <w:rPr>
          <w:rFonts w:hint="eastAsia" w:ascii="仿宋_GB2312" w:hAnsi="Times New Roman" w:eastAsia="仿宋_GB2312" w:cs="Times New Roman"/>
          <w:kern w:val="2"/>
          <w:sz w:val="32"/>
          <w:szCs w:val="32"/>
        </w:rPr>
        <w:t>体育竞赛</w:t>
      </w:r>
      <w:r>
        <w:rPr>
          <w:rFonts w:ascii="仿宋_GB2312" w:hAnsi="Times New Roman" w:eastAsia="仿宋_GB2312" w:cs="Times New Roman"/>
          <w:kern w:val="2"/>
          <w:sz w:val="32"/>
          <w:szCs w:val="32"/>
        </w:rPr>
        <w:t>2070305</w:t>
      </w:r>
      <w:r>
        <w:rPr>
          <w:rFonts w:hint="eastAsia" w:ascii="仿宋_GB2312" w:hAnsi="Times New Roman" w:eastAsia="仿宋_GB2312" w:cs="Times New Roman"/>
          <w:kern w:val="2"/>
          <w:sz w:val="32"/>
          <w:szCs w:val="32"/>
        </w:rPr>
        <w:t>：反映综合性运动会及单项体育比赛支出。</w:t>
      </w:r>
    </w:p>
    <w:p>
      <w:pPr>
        <w:pStyle w:val="32"/>
        <w:spacing w:line="560" w:lineRule="exact"/>
        <w:ind w:firstLine="640" w:firstLineChars="200"/>
        <w:rPr>
          <w:rFonts w:ascii="仿宋_GB2312" w:hAnsi="Times New Roman" w:eastAsia="仿宋_GB2312" w:cs="Times New Roman"/>
          <w:kern w:val="2"/>
          <w:sz w:val="32"/>
          <w:szCs w:val="32"/>
        </w:rPr>
      </w:pPr>
      <w:r>
        <w:rPr>
          <w:rFonts w:ascii="仿宋_GB2312" w:hAnsi="Times New Roman" w:eastAsia="仿宋_GB2312" w:cs="Times New Roman"/>
          <w:kern w:val="2"/>
          <w:sz w:val="32"/>
          <w:szCs w:val="32"/>
        </w:rPr>
        <w:t>14.</w:t>
      </w:r>
      <w:r>
        <w:rPr>
          <w:rFonts w:hint="eastAsia" w:ascii="仿宋_GB2312" w:hAnsi="Times New Roman" w:eastAsia="仿宋_GB2312" w:cs="Times New Roman"/>
          <w:kern w:val="2"/>
          <w:sz w:val="32"/>
          <w:szCs w:val="32"/>
        </w:rPr>
        <w:t>电影</w:t>
      </w:r>
      <w:r>
        <w:rPr>
          <w:rFonts w:ascii="仿宋_GB2312" w:hAnsi="Times New Roman" w:eastAsia="仿宋_GB2312" w:cs="Times New Roman"/>
          <w:kern w:val="2"/>
          <w:sz w:val="32"/>
          <w:szCs w:val="32"/>
        </w:rPr>
        <w:t>2070607</w:t>
      </w:r>
      <w:r>
        <w:rPr>
          <w:rFonts w:hint="eastAsia" w:ascii="仿宋_GB2312" w:hAnsi="Times New Roman" w:eastAsia="仿宋_GB2312" w:cs="Times New Roman"/>
          <w:kern w:val="2"/>
          <w:sz w:val="32"/>
          <w:szCs w:val="32"/>
        </w:rPr>
        <w:t>：反映电影制片、发行、放映等方面的支出。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其他新闻出版</w:t>
      </w:r>
      <w:r>
        <w:rPr>
          <w:rStyle w:val="16"/>
          <w:rFonts w:hint="eastAsia" w:ascii="仿宋_GB2312" w:eastAsia="仿宋_GB2312"/>
          <w:b w:val="0"/>
          <w:bCs/>
          <w:color w:val="000000"/>
          <w:sz w:val="32"/>
          <w:szCs w:val="32"/>
        </w:rPr>
        <w:t>电影</w:t>
      </w:r>
      <w:r>
        <w:rPr>
          <w:rStyle w:val="16"/>
          <w:rFonts w:ascii="仿宋_GB2312" w:eastAsia="仿宋_GB2312"/>
          <w:b w:val="0"/>
          <w:bCs/>
          <w:color w:val="000000"/>
          <w:sz w:val="32"/>
          <w:szCs w:val="32"/>
        </w:rPr>
        <w:t>2070699</w:t>
      </w:r>
      <w:r>
        <w:rPr>
          <w:rStyle w:val="16"/>
          <w:rFonts w:hint="eastAsia" w:ascii="仿宋_GB2312" w:eastAsia="仿宋_GB2312"/>
          <w:b w:val="0"/>
          <w:bCs/>
          <w:color w:val="000000"/>
          <w:sz w:val="32"/>
          <w:szCs w:val="32"/>
        </w:rPr>
        <w:t>：反映其他用于新闻出版电影方面的支出。</w:t>
      </w:r>
    </w:p>
    <w:p>
      <w:pPr>
        <w:ind w:firstLine="480" w:firstLineChars="150"/>
        <w:rPr>
          <w:rFonts w:ascii="仿宋_GB2312" w:eastAsia="仿宋_GB2312"/>
          <w:color w:val="000000"/>
          <w:sz w:val="32"/>
          <w:szCs w:val="32"/>
        </w:rPr>
      </w:pPr>
      <w:r>
        <w:rPr>
          <w:rFonts w:ascii="仿宋_GB2312" w:eastAsia="仿宋_GB2312"/>
          <w:color w:val="000000"/>
          <w:sz w:val="32"/>
          <w:szCs w:val="32"/>
        </w:rPr>
        <w:t xml:space="preserve">16. </w:t>
      </w:r>
      <w:r>
        <w:rPr>
          <w:rFonts w:hint="eastAsia" w:ascii="仿宋_GB2312" w:eastAsia="仿宋_GB2312"/>
          <w:color w:val="000000"/>
          <w:sz w:val="32"/>
          <w:szCs w:val="32"/>
        </w:rPr>
        <w:t>其他广播电视支出</w:t>
      </w:r>
      <w:r>
        <w:rPr>
          <w:rFonts w:ascii="仿宋_GB2312" w:eastAsia="仿宋_GB2312"/>
          <w:color w:val="000000"/>
          <w:sz w:val="32"/>
          <w:szCs w:val="32"/>
        </w:rPr>
        <w:t>2070899</w:t>
      </w:r>
      <w:r>
        <w:rPr>
          <w:rFonts w:hint="eastAsia" w:ascii="仿宋_GB2312" w:eastAsia="仿宋_GB2312"/>
          <w:color w:val="000000"/>
          <w:sz w:val="32"/>
          <w:szCs w:val="32"/>
        </w:rPr>
        <w:t>：反映其他用于广播电视方面的支出。</w:t>
      </w:r>
    </w:p>
    <w:p>
      <w:pPr>
        <w:ind w:firstLine="480" w:firstLineChars="15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其他文化体育与传媒支出</w:t>
      </w:r>
      <w:r>
        <w:rPr>
          <w:rFonts w:ascii="仿宋_GB2312" w:eastAsia="仿宋_GB2312"/>
          <w:color w:val="000000"/>
          <w:sz w:val="32"/>
          <w:szCs w:val="32"/>
        </w:rPr>
        <w:t>2079999</w:t>
      </w:r>
      <w:r>
        <w:rPr>
          <w:rFonts w:hint="eastAsia" w:ascii="仿宋_GB2312" w:eastAsia="仿宋_GB2312"/>
          <w:color w:val="000000"/>
          <w:sz w:val="32"/>
          <w:szCs w:val="32"/>
        </w:rPr>
        <w:t>：指其他用于文化体育与传媒支出的支出。</w:t>
      </w:r>
    </w:p>
    <w:p>
      <w:pPr>
        <w:ind w:firstLine="320" w:firstLineChars="100"/>
        <w:rPr>
          <w:rFonts w:ascii="仿宋_GB2312" w:eastAsia="仿宋_GB2312"/>
          <w:color w:val="000000"/>
          <w:sz w:val="32"/>
          <w:szCs w:val="32"/>
        </w:rPr>
      </w:pPr>
      <w:r>
        <w:rPr>
          <w:rFonts w:ascii="仿宋_GB2312" w:eastAsia="仿宋_GB2312"/>
          <w:sz w:val="32"/>
          <w:szCs w:val="32"/>
        </w:rPr>
        <w:t xml:space="preserve"> 18.</w:t>
      </w:r>
      <w:r>
        <w:rPr>
          <w:rFonts w:hint="eastAsia" w:ascii="仿宋_GB2312" w:eastAsia="仿宋_GB2312"/>
          <w:sz w:val="32"/>
          <w:szCs w:val="32"/>
        </w:rPr>
        <w:t>归口管理的行政单位离退休</w:t>
      </w:r>
      <w:r>
        <w:rPr>
          <w:rFonts w:ascii="仿宋_GB2312" w:eastAsia="仿宋_GB2312"/>
          <w:sz w:val="32"/>
          <w:szCs w:val="32"/>
        </w:rPr>
        <w:t>2080501</w:t>
      </w:r>
      <w:r>
        <w:rPr>
          <w:rFonts w:hint="eastAsia" w:ascii="仿宋_GB2312" w:eastAsia="仿宋_GB2312"/>
          <w:sz w:val="32"/>
          <w:szCs w:val="32"/>
        </w:rPr>
        <w:t>：</w:t>
      </w:r>
      <w:r>
        <w:rPr>
          <w:rFonts w:hint="eastAsia" w:ascii="仿宋_GB2312" w:eastAsia="仿宋_GB2312"/>
          <w:color w:val="000000"/>
          <w:sz w:val="32"/>
          <w:szCs w:val="32"/>
        </w:rPr>
        <w:t>指反映行政单位（包括实行公务员管理的事业单位）开支的离退休经费。</w:t>
      </w:r>
    </w:p>
    <w:p>
      <w:pPr>
        <w:ind w:firstLine="210" w:firstLineChars="100"/>
        <w:rPr>
          <w:rFonts w:ascii="仿宋_GB2312" w:eastAsia="仿宋_GB2312"/>
          <w:color w:val="000000"/>
          <w:sz w:val="32"/>
          <w:szCs w:val="32"/>
        </w:rPr>
      </w:pPr>
      <w:r>
        <w:t xml:space="preserve">   </w:t>
      </w:r>
      <w:r>
        <w:rPr>
          <w:rFonts w:ascii="仿宋_GB2312" w:eastAsia="仿宋_GB2312"/>
          <w:sz w:val="32"/>
          <w:szCs w:val="32"/>
        </w:rPr>
        <w:t>19.</w:t>
      </w:r>
      <w:r>
        <w:rPr>
          <w:rFonts w:hint="eastAsia" w:ascii="仿宋_GB2312" w:eastAsia="仿宋_GB2312"/>
          <w:sz w:val="32"/>
          <w:szCs w:val="32"/>
        </w:rPr>
        <w:t>事业单位离退休</w:t>
      </w:r>
      <w:r>
        <w:rPr>
          <w:rFonts w:ascii="仿宋_GB2312" w:eastAsia="仿宋_GB2312"/>
          <w:sz w:val="32"/>
          <w:szCs w:val="32"/>
        </w:rPr>
        <w:t>2080502</w:t>
      </w:r>
      <w:r>
        <w:rPr>
          <w:rFonts w:hint="eastAsia" w:ascii="仿宋_GB2312" w:eastAsia="仿宋_GB2312"/>
          <w:sz w:val="32"/>
          <w:szCs w:val="32"/>
        </w:rPr>
        <w:t>：</w:t>
      </w:r>
      <w:r>
        <w:rPr>
          <w:rFonts w:hint="eastAsia" w:ascii="仿宋_GB2312" w:eastAsia="仿宋_GB2312"/>
          <w:color w:val="000000"/>
          <w:sz w:val="32"/>
          <w:szCs w:val="32"/>
        </w:rPr>
        <w:t>指反映事业单位开支的离退休经费。</w:t>
      </w:r>
    </w:p>
    <w:p>
      <w:pPr>
        <w:ind w:firstLine="480" w:firstLineChars="15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机关事业单位基本养老保险缴费支出</w:t>
      </w:r>
      <w:r>
        <w:rPr>
          <w:rFonts w:ascii="仿宋_GB2312" w:eastAsia="仿宋_GB2312"/>
          <w:color w:val="000000"/>
          <w:sz w:val="32"/>
          <w:szCs w:val="32"/>
        </w:rPr>
        <w:t>2080505</w:t>
      </w:r>
      <w:r>
        <w:rPr>
          <w:rFonts w:hint="eastAsia" w:ascii="仿宋_GB2312" w:eastAsia="仿宋_GB2312"/>
          <w:color w:val="000000"/>
          <w:sz w:val="32"/>
          <w:szCs w:val="32"/>
        </w:rPr>
        <w:t>：指反映机关事业单位实施养老保险制度由单位缴纳的基本养老保险费支出。</w:t>
      </w:r>
    </w:p>
    <w:p>
      <w:pPr>
        <w:pStyle w:val="2"/>
        <w:ind w:firstLine="48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机关事业单位职业年金缴费支出</w:t>
      </w:r>
      <w:r>
        <w:rPr>
          <w:rFonts w:ascii="仿宋_GB2312" w:eastAsia="仿宋_GB2312"/>
          <w:color w:val="000000"/>
          <w:sz w:val="32"/>
          <w:szCs w:val="32"/>
        </w:rPr>
        <w:t>2080506</w:t>
      </w:r>
      <w:r>
        <w:rPr>
          <w:rFonts w:hint="eastAsia" w:ascii="仿宋_GB2312" w:eastAsia="仿宋_GB2312"/>
          <w:color w:val="000000"/>
          <w:sz w:val="32"/>
          <w:szCs w:val="32"/>
        </w:rPr>
        <w:t>：反映机关事业单位实施养老保险制度由单位实际缴纳的职业年金支出。</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死亡抚恤</w:t>
      </w:r>
      <w:r>
        <w:rPr>
          <w:rFonts w:ascii="仿宋_GB2312" w:eastAsia="仿宋_GB2312"/>
          <w:color w:val="000000"/>
          <w:sz w:val="32"/>
          <w:szCs w:val="32"/>
        </w:rPr>
        <w:t>2080801</w:t>
      </w:r>
      <w:r>
        <w:rPr>
          <w:rFonts w:hint="eastAsia" w:ascii="仿宋_GB2312" w:eastAsia="仿宋_GB2312"/>
          <w:color w:val="000000"/>
          <w:sz w:val="32"/>
          <w:szCs w:val="32"/>
        </w:rPr>
        <w:t>：反映按规定用于烈士和牺牲、病故人员家属的一次性和定期抚恤金以及丧葬补助费。</w:t>
      </w:r>
    </w:p>
    <w:p>
      <w:pPr>
        <w:pStyle w:val="2"/>
        <w:rPr>
          <w:rFonts w:ascii="仿宋_GB2312" w:eastAsia="仿宋_GB2312"/>
          <w:color w:val="000000"/>
          <w:sz w:val="32"/>
          <w:szCs w:val="32"/>
        </w:rPr>
      </w:pPr>
      <w:r>
        <w:t xml:space="preserve">     </w:t>
      </w:r>
      <w:r>
        <w:rPr>
          <w:rFonts w:ascii="仿宋_GB2312" w:eastAsia="仿宋_GB2312"/>
          <w:color w:val="000000"/>
          <w:sz w:val="32"/>
          <w:szCs w:val="32"/>
        </w:rPr>
        <w:t>23.</w:t>
      </w:r>
      <w:r>
        <w:rPr>
          <w:rFonts w:hint="eastAsia" w:ascii="仿宋_GB2312" w:eastAsia="仿宋_GB2312"/>
          <w:color w:val="000000"/>
          <w:sz w:val="32"/>
          <w:szCs w:val="32"/>
        </w:rPr>
        <w:t>行政单位医疗</w:t>
      </w:r>
      <w:r>
        <w:rPr>
          <w:rFonts w:ascii="仿宋_GB2312" w:eastAsia="仿宋_GB2312"/>
          <w:color w:val="000000"/>
          <w:sz w:val="32"/>
          <w:szCs w:val="32"/>
        </w:rPr>
        <w:t>201101</w:t>
      </w:r>
      <w:r>
        <w:rPr>
          <w:rFonts w:hint="eastAsia" w:ascii="仿宋_GB2312" w:eastAsia="仿宋_GB2312"/>
          <w:color w:val="000000"/>
          <w:sz w:val="32"/>
          <w:szCs w:val="32"/>
        </w:rPr>
        <w:t>：反映财政部门安排的行政单位（包括实行公务员管理的事业单位）基本医疗保险缴费经费。</w:t>
      </w:r>
    </w:p>
    <w:p>
      <w:pPr>
        <w:pStyle w:val="2"/>
        <w:ind w:firstLine="480" w:firstLineChars="150"/>
        <w:rPr>
          <w:rFonts w:ascii="仿宋_GB2312" w:eastAsia="仿宋_GB2312"/>
          <w:color w:val="000000"/>
          <w:sz w:val="32"/>
          <w:szCs w:val="32"/>
        </w:rPr>
      </w:pPr>
      <w:r>
        <w:rPr>
          <w:rFonts w:ascii="仿宋_GB2312" w:eastAsia="仿宋_GB2312"/>
          <w:sz w:val="32"/>
          <w:szCs w:val="32"/>
        </w:rPr>
        <w:t>24.</w:t>
      </w:r>
      <w:r>
        <w:rPr>
          <w:rFonts w:hint="eastAsia" w:ascii="仿宋_GB2312" w:eastAsia="仿宋_GB2312"/>
          <w:sz w:val="32"/>
          <w:szCs w:val="32"/>
        </w:rPr>
        <w:t>事业单位医疗</w:t>
      </w:r>
      <w:r>
        <w:rPr>
          <w:rFonts w:ascii="仿宋_GB2312" w:eastAsia="仿宋_GB2312"/>
          <w:sz w:val="32"/>
          <w:szCs w:val="32"/>
        </w:rPr>
        <w:t>2101102</w:t>
      </w:r>
      <w:r>
        <w:rPr>
          <w:rFonts w:hint="eastAsia" w:ascii="仿宋_GB2312" w:eastAsia="仿宋_GB2312"/>
          <w:sz w:val="32"/>
          <w:szCs w:val="32"/>
        </w:rPr>
        <w:t>：</w:t>
      </w:r>
      <w:r>
        <w:rPr>
          <w:rFonts w:hint="eastAsia" w:ascii="仿宋_GB2312" w:eastAsia="仿宋_GB2312"/>
          <w:color w:val="000000"/>
          <w:sz w:val="32"/>
          <w:szCs w:val="32"/>
        </w:rPr>
        <w:t>反映财政部门安排的事业单位基本医疗保险缴费经费。</w:t>
      </w:r>
    </w:p>
    <w:p>
      <w:pPr>
        <w:rPr>
          <w:rFonts w:ascii="仿宋_GB2312" w:eastAsia="仿宋_GB2312"/>
          <w:sz w:val="32"/>
          <w:szCs w:val="32"/>
        </w:rPr>
      </w:pPr>
      <w:r>
        <w:rPr>
          <w:rFonts w:ascii="仿宋_GB2312" w:eastAsia="仿宋_GB2312"/>
          <w:sz w:val="32"/>
          <w:szCs w:val="32"/>
        </w:rPr>
        <w:t xml:space="preserve">   25.</w:t>
      </w:r>
      <w:r>
        <w:rPr>
          <w:rFonts w:hint="eastAsia" w:ascii="仿宋_GB2312" w:eastAsia="仿宋_GB2312"/>
          <w:sz w:val="32"/>
          <w:szCs w:val="32"/>
        </w:rPr>
        <w:t>公务员医疗补助</w:t>
      </w:r>
      <w:r>
        <w:rPr>
          <w:rFonts w:ascii="仿宋_GB2312" w:eastAsia="仿宋_GB2312"/>
          <w:sz w:val="32"/>
          <w:szCs w:val="32"/>
        </w:rPr>
        <w:t>2101103</w:t>
      </w:r>
      <w:r>
        <w:rPr>
          <w:rFonts w:hint="eastAsia" w:ascii="仿宋_GB2312" w:eastAsia="仿宋_GB2312"/>
          <w:sz w:val="32"/>
          <w:szCs w:val="32"/>
        </w:rPr>
        <w:t>：反映财政部门安排的公务员医疗补助经费。</w:t>
      </w:r>
    </w:p>
    <w:p>
      <w:pPr>
        <w:ind w:firstLine="480" w:firstLineChars="150"/>
        <w:rPr>
          <w:rStyle w:val="16"/>
          <w:rFonts w:ascii="仿宋_GB2312" w:eastAsia="仿宋_GB2312"/>
          <w:b w:val="0"/>
          <w:bCs/>
          <w:color w:val="000000"/>
          <w:sz w:val="32"/>
          <w:szCs w:val="32"/>
        </w:rPr>
      </w:pPr>
      <w:r>
        <w:rPr>
          <w:rStyle w:val="16"/>
          <w:rFonts w:ascii="仿宋_GB2312" w:eastAsia="仿宋_GB2312"/>
          <w:b w:val="0"/>
          <w:bCs/>
          <w:color w:val="000000"/>
          <w:sz w:val="32"/>
          <w:szCs w:val="32"/>
        </w:rPr>
        <w:t>26.</w:t>
      </w:r>
      <w:r>
        <w:rPr>
          <w:rStyle w:val="16"/>
          <w:rFonts w:hint="eastAsia" w:ascii="仿宋_GB2312" w:eastAsia="仿宋_GB2312"/>
          <w:b w:val="0"/>
          <w:bCs/>
          <w:color w:val="000000"/>
          <w:sz w:val="32"/>
          <w:szCs w:val="32"/>
        </w:rPr>
        <w:t>农村基层设施建设支出</w:t>
      </w:r>
      <w:r>
        <w:rPr>
          <w:rStyle w:val="16"/>
          <w:rFonts w:ascii="仿宋_GB2312" w:eastAsia="仿宋_GB2312"/>
          <w:b w:val="0"/>
          <w:bCs/>
          <w:color w:val="000000"/>
          <w:sz w:val="32"/>
          <w:szCs w:val="32"/>
        </w:rPr>
        <w:t>2120804</w:t>
      </w:r>
      <w:r>
        <w:rPr>
          <w:rStyle w:val="16"/>
          <w:rFonts w:hint="eastAsia" w:ascii="仿宋_GB2312" w:eastAsia="仿宋_GB2312"/>
          <w:b w:val="0"/>
          <w:bCs/>
          <w:color w:val="000000"/>
          <w:sz w:val="32"/>
          <w:szCs w:val="32"/>
        </w:rPr>
        <w:t>：指反映土地出让收入用于农村饮水、环境、卫生、教育以及文化等基础设施建设支出。</w:t>
      </w:r>
    </w:p>
    <w:p>
      <w:pPr>
        <w:pStyle w:val="2"/>
        <w:rPr>
          <w:rFonts w:ascii="仿宋_GB2312" w:eastAsia="仿宋_GB2312"/>
          <w:sz w:val="32"/>
          <w:szCs w:val="32"/>
        </w:rPr>
      </w:pPr>
      <w:r>
        <w:t xml:space="preserve">   </w:t>
      </w:r>
      <w:r>
        <w:rPr>
          <w:rFonts w:ascii="仿宋_GB2312" w:eastAsia="仿宋_GB2312"/>
          <w:sz w:val="32"/>
          <w:szCs w:val="32"/>
        </w:rPr>
        <w:t xml:space="preserve"> 27.</w:t>
      </w:r>
      <w:r>
        <w:rPr>
          <w:rFonts w:hint="eastAsia" w:ascii="仿宋_GB2312" w:eastAsia="仿宋_GB2312"/>
          <w:sz w:val="32"/>
          <w:szCs w:val="32"/>
        </w:rPr>
        <w:t>其他农林水支出</w:t>
      </w:r>
      <w:r>
        <w:rPr>
          <w:rFonts w:ascii="仿宋_GB2312" w:eastAsia="仿宋_GB2312"/>
          <w:sz w:val="32"/>
          <w:szCs w:val="32"/>
        </w:rPr>
        <w:t>2139999</w:t>
      </w:r>
      <w:r>
        <w:rPr>
          <w:rFonts w:hint="eastAsia" w:ascii="仿宋_GB2312" w:eastAsia="仿宋_GB2312"/>
          <w:sz w:val="32"/>
          <w:szCs w:val="32"/>
        </w:rPr>
        <w:t>：反映除化解债务支出以外其他用于农林水方面的支出。</w:t>
      </w:r>
    </w:p>
    <w:p>
      <w:pPr>
        <w:ind w:firstLine="480" w:firstLineChars="15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住房公积金</w:t>
      </w:r>
      <w:r>
        <w:rPr>
          <w:rFonts w:ascii="仿宋_GB2312" w:eastAsia="仿宋_GB2312"/>
          <w:color w:val="000000"/>
          <w:sz w:val="32"/>
          <w:szCs w:val="32"/>
        </w:rPr>
        <w:t>2210201</w:t>
      </w:r>
      <w:r>
        <w:rPr>
          <w:rFonts w:hint="eastAsia" w:ascii="仿宋_GB2312" w:eastAsia="仿宋_GB2312"/>
          <w:color w:val="000000"/>
          <w:sz w:val="32"/>
          <w:szCs w:val="32"/>
        </w:rPr>
        <w:t>：指反映行政事业单位按照规定的比例为职工缴纳的住房公积金。</w:t>
      </w:r>
    </w:p>
    <w:p>
      <w:pPr>
        <w:pStyle w:val="2"/>
        <w:rPr>
          <w:rFonts w:ascii="仿宋_GB2312" w:eastAsia="仿宋_GB2312"/>
          <w:sz w:val="32"/>
          <w:szCs w:val="32"/>
        </w:rPr>
      </w:pPr>
      <w:r>
        <w:t xml:space="preserve"> </w:t>
      </w:r>
      <w:r>
        <w:rPr>
          <w:rFonts w:ascii="仿宋_GB2312" w:eastAsia="仿宋_GB2312"/>
          <w:sz w:val="32"/>
          <w:szCs w:val="32"/>
        </w:rPr>
        <w:t xml:space="preserve">   29.</w:t>
      </w:r>
      <w:r>
        <w:rPr>
          <w:rFonts w:hint="eastAsia" w:ascii="仿宋_GB2312" w:eastAsia="仿宋_GB2312"/>
          <w:sz w:val="32"/>
          <w:szCs w:val="32"/>
        </w:rPr>
        <w:t>其他支出</w:t>
      </w:r>
      <w:r>
        <w:rPr>
          <w:rFonts w:ascii="仿宋_GB2312" w:eastAsia="仿宋_GB2312"/>
          <w:sz w:val="32"/>
          <w:szCs w:val="32"/>
        </w:rPr>
        <w:t>2299999:</w:t>
      </w:r>
      <w:r>
        <w:rPr>
          <w:rFonts w:hint="eastAsia" w:ascii="仿宋_GB2312" w:eastAsia="仿宋_GB2312"/>
          <w:sz w:val="32"/>
          <w:szCs w:val="32"/>
        </w:rPr>
        <w:t>反映除上述项目以外其他不能划分到具体功能科目中的支出项目。</w:t>
      </w:r>
    </w:p>
    <w:p>
      <w:pPr>
        <w:ind w:firstLine="480" w:firstLineChars="150"/>
        <w:rPr>
          <w:rFonts w:ascii="仿宋_GB2312" w:eastAsia="仿宋_GB2312"/>
          <w:color w:val="000000"/>
          <w:sz w:val="32"/>
          <w:szCs w:val="32"/>
        </w:rPr>
      </w:pPr>
      <w:r>
        <w:rPr>
          <w:rFonts w:ascii="仿宋_GB2312" w:eastAsia="仿宋_GB2312"/>
          <w:color w:val="000000"/>
          <w:sz w:val="32"/>
          <w:szCs w:val="32"/>
        </w:rPr>
        <w:t>30.</w:t>
      </w:r>
      <w:r>
        <w:rPr>
          <w:rFonts w:hint="eastAsia" w:ascii="仿宋_GB2312" w:eastAsia="仿宋_GB2312"/>
          <w:color w:val="000000"/>
          <w:sz w:val="32"/>
          <w:szCs w:val="32"/>
        </w:rPr>
        <w:t>年末结转和结余：指本年度或以前年度预算安排、因客观条件发生变化无法按原计划实施，需延迟到以后年度按有关规定继续使用的资金。</w:t>
      </w:r>
    </w:p>
    <w:p>
      <w:pPr>
        <w:ind w:firstLine="480" w:firstLineChars="150"/>
        <w:rPr>
          <w:rFonts w:ascii="仿宋_GB2312" w:eastAsia="仿宋_GB2312"/>
          <w:color w:val="000000"/>
          <w:sz w:val="32"/>
          <w:szCs w:val="32"/>
        </w:rPr>
      </w:pPr>
      <w:r>
        <w:rPr>
          <w:rFonts w:ascii="仿宋_GB2312" w:eastAsia="仿宋_GB2312"/>
          <w:color w:val="000000"/>
          <w:sz w:val="32"/>
          <w:szCs w:val="32"/>
        </w:rPr>
        <w:t>31.</w:t>
      </w:r>
      <w:r>
        <w:rPr>
          <w:rFonts w:hint="eastAsia" w:ascii="仿宋_GB2312" w:eastAsia="仿宋_GB2312"/>
          <w:color w:val="000000"/>
          <w:sz w:val="32"/>
          <w:szCs w:val="32"/>
        </w:rPr>
        <w:t>基本支出：指为保障机构正常运转、完成日常工作任务而发生的人员支出和公用支出。</w:t>
      </w:r>
    </w:p>
    <w:p>
      <w:pPr>
        <w:ind w:firstLine="480" w:firstLineChars="150"/>
        <w:rPr>
          <w:rFonts w:ascii="仿宋_GB2312" w:eastAsia="仿宋_GB2312"/>
          <w:color w:val="000000"/>
          <w:sz w:val="32"/>
          <w:szCs w:val="32"/>
        </w:rPr>
      </w:pPr>
      <w:r>
        <w:rPr>
          <w:rFonts w:ascii="仿宋_GB2312" w:eastAsia="仿宋_GB2312"/>
          <w:color w:val="000000"/>
          <w:sz w:val="32"/>
          <w:szCs w:val="32"/>
        </w:rPr>
        <w:t>32.</w:t>
      </w:r>
      <w:r>
        <w:rPr>
          <w:rFonts w:hint="eastAsia" w:ascii="仿宋_GB2312" w:eastAsia="仿宋_GB2312"/>
          <w:color w:val="000000"/>
          <w:sz w:val="32"/>
          <w:szCs w:val="32"/>
        </w:rPr>
        <w:t>项目支出：指在基本支出之外为完成特定行政任务和事业发展目标所发生的支出。</w:t>
      </w:r>
    </w:p>
    <w:p>
      <w:pPr>
        <w:pStyle w:val="32"/>
        <w:spacing w:line="560" w:lineRule="exact"/>
        <w:ind w:firstLine="480" w:firstLineChars="150"/>
        <w:rPr>
          <w:rFonts w:ascii="仿宋_GB2312" w:hAnsi="Times New Roman" w:eastAsia="仿宋_GB2312" w:cs="Times New Roman"/>
          <w:kern w:val="2"/>
          <w:sz w:val="32"/>
          <w:szCs w:val="32"/>
        </w:rPr>
      </w:pPr>
      <w:r>
        <w:rPr>
          <w:rFonts w:ascii="仿宋_GB2312" w:hAnsi="Times New Roman" w:eastAsia="仿宋_GB2312" w:cs="Times New Roman"/>
          <w:kern w:val="2"/>
          <w:sz w:val="32"/>
          <w:szCs w:val="32"/>
        </w:rPr>
        <w:t>33.</w:t>
      </w:r>
      <w:r>
        <w:rPr>
          <w:rFonts w:hint="eastAsia" w:ascii="仿宋_GB2312" w:hAnsi="Times New Roman" w:eastAsia="仿宋_GB2312" w:cs="Times New Roman"/>
          <w:kern w:val="2"/>
          <w:sz w:val="32"/>
          <w:szCs w:val="32"/>
        </w:rPr>
        <w:t>“三公”经费：纳入省级财政预决算管理的“三公”经费，公务用车购置及运行费和公务接待费。其中公务用车购置及运行费反映单位公务用车车辆购置支出含租用费、燃料费、维修费、过路过桥费、保险费、安全奖励费用等支出；公务接待费反映单位按规定开支的各类公务接待支出。</w:t>
      </w:r>
    </w:p>
    <w:p>
      <w:pPr>
        <w:pStyle w:val="32"/>
        <w:spacing w:line="560" w:lineRule="exact"/>
        <w:ind w:firstLine="480" w:firstLineChars="150"/>
        <w:rPr>
          <w:rFonts w:ascii="??_GB2312" w:hAnsi="Times New Roman" w:eastAsia="Times New Roman" w:cs="Times New Roman"/>
          <w:kern w:val="2"/>
          <w:sz w:val="32"/>
          <w:szCs w:val="32"/>
        </w:rPr>
      </w:pPr>
      <w:r>
        <w:rPr>
          <w:rFonts w:ascii="仿宋_GB2312" w:hAnsi="Times New Roman" w:eastAsia="仿宋_GB2312" w:cs="Times New Roman"/>
          <w:kern w:val="2"/>
          <w:sz w:val="32"/>
          <w:szCs w:val="32"/>
        </w:rPr>
        <w:t>34.</w:t>
      </w:r>
      <w:r>
        <w:rPr>
          <w:rFonts w:hint="eastAsia" w:ascii="仿宋_GB2312" w:hAnsi="Times New Roman" w:eastAsia="仿宋_GB2312" w:cs="Times New Roman"/>
          <w:kern w:val="2"/>
          <w:sz w:val="32"/>
          <w:szCs w:val="32"/>
        </w:rPr>
        <w:t>机关运行经费：为保障单位运行用于购买货物和服务的各项资金，包括办公及印刷费、邮电费、差旅费、会议费、福利费、日常维修费、专用材料及一般设备购置费、办公用房水电费、办公用房物业管理费、公务用车运行维护费。</w:t>
      </w:r>
    </w:p>
    <w:p>
      <w:pPr>
        <w:rPr>
          <w:rFonts w:ascii="??_GB2312"/>
          <w:color w:val="000000"/>
          <w:sz w:val="32"/>
          <w:szCs w:val="32"/>
        </w:rPr>
      </w:pPr>
    </w:p>
    <w:p>
      <w:pPr>
        <w:spacing w:line="600" w:lineRule="exact"/>
        <w:outlineLvl w:val="0"/>
        <w:rPr>
          <w:rFonts w:ascii="黑体" w:hAnsi="黑体" w:eastAsia="黑体"/>
          <w:color w:val="000000"/>
          <w:sz w:val="44"/>
          <w:szCs w:val="44"/>
        </w:rPr>
      </w:pPr>
      <w:bookmarkStart w:id="96" w:name="_Toc15377226"/>
      <w:r>
        <w:rPr>
          <w:rFonts w:ascii="黑体" w:hAnsi="黑体" w:eastAsia="黑体" w:cs="黑体"/>
          <w:sz w:val="32"/>
          <w:szCs w:val="32"/>
        </w:rPr>
        <w:t xml:space="preserve">               </w:t>
      </w:r>
      <w:r>
        <w:rPr>
          <w:rFonts w:ascii="黑体" w:hAnsi="黑体" w:eastAsia="黑体"/>
          <w:color w:val="000000"/>
          <w:sz w:val="44"/>
          <w:szCs w:val="44"/>
        </w:rPr>
        <w:t xml:space="preserve"> </w:t>
      </w:r>
      <w:r>
        <w:rPr>
          <w:rFonts w:hint="eastAsia" w:ascii="黑体" w:hAnsi="黑体" w:eastAsia="黑体"/>
          <w:color w:val="000000"/>
          <w:sz w:val="44"/>
          <w:szCs w:val="44"/>
        </w:rPr>
        <w:t>第四部分</w:t>
      </w:r>
      <w:r>
        <w:rPr>
          <w:rFonts w:ascii="黑体" w:hAnsi="黑体" w:eastAsia="黑体"/>
          <w:color w:val="000000"/>
          <w:sz w:val="44"/>
          <w:szCs w:val="44"/>
        </w:rPr>
        <w:t xml:space="preserve">    </w:t>
      </w:r>
      <w:r>
        <w:rPr>
          <w:rFonts w:hint="eastAsia" w:ascii="黑体" w:hAnsi="黑体" w:eastAsia="黑体"/>
          <w:color w:val="000000"/>
          <w:sz w:val="44"/>
          <w:szCs w:val="44"/>
        </w:rPr>
        <w:t>附件</w:t>
      </w:r>
    </w:p>
    <w:p>
      <w:pPr>
        <w:pStyle w:val="2"/>
        <w:rPr>
          <w:rFonts w:hint="eastAsia" w:eastAsia="宋体"/>
          <w:lang w:val="en-US" w:eastAsia="zh-CN"/>
        </w:rPr>
      </w:pPr>
      <w:r>
        <w:rPr>
          <w:rFonts w:hint="eastAsia"/>
        </w:rPr>
        <w:t>附件</w:t>
      </w:r>
      <w:r>
        <w:rPr>
          <w:rFonts w:hint="eastAsia"/>
          <w:lang w:val="en-US" w:eastAsia="zh-CN"/>
        </w:rPr>
        <w:t>1</w:t>
      </w:r>
    </w:p>
    <w:p>
      <w:pPr>
        <w:spacing w:line="580" w:lineRule="exact"/>
        <w:ind w:firstLine="2150" w:firstLineChars="595"/>
        <w:rPr>
          <w:rFonts w:ascii="宋体" w:cs="仿宋_GB2312"/>
          <w:b/>
          <w:sz w:val="36"/>
          <w:szCs w:val="36"/>
        </w:rPr>
      </w:pPr>
      <w:r>
        <w:rPr>
          <w:rFonts w:hint="eastAsia" w:ascii="宋体" w:hAnsi="宋体" w:cs="仿宋_GB2312"/>
          <w:b/>
          <w:sz w:val="36"/>
          <w:szCs w:val="36"/>
        </w:rPr>
        <w:t>部门预算项目绩效目标自评表</w:t>
      </w:r>
    </w:p>
    <w:p>
      <w:pPr>
        <w:pStyle w:val="2"/>
        <w:rPr>
          <w:rFonts w:ascii="宋体" w:cs="仿宋_GB2312"/>
          <w:b/>
          <w:kern w:val="0"/>
          <w:sz w:val="32"/>
          <w:szCs w:val="32"/>
        </w:rPr>
      </w:pPr>
      <w:r>
        <w:t xml:space="preserve">           </w:t>
      </w:r>
      <w:r>
        <w:rPr>
          <w:rFonts w:ascii="仿宋_GB2312" w:eastAsia="仿宋_GB2312"/>
          <w:sz w:val="32"/>
          <w:szCs w:val="32"/>
        </w:rPr>
        <w:t xml:space="preserve">      </w:t>
      </w:r>
      <w:r>
        <w:rPr>
          <w:rFonts w:hint="eastAsia" w:ascii="宋体" w:hAnsi="宋体" w:cs="仿宋_GB2312"/>
          <w:b/>
          <w:kern w:val="0"/>
          <w:sz w:val="32"/>
          <w:szCs w:val="32"/>
        </w:rPr>
        <w:t>（</w:t>
      </w:r>
      <w:r>
        <w:rPr>
          <w:rFonts w:ascii="宋体" w:hAnsi="宋体" w:cs="仿宋_GB2312"/>
          <w:b/>
          <w:kern w:val="0"/>
          <w:sz w:val="32"/>
          <w:szCs w:val="32"/>
        </w:rPr>
        <w:t>2021</w:t>
      </w:r>
      <w:r>
        <w:rPr>
          <w:rFonts w:hint="eastAsia" w:ascii="宋体" w:hAnsi="宋体" w:cs="仿宋_GB2312"/>
          <w:b/>
          <w:kern w:val="0"/>
          <w:sz w:val="32"/>
          <w:szCs w:val="32"/>
        </w:rPr>
        <w:t>年广播电视运行维护费）</w:t>
      </w:r>
    </w:p>
    <w:tbl>
      <w:tblPr>
        <w:tblStyle w:val="19"/>
        <w:tblpPr w:leftFromText="180" w:rightFromText="180" w:vertAnchor="text" w:horzAnchor="page" w:tblpX="1281" w:tblpY="660"/>
        <w:tblOverlap w:val="never"/>
        <w:tblW w:w="9663" w:type="dxa"/>
        <w:tblInd w:w="0" w:type="dxa"/>
        <w:tblLayout w:type="fixed"/>
        <w:tblCellMar>
          <w:top w:w="0" w:type="dxa"/>
          <w:left w:w="108" w:type="dxa"/>
          <w:bottom w:w="0" w:type="dxa"/>
          <w:right w:w="108" w:type="dxa"/>
        </w:tblCellMar>
      </w:tblPr>
      <w:tblGrid>
        <w:gridCol w:w="1263"/>
        <w:gridCol w:w="1365"/>
        <w:gridCol w:w="210"/>
        <w:gridCol w:w="1680"/>
        <w:gridCol w:w="420"/>
        <w:gridCol w:w="1575"/>
        <w:gridCol w:w="1065"/>
        <w:gridCol w:w="510"/>
        <w:gridCol w:w="1575"/>
      </w:tblGrid>
      <w:tr>
        <w:tblPrEx>
          <w:tblLayout w:type="fixed"/>
          <w:tblCellMar>
            <w:top w:w="0" w:type="dxa"/>
            <w:left w:w="108" w:type="dxa"/>
            <w:bottom w:w="0" w:type="dxa"/>
            <w:right w:w="108" w:type="dxa"/>
          </w:tblCellMar>
        </w:tblPrEx>
        <w:trPr>
          <w:trHeight w:val="254" w:hRule="atLeast"/>
        </w:trPr>
        <w:tc>
          <w:tcPr>
            <w:tcW w:w="2838"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主管部门及代码</w:t>
            </w:r>
          </w:p>
        </w:tc>
        <w:tc>
          <w:tcPr>
            <w:tcW w:w="3675"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230001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实施单位</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sz w:val="24"/>
              </w:rPr>
              <w:t>盐边县文化广播电视和旅游局</w:t>
            </w:r>
          </w:p>
        </w:tc>
      </w:tr>
      <w:tr>
        <w:tblPrEx>
          <w:tblLayout w:type="fixed"/>
          <w:tblCellMar>
            <w:top w:w="0" w:type="dxa"/>
            <w:left w:w="108" w:type="dxa"/>
            <w:bottom w:w="0" w:type="dxa"/>
            <w:right w:w="108" w:type="dxa"/>
          </w:tblCellMar>
        </w:tblPrEx>
        <w:trPr>
          <w:trHeight w:val="341" w:hRule="atLeast"/>
        </w:trPr>
        <w:tc>
          <w:tcPr>
            <w:tcW w:w="283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项目预算</w:t>
            </w:r>
            <w:r>
              <w:rPr>
                <w:rFonts w:ascii="宋体" w:cs="宋体"/>
                <w:kern w:val="0"/>
                <w:sz w:val="24"/>
              </w:rPr>
              <w:br w:type="textWrapping"/>
            </w:r>
            <w:r>
              <w:rPr>
                <w:rFonts w:hint="eastAsia" w:ascii="宋体" w:hAnsi="宋体" w:cs="宋体"/>
                <w:kern w:val="0"/>
                <w:sz w:val="24"/>
              </w:rPr>
              <w:t>执行情况</w:t>
            </w:r>
            <w:r>
              <w:rPr>
                <w:rFonts w:ascii="宋体" w:cs="宋体"/>
                <w:kern w:val="0"/>
                <w:sz w:val="24"/>
              </w:rPr>
              <w:br w:type="textWrapping"/>
            </w:r>
            <w:r>
              <w:rPr>
                <w:rFonts w:hint="eastAsia" w:ascii="宋体" w:hAnsi="宋体" w:cs="宋体"/>
                <w:kern w:val="0"/>
                <w:sz w:val="24"/>
              </w:rPr>
              <w:t>（万元）</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kern w:val="0"/>
                <w:sz w:val="24"/>
              </w:rPr>
              <w:t xml:space="preserve"> </w:t>
            </w:r>
            <w:r>
              <w:rPr>
                <w:rFonts w:hint="eastAsia" w:ascii="宋体" w:hAnsi="宋体" w:cs="宋体"/>
                <w:kern w:val="0"/>
                <w:sz w:val="24"/>
              </w:rPr>
              <w:t>预算数：</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sz w:val="24"/>
              </w:rPr>
              <w:t>164.5</w:t>
            </w:r>
            <w:r>
              <w:rPr>
                <w:rFonts w:hint="eastAsia" w:ascii="宋体" w:hAnsi="宋体" w:cs="宋体"/>
                <w:sz w:val="24"/>
              </w:rPr>
              <w:t>万元</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kern w:val="0"/>
                <w:sz w:val="24"/>
              </w:rPr>
              <w:t xml:space="preserve"> </w:t>
            </w:r>
            <w:r>
              <w:rPr>
                <w:rFonts w:hint="eastAsia" w:ascii="宋体" w:hAnsi="宋体" w:cs="宋体"/>
                <w:kern w:val="0"/>
                <w:sz w:val="24"/>
              </w:rPr>
              <w:t>执行数：</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ind w:right="480"/>
              <w:textAlignment w:val="center"/>
              <w:rPr>
                <w:rFonts w:ascii="宋体" w:cs="宋体"/>
                <w:sz w:val="24"/>
              </w:rPr>
            </w:pPr>
            <w:r>
              <w:rPr>
                <w:rFonts w:ascii="宋体" w:hAnsi="宋体" w:cs="宋体"/>
                <w:sz w:val="24"/>
              </w:rPr>
              <w:t>164.5</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555" w:hRule="atLeast"/>
        </w:trPr>
        <w:tc>
          <w:tcPr>
            <w:tcW w:w="2838" w:type="dxa"/>
            <w:gridSpan w:val="3"/>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cs="宋体"/>
                <w:sz w:val="24"/>
              </w:rPr>
            </w:pPr>
            <w:r>
              <w:rPr>
                <w:rFonts w:hint="eastAsia" w:ascii="宋体" w:hAnsi="宋体" w:cs="宋体"/>
                <w:kern w:val="0"/>
                <w:sz w:val="24"/>
              </w:rPr>
              <w:t>财政拨款</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sz w:val="24"/>
              </w:rPr>
              <w:t>164.5</w:t>
            </w:r>
            <w:r>
              <w:rPr>
                <w:rFonts w:hint="eastAsia" w:ascii="宋体" w:hAnsi="宋体" w:cs="宋体"/>
                <w:sz w:val="24"/>
              </w:rPr>
              <w:t>万元</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cs="宋体"/>
                <w:sz w:val="24"/>
              </w:rPr>
            </w:pPr>
            <w:r>
              <w:rPr>
                <w:rFonts w:hint="eastAsia" w:ascii="宋体" w:hAnsi="宋体" w:cs="宋体"/>
                <w:kern w:val="0"/>
                <w:sz w:val="24"/>
              </w:rPr>
              <w:t>财政拨款</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cs="宋体"/>
                <w:sz w:val="24"/>
              </w:rPr>
            </w:pPr>
            <w:r>
              <w:rPr>
                <w:rFonts w:ascii="宋体" w:hAnsi="宋体" w:cs="宋体"/>
                <w:sz w:val="24"/>
              </w:rPr>
              <w:t>164.5</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341" w:hRule="atLeast"/>
        </w:trPr>
        <w:tc>
          <w:tcPr>
            <w:tcW w:w="2838" w:type="dxa"/>
            <w:gridSpan w:val="3"/>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hint="eastAsia" w:ascii="宋体" w:hAnsi="宋体" w:cs="宋体"/>
                <w:kern w:val="0"/>
                <w:sz w:val="24"/>
              </w:rPr>
              <w:t>其他资金</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hint="eastAsia" w:ascii="宋体" w:hAnsi="宋体" w:cs="宋体"/>
                <w:kern w:val="0"/>
                <w:sz w:val="24"/>
              </w:rPr>
              <w:t>其他资金</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p>
        </w:tc>
      </w:tr>
      <w:tr>
        <w:tblPrEx>
          <w:tblLayout w:type="fixed"/>
          <w:tblCellMar>
            <w:top w:w="0" w:type="dxa"/>
            <w:left w:w="108" w:type="dxa"/>
            <w:bottom w:w="0" w:type="dxa"/>
            <w:right w:w="108" w:type="dxa"/>
          </w:tblCellMar>
        </w:tblPrEx>
        <w:trPr>
          <w:trHeight w:val="217" w:hRule="atLeast"/>
        </w:trPr>
        <w:tc>
          <w:tcPr>
            <w:tcW w:w="126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cs="宋体"/>
                <w:sz w:val="24"/>
              </w:rPr>
            </w:pPr>
            <w:r>
              <w:rPr>
                <w:rFonts w:hint="eastAsia" w:ascii="宋体" w:hAnsi="宋体" w:cs="宋体"/>
                <w:kern w:val="0"/>
                <w:sz w:val="24"/>
              </w:rPr>
              <w:t>完成情况</w:t>
            </w:r>
          </w:p>
        </w:tc>
        <w:tc>
          <w:tcPr>
            <w:tcW w:w="5250"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预期目标</w:t>
            </w:r>
          </w:p>
        </w:tc>
        <w:tc>
          <w:tcPr>
            <w:tcW w:w="315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目标实际完成情况</w:t>
            </w:r>
          </w:p>
        </w:tc>
      </w:tr>
      <w:tr>
        <w:tblPrEx>
          <w:tblLayout w:type="fixed"/>
          <w:tblCellMar>
            <w:top w:w="0" w:type="dxa"/>
            <w:left w:w="108" w:type="dxa"/>
            <w:bottom w:w="0" w:type="dxa"/>
            <w:right w:w="108" w:type="dxa"/>
          </w:tblCellMar>
        </w:tblPrEx>
        <w:trPr>
          <w:trHeight w:val="797" w:hRule="atLeast"/>
        </w:trPr>
        <w:tc>
          <w:tcPr>
            <w:tcW w:w="1263"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5250" w:type="dxa"/>
            <w:gridSpan w:val="5"/>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cs="宋体"/>
                <w:sz w:val="24"/>
              </w:rPr>
            </w:pPr>
            <w:r>
              <w:rPr>
                <w:rFonts w:hint="eastAsia" w:ascii="宋体" w:hAnsi="宋体"/>
                <w:sz w:val="24"/>
              </w:rPr>
              <w:t>维护</w:t>
            </w:r>
            <w:r>
              <w:rPr>
                <w:rFonts w:hint="eastAsia" w:ascii="宋体" w:hAnsi="宋体"/>
                <w:sz w:val="24"/>
                <w:lang w:eastAsia="zh-CN"/>
              </w:rPr>
              <w:t>广播</w:t>
            </w:r>
            <w:r>
              <w:rPr>
                <w:rFonts w:hint="eastAsia" w:ascii="宋体" w:hAnsi="宋体"/>
                <w:sz w:val="24"/>
              </w:rPr>
              <w:t>电视自然村</w:t>
            </w:r>
            <w:r>
              <w:rPr>
                <w:rFonts w:hint="eastAsia" w:ascii="宋体" w:hAnsi="宋体"/>
                <w:sz w:val="24"/>
                <w:lang w:val="en-US" w:eastAsia="zh-CN"/>
              </w:rPr>
              <w:t>1706</w:t>
            </w:r>
            <w:r>
              <w:rPr>
                <w:rFonts w:hint="eastAsia" w:ascii="宋体" w:hAnsi="宋体"/>
                <w:sz w:val="24"/>
              </w:rPr>
              <w:t>个</w:t>
            </w:r>
            <w:r>
              <w:rPr>
                <w:rFonts w:hint="eastAsia" w:ascii="宋体" w:hAnsi="宋体" w:cs="宋体"/>
                <w:color w:val="000000"/>
                <w:sz w:val="24"/>
              </w:rPr>
              <w:t>；</w:t>
            </w:r>
            <w:r>
              <w:rPr>
                <w:rFonts w:hint="eastAsia" w:ascii="宋体" w:hAnsi="宋体"/>
                <w:sz w:val="24"/>
              </w:rPr>
              <w:t>维护电视</w:t>
            </w:r>
            <w:r>
              <w:rPr>
                <w:rFonts w:hint="eastAsia" w:ascii="宋体" w:hAnsi="宋体"/>
                <w:sz w:val="24"/>
                <w:lang w:eastAsia="zh-CN"/>
              </w:rPr>
              <w:t>户户通</w:t>
            </w:r>
            <w:r>
              <w:rPr>
                <w:rFonts w:hint="eastAsia" w:ascii="宋体" w:hAnsi="宋体"/>
                <w:sz w:val="24"/>
              </w:rPr>
              <w:t>用户数</w:t>
            </w:r>
            <w:r>
              <w:rPr>
                <w:rFonts w:hint="eastAsia" w:ascii="宋体" w:hAnsi="宋体"/>
                <w:sz w:val="24"/>
                <w:lang w:val="en-US" w:eastAsia="zh-CN"/>
              </w:rPr>
              <w:t>4万余</w:t>
            </w:r>
            <w:r>
              <w:rPr>
                <w:rFonts w:hint="eastAsia" w:ascii="宋体" w:hAnsi="宋体"/>
                <w:sz w:val="24"/>
              </w:rPr>
              <w:t>户。</w:t>
            </w:r>
          </w:p>
        </w:tc>
        <w:tc>
          <w:tcPr>
            <w:tcW w:w="3150" w:type="dxa"/>
            <w:gridSpan w:val="3"/>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ascii="宋体" w:hAnsi="Times New Roman" w:eastAsia="宋体" w:cs="宋体"/>
                <w:kern w:val="2"/>
                <w:sz w:val="24"/>
                <w:szCs w:val="24"/>
                <w:lang w:val="en-US" w:eastAsia="zh-CN" w:bidi="ar-SA"/>
              </w:rPr>
            </w:pPr>
            <w:r>
              <w:rPr>
                <w:rFonts w:hint="eastAsia" w:ascii="宋体" w:hAnsi="宋体"/>
                <w:sz w:val="24"/>
              </w:rPr>
              <w:t>维护</w:t>
            </w:r>
            <w:r>
              <w:rPr>
                <w:rFonts w:hint="eastAsia" w:ascii="宋体" w:hAnsi="宋体"/>
                <w:sz w:val="24"/>
                <w:lang w:eastAsia="zh-CN"/>
              </w:rPr>
              <w:t>广播</w:t>
            </w:r>
            <w:r>
              <w:rPr>
                <w:rFonts w:hint="eastAsia" w:ascii="宋体" w:hAnsi="宋体"/>
                <w:sz w:val="24"/>
              </w:rPr>
              <w:t>电视自然村</w:t>
            </w:r>
            <w:r>
              <w:rPr>
                <w:rFonts w:hint="eastAsia" w:ascii="宋体" w:hAnsi="宋体"/>
                <w:sz w:val="24"/>
                <w:lang w:val="en-US" w:eastAsia="zh-CN"/>
              </w:rPr>
              <w:t>1706</w:t>
            </w:r>
            <w:r>
              <w:rPr>
                <w:rFonts w:hint="eastAsia" w:ascii="宋体" w:hAnsi="宋体"/>
                <w:sz w:val="24"/>
              </w:rPr>
              <w:t>个</w:t>
            </w:r>
            <w:r>
              <w:rPr>
                <w:rFonts w:hint="eastAsia" w:ascii="宋体" w:hAnsi="宋体" w:cs="宋体"/>
                <w:color w:val="000000"/>
                <w:sz w:val="24"/>
              </w:rPr>
              <w:t>；</w:t>
            </w:r>
            <w:r>
              <w:rPr>
                <w:rFonts w:hint="eastAsia" w:ascii="宋体" w:hAnsi="宋体"/>
                <w:sz w:val="24"/>
              </w:rPr>
              <w:t>维护电视</w:t>
            </w:r>
            <w:r>
              <w:rPr>
                <w:rFonts w:hint="eastAsia" w:ascii="宋体" w:hAnsi="宋体"/>
                <w:sz w:val="24"/>
                <w:lang w:eastAsia="zh-CN"/>
              </w:rPr>
              <w:t>户户通</w:t>
            </w:r>
            <w:r>
              <w:rPr>
                <w:rFonts w:hint="eastAsia" w:ascii="宋体" w:hAnsi="宋体"/>
                <w:sz w:val="24"/>
              </w:rPr>
              <w:t>用户数</w:t>
            </w:r>
            <w:r>
              <w:rPr>
                <w:rFonts w:hint="eastAsia" w:ascii="宋体" w:hAnsi="宋体"/>
                <w:sz w:val="24"/>
                <w:lang w:val="en-US" w:eastAsia="zh-CN"/>
              </w:rPr>
              <w:t>4万余</w:t>
            </w:r>
            <w:r>
              <w:rPr>
                <w:rFonts w:hint="eastAsia" w:ascii="宋体" w:hAnsi="宋体"/>
                <w:sz w:val="24"/>
              </w:rPr>
              <w:t>户。</w:t>
            </w:r>
          </w:p>
        </w:tc>
      </w:tr>
      <w:tr>
        <w:tblPrEx>
          <w:tblLayout w:type="fixed"/>
          <w:tblCellMar>
            <w:top w:w="0" w:type="dxa"/>
            <w:left w:w="108" w:type="dxa"/>
            <w:bottom w:w="0" w:type="dxa"/>
            <w:right w:w="108" w:type="dxa"/>
          </w:tblCellMar>
        </w:tblPrEx>
        <w:trPr>
          <w:trHeight w:val="693" w:hRule="atLeast"/>
        </w:trPr>
        <w:tc>
          <w:tcPr>
            <w:tcW w:w="1263"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年度绩效指标完成情况</w:t>
            </w:r>
          </w:p>
        </w:tc>
        <w:tc>
          <w:tcPr>
            <w:tcW w:w="1365"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一级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二级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三级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预期指标值</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实际完成指标值</w:t>
            </w:r>
          </w:p>
        </w:tc>
      </w:tr>
      <w:tr>
        <w:tblPrEx>
          <w:tblLayout w:type="fixed"/>
          <w:tblCellMar>
            <w:top w:w="0" w:type="dxa"/>
            <w:left w:w="108" w:type="dxa"/>
            <w:bottom w:w="0" w:type="dxa"/>
            <w:right w:w="108" w:type="dxa"/>
          </w:tblCellMar>
        </w:tblPrEx>
        <w:trPr>
          <w:trHeight w:val="415"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cs="仿宋_GB2312"/>
                <w:kern w:val="0"/>
                <w:sz w:val="24"/>
              </w:rPr>
            </w:pPr>
            <w:r>
              <w:rPr>
                <w:rFonts w:hint="eastAsia" w:ascii="宋体" w:hAnsi="宋体" w:cs="仿宋_GB2312"/>
                <w:kern w:val="0"/>
                <w:sz w:val="24"/>
              </w:rPr>
              <w:t>完成</w:t>
            </w:r>
          </w:p>
          <w:p>
            <w:pPr>
              <w:widowControl/>
              <w:spacing w:line="320" w:lineRule="exact"/>
              <w:jc w:val="center"/>
              <w:textAlignment w:val="bottom"/>
              <w:rPr>
                <w:rFonts w:ascii="宋体" w:cs="仿宋_GB2312"/>
                <w:sz w:val="24"/>
              </w:rPr>
            </w:pPr>
            <w:r>
              <w:rPr>
                <w:rFonts w:hint="eastAsia" w:ascii="宋体" w:hAnsi="宋体" w:cs="仿宋_GB2312"/>
                <w:kern w:val="0"/>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数量指标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维护</w:t>
            </w:r>
            <w:r>
              <w:rPr>
                <w:rFonts w:hint="eastAsia" w:ascii="宋体" w:hAnsi="宋体" w:cs="仿宋_GB2312"/>
                <w:sz w:val="24"/>
                <w:lang w:eastAsia="zh-CN"/>
              </w:rPr>
              <w:t>广播</w:t>
            </w:r>
            <w:r>
              <w:rPr>
                <w:rFonts w:hint="eastAsia" w:ascii="宋体" w:hAnsi="宋体" w:cs="仿宋_GB2312"/>
                <w:sz w:val="24"/>
              </w:rPr>
              <w:t>电视自然村</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1706</w:t>
            </w:r>
            <w:r>
              <w:rPr>
                <w:rFonts w:hint="eastAsia" w:ascii="宋体" w:hAnsi="宋体" w:cs="仿宋_GB2312"/>
                <w:sz w:val="24"/>
              </w:rPr>
              <w:t>个</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1706</w:t>
            </w:r>
            <w:r>
              <w:rPr>
                <w:rFonts w:hint="eastAsia" w:ascii="宋体" w:hAnsi="宋体" w:cs="仿宋_GB2312"/>
                <w:sz w:val="24"/>
              </w:rPr>
              <w:t>个</w:t>
            </w:r>
          </w:p>
        </w:tc>
      </w:tr>
      <w:tr>
        <w:tblPrEx>
          <w:tblLayout w:type="fixed"/>
          <w:tblCellMar>
            <w:top w:w="0" w:type="dxa"/>
            <w:left w:w="108" w:type="dxa"/>
            <w:bottom w:w="0" w:type="dxa"/>
            <w:right w:w="108" w:type="dxa"/>
          </w:tblCellMar>
        </w:tblPrEx>
        <w:trPr>
          <w:trHeight w:val="415"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质量指标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广播电视网络</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正常运行</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正常运行</w:t>
            </w:r>
          </w:p>
        </w:tc>
      </w:tr>
      <w:tr>
        <w:tblPrEx>
          <w:tblLayout w:type="fixed"/>
          <w:tblCellMar>
            <w:top w:w="0" w:type="dxa"/>
            <w:left w:w="108" w:type="dxa"/>
            <w:bottom w:w="0" w:type="dxa"/>
            <w:right w:w="108" w:type="dxa"/>
          </w:tblCellMar>
        </w:tblPrEx>
        <w:trPr>
          <w:trHeight w:val="415"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时效指标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运行维护时间</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1</w:t>
            </w:r>
            <w:r>
              <w:rPr>
                <w:rFonts w:hint="eastAsia" w:ascii="宋体" w:hAnsi="宋体" w:cs="仿宋_GB2312"/>
                <w:sz w:val="24"/>
              </w:rPr>
              <w:t>月</w:t>
            </w:r>
            <w:r>
              <w:rPr>
                <w:rFonts w:ascii="宋体" w:hAnsi="宋体" w:cs="仿宋_GB2312"/>
                <w:sz w:val="24"/>
              </w:rPr>
              <w:t>-12</w:t>
            </w:r>
            <w:r>
              <w:rPr>
                <w:rFonts w:hint="eastAsia" w:ascii="宋体" w:hAnsi="宋体" w:cs="仿宋_GB2312"/>
                <w:sz w:val="24"/>
              </w:rPr>
              <w:t>月</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1</w:t>
            </w:r>
            <w:r>
              <w:rPr>
                <w:rFonts w:hint="eastAsia" w:ascii="宋体" w:hAnsi="宋体" w:cs="仿宋_GB2312"/>
                <w:sz w:val="24"/>
              </w:rPr>
              <w:t>月</w:t>
            </w:r>
            <w:r>
              <w:rPr>
                <w:rFonts w:ascii="宋体" w:hAnsi="宋体" w:cs="仿宋_GB2312"/>
                <w:sz w:val="24"/>
              </w:rPr>
              <w:t>-12</w:t>
            </w:r>
            <w:r>
              <w:rPr>
                <w:rFonts w:hint="eastAsia" w:ascii="宋体" w:hAnsi="宋体" w:cs="仿宋_GB2312"/>
                <w:sz w:val="24"/>
              </w:rPr>
              <w:t>月</w:t>
            </w:r>
          </w:p>
        </w:tc>
      </w:tr>
      <w:tr>
        <w:tblPrEx>
          <w:tblLayout w:type="fixed"/>
          <w:tblCellMar>
            <w:top w:w="0" w:type="dxa"/>
            <w:left w:w="108" w:type="dxa"/>
            <w:bottom w:w="0" w:type="dxa"/>
            <w:right w:w="108" w:type="dxa"/>
          </w:tblCellMar>
        </w:tblPrEx>
        <w:trPr>
          <w:trHeight w:val="480"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成本指标</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bottom"/>
              <w:rPr>
                <w:rFonts w:ascii="宋体" w:cs="仿宋_GB2312"/>
                <w:sz w:val="24"/>
              </w:rPr>
            </w:pPr>
            <w:r>
              <w:rPr>
                <w:rFonts w:hint="eastAsia" w:ascii="宋体" w:hAnsi="宋体" w:cs="仿宋_GB2312"/>
                <w:sz w:val="24"/>
              </w:rPr>
              <w:t>运行维护费用</w:t>
            </w: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cs="仿宋_GB2312"/>
                <w:sz w:val="24"/>
              </w:rPr>
            </w:pPr>
            <w:r>
              <w:rPr>
                <w:rFonts w:ascii="宋体" w:hAnsi="宋体" w:cs="仿宋_GB2312"/>
                <w:sz w:val="24"/>
              </w:rPr>
              <w:t>164.5</w:t>
            </w:r>
            <w:r>
              <w:rPr>
                <w:rFonts w:hint="eastAsia" w:ascii="宋体" w:hAnsi="宋体" w:cs="仿宋_GB2312"/>
                <w:sz w:val="24"/>
              </w:rPr>
              <w:t>万元</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cs="仿宋_GB2312"/>
                <w:sz w:val="24"/>
              </w:rPr>
            </w:pPr>
            <w:r>
              <w:rPr>
                <w:rFonts w:ascii="宋体" w:hAnsi="宋体" w:cs="仿宋_GB2312"/>
                <w:sz w:val="24"/>
              </w:rPr>
              <w:t>164.5</w:t>
            </w:r>
            <w:r>
              <w:rPr>
                <w:rFonts w:hint="eastAsia" w:ascii="宋体" w:hAnsi="宋体" w:cs="仿宋_GB2312"/>
                <w:sz w:val="24"/>
              </w:rPr>
              <w:t>万元</w:t>
            </w:r>
          </w:p>
        </w:tc>
      </w:tr>
      <w:tr>
        <w:tblPrEx>
          <w:tblLayout w:type="fixed"/>
          <w:tblCellMar>
            <w:top w:w="0" w:type="dxa"/>
            <w:left w:w="108" w:type="dxa"/>
            <w:bottom w:w="0" w:type="dxa"/>
            <w:right w:w="108" w:type="dxa"/>
          </w:tblCellMar>
        </w:tblPrEx>
        <w:trPr>
          <w:trHeight w:val="1649"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cs="仿宋_GB2312"/>
                <w:sz w:val="24"/>
              </w:rPr>
            </w:pPr>
            <w:r>
              <w:rPr>
                <w:rFonts w:hint="eastAsia" w:ascii="宋体" w:hAnsi="宋体" w:cs="仿宋_GB2312"/>
                <w:kern w:val="0"/>
                <w:sz w:val="24"/>
              </w:rPr>
              <w:t>效益</w:t>
            </w:r>
            <w:r>
              <w:rPr>
                <w:rFonts w:ascii="宋体" w:cs="仿宋_GB2312"/>
                <w:kern w:val="0"/>
                <w:sz w:val="24"/>
              </w:rPr>
              <w:br w:type="textWrapping"/>
            </w:r>
            <w:r>
              <w:rPr>
                <w:rFonts w:hint="eastAsia" w:ascii="宋体" w:hAnsi="宋体" w:cs="仿宋_GB2312"/>
                <w:kern w:val="0"/>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经济效益</w:t>
            </w:r>
            <w:r>
              <w:rPr>
                <w:rFonts w:ascii="宋体" w:hAnsi="宋体" w:cs="仿宋_GB2312"/>
                <w:kern w:val="0"/>
                <w:sz w:val="24"/>
              </w:rPr>
              <w:t xml:space="preserve">  </w:t>
            </w: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广播电视正常运行，增大群众接受信息量</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促进居民收入稳步增长</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促进居民收入稳步增长</w:t>
            </w:r>
          </w:p>
        </w:tc>
      </w:tr>
      <w:tr>
        <w:tblPrEx>
          <w:tblLayout w:type="fixed"/>
          <w:tblCellMar>
            <w:top w:w="0" w:type="dxa"/>
            <w:left w:w="108" w:type="dxa"/>
            <w:bottom w:w="0" w:type="dxa"/>
            <w:right w:w="108" w:type="dxa"/>
          </w:tblCellMar>
        </w:tblPrEx>
        <w:trPr>
          <w:trHeight w:val="769"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社会效益</w:t>
            </w:r>
            <w:r>
              <w:rPr>
                <w:rFonts w:ascii="宋体" w:hAnsi="宋体" w:cs="仿宋_GB2312"/>
                <w:kern w:val="0"/>
                <w:sz w:val="24"/>
              </w:rPr>
              <w:t xml:space="preserve">  </w:t>
            </w: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解决用户看电视问题</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为群众提供更好的公共文化服务。</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为群众提供更好的公共文化服务。</w:t>
            </w:r>
          </w:p>
        </w:tc>
      </w:tr>
      <w:tr>
        <w:tblPrEx>
          <w:tblLayout w:type="fixed"/>
          <w:tblCellMar>
            <w:top w:w="0" w:type="dxa"/>
            <w:left w:w="108" w:type="dxa"/>
            <w:bottom w:w="0" w:type="dxa"/>
            <w:right w:w="108" w:type="dxa"/>
          </w:tblCellMar>
        </w:tblPrEx>
        <w:trPr>
          <w:trHeight w:val="894"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可持续影响</w:t>
            </w:r>
            <w:r>
              <w:rPr>
                <w:rFonts w:ascii="宋体" w:hAnsi="宋体" w:cs="仿宋_GB2312"/>
                <w:kern w:val="0"/>
                <w:sz w:val="24"/>
              </w:rPr>
              <w:t xml:space="preserve"> </w:t>
            </w: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传承优秀文化、本土文化</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长期</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长期</w:t>
            </w:r>
          </w:p>
        </w:tc>
      </w:tr>
      <w:tr>
        <w:tblPrEx>
          <w:tblLayout w:type="fixed"/>
          <w:tblCellMar>
            <w:top w:w="0" w:type="dxa"/>
            <w:left w:w="108" w:type="dxa"/>
            <w:bottom w:w="0" w:type="dxa"/>
            <w:right w:w="108" w:type="dxa"/>
          </w:tblCellMar>
        </w:tblPrEx>
        <w:trPr>
          <w:trHeight w:val="1018" w:hRule="atLeast"/>
        </w:trPr>
        <w:tc>
          <w:tcPr>
            <w:tcW w:w="1263"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宋体" w:cs="仿宋_GB2312"/>
                <w:sz w:val="24"/>
              </w:rPr>
            </w:pPr>
          </w:p>
        </w:tc>
        <w:tc>
          <w:tcPr>
            <w:tcW w:w="136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满意</w:t>
            </w:r>
            <w:r>
              <w:rPr>
                <w:rFonts w:ascii="宋体" w:cs="仿宋_GB2312"/>
                <w:kern w:val="0"/>
                <w:sz w:val="24"/>
              </w:rPr>
              <w:br w:type="textWrapping"/>
            </w:r>
            <w:r>
              <w:rPr>
                <w:rFonts w:hint="eastAsia" w:ascii="宋体" w:hAnsi="宋体" w:cs="仿宋_GB2312"/>
                <w:kern w:val="0"/>
                <w:sz w:val="24"/>
              </w:rPr>
              <w:t>度指标</w:t>
            </w: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kern w:val="0"/>
                <w:sz w:val="24"/>
              </w:rPr>
            </w:pPr>
            <w:r>
              <w:rPr>
                <w:rFonts w:hint="eastAsia" w:ascii="宋体" w:hAnsi="宋体" w:cs="仿宋_GB2312"/>
                <w:kern w:val="0"/>
                <w:sz w:val="24"/>
              </w:rPr>
              <w:t>满意度</w:t>
            </w:r>
          </w:p>
          <w:p>
            <w:pPr>
              <w:widowControl/>
              <w:spacing w:line="320" w:lineRule="exact"/>
              <w:jc w:val="center"/>
              <w:textAlignment w:val="bottom"/>
              <w:rPr>
                <w:rFonts w:ascii="宋体" w:cs="仿宋_GB2312"/>
                <w:sz w:val="24"/>
              </w:rPr>
            </w:pP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地面数字电视用户收视满意度</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仿宋_GB2312"/>
                <w:sz w:val="24"/>
              </w:rPr>
            </w:pPr>
            <w:r>
              <w:rPr>
                <w:rFonts w:ascii="宋体" w:hAnsi="宋体" w:cs="仿宋_GB2312"/>
                <w:sz w:val="24"/>
              </w:rPr>
              <w:t>98%</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仿宋_GB2312"/>
                <w:sz w:val="24"/>
              </w:rPr>
            </w:pPr>
            <w:r>
              <w:rPr>
                <w:rFonts w:ascii="宋体" w:hAnsi="宋体" w:cs="仿宋_GB2312"/>
                <w:sz w:val="24"/>
              </w:rPr>
              <w:t>98%</w:t>
            </w:r>
          </w:p>
        </w:tc>
      </w:tr>
    </w:tbl>
    <w:p>
      <w:pPr>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p>
    <w:p>
      <w:pPr>
        <w:pStyle w:val="2"/>
        <w:rPr>
          <w:rFonts w:hint="eastAsia" w:eastAsia="宋体"/>
          <w:lang w:val="en-US" w:eastAsia="zh-CN"/>
        </w:rPr>
      </w:pPr>
      <w:r>
        <w:rPr>
          <w:rFonts w:hint="eastAsia"/>
        </w:rPr>
        <w:t>附件</w:t>
      </w:r>
      <w:r>
        <w:rPr>
          <w:rFonts w:hint="eastAsia"/>
          <w:lang w:val="en-US" w:eastAsia="zh-CN"/>
        </w:rPr>
        <w:t>2</w:t>
      </w:r>
    </w:p>
    <w:p>
      <w:pPr>
        <w:spacing w:line="580" w:lineRule="exact"/>
        <w:rPr>
          <w:rFonts w:ascii="仿宋_GB2312" w:hAnsi="仿宋_GB2312" w:eastAsia="仿宋_GB2312" w:cs="仿宋_GB2312"/>
          <w:sz w:val="32"/>
          <w:szCs w:val="32"/>
        </w:rPr>
      </w:pPr>
    </w:p>
    <w:p>
      <w:pPr>
        <w:spacing w:line="580" w:lineRule="exact"/>
        <w:ind w:firstLine="1760" w:firstLineChars="550"/>
        <w:rPr>
          <w:rFonts w:ascii="宋体" w:cs="宋体"/>
          <w:b/>
          <w:sz w:val="32"/>
          <w:szCs w:val="32"/>
        </w:rPr>
      </w:pPr>
      <w:r>
        <w:rPr>
          <w:rFonts w:ascii="仿宋_GB2312" w:hAnsi="仿宋_GB2312" w:eastAsia="仿宋_GB2312" w:cs="仿宋_GB2312"/>
          <w:sz w:val="32"/>
          <w:szCs w:val="32"/>
        </w:rPr>
        <w:t xml:space="preserve"> </w:t>
      </w:r>
      <w:r>
        <w:rPr>
          <w:rFonts w:hint="eastAsia" w:ascii="宋体" w:hAnsi="宋体" w:cs="宋体"/>
          <w:b/>
          <w:sz w:val="32"/>
          <w:szCs w:val="32"/>
        </w:rPr>
        <w:t>部门预算项目绩效目标自评表</w:t>
      </w:r>
    </w:p>
    <w:p>
      <w:pPr>
        <w:pStyle w:val="2"/>
        <w:rPr>
          <w:rFonts w:ascii="宋体"/>
          <w:b/>
          <w:sz w:val="30"/>
          <w:szCs w:val="30"/>
        </w:rPr>
      </w:pPr>
      <w:r>
        <w:t xml:space="preserve">     </w:t>
      </w:r>
      <w:r>
        <w:rPr>
          <w:rFonts w:ascii="宋体" w:hAnsi="宋体"/>
          <w:b/>
          <w:sz w:val="30"/>
          <w:szCs w:val="30"/>
        </w:rPr>
        <w:t xml:space="preserve"> (</w:t>
      </w:r>
      <w:r>
        <w:rPr>
          <w:rFonts w:hint="eastAsia" w:ascii="宋体" w:hAnsi="宋体"/>
          <w:b/>
          <w:sz w:val="30"/>
          <w:szCs w:val="30"/>
        </w:rPr>
        <w:t>“寻觅山水</w:t>
      </w:r>
      <w:r>
        <w:rPr>
          <w:rFonts w:ascii="宋体" w:hAnsi="宋体"/>
          <w:b/>
          <w:sz w:val="30"/>
          <w:szCs w:val="30"/>
        </w:rPr>
        <w:t xml:space="preserve"> </w:t>
      </w:r>
      <w:r>
        <w:rPr>
          <w:rFonts w:hint="eastAsia" w:ascii="宋体" w:hAnsi="宋体"/>
          <w:b/>
          <w:sz w:val="30"/>
          <w:szCs w:val="30"/>
        </w:rPr>
        <w:t>滋味盐边”</w:t>
      </w:r>
      <w:r>
        <w:rPr>
          <w:rFonts w:ascii="宋体" w:hAnsi="宋体"/>
          <w:b/>
          <w:sz w:val="30"/>
          <w:szCs w:val="30"/>
        </w:rPr>
        <w:t>2021</w:t>
      </w:r>
      <w:r>
        <w:rPr>
          <w:rFonts w:hint="eastAsia" w:ascii="宋体" w:hAnsi="宋体"/>
          <w:b/>
          <w:sz w:val="30"/>
          <w:szCs w:val="30"/>
        </w:rPr>
        <w:t>年清凉夏季宣传营销经费</w:t>
      </w:r>
      <w:r>
        <w:rPr>
          <w:rFonts w:ascii="宋体" w:hAnsi="宋体"/>
          <w:b/>
          <w:sz w:val="30"/>
          <w:szCs w:val="30"/>
        </w:rPr>
        <w:t>)</w:t>
      </w:r>
    </w:p>
    <w:tbl>
      <w:tblPr>
        <w:tblStyle w:val="19"/>
        <w:tblpPr w:leftFromText="180" w:rightFromText="180" w:vertAnchor="text" w:horzAnchor="page" w:tblpX="1281" w:tblpY="660"/>
        <w:tblOverlap w:val="never"/>
        <w:tblW w:w="9663" w:type="dxa"/>
        <w:tblInd w:w="0" w:type="dxa"/>
        <w:tblLayout w:type="fixed"/>
        <w:tblCellMar>
          <w:top w:w="0" w:type="dxa"/>
          <w:left w:w="108" w:type="dxa"/>
          <w:bottom w:w="0" w:type="dxa"/>
          <w:right w:w="108" w:type="dxa"/>
        </w:tblCellMar>
      </w:tblPr>
      <w:tblGrid>
        <w:gridCol w:w="1263"/>
        <w:gridCol w:w="1365"/>
        <w:gridCol w:w="210"/>
        <w:gridCol w:w="1680"/>
        <w:gridCol w:w="420"/>
        <w:gridCol w:w="1575"/>
        <w:gridCol w:w="1065"/>
        <w:gridCol w:w="510"/>
        <w:gridCol w:w="1575"/>
      </w:tblGrid>
      <w:tr>
        <w:tblPrEx>
          <w:tblLayout w:type="fixed"/>
          <w:tblCellMar>
            <w:top w:w="0" w:type="dxa"/>
            <w:left w:w="108" w:type="dxa"/>
            <w:bottom w:w="0" w:type="dxa"/>
            <w:right w:w="108" w:type="dxa"/>
          </w:tblCellMar>
        </w:tblPrEx>
        <w:trPr>
          <w:trHeight w:val="254" w:hRule="atLeast"/>
        </w:trPr>
        <w:tc>
          <w:tcPr>
            <w:tcW w:w="2838"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主管部门及代码</w:t>
            </w:r>
          </w:p>
        </w:tc>
        <w:tc>
          <w:tcPr>
            <w:tcW w:w="3675"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230001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实施单位</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sz w:val="24"/>
              </w:rPr>
              <w:t>盐边县文化广播电视和旅游局</w:t>
            </w:r>
          </w:p>
        </w:tc>
      </w:tr>
      <w:tr>
        <w:tblPrEx>
          <w:tblLayout w:type="fixed"/>
          <w:tblCellMar>
            <w:top w:w="0" w:type="dxa"/>
            <w:left w:w="108" w:type="dxa"/>
            <w:bottom w:w="0" w:type="dxa"/>
            <w:right w:w="108" w:type="dxa"/>
          </w:tblCellMar>
        </w:tblPrEx>
        <w:trPr>
          <w:trHeight w:val="341" w:hRule="atLeast"/>
        </w:trPr>
        <w:tc>
          <w:tcPr>
            <w:tcW w:w="283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项目预算</w:t>
            </w:r>
            <w:r>
              <w:rPr>
                <w:rFonts w:ascii="宋体" w:cs="宋体"/>
                <w:kern w:val="0"/>
                <w:sz w:val="24"/>
              </w:rPr>
              <w:br w:type="textWrapping"/>
            </w:r>
            <w:r>
              <w:rPr>
                <w:rFonts w:hint="eastAsia" w:ascii="宋体" w:hAnsi="宋体" w:cs="宋体"/>
                <w:kern w:val="0"/>
                <w:sz w:val="24"/>
              </w:rPr>
              <w:t>执行情况</w:t>
            </w:r>
            <w:r>
              <w:rPr>
                <w:rFonts w:ascii="宋体" w:cs="宋体"/>
                <w:kern w:val="0"/>
                <w:sz w:val="24"/>
              </w:rPr>
              <w:br w:type="textWrapping"/>
            </w:r>
            <w:r>
              <w:rPr>
                <w:rFonts w:hint="eastAsia" w:ascii="宋体" w:hAnsi="宋体" w:cs="宋体"/>
                <w:kern w:val="0"/>
                <w:sz w:val="24"/>
              </w:rPr>
              <w:t>（万元）</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kern w:val="0"/>
                <w:sz w:val="24"/>
              </w:rPr>
              <w:t xml:space="preserve"> </w:t>
            </w:r>
            <w:r>
              <w:rPr>
                <w:rFonts w:hint="eastAsia" w:ascii="宋体" w:hAnsi="宋体" w:cs="宋体"/>
                <w:kern w:val="0"/>
                <w:sz w:val="24"/>
              </w:rPr>
              <w:t>预算数：</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sz w:val="24"/>
              </w:rPr>
              <w:t>95</w:t>
            </w:r>
            <w:r>
              <w:rPr>
                <w:rFonts w:hint="eastAsia" w:ascii="宋体" w:hAnsi="宋体" w:cs="宋体"/>
                <w:sz w:val="24"/>
              </w:rPr>
              <w:t>万元</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kern w:val="0"/>
                <w:sz w:val="24"/>
              </w:rPr>
              <w:t xml:space="preserve"> </w:t>
            </w:r>
            <w:r>
              <w:rPr>
                <w:rFonts w:hint="eastAsia" w:ascii="宋体" w:hAnsi="宋体" w:cs="宋体"/>
                <w:kern w:val="0"/>
                <w:sz w:val="24"/>
              </w:rPr>
              <w:t>执行数：</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ind w:right="480"/>
              <w:textAlignment w:val="center"/>
              <w:rPr>
                <w:rFonts w:ascii="宋体" w:cs="宋体"/>
                <w:sz w:val="24"/>
              </w:rPr>
            </w:pPr>
            <w:r>
              <w:rPr>
                <w:rFonts w:ascii="宋体" w:hAnsi="宋体" w:cs="宋体"/>
                <w:sz w:val="24"/>
              </w:rPr>
              <w:t>95</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555" w:hRule="atLeast"/>
        </w:trPr>
        <w:tc>
          <w:tcPr>
            <w:tcW w:w="2838" w:type="dxa"/>
            <w:gridSpan w:val="3"/>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cs="宋体"/>
                <w:sz w:val="24"/>
              </w:rPr>
            </w:pPr>
            <w:r>
              <w:rPr>
                <w:rFonts w:hint="eastAsia" w:ascii="宋体" w:hAnsi="宋体" w:cs="宋体"/>
                <w:kern w:val="0"/>
                <w:sz w:val="24"/>
              </w:rPr>
              <w:t>财政拨款</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sz w:val="24"/>
              </w:rPr>
              <w:t>95</w:t>
            </w:r>
            <w:r>
              <w:rPr>
                <w:rFonts w:hint="eastAsia" w:ascii="宋体" w:hAnsi="宋体" w:cs="宋体"/>
                <w:sz w:val="24"/>
              </w:rPr>
              <w:t>万元</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cs="宋体"/>
                <w:sz w:val="24"/>
              </w:rPr>
            </w:pPr>
            <w:r>
              <w:rPr>
                <w:rFonts w:hint="eastAsia" w:ascii="宋体" w:hAnsi="宋体" w:cs="宋体"/>
                <w:kern w:val="0"/>
                <w:sz w:val="24"/>
              </w:rPr>
              <w:t>财政拨款</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cs="宋体"/>
                <w:sz w:val="24"/>
              </w:rPr>
            </w:pPr>
            <w:r>
              <w:rPr>
                <w:rFonts w:ascii="宋体" w:hAnsi="宋体" w:cs="宋体"/>
                <w:sz w:val="24"/>
              </w:rPr>
              <w:t>95</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341" w:hRule="atLeast"/>
        </w:trPr>
        <w:tc>
          <w:tcPr>
            <w:tcW w:w="2838" w:type="dxa"/>
            <w:gridSpan w:val="3"/>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hint="eastAsia" w:ascii="宋体" w:hAnsi="宋体" w:cs="宋体"/>
                <w:kern w:val="0"/>
                <w:sz w:val="24"/>
              </w:rPr>
              <w:t>其他资金</w:t>
            </w:r>
          </w:p>
        </w:tc>
        <w:tc>
          <w:tcPr>
            <w:tcW w:w="199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hint="eastAsia" w:ascii="宋体" w:hAnsi="宋体" w:cs="宋体"/>
                <w:kern w:val="0"/>
                <w:sz w:val="24"/>
              </w:rPr>
              <w:t>其他资金</w:t>
            </w:r>
          </w:p>
        </w:tc>
        <w:tc>
          <w:tcPr>
            <w:tcW w:w="20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p>
        </w:tc>
      </w:tr>
      <w:tr>
        <w:tblPrEx>
          <w:tblLayout w:type="fixed"/>
          <w:tblCellMar>
            <w:top w:w="0" w:type="dxa"/>
            <w:left w:w="108" w:type="dxa"/>
            <w:bottom w:w="0" w:type="dxa"/>
            <w:right w:w="108" w:type="dxa"/>
          </w:tblCellMar>
        </w:tblPrEx>
        <w:trPr>
          <w:trHeight w:val="217" w:hRule="atLeast"/>
        </w:trPr>
        <w:tc>
          <w:tcPr>
            <w:tcW w:w="126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cs="宋体"/>
                <w:sz w:val="24"/>
              </w:rPr>
            </w:pPr>
            <w:r>
              <w:rPr>
                <w:rFonts w:hint="eastAsia" w:ascii="宋体" w:hAnsi="宋体" w:cs="宋体"/>
                <w:kern w:val="0"/>
                <w:sz w:val="24"/>
              </w:rPr>
              <w:t>完成情况</w:t>
            </w:r>
          </w:p>
        </w:tc>
        <w:tc>
          <w:tcPr>
            <w:tcW w:w="5250"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预期目标</w:t>
            </w:r>
          </w:p>
        </w:tc>
        <w:tc>
          <w:tcPr>
            <w:tcW w:w="315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目标实际完成情况</w:t>
            </w:r>
          </w:p>
        </w:tc>
      </w:tr>
      <w:tr>
        <w:tblPrEx>
          <w:tblLayout w:type="fixed"/>
          <w:tblCellMar>
            <w:top w:w="0" w:type="dxa"/>
            <w:left w:w="108" w:type="dxa"/>
            <w:bottom w:w="0" w:type="dxa"/>
            <w:right w:w="108" w:type="dxa"/>
          </w:tblCellMar>
        </w:tblPrEx>
        <w:trPr>
          <w:trHeight w:val="797" w:hRule="atLeast"/>
        </w:trPr>
        <w:tc>
          <w:tcPr>
            <w:tcW w:w="1263"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5250" w:type="dxa"/>
            <w:gridSpan w:val="5"/>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cs="宋体"/>
                <w:sz w:val="24"/>
              </w:rPr>
            </w:pPr>
            <w:r>
              <w:rPr>
                <w:rFonts w:hint="eastAsia" w:ascii="宋体" w:hAnsi="宋体"/>
                <w:bCs/>
                <w:sz w:val="24"/>
              </w:rPr>
              <w:t>于</w:t>
            </w:r>
            <w:r>
              <w:rPr>
                <w:rFonts w:ascii="宋体" w:hAnsi="宋体"/>
                <w:bCs/>
                <w:sz w:val="24"/>
              </w:rPr>
              <w:t>7</w:t>
            </w:r>
            <w:r>
              <w:rPr>
                <w:rFonts w:hint="eastAsia" w:ascii="宋体" w:hAnsi="宋体"/>
                <w:bCs/>
                <w:sz w:val="24"/>
              </w:rPr>
              <w:t>月</w:t>
            </w:r>
            <w:r>
              <w:rPr>
                <w:rFonts w:ascii="宋体" w:hAnsi="宋体"/>
                <w:bCs/>
                <w:sz w:val="24"/>
              </w:rPr>
              <w:t>23-25</w:t>
            </w:r>
            <w:r>
              <w:rPr>
                <w:rFonts w:hint="eastAsia" w:ascii="宋体" w:hAnsi="宋体"/>
                <w:bCs/>
                <w:sz w:val="24"/>
              </w:rPr>
              <w:t>日在成都、眉山、重庆启动“夏”一站</w:t>
            </w:r>
            <w:r>
              <w:rPr>
                <w:rFonts w:ascii="宋体" w:hAnsi="宋体"/>
                <w:bCs/>
                <w:sz w:val="24"/>
              </w:rPr>
              <w:t xml:space="preserve"> </w:t>
            </w:r>
            <w:r>
              <w:rPr>
                <w:rFonts w:hint="eastAsia" w:ascii="宋体" w:hAnsi="宋体"/>
                <w:bCs/>
                <w:sz w:val="24"/>
              </w:rPr>
              <w:t>攀枝花</w:t>
            </w:r>
            <w:r>
              <w:rPr>
                <w:rFonts w:ascii="宋体" w:hAnsi="宋体"/>
                <w:bCs/>
                <w:sz w:val="24"/>
              </w:rPr>
              <w:t>——</w:t>
            </w:r>
            <w:r>
              <w:rPr>
                <w:rFonts w:hint="eastAsia" w:ascii="宋体" w:hAnsi="宋体"/>
                <w:bCs/>
                <w:sz w:val="24"/>
              </w:rPr>
              <w:t>攀枝花市第三届清凉夏季暨“寻觅山水·滋味盐边”城市品牌推介活动。</w:t>
            </w:r>
          </w:p>
        </w:tc>
        <w:tc>
          <w:tcPr>
            <w:tcW w:w="3150" w:type="dxa"/>
            <w:gridSpan w:val="3"/>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cs="宋体"/>
                <w:sz w:val="24"/>
              </w:rPr>
            </w:pPr>
            <w:r>
              <w:rPr>
                <w:rFonts w:hint="eastAsia" w:ascii="宋体" w:hAnsi="宋体"/>
                <w:bCs/>
                <w:sz w:val="24"/>
              </w:rPr>
              <w:t>于</w:t>
            </w:r>
            <w:r>
              <w:rPr>
                <w:rFonts w:ascii="宋体" w:hAnsi="宋体"/>
                <w:bCs/>
                <w:sz w:val="24"/>
              </w:rPr>
              <w:t>7</w:t>
            </w:r>
            <w:r>
              <w:rPr>
                <w:rFonts w:hint="eastAsia" w:ascii="宋体" w:hAnsi="宋体"/>
                <w:bCs/>
                <w:sz w:val="24"/>
              </w:rPr>
              <w:t>月</w:t>
            </w:r>
            <w:r>
              <w:rPr>
                <w:rFonts w:ascii="宋体" w:hAnsi="宋体"/>
                <w:bCs/>
                <w:sz w:val="24"/>
              </w:rPr>
              <w:t>23-25</w:t>
            </w:r>
            <w:r>
              <w:rPr>
                <w:rFonts w:hint="eastAsia" w:ascii="宋体" w:hAnsi="宋体"/>
                <w:bCs/>
                <w:sz w:val="24"/>
              </w:rPr>
              <w:t>日在成都、眉山、重庆启动“夏”一站</w:t>
            </w:r>
            <w:r>
              <w:rPr>
                <w:rFonts w:ascii="宋体" w:hAnsi="宋体"/>
                <w:bCs/>
                <w:sz w:val="24"/>
              </w:rPr>
              <w:t xml:space="preserve"> </w:t>
            </w:r>
            <w:r>
              <w:rPr>
                <w:rFonts w:hint="eastAsia" w:ascii="宋体" w:hAnsi="宋体"/>
                <w:bCs/>
                <w:sz w:val="24"/>
              </w:rPr>
              <w:t>攀枝花</w:t>
            </w:r>
            <w:r>
              <w:rPr>
                <w:rFonts w:ascii="宋体" w:hAnsi="宋体"/>
                <w:bCs/>
                <w:sz w:val="24"/>
              </w:rPr>
              <w:t>——</w:t>
            </w:r>
            <w:r>
              <w:rPr>
                <w:rFonts w:hint="eastAsia" w:ascii="宋体" w:hAnsi="宋体"/>
                <w:bCs/>
                <w:sz w:val="24"/>
              </w:rPr>
              <w:t>攀枝花市第三届清凉夏季暨“寻觅山水·滋味盐边”城市品牌推介活动。</w:t>
            </w:r>
          </w:p>
        </w:tc>
      </w:tr>
      <w:tr>
        <w:tblPrEx>
          <w:tblLayout w:type="fixed"/>
          <w:tblCellMar>
            <w:top w:w="0" w:type="dxa"/>
            <w:left w:w="108" w:type="dxa"/>
            <w:bottom w:w="0" w:type="dxa"/>
            <w:right w:w="108" w:type="dxa"/>
          </w:tblCellMar>
        </w:tblPrEx>
        <w:trPr>
          <w:trHeight w:val="693" w:hRule="atLeast"/>
        </w:trPr>
        <w:tc>
          <w:tcPr>
            <w:tcW w:w="1263"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年度绩效指标完成情况</w:t>
            </w:r>
          </w:p>
        </w:tc>
        <w:tc>
          <w:tcPr>
            <w:tcW w:w="1365"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一级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二级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三级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预期指标值</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实际完成指标值</w:t>
            </w:r>
          </w:p>
        </w:tc>
      </w:tr>
      <w:tr>
        <w:tblPrEx>
          <w:tblLayout w:type="fixed"/>
          <w:tblCellMar>
            <w:top w:w="0" w:type="dxa"/>
            <w:left w:w="108" w:type="dxa"/>
            <w:bottom w:w="0" w:type="dxa"/>
            <w:right w:w="108" w:type="dxa"/>
          </w:tblCellMar>
        </w:tblPrEx>
        <w:trPr>
          <w:trHeight w:val="815"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cs="仿宋_GB2312"/>
                <w:kern w:val="0"/>
                <w:sz w:val="24"/>
              </w:rPr>
            </w:pPr>
            <w:r>
              <w:rPr>
                <w:rFonts w:hint="eastAsia" w:ascii="宋体" w:hAnsi="宋体" w:cs="仿宋_GB2312"/>
                <w:kern w:val="0"/>
                <w:sz w:val="24"/>
              </w:rPr>
              <w:t>完成</w:t>
            </w:r>
          </w:p>
          <w:p>
            <w:pPr>
              <w:widowControl/>
              <w:spacing w:line="320" w:lineRule="exact"/>
              <w:jc w:val="center"/>
              <w:textAlignment w:val="bottom"/>
              <w:rPr>
                <w:rFonts w:ascii="宋体" w:cs="仿宋_GB2312"/>
                <w:sz w:val="24"/>
              </w:rPr>
            </w:pPr>
            <w:r>
              <w:rPr>
                <w:rFonts w:hint="eastAsia" w:ascii="宋体" w:hAnsi="宋体" w:cs="仿宋_GB2312"/>
                <w:kern w:val="0"/>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数量指标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巡演城市</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3</w:t>
            </w:r>
            <w:r>
              <w:rPr>
                <w:rFonts w:hint="eastAsia" w:ascii="宋体" w:hAnsi="宋体" w:cs="仿宋_GB2312"/>
                <w:sz w:val="24"/>
              </w:rPr>
              <w:t>个</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3</w:t>
            </w:r>
            <w:r>
              <w:rPr>
                <w:rFonts w:hint="eastAsia" w:ascii="宋体" w:hAnsi="宋体" w:cs="仿宋_GB2312"/>
                <w:sz w:val="24"/>
              </w:rPr>
              <w:t>个</w:t>
            </w:r>
          </w:p>
        </w:tc>
      </w:tr>
      <w:tr>
        <w:tblPrEx>
          <w:tblLayout w:type="fixed"/>
          <w:tblCellMar>
            <w:top w:w="0" w:type="dxa"/>
            <w:left w:w="108" w:type="dxa"/>
            <w:bottom w:w="0" w:type="dxa"/>
            <w:right w:w="108" w:type="dxa"/>
          </w:tblCellMar>
        </w:tblPrEx>
        <w:trPr>
          <w:trHeight w:val="415"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质量指标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巡演节目</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优秀</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优秀</w:t>
            </w:r>
          </w:p>
        </w:tc>
      </w:tr>
      <w:tr>
        <w:tblPrEx>
          <w:tblLayout w:type="fixed"/>
          <w:tblCellMar>
            <w:top w:w="0" w:type="dxa"/>
            <w:left w:w="108" w:type="dxa"/>
            <w:bottom w:w="0" w:type="dxa"/>
            <w:right w:w="108" w:type="dxa"/>
          </w:tblCellMar>
        </w:tblPrEx>
        <w:trPr>
          <w:trHeight w:val="651"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时效指标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活动时间</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7</w:t>
            </w:r>
            <w:r>
              <w:rPr>
                <w:rFonts w:hint="eastAsia" w:ascii="宋体" w:hAnsi="宋体" w:cs="仿宋_GB2312"/>
                <w:sz w:val="24"/>
              </w:rPr>
              <w:t>月</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7</w:t>
            </w:r>
            <w:r>
              <w:rPr>
                <w:rFonts w:hint="eastAsia" w:ascii="宋体" w:hAnsi="宋体" w:cs="仿宋_GB2312"/>
                <w:sz w:val="24"/>
              </w:rPr>
              <w:t>月</w:t>
            </w:r>
          </w:p>
        </w:tc>
      </w:tr>
      <w:tr>
        <w:tblPrEx>
          <w:tblLayout w:type="fixed"/>
          <w:tblCellMar>
            <w:top w:w="0" w:type="dxa"/>
            <w:left w:w="108" w:type="dxa"/>
            <w:bottom w:w="0" w:type="dxa"/>
            <w:right w:w="108" w:type="dxa"/>
          </w:tblCellMar>
        </w:tblPrEx>
        <w:trPr>
          <w:trHeight w:val="480"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成本指标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推介活动经费</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95</w:t>
            </w:r>
            <w:r>
              <w:rPr>
                <w:rFonts w:hint="eastAsia" w:ascii="宋体" w:hAnsi="宋体" w:cs="仿宋_GB2312"/>
                <w:sz w:val="24"/>
              </w:rPr>
              <w:t>万元</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95</w:t>
            </w:r>
            <w:r>
              <w:rPr>
                <w:rFonts w:hint="eastAsia" w:ascii="宋体" w:hAnsi="宋体" w:cs="仿宋_GB2312"/>
                <w:sz w:val="24"/>
              </w:rPr>
              <w:t>万元</w:t>
            </w:r>
          </w:p>
        </w:tc>
      </w:tr>
      <w:tr>
        <w:tblPrEx>
          <w:tblLayout w:type="fixed"/>
          <w:tblCellMar>
            <w:top w:w="0" w:type="dxa"/>
            <w:left w:w="108" w:type="dxa"/>
            <w:bottom w:w="0" w:type="dxa"/>
            <w:right w:w="108" w:type="dxa"/>
          </w:tblCellMar>
        </w:tblPrEx>
        <w:trPr>
          <w:trHeight w:val="90"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restart"/>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r>
              <w:rPr>
                <w:rFonts w:hint="eastAsia" w:ascii="宋体" w:hAnsi="宋体" w:cs="仿宋_GB2312"/>
                <w:sz w:val="24"/>
              </w:rPr>
              <w:t>效益指标</w:t>
            </w: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经济效益</w:t>
            </w:r>
            <w:r>
              <w:rPr>
                <w:rFonts w:ascii="宋体" w:hAnsi="宋体" w:cs="仿宋_GB2312"/>
                <w:kern w:val="0"/>
                <w:sz w:val="24"/>
              </w:rPr>
              <w:t xml:space="preserve">  </w:t>
            </w: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hint="eastAsia" w:ascii="宋体" w:eastAsia="宋体" w:cs="仿宋_GB2312"/>
                <w:sz w:val="24"/>
                <w:lang w:eastAsia="zh-CN"/>
              </w:rPr>
            </w:pPr>
            <w:r>
              <w:rPr>
                <w:rFonts w:hint="eastAsia" w:ascii="宋体" w:hAnsi="宋体"/>
                <w:color w:val="000000"/>
                <w:sz w:val="24"/>
              </w:rPr>
              <w:t>通过宣传营销</w:t>
            </w:r>
            <w:r>
              <w:rPr>
                <w:rFonts w:hint="eastAsia" w:ascii="宋体" w:hAnsi="宋体"/>
                <w:color w:val="000000"/>
                <w:sz w:val="24"/>
                <w:lang w:eastAsia="zh-CN"/>
              </w:rPr>
              <w:t>，旅游收入提高</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hint="default" w:ascii="宋体" w:eastAsia="宋体" w:cs="仿宋_GB2312"/>
                <w:sz w:val="24"/>
                <w:lang w:val="en-US" w:eastAsia="zh-CN"/>
              </w:rPr>
            </w:pPr>
            <w:r>
              <w:rPr>
                <w:rFonts w:hint="eastAsia" w:ascii="宋体" w:hAnsi="宋体"/>
                <w:color w:val="000000"/>
                <w:sz w:val="24"/>
                <w:lang w:val="en-US" w:eastAsia="zh-CN"/>
              </w:rPr>
              <w:t>5%</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hint="default" w:ascii="宋体" w:eastAsia="宋体" w:cs="仿宋_GB2312"/>
                <w:sz w:val="24"/>
                <w:lang w:val="en-US" w:eastAsia="zh-CN"/>
              </w:rPr>
            </w:pPr>
            <w:r>
              <w:rPr>
                <w:rFonts w:hint="eastAsia" w:ascii="宋体" w:hAnsi="宋体"/>
                <w:color w:val="000000"/>
                <w:sz w:val="24"/>
                <w:lang w:val="en-US" w:eastAsia="zh-CN"/>
              </w:rPr>
              <w:t>5%</w:t>
            </w:r>
          </w:p>
        </w:tc>
      </w:tr>
      <w:tr>
        <w:tblPrEx>
          <w:tblLayout w:type="fixed"/>
          <w:tblCellMar>
            <w:top w:w="0" w:type="dxa"/>
            <w:left w:w="108" w:type="dxa"/>
            <w:bottom w:w="0" w:type="dxa"/>
            <w:right w:w="108" w:type="dxa"/>
          </w:tblCellMar>
        </w:tblPrEx>
        <w:trPr>
          <w:trHeight w:val="769"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社会效益</w:t>
            </w:r>
            <w:r>
              <w:rPr>
                <w:rFonts w:ascii="宋体" w:hAnsi="宋体" w:cs="仿宋_GB2312"/>
                <w:kern w:val="0"/>
                <w:sz w:val="24"/>
              </w:rPr>
              <w:t xml:space="preserve">  </w:t>
            </w: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olor w:val="000000"/>
                <w:sz w:val="24"/>
              </w:rPr>
              <w:t>打造“滋味盐边</w:t>
            </w:r>
            <w:r>
              <w:rPr>
                <w:rFonts w:hint="eastAsia" w:ascii="宋体"/>
                <w:color w:val="000000"/>
                <w:sz w:val="24"/>
              </w:rPr>
              <w:t>”</w:t>
            </w:r>
            <w:r>
              <w:rPr>
                <w:rFonts w:hint="eastAsia" w:ascii="宋体" w:hAnsi="宋体"/>
                <w:color w:val="000000"/>
                <w:sz w:val="24"/>
              </w:rPr>
              <w:t>文旅活动</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olor w:val="000000"/>
                <w:sz w:val="24"/>
              </w:rPr>
              <w:t>提升盐边城市品牌形象和知名度</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olor w:val="000000"/>
                <w:sz w:val="24"/>
              </w:rPr>
              <w:t>提升盐边城市品牌形象和知名度</w:t>
            </w:r>
          </w:p>
        </w:tc>
      </w:tr>
      <w:tr>
        <w:tblPrEx>
          <w:tblLayout w:type="fixed"/>
          <w:tblCellMar>
            <w:top w:w="0" w:type="dxa"/>
            <w:left w:w="108" w:type="dxa"/>
            <w:bottom w:w="0" w:type="dxa"/>
            <w:right w:w="108" w:type="dxa"/>
          </w:tblCellMar>
        </w:tblPrEx>
        <w:trPr>
          <w:trHeight w:val="480" w:hRule="atLeast"/>
        </w:trPr>
        <w:tc>
          <w:tcPr>
            <w:tcW w:w="1263"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可持续影响</w:t>
            </w:r>
            <w:r>
              <w:rPr>
                <w:rFonts w:ascii="宋体" w:hAnsi="宋体" w:cs="仿宋_GB2312"/>
                <w:kern w:val="0"/>
                <w:sz w:val="24"/>
              </w:rPr>
              <w:t xml:space="preserve"> </w:t>
            </w: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olor w:val="000000"/>
                <w:sz w:val="24"/>
              </w:rPr>
              <w:t>“滋味盐边</w:t>
            </w:r>
            <w:r>
              <w:rPr>
                <w:rFonts w:hint="eastAsia" w:ascii="宋体"/>
                <w:color w:val="000000"/>
                <w:sz w:val="24"/>
              </w:rPr>
              <w:t>”</w:t>
            </w:r>
            <w:r>
              <w:rPr>
                <w:rFonts w:hint="eastAsia" w:ascii="宋体" w:hAnsi="宋体"/>
                <w:color w:val="000000"/>
                <w:sz w:val="24"/>
              </w:rPr>
              <w:t>文旅活动</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长期</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长期</w:t>
            </w:r>
          </w:p>
        </w:tc>
      </w:tr>
      <w:tr>
        <w:tblPrEx>
          <w:tblLayout w:type="fixed"/>
          <w:tblCellMar>
            <w:top w:w="0" w:type="dxa"/>
            <w:left w:w="108" w:type="dxa"/>
            <w:bottom w:w="0" w:type="dxa"/>
            <w:right w:w="108" w:type="dxa"/>
          </w:tblCellMar>
        </w:tblPrEx>
        <w:trPr>
          <w:trHeight w:val="530" w:hRule="atLeast"/>
        </w:trPr>
        <w:tc>
          <w:tcPr>
            <w:tcW w:w="1263"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宋体" w:cs="仿宋_GB2312"/>
                <w:sz w:val="24"/>
              </w:rPr>
            </w:pPr>
          </w:p>
        </w:tc>
        <w:tc>
          <w:tcPr>
            <w:tcW w:w="136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满意度</w:t>
            </w:r>
            <w:r>
              <w:rPr>
                <w:rFonts w:ascii="宋体" w:cs="仿宋_GB2312"/>
                <w:kern w:val="0"/>
                <w:sz w:val="24"/>
              </w:rPr>
              <w:br w:type="textWrapping"/>
            </w:r>
            <w:r>
              <w:rPr>
                <w:rFonts w:hint="eastAsia" w:ascii="宋体" w:hAnsi="宋体" w:cs="仿宋_GB2312"/>
                <w:kern w:val="0"/>
                <w:sz w:val="24"/>
              </w:rPr>
              <w:t>度指标</w:t>
            </w:r>
          </w:p>
        </w:tc>
        <w:tc>
          <w:tcPr>
            <w:tcW w:w="2310" w:type="dxa"/>
            <w:gridSpan w:val="3"/>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kern w:val="0"/>
                <w:sz w:val="24"/>
              </w:rPr>
            </w:pPr>
            <w:r>
              <w:rPr>
                <w:rFonts w:hint="eastAsia" w:ascii="宋体" w:hAnsi="宋体" w:cs="仿宋_GB2312"/>
                <w:kern w:val="0"/>
                <w:sz w:val="24"/>
              </w:rPr>
              <w:t>群众对</w:t>
            </w:r>
          </w:p>
          <w:p>
            <w:pPr>
              <w:widowControl/>
              <w:spacing w:line="320" w:lineRule="exact"/>
              <w:jc w:val="center"/>
              <w:textAlignment w:val="bottom"/>
              <w:rPr>
                <w:rFonts w:ascii="宋体" w:cs="仿宋_GB2312"/>
                <w:sz w:val="24"/>
              </w:rPr>
            </w:pPr>
            <w:r>
              <w:rPr>
                <w:rFonts w:hint="eastAsia" w:ascii="宋体" w:hAnsi="宋体" w:cs="仿宋_GB2312"/>
                <w:kern w:val="0"/>
                <w:sz w:val="24"/>
              </w:rPr>
              <w:t>指标</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群众对“滋味盐边”宣传营销满意度</w:t>
            </w:r>
          </w:p>
        </w:tc>
        <w:tc>
          <w:tcPr>
            <w:tcW w:w="1575"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仿宋_GB2312"/>
                <w:sz w:val="24"/>
              </w:rPr>
            </w:pPr>
            <w:r>
              <w:rPr>
                <w:rFonts w:hint="eastAsia" w:ascii="宋体" w:hAnsi="宋体" w:cs="仿宋_GB2312"/>
                <w:sz w:val="24"/>
              </w:rPr>
              <w:t>大于</w:t>
            </w:r>
            <w:r>
              <w:rPr>
                <w:rFonts w:ascii="宋体" w:hAnsi="宋体" w:cs="仿宋_GB2312"/>
                <w:sz w:val="24"/>
              </w:rPr>
              <w:t>90%</w:t>
            </w:r>
          </w:p>
        </w:tc>
        <w:tc>
          <w:tcPr>
            <w:tcW w:w="15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仿宋_GB2312"/>
                <w:sz w:val="24"/>
              </w:rPr>
            </w:pPr>
            <w:r>
              <w:rPr>
                <w:rFonts w:hint="eastAsia" w:ascii="宋体" w:hAnsi="宋体" w:cs="仿宋_GB2312"/>
                <w:sz w:val="24"/>
              </w:rPr>
              <w:t>大于</w:t>
            </w:r>
            <w:r>
              <w:rPr>
                <w:rFonts w:ascii="宋体" w:hAnsi="宋体" w:cs="仿宋_GB2312"/>
                <w:sz w:val="24"/>
              </w:rPr>
              <w:t>90%</w:t>
            </w:r>
          </w:p>
        </w:tc>
      </w:tr>
    </w:tbl>
    <w:p>
      <w:pPr>
        <w:rPr>
          <w:rFonts w:ascii="宋体"/>
          <w:sz w:val="24"/>
        </w:rPr>
      </w:pPr>
    </w:p>
    <w:p>
      <w:pPr>
        <w:pStyle w:val="2"/>
      </w:pPr>
    </w:p>
    <w:p>
      <w:pPr>
        <w:pStyle w:val="2"/>
        <w:rPr>
          <w:rFonts w:hint="eastAsia" w:eastAsia="宋体"/>
          <w:lang w:val="en-US" w:eastAsia="zh-CN"/>
        </w:rPr>
      </w:pPr>
      <w:r>
        <w:rPr>
          <w:rFonts w:hint="eastAsia"/>
        </w:rPr>
        <w:t>附件</w:t>
      </w:r>
      <w:r>
        <w:rPr>
          <w:rFonts w:hint="eastAsia"/>
          <w:lang w:val="en-US" w:eastAsia="zh-CN"/>
        </w:rPr>
        <w:t>3</w:t>
      </w:r>
    </w:p>
    <w:p>
      <w:pPr>
        <w:spacing w:line="580" w:lineRule="exact"/>
        <w:ind w:firstLine="2072" w:firstLineChars="645"/>
        <w:rPr>
          <w:rFonts w:ascii="宋体" w:cs="宋体"/>
          <w:b/>
          <w:sz w:val="32"/>
          <w:szCs w:val="32"/>
        </w:rPr>
      </w:pPr>
      <w:r>
        <w:rPr>
          <w:rFonts w:hint="eastAsia" w:ascii="宋体" w:hAnsi="宋体" w:cs="宋体"/>
          <w:b/>
          <w:sz w:val="32"/>
          <w:szCs w:val="32"/>
        </w:rPr>
        <w:t>部门预算项目绩效目标自评表</w:t>
      </w:r>
    </w:p>
    <w:p>
      <w:pPr>
        <w:pStyle w:val="2"/>
        <w:rPr>
          <w:rFonts w:ascii="宋体" w:hAnsi="宋体"/>
          <w:b/>
          <w:sz w:val="30"/>
          <w:szCs w:val="30"/>
        </w:rPr>
      </w:pPr>
      <w:r>
        <w:t xml:space="preserve">  </w:t>
      </w:r>
      <w:r>
        <w:rPr>
          <w:rFonts w:ascii="宋体" w:hAnsi="宋体"/>
          <w:b/>
          <w:sz w:val="30"/>
          <w:szCs w:val="30"/>
        </w:rPr>
        <w:t xml:space="preserve">  (2021</w:t>
      </w:r>
      <w:r>
        <w:rPr>
          <w:rFonts w:hint="eastAsia" w:ascii="宋体" w:hAnsi="宋体"/>
          <w:b/>
          <w:sz w:val="30"/>
          <w:szCs w:val="30"/>
        </w:rPr>
        <w:t>年中央补助地方公共文化服务体系建设专项资金</w:t>
      </w:r>
      <w:r>
        <w:rPr>
          <w:rFonts w:ascii="宋体" w:hAnsi="宋体"/>
          <w:b/>
          <w:sz w:val="30"/>
          <w:szCs w:val="30"/>
        </w:rPr>
        <w:t>)</w:t>
      </w:r>
    </w:p>
    <w:tbl>
      <w:tblPr>
        <w:tblStyle w:val="19"/>
        <w:tblpPr w:leftFromText="180" w:rightFromText="180" w:vertAnchor="text" w:horzAnchor="page" w:tblpX="1281" w:tblpY="660"/>
        <w:tblOverlap w:val="never"/>
        <w:tblW w:w="9873" w:type="dxa"/>
        <w:tblInd w:w="0" w:type="dxa"/>
        <w:tblLayout w:type="fixed"/>
        <w:tblCellMar>
          <w:top w:w="0" w:type="dxa"/>
          <w:left w:w="108" w:type="dxa"/>
          <w:bottom w:w="0" w:type="dxa"/>
          <w:right w:w="108" w:type="dxa"/>
        </w:tblCellMar>
      </w:tblPr>
      <w:tblGrid>
        <w:gridCol w:w="2025"/>
        <w:gridCol w:w="1170"/>
        <w:gridCol w:w="1675"/>
        <w:gridCol w:w="1433"/>
        <w:gridCol w:w="1039"/>
        <w:gridCol w:w="641"/>
        <w:gridCol w:w="1890"/>
      </w:tblGrid>
      <w:tr>
        <w:tblPrEx>
          <w:tblLayout w:type="fixed"/>
          <w:tblCellMar>
            <w:top w:w="0" w:type="dxa"/>
            <w:left w:w="108" w:type="dxa"/>
            <w:bottom w:w="0" w:type="dxa"/>
            <w:right w:w="108" w:type="dxa"/>
          </w:tblCellMar>
        </w:tblPrEx>
        <w:trPr>
          <w:trHeight w:val="254" w:hRule="atLeast"/>
        </w:trPr>
        <w:tc>
          <w:tcPr>
            <w:tcW w:w="319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主管部门及代码</w:t>
            </w:r>
          </w:p>
        </w:tc>
        <w:tc>
          <w:tcPr>
            <w:tcW w:w="310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230001</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实施单位</w:t>
            </w:r>
          </w:p>
        </w:tc>
        <w:tc>
          <w:tcPr>
            <w:tcW w:w="253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sz w:val="24"/>
              </w:rPr>
              <w:t>盐边县文广旅局</w:t>
            </w:r>
          </w:p>
        </w:tc>
      </w:tr>
      <w:tr>
        <w:tblPrEx>
          <w:tblLayout w:type="fixed"/>
          <w:tblCellMar>
            <w:top w:w="0" w:type="dxa"/>
            <w:left w:w="108" w:type="dxa"/>
            <w:bottom w:w="0" w:type="dxa"/>
            <w:right w:w="108" w:type="dxa"/>
          </w:tblCellMar>
        </w:tblPrEx>
        <w:trPr>
          <w:trHeight w:val="341" w:hRule="atLeast"/>
        </w:trPr>
        <w:tc>
          <w:tcPr>
            <w:tcW w:w="319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项目预算</w:t>
            </w:r>
            <w:r>
              <w:rPr>
                <w:rFonts w:ascii="宋体" w:cs="宋体"/>
                <w:kern w:val="0"/>
                <w:sz w:val="24"/>
              </w:rPr>
              <w:br w:type="textWrapping"/>
            </w:r>
            <w:r>
              <w:rPr>
                <w:rFonts w:hint="eastAsia" w:ascii="宋体" w:hAnsi="宋体" w:cs="宋体"/>
                <w:kern w:val="0"/>
                <w:sz w:val="24"/>
              </w:rPr>
              <w:t>执行情况</w:t>
            </w:r>
            <w:r>
              <w:rPr>
                <w:rFonts w:ascii="宋体" w:cs="宋体"/>
                <w:kern w:val="0"/>
                <w:sz w:val="24"/>
              </w:rPr>
              <w:br w:type="textWrapping"/>
            </w:r>
            <w:r>
              <w:rPr>
                <w:rFonts w:hint="eastAsia" w:ascii="宋体" w:hAnsi="宋体" w:cs="宋体"/>
                <w:kern w:val="0"/>
                <w:sz w:val="24"/>
              </w:rPr>
              <w:t>（万元）</w:t>
            </w:r>
          </w:p>
        </w:tc>
        <w:tc>
          <w:tcPr>
            <w:tcW w:w="16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kern w:val="0"/>
                <w:sz w:val="24"/>
              </w:rPr>
              <w:t xml:space="preserve"> </w:t>
            </w:r>
            <w:r>
              <w:rPr>
                <w:rFonts w:hint="eastAsia" w:ascii="宋体" w:hAnsi="宋体" w:cs="宋体"/>
                <w:kern w:val="0"/>
                <w:sz w:val="24"/>
              </w:rPr>
              <w:t>预算数：</w:t>
            </w:r>
          </w:p>
        </w:tc>
        <w:tc>
          <w:tcPr>
            <w:tcW w:w="143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hint="eastAsia" w:ascii="宋体" w:hAnsi="宋体" w:cs="宋体"/>
                <w:sz w:val="24"/>
                <w:lang w:val="en-US" w:eastAsia="zh-CN"/>
              </w:rPr>
              <w:t>189.28</w:t>
            </w:r>
            <w:r>
              <w:rPr>
                <w:rFonts w:hint="eastAsia" w:ascii="宋体" w:hAnsi="宋体" w:cs="宋体"/>
                <w:sz w:val="24"/>
              </w:rPr>
              <w:t>万元</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kern w:val="0"/>
                <w:sz w:val="24"/>
              </w:rPr>
              <w:t xml:space="preserve"> </w:t>
            </w:r>
            <w:r>
              <w:rPr>
                <w:rFonts w:hint="eastAsia" w:ascii="宋体" w:hAnsi="宋体" w:cs="宋体"/>
                <w:kern w:val="0"/>
                <w:sz w:val="24"/>
              </w:rPr>
              <w:t>执行数：</w:t>
            </w:r>
          </w:p>
        </w:tc>
        <w:tc>
          <w:tcPr>
            <w:tcW w:w="253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ind w:right="480"/>
              <w:textAlignment w:val="center"/>
              <w:rPr>
                <w:rFonts w:ascii="宋体" w:cs="宋体"/>
                <w:sz w:val="24"/>
              </w:rPr>
            </w:pPr>
            <w:r>
              <w:rPr>
                <w:rFonts w:ascii="宋体" w:hAnsi="宋体" w:cs="宋体"/>
                <w:sz w:val="24"/>
              </w:rPr>
              <w:t>182.56</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850" w:hRule="atLeast"/>
        </w:trPr>
        <w:tc>
          <w:tcPr>
            <w:tcW w:w="3195"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cs="宋体"/>
                <w:sz w:val="24"/>
              </w:rPr>
            </w:pPr>
            <w:r>
              <w:rPr>
                <w:rFonts w:hint="eastAsia" w:ascii="宋体" w:hAnsi="宋体" w:cs="宋体"/>
                <w:kern w:val="0"/>
                <w:sz w:val="24"/>
              </w:rPr>
              <w:t>财政拨款</w:t>
            </w:r>
          </w:p>
        </w:tc>
        <w:tc>
          <w:tcPr>
            <w:tcW w:w="143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ascii="宋体" w:hAnsi="宋体" w:cs="宋体"/>
                <w:sz w:val="24"/>
              </w:rPr>
              <w:t>189.28</w:t>
            </w:r>
            <w:r>
              <w:rPr>
                <w:rFonts w:hint="eastAsia" w:ascii="宋体" w:hAnsi="宋体" w:cs="宋体"/>
                <w:sz w:val="24"/>
              </w:rPr>
              <w:t>万元</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cs="宋体"/>
                <w:sz w:val="24"/>
              </w:rPr>
            </w:pPr>
            <w:r>
              <w:rPr>
                <w:rFonts w:hint="eastAsia" w:ascii="宋体" w:hAnsi="宋体" w:cs="宋体"/>
                <w:kern w:val="0"/>
                <w:sz w:val="24"/>
              </w:rPr>
              <w:t>财政拨款</w:t>
            </w:r>
          </w:p>
        </w:tc>
        <w:tc>
          <w:tcPr>
            <w:tcW w:w="253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cs="宋体"/>
                <w:sz w:val="24"/>
              </w:rPr>
            </w:pPr>
            <w:r>
              <w:rPr>
                <w:rFonts w:ascii="宋体" w:hAnsi="宋体" w:cs="宋体"/>
                <w:sz w:val="24"/>
              </w:rPr>
              <w:t>182.56</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341" w:hRule="atLeast"/>
        </w:trPr>
        <w:tc>
          <w:tcPr>
            <w:tcW w:w="3195"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hint="eastAsia" w:ascii="宋体" w:hAnsi="宋体" w:cs="宋体"/>
                <w:kern w:val="0"/>
                <w:sz w:val="24"/>
              </w:rPr>
              <w:t>其他资金</w:t>
            </w:r>
          </w:p>
        </w:tc>
        <w:tc>
          <w:tcPr>
            <w:tcW w:w="143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cs="宋体"/>
                <w:sz w:val="24"/>
              </w:rPr>
            </w:pPr>
            <w:r>
              <w:rPr>
                <w:rFonts w:hint="eastAsia" w:ascii="宋体" w:hAnsi="宋体" w:cs="宋体"/>
                <w:kern w:val="0"/>
                <w:sz w:val="24"/>
              </w:rPr>
              <w:t>其他资金</w:t>
            </w:r>
          </w:p>
        </w:tc>
        <w:tc>
          <w:tcPr>
            <w:tcW w:w="253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p>
        </w:tc>
      </w:tr>
      <w:tr>
        <w:tblPrEx>
          <w:tblLayout w:type="fixed"/>
          <w:tblCellMar>
            <w:top w:w="0" w:type="dxa"/>
            <w:left w:w="108" w:type="dxa"/>
            <w:bottom w:w="0" w:type="dxa"/>
            <w:right w:w="108" w:type="dxa"/>
          </w:tblCellMar>
        </w:tblPrEx>
        <w:trPr>
          <w:trHeight w:val="217" w:hRule="atLeast"/>
        </w:trPr>
        <w:tc>
          <w:tcPr>
            <w:tcW w:w="20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cs="宋体"/>
                <w:sz w:val="24"/>
              </w:rPr>
            </w:pPr>
            <w:r>
              <w:rPr>
                <w:rFonts w:hint="eastAsia" w:ascii="宋体" w:hAnsi="宋体" w:cs="宋体"/>
                <w:kern w:val="0"/>
                <w:sz w:val="24"/>
              </w:rPr>
              <w:t>完成情况</w:t>
            </w:r>
          </w:p>
        </w:tc>
        <w:tc>
          <w:tcPr>
            <w:tcW w:w="4278"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预期目标</w:t>
            </w:r>
          </w:p>
        </w:tc>
        <w:tc>
          <w:tcPr>
            <w:tcW w:w="357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宋体"/>
                <w:sz w:val="24"/>
              </w:rPr>
            </w:pPr>
            <w:r>
              <w:rPr>
                <w:rFonts w:hint="eastAsia" w:ascii="宋体" w:hAnsi="宋体" w:cs="宋体"/>
                <w:kern w:val="0"/>
                <w:sz w:val="24"/>
              </w:rPr>
              <w:t>目标实际完成情况</w:t>
            </w:r>
          </w:p>
        </w:tc>
      </w:tr>
      <w:tr>
        <w:tblPrEx>
          <w:tblLayout w:type="fixed"/>
          <w:tblCellMar>
            <w:top w:w="0" w:type="dxa"/>
            <w:left w:w="108" w:type="dxa"/>
            <w:bottom w:w="0" w:type="dxa"/>
            <w:right w:w="108" w:type="dxa"/>
          </w:tblCellMar>
        </w:tblPrEx>
        <w:trPr>
          <w:trHeight w:val="797" w:hRule="atLeast"/>
        </w:trPr>
        <w:tc>
          <w:tcPr>
            <w:tcW w:w="2025"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cs="宋体"/>
                <w:sz w:val="24"/>
              </w:rPr>
            </w:pPr>
          </w:p>
        </w:tc>
        <w:tc>
          <w:tcPr>
            <w:tcW w:w="4278" w:type="dxa"/>
            <w:gridSpan w:val="3"/>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sz w:val="24"/>
              </w:rPr>
              <w:t>全县</w:t>
            </w:r>
            <w:r>
              <w:rPr>
                <w:rFonts w:ascii="宋体" w:hAnsi="宋体" w:cs="宋体"/>
                <w:sz w:val="24"/>
              </w:rPr>
              <w:t>171</w:t>
            </w:r>
            <w:r>
              <w:rPr>
                <w:rFonts w:hint="eastAsia" w:ascii="宋体" w:hAnsi="宋体" w:cs="宋体"/>
                <w:sz w:val="24"/>
              </w:rPr>
              <w:t>个村（社区）公共文化服务点（村级综合文化服务中心）正常开放；放映农村公益电影</w:t>
            </w:r>
            <w:r>
              <w:rPr>
                <w:rFonts w:ascii="宋体" w:hAnsi="宋体" w:cs="宋体"/>
                <w:sz w:val="24"/>
              </w:rPr>
              <w:t>1440</w:t>
            </w:r>
            <w:r>
              <w:rPr>
                <w:rFonts w:hint="eastAsia" w:ascii="宋体" w:hAnsi="宋体" w:cs="宋体"/>
                <w:sz w:val="24"/>
              </w:rPr>
              <w:t>场；全县不低于</w:t>
            </w:r>
            <w:r>
              <w:rPr>
                <w:rFonts w:ascii="宋体" w:hAnsi="宋体" w:cs="宋体"/>
                <w:sz w:val="24"/>
              </w:rPr>
              <w:t>40</w:t>
            </w:r>
            <w:r>
              <w:rPr>
                <w:rFonts w:hint="eastAsia" w:ascii="宋体" w:hAnsi="宋体" w:cs="宋体"/>
                <w:sz w:val="24"/>
              </w:rPr>
              <w:t>万人次免费享受农家（社区）书屋图书借阅、科技（文艺）培训、文化产业、农村公益电影放映、广播电视正常运行、文体活动等多项公共文化服务。</w:t>
            </w:r>
            <w:r>
              <w:rPr>
                <w:rFonts w:ascii="宋体" w:hAnsi="宋体" w:cs="宋体"/>
                <w:sz w:val="24"/>
              </w:rPr>
              <w:t xml:space="preserve">                                                                                                                                 </w:t>
            </w:r>
          </w:p>
        </w:tc>
        <w:tc>
          <w:tcPr>
            <w:tcW w:w="3570" w:type="dxa"/>
            <w:gridSpan w:val="3"/>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sz w:val="24"/>
              </w:rPr>
              <w:t>全县</w:t>
            </w:r>
            <w:r>
              <w:rPr>
                <w:rFonts w:ascii="宋体" w:hAnsi="宋体" w:cs="宋体"/>
                <w:sz w:val="24"/>
              </w:rPr>
              <w:t>171</w:t>
            </w:r>
            <w:r>
              <w:rPr>
                <w:rFonts w:hint="eastAsia" w:ascii="宋体" w:hAnsi="宋体" w:cs="宋体"/>
                <w:sz w:val="24"/>
              </w:rPr>
              <w:t>个村（社区）公共文化服务点（村级综合文化服务中心）正常开放；放映农村公益电影</w:t>
            </w:r>
            <w:r>
              <w:rPr>
                <w:rFonts w:ascii="宋体" w:hAnsi="宋体" w:cs="宋体"/>
                <w:sz w:val="24"/>
              </w:rPr>
              <w:t>1440</w:t>
            </w:r>
            <w:r>
              <w:rPr>
                <w:rFonts w:hint="eastAsia" w:ascii="宋体" w:hAnsi="宋体" w:cs="宋体"/>
                <w:sz w:val="24"/>
              </w:rPr>
              <w:t>场；全县不低于</w:t>
            </w:r>
            <w:r>
              <w:rPr>
                <w:rFonts w:ascii="宋体" w:hAnsi="宋体" w:cs="宋体"/>
                <w:sz w:val="24"/>
              </w:rPr>
              <w:t>40</w:t>
            </w:r>
            <w:r>
              <w:rPr>
                <w:rFonts w:hint="eastAsia" w:ascii="宋体" w:hAnsi="宋体" w:cs="宋体"/>
                <w:sz w:val="24"/>
              </w:rPr>
              <w:t>万人次免费享受农家（社区）书屋图书借阅、科技（文艺）培训、文化产业、农村公益电影放映、广播电视正常运行、文体活动等多项公共文化服务。</w:t>
            </w:r>
            <w:r>
              <w:rPr>
                <w:rFonts w:ascii="宋体" w:hAnsi="宋体" w:cs="宋体"/>
                <w:sz w:val="24"/>
              </w:rPr>
              <w:t xml:space="preserve">                                                                                                                                 </w:t>
            </w:r>
          </w:p>
        </w:tc>
      </w:tr>
      <w:tr>
        <w:tblPrEx>
          <w:tblLayout w:type="fixed"/>
          <w:tblCellMar>
            <w:top w:w="0" w:type="dxa"/>
            <w:left w:w="108" w:type="dxa"/>
            <w:bottom w:w="0" w:type="dxa"/>
            <w:right w:w="108" w:type="dxa"/>
          </w:tblCellMar>
        </w:tblPrEx>
        <w:trPr>
          <w:trHeight w:val="693" w:hRule="atLeast"/>
        </w:trPr>
        <w:tc>
          <w:tcPr>
            <w:tcW w:w="202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年度绩效指标完成情况</w:t>
            </w:r>
          </w:p>
        </w:tc>
        <w:tc>
          <w:tcPr>
            <w:tcW w:w="1170"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一级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16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二级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143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kern w:val="0"/>
                <w:sz w:val="24"/>
              </w:rPr>
            </w:pPr>
            <w:r>
              <w:rPr>
                <w:rFonts w:hint="eastAsia" w:ascii="宋体" w:hAnsi="宋体" w:cs="仿宋_GB2312"/>
                <w:kern w:val="0"/>
                <w:sz w:val="24"/>
              </w:rPr>
              <w:t>三级</w:t>
            </w:r>
          </w:p>
          <w:p>
            <w:pPr>
              <w:widowControl/>
              <w:spacing w:line="320" w:lineRule="exact"/>
              <w:jc w:val="center"/>
              <w:textAlignment w:val="center"/>
              <w:rPr>
                <w:rFonts w:ascii="宋体" w:cs="仿宋_GB2312"/>
                <w:sz w:val="24"/>
              </w:rPr>
            </w:pPr>
            <w:r>
              <w:rPr>
                <w:rFonts w:hint="eastAsia" w:ascii="宋体" w:hAnsi="宋体" w:cs="仿宋_GB2312"/>
                <w:kern w:val="0"/>
                <w:sz w:val="24"/>
              </w:rPr>
              <w:t>指标</w:t>
            </w:r>
          </w:p>
        </w:tc>
        <w:tc>
          <w:tcPr>
            <w:tcW w:w="168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预期指标值</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cs="仿宋_GB2312"/>
                <w:sz w:val="24"/>
              </w:rPr>
            </w:pPr>
            <w:r>
              <w:rPr>
                <w:rFonts w:hint="eastAsia" w:ascii="宋体" w:hAnsi="宋体" w:cs="仿宋_GB2312"/>
                <w:kern w:val="0"/>
                <w:sz w:val="24"/>
              </w:rPr>
              <w:t>实际完成指标值</w:t>
            </w:r>
          </w:p>
        </w:tc>
      </w:tr>
      <w:tr>
        <w:tblPrEx>
          <w:tblLayout w:type="fixed"/>
          <w:tblCellMar>
            <w:top w:w="0" w:type="dxa"/>
            <w:left w:w="108" w:type="dxa"/>
            <w:bottom w:w="0" w:type="dxa"/>
            <w:right w:w="108" w:type="dxa"/>
          </w:tblCellMar>
        </w:tblPrEx>
        <w:trPr>
          <w:trHeight w:val="415" w:hRule="atLeast"/>
        </w:trPr>
        <w:tc>
          <w:tcPr>
            <w:tcW w:w="2025"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17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cs="仿宋_GB2312"/>
                <w:kern w:val="0"/>
                <w:sz w:val="24"/>
              </w:rPr>
            </w:pPr>
            <w:r>
              <w:rPr>
                <w:rFonts w:hint="eastAsia" w:ascii="宋体" w:hAnsi="宋体" w:cs="仿宋_GB2312"/>
                <w:kern w:val="0"/>
                <w:sz w:val="24"/>
              </w:rPr>
              <w:t>完成</w:t>
            </w:r>
          </w:p>
          <w:p>
            <w:pPr>
              <w:widowControl/>
              <w:spacing w:line="320" w:lineRule="exact"/>
              <w:jc w:val="center"/>
              <w:textAlignment w:val="bottom"/>
              <w:rPr>
                <w:rFonts w:ascii="宋体" w:cs="仿宋_GB2312"/>
                <w:sz w:val="24"/>
              </w:rPr>
            </w:pPr>
            <w:r>
              <w:rPr>
                <w:rFonts w:hint="eastAsia" w:ascii="宋体" w:hAnsi="宋体" w:cs="仿宋_GB2312"/>
                <w:kern w:val="0"/>
                <w:sz w:val="24"/>
              </w:rPr>
              <w:t>指标</w:t>
            </w: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数量指标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乡镇公共文化服务体系建设</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12</w:t>
            </w:r>
            <w:r>
              <w:rPr>
                <w:rFonts w:hint="eastAsia" w:ascii="宋体" w:hAnsi="宋体" w:cs="仿宋_GB2312"/>
                <w:sz w:val="24"/>
              </w:rPr>
              <w:t>个乡镇</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12</w:t>
            </w:r>
            <w:r>
              <w:rPr>
                <w:rFonts w:hint="eastAsia" w:ascii="宋体" w:hAnsi="宋体" w:cs="仿宋_GB2312"/>
                <w:sz w:val="24"/>
              </w:rPr>
              <w:t>个乡镇</w:t>
            </w:r>
          </w:p>
        </w:tc>
      </w:tr>
      <w:tr>
        <w:tblPrEx>
          <w:tblLayout w:type="fixed"/>
          <w:tblCellMar>
            <w:top w:w="0" w:type="dxa"/>
            <w:left w:w="108" w:type="dxa"/>
            <w:bottom w:w="0" w:type="dxa"/>
            <w:right w:w="108" w:type="dxa"/>
          </w:tblCellMar>
        </w:tblPrEx>
        <w:trPr>
          <w:trHeight w:val="572" w:hRule="atLeast"/>
        </w:trPr>
        <w:tc>
          <w:tcPr>
            <w:tcW w:w="2025"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17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质量指标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开展公共文化活动</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优秀</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优秀</w:t>
            </w:r>
          </w:p>
        </w:tc>
      </w:tr>
      <w:tr>
        <w:tblPrEx>
          <w:tblLayout w:type="fixed"/>
          <w:tblCellMar>
            <w:top w:w="0" w:type="dxa"/>
            <w:left w:w="108" w:type="dxa"/>
            <w:bottom w:w="0" w:type="dxa"/>
            <w:right w:w="108" w:type="dxa"/>
          </w:tblCellMar>
        </w:tblPrEx>
        <w:trPr>
          <w:trHeight w:val="415" w:hRule="atLeast"/>
        </w:trPr>
        <w:tc>
          <w:tcPr>
            <w:tcW w:w="2025"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17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时效指标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项目实施时间</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1</w:t>
            </w:r>
            <w:r>
              <w:rPr>
                <w:rFonts w:hint="eastAsia" w:ascii="宋体" w:hAnsi="宋体" w:cs="仿宋_GB2312"/>
                <w:sz w:val="24"/>
              </w:rPr>
              <w:t>月</w:t>
            </w:r>
            <w:r>
              <w:rPr>
                <w:rFonts w:ascii="宋体" w:hAnsi="宋体" w:cs="仿宋_GB2312"/>
                <w:sz w:val="24"/>
              </w:rPr>
              <w:t>-12</w:t>
            </w:r>
            <w:r>
              <w:rPr>
                <w:rFonts w:hint="eastAsia" w:ascii="宋体" w:hAnsi="宋体" w:cs="仿宋_GB2312"/>
                <w:sz w:val="24"/>
              </w:rPr>
              <w:t>月</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1</w:t>
            </w:r>
            <w:r>
              <w:rPr>
                <w:rFonts w:hint="eastAsia" w:ascii="宋体" w:hAnsi="宋体" w:cs="仿宋_GB2312"/>
                <w:sz w:val="24"/>
              </w:rPr>
              <w:t>月</w:t>
            </w:r>
            <w:r>
              <w:rPr>
                <w:rFonts w:ascii="宋体" w:hAnsi="宋体" w:cs="仿宋_GB2312"/>
                <w:sz w:val="24"/>
              </w:rPr>
              <w:t>-12</w:t>
            </w:r>
            <w:r>
              <w:rPr>
                <w:rFonts w:hint="eastAsia" w:ascii="宋体" w:hAnsi="宋体" w:cs="仿宋_GB2312"/>
                <w:sz w:val="24"/>
              </w:rPr>
              <w:t>月</w:t>
            </w:r>
          </w:p>
        </w:tc>
      </w:tr>
      <w:tr>
        <w:tblPrEx>
          <w:tblLayout w:type="fixed"/>
          <w:tblCellMar>
            <w:top w:w="0" w:type="dxa"/>
            <w:left w:w="108" w:type="dxa"/>
            <w:bottom w:w="0" w:type="dxa"/>
            <w:right w:w="108" w:type="dxa"/>
          </w:tblCellMar>
        </w:tblPrEx>
        <w:trPr>
          <w:trHeight w:val="480" w:hRule="atLeast"/>
        </w:trPr>
        <w:tc>
          <w:tcPr>
            <w:tcW w:w="2025"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17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成本指标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公共文化服务体系建设</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189.28</w:t>
            </w:r>
            <w:r>
              <w:rPr>
                <w:rFonts w:hint="eastAsia" w:ascii="宋体" w:hAnsi="宋体" w:cs="仿宋_GB2312"/>
                <w:sz w:val="24"/>
              </w:rPr>
              <w:t>万元</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ascii="宋体" w:hAnsi="宋体" w:cs="仿宋_GB2312"/>
                <w:sz w:val="24"/>
              </w:rPr>
              <w:t>182.56</w:t>
            </w:r>
            <w:r>
              <w:rPr>
                <w:rFonts w:hint="eastAsia" w:ascii="宋体" w:hAnsi="宋体" w:cs="仿宋_GB2312"/>
                <w:sz w:val="24"/>
              </w:rPr>
              <w:t>万元</w:t>
            </w:r>
          </w:p>
        </w:tc>
      </w:tr>
      <w:tr>
        <w:tblPrEx>
          <w:tblLayout w:type="fixed"/>
          <w:tblCellMar>
            <w:top w:w="0" w:type="dxa"/>
            <w:left w:w="108" w:type="dxa"/>
            <w:bottom w:w="0" w:type="dxa"/>
            <w:right w:w="108" w:type="dxa"/>
          </w:tblCellMar>
        </w:tblPrEx>
        <w:trPr>
          <w:trHeight w:val="480" w:hRule="atLeast"/>
        </w:trPr>
        <w:tc>
          <w:tcPr>
            <w:tcW w:w="2025"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17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cs="仿宋_GB2312"/>
                <w:sz w:val="24"/>
              </w:rPr>
            </w:pPr>
            <w:r>
              <w:rPr>
                <w:rFonts w:hint="eastAsia" w:ascii="宋体" w:hAnsi="宋体" w:cs="仿宋_GB2312"/>
                <w:kern w:val="0"/>
                <w:sz w:val="24"/>
              </w:rPr>
              <w:t>效益</w:t>
            </w:r>
            <w:r>
              <w:rPr>
                <w:rFonts w:ascii="宋体" w:cs="仿宋_GB2312"/>
                <w:kern w:val="0"/>
                <w:sz w:val="24"/>
              </w:rPr>
              <w:br w:type="textWrapping"/>
            </w:r>
            <w:r>
              <w:rPr>
                <w:rFonts w:hint="eastAsia" w:ascii="宋体" w:hAnsi="宋体" w:cs="仿宋_GB2312"/>
                <w:kern w:val="0"/>
                <w:sz w:val="24"/>
              </w:rPr>
              <w:t>指标</w:t>
            </w: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经济效益</w:t>
            </w:r>
            <w:r>
              <w:rPr>
                <w:rFonts w:ascii="宋体" w:hAnsi="宋体" w:cs="仿宋_GB2312"/>
                <w:kern w:val="0"/>
                <w:sz w:val="24"/>
              </w:rPr>
              <w:t xml:space="preserve">  </w:t>
            </w:r>
            <w:r>
              <w:rPr>
                <w:rFonts w:hint="eastAsia" w:ascii="宋体" w:hAnsi="宋体" w:cs="仿宋_GB2312"/>
                <w:kern w:val="0"/>
                <w:sz w:val="24"/>
              </w:rPr>
              <w:t>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公共文化服务体系建设</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促进居民收入稳步增长</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促进居民收入稳步增长</w:t>
            </w:r>
          </w:p>
        </w:tc>
      </w:tr>
      <w:tr>
        <w:tblPrEx>
          <w:tblLayout w:type="fixed"/>
          <w:tblCellMar>
            <w:top w:w="0" w:type="dxa"/>
            <w:left w:w="108" w:type="dxa"/>
            <w:bottom w:w="0" w:type="dxa"/>
            <w:right w:w="108" w:type="dxa"/>
          </w:tblCellMar>
        </w:tblPrEx>
        <w:trPr>
          <w:trHeight w:val="1053" w:hRule="atLeast"/>
        </w:trPr>
        <w:tc>
          <w:tcPr>
            <w:tcW w:w="2025"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17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社会效益</w:t>
            </w:r>
            <w:r>
              <w:rPr>
                <w:rFonts w:ascii="宋体" w:hAnsi="宋体" w:cs="仿宋_GB2312"/>
                <w:kern w:val="0"/>
                <w:sz w:val="24"/>
              </w:rPr>
              <w:t xml:space="preserve">  </w:t>
            </w:r>
            <w:r>
              <w:rPr>
                <w:rFonts w:hint="eastAsia" w:ascii="宋体" w:hAnsi="宋体" w:cs="仿宋_GB2312"/>
                <w:kern w:val="0"/>
                <w:sz w:val="24"/>
              </w:rPr>
              <w:t>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公共文化服务体系建设</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为人民群众提供更好的公共文化服务</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textAlignment w:val="bottom"/>
              <w:rPr>
                <w:rFonts w:ascii="宋体" w:cs="仿宋_GB2312"/>
                <w:sz w:val="24"/>
              </w:rPr>
            </w:pPr>
            <w:r>
              <w:rPr>
                <w:rFonts w:hint="eastAsia" w:ascii="宋体" w:hAnsi="宋体" w:cs="仿宋_GB2312"/>
                <w:sz w:val="24"/>
              </w:rPr>
              <w:t>为人民群众提供更好的公共文化服务</w:t>
            </w:r>
          </w:p>
        </w:tc>
      </w:tr>
      <w:tr>
        <w:tblPrEx>
          <w:tblLayout w:type="fixed"/>
          <w:tblCellMar>
            <w:top w:w="0" w:type="dxa"/>
            <w:left w:w="108" w:type="dxa"/>
            <w:bottom w:w="0" w:type="dxa"/>
            <w:right w:w="108" w:type="dxa"/>
          </w:tblCellMar>
        </w:tblPrEx>
        <w:trPr>
          <w:trHeight w:val="812" w:hRule="atLeast"/>
        </w:trPr>
        <w:tc>
          <w:tcPr>
            <w:tcW w:w="2025" w:type="dxa"/>
            <w:vMerge w:val="continue"/>
            <w:tcBorders>
              <w:left w:val="single" w:color="000000" w:sz="4" w:space="0"/>
              <w:right w:val="single" w:color="000000" w:sz="4" w:space="0"/>
            </w:tcBorders>
            <w:vAlign w:val="center"/>
          </w:tcPr>
          <w:p>
            <w:pPr>
              <w:spacing w:line="320" w:lineRule="exact"/>
              <w:jc w:val="center"/>
              <w:rPr>
                <w:rFonts w:ascii="宋体" w:cs="仿宋_GB2312"/>
                <w:sz w:val="24"/>
              </w:rPr>
            </w:pPr>
          </w:p>
        </w:tc>
        <w:tc>
          <w:tcPr>
            <w:tcW w:w="117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cs="仿宋_GB2312"/>
                <w:sz w:val="24"/>
              </w:rPr>
            </w:pP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可持续影响</w:t>
            </w:r>
            <w:r>
              <w:rPr>
                <w:rFonts w:ascii="宋体" w:hAnsi="宋体" w:cs="仿宋_GB2312"/>
                <w:kern w:val="0"/>
                <w:sz w:val="24"/>
              </w:rPr>
              <w:t xml:space="preserve"> </w:t>
            </w:r>
            <w:r>
              <w:rPr>
                <w:rFonts w:hint="eastAsia" w:ascii="宋体" w:hAnsi="宋体" w:cs="仿宋_GB2312"/>
                <w:kern w:val="0"/>
                <w:sz w:val="24"/>
              </w:rPr>
              <w:t>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传承优秀文化、本土文化</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长期</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长期</w:t>
            </w:r>
          </w:p>
        </w:tc>
      </w:tr>
      <w:tr>
        <w:tblPrEx>
          <w:tblLayout w:type="fixed"/>
          <w:tblCellMar>
            <w:top w:w="0" w:type="dxa"/>
            <w:left w:w="108" w:type="dxa"/>
            <w:bottom w:w="0" w:type="dxa"/>
            <w:right w:w="108" w:type="dxa"/>
          </w:tblCellMar>
        </w:tblPrEx>
        <w:trPr>
          <w:trHeight w:val="530" w:hRule="atLeast"/>
        </w:trPr>
        <w:tc>
          <w:tcPr>
            <w:tcW w:w="2025"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宋体" w:cs="仿宋_GB2312"/>
                <w:sz w:val="24"/>
              </w:rPr>
            </w:pPr>
          </w:p>
        </w:tc>
        <w:tc>
          <w:tcPr>
            <w:tcW w:w="11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kern w:val="0"/>
                <w:sz w:val="24"/>
              </w:rPr>
              <w:t>满意</w:t>
            </w:r>
            <w:r>
              <w:rPr>
                <w:rFonts w:ascii="宋体" w:cs="仿宋_GB2312"/>
                <w:kern w:val="0"/>
                <w:sz w:val="24"/>
              </w:rPr>
              <w:br w:type="textWrapping"/>
            </w:r>
            <w:r>
              <w:rPr>
                <w:rFonts w:hint="eastAsia" w:ascii="宋体" w:hAnsi="宋体" w:cs="仿宋_GB2312"/>
                <w:kern w:val="0"/>
                <w:sz w:val="24"/>
              </w:rPr>
              <w:t>度指标</w:t>
            </w:r>
          </w:p>
        </w:tc>
        <w:tc>
          <w:tcPr>
            <w:tcW w:w="167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kern w:val="0"/>
                <w:sz w:val="24"/>
              </w:rPr>
            </w:pPr>
            <w:r>
              <w:rPr>
                <w:rFonts w:hint="eastAsia" w:ascii="宋体" w:hAnsi="宋体" w:cs="仿宋_GB2312"/>
                <w:kern w:val="0"/>
                <w:sz w:val="24"/>
              </w:rPr>
              <w:t>满意度</w:t>
            </w:r>
          </w:p>
          <w:p>
            <w:pPr>
              <w:widowControl/>
              <w:spacing w:line="320" w:lineRule="exact"/>
              <w:jc w:val="center"/>
              <w:textAlignment w:val="bottom"/>
              <w:rPr>
                <w:rFonts w:ascii="宋体" w:cs="仿宋_GB2312"/>
                <w:sz w:val="24"/>
              </w:rPr>
            </w:pPr>
            <w:r>
              <w:rPr>
                <w:rFonts w:hint="eastAsia" w:ascii="宋体" w:hAnsi="宋体" w:cs="仿宋_GB2312"/>
                <w:kern w:val="0"/>
                <w:sz w:val="24"/>
              </w:rPr>
              <w:t>指标</w:t>
            </w:r>
          </w:p>
        </w:tc>
        <w:tc>
          <w:tcPr>
            <w:tcW w:w="1433"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cs="仿宋_GB2312"/>
                <w:sz w:val="24"/>
              </w:rPr>
            </w:pPr>
            <w:r>
              <w:rPr>
                <w:rFonts w:hint="eastAsia" w:ascii="宋体" w:hAnsi="宋体" w:cs="仿宋_GB2312"/>
                <w:sz w:val="24"/>
              </w:rPr>
              <w:t>群众对公共文化服务体系建设的满意度</w:t>
            </w:r>
          </w:p>
        </w:tc>
        <w:tc>
          <w:tcPr>
            <w:tcW w:w="1680" w:type="dxa"/>
            <w:gridSpan w:val="2"/>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仿宋_GB2312"/>
                <w:sz w:val="24"/>
              </w:rPr>
            </w:pPr>
            <w:r>
              <w:rPr>
                <w:rFonts w:hint="eastAsia" w:ascii="宋体" w:hAnsi="宋体" w:cs="仿宋_GB2312"/>
                <w:sz w:val="24"/>
              </w:rPr>
              <w:t>大于</w:t>
            </w:r>
            <w:r>
              <w:rPr>
                <w:rFonts w:ascii="宋体" w:hAnsi="宋体" w:cs="仿宋_GB2312"/>
                <w:sz w:val="24"/>
              </w:rPr>
              <w:t>90%</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仿宋_GB2312"/>
                <w:sz w:val="24"/>
              </w:rPr>
            </w:pPr>
            <w:r>
              <w:rPr>
                <w:rFonts w:hint="eastAsia" w:ascii="宋体" w:hAnsi="宋体" w:cs="仿宋_GB2312"/>
                <w:sz w:val="24"/>
              </w:rPr>
              <w:t>大于</w:t>
            </w:r>
            <w:r>
              <w:rPr>
                <w:rFonts w:ascii="宋体" w:hAnsi="宋体" w:cs="仿宋_GB2312"/>
                <w:sz w:val="24"/>
              </w:rPr>
              <w:t>90%</w:t>
            </w:r>
          </w:p>
        </w:tc>
      </w:tr>
    </w:tbl>
    <w:p>
      <w:pPr>
        <w:spacing w:line="600" w:lineRule="exact"/>
        <w:ind w:firstLine="1760" w:firstLineChars="400"/>
        <w:jc w:val="left"/>
        <w:outlineLvl w:val="0"/>
        <w:rPr>
          <w:rFonts w:hint="eastAsia" w:ascii="黑体" w:hAnsi="黑体" w:eastAsia="黑体"/>
          <w:color w:val="000000"/>
          <w:sz w:val="44"/>
          <w:szCs w:val="44"/>
        </w:rPr>
      </w:pPr>
      <w:bookmarkStart w:id="97" w:name="_Toc52180099"/>
      <w:bookmarkStart w:id="98" w:name="_Toc15396618"/>
    </w:p>
    <w:p>
      <w:pPr>
        <w:spacing w:line="600" w:lineRule="exact"/>
        <w:ind w:firstLine="2200" w:firstLineChars="500"/>
        <w:jc w:val="left"/>
        <w:outlineLvl w:val="0"/>
        <w:rPr>
          <w:rStyle w:val="20"/>
          <w:rFonts w:hint="eastAsia" w:ascii="黑体" w:hAnsi="黑体" w:eastAsia="黑体"/>
          <w:b w:val="0"/>
        </w:rPr>
      </w:pPr>
      <w:r>
        <w:rPr>
          <w:rFonts w:hint="eastAsia" w:ascii="黑体" w:hAnsi="黑体" w:eastAsia="黑体"/>
          <w:color w:val="000000"/>
          <w:sz w:val="44"/>
          <w:szCs w:val="44"/>
        </w:rPr>
        <w:t>第</w:t>
      </w:r>
      <w:r>
        <w:rPr>
          <w:rStyle w:val="20"/>
          <w:rFonts w:hint="eastAsia" w:ascii="黑体" w:hAnsi="黑体" w:eastAsia="黑体"/>
          <w:b w:val="0"/>
        </w:rPr>
        <w:t>五部分</w:t>
      </w:r>
      <w:r>
        <w:rPr>
          <w:rStyle w:val="20"/>
          <w:rFonts w:hint="eastAsia" w:ascii="黑体" w:hAnsi="黑体" w:eastAsia="黑体"/>
          <w:b w:val="0"/>
          <w:lang w:val="en-US" w:eastAsia="zh-CN"/>
        </w:rPr>
        <w:t xml:space="preserve">  </w:t>
      </w:r>
      <w:r>
        <w:rPr>
          <w:rStyle w:val="20"/>
          <w:rFonts w:hint="eastAsia" w:ascii="黑体" w:hAnsi="黑体" w:eastAsia="黑体"/>
          <w:b w:val="0"/>
        </w:rPr>
        <w:t>附表</w:t>
      </w:r>
      <w:bookmarkEnd w:id="96"/>
      <w:bookmarkEnd w:id="97"/>
      <w:bookmarkEnd w:id="98"/>
      <w:bookmarkStart w:id="99" w:name="_Toc52180100"/>
      <w:bookmarkStart w:id="100" w:name="_Toc15396619"/>
    </w:p>
    <w:p>
      <w:pPr>
        <w:spacing w:line="600" w:lineRule="exact"/>
        <w:jc w:val="left"/>
        <w:outlineLvl w:val="0"/>
        <w:rPr>
          <w:rFonts w:ascii="仿宋" w:hAnsi="仿宋" w:eastAsia="仿宋"/>
          <w:color w:val="000000"/>
        </w:rPr>
      </w:pPr>
      <w:r>
        <w:rPr>
          <w:rFonts w:hint="eastAsia" w:ascii="仿宋" w:hAnsi="仿宋" w:eastAsia="仿宋"/>
          <w:b w:val="0"/>
          <w:color w:val="000000"/>
        </w:rPr>
        <w:t>一、</w:t>
      </w:r>
      <w:r>
        <w:rPr>
          <w:rStyle w:val="21"/>
          <w:rFonts w:hint="eastAsia" w:ascii="仿宋" w:hAnsi="仿宋" w:eastAsia="仿宋"/>
          <w:b w:val="0"/>
          <w:bCs w:val="0"/>
        </w:rPr>
        <w:t>收入支出决算总表</w:t>
      </w:r>
      <w:bookmarkEnd w:id="99"/>
      <w:bookmarkEnd w:id="100"/>
    </w:p>
    <w:p>
      <w:pPr>
        <w:pStyle w:val="4"/>
        <w:rPr>
          <w:rFonts w:ascii="仿宋" w:hAnsi="仿宋" w:eastAsia="仿宋"/>
          <w:color w:val="000000"/>
        </w:rPr>
      </w:pPr>
      <w:bookmarkStart w:id="101" w:name="_Toc52180101"/>
      <w:bookmarkStart w:id="102" w:name="_Toc15396620"/>
      <w:r>
        <w:rPr>
          <w:rFonts w:hint="eastAsia" w:ascii="仿宋" w:hAnsi="仿宋" w:eastAsia="仿宋"/>
          <w:b w:val="0"/>
          <w:color w:val="000000"/>
        </w:rPr>
        <w:t>二、收</w:t>
      </w:r>
      <w:r>
        <w:rPr>
          <w:rStyle w:val="21"/>
          <w:rFonts w:hint="eastAsia" w:ascii="仿宋" w:hAnsi="仿宋" w:eastAsia="仿宋"/>
          <w:b w:val="0"/>
          <w:bCs w:val="0"/>
        </w:rPr>
        <w:t>入决算表</w:t>
      </w:r>
      <w:bookmarkEnd w:id="101"/>
      <w:bookmarkEnd w:id="102"/>
    </w:p>
    <w:p>
      <w:pPr>
        <w:pStyle w:val="4"/>
        <w:rPr>
          <w:rFonts w:ascii="仿宋" w:hAnsi="仿宋" w:eastAsia="仿宋"/>
          <w:color w:val="000000"/>
        </w:rPr>
      </w:pPr>
      <w:bookmarkStart w:id="103" w:name="_Toc52180102"/>
      <w:bookmarkStart w:id="104" w:name="_Toc15396621"/>
      <w:r>
        <w:rPr>
          <w:rStyle w:val="21"/>
          <w:rFonts w:hint="eastAsia" w:ascii="仿宋" w:hAnsi="仿宋" w:eastAsia="仿宋"/>
          <w:b w:val="0"/>
          <w:bCs w:val="0"/>
        </w:rPr>
        <w:t>三、</w:t>
      </w:r>
      <w:r>
        <w:rPr>
          <w:rFonts w:hint="eastAsia" w:ascii="仿宋" w:hAnsi="仿宋" w:eastAsia="仿宋"/>
          <w:b w:val="0"/>
          <w:color w:val="000000"/>
        </w:rPr>
        <w:t>支</w:t>
      </w:r>
      <w:r>
        <w:rPr>
          <w:rStyle w:val="21"/>
          <w:rFonts w:hint="eastAsia" w:ascii="仿宋" w:hAnsi="仿宋" w:eastAsia="仿宋"/>
          <w:b w:val="0"/>
          <w:bCs w:val="0"/>
        </w:rPr>
        <w:t>出决算表</w:t>
      </w:r>
      <w:bookmarkEnd w:id="103"/>
      <w:bookmarkEnd w:id="104"/>
    </w:p>
    <w:p>
      <w:pPr>
        <w:pStyle w:val="4"/>
        <w:rPr>
          <w:rFonts w:ascii="仿宋" w:hAnsi="仿宋" w:eastAsia="仿宋"/>
          <w:b w:val="0"/>
          <w:color w:val="000000"/>
        </w:rPr>
      </w:pPr>
      <w:bookmarkStart w:id="105" w:name="_Toc52180103"/>
      <w:bookmarkStart w:id="106" w:name="_Toc15396622"/>
      <w:r>
        <w:rPr>
          <w:rStyle w:val="21"/>
          <w:rFonts w:hint="eastAsia" w:ascii="仿宋" w:hAnsi="仿宋" w:eastAsia="仿宋"/>
          <w:b w:val="0"/>
          <w:bCs w:val="0"/>
        </w:rPr>
        <w:t>四、</w:t>
      </w:r>
      <w:r>
        <w:rPr>
          <w:rFonts w:hint="eastAsia" w:ascii="仿宋" w:hAnsi="仿宋" w:eastAsia="仿宋"/>
          <w:b w:val="0"/>
          <w:color w:val="000000"/>
        </w:rPr>
        <w:t>财</w:t>
      </w:r>
      <w:r>
        <w:rPr>
          <w:rStyle w:val="21"/>
          <w:rFonts w:hint="eastAsia" w:ascii="仿宋" w:hAnsi="仿宋" w:eastAsia="仿宋"/>
          <w:b w:val="0"/>
          <w:bCs w:val="0"/>
        </w:rPr>
        <w:t>政拨款收入支出决算总表</w:t>
      </w:r>
      <w:bookmarkEnd w:id="105"/>
      <w:bookmarkEnd w:id="106"/>
    </w:p>
    <w:p>
      <w:pPr>
        <w:pStyle w:val="4"/>
        <w:rPr>
          <w:rStyle w:val="21"/>
          <w:rFonts w:ascii="仿宋" w:hAnsi="仿宋" w:eastAsia="仿宋"/>
          <w:b w:val="0"/>
          <w:bCs w:val="0"/>
        </w:rPr>
      </w:pPr>
      <w:bookmarkStart w:id="107" w:name="_Toc15396623"/>
      <w:bookmarkStart w:id="108" w:name="_Toc52180104"/>
      <w:r>
        <w:rPr>
          <w:rStyle w:val="21"/>
          <w:rFonts w:hint="eastAsia" w:ascii="仿宋" w:hAnsi="仿宋" w:eastAsia="仿宋"/>
          <w:b w:val="0"/>
          <w:bCs w:val="0"/>
        </w:rPr>
        <w:t>五、</w:t>
      </w:r>
      <w:r>
        <w:rPr>
          <w:rFonts w:hint="eastAsia" w:ascii="仿宋" w:hAnsi="仿宋" w:eastAsia="仿宋"/>
          <w:b w:val="0"/>
          <w:color w:val="000000"/>
        </w:rPr>
        <w:t>财</w:t>
      </w:r>
      <w:r>
        <w:rPr>
          <w:rStyle w:val="21"/>
          <w:rFonts w:hint="eastAsia" w:ascii="仿宋" w:hAnsi="仿宋" w:eastAsia="仿宋"/>
          <w:b w:val="0"/>
          <w:bCs w:val="0"/>
        </w:rPr>
        <w:t>政拨款支出决算明细表</w:t>
      </w:r>
      <w:bookmarkEnd w:id="107"/>
      <w:bookmarkEnd w:id="108"/>
      <w:bookmarkStart w:id="109" w:name="_Toc15396624"/>
    </w:p>
    <w:p>
      <w:pPr>
        <w:pStyle w:val="4"/>
        <w:rPr>
          <w:rFonts w:ascii="仿宋" w:hAnsi="仿宋" w:eastAsia="仿宋"/>
          <w:color w:val="000000"/>
        </w:rPr>
      </w:pPr>
      <w:bookmarkStart w:id="110" w:name="_Toc52180105"/>
      <w:r>
        <w:rPr>
          <w:rStyle w:val="21"/>
          <w:rFonts w:hint="eastAsia" w:ascii="仿宋" w:hAnsi="仿宋" w:eastAsia="仿宋"/>
          <w:b w:val="0"/>
          <w:bCs w:val="0"/>
        </w:rPr>
        <w:t>六、</w:t>
      </w:r>
      <w:r>
        <w:rPr>
          <w:rFonts w:hint="eastAsia" w:ascii="仿宋" w:hAnsi="仿宋" w:eastAsia="仿宋"/>
          <w:b w:val="0"/>
          <w:color w:val="000000"/>
        </w:rPr>
        <w:t>一</w:t>
      </w:r>
      <w:r>
        <w:rPr>
          <w:rStyle w:val="21"/>
          <w:rFonts w:hint="eastAsia" w:ascii="仿宋" w:hAnsi="仿宋" w:eastAsia="仿宋"/>
          <w:b w:val="0"/>
          <w:bCs w:val="0"/>
        </w:rPr>
        <w:t>般公共预算财政拨款支出决算表</w:t>
      </w:r>
      <w:bookmarkEnd w:id="109"/>
      <w:bookmarkEnd w:id="110"/>
    </w:p>
    <w:p>
      <w:pPr>
        <w:pStyle w:val="4"/>
        <w:rPr>
          <w:rFonts w:ascii="仿宋" w:hAnsi="仿宋" w:eastAsia="仿宋"/>
          <w:color w:val="000000"/>
        </w:rPr>
      </w:pPr>
      <w:bookmarkStart w:id="111" w:name="_Toc52180106"/>
      <w:bookmarkStart w:id="112" w:name="_Toc15396625"/>
      <w:r>
        <w:rPr>
          <w:rStyle w:val="21"/>
          <w:rFonts w:hint="eastAsia" w:ascii="仿宋" w:hAnsi="仿宋" w:eastAsia="仿宋"/>
          <w:b w:val="0"/>
          <w:bCs w:val="0"/>
        </w:rPr>
        <w:t>七、</w:t>
      </w:r>
      <w:r>
        <w:rPr>
          <w:rFonts w:hint="eastAsia" w:ascii="仿宋" w:hAnsi="仿宋" w:eastAsia="仿宋"/>
          <w:b w:val="0"/>
          <w:color w:val="000000"/>
        </w:rPr>
        <w:t>一</w:t>
      </w:r>
      <w:r>
        <w:rPr>
          <w:rStyle w:val="21"/>
          <w:rFonts w:hint="eastAsia" w:ascii="仿宋" w:hAnsi="仿宋" w:eastAsia="仿宋"/>
          <w:b w:val="0"/>
          <w:bCs w:val="0"/>
        </w:rPr>
        <w:t>般公共预算财政拨款支出决算明细表</w:t>
      </w:r>
      <w:bookmarkEnd w:id="111"/>
      <w:bookmarkEnd w:id="112"/>
    </w:p>
    <w:p>
      <w:pPr>
        <w:pStyle w:val="4"/>
        <w:rPr>
          <w:rFonts w:ascii="仿宋" w:hAnsi="仿宋" w:eastAsia="仿宋"/>
          <w:color w:val="000000"/>
        </w:rPr>
      </w:pPr>
      <w:bookmarkStart w:id="113" w:name="_Toc52180107"/>
      <w:bookmarkStart w:id="114" w:name="_Toc15396626"/>
      <w:r>
        <w:rPr>
          <w:rStyle w:val="21"/>
          <w:rFonts w:hint="eastAsia" w:ascii="仿宋" w:hAnsi="仿宋" w:eastAsia="仿宋"/>
          <w:b w:val="0"/>
          <w:bCs w:val="0"/>
        </w:rPr>
        <w:t>八、</w:t>
      </w:r>
      <w:r>
        <w:rPr>
          <w:rFonts w:hint="eastAsia" w:ascii="仿宋" w:hAnsi="仿宋" w:eastAsia="仿宋"/>
          <w:b w:val="0"/>
          <w:color w:val="000000"/>
        </w:rPr>
        <w:t>一</w:t>
      </w:r>
      <w:r>
        <w:rPr>
          <w:rStyle w:val="21"/>
          <w:rFonts w:hint="eastAsia" w:ascii="仿宋" w:hAnsi="仿宋" w:eastAsia="仿宋"/>
          <w:b w:val="0"/>
          <w:bCs w:val="0"/>
        </w:rPr>
        <w:t>般公共预算财政拨款基本支出决算表</w:t>
      </w:r>
      <w:bookmarkEnd w:id="113"/>
      <w:bookmarkEnd w:id="114"/>
    </w:p>
    <w:p>
      <w:pPr>
        <w:pStyle w:val="4"/>
        <w:rPr>
          <w:rFonts w:ascii="仿宋" w:hAnsi="仿宋" w:eastAsia="仿宋"/>
          <w:color w:val="000000"/>
        </w:rPr>
      </w:pPr>
      <w:bookmarkStart w:id="115" w:name="_Toc52180108"/>
      <w:bookmarkStart w:id="116" w:name="_Toc15396627"/>
      <w:r>
        <w:rPr>
          <w:rStyle w:val="21"/>
          <w:rFonts w:hint="eastAsia" w:ascii="仿宋" w:hAnsi="仿宋" w:eastAsia="仿宋"/>
          <w:b w:val="0"/>
          <w:bCs w:val="0"/>
        </w:rPr>
        <w:t>九、</w:t>
      </w:r>
      <w:r>
        <w:rPr>
          <w:rFonts w:hint="eastAsia" w:ascii="仿宋" w:hAnsi="仿宋" w:eastAsia="仿宋"/>
          <w:b w:val="0"/>
          <w:color w:val="000000"/>
        </w:rPr>
        <w:t>一</w:t>
      </w:r>
      <w:r>
        <w:rPr>
          <w:rStyle w:val="21"/>
          <w:rFonts w:hint="eastAsia" w:ascii="仿宋" w:hAnsi="仿宋" w:eastAsia="仿宋"/>
          <w:b w:val="0"/>
          <w:bCs w:val="0"/>
        </w:rPr>
        <w:t>般公共预算财政拨款项目支出决算表</w:t>
      </w:r>
      <w:bookmarkEnd w:id="115"/>
      <w:bookmarkEnd w:id="116"/>
    </w:p>
    <w:p>
      <w:pPr>
        <w:pStyle w:val="4"/>
        <w:rPr>
          <w:rFonts w:ascii="仿宋" w:hAnsi="仿宋" w:eastAsia="仿宋"/>
          <w:color w:val="000000"/>
        </w:rPr>
      </w:pPr>
      <w:bookmarkStart w:id="117" w:name="_Toc15396628"/>
      <w:bookmarkStart w:id="118" w:name="_Toc52180109"/>
      <w:r>
        <w:rPr>
          <w:rStyle w:val="21"/>
          <w:rFonts w:hint="eastAsia" w:ascii="仿宋" w:hAnsi="仿宋" w:eastAsia="仿宋"/>
          <w:b w:val="0"/>
          <w:bCs w:val="0"/>
        </w:rPr>
        <w:t>十、</w:t>
      </w:r>
      <w:r>
        <w:rPr>
          <w:rFonts w:hint="eastAsia" w:ascii="仿宋" w:hAnsi="仿宋" w:eastAsia="仿宋"/>
          <w:b w:val="0"/>
          <w:color w:val="000000"/>
        </w:rPr>
        <w:t>一</w:t>
      </w:r>
      <w:r>
        <w:rPr>
          <w:rStyle w:val="21"/>
          <w:rFonts w:hint="eastAsia" w:ascii="仿宋" w:hAnsi="仿宋" w:eastAsia="仿宋"/>
          <w:b w:val="0"/>
          <w:bCs w:val="0"/>
        </w:rPr>
        <w:t>般公共预算财政拨款“三公”经费支出决算表</w:t>
      </w:r>
      <w:bookmarkEnd w:id="117"/>
      <w:bookmarkEnd w:id="118"/>
    </w:p>
    <w:p>
      <w:pPr>
        <w:pStyle w:val="4"/>
        <w:rPr>
          <w:rFonts w:ascii="仿宋" w:hAnsi="仿宋" w:eastAsia="仿宋"/>
          <w:color w:val="000000"/>
        </w:rPr>
      </w:pPr>
      <w:bookmarkStart w:id="119" w:name="_Toc52180110"/>
      <w:bookmarkStart w:id="120" w:name="_Toc15396629"/>
      <w:r>
        <w:rPr>
          <w:rStyle w:val="21"/>
          <w:rFonts w:hint="eastAsia" w:ascii="仿宋" w:hAnsi="仿宋" w:eastAsia="仿宋"/>
          <w:b w:val="0"/>
          <w:bCs w:val="0"/>
        </w:rPr>
        <w:t>十一、</w:t>
      </w:r>
      <w:r>
        <w:rPr>
          <w:rFonts w:hint="eastAsia" w:ascii="仿宋" w:hAnsi="仿宋" w:eastAsia="仿宋"/>
          <w:b w:val="0"/>
          <w:color w:val="000000"/>
        </w:rPr>
        <w:t>政</w:t>
      </w:r>
      <w:r>
        <w:rPr>
          <w:rStyle w:val="21"/>
          <w:rFonts w:hint="eastAsia" w:ascii="仿宋" w:hAnsi="仿宋" w:eastAsia="仿宋"/>
          <w:b w:val="0"/>
          <w:bCs w:val="0"/>
        </w:rPr>
        <w:t>府性基金预算财政拨款收入支出决算表</w:t>
      </w:r>
      <w:bookmarkEnd w:id="119"/>
      <w:bookmarkEnd w:id="120"/>
    </w:p>
    <w:p>
      <w:pPr>
        <w:pStyle w:val="4"/>
        <w:rPr>
          <w:rFonts w:ascii="仿宋" w:hAnsi="仿宋" w:eastAsia="仿宋"/>
          <w:color w:val="000000"/>
        </w:rPr>
      </w:pPr>
      <w:bookmarkStart w:id="121" w:name="_Toc52180111"/>
      <w:bookmarkStart w:id="122" w:name="_Toc15396630"/>
      <w:r>
        <w:rPr>
          <w:rStyle w:val="21"/>
          <w:rFonts w:hint="eastAsia" w:ascii="仿宋" w:hAnsi="仿宋" w:eastAsia="仿宋"/>
          <w:b w:val="0"/>
          <w:bCs w:val="0"/>
        </w:rPr>
        <w:t>十二、</w:t>
      </w:r>
      <w:r>
        <w:rPr>
          <w:rFonts w:hint="eastAsia" w:ascii="仿宋" w:hAnsi="仿宋" w:eastAsia="仿宋"/>
          <w:b w:val="0"/>
          <w:color w:val="000000"/>
        </w:rPr>
        <w:t>政</w:t>
      </w:r>
      <w:r>
        <w:rPr>
          <w:rStyle w:val="21"/>
          <w:rFonts w:hint="eastAsia" w:ascii="仿宋" w:hAnsi="仿宋" w:eastAsia="仿宋"/>
          <w:b w:val="0"/>
          <w:bCs w:val="0"/>
        </w:rPr>
        <w:t>府性基金预算财政拨款“三公”经费支出决算表</w:t>
      </w:r>
      <w:bookmarkEnd w:id="121"/>
      <w:bookmarkEnd w:id="122"/>
    </w:p>
    <w:p>
      <w:pPr>
        <w:pStyle w:val="4"/>
        <w:rPr>
          <w:rStyle w:val="21"/>
          <w:rFonts w:ascii="仿宋" w:hAnsi="仿宋" w:eastAsia="仿宋"/>
          <w:b w:val="0"/>
          <w:bCs w:val="0"/>
        </w:rPr>
      </w:pPr>
      <w:bookmarkStart w:id="123" w:name="_Toc52180112"/>
      <w:bookmarkStart w:id="124" w:name="_Toc15396631"/>
      <w:r>
        <w:rPr>
          <w:rStyle w:val="21"/>
          <w:rFonts w:hint="eastAsia" w:ascii="仿宋" w:hAnsi="仿宋" w:eastAsia="仿宋"/>
          <w:b w:val="0"/>
          <w:bCs w:val="0"/>
        </w:rPr>
        <w:t>十三、</w:t>
      </w:r>
      <w:r>
        <w:rPr>
          <w:rFonts w:hint="eastAsia" w:ascii="仿宋" w:hAnsi="仿宋" w:eastAsia="仿宋"/>
          <w:b w:val="0"/>
          <w:color w:val="000000"/>
        </w:rPr>
        <w:t>国</w:t>
      </w:r>
      <w:r>
        <w:rPr>
          <w:rStyle w:val="21"/>
          <w:rFonts w:hint="eastAsia" w:ascii="仿宋" w:hAnsi="仿宋" w:eastAsia="仿宋"/>
          <w:b w:val="0"/>
          <w:bCs w:val="0"/>
        </w:rPr>
        <w:t>有资本经营预算财政拨款收入支出决算表</w:t>
      </w:r>
      <w:bookmarkEnd w:id="123"/>
      <w:bookmarkEnd w:id="124"/>
    </w:p>
    <w:p>
      <w:pPr>
        <w:pStyle w:val="4"/>
        <w:rPr>
          <w:rStyle w:val="21"/>
          <w:rFonts w:ascii="仿宋" w:hAnsi="仿宋" w:eastAsia="仿宋"/>
          <w:b w:val="0"/>
          <w:bCs w:val="0"/>
        </w:rPr>
      </w:pPr>
      <w:r>
        <w:rPr>
          <w:rStyle w:val="21"/>
          <w:rFonts w:hint="eastAsia" w:ascii="仿宋" w:hAnsi="仿宋" w:eastAsia="仿宋"/>
          <w:b w:val="0"/>
          <w:bCs w:val="0"/>
        </w:rPr>
        <w:t>十四、</w:t>
      </w:r>
      <w:r>
        <w:rPr>
          <w:rFonts w:hint="eastAsia" w:ascii="仿宋" w:hAnsi="仿宋" w:eastAsia="仿宋"/>
          <w:b w:val="0"/>
          <w:color w:val="000000"/>
        </w:rPr>
        <w:t>国</w:t>
      </w:r>
      <w:r>
        <w:rPr>
          <w:rStyle w:val="21"/>
          <w:rFonts w:hint="eastAsia" w:ascii="仿宋" w:hAnsi="仿宋" w:eastAsia="仿宋"/>
          <w:b w:val="0"/>
          <w:bCs w:val="0"/>
        </w:rPr>
        <w:t>有资本经营预算财政拨款支出决算表</w:t>
      </w:r>
    </w:p>
    <w:p/>
    <w:p/>
    <w:sectPr>
      <w:headerReference r:id="rId3" w:type="default"/>
      <w:footerReference r:id="rId4" w:type="default"/>
      <w:footerReference r:id="rId5"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rPr>
      <w:fldChar w:fldCharType="begin"/>
    </w:r>
    <w:r>
      <w:rPr>
        <w:rStyle w:val="17"/>
      </w:rPr>
      <w:instrText xml:space="preserve">PAGE  </w:instrText>
    </w:r>
    <w:r>
      <w:rPr>
        <w:rStyle w:val="17"/>
      </w:rPr>
      <w:fldChar w:fldCharType="separate"/>
    </w:r>
    <w:r>
      <w:rPr>
        <w:rStyle w:val="17"/>
      </w:rPr>
      <w:t>12</w:t>
    </w:r>
    <w:r>
      <w:rPr>
        <w:rStyle w:val="17"/>
      </w:rPr>
      <w:fldChar w:fldCharType="end"/>
    </w:r>
  </w:p>
  <w:p>
    <w:pPr>
      <w:pStyle w:val="10"/>
      <w:ind w:right="360"/>
      <w:jc w:val="cente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10"/>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1">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3">
    <w:nsid w:val="62621CDC"/>
    <w:multiLevelType w:val="multilevel"/>
    <w:tmpl w:val="62621CDC"/>
    <w:lvl w:ilvl="0" w:tentative="0">
      <w:start w:val="1"/>
      <w:numFmt w:val="decimal"/>
      <w:lvlText w:val="%1."/>
      <w:lvlJc w:val="left"/>
      <w:pPr>
        <w:ind w:left="1215" w:hanging="480"/>
      </w:pPr>
      <w:rPr>
        <w:rFonts w:hint="default" w:cs="Times New Roman"/>
      </w:rPr>
    </w:lvl>
    <w:lvl w:ilvl="1" w:tentative="0">
      <w:start w:val="1"/>
      <w:numFmt w:val="lowerLetter"/>
      <w:lvlText w:val="%2)"/>
      <w:lvlJc w:val="left"/>
      <w:pPr>
        <w:ind w:left="1575" w:hanging="420"/>
      </w:pPr>
      <w:rPr>
        <w:rFonts w:cs="Times New Roman"/>
      </w:rPr>
    </w:lvl>
    <w:lvl w:ilvl="2" w:tentative="0">
      <w:start w:val="1"/>
      <w:numFmt w:val="lowerRoman"/>
      <w:lvlText w:val="%3."/>
      <w:lvlJc w:val="right"/>
      <w:pPr>
        <w:ind w:left="1995" w:hanging="420"/>
      </w:pPr>
      <w:rPr>
        <w:rFonts w:cs="Times New Roman"/>
      </w:rPr>
    </w:lvl>
    <w:lvl w:ilvl="3" w:tentative="0">
      <w:start w:val="1"/>
      <w:numFmt w:val="decimal"/>
      <w:lvlText w:val="%4."/>
      <w:lvlJc w:val="left"/>
      <w:pPr>
        <w:ind w:left="2415" w:hanging="420"/>
      </w:pPr>
      <w:rPr>
        <w:rFonts w:cs="Times New Roman"/>
      </w:rPr>
    </w:lvl>
    <w:lvl w:ilvl="4" w:tentative="0">
      <w:start w:val="1"/>
      <w:numFmt w:val="lowerLetter"/>
      <w:lvlText w:val="%5)"/>
      <w:lvlJc w:val="left"/>
      <w:pPr>
        <w:ind w:left="2835" w:hanging="420"/>
      </w:pPr>
      <w:rPr>
        <w:rFonts w:cs="Times New Roman"/>
      </w:rPr>
    </w:lvl>
    <w:lvl w:ilvl="5" w:tentative="0">
      <w:start w:val="1"/>
      <w:numFmt w:val="lowerRoman"/>
      <w:lvlText w:val="%6."/>
      <w:lvlJc w:val="right"/>
      <w:pPr>
        <w:ind w:left="3255" w:hanging="420"/>
      </w:pPr>
      <w:rPr>
        <w:rFonts w:cs="Times New Roman"/>
      </w:rPr>
    </w:lvl>
    <w:lvl w:ilvl="6" w:tentative="0">
      <w:start w:val="1"/>
      <w:numFmt w:val="decimal"/>
      <w:lvlText w:val="%7."/>
      <w:lvlJc w:val="left"/>
      <w:pPr>
        <w:ind w:left="3675" w:hanging="420"/>
      </w:pPr>
      <w:rPr>
        <w:rFonts w:cs="Times New Roman"/>
      </w:rPr>
    </w:lvl>
    <w:lvl w:ilvl="7" w:tentative="0">
      <w:start w:val="1"/>
      <w:numFmt w:val="lowerLetter"/>
      <w:lvlText w:val="%8)"/>
      <w:lvlJc w:val="left"/>
      <w:pPr>
        <w:ind w:left="4095" w:hanging="420"/>
      </w:pPr>
      <w:rPr>
        <w:rFonts w:cs="Times New Roman"/>
      </w:rPr>
    </w:lvl>
    <w:lvl w:ilvl="8" w:tentative="0">
      <w:start w:val="1"/>
      <w:numFmt w:val="lowerRoman"/>
      <w:lvlText w:val="%9."/>
      <w:lvlJc w:val="right"/>
      <w:pPr>
        <w:ind w:left="4515" w:hanging="420"/>
      </w:pPr>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yYTA4NmVhYjU3ZTFlOGVmZDgwZmQzMjJlMGQ5OWUifQ=="/>
  </w:docVars>
  <w:rsids>
    <w:rsidRoot w:val="00F1361C"/>
    <w:rsid w:val="00013909"/>
    <w:rsid w:val="000222C6"/>
    <w:rsid w:val="0002549F"/>
    <w:rsid w:val="00031F0F"/>
    <w:rsid w:val="000468DB"/>
    <w:rsid w:val="000574B4"/>
    <w:rsid w:val="0006487A"/>
    <w:rsid w:val="00065F8F"/>
    <w:rsid w:val="00070A43"/>
    <w:rsid w:val="000768F2"/>
    <w:rsid w:val="00077D3C"/>
    <w:rsid w:val="0009184B"/>
    <w:rsid w:val="00094236"/>
    <w:rsid w:val="0009593C"/>
    <w:rsid w:val="00097322"/>
    <w:rsid w:val="000A564D"/>
    <w:rsid w:val="000A6A92"/>
    <w:rsid w:val="000B0166"/>
    <w:rsid w:val="000B047F"/>
    <w:rsid w:val="000B31D1"/>
    <w:rsid w:val="000B5923"/>
    <w:rsid w:val="000B5A48"/>
    <w:rsid w:val="000B6FF3"/>
    <w:rsid w:val="000C035B"/>
    <w:rsid w:val="000C3467"/>
    <w:rsid w:val="000C3C7D"/>
    <w:rsid w:val="000C3CA6"/>
    <w:rsid w:val="000D07A3"/>
    <w:rsid w:val="000D1267"/>
    <w:rsid w:val="000D1D50"/>
    <w:rsid w:val="000D5782"/>
    <w:rsid w:val="000D6B10"/>
    <w:rsid w:val="000E11A0"/>
    <w:rsid w:val="000E6613"/>
    <w:rsid w:val="000E7119"/>
    <w:rsid w:val="000F2A78"/>
    <w:rsid w:val="00114E9B"/>
    <w:rsid w:val="00114EFE"/>
    <w:rsid w:val="001210BF"/>
    <w:rsid w:val="00132B65"/>
    <w:rsid w:val="00134642"/>
    <w:rsid w:val="001372E5"/>
    <w:rsid w:val="00141144"/>
    <w:rsid w:val="00141670"/>
    <w:rsid w:val="00142216"/>
    <w:rsid w:val="00144D6A"/>
    <w:rsid w:val="0014729F"/>
    <w:rsid w:val="00152D0B"/>
    <w:rsid w:val="0015374B"/>
    <w:rsid w:val="00157BAB"/>
    <w:rsid w:val="0016254B"/>
    <w:rsid w:val="00163D29"/>
    <w:rsid w:val="001654D1"/>
    <w:rsid w:val="00172F7D"/>
    <w:rsid w:val="00174518"/>
    <w:rsid w:val="001754FD"/>
    <w:rsid w:val="0018106D"/>
    <w:rsid w:val="00181216"/>
    <w:rsid w:val="00183451"/>
    <w:rsid w:val="001869C9"/>
    <w:rsid w:val="001877A7"/>
    <w:rsid w:val="00191536"/>
    <w:rsid w:val="00196687"/>
    <w:rsid w:val="00197018"/>
    <w:rsid w:val="001A22E4"/>
    <w:rsid w:val="001B1B63"/>
    <w:rsid w:val="001C0962"/>
    <w:rsid w:val="001C25F7"/>
    <w:rsid w:val="001C2F3D"/>
    <w:rsid w:val="001C33AF"/>
    <w:rsid w:val="001C4CB9"/>
    <w:rsid w:val="001C63E2"/>
    <w:rsid w:val="001C7A17"/>
    <w:rsid w:val="001D7531"/>
    <w:rsid w:val="001E01D9"/>
    <w:rsid w:val="001E6781"/>
    <w:rsid w:val="001E70CF"/>
    <w:rsid w:val="001E737D"/>
    <w:rsid w:val="001F0592"/>
    <w:rsid w:val="001F7506"/>
    <w:rsid w:val="002006CD"/>
    <w:rsid w:val="00202B36"/>
    <w:rsid w:val="00203918"/>
    <w:rsid w:val="00204B7A"/>
    <w:rsid w:val="00204CDE"/>
    <w:rsid w:val="0021101A"/>
    <w:rsid w:val="002110A7"/>
    <w:rsid w:val="00213FE9"/>
    <w:rsid w:val="0021419F"/>
    <w:rsid w:val="00220536"/>
    <w:rsid w:val="00224BD5"/>
    <w:rsid w:val="00235629"/>
    <w:rsid w:val="00242162"/>
    <w:rsid w:val="002447A2"/>
    <w:rsid w:val="00251244"/>
    <w:rsid w:val="00260A10"/>
    <w:rsid w:val="00260C38"/>
    <w:rsid w:val="002616C0"/>
    <w:rsid w:val="0026413F"/>
    <w:rsid w:val="00265372"/>
    <w:rsid w:val="002662AA"/>
    <w:rsid w:val="0027539B"/>
    <w:rsid w:val="00280496"/>
    <w:rsid w:val="00280DB5"/>
    <w:rsid w:val="00282900"/>
    <w:rsid w:val="002829C7"/>
    <w:rsid w:val="00287E6B"/>
    <w:rsid w:val="002938A3"/>
    <w:rsid w:val="00294DC9"/>
    <w:rsid w:val="00295495"/>
    <w:rsid w:val="002A0610"/>
    <w:rsid w:val="002A086A"/>
    <w:rsid w:val="002A12A6"/>
    <w:rsid w:val="002A1BC6"/>
    <w:rsid w:val="002A31DE"/>
    <w:rsid w:val="002B2613"/>
    <w:rsid w:val="002B32CD"/>
    <w:rsid w:val="002C4823"/>
    <w:rsid w:val="002C64D0"/>
    <w:rsid w:val="002C7B14"/>
    <w:rsid w:val="002D19B0"/>
    <w:rsid w:val="002D6D05"/>
    <w:rsid w:val="002D7114"/>
    <w:rsid w:val="002E2677"/>
    <w:rsid w:val="002E29AA"/>
    <w:rsid w:val="002E5C22"/>
    <w:rsid w:val="002F1818"/>
    <w:rsid w:val="002F24F3"/>
    <w:rsid w:val="002F567B"/>
    <w:rsid w:val="0030301D"/>
    <w:rsid w:val="003205F4"/>
    <w:rsid w:val="003216A9"/>
    <w:rsid w:val="00335A74"/>
    <w:rsid w:val="00340F75"/>
    <w:rsid w:val="0036561B"/>
    <w:rsid w:val="0037013F"/>
    <w:rsid w:val="00380C92"/>
    <w:rsid w:val="003830A3"/>
    <w:rsid w:val="0038464A"/>
    <w:rsid w:val="003858BA"/>
    <w:rsid w:val="003A2178"/>
    <w:rsid w:val="003A484F"/>
    <w:rsid w:val="003A4883"/>
    <w:rsid w:val="003A4C37"/>
    <w:rsid w:val="003B0BE0"/>
    <w:rsid w:val="003B0C1B"/>
    <w:rsid w:val="003B688C"/>
    <w:rsid w:val="003B7E2C"/>
    <w:rsid w:val="003C0291"/>
    <w:rsid w:val="003C0F44"/>
    <w:rsid w:val="003C39AE"/>
    <w:rsid w:val="003C7B60"/>
    <w:rsid w:val="003D0C0F"/>
    <w:rsid w:val="003D1FB2"/>
    <w:rsid w:val="003D66DA"/>
    <w:rsid w:val="003E1310"/>
    <w:rsid w:val="003E6F55"/>
    <w:rsid w:val="003F69F1"/>
    <w:rsid w:val="00400A39"/>
    <w:rsid w:val="00406254"/>
    <w:rsid w:val="00406455"/>
    <w:rsid w:val="00416CD4"/>
    <w:rsid w:val="00420B8E"/>
    <w:rsid w:val="004212A8"/>
    <w:rsid w:val="00421C20"/>
    <w:rsid w:val="004223DE"/>
    <w:rsid w:val="00434489"/>
    <w:rsid w:val="004345D6"/>
    <w:rsid w:val="00437085"/>
    <w:rsid w:val="00443880"/>
    <w:rsid w:val="004464F4"/>
    <w:rsid w:val="00447073"/>
    <w:rsid w:val="004566FD"/>
    <w:rsid w:val="00462324"/>
    <w:rsid w:val="00464F95"/>
    <w:rsid w:val="0047056C"/>
    <w:rsid w:val="00471401"/>
    <w:rsid w:val="00473C2B"/>
    <w:rsid w:val="00473F31"/>
    <w:rsid w:val="00477440"/>
    <w:rsid w:val="0048164C"/>
    <w:rsid w:val="0048263A"/>
    <w:rsid w:val="00487E5D"/>
    <w:rsid w:val="00494389"/>
    <w:rsid w:val="004971DB"/>
    <w:rsid w:val="004A5EBB"/>
    <w:rsid w:val="004A68E8"/>
    <w:rsid w:val="004A711F"/>
    <w:rsid w:val="004B199D"/>
    <w:rsid w:val="004B38C3"/>
    <w:rsid w:val="004B3F0D"/>
    <w:rsid w:val="004B4690"/>
    <w:rsid w:val="004B4744"/>
    <w:rsid w:val="004B72D4"/>
    <w:rsid w:val="004D0CEC"/>
    <w:rsid w:val="004E0A2D"/>
    <w:rsid w:val="004E206B"/>
    <w:rsid w:val="004E6DF7"/>
    <w:rsid w:val="004F0FBD"/>
    <w:rsid w:val="004F403E"/>
    <w:rsid w:val="00503D7A"/>
    <w:rsid w:val="00503F38"/>
    <w:rsid w:val="005053E8"/>
    <w:rsid w:val="00505A47"/>
    <w:rsid w:val="00507665"/>
    <w:rsid w:val="00510544"/>
    <w:rsid w:val="00512FDA"/>
    <w:rsid w:val="00520DA0"/>
    <w:rsid w:val="00522888"/>
    <w:rsid w:val="00534781"/>
    <w:rsid w:val="005600E6"/>
    <w:rsid w:val="005624DA"/>
    <w:rsid w:val="005664BB"/>
    <w:rsid w:val="00566792"/>
    <w:rsid w:val="00566FFA"/>
    <w:rsid w:val="0057481D"/>
    <w:rsid w:val="00574E6D"/>
    <w:rsid w:val="00575F0B"/>
    <w:rsid w:val="00580B4E"/>
    <w:rsid w:val="0058486E"/>
    <w:rsid w:val="00585B33"/>
    <w:rsid w:val="00586F42"/>
    <w:rsid w:val="0059014D"/>
    <w:rsid w:val="00590EC0"/>
    <w:rsid w:val="005B5B89"/>
    <w:rsid w:val="005B5C64"/>
    <w:rsid w:val="005B7AC0"/>
    <w:rsid w:val="005C097E"/>
    <w:rsid w:val="005C64EB"/>
    <w:rsid w:val="005C6BD0"/>
    <w:rsid w:val="005C6C4C"/>
    <w:rsid w:val="005D1C8B"/>
    <w:rsid w:val="005D4250"/>
    <w:rsid w:val="005D468D"/>
    <w:rsid w:val="005D5CED"/>
    <w:rsid w:val="005E4ACE"/>
    <w:rsid w:val="005E53E7"/>
    <w:rsid w:val="005F1A4C"/>
    <w:rsid w:val="005F4A69"/>
    <w:rsid w:val="005F66E6"/>
    <w:rsid w:val="00605688"/>
    <w:rsid w:val="006070AF"/>
    <w:rsid w:val="00607C4C"/>
    <w:rsid w:val="00607E6C"/>
    <w:rsid w:val="006101B1"/>
    <w:rsid w:val="00614E44"/>
    <w:rsid w:val="0062270A"/>
    <w:rsid w:val="00622830"/>
    <w:rsid w:val="00623558"/>
    <w:rsid w:val="00623DA0"/>
    <w:rsid w:val="00630AEF"/>
    <w:rsid w:val="006325F8"/>
    <w:rsid w:val="00633463"/>
    <w:rsid w:val="00634C9A"/>
    <w:rsid w:val="006440E4"/>
    <w:rsid w:val="00652C1D"/>
    <w:rsid w:val="0066170B"/>
    <w:rsid w:val="00662A52"/>
    <w:rsid w:val="0066343B"/>
    <w:rsid w:val="00664777"/>
    <w:rsid w:val="00671CD5"/>
    <w:rsid w:val="006748A4"/>
    <w:rsid w:val="00681A31"/>
    <w:rsid w:val="00683E73"/>
    <w:rsid w:val="00691282"/>
    <w:rsid w:val="006959E4"/>
    <w:rsid w:val="006A148D"/>
    <w:rsid w:val="006A3141"/>
    <w:rsid w:val="006A5E34"/>
    <w:rsid w:val="006B1A73"/>
    <w:rsid w:val="006B2422"/>
    <w:rsid w:val="006B2B9A"/>
    <w:rsid w:val="006C0A6F"/>
    <w:rsid w:val="006C1937"/>
    <w:rsid w:val="006C6071"/>
    <w:rsid w:val="006E2910"/>
    <w:rsid w:val="006F020C"/>
    <w:rsid w:val="006F1B9A"/>
    <w:rsid w:val="007127B7"/>
    <w:rsid w:val="0071798E"/>
    <w:rsid w:val="00720B51"/>
    <w:rsid w:val="007250D3"/>
    <w:rsid w:val="00727533"/>
    <w:rsid w:val="0073319C"/>
    <w:rsid w:val="007416B6"/>
    <w:rsid w:val="00745C72"/>
    <w:rsid w:val="00746F48"/>
    <w:rsid w:val="0075404D"/>
    <w:rsid w:val="0076182A"/>
    <w:rsid w:val="00767B7E"/>
    <w:rsid w:val="00771A60"/>
    <w:rsid w:val="007770C3"/>
    <w:rsid w:val="00777F10"/>
    <w:rsid w:val="007825B0"/>
    <w:rsid w:val="00784D24"/>
    <w:rsid w:val="00785FBA"/>
    <w:rsid w:val="00786E4A"/>
    <w:rsid w:val="007875EB"/>
    <w:rsid w:val="0079426B"/>
    <w:rsid w:val="007A3ACB"/>
    <w:rsid w:val="007B5B8A"/>
    <w:rsid w:val="007D1682"/>
    <w:rsid w:val="007D312A"/>
    <w:rsid w:val="007D3F19"/>
    <w:rsid w:val="007E22EE"/>
    <w:rsid w:val="007E23B0"/>
    <w:rsid w:val="007E2DC1"/>
    <w:rsid w:val="007E3065"/>
    <w:rsid w:val="007E3150"/>
    <w:rsid w:val="007E31F5"/>
    <w:rsid w:val="007F0714"/>
    <w:rsid w:val="007F1991"/>
    <w:rsid w:val="007F2C2F"/>
    <w:rsid w:val="007F55FC"/>
    <w:rsid w:val="007F5665"/>
    <w:rsid w:val="00800112"/>
    <w:rsid w:val="008002C5"/>
    <w:rsid w:val="00803D9A"/>
    <w:rsid w:val="00813348"/>
    <w:rsid w:val="008253BB"/>
    <w:rsid w:val="00833962"/>
    <w:rsid w:val="0083706E"/>
    <w:rsid w:val="008408F6"/>
    <w:rsid w:val="008423A5"/>
    <w:rsid w:val="00850625"/>
    <w:rsid w:val="00853718"/>
    <w:rsid w:val="00855221"/>
    <w:rsid w:val="00860645"/>
    <w:rsid w:val="00865215"/>
    <w:rsid w:val="00871F71"/>
    <w:rsid w:val="00872FD8"/>
    <w:rsid w:val="00873304"/>
    <w:rsid w:val="00885AF4"/>
    <w:rsid w:val="0088694D"/>
    <w:rsid w:val="008939CD"/>
    <w:rsid w:val="008957DA"/>
    <w:rsid w:val="008A2A7A"/>
    <w:rsid w:val="008B768C"/>
    <w:rsid w:val="008C108A"/>
    <w:rsid w:val="008C4DB1"/>
    <w:rsid w:val="008C4EAF"/>
    <w:rsid w:val="008C4F55"/>
    <w:rsid w:val="008C5176"/>
    <w:rsid w:val="008C7FD0"/>
    <w:rsid w:val="008D227E"/>
    <w:rsid w:val="008D32EE"/>
    <w:rsid w:val="008D5BE6"/>
    <w:rsid w:val="008E1DE7"/>
    <w:rsid w:val="008E417B"/>
    <w:rsid w:val="008E707C"/>
    <w:rsid w:val="008E7B6C"/>
    <w:rsid w:val="008F136C"/>
    <w:rsid w:val="008F152D"/>
    <w:rsid w:val="008F2085"/>
    <w:rsid w:val="00900B08"/>
    <w:rsid w:val="00902155"/>
    <w:rsid w:val="00902FA3"/>
    <w:rsid w:val="00903135"/>
    <w:rsid w:val="00906449"/>
    <w:rsid w:val="00907FEF"/>
    <w:rsid w:val="009227DB"/>
    <w:rsid w:val="00923564"/>
    <w:rsid w:val="0092392E"/>
    <w:rsid w:val="009315F9"/>
    <w:rsid w:val="00933499"/>
    <w:rsid w:val="0093503D"/>
    <w:rsid w:val="00935C98"/>
    <w:rsid w:val="00946945"/>
    <w:rsid w:val="00946B20"/>
    <w:rsid w:val="009470CB"/>
    <w:rsid w:val="009509E4"/>
    <w:rsid w:val="00951248"/>
    <w:rsid w:val="0095152F"/>
    <w:rsid w:val="00953E9B"/>
    <w:rsid w:val="00954C49"/>
    <w:rsid w:val="00955E37"/>
    <w:rsid w:val="00956BC3"/>
    <w:rsid w:val="00957A1E"/>
    <w:rsid w:val="00962412"/>
    <w:rsid w:val="0097099F"/>
    <w:rsid w:val="00971997"/>
    <w:rsid w:val="00971FFC"/>
    <w:rsid w:val="0098660A"/>
    <w:rsid w:val="009922B3"/>
    <w:rsid w:val="00992DCB"/>
    <w:rsid w:val="009931C3"/>
    <w:rsid w:val="00997B3E"/>
    <w:rsid w:val="00997D4B"/>
    <w:rsid w:val="009A2873"/>
    <w:rsid w:val="009B184E"/>
    <w:rsid w:val="009B1F95"/>
    <w:rsid w:val="009B2C43"/>
    <w:rsid w:val="009B4EAE"/>
    <w:rsid w:val="009B5D56"/>
    <w:rsid w:val="009B7573"/>
    <w:rsid w:val="009C22F4"/>
    <w:rsid w:val="009C2E98"/>
    <w:rsid w:val="009C37FB"/>
    <w:rsid w:val="009D3020"/>
    <w:rsid w:val="009D3447"/>
    <w:rsid w:val="009D4711"/>
    <w:rsid w:val="009E0BD6"/>
    <w:rsid w:val="009E315D"/>
    <w:rsid w:val="009F1185"/>
    <w:rsid w:val="009F18CD"/>
    <w:rsid w:val="009F2A13"/>
    <w:rsid w:val="009F7527"/>
    <w:rsid w:val="00A01CB4"/>
    <w:rsid w:val="00A039ED"/>
    <w:rsid w:val="00A04EB0"/>
    <w:rsid w:val="00A05389"/>
    <w:rsid w:val="00A13CC1"/>
    <w:rsid w:val="00A1481E"/>
    <w:rsid w:val="00A14B83"/>
    <w:rsid w:val="00A16847"/>
    <w:rsid w:val="00A2098C"/>
    <w:rsid w:val="00A237D8"/>
    <w:rsid w:val="00A246B1"/>
    <w:rsid w:val="00A26034"/>
    <w:rsid w:val="00A266B2"/>
    <w:rsid w:val="00A268C4"/>
    <w:rsid w:val="00A26FB8"/>
    <w:rsid w:val="00A307CD"/>
    <w:rsid w:val="00A331C8"/>
    <w:rsid w:val="00A34564"/>
    <w:rsid w:val="00A35117"/>
    <w:rsid w:val="00A40A00"/>
    <w:rsid w:val="00A4142F"/>
    <w:rsid w:val="00A422EB"/>
    <w:rsid w:val="00A45BB7"/>
    <w:rsid w:val="00A56DF2"/>
    <w:rsid w:val="00A56E6E"/>
    <w:rsid w:val="00A67AB5"/>
    <w:rsid w:val="00A72505"/>
    <w:rsid w:val="00A733B2"/>
    <w:rsid w:val="00A741C2"/>
    <w:rsid w:val="00A809EF"/>
    <w:rsid w:val="00A8114D"/>
    <w:rsid w:val="00A864BF"/>
    <w:rsid w:val="00A87FED"/>
    <w:rsid w:val="00A91760"/>
    <w:rsid w:val="00A9238B"/>
    <w:rsid w:val="00A9321B"/>
    <w:rsid w:val="00A93AAE"/>
    <w:rsid w:val="00A93B00"/>
    <w:rsid w:val="00A93C21"/>
    <w:rsid w:val="00AB582E"/>
    <w:rsid w:val="00AB64C9"/>
    <w:rsid w:val="00AC3C6A"/>
    <w:rsid w:val="00AC4D89"/>
    <w:rsid w:val="00AD0F83"/>
    <w:rsid w:val="00AD4840"/>
    <w:rsid w:val="00AD5620"/>
    <w:rsid w:val="00AD656B"/>
    <w:rsid w:val="00AD7C1B"/>
    <w:rsid w:val="00AE16BA"/>
    <w:rsid w:val="00AE1EBE"/>
    <w:rsid w:val="00AF7807"/>
    <w:rsid w:val="00B03C9D"/>
    <w:rsid w:val="00B060AE"/>
    <w:rsid w:val="00B10517"/>
    <w:rsid w:val="00B13711"/>
    <w:rsid w:val="00B14E76"/>
    <w:rsid w:val="00B161B8"/>
    <w:rsid w:val="00B16315"/>
    <w:rsid w:val="00B2048C"/>
    <w:rsid w:val="00B31054"/>
    <w:rsid w:val="00B310B9"/>
    <w:rsid w:val="00B3419D"/>
    <w:rsid w:val="00B35F3F"/>
    <w:rsid w:val="00B36CBB"/>
    <w:rsid w:val="00B40B1A"/>
    <w:rsid w:val="00B425E0"/>
    <w:rsid w:val="00B440AA"/>
    <w:rsid w:val="00B44B70"/>
    <w:rsid w:val="00B512E4"/>
    <w:rsid w:val="00B517E9"/>
    <w:rsid w:val="00B51CE5"/>
    <w:rsid w:val="00B52C3C"/>
    <w:rsid w:val="00B53C56"/>
    <w:rsid w:val="00B56B9E"/>
    <w:rsid w:val="00B57DAF"/>
    <w:rsid w:val="00B609AD"/>
    <w:rsid w:val="00B6411A"/>
    <w:rsid w:val="00B725AE"/>
    <w:rsid w:val="00B75D3A"/>
    <w:rsid w:val="00B77EA6"/>
    <w:rsid w:val="00B81598"/>
    <w:rsid w:val="00B841F1"/>
    <w:rsid w:val="00B86E60"/>
    <w:rsid w:val="00B924FE"/>
    <w:rsid w:val="00B93CC7"/>
    <w:rsid w:val="00B944D6"/>
    <w:rsid w:val="00BA18D1"/>
    <w:rsid w:val="00BB0EA1"/>
    <w:rsid w:val="00BB4DF0"/>
    <w:rsid w:val="00BB6AB9"/>
    <w:rsid w:val="00BC1E2E"/>
    <w:rsid w:val="00BC247C"/>
    <w:rsid w:val="00BC289F"/>
    <w:rsid w:val="00BC2D50"/>
    <w:rsid w:val="00BC5361"/>
    <w:rsid w:val="00BC5460"/>
    <w:rsid w:val="00BC6B50"/>
    <w:rsid w:val="00BD0E25"/>
    <w:rsid w:val="00BD7496"/>
    <w:rsid w:val="00BE2D5B"/>
    <w:rsid w:val="00BE366C"/>
    <w:rsid w:val="00BE72B9"/>
    <w:rsid w:val="00BF0406"/>
    <w:rsid w:val="00BF1FB6"/>
    <w:rsid w:val="00BF5810"/>
    <w:rsid w:val="00BF5BD6"/>
    <w:rsid w:val="00C03E31"/>
    <w:rsid w:val="00C066C0"/>
    <w:rsid w:val="00C27672"/>
    <w:rsid w:val="00C30E69"/>
    <w:rsid w:val="00C33E72"/>
    <w:rsid w:val="00C354B2"/>
    <w:rsid w:val="00C35554"/>
    <w:rsid w:val="00C36D73"/>
    <w:rsid w:val="00C407D4"/>
    <w:rsid w:val="00C42709"/>
    <w:rsid w:val="00C533CC"/>
    <w:rsid w:val="00C5751C"/>
    <w:rsid w:val="00C61BFC"/>
    <w:rsid w:val="00C62251"/>
    <w:rsid w:val="00C62B85"/>
    <w:rsid w:val="00C65438"/>
    <w:rsid w:val="00C81138"/>
    <w:rsid w:val="00C91CBB"/>
    <w:rsid w:val="00CA0914"/>
    <w:rsid w:val="00CB21C7"/>
    <w:rsid w:val="00CB4E70"/>
    <w:rsid w:val="00CC09B6"/>
    <w:rsid w:val="00CC2DD9"/>
    <w:rsid w:val="00CC666F"/>
    <w:rsid w:val="00CC687C"/>
    <w:rsid w:val="00CD1E3F"/>
    <w:rsid w:val="00CE44F6"/>
    <w:rsid w:val="00CE49DA"/>
    <w:rsid w:val="00CE68E5"/>
    <w:rsid w:val="00CE7B61"/>
    <w:rsid w:val="00CE7BFF"/>
    <w:rsid w:val="00CF0541"/>
    <w:rsid w:val="00CF0B6C"/>
    <w:rsid w:val="00CF250A"/>
    <w:rsid w:val="00CF2879"/>
    <w:rsid w:val="00CF6519"/>
    <w:rsid w:val="00D00095"/>
    <w:rsid w:val="00D02248"/>
    <w:rsid w:val="00D114F0"/>
    <w:rsid w:val="00D149CA"/>
    <w:rsid w:val="00D20620"/>
    <w:rsid w:val="00D20645"/>
    <w:rsid w:val="00D214DF"/>
    <w:rsid w:val="00D21E14"/>
    <w:rsid w:val="00D23975"/>
    <w:rsid w:val="00D24C8D"/>
    <w:rsid w:val="00D254F7"/>
    <w:rsid w:val="00D26091"/>
    <w:rsid w:val="00D2685C"/>
    <w:rsid w:val="00D34E7C"/>
    <w:rsid w:val="00D35489"/>
    <w:rsid w:val="00D36AFE"/>
    <w:rsid w:val="00D376A6"/>
    <w:rsid w:val="00D45F69"/>
    <w:rsid w:val="00D46EDA"/>
    <w:rsid w:val="00D51276"/>
    <w:rsid w:val="00D54F93"/>
    <w:rsid w:val="00D57964"/>
    <w:rsid w:val="00D7035F"/>
    <w:rsid w:val="00D7628D"/>
    <w:rsid w:val="00D92060"/>
    <w:rsid w:val="00D964B7"/>
    <w:rsid w:val="00DA0291"/>
    <w:rsid w:val="00DA3F60"/>
    <w:rsid w:val="00DA634F"/>
    <w:rsid w:val="00DA65AC"/>
    <w:rsid w:val="00DB1913"/>
    <w:rsid w:val="00DB57DE"/>
    <w:rsid w:val="00DC410D"/>
    <w:rsid w:val="00DC5A81"/>
    <w:rsid w:val="00DC68CA"/>
    <w:rsid w:val="00DC7CBA"/>
    <w:rsid w:val="00DD37C5"/>
    <w:rsid w:val="00DD4F82"/>
    <w:rsid w:val="00DD73B7"/>
    <w:rsid w:val="00DE0981"/>
    <w:rsid w:val="00DF28BC"/>
    <w:rsid w:val="00DF34B9"/>
    <w:rsid w:val="00E00CBF"/>
    <w:rsid w:val="00E01053"/>
    <w:rsid w:val="00E02133"/>
    <w:rsid w:val="00E05288"/>
    <w:rsid w:val="00E07ACF"/>
    <w:rsid w:val="00E1399E"/>
    <w:rsid w:val="00E30F0B"/>
    <w:rsid w:val="00E331A1"/>
    <w:rsid w:val="00E33202"/>
    <w:rsid w:val="00E336A9"/>
    <w:rsid w:val="00E34283"/>
    <w:rsid w:val="00E4478B"/>
    <w:rsid w:val="00E472B1"/>
    <w:rsid w:val="00E50624"/>
    <w:rsid w:val="00E568DF"/>
    <w:rsid w:val="00E64269"/>
    <w:rsid w:val="00E65BA8"/>
    <w:rsid w:val="00E66797"/>
    <w:rsid w:val="00E71A2D"/>
    <w:rsid w:val="00E77C89"/>
    <w:rsid w:val="00E82267"/>
    <w:rsid w:val="00E840C3"/>
    <w:rsid w:val="00E853CE"/>
    <w:rsid w:val="00E867B6"/>
    <w:rsid w:val="00E87F08"/>
    <w:rsid w:val="00E972A2"/>
    <w:rsid w:val="00EA010F"/>
    <w:rsid w:val="00EB1EF5"/>
    <w:rsid w:val="00EB2BA4"/>
    <w:rsid w:val="00EC0DCC"/>
    <w:rsid w:val="00EC51DA"/>
    <w:rsid w:val="00EC751C"/>
    <w:rsid w:val="00ED1B63"/>
    <w:rsid w:val="00ED3C1F"/>
    <w:rsid w:val="00ED4085"/>
    <w:rsid w:val="00ED420E"/>
    <w:rsid w:val="00ED6FBE"/>
    <w:rsid w:val="00ED75FB"/>
    <w:rsid w:val="00EE25CD"/>
    <w:rsid w:val="00EE2F57"/>
    <w:rsid w:val="00EE5A23"/>
    <w:rsid w:val="00EF4C34"/>
    <w:rsid w:val="00EF5D09"/>
    <w:rsid w:val="00EF77C6"/>
    <w:rsid w:val="00F024EC"/>
    <w:rsid w:val="00F03BD9"/>
    <w:rsid w:val="00F05438"/>
    <w:rsid w:val="00F127A2"/>
    <w:rsid w:val="00F1361C"/>
    <w:rsid w:val="00F156F0"/>
    <w:rsid w:val="00F160C7"/>
    <w:rsid w:val="00F21C98"/>
    <w:rsid w:val="00F2408F"/>
    <w:rsid w:val="00F240E9"/>
    <w:rsid w:val="00F36D8F"/>
    <w:rsid w:val="00F417B1"/>
    <w:rsid w:val="00F425F2"/>
    <w:rsid w:val="00F442A1"/>
    <w:rsid w:val="00F45853"/>
    <w:rsid w:val="00F45B75"/>
    <w:rsid w:val="00F5241F"/>
    <w:rsid w:val="00F602DF"/>
    <w:rsid w:val="00F60B54"/>
    <w:rsid w:val="00F629F6"/>
    <w:rsid w:val="00F62BFF"/>
    <w:rsid w:val="00F72F41"/>
    <w:rsid w:val="00F754A1"/>
    <w:rsid w:val="00F80E15"/>
    <w:rsid w:val="00F81FD9"/>
    <w:rsid w:val="00F841AA"/>
    <w:rsid w:val="00F84A94"/>
    <w:rsid w:val="00F87E96"/>
    <w:rsid w:val="00F93289"/>
    <w:rsid w:val="00F932D2"/>
    <w:rsid w:val="00F94DD8"/>
    <w:rsid w:val="00FA23E8"/>
    <w:rsid w:val="00FB59F5"/>
    <w:rsid w:val="00FC1E56"/>
    <w:rsid w:val="00FC3B66"/>
    <w:rsid w:val="00FD06EE"/>
    <w:rsid w:val="00FD1644"/>
    <w:rsid w:val="00FD3CC1"/>
    <w:rsid w:val="00FE1087"/>
    <w:rsid w:val="00FE1D3F"/>
    <w:rsid w:val="00FE3E70"/>
    <w:rsid w:val="00FF160F"/>
    <w:rsid w:val="00FF1E02"/>
    <w:rsid w:val="00FF30B4"/>
    <w:rsid w:val="01A91E2B"/>
    <w:rsid w:val="04B87ABE"/>
    <w:rsid w:val="069969AC"/>
    <w:rsid w:val="0709511C"/>
    <w:rsid w:val="08F574FB"/>
    <w:rsid w:val="0E8A1FE0"/>
    <w:rsid w:val="10C055FF"/>
    <w:rsid w:val="12BE53D5"/>
    <w:rsid w:val="14844196"/>
    <w:rsid w:val="16BB723D"/>
    <w:rsid w:val="20991CFD"/>
    <w:rsid w:val="240371BF"/>
    <w:rsid w:val="29FD04D3"/>
    <w:rsid w:val="2DC80340"/>
    <w:rsid w:val="306F2841"/>
    <w:rsid w:val="319F7F4E"/>
    <w:rsid w:val="32F76629"/>
    <w:rsid w:val="36E1425E"/>
    <w:rsid w:val="389C7A1B"/>
    <w:rsid w:val="3B885138"/>
    <w:rsid w:val="3EB13656"/>
    <w:rsid w:val="40243CA8"/>
    <w:rsid w:val="41A06E1F"/>
    <w:rsid w:val="432E5321"/>
    <w:rsid w:val="447E3735"/>
    <w:rsid w:val="44CF268A"/>
    <w:rsid w:val="4B5E15C5"/>
    <w:rsid w:val="4BE7053C"/>
    <w:rsid w:val="4ECE2238"/>
    <w:rsid w:val="564B1456"/>
    <w:rsid w:val="56AC3841"/>
    <w:rsid w:val="58CA59C4"/>
    <w:rsid w:val="59593D97"/>
    <w:rsid w:val="5BF71658"/>
    <w:rsid w:val="5C1E1745"/>
    <w:rsid w:val="6060264F"/>
    <w:rsid w:val="72734D90"/>
    <w:rsid w:val="72C26976"/>
    <w:rsid w:val="753D4819"/>
    <w:rsid w:val="792C3FCD"/>
    <w:rsid w:val="79DB7C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qFormat="1" w:unhideWhenUsed="0" w:uiPriority="99" w:semiHidden="0"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qFormat="1" w:unhideWhenUsed="0" w:uiPriority="99" w:semiHidden="0" w:name="Plain Text" w:locked="1"/>
    <w:lsdException w:uiPriority="99" w:name="E-mail Signature" w:locked="1"/>
    <w:lsdException w:qFormat="1" w:unhideWhenUsed="0"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0"/>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1"/>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2"/>
    <w:qFormat/>
    <w:uiPriority w:val="99"/>
    <w:pPr>
      <w:keepNext/>
      <w:keepLines/>
      <w:spacing w:before="260" w:after="260" w:line="416" w:lineRule="auto"/>
      <w:outlineLvl w:val="2"/>
    </w:pPr>
    <w:rPr>
      <w:b/>
      <w:bCs/>
      <w:sz w:val="32"/>
      <w:szCs w:val="32"/>
    </w:rPr>
  </w:style>
  <w:style w:type="character" w:default="1" w:styleId="15">
    <w:name w:val="Default Paragraph Font"/>
    <w:semiHidden/>
    <w:qFormat/>
    <w:uiPriority w:val="99"/>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2">
    <w:name w:val="Salutation"/>
    <w:basedOn w:val="1"/>
    <w:next w:val="1"/>
    <w:link w:val="23"/>
    <w:qFormat/>
    <w:locked/>
    <w:uiPriority w:val="99"/>
  </w:style>
  <w:style w:type="paragraph" w:styleId="6">
    <w:name w:val="Body Text"/>
    <w:basedOn w:val="1"/>
    <w:next w:val="1"/>
    <w:link w:val="31"/>
    <w:qFormat/>
    <w:uiPriority w:val="99"/>
    <w:pPr>
      <w:spacing w:beforeLines="30"/>
    </w:pPr>
    <w:rPr>
      <w:rFonts w:ascii="仿宋_GB2312" w:eastAsia="仿宋_GB2312"/>
      <w:kern w:val="0"/>
      <w:sz w:val="24"/>
      <w:szCs w:val="20"/>
    </w:rPr>
  </w:style>
  <w:style w:type="paragraph" w:styleId="7">
    <w:name w:val="toc 3"/>
    <w:basedOn w:val="1"/>
    <w:next w:val="1"/>
    <w:qFormat/>
    <w:uiPriority w:val="99"/>
    <w:pPr>
      <w:tabs>
        <w:tab w:val="right" w:leader="dot" w:pos="8296"/>
      </w:tabs>
      <w:ind w:left="840" w:leftChars="400"/>
    </w:pPr>
  </w:style>
  <w:style w:type="paragraph" w:styleId="8">
    <w:name w:val="Plain Text"/>
    <w:basedOn w:val="1"/>
    <w:link w:val="25"/>
    <w:qFormat/>
    <w:locked/>
    <w:uiPriority w:val="99"/>
    <w:rPr>
      <w:rFonts w:ascii="宋体" w:hAnsi="Courier New"/>
      <w:szCs w:val="22"/>
    </w:rPr>
  </w:style>
  <w:style w:type="paragraph" w:styleId="9">
    <w:name w:val="Balloon Text"/>
    <w:basedOn w:val="1"/>
    <w:link w:val="26"/>
    <w:semiHidden/>
    <w:qFormat/>
    <w:uiPriority w:val="99"/>
    <w:rPr>
      <w:sz w:val="18"/>
      <w:szCs w:val="18"/>
    </w:rPr>
  </w:style>
  <w:style w:type="paragraph" w:styleId="10">
    <w:name w:val="footer"/>
    <w:basedOn w:val="1"/>
    <w:link w:val="30"/>
    <w:qFormat/>
    <w:uiPriority w:val="99"/>
    <w:pPr>
      <w:tabs>
        <w:tab w:val="center" w:pos="4153"/>
        <w:tab w:val="right" w:pos="8306"/>
      </w:tabs>
      <w:snapToGrid w:val="0"/>
      <w:jc w:val="left"/>
    </w:pPr>
    <w:rPr>
      <w:rFonts w:ascii="Calibri" w:hAnsi="Calibri"/>
      <w:kern w:val="0"/>
      <w:sz w:val="18"/>
      <w:szCs w:val="20"/>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2">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3">
    <w:name w:val="toc 2"/>
    <w:basedOn w:val="1"/>
    <w:next w:val="1"/>
    <w:qFormat/>
    <w:uiPriority w:val="99"/>
    <w:pPr>
      <w:tabs>
        <w:tab w:val="right" w:leader="dot" w:pos="8296"/>
      </w:tabs>
      <w:ind w:left="420" w:leftChars="200"/>
    </w:pPr>
  </w:style>
  <w:style w:type="paragraph" w:styleId="14">
    <w:name w:val="Normal (Web)"/>
    <w:basedOn w:val="1"/>
    <w:qFormat/>
    <w:locked/>
    <w:uiPriority w:val="99"/>
    <w:pPr>
      <w:widowControl/>
      <w:spacing w:before="100" w:beforeAutospacing="1" w:after="100" w:afterAutospacing="1"/>
      <w:jc w:val="left"/>
    </w:pPr>
    <w:rPr>
      <w:rFonts w:ascii="宋体" w:hAnsi="宋体" w:cs="宋体"/>
      <w:kern w:val="0"/>
      <w:sz w:val="24"/>
    </w:rPr>
  </w:style>
  <w:style w:type="character" w:styleId="16">
    <w:name w:val="Strong"/>
    <w:basedOn w:val="15"/>
    <w:qFormat/>
    <w:uiPriority w:val="99"/>
    <w:rPr>
      <w:rFonts w:cs="Times New Roman"/>
      <w:b/>
    </w:rPr>
  </w:style>
  <w:style w:type="character" w:styleId="17">
    <w:name w:val="page number"/>
    <w:basedOn w:val="15"/>
    <w:qFormat/>
    <w:locked/>
    <w:uiPriority w:val="99"/>
    <w:rPr>
      <w:rFonts w:cs="Times New Roman"/>
    </w:rPr>
  </w:style>
  <w:style w:type="character" w:styleId="18">
    <w:name w:val="Hyperlink"/>
    <w:basedOn w:val="15"/>
    <w:qFormat/>
    <w:uiPriority w:val="99"/>
    <w:rPr>
      <w:rFonts w:cs="Times New Roman"/>
      <w:color w:val="0000FF"/>
      <w:u w:val="single"/>
    </w:rPr>
  </w:style>
  <w:style w:type="character" w:customStyle="1" w:styleId="20">
    <w:name w:val="Heading 1 Char"/>
    <w:basedOn w:val="15"/>
    <w:link w:val="3"/>
    <w:qFormat/>
    <w:locked/>
    <w:uiPriority w:val="99"/>
    <w:rPr>
      <w:rFonts w:ascii="Times New Roman" w:hAnsi="Times New Roman" w:cs="Times New Roman"/>
      <w:b/>
      <w:bCs/>
      <w:kern w:val="44"/>
      <w:sz w:val="44"/>
      <w:szCs w:val="44"/>
    </w:rPr>
  </w:style>
  <w:style w:type="character" w:customStyle="1" w:styleId="21">
    <w:name w:val="Heading 2 Char"/>
    <w:basedOn w:val="15"/>
    <w:link w:val="4"/>
    <w:qFormat/>
    <w:locked/>
    <w:uiPriority w:val="99"/>
    <w:rPr>
      <w:rFonts w:ascii="Cambria" w:hAnsi="Cambria" w:eastAsia="宋体" w:cs="Times New Roman"/>
      <w:b/>
      <w:bCs/>
      <w:kern w:val="2"/>
      <w:sz w:val="32"/>
      <w:szCs w:val="32"/>
    </w:rPr>
  </w:style>
  <w:style w:type="character" w:customStyle="1" w:styleId="22">
    <w:name w:val="Heading 3 Char"/>
    <w:basedOn w:val="15"/>
    <w:link w:val="5"/>
    <w:qFormat/>
    <w:locked/>
    <w:uiPriority w:val="99"/>
    <w:rPr>
      <w:rFonts w:ascii="Times New Roman" w:hAnsi="Times New Roman" w:cs="Times New Roman"/>
      <w:b/>
      <w:bCs/>
      <w:kern w:val="2"/>
      <w:sz w:val="32"/>
      <w:szCs w:val="32"/>
    </w:rPr>
  </w:style>
  <w:style w:type="character" w:customStyle="1" w:styleId="23">
    <w:name w:val="Salutation Char"/>
    <w:basedOn w:val="15"/>
    <w:link w:val="2"/>
    <w:semiHidden/>
    <w:qFormat/>
    <w:locked/>
    <w:uiPriority w:val="99"/>
    <w:rPr>
      <w:rFonts w:eastAsia="宋体" w:cs="Times New Roman"/>
      <w:kern w:val="2"/>
      <w:sz w:val="24"/>
      <w:szCs w:val="24"/>
      <w:lang w:val="en-US" w:eastAsia="zh-CN" w:bidi="ar-SA"/>
    </w:rPr>
  </w:style>
  <w:style w:type="character" w:customStyle="1" w:styleId="24">
    <w:name w:val="Body Text Char"/>
    <w:basedOn w:val="15"/>
    <w:link w:val="6"/>
    <w:semiHidden/>
    <w:qFormat/>
    <w:locked/>
    <w:uiPriority w:val="99"/>
    <w:rPr>
      <w:rFonts w:ascii="Times New Roman" w:hAnsi="Times New Roman" w:cs="Times New Roman"/>
      <w:sz w:val="24"/>
      <w:szCs w:val="24"/>
    </w:rPr>
  </w:style>
  <w:style w:type="character" w:customStyle="1" w:styleId="25">
    <w:name w:val="Plain Text Char"/>
    <w:basedOn w:val="15"/>
    <w:link w:val="8"/>
    <w:semiHidden/>
    <w:qFormat/>
    <w:locked/>
    <w:uiPriority w:val="99"/>
    <w:rPr>
      <w:rFonts w:ascii="宋体" w:hAnsi="Courier New" w:eastAsia="宋体" w:cs="Times New Roman"/>
      <w:kern w:val="2"/>
      <w:sz w:val="22"/>
      <w:szCs w:val="22"/>
      <w:lang w:val="en-US" w:eastAsia="zh-CN" w:bidi="ar-SA"/>
    </w:rPr>
  </w:style>
  <w:style w:type="character" w:customStyle="1" w:styleId="26">
    <w:name w:val="Balloon Text Char"/>
    <w:basedOn w:val="15"/>
    <w:link w:val="9"/>
    <w:semiHidden/>
    <w:qFormat/>
    <w:locked/>
    <w:uiPriority w:val="99"/>
    <w:rPr>
      <w:rFonts w:ascii="Times New Roman" w:hAnsi="Times New Roman" w:cs="Times New Roman"/>
      <w:kern w:val="2"/>
      <w:sz w:val="18"/>
      <w:szCs w:val="18"/>
    </w:rPr>
  </w:style>
  <w:style w:type="character" w:customStyle="1" w:styleId="27">
    <w:name w:val="Footer Char"/>
    <w:basedOn w:val="15"/>
    <w:link w:val="10"/>
    <w:semiHidden/>
    <w:qFormat/>
    <w:locked/>
    <w:uiPriority w:val="99"/>
    <w:rPr>
      <w:rFonts w:ascii="Times New Roman" w:hAnsi="Times New Roman" w:cs="Times New Roman"/>
      <w:sz w:val="18"/>
      <w:szCs w:val="18"/>
    </w:rPr>
  </w:style>
  <w:style w:type="character" w:customStyle="1" w:styleId="28">
    <w:name w:val="Header Char"/>
    <w:basedOn w:val="15"/>
    <w:link w:val="11"/>
    <w:semiHidden/>
    <w:qFormat/>
    <w:locked/>
    <w:uiPriority w:val="99"/>
    <w:rPr>
      <w:rFonts w:ascii="Times New Roman" w:hAnsi="Times New Roman" w:cs="Times New Roman"/>
      <w:sz w:val="18"/>
      <w:szCs w:val="18"/>
    </w:rPr>
  </w:style>
  <w:style w:type="character" w:customStyle="1" w:styleId="29">
    <w:name w:val="Header Char1"/>
    <w:link w:val="11"/>
    <w:semiHidden/>
    <w:qFormat/>
    <w:locked/>
    <w:uiPriority w:val="99"/>
    <w:rPr>
      <w:sz w:val="18"/>
    </w:rPr>
  </w:style>
  <w:style w:type="character" w:customStyle="1" w:styleId="30">
    <w:name w:val="Footer Char1"/>
    <w:link w:val="10"/>
    <w:qFormat/>
    <w:locked/>
    <w:uiPriority w:val="99"/>
    <w:rPr>
      <w:sz w:val="18"/>
    </w:rPr>
  </w:style>
  <w:style w:type="character" w:customStyle="1" w:styleId="31">
    <w:name w:val="Body Text Char1"/>
    <w:link w:val="6"/>
    <w:qFormat/>
    <w:locked/>
    <w:uiPriority w:val="99"/>
    <w:rPr>
      <w:rFonts w:ascii="仿宋_GB2312" w:hAnsi="Times New Roman" w:eastAsia="仿宋_GB2312"/>
      <w:sz w:val="24"/>
    </w:rPr>
  </w:style>
  <w:style w:type="paragraph" w:customStyle="1" w:styleId="32">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33">
    <w:name w:val="List Paragraph"/>
    <w:basedOn w:val="1"/>
    <w:qFormat/>
    <w:uiPriority w:val="99"/>
    <w:pPr>
      <w:ind w:firstLine="420" w:firstLineChars="200"/>
    </w:pPr>
  </w:style>
  <w:style w:type="paragraph" w:customStyle="1" w:styleId="34">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5">
    <w:name w:val="TOC Heading1"/>
    <w:basedOn w:val="3"/>
    <w:next w:val="1"/>
    <w:qFormat/>
    <w:uiPriority w:val="99"/>
    <w:pPr>
      <w:widowControl/>
      <w:spacing w:before="480" w:after="0" w:line="276" w:lineRule="auto"/>
      <w:jc w:val="left"/>
      <w:outlineLvl w:val="9"/>
    </w:pPr>
    <w:rPr>
      <w:rFonts w:ascii="Cambria" w:hAnsi="Cambria"/>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H:\2021&#24180;&#20915;&#31639;&#20844;&#24320;\&#20915;&#31639;&#20844;&#24320;&#26609;&#29366;&#22270;&#34920;2021&#24180;(&#26412;&#32423;&#65289;1.xls" TargetMode="External"/></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file:///H:\2021&#24180;&#20915;&#31639;&#20844;&#24320;\&#20915;&#31639;&#20844;&#24320;&#26609;&#29366;&#22270;&#34920;2021&#24180;(&#26412;&#32423;&#65289;1.xls"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5.xml"/><Relationship Id="rId1" Type="http://schemas.openxmlformats.org/officeDocument/2006/relationships/oleObject" Target="file:///H:\2021&#24180;&#20915;&#31639;&#20844;&#24320;\&#20915;&#31639;&#20844;&#24320;&#26609;&#29366;&#22270;&#34920;2021&#24180;(&#26412;&#32423;&#65289;1.xls" TargetMode="External"/></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oleObject" Target="file:///H:\2021&#24180;&#20915;&#31639;&#20844;&#24320;\&#20915;&#31639;&#20844;&#24320;&#26609;&#29366;&#22270;&#34920;2021&#24180;(&#26412;&#32423;&#65289;1.xls" TargetMode="External"/></Relationships>
</file>

<file path=word/charts/_rels/chart5.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3.xml"/><Relationship Id="rId1" Type="http://schemas.openxmlformats.org/officeDocument/2006/relationships/oleObject" Target="file:///H:\2021&#24180;&#20915;&#31639;&#20844;&#24320;\&#20915;&#31639;&#20844;&#24320;&#26609;&#29366;&#22270;&#34920;2021&#24180;(&#26412;&#32423;&#65289;1.xls"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6.xml"/><Relationship Id="rId1" Type="http://schemas.openxmlformats.org/officeDocument/2006/relationships/oleObject" Target="file:///H:\2021&#24180;&#20915;&#31639;&#20844;&#24320;\&#20915;&#31639;&#20844;&#24320;&#26609;&#29366;&#22270;&#34920;2021&#24180;(&#26412;&#32423;&#65289;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'[决算公开柱状图表2021年(本级）1.xls]Sheet1'!$A$7</c:f>
              <c:strCache>
                <c:ptCount val="1"/>
                <c:pt idx="0">
                  <c:v>2020年</c:v>
                </c:pt>
              </c:strCache>
            </c:strRef>
          </c:tx>
          <c:spPr>
            <a:solidFill>
              <a:srgbClr val="9999FF"/>
            </a:solidFill>
            <a:ln w="12700">
              <a:solidFill>
                <a:srgbClr val="000000"/>
              </a:solidFill>
            </a:ln>
          </c:spPr>
          <c:invertIfNegative val="0"/>
          <c:dLbls>
            <c:delete val="1"/>
          </c:dLbls>
          <c:cat>
            <c:strRef>
              <c:f>'[决算公开柱状图表2021年(本级）1.xls]Sheet1'!$B$5:$C$5</c:f>
              <c:strCache>
                <c:ptCount val="2"/>
                <c:pt idx="0">
                  <c:v>收入</c:v>
                </c:pt>
                <c:pt idx="1">
                  <c:v>支出</c:v>
                </c:pt>
              </c:strCache>
            </c:strRef>
          </c:cat>
          <c:val>
            <c:numRef>
              <c:f>'[决算公开柱状图表2021年(本级）1.xls]Sheet1'!$B$7:$C$7</c:f>
              <c:numCache>
                <c:formatCode>General</c:formatCode>
                <c:ptCount val="2"/>
                <c:pt idx="0">
                  <c:v>41036700</c:v>
                </c:pt>
                <c:pt idx="1">
                  <c:v>34686200</c:v>
                </c:pt>
              </c:numCache>
            </c:numRef>
          </c:val>
        </c:ser>
        <c:ser>
          <c:idx val="1"/>
          <c:order val="1"/>
          <c:tx>
            <c:strRef>
              <c:f>'[决算公开柱状图表2021年(本级）1.xls]Sheet1'!$A$8</c:f>
              <c:strCache>
                <c:ptCount val="1"/>
                <c:pt idx="0">
                  <c:v>2021年</c:v>
                </c:pt>
              </c:strCache>
            </c:strRef>
          </c:tx>
          <c:spPr>
            <a:solidFill>
              <a:srgbClr val="993366"/>
            </a:solidFill>
            <a:ln w="12700">
              <a:solidFill>
                <a:srgbClr val="000000"/>
              </a:solidFill>
            </a:ln>
          </c:spPr>
          <c:invertIfNegative val="0"/>
          <c:dLbls>
            <c:delete val="1"/>
          </c:dLbls>
          <c:cat>
            <c:strRef>
              <c:f>'[决算公开柱状图表2021年(本级）1.xls]Sheet1'!$B$5:$C$5</c:f>
              <c:strCache>
                <c:ptCount val="2"/>
                <c:pt idx="0">
                  <c:v>收入</c:v>
                </c:pt>
                <c:pt idx="1">
                  <c:v>支出</c:v>
                </c:pt>
              </c:strCache>
            </c:strRef>
          </c:cat>
          <c:val>
            <c:numRef>
              <c:f>'[决算公开柱状图表2021年(本级）1.xls]Sheet1'!$B$8:$C$8</c:f>
              <c:numCache>
                <c:formatCode>General</c:formatCode>
                <c:ptCount val="2"/>
                <c:pt idx="0">
                  <c:v>75383900</c:v>
                </c:pt>
                <c:pt idx="1">
                  <c:v>75383900</c:v>
                </c:pt>
              </c:numCache>
            </c:numRef>
          </c:val>
        </c:ser>
        <c:dLbls>
          <c:showLegendKey val="0"/>
          <c:showVal val="0"/>
          <c:showCatName val="0"/>
          <c:showSerName val="0"/>
          <c:showPercent val="0"/>
          <c:showBubbleSize val="0"/>
        </c:dLbls>
        <c:gapWidth val="150"/>
        <c:overlap val="0"/>
        <c:axId val="745396396"/>
        <c:axId val="16959563"/>
      </c:barChart>
      <c:catAx>
        <c:axId val="745396396"/>
        <c:scaling>
          <c:orientation val="minMax"/>
        </c:scaling>
        <c:delete val="0"/>
        <c:axPos val="b"/>
        <c:majorTickMark val="in"/>
        <c:minorTickMark val="none"/>
        <c:tickLblPos val="low"/>
        <c:spPr>
          <a:ln w="3175" cap="flat" cmpd="sng" algn="ctr">
            <a:solidFill>
              <a:srgbClr val="000000"/>
            </a:solidFill>
            <a:prstDash val="solid"/>
            <a:round/>
          </a:ln>
        </c:spPr>
        <c:txPr>
          <a:bodyPr rot="-60000000" spcFirstLastPara="0" vertOverflow="ellipsis" vert="horz" wrap="square" anchor="ctr" anchorCtr="1"/>
          <a:lstStyle/>
          <a:p>
            <a:pPr>
              <a:defRPr lang="zh-CN" sz="8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959563"/>
        <c:crosses val="autoZero"/>
        <c:auto val="1"/>
        <c:lblAlgn val="ctr"/>
        <c:lblOffset val="100"/>
        <c:noMultiLvlLbl val="0"/>
      </c:catAx>
      <c:valAx>
        <c:axId val="16959563"/>
        <c:scaling>
          <c:orientation val="minMax"/>
        </c:scaling>
        <c:delete val="0"/>
        <c:axPos val="l"/>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8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74539639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8285"/>
          <c:y val="0.44325"/>
          <c:w val="0.16"/>
          <c:h val="0.11"/>
        </c:manualLayout>
      </c:layout>
      <c:overlay val="0"/>
      <c:spPr>
        <a:solidFill>
          <a:srgbClr val="FFFFFF"/>
        </a:solidFill>
        <a:ln>
          <a:solidFill>
            <a:srgbClr val="000000"/>
          </a:solidFill>
        </a:ln>
      </c:spPr>
      <c:txPr>
        <a:bodyPr rot="0" spcFirstLastPara="0" vertOverflow="ellipsis" vert="horz" wrap="square" anchor="ctr" anchorCtr="1"/>
        <a:lstStyle/>
        <a:p>
          <a:pPr>
            <a:defRPr lang="zh-CN" sz="8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8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Lbls>
            <c:delete val="1"/>
          </c:dLbls>
          <c:cat>
            <c:strRef>
              <c:f>'[决算公开柱状图表2021年(汇总）1.xls]Sheet1'!$B$28:$B$29</c:f>
              <c:strCache>
                <c:ptCount val="2"/>
                <c:pt idx="0">
                  <c:v>一般公共预算财政拨款收入</c:v>
                </c:pt>
                <c:pt idx="1">
                  <c:v>政府性基金预算财政拨款收入</c:v>
                </c:pt>
              </c:strCache>
            </c:strRef>
          </c:cat>
          <c:val>
            <c:numRef>
              <c:f>'[决算公开柱状图表2021年(本级）1.xls]Sheet1'!$C$28:$C$29</c:f>
              <c:numCache>
                <c:formatCode>General</c:formatCode>
                <c:ptCount val="2"/>
                <c:pt idx="0">
                  <c:v>1323.21</c:v>
                </c:pt>
                <c:pt idx="1">
                  <c:v>4589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2"/>
          <c:y val="0.38175"/>
          <c:w val="0.3355"/>
          <c:h val="0.23625"/>
        </c:manualLayout>
      </c:layout>
      <c:overlay val="0"/>
      <c:spPr>
        <a:solidFill>
          <a:srgbClr val="FFFFFF"/>
        </a:solidFill>
        <a:ln>
          <a:solidFill>
            <a:srgbClr val="000000"/>
          </a:solidFill>
        </a:ln>
      </c:spPr>
      <c:txPr>
        <a:bodyPr rot="0" spcFirstLastPara="0" vertOverflow="ellipsis" vert="horz" wrap="square" anchor="ctr" anchorCtr="1"/>
        <a:lstStyle/>
        <a:p>
          <a:pPr>
            <a:defRPr lang="zh-CN" sz="5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5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00" b="0" i="0" u="none" strike="noStrike" kern="1200" spc="0" baseline="0">
                <a:solidFill>
                  <a:sysClr val="windowText" lastClr="000000">
                    <a:lumMod val="65000"/>
                    <a:lumOff val="35000"/>
                  </a:sysClr>
                </a:solidFill>
                <a:latin typeface="+mn-lt"/>
                <a:ea typeface="+mn-ea"/>
                <a:cs typeface="+mn-cs"/>
              </a:defRPr>
            </a:pPr>
            <a:r>
              <a:rPr lang="en-US" altLang="zh-CN"/>
              <a:t>2021</a:t>
            </a:r>
            <a:r>
              <a:rPr altLang="en-US"/>
              <a:t>年本年支出结构图</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rgbClr val="5B9BD5"/>
              </a:solidFill>
              <a:ln w="19050">
                <a:solidFill>
                  <a:sysClr val="window" lastClr="FFFFFF"/>
                </a:solidFill>
              </a:ln>
              <a:effectLst/>
            </c:spPr>
          </c:dPt>
          <c:dPt>
            <c:idx val="1"/>
            <c:bubble3D val="0"/>
            <c:spPr>
              <a:solidFill>
                <a:srgbClr val="ED7D31"/>
              </a:solidFill>
              <a:ln w="19050">
                <a:solidFill>
                  <a:sysClr val="window" lastClr="FFFFFF"/>
                </a:solidFill>
              </a:ln>
              <a:effectLst/>
            </c:spPr>
          </c:dPt>
          <c:dLbls>
            <c:delete val="1"/>
          </c:dLbls>
          <c:cat>
            <c:strRef>
              <c:f>'[决算公开柱状图表2021年(本级）1.xls]Sheet1'!$B$57:$B$58</c:f>
              <c:strCache>
                <c:ptCount val="2"/>
                <c:pt idx="0">
                  <c:v>基本支出</c:v>
                </c:pt>
                <c:pt idx="1">
                  <c:v>项目支出</c:v>
                </c:pt>
              </c:strCache>
            </c:strRef>
          </c:cat>
          <c:val>
            <c:numRef>
              <c:f>'[决算公开柱状图表2021年(本级）1.xls]Sheet1'!$C$57:$C$58</c:f>
              <c:numCache>
                <c:formatCode>General</c:formatCode>
                <c:ptCount val="2"/>
                <c:pt idx="0">
                  <c:v>546.66</c:v>
                </c:pt>
                <c:pt idx="1">
                  <c:v>6991.73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'[决算公开柱状图表2021年(本级）1.xls]Sheet1'!$A$7</c:f>
              <c:strCache>
                <c:ptCount val="1"/>
                <c:pt idx="0">
                  <c:v>2020年</c:v>
                </c:pt>
              </c:strCache>
            </c:strRef>
          </c:tx>
          <c:spPr>
            <a:solidFill>
              <a:srgbClr val="9999FF"/>
            </a:solidFill>
            <a:ln w="12700">
              <a:solidFill>
                <a:srgbClr val="000000"/>
              </a:solidFill>
            </a:ln>
          </c:spPr>
          <c:invertIfNegative val="0"/>
          <c:dLbls>
            <c:delete val="1"/>
          </c:dLbls>
          <c:cat>
            <c:strRef>
              <c:f>'[决算公开柱状图表2021年(本级）1.xls]Sheet1'!$B$5:$C$5</c:f>
              <c:strCache>
                <c:ptCount val="2"/>
                <c:pt idx="0">
                  <c:v>收入</c:v>
                </c:pt>
                <c:pt idx="1">
                  <c:v>支出</c:v>
                </c:pt>
              </c:strCache>
            </c:strRef>
          </c:cat>
          <c:val>
            <c:numRef>
              <c:f>'[决算公开柱状图表2021年(本级）1.xls]Sheet1'!$B$7:$C$7</c:f>
              <c:numCache>
                <c:formatCode>General</c:formatCode>
                <c:ptCount val="2"/>
                <c:pt idx="0">
                  <c:v>41036700</c:v>
                </c:pt>
                <c:pt idx="1">
                  <c:v>34686200</c:v>
                </c:pt>
              </c:numCache>
            </c:numRef>
          </c:val>
        </c:ser>
        <c:ser>
          <c:idx val="1"/>
          <c:order val="1"/>
          <c:tx>
            <c:strRef>
              <c:f>'[决算公开柱状图表2021年(本级）1.xls]Sheet1'!$A$8</c:f>
              <c:strCache>
                <c:ptCount val="1"/>
                <c:pt idx="0">
                  <c:v>2021年</c:v>
                </c:pt>
              </c:strCache>
            </c:strRef>
          </c:tx>
          <c:spPr>
            <a:solidFill>
              <a:srgbClr val="993366"/>
            </a:solidFill>
            <a:ln w="12700">
              <a:solidFill>
                <a:srgbClr val="000000"/>
              </a:solidFill>
            </a:ln>
          </c:spPr>
          <c:invertIfNegative val="0"/>
          <c:dLbls>
            <c:delete val="1"/>
          </c:dLbls>
          <c:cat>
            <c:strRef>
              <c:f>'[决算公开柱状图表2021年(本级）1.xls]Sheet1'!$B$5:$C$5</c:f>
              <c:strCache>
                <c:ptCount val="2"/>
                <c:pt idx="0">
                  <c:v>收入</c:v>
                </c:pt>
                <c:pt idx="1">
                  <c:v>支出</c:v>
                </c:pt>
              </c:strCache>
            </c:strRef>
          </c:cat>
          <c:val>
            <c:numRef>
              <c:f>'[决算公开柱状图表2021年(本级）1.xls]Sheet1'!$B$8:$C$8</c:f>
              <c:numCache>
                <c:formatCode>General</c:formatCode>
                <c:ptCount val="2"/>
                <c:pt idx="0">
                  <c:v>75383900</c:v>
                </c:pt>
                <c:pt idx="1">
                  <c:v>75383900</c:v>
                </c:pt>
              </c:numCache>
            </c:numRef>
          </c:val>
        </c:ser>
        <c:dLbls>
          <c:showLegendKey val="0"/>
          <c:showVal val="0"/>
          <c:showCatName val="0"/>
          <c:showSerName val="0"/>
          <c:showPercent val="0"/>
          <c:showBubbleSize val="0"/>
        </c:dLbls>
        <c:gapWidth val="150"/>
        <c:overlap val="0"/>
        <c:axId val="745396396"/>
        <c:axId val="16959563"/>
      </c:barChart>
      <c:catAx>
        <c:axId val="745396396"/>
        <c:scaling>
          <c:orientation val="minMax"/>
        </c:scaling>
        <c:delete val="0"/>
        <c:axPos val="b"/>
        <c:majorTickMark val="in"/>
        <c:minorTickMark val="none"/>
        <c:tickLblPos val="low"/>
        <c:spPr>
          <a:ln w="3175" cap="flat" cmpd="sng" algn="ctr">
            <a:solidFill>
              <a:srgbClr val="000000"/>
            </a:solidFill>
            <a:prstDash val="solid"/>
            <a:round/>
          </a:ln>
        </c:spPr>
        <c:txPr>
          <a:bodyPr rot="-60000000" spcFirstLastPara="0" vertOverflow="ellipsis" vert="horz" wrap="square" anchor="ctr" anchorCtr="1"/>
          <a:lstStyle/>
          <a:p>
            <a:pPr>
              <a:defRPr lang="zh-CN" sz="8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959563"/>
        <c:crosses val="autoZero"/>
        <c:auto val="1"/>
        <c:lblAlgn val="ctr"/>
        <c:lblOffset val="100"/>
        <c:noMultiLvlLbl val="0"/>
      </c:catAx>
      <c:valAx>
        <c:axId val="16959563"/>
        <c:scaling>
          <c:orientation val="minMax"/>
        </c:scaling>
        <c:delete val="0"/>
        <c:axPos val="l"/>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8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74539639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8285"/>
          <c:y val="0.44325"/>
          <c:w val="0.16"/>
          <c:h val="0.11"/>
        </c:manualLayout>
      </c:layout>
      <c:overlay val="0"/>
      <c:spPr>
        <a:solidFill>
          <a:srgbClr val="FFFFFF"/>
        </a:solidFill>
        <a:ln>
          <a:solidFill>
            <a:srgbClr val="000000"/>
          </a:solidFill>
        </a:ln>
      </c:spPr>
      <c:txPr>
        <a:bodyPr rot="0" spcFirstLastPara="0" vertOverflow="ellipsis" vert="horz" wrap="square" anchor="ctr" anchorCtr="1"/>
        <a:lstStyle/>
        <a:p>
          <a:pPr>
            <a:defRPr lang="zh-CN" sz="8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8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ysClr val="windowText" lastClr="000000">
                  <a:lumMod val="65000"/>
                  <a:lumOff val="35000"/>
                </a:sysClr>
              </a:solidFill>
              <a:latin typeface="+mn-lt"/>
              <a:ea typeface="+mn-ea"/>
              <a:cs typeface="+mn-cs"/>
            </a:defRPr>
          </a:pPr>
        </a:p>
      </c:txPr>
    </c:title>
    <c:autoTitleDeleted val="0"/>
    <c:plotArea>
      <c:layout/>
      <c:barChart>
        <c:barDir val="col"/>
        <c:grouping val="stacked"/>
        <c:varyColors val="0"/>
        <c:ser>
          <c:idx val="0"/>
          <c:order val="0"/>
          <c:tx>
            <c:strRef>
              <c:f>'[决算公开柱状图表2021年(本级）1.xls]Sheet1'!$C$74</c:f>
              <c:strCache>
                <c:ptCount val="1"/>
                <c:pt idx="0">
                  <c:v>一般公共预算财政拨款支出</c:v>
                </c:pt>
              </c:strCache>
            </c:strRef>
          </c:tx>
          <c:spPr>
            <a:solidFill>
              <a:srgbClr val="5B9BD5"/>
            </a:solidFill>
            <a:ln>
              <a:noFill/>
            </a:ln>
            <a:effectLst/>
          </c:spPr>
          <c:invertIfNegative val="0"/>
          <c:dLbls>
            <c:delete val="1"/>
          </c:dLbls>
          <c:cat>
            <c:strRef>
              <c:f>'[决算公开柱状图表2021年(本级）1.xls]Sheet1'!$B$75:$B$76</c:f>
              <c:strCache>
                <c:ptCount val="2"/>
                <c:pt idx="0">
                  <c:v>2020年</c:v>
                </c:pt>
                <c:pt idx="1">
                  <c:v>2021年</c:v>
                </c:pt>
              </c:strCache>
            </c:strRef>
          </c:cat>
          <c:val>
            <c:numRef>
              <c:f>'[决算公开柱状图表2021年(本级）1.xls]Sheet1'!$C$75:$C$76</c:f>
              <c:numCache>
                <c:formatCode>General</c:formatCode>
                <c:ptCount val="2"/>
                <c:pt idx="0">
                  <c:v>13326200</c:v>
                </c:pt>
                <c:pt idx="1">
                  <c:v>29493900</c:v>
                </c:pt>
              </c:numCache>
            </c:numRef>
          </c:val>
        </c:ser>
        <c:dLbls>
          <c:showLegendKey val="0"/>
          <c:showVal val="0"/>
          <c:showCatName val="0"/>
          <c:showSerName val="0"/>
          <c:showPercent val="0"/>
          <c:showBubbleSize val="0"/>
        </c:dLbls>
        <c:gapWidth val="150"/>
        <c:overlap val="100"/>
        <c:axId val="752660627"/>
        <c:axId val="668389222"/>
      </c:barChart>
      <c:catAx>
        <c:axId val="752660627"/>
        <c:scaling>
          <c:orientation val="minMax"/>
        </c:scaling>
        <c:delete val="0"/>
        <c:axPos val="b"/>
        <c:majorTickMark val="none"/>
        <c:minorTickMark val="none"/>
        <c:tickLblPos val="nextTo"/>
        <c:spPr>
          <a:noFill/>
          <a:ln w="9525" cap="flat" cmpd="sng" algn="ctr">
            <a:solidFill>
              <a:sysClr val="windowText" lastClr="000000">
                <a:lumMod val="15000"/>
                <a:lumOff val="85000"/>
              </a:sys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668389222"/>
        <c:crosses val="autoZero"/>
        <c:auto val="1"/>
        <c:lblAlgn val="ctr"/>
        <c:lblOffset val="100"/>
        <c:noMultiLvlLbl val="0"/>
      </c:catAx>
      <c:valAx>
        <c:axId val="668389222"/>
        <c:scaling>
          <c:orientation val="minMax"/>
        </c:scaling>
        <c:delete val="0"/>
        <c:axPos val="l"/>
        <c:majorGridlines>
          <c:spPr>
            <a:ln w="9525" cap="flat" cmpd="sng" algn="ctr">
              <a:solidFill>
                <a:sysClr val="windowText" lastClr="000000">
                  <a:lumMod val="15000"/>
                  <a:lumOff val="85000"/>
                </a:sys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752660627"/>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00" b="0" i="0" u="none" strike="noStrike" kern="1200" spc="0" baseline="0">
                <a:solidFill>
                  <a:sysClr val="windowText" lastClr="000000">
                    <a:lumMod val="65000"/>
                    <a:lumOff val="35000"/>
                  </a:sysClr>
                </a:solidFill>
                <a:latin typeface="+mn-lt"/>
                <a:ea typeface="+mn-ea"/>
                <a:cs typeface="+mn-cs"/>
              </a:defRPr>
            </a:pPr>
            <a:r>
              <a:rPr lang="en-US" altLang="zh-CN"/>
              <a:t>2021</a:t>
            </a:r>
            <a:r>
              <a:rPr altLang="en-US"/>
              <a:t>年一般公共预算财政拨款支出结构图</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rgbClr val="5B9BD5"/>
              </a:solidFill>
              <a:ln w="19050">
                <a:solidFill>
                  <a:sysClr val="window" lastClr="FFFFFF"/>
                </a:solidFill>
              </a:ln>
              <a:effectLst/>
            </c:spPr>
          </c:dPt>
          <c:dPt>
            <c:idx val="1"/>
            <c:bubble3D val="0"/>
            <c:spPr>
              <a:solidFill>
                <a:srgbClr val="ED7D31"/>
              </a:solidFill>
              <a:ln w="19050">
                <a:solidFill>
                  <a:sysClr val="window" lastClr="FFFFFF"/>
                </a:solidFill>
              </a:ln>
              <a:effectLst/>
            </c:spPr>
          </c:dPt>
          <c:dPt>
            <c:idx val="2"/>
            <c:bubble3D val="0"/>
            <c:spPr>
              <a:solidFill>
                <a:srgbClr val="A5A5A5"/>
              </a:solidFill>
              <a:ln w="19050">
                <a:solidFill>
                  <a:sysClr val="window" lastClr="FFFFFF"/>
                </a:solidFill>
              </a:ln>
              <a:effectLst/>
            </c:spPr>
          </c:dPt>
          <c:dPt>
            <c:idx val="3"/>
            <c:bubble3D val="0"/>
            <c:spPr>
              <a:solidFill>
                <a:srgbClr val="FFC000"/>
              </a:solidFill>
              <a:ln w="19050">
                <a:solidFill>
                  <a:sysClr val="window" lastClr="FFFFFF"/>
                </a:solidFill>
              </a:ln>
              <a:effectLst/>
            </c:spPr>
          </c:dPt>
          <c:dPt>
            <c:idx val="4"/>
            <c:bubble3D val="0"/>
            <c:spPr>
              <a:solidFill>
                <a:srgbClr val="4472C4"/>
              </a:solidFill>
              <a:ln w="19050">
                <a:solidFill>
                  <a:sysClr val="window" lastClr="FFFFFF"/>
                </a:solidFill>
              </a:ln>
              <a:effectLst/>
            </c:spPr>
          </c:dPt>
          <c:dPt>
            <c:idx val="5"/>
            <c:bubble3D val="0"/>
            <c:spPr>
              <a:solidFill>
                <a:srgbClr val="70AD47"/>
              </a:solidFill>
              <a:ln w="19050">
                <a:solidFill>
                  <a:sysClr val="window" lastClr="FFFFFF"/>
                </a:solidFill>
              </a:ln>
              <a:effectLst/>
            </c:spPr>
          </c:dPt>
          <c:dPt>
            <c:idx val="6"/>
            <c:bubble3D val="0"/>
            <c:spPr>
              <a:solidFill>
                <a:srgbClr val="5B9BD5">
                  <a:lumMod val="60000"/>
                </a:srgbClr>
              </a:solidFill>
              <a:ln w="19050">
                <a:solidFill>
                  <a:sysClr val="window" lastClr="FFFFFF"/>
                </a:solidFill>
              </a:ln>
              <a:effectLst/>
            </c:spPr>
          </c:dPt>
          <c:dLbls>
            <c:delete val="1"/>
          </c:dLbls>
          <c:cat>
            <c:strRef>
              <c:f>'[决算公开柱状图表2021年(本级）1.xls]Sheet1'!$B$32:$B$38</c:f>
              <c:strCache>
                <c:ptCount val="7"/>
                <c:pt idx="0">
                  <c:v>一般公共服务</c:v>
                </c:pt>
                <c:pt idx="1">
                  <c:v>文化旅游体育与传媒支出</c:v>
                </c:pt>
                <c:pt idx="2">
                  <c:v>社会保障和就业支出</c:v>
                </c:pt>
                <c:pt idx="3">
                  <c:v>卫生健康支出</c:v>
                </c:pt>
                <c:pt idx="4">
                  <c:v>农林水支出</c:v>
                </c:pt>
                <c:pt idx="5">
                  <c:v>住房保障支出</c:v>
                </c:pt>
                <c:pt idx="6">
                  <c:v>其他支出</c:v>
                </c:pt>
              </c:strCache>
            </c:strRef>
          </c:cat>
          <c:val>
            <c:numRef>
              <c:f>'[决算公开柱状图表2021年(本级）1.xls]Sheet1'!$C$32:$C$38</c:f>
              <c:numCache>
                <c:formatCode>General</c:formatCode>
                <c:ptCount val="7"/>
                <c:pt idx="0">
                  <c:v>1</c:v>
                </c:pt>
                <c:pt idx="1">
                  <c:v>2708.35</c:v>
                </c:pt>
                <c:pt idx="2">
                  <c:v>95.99</c:v>
                </c:pt>
                <c:pt idx="3">
                  <c:v>27.7</c:v>
                </c:pt>
                <c:pt idx="4">
                  <c:v>70</c:v>
                </c:pt>
                <c:pt idx="5">
                  <c:v>40.35</c:v>
                </c:pt>
                <c:pt idx="6">
                  <c:v>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ysClr val="windowText" lastClr="000000">
        <a:lumMod val="65000"/>
        <a:lumOff val="35000"/>
      </a:sysClr>
    </cs:fontRef>
    <cs:defRPr sz="1000" kern="1200"/>
  </cs:axisTitle>
  <cs:categoryAxis>
    <cs:lnRef idx="0"/>
    <cs:fillRef idx="0"/>
    <cs:effectRef idx="0"/>
    <cs:fontRef idx="minor">
      <a:sysClr val="windowText" lastClr="000000">
        <a:lumMod val="65000"/>
        <a:lumOff val="35000"/>
      </a:sysClr>
    </cs:fontRef>
    <cs:spPr>
      <a:ln w="9525" cap="flat" cmpd="sng" algn="ctr">
        <a:solidFill>
          <a:sysClr val="windowText" lastClr="000000">
            <a:lumMod val="15000"/>
            <a:lumOff val="85000"/>
          </a:sysClr>
        </a:solidFill>
        <a:round/>
      </a:ln>
    </cs:spPr>
    <cs:defRPr sz="900" kern="1200"/>
  </cs:categoryAxis>
  <cs:chartArea mods="allowNoFillOverride allowNoLineOverride">
    <cs:lnRef idx="0"/>
    <cs:fillRef idx="0"/>
    <cs:effectRef idx="0"/>
    <cs:fontRef idx="minor">
      <a:sysClr val="windowText" lastClr="000000"/>
    </cs:fontRef>
    <cs:spPr>
      <a:solidFill>
        <a:sysClr val="window" lastClr="FFFFFF"/>
      </a:solidFill>
      <a:ln w="9525" cap="flat" cmpd="sng" algn="ctr">
        <a:solidFill>
          <a:sysClr val="windowText" lastClr="000000">
            <a:lumMod val="15000"/>
            <a:lumOff val="85000"/>
          </a:sysClr>
        </a:solidFill>
        <a:round/>
      </a:ln>
    </cs:spPr>
    <cs:defRPr sz="1000" kern="1200"/>
  </cs:chartArea>
  <cs:dataLabel>
    <cs:lnRef idx="0"/>
    <cs:fillRef idx="0"/>
    <cs:effectRef idx="0"/>
    <cs:fontRef idx="minor">
      <a:sysClr val="windowText" lastClr="000000">
        <a:lumMod val="75000"/>
        <a:lumOff val="25000"/>
      </a:sysClr>
    </cs:fontRef>
    <cs:defRPr sz="900" kern="1200"/>
  </cs:dataLabel>
  <cs:dataLabelCallout>
    <cs:lnRef idx="0"/>
    <cs:fillRef idx="0"/>
    <cs:effectRef idx="0"/>
    <cs:fontRef idx="minor">
      <a:sysClr val="windowText" lastClr="000000">
        <a:lumMod val="65000"/>
        <a:lumOff val="35000"/>
      </a:sysClr>
    </cs:fontRef>
    <cs:spPr>
      <a:solidFill>
        <a:sysClr val="window" lastClr="FFFFFF"/>
      </a:solidFill>
      <a:ln>
        <a:solidFill>
          <a:sysClr val="windowText" lastClr="000000">
            <a:lumMod val="25000"/>
            <a:lumOff val="75000"/>
          </a:sys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ysClr val="windowText" lastClr="000000"/>
    </cs:fontRef>
  </cs:dataPoint>
  <cs:dataPoint3D>
    <cs:lnRef idx="0"/>
    <cs:fillRef idx="1">
      <cs:styleClr val="auto"/>
    </cs:fillRef>
    <cs:effectRef idx="0"/>
    <cs:fontRef idx="minor">
      <a:sysClr val="windowText" lastClr="000000"/>
    </cs:fontRef>
  </cs:dataPoint3D>
  <cs:dataPointLine>
    <cs:lnRef idx="0">
      <cs:styleClr val="auto"/>
    </cs:lnRef>
    <cs:fillRef idx="1"/>
    <cs:effectRef idx="0"/>
    <cs:fontRef idx="minor">
      <a:sysClr val="windowText" lastClr="000000"/>
    </cs:fontRef>
    <cs:spPr>
      <a:ln w="28575" cap="rnd">
        <a:solidFill>
          <a:srgbClr val="FFFFFF"/>
        </a:solidFill>
        <a:round/>
      </a:ln>
    </cs:spPr>
  </cs:dataPointLine>
  <cs:dataPointMarker>
    <cs:lnRef idx="0">
      <cs:styleClr val="auto"/>
    </cs:lnRef>
    <cs:fillRef idx="1">
      <cs:styleClr val="auto"/>
    </cs:fillRef>
    <cs:effectRef idx="0"/>
    <cs:fontRef idx="minor">
      <a:sysClr val="windowText" lastClr="000000"/>
    </cs:fontRef>
    <cs:spPr>
      <a:ln w="9525">
        <a:solidFill>
          <a:srgbClr val="FFFFFF"/>
        </a:solidFill>
      </a:ln>
    </cs:spPr>
  </cs:dataPointMarker>
  <cs:dataPointMarkerLayout symbol="circle" size="5"/>
  <cs:dataPointWireframe>
    <cs:lnRef idx="0">
      <cs:styleClr val="auto"/>
    </cs:lnRef>
    <cs:fillRef idx="1"/>
    <cs:effectRef idx="0"/>
    <cs:fontRef idx="minor">
      <a:sysClr val="windowText" lastClr="000000"/>
    </cs:fontRef>
    <cs:spPr>
      <a:ln w="9525" cap="rnd">
        <a:solidFill>
          <a:srgbClr val="FFFFFF"/>
        </a:solidFill>
        <a:round/>
      </a:ln>
    </cs:spPr>
  </cs:dataPointWireframe>
  <cs:dataTable>
    <cs:lnRef idx="0"/>
    <cs:fillRef idx="0"/>
    <cs:effectRef idx="0"/>
    <cs:fontRef idx="minor">
      <a:sysClr val="windowText" lastClr="000000">
        <a:lumMod val="65000"/>
        <a:lumOff val="35000"/>
      </a:sysClr>
    </cs:fontRef>
    <cs:spPr>
      <a:noFill/>
      <a:ln w="9525" cap="flat" cmpd="sng" algn="ctr">
        <a:solidFill>
          <a:sysClr val="windowText" lastClr="000000">
            <a:lumMod val="15000"/>
            <a:lumOff val="85000"/>
          </a:sysClr>
        </a:solidFill>
        <a:round/>
      </a:ln>
    </cs:spPr>
    <cs:defRPr sz="900" kern="1200"/>
  </cs:dataTable>
  <cs:downBar>
    <cs:lnRef idx="0"/>
    <cs:fillRef idx="0"/>
    <cs:effectRef idx="0"/>
    <cs:fontRef idx="minor">
      <a:sysClr val="windowText" lastClr="000000"/>
    </cs:fontRef>
    <cs:spPr>
      <a:solidFill>
        <a:sysClr val="windowText" lastClr="000000">
          <a:lumMod val="75000"/>
          <a:lumOff val="25000"/>
        </a:sysClr>
      </a:solidFill>
      <a:ln w="9525" cap="flat" cmpd="sng" algn="ctr">
        <a:solidFill>
          <a:sysClr val="windowText" lastClr="000000">
            <a:lumMod val="65000"/>
            <a:lumOff val="35000"/>
          </a:sysClr>
        </a:solidFill>
        <a:round/>
      </a:ln>
    </cs:spPr>
  </cs:downBar>
  <cs:dropLine>
    <cs:lnRef idx="0"/>
    <cs:fillRef idx="0"/>
    <cs:effectRef idx="0"/>
    <cs:fontRef idx="minor">
      <a:sysClr val="windowText" lastClr="000000"/>
    </cs:fontRef>
    <cs:spPr>
      <a:ln w="9525" cap="flat" cmpd="sng" algn="ctr">
        <a:solidFill>
          <a:sysClr val="windowText" lastClr="000000">
            <a:lumMod val="35000"/>
            <a:lumOff val="65000"/>
          </a:sysClr>
        </a:solidFill>
        <a:round/>
      </a:ln>
    </cs:spPr>
  </cs:dropLine>
  <cs:errorBar>
    <cs:lnRef idx="0"/>
    <cs:fillRef idx="0"/>
    <cs:effectRef idx="0"/>
    <cs:fontRef idx="minor">
      <a:sysClr val="windowText" lastClr="000000"/>
    </cs:fontRef>
    <cs:spPr>
      <a:ln w="9525" cap="flat" cmpd="sng" algn="ctr">
        <a:solidFill>
          <a:sysClr val="windowText" lastClr="000000">
            <a:lumMod val="65000"/>
            <a:lumOff val="35000"/>
          </a:sysClr>
        </a:solidFill>
        <a:round/>
      </a:ln>
    </cs:spPr>
  </cs:errorBar>
  <cs:floor>
    <cs:lnRef idx="0"/>
    <cs:fillRef idx="0"/>
    <cs:effectRef idx="0"/>
    <cs:fontRef idx="minor">
      <a:sysClr val="windowText" lastClr="000000"/>
    </cs:fontRef>
    <cs:spPr>
      <a:noFill/>
      <a:ln>
        <a:noFill/>
      </a:ln>
    </cs:spPr>
  </cs:floor>
  <cs:gridlineMajor>
    <cs:lnRef idx="0"/>
    <cs:fillRef idx="0"/>
    <cs:effectRef idx="0"/>
    <cs:fontRef idx="minor">
      <a:sysClr val="windowText" lastClr="000000"/>
    </cs:fontRef>
    <cs:spPr>
      <a:ln w="9525" cap="flat" cmpd="sng" algn="ctr">
        <a:solidFill>
          <a:sysClr val="windowText" lastClr="000000">
            <a:lumMod val="15000"/>
            <a:lumOff val="85000"/>
          </a:sysClr>
        </a:solidFill>
        <a:round/>
      </a:ln>
    </cs:spPr>
  </cs:gridlineMajor>
  <cs:gridlineMinor>
    <cs:lnRef idx="0"/>
    <cs:fillRef idx="0"/>
    <cs:effectRef idx="0"/>
    <cs:fontRef idx="minor">
      <a:sysClr val="windowText" lastClr="000000"/>
    </cs:fontRef>
    <cs:spPr>
      <a:ln w="9525" cap="flat" cmpd="sng" algn="ctr">
        <a:solidFill>
          <a:sysClr val="windowText" lastClr="000000">
            <a:lumMod val="5000"/>
            <a:lumOff val="95000"/>
          </a:sysClr>
        </a:solidFill>
        <a:round/>
      </a:ln>
    </cs:spPr>
  </cs:gridlineMinor>
  <cs:hiLoLine>
    <cs:lnRef idx="0"/>
    <cs:fillRef idx="0"/>
    <cs:effectRef idx="0"/>
    <cs:fontRef idx="minor">
      <a:sysClr val="windowText" lastClr="000000"/>
    </cs:fontRef>
    <cs:spPr>
      <a:ln w="9525" cap="flat" cmpd="sng" algn="ctr">
        <a:solidFill>
          <a:sysClr val="windowText" lastClr="000000">
            <a:lumMod val="50000"/>
            <a:lumOff val="50000"/>
          </a:sysClr>
        </a:solidFill>
        <a:round/>
      </a:ln>
    </cs:spPr>
  </cs:hiLoLine>
  <cs:leaderLine>
    <cs:lnRef idx="0"/>
    <cs:fillRef idx="0"/>
    <cs:effectRef idx="0"/>
    <cs:fontRef idx="minor">
      <a:sysClr val="windowText" lastClr="000000"/>
    </cs:fontRef>
    <cs:spPr>
      <a:ln w="9525" cap="flat" cmpd="sng" algn="ctr">
        <a:solidFill>
          <a:sysClr val="windowText" lastClr="000000">
            <a:lumMod val="35000"/>
            <a:lumOff val="65000"/>
          </a:sysClr>
        </a:solidFill>
        <a:round/>
      </a:ln>
    </cs:spPr>
  </cs:leaderLine>
  <cs:legend>
    <cs:lnRef idx="0"/>
    <cs:fillRef idx="0"/>
    <cs:effectRef idx="0"/>
    <cs:fontRef idx="minor">
      <a:sysClr val="windowText" lastClr="000000">
        <a:lumMod val="65000"/>
        <a:lumOff val="35000"/>
      </a:sysClr>
    </cs:fontRef>
    <cs:defRPr sz="900" kern="1200"/>
  </cs:legend>
  <cs:plotArea mods="allowNoFillOverride allowNoLineOverride">
    <cs:lnRef idx="0"/>
    <cs:fillRef idx="0"/>
    <cs:effectRef idx="0"/>
    <cs:fontRef idx="minor">
      <a:sysClr val="windowText" lastClr="000000"/>
    </cs:fontRef>
  </cs:plotArea>
  <cs:plotArea3D mods="allowNoFillOverride allowNoLineOverride">
    <cs:lnRef idx="0"/>
    <cs:fillRef idx="0"/>
    <cs:effectRef idx="0"/>
    <cs:fontRef idx="minor">
      <a:sysClr val="windowText" lastClr="000000"/>
    </cs:fontRef>
  </cs:plotArea3D>
  <cs:seriesAxis>
    <cs:lnRef idx="0"/>
    <cs:fillRef idx="0"/>
    <cs:effectRef idx="0"/>
    <cs:fontRef idx="minor">
      <a:sysClr val="windowText" lastClr="000000">
        <a:lumMod val="65000"/>
        <a:lumOff val="35000"/>
      </a:sysClr>
    </cs:fontRef>
    <cs:defRPr sz="900" kern="1200"/>
  </cs:seriesAxis>
  <cs:seriesLine>
    <cs:lnRef idx="0"/>
    <cs:fillRef idx="0"/>
    <cs:effectRef idx="0"/>
    <cs:fontRef idx="minor">
      <a:sysClr val="windowText" lastClr="000000"/>
    </cs:fontRef>
    <cs:spPr>
      <a:ln w="9525" cap="flat" cmpd="sng" algn="ctr">
        <a:solidFill>
          <a:sysClr val="windowText" lastClr="000000">
            <a:lumMod val="35000"/>
            <a:lumOff val="65000"/>
          </a:sysClr>
        </a:solidFill>
        <a:round/>
      </a:ln>
    </cs:spPr>
  </cs:seriesLine>
  <cs:title>
    <cs:lnRef idx="0"/>
    <cs:fillRef idx="0"/>
    <cs:effectRef idx="0"/>
    <cs:fontRef idx="minor">
      <a:sysClr val="windowText" lastClr="000000">
        <a:lumMod val="65000"/>
        <a:lumOff val="35000"/>
      </a:sysClr>
    </cs:fontRef>
    <cs:defRPr sz="1400" b="0" kern="1200" spc="0" baseline="0"/>
  </cs:title>
  <cs:trendline>
    <cs:lnRef idx="0">
      <cs:styleClr val="auto"/>
    </cs:lnRef>
    <cs:fillRef idx="0"/>
    <cs:effectRef idx="0"/>
    <cs:fontRef idx="minor">
      <a:sysClr val="windowText" lastClr="000000"/>
    </cs:fontRef>
    <cs:spPr>
      <a:ln w="19050" cap="rnd">
        <a:solidFill>
          <a:srgbClr val="FFFFFF"/>
        </a:solidFill>
        <a:prstDash val="sysDot"/>
      </a:ln>
    </cs:spPr>
  </cs:trendline>
  <cs:trendlineLabel>
    <cs:lnRef idx="0"/>
    <cs:fillRef idx="0"/>
    <cs:effectRef idx="0"/>
    <cs:fontRef idx="minor">
      <a:sysClr val="windowText" lastClr="000000">
        <a:lumMod val="65000"/>
        <a:lumOff val="35000"/>
      </a:sysClr>
    </cs:fontRef>
    <cs:defRPr sz="900" kern="1200"/>
  </cs:trendlineLabel>
  <cs:upBar>
    <cs:lnRef idx="0"/>
    <cs:fillRef idx="0"/>
    <cs:effectRef idx="0"/>
    <cs:fontRef idx="minor">
      <a:sysClr val="windowText" lastClr="000000"/>
    </cs:fontRef>
    <cs:spPr>
      <a:solidFill>
        <a:sysClr val="window" lastClr="FFFFFF"/>
      </a:solidFill>
      <a:ln w="9525" cap="flat" cmpd="sng" algn="ctr">
        <a:solidFill>
          <a:sysClr val="windowText" lastClr="000000">
            <a:lumMod val="65000"/>
            <a:lumOff val="35000"/>
          </a:sysClr>
        </a:solidFill>
        <a:round/>
      </a:ln>
    </cs:spPr>
  </cs:upBar>
  <cs:valueAxis>
    <cs:lnRef idx="0"/>
    <cs:fillRef idx="0"/>
    <cs:effectRef idx="0"/>
    <cs:fontRef idx="minor">
      <a:sysClr val="windowText" lastClr="000000">
        <a:lumMod val="65000"/>
        <a:lumOff val="35000"/>
      </a:sysClr>
    </cs:fontRef>
    <cs:defRPr sz="900" kern="1200"/>
  </cs:valueAxis>
  <cs:wall>
    <cs:lnRef idx="0"/>
    <cs:fillRef idx="0"/>
    <cs:effectRef idx="0"/>
    <cs:fontRef idx="minor">
      <a:sysClr val="windowText" lastClr="000000"/>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ysClr val="windowText" lastClr="000000">
        <a:lumMod val="65000"/>
        <a:lumOff val="35000"/>
      </a:sysClr>
    </cs:fontRef>
    <cs:defRPr sz="1000" kern="1200"/>
  </cs:axisTitle>
  <cs:categoryAxis>
    <cs:lnRef idx="0"/>
    <cs:fillRef idx="0"/>
    <cs:effectRef idx="0"/>
    <cs:fontRef idx="minor">
      <a:sysClr val="windowText" lastClr="000000">
        <a:lumMod val="65000"/>
        <a:lumOff val="35000"/>
      </a:sysClr>
    </cs:fontRef>
    <cs:spPr>
      <a:ln w="9525" cap="flat" cmpd="sng" algn="ctr">
        <a:solidFill>
          <a:sysClr val="windowText" lastClr="000000">
            <a:lumMod val="15000"/>
            <a:lumOff val="85000"/>
          </a:sysClr>
        </a:solidFill>
        <a:round/>
      </a:ln>
    </cs:spPr>
    <cs:defRPr sz="900" kern="1200"/>
  </cs:categoryAxis>
  <cs:chartArea mods="allowNoFillOverride allowNoLineOverride">
    <cs:lnRef idx="0"/>
    <cs:fillRef idx="0"/>
    <cs:effectRef idx="0"/>
    <cs:fontRef idx="minor">
      <a:sysClr val="windowText" lastClr="000000"/>
    </cs:fontRef>
    <cs:spPr>
      <a:solidFill>
        <a:sysClr val="window" lastClr="FFFFFF"/>
      </a:solidFill>
      <a:ln w="9525" cap="flat" cmpd="sng" algn="ctr">
        <a:solidFill>
          <a:sysClr val="windowText" lastClr="000000">
            <a:lumMod val="15000"/>
            <a:lumOff val="85000"/>
          </a:sysClr>
        </a:solidFill>
        <a:round/>
      </a:ln>
    </cs:spPr>
    <cs:defRPr sz="900" kern="1200"/>
  </cs:chartArea>
  <cs:dataLabel>
    <cs:lnRef idx="0"/>
    <cs:fillRef idx="0"/>
    <cs:effectRef idx="0"/>
    <cs:fontRef idx="minor">
      <a:sysClr val="windowText" lastClr="000000">
        <a:lumMod val="75000"/>
        <a:lumOff val="25000"/>
      </a:sysClr>
    </cs:fontRef>
    <cs:defRPr sz="900" kern="1200"/>
  </cs:dataLabel>
  <cs:dataLabelCallout>
    <cs:lnRef idx="0"/>
    <cs:fillRef idx="0"/>
    <cs:effectRef idx="0"/>
    <cs:fontRef idx="minor">
      <a:sysClr val="windowText" lastClr="000000">
        <a:lumMod val="65000"/>
        <a:lumOff val="35000"/>
      </a:sysClr>
    </cs:fontRef>
    <cs:spPr>
      <a:solidFill>
        <a:sysClr val="window" lastClr="FFFFFF"/>
      </a:solidFill>
      <a:ln>
        <a:solidFill>
          <a:sysClr val="windowText" lastClr="000000">
            <a:lumMod val="25000"/>
            <a:lumOff val="75000"/>
          </a:sys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ysClr val="windowText" lastClr="000000"/>
    </cs:fontRef>
    <cs:spPr>
      <a:ln w="19050">
        <a:solidFill>
          <a:sysClr val="window" lastClr="FFFFFF"/>
        </a:solidFill>
      </a:ln>
    </cs:spPr>
  </cs:dataPoint>
  <cs:dataPoint3D>
    <cs:lnRef idx="0"/>
    <cs:fillRef idx="1">
      <cs:styleClr val="auto"/>
    </cs:fillRef>
    <cs:effectRef idx="0"/>
    <cs:fontRef idx="minor">
      <a:sysClr val="windowText" lastClr="000000"/>
    </cs:fontRef>
    <cs:spPr>
      <a:ln w="25400">
        <a:solidFill>
          <a:sysClr val="window" lastClr="FFFFFF"/>
        </a:solidFill>
      </a:ln>
    </cs:spPr>
  </cs:dataPoint3D>
  <cs:dataPointLine>
    <cs:lnRef idx="0">
      <cs:styleClr val="auto"/>
    </cs:lnRef>
    <cs:fillRef idx="0"/>
    <cs:effectRef idx="0"/>
    <cs:fontRef idx="minor">
      <a:sysClr val="windowText" lastClr="000000"/>
    </cs:fontRef>
    <cs:spPr>
      <a:ln w="28575" cap="rnd">
        <a:solidFill>
          <a:srgbClr val="FFFFFF"/>
        </a:solidFill>
        <a:round/>
      </a:ln>
    </cs:spPr>
  </cs:dataPointLine>
  <cs:dataPointMarker>
    <cs:lnRef idx="0">
      <cs:styleClr val="auto"/>
    </cs:lnRef>
    <cs:fillRef idx="1">
      <cs:styleClr val="auto"/>
    </cs:fillRef>
    <cs:effectRef idx="0"/>
    <cs:fontRef idx="minor">
      <a:sysClr val="windowText" lastClr="000000"/>
    </cs:fontRef>
    <cs:spPr>
      <a:ln w="9525">
        <a:solidFill>
          <a:srgbClr val="FFFFFF"/>
        </a:solidFill>
      </a:ln>
    </cs:spPr>
  </cs:dataPointMarker>
  <cs:dataPointMarkerLayout symbol="circle" size="5"/>
  <cs:dataPointWireframe>
    <cs:lnRef idx="0">
      <cs:styleClr val="auto"/>
    </cs:lnRef>
    <cs:fillRef idx="0"/>
    <cs:effectRef idx="0"/>
    <cs:fontRef idx="minor">
      <a:sysClr val="windowText" lastClr="000000"/>
    </cs:fontRef>
    <cs:spPr>
      <a:ln w="9525" cap="rnd">
        <a:solidFill>
          <a:srgbClr val="FFFFFF"/>
        </a:solidFill>
        <a:round/>
      </a:ln>
    </cs:spPr>
  </cs:dataPointWireframe>
  <cs:dataTable>
    <cs:lnRef idx="0"/>
    <cs:fillRef idx="0"/>
    <cs:effectRef idx="0"/>
    <cs:fontRef idx="minor">
      <a:sysClr val="windowText" lastClr="000000">
        <a:lumMod val="65000"/>
        <a:lumOff val="35000"/>
      </a:sysClr>
    </cs:fontRef>
    <cs:spPr>
      <a:noFill/>
      <a:ln w="9525" cap="flat" cmpd="sng" algn="ctr">
        <a:solidFill>
          <a:sysClr val="windowText" lastClr="000000">
            <a:lumMod val="15000"/>
            <a:lumOff val="85000"/>
          </a:sysClr>
        </a:solidFill>
        <a:round/>
      </a:ln>
    </cs:spPr>
    <cs:defRPr sz="900" kern="1200"/>
  </cs:dataTable>
  <cs:downBar>
    <cs:lnRef idx="0"/>
    <cs:fillRef idx="0"/>
    <cs:effectRef idx="0"/>
    <cs:fontRef idx="minor">
      <a:sysClr val="windowText" lastClr="000000"/>
    </cs:fontRef>
    <cs:spPr>
      <a:solidFill>
        <a:sysClr val="windowText" lastClr="000000">
          <a:lumMod val="75000"/>
          <a:lumOff val="25000"/>
        </a:sysClr>
      </a:solidFill>
      <a:ln w="9525" cap="flat" cmpd="sng" algn="ctr">
        <a:solidFill>
          <a:sysClr val="windowText" lastClr="000000">
            <a:lumMod val="65000"/>
            <a:lumOff val="35000"/>
          </a:sysClr>
        </a:solidFill>
        <a:round/>
      </a:ln>
    </cs:spPr>
  </cs:downBar>
  <cs:dropLine>
    <cs:lnRef idx="0"/>
    <cs:fillRef idx="0"/>
    <cs:effectRef idx="0"/>
    <cs:fontRef idx="minor">
      <a:sysClr val="windowText" lastClr="000000"/>
    </cs:fontRef>
    <cs:spPr>
      <a:ln w="9525" cap="flat" cmpd="sng" algn="ctr">
        <a:solidFill>
          <a:sysClr val="windowText" lastClr="000000">
            <a:lumMod val="35000"/>
            <a:lumOff val="65000"/>
          </a:sysClr>
        </a:solidFill>
        <a:round/>
      </a:ln>
    </cs:spPr>
  </cs:dropLine>
  <cs:errorBar>
    <cs:lnRef idx="0"/>
    <cs:fillRef idx="0"/>
    <cs:effectRef idx="0"/>
    <cs:fontRef idx="minor">
      <a:sysClr val="windowText" lastClr="000000"/>
    </cs:fontRef>
    <cs:spPr>
      <a:ln w="9525" cap="flat" cmpd="sng" algn="ctr">
        <a:solidFill>
          <a:sysClr val="windowText" lastClr="000000">
            <a:lumMod val="65000"/>
            <a:lumOff val="35000"/>
          </a:sysClr>
        </a:solidFill>
        <a:round/>
      </a:ln>
    </cs:spPr>
  </cs:errorBar>
  <cs:floor>
    <cs:lnRef idx="0"/>
    <cs:fillRef idx="0"/>
    <cs:effectRef idx="0"/>
    <cs:fontRef idx="minor">
      <a:sysClr val="windowText" lastClr="000000"/>
    </cs:fontRef>
    <cs:spPr>
      <a:noFill/>
      <a:ln>
        <a:noFill/>
      </a:ln>
    </cs:spPr>
  </cs:floor>
  <cs:gridlineMajor>
    <cs:lnRef idx="0"/>
    <cs:fillRef idx="0"/>
    <cs:effectRef idx="0"/>
    <cs:fontRef idx="minor">
      <a:sysClr val="windowText" lastClr="000000"/>
    </cs:fontRef>
    <cs:spPr>
      <a:ln w="9525" cap="flat" cmpd="sng" algn="ctr">
        <a:solidFill>
          <a:sysClr val="windowText" lastClr="000000">
            <a:lumMod val="15000"/>
            <a:lumOff val="85000"/>
          </a:sysClr>
        </a:solidFill>
        <a:round/>
      </a:ln>
    </cs:spPr>
  </cs:gridlineMajor>
  <cs:gridlineMinor>
    <cs:lnRef idx="0"/>
    <cs:fillRef idx="0"/>
    <cs:effectRef idx="0"/>
    <cs:fontRef idx="minor">
      <a:sysClr val="windowText" lastClr="000000"/>
    </cs:fontRef>
    <cs:spPr>
      <a:ln w="9525" cap="flat" cmpd="sng" algn="ctr">
        <a:solidFill>
          <a:sysClr val="windowText" lastClr="000000">
            <a:lumMod val="5000"/>
            <a:lumOff val="95000"/>
          </a:sysClr>
        </a:solidFill>
        <a:round/>
      </a:ln>
    </cs:spPr>
  </cs:gridlineMinor>
  <cs:hiLoLine>
    <cs:lnRef idx="0"/>
    <cs:fillRef idx="0"/>
    <cs:effectRef idx="0"/>
    <cs:fontRef idx="minor">
      <a:sysClr val="windowText" lastClr="000000"/>
    </cs:fontRef>
    <cs:spPr>
      <a:ln w="9525" cap="flat" cmpd="sng" algn="ctr">
        <a:solidFill>
          <a:sysClr val="windowText" lastClr="000000">
            <a:lumMod val="50000"/>
            <a:lumOff val="50000"/>
          </a:sysClr>
        </a:solidFill>
        <a:round/>
      </a:ln>
    </cs:spPr>
  </cs:hiLoLine>
  <cs:leaderLine>
    <cs:lnRef idx="0"/>
    <cs:fillRef idx="0"/>
    <cs:effectRef idx="0"/>
    <cs:fontRef idx="minor">
      <a:sysClr val="windowText" lastClr="000000"/>
    </cs:fontRef>
    <cs:spPr>
      <a:ln w="9525" cap="flat" cmpd="sng" algn="ctr">
        <a:solidFill>
          <a:sysClr val="windowText" lastClr="000000">
            <a:lumMod val="35000"/>
            <a:lumOff val="65000"/>
          </a:sysClr>
        </a:solidFill>
        <a:round/>
      </a:ln>
    </cs:spPr>
  </cs:leaderLine>
  <cs:legend>
    <cs:lnRef idx="0"/>
    <cs:fillRef idx="0"/>
    <cs:effectRef idx="0"/>
    <cs:fontRef idx="minor">
      <a:sysClr val="windowText" lastClr="000000">
        <a:lumMod val="65000"/>
        <a:lumOff val="35000"/>
      </a:sysClr>
    </cs:fontRef>
    <cs:defRPr sz="900" kern="1200"/>
  </cs:legend>
  <cs:plotArea mods="allowNoFillOverride allowNoLineOverride">
    <cs:lnRef idx="0"/>
    <cs:fillRef idx="0"/>
    <cs:effectRef idx="0"/>
    <cs:fontRef idx="minor">
      <a:sysClr val="windowText" lastClr="000000"/>
    </cs:fontRef>
  </cs:plotArea>
  <cs:plotArea3D mods="allowNoFillOverride allowNoLineOverride">
    <cs:lnRef idx="0"/>
    <cs:fillRef idx="0"/>
    <cs:effectRef idx="0"/>
    <cs:fontRef idx="minor">
      <a:sysClr val="windowText" lastClr="000000"/>
    </cs:fontRef>
  </cs:plotArea3D>
  <cs:seriesAxis>
    <cs:lnRef idx="0"/>
    <cs:fillRef idx="0"/>
    <cs:effectRef idx="0"/>
    <cs:fontRef idx="minor">
      <a:sysClr val="windowText" lastClr="000000">
        <a:lumMod val="65000"/>
        <a:lumOff val="35000"/>
      </a:sysClr>
    </cs:fontRef>
    <cs:defRPr sz="900" kern="1200"/>
  </cs:seriesAxis>
  <cs:seriesLine>
    <cs:lnRef idx="0"/>
    <cs:fillRef idx="0"/>
    <cs:effectRef idx="0"/>
    <cs:fontRef idx="minor">
      <a:sysClr val="windowText" lastClr="000000"/>
    </cs:fontRef>
    <cs:spPr>
      <a:ln w="9525" cap="flat" cmpd="sng" algn="ctr">
        <a:solidFill>
          <a:sysClr val="windowText" lastClr="000000">
            <a:lumMod val="35000"/>
            <a:lumOff val="65000"/>
          </a:sysClr>
        </a:solidFill>
        <a:round/>
      </a:ln>
    </cs:spPr>
  </cs:seriesLine>
  <cs:title>
    <cs:lnRef idx="0"/>
    <cs:fillRef idx="0"/>
    <cs:effectRef idx="0"/>
    <cs:fontRef idx="minor">
      <a:sysClr val="windowText" lastClr="000000">
        <a:lumMod val="65000"/>
        <a:lumOff val="35000"/>
      </a:sysClr>
    </cs:fontRef>
    <cs:defRPr sz="1400" b="0" kern="1200" spc="0" baseline="0"/>
  </cs:title>
  <cs:trendline>
    <cs:lnRef idx="0">
      <cs:styleClr val="auto"/>
    </cs:lnRef>
    <cs:fillRef idx="0"/>
    <cs:effectRef idx="0"/>
    <cs:fontRef idx="minor">
      <a:sysClr val="windowText" lastClr="000000"/>
    </cs:fontRef>
    <cs:spPr>
      <a:ln w="19050" cap="rnd">
        <a:solidFill>
          <a:srgbClr val="FFFFFF"/>
        </a:solidFill>
        <a:prstDash val="sysDot"/>
      </a:ln>
    </cs:spPr>
  </cs:trendline>
  <cs:trendlineLabel>
    <cs:lnRef idx="0"/>
    <cs:fillRef idx="0"/>
    <cs:effectRef idx="0"/>
    <cs:fontRef idx="minor">
      <a:sysClr val="windowText" lastClr="000000">
        <a:lumMod val="65000"/>
        <a:lumOff val="35000"/>
      </a:sysClr>
    </cs:fontRef>
    <cs:defRPr sz="900" kern="1200"/>
  </cs:trendlineLabel>
  <cs:upBar>
    <cs:lnRef idx="0"/>
    <cs:fillRef idx="0"/>
    <cs:effectRef idx="0"/>
    <cs:fontRef idx="minor">
      <a:sysClr val="windowText" lastClr="000000"/>
    </cs:fontRef>
    <cs:spPr>
      <a:solidFill>
        <a:sysClr val="window" lastClr="FFFFFF"/>
      </a:solidFill>
      <a:ln w="9525" cap="flat" cmpd="sng" algn="ctr">
        <a:solidFill>
          <a:sysClr val="windowText" lastClr="000000">
            <a:lumMod val="65000"/>
            <a:lumOff val="35000"/>
          </a:sysClr>
        </a:solidFill>
        <a:round/>
      </a:ln>
    </cs:spPr>
  </cs:upBar>
  <cs:valueAxis>
    <cs:lnRef idx="0"/>
    <cs:fillRef idx="0"/>
    <cs:effectRef idx="0"/>
    <cs:fontRef idx="minor">
      <a:sysClr val="windowText" lastClr="000000">
        <a:lumMod val="65000"/>
        <a:lumOff val="35000"/>
      </a:sysClr>
    </cs:fontRef>
    <cs:defRPr sz="900" kern="1200"/>
  </cs:valueAxis>
  <cs:wall>
    <cs:lnRef idx="0"/>
    <cs:fillRef idx="0"/>
    <cs:effectRef idx="0"/>
    <cs:fontRef idx="minor">
      <a:sysClr val="windowText" lastClr="000000"/>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ysClr val="windowText" lastClr="000000">
        <a:lumMod val="65000"/>
        <a:lumOff val="35000"/>
      </a:sysClr>
    </cs:fontRef>
    <cs:defRPr sz="1000" kern="1200"/>
  </cs:axisTitle>
  <cs:categoryAxis>
    <cs:lnRef idx="0"/>
    <cs:fillRef idx="0"/>
    <cs:effectRef idx="0"/>
    <cs:fontRef idx="minor">
      <a:sysClr val="windowText" lastClr="000000">
        <a:lumMod val="65000"/>
        <a:lumOff val="35000"/>
      </a:sysClr>
    </cs:fontRef>
    <cs:spPr>
      <a:ln w="9525" cap="flat" cmpd="sng" algn="ctr">
        <a:solidFill>
          <a:sysClr val="windowText" lastClr="000000">
            <a:lumMod val="15000"/>
            <a:lumOff val="85000"/>
          </a:sysClr>
        </a:solidFill>
        <a:round/>
      </a:ln>
    </cs:spPr>
    <cs:defRPr sz="900" kern="1200"/>
  </cs:categoryAxis>
  <cs:chartArea mods="allowNoFillOverride allowNoLineOverride">
    <cs:lnRef idx="0"/>
    <cs:fillRef idx="0"/>
    <cs:effectRef idx="0"/>
    <cs:fontRef idx="minor">
      <a:sysClr val="windowText" lastClr="000000"/>
    </cs:fontRef>
    <cs:spPr>
      <a:solidFill>
        <a:sysClr val="window" lastClr="FFFFFF"/>
      </a:solidFill>
      <a:ln w="9525" cap="flat" cmpd="sng" algn="ctr">
        <a:solidFill>
          <a:sysClr val="windowText" lastClr="000000">
            <a:lumMod val="15000"/>
            <a:lumOff val="85000"/>
          </a:sysClr>
        </a:solidFill>
        <a:round/>
      </a:ln>
    </cs:spPr>
    <cs:defRPr sz="900" kern="1200"/>
  </cs:chartArea>
  <cs:dataLabel>
    <cs:lnRef idx="0"/>
    <cs:fillRef idx="0"/>
    <cs:effectRef idx="0"/>
    <cs:fontRef idx="minor">
      <a:sysClr val="windowText" lastClr="000000">
        <a:lumMod val="75000"/>
        <a:lumOff val="25000"/>
      </a:sysClr>
    </cs:fontRef>
    <cs:defRPr sz="900" kern="1200"/>
  </cs:dataLabel>
  <cs:dataLabelCallout>
    <cs:lnRef idx="0"/>
    <cs:fillRef idx="0"/>
    <cs:effectRef idx="0"/>
    <cs:fontRef idx="minor">
      <a:sysClr val="windowText" lastClr="000000">
        <a:lumMod val="65000"/>
        <a:lumOff val="35000"/>
      </a:sysClr>
    </cs:fontRef>
    <cs:spPr>
      <a:solidFill>
        <a:sysClr val="window" lastClr="FFFFFF"/>
      </a:solidFill>
      <a:ln>
        <a:solidFill>
          <a:sysClr val="windowText" lastClr="000000">
            <a:lumMod val="25000"/>
            <a:lumOff val="75000"/>
          </a:sys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ysClr val="windowText" lastClr="000000"/>
    </cs:fontRef>
    <cs:spPr>
      <a:ln w="19050">
        <a:solidFill>
          <a:sysClr val="window" lastClr="FFFFFF"/>
        </a:solidFill>
      </a:ln>
    </cs:spPr>
  </cs:dataPoint>
  <cs:dataPoint3D>
    <cs:lnRef idx="0"/>
    <cs:fillRef idx="1">
      <cs:styleClr val="auto"/>
    </cs:fillRef>
    <cs:effectRef idx="0"/>
    <cs:fontRef idx="minor">
      <a:sysClr val="windowText" lastClr="000000"/>
    </cs:fontRef>
    <cs:spPr>
      <a:ln w="25400">
        <a:solidFill>
          <a:sysClr val="window" lastClr="FFFFFF"/>
        </a:solidFill>
      </a:ln>
    </cs:spPr>
  </cs:dataPoint3D>
  <cs:dataPointLine>
    <cs:lnRef idx="0">
      <cs:styleClr val="auto"/>
    </cs:lnRef>
    <cs:fillRef idx="0"/>
    <cs:effectRef idx="0"/>
    <cs:fontRef idx="minor">
      <a:sysClr val="windowText" lastClr="000000"/>
    </cs:fontRef>
    <cs:spPr>
      <a:ln w="28575" cap="rnd">
        <a:solidFill>
          <a:srgbClr val="FFFFFF"/>
        </a:solidFill>
        <a:round/>
      </a:ln>
    </cs:spPr>
  </cs:dataPointLine>
  <cs:dataPointMarker>
    <cs:lnRef idx="0">
      <cs:styleClr val="auto"/>
    </cs:lnRef>
    <cs:fillRef idx="1">
      <cs:styleClr val="auto"/>
    </cs:fillRef>
    <cs:effectRef idx="0"/>
    <cs:fontRef idx="minor">
      <a:sysClr val="windowText" lastClr="000000"/>
    </cs:fontRef>
    <cs:spPr>
      <a:ln w="9525">
        <a:solidFill>
          <a:srgbClr val="FFFFFF"/>
        </a:solidFill>
      </a:ln>
    </cs:spPr>
  </cs:dataPointMarker>
  <cs:dataPointMarkerLayout symbol="circle" size="5"/>
  <cs:dataPointWireframe>
    <cs:lnRef idx="0">
      <cs:styleClr val="auto"/>
    </cs:lnRef>
    <cs:fillRef idx="0"/>
    <cs:effectRef idx="0"/>
    <cs:fontRef idx="minor">
      <a:sysClr val="windowText" lastClr="000000"/>
    </cs:fontRef>
    <cs:spPr>
      <a:ln w="9525" cap="rnd">
        <a:solidFill>
          <a:srgbClr val="FFFFFF"/>
        </a:solidFill>
        <a:round/>
      </a:ln>
    </cs:spPr>
  </cs:dataPointWireframe>
  <cs:dataTable>
    <cs:lnRef idx="0"/>
    <cs:fillRef idx="0"/>
    <cs:effectRef idx="0"/>
    <cs:fontRef idx="minor">
      <a:sysClr val="windowText" lastClr="000000">
        <a:lumMod val="65000"/>
        <a:lumOff val="35000"/>
      </a:sysClr>
    </cs:fontRef>
    <cs:spPr>
      <a:noFill/>
      <a:ln w="9525" cap="flat" cmpd="sng" algn="ctr">
        <a:solidFill>
          <a:sysClr val="windowText" lastClr="000000">
            <a:lumMod val="15000"/>
            <a:lumOff val="85000"/>
          </a:sysClr>
        </a:solidFill>
        <a:round/>
      </a:ln>
    </cs:spPr>
    <cs:defRPr sz="900" kern="1200"/>
  </cs:dataTable>
  <cs:downBar>
    <cs:lnRef idx="0"/>
    <cs:fillRef idx="0"/>
    <cs:effectRef idx="0"/>
    <cs:fontRef idx="minor">
      <a:sysClr val="windowText" lastClr="000000"/>
    </cs:fontRef>
    <cs:spPr>
      <a:solidFill>
        <a:sysClr val="windowText" lastClr="000000">
          <a:lumMod val="75000"/>
          <a:lumOff val="25000"/>
        </a:sysClr>
      </a:solidFill>
      <a:ln w="9525" cap="flat" cmpd="sng" algn="ctr">
        <a:solidFill>
          <a:sysClr val="windowText" lastClr="000000">
            <a:lumMod val="65000"/>
            <a:lumOff val="35000"/>
          </a:sysClr>
        </a:solidFill>
        <a:round/>
      </a:ln>
    </cs:spPr>
  </cs:downBar>
  <cs:dropLine>
    <cs:lnRef idx="0"/>
    <cs:fillRef idx="0"/>
    <cs:effectRef idx="0"/>
    <cs:fontRef idx="minor">
      <a:sysClr val="windowText" lastClr="000000"/>
    </cs:fontRef>
    <cs:spPr>
      <a:ln w="9525" cap="flat" cmpd="sng" algn="ctr">
        <a:solidFill>
          <a:sysClr val="windowText" lastClr="000000">
            <a:lumMod val="35000"/>
            <a:lumOff val="65000"/>
          </a:sysClr>
        </a:solidFill>
        <a:round/>
      </a:ln>
    </cs:spPr>
  </cs:dropLine>
  <cs:errorBar>
    <cs:lnRef idx="0"/>
    <cs:fillRef idx="0"/>
    <cs:effectRef idx="0"/>
    <cs:fontRef idx="minor">
      <a:sysClr val="windowText" lastClr="000000"/>
    </cs:fontRef>
    <cs:spPr>
      <a:ln w="9525" cap="flat" cmpd="sng" algn="ctr">
        <a:solidFill>
          <a:sysClr val="windowText" lastClr="000000">
            <a:lumMod val="65000"/>
            <a:lumOff val="35000"/>
          </a:sysClr>
        </a:solidFill>
        <a:round/>
      </a:ln>
    </cs:spPr>
  </cs:errorBar>
  <cs:floor>
    <cs:lnRef idx="0"/>
    <cs:fillRef idx="0"/>
    <cs:effectRef idx="0"/>
    <cs:fontRef idx="minor">
      <a:sysClr val="windowText" lastClr="000000"/>
    </cs:fontRef>
    <cs:spPr>
      <a:noFill/>
      <a:ln>
        <a:noFill/>
      </a:ln>
    </cs:spPr>
  </cs:floor>
  <cs:gridlineMajor>
    <cs:lnRef idx="0"/>
    <cs:fillRef idx="0"/>
    <cs:effectRef idx="0"/>
    <cs:fontRef idx="minor">
      <a:sysClr val="windowText" lastClr="000000"/>
    </cs:fontRef>
    <cs:spPr>
      <a:ln w="9525" cap="flat" cmpd="sng" algn="ctr">
        <a:solidFill>
          <a:sysClr val="windowText" lastClr="000000">
            <a:lumMod val="15000"/>
            <a:lumOff val="85000"/>
          </a:sysClr>
        </a:solidFill>
        <a:round/>
      </a:ln>
    </cs:spPr>
  </cs:gridlineMajor>
  <cs:gridlineMinor>
    <cs:lnRef idx="0"/>
    <cs:fillRef idx="0"/>
    <cs:effectRef idx="0"/>
    <cs:fontRef idx="minor">
      <a:sysClr val="windowText" lastClr="000000"/>
    </cs:fontRef>
    <cs:spPr>
      <a:ln w="9525" cap="flat" cmpd="sng" algn="ctr">
        <a:solidFill>
          <a:sysClr val="windowText" lastClr="000000">
            <a:lumMod val="5000"/>
            <a:lumOff val="95000"/>
          </a:sysClr>
        </a:solidFill>
        <a:round/>
      </a:ln>
    </cs:spPr>
  </cs:gridlineMinor>
  <cs:hiLoLine>
    <cs:lnRef idx="0"/>
    <cs:fillRef idx="0"/>
    <cs:effectRef idx="0"/>
    <cs:fontRef idx="minor">
      <a:sysClr val="windowText" lastClr="000000"/>
    </cs:fontRef>
    <cs:spPr>
      <a:ln w="9525" cap="flat" cmpd="sng" algn="ctr">
        <a:solidFill>
          <a:sysClr val="windowText" lastClr="000000">
            <a:lumMod val="50000"/>
            <a:lumOff val="50000"/>
          </a:sysClr>
        </a:solidFill>
        <a:round/>
      </a:ln>
    </cs:spPr>
  </cs:hiLoLine>
  <cs:leaderLine>
    <cs:lnRef idx="0"/>
    <cs:fillRef idx="0"/>
    <cs:effectRef idx="0"/>
    <cs:fontRef idx="minor">
      <a:sysClr val="windowText" lastClr="000000"/>
    </cs:fontRef>
    <cs:spPr>
      <a:ln w="9525" cap="flat" cmpd="sng" algn="ctr">
        <a:solidFill>
          <a:sysClr val="windowText" lastClr="000000">
            <a:lumMod val="35000"/>
            <a:lumOff val="65000"/>
          </a:sysClr>
        </a:solidFill>
        <a:round/>
      </a:ln>
    </cs:spPr>
  </cs:leaderLine>
  <cs:legend>
    <cs:lnRef idx="0"/>
    <cs:fillRef idx="0"/>
    <cs:effectRef idx="0"/>
    <cs:fontRef idx="minor">
      <a:sysClr val="windowText" lastClr="000000">
        <a:lumMod val="65000"/>
        <a:lumOff val="35000"/>
      </a:sysClr>
    </cs:fontRef>
    <cs:defRPr sz="900" kern="1200"/>
  </cs:legend>
  <cs:plotArea mods="allowNoFillOverride allowNoLineOverride">
    <cs:lnRef idx="0"/>
    <cs:fillRef idx="0"/>
    <cs:effectRef idx="0"/>
    <cs:fontRef idx="minor">
      <a:sysClr val="windowText" lastClr="000000"/>
    </cs:fontRef>
  </cs:plotArea>
  <cs:plotArea3D mods="allowNoFillOverride allowNoLineOverride">
    <cs:lnRef idx="0"/>
    <cs:fillRef idx="0"/>
    <cs:effectRef idx="0"/>
    <cs:fontRef idx="minor">
      <a:sysClr val="windowText" lastClr="000000"/>
    </cs:fontRef>
  </cs:plotArea3D>
  <cs:seriesAxis>
    <cs:lnRef idx="0"/>
    <cs:fillRef idx="0"/>
    <cs:effectRef idx="0"/>
    <cs:fontRef idx="minor">
      <a:sysClr val="windowText" lastClr="000000">
        <a:lumMod val="65000"/>
        <a:lumOff val="35000"/>
      </a:sysClr>
    </cs:fontRef>
    <cs:defRPr sz="900" kern="1200"/>
  </cs:seriesAxis>
  <cs:seriesLine>
    <cs:lnRef idx="0"/>
    <cs:fillRef idx="0"/>
    <cs:effectRef idx="0"/>
    <cs:fontRef idx="minor">
      <a:sysClr val="windowText" lastClr="000000"/>
    </cs:fontRef>
    <cs:spPr>
      <a:ln w="9525" cap="flat" cmpd="sng" algn="ctr">
        <a:solidFill>
          <a:sysClr val="windowText" lastClr="000000">
            <a:lumMod val="35000"/>
            <a:lumOff val="65000"/>
          </a:sysClr>
        </a:solidFill>
        <a:round/>
      </a:ln>
    </cs:spPr>
  </cs:seriesLine>
  <cs:title>
    <cs:lnRef idx="0"/>
    <cs:fillRef idx="0"/>
    <cs:effectRef idx="0"/>
    <cs:fontRef idx="minor">
      <a:sysClr val="windowText" lastClr="000000">
        <a:lumMod val="65000"/>
        <a:lumOff val="35000"/>
      </a:sysClr>
    </cs:fontRef>
    <cs:defRPr sz="1400" b="0" kern="1200" spc="0" baseline="0"/>
  </cs:title>
  <cs:trendline>
    <cs:lnRef idx="0">
      <cs:styleClr val="auto"/>
    </cs:lnRef>
    <cs:fillRef idx="0"/>
    <cs:effectRef idx="0"/>
    <cs:fontRef idx="minor">
      <a:sysClr val="windowText" lastClr="000000"/>
    </cs:fontRef>
    <cs:spPr>
      <a:ln w="19050" cap="rnd">
        <a:solidFill>
          <a:srgbClr val="FFFFFF"/>
        </a:solidFill>
        <a:prstDash val="sysDot"/>
      </a:ln>
    </cs:spPr>
  </cs:trendline>
  <cs:trendlineLabel>
    <cs:lnRef idx="0"/>
    <cs:fillRef idx="0"/>
    <cs:effectRef idx="0"/>
    <cs:fontRef idx="minor">
      <a:sysClr val="windowText" lastClr="000000">
        <a:lumMod val="65000"/>
        <a:lumOff val="35000"/>
      </a:sysClr>
    </cs:fontRef>
    <cs:defRPr sz="900" kern="1200"/>
  </cs:trendlineLabel>
  <cs:upBar>
    <cs:lnRef idx="0"/>
    <cs:fillRef idx="0"/>
    <cs:effectRef idx="0"/>
    <cs:fontRef idx="minor">
      <a:sysClr val="windowText" lastClr="000000"/>
    </cs:fontRef>
    <cs:spPr>
      <a:solidFill>
        <a:sysClr val="window" lastClr="FFFFFF"/>
      </a:solidFill>
      <a:ln w="9525" cap="flat" cmpd="sng" algn="ctr">
        <a:solidFill>
          <a:sysClr val="windowText" lastClr="000000">
            <a:lumMod val="65000"/>
            <a:lumOff val="35000"/>
          </a:sysClr>
        </a:solidFill>
        <a:round/>
      </a:ln>
    </cs:spPr>
  </cs:upBar>
  <cs:valueAxis>
    <cs:lnRef idx="0"/>
    <cs:fillRef idx="0"/>
    <cs:effectRef idx="0"/>
    <cs:fontRef idx="minor">
      <a:sysClr val="windowText" lastClr="000000">
        <a:lumMod val="65000"/>
        <a:lumOff val="35000"/>
      </a:sysClr>
    </cs:fontRef>
    <cs:defRPr sz="900" kern="1200"/>
  </cs:valueAxis>
  <cs:wall>
    <cs:lnRef idx="0"/>
    <cs:fillRef idx="0"/>
    <cs:effectRef idx="0"/>
    <cs:fontRef idx="minor">
      <a:sysClr val="windowText" lastClr="000000"/>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四川省财政厅</Company>
  <Pages>24</Pages>
  <Words>8679</Words>
  <Characters>10260</Characters>
  <Lines>0</Lines>
  <Paragraphs>0</Paragraphs>
  <TotalTime>7</TotalTime>
  <ScaleCrop>false</ScaleCrop>
  <LinksUpToDate>false</LinksUpToDate>
  <CharactersWithSpaces>10829</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2022-10-05T09:45:00Z</dcterms:created>
  <dc:creator>曹颖</dc:creator>
  <cp:lastModifiedBy>Administrator</cp:lastModifiedBy>
  <cp:lastPrinted>2021-10-20T02:40:00Z</cp:lastPrinted>
  <dcterms:modified xsi:type="dcterms:W3CDTF">2023-01-01T03:19:53Z</dcterms:modified>
  <dc:title>四川省***</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671104B736EF44AD846BC7DFAB315EBC_13</vt:lpwstr>
  </property>
</Properties>
</file>