
<file path=[Content_Types].xml><?xml version="1.0" encoding="utf-8"?>
<Types xmlns="http://schemas.openxmlformats.org/package/2006/content-types">
  <Default Extension="xml" ContentType="application/xml"/>
  <Default Extension="xls" ContentType="application/vnd.ms-exce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8441"/>
      <w:bookmarkStart w:id="2" w:name="_Toc15396597"/>
      <w:bookmarkStart w:id="3" w:name="_Toc15396475"/>
      <w:bookmarkStart w:id="4" w:name="_Toc52180062"/>
      <w:bookmarkStart w:id="5" w:name="_Toc15377425"/>
      <w:bookmarkStart w:id="6" w:name="_Toc15377193"/>
      <w:r>
        <w:rPr>
          <w:rFonts w:ascii="黑体" w:hAnsi="黑体" w:eastAsia="黑体"/>
          <w:color w:val="000000"/>
          <w:sz w:val="72"/>
          <w:szCs w:val="72"/>
        </w:rPr>
        <w:t>201</w:t>
      </w:r>
      <w:r>
        <w:rPr>
          <w:rFonts w:hint="eastAsia" w:ascii="黑体" w:hAnsi="黑体" w:eastAsia="黑体"/>
          <w:color w:val="000000"/>
          <w:sz w:val="72"/>
          <w:szCs w:val="72"/>
        </w:rPr>
        <w:t>9</w:t>
      </w:r>
      <w:r>
        <w:rPr>
          <w:rFonts w:hint="eastAsia" w:ascii="方正小标宋简体" w:hAnsi="宋体" w:eastAsia="方正小标宋简体"/>
          <w:color w:val="000000"/>
          <w:sz w:val="72"/>
          <w:szCs w:val="72"/>
        </w:rPr>
        <w:t>年度</w:t>
      </w:r>
      <w:bookmarkEnd w:id="1"/>
      <w:bookmarkEnd w:id="2"/>
      <w:bookmarkEnd w:id="3"/>
      <w:bookmarkEnd w:id="4"/>
      <w:bookmarkEnd w:id="5"/>
      <w:bookmarkEnd w:id="6"/>
    </w:p>
    <w:p>
      <w:pPr>
        <w:adjustRightInd w:val="0"/>
        <w:snapToGrid w:val="0"/>
        <w:spacing w:line="360" w:lineRule="auto"/>
        <w:jc w:val="center"/>
        <w:outlineLvl w:val="0"/>
        <w:rPr>
          <w:rFonts w:ascii="方正小标宋简体" w:hAnsi="宋体" w:eastAsia="方正小标宋简体"/>
          <w:color w:val="000000"/>
          <w:sz w:val="72"/>
          <w:szCs w:val="72"/>
        </w:rPr>
      </w:pPr>
      <w:bookmarkStart w:id="7" w:name="_Toc15377426"/>
      <w:bookmarkStart w:id="8" w:name="_Toc15396598"/>
      <w:bookmarkStart w:id="9" w:name="_Toc15377194"/>
      <w:bookmarkStart w:id="10" w:name="_Toc15396476"/>
      <w:bookmarkStart w:id="11" w:name="_Toc15378442"/>
      <w:bookmarkStart w:id="12" w:name="_Toc52180063"/>
      <w:r>
        <w:rPr>
          <w:rFonts w:hint="eastAsia" w:ascii="方正小标宋简体" w:hAnsi="宋体" w:eastAsia="方正小标宋简体"/>
          <w:color w:val="000000"/>
          <w:sz w:val="72"/>
          <w:szCs w:val="72"/>
        </w:rPr>
        <w:t>盐边县</w:t>
      </w:r>
      <w:bookmarkEnd w:id="0"/>
      <w:bookmarkStart w:id="13" w:name="_Toc15306268"/>
      <w:r>
        <w:rPr>
          <w:rFonts w:hint="eastAsia" w:ascii="方正小标宋简体" w:hAnsi="宋体" w:eastAsia="方正小标宋简体"/>
          <w:color w:val="000000"/>
          <w:sz w:val="72"/>
          <w:szCs w:val="72"/>
        </w:rPr>
        <w:t>新九乡人民政府</w:t>
      </w: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部门决算</w:t>
      </w:r>
      <w:bookmarkEnd w:id="7"/>
      <w:bookmarkEnd w:id="8"/>
      <w:bookmarkEnd w:id="9"/>
      <w:bookmarkEnd w:id="10"/>
      <w:bookmarkEnd w:id="11"/>
      <w:bookmarkEnd w:id="12"/>
      <w:bookmarkEnd w:id="13"/>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黑体"/>
          <w:sz w:val="28"/>
          <w:szCs w:val="28"/>
        </w:rPr>
      </w:pPr>
    </w:p>
    <w:p>
      <w:pPr>
        <w:pStyle w:val="11"/>
      </w:pPr>
      <w:r>
        <w:rPr>
          <w:rFonts w:hint="eastAsia"/>
        </w:rPr>
        <w:t>公开时间：2020年10月23日</w:t>
      </w:r>
    </w:p>
    <w:p>
      <w:pPr>
        <w:pStyle w:val="20"/>
        <w:spacing w:before="0" w:line="240" w:lineRule="auto"/>
      </w:pPr>
      <w:r>
        <w:fldChar w:fldCharType="begin"/>
      </w:r>
      <w:r>
        <w:instrText xml:space="preserve"> TOC \o "1-3" \h \z \u </w:instrText>
      </w:r>
      <w:r>
        <w:fldChar w:fldCharType="separate"/>
      </w:r>
    </w:p>
    <w:p>
      <w:pPr>
        <w:pStyle w:val="11"/>
        <w:rPr>
          <w:rFonts w:ascii="Calibri" w:hAnsi="Calibri" w:eastAsia="宋体" w:cs="黑体"/>
          <w:sz w:val="21"/>
          <w:szCs w:val="22"/>
        </w:rPr>
      </w:pPr>
      <w:r>
        <w:fldChar w:fldCharType="begin"/>
      </w:r>
      <w:r>
        <w:instrText xml:space="preserve"> HYPERLINK \l "_Toc52180065" </w:instrText>
      </w:r>
      <w:r>
        <w:fldChar w:fldCharType="separate"/>
      </w:r>
      <w:r>
        <w:rPr>
          <w:rStyle w:val="16"/>
          <w:rFonts w:hint="eastAsia" w:ascii="黑体" w:hAnsi="黑体" w:eastAsia="黑体"/>
        </w:rPr>
        <w:t>第一部分</w:t>
      </w:r>
      <w:r>
        <w:rPr>
          <w:rStyle w:val="16"/>
          <w:rFonts w:ascii="黑体" w:hAnsi="黑体" w:eastAsia="黑体"/>
        </w:rPr>
        <w:t xml:space="preserve"> </w:t>
      </w:r>
      <w:r>
        <w:rPr>
          <w:rStyle w:val="16"/>
          <w:rFonts w:hint="eastAsia" w:ascii="黑体" w:hAnsi="黑体" w:eastAsia="黑体"/>
        </w:rPr>
        <w:t>部门概况</w:t>
      </w:r>
      <w:r>
        <w:tab/>
      </w:r>
      <w:r>
        <w:fldChar w:fldCharType="begin"/>
      </w:r>
      <w:r>
        <w:instrText xml:space="preserve"> PAGEREF _Toc52180065 \h </w:instrText>
      </w:r>
      <w:r>
        <w:fldChar w:fldCharType="separate"/>
      </w:r>
      <w:r>
        <w:t>4</w:t>
      </w:r>
      <w:r>
        <w:fldChar w:fldCharType="end"/>
      </w:r>
      <w:r>
        <w:fldChar w:fldCharType="end"/>
      </w:r>
    </w:p>
    <w:p>
      <w:pPr>
        <w:pStyle w:val="12"/>
        <w:rPr>
          <w:rFonts w:ascii="Calibri" w:hAnsi="Calibri" w:cs="黑体"/>
          <w:szCs w:val="22"/>
        </w:rPr>
      </w:pPr>
      <w:r>
        <w:fldChar w:fldCharType="begin"/>
      </w:r>
      <w:r>
        <w:instrText xml:space="preserve"> HYPERLINK \l "_Toc52180066" </w:instrText>
      </w:r>
      <w:r>
        <w:fldChar w:fldCharType="separate"/>
      </w:r>
      <w:r>
        <w:rPr>
          <w:rStyle w:val="16"/>
          <w:rFonts w:hint="eastAsia" w:ascii="黑体" w:hAnsi="黑体" w:eastAsia="黑体"/>
        </w:rPr>
        <w:t>一、基本职能及主要工作</w:t>
      </w:r>
      <w:r>
        <w:tab/>
      </w:r>
      <w:r>
        <w:fldChar w:fldCharType="begin"/>
      </w:r>
      <w:r>
        <w:instrText xml:space="preserve"> PAGEREF _Toc52180066 \h </w:instrText>
      </w:r>
      <w:r>
        <w:fldChar w:fldCharType="separate"/>
      </w:r>
      <w:r>
        <w:t>4</w:t>
      </w:r>
      <w:r>
        <w:fldChar w:fldCharType="end"/>
      </w:r>
      <w:r>
        <w:fldChar w:fldCharType="end"/>
      </w:r>
    </w:p>
    <w:p>
      <w:pPr>
        <w:pStyle w:val="6"/>
        <w:rPr>
          <w:rFonts w:ascii="Calibri" w:hAnsi="Calibri" w:cs="黑体"/>
          <w:szCs w:val="22"/>
        </w:rPr>
      </w:pPr>
      <w:r>
        <w:fldChar w:fldCharType="begin"/>
      </w:r>
      <w:r>
        <w:instrText xml:space="preserve"> HYPERLINK \l "_Toc52180067" </w:instrText>
      </w:r>
      <w:r>
        <w:fldChar w:fldCharType="separate"/>
      </w:r>
      <w:r>
        <w:rPr>
          <w:rStyle w:val="16"/>
          <w:rFonts w:hint="eastAsia" w:ascii="仿宋" w:hAnsi="仿宋" w:eastAsia="仿宋"/>
          <w:bCs/>
        </w:rPr>
        <w:t>（一）主要职能。（职能参照县政府批准的三定方案）</w:t>
      </w:r>
      <w:r>
        <w:tab/>
      </w:r>
      <w:r>
        <w:fldChar w:fldCharType="begin"/>
      </w:r>
      <w:r>
        <w:instrText xml:space="preserve"> PAGEREF _Toc52180067 \h </w:instrText>
      </w:r>
      <w:r>
        <w:fldChar w:fldCharType="separate"/>
      </w:r>
      <w:r>
        <w:t>4</w:t>
      </w:r>
      <w:r>
        <w:fldChar w:fldCharType="end"/>
      </w:r>
      <w:r>
        <w:fldChar w:fldCharType="end"/>
      </w:r>
    </w:p>
    <w:p>
      <w:pPr>
        <w:pStyle w:val="6"/>
        <w:rPr>
          <w:rFonts w:ascii="Calibri" w:hAnsi="Calibri" w:cs="黑体"/>
          <w:szCs w:val="22"/>
        </w:rPr>
      </w:pPr>
      <w:r>
        <w:fldChar w:fldCharType="begin"/>
      </w:r>
      <w:r>
        <w:instrText xml:space="preserve"> HYPERLINK \l "_Toc52180068" </w:instrText>
      </w:r>
      <w:r>
        <w:fldChar w:fldCharType="separate"/>
      </w:r>
      <w:r>
        <w:rPr>
          <w:rStyle w:val="16"/>
          <w:rFonts w:hint="eastAsia" w:ascii="仿宋" w:hAnsi="仿宋" w:eastAsia="仿宋"/>
          <w:bCs/>
        </w:rPr>
        <w:t>（二）</w:t>
      </w:r>
      <w:r>
        <w:rPr>
          <w:rStyle w:val="16"/>
          <w:rFonts w:ascii="仿宋" w:hAnsi="仿宋" w:eastAsia="仿宋"/>
          <w:bCs/>
        </w:rPr>
        <w:t>2019</w:t>
      </w:r>
      <w:r>
        <w:rPr>
          <w:rStyle w:val="16"/>
          <w:rFonts w:hint="eastAsia" w:ascii="仿宋" w:hAnsi="仿宋" w:eastAsia="仿宋"/>
          <w:bCs/>
        </w:rPr>
        <w:t>年重点工作完成情况。</w:t>
      </w:r>
      <w:r>
        <w:tab/>
      </w:r>
      <w:r>
        <w:fldChar w:fldCharType="begin"/>
      </w:r>
      <w:r>
        <w:instrText xml:space="preserve"> PAGEREF _Toc52180068 \h </w:instrText>
      </w:r>
      <w:r>
        <w:fldChar w:fldCharType="separate"/>
      </w:r>
      <w:r>
        <w:t>5</w:t>
      </w:r>
      <w:r>
        <w:fldChar w:fldCharType="end"/>
      </w:r>
      <w:r>
        <w:fldChar w:fldCharType="end"/>
      </w:r>
    </w:p>
    <w:p>
      <w:pPr>
        <w:pStyle w:val="12"/>
        <w:rPr>
          <w:rFonts w:ascii="Calibri" w:hAnsi="Calibri" w:cs="黑体"/>
          <w:szCs w:val="22"/>
        </w:rPr>
      </w:pPr>
      <w:r>
        <w:fldChar w:fldCharType="begin"/>
      </w:r>
      <w:r>
        <w:instrText xml:space="preserve"> HYPERLINK \l "_Toc52180069" </w:instrText>
      </w:r>
      <w:r>
        <w:fldChar w:fldCharType="separate"/>
      </w:r>
      <w:r>
        <w:rPr>
          <w:rStyle w:val="16"/>
          <w:rFonts w:hint="eastAsia" w:ascii="黑体" w:eastAsia="黑体"/>
        </w:rPr>
        <w:t>二、</w:t>
      </w:r>
      <w:r>
        <w:rPr>
          <w:rStyle w:val="16"/>
          <w:rFonts w:hint="eastAsia" w:ascii="黑体" w:hAnsi="黑体" w:eastAsia="黑体"/>
        </w:rPr>
        <w:t>机构设置</w:t>
      </w:r>
      <w:r>
        <w:tab/>
      </w:r>
      <w:r>
        <w:fldChar w:fldCharType="begin"/>
      </w:r>
      <w:r>
        <w:instrText xml:space="preserve"> PAGEREF _Toc52180069 \h </w:instrText>
      </w:r>
      <w:r>
        <w:fldChar w:fldCharType="separate"/>
      </w:r>
      <w:r>
        <w:t>5</w:t>
      </w:r>
      <w:r>
        <w:fldChar w:fldCharType="end"/>
      </w:r>
      <w:r>
        <w:fldChar w:fldCharType="end"/>
      </w:r>
    </w:p>
    <w:p>
      <w:pPr>
        <w:pStyle w:val="6"/>
        <w:tabs>
          <w:tab w:val="left" w:pos="1470"/>
        </w:tabs>
        <w:rPr>
          <w:rFonts w:ascii="Calibri" w:hAnsi="Calibri" w:cs="黑体"/>
          <w:szCs w:val="22"/>
        </w:rPr>
      </w:pPr>
      <w:r>
        <w:fldChar w:fldCharType="begin"/>
      </w:r>
      <w:r>
        <w:instrText xml:space="preserve"> HYPERLINK \l "_Toc52180070" </w:instrText>
      </w:r>
      <w:r>
        <w:fldChar w:fldCharType="separate"/>
      </w:r>
      <w:r>
        <w:rPr>
          <w:rStyle w:val="16"/>
          <w:rFonts w:ascii="仿宋" w:hAnsi="仿宋" w:eastAsia="仿宋"/>
        </w:rPr>
        <w:t>1.</w:t>
      </w:r>
      <w:r>
        <w:rPr>
          <w:rFonts w:ascii="Calibri" w:hAnsi="Calibri" w:cs="黑体"/>
          <w:szCs w:val="22"/>
        </w:rPr>
        <w:tab/>
      </w:r>
      <w:r>
        <w:rPr>
          <w:rStyle w:val="16"/>
          <w:rFonts w:hint="eastAsia" w:ascii="仿宋" w:hAnsi="仿宋" w:eastAsia="仿宋"/>
        </w:rPr>
        <w:t>盐边县新九乡人民政府党政办</w:t>
      </w:r>
      <w:r>
        <w:tab/>
      </w:r>
      <w:r>
        <w:rPr>
          <w:rFonts w:hint="eastAsia"/>
        </w:rPr>
        <w:t>5</w:t>
      </w:r>
      <w:r>
        <w:rPr>
          <w:rFonts w:hint="eastAsia"/>
        </w:rPr>
        <w:fldChar w:fldCharType="end"/>
      </w:r>
    </w:p>
    <w:p>
      <w:pPr>
        <w:pStyle w:val="6"/>
        <w:tabs>
          <w:tab w:val="left" w:pos="1470"/>
        </w:tabs>
        <w:rPr>
          <w:rFonts w:ascii="Calibri" w:hAnsi="Calibri" w:cs="黑体"/>
          <w:szCs w:val="22"/>
        </w:rPr>
      </w:pPr>
      <w:r>
        <w:fldChar w:fldCharType="begin"/>
      </w:r>
      <w:r>
        <w:instrText xml:space="preserve"> HYPERLINK \l "_Toc52180071" </w:instrText>
      </w:r>
      <w:r>
        <w:fldChar w:fldCharType="separate"/>
      </w:r>
      <w:r>
        <w:rPr>
          <w:rStyle w:val="16"/>
          <w:rFonts w:ascii="仿宋" w:hAnsi="仿宋" w:eastAsia="仿宋"/>
        </w:rPr>
        <w:t>2.</w:t>
      </w:r>
      <w:r>
        <w:rPr>
          <w:rFonts w:ascii="Calibri" w:hAnsi="Calibri" w:cs="黑体"/>
          <w:szCs w:val="22"/>
        </w:rPr>
        <w:tab/>
      </w:r>
      <w:r>
        <w:rPr>
          <w:rStyle w:val="16"/>
          <w:rFonts w:ascii="仿宋" w:hAnsi="仿宋" w:eastAsia="仿宋"/>
        </w:rPr>
        <w:t>***</w:t>
      </w:r>
      <w:r>
        <w:tab/>
      </w:r>
      <w:r>
        <w:rPr>
          <w:rFonts w:hint="eastAsia"/>
        </w:rPr>
        <w:t>5</w:t>
      </w:r>
      <w:r>
        <w:rPr>
          <w:rFonts w:hint="eastAsia"/>
        </w:rPr>
        <w:fldChar w:fldCharType="end"/>
      </w:r>
    </w:p>
    <w:p>
      <w:pPr>
        <w:pStyle w:val="6"/>
        <w:tabs>
          <w:tab w:val="left" w:pos="1470"/>
        </w:tabs>
        <w:rPr>
          <w:rFonts w:ascii="Calibri" w:hAnsi="Calibri" w:cs="黑体"/>
          <w:szCs w:val="22"/>
        </w:rPr>
      </w:pPr>
      <w:r>
        <w:fldChar w:fldCharType="begin"/>
      </w:r>
      <w:r>
        <w:instrText xml:space="preserve"> HYPERLINK \l "_Toc52180072" </w:instrText>
      </w:r>
      <w:r>
        <w:fldChar w:fldCharType="separate"/>
      </w:r>
      <w:r>
        <w:rPr>
          <w:rStyle w:val="16"/>
          <w:rFonts w:ascii="仿宋" w:hAnsi="仿宋" w:eastAsia="仿宋"/>
        </w:rPr>
        <w:t>3.</w:t>
      </w:r>
      <w:r>
        <w:rPr>
          <w:rFonts w:ascii="Calibri" w:hAnsi="Calibri" w:cs="黑体"/>
          <w:szCs w:val="22"/>
        </w:rPr>
        <w:tab/>
      </w:r>
      <w:r>
        <w:rPr>
          <w:rStyle w:val="16"/>
          <w:rFonts w:ascii="仿宋" w:hAnsi="仿宋" w:eastAsia="仿宋"/>
        </w:rPr>
        <w:t>***</w:t>
      </w:r>
      <w:r>
        <w:tab/>
      </w:r>
      <w:r>
        <w:rPr>
          <w:rFonts w:hint="eastAsia"/>
        </w:rPr>
        <w:t>5</w:t>
      </w:r>
      <w:r>
        <w:rPr>
          <w:rFonts w:hint="eastAsia"/>
        </w:rPr>
        <w:fldChar w:fldCharType="end"/>
      </w:r>
    </w:p>
    <w:p>
      <w:pPr>
        <w:pStyle w:val="11"/>
        <w:rPr>
          <w:rFonts w:ascii="Calibri" w:hAnsi="Calibri" w:eastAsia="宋体" w:cs="黑体"/>
          <w:sz w:val="21"/>
          <w:szCs w:val="22"/>
        </w:rPr>
      </w:pPr>
      <w:r>
        <w:fldChar w:fldCharType="begin"/>
      </w:r>
      <w:r>
        <w:instrText xml:space="preserve"> HYPERLINK \l "_Toc52180073" </w:instrText>
      </w:r>
      <w:r>
        <w:fldChar w:fldCharType="separate"/>
      </w:r>
      <w:r>
        <w:rPr>
          <w:rStyle w:val="16"/>
          <w:rFonts w:hint="eastAsia" w:ascii="黑体" w:hAnsi="黑体" w:eastAsia="黑体"/>
        </w:rPr>
        <w:t>第二部分</w:t>
      </w:r>
      <w:r>
        <w:rPr>
          <w:rStyle w:val="16"/>
          <w:rFonts w:ascii="黑体" w:hAnsi="黑体" w:eastAsia="黑体"/>
        </w:rPr>
        <w:t xml:space="preserve"> 2019</w:t>
      </w:r>
      <w:r>
        <w:rPr>
          <w:rStyle w:val="16"/>
          <w:rFonts w:hint="eastAsia" w:ascii="黑体" w:hAnsi="黑体" w:eastAsia="黑体"/>
        </w:rPr>
        <w:t>年度部门决算情况说明</w:t>
      </w:r>
      <w:r>
        <w:tab/>
      </w:r>
      <w:r>
        <w:fldChar w:fldCharType="begin"/>
      </w:r>
      <w:r>
        <w:instrText xml:space="preserve"> PAGEREF _Toc52180073 \h </w:instrText>
      </w:r>
      <w:r>
        <w:fldChar w:fldCharType="separate"/>
      </w:r>
      <w:r>
        <w:t>6</w:t>
      </w:r>
      <w:r>
        <w:fldChar w:fldCharType="end"/>
      </w:r>
      <w:r>
        <w:fldChar w:fldCharType="end"/>
      </w:r>
    </w:p>
    <w:p>
      <w:pPr>
        <w:pStyle w:val="12"/>
        <w:tabs>
          <w:tab w:val="left" w:pos="1260"/>
        </w:tabs>
        <w:rPr>
          <w:rFonts w:ascii="Calibri" w:hAnsi="Calibri" w:cs="黑体"/>
          <w:szCs w:val="22"/>
        </w:rPr>
      </w:pPr>
      <w:r>
        <w:fldChar w:fldCharType="begin"/>
      </w:r>
      <w:r>
        <w:instrText xml:space="preserve"> HYPERLINK \l "_Toc52180074" </w:instrText>
      </w:r>
      <w:r>
        <w:fldChar w:fldCharType="separate"/>
      </w:r>
      <w:r>
        <w:rPr>
          <w:rStyle w:val="16"/>
          <w:rFonts w:hint="eastAsia" w:ascii="黑体" w:hAnsi="黑体" w:eastAsia="黑体" w:cs="黑体"/>
          <w:bCs/>
        </w:rPr>
        <w:t>一、</w:t>
      </w:r>
      <w:r>
        <w:rPr>
          <w:rFonts w:ascii="Calibri" w:hAnsi="Calibri" w:cs="黑体"/>
          <w:szCs w:val="22"/>
        </w:rPr>
        <w:tab/>
      </w:r>
      <w:r>
        <w:rPr>
          <w:rStyle w:val="16"/>
          <w:rFonts w:hint="eastAsia" w:ascii="黑体" w:hAnsi="黑体" w:eastAsia="黑体"/>
        </w:rPr>
        <w:t>收</w:t>
      </w:r>
      <w:r>
        <w:rPr>
          <w:rStyle w:val="16"/>
          <w:rFonts w:hint="eastAsia" w:ascii="黑体" w:hAnsi="黑体" w:eastAsia="黑体" w:cs="黑体"/>
          <w:bCs/>
        </w:rPr>
        <w:t>入支出决算总体情况说明</w:t>
      </w:r>
      <w:r>
        <w:tab/>
      </w:r>
      <w:r>
        <w:fldChar w:fldCharType="begin"/>
      </w:r>
      <w:r>
        <w:instrText xml:space="preserve"> PAGEREF _Toc52180074 \h </w:instrText>
      </w:r>
      <w:r>
        <w:fldChar w:fldCharType="separate"/>
      </w:r>
      <w:r>
        <w:t>6</w:t>
      </w:r>
      <w:r>
        <w:fldChar w:fldCharType="end"/>
      </w:r>
      <w:r>
        <w:fldChar w:fldCharType="end"/>
      </w:r>
    </w:p>
    <w:p>
      <w:pPr>
        <w:pStyle w:val="12"/>
        <w:tabs>
          <w:tab w:val="left" w:pos="1260"/>
        </w:tabs>
        <w:rPr>
          <w:rFonts w:ascii="Calibri" w:hAnsi="Calibri" w:cs="黑体"/>
          <w:szCs w:val="22"/>
        </w:rPr>
      </w:pPr>
      <w:r>
        <w:fldChar w:fldCharType="begin"/>
      </w:r>
      <w:r>
        <w:instrText xml:space="preserve"> HYPERLINK \l "_Toc52180075" </w:instrText>
      </w:r>
      <w:r>
        <w:fldChar w:fldCharType="separate"/>
      </w:r>
      <w:r>
        <w:rPr>
          <w:rStyle w:val="16"/>
          <w:rFonts w:hint="eastAsia" w:ascii="黑体" w:hAnsi="黑体" w:eastAsia="黑体" w:cs="黑体"/>
          <w:bCs/>
        </w:rPr>
        <w:t>二、</w:t>
      </w:r>
      <w:r>
        <w:rPr>
          <w:rFonts w:ascii="Calibri" w:hAnsi="Calibri" w:cs="黑体"/>
          <w:szCs w:val="22"/>
        </w:rPr>
        <w:tab/>
      </w:r>
      <w:r>
        <w:rPr>
          <w:rStyle w:val="16"/>
          <w:rFonts w:hint="eastAsia" w:ascii="黑体" w:hAnsi="黑体" w:eastAsia="黑体"/>
        </w:rPr>
        <w:t>收</w:t>
      </w:r>
      <w:r>
        <w:rPr>
          <w:rStyle w:val="16"/>
          <w:rFonts w:hint="eastAsia" w:ascii="黑体" w:hAnsi="黑体" w:eastAsia="黑体" w:cs="黑体"/>
          <w:bCs/>
        </w:rPr>
        <w:t>入决算情况说明</w:t>
      </w:r>
      <w:r>
        <w:tab/>
      </w:r>
      <w:r>
        <w:fldChar w:fldCharType="begin"/>
      </w:r>
      <w:r>
        <w:instrText xml:space="preserve"> PAGEREF _Toc52180075 \h </w:instrText>
      </w:r>
      <w:r>
        <w:fldChar w:fldCharType="separate"/>
      </w:r>
      <w:r>
        <w:t>6</w:t>
      </w:r>
      <w:r>
        <w:fldChar w:fldCharType="end"/>
      </w:r>
      <w:r>
        <w:fldChar w:fldCharType="end"/>
      </w:r>
    </w:p>
    <w:p>
      <w:pPr>
        <w:pStyle w:val="12"/>
        <w:tabs>
          <w:tab w:val="left" w:pos="1260"/>
        </w:tabs>
        <w:rPr>
          <w:rFonts w:ascii="Calibri" w:hAnsi="Calibri" w:cs="黑体"/>
          <w:szCs w:val="22"/>
        </w:rPr>
      </w:pPr>
      <w:r>
        <w:fldChar w:fldCharType="begin"/>
      </w:r>
      <w:r>
        <w:instrText xml:space="preserve"> HYPERLINK \l "_Toc52180077" </w:instrText>
      </w:r>
      <w:r>
        <w:fldChar w:fldCharType="separate"/>
      </w:r>
      <w:r>
        <w:rPr>
          <w:rStyle w:val="16"/>
          <w:rFonts w:hint="eastAsia" w:ascii="黑体" w:hAnsi="黑体" w:eastAsia="黑体" w:cs="黑体"/>
          <w:bCs/>
        </w:rPr>
        <w:t>三、</w:t>
      </w:r>
      <w:r>
        <w:rPr>
          <w:rFonts w:ascii="Calibri" w:hAnsi="Calibri" w:cs="黑体"/>
          <w:szCs w:val="22"/>
        </w:rPr>
        <w:tab/>
      </w:r>
      <w:r>
        <w:rPr>
          <w:rStyle w:val="16"/>
          <w:rFonts w:hint="eastAsia" w:ascii="黑体" w:hAnsi="黑体" w:eastAsia="黑体"/>
        </w:rPr>
        <w:t>支</w:t>
      </w:r>
      <w:r>
        <w:rPr>
          <w:rStyle w:val="16"/>
          <w:rFonts w:hint="eastAsia" w:ascii="黑体" w:hAnsi="黑体" w:eastAsia="黑体" w:cs="黑体"/>
          <w:bCs/>
        </w:rPr>
        <w:t>出决算情况说明</w:t>
      </w:r>
      <w:r>
        <w:tab/>
      </w:r>
      <w:r>
        <w:fldChar w:fldCharType="begin"/>
      </w:r>
      <w:r>
        <w:instrText xml:space="preserve"> PAGEREF _Toc52180077 \h </w:instrText>
      </w:r>
      <w:r>
        <w:fldChar w:fldCharType="separate"/>
      </w:r>
      <w:r>
        <w:t>7</w:t>
      </w:r>
      <w:r>
        <w:fldChar w:fldCharType="end"/>
      </w:r>
      <w:r>
        <w:fldChar w:fldCharType="end"/>
      </w:r>
    </w:p>
    <w:p>
      <w:pPr>
        <w:pStyle w:val="12"/>
        <w:rPr>
          <w:rFonts w:ascii="Calibri" w:hAnsi="Calibri" w:cs="黑体"/>
          <w:szCs w:val="22"/>
        </w:rPr>
      </w:pPr>
      <w:r>
        <w:fldChar w:fldCharType="begin"/>
      </w:r>
      <w:r>
        <w:instrText xml:space="preserve"> HYPERLINK \l "_Toc52180079" </w:instrText>
      </w:r>
      <w:r>
        <w:fldChar w:fldCharType="separate"/>
      </w:r>
      <w:r>
        <w:rPr>
          <w:rStyle w:val="16"/>
          <w:rFonts w:hint="eastAsia" w:ascii="黑体" w:hAnsi="黑体" w:eastAsia="黑体"/>
        </w:rPr>
        <w:t>四、财</w:t>
      </w:r>
      <w:r>
        <w:rPr>
          <w:rStyle w:val="16"/>
          <w:rFonts w:hint="eastAsia" w:ascii="黑体" w:hAnsi="黑体" w:eastAsia="黑体" w:cs="黑体"/>
          <w:bCs/>
        </w:rPr>
        <w:t>政拨款收入支出决算总体情况说明</w:t>
      </w:r>
      <w:r>
        <w:tab/>
      </w:r>
      <w:r>
        <w:fldChar w:fldCharType="begin"/>
      </w:r>
      <w:r>
        <w:instrText xml:space="preserve"> PAGEREF _Toc52180079 \h </w:instrText>
      </w:r>
      <w:r>
        <w:fldChar w:fldCharType="separate"/>
      </w:r>
      <w:r>
        <w:t>8</w:t>
      </w:r>
      <w:r>
        <w:fldChar w:fldCharType="end"/>
      </w:r>
      <w:r>
        <w:fldChar w:fldCharType="end"/>
      </w:r>
    </w:p>
    <w:p>
      <w:pPr>
        <w:pStyle w:val="12"/>
        <w:rPr>
          <w:rFonts w:ascii="Calibri" w:hAnsi="Calibri" w:cs="黑体"/>
          <w:szCs w:val="22"/>
        </w:rPr>
      </w:pPr>
      <w:r>
        <w:fldChar w:fldCharType="begin"/>
      </w:r>
      <w:r>
        <w:instrText xml:space="preserve"> HYPERLINK \l "_Toc52180080" </w:instrText>
      </w:r>
      <w:r>
        <w:fldChar w:fldCharType="separate"/>
      </w:r>
      <w:r>
        <w:rPr>
          <w:rStyle w:val="16"/>
          <w:rFonts w:hint="eastAsia" w:ascii="黑体" w:hAnsi="黑体" w:eastAsia="黑体"/>
        </w:rPr>
        <w:t>五、</w:t>
      </w:r>
      <w:r>
        <w:rPr>
          <w:rStyle w:val="16"/>
          <w:rFonts w:hint="eastAsia" w:ascii="黑体" w:hAnsi="黑体" w:eastAsia="黑体"/>
          <w:b/>
        </w:rPr>
        <w:t>一</w:t>
      </w:r>
      <w:r>
        <w:rPr>
          <w:rStyle w:val="16"/>
          <w:rFonts w:hint="eastAsia" w:ascii="黑体" w:hAnsi="黑体" w:eastAsia="黑体" w:cs="黑体"/>
          <w:bCs/>
        </w:rPr>
        <w:t>般公共预算财政拨款支出决算情况说明</w:t>
      </w:r>
      <w:r>
        <w:tab/>
      </w:r>
      <w:r>
        <w:fldChar w:fldCharType="begin"/>
      </w:r>
      <w:r>
        <w:instrText xml:space="preserve"> PAGEREF _Toc52180080 \h </w:instrText>
      </w:r>
      <w:r>
        <w:fldChar w:fldCharType="separate"/>
      </w:r>
      <w:r>
        <w:t>8</w:t>
      </w:r>
      <w:r>
        <w:fldChar w:fldCharType="end"/>
      </w:r>
      <w:r>
        <w:fldChar w:fldCharType="end"/>
      </w:r>
    </w:p>
    <w:p>
      <w:pPr>
        <w:pStyle w:val="6"/>
        <w:rPr>
          <w:rFonts w:ascii="Calibri" w:hAnsi="Calibri" w:cs="黑体"/>
          <w:szCs w:val="22"/>
        </w:rPr>
      </w:pPr>
      <w:r>
        <w:fldChar w:fldCharType="begin"/>
      </w:r>
      <w:r>
        <w:instrText xml:space="preserve"> HYPERLINK \l "_Toc52180081" </w:instrText>
      </w:r>
      <w:r>
        <w:fldChar w:fldCharType="separate"/>
      </w:r>
      <w:r>
        <w:rPr>
          <w:rStyle w:val="16"/>
          <w:rFonts w:hint="eastAsia" w:ascii="仿宋" w:hAnsi="仿宋" w:eastAsia="仿宋"/>
          <w:b/>
        </w:rPr>
        <w:t>（一）一般公共预算财政拨款支出决算总体情况</w:t>
      </w:r>
      <w:r>
        <w:tab/>
      </w:r>
      <w:r>
        <w:fldChar w:fldCharType="begin"/>
      </w:r>
      <w:r>
        <w:instrText xml:space="preserve"> PAGEREF _Toc52180081 \h </w:instrText>
      </w:r>
      <w:r>
        <w:fldChar w:fldCharType="separate"/>
      </w:r>
      <w:r>
        <w:t>8</w:t>
      </w:r>
      <w:r>
        <w:fldChar w:fldCharType="end"/>
      </w:r>
      <w:r>
        <w:fldChar w:fldCharType="end"/>
      </w:r>
    </w:p>
    <w:p>
      <w:pPr>
        <w:pStyle w:val="6"/>
        <w:rPr>
          <w:rFonts w:ascii="Calibri" w:hAnsi="Calibri" w:cs="黑体"/>
          <w:szCs w:val="22"/>
        </w:rPr>
      </w:pPr>
      <w:r>
        <w:fldChar w:fldCharType="begin"/>
      </w:r>
      <w:r>
        <w:instrText xml:space="preserve"> HYPERLINK \l "_Toc52180082" </w:instrText>
      </w:r>
      <w:r>
        <w:fldChar w:fldCharType="separate"/>
      </w:r>
      <w:r>
        <w:rPr>
          <w:rStyle w:val="16"/>
          <w:rFonts w:hint="eastAsia" w:ascii="仿宋" w:hAnsi="仿宋" w:eastAsia="仿宋"/>
          <w:b/>
        </w:rPr>
        <w:t>（二）一般公共预算财政拨款支出决算结构情况</w:t>
      </w:r>
      <w:r>
        <w:tab/>
      </w:r>
      <w:r>
        <w:fldChar w:fldCharType="begin"/>
      </w:r>
      <w:r>
        <w:instrText xml:space="preserve"> PAGEREF _Toc52180082 \h </w:instrText>
      </w:r>
      <w:r>
        <w:fldChar w:fldCharType="separate"/>
      </w:r>
      <w:r>
        <w:t>9</w:t>
      </w:r>
      <w:r>
        <w:fldChar w:fldCharType="end"/>
      </w:r>
      <w:r>
        <w:fldChar w:fldCharType="end"/>
      </w:r>
    </w:p>
    <w:p>
      <w:pPr>
        <w:pStyle w:val="6"/>
        <w:rPr>
          <w:rFonts w:ascii="Calibri" w:hAnsi="Calibri" w:cs="黑体"/>
          <w:szCs w:val="22"/>
        </w:rPr>
      </w:pPr>
      <w:r>
        <w:fldChar w:fldCharType="begin"/>
      </w:r>
      <w:r>
        <w:instrText xml:space="preserve"> HYPERLINK \l "_Toc52180083" </w:instrText>
      </w:r>
      <w:r>
        <w:fldChar w:fldCharType="separate"/>
      </w:r>
      <w:r>
        <w:rPr>
          <w:rStyle w:val="16"/>
          <w:rFonts w:hint="eastAsia" w:ascii="仿宋" w:hAnsi="仿宋" w:eastAsia="仿宋"/>
          <w:b/>
        </w:rPr>
        <w:t>（三）一般公共预算财政拨款支出决算具体情况</w:t>
      </w:r>
      <w:r>
        <w:tab/>
      </w:r>
      <w:r>
        <w:fldChar w:fldCharType="begin"/>
      </w:r>
      <w:r>
        <w:instrText xml:space="preserve"> PAGEREF _Toc52180083 \h </w:instrText>
      </w:r>
      <w:r>
        <w:fldChar w:fldCharType="separate"/>
      </w:r>
      <w:r>
        <w:t>10</w:t>
      </w:r>
      <w:r>
        <w:fldChar w:fldCharType="end"/>
      </w:r>
      <w:r>
        <w:fldChar w:fldCharType="end"/>
      </w:r>
    </w:p>
    <w:p>
      <w:pPr>
        <w:pStyle w:val="6"/>
        <w:rPr>
          <w:rFonts w:ascii="Calibri" w:hAnsi="Calibri" w:cs="黑体"/>
          <w:szCs w:val="22"/>
        </w:rPr>
      </w:pPr>
      <w:r>
        <w:fldChar w:fldCharType="begin"/>
      </w:r>
      <w:r>
        <w:instrText xml:space="preserve"> HYPERLINK \l "_Toc52180084" </w:instrText>
      </w:r>
      <w:r>
        <w:fldChar w:fldCharType="separate"/>
      </w:r>
      <w:r>
        <w:rPr>
          <w:rStyle w:val="16"/>
          <w:rFonts w:ascii="仿宋" w:hAnsi="仿宋" w:eastAsia="仿宋"/>
          <w:b/>
        </w:rPr>
        <w:t>2019</w:t>
      </w:r>
      <w:r>
        <w:rPr>
          <w:rStyle w:val="16"/>
          <w:rFonts w:hint="eastAsia" w:ascii="仿宋" w:hAnsi="仿宋" w:eastAsia="仿宋"/>
          <w:b/>
        </w:rPr>
        <w:t>年般公共预算支出决算数为1203.97万元</w:t>
      </w:r>
      <w:r>
        <w:rPr>
          <w:rStyle w:val="16"/>
          <w:rFonts w:hint="eastAsia" w:ascii="仿宋" w:hAnsi="仿宋" w:eastAsia="仿宋"/>
        </w:rPr>
        <w:t>，</w:t>
      </w:r>
      <w:r>
        <w:rPr>
          <w:rStyle w:val="16"/>
          <w:rFonts w:hint="eastAsia" w:ascii="仿宋" w:hAnsi="仿宋" w:eastAsia="仿宋"/>
          <w:b/>
          <w:bCs/>
        </w:rPr>
        <w:t>完成预算100</w:t>
      </w:r>
      <w:r>
        <w:rPr>
          <w:rStyle w:val="16"/>
          <w:rFonts w:ascii="仿宋" w:hAnsi="仿宋" w:eastAsia="仿宋"/>
          <w:b/>
          <w:bCs/>
        </w:rPr>
        <w:t>%</w:t>
      </w:r>
      <w:r>
        <w:rPr>
          <w:rStyle w:val="16"/>
          <w:rFonts w:hint="eastAsia" w:ascii="仿宋" w:hAnsi="仿宋" w:eastAsia="仿宋"/>
          <w:b/>
          <w:bCs/>
        </w:rPr>
        <w:t>。其中：</w:t>
      </w:r>
      <w:r>
        <w:tab/>
      </w:r>
      <w:r>
        <w:fldChar w:fldCharType="begin"/>
      </w:r>
      <w:r>
        <w:instrText xml:space="preserve"> PAGEREF _Toc52180084 \h </w:instrText>
      </w:r>
      <w:r>
        <w:fldChar w:fldCharType="separate"/>
      </w:r>
      <w:r>
        <w:t>10</w:t>
      </w:r>
      <w:r>
        <w:fldChar w:fldCharType="end"/>
      </w:r>
      <w:r>
        <w:fldChar w:fldCharType="end"/>
      </w:r>
    </w:p>
    <w:p>
      <w:pPr>
        <w:pStyle w:val="12"/>
        <w:rPr>
          <w:rFonts w:ascii="Calibri" w:hAnsi="Calibri" w:cs="黑体"/>
          <w:szCs w:val="22"/>
        </w:rPr>
      </w:pPr>
      <w:r>
        <w:fldChar w:fldCharType="begin"/>
      </w:r>
      <w:r>
        <w:instrText xml:space="preserve"> HYPERLINK \l "_Toc52180085" </w:instrText>
      </w:r>
      <w:r>
        <w:fldChar w:fldCharType="separate"/>
      </w:r>
      <w:r>
        <w:rPr>
          <w:rStyle w:val="16"/>
          <w:rFonts w:hint="eastAsia" w:ascii="黑体" w:eastAsia="黑体"/>
        </w:rPr>
        <w:t>六</w:t>
      </w:r>
      <w:r>
        <w:rPr>
          <w:rStyle w:val="16"/>
          <w:rFonts w:hint="eastAsia" w:ascii="黑体" w:eastAsia="黑体"/>
          <w:b/>
        </w:rPr>
        <w:t>、</w:t>
      </w:r>
      <w:r>
        <w:rPr>
          <w:rStyle w:val="16"/>
          <w:rFonts w:hint="eastAsia" w:ascii="黑体" w:hAnsi="黑体" w:eastAsia="黑体"/>
          <w:b/>
        </w:rPr>
        <w:t>一</w:t>
      </w:r>
      <w:r>
        <w:rPr>
          <w:rStyle w:val="16"/>
          <w:rFonts w:hint="eastAsia" w:ascii="黑体" w:hAnsi="黑体" w:eastAsia="黑体" w:cs="黑体"/>
          <w:bCs/>
        </w:rPr>
        <w:t>般公共预算财政拨款基本支出决算情况说明</w:t>
      </w:r>
      <w:r>
        <w:tab/>
      </w:r>
      <w:r>
        <w:fldChar w:fldCharType="begin"/>
      </w:r>
      <w:r>
        <w:instrText xml:space="preserve"> PAGEREF _Toc52180085 \h </w:instrText>
      </w:r>
      <w:r>
        <w:fldChar w:fldCharType="separate"/>
      </w:r>
      <w:r>
        <w:t>12</w:t>
      </w:r>
      <w:r>
        <w:fldChar w:fldCharType="end"/>
      </w:r>
      <w:r>
        <w:fldChar w:fldCharType="end"/>
      </w:r>
    </w:p>
    <w:p>
      <w:pPr>
        <w:pStyle w:val="12"/>
        <w:rPr>
          <w:rFonts w:ascii="Calibri" w:hAnsi="Calibri" w:cs="黑体"/>
          <w:szCs w:val="22"/>
        </w:rPr>
      </w:pPr>
      <w:r>
        <w:fldChar w:fldCharType="begin"/>
      </w:r>
      <w:r>
        <w:instrText xml:space="preserve"> HYPERLINK \l "_Toc52180086" </w:instrText>
      </w:r>
      <w:r>
        <w:fldChar w:fldCharType="separate"/>
      </w:r>
      <w:r>
        <w:rPr>
          <w:rStyle w:val="16"/>
          <w:rFonts w:hint="eastAsia" w:ascii="黑体" w:eastAsia="黑体"/>
        </w:rPr>
        <w:t>七、</w:t>
      </w:r>
      <w:r>
        <w:rPr>
          <w:rStyle w:val="16"/>
          <w:rFonts w:ascii="黑体" w:hAnsi="黑体" w:eastAsia="黑体" w:cs="黑体"/>
          <w:b/>
          <w:bCs/>
        </w:rPr>
        <w:t>“</w:t>
      </w:r>
      <w:r>
        <w:rPr>
          <w:rStyle w:val="16"/>
          <w:rFonts w:hint="eastAsia" w:ascii="黑体" w:hAnsi="黑体" w:eastAsia="黑体" w:cs="黑体"/>
          <w:bCs/>
        </w:rPr>
        <w:t>三公”经费财政拨款支出决算情况说明</w:t>
      </w:r>
      <w:r>
        <w:tab/>
      </w:r>
      <w:r>
        <w:fldChar w:fldCharType="begin"/>
      </w:r>
      <w:r>
        <w:instrText xml:space="preserve"> PAGEREF _Toc52180086 \h </w:instrText>
      </w:r>
      <w:r>
        <w:fldChar w:fldCharType="separate"/>
      </w:r>
      <w:r>
        <w:t>13</w:t>
      </w:r>
      <w:r>
        <w:fldChar w:fldCharType="end"/>
      </w:r>
      <w:r>
        <w:fldChar w:fldCharType="end"/>
      </w:r>
    </w:p>
    <w:p>
      <w:pPr>
        <w:pStyle w:val="6"/>
        <w:rPr>
          <w:rFonts w:ascii="Calibri" w:hAnsi="Calibri" w:cs="黑体"/>
          <w:szCs w:val="22"/>
        </w:rPr>
      </w:pPr>
      <w:r>
        <w:fldChar w:fldCharType="begin"/>
      </w:r>
      <w:r>
        <w:instrText xml:space="preserve"> HYPERLINK \l "_Toc52180087" </w:instrText>
      </w:r>
      <w:r>
        <w:fldChar w:fldCharType="separate"/>
      </w:r>
      <w:r>
        <w:rPr>
          <w:rStyle w:val="16"/>
          <w:rFonts w:hint="eastAsia" w:ascii="仿宋" w:hAnsi="仿宋" w:eastAsia="仿宋"/>
          <w:b/>
        </w:rPr>
        <w:t>（一）“三公”经费财政拨款支出决算总体情况说明</w:t>
      </w:r>
      <w:r>
        <w:tab/>
      </w:r>
      <w:r>
        <w:fldChar w:fldCharType="begin"/>
      </w:r>
      <w:r>
        <w:instrText xml:space="preserve"> PAGEREF _Toc52180087 \h </w:instrText>
      </w:r>
      <w:r>
        <w:fldChar w:fldCharType="separate"/>
      </w:r>
      <w:r>
        <w:t>13</w:t>
      </w:r>
      <w:r>
        <w:fldChar w:fldCharType="end"/>
      </w:r>
      <w:r>
        <w:fldChar w:fldCharType="end"/>
      </w:r>
    </w:p>
    <w:p>
      <w:pPr>
        <w:pStyle w:val="6"/>
        <w:rPr>
          <w:rFonts w:ascii="Calibri" w:hAnsi="Calibri" w:cs="黑体"/>
          <w:szCs w:val="22"/>
        </w:rPr>
      </w:pPr>
      <w:r>
        <w:fldChar w:fldCharType="begin"/>
      </w:r>
      <w:r>
        <w:instrText xml:space="preserve"> HYPERLINK \l "_Toc52180088" </w:instrText>
      </w:r>
      <w:r>
        <w:fldChar w:fldCharType="separate"/>
      </w:r>
      <w:r>
        <w:rPr>
          <w:rStyle w:val="16"/>
          <w:rFonts w:hint="eastAsia" w:ascii="仿宋" w:hAnsi="仿宋" w:eastAsia="仿宋"/>
          <w:b/>
        </w:rPr>
        <w:t>（二）“三公”经费财政拨款支出决算具体情况说明</w:t>
      </w:r>
      <w:r>
        <w:tab/>
      </w:r>
      <w:r>
        <w:fldChar w:fldCharType="begin"/>
      </w:r>
      <w:r>
        <w:instrText xml:space="preserve"> PAGEREF _Toc52180088 \h </w:instrText>
      </w:r>
      <w:r>
        <w:fldChar w:fldCharType="separate"/>
      </w:r>
      <w:r>
        <w:t>13</w:t>
      </w:r>
      <w:r>
        <w:fldChar w:fldCharType="end"/>
      </w:r>
      <w:r>
        <w:fldChar w:fldCharType="end"/>
      </w:r>
    </w:p>
    <w:p>
      <w:pPr>
        <w:pStyle w:val="12"/>
        <w:rPr>
          <w:rFonts w:ascii="Calibri" w:hAnsi="Calibri" w:cs="黑体"/>
          <w:szCs w:val="22"/>
        </w:rPr>
      </w:pPr>
      <w:r>
        <w:fldChar w:fldCharType="begin"/>
      </w:r>
      <w:r>
        <w:instrText xml:space="preserve"> HYPERLINK \l "_Toc52180089" </w:instrText>
      </w:r>
      <w:r>
        <w:fldChar w:fldCharType="separate"/>
      </w:r>
      <w:r>
        <w:rPr>
          <w:rStyle w:val="16"/>
          <w:rFonts w:hint="eastAsia" w:ascii="黑体" w:eastAsia="黑体"/>
        </w:rPr>
        <w:t>八、</w:t>
      </w:r>
      <w:r>
        <w:rPr>
          <w:rStyle w:val="16"/>
          <w:rFonts w:hint="eastAsia" w:ascii="黑体" w:hAnsi="黑体" w:eastAsia="黑体" w:cs="黑体"/>
          <w:bCs/>
        </w:rPr>
        <w:t>政府性基金预算支出决算情况说明</w:t>
      </w:r>
      <w:r>
        <w:tab/>
      </w:r>
      <w:r>
        <w:fldChar w:fldCharType="begin"/>
      </w:r>
      <w:r>
        <w:instrText xml:space="preserve"> PAGEREF _Toc52180089 \h </w:instrText>
      </w:r>
      <w:r>
        <w:fldChar w:fldCharType="separate"/>
      </w:r>
      <w:r>
        <w:t>14</w:t>
      </w:r>
      <w:r>
        <w:fldChar w:fldCharType="end"/>
      </w:r>
      <w:r>
        <w:fldChar w:fldCharType="end"/>
      </w:r>
    </w:p>
    <w:p>
      <w:pPr>
        <w:pStyle w:val="12"/>
        <w:rPr>
          <w:rFonts w:ascii="Calibri" w:hAnsi="Calibri" w:cs="黑体"/>
          <w:szCs w:val="22"/>
        </w:rPr>
      </w:pPr>
      <w:r>
        <w:fldChar w:fldCharType="begin"/>
      </w:r>
      <w:r>
        <w:instrText xml:space="preserve"> HYPERLINK \l "_Toc52180090" </w:instrText>
      </w:r>
      <w:r>
        <w:fldChar w:fldCharType="separate"/>
      </w:r>
      <w:r>
        <w:rPr>
          <w:rStyle w:val="16"/>
          <w:rFonts w:hint="eastAsia" w:ascii="黑体" w:hAnsi="黑体" w:eastAsia="黑体" w:cs="黑体"/>
          <w:bCs/>
        </w:rPr>
        <w:t>九、 国有资本经营预算支出决算情况说明</w:t>
      </w:r>
      <w:r>
        <w:tab/>
      </w:r>
      <w:r>
        <w:fldChar w:fldCharType="begin"/>
      </w:r>
      <w:r>
        <w:instrText xml:space="preserve"> PAGEREF _Toc52180090 \h </w:instrText>
      </w:r>
      <w:r>
        <w:fldChar w:fldCharType="separate"/>
      </w:r>
      <w:r>
        <w:t>14</w:t>
      </w:r>
      <w:r>
        <w:fldChar w:fldCharType="end"/>
      </w:r>
      <w:r>
        <w:fldChar w:fldCharType="end"/>
      </w:r>
    </w:p>
    <w:p>
      <w:pPr>
        <w:pStyle w:val="12"/>
        <w:rPr>
          <w:rFonts w:ascii="Calibri" w:hAnsi="Calibri" w:cs="黑体"/>
          <w:szCs w:val="22"/>
        </w:rPr>
      </w:pPr>
      <w:r>
        <w:fldChar w:fldCharType="begin"/>
      </w:r>
      <w:r>
        <w:instrText xml:space="preserve"> HYPERLINK \l "_Toc52180091" </w:instrText>
      </w:r>
      <w:r>
        <w:fldChar w:fldCharType="separate"/>
      </w:r>
      <w:r>
        <w:rPr>
          <w:rStyle w:val="16"/>
          <w:rFonts w:hint="eastAsia" w:ascii="黑体" w:hAnsi="黑体" w:eastAsia="黑体"/>
        </w:rPr>
        <w:t>十</w:t>
      </w:r>
      <w:r>
        <w:rPr>
          <w:rStyle w:val="16"/>
          <w:rFonts w:hint="eastAsia" w:ascii="黑体" w:hAnsi="黑体" w:eastAsia="黑体" w:cs="黑体"/>
          <w:b/>
          <w:bCs/>
        </w:rPr>
        <w:t>、</w:t>
      </w:r>
      <w:r>
        <w:rPr>
          <w:rStyle w:val="16"/>
          <w:rFonts w:hint="eastAsia" w:ascii="黑体" w:hAnsi="黑体" w:eastAsia="黑体" w:cs="黑体"/>
          <w:bCs/>
        </w:rPr>
        <w:t>其他重要事项的情况说明</w:t>
      </w:r>
      <w:r>
        <w:tab/>
      </w:r>
      <w:r>
        <w:fldChar w:fldCharType="begin"/>
      </w:r>
      <w:r>
        <w:instrText xml:space="preserve"> PAGEREF _Toc52180091 \h </w:instrText>
      </w:r>
      <w:r>
        <w:fldChar w:fldCharType="separate"/>
      </w:r>
      <w:r>
        <w:t>15</w:t>
      </w:r>
      <w:r>
        <w:fldChar w:fldCharType="end"/>
      </w:r>
      <w:r>
        <w:fldChar w:fldCharType="end"/>
      </w:r>
    </w:p>
    <w:p>
      <w:pPr>
        <w:pStyle w:val="6"/>
        <w:rPr>
          <w:rFonts w:ascii="Calibri" w:hAnsi="Calibri" w:cs="黑体"/>
          <w:szCs w:val="22"/>
        </w:rPr>
      </w:pPr>
      <w:r>
        <w:fldChar w:fldCharType="begin"/>
      </w:r>
      <w:r>
        <w:instrText xml:space="preserve"> HYPERLINK \l "_Toc52180092" </w:instrText>
      </w:r>
      <w:r>
        <w:fldChar w:fldCharType="separate"/>
      </w:r>
      <w:r>
        <w:rPr>
          <w:rStyle w:val="16"/>
          <w:rFonts w:hint="eastAsia" w:ascii="仿宋" w:hAnsi="仿宋" w:eastAsia="仿宋"/>
          <w:b/>
        </w:rPr>
        <w:t>（一）机关运行经费支出情况</w:t>
      </w:r>
      <w:r>
        <w:tab/>
      </w:r>
      <w:r>
        <w:fldChar w:fldCharType="begin"/>
      </w:r>
      <w:r>
        <w:instrText xml:space="preserve"> PAGEREF _Toc52180092 \h </w:instrText>
      </w:r>
      <w:r>
        <w:fldChar w:fldCharType="separate"/>
      </w:r>
      <w:r>
        <w:t>15</w:t>
      </w:r>
      <w:r>
        <w:fldChar w:fldCharType="end"/>
      </w:r>
      <w:r>
        <w:fldChar w:fldCharType="end"/>
      </w:r>
    </w:p>
    <w:p>
      <w:pPr>
        <w:pStyle w:val="6"/>
        <w:rPr>
          <w:rFonts w:ascii="Calibri" w:hAnsi="Calibri" w:cs="黑体"/>
          <w:szCs w:val="22"/>
        </w:rPr>
      </w:pPr>
      <w:r>
        <w:fldChar w:fldCharType="begin"/>
      </w:r>
      <w:r>
        <w:instrText xml:space="preserve"> HYPERLINK \l "_Toc52180093" </w:instrText>
      </w:r>
      <w:r>
        <w:fldChar w:fldCharType="separate"/>
      </w:r>
      <w:r>
        <w:rPr>
          <w:rStyle w:val="16"/>
          <w:rFonts w:hint="eastAsia" w:ascii="仿宋" w:hAnsi="仿宋" w:eastAsia="仿宋"/>
          <w:b/>
        </w:rPr>
        <w:t>（二）政府采购支出情况</w:t>
      </w:r>
      <w:r>
        <w:tab/>
      </w:r>
      <w:r>
        <w:fldChar w:fldCharType="begin"/>
      </w:r>
      <w:r>
        <w:instrText xml:space="preserve"> PAGEREF _Toc52180093 \h </w:instrText>
      </w:r>
      <w:r>
        <w:fldChar w:fldCharType="separate"/>
      </w:r>
      <w:r>
        <w:t>15</w:t>
      </w:r>
      <w:r>
        <w:fldChar w:fldCharType="end"/>
      </w:r>
      <w:r>
        <w:fldChar w:fldCharType="end"/>
      </w:r>
    </w:p>
    <w:p>
      <w:pPr>
        <w:pStyle w:val="6"/>
        <w:rPr>
          <w:rFonts w:ascii="Calibri" w:hAnsi="Calibri" w:cs="黑体"/>
          <w:szCs w:val="22"/>
        </w:rPr>
      </w:pPr>
      <w:r>
        <w:fldChar w:fldCharType="begin"/>
      </w:r>
      <w:r>
        <w:instrText xml:space="preserve"> HYPERLINK \l "_Toc52180094" </w:instrText>
      </w:r>
      <w:r>
        <w:fldChar w:fldCharType="separate"/>
      </w:r>
      <w:r>
        <w:rPr>
          <w:rStyle w:val="16"/>
          <w:rFonts w:hint="eastAsia" w:ascii="仿宋" w:hAnsi="仿宋" w:eastAsia="仿宋"/>
          <w:b/>
        </w:rPr>
        <w:t>（三）国有资产占有使用情况</w:t>
      </w:r>
      <w:r>
        <w:tab/>
      </w:r>
      <w:r>
        <w:fldChar w:fldCharType="begin"/>
      </w:r>
      <w:r>
        <w:instrText xml:space="preserve"> PAGEREF _Toc52180094 \h </w:instrText>
      </w:r>
      <w:r>
        <w:fldChar w:fldCharType="separate"/>
      </w:r>
      <w:r>
        <w:t>15</w:t>
      </w:r>
      <w:r>
        <w:fldChar w:fldCharType="end"/>
      </w:r>
      <w:r>
        <w:fldChar w:fldCharType="end"/>
      </w:r>
    </w:p>
    <w:p>
      <w:pPr>
        <w:pStyle w:val="6"/>
        <w:rPr>
          <w:rFonts w:ascii="Calibri" w:hAnsi="Calibri" w:cs="黑体"/>
          <w:szCs w:val="22"/>
        </w:rPr>
      </w:pPr>
      <w:r>
        <w:fldChar w:fldCharType="begin"/>
      </w:r>
      <w:r>
        <w:instrText xml:space="preserve"> HYPERLINK \l "_Toc52180095" </w:instrText>
      </w:r>
      <w:r>
        <w:fldChar w:fldCharType="separate"/>
      </w:r>
      <w:r>
        <w:rPr>
          <w:rStyle w:val="16"/>
          <w:rFonts w:hint="eastAsia" w:ascii="仿宋" w:hAnsi="仿宋" w:eastAsia="仿宋"/>
          <w:b/>
        </w:rPr>
        <w:t>（四）预算绩效管理情况。</w:t>
      </w:r>
      <w:r>
        <w:tab/>
      </w:r>
      <w:r>
        <w:fldChar w:fldCharType="begin"/>
      </w:r>
      <w:r>
        <w:instrText xml:space="preserve"> PAGEREF _Toc52180095 \h </w:instrText>
      </w:r>
      <w:r>
        <w:fldChar w:fldCharType="separate"/>
      </w:r>
      <w:r>
        <w:t>15</w:t>
      </w:r>
      <w:r>
        <w:fldChar w:fldCharType="end"/>
      </w:r>
      <w:r>
        <w:fldChar w:fldCharType="end"/>
      </w:r>
    </w:p>
    <w:p>
      <w:pPr>
        <w:pStyle w:val="11"/>
        <w:rPr>
          <w:rFonts w:ascii="Calibri" w:hAnsi="Calibri" w:eastAsia="宋体" w:cs="黑体"/>
          <w:sz w:val="21"/>
          <w:szCs w:val="22"/>
        </w:rPr>
      </w:pPr>
      <w:r>
        <w:fldChar w:fldCharType="begin"/>
      </w:r>
      <w:r>
        <w:instrText xml:space="preserve"> HYPERLINK \l "_Toc52180096" </w:instrText>
      </w:r>
      <w:r>
        <w:fldChar w:fldCharType="separate"/>
      </w:r>
      <w:r>
        <w:rPr>
          <w:rStyle w:val="16"/>
          <w:rFonts w:hint="eastAsia" w:ascii="黑体" w:hAnsi="黑体" w:eastAsia="黑体"/>
          <w:bCs/>
          <w:kern w:val="44"/>
        </w:rPr>
        <w:t>第三部分</w:t>
      </w:r>
      <w:r>
        <w:rPr>
          <w:rStyle w:val="16"/>
          <w:rFonts w:hint="eastAsia" w:ascii="黑体" w:hAnsi="黑体" w:eastAsia="黑体"/>
        </w:rPr>
        <w:t xml:space="preserve"> 名</w:t>
      </w:r>
      <w:r>
        <w:rPr>
          <w:rStyle w:val="16"/>
          <w:rFonts w:hint="eastAsia" w:ascii="黑体" w:hAnsi="黑体" w:eastAsia="黑体"/>
          <w:bCs/>
          <w:kern w:val="44"/>
        </w:rPr>
        <w:t>词解释</w:t>
      </w:r>
      <w:r>
        <w:tab/>
      </w:r>
      <w:r>
        <w:fldChar w:fldCharType="begin"/>
      </w:r>
      <w:r>
        <w:instrText xml:space="preserve"> PAGEREF _Toc52180096 \h </w:instrText>
      </w:r>
      <w:r>
        <w:fldChar w:fldCharType="separate"/>
      </w:r>
      <w:r>
        <w:t>24</w:t>
      </w:r>
      <w:r>
        <w:fldChar w:fldCharType="end"/>
      </w:r>
      <w:r>
        <w:fldChar w:fldCharType="end"/>
      </w:r>
    </w:p>
    <w:p>
      <w:pPr>
        <w:pStyle w:val="11"/>
        <w:rPr>
          <w:rFonts w:ascii="Calibri" w:hAnsi="Calibri" w:eastAsia="宋体" w:cs="黑体"/>
          <w:sz w:val="21"/>
          <w:szCs w:val="22"/>
        </w:rPr>
      </w:pPr>
      <w:r>
        <w:fldChar w:fldCharType="begin"/>
      </w:r>
      <w:r>
        <w:instrText xml:space="preserve"> HYPERLINK \l "_Toc52180097" </w:instrText>
      </w:r>
      <w:r>
        <w:fldChar w:fldCharType="separate"/>
      </w:r>
      <w:r>
        <w:rPr>
          <w:rStyle w:val="16"/>
          <w:rFonts w:hint="eastAsia" w:ascii="黑体" w:hAnsi="黑体" w:eastAsia="黑体"/>
        </w:rPr>
        <w:t>第</w:t>
      </w:r>
      <w:r>
        <w:rPr>
          <w:rStyle w:val="16"/>
          <w:rFonts w:hint="eastAsia" w:ascii="黑体" w:hAnsi="黑体" w:eastAsia="黑体"/>
          <w:bCs/>
          <w:kern w:val="44"/>
        </w:rPr>
        <w:t>四部分</w:t>
      </w:r>
      <w:r>
        <w:rPr>
          <w:rStyle w:val="16"/>
          <w:rFonts w:ascii="黑体" w:hAnsi="黑体" w:eastAsia="黑体"/>
          <w:bCs/>
          <w:kern w:val="44"/>
        </w:rPr>
        <w:t xml:space="preserve"> </w:t>
      </w:r>
      <w:r>
        <w:rPr>
          <w:rStyle w:val="16"/>
          <w:rFonts w:hint="eastAsia" w:ascii="黑体" w:hAnsi="黑体" w:eastAsia="黑体"/>
          <w:bCs/>
          <w:kern w:val="44"/>
        </w:rPr>
        <w:t>附件</w:t>
      </w:r>
      <w:r>
        <w:tab/>
      </w:r>
      <w:r>
        <w:rPr>
          <w:rFonts w:hint="eastAsia"/>
        </w:rPr>
        <w:t>30</w:t>
      </w:r>
      <w:r>
        <w:rPr>
          <w:rFonts w:hint="eastAsia"/>
        </w:rPr>
        <w:fldChar w:fldCharType="end"/>
      </w:r>
    </w:p>
    <w:p>
      <w:pPr>
        <w:pStyle w:val="11"/>
        <w:rPr>
          <w:rFonts w:ascii="Calibri" w:hAnsi="Calibri" w:eastAsia="宋体" w:cs="黑体"/>
          <w:sz w:val="21"/>
          <w:szCs w:val="22"/>
        </w:rPr>
      </w:pPr>
      <w:r>
        <w:fldChar w:fldCharType="begin"/>
      </w:r>
      <w:r>
        <w:instrText xml:space="preserve"> HYPERLINK \l "_Toc52180099" </w:instrText>
      </w:r>
      <w:r>
        <w:fldChar w:fldCharType="separate"/>
      </w:r>
      <w:r>
        <w:rPr>
          <w:rStyle w:val="16"/>
          <w:rFonts w:hint="eastAsia" w:ascii="黑体" w:hAnsi="黑体" w:eastAsia="黑体"/>
        </w:rPr>
        <w:t>第</w:t>
      </w:r>
      <w:r>
        <w:rPr>
          <w:rStyle w:val="16"/>
          <w:rFonts w:hint="eastAsia" w:ascii="黑体" w:hAnsi="黑体" w:eastAsia="黑体"/>
          <w:bCs/>
          <w:kern w:val="44"/>
        </w:rPr>
        <w:t>五部分</w:t>
      </w:r>
      <w:r>
        <w:rPr>
          <w:rStyle w:val="16"/>
          <w:rFonts w:ascii="黑体" w:hAnsi="黑体" w:eastAsia="黑体"/>
          <w:bCs/>
          <w:kern w:val="44"/>
        </w:rPr>
        <w:t xml:space="preserve"> </w:t>
      </w:r>
      <w:r>
        <w:rPr>
          <w:rStyle w:val="16"/>
          <w:rFonts w:hint="eastAsia" w:ascii="黑体" w:hAnsi="黑体" w:eastAsia="黑体"/>
          <w:bCs/>
          <w:kern w:val="44"/>
        </w:rPr>
        <w:t>附表</w:t>
      </w:r>
      <w:r>
        <w:tab/>
      </w:r>
      <w:r>
        <w:fldChar w:fldCharType="begin"/>
      </w:r>
      <w:r>
        <w:instrText xml:space="preserve"> PAGEREF _Toc52180099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"_Toc52180100" </w:instrText>
      </w:r>
      <w:r>
        <w:fldChar w:fldCharType="separate"/>
      </w:r>
      <w:r>
        <w:rPr>
          <w:rStyle w:val="16"/>
          <w:rFonts w:hint="eastAsia" w:ascii="仿宋" w:hAnsi="仿宋" w:eastAsia="仿宋"/>
        </w:rPr>
        <w:t>一、收入支出决算总表</w:t>
      </w:r>
      <w:r>
        <w:tab/>
      </w:r>
      <w:r>
        <w:fldChar w:fldCharType="begin"/>
      </w:r>
      <w:r>
        <w:instrText xml:space="preserve"> PAGEREF _Toc52180100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"_Toc52180101" </w:instrText>
      </w:r>
      <w:r>
        <w:fldChar w:fldCharType="separate"/>
      </w:r>
      <w:r>
        <w:rPr>
          <w:rStyle w:val="16"/>
          <w:rFonts w:hint="eastAsia" w:ascii="仿宋" w:hAnsi="仿宋" w:eastAsia="仿宋"/>
        </w:rPr>
        <w:t>二、收入决算表</w:t>
      </w:r>
      <w:r>
        <w:tab/>
      </w:r>
      <w:r>
        <w:fldChar w:fldCharType="begin"/>
      </w:r>
      <w:r>
        <w:instrText xml:space="preserve"> PAGEREF _Toc52180101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"_Toc52180102" </w:instrText>
      </w:r>
      <w:r>
        <w:fldChar w:fldCharType="separate"/>
      </w:r>
      <w:r>
        <w:rPr>
          <w:rStyle w:val="16"/>
          <w:rFonts w:hint="eastAsia" w:ascii="仿宋" w:hAnsi="仿宋" w:eastAsia="仿宋"/>
        </w:rPr>
        <w:t>三、支出决算表</w:t>
      </w:r>
      <w:r>
        <w:tab/>
      </w:r>
      <w:r>
        <w:fldChar w:fldCharType="begin"/>
      </w:r>
      <w:r>
        <w:instrText xml:space="preserve"> PAGEREF _Toc52180102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"_Toc52180103" </w:instrText>
      </w:r>
      <w:r>
        <w:fldChar w:fldCharType="separate"/>
      </w:r>
      <w:r>
        <w:rPr>
          <w:rStyle w:val="16"/>
          <w:rFonts w:hint="eastAsia" w:ascii="仿宋" w:hAnsi="仿宋" w:eastAsia="仿宋"/>
        </w:rPr>
        <w:t>四、财政拨款收入支出决算总表</w:t>
      </w:r>
      <w:r>
        <w:tab/>
      </w:r>
      <w:r>
        <w:fldChar w:fldCharType="begin"/>
      </w:r>
      <w:r>
        <w:instrText xml:space="preserve"> PAGEREF _Toc52180103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"_Toc52180104" </w:instrText>
      </w:r>
      <w:r>
        <w:fldChar w:fldCharType="separate"/>
      </w:r>
      <w:r>
        <w:rPr>
          <w:rStyle w:val="16"/>
          <w:rFonts w:hint="eastAsia" w:ascii="仿宋" w:hAnsi="仿宋" w:eastAsia="仿宋"/>
        </w:rPr>
        <w:t>五、财政拨款支出决算明细表</w:t>
      </w:r>
      <w:r>
        <w:tab/>
      </w:r>
      <w:r>
        <w:fldChar w:fldCharType="begin"/>
      </w:r>
      <w:r>
        <w:instrText xml:space="preserve"> PAGEREF _Toc52180104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"_Toc52180105" </w:instrText>
      </w:r>
      <w:r>
        <w:fldChar w:fldCharType="separate"/>
      </w:r>
      <w:r>
        <w:rPr>
          <w:rStyle w:val="16"/>
          <w:rFonts w:hint="eastAsia" w:ascii="仿宋" w:hAnsi="仿宋" w:eastAsia="仿宋"/>
        </w:rPr>
        <w:t>六、一般公共预算财政拨款支出决算表</w:t>
      </w:r>
      <w:r>
        <w:tab/>
      </w:r>
      <w:r>
        <w:fldChar w:fldCharType="begin"/>
      </w:r>
      <w:r>
        <w:instrText xml:space="preserve"> PAGEREF _Toc52180105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"_Toc52180106" </w:instrText>
      </w:r>
      <w:r>
        <w:fldChar w:fldCharType="separate"/>
      </w:r>
      <w:r>
        <w:rPr>
          <w:rStyle w:val="16"/>
          <w:rFonts w:hint="eastAsia" w:ascii="仿宋" w:hAnsi="仿宋" w:eastAsia="仿宋"/>
        </w:rPr>
        <w:t>七、一般公共预算财政拨款支出决算明细表</w:t>
      </w:r>
      <w:r>
        <w:tab/>
      </w:r>
      <w:r>
        <w:fldChar w:fldCharType="begin"/>
      </w:r>
      <w:r>
        <w:instrText xml:space="preserve"> PAGEREF _Toc52180106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"_Toc52180107" </w:instrText>
      </w:r>
      <w:r>
        <w:fldChar w:fldCharType="separate"/>
      </w:r>
      <w:r>
        <w:rPr>
          <w:rStyle w:val="16"/>
          <w:rFonts w:hint="eastAsia" w:ascii="仿宋" w:hAnsi="仿宋" w:eastAsia="仿宋"/>
        </w:rPr>
        <w:t>八、一般公共预算财政拨款基本支出决算表</w:t>
      </w:r>
      <w:r>
        <w:tab/>
      </w:r>
      <w:r>
        <w:fldChar w:fldCharType="begin"/>
      </w:r>
      <w:r>
        <w:instrText xml:space="preserve"> PAGEREF _Toc52180107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"_Toc52180108" </w:instrText>
      </w:r>
      <w:r>
        <w:fldChar w:fldCharType="separate"/>
      </w:r>
      <w:r>
        <w:rPr>
          <w:rStyle w:val="16"/>
          <w:rFonts w:hint="eastAsia" w:ascii="仿宋" w:hAnsi="仿宋" w:eastAsia="仿宋"/>
        </w:rPr>
        <w:t>九、一般公共预算财政拨款项目支出决算表</w:t>
      </w:r>
      <w:r>
        <w:tab/>
      </w:r>
      <w:r>
        <w:fldChar w:fldCharType="begin"/>
      </w:r>
      <w:r>
        <w:instrText xml:space="preserve"> PAGEREF _Toc52180108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"_Toc52180109" </w:instrText>
      </w:r>
      <w:r>
        <w:fldChar w:fldCharType="separate"/>
      </w:r>
      <w:r>
        <w:rPr>
          <w:rStyle w:val="16"/>
          <w:rFonts w:hint="eastAsia" w:ascii="仿宋" w:hAnsi="仿宋" w:eastAsia="仿宋"/>
        </w:rPr>
        <w:t>十、一般公共预算财政拨款“三公”经费支出决算表</w:t>
      </w:r>
      <w:r>
        <w:tab/>
      </w:r>
      <w:r>
        <w:fldChar w:fldCharType="begin"/>
      </w:r>
      <w:r>
        <w:instrText xml:space="preserve"> PAGEREF _Toc52180109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"_Toc52180110" </w:instrText>
      </w:r>
      <w:r>
        <w:fldChar w:fldCharType="separate"/>
      </w:r>
      <w:r>
        <w:rPr>
          <w:rStyle w:val="16"/>
          <w:rFonts w:hint="eastAsia" w:ascii="仿宋" w:hAnsi="仿宋" w:eastAsia="仿宋"/>
        </w:rPr>
        <w:t>十一、政府性基金预算财政拨款收入支出决算表</w:t>
      </w:r>
      <w:r>
        <w:tab/>
      </w:r>
      <w:r>
        <w:fldChar w:fldCharType="begin"/>
      </w:r>
      <w:r>
        <w:instrText xml:space="preserve"> PAGEREF _Toc52180110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"_Toc52180111" </w:instrText>
      </w:r>
      <w:r>
        <w:fldChar w:fldCharType="separate"/>
      </w:r>
      <w:r>
        <w:rPr>
          <w:rStyle w:val="16"/>
          <w:rFonts w:hint="eastAsia" w:ascii="仿宋" w:hAnsi="仿宋" w:eastAsia="仿宋"/>
        </w:rPr>
        <w:t>十二、政府性基金预算财政拨款“三公”经费支出决算表</w:t>
      </w:r>
      <w:r>
        <w:tab/>
      </w:r>
      <w:r>
        <w:fldChar w:fldCharType="begin"/>
      </w:r>
      <w:r>
        <w:instrText xml:space="preserve"> PAGEREF _Toc52180111 \h </w:instrText>
      </w:r>
      <w:r>
        <w:fldChar w:fldCharType="separate"/>
      </w:r>
      <w:r>
        <w:t>4</w:t>
      </w:r>
      <w:r>
        <w:rPr>
          <w:rFonts w:hint="eastAsia"/>
        </w:rPr>
        <w:t>7</w:t>
      </w:r>
      <w:r>
        <w:fldChar w:fldCharType="end"/>
      </w:r>
      <w:r>
        <w:fldChar w:fldCharType="end"/>
      </w:r>
    </w:p>
    <w:p>
      <w:pPr>
        <w:pStyle w:val="12"/>
        <w:rPr>
          <w:rFonts w:ascii="Calibri" w:hAnsi="Calibri" w:cs="黑体"/>
          <w:szCs w:val="22"/>
        </w:rPr>
      </w:pPr>
      <w:r>
        <w:fldChar w:fldCharType="begin"/>
      </w:r>
      <w:r>
        <w:instrText xml:space="preserve"> HYPERLINK \l "_Toc52180112" </w:instrText>
      </w:r>
      <w:r>
        <w:fldChar w:fldCharType="separate"/>
      </w:r>
      <w:r>
        <w:rPr>
          <w:rStyle w:val="16"/>
          <w:rFonts w:hint="eastAsia" w:ascii="仿宋" w:hAnsi="仿宋" w:eastAsia="仿宋"/>
        </w:rPr>
        <w:t>十三、国有资本经营预算支出决算表</w:t>
      </w:r>
      <w:r>
        <w:tab/>
      </w:r>
      <w:r>
        <w:fldChar w:fldCharType="begin"/>
      </w:r>
      <w:r>
        <w:instrText xml:space="preserve"> PAGEREF _Toc52180112 \h </w:instrText>
      </w:r>
      <w:r>
        <w:fldChar w:fldCharType="separate"/>
      </w:r>
      <w:r>
        <w:t>4</w:t>
      </w:r>
      <w:r>
        <w:rPr>
          <w:rFonts w:hint="eastAsia"/>
        </w:rPr>
        <w:t>7</w:t>
      </w:r>
      <w:r>
        <w:fldChar w:fldCharType="end"/>
      </w:r>
      <w:r>
        <w:fldChar w:fldCharType="end"/>
      </w:r>
    </w:p>
    <w:p>
      <w:r>
        <w:fldChar w:fldCharType="end"/>
      </w:r>
      <w:bookmarkStart w:id="14" w:name="_Toc15377196"/>
      <w:bookmarkStart w:id="15" w:name="_Toc15396599"/>
      <w:r>
        <w:rPr>
          <w:rFonts w:ascii="仿宋" w:hAnsi="仿宋" w:eastAsia="仿宋"/>
          <w:b/>
          <w:sz w:val="24"/>
        </w:rPr>
        <w:br w:type="page"/>
      </w:r>
    </w:p>
    <w:p>
      <w:pPr>
        <w:pStyle w:val="2"/>
        <w:jc w:val="center"/>
        <w:rPr>
          <w:rStyle w:val="27"/>
          <w:rFonts w:ascii="黑体" w:hAnsi="黑体" w:eastAsia="黑体"/>
          <w:b/>
          <w:bCs w:val="0"/>
        </w:rPr>
      </w:pPr>
      <w:bookmarkStart w:id="16" w:name="_Toc52180065"/>
      <w:r>
        <w:rPr>
          <w:rFonts w:hint="eastAsia" w:ascii="黑体" w:hAnsi="黑体" w:eastAsia="黑体"/>
          <w:b w:val="0"/>
        </w:rPr>
        <w:t xml:space="preserve">第一部分 </w:t>
      </w:r>
      <w:r>
        <w:rPr>
          <w:rStyle w:val="27"/>
          <w:rFonts w:hint="eastAsia" w:ascii="黑体" w:hAnsi="黑体" w:eastAsia="黑体"/>
          <w:b w:val="0"/>
          <w:bCs w:val="0"/>
        </w:rPr>
        <w:t>部门概况</w:t>
      </w:r>
      <w:bookmarkEnd w:id="14"/>
      <w:bookmarkEnd w:id="15"/>
      <w:bookmarkEnd w:id="16"/>
    </w:p>
    <w:p>
      <w:pPr>
        <w:widowControl/>
        <w:jc w:val="left"/>
        <w:rPr>
          <w:rFonts w:ascii="黑体" w:eastAsia="黑体"/>
          <w:color w:val="000000"/>
          <w:sz w:val="32"/>
          <w:szCs w:val="32"/>
        </w:rPr>
      </w:pPr>
    </w:p>
    <w:p>
      <w:pPr>
        <w:pStyle w:val="3"/>
        <w:rPr>
          <w:rStyle w:val="28"/>
          <w:rFonts w:ascii="仿宋" w:hAnsi="仿宋" w:eastAsia="仿宋"/>
          <w:b w:val="0"/>
          <w:bCs w:val="0"/>
        </w:rPr>
      </w:pPr>
      <w:bookmarkStart w:id="17" w:name="_Toc15396600"/>
      <w:bookmarkStart w:id="18" w:name="_Toc15377197"/>
      <w:bookmarkStart w:id="19" w:name="_Toc52180066"/>
      <w:r>
        <w:rPr>
          <w:rFonts w:hint="eastAsia" w:ascii="黑体" w:hAnsi="黑体" w:eastAsia="黑体"/>
          <w:b w:val="0"/>
          <w:color w:val="000000"/>
        </w:rPr>
        <w:t>一、基</w:t>
      </w:r>
      <w:r>
        <w:rPr>
          <w:rStyle w:val="28"/>
          <w:rFonts w:hint="eastAsia" w:ascii="黑体" w:hAnsi="黑体" w:eastAsia="黑体"/>
          <w:b w:val="0"/>
          <w:bCs w:val="0"/>
        </w:rPr>
        <w:t>本职能及主要工作</w:t>
      </w:r>
      <w:bookmarkEnd w:id="17"/>
      <w:bookmarkEnd w:id="18"/>
      <w:bookmarkEnd w:id="19"/>
    </w:p>
    <w:p>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20" w:name="_Toc15378445"/>
      <w:bookmarkStart w:id="21" w:name="_Toc52180067"/>
      <w:bookmarkStart w:id="22" w:name="_Toc15377198"/>
      <w:r>
        <w:rPr>
          <w:rFonts w:hint="eastAsia" w:ascii="仿宋" w:hAnsi="仿宋" w:eastAsia="仿宋"/>
          <w:bCs/>
          <w:color w:val="000000"/>
          <w:sz w:val="32"/>
          <w:szCs w:val="32"/>
        </w:rPr>
        <w:t>（一）主要职能。</w:t>
      </w:r>
      <w:bookmarkEnd w:id="20"/>
      <w:bookmarkEnd w:id="21"/>
      <w:bookmarkEnd w:id="22"/>
    </w:p>
    <w:p>
      <w:pPr>
        <w:ind w:firstLine="600"/>
        <w:rPr>
          <w:rFonts w:ascii="仿宋_GB2312" w:eastAsia="仿宋_GB2312"/>
          <w:color w:val="000000"/>
          <w:kern w:val="0"/>
          <w:sz w:val="32"/>
          <w:szCs w:val="32"/>
        </w:rPr>
      </w:pPr>
      <w:r>
        <w:rPr>
          <w:rFonts w:hint="eastAsia" w:ascii="仿宋_GB2312" w:eastAsia="仿宋_GB2312"/>
          <w:color w:val="000000"/>
          <w:kern w:val="0"/>
          <w:sz w:val="32"/>
          <w:szCs w:val="32"/>
        </w:rPr>
        <w:t>1.贯彻执行国家有关财政管理等方面的法律、法规和规章;拟定和执行乡镇财政发展规划及其他有关政策。</w:t>
      </w:r>
    </w:p>
    <w:p>
      <w:pPr>
        <w:ind w:firstLine="600"/>
        <w:rPr>
          <w:rFonts w:ascii="仿宋_GB2312" w:eastAsia="仿宋_GB2312"/>
          <w:color w:val="000000"/>
          <w:kern w:val="0"/>
          <w:sz w:val="32"/>
          <w:szCs w:val="32"/>
        </w:rPr>
      </w:pPr>
      <w:r>
        <w:rPr>
          <w:rFonts w:hint="eastAsia" w:ascii="仿宋_GB2312" w:eastAsia="仿宋_GB2312"/>
          <w:color w:val="000000"/>
          <w:kern w:val="0"/>
          <w:sz w:val="32"/>
          <w:szCs w:val="32"/>
        </w:rPr>
        <w:t>2.编制乡镇年度财政预算草案并组织执行;向乡镇人大报告财政决算;管理和监督乡镇各项财政收支。</w:t>
      </w:r>
    </w:p>
    <w:p>
      <w:pPr>
        <w:ind w:firstLine="600"/>
        <w:rPr>
          <w:rFonts w:ascii="仿宋_GB2312" w:eastAsia="仿宋_GB2312"/>
          <w:color w:val="000000"/>
          <w:kern w:val="0"/>
          <w:sz w:val="32"/>
          <w:szCs w:val="32"/>
        </w:rPr>
      </w:pPr>
      <w:r>
        <w:rPr>
          <w:rFonts w:hint="eastAsia" w:ascii="仿宋_GB2312" w:eastAsia="仿宋_GB2312"/>
          <w:color w:val="000000"/>
          <w:kern w:val="0"/>
          <w:sz w:val="32"/>
          <w:szCs w:val="32"/>
        </w:rPr>
        <w:t>3.管理各类政策性补贴等资金，建立惠农资金补助对象管理新机制，进一步完善财政补贴农民资金“一卡(折)通”发放机制。</w:t>
      </w:r>
    </w:p>
    <w:p>
      <w:pPr>
        <w:ind w:firstLine="600"/>
        <w:rPr>
          <w:rFonts w:ascii="仿宋_GB2312" w:eastAsia="仿宋_GB2312"/>
          <w:color w:val="000000"/>
          <w:kern w:val="0"/>
          <w:sz w:val="32"/>
          <w:szCs w:val="32"/>
        </w:rPr>
      </w:pPr>
      <w:r>
        <w:rPr>
          <w:rFonts w:hint="eastAsia" w:ascii="仿宋_GB2312" w:eastAsia="仿宋_GB2312"/>
          <w:color w:val="000000"/>
          <w:kern w:val="0"/>
          <w:sz w:val="32"/>
          <w:szCs w:val="32"/>
        </w:rPr>
        <w:t>4.负责乡镇耕地占用税和契税的征收管理;管理乡镇政府非税收入。</w:t>
      </w:r>
    </w:p>
    <w:p>
      <w:pPr>
        <w:ind w:firstLine="600"/>
        <w:rPr>
          <w:rFonts w:ascii="仿宋_GB2312" w:eastAsia="仿宋_GB2312"/>
          <w:color w:val="000000"/>
          <w:kern w:val="0"/>
          <w:sz w:val="32"/>
          <w:szCs w:val="32"/>
        </w:rPr>
      </w:pPr>
      <w:r>
        <w:rPr>
          <w:rFonts w:hint="eastAsia" w:ascii="仿宋_GB2312" w:eastAsia="仿宋_GB2312"/>
          <w:color w:val="000000"/>
          <w:kern w:val="0"/>
          <w:sz w:val="32"/>
          <w:szCs w:val="32"/>
        </w:rPr>
        <w:t>5.负责对各类专项资金的监管，提高财政资金使用效率。</w:t>
      </w:r>
    </w:p>
    <w:p>
      <w:pPr>
        <w:ind w:firstLine="600"/>
        <w:rPr>
          <w:rFonts w:ascii="仿宋_GB2312" w:eastAsia="仿宋_GB2312"/>
          <w:color w:val="000000"/>
          <w:kern w:val="0"/>
          <w:sz w:val="32"/>
          <w:szCs w:val="32"/>
        </w:rPr>
      </w:pPr>
      <w:r>
        <w:rPr>
          <w:rFonts w:hint="eastAsia" w:ascii="仿宋_GB2312" w:eastAsia="仿宋_GB2312"/>
          <w:color w:val="000000"/>
          <w:kern w:val="0"/>
          <w:sz w:val="32"/>
          <w:szCs w:val="32"/>
        </w:rPr>
        <w:t>6.提出加强财政管理的政策建议;负责财政、税收政策法规的宣传工作。</w:t>
      </w:r>
    </w:p>
    <w:p>
      <w:pPr>
        <w:ind w:firstLine="600"/>
        <w:rPr>
          <w:rFonts w:ascii="仿宋_GB2312" w:eastAsia="仿宋_GB2312"/>
          <w:color w:val="000000"/>
          <w:kern w:val="0"/>
          <w:sz w:val="32"/>
          <w:szCs w:val="32"/>
        </w:rPr>
      </w:pPr>
      <w:r>
        <w:rPr>
          <w:rFonts w:hint="eastAsia" w:ascii="仿宋_GB2312" w:eastAsia="仿宋_GB2312"/>
          <w:color w:val="000000"/>
          <w:kern w:val="0"/>
          <w:sz w:val="32"/>
          <w:szCs w:val="32"/>
        </w:rPr>
        <w:t>7.执行会计集中核算，落实“乡财县管、村帐乡监”、“农村三资代理服务”等管理制度，严格按照上级财政部门规定的工作程序开展工作，充分发挥财政资金效益。</w:t>
      </w:r>
    </w:p>
    <w:p>
      <w:pPr>
        <w:ind w:firstLine="600"/>
        <w:rPr>
          <w:rFonts w:ascii="仿宋_GB2312" w:eastAsia="仿宋_GB2312"/>
          <w:color w:val="000000"/>
          <w:kern w:val="0"/>
          <w:sz w:val="32"/>
          <w:szCs w:val="32"/>
        </w:rPr>
      </w:pPr>
      <w:r>
        <w:rPr>
          <w:rFonts w:hint="eastAsia" w:ascii="仿宋_GB2312" w:eastAsia="仿宋_GB2312"/>
          <w:color w:val="000000"/>
          <w:kern w:val="0"/>
          <w:sz w:val="32"/>
          <w:szCs w:val="32"/>
        </w:rPr>
        <w:t>8.负责本乡镇行政事业单位的国有资产监督管理工作。</w:t>
      </w:r>
    </w:p>
    <w:p>
      <w:pPr>
        <w:ind w:firstLine="600"/>
        <w:rPr>
          <w:rFonts w:ascii="仿宋_GB2312" w:eastAsia="仿宋_GB2312"/>
          <w:color w:val="000000"/>
          <w:kern w:val="0"/>
          <w:sz w:val="32"/>
          <w:szCs w:val="32"/>
        </w:rPr>
      </w:pPr>
      <w:r>
        <w:rPr>
          <w:rFonts w:hint="eastAsia" w:ascii="仿宋_GB2312" w:eastAsia="仿宋_GB2312"/>
          <w:color w:val="000000"/>
          <w:kern w:val="0"/>
          <w:sz w:val="32"/>
          <w:szCs w:val="32"/>
        </w:rPr>
        <w:t>9.负责做好农村综合改革和社会主义新农村建设相关工作。</w:t>
      </w:r>
    </w:p>
    <w:p>
      <w:pPr>
        <w:ind w:firstLine="600"/>
        <w:rPr>
          <w:rFonts w:ascii="仿宋" w:hAnsi="仿宋" w:eastAsia="仿宋"/>
          <w:bCs/>
          <w:color w:val="000000"/>
          <w:sz w:val="32"/>
          <w:szCs w:val="32"/>
        </w:rPr>
      </w:pPr>
      <w:r>
        <w:rPr>
          <w:rFonts w:hint="eastAsia" w:ascii="仿宋_GB2312" w:eastAsia="仿宋_GB2312"/>
          <w:color w:val="000000"/>
          <w:kern w:val="0"/>
          <w:sz w:val="32"/>
          <w:szCs w:val="32"/>
        </w:rPr>
        <w:t>10、承办乡镇党委、政府及上级财政部门交办的其他事项。</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23" w:name="_Toc15377199"/>
      <w:bookmarkStart w:id="24" w:name="_Toc15378446"/>
      <w:bookmarkStart w:id="25" w:name="_Toc52180068"/>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9年重点工作完成情况。</w:t>
      </w:r>
      <w:bookmarkEnd w:id="23"/>
      <w:bookmarkEnd w:id="24"/>
      <w:bookmarkEnd w:id="25"/>
    </w:p>
    <w:p>
      <w:pPr>
        <w:pStyle w:val="5"/>
        <w:adjustRightInd w:val="0"/>
        <w:snapToGrid w:val="0"/>
        <w:spacing w:before="93" w:line="600" w:lineRule="exact"/>
        <w:ind w:firstLine="672" w:firstLineChars="210"/>
        <w:rPr>
          <w:rFonts w:ascii="仿宋" w:hAnsi="仿宋" w:eastAsia="仿宋"/>
          <w:bCs/>
          <w:color w:val="000000"/>
          <w:sz w:val="32"/>
          <w:szCs w:val="32"/>
        </w:rPr>
      </w:pPr>
      <w:r>
        <w:rPr>
          <w:rFonts w:hint="eastAsia"/>
          <w:bCs/>
          <w:sz w:val="32"/>
          <w:szCs w:val="32"/>
        </w:rPr>
        <w:t>贯彻实施上级人民政府命令及政策；推动地方经济及社会事业发展；履行各项政府管理职能</w:t>
      </w:r>
      <w:r>
        <w:rPr>
          <w:rFonts w:hint="eastAsia"/>
          <w:bCs/>
          <w:color w:val="000000"/>
          <w:sz w:val="32"/>
          <w:szCs w:val="32"/>
        </w:rPr>
        <w:t>。</w:t>
      </w:r>
    </w:p>
    <w:p>
      <w:pPr>
        <w:pStyle w:val="3"/>
        <w:rPr>
          <w:rStyle w:val="28"/>
          <w:b w:val="0"/>
          <w:bCs w:val="0"/>
        </w:rPr>
      </w:pPr>
      <w:bookmarkStart w:id="26" w:name="_Toc52180069"/>
      <w:bookmarkStart w:id="27" w:name="_Toc15377200"/>
      <w:bookmarkStart w:id="28" w:name="_Toc15396601"/>
      <w:r>
        <w:rPr>
          <w:rFonts w:hint="eastAsia" w:ascii="黑体" w:eastAsia="黑体"/>
          <w:b w:val="0"/>
          <w:color w:val="000000"/>
        </w:rPr>
        <w:t>二、</w:t>
      </w:r>
      <w:r>
        <w:rPr>
          <w:rFonts w:hint="eastAsia" w:ascii="黑体" w:hAnsi="黑体" w:eastAsia="黑体"/>
          <w:b w:val="0"/>
          <w:color w:val="000000"/>
        </w:rPr>
        <w:t>机</w:t>
      </w:r>
      <w:r>
        <w:rPr>
          <w:rStyle w:val="28"/>
          <w:rFonts w:hint="eastAsia" w:ascii="黑体" w:hAnsi="黑体" w:eastAsia="黑体"/>
          <w:b w:val="0"/>
          <w:bCs w:val="0"/>
        </w:rPr>
        <w:t>构设置</w:t>
      </w:r>
      <w:bookmarkEnd w:id="26"/>
      <w:bookmarkEnd w:id="27"/>
      <w:bookmarkEnd w:id="28"/>
    </w:p>
    <w:p>
      <w:pPr>
        <w:pStyle w:val="5"/>
        <w:adjustRightInd w:val="0"/>
        <w:snapToGrid w:val="0"/>
        <w:spacing w:before="93" w:line="600" w:lineRule="exact"/>
        <w:ind w:firstLine="672" w:firstLineChars="210"/>
        <w:rPr>
          <w:bCs/>
          <w:color w:val="000000"/>
          <w:sz w:val="32"/>
          <w:szCs w:val="32"/>
        </w:rPr>
      </w:pPr>
      <w:r>
        <w:rPr>
          <w:rFonts w:hAnsi="宋体" w:cs="仿宋_GB2312"/>
          <w:color w:val="000000"/>
          <w:sz w:val="32"/>
          <w:szCs w:val="32"/>
          <w:shd w:val="clear" w:color="auto" w:fill="FFFFFF"/>
        </w:rPr>
        <w:t>盐边县新九乡人民政府下属二级决算单位两个，其中行政单位</w:t>
      </w:r>
      <w:r>
        <w:rPr>
          <w:rFonts w:hint="eastAsia" w:hAnsi="宋体" w:cs="仿宋_GB2312"/>
          <w:color w:val="000000"/>
          <w:sz w:val="32"/>
          <w:szCs w:val="32"/>
          <w:shd w:val="clear" w:color="auto" w:fill="FFFFFF"/>
        </w:rPr>
        <w:t>1个，即盐边县新九乡人民政府党政办；事业单位1个，即盐边县新九乡农业服务中心</w:t>
      </w:r>
      <w:r>
        <w:rPr>
          <w:rFonts w:hint="eastAsia"/>
          <w:bCs/>
          <w:color w:val="000000"/>
          <w:sz w:val="32"/>
          <w:szCs w:val="32"/>
        </w:rPr>
        <w:t>。</w:t>
      </w:r>
    </w:p>
    <w:p>
      <w:pPr>
        <w:pStyle w:val="5"/>
        <w:adjustRightInd w:val="0"/>
        <w:snapToGrid w:val="0"/>
        <w:spacing w:before="93" w:line="600" w:lineRule="exact"/>
        <w:ind w:firstLine="672" w:firstLineChars="210"/>
        <w:rPr>
          <w:rFonts w:ascii="仿宋" w:hAnsi="仿宋" w:eastAsia="仿宋"/>
          <w:color w:val="000000"/>
          <w:sz w:val="32"/>
          <w:szCs w:val="32"/>
        </w:rPr>
      </w:pPr>
      <w:r>
        <w:rPr>
          <w:rFonts w:hint="eastAsia" w:ascii="仿宋" w:hAnsi="仿宋" w:eastAsia="仿宋"/>
          <w:color w:val="000000"/>
          <w:sz w:val="32"/>
          <w:szCs w:val="32"/>
        </w:rPr>
        <w:t>纳入</w:t>
      </w:r>
      <w:r>
        <w:rPr>
          <w:rFonts w:hint="eastAsia" w:ascii="仿宋" w:hAnsi="仿宋" w:eastAsia="仿宋"/>
          <w:sz w:val="32"/>
          <w:szCs w:val="32"/>
        </w:rPr>
        <w:t>盐边县新九乡人民政府</w:t>
      </w:r>
      <w:r>
        <w:rPr>
          <w:rFonts w:hint="eastAsia" w:ascii="仿宋" w:hAnsi="仿宋" w:eastAsia="仿宋"/>
          <w:color w:val="000000"/>
          <w:sz w:val="32"/>
          <w:szCs w:val="32"/>
        </w:rPr>
        <w:t>2018年度部门决算编制范围的二级预算单位包括：</w:t>
      </w:r>
    </w:p>
    <w:p>
      <w:pPr>
        <w:pStyle w:val="5"/>
        <w:numPr>
          <w:ilvl w:val="0"/>
          <w:numId w:val="1"/>
        </w:numPr>
        <w:adjustRightInd w:val="0"/>
        <w:snapToGrid w:val="0"/>
        <w:spacing w:before="93" w:line="600" w:lineRule="exact"/>
        <w:outlineLvl w:val="2"/>
        <w:rPr>
          <w:rFonts w:ascii="仿宋" w:hAnsi="仿宋" w:eastAsia="仿宋"/>
          <w:color w:val="000000"/>
          <w:sz w:val="32"/>
          <w:szCs w:val="32"/>
        </w:rPr>
      </w:pPr>
      <w:bookmarkStart w:id="29" w:name="_Toc15378449"/>
      <w:bookmarkStart w:id="30" w:name="_Toc15306276"/>
      <w:bookmarkStart w:id="31" w:name="_Toc15377202"/>
      <w:bookmarkStart w:id="32" w:name="_Toc15377433"/>
      <w:r>
        <w:rPr>
          <w:rFonts w:hint="eastAsia" w:ascii="仿宋" w:hAnsi="仿宋" w:eastAsia="仿宋"/>
          <w:color w:val="000000"/>
          <w:sz w:val="32"/>
          <w:szCs w:val="32"/>
        </w:rPr>
        <w:t>盐边县新九乡人民政府党政办</w:t>
      </w:r>
      <w:bookmarkEnd w:id="29"/>
      <w:bookmarkEnd w:id="30"/>
      <w:bookmarkEnd w:id="31"/>
      <w:bookmarkEnd w:id="32"/>
    </w:p>
    <w:p>
      <w:pPr>
        <w:pStyle w:val="5"/>
        <w:adjustRightInd w:val="0"/>
        <w:snapToGrid w:val="0"/>
        <w:spacing w:before="93" w:line="560" w:lineRule="exact"/>
        <w:ind w:firstLine="660" w:firstLineChars="200"/>
        <w:rPr>
          <w:rFonts w:ascii="方正仿宋_GBK" w:eastAsia="方正仿宋_GBK"/>
          <w:color w:val="000000"/>
          <w:sz w:val="33"/>
          <w:szCs w:val="33"/>
        </w:rPr>
      </w:pPr>
    </w:p>
    <w:p>
      <w:pPr>
        <w:widowControl/>
        <w:jc w:val="left"/>
        <w:rPr>
          <w:rFonts w:ascii="仿宋" w:hAnsi="仿宋" w:eastAsia="仿宋"/>
          <w:color w:val="000000"/>
          <w:kern w:val="0"/>
          <w:sz w:val="32"/>
          <w:szCs w:val="32"/>
        </w:rPr>
      </w:pPr>
    </w:p>
    <w:p>
      <w:pPr>
        <w:pStyle w:val="2"/>
        <w:ind w:right="440"/>
        <w:rPr>
          <w:rFonts w:ascii="黑体" w:hAnsi="黑体" w:eastAsia="黑体"/>
          <w:b w:val="0"/>
          <w:color w:val="000000"/>
        </w:rPr>
      </w:pPr>
      <w:bookmarkStart w:id="33" w:name="_Toc52180073"/>
      <w:bookmarkStart w:id="34" w:name="_Toc15396602"/>
      <w:bookmarkStart w:id="35" w:name="_Toc15377204"/>
    </w:p>
    <w:p>
      <w:pPr>
        <w:pStyle w:val="2"/>
        <w:ind w:right="440"/>
        <w:rPr>
          <w:rStyle w:val="27"/>
          <w:rFonts w:ascii="黑体" w:hAnsi="黑体" w:eastAsia="黑体"/>
          <w:b w:val="0"/>
          <w:bCs w:val="0"/>
        </w:rPr>
      </w:pPr>
      <w:r>
        <w:rPr>
          <w:rFonts w:hint="eastAsia" w:ascii="黑体" w:hAnsi="黑体" w:eastAsia="黑体"/>
          <w:b w:val="0"/>
          <w:color w:val="000000"/>
        </w:rPr>
        <w:t>第二部分</w:t>
      </w:r>
      <w:r>
        <w:rPr>
          <w:rFonts w:hint="eastAsia" w:ascii="黑体" w:hAnsi="黑体" w:eastAsia="黑体"/>
          <w:color w:val="000000"/>
        </w:rPr>
        <w:t xml:space="preserve"> </w:t>
      </w:r>
      <w:r>
        <w:rPr>
          <w:rStyle w:val="27"/>
          <w:rFonts w:hint="eastAsia" w:ascii="黑体" w:hAnsi="黑体" w:eastAsia="黑体"/>
          <w:b w:val="0"/>
          <w:bCs w:val="0"/>
        </w:rPr>
        <w:t>2019年度部门决算情况说明</w:t>
      </w:r>
      <w:bookmarkEnd w:id="33"/>
      <w:bookmarkEnd w:id="34"/>
      <w:bookmarkEnd w:id="35"/>
    </w:p>
    <w:p/>
    <w:p>
      <w:pPr>
        <w:pStyle w:val="18"/>
        <w:numPr>
          <w:ilvl w:val="0"/>
          <w:numId w:val="2"/>
        </w:numPr>
        <w:spacing w:line="600" w:lineRule="exact"/>
        <w:ind w:firstLineChars="0"/>
        <w:outlineLvl w:val="1"/>
        <w:rPr>
          <w:rStyle w:val="28"/>
          <w:rFonts w:ascii="黑体" w:hAnsi="黑体" w:eastAsia="黑体"/>
          <w:b w:val="0"/>
        </w:rPr>
      </w:pPr>
      <w:bookmarkStart w:id="36" w:name="_Toc15396603"/>
      <w:bookmarkStart w:id="37" w:name="_Toc52180074"/>
      <w:bookmarkStart w:id="38" w:name="_Toc15377205"/>
      <w:r>
        <w:rPr>
          <w:rFonts w:hint="eastAsia" w:ascii="黑体" w:hAnsi="黑体" w:eastAsia="黑体"/>
          <w:color w:val="000000"/>
          <w:sz w:val="32"/>
          <w:szCs w:val="32"/>
        </w:rPr>
        <w:t>收</w:t>
      </w:r>
      <w:r>
        <w:rPr>
          <w:rStyle w:val="28"/>
          <w:rFonts w:hint="eastAsia" w:ascii="黑体" w:hAnsi="黑体" w:eastAsia="黑体"/>
          <w:b w:val="0"/>
        </w:rPr>
        <w:t>入支出决算总体情况说明</w:t>
      </w:r>
      <w:bookmarkEnd w:id="36"/>
      <w:bookmarkEnd w:id="37"/>
      <w:bookmarkEnd w:id="38"/>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2019年度收入1305.96万元，支出1203.97万元。与2018年相比，收、支各增加337.48、253.08万元，分别增长34.8</w:t>
      </w:r>
      <w:r>
        <w:rPr>
          <w:rFonts w:ascii="仿宋" w:hAnsi="仿宋" w:eastAsia="仿宋"/>
          <w:color w:val="000000"/>
          <w:sz w:val="32"/>
          <w:szCs w:val="32"/>
        </w:rPr>
        <w:t>%</w:t>
      </w:r>
      <w:r>
        <w:rPr>
          <w:rFonts w:hint="eastAsia" w:ascii="仿宋" w:hAnsi="仿宋" w:eastAsia="仿宋"/>
          <w:color w:val="000000"/>
          <w:sz w:val="32"/>
          <w:szCs w:val="32"/>
        </w:rPr>
        <w:t>、26.6%。主要变动原因是项目经费增加.</w:t>
      </w:r>
    </w:p>
    <w:p>
      <w:pPr>
        <w:spacing w:line="600" w:lineRule="exact"/>
        <w:rPr>
          <w:rFonts w:ascii="仿宋_GB2312" w:eastAsia="仿宋_GB2312"/>
          <w:color w:val="000000"/>
          <w:sz w:val="32"/>
          <w:szCs w:val="32"/>
        </w:rPr>
      </w:pPr>
      <w:r>
        <w:rPr>
          <w:rFonts w:ascii="仿宋_GB2312" w:hAnsi="仿宋" w:eastAsia="仿宋_GB2312"/>
          <w:sz w:val="32"/>
          <w:szCs w:val="32"/>
        </w:rPr>
        <w:pict>
          <v:shape id="_x0000_s1027" o:spid="_x0000_s1027" o:spt="75" type="#_x0000_t75" style="position:absolute;left:0pt;margin-left:-0.45pt;margin-top:17.1pt;height:253.85pt;width:427.2pt;mso-wrap-distance-left:9pt;mso-wrap-distance-right:9pt;z-index:-251656192;mso-width-relative:page;mso-height-relative:page;" o:ole="t" filled="f" o:preferrelative="t" stroked="f" coordsize="21600,21600" wrapcoords="21592 -2 0 0 0 21600 21592 21602 8 21602 21600 21600 21600 0 8 -2 21592 -2">
            <v:path/>
            <v:fill on="f" focussize="0,0"/>
            <v:stroke on="f" joinstyle="miter"/>
            <v:imagedata r:id="rId8" o:title=""/>
            <o:lock v:ext="edit" aspectratio="t"/>
            <w10:wrap type="through"/>
          </v:shape>
          <o:OLEObject Type="Embed" ProgID="MSGraph.Chart.8" ShapeID="_x0000_s1027" DrawAspect="Content" ObjectID="_1468075725" r:id="rId7">
            <o:LockedField>false</o:LockedField>
          </o:OLEObject>
        </w:pict>
      </w:r>
      <w:r>
        <w:rPr>
          <w:rFonts w:hint="eastAsia" w:ascii="仿宋" w:hAnsi="仿宋" w:eastAsia="仿宋"/>
          <w:color w:val="000000"/>
          <w:sz w:val="32"/>
          <w:szCs w:val="32"/>
        </w:rPr>
        <w:t>（图</w:t>
      </w:r>
      <w:r>
        <w:rPr>
          <w:rFonts w:ascii="仿宋" w:hAnsi="仿宋" w:eastAsia="仿宋"/>
          <w:color w:val="000000"/>
          <w:sz w:val="32"/>
          <w:szCs w:val="32"/>
        </w:rPr>
        <w:t>1</w:t>
      </w:r>
      <w:r>
        <w:rPr>
          <w:rFonts w:hint="eastAsia" w:ascii="仿宋" w:hAnsi="仿宋" w:eastAsia="仿宋"/>
          <w:color w:val="000000"/>
          <w:sz w:val="32"/>
          <w:szCs w:val="32"/>
        </w:rPr>
        <w:t>：收、支决算总计变动情况图）（柱状图）</w:t>
      </w:r>
    </w:p>
    <w:p>
      <w:pPr>
        <w:pStyle w:val="18"/>
        <w:numPr>
          <w:ilvl w:val="0"/>
          <w:numId w:val="2"/>
        </w:numPr>
        <w:spacing w:line="600" w:lineRule="exact"/>
        <w:ind w:firstLineChars="0"/>
        <w:outlineLvl w:val="1"/>
        <w:rPr>
          <w:rStyle w:val="28"/>
          <w:rFonts w:ascii="黑体" w:hAnsi="黑体" w:eastAsia="黑体"/>
          <w:b w:val="0"/>
        </w:rPr>
      </w:pPr>
      <w:bookmarkStart w:id="39" w:name="_Toc15377206"/>
      <w:bookmarkStart w:id="40" w:name="_Toc15396604"/>
      <w:bookmarkStart w:id="41" w:name="_Toc52180075"/>
      <w:r>
        <w:rPr>
          <w:rFonts w:hint="eastAsia" w:ascii="黑体" w:hAnsi="黑体" w:eastAsia="黑体"/>
          <w:color w:val="000000"/>
          <w:sz w:val="32"/>
          <w:szCs w:val="32"/>
        </w:rPr>
        <w:t>收</w:t>
      </w:r>
      <w:r>
        <w:rPr>
          <w:rStyle w:val="28"/>
          <w:rFonts w:hint="eastAsia" w:ascii="黑体" w:hAnsi="黑体" w:eastAsia="黑体"/>
          <w:b w:val="0"/>
        </w:rPr>
        <w:t>入决算情况说明</w:t>
      </w:r>
      <w:bookmarkEnd w:id="39"/>
      <w:bookmarkEnd w:id="40"/>
      <w:bookmarkEnd w:id="41"/>
    </w:p>
    <w:p>
      <w:pPr>
        <w:spacing w:line="600" w:lineRule="exact"/>
        <w:ind w:firstLine="640" w:firstLineChars="200"/>
        <w:outlineLvl w:val="1"/>
        <w:rPr>
          <w:rFonts w:ascii="仿宋" w:hAnsi="仿宋" w:eastAsia="仿宋"/>
          <w:color w:val="000000"/>
          <w:sz w:val="32"/>
          <w:szCs w:val="32"/>
        </w:rPr>
      </w:pPr>
      <w:bookmarkStart w:id="42" w:name="_Toc52180076"/>
      <w:r>
        <w:rPr>
          <w:rFonts w:ascii="仿宋" w:hAnsi="仿宋" w:eastAsia="仿宋"/>
          <w:color w:val="000000"/>
          <w:sz w:val="32"/>
          <w:szCs w:val="32"/>
        </w:rPr>
        <w:t>201</w:t>
      </w:r>
      <w:r>
        <w:rPr>
          <w:rFonts w:hint="eastAsia" w:ascii="仿宋" w:hAnsi="仿宋" w:eastAsia="仿宋"/>
          <w:color w:val="000000"/>
          <w:sz w:val="32"/>
          <w:szCs w:val="32"/>
        </w:rPr>
        <w:t>9年本年收入合计1305.96万元，其中：一般公共预算财政拨款收入1305.96万元，占100</w:t>
      </w:r>
      <w:r>
        <w:rPr>
          <w:rFonts w:ascii="仿宋" w:hAnsi="仿宋" w:eastAsia="仿宋"/>
          <w:color w:val="000000"/>
          <w:sz w:val="32"/>
          <w:szCs w:val="32"/>
        </w:rPr>
        <w:t>%</w:t>
      </w:r>
      <w:r>
        <w:rPr>
          <w:rFonts w:hint="eastAsia" w:ascii="仿宋" w:hAnsi="仿宋" w:eastAsia="仿宋"/>
          <w:color w:val="000000"/>
          <w:sz w:val="32"/>
          <w:szCs w:val="32"/>
        </w:rPr>
        <w:t>。</w:t>
      </w:r>
      <w:bookmarkEnd w:id="42"/>
      <w:r>
        <w:rPr>
          <w:rFonts w:hint="eastAsia" w:ascii="仿宋" w:hAnsi="仿宋" w:eastAsia="仿宋"/>
          <w:color w:val="000000"/>
          <w:sz w:val="32"/>
          <w:szCs w:val="32"/>
        </w:rPr>
        <w:t>政府性基金预算财政拨款收入0万元，占0</w:t>
      </w:r>
      <w:r>
        <w:rPr>
          <w:rFonts w:ascii="仿宋" w:hAnsi="仿宋" w:eastAsia="仿宋"/>
          <w:color w:val="000000"/>
          <w:sz w:val="32"/>
          <w:szCs w:val="32"/>
        </w:rPr>
        <w:t>%</w:t>
      </w:r>
      <w:r>
        <w:rPr>
          <w:rFonts w:hint="eastAsia" w:ascii="仿宋" w:hAnsi="仿宋" w:eastAsia="仿宋"/>
          <w:color w:val="000000"/>
          <w:sz w:val="32"/>
          <w:szCs w:val="32"/>
        </w:rPr>
        <w:t>；上级补助收入0万元，占0</w:t>
      </w:r>
      <w:r>
        <w:rPr>
          <w:rFonts w:ascii="仿宋" w:hAnsi="仿宋" w:eastAsia="仿宋"/>
          <w:color w:val="000000"/>
          <w:sz w:val="32"/>
          <w:szCs w:val="32"/>
        </w:rPr>
        <w:t>%</w:t>
      </w:r>
      <w:r>
        <w:rPr>
          <w:rFonts w:hint="eastAsia" w:ascii="仿宋" w:hAnsi="仿宋" w:eastAsia="仿宋"/>
          <w:color w:val="000000"/>
          <w:sz w:val="32"/>
          <w:szCs w:val="32"/>
        </w:rPr>
        <w:t>；</w:t>
      </w:r>
      <w:r>
        <w:rPr>
          <w:rFonts w:ascii="仿宋_GB2312" w:hAnsi="仿宋" w:eastAsia="仿宋_GB2312"/>
          <w:sz w:val="32"/>
          <w:szCs w:val="32"/>
        </w:rPr>
        <w:pict>
          <v:shape id="_x0000_s1029" o:spid="_x0000_s1029" o:spt="75" type="#_x0000_t75" style="position:absolute;left:0pt;margin-left:43.4pt;margin-top:58.85pt;height:274.05pt;width:234.55pt;z-index:-251656192;mso-width-relative:page;mso-height-relative:page;" o:ole="t" filled="f" o:preferrelative="t" stroked="f" coordsize="21600,21600">
            <v:path/>
            <v:fill on="f" focussize="0,0"/>
            <v:stroke on="f" joinstyle="miter"/>
            <v:imagedata r:id="rId10" o:title=""/>
            <o:lock v:ext="edit" aspectratio="t"/>
          </v:shape>
          <o:OLEObject Type="Embed" ProgID="Excel.Chart.8" ShapeID="_x0000_s1029" DrawAspect="Content" ObjectID="_1468075726" r:id="rId9">
            <o:LockedField>false</o:LockedField>
          </o:OLEObject>
        </w:pict>
      </w:r>
      <w:r>
        <w:rPr>
          <w:rFonts w:hint="eastAsia" w:ascii="仿宋" w:hAnsi="仿宋" w:eastAsia="仿宋"/>
          <w:color w:val="000000"/>
          <w:sz w:val="32"/>
          <w:szCs w:val="32"/>
        </w:rPr>
        <w:t>事业收入0万元，占0</w:t>
      </w:r>
      <w:r>
        <w:rPr>
          <w:rFonts w:ascii="仿宋" w:hAnsi="仿宋" w:eastAsia="仿宋"/>
          <w:color w:val="000000"/>
          <w:sz w:val="32"/>
          <w:szCs w:val="32"/>
        </w:rPr>
        <w:t>%</w:t>
      </w:r>
      <w:r>
        <w:rPr>
          <w:rFonts w:hint="eastAsia" w:ascii="仿宋" w:hAnsi="仿宋" w:eastAsia="仿宋"/>
          <w:color w:val="000000"/>
          <w:sz w:val="32"/>
          <w:szCs w:val="32"/>
        </w:rPr>
        <w:t>；经营收入0万元，占0</w:t>
      </w:r>
      <w:r>
        <w:rPr>
          <w:rFonts w:ascii="仿宋" w:hAnsi="仿宋" w:eastAsia="仿宋"/>
          <w:color w:val="000000"/>
          <w:sz w:val="32"/>
          <w:szCs w:val="32"/>
        </w:rPr>
        <w:t>%</w:t>
      </w:r>
      <w:r>
        <w:rPr>
          <w:rFonts w:hint="eastAsia" w:ascii="仿宋" w:hAnsi="仿宋" w:eastAsia="仿宋"/>
          <w:color w:val="000000"/>
          <w:sz w:val="32"/>
          <w:szCs w:val="32"/>
        </w:rPr>
        <w:t>；附属单位上缴收入0万元，占0</w:t>
      </w:r>
      <w:r>
        <w:rPr>
          <w:rFonts w:ascii="仿宋" w:hAnsi="仿宋" w:eastAsia="仿宋"/>
          <w:color w:val="000000"/>
          <w:sz w:val="32"/>
          <w:szCs w:val="32"/>
        </w:rPr>
        <w:t>%</w:t>
      </w:r>
      <w:r>
        <w:rPr>
          <w:rFonts w:hint="eastAsia" w:ascii="仿宋" w:hAnsi="仿宋" w:eastAsia="仿宋"/>
          <w:color w:val="000000"/>
          <w:sz w:val="32"/>
          <w:szCs w:val="32"/>
        </w:rPr>
        <w:t>；其他收入0万元，</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（图2：收入决算结构图）（饼状图）</w:t>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rPr>
          <w:rFonts w:ascii="仿宋_GB2312" w:eastAsia="仿宋_GB2312"/>
          <w:color w:val="FF0000"/>
          <w:sz w:val="32"/>
          <w:szCs w:val="32"/>
        </w:rPr>
      </w:pPr>
    </w:p>
    <w:p>
      <w:pPr>
        <w:pStyle w:val="18"/>
        <w:numPr>
          <w:ilvl w:val="0"/>
          <w:numId w:val="2"/>
        </w:numPr>
        <w:spacing w:line="600" w:lineRule="exact"/>
        <w:ind w:firstLineChars="0"/>
        <w:outlineLvl w:val="1"/>
        <w:rPr>
          <w:rStyle w:val="28"/>
          <w:rFonts w:ascii="黑体" w:hAnsi="黑体" w:eastAsia="黑体"/>
          <w:b w:val="0"/>
        </w:rPr>
      </w:pPr>
      <w:bookmarkStart w:id="43" w:name="_Toc15377207"/>
      <w:bookmarkStart w:id="44" w:name="_Toc52180077"/>
      <w:bookmarkStart w:id="45" w:name="_Toc15396605"/>
      <w:r>
        <w:rPr>
          <w:rFonts w:hint="eastAsia" w:ascii="黑体" w:hAnsi="黑体" w:eastAsia="黑体"/>
          <w:color w:val="000000"/>
          <w:sz w:val="32"/>
          <w:szCs w:val="32"/>
        </w:rPr>
        <w:t>支</w:t>
      </w:r>
      <w:r>
        <w:rPr>
          <w:rStyle w:val="28"/>
          <w:rFonts w:hint="eastAsia" w:ascii="黑体" w:hAnsi="黑体" w:eastAsia="黑体"/>
          <w:b w:val="0"/>
        </w:rPr>
        <w:t>出决算情况说明</w:t>
      </w:r>
      <w:bookmarkEnd w:id="43"/>
      <w:bookmarkEnd w:id="44"/>
      <w:bookmarkEnd w:id="45"/>
    </w:p>
    <w:p>
      <w:pPr>
        <w:spacing w:line="600" w:lineRule="exact"/>
        <w:ind w:firstLine="640"/>
        <w:rPr>
          <w:rFonts w:ascii="仿宋" w:hAnsi="仿宋" w:eastAsia="仿宋"/>
          <w:color w:val="000000"/>
          <w:sz w:val="32"/>
          <w:szCs w:val="32"/>
          <w:shd w:val="pct10" w:color="auto" w:fill="FFFFFF"/>
        </w:rPr>
      </w:pPr>
      <w:bookmarkStart w:id="46" w:name="_Toc52180078"/>
      <w:r>
        <w:rPr>
          <w:rFonts w:ascii="仿宋" w:hAnsi="仿宋" w:eastAsia="仿宋"/>
          <w:color w:val="000000"/>
          <w:sz w:val="32"/>
          <w:szCs w:val="32"/>
        </w:rPr>
        <w:t>201</w:t>
      </w:r>
      <w:r>
        <w:rPr>
          <w:rFonts w:hint="eastAsia" w:ascii="仿宋" w:hAnsi="仿宋" w:eastAsia="仿宋"/>
          <w:color w:val="000000"/>
          <w:sz w:val="32"/>
          <w:szCs w:val="32"/>
        </w:rPr>
        <w:t>9年本年支出合计1203.97万元，其中：基本支出859.51万元，占71.39</w:t>
      </w:r>
      <w:r>
        <w:rPr>
          <w:rFonts w:ascii="仿宋" w:hAnsi="仿宋" w:eastAsia="仿宋"/>
          <w:color w:val="000000"/>
          <w:sz w:val="32"/>
          <w:szCs w:val="32"/>
        </w:rPr>
        <w:t>%</w:t>
      </w:r>
      <w:r>
        <w:rPr>
          <w:rFonts w:hint="eastAsia" w:ascii="仿宋" w:hAnsi="仿宋" w:eastAsia="仿宋"/>
          <w:color w:val="000000"/>
          <w:sz w:val="32"/>
          <w:szCs w:val="32"/>
        </w:rPr>
        <w:t>；项目支出344.46万元，占28.61</w:t>
      </w:r>
      <w:r>
        <w:rPr>
          <w:rFonts w:ascii="仿宋" w:hAnsi="仿宋" w:eastAsia="仿宋"/>
          <w:color w:val="000000"/>
          <w:sz w:val="32"/>
          <w:szCs w:val="32"/>
        </w:rPr>
        <w:t>%</w:t>
      </w:r>
      <w:r>
        <w:rPr>
          <w:rFonts w:hint="eastAsia" w:ascii="仿宋" w:hAnsi="仿宋" w:eastAsia="仿宋"/>
          <w:color w:val="000000"/>
          <w:sz w:val="32"/>
          <w:szCs w:val="32"/>
        </w:rPr>
        <w:t>。</w:t>
      </w:r>
      <w:bookmarkEnd w:id="46"/>
      <w:r>
        <w:rPr>
          <w:rFonts w:hint="eastAsia" w:ascii="仿宋" w:hAnsi="仿宋" w:eastAsia="仿宋"/>
          <w:color w:val="000000"/>
          <w:sz w:val="32"/>
          <w:szCs w:val="32"/>
        </w:rPr>
        <w:t>上缴上级支出0万元，占0</w:t>
      </w:r>
      <w:r>
        <w:rPr>
          <w:rFonts w:ascii="仿宋" w:hAnsi="仿宋" w:eastAsia="仿宋"/>
          <w:color w:val="000000"/>
          <w:sz w:val="32"/>
          <w:szCs w:val="32"/>
        </w:rPr>
        <w:t>%</w:t>
      </w:r>
      <w:r>
        <w:rPr>
          <w:rFonts w:hint="eastAsia" w:ascii="仿宋" w:hAnsi="仿宋" w:eastAsia="仿宋"/>
          <w:color w:val="000000"/>
          <w:sz w:val="32"/>
          <w:szCs w:val="32"/>
        </w:rPr>
        <w:t>；经营支出0万元，占0</w:t>
      </w:r>
      <w:r>
        <w:rPr>
          <w:rFonts w:ascii="仿宋" w:hAnsi="仿宋" w:eastAsia="仿宋"/>
          <w:color w:val="000000"/>
          <w:sz w:val="32"/>
          <w:szCs w:val="32"/>
        </w:rPr>
        <w:t>%</w:t>
      </w:r>
      <w:r>
        <w:rPr>
          <w:rFonts w:hint="eastAsia" w:ascii="仿宋" w:hAnsi="仿宋" w:eastAsia="仿宋"/>
          <w:color w:val="000000"/>
          <w:sz w:val="32"/>
          <w:szCs w:val="32"/>
        </w:rPr>
        <w:t>；对附属单位补助支出0万元，占0</w:t>
      </w:r>
      <w:r>
        <w:rPr>
          <w:rFonts w:ascii="仿宋" w:hAnsi="仿宋" w:eastAsia="仿宋"/>
          <w:color w:val="000000"/>
          <w:sz w:val="32"/>
          <w:szCs w:val="32"/>
        </w:rPr>
        <w:t>%</w:t>
      </w:r>
      <w:r>
        <w:rPr>
          <w:rFonts w:hint="eastAsia" w:ascii="仿宋" w:hAnsi="仿宋" w:eastAsia="仿宋"/>
          <w:color w:val="000000"/>
          <w:sz w:val="32"/>
          <w:szCs w:val="32"/>
        </w:rPr>
        <w:t>.</w:t>
      </w:r>
    </w:p>
    <w:p>
      <w:pPr>
        <w:spacing w:line="600" w:lineRule="exact"/>
        <w:ind w:left="636" w:leftChars="303" w:firstLine="640" w:firstLineChars="200"/>
        <w:outlineLvl w:val="1"/>
        <w:rPr>
          <w:rFonts w:ascii="仿宋" w:hAnsi="仿宋" w:eastAsia="仿宋"/>
          <w:color w:val="000000"/>
          <w:sz w:val="32"/>
          <w:szCs w:val="32"/>
        </w:rPr>
      </w:pPr>
      <w:r>
        <w:rPr>
          <w:rFonts w:ascii="仿宋" w:hAnsi="仿宋" w:eastAsia="仿宋"/>
          <w:color w:val="000000"/>
          <w:sz w:val="32"/>
          <w:szCs w:val="32"/>
        </w:rPr>
        <w:pict>
          <v:shape id="_x0000_s1030" o:spid="_x0000_s1030" o:spt="75" type="#_x0000_t75" style="position:absolute;left:0pt;margin-left:42.4pt;margin-top:2.35pt;height:288.05pt;width:289.15pt;z-index:-251656192;mso-width-relative:page;mso-height-relative:page;" o:ole="t" filled="f" o:preferrelative="t" stroked="f" coordsize="21600,21600">
            <v:path/>
            <v:fill on="f" focussize="0,0"/>
            <v:stroke on="f" joinstyle="miter"/>
            <v:imagedata r:id="rId12" o:title=""/>
            <o:lock v:ext="edit" aspectratio="t"/>
          </v:shape>
          <o:OLEObject Type="Embed" ProgID="Excel.Chart.8" ShapeID="_x0000_s1030" DrawAspect="Content" ObjectID="_1468075727" r:id="rId11">
            <o:LockedField>false</o:LockedField>
          </o:OLEObject>
        </w:pict>
      </w:r>
      <w:r>
        <w:rPr>
          <w:rFonts w:hint="eastAsia" w:ascii="仿宋" w:hAnsi="仿宋" w:eastAsia="仿宋"/>
          <w:color w:val="000000"/>
          <w:sz w:val="32"/>
          <w:szCs w:val="32"/>
        </w:rPr>
        <w:t>（图3：支出决算结构图）（饼状图）</w:t>
      </w: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outlineLvl w:val="1"/>
        <w:rPr>
          <w:rStyle w:val="28"/>
          <w:rFonts w:ascii="黑体" w:hAnsi="黑体" w:eastAsia="黑体"/>
          <w:b w:val="0"/>
        </w:rPr>
      </w:pPr>
      <w:bookmarkStart w:id="47" w:name="_Toc15396606"/>
      <w:bookmarkStart w:id="48" w:name="_Toc15377208"/>
      <w:bookmarkStart w:id="49" w:name="_Toc52180079"/>
      <w:r>
        <w:rPr>
          <w:rFonts w:hint="eastAsia" w:ascii="黑体" w:hAnsi="黑体" w:eastAsia="黑体"/>
          <w:color w:val="000000"/>
          <w:sz w:val="32"/>
          <w:szCs w:val="32"/>
        </w:rPr>
        <w:t>四、财</w:t>
      </w:r>
      <w:r>
        <w:rPr>
          <w:rStyle w:val="28"/>
          <w:rFonts w:hint="eastAsia" w:ascii="黑体" w:hAnsi="黑体" w:eastAsia="黑体"/>
          <w:b w:val="0"/>
        </w:rPr>
        <w:t>政拨款收入支出决算总体情况说明</w:t>
      </w:r>
      <w:bookmarkEnd w:id="47"/>
      <w:bookmarkEnd w:id="48"/>
      <w:bookmarkEnd w:id="49"/>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9年财政拨款收入1305.96万元，支出1203.97万元。与2018年相比，收、支各增加337.48、253.08万元，分别增长34.8</w:t>
      </w:r>
      <w:r>
        <w:rPr>
          <w:rFonts w:ascii="仿宋" w:hAnsi="仿宋" w:eastAsia="仿宋"/>
          <w:color w:val="000000"/>
          <w:sz w:val="32"/>
          <w:szCs w:val="32"/>
        </w:rPr>
        <w:t>%</w:t>
      </w:r>
      <w:r>
        <w:rPr>
          <w:rFonts w:hint="eastAsia" w:ascii="仿宋" w:hAnsi="仿宋" w:eastAsia="仿宋"/>
          <w:color w:val="000000"/>
          <w:sz w:val="32"/>
          <w:szCs w:val="32"/>
        </w:rPr>
        <w:t>、26.6%。主要变动原因是项目经费增加.</w:t>
      </w:r>
    </w:p>
    <w:p>
      <w:pPr>
        <w:spacing w:line="600" w:lineRule="exact"/>
        <w:ind w:firstLine="640" w:firstLineChars="200"/>
        <w:rPr>
          <w:rFonts w:ascii="仿宋" w:hAnsi="仿宋" w:eastAsia="仿宋"/>
          <w:b/>
          <w:color w:val="00B050"/>
          <w:sz w:val="32"/>
          <w:szCs w:val="32"/>
        </w:rPr>
      </w:pPr>
      <w:r>
        <w:rPr>
          <w:rFonts w:hint="eastAsia" w:ascii="仿宋" w:hAnsi="仿宋" w:eastAsia="仿宋"/>
          <w:color w:val="000000"/>
          <w:sz w:val="32"/>
          <w:szCs w:val="32"/>
        </w:rPr>
        <w:t>（图4：财政拨款收、支决算总计变动情况）（柱状图）</w:t>
      </w:r>
      <w:r>
        <w:rPr>
          <w:rFonts w:ascii="仿宋_GB2312" w:hAnsi="仿宋" w:eastAsia="仿宋_GB2312"/>
          <w:sz w:val="32"/>
          <w:szCs w:val="32"/>
        </w:rPr>
        <w:pict>
          <v:shape id="_x0000_s1031" o:spid="_x0000_s1031" o:spt="75" type="#_x0000_t75" style="position:absolute;left:0pt;margin-left:4.35pt;margin-top:13.15pt;height:240.3pt;width:404.95pt;mso-wrap-distance-left:9pt;mso-wrap-distance-right:9pt;z-index:-251656192;mso-width-relative:page;mso-height-relative:page;" o:ole="t" filled="f" o:preferrelative="t" stroked="f" coordsize="21600,21600" wrapcoords="21591 -2 0 0 0 21600 21591 21602 8 21602 21599 21600 21599 0 8 -2 21591 -2">
            <v:path/>
            <v:fill on="f" focussize="0,0"/>
            <v:stroke on="f" joinstyle="miter"/>
            <v:imagedata r:id="rId14" o:title=""/>
            <o:lock v:ext="edit" aspectratio="t"/>
            <w10:wrap type="through"/>
          </v:shape>
          <o:OLEObject Type="Embed" ProgID="MSGraph.Chart.8" ShapeID="_x0000_s1031" DrawAspect="Content" ObjectID="_1468075728" r:id="rId13">
            <o:LockedField>false</o:LockedField>
          </o:OLEObject>
        </w:pict>
      </w:r>
    </w:p>
    <w:p>
      <w:pPr>
        <w:spacing w:line="600" w:lineRule="exact"/>
        <w:ind w:firstLine="640" w:firstLineChars="200"/>
        <w:outlineLvl w:val="1"/>
        <w:rPr>
          <w:rStyle w:val="28"/>
          <w:rFonts w:ascii="黑体" w:hAnsi="黑体" w:eastAsia="黑体"/>
          <w:b w:val="0"/>
        </w:rPr>
      </w:pPr>
      <w:bookmarkStart w:id="50" w:name="_Toc52180080"/>
      <w:bookmarkStart w:id="51" w:name="_Toc15396607"/>
      <w:bookmarkStart w:id="52" w:name="_Toc15377209"/>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8"/>
          <w:rFonts w:hint="eastAsia" w:ascii="黑体" w:hAnsi="黑体" w:eastAsia="黑体"/>
          <w:b w:val="0"/>
        </w:rPr>
        <w:t>般公共预算财政拨款支出决算情况说明</w:t>
      </w:r>
      <w:bookmarkEnd w:id="50"/>
      <w:bookmarkEnd w:id="51"/>
      <w:bookmarkEnd w:id="52"/>
    </w:p>
    <w:p>
      <w:pPr>
        <w:spacing w:line="600" w:lineRule="exact"/>
        <w:ind w:firstLine="643" w:firstLineChars="200"/>
        <w:outlineLvl w:val="2"/>
        <w:rPr>
          <w:rFonts w:ascii="仿宋" w:hAnsi="仿宋" w:eastAsia="仿宋"/>
          <w:b/>
          <w:color w:val="000000"/>
          <w:sz w:val="32"/>
          <w:szCs w:val="32"/>
        </w:rPr>
      </w:pPr>
      <w:bookmarkStart w:id="53" w:name="_Toc15377210"/>
      <w:bookmarkStart w:id="54" w:name="_Toc52180081"/>
      <w:r>
        <w:rPr>
          <w:rFonts w:hint="eastAsia" w:ascii="仿宋" w:hAnsi="仿宋" w:eastAsia="仿宋"/>
          <w:b/>
          <w:color w:val="000000"/>
          <w:sz w:val="32"/>
          <w:szCs w:val="32"/>
        </w:rPr>
        <w:t>（一）一般公共预算财政拨款支出决算总体情况</w:t>
      </w:r>
      <w:bookmarkEnd w:id="53"/>
      <w:bookmarkEnd w:id="54"/>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9年一般公共预算财政拨款支出1203.97万元，占本年支出合计的100</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8年相比，一般公共预算财政拨款增加253.08万元，增长26.6</w:t>
      </w:r>
      <w:r>
        <w:rPr>
          <w:rFonts w:ascii="仿宋" w:hAnsi="仿宋" w:eastAsia="仿宋"/>
          <w:color w:val="000000"/>
          <w:sz w:val="32"/>
          <w:szCs w:val="32"/>
        </w:rPr>
        <w:t>%</w:t>
      </w:r>
      <w:r>
        <w:rPr>
          <w:rFonts w:hint="eastAsia" w:ascii="仿宋" w:hAnsi="仿宋" w:eastAsia="仿宋"/>
          <w:color w:val="000000"/>
          <w:sz w:val="32"/>
          <w:szCs w:val="32"/>
        </w:rPr>
        <w:t>。主要变动原因是基本工资增加、中途追加预算项目增加、村社经费增。</w:t>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（图5：一般公共预算财政拨款支出决算变动情况）（柱状图）</w:t>
      </w:r>
    </w:p>
    <w:p>
      <w:pPr>
        <w:spacing w:line="600" w:lineRule="exact"/>
        <w:ind w:firstLine="640" w:firstLineChars="200"/>
        <w:rPr>
          <w:rFonts w:ascii="仿宋" w:hAnsi="仿宋" w:eastAsia="仿宋"/>
          <w:color w:val="000000"/>
          <w:sz w:val="32"/>
          <w:szCs w:val="32"/>
        </w:rPr>
      </w:pPr>
      <w:r>
        <w:rPr>
          <w:rFonts w:ascii="仿宋_GB2312" w:hAnsi="仿宋" w:eastAsia="仿宋_GB2312"/>
          <w:sz w:val="32"/>
          <w:szCs w:val="32"/>
        </w:rPr>
        <w:pict>
          <v:shape id="_x0000_s1032" o:spid="_x0000_s1032" o:spt="75" type="#_x0000_t75" style="position:absolute;left:0pt;margin-left:10.9pt;margin-top:16.8pt;height:218.05pt;width:367.25pt;mso-wrap-distance-left:9pt;mso-wrap-distance-right:9pt;z-index:-251656192;mso-width-relative:page;mso-height-relative:page;" o:ole="t" filled="f" o:preferrelative="t" stroked="f" coordsize="21600,21600" wrapcoords="21592 -2 0 0 0 21600 21592 21602 8 21602 21600 21600 21600 0 8 -2 21592 -2">
            <v:path/>
            <v:fill on="f" focussize="0,0"/>
            <v:stroke on="f" joinstyle="miter"/>
            <v:imagedata r:id="rId16" o:title=""/>
            <o:lock v:ext="edit" aspectratio="t"/>
            <w10:wrap type="through"/>
          </v:shape>
          <o:OLEObject Type="Embed" ProgID="MSGraph.Chart.8" ShapeID="_x0000_s1032" DrawAspect="Content" ObjectID="_1468075729" r:id="rId15">
            <o:LockedField>false</o:LockedField>
          </o:OLEObject>
        </w:pict>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3" w:firstLineChars="200"/>
        <w:outlineLvl w:val="2"/>
        <w:rPr>
          <w:rFonts w:ascii="仿宋" w:hAnsi="仿宋" w:eastAsia="仿宋"/>
          <w:b/>
          <w:color w:val="000000"/>
          <w:sz w:val="32"/>
          <w:szCs w:val="32"/>
        </w:rPr>
      </w:pPr>
      <w:bookmarkStart w:id="55" w:name="_Toc15377211"/>
      <w:bookmarkStart w:id="56" w:name="_Toc52180082"/>
      <w:r>
        <w:rPr>
          <w:rFonts w:hint="eastAsia" w:ascii="仿宋" w:hAnsi="仿宋" w:eastAsia="仿宋"/>
          <w:b/>
          <w:color w:val="000000"/>
          <w:sz w:val="32"/>
          <w:szCs w:val="32"/>
        </w:rPr>
        <w:t>（二）一般公共预算财政拨款支出决算结构情况</w:t>
      </w:r>
      <w:bookmarkEnd w:id="55"/>
      <w:bookmarkEnd w:id="56"/>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9年一般公共预算财政拨款支出1203.97万元，主要用于以下方面</w:t>
      </w:r>
      <w:r>
        <w:rPr>
          <w:rFonts w:ascii="仿宋" w:hAnsi="仿宋" w:eastAsia="仿宋"/>
          <w:color w:val="000000"/>
          <w:sz w:val="32"/>
          <w:szCs w:val="32"/>
        </w:rPr>
        <w:t>:</w:t>
      </w:r>
      <w:r>
        <w:rPr>
          <w:rFonts w:hint="eastAsia" w:ascii="仿宋" w:hAnsi="仿宋" w:eastAsia="仿宋"/>
          <w:b/>
          <w:color w:val="000000"/>
          <w:sz w:val="32"/>
          <w:szCs w:val="32"/>
        </w:rPr>
        <w:t>一般公共服务（类）</w:t>
      </w:r>
      <w:r>
        <w:rPr>
          <w:rFonts w:hint="eastAsia" w:ascii="仿宋" w:hAnsi="仿宋" w:eastAsia="仿宋"/>
          <w:color w:val="000000"/>
          <w:sz w:val="32"/>
          <w:szCs w:val="32"/>
        </w:rPr>
        <w:t>支出515.3万元，占42.8</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文化旅游体育与传媒（类）支出22.95万元，占1.9</w:t>
      </w:r>
      <w:r>
        <w:rPr>
          <w:rFonts w:ascii="仿宋" w:hAnsi="仿宋" w:eastAsia="仿宋"/>
          <w:b/>
          <w:bCs/>
          <w:color w:val="000000"/>
          <w:sz w:val="32"/>
          <w:szCs w:val="32"/>
        </w:rPr>
        <w:t>%</w:t>
      </w:r>
      <w:r>
        <w:rPr>
          <w:rFonts w:hint="eastAsia" w:ascii="仿宋" w:hAnsi="仿宋" w:eastAsia="仿宋"/>
          <w:color w:val="000000"/>
          <w:sz w:val="32"/>
          <w:szCs w:val="32"/>
        </w:rPr>
        <w:t>；</w:t>
      </w:r>
      <w:r>
        <w:rPr>
          <w:rFonts w:hint="eastAsia" w:ascii="仿宋" w:hAnsi="仿宋" w:eastAsia="仿宋"/>
          <w:b/>
          <w:color w:val="000000"/>
          <w:sz w:val="32"/>
          <w:szCs w:val="32"/>
        </w:rPr>
        <w:t>社会保障和就业（类）</w:t>
      </w:r>
      <w:r>
        <w:rPr>
          <w:rFonts w:hint="eastAsia" w:ascii="仿宋" w:hAnsi="仿宋" w:eastAsia="仿宋"/>
          <w:color w:val="000000"/>
          <w:sz w:val="32"/>
          <w:szCs w:val="32"/>
        </w:rPr>
        <w:t>支出94.87万元，占7.9</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b/>
          <w:bCs/>
          <w:color w:val="000000"/>
          <w:sz w:val="32"/>
          <w:szCs w:val="32"/>
        </w:rPr>
        <w:t>卫生健康支出</w:t>
      </w:r>
      <w:r>
        <w:rPr>
          <w:rFonts w:hint="eastAsia" w:ascii="仿宋" w:hAnsi="仿宋" w:eastAsia="仿宋"/>
          <w:color w:val="000000"/>
          <w:sz w:val="32"/>
          <w:szCs w:val="32"/>
        </w:rPr>
        <w:t>17.68万元，占1.4%；节能环保支出70.22万元，占5.8%；城乡社区支出21.48万元，占1.8%；农林水支出376.2万元，占31.2%；住房保障支出60.86万元，占5.1</w:t>
      </w:r>
      <w:r>
        <w:rPr>
          <w:rFonts w:ascii="仿宋" w:hAnsi="仿宋" w:eastAsia="仿宋"/>
          <w:color w:val="000000"/>
          <w:sz w:val="32"/>
          <w:szCs w:val="32"/>
        </w:rPr>
        <w:t>%</w:t>
      </w:r>
      <w:r>
        <w:rPr>
          <w:rFonts w:hint="eastAsia" w:ascii="仿宋" w:hAnsi="仿宋" w:eastAsia="仿宋"/>
          <w:color w:val="000000"/>
          <w:sz w:val="32"/>
          <w:szCs w:val="32"/>
        </w:rPr>
        <w:t>；灾害防治及应急管理支出24.27万元，占2%，其他支出0.15万元，占0.012%。。</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（图6：一般公共预算财政拨款支出决算结构）（饼状图）</w:t>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b/>
          <w:color w:val="000000"/>
          <w:sz w:val="32"/>
          <w:szCs w:val="32"/>
        </w:rPr>
      </w:pPr>
      <w:r>
        <w:rPr>
          <w:rFonts w:ascii="仿宋_GB2312" w:hAnsi="仿宋" w:eastAsia="仿宋_GB2312"/>
          <w:sz w:val="32"/>
          <w:szCs w:val="32"/>
        </w:rPr>
        <w:pict>
          <v:shape id="_x0000_s1033" o:spid="_x0000_s1033" o:spt="75" type="#_x0000_t75" style="position:absolute;left:0pt;margin-left:-44.75pt;margin-top:13.2pt;height:373.8pt;width:404.65pt;mso-wrap-distance-left:9pt;mso-wrap-distance-right:9pt;z-index:251659264;mso-width-relative:page;mso-height-relative:page;" o:ole="t" filled="f" o:preferrelative="t" stroked="f" coordsize="21600,21600" wrapcoords="21592 -2 0 0 0 21600 21592 21602 8 21602 21600 21600 21600 0 8 -2 21592 -2">
            <v:path/>
            <v:fill on="f" focussize="0,0"/>
            <v:stroke on="f" joinstyle="miter"/>
            <v:imagedata r:id="rId18" o:title=""/>
            <o:lock v:ext="edit" aspectratio="t"/>
            <w10:wrap type="through"/>
          </v:shape>
          <o:OLEObject Type="Embed" ProgID="MSGraph.Chart.8" ShapeID="_x0000_s1033" DrawAspect="Content" ObjectID="_1468075730" r:id="rId17">
            <o:LockedField>false</o:LockedField>
          </o:OLEObject>
        </w:pict>
      </w:r>
      <w:bookmarkStart w:id="57" w:name="_Toc52180083"/>
      <w:bookmarkStart w:id="58" w:name="_Toc15377212"/>
    </w:p>
    <w:p>
      <w:pPr>
        <w:spacing w:line="600" w:lineRule="exact"/>
        <w:ind w:firstLine="643" w:firstLineChars="200"/>
        <w:outlineLvl w:val="2"/>
        <w:rPr>
          <w:rFonts w:ascii="仿宋" w:hAnsi="仿宋" w:eastAsia="仿宋"/>
          <w:b/>
          <w:color w:val="000000"/>
          <w:sz w:val="32"/>
          <w:szCs w:val="32"/>
        </w:rPr>
      </w:pPr>
      <w:r>
        <w:rPr>
          <w:rFonts w:hint="eastAsia" w:ascii="仿宋" w:hAnsi="仿宋" w:eastAsia="仿宋"/>
          <w:b/>
          <w:color w:val="000000"/>
          <w:sz w:val="32"/>
          <w:szCs w:val="32"/>
        </w:rPr>
        <w:t>（三）一般公共预算财政拨款支出决算具体情况</w:t>
      </w:r>
      <w:bookmarkEnd w:id="57"/>
      <w:bookmarkEnd w:id="58"/>
    </w:p>
    <w:p>
      <w:pPr>
        <w:spacing w:line="600" w:lineRule="exact"/>
        <w:ind w:firstLine="643" w:firstLineChars="200"/>
        <w:outlineLvl w:val="2"/>
        <w:rPr>
          <w:rFonts w:ascii="仿宋" w:hAnsi="仿宋" w:eastAsia="仿宋"/>
          <w:color w:val="FF0000"/>
          <w:sz w:val="32"/>
          <w:szCs w:val="32"/>
        </w:rPr>
      </w:pPr>
      <w:bookmarkStart w:id="59" w:name="_Toc15378460"/>
      <w:bookmarkStart w:id="60" w:name="_Toc15377213"/>
      <w:bookmarkStart w:id="61" w:name="_Toc15377444"/>
      <w:bookmarkStart w:id="62" w:name="_Toc52180084"/>
      <w:r>
        <w:rPr>
          <w:rFonts w:hint="eastAsia" w:ascii="仿宋" w:hAnsi="仿宋" w:eastAsia="仿宋"/>
          <w:b/>
          <w:color w:val="000000"/>
          <w:sz w:val="32"/>
          <w:szCs w:val="32"/>
        </w:rPr>
        <w:t>2019年般公共预算支出决算数为1203.97万元</w:t>
      </w:r>
      <w:r>
        <w:rPr>
          <w:rFonts w:hint="eastAsia" w:ascii="仿宋" w:hAnsi="仿宋" w:eastAsia="仿宋"/>
          <w:color w:val="000000"/>
          <w:sz w:val="32"/>
          <w:szCs w:val="32"/>
        </w:rPr>
        <w:t>，</w:t>
      </w:r>
      <w:r>
        <w:rPr>
          <w:rStyle w:val="15"/>
          <w:rFonts w:hint="eastAsia" w:ascii="仿宋" w:hAnsi="仿宋" w:eastAsia="仿宋"/>
          <w:bCs/>
          <w:color w:val="000000"/>
          <w:sz w:val="32"/>
          <w:szCs w:val="32"/>
        </w:rPr>
        <w:t>完成预算100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59"/>
      <w:bookmarkEnd w:id="60"/>
      <w:bookmarkEnd w:id="61"/>
      <w:bookmarkEnd w:id="62"/>
    </w:p>
    <w:p>
      <w:pPr>
        <w:numPr>
          <w:ilvl w:val="0"/>
          <w:numId w:val="3"/>
        </w:numPr>
        <w:spacing w:line="600" w:lineRule="exact"/>
        <w:ind w:firstLine="643" w:firstLineChars="200"/>
        <w:rPr>
          <w:rFonts w:ascii="仿宋" w:hAnsi="仿宋" w:eastAsia="仿宋"/>
          <w:b/>
          <w:color w:val="000000"/>
          <w:sz w:val="32"/>
          <w:szCs w:val="32"/>
        </w:rPr>
      </w:pPr>
      <w:r>
        <w:rPr>
          <w:rStyle w:val="15"/>
          <w:rFonts w:hint="eastAsia" w:ascii="仿宋" w:hAnsi="仿宋" w:eastAsia="仿宋"/>
          <w:bCs/>
          <w:color w:val="000000"/>
          <w:sz w:val="32"/>
          <w:szCs w:val="32"/>
        </w:rPr>
        <w:t>一般公共服务</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2010101人大事务行政运行支出决算为24.06万元，完成预算100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；2010104人大会议支出决算为1.59万元，完成预算100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；2010108人大代表工作支出决算为2.62万元，完成预算100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；2010301政府行政运行支出决算为444.35万元，完成预算100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；2010302政府一般行政管理事务支出决算为2.43万元，完成预算100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；2010602财政一般行政管理事务支出决算为0.55万元，完成预算100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；2010650财政事业运行支出决算为12.15万元，完成预算100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；2011102纪检监察事务一般行政管理事务支出决算为1万元，完成预算100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；2012999其他群众团体事务支出决算为7.5万元，完成预算100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；2013101党委行政运行支出决算为19.04万元，完成预算100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numPr>
          <w:ilvl w:val="0"/>
          <w:numId w:val="4"/>
        </w:numPr>
        <w:spacing w:line="600" w:lineRule="exact"/>
        <w:ind w:firstLine="643"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文化旅游体育与传媒</w:t>
      </w:r>
      <w:r>
        <w:rPr>
          <w:rStyle w:val="15"/>
          <w:rFonts w:ascii="仿宋" w:hAnsi="仿宋" w:eastAsia="仿宋"/>
          <w:bCs/>
          <w:color w:val="000000"/>
          <w:sz w:val="32"/>
          <w:szCs w:val="32"/>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2070109文化事业支出决算为22.95万元，完成预算100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spacing w:line="600" w:lineRule="exact"/>
        <w:rPr>
          <w:rFonts w:ascii="仿宋" w:hAnsi="仿宋" w:eastAsia="仿宋"/>
          <w:b/>
          <w:color w:val="000000"/>
          <w:sz w:val="32"/>
          <w:szCs w:val="32"/>
        </w:rPr>
      </w:pPr>
      <w:r>
        <w:rPr>
          <w:rStyle w:val="15"/>
          <w:rFonts w:hint="eastAsia" w:ascii="仿宋" w:hAnsi="仿宋" w:eastAsia="仿宋"/>
          <w:bCs/>
          <w:color w:val="000000"/>
          <w:sz w:val="32"/>
          <w:szCs w:val="32"/>
        </w:rPr>
        <w:t xml:space="preserve">    3</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社会保障和就业</w:t>
      </w:r>
      <w:r>
        <w:rPr>
          <w:rStyle w:val="15"/>
          <w:rFonts w:ascii="仿宋" w:hAnsi="仿宋" w:eastAsia="仿宋"/>
          <w:bCs/>
          <w:color w:val="000000"/>
          <w:sz w:val="32"/>
          <w:szCs w:val="32"/>
        </w:rPr>
        <w:t>:</w:t>
      </w:r>
      <w:r>
        <w:rPr>
          <w:rStyle w:val="15"/>
          <w:rFonts w:ascii="仿宋" w:hAnsi="仿宋" w:eastAsia="仿宋"/>
          <w:b w:val="0"/>
          <w:bCs/>
          <w:color w:val="000000"/>
          <w:sz w:val="32"/>
          <w:szCs w:val="32"/>
        </w:rPr>
        <w:t xml:space="preserve"> </w:t>
      </w:r>
      <w:r>
        <w:rPr>
          <w:rStyle w:val="15"/>
          <w:rFonts w:hint="eastAsia" w:ascii="仿宋" w:hAnsi="仿宋" w:eastAsia="仿宋"/>
          <w:b w:val="0"/>
          <w:bCs/>
          <w:color w:val="000000"/>
          <w:sz w:val="32"/>
          <w:szCs w:val="32"/>
        </w:rPr>
        <w:t>2080109社会保险经办机构支出决算为13.83万元，完成预算100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；。2080504行政单位离退休支出决算为10.4万元，完成预算100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；2080505机关事业单位基本养老保险缴费支出支出决算为52.74万元，完成预算100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；2082102农村特困人员救助供养支出决算为17.9万元，完成预算100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spacing w:line="600" w:lineRule="exact"/>
        <w:ind w:firstLine="643" w:firstLineChars="200"/>
        <w:rPr>
          <w:rStyle w:val="15"/>
          <w:rFonts w:ascii="仿宋" w:hAnsi="仿宋" w:eastAsia="仿宋"/>
          <w:b w:val="0"/>
          <w:bCs/>
          <w:color w:val="000000"/>
          <w:sz w:val="32"/>
          <w:szCs w:val="32"/>
        </w:rPr>
      </w:pPr>
      <w:r>
        <w:rPr>
          <w:rStyle w:val="15"/>
          <w:rFonts w:hint="eastAsia" w:ascii="仿宋" w:hAnsi="仿宋" w:eastAsia="仿宋"/>
          <w:bCs/>
          <w:color w:val="000000"/>
          <w:sz w:val="32"/>
          <w:szCs w:val="32"/>
        </w:rPr>
        <w:t>4</w:t>
      </w:r>
      <w:r>
        <w:rPr>
          <w:rStyle w:val="15"/>
          <w:rFonts w:ascii="仿宋" w:hAnsi="仿宋" w:eastAsia="仿宋"/>
          <w:bCs/>
          <w:color w:val="000000"/>
          <w:sz w:val="32"/>
          <w:szCs w:val="32"/>
        </w:rPr>
        <w:t>.</w:t>
      </w:r>
      <w:r>
        <w:rPr>
          <w:rFonts w:hint="eastAsia" w:ascii="仿宋" w:hAnsi="仿宋" w:eastAsia="仿宋"/>
          <w:b/>
          <w:bCs/>
          <w:color w:val="000000"/>
          <w:sz w:val="32"/>
          <w:szCs w:val="32"/>
        </w:rPr>
        <w:t>卫生健康</w:t>
      </w:r>
      <w:r>
        <w:rPr>
          <w:rStyle w:val="15"/>
          <w:rFonts w:ascii="仿宋" w:hAnsi="仿宋" w:eastAsia="仿宋"/>
          <w:bCs/>
          <w:color w:val="000000"/>
          <w:sz w:val="32"/>
          <w:szCs w:val="32"/>
        </w:rPr>
        <w:t>:</w:t>
      </w:r>
      <w:r>
        <w:rPr>
          <w:rStyle w:val="15"/>
          <w:rFonts w:hint="eastAsia" w:ascii="仿宋" w:hAnsi="仿宋" w:eastAsia="仿宋"/>
          <w:b w:val="0"/>
          <w:bCs/>
          <w:color w:val="000000"/>
          <w:sz w:val="32"/>
          <w:szCs w:val="32"/>
        </w:rPr>
        <w:t>2100799其他计划生育事务支出决算为17.68万元，完成预算100%。</w:t>
      </w:r>
    </w:p>
    <w:p>
      <w:pPr>
        <w:spacing w:line="600" w:lineRule="exact"/>
        <w:ind w:firstLine="640"/>
        <w:rPr>
          <w:rStyle w:val="15"/>
          <w:rFonts w:ascii="仿宋" w:hAnsi="仿宋" w:eastAsia="仿宋"/>
          <w:b w:val="0"/>
          <w:bCs/>
          <w:color w:val="000000"/>
          <w:sz w:val="32"/>
          <w:szCs w:val="32"/>
        </w:rPr>
      </w:pPr>
      <w:r>
        <w:rPr>
          <w:rFonts w:hint="eastAsia" w:ascii="仿宋" w:hAnsi="仿宋" w:eastAsia="仿宋"/>
          <w:b/>
          <w:color w:val="000000"/>
          <w:sz w:val="32"/>
          <w:szCs w:val="32"/>
        </w:rPr>
        <w:t>5.节能环保：</w:t>
      </w:r>
      <w:r>
        <w:rPr>
          <w:rStyle w:val="15"/>
          <w:rFonts w:hint="eastAsia" w:ascii="仿宋" w:hAnsi="仿宋" w:eastAsia="仿宋"/>
          <w:b w:val="0"/>
          <w:bCs/>
          <w:color w:val="000000"/>
          <w:sz w:val="32"/>
          <w:szCs w:val="32"/>
        </w:rPr>
        <w:t>2110302水体支出决算为17.59万元，完成预算100%，2110399其他污染防治支出决算为23.86万元，完成预算100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 w:hAnsi="仿宋" w:eastAsia="仿宋"/>
          <w:bCs/>
          <w:color w:val="000000"/>
          <w:sz w:val="32"/>
          <w:szCs w:val="32"/>
        </w:rPr>
        <w:t>2110401生态保护</w:t>
      </w:r>
      <w:r>
        <w:rPr>
          <w:rStyle w:val="15"/>
          <w:rFonts w:hint="eastAsia" w:ascii="仿宋" w:hAnsi="仿宋" w:eastAsia="仿宋"/>
          <w:b w:val="0"/>
          <w:bCs/>
          <w:color w:val="000000"/>
          <w:sz w:val="32"/>
          <w:szCs w:val="32"/>
        </w:rPr>
        <w:t>支出决算为28.76万元，完成预算100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spacing w:line="600" w:lineRule="exact"/>
        <w:ind w:firstLine="640"/>
        <w:rPr>
          <w:rStyle w:val="15"/>
          <w:rFonts w:ascii="仿宋" w:hAnsi="仿宋" w:eastAsia="仿宋"/>
          <w:b w:val="0"/>
          <w:bCs/>
          <w:color w:val="000000"/>
          <w:sz w:val="32"/>
          <w:szCs w:val="32"/>
        </w:rPr>
      </w:pPr>
      <w:r>
        <w:rPr>
          <w:rFonts w:hint="eastAsia" w:ascii="仿宋" w:hAnsi="仿宋" w:eastAsia="仿宋"/>
          <w:b/>
          <w:color w:val="000000"/>
          <w:sz w:val="32"/>
          <w:szCs w:val="32"/>
        </w:rPr>
        <w:t>6.城乡社区：</w:t>
      </w:r>
      <w:r>
        <w:rPr>
          <w:rStyle w:val="15"/>
          <w:rFonts w:hint="eastAsia" w:ascii="仿宋" w:hAnsi="仿宋" w:eastAsia="仿宋"/>
          <w:b w:val="0"/>
          <w:bCs/>
          <w:color w:val="000000"/>
          <w:sz w:val="32"/>
          <w:szCs w:val="32"/>
        </w:rPr>
        <w:t>2120501城乡社区环境卫生支出决算为21.48万元，完成预算100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spacing w:line="600" w:lineRule="exact"/>
        <w:ind w:firstLine="640"/>
        <w:rPr>
          <w:rStyle w:val="15"/>
          <w:rFonts w:ascii="仿宋" w:hAnsi="仿宋" w:eastAsia="仿宋"/>
          <w:b w:val="0"/>
          <w:bCs/>
          <w:color w:val="000000"/>
          <w:sz w:val="32"/>
          <w:szCs w:val="32"/>
        </w:rPr>
      </w:pPr>
      <w:r>
        <w:rPr>
          <w:rFonts w:hint="eastAsia" w:ascii="仿宋" w:hAnsi="仿宋" w:eastAsia="仿宋"/>
          <w:b/>
          <w:color w:val="000000"/>
          <w:sz w:val="32"/>
          <w:szCs w:val="32"/>
        </w:rPr>
        <w:t>7.农林水：</w:t>
      </w:r>
      <w:r>
        <w:rPr>
          <w:rStyle w:val="15"/>
          <w:rFonts w:hint="eastAsia" w:ascii="仿宋" w:hAnsi="仿宋" w:eastAsia="仿宋"/>
          <w:b w:val="0"/>
          <w:bCs/>
          <w:color w:val="000000"/>
          <w:sz w:val="32"/>
          <w:szCs w:val="32"/>
        </w:rPr>
        <w:t>2130104农业事业运行支出决算为158.99万元，完成预算100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；2130204林业和草原事业机构支出决算为22.46万元，完成预算100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；2130701农村综合改革对村级一事一议支出决算为19.19万元，完成预算100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；2130705对村民委员会和村党支部的补助支出决算为175.56万元，完成预算100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spacing w:line="600" w:lineRule="exact"/>
        <w:ind w:firstLine="640"/>
        <w:rPr>
          <w:rStyle w:val="15"/>
          <w:rFonts w:ascii="仿宋" w:hAnsi="仿宋" w:eastAsia="仿宋"/>
          <w:b w:val="0"/>
          <w:bCs/>
          <w:color w:val="000000"/>
          <w:sz w:val="32"/>
          <w:szCs w:val="32"/>
        </w:rPr>
      </w:pPr>
      <w:r>
        <w:rPr>
          <w:rStyle w:val="15"/>
          <w:rFonts w:hint="eastAsia" w:ascii="仿宋" w:hAnsi="仿宋" w:eastAsia="仿宋"/>
          <w:color w:val="000000"/>
          <w:sz w:val="32"/>
          <w:szCs w:val="32"/>
        </w:rPr>
        <w:t>8.住房保障支出：</w:t>
      </w:r>
      <w:r>
        <w:rPr>
          <w:rStyle w:val="15"/>
          <w:rFonts w:hint="eastAsia" w:ascii="仿宋" w:hAnsi="仿宋" w:eastAsia="仿宋"/>
          <w:b w:val="0"/>
          <w:bCs/>
          <w:color w:val="000000"/>
          <w:sz w:val="32"/>
          <w:szCs w:val="32"/>
        </w:rPr>
        <w:t>2210201住房公积金支出决算为60.86万元，完成预算100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spacing w:line="600" w:lineRule="exact"/>
        <w:ind w:firstLine="640"/>
        <w:rPr>
          <w:rStyle w:val="15"/>
          <w:rFonts w:ascii="仿宋" w:hAnsi="仿宋" w:eastAsia="仿宋"/>
          <w:b w:val="0"/>
          <w:bCs/>
          <w:color w:val="000000"/>
          <w:sz w:val="32"/>
          <w:szCs w:val="32"/>
        </w:rPr>
      </w:pPr>
      <w:r>
        <w:rPr>
          <w:rStyle w:val="15"/>
          <w:rFonts w:hint="eastAsia" w:ascii="仿宋" w:hAnsi="仿宋" w:eastAsia="仿宋"/>
          <w:color w:val="000000"/>
          <w:sz w:val="32"/>
          <w:szCs w:val="32"/>
        </w:rPr>
        <w:t>9.灾害防治及应急管理支出：</w:t>
      </w:r>
      <w:r>
        <w:rPr>
          <w:rStyle w:val="15"/>
          <w:rFonts w:hint="eastAsia" w:ascii="仿宋" w:hAnsi="仿宋" w:eastAsia="仿宋"/>
          <w:b w:val="0"/>
          <w:bCs/>
          <w:color w:val="000000"/>
          <w:sz w:val="32"/>
          <w:szCs w:val="32"/>
        </w:rPr>
        <w:t>2240106安全监管支出决算为24.27万元，完成预算100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p>
    <w:p>
      <w:pPr>
        <w:spacing w:line="600" w:lineRule="exact"/>
        <w:ind w:firstLine="640"/>
        <w:rPr>
          <w:rStyle w:val="15"/>
          <w:rFonts w:ascii="仿宋" w:hAnsi="仿宋" w:eastAsia="仿宋"/>
          <w:b w:val="0"/>
          <w:bCs/>
          <w:color w:val="000000"/>
          <w:sz w:val="32"/>
          <w:szCs w:val="32"/>
        </w:rPr>
      </w:pPr>
      <w:r>
        <w:rPr>
          <w:rStyle w:val="15"/>
          <w:rFonts w:hint="eastAsia" w:ascii="仿宋" w:hAnsi="仿宋" w:eastAsia="仿宋"/>
          <w:color w:val="000000"/>
          <w:sz w:val="32"/>
          <w:szCs w:val="32"/>
        </w:rPr>
        <w:t>10.其他支出：</w:t>
      </w:r>
      <w:r>
        <w:rPr>
          <w:rStyle w:val="15"/>
          <w:rFonts w:hint="eastAsia" w:ascii="仿宋" w:hAnsi="仿宋" w:eastAsia="仿宋"/>
          <w:b w:val="0"/>
          <w:bCs/>
          <w:color w:val="000000"/>
          <w:sz w:val="32"/>
          <w:szCs w:val="32"/>
        </w:rPr>
        <w:t>其他政府性基金及对应专项债务收入安排的支出决算为0.15万元。</w:t>
      </w:r>
    </w:p>
    <w:p>
      <w:pPr>
        <w:tabs>
          <w:tab w:val="right" w:pos="8306"/>
        </w:tabs>
        <w:spacing w:line="600" w:lineRule="exact"/>
        <w:ind w:firstLine="640"/>
        <w:outlineLvl w:val="1"/>
        <w:rPr>
          <w:rStyle w:val="28"/>
        </w:rPr>
      </w:pPr>
      <w:bookmarkStart w:id="63" w:name="_Toc52180085"/>
      <w:bookmarkStart w:id="64" w:name="_Toc15396608"/>
      <w:bookmarkStart w:id="65" w:name="_Toc15377214"/>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8"/>
          <w:rFonts w:hint="eastAsia" w:ascii="黑体" w:hAnsi="黑体" w:eastAsia="黑体"/>
          <w:b w:val="0"/>
        </w:rPr>
        <w:t>般公共预算财政拨款基本支出决算情况说明</w:t>
      </w:r>
      <w:bookmarkEnd w:id="63"/>
      <w:bookmarkEnd w:id="64"/>
      <w:bookmarkEnd w:id="65"/>
      <w:r>
        <w:rPr>
          <w:rStyle w:val="28"/>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基本支出859.51万元，其中：人员经费778.91万元，主要包括：基本工资145.44万元、津贴补贴163.6万元、奖金201.15万元、绩效工资103.18万元、机关事业单位基本养老保险缴费52.74万元、职工基本医疗保险缴费23万元，公务员医疗补助缴费3.18万元，其他社会保障缴费2.32万元、退休费0.08万元、生活补助22.25万元、医疗费补助1.04万元，奖励金0.07万元、住房公积金60.86万元等。</w:t>
      </w:r>
      <w:r>
        <w:rPr>
          <w:rFonts w:ascii="仿宋" w:hAnsi="仿宋" w:eastAsia="仿宋"/>
          <w:color w:val="000000"/>
          <w:sz w:val="32"/>
          <w:szCs w:val="32"/>
        </w:rPr>
        <w:br w:type="textWrapping"/>
      </w:r>
      <w:r>
        <w:rPr>
          <w:rFonts w:hint="eastAsia" w:ascii="仿宋" w:hAnsi="仿宋" w:eastAsia="仿宋"/>
          <w:color w:val="000000"/>
          <w:sz w:val="32"/>
          <w:szCs w:val="32"/>
        </w:rPr>
        <w:t>　　日常公用经费80.6万元，主要包括：办公费20.69万元、印刷费2.21万元、电费4.04万元、邮电费3.96万元、差旅费7.08万元、会议费2.57万元、培训费0.83万元、公务接待费0.47万元、工会经费6.57万元、福利费4.46万元、公务用车运行维护费6万元、其他交通费18.5万元，其他商品和服务支出3.24万元。</w:t>
      </w:r>
    </w:p>
    <w:p>
      <w:pPr>
        <w:spacing w:line="600" w:lineRule="exact"/>
        <w:ind w:firstLine="640"/>
        <w:outlineLvl w:val="1"/>
        <w:rPr>
          <w:rStyle w:val="28"/>
          <w:rFonts w:ascii="黑体" w:hAnsi="黑体" w:eastAsia="黑体"/>
          <w:b w:val="0"/>
        </w:rPr>
      </w:pPr>
      <w:bookmarkStart w:id="66" w:name="_Toc52180086"/>
      <w:bookmarkStart w:id="67" w:name="_Toc15377215"/>
      <w:bookmarkStart w:id="68" w:name="_Toc15396609"/>
      <w:r>
        <w:rPr>
          <w:rFonts w:hint="eastAsia" w:ascii="黑体" w:eastAsia="黑体"/>
          <w:color w:val="000000"/>
          <w:sz w:val="32"/>
          <w:szCs w:val="32"/>
        </w:rPr>
        <w:t>七、</w:t>
      </w:r>
      <w:r>
        <w:rPr>
          <w:rStyle w:val="28"/>
          <w:rFonts w:hint="eastAsia" w:ascii="黑体" w:hAnsi="黑体" w:eastAsia="黑体"/>
        </w:rPr>
        <w:t>“</w:t>
      </w:r>
      <w:r>
        <w:rPr>
          <w:rStyle w:val="28"/>
          <w:rFonts w:hint="eastAsia" w:ascii="黑体" w:hAnsi="黑体" w:eastAsia="黑体"/>
          <w:b w:val="0"/>
        </w:rPr>
        <w:t>三公”经费财政拨款支出决算情况说明</w:t>
      </w:r>
      <w:bookmarkEnd w:id="66"/>
      <w:bookmarkEnd w:id="67"/>
      <w:bookmarkEnd w:id="68"/>
    </w:p>
    <w:p>
      <w:pPr>
        <w:spacing w:line="600" w:lineRule="exact"/>
        <w:ind w:firstLine="640"/>
        <w:outlineLvl w:val="2"/>
        <w:rPr>
          <w:rFonts w:ascii="仿宋" w:hAnsi="仿宋" w:eastAsia="仿宋"/>
          <w:b/>
          <w:color w:val="000000"/>
          <w:sz w:val="32"/>
          <w:szCs w:val="32"/>
        </w:rPr>
      </w:pPr>
      <w:bookmarkStart w:id="69" w:name="_Toc15377216"/>
      <w:bookmarkStart w:id="70" w:name="_Toc52180087"/>
      <w:r>
        <w:rPr>
          <w:rFonts w:hint="eastAsia" w:ascii="仿宋" w:hAnsi="仿宋" w:eastAsia="仿宋"/>
          <w:b/>
          <w:color w:val="000000"/>
          <w:sz w:val="32"/>
          <w:szCs w:val="32"/>
        </w:rPr>
        <w:t>（一）“三公”经费财政拨款支出决算总体情况说明</w:t>
      </w:r>
      <w:bookmarkEnd w:id="69"/>
      <w:bookmarkEnd w:id="70"/>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9年“三公”经费财政拨款支出决算为6.47万元，完成预算100</w:t>
      </w:r>
      <w:r>
        <w:rPr>
          <w:rFonts w:ascii="仿宋" w:hAnsi="仿宋" w:eastAsia="仿宋"/>
          <w:color w:val="000000"/>
          <w:sz w:val="32"/>
          <w:szCs w:val="32"/>
        </w:rPr>
        <w:t>%</w:t>
      </w:r>
      <w:r>
        <w:rPr>
          <w:rFonts w:hint="eastAsia" w:ascii="仿宋" w:hAnsi="仿宋" w:eastAsia="仿宋"/>
          <w:color w:val="000000"/>
          <w:sz w:val="32"/>
          <w:szCs w:val="32"/>
        </w:rPr>
        <w:t>，其中：公务用车运行维护费6万元，公务接待费0.47万元。</w:t>
      </w:r>
    </w:p>
    <w:p>
      <w:pPr>
        <w:spacing w:line="600" w:lineRule="exact"/>
        <w:ind w:firstLine="640"/>
        <w:outlineLvl w:val="2"/>
        <w:rPr>
          <w:rFonts w:ascii="仿宋" w:hAnsi="仿宋" w:eastAsia="仿宋"/>
          <w:b/>
          <w:color w:val="000000"/>
          <w:sz w:val="32"/>
          <w:szCs w:val="32"/>
        </w:rPr>
      </w:pPr>
      <w:bookmarkStart w:id="71" w:name="_Toc52180088"/>
      <w:bookmarkStart w:id="72" w:name="_Toc15377217"/>
      <w:r>
        <w:rPr>
          <w:rFonts w:hint="eastAsia" w:ascii="仿宋" w:hAnsi="仿宋" w:eastAsia="仿宋"/>
          <w:b/>
          <w:color w:val="000000"/>
          <w:sz w:val="32"/>
          <w:szCs w:val="32"/>
        </w:rPr>
        <w:t>（二）“三公”经费财政拨款支出决算具体情况说明</w:t>
      </w:r>
      <w:bookmarkEnd w:id="71"/>
      <w:bookmarkEnd w:id="72"/>
    </w:p>
    <w:p>
      <w:pPr>
        <w:spacing w:line="600" w:lineRule="exact"/>
        <w:ind w:firstLine="640"/>
        <w:rPr>
          <w:rFonts w:ascii="仿宋" w:hAnsi="仿宋" w:eastAsia="仿宋"/>
          <w:color w:val="000000"/>
          <w:sz w:val="32"/>
          <w:szCs w:val="32"/>
        </w:rPr>
      </w:pPr>
      <w:r>
        <w:rPr>
          <w:rFonts w:ascii="仿宋_GB2312" w:hAnsi="仿宋" w:eastAsia="仿宋_GB2312"/>
          <w:sz w:val="32"/>
          <w:szCs w:val="32"/>
        </w:rPr>
        <w:pict>
          <v:shape id="_x0000_s1034" o:spid="_x0000_s1034" o:spt="75" type="#_x0000_t75" style="position:absolute;left:0pt;margin-left:-9.6pt;margin-top:110.1pt;height:317.7pt;width:351.9pt;z-index:-251656192;mso-width-relative:page;mso-height-relative:page;" o:ole="t" filled="f" o:preferrelative="t" stroked="f" coordsize="21600,21600">
            <v:path/>
            <v:fill on="f" focussize="0,0"/>
            <v:stroke on="f" joinstyle="miter"/>
            <v:imagedata r:id="rId20" o:title=""/>
            <o:lock v:ext="edit" aspectratio="t"/>
          </v:shape>
          <o:OLEObject Type="Embed" ProgID="Excel.Chart.8" ShapeID="_x0000_s1034" DrawAspect="Content" ObjectID="_1468075731" r:id="rId19">
            <o:LockedField>false</o:LockedField>
          </o:OLEObject>
        </w:pict>
      </w: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9年“三公”经费财政拨款支出决算中，因公出国（境）费支出决算0万元；公务用车购置及运行维护费支出决算6万元，占92.74</w:t>
      </w:r>
      <w:r>
        <w:rPr>
          <w:rFonts w:ascii="仿宋" w:hAnsi="仿宋" w:eastAsia="仿宋"/>
          <w:color w:val="000000"/>
          <w:sz w:val="32"/>
          <w:szCs w:val="32"/>
        </w:rPr>
        <w:t>%</w:t>
      </w:r>
      <w:r>
        <w:rPr>
          <w:rFonts w:hint="eastAsia" w:ascii="仿宋" w:hAnsi="仿宋" w:eastAsia="仿宋"/>
          <w:color w:val="000000"/>
          <w:sz w:val="32"/>
          <w:szCs w:val="32"/>
        </w:rPr>
        <w:t>；公务接待费支出决算0.47万元，占7.26</w:t>
      </w:r>
      <w:r>
        <w:rPr>
          <w:rFonts w:ascii="仿宋" w:hAnsi="仿宋" w:eastAsia="仿宋"/>
          <w:color w:val="000000"/>
          <w:sz w:val="32"/>
          <w:szCs w:val="32"/>
        </w:rPr>
        <w:t>%</w:t>
      </w:r>
      <w:r>
        <w:rPr>
          <w:rFonts w:hint="eastAsia" w:ascii="仿宋" w:hAnsi="仿宋" w:eastAsia="仿宋"/>
          <w:color w:val="000000"/>
          <w:sz w:val="32"/>
          <w:szCs w:val="32"/>
        </w:rPr>
        <w:t>。具体情况如下：</w:t>
      </w:r>
    </w:p>
    <w:p>
      <w:pPr>
        <w:spacing w:line="600" w:lineRule="exact"/>
        <w:ind w:firstLine="640"/>
        <w:rPr>
          <w:rFonts w:ascii="仿宋" w:hAnsi="仿宋" w:eastAsia="仿宋"/>
          <w:color w:val="000000"/>
          <w:sz w:val="32"/>
          <w:szCs w:val="32"/>
        </w:rPr>
      </w:pPr>
      <w:r>
        <w:rPr>
          <w:rFonts w:hint="eastAsia" w:ascii="仿宋" w:hAnsi="仿宋" w:eastAsia="仿宋"/>
          <w:color w:val="000000"/>
          <w:sz w:val="32"/>
          <w:szCs w:val="32"/>
        </w:rPr>
        <w:t>（图7：“三公”经费财政拨款支出结构）（饼状图）</w:t>
      </w:r>
    </w:p>
    <w:p>
      <w:pPr>
        <w:spacing w:line="600" w:lineRule="exact"/>
        <w:rPr>
          <w:rFonts w:ascii="仿宋" w:hAnsi="仿宋" w:eastAsia="仿宋"/>
          <w:color w:val="000000"/>
          <w:sz w:val="32"/>
          <w:szCs w:val="32"/>
        </w:rPr>
      </w:pPr>
    </w:p>
    <w:p>
      <w:pPr>
        <w:spacing w:line="600" w:lineRule="exact"/>
        <w:rPr>
          <w:rFonts w:ascii="仿宋" w:hAnsi="仿宋" w:eastAsia="仿宋"/>
          <w:color w:val="000000"/>
          <w:sz w:val="32"/>
          <w:szCs w:val="32"/>
        </w:rPr>
      </w:pPr>
    </w:p>
    <w:p>
      <w:pPr>
        <w:spacing w:line="600" w:lineRule="exact"/>
        <w:rPr>
          <w:rFonts w:ascii="仿宋" w:hAnsi="仿宋" w:eastAsia="仿宋"/>
          <w:color w:val="000000"/>
          <w:sz w:val="32"/>
          <w:szCs w:val="32"/>
        </w:rPr>
      </w:pPr>
    </w:p>
    <w:p>
      <w:pPr>
        <w:spacing w:line="600" w:lineRule="exact"/>
        <w:ind w:firstLine="640"/>
        <w:rPr>
          <w:rFonts w:ascii="仿宋" w:hAnsi="仿宋" w:eastAsia="仿宋"/>
          <w:color w:val="000000"/>
          <w:sz w:val="32"/>
          <w:szCs w:val="32"/>
        </w:rPr>
      </w:pPr>
    </w:p>
    <w:p>
      <w:pPr>
        <w:spacing w:line="600" w:lineRule="exact"/>
        <w:ind w:firstLine="640"/>
        <w:rPr>
          <w:rFonts w:ascii="仿宋" w:hAnsi="仿宋" w:eastAsia="仿宋"/>
          <w:color w:val="000000"/>
          <w:sz w:val="32"/>
          <w:szCs w:val="32"/>
        </w:rPr>
      </w:pPr>
    </w:p>
    <w:p>
      <w:pPr>
        <w:spacing w:line="600" w:lineRule="exact"/>
        <w:ind w:firstLine="640"/>
        <w:rPr>
          <w:rFonts w:ascii="仿宋" w:hAnsi="仿宋" w:eastAsia="仿宋"/>
          <w:color w:val="000000"/>
          <w:sz w:val="32"/>
          <w:szCs w:val="32"/>
        </w:rPr>
      </w:pPr>
    </w:p>
    <w:p>
      <w:pPr>
        <w:spacing w:line="600" w:lineRule="exact"/>
        <w:ind w:firstLine="640"/>
        <w:rPr>
          <w:rFonts w:ascii="仿宋" w:hAnsi="仿宋" w:eastAsia="仿宋"/>
          <w:color w:val="000000"/>
          <w:sz w:val="32"/>
          <w:szCs w:val="32"/>
        </w:rPr>
      </w:pPr>
    </w:p>
    <w:p>
      <w:pPr>
        <w:spacing w:line="600" w:lineRule="exact"/>
        <w:ind w:firstLine="640"/>
        <w:rPr>
          <w:rFonts w:ascii="仿宋" w:hAnsi="仿宋" w:eastAsia="仿宋"/>
          <w:color w:val="000000"/>
          <w:sz w:val="32"/>
          <w:szCs w:val="32"/>
        </w:rPr>
      </w:pPr>
    </w:p>
    <w:p>
      <w:pPr>
        <w:spacing w:line="600" w:lineRule="exact"/>
        <w:ind w:firstLine="640"/>
        <w:rPr>
          <w:rFonts w:ascii="仿宋" w:hAnsi="仿宋" w:eastAsia="仿宋"/>
          <w:color w:val="000000"/>
          <w:sz w:val="32"/>
          <w:szCs w:val="32"/>
        </w:rPr>
      </w:pP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rPr>
        <w:t>0万元。</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rPr>
        <w:t>6万元,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8年减少6.02万元，下降50.08</w:t>
      </w:r>
      <w:r>
        <w:rPr>
          <w:rFonts w:ascii="仿宋_GB2312" w:eastAsia="仿宋_GB2312"/>
          <w:color w:val="000000"/>
          <w:sz w:val="32"/>
          <w:szCs w:val="32"/>
        </w:rPr>
        <w:t>%</w:t>
      </w:r>
      <w:r>
        <w:rPr>
          <w:rFonts w:hint="eastAsia" w:ascii="仿宋_GB2312" w:eastAsia="仿宋_GB2312"/>
          <w:color w:val="000000"/>
          <w:sz w:val="32"/>
          <w:szCs w:val="32"/>
        </w:rPr>
        <w:t>。主要原因是维修费用减少。</w:t>
      </w:r>
    </w:p>
    <w:p>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rPr>
        <w:t>0万元。全年按规定更新购置公务用车0辆，金额0</w:t>
      </w:r>
      <w:r>
        <w:rPr>
          <w:rFonts w:ascii="仿宋_GB2312" w:eastAsia="仿宋_GB2312"/>
          <w:color w:val="000000"/>
          <w:sz w:val="32"/>
          <w:szCs w:val="32"/>
        </w:rPr>
        <w:t>元。</w:t>
      </w: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月底，单位共有公务用车4辆，其中：主要领导干部用车0辆、机要通信用车0辆、应急保障用车3辆、特种专业技术用车1辆，单价</w:t>
      </w:r>
      <w:r>
        <w:rPr>
          <w:rFonts w:ascii="仿宋_GB2312" w:eastAsia="仿宋_GB2312"/>
          <w:color w:val="000000"/>
          <w:sz w:val="32"/>
          <w:szCs w:val="32"/>
        </w:rPr>
        <w:t>50</w:t>
      </w:r>
      <w:r>
        <w:rPr>
          <w:rFonts w:hint="eastAsia" w:ascii="仿宋_GB2312" w:eastAsia="仿宋_GB2312"/>
          <w:color w:val="000000"/>
          <w:sz w:val="32"/>
          <w:szCs w:val="32"/>
        </w:rPr>
        <w:t>万元以上通用设备0台（套），单价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万元以上专用设备0台（套）。</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rPr>
        <w:t>6.02万元。主要用于具体工作等所需的公务用车燃料费、维修费、过路过桥费、保险费等支出。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rPr>
        <w:t>0.47万元，</w:t>
      </w:r>
      <w:r>
        <w:rPr>
          <w:rStyle w:val="15"/>
          <w:rFonts w:hint="eastAsia" w:ascii="仿宋" w:hAnsi="仿宋" w:eastAsia="仿宋"/>
          <w:b w:val="0"/>
          <w:bCs/>
          <w:color w:val="000000"/>
          <w:sz w:val="32"/>
          <w:szCs w:val="32"/>
        </w:rPr>
        <w:t>完成预算100</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8年增加了0.41万元，上升683.33</w:t>
      </w:r>
      <w:r>
        <w:rPr>
          <w:rFonts w:ascii="仿宋_GB2312" w:eastAsia="仿宋_GB2312"/>
          <w:color w:val="000000"/>
          <w:sz w:val="32"/>
          <w:szCs w:val="32"/>
        </w:rPr>
        <w:t>%</w:t>
      </w:r>
      <w:r>
        <w:rPr>
          <w:rFonts w:hint="eastAsia" w:ascii="仿宋_GB2312" w:eastAsia="仿宋_GB2312"/>
          <w:color w:val="000000"/>
          <w:sz w:val="32"/>
          <w:szCs w:val="32"/>
        </w:rPr>
        <w:t>。主要原因是2018年的接待很少，2019年有所增加，其中：</w:t>
      </w:r>
    </w:p>
    <w:p>
      <w:pPr>
        <w:spacing w:line="600" w:lineRule="exact"/>
        <w:ind w:firstLine="640"/>
        <w:rPr>
          <w:rFonts w:ascii="仿宋_GB2312" w:eastAsia="仿宋_GB2312"/>
          <w:color w:val="000000"/>
          <w:sz w:val="32"/>
          <w:szCs w:val="32"/>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rPr>
        <w:t>0.47</w:t>
      </w:r>
      <w:r>
        <w:rPr>
          <w:rFonts w:hint="eastAsia" w:ascii="仿宋_GB2312" w:eastAsia="仿宋_GB2312"/>
          <w:color w:val="000000"/>
          <w:sz w:val="32"/>
          <w:szCs w:val="32"/>
        </w:rPr>
        <w:t>万元，主要用于执行公务、开展业务活动开支的交通费、住宿费、用餐费等。国内公务接待39批次，234人次（不包括陪同人员），共计支出0.47万元，具体内容包括：市、县各部门公务接待用餐。</w:t>
      </w:r>
    </w:p>
    <w:p>
      <w:pPr>
        <w:spacing w:line="600" w:lineRule="exact"/>
        <w:ind w:firstLine="643" w:firstLineChars="200"/>
        <w:rPr>
          <w:rFonts w:ascii="黑体" w:eastAsia="黑体"/>
          <w:color w:val="000000"/>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rPr>
        <w:t>0</w:t>
      </w:r>
      <w:r>
        <w:rPr>
          <w:rFonts w:hint="eastAsia" w:ascii="仿宋_GB2312" w:eastAsia="仿宋_GB2312"/>
          <w:color w:val="000000"/>
          <w:sz w:val="32"/>
          <w:szCs w:val="32"/>
        </w:rPr>
        <w:t>万元，外事接待0批次，0人，共计支出0万元。</w:t>
      </w:r>
      <w:bookmarkStart w:id="73" w:name="_Toc15377218"/>
      <w:bookmarkStart w:id="74" w:name="_Toc15396610"/>
    </w:p>
    <w:p>
      <w:pPr>
        <w:spacing w:line="600" w:lineRule="exact"/>
        <w:ind w:firstLine="640"/>
        <w:outlineLvl w:val="1"/>
        <w:rPr>
          <w:rStyle w:val="28"/>
          <w:rFonts w:ascii="黑体" w:hAnsi="黑体" w:eastAsia="黑体"/>
        </w:rPr>
      </w:pPr>
      <w:bookmarkStart w:id="75" w:name="_Toc52180089"/>
      <w:r>
        <w:rPr>
          <w:rFonts w:hint="eastAsia" w:ascii="黑体" w:eastAsia="黑体"/>
          <w:color w:val="000000"/>
          <w:sz w:val="32"/>
          <w:szCs w:val="32"/>
        </w:rPr>
        <w:t>八、</w:t>
      </w:r>
      <w:r>
        <w:rPr>
          <w:rStyle w:val="28"/>
          <w:rFonts w:hint="eastAsia" w:ascii="黑体" w:hAnsi="黑体" w:eastAsia="黑体"/>
          <w:b w:val="0"/>
        </w:rPr>
        <w:t>政府性基金预算支出决算情况说明</w:t>
      </w:r>
      <w:bookmarkEnd w:id="73"/>
      <w:bookmarkEnd w:id="74"/>
      <w:bookmarkEnd w:id="75"/>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9年政府性基金预算拨款支出0.15万元。</w:t>
      </w:r>
    </w:p>
    <w:p>
      <w:pPr>
        <w:numPr>
          <w:ilvl w:val="0"/>
          <w:numId w:val="5"/>
        </w:numPr>
        <w:spacing w:line="600" w:lineRule="exact"/>
        <w:ind w:firstLine="640"/>
        <w:outlineLvl w:val="1"/>
        <w:rPr>
          <w:rStyle w:val="28"/>
          <w:rFonts w:ascii="黑体" w:hAnsi="黑体" w:eastAsia="黑体"/>
          <w:b w:val="0"/>
        </w:rPr>
      </w:pPr>
      <w:bookmarkStart w:id="76" w:name="_Toc15377219"/>
      <w:bookmarkStart w:id="77" w:name="_Toc52180090"/>
      <w:bookmarkStart w:id="78" w:name="_Toc15396611"/>
      <w:r>
        <w:rPr>
          <w:rStyle w:val="28"/>
          <w:rFonts w:hint="eastAsia" w:ascii="黑体" w:hAnsi="黑体" w:eastAsia="黑体"/>
          <w:b w:val="0"/>
        </w:rPr>
        <w:t>国有资本经营预算支出决算情况说明</w:t>
      </w:r>
      <w:bookmarkEnd w:id="76"/>
      <w:bookmarkEnd w:id="77"/>
      <w:bookmarkEnd w:id="78"/>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color w:val="000000"/>
          <w:sz w:val="32"/>
          <w:szCs w:val="32"/>
        </w:rPr>
        <w:t>201</w:t>
      </w:r>
      <w:r>
        <w:rPr>
          <w:rFonts w:hint="eastAsia" w:ascii="仿宋_GB2312" w:eastAsia="仿宋_GB2312"/>
          <w:color w:val="000000"/>
          <w:sz w:val="32"/>
          <w:szCs w:val="32"/>
        </w:rPr>
        <w:t>9年国有资本经营预算拨款支出0万元。</w:t>
      </w:r>
    </w:p>
    <w:p>
      <w:pPr>
        <w:spacing w:line="600" w:lineRule="exact"/>
        <w:ind w:firstLine="800" w:firstLineChars="250"/>
        <w:outlineLvl w:val="1"/>
        <w:rPr>
          <w:rStyle w:val="28"/>
          <w:rFonts w:ascii="黑体" w:hAnsi="黑体" w:eastAsia="黑体"/>
        </w:rPr>
      </w:pPr>
      <w:bookmarkStart w:id="79" w:name="_Toc15377221"/>
      <w:bookmarkStart w:id="80" w:name="_Toc15396612"/>
      <w:bookmarkStart w:id="81" w:name="_Toc52180091"/>
      <w:r>
        <w:rPr>
          <w:rFonts w:hint="eastAsia" w:ascii="黑体" w:hAnsi="黑体" w:eastAsia="黑体"/>
          <w:color w:val="000000"/>
          <w:sz w:val="32"/>
          <w:szCs w:val="32"/>
        </w:rPr>
        <w:t>十</w:t>
      </w:r>
      <w:r>
        <w:rPr>
          <w:rStyle w:val="28"/>
          <w:rFonts w:hint="eastAsia" w:ascii="黑体" w:hAnsi="黑体" w:eastAsia="黑体"/>
        </w:rPr>
        <w:t>、</w:t>
      </w:r>
      <w:r>
        <w:rPr>
          <w:rStyle w:val="28"/>
          <w:rFonts w:hint="eastAsia" w:ascii="黑体" w:hAnsi="黑体" w:eastAsia="黑体"/>
          <w:b w:val="0"/>
        </w:rPr>
        <w:t>其他重要事项的情况说明</w:t>
      </w:r>
      <w:bookmarkEnd w:id="79"/>
      <w:bookmarkEnd w:id="80"/>
      <w:bookmarkEnd w:id="81"/>
    </w:p>
    <w:p>
      <w:pPr>
        <w:spacing w:line="600" w:lineRule="exact"/>
        <w:ind w:firstLine="643" w:firstLineChars="200"/>
        <w:outlineLvl w:val="2"/>
        <w:rPr>
          <w:rFonts w:ascii="仿宋" w:hAnsi="仿宋" w:eastAsia="仿宋"/>
          <w:color w:val="000000"/>
          <w:sz w:val="32"/>
          <w:szCs w:val="32"/>
        </w:rPr>
      </w:pPr>
      <w:bookmarkStart w:id="82" w:name="_Toc52180092"/>
      <w:bookmarkStart w:id="83" w:name="_Toc15377222"/>
      <w:r>
        <w:rPr>
          <w:rFonts w:hint="eastAsia" w:ascii="仿宋" w:hAnsi="仿宋" w:eastAsia="仿宋"/>
          <w:b/>
          <w:color w:val="000000"/>
          <w:sz w:val="32"/>
          <w:szCs w:val="32"/>
        </w:rPr>
        <w:t>（一）机关运行经费支出情况</w:t>
      </w:r>
      <w:bookmarkEnd w:id="82"/>
      <w:bookmarkEnd w:id="83"/>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9年，机关运行经费支出80.6万元，比</w:t>
      </w:r>
      <w:r>
        <w:rPr>
          <w:rFonts w:ascii="仿宋_GB2312" w:eastAsia="仿宋_GB2312"/>
          <w:color w:val="000000"/>
          <w:sz w:val="32"/>
          <w:szCs w:val="32"/>
        </w:rPr>
        <w:t>201</w:t>
      </w:r>
      <w:r>
        <w:rPr>
          <w:rFonts w:hint="eastAsia" w:ascii="仿宋_GB2312" w:eastAsia="仿宋_GB2312"/>
          <w:color w:val="000000"/>
          <w:sz w:val="32"/>
          <w:szCs w:val="32"/>
        </w:rPr>
        <w:t>8年减少137.16万元，下降62.99</w:t>
      </w:r>
      <w:r>
        <w:rPr>
          <w:rFonts w:ascii="仿宋_GB2312" w:eastAsia="仿宋_GB2312"/>
          <w:color w:val="000000"/>
          <w:sz w:val="32"/>
          <w:szCs w:val="32"/>
        </w:rPr>
        <w:t>%</w:t>
      </w:r>
      <w:r>
        <w:rPr>
          <w:rFonts w:hint="eastAsia" w:ascii="仿宋_GB2312" w:eastAsia="仿宋_GB2312"/>
          <w:color w:val="000000"/>
          <w:sz w:val="32"/>
          <w:szCs w:val="32"/>
        </w:rPr>
        <w:t>。主要原因是人员变动。</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4" w:name="_Toc52180093"/>
      <w:bookmarkStart w:id="85" w:name="_Toc15377223"/>
      <w:r>
        <w:rPr>
          <w:rFonts w:hint="eastAsia" w:ascii="仿宋" w:hAnsi="仿宋" w:eastAsia="仿宋"/>
          <w:b/>
          <w:color w:val="000000"/>
          <w:sz w:val="32"/>
          <w:szCs w:val="32"/>
        </w:rPr>
        <w:t>（二）政府采购支出情况</w:t>
      </w:r>
      <w:bookmarkEnd w:id="84"/>
      <w:bookmarkEnd w:id="85"/>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9年，政府采购支出总额5.587万元，其中：政府采购货物支出5.587万元、政府采购工程支出0万元、政府采购服务支出0万元。授予中小企业合同金额0万元，占政府采购支出总额的0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，其中：授予小微企业合同金额0万元，占政府采购支出总额的0</w:t>
      </w:r>
      <w:r>
        <w:rPr>
          <w:rFonts w:ascii="仿宋_GB2312" w:eastAsia="仿宋_GB2312"/>
          <w:color w:val="000000"/>
          <w:sz w:val="32"/>
          <w:szCs w:val="32"/>
        </w:rPr>
        <w:t>%</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6" w:name="_Toc52180094"/>
      <w:bookmarkStart w:id="87" w:name="_Toc15377224"/>
      <w:r>
        <w:rPr>
          <w:rFonts w:hint="eastAsia" w:ascii="仿宋" w:hAnsi="仿宋" w:eastAsia="仿宋"/>
          <w:b/>
          <w:color w:val="000000"/>
          <w:sz w:val="32"/>
          <w:szCs w:val="32"/>
        </w:rPr>
        <w:t>（三）国有资产占有使用情况</w:t>
      </w:r>
      <w:bookmarkEnd w:id="86"/>
      <w:bookmarkEnd w:id="87"/>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日，共有车辆4辆，其中：主要领导干部用车0辆、机要通信用车0辆、应急保障用车3辆、特种专业技术用车1辆，单价</w:t>
      </w:r>
      <w:r>
        <w:rPr>
          <w:rFonts w:ascii="仿宋_GB2312" w:eastAsia="仿宋_GB2312"/>
          <w:color w:val="000000"/>
          <w:sz w:val="32"/>
          <w:szCs w:val="32"/>
        </w:rPr>
        <w:t>50</w:t>
      </w:r>
      <w:r>
        <w:rPr>
          <w:rFonts w:hint="eastAsia" w:ascii="仿宋_GB2312" w:eastAsia="仿宋_GB2312"/>
          <w:color w:val="000000"/>
          <w:sz w:val="32"/>
          <w:szCs w:val="32"/>
        </w:rPr>
        <w:t>万元以上通用设备0台（套），单价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万元以上专用设备0台（套）。</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88" w:name="_Toc52180095"/>
      <w:r>
        <w:rPr>
          <w:rFonts w:hint="eastAsia" w:ascii="仿宋" w:hAnsi="仿宋" w:eastAsia="仿宋"/>
          <w:b/>
          <w:color w:val="000000"/>
          <w:sz w:val="32"/>
          <w:szCs w:val="32"/>
        </w:rPr>
        <w:t>（四）预算绩效管理情况。</w:t>
      </w:r>
      <w:bookmarkEnd w:id="88"/>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18项目（项目名称）开展了预算事前绩效评估，对18个项目编制了绩效目标，预算执行过程中，选取5个项目开展绩效监控，年终执行完毕后，对5个项目开展了绩效目标完成情况自评。</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本部门按要求对2019年部门整体支出开展绩效自评，从评价情况来看项目整体实施完成良好。本部门还自行组织了5个项目支出绩效评价，从评价情况来看项目整体实施完成良好。</w:t>
      </w:r>
    </w:p>
    <w:p>
      <w:pPr>
        <w:ind w:firstLine="640" w:firstLineChars="200"/>
        <w:rPr>
          <w:rFonts w:eastAsia="仿宋_GB2312"/>
          <w:sz w:val="32"/>
          <w:szCs w:val="32"/>
        </w:rPr>
      </w:pPr>
      <w:r>
        <w:rPr>
          <w:rFonts w:hint="eastAsia" w:ascii="楷体_GB2312" w:hAnsi="楷体_GB2312" w:eastAsia="楷体_GB2312" w:cs="楷体_GB2312"/>
          <w:sz w:val="32"/>
          <w:szCs w:val="32"/>
        </w:rPr>
        <w:t>1.项目绩效目标完成情况。</w:t>
      </w:r>
      <w:r>
        <w:rPr>
          <w:rFonts w:hint="eastAsia" w:ascii="楷体_GB2312" w:hAnsi="楷体_GB2312" w:eastAsia="楷体_GB2312" w:cs="楷体_GB2312"/>
          <w:sz w:val="32"/>
          <w:szCs w:val="32"/>
        </w:rPr>
        <w:br w:type="textWrapping"/>
      </w:r>
      <w:r>
        <w:rPr>
          <w:rFonts w:hint="eastAsia" w:ascii="仿宋_GB2312" w:hAnsi="仿宋_GB2312" w:eastAsia="仿宋_GB2312" w:cs="仿宋_GB2312"/>
          <w:sz w:val="32"/>
          <w:szCs w:val="32"/>
        </w:rPr>
        <w:t xml:space="preserve">  </w:t>
      </w:r>
      <w:r>
        <w:rPr>
          <w:rFonts w:hint="eastAsia" w:eastAsia="仿宋_GB2312"/>
          <w:sz w:val="32"/>
          <w:szCs w:val="32"/>
        </w:rPr>
        <w:t>主要用于一般公共服务支出、社会保障和就业支出、卫生健康支出、节能环保支出、城乡社区支出、农林水支出、自然资源海洋气象等支出、灾害防治及应急管理支出。</w:t>
      </w:r>
    </w:p>
    <w:p>
      <w:pPr>
        <w:pStyle w:val="31"/>
        <w:autoSpaceDE w:val="0"/>
        <w:autoSpaceDN w:val="0"/>
        <w:adjustRightInd w:val="0"/>
        <w:spacing w:line="590" w:lineRule="exact"/>
        <w:ind w:left="160" w:leftChars="76" w:firstLine="640"/>
        <w:rPr>
          <w:rFonts w:ascii="仿宋_GB2312" w:hAnsi="宋体" w:eastAsia="仿宋_GB2312" w:cs="楷体_GB2312"/>
          <w:kern w:val="0"/>
          <w:sz w:val="32"/>
          <w:szCs w:val="32"/>
        </w:rPr>
      </w:pPr>
      <w:r>
        <w:rPr>
          <w:rFonts w:hint="eastAsia" w:ascii="仿宋_GB2312" w:eastAsia="仿宋_GB2312"/>
          <w:sz w:val="32"/>
          <w:szCs w:val="32"/>
        </w:rPr>
        <w:t>按项目分类：</w:t>
      </w:r>
      <w:r>
        <w:rPr>
          <w:rFonts w:hint="eastAsia" w:ascii="仿宋_GB2312" w:hAnsi="宋体" w:eastAsia="仿宋_GB2312"/>
          <w:sz w:val="32"/>
          <w:szCs w:val="32"/>
        </w:rPr>
        <w:t>人大会议费3.055万元，村社办公经费25万元，支出25万元全部转到村级账户；</w:t>
      </w:r>
      <w:r>
        <w:rPr>
          <w:rFonts w:hint="eastAsia" w:ascii="仿宋_GB2312" w:hAnsi="宋体" w:eastAsia="仿宋_GB2312" w:cs="楷体_GB2312"/>
          <w:kern w:val="0"/>
          <w:sz w:val="32"/>
          <w:szCs w:val="32"/>
        </w:rPr>
        <w:t>村干部工资报酬及社保补助109.5084万元</w:t>
      </w:r>
      <w:r>
        <w:rPr>
          <w:rFonts w:hint="eastAsia" w:ascii="仿宋_GB2312" w:hAnsi="宋体" w:eastAsia="仿宋_GB2312"/>
          <w:sz w:val="32"/>
          <w:szCs w:val="32"/>
        </w:rPr>
        <w:t>；</w:t>
      </w:r>
      <w:r>
        <w:rPr>
          <w:rFonts w:hint="eastAsia" w:ascii="仿宋_GB2312" w:hAnsi="宋体" w:eastAsia="仿宋_GB2312" w:cs="楷体_GB2312"/>
          <w:kern w:val="0"/>
          <w:sz w:val="32"/>
          <w:szCs w:val="32"/>
        </w:rPr>
        <w:t>农村五保户生活费及御寒费及丧葬费37.448万元；乡村治理补助经费2.4244万元；2019年大平台维护费0.24万元；2019年A++软件维护费1.3万元；</w:t>
      </w:r>
    </w:p>
    <w:p>
      <w:pPr>
        <w:spacing w:line="580" w:lineRule="exact"/>
        <w:ind w:firstLine="640" w:firstLineChars="200"/>
        <w:rPr>
          <w:rFonts w:ascii="仿宋_GB2312" w:hAnsi="仿宋_GB2312" w:eastAsia="仿宋_GB2312" w:cs="仿宋_GB2312"/>
          <w:sz w:val="32"/>
          <w:szCs w:val="32"/>
        </w:rPr>
      </w:pPr>
      <w:r>
        <w:rPr>
          <w:rFonts w:hint="eastAsia" w:ascii="仿宋_GB2312" w:hAnsi="宋体" w:eastAsia="仿宋_GB2312" w:cs="楷体_GB2312"/>
          <w:kern w:val="0"/>
          <w:sz w:val="32"/>
          <w:szCs w:val="32"/>
        </w:rPr>
        <w:t>2019年乡镇安全生产监管专项资金25万元;乡镇“人大代表之家”建设经费2.621万元; 2019年儿童之家建设专项经费7.5万元；巴拉河流域违法建设项目现场清理和土地恢复专项资金（调整预算土地出让金收入）28.7950万元；</w:t>
      </w:r>
      <w:r>
        <w:rPr>
          <w:rFonts w:hint="eastAsia" w:ascii="仿宋_GB2312" w:hAnsi="宋体" w:eastAsia="仿宋_GB2312"/>
          <w:sz w:val="32"/>
          <w:szCs w:val="32"/>
        </w:rPr>
        <w:t>2019年基层组织活动和公共服务运行经费21万元； 2018年度年初预留用于粉尘治理1.1675万元；用于垃圾清扫清运支出1.1675万元； 2018年新九乡炉库村白沙社道建设工程一事一议项目4.35万元； 2018年市级村级公益事业建设一事一议财政奖补资金（市级补助资金）10万元；新九乡2018年公共运行经费7万元； 2018年村级公益事业一事一议财政奖补资金4.84万元； 2018年结余资金用于环境保护，粉尘治理等方面3.0096万元；退还乡机关综合楼后堡坎建设项目实施保证金0.0083万元；新九乡政府2018年总预备费资金根据人大批复用于环境卫生等基础设施建设8万元； 2018年结余资金用于环境保护，粉尘治理等方面19.686532万元；退还盐边财预【2017】20号下达2018年度乡镇财政管理系统及金财网维护费0.01万元； 2017年重点生态功能区转移支付资金(用于新九乡集中式饮用水水源地保护区标识标牌及一级保护区隔离防护设施建设）20万元;新九乡2018年公共运行经费7万元；新九乡2019年总预备费用于新九乡公路清扫8.1万元。退还追加新九乡村务监督委员会主任基本报酬和离职社区干部补贴1.344万元；新九乡第三次全国国土调查工作经费支出预算2万元； 2019年市级基层组织活动和公共服务运行补助资金7万元； 2019年基层组织活动和公共服务运行经费7万元；新九乡2019年年初预留用于新九乡公路清扫5.380768万元； 2019年中央村级公益事业建设新九乡踏</w:t>
      </w:r>
      <w:r>
        <w:rPr>
          <w:rFonts w:hint="eastAsia" w:ascii="仿宋_GB2312" w:hAnsi="宋体"/>
          <w:sz w:val="32"/>
          <w:szCs w:val="32"/>
        </w:rPr>
        <w:t>鲊</w:t>
      </w:r>
      <w:r>
        <w:rPr>
          <w:rFonts w:hint="eastAsia" w:ascii="仿宋_GB2312" w:hAnsi="宋体" w:eastAsia="仿宋_GB2312"/>
          <w:sz w:val="32"/>
          <w:szCs w:val="32"/>
        </w:rPr>
        <w:t>村户厕改造一事一议财政奖补资金78.8万元；中央村级公益事业建设新九乡平谷村户厕改造一事一议财政奖补资金74.2万元；新九乡2019年年初预留用于2020年新九乡环境保护、粉尘治理等1.712633万元；大平台追减指标用于2020年新九乡环境卫生清扫、粉尘治理等19.897863万元；省级基层活动和农村公共运行服务运行经费21万元。</w:t>
      </w:r>
      <w:r>
        <w:rPr>
          <w:rFonts w:hint="eastAsia" w:ascii="仿宋_GB2312" w:eastAsia="仿宋_GB2312"/>
          <w:sz w:val="32"/>
          <w:szCs w:val="32"/>
        </w:rPr>
        <w:t>均按照项目绩效评价工作开展并完成项目绩效。</w:t>
      </w: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698"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根据川财基【2018】17号下达2019年基层组织活动和公共服务运行经费   根据盐财资预【2018】23号下达新九乡2018年公共运行经费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新九乡人民政府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14万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14万</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14万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14万</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jc w:val="left"/>
            </w:pPr>
            <w:r>
              <w:rPr>
                <w:rFonts w:hint="eastAsia" w:ascii="宋体" w:hAnsi="宋体" w:cs="宋体"/>
                <w:color w:val="000000"/>
                <w:sz w:val="24"/>
              </w:rPr>
              <w:t>2019年基层组织活动和公共服务运行经费，保障村社道路日常畅通</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2019年基层组织活动和公共服务运行经费，保障村社道路日常畅通</w:t>
            </w:r>
          </w:p>
        </w:tc>
      </w:tr>
      <w:tr>
        <w:tblPrEx>
          <w:tblCellMar>
            <w:top w:w="0" w:type="dxa"/>
            <w:left w:w="0" w:type="dxa"/>
            <w:bottom w:w="0" w:type="dxa"/>
            <w:right w:w="0" w:type="dxa"/>
          </w:tblCellMar>
        </w:tblPrEx>
        <w:trPr>
          <w:trHeight w:val="814"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75"/>
              </w:tabs>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保证7个村基层组织活动和公共服务运行正常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保证7个村基层组织活动和公共服务运行正常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保证7个村基层组织活动和公共服务运行正常</w:t>
            </w:r>
          </w:p>
        </w:tc>
      </w:tr>
      <w:tr>
        <w:tblPrEx>
          <w:tblCellMar>
            <w:top w:w="0" w:type="dxa"/>
            <w:left w:w="0" w:type="dxa"/>
            <w:bottom w:w="0" w:type="dxa"/>
            <w:right w:w="0" w:type="dxa"/>
          </w:tblCellMar>
        </w:tblPrEx>
        <w:trPr>
          <w:trHeight w:val="795"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14万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82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14万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90"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保证7个村基层组织活动和公共服务运行正常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bl>
    <w:p>
      <w:pPr>
        <w:spacing w:line="580" w:lineRule="exact"/>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698"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根据盐财资预〔2019〕40号下达2019年儿童之家建设专项经费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新九乡人民政府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7.5万元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7.5万元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7.5万元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7.5万元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jc w:val="center"/>
            </w:pPr>
            <w:r>
              <w:rPr>
                <w:rFonts w:hint="eastAsia" w:ascii="宋体" w:hAnsi="宋体" w:cs="宋体"/>
                <w:color w:val="000000"/>
                <w:sz w:val="24"/>
              </w:rPr>
              <w:t>2019年儿童之家建设专项经费</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2019年儿童之家建设专项经费</w:t>
            </w:r>
          </w:p>
        </w:tc>
      </w:tr>
      <w:tr>
        <w:tblPrEx>
          <w:tblCellMar>
            <w:top w:w="0" w:type="dxa"/>
            <w:left w:w="0" w:type="dxa"/>
            <w:bottom w:w="0" w:type="dxa"/>
            <w:right w:w="0" w:type="dxa"/>
          </w:tblCellMar>
        </w:tblPrEx>
        <w:trPr>
          <w:trHeight w:val="814"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2019年儿童之家建设专项经费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6个村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795"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sz w:val="24"/>
              </w:rPr>
              <w:t>7.5万元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82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儿童之家建设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sz w:val="24"/>
              </w:rPr>
              <w:t>7.5万元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90"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为全镇约2470名儿童免费提供了游戏、娱乐、教育的场所公共服务运行正常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698"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人大代表公用经费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新九乡人民政府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3.055万元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3.055万元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3.055万元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3.055万元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jc w:val="center"/>
            </w:pPr>
            <w:r>
              <w:rPr>
                <w:rFonts w:hint="eastAsia" w:ascii="宋体" w:hAnsi="宋体" w:cs="宋体"/>
                <w:color w:val="000000"/>
                <w:sz w:val="24"/>
              </w:rPr>
              <w:t>2019年全乡人大代表公用经费支出</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2019年全乡人大代表公用经费支出</w:t>
            </w:r>
          </w:p>
        </w:tc>
      </w:tr>
      <w:tr>
        <w:tblPrEx>
          <w:tblCellMar>
            <w:top w:w="0" w:type="dxa"/>
            <w:left w:w="0" w:type="dxa"/>
            <w:bottom w:w="0" w:type="dxa"/>
            <w:right w:w="0" w:type="dxa"/>
          </w:tblCellMar>
        </w:tblPrEx>
        <w:trPr>
          <w:trHeight w:val="814"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317"/>
              </w:tabs>
              <w:jc w:val="left"/>
              <w:textAlignment w:val="center"/>
              <w:rPr>
                <w:rFonts w:ascii="宋体" w:hAnsi="宋体" w:cs="宋体"/>
                <w:color w:val="000000"/>
                <w:sz w:val="24"/>
              </w:rPr>
            </w:pPr>
            <w:r>
              <w:rPr>
                <w:rFonts w:hint="eastAsia" w:ascii="宋体" w:hAnsi="宋体" w:cs="宋体"/>
                <w:color w:val="000000"/>
                <w:sz w:val="24"/>
              </w:rPr>
              <w:t>2019年全乡人大代表公用经费支出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47人</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ascii="宋体" w:hAnsi="宋体" w:cs="宋体"/>
                <w:color w:val="000000"/>
                <w:sz w:val="24"/>
              </w:rPr>
              <w:t>100%</w:t>
            </w:r>
          </w:p>
        </w:tc>
      </w:tr>
      <w:tr>
        <w:tblPrEx>
          <w:tblCellMar>
            <w:top w:w="0" w:type="dxa"/>
            <w:left w:w="0" w:type="dxa"/>
            <w:bottom w:w="0" w:type="dxa"/>
            <w:right w:w="0" w:type="dxa"/>
          </w:tblCellMar>
        </w:tblPrEx>
        <w:trPr>
          <w:trHeight w:val="795"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成本指标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3.055万元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每人650元标准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3.055万元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3.055万元</w:t>
            </w:r>
          </w:p>
        </w:tc>
      </w:tr>
      <w:tr>
        <w:tblPrEx>
          <w:tblCellMar>
            <w:top w:w="0" w:type="dxa"/>
            <w:left w:w="0" w:type="dxa"/>
            <w:bottom w:w="0" w:type="dxa"/>
            <w:right w:w="0" w:type="dxa"/>
          </w:tblCellMar>
        </w:tblPrEx>
        <w:trPr>
          <w:trHeight w:val="82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3.055万元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sz w:val="24"/>
              </w:rPr>
              <w:t>47人，</w:t>
            </w:r>
            <w:r>
              <w:rPr>
                <w:rFonts w:hint="eastAsia" w:ascii="宋体" w:hAnsi="宋体" w:cs="宋体"/>
                <w:color w:val="000000"/>
                <w:kern w:val="0"/>
                <w:sz w:val="24"/>
              </w:rPr>
              <w:t>每人650元标准</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ascii="宋体" w:hAnsi="宋体" w:cs="宋体"/>
                <w:color w:val="000000"/>
                <w:sz w:val="24"/>
              </w:rPr>
              <w:t>100%</w:t>
            </w:r>
          </w:p>
        </w:tc>
      </w:tr>
      <w:tr>
        <w:tblPrEx>
          <w:tblCellMar>
            <w:top w:w="0" w:type="dxa"/>
            <w:left w:w="0" w:type="dxa"/>
            <w:bottom w:w="0" w:type="dxa"/>
            <w:right w:w="0" w:type="dxa"/>
          </w:tblCellMar>
        </w:tblPrEx>
        <w:trPr>
          <w:trHeight w:val="90"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人大会议支出</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4"/>
              </w:rPr>
            </w:pPr>
            <w:r>
              <w:rPr>
                <w:rFonts w:hint="eastAsia" w:ascii="宋体" w:hAnsi="宋体" w:cs="宋体"/>
                <w:color w:val="000000"/>
                <w:sz w:val="24"/>
              </w:rPr>
              <w:t>3.055万元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ascii="宋体" w:hAnsi="宋体" w:cs="宋体"/>
                <w:color w:val="000000"/>
                <w:sz w:val="24"/>
              </w:rPr>
              <w:t>100%</w:t>
            </w:r>
          </w:p>
        </w:tc>
      </w:tr>
      <w:tr>
        <w:tblPrEx>
          <w:tblCellMar>
            <w:top w:w="0" w:type="dxa"/>
            <w:left w:w="0" w:type="dxa"/>
            <w:bottom w:w="0" w:type="dxa"/>
            <w:right w:w="0" w:type="dxa"/>
          </w:tblCellMar>
        </w:tblPrEx>
        <w:trPr>
          <w:trHeight w:val="745"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698"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乡村治理补助</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新九乡人民政府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2.4244万元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2.4244万元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2.4244万元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2.4244万元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jc w:val="center"/>
            </w:pPr>
            <w:r>
              <w:rPr>
                <w:rFonts w:hint="eastAsia" w:ascii="宋体" w:hAnsi="宋体" w:cs="宋体"/>
                <w:color w:val="000000"/>
                <w:sz w:val="24"/>
              </w:rPr>
              <w:t>7个村乡村治理补助</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7个村乡村治理补助</w:t>
            </w:r>
          </w:p>
        </w:tc>
      </w:tr>
      <w:tr>
        <w:tblPrEx>
          <w:tblCellMar>
            <w:top w:w="0" w:type="dxa"/>
            <w:left w:w="0" w:type="dxa"/>
            <w:bottom w:w="0" w:type="dxa"/>
            <w:right w:w="0" w:type="dxa"/>
          </w:tblCellMar>
        </w:tblPrEx>
        <w:trPr>
          <w:trHeight w:val="814"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317"/>
              </w:tabs>
              <w:jc w:val="left"/>
              <w:textAlignment w:val="center"/>
              <w:rPr>
                <w:rFonts w:ascii="宋体" w:hAnsi="宋体" w:cs="宋体"/>
                <w:color w:val="000000"/>
                <w:sz w:val="24"/>
              </w:rPr>
            </w:pPr>
            <w:r>
              <w:rPr>
                <w:rFonts w:hint="eastAsia" w:ascii="宋体" w:hAnsi="宋体" w:cs="宋体"/>
                <w:color w:val="000000"/>
                <w:sz w:val="24"/>
              </w:rPr>
              <w:t>维护村社区基本建设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7个村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保证7个村乡村治理补助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ascii="宋体" w:hAnsi="宋体" w:cs="宋体"/>
                <w:color w:val="000000"/>
                <w:sz w:val="24"/>
              </w:rPr>
              <w:t>100%</w:t>
            </w:r>
          </w:p>
        </w:tc>
      </w:tr>
      <w:tr>
        <w:tblPrEx>
          <w:tblCellMar>
            <w:top w:w="0" w:type="dxa"/>
            <w:left w:w="0" w:type="dxa"/>
            <w:bottom w:w="0" w:type="dxa"/>
            <w:right w:w="0" w:type="dxa"/>
          </w:tblCellMar>
        </w:tblPrEx>
        <w:trPr>
          <w:trHeight w:val="795"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7个村乡村治理补助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sz w:val="24"/>
              </w:rPr>
              <w:t>2.4244万元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82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7个村乡村治理补助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sz w:val="24"/>
              </w:rPr>
              <w:t>2.4244万元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90"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乡村治理补助</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widowControl/>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698"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五保户生活费及御寒费及丧葬费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929"/>
              </w:tabs>
              <w:jc w:val="left"/>
              <w:textAlignment w:val="center"/>
              <w:rPr>
                <w:rFonts w:ascii="宋体" w:hAnsi="宋体" w:cs="宋体"/>
                <w:color w:val="000000"/>
                <w:sz w:val="24"/>
              </w:rPr>
            </w:pPr>
            <w:r>
              <w:rPr>
                <w:rFonts w:hint="eastAsia" w:ascii="宋体" w:hAnsi="宋体" w:cs="宋体"/>
                <w:color w:val="000000"/>
                <w:sz w:val="24"/>
              </w:rPr>
              <w:tab/>
            </w:r>
            <w:r>
              <w:rPr>
                <w:rFonts w:hint="eastAsia" w:ascii="宋体" w:hAnsi="宋体" w:cs="宋体"/>
                <w:color w:val="000000"/>
                <w:sz w:val="24"/>
              </w:rPr>
              <w:t>新九乡人民政府</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17.898万元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17.898万元</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17.898万元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17.898万元</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tabs>
                <w:tab w:val="left" w:pos="1180"/>
              </w:tabs>
              <w:jc w:val="left"/>
            </w:pPr>
            <w:r>
              <w:rPr>
                <w:rFonts w:hint="eastAsia" w:ascii="宋体" w:hAnsi="宋体" w:cs="宋体"/>
                <w:color w:val="000000"/>
                <w:sz w:val="24"/>
              </w:rPr>
              <w:t>保障五保户生活水平，支付五保户死亡相关费用，保障五保户顺利过冬相关费用</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保障五保户生活水平，支付五保户死亡相关费用，保障五保户顺利过冬相关费用</w:t>
            </w:r>
          </w:p>
        </w:tc>
      </w:tr>
      <w:tr>
        <w:tblPrEx>
          <w:tblCellMar>
            <w:top w:w="0" w:type="dxa"/>
            <w:left w:w="0" w:type="dxa"/>
            <w:bottom w:w="0" w:type="dxa"/>
            <w:right w:w="0" w:type="dxa"/>
          </w:tblCellMar>
        </w:tblPrEx>
        <w:trPr>
          <w:trHeight w:val="814"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tabs>
                <w:tab w:val="left" w:pos="317"/>
              </w:tabs>
              <w:jc w:val="left"/>
              <w:textAlignment w:val="center"/>
              <w:rPr>
                <w:rFonts w:ascii="宋体" w:hAnsi="宋体" w:cs="宋体"/>
                <w:color w:val="000000"/>
                <w:sz w:val="24"/>
              </w:rPr>
            </w:pPr>
            <w:r>
              <w:rPr>
                <w:rFonts w:hint="eastAsia" w:ascii="宋体" w:hAnsi="宋体" w:cs="宋体"/>
                <w:color w:val="000000"/>
                <w:sz w:val="24"/>
              </w:rPr>
              <w:t>五保户生活费及御寒费及丧葬费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全乡</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795"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五保户生活费及御寒费及丧葬费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rPr>
              <w:t>保证五保户生活质量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82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五保户生活费及御寒费及丧葬费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4"/>
              </w:rPr>
            </w:pPr>
            <w:r>
              <w:rPr>
                <w:rFonts w:hint="eastAsia" w:ascii="宋体" w:hAnsi="宋体" w:cs="宋体"/>
                <w:color w:val="000000"/>
                <w:sz w:val="24"/>
              </w:rPr>
              <w:t>17.898万元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100%</w:t>
            </w:r>
          </w:p>
        </w:tc>
      </w:tr>
      <w:tr>
        <w:tblPrEx>
          <w:tblCellMar>
            <w:top w:w="0" w:type="dxa"/>
            <w:left w:w="0" w:type="dxa"/>
            <w:bottom w:w="0" w:type="dxa"/>
            <w:right w:w="0" w:type="dxa"/>
          </w:tblCellMar>
        </w:tblPrEx>
        <w:trPr>
          <w:trHeight w:val="90"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保证7个村基层组织活动和公共服务运行正常</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rPr>
                <w:rFonts w:ascii="宋体" w:hAnsi="宋体" w:cs="宋体"/>
                <w:color w:val="000000"/>
                <w:sz w:val="24"/>
              </w:rPr>
            </w:pPr>
            <w:r>
              <w:rPr>
                <w:rFonts w:hint="eastAsia" w:ascii="宋体" w:hAnsi="宋体" w:cs="宋体"/>
                <w:color w:val="000000"/>
                <w:kern w:val="0"/>
                <w:sz w:val="24"/>
              </w:rPr>
              <w:t>100%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r>
        <w:tblPrEx>
          <w:tblCellMar>
            <w:top w:w="0" w:type="dxa"/>
            <w:left w:w="0" w:type="dxa"/>
            <w:bottom w:w="0" w:type="dxa"/>
            <w:right w:w="0" w:type="dxa"/>
          </w:tblCellMar>
        </w:tblPrEx>
        <w:trPr>
          <w:trHeight w:val="745"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r>
              <w:rPr>
                <w:rFonts w:hint="eastAsia" w:ascii="宋体" w:hAnsi="宋体"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4"/>
              </w:rPr>
            </w:pPr>
          </w:p>
        </w:tc>
      </w:tr>
    </w:tbl>
    <w:p>
      <w:pPr>
        <w:spacing w:line="580" w:lineRule="exact"/>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本部门按要求对2019年部门整体支出绩效评价情况开展自评，《新九乡2019年部门整体支出绩效评价报告》见附件（附件1）。</w:t>
      </w:r>
    </w:p>
    <w:p>
      <w:pPr>
        <w:spacing w:line="580" w:lineRule="exact"/>
        <w:ind w:firstLine="640" w:firstLineChars="200"/>
        <w:rPr>
          <w:rFonts w:ascii="仿宋_GB2312" w:eastAsia="仿宋_GB2312"/>
          <w:b/>
          <w:color w:val="000000"/>
          <w:sz w:val="32"/>
          <w:szCs w:val="32"/>
        </w:rPr>
      </w:pPr>
      <w:r>
        <w:rPr>
          <w:rFonts w:hint="eastAsia" w:ascii="仿宋_GB2312" w:hAnsi="仿宋_GB2312" w:eastAsia="仿宋_GB2312" w:cs="仿宋_GB2312"/>
          <w:sz w:val="32"/>
          <w:szCs w:val="32"/>
        </w:rPr>
        <w:t>本部门自行组织对18项目、18项目开展了绩效评价，《新九乡项目2019年绩效评价报告》见附件（附件2）。（非涉密部门均需公开部门整体支出评价报告，部门自行组织的绩效评价情况根据部门实际公开，若未组织项目绩效评价，则只需说明部门整体支出绩效评价情况）</w:t>
      </w: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6"/>
        </w:numPr>
        <w:spacing w:line="600" w:lineRule="exact"/>
        <w:ind w:firstLine="660" w:firstLineChars="150"/>
        <w:jc w:val="center"/>
        <w:outlineLvl w:val="0"/>
        <w:rPr>
          <w:rStyle w:val="27"/>
          <w:rFonts w:ascii="黑体" w:hAnsi="黑体" w:eastAsia="黑体"/>
          <w:b w:val="0"/>
        </w:rPr>
      </w:pPr>
      <w:bookmarkStart w:id="89" w:name="_Toc52180096"/>
      <w:bookmarkStart w:id="90" w:name="_Toc15377225"/>
      <w:bookmarkStart w:id="91" w:name="_Toc15396613"/>
      <w:r>
        <w:rPr>
          <w:rFonts w:hint="eastAsia" w:ascii="黑体" w:hAnsi="黑体" w:eastAsia="黑体"/>
          <w:color w:val="000000"/>
          <w:sz w:val="44"/>
          <w:szCs w:val="44"/>
        </w:rPr>
        <w:t>名</w:t>
      </w:r>
      <w:r>
        <w:rPr>
          <w:rStyle w:val="27"/>
          <w:rFonts w:hint="eastAsia" w:ascii="黑体" w:hAnsi="黑体" w:eastAsia="黑体"/>
          <w:b w:val="0"/>
        </w:rPr>
        <w:t>词解释</w:t>
      </w:r>
      <w:bookmarkEnd w:id="89"/>
      <w:bookmarkEnd w:id="90"/>
      <w:bookmarkEnd w:id="91"/>
    </w:p>
    <w:p>
      <w:pPr>
        <w:spacing w:line="600" w:lineRule="exact"/>
        <w:jc w:val="left"/>
        <w:rPr>
          <w:rFonts w:ascii="宋体"/>
          <w:b/>
          <w:color w:val="000000"/>
          <w:sz w:val="44"/>
          <w:szCs w:val="44"/>
        </w:rPr>
      </w:pPr>
    </w:p>
    <w:p>
      <w:pPr>
        <w:pStyle w:val="17"/>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17"/>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w:t>
      </w:r>
    </w:p>
    <w:p>
      <w:pPr>
        <w:pStyle w:val="17"/>
        <w:spacing w:line="560" w:lineRule="exact"/>
        <w:ind w:firstLine="640" w:firstLineChars="200"/>
        <w:rPr>
          <w:rFonts w:hint="eastAsia"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pPr>
        <w:pStyle w:val="17"/>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w:t>
      </w:r>
      <w:r>
        <w:rPr>
          <w:rFonts w:ascii="仿宋_GB2312" w:eastAsia="仿宋_GB2312"/>
          <w:sz w:val="32"/>
          <w:szCs w:val="32"/>
        </w:rPr>
        <w:t xml:space="preserve"> </w:t>
      </w:r>
    </w:p>
    <w:p>
      <w:pPr>
        <w:pStyle w:val="17"/>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17"/>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17"/>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17"/>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hint="eastAsia"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人大事务</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2010101：指反映行政单位（包括实行公务员管理的事业单位）的基本支出。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2010104：指反映各级人大召开人民代表大会等专门会议的支出。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政府办公厅（室）及相关机构事务</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2010301：指反映行政单位（包括实行公务员管理的事业单位）的基本支出。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2010302：指反映行政单位（包括实行公务员管理的事业单位）未单独设置项级科目的其他项目支出。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财政事务</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2010602：指反映行政单位（包括实行公务员管理的事业单位）未单独设置项级科目的其他项目支出。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2010650：指反映事业单位的基本支出，不包括行政单位（包括实行公务员管理的事业单位）后勤服务中心、医务室等附属事业单位。</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民族事务</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2012304：指反映用于民族事务管理方面的专项支出。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党委办公厅（室）及相关机构事务</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2013101：指反映行政单位（包括实行公务员管理的事业单位）的基本支出。</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文化体育与传媒</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文化</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2070109：指反映群众文化方面的支出，包括基层文化馆（站）、群众艺术馆支出等。</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2070199：指反映除上述项目以外其他用于文化方面的支出。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新闻出版广播影视</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2070499：指反映除上述项目以外其他用于新闻出版广播影视方面的支出。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11.社会保障和就业</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人力资源和社会保障管理事务</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2080109：指反映社会保险经办机构开展业务工作的支出。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民政管理事务</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2080299：指反映民政部门接待来访、法制建设、政策宣传方面的支出，以及开展优抚安置、救灾减灾、社会救助、社会福利、婚姻登记、社会事务、信息化建设等专项业务的支出。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行政事业单位离退休</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2080504：指反映未实行归口管理的行政单位（包括实行公务员管理的事业单位）开支的离退休支出。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2080505：指反映机关事业单位实施养老保险制度由单位缴纳的基本养老保险费支出。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抚恤</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2080801：指反映按规定用于烈士和牺牲、病故人员家属的一次性和定期抚恤金以及丧葬补助费。</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自然灾害生活救助</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2081501：指反映中央预算对遭受特大自然灾害地区的地方政府在安排受灾群众吃、穿、住和抢救、转移、安置、治病等经费发生困难时给予的专项补助，以及为抗御特大自然灾害而设立的中央级救灾物资储备资金。</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特困人员供养</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2082102：指反映农村特困人员救助供养支出。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12．医疗卫生与计划生育</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计划生育事务</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2100799：指反映除上述项目以外其他用于计划生育管理事务方面的支出。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13. 城乡社区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城乡社区规划与管理</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2120201：指反映城乡社区、名胜风景区、防灾减灾、历史名城规划制定与管理等方面的支出。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城乡社区环境卫生</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2120501：指反映城乡社区道路清扫、垃圾清运与处理、公厕建设与维护、园林绿化等方面的支出。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14.农林水</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农业</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2130104：指反映用于农业事业单位基本支出，事业单位设施、系统运行与资产维护等方面的支出。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水利</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2130399：指反映除上述项目以外其他用于水利方面的支出。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农村综合改革</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2130705：指反映各级财政对村民委员会和村党支部的补助支出，以及支持建立县级基本财力保障机制安排的村级组织运转奖补资金。</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15.结余分配：指事业单位按规定提取的职工福利基金、事业基金和缴纳的所得税，以及建设单位按规定应交回的基本建设竣工项目结余资金。</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16.年末结转和结余：指本年度或以前年度预算安排、因客观条件发生变化无法按原计划实施，需延迟到以后年度按有关规定继续使用的资金。</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17.基本支出：指为保障机构正常运转、完成日常工作任务而发生的人员支出和公用支出。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 xml:space="preserve">18.项目支出：指在基本支出之外为完成特定行政任务和事业发展目标所发生的支出。 </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19.经营支出：指事业单位在专业业务活动及其辅助活动之外开展非独立核算经营活动发生的支出。</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20.“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ind w:firstLine="640" w:firstLineChars="200"/>
        <w:rPr>
          <w:rFonts w:ascii="仿宋" w:hAnsi="仿宋" w:eastAsia="仿宋"/>
          <w:b/>
          <w:color w:val="000000"/>
          <w:sz w:val="32"/>
          <w:szCs w:val="32"/>
        </w:rPr>
      </w:pPr>
      <w:r>
        <w:rPr>
          <w:rFonts w:hint="eastAsia" w:ascii="仿宋_GB2312" w:eastAsia="仿宋_GB2312"/>
          <w:color w:val="000000"/>
          <w:sz w:val="32"/>
          <w:szCs w:val="32"/>
        </w:rPr>
        <w:t>21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3" w:firstLineChars="200"/>
        <w:rPr>
          <w:rFonts w:ascii="仿宋" w:hAnsi="仿宋" w:eastAsia="仿宋"/>
          <w:b/>
          <w:color w:val="000000"/>
          <w:sz w:val="32"/>
          <w:szCs w:val="32"/>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201</w:t>
      </w:r>
      <w:r>
        <w:rPr>
          <w:rFonts w:hint="eastAsia" w:ascii="仿宋" w:hAnsi="仿宋" w:eastAsia="仿宋"/>
          <w:b/>
          <w:color w:val="000000"/>
          <w:sz w:val="32"/>
          <w:szCs w:val="32"/>
        </w:rPr>
        <w:t>9年政府收支分类科目》增减内容。）</w:t>
      </w:r>
    </w:p>
    <w:p>
      <w:pPr>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2</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3</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4</w:t>
      </w:r>
      <w:r>
        <w:rPr>
          <w:rFonts w:ascii="仿宋_GB2312" w:eastAsia="仿宋_GB2312"/>
          <w:color w:val="000000"/>
          <w:sz w:val="32"/>
          <w:szCs w:val="32"/>
        </w:rPr>
        <w:t>.</w:t>
      </w:r>
      <w:r>
        <w:rPr>
          <w:rFonts w:hint="eastAsia" w:ascii="仿宋_GB2312" w:eastAsia="仿宋_GB2312"/>
          <w:color w:val="000000"/>
          <w:sz w:val="32"/>
          <w:szCs w:val="32"/>
        </w:rPr>
        <w:t>经营支出：指事业单位在专业业务活动及其辅助活动之外开展非独立核算经营活动发生的支出。</w:t>
      </w:r>
    </w:p>
    <w:p>
      <w:pPr>
        <w:ind w:firstLine="643"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spacing w:line="600" w:lineRule="exact"/>
        <w:jc w:val="center"/>
        <w:outlineLvl w:val="0"/>
        <w:rPr>
          <w:rStyle w:val="27"/>
          <w:rFonts w:ascii="黑体" w:hAnsi="黑体" w:eastAsia="黑体"/>
          <w:b w:val="0"/>
        </w:rPr>
      </w:pPr>
      <w:bookmarkStart w:id="92" w:name="_Toc15377226"/>
      <w:r>
        <w:rPr>
          <w:rFonts w:ascii="宋体"/>
          <w:b/>
          <w:color w:val="000000"/>
          <w:sz w:val="44"/>
          <w:szCs w:val="44"/>
        </w:rPr>
        <w:br w:type="page"/>
      </w:r>
      <w:bookmarkStart w:id="93" w:name="_Toc15396614"/>
      <w:bookmarkStart w:id="94" w:name="_Toc52180097"/>
      <w:r>
        <w:rPr>
          <w:rFonts w:hint="eastAsia" w:ascii="黑体" w:hAnsi="黑体" w:eastAsia="黑体"/>
          <w:color w:val="000000"/>
          <w:sz w:val="44"/>
          <w:szCs w:val="44"/>
        </w:rPr>
        <w:t>第</w:t>
      </w:r>
      <w:r>
        <w:rPr>
          <w:rStyle w:val="27"/>
          <w:rFonts w:hint="eastAsia" w:ascii="黑体" w:hAnsi="黑体" w:eastAsia="黑体"/>
          <w:b w:val="0"/>
        </w:rPr>
        <w:t>四部分 附件</w:t>
      </w:r>
      <w:bookmarkEnd w:id="93"/>
      <w:bookmarkEnd w:id="94"/>
    </w:p>
    <w:p>
      <w:pPr>
        <w:spacing w:line="600" w:lineRule="exact"/>
        <w:jc w:val="left"/>
        <w:outlineLvl w:val="0"/>
        <w:rPr>
          <w:rFonts w:ascii="方正小标宋简体" w:hAnsi="方正小标宋简体" w:eastAsia="方正小标宋简体" w:cs="方正小标宋简体"/>
          <w:sz w:val="32"/>
          <w:szCs w:val="32"/>
        </w:rPr>
      </w:pPr>
      <w:bookmarkStart w:id="95" w:name="_Toc52180098"/>
      <w:r>
        <w:rPr>
          <w:rFonts w:hint="eastAsia" w:ascii="黑体" w:hAnsi="黑体" w:eastAsia="黑体" w:cs="黑体"/>
          <w:sz w:val="32"/>
          <w:szCs w:val="32"/>
        </w:rPr>
        <w:t>附件1</w:t>
      </w:r>
      <w:bookmarkEnd w:id="95"/>
    </w:p>
    <w:p>
      <w:pPr>
        <w:spacing w:line="580" w:lineRule="exact"/>
        <w:jc w:val="center"/>
        <w:rPr>
          <w:rFonts w:ascii="方正小标宋简体" w:hAnsi="方正小标宋简体" w:eastAsia="方正小标宋简体" w:cs="方正小标宋简体"/>
          <w:sz w:val="44"/>
          <w:szCs w:val="44"/>
        </w:rPr>
      </w:pPr>
    </w:p>
    <w:p>
      <w:pPr>
        <w:spacing w:line="600" w:lineRule="exact"/>
        <w:jc w:val="center"/>
        <w:rPr>
          <w:rFonts w:ascii="宋体" w:hAnsi="宋体"/>
          <w:sz w:val="32"/>
          <w:szCs w:val="32"/>
        </w:rPr>
      </w:pPr>
      <w:r>
        <w:rPr>
          <w:rFonts w:hint="eastAsia" w:ascii="方正小标宋简体" w:hAnsi="宋体" w:eastAsia="方正小标宋简体" w:cs="方正小标宋简体"/>
          <w:color w:val="000000"/>
          <w:kern w:val="0"/>
          <w:sz w:val="40"/>
          <w:szCs w:val="40"/>
        </w:rPr>
        <w:t>新九乡人民政府</w:t>
      </w:r>
      <w:r>
        <w:rPr>
          <w:rFonts w:ascii="方正小标宋简体" w:hAnsi="宋体" w:eastAsia="方正小标宋简体" w:cs="方正小标宋简体"/>
          <w:color w:val="000000"/>
          <w:kern w:val="0"/>
          <w:sz w:val="40"/>
          <w:szCs w:val="40"/>
        </w:rPr>
        <w:t>2019</w:t>
      </w:r>
      <w:r>
        <w:rPr>
          <w:rFonts w:hint="eastAsia" w:ascii="方正小标宋简体" w:hAnsi="宋体" w:eastAsia="方正小标宋简体" w:cs="方正小标宋简体"/>
          <w:color w:val="000000"/>
          <w:kern w:val="0"/>
          <w:sz w:val="40"/>
          <w:szCs w:val="40"/>
        </w:rPr>
        <w:t>年部门预算</w:t>
      </w:r>
      <w:r>
        <w:rPr>
          <w:rFonts w:hint="eastAsia" w:ascii="方正小标宋简体" w:hAnsi="宋体" w:eastAsia="方正小标宋简体" w:cs="方正小标宋简体"/>
          <w:color w:val="000000"/>
          <w:kern w:val="0"/>
          <w:sz w:val="40"/>
          <w:szCs w:val="40"/>
          <w:lang w:val="zh-CN"/>
        </w:rPr>
        <w:t>整体支出绩效自评报告</w:t>
      </w:r>
    </w:p>
    <w:p>
      <w:pPr>
        <w:spacing w:line="590" w:lineRule="exact"/>
        <w:ind w:firstLine="640" w:firstLineChars="200"/>
        <w:jc w:val="left"/>
        <w:rPr>
          <w:rFonts w:ascii="宋体" w:hAnsi="宋体"/>
          <w:sz w:val="32"/>
          <w:szCs w:val="32"/>
        </w:rPr>
      </w:pPr>
      <w:r>
        <w:rPr>
          <w:rFonts w:hint="eastAsia" w:ascii="宋体" w:hAnsi="宋体"/>
          <w:sz w:val="32"/>
          <w:szCs w:val="32"/>
        </w:rPr>
        <w:t>一、部门概况</w:t>
      </w:r>
    </w:p>
    <w:p>
      <w:pPr>
        <w:ind w:left="200"/>
        <w:jc w:val="left"/>
        <w:rPr>
          <w:rFonts w:ascii="方正仿宋_GBK" w:eastAsia="方正仿宋_GBK"/>
          <w:sz w:val="32"/>
          <w:szCs w:val="32"/>
        </w:rPr>
      </w:pPr>
      <w:r>
        <w:rPr>
          <w:rFonts w:hint="eastAsia" w:ascii="宋体" w:hAnsi="宋体"/>
          <w:sz w:val="32"/>
          <w:szCs w:val="32"/>
        </w:rPr>
        <w:t xml:space="preserve">   </w:t>
      </w:r>
      <w:r>
        <w:rPr>
          <w:rFonts w:hint="eastAsia" w:ascii="方正仿宋_GBK" w:eastAsia="方正仿宋_GBK"/>
          <w:sz w:val="32"/>
          <w:szCs w:val="32"/>
        </w:rPr>
        <w:t>新九乡全乡辖3个行政村,4个农村社区，47个村民小组，农业家庭户3112户，总人口11919人，幅员面积124.80平方公里，政府机关编制数23人，其中：行政编制21人，工勤人员2人，事业编制18人，2019年12月末在职实有人数38人，行政在职23人，事业在职15人，新九乡政府现有部门8个，农业服务中心、党政办、会计核算中心、宣文中心、社会事务办、综治办、交通管理站、武装部，乡财政所负责全乡乡镇财政财务管理工作，负责全乡预算编制管理工作，组织和管理乡镇财政收入和支出，编制执行全乡年度财政预算、总预算，负责监督全乡单位预算执行，编制财政决算、总决算等；负责管理和发放各类政策性补贴资金，建立新九乡惠农资金补助对象管理新机制，进一步完善财政补贴农民资金“一卡通”发放机制；负责对各类专项资金的监管，特别是对扶贫资金的管理，提高财政资金使用效益；负责全乡行政事业单位国有资产监督管理工作；填报行政事业单位内部控制制度报表及相关资料的收集与整理。</w:t>
      </w:r>
    </w:p>
    <w:p>
      <w:pPr>
        <w:ind w:left="200"/>
        <w:jc w:val="left"/>
        <w:rPr>
          <w:rFonts w:ascii="宋体" w:hAnsi="宋体"/>
          <w:sz w:val="32"/>
          <w:szCs w:val="32"/>
        </w:rPr>
      </w:pPr>
      <w:r>
        <w:rPr>
          <w:rFonts w:hint="eastAsia" w:ascii="宋体" w:hAnsi="宋体"/>
          <w:sz w:val="32"/>
          <w:szCs w:val="32"/>
        </w:rPr>
        <w:t>二、部门资金基本情况</w:t>
      </w:r>
    </w:p>
    <w:p>
      <w:pPr>
        <w:spacing w:line="590" w:lineRule="exact"/>
        <w:ind w:firstLine="643" w:firstLineChars="200"/>
        <w:jc w:val="left"/>
        <w:rPr>
          <w:rFonts w:ascii="宋体" w:hAnsi="宋体"/>
          <w:b/>
          <w:sz w:val="32"/>
          <w:szCs w:val="32"/>
        </w:rPr>
      </w:pPr>
      <w:r>
        <w:rPr>
          <w:rFonts w:hint="eastAsia" w:ascii="宋体" w:hAnsi="宋体"/>
          <w:b/>
          <w:sz w:val="32"/>
          <w:szCs w:val="32"/>
        </w:rPr>
        <w:t>（一）年度部门预算安排及支出情况</w:t>
      </w:r>
    </w:p>
    <w:p>
      <w:pPr>
        <w:spacing w:line="590" w:lineRule="exact"/>
        <w:ind w:firstLine="640" w:firstLineChars="200"/>
        <w:jc w:val="left"/>
        <w:rPr>
          <w:rFonts w:ascii="仿宋" w:hAnsi="仿宋" w:eastAsia="仿宋"/>
          <w:color w:val="FF0000"/>
          <w:sz w:val="32"/>
          <w:szCs w:val="32"/>
        </w:rPr>
      </w:pPr>
      <w:r>
        <w:rPr>
          <w:rFonts w:hint="eastAsia" w:ascii="仿宋" w:hAnsi="仿宋" w:eastAsia="仿宋"/>
          <w:sz w:val="32"/>
          <w:szCs w:val="32"/>
        </w:rPr>
        <w:t>新九乡2019年全年部门预算安排资金1305.96万元，上年结余资金127.08万元，总支出1203.97万元，2019年结余资金229.06万元。其中：一般公共服务支出515.3万元，文化旅游体育与传媒支出22.95万元，社会保障和就业支出94.87，卫生健康支出17.68万元，节能环保支出70.22万元，城乡社区支出21.48万元，农林水支出376.20万元，住房保障支出60.86万元，灾害防治及应急管理支出24.27万元，其他支出0.15万元</w:t>
      </w:r>
      <w:r>
        <w:rPr>
          <w:rFonts w:hint="eastAsia" w:ascii="仿宋" w:hAnsi="仿宋" w:eastAsia="仿宋"/>
          <w:color w:val="FF0000"/>
          <w:sz w:val="32"/>
          <w:szCs w:val="32"/>
        </w:rPr>
        <w:t>。</w:t>
      </w:r>
    </w:p>
    <w:p>
      <w:pPr>
        <w:spacing w:line="590" w:lineRule="exact"/>
        <w:ind w:firstLine="643" w:firstLineChars="200"/>
        <w:jc w:val="left"/>
        <w:rPr>
          <w:rFonts w:ascii="宋体" w:hAnsi="宋体"/>
          <w:b/>
          <w:sz w:val="32"/>
          <w:szCs w:val="32"/>
        </w:rPr>
      </w:pPr>
      <w:r>
        <w:rPr>
          <w:rFonts w:hint="eastAsia" w:ascii="宋体" w:hAnsi="宋体"/>
          <w:b/>
          <w:sz w:val="32"/>
          <w:szCs w:val="32"/>
        </w:rPr>
        <w:t>（二）年度专项资金安排及支出情况</w:t>
      </w:r>
    </w:p>
    <w:p>
      <w:pPr>
        <w:pStyle w:val="31"/>
        <w:autoSpaceDE w:val="0"/>
        <w:autoSpaceDN w:val="0"/>
        <w:adjustRightInd w:val="0"/>
        <w:spacing w:line="590" w:lineRule="exact"/>
        <w:ind w:left="160" w:leftChars="76" w:firstLine="640"/>
        <w:rPr>
          <w:rFonts w:hint="eastAsia" w:ascii="仿宋_GB2312" w:hAnsi="宋体" w:eastAsia="仿宋_GB2312"/>
          <w:sz w:val="32"/>
          <w:szCs w:val="32"/>
        </w:rPr>
      </w:pPr>
      <w:r>
        <w:rPr>
          <w:rFonts w:hint="eastAsia" w:ascii="仿宋_GB2312" w:hAnsi="宋体" w:eastAsia="仿宋_GB2312"/>
          <w:sz w:val="32"/>
          <w:szCs w:val="32"/>
        </w:rPr>
        <w:t>2019年全年专项资金预算安排524.506196万元，主要包括：</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sz w:val="32"/>
          <w:szCs w:val="32"/>
        </w:rPr>
        <w:t>人大会议费3.055万元，用于人大代表参观监狱警示教育活动费费，支出1.5920万元；</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sz w:val="32"/>
          <w:szCs w:val="32"/>
        </w:rPr>
        <w:t>村社办公经费25万元，支出25万元全部转到村级账户；</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村干部工资报酬及社保补助109.5084万元，年度调减0.945万元，支出108.5634万元全</w:t>
      </w:r>
      <w:r>
        <w:rPr>
          <w:rFonts w:hint="eastAsia" w:ascii="仿宋_GB2312" w:hAnsi="宋体" w:eastAsia="仿宋_GB2312"/>
          <w:sz w:val="32"/>
          <w:szCs w:val="32"/>
        </w:rPr>
        <w:t>部转到村级账户；</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农村五保户生活费及御寒费及丧葬费37.448万元，年度调减19.55万元，用于五保户生活费支出17.898万元；</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乡村治理补助经费2.4244万元，用于垃圾清理、清运2.4244万元。</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2019年大平台维护费0.24万元。支出0.24万元；</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2019年A++软件维护费1.3万元，年度调减1万元，支出0.3万元；</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盐财资建【2019】17号下达2019年乡镇安全生产监管专项资金25万元，已使用24.265088万元;</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盐财资行【2019】73号下达乡镇“人大代表之家”建设经费2.621万元,已使用2.621万元;</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盐财资预〔2019〕40号下达2019年儿童之家建设专项经费7.5万元,已使用7.5万元,全部转村级账户进行报账。</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盐财资投【2019】41号下达巴拉河流域违法建设项目现场清理和土地恢复专项资金（调整预算土地出让金收入）28.7950万元,年度调减0.0355万元，使用28.7595万元,用于巴拉河流域违法建设项目现场清理和土地恢复补助.</w:t>
      </w:r>
    </w:p>
    <w:p>
      <w:pPr>
        <w:pStyle w:val="31"/>
        <w:numPr>
          <w:ilvl w:val="0"/>
          <w:numId w:val="7"/>
        </w:numPr>
        <w:autoSpaceDE w:val="0"/>
        <w:autoSpaceDN w:val="0"/>
        <w:adjustRightInd w:val="0"/>
        <w:spacing w:line="590" w:lineRule="exact"/>
        <w:ind w:left="160" w:leftChars="76" w:firstLine="640"/>
        <w:rPr>
          <w:rFonts w:hint="eastAsia" w:ascii="仿宋_GB2312" w:hAnsi="宋体" w:eastAsia="仿宋_GB2312" w:cs="楷体_GB2312"/>
          <w:kern w:val="0"/>
          <w:sz w:val="32"/>
          <w:szCs w:val="32"/>
        </w:rPr>
      </w:pPr>
      <w:r>
        <w:rPr>
          <w:rFonts w:hint="eastAsia" w:ascii="仿宋_GB2312" w:hAnsi="宋体" w:eastAsia="仿宋_GB2312"/>
          <w:sz w:val="32"/>
          <w:szCs w:val="32"/>
        </w:rPr>
        <w:t>2019年基层组织活动和公共服务运行经费21万元主要用于以下项目：</w:t>
      </w:r>
    </w:p>
    <w:p>
      <w:pPr>
        <w:pStyle w:val="31"/>
        <w:numPr>
          <w:ilvl w:val="0"/>
          <w:numId w:val="8"/>
        </w:numPr>
        <w:autoSpaceDE w:val="0"/>
        <w:autoSpaceDN w:val="0"/>
        <w:adjustRightInd w:val="0"/>
        <w:spacing w:line="590" w:lineRule="exact"/>
        <w:ind w:left="580" w:leftChars="276" w:firstLine="0" w:firstLineChars="0"/>
        <w:rPr>
          <w:rFonts w:hint="eastAsia" w:ascii="仿宋_GB2312" w:hAnsi="宋体" w:eastAsia="仿宋_GB2312" w:cs="楷体_GB2312"/>
          <w:kern w:val="0"/>
          <w:sz w:val="32"/>
          <w:szCs w:val="32"/>
        </w:rPr>
      </w:pPr>
      <w:r>
        <w:rPr>
          <w:rFonts w:hint="eastAsia" w:ascii="仿宋_GB2312" w:hAnsi="宋体" w:eastAsia="仿宋_GB2312" w:cs="楷体_GB2312"/>
          <w:kern w:val="0"/>
          <w:sz w:val="32"/>
          <w:szCs w:val="32"/>
        </w:rPr>
        <w:t>平谷村2019年农村公共运行维护资金</w:t>
      </w:r>
      <w:r>
        <w:rPr>
          <w:rFonts w:hint="eastAsia" w:ascii="仿宋_GB2312" w:hAnsi="宋体" w:eastAsia="仿宋_GB2312" w:cs="仿宋_GB2312"/>
          <w:kern w:val="0"/>
          <w:sz w:val="32"/>
          <w:szCs w:val="32"/>
        </w:rPr>
        <w:t>2.91万</w:t>
      </w:r>
      <w:r>
        <w:rPr>
          <w:rFonts w:hint="eastAsia" w:ascii="仿宋_GB2312" w:hAnsi="宋体" w:eastAsia="仿宋_GB2312" w:cs="楷体_GB2312"/>
          <w:kern w:val="0"/>
          <w:sz w:val="32"/>
          <w:szCs w:val="32"/>
        </w:rPr>
        <w:t>元，资金已经分配到平谷村。</w:t>
      </w:r>
    </w:p>
    <w:p>
      <w:pPr>
        <w:pStyle w:val="31"/>
        <w:numPr>
          <w:ilvl w:val="0"/>
          <w:numId w:val="8"/>
        </w:numPr>
        <w:autoSpaceDE w:val="0"/>
        <w:autoSpaceDN w:val="0"/>
        <w:adjustRightInd w:val="0"/>
        <w:spacing w:line="590" w:lineRule="exact"/>
        <w:ind w:left="580" w:leftChars="276" w:firstLine="0" w:firstLineChars="0"/>
        <w:rPr>
          <w:rFonts w:hint="eastAsia" w:ascii="仿宋_GB2312" w:hAnsi="宋体" w:eastAsia="仿宋_GB2312" w:cs="楷体_GB2312"/>
          <w:kern w:val="0"/>
          <w:sz w:val="32"/>
          <w:szCs w:val="32"/>
        </w:rPr>
      </w:pPr>
      <w:r>
        <w:rPr>
          <w:rFonts w:hint="eastAsia" w:ascii="仿宋_GB2312" w:hAnsi="宋体" w:eastAsia="仿宋_GB2312" w:cs="仿宋_GB2312"/>
          <w:kern w:val="0"/>
          <w:sz w:val="32"/>
          <w:szCs w:val="32"/>
        </w:rPr>
        <w:t>猛粮村</w:t>
      </w:r>
      <w:r>
        <w:rPr>
          <w:rFonts w:hint="eastAsia" w:ascii="仿宋_GB2312" w:hAnsi="宋体" w:eastAsia="仿宋_GB2312" w:cs="楷体_GB2312"/>
          <w:kern w:val="0"/>
          <w:sz w:val="32"/>
          <w:szCs w:val="32"/>
        </w:rPr>
        <w:t>2019年农村公共运行维护资金</w:t>
      </w:r>
      <w:r>
        <w:rPr>
          <w:rFonts w:hint="eastAsia" w:ascii="仿宋_GB2312" w:hAnsi="宋体" w:eastAsia="仿宋_GB2312" w:cs="仿宋_GB2312"/>
          <w:kern w:val="0"/>
          <w:sz w:val="32"/>
          <w:szCs w:val="32"/>
        </w:rPr>
        <w:t>2.88万</w:t>
      </w:r>
      <w:r>
        <w:rPr>
          <w:rFonts w:hint="eastAsia" w:ascii="仿宋_GB2312" w:hAnsi="宋体" w:eastAsia="仿宋_GB2312" w:cs="楷体_GB2312"/>
          <w:kern w:val="0"/>
          <w:sz w:val="32"/>
          <w:szCs w:val="32"/>
        </w:rPr>
        <w:t>元，资金已经分配到猛粮村。</w:t>
      </w:r>
    </w:p>
    <w:p>
      <w:pPr>
        <w:pStyle w:val="31"/>
        <w:numPr>
          <w:ilvl w:val="0"/>
          <w:numId w:val="8"/>
        </w:numPr>
        <w:autoSpaceDE w:val="0"/>
        <w:autoSpaceDN w:val="0"/>
        <w:adjustRightInd w:val="0"/>
        <w:spacing w:line="590" w:lineRule="exact"/>
        <w:ind w:left="580" w:leftChars="276" w:firstLine="0" w:firstLineChars="0"/>
        <w:rPr>
          <w:rFonts w:hint="eastAsia" w:ascii="仿宋_GB2312" w:hAnsi="宋体" w:eastAsia="仿宋_GB2312" w:cs="仿宋_GB2312"/>
          <w:kern w:val="0"/>
          <w:sz w:val="32"/>
          <w:szCs w:val="32"/>
          <w:lang w:val="zh-CN"/>
        </w:rPr>
      </w:pPr>
      <w:r>
        <w:rPr>
          <w:rFonts w:hint="eastAsia" w:ascii="仿宋_GB2312" w:hAnsi="宋体" w:eastAsia="仿宋_GB2312" w:cs="仿宋_GB2312"/>
          <w:kern w:val="0"/>
          <w:sz w:val="32"/>
          <w:szCs w:val="32"/>
        </w:rPr>
        <w:t>柳树村</w:t>
      </w:r>
      <w:r>
        <w:rPr>
          <w:rFonts w:hint="eastAsia" w:ascii="仿宋_GB2312" w:hAnsi="宋体" w:eastAsia="仿宋_GB2312" w:cs="楷体_GB2312"/>
          <w:kern w:val="0"/>
          <w:sz w:val="32"/>
          <w:szCs w:val="32"/>
        </w:rPr>
        <w:t>2019年农村公共运行维护资金2.</w:t>
      </w:r>
      <w:r>
        <w:rPr>
          <w:rFonts w:hint="eastAsia" w:ascii="仿宋_GB2312" w:hAnsi="宋体" w:eastAsia="仿宋_GB2312" w:cs="仿宋_GB2312"/>
          <w:kern w:val="0"/>
          <w:sz w:val="32"/>
          <w:szCs w:val="32"/>
        </w:rPr>
        <w:t>82万</w:t>
      </w:r>
      <w:r>
        <w:rPr>
          <w:rFonts w:hint="eastAsia" w:ascii="仿宋_GB2312" w:hAnsi="宋体" w:eastAsia="仿宋_GB2312" w:cs="楷体_GB2312"/>
          <w:kern w:val="0"/>
          <w:sz w:val="32"/>
          <w:szCs w:val="32"/>
        </w:rPr>
        <w:t>元，资金已经分配到</w:t>
      </w:r>
      <w:r>
        <w:rPr>
          <w:rFonts w:hint="eastAsia" w:ascii="仿宋_GB2312" w:hAnsi="宋体" w:eastAsia="仿宋_GB2312" w:cs="仿宋_GB2312"/>
          <w:kern w:val="0"/>
          <w:sz w:val="32"/>
          <w:szCs w:val="32"/>
        </w:rPr>
        <w:t>柳树村</w:t>
      </w:r>
      <w:r>
        <w:rPr>
          <w:rFonts w:hint="eastAsia" w:ascii="仿宋_GB2312" w:hAnsi="宋体" w:eastAsia="仿宋_GB2312" w:cs="楷体_GB2312"/>
          <w:kern w:val="0"/>
          <w:sz w:val="32"/>
          <w:szCs w:val="32"/>
        </w:rPr>
        <w:t>。</w:t>
      </w:r>
    </w:p>
    <w:p>
      <w:pPr>
        <w:pStyle w:val="31"/>
        <w:autoSpaceDE w:val="0"/>
        <w:autoSpaceDN w:val="0"/>
        <w:adjustRightInd w:val="0"/>
        <w:spacing w:line="590" w:lineRule="exact"/>
        <w:ind w:left="580" w:firstLine="0" w:firstLineChars="0"/>
        <w:rPr>
          <w:rFonts w:hint="eastAsia" w:ascii="仿宋_GB2312" w:hAnsi="宋体" w:eastAsia="仿宋_GB2312" w:cs="仿宋_GB2312"/>
          <w:kern w:val="0"/>
          <w:sz w:val="32"/>
          <w:szCs w:val="32"/>
          <w:lang w:val="zh-CN"/>
        </w:rPr>
      </w:pPr>
      <w:r>
        <w:rPr>
          <w:rFonts w:hint="eastAsia" w:ascii="仿宋_GB2312" w:hAnsi="宋体" w:eastAsia="仿宋_GB2312" w:cs="仿宋_GB2312"/>
          <w:kern w:val="0"/>
          <w:sz w:val="32"/>
          <w:szCs w:val="32"/>
          <w:lang w:val="zh-CN"/>
        </w:rPr>
        <w:t>（4）新坝村2019年农村公共运行维护资金2.94万元，资金已经分配到新坝村。</w:t>
      </w:r>
    </w:p>
    <w:p>
      <w:pPr>
        <w:pStyle w:val="31"/>
        <w:autoSpaceDE w:val="0"/>
        <w:autoSpaceDN w:val="0"/>
        <w:adjustRightInd w:val="0"/>
        <w:spacing w:line="590" w:lineRule="exact"/>
        <w:ind w:left="580" w:leftChars="276" w:firstLine="0" w:firstLineChars="0"/>
        <w:rPr>
          <w:rFonts w:hint="eastAsia" w:ascii="仿宋_GB2312" w:hAnsi="宋体" w:eastAsia="仿宋_GB2312" w:cs="仿宋_GB2312"/>
          <w:kern w:val="0"/>
          <w:sz w:val="32"/>
          <w:szCs w:val="32"/>
          <w:lang w:val="zh-CN"/>
        </w:rPr>
      </w:pPr>
      <w:r>
        <w:rPr>
          <w:rFonts w:hint="eastAsia" w:ascii="仿宋_GB2312" w:hAnsi="宋体" w:eastAsia="仿宋_GB2312" w:cs="仿宋_GB2312"/>
          <w:kern w:val="0"/>
          <w:sz w:val="32"/>
          <w:szCs w:val="32"/>
          <w:lang w:val="zh-CN"/>
        </w:rPr>
        <w:t>（5）九场村2019年农村公共运行维护资金3.3万元，资金已经分配到九场村。</w:t>
      </w:r>
    </w:p>
    <w:p>
      <w:pPr>
        <w:pStyle w:val="31"/>
        <w:autoSpaceDE w:val="0"/>
        <w:autoSpaceDN w:val="0"/>
        <w:adjustRightInd w:val="0"/>
        <w:spacing w:line="590" w:lineRule="exact"/>
        <w:ind w:left="580" w:leftChars="276" w:firstLine="0" w:firstLineChars="0"/>
        <w:rPr>
          <w:rFonts w:hint="eastAsia" w:ascii="仿宋_GB2312" w:hAnsi="宋体" w:eastAsia="仿宋_GB2312" w:cs="仿宋_GB2312"/>
          <w:kern w:val="0"/>
          <w:sz w:val="32"/>
          <w:szCs w:val="32"/>
          <w:lang w:val="zh-CN"/>
        </w:rPr>
      </w:pPr>
      <w:r>
        <w:rPr>
          <w:rFonts w:hint="eastAsia" w:ascii="仿宋_GB2312" w:hAnsi="宋体" w:eastAsia="仿宋_GB2312" w:cs="仿宋_GB2312"/>
          <w:kern w:val="0"/>
          <w:sz w:val="32"/>
          <w:szCs w:val="32"/>
          <w:lang w:val="zh-CN"/>
        </w:rPr>
        <w:t>（6）炉库村2019年农村公共运行维护资金3.15万元，资金已经分配到炉库村。</w:t>
      </w:r>
    </w:p>
    <w:p>
      <w:pPr>
        <w:pStyle w:val="31"/>
        <w:autoSpaceDE w:val="0"/>
        <w:autoSpaceDN w:val="0"/>
        <w:adjustRightInd w:val="0"/>
        <w:spacing w:line="590" w:lineRule="exact"/>
        <w:ind w:left="580" w:leftChars="276" w:firstLine="0" w:firstLineChars="0"/>
        <w:rPr>
          <w:rFonts w:hint="eastAsia" w:ascii="仿宋_GB2312" w:hAnsi="宋体" w:eastAsia="仿宋_GB2312" w:cs="仿宋_GB2312"/>
          <w:kern w:val="0"/>
          <w:sz w:val="32"/>
          <w:szCs w:val="32"/>
          <w:lang w:val="zh-CN"/>
        </w:rPr>
      </w:pPr>
      <w:r>
        <w:rPr>
          <w:rFonts w:hint="eastAsia" w:ascii="仿宋_GB2312" w:hAnsi="宋体" w:eastAsia="仿宋_GB2312" w:cs="仿宋_GB2312"/>
          <w:kern w:val="0"/>
          <w:sz w:val="32"/>
          <w:szCs w:val="32"/>
          <w:lang w:val="zh-CN"/>
        </w:rPr>
        <w:t>（7）踏</w:t>
      </w:r>
      <w:r>
        <w:rPr>
          <w:rFonts w:hint="eastAsia" w:ascii="仿宋_GB2312" w:hAnsi="宋体" w:cs="仿宋_GB2312"/>
          <w:kern w:val="0"/>
          <w:sz w:val="32"/>
          <w:szCs w:val="32"/>
          <w:lang w:val="zh-CN"/>
        </w:rPr>
        <w:t>鲊</w:t>
      </w:r>
      <w:r>
        <w:rPr>
          <w:rFonts w:hint="eastAsia" w:ascii="仿宋_GB2312" w:hAnsi="宋体" w:eastAsia="仿宋_GB2312" w:cs="仿宋_GB2312"/>
          <w:kern w:val="0"/>
          <w:sz w:val="32"/>
          <w:szCs w:val="32"/>
          <w:lang w:val="zh-CN"/>
        </w:rPr>
        <w:t>村2019年农村公共运行维护资金3万元，资金已经分配到踏</w:t>
      </w:r>
      <w:r>
        <w:rPr>
          <w:rFonts w:hint="eastAsia" w:ascii="仿宋_GB2312" w:hAnsi="宋体" w:cs="仿宋_GB2312"/>
          <w:kern w:val="0"/>
          <w:sz w:val="32"/>
          <w:szCs w:val="32"/>
          <w:lang w:val="zh-CN"/>
        </w:rPr>
        <w:t>鲊</w:t>
      </w:r>
      <w:r>
        <w:rPr>
          <w:rFonts w:hint="eastAsia" w:ascii="仿宋_GB2312" w:hAnsi="宋体" w:eastAsia="仿宋_GB2312" w:cs="仿宋_GB2312"/>
          <w:kern w:val="0"/>
          <w:sz w:val="32"/>
          <w:szCs w:val="32"/>
          <w:lang w:val="zh-CN"/>
        </w:rPr>
        <w:t>村。</w:t>
      </w:r>
    </w:p>
    <w:p>
      <w:pPr>
        <w:pStyle w:val="31"/>
        <w:autoSpaceDE w:val="0"/>
        <w:autoSpaceDN w:val="0"/>
        <w:adjustRightInd w:val="0"/>
        <w:spacing w:line="590" w:lineRule="exact"/>
        <w:ind w:left="580" w:leftChars="276" w:firstLine="160" w:firstLineChars="50"/>
        <w:rPr>
          <w:rFonts w:hint="eastAsia" w:ascii="仿宋_GB2312" w:hAnsi="宋体" w:eastAsia="仿宋_GB2312"/>
          <w:sz w:val="32"/>
          <w:szCs w:val="32"/>
        </w:rPr>
      </w:pPr>
      <w:r>
        <w:rPr>
          <w:rFonts w:hint="eastAsia" w:ascii="仿宋_GB2312" w:hAnsi="宋体" w:eastAsia="仿宋_GB2312"/>
          <w:color w:val="FF0000"/>
          <w:sz w:val="32"/>
          <w:szCs w:val="32"/>
        </w:rPr>
        <w:t xml:space="preserve"> </w:t>
      </w:r>
      <w:r>
        <w:rPr>
          <w:rFonts w:hint="eastAsia" w:ascii="仿宋_GB2312" w:hAnsi="宋体" w:eastAsia="仿宋_GB2312"/>
          <w:sz w:val="32"/>
          <w:szCs w:val="32"/>
        </w:rPr>
        <w:t>13、使用上年结余资金85.071932万元，主要包括以下几个方面：</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（1）盐边财预【2017】20号下达2018年度年初预留用于粉尘治理1.1675万元；用于垃圾清扫清运支出1.1675万元；</w:t>
      </w:r>
    </w:p>
    <w:p>
      <w:pPr>
        <w:pStyle w:val="31"/>
        <w:autoSpaceDE w:val="0"/>
        <w:autoSpaceDN w:val="0"/>
        <w:adjustRightInd w:val="0"/>
        <w:spacing w:line="590" w:lineRule="exact"/>
        <w:ind w:left="580" w:leftChars="276" w:firstLine="0" w:firstLineChars="0"/>
        <w:rPr>
          <w:rFonts w:hint="eastAsia" w:ascii="仿宋_GB2312" w:hAnsi="宋体" w:eastAsia="仿宋_GB2312"/>
          <w:sz w:val="32"/>
          <w:szCs w:val="32"/>
        </w:rPr>
      </w:pPr>
      <w:r>
        <w:rPr>
          <w:rFonts w:hint="eastAsia" w:ascii="仿宋_GB2312" w:hAnsi="宋体" w:eastAsia="仿宋_GB2312"/>
          <w:sz w:val="32"/>
          <w:szCs w:val="32"/>
        </w:rPr>
        <w:t>（2）攀财资农【2018】11号下达2018年新九乡炉库村白沙社道建设工程一事一议项目4.35万元，支出4.35万元；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（3）攀财资农【2018】11号下达2018年市级村级公益事业建设一事一议财政奖补资金（市级补助资金）10万元；支出10万元；支出10万元；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（4）盐财资预【2018】23号下达新九乡2018年公共运行经费7万元；支出7万元；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（5）川财农【2017】206号下达2018年村级公益事业一事一议财政奖补资金4.84万元，支出4.84万元；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（6）新九财【2018】84号2018年结余资金用于环境保护，粉尘治理等方面3.0096万元；用于垃圾清扫清运支出3.0096万元；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（7）新九财【2017】43号下达退还乡机关综合楼后堡坎建设项目实施保证金0.0083万元，未使用，未完成报账；</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（8）盐边财预【2017】20号下达新九乡政府2018年总预备费资金根据人大批复用于环境卫生等基础设施建设8万元，用于垃圾清扫清运支出8万元；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（9）新九财【2018】73号2018年结余资金用于环境保护，粉尘治理等方面19.686532万元，用于垃圾清扫清运支出19.686532万元；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（10）退还盐边财预【2017】20号下达2018年度乡镇财政管理系统及金财网维护费0.01万元，未使用。</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(11)川财预【2016】111号下达2017年重点生态功能区转移支付资金(用于新九乡集中式饮用水水源地保护区标识标牌及一级保护区隔离防护设施建设）20万元,支出17.5945万元;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(12)根据盐财资预【2018】23号下达新九乡2018年公共运行经费7万元，已支出7万元。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14、盐财资预[2019]1号下新九乡2019年总预备费用于新九乡公路清扫8.1万元，已支付8.1万元。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15、盐财资预【2019】49号追加新九乡村务监督委员会主任基本报酬和离职社区干部补贴1.344万元，已退还调减1.344万元。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16、根据盐财资投【2019】60号下达新九乡第三次全国国土调查工作经费支出预算2万元，未支付。</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17、根据盐财资预【2019】58号下达2019年市级基层组织活动和公共服务运行补助资金7万元，已支付7万元。</w:t>
      </w:r>
    </w:p>
    <w:p>
      <w:pPr>
        <w:ind w:firstLine="480" w:firstLineChars="150"/>
        <w:jc w:val="left"/>
        <w:rPr>
          <w:rFonts w:hint="eastAsia" w:ascii="仿宋_GB2312" w:hAnsi="宋体" w:eastAsia="仿宋_GB2312"/>
          <w:sz w:val="32"/>
          <w:szCs w:val="32"/>
        </w:rPr>
      </w:pPr>
      <w:r>
        <w:rPr>
          <w:rFonts w:hint="eastAsia" w:ascii="仿宋_GB2312" w:hAnsi="宋体" w:eastAsia="仿宋_GB2312"/>
          <w:sz w:val="32"/>
          <w:szCs w:val="32"/>
        </w:rPr>
        <w:t xml:space="preserve"> 18、根据川财基【2018】17号下达2019年基层组织活动和公共服务运行经费7万元，已支付7万元。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19、据盐财资预[2019]1号下达新九乡2019年年初预留用于新九乡公路清扫5.380768万元，已支付5.380768万元。</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20、根据川财农【2019】90号下达2019年中央村级公益事业建设新九乡踏</w:t>
      </w:r>
      <w:r>
        <w:rPr>
          <w:rFonts w:hint="eastAsia" w:ascii="仿宋_GB2312" w:hAnsi="宋体"/>
          <w:sz w:val="32"/>
          <w:szCs w:val="32"/>
        </w:rPr>
        <w:t>鲊</w:t>
      </w:r>
      <w:r>
        <w:rPr>
          <w:rFonts w:hint="eastAsia" w:ascii="仿宋_GB2312" w:hAnsi="宋体" w:eastAsia="仿宋_GB2312"/>
          <w:sz w:val="32"/>
          <w:szCs w:val="32"/>
        </w:rPr>
        <w:t>村户厕改造一事一议财政奖补资金78.8万元，未支付。</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21、根据川财农【2019】90号下达2019年中央村级公益事业建设新九乡平谷村户厕改造一事一议财政奖补资金74.2万元，未支付。</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22、根据盐财资预[2019]1号下达新九乡2019年年初预留用于2020年新九乡环境保护、粉尘治理等1.712633万元，未支付。</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23、大平台追减指标用于2020年新九乡环境卫生清扫、粉尘治理等19.897863万元，未支付。</w:t>
      </w:r>
    </w:p>
    <w:p>
      <w:pPr>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24、根据盐财资预【2019】2号下达省级基层活动和农村公共运行服务运行经费21万元，已支付21万元。</w:t>
      </w:r>
    </w:p>
    <w:p>
      <w:pPr>
        <w:pStyle w:val="7"/>
        <w:spacing w:line="600" w:lineRule="exact"/>
        <w:ind w:firstLine="643" w:firstLineChars="200"/>
        <w:rPr>
          <w:rFonts w:ascii="Times New Roman" w:hAnsi="Times New Roman" w:eastAsia="楷体_GB2312"/>
          <w:sz w:val="32"/>
          <w:szCs w:val="32"/>
        </w:rPr>
      </w:pPr>
      <w:r>
        <w:rPr>
          <w:rFonts w:hint="eastAsia" w:hAnsi="宋体"/>
          <w:b/>
          <w:sz w:val="32"/>
          <w:szCs w:val="32"/>
        </w:rPr>
        <w:t>（三）</w:t>
      </w:r>
      <w:r>
        <w:rPr>
          <w:rFonts w:ascii="Times New Roman" w:hAnsi="Times New Roman" w:eastAsia="楷体_GB2312"/>
          <w:sz w:val="32"/>
          <w:szCs w:val="32"/>
        </w:rPr>
        <w:t>其他资金收支及结转结余使用情况</w:t>
      </w:r>
    </w:p>
    <w:p>
      <w:pPr>
        <w:spacing w:line="590" w:lineRule="exact"/>
        <w:ind w:firstLine="640" w:firstLineChars="200"/>
        <w:jc w:val="left"/>
        <w:rPr>
          <w:rFonts w:ascii="宋体" w:hAnsi="宋体"/>
          <w:sz w:val="32"/>
          <w:szCs w:val="32"/>
        </w:rPr>
      </w:pPr>
      <w:r>
        <w:rPr>
          <w:rFonts w:hint="eastAsia" w:ascii="仿宋_GB2312" w:hAnsi="仿宋_GB2312" w:eastAsia="仿宋_GB2312" w:cs="仿宋_GB2312"/>
          <w:color w:val="333333"/>
          <w:kern w:val="0"/>
          <w:sz w:val="32"/>
          <w:szCs w:val="32"/>
          <w:shd w:val="clear" w:color="auto" w:fill="FFFFFF"/>
        </w:rPr>
        <w:t>新九乡20</w:t>
      </w:r>
      <w:r>
        <w:rPr>
          <w:rFonts w:hint="eastAsia" w:ascii="仿宋_GB2312" w:hAnsi="仿宋_GB2312" w:eastAsia="仿宋_GB2312" w:cs="仿宋_GB2312"/>
          <w:color w:val="333333"/>
          <w:sz w:val="32"/>
          <w:szCs w:val="32"/>
          <w:shd w:val="clear" w:color="auto" w:fill="FFFFFF"/>
        </w:rPr>
        <w:t>19年无</w:t>
      </w:r>
      <w:r>
        <w:rPr>
          <w:rFonts w:ascii="仿宋_GB2312" w:hAnsi="仿宋_GB2312" w:eastAsia="仿宋_GB2312" w:cs="仿宋_GB2312"/>
          <w:color w:val="333333"/>
          <w:kern w:val="0"/>
          <w:sz w:val="32"/>
          <w:szCs w:val="32"/>
          <w:shd w:val="clear" w:color="auto" w:fill="FFFFFF"/>
        </w:rPr>
        <w:t>其他资金收支及结转结余</w:t>
      </w:r>
      <w:r>
        <w:rPr>
          <w:rFonts w:hint="eastAsia" w:ascii="仿宋_GB2312" w:hAnsi="仿宋_GB2312" w:eastAsia="仿宋_GB2312" w:cs="仿宋_GB2312"/>
          <w:color w:val="333333"/>
          <w:kern w:val="0"/>
          <w:sz w:val="32"/>
          <w:szCs w:val="32"/>
          <w:shd w:val="clear" w:color="auto" w:fill="FFFFFF"/>
        </w:rPr>
        <w:t>的</w:t>
      </w:r>
      <w:r>
        <w:rPr>
          <w:rFonts w:ascii="仿宋_GB2312" w:hAnsi="仿宋_GB2312" w:eastAsia="仿宋_GB2312" w:cs="仿宋_GB2312"/>
          <w:color w:val="333333"/>
          <w:kern w:val="0"/>
          <w:sz w:val="32"/>
          <w:szCs w:val="32"/>
          <w:shd w:val="clear" w:color="auto" w:fill="FFFFFF"/>
        </w:rPr>
        <w:t>情况</w:t>
      </w:r>
    </w:p>
    <w:p>
      <w:pPr>
        <w:numPr>
          <w:ilvl w:val="0"/>
          <w:numId w:val="9"/>
        </w:numPr>
        <w:spacing w:line="590" w:lineRule="exact"/>
        <w:ind w:firstLine="643" w:firstLineChars="200"/>
        <w:jc w:val="left"/>
        <w:rPr>
          <w:rFonts w:eastAsia="楷体_GB2312"/>
          <w:sz w:val="32"/>
          <w:szCs w:val="32"/>
        </w:rPr>
      </w:pPr>
      <w:r>
        <w:rPr>
          <w:rFonts w:hint="eastAsia" w:ascii="宋体" w:hAnsi="宋体"/>
          <w:b/>
          <w:sz w:val="32"/>
          <w:szCs w:val="32"/>
        </w:rPr>
        <w:t>其他需要说明的情况</w:t>
      </w:r>
    </w:p>
    <w:p>
      <w:pPr>
        <w:spacing w:line="560" w:lineRule="exact"/>
        <w:ind w:firstLine="640" w:firstLineChars="200"/>
        <w:jc w:val="left"/>
        <w:rPr>
          <w:rFonts w:ascii="宋体" w:hAnsi="宋体"/>
          <w:sz w:val="32"/>
          <w:szCs w:val="32"/>
        </w:rPr>
      </w:pPr>
      <w:r>
        <w:rPr>
          <w:rFonts w:hint="eastAsia" w:ascii="仿宋_GB2312" w:hAnsi="仿宋_GB2312" w:eastAsia="仿宋_GB2312" w:cs="仿宋_GB2312"/>
          <w:color w:val="333333"/>
          <w:sz w:val="32"/>
          <w:szCs w:val="32"/>
          <w:shd w:val="clear" w:color="auto" w:fill="FFFFFF"/>
        </w:rPr>
        <w:t>新九乡2019年实行政府财务会计制度，原财务软件A++系统由县财政局统一采购，故年初预算的2019年财务软件维护费无需我单位再支付；</w:t>
      </w:r>
    </w:p>
    <w:p>
      <w:pPr>
        <w:pStyle w:val="7"/>
        <w:numPr>
          <w:ilvl w:val="0"/>
          <w:numId w:val="10"/>
        </w:numPr>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绩效目标完成情况分析</w:t>
      </w:r>
    </w:p>
    <w:p>
      <w:pPr>
        <w:pStyle w:val="7"/>
        <w:widowControl w:val="0"/>
        <w:spacing w:line="560" w:lineRule="exact"/>
        <w:ind w:firstLine="640" w:firstLineChars="200"/>
        <w:rPr>
          <w:rFonts w:ascii="仿宋" w:hAnsi="仿宋" w:eastAsia="仿宋" w:cs="仿宋"/>
          <w:bCs/>
          <w:kern w:val="2"/>
          <w:sz w:val="32"/>
          <w:szCs w:val="32"/>
        </w:rPr>
      </w:pPr>
      <w:r>
        <w:rPr>
          <w:rFonts w:hint="eastAsia" w:ascii="Times New Roman" w:hAnsi="Times New Roman" w:eastAsia="黑体"/>
          <w:sz w:val="32"/>
          <w:szCs w:val="32"/>
        </w:rPr>
        <w:t xml:space="preserve"> </w:t>
      </w:r>
      <w:r>
        <w:rPr>
          <w:rFonts w:hint="eastAsia" w:ascii="仿宋" w:hAnsi="仿宋" w:eastAsia="仿宋" w:cs="仿宋"/>
          <w:bCs/>
          <w:kern w:val="2"/>
          <w:sz w:val="32"/>
          <w:szCs w:val="32"/>
        </w:rPr>
        <w:t>我乡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7"/>
        <w:widowControl w:val="0"/>
        <w:spacing w:line="560" w:lineRule="exact"/>
        <w:ind w:firstLine="640" w:firstLineChars="200"/>
        <w:rPr>
          <w:rFonts w:ascii="Times New Roman" w:hAnsi="Times New Roman" w:eastAsia="黑体"/>
          <w:sz w:val="32"/>
          <w:szCs w:val="32"/>
        </w:rPr>
      </w:pPr>
      <w:r>
        <w:rPr>
          <w:rFonts w:hint="eastAsia" w:ascii="仿宋" w:hAnsi="仿宋" w:eastAsia="仿宋" w:cs="仿宋"/>
          <w:bCs/>
          <w:kern w:val="2"/>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w:t>
      </w:r>
      <w:bookmarkStart w:id="124" w:name="_GoBack"/>
      <w:bookmarkEnd w:id="124"/>
      <w:r>
        <w:rPr>
          <w:rFonts w:hint="eastAsia" w:ascii="仿宋" w:hAnsi="仿宋" w:eastAsia="仿宋" w:cs="仿宋"/>
          <w:bCs/>
          <w:kern w:val="2"/>
          <w:sz w:val="32"/>
          <w:szCs w:val="32"/>
        </w:rPr>
        <w:t>、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乡经济、社会发展。</w:t>
      </w:r>
    </w:p>
    <w:p>
      <w:pPr>
        <w:pStyle w:val="7"/>
        <w:spacing w:line="600" w:lineRule="exact"/>
        <w:ind w:firstLine="640" w:firstLineChars="200"/>
        <w:rPr>
          <w:rFonts w:ascii="Times New Roman" w:hAnsi="Times New Roman" w:eastAsia="楷体"/>
          <w:sz w:val="32"/>
          <w:szCs w:val="32"/>
        </w:rPr>
      </w:pPr>
      <w:r>
        <w:rPr>
          <w:rFonts w:ascii="Times New Roman" w:hAnsi="Times New Roman" w:eastAsia="仿宋_GB2312"/>
          <w:sz w:val="32"/>
          <w:szCs w:val="32"/>
        </w:rPr>
        <w:t>根据绩效目标及指标值逐项分析。</w:t>
      </w:r>
    </w:p>
    <w:p>
      <w:pPr>
        <w:pStyle w:val="7"/>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w:t>
      </w:r>
      <w:r>
        <w:rPr>
          <w:rFonts w:hint="eastAsia" w:ascii="Times New Roman" w:hAnsi="Times New Roman" w:eastAsia="楷体_GB2312"/>
          <w:sz w:val="32"/>
          <w:szCs w:val="32"/>
        </w:rPr>
        <w:t>县</w:t>
      </w:r>
      <w:r>
        <w:rPr>
          <w:rFonts w:ascii="Times New Roman" w:hAnsi="Times New Roman" w:eastAsia="楷体_GB2312"/>
          <w:sz w:val="32"/>
          <w:szCs w:val="32"/>
        </w:rPr>
        <w:t>级财政资金绩效目标完成情况</w:t>
      </w:r>
    </w:p>
    <w:p>
      <w:pPr>
        <w:pStyle w:val="7"/>
        <w:spacing w:line="600" w:lineRule="exact"/>
        <w:ind w:firstLine="640" w:firstLineChars="200"/>
        <w:rPr>
          <w:rFonts w:ascii="Times New Roman" w:hAnsi="Times New Roman" w:eastAsia="楷体"/>
          <w:sz w:val="32"/>
          <w:szCs w:val="32"/>
        </w:rPr>
      </w:pPr>
      <w:r>
        <w:rPr>
          <w:rFonts w:ascii="Times New Roman" w:hAnsi="Times New Roman" w:eastAsia="仿宋_GB2312"/>
          <w:sz w:val="32"/>
          <w:szCs w:val="32"/>
        </w:rPr>
        <w:t>1.年初部门预算绩效目标完成情况</w:t>
      </w:r>
    </w:p>
    <w:p>
      <w:pPr>
        <w:pStyle w:val="7"/>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（1）产出指标完成情况分析。包括数量指标、质量指标、时效指标和成本指标。</w:t>
      </w:r>
    </w:p>
    <w:p>
      <w:pPr>
        <w:pStyle w:val="7"/>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产出指标完成情况分析。</w:t>
      </w:r>
      <w:r>
        <w:rPr>
          <w:rFonts w:hint="eastAsia" w:ascii="仿宋" w:hAnsi="仿宋" w:eastAsia="仿宋" w:cs="仿宋"/>
          <w:bCs/>
          <w:kern w:val="2"/>
          <w:sz w:val="32"/>
          <w:szCs w:val="32"/>
        </w:rPr>
        <w:t>我乡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pStyle w:val="7"/>
        <w:numPr>
          <w:ilvl w:val="0"/>
          <w:numId w:val="11"/>
        </w:num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效益指标完成情况分析。包括经济效益、社会效益、生态效益和可持续影响。</w:t>
      </w:r>
    </w:p>
    <w:p>
      <w:pPr>
        <w:pStyle w:val="7"/>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hint="eastAsia" w:eastAsia="仿宋_GB2312"/>
          <w:color w:val="000000"/>
          <w:sz w:val="32"/>
          <w:szCs w:val="32"/>
        </w:rPr>
        <w:t>我乡主要安排用于一般公共服务支出、社会保障和就业支出、农林水支出等。</w:t>
      </w:r>
    </w:p>
    <w:p>
      <w:pPr>
        <w:pStyle w:val="7"/>
        <w:numPr>
          <w:ilvl w:val="0"/>
          <w:numId w:val="11"/>
        </w:num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满意度指标完成情况分析。</w:t>
      </w:r>
    </w:p>
    <w:p>
      <w:pPr>
        <w:pStyle w:val="7"/>
        <w:widowControl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hint="eastAsia" w:ascii="Times New Roman" w:hAnsi="Times New Roman" w:eastAsia="仿宋_GB2312"/>
          <w:color w:val="000000"/>
          <w:sz w:val="32"/>
          <w:szCs w:val="32"/>
        </w:rPr>
        <w:t>通过财政绩效目标管理，基本达到满意。</w:t>
      </w:r>
    </w:p>
    <w:p>
      <w:pPr>
        <w:pStyle w:val="7"/>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2.专项（项目）资金绩效目标完成情况</w:t>
      </w:r>
    </w:p>
    <w:p>
      <w:pPr>
        <w:pStyle w:val="7"/>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（1）产出指标完成情况分析。包括数量指标、质量指标、时效指标和成本指标。</w:t>
      </w:r>
    </w:p>
    <w:p>
      <w:pPr>
        <w:spacing w:line="560" w:lineRule="exact"/>
        <w:ind w:firstLine="640" w:firstLineChars="200"/>
        <w:jc w:val="left"/>
        <w:rPr>
          <w:rFonts w:ascii="仿宋" w:hAnsi="仿宋" w:eastAsia="仿宋" w:cs="仿宋"/>
          <w:bCs/>
          <w:sz w:val="32"/>
          <w:szCs w:val="32"/>
        </w:rPr>
      </w:pPr>
      <w:r>
        <w:rPr>
          <w:rFonts w:eastAsia="仿宋_GB2312"/>
          <w:sz w:val="32"/>
          <w:szCs w:val="32"/>
        </w:rPr>
        <w:t>产出指标完成情况分析。</w:t>
      </w:r>
      <w:r>
        <w:rPr>
          <w:rFonts w:hint="eastAsia" w:ascii="仿宋" w:hAnsi="仿宋" w:eastAsia="仿宋" w:cs="仿宋"/>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7"/>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（2）效益指标完成情况分析。包括经济效益、社会效益、生态效益和可持续影响。</w:t>
      </w:r>
    </w:p>
    <w:p>
      <w:pPr>
        <w:pStyle w:val="7"/>
        <w:widowControl w:val="0"/>
        <w:spacing w:line="560" w:lineRule="exact"/>
        <w:rPr>
          <w:rFonts w:ascii="Times New Roman" w:hAnsi="Times New Roman" w:eastAsia="仿宋_GB2312"/>
          <w:sz w:val="32"/>
          <w:szCs w:val="32"/>
        </w:rPr>
      </w:pPr>
      <w:r>
        <w:rPr>
          <w:rFonts w:hint="eastAsia" w:ascii="Times New Roman" w:hAnsi="Times New Roman" w:eastAsia="仿宋_GB2312"/>
          <w:sz w:val="32"/>
          <w:szCs w:val="32"/>
        </w:rPr>
        <w:t xml:space="preserve">    我乡项目资金主要安排用于一般公共服务支出、社会保障和就业支出、卫生健康支出、节能环保支出、城乡社区支出、农林水支出、自然资源海洋气象等支出、灾害防治及应急管理支出等。</w:t>
      </w:r>
    </w:p>
    <w:p>
      <w:pPr>
        <w:pStyle w:val="7"/>
        <w:numPr>
          <w:ilvl w:val="0"/>
          <w:numId w:val="12"/>
        </w:num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满意度指标完成情况分析。</w:t>
      </w:r>
    </w:p>
    <w:p>
      <w:pPr>
        <w:pStyle w:val="7"/>
        <w:widowControl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通过财政绩效目标管理，基本达到满意。</w:t>
      </w:r>
    </w:p>
    <w:p>
      <w:pPr>
        <w:pStyle w:val="7"/>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（二）上级专项（项目）资金绩效目标完成情况</w:t>
      </w:r>
    </w:p>
    <w:p>
      <w:pPr>
        <w:pStyle w:val="7"/>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（1）产出指标完成情况分析。包括数量指标、质量指标、时效指标和成本指标。</w:t>
      </w:r>
    </w:p>
    <w:p>
      <w:pPr>
        <w:pStyle w:val="31"/>
        <w:autoSpaceDE w:val="0"/>
        <w:autoSpaceDN w:val="0"/>
        <w:adjustRightInd w:val="0"/>
        <w:spacing w:line="590" w:lineRule="exact"/>
        <w:ind w:left="160" w:leftChars="76" w:firstLine="640"/>
        <w:rPr>
          <w:rFonts w:ascii="仿宋_GB2312" w:hAnsi="宋体" w:eastAsia="仿宋_GB2312" w:cs="楷体_GB2312"/>
          <w:kern w:val="0"/>
          <w:sz w:val="32"/>
          <w:szCs w:val="32"/>
        </w:rPr>
      </w:pPr>
      <w:r>
        <w:rPr>
          <w:rFonts w:hint="eastAsia" w:ascii="仿宋_GB2312" w:hAnsi="宋体" w:eastAsia="仿宋_GB2312"/>
          <w:sz w:val="32"/>
          <w:szCs w:val="32"/>
        </w:rPr>
        <w:t>人大会议费3.055万元，村社办公经费25万元，支出25万元全部转到村级账户；</w:t>
      </w:r>
      <w:r>
        <w:rPr>
          <w:rFonts w:hint="eastAsia" w:ascii="仿宋_GB2312" w:hAnsi="宋体" w:eastAsia="仿宋_GB2312" w:cs="楷体_GB2312"/>
          <w:kern w:val="0"/>
          <w:sz w:val="32"/>
          <w:szCs w:val="32"/>
        </w:rPr>
        <w:t>村干部工资报酬及社保补助109.5084万元</w:t>
      </w:r>
      <w:r>
        <w:rPr>
          <w:rFonts w:hint="eastAsia" w:ascii="仿宋_GB2312" w:hAnsi="宋体" w:eastAsia="仿宋_GB2312"/>
          <w:sz w:val="32"/>
          <w:szCs w:val="32"/>
        </w:rPr>
        <w:t>；</w:t>
      </w:r>
      <w:r>
        <w:rPr>
          <w:rFonts w:hint="eastAsia" w:ascii="仿宋_GB2312" w:hAnsi="宋体" w:eastAsia="仿宋_GB2312" w:cs="楷体_GB2312"/>
          <w:kern w:val="0"/>
          <w:sz w:val="32"/>
          <w:szCs w:val="32"/>
        </w:rPr>
        <w:t>农村五保户生活费及御寒费及丧葬费37.448万元；乡村治理补助经费2.4244万元；2019年大平台维护费0.24万元；2019年A++软件维护费1.3万元；</w:t>
      </w:r>
    </w:p>
    <w:p>
      <w:pPr>
        <w:jc w:val="left"/>
        <w:rPr>
          <w:rFonts w:eastAsia="仿宋_GB2312"/>
          <w:sz w:val="32"/>
          <w:szCs w:val="32"/>
        </w:rPr>
      </w:pPr>
      <w:r>
        <w:rPr>
          <w:rFonts w:hint="eastAsia" w:ascii="仿宋_GB2312" w:hAnsi="宋体" w:eastAsia="仿宋_GB2312" w:cs="楷体_GB2312"/>
          <w:kern w:val="0"/>
          <w:sz w:val="32"/>
          <w:szCs w:val="32"/>
        </w:rPr>
        <w:t>2019年乡镇安全生产监管专项资金25万元;乡镇“人大代表之家”建设经费2.621万元; 2019年儿童之家建设专项经费7.5万元；巴拉河流域违法建设项目现场清理和土地恢复专项资金（调整预算土地出让金收入）28.7950万元；</w:t>
      </w:r>
      <w:r>
        <w:rPr>
          <w:rFonts w:hint="eastAsia" w:ascii="仿宋_GB2312" w:hAnsi="宋体" w:eastAsia="仿宋_GB2312"/>
          <w:sz w:val="32"/>
          <w:szCs w:val="32"/>
        </w:rPr>
        <w:t>2019年基层组织活动和公共服务运行经费21万元； 2018年度年初预留用于粉尘治理1.1675万元；用于垃圾清扫清运支出1.1675万元； 2018年新九乡炉库村白沙社道建设工程一事一议项目4.35万元； 2018年市级村级公益事业建设一事一议财政奖补资金（市级补助资金）10万元；新九乡2018年公共运行经费7万元； 2018年村级公益事业一事一议财政奖补资金4.84万元； 2018年结余资金用于环境保护，粉尘治理等方面3.0096万元；退还乡机关综合楼后堡坎建设项目实施保证金0.0083万元；新九乡政府2018年总预备费资金根据人大批复用于环境卫生等基础设施建设8万元； 2018年结余资金用于环境保护，粉尘治理等方面19.686532万元；退还盐边财预【2017】20号下达2018年度乡镇财政管理系统及金财网维护费0.01万元； 2017年重点生态功能区转移支付资金(用于新九乡集中式饮用水水源地保护区标识标牌及一级保护区隔离防护设施建设）20万元;新九乡2018年公共运行经费7万元；新九乡2019年总预备费用于新九乡公路清扫8.1万元。退还追加新九乡村务监督委员会主任基本报酬和离职社区干部补贴1.344万元；新九乡第三次全国国土调查工作经费支出预算2万元； 2019年市级基层组织活动和公共服务运行补助资金7万元； 2019年基层组织活动和公共服务运行经费7万元；新九乡2019年年初预留用于新九乡公路清扫5.380768万元； 2019年中央村级公益事业建设新九乡踏</w:t>
      </w:r>
      <w:r>
        <w:rPr>
          <w:rFonts w:hint="eastAsia" w:ascii="仿宋_GB2312" w:hAnsi="宋体"/>
          <w:sz w:val="32"/>
          <w:szCs w:val="32"/>
        </w:rPr>
        <w:t>鲊</w:t>
      </w:r>
      <w:r>
        <w:rPr>
          <w:rFonts w:hint="eastAsia" w:ascii="仿宋_GB2312" w:hAnsi="宋体" w:eastAsia="仿宋_GB2312"/>
          <w:sz w:val="32"/>
          <w:szCs w:val="32"/>
        </w:rPr>
        <w:t>村户厕改造一事一议财政奖补资金78.8万元；中央村级公益事业建设新九乡平谷村户厕改造一事一议财政奖补资金74.2万元；新九乡2019年年初预留用于2020年新九乡环境保护、粉尘治理等1.712633万元；大平台追减指标用于2020年新九乡环境卫生清扫、粉尘治理等19.897863万元；省级基层活动和农村公共运行服务运行经费21万元。</w:t>
      </w:r>
      <w:r>
        <w:rPr>
          <w:rFonts w:hint="eastAsia" w:ascii="仿宋_GB2312" w:eastAsia="仿宋_GB2312"/>
          <w:sz w:val="32"/>
          <w:szCs w:val="32"/>
        </w:rPr>
        <w:t>均按照项目绩效评价工作开展并完成项目绩效工作。</w:t>
      </w:r>
    </w:p>
    <w:p>
      <w:pPr>
        <w:pStyle w:val="7"/>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（2）效益指标完成情况分析。包括经济效益、社会效益、生态效益和可持续影响。</w:t>
      </w:r>
    </w:p>
    <w:p>
      <w:pPr>
        <w:pStyle w:val="7"/>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我乡项目资金主要安排用于一般公共服务支出、社会保障和就业支出、农林水支出。</w:t>
      </w:r>
    </w:p>
    <w:p>
      <w:pPr>
        <w:pStyle w:val="7"/>
        <w:numPr>
          <w:ilvl w:val="0"/>
          <w:numId w:val="13"/>
        </w:num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满意度指标完成情况分析。</w:t>
      </w:r>
    </w:p>
    <w:p>
      <w:pPr>
        <w:pStyle w:val="7"/>
        <w:widowControl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通过财政绩效目标管理，基本达到满意。</w:t>
      </w:r>
    </w:p>
    <w:p>
      <w:pPr>
        <w:pStyle w:val="7"/>
        <w:numPr>
          <w:ilvl w:val="0"/>
          <w:numId w:val="14"/>
        </w:numPr>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其他需要说明的情况（如无特别说明的情况则无需阐述）</w:t>
      </w:r>
    </w:p>
    <w:p>
      <w:pPr>
        <w:pStyle w:val="7"/>
        <w:spacing w:line="600" w:lineRule="exact"/>
        <w:rPr>
          <w:rFonts w:ascii="Times New Roman" w:hAnsi="Times New Roman" w:eastAsia="楷体_GB2312"/>
          <w:sz w:val="32"/>
          <w:szCs w:val="32"/>
        </w:rPr>
      </w:pPr>
      <w:r>
        <w:rPr>
          <w:rFonts w:hint="eastAsia" w:ascii="Times New Roman" w:hAnsi="Times New Roman" w:eastAsia="楷体_GB2312"/>
          <w:sz w:val="32"/>
          <w:szCs w:val="32"/>
        </w:rPr>
        <w:t xml:space="preserve">     无其他说明</w:t>
      </w:r>
    </w:p>
    <w:p>
      <w:pPr>
        <w:pStyle w:val="7"/>
        <w:numPr>
          <w:ilvl w:val="0"/>
          <w:numId w:val="14"/>
        </w:numPr>
        <w:spacing w:line="60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自评结论</w:t>
      </w:r>
    </w:p>
    <w:p>
      <w:pPr>
        <w:pStyle w:val="7"/>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 xml:space="preserve"> </w:t>
      </w:r>
      <w:r>
        <w:rPr>
          <w:rFonts w:hint="eastAsia" w:ascii="仿宋" w:hAnsi="仿宋" w:eastAsia="仿宋" w:cs="仿宋"/>
          <w:bCs/>
          <w:kern w:val="2"/>
          <w:sz w:val="32"/>
          <w:szCs w:val="32"/>
        </w:rPr>
        <w:t>我乡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pStyle w:val="7"/>
        <w:spacing w:line="600" w:lineRule="exact"/>
        <w:ind w:firstLine="640" w:firstLineChars="200"/>
        <w:rPr>
          <w:rFonts w:ascii="Times New Roman" w:hAnsi="Times New Roman" w:eastAsia="黑体"/>
          <w:sz w:val="32"/>
          <w:szCs w:val="32"/>
        </w:rPr>
      </w:pPr>
      <w:r>
        <w:rPr>
          <w:rFonts w:ascii="Times New Roman" w:hAnsi="Times New Roman" w:eastAsia="黑体"/>
          <w:sz w:val="32"/>
          <w:szCs w:val="32"/>
        </w:rPr>
        <w:t>四、偏离绩效目标的原因和下一步改进措施</w:t>
      </w:r>
    </w:p>
    <w:p>
      <w:pPr>
        <w:pStyle w:val="7"/>
        <w:spacing w:line="560" w:lineRule="exact"/>
        <w:ind w:firstLine="640" w:firstLineChars="200"/>
        <w:rPr>
          <w:rFonts w:ascii="仿宋" w:hAnsi="仿宋" w:eastAsia="仿宋" w:cs="仿宋"/>
          <w:bCs/>
          <w:kern w:val="2"/>
          <w:sz w:val="32"/>
          <w:szCs w:val="32"/>
        </w:rPr>
      </w:pPr>
      <w:r>
        <w:rPr>
          <w:rFonts w:hint="eastAsia" w:ascii="仿宋" w:hAnsi="仿宋" w:eastAsia="仿宋" w:cs="仿宋"/>
          <w:bCs/>
          <w:kern w:val="2"/>
          <w:sz w:val="32"/>
          <w:szCs w:val="32"/>
        </w:rPr>
        <w:t>（一）预算编制和预算管理还需进一步细化和加强，严禁超预算和无预算安排支出，严格开支范围和标准，严格审核各项经费的支出，提高资金使用效率。</w:t>
      </w:r>
    </w:p>
    <w:p>
      <w:pPr>
        <w:pStyle w:val="7"/>
        <w:spacing w:line="600" w:lineRule="exact"/>
        <w:rPr>
          <w:rFonts w:ascii="Times New Roman" w:hAnsi="Times New Roman" w:eastAsia="黑体"/>
          <w:sz w:val="32"/>
          <w:szCs w:val="32"/>
        </w:rPr>
      </w:pPr>
      <w:r>
        <w:rPr>
          <w:rFonts w:hint="eastAsia" w:ascii="仿宋" w:hAnsi="仿宋" w:eastAsia="仿宋" w:cs="仿宋"/>
          <w:bCs/>
          <w:kern w:val="2"/>
          <w:sz w:val="32"/>
          <w:szCs w:val="32"/>
        </w:rPr>
        <w:t xml:space="preserve">   （二）严格控制“三公”经费，认真贯彻落实中央八项规定和省、市十项规定，严格“三公”经费支出的审核和审批，合理压缩“三公”经费支出。合理、节俭、高效地利用资金，保证机关各项工作顺利有序开展。</w:t>
      </w:r>
    </w:p>
    <w:p>
      <w:pPr>
        <w:spacing w:line="560" w:lineRule="exact"/>
        <w:ind w:firstLine="640" w:firstLineChars="200"/>
        <w:rPr>
          <w:rFonts w:ascii="仿宋_GB2312" w:eastAsia="仿宋_GB2312"/>
          <w:sz w:val="32"/>
          <w:szCs w:val="32"/>
        </w:rPr>
      </w:pPr>
      <w:r>
        <w:rPr>
          <w:rFonts w:eastAsia="黑体"/>
          <w:sz w:val="32"/>
          <w:szCs w:val="32"/>
        </w:rPr>
        <w:t>五、绩效自评结果拟应用和公开公示情况</w:t>
      </w:r>
    </w:p>
    <w:p>
      <w:pPr>
        <w:spacing w:line="560" w:lineRule="exact"/>
        <w:ind w:firstLine="640" w:firstLineChars="200"/>
        <w:rPr>
          <w:rFonts w:ascii="仿宋" w:hAnsi="仿宋" w:eastAsia="仿宋" w:cs="仿宋"/>
          <w:color w:val="000000"/>
          <w:kern w:val="0"/>
          <w:sz w:val="32"/>
          <w:szCs w:val="32"/>
        </w:rPr>
      </w:pPr>
      <w:r>
        <w:rPr>
          <w:rFonts w:hint="eastAsia" w:ascii="宋体" w:hAnsi="宋体"/>
          <w:sz w:val="32"/>
          <w:szCs w:val="32"/>
        </w:rPr>
        <w:t xml:space="preserve">      </w:t>
      </w:r>
      <w:r>
        <w:rPr>
          <w:rFonts w:hint="eastAsia" w:ascii="仿宋" w:hAnsi="仿宋" w:eastAsia="仿宋" w:cs="仿宋"/>
          <w:b/>
          <w:bCs/>
          <w:color w:val="000000"/>
          <w:kern w:val="0"/>
          <w:sz w:val="32"/>
          <w:szCs w:val="32"/>
        </w:rPr>
        <w:t>（一）绩效自评结果拟应用</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1.深化绩效评价工作，不断提高部门预算整体绩效目标管理水平。</w:t>
      </w:r>
      <w:r>
        <w:rPr>
          <w:rFonts w:hint="eastAsia" w:ascii="仿宋" w:hAnsi="仿宋" w:eastAsia="仿宋" w:cs="仿宋"/>
          <w:bCs/>
          <w:sz w:val="32"/>
          <w:szCs w:val="32"/>
        </w:rPr>
        <w:t xml:space="preserve">按照《预算法》按时完成预决算编制。在执行过程中有计划进行资金申报、使用，完善资金管理及内部控制制度，确保资金安全，做到账款、账账、账实相符。 </w:t>
      </w:r>
      <w:r>
        <w:rPr>
          <w:rFonts w:hint="eastAsia" w:ascii="仿宋_GB2312" w:eastAsia="仿宋_GB2312"/>
          <w:color w:val="000000"/>
          <w:sz w:val="32"/>
          <w:szCs w:val="32"/>
        </w:rPr>
        <w:t xml:space="preserve">                </w:t>
      </w:r>
    </w:p>
    <w:p>
      <w:pPr>
        <w:spacing w:line="560" w:lineRule="exact"/>
        <w:ind w:firstLine="643" w:firstLineChars="200"/>
        <w:rPr>
          <w:rFonts w:ascii="仿宋" w:hAnsi="仿宋" w:eastAsia="仿宋" w:cs="仿宋"/>
          <w:color w:val="000000"/>
          <w:kern w:val="0"/>
          <w:sz w:val="32"/>
          <w:szCs w:val="32"/>
        </w:rPr>
      </w:pPr>
      <w:r>
        <w:rPr>
          <w:rFonts w:hint="eastAsia" w:ascii="仿宋" w:hAnsi="仿宋" w:eastAsia="仿宋" w:cs="仿宋"/>
          <w:b/>
          <w:bCs/>
          <w:color w:val="000000"/>
          <w:kern w:val="0"/>
          <w:sz w:val="32"/>
          <w:szCs w:val="32"/>
        </w:rPr>
        <w:t>2.通过绩效自评建立机关厉行节约制度、节能降耗。</w:t>
      </w:r>
      <w:r>
        <w:rPr>
          <w:rFonts w:hint="eastAsia" w:ascii="仿宋" w:hAnsi="仿宋" w:eastAsia="仿宋" w:cs="仿宋"/>
          <w:bCs/>
          <w:sz w:val="32"/>
          <w:szCs w:val="32"/>
        </w:rPr>
        <w:t>我乡认真执行中央八项规定，秉承开源节流的宗旨，严格管控三公经费支出，厉行节约。扎实抓好机关节能降耗，一是严格用电管理。倡导在自然光照较好的条件下不使用照明灯具，使用照明工具时保证人走灯灭，杜绝“长明灯”等能耗空放现象；尽可能地减少电脑、打印机、复印机等办公设备的待机时间，不用时关闭电源或置于节能状态；天气炎热使用空调时，尽量在人离开前20分钟关闭空调。二是严格用水管理。人走时及时关闭关紧水龙头，杜绝“长流水”和“跑、冒、滴、漏”现象。三是推行无纸化办公。尽量利用网络传输文件，在电脑上修改文稿；打印材料时，提倡双面用纸；公文传阅尽量通过协同办公平台进行。四是加强车辆燃油管理。建立机关车辆燃油使用、行驶里程管理台账，定期公示燃油使用情况。同时，倡导全体干部职工绿色出行。</w:t>
      </w:r>
    </w:p>
    <w:p>
      <w:pPr>
        <w:spacing w:line="590" w:lineRule="exact"/>
        <w:ind w:firstLine="643" w:firstLineChars="200"/>
        <w:jc w:val="left"/>
        <w:rPr>
          <w:rFonts w:ascii="方正小标宋简体" w:hAnsi="宋体" w:eastAsia="方正小标宋简体" w:cs="方正小标宋简体"/>
          <w:color w:val="000000"/>
          <w:kern w:val="0"/>
          <w:sz w:val="40"/>
          <w:szCs w:val="40"/>
          <w:lang w:val="zh-CN"/>
        </w:rPr>
      </w:pPr>
      <w:r>
        <w:rPr>
          <w:rFonts w:hint="eastAsia" w:ascii="仿宋" w:hAnsi="仿宋" w:eastAsia="仿宋" w:cs="仿宋"/>
          <w:b/>
          <w:bCs/>
          <w:color w:val="000000"/>
          <w:kern w:val="0"/>
          <w:sz w:val="32"/>
          <w:szCs w:val="32"/>
        </w:rPr>
        <w:t>3.强化单位财务管理工作，提高资金使用效率。</w:t>
      </w:r>
      <w:r>
        <w:rPr>
          <w:rFonts w:hint="eastAsia" w:ascii="仿宋" w:hAnsi="仿宋" w:eastAsia="仿宋" w:cs="仿宋"/>
          <w:color w:val="000000"/>
          <w:kern w:val="0"/>
          <w:sz w:val="32"/>
          <w:szCs w:val="32"/>
        </w:rPr>
        <w:t>按照年初预算项目，在资金的管理和使用上，严守法律底线、纪律底线，严格追授财务管理、财经纪律，会计核算真实完整，项目资金支出和原定用途、预算批复用途相符，提高财政资金使用效率。严格执行机关财务管理制度，及时进行会计核算，对项目资金、政府采购进行公开公示，接受群众监督。</w:t>
      </w:r>
    </w:p>
    <w:p>
      <w:pPr>
        <w:numPr>
          <w:ilvl w:val="0"/>
          <w:numId w:val="15"/>
        </w:numPr>
        <w:spacing w:line="560" w:lineRule="exact"/>
        <w:ind w:firstLine="643" w:firstLineChars="200"/>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公开公示情况</w:t>
      </w:r>
    </w:p>
    <w:p>
      <w:pPr>
        <w:spacing w:line="560" w:lineRule="exact"/>
        <w:ind w:firstLine="640" w:firstLineChars="200"/>
        <w:jc w:val="left"/>
        <w:rPr>
          <w:rFonts w:ascii="仿宋_GB2312" w:hAnsi="仿宋_GB2312" w:eastAsia="仿宋_GB2312" w:cs="仿宋_GB2312"/>
          <w:sz w:val="32"/>
          <w:szCs w:val="32"/>
        </w:rPr>
      </w:pPr>
      <w:r>
        <w:rPr>
          <w:rFonts w:hint="eastAsia" w:ascii="仿宋" w:hAnsi="仿宋" w:eastAsia="仿宋" w:cs="仿宋"/>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财绩【2020】4号《盐边县财政局关于开展2019年度部门预算整体绩效自评工作的通知》要求，于2020年10月将《盐边县新九乡人民政府2019年部门预算整体绩效自评表》和《盐边县新九乡人民政府2019年度部门预算情况公开编制说明》在“盐边县公众信息网”财政信息板块下的“财政绩效评价信息专栏”进行公开公示。</w:t>
      </w:r>
    </w:p>
    <w:p>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附件2</w:t>
      </w:r>
    </w:p>
    <w:p>
      <w:pPr>
        <w:spacing w:line="580" w:lineRule="exact"/>
        <w:ind w:firstLine="640" w:firstLineChars="200"/>
        <w:rPr>
          <w:rFonts w:ascii="仿宋_GB2312" w:hAnsi="仿宋_GB2312" w:eastAsia="仿宋_GB2312" w:cs="仿宋_GB2312"/>
          <w:sz w:val="32"/>
          <w:szCs w:val="32"/>
        </w:rPr>
      </w:pPr>
    </w:p>
    <w:p>
      <w:pPr>
        <w:spacing w:line="600" w:lineRule="exact"/>
        <w:jc w:val="center"/>
        <w:rPr>
          <w:rFonts w:ascii="方正小标宋简体" w:hAnsi="宋体" w:eastAsia="方正小标宋简体"/>
          <w:color w:val="000000"/>
          <w:kern w:val="0"/>
          <w:sz w:val="44"/>
          <w:szCs w:val="44"/>
          <w:lang w:val="zh-CN"/>
        </w:rPr>
      </w:pPr>
      <w:r>
        <w:rPr>
          <w:rFonts w:hint="eastAsia" w:ascii="方正小标宋简体" w:hAnsi="宋体" w:eastAsia="方正小标宋简体" w:cs="方正小标宋简体"/>
          <w:color w:val="000000"/>
          <w:kern w:val="0"/>
          <w:sz w:val="44"/>
          <w:szCs w:val="44"/>
          <w:lang w:val="zh-CN"/>
        </w:rPr>
        <w:t>新九镇儿童之家</w:t>
      </w:r>
      <w:r>
        <w:rPr>
          <w:rFonts w:hint="eastAsia" w:ascii="方正小标宋简体" w:hAnsi="宋体" w:eastAsia="方正小标宋简体"/>
          <w:color w:val="000000"/>
          <w:kern w:val="0"/>
          <w:sz w:val="44"/>
          <w:szCs w:val="44"/>
          <w:lang w:val="zh-CN"/>
        </w:rPr>
        <w:t>项目</w:t>
      </w:r>
      <w:r>
        <w:rPr>
          <w:rFonts w:hint="eastAsia" w:ascii="方正小标宋简体" w:hAnsi="宋体" w:eastAsia="方正小标宋简体"/>
          <w:color w:val="000000"/>
          <w:kern w:val="0"/>
          <w:sz w:val="44"/>
          <w:szCs w:val="44"/>
        </w:rPr>
        <w:t>2019年</w:t>
      </w:r>
      <w:r>
        <w:rPr>
          <w:rFonts w:hint="eastAsia" w:ascii="方正小标宋简体" w:hAnsi="宋体" w:eastAsia="方正小标宋简体"/>
          <w:color w:val="000000"/>
          <w:kern w:val="0"/>
          <w:sz w:val="44"/>
          <w:szCs w:val="44"/>
          <w:lang w:val="zh-CN"/>
        </w:rPr>
        <w:t>绩效评价报告</w:t>
      </w:r>
    </w:p>
    <w:p>
      <w:pPr>
        <w:spacing w:line="600" w:lineRule="exact"/>
        <w:rPr>
          <w:rFonts w:ascii="宋体" w:hAnsi="宋体"/>
          <w:sz w:val="32"/>
          <w:szCs w:val="32"/>
          <w:lang w:val="zh-CN"/>
        </w:rPr>
      </w:pPr>
    </w:p>
    <w:p>
      <w:pPr>
        <w:adjustRightInd w:val="0"/>
        <w:snapToGrid w:val="0"/>
        <w:spacing w:line="600" w:lineRule="exact"/>
        <w:ind w:firstLine="720"/>
        <w:rPr>
          <w:rFonts w:ascii="黑体" w:hAnsi="宋体" w:eastAsia="黑体"/>
          <w:sz w:val="32"/>
          <w:szCs w:val="32"/>
          <w:lang w:val="zh-CN"/>
        </w:rPr>
      </w:pPr>
      <w:r>
        <w:rPr>
          <w:rFonts w:hint="eastAsia" w:ascii="黑体" w:hAnsi="宋体" w:eastAsia="黑体"/>
          <w:sz w:val="32"/>
          <w:szCs w:val="32"/>
        </w:rPr>
        <w:t>一、</w:t>
      </w:r>
      <w:r>
        <w:rPr>
          <w:rFonts w:hint="eastAsia" w:ascii="黑体" w:hAnsi="宋体" w:eastAsia="黑体"/>
          <w:sz w:val="32"/>
          <w:szCs w:val="32"/>
          <w:lang w:val="zh-CN"/>
        </w:rPr>
        <w:t>项目概况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（一）项目基本情况。</w:t>
      </w:r>
    </w:p>
    <w:p>
      <w:pPr>
        <w:pStyle w:val="35"/>
        <w:spacing w:before="93" w:line="560" w:lineRule="exact"/>
        <w:ind w:firstLine="633" w:firstLineChars="198"/>
        <w:rPr>
          <w:rFonts w:ascii="Times New Roman" w:hAnsi="Times New Roman" w:eastAsia="方正仿宋_GBK"/>
          <w:b/>
          <w:sz w:val="32"/>
          <w:szCs w:val="32"/>
        </w:rPr>
      </w:pPr>
      <w:r>
        <w:rPr>
          <w:rFonts w:hint="eastAsia" w:ascii="仿宋" w:hAnsi="仿宋" w:eastAsia="仿宋" w:cs="仿宋"/>
          <w:color w:val="000000"/>
          <w:kern w:val="0"/>
          <w:sz w:val="32"/>
          <w:szCs w:val="32"/>
        </w:rPr>
        <w:t>完成新九镇2019年6个儿童之家建设项目。总投资7.5万元，建设资金7.5万元由盐边县财政局拨付。</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（二）项目绩效目标。</w:t>
      </w:r>
    </w:p>
    <w:p>
      <w:pPr>
        <w:pStyle w:val="35"/>
        <w:spacing w:before="93" w:line="560" w:lineRule="exact"/>
        <w:ind w:firstLine="633" w:firstLineChars="198"/>
        <w:rPr>
          <w:rFonts w:ascii="Times New Roman" w:hAnsi="Times New Roman" w:eastAsia="方正仿宋_GBK"/>
          <w:b/>
          <w:sz w:val="32"/>
          <w:szCs w:val="32"/>
        </w:rPr>
      </w:pPr>
      <w:r>
        <w:rPr>
          <w:rFonts w:hint="eastAsia" w:ascii="仿宋" w:hAnsi="仿宋" w:eastAsia="仿宋" w:cs="仿宋"/>
          <w:color w:val="000000"/>
          <w:kern w:val="0"/>
          <w:sz w:val="32"/>
          <w:szCs w:val="32"/>
        </w:rPr>
        <w:t>1.目标。项目覆盖6个村（社区），均为正常运转（定时免费开放），为全镇约2470名儿童免费提供了游戏、娱乐、教育的场所，儿童有了安全的游玩场所，从实质上解决了群众的后顾之忧，实现了儿童之家建设的初衷，完成了预期目标。</w:t>
      </w:r>
    </w:p>
    <w:p>
      <w:pPr>
        <w:spacing w:line="60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2.满意度指标。项目覆盖区内群众满意度99% 。</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（三）项目自评步骤及方法。</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无</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二、项目资金申报及使用情况</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（一）项目资金申报及批复情况。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按照要求进行资金申报。</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（二）资金计划、到位及使用情况（可用表格形式反映）。</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1．资金计划。</w:t>
      </w:r>
      <w:r>
        <w:rPr>
          <w:rFonts w:hint="eastAsia" w:ascii="仿宋_GB2312" w:hAnsi="宋体" w:eastAsia="仿宋_GB2312"/>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2．资金到位。</w:t>
      </w:r>
      <w:r>
        <w:rPr>
          <w:rFonts w:hint="eastAsia" w:ascii="仿宋_GB2312" w:hAnsi="宋体" w:eastAsia="仿宋_GB2312"/>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sz w:val="32"/>
          <w:szCs w:val="32"/>
          <w:lang w:val="zh-CN"/>
        </w:rPr>
        <w:t>3．资金使用。</w:t>
      </w:r>
      <w:r>
        <w:rPr>
          <w:rFonts w:hint="eastAsia" w:ascii="仿宋_GB2312" w:hAnsi="宋体" w:eastAsia="仿宋_GB2312"/>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（三）项目财务管理情况。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总体评价各项目实施单位财务管理制度是否健全，是否严格执行财务管理制度，账务处理是否及时，会计核算是否规范等。</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三、项目实施及管理情况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结合项目组织实施管理办法，进行分析评价，并对自评中发现的问题分析说明。</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（一）项目组织架构及实施流程。</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（二）项目管理情况。</w:t>
      </w:r>
      <w:r>
        <w:rPr>
          <w:rFonts w:hint="eastAsia" w:ascii="仿宋_GB2312" w:hAnsi="宋体" w:eastAsia="仿宋_GB2312"/>
          <w:sz w:val="32"/>
          <w:szCs w:val="32"/>
          <w:lang w:val="zh-CN"/>
        </w:rPr>
        <w:t>结合项目特点，总体评价各项目实施单位执行相关法律法规及项目管理制度等情况，如招投标、政府采购、项目公示制等相关规定。</w:t>
      </w:r>
    </w:p>
    <w:p>
      <w:pPr>
        <w:adjustRightInd w:val="0"/>
        <w:snapToGrid w:val="0"/>
        <w:spacing w:line="600" w:lineRule="exact"/>
        <w:ind w:firstLine="720"/>
        <w:rPr>
          <w:rFonts w:ascii="仿宋_GB2312" w:hAnsi="宋体" w:eastAsia="仿宋_GB2312"/>
          <w:sz w:val="32"/>
          <w:szCs w:val="32"/>
          <w:lang w:val="zh-CN"/>
        </w:rPr>
      </w:pPr>
      <w:r>
        <w:rPr>
          <w:rFonts w:hint="eastAsia" w:ascii="楷体_GB2312" w:hAnsi="宋体" w:eastAsia="楷体_GB2312"/>
          <w:b/>
          <w:sz w:val="32"/>
          <w:szCs w:val="32"/>
          <w:lang w:val="zh-CN"/>
        </w:rPr>
        <w:t>（三）项目监管情况。</w:t>
      </w:r>
      <w:r>
        <w:rPr>
          <w:rFonts w:hint="eastAsia" w:ascii="仿宋_GB2312" w:hAnsi="宋体" w:eastAsia="仿宋_GB2312"/>
          <w:sz w:val="32"/>
          <w:szCs w:val="32"/>
          <w:lang w:val="zh-CN"/>
        </w:rPr>
        <w:t>说明项目主管部门为加强项目管理所采取的监管手段、监管程序、监管工作开展情况及实现的效果等。</w:t>
      </w:r>
    </w:p>
    <w:p>
      <w:pPr>
        <w:adjustRightInd w:val="0"/>
        <w:snapToGrid w:val="0"/>
        <w:spacing w:line="600" w:lineRule="exact"/>
        <w:ind w:firstLine="720"/>
        <w:rPr>
          <w:rFonts w:ascii="仿宋_GB2312" w:hAnsi="宋体" w:eastAsia="仿宋_GB2312"/>
          <w:sz w:val="32"/>
          <w:szCs w:val="32"/>
          <w:lang w:val="zh-CN"/>
        </w:rPr>
      </w:pPr>
      <w:r>
        <w:rPr>
          <w:rFonts w:hint="eastAsia" w:ascii="黑体" w:hAnsi="宋体" w:eastAsia="黑体"/>
          <w:sz w:val="32"/>
          <w:szCs w:val="32"/>
        </w:rPr>
        <w:t>四、项目绩效情况</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（一）项目完成情况。</w:t>
      </w:r>
    </w:p>
    <w:p>
      <w:pPr>
        <w:pStyle w:val="35"/>
        <w:spacing w:before="93" w:line="560" w:lineRule="exact"/>
        <w:ind w:firstLine="633" w:firstLineChars="198"/>
        <w:rPr>
          <w:rFonts w:ascii="Times New Roman" w:hAnsi="Times New Roman" w:eastAsia="方正仿宋_GBK"/>
          <w:b/>
          <w:sz w:val="32"/>
          <w:szCs w:val="32"/>
        </w:rPr>
      </w:pPr>
      <w:r>
        <w:rPr>
          <w:rFonts w:hint="eastAsia" w:ascii="仿宋" w:hAnsi="仿宋" w:eastAsia="仿宋" w:cs="仿宋"/>
          <w:color w:val="000000"/>
          <w:kern w:val="0"/>
          <w:sz w:val="32"/>
          <w:szCs w:val="32"/>
        </w:rPr>
        <w:t>项目覆盖6个村（社区），均为正常运转（定时免费开放），为全镇约2470名儿童免费提供了游戏、娱乐、教育的场所，儿童有了安全的游玩场所，从实质上解决了群众的后顾之忧，实现了儿童之家建设的初衷，完成了预期目标。</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（二）项目效益情况。</w:t>
      </w:r>
    </w:p>
    <w:p>
      <w:pPr>
        <w:adjustRightInd w:val="0"/>
        <w:snapToGrid w:val="0"/>
        <w:spacing w:line="600" w:lineRule="exact"/>
        <w:ind w:firstLine="720"/>
        <w:rPr>
          <w:rFonts w:ascii="仿宋_GB2312" w:hAnsi="宋体" w:eastAsia="仿宋_GB2312"/>
          <w:sz w:val="32"/>
          <w:szCs w:val="32"/>
          <w:lang w:val="zh-CN"/>
        </w:rPr>
      </w:pPr>
      <w:r>
        <w:rPr>
          <w:rFonts w:hint="eastAsia" w:ascii="仿宋_GB2312" w:hAnsi="宋体" w:eastAsia="仿宋_GB2312"/>
          <w:sz w:val="32"/>
          <w:szCs w:val="32"/>
          <w:lang w:val="zh-CN"/>
        </w:rPr>
        <w:t>受益群众为全乡人民，满意度达99%以上。</w:t>
      </w:r>
    </w:p>
    <w:p>
      <w:pPr>
        <w:adjustRightInd w:val="0"/>
        <w:snapToGrid w:val="0"/>
        <w:spacing w:line="600" w:lineRule="exact"/>
        <w:ind w:firstLine="720"/>
        <w:rPr>
          <w:rFonts w:ascii="黑体" w:hAnsi="宋体" w:eastAsia="黑体"/>
          <w:sz w:val="32"/>
          <w:szCs w:val="32"/>
        </w:rPr>
      </w:pPr>
      <w:r>
        <w:rPr>
          <w:rFonts w:hint="eastAsia" w:ascii="黑体" w:hAnsi="宋体" w:eastAsia="黑体"/>
          <w:sz w:val="32"/>
          <w:szCs w:val="32"/>
        </w:rPr>
        <w:t>五、评价结论及建议</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（一）评价结论。</w:t>
      </w:r>
    </w:p>
    <w:p>
      <w:pPr>
        <w:adjustRightInd w:val="0"/>
        <w:snapToGrid w:val="0"/>
        <w:spacing w:line="600" w:lineRule="exact"/>
        <w:ind w:firstLine="640" w:firstLineChars="200"/>
        <w:rPr>
          <w:rFonts w:ascii="仿宋_GB2312" w:hAnsi="宋体" w:eastAsia="仿宋_GB2312"/>
          <w:sz w:val="32"/>
          <w:szCs w:val="32"/>
          <w:bdr w:val="single" w:color="auto" w:sz="4" w:space="0"/>
          <w:lang w:val="zh-CN"/>
        </w:rPr>
      </w:pPr>
      <w:r>
        <w:rPr>
          <w:rFonts w:hint="eastAsia" w:ascii="仿宋_GB2312" w:hAnsi="宋体" w:eastAsia="仿宋_GB2312"/>
          <w:sz w:val="32"/>
          <w:szCs w:val="32"/>
          <w:lang w:val="zh-CN"/>
        </w:rPr>
        <w:t>总体较好。</w:t>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（二）存在的问题。</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无。</w:t>
      </w:r>
      <w:r>
        <w:rPr>
          <w:rFonts w:hint="eastAsia" w:ascii="仿宋_GB2312" w:hAnsi="宋体" w:eastAsia="仿宋_GB2312"/>
          <w:sz w:val="32"/>
          <w:szCs w:val="32"/>
          <w:lang w:val="zh-CN"/>
        </w:rPr>
        <w:tab/>
      </w:r>
    </w:p>
    <w:p>
      <w:pPr>
        <w:adjustRightInd w:val="0"/>
        <w:snapToGrid w:val="0"/>
        <w:spacing w:line="600" w:lineRule="exact"/>
        <w:ind w:firstLine="720"/>
        <w:rPr>
          <w:rFonts w:ascii="楷体_GB2312" w:hAnsi="宋体" w:eastAsia="楷体_GB2312"/>
          <w:b/>
          <w:sz w:val="32"/>
          <w:szCs w:val="32"/>
          <w:lang w:val="zh-CN"/>
        </w:rPr>
      </w:pPr>
      <w:r>
        <w:rPr>
          <w:rFonts w:hint="eastAsia" w:ascii="楷体_GB2312" w:hAnsi="宋体" w:eastAsia="楷体_GB2312"/>
          <w:b/>
          <w:sz w:val="32"/>
          <w:szCs w:val="32"/>
          <w:lang w:val="zh-CN"/>
        </w:rPr>
        <w:t>（三）相关建议。</w:t>
      </w:r>
    </w:p>
    <w:p>
      <w:pPr>
        <w:adjustRightInd w:val="0"/>
        <w:snapToGrid w:val="0"/>
        <w:spacing w:line="600" w:lineRule="exact"/>
        <w:ind w:firstLine="640" w:firstLineChars="200"/>
        <w:rPr>
          <w:rFonts w:ascii="仿宋_GB2312" w:hAnsi="宋体" w:eastAsia="仿宋_GB2312"/>
          <w:sz w:val="32"/>
          <w:szCs w:val="32"/>
          <w:lang w:val="zh-CN"/>
        </w:rPr>
      </w:pPr>
      <w:r>
        <w:rPr>
          <w:rFonts w:hint="eastAsia" w:ascii="仿宋_GB2312" w:hAnsi="宋体" w:eastAsia="仿宋_GB2312"/>
          <w:sz w:val="32"/>
          <w:szCs w:val="32"/>
          <w:lang w:val="zh-CN"/>
        </w:rPr>
        <w:t>无。</w:t>
      </w:r>
    </w:p>
    <w:p>
      <w:pPr>
        <w:spacing w:line="580" w:lineRule="exact"/>
        <w:ind w:firstLine="640"/>
        <w:rPr>
          <w:rFonts w:ascii="仿宋_GB2312" w:hAnsi="仿宋_GB2312" w:eastAsia="仿宋_GB2312" w:cs="仿宋_GB2312"/>
          <w:sz w:val="32"/>
          <w:szCs w:val="32"/>
        </w:rPr>
      </w:pPr>
    </w:p>
    <w:p>
      <w:pPr>
        <w:spacing w:line="580" w:lineRule="exact"/>
        <w:ind w:firstLine="640"/>
        <w:rPr>
          <w:rFonts w:ascii="仿宋_GB2312" w:hAnsi="仿宋_GB2312" w:eastAsia="仿宋_GB2312" w:cs="仿宋_GB2312"/>
          <w:sz w:val="32"/>
          <w:szCs w:val="32"/>
        </w:rPr>
      </w:pPr>
    </w:p>
    <w:p>
      <w:pPr>
        <w:widowControl/>
        <w:jc w:val="left"/>
        <w:rPr>
          <w:rStyle w:val="27"/>
          <w:rFonts w:ascii="黑体" w:hAnsi="黑体" w:eastAsia="黑体"/>
          <w:b w:val="0"/>
        </w:rPr>
      </w:pPr>
    </w:p>
    <w:p>
      <w:pPr>
        <w:widowControl/>
        <w:jc w:val="left"/>
        <w:rPr>
          <w:rStyle w:val="27"/>
          <w:rFonts w:ascii="黑体" w:hAnsi="黑体" w:eastAsia="黑体"/>
          <w:b w:val="0"/>
        </w:rPr>
      </w:pPr>
      <w:r>
        <w:rPr>
          <w:rStyle w:val="27"/>
          <w:rFonts w:ascii="黑体" w:hAnsi="黑体" w:eastAsia="黑体"/>
          <w:b w:val="0"/>
        </w:rPr>
        <w:br w:type="page"/>
      </w:r>
    </w:p>
    <w:p>
      <w:pPr>
        <w:spacing w:line="600" w:lineRule="exact"/>
        <w:jc w:val="center"/>
        <w:outlineLvl w:val="0"/>
        <w:rPr>
          <w:rStyle w:val="27"/>
          <w:rFonts w:ascii="黑体" w:hAnsi="黑体" w:eastAsia="黑体"/>
          <w:b w:val="0"/>
        </w:rPr>
      </w:pPr>
    </w:p>
    <w:p>
      <w:pPr>
        <w:spacing w:line="600" w:lineRule="exact"/>
        <w:jc w:val="center"/>
        <w:outlineLvl w:val="0"/>
        <w:rPr>
          <w:rStyle w:val="27"/>
          <w:rFonts w:ascii="黑体" w:hAnsi="黑体" w:eastAsia="黑体"/>
          <w:b w:val="0"/>
        </w:rPr>
      </w:pPr>
      <w:bookmarkStart w:id="96" w:name="_Toc52180099"/>
      <w:bookmarkStart w:id="97" w:name="_Toc15396618"/>
      <w:r>
        <w:rPr>
          <w:rFonts w:hint="eastAsia" w:ascii="黑体" w:hAnsi="黑体" w:eastAsia="黑体"/>
          <w:color w:val="000000"/>
          <w:sz w:val="44"/>
          <w:szCs w:val="44"/>
        </w:rPr>
        <w:t>第</w:t>
      </w:r>
      <w:r>
        <w:rPr>
          <w:rStyle w:val="27"/>
          <w:rFonts w:hint="eastAsia" w:ascii="黑体" w:hAnsi="黑体" w:eastAsia="黑体"/>
          <w:b w:val="0"/>
        </w:rPr>
        <w:t>五部分 附表</w:t>
      </w:r>
      <w:bookmarkEnd w:id="92"/>
      <w:bookmarkEnd w:id="96"/>
      <w:bookmarkEnd w:id="97"/>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98" w:name="_Toc15396619"/>
      <w:bookmarkStart w:id="99" w:name="_Toc52180100"/>
      <w:r>
        <w:rPr>
          <w:rFonts w:hint="eastAsia" w:ascii="仿宋" w:hAnsi="仿宋" w:eastAsia="仿宋"/>
          <w:b w:val="0"/>
          <w:color w:val="000000"/>
        </w:rPr>
        <w:t>一、收</w:t>
      </w:r>
      <w:r>
        <w:rPr>
          <w:rStyle w:val="28"/>
          <w:rFonts w:hint="eastAsia" w:ascii="仿宋" w:hAnsi="仿宋" w:eastAsia="仿宋"/>
          <w:b w:val="0"/>
          <w:bCs w:val="0"/>
        </w:rPr>
        <w:t>入支出决算总表</w:t>
      </w:r>
      <w:bookmarkEnd w:id="98"/>
      <w:bookmarkEnd w:id="99"/>
    </w:p>
    <w:p>
      <w:pPr>
        <w:pStyle w:val="3"/>
        <w:rPr>
          <w:rFonts w:ascii="仿宋" w:hAnsi="仿宋" w:eastAsia="仿宋"/>
          <w:color w:val="000000"/>
        </w:rPr>
      </w:pPr>
      <w:bookmarkStart w:id="100" w:name="_Toc52180101"/>
      <w:bookmarkStart w:id="101" w:name="_Toc15396620"/>
      <w:r>
        <w:rPr>
          <w:rFonts w:hint="eastAsia" w:ascii="仿宋" w:hAnsi="仿宋" w:eastAsia="仿宋"/>
          <w:b w:val="0"/>
          <w:color w:val="000000"/>
        </w:rPr>
        <w:t>二、收</w:t>
      </w:r>
      <w:r>
        <w:rPr>
          <w:rStyle w:val="28"/>
          <w:rFonts w:hint="eastAsia" w:ascii="仿宋" w:hAnsi="仿宋" w:eastAsia="仿宋"/>
          <w:b w:val="0"/>
          <w:bCs w:val="0"/>
        </w:rPr>
        <w:t>入决算表</w:t>
      </w:r>
      <w:bookmarkEnd w:id="100"/>
      <w:bookmarkEnd w:id="101"/>
    </w:p>
    <w:p>
      <w:pPr>
        <w:pStyle w:val="3"/>
        <w:rPr>
          <w:rFonts w:ascii="仿宋" w:hAnsi="仿宋" w:eastAsia="仿宋"/>
          <w:color w:val="000000"/>
        </w:rPr>
      </w:pPr>
      <w:bookmarkStart w:id="102" w:name="_Toc15396621"/>
      <w:bookmarkStart w:id="103" w:name="_Toc52180102"/>
      <w:r>
        <w:rPr>
          <w:rStyle w:val="28"/>
          <w:rFonts w:hint="eastAsia" w:ascii="仿宋" w:hAnsi="仿宋" w:eastAsia="仿宋"/>
          <w:b w:val="0"/>
          <w:bCs w:val="0"/>
        </w:rPr>
        <w:t>三、</w:t>
      </w:r>
      <w:r>
        <w:rPr>
          <w:rFonts w:hint="eastAsia" w:ascii="仿宋" w:hAnsi="仿宋" w:eastAsia="仿宋"/>
          <w:b w:val="0"/>
          <w:color w:val="000000"/>
        </w:rPr>
        <w:t>支</w:t>
      </w:r>
      <w:r>
        <w:rPr>
          <w:rStyle w:val="28"/>
          <w:rFonts w:hint="eastAsia" w:ascii="仿宋" w:hAnsi="仿宋" w:eastAsia="仿宋"/>
          <w:b w:val="0"/>
          <w:bCs w:val="0"/>
        </w:rPr>
        <w:t>出决算表</w:t>
      </w:r>
      <w:bookmarkEnd w:id="102"/>
      <w:bookmarkEnd w:id="103"/>
    </w:p>
    <w:p>
      <w:pPr>
        <w:pStyle w:val="3"/>
        <w:rPr>
          <w:rFonts w:ascii="仿宋" w:hAnsi="仿宋" w:eastAsia="仿宋"/>
          <w:b w:val="0"/>
          <w:color w:val="000000"/>
        </w:rPr>
      </w:pPr>
      <w:bookmarkStart w:id="104" w:name="_Toc15396622"/>
      <w:bookmarkStart w:id="105" w:name="_Toc52180103"/>
      <w:r>
        <w:rPr>
          <w:rStyle w:val="28"/>
          <w:rFonts w:hint="eastAsia" w:ascii="仿宋" w:hAnsi="仿宋" w:eastAsia="仿宋"/>
          <w:b w:val="0"/>
          <w:bCs w:val="0"/>
        </w:rPr>
        <w:t>四、</w:t>
      </w:r>
      <w:r>
        <w:rPr>
          <w:rFonts w:hint="eastAsia" w:ascii="仿宋" w:hAnsi="仿宋" w:eastAsia="仿宋"/>
          <w:b w:val="0"/>
          <w:color w:val="000000"/>
        </w:rPr>
        <w:t>财</w:t>
      </w:r>
      <w:r>
        <w:rPr>
          <w:rStyle w:val="28"/>
          <w:rFonts w:hint="eastAsia" w:ascii="仿宋" w:hAnsi="仿宋" w:eastAsia="仿宋"/>
          <w:b w:val="0"/>
          <w:bCs w:val="0"/>
        </w:rPr>
        <w:t>政拨款收入支出决算总表</w:t>
      </w:r>
      <w:bookmarkEnd w:id="104"/>
      <w:bookmarkEnd w:id="105"/>
    </w:p>
    <w:p>
      <w:pPr>
        <w:pStyle w:val="3"/>
        <w:rPr>
          <w:rStyle w:val="28"/>
          <w:rFonts w:ascii="仿宋" w:hAnsi="仿宋" w:eastAsia="仿宋"/>
          <w:b w:val="0"/>
          <w:bCs w:val="0"/>
        </w:rPr>
      </w:pPr>
      <w:bookmarkStart w:id="106" w:name="_Toc15396623"/>
      <w:bookmarkStart w:id="107" w:name="_Toc52180104"/>
      <w:r>
        <w:rPr>
          <w:rStyle w:val="28"/>
          <w:rFonts w:hint="eastAsia" w:ascii="仿宋" w:hAnsi="仿宋" w:eastAsia="仿宋"/>
          <w:b w:val="0"/>
          <w:bCs w:val="0"/>
        </w:rPr>
        <w:t>五、</w:t>
      </w:r>
      <w:r>
        <w:rPr>
          <w:rFonts w:hint="eastAsia" w:ascii="仿宋" w:hAnsi="仿宋" w:eastAsia="仿宋"/>
          <w:b w:val="0"/>
          <w:color w:val="000000"/>
        </w:rPr>
        <w:t>财</w:t>
      </w:r>
      <w:r>
        <w:rPr>
          <w:rStyle w:val="28"/>
          <w:rFonts w:hint="eastAsia" w:ascii="仿宋" w:hAnsi="仿宋" w:eastAsia="仿宋"/>
          <w:b w:val="0"/>
          <w:bCs w:val="0"/>
        </w:rPr>
        <w:t>政拨款支出决算明细表</w:t>
      </w:r>
      <w:bookmarkEnd w:id="106"/>
      <w:bookmarkEnd w:id="107"/>
      <w:bookmarkStart w:id="108" w:name="_Toc15396624"/>
    </w:p>
    <w:p>
      <w:pPr>
        <w:pStyle w:val="3"/>
        <w:rPr>
          <w:rFonts w:ascii="仿宋" w:hAnsi="仿宋" w:eastAsia="仿宋"/>
          <w:color w:val="000000"/>
        </w:rPr>
      </w:pPr>
      <w:bookmarkStart w:id="109" w:name="_Toc52180105"/>
      <w:r>
        <w:rPr>
          <w:rStyle w:val="28"/>
          <w:rFonts w:hint="eastAsia" w:ascii="仿宋" w:hAnsi="仿宋" w:eastAsia="仿宋"/>
          <w:b w:val="0"/>
          <w:bCs w:val="0"/>
        </w:rPr>
        <w:t>六、</w:t>
      </w:r>
      <w:r>
        <w:rPr>
          <w:rFonts w:hint="eastAsia" w:ascii="仿宋" w:hAnsi="仿宋" w:eastAsia="仿宋"/>
          <w:b w:val="0"/>
          <w:color w:val="000000"/>
        </w:rPr>
        <w:t>一</w:t>
      </w:r>
      <w:r>
        <w:rPr>
          <w:rStyle w:val="28"/>
          <w:rFonts w:hint="eastAsia" w:ascii="仿宋" w:hAnsi="仿宋" w:eastAsia="仿宋"/>
          <w:b w:val="0"/>
          <w:bCs w:val="0"/>
        </w:rPr>
        <w:t>般公共预算财政拨款支出决算表</w:t>
      </w:r>
      <w:bookmarkEnd w:id="108"/>
      <w:bookmarkEnd w:id="109"/>
    </w:p>
    <w:p>
      <w:pPr>
        <w:pStyle w:val="3"/>
        <w:rPr>
          <w:rFonts w:ascii="仿宋" w:hAnsi="仿宋" w:eastAsia="仿宋"/>
          <w:color w:val="000000"/>
        </w:rPr>
      </w:pPr>
      <w:bookmarkStart w:id="110" w:name="_Toc52180106"/>
      <w:bookmarkStart w:id="111" w:name="_Toc15396625"/>
      <w:r>
        <w:rPr>
          <w:rStyle w:val="28"/>
          <w:rFonts w:hint="eastAsia" w:ascii="仿宋" w:hAnsi="仿宋" w:eastAsia="仿宋"/>
          <w:b w:val="0"/>
          <w:bCs w:val="0"/>
        </w:rPr>
        <w:t>七、</w:t>
      </w:r>
      <w:r>
        <w:rPr>
          <w:rFonts w:hint="eastAsia" w:ascii="仿宋" w:hAnsi="仿宋" w:eastAsia="仿宋"/>
          <w:b w:val="0"/>
          <w:color w:val="000000"/>
        </w:rPr>
        <w:t>一</w:t>
      </w:r>
      <w:r>
        <w:rPr>
          <w:rStyle w:val="28"/>
          <w:rFonts w:hint="eastAsia" w:ascii="仿宋" w:hAnsi="仿宋" w:eastAsia="仿宋"/>
          <w:b w:val="0"/>
          <w:bCs w:val="0"/>
        </w:rPr>
        <w:t>般公共预算财政拨款支出决算明细表</w:t>
      </w:r>
      <w:bookmarkEnd w:id="110"/>
      <w:bookmarkEnd w:id="111"/>
    </w:p>
    <w:p>
      <w:pPr>
        <w:pStyle w:val="3"/>
        <w:rPr>
          <w:rFonts w:ascii="仿宋" w:hAnsi="仿宋" w:eastAsia="仿宋"/>
          <w:color w:val="000000"/>
        </w:rPr>
      </w:pPr>
      <w:bookmarkStart w:id="112" w:name="_Toc15396626"/>
      <w:bookmarkStart w:id="113" w:name="_Toc52180107"/>
      <w:r>
        <w:rPr>
          <w:rStyle w:val="28"/>
          <w:rFonts w:hint="eastAsia" w:ascii="仿宋" w:hAnsi="仿宋" w:eastAsia="仿宋"/>
          <w:b w:val="0"/>
          <w:bCs w:val="0"/>
        </w:rPr>
        <w:t>八、</w:t>
      </w:r>
      <w:r>
        <w:rPr>
          <w:rFonts w:hint="eastAsia" w:ascii="仿宋" w:hAnsi="仿宋" w:eastAsia="仿宋"/>
          <w:b w:val="0"/>
          <w:color w:val="000000"/>
        </w:rPr>
        <w:t>一</w:t>
      </w:r>
      <w:r>
        <w:rPr>
          <w:rStyle w:val="28"/>
          <w:rFonts w:hint="eastAsia" w:ascii="仿宋" w:hAnsi="仿宋" w:eastAsia="仿宋"/>
          <w:b w:val="0"/>
          <w:bCs w:val="0"/>
        </w:rPr>
        <w:t>般公共预算财政拨款基本支出决算表</w:t>
      </w:r>
      <w:bookmarkEnd w:id="112"/>
      <w:bookmarkEnd w:id="113"/>
    </w:p>
    <w:p>
      <w:pPr>
        <w:pStyle w:val="3"/>
        <w:rPr>
          <w:rFonts w:ascii="仿宋" w:hAnsi="仿宋" w:eastAsia="仿宋"/>
          <w:color w:val="000000"/>
        </w:rPr>
      </w:pPr>
      <w:bookmarkStart w:id="114" w:name="_Toc52180108"/>
      <w:bookmarkStart w:id="115" w:name="_Toc15396627"/>
      <w:r>
        <w:rPr>
          <w:rStyle w:val="28"/>
          <w:rFonts w:hint="eastAsia" w:ascii="仿宋" w:hAnsi="仿宋" w:eastAsia="仿宋"/>
          <w:b w:val="0"/>
          <w:bCs w:val="0"/>
        </w:rPr>
        <w:t>九、</w:t>
      </w:r>
      <w:r>
        <w:rPr>
          <w:rFonts w:hint="eastAsia" w:ascii="仿宋" w:hAnsi="仿宋" w:eastAsia="仿宋"/>
          <w:b w:val="0"/>
          <w:color w:val="000000"/>
        </w:rPr>
        <w:t>一</w:t>
      </w:r>
      <w:r>
        <w:rPr>
          <w:rStyle w:val="28"/>
          <w:rFonts w:hint="eastAsia" w:ascii="仿宋" w:hAnsi="仿宋" w:eastAsia="仿宋"/>
          <w:b w:val="0"/>
          <w:bCs w:val="0"/>
        </w:rPr>
        <w:t>般公共预算财政拨款项目支出决算表</w:t>
      </w:r>
      <w:bookmarkEnd w:id="114"/>
      <w:bookmarkEnd w:id="115"/>
    </w:p>
    <w:p>
      <w:pPr>
        <w:pStyle w:val="3"/>
        <w:rPr>
          <w:rFonts w:ascii="仿宋" w:hAnsi="仿宋" w:eastAsia="仿宋"/>
          <w:color w:val="000000"/>
        </w:rPr>
      </w:pPr>
      <w:bookmarkStart w:id="116" w:name="_Toc52180109"/>
      <w:bookmarkStart w:id="117" w:name="_Toc15396628"/>
      <w:r>
        <w:rPr>
          <w:rStyle w:val="28"/>
          <w:rFonts w:hint="eastAsia" w:ascii="仿宋" w:hAnsi="仿宋" w:eastAsia="仿宋"/>
          <w:b w:val="0"/>
          <w:bCs w:val="0"/>
        </w:rPr>
        <w:t>十、</w:t>
      </w:r>
      <w:r>
        <w:rPr>
          <w:rFonts w:hint="eastAsia" w:ascii="仿宋" w:hAnsi="仿宋" w:eastAsia="仿宋"/>
          <w:b w:val="0"/>
          <w:color w:val="000000"/>
        </w:rPr>
        <w:t>一</w:t>
      </w:r>
      <w:r>
        <w:rPr>
          <w:rStyle w:val="28"/>
          <w:rFonts w:hint="eastAsia" w:ascii="仿宋" w:hAnsi="仿宋" w:eastAsia="仿宋"/>
          <w:b w:val="0"/>
          <w:bCs w:val="0"/>
        </w:rPr>
        <w:t>般公共预算财政拨款“三公”经费支出决算表</w:t>
      </w:r>
      <w:bookmarkEnd w:id="116"/>
      <w:bookmarkEnd w:id="117"/>
    </w:p>
    <w:p>
      <w:pPr>
        <w:pStyle w:val="3"/>
        <w:rPr>
          <w:rFonts w:ascii="仿宋" w:hAnsi="仿宋" w:eastAsia="仿宋"/>
          <w:color w:val="000000"/>
        </w:rPr>
      </w:pPr>
      <w:bookmarkStart w:id="118" w:name="_Toc52180110"/>
      <w:bookmarkStart w:id="119" w:name="_Toc15396629"/>
      <w:r>
        <w:rPr>
          <w:rStyle w:val="28"/>
          <w:rFonts w:hint="eastAsia" w:ascii="仿宋" w:hAnsi="仿宋" w:eastAsia="仿宋"/>
          <w:b w:val="0"/>
          <w:bCs w:val="0"/>
        </w:rPr>
        <w:t>十一、</w:t>
      </w:r>
      <w:r>
        <w:rPr>
          <w:rFonts w:hint="eastAsia" w:ascii="仿宋" w:hAnsi="仿宋" w:eastAsia="仿宋"/>
          <w:b w:val="0"/>
          <w:color w:val="000000"/>
        </w:rPr>
        <w:t>政</w:t>
      </w:r>
      <w:r>
        <w:rPr>
          <w:rStyle w:val="28"/>
          <w:rFonts w:hint="eastAsia" w:ascii="仿宋" w:hAnsi="仿宋" w:eastAsia="仿宋"/>
          <w:b w:val="0"/>
          <w:bCs w:val="0"/>
        </w:rPr>
        <w:t>府性基金预算财政拨款收入支出决算表</w:t>
      </w:r>
      <w:bookmarkEnd w:id="118"/>
      <w:bookmarkEnd w:id="119"/>
    </w:p>
    <w:p>
      <w:pPr>
        <w:pStyle w:val="3"/>
        <w:rPr>
          <w:rFonts w:ascii="仿宋" w:hAnsi="仿宋" w:eastAsia="仿宋"/>
          <w:color w:val="000000"/>
        </w:rPr>
      </w:pPr>
      <w:bookmarkStart w:id="120" w:name="_Toc52180111"/>
      <w:bookmarkStart w:id="121" w:name="_Toc15396630"/>
      <w:r>
        <w:rPr>
          <w:rStyle w:val="28"/>
          <w:rFonts w:hint="eastAsia" w:ascii="仿宋" w:hAnsi="仿宋" w:eastAsia="仿宋"/>
          <w:b w:val="0"/>
          <w:bCs w:val="0"/>
        </w:rPr>
        <w:t>十二、</w:t>
      </w:r>
      <w:r>
        <w:rPr>
          <w:rFonts w:hint="eastAsia" w:ascii="仿宋" w:hAnsi="仿宋" w:eastAsia="仿宋"/>
          <w:b w:val="0"/>
          <w:color w:val="000000"/>
        </w:rPr>
        <w:t>政</w:t>
      </w:r>
      <w:r>
        <w:rPr>
          <w:rStyle w:val="28"/>
          <w:rFonts w:hint="eastAsia" w:ascii="仿宋" w:hAnsi="仿宋" w:eastAsia="仿宋"/>
          <w:b w:val="0"/>
          <w:bCs w:val="0"/>
        </w:rPr>
        <w:t>府性基金预算财政拨款“三公”经费支出决算表</w:t>
      </w:r>
      <w:bookmarkEnd w:id="120"/>
      <w:bookmarkEnd w:id="121"/>
    </w:p>
    <w:p>
      <w:pPr>
        <w:pStyle w:val="3"/>
        <w:rPr>
          <w:rFonts w:ascii="仿宋" w:hAnsi="仿宋" w:eastAsia="仿宋"/>
          <w:color w:val="000000"/>
        </w:rPr>
      </w:pPr>
      <w:bookmarkStart w:id="122" w:name="_Toc52180112"/>
      <w:bookmarkStart w:id="123" w:name="_Toc15396631"/>
      <w:r>
        <w:rPr>
          <w:rStyle w:val="28"/>
          <w:rFonts w:hint="eastAsia" w:ascii="仿宋" w:hAnsi="仿宋" w:eastAsia="仿宋"/>
          <w:b w:val="0"/>
          <w:bCs w:val="0"/>
        </w:rPr>
        <w:t>十三、</w:t>
      </w:r>
      <w:r>
        <w:rPr>
          <w:rFonts w:hint="eastAsia" w:ascii="仿宋" w:hAnsi="仿宋" w:eastAsia="仿宋"/>
          <w:b w:val="0"/>
          <w:color w:val="000000"/>
        </w:rPr>
        <w:t>国</w:t>
      </w:r>
      <w:r>
        <w:rPr>
          <w:rStyle w:val="28"/>
          <w:rFonts w:hint="eastAsia" w:ascii="仿宋" w:hAnsi="仿宋" w:eastAsia="仿宋"/>
          <w:b w:val="0"/>
          <w:bCs w:val="0"/>
        </w:rPr>
        <w:t>有资本经营预算支出决算表</w:t>
      </w:r>
      <w:bookmarkEnd w:id="122"/>
      <w:bookmarkEnd w:id="123"/>
    </w:p>
    <w:sectPr>
      <w:footerReference r:id="rId5" w:type="first"/>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4</w:t>
    </w:r>
    <w:r>
      <w:rPr>
        <w:lang w:val="zh-CN"/>
      </w:rP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fldChar w:fldCharType="begin"/>
    </w:r>
    <w:r>
      <w:instrText xml:space="preserve"> PAGE   \* MERGEFORMAT </w:instrText>
    </w:r>
    <w:r>
      <w:fldChar w:fldCharType="separate"/>
    </w:r>
    <w:r>
      <w:rPr>
        <w:lang w:val="zh-CN"/>
      </w:rPr>
      <w:t>1</w:t>
    </w:r>
    <w:r>
      <w:rPr>
        <w:lang w:val="zh-CN"/>
      </w:rP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5D0AEF99"/>
    <w:multiLevelType w:val="singleLevel"/>
    <w:tmpl w:val="5D0AEF99"/>
    <w:lvl w:ilvl="0" w:tentative="0">
      <w:start w:val="1"/>
      <w:numFmt w:val="decimal"/>
      <w:suff w:val="nothing"/>
      <w:lvlText w:val="%1、"/>
      <w:lvlJc w:val="left"/>
    </w:lvl>
  </w:abstractNum>
  <w:abstractNum w:abstractNumId="4">
    <w:nsid w:val="5D6F7E25"/>
    <w:multiLevelType w:val="singleLevel"/>
    <w:tmpl w:val="5D6F7E25"/>
    <w:lvl w:ilvl="0" w:tentative="0">
      <w:start w:val="1"/>
      <w:numFmt w:val="decimal"/>
      <w:suff w:val="nothing"/>
      <w:lvlText w:val="（%1）"/>
      <w:lvlJc w:val="left"/>
    </w:lvl>
  </w:abstractNum>
  <w:abstractNum w:abstractNumId="5">
    <w:nsid w:val="5F783726"/>
    <w:multiLevelType w:val="singleLevel"/>
    <w:tmpl w:val="5F783726"/>
    <w:lvl w:ilvl="0" w:tentative="0">
      <w:start w:val="2"/>
      <w:numFmt w:val="chineseCounting"/>
      <w:suff w:val="nothing"/>
      <w:lvlText w:val="（%1）"/>
      <w:lvlJc w:val="left"/>
    </w:lvl>
  </w:abstractNum>
  <w:abstractNum w:abstractNumId="6">
    <w:nsid w:val="5F8A4E0C"/>
    <w:multiLevelType w:val="singleLevel"/>
    <w:tmpl w:val="5F8A4E0C"/>
    <w:lvl w:ilvl="0" w:tentative="0">
      <w:start w:val="1"/>
      <w:numFmt w:val="decimal"/>
      <w:suff w:val="nothing"/>
      <w:lvlText w:val="%1."/>
      <w:lvlJc w:val="left"/>
    </w:lvl>
  </w:abstractNum>
  <w:abstractNum w:abstractNumId="7">
    <w:nsid w:val="5F8A4FFE"/>
    <w:multiLevelType w:val="singleLevel"/>
    <w:tmpl w:val="5F8A4FFE"/>
    <w:lvl w:ilvl="0" w:tentative="0">
      <w:start w:val="2"/>
      <w:numFmt w:val="decimal"/>
      <w:suff w:val="nothing"/>
      <w:lvlText w:val="%1."/>
      <w:lvlJc w:val="left"/>
    </w:lvl>
  </w:abstractNum>
  <w:abstractNum w:abstractNumId="8">
    <w:nsid w:val="5F8D7E0F"/>
    <w:multiLevelType w:val="singleLevel"/>
    <w:tmpl w:val="5F8D7E0F"/>
    <w:lvl w:ilvl="0" w:tentative="0">
      <w:start w:val="4"/>
      <w:numFmt w:val="chineseCounting"/>
      <w:suff w:val="nothing"/>
      <w:lvlText w:val="（%1）"/>
      <w:lvlJc w:val="left"/>
    </w:lvl>
  </w:abstractNum>
  <w:abstractNum w:abstractNumId="9">
    <w:nsid w:val="5F9683D8"/>
    <w:multiLevelType w:val="singleLevel"/>
    <w:tmpl w:val="5F9683D8"/>
    <w:lvl w:ilvl="0" w:tentative="0">
      <w:start w:val="3"/>
      <w:numFmt w:val="chineseCounting"/>
      <w:suff w:val="nothing"/>
      <w:lvlText w:val="%1、"/>
      <w:lvlJc w:val="left"/>
    </w:lvl>
  </w:abstractNum>
  <w:abstractNum w:abstractNumId="10">
    <w:nsid w:val="5F968431"/>
    <w:multiLevelType w:val="singleLevel"/>
    <w:tmpl w:val="5F968431"/>
    <w:lvl w:ilvl="0" w:tentative="0">
      <w:start w:val="2"/>
      <w:numFmt w:val="decimal"/>
      <w:suff w:val="nothing"/>
      <w:lvlText w:val="（%1）"/>
      <w:lvlJc w:val="left"/>
    </w:lvl>
  </w:abstractNum>
  <w:abstractNum w:abstractNumId="11">
    <w:nsid w:val="5F96852C"/>
    <w:multiLevelType w:val="singleLevel"/>
    <w:tmpl w:val="5F96852C"/>
    <w:lvl w:ilvl="0" w:tentative="0">
      <w:start w:val="3"/>
      <w:numFmt w:val="decimal"/>
      <w:suff w:val="nothing"/>
      <w:lvlText w:val="（%1）"/>
      <w:lvlJc w:val="left"/>
    </w:lvl>
  </w:abstractNum>
  <w:abstractNum w:abstractNumId="12">
    <w:nsid w:val="5F968582"/>
    <w:multiLevelType w:val="singleLevel"/>
    <w:tmpl w:val="5F968582"/>
    <w:lvl w:ilvl="0" w:tentative="0">
      <w:start w:val="3"/>
      <w:numFmt w:val="decimal"/>
      <w:suff w:val="nothing"/>
      <w:lvlText w:val="（%1）"/>
      <w:lvlJc w:val="left"/>
    </w:lvl>
  </w:abstractNum>
  <w:abstractNum w:abstractNumId="13">
    <w:nsid w:val="5F968597"/>
    <w:multiLevelType w:val="singleLevel"/>
    <w:tmpl w:val="5F968597"/>
    <w:lvl w:ilvl="0" w:tentative="0">
      <w:start w:val="3"/>
      <w:numFmt w:val="chineseCounting"/>
      <w:suff w:val="nothing"/>
      <w:lvlText w:val="（%1）"/>
      <w:lvlJc w:val="left"/>
    </w:lvl>
  </w:abstractNum>
  <w:abstractNum w:abstractNumId="14">
    <w:nsid w:val="62621CDC"/>
    <w:multiLevelType w:val="multilevel"/>
    <w:tmpl w:val="62621CDC"/>
    <w:lvl w:ilvl="0" w:tentative="0">
      <w:start w:val="1"/>
      <w:numFmt w:val="decimal"/>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14"/>
  </w:num>
  <w:num w:numId="2">
    <w:abstractNumId w:val="2"/>
  </w:num>
  <w:num w:numId="3">
    <w:abstractNumId w:val="6"/>
  </w:num>
  <w:num w:numId="4">
    <w:abstractNumId w:val="7"/>
  </w:num>
  <w:num w:numId="5">
    <w:abstractNumId w:val="0"/>
  </w:num>
  <w:num w:numId="6">
    <w:abstractNumId w:val="1"/>
  </w:num>
  <w:num w:numId="7">
    <w:abstractNumId w:val="3"/>
  </w:num>
  <w:num w:numId="8">
    <w:abstractNumId w:val="4"/>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MzZTVlYzkzMDcyYTBjMjQyZjliODgyZTM2ZDFmZTAifQ=="/>
  </w:docVars>
  <w:rsids>
    <w:rsidRoot w:val="008714F9"/>
    <w:rsid w:val="002142B2"/>
    <w:rsid w:val="0027549A"/>
    <w:rsid w:val="0029274E"/>
    <w:rsid w:val="003B2AAD"/>
    <w:rsid w:val="003E47EE"/>
    <w:rsid w:val="00565473"/>
    <w:rsid w:val="008714F9"/>
    <w:rsid w:val="00B356D7"/>
    <w:rsid w:val="00B700CB"/>
    <w:rsid w:val="00BC737B"/>
    <w:rsid w:val="00C33D48"/>
    <w:rsid w:val="00C43435"/>
    <w:rsid w:val="00CF47AB"/>
    <w:rsid w:val="00D46196"/>
    <w:rsid w:val="00E97A8E"/>
    <w:rsid w:val="00F46379"/>
    <w:rsid w:val="00F67203"/>
    <w:rsid w:val="00FE124F"/>
    <w:rsid w:val="25053647"/>
    <w:rsid w:val="2CDF6927"/>
    <w:rsid w:val="539D24DB"/>
    <w:rsid w:val="655B6791"/>
    <w:rsid w:val="6C500916"/>
    <w:rsid w:val="6C541EC3"/>
    <w:rsid w:val="6E6B7D0C"/>
    <w:rsid w:val="7E923EFB"/>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Cambria" w:hAnsi="Cambria" w:cs="黑体"/>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6"/>
    <w:qFormat/>
    <w:uiPriority w:val="99"/>
    <w:pPr>
      <w:spacing w:beforeLines="30"/>
    </w:pPr>
    <w:rPr>
      <w:rFonts w:ascii="仿宋_GB2312" w:eastAsia="仿宋_GB2312"/>
      <w:kern w:val="0"/>
      <w:sz w:val="24"/>
      <w:szCs w:val="20"/>
    </w:rPr>
  </w:style>
  <w:style w:type="paragraph" w:styleId="6">
    <w:name w:val="toc 3"/>
    <w:basedOn w:val="1"/>
    <w:next w:val="1"/>
    <w:unhideWhenUsed/>
    <w:qFormat/>
    <w:uiPriority w:val="39"/>
    <w:pPr>
      <w:tabs>
        <w:tab w:val="right" w:leader="dot" w:pos="8296"/>
      </w:tabs>
      <w:ind w:left="840" w:leftChars="400"/>
    </w:pPr>
  </w:style>
  <w:style w:type="paragraph" w:styleId="7">
    <w:name w:val="Plain Text"/>
    <w:unhideWhenUsed/>
    <w:uiPriority w:val="0"/>
    <w:rPr>
      <w:rFonts w:ascii="宋体" w:hAnsi="Courier New" w:eastAsia="宋体" w:cs="Times New Roman"/>
      <w:sz w:val="21"/>
      <w:szCs w:val="22"/>
      <w:lang w:val="en-US" w:eastAsia="zh-CN" w:bidi="ar-SA"/>
    </w:rPr>
  </w:style>
  <w:style w:type="paragraph" w:styleId="8">
    <w:name w:val="Balloon Text"/>
    <w:basedOn w:val="1"/>
    <w:link w:val="29"/>
    <w:unhideWhenUsed/>
    <w:qFormat/>
    <w:uiPriority w:val="99"/>
    <w:rPr>
      <w:sz w:val="18"/>
      <w:szCs w:val="18"/>
    </w:rPr>
  </w:style>
  <w:style w:type="paragraph" w:styleId="9">
    <w:name w:val="footer"/>
    <w:basedOn w:val="1"/>
    <w:link w:val="24"/>
    <w:qFormat/>
    <w:uiPriority w:val="99"/>
    <w:pPr>
      <w:tabs>
        <w:tab w:val="center" w:pos="4153"/>
        <w:tab w:val="right" w:pos="8306"/>
      </w:tabs>
      <w:snapToGrid w:val="0"/>
      <w:jc w:val="left"/>
    </w:pPr>
    <w:rPr>
      <w:kern w:val="0"/>
      <w:sz w:val="18"/>
      <w:szCs w:val="20"/>
    </w:rPr>
  </w:style>
  <w:style w:type="paragraph" w:styleId="10">
    <w:name w:val="header"/>
    <w:basedOn w:val="1"/>
    <w:link w:val="22"/>
    <w:semiHidden/>
    <w:qFormat/>
    <w:uiPriority w:val="99"/>
    <w:pPr>
      <w:pBdr>
        <w:bottom w:val="single" w:color="auto" w:sz="6" w:space="1"/>
      </w:pBdr>
      <w:tabs>
        <w:tab w:val="center" w:pos="4153"/>
        <w:tab w:val="right" w:pos="8306"/>
      </w:tabs>
      <w:snapToGrid w:val="0"/>
      <w:jc w:val="center"/>
    </w:pPr>
    <w:rPr>
      <w:kern w:val="0"/>
      <w:sz w:val="18"/>
      <w:szCs w:val="20"/>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u w:val="single"/>
    </w:rPr>
  </w:style>
  <w:style w:type="paragraph" w:customStyle="1" w:styleId="17">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8">
    <w:name w:val="列出段落1"/>
    <w:basedOn w:val="1"/>
    <w:qFormat/>
    <w:uiPriority w:val="34"/>
    <w:pPr>
      <w:ind w:firstLine="420" w:firstLineChars="200"/>
    </w:pPr>
  </w:style>
  <w:style w:type="paragraph" w:customStyle="1" w:styleId="19">
    <w:name w:val="TOC 标题1"/>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paragraph" w:customStyle="1" w:styleId="20">
    <w:name w:val="TOC 标题2"/>
    <w:basedOn w:val="2"/>
    <w:next w:val="1"/>
    <w:unhideWhenUsed/>
    <w:qFormat/>
    <w:uiPriority w:val="39"/>
    <w:pPr>
      <w:widowControl/>
      <w:spacing w:before="480" w:after="0" w:line="276" w:lineRule="auto"/>
      <w:jc w:val="left"/>
      <w:outlineLvl w:val="9"/>
    </w:pPr>
    <w:rPr>
      <w:rFonts w:ascii="Cambria" w:hAnsi="Cambria" w:cs="黑体"/>
      <w:color w:val="365F90"/>
      <w:kern w:val="0"/>
      <w:sz w:val="28"/>
      <w:szCs w:val="28"/>
    </w:rPr>
  </w:style>
  <w:style w:type="character" w:customStyle="1" w:styleId="21">
    <w:name w:val="Header Char"/>
    <w:basedOn w:val="14"/>
    <w:semiHidden/>
    <w:qFormat/>
    <w:uiPriority w:val="99"/>
    <w:rPr>
      <w:rFonts w:ascii="Times New Roman" w:hAnsi="Times New Roman"/>
      <w:sz w:val="18"/>
      <w:szCs w:val="18"/>
    </w:rPr>
  </w:style>
  <w:style w:type="character" w:customStyle="1" w:styleId="22">
    <w:name w:val="页眉 Char"/>
    <w:link w:val="10"/>
    <w:semiHidden/>
    <w:qFormat/>
    <w:locked/>
    <w:uiPriority w:val="99"/>
    <w:rPr>
      <w:sz w:val="18"/>
    </w:rPr>
  </w:style>
  <w:style w:type="character" w:customStyle="1" w:styleId="23">
    <w:name w:val="Footer Char"/>
    <w:basedOn w:val="14"/>
    <w:semiHidden/>
    <w:qFormat/>
    <w:uiPriority w:val="99"/>
    <w:rPr>
      <w:rFonts w:ascii="Times New Roman" w:hAnsi="Times New Roman"/>
      <w:sz w:val="18"/>
      <w:szCs w:val="18"/>
    </w:rPr>
  </w:style>
  <w:style w:type="character" w:customStyle="1" w:styleId="24">
    <w:name w:val="页脚 Char"/>
    <w:link w:val="9"/>
    <w:qFormat/>
    <w:locked/>
    <w:uiPriority w:val="99"/>
    <w:rPr>
      <w:sz w:val="18"/>
    </w:rPr>
  </w:style>
  <w:style w:type="character" w:customStyle="1" w:styleId="25">
    <w:name w:val="Body Text Char"/>
    <w:basedOn w:val="14"/>
    <w:semiHidden/>
    <w:qFormat/>
    <w:uiPriority w:val="99"/>
    <w:rPr>
      <w:rFonts w:ascii="Times New Roman" w:hAnsi="Times New Roman"/>
      <w:szCs w:val="24"/>
    </w:rPr>
  </w:style>
  <w:style w:type="character" w:customStyle="1" w:styleId="26">
    <w:name w:val="正文文本 Char"/>
    <w:link w:val="5"/>
    <w:qFormat/>
    <w:locked/>
    <w:uiPriority w:val="99"/>
    <w:rPr>
      <w:rFonts w:ascii="仿宋_GB2312" w:hAnsi="Times New Roman" w:eastAsia="仿宋_GB2312"/>
      <w:sz w:val="24"/>
    </w:rPr>
  </w:style>
  <w:style w:type="character" w:customStyle="1" w:styleId="27">
    <w:name w:val="标题 1 Char"/>
    <w:basedOn w:val="14"/>
    <w:link w:val="2"/>
    <w:qFormat/>
    <w:uiPriority w:val="9"/>
    <w:rPr>
      <w:rFonts w:ascii="Times New Roman" w:hAnsi="Times New Roman"/>
      <w:b/>
      <w:bCs/>
      <w:kern w:val="44"/>
      <w:sz w:val="44"/>
      <w:szCs w:val="44"/>
    </w:rPr>
  </w:style>
  <w:style w:type="character" w:customStyle="1" w:styleId="28">
    <w:name w:val="标题 2 Char"/>
    <w:basedOn w:val="14"/>
    <w:link w:val="3"/>
    <w:qFormat/>
    <w:uiPriority w:val="9"/>
    <w:rPr>
      <w:rFonts w:ascii="Cambria" w:hAnsi="Cambria" w:eastAsia="宋体" w:cs="黑体"/>
      <w:b/>
      <w:bCs/>
      <w:kern w:val="2"/>
      <w:sz w:val="32"/>
      <w:szCs w:val="32"/>
    </w:rPr>
  </w:style>
  <w:style w:type="character" w:customStyle="1" w:styleId="29">
    <w:name w:val="批注框文本 Char"/>
    <w:basedOn w:val="14"/>
    <w:link w:val="8"/>
    <w:semiHidden/>
    <w:qFormat/>
    <w:uiPriority w:val="99"/>
    <w:rPr>
      <w:rFonts w:ascii="Times New Roman" w:hAnsi="Times New Roman"/>
      <w:kern w:val="2"/>
      <w:sz w:val="18"/>
      <w:szCs w:val="18"/>
    </w:rPr>
  </w:style>
  <w:style w:type="character" w:customStyle="1" w:styleId="30">
    <w:name w:val="标题 3 Char"/>
    <w:basedOn w:val="14"/>
    <w:link w:val="4"/>
    <w:qFormat/>
    <w:uiPriority w:val="9"/>
    <w:rPr>
      <w:rFonts w:ascii="Times New Roman" w:hAnsi="Times New Roman"/>
      <w:b/>
      <w:bCs/>
      <w:kern w:val="2"/>
      <w:sz w:val="32"/>
      <w:szCs w:val="32"/>
    </w:rPr>
  </w:style>
  <w:style w:type="paragraph" w:customStyle="1" w:styleId="31">
    <w:name w:val="_Style 1"/>
    <w:basedOn w:val="1"/>
    <w:qFormat/>
    <w:uiPriority w:val="99"/>
    <w:pPr>
      <w:ind w:firstLine="420" w:firstLineChars="200"/>
    </w:pPr>
  </w:style>
  <w:style w:type="character" w:customStyle="1" w:styleId="32">
    <w:name w:val="font31"/>
    <w:basedOn w:val="14"/>
    <w:qFormat/>
    <w:uiPriority w:val="0"/>
    <w:rPr>
      <w:rFonts w:hint="eastAsia" w:ascii="宋体" w:hAnsi="宋体" w:eastAsia="宋体" w:cs="宋体"/>
      <w:color w:val="000000"/>
      <w:sz w:val="24"/>
      <w:szCs w:val="24"/>
      <w:u w:val="none"/>
    </w:rPr>
  </w:style>
  <w:style w:type="character" w:customStyle="1" w:styleId="33">
    <w:name w:val="font11"/>
    <w:basedOn w:val="14"/>
    <w:qFormat/>
    <w:uiPriority w:val="0"/>
    <w:rPr>
      <w:rFonts w:hint="default" w:ascii="Times New Roman" w:hAnsi="Times New Roman" w:cs="Times New Roman"/>
      <w:color w:val="000000"/>
      <w:sz w:val="24"/>
      <w:szCs w:val="24"/>
      <w:u w:val="none"/>
    </w:rPr>
  </w:style>
  <w:style w:type="character" w:customStyle="1" w:styleId="34">
    <w:name w:val="font21"/>
    <w:basedOn w:val="14"/>
    <w:uiPriority w:val="0"/>
    <w:rPr>
      <w:rFonts w:hint="eastAsia" w:ascii="宋体" w:hAnsi="宋体" w:eastAsia="宋体" w:cs="宋体"/>
      <w:color w:val="000000"/>
      <w:sz w:val="24"/>
      <w:szCs w:val="24"/>
      <w:u w:val="none"/>
    </w:rPr>
  </w:style>
  <w:style w:type="paragraph" w:customStyle="1" w:styleId="35">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Workbook1.xls"/><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7.emf"/><Relationship Id="rId2" Type="http://schemas.openxmlformats.org/officeDocument/2006/relationships/settings" Target="settings.xml"/><Relationship Id="rId19" Type="http://schemas.openxmlformats.org/officeDocument/2006/relationships/oleObject" Target="embeddings/Workbook3.xls"/><Relationship Id="rId18" Type="http://schemas.openxmlformats.org/officeDocument/2006/relationships/image" Target="media/image6.emf"/><Relationship Id="rId17" Type="http://schemas.openxmlformats.org/officeDocument/2006/relationships/oleObject" Target="embeddings/oleObject4.bin"/><Relationship Id="rId16" Type="http://schemas.openxmlformats.org/officeDocument/2006/relationships/image" Target="media/image5.emf"/><Relationship Id="rId15" Type="http://schemas.openxmlformats.org/officeDocument/2006/relationships/oleObject" Target="embeddings/oleObject3.bin"/><Relationship Id="rId14" Type="http://schemas.openxmlformats.org/officeDocument/2006/relationships/image" Target="media/image4.emf"/><Relationship Id="rId13" Type="http://schemas.openxmlformats.org/officeDocument/2006/relationships/oleObject" Target="embeddings/oleObject2.bin"/><Relationship Id="rId12" Type="http://schemas.openxmlformats.org/officeDocument/2006/relationships/image" Target="media/image3.emf"/><Relationship Id="rId11" Type="http://schemas.openxmlformats.org/officeDocument/2006/relationships/oleObject" Target="embeddings/Workbook2.xls"/><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9"/>
    <customShpInfo spid="_x0000_s1030"/>
    <customShpInfo spid="_x0000_s1031"/>
    <customShpInfo spid="_x0000_s1032"/>
    <customShpInfo spid="_x0000_s1033"/>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47</Pages>
  <Words>3444</Words>
  <Characters>19632</Characters>
  <Lines>163</Lines>
  <Paragraphs>46</Paragraphs>
  <TotalTime>11</TotalTime>
  <ScaleCrop>false</ScaleCrop>
  <LinksUpToDate>false</LinksUpToDate>
  <CharactersWithSpaces>23030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2020-09-28T01:52:00Z</dcterms:created>
  <dc:creator>曹颖</dc:creator>
  <cp:lastModifiedBy>Administrator</cp:lastModifiedBy>
  <cp:lastPrinted>2020-10-27T03:44:00Z</cp:lastPrinted>
  <dcterms:modified xsi:type="dcterms:W3CDTF">2023-07-19T12:39:10Z</dcterms:modified>
  <dc:title>四川省***</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6EE6645A86B84ED4AE94CAB6DD2B5832_12</vt:lpwstr>
  </property>
</Properties>
</file>